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E32E51" w14:textId="77777777" w:rsidR="00284427" w:rsidRPr="002D461C" w:rsidRDefault="00284427" w:rsidP="00284427">
      <w:pPr>
        <w:pStyle w:val="Title"/>
        <w:rPr>
          <w:b/>
          <w:bCs/>
        </w:rPr>
      </w:pPr>
      <w:r w:rsidRPr="002D461C">
        <w:rPr>
          <w:b/>
          <w:bCs/>
        </w:rPr>
        <w:t>Annual Report 2021-22</w:t>
      </w:r>
    </w:p>
    <w:p w14:paraId="7A74B98F" w14:textId="77777777" w:rsidR="00284427" w:rsidRDefault="00284427" w:rsidP="00284427">
      <w:pPr>
        <w:spacing w:after="720" w:line="240" w:lineRule="auto"/>
      </w:pPr>
      <w:r>
        <w:rPr>
          <w:noProof/>
        </w:rPr>
        <w:drawing>
          <wp:inline distT="0" distB="0" distL="0" distR="0" wp14:anchorId="6AFF89F9" wp14:editId="685D0C5E">
            <wp:extent cx="1847088" cy="539496"/>
            <wp:effectExtent l="0" t="0" r="1270" b="0"/>
            <wp:docPr id="1" name="Picture 1" descr="Victoria State Government&#10;Environment, Land, Water and Plan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ictoria State Government&#10;Environment, Land, Water and Planning logo"/>
                    <pic:cNvPicPr/>
                  </pic:nvPicPr>
                  <pic:blipFill>
                    <a:blip r:embed="rId8"/>
                    <a:stretch>
                      <a:fillRect/>
                    </a:stretch>
                  </pic:blipFill>
                  <pic:spPr>
                    <a:xfrm>
                      <a:off x="0" y="0"/>
                      <a:ext cx="1847088" cy="539496"/>
                    </a:xfrm>
                    <a:prstGeom prst="rect">
                      <a:avLst/>
                    </a:prstGeom>
                  </pic:spPr>
                </pic:pic>
              </a:graphicData>
            </a:graphic>
          </wp:inline>
        </w:drawing>
      </w:r>
    </w:p>
    <w:p w14:paraId="5B9C5592" w14:textId="77777777" w:rsidR="00512270" w:rsidRPr="00E9230B" w:rsidRDefault="00512270" w:rsidP="00E9230B">
      <w:pPr>
        <w:pStyle w:val="Boldheader"/>
      </w:pPr>
      <w:r w:rsidRPr="00E9230B">
        <w:t>Responsible body’s declaration</w:t>
      </w:r>
    </w:p>
    <w:p w14:paraId="178BB522" w14:textId="39676271" w:rsidR="00512270" w:rsidRPr="00512270" w:rsidRDefault="00512270" w:rsidP="00E9230B">
      <w:r w:rsidRPr="00512270">
        <w:t xml:space="preserve">In accordance with the </w:t>
      </w:r>
      <w:r w:rsidRPr="00E9230B">
        <w:rPr>
          <w:rFonts w:cs="Arial"/>
          <w:i/>
          <w:iCs/>
        </w:rPr>
        <w:t>Financial Management Act 1994</w:t>
      </w:r>
      <w:r w:rsidRPr="00512270">
        <w:t>, I am pleased to present the Department</w:t>
      </w:r>
      <w:r w:rsidR="00AA7B44">
        <w:t xml:space="preserve"> </w:t>
      </w:r>
      <w:r w:rsidRPr="00512270">
        <w:t xml:space="preserve">of Environment, Land, Water and Planning Annual Report for the year ending 30 June 2022. </w:t>
      </w:r>
    </w:p>
    <w:p w14:paraId="3B97A354" w14:textId="7E9B460B" w:rsidR="00512270" w:rsidRPr="00512270" w:rsidRDefault="00512270" w:rsidP="00E9230B">
      <w:r w:rsidRPr="00E9230B">
        <w:rPr>
          <w:rFonts w:cs="Arial"/>
          <w:b/>
          <w:bCs/>
        </w:rPr>
        <w:t>John Bradley</w:t>
      </w:r>
      <w:r w:rsidRPr="00546E03">
        <w:rPr>
          <w:rFonts w:cs="VIC"/>
          <w:b/>
          <w:bCs/>
        </w:rPr>
        <w:br/>
      </w:r>
      <w:r w:rsidRPr="00512270">
        <w:t>Secretary</w:t>
      </w:r>
      <w:r w:rsidRPr="00512270">
        <w:br/>
        <w:t>Department of Environment, Land, Water and Planning</w:t>
      </w:r>
      <w:r w:rsidRPr="00512270">
        <w:br/>
        <w:t>9 September 2022</w:t>
      </w:r>
    </w:p>
    <w:p w14:paraId="5A1A63DD" w14:textId="77777777" w:rsidR="00512270" w:rsidRDefault="00512270" w:rsidP="000C0438">
      <w:pPr>
        <w:pStyle w:val="Boldheader"/>
      </w:pPr>
      <w:r>
        <w:t>Acknowledgment</w:t>
      </w:r>
    </w:p>
    <w:p w14:paraId="417607DA" w14:textId="1D53421D" w:rsidR="00512270" w:rsidRDefault="00512270" w:rsidP="000C0438">
      <w: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6818059E" w14:textId="6B9BFD45" w:rsidR="00512270" w:rsidRDefault="00512270" w:rsidP="000C0438">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p w14:paraId="534CAFA0" w14:textId="77777777" w:rsidR="00284427" w:rsidRDefault="00512270" w:rsidP="00284427">
      <w:r>
        <w:t>© The State of Victoria Department of Environment, Land, Water and Planning 2022</w:t>
      </w:r>
    </w:p>
    <w:p w14:paraId="22A95E5B" w14:textId="052479B5" w:rsidR="00512270" w:rsidRDefault="00512270" w:rsidP="00284427">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http://creativecommons.org/licenses/by/4.0/ </w:t>
      </w:r>
    </w:p>
    <w:p w14:paraId="56958D78" w14:textId="77777777" w:rsidR="00512270" w:rsidRDefault="00512270" w:rsidP="00284427">
      <w:r>
        <w:t>ISSN 2205-8931 (print)</w:t>
      </w:r>
    </w:p>
    <w:p w14:paraId="42610837" w14:textId="77777777" w:rsidR="00512270" w:rsidRDefault="00512270" w:rsidP="00284427">
      <w:r>
        <w:t>ISSN 2205-894X (pdf)</w:t>
      </w:r>
    </w:p>
    <w:p w14:paraId="1F84F4BB" w14:textId="77777777" w:rsidR="00512270" w:rsidRPr="00284427" w:rsidRDefault="00512270" w:rsidP="00284427">
      <w:pPr>
        <w:pStyle w:val="Boldheader"/>
      </w:pPr>
      <w:r w:rsidRPr="00284427">
        <w:t>Disclaimer</w:t>
      </w:r>
    </w:p>
    <w:p w14:paraId="4AAD801A" w14:textId="635DC59B" w:rsidR="00512270" w:rsidRDefault="00512270" w:rsidP="00284427">
      <w: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14AFA430" w14:textId="77777777" w:rsidR="00284427" w:rsidRDefault="00284427" w:rsidP="00284427">
      <w:pPr>
        <w:keepNext/>
        <w:spacing w:before="1080" w:after="240"/>
        <w:rPr>
          <w:b/>
          <w:bCs/>
          <w:sz w:val="40"/>
          <w:szCs w:val="40"/>
        </w:rPr>
      </w:pPr>
      <w:r w:rsidRPr="003C25C2">
        <w:rPr>
          <w:b/>
          <w:bCs/>
          <w:sz w:val="40"/>
          <w:szCs w:val="40"/>
        </w:rPr>
        <w:lastRenderedPageBreak/>
        <w:t>Contents</w:t>
      </w:r>
    </w:p>
    <w:p w14:paraId="62960F58" w14:textId="246A991E" w:rsidR="00BF4887" w:rsidRDefault="00884871">
      <w:pPr>
        <w:pStyle w:val="TOC1"/>
        <w:rPr>
          <w:rFonts w:asciiTheme="minorHAnsi" w:hAnsiTheme="minorHAnsi" w:cstheme="minorBidi"/>
          <w:b w:val="0"/>
          <w:bCs w:val="0"/>
          <w:color w:val="auto"/>
        </w:rPr>
      </w:pPr>
      <w:r>
        <w:rPr>
          <w:b w:val="0"/>
          <w:bCs w:val="0"/>
        </w:rPr>
        <w:fldChar w:fldCharType="begin"/>
      </w:r>
      <w:r>
        <w:rPr>
          <w:b w:val="0"/>
          <w:bCs w:val="0"/>
        </w:rPr>
        <w:instrText xml:space="preserve"> TOC \o "1-1" \h \z \t "Heading 2,2" </w:instrText>
      </w:r>
      <w:r>
        <w:rPr>
          <w:b w:val="0"/>
          <w:bCs w:val="0"/>
        </w:rPr>
        <w:fldChar w:fldCharType="separate"/>
      </w:r>
      <w:hyperlink w:anchor="_Toc117447348" w:history="1">
        <w:r w:rsidR="00BF4887" w:rsidRPr="00FE53EB">
          <w:rPr>
            <w:rStyle w:val="Hyperlink"/>
          </w:rPr>
          <w:t>Secretary’s message</w:t>
        </w:r>
        <w:r w:rsidR="00BF4887">
          <w:rPr>
            <w:webHidden/>
          </w:rPr>
          <w:tab/>
        </w:r>
        <w:r w:rsidR="00BF4887">
          <w:rPr>
            <w:webHidden/>
          </w:rPr>
          <w:fldChar w:fldCharType="begin"/>
        </w:r>
        <w:r w:rsidR="00BF4887">
          <w:rPr>
            <w:webHidden/>
          </w:rPr>
          <w:instrText xml:space="preserve"> PAGEREF _Toc117447348 \h </w:instrText>
        </w:r>
        <w:r w:rsidR="00BF4887">
          <w:rPr>
            <w:webHidden/>
          </w:rPr>
        </w:r>
        <w:r w:rsidR="00BF4887">
          <w:rPr>
            <w:webHidden/>
          </w:rPr>
          <w:fldChar w:fldCharType="separate"/>
        </w:r>
        <w:r w:rsidR="00BF4887">
          <w:rPr>
            <w:webHidden/>
          </w:rPr>
          <w:t>3</w:t>
        </w:r>
        <w:r w:rsidR="00BF4887">
          <w:rPr>
            <w:webHidden/>
          </w:rPr>
          <w:fldChar w:fldCharType="end"/>
        </w:r>
      </w:hyperlink>
    </w:p>
    <w:p w14:paraId="31D78460" w14:textId="656C67D1" w:rsidR="00BF4887" w:rsidRDefault="002F4F06">
      <w:pPr>
        <w:pStyle w:val="TOC1"/>
        <w:rPr>
          <w:rFonts w:asciiTheme="minorHAnsi" w:hAnsiTheme="minorHAnsi" w:cstheme="minorBidi"/>
          <w:b w:val="0"/>
          <w:bCs w:val="0"/>
          <w:color w:val="auto"/>
        </w:rPr>
      </w:pPr>
      <w:hyperlink w:anchor="_Toc117447349" w:history="1">
        <w:r w:rsidR="00BF4887" w:rsidRPr="00FE53EB">
          <w:rPr>
            <w:rStyle w:val="Hyperlink"/>
          </w:rPr>
          <w:t>Key initiatives and projects 2021-22</w:t>
        </w:r>
        <w:r w:rsidR="00BF4887">
          <w:rPr>
            <w:webHidden/>
          </w:rPr>
          <w:tab/>
        </w:r>
        <w:r w:rsidR="00BF4887">
          <w:rPr>
            <w:webHidden/>
          </w:rPr>
          <w:fldChar w:fldCharType="begin"/>
        </w:r>
        <w:r w:rsidR="00BF4887">
          <w:rPr>
            <w:webHidden/>
          </w:rPr>
          <w:instrText xml:space="preserve"> PAGEREF _Toc117447349 \h </w:instrText>
        </w:r>
        <w:r w:rsidR="00BF4887">
          <w:rPr>
            <w:webHidden/>
          </w:rPr>
        </w:r>
        <w:r w:rsidR="00BF4887">
          <w:rPr>
            <w:webHidden/>
          </w:rPr>
          <w:fldChar w:fldCharType="separate"/>
        </w:r>
        <w:r w:rsidR="00BF4887">
          <w:rPr>
            <w:webHidden/>
          </w:rPr>
          <w:t>6</w:t>
        </w:r>
        <w:r w:rsidR="00BF4887">
          <w:rPr>
            <w:webHidden/>
          </w:rPr>
          <w:fldChar w:fldCharType="end"/>
        </w:r>
      </w:hyperlink>
    </w:p>
    <w:p w14:paraId="33FE35CF" w14:textId="6031BADA" w:rsidR="00BF4887" w:rsidRDefault="002F4F06">
      <w:pPr>
        <w:pStyle w:val="TOC1"/>
        <w:rPr>
          <w:rFonts w:asciiTheme="minorHAnsi" w:hAnsiTheme="minorHAnsi" w:cstheme="minorBidi"/>
          <w:b w:val="0"/>
          <w:bCs w:val="0"/>
          <w:color w:val="auto"/>
        </w:rPr>
      </w:pPr>
      <w:hyperlink w:anchor="_Toc117447350" w:history="1">
        <w:r w:rsidR="00BF4887" w:rsidRPr="00FE53EB">
          <w:rPr>
            <w:rStyle w:val="Hyperlink"/>
          </w:rPr>
          <w:t>About DELWP</w:t>
        </w:r>
        <w:r w:rsidR="00BF4887">
          <w:rPr>
            <w:webHidden/>
          </w:rPr>
          <w:tab/>
        </w:r>
        <w:r w:rsidR="00BF4887">
          <w:rPr>
            <w:webHidden/>
          </w:rPr>
          <w:fldChar w:fldCharType="begin"/>
        </w:r>
        <w:r w:rsidR="00BF4887">
          <w:rPr>
            <w:webHidden/>
          </w:rPr>
          <w:instrText xml:space="preserve"> PAGEREF _Toc117447350 \h </w:instrText>
        </w:r>
        <w:r w:rsidR="00BF4887">
          <w:rPr>
            <w:webHidden/>
          </w:rPr>
        </w:r>
        <w:r w:rsidR="00BF4887">
          <w:rPr>
            <w:webHidden/>
          </w:rPr>
          <w:fldChar w:fldCharType="separate"/>
        </w:r>
        <w:r w:rsidR="00BF4887">
          <w:rPr>
            <w:webHidden/>
          </w:rPr>
          <w:t>12</w:t>
        </w:r>
        <w:r w:rsidR="00BF4887">
          <w:rPr>
            <w:webHidden/>
          </w:rPr>
          <w:fldChar w:fldCharType="end"/>
        </w:r>
      </w:hyperlink>
    </w:p>
    <w:p w14:paraId="3A63255C" w14:textId="021DA8CC" w:rsidR="00BF4887" w:rsidRDefault="002F4F06">
      <w:pPr>
        <w:pStyle w:val="TOC1"/>
        <w:rPr>
          <w:rFonts w:asciiTheme="minorHAnsi" w:hAnsiTheme="minorHAnsi" w:cstheme="minorBidi"/>
          <w:b w:val="0"/>
          <w:bCs w:val="0"/>
          <w:color w:val="auto"/>
        </w:rPr>
      </w:pPr>
      <w:hyperlink w:anchor="_Toc117447351" w:history="1">
        <w:r w:rsidR="00BF4887" w:rsidRPr="00FE53EB">
          <w:rPr>
            <w:rStyle w:val="Hyperlink"/>
          </w:rPr>
          <w:t>Departmental objectives, indicators and outputs</w:t>
        </w:r>
        <w:r w:rsidR="00BF4887">
          <w:rPr>
            <w:webHidden/>
          </w:rPr>
          <w:tab/>
        </w:r>
        <w:r w:rsidR="00BF4887">
          <w:rPr>
            <w:webHidden/>
          </w:rPr>
          <w:fldChar w:fldCharType="begin"/>
        </w:r>
        <w:r w:rsidR="00BF4887">
          <w:rPr>
            <w:webHidden/>
          </w:rPr>
          <w:instrText xml:space="preserve"> PAGEREF _Toc117447351 \h </w:instrText>
        </w:r>
        <w:r w:rsidR="00BF4887">
          <w:rPr>
            <w:webHidden/>
          </w:rPr>
        </w:r>
        <w:r w:rsidR="00BF4887">
          <w:rPr>
            <w:webHidden/>
          </w:rPr>
          <w:fldChar w:fldCharType="separate"/>
        </w:r>
        <w:r w:rsidR="00BF4887">
          <w:rPr>
            <w:webHidden/>
          </w:rPr>
          <w:t>26</w:t>
        </w:r>
        <w:r w:rsidR="00BF4887">
          <w:rPr>
            <w:webHidden/>
          </w:rPr>
          <w:fldChar w:fldCharType="end"/>
        </w:r>
      </w:hyperlink>
    </w:p>
    <w:p w14:paraId="089D0820" w14:textId="624756AF" w:rsidR="00BF4887" w:rsidRDefault="002F4F06">
      <w:pPr>
        <w:pStyle w:val="TOC2"/>
        <w:tabs>
          <w:tab w:val="right" w:leader="dot" w:pos="9628"/>
        </w:tabs>
        <w:rPr>
          <w:rFonts w:asciiTheme="minorHAnsi" w:hAnsiTheme="minorHAnsi" w:cstheme="minorBidi"/>
          <w:noProof/>
          <w:color w:val="auto"/>
        </w:rPr>
      </w:pPr>
      <w:hyperlink w:anchor="_Toc117447352" w:history="1">
        <w:r w:rsidR="00BF4887" w:rsidRPr="00FE53EB">
          <w:rPr>
            <w:rStyle w:val="Hyperlink"/>
            <w:noProof/>
          </w:rPr>
          <w:t>Net zero emissions, climate-ready economy and community</w:t>
        </w:r>
        <w:r w:rsidR="00BF4887">
          <w:rPr>
            <w:noProof/>
            <w:webHidden/>
          </w:rPr>
          <w:tab/>
        </w:r>
        <w:r w:rsidR="00BF4887">
          <w:rPr>
            <w:noProof/>
            <w:webHidden/>
          </w:rPr>
          <w:fldChar w:fldCharType="begin"/>
        </w:r>
        <w:r w:rsidR="00BF4887">
          <w:rPr>
            <w:noProof/>
            <w:webHidden/>
          </w:rPr>
          <w:instrText xml:space="preserve"> PAGEREF _Toc117447352 \h </w:instrText>
        </w:r>
        <w:r w:rsidR="00BF4887">
          <w:rPr>
            <w:noProof/>
            <w:webHidden/>
          </w:rPr>
        </w:r>
        <w:r w:rsidR="00BF4887">
          <w:rPr>
            <w:noProof/>
            <w:webHidden/>
          </w:rPr>
          <w:fldChar w:fldCharType="separate"/>
        </w:r>
        <w:r w:rsidR="00BF4887">
          <w:rPr>
            <w:noProof/>
            <w:webHidden/>
          </w:rPr>
          <w:t>28</w:t>
        </w:r>
        <w:r w:rsidR="00BF4887">
          <w:rPr>
            <w:noProof/>
            <w:webHidden/>
          </w:rPr>
          <w:fldChar w:fldCharType="end"/>
        </w:r>
      </w:hyperlink>
    </w:p>
    <w:p w14:paraId="0B4D74F7" w14:textId="00E64D90" w:rsidR="00BF4887" w:rsidRDefault="002F4F06">
      <w:pPr>
        <w:pStyle w:val="TOC2"/>
        <w:tabs>
          <w:tab w:val="right" w:leader="dot" w:pos="9628"/>
        </w:tabs>
        <w:rPr>
          <w:rFonts w:asciiTheme="minorHAnsi" w:hAnsiTheme="minorHAnsi" w:cstheme="minorBidi"/>
          <w:noProof/>
          <w:color w:val="auto"/>
        </w:rPr>
      </w:pPr>
      <w:hyperlink w:anchor="_Toc117447353" w:history="1">
        <w:r w:rsidR="00BF4887" w:rsidRPr="00FE53EB">
          <w:rPr>
            <w:rStyle w:val="Hyperlink"/>
            <w:noProof/>
          </w:rPr>
          <w:t>Healthy, resilient and biodiverse environment</w:t>
        </w:r>
        <w:r w:rsidR="00BF4887">
          <w:rPr>
            <w:noProof/>
            <w:webHidden/>
          </w:rPr>
          <w:tab/>
        </w:r>
        <w:r w:rsidR="00BF4887">
          <w:rPr>
            <w:noProof/>
            <w:webHidden/>
          </w:rPr>
          <w:fldChar w:fldCharType="begin"/>
        </w:r>
        <w:r w:rsidR="00BF4887">
          <w:rPr>
            <w:noProof/>
            <w:webHidden/>
          </w:rPr>
          <w:instrText xml:space="preserve"> PAGEREF _Toc117447353 \h </w:instrText>
        </w:r>
        <w:r w:rsidR="00BF4887">
          <w:rPr>
            <w:noProof/>
            <w:webHidden/>
          </w:rPr>
        </w:r>
        <w:r w:rsidR="00BF4887">
          <w:rPr>
            <w:noProof/>
            <w:webHidden/>
          </w:rPr>
          <w:fldChar w:fldCharType="separate"/>
        </w:r>
        <w:r w:rsidR="00BF4887">
          <w:rPr>
            <w:noProof/>
            <w:webHidden/>
          </w:rPr>
          <w:t>34</w:t>
        </w:r>
        <w:r w:rsidR="00BF4887">
          <w:rPr>
            <w:noProof/>
            <w:webHidden/>
          </w:rPr>
          <w:fldChar w:fldCharType="end"/>
        </w:r>
      </w:hyperlink>
    </w:p>
    <w:p w14:paraId="358CEA31" w14:textId="41DBF59A" w:rsidR="00BF4887" w:rsidRDefault="002F4F06">
      <w:pPr>
        <w:pStyle w:val="TOC2"/>
        <w:tabs>
          <w:tab w:val="right" w:leader="dot" w:pos="9628"/>
        </w:tabs>
        <w:rPr>
          <w:rFonts w:asciiTheme="minorHAnsi" w:hAnsiTheme="minorHAnsi" w:cstheme="minorBidi"/>
          <w:noProof/>
          <w:color w:val="auto"/>
        </w:rPr>
      </w:pPr>
      <w:hyperlink w:anchor="_Toc117447354" w:history="1">
        <w:r w:rsidR="00BF4887" w:rsidRPr="00FE53EB">
          <w:rPr>
            <w:rStyle w:val="Hyperlink"/>
            <w:noProof/>
          </w:rPr>
          <w:t>Reliable, sustainable and affordable energy services</w:t>
        </w:r>
        <w:r w:rsidR="00BF4887">
          <w:rPr>
            <w:noProof/>
            <w:webHidden/>
          </w:rPr>
          <w:tab/>
        </w:r>
        <w:r w:rsidR="00BF4887">
          <w:rPr>
            <w:noProof/>
            <w:webHidden/>
          </w:rPr>
          <w:fldChar w:fldCharType="begin"/>
        </w:r>
        <w:r w:rsidR="00BF4887">
          <w:rPr>
            <w:noProof/>
            <w:webHidden/>
          </w:rPr>
          <w:instrText xml:space="preserve"> PAGEREF _Toc117447354 \h </w:instrText>
        </w:r>
        <w:r w:rsidR="00BF4887">
          <w:rPr>
            <w:noProof/>
            <w:webHidden/>
          </w:rPr>
        </w:r>
        <w:r w:rsidR="00BF4887">
          <w:rPr>
            <w:noProof/>
            <w:webHidden/>
          </w:rPr>
          <w:fldChar w:fldCharType="separate"/>
        </w:r>
        <w:r w:rsidR="00BF4887">
          <w:rPr>
            <w:noProof/>
            <w:webHidden/>
          </w:rPr>
          <w:t>51</w:t>
        </w:r>
        <w:r w:rsidR="00BF4887">
          <w:rPr>
            <w:noProof/>
            <w:webHidden/>
          </w:rPr>
          <w:fldChar w:fldCharType="end"/>
        </w:r>
      </w:hyperlink>
    </w:p>
    <w:p w14:paraId="7A01380F" w14:textId="2682307E" w:rsidR="00BF4887" w:rsidRDefault="002F4F06">
      <w:pPr>
        <w:pStyle w:val="TOC2"/>
        <w:tabs>
          <w:tab w:val="right" w:leader="dot" w:pos="9628"/>
        </w:tabs>
        <w:rPr>
          <w:rFonts w:asciiTheme="minorHAnsi" w:hAnsiTheme="minorHAnsi" w:cstheme="minorBidi"/>
          <w:noProof/>
          <w:color w:val="auto"/>
        </w:rPr>
      </w:pPr>
      <w:hyperlink w:anchor="_Toc117447355" w:history="1">
        <w:r w:rsidR="00BF4887" w:rsidRPr="00FE53EB">
          <w:rPr>
            <w:rStyle w:val="Hyperlink"/>
            <w:noProof/>
          </w:rPr>
          <w:t>Productive and effective land management</w:t>
        </w:r>
        <w:r w:rsidR="00BF4887">
          <w:rPr>
            <w:noProof/>
            <w:webHidden/>
          </w:rPr>
          <w:tab/>
        </w:r>
        <w:r w:rsidR="00BF4887">
          <w:rPr>
            <w:noProof/>
            <w:webHidden/>
          </w:rPr>
          <w:fldChar w:fldCharType="begin"/>
        </w:r>
        <w:r w:rsidR="00BF4887">
          <w:rPr>
            <w:noProof/>
            <w:webHidden/>
          </w:rPr>
          <w:instrText xml:space="preserve"> PAGEREF _Toc117447355 \h </w:instrText>
        </w:r>
        <w:r w:rsidR="00BF4887">
          <w:rPr>
            <w:noProof/>
            <w:webHidden/>
          </w:rPr>
        </w:r>
        <w:r w:rsidR="00BF4887">
          <w:rPr>
            <w:noProof/>
            <w:webHidden/>
          </w:rPr>
          <w:fldChar w:fldCharType="separate"/>
        </w:r>
        <w:r w:rsidR="00BF4887">
          <w:rPr>
            <w:noProof/>
            <w:webHidden/>
          </w:rPr>
          <w:t>65</w:t>
        </w:r>
        <w:r w:rsidR="00BF4887">
          <w:rPr>
            <w:noProof/>
            <w:webHidden/>
          </w:rPr>
          <w:fldChar w:fldCharType="end"/>
        </w:r>
      </w:hyperlink>
    </w:p>
    <w:p w14:paraId="1BD0849F" w14:textId="08945A54" w:rsidR="00BF4887" w:rsidRDefault="002F4F06">
      <w:pPr>
        <w:pStyle w:val="TOC2"/>
        <w:tabs>
          <w:tab w:val="right" w:leader="dot" w:pos="9628"/>
        </w:tabs>
        <w:rPr>
          <w:rFonts w:asciiTheme="minorHAnsi" w:hAnsiTheme="minorHAnsi" w:cstheme="minorBidi"/>
          <w:noProof/>
          <w:color w:val="auto"/>
        </w:rPr>
      </w:pPr>
      <w:hyperlink w:anchor="_Toc117447356" w:history="1">
        <w:r w:rsidR="00BF4887" w:rsidRPr="00FE53EB">
          <w:rPr>
            <w:rStyle w:val="Hyperlink"/>
            <w:noProof/>
          </w:rPr>
          <w:t>Safe and sustainable water resources</w:t>
        </w:r>
        <w:r w:rsidR="00BF4887">
          <w:rPr>
            <w:noProof/>
            <w:webHidden/>
          </w:rPr>
          <w:tab/>
        </w:r>
        <w:r w:rsidR="00BF4887">
          <w:rPr>
            <w:noProof/>
            <w:webHidden/>
          </w:rPr>
          <w:fldChar w:fldCharType="begin"/>
        </w:r>
        <w:r w:rsidR="00BF4887">
          <w:rPr>
            <w:noProof/>
            <w:webHidden/>
          </w:rPr>
          <w:instrText xml:space="preserve"> PAGEREF _Toc117447356 \h </w:instrText>
        </w:r>
        <w:r w:rsidR="00BF4887">
          <w:rPr>
            <w:noProof/>
            <w:webHidden/>
          </w:rPr>
        </w:r>
        <w:r w:rsidR="00BF4887">
          <w:rPr>
            <w:noProof/>
            <w:webHidden/>
          </w:rPr>
          <w:fldChar w:fldCharType="separate"/>
        </w:r>
        <w:r w:rsidR="00BF4887">
          <w:rPr>
            <w:noProof/>
            <w:webHidden/>
          </w:rPr>
          <w:t>80</w:t>
        </w:r>
        <w:r w:rsidR="00BF4887">
          <w:rPr>
            <w:noProof/>
            <w:webHidden/>
          </w:rPr>
          <w:fldChar w:fldCharType="end"/>
        </w:r>
      </w:hyperlink>
    </w:p>
    <w:p w14:paraId="297C9444" w14:textId="078BD4F3" w:rsidR="00BF4887" w:rsidRDefault="002F4F06">
      <w:pPr>
        <w:pStyle w:val="TOC2"/>
        <w:tabs>
          <w:tab w:val="right" w:leader="dot" w:pos="9628"/>
        </w:tabs>
        <w:rPr>
          <w:rFonts w:asciiTheme="minorHAnsi" w:hAnsiTheme="minorHAnsi" w:cstheme="minorBidi"/>
          <w:noProof/>
          <w:color w:val="auto"/>
        </w:rPr>
      </w:pPr>
      <w:hyperlink w:anchor="_Toc117447357" w:history="1">
        <w:r w:rsidR="00BF4887" w:rsidRPr="00FE53EB">
          <w:rPr>
            <w:rStyle w:val="Hyperlink"/>
            <w:noProof/>
          </w:rPr>
          <w:t>A safe and quality built environment</w:t>
        </w:r>
        <w:r w:rsidR="00BF4887">
          <w:rPr>
            <w:noProof/>
            <w:webHidden/>
          </w:rPr>
          <w:tab/>
        </w:r>
        <w:r w:rsidR="00BF4887">
          <w:rPr>
            <w:noProof/>
            <w:webHidden/>
          </w:rPr>
          <w:fldChar w:fldCharType="begin"/>
        </w:r>
        <w:r w:rsidR="00BF4887">
          <w:rPr>
            <w:noProof/>
            <w:webHidden/>
          </w:rPr>
          <w:instrText xml:space="preserve"> PAGEREF _Toc117447357 \h </w:instrText>
        </w:r>
        <w:r w:rsidR="00BF4887">
          <w:rPr>
            <w:noProof/>
            <w:webHidden/>
          </w:rPr>
        </w:r>
        <w:r w:rsidR="00BF4887">
          <w:rPr>
            <w:noProof/>
            <w:webHidden/>
          </w:rPr>
          <w:fldChar w:fldCharType="separate"/>
        </w:r>
        <w:r w:rsidR="00BF4887">
          <w:rPr>
            <w:noProof/>
            <w:webHidden/>
          </w:rPr>
          <w:t>95</w:t>
        </w:r>
        <w:r w:rsidR="00BF4887">
          <w:rPr>
            <w:noProof/>
            <w:webHidden/>
          </w:rPr>
          <w:fldChar w:fldCharType="end"/>
        </w:r>
      </w:hyperlink>
    </w:p>
    <w:p w14:paraId="2B50B9A4" w14:textId="2D89E285" w:rsidR="00BF4887" w:rsidRDefault="002F4F06">
      <w:pPr>
        <w:pStyle w:val="TOC2"/>
        <w:tabs>
          <w:tab w:val="right" w:leader="dot" w:pos="9628"/>
        </w:tabs>
        <w:rPr>
          <w:rFonts w:asciiTheme="minorHAnsi" w:hAnsiTheme="minorHAnsi" w:cstheme="minorBidi"/>
          <w:noProof/>
          <w:color w:val="auto"/>
        </w:rPr>
      </w:pPr>
      <w:hyperlink w:anchor="_Toc117447358" w:history="1">
        <w:r w:rsidR="00BF4887" w:rsidRPr="00FE53EB">
          <w:rPr>
            <w:rStyle w:val="Hyperlink"/>
            <w:noProof/>
          </w:rPr>
          <w:t xml:space="preserve">Reduced impact of major bushfires and other emergencies on people, </w:t>
        </w:r>
        <w:r w:rsidR="00BF4887">
          <w:rPr>
            <w:rStyle w:val="Hyperlink"/>
            <w:noProof/>
          </w:rPr>
          <w:br/>
        </w:r>
        <w:r w:rsidR="00BF4887" w:rsidRPr="00FE53EB">
          <w:rPr>
            <w:rStyle w:val="Hyperlink"/>
            <w:noProof/>
          </w:rPr>
          <w:t>property and the environment</w:t>
        </w:r>
        <w:r w:rsidR="00BF4887">
          <w:rPr>
            <w:noProof/>
            <w:webHidden/>
          </w:rPr>
          <w:tab/>
        </w:r>
        <w:r w:rsidR="00BF4887">
          <w:rPr>
            <w:noProof/>
            <w:webHidden/>
          </w:rPr>
          <w:fldChar w:fldCharType="begin"/>
        </w:r>
        <w:r w:rsidR="00BF4887">
          <w:rPr>
            <w:noProof/>
            <w:webHidden/>
          </w:rPr>
          <w:instrText xml:space="preserve"> PAGEREF _Toc117447358 \h </w:instrText>
        </w:r>
        <w:r w:rsidR="00BF4887">
          <w:rPr>
            <w:noProof/>
            <w:webHidden/>
          </w:rPr>
        </w:r>
        <w:r w:rsidR="00BF4887">
          <w:rPr>
            <w:noProof/>
            <w:webHidden/>
          </w:rPr>
          <w:fldChar w:fldCharType="separate"/>
        </w:r>
        <w:r w:rsidR="00BF4887">
          <w:rPr>
            <w:noProof/>
            <w:webHidden/>
          </w:rPr>
          <w:t>110</w:t>
        </w:r>
        <w:r w:rsidR="00BF4887">
          <w:rPr>
            <w:noProof/>
            <w:webHidden/>
          </w:rPr>
          <w:fldChar w:fldCharType="end"/>
        </w:r>
      </w:hyperlink>
    </w:p>
    <w:p w14:paraId="52EE8040" w14:textId="3505C1FB" w:rsidR="00BF4887" w:rsidRDefault="002F4F06">
      <w:pPr>
        <w:pStyle w:val="TOC1"/>
        <w:rPr>
          <w:rFonts w:asciiTheme="minorHAnsi" w:hAnsiTheme="minorHAnsi" w:cstheme="minorBidi"/>
          <w:b w:val="0"/>
          <w:bCs w:val="0"/>
          <w:color w:val="auto"/>
        </w:rPr>
      </w:pPr>
      <w:hyperlink w:anchor="_Toc117447359" w:history="1">
        <w:r w:rsidR="00BF4887" w:rsidRPr="00FE53EB">
          <w:rPr>
            <w:rStyle w:val="Hyperlink"/>
          </w:rPr>
          <w:t>Our People</w:t>
        </w:r>
        <w:r w:rsidR="00BF4887">
          <w:rPr>
            <w:webHidden/>
          </w:rPr>
          <w:tab/>
        </w:r>
        <w:r w:rsidR="00BF4887">
          <w:rPr>
            <w:webHidden/>
          </w:rPr>
          <w:fldChar w:fldCharType="begin"/>
        </w:r>
        <w:r w:rsidR="00BF4887">
          <w:rPr>
            <w:webHidden/>
          </w:rPr>
          <w:instrText xml:space="preserve"> PAGEREF _Toc117447359 \h </w:instrText>
        </w:r>
        <w:r w:rsidR="00BF4887">
          <w:rPr>
            <w:webHidden/>
          </w:rPr>
        </w:r>
        <w:r w:rsidR="00BF4887">
          <w:rPr>
            <w:webHidden/>
          </w:rPr>
          <w:fldChar w:fldCharType="separate"/>
        </w:r>
        <w:r w:rsidR="00BF4887">
          <w:rPr>
            <w:webHidden/>
          </w:rPr>
          <w:t>120</w:t>
        </w:r>
        <w:r w:rsidR="00BF4887">
          <w:rPr>
            <w:webHidden/>
          </w:rPr>
          <w:fldChar w:fldCharType="end"/>
        </w:r>
      </w:hyperlink>
    </w:p>
    <w:p w14:paraId="22BAEF85" w14:textId="62E31338" w:rsidR="00BF4887" w:rsidRDefault="002F4F06">
      <w:pPr>
        <w:pStyle w:val="TOC1"/>
        <w:rPr>
          <w:rFonts w:asciiTheme="minorHAnsi" w:hAnsiTheme="minorHAnsi" w:cstheme="minorBidi"/>
          <w:b w:val="0"/>
          <w:bCs w:val="0"/>
          <w:color w:val="auto"/>
        </w:rPr>
      </w:pPr>
      <w:hyperlink w:anchor="_Toc117447360" w:history="1">
        <w:r w:rsidR="00BF4887" w:rsidRPr="00FE53EB">
          <w:rPr>
            <w:rStyle w:val="Hyperlink"/>
          </w:rPr>
          <w:t>Climate-related risk disclosure statement</w:t>
        </w:r>
        <w:r w:rsidR="00BF4887">
          <w:rPr>
            <w:webHidden/>
          </w:rPr>
          <w:tab/>
        </w:r>
        <w:r w:rsidR="00BF4887">
          <w:rPr>
            <w:webHidden/>
          </w:rPr>
          <w:fldChar w:fldCharType="begin"/>
        </w:r>
        <w:r w:rsidR="00BF4887">
          <w:rPr>
            <w:webHidden/>
          </w:rPr>
          <w:instrText xml:space="preserve"> PAGEREF _Toc117447360 \h </w:instrText>
        </w:r>
        <w:r w:rsidR="00BF4887">
          <w:rPr>
            <w:webHidden/>
          </w:rPr>
        </w:r>
        <w:r w:rsidR="00BF4887">
          <w:rPr>
            <w:webHidden/>
          </w:rPr>
          <w:fldChar w:fldCharType="separate"/>
        </w:r>
        <w:r w:rsidR="00BF4887">
          <w:rPr>
            <w:webHidden/>
          </w:rPr>
          <w:t>141</w:t>
        </w:r>
        <w:r w:rsidR="00BF4887">
          <w:rPr>
            <w:webHidden/>
          </w:rPr>
          <w:fldChar w:fldCharType="end"/>
        </w:r>
      </w:hyperlink>
    </w:p>
    <w:p w14:paraId="788373BD" w14:textId="60741A3C" w:rsidR="00BF4887" w:rsidRDefault="002F4F06">
      <w:pPr>
        <w:pStyle w:val="TOC1"/>
        <w:rPr>
          <w:rFonts w:asciiTheme="minorHAnsi" w:hAnsiTheme="minorHAnsi" w:cstheme="minorBidi"/>
          <w:b w:val="0"/>
          <w:bCs w:val="0"/>
          <w:color w:val="auto"/>
        </w:rPr>
      </w:pPr>
      <w:hyperlink w:anchor="_Toc117447361" w:history="1">
        <w:r w:rsidR="00BF4887" w:rsidRPr="00FE53EB">
          <w:rPr>
            <w:rStyle w:val="Hyperlink"/>
          </w:rPr>
          <w:t>Environmental performance</w:t>
        </w:r>
        <w:r w:rsidR="00BF4887">
          <w:rPr>
            <w:webHidden/>
          </w:rPr>
          <w:tab/>
        </w:r>
        <w:r w:rsidR="00BF4887">
          <w:rPr>
            <w:webHidden/>
          </w:rPr>
          <w:fldChar w:fldCharType="begin"/>
        </w:r>
        <w:r w:rsidR="00BF4887">
          <w:rPr>
            <w:webHidden/>
          </w:rPr>
          <w:instrText xml:space="preserve"> PAGEREF _Toc117447361 \h </w:instrText>
        </w:r>
        <w:r w:rsidR="00BF4887">
          <w:rPr>
            <w:webHidden/>
          </w:rPr>
        </w:r>
        <w:r w:rsidR="00BF4887">
          <w:rPr>
            <w:webHidden/>
          </w:rPr>
          <w:fldChar w:fldCharType="separate"/>
        </w:r>
        <w:r w:rsidR="00BF4887">
          <w:rPr>
            <w:webHidden/>
          </w:rPr>
          <w:t>148</w:t>
        </w:r>
        <w:r w:rsidR="00BF4887">
          <w:rPr>
            <w:webHidden/>
          </w:rPr>
          <w:fldChar w:fldCharType="end"/>
        </w:r>
      </w:hyperlink>
    </w:p>
    <w:p w14:paraId="65FC233A" w14:textId="2D3154D6" w:rsidR="00BF4887" w:rsidRDefault="002F4F06">
      <w:pPr>
        <w:pStyle w:val="TOC1"/>
        <w:rPr>
          <w:rFonts w:asciiTheme="minorHAnsi" w:hAnsiTheme="minorHAnsi" w:cstheme="minorBidi"/>
          <w:b w:val="0"/>
          <w:bCs w:val="0"/>
          <w:color w:val="auto"/>
        </w:rPr>
      </w:pPr>
      <w:hyperlink w:anchor="_Toc117447362" w:history="1">
        <w:r w:rsidR="00BF4887" w:rsidRPr="00FE53EB">
          <w:rPr>
            <w:rStyle w:val="Hyperlink"/>
          </w:rPr>
          <w:t>Financial Review</w:t>
        </w:r>
        <w:r w:rsidR="00BF4887">
          <w:rPr>
            <w:webHidden/>
          </w:rPr>
          <w:tab/>
        </w:r>
        <w:r w:rsidR="00BF4887">
          <w:rPr>
            <w:webHidden/>
          </w:rPr>
          <w:fldChar w:fldCharType="begin"/>
        </w:r>
        <w:r w:rsidR="00BF4887">
          <w:rPr>
            <w:webHidden/>
          </w:rPr>
          <w:instrText xml:space="preserve"> PAGEREF _Toc117447362 \h </w:instrText>
        </w:r>
        <w:r w:rsidR="00BF4887">
          <w:rPr>
            <w:webHidden/>
          </w:rPr>
        </w:r>
        <w:r w:rsidR="00BF4887">
          <w:rPr>
            <w:webHidden/>
          </w:rPr>
          <w:fldChar w:fldCharType="separate"/>
        </w:r>
        <w:r w:rsidR="00BF4887">
          <w:rPr>
            <w:webHidden/>
          </w:rPr>
          <w:t>167</w:t>
        </w:r>
        <w:r w:rsidR="00BF4887">
          <w:rPr>
            <w:webHidden/>
          </w:rPr>
          <w:fldChar w:fldCharType="end"/>
        </w:r>
      </w:hyperlink>
    </w:p>
    <w:p w14:paraId="14E054CB" w14:textId="23B0F8E1" w:rsidR="00BF4887" w:rsidRDefault="002F4F06">
      <w:pPr>
        <w:pStyle w:val="TOC1"/>
        <w:rPr>
          <w:rFonts w:asciiTheme="minorHAnsi" w:hAnsiTheme="minorHAnsi" w:cstheme="minorBidi"/>
          <w:b w:val="0"/>
          <w:bCs w:val="0"/>
          <w:color w:val="auto"/>
        </w:rPr>
      </w:pPr>
      <w:hyperlink w:anchor="_Toc117447363" w:history="1">
        <w:r w:rsidR="00BF4887" w:rsidRPr="00FE53EB">
          <w:rPr>
            <w:rStyle w:val="Hyperlink"/>
          </w:rPr>
          <w:t>Legislative and other information</w:t>
        </w:r>
        <w:r w:rsidR="00BF4887">
          <w:rPr>
            <w:webHidden/>
          </w:rPr>
          <w:tab/>
        </w:r>
        <w:r w:rsidR="00BF4887">
          <w:rPr>
            <w:webHidden/>
          </w:rPr>
          <w:fldChar w:fldCharType="begin"/>
        </w:r>
        <w:r w:rsidR="00BF4887">
          <w:rPr>
            <w:webHidden/>
          </w:rPr>
          <w:instrText xml:space="preserve"> PAGEREF _Toc117447363 \h </w:instrText>
        </w:r>
        <w:r w:rsidR="00BF4887">
          <w:rPr>
            <w:webHidden/>
          </w:rPr>
        </w:r>
        <w:r w:rsidR="00BF4887">
          <w:rPr>
            <w:webHidden/>
          </w:rPr>
          <w:fldChar w:fldCharType="separate"/>
        </w:r>
        <w:r w:rsidR="00BF4887">
          <w:rPr>
            <w:webHidden/>
          </w:rPr>
          <w:t>172</w:t>
        </w:r>
        <w:r w:rsidR="00BF4887">
          <w:rPr>
            <w:webHidden/>
          </w:rPr>
          <w:fldChar w:fldCharType="end"/>
        </w:r>
      </w:hyperlink>
    </w:p>
    <w:p w14:paraId="7D21B8B9" w14:textId="70ED438F" w:rsidR="00BF4887" w:rsidRDefault="002F4F06">
      <w:pPr>
        <w:pStyle w:val="TOC1"/>
        <w:rPr>
          <w:rFonts w:asciiTheme="minorHAnsi" w:hAnsiTheme="minorHAnsi" w:cstheme="minorBidi"/>
          <w:b w:val="0"/>
          <w:bCs w:val="0"/>
          <w:color w:val="auto"/>
        </w:rPr>
      </w:pPr>
      <w:hyperlink w:anchor="_Toc117447364" w:history="1">
        <w:r w:rsidR="00BF4887" w:rsidRPr="00FE53EB">
          <w:rPr>
            <w:rStyle w:val="Hyperlink"/>
          </w:rPr>
          <w:t>Financial Statements</w:t>
        </w:r>
        <w:r w:rsidR="00BF4887">
          <w:rPr>
            <w:webHidden/>
          </w:rPr>
          <w:tab/>
        </w:r>
        <w:r w:rsidR="00BF4887">
          <w:rPr>
            <w:webHidden/>
          </w:rPr>
          <w:fldChar w:fldCharType="begin"/>
        </w:r>
        <w:r w:rsidR="00BF4887">
          <w:rPr>
            <w:webHidden/>
          </w:rPr>
          <w:instrText xml:space="preserve"> PAGEREF _Toc117447364 \h </w:instrText>
        </w:r>
        <w:r w:rsidR="00BF4887">
          <w:rPr>
            <w:webHidden/>
          </w:rPr>
        </w:r>
        <w:r w:rsidR="00BF4887">
          <w:rPr>
            <w:webHidden/>
          </w:rPr>
          <w:fldChar w:fldCharType="separate"/>
        </w:r>
        <w:r w:rsidR="00BF4887">
          <w:rPr>
            <w:webHidden/>
          </w:rPr>
          <w:t>222</w:t>
        </w:r>
        <w:r w:rsidR="00BF4887">
          <w:rPr>
            <w:webHidden/>
          </w:rPr>
          <w:fldChar w:fldCharType="end"/>
        </w:r>
      </w:hyperlink>
    </w:p>
    <w:p w14:paraId="11B88E44" w14:textId="63E81434" w:rsidR="00BF4887" w:rsidRDefault="002F4F06">
      <w:pPr>
        <w:pStyle w:val="TOC1"/>
        <w:rPr>
          <w:rFonts w:asciiTheme="minorHAnsi" w:hAnsiTheme="minorHAnsi" w:cstheme="minorBidi"/>
          <w:b w:val="0"/>
          <w:bCs w:val="0"/>
          <w:color w:val="auto"/>
        </w:rPr>
      </w:pPr>
      <w:hyperlink w:anchor="_Toc117447365" w:history="1">
        <w:r w:rsidR="00BF4887" w:rsidRPr="00FE53EB">
          <w:rPr>
            <w:rStyle w:val="Hyperlink"/>
          </w:rPr>
          <w:t>Appendices</w:t>
        </w:r>
        <w:r w:rsidR="00BF4887">
          <w:rPr>
            <w:webHidden/>
          </w:rPr>
          <w:tab/>
        </w:r>
        <w:r w:rsidR="00BF4887">
          <w:rPr>
            <w:webHidden/>
          </w:rPr>
          <w:fldChar w:fldCharType="begin"/>
        </w:r>
        <w:r w:rsidR="00BF4887">
          <w:rPr>
            <w:webHidden/>
          </w:rPr>
          <w:instrText xml:space="preserve"> PAGEREF _Toc117447365 \h </w:instrText>
        </w:r>
        <w:r w:rsidR="00BF4887">
          <w:rPr>
            <w:webHidden/>
          </w:rPr>
        </w:r>
        <w:r w:rsidR="00BF4887">
          <w:rPr>
            <w:webHidden/>
          </w:rPr>
          <w:fldChar w:fldCharType="separate"/>
        </w:r>
        <w:r w:rsidR="00BF4887">
          <w:rPr>
            <w:webHidden/>
          </w:rPr>
          <w:t>355</w:t>
        </w:r>
        <w:r w:rsidR="00BF4887">
          <w:rPr>
            <w:webHidden/>
          </w:rPr>
          <w:fldChar w:fldCharType="end"/>
        </w:r>
      </w:hyperlink>
    </w:p>
    <w:p w14:paraId="70368052" w14:textId="19930682" w:rsidR="00BF4887" w:rsidRDefault="002F4F06">
      <w:pPr>
        <w:pStyle w:val="TOC2"/>
        <w:tabs>
          <w:tab w:val="right" w:leader="dot" w:pos="9628"/>
        </w:tabs>
        <w:rPr>
          <w:rFonts w:asciiTheme="minorHAnsi" w:hAnsiTheme="minorHAnsi" w:cstheme="minorBidi"/>
          <w:noProof/>
          <w:color w:val="auto"/>
        </w:rPr>
      </w:pPr>
      <w:hyperlink w:anchor="_Toc117447366" w:history="1">
        <w:r w:rsidR="00BF4887" w:rsidRPr="00FE53EB">
          <w:rPr>
            <w:rStyle w:val="Hyperlink"/>
            <w:noProof/>
          </w:rPr>
          <w:t>Appendix 1: Disclosure Index</w:t>
        </w:r>
        <w:r w:rsidR="00BF4887">
          <w:rPr>
            <w:noProof/>
            <w:webHidden/>
          </w:rPr>
          <w:tab/>
        </w:r>
        <w:r w:rsidR="00BF4887">
          <w:rPr>
            <w:noProof/>
            <w:webHidden/>
          </w:rPr>
          <w:fldChar w:fldCharType="begin"/>
        </w:r>
        <w:r w:rsidR="00BF4887">
          <w:rPr>
            <w:noProof/>
            <w:webHidden/>
          </w:rPr>
          <w:instrText xml:space="preserve"> PAGEREF _Toc117447366 \h </w:instrText>
        </w:r>
        <w:r w:rsidR="00BF4887">
          <w:rPr>
            <w:noProof/>
            <w:webHidden/>
          </w:rPr>
        </w:r>
        <w:r w:rsidR="00BF4887">
          <w:rPr>
            <w:noProof/>
            <w:webHidden/>
          </w:rPr>
          <w:fldChar w:fldCharType="separate"/>
        </w:r>
        <w:r w:rsidR="00BF4887">
          <w:rPr>
            <w:noProof/>
            <w:webHidden/>
          </w:rPr>
          <w:t>355</w:t>
        </w:r>
        <w:r w:rsidR="00BF4887">
          <w:rPr>
            <w:noProof/>
            <w:webHidden/>
          </w:rPr>
          <w:fldChar w:fldCharType="end"/>
        </w:r>
      </w:hyperlink>
    </w:p>
    <w:p w14:paraId="75E5BDC6" w14:textId="78FAEC95" w:rsidR="00BF4887" w:rsidRDefault="002F4F06">
      <w:pPr>
        <w:pStyle w:val="TOC2"/>
        <w:tabs>
          <w:tab w:val="right" w:leader="dot" w:pos="9628"/>
        </w:tabs>
        <w:rPr>
          <w:rFonts w:asciiTheme="minorHAnsi" w:hAnsiTheme="minorHAnsi" w:cstheme="minorBidi"/>
          <w:noProof/>
          <w:color w:val="auto"/>
        </w:rPr>
      </w:pPr>
      <w:hyperlink w:anchor="_Toc117447367" w:history="1">
        <w:r w:rsidR="00BF4887" w:rsidRPr="00FE53EB">
          <w:rPr>
            <w:rStyle w:val="Hyperlink"/>
            <w:noProof/>
          </w:rPr>
          <w:t>Appendix 2: Comparative workforce data</w:t>
        </w:r>
        <w:r w:rsidR="00BF4887">
          <w:rPr>
            <w:noProof/>
            <w:webHidden/>
          </w:rPr>
          <w:tab/>
        </w:r>
        <w:r w:rsidR="00BF4887">
          <w:rPr>
            <w:noProof/>
            <w:webHidden/>
          </w:rPr>
          <w:fldChar w:fldCharType="begin"/>
        </w:r>
        <w:r w:rsidR="00BF4887">
          <w:rPr>
            <w:noProof/>
            <w:webHidden/>
          </w:rPr>
          <w:instrText xml:space="preserve"> PAGEREF _Toc117447367 \h </w:instrText>
        </w:r>
        <w:r w:rsidR="00BF4887">
          <w:rPr>
            <w:noProof/>
            <w:webHidden/>
          </w:rPr>
        </w:r>
        <w:r w:rsidR="00BF4887">
          <w:rPr>
            <w:noProof/>
            <w:webHidden/>
          </w:rPr>
          <w:fldChar w:fldCharType="separate"/>
        </w:r>
        <w:r w:rsidR="00BF4887">
          <w:rPr>
            <w:noProof/>
            <w:webHidden/>
          </w:rPr>
          <w:t>359</w:t>
        </w:r>
        <w:r w:rsidR="00BF4887">
          <w:rPr>
            <w:noProof/>
            <w:webHidden/>
          </w:rPr>
          <w:fldChar w:fldCharType="end"/>
        </w:r>
      </w:hyperlink>
    </w:p>
    <w:p w14:paraId="09AE5C07" w14:textId="21C86B5C" w:rsidR="00BF4887" w:rsidRDefault="002F4F06">
      <w:pPr>
        <w:pStyle w:val="TOC2"/>
        <w:tabs>
          <w:tab w:val="right" w:leader="dot" w:pos="9628"/>
        </w:tabs>
        <w:rPr>
          <w:rFonts w:asciiTheme="minorHAnsi" w:hAnsiTheme="minorHAnsi" w:cstheme="minorBidi"/>
          <w:noProof/>
          <w:color w:val="auto"/>
        </w:rPr>
      </w:pPr>
      <w:hyperlink w:anchor="_Toc117447368" w:history="1">
        <w:r w:rsidR="00BF4887" w:rsidRPr="00FE53EB">
          <w:rPr>
            <w:rStyle w:val="Hyperlink"/>
            <w:noProof/>
          </w:rPr>
          <w:t>Appendix 3: Occupational Health and Safety Performance Measures</w:t>
        </w:r>
        <w:r w:rsidR="00BF4887">
          <w:rPr>
            <w:noProof/>
            <w:webHidden/>
          </w:rPr>
          <w:tab/>
        </w:r>
        <w:r w:rsidR="00BF4887">
          <w:rPr>
            <w:noProof/>
            <w:webHidden/>
          </w:rPr>
          <w:fldChar w:fldCharType="begin"/>
        </w:r>
        <w:r w:rsidR="00BF4887">
          <w:rPr>
            <w:noProof/>
            <w:webHidden/>
          </w:rPr>
          <w:instrText xml:space="preserve"> PAGEREF _Toc117447368 \h </w:instrText>
        </w:r>
        <w:r w:rsidR="00BF4887">
          <w:rPr>
            <w:noProof/>
            <w:webHidden/>
          </w:rPr>
        </w:r>
        <w:r w:rsidR="00BF4887">
          <w:rPr>
            <w:noProof/>
            <w:webHidden/>
          </w:rPr>
          <w:fldChar w:fldCharType="separate"/>
        </w:r>
        <w:r w:rsidR="00BF4887">
          <w:rPr>
            <w:noProof/>
            <w:webHidden/>
          </w:rPr>
          <w:t>370</w:t>
        </w:r>
        <w:r w:rsidR="00BF4887">
          <w:rPr>
            <w:noProof/>
            <w:webHidden/>
          </w:rPr>
          <w:fldChar w:fldCharType="end"/>
        </w:r>
      </w:hyperlink>
    </w:p>
    <w:p w14:paraId="010D3F34" w14:textId="4EE8005F" w:rsidR="00BF4887" w:rsidRDefault="002F4F06">
      <w:pPr>
        <w:pStyle w:val="TOC2"/>
        <w:tabs>
          <w:tab w:val="right" w:leader="dot" w:pos="9628"/>
        </w:tabs>
        <w:rPr>
          <w:rFonts w:asciiTheme="minorHAnsi" w:hAnsiTheme="minorHAnsi" w:cstheme="minorBidi"/>
          <w:noProof/>
          <w:color w:val="auto"/>
        </w:rPr>
      </w:pPr>
      <w:hyperlink w:anchor="_Toc117447369" w:history="1">
        <w:r w:rsidR="00BF4887" w:rsidRPr="00FE53EB">
          <w:rPr>
            <w:rStyle w:val="Hyperlink"/>
            <w:noProof/>
          </w:rPr>
          <w:t>Appendix 4: Budget portfolio outcomes</w:t>
        </w:r>
        <w:r w:rsidR="00BF4887">
          <w:rPr>
            <w:noProof/>
            <w:webHidden/>
          </w:rPr>
          <w:tab/>
        </w:r>
        <w:r w:rsidR="00BF4887">
          <w:rPr>
            <w:noProof/>
            <w:webHidden/>
          </w:rPr>
          <w:fldChar w:fldCharType="begin"/>
        </w:r>
        <w:r w:rsidR="00BF4887">
          <w:rPr>
            <w:noProof/>
            <w:webHidden/>
          </w:rPr>
          <w:instrText xml:space="preserve"> PAGEREF _Toc117447369 \h </w:instrText>
        </w:r>
        <w:r w:rsidR="00BF4887">
          <w:rPr>
            <w:noProof/>
            <w:webHidden/>
          </w:rPr>
        </w:r>
        <w:r w:rsidR="00BF4887">
          <w:rPr>
            <w:noProof/>
            <w:webHidden/>
          </w:rPr>
          <w:fldChar w:fldCharType="separate"/>
        </w:r>
        <w:r w:rsidR="00BF4887">
          <w:rPr>
            <w:noProof/>
            <w:webHidden/>
          </w:rPr>
          <w:t>375</w:t>
        </w:r>
        <w:r w:rsidR="00BF4887">
          <w:rPr>
            <w:noProof/>
            <w:webHidden/>
          </w:rPr>
          <w:fldChar w:fldCharType="end"/>
        </w:r>
      </w:hyperlink>
    </w:p>
    <w:p w14:paraId="743E6C61" w14:textId="0738A386" w:rsidR="00BF4887" w:rsidRDefault="002F4F06">
      <w:pPr>
        <w:pStyle w:val="TOC2"/>
        <w:tabs>
          <w:tab w:val="right" w:leader="dot" w:pos="9628"/>
        </w:tabs>
        <w:rPr>
          <w:rFonts w:asciiTheme="minorHAnsi" w:hAnsiTheme="minorHAnsi" w:cstheme="minorBidi"/>
          <w:noProof/>
          <w:color w:val="auto"/>
        </w:rPr>
      </w:pPr>
      <w:hyperlink w:anchor="_Toc117447370" w:history="1">
        <w:r w:rsidR="00BF4887" w:rsidRPr="00FE53EB">
          <w:rPr>
            <w:rStyle w:val="Hyperlink"/>
            <w:noProof/>
          </w:rPr>
          <w:t>Appendix 5: Capital projects</w:t>
        </w:r>
        <w:r w:rsidR="00BF4887">
          <w:rPr>
            <w:noProof/>
            <w:webHidden/>
          </w:rPr>
          <w:tab/>
        </w:r>
        <w:r w:rsidR="00BF4887">
          <w:rPr>
            <w:noProof/>
            <w:webHidden/>
          </w:rPr>
          <w:fldChar w:fldCharType="begin"/>
        </w:r>
        <w:r w:rsidR="00BF4887">
          <w:rPr>
            <w:noProof/>
            <w:webHidden/>
          </w:rPr>
          <w:instrText xml:space="preserve"> PAGEREF _Toc117447370 \h </w:instrText>
        </w:r>
        <w:r w:rsidR="00BF4887">
          <w:rPr>
            <w:noProof/>
            <w:webHidden/>
          </w:rPr>
        </w:r>
        <w:r w:rsidR="00BF4887">
          <w:rPr>
            <w:noProof/>
            <w:webHidden/>
          </w:rPr>
          <w:fldChar w:fldCharType="separate"/>
        </w:r>
        <w:r w:rsidR="00BF4887">
          <w:rPr>
            <w:noProof/>
            <w:webHidden/>
          </w:rPr>
          <w:t>382</w:t>
        </w:r>
        <w:r w:rsidR="00BF4887">
          <w:rPr>
            <w:noProof/>
            <w:webHidden/>
          </w:rPr>
          <w:fldChar w:fldCharType="end"/>
        </w:r>
      </w:hyperlink>
    </w:p>
    <w:p w14:paraId="19D0B1D0" w14:textId="36A3AFA4" w:rsidR="00BF4887" w:rsidRDefault="002F4F06">
      <w:pPr>
        <w:pStyle w:val="TOC2"/>
        <w:tabs>
          <w:tab w:val="right" w:leader="dot" w:pos="9628"/>
        </w:tabs>
        <w:rPr>
          <w:rFonts w:asciiTheme="minorHAnsi" w:hAnsiTheme="minorHAnsi" w:cstheme="minorBidi"/>
          <w:noProof/>
          <w:color w:val="auto"/>
        </w:rPr>
      </w:pPr>
      <w:hyperlink w:anchor="_Toc117447371" w:history="1">
        <w:r w:rsidR="00BF4887" w:rsidRPr="00FE53EB">
          <w:rPr>
            <w:rStyle w:val="Hyperlink"/>
            <w:noProof/>
          </w:rPr>
          <w:t>Appendix 6: Disclosure of grants and transfer payments</w:t>
        </w:r>
        <w:r w:rsidR="00BF4887">
          <w:rPr>
            <w:noProof/>
            <w:webHidden/>
          </w:rPr>
          <w:tab/>
        </w:r>
        <w:r w:rsidR="00BF4887">
          <w:rPr>
            <w:noProof/>
            <w:webHidden/>
          </w:rPr>
          <w:fldChar w:fldCharType="begin"/>
        </w:r>
        <w:r w:rsidR="00BF4887">
          <w:rPr>
            <w:noProof/>
            <w:webHidden/>
          </w:rPr>
          <w:instrText xml:space="preserve"> PAGEREF _Toc117447371 \h </w:instrText>
        </w:r>
        <w:r w:rsidR="00BF4887">
          <w:rPr>
            <w:noProof/>
            <w:webHidden/>
          </w:rPr>
        </w:r>
        <w:r w:rsidR="00BF4887">
          <w:rPr>
            <w:noProof/>
            <w:webHidden/>
          </w:rPr>
          <w:fldChar w:fldCharType="separate"/>
        </w:r>
        <w:r w:rsidR="00BF4887">
          <w:rPr>
            <w:noProof/>
            <w:webHidden/>
          </w:rPr>
          <w:t>383</w:t>
        </w:r>
        <w:r w:rsidR="00BF4887">
          <w:rPr>
            <w:noProof/>
            <w:webHidden/>
          </w:rPr>
          <w:fldChar w:fldCharType="end"/>
        </w:r>
      </w:hyperlink>
    </w:p>
    <w:p w14:paraId="76423F38" w14:textId="7A6348DE" w:rsidR="00BF4887" w:rsidRDefault="002F4F06">
      <w:pPr>
        <w:pStyle w:val="TOC2"/>
        <w:tabs>
          <w:tab w:val="right" w:leader="dot" w:pos="9628"/>
        </w:tabs>
        <w:rPr>
          <w:rFonts w:asciiTheme="minorHAnsi" w:hAnsiTheme="minorHAnsi" w:cstheme="minorBidi"/>
          <w:noProof/>
          <w:color w:val="auto"/>
        </w:rPr>
      </w:pPr>
      <w:hyperlink w:anchor="_Toc117447372" w:history="1">
        <w:r w:rsidR="00BF4887" w:rsidRPr="00FE53EB">
          <w:rPr>
            <w:rStyle w:val="Hyperlink"/>
            <w:noProof/>
          </w:rPr>
          <w:t>Appendix 7: Environmental contributions</w:t>
        </w:r>
        <w:r w:rsidR="00BF4887">
          <w:rPr>
            <w:noProof/>
            <w:webHidden/>
          </w:rPr>
          <w:tab/>
        </w:r>
        <w:r w:rsidR="00BF4887">
          <w:rPr>
            <w:noProof/>
            <w:webHidden/>
          </w:rPr>
          <w:fldChar w:fldCharType="begin"/>
        </w:r>
        <w:r w:rsidR="00BF4887">
          <w:rPr>
            <w:noProof/>
            <w:webHidden/>
          </w:rPr>
          <w:instrText xml:space="preserve"> PAGEREF _Toc117447372 \h </w:instrText>
        </w:r>
        <w:r w:rsidR="00BF4887">
          <w:rPr>
            <w:noProof/>
            <w:webHidden/>
          </w:rPr>
        </w:r>
        <w:r w:rsidR="00BF4887">
          <w:rPr>
            <w:noProof/>
            <w:webHidden/>
          </w:rPr>
          <w:fldChar w:fldCharType="separate"/>
        </w:r>
        <w:r w:rsidR="00BF4887">
          <w:rPr>
            <w:noProof/>
            <w:webHidden/>
          </w:rPr>
          <w:t>414</w:t>
        </w:r>
        <w:r w:rsidR="00BF4887">
          <w:rPr>
            <w:noProof/>
            <w:webHidden/>
          </w:rPr>
          <w:fldChar w:fldCharType="end"/>
        </w:r>
      </w:hyperlink>
    </w:p>
    <w:p w14:paraId="66802C32" w14:textId="694ED069" w:rsidR="00BF4887" w:rsidRDefault="002F4F06">
      <w:pPr>
        <w:pStyle w:val="TOC2"/>
        <w:tabs>
          <w:tab w:val="right" w:leader="dot" w:pos="9628"/>
        </w:tabs>
        <w:rPr>
          <w:rFonts w:asciiTheme="minorHAnsi" w:hAnsiTheme="minorHAnsi" w:cstheme="minorBidi"/>
          <w:noProof/>
          <w:color w:val="auto"/>
        </w:rPr>
      </w:pPr>
      <w:hyperlink w:anchor="_Toc117447373" w:history="1">
        <w:r w:rsidR="00BF4887" w:rsidRPr="00FE53EB">
          <w:rPr>
            <w:rStyle w:val="Hyperlink"/>
            <w:noProof/>
          </w:rPr>
          <w:t>Appendix 8: Ministerial Statements of Expectations</w:t>
        </w:r>
        <w:r w:rsidR="00BF4887">
          <w:rPr>
            <w:noProof/>
            <w:webHidden/>
          </w:rPr>
          <w:tab/>
        </w:r>
        <w:r w:rsidR="00BF4887">
          <w:rPr>
            <w:noProof/>
            <w:webHidden/>
          </w:rPr>
          <w:fldChar w:fldCharType="begin"/>
        </w:r>
        <w:r w:rsidR="00BF4887">
          <w:rPr>
            <w:noProof/>
            <w:webHidden/>
          </w:rPr>
          <w:instrText xml:space="preserve"> PAGEREF _Toc117447373 \h </w:instrText>
        </w:r>
        <w:r w:rsidR="00BF4887">
          <w:rPr>
            <w:noProof/>
            <w:webHidden/>
          </w:rPr>
        </w:r>
        <w:r w:rsidR="00BF4887">
          <w:rPr>
            <w:noProof/>
            <w:webHidden/>
          </w:rPr>
          <w:fldChar w:fldCharType="separate"/>
        </w:r>
        <w:r w:rsidR="00BF4887">
          <w:rPr>
            <w:noProof/>
            <w:webHidden/>
          </w:rPr>
          <w:t>415</w:t>
        </w:r>
        <w:r w:rsidR="00BF4887">
          <w:rPr>
            <w:noProof/>
            <w:webHidden/>
          </w:rPr>
          <w:fldChar w:fldCharType="end"/>
        </w:r>
      </w:hyperlink>
    </w:p>
    <w:p w14:paraId="5E2C66E2" w14:textId="592D9E7C" w:rsidR="00BF4887" w:rsidRDefault="002F4F06">
      <w:pPr>
        <w:pStyle w:val="TOC2"/>
        <w:tabs>
          <w:tab w:val="right" w:leader="dot" w:pos="9628"/>
        </w:tabs>
        <w:rPr>
          <w:rFonts w:asciiTheme="minorHAnsi" w:hAnsiTheme="minorHAnsi" w:cstheme="minorBidi"/>
          <w:noProof/>
          <w:color w:val="auto"/>
        </w:rPr>
      </w:pPr>
      <w:hyperlink w:anchor="_Toc117447374" w:history="1">
        <w:r w:rsidR="00BF4887" w:rsidRPr="00FE53EB">
          <w:rPr>
            <w:rStyle w:val="Hyperlink"/>
            <w:noProof/>
          </w:rPr>
          <w:t>Appendix 9: Municipal and Industrial Waste Levy (MIWL) Trust Account</w:t>
        </w:r>
        <w:r w:rsidR="00BF4887">
          <w:rPr>
            <w:noProof/>
            <w:webHidden/>
          </w:rPr>
          <w:tab/>
        </w:r>
        <w:r w:rsidR="00BF4887">
          <w:rPr>
            <w:noProof/>
            <w:webHidden/>
          </w:rPr>
          <w:fldChar w:fldCharType="begin"/>
        </w:r>
        <w:r w:rsidR="00BF4887">
          <w:rPr>
            <w:noProof/>
            <w:webHidden/>
          </w:rPr>
          <w:instrText xml:space="preserve"> PAGEREF _Toc117447374 \h </w:instrText>
        </w:r>
        <w:r w:rsidR="00BF4887">
          <w:rPr>
            <w:noProof/>
            <w:webHidden/>
          </w:rPr>
        </w:r>
        <w:r w:rsidR="00BF4887">
          <w:rPr>
            <w:noProof/>
            <w:webHidden/>
          </w:rPr>
          <w:fldChar w:fldCharType="separate"/>
        </w:r>
        <w:r w:rsidR="00BF4887">
          <w:rPr>
            <w:noProof/>
            <w:webHidden/>
          </w:rPr>
          <w:t>422</w:t>
        </w:r>
        <w:r w:rsidR="00BF4887">
          <w:rPr>
            <w:noProof/>
            <w:webHidden/>
          </w:rPr>
          <w:fldChar w:fldCharType="end"/>
        </w:r>
      </w:hyperlink>
    </w:p>
    <w:p w14:paraId="6873DB71" w14:textId="33F6D6B9" w:rsidR="00BF4887" w:rsidRDefault="002F4F06">
      <w:pPr>
        <w:pStyle w:val="TOC2"/>
        <w:tabs>
          <w:tab w:val="right" w:leader="dot" w:pos="9628"/>
        </w:tabs>
        <w:rPr>
          <w:rFonts w:asciiTheme="minorHAnsi" w:hAnsiTheme="minorHAnsi" w:cstheme="minorBidi"/>
          <w:noProof/>
          <w:color w:val="auto"/>
        </w:rPr>
      </w:pPr>
      <w:hyperlink w:anchor="_Toc117447375" w:history="1">
        <w:r w:rsidR="00BF4887" w:rsidRPr="00FE53EB">
          <w:rPr>
            <w:rStyle w:val="Hyperlink"/>
            <w:noProof/>
          </w:rPr>
          <w:t>Appendix 10: Sustainability Fund Account and Sustainability Fund Grants</w:t>
        </w:r>
        <w:r w:rsidR="00BF4887">
          <w:rPr>
            <w:noProof/>
            <w:webHidden/>
          </w:rPr>
          <w:tab/>
        </w:r>
        <w:r w:rsidR="00BF4887">
          <w:rPr>
            <w:noProof/>
            <w:webHidden/>
          </w:rPr>
          <w:fldChar w:fldCharType="begin"/>
        </w:r>
        <w:r w:rsidR="00BF4887">
          <w:rPr>
            <w:noProof/>
            <w:webHidden/>
          </w:rPr>
          <w:instrText xml:space="preserve"> PAGEREF _Toc117447375 \h </w:instrText>
        </w:r>
        <w:r w:rsidR="00BF4887">
          <w:rPr>
            <w:noProof/>
            <w:webHidden/>
          </w:rPr>
        </w:r>
        <w:r w:rsidR="00BF4887">
          <w:rPr>
            <w:noProof/>
            <w:webHidden/>
          </w:rPr>
          <w:fldChar w:fldCharType="separate"/>
        </w:r>
        <w:r w:rsidR="00BF4887">
          <w:rPr>
            <w:noProof/>
            <w:webHidden/>
          </w:rPr>
          <w:t>423</w:t>
        </w:r>
        <w:r w:rsidR="00BF4887">
          <w:rPr>
            <w:noProof/>
            <w:webHidden/>
          </w:rPr>
          <w:fldChar w:fldCharType="end"/>
        </w:r>
      </w:hyperlink>
    </w:p>
    <w:p w14:paraId="3FB67B1B" w14:textId="4FE5394D" w:rsidR="00BF4887" w:rsidRDefault="002F4F06">
      <w:pPr>
        <w:pStyle w:val="TOC2"/>
        <w:tabs>
          <w:tab w:val="right" w:leader="dot" w:pos="9628"/>
        </w:tabs>
        <w:rPr>
          <w:rFonts w:asciiTheme="minorHAnsi" w:hAnsiTheme="minorHAnsi" w:cstheme="minorBidi"/>
          <w:noProof/>
          <w:color w:val="auto"/>
        </w:rPr>
      </w:pPr>
      <w:hyperlink w:anchor="_Toc117447376" w:history="1">
        <w:r w:rsidR="00BF4887" w:rsidRPr="00FE53EB">
          <w:rPr>
            <w:rStyle w:val="Hyperlink"/>
            <w:noProof/>
          </w:rPr>
          <w:t>Appendix 11: Feed-in tariff data</w:t>
        </w:r>
        <w:r w:rsidR="00BF4887">
          <w:rPr>
            <w:noProof/>
            <w:webHidden/>
          </w:rPr>
          <w:tab/>
        </w:r>
        <w:r w:rsidR="00BF4887">
          <w:rPr>
            <w:noProof/>
            <w:webHidden/>
          </w:rPr>
          <w:fldChar w:fldCharType="begin"/>
        </w:r>
        <w:r w:rsidR="00BF4887">
          <w:rPr>
            <w:noProof/>
            <w:webHidden/>
          </w:rPr>
          <w:instrText xml:space="preserve"> PAGEREF _Toc117447376 \h </w:instrText>
        </w:r>
        <w:r w:rsidR="00BF4887">
          <w:rPr>
            <w:noProof/>
            <w:webHidden/>
          </w:rPr>
        </w:r>
        <w:r w:rsidR="00BF4887">
          <w:rPr>
            <w:noProof/>
            <w:webHidden/>
          </w:rPr>
          <w:fldChar w:fldCharType="separate"/>
        </w:r>
        <w:r w:rsidR="00BF4887">
          <w:rPr>
            <w:noProof/>
            <w:webHidden/>
          </w:rPr>
          <w:t>426</w:t>
        </w:r>
        <w:r w:rsidR="00BF4887">
          <w:rPr>
            <w:noProof/>
            <w:webHidden/>
          </w:rPr>
          <w:fldChar w:fldCharType="end"/>
        </w:r>
      </w:hyperlink>
    </w:p>
    <w:p w14:paraId="569D9AB7" w14:textId="779A96BF" w:rsidR="00BF4887" w:rsidRDefault="002F4F06">
      <w:pPr>
        <w:pStyle w:val="TOC2"/>
        <w:tabs>
          <w:tab w:val="right" w:leader="dot" w:pos="9628"/>
        </w:tabs>
        <w:rPr>
          <w:rFonts w:asciiTheme="minorHAnsi" w:hAnsiTheme="minorHAnsi" w:cstheme="minorBidi"/>
          <w:noProof/>
          <w:color w:val="auto"/>
        </w:rPr>
      </w:pPr>
      <w:hyperlink w:anchor="_Toc117447377" w:history="1">
        <w:r w:rsidR="00BF4887" w:rsidRPr="00FE53EB">
          <w:rPr>
            <w:rStyle w:val="Hyperlink"/>
            <w:noProof/>
          </w:rPr>
          <w:t>Appendix 12: Acronyms and Abbreviations</w:t>
        </w:r>
        <w:r w:rsidR="00BF4887">
          <w:rPr>
            <w:noProof/>
            <w:webHidden/>
          </w:rPr>
          <w:tab/>
        </w:r>
        <w:r w:rsidR="00BF4887">
          <w:rPr>
            <w:noProof/>
            <w:webHidden/>
          </w:rPr>
          <w:fldChar w:fldCharType="begin"/>
        </w:r>
        <w:r w:rsidR="00BF4887">
          <w:rPr>
            <w:noProof/>
            <w:webHidden/>
          </w:rPr>
          <w:instrText xml:space="preserve"> PAGEREF _Toc117447377 \h </w:instrText>
        </w:r>
        <w:r w:rsidR="00BF4887">
          <w:rPr>
            <w:noProof/>
            <w:webHidden/>
          </w:rPr>
        </w:r>
        <w:r w:rsidR="00BF4887">
          <w:rPr>
            <w:noProof/>
            <w:webHidden/>
          </w:rPr>
          <w:fldChar w:fldCharType="separate"/>
        </w:r>
        <w:r w:rsidR="00BF4887">
          <w:rPr>
            <w:noProof/>
            <w:webHidden/>
          </w:rPr>
          <w:t>428</w:t>
        </w:r>
        <w:r w:rsidR="00BF4887">
          <w:rPr>
            <w:noProof/>
            <w:webHidden/>
          </w:rPr>
          <w:fldChar w:fldCharType="end"/>
        </w:r>
      </w:hyperlink>
    </w:p>
    <w:p w14:paraId="1F72B5A2" w14:textId="77454B80" w:rsidR="00284427" w:rsidRDefault="00884871" w:rsidP="00284427">
      <w:r>
        <w:rPr>
          <w:b/>
          <w:bCs/>
          <w:noProof/>
        </w:rPr>
        <w:fldChar w:fldCharType="end"/>
      </w:r>
    </w:p>
    <w:p w14:paraId="731B6833" w14:textId="05F46AE1" w:rsidR="00013237" w:rsidRPr="00012C04" w:rsidRDefault="00512270" w:rsidP="00012C04">
      <w:pPr>
        <w:pStyle w:val="Heading1"/>
      </w:pPr>
      <w:r>
        <w:br w:type="page"/>
      </w:r>
      <w:bookmarkStart w:id="0" w:name="_Toc117447348"/>
      <w:r w:rsidR="00C57D4C" w:rsidRPr="00012C04">
        <w:lastRenderedPageBreak/>
        <w:t>Secretary’s message</w:t>
      </w:r>
      <w:bookmarkEnd w:id="0"/>
    </w:p>
    <w:p w14:paraId="7D796635" w14:textId="220F8E40" w:rsidR="00013237" w:rsidRDefault="00C57D4C" w:rsidP="00FE198A">
      <w:r>
        <w:t>I am pleased to release the Department of Environment, Land, Water and Planning’s (DELWP) Annual Report 2021-22.</w:t>
      </w:r>
      <w:r w:rsidR="00012C04">
        <w:t xml:space="preserve"> </w:t>
      </w:r>
    </w:p>
    <w:p w14:paraId="3552FEDC" w14:textId="6E0D8872" w:rsidR="00013237" w:rsidRDefault="00C57D4C" w:rsidP="00FE198A">
      <w:r>
        <w:t>While this has been a significant year of delivery, it has been because of the dedicated work of the department’s 5,439 staff who responded to significant emergencies, worked in innovative hybrid working models and overcame the challenges caused by the COVID-19 pandemic for operational activities and staff availability.</w:t>
      </w:r>
      <w:r w:rsidR="00012C04">
        <w:t xml:space="preserve"> </w:t>
      </w:r>
    </w:p>
    <w:p w14:paraId="4C07FE49" w14:textId="77777777" w:rsidR="00013237" w:rsidRDefault="00C57D4C" w:rsidP="00FE198A">
      <w:r>
        <w:t>DELWP teams have worked in close collaboration with First Nations peoples, local government and community representatives, industry and our portfolio entities to make significant progress in our seven outcome priorities across the energy, solar homes, environment and climate action, water and planning portfolios.</w:t>
      </w:r>
    </w:p>
    <w:p w14:paraId="69B3117B" w14:textId="77777777" w:rsidR="00013237" w:rsidRPr="00FE198A" w:rsidRDefault="00C57D4C" w:rsidP="000C45FC">
      <w:pPr>
        <w:pStyle w:val="Boldheader"/>
      </w:pPr>
      <w:r w:rsidRPr="00FE198A">
        <w:t>Enabling a secure, clean and affordable energy transition</w:t>
      </w:r>
    </w:p>
    <w:p w14:paraId="15B28928" w14:textId="48663D19" w:rsidR="00013237" w:rsidRDefault="00C57D4C" w:rsidP="00FE198A">
      <w:r>
        <w:t>In the energy portfolio, we met key priorities including the development of Victoria’s Renewable Energy Zones (REZ), commencing procurement of seven projects under the REZ Development Plan and establishing VicGrid.</w:t>
      </w:r>
      <w:r w:rsidR="00012C04">
        <w:t xml:space="preserve"> </w:t>
      </w:r>
      <w:r>
        <w:t>DELWP undertook the VRETII auction for at least 600 MW of renewable energy with successful proponents to be announced in 2022, creating approximately 2,000 jobs and unlocking approximately $1.0 billion in renewable energy investment. The Bulgana Green Power Hub, a major new wind farm and battery project, commenced operations generating more than 750,000 MWh of clean energy annually, enough to power around 150,000 homes. Victoria’s share of renewable electricity generation is at 34 per cent for 2021, a surge from 26.6 per cent in 2020, when the state exceeded its legislated renewable energy target of 25 per cent.</w:t>
      </w:r>
    </w:p>
    <w:p w14:paraId="7D448577" w14:textId="77777777" w:rsidR="00013237" w:rsidRPr="008B3A12" w:rsidRDefault="00C57D4C" w:rsidP="00FE198A">
      <w:pPr>
        <w:rPr>
          <w:spacing w:val="-4"/>
        </w:rPr>
      </w:pPr>
      <w:r w:rsidRPr="008B3A12">
        <w:rPr>
          <w:spacing w:val="-4"/>
        </w:rPr>
        <w:t>This year, the department led the development of Australia’s Offshore Wind sector with the Victorian Offshore Wind Policy Directions Paper released in March 2022, which set clear targets to commission 2 GW by 2032, 4 GW by 2035 and 9 GW by 2040. We supported the emerging hydrogen economy with grants under the Renewable Hydrogen Business Ready Fund and the Renewable Hydrogen Commercialisation Pathways Fund, which supports pilot programs, trials and demonstrations.</w:t>
      </w:r>
    </w:p>
    <w:p w14:paraId="48C12070" w14:textId="3AA0C8BB" w:rsidR="00013237" w:rsidRDefault="00C57D4C" w:rsidP="00FE198A">
      <w:r>
        <w:t>In April 2022, Solar Victoria increased the accessibility and reach of solar rebate schemes, including the introduction of zero-interest loans for rebates under the Solar for Business program. We ensured the ongoing safety and development of workers in the Victorian solar industry through delivery of training programs to more than 4,600 workers, exceeding the program target of 3,000 participants.</w:t>
      </w:r>
      <w:r w:rsidR="00012C04">
        <w:t xml:space="preserve"> </w:t>
      </w:r>
      <w:r>
        <w:t>Despite the impacts of COVID-19 and supply chain challenges, more than 41,000 Solar PV homes rebates were approved and 6,500 home battery rebates were approved.</w:t>
      </w:r>
    </w:p>
    <w:p w14:paraId="34064C6B" w14:textId="77777777" w:rsidR="00013237" w:rsidRPr="000C45FC" w:rsidRDefault="00C57D4C" w:rsidP="000C45FC">
      <w:pPr>
        <w:pStyle w:val="Boldheader"/>
        <w:rPr>
          <w:lang w:val="en-AU"/>
        </w:rPr>
      </w:pPr>
      <w:r>
        <w:t>Enabling climate action and a circular economy</w:t>
      </w:r>
    </w:p>
    <w:p w14:paraId="70AE75A4" w14:textId="7B36C8CD" w:rsidR="00013237" w:rsidRDefault="00C57D4C" w:rsidP="00FE198A">
      <w:r>
        <w:t>We improved environment, biodiversity and resource recovery outcomes across the state in 2021-22.</w:t>
      </w:r>
      <w:r w:rsidR="00012C04">
        <w:t xml:space="preserve"> </w:t>
      </w:r>
      <w:r>
        <w:t>DELWP delivered important priorities in environment and climate action, such as launching and implementing the Zero Emissions Vehicle Subsidy program, involving 83 participating traders and ten different car brands., This program has now seen more than 5,300 subsidies allocated. Our work with local government resulted in 21 voluntary local council emission reduction pledges being made under the</w:t>
      </w:r>
      <w:r w:rsidRPr="00FE198A">
        <w:rPr>
          <w:rFonts w:cs="Arial"/>
          <w:i/>
          <w:iCs/>
        </w:rPr>
        <w:t xml:space="preserve"> Climate Change Act 2017.</w:t>
      </w:r>
      <w:r w:rsidRPr="00DE1FCE">
        <w:rPr>
          <w:rFonts w:cs="VIC Light Italic"/>
          <w:i/>
          <w:iCs/>
        </w:rPr>
        <w:t xml:space="preserve"> </w:t>
      </w:r>
      <w:r>
        <w:t>Adaptation Action Plans were released in February 2022 to ensure Victoria’s climate resilience, now and in the future.</w:t>
      </w:r>
      <w:r>
        <w:rPr>
          <w:rFonts w:ascii="Calibri" w:hAnsi="Calibri"/>
        </w:rPr>
        <w:t> </w:t>
      </w:r>
    </w:p>
    <w:p w14:paraId="6FE40D6F" w14:textId="77777777" w:rsidR="00013237" w:rsidRDefault="00C57D4C" w:rsidP="00FE198A">
      <w:r>
        <w:t xml:space="preserve">DELWP supported legislation establishing the new circular economy authority and waste industry regulator, Recycling Victoria, which commenced on 1 July 2022, including transfer of Waste and Resource Recovery Group staff and executives. All 79 councils have executed funding agreements for Kerbside Reform Support Funding and DELWP commenced procurement for the Container Deposit Scheme coordinator and network operators allowing its commencement in 2023. We progressed a statewide ban of certain single-use plastics, a container deposit scheme and a new four-stream waste and recycling system. </w:t>
      </w:r>
    </w:p>
    <w:p w14:paraId="1AE45B14" w14:textId="5D7F8FFA" w:rsidR="00013237" w:rsidRDefault="00C57D4C" w:rsidP="00FE198A">
      <w:r>
        <w:lastRenderedPageBreak/>
        <w:t>We delivered a range of biodiversity programs with the community during 2021-22 by facilitating almost 1,000 grants and contracts totaling $17.4 million. Work continued on improving the long-term sustainability of Victoria’s iconic species such as the Helmeted Honeyeater and supporting the rehabilitation of injured wildlife.</w:t>
      </w:r>
      <w:r w:rsidR="00012C04">
        <w:t xml:space="preserve"> </w:t>
      </w:r>
      <w:r>
        <w:t xml:space="preserve">We partnered with stakeholders including Traditional Owners, to protect and heal Victoria’s biodiversity by controlling pests and weeds and providing greater support for threatened species. </w:t>
      </w:r>
    </w:p>
    <w:p w14:paraId="4586DC91" w14:textId="77777777" w:rsidR="00013237" w:rsidRPr="000C45FC" w:rsidRDefault="00C57D4C" w:rsidP="000C45FC">
      <w:pPr>
        <w:pStyle w:val="Boldheader"/>
        <w:rPr>
          <w:lang w:val="en-AU"/>
        </w:rPr>
      </w:pPr>
      <w:r>
        <w:t>Meeting the challenges of a drying climate</w:t>
      </w:r>
    </w:p>
    <w:p w14:paraId="61C87965" w14:textId="77777777" w:rsidR="00013237" w:rsidRDefault="00C57D4C" w:rsidP="00FE198A">
      <w:r>
        <w:t>We</w:t>
      </w:r>
      <w:r>
        <w:rPr>
          <w:rFonts w:ascii="Calibri" w:hAnsi="Calibri"/>
        </w:rPr>
        <w:t> </w:t>
      </w:r>
      <w:r>
        <w:t>delivered an extensive program of works to ensure Victoria has safe and sustainable water resources to meet future urban, rural and environmental needs. The largest irrigation modernisation project in Australia</w:t>
      </w:r>
      <w:r w:rsidRPr="00DE1FCE">
        <w:rPr>
          <w:rFonts w:cs="VIC Light"/>
        </w:rPr>
        <w:t>’</w:t>
      </w:r>
      <w:r>
        <w:t>s history, the Connections Project, exceeded its water recovery target of 429 GL with water savings to be distributed to the environment, irrigators and Melbourne water retailers. Over 2021-22, more than 900 GL of water has been delivered for the environment at 89 river reaches and 81 wetlands.</w:t>
      </w:r>
    </w:p>
    <w:p w14:paraId="62E605E9" w14:textId="77777777" w:rsidR="00013237" w:rsidRPr="000C45FC" w:rsidRDefault="00C57D4C" w:rsidP="000C45FC">
      <w:pPr>
        <w:pStyle w:val="Boldheader"/>
        <w:rPr>
          <w:lang w:val="en-AU"/>
        </w:rPr>
      </w:pPr>
      <w:r>
        <w:t>Enabling Victoria’s digital revolution in spatial services</w:t>
      </w:r>
    </w:p>
    <w:p w14:paraId="2D7D9CE7" w14:textId="3DDBDB7A" w:rsidR="00013237" w:rsidRDefault="00C57D4C" w:rsidP="00FE198A">
      <w:r>
        <w:t>Our Digital Twin Victoria (DTV) team integrated over 4,000 datasets, which are now live in the DTV visualisation platform, and conducted beta testing with customers across industry, education and the public sector to inform the platform development. The Whole of Victorian Government Geospatial procurement panel is delivering savings and halving procurement timelines, while allowing for better data access.</w:t>
      </w:r>
      <w:r w:rsidR="00012C04">
        <w:rPr>
          <w:rFonts w:ascii="Calibri" w:hAnsi="Calibri"/>
        </w:rPr>
        <w:t xml:space="preserve"> </w:t>
      </w:r>
      <w:r>
        <w:t xml:space="preserve">We launched the industry-leading </w:t>
      </w:r>
      <w:r w:rsidRPr="000C45FC">
        <w:rPr>
          <w:rStyle w:val="LightItalic"/>
          <w:rFonts w:ascii="Arial" w:hAnsi="Arial" w:cs="Arial"/>
        </w:rPr>
        <w:t>ePlan Portal</w:t>
      </w:r>
      <w:r>
        <w:t xml:space="preserve"> enabling surveying firms to undertake digital lodgement of plans of subdivisions.</w:t>
      </w:r>
    </w:p>
    <w:p w14:paraId="46F91AEA" w14:textId="77777777" w:rsidR="00013237" w:rsidRPr="00546E03" w:rsidRDefault="00C57D4C" w:rsidP="00546E03">
      <w:pPr>
        <w:pStyle w:val="Heading3"/>
      </w:pPr>
      <w:r w:rsidRPr="00546E03">
        <w:t xml:space="preserve">Responding to unforeseen demands </w:t>
      </w:r>
    </w:p>
    <w:p w14:paraId="5D8A6A68" w14:textId="77777777" w:rsidR="00013237" w:rsidRDefault="00C57D4C" w:rsidP="00FE198A">
      <w:r>
        <w:t>In addition to delivering on transformational program objectives planned for 2021-22, DELWP staff were also responsive to the emergencies and unforeseen priorities not on the plan for 2021-22.</w:t>
      </w:r>
    </w:p>
    <w:p w14:paraId="22210B19" w14:textId="042E810C" w:rsidR="00013237" w:rsidRPr="008B3A12" w:rsidRDefault="00C57D4C" w:rsidP="00FE198A">
      <w:pPr>
        <w:rPr>
          <w:spacing w:val="-2"/>
        </w:rPr>
      </w:pPr>
      <w:r w:rsidRPr="008B3A12">
        <w:rPr>
          <w:spacing w:val="-2"/>
        </w:rPr>
        <w:t>As just one example</w:t>
      </w:r>
      <w:r w:rsidR="000C45FC" w:rsidRPr="008B3A12">
        <w:rPr>
          <w:spacing w:val="-2"/>
        </w:rPr>
        <w:t xml:space="preserve"> – </w:t>
      </w:r>
      <w:r w:rsidRPr="008B3A12">
        <w:rPr>
          <w:spacing w:val="-2"/>
        </w:rPr>
        <w:t>the June and October 2021 storm and flood events saw DELWP staff responding during the emergency and in recovery.</w:t>
      </w:r>
      <w:r w:rsidR="00012C04" w:rsidRPr="008B3A12">
        <w:rPr>
          <w:spacing w:val="-2"/>
        </w:rPr>
        <w:t xml:space="preserve"> </w:t>
      </w:r>
      <w:r w:rsidRPr="008B3A12">
        <w:rPr>
          <w:spacing w:val="-2"/>
        </w:rPr>
        <w:t>We worked with essential services as they restored power to 300,000 home and 520,000 businesses, rolling out two new relief packages including the prolonged power outage payments and small generator loan program. Our FFMVic crews cleared more than 6,600 kilometres of public land roads of hazardous trees, reopened 2,854 kilometres of the strategic fire access network and repaired and reinstated 88 bridges and crossings repaired and reinstated. 210 recreation sites and 167 walking tracks were made safe and reopened.</w:t>
      </w:r>
      <w:r w:rsidR="00012C04" w:rsidRPr="008B3A12">
        <w:rPr>
          <w:spacing w:val="-2"/>
        </w:rPr>
        <w:t xml:space="preserve"> </w:t>
      </w:r>
      <w:r w:rsidRPr="008B3A12">
        <w:rPr>
          <w:spacing w:val="-2"/>
        </w:rPr>
        <w:t>Our Biodiversity staff supported wildlife with 430 hectares of pest animal control, 60 nest boxes and a trial of carved hollows for over 30 species reliant on hollows for breeding and nesting, plus a program to support recovery of threatened species. Our Water and Catchments teams ensured repairs to 23 damaged water monitoring gauges and supported Catchment Management Authorities in Gippsland to stabilise waterways and stream banks at over 177 sites and the Thomson River Fishway.</w:t>
      </w:r>
      <w:r w:rsidR="000C45FC" w:rsidRPr="008B3A12">
        <w:rPr>
          <w:spacing w:val="-2"/>
        </w:rPr>
        <w:t xml:space="preserve"> </w:t>
      </w:r>
      <w:r w:rsidRPr="008B3A12">
        <w:rPr>
          <w:spacing w:val="-2"/>
        </w:rPr>
        <w:t xml:space="preserve">Based on our learnings from recent emergencies, a permanent One-DELWP recovery model has been developed to ensure the effective and coordinated delivery of recovery activities. We made communities and the environment safer and more resilient to bushfire impacts through delivery of a targeted fuel management program and continued expansion of the strategic fuel breaks network across Victoria. The Office of Bushfire Risk Management commenced operation in July 2021 within DELWP to establish an end-to-end framework for policy, planning, delivery and reporting on fuel management activity across all land tenures in Victoria. </w:t>
      </w:r>
    </w:p>
    <w:p w14:paraId="68B38676" w14:textId="72421877" w:rsidR="00013237" w:rsidRDefault="00C57D4C" w:rsidP="00FE198A">
      <w:r>
        <w:t>With Victoria facing the economic shock of a global pandemic, DELWP brought forward investment and jobs to support Victoria’s economic recovery while planning for the future growth and transformation of Victoria’s cities and regions. We streamlined planning and assessment processes for major road and rail projects and provided consistent planning requirements for all</w:t>
      </w:r>
      <w:r>
        <w:rPr>
          <w:rFonts w:ascii="Calibri" w:hAnsi="Calibri"/>
        </w:rPr>
        <w:t> </w:t>
      </w:r>
      <w:r>
        <w:t>land required for transport services and facilities. Our Planning teams facilitated priority assessment pathways for 42 major projects worth a total of $7.3 billion and facilitated approval of 19 projects with a combined value of $3.3 billion.</w:t>
      </w:r>
      <w:r w:rsidR="00012C04">
        <w:t xml:space="preserve"> </w:t>
      </w:r>
    </w:p>
    <w:p w14:paraId="4A3A488A" w14:textId="77777777" w:rsidR="00013237" w:rsidRDefault="00C57D4C" w:rsidP="000C45FC">
      <w:pPr>
        <w:pStyle w:val="Boldheader"/>
      </w:pPr>
      <w:r>
        <w:lastRenderedPageBreak/>
        <w:t>Sustainability of our operations and our people</w:t>
      </w:r>
    </w:p>
    <w:p w14:paraId="38FDB0A6" w14:textId="77777777" w:rsidR="00013237" w:rsidRDefault="00C57D4C" w:rsidP="00FE198A">
      <w:r>
        <w:t>While our focus has been on delivering for community in 2021-22, we have also renewed our commitment to our own sustainability. We purchased 100 per cent renewable electricity for DELWP operations since April 2021, in advance of the whole of Victorian Government pledge commitment for 100 per cent renewable electricity for government operations by 2025. We have reduced total reported greenhouse gas emissions for DELWP operations by 76 per cent since 2014-15, primarily through the purchase of green power, Australian Carbon Credit Units and the ongoing installation of solar PV panels at DELWP sites.</w:t>
      </w:r>
    </w:p>
    <w:p w14:paraId="776E93F6" w14:textId="77777777" w:rsidR="00013237" w:rsidRDefault="00C57D4C" w:rsidP="00FE198A">
      <w:r>
        <w:t xml:space="preserve">In 2021-22, we continued to prioritise staff safety and wellbeing. We strengthened the department’s governance of safety and wellbeing through the Safety and Wellbeing Assurance Committee and delivered online initiatives to encourage our employees to continue focusing on their mental and physical health. </w:t>
      </w:r>
    </w:p>
    <w:p w14:paraId="682F4564" w14:textId="722A8612" w:rsidR="00013237" w:rsidRDefault="00C57D4C" w:rsidP="00FE198A">
      <w:r>
        <w:t>It was an active year for diversity and inclusion at DELWP. The department developed and released a new DELWP-wide Safe and Respectful Workplace Behaviours Policy and Safe and Respectful Response Procedure, with 500 people leaders attending First Responder webinar sessions.</w:t>
      </w:r>
      <w:r w:rsidR="00012C04">
        <w:t xml:space="preserve"> </w:t>
      </w:r>
      <w:r>
        <w:t xml:space="preserve">We are lucky to have vibrant staff-led networks – including our Aboriginal staff network, the Place of Pride network, our </w:t>
      </w:r>
      <w:r>
        <w:rPr>
          <w:spacing w:val="-4"/>
        </w:rPr>
        <w:t>Multi-cultural@DELWP</w:t>
      </w:r>
      <w:r>
        <w:t xml:space="preserve"> network, our All Abilities network, and the recently launched Women of Colour network.</w:t>
      </w:r>
      <w:r w:rsidR="00012C04">
        <w:t xml:space="preserve"> </w:t>
      </w:r>
      <w:r>
        <w:t>These volunteers play such a significant role giving voice to the lived experiences of our people, strengthening intersectionality, diversity, and inclusion. Our People Matters Survey results indicate our staff feel DELWP has a strong and increasing commitment to being an inclusive workplace.</w:t>
      </w:r>
    </w:p>
    <w:p w14:paraId="7886056F" w14:textId="646645EA" w:rsidR="00013237" w:rsidRDefault="00C57D4C" w:rsidP="0070439A">
      <w:pPr>
        <w:pStyle w:val="Boldheader"/>
      </w:pPr>
      <w:r>
        <w:t>Our accountability for enabling self-determination</w:t>
      </w:r>
    </w:p>
    <w:p w14:paraId="488B7A0C" w14:textId="77777777" w:rsidR="00013237" w:rsidRDefault="00C57D4C" w:rsidP="00FE198A">
      <w:r>
        <w:t>Effective partnerships with Traditional Owners and our support for Aboriginal self-determination is fundamental to every aspect of our work – and we are accountable to the Caring for Country Partnership Forum, representing formally recognised Aboriginal parties and Traditional Owner Corporations, which met 17 times this year with DELWP’s leadership.</w:t>
      </w:r>
    </w:p>
    <w:p w14:paraId="29D5E89D" w14:textId="42951912" w:rsidR="00013237" w:rsidRDefault="00C57D4C" w:rsidP="00FE198A">
      <w:r>
        <w:t>We released a range of initiatives that were informed by Traditional Owners, and where self-determination was a guiding principle, including the Access and Infrastructure Plan for the new Yallock-Bulluk Marine and Coastal Park in November 2021, the Burndap Birrarung burndap umarkoo (Yarra Strategic Plan) in February 2022 and a draft of the Water is Life: Traditional Owner Access to Water Roadmap in May 2022.</w:t>
      </w:r>
    </w:p>
    <w:p w14:paraId="0E49A91A" w14:textId="77777777" w:rsidR="00013237" w:rsidRDefault="00C57D4C" w:rsidP="00FE198A">
      <w:r>
        <w:t xml:space="preserve">We are delivering the </w:t>
      </w:r>
      <w:hyperlink r:id="rId9" w:history="1">
        <w:r>
          <w:t>Traditional Owner Renewable Energy Program (TOREP)</w:t>
        </w:r>
      </w:hyperlink>
      <w:r>
        <w:t xml:space="preserve"> to empower Traditional Owners to be part of the renewable energy transition. In March 2022, the first of nine TOREP projects were completed by the Wadawurrung Traditional Owners Aboriginal Corporation. </w:t>
      </w:r>
    </w:p>
    <w:p w14:paraId="3AE90AA9" w14:textId="77777777" w:rsidR="00013237" w:rsidRDefault="00C57D4C" w:rsidP="00FE198A">
      <w:r>
        <w:t xml:space="preserve">In May 2022, DELWP announced the timetable for the transfer of 30,000 hectares of private land back to Ngintait Traditional Owners, the largest tract of private land to be returned to Indigenous management in the state’s history. </w:t>
      </w:r>
    </w:p>
    <w:p w14:paraId="194AC26C" w14:textId="78C8C90E" w:rsidR="00013237" w:rsidRDefault="00C57D4C" w:rsidP="00FE198A">
      <w:r>
        <w:t>I would like to thank the dedicated DELWP staff and portfolio partners that made our work possible in 2021-22.</w:t>
      </w:r>
      <w:r w:rsidR="00012C04">
        <w:t xml:space="preserve"> </w:t>
      </w:r>
      <w:r>
        <w:t xml:space="preserve">We look forward to continuing to deliver government priority programs and services for Victoria’s community and environment, while enabling self-determination. </w:t>
      </w:r>
    </w:p>
    <w:p w14:paraId="17D8C696" w14:textId="77777777" w:rsidR="00013237" w:rsidRDefault="00C57D4C" w:rsidP="00FE198A">
      <w:r>
        <w:rPr>
          <w:rStyle w:val="Bold"/>
        </w:rPr>
        <w:t xml:space="preserve">John Bradley </w:t>
      </w:r>
      <w:r>
        <w:rPr>
          <w:rStyle w:val="Bold"/>
        </w:rPr>
        <w:br/>
      </w:r>
      <w:r>
        <w:t xml:space="preserve">Secretary </w:t>
      </w:r>
      <w:r>
        <w:br/>
        <w:t xml:space="preserve">Department of Environment, Land, Water and Planning </w:t>
      </w:r>
    </w:p>
    <w:p w14:paraId="72472E8C" w14:textId="484B800C" w:rsidR="00013237" w:rsidRDefault="00C57D4C" w:rsidP="00FE198A">
      <w:r>
        <w:t>9 September 2022</w:t>
      </w:r>
    </w:p>
    <w:p w14:paraId="6D2810FE" w14:textId="77777777" w:rsidR="00851CCA" w:rsidRDefault="00851CCA" w:rsidP="00FE198A">
      <w:pPr>
        <w:pStyle w:val="Heading1"/>
      </w:pPr>
      <w:bookmarkStart w:id="1" w:name="_Toc117447349"/>
      <w:r>
        <w:lastRenderedPageBreak/>
        <w:t>Key initiatives and projects 2021-22</w:t>
      </w:r>
      <w:bookmarkEnd w:id="1"/>
    </w:p>
    <w:p w14:paraId="3520CEDE" w14:textId="77777777" w:rsidR="00851CCA" w:rsidRDefault="00851CCA" w:rsidP="00FE198A">
      <w:r>
        <w:t>The DELWP Corporate Plan 2021-25 defines our outcomes and sets our focus and key directions over the medium term. This includes our contribution to shared government objectives and collaboration with partners and agencies to achieve Victoria’s broader goals.</w:t>
      </w:r>
    </w:p>
    <w:p w14:paraId="46ACF862" w14:textId="77777777" w:rsidR="00851CCA" w:rsidRDefault="00851CCA" w:rsidP="0070439A">
      <w:pPr>
        <w:pStyle w:val="Normalbeforebullet"/>
      </w:pPr>
      <w:r>
        <w:t xml:space="preserve">In 2021-22, we focused on the following outcome priorities for Victorian communities: </w:t>
      </w:r>
    </w:p>
    <w:p w14:paraId="74C1AA5B" w14:textId="2B5B828E" w:rsidR="00851CCA" w:rsidRPr="001E0F51" w:rsidRDefault="00851CCA" w:rsidP="001E0F51">
      <w:pPr>
        <w:pStyle w:val="Number1Lists"/>
      </w:pPr>
      <w:r w:rsidRPr="001E0F51">
        <w:t>Net zero emission, climate-ready economy and community</w:t>
      </w:r>
    </w:p>
    <w:p w14:paraId="44B14E55" w14:textId="77777777" w:rsidR="00851CCA" w:rsidRDefault="00851CCA" w:rsidP="001E0F51">
      <w:pPr>
        <w:pStyle w:val="Number1Lists"/>
      </w:pPr>
      <w:r>
        <w:t xml:space="preserve">Healthy, resilient and biodiverse environment </w:t>
      </w:r>
    </w:p>
    <w:p w14:paraId="6116F4A9" w14:textId="77777777" w:rsidR="00851CCA" w:rsidRDefault="00851CCA" w:rsidP="001E0F51">
      <w:pPr>
        <w:pStyle w:val="Number1Lists"/>
      </w:pPr>
      <w:r>
        <w:t>Reliable, sustainable and affordable energy services</w:t>
      </w:r>
    </w:p>
    <w:p w14:paraId="48B4D2CF" w14:textId="77777777" w:rsidR="00851CCA" w:rsidRDefault="00851CCA" w:rsidP="001E0F51">
      <w:pPr>
        <w:pStyle w:val="Number1Lists"/>
      </w:pPr>
      <w:r>
        <w:t xml:space="preserve">Productive and effective land management </w:t>
      </w:r>
    </w:p>
    <w:p w14:paraId="5C0819C0" w14:textId="77777777" w:rsidR="00851CCA" w:rsidRDefault="00851CCA" w:rsidP="001E0F51">
      <w:pPr>
        <w:pStyle w:val="Number1Lists"/>
      </w:pPr>
      <w:r>
        <w:t>Safe and sustainable water resources</w:t>
      </w:r>
    </w:p>
    <w:p w14:paraId="3DD0D0B0" w14:textId="77777777" w:rsidR="00851CCA" w:rsidRDefault="00851CCA" w:rsidP="001E0F51">
      <w:pPr>
        <w:pStyle w:val="Number1Lists"/>
      </w:pPr>
      <w:r>
        <w:t>A safe and quality built environment</w:t>
      </w:r>
    </w:p>
    <w:p w14:paraId="0EE2C609" w14:textId="77777777" w:rsidR="00851CCA" w:rsidRDefault="00851CCA" w:rsidP="001E0F51">
      <w:pPr>
        <w:pStyle w:val="Number1Lists"/>
      </w:pPr>
      <w:r>
        <w:t>Reduced impact of major bushfires and other emergencies on people, property and the environment.</w:t>
      </w:r>
    </w:p>
    <w:p w14:paraId="2CD3EF6F" w14:textId="77777777" w:rsidR="00851CCA" w:rsidRDefault="00851CCA" w:rsidP="00FE198A">
      <w:r>
        <w:rPr>
          <w:spacing w:val="-2"/>
        </w:rPr>
        <w:t>A full report of our performance against these outcomes (also known as our departmental objectives in Budget Papers) is included from page 26.</w:t>
      </w:r>
    </w:p>
    <w:p w14:paraId="59953696" w14:textId="47271E6F" w:rsidR="00851CCA" w:rsidRDefault="00851CCA" w:rsidP="00FE198A">
      <w:r>
        <w:t>Listed below are a few of the key initiatives and projects delivered for Victorian communities in 2021-22:</w:t>
      </w:r>
    </w:p>
    <w:p w14:paraId="4C5BFA59" w14:textId="42C75D5E" w:rsidR="00851CCA" w:rsidRDefault="00851CCA" w:rsidP="00884871">
      <w:pPr>
        <w:pStyle w:val="Heading2Headings"/>
      </w:pPr>
      <w:r>
        <w:t>Net zero emission, climate-ready economy and community</w:t>
      </w:r>
    </w:p>
    <w:p w14:paraId="7FA00AB6" w14:textId="77777777" w:rsidR="00851CCA" w:rsidRDefault="00851CCA" w:rsidP="00FE198A">
      <w:r>
        <w:rPr>
          <w:rStyle w:val="Bold"/>
        </w:rPr>
        <w:t>Climate Change Adaptation Action Plans:</w:t>
      </w:r>
      <w:r>
        <w:t xml:space="preserve"> The seven Climate Change Adaptation Action Plans for 2022-2026 were tabled in Parliament on 9 February 2022, accompanied by publication of </w:t>
      </w:r>
      <w:r w:rsidRPr="004C5544">
        <w:rPr>
          <w:rStyle w:val="LightItalic"/>
          <w:rFonts w:ascii="Arial" w:hAnsi="Arial" w:cs="Arial"/>
        </w:rPr>
        <w:t>Building Victoria’s Climate Resilience</w:t>
      </w:r>
      <w:r>
        <w:t xml:space="preserve"> which sets out what Victoria is doing to adapt to our changing climate. Victoria’s approach is centred around adaptation planning for statewide systems and complementary community-led action.</w:t>
      </w:r>
    </w:p>
    <w:p w14:paraId="39C7D4EA" w14:textId="77777777" w:rsidR="00851CCA" w:rsidRDefault="00851CCA" w:rsidP="00FE198A">
      <w:r>
        <w:rPr>
          <w:rStyle w:val="Bold"/>
        </w:rPr>
        <w:t>Regional Adaptation Strategies:</w:t>
      </w:r>
      <w:r>
        <w:t xml:space="preserve"> Regional Adaptation Strategies were developed in each of the six DELWP regions of Greater Melbourne, Gippsland, Hume, Loddon Mallee, Grampians and Barwon South West. These were released in December 2021 accompanied by 54 on-ground community-led projects that will prepare the community for the impacts of climate change.</w:t>
      </w:r>
    </w:p>
    <w:p w14:paraId="423FE4F5" w14:textId="350A3D6E" w:rsidR="00851CCA" w:rsidRDefault="00851CCA" w:rsidP="00FE198A">
      <w:pPr>
        <w:rPr>
          <w:rStyle w:val="Bold"/>
          <w:spacing w:val="-2"/>
        </w:rPr>
      </w:pPr>
      <w:r>
        <w:rPr>
          <w:rStyle w:val="Bold"/>
        </w:rPr>
        <w:t>Work with local government on emission reductions:</w:t>
      </w:r>
      <w:r>
        <w:t xml:space="preserve"> DELWP’s work with councils across Victoria led to 21 voluntary council emissions reduction pledges being made under the </w:t>
      </w:r>
      <w:r w:rsidRPr="004C5544">
        <w:rPr>
          <w:rStyle w:val="LightItalic"/>
          <w:rFonts w:ascii="Arial" w:hAnsi="Arial" w:cs="Arial"/>
        </w:rPr>
        <w:t>Climate Change Act 2017</w:t>
      </w:r>
      <w:r w:rsidRPr="004C5544">
        <w:rPr>
          <w:rFonts w:cs="Arial"/>
        </w:rPr>
        <w:t>.</w:t>
      </w:r>
      <w:r w:rsidR="00012C04">
        <w:t xml:space="preserve"> </w:t>
      </w:r>
    </w:p>
    <w:p w14:paraId="283F5D94" w14:textId="77777777" w:rsidR="00851CCA" w:rsidRDefault="00851CCA" w:rsidP="00884871">
      <w:pPr>
        <w:pStyle w:val="Heading2Headings"/>
      </w:pPr>
      <w:r>
        <w:t xml:space="preserve">Healthy, resilient and biodiverse environment </w:t>
      </w:r>
    </w:p>
    <w:p w14:paraId="21F5B0B0" w14:textId="77777777" w:rsidR="00851CCA" w:rsidRDefault="00851CCA" w:rsidP="00FE198A">
      <w:r>
        <w:rPr>
          <w:rStyle w:val="Bold"/>
          <w:spacing w:val="-1"/>
        </w:rPr>
        <w:t xml:space="preserve">Recycling Victoria: </w:t>
      </w:r>
      <w:r>
        <w:rPr>
          <w:spacing w:val="-1"/>
        </w:rPr>
        <w:t xml:space="preserve">Significant milestones were achieved under the Recycling Victoria program, including: Royal Assent of the Circular Economy (Waste Reduction and Recycling) Bill 2021 in December 2021; release of the Victorian Waste to Energy Framework in November 2021; phase out of certain single-use plastic items from Victorian government departments and agencies in February 2022; and consultation on the regulations to enact a statewide ban of these single-use plastic items undertaken in April and May 2022. </w:t>
      </w:r>
    </w:p>
    <w:p w14:paraId="69881312" w14:textId="77777777" w:rsidR="00851CCA" w:rsidRDefault="00851CCA" w:rsidP="00FE198A">
      <w:r>
        <w:rPr>
          <w:rStyle w:val="Bold"/>
        </w:rPr>
        <w:t>Embedding of the new environment protection framework:</w:t>
      </w:r>
      <w:r>
        <w:t xml:space="preserve"> Following commencement of the reformed </w:t>
      </w:r>
      <w:r w:rsidRPr="004C5544">
        <w:rPr>
          <w:rStyle w:val="LightItalic"/>
          <w:rFonts w:ascii="Arial" w:hAnsi="Arial" w:cs="Arial"/>
        </w:rPr>
        <w:t>Environment Protection Act</w:t>
      </w:r>
      <w:r>
        <w:t xml:space="preserve"> on 1 July 2021, actions undertaken to embed the new environment protection framework included: release of draft guidelines to support Victorian landowners to comply with their new contaminated land duties; delivery of training on new land-use planning requirements in January 2022; public consultation on a proposed amendment to the </w:t>
      </w:r>
      <w:r>
        <w:lastRenderedPageBreak/>
        <w:t>Environment Protection Regulations to introduce a new registration for farms storing and using waste tyres; and development of draft guidance for businesses on managing greenhouse gas emissions.</w:t>
      </w:r>
    </w:p>
    <w:p w14:paraId="24509027" w14:textId="77777777" w:rsidR="00851CCA" w:rsidRDefault="00851CCA" w:rsidP="00FE198A">
      <w:r>
        <w:rPr>
          <w:rStyle w:val="Bold"/>
        </w:rPr>
        <w:t xml:space="preserve">Faunal emblems program: </w:t>
      </w:r>
      <w:r>
        <w:t xml:space="preserve">The release of 18 Helmeted Honeyeaters into the Yarra Ranges National Park in May 2022 marked a major milestone for Helmeted Honeyeater recovery. The new habitat is crucial to the Helmeted Honeyeater’s survival as it increases genetic diversity, and protects the species against disease and environmental disasters such as bushfire. </w:t>
      </w:r>
    </w:p>
    <w:p w14:paraId="41B6F040" w14:textId="77777777" w:rsidR="00851CCA" w:rsidRDefault="00851CCA" w:rsidP="00FE198A">
      <w:r>
        <w:rPr>
          <w:rStyle w:val="Bold"/>
        </w:rPr>
        <w:t>Bushfire Biodiversity Response and Recovery program:</w:t>
      </w:r>
      <w:r>
        <w:t xml:space="preserve"> From the end of the 2019-20 bushfire season to 30 June 2022, more than 702,000 hectares of herbivore control, 207,000 hectares of predator control and 23,000 hectares of weed control have been delivered. This is reducing the impacts of invasive species on the survival and recovery of threatened species in fire-affected areas of Victoria. </w:t>
      </w:r>
    </w:p>
    <w:p w14:paraId="222B970D" w14:textId="77777777" w:rsidR="00851CCA" w:rsidRDefault="00851CCA" w:rsidP="00FE198A">
      <w:r>
        <w:rPr>
          <w:rStyle w:val="Bold"/>
        </w:rPr>
        <w:t xml:space="preserve">Trust for Nature: </w:t>
      </w:r>
      <w:r>
        <w:t>Trust for Nature achieved protection of over 1,600 hectares of private land and announced a commitment to transfer Victoria’s largest private conservation reserve, Neds Corner, to its Traditional Owners, the First People of the Millewa-Mallee Aboriginal Corporation. This is the largest parcel of private land to be returned to Traditional Owners in the state.</w:t>
      </w:r>
    </w:p>
    <w:p w14:paraId="4A519595" w14:textId="77777777" w:rsidR="00851CCA" w:rsidRDefault="00851CCA" w:rsidP="00884871">
      <w:pPr>
        <w:pStyle w:val="Heading2Headings"/>
      </w:pPr>
      <w:r>
        <w:t>Reliable, sustainable and affordable energy services</w:t>
      </w:r>
    </w:p>
    <w:p w14:paraId="36E45DF4" w14:textId="77777777" w:rsidR="00851CCA" w:rsidRDefault="00851CCA" w:rsidP="00FE198A">
      <w:r>
        <w:rPr>
          <w:rStyle w:val="Bold"/>
          <w:spacing w:val="-3"/>
        </w:rPr>
        <w:t xml:space="preserve">Power Saving Bonus: </w:t>
      </w:r>
      <w:r>
        <w:rPr>
          <w:spacing w:val="-3"/>
        </w:rPr>
        <w:t>More than 400,000 applications were received through the Power Saving Bonus for concession recipients program since its commencement in February 2021, resulting in nearly $100 million in payments to vulnerable Victorian households</w:t>
      </w:r>
      <w:r>
        <w:t>.</w:t>
      </w:r>
    </w:p>
    <w:p w14:paraId="71F537E6" w14:textId="77777777" w:rsidR="00851CCA" w:rsidRDefault="00851CCA" w:rsidP="00FE198A">
      <w:r>
        <w:rPr>
          <w:rStyle w:val="Bold"/>
        </w:rPr>
        <w:t>Renewable Energy Zones:</w:t>
      </w:r>
      <w:r>
        <w:t xml:space="preserve"> The establishment of Victoria’s Renewable Energy Zones (REZs) is underway. VicGrid, a new body tasked with coordinating the overarching planning and development of Victoria’s Renewable Energy Zones (REZs), was established in July 2021, and procurement for network upgrades to prepare Victoria’s energy grid for REZs progressed during 2021-22. A potential new approach to planning transmission infrastructure and transmission access was released for stakeholder input in July 2022 to help bring on transmission investment to host new renewable generation.</w:t>
      </w:r>
    </w:p>
    <w:p w14:paraId="676E5FB9" w14:textId="6B2ACD93" w:rsidR="00851CCA" w:rsidRDefault="00851CCA" w:rsidP="00FE198A">
      <w:r>
        <w:rPr>
          <w:rStyle w:val="Bold"/>
        </w:rPr>
        <w:t xml:space="preserve">Victorian Big Battery: </w:t>
      </w:r>
      <w:r>
        <w:t xml:space="preserve">The Victorian Big Battery completed its first season of safeguarding the state’s energy supply through our hot summer months, driving down electricity prices and supporting the state’s massive renewable energy build. Each year between November and March the Victorian Big Battery will operate as a virtual transmission line enabling increased flows of up to 250MW over the Victorian/New South Wales interconnector. This service, called the System Integrity Protection Scheme, reduces the risk of unscheduled load shedding over the peak summer months. The first operational season concluded at the end of March 2022 with the battery successfully providing the required service and availability. </w:t>
      </w:r>
    </w:p>
    <w:p w14:paraId="105B2F13" w14:textId="77777777" w:rsidR="00851CCA" w:rsidRDefault="00851CCA" w:rsidP="00FE198A">
      <w:pPr>
        <w:rPr>
          <w:spacing w:val="-1"/>
        </w:rPr>
      </w:pPr>
      <w:r>
        <w:rPr>
          <w:rStyle w:val="Bold"/>
          <w:spacing w:val="-1"/>
        </w:rPr>
        <w:t>Electricity Distribution Network Resilience Review:</w:t>
      </w:r>
      <w:r>
        <w:rPr>
          <w:spacing w:val="-1"/>
        </w:rPr>
        <w:t xml:space="preserve"> </w:t>
      </w:r>
      <w:r>
        <w:t>The Electricity Distribution Network Resilience Review was initiated in response to the June and October 2021 windstorms to examine how distribution businesses can improve their preparedness for and response to prolonged power outages arising from extreme weather events, including how to strengthen community resilience. The Expert Panel’s final report was published in June 2022 and includes recommendations designed to reduce the likelihood and impact of prolonged power outages. This includes that distribution businesses are required to develop a Victorian Network Resilience Investment Strategy, and to participate in regional emergency management as well as provide customers with more timely and relevant information during a prolonged power outage event. DELWP is currently developing the government’s response to the Expert Panel’s final report, which is expected to be published in October 2022.</w:t>
      </w:r>
    </w:p>
    <w:p w14:paraId="1529B0D7" w14:textId="77777777" w:rsidR="00851CCA" w:rsidRDefault="00851CCA" w:rsidP="00FE198A">
      <w:r>
        <w:rPr>
          <w:rStyle w:val="Bold"/>
        </w:rPr>
        <w:t xml:space="preserve">Transitioning to a distributed energy resources future: </w:t>
      </w:r>
      <w:r>
        <w:t xml:space="preserve">In April 2022, DELWP released </w:t>
      </w:r>
      <w:r w:rsidRPr="004C5544">
        <w:rPr>
          <w:rStyle w:val="LightItalic"/>
          <w:rFonts w:ascii="Arial" w:hAnsi="Arial" w:cs="Arial"/>
        </w:rPr>
        <w:t>Harnessing Victoria’s Distributed Energy Resources</w:t>
      </w:r>
      <w:r>
        <w:t xml:space="preserve">, a vision statement highlighting our goals and </w:t>
      </w:r>
      <w:r>
        <w:lastRenderedPageBreak/>
        <w:t>objectives in transitioning to a distributed energy resources dominant future. In line with the vision, DELWP implemented policy and regulatory reforms to modernise our electricity grid and support the roll-out of distributed energy resources in Victoria.</w:t>
      </w:r>
    </w:p>
    <w:p w14:paraId="7B71DFC6" w14:textId="77777777" w:rsidR="00851CCA" w:rsidRDefault="00851CCA" w:rsidP="00FE198A">
      <w:r>
        <w:rPr>
          <w:rStyle w:val="Bold"/>
        </w:rPr>
        <w:t>Gas Substitution Roadmap:</w:t>
      </w:r>
      <w:r>
        <w:t xml:space="preserve"> Released in July 2022, Victoria’s </w:t>
      </w:r>
      <w:r w:rsidRPr="004C5544">
        <w:rPr>
          <w:rStyle w:val="LightItalic"/>
          <w:rFonts w:ascii="Arial" w:hAnsi="Arial" w:cs="Arial"/>
        </w:rPr>
        <w:t>Gas Substitution Roadmap</w:t>
      </w:r>
      <w:r>
        <w:t xml:space="preserve"> provides strategic directions and actions for a coordinated and equitable transition to net zero emissions, that enables consumer choice and enhances energy affordability and reliability, while providing investment certainty for Victorian households and industry. Development of the Gas Substitution Roadmap was informed by technical investigations, analysis and significant industry and consumer consultation over 2021-22.</w:t>
      </w:r>
    </w:p>
    <w:p w14:paraId="5AA2AD8F" w14:textId="77777777" w:rsidR="00851CCA" w:rsidRDefault="00851CCA" w:rsidP="00FE198A">
      <w:pPr>
        <w:rPr>
          <w:spacing w:val="-2"/>
        </w:rPr>
      </w:pPr>
      <w:r>
        <w:rPr>
          <w:rStyle w:val="Bold"/>
          <w:spacing w:val="-2"/>
        </w:rPr>
        <w:t xml:space="preserve">Victorian Energy Upgrades program: </w:t>
      </w:r>
      <w:r>
        <w:rPr>
          <w:spacing w:val="-2"/>
        </w:rPr>
        <w:t>The Victorian Energy Upgrades program continues to support Victorians to reduce their energy use and bills. In 2021-22, more than 410,000 households and 45,000 businesses accessed incentives under the Victorian Energy Upgrades program.</w:t>
      </w:r>
    </w:p>
    <w:p w14:paraId="2DE91FE4" w14:textId="77777777" w:rsidR="00851CCA" w:rsidRDefault="00851CCA" w:rsidP="00FE198A">
      <w:pPr>
        <w:rPr>
          <w:spacing w:val="-1"/>
        </w:rPr>
      </w:pPr>
      <w:r>
        <w:rPr>
          <w:rStyle w:val="Bold"/>
          <w:spacing w:val="-1"/>
        </w:rPr>
        <w:t xml:space="preserve">Bulgana Green Power Hub: </w:t>
      </w:r>
      <w:r>
        <w:rPr>
          <w:spacing w:val="-1"/>
        </w:rPr>
        <w:t xml:space="preserve">The Bulgana Green Power Hub wind farm and battery commenced commercial operations in December 2021. This project created 150 construction jobs and can now generate more than 750,000 MWh of cheap, clean energy annually – enough to power around 150,000 homes. </w:t>
      </w:r>
    </w:p>
    <w:p w14:paraId="6379389B" w14:textId="77777777" w:rsidR="00851CCA" w:rsidRDefault="00851CCA" w:rsidP="00FE198A">
      <w:r>
        <w:rPr>
          <w:rStyle w:val="Bold"/>
        </w:rPr>
        <w:t xml:space="preserve">Accelerating the adoption of zero emission vehicles: </w:t>
      </w:r>
      <w:r>
        <w:t>Successful projects under the Destination Charging Across Victoria program were announced in December 2021. This will result in approximately 141 electric vehicle (EV) fast-charging stations within approximately 116 high-use areas and tourist spots across regional and metropolitan Victoria. During 2021-22, 5,316 Victorian residents and businesses purchased a zero emission vehicle with support from EV subsidies under the Zero Emission Vehicle program.</w:t>
      </w:r>
    </w:p>
    <w:p w14:paraId="3C7D76CA" w14:textId="3AF4ED2B" w:rsidR="00851CCA" w:rsidRDefault="00851CCA" w:rsidP="00FE198A">
      <w:r>
        <w:rPr>
          <w:rStyle w:val="Bold"/>
        </w:rPr>
        <w:t xml:space="preserve">Solar for Business: </w:t>
      </w:r>
      <w:r>
        <w:t>Since April 2022, the program has offered interest-free loans to enable businesses to reduce the upfront cost of the installation of an approved small-scale solar PV system in addition to a rebate. During 2021-22, 1,508 solar rebate applications were approved for Victorian businesses, with 34 per cent of those applicants also applying for an interest-free loan.</w:t>
      </w:r>
    </w:p>
    <w:p w14:paraId="3442ED1D" w14:textId="7436BC6C" w:rsidR="00851CCA" w:rsidRDefault="00851CCA" w:rsidP="00FE198A">
      <w:r>
        <w:rPr>
          <w:rStyle w:val="Bold"/>
        </w:rPr>
        <w:t xml:space="preserve">Solar Homes rebates: </w:t>
      </w:r>
      <w:r>
        <w:t>During 2021-22, 48,642 rebates were provided to households to install solar panels, battery storage systems, solar and energy efficient hot water and 23,624 interest-free loans were provided to households.</w:t>
      </w:r>
    </w:p>
    <w:p w14:paraId="068F4130" w14:textId="77777777" w:rsidR="00851CCA" w:rsidRDefault="00851CCA" w:rsidP="00FE198A">
      <w:r>
        <w:rPr>
          <w:rStyle w:val="Bold"/>
        </w:rPr>
        <w:t xml:space="preserve">Home Heating and Cooling Upgrades: </w:t>
      </w:r>
      <w:r>
        <w:t>During 2021-22, 35,367 rebates were approved for reverse cycle air conditioning units to replace inefficient heating systems for low income and vulnerable households.</w:t>
      </w:r>
    </w:p>
    <w:p w14:paraId="40C48523" w14:textId="77777777" w:rsidR="00851CCA" w:rsidRDefault="00851CCA" w:rsidP="00884871">
      <w:pPr>
        <w:pStyle w:val="Heading2Headings"/>
      </w:pPr>
      <w:r>
        <w:t xml:space="preserve">Productive and effective land management </w:t>
      </w:r>
    </w:p>
    <w:p w14:paraId="4E345A1E" w14:textId="07FF7188" w:rsidR="00851CCA" w:rsidRDefault="00851CCA" w:rsidP="00FE198A">
      <w:r>
        <w:rPr>
          <w:rStyle w:val="Bold"/>
          <w:spacing w:val="-2"/>
        </w:rPr>
        <w:t>Marine and coastal policy reforms:</w:t>
      </w:r>
      <w:r>
        <w:rPr>
          <w:spacing w:val="-2"/>
        </w:rPr>
        <w:t xml:space="preserve"> Released in May 2022, the </w:t>
      </w:r>
      <w:r w:rsidRPr="004C5544">
        <w:rPr>
          <w:rStyle w:val="LightItalic"/>
          <w:rFonts w:ascii="Arial" w:hAnsi="Arial" w:cs="Arial"/>
          <w:spacing w:val="-2"/>
        </w:rPr>
        <w:t>Marine and Coastal Strategy</w:t>
      </w:r>
      <w:r>
        <w:rPr>
          <w:spacing w:val="-2"/>
        </w:rPr>
        <w:t xml:space="preserve"> will support sustainable use and improve how we manage the health of the marine and coastal environment. Research projects with university partners on sea level rise impacts and coastal erosion have progressed and guidelines for the development of marine and coastal management plans are being drafted.</w:t>
      </w:r>
    </w:p>
    <w:p w14:paraId="497218E6" w14:textId="310B3E7A" w:rsidR="00851CCA" w:rsidRDefault="00851CCA" w:rsidP="00FE198A">
      <w:r>
        <w:rPr>
          <w:rStyle w:val="Bold"/>
        </w:rPr>
        <w:t xml:space="preserve">Supporting Traditional Owner self-determination in land management: </w:t>
      </w:r>
      <w:r>
        <w:t xml:space="preserve">In August 2021, the </w:t>
      </w:r>
      <w:r w:rsidRPr="004C5544">
        <w:rPr>
          <w:rStyle w:val="LightItalic"/>
          <w:rFonts w:ascii="Arial" w:hAnsi="Arial" w:cs="Arial"/>
        </w:rPr>
        <w:t>Victorian Traditional Owner Cultural Landscapes Strategy</w:t>
      </w:r>
      <w:r>
        <w:t xml:space="preserve"> was launched by Victorian Traditional Owners with support from DELWP. The Strategy provides direction to the Victorian Government about how it can enable and empower Traditional Owner self-determination in land management.</w:t>
      </w:r>
      <w:r w:rsidR="00012C04">
        <w:t xml:space="preserve"> </w:t>
      </w:r>
      <w:r>
        <w:t>DELWP continued to support Traditional Owner Land Management Boards over 2021-22.</w:t>
      </w:r>
    </w:p>
    <w:p w14:paraId="39320DE4" w14:textId="77777777" w:rsidR="00851CCA" w:rsidRDefault="00851CCA" w:rsidP="00FE198A">
      <w:r>
        <w:rPr>
          <w:rStyle w:val="Bold"/>
        </w:rPr>
        <w:t xml:space="preserve">Supporting alpine resorts: </w:t>
      </w:r>
      <w:r>
        <w:t xml:space="preserve">Legislation to amend the </w:t>
      </w:r>
      <w:r w:rsidRPr="004C5544">
        <w:rPr>
          <w:rStyle w:val="LightItalic"/>
          <w:rFonts w:ascii="Arial" w:hAnsi="Arial" w:cs="Arial"/>
        </w:rPr>
        <w:t>Alpine Resorts (Management) Act 1997</w:t>
      </w:r>
      <w:r>
        <w:t xml:space="preserve"> to establish a single entity to manage Victoria’s six alpine resorts passed in March 2022. The amendments are scheduled to come into effect on 1 October 2022. The new entity, to be known as </w:t>
      </w:r>
      <w:r>
        <w:lastRenderedPageBreak/>
        <w:t xml:space="preserve">Alpine Resorts Victoria, will support alpine resorts and associated communities as they recover from the effects of the 2019-20 bushfires and the COVID-19 pandemic. </w:t>
      </w:r>
    </w:p>
    <w:p w14:paraId="504BB19A" w14:textId="3C07BA11" w:rsidR="00851CCA" w:rsidRDefault="00851CCA" w:rsidP="00FE198A">
      <w:r>
        <w:rPr>
          <w:rStyle w:val="Bold"/>
        </w:rPr>
        <w:t>Yellingbo Conservation Area:</w:t>
      </w:r>
      <w:r>
        <w:t xml:space="preserve"> The </w:t>
      </w:r>
      <w:r w:rsidRPr="004C5544">
        <w:rPr>
          <w:rStyle w:val="LightItalic"/>
          <w:rFonts w:ascii="Arial" w:hAnsi="Arial" w:cs="Arial"/>
        </w:rPr>
        <w:t>Yellingbo (Liwik Barring) Landscape Conservation Area 10-year Plan</w:t>
      </w:r>
      <w:r>
        <w:t xml:space="preserve"> was released in December 2021 following consultation with a wide range of interested community and stakeholder groups. The plan articulates management directions for the conservation area over a 10-year time frame, aimed at enhancing its scenic beauty, biodiversity, cultural heritage and community enjoyment.</w:t>
      </w:r>
    </w:p>
    <w:p w14:paraId="02E94F9E" w14:textId="2119D0D7" w:rsidR="00851CCA" w:rsidRDefault="00851CCA" w:rsidP="00FE198A">
      <w:pPr>
        <w:rPr>
          <w:spacing w:val="-1"/>
        </w:rPr>
      </w:pPr>
      <w:r>
        <w:rPr>
          <w:rStyle w:val="Bold"/>
          <w:spacing w:val="-1"/>
        </w:rPr>
        <w:t xml:space="preserve">Management of the Great Ocean Road: </w:t>
      </w:r>
      <w:r>
        <w:rPr>
          <w:spacing w:val="-1"/>
        </w:rPr>
        <w:t xml:space="preserve">A Bill to amend the </w:t>
      </w:r>
      <w:r w:rsidRPr="004C5544">
        <w:rPr>
          <w:rStyle w:val="LightItalic"/>
          <w:rFonts w:ascii="Arial" w:hAnsi="Arial" w:cs="Arial"/>
          <w:spacing w:val="-1"/>
        </w:rPr>
        <w:t>Great Ocean Road and Environs Protection Act 2020</w:t>
      </w:r>
      <w:r>
        <w:rPr>
          <w:spacing w:val="-1"/>
        </w:rPr>
        <w:t xml:space="preserve"> was passed by Parliament on 14 October 2021, making the Great Ocean Road Coast and Parks Authority the dedicated parks and public land manager for the Great Ocean Road coast and parks.</w:t>
      </w:r>
      <w:r w:rsidR="00012C04">
        <w:rPr>
          <w:spacing w:val="-1"/>
        </w:rPr>
        <w:t xml:space="preserve"> </w:t>
      </w:r>
      <w:r>
        <w:rPr>
          <w:spacing w:val="-1"/>
        </w:rPr>
        <w:t>The first step in developing the Great Ocean Road strategic framework plan was completion of a consultation draft in June 2022. The draft plan is expected to be finalised by December 2023.</w:t>
      </w:r>
    </w:p>
    <w:p w14:paraId="4BA01EBD" w14:textId="77777777" w:rsidR="00851CCA" w:rsidRDefault="00851CCA" w:rsidP="00FE198A">
      <w:r>
        <w:rPr>
          <w:rStyle w:val="Bold"/>
        </w:rPr>
        <w:t xml:space="preserve">Vicmap data services: </w:t>
      </w:r>
      <w:r>
        <w:t xml:space="preserve">‘Vicmap as a Service’ has now achieved more than 10 million hits since its launch in September 2021, and is now streaming Vicmap data directly into numerous federal, state and local governments, private spatial service providers, and emergency service agencies’ spatial systems, including the Bureau of Meteorology, the Emergency Services Telecommunications Authority, the Country Fire Authority and Fire Rescue Victoria. </w:t>
      </w:r>
    </w:p>
    <w:p w14:paraId="58C8174C" w14:textId="62CBA20C" w:rsidR="00851CCA" w:rsidRDefault="00851CCA" w:rsidP="00FE198A">
      <w:r>
        <w:rPr>
          <w:rStyle w:val="Bold"/>
        </w:rPr>
        <w:t>Digital Twin Victoria (DTV):</w:t>
      </w:r>
      <w:r w:rsidR="00012C04">
        <w:rPr>
          <w:rStyle w:val="Bold"/>
        </w:rPr>
        <w:t xml:space="preserve"> </w:t>
      </w:r>
      <w:r>
        <w:t xml:space="preserve">A three-month beta testing program gathered customer insights to inform the development of the DTV platform, with more than 80 per cent of participants expressing a high level of satisfaction. The DTV platform now includes many new datasets and functionality, and is already providing benefits to state and local governments by providing easier access to data and delivering savings through the use of shared data storage, analytics and visualisation tools. </w:t>
      </w:r>
    </w:p>
    <w:p w14:paraId="0F3298E7" w14:textId="39149015" w:rsidR="00851CCA" w:rsidRDefault="00851CCA" w:rsidP="00884871">
      <w:pPr>
        <w:pStyle w:val="Heading2Headings"/>
      </w:pPr>
      <w:r>
        <w:t>Safe and sustainable water resources</w:t>
      </w:r>
    </w:p>
    <w:p w14:paraId="232084AD" w14:textId="77777777" w:rsidR="00851CCA" w:rsidRDefault="00851CCA" w:rsidP="00FE198A">
      <w:r>
        <w:rPr>
          <w:rStyle w:val="Bold"/>
        </w:rPr>
        <w:t xml:space="preserve">Environmental watering: </w:t>
      </w:r>
      <w:r>
        <w:t xml:space="preserve">More than 900 GL of water was delivered for the environment at 89 river reaches and 81 wetlands during 2021-22. The Koondrook Weir Fishway was completed in December 2021, connecting 55 kilometres of Gunbower Creek and 530 kilometres of Murray River for native fish, including the iconic Murray cod and golden perch. </w:t>
      </w:r>
    </w:p>
    <w:p w14:paraId="318EA183" w14:textId="64E85AC8" w:rsidR="00851CCA" w:rsidRDefault="00851CCA" w:rsidP="00FE198A">
      <w:pPr>
        <w:rPr>
          <w:spacing w:val="-1"/>
        </w:rPr>
      </w:pPr>
      <w:r>
        <w:rPr>
          <w:rStyle w:val="Bold"/>
          <w:spacing w:val="-1"/>
        </w:rPr>
        <w:t>Restoring waterways and catchments:</w:t>
      </w:r>
      <w:r>
        <w:rPr>
          <w:spacing w:val="-1"/>
        </w:rPr>
        <w:t xml:space="preserve"> During 2021-22, catchment management authorities commenced eight new regional flagship waterway projects across regional Victoria; completed works at priority Ramsar sites to address key threats; and commenced the first year of the refreshed </w:t>
      </w:r>
      <w:r w:rsidRPr="008959E3">
        <w:rPr>
          <w:rStyle w:val="LightItalic"/>
          <w:rFonts w:ascii="Arial" w:hAnsi="Arial" w:cs="Arial"/>
          <w:spacing w:val="-1"/>
        </w:rPr>
        <w:t>Gippsland Lakes Priority Plan</w:t>
      </w:r>
      <w:r>
        <w:rPr>
          <w:spacing w:val="-1"/>
        </w:rPr>
        <w:t xml:space="preserve">, which will see 30 projects delivered in collaboration with 12 delivery partners. </w:t>
      </w:r>
    </w:p>
    <w:p w14:paraId="47D6EF10" w14:textId="351C6263" w:rsidR="00851CCA" w:rsidRDefault="00851CCA" w:rsidP="00FE198A">
      <w:r>
        <w:rPr>
          <w:rStyle w:val="Bold"/>
        </w:rPr>
        <w:t xml:space="preserve">Integrated water package of works: </w:t>
      </w:r>
      <w:r>
        <w:t>An integrated water package of works completed during 2021-22 included installation of educational wetland boardwalks in Pakenham, a new stormwater irrigation system for greenspace in Sunshine North, the installation of recycled permeable pavers to reduce flooding in South Yarra and ecological restoration of Gunbower Creek.</w:t>
      </w:r>
      <w:r w:rsidR="00012C04">
        <w:rPr>
          <w:rFonts w:ascii="Calibri" w:hAnsi="Calibri"/>
        </w:rPr>
        <w:t xml:space="preserve"> </w:t>
      </w:r>
    </w:p>
    <w:p w14:paraId="1B9E15CD" w14:textId="7D9407AA" w:rsidR="00851CCA" w:rsidRDefault="00851CCA" w:rsidP="00FE198A">
      <w:r>
        <w:rPr>
          <w:rStyle w:val="Bold"/>
        </w:rPr>
        <w:t xml:space="preserve">Central and Gippsland Region Sustainable Water Strategy (CGRSWS): </w:t>
      </w:r>
      <w:r w:rsidRPr="008959E3">
        <w:rPr>
          <w:rStyle w:val="LightItalic"/>
          <w:rFonts w:ascii="Arial" w:hAnsi="Arial" w:cs="Arial"/>
          <w:i w:val="0"/>
          <w:iCs w:val="0"/>
        </w:rPr>
        <w:t xml:space="preserve">The CGRSWS will set the direction for securing the region’s long-term water supplies and protecting the jobs, farms, communities and Traditional Owners that rely on them, as we face the growing challenges of climate change and population growth. A discussion draft of the CGRSWS was released for public consultation from 8 </w:t>
      </w:r>
      <w:r w:rsidRPr="008959E3">
        <w:rPr>
          <w:rStyle w:val="LightItalic"/>
          <w:rFonts w:ascii="Arial" w:hAnsi="Arial" w:cs="Arial"/>
          <w:i w:val="0"/>
          <w:iCs w:val="0"/>
          <w:spacing w:val="-2"/>
        </w:rPr>
        <w:t>October 2021 to 10 December 2021. Over 225 survey responses and more than 50 detailed submissions were received from the community. The final Strategy will incorporate changes made based on this feedback and is expected to be released later in 2022</w:t>
      </w:r>
      <w:r w:rsidRPr="008959E3">
        <w:rPr>
          <w:rFonts w:cs="Arial"/>
          <w:spacing w:val="-2"/>
        </w:rPr>
        <w:t>.</w:t>
      </w:r>
      <w:r w:rsidR="00012C04">
        <w:rPr>
          <w:rFonts w:ascii="Calibri" w:hAnsi="Calibri"/>
          <w:spacing w:val="-2"/>
        </w:rPr>
        <w:t xml:space="preserve"> </w:t>
      </w:r>
    </w:p>
    <w:p w14:paraId="1AB71CE9" w14:textId="77777777" w:rsidR="00851CCA" w:rsidRDefault="00851CCA" w:rsidP="00FE198A">
      <w:r>
        <w:rPr>
          <w:rStyle w:val="Bold"/>
        </w:rPr>
        <w:t xml:space="preserve">Improving the amenity and environment of Melbourne’s iconic waterways: </w:t>
      </w:r>
      <w:r>
        <w:t xml:space="preserve">The </w:t>
      </w:r>
      <w:r w:rsidRPr="008959E3">
        <w:rPr>
          <w:rStyle w:val="LightItalic"/>
          <w:rFonts w:ascii="Arial" w:hAnsi="Arial" w:cs="Arial"/>
        </w:rPr>
        <w:t>Burndap Birrarung burndap umarkoo</w:t>
      </w:r>
      <w:r>
        <w:t xml:space="preserve"> (Yarra Strategic Plan), the Waterways of the West and the Rivers of the Barwon (Barre Warre Yulluk) Action Plans were released during 2021-22. These plans will </w:t>
      </w:r>
      <w:r>
        <w:lastRenderedPageBreak/>
        <w:t>support the protection of the health and amenity of these waterways and the landscapes through which they flow as living, integrated entities.</w:t>
      </w:r>
    </w:p>
    <w:p w14:paraId="7DDCDC66" w14:textId="77777777" w:rsidR="00851CCA" w:rsidRDefault="00851CCA" w:rsidP="00FE198A">
      <w:r>
        <w:rPr>
          <w:rStyle w:val="Bold"/>
        </w:rPr>
        <w:t>Supporting Aboriginal Victorians in accessing water:</w:t>
      </w:r>
      <w:r>
        <w:t xml:space="preserve"> DELWP continued to support water returns to Traditional Owners across the state during 2021-22. In February 2022, the Victorian Government announced 1.36 GL of water would be returned to Traditional Owners in Northern Victoria and in March 2022, Gunditj Mirring Traditional Owner Aboriginal Corporation received a 2.5 GL water return in the Palawarra (Fitzroy River) system. </w:t>
      </w:r>
    </w:p>
    <w:p w14:paraId="1D003961" w14:textId="77777777" w:rsidR="00851CCA" w:rsidRDefault="00851CCA" w:rsidP="00FE198A">
      <w:r>
        <w:rPr>
          <w:rStyle w:val="Bold"/>
        </w:rPr>
        <w:t>2019-20 bushfire recovery works:</w:t>
      </w:r>
      <w:r>
        <w:t xml:space="preserve"> Catchment management authorities continued vital bushfire recovery activities during 2021-22. This included delivery of 476.4 hectares of weed control and continued work on repairing off-stream watering systems and addressing priority risks from erosion, debris and water quality.</w:t>
      </w:r>
    </w:p>
    <w:p w14:paraId="2CA60FB0" w14:textId="77777777" w:rsidR="00851CCA" w:rsidRPr="00284427" w:rsidRDefault="00851CCA" w:rsidP="00284427">
      <w:pPr>
        <w:pStyle w:val="Heading2Headings"/>
      </w:pPr>
      <w:r>
        <w:t xml:space="preserve">A safe and quality built environment </w:t>
      </w:r>
    </w:p>
    <w:p w14:paraId="79B4976B" w14:textId="76DB73AC" w:rsidR="00851CCA" w:rsidRDefault="00851CCA" w:rsidP="00FE198A">
      <w:r>
        <w:rPr>
          <w:rStyle w:val="Bold"/>
        </w:rPr>
        <w:t xml:space="preserve">Development Facilitation Program: </w:t>
      </w:r>
      <w:r>
        <w:t>DELWP is enabling a steady pipeline of major projects to drive the ongoing economic and social recovery of Victoria. Since commencement of the development facilitation program in October 2020 to 30 June 2022, the program has recommended priority assessment pathways for 42 major projects worth a total of $7.3 billion and facilitated approval of 19 projects with a combined value of $3.26 billion.</w:t>
      </w:r>
    </w:p>
    <w:p w14:paraId="2021E4D3" w14:textId="5BF1927B" w:rsidR="00851CCA" w:rsidRDefault="00851CCA" w:rsidP="00FE198A">
      <w:pPr>
        <w:rPr>
          <w:spacing w:val="-2"/>
        </w:rPr>
      </w:pPr>
      <w:r>
        <w:rPr>
          <w:rStyle w:val="Bold"/>
          <w:spacing w:val="-2"/>
        </w:rPr>
        <w:t xml:space="preserve">Planning reforms: </w:t>
      </w:r>
      <w:r>
        <w:rPr>
          <w:spacing w:val="-2"/>
        </w:rPr>
        <w:t xml:space="preserve">A range of reforms have been implemented or are underway to bring forward investment and jobs supporting Victoria’s economic recovery including: collaboration with 12 councils through the Better Planning Approvals program to improve and simplify approval processes; support to rural and regional councils with statutory and strategic planning via the Regional Planning Hub program, with over 111 requests for support received from councils; and improved coordination of planning approvals for state infrastructure projects via a dedicated State Project Concierge, with the facilitation of 73 projects or programs since its commencement. </w:t>
      </w:r>
    </w:p>
    <w:p w14:paraId="4F543D5B" w14:textId="77777777" w:rsidR="00851CCA" w:rsidRDefault="00851CCA" w:rsidP="00FE198A">
      <w:pPr>
        <w:rPr>
          <w:rStyle w:val="Bold"/>
        </w:rPr>
      </w:pPr>
      <w:r>
        <w:rPr>
          <w:rStyle w:val="Bold"/>
          <w:spacing w:val="-1"/>
        </w:rPr>
        <w:t>Review of Victoria’s building system:</w:t>
      </w:r>
      <w:r>
        <w:rPr>
          <w:spacing w:val="-1"/>
        </w:rPr>
        <w:t xml:space="preserve"> A comprehensive review of Victoria’s building legislative system is underway. Led by an Expert Advisory Panel working in partnership with DELWP, the review will be delivered across three stages ending in 2023. The panel canvassed reform options in the </w:t>
      </w:r>
      <w:r w:rsidRPr="008959E3">
        <w:rPr>
          <w:rStyle w:val="LightItalic"/>
          <w:rFonts w:ascii="Arial" w:hAnsi="Arial" w:cs="Arial"/>
          <w:spacing w:val="-1"/>
        </w:rPr>
        <w:t>Framework for Reform</w:t>
      </w:r>
      <w:r>
        <w:rPr>
          <w:spacing w:val="-1"/>
        </w:rPr>
        <w:t xml:space="preserve"> paper and provided its report and recommendations for Stage 1 reforms to government in August 2021. The Building, Planning and Heritage Legislation Amendment (Administration and Other Matters) Bill 2022 was introduced into Parliament on 21 June 2022. The Bill will address some of the reforms to Victoria’s building system considered by the expert panel.</w:t>
      </w:r>
    </w:p>
    <w:p w14:paraId="6DC2A991" w14:textId="1798DFAD" w:rsidR="00851CCA" w:rsidRDefault="00851CCA" w:rsidP="00FE198A">
      <w:r>
        <w:rPr>
          <w:rStyle w:val="Bold"/>
        </w:rPr>
        <w:t xml:space="preserve">Victorian Planning Authority Fast Track program: </w:t>
      </w:r>
      <w:r>
        <w:rPr>
          <w:spacing w:val="-1"/>
        </w:rPr>
        <w:t>The Victorian Planning Authority (VPA) completed eight projects in 2021-22 through the Fast-Track program, delivering zoned land for 28,000 homes and 27,000 jobs, and is working towards completing seven further planning and infrastructure projects in 2022-23.</w:t>
      </w:r>
    </w:p>
    <w:p w14:paraId="5FF013E3" w14:textId="77777777" w:rsidR="00851CCA" w:rsidRDefault="00851CCA" w:rsidP="00FE198A">
      <w:r>
        <w:rPr>
          <w:rStyle w:val="Bold"/>
        </w:rPr>
        <w:t xml:space="preserve">Statewide Cladding Audit Intensive Inspection Initiative: </w:t>
      </w:r>
      <w:r>
        <w:rPr>
          <w:spacing w:val="-1"/>
        </w:rPr>
        <w:t>Through the Statewide Cladding Audit, the Victorian Building Authority (VBA) works with owners and owners corporations to identify buildings with combustible cladding and assess risks. During 2021-22, 5,306 virtual reviews, 322 kerbside reviews, 167 inspections and 83 audits were undertaken through the VBA’s Statewide Cladding Audit Intensive Inspection Initiative.</w:t>
      </w:r>
    </w:p>
    <w:p w14:paraId="1837E12E" w14:textId="35D2F405" w:rsidR="00851CCA" w:rsidRDefault="00851CCA" w:rsidP="00284427">
      <w:pPr>
        <w:pStyle w:val="Heading2Headings"/>
      </w:pPr>
      <w:r>
        <w:t>Reduced impact of major bushfires and other emergencies on people, property and the environment</w:t>
      </w:r>
      <w:r w:rsidR="00012C04">
        <w:t xml:space="preserve"> </w:t>
      </w:r>
    </w:p>
    <w:p w14:paraId="32C662E6" w14:textId="77777777" w:rsidR="00851CCA" w:rsidRDefault="00851CCA" w:rsidP="00FE198A">
      <w:r>
        <w:rPr>
          <w:rStyle w:val="Bold"/>
        </w:rPr>
        <w:t xml:space="preserve">Supporting safe egress and access on the strategic fire access road network: </w:t>
      </w:r>
      <w:r>
        <w:t>To improve firefighter and vehicle accessibility on the strategic fire road network, DELWP replaced 10 crossing structures, and delivered 2,024 kilometres of road upgrades and improvements.</w:t>
      </w:r>
    </w:p>
    <w:p w14:paraId="7FCCEC70" w14:textId="77777777" w:rsidR="00851CCA" w:rsidRDefault="00851CCA" w:rsidP="00FE198A">
      <w:pPr>
        <w:rPr>
          <w:spacing w:val="-1"/>
        </w:rPr>
      </w:pPr>
      <w:r>
        <w:rPr>
          <w:rStyle w:val="Bold"/>
          <w:spacing w:val="-1"/>
        </w:rPr>
        <w:lastRenderedPageBreak/>
        <w:t xml:space="preserve">Bushfire, storm and flood recovery: </w:t>
      </w:r>
      <w:r>
        <w:rPr>
          <w:spacing w:val="-1"/>
        </w:rPr>
        <w:t>Throughout 2021-22, recovery work continued in the regions affected by the 2019-20 bushfires and storm and flood events. This included: clearing and reopening 459 kilometres of bushfire-impacted public land roads, with a total of 8,979 kilometres reopened since the 2019-20 bushfire season; clearing 5,974 kilometres of storm debris from public land roads, out of a target 7,280 kilometres; and supporting threatened species and wildlife to recover, including repairing damaged aquatic barriers, installing nest boxes and conducting pest plant and animal control.</w:t>
      </w:r>
    </w:p>
    <w:p w14:paraId="7397918D" w14:textId="77777777" w:rsidR="00851CCA" w:rsidRDefault="00851CCA" w:rsidP="00FE198A">
      <w:r>
        <w:rPr>
          <w:rStyle w:val="Bold"/>
        </w:rPr>
        <w:t xml:space="preserve">Supporting Traditional Owner-led cultural land and fire management practices: </w:t>
      </w:r>
      <w:r>
        <w:t>A total of 13 Traditional Owner cultural burns were delivered in 2021-22. DELWP also worked in partnership with 10 Traditional Owner Corporations to co-develop funding agreements, which will see the transfer of power and resources to them to implement their self-determined pathways for implementing cultural fire.</w:t>
      </w:r>
    </w:p>
    <w:p w14:paraId="18B7BAA6" w14:textId="77777777" w:rsidR="00851CCA" w:rsidRDefault="00851CCA" w:rsidP="00FE198A">
      <w:r>
        <w:rPr>
          <w:rStyle w:val="Bold"/>
        </w:rPr>
        <w:t xml:space="preserve">Safer Together: </w:t>
      </w:r>
      <w:r w:rsidRPr="008959E3">
        <w:rPr>
          <w:rStyle w:val="LightItalic"/>
          <w:rFonts w:ascii="Arial" w:hAnsi="Arial" w:cs="Arial"/>
        </w:rPr>
        <w:t>Safer Together</w:t>
      </w:r>
      <w:r>
        <w:t xml:space="preserve"> is DELWP’s approach to reducing the risks of bushfire in Victoria that combines stronger community partnerships with the latest science and technology. Under the </w:t>
      </w:r>
      <w:r w:rsidRPr="008959E3">
        <w:rPr>
          <w:rStyle w:val="LightItalic"/>
          <w:rFonts w:ascii="Arial" w:hAnsi="Arial" w:cs="Arial"/>
        </w:rPr>
        <w:t>Safer Together</w:t>
      </w:r>
      <w:r>
        <w:t xml:space="preserve"> program, DELWP commissioned a bushfire behaviour database in May 2022 to enable better understanding of bushfire, engaged with communities to improve access to bushfire risk information and build understanding and engaged with Traditional Owner groups to help shape the whole of sector bushfire strategy.</w:t>
      </w:r>
    </w:p>
    <w:p w14:paraId="5B801F7C" w14:textId="77777777" w:rsidR="00851CCA" w:rsidRDefault="00851CCA" w:rsidP="00FE198A">
      <w:r>
        <w:rPr>
          <w:rStyle w:val="Bold"/>
        </w:rPr>
        <w:t>Strengthening partnerships to reduce bushfire risk:</w:t>
      </w:r>
      <w:r>
        <w:t xml:space="preserve"> Established in July 2021, the Office of Bushfire Risk Management is working with fire and land management agencies to develop and coordinate an end-to end framework for policy, planning, delivery and reporting on bushfire risk management across all land tenures in Victoria.</w:t>
      </w:r>
    </w:p>
    <w:p w14:paraId="5D44C631" w14:textId="1E3FE48D" w:rsidR="00851CCA" w:rsidRPr="008959E3" w:rsidRDefault="00851CCA" w:rsidP="008959E3">
      <w:pPr>
        <w:pStyle w:val="Heading3"/>
      </w:pPr>
      <w:r w:rsidRPr="008959E3">
        <w:t>Sustainability Fund</w:t>
      </w:r>
    </w:p>
    <w:p w14:paraId="32742017" w14:textId="77777777" w:rsidR="00851CCA" w:rsidRDefault="00851CCA" w:rsidP="00FE198A">
      <w:r>
        <w:t xml:space="preserve">The Sustainability Fund, established under the </w:t>
      </w:r>
      <w:r w:rsidRPr="008959E3">
        <w:rPr>
          <w:rStyle w:val="LightItalic"/>
          <w:rFonts w:ascii="Arial" w:hAnsi="Arial" w:cs="Arial"/>
        </w:rPr>
        <w:t>Environment Protection Act 2017</w:t>
      </w:r>
      <w:r w:rsidRPr="008959E3">
        <w:rPr>
          <w:rFonts w:cs="Arial"/>
        </w:rPr>
        <w:t>,</w:t>
      </w:r>
      <w:r>
        <w:t xml:space="preserve"> receives money collected from the waste levy to support businesses, local governments and communities through a range of waste management, recycling, resource efficiency and climate change programs.</w:t>
      </w:r>
    </w:p>
    <w:p w14:paraId="2BFFE77A" w14:textId="38DFAC6E" w:rsidR="00851CCA" w:rsidRDefault="00851CCA" w:rsidP="006F71C1">
      <w:pPr>
        <w:pStyle w:val="Normalbeforebullet"/>
      </w:pPr>
      <w:r>
        <w:t xml:space="preserve">In 2021-22, DELWP recorded its third-highest expenditure in the Sustainability Fund’s history, with program payments made of $191.2 million in the legislated areas of: </w:t>
      </w:r>
    </w:p>
    <w:p w14:paraId="135FF3FD" w14:textId="77E6C5CF" w:rsidR="00851CCA" w:rsidRDefault="00851CCA" w:rsidP="00851CCA">
      <w:pPr>
        <w:pStyle w:val="Bullet1Lists"/>
      </w:pPr>
      <w:r>
        <w:t>climate change mitigation and adaptation ($94.58 million)</w:t>
      </w:r>
    </w:p>
    <w:p w14:paraId="631FDB05" w14:textId="7E4A66F6" w:rsidR="00851CCA" w:rsidRDefault="00851CCA" w:rsidP="00851CCA">
      <w:pPr>
        <w:pStyle w:val="Bullet1Lists"/>
      </w:pPr>
      <w:r>
        <w:t>waste management and resource recovery ($93.35 million)</w:t>
      </w:r>
    </w:p>
    <w:p w14:paraId="58222BCD" w14:textId="77777777" w:rsidR="00851CCA" w:rsidRDefault="00851CCA" w:rsidP="006F71C1">
      <w:pPr>
        <w:pStyle w:val="Bullet1Listslast"/>
      </w:pPr>
      <w:r>
        <w:t>both climate change and waste management ($3.25 million).</w:t>
      </w:r>
    </w:p>
    <w:p w14:paraId="31F74146" w14:textId="075CE042" w:rsidR="00851CCA" w:rsidRDefault="00851CCA" w:rsidP="006F71C1">
      <w:pPr>
        <w:pStyle w:val="Normalbeforebullet"/>
      </w:pPr>
      <w:r>
        <w:t>Key achievements of the fund in the waste and recycling sector during 2021-22 include:</w:t>
      </w:r>
    </w:p>
    <w:p w14:paraId="758FE02F" w14:textId="1114053E" w:rsidR="00851CCA" w:rsidRDefault="00851CCA" w:rsidP="00851CCA">
      <w:pPr>
        <w:pStyle w:val="Bullet1Lists"/>
      </w:pPr>
      <w:r>
        <w:t xml:space="preserve">more than 58,000 tonnes of organics waste and 36,000 tonnes of plastic waste diverted from landfill </w:t>
      </w:r>
    </w:p>
    <w:p w14:paraId="2B986F66" w14:textId="77777777" w:rsidR="00851CCA" w:rsidRDefault="00851CCA" w:rsidP="00851CCA">
      <w:pPr>
        <w:pStyle w:val="Bullet1Lists"/>
      </w:pPr>
      <w:r>
        <w:t>137 e-waste collection services were upgraded (more than doubling the total since 2018-19)</w:t>
      </w:r>
    </w:p>
    <w:p w14:paraId="11F66D81" w14:textId="2430D2FC" w:rsidR="00851CCA" w:rsidRDefault="00851CCA" w:rsidP="006F71C1">
      <w:pPr>
        <w:pStyle w:val="Bullet1Listslast"/>
      </w:pPr>
      <w:r>
        <w:t>glass, metal and e-waste collection added to the state’s recycling services.</w:t>
      </w:r>
    </w:p>
    <w:p w14:paraId="35D3B259" w14:textId="77777777" w:rsidR="00851CCA" w:rsidRDefault="00851CCA" w:rsidP="006F71C1">
      <w:pPr>
        <w:pStyle w:val="Normalbeforebullet"/>
      </w:pPr>
      <w:r>
        <w:t>Contributing to state-wide energy affordability, reliability and innovation, Sustainability Fund projects delivered the following achievements during 2021</w:t>
      </w:r>
      <w:r>
        <w:noBreakHyphen/>
        <w:t>22:</w:t>
      </w:r>
    </w:p>
    <w:p w14:paraId="156DDAEC" w14:textId="77777777" w:rsidR="00851CCA" w:rsidRDefault="00851CCA" w:rsidP="00851CCA">
      <w:pPr>
        <w:pStyle w:val="Bullet1Lists"/>
      </w:pPr>
      <w:r>
        <w:t>3,400 kW of renewable energy capacity installed</w:t>
      </w:r>
    </w:p>
    <w:p w14:paraId="32745A5D" w14:textId="77777777" w:rsidR="00851CCA" w:rsidRDefault="00851CCA" w:rsidP="006F71C1">
      <w:pPr>
        <w:pStyle w:val="Bullet1Listslast"/>
      </w:pPr>
      <w:r>
        <w:t>457,000,000 kWh of renewable energy generated.</w:t>
      </w:r>
    </w:p>
    <w:p w14:paraId="34BB7854" w14:textId="77777777" w:rsidR="00851CCA" w:rsidRDefault="00851CCA" w:rsidP="006F71C1">
      <w:pPr>
        <w:pStyle w:val="Normalbeforebullet"/>
      </w:pPr>
      <w:r>
        <w:t>An ongoing priority of Victoria’s sustainability agenda for 2021-22 was the engagement of community members in activities and the development of partnerships to deliver projects. Positive results were achieved throughout the year, including:</w:t>
      </w:r>
    </w:p>
    <w:p w14:paraId="1704007D" w14:textId="77777777" w:rsidR="00851CCA" w:rsidRDefault="00851CCA" w:rsidP="00851CCA">
      <w:pPr>
        <w:pStyle w:val="Bullet1Lists"/>
      </w:pPr>
      <w:r>
        <w:t>more than 9,000 people participated in activities to protect Victoria’s coasts</w:t>
      </w:r>
    </w:p>
    <w:p w14:paraId="0F938A50" w14:textId="77777777" w:rsidR="00851CCA" w:rsidRDefault="00851CCA" w:rsidP="00851CCA">
      <w:pPr>
        <w:pStyle w:val="Bullet1Lists"/>
      </w:pPr>
      <w:r>
        <w:lastRenderedPageBreak/>
        <w:t>more than 450 schools adopted environmental actions</w:t>
      </w:r>
    </w:p>
    <w:p w14:paraId="2A2DDCCE" w14:textId="77777777" w:rsidR="00851CCA" w:rsidRDefault="00851CCA" w:rsidP="006F71C1">
      <w:pPr>
        <w:pStyle w:val="Bullet1Listslast"/>
      </w:pPr>
      <w:r>
        <w:t>240 partnerships or collaborations were formed.</w:t>
      </w:r>
    </w:p>
    <w:p w14:paraId="0AA55BE9" w14:textId="77777777" w:rsidR="00B02873" w:rsidRDefault="00B02873" w:rsidP="00FE198A">
      <w:pPr>
        <w:pStyle w:val="Heading1"/>
      </w:pPr>
      <w:bookmarkStart w:id="2" w:name="_Toc117447350"/>
      <w:r>
        <w:t>About DELWP</w:t>
      </w:r>
      <w:bookmarkEnd w:id="2"/>
    </w:p>
    <w:p w14:paraId="04C3C0FB" w14:textId="77777777" w:rsidR="00B02873" w:rsidRDefault="00B02873" w:rsidP="00FE198A">
      <w:r>
        <w:t xml:space="preserve">DELWP brings together Victoria’s climate change, biodiversity protection, resource recovery, water, energy, land management, planning and forest and fire management functions into a single department. We take an integrated approach to creating thriving environments and communities, as well as supporting Victoria’s economic recovery from the impact of the COVID-19 pandemic. Our portfolio priorities are underpinned by a commitment to Aboriginal self-determination, effective action on climate change and recovery from natural disasters. </w:t>
      </w:r>
    </w:p>
    <w:p w14:paraId="64CF0DA9" w14:textId="70A75DA6" w:rsidR="00B02873" w:rsidRDefault="00B02873" w:rsidP="00FE198A">
      <w:r>
        <w:t>Our challenge is to improve Victoria’s liveability with a population that is expected to increase to 11.2 million by 2056, while protecting our natural environment, infrastructure and heritage for future generations. These challenges require global and local responses, and immediate and long-term solutions. Our substantial reach allows us to take a holistic approach to these challenges.</w:t>
      </w:r>
    </w:p>
    <w:p w14:paraId="764BFA3D" w14:textId="77777777" w:rsidR="00B02873" w:rsidRDefault="00B02873" w:rsidP="00FE198A">
      <w:r>
        <w:t xml:space="preserve">Our positive organisational culture drives high performance through strong leadership, diversity, collaboration and innovation, enabling us to learn from each other, grow our understanding and find new ways of delivering results. </w:t>
      </w:r>
    </w:p>
    <w:p w14:paraId="5BCBDAF0" w14:textId="77777777" w:rsidR="00B02873" w:rsidRDefault="00B02873" w:rsidP="00FE198A">
      <w:r>
        <w:t xml:space="preserve">It is our legislated responsibility to provide environmental stewardship, but it is our enduring commitment to the Victorian people and environment that motivates our daily actions. </w:t>
      </w:r>
    </w:p>
    <w:p w14:paraId="369B0EDE" w14:textId="79511EB8" w:rsidR="00B02873" w:rsidRDefault="00B02873" w:rsidP="00FE198A">
      <w:r>
        <w:t>DELWP employs more than 5,400 staff in 87 locations across the state and is a key manager of Victoria’s public estate. DELWP directly manages</w:t>
      </w:r>
      <w:r w:rsidR="006F71C1">
        <w:t xml:space="preserve"> </w:t>
      </w:r>
      <w:r>
        <w:t xml:space="preserve">$9 billion of assets, 79 per cent of the asset portfolio comprises various categories of public land. DELWP also owns and manages approximately $2 billion of other assets including 40,000 kilometres of roads and tracks, office buildings, depots, recreational facilities, firefighting and road maintenance equipment, crossings, water bores and mobile plant. </w:t>
      </w:r>
    </w:p>
    <w:p w14:paraId="759620C7" w14:textId="77777777" w:rsidR="00B02873" w:rsidRDefault="00B02873" w:rsidP="00284427">
      <w:pPr>
        <w:pStyle w:val="Heading2Headings"/>
      </w:pPr>
      <w:r>
        <w:t>One-DELWP Strategic Framework 2021-25</w:t>
      </w:r>
    </w:p>
    <w:p w14:paraId="1B747319" w14:textId="77777777" w:rsidR="00B02873" w:rsidRDefault="00B02873" w:rsidP="006F71C1">
      <w:pPr>
        <w:pStyle w:val="Normalbeforebullet"/>
      </w:pPr>
      <w:r>
        <w:t>The DELWP Corporate Plan 2021-25 defines our strategic framework:</w:t>
      </w:r>
    </w:p>
    <w:p w14:paraId="5D7042D9" w14:textId="77777777" w:rsidR="00B02873" w:rsidRDefault="00B02873" w:rsidP="00FE198A">
      <w:r>
        <w:rPr>
          <w:rStyle w:val="Bold"/>
        </w:rPr>
        <w:t xml:space="preserve">Our vision: </w:t>
      </w:r>
      <w:r>
        <w:t>Thriving environments and communities</w:t>
      </w:r>
    </w:p>
    <w:p w14:paraId="36C16496" w14:textId="77777777" w:rsidR="00B02873" w:rsidRDefault="00B02873" w:rsidP="00FE198A">
      <w:r>
        <w:rPr>
          <w:rStyle w:val="Bold"/>
        </w:rPr>
        <w:t>Our values:</w:t>
      </w:r>
      <w:r>
        <w:t xml:space="preserve"> Teamwork, Service Excellence, Ownership, and Wellbeing and Safety</w:t>
      </w:r>
    </w:p>
    <w:p w14:paraId="343C9B98" w14:textId="77777777" w:rsidR="00B02873" w:rsidRDefault="00B02873" w:rsidP="006F71C1">
      <w:pPr>
        <w:pStyle w:val="Normalbeforebullet"/>
        <w:rPr>
          <w:rStyle w:val="Bold"/>
        </w:rPr>
      </w:pPr>
      <w:r>
        <w:rPr>
          <w:rStyle w:val="Bold"/>
        </w:rPr>
        <w:t>Our organisational pillars:</w:t>
      </w:r>
    </w:p>
    <w:p w14:paraId="1429EC8A" w14:textId="77777777" w:rsidR="00B02873" w:rsidRDefault="00B02873" w:rsidP="00B02873">
      <w:pPr>
        <w:pStyle w:val="Bullet1Lists"/>
      </w:pPr>
      <w:r>
        <w:t>High performance and delivery for government</w:t>
      </w:r>
    </w:p>
    <w:p w14:paraId="27642734" w14:textId="77777777" w:rsidR="00B02873" w:rsidRDefault="00B02873" w:rsidP="00B02873">
      <w:pPr>
        <w:pStyle w:val="Bullet1Lists"/>
      </w:pPr>
      <w:r>
        <w:t>Aboriginal self-determination</w:t>
      </w:r>
    </w:p>
    <w:p w14:paraId="4840AACA" w14:textId="77777777" w:rsidR="00B02873" w:rsidRDefault="00B02873" w:rsidP="00B02873">
      <w:pPr>
        <w:pStyle w:val="Bullet1Lists"/>
      </w:pPr>
      <w:r>
        <w:t>Trusted leadership and inclusive culture</w:t>
      </w:r>
    </w:p>
    <w:p w14:paraId="73E4EA5C" w14:textId="77777777" w:rsidR="00B02873" w:rsidRDefault="00B02873" w:rsidP="00B02873">
      <w:pPr>
        <w:pStyle w:val="Bullet1Lists"/>
      </w:pPr>
      <w:r>
        <w:t>Strong engagement, partnerships, and service excellence</w:t>
      </w:r>
    </w:p>
    <w:p w14:paraId="2FFFC99A" w14:textId="77777777" w:rsidR="00B02873" w:rsidRDefault="00B02873" w:rsidP="006F71C1">
      <w:pPr>
        <w:pStyle w:val="Bullet1Listslast"/>
      </w:pPr>
      <w:r>
        <w:t xml:space="preserve">Empowered people with a One-DELWP mindset </w:t>
      </w:r>
    </w:p>
    <w:p w14:paraId="02E5EE4B" w14:textId="77777777" w:rsidR="00B02873" w:rsidRDefault="00B02873" w:rsidP="006F71C1">
      <w:pPr>
        <w:pStyle w:val="Normalbeforebullet"/>
        <w:rPr>
          <w:rStyle w:val="Bold"/>
        </w:rPr>
      </w:pPr>
      <w:r>
        <w:rPr>
          <w:rStyle w:val="Bold"/>
        </w:rPr>
        <w:t>Our outcomes:</w:t>
      </w:r>
    </w:p>
    <w:p w14:paraId="49F36273" w14:textId="77777777" w:rsidR="00B02873" w:rsidRDefault="00B02873" w:rsidP="00B02873">
      <w:pPr>
        <w:pStyle w:val="Bullet1Lists"/>
      </w:pPr>
      <w:r>
        <w:t xml:space="preserve">Net zero emissions, climate-ready economy and community </w:t>
      </w:r>
    </w:p>
    <w:p w14:paraId="1914C041" w14:textId="77777777" w:rsidR="00B02873" w:rsidRDefault="00B02873" w:rsidP="00B02873">
      <w:pPr>
        <w:pStyle w:val="Bullet1Lists"/>
      </w:pPr>
      <w:r>
        <w:t xml:space="preserve">Healthy, resilient and biodiverse environment </w:t>
      </w:r>
    </w:p>
    <w:p w14:paraId="4C204C5D" w14:textId="77777777" w:rsidR="00B02873" w:rsidRDefault="00B02873" w:rsidP="00B02873">
      <w:pPr>
        <w:pStyle w:val="Bullet1Lists"/>
      </w:pPr>
      <w:r>
        <w:t>Reliable, sustainable and affordable energy services</w:t>
      </w:r>
    </w:p>
    <w:p w14:paraId="0E1E61F5" w14:textId="77777777" w:rsidR="00B02873" w:rsidRDefault="00B02873" w:rsidP="00B02873">
      <w:pPr>
        <w:pStyle w:val="Bullet1Lists"/>
      </w:pPr>
      <w:r>
        <w:t xml:space="preserve">Productive and effective land management </w:t>
      </w:r>
    </w:p>
    <w:p w14:paraId="3EA0A322" w14:textId="77777777" w:rsidR="00B02873" w:rsidRDefault="00B02873" w:rsidP="00B02873">
      <w:pPr>
        <w:pStyle w:val="Bullet1Lists"/>
      </w:pPr>
      <w:r>
        <w:lastRenderedPageBreak/>
        <w:t>Safe, sustainable and productive water resources</w:t>
      </w:r>
    </w:p>
    <w:p w14:paraId="339F32DB" w14:textId="77777777" w:rsidR="00B02873" w:rsidRDefault="00B02873" w:rsidP="00B02873">
      <w:pPr>
        <w:pStyle w:val="Bullet1Lists"/>
      </w:pPr>
      <w:r>
        <w:t>A safe and quality-built environment</w:t>
      </w:r>
    </w:p>
    <w:p w14:paraId="7D6EDDC9" w14:textId="77777777" w:rsidR="00B02873" w:rsidRDefault="00B02873" w:rsidP="006F71C1">
      <w:pPr>
        <w:pStyle w:val="Bullet1Listslast"/>
      </w:pPr>
      <w:r>
        <w:t>Reduced impact of major bushfires and other emergencies on people, property and the environment.</w:t>
      </w:r>
    </w:p>
    <w:p w14:paraId="213F6D3F" w14:textId="77777777" w:rsidR="00B02873" w:rsidRDefault="00B02873" w:rsidP="00284427">
      <w:pPr>
        <w:pStyle w:val="Heading2Headings"/>
      </w:pPr>
      <w:r>
        <w:t>Our community charter and operating model</w:t>
      </w:r>
    </w:p>
    <w:p w14:paraId="194EBBDE" w14:textId="77777777" w:rsidR="00B02873" w:rsidRDefault="00B02873" w:rsidP="00FE198A">
      <w:r>
        <w:t>With diverse communities come diverse needs, DELWP takes a proactive, collaborative and accountable approach to responding to the needs of the communities we serve. DELWP engages with community partners, clients and stakeholders to deliver services that support liveable, inclusive and sustainable communities and thriving natural environments.</w:t>
      </w:r>
    </w:p>
    <w:p w14:paraId="7C89ED0A" w14:textId="6993D00B" w:rsidR="00B02873" w:rsidRDefault="00B02873" w:rsidP="006F52C9">
      <w:pPr>
        <w:pStyle w:val="Figureheading"/>
      </w:pPr>
      <w:r>
        <w:t>Our promise to Victorians</w:t>
      </w:r>
      <w:r w:rsidR="000C45FC">
        <w:t xml:space="preserve"> – </w:t>
      </w:r>
      <w:r>
        <w:t>In all aspects of our work and interaction with the public we will:</w:t>
      </w:r>
    </w:p>
    <w:tbl>
      <w:tblPr>
        <w:tblStyle w:val="TableGrid"/>
        <w:tblW w:w="9633" w:type="dxa"/>
        <w:tblLayout w:type="fixed"/>
        <w:tblLook w:val="0020" w:firstRow="1" w:lastRow="0" w:firstColumn="0" w:lastColumn="0" w:noHBand="0" w:noVBand="0"/>
      </w:tblPr>
      <w:tblGrid>
        <w:gridCol w:w="2492"/>
        <w:gridCol w:w="2381"/>
        <w:gridCol w:w="4760"/>
      </w:tblGrid>
      <w:tr w:rsidR="00B02873" w:rsidRPr="00B02873" w14:paraId="015D6372" w14:textId="77777777" w:rsidTr="002F4F06">
        <w:trPr>
          <w:cnfStyle w:val="100000000000" w:firstRow="1" w:lastRow="0" w:firstColumn="0" w:lastColumn="0" w:oddVBand="0" w:evenVBand="0" w:oddHBand="0" w:evenHBand="0" w:firstRowFirstColumn="0" w:firstRowLastColumn="0" w:lastRowFirstColumn="0" w:lastRowLastColumn="0"/>
          <w:trHeight w:val="60"/>
        </w:trPr>
        <w:tc>
          <w:tcPr>
            <w:tcW w:w="2492" w:type="dxa"/>
          </w:tcPr>
          <w:p w14:paraId="06585271" w14:textId="77777777" w:rsidR="00B02873" w:rsidRDefault="00B02873" w:rsidP="004145AF">
            <w:pPr>
              <w:pStyle w:val="TablebodyleftTables"/>
            </w:pPr>
            <w:r>
              <w:t xml:space="preserve">Be </w:t>
            </w:r>
            <w:r w:rsidRPr="004145AF">
              <w:t>available</w:t>
            </w:r>
          </w:p>
        </w:tc>
        <w:tc>
          <w:tcPr>
            <w:tcW w:w="2381" w:type="dxa"/>
          </w:tcPr>
          <w:p w14:paraId="055F5F1E" w14:textId="77777777" w:rsidR="00B02873" w:rsidRPr="007116DF" w:rsidRDefault="00B02873" w:rsidP="004145AF">
            <w:pPr>
              <w:pStyle w:val="TablebodyleftTables"/>
              <w:rPr>
                <w:rFonts w:cs="Arial"/>
              </w:rPr>
            </w:pPr>
            <w:r w:rsidRPr="007116DF">
              <w:rPr>
                <w:rFonts w:cs="Arial"/>
                <w:b/>
                <w:bCs/>
              </w:rPr>
              <w:t>Place-based community focus</w:t>
            </w:r>
          </w:p>
        </w:tc>
        <w:tc>
          <w:tcPr>
            <w:tcW w:w="4760" w:type="dxa"/>
          </w:tcPr>
          <w:p w14:paraId="36D0BFDD" w14:textId="3D0847E5" w:rsidR="00B02873" w:rsidRDefault="00B02873" w:rsidP="004145AF">
            <w:pPr>
              <w:pStyle w:val="TablebodyleftTables"/>
            </w:pPr>
            <w:r>
              <w:t>Talk to you where you live, work and play and be visible in local communities</w:t>
            </w:r>
          </w:p>
        </w:tc>
      </w:tr>
      <w:tr w:rsidR="00B02873" w:rsidRPr="007B509E" w14:paraId="22ADA1DE" w14:textId="77777777" w:rsidTr="002F4F06">
        <w:trPr>
          <w:trHeight w:val="60"/>
        </w:trPr>
        <w:tc>
          <w:tcPr>
            <w:tcW w:w="2492" w:type="dxa"/>
          </w:tcPr>
          <w:p w14:paraId="76BCBDF0" w14:textId="77777777" w:rsidR="00B02873" w:rsidRPr="007B509E" w:rsidRDefault="00B02873" w:rsidP="004145AF">
            <w:pPr>
              <w:pStyle w:val="NoParagraphStyle"/>
              <w:spacing w:line="240" w:lineRule="auto"/>
              <w:textAlignment w:val="auto"/>
              <w:rPr>
                <w:rFonts w:ascii="Arial" w:hAnsi="Arial" w:cs="Times New Roman"/>
                <w:color w:val="auto"/>
                <w:lang w:val="en-AU"/>
              </w:rPr>
            </w:pPr>
          </w:p>
        </w:tc>
        <w:tc>
          <w:tcPr>
            <w:tcW w:w="2381" w:type="dxa"/>
          </w:tcPr>
          <w:p w14:paraId="41CFA2DD" w14:textId="77777777" w:rsidR="00B02873" w:rsidRPr="007B509E" w:rsidRDefault="00B02873" w:rsidP="004145AF">
            <w:pPr>
              <w:pStyle w:val="TablebodyleftTables"/>
              <w:rPr>
                <w:rFonts w:cs="Arial"/>
              </w:rPr>
            </w:pPr>
            <w:r w:rsidRPr="007B509E">
              <w:rPr>
                <w:rFonts w:cs="Arial"/>
                <w:b/>
                <w:bCs/>
              </w:rPr>
              <w:t>Accessibility</w:t>
            </w:r>
          </w:p>
        </w:tc>
        <w:tc>
          <w:tcPr>
            <w:tcW w:w="4760" w:type="dxa"/>
          </w:tcPr>
          <w:p w14:paraId="55A7D545" w14:textId="13AB00E9" w:rsidR="00B02873" w:rsidRPr="007B509E" w:rsidRDefault="00B02873" w:rsidP="004145AF">
            <w:pPr>
              <w:pStyle w:val="TablebodyleftTables"/>
            </w:pPr>
            <w:r w:rsidRPr="007B509E">
              <w:t>Make sure we are easy to contact, and our information is straightforward and available in a variety of ways</w:t>
            </w:r>
          </w:p>
        </w:tc>
      </w:tr>
      <w:tr w:rsidR="00B02873" w:rsidRPr="007B509E" w14:paraId="3A95B671" w14:textId="77777777" w:rsidTr="002F4F06">
        <w:trPr>
          <w:trHeight w:val="60"/>
        </w:trPr>
        <w:tc>
          <w:tcPr>
            <w:tcW w:w="2492" w:type="dxa"/>
          </w:tcPr>
          <w:p w14:paraId="7A278767" w14:textId="77777777" w:rsidR="00B02873" w:rsidRPr="007B509E" w:rsidRDefault="00B02873" w:rsidP="004145AF">
            <w:pPr>
              <w:pStyle w:val="NoParagraphStyle"/>
              <w:spacing w:line="240" w:lineRule="auto"/>
              <w:textAlignment w:val="auto"/>
              <w:rPr>
                <w:rFonts w:ascii="Arial" w:hAnsi="Arial" w:cs="Times New Roman"/>
                <w:color w:val="auto"/>
                <w:lang w:val="en-AU"/>
              </w:rPr>
            </w:pPr>
          </w:p>
        </w:tc>
        <w:tc>
          <w:tcPr>
            <w:tcW w:w="2381" w:type="dxa"/>
          </w:tcPr>
          <w:p w14:paraId="59827EBD" w14:textId="77777777" w:rsidR="00B02873" w:rsidRPr="007B509E" w:rsidRDefault="00B02873" w:rsidP="004145AF">
            <w:pPr>
              <w:pStyle w:val="TablebodyleftTables"/>
              <w:rPr>
                <w:rFonts w:cs="Arial"/>
              </w:rPr>
            </w:pPr>
            <w:r w:rsidRPr="007B509E">
              <w:rPr>
                <w:rFonts w:cs="Arial"/>
                <w:b/>
                <w:bCs/>
              </w:rPr>
              <w:t>Flexibility</w:t>
            </w:r>
          </w:p>
        </w:tc>
        <w:tc>
          <w:tcPr>
            <w:tcW w:w="4760" w:type="dxa"/>
          </w:tcPr>
          <w:p w14:paraId="7E451078" w14:textId="77777777" w:rsidR="00B02873" w:rsidRPr="007B509E" w:rsidRDefault="00B02873" w:rsidP="004145AF">
            <w:pPr>
              <w:pStyle w:val="TablebodyleftTables"/>
            </w:pPr>
            <w:r w:rsidRPr="007B509E">
              <w:t>Respect the way you want to work with us, and adapt our approach according to local needs</w:t>
            </w:r>
          </w:p>
        </w:tc>
      </w:tr>
      <w:tr w:rsidR="00B02873" w:rsidRPr="00B02873" w14:paraId="5FC4A344" w14:textId="77777777" w:rsidTr="002F4F06">
        <w:trPr>
          <w:trHeight w:val="60"/>
        </w:trPr>
        <w:tc>
          <w:tcPr>
            <w:tcW w:w="2492" w:type="dxa"/>
          </w:tcPr>
          <w:p w14:paraId="31BD08F3" w14:textId="77777777" w:rsidR="00B02873" w:rsidRDefault="00B02873" w:rsidP="004145AF">
            <w:pPr>
              <w:pStyle w:val="TablebodyleftTables"/>
              <w:tabs>
                <w:tab w:val="left" w:pos="1020"/>
              </w:tabs>
              <w:spacing w:after="0"/>
              <w:ind w:left="1020" w:hanging="1020"/>
            </w:pPr>
            <w:r>
              <w:t>Speak and listen</w:t>
            </w:r>
          </w:p>
        </w:tc>
        <w:tc>
          <w:tcPr>
            <w:tcW w:w="2381" w:type="dxa"/>
          </w:tcPr>
          <w:p w14:paraId="3C0D2094" w14:textId="77777777" w:rsidR="00B02873" w:rsidRPr="007116DF" w:rsidRDefault="00B02873" w:rsidP="004145AF">
            <w:pPr>
              <w:pStyle w:val="TablebodyleftTables"/>
              <w:rPr>
                <w:rFonts w:cs="Arial"/>
              </w:rPr>
            </w:pPr>
            <w:r w:rsidRPr="007116DF">
              <w:rPr>
                <w:rFonts w:cs="Arial"/>
                <w:b/>
                <w:bCs/>
              </w:rPr>
              <w:t>Active listening and understanding</w:t>
            </w:r>
          </w:p>
        </w:tc>
        <w:tc>
          <w:tcPr>
            <w:tcW w:w="4760" w:type="dxa"/>
          </w:tcPr>
          <w:p w14:paraId="5EA7A07C" w14:textId="77777777" w:rsidR="00B02873" w:rsidRDefault="00B02873" w:rsidP="004145AF">
            <w:pPr>
              <w:pStyle w:val="TablebodyleftTables"/>
            </w:pPr>
            <w:r>
              <w:t xml:space="preserve">Listen to and understand your views and needs </w:t>
            </w:r>
            <w:r>
              <w:br/>
              <w:t>and respect different opinions</w:t>
            </w:r>
          </w:p>
        </w:tc>
      </w:tr>
      <w:tr w:rsidR="00B02873" w:rsidRPr="007B509E" w14:paraId="060F1F65" w14:textId="77777777" w:rsidTr="002F4F06">
        <w:trPr>
          <w:trHeight w:val="60"/>
        </w:trPr>
        <w:tc>
          <w:tcPr>
            <w:tcW w:w="2492" w:type="dxa"/>
          </w:tcPr>
          <w:p w14:paraId="15B848F7" w14:textId="77777777" w:rsidR="00B02873" w:rsidRPr="007B509E" w:rsidRDefault="00B02873" w:rsidP="004145AF">
            <w:pPr>
              <w:pStyle w:val="NoParagraphStyle"/>
              <w:spacing w:line="240" w:lineRule="auto"/>
              <w:textAlignment w:val="auto"/>
              <w:rPr>
                <w:rFonts w:ascii="Arial" w:hAnsi="Arial" w:cs="Times New Roman"/>
                <w:color w:val="auto"/>
                <w:lang w:val="en-AU"/>
              </w:rPr>
            </w:pPr>
          </w:p>
        </w:tc>
        <w:tc>
          <w:tcPr>
            <w:tcW w:w="2381" w:type="dxa"/>
          </w:tcPr>
          <w:p w14:paraId="59D3D65D" w14:textId="77777777" w:rsidR="00B02873" w:rsidRPr="007B509E" w:rsidRDefault="00B02873" w:rsidP="004145AF">
            <w:pPr>
              <w:pStyle w:val="TablebodyleftTables"/>
              <w:rPr>
                <w:rFonts w:cs="Arial"/>
              </w:rPr>
            </w:pPr>
            <w:r w:rsidRPr="007B509E">
              <w:rPr>
                <w:rFonts w:cs="Arial"/>
                <w:b/>
                <w:bCs/>
              </w:rPr>
              <w:t>Honesty and transparency</w:t>
            </w:r>
          </w:p>
        </w:tc>
        <w:tc>
          <w:tcPr>
            <w:tcW w:w="4760" w:type="dxa"/>
          </w:tcPr>
          <w:p w14:paraId="2ED39530" w14:textId="096C1D41" w:rsidR="00B02873" w:rsidRPr="007B509E" w:rsidRDefault="00B02873" w:rsidP="004145AF">
            <w:pPr>
              <w:pStyle w:val="TablebodyleftTables"/>
            </w:pPr>
            <w:r w:rsidRPr="007B509E">
              <w:t>Be honest about what’s driving our priorities, what we can and can’t promise to do, our timelines and why decisions have been made</w:t>
            </w:r>
          </w:p>
        </w:tc>
      </w:tr>
      <w:tr w:rsidR="00B02873" w:rsidRPr="007B509E" w14:paraId="0DD75233" w14:textId="77777777" w:rsidTr="002F4F06">
        <w:trPr>
          <w:trHeight w:val="60"/>
        </w:trPr>
        <w:tc>
          <w:tcPr>
            <w:tcW w:w="2492" w:type="dxa"/>
          </w:tcPr>
          <w:p w14:paraId="0D3407B6" w14:textId="77777777" w:rsidR="00B02873" w:rsidRPr="007B509E" w:rsidRDefault="00B02873" w:rsidP="004145AF">
            <w:pPr>
              <w:pStyle w:val="NoParagraphStyle"/>
              <w:spacing w:line="240" w:lineRule="auto"/>
              <w:textAlignment w:val="auto"/>
              <w:rPr>
                <w:rFonts w:ascii="Arial" w:hAnsi="Arial" w:cs="Times New Roman"/>
                <w:color w:val="auto"/>
                <w:lang w:val="en-AU"/>
              </w:rPr>
            </w:pPr>
          </w:p>
        </w:tc>
        <w:tc>
          <w:tcPr>
            <w:tcW w:w="2381" w:type="dxa"/>
          </w:tcPr>
          <w:p w14:paraId="2018966E" w14:textId="77777777" w:rsidR="00B02873" w:rsidRPr="007B509E" w:rsidRDefault="00B02873" w:rsidP="004145AF">
            <w:pPr>
              <w:pStyle w:val="TablebodyleftTables"/>
              <w:rPr>
                <w:rFonts w:cs="Arial"/>
              </w:rPr>
            </w:pPr>
            <w:r w:rsidRPr="007B509E">
              <w:rPr>
                <w:rFonts w:cs="Arial"/>
                <w:b/>
                <w:bCs/>
              </w:rPr>
              <w:t>Clarity and purposefulness</w:t>
            </w:r>
          </w:p>
        </w:tc>
        <w:tc>
          <w:tcPr>
            <w:tcW w:w="4760" w:type="dxa"/>
          </w:tcPr>
          <w:p w14:paraId="6A4FAE1C" w14:textId="216A6331" w:rsidR="00B02873" w:rsidRPr="007B509E" w:rsidRDefault="00B02873" w:rsidP="004145AF">
            <w:pPr>
              <w:pStyle w:val="TablebodyleftTables"/>
            </w:pPr>
            <w:r w:rsidRPr="007B509E">
              <w:t>Be clear why and how we are engaging, making sure we give you real opportunities to influence and make a difference</w:t>
            </w:r>
          </w:p>
        </w:tc>
      </w:tr>
      <w:tr w:rsidR="00B02873" w:rsidRPr="00B02873" w14:paraId="7970B992" w14:textId="77777777" w:rsidTr="002F4F06">
        <w:trPr>
          <w:trHeight w:val="60"/>
        </w:trPr>
        <w:tc>
          <w:tcPr>
            <w:tcW w:w="2492" w:type="dxa"/>
          </w:tcPr>
          <w:p w14:paraId="7A39F09C" w14:textId="77777777" w:rsidR="00B02873" w:rsidRDefault="00B02873" w:rsidP="004145AF">
            <w:pPr>
              <w:pStyle w:val="TablebodyleftTables"/>
              <w:spacing w:after="0"/>
            </w:pPr>
            <w:r>
              <w:t>Take action</w:t>
            </w:r>
          </w:p>
        </w:tc>
        <w:tc>
          <w:tcPr>
            <w:tcW w:w="2381" w:type="dxa"/>
          </w:tcPr>
          <w:p w14:paraId="1BD08975" w14:textId="77777777" w:rsidR="00B02873" w:rsidRPr="007116DF" w:rsidRDefault="00B02873" w:rsidP="004145AF">
            <w:pPr>
              <w:pStyle w:val="TablebodyleftTables"/>
              <w:rPr>
                <w:rFonts w:cs="Arial"/>
              </w:rPr>
            </w:pPr>
            <w:r w:rsidRPr="007116DF">
              <w:rPr>
                <w:rFonts w:cs="Arial"/>
                <w:b/>
                <w:bCs/>
              </w:rPr>
              <w:t>Timely and proactive</w:t>
            </w:r>
          </w:p>
        </w:tc>
        <w:tc>
          <w:tcPr>
            <w:tcW w:w="4760" w:type="dxa"/>
          </w:tcPr>
          <w:p w14:paraId="2A361FDA" w14:textId="77777777" w:rsidR="00B02873" w:rsidRDefault="00B02873" w:rsidP="004145AF">
            <w:pPr>
              <w:pStyle w:val="TablebodyleftTables"/>
            </w:pPr>
            <w:r>
              <w:t>Talk to the community as early as we can, responding quickly to issues and feedback</w:t>
            </w:r>
          </w:p>
        </w:tc>
      </w:tr>
      <w:tr w:rsidR="00B02873" w:rsidRPr="007B509E" w14:paraId="728A2896" w14:textId="77777777" w:rsidTr="002F4F06">
        <w:trPr>
          <w:trHeight w:val="60"/>
        </w:trPr>
        <w:tc>
          <w:tcPr>
            <w:tcW w:w="2492" w:type="dxa"/>
          </w:tcPr>
          <w:p w14:paraId="748C0BE6" w14:textId="77777777" w:rsidR="00B02873" w:rsidRPr="007B509E" w:rsidRDefault="00B02873" w:rsidP="004145AF">
            <w:pPr>
              <w:pStyle w:val="NoParagraphStyle"/>
              <w:spacing w:line="240" w:lineRule="auto"/>
              <w:textAlignment w:val="auto"/>
              <w:rPr>
                <w:rFonts w:ascii="Arial" w:hAnsi="Arial" w:cs="Times New Roman"/>
                <w:color w:val="auto"/>
                <w:lang w:val="en-AU"/>
              </w:rPr>
            </w:pPr>
          </w:p>
        </w:tc>
        <w:tc>
          <w:tcPr>
            <w:tcW w:w="2381" w:type="dxa"/>
          </w:tcPr>
          <w:p w14:paraId="3BB16C1E" w14:textId="77777777" w:rsidR="00B02873" w:rsidRPr="007B509E" w:rsidRDefault="00B02873" w:rsidP="004145AF">
            <w:pPr>
              <w:pStyle w:val="TablebodyleftTables"/>
              <w:rPr>
                <w:rFonts w:cs="Arial"/>
              </w:rPr>
            </w:pPr>
            <w:r w:rsidRPr="007B509E">
              <w:rPr>
                <w:rFonts w:cs="Arial"/>
                <w:b/>
                <w:bCs/>
              </w:rPr>
              <w:t>Consistency</w:t>
            </w:r>
          </w:p>
        </w:tc>
        <w:tc>
          <w:tcPr>
            <w:tcW w:w="4760" w:type="dxa"/>
          </w:tcPr>
          <w:p w14:paraId="208D9497" w14:textId="77777777" w:rsidR="00B02873" w:rsidRPr="007B509E" w:rsidRDefault="00B02873" w:rsidP="004145AF">
            <w:pPr>
              <w:pStyle w:val="TablebodyleftTables"/>
            </w:pPr>
            <w:r w:rsidRPr="007B509E">
              <w:t>Ensure we are consistent in the way we approach decisions</w:t>
            </w:r>
          </w:p>
        </w:tc>
      </w:tr>
      <w:tr w:rsidR="00B02873" w:rsidRPr="007B509E" w14:paraId="6C99580E" w14:textId="77777777" w:rsidTr="002F4F06">
        <w:trPr>
          <w:trHeight w:val="60"/>
        </w:trPr>
        <w:tc>
          <w:tcPr>
            <w:tcW w:w="2492" w:type="dxa"/>
          </w:tcPr>
          <w:p w14:paraId="39440A7D" w14:textId="77777777" w:rsidR="00B02873" w:rsidRPr="007B509E" w:rsidRDefault="00B02873" w:rsidP="004145AF">
            <w:pPr>
              <w:pStyle w:val="NoParagraphStyle"/>
              <w:spacing w:line="240" w:lineRule="auto"/>
              <w:textAlignment w:val="auto"/>
              <w:rPr>
                <w:rFonts w:ascii="Arial" w:hAnsi="Arial" w:cs="Times New Roman"/>
                <w:color w:val="auto"/>
                <w:lang w:val="en-AU"/>
              </w:rPr>
            </w:pPr>
          </w:p>
        </w:tc>
        <w:tc>
          <w:tcPr>
            <w:tcW w:w="2381" w:type="dxa"/>
          </w:tcPr>
          <w:p w14:paraId="02532AF7" w14:textId="77777777" w:rsidR="00B02873" w:rsidRPr="007B509E" w:rsidRDefault="00B02873" w:rsidP="004145AF">
            <w:pPr>
              <w:pStyle w:val="TablebodyleftTables"/>
              <w:rPr>
                <w:rFonts w:cs="Arial"/>
              </w:rPr>
            </w:pPr>
            <w:r w:rsidRPr="007B509E">
              <w:rPr>
                <w:rFonts w:cs="Arial"/>
                <w:b/>
                <w:bCs/>
              </w:rPr>
              <w:t>Closing the loop</w:t>
            </w:r>
          </w:p>
        </w:tc>
        <w:tc>
          <w:tcPr>
            <w:tcW w:w="4760" w:type="dxa"/>
          </w:tcPr>
          <w:p w14:paraId="4BA3F922" w14:textId="77777777" w:rsidR="00B02873" w:rsidRPr="007B509E" w:rsidRDefault="00B02873" w:rsidP="004145AF">
            <w:pPr>
              <w:pStyle w:val="TablebodyleftTables"/>
            </w:pPr>
            <w:r w:rsidRPr="007B509E">
              <w:t>Inform communities about the outcomes of projects and if our plans change we will let you know when this happens and why</w:t>
            </w:r>
          </w:p>
        </w:tc>
      </w:tr>
    </w:tbl>
    <w:p w14:paraId="51D40599" w14:textId="77777777" w:rsidR="00B02873" w:rsidRDefault="00B02873" w:rsidP="007116DF"/>
    <w:p w14:paraId="4B6A1AE7" w14:textId="77777777" w:rsidR="00B02873" w:rsidRDefault="00B02873" w:rsidP="00884871">
      <w:pPr>
        <w:pStyle w:val="Heading2Headings"/>
      </w:pPr>
      <w:r>
        <w:t>Our partners, clients and stakeholders</w:t>
      </w:r>
    </w:p>
    <w:p w14:paraId="4096EC4E" w14:textId="77777777" w:rsidR="00B02873" w:rsidRDefault="00B02873" w:rsidP="0033614A">
      <w:pPr>
        <w:keepLines/>
      </w:pPr>
      <w:r>
        <w:t>Our community charter guides our formal and informal interactions with communities. This includes connecting with local networks, building capacity and improving the way we communicate. These changes will help us to achieve objectives for our shared environment and improve outcomes for local communities.</w:t>
      </w:r>
    </w:p>
    <w:p w14:paraId="78F444C0" w14:textId="77777777" w:rsidR="00B02873" w:rsidRDefault="00B02873" w:rsidP="00FE198A">
      <w:r>
        <w:lastRenderedPageBreak/>
        <w:t>DELWP works closely with clients, partners and stakeholders to create liveable, inclusive and sustainable communities, supporting jobs and growth in Victoria.</w:t>
      </w:r>
    </w:p>
    <w:p w14:paraId="4DFE607A" w14:textId="77777777" w:rsidR="00B02873" w:rsidRPr="00C974FD" w:rsidRDefault="00B02873" w:rsidP="00C974FD">
      <w:pPr>
        <w:pStyle w:val="Normalbeforebullet"/>
        <w:rPr>
          <w:b/>
          <w:bCs/>
        </w:rPr>
      </w:pPr>
      <w:r w:rsidRPr="00C974FD">
        <w:rPr>
          <w:b/>
          <w:bCs/>
        </w:rPr>
        <w:t>Our partners include:</w:t>
      </w:r>
    </w:p>
    <w:p w14:paraId="32C8035C" w14:textId="77777777" w:rsidR="00B02873" w:rsidRDefault="00B02873" w:rsidP="00B02873">
      <w:pPr>
        <w:pStyle w:val="Bullet1Lists"/>
      </w:pPr>
      <w:r>
        <w:t>Catchment management authorities</w:t>
      </w:r>
    </w:p>
    <w:p w14:paraId="3E35AE7F" w14:textId="77777777" w:rsidR="00B02873" w:rsidRDefault="00B02873" w:rsidP="00B02873">
      <w:pPr>
        <w:pStyle w:val="Bullet1Lists"/>
      </w:pPr>
      <w:r>
        <w:t>Cooperative research centres</w:t>
      </w:r>
    </w:p>
    <w:p w14:paraId="2C742251" w14:textId="77777777" w:rsidR="00B02873" w:rsidRDefault="00B02873" w:rsidP="00B02873">
      <w:pPr>
        <w:pStyle w:val="Bullet1Lists"/>
      </w:pPr>
      <w:r>
        <w:t>Environment Protection Authority Victoria</w:t>
      </w:r>
    </w:p>
    <w:p w14:paraId="7E5551A4" w14:textId="77777777" w:rsidR="00B02873" w:rsidRDefault="00B02873" w:rsidP="00B02873">
      <w:pPr>
        <w:pStyle w:val="Bullet1Lists"/>
      </w:pPr>
      <w:r>
        <w:t>Local government</w:t>
      </w:r>
    </w:p>
    <w:p w14:paraId="2A2A0713" w14:textId="77777777" w:rsidR="00B02873" w:rsidRDefault="00B02873" w:rsidP="00B02873">
      <w:pPr>
        <w:pStyle w:val="Bullet1Lists"/>
      </w:pPr>
      <w:r>
        <w:t>Other state and federal government departments</w:t>
      </w:r>
    </w:p>
    <w:p w14:paraId="295E3F8B" w14:textId="77777777" w:rsidR="00B02873" w:rsidRDefault="00B02873" w:rsidP="00B02873">
      <w:pPr>
        <w:pStyle w:val="Bullet1Lists"/>
      </w:pPr>
      <w:r>
        <w:t>Parks Victoria</w:t>
      </w:r>
    </w:p>
    <w:p w14:paraId="1FB87098" w14:textId="77777777" w:rsidR="00B02873" w:rsidRDefault="00B02873" w:rsidP="00B02873">
      <w:pPr>
        <w:pStyle w:val="Bullet1Lists"/>
      </w:pPr>
      <w:r>
        <w:t>Sustainability Victoria</w:t>
      </w:r>
    </w:p>
    <w:p w14:paraId="01C43A6F" w14:textId="77777777" w:rsidR="00B02873" w:rsidRDefault="00B02873" w:rsidP="00B02873">
      <w:pPr>
        <w:pStyle w:val="Bullet1Lists"/>
      </w:pPr>
      <w:r>
        <w:t>Water corporations</w:t>
      </w:r>
    </w:p>
    <w:p w14:paraId="6002652D" w14:textId="77777777" w:rsidR="00B02873" w:rsidRDefault="00B02873" w:rsidP="00B02873">
      <w:pPr>
        <w:pStyle w:val="Bullet1Lists"/>
      </w:pPr>
      <w:r>
        <w:t>Universities</w:t>
      </w:r>
    </w:p>
    <w:p w14:paraId="56F059AC" w14:textId="77777777" w:rsidR="00B02873" w:rsidRDefault="00B02873" w:rsidP="00B02873">
      <w:pPr>
        <w:pStyle w:val="Bullet1Lists"/>
      </w:pPr>
      <w:r>
        <w:t>Traditional Owner Corporations and Aboriginal communities</w:t>
      </w:r>
    </w:p>
    <w:p w14:paraId="5DAD02A9" w14:textId="77777777" w:rsidR="00B02873" w:rsidRDefault="00B02873" w:rsidP="00B02873">
      <w:pPr>
        <w:pStyle w:val="Bullet1Lists"/>
      </w:pPr>
      <w:r>
        <w:t>Victorian Building Authority</w:t>
      </w:r>
    </w:p>
    <w:p w14:paraId="514BEBCE" w14:textId="77777777" w:rsidR="00B02873" w:rsidRDefault="00B02873" w:rsidP="00C974FD">
      <w:pPr>
        <w:pStyle w:val="Bullet1Listslast"/>
      </w:pPr>
      <w:r>
        <w:t>Victorian Planning Authority.</w:t>
      </w:r>
    </w:p>
    <w:p w14:paraId="68A21294" w14:textId="77777777" w:rsidR="00B02873" w:rsidRDefault="00B02873" w:rsidP="00FE198A">
      <w:r>
        <w:t>We also work closely with the Commissioner for Environmental Sustainability and the Victorian Water Trust Advisory Council.</w:t>
      </w:r>
    </w:p>
    <w:p w14:paraId="2CAFA251" w14:textId="77777777" w:rsidR="00B02873" w:rsidRPr="00C974FD" w:rsidRDefault="00B02873" w:rsidP="00C974FD">
      <w:pPr>
        <w:pStyle w:val="Normalbeforebullet"/>
        <w:rPr>
          <w:b/>
          <w:bCs/>
        </w:rPr>
      </w:pPr>
      <w:r w:rsidRPr="00C974FD">
        <w:rPr>
          <w:b/>
          <w:bCs/>
        </w:rPr>
        <w:t>Our customers and stakeholders include:</w:t>
      </w:r>
    </w:p>
    <w:p w14:paraId="68F2BC23" w14:textId="77777777" w:rsidR="00B02873" w:rsidRDefault="00B02873" w:rsidP="00B02873">
      <w:pPr>
        <w:pStyle w:val="Bullet1Lists"/>
      </w:pPr>
      <w:r>
        <w:t>Land and water managers, planners, developers and information users</w:t>
      </w:r>
    </w:p>
    <w:p w14:paraId="43288C31" w14:textId="77777777" w:rsidR="00B02873" w:rsidRDefault="00B02873" w:rsidP="00B02873">
      <w:pPr>
        <w:pStyle w:val="Bullet1Lists"/>
      </w:pPr>
      <w:r>
        <w:t>Animal welfare groups</w:t>
      </w:r>
    </w:p>
    <w:p w14:paraId="059708D9" w14:textId="77777777" w:rsidR="00B02873" w:rsidRDefault="00B02873" w:rsidP="00B02873">
      <w:pPr>
        <w:pStyle w:val="Bullet1Lists"/>
      </w:pPr>
      <w:r>
        <w:t>Environmental, tourism, sport and recreation groups</w:t>
      </w:r>
    </w:p>
    <w:p w14:paraId="0E3B2688" w14:textId="77777777" w:rsidR="00B02873" w:rsidRDefault="00B02873" w:rsidP="00B02873">
      <w:pPr>
        <w:pStyle w:val="Bullet1Lists"/>
      </w:pPr>
      <w:r>
        <w:t>Industry-based research and development corporations</w:t>
      </w:r>
    </w:p>
    <w:p w14:paraId="0E41DDA4" w14:textId="77777777" w:rsidR="00B02873" w:rsidRDefault="00B02873" w:rsidP="00B02873">
      <w:pPr>
        <w:pStyle w:val="Bullet1Lists"/>
      </w:pPr>
      <w:r>
        <w:t>Building industry and real estate organisations</w:t>
      </w:r>
    </w:p>
    <w:p w14:paraId="0FE092D4" w14:textId="77777777" w:rsidR="00B02873" w:rsidRDefault="00B02873" w:rsidP="00B02873">
      <w:pPr>
        <w:pStyle w:val="Bullet1Lists"/>
      </w:pPr>
      <w:r>
        <w:t>Community and special interest groups</w:t>
      </w:r>
    </w:p>
    <w:p w14:paraId="356D95F9" w14:textId="77777777" w:rsidR="00B02873" w:rsidRDefault="00B02873" w:rsidP="00B02873">
      <w:pPr>
        <w:pStyle w:val="Bullet1Lists"/>
      </w:pPr>
      <w:r>
        <w:t>Financial institutions</w:t>
      </w:r>
    </w:p>
    <w:p w14:paraId="481F4BD2" w14:textId="77777777" w:rsidR="00B02873" w:rsidRDefault="00B02873" w:rsidP="00B02873">
      <w:pPr>
        <w:pStyle w:val="Bullet1Lists"/>
      </w:pPr>
      <w:r>
        <w:t>Key employer associations and unions</w:t>
      </w:r>
    </w:p>
    <w:p w14:paraId="73AC9360" w14:textId="77777777" w:rsidR="00B02873" w:rsidRDefault="00B02873" w:rsidP="00B02873">
      <w:pPr>
        <w:pStyle w:val="Bullet1Lists"/>
      </w:pPr>
      <w:r>
        <w:t>Local, state, territory and Commonwealth governments, agencies and authorities</w:t>
      </w:r>
    </w:p>
    <w:p w14:paraId="3E9EACC8" w14:textId="77777777" w:rsidR="00B02873" w:rsidRDefault="00B02873" w:rsidP="00B02873">
      <w:pPr>
        <w:pStyle w:val="Bullet1Lists"/>
      </w:pPr>
      <w:r>
        <w:t>Media organisations and communication carriers</w:t>
      </w:r>
    </w:p>
    <w:p w14:paraId="68574580" w14:textId="77777777" w:rsidR="00B02873" w:rsidRDefault="00B02873" w:rsidP="00C974FD">
      <w:pPr>
        <w:pStyle w:val="Bullet1Listslast"/>
        <w:rPr>
          <w:lang w:val="en-US"/>
        </w:rPr>
      </w:pPr>
      <w:r>
        <w:t>Local, national and international business organisations.</w:t>
      </w:r>
    </w:p>
    <w:p w14:paraId="0ED2CBEE" w14:textId="77777777" w:rsidR="00B02873" w:rsidRDefault="00B02873" w:rsidP="00884871">
      <w:pPr>
        <w:pStyle w:val="Heading2Headings"/>
      </w:pPr>
      <w:r>
        <w:t>Sustainable Development Goals</w:t>
      </w:r>
    </w:p>
    <w:p w14:paraId="47E621BB" w14:textId="489F7EC6" w:rsidR="00B02873" w:rsidRDefault="00B02873" w:rsidP="00FE198A">
      <w:r>
        <w:t xml:space="preserve">DELWP’s vision is </w:t>
      </w:r>
      <w:r w:rsidRPr="00C974FD">
        <w:rPr>
          <w:rStyle w:val="LightItalic"/>
          <w:rFonts w:asciiTheme="minorHAnsi" w:hAnsiTheme="minorHAnsi" w:cstheme="minorHAnsi"/>
        </w:rPr>
        <w:t>Thriving environments and communities</w:t>
      </w:r>
      <w:r>
        <w:t xml:space="preserve">. To achieve this, we are focussing on issues including sustainability, environmental protection, liveable cities, and climate change. Our actions may be local, but they contribute to a broader global shift and more sustainable development, as captured by the United Nations Sustainable Development Goals (SDGs). </w:t>
      </w:r>
    </w:p>
    <w:p w14:paraId="62A8EC95" w14:textId="77777777" w:rsidR="00B02873" w:rsidRDefault="00B02873" w:rsidP="00FE198A">
      <w:r>
        <w:t xml:space="preserve">The 17 SDGs and their associated 169 targets were agreed by 193 countries at the United Nations in 2015. They provide a global framework for sustainable development to 2030 and beyond. </w:t>
      </w:r>
    </w:p>
    <w:p w14:paraId="0588EE51" w14:textId="2F93141C" w:rsidR="00B02873" w:rsidRPr="001E0F51" w:rsidRDefault="00B02873" w:rsidP="001E0F51">
      <w:pPr>
        <w:pStyle w:val="Heading3"/>
      </w:pPr>
      <w:r>
        <w:lastRenderedPageBreak/>
        <w:t>Relevance to DELWP</w:t>
      </w:r>
    </w:p>
    <w:p w14:paraId="712B5943" w14:textId="77777777" w:rsidR="00B02873" w:rsidRDefault="00B02873" w:rsidP="00FE198A">
      <w:r>
        <w:t xml:space="preserve">In a purpose-driven organisation such as DELWP, the ability to harness passion and actions is critical. The SDG framework is credible, transparent, internationally accepted and offers us a unifying purpose for our work. Under the framework we can see how our varied activities fit together to contribute to Victoria’s sustainable future. </w:t>
      </w:r>
    </w:p>
    <w:p w14:paraId="270C5641" w14:textId="77777777" w:rsidR="00B02873" w:rsidRDefault="00B02873" w:rsidP="00FE198A">
      <w:r>
        <w:t xml:space="preserve">DELWP recognises the positive efforts already being undertaken across the organisation and our portfolio agencies towards sustainable development. DELWP’s support for the SDGs has been demonstrated in individual policies and programs (for example, </w:t>
      </w:r>
      <w:r w:rsidRPr="00C974FD">
        <w:rPr>
          <w:rStyle w:val="LightItalic"/>
          <w:rFonts w:asciiTheme="minorHAnsi" w:hAnsiTheme="minorHAnsi" w:cstheme="minorHAnsi"/>
        </w:rPr>
        <w:t>Plan Melbourne, Biodiversity 2037</w:t>
      </w:r>
      <w:r>
        <w:t xml:space="preserve">, and </w:t>
      </w:r>
      <w:r w:rsidRPr="00C974FD">
        <w:rPr>
          <w:rStyle w:val="LightItalic"/>
          <w:rFonts w:asciiTheme="minorHAnsi" w:hAnsiTheme="minorHAnsi" w:cstheme="minorHAnsi"/>
        </w:rPr>
        <w:t>Water for Victoria</w:t>
      </w:r>
      <w:r>
        <w:t>). Achieving the goals will require everyone to play their part – all countries, governments at all levels, civil society, and the private sector.</w:t>
      </w:r>
    </w:p>
    <w:p w14:paraId="1F55B948" w14:textId="7C24FB6F" w:rsidR="00B02873" w:rsidRDefault="00B02873" w:rsidP="00FE198A">
      <w:r>
        <w:t>The framework also connects us to the international sustainability agenda. It allows us to see how our work contributes to a more sustainable world and provides guidance on where we should be focusing our future efforts to contribute to sustainable development.</w:t>
      </w:r>
    </w:p>
    <w:p w14:paraId="31CED174" w14:textId="60D87682" w:rsidR="00C974FD" w:rsidRDefault="00C974FD" w:rsidP="00C974FD">
      <w:pPr>
        <w:pStyle w:val="Boldheader"/>
      </w:pPr>
      <w:r>
        <w:t>Sustainable development goals</w:t>
      </w:r>
    </w:p>
    <w:p w14:paraId="6B47542E" w14:textId="0AC7A76D" w:rsidR="00C974FD" w:rsidRPr="001E0F51" w:rsidRDefault="00415B6C" w:rsidP="00D416F7">
      <w:pPr>
        <w:pStyle w:val="Number1Lists"/>
        <w:numPr>
          <w:ilvl w:val="0"/>
          <w:numId w:val="2"/>
        </w:numPr>
        <w:tabs>
          <w:tab w:val="clear" w:pos="340"/>
          <w:tab w:val="num" w:pos="426"/>
        </w:tabs>
        <w:ind w:left="426" w:hanging="426"/>
      </w:pPr>
      <w:r w:rsidRPr="00134612">
        <w:t xml:space="preserve">No </w:t>
      </w:r>
      <w:r w:rsidRPr="001E0F51">
        <w:t>poverty</w:t>
      </w:r>
    </w:p>
    <w:p w14:paraId="286EAE4E" w14:textId="59B4CCA8" w:rsidR="00415B6C" w:rsidRPr="001E0F51" w:rsidRDefault="006A304F" w:rsidP="001128B1">
      <w:pPr>
        <w:pStyle w:val="Number1Lists"/>
        <w:numPr>
          <w:ilvl w:val="0"/>
          <w:numId w:val="57"/>
        </w:numPr>
        <w:tabs>
          <w:tab w:val="clear" w:pos="284"/>
          <w:tab w:val="num" w:pos="426"/>
        </w:tabs>
        <w:ind w:left="426" w:hanging="426"/>
      </w:pPr>
      <w:r w:rsidRPr="001E0F51">
        <w:t>Zero hunger</w:t>
      </w:r>
    </w:p>
    <w:p w14:paraId="081C3A54" w14:textId="76D9A5DA" w:rsidR="006A304F" w:rsidRPr="001E0F51" w:rsidRDefault="006A304F" w:rsidP="00D416F7">
      <w:pPr>
        <w:pStyle w:val="Number1Lists"/>
        <w:tabs>
          <w:tab w:val="clear" w:pos="284"/>
          <w:tab w:val="num" w:pos="426"/>
        </w:tabs>
        <w:ind w:left="426" w:hanging="426"/>
      </w:pPr>
      <w:r w:rsidRPr="001E0F51">
        <w:t>Good health and well-being</w:t>
      </w:r>
    </w:p>
    <w:p w14:paraId="16BC8313" w14:textId="2D94AC40" w:rsidR="006A304F" w:rsidRPr="001E0F51" w:rsidRDefault="006A304F" w:rsidP="00D416F7">
      <w:pPr>
        <w:pStyle w:val="Number1Lists"/>
        <w:tabs>
          <w:tab w:val="clear" w:pos="284"/>
          <w:tab w:val="num" w:pos="426"/>
        </w:tabs>
        <w:ind w:left="426" w:hanging="426"/>
      </w:pPr>
      <w:r w:rsidRPr="001E0F51">
        <w:t>Quality education</w:t>
      </w:r>
    </w:p>
    <w:p w14:paraId="3BA0E1A0" w14:textId="33D6381B" w:rsidR="006A304F" w:rsidRPr="001E0F51" w:rsidRDefault="006A304F" w:rsidP="00D416F7">
      <w:pPr>
        <w:pStyle w:val="Number1Lists"/>
        <w:tabs>
          <w:tab w:val="clear" w:pos="284"/>
          <w:tab w:val="num" w:pos="426"/>
        </w:tabs>
        <w:ind w:left="426" w:hanging="426"/>
      </w:pPr>
      <w:r w:rsidRPr="001E0F51">
        <w:t>Gender equality</w:t>
      </w:r>
    </w:p>
    <w:p w14:paraId="3C3326B8" w14:textId="21B94E56" w:rsidR="006A304F" w:rsidRPr="001E0F51" w:rsidRDefault="006A304F" w:rsidP="00D416F7">
      <w:pPr>
        <w:pStyle w:val="Number1Lists"/>
        <w:tabs>
          <w:tab w:val="clear" w:pos="284"/>
          <w:tab w:val="num" w:pos="426"/>
        </w:tabs>
        <w:ind w:left="426" w:hanging="426"/>
      </w:pPr>
      <w:r w:rsidRPr="001E0F51">
        <w:t>Clean water and sanitation</w:t>
      </w:r>
    </w:p>
    <w:p w14:paraId="5CFF0837" w14:textId="6F4A7A74" w:rsidR="006A304F" w:rsidRPr="001E0F51" w:rsidRDefault="0055311C" w:rsidP="00D416F7">
      <w:pPr>
        <w:pStyle w:val="Number1Lists"/>
        <w:tabs>
          <w:tab w:val="clear" w:pos="284"/>
          <w:tab w:val="num" w:pos="426"/>
        </w:tabs>
        <w:ind w:left="426" w:hanging="426"/>
      </w:pPr>
      <w:r w:rsidRPr="001E0F51">
        <w:t>Affordable and clean energy</w:t>
      </w:r>
    </w:p>
    <w:p w14:paraId="174893E7" w14:textId="346933F2" w:rsidR="0055311C" w:rsidRPr="001E0F51" w:rsidRDefault="0055311C" w:rsidP="00D416F7">
      <w:pPr>
        <w:pStyle w:val="Number1Lists"/>
        <w:tabs>
          <w:tab w:val="clear" w:pos="284"/>
          <w:tab w:val="num" w:pos="426"/>
        </w:tabs>
        <w:ind w:left="426" w:hanging="426"/>
      </w:pPr>
      <w:r w:rsidRPr="001E0F51">
        <w:t>Decent work and economic growth</w:t>
      </w:r>
    </w:p>
    <w:p w14:paraId="42FAABA6" w14:textId="72D0AB78" w:rsidR="0055311C" w:rsidRPr="001E0F51" w:rsidRDefault="0055311C" w:rsidP="00D416F7">
      <w:pPr>
        <w:pStyle w:val="Number1Lists"/>
        <w:tabs>
          <w:tab w:val="clear" w:pos="284"/>
          <w:tab w:val="num" w:pos="426"/>
        </w:tabs>
        <w:ind w:left="426" w:hanging="426"/>
      </w:pPr>
      <w:r w:rsidRPr="001E0F51">
        <w:t>Industry, innovation and infrastructure</w:t>
      </w:r>
    </w:p>
    <w:p w14:paraId="4A4EFDCC" w14:textId="45F7D259" w:rsidR="0055311C" w:rsidRPr="001E0F51" w:rsidRDefault="0055311C" w:rsidP="00D416F7">
      <w:pPr>
        <w:pStyle w:val="Number1Lists"/>
        <w:tabs>
          <w:tab w:val="num" w:pos="426"/>
        </w:tabs>
        <w:ind w:left="426" w:hanging="426"/>
      </w:pPr>
      <w:r w:rsidRPr="001E0F51">
        <w:t>Reduced inequalities</w:t>
      </w:r>
    </w:p>
    <w:p w14:paraId="4F4D85B6" w14:textId="316F40AB" w:rsidR="0055311C" w:rsidRPr="001E0F51" w:rsidRDefault="0055311C" w:rsidP="00D416F7">
      <w:pPr>
        <w:pStyle w:val="Number1Lists"/>
        <w:tabs>
          <w:tab w:val="num" w:pos="426"/>
        </w:tabs>
        <w:ind w:left="426" w:hanging="426"/>
      </w:pPr>
      <w:r w:rsidRPr="001E0F51">
        <w:t>Sustainable cities and communities</w:t>
      </w:r>
    </w:p>
    <w:p w14:paraId="1410BA6A" w14:textId="5B965A35" w:rsidR="0055311C" w:rsidRPr="001E0F51" w:rsidRDefault="0055311C" w:rsidP="00D416F7">
      <w:pPr>
        <w:pStyle w:val="Number1Lists"/>
        <w:tabs>
          <w:tab w:val="num" w:pos="426"/>
        </w:tabs>
        <w:ind w:left="426" w:hanging="426"/>
      </w:pPr>
      <w:r w:rsidRPr="001E0F51">
        <w:t>Responsible consumption and production</w:t>
      </w:r>
    </w:p>
    <w:p w14:paraId="320F8C01" w14:textId="34059257" w:rsidR="0055311C" w:rsidRPr="001E0F51" w:rsidRDefault="0055311C" w:rsidP="00D416F7">
      <w:pPr>
        <w:pStyle w:val="Number1Lists"/>
        <w:tabs>
          <w:tab w:val="num" w:pos="426"/>
        </w:tabs>
        <w:ind w:left="426" w:hanging="426"/>
      </w:pPr>
      <w:r w:rsidRPr="001E0F51">
        <w:t>Climate action</w:t>
      </w:r>
    </w:p>
    <w:p w14:paraId="54CBED12" w14:textId="1B3B9064" w:rsidR="0055311C" w:rsidRPr="001E0F51" w:rsidRDefault="0055311C" w:rsidP="00D416F7">
      <w:pPr>
        <w:pStyle w:val="Number1Lists"/>
        <w:tabs>
          <w:tab w:val="num" w:pos="426"/>
        </w:tabs>
        <w:ind w:left="426" w:hanging="426"/>
      </w:pPr>
      <w:r w:rsidRPr="001E0F51">
        <w:t>Life below water</w:t>
      </w:r>
    </w:p>
    <w:p w14:paraId="571F183B" w14:textId="69E53750" w:rsidR="0055311C" w:rsidRPr="001E0F51" w:rsidRDefault="0055311C" w:rsidP="00D416F7">
      <w:pPr>
        <w:pStyle w:val="Number1Lists"/>
        <w:tabs>
          <w:tab w:val="num" w:pos="426"/>
        </w:tabs>
        <w:ind w:left="426" w:hanging="426"/>
      </w:pPr>
      <w:r w:rsidRPr="001E0F51">
        <w:t>Life on land</w:t>
      </w:r>
    </w:p>
    <w:p w14:paraId="1987DC52" w14:textId="3338F203" w:rsidR="0055311C" w:rsidRPr="001E0F51" w:rsidRDefault="0055311C" w:rsidP="00D416F7">
      <w:pPr>
        <w:pStyle w:val="Number1Lists"/>
        <w:tabs>
          <w:tab w:val="num" w:pos="426"/>
        </w:tabs>
        <w:ind w:left="426" w:hanging="426"/>
      </w:pPr>
      <w:r w:rsidRPr="001E0F51">
        <w:t>Peace, justice and strong institutions</w:t>
      </w:r>
    </w:p>
    <w:p w14:paraId="2AA92120" w14:textId="2044FF45" w:rsidR="0055311C" w:rsidRPr="00C974FD" w:rsidRDefault="0055311C" w:rsidP="00D416F7">
      <w:pPr>
        <w:pStyle w:val="Number1Listslast"/>
        <w:tabs>
          <w:tab w:val="num" w:pos="426"/>
        </w:tabs>
      </w:pPr>
      <w:r w:rsidRPr="001E0F51">
        <w:t>Partnerships for the</w:t>
      </w:r>
      <w:r>
        <w:t xml:space="preserve"> goals</w:t>
      </w:r>
    </w:p>
    <w:p w14:paraId="08233AA1" w14:textId="77777777" w:rsidR="00B02873" w:rsidRDefault="00B02873" w:rsidP="00C974FD">
      <w:pPr>
        <w:pStyle w:val="Heading3"/>
      </w:pPr>
      <w:r>
        <w:t xml:space="preserve">A holistic and cohesive approach </w:t>
      </w:r>
    </w:p>
    <w:p w14:paraId="4A8CEBA9" w14:textId="77777777" w:rsidR="00B02873" w:rsidRDefault="00B02873" w:rsidP="00C974FD">
      <w:pPr>
        <w:pStyle w:val="Normalbeforebullet"/>
      </w:pPr>
      <w:r>
        <w:t>DELWP is committed to taking a more holistic approach to promote the value of SDGs. We will contribute to the achievement of the SDGs in Victoria by:</w:t>
      </w:r>
    </w:p>
    <w:p w14:paraId="1B397C93" w14:textId="77777777" w:rsidR="00B02873" w:rsidRDefault="00B02873" w:rsidP="00B02873">
      <w:pPr>
        <w:pStyle w:val="Bullet1Lists"/>
      </w:pPr>
      <w:r>
        <w:t>embedding the SDGs across relevant policies, programs, and service delivery work</w:t>
      </w:r>
    </w:p>
    <w:p w14:paraId="076CE680" w14:textId="77777777" w:rsidR="00B02873" w:rsidRDefault="00B02873" w:rsidP="00B02873">
      <w:pPr>
        <w:pStyle w:val="Bullet1Lists"/>
      </w:pPr>
      <w:r>
        <w:t>identifying targets and monitoring and reporting on our progress</w:t>
      </w:r>
    </w:p>
    <w:p w14:paraId="77D380D5" w14:textId="77777777" w:rsidR="00B02873" w:rsidRDefault="00B02873" w:rsidP="00C974FD">
      <w:pPr>
        <w:pStyle w:val="Bullet1Listslast"/>
      </w:pPr>
      <w:r>
        <w:t>collaborating with partners who are also committed to the SDGs</w:t>
      </w:r>
    </w:p>
    <w:p w14:paraId="08025E66" w14:textId="74FEFD59" w:rsidR="00B02873" w:rsidRDefault="00B02873" w:rsidP="00C974FD">
      <w:pPr>
        <w:pStyle w:val="Normalbeforebullet"/>
      </w:pPr>
      <w:r>
        <w:t>Our aim is that by clearly communicating our support for the SDGs:</w:t>
      </w:r>
    </w:p>
    <w:p w14:paraId="5DEC1BA3" w14:textId="77777777" w:rsidR="00B02873" w:rsidRDefault="00B02873" w:rsidP="00B02873">
      <w:pPr>
        <w:pStyle w:val="Bullet1Lists"/>
      </w:pPr>
      <w:r>
        <w:t xml:space="preserve">they increasingly inform DELWP’s general business </w:t>
      </w:r>
    </w:p>
    <w:p w14:paraId="45ED18FA" w14:textId="77777777" w:rsidR="00B02873" w:rsidRDefault="00B02873" w:rsidP="00B02873">
      <w:pPr>
        <w:pStyle w:val="Bullet1Lists"/>
      </w:pPr>
      <w:r>
        <w:lastRenderedPageBreak/>
        <w:t xml:space="preserve">our stakeholders, partners and the broader community are encouraged to contribute further to sustainable development </w:t>
      </w:r>
    </w:p>
    <w:p w14:paraId="33E403B7" w14:textId="77777777" w:rsidR="00B02873" w:rsidRDefault="00B02873" w:rsidP="00B02873">
      <w:pPr>
        <w:pStyle w:val="Bullet1Lists"/>
      </w:pPr>
      <w:r>
        <w:t>our employees take pride in the work we are doing to contribute to the SDGs</w:t>
      </w:r>
    </w:p>
    <w:p w14:paraId="4D6F559A" w14:textId="77777777" w:rsidR="00B02873" w:rsidRPr="00546E03" w:rsidRDefault="00B02873" w:rsidP="00C974FD">
      <w:pPr>
        <w:pStyle w:val="Bullet1Listslast"/>
        <w:rPr>
          <w:rFonts w:cs="VIC"/>
          <w:b/>
          <w:bCs/>
          <w:color w:val="100149"/>
          <w:sz w:val="20"/>
          <w:szCs w:val="20"/>
        </w:rPr>
      </w:pPr>
      <w:r>
        <w:t>we are better positioned to measure, monitor, and enhance our critical contribution to Victoria’s sustainable development.</w:t>
      </w:r>
    </w:p>
    <w:p w14:paraId="3603C185" w14:textId="77777777" w:rsidR="00B02873" w:rsidRDefault="00B02873" w:rsidP="00C974FD">
      <w:pPr>
        <w:pStyle w:val="Heading3"/>
      </w:pPr>
      <w:r>
        <w:t>DELWP’s immediate actions</w:t>
      </w:r>
    </w:p>
    <w:p w14:paraId="4923D951" w14:textId="77777777" w:rsidR="00B02873" w:rsidRDefault="00B02873" w:rsidP="00C974FD">
      <w:pPr>
        <w:pStyle w:val="Normalbeforebullet"/>
      </w:pPr>
      <w:r>
        <w:t>DELWP’s major programs of work closely align to five of the Sustainable Development Goals:</w:t>
      </w:r>
    </w:p>
    <w:p w14:paraId="0C758EF0" w14:textId="77777777" w:rsidR="00BE30FD" w:rsidRPr="00D416F7" w:rsidRDefault="00BE30FD" w:rsidP="001128B1">
      <w:pPr>
        <w:pStyle w:val="Number1Lists"/>
        <w:numPr>
          <w:ilvl w:val="0"/>
          <w:numId w:val="58"/>
        </w:numPr>
      </w:pPr>
      <w:r w:rsidRPr="00D416F7">
        <w:t>Clear water and sanitation</w:t>
      </w:r>
    </w:p>
    <w:p w14:paraId="14F94995" w14:textId="77777777" w:rsidR="00BE30FD" w:rsidRPr="00D416F7" w:rsidRDefault="00BE30FD" w:rsidP="00D416F7">
      <w:pPr>
        <w:pStyle w:val="Number1Lists"/>
      </w:pPr>
      <w:r w:rsidRPr="00D416F7">
        <w:t>Affordable and clean energy</w:t>
      </w:r>
    </w:p>
    <w:p w14:paraId="3A889C0A" w14:textId="77777777" w:rsidR="00BE30FD" w:rsidRPr="00D416F7" w:rsidRDefault="00BE30FD" w:rsidP="00D416F7">
      <w:pPr>
        <w:pStyle w:val="Number1Lists"/>
      </w:pPr>
      <w:r w:rsidRPr="00D416F7">
        <w:t>Sustainable cities and communities</w:t>
      </w:r>
    </w:p>
    <w:p w14:paraId="25D70D57" w14:textId="77777777" w:rsidR="00BE30FD" w:rsidRPr="00D416F7" w:rsidRDefault="00BE30FD" w:rsidP="00D416F7">
      <w:pPr>
        <w:pStyle w:val="Number1Lists"/>
      </w:pPr>
      <w:r w:rsidRPr="00D416F7">
        <w:t>Climate action</w:t>
      </w:r>
    </w:p>
    <w:p w14:paraId="4627970D" w14:textId="77777777" w:rsidR="00BE30FD" w:rsidRPr="00D416F7" w:rsidRDefault="00BE30FD" w:rsidP="00D416F7">
      <w:pPr>
        <w:pStyle w:val="Number1Listslast"/>
      </w:pPr>
      <w:r w:rsidRPr="00D416F7">
        <w:t>Life on land</w:t>
      </w:r>
    </w:p>
    <w:p w14:paraId="6BF7F9D2" w14:textId="77777777" w:rsidR="00B02873" w:rsidRDefault="00B02873" w:rsidP="00FE198A">
      <w:r>
        <w:t xml:space="preserve">This annual report articulates how DELWP performs in relation to relevant SDGs. In many areas, readers will notice the inclusion of appropriate SDG tiles where DELWP’s performance aligns with SDG objectives. The associated analysis includes key performance indicators providing quantitative evidence of progress. </w:t>
      </w:r>
    </w:p>
    <w:p w14:paraId="2337D43E" w14:textId="77777777" w:rsidR="00B02873" w:rsidRDefault="00B02873" w:rsidP="00FE198A">
      <w:r>
        <w:t>DELWP will continue to identify opportunities to embed the SDGs in its work and will seek to expand the presentation of data in future annual reports to further demonstrate our contribution to the goals.</w:t>
      </w:r>
    </w:p>
    <w:p w14:paraId="2FD6182E" w14:textId="77777777" w:rsidR="00B02873" w:rsidRDefault="00B02873" w:rsidP="00A90070">
      <w:pPr>
        <w:pStyle w:val="Heading3"/>
      </w:pPr>
      <w:r>
        <w:t>Aboriginal self-determination</w:t>
      </w:r>
    </w:p>
    <w:p w14:paraId="436A6564" w14:textId="77777777" w:rsidR="00B02873" w:rsidRDefault="00B02873" w:rsidP="00FE198A">
      <w:r>
        <w:t xml:space="preserve">DELWP is committed to partnering with Traditional Owners and Aboriginal Victorians to advance self-determination. We recognise the relationship of Traditional Owners to Country and their contribution to the management of both built and natural environments, including natural resources such as land and water. Self-determination is woven into our strategic planning framework and represented by the organisational pillar: ‘Self-Determination of Traditional Owners and Aboriginal Victorians will be recognised and supported’. </w:t>
      </w:r>
    </w:p>
    <w:p w14:paraId="63C08E82" w14:textId="77777777" w:rsidR="00B02873" w:rsidRDefault="00B02873" w:rsidP="00FE198A">
      <w:r>
        <w:rPr>
          <w:spacing w:val="-2"/>
        </w:rPr>
        <w:t xml:space="preserve">Launched in August 2020, DELWP’s </w:t>
      </w:r>
      <w:r w:rsidRPr="00A90070">
        <w:rPr>
          <w:rStyle w:val="LightItalic"/>
          <w:rFonts w:asciiTheme="minorHAnsi" w:hAnsiTheme="minorHAnsi" w:cstheme="minorHAnsi"/>
          <w:spacing w:val="-2"/>
        </w:rPr>
        <w:t>Pupangarli Marnmarnepu ‘Owning our Future’ Aboriginal Self-Determination Reform Strategy 2020-2025</w:t>
      </w:r>
      <w:r>
        <w:rPr>
          <w:spacing w:val="-2"/>
        </w:rPr>
        <w:t xml:space="preserve"> formalises our commitment to support self-determination and outlines how the department will embed self-determination in its work from 2020 to 2025. </w:t>
      </w:r>
    </w:p>
    <w:p w14:paraId="6D28019E" w14:textId="77777777" w:rsidR="00B02873" w:rsidRDefault="00B02873" w:rsidP="00A90070">
      <w:pPr>
        <w:pStyle w:val="Normalbeforebullet"/>
      </w:pPr>
      <w:r>
        <w:t xml:space="preserve">Key initiatives and actions delivered in 2021-22 that are informed or underpinned by the directions in </w:t>
      </w:r>
      <w:r w:rsidRPr="00A90070">
        <w:rPr>
          <w:rStyle w:val="LightItalic"/>
          <w:rFonts w:asciiTheme="minorHAnsi" w:hAnsiTheme="minorHAnsi" w:cstheme="minorHAnsi"/>
        </w:rPr>
        <w:t>Pupangarli Marnmarnepu</w:t>
      </w:r>
      <w:r>
        <w:t xml:space="preserve">, include: </w:t>
      </w:r>
    </w:p>
    <w:p w14:paraId="32D2F5EC" w14:textId="77777777" w:rsidR="00B02873" w:rsidRDefault="00B02873" w:rsidP="00B02873">
      <w:pPr>
        <w:pStyle w:val="Bullet1Lists"/>
      </w:pPr>
      <w:r>
        <w:t>facilitating the transfer of power and resources to Traditional Owners from Trust for Nature: 30,000 hectares of private land, the largest in state history, was handed back to Ngintait Traditional Owners</w:t>
      </w:r>
    </w:p>
    <w:p w14:paraId="62312B62" w14:textId="77777777" w:rsidR="00B02873" w:rsidRDefault="00B02873" w:rsidP="00B02873">
      <w:pPr>
        <w:pStyle w:val="Bullet1Lists"/>
      </w:pPr>
      <w:r>
        <w:t>enabling Aboriginal talent-building, leadership, and decision-making: the Aboriginal Leadership Development Program was launched by the department in April 2022. The program aims to strengthen participants’ innate abilities to work between two worlds and build upon their existing capacity to lead during disruption and complexity whilst drawing on their Indigenous knowledge and cultural experience</w:t>
      </w:r>
    </w:p>
    <w:p w14:paraId="135A47D7" w14:textId="77777777" w:rsidR="00B02873" w:rsidRDefault="00B02873" w:rsidP="00B02873">
      <w:pPr>
        <w:pStyle w:val="Bullet1Lists"/>
      </w:pPr>
      <w:r>
        <w:t>matching of 10 mentors with mentees under the Aboriginal Staff Mentoring Program</w:t>
      </w:r>
    </w:p>
    <w:p w14:paraId="0982B28A" w14:textId="77777777" w:rsidR="00B02873" w:rsidRDefault="00B02873" w:rsidP="00B02873">
      <w:pPr>
        <w:pStyle w:val="Bullet1Lists"/>
      </w:pPr>
      <w:r>
        <w:t>increasing Aboriginal employment across DELWP: as at 30 June 2022, 1.78 per cent of DELWP’s workforce identified as Indigenous, up from 1.6 per cent in 2020-21 and reflecting an increase of 16 staff (not including casual members of staff)</w:t>
      </w:r>
    </w:p>
    <w:p w14:paraId="76080AC8" w14:textId="77777777" w:rsidR="00B02873" w:rsidRDefault="00B02873" w:rsidP="00B02873">
      <w:pPr>
        <w:pStyle w:val="Bullet1Lists"/>
      </w:pPr>
      <w:r>
        <w:lastRenderedPageBreak/>
        <w:t xml:space="preserve">implementation of six new Aboriginal partnerships roles within the regions to drive </w:t>
      </w:r>
      <w:r w:rsidRPr="00A90070">
        <w:rPr>
          <w:rStyle w:val="LightItalic"/>
          <w:rFonts w:ascii="Arial" w:hAnsi="Arial" w:cs="Arial"/>
        </w:rPr>
        <w:t>Pupangarli Marnmarnepu</w:t>
      </w:r>
      <w:r>
        <w:t xml:space="preserve"> actions</w:t>
      </w:r>
    </w:p>
    <w:p w14:paraId="2D9292C5" w14:textId="77777777" w:rsidR="00B02873" w:rsidRDefault="00B02873" w:rsidP="00B02873">
      <w:pPr>
        <w:pStyle w:val="Bullet1Lists"/>
      </w:pPr>
      <w:r>
        <w:t>development and implementation of the Traditional Owner and DELWP Exchange Policy, allowing for a two-way exchange of staff to assist Traditional Owner Corporations with important support functions that will enable them to achieve their objectives and aspirations in self-determination</w:t>
      </w:r>
    </w:p>
    <w:p w14:paraId="6B1549A2" w14:textId="14050342" w:rsidR="00B02873" w:rsidRDefault="00B02873" w:rsidP="00B02873">
      <w:pPr>
        <w:pStyle w:val="Bullet1Lists"/>
      </w:pPr>
      <w:r>
        <w:t>promotion and support for the advancement of Treaty and the work of the Yoorrook Justice Commission through the establishment of the DELWP Yoorrook Justice Commission Taskforce and numerous engagements/presentations throughout the state</w:t>
      </w:r>
    </w:p>
    <w:p w14:paraId="2AB6C34A" w14:textId="5AFBA241" w:rsidR="00B02873" w:rsidRDefault="00B02873" w:rsidP="00B02873">
      <w:pPr>
        <w:pStyle w:val="Bullet1Lists"/>
      </w:pPr>
      <w:r>
        <w:t>continued operation of Statewide Caring for Country Partnership Forums and</w:t>
      </w:r>
      <w:r w:rsidR="00012C04">
        <w:t xml:space="preserve"> </w:t>
      </w:r>
      <w:r>
        <w:t>Regional Partnership Forums to ensure delivery of agreed actions from these forums to enable self-determination</w:t>
      </w:r>
    </w:p>
    <w:p w14:paraId="406EB60A" w14:textId="77777777" w:rsidR="00B02873" w:rsidRDefault="00B02873" w:rsidP="00B02873">
      <w:pPr>
        <w:pStyle w:val="Bullet1Lists"/>
      </w:pPr>
      <w:r>
        <w:t>launch of the DELWP Aboriginal Cultural Capability Framework in June 2022</w:t>
      </w:r>
    </w:p>
    <w:p w14:paraId="724A7466" w14:textId="77777777" w:rsidR="00B02873" w:rsidRDefault="00B02873" w:rsidP="00B02873">
      <w:pPr>
        <w:pStyle w:val="Bullet1Lists"/>
      </w:pPr>
      <w:r>
        <w:t>supporting the delivery of 13 cultural burns during 2021-22 to enable healing and caring for Country</w:t>
      </w:r>
    </w:p>
    <w:p w14:paraId="2D6053EF" w14:textId="77777777" w:rsidR="00B02873" w:rsidRDefault="00B02873" w:rsidP="00B02873">
      <w:pPr>
        <w:pStyle w:val="Bullet1Lists"/>
      </w:pPr>
      <w:r>
        <w:t>launch of the Victorian Traditional Owner Cultural Landscapes Strategy in August 2021 to provide direction to government about how it can enable and empower Traditional Owner self-determination in land management</w:t>
      </w:r>
    </w:p>
    <w:p w14:paraId="6380BA6F" w14:textId="77777777" w:rsidR="00B02873" w:rsidRDefault="00B02873" w:rsidP="00B02873">
      <w:pPr>
        <w:pStyle w:val="Bullet1Lists"/>
      </w:pPr>
      <w:r>
        <w:t>supporting Aboriginal people in accessing water for economic development and other self-determining purposes: in March 2022, Gunditj Mirring Traditional Owner Aboriginal Corporation received a 2.5 GL water return in the Palawarra (Fitzroy River) system</w:t>
      </w:r>
    </w:p>
    <w:p w14:paraId="5C7D2085" w14:textId="6C54C213" w:rsidR="00B02873" w:rsidRDefault="00B02873" w:rsidP="00A90070">
      <w:pPr>
        <w:pStyle w:val="Bullet1Listslast"/>
      </w:pPr>
      <w:r>
        <w:t xml:space="preserve">release of a draft of the </w:t>
      </w:r>
      <w:r w:rsidRPr="00A90070">
        <w:rPr>
          <w:rStyle w:val="LightItalic"/>
          <w:rFonts w:asciiTheme="minorHAnsi" w:hAnsiTheme="minorHAnsi" w:cstheme="minorHAnsi"/>
        </w:rPr>
        <w:t>Water is Life: Traditional Owner Access to Water Roadmap</w:t>
      </w:r>
      <w:r>
        <w:t xml:space="preserve"> for consultation in May 2022. </w:t>
      </w:r>
      <w:r w:rsidRPr="00A90070">
        <w:rPr>
          <w:rStyle w:val="LightItalic"/>
          <w:rFonts w:asciiTheme="minorHAnsi" w:hAnsiTheme="minorHAnsi" w:cstheme="minorHAnsi"/>
        </w:rPr>
        <w:t>Water is Life</w:t>
      </w:r>
      <w:r>
        <w:t xml:space="preserve"> will contribute to self-determination by identifying opportunities for Victorian Traditional Owners and First Peoples to access, manage and own water for spiritual, cultural, environmental, social and economic purposes.</w:t>
      </w:r>
    </w:p>
    <w:p w14:paraId="4755733F" w14:textId="0AA64878" w:rsidR="00B02873" w:rsidRDefault="00B02873" w:rsidP="00FE198A">
      <w:r>
        <w:t>Other highlights are included across the Departmental Objectives, Indicators and Outputs section on page 26 and the Our People section on page 97.</w:t>
      </w:r>
    </w:p>
    <w:p w14:paraId="0C0AEBC6" w14:textId="7AB71A86" w:rsidR="00B02873" w:rsidRDefault="00B02873" w:rsidP="00884871">
      <w:pPr>
        <w:pStyle w:val="Heading2Headings"/>
      </w:pPr>
      <w:bookmarkStart w:id="3" w:name="_Ref116903913"/>
      <w:r>
        <w:t>Our Ministers</w:t>
      </w:r>
      <w:bookmarkEnd w:id="3"/>
    </w:p>
    <w:p w14:paraId="06051DCE" w14:textId="3ADD2D02" w:rsidR="00B02873" w:rsidRPr="00A90070" w:rsidRDefault="00B02873" w:rsidP="00A90070">
      <w:pPr>
        <w:keepNext/>
        <w:keepLines/>
        <w:rPr>
          <w:rStyle w:val="BoldItalic"/>
          <w:rFonts w:asciiTheme="minorHAnsi" w:hAnsiTheme="minorHAnsi" w:cstheme="minorHAnsi"/>
        </w:rPr>
      </w:pPr>
      <w:r>
        <w:rPr>
          <w:rStyle w:val="Bold"/>
        </w:rPr>
        <w:t>Hon Lily D’Ambrosio MP</w:t>
      </w:r>
      <w:r>
        <w:rPr>
          <w:rStyle w:val="Bold"/>
        </w:rPr>
        <w:br/>
      </w:r>
      <w:r w:rsidRPr="00A90070">
        <w:rPr>
          <w:rStyle w:val="BoldItalic"/>
          <w:rFonts w:asciiTheme="minorHAnsi" w:hAnsiTheme="minorHAnsi" w:cstheme="minorHAnsi"/>
        </w:rPr>
        <w:t>Minister for Energy;</w:t>
      </w:r>
      <w:r w:rsidR="00A90070">
        <w:rPr>
          <w:rStyle w:val="BoldItalic"/>
          <w:rFonts w:asciiTheme="minorHAnsi" w:hAnsiTheme="minorHAnsi" w:cstheme="minorHAnsi"/>
        </w:rPr>
        <w:br/>
      </w:r>
      <w:r w:rsidRPr="00A90070">
        <w:rPr>
          <w:rStyle w:val="BoldItalic"/>
          <w:rFonts w:asciiTheme="minorHAnsi" w:hAnsiTheme="minorHAnsi" w:cstheme="minorHAnsi"/>
        </w:rPr>
        <w:t xml:space="preserve">Minister for Environment and Climate Action; </w:t>
      </w:r>
      <w:r w:rsidR="00A90070">
        <w:rPr>
          <w:rStyle w:val="BoldItalic"/>
          <w:rFonts w:asciiTheme="minorHAnsi" w:hAnsiTheme="minorHAnsi" w:cstheme="minorHAnsi"/>
        </w:rPr>
        <w:br/>
      </w:r>
      <w:r w:rsidRPr="00A90070">
        <w:rPr>
          <w:rStyle w:val="BoldItalic"/>
          <w:rFonts w:asciiTheme="minorHAnsi" w:hAnsiTheme="minorHAnsi" w:cstheme="minorHAnsi"/>
        </w:rPr>
        <w:t>Minister for Solar Homes</w:t>
      </w:r>
    </w:p>
    <w:p w14:paraId="0D5522A8" w14:textId="77777777" w:rsidR="00B02873" w:rsidRDefault="00B02873" w:rsidP="00FE198A">
      <w:r>
        <w:t>Minister D’Ambrosio is also Coordinating Minister for the department. Minister D’Ambrosio previously held the positions of Minister for Energy, Environment and Climate Change, Minister for Industry, Minister for Energy and Resources and Minister for Suburban Development. Minister D’Ambrosio has been Member of the Legislative Assembly for Mill Park since 2002.</w:t>
      </w:r>
    </w:p>
    <w:p w14:paraId="161F5110" w14:textId="265D4FD1" w:rsidR="00B02873" w:rsidRPr="006251CB" w:rsidRDefault="00B02873" w:rsidP="006251CB">
      <w:pPr>
        <w:pStyle w:val="Normalbeforebullet"/>
        <w:rPr>
          <w:rStyle w:val="BoldItalic"/>
          <w:rFonts w:cs="Arial"/>
        </w:rPr>
      </w:pPr>
      <w:r>
        <w:rPr>
          <w:rStyle w:val="Bold"/>
          <w:spacing w:val="-4"/>
        </w:rPr>
        <w:t xml:space="preserve">Hon Harriet Shing MP </w:t>
      </w:r>
      <w:r>
        <w:rPr>
          <w:rStyle w:val="Bold"/>
          <w:spacing w:val="-4"/>
        </w:rPr>
        <w:br/>
      </w:r>
      <w:r w:rsidRPr="006251CB">
        <w:rPr>
          <w:rStyle w:val="BoldItalic"/>
          <w:rFonts w:cs="Arial"/>
        </w:rPr>
        <w:t xml:space="preserve">Minister for Water </w:t>
      </w:r>
    </w:p>
    <w:p w14:paraId="4A7597F9" w14:textId="77777777" w:rsidR="00B02873" w:rsidRDefault="00B02873" w:rsidP="00FE198A">
      <w:r>
        <w:t>Minister Shing was appointed Minister for Water, Minister for Regional Development and Minister for Equality on 27 June 2022. Minister Shing has been Member of the Legislative Council for Eastern Victoria since 2014.</w:t>
      </w:r>
    </w:p>
    <w:p w14:paraId="5C5F3D2C" w14:textId="6A3BC088" w:rsidR="00B02873" w:rsidRPr="006251CB" w:rsidRDefault="00B02873" w:rsidP="006251CB">
      <w:pPr>
        <w:pStyle w:val="Normalbeforebullet"/>
        <w:rPr>
          <w:rStyle w:val="BoldItalic"/>
          <w:rFonts w:asciiTheme="minorHAnsi" w:hAnsiTheme="minorHAnsi" w:cstheme="minorHAnsi"/>
        </w:rPr>
      </w:pPr>
      <w:r w:rsidRPr="006251CB">
        <w:rPr>
          <w:rStyle w:val="Bold"/>
          <w:rFonts w:asciiTheme="minorHAnsi" w:hAnsiTheme="minorHAnsi" w:cstheme="minorHAnsi"/>
        </w:rPr>
        <w:t>Hon Lisa Neville MP</w:t>
      </w:r>
      <w:r w:rsidR="006251CB" w:rsidRPr="006251CB">
        <w:rPr>
          <w:rStyle w:val="Bold"/>
          <w:rFonts w:asciiTheme="minorHAnsi" w:hAnsiTheme="minorHAnsi" w:cstheme="minorHAnsi"/>
        </w:rPr>
        <w:br/>
      </w:r>
      <w:r w:rsidRPr="006251CB">
        <w:rPr>
          <w:rStyle w:val="BoldItalic"/>
          <w:rFonts w:asciiTheme="minorHAnsi" w:hAnsiTheme="minorHAnsi" w:cstheme="minorHAnsi"/>
        </w:rPr>
        <w:t>Minister for Water (May 2016 – June 2022)</w:t>
      </w:r>
    </w:p>
    <w:p w14:paraId="4CBA9AE6" w14:textId="77777777" w:rsidR="00B02873" w:rsidRDefault="00B02873" w:rsidP="00FE198A">
      <w:r>
        <w:t xml:space="preserve">Minister Neville was Minister for Water, Coordinating Minister for DELWP and Minister for Police until 27 June 2022. </w:t>
      </w:r>
    </w:p>
    <w:p w14:paraId="2DD54232" w14:textId="72B30A28" w:rsidR="00B02873" w:rsidRPr="006251CB" w:rsidRDefault="00B02873" w:rsidP="006251CB">
      <w:pPr>
        <w:pStyle w:val="Normalbeforebullet"/>
        <w:rPr>
          <w:rStyle w:val="BoldItalic"/>
          <w:rFonts w:asciiTheme="minorHAnsi" w:hAnsiTheme="minorHAnsi" w:cstheme="minorHAnsi"/>
        </w:rPr>
      </w:pPr>
      <w:r w:rsidRPr="006251CB">
        <w:rPr>
          <w:rStyle w:val="Bold"/>
          <w:rFonts w:asciiTheme="minorHAnsi" w:hAnsiTheme="minorHAnsi" w:cstheme="minorHAnsi"/>
          <w:spacing w:val="-4"/>
        </w:rPr>
        <w:lastRenderedPageBreak/>
        <w:t>Hon Lizzie Blandthorn MP</w:t>
      </w:r>
      <w:r w:rsidRPr="006251CB">
        <w:rPr>
          <w:rStyle w:val="Bold"/>
          <w:rFonts w:asciiTheme="minorHAnsi" w:hAnsiTheme="minorHAnsi" w:cstheme="minorHAnsi"/>
          <w:spacing w:val="-4"/>
        </w:rPr>
        <w:br/>
      </w:r>
      <w:r w:rsidRPr="006251CB">
        <w:rPr>
          <w:rStyle w:val="BoldItalic"/>
          <w:rFonts w:asciiTheme="minorHAnsi" w:hAnsiTheme="minorHAnsi" w:cstheme="minorHAnsi"/>
          <w:spacing w:val="-4"/>
        </w:rPr>
        <w:t>Minister for Planning</w:t>
      </w:r>
      <w:r w:rsidRPr="006251CB">
        <w:rPr>
          <w:rStyle w:val="BoldItalic"/>
          <w:rFonts w:asciiTheme="minorHAnsi" w:hAnsiTheme="minorHAnsi" w:cstheme="minorHAnsi"/>
        </w:rPr>
        <w:t xml:space="preserve"> </w:t>
      </w:r>
    </w:p>
    <w:p w14:paraId="69594D6E" w14:textId="262CD1F8" w:rsidR="00B02873" w:rsidRDefault="00B02873" w:rsidP="00FE198A">
      <w:r>
        <w:t>Minister Blandthorn was appointed Minister for Planning on 27 June 2022. Minister Blandthorn has been Member of the Legislative Assembly for Pascoe Vale since 2014.</w:t>
      </w:r>
    </w:p>
    <w:p w14:paraId="6B787154" w14:textId="19535E6F" w:rsidR="00B02873" w:rsidRPr="006251CB" w:rsidRDefault="00B02873" w:rsidP="006251CB">
      <w:pPr>
        <w:pStyle w:val="Normalbeforebullet"/>
        <w:rPr>
          <w:rStyle w:val="BoldItalic"/>
          <w:rFonts w:asciiTheme="minorHAnsi" w:hAnsiTheme="minorHAnsi" w:cstheme="minorHAnsi"/>
        </w:rPr>
      </w:pPr>
      <w:r w:rsidRPr="006251CB">
        <w:rPr>
          <w:rStyle w:val="Bold"/>
          <w:rFonts w:asciiTheme="minorHAnsi" w:hAnsiTheme="minorHAnsi" w:cstheme="minorHAnsi"/>
        </w:rPr>
        <w:t>Hon Richard Wynne MP</w:t>
      </w:r>
      <w:r w:rsidR="006251CB" w:rsidRPr="006251CB">
        <w:rPr>
          <w:rStyle w:val="Bold"/>
          <w:rFonts w:asciiTheme="minorHAnsi" w:hAnsiTheme="minorHAnsi" w:cstheme="minorHAnsi"/>
        </w:rPr>
        <w:br/>
      </w:r>
      <w:r w:rsidRPr="006251CB">
        <w:rPr>
          <w:rStyle w:val="BoldItalic"/>
          <w:rFonts w:asciiTheme="minorHAnsi" w:hAnsiTheme="minorHAnsi" w:cstheme="minorHAnsi"/>
        </w:rPr>
        <w:t>Minster for Planning (December 2014</w:t>
      </w:r>
      <w:r w:rsidR="000C45FC" w:rsidRPr="006251CB">
        <w:rPr>
          <w:rStyle w:val="BoldItalic"/>
          <w:rFonts w:asciiTheme="minorHAnsi" w:hAnsiTheme="minorHAnsi" w:cstheme="minorHAnsi"/>
        </w:rPr>
        <w:t xml:space="preserve"> – </w:t>
      </w:r>
      <w:r w:rsidRPr="006251CB">
        <w:rPr>
          <w:rStyle w:val="BoldItalic"/>
          <w:rFonts w:asciiTheme="minorHAnsi" w:hAnsiTheme="minorHAnsi" w:cstheme="minorHAnsi"/>
        </w:rPr>
        <w:t>June 2022)</w:t>
      </w:r>
    </w:p>
    <w:p w14:paraId="06A08141" w14:textId="77777777" w:rsidR="00B02873" w:rsidRDefault="00B02873" w:rsidP="00FE198A">
      <w:r>
        <w:t xml:space="preserve">Minister Wynne was Minister for Planning and Minister for Housing until 27 June 2022. </w:t>
      </w:r>
    </w:p>
    <w:p w14:paraId="3A988A82" w14:textId="77777777" w:rsidR="00B02873" w:rsidRDefault="00B02873" w:rsidP="00066FED">
      <w:pPr>
        <w:pStyle w:val="Heading2Headings"/>
      </w:pPr>
      <w:r>
        <w:t>Our executive</w:t>
      </w:r>
    </w:p>
    <w:p w14:paraId="09067AD1" w14:textId="35B84EE3" w:rsidR="00B02873" w:rsidRDefault="00B02873" w:rsidP="00FE198A">
      <w:r>
        <w:t xml:space="preserve">DELWP is led by the Secretary John Bradley who reports to Our Ministers on page </w:t>
      </w:r>
      <w:r w:rsidR="00D70054">
        <w:fldChar w:fldCharType="begin"/>
      </w:r>
      <w:r w:rsidR="00D70054">
        <w:instrText xml:space="preserve"> PAGEREF _Ref116903913 \h </w:instrText>
      </w:r>
      <w:r w:rsidR="00D70054">
        <w:fldChar w:fldCharType="separate"/>
      </w:r>
      <w:r w:rsidR="00D70054">
        <w:rPr>
          <w:noProof/>
        </w:rPr>
        <w:t>16</w:t>
      </w:r>
      <w:r w:rsidR="00D70054">
        <w:fldChar w:fldCharType="end"/>
      </w:r>
      <w:r>
        <w:t>. The Secretary is supported by seven Deputy Secretaries and the Chief Executive Officer of Solar Victoria.</w:t>
      </w:r>
    </w:p>
    <w:p w14:paraId="58A25261" w14:textId="77777777" w:rsidR="00B02873" w:rsidRPr="00A727CB" w:rsidRDefault="00B02873" w:rsidP="00A727CB">
      <w:pPr>
        <w:pStyle w:val="Heading3"/>
      </w:pPr>
      <w:r w:rsidRPr="00A727CB">
        <w:rPr>
          <w:rFonts w:asciiTheme="minorHAnsi" w:hAnsiTheme="minorHAnsi" w:cstheme="minorHAnsi"/>
        </w:rPr>
        <w:t xml:space="preserve">John Bradley PSM </w:t>
      </w:r>
      <w:r w:rsidRPr="00A727CB">
        <w:rPr>
          <w:rFonts w:asciiTheme="minorHAnsi" w:hAnsiTheme="minorHAnsi" w:cstheme="minorHAnsi"/>
        </w:rPr>
        <w:br/>
      </w:r>
      <w:r w:rsidRPr="00A727CB">
        <w:rPr>
          <w:rStyle w:val="BoldItalic"/>
          <w:rFonts w:asciiTheme="minorHAnsi" w:hAnsiTheme="minorHAnsi" w:cstheme="minorHAnsi"/>
          <w:b/>
          <w:bCs/>
        </w:rPr>
        <w:t>Secretary</w:t>
      </w:r>
    </w:p>
    <w:p w14:paraId="663F44C1" w14:textId="77777777" w:rsidR="00B02873" w:rsidRDefault="00B02873" w:rsidP="00FE198A">
      <w:r>
        <w:t xml:space="preserve">John Bradley was appointed the Secretary of DELWP in September 2017. </w:t>
      </w:r>
    </w:p>
    <w:p w14:paraId="243D8113" w14:textId="77777777" w:rsidR="00B02873" w:rsidRDefault="00B02873" w:rsidP="00FE198A">
      <w:r>
        <w:t>John is the President of the Institute of Public Administration Australia (IPAA) Victoria, a Non-Executive Director of Infrastructure Victoria and serves on the Victorian Secretaries Board.</w:t>
      </w:r>
    </w:p>
    <w:p w14:paraId="668D6B06" w14:textId="77777777" w:rsidR="00B02873" w:rsidRDefault="00B02873" w:rsidP="00FE198A">
      <w:r>
        <w:t xml:space="preserve">Prior to becoming Secretary, John was CEO of Energy Networks Australia and previously served as Director General of the Queensland Department of Premier and Cabinet, and Director General of the Queensland Department of Environment and Resource Management. He was previously the CEO of Queensland Water Commission during the Millennium Drought and an Executive Director of the Western Australian Office of Energy. </w:t>
      </w:r>
    </w:p>
    <w:p w14:paraId="5A4FBD10" w14:textId="77777777" w:rsidR="00B02873" w:rsidRDefault="00B02873" w:rsidP="00FE198A">
      <w:r>
        <w:t xml:space="preserve">John holds a Bachelor of Arts from the University of Queensland and a Master of Business Administration from the Queensland University of Technology. </w:t>
      </w:r>
    </w:p>
    <w:p w14:paraId="401500A1" w14:textId="77777777" w:rsidR="00B02873" w:rsidRPr="00A727CB" w:rsidRDefault="00B02873" w:rsidP="00A727CB">
      <w:pPr>
        <w:pStyle w:val="Heading3"/>
      </w:pPr>
      <w:r w:rsidRPr="00A727CB">
        <w:rPr>
          <w:rFonts w:asciiTheme="minorHAnsi" w:hAnsiTheme="minorHAnsi" w:cstheme="minorHAnsi"/>
        </w:rPr>
        <w:t xml:space="preserve">Dr Graeme Emonson PSM </w:t>
      </w:r>
      <w:r w:rsidRPr="00A727CB">
        <w:rPr>
          <w:rFonts w:asciiTheme="minorHAnsi" w:hAnsiTheme="minorHAnsi" w:cstheme="minorHAnsi"/>
        </w:rPr>
        <w:br/>
      </w:r>
      <w:r w:rsidRPr="00A727CB">
        <w:rPr>
          <w:rStyle w:val="BoldItalic"/>
          <w:rFonts w:asciiTheme="minorHAnsi" w:hAnsiTheme="minorHAnsi" w:cstheme="minorHAnsi"/>
          <w:b/>
          <w:bCs/>
        </w:rPr>
        <w:t>Deputy Secretary, Corporate Services</w:t>
      </w:r>
      <w:r w:rsidRPr="00A727CB">
        <w:rPr>
          <w:rFonts w:asciiTheme="minorHAnsi" w:hAnsiTheme="minorHAnsi" w:cstheme="minorHAnsi"/>
        </w:rPr>
        <w:t xml:space="preserve"> </w:t>
      </w:r>
    </w:p>
    <w:p w14:paraId="00C5F6F6" w14:textId="19436883" w:rsidR="00B02873" w:rsidRDefault="00B02873" w:rsidP="00FE198A">
      <w:r>
        <w:t>Graeme Emonson is the Deputy Secretary, Corporate Services. Graeme was appointed to the role in July 2020. Prior to this, Graeme held the role of Executive Director, Local Government Victoria within DELWP from February 2016 to June 2020. Prior to joining DELWP, Graeme held several roles at Chief Executive Officer level in the Victorian local government sector.</w:t>
      </w:r>
    </w:p>
    <w:p w14:paraId="459FE002" w14:textId="77777777" w:rsidR="00B02873" w:rsidRDefault="00B02873" w:rsidP="00FE198A">
      <w:r>
        <w:t>Graeme has a strong interest in leadership, organisational effectiveness and governance. He has a PhD in leadership, a Master of Business (Public Sector Management) and a Bachelor of Business.</w:t>
      </w:r>
    </w:p>
    <w:p w14:paraId="21617FC0" w14:textId="77777777" w:rsidR="00B02873" w:rsidRDefault="00B02873" w:rsidP="00FE198A">
      <w:r>
        <w:t>He is a Victorian Fellow and Board Member of the IPAA Victoria, member of the International City and County Managers’ Association, and a Fellow of Local Government Professionals (LGPro). In June 2020, Graeme was awarded the Public Service Medal for distinguished public service to the Victorian local government sector.</w:t>
      </w:r>
    </w:p>
    <w:p w14:paraId="346EB195" w14:textId="77777777" w:rsidR="00B02873" w:rsidRPr="00A727CB" w:rsidRDefault="00B02873" w:rsidP="00A727CB">
      <w:pPr>
        <w:pStyle w:val="Heading3"/>
        <w:rPr>
          <w:rStyle w:val="BoldItalic"/>
          <w:rFonts w:cs="Arial"/>
          <w:b/>
          <w:bCs/>
        </w:rPr>
      </w:pPr>
      <w:r>
        <w:t xml:space="preserve">Christine Ferguson PSM </w:t>
      </w:r>
      <w:r>
        <w:br/>
      </w:r>
      <w:r w:rsidRPr="00A727CB">
        <w:rPr>
          <w:rStyle w:val="BoldItalic"/>
          <w:rFonts w:cs="Arial"/>
          <w:b/>
          <w:bCs/>
        </w:rPr>
        <w:t>Deputy Secretary, Forest, Fire and Regions</w:t>
      </w:r>
    </w:p>
    <w:p w14:paraId="159F69E3" w14:textId="77777777" w:rsidR="00B02873" w:rsidRDefault="00B02873" w:rsidP="00FE198A">
      <w:r>
        <w:t>Christine Ferguson is the Deputy Secretary, Forest, Fire and Regions. She was appointed to the role in July 2020.</w:t>
      </w:r>
    </w:p>
    <w:p w14:paraId="1FADEB41" w14:textId="77777777" w:rsidR="00B02873" w:rsidRDefault="00B02873" w:rsidP="00FE198A">
      <w:r>
        <w:t xml:space="preserve">Prior to this, Christine held many key positions within DELWP. She was previously Executive Lead for Recycling Sector Reform during a crucial period in the industry’s history, Regional Director of </w:t>
      </w:r>
      <w:r>
        <w:lastRenderedPageBreak/>
        <w:t>the Grampians Region for three years, and Regional Director for Hume with the former Department of Environment and Primary Industries (DEPI) and DELWP for two years.</w:t>
      </w:r>
    </w:p>
    <w:p w14:paraId="6E26E285" w14:textId="77777777" w:rsidR="00B02873" w:rsidRDefault="00B02873" w:rsidP="00FE198A">
      <w:r>
        <w:t>Before joining DELWP, Christine held leadership roles at the Victorian Department of Human Services.</w:t>
      </w:r>
      <w:r>
        <w:rPr>
          <w:rFonts w:ascii="Calibri" w:hAnsi="Calibri"/>
        </w:rPr>
        <w:t> </w:t>
      </w:r>
      <w:r>
        <w:t>She is a member of the Australian Institute of Company Directors and a professional member of the IPAA Victoria.</w:t>
      </w:r>
      <w:r>
        <w:rPr>
          <w:rFonts w:ascii="Calibri" w:hAnsi="Calibri"/>
        </w:rPr>
        <w:t> </w:t>
      </w:r>
    </w:p>
    <w:p w14:paraId="64CCF436" w14:textId="633C460A" w:rsidR="00B02873" w:rsidRDefault="00B02873" w:rsidP="00FE198A">
      <w:r>
        <w:t>In 2020, Christine was recognised with a Public Service Medal for her outstanding public service to policy and program delivery in Victoria.</w:t>
      </w:r>
      <w:r w:rsidR="00012C04">
        <w:rPr>
          <w:rFonts w:ascii="Calibri" w:hAnsi="Calibri"/>
        </w:rPr>
        <w:t xml:space="preserve"> </w:t>
      </w:r>
    </w:p>
    <w:p w14:paraId="25C1AB0A" w14:textId="2814D9F4" w:rsidR="00B02873" w:rsidRPr="00A727CB" w:rsidRDefault="00B02873" w:rsidP="00A727CB">
      <w:pPr>
        <w:pStyle w:val="Heading3"/>
        <w:rPr>
          <w:rStyle w:val="BoldItalic"/>
          <w:rFonts w:asciiTheme="minorHAnsi" w:hAnsiTheme="minorHAnsi" w:cstheme="minorHAnsi"/>
          <w:b/>
          <w:bCs/>
        </w:rPr>
      </w:pPr>
      <w:r w:rsidRPr="00A727CB">
        <w:rPr>
          <w:rFonts w:asciiTheme="minorHAnsi" w:hAnsiTheme="minorHAnsi" w:cstheme="minorHAnsi"/>
        </w:rPr>
        <w:t xml:space="preserve">Terry Garwood PSM </w:t>
      </w:r>
      <w:r w:rsidRPr="00A727CB">
        <w:rPr>
          <w:rFonts w:asciiTheme="minorHAnsi" w:hAnsiTheme="minorHAnsi" w:cstheme="minorHAnsi"/>
        </w:rPr>
        <w:br/>
      </w:r>
      <w:r w:rsidRPr="00A727CB">
        <w:rPr>
          <w:rStyle w:val="BoldItalic"/>
          <w:rFonts w:asciiTheme="minorHAnsi" w:hAnsiTheme="minorHAnsi" w:cstheme="minorHAnsi"/>
          <w:b/>
          <w:bCs/>
        </w:rPr>
        <w:t xml:space="preserve">Deputy Secretary, Land Services and First Peoples </w:t>
      </w:r>
    </w:p>
    <w:p w14:paraId="11CB55EF" w14:textId="42FA1C0A" w:rsidR="00B02873" w:rsidRDefault="00B02873" w:rsidP="00FE198A">
      <w:r>
        <w:t>Terry Garwood is the Deputy Secretary, Land Services and First Peoples. Terry was appointed to the role in 2014.</w:t>
      </w:r>
    </w:p>
    <w:p w14:paraId="40AC6740" w14:textId="77777777" w:rsidR="00B02873" w:rsidRDefault="00B02873" w:rsidP="00FE198A">
      <w:r>
        <w:t xml:space="preserve">Terry is one of Victoria’s most senior Aboriginal public servants. He has worked in the Victorian and Australian Public Service for over 40 years, serving in several departments in Canberra, Melbourne and regional Victoria. Terry has held senior executive positions across the Victorian Public Service, including in the Department of Transport and the Department of Human Services. Terry has also held senior operational and policy roles in the Australian Public Service, including the Aboriginal Development Commission, Aboriginal Hostels Limited and the Department of Employment, Education and Training. </w:t>
      </w:r>
    </w:p>
    <w:p w14:paraId="3101C949" w14:textId="25096119" w:rsidR="00B02873" w:rsidRDefault="00B02873" w:rsidP="00FE198A">
      <w:r>
        <w:t>Terry is a National Fellow of IPAA Victoria and holds a Diploma of Arts and a Graduate Diploma of Education (Secondary) from La Trobe University. In 2018, Terry was awarded the Public Service Medal for distinguished public service and was inducted into the Victorian Aboriginal Honour Roll, where he was recognised for his leadership, passion and commitment to community.</w:t>
      </w:r>
    </w:p>
    <w:p w14:paraId="38E68360" w14:textId="77777777" w:rsidR="00B02873" w:rsidRPr="00A727CB" w:rsidRDefault="00B02873" w:rsidP="00A727CB">
      <w:pPr>
        <w:pStyle w:val="Heading3"/>
        <w:rPr>
          <w:rStyle w:val="BoldItalic"/>
          <w:rFonts w:asciiTheme="minorHAnsi" w:hAnsiTheme="minorHAnsi" w:cstheme="minorHAnsi"/>
          <w:b/>
          <w:bCs/>
        </w:rPr>
      </w:pPr>
      <w:r>
        <w:t>Anh Mai</w:t>
      </w:r>
      <w:r>
        <w:br/>
      </w:r>
      <w:r w:rsidRPr="00A727CB">
        <w:rPr>
          <w:rStyle w:val="BoldItalic"/>
          <w:rFonts w:asciiTheme="minorHAnsi" w:hAnsiTheme="minorHAnsi" w:cstheme="minorHAnsi"/>
          <w:b/>
          <w:bCs/>
        </w:rPr>
        <w:t>Acting Deputy Secretary, Energy</w:t>
      </w:r>
    </w:p>
    <w:p w14:paraId="7E4ADD27" w14:textId="423D7396" w:rsidR="00B02873" w:rsidRDefault="00B02873" w:rsidP="00FE198A">
      <w:r>
        <w:t>Anh Mai is the Acting Deputy Secretary, Energy, since March 2022. She leads a broad range of programs and initiatives as part of Victoria’s energy transformation</w:t>
      </w:r>
      <w:r w:rsidR="000C45FC">
        <w:t xml:space="preserve"> – </w:t>
      </w:r>
      <w:r>
        <w:t>embracing an energy system that is renewable, sustainable, reliable and affordable. Anh joined the Department as the Executive Director of VicGrid Division in November 2020. Prior to this, Anh held various leadership roles at AusNet Services, the Australian Competition and Consumer Commission and the Australian Energy Regulator. Anh has expertise in policy, transmission, capital management and economic regulation, and holds a Bachelor of Economics/Bachelor of Laws (Honours) from La Trobe University.</w:t>
      </w:r>
    </w:p>
    <w:p w14:paraId="191314DC" w14:textId="5CD2EB11" w:rsidR="00B02873" w:rsidRPr="00A727CB" w:rsidRDefault="00B02873" w:rsidP="00A727CB">
      <w:pPr>
        <w:pStyle w:val="Heading3"/>
        <w:rPr>
          <w:rStyle w:val="BoldItalic"/>
          <w:rFonts w:asciiTheme="minorHAnsi" w:hAnsiTheme="minorHAnsi" w:cstheme="minorHAnsi"/>
          <w:b/>
          <w:bCs/>
        </w:rPr>
      </w:pPr>
      <w:r w:rsidRPr="00A727CB">
        <w:rPr>
          <w:rFonts w:asciiTheme="minorHAnsi" w:hAnsiTheme="minorHAnsi" w:cstheme="minorHAnsi"/>
        </w:rPr>
        <w:t xml:space="preserve">Anthea Harris </w:t>
      </w:r>
      <w:r w:rsidR="00A727CB" w:rsidRPr="00A727CB">
        <w:rPr>
          <w:rFonts w:asciiTheme="minorHAnsi" w:hAnsiTheme="minorHAnsi" w:cstheme="minorHAnsi"/>
        </w:rPr>
        <w:br/>
      </w:r>
      <w:r w:rsidRPr="00A727CB">
        <w:rPr>
          <w:rFonts w:asciiTheme="minorHAnsi" w:hAnsiTheme="minorHAnsi" w:cstheme="minorHAnsi"/>
        </w:rPr>
        <w:t xml:space="preserve">Former </w:t>
      </w:r>
      <w:r w:rsidRPr="00A727CB">
        <w:rPr>
          <w:rStyle w:val="BoldItalic"/>
          <w:rFonts w:asciiTheme="minorHAnsi" w:hAnsiTheme="minorHAnsi" w:cstheme="minorHAnsi"/>
          <w:b/>
          <w:bCs/>
        </w:rPr>
        <w:t>Deputy Secretary, Energy</w:t>
      </w:r>
    </w:p>
    <w:p w14:paraId="0C1400C9" w14:textId="77777777" w:rsidR="00B02873" w:rsidRDefault="00B02873" w:rsidP="00FE198A">
      <w:r>
        <w:t xml:space="preserve">Anthea Harris was the Deputy Secretary, Energy from May 2019 until March 2022 when she was appointed as CEO of the national Energy Security Board. </w:t>
      </w:r>
    </w:p>
    <w:p w14:paraId="766ECFB8" w14:textId="77777777" w:rsidR="00B02873" w:rsidRPr="00A727CB" w:rsidRDefault="00B02873" w:rsidP="00A727CB">
      <w:pPr>
        <w:pStyle w:val="Heading3"/>
        <w:rPr>
          <w:rFonts w:asciiTheme="majorHAnsi" w:hAnsiTheme="majorHAnsi" w:cstheme="majorHAnsi"/>
        </w:rPr>
      </w:pPr>
      <w:r w:rsidRPr="00A727CB">
        <w:rPr>
          <w:rFonts w:asciiTheme="majorHAnsi" w:hAnsiTheme="majorHAnsi" w:cstheme="majorHAnsi"/>
        </w:rPr>
        <w:t xml:space="preserve">Julian Lyngcoln </w:t>
      </w:r>
      <w:r w:rsidRPr="00A727CB">
        <w:rPr>
          <w:rFonts w:asciiTheme="majorHAnsi" w:hAnsiTheme="majorHAnsi" w:cstheme="majorHAnsi"/>
        </w:rPr>
        <w:br/>
      </w:r>
      <w:r w:rsidRPr="00A727CB">
        <w:rPr>
          <w:rStyle w:val="BoldItalic"/>
          <w:rFonts w:asciiTheme="majorHAnsi" w:hAnsiTheme="majorHAnsi" w:cstheme="majorHAnsi"/>
          <w:b/>
          <w:bCs/>
        </w:rPr>
        <w:t>Deputy Secretary, Planning</w:t>
      </w:r>
    </w:p>
    <w:p w14:paraId="1423C899" w14:textId="77777777" w:rsidR="00B02873" w:rsidRDefault="00B02873" w:rsidP="00FE198A">
      <w:r>
        <w:t xml:space="preserve">Julian Lyngcoln is the Deputy Secretary, Planning. Julian was appointed to the role in May 2019. </w:t>
      </w:r>
    </w:p>
    <w:p w14:paraId="3BD347B6" w14:textId="77777777" w:rsidR="00B02873" w:rsidRDefault="00B02873" w:rsidP="00FE198A">
      <w:r>
        <w:t>Julian is an experienced public sector executive with</w:t>
      </w:r>
      <w:r>
        <w:rPr>
          <w:rFonts w:ascii="Calibri" w:hAnsi="Calibri"/>
        </w:rPr>
        <w:t> </w:t>
      </w:r>
      <w:r>
        <w:t xml:space="preserve">over 20 years working in state government. Prior to his current role, he was the Executive Director, Planning Implementation, where he was instrumental in the refresh of </w:t>
      </w:r>
      <w:r w:rsidRPr="00A727CB">
        <w:rPr>
          <w:rStyle w:val="LightItalic"/>
          <w:rFonts w:ascii="Arial" w:hAnsi="Arial" w:cs="Arial"/>
        </w:rPr>
        <w:t>Plan Melbourne 2017-2050</w:t>
      </w:r>
      <w:r>
        <w:t xml:space="preserve"> and the delivery of key planning policy reforms. He</w:t>
      </w:r>
      <w:r>
        <w:rPr>
          <w:rFonts w:ascii="Calibri" w:hAnsi="Calibri"/>
        </w:rPr>
        <w:t> </w:t>
      </w:r>
      <w:r>
        <w:t>has held senior roles across the Victorian Public Service, including in VicRoads and the Department of Transport.</w:t>
      </w:r>
    </w:p>
    <w:p w14:paraId="3372D873" w14:textId="77777777" w:rsidR="00B02873" w:rsidRDefault="00B02873" w:rsidP="00FE198A">
      <w:r>
        <w:lastRenderedPageBreak/>
        <w:t>Julian holds a Bachelor of Engineering (Honours) and Arts (Honours) from Monash University and is a graduate of the Executive Fellows Program from the Australian and New Zealand School of Government.</w:t>
      </w:r>
    </w:p>
    <w:p w14:paraId="4260BD3E" w14:textId="77777777" w:rsidR="00B02873" w:rsidRPr="00A727CB" w:rsidRDefault="00B02873" w:rsidP="00A727CB">
      <w:pPr>
        <w:pStyle w:val="Heading3"/>
        <w:rPr>
          <w:rStyle w:val="BoldItalic"/>
          <w:rFonts w:asciiTheme="majorHAnsi" w:hAnsiTheme="majorHAnsi" w:cstheme="majorHAnsi"/>
          <w:b/>
          <w:bCs/>
        </w:rPr>
      </w:pPr>
      <w:r w:rsidRPr="00A727CB">
        <w:rPr>
          <w:rFonts w:asciiTheme="majorHAnsi" w:hAnsiTheme="majorHAnsi" w:cstheme="majorHAnsi"/>
        </w:rPr>
        <w:t xml:space="preserve">Helen Vaughan PSM </w:t>
      </w:r>
      <w:r w:rsidRPr="00A727CB">
        <w:rPr>
          <w:rFonts w:asciiTheme="majorHAnsi" w:hAnsiTheme="majorHAnsi" w:cstheme="majorHAnsi"/>
        </w:rPr>
        <w:br/>
      </w:r>
      <w:r w:rsidRPr="00A727CB">
        <w:rPr>
          <w:rStyle w:val="BoldItalic"/>
          <w:rFonts w:asciiTheme="majorHAnsi" w:hAnsiTheme="majorHAnsi" w:cstheme="majorHAnsi"/>
          <w:b/>
          <w:bCs/>
        </w:rPr>
        <w:t>Deputy Secretary, Water and Catchments</w:t>
      </w:r>
    </w:p>
    <w:p w14:paraId="1448D84E" w14:textId="77777777" w:rsidR="00B02873" w:rsidRDefault="00B02873" w:rsidP="00FE198A">
      <w:r>
        <w:t>Helen Vaughan is the Deputy Secretary, Water and Catchments. Helen was appointed as the Deputy Secretary in January 2018. She previously worked in executive roles as Regional Director, most recently for DELWP in south-western Victoria, and for the former DEPI and Department of Sustainability and Environment.</w:t>
      </w:r>
    </w:p>
    <w:p w14:paraId="499EE793" w14:textId="77777777" w:rsidR="00B02873" w:rsidRDefault="00B02873" w:rsidP="00FE198A">
      <w:r>
        <w:t xml:space="preserve">Helen has extensive experience in both the New South Wales and Victorian public service in policy, research and policy implementation roles, focussed mainly on natural resource and emergency management. </w:t>
      </w:r>
    </w:p>
    <w:p w14:paraId="7026D7ED" w14:textId="77777777" w:rsidR="00B02873" w:rsidRDefault="00B02873" w:rsidP="00FE198A">
      <w:r>
        <w:t xml:space="preserve">Helen holds a Bachelor of Science (Forestry) from the Australian National University and in June 2022 received a Public Service Medal for outstanding public service in policy and program delivery, particularly in the area of natural resource management. </w:t>
      </w:r>
    </w:p>
    <w:p w14:paraId="1D36A406" w14:textId="38DF03D8" w:rsidR="00B02873" w:rsidRPr="00A727CB" w:rsidRDefault="00B02873" w:rsidP="00A727CB">
      <w:pPr>
        <w:pStyle w:val="Heading3"/>
        <w:rPr>
          <w:rStyle w:val="BoldItalic"/>
          <w:rFonts w:asciiTheme="majorHAnsi" w:hAnsiTheme="majorHAnsi" w:cstheme="majorHAnsi"/>
          <w:b/>
          <w:bCs/>
        </w:rPr>
      </w:pPr>
      <w:r w:rsidRPr="00A727CB">
        <w:rPr>
          <w:rFonts w:asciiTheme="majorHAnsi" w:hAnsiTheme="majorHAnsi" w:cstheme="majorHAnsi"/>
        </w:rPr>
        <w:t>Carolyn Jackson</w:t>
      </w:r>
      <w:r w:rsidR="00012C04" w:rsidRPr="00A727CB">
        <w:rPr>
          <w:rFonts w:asciiTheme="majorHAnsi" w:hAnsiTheme="majorHAnsi" w:cstheme="majorHAnsi"/>
        </w:rPr>
        <w:t xml:space="preserve"> </w:t>
      </w:r>
      <w:r w:rsidRPr="00A727CB">
        <w:rPr>
          <w:rFonts w:asciiTheme="majorHAnsi" w:hAnsiTheme="majorHAnsi" w:cstheme="majorHAnsi"/>
        </w:rPr>
        <w:br/>
      </w:r>
      <w:r w:rsidRPr="00A727CB">
        <w:rPr>
          <w:rStyle w:val="BoldItalic"/>
          <w:rFonts w:asciiTheme="majorHAnsi" w:hAnsiTheme="majorHAnsi" w:cstheme="majorHAnsi"/>
          <w:b/>
          <w:bCs/>
        </w:rPr>
        <w:t xml:space="preserve">Deputy Secretary, Environment </w:t>
      </w:r>
      <w:r w:rsidRPr="00A727CB">
        <w:rPr>
          <w:rStyle w:val="BoldItalic"/>
          <w:rFonts w:asciiTheme="majorHAnsi" w:hAnsiTheme="majorHAnsi" w:cstheme="majorHAnsi"/>
          <w:b/>
          <w:bCs/>
        </w:rPr>
        <w:br/>
        <w:t>and Climate Change</w:t>
      </w:r>
    </w:p>
    <w:p w14:paraId="543F36A5" w14:textId="77777777" w:rsidR="00B02873" w:rsidRDefault="00B02873" w:rsidP="00FE198A">
      <w:r>
        <w:t>Carolyn Jackson is the Deputy Secretary, Environment and Climate Change. Carolyn was appointed to the role in August 2021, leading the department’s response to climate change and reforms to the waste and recycling sector, public land legislation and environmental and biodiversity protections.</w:t>
      </w:r>
    </w:p>
    <w:p w14:paraId="18204830" w14:textId="153DD95F" w:rsidR="00B02873" w:rsidRDefault="00B02873" w:rsidP="00FE198A">
      <w:r>
        <w:t>Previously Carolyn was the Executive Director, Energy Demand, Programs and Safety within DELWP, and was formerly the Executive Director, Finance and Planning (Chief Finance Officer) within the Corporate Services group of DELWP.</w:t>
      </w:r>
    </w:p>
    <w:p w14:paraId="297E10A9" w14:textId="77777777" w:rsidR="00B02873" w:rsidRDefault="00B02873" w:rsidP="00FE198A">
      <w:pPr>
        <w:rPr>
          <w:spacing w:val="-2"/>
        </w:rPr>
      </w:pPr>
      <w:r>
        <w:t xml:space="preserve">Carolyn holds a Bachelor of Commerce (Economics) and a Bachelor of Laws, as well as a Masters of Professional Accounting. </w:t>
      </w:r>
    </w:p>
    <w:p w14:paraId="37AC2122" w14:textId="77777777" w:rsidR="00B02873" w:rsidRPr="00A727CB" w:rsidRDefault="00B02873" w:rsidP="00A727CB">
      <w:pPr>
        <w:pStyle w:val="Heading3"/>
        <w:rPr>
          <w:rStyle w:val="BoldItalic"/>
          <w:rFonts w:asciiTheme="majorHAnsi" w:hAnsiTheme="majorHAnsi" w:cstheme="majorHAnsi"/>
          <w:b/>
          <w:bCs/>
        </w:rPr>
      </w:pPr>
      <w:r w:rsidRPr="00A727CB">
        <w:rPr>
          <w:rFonts w:asciiTheme="majorHAnsi" w:hAnsiTheme="majorHAnsi" w:cstheme="majorHAnsi"/>
        </w:rPr>
        <w:t>Stan Krpan PSM</w:t>
      </w:r>
      <w:r w:rsidRPr="00A727CB">
        <w:rPr>
          <w:rFonts w:asciiTheme="majorHAnsi" w:hAnsiTheme="majorHAnsi" w:cstheme="majorHAnsi"/>
        </w:rPr>
        <w:br/>
      </w:r>
      <w:r w:rsidRPr="00A727CB">
        <w:rPr>
          <w:rStyle w:val="BoldItalic"/>
          <w:rFonts w:asciiTheme="majorHAnsi" w:hAnsiTheme="majorHAnsi" w:cstheme="majorHAnsi"/>
          <w:b/>
          <w:bCs/>
        </w:rPr>
        <w:t>Chief Executive Officer, Solar Victoria</w:t>
      </w:r>
    </w:p>
    <w:p w14:paraId="617FF64F" w14:textId="77777777" w:rsidR="00B02873" w:rsidRDefault="00B02873" w:rsidP="00FE198A">
      <w:r>
        <w:t xml:space="preserve">Stan Krpan was appointed as the CEO of Solar Victoria in July 2019. Prior to this, he was CEO of Sustainability Victoria from 2012 to 2019. Stan previously also held positions as inaugural CEO of the Victorian Cladding Taskforce in 2017 and Co-Chair of Building Victoria’s Recovery Taskforce in 2020. His career as an executive in the public sector has involved significant policy and regulatory reform in across a diversity of sectors including workplace health, safety and environment, sustainability and climate change. </w:t>
      </w:r>
    </w:p>
    <w:p w14:paraId="05191031" w14:textId="77777777" w:rsidR="00B02873" w:rsidRDefault="00B02873" w:rsidP="00FE198A">
      <w:r>
        <w:t>He is an experienced non-executive director of social enterprises, not-for-profit organisations and university advisory boards. He is a Fellow of the Australian Institute of Company Directors, a Fellow of the Institute of Public Administration and an Alumnus of the Williamson Community Leadership Program.</w:t>
      </w:r>
      <w:r>
        <w:rPr>
          <w:rFonts w:ascii="Calibri" w:hAnsi="Calibri"/>
        </w:rPr>
        <w:t> </w:t>
      </w:r>
    </w:p>
    <w:p w14:paraId="2D8ED2F6" w14:textId="1C4247EA" w:rsidR="00B02873" w:rsidRDefault="00B02873" w:rsidP="00FE198A">
      <w:r>
        <w:t>Stan holds a Bachelor of Economics Laws and a Master of Laws.</w:t>
      </w:r>
    </w:p>
    <w:p w14:paraId="5B3FF2D2" w14:textId="77777777" w:rsidR="00B02873" w:rsidRDefault="00B02873" w:rsidP="00FE198A">
      <w:r>
        <w:t>In June 2022, Stan received a Public Service Medal for his outstanding public service to policy and program delivery, particularly in the areas of environmental and social policy.</w:t>
      </w:r>
    </w:p>
    <w:p w14:paraId="3F5338C2" w14:textId="77777777" w:rsidR="00B02873" w:rsidRDefault="00B02873" w:rsidP="00884871">
      <w:pPr>
        <w:pStyle w:val="Heading2Headings"/>
      </w:pPr>
      <w:bookmarkStart w:id="4" w:name="_Ref116904264"/>
      <w:bookmarkStart w:id="5" w:name="Our_functions_and_services"/>
      <w:r>
        <w:lastRenderedPageBreak/>
        <w:t>Our functions and services</w:t>
      </w:r>
      <w:bookmarkEnd w:id="4"/>
      <w:bookmarkEnd w:id="5"/>
      <w:r>
        <w:t xml:space="preserve"> </w:t>
      </w:r>
    </w:p>
    <w:p w14:paraId="76B5357A" w14:textId="77777777" w:rsidR="00B02873" w:rsidRDefault="00B02873" w:rsidP="00884206">
      <w:pPr>
        <w:pStyle w:val="Normalbeforebullet"/>
      </w:pPr>
      <w:r>
        <w:t>DELWP is structured around eight business groups cooperating to support our ministers, the Secretary and portfolio partners in delivering the government’s priorities:</w:t>
      </w:r>
    </w:p>
    <w:p w14:paraId="20D182B5" w14:textId="5F826099" w:rsidR="00B02873" w:rsidRDefault="00B02873" w:rsidP="00B02873">
      <w:pPr>
        <w:pStyle w:val="Bullet1Lists"/>
      </w:pPr>
      <w:r>
        <w:rPr>
          <w:rStyle w:val="Bold"/>
          <w:spacing w:val="-2"/>
        </w:rPr>
        <w:t>Energy</w:t>
      </w:r>
      <w:r w:rsidR="000C45FC">
        <w:t xml:space="preserve"> – </w:t>
      </w:r>
      <w:r>
        <w:t>delivers a range of policies, regulatory frameworks, programs, and initiatives to meet its five key policy goals: increase the affordability and accessibility of energy services; improve the reliability, security and stability of the energy system; reduce emissions from Victoria’s energy system; increase consumer control over household energy costs; and increase jobs and economic development in the energy sector. Together with service partners such as Solar Victoria and Sustainability Victoria, the group is responsible for delivering Victoria’s energy policies and programs, boosting jobs in emerging energy industries and growth in the clean economy, while ensuring the reliability, sustainability, and affordability of Victoria’s energy systems.</w:t>
      </w:r>
    </w:p>
    <w:p w14:paraId="2090171F" w14:textId="77777777" w:rsidR="00B02873" w:rsidRDefault="00B02873" w:rsidP="00B02873">
      <w:pPr>
        <w:pStyle w:val="Bullet1Lists"/>
      </w:pPr>
      <w:r w:rsidRPr="00546E03">
        <w:rPr>
          <w:rFonts w:cs="VIC"/>
          <w:b/>
          <w:bCs/>
        </w:rPr>
        <w:t>Environment and Climate Change</w:t>
      </w:r>
      <w:r>
        <w:t xml:space="preserve"> – leads the Victorian Government’s responses to climate change and provides advice to government on directions, principles, strategies, policies and actions related to environmental protection, the management of public land and protecting the state’s biodiversity. The group is responsible for delivering the Victorian Government’s significant investment in the circular economy through the delivery of ‘Recycling Victoria: A new economy’, which is expanding the state’s circular economy capacity, improving waste management and recycling, creating jobs and supporting economic growth. This work is continuing through the establishment of Recycling Victoria on 1 July 2022, a dedicated business unit to oversee and provide strategic leadership for the waste and recycling sector. The group works across DELWP, with Traditional Owners, portfolio agencies, external stakeholders and with ministers to implement DELWP’s statewide objectives.</w:t>
      </w:r>
    </w:p>
    <w:p w14:paraId="52D3D109" w14:textId="77777777" w:rsidR="00B02873" w:rsidRDefault="00B02873" w:rsidP="00B02873">
      <w:pPr>
        <w:pStyle w:val="Bullet1Lists"/>
      </w:pPr>
      <w:r w:rsidRPr="00546E03">
        <w:rPr>
          <w:rFonts w:cs="VIC"/>
          <w:b/>
          <w:bCs/>
        </w:rPr>
        <w:t>Forest, Fire and Regions</w:t>
      </w:r>
      <w:r>
        <w:t xml:space="preserve"> – is DELWP’s main connection to Victorian communities, delivering integrated, accessible and high-quality programs, projects and services across all DELWP portfolio areas. The group employs around 2,570 people in every corner of Victoria, including a seasonal surge workforce of about 600 people. Forest, Fire and Regions works across DELWP, with Traditional Owners, communities, portfolio agencies, external stakeholders and with ministers to implement DELWP’s statewide objectives relating to coastal protection asset management and reform, forest management, conservation regulation, fire and emergency management and recovery, and to provide a range of services at place from more than 80 locations across the state. Forest, Fire and Regions employs people from the communities we serve in every part of the state, and fosters community and environmental sustainability and conservation to preserve the environment for generations to come. </w:t>
      </w:r>
    </w:p>
    <w:p w14:paraId="230718C5" w14:textId="77777777" w:rsidR="00B02873" w:rsidRDefault="00B02873" w:rsidP="00B02873">
      <w:pPr>
        <w:pStyle w:val="Bullet1Lists"/>
      </w:pPr>
      <w:r w:rsidRPr="00546E03">
        <w:rPr>
          <w:rFonts w:cs="VIC"/>
          <w:b/>
          <w:bCs/>
        </w:rPr>
        <w:t>Land Services and First Peoples</w:t>
      </w:r>
      <w:r>
        <w:t xml:space="preserve"> – provides authoritative, comprehensive and accessible land data and services, including the Victorian land registry, valuations, surveying and innovative spatial information, to support integrated, evidence-based decision making, and ensures confidence in the integrity and efficiency of the Victorian property system. The group leads implementation of the Victorian Government Land Use policy to deliver greater value from government-owned land, and works with agencies to ensure land is transacted in accordance with legislation, policy and probity standards, through the Victorian Government Land Monitor. The group also holds responsibility to drive the Aboriginal self-determination reform agenda across DELWP by building the cultural capability of the organisation, providing self-determination policy advice and strategic direction to guide DELWP’s partnerships and engagement with Traditional Owners and Aboriginal Victorians. Through the Yoorrook Justice Commission Taskforce, the group ensures that DELWP and its portfolio entities meet the requests and expectations of the Yoorrook Justice Commission. </w:t>
      </w:r>
    </w:p>
    <w:p w14:paraId="624DF084" w14:textId="77777777" w:rsidR="00B02873" w:rsidRDefault="00B02873" w:rsidP="00B02873">
      <w:pPr>
        <w:pStyle w:val="Bullet1Lists"/>
      </w:pPr>
      <w:r w:rsidRPr="00546E03">
        <w:rPr>
          <w:rFonts w:cs="VIC"/>
          <w:b/>
          <w:bCs/>
        </w:rPr>
        <w:t>Planning</w:t>
      </w:r>
      <w:r>
        <w:t xml:space="preserve"> – manages the state’s planning, building and heritage systems including developing long-term, integrated land use strategies and policies, administering statutory responsibilities, facilitating urban development and enabling government’s infrastructure strategies and programs. Under Victoria’s planning system, local councils and the Victorian Government develop planning schemes to control land use and development and ensure the protection and conservation of land. The group works collaboratively with local government and other key </w:t>
      </w:r>
      <w:r>
        <w:lastRenderedPageBreak/>
        <w:t>public and private stakeholders to lead programs that support Victoria’s growth and liveability, and to ensure that quality services and outcomes are delivered across the state.</w:t>
      </w:r>
    </w:p>
    <w:p w14:paraId="6310E592" w14:textId="77777777" w:rsidR="00B02873" w:rsidRDefault="00B02873" w:rsidP="00B02873">
      <w:pPr>
        <w:pStyle w:val="Bullet1Lists"/>
      </w:pPr>
      <w:r w:rsidRPr="00546E03">
        <w:rPr>
          <w:rFonts w:cs="VIC"/>
          <w:b/>
          <w:bCs/>
        </w:rPr>
        <w:t>Water and Catchments</w:t>
      </w:r>
      <w:r>
        <w:t xml:space="preserve"> – works to ensure that Victoria has safe, sustainable and productive water resources to meet current and future urban, rural and environmental needs. The group works in partnership with water corporations, catchment management authorities, government agencies, industry, community and Traditional Owners to balance the economic, environmental and social values of water. This work helps to deliver secure water supplies, greener and liveable cities and towns, healthy waterways and aquifers. The group is responsible for the implementation of the government’s long-term water plan, </w:t>
      </w:r>
      <w:r w:rsidRPr="00884206">
        <w:rPr>
          <w:rStyle w:val="LightItalic"/>
          <w:rFonts w:asciiTheme="minorHAnsi" w:hAnsiTheme="minorHAnsi" w:cstheme="minorHAnsi"/>
        </w:rPr>
        <w:t>Water for Victoria</w:t>
      </w:r>
      <w:r>
        <w:t>, which sets the strategic directions for the state’s water management for decades to</w:t>
      </w:r>
      <w:r>
        <w:rPr>
          <w:rFonts w:ascii="Calibri" w:hAnsi="Calibri" w:cs="Calibri"/>
        </w:rPr>
        <w:t> </w:t>
      </w:r>
      <w:r>
        <w:t xml:space="preserve">come. </w:t>
      </w:r>
    </w:p>
    <w:p w14:paraId="1A440847" w14:textId="77777777" w:rsidR="00B02873" w:rsidRDefault="00B02873" w:rsidP="00B02873">
      <w:pPr>
        <w:pStyle w:val="Bullet1Lists"/>
      </w:pPr>
      <w:r w:rsidRPr="00546E03">
        <w:rPr>
          <w:rFonts w:cs="VIC"/>
          <w:b/>
          <w:bCs/>
        </w:rPr>
        <w:t>Solar Victoria</w:t>
      </w:r>
      <w:r>
        <w:t xml:space="preserve"> – enables Victorians to access affordable, reliable, clean energy, now and into the future. Solar Victoria achieves this by boosting access to affordable energy, supporting industry growth and innovation, raising safety and quality standards and accelerating Victoria’s energy transition. Solar Victoria administers the Solar Homes and Solar for Business programs, which offer rebates to make solar panels, solar hot water, solar batteries and solar for rental properties more affordable and reduce energy bills for Victorian businesses. Solar Victoria also delivers the Victorian Government’s Home Heating and Cooling Upgrades and Zero Emissions Vehicle subsidy programs. By switching to solar and more energy efficient heating and cooling systems and water heating, Victorians reduce their energy bills, boost our renewable energy supply, support jobs and development of the industry, and improve our grid security. </w:t>
      </w:r>
    </w:p>
    <w:p w14:paraId="3EFE5765" w14:textId="273D107C" w:rsidR="00B02873" w:rsidRDefault="00B02873" w:rsidP="00B02873">
      <w:pPr>
        <w:pStyle w:val="Bullet1Lists"/>
      </w:pPr>
      <w:r w:rsidRPr="00546E03">
        <w:rPr>
          <w:rFonts w:cs="VIC"/>
          <w:b/>
          <w:bCs/>
        </w:rPr>
        <w:t>Corporate Services</w:t>
      </w:r>
      <w:r>
        <w:t xml:space="preserve"> – enables good governance and partners with all DELWP Groups to deliver on the One-DELWP Strategic Framework and its associated outcomes. It provides services and support to build a capable workforce. The group partners with internal and external stakeholders to provide whole-of-department services, systems, processes, policies, strategies, standards, reporting and analysis across finance, people and culture, information services, digital and customer </w:t>
      </w:r>
      <w:r w:rsidR="00884206">
        <w:t>communications,</w:t>
      </w:r>
      <w:r>
        <w:t xml:space="preserve"> legal and governance, strategic planning, operations and performance. The group also has a broader whole-of-Victorian Government view with a focus on public sector reform and future capability.</w:t>
      </w:r>
    </w:p>
    <w:p w14:paraId="75B573B5" w14:textId="77777777" w:rsidR="0033614A" w:rsidRDefault="0033614A" w:rsidP="00431AAA">
      <w:pPr>
        <w:pStyle w:val="Heading2"/>
        <w:sectPr w:rsidR="0033614A" w:rsidSect="000C0438">
          <w:headerReference w:type="even" r:id="rId10"/>
          <w:headerReference w:type="default" r:id="rId11"/>
          <w:footerReference w:type="even" r:id="rId12"/>
          <w:footerReference w:type="default" r:id="rId13"/>
          <w:headerReference w:type="first" r:id="rId14"/>
          <w:footerReference w:type="first" r:id="rId15"/>
          <w:pgSz w:w="11906" w:h="16838" w:code="9"/>
          <w:pgMar w:top="1134" w:right="1134" w:bottom="1134" w:left="1134" w:header="720" w:footer="720" w:gutter="0"/>
          <w:cols w:space="720"/>
          <w:noEndnote/>
        </w:sectPr>
      </w:pPr>
      <w:bookmarkStart w:id="6" w:name="_Ref116904343"/>
    </w:p>
    <w:p w14:paraId="42365BD8" w14:textId="47ED4D26" w:rsidR="00B02873" w:rsidRDefault="00B02873" w:rsidP="00066FED">
      <w:pPr>
        <w:pStyle w:val="Heading2Headings"/>
      </w:pPr>
      <w:r>
        <w:lastRenderedPageBreak/>
        <w:t>Organisational structure</w:t>
      </w:r>
      <w:bookmarkEnd w:id="6"/>
      <w:r>
        <w:t xml:space="preserve"> </w:t>
      </w:r>
    </w:p>
    <w:p w14:paraId="3A6E413D" w14:textId="7BC07620" w:rsidR="00B02873" w:rsidRDefault="00B02873" w:rsidP="008517B2">
      <w:pPr>
        <w:keepNext/>
      </w:pPr>
      <w:r>
        <w:t>The organisational chart shows the department’s structure and senior executives for delivery of functions as at 30 June 2022.</w:t>
      </w:r>
    </w:p>
    <w:p w14:paraId="218099DF" w14:textId="5B19BBCB" w:rsidR="00431AAA" w:rsidRDefault="008517B2" w:rsidP="00FE198A">
      <w:r>
        <w:rPr>
          <w:noProof/>
        </w:rPr>
        <w:drawing>
          <wp:inline distT="0" distB="0" distL="0" distR="0" wp14:anchorId="1CFB84EC" wp14:editId="18CDD5B8">
            <wp:extent cx="9245600" cy="5085175"/>
            <wp:effectExtent l="0" t="0" r="0" b="0"/>
            <wp:docPr id="14" name="Picture 14" descr="Organisation chart showing the department’s structure and senior executives for delivery of functions as at 30 Jun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Organisation chart showing the department’s structure and senior executives for delivery of functions as at 30 June 2022."/>
                    <pic:cNvPicPr/>
                  </pic:nvPicPr>
                  <pic:blipFill>
                    <a:blip r:embed="rId16"/>
                    <a:stretch>
                      <a:fillRect/>
                    </a:stretch>
                  </pic:blipFill>
                  <pic:spPr>
                    <a:xfrm>
                      <a:off x="0" y="0"/>
                      <a:ext cx="9254769" cy="5090218"/>
                    </a:xfrm>
                    <a:prstGeom prst="rect">
                      <a:avLst/>
                    </a:prstGeom>
                  </pic:spPr>
                </pic:pic>
              </a:graphicData>
            </a:graphic>
          </wp:inline>
        </w:drawing>
      </w:r>
    </w:p>
    <w:p w14:paraId="054648BF" w14:textId="77777777" w:rsidR="0033614A" w:rsidRDefault="0033614A" w:rsidP="00FE198A"/>
    <w:p w14:paraId="1A390823" w14:textId="77777777" w:rsidR="0033614A" w:rsidRDefault="0033614A" w:rsidP="00431AAA">
      <w:pPr>
        <w:pStyle w:val="Heading2"/>
        <w:sectPr w:rsidR="0033614A" w:rsidSect="0033614A">
          <w:pgSz w:w="16838" w:h="11906" w:orient="landscape" w:code="9"/>
          <w:pgMar w:top="1134" w:right="1134" w:bottom="1134" w:left="1134" w:header="720" w:footer="720" w:gutter="0"/>
          <w:cols w:space="720"/>
          <w:noEndnote/>
          <w:docGrid w:linePitch="299"/>
        </w:sectPr>
      </w:pPr>
    </w:p>
    <w:p w14:paraId="1101F7B9" w14:textId="4D24DCD7" w:rsidR="00B02873" w:rsidRDefault="00B02873" w:rsidP="00884871">
      <w:pPr>
        <w:pStyle w:val="Heading2Headings"/>
      </w:pPr>
      <w:r>
        <w:lastRenderedPageBreak/>
        <w:t>Governance</w:t>
      </w:r>
    </w:p>
    <w:p w14:paraId="13892A62" w14:textId="63BB03FE" w:rsidR="00B02873" w:rsidRDefault="00B02873" w:rsidP="00FE198A">
      <w:r>
        <w:t xml:space="preserve">Under the </w:t>
      </w:r>
      <w:r w:rsidRPr="00431AAA">
        <w:rPr>
          <w:rStyle w:val="LightItalic"/>
          <w:rFonts w:asciiTheme="minorHAnsi" w:hAnsiTheme="minorHAnsi" w:cstheme="minorHAnsi"/>
        </w:rPr>
        <w:t>Public Administration Act 2004</w:t>
      </w:r>
      <w:r>
        <w:t xml:space="preserve">, the Secretary is accountable to the Minister for Water, Minister for Energy, Minister for Environment and Climate Action, Minister for Solar Homes and the Minister for Planning. A number of departmental committees are in place to focus on governance. The below committees are those the department is required to report on under Financial Reporting Directive 22 (FRD22). </w:t>
      </w:r>
    </w:p>
    <w:p w14:paraId="102BB198" w14:textId="77777777" w:rsidR="00B02873" w:rsidRDefault="00B02873" w:rsidP="00431AAA">
      <w:pPr>
        <w:pStyle w:val="Heading3"/>
      </w:pPr>
      <w:r>
        <w:t>Executive Board</w:t>
      </w:r>
    </w:p>
    <w:p w14:paraId="7748CC56" w14:textId="77777777" w:rsidR="00B02873" w:rsidRDefault="00B02873" w:rsidP="00FE198A">
      <w:r>
        <w:t>The DELWP Executive Board is responsible for leading the governance and stewardship of the department and includes the Secretary and Deputy Secretaries. The Board supports the Secretary to fulfil his statutory responsibilities and has three areas of strategic oversight:</w:t>
      </w:r>
    </w:p>
    <w:p w14:paraId="3ED40151" w14:textId="77777777" w:rsidR="00B02873" w:rsidRDefault="00B02873" w:rsidP="00FE198A">
      <w:r>
        <w:rPr>
          <w:rStyle w:val="Bold"/>
        </w:rPr>
        <w:t>Policy and Strategy</w:t>
      </w:r>
      <w:r>
        <w:t xml:space="preserve"> – oversight of significant policy, program and strategy activities of the department.</w:t>
      </w:r>
    </w:p>
    <w:p w14:paraId="664366DA" w14:textId="77777777" w:rsidR="00B02873" w:rsidRDefault="00B02873" w:rsidP="00FE198A">
      <w:r>
        <w:rPr>
          <w:rStyle w:val="Bold"/>
        </w:rPr>
        <w:t>Corporate Stewardship</w:t>
      </w:r>
      <w:r>
        <w:t xml:space="preserve"> – oversight of key elements of finance, risk, information services and people and culture including provision of strategic advice and assurance to the Secretary that the appropriate capabilities, processes and systems of the department are in place.</w:t>
      </w:r>
    </w:p>
    <w:p w14:paraId="42CD9EA6" w14:textId="77777777" w:rsidR="00B02873" w:rsidRDefault="00B02873" w:rsidP="00FE198A">
      <w:r>
        <w:rPr>
          <w:rStyle w:val="Bold"/>
        </w:rPr>
        <w:t>Operations and Performance</w:t>
      </w:r>
      <w:r>
        <w:t xml:space="preserve"> – oversight of the operational performance, trends and outlook to achieve effective and efficient delivery of the department’s services, policy, projects and programs.</w:t>
      </w:r>
    </w:p>
    <w:p w14:paraId="654C1DE5" w14:textId="77777777" w:rsidR="00B02873" w:rsidRDefault="00B02873" w:rsidP="00FE198A">
      <w:r>
        <w:t>The Board is supported by reform taskforces, stewardship committees and assurance committees that draw on the expertise of our senior leaders across the organisation to develop, inform and guide strategy and decisions through a One-DELWP approach.</w:t>
      </w:r>
    </w:p>
    <w:p w14:paraId="3423C0FE" w14:textId="77777777" w:rsidR="00B02873" w:rsidRDefault="00B02873" w:rsidP="00431AAA">
      <w:pPr>
        <w:pStyle w:val="Heading3"/>
      </w:pPr>
      <w:r>
        <w:t xml:space="preserve">Reform Taskforces </w:t>
      </w:r>
    </w:p>
    <w:p w14:paraId="5AAFB234" w14:textId="77777777" w:rsidR="00B02873" w:rsidRDefault="00B02873" w:rsidP="00FE198A">
      <w:r>
        <w:rPr>
          <w:spacing w:val="-3"/>
        </w:rPr>
        <w:t>Three taskforces bring together expertise from across DELWP to consider opportunities to improve the way the department operates and develop ideas for the Executive Board to consider over the medium to long term. They are also responsible for delivering approved transformation initiatives.</w:t>
      </w:r>
    </w:p>
    <w:p w14:paraId="21545E3E" w14:textId="77777777" w:rsidR="00B02873" w:rsidRDefault="00B02873" w:rsidP="00FE198A">
      <w:r>
        <w:t xml:space="preserve">The taskforces will be in place until their work programs are completed or they have transitioned into ‘business as usual’ functions within the department. </w:t>
      </w:r>
    </w:p>
    <w:p w14:paraId="3CB032D6" w14:textId="77777777" w:rsidR="00B02873" w:rsidRDefault="00B02873" w:rsidP="00EC07ED">
      <w:pPr>
        <w:pStyle w:val="Boldheader"/>
      </w:pPr>
      <w:r>
        <w:t>Transformation Taskforce</w:t>
      </w:r>
    </w:p>
    <w:p w14:paraId="4E9B0C11" w14:textId="51D78EA4" w:rsidR="00B02873" w:rsidRDefault="00B02873" w:rsidP="00FE198A">
      <w:r>
        <w:rPr>
          <w:spacing w:val="-3"/>
        </w:rPr>
        <w:t xml:space="preserve">The Transformation Taskforce leads, coordinates and manages the delivery of existing and new transformation initiatives intended to shape the department’s culture and improve the way the organisation delivers its high priority work. </w:t>
      </w:r>
    </w:p>
    <w:p w14:paraId="2D2AB73A" w14:textId="77777777" w:rsidR="00B02873" w:rsidRDefault="00B02873" w:rsidP="00FE198A">
      <w:r>
        <w:t>The Transformation Taskforce maintains program oversight of the projects and activities across the three taskforces.</w:t>
      </w:r>
    </w:p>
    <w:p w14:paraId="5AC3F7BF" w14:textId="77777777" w:rsidR="00B02873" w:rsidRDefault="00B02873" w:rsidP="00EC07ED">
      <w:pPr>
        <w:pStyle w:val="Boldheader"/>
      </w:pPr>
      <w:r>
        <w:t>End-to-end Operations Reform Taskforce</w:t>
      </w:r>
    </w:p>
    <w:p w14:paraId="2B0445C3" w14:textId="77777777" w:rsidR="00B02873" w:rsidRDefault="00B02873" w:rsidP="00FE198A">
      <w:r>
        <w:t xml:space="preserve">The End-to-end Operations Reform Taskforce investigates opportunities to improve the end-to-end planning, design and delivery of DELWP’s significant policy and program initiatives. </w:t>
      </w:r>
    </w:p>
    <w:p w14:paraId="5DF5087A" w14:textId="77777777" w:rsidR="00B02873" w:rsidRDefault="00B02873" w:rsidP="00EC07ED">
      <w:pPr>
        <w:pStyle w:val="Boldheader"/>
      </w:pPr>
      <w:r>
        <w:t>Customer, Stakeholder and Digital Experience Taskforce</w:t>
      </w:r>
    </w:p>
    <w:p w14:paraId="1C532AD5" w14:textId="77777777" w:rsidR="00B02873" w:rsidRDefault="00B02873" w:rsidP="00FE198A">
      <w:r>
        <w:rPr>
          <w:spacing w:val="-3"/>
        </w:rPr>
        <w:t>The Customer, Stakeholder and Digital Experience Taskforce leads and manages the review and implementation of processes, systems and structures to enable improved customer-centred, and inclusive digital service delivery.</w:t>
      </w:r>
    </w:p>
    <w:p w14:paraId="3D9EE02E" w14:textId="77777777" w:rsidR="00B02873" w:rsidRDefault="00B02873" w:rsidP="00EC07ED">
      <w:pPr>
        <w:pStyle w:val="Heading3"/>
      </w:pPr>
      <w:r>
        <w:lastRenderedPageBreak/>
        <w:t xml:space="preserve">Stewardship Committees </w:t>
      </w:r>
    </w:p>
    <w:p w14:paraId="130B2466" w14:textId="77777777" w:rsidR="00B02873" w:rsidRDefault="00B02873" w:rsidP="00FE198A">
      <w:r>
        <w:t>The department’s eight stewardship committees focus on department-wide strategic priorities and provide strategic advisory support to the Executive Board across a suite of corporate and service delivery functions.</w:t>
      </w:r>
    </w:p>
    <w:p w14:paraId="2D800ECF" w14:textId="77777777" w:rsidR="00B02873" w:rsidRDefault="00B02873" w:rsidP="00EC07ED">
      <w:pPr>
        <w:pStyle w:val="Boldheader"/>
      </w:pPr>
      <w:r>
        <w:t>Self-determination Committee</w:t>
      </w:r>
    </w:p>
    <w:p w14:paraId="24C4E60E" w14:textId="77777777" w:rsidR="00B02873" w:rsidRDefault="00B02873" w:rsidP="00FE198A">
      <w:r>
        <w:t>The Self-determination Committee provides a forum for all groups to provide coordinated One-DELWP input into key self-determination enabling policy initiatives on behalf of the Secretary and the DELWP Executive Board.</w:t>
      </w:r>
    </w:p>
    <w:p w14:paraId="30BA6C2C" w14:textId="77777777" w:rsidR="00B02873" w:rsidRDefault="00B02873" w:rsidP="00EC07ED">
      <w:pPr>
        <w:pStyle w:val="Boldheader"/>
      </w:pPr>
      <w:r>
        <w:t>People and Culture Committee</w:t>
      </w:r>
    </w:p>
    <w:p w14:paraId="7AD49997" w14:textId="77777777" w:rsidR="00B02873" w:rsidRDefault="00B02873" w:rsidP="00FE198A">
      <w:r>
        <w:t>The People and Culture Committee leads, oversees and optimises DELWP’s strategic people capability and organisational culture to achieve the department’s strategic outcomes in a way that promotes the responsible stewardship of DELWP’s five organisational pillars.</w:t>
      </w:r>
    </w:p>
    <w:p w14:paraId="49152C3E" w14:textId="77777777" w:rsidR="00B02873" w:rsidRDefault="00B02873" w:rsidP="00EC07ED">
      <w:pPr>
        <w:pStyle w:val="Boldheader"/>
      </w:pPr>
      <w:r>
        <w:t>Fire and Emergency Management Committee</w:t>
      </w:r>
    </w:p>
    <w:p w14:paraId="4C4F2010" w14:textId="77777777" w:rsidR="00B02873" w:rsidRDefault="00B02873" w:rsidP="00FE198A">
      <w:r>
        <w:t>The Fire and Emergency Management Committee oversees the delivery of DELWP’s fire and emergency management policy and operational work program, and ensures that the Secretary and the Executive Board have a clear line of sight of the department’s fire and emergency management activity.</w:t>
      </w:r>
    </w:p>
    <w:p w14:paraId="128DE1FA" w14:textId="77777777" w:rsidR="00B02873" w:rsidRDefault="00B02873" w:rsidP="00EC07ED">
      <w:pPr>
        <w:pStyle w:val="Boldheader"/>
      </w:pPr>
      <w:r>
        <w:t>Portfolio Governance and Integrity Committee</w:t>
      </w:r>
    </w:p>
    <w:p w14:paraId="6822F754" w14:textId="77777777" w:rsidR="00B02873" w:rsidRDefault="00B02873" w:rsidP="00FE198A">
      <w:r>
        <w:t>The Portfolio Governance and Integrity Committee leads and oversees the direction, management and review of DELWP’s portfolio governance and integrity, across the department and its portfolio agencies.</w:t>
      </w:r>
    </w:p>
    <w:p w14:paraId="2077449C" w14:textId="77777777" w:rsidR="00B02873" w:rsidRDefault="00B02873" w:rsidP="00EC07ED">
      <w:pPr>
        <w:pStyle w:val="Boldheader"/>
      </w:pPr>
      <w:r>
        <w:t>Finance and Procurement Committee</w:t>
      </w:r>
    </w:p>
    <w:p w14:paraId="1A8FC826" w14:textId="77777777" w:rsidR="00B02873" w:rsidRDefault="00B02873" w:rsidP="00FE198A">
      <w:r>
        <w:t>The Finance and Procurement Committee leads the department’s compliance with the requirements of the Victorian Government Financial Management and Procurement Frameworks to enable DELWP to achieve its strategic outcomes in an effective, efficient and economical manner.</w:t>
      </w:r>
    </w:p>
    <w:p w14:paraId="18FE2B7B" w14:textId="77777777" w:rsidR="00B02873" w:rsidRDefault="00B02873" w:rsidP="00EC07ED">
      <w:pPr>
        <w:pStyle w:val="Boldheader"/>
      </w:pPr>
      <w:r>
        <w:t>Policy and Legislation Committee</w:t>
      </w:r>
    </w:p>
    <w:p w14:paraId="69D6C0B5" w14:textId="77777777" w:rsidR="00B02873" w:rsidRDefault="00B02873" w:rsidP="00FE198A">
      <w:r>
        <w:t xml:space="preserve">The Policy and Legislation Committee leads and oversees DELWP’s, policy and legislative reform agenda on behalf of the Secretary and the Executive Board, and advises on its oversight, direction, monitoring and review for cabinet and government. </w:t>
      </w:r>
    </w:p>
    <w:p w14:paraId="6EABD457" w14:textId="77777777" w:rsidR="00B02873" w:rsidRDefault="00B02873" w:rsidP="00EC07ED">
      <w:pPr>
        <w:pStyle w:val="Boldheader"/>
      </w:pPr>
      <w:r>
        <w:t>Data and Technology Committee</w:t>
      </w:r>
    </w:p>
    <w:p w14:paraId="50FDFFB8" w14:textId="77777777" w:rsidR="00B02873" w:rsidRDefault="00B02873" w:rsidP="00FE198A">
      <w:r>
        <w:t>The Data and Technology Committee leads and oversees DELWP’s digital and Information and Communication Technology (ICT) capability, capacity, performance and strategic directions, including enabling it to leverage the advantages of data and technology, manage its strategic ICT risks and achieve its outcomes more effectively and efficiently.</w:t>
      </w:r>
    </w:p>
    <w:p w14:paraId="3B482843" w14:textId="77777777" w:rsidR="00B02873" w:rsidRDefault="00B02873" w:rsidP="00EC07ED">
      <w:pPr>
        <w:pStyle w:val="Boldheader"/>
      </w:pPr>
      <w:r>
        <w:t>Solar Victoria Committee</w:t>
      </w:r>
    </w:p>
    <w:p w14:paraId="5A3D53D3" w14:textId="77777777" w:rsidR="00B02873" w:rsidRDefault="00B02873" w:rsidP="00FE198A">
      <w:r>
        <w:t xml:space="preserve">The Solar Victoria Committee oversees and provides advice to the Secretary on the strategic direction and delivery of the Solar Victoria Program. </w:t>
      </w:r>
    </w:p>
    <w:p w14:paraId="7DC5BC69" w14:textId="77777777" w:rsidR="00B02873" w:rsidRDefault="00B02873" w:rsidP="00EC07ED">
      <w:pPr>
        <w:pStyle w:val="Heading3"/>
      </w:pPr>
      <w:r>
        <w:t>Assurance committees</w:t>
      </w:r>
    </w:p>
    <w:p w14:paraId="25DA0487" w14:textId="77777777" w:rsidR="00B02873" w:rsidRDefault="00B02873" w:rsidP="00FE198A">
      <w:r>
        <w:t>Three standalone committees support the DELWP Executive Board by providing advice on important responsibilities and functions.</w:t>
      </w:r>
    </w:p>
    <w:p w14:paraId="37EC769A" w14:textId="77777777" w:rsidR="00B02873" w:rsidRDefault="00B02873" w:rsidP="00EC07ED">
      <w:pPr>
        <w:pStyle w:val="Boldheader"/>
      </w:pPr>
      <w:r>
        <w:lastRenderedPageBreak/>
        <w:t>Executive Staff and Remuneration Committee</w:t>
      </w:r>
    </w:p>
    <w:p w14:paraId="058EB755" w14:textId="77777777" w:rsidR="00B02873" w:rsidRDefault="00B02873" w:rsidP="00FE198A">
      <w:r>
        <w:t>The Executive Staff and Remuneration Committee ensures a fair and equitable approach to the employment and setting of remuneration at the Senior Executive Service (SES), Principal Scientist (PS) and Senior Technical Specialist (STS) classification.</w:t>
      </w:r>
    </w:p>
    <w:p w14:paraId="4F1BF2FF" w14:textId="77777777" w:rsidR="00B02873" w:rsidRDefault="00B02873" w:rsidP="00EC07ED">
      <w:pPr>
        <w:pStyle w:val="Boldheader"/>
      </w:pPr>
      <w:r>
        <w:t>Safety and Wellbeing Committee</w:t>
      </w:r>
    </w:p>
    <w:p w14:paraId="7E460689" w14:textId="77777777" w:rsidR="00B02873" w:rsidRDefault="00B02873" w:rsidP="00FE198A">
      <w:r>
        <w:t>The Safety and Wellbeing Committee leads and oversees the strategic risk management of staff safety and wellbeing across DELWP in line with its legislative and statutory obligations, on behalf of the Secretary and the DELWP Executive Board.</w:t>
      </w:r>
    </w:p>
    <w:p w14:paraId="5F75B72B" w14:textId="77777777" w:rsidR="00B02873" w:rsidRDefault="00B02873" w:rsidP="00EC07ED">
      <w:pPr>
        <w:pStyle w:val="Boldheader"/>
      </w:pPr>
      <w:r>
        <w:t>Risk and Audit Committee</w:t>
      </w:r>
    </w:p>
    <w:p w14:paraId="4200E123" w14:textId="77777777" w:rsidR="00B02873" w:rsidRDefault="00B02873" w:rsidP="00FE198A">
      <w:r>
        <w:t xml:space="preserve">The Risk and Audit Committee is an independent body established in accordance with the Standing Directions of the Minister for Finance under the </w:t>
      </w:r>
      <w:r w:rsidRPr="00EC07ED">
        <w:rPr>
          <w:rStyle w:val="LightItalic"/>
          <w:rFonts w:asciiTheme="minorHAnsi" w:hAnsiTheme="minorHAnsi" w:cstheme="minorHAnsi"/>
        </w:rPr>
        <w:t>Financial Management Act 1994</w:t>
      </w:r>
      <w:r>
        <w:t xml:space="preserve">. It provides assurance to the Secretary that the department’s risk and control environment is operating effectively and efficiently. The department’s Risk and Audit Committee Charter prescribes that meetings must be held every three months with separate meetings to consider the attestation under the Victorian Government Risk Management Framework and financial statements. In 2021-22, the Risk and Audit Committee met eight times. </w:t>
      </w:r>
    </w:p>
    <w:p w14:paraId="36C9C080" w14:textId="77777777" w:rsidR="00B02873" w:rsidRDefault="00B02873" w:rsidP="00EC07ED">
      <w:pPr>
        <w:pStyle w:val="Normalbeforebullet"/>
      </w:pPr>
      <w:r>
        <w:t xml:space="preserve">In 2021-22, the Risk and Audit Committee members were: </w:t>
      </w:r>
    </w:p>
    <w:p w14:paraId="74EABE98" w14:textId="0B848A08" w:rsidR="00B02873" w:rsidRDefault="00B02873" w:rsidP="0033614A">
      <w:pPr>
        <w:spacing w:after="120"/>
      </w:pPr>
      <w:r>
        <w:t>Peter Lewinsky (Chair)</w:t>
      </w:r>
      <w:r w:rsidR="00EC07ED">
        <w:t xml:space="preserve">: </w:t>
      </w:r>
      <w:r>
        <w:t xml:space="preserve">Independent member </w:t>
      </w:r>
    </w:p>
    <w:p w14:paraId="6C9ED416" w14:textId="7F7CF602" w:rsidR="00B02873" w:rsidRDefault="00B02873" w:rsidP="0033614A">
      <w:pPr>
        <w:spacing w:after="120"/>
      </w:pPr>
      <w:r>
        <w:t>Linda McNeill</w:t>
      </w:r>
      <w:r w:rsidR="00EC07ED">
        <w:t xml:space="preserve">: </w:t>
      </w:r>
      <w:r>
        <w:t xml:space="preserve">Independent member </w:t>
      </w:r>
    </w:p>
    <w:p w14:paraId="243B4E66" w14:textId="3A40A527" w:rsidR="00B02873" w:rsidRDefault="00B02873" w:rsidP="0033614A">
      <w:pPr>
        <w:spacing w:after="120"/>
      </w:pPr>
      <w:r>
        <w:t>Mark Peters</w:t>
      </w:r>
      <w:r w:rsidR="00EC07ED">
        <w:t xml:space="preserve">: </w:t>
      </w:r>
      <w:r>
        <w:t xml:space="preserve">Independent member </w:t>
      </w:r>
    </w:p>
    <w:p w14:paraId="123B6305" w14:textId="24CEB0DD" w:rsidR="00B02873" w:rsidRDefault="00B02873" w:rsidP="0033614A">
      <w:pPr>
        <w:spacing w:after="120"/>
      </w:pPr>
      <w:r>
        <w:t>Rachel Thomson</w:t>
      </w:r>
      <w:r w:rsidR="00EC07ED">
        <w:t xml:space="preserve">: </w:t>
      </w:r>
      <w:r>
        <w:t xml:space="preserve">Independent Member </w:t>
      </w:r>
    </w:p>
    <w:p w14:paraId="0B5260A1" w14:textId="1B0E6731" w:rsidR="00B02873" w:rsidRDefault="00B02873" w:rsidP="0033614A">
      <w:pPr>
        <w:spacing w:after="120"/>
      </w:pPr>
      <w:r>
        <w:t>Dr Graeme Emonson PSM</w:t>
      </w:r>
      <w:r w:rsidR="00EC07ED">
        <w:t xml:space="preserve">: </w:t>
      </w:r>
      <w:r>
        <w:t>Deputy Secretary, Corporate Services.</w:t>
      </w:r>
    </w:p>
    <w:p w14:paraId="7251C199" w14:textId="2B4FB6DC" w:rsidR="00B02873" w:rsidRDefault="00B02873" w:rsidP="0033614A">
      <w:pPr>
        <w:spacing w:after="120"/>
      </w:pPr>
      <w:r>
        <w:t>Helen Vaughan PSM</w:t>
      </w:r>
      <w:r w:rsidR="00EC07ED">
        <w:t xml:space="preserve">: </w:t>
      </w:r>
      <w:r>
        <w:t>Deputy Secretary, Water and Catchments</w:t>
      </w:r>
    </w:p>
    <w:p w14:paraId="457D04DD" w14:textId="51BDD451" w:rsidR="00B02873" w:rsidRDefault="00B02873" w:rsidP="00FE198A">
      <w:r>
        <w:t>Carolyn Jackson</w:t>
      </w:r>
      <w:r w:rsidR="00EC07ED">
        <w:t xml:space="preserve">: </w:t>
      </w:r>
      <w:r>
        <w:t>Deputy Secretary, Environment and Climate Change</w:t>
      </w:r>
    </w:p>
    <w:p w14:paraId="5AC73975" w14:textId="25AD256F" w:rsidR="00B02873" w:rsidRDefault="00B02873" w:rsidP="00FE198A">
      <w:pPr>
        <w:pStyle w:val="Heading1"/>
        <w:rPr>
          <w:lang w:val="en-US"/>
        </w:rPr>
      </w:pPr>
      <w:bookmarkStart w:id="7" w:name="_Ref116904085"/>
      <w:bookmarkStart w:id="8" w:name="_Toc117447351"/>
      <w:r>
        <w:t>Departmental objectives, indicators and outputs</w:t>
      </w:r>
      <w:bookmarkEnd w:id="7"/>
      <w:bookmarkEnd w:id="8"/>
    </w:p>
    <w:p w14:paraId="27F42CB3" w14:textId="77777777" w:rsidR="00B02873" w:rsidRDefault="00B02873" w:rsidP="00FE198A">
      <w:r>
        <w:t>This section provides an overview of key activities that are important to the achievement of DELWP’s medium-term objectives (also known as Outcomes in the DELWP Corporate Plan). It also reports on the delivery of the department’s outputs, including performance results against the output measures published in the 2021-22 Budget Paper Number 3: Service Delivery (BP3) and performance of the key initiatives published in the Corporate Plan 2021-2025.</w:t>
      </w:r>
    </w:p>
    <w:p w14:paraId="5D6397C8" w14:textId="77777777" w:rsidR="00B02873" w:rsidRDefault="00B02873" w:rsidP="00FE198A">
      <w:r>
        <w:t>Note: Output costs reported under departmental objectives, indicators and outputs vary to the output costs reported in Note 4 of the financial statements. This is due to different methodologies being used in allocating department wide costs and is detailed from page 209.</w:t>
      </w:r>
    </w:p>
    <w:p w14:paraId="50C2BBCE" w14:textId="77777777" w:rsidR="00B02873" w:rsidRDefault="00B02873" w:rsidP="00EC07ED">
      <w:pPr>
        <w:pStyle w:val="Normalbeforebullet"/>
      </w:pPr>
      <w:r>
        <w:lastRenderedPageBreak/>
        <w:t>The table below provides a summary of DELWP’s objectives, indicators, and outputs for 2021-22:</w:t>
      </w:r>
    </w:p>
    <w:tbl>
      <w:tblPr>
        <w:tblStyle w:val="TableGrid"/>
        <w:tblW w:w="0" w:type="auto"/>
        <w:tblLayout w:type="fixed"/>
        <w:tblLook w:val="0020" w:firstRow="1" w:lastRow="0" w:firstColumn="0" w:lastColumn="0" w:noHBand="0" w:noVBand="0"/>
      </w:tblPr>
      <w:tblGrid>
        <w:gridCol w:w="2494"/>
        <w:gridCol w:w="4763"/>
        <w:gridCol w:w="2381"/>
      </w:tblGrid>
      <w:tr w:rsidR="00B02873" w:rsidRPr="00B02873" w14:paraId="2C72BBDC" w14:textId="77777777" w:rsidTr="007A0C96">
        <w:trPr>
          <w:cnfStyle w:val="100000000000" w:firstRow="1" w:lastRow="0" w:firstColumn="0" w:lastColumn="0" w:oddVBand="0" w:evenVBand="0" w:oddHBand="0" w:evenHBand="0" w:firstRowFirstColumn="0" w:firstRowLastColumn="0" w:lastRowFirstColumn="0" w:lastRowLastColumn="0"/>
          <w:tblHeader/>
        </w:trPr>
        <w:tc>
          <w:tcPr>
            <w:tcW w:w="2494" w:type="dxa"/>
          </w:tcPr>
          <w:p w14:paraId="59ABBA1B" w14:textId="77777777" w:rsidR="00B02873" w:rsidRDefault="00B02873" w:rsidP="00B773F8">
            <w:pPr>
              <w:pStyle w:val="TableheadingleftTables"/>
            </w:pPr>
            <w:r>
              <w:t>Departmental objectives</w:t>
            </w:r>
          </w:p>
        </w:tc>
        <w:tc>
          <w:tcPr>
            <w:tcW w:w="4763" w:type="dxa"/>
          </w:tcPr>
          <w:p w14:paraId="2C0F89B5" w14:textId="77777777" w:rsidR="00B02873" w:rsidRDefault="00B02873" w:rsidP="00B773F8">
            <w:pPr>
              <w:pStyle w:val="TableheadingleftTables"/>
            </w:pPr>
            <w:r>
              <w:t>Indicators</w:t>
            </w:r>
          </w:p>
        </w:tc>
        <w:tc>
          <w:tcPr>
            <w:tcW w:w="2381" w:type="dxa"/>
          </w:tcPr>
          <w:p w14:paraId="6B22ADCF" w14:textId="77777777" w:rsidR="00B02873" w:rsidRDefault="00B02873" w:rsidP="00B773F8">
            <w:pPr>
              <w:pStyle w:val="TableheadingleftTables"/>
            </w:pPr>
            <w:r>
              <w:t>Outputs</w:t>
            </w:r>
          </w:p>
        </w:tc>
      </w:tr>
      <w:tr w:rsidR="00B02873" w:rsidRPr="00B02873" w14:paraId="63AFFA60" w14:textId="77777777" w:rsidTr="007A0C96">
        <w:tc>
          <w:tcPr>
            <w:tcW w:w="2494" w:type="dxa"/>
          </w:tcPr>
          <w:p w14:paraId="489DC2DC" w14:textId="77777777" w:rsidR="00B02873" w:rsidRDefault="00B02873" w:rsidP="00B415A9">
            <w:pPr>
              <w:pStyle w:val="TablebodyleftTables"/>
            </w:pPr>
            <w:r>
              <w:t>Net zero emission, climate-ready economy and community</w:t>
            </w:r>
          </w:p>
        </w:tc>
        <w:tc>
          <w:tcPr>
            <w:tcW w:w="4763" w:type="dxa"/>
          </w:tcPr>
          <w:p w14:paraId="674946E3" w14:textId="77777777" w:rsidR="00B02873" w:rsidRDefault="00B02873" w:rsidP="00B773F8">
            <w:pPr>
              <w:pStyle w:val="TableBulletleftTables"/>
            </w:pPr>
            <w:r>
              <w:t>Reduction in emissions from government operations</w:t>
            </w:r>
          </w:p>
          <w:p w14:paraId="013171EC" w14:textId="77777777" w:rsidR="00B02873" w:rsidRDefault="00B02873" w:rsidP="00B773F8">
            <w:pPr>
              <w:pStyle w:val="TableBulletleftTables"/>
            </w:pPr>
            <w:r>
              <w:t>Percentage reduction in Victoria’s greenhouse gas emissions relative to 2005</w:t>
            </w:r>
          </w:p>
          <w:p w14:paraId="60EC1D16" w14:textId="77777777" w:rsidR="00B02873" w:rsidRDefault="00B02873" w:rsidP="00B773F8">
            <w:pPr>
              <w:pStyle w:val="TableBulletleftTables"/>
            </w:pPr>
            <w:r>
              <w:t>Reduction in annual energy costs for Victorian schools participating in the Resource Smart Schools program</w:t>
            </w:r>
          </w:p>
        </w:tc>
        <w:tc>
          <w:tcPr>
            <w:tcW w:w="2381" w:type="dxa"/>
          </w:tcPr>
          <w:p w14:paraId="5D24B13B" w14:textId="77777777" w:rsidR="00B02873" w:rsidRDefault="00B02873" w:rsidP="00B415A9">
            <w:pPr>
              <w:pStyle w:val="TablebodyleftTables"/>
            </w:pPr>
            <w:r>
              <w:t>Climate Change</w:t>
            </w:r>
          </w:p>
        </w:tc>
      </w:tr>
      <w:tr w:rsidR="00B02873" w:rsidRPr="00B02873" w14:paraId="47449491" w14:textId="77777777" w:rsidTr="007A0C96">
        <w:tc>
          <w:tcPr>
            <w:tcW w:w="2494" w:type="dxa"/>
          </w:tcPr>
          <w:p w14:paraId="71251BD3" w14:textId="77777777" w:rsidR="00B02873" w:rsidRDefault="00B02873" w:rsidP="00B415A9">
            <w:pPr>
              <w:pStyle w:val="TablebodyleftTables"/>
            </w:pPr>
            <w:r>
              <w:t>Healthy, resilient and biodiverse environment</w:t>
            </w:r>
          </w:p>
        </w:tc>
        <w:tc>
          <w:tcPr>
            <w:tcW w:w="4763" w:type="dxa"/>
          </w:tcPr>
          <w:p w14:paraId="37A95D85" w14:textId="77777777" w:rsidR="00B02873" w:rsidRDefault="00B02873" w:rsidP="00B773F8">
            <w:pPr>
              <w:pStyle w:val="TableBulletleftTables"/>
            </w:pPr>
            <w:r>
              <w:t>Participation in community-based environmental programs</w:t>
            </w:r>
          </w:p>
          <w:p w14:paraId="7775987F" w14:textId="77777777" w:rsidR="00B02873" w:rsidRDefault="00B02873" w:rsidP="00B773F8">
            <w:pPr>
              <w:pStyle w:val="TableBulletleftTables"/>
            </w:pPr>
            <w:r>
              <w:t>Reduction in pollutants from priority hotspots</w:t>
            </w:r>
          </w:p>
          <w:p w14:paraId="391A9691" w14:textId="426B1330" w:rsidR="00B02873" w:rsidRDefault="00B02873" w:rsidP="00B773F8">
            <w:pPr>
              <w:pStyle w:val="TableBulletleftTables"/>
            </w:pPr>
            <w:r>
              <w:t>Reduction in waste generation per person</w:t>
            </w:r>
          </w:p>
        </w:tc>
        <w:tc>
          <w:tcPr>
            <w:tcW w:w="2381" w:type="dxa"/>
          </w:tcPr>
          <w:p w14:paraId="4C0F0554" w14:textId="77777777" w:rsidR="00B02873" w:rsidRDefault="00B02873" w:rsidP="00B415A9">
            <w:pPr>
              <w:pStyle w:val="TablebodyleftTables"/>
            </w:pPr>
            <w:r>
              <w:t>Environment and Biodiversity</w:t>
            </w:r>
          </w:p>
          <w:p w14:paraId="774C3A62" w14:textId="77777777" w:rsidR="00B02873" w:rsidRDefault="00B02873" w:rsidP="00B415A9">
            <w:pPr>
              <w:pStyle w:val="TablebodyleftTables"/>
            </w:pPr>
            <w:r>
              <w:t>Statutory Activities and Environment Protection</w:t>
            </w:r>
          </w:p>
          <w:p w14:paraId="4268BDC2" w14:textId="77777777" w:rsidR="00B02873" w:rsidRDefault="00B02873" w:rsidP="00B415A9">
            <w:pPr>
              <w:pStyle w:val="TablebodyleftTables"/>
            </w:pPr>
            <w:r>
              <w:t>Waste and Recycling</w:t>
            </w:r>
          </w:p>
        </w:tc>
      </w:tr>
      <w:tr w:rsidR="00B02873" w:rsidRPr="00B02873" w14:paraId="2B2EC25D" w14:textId="77777777" w:rsidTr="007A0C96">
        <w:tc>
          <w:tcPr>
            <w:tcW w:w="2494" w:type="dxa"/>
          </w:tcPr>
          <w:p w14:paraId="2D045764" w14:textId="426F1163" w:rsidR="00B02873" w:rsidRDefault="00B02873" w:rsidP="00B415A9">
            <w:pPr>
              <w:pStyle w:val="TablebodyleftTables"/>
            </w:pPr>
            <w:r>
              <w:t>Reliable, sustainable and affordable energy services</w:t>
            </w:r>
          </w:p>
        </w:tc>
        <w:tc>
          <w:tcPr>
            <w:tcW w:w="4763" w:type="dxa"/>
          </w:tcPr>
          <w:p w14:paraId="1A997391" w14:textId="77777777" w:rsidR="00B02873" w:rsidRDefault="00B02873" w:rsidP="00B773F8">
            <w:pPr>
              <w:pStyle w:val="TableBulletleftTables"/>
            </w:pPr>
            <w:r>
              <w:t>Relative share of Victoria’s energy sourced from renewables</w:t>
            </w:r>
          </w:p>
          <w:p w14:paraId="0BF34C28" w14:textId="77777777" w:rsidR="00B02873" w:rsidRDefault="00B02873" w:rsidP="00B773F8">
            <w:pPr>
              <w:pStyle w:val="TableBulletleftTables"/>
            </w:pPr>
            <w:r>
              <w:t>Percentage of surveyed users of the Victorian Energy Compare website who report that they plan to switch offers after using the website</w:t>
            </w:r>
          </w:p>
          <w:p w14:paraId="0FBD6324" w14:textId="77777777" w:rsidR="00B02873" w:rsidRDefault="00B02873" w:rsidP="00B773F8">
            <w:pPr>
              <w:pStyle w:val="TableBulletleftTables"/>
            </w:pPr>
            <w:r>
              <w:t>Electricity generating capacity installed under the Solar Homes program</w:t>
            </w:r>
          </w:p>
          <w:p w14:paraId="6F910FED" w14:textId="77777777" w:rsidR="00B02873" w:rsidRDefault="00B02873" w:rsidP="00B773F8">
            <w:pPr>
              <w:pStyle w:val="TableBulletleftTables"/>
            </w:pPr>
            <w:r>
              <w:t>Solar systems installed under the Solar Homes program</w:t>
            </w:r>
          </w:p>
        </w:tc>
        <w:tc>
          <w:tcPr>
            <w:tcW w:w="2381" w:type="dxa"/>
          </w:tcPr>
          <w:p w14:paraId="2B1CEB9D" w14:textId="77777777" w:rsidR="00B02873" w:rsidRDefault="00B02873" w:rsidP="00B415A9">
            <w:pPr>
              <w:pStyle w:val="TablebodyleftTables"/>
            </w:pPr>
            <w:r>
              <w:t>Energy</w:t>
            </w:r>
          </w:p>
          <w:p w14:paraId="62B3EA42" w14:textId="6BDB625A" w:rsidR="00B02873" w:rsidRDefault="00B02873" w:rsidP="00B415A9">
            <w:pPr>
              <w:pStyle w:val="TablebodyleftTables"/>
            </w:pPr>
            <w:r>
              <w:t>Solar Homes</w:t>
            </w:r>
          </w:p>
        </w:tc>
      </w:tr>
      <w:tr w:rsidR="00B02873" w:rsidRPr="00B02873" w14:paraId="4AD3ECD3" w14:textId="77777777" w:rsidTr="007A0C96">
        <w:tc>
          <w:tcPr>
            <w:tcW w:w="2494" w:type="dxa"/>
          </w:tcPr>
          <w:p w14:paraId="3BE34233" w14:textId="77777777" w:rsidR="00B02873" w:rsidRDefault="00B02873" w:rsidP="00B415A9">
            <w:pPr>
              <w:pStyle w:val="TablebodyleftTables"/>
            </w:pPr>
            <w:r>
              <w:t>Productive and effective land management</w:t>
            </w:r>
          </w:p>
        </w:tc>
        <w:tc>
          <w:tcPr>
            <w:tcW w:w="4763" w:type="dxa"/>
          </w:tcPr>
          <w:p w14:paraId="186F8542" w14:textId="77777777" w:rsidR="00B02873" w:rsidRDefault="00B02873" w:rsidP="00B773F8">
            <w:pPr>
              <w:pStyle w:val="TableBulletleftTables"/>
            </w:pPr>
            <w:r>
              <w:t>Efficient provision of timely and authoritative land administration and property information services</w:t>
            </w:r>
          </w:p>
          <w:p w14:paraId="0957E994" w14:textId="77777777" w:rsidR="00B02873" w:rsidRDefault="00B02873" w:rsidP="00B773F8">
            <w:pPr>
              <w:pStyle w:val="TableBulletleftTables"/>
            </w:pPr>
            <w:r>
              <w:t>Number of visits to the public land estate managed by the department’s portfolio agencies (Parks Victoria)</w:t>
            </w:r>
          </w:p>
          <w:p w14:paraId="0CA899E0" w14:textId="77777777" w:rsidR="00B02873" w:rsidRDefault="00B02873" w:rsidP="00B773F8">
            <w:pPr>
              <w:pStyle w:val="TableBulletleftTables"/>
            </w:pPr>
            <w:r>
              <w:t>Bay and park assets rated in average to excellent condition</w:t>
            </w:r>
          </w:p>
          <w:p w14:paraId="3B23E850" w14:textId="77777777" w:rsidR="00B02873" w:rsidRDefault="00B02873" w:rsidP="00B773F8">
            <w:pPr>
              <w:pStyle w:val="TableBulletleftTables"/>
            </w:pPr>
            <w:r>
              <w:t xml:space="preserve">Consistent and timely provision of government land transaction approvals and advice </w:t>
            </w:r>
          </w:p>
          <w:p w14:paraId="6B9418E8" w14:textId="77777777" w:rsidR="00B02873" w:rsidRDefault="00B02873" w:rsidP="00B773F8">
            <w:pPr>
              <w:pStyle w:val="TableBulletleftTables"/>
            </w:pPr>
            <w:r>
              <w:t xml:space="preserve">Traditional Owner satisfaction with progress on the </w:t>
            </w:r>
            <w:r w:rsidRPr="00B773F8">
              <w:rPr>
                <w:rStyle w:val="LightItalic"/>
                <w:rFonts w:asciiTheme="minorHAnsi" w:hAnsiTheme="minorHAnsi" w:cstheme="minorHAnsi"/>
              </w:rPr>
              <w:t>Pupangarli Marnmarnepu</w:t>
            </w:r>
            <w:r>
              <w:t xml:space="preserve"> Implementation Action Plan endorsed by the statewide Caring for Country Partnership Forum</w:t>
            </w:r>
          </w:p>
        </w:tc>
        <w:tc>
          <w:tcPr>
            <w:tcW w:w="2381" w:type="dxa"/>
          </w:tcPr>
          <w:p w14:paraId="2B8C5FF0" w14:textId="77777777" w:rsidR="00B02873" w:rsidRDefault="00B02873" w:rsidP="00B415A9">
            <w:pPr>
              <w:pStyle w:val="TablebodyleftTables"/>
            </w:pPr>
            <w:r>
              <w:t>Land Use Victoria</w:t>
            </w:r>
          </w:p>
          <w:p w14:paraId="43494424" w14:textId="77777777" w:rsidR="00B02873" w:rsidRDefault="00B02873" w:rsidP="00B415A9">
            <w:pPr>
              <w:pStyle w:val="TablebodyleftTables"/>
            </w:pPr>
            <w:r>
              <w:t>Management of Public Land and Forests</w:t>
            </w:r>
          </w:p>
          <w:p w14:paraId="4F5A008C" w14:textId="1510E162" w:rsidR="00B02873" w:rsidRDefault="00B02873" w:rsidP="00B415A9">
            <w:pPr>
              <w:pStyle w:val="TablebodyleftTables"/>
            </w:pPr>
            <w:r>
              <w:t>Parks Victoria</w:t>
            </w:r>
          </w:p>
        </w:tc>
      </w:tr>
      <w:tr w:rsidR="00B02873" w:rsidRPr="00B02873" w14:paraId="48F57A98" w14:textId="77777777" w:rsidTr="007A0C96">
        <w:tc>
          <w:tcPr>
            <w:tcW w:w="2494" w:type="dxa"/>
          </w:tcPr>
          <w:p w14:paraId="3F313F0E" w14:textId="77777777" w:rsidR="00B02873" w:rsidRDefault="00B02873" w:rsidP="00B415A9">
            <w:pPr>
              <w:pStyle w:val="TablebodyleftTables"/>
            </w:pPr>
            <w:r>
              <w:lastRenderedPageBreak/>
              <w:t>Safe and sustainable water resources</w:t>
            </w:r>
          </w:p>
        </w:tc>
        <w:tc>
          <w:tcPr>
            <w:tcW w:w="4763" w:type="dxa"/>
          </w:tcPr>
          <w:p w14:paraId="5F4CE535" w14:textId="2D6A8EB4" w:rsidR="00B02873" w:rsidRDefault="00B02873" w:rsidP="00B773F8">
            <w:pPr>
              <w:pStyle w:val="TableBulletleftTables"/>
            </w:pPr>
            <w:r>
              <w:t>Proportion of intended properties (or equivalent) in the Goulburn Murray, Macalister, Werribee and Bacchus Marsh irrigation districts connected to</w:t>
            </w:r>
            <w:r w:rsidR="00B773F8">
              <w:t xml:space="preserve"> </w:t>
            </w:r>
            <w:r>
              <w:t>a modernised irrigation delivery system</w:t>
            </w:r>
          </w:p>
          <w:p w14:paraId="24021C64" w14:textId="77777777" w:rsidR="00B02873" w:rsidRDefault="00B02873" w:rsidP="00B773F8">
            <w:pPr>
              <w:pStyle w:val="TableBulletleftTables"/>
            </w:pPr>
            <w:r>
              <w:t>Number of river reaches/wetlands with maintained or improved environmental condition</w:t>
            </w:r>
          </w:p>
        </w:tc>
        <w:tc>
          <w:tcPr>
            <w:tcW w:w="2381" w:type="dxa"/>
          </w:tcPr>
          <w:p w14:paraId="0007DEA8" w14:textId="10F8ADB9" w:rsidR="00B02873" w:rsidRDefault="00B02873" w:rsidP="00B415A9">
            <w:pPr>
              <w:pStyle w:val="TablebodyleftTables"/>
            </w:pPr>
            <w:r>
              <w:t>Effective Water Management and Supply</w:t>
            </w:r>
          </w:p>
        </w:tc>
      </w:tr>
      <w:tr w:rsidR="00B02873" w:rsidRPr="00B02873" w14:paraId="068A6A4A" w14:textId="77777777" w:rsidTr="007A0C96">
        <w:tc>
          <w:tcPr>
            <w:tcW w:w="2494" w:type="dxa"/>
          </w:tcPr>
          <w:p w14:paraId="0C6CEF77" w14:textId="77777777" w:rsidR="00B02873" w:rsidRDefault="00B02873" w:rsidP="00B415A9">
            <w:pPr>
              <w:pStyle w:val="TablebodyleftTables"/>
            </w:pPr>
            <w:r>
              <w:t>A safe and quality built-environment</w:t>
            </w:r>
          </w:p>
        </w:tc>
        <w:tc>
          <w:tcPr>
            <w:tcW w:w="4763" w:type="dxa"/>
          </w:tcPr>
          <w:p w14:paraId="4A2B6BF7" w14:textId="77777777" w:rsidR="00B02873" w:rsidRDefault="00B02873" w:rsidP="00B773F8">
            <w:pPr>
              <w:pStyle w:val="TableBulletleftTables"/>
            </w:pPr>
            <w:r>
              <w:t>Improved liveability, sustainability and inclusiveness of public spaces and neighbourhoods</w:t>
            </w:r>
          </w:p>
          <w:p w14:paraId="7ED9C45C" w14:textId="77777777" w:rsidR="00B02873" w:rsidRDefault="00B02873" w:rsidP="00B773F8">
            <w:pPr>
              <w:pStyle w:val="TableBulletleftTables"/>
            </w:pPr>
            <w:r>
              <w:t>Effective protection of cultural and natural heritage</w:t>
            </w:r>
          </w:p>
        </w:tc>
        <w:tc>
          <w:tcPr>
            <w:tcW w:w="2381" w:type="dxa"/>
          </w:tcPr>
          <w:p w14:paraId="034EF144" w14:textId="6BF14A5B" w:rsidR="00B02873" w:rsidRDefault="00B02873" w:rsidP="00B415A9">
            <w:pPr>
              <w:pStyle w:val="TablebodyleftTables"/>
            </w:pPr>
            <w:r>
              <w:t>Planning, Building and Heritage</w:t>
            </w:r>
          </w:p>
        </w:tc>
      </w:tr>
      <w:tr w:rsidR="00B02873" w:rsidRPr="00B02873" w14:paraId="11958132" w14:textId="77777777" w:rsidTr="007A0C96">
        <w:tc>
          <w:tcPr>
            <w:tcW w:w="2494" w:type="dxa"/>
          </w:tcPr>
          <w:p w14:paraId="071C4F49" w14:textId="77777777" w:rsidR="00B02873" w:rsidRDefault="00B02873" w:rsidP="00B415A9">
            <w:pPr>
              <w:pStyle w:val="TablebodyleftTables"/>
            </w:pPr>
            <w:r>
              <w:t>Reduced impact of major bushfires and other emergencies on people, property and the environment</w:t>
            </w:r>
          </w:p>
        </w:tc>
        <w:tc>
          <w:tcPr>
            <w:tcW w:w="4763" w:type="dxa"/>
          </w:tcPr>
          <w:p w14:paraId="641A690B" w14:textId="77777777" w:rsidR="00B02873" w:rsidRDefault="00B02873" w:rsidP="00B773F8">
            <w:pPr>
              <w:pStyle w:val="TableBulletleftTables"/>
            </w:pPr>
            <w:r>
              <w:t>Percentage of bushfires contained at first attack and/or under five hectares to suppress bushfires promptly, keep bushfires small and minimise loss</w:t>
            </w:r>
          </w:p>
          <w:p w14:paraId="643CAB28" w14:textId="77777777" w:rsidR="00B02873" w:rsidRDefault="00B02873" w:rsidP="00B773F8">
            <w:pPr>
              <w:pStyle w:val="TableBulletleftTables"/>
            </w:pPr>
            <w:r>
              <w:t>Area treated through planned burning and other treatments to maintain the statewide bushfire risk at or below 70 per cent</w:t>
            </w:r>
          </w:p>
          <w:p w14:paraId="067F0084" w14:textId="77777777" w:rsidR="00B02873" w:rsidRDefault="00B02873" w:rsidP="00B773F8">
            <w:pPr>
              <w:pStyle w:val="TableBulletleftTables"/>
            </w:pPr>
            <w:r>
              <w:t>Percentage of agreed departmental emergency management obligations met on time and to standard</w:t>
            </w:r>
          </w:p>
          <w:p w14:paraId="51437968" w14:textId="77777777" w:rsidR="00B02873" w:rsidRDefault="00B02873" w:rsidP="00B773F8">
            <w:pPr>
              <w:pStyle w:val="TableBulletleftTables"/>
            </w:pPr>
            <w:r>
              <w:t xml:space="preserve">The economic impact of fire prevention and preparedness investment </w:t>
            </w:r>
          </w:p>
        </w:tc>
        <w:tc>
          <w:tcPr>
            <w:tcW w:w="2381" w:type="dxa"/>
          </w:tcPr>
          <w:p w14:paraId="24956020" w14:textId="77777777" w:rsidR="00B02873" w:rsidRDefault="00B02873" w:rsidP="00B415A9">
            <w:pPr>
              <w:pStyle w:val="TablebodyleftTables"/>
            </w:pPr>
            <w:r>
              <w:t>Fire and Emergency Management</w:t>
            </w:r>
          </w:p>
        </w:tc>
      </w:tr>
    </w:tbl>
    <w:p w14:paraId="2F8A1F46" w14:textId="77777777" w:rsidR="00B02873" w:rsidRDefault="00B02873" w:rsidP="00FE198A"/>
    <w:p w14:paraId="60DE9E8A" w14:textId="77777777" w:rsidR="00B02873" w:rsidRDefault="00B02873" w:rsidP="00B773F8">
      <w:pPr>
        <w:pStyle w:val="Heading2"/>
      </w:pPr>
      <w:bookmarkStart w:id="9" w:name="_Ref116904178"/>
      <w:bookmarkStart w:id="10" w:name="_Toc117447352"/>
      <w:r>
        <w:t>Net zero emissions, climate-ready economy and community</w:t>
      </w:r>
      <w:bookmarkEnd w:id="9"/>
      <w:bookmarkEnd w:id="10"/>
    </w:p>
    <w:p w14:paraId="3CA931D1" w14:textId="5E115EEB" w:rsidR="00B02873" w:rsidRDefault="00B02873" w:rsidP="00B773F8">
      <w:pPr>
        <w:pStyle w:val="Heading3"/>
      </w:pPr>
      <w:r>
        <w:t>Progress towards achieving this objective</w:t>
      </w:r>
    </w:p>
    <w:p w14:paraId="5B733616" w14:textId="7A2A0921" w:rsidR="00F0662F" w:rsidRDefault="00F0662F" w:rsidP="008316E9">
      <w:pPr>
        <w:pStyle w:val="Number1Lists"/>
        <w:numPr>
          <w:ilvl w:val="0"/>
          <w:numId w:val="3"/>
        </w:numPr>
      </w:pPr>
      <w:r>
        <w:t>Climate action</w:t>
      </w:r>
    </w:p>
    <w:p w14:paraId="39AD21FD" w14:textId="496A5390" w:rsidR="00F0662F" w:rsidRDefault="00F0662F" w:rsidP="008316E9">
      <w:pPr>
        <w:pStyle w:val="Number1Lists"/>
        <w:numPr>
          <w:ilvl w:val="0"/>
          <w:numId w:val="3"/>
        </w:numPr>
      </w:pPr>
      <w:r>
        <w:t>Affordable and clean energy</w:t>
      </w:r>
    </w:p>
    <w:p w14:paraId="0F14959B" w14:textId="75EB3455" w:rsidR="00F0662F" w:rsidRDefault="00F0662F" w:rsidP="008316E9">
      <w:pPr>
        <w:pStyle w:val="Number1Lists"/>
        <w:numPr>
          <w:ilvl w:val="0"/>
          <w:numId w:val="3"/>
        </w:numPr>
      </w:pPr>
      <w:r>
        <w:t>Sustainable cities and communities</w:t>
      </w:r>
    </w:p>
    <w:p w14:paraId="5B43A5CD" w14:textId="61B72ACD" w:rsidR="00F0662F" w:rsidRPr="00F0662F" w:rsidRDefault="00F0662F" w:rsidP="00D416F7">
      <w:pPr>
        <w:pStyle w:val="Number1Lists"/>
      </w:pPr>
      <w:r>
        <w:t>Responsible consumption and production</w:t>
      </w:r>
    </w:p>
    <w:p w14:paraId="41E90281" w14:textId="77777777" w:rsidR="00B02873" w:rsidRPr="00F0662F" w:rsidRDefault="00B02873" w:rsidP="00F0662F">
      <w:pPr>
        <w:pStyle w:val="Heading4"/>
      </w:pPr>
      <w:r w:rsidRPr="00F0662F">
        <w:t>Context</w:t>
      </w:r>
    </w:p>
    <w:p w14:paraId="2311F811" w14:textId="77777777" w:rsidR="00B02873" w:rsidRDefault="00B02873" w:rsidP="00FE198A">
      <w:r>
        <w:t xml:space="preserve">DELWP leads the Victorian Government’s response to climate change, in line with the </w:t>
      </w:r>
      <w:r w:rsidRPr="00F0662F">
        <w:rPr>
          <w:rStyle w:val="LightItalic"/>
          <w:rFonts w:asciiTheme="minorHAnsi" w:hAnsiTheme="minorHAnsi" w:cstheme="minorHAnsi"/>
        </w:rPr>
        <w:t>Climate Change Act 2017</w:t>
      </w:r>
      <w:r w:rsidRPr="00F0662F">
        <w:rPr>
          <w:rFonts w:asciiTheme="minorHAnsi" w:hAnsiTheme="minorHAnsi" w:cstheme="minorHAnsi"/>
        </w:rPr>
        <w:t>.</w:t>
      </w:r>
      <w:r>
        <w:t xml:space="preserve"> </w:t>
      </w:r>
    </w:p>
    <w:p w14:paraId="0366588E" w14:textId="1A11746B" w:rsidR="00B02873" w:rsidRDefault="00B02873" w:rsidP="00FE198A">
      <w:r>
        <w:t xml:space="preserve">The </w:t>
      </w:r>
      <w:r w:rsidRPr="00F0662F">
        <w:rPr>
          <w:rStyle w:val="LightItalic"/>
          <w:rFonts w:asciiTheme="minorHAnsi" w:hAnsiTheme="minorHAnsi" w:cstheme="minorHAnsi"/>
        </w:rPr>
        <w:t>Climate Change Act 2017</w:t>
      </w:r>
      <w:r>
        <w:t xml:space="preserve"> provides Victoria with a world-leading legislative foundation, which cements our net zero emissions goal in law. The Act establishes a comprehensive framework to achieve net zero greenhouse gas emissions by 2050 while we plan for and adapt to our changing climate, drive our transition to a climate resilient community and economy, and build the state’s resilience to climate change.</w:t>
      </w:r>
    </w:p>
    <w:p w14:paraId="085FF1CB" w14:textId="77777777" w:rsidR="00B02873" w:rsidRDefault="00B02873" w:rsidP="00FE198A">
      <w:r>
        <w:lastRenderedPageBreak/>
        <w:t xml:space="preserve">In May 2021 Victoria’s Climate Change Strategy was released which translates Victoria’s </w:t>
      </w:r>
      <w:r w:rsidRPr="00F0662F">
        <w:rPr>
          <w:rStyle w:val="LightItalic"/>
          <w:rFonts w:asciiTheme="minorHAnsi" w:hAnsiTheme="minorHAnsi" w:cstheme="minorHAnsi"/>
        </w:rPr>
        <w:t>Climate Change Act 2017</w:t>
      </w:r>
      <w:r>
        <w:t xml:space="preserve"> into concrete action. The Strategy sets out a clear pathway for further reducing our emissions and building resilience to the impacts of climate change. </w:t>
      </w:r>
    </w:p>
    <w:p w14:paraId="63CBA0AE" w14:textId="49D262F4" w:rsidR="00B02873" w:rsidRDefault="00B02873" w:rsidP="00FE198A">
      <w:r>
        <w:t>The Victorian Government has set ambitious but achievable interim emissions reduction targets for Victoria along the road to net zero emissions by 2050, including 15-20 per cent by 2020, 28-33 per cent by 2025 and 45-50 per cent by 2030</w:t>
      </w:r>
      <w:r>
        <w:rPr>
          <w:vertAlign w:val="superscript"/>
        </w:rPr>
        <w:footnoteReference w:id="1"/>
      </w:r>
      <w:r>
        <w:t>. The 2020 target was met and exceeded in 2018 when Victoria’s emissions fell to 21.5 per cent below 2005 levels. The latest available Commonwealth data shows that by 2020, Victoria’s emissions had fallen further to 29.8 per cent below 2005 levels.</w:t>
      </w:r>
    </w:p>
    <w:tbl>
      <w:tblPr>
        <w:tblStyle w:val="TableGrid"/>
        <w:tblW w:w="0" w:type="auto"/>
        <w:tblLayout w:type="fixed"/>
        <w:tblLook w:val="0020" w:firstRow="1" w:lastRow="0" w:firstColumn="0" w:lastColumn="0" w:noHBand="0" w:noVBand="0"/>
      </w:tblPr>
      <w:tblGrid>
        <w:gridCol w:w="2268"/>
        <w:gridCol w:w="7360"/>
      </w:tblGrid>
      <w:tr w:rsidR="00B02873" w:rsidRPr="00B02873" w14:paraId="0AC6E17E" w14:textId="77777777" w:rsidTr="007A0C96">
        <w:trPr>
          <w:cnfStyle w:val="100000000000" w:firstRow="1" w:lastRow="0" w:firstColumn="0" w:lastColumn="0" w:oddVBand="0" w:evenVBand="0" w:oddHBand="0" w:evenHBand="0" w:firstRowFirstColumn="0" w:firstRowLastColumn="0" w:lastRowFirstColumn="0" w:lastRowLastColumn="0"/>
          <w:tblHeader/>
        </w:trPr>
        <w:tc>
          <w:tcPr>
            <w:tcW w:w="2268" w:type="dxa"/>
          </w:tcPr>
          <w:p w14:paraId="15E02C4C" w14:textId="77777777" w:rsidR="00B02873" w:rsidRDefault="00B02873" w:rsidP="007A0C96">
            <w:pPr>
              <w:pStyle w:val="TableheadingleftTables"/>
            </w:pPr>
            <w:r>
              <w:t xml:space="preserve">Key initiative </w:t>
            </w:r>
          </w:p>
        </w:tc>
        <w:tc>
          <w:tcPr>
            <w:tcW w:w="7360" w:type="dxa"/>
          </w:tcPr>
          <w:p w14:paraId="54102777" w14:textId="77777777" w:rsidR="00B02873" w:rsidRDefault="00B02873" w:rsidP="007A0C96">
            <w:pPr>
              <w:pStyle w:val="TableheadingleftTables"/>
            </w:pPr>
            <w:r>
              <w:t xml:space="preserve">2021-22 progress summary </w:t>
            </w:r>
          </w:p>
        </w:tc>
      </w:tr>
      <w:tr w:rsidR="00B02873" w:rsidRPr="00B02873" w14:paraId="2960EF68" w14:textId="77777777" w:rsidTr="007A0C96">
        <w:tc>
          <w:tcPr>
            <w:tcW w:w="2268" w:type="dxa"/>
          </w:tcPr>
          <w:p w14:paraId="0AC54969" w14:textId="77777777" w:rsidR="00B02873" w:rsidRDefault="00B02873" w:rsidP="00B415A9">
            <w:pPr>
              <w:pStyle w:val="TablebodyleftTables"/>
            </w:pPr>
            <w:r>
              <w:t>Setting new targets and implementing pledges to reduce greenhouse gas emissions</w:t>
            </w:r>
          </w:p>
        </w:tc>
        <w:tc>
          <w:tcPr>
            <w:tcW w:w="7360" w:type="dxa"/>
          </w:tcPr>
          <w:p w14:paraId="4D9E022F" w14:textId="4DEE9754" w:rsidR="00B02873" w:rsidRDefault="00B02873" w:rsidP="00B415A9">
            <w:pPr>
              <w:pStyle w:val="TablebodyleftTables"/>
            </w:pPr>
            <w:r>
              <w:t xml:space="preserve">An Independent Expert Panel was appointed in January 2022 to provide advice on a 2035 interim emissions reduction target for Victoria. DELWP is providing secretariat and analytical services for the Panel. The Panel ran a public consultation process from April to June 2022, seeking feedback on an issues paper to inform advice to government on setting the 2035 target. The Panel received 996 responses to the general survey, 381 responses to the youth survey and 109 submissions from organisations and individuals. Final advice from the Panel will be provided to the Minister for Environment and Climate Action by 1 March 2023 and will be tabled in Parliament within 10 sitting days as required under the </w:t>
            </w:r>
            <w:r w:rsidRPr="007A0C96">
              <w:rPr>
                <w:rStyle w:val="LightItalic"/>
                <w:rFonts w:asciiTheme="minorHAnsi" w:hAnsiTheme="minorHAnsi" w:cstheme="minorHAnsi"/>
              </w:rPr>
              <w:t>Climate Change Act 2017.</w:t>
            </w:r>
          </w:p>
          <w:p w14:paraId="41C69207" w14:textId="3BF80F01" w:rsidR="00B02873" w:rsidRDefault="00B02873" w:rsidP="00B415A9">
            <w:pPr>
              <w:pStyle w:val="TablebodyleftTables"/>
            </w:pPr>
            <w:r>
              <w:t xml:space="preserve">DELWP worked with local governments across Victoria, resulting in 21 voluntary local council emission reduction pledges being made under the </w:t>
            </w:r>
            <w:r w:rsidRPr="007A0C96">
              <w:rPr>
                <w:rStyle w:val="LightItalic"/>
                <w:rFonts w:asciiTheme="minorHAnsi" w:hAnsiTheme="minorHAnsi" w:cstheme="minorHAnsi"/>
              </w:rPr>
              <w:t>Climate Change Act 201</w:t>
            </w:r>
            <w:r w:rsidRPr="007A0C96">
              <w:rPr>
                <w:rFonts w:asciiTheme="minorHAnsi" w:hAnsiTheme="minorHAnsi" w:cstheme="minorHAnsi"/>
                <w:i/>
                <w:iCs/>
              </w:rPr>
              <w:t>7</w:t>
            </w:r>
            <w:r>
              <w:t xml:space="preserve"> to 30 June 2022.</w:t>
            </w:r>
          </w:p>
          <w:p w14:paraId="79DCDEEC" w14:textId="77777777" w:rsidR="00B02873" w:rsidRDefault="00B02873" w:rsidP="00B415A9">
            <w:pPr>
              <w:pStyle w:val="TablebodyleftTables"/>
            </w:pPr>
            <w:r>
              <w:t>The Victorian Government is on track to deliver 400 zero emission vehicles (ZEV) to the Government fleet by 2023. More than 100 ZEVs were ordered for use by Victorian Government departments and agencies during 2021-22. DELWP is contributing to this through its commitment to ‘ZEVs first’ for its shared passenger vehicle fleet as current vehicles leases expire. As at 30 June 2022, DELWP has 14 ZEVs in the shared passenger vehicle fleet.</w:t>
            </w:r>
          </w:p>
        </w:tc>
      </w:tr>
      <w:tr w:rsidR="00B02873" w:rsidRPr="00B02873" w14:paraId="115E1533" w14:textId="77777777" w:rsidTr="007A0C96">
        <w:tc>
          <w:tcPr>
            <w:tcW w:w="2268" w:type="dxa"/>
          </w:tcPr>
          <w:p w14:paraId="06CD4360" w14:textId="77777777" w:rsidR="00B02873" w:rsidRDefault="00B02873" w:rsidP="00B415A9">
            <w:pPr>
              <w:pStyle w:val="TablebodyleftTables"/>
            </w:pPr>
            <w:r>
              <w:lastRenderedPageBreak/>
              <w:t xml:space="preserve">Increasing government and community capacity to adapt to the impacts of climate change through implementation of Victoria’s Climate Change Strategy </w:t>
            </w:r>
          </w:p>
        </w:tc>
        <w:tc>
          <w:tcPr>
            <w:tcW w:w="7360" w:type="dxa"/>
          </w:tcPr>
          <w:p w14:paraId="0B9E5E25" w14:textId="36645F46" w:rsidR="00B02873" w:rsidRDefault="00B02873" w:rsidP="00B415A9">
            <w:pPr>
              <w:pStyle w:val="TablebodyleftTables"/>
            </w:pPr>
            <w:r>
              <w:t>Seven Climate Change Adaptation Action Plans for 2022-2026 were tabled in Parliament on 9 February 2022, accompanied by publication of Building Victoria’s Climate Resilience, which sets out what Victoria is doing to adapt to our changing climate. Victoria’s approach is centred around adaptation planning for statewide systems and complementary community-led action.</w:t>
            </w:r>
          </w:p>
          <w:p w14:paraId="558E619F" w14:textId="77777777" w:rsidR="00B02873" w:rsidRDefault="00B02873" w:rsidP="00B415A9">
            <w:pPr>
              <w:pStyle w:val="TablebodyleftTables"/>
            </w:pPr>
            <w:r>
              <w:t>Regional Adaptation Strategies were developed in each of the six DELWP regions of Greater Melbourne, Gippsland, Hume, Loddon Mallee, Grampians and Barwon South West. These were released in December 2021 accompanied by 54 on-ground community-led projects that will prepare and adapt the community to the impacts of climate change. Many projects have been delivered already. Themes include preparing for and recovering from emergencies, caring for the natural environment, improving health and wellbeing, strengthening the economy and workforce, improving resilience of our built environment, and embracing renewable energy.</w:t>
            </w:r>
          </w:p>
          <w:p w14:paraId="5243E2BC" w14:textId="77777777" w:rsidR="00B02873" w:rsidRDefault="00B02873" w:rsidP="00B415A9">
            <w:pPr>
              <w:pStyle w:val="TablebodyleftTables"/>
            </w:pPr>
            <w:r>
              <w:t>Building Victoria’s Climate Resilience and the seven Climate Change Adaptation Action Plans, together with Regional Adaptation Strategies include a range of commitments to strengthen Traditional Owner engagement and embed Aboriginal self-determination in adaptation activities.</w:t>
            </w:r>
          </w:p>
        </w:tc>
      </w:tr>
      <w:tr w:rsidR="00B02873" w:rsidRPr="00B02873" w14:paraId="01914125" w14:textId="77777777" w:rsidTr="007A0C96">
        <w:tc>
          <w:tcPr>
            <w:tcW w:w="2268" w:type="dxa"/>
          </w:tcPr>
          <w:p w14:paraId="61600344" w14:textId="77777777" w:rsidR="00B02873" w:rsidRDefault="00B02873" w:rsidP="00B415A9">
            <w:pPr>
              <w:pStyle w:val="TablebodyleftTables"/>
            </w:pPr>
            <w:r>
              <w:t xml:space="preserve">Increasing action on climate change through Victorian Government operations and decision making </w:t>
            </w:r>
          </w:p>
        </w:tc>
        <w:tc>
          <w:tcPr>
            <w:tcW w:w="7360" w:type="dxa"/>
          </w:tcPr>
          <w:p w14:paraId="3B6A3B51" w14:textId="77777777" w:rsidR="00B02873" w:rsidRDefault="00B02873" w:rsidP="00B415A9">
            <w:pPr>
              <w:pStyle w:val="TablebodyleftTables"/>
            </w:pPr>
            <w:r>
              <w:t>DELWP delivered two Local Government Train-the-Trainer sessions in March 2022 to support council staff in better integrating climate change considerations and risk into council operations, policies and programs. More than 40 council staff participated.</w:t>
            </w:r>
          </w:p>
          <w:p w14:paraId="757276AD" w14:textId="74FBD7EB" w:rsidR="00B02873" w:rsidRDefault="00B02873" w:rsidP="00B415A9">
            <w:pPr>
              <w:pStyle w:val="TablebodyleftTables"/>
            </w:pPr>
            <w:r>
              <w:rPr>
                <w:spacing w:val="-2"/>
              </w:rPr>
              <w:t>Victoria’s Future Climate Tool allows users to explore future climate information for their local region and to export climate data into other spatial tools. Regional summaries are also available.</w:t>
            </w:r>
            <w:r w:rsidR="00012C04">
              <w:rPr>
                <w:spacing w:val="-2"/>
              </w:rPr>
              <w:t xml:space="preserve"> </w:t>
            </w:r>
            <w:r>
              <w:rPr>
                <w:spacing w:val="-2"/>
              </w:rPr>
              <w:t xml:space="preserve">During 2021-22, more than 1,200 users accessed Victoria’s Future Climate Tool. </w:t>
            </w:r>
          </w:p>
          <w:p w14:paraId="433FCC66" w14:textId="51D21F65" w:rsidR="00B02873" w:rsidRDefault="00B02873" w:rsidP="00B415A9">
            <w:pPr>
              <w:pStyle w:val="TablebodyleftTables"/>
            </w:pPr>
            <w:r>
              <w:t>A range of resources developed in partnership with the Victorian Managed Insurance Authority (VMIA) are available on the VMIA website as part of the Climate Change Risk Management Service. A Climate Change Risk Foundations course is also available.</w:t>
            </w:r>
            <w:r w:rsidR="00012C04">
              <w:t xml:space="preserve"> </w:t>
            </w:r>
            <w:r>
              <w:t xml:space="preserve">During 2021-22, the Climate Risk Foundations Course was delivered to 95 participants. VMIA climate change resources were accessed over 3,000 times and guidance material downloaded more than 170 times. </w:t>
            </w:r>
          </w:p>
        </w:tc>
      </w:tr>
      <w:tr w:rsidR="00B02873" w:rsidRPr="00B02873" w14:paraId="4CD6CF9F" w14:textId="77777777" w:rsidTr="007A0C96">
        <w:tc>
          <w:tcPr>
            <w:tcW w:w="2268" w:type="dxa"/>
          </w:tcPr>
          <w:p w14:paraId="3C7CE4FC" w14:textId="77777777" w:rsidR="00B02873" w:rsidRDefault="00B02873" w:rsidP="00B415A9">
            <w:pPr>
              <w:pStyle w:val="TablebodyleftTables"/>
            </w:pPr>
            <w:r>
              <w:t>Community Climate Change and Energy Action program</w:t>
            </w:r>
          </w:p>
        </w:tc>
        <w:tc>
          <w:tcPr>
            <w:tcW w:w="7360" w:type="dxa"/>
          </w:tcPr>
          <w:p w14:paraId="1E696866" w14:textId="77777777" w:rsidR="00B02873" w:rsidRDefault="00B02873" w:rsidP="00B415A9">
            <w:pPr>
              <w:pStyle w:val="TablebodyleftTables"/>
            </w:pPr>
            <w:r>
              <w:t xml:space="preserve">The Community Climate Change and Energy Action program was launched by Sustainability Victoria in July 2021 to support local community groups by funding energy efficiency upgrades to community facilities. To 30 June 2022, funding has been provided for114 energy assessments at community group facilities and 49 community group projects, 15 of which are already complete. </w:t>
            </w:r>
          </w:p>
        </w:tc>
      </w:tr>
    </w:tbl>
    <w:p w14:paraId="67E7D3F0" w14:textId="77777777" w:rsidR="00B02873" w:rsidRDefault="00B02873" w:rsidP="00FE198A"/>
    <w:p w14:paraId="43BA7B79" w14:textId="77777777" w:rsidR="00B02873" w:rsidRDefault="00B02873" w:rsidP="007A0C96">
      <w:pPr>
        <w:pStyle w:val="Heading4"/>
      </w:pPr>
      <w:r>
        <w:t xml:space="preserve">Indicator: Reduction in emissions from government operations </w:t>
      </w:r>
    </w:p>
    <w:p w14:paraId="641FB044" w14:textId="77777777" w:rsidR="00B02873" w:rsidRDefault="00B02873" w:rsidP="00FE198A">
      <w:r>
        <w:t xml:space="preserve">The Victorian Government released the whole-of-Victorian government emissions reduction pledge (the Pledge) in May 2021, with a commitment for all electricity used in government operations to be 100 per cent renewable from 2025, to introduce 400 zero emissions vehicles into the government fleet by 2023, to ensure new public buses are zero emissions from 2025, and to improve the </w:t>
      </w:r>
      <w:r>
        <w:lastRenderedPageBreak/>
        <w:t>environmental and energy performance of government buildings and facilities. These actions are expected to reduce total government operational emissions by an estimated 2.7 Mt CO</w:t>
      </w:r>
      <w:r w:rsidRPr="007A0C96">
        <w:rPr>
          <w:vertAlign w:val="subscript"/>
        </w:rPr>
        <w:t>2</w:t>
      </w:r>
      <w:r>
        <w:t xml:space="preserve">-e by 2025 compared to 2018-19 levels and establish the foundations for further actions to reduce operational emissions in future years. </w:t>
      </w:r>
    </w:p>
    <w:p w14:paraId="2EB9FC58" w14:textId="77777777" w:rsidR="00B02873" w:rsidRDefault="00B02873" w:rsidP="00FE198A">
      <w:r>
        <w:t>These commitments build on previously completed actions to reduce government emissions, such as the target for government departments to reduce their emissions 30 per cent below 2015 levels by 2020. Continued action to reduce emissions from government operations will ensure the government is at the forefront of the transition to net zero emissions, while supporting jobs and growth for Victoria’s industries that provide low-carbon products and services.</w:t>
      </w:r>
    </w:p>
    <w:p w14:paraId="30127511" w14:textId="51BC615C" w:rsidR="00B02873" w:rsidRDefault="00B02873" w:rsidP="00311A51">
      <w:pPr>
        <w:pStyle w:val="Heading4"/>
      </w:pPr>
      <w:r>
        <w:t>Indicator: Percentage reduction in Victoria’s greenhouse gas emissions relative to 2005</w:t>
      </w:r>
    </w:p>
    <w:p w14:paraId="42EFD6F8" w14:textId="14952DB8" w:rsidR="004F47C2" w:rsidRPr="004F47C2" w:rsidRDefault="00B252C2" w:rsidP="004F47C2">
      <w:pPr>
        <w:rPr>
          <w:lang w:val="en-GB"/>
        </w:rPr>
      </w:pPr>
      <w:r w:rsidRPr="00B252C2">
        <w:rPr>
          <w:noProof/>
          <w:lang w:val="en-GB"/>
        </w:rPr>
        <w:t xml:space="preserve">Graph showing that in 2020, Victoria’s emissions have fallen by 29.8% below 2005 net emission levels. </w:t>
      </w:r>
      <w:r w:rsidR="00B26C54">
        <w:rPr>
          <w:noProof/>
          <w:lang w:val="en-GB"/>
        </w:rPr>
        <w:drawing>
          <wp:inline distT="0" distB="0" distL="0" distR="0" wp14:anchorId="1E148720" wp14:editId="52DC4E6C">
            <wp:extent cx="3136398" cy="2709678"/>
            <wp:effectExtent l="0" t="0" r="0" b="0"/>
            <wp:docPr id="15" name="Picture 15" descr="Graph showing that in 2020, Victoria’s emissions have fallen by 29.8% below 2005 net emission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 showing that in 2020, Victoria’s emissions have fallen by 29.8% below 2005 net emission levels."/>
                    <pic:cNvPicPr/>
                  </pic:nvPicPr>
                  <pic:blipFill>
                    <a:blip r:embed="rId17"/>
                    <a:stretch>
                      <a:fillRect/>
                    </a:stretch>
                  </pic:blipFill>
                  <pic:spPr>
                    <a:xfrm>
                      <a:off x="0" y="0"/>
                      <a:ext cx="3136398" cy="2709678"/>
                    </a:xfrm>
                    <a:prstGeom prst="rect">
                      <a:avLst/>
                    </a:prstGeom>
                  </pic:spPr>
                </pic:pic>
              </a:graphicData>
            </a:graphic>
          </wp:inline>
        </w:drawing>
      </w:r>
    </w:p>
    <w:p w14:paraId="4F21D063" w14:textId="77777777" w:rsidR="00B02873" w:rsidRDefault="00B02873" w:rsidP="00B26C54">
      <w:pPr>
        <w:pStyle w:val="Normalbeforebullet"/>
      </w:pPr>
      <w:r>
        <w:t xml:space="preserve">The Victorian Government is committed to reducing the state’s greenhouse gas emissions by: </w:t>
      </w:r>
    </w:p>
    <w:p w14:paraId="5F443D2E" w14:textId="77777777" w:rsidR="00B02873" w:rsidRDefault="00B02873" w:rsidP="00B02873">
      <w:pPr>
        <w:pStyle w:val="Bullet1Lists"/>
      </w:pPr>
      <w:r>
        <w:t>15-20 per cent below 2005 levels by 2020</w:t>
      </w:r>
    </w:p>
    <w:p w14:paraId="57EBF808" w14:textId="77777777" w:rsidR="00B02873" w:rsidRDefault="00B02873" w:rsidP="00B02873">
      <w:pPr>
        <w:pStyle w:val="Bullet1Lists"/>
      </w:pPr>
      <w:r>
        <w:t>28-33 per cent below 2005 levels by 2025</w:t>
      </w:r>
    </w:p>
    <w:p w14:paraId="12974172" w14:textId="77777777" w:rsidR="00B02873" w:rsidRDefault="00B02873" w:rsidP="00B26C54">
      <w:pPr>
        <w:pStyle w:val="Bullet1Listslast"/>
      </w:pPr>
      <w:r>
        <w:t>45-50 per cent below 2005 levels by 2030</w:t>
      </w:r>
    </w:p>
    <w:p w14:paraId="4FB67387" w14:textId="77777777" w:rsidR="00B02873" w:rsidRDefault="00B02873" w:rsidP="00FE198A">
      <w:r>
        <w:t xml:space="preserve">These targets keep Victoria on the path to net zero emissions by 2050. </w:t>
      </w:r>
    </w:p>
    <w:p w14:paraId="257AD5F7" w14:textId="00D47EA2" w:rsidR="00B02873" w:rsidRDefault="00B02873" w:rsidP="00FE198A">
      <w:r>
        <w:t>A report is published every year by the Victorian Government on Victoria’s greenhouse gas emissions, based on the most recent data available. This draws on emissions data prepared by the Commonwealth Department of Industry, Science, Energy and Resources in accordance with internationally agreed rules. There is a two-year lag between reporting periods and when the data is available for use.</w:t>
      </w:r>
      <w:r w:rsidR="00B252C2">
        <w:t>9</w:t>
      </w:r>
    </w:p>
    <w:p w14:paraId="746F28FD" w14:textId="77777777" w:rsidR="00B02873" w:rsidRDefault="00B02873" w:rsidP="00FE198A">
      <w:r>
        <w:t xml:space="preserve">The 2020 target was met and exceeded two years ahead of schedule (in 2018) when Victoria’s emissions fell to 21.5 per cent below 2005 levels. The latest available Commonwealth data shows that by 2020, Victoria’s emissions had fallen further to 29.8 per cent below 2005 levels. Most of these reductions occurred in the electricity sector, with the other key contributor being increased absorption of emissions in the land sector. </w:t>
      </w:r>
    </w:p>
    <w:p w14:paraId="67845DF4" w14:textId="63873AA4" w:rsidR="00B02873" w:rsidRDefault="00B02873" w:rsidP="00311A51">
      <w:pPr>
        <w:pStyle w:val="Heading4"/>
      </w:pPr>
      <w:r>
        <w:lastRenderedPageBreak/>
        <w:t>Indicator: Reduction in annual energy costs for Victorian schools participating in the ResourceSmart Schools program</w:t>
      </w:r>
    </w:p>
    <w:p w14:paraId="55E17E71" w14:textId="4D35364E" w:rsidR="00B26C54" w:rsidRDefault="00B26C54" w:rsidP="00B26C54">
      <w:r>
        <w:rPr>
          <w:noProof/>
        </w:rPr>
        <w:drawing>
          <wp:inline distT="0" distB="0" distL="0" distR="0" wp14:anchorId="0D713E0F" wp14:editId="007B116E">
            <wp:extent cx="3148590" cy="2764542"/>
            <wp:effectExtent l="0" t="0" r="0" b="0"/>
            <wp:docPr id="16" name="Picture 16" descr="Graph showing an overall trend of increasing energy bill savings for Victorian schools participating in the ResourceSmart Schools program between 2017 and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 showing an overall trend of increasing energy bill savings for Victorian schools participating in the ResourceSmart Schools program between 2017 and 2021. "/>
                    <pic:cNvPicPr/>
                  </pic:nvPicPr>
                  <pic:blipFill>
                    <a:blip r:embed="rId18"/>
                    <a:stretch>
                      <a:fillRect/>
                    </a:stretch>
                  </pic:blipFill>
                  <pic:spPr>
                    <a:xfrm>
                      <a:off x="0" y="0"/>
                      <a:ext cx="3148590" cy="2764542"/>
                    </a:xfrm>
                    <a:prstGeom prst="rect">
                      <a:avLst/>
                    </a:prstGeom>
                  </pic:spPr>
                </pic:pic>
              </a:graphicData>
            </a:graphic>
          </wp:inline>
        </w:drawing>
      </w:r>
    </w:p>
    <w:p w14:paraId="5C155725" w14:textId="77777777" w:rsidR="00B02873" w:rsidRDefault="00B02873" w:rsidP="00B26C54">
      <w:r>
        <w:t>ResourceSmart Schools is delivered in partnership with Sustainability Victoria. Through the program Victorian schools are recruited and assisted to work through a sustainability framework with the aim of achieving five star sustainability status. Once a school has signed up to the program, activities undertaken, billing data, curriculum and other documentation is uploaded to an online platform as evidence the school is embedding sustainability into their operations, curriculum and community.</w:t>
      </w:r>
    </w:p>
    <w:p w14:paraId="39BD09CC" w14:textId="77777777" w:rsidR="00B02873" w:rsidRDefault="00B02873" w:rsidP="00FE198A">
      <w:r>
        <w:t>In 2021, Victorian schools saved $4.26 million on their energy bills through their participation in ResourceSmart Schools – a trend that has continued since 2017 due to benefits realised as schools embed sustainability in their curricula, and other actions such as replacing less efficient appliances and the upgrade and/or installation of energy saving infrastructure such as motion-sensor lighting and rooftop solar PV.</w:t>
      </w:r>
    </w:p>
    <w:p w14:paraId="242DAB68" w14:textId="77777777" w:rsidR="00B02873" w:rsidRDefault="00B02873" w:rsidP="00FE198A">
      <w:r>
        <w:t xml:space="preserve">Periods of remote learning have contributed to cost savings in schools during 2020 and 2021. The decrease in energy bill savings between 2020 and 2021 reflects a decrease in the number of schools participating in the ResourceSmart Schools program. </w:t>
      </w:r>
    </w:p>
    <w:p w14:paraId="07157586" w14:textId="77777777" w:rsidR="00B02873" w:rsidRDefault="00B02873" w:rsidP="00B26C54">
      <w:pPr>
        <w:pStyle w:val="Heading3"/>
      </w:pPr>
      <w:bookmarkStart w:id="11" w:name="_Ref116904373"/>
      <w:r>
        <w:t>Output performance measures</w:t>
      </w:r>
      <w:bookmarkEnd w:id="11"/>
    </w:p>
    <w:p w14:paraId="5D4A46C2" w14:textId="77777777" w:rsidR="00B02873" w:rsidRDefault="00B02873" w:rsidP="00B26C54">
      <w:pPr>
        <w:pStyle w:val="Heading4"/>
      </w:pPr>
      <w:r>
        <w:t>Climate Change</w:t>
      </w:r>
    </w:p>
    <w:p w14:paraId="05895958" w14:textId="77777777" w:rsidR="00B02873" w:rsidRDefault="00B02873" w:rsidP="00FE198A">
      <w:r>
        <w:t>This output leads the development and implementation of strategic, whole of government climate change policy and programs, that contribute to Victoria’s 2050 target of net-zero greenhouse gas emissions and build the state’s resilience to climate change.</w:t>
      </w:r>
    </w:p>
    <w:p w14:paraId="013548C8" w14:textId="38D9836C" w:rsidR="00B02873" w:rsidRDefault="00B02873" w:rsidP="00FE198A">
      <w:r>
        <w:t>The performance measures below compare targets and expected or actual results from the delivery of programs and services as part of this output:</w:t>
      </w:r>
    </w:p>
    <w:tbl>
      <w:tblPr>
        <w:tblStyle w:val="TableGrid"/>
        <w:tblW w:w="9634" w:type="dxa"/>
        <w:tblLayout w:type="fixed"/>
        <w:tblLook w:val="0020" w:firstRow="1" w:lastRow="0" w:firstColumn="0" w:lastColumn="0" w:noHBand="0" w:noVBand="0"/>
      </w:tblPr>
      <w:tblGrid>
        <w:gridCol w:w="2972"/>
        <w:gridCol w:w="1134"/>
        <w:gridCol w:w="1418"/>
        <w:gridCol w:w="992"/>
        <w:gridCol w:w="1527"/>
        <w:gridCol w:w="1591"/>
      </w:tblGrid>
      <w:tr w:rsidR="00B02873" w:rsidRPr="00B02873" w14:paraId="4974A430" w14:textId="77777777" w:rsidTr="00E71A15">
        <w:trPr>
          <w:cnfStyle w:val="100000000000" w:firstRow="1" w:lastRow="0" w:firstColumn="0" w:lastColumn="0" w:oddVBand="0" w:evenVBand="0" w:oddHBand="0" w:evenHBand="0" w:firstRowFirstColumn="0" w:firstRowLastColumn="0" w:lastRowFirstColumn="0" w:lastRowLastColumn="0"/>
        </w:trPr>
        <w:tc>
          <w:tcPr>
            <w:tcW w:w="2972" w:type="dxa"/>
          </w:tcPr>
          <w:p w14:paraId="7435E2E4" w14:textId="77777777" w:rsidR="00B02873" w:rsidRDefault="00B02873" w:rsidP="00B26C54">
            <w:pPr>
              <w:pStyle w:val="TableheadingleftTables"/>
            </w:pPr>
            <w:r>
              <w:lastRenderedPageBreak/>
              <w:t>Output performance measures</w:t>
            </w:r>
          </w:p>
        </w:tc>
        <w:tc>
          <w:tcPr>
            <w:tcW w:w="1134" w:type="dxa"/>
          </w:tcPr>
          <w:p w14:paraId="524E348C" w14:textId="77777777" w:rsidR="00B02873" w:rsidRDefault="00B02873" w:rsidP="00B26C54">
            <w:pPr>
              <w:pStyle w:val="TableheadingleftTables"/>
            </w:pPr>
            <w:r>
              <w:t>Unit of measure</w:t>
            </w:r>
          </w:p>
        </w:tc>
        <w:tc>
          <w:tcPr>
            <w:tcW w:w="1418" w:type="dxa"/>
          </w:tcPr>
          <w:p w14:paraId="1D42BDA5" w14:textId="77777777" w:rsidR="00B02873" w:rsidRDefault="00B02873" w:rsidP="00D416F7">
            <w:pPr>
              <w:pStyle w:val="TableheadingleftTables"/>
              <w:jc w:val="right"/>
            </w:pPr>
            <w:r>
              <w:t>2021-22 actual</w:t>
            </w:r>
          </w:p>
        </w:tc>
        <w:tc>
          <w:tcPr>
            <w:tcW w:w="992" w:type="dxa"/>
          </w:tcPr>
          <w:p w14:paraId="2472342A" w14:textId="77777777" w:rsidR="00B02873" w:rsidRDefault="00B02873" w:rsidP="00D416F7">
            <w:pPr>
              <w:pStyle w:val="TableheadingleftTables"/>
              <w:jc w:val="right"/>
            </w:pPr>
            <w:r>
              <w:t>2021-22 target</w:t>
            </w:r>
          </w:p>
        </w:tc>
        <w:tc>
          <w:tcPr>
            <w:tcW w:w="1527" w:type="dxa"/>
          </w:tcPr>
          <w:p w14:paraId="4C480533" w14:textId="77777777" w:rsidR="00B02873" w:rsidRDefault="00B02873" w:rsidP="00D416F7">
            <w:pPr>
              <w:pStyle w:val="TableheadingleftTables"/>
              <w:jc w:val="right"/>
            </w:pPr>
            <w:r>
              <w:rPr>
                <w:spacing w:val="-2"/>
              </w:rPr>
              <w:t>Performance variation (%)</w:t>
            </w:r>
          </w:p>
        </w:tc>
        <w:tc>
          <w:tcPr>
            <w:tcW w:w="1591" w:type="dxa"/>
          </w:tcPr>
          <w:p w14:paraId="01FC5C7C" w14:textId="77777777" w:rsidR="00B02873" w:rsidRDefault="00B02873" w:rsidP="00B26C54">
            <w:pPr>
              <w:pStyle w:val="TableheadingleftTables"/>
            </w:pPr>
            <w:r>
              <w:t>Result</w:t>
            </w:r>
          </w:p>
        </w:tc>
      </w:tr>
      <w:tr w:rsidR="00B02873" w:rsidRPr="00B02873" w14:paraId="04815171" w14:textId="77777777" w:rsidTr="00E71A15">
        <w:tc>
          <w:tcPr>
            <w:tcW w:w="2972" w:type="dxa"/>
          </w:tcPr>
          <w:p w14:paraId="1ACBA68D" w14:textId="77777777" w:rsidR="00B02873" w:rsidRDefault="00B02873" w:rsidP="00B415A9">
            <w:pPr>
              <w:pStyle w:val="TableheadingleftTables"/>
            </w:pPr>
            <w:r>
              <w:t>Quantity</w:t>
            </w:r>
          </w:p>
        </w:tc>
        <w:tc>
          <w:tcPr>
            <w:tcW w:w="1134" w:type="dxa"/>
          </w:tcPr>
          <w:p w14:paraId="11C122ED" w14:textId="77777777" w:rsidR="00B02873" w:rsidRPr="00B02873" w:rsidRDefault="00B02873" w:rsidP="00B415A9">
            <w:pPr>
              <w:pStyle w:val="NoParagraphStyle"/>
              <w:spacing w:line="240" w:lineRule="auto"/>
              <w:textAlignment w:val="auto"/>
              <w:rPr>
                <w:rFonts w:ascii="Apple Symbols Regular" w:hAnsi="Apple Symbols Regular" w:cs="Times New Roman"/>
                <w:color w:val="auto"/>
                <w:lang w:val="en-AU"/>
              </w:rPr>
            </w:pPr>
          </w:p>
        </w:tc>
        <w:tc>
          <w:tcPr>
            <w:tcW w:w="1418" w:type="dxa"/>
          </w:tcPr>
          <w:p w14:paraId="39659E50" w14:textId="77777777" w:rsidR="00B02873" w:rsidRPr="00B02873" w:rsidRDefault="00B02873" w:rsidP="00D416F7">
            <w:pPr>
              <w:pStyle w:val="NoParagraphStyle"/>
              <w:spacing w:line="240" w:lineRule="auto"/>
              <w:jc w:val="right"/>
              <w:textAlignment w:val="auto"/>
              <w:rPr>
                <w:rFonts w:ascii="Apple Symbols Regular" w:hAnsi="Apple Symbols Regular" w:cs="Times New Roman"/>
                <w:color w:val="auto"/>
                <w:lang w:val="en-AU"/>
              </w:rPr>
            </w:pPr>
          </w:p>
        </w:tc>
        <w:tc>
          <w:tcPr>
            <w:tcW w:w="992" w:type="dxa"/>
          </w:tcPr>
          <w:p w14:paraId="0A773018" w14:textId="77777777" w:rsidR="00B02873" w:rsidRPr="00B02873" w:rsidRDefault="00B02873" w:rsidP="00D416F7">
            <w:pPr>
              <w:pStyle w:val="NoParagraphStyle"/>
              <w:spacing w:line="240" w:lineRule="auto"/>
              <w:jc w:val="right"/>
              <w:textAlignment w:val="auto"/>
              <w:rPr>
                <w:rFonts w:ascii="Apple Symbols Regular" w:hAnsi="Apple Symbols Regular" w:cs="Times New Roman"/>
                <w:color w:val="auto"/>
                <w:lang w:val="en-AU"/>
              </w:rPr>
            </w:pPr>
          </w:p>
        </w:tc>
        <w:tc>
          <w:tcPr>
            <w:tcW w:w="1527" w:type="dxa"/>
          </w:tcPr>
          <w:p w14:paraId="197CB1B5" w14:textId="77777777" w:rsidR="00B02873" w:rsidRPr="00B02873" w:rsidRDefault="00B02873" w:rsidP="00D416F7">
            <w:pPr>
              <w:pStyle w:val="NoParagraphStyle"/>
              <w:spacing w:line="240" w:lineRule="auto"/>
              <w:jc w:val="right"/>
              <w:textAlignment w:val="auto"/>
              <w:rPr>
                <w:rFonts w:ascii="Apple Symbols Regular" w:hAnsi="Apple Symbols Regular" w:cs="Times New Roman"/>
                <w:color w:val="auto"/>
                <w:lang w:val="en-AU"/>
              </w:rPr>
            </w:pPr>
          </w:p>
        </w:tc>
        <w:tc>
          <w:tcPr>
            <w:tcW w:w="1591" w:type="dxa"/>
          </w:tcPr>
          <w:p w14:paraId="5FBA2DF1" w14:textId="77777777" w:rsidR="00B02873" w:rsidRPr="00B02873" w:rsidRDefault="00B02873" w:rsidP="00B415A9">
            <w:pPr>
              <w:pStyle w:val="NoParagraphStyle"/>
              <w:spacing w:line="240" w:lineRule="auto"/>
              <w:textAlignment w:val="auto"/>
              <w:rPr>
                <w:rFonts w:ascii="Apple Symbols Regular" w:hAnsi="Apple Symbols Regular" w:cs="Times New Roman"/>
                <w:color w:val="auto"/>
                <w:lang w:val="en-AU"/>
              </w:rPr>
            </w:pPr>
          </w:p>
        </w:tc>
      </w:tr>
      <w:tr w:rsidR="00B02873" w:rsidRPr="00B02873" w14:paraId="77D6EDE6" w14:textId="77777777" w:rsidTr="00E71A15">
        <w:tc>
          <w:tcPr>
            <w:tcW w:w="2972" w:type="dxa"/>
          </w:tcPr>
          <w:p w14:paraId="701E1C30" w14:textId="77777777" w:rsidR="00B02873" w:rsidRDefault="00B02873" w:rsidP="00B415A9">
            <w:pPr>
              <w:pStyle w:val="TablebodyleftTables"/>
            </w:pPr>
            <w:r>
              <w:t>Victorian schools participating in the ResourceSmart Schools program</w:t>
            </w:r>
          </w:p>
        </w:tc>
        <w:tc>
          <w:tcPr>
            <w:tcW w:w="1134" w:type="dxa"/>
          </w:tcPr>
          <w:p w14:paraId="4E2C49DC" w14:textId="77777777" w:rsidR="00B02873" w:rsidRDefault="00B02873" w:rsidP="008501BF">
            <w:pPr>
              <w:pStyle w:val="TablebodyleftTables"/>
            </w:pPr>
            <w:r>
              <w:t>number</w:t>
            </w:r>
          </w:p>
        </w:tc>
        <w:tc>
          <w:tcPr>
            <w:tcW w:w="1418" w:type="dxa"/>
          </w:tcPr>
          <w:p w14:paraId="141A5078" w14:textId="77777777" w:rsidR="00B02873" w:rsidRDefault="00B02873" w:rsidP="00D416F7">
            <w:pPr>
              <w:pStyle w:val="TablebodyleftTables"/>
              <w:jc w:val="right"/>
            </w:pPr>
            <w:r>
              <w:t>457</w:t>
            </w:r>
          </w:p>
        </w:tc>
        <w:tc>
          <w:tcPr>
            <w:tcW w:w="992" w:type="dxa"/>
          </w:tcPr>
          <w:p w14:paraId="508DD360" w14:textId="77777777" w:rsidR="00B02873" w:rsidRDefault="00B02873" w:rsidP="00D416F7">
            <w:pPr>
              <w:pStyle w:val="TablebodyleftTables"/>
              <w:jc w:val="right"/>
            </w:pPr>
            <w:r>
              <w:t>700</w:t>
            </w:r>
          </w:p>
        </w:tc>
        <w:tc>
          <w:tcPr>
            <w:tcW w:w="1527" w:type="dxa"/>
          </w:tcPr>
          <w:p w14:paraId="6BF2E429" w14:textId="77777777" w:rsidR="00B02873" w:rsidRDefault="00B02873" w:rsidP="00D416F7">
            <w:pPr>
              <w:pStyle w:val="TablebodyleftTables"/>
              <w:jc w:val="right"/>
            </w:pPr>
            <w:r>
              <w:t>(35%)</w:t>
            </w:r>
          </w:p>
        </w:tc>
        <w:tc>
          <w:tcPr>
            <w:tcW w:w="1591" w:type="dxa"/>
          </w:tcPr>
          <w:p w14:paraId="6027F460" w14:textId="72D3D6F6" w:rsidR="00B02873" w:rsidRDefault="008501BF" w:rsidP="008501BF">
            <w:pPr>
              <w:pStyle w:val="TablebodyleftTables"/>
            </w:pPr>
            <w:r w:rsidRPr="008501BF">
              <w:t>Performance target not achieved – exceeds 5 per cent variance.</w:t>
            </w:r>
          </w:p>
        </w:tc>
      </w:tr>
    </w:tbl>
    <w:p w14:paraId="276C86BB" w14:textId="7D4799ED" w:rsidR="008501BF" w:rsidRDefault="008501BF">
      <w:r>
        <w:t>Performance is below target due to COVID-19 impacts on the education sector. This resulted in teacher shortages and lower levels of engagement with extracurricular activities such as the ResourceSmart Schools program.</w:t>
      </w:r>
    </w:p>
    <w:tbl>
      <w:tblPr>
        <w:tblStyle w:val="TableGrid"/>
        <w:tblW w:w="9634" w:type="dxa"/>
        <w:tblLayout w:type="fixed"/>
        <w:tblLook w:val="0020" w:firstRow="1" w:lastRow="0" w:firstColumn="0" w:lastColumn="0" w:noHBand="0" w:noVBand="0"/>
      </w:tblPr>
      <w:tblGrid>
        <w:gridCol w:w="2972"/>
        <w:gridCol w:w="1134"/>
        <w:gridCol w:w="1276"/>
        <w:gridCol w:w="1136"/>
        <w:gridCol w:w="1527"/>
        <w:gridCol w:w="1589"/>
      </w:tblGrid>
      <w:tr w:rsidR="001464E4" w:rsidRPr="00B02873" w14:paraId="0ABF92ED" w14:textId="77777777" w:rsidTr="00E71A15">
        <w:trPr>
          <w:cnfStyle w:val="100000000000" w:firstRow="1" w:lastRow="0" w:firstColumn="0" w:lastColumn="0" w:oddVBand="0" w:evenVBand="0" w:oddHBand="0" w:evenHBand="0" w:firstRowFirstColumn="0" w:firstRowLastColumn="0" w:lastRowFirstColumn="0" w:lastRowLastColumn="0"/>
        </w:trPr>
        <w:tc>
          <w:tcPr>
            <w:tcW w:w="2972" w:type="dxa"/>
          </w:tcPr>
          <w:p w14:paraId="4F761303" w14:textId="77777777" w:rsidR="008501BF" w:rsidRDefault="008501BF" w:rsidP="007E3130">
            <w:pPr>
              <w:pStyle w:val="TableheadingleftTables"/>
            </w:pPr>
            <w:r>
              <w:t>Output performance measures</w:t>
            </w:r>
          </w:p>
        </w:tc>
        <w:tc>
          <w:tcPr>
            <w:tcW w:w="1134" w:type="dxa"/>
          </w:tcPr>
          <w:p w14:paraId="7FC4489B" w14:textId="77777777" w:rsidR="008501BF" w:rsidRDefault="008501BF" w:rsidP="007E3130">
            <w:pPr>
              <w:pStyle w:val="TableheadingleftTables"/>
            </w:pPr>
            <w:r>
              <w:t>Unit of measure</w:t>
            </w:r>
          </w:p>
        </w:tc>
        <w:tc>
          <w:tcPr>
            <w:tcW w:w="1276" w:type="dxa"/>
          </w:tcPr>
          <w:p w14:paraId="28225F71" w14:textId="77777777" w:rsidR="008501BF" w:rsidRDefault="008501BF" w:rsidP="00A63A42">
            <w:pPr>
              <w:pStyle w:val="TableheadingleftTables"/>
              <w:jc w:val="right"/>
            </w:pPr>
            <w:r>
              <w:t>2021-22 actual</w:t>
            </w:r>
          </w:p>
        </w:tc>
        <w:tc>
          <w:tcPr>
            <w:tcW w:w="1136" w:type="dxa"/>
          </w:tcPr>
          <w:p w14:paraId="49B432B7" w14:textId="77777777" w:rsidR="008501BF" w:rsidRDefault="008501BF" w:rsidP="00A63A42">
            <w:pPr>
              <w:pStyle w:val="TableheadingleftTables"/>
              <w:jc w:val="right"/>
            </w:pPr>
            <w:r>
              <w:t>2021-22 target</w:t>
            </w:r>
          </w:p>
        </w:tc>
        <w:tc>
          <w:tcPr>
            <w:tcW w:w="1527" w:type="dxa"/>
          </w:tcPr>
          <w:p w14:paraId="210A66F5" w14:textId="77777777" w:rsidR="008501BF" w:rsidRDefault="008501BF" w:rsidP="00A63A42">
            <w:pPr>
              <w:pStyle w:val="TableheadingleftTables"/>
              <w:jc w:val="right"/>
            </w:pPr>
            <w:r>
              <w:rPr>
                <w:spacing w:val="-2"/>
              </w:rPr>
              <w:t>Performance variation (%)</w:t>
            </w:r>
          </w:p>
        </w:tc>
        <w:tc>
          <w:tcPr>
            <w:tcW w:w="1589" w:type="dxa"/>
          </w:tcPr>
          <w:p w14:paraId="271C7BA1" w14:textId="77777777" w:rsidR="008501BF" w:rsidRDefault="008501BF" w:rsidP="007E3130">
            <w:pPr>
              <w:pStyle w:val="TableheadingleftTables"/>
            </w:pPr>
            <w:r>
              <w:t>Result</w:t>
            </w:r>
          </w:p>
        </w:tc>
      </w:tr>
      <w:tr w:rsidR="00B02873" w:rsidRPr="00B02873" w14:paraId="74CFA38C" w14:textId="77777777" w:rsidTr="00E71A15">
        <w:tc>
          <w:tcPr>
            <w:tcW w:w="2972" w:type="dxa"/>
          </w:tcPr>
          <w:p w14:paraId="1C407A9B" w14:textId="77777777" w:rsidR="00B02873" w:rsidRDefault="00B02873" w:rsidP="00B415A9">
            <w:pPr>
              <w:pStyle w:val="TablebodyleftTables"/>
            </w:pPr>
            <w:r>
              <w:t>Annual energy saved by Victorian schools participating in the ResourceSmart Schools program</w:t>
            </w:r>
          </w:p>
        </w:tc>
        <w:tc>
          <w:tcPr>
            <w:tcW w:w="1134" w:type="dxa"/>
          </w:tcPr>
          <w:p w14:paraId="70AC49D2" w14:textId="77777777" w:rsidR="00B02873" w:rsidRDefault="00B02873" w:rsidP="001464E4">
            <w:pPr>
              <w:pStyle w:val="TablebodyleftTables"/>
            </w:pPr>
            <w:r>
              <w:t>kWh</w:t>
            </w:r>
          </w:p>
        </w:tc>
        <w:tc>
          <w:tcPr>
            <w:tcW w:w="1276" w:type="dxa"/>
          </w:tcPr>
          <w:p w14:paraId="1C99025D" w14:textId="77777777" w:rsidR="00B02873" w:rsidRDefault="00B02873" w:rsidP="00A63A42">
            <w:pPr>
              <w:pStyle w:val="TablebodyleftTables"/>
              <w:jc w:val="right"/>
            </w:pPr>
            <w:r>
              <w:t>14 585 144</w:t>
            </w:r>
          </w:p>
        </w:tc>
        <w:tc>
          <w:tcPr>
            <w:tcW w:w="1136" w:type="dxa"/>
          </w:tcPr>
          <w:p w14:paraId="34FC740A" w14:textId="77777777" w:rsidR="00B02873" w:rsidRDefault="00B02873" w:rsidP="00A63A42">
            <w:pPr>
              <w:pStyle w:val="TablebodyleftTables"/>
              <w:jc w:val="right"/>
            </w:pPr>
            <w:r>
              <w:t>8 500 000</w:t>
            </w:r>
          </w:p>
        </w:tc>
        <w:tc>
          <w:tcPr>
            <w:tcW w:w="1527" w:type="dxa"/>
          </w:tcPr>
          <w:p w14:paraId="53FC7DB2" w14:textId="77777777" w:rsidR="00B02873" w:rsidRDefault="00B02873" w:rsidP="00A63A42">
            <w:pPr>
              <w:pStyle w:val="TablebodyleftTables"/>
              <w:jc w:val="right"/>
            </w:pPr>
            <w:r>
              <w:t>72%</w:t>
            </w:r>
          </w:p>
        </w:tc>
        <w:tc>
          <w:tcPr>
            <w:tcW w:w="1589" w:type="dxa"/>
          </w:tcPr>
          <w:p w14:paraId="186EFC3E" w14:textId="0E60C2ED" w:rsidR="00B02873" w:rsidRDefault="00E71A15" w:rsidP="001464E4">
            <w:pPr>
              <w:pStyle w:val="TablebodyleftTables"/>
            </w:pPr>
            <w:r w:rsidRPr="00E71A15">
              <w:t>Performance target achieved or exceeded.</w:t>
            </w:r>
          </w:p>
        </w:tc>
      </w:tr>
    </w:tbl>
    <w:p w14:paraId="727453DA" w14:textId="382AB7C1" w:rsidR="008501BF" w:rsidRDefault="008501BF">
      <w:r>
        <w:rPr>
          <w:spacing w:val="-1"/>
        </w:rPr>
        <w:t>Performance is above target due to less energy being used by schools in 2021 as a result of the COVID-19 pandemic and remote learning arrangements.</w:t>
      </w:r>
    </w:p>
    <w:tbl>
      <w:tblPr>
        <w:tblStyle w:val="TableGrid"/>
        <w:tblW w:w="9638" w:type="dxa"/>
        <w:tblLayout w:type="fixed"/>
        <w:tblLook w:val="0020" w:firstRow="1" w:lastRow="0" w:firstColumn="0" w:lastColumn="0" w:noHBand="0" w:noVBand="0"/>
      </w:tblPr>
      <w:tblGrid>
        <w:gridCol w:w="2972"/>
        <w:gridCol w:w="1134"/>
        <w:gridCol w:w="1276"/>
        <w:gridCol w:w="1134"/>
        <w:gridCol w:w="1528"/>
        <w:gridCol w:w="1594"/>
      </w:tblGrid>
      <w:tr w:rsidR="001464E4" w:rsidRPr="00B02873" w14:paraId="4C0154B4" w14:textId="77777777" w:rsidTr="00E71A15">
        <w:trPr>
          <w:cnfStyle w:val="100000000000" w:firstRow="1" w:lastRow="0" w:firstColumn="0" w:lastColumn="0" w:oddVBand="0" w:evenVBand="0" w:oddHBand="0" w:evenHBand="0" w:firstRowFirstColumn="0" w:firstRowLastColumn="0" w:lastRowFirstColumn="0" w:lastRowLastColumn="0"/>
        </w:trPr>
        <w:tc>
          <w:tcPr>
            <w:tcW w:w="2972" w:type="dxa"/>
          </w:tcPr>
          <w:p w14:paraId="53C95853" w14:textId="77777777" w:rsidR="008501BF" w:rsidRDefault="008501BF" w:rsidP="003F2D21">
            <w:pPr>
              <w:pStyle w:val="TableheadingleftTables"/>
            </w:pPr>
            <w:r>
              <w:t>Output performance measures</w:t>
            </w:r>
          </w:p>
        </w:tc>
        <w:tc>
          <w:tcPr>
            <w:tcW w:w="1134" w:type="dxa"/>
          </w:tcPr>
          <w:p w14:paraId="6E4E50D3" w14:textId="77777777" w:rsidR="008501BF" w:rsidRDefault="008501BF" w:rsidP="003F2D21">
            <w:pPr>
              <w:pStyle w:val="TableheadingleftTables"/>
            </w:pPr>
            <w:r>
              <w:t>Unit of measure</w:t>
            </w:r>
          </w:p>
        </w:tc>
        <w:tc>
          <w:tcPr>
            <w:tcW w:w="1276" w:type="dxa"/>
          </w:tcPr>
          <w:p w14:paraId="4D7FA557" w14:textId="77777777" w:rsidR="008501BF" w:rsidRDefault="008501BF" w:rsidP="003F2D21">
            <w:pPr>
              <w:pStyle w:val="TableheadingleftTables"/>
            </w:pPr>
            <w:r>
              <w:t>2021-22 actual</w:t>
            </w:r>
          </w:p>
        </w:tc>
        <w:tc>
          <w:tcPr>
            <w:tcW w:w="1134" w:type="dxa"/>
          </w:tcPr>
          <w:p w14:paraId="34F6C9A8" w14:textId="77777777" w:rsidR="008501BF" w:rsidRDefault="008501BF" w:rsidP="003F2D21">
            <w:pPr>
              <w:pStyle w:val="TableheadingleftTables"/>
            </w:pPr>
            <w:r>
              <w:t>2021-22 target</w:t>
            </w:r>
          </w:p>
        </w:tc>
        <w:tc>
          <w:tcPr>
            <w:tcW w:w="1528" w:type="dxa"/>
          </w:tcPr>
          <w:p w14:paraId="7AA2FDB5" w14:textId="77777777" w:rsidR="008501BF" w:rsidRDefault="008501BF" w:rsidP="003F2D21">
            <w:pPr>
              <w:pStyle w:val="TableheadingleftTables"/>
            </w:pPr>
            <w:r>
              <w:rPr>
                <w:spacing w:val="-2"/>
              </w:rPr>
              <w:t>Performance variation (%)</w:t>
            </w:r>
          </w:p>
        </w:tc>
        <w:tc>
          <w:tcPr>
            <w:tcW w:w="1594" w:type="dxa"/>
          </w:tcPr>
          <w:p w14:paraId="59EBF420" w14:textId="77777777" w:rsidR="008501BF" w:rsidRDefault="008501BF" w:rsidP="003F2D21">
            <w:pPr>
              <w:pStyle w:val="TableheadingleftTables"/>
            </w:pPr>
            <w:r>
              <w:t>Result</w:t>
            </w:r>
          </w:p>
        </w:tc>
      </w:tr>
      <w:tr w:rsidR="00B02873" w:rsidRPr="00B02873" w14:paraId="0D72D000" w14:textId="77777777" w:rsidTr="00E71A15">
        <w:tc>
          <w:tcPr>
            <w:tcW w:w="2972" w:type="dxa"/>
          </w:tcPr>
          <w:p w14:paraId="64B4A29D" w14:textId="77777777" w:rsidR="00B02873" w:rsidRDefault="00B02873" w:rsidP="00B415A9">
            <w:pPr>
              <w:pStyle w:val="TableheadingleftTables"/>
            </w:pPr>
            <w:r>
              <w:t>Quality</w:t>
            </w:r>
          </w:p>
        </w:tc>
        <w:tc>
          <w:tcPr>
            <w:tcW w:w="1134" w:type="dxa"/>
          </w:tcPr>
          <w:p w14:paraId="00CF436C" w14:textId="77777777" w:rsidR="00B02873" w:rsidRPr="00B02873" w:rsidRDefault="00B02873" w:rsidP="00B415A9">
            <w:pPr>
              <w:pStyle w:val="NoParagraphStyle"/>
              <w:spacing w:line="240" w:lineRule="auto"/>
              <w:textAlignment w:val="auto"/>
              <w:rPr>
                <w:rFonts w:ascii="Apple Symbols Regular" w:hAnsi="Apple Symbols Regular" w:cs="Times New Roman"/>
                <w:color w:val="auto"/>
                <w:lang w:val="en-AU"/>
              </w:rPr>
            </w:pPr>
          </w:p>
        </w:tc>
        <w:tc>
          <w:tcPr>
            <w:tcW w:w="1276" w:type="dxa"/>
          </w:tcPr>
          <w:p w14:paraId="2A5A264E" w14:textId="77777777" w:rsidR="00B02873" w:rsidRPr="00B02873" w:rsidRDefault="00B02873" w:rsidP="00B415A9">
            <w:pPr>
              <w:pStyle w:val="NoParagraphStyle"/>
              <w:spacing w:line="240" w:lineRule="auto"/>
              <w:textAlignment w:val="auto"/>
              <w:rPr>
                <w:rFonts w:ascii="Apple Symbols Regular" w:hAnsi="Apple Symbols Regular" w:cs="Times New Roman"/>
                <w:color w:val="auto"/>
                <w:lang w:val="en-AU"/>
              </w:rPr>
            </w:pPr>
          </w:p>
        </w:tc>
        <w:tc>
          <w:tcPr>
            <w:tcW w:w="1134" w:type="dxa"/>
          </w:tcPr>
          <w:p w14:paraId="5F7C4E49" w14:textId="77777777" w:rsidR="00B02873" w:rsidRPr="00B02873" w:rsidRDefault="00B02873" w:rsidP="00B415A9">
            <w:pPr>
              <w:pStyle w:val="NoParagraphStyle"/>
              <w:spacing w:line="240" w:lineRule="auto"/>
              <w:textAlignment w:val="auto"/>
              <w:rPr>
                <w:rFonts w:ascii="Apple Symbols Regular" w:hAnsi="Apple Symbols Regular" w:cs="Times New Roman"/>
                <w:color w:val="auto"/>
                <w:lang w:val="en-AU"/>
              </w:rPr>
            </w:pPr>
          </w:p>
        </w:tc>
        <w:tc>
          <w:tcPr>
            <w:tcW w:w="1528" w:type="dxa"/>
          </w:tcPr>
          <w:p w14:paraId="3ED42498" w14:textId="77777777" w:rsidR="00B02873" w:rsidRPr="00B02873" w:rsidRDefault="00B02873" w:rsidP="00B415A9">
            <w:pPr>
              <w:pStyle w:val="NoParagraphStyle"/>
              <w:spacing w:line="240" w:lineRule="auto"/>
              <w:textAlignment w:val="auto"/>
              <w:rPr>
                <w:rFonts w:ascii="Apple Symbols Regular" w:hAnsi="Apple Symbols Regular" w:cs="Times New Roman"/>
                <w:color w:val="auto"/>
                <w:lang w:val="en-AU"/>
              </w:rPr>
            </w:pPr>
          </w:p>
        </w:tc>
        <w:tc>
          <w:tcPr>
            <w:tcW w:w="1594" w:type="dxa"/>
          </w:tcPr>
          <w:p w14:paraId="6B8CA3BF" w14:textId="77777777" w:rsidR="00B02873" w:rsidRPr="00B02873" w:rsidRDefault="00B02873" w:rsidP="00B415A9">
            <w:pPr>
              <w:pStyle w:val="NoParagraphStyle"/>
              <w:spacing w:line="240" w:lineRule="auto"/>
              <w:textAlignment w:val="auto"/>
              <w:rPr>
                <w:rFonts w:ascii="Apple Symbols Regular" w:hAnsi="Apple Symbols Regular" w:cs="Times New Roman"/>
                <w:color w:val="auto"/>
                <w:lang w:val="en-AU"/>
              </w:rPr>
            </w:pPr>
          </w:p>
        </w:tc>
      </w:tr>
      <w:tr w:rsidR="00B02873" w:rsidRPr="00B02873" w14:paraId="0CC5AFDE" w14:textId="77777777" w:rsidTr="00E71A15">
        <w:tc>
          <w:tcPr>
            <w:tcW w:w="2972" w:type="dxa"/>
          </w:tcPr>
          <w:p w14:paraId="08A23BFD" w14:textId="77777777" w:rsidR="00B02873" w:rsidRDefault="00B02873" w:rsidP="00B415A9">
            <w:pPr>
              <w:pStyle w:val="TablebodyleftTables"/>
            </w:pPr>
            <w:r>
              <w:t xml:space="preserve">Stakeholder satisfaction with climate change engagement events </w:t>
            </w:r>
          </w:p>
        </w:tc>
        <w:tc>
          <w:tcPr>
            <w:tcW w:w="1134" w:type="dxa"/>
          </w:tcPr>
          <w:p w14:paraId="52E3FDED" w14:textId="77777777" w:rsidR="00B02873" w:rsidRDefault="00B02873" w:rsidP="00E71A15">
            <w:pPr>
              <w:pStyle w:val="TablebodyleftTables"/>
            </w:pPr>
            <w:r>
              <w:t>per cent</w:t>
            </w:r>
          </w:p>
        </w:tc>
        <w:tc>
          <w:tcPr>
            <w:tcW w:w="1276" w:type="dxa"/>
          </w:tcPr>
          <w:p w14:paraId="0F913C9A" w14:textId="77777777" w:rsidR="00B02873" w:rsidRDefault="00B02873" w:rsidP="00E71A15">
            <w:pPr>
              <w:pStyle w:val="TablebodyleftTables"/>
            </w:pPr>
            <w:r>
              <w:t>95</w:t>
            </w:r>
          </w:p>
        </w:tc>
        <w:tc>
          <w:tcPr>
            <w:tcW w:w="1134" w:type="dxa"/>
          </w:tcPr>
          <w:p w14:paraId="51CE88B5" w14:textId="77777777" w:rsidR="00B02873" w:rsidRDefault="00B02873" w:rsidP="00E71A15">
            <w:pPr>
              <w:pStyle w:val="TablebodyleftTables"/>
            </w:pPr>
            <w:r>
              <w:t>75</w:t>
            </w:r>
          </w:p>
        </w:tc>
        <w:tc>
          <w:tcPr>
            <w:tcW w:w="1528" w:type="dxa"/>
          </w:tcPr>
          <w:p w14:paraId="7B5F5A66" w14:textId="77777777" w:rsidR="00B02873" w:rsidRDefault="00B02873" w:rsidP="00E71A15">
            <w:pPr>
              <w:pStyle w:val="TablebodyleftTables"/>
            </w:pPr>
            <w:r>
              <w:t>21%</w:t>
            </w:r>
          </w:p>
        </w:tc>
        <w:tc>
          <w:tcPr>
            <w:tcW w:w="1594" w:type="dxa"/>
          </w:tcPr>
          <w:p w14:paraId="141BE24F" w14:textId="56E3120E" w:rsidR="00B02873" w:rsidRDefault="00E71A15" w:rsidP="00E71A15">
            <w:pPr>
              <w:pStyle w:val="TablebodyleftTables"/>
            </w:pPr>
            <w:r w:rsidRPr="00E71A15">
              <w:t>Performance target achieved or exceeded.</w:t>
            </w:r>
          </w:p>
        </w:tc>
      </w:tr>
    </w:tbl>
    <w:p w14:paraId="6A1B5880" w14:textId="19333310" w:rsidR="008501BF" w:rsidRDefault="008501BF">
      <w:r>
        <w:t>Performance is above target as survey respondents reported satisfaction and relevance to their work, reflecting effort in tailoring events to stakeholder needs following release of the Climate Change Strategy.</w:t>
      </w:r>
    </w:p>
    <w:tbl>
      <w:tblPr>
        <w:tblStyle w:val="TableGrid"/>
        <w:tblW w:w="9638" w:type="dxa"/>
        <w:tblLayout w:type="fixed"/>
        <w:tblLook w:val="0020" w:firstRow="1" w:lastRow="0" w:firstColumn="0" w:lastColumn="0" w:noHBand="0" w:noVBand="0"/>
      </w:tblPr>
      <w:tblGrid>
        <w:gridCol w:w="2972"/>
        <w:gridCol w:w="1134"/>
        <w:gridCol w:w="1276"/>
        <w:gridCol w:w="1136"/>
        <w:gridCol w:w="1512"/>
        <w:gridCol w:w="1608"/>
      </w:tblGrid>
      <w:tr w:rsidR="001464E4" w:rsidRPr="00B02873" w14:paraId="3FFD4694" w14:textId="77777777" w:rsidTr="00E71A15">
        <w:trPr>
          <w:cnfStyle w:val="100000000000" w:firstRow="1" w:lastRow="0" w:firstColumn="0" w:lastColumn="0" w:oddVBand="0" w:evenVBand="0" w:oddHBand="0" w:evenHBand="0" w:firstRowFirstColumn="0" w:firstRowLastColumn="0" w:lastRowFirstColumn="0" w:lastRowLastColumn="0"/>
        </w:trPr>
        <w:tc>
          <w:tcPr>
            <w:tcW w:w="2972" w:type="dxa"/>
          </w:tcPr>
          <w:p w14:paraId="39F151A8" w14:textId="77777777" w:rsidR="008501BF" w:rsidRDefault="008501BF" w:rsidP="00FB364C">
            <w:pPr>
              <w:pStyle w:val="TableheadingleftTables"/>
            </w:pPr>
            <w:r>
              <w:t>Output performance measures</w:t>
            </w:r>
          </w:p>
        </w:tc>
        <w:tc>
          <w:tcPr>
            <w:tcW w:w="1134" w:type="dxa"/>
          </w:tcPr>
          <w:p w14:paraId="79D66182" w14:textId="77777777" w:rsidR="008501BF" w:rsidRDefault="008501BF" w:rsidP="00FB364C">
            <w:pPr>
              <w:pStyle w:val="TableheadingleftTables"/>
            </w:pPr>
            <w:r>
              <w:t>Unit of measure</w:t>
            </w:r>
          </w:p>
        </w:tc>
        <w:tc>
          <w:tcPr>
            <w:tcW w:w="1276" w:type="dxa"/>
          </w:tcPr>
          <w:p w14:paraId="3067C35F" w14:textId="77777777" w:rsidR="008501BF" w:rsidRDefault="008501BF" w:rsidP="00A63A42">
            <w:pPr>
              <w:pStyle w:val="TableheadingleftTables"/>
              <w:jc w:val="right"/>
            </w:pPr>
            <w:r>
              <w:t>2021-22 actual</w:t>
            </w:r>
          </w:p>
        </w:tc>
        <w:tc>
          <w:tcPr>
            <w:tcW w:w="1136" w:type="dxa"/>
          </w:tcPr>
          <w:p w14:paraId="17BED2D4" w14:textId="77777777" w:rsidR="008501BF" w:rsidRDefault="008501BF" w:rsidP="00A63A42">
            <w:pPr>
              <w:pStyle w:val="TableheadingleftTables"/>
              <w:jc w:val="right"/>
            </w:pPr>
            <w:r>
              <w:t>2021-22 target</w:t>
            </w:r>
          </w:p>
        </w:tc>
        <w:tc>
          <w:tcPr>
            <w:tcW w:w="1512" w:type="dxa"/>
          </w:tcPr>
          <w:p w14:paraId="0EAAD527" w14:textId="77777777" w:rsidR="008501BF" w:rsidRDefault="008501BF" w:rsidP="00A63A42">
            <w:pPr>
              <w:pStyle w:val="TableheadingleftTables"/>
              <w:jc w:val="right"/>
            </w:pPr>
            <w:r>
              <w:rPr>
                <w:spacing w:val="-2"/>
              </w:rPr>
              <w:t>Performance variation (%)</w:t>
            </w:r>
          </w:p>
        </w:tc>
        <w:tc>
          <w:tcPr>
            <w:tcW w:w="1608" w:type="dxa"/>
          </w:tcPr>
          <w:p w14:paraId="4ABFED3E" w14:textId="77777777" w:rsidR="008501BF" w:rsidRDefault="008501BF" w:rsidP="00FB364C">
            <w:pPr>
              <w:pStyle w:val="TableheadingleftTables"/>
            </w:pPr>
            <w:r>
              <w:t>Result</w:t>
            </w:r>
          </w:p>
        </w:tc>
      </w:tr>
      <w:tr w:rsidR="00B02873" w:rsidRPr="00B02873" w14:paraId="4AED6246" w14:textId="77777777" w:rsidTr="00E71A15">
        <w:tc>
          <w:tcPr>
            <w:tcW w:w="2972" w:type="dxa"/>
          </w:tcPr>
          <w:p w14:paraId="6DE4781C" w14:textId="77777777" w:rsidR="00B02873" w:rsidRDefault="00B02873" w:rsidP="00B415A9">
            <w:pPr>
              <w:pStyle w:val="TableheadingleftTables"/>
            </w:pPr>
            <w:r>
              <w:t>Timeliness</w:t>
            </w:r>
          </w:p>
        </w:tc>
        <w:tc>
          <w:tcPr>
            <w:tcW w:w="1134" w:type="dxa"/>
          </w:tcPr>
          <w:p w14:paraId="70E0AFFF" w14:textId="77777777" w:rsidR="00B02873" w:rsidRPr="00B02873" w:rsidRDefault="00B02873" w:rsidP="00B415A9">
            <w:pPr>
              <w:pStyle w:val="NoParagraphStyle"/>
              <w:spacing w:line="240" w:lineRule="auto"/>
              <w:textAlignment w:val="auto"/>
              <w:rPr>
                <w:rFonts w:ascii="Apple Symbols Regular" w:hAnsi="Apple Symbols Regular" w:cs="Times New Roman"/>
                <w:color w:val="auto"/>
                <w:lang w:val="en-AU"/>
              </w:rPr>
            </w:pPr>
          </w:p>
        </w:tc>
        <w:tc>
          <w:tcPr>
            <w:tcW w:w="1276" w:type="dxa"/>
          </w:tcPr>
          <w:p w14:paraId="76CCC424" w14:textId="77777777" w:rsidR="00B02873" w:rsidRPr="00B02873" w:rsidRDefault="00B02873" w:rsidP="00A63A42">
            <w:pPr>
              <w:pStyle w:val="NoParagraphStyle"/>
              <w:spacing w:line="240" w:lineRule="auto"/>
              <w:jc w:val="right"/>
              <w:textAlignment w:val="auto"/>
              <w:rPr>
                <w:rFonts w:ascii="Apple Symbols Regular" w:hAnsi="Apple Symbols Regular" w:cs="Times New Roman"/>
                <w:color w:val="auto"/>
                <w:lang w:val="en-AU"/>
              </w:rPr>
            </w:pPr>
          </w:p>
        </w:tc>
        <w:tc>
          <w:tcPr>
            <w:tcW w:w="1136" w:type="dxa"/>
          </w:tcPr>
          <w:p w14:paraId="288D98AF" w14:textId="77777777" w:rsidR="00B02873" w:rsidRPr="00B02873" w:rsidRDefault="00B02873" w:rsidP="00A63A42">
            <w:pPr>
              <w:pStyle w:val="NoParagraphStyle"/>
              <w:spacing w:line="240" w:lineRule="auto"/>
              <w:jc w:val="right"/>
              <w:textAlignment w:val="auto"/>
              <w:rPr>
                <w:rFonts w:ascii="Apple Symbols Regular" w:hAnsi="Apple Symbols Regular" w:cs="Times New Roman"/>
                <w:color w:val="auto"/>
                <w:lang w:val="en-AU"/>
              </w:rPr>
            </w:pPr>
          </w:p>
        </w:tc>
        <w:tc>
          <w:tcPr>
            <w:tcW w:w="1512" w:type="dxa"/>
          </w:tcPr>
          <w:p w14:paraId="5B2731F0" w14:textId="77777777" w:rsidR="00B02873" w:rsidRPr="00B02873" w:rsidRDefault="00B02873" w:rsidP="00A63A42">
            <w:pPr>
              <w:pStyle w:val="NoParagraphStyle"/>
              <w:spacing w:line="240" w:lineRule="auto"/>
              <w:jc w:val="right"/>
              <w:textAlignment w:val="auto"/>
              <w:rPr>
                <w:rFonts w:ascii="Apple Symbols Regular" w:hAnsi="Apple Symbols Regular" w:cs="Times New Roman"/>
                <w:color w:val="auto"/>
                <w:lang w:val="en-AU"/>
              </w:rPr>
            </w:pPr>
          </w:p>
        </w:tc>
        <w:tc>
          <w:tcPr>
            <w:tcW w:w="1608" w:type="dxa"/>
          </w:tcPr>
          <w:p w14:paraId="09B39F27" w14:textId="77777777" w:rsidR="00B02873" w:rsidRPr="00B02873" w:rsidRDefault="00B02873" w:rsidP="00B415A9">
            <w:pPr>
              <w:pStyle w:val="NoParagraphStyle"/>
              <w:spacing w:line="240" w:lineRule="auto"/>
              <w:textAlignment w:val="auto"/>
              <w:rPr>
                <w:rFonts w:ascii="Apple Symbols Regular" w:hAnsi="Apple Symbols Regular" w:cs="Times New Roman"/>
                <w:color w:val="auto"/>
                <w:lang w:val="en-AU"/>
              </w:rPr>
            </w:pPr>
          </w:p>
        </w:tc>
      </w:tr>
      <w:tr w:rsidR="00B02873" w:rsidRPr="00B02873" w14:paraId="4C3785DE" w14:textId="77777777" w:rsidTr="00E71A15">
        <w:tc>
          <w:tcPr>
            <w:tcW w:w="2972" w:type="dxa"/>
          </w:tcPr>
          <w:p w14:paraId="0FDFFFBC" w14:textId="77777777" w:rsidR="00B02873" w:rsidRDefault="00B02873" w:rsidP="00B415A9">
            <w:pPr>
              <w:pStyle w:val="TablebodyleftTables"/>
            </w:pPr>
            <w:r>
              <w:t>Delivery of agreed milestones for climate change policy, advice and research within agreed timeframes</w:t>
            </w:r>
          </w:p>
        </w:tc>
        <w:tc>
          <w:tcPr>
            <w:tcW w:w="1134" w:type="dxa"/>
          </w:tcPr>
          <w:p w14:paraId="1F627CC8" w14:textId="77777777" w:rsidR="00B02873" w:rsidRDefault="00B02873" w:rsidP="00E71A15">
            <w:pPr>
              <w:pStyle w:val="TablebodyleftTables"/>
            </w:pPr>
            <w:r>
              <w:t>per cent</w:t>
            </w:r>
          </w:p>
        </w:tc>
        <w:tc>
          <w:tcPr>
            <w:tcW w:w="1276" w:type="dxa"/>
          </w:tcPr>
          <w:p w14:paraId="2059C1F3" w14:textId="77777777" w:rsidR="00B02873" w:rsidRDefault="00B02873" w:rsidP="00A63A42">
            <w:pPr>
              <w:pStyle w:val="TablebodyleftTables"/>
              <w:jc w:val="right"/>
            </w:pPr>
            <w:r>
              <w:t>100</w:t>
            </w:r>
          </w:p>
        </w:tc>
        <w:tc>
          <w:tcPr>
            <w:tcW w:w="1136" w:type="dxa"/>
          </w:tcPr>
          <w:p w14:paraId="2E725115" w14:textId="77777777" w:rsidR="00B02873" w:rsidRDefault="00B02873" w:rsidP="00A63A42">
            <w:pPr>
              <w:pStyle w:val="TablebodyleftTables"/>
              <w:jc w:val="right"/>
            </w:pPr>
            <w:r>
              <w:t>80</w:t>
            </w:r>
          </w:p>
        </w:tc>
        <w:tc>
          <w:tcPr>
            <w:tcW w:w="1512" w:type="dxa"/>
          </w:tcPr>
          <w:p w14:paraId="729D693E" w14:textId="77777777" w:rsidR="00B02873" w:rsidRDefault="00B02873" w:rsidP="00A63A42">
            <w:pPr>
              <w:pStyle w:val="TablebodyleftTables"/>
              <w:jc w:val="right"/>
            </w:pPr>
            <w:r>
              <w:t>25%</w:t>
            </w:r>
          </w:p>
        </w:tc>
        <w:tc>
          <w:tcPr>
            <w:tcW w:w="1608" w:type="dxa"/>
          </w:tcPr>
          <w:p w14:paraId="1BDB6ED4" w14:textId="3BD3E752" w:rsidR="00B02873" w:rsidRDefault="00E71A15" w:rsidP="00E71A15">
            <w:pPr>
              <w:pStyle w:val="TablebodyleftTables"/>
            </w:pPr>
            <w:r w:rsidRPr="00E71A15">
              <w:t>Performance target achieved or exceeded.</w:t>
            </w:r>
          </w:p>
        </w:tc>
      </w:tr>
    </w:tbl>
    <w:p w14:paraId="72897A8C" w14:textId="29388277" w:rsidR="008501BF" w:rsidRDefault="008501BF">
      <w:r>
        <w:t>Performance is above target due to all agreed milestones being met, reflecting effort invested in timely delivery of policy, advice and research.</w:t>
      </w:r>
    </w:p>
    <w:tbl>
      <w:tblPr>
        <w:tblStyle w:val="TableGrid"/>
        <w:tblW w:w="9638" w:type="dxa"/>
        <w:tblLayout w:type="fixed"/>
        <w:tblLook w:val="0020" w:firstRow="1" w:lastRow="0" w:firstColumn="0" w:lastColumn="0" w:noHBand="0" w:noVBand="0"/>
      </w:tblPr>
      <w:tblGrid>
        <w:gridCol w:w="2972"/>
        <w:gridCol w:w="1134"/>
        <w:gridCol w:w="1276"/>
        <w:gridCol w:w="1134"/>
        <w:gridCol w:w="1514"/>
        <w:gridCol w:w="1608"/>
      </w:tblGrid>
      <w:tr w:rsidR="001464E4" w:rsidRPr="00B02873" w14:paraId="60EF71D2" w14:textId="77777777" w:rsidTr="00E71A15">
        <w:trPr>
          <w:cnfStyle w:val="100000000000" w:firstRow="1" w:lastRow="0" w:firstColumn="0" w:lastColumn="0" w:oddVBand="0" w:evenVBand="0" w:oddHBand="0" w:evenHBand="0" w:firstRowFirstColumn="0" w:firstRowLastColumn="0" w:lastRowFirstColumn="0" w:lastRowLastColumn="0"/>
        </w:trPr>
        <w:tc>
          <w:tcPr>
            <w:tcW w:w="2972" w:type="dxa"/>
          </w:tcPr>
          <w:p w14:paraId="4A39FB7B" w14:textId="77777777" w:rsidR="008501BF" w:rsidRDefault="008501BF" w:rsidP="00917D67">
            <w:pPr>
              <w:pStyle w:val="TableheadingleftTables"/>
            </w:pPr>
            <w:r>
              <w:lastRenderedPageBreak/>
              <w:t>Output performance measures</w:t>
            </w:r>
          </w:p>
        </w:tc>
        <w:tc>
          <w:tcPr>
            <w:tcW w:w="1134" w:type="dxa"/>
          </w:tcPr>
          <w:p w14:paraId="2D718A08" w14:textId="77777777" w:rsidR="008501BF" w:rsidRDefault="008501BF" w:rsidP="00917D67">
            <w:pPr>
              <w:pStyle w:val="TableheadingleftTables"/>
            </w:pPr>
            <w:r>
              <w:t>Unit of measure</w:t>
            </w:r>
          </w:p>
        </w:tc>
        <w:tc>
          <w:tcPr>
            <w:tcW w:w="1276" w:type="dxa"/>
          </w:tcPr>
          <w:p w14:paraId="77C92168" w14:textId="77777777" w:rsidR="008501BF" w:rsidRDefault="008501BF" w:rsidP="00A63A42">
            <w:pPr>
              <w:pStyle w:val="TableheadingleftTables"/>
              <w:jc w:val="right"/>
            </w:pPr>
            <w:r>
              <w:t>2021-22 actual</w:t>
            </w:r>
          </w:p>
        </w:tc>
        <w:tc>
          <w:tcPr>
            <w:tcW w:w="1134" w:type="dxa"/>
          </w:tcPr>
          <w:p w14:paraId="7A137E13" w14:textId="77777777" w:rsidR="008501BF" w:rsidRDefault="008501BF" w:rsidP="00A63A42">
            <w:pPr>
              <w:pStyle w:val="TableheadingleftTables"/>
              <w:jc w:val="right"/>
            </w:pPr>
            <w:r>
              <w:t>2021-22 target</w:t>
            </w:r>
          </w:p>
        </w:tc>
        <w:tc>
          <w:tcPr>
            <w:tcW w:w="1514" w:type="dxa"/>
          </w:tcPr>
          <w:p w14:paraId="58D8A34D" w14:textId="77777777" w:rsidR="008501BF" w:rsidRDefault="008501BF" w:rsidP="00A63A42">
            <w:pPr>
              <w:pStyle w:val="TableheadingleftTables"/>
              <w:jc w:val="right"/>
            </w:pPr>
            <w:r>
              <w:rPr>
                <w:spacing w:val="-2"/>
              </w:rPr>
              <w:t>Performance variation (%)</w:t>
            </w:r>
          </w:p>
        </w:tc>
        <w:tc>
          <w:tcPr>
            <w:tcW w:w="1608" w:type="dxa"/>
          </w:tcPr>
          <w:p w14:paraId="09FD9951" w14:textId="77777777" w:rsidR="008501BF" w:rsidRDefault="008501BF" w:rsidP="00917D67">
            <w:pPr>
              <w:pStyle w:val="TableheadingleftTables"/>
            </w:pPr>
            <w:r>
              <w:t>Result</w:t>
            </w:r>
          </w:p>
        </w:tc>
      </w:tr>
      <w:tr w:rsidR="00B02873" w:rsidRPr="00B02873" w14:paraId="1CDE964B" w14:textId="77777777" w:rsidTr="00E71A15">
        <w:tc>
          <w:tcPr>
            <w:tcW w:w="2972" w:type="dxa"/>
          </w:tcPr>
          <w:p w14:paraId="20709354" w14:textId="77777777" w:rsidR="00B02873" w:rsidRPr="001464E4" w:rsidRDefault="00B02873" w:rsidP="00B415A9">
            <w:pPr>
              <w:pStyle w:val="TablebodyleftTables"/>
              <w:rPr>
                <w:spacing w:val="-4"/>
              </w:rPr>
            </w:pPr>
            <w:r w:rsidRPr="001464E4">
              <w:rPr>
                <w:spacing w:val="-4"/>
              </w:rPr>
              <w:t>Completion of Annual Greenhouse Gas Emissions Report</w:t>
            </w:r>
          </w:p>
        </w:tc>
        <w:tc>
          <w:tcPr>
            <w:tcW w:w="1134" w:type="dxa"/>
          </w:tcPr>
          <w:p w14:paraId="19D0B0B2" w14:textId="77777777" w:rsidR="00B02873" w:rsidRDefault="00B02873" w:rsidP="00E71A15">
            <w:pPr>
              <w:pStyle w:val="TablebodyleftTables"/>
            </w:pPr>
            <w:r>
              <w:t>date</w:t>
            </w:r>
          </w:p>
        </w:tc>
        <w:tc>
          <w:tcPr>
            <w:tcW w:w="1276" w:type="dxa"/>
          </w:tcPr>
          <w:p w14:paraId="76175276" w14:textId="77777777" w:rsidR="00B02873" w:rsidRDefault="00B02873" w:rsidP="00A63A42">
            <w:pPr>
              <w:pStyle w:val="TablebodyleftTables"/>
              <w:jc w:val="right"/>
            </w:pPr>
            <w:r>
              <w:t>Oct 2021</w:t>
            </w:r>
          </w:p>
        </w:tc>
        <w:tc>
          <w:tcPr>
            <w:tcW w:w="1134" w:type="dxa"/>
          </w:tcPr>
          <w:p w14:paraId="77C362BD" w14:textId="77777777" w:rsidR="00B02873" w:rsidRDefault="00B02873" w:rsidP="00A63A42">
            <w:pPr>
              <w:pStyle w:val="TablebodyleftTables"/>
              <w:jc w:val="right"/>
            </w:pPr>
            <w:r>
              <w:t>Oct 2021</w:t>
            </w:r>
          </w:p>
        </w:tc>
        <w:tc>
          <w:tcPr>
            <w:tcW w:w="1514" w:type="dxa"/>
          </w:tcPr>
          <w:p w14:paraId="1DAFDFD4" w14:textId="77777777" w:rsidR="00B02873" w:rsidRDefault="00B02873" w:rsidP="00A63A42">
            <w:pPr>
              <w:pStyle w:val="TablebodyleftTables"/>
              <w:jc w:val="right"/>
            </w:pPr>
            <w:r>
              <w:t>0%</w:t>
            </w:r>
          </w:p>
        </w:tc>
        <w:tc>
          <w:tcPr>
            <w:tcW w:w="1608" w:type="dxa"/>
          </w:tcPr>
          <w:p w14:paraId="7F2A8288" w14:textId="594FB382" w:rsidR="00B02873" w:rsidRDefault="00E71A15" w:rsidP="00E71A15">
            <w:pPr>
              <w:pStyle w:val="TablebodyleftTables"/>
            </w:pPr>
            <w:r w:rsidRPr="00E71A15">
              <w:t>Performance target achieved or exceeded.</w:t>
            </w:r>
          </w:p>
        </w:tc>
      </w:tr>
      <w:tr w:rsidR="00B02873" w:rsidRPr="00B02873" w14:paraId="62DF1FA9" w14:textId="77777777" w:rsidTr="00E71A15">
        <w:tc>
          <w:tcPr>
            <w:tcW w:w="2972" w:type="dxa"/>
          </w:tcPr>
          <w:p w14:paraId="22386A87" w14:textId="77777777" w:rsidR="00B02873" w:rsidRDefault="00B02873" w:rsidP="00B415A9">
            <w:pPr>
              <w:pStyle w:val="TableheadingleftTables"/>
            </w:pPr>
            <w:r>
              <w:t>Cost</w:t>
            </w:r>
          </w:p>
        </w:tc>
        <w:tc>
          <w:tcPr>
            <w:tcW w:w="1134" w:type="dxa"/>
          </w:tcPr>
          <w:p w14:paraId="695B881E" w14:textId="77777777" w:rsidR="00B02873" w:rsidRPr="00B02873" w:rsidRDefault="00B02873" w:rsidP="00B415A9">
            <w:pPr>
              <w:pStyle w:val="NoParagraphStyle"/>
              <w:spacing w:line="240" w:lineRule="auto"/>
              <w:textAlignment w:val="auto"/>
              <w:rPr>
                <w:rFonts w:ascii="Apple Symbols Regular" w:hAnsi="Apple Symbols Regular" w:cs="Times New Roman"/>
                <w:color w:val="auto"/>
                <w:lang w:val="en-AU"/>
              </w:rPr>
            </w:pPr>
          </w:p>
        </w:tc>
        <w:tc>
          <w:tcPr>
            <w:tcW w:w="1276" w:type="dxa"/>
          </w:tcPr>
          <w:p w14:paraId="7781E73F" w14:textId="77777777" w:rsidR="00B02873" w:rsidRPr="00B02873" w:rsidRDefault="00B02873" w:rsidP="00A63A42">
            <w:pPr>
              <w:pStyle w:val="NoParagraphStyle"/>
              <w:spacing w:line="240" w:lineRule="auto"/>
              <w:jc w:val="right"/>
              <w:textAlignment w:val="auto"/>
              <w:rPr>
                <w:rFonts w:ascii="Apple Symbols Regular" w:hAnsi="Apple Symbols Regular" w:cs="Times New Roman"/>
                <w:color w:val="auto"/>
                <w:lang w:val="en-AU"/>
              </w:rPr>
            </w:pPr>
          </w:p>
        </w:tc>
        <w:tc>
          <w:tcPr>
            <w:tcW w:w="1134" w:type="dxa"/>
          </w:tcPr>
          <w:p w14:paraId="4D9161DC" w14:textId="77777777" w:rsidR="00B02873" w:rsidRPr="00B02873" w:rsidRDefault="00B02873" w:rsidP="00A63A42">
            <w:pPr>
              <w:pStyle w:val="NoParagraphStyle"/>
              <w:spacing w:line="240" w:lineRule="auto"/>
              <w:jc w:val="right"/>
              <w:textAlignment w:val="auto"/>
              <w:rPr>
                <w:rFonts w:ascii="Apple Symbols Regular" w:hAnsi="Apple Symbols Regular" w:cs="Times New Roman"/>
                <w:color w:val="auto"/>
                <w:lang w:val="en-AU"/>
              </w:rPr>
            </w:pPr>
          </w:p>
        </w:tc>
        <w:tc>
          <w:tcPr>
            <w:tcW w:w="1514" w:type="dxa"/>
          </w:tcPr>
          <w:p w14:paraId="5D640611" w14:textId="77777777" w:rsidR="00B02873" w:rsidRPr="00B02873" w:rsidRDefault="00B02873" w:rsidP="00A63A42">
            <w:pPr>
              <w:pStyle w:val="NoParagraphStyle"/>
              <w:spacing w:line="240" w:lineRule="auto"/>
              <w:jc w:val="right"/>
              <w:textAlignment w:val="auto"/>
              <w:rPr>
                <w:rFonts w:ascii="Apple Symbols Regular" w:hAnsi="Apple Symbols Regular" w:cs="Times New Roman"/>
                <w:color w:val="auto"/>
                <w:lang w:val="en-AU"/>
              </w:rPr>
            </w:pPr>
          </w:p>
        </w:tc>
        <w:tc>
          <w:tcPr>
            <w:tcW w:w="1608" w:type="dxa"/>
          </w:tcPr>
          <w:p w14:paraId="6149AF83" w14:textId="77777777" w:rsidR="00B02873" w:rsidRPr="00B02873" w:rsidRDefault="00B02873" w:rsidP="00B415A9">
            <w:pPr>
              <w:pStyle w:val="NoParagraphStyle"/>
              <w:spacing w:line="240" w:lineRule="auto"/>
              <w:textAlignment w:val="auto"/>
              <w:rPr>
                <w:rFonts w:ascii="Apple Symbols Regular" w:hAnsi="Apple Symbols Regular" w:cs="Times New Roman"/>
                <w:color w:val="auto"/>
                <w:lang w:val="en-AU"/>
              </w:rPr>
            </w:pPr>
          </w:p>
        </w:tc>
      </w:tr>
      <w:tr w:rsidR="00B02873" w:rsidRPr="00B02873" w14:paraId="10C5AAD2" w14:textId="77777777" w:rsidTr="00E71A15">
        <w:tc>
          <w:tcPr>
            <w:tcW w:w="2972" w:type="dxa"/>
          </w:tcPr>
          <w:p w14:paraId="24CE85E4" w14:textId="77777777" w:rsidR="00B02873" w:rsidRDefault="00B02873" w:rsidP="00B415A9">
            <w:pPr>
              <w:pStyle w:val="TablebodyleftTables"/>
            </w:pPr>
            <w:r>
              <w:rPr>
                <w:rStyle w:val="Bold"/>
              </w:rPr>
              <w:t>Total output cost</w:t>
            </w:r>
          </w:p>
        </w:tc>
        <w:tc>
          <w:tcPr>
            <w:tcW w:w="1134" w:type="dxa"/>
          </w:tcPr>
          <w:p w14:paraId="21F33A18" w14:textId="77777777" w:rsidR="00B02873" w:rsidRDefault="00B02873" w:rsidP="00E71A15">
            <w:pPr>
              <w:pStyle w:val="TablebodyleftTables"/>
            </w:pPr>
            <w:r>
              <w:t>$ million</w:t>
            </w:r>
          </w:p>
        </w:tc>
        <w:tc>
          <w:tcPr>
            <w:tcW w:w="1276" w:type="dxa"/>
          </w:tcPr>
          <w:p w14:paraId="0B088263" w14:textId="77777777" w:rsidR="00B02873" w:rsidRDefault="00B02873" w:rsidP="00A63A42">
            <w:pPr>
              <w:pStyle w:val="TablebodyleftTables"/>
              <w:jc w:val="right"/>
            </w:pPr>
            <w:r>
              <w:t>39.1</w:t>
            </w:r>
          </w:p>
        </w:tc>
        <w:tc>
          <w:tcPr>
            <w:tcW w:w="1134" w:type="dxa"/>
          </w:tcPr>
          <w:p w14:paraId="607ED75F" w14:textId="77777777" w:rsidR="00B02873" w:rsidRDefault="00B02873" w:rsidP="00A63A42">
            <w:pPr>
              <w:pStyle w:val="TablebodyleftTables"/>
              <w:jc w:val="right"/>
            </w:pPr>
            <w:r>
              <w:t>32.9</w:t>
            </w:r>
          </w:p>
        </w:tc>
        <w:tc>
          <w:tcPr>
            <w:tcW w:w="1514" w:type="dxa"/>
          </w:tcPr>
          <w:p w14:paraId="7D193552" w14:textId="77777777" w:rsidR="00B02873" w:rsidRDefault="00B02873" w:rsidP="00A63A42">
            <w:pPr>
              <w:pStyle w:val="TablebodyleftTables"/>
              <w:jc w:val="right"/>
            </w:pPr>
            <w:r>
              <w:t>19%</w:t>
            </w:r>
          </w:p>
        </w:tc>
        <w:tc>
          <w:tcPr>
            <w:tcW w:w="1608" w:type="dxa"/>
          </w:tcPr>
          <w:p w14:paraId="4B1F7483" w14:textId="5871DDC7" w:rsidR="00B02873" w:rsidRDefault="00E71A15" w:rsidP="00E71A15">
            <w:pPr>
              <w:pStyle w:val="TablebodyleftTables"/>
            </w:pPr>
            <w:r w:rsidRPr="00E71A15">
              <w:t>Performance target not achieved – exceeds 5 per cent variance.</w:t>
            </w:r>
          </w:p>
        </w:tc>
      </w:tr>
    </w:tbl>
    <w:p w14:paraId="5CEE645F" w14:textId="052D22E6" w:rsidR="008501BF" w:rsidRDefault="008501BF">
      <w:r>
        <w:t>The higher than budgeted output cost is primarily due to a change in the funding profile for the Taking Decisive Action on Climate Change and Protecting Port Phillip Bay and its Beaches initiatives.</w:t>
      </w:r>
    </w:p>
    <w:p w14:paraId="6A01E5A6" w14:textId="3917AB2E" w:rsidR="00B02873" w:rsidRDefault="00B02873" w:rsidP="00E71A15">
      <w:pPr>
        <w:pStyle w:val="Heading2"/>
      </w:pPr>
      <w:bookmarkStart w:id="12" w:name="_Toc117447353"/>
      <w:r>
        <w:t>Healthy, resilient and biodiverse environment</w:t>
      </w:r>
      <w:bookmarkEnd w:id="12"/>
      <w:r>
        <w:t xml:space="preserve"> </w:t>
      </w:r>
    </w:p>
    <w:p w14:paraId="5C0ED42F" w14:textId="1258B075" w:rsidR="00E71A15" w:rsidRDefault="00E77641" w:rsidP="008316E9">
      <w:pPr>
        <w:pStyle w:val="Number1Lists"/>
        <w:numPr>
          <w:ilvl w:val="0"/>
          <w:numId w:val="4"/>
        </w:numPr>
      </w:pPr>
      <w:r>
        <w:t>Life on land</w:t>
      </w:r>
    </w:p>
    <w:p w14:paraId="6F7644A1" w14:textId="4A9D8C80" w:rsidR="00E77641" w:rsidRDefault="00E77641" w:rsidP="008316E9">
      <w:pPr>
        <w:pStyle w:val="Number1Lists"/>
        <w:numPr>
          <w:ilvl w:val="0"/>
          <w:numId w:val="4"/>
        </w:numPr>
      </w:pPr>
      <w:r>
        <w:t>Sustainable cities and communities</w:t>
      </w:r>
    </w:p>
    <w:p w14:paraId="1923F017" w14:textId="03D1AD9C" w:rsidR="00E77641" w:rsidRDefault="00E77641" w:rsidP="008316E9">
      <w:pPr>
        <w:pStyle w:val="Number1Lists"/>
        <w:numPr>
          <w:ilvl w:val="0"/>
          <w:numId w:val="4"/>
        </w:numPr>
      </w:pPr>
      <w:r>
        <w:t>Responsible consumption and production</w:t>
      </w:r>
    </w:p>
    <w:p w14:paraId="1DFDDA45" w14:textId="57C64B4B" w:rsidR="00E77641" w:rsidRPr="00E71A15" w:rsidRDefault="00E77641" w:rsidP="008316E9">
      <w:pPr>
        <w:pStyle w:val="Number1Lists"/>
        <w:numPr>
          <w:ilvl w:val="0"/>
          <w:numId w:val="4"/>
        </w:numPr>
      </w:pPr>
      <w:r>
        <w:t>Climate action</w:t>
      </w:r>
    </w:p>
    <w:p w14:paraId="3556C13B" w14:textId="77777777" w:rsidR="00E71A15" w:rsidRDefault="00B02873" w:rsidP="00E71A15">
      <w:pPr>
        <w:pStyle w:val="Heading3"/>
      </w:pPr>
      <w:r>
        <w:t>Progress towards achieving this objective</w:t>
      </w:r>
    </w:p>
    <w:p w14:paraId="65D3F209" w14:textId="16EA6454" w:rsidR="00B02873" w:rsidRDefault="00B02873" w:rsidP="00E71A15">
      <w:pPr>
        <w:pStyle w:val="Heading4"/>
      </w:pPr>
      <w:r>
        <w:t>Context</w:t>
      </w:r>
    </w:p>
    <w:p w14:paraId="0EF93038" w14:textId="77777777" w:rsidR="00B02873" w:rsidRDefault="00B02873" w:rsidP="00FE198A">
      <w:r>
        <w:t xml:space="preserve">DELWP works with portfolio partners and external stakeholders to develop effective, evidence-based policies, programs, regulatory responses and compliance activities for improved outcomes across a range of areas. These include environment protection, waste and resource recovery, ecosystem resilience, native vegetation management, wildlife, threatened species and land management practices. </w:t>
      </w:r>
    </w:p>
    <w:p w14:paraId="08BB8BDF" w14:textId="77777777" w:rsidR="00B02873" w:rsidRDefault="00B02873" w:rsidP="00FE198A">
      <w:r>
        <w:t xml:space="preserve">The inclusion of, and strong relationships with Traditional Owners and Aboriginal Victorians, as described in </w:t>
      </w:r>
      <w:r w:rsidRPr="00E71A15">
        <w:rPr>
          <w:rStyle w:val="LightItalic"/>
          <w:rFonts w:asciiTheme="minorHAnsi" w:hAnsiTheme="minorHAnsi" w:cstheme="minorHAnsi"/>
        </w:rPr>
        <w:t>Pupangarli Marnmarnepu ‘Owning Our Future’ Aboriginal Self-Determination Reform Strategy 2020-2025</w:t>
      </w:r>
      <w:r>
        <w:t xml:space="preserve"> is crucial to delivering these outcomes. </w:t>
      </w:r>
    </w:p>
    <w:tbl>
      <w:tblPr>
        <w:tblStyle w:val="TableGrid"/>
        <w:tblW w:w="0" w:type="auto"/>
        <w:tblLayout w:type="fixed"/>
        <w:tblLook w:val="0020" w:firstRow="1" w:lastRow="0" w:firstColumn="0" w:lastColumn="0" w:noHBand="0" w:noVBand="0"/>
      </w:tblPr>
      <w:tblGrid>
        <w:gridCol w:w="2268"/>
        <w:gridCol w:w="7360"/>
      </w:tblGrid>
      <w:tr w:rsidR="00B02873" w:rsidRPr="00B02873" w14:paraId="0021DDA8" w14:textId="77777777" w:rsidTr="00E77641">
        <w:trPr>
          <w:cnfStyle w:val="100000000000" w:firstRow="1" w:lastRow="0" w:firstColumn="0" w:lastColumn="0" w:oddVBand="0" w:evenVBand="0" w:oddHBand="0" w:evenHBand="0" w:firstRowFirstColumn="0" w:firstRowLastColumn="0" w:lastRowFirstColumn="0" w:lastRowLastColumn="0"/>
          <w:tblHeader/>
        </w:trPr>
        <w:tc>
          <w:tcPr>
            <w:tcW w:w="2268" w:type="dxa"/>
          </w:tcPr>
          <w:p w14:paraId="1DF18DFB" w14:textId="77777777" w:rsidR="00B02873" w:rsidRDefault="00B02873" w:rsidP="00E77641">
            <w:pPr>
              <w:pStyle w:val="TableheadingleftTables"/>
            </w:pPr>
            <w:r>
              <w:lastRenderedPageBreak/>
              <w:t xml:space="preserve">Key initiative </w:t>
            </w:r>
          </w:p>
        </w:tc>
        <w:tc>
          <w:tcPr>
            <w:tcW w:w="7360" w:type="dxa"/>
          </w:tcPr>
          <w:p w14:paraId="56E090DA" w14:textId="77777777" w:rsidR="00B02873" w:rsidRDefault="00B02873" w:rsidP="00E77641">
            <w:pPr>
              <w:pStyle w:val="TableheadingleftTables"/>
            </w:pPr>
            <w:r>
              <w:t xml:space="preserve">2021-22 progress summary </w:t>
            </w:r>
          </w:p>
        </w:tc>
      </w:tr>
      <w:tr w:rsidR="00B02873" w:rsidRPr="00B02873" w14:paraId="2F90AA8D" w14:textId="77777777" w:rsidTr="00E77641">
        <w:tc>
          <w:tcPr>
            <w:tcW w:w="2268" w:type="dxa"/>
          </w:tcPr>
          <w:p w14:paraId="2E411D12" w14:textId="71002B64" w:rsidR="00B02873" w:rsidRDefault="00B02873" w:rsidP="00B415A9">
            <w:pPr>
              <w:pStyle w:val="TablebodyleftTables"/>
            </w:pPr>
            <w:r>
              <w:t xml:space="preserve">Delivery of programs under the circular economy policy, </w:t>
            </w:r>
            <w:r w:rsidRPr="00E77641">
              <w:rPr>
                <w:rStyle w:val="LightItalic"/>
                <w:rFonts w:ascii="Arial" w:hAnsi="Arial" w:cs="Arial"/>
              </w:rPr>
              <w:t>Recycling Victoria: a new economy</w:t>
            </w:r>
          </w:p>
        </w:tc>
        <w:tc>
          <w:tcPr>
            <w:tcW w:w="7360" w:type="dxa"/>
          </w:tcPr>
          <w:p w14:paraId="1305075F" w14:textId="77777777" w:rsidR="00B02873" w:rsidRDefault="00B02873" w:rsidP="00B415A9">
            <w:pPr>
              <w:pStyle w:val="TablebodyleftTables"/>
            </w:pPr>
            <w:r>
              <w:t>The Circular Economy (Waste Reduction and Recycling) Bill 2021 was introduced into Parliament in October 2021 and received royal assent on 14 December 2021.</w:t>
            </w:r>
          </w:p>
          <w:p w14:paraId="42F8827B" w14:textId="77777777" w:rsidR="00B02873" w:rsidRDefault="00B02873" w:rsidP="00B415A9">
            <w:pPr>
              <w:pStyle w:val="TablebodyleftTables"/>
            </w:pPr>
            <w:r>
              <w:t>The Victorian Waste to Energy Framework was approved and released on 1 November 2021.</w:t>
            </w:r>
          </w:p>
          <w:p w14:paraId="52B280A6" w14:textId="2E8D7CA9" w:rsidR="00B02873" w:rsidRDefault="00B02873" w:rsidP="00B415A9">
            <w:pPr>
              <w:pStyle w:val="TablebodyleftTables"/>
            </w:pPr>
            <w:r>
              <w:t xml:space="preserve">The Victorian public service phased out single-use plastic drinking straws, cutlery, plates, drink-stirrers, expanded polystyrene food and drink containers, and cotton bud sticks on 1 February 2022. </w:t>
            </w:r>
          </w:p>
          <w:p w14:paraId="24FE4396" w14:textId="77777777" w:rsidR="00B02873" w:rsidRDefault="00B02873" w:rsidP="00B415A9">
            <w:pPr>
              <w:pStyle w:val="TablebodyleftTables"/>
            </w:pPr>
            <w:r>
              <w:t xml:space="preserve">Consultation on the regulations to enact a statewide ban of these single-use plastic items was undertaken in April and May 2022, with over 50 submissions and 1,600 responses received. This feedback is being considered as the regulations are finalised, ahead of the statewide ban commencing 1 February 2023. </w:t>
            </w:r>
          </w:p>
          <w:p w14:paraId="49739ED1" w14:textId="77777777" w:rsidR="00B02873" w:rsidRDefault="00B02873" w:rsidP="00B415A9">
            <w:pPr>
              <w:pStyle w:val="TablebodyleftTables"/>
            </w:pPr>
            <w:r>
              <w:t xml:space="preserve">Consultation on draft standard lists for the new four-stream waste and recycling system was held from November 2021 to January 2022. DELWP received 1,039 responses, comprised of 944 community responses and 95 industry and council responses. The updated lists will be available as part of the Regulatory Impact Statement. </w:t>
            </w:r>
          </w:p>
          <w:p w14:paraId="73A0A325" w14:textId="77777777" w:rsidR="00B02873" w:rsidRDefault="00B02873" w:rsidP="00B415A9">
            <w:pPr>
              <w:pStyle w:val="TablebodyleftTables"/>
            </w:pPr>
            <w:r>
              <w:t xml:space="preserve">The Container Deposit Scheme (CDS) Request for Tender for coordinator and network operator roles was released in April 2022. Draft regulations and the Regulatory Impact Statement covering CDS scheme details were released for public consultation in May 2022. The Container Deposit Scheme is expected to commence in 2023. </w:t>
            </w:r>
          </w:p>
          <w:p w14:paraId="749FBFDE" w14:textId="77777777" w:rsidR="00B02873" w:rsidRDefault="00B02873" w:rsidP="00B415A9">
            <w:pPr>
              <w:pStyle w:val="TablebodyleftTables"/>
            </w:pPr>
            <w:r>
              <w:t>Recycling Victoria was established on 1 July 2022. Over 2021-22, DELWP prepared for the commencement of Recycling Victoria through overseeing the dissolution of all waste and resource recovery groups, the transfer of their staff, assets and resources to DELWP, alongside data and intelligence functions from Sustainability Victoria. Recycling Victoria is critical to establishing a thriving circular economy in Victoria. It will oversee and provide strategic leadership for the state’s waste and recycling sector.</w:t>
            </w:r>
          </w:p>
        </w:tc>
      </w:tr>
      <w:tr w:rsidR="00B02873" w:rsidRPr="00B02873" w14:paraId="2F85F752" w14:textId="77777777" w:rsidTr="00E77641">
        <w:tc>
          <w:tcPr>
            <w:tcW w:w="2268" w:type="dxa"/>
          </w:tcPr>
          <w:p w14:paraId="5BEBA349" w14:textId="2B52A536" w:rsidR="00B02873" w:rsidRDefault="00B02873" w:rsidP="00B415A9">
            <w:pPr>
              <w:pStyle w:val="TablebodyleftTables"/>
            </w:pPr>
            <w:r>
              <w:lastRenderedPageBreak/>
              <w:t>Embedding of the new environment protection framework following commencement of the reformed Environment Protection Act</w:t>
            </w:r>
            <w:r w:rsidR="00012C04">
              <w:t xml:space="preserve"> </w:t>
            </w:r>
          </w:p>
        </w:tc>
        <w:tc>
          <w:tcPr>
            <w:tcW w:w="7360" w:type="dxa"/>
          </w:tcPr>
          <w:p w14:paraId="79E40CF8" w14:textId="77777777" w:rsidR="00B02873" w:rsidRDefault="00B02873" w:rsidP="00B415A9">
            <w:pPr>
              <w:pStyle w:val="TablebodyleftTables"/>
            </w:pPr>
            <w:r>
              <w:t xml:space="preserve">Following the commencement of the reformed Environment Protection Act </w:t>
            </w:r>
            <w:r>
              <w:br/>
              <w:t>on 1 July 2021, amendments were progressed to:</w:t>
            </w:r>
          </w:p>
          <w:p w14:paraId="3CD2840C" w14:textId="77777777" w:rsidR="00B02873" w:rsidRDefault="00B02873" w:rsidP="00DA5967">
            <w:pPr>
              <w:pStyle w:val="TableBulletleftTables"/>
            </w:pPr>
            <w:r>
              <w:t>clarify the operation of permissions granted under the previous Act and transitioned to the new Act</w:t>
            </w:r>
          </w:p>
          <w:p w14:paraId="7320A73C" w14:textId="77777777" w:rsidR="00B02873" w:rsidRDefault="00B02873" w:rsidP="00DA5967">
            <w:pPr>
              <w:pStyle w:val="TableBulletleftTables"/>
            </w:pPr>
            <w:r>
              <w:t xml:space="preserve">enable councils to appoint contractors as authorised officers to undertake their delegated functions, in line with the other legislation such as the </w:t>
            </w:r>
            <w:r w:rsidRPr="00DA5967">
              <w:rPr>
                <w:rStyle w:val="LightItalic"/>
                <w:rFonts w:asciiTheme="minorHAnsi" w:hAnsiTheme="minorHAnsi" w:cstheme="minorHAnsi"/>
              </w:rPr>
              <w:t>Local Government Act 1989</w:t>
            </w:r>
          </w:p>
          <w:p w14:paraId="46BC91B2" w14:textId="1FD60370" w:rsidR="00B02873" w:rsidRDefault="00B02873" w:rsidP="00DA5967">
            <w:pPr>
              <w:pStyle w:val="TableBulletleftTables"/>
            </w:pPr>
            <w:r>
              <w:t>improve the processes of the Environment Protection Authority (EPA) and councils and clarify their powers and functions under the Act to enhance the effectiveness of their role as regulator</w:t>
            </w:r>
          </w:p>
          <w:p w14:paraId="4B2E3EE4" w14:textId="77777777" w:rsidR="00B02873" w:rsidRDefault="00B02873" w:rsidP="00DA5967">
            <w:pPr>
              <w:pStyle w:val="TableBulletleftTables"/>
            </w:pPr>
            <w:r>
              <w:t xml:space="preserve">protect the state’s ability to recoup site clean-up costs. </w:t>
            </w:r>
          </w:p>
          <w:p w14:paraId="482F99E1" w14:textId="24A66DFB" w:rsidR="00B02873" w:rsidRDefault="00B02873" w:rsidP="00B415A9">
            <w:pPr>
              <w:pStyle w:val="TablebodyleftTables"/>
            </w:pPr>
            <w:r>
              <w:t xml:space="preserve">From 1 July 2021, contaminated land duties address risk of harm from contamination of land and groundwater. They work alongside the general environmental duty. To support Victorian landowners to comply with their new contaminated land duties, EPA developed and released two proposed draft guidelines for feedback during January and February 2022. </w:t>
            </w:r>
          </w:p>
          <w:p w14:paraId="652F198A" w14:textId="77777777" w:rsidR="00B02873" w:rsidRDefault="00B02873" w:rsidP="00B415A9">
            <w:pPr>
              <w:pStyle w:val="TablebodyleftTables"/>
            </w:pPr>
            <w:r>
              <w:t>Public consultation commenced with a webinar on 7 June 2022 to hear from planners, consultants, developers and other relevant stakeholders on how the new planning framework for contaminated land is working. Consultation continued through June and July 2022 with workshops and submissions, with a report back to participants planned for August-September 2022. The consultation will help identify issues or gaps in the framework and prioritise further activities to improve the framework.</w:t>
            </w:r>
          </w:p>
          <w:p w14:paraId="5AF3A3F0" w14:textId="5314DBD3" w:rsidR="00B02873" w:rsidRDefault="00B02873" w:rsidP="00B415A9">
            <w:pPr>
              <w:pStyle w:val="TablebodyleftTables"/>
            </w:pPr>
            <w:r>
              <w:t xml:space="preserve">DELWP delivered a webinar training session on new land-use planning requirements in January 2022 to Major Road Projects Victoria and the Major Transport Infrastructure Authority. </w:t>
            </w:r>
          </w:p>
          <w:p w14:paraId="4FE5221A" w14:textId="77777777" w:rsidR="00B02873" w:rsidRDefault="00B02873" w:rsidP="00B415A9">
            <w:pPr>
              <w:pStyle w:val="TablebodyleftTables"/>
            </w:pPr>
            <w:r>
              <w:t xml:space="preserve">Waste tyres present a risk of abandonment and significant fire risk if improperly stored. Focusing on the use and storage of waste tyres on farms, DELWP initiated work aimed at improving compliance with the general environmental duty and with the lawful place and permission requirements of the </w:t>
            </w:r>
            <w:r w:rsidRPr="00DA5967">
              <w:rPr>
                <w:rStyle w:val="LightItalic"/>
                <w:rFonts w:asciiTheme="minorHAnsi" w:hAnsiTheme="minorHAnsi" w:cstheme="minorHAnsi"/>
              </w:rPr>
              <w:t>Environment Protection Act 2017</w:t>
            </w:r>
            <w:r w:rsidRPr="00DA5967">
              <w:rPr>
                <w:rFonts w:asciiTheme="minorHAnsi" w:hAnsiTheme="minorHAnsi" w:cstheme="minorHAnsi"/>
              </w:rPr>
              <w:t xml:space="preserve"> </w:t>
            </w:r>
            <w:r>
              <w:t xml:space="preserve">and the </w:t>
            </w:r>
            <w:r w:rsidRPr="00DA5967">
              <w:rPr>
                <w:rStyle w:val="LightItalic"/>
                <w:rFonts w:asciiTheme="minorHAnsi" w:hAnsiTheme="minorHAnsi" w:cstheme="minorHAnsi"/>
              </w:rPr>
              <w:t>Environment Protection Regulations 2021</w:t>
            </w:r>
            <w:r w:rsidRPr="00DA5967">
              <w:rPr>
                <w:rFonts w:asciiTheme="minorHAnsi" w:hAnsiTheme="minorHAnsi" w:cstheme="minorHAnsi"/>
              </w:rPr>
              <w:t>.</w:t>
            </w:r>
            <w:r>
              <w:t xml:space="preserve"> Public consultation was undertaken on the proposed Environment Protection Amendment (Waste tyres – silage production) Regulations 2022 and a regulatory impact statement for these amendments between 26 May and 27 June 2022. These amendments would allow farmers to store waste tyres for silage production under a new registration (a permission category under the new environment protection framework) with conditions. </w:t>
            </w:r>
          </w:p>
          <w:p w14:paraId="245A1936" w14:textId="77777777" w:rsidR="00B02873" w:rsidRDefault="00B02873" w:rsidP="00B415A9">
            <w:pPr>
              <w:pStyle w:val="TablebodyleftTables"/>
            </w:pPr>
            <w:r>
              <w:t xml:space="preserve">DELWP supported EPA to develop draft guidance for businesses on managing greenhouse gas emissions under the general environmental duty in the </w:t>
            </w:r>
            <w:r w:rsidRPr="00DA5967">
              <w:rPr>
                <w:rStyle w:val="LightItalic"/>
                <w:rFonts w:asciiTheme="minorHAnsi" w:hAnsiTheme="minorHAnsi" w:cstheme="minorHAnsi"/>
              </w:rPr>
              <w:t>Environment Protection Act 2017</w:t>
            </w:r>
            <w:r w:rsidRPr="00DA5967">
              <w:rPr>
                <w:rFonts w:asciiTheme="minorHAnsi" w:hAnsiTheme="minorHAnsi" w:cstheme="minorHAnsi"/>
              </w:rPr>
              <w:t>.</w:t>
            </w:r>
            <w:r>
              <w:t xml:space="preserve"> Public consultation was undertaken and closed on 22 February 2022. Public feedback is being considered in the finalisation of the guidance. </w:t>
            </w:r>
          </w:p>
        </w:tc>
      </w:tr>
      <w:tr w:rsidR="00B02873" w:rsidRPr="00B02873" w14:paraId="1F8EB6AF" w14:textId="77777777" w:rsidTr="00E77641">
        <w:tc>
          <w:tcPr>
            <w:tcW w:w="2268" w:type="dxa"/>
          </w:tcPr>
          <w:p w14:paraId="416DE24D" w14:textId="30A1AF43" w:rsidR="00B02873" w:rsidRDefault="00B02873" w:rsidP="00B415A9">
            <w:pPr>
              <w:pStyle w:val="TablebodyleftTables"/>
            </w:pPr>
            <w:r>
              <w:lastRenderedPageBreak/>
              <w:t>Officers for the Protection of the Local Environment pilot program</w:t>
            </w:r>
            <w:r w:rsidR="00012C04">
              <w:t xml:space="preserve"> </w:t>
            </w:r>
          </w:p>
        </w:tc>
        <w:tc>
          <w:tcPr>
            <w:tcW w:w="7360" w:type="dxa"/>
          </w:tcPr>
          <w:p w14:paraId="2F8F71D3" w14:textId="3C0F32E5" w:rsidR="00B02873" w:rsidRDefault="00B02873" w:rsidP="00B415A9">
            <w:pPr>
              <w:pStyle w:val="TablebodyleftTables"/>
            </w:pPr>
            <w:r>
              <w:t>EPA’s Officers for the Protection of Local Environment (OPLE) pilot program covers 23 councils, embedding 22 EPA authorised officers within Victorian communities to combat compliance issues impacting local amenity.</w:t>
            </w:r>
          </w:p>
          <w:p w14:paraId="2D0E7AEE" w14:textId="77777777" w:rsidR="00B02873" w:rsidRDefault="00B02873" w:rsidP="00B415A9">
            <w:pPr>
              <w:pStyle w:val="TablebodyleftTables"/>
            </w:pPr>
            <w:r>
              <w:t>The OPLE program has been redesigned, with extensive engagement with local governments across Victoria, to incorporate OPLE access to all 79 councils.</w:t>
            </w:r>
          </w:p>
        </w:tc>
      </w:tr>
      <w:tr w:rsidR="00B02873" w:rsidRPr="00B02873" w14:paraId="1CB0C496" w14:textId="77777777" w:rsidTr="00E77641">
        <w:tc>
          <w:tcPr>
            <w:tcW w:w="2268" w:type="dxa"/>
          </w:tcPr>
          <w:p w14:paraId="41031038" w14:textId="75D7F796" w:rsidR="00B02873" w:rsidRDefault="00B02873" w:rsidP="00B415A9">
            <w:pPr>
              <w:pStyle w:val="TablebodyleftTables"/>
            </w:pPr>
            <w:r>
              <w:t>Facilitating Innovative Contaminated Land Remediation and Spoil Management program</w:t>
            </w:r>
            <w:r w:rsidR="00012C04">
              <w:t xml:space="preserve"> </w:t>
            </w:r>
          </w:p>
        </w:tc>
        <w:tc>
          <w:tcPr>
            <w:tcW w:w="7360" w:type="dxa"/>
          </w:tcPr>
          <w:p w14:paraId="2D921A79" w14:textId="77777777" w:rsidR="00B02873" w:rsidRDefault="00B02873" w:rsidP="00B415A9">
            <w:pPr>
              <w:pStyle w:val="TablebodyleftTables"/>
            </w:pPr>
            <w:r>
              <w:t>In 2021-22, the Facilitating Innovative Contaminated Land Remediation and Spoil Management program delivered:</w:t>
            </w:r>
          </w:p>
          <w:p w14:paraId="590E5D89" w14:textId="77777777" w:rsidR="00B02873" w:rsidRDefault="00B02873" w:rsidP="00DA5967">
            <w:pPr>
              <w:pStyle w:val="TableBulletleftTables"/>
            </w:pPr>
            <w:r>
              <w:t xml:space="preserve">a digital land contamination notification system to support the receipt, assessment, and management of notifications to enable efficient and timely land contamination duties compliance under the </w:t>
            </w:r>
            <w:r w:rsidRPr="00DA5967">
              <w:rPr>
                <w:rStyle w:val="LightItalic"/>
                <w:rFonts w:asciiTheme="minorHAnsi" w:hAnsiTheme="minorHAnsi" w:cstheme="minorHAnsi"/>
              </w:rPr>
              <w:t>Environment Protection Act 2017.</w:t>
            </w:r>
          </w:p>
          <w:p w14:paraId="172738D9" w14:textId="77777777" w:rsidR="00B02873" w:rsidRDefault="00B02873" w:rsidP="00DA5967">
            <w:pPr>
              <w:pStyle w:val="TableBulletleftTables"/>
            </w:pPr>
            <w:r>
              <w:t>dedicated resources to help determine disposal or reuse pathways for soils and spoils and develop additional guidance on risk-based contamination audits.</w:t>
            </w:r>
          </w:p>
          <w:p w14:paraId="56BC9BC5" w14:textId="77777777" w:rsidR="00B02873" w:rsidRDefault="00B02873" w:rsidP="00DA5967">
            <w:pPr>
              <w:pStyle w:val="TableBulletleftTables"/>
            </w:pPr>
            <w:r>
              <w:t>research on existing and potential future technology options for the safe treatment and remediation of PFAS-contaminated soil in Victoria.</w:t>
            </w:r>
          </w:p>
        </w:tc>
      </w:tr>
      <w:tr w:rsidR="00B02873" w:rsidRPr="00B02873" w14:paraId="5DD69FA6" w14:textId="77777777" w:rsidTr="00E77641">
        <w:tc>
          <w:tcPr>
            <w:tcW w:w="2268" w:type="dxa"/>
          </w:tcPr>
          <w:p w14:paraId="4472772C" w14:textId="7CE775D6" w:rsidR="00B02873" w:rsidRDefault="00B02873" w:rsidP="00B415A9">
            <w:pPr>
              <w:pStyle w:val="TablebodyleftTables"/>
            </w:pPr>
            <w:r>
              <w:t>Redevelopment of the Port Phillip EcoCentre</w:t>
            </w:r>
            <w:r w:rsidR="00012C04">
              <w:t xml:space="preserve"> </w:t>
            </w:r>
          </w:p>
        </w:tc>
        <w:tc>
          <w:tcPr>
            <w:tcW w:w="7360" w:type="dxa"/>
          </w:tcPr>
          <w:p w14:paraId="7652B42A" w14:textId="77777777" w:rsidR="00B02873" w:rsidRDefault="00B02873" w:rsidP="00B415A9">
            <w:pPr>
              <w:pStyle w:val="TablebodyleftTables"/>
            </w:pPr>
            <w:r>
              <w:t>Building design works for the new Port Phillip EcoCentre in St Kilda were completed in June 2022 to deliver an updated, functional and sustainable building that meets compliance requirements. Tenders for construction were released in June 2022 with contract award anticipated in September 2022.</w:t>
            </w:r>
          </w:p>
        </w:tc>
      </w:tr>
      <w:tr w:rsidR="00B02873" w:rsidRPr="00B02873" w14:paraId="52CEBE1F" w14:textId="77777777" w:rsidTr="00E77641">
        <w:tc>
          <w:tcPr>
            <w:tcW w:w="2268" w:type="dxa"/>
          </w:tcPr>
          <w:p w14:paraId="0DB78ED5" w14:textId="77777777" w:rsidR="00B02873" w:rsidRDefault="00B02873" w:rsidP="00B415A9">
            <w:pPr>
              <w:pStyle w:val="TablebodyleftTables"/>
            </w:pPr>
            <w:r>
              <w:t xml:space="preserve">Port Phillip Bay Environmental Management Plan 2017-2027 </w:t>
            </w:r>
          </w:p>
        </w:tc>
        <w:tc>
          <w:tcPr>
            <w:tcW w:w="7360" w:type="dxa"/>
          </w:tcPr>
          <w:p w14:paraId="55EF2797" w14:textId="1E349746" w:rsidR="00B02873" w:rsidRDefault="00B02873" w:rsidP="00B415A9">
            <w:pPr>
              <w:pStyle w:val="TablebodyleftTables"/>
            </w:pPr>
            <w:r>
              <w:t>Development of reporting products to evaluate the condition of Port Phillip Bay and the delivery of the environmental management plan has continued through 2021-22. The upcoming release of the 2020-21 Port Philip Bay Environmental Management Plan (PPBEMP) Annual Report and 2021 Delivery Plan Update is scheduled for October 2022 and will include the first digital report cards for the PPBEMP’s priority areas, including ‘stewardship’ and ‘habitat and marine life’.</w:t>
            </w:r>
          </w:p>
        </w:tc>
      </w:tr>
      <w:tr w:rsidR="00B02873" w:rsidRPr="00B02873" w14:paraId="4B950609" w14:textId="77777777" w:rsidTr="00E77641">
        <w:tc>
          <w:tcPr>
            <w:tcW w:w="2268" w:type="dxa"/>
          </w:tcPr>
          <w:p w14:paraId="6060852D" w14:textId="77777777" w:rsidR="00B02873" w:rsidRDefault="00B02873" w:rsidP="00B415A9">
            <w:pPr>
              <w:pStyle w:val="TablebodyleftTables"/>
            </w:pPr>
            <w:r>
              <w:t>Victorian Government Air Quality Strategy</w:t>
            </w:r>
          </w:p>
        </w:tc>
        <w:tc>
          <w:tcPr>
            <w:tcW w:w="7360" w:type="dxa"/>
          </w:tcPr>
          <w:p w14:paraId="71E1E7FC" w14:textId="77777777" w:rsidR="00B02873" w:rsidRDefault="00B02873" w:rsidP="00B415A9">
            <w:pPr>
              <w:pStyle w:val="TablebodyleftTables"/>
            </w:pPr>
            <w:r>
              <w:t>To support improvement of air quality within the state, the following actions were undertaken:</w:t>
            </w:r>
          </w:p>
          <w:p w14:paraId="028DAA2F" w14:textId="77777777" w:rsidR="00B02873" w:rsidRDefault="00B02873" w:rsidP="00DA5967">
            <w:pPr>
              <w:pStyle w:val="TableBulletleftTables"/>
            </w:pPr>
            <w:r>
              <w:t>DELWP partnered with EPA to conduct a regional sensor pilot project, expanding on EPA’s existing network to monitor and publicly report on the levels of fine particles in the air from sources such as smoke, in an additional 49 regional Victorian towns. Deployment of the sensors took place between March and May 2021, with all sensors operating with stable performance. As of 30 June 2022, there are 49 sites reporting through EPA’s AirWatch website.</w:t>
            </w:r>
          </w:p>
          <w:p w14:paraId="0FC67577" w14:textId="77777777" w:rsidR="00B02873" w:rsidRDefault="00B02873" w:rsidP="00DA5967">
            <w:pPr>
              <w:pStyle w:val="TableBulletleftTables"/>
            </w:pPr>
            <w:r>
              <w:t>Amendments to the Environment Reference Standard (ambient air reference standards) were gazetted on 29 March 2022. These standards were amended to reflect new air quality standards for ozone, nitrogen dioxide and sulfur dioxide following a national review.</w:t>
            </w:r>
          </w:p>
        </w:tc>
      </w:tr>
      <w:tr w:rsidR="00B02873" w:rsidRPr="00B02873" w14:paraId="58B076A2" w14:textId="77777777" w:rsidTr="00E77641">
        <w:tc>
          <w:tcPr>
            <w:tcW w:w="2268" w:type="dxa"/>
          </w:tcPr>
          <w:p w14:paraId="2F1573C4" w14:textId="77777777" w:rsidR="00B02873" w:rsidRDefault="00B02873" w:rsidP="00B415A9">
            <w:pPr>
              <w:pStyle w:val="TablebodyleftTables"/>
            </w:pPr>
            <w:r>
              <w:lastRenderedPageBreak/>
              <w:t>Strengthening Traditional Owner participation in waste management and resource recovery</w:t>
            </w:r>
          </w:p>
        </w:tc>
        <w:tc>
          <w:tcPr>
            <w:tcW w:w="7360" w:type="dxa"/>
          </w:tcPr>
          <w:p w14:paraId="650700A4" w14:textId="77777777" w:rsidR="00B02873" w:rsidRDefault="00B02873" w:rsidP="00B415A9">
            <w:pPr>
              <w:pStyle w:val="TablebodyleftTables"/>
            </w:pPr>
            <w:r>
              <w:t>In early 2021-22, information on key programs such as the Container Deposit Scheme and Single Use Plastics Ban was shared with Traditional Owner groups via the network of DELWP Regional Managers and Aboriginal Inclusion Officers. A presentation to the Eastern Marr Aboriginal Corporation was given on Tuesday 23 September 2021. Further opportunities to foster future partnerships in programs of Traditional Owner interest are being explored as Recycling Victoria program delivery continues.</w:t>
            </w:r>
          </w:p>
        </w:tc>
      </w:tr>
      <w:tr w:rsidR="00B02873" w:rsidRPr="00B02873" w14:paraId="2FF67FA2" w14:textId="77777777" w:rsidTr="00E77641">
        <w:tc>
          <w:tcPr>
            <w:tcW w:w="2268" w:type="dxa"/>
          </w:tcPr>
          <w:p w14:paraId="04C403A4" w14:textId="77777777" w:rsidR="00B02873" w:rsidRDefault="00B02873" w:rsidP="00B415A9">
            <w:pPr>
              <w:pStyle w:val="TablebodyleftTables"/>
            </w:pPr>
            <w:r>
              <w:t xml:space="preserve">Review of the </w:t>
            </w:r>
            <w:r w:rsidRPr="00DE1FCE">
              <w:rPr>
                <w:rStyle w:val="LightItalic"/>
                <w:rFonts w:asciiTheme="minorHAnsi" w:hAnsiTheme="minorHAnsi" w:cstheme="minorHAnsi"/>
              </w:rPr>
              <w:t>Wildlife Act 1975</w:t>
            </w:r>
          </w:p>
        </w:tc>
        <w:tc>
          <w:tcPr>
            <w:tcW w:w="7360" w:type="dxa"/>
          </w:tcPr>
          <w:p w14:paraId="6ECC556F" w14:textId="77777777" w:rsidR="00B02873" w:rsidRDefault="00B02873" w:rsidP="00B415A9">
            <w:pPr>
              <w:pStyle w:val="TablebodyleftTables"/>
            </w:pPr>
            <w:r>
              <w:t xml:space="preserve">An expert panel delivered its report to the Minister for Environment and Climate Action on the findings of their review of the </w:t>
            </w:r>
            <w:r w:rsidRPr="00DA5967">
              <w:rPr>
                <w:rStyle w:val="LightItalic"/>
                <w:rFonts w:asciiTheme="minorHAnsi" w:hAnsiTheme="minorHAnsi" w:cstheme="minorHAnsi"/>
              </w:rPr>
              <w:t>Wildlife Act 1975</w:t>
            </w:r>
            <w:r>
              <w:t xml:space="preserve"> in December 2021. The review will provide recommendations to update the </w:t>
            </w:r>
            <w:r w:rsidRPr="00DA5967">
              <w:rPr>
                <w:rStyle w:val="LightItalic"/>
                <w:rFonts w:asciiTheme="minorHAnsi" w:hAnsiTheme="minorHAnsi" w:cstheme="minorHAnsi"/>
              </w:rPr>
              <w:t>Wildlife Act 1975</w:t>
            </w:r>
            <w:r>
              <w:t xml:space="preserve"> so that it provides a best practice regulatory framework, operates consistently with other legislation related to wildlife and reflects contemporary values and expectations.</w:t>
            </w:r>
          </w:p>
        </w:tc>
      </w:tr>
      <w:tr w:rsidR="00B02873" w:rsidRPr="00B02873" w14:paraId="7E8191ED" w14:textId="77777777" w:rsidTr="00E77641">
        <w:tc>
          <w:tcPr>
            <w:tcW w:w="2268" w:type="dxa"/>
          </w:tcPr>
          <w:p w14:paraId="1E8B2A84" w14:textId="77777777" w:rsidR="00B02873" w:rsidRDefault="00B02873" w:rsidP="00B415A9">
            <w:pPr>
              <w:pStyle w:val="TablebodyleftTables"/>
            </w:pPr>
            <w:r>
              <w:t>Faunal emblems program</w:t>
            </w:r>
          </w:p>
        </w:tc>
        <w:tc>
          <w:tcPr>
            <w:tcW w:w="7360" w:type="dxa"/>
          </w:tcPr>
          <w:p w14:paraId="5BEADA6D" w14:textId="2F1EB6DB" w:rsidR="00B02873" w:rsidRDefault="00B02873" w:rsidP="00B415A9">
            <w:pPr>
              <w:pStyle w:val="TablebodyleftTables"/>
            </w:pPr>
            <w:r>
              <w:t>A specific needs assessment was completed for the Lowland Leadbeater’s Possum in August 2020 and the Helmeted Honeyeater in December 2021 to assess the cost-effectiveness of a range of potential direct management interventions to inform future program delivery.</w:t>
            </w:r>
          </w:p>
          <w:p w14:paraId="5BCA6495" w14:textId="4859C487" w:rsidR="00B02873" w:rsidRDefault="00B02873" w:rsidP="00B415A9">
            <w:pPr>
              <w:pStyle w:val="TablebodyleftTables"/>
            </w:pPr>
            <w:r>
              <w:t xml:space="preserve">A major milestone for Helmeted Honeyeater recovery was reached in May 2022 with the release of 18 Helmeted Honeyeaters into the Yarra Ranges National Park. </w:t>
            </w:r>
          </w:p>
        </w:tc>
      </w:tr>
      <w:tr w:rsidR="00B02873" w:rsidRPr="00B02873" w14:paraId="7A282080" w14:textId="77777777" w:rsidTr="00E77641">
        <w:tc>
          <w:tcPr>
            <w:tcW w:w="2268" w:type="dxa"/>
          </w:tcPr>
          <w:p w14:paraId="4BC81D38" w14:textId="77777777" w:rsidR="00B02873" w:rsidRDefault="00B02873" w:rsidP="00B415A9">
            <w:pPr>
              <w:pStyle w:val="TablebodyleftTables"/>
            </w:pPr>
            <w:r>
              <w:t>Supporting Victorian wildlife centres and shelters</w:t>
            </w:r>
          </w:p>
        </w:tc>
        <w:tc>
          <w:tcPr>
            <w:tcW w:w="7360" w:type="dxa"/>
          </w:tcPr>
          <w:p w14:paraId="5715CB61" w14:textId="77777777" w:rsidR="00B02873" w:rsidRDefault="00B02873" w:rsidP="00B415A9">
            <w:pPr>
              <w:pStyle w:val="TablebodyleftTables"/>
            </w:pPr>
            <w:r>
              <w:t>DELWP supported wildlife shelters and foster carers to rehabilitate and release injured and orphaned wildlife through its provision of $420,000 towards targeted wildlife projects and $290,000 to 120 wildlife rehabilitators during 2021-22.</w:t>
            </w:r>
          </w:p>
        </w:tc>
      </w:tr>
      <w:tr w:rsidR="00B02873" w:rsidRPr="00B02873" w14:paraId="54D1D1AD" w14:textId="77777777" w:rsidTr="00E77641">
        <w:tc>
          <w:tcPr>
            <w:tcW w:w="2268" w:type="dxa"/>
          </w:tcPr>
          <w:p w14:paraId="7073CDA7" w14:textId="77777777" w:rsidR="00B02873" w:rsidRDefault="00B02873" w:rsidP="00B415A9">
            <w:pPr>
              <w:pStyle w:val="TablebodyleftTables"/>
            </w:pPr>
            <w:r>
              <w:t>Improving the protection of critical habitats for Victoria’s threatened species</w:t>
            </w:r>
          </w:p>
        </w:tc>
        <w:tc>
          <w:tcPr>
            <w:tcW w:w="7360" w:type="dxa"/>
          </w:tcPr>
          <w:p w14:paraId="25A562F3" w14:textId="5B44DBDF" w:rsidR="00B02873" w:rsidRDefault="00B02873" w:rsidP="00B415A9">
            <w:pPr>
              <w:pStyle w:val="TablebodyleftTables"/>
            </w:pPr>
            <w:r>
              <w:t xml:space="preserve">Critical habitat guidelines were drafted under Section 20E of the </w:t>
            </w:r>
            <w:r w:rsidRPr="00DA5967">
              <w:rPr>
                <w:rStyle w:val="LightItalic"/>
                <w:rFonts w:asciiTheme="minorHAnsi" w:hAnsiTheme="minorHAnsi" w:cstheme="minorHAnsi"/>
              </w:rPr>
              <w:t>Flora and Fauna Guarantee Act 1988</w:t>
            </w:r>
            <w:r>
              <w:t>. The guidelines will provide direction in identifying and protecting critical habitats for threatened species and are anticipated to be released in the first half of 2022-23.</w:t>
            </w:r>
          </w:p>
        </w:tc>
      </w:tr>
      <w:tr w:rsidR="00B02873" w:rsidRPr="00B02873" w14:paraId="4B0C0087" w14:textId="77777777" w:rsidTr="00E77641">
        <w:tc>
          <w:tcPr>
            <w:tcW w:w="2268" w:type="dxa"/>
          </w:tcPr>
          <w:p w14:paraId="1065CC0B" w14:textId="77777777" w:rsidR="00B02873" w:rsidRDefault="00B02873" w:rsidP="00B415A9">
            <w:pPr>
              <w:pStyle w:val="TablebodyleftTables"/>
            </w:pPr>
            <w:r>
              <w:t xml:space="preserve">Biodiversity response planning </w:t>
            </w:r>
          </w:p>
        </w:tc>
        <w:tc>
          <w:tcPr>
            <w:tcW w:w="7360" w:type="dxa"/>
          </w:tcPr>
          <w:p w14:paraId="2C516E94" w14:textId="3EECABAF" w:rsidR="00B02873" w:rsidRDefault="00B02873" w:rsidP="00B415A9">
            <w:pPr>
              <w:pStyle w:val="TablebodyleftTables"/>
            </w:pPr>
            <w:r>
              <w:t>Biodiversity response planning is a long-term, area-based planning approach to biodiversity conservation. It is designed to strengthen alignment, engagement and participation between government, Traditional Owners, non-government agencies and the community. As part of the biodiversity response planning process, each DELWP region developed a list of project ideas or a prospectus of project concepts based on 140 existing biodiversity response planning factsheets. This has provided a framework for discussion in 2022-23 about potential funding opportunities. Changes in Registered Aboriginal Parties boundaries within Port Phillip Region meant that some existing factsheets were updated to reflect the new boundaries for Bunurong and Wurundjeri.</w:t>
            </w:r>
          </w:p>
        </w:tc>
      </w:tr>
      <w:tr w:rsidR="00B02873" w:rsidRPr="00B02873" w14:paraId="76EB7F88" w14:textId="77777777" w:rsidTr="00E77641">
        <w:tc>
          <w:tcPr>
            <w:tcW w:w="2268" w:type="dxa"/>
          </w:tcPr>
          <w:p w14:paraId="267D0FF0" w14:textId="77777777" w:rsidR="00B02873" w:rsidRDefault="00B02873" w:rsidP="00B415A9">
            <w:pPr>
              <w:pStyle w:val="TablebodyleftTables"/>
            </w:pPr>
            <w:r>
              <w:t>Deer management</w:t>
            </w:r>
          </w:p>
        </w:tc>
        <w:tc>
          <w:tcPr>
            <w:tcW w:w="7360" w:type="dxa"/>
          </w:tcPr>
          <w:p w14:paraId="26D93C50" w14:textId="77777777" w:rsidR="00B02873" w:rsidRDefault="00B02873" w:rsidP="00B415A9">
            <w:pPr>
              <w:pStyle w:val="TablebodyleftTables"/>
            </w:pPr>
            <w:r>
              <w:t>The first of the regional deer control plans was released in March 2022. Actions and delivery of the peri-urban deer control plan will expand in 2022-23 through projects delivered by local land managers, as well as through community-led projects. These deer control measures will protect agriculture, biodiversity and Aboriginal cultural heritage and address public safety issues caused by deer including vehicle access and property damage.</w:t>
            </w:r>
          </w:p>
        </w:tc>
      </w:tr>
      <w:tr w:rsidR="00B02873" w:rsidRPr="00B02873" w14:paraId="2FE2CF4F" w14:textId="77777777" w:rsidTr="00E77641">
        <w:tc>
          <w:tcPr>
            <w:tcW w:w="2268" w:type="dxa"/>
          </w:tcPr>
          <w:p w14:paraId="438886A2" w14:textId="77777777" w:rsidR="00B02873" w:rsidRDefault="00B02873" w:rsidP="00B415A9">
            <w:pPr>
              <w:pStyle w:val="TablebodyleftTables"/>
            </w:pPr>
            <w:r>
              <w:lastRenderedPageBreak/>
              <w:t>Bushfire Biodiversity Response and Recovery program</w:t>
            </w:r>
          </w:p>
        </w:tc>
        <w:tc>
          <w:tcPr>
            <w:tcW w:w="7360" w:type="dxa"/>
          </w:tcPr>
          <w:p w14:paraId="67A1C300" w14:textId="18832EAB" w:rsidR="00B02873" w:rsidRDefault="00B02873" w:rsidP="00B415A9">
            <w:pPr>
              <w:pStyle w:val="TablebodyleftTables"/>
            </w:pPr>
            <w:r>
              <w:t>The Bushfire Biodiversity Response and Recovery program supports recovery of biodiversity and wildlife impacted by the 2019-20 Victorian Bushfires and improves capacity to be better prepared to respond to and recover from future events. The program consists of 261 activities to support persistence of biodiversity and threatened species.</w:t>
            </w:r>
          </w:p>
          <w:p w14:paraId="43C2C226" w14:textId="7BA224A5" w:rsidR="00B02873" w:rsidRDefault="00B02873" w:rsidP="00B415A9">
            <w:pPr>
              <w:pStyle w:val="TablebodyleftTables"/>
            </w:pPr>
            <w:r>
              <w:t>The Strengthening Country program enabled employment opportunities for 22 Traditional Owners and Aboriginal Victorians</w:t>
            </w:r>
            <w:r w:rsidR="000C45FC">
              <w:t xml:space="preserve"> – </w:t>
            </w:r>
            <w:r>
              <w:t>supporting economic stimulus, employment, and training opportunities alongside environmental restoration.</w:t>
            </w:r>
          </w:p>
          <w:p w14:paraId="219EFBE8" w14:textId="77777777" w:rsidR="00B02873" w:rsidRDefault="00B02873" w:rsidP="00B415A9">
            <w:pPr>
              <w:pStyle w:val="TablebodyleftTables"/>
            </w:pPr>
            <w:r>
              <w:t xml:space="preserve">The reconnaissance work, post-fire release monitoring and emergency extraction significantly improved the level of understanding the government has about species habitat response and recovery to the impact of bushfires. </w:t>
            </w:r>
          </w:p>
          <w:p w14:paraId="6B32AD6C" w14:textId="77777777" w:rsidR="00B02873" w:rsidRDefault="00B02873" w:rsidP="00B415A9">
            <w:pPr>
              <w:pStyle w:val="TablebodyleftTables"/>
            </w:pPr>
            <w:r>
              <w:t xml:space="preserve">Several safe havens are under development including Wilsons Promontory and Neds Corner. Djaara have partnered with Bush Heritage to establish a sanctuary at Mt Buckrabunyule. Predator proof fencing is being upgraded at three sanctuary sites in the Barwon South West Region – Mt. Rothwell, Hamilton and Woodlands reserve – to support genetic mixing and improve source populations of threatened species such as the Southern Brown Bandicoot. </w:t>
            </w:r>
          </w:p>
          <w:p w14:paraId="123406A4" w14:textId="1664B592" w:rsidR="00B02873" w:rsidRDefault="00B02873" w:rsidP="00B415A9">
            <w:pPr>
              <w:pStyle w:val="TablebodyleftTables"/>
            </w:pPr>
            <w:r>
              <w:t>An integrated threat management program is reducing the impacts of invasive species on the survival and recovery of threatened species in fire-affected areas of Victoria. Since commencement of the program to 30 June 2022, more than 701,000 hectares of herbivore control, nearly 207,000 hectares of predator control and more than 22,000 hectares of weed control have been delivered.</w:t>
            </w:r>
            <w:r w:rsidR="00012C04">
              <w:t xml:space="preserve"> </w:t>
            </w:r>
          </w:p>
          <w:p w14:paraId="70EF8589" w14:textId="77777777" w:rsidR="00B02873" w:rsidRDefault="00B02873" w:rsidP="00B415A9">
            <w:pPr>
              <w:pStyle w:val="TablebodyleftTables"/>
            </w:pPr>
            <w:r>
              <w:t>Engagement with the wildlife welfare community has improved awareness of wildlife welfare management during fire and led to the revision of the state response plan. This has included revised and expanded training programs for improved animal welfare outcomes.</w:t>
            </w:r>
          </w:p>
        </w:tc>
      </w:tr>
      <w:tr w:rsidR="00B02873" w:rsidRPr="00B02873" w14:paraId="33716A17" w14:textId="77777777" w:rsidTr="00E77641">
        <w:tc>
          <w:tcPr>
            <w:tcW w:w="2268" w:type="dxa"/>
          </w:tcPr>
          <w:p w14:paraId="2B37CAF7" w14:textId="77777777" w:rsidR="00B02873" w:rsidRDefault="00B02873" w:rsidP="00B415A9">
            <w:pPr>
              <w:pStyle w:val="TablebodyleftTables"/>
            </w:pPr>
            <w:r>
              <w:t xml:space="preserve">Biodiversity Community programs </w:t>
            </w:r>
          </w:p>
        </w:tc>
        <w:tc>
          <w:tcPr>
            <w:tcW w:w="7360" w:type="dxa"/>
          </w:tcPr>
          <w:p w14:paraId="1672213A" w14:textId="77777777" w:rsidR="00B02873" w:rsidRDefault="00B02873" w:rsidP="00B415A9">
            <w:pPr>
              <w:pStyle w:val="TablebodyleftTables"/>
            </w:pPr>
            <w:r>
              <w:t>A range of Biodiversity Community programs were delivered during 2021-22 with almost 1,000 grants and contracts totalling $17.4 million. These supported the environmental volunteering community in delivering on-ground action to protect, restore and enhance Victoria’s unique biodiversity, through the Victorians Volunteering for Nature – Environmental Volunteering Plan, Victorian Landcare Program, Community Action for Biodiversity Program and Port Phillip Bay Fund.</w:t>
            </w:r>
          </w:p>
        </w:tc>
      </w:tr>
      <w:tr w:rsidR="00B02873" w:rsidRPr="00B02873" w14:paraId="5E20E086" w14:textId="77777777" w:rsidTr="00E77641">
        <w:tc>
          <w:tcPr>
            <w:tcW w:w="2268" w:type="dxa"/>
          </w:tcPr>
          <w:p w14:paraId="20FFBACA" w14:textId="77777777" w:rsidR="00B02873" w:rsidRDefault="00B02873" w:rsidP="00B415A9">
            <w:pPr>
              <w:pStyle w:val="TablebodyleftTables"/>
            </w:pPr>
            <w:r>
              <w:lastRenderedPageBreak/>
              <w:t>Nature restoration for carbon storage – BushBank program</w:t>
            </w:r>
          </w:p>
        </w:tc>
        <w:tc>
          <w:tcPr>
            <w:tcW w:w="7360" w:type="dxa"/>
          </w:tcPr>
          <w:p w14:paraId="0DADA756" w14:textId="77777777" w:rsidR="00B02873" w:rsidRDefault="00B02873" w:rsidP="00B415A9">
            <w:pPr>
              <w:pStyle w:val="TablebodyleftTables"/>
            </w:pPr>
            <w:r>
              <w:t>The Bushbank program supports revegetation across public and private land to improve habitat for biodiversity while increasing carbon sequestration. Through the program:</w:t>
            </w:r>
          </w:p>
          <w:p w14:paraId="59F93A73" w14:textId="77777777" w:rsidR="00B02873" w:rsidRDefault="00B02873" w:rsidP="00DA5967">
            <w:pPr>
              <w:pStyle w:val="TableBulletleftTables"/>
            </w:pPr>
            <w:r>
              <w:t>$2.34 million was committed over five years to restore 560 hectares of public land across Victoria, with 30.9 hectares reseeded in 2021-22.</w:t>
            </w:r>
          </w:p>
          <w:p w14:paraId="49442E0F" w14:textId="77777777" w:rsidR="00B02873" w:rsidRDefault="00B02873" w:rsidP="00DA5967">
            <w:pPr>
              <w:pStyle w:val="TableBulletleftTables"/>
            </w:pPr>
            <w:r>
              <w:t xml:space="preserve">Grant offers of $7 million over four years will be provided to Traditional Owner Corporations to address biodiversity loss, climate change and to improve the capacity of Traditional Owners to participate in healing Country, carbon markets and to practice self-determination. Applications closed in May 2022 with successful grant applicants to be announced in August 2022. </w:t>
            </w:r>
          </w:p>
          <w:p w14:paraId="57A7DEF2" w14:textId="77777777" w:rsidR="00B02873" w:rsidRDefault="00B02873" w:rsidP="00DA5967">
            <w:pPr>
              <w:pStyle w:val="TableBulletleftTables"/>
            </w:pPr>
            <w:r>
              <w:t>Expressions of interest to select a delivery partner for habitat restoration on private land closed in May 2022. This will leverage significant co-investment to add to $30.9 million of government funding.</w:t>
            </w:r>
          </w:p>
        </w:tc>
      </w:tr>
      <w:tr w:rsidR="00B02873" w:rsidRPr="00B02873" w14:paraId="390546C1" w14:textId="77777777" w:rsidTr="00E77641">
        <w:tc>
          <w:tcPr>
            <w:tcW w:w="2268" w:type="dxa"/>
          </w:tcPr>
          <w:p w14:paraId="2E526320" w14:textId="77777777" w:rsidR="00B02873" w:rsidRDefault="00B02873" w:rsidP="00B415A9">
            <w:pPr>
              <w:pStyle w:val="TablebodyleftTables"/>
            </w:pPr>
            <w:r>
              <w:t>Office of the Conservation Regulator regulatory functions in relation to risks impacting Victoria’s biodiversity</w:t>
            </w:r>
          </w:p>
        </w:tc>
        <w:tc>
          <w:tcPr>
            <w:tcW w:w="7360" w:type="dxa"/>
          </w:tcPr>
          <w:p w14:paraId="29B1926D" w14:textId="77777777" w:rsidR="00B02873" w:rsidRDefault="00B02873" w:rsidP="00B415A9">
            <w:pPr>
              <w:pStyle w:val="TablebodyleftTables"/>
            </w:pPr>
            <w:r>
              <w:t>The Conservation Regulator utilised a multi-pronged approach to prevent harm and protect biodiversity from timber harvesting. This approach included surveying coupes prior to harvesting through the Forest Protection Survey Program, and in 2021-22 more than 600 coupes were surveyed. A total of 53 proactive compliance inspections were also undertaken, exceeding the annual target of 30. Authorised officers received and assessed 98 threatened species reports and 31 allegations of non-compliance. The Conservation Regulator also published guidance for reporting detections of Greater Gliders in December 2021, to assist members of the public and other organisations when making a report to the regulator.</w:t>
            </w:r>
          </w:p>
          <w:p w14:paraId="1C4B243C" w14:textId="77777777" w:rsidR="00B02873" w:rsidRDefault="00B02873" w:rsidP="00B415A9">
            <w:pPr>
              <w:pStyle w:val="TablebodyleftTables"/>
            </w:pPr>
            <w:r>
              <w:t>Significant investigations into the illegal take of timber on public land and the illegal clearing of vegetation on public land led to significant financial penalties for non-compliance with the law.</w:t>
            </w:r>
          </w:p>
          <w:p w14:paraId="09B9D3F6" w14:textId="77777777" w:rsidR="00B02873" w:rsidRDefault="00B02873" w:rsidP="00B415A9">
            <w:pPr>
              <w:pStyle w:val="TablebodyleftTables"/>
            </w:pPr>
            <w:r>
              <w:t>Protection of wildlife was a key focus which resulted in a new Statement of Regulatory Intent for the Protection of Wildlife published in March 2022. From February 2022, a transition to online applications for wildlife permits commenced, delivering a better customer experience for licence and permit holders.</w:t>
            </w:r>
          </w:p>
        </w:tc>
      </w:tr>
      <w:tr w:rsidR="00B02873" w:rsidRPr="00B02873" w14:paraId="5EF6CBC0" w14:textId="77777777" w:rsidTr="00E77641">
        <w:tc>
          <w:tcPr>
            <w:tcW w:w="2268" w:type="dxa"/>
          </w:tcPr>
          <w:p w14:paraId="1A783168" w14:textId="77777777" w:rsidR="00B02873" w:rsidRDefault="00B02873" w:rsidP="00B415A9">
            <w:pPr>
              <w:pStyle w:val="TablebodyleftTables"/>
            </w:pPr>
            <w:r>
              <w:lastRenderedPageBreak/>
              <w:t xml:space="preserve">Trust for Nature </w:t>
            </w:r>
          </w:p>
        </w:tc>
        <w:tc>
          <w:tcPr>
            <w:tcW w:w="7360" w:type="dxa"/>
          </w:tcPr>
          <w:p w14:paraId="100C2DB6" w14:textId="77777777" w:rsidR="00B02873" w:rsidRDefault="00B02873" w:rsidP="00B415A9">
            <w:pPr>
              <w:pStyle w:val="TablebodyleftTables"/>
            </w:pPr>
            <w:r>
              <w:t>The Victorian Government works in partnership with Trust for Nature to preserve biodiversity values on private land.</w:t>
            </w:r>
          </w:p>
          <w:p w14:paraId="3E426B2B" w14:textId="77777777" w:rsidR="00B02873" w:rsidRDefault="00B02873" w:rsidP="00B415A9">
            <w:pPr>
              <w:pStyle w:val="TablebodyleftTables"/>
            </w:pPr>
            <w:r>
              <w:t>In 2021-22, funding assisted Trust for Nature in achieving:</w:t>
            </w:r>
          </w:p>
          <w:p w14:paraId="1516387A" w14:textId="77777777" w:rsidR="00B02873" w:rsidRDefault="00B02873" w:rsidP="00DA5967">
            <w:pPr>
              <w:pStyle w:val="TableBulletleftTables"/>
            </w:pPr>
            <w:r>
              <w:t xml:space="preserve">protection of over 1,600 hectares of private land </w:t>
            </w:r>
          </w:p>
          <w:p w14:paraId="10814A5C" w14:textId="77777777" w:rsidR="00B02873" w:rsidRDefault="00B02873" w:rsidP="00DA5967">
            <w:pPr>
              <w:pStyle w:val="TableBulletleftTables"/>
            </w:pPr>
            <w:r>
              <w:t>announcement of the commitment to transfer Victoria’s largest private conservation reserve Neds Corner to its Traditional Owners, the First People of the Millewa-Mallee Aboriginal Corporation</w:t>
            </w:r>
          </w:p>
          <w:p w14:paraId="4B0E5B13" w14:textId="77777777" w:rsidR="00B02873" w:rsidRDefault="00B02873" w:rsidP="00DA5967">
            <w:pPr>
              <w:pStyle w:val="TableBulletleftTables"/>
            </w:pPr>
            <w:r>
              <w:t>restoration and maintenance of habitats on private land that support important biodiversity, as well as improved management of land under existing covenants through partnerships and incentives</w:t>
            </w:r>
          </w:p>
          <w:p w14:paraId="00C8D5D4" w14:textId="77777777" w:rsidR="00B02873" w:rsidRDefault="00B02873" w:rsidP="00DA5967">
            <w:pPr>
              <w:pStyle w:val="TableBulletleftTables"/>
            </w:pPr>
            <w:r>
              <w:t>increase of 9 per cent of area for the Yellingbo Nature Conservation Reserve, helping protect the critically endangered Helmeted Honeyeater and the endangered Leadbeater’s Possum</w:t>
            </w:r>
          </w:p>
          <w:p w14:paraId="33BFC509" w14:textId="77777777" w:rsidR="00B02873" w:rsidRDefault="00B02873" w:rsidP="00DA5967">
            <w:pPr>
              <w:pStyle w:val="TableBulletleftTables"/>
            </w:pPr>
            <w:r>
              <w:t>completion of Iconic Estates 1, delivered across 10 regional projects. Since commencement, these projects have secured more than 2,700 hectares of permanently protected private land with high biodiversity value.</w:t>
            </w:r>
          </w:p>
        </w:tc>
      </w:tr>
      <w:tr w:rsidR="00B02873" w:rsidRPr="00B02873" w14:paraId="14143131" w14:textId="77777777" w:rsidTr="00E77641">
        <w:tc>
          <w:tcPr>
            <w:tcW w:w="2268" w:type="dxa"/>
          </w:tcPr>
          <w:p w14:paraId="3CF37628" w14:textId="77777777" w:rsidR="00B02873" w:rsidRDefault="00B02873" w:rsidP="00B415A9">
            <w:pPr>
              <w:pStyle w:val="TablebodyleftTables"/>
            </w:pPr>
            <w:r>
              <w:t>Wildlife Victoria</w:t>
            </w:r>
          </w:p>
        </w:tc>
        <w:tc>
          <w:tcPr>
            <w:tcW w:w="7360" w:type="dxa"/>
          </w:tcPr>
          <w:p w14:paraId="63089FD1" w14:textId="77777777" w:rsidR="00B02873" w:rsidRDefault="00B02873" w:rsidP="00B415A9">
            <w:pPr>
              <w:pStyle w:val="TablebodyleftTables"/>
            </w:pPr>
            <w:r>
              <w:t xml:space="preserve">In 2021-22, funding was provided to Wildlife Victoria to support: </w:t>
            </w:r>
          </w:p>
          <w:p w14:paraId="5CE7F31C" w14:textId="77777777" w:rsidR="00B02873" w:rsidRDefault="00B02873" w:rsidP="00DA5967">
            <w:pPr>
              <w:pStyle w:val="TableBulletleftTables"/>
            </w:pPr>
            <w:r>
              <w:t>maintenance of the efficiency and quality of the Wildlife Victoria hotline – providing community reporting and coordination for wildlife in distress. In the 2021 calendar year, Wildlife Victoria’s Emergency Response Service received more than 100,000 requests for assistance and supported almost 90,000 sick, injured or orphaned animals.</w:t>
            </w:r>
          </w:p>
          <w:p w14:paraId="49665F60" w14:textId="77777777" w:rsidR="00B02873" w:rsidRDefault="00B02873" w:rsidP="00DA5967">
            <w:pPr>
              <w:pStyle w:val="TableBulletleftTables"/>
            </w:pPr>
            <w:r>
              <w:t>development and implementation of strategies to train and support Wildlife Victoria’s volunteer base of over 1,000 registered volunteers throughout Victoria</w:t>
            </w:r>
          </w:p>
          <w:p w14:paraId="7765B66B" w14:textId="77777777" w:rsidR="00B02873" w:rsidRDefault="00B02873" w:rsidP="00DA5967">
            <w:pPr>
              <w:pStyle w:val="TableBulletleftTables"/>
            </w:pPr>
            <w:r>
              <w:t>community engagement and outreach activities, with a focus on culturally and linguistically diverse communities.</w:t>
            </w:r>
          </w:p>
        </w:tc>
      </w:tr>
    </w:tbl>
    <w:p w14:paraId="65AFE443" w14:textId="77777777" w:rsidR="00B02873" w:rsidRDefault="00B02873" w:rsidP="00DA5967"/>
    <w:p w14:paraId="27D4D8C6" w14:textId="1391ECA9" w:rsidR="00B02873" w:rsidRDefault="00B02873" w:rsidP="00311A51">
      <w:pPr>
        <w:pStyle w:val="Heading4"/>
      </w:pPr>
      <w:r>
        <w:t>Indicator: Reduction in pollutants from priority hotspots</w:t>
      </w:r>
    </w:p>
    <w:p w14:paraId="6030D1B4" w14:textId="52D5BE7A" w:rsidR="00DA5967" w:rsidRDefault="00311A51" w:rsidP="00311A51">
      <w:r>
        <w:rPr>
          <w:noProof/>
        </w:rPr>
        <w:drawing>
          <wp:inline distT="0" distB="0" distL="0" distR="0" wp14:anchorId="6CF9235D" wp14:editId="2E584159">
            <wp:extent cx="3148590" cy="2755398"/>
            <wp:effectExtent l="0" t="0" r="0" b="0"/>
            <wp:docPr id="17" name="Picture 17" descr="Graph showing an increasing trend in the number of days where the air quality standard was exceeded in the Brooklyn industrial precinct between 2017-18 and 2019-20 followed by a decreasing trend from 2019-20 to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 showing an increasing trend in the number of days where the air quality standard was exceeded in the Brooklyn industrial precinct between 2017-18 and 2019-20 followed by a decreasing trend from 2019-20 to 2021-22."/>
                    <pic:cNvPicPr/>
                  </pic:nvPicPr>
                  <pic:blipFill>
                    <a:blip r:embed="rId19"/>
                    <a:stretch>
                      <a:fillRect/>
                    </a:stretch>
                  </pic:blipFill>
                  <pic:spPr>
                    <a:xfrm>
                      <a:off x="0" y="0"/>
                      <a:ext cx="3148590" cy="2755398"/>
                    </a:xfrm>
                    <a:prstGeom prst="rect">
                      <a:avLst/>
                    </a:prstGeom>
                  </pic:spPr>
                </pic:pic>
              </a:graphicData>
            </a:graphic>
          </wp:inline>
        </w:drawing>
      </w:r>
    </w:p>
    <w:p w14:paraId="2B8CF621" w14:textId="77777777" w:rsidR="00B02873" w:rsidRDefault="00B02873" w:rsidP="00FE198A">
      <w:r>
        <w:lastRenderedPageBreak/>
        <w:t>The residential area south of the Brooklyn industrial precinct has a long history of poor air quality events due to high dust levels from activities in the precinct. EPA has monitored the major component of dust in the air, PM</w:t>
      </w:r>
      <w:r>
        <w:rPr>
          <w:vertAlign w:val="subscript"/>
        </w:rPr>
        <w:t>10</w:t>
      </w:r>
      <w:r>
        <w:t xml:space="preserve"> (particles smaller than 10 micrometres), in Brooklyn since October 2009. EPA has maintained its strategic regulatory focus on reducing air pollution in the precinct to lower environmental risk in the area and improve public health outcomes.</w:t>
      </w:r>
    </w:p>
    <w:p w14:paraId="59CB0D6E" w14:textId="77777777" w:rsidR="00B02873" w:rsidRDefault="00B02873" w:rsidP="00FE198A">
      <w:r>
        <w:t>In 2021-22, the air quality standard was exceeded on three occasions and were all attributed to activities within the precinct. EPA provided five alerts to notify local industry of high-risk dust days, with EPA Officers conducting random inspections to ensure local industry enacted their dust management plans and implemented appropriate control measures. Where EPA Officers determined a non-compliance, remedial notices focused on: preventing dust by sealing unsealed traffic surfaces; preventing dust from materials handling activities; and preventing mud being driven onto public roads.</w:t>
      </w:r>
    </w:p>
    <w:p w14:paraId="5DCF0CB3" w14:textId="77777777" w:rsidR="00B02873" w:rsidRDefault="00B02873" w:rsidP="00FE198A">
      <w:r>
        <w:t>Odour from the precinct has seen a significant downward trend, with almost 50 per cent fewer odour reports than in 2020-21, the lowest level since EPA began logging reports electronically in 1996. Improvements in odour capture and treatment made in 2020-21 have been consolidated with actions taken against the main contributor to odour in Brooklyn in the first half of 2021-22.</w:t>
      </w:r>
    </w:p>
    <w:p w14:paraId="5793EFE4" w14:textId="77777777" w:rsidR="00B02873" w:rsidRDefault="00B02873" w:rsidP="00311A51">
      <w:pPr>
        <w:pStyle w:val="Heading4"/>
      </w:pPr>
      <w:r>
        <w:t xml:space="preserve">Indicator: Participation in community-based environmental programs </w:t>
      </w:r>
    </w:p>
    <w:p w14:paraId="6166E800" w14:textId="20266A81" w:rsidR="00B02873" w:rsidRPr="00311A51" w:rsidRDefault="00B02873" w:rsidP="00311A51">
      <w:pPr>
        <w:pStyle w:val="Figureheading"/>
      </w:pPr>
      <w:r w:rsidRPr="00311A51">
        <w:t>Days of community participation in Landcare and other environmental volunteering programs</w:t>
      </w:r>
    </w:p>
    <w:p w14:paraId="7CD0AB74" w14:textId="68D868FD" w:rsidR="00311A51" w:rsidRDefault="00A36811" w:rsidP="00311A51">
      <w:r>
        <w:rPr>
          <w:noProof/>
        </w:rPr>
        <w:drawing>
          <wp:inline distT="0" distB="0" distL="0" distR="0" wp14:anchorId="5140987C" wp14:editId="5CAF1451">
            <wp:extent cx="3148590" cy="2865126"/>
            <wp:effectExtent l="0" t="0" r="0" b="0"/>
            <wp:docPr id="18" name="Picture 18" descr="Graph showing community participation in Landcare and other environmental volunteering programs, measured in full time equivalent (FTE) work days. In 2021-22, community participation in Landcare and other environmental volunteering programs totalled 53,300 FTE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 showing community participation in Landcare and other environmental volunteering programs, measured in full time equivalent (FTE) work days. In 2021-22, community participation in Landcare and other environmental volunteering programs totalled 53,300 FTE days."/>
                    <pic:cNvPicPr/>
                  </pic:nvPicPr>
                  <pic:blipFill>
                    <a:blip r:embed="rId20"/>
                    <a:stretch>
                      <a:fillRect/>
                    </a:stretch>
                  </pic:blipFill>
                  <pic:spPr>
                    <a:xfrm>
                      <a:off x="0" y="0"/>
                      <a:ext cx="3148590" cy="2865126"/>
                    </a:xfrm>
                    <a:prstGeom prst="rect">
                      <a:avLst/>
                    </a:prstGeom>
                  </pic:spPr>
                </pic:pic>
              </a:graphicData>
            </a:graphic>
          </wp:inline>
        </w:drawing>
      </w:r>
    </w:p>
    <w:p w14:paraId="43DF309A" w14:textId="55F4DB0D" w:rsidR="00B02873" w:rsidRDefault="00B02873" w:rsidP="00FE198A">
      <w:r>
        <w:t xml:space="preserve">Under the </w:t>
      </w:r>
      <w:hyperlink r:id="rId21" w:history="1">
        <w:r w:rsidRPr="00A36811">
          <w:rPr>
            <w:rStyle w:val="Hyperlink"/>
          </w:rPr>
          <w:t>Victorians Volunteering for Nature</w:t>
        </w:r>
        <w:r w:rsidR="000C45FC" w:rsidRPr="00A36811">
          <w:rPr>
            <w:rStyle w:val="Hyperlink"/>
          </w:rPr>
          <w:t xml:space="preserve"> – </w:t>
        </w:r>
        <w:r w:rsidRPr="00A36811">
          <w:rPr>
            <w:rStyle w:val="Hyperlink"/>
          </w:rPr>
          <w:t>Environmental Volunteering Plan (2018)</w:t>
        </w:r>
      </w:hyperlink>
      <w:r>
        <w:t xml:space="preserve">, an annual stocktake of active environmental volunteer numbers, groups and categories occurs across the state. </w:t>
      </w:r>
      <w:r w:rsidRPr="00A36811">
        <w:rPr>
          <w:rStyle w:val="LightItalic"/>
          <w:rFonts w:asciiTheme="minorHAnsi" w:hAnsiTheme="minorHAnsi" w:cstheme="minorHAnsi"/>
        </w:rPr>
        <w:t>Volunteering Naturally 2022</w:t>
      </w:r>
      <w:r>
        <w:t xml:space="preserve"> data is expected to become available in October 2022 following the receipt and analysis of data from portfolio partners and environmental volunteer groups.</w:t>
      </w:r>
    </w:p>
    <w:p w14:paraId="64584D4C" w14:textId="77777777" w:rsidR="00B02873" w:rsidRDefault="002F4F06" w:rsidP="00FE198A">
      <w:hyperlink r:id="rId22" w:history="1">
        <w:r w:rsidR="00B02873" w:rsidRPr="00A36811">
          <w:rPr>
            <w:rStyle w:val="Hyperlink"/>
          </w:rPr>
          <w:t>Volunteering Naturally</w:t>
        </w:r>
      </w:hyperlink>
      <w:r w:rsidR="00B02873">
        <w:t xml:space="preserve"> 2021 identified more than 160,970 active volunteers, 2,070 groups and reported almost 1.3 million volunteer hours in 2020-21. This was estimated to make a $48.36 million economic contribution to Victoria.</w:t>
      </w:r>
    </w:p>
    <w:p w14:paraId="2A9A5625" w14:textId="77777777" w:rsidR="00B02873" w:rsidRDefault="00B02873" w:rsidP="00FE198A">
      <w:r>
        <w:t>In 2021-22, community participation through the Landcare and other environmental volunteering equated to 53,279 full time equivalent days. COVIDSafe settings continued to impact environmental volunteering opportunities in 2021-22, however community participation in these activities is expected to increase in 2022-23.</w:t>
      </w:r>
    </w:p>
    <w:p w14:paraId="7DE794BE" w14:textId="77777777" w:rsidR="00B02873" w:rsidRDefault="00B02873" w:rsidP="00A36811">
      <w:pPr>
        <w:pStyle w:val="Heading4"/>
      </w:pPr>
      <w:r>
        <w:lastRenderedPageBreak/>
        <w:t>Indicator: Reduction in waste generation per person</w:t>
      </w:r>
    </w:p>
    <w:p w14:paraId="38422BEB" w14:textId="77777777" w:rsidR="00B02873" w:rsidRDefault="00B02873" w:rsidP="00FE198A">
      <w:r w:rsidRPr="00DE1FCE">
        <w:rPr>
          <w:rStyle w:val="LightItalic"/>
          <w:rFonts w:asciiTheme="minorHAnsi" w:hAnsiTheme="minorHAnsi" w:cstheme="minorHAnsi"/>
        </w:rPr>
        <w:t>Recycling Victoria</w:t>
      </w:r>
      <w:r w:rsidRPr="00DE1FCE">
        <w:rPr>
          <w:rFonts w:asciiTheme="minorHAnsi" w:hAnsiTheme="minorHAnsi" w:cstheme="minorHAnsi"/>
        </w:rPr>
        <w:t xml:space="preserve">: </w:t>
      </w:r>
      <w:r w:rsidRPr="00DE1FCE">
        <w:rPr>
          <w:rStyle w:val="LightItalic"/>
          <w:rFonts w:asciiTheme="minorHAnsi" w:hAnsiTheme="minorHAnsi" w:cstheme="minorHAnsi"/>
        </w:rPr>
        <w:t>A new econo</w:t>
      </w:r>
      <w:r w:rsidRPr="00A36811">
        <w:rPr>
          <w:rStyle w:val="LightItalic"/>
          <w:rFonts w:asciiTheme="minorHAnsi" w:hAnsiTheme="minorHAnsi" w:cstheme="minorHAnsi"/>
        </w:rPr>
        <w:t>my</w:t>
      </w:r>
      <w:r w:rsidRPr="00A36811">
        <w:rPr>
          <w:rFonts w:asciiTheme="minorHAnsi" w:hAnsiTheme="minorHAnsi" w:cstheme="minorHAnsi"/>
        </w:rPr>
        <w:t xml:space="preserve"> </w:t>
      </w:r>
      <w:r>
        <w:t xml:space="preserve">is the Victorian Government’s 10-year circular economy plan delivering programs designed to reduce waste including household recycling reforms, a container deposit scheme, statewide education and behaviour change programs, the ban of light weight plastic bags, ban of certain single-use plastic items and support for communities and councils. </w:t>
      </w:r>
      <w:r w:rsidRPr="00A36811">
        <w:rPr>
          <w:rStyle w:val="LightItalic"/>
          <w:rFonts w:asciiTheme="minorHAnsi" w:hAnsiTheme="minorHAnsi" w:cstheme="minorHAnsi"/>
        </w:rPr>
        <w:t>Recycling Victoria: A new economy</w:t>
      </w:r>
      <w:r>
        <w:t xml:space="preserve"> sets a target of 15 per cent reduction in waste generation per person by 2030.</w:t>
      </w:r>
    </w:p>
    <w:p w14:paraId="5D9BA99D" w14:textId="77777777" w:rsidR="00B02873" w:rsidRDefault="00B02873" w:rsidP="00FE198A">
      <w:r>
        <w:t xml:space="preserve">Data for waste generation per person in 2020-21 is anticipated to be available by December 2022 and published in the department’s 2022-23 annual report. The most recent data from 2019-20 showed that the total waste generated per capita increased by 2 per cent from 2.32 tonnes per person in 2018-19 to 2.37 tonnes per person in 2019-20. With the release of </w:t>
      </w:r>
      <w:r w:rsidRPr="00A36811">
        <w:rPr>
          <w:rStyle w:val="LightItalic"/>
          <w:rFonts w:asciiTheme="minorHAnsi" w:hAnsiTheme="minorHAnsi" w:cstheme="minorHAnsi"/>
        </w:rPr>
        <w:t>Recycling Victoria: A new economy</w:t>
      </w:r>
      <w:r w:rsidRPr="00A36811">
        <w:rPr>
          <w:rFonts w:asciiTheme="minorHAnsi" w:hAnsiTheme="minorHAnsi" w:cstheme="minorHAnsi"/>
        </w:rPr>
        <w:t xml:space="preserve"> </w:t>
      </w:r>
      <w:r>
        <w:t xml:space="preserve">in February 2020. it is anticipated that less waste will be generated per capita as key actions are progressively implemented and benefits realised. </w:t>
      </w:r>
    </w:p>
    <w:p w14:paraId="37C6E4AC" w14:textId="77777777" w:rsidR="00B02873" w:rsidRDefault="00B02873" w:rsidP="00A36811">
      <w:pPr>
        <w:pStyle w:val="Heading3"/>
      </w:pPr>
      <w:r>
        <w:t>Output performance measures</w:t>
      </w:r>
    </w:p>
    <w:p w14:paraId="643F5EE4" w14:textId="77777777" w:rsidR="00B02873" w:rsidRDefault="00B02873" w:rsidP="00A36811">
      <w:pPr>
        <w:pStyle w:val="Heading4"/>
      </w:pPr>
      <w:r>
        <w:t>Environment and Biodiversity</w:t>
      </w:r>
    </w:p>
    <w:p w14:paraId="6E284ACF" w14:textId="77777777" w:rsidR="00B02873" w:rsidRDefault="00B02873" w:rsidP="00FE198A">
      <w:r>
        <w:t>This output leads the development and implementation of strategic, whole of government environmental policy and delivers investment, regulatory and research functions that support Victoria’s diverse and resilient ecosystems.</w:t>
      </w:r>
    </w:p>
    <w:p w14:paraId="1ACADC51" w14:textId="5DA80D61" w:rsidR="00B02873" w:rsidRDefault="00B02873" w:rsidP="00FE198A">
      <w:r>
        <w:t>The performance measures below compare targets and expected or actual results from the delivery of programs and services as part of this output:</w:t>
      </w:r>
    </w:p>
    <w:tbl>
      <w:tblPr>
        <w:tblStyle w:val="TableGrid"/>
        <w:tblW w:w="9634" w:type="dxa"/>
        <w:tblLayout w:type="fixed"/>
        <w:tblLook w:val="0020" w:firstRow="1" w:lastRow="0" w:firstColumn="0" w:lastColumn="0" w:noHBand="0" w:noVBand="0"/>
      </w:tblPr>
      <w:tblGrid>
        <w:gridCol w:w="2972"/>
        <w:gridCol w:w="1134"/>
        <w:gridCol w:w="1134"/>
        <w:gridCol w:w="992"/>
        <w:gridCol w:w="1502"/>
        <w:gridCol w:w="1900"/>
      </w:tblGrid>
      <w:tr w:rsidR="00B02873" w:rsidRPr="00B02873" w14:paraId="33742D44" w14:textId="77777777" w:rsidTr="00DC03AD">
        <w:trPr>
          <w:cnfStyle w:val="100000000000" w:firstRow="1" w:lastRow="0" w:firstColumn="0" w:lastColumn="0" w:oddVBand="0" w:evenVBand="0" w:oddHBand="0" w:evenHBand="0" w:firstRowFirstColumn="0" w:firstRowLastColumn="0" w:lastRowFirstColumn="0" w:lastRowLastColumn="0"/>
          <w:tblHeader/>
        </w:trPr>
        <w:tc>
          <w:tcPr>
            <w:tcW w:w="2972" w:type="dxa"/>
          </w:tcPr>
          <w:p w14:paraId="1421EFCD" w14:textId="77777777" w:rsidR="00B02873" w:rsidRDefault="00B02873" w:rsidP="003E0922">
            <w:pPr>
              <w:pStyle w:val="TableheadingleftTables"/>
            </w:pPr>
            <w:r>
              <w:t>Output performance measures</w:t>
            </w:r>
          </w:p>
        </w:tc>
        <w:tc>
          <w:tcPr>
            <w:tcW w:w="1134" w:type="dxa"/>
          </w:tcPr>
          <w:p w14:paraId="74F944A4" w14:textId="77777777" w:rsidR="00B02873" w:rsidRDefault="00B02873" w:rsidP="003E0922">
            <w:pPr>
              <w:pStyle w:val="TableheadingleftTables"/>
            </w:pPr>
            <w:r>
              <w:t>Unit of measure</w:t>
            </w:r>
          </w:p>
        </w:tc>
        <w:tc>
          <w:tcPr>
            <w:tcW w:w="1134" w:type="dxa"/>
          </w:tcPr>
          <w:p w14:paraId="19CB3820" w14:textId="77777777" w:rsidR="00B02873" w:rsidRDefault="00B02873" w:rsidP="00A63A42">
            <w:pPr>
              <w:pStyle w:val="TableheadingleftTables"/>
              <w:jc w:val="right"/>
            </w:pPr>
            <w:r>
              <w:t>2021-22 actual</w:t>
            </w:r>
          </w:p>
        </w:tc>
        <w:tc>
          <w:tcPr>
            <w:tcW w:w="992" w:type="dxa"/>
          </w:tcPr>
          <w:p w14:paraId="2434D082" w14:textId="77777777" w:rsidR="00B02873" w:rsidRDefault="00B02873" w:rsidP="00A63A42">
            <w:pPr>
              <w:pStyle w:val="TableheadingleftTables"/>
              <w:jc w:val="right"/>
            </w:pPr>
            <w:r>
              <w:t>2021-22 target</w:t>
            </w:r>
          </w:p>
        </w:tc>
        <w:tc>
          <w:tcPr>
            <w:tcW w:w="1502" w:type="dxa"/>
          </w:tcPr>
          <w:p w14:paraId="192FDD80" w14:textId="77777777" w:rsidR="00B02873" w:rsidRDefault="00B02873" w:rsidP="00A63A42">
            <w:pPr>
              <w:pStyle w:val="TableheadingleftTables"/>
              <w:jc w:val="right"/>
            </w:pPr>
            <w:r>
              <w:rPr>
                <w:spacing w:val="-3"/>
              </w:rPr>
              <w:t>Performance variation (%)</w:t>
            </w:r>
          </w:p>
        </w:tc>
        <w:tc>
          <w:tcPr>
            <w:tcW w:w="1900" w:type="dxa"/>
          </w:tcPr>
          <w:p w14:paraId="5C513BE8" w14:textId="77777777" w:rsidR="00B02873" w:rsidRDefault="00B02873" w:rsidP="003E0922">
            <w:pPr>
              <w:pStyle w:val="TableheadingleftTables"/>
            </w:pPr>
            <w:r>
              <w:t>Result</w:t>
            </w:r>
          </w:p>
        </w:tc>
      </w:tr>
      <w:tr w:rsidR="00B02873" w:rsidRPr="00B02873" w14:paraId="324699F6" w14:textId="77777777" w:rsidTr="00DC03AD">
        <w:tc>
          <w:tcPr>
            <w:tcW w:w="2972" w:type="dxa"/>
          </w:tcPr>
          <w:p w14:paraId="0AF95875" w14:textId="77777777" w:rsidR="00B02873" w:rsidRDefault="00B02873" w:rsidP="00B415A9">
            <w:pPr>
              <w:pStyle w:val="TableheadingleftTables"/>
            </w:pPr>
            <w:r>
              <w:t>Quantity</w:t>
            </w:r>
          </w:p>
        </w:tc>
        <w:tc>
          <w:tcPr>
            <w:tcW w:w="1134" w:type="dxa"/>
          </w:tcPr>
          <w:p w14:paraId="1AC33050" w14:textId="77777777" w:rsidR="00B02873" w:rsidRPr="00B02873" w:rsidRDefault="00B02873" w:rsidP="00B415A9">
            <w:pPr>
              <w:pStyle w:val="NoParagraphStyle"/>
              <w:spacing w:line="240" w:lineRule="auto"/>
              <w:textAlignment w:val="auto"/>
              <w:rPr>
                <w:rFonts w:ascii="Apple Symbols Regular" w:hAnsi="Apple Symbols Regular" w:cs="Times New Roman"/>
                <w:color w:val="auto"/>
                <w:lang w:val="en-AU"/>
              </w:rPr>
            </w:pPr>
          </w:p>
        </w:tc>
        <w:tc>
          <w:tcPr>
            <w:tcW w:w="1134" w:type="dxa"/>
          </w:tcPr>
          <w:p w14:paraId="4D211C31" w14:textId="77777777" w:rsidR="00B02873" w:rsidRPr="00B02873" w:rsidRDefault="00B02873" w:rsidP="00A63A42">
            <w:pPr>
              <w:pStyle w:val="NoParagraphStyle"/>
              <w:spacing w:line="240" w:lineRule="auto"/>
              <w:jc w:val="right"/>
              <w:textAlignment w:val="auto"/>
              <w:rPr>
                <w:rFonts w:ascii="Apple Symbols Regular" w:hAnsi="Apple Symbols Regular" w:cs="Times New Roman"/>
                <w:color w:val="auto"/>
                <w:lang w:val="en-AU"/>
              </w:rPr>
            </w:pPr>
          </w:p>
        </w:tc>
        <w:tc>
          <w:tcPr>
            <w:tcW w:w="992" w:type="dxa"/>
          </w:tcPr>
          <w:p w14:paraId="0A43674F" w14:textId="77777777" w:rsidR="00B02873" w:rsidRPr="00B02873" w:rsidRDefault="00B02873" w:rsidP="00A63A42">
            <w:pPr>
              <w:pStyle w:val="NoParagraphStyle"/>
              <w:spacing w:line="240" w:lineRule="auto"/>
              <w:jc w:val="right"/>
              <w:textAlignment w:val="auto"/>
              <w:rPr>
                <w:rFonts w:ascii="Apple Symbols Regular" w:hAnsi="Apple Symbols Regular" w:cs="Times New Roman"/>
                <w:color w:val="auto"/>
                <w:lang w:val="en-AU"/>
              </w:rPr>
            </w:pPr>
          </w:p>
        </w:tc>
        <w:tc>
          <w:tcPr>
            <w:tcW w:w="1502" w:type="dxa"/>
          </w:tcPr>
          <w:p w14:paraId="56DEFD91" w14:textId="77777777" w:rsidR="00B02873" w:rsidRPr="00B02873" w:rsidRDefault="00B02873" w:rsidP="00A63A42">
            <w:pPr>
              <w:pStyle w:val="NoParagraphStyle"/>
              <w:spacing w:line="240" w:lineRule="auto"/>
              <w:jc w:val="right"/>
              <w:textAlignment w:val="auto"/>
              <w:rPr>
                <w:rFonts w:ascii="Apple Symbols Regular" w:hAnsi="Apple Symbols Regular" w:cs="Times New Roman"/>
                <w:color w:val="auto"/>
                <w:lang w:val="en-AU"/>
              </w:rPr>
            </w:pPr>
          </w:p>
        </w:tc>
        <w:tc>
          <w:tcPr>
            <w:tcW w:w="1900" w:type="dxa"/>
          </w:tcPr>
          <w:p w14:paraId="43B28289" w14:textId="77777777" w:rsidR="00B02873" w:rsidRPr="00B02873" w:rsidRDefault="00B02873" w:rsidP="00B415A9">
            <w:pPr>
              <w:pStyle w:val="NoParagraphStyle"/>
              <w:spacing w:line="240" w:lineRule="auto"/>
              <w:textAlignment w:val="auto"/>
              <w:rPr>
                <w:rFonts w:ascii="Apple Symbols Regular" w:hAnsi="Apple Symbols Regular" w:cs="Times New Roman"/>
                <w:color w:val="auto"/>
                <w:lang w:val="en-AU"/>
              </w:rPr>
            </w:pPr>
          </w:p>
        </w:tc>
      </w:tr>
      <w:tr w:rsidR="00B02873" w:rsidRPr="00B02873" w14:paraId="1A6738E6" w14:textId="77777777" w:rsidTr="00DC03AD">
        <w:tc>
          <w:tcPr>
            <w:tcW w:w="2972" w:type="dxa"/>
          </w:tcPr>
          <w:p w14:paraId="598D4430" w14:textId="77777777" w:rsidR="00B02873" w:rsidRDefault="00B02873" w:rsidP="00B415A9">
            <w:pPr>
              <w:pStyle w:val="TablebodyleftTables"/>
            </w:pPr>
            <w:r>
              <w:t>Hours volunteered across all government funded environmental volunteering programs</w:t>
            </w:r>
          </w:p>
        </w:tc>
        <w:tc>
          <w:tcPr>
            <w:tcW w:w="1134" w:type="dxa"/>
          </w:tcPr>
          <w:p w14:paraId="1B7DCCC4" w14:textId="77777777" w:rsidR="00B02873" w:rsidRDefault="00B02873" w:rsidP="003E0922">
            <w:pPr>
              <w:pStyle w:val="TablebodyleftTables"/>
            </w:pPr>
            <w:r>
              <w:t>number</w:t>
            </w:r>
          </w:p>
        </w:tc>
        <w:tc>
          <w:tcPr>
            <w:tcW w:w="1134" w:type="dxa"/>
          </w:tcPr>
          <w:p w14:paraId="44254130" w14:textId="77777777" w:rsidR="00B02873" w:rsidRDefault="00B02873" w:rsidP="00A63A42">
            <w:pPr>
              <w:pStyle w:val="TablebodyleftTables"/>
              <w:jc w:val="right"/>
            </w:pPr>
            <w:r>
              <w:t>675 858</w:t>
            </w:r>
            <w:r>
              <w:br/>
              <w:t>(estimate)</w:t>
            </w:r>
          </w:p>
        </w:tc>
        <w:tc>
          <w:tcPr>
            <w:tcW w:w="992" w:type="dxa"/>
          </w:tcPr>
          <w:p w14:paraId="64429AF0" w14:textId="77777777" w:rsidR="00B02873" w:rsidRDefault="00B02873" w:rsidP="00A63A42">
            <w:pPr>
              <w:pStyle w:val="TablebodyleftTables"/>
              <w:jc w:val="right"/>
            </w:pPr>
            <w:r>
              <w:t>965 350</w:t>
            </w:r>
          </w:p>
        </w:tc>
        <w:tc>
          <w:tcPr>
            <w:tcW w:w="1502" w:type="dxa"/>
          </w:tcPr>
          <w:p w14:paraId="6A3ED47C" w14:textId="77777777" w:rsidR="00B02873" w:rsidRDefault="00B02873" w:rsidP="00A63A42">
            <w:pPr>
              <w:pStyle w:val="TablebodyleftTables"/>
              <w:jc w:val="right"/>
            </w:pPr>
            <w:r>
              <w:t>(30%)</w:t>
            </w:r>
          </w:p>
        </w:tc>
        <w:tc>
          <w:tcPr>
            <w:tcW w:w="1900" w:type="dxa"/>
          </w:tcPr>
          <w:p w14:paraId="076A7716" w14:textId="0DC29FF5" w:rsidR="00B02873" w:rsidRDefault="003532BD" w:rsidP="003532BD">
            <w:pPr>
              <w:pStyle w:val="TablebodyleftTables"/>
            </w:pPr>
            <w:r w:rsidRPr="003532BD">
              <w:t>Performance target not achieved – exceeds 5 per cent variance.</w:t>
            </w:r>
          </w:p>
        </w:tc>
      </w:tr>
    </w:tbl>
    <w:p w14:paraId="0E9DDCF3" w14:textId="45432F99" w:rsidR="00DC03AD" w:rsidRDefault="00DC03AD">
      <w:r>
        <w:t>A final result will be available after September 2022 following analysis of environmental volunteering survey data. Performance is projected to be below target reflecting the ongoing impact of the COVID-19 pandemic reducing the number of events and opportunities for environmental volunteering.</w:t>
      </w:r>
    </w:p>
    <w:tbl>
      <w:tblPr>
        <w:tblStyle w:val="TableGrid"/>
        <w:tblW w:w="9634" w:type="dxa"/>
        <w:tblLayout w:type="fixed"/>
        <w:tblLook w:val="0020" w:firstRow="1" w:lastRow="0" w:firstColumn="0" w:lastColumn="0" w:noHBand="0" w:noVBand="0"/>
      </w:tblPr>
      <w:tblGrid>
        <w:gridCol w:w="2972"/>
        <w:gridCol w:w="1134"/>
        <w:gridCol w:w="1134"/>
        <w:gridCol w:w="992"/>
        <w:gridCol w:w="1502"/>
        <w:gridCol w:w="1900"/>
      </w:tblGrid>
      <w:tr w:rsidR="00DC03AD" w:rsidRPr="00B02873" w14:paraId="08D181C3" w14:textId="77777777" w:rsidTr="00B0194D">
        <w:trPr>
          <w:cnfStyle w:val="100000000000" w:firstRow="1" w:lastRow="0" w:firstColumn="0" w:lastColumn="0" w:oddVBand="0" w:evenVBand="0" w:oddHBand="0" w:evenHBand="0" w:firstRowFirstColumn="0" w:firstRowLastColumn="0" w:lastRowFirstColumn="0" w:lastRowLastColumn="0"/>
          <w:tblHeader/>
        </w:trPr>
        <w:tc>
          <w:tcPr>
            <w:tcW w:w="2972" w:type="dxa"/>
          </w:tcPr>
          <w:p w14:paraId="63C92DD8" w14:textId="77777777" w:rsidR="00DC03AD" w:rsidRDefault="00DC03AD" w:rsidP="00B0194D">
            <w:pPr>
              <w:pStyle w:val="TableheadingleftTables"/>
            </w:pPr>
            <w:r>
              <w:t>Output performance measures</w:t>
            </w:r>
          </w:p>
        </w:tc>
        <w:tc>
          <w:tcPr>
            <w:tcW w:w="1134" w:type="dxa"/>
          </w:tcPr>
          <w:p w14:paraId="37F099A0" w14:textId="77777777" w:rsidR="00DC03AD" w:rsidRDefault="00DC03AD" w:rsidP="00B0194D">
            <w:pPr>
              <w:pStyle w:val="TableheadingleftTables"/>
            </w:pPr>
            <w:r>
              <w:t>Unit of measure</w:t>
            </w:r>
          </w:p>
        </w:tc>
        <w:tc>
          <w:tcPr>
            <w:tcW w:w="1134" w:type="dxa"/>
          </w:tcPr>
          <w:p w14:paraId="24426705" w14:textId="77777777" w:rsidR="00DC03AD" w:rsidRDefault="00DC03AD" w:rsidP="00A63A42">
            <w:pPr>
              <w:pStyle w:val="TableheadingleftTables"/>
              <w:jc w:val="right"/>
            </w:pPr>
            <w:r>
              <w:t>2021-22 actual</w:t>
            </w:r>
          </w:p>
        </w:tc>
        <w:tc>
          <w:tcPr>
            <w:tcW w:w="992" w:type="dxa"/>
          </w:tcPr>
          <w:p w14:paraId="2276E0C4" w14:textId="77777777" w:rsidR="00DC03AD" w:rsidRDefault="00DC03AD" w:rsidP="00A63A42">
            <w:pPr>
              <w:pStyle w:val="TableheadingleftTables"/>
              <w:jc w:val="right"/>
            </w:pPr>
            <w:r>
              <w:t>2021-22 target</w:t>
            </w:r>
          </w:p>
        </w:tc>
        <w:tc>
          <w:tcPr>
            <w:tcW w:w="1502" w:type="dxa"/>
          </w:tcPr>
          <w:p w14:paraId="459990A6" w14:textId="77777777" w:rsidR="00DC03AD" w:rsidRDefault="00DC03AD" w:rsidP="00A63A42">
            <w:pPr>
              <w:pStyle w:val="TableheadingleftTables"/>
              <w:jc w:val="right"/>
            </w:pPr>
            <w:r>
              <w:rPr>
                <w:spacing w:val="-3"/>
              </w:rPr>
              <w:t>Performance variation (%)</w:t>
            </w:r>
          </w:p>
        </w:tc>
        <w:tc>
          <w:tcPr>
            <w:tcW w:w="1900" w:type="dxa"/>
          </w:tcPr>
          <w:p w14:paraId="2F4F1B27" w14:textId="77777777" w:rsidR="00DC03AD" w:rsidRDefault="00DC03AD" w:rsidP="00B0194D">
            <w:pPr>
              <w:pStyle w:val="TableheadingleftTables"/>
            </w:pPr>
            <w:r>
              <w:t>Result</w:t>
            </w:r>
          </w:p>
        </w:tc>
      </w:tr>
      <w:tr w:rsidR="00B02873" w:rsidRPr="00B02873" w14:paraId="04A9AB7E" w14:textId="77777777" w:rsidTr="00DC03AD">
        <w:tc>
          <w:tcPr>
            <w:tcW w:w="2972" w:type="dxa"/>
          </w:tcPr>
          <w:p w14:paraId="0B848BB0" w14:textId="77777777" w:rsidR="00B02873" w:rsidRDefault="00B02873" w:rsidP="00B415A9">
            <w:pPr>
              <w:pStyle w:val="TablebodyleftTables"/>
            </w:pPr>
            <w:r>
              <w:t>New permanently protected native vegetation on private land</w:t>
            </w:r>
          </w:p>
        </w:tc>
        <w:tc>
          <w:tcPr>
            <w:tcW w:w="1134" w:type="dxa"/>
          </w:tcPr>
          <w:p w14:paraId="76EFA7EA" w14:textId="77777777" w:rsidR="00B02873" w:rsidRDefault="00B02873" w:rsidP="003E0922">
            <w:pPr>
              <w:pStyle w:val="TablebodyleftTables"/>
            </w:pPr>
            <w:r>
              <w:t>hectares</w:t>
            </w:r>
          </w:p>
        </w:tc>
        <w:tc>
          <w:tcPr>
            <w:tcW w:w="1134" w:type="dxa"/>
          </w:tcPr>
          <w:p w14:paraId="6309B910" w14:textId="77777777" w:rsidR="00B02873" w:rsidRDefault="00B02873" w:rsidP="00A63A42">
            <w:pPr>
              <w:pStyle w:val="TablebodyleftTables"/>
              <w:jc w:val="right"/>
            </w:pPr>
            <w:r>
              <w:t>901 (estimate)</w:t>
            </w:r>
          </w:p>
        </w:tc>
        <w:tc>
          <w:tcPr>
            <w:tcW w:w="992" w:type="dxa"/>
          </w:tcPr>
          <w:p w14:paraId="070D7ACD" w14:textId="77777777" w:rsidR="00B02873" w:rsidRDefault="00B02873" w:rsidP="00A63A42">
            <w:pPr>
              <w:pStyle w:val="TablebodyleftTables"/>
              <w:jc w:val="right"/>
            </w:pPr>
            <w:r>
              <w:t>800</w:t>
            </w:r>
          </w:p>
        </w:tc>
        <w:tc>
          <w:tcPr>
            <w:tcW w:w="1502" w:type="dxa"/>
          </w:tcPr>
          <w:p w14:paraId="2B2CB1BD" w14:textId="77777777" w:rsidR="00B02873" w:rsidRDefault="00B02873" w:rsidP="00A63A42">
            <w:pPr>
              <w:pStyle w:val="TablebodyleftTables"/>
              <w:jc w:val="right"/>
            </w:pPr>
            <w:r>
              <w:t>13%</w:t>
            </w:r>
          </w:p>
        </w:tc>
        <w:tc>
          <w:tcPr>
            <w:tcW w:w="1900" w:type="dxa"/>
          </w:tcPr>
          <w:p w14:paraId="6CAB5A07" w14:textId="0A76E59E" w:rsidR="00B02873" w:rsidRDefault="003532BD" w:rsidP="003E0922">
            <w:pPr>
              <w:pStyle w:val="TablebodyleftTables"/>
            </w:pPr>
            <w:r w:rsidRPr="003532BD">
              <w:t>Performance target achieved or exceeded.</w:t>
            </w:r>
          </w:p>
        </w:tc>
      </w:tr>
    </w:tbl>
    <w:p w14:paraId="3BAC119F" w14:textId="29AFCAA0" w:rsidR="00DC03AD" w:rsidRDefault="00DC03AD">
      <w:r>
        <w:t>A final result will be available by early 2023 after completion of data analysis. Performance is projected to be above target due to more landholder agreements being finalised in 2021-22.</w:t>
      </w:r>
    </w:p>
    <w:tbl>
      <w:tblPr>
        <w:tblStyle w:val="TableGrid"/>
        <w:tblW w:w="9634" w:type="dxa"/>
        <w:tblLayout w:type="fixed"/>
        <w:tblLook w:val="0020" w:firstRow="1" w:lastRow="0" w:firstColumn="0" w:lastColumn="0" w:noHBand="0" w:noVBand="0"/>
      </w:tblPr>
      <w:tblGrid>
        <w:gridCol w:w="2972"/>
        <w:gridCol w:w="1134"/>
        <w:gridCol w:w="1134"/>
        <w:gridCol w:w="992"/>
        <w:gridCol w:w="1502"/>
        <w:gridCol w:w="1900"/>
      </w:tblGrid>
      <w:tr w:rsidR="00DC03AD" w:rsidRPr="00B02873" w14:paraId="1912ABF8" w14:textId="77777777" w:rsidTr="00746EB0">
        <w:trPr>
          <w:cnfStyle w:val="100000000000" w:firstRow="1" w:lastRow="0" w:firstColumn="0" w:lastColumn="0" w:oddVBand="0" w:evenVBand="0" w:oddHBand="0" w:evenHBand="0" w:firstRowFirstColumn="0" w:firstRowLastColumn="0" w:lastRowFirstColumn="0" w:lastRowLastColumn="0"/>
          <w:tblHeader/>
        </w:trPr>
        <w:tc>
          <w:tcPr>
            <w:tcW w:w="2972" w:type="dxa"/>
          </w:tcPr>
          <w:p w14:paraId="63EA4C30" w14:textId="77777777" w:rsidR="00DC03AD" w:rsidRDefault="00DC03AD" w:rsidP="00746EB0">
            <w:pPr>
              <w:pStyle w:val="TableheadingleftTables"/>
            </w:pPr>
            <w:r>
              <w:lastRenderedPageBreak/>
              <w:t>Output performance measures</w:t>
            </w:r>
          </w:p>
        </w:tc>
        <w:tc>
          <w:tcPr>
            <w:tcW w:w="1134" w:type="dxa"/>
          </w:tcPr>
          <w:p w14:paraId="2E79C4BA" w14:textId="77777777" w:rsidR="00DC03AD" w:rsidRDefault="00DC03AD" w:rsidP="00746EB0">
            <w:pPr>
              <w:pStyle w:val="TableheadingleftTables"/>
            </w:pPr>
            <w:r>
              <w:t>Unit of measure</w:t>
            </w:r>
          </w:p>
        </w:tc>
        <w:tc>
          <w:tcPr>
            <w:tcW w:w="1134" w:type="dxa"/>
          </w:tcPr>
          <w:p w14:paraId="107CCDA5" w14:textId="77777777" w:rsidR="00DC03AD" w:rsidRDefault="00DC03AD" w:rsidP="00A63A42">
            <w:pPr>
              <w:pStyle w:val="TableheadingleftTables"/>
              <w:jc w:val="right"/>
            </w:pPr>
            <w:r>
              <w:t>2021-22 actual</w:t>
            </w:r>
          </w:p>
        </w:tc>
        <w:tc>
          <w:tcPr>
            <w:tcW w:w="992" w:type="dxa"/>
          </w:tcPr>
          <w:p w14:paraId="1EE9DDA7" w14:textId="77777777" w:rsidR="00DC03AD" w:rsidRDefault="00DC03AD" w:rsidP="00A63A42">
            <w:pPr>
              <w:pStyle w:val="TableheadingleftTables"/>
              <w:jc w:val="right"/>
            </w:pPr>
            <w:r>
              <w:t>2021-22 target</w:t>
            </w:r>
          </w:p>
        </w:tc>
        <w:tc>
          <w:tcPr>
            <w:tcW w:w="1502" w:type="dxa"/>
          </w:tcPr>
          <w:p w14:paraId="0CE917AD" w14:textId="77777777" w:rsidR="00DC03AD" w:rsidRDefault="00DC03AD" w:rsidP="00A63A42">
            <w:pPr>
              <w:pStyle w:val="TableheadingleftTables"/>
              <w:jc w:val="right"/>
            </w:pPr>
            <w:r>
              <w:rPr>
                <w:spacing w:val="-3"/>
              </w:rPr>
              <w:t>Performance variation (%)</w:t>
            </w:r>
          </w:p>
        </w:tc>
        <w:tc>
          <w:tcPr>
            <w:tcW w:w="1900" w:type="dxa"/>
          </w:tcPr>
          <w:p w14:paraId="653E10AD" w14:textId="77777777" w:rsidR="00DC03AD" w:rsidRDefault="00DC03AD" w:rsidP="00746EB0">
            <w:pPr>
              <w:pStyle w:val="TableheadingleftTables"/>
            </w:pPr>
            <w:r>
              <w:t>Result</w:t>
            </w:r>
          </w:p>
        </w:tc>
      </w:tr>
      <w:tr w:rsidR="00B02873" w:rsidRPr="00B02873" w14:paraId="2DF1E5AA" w14:textId="77777777" w:rsidTr="00DC03AD">
        <w:tc>
          <w:tcPr>
            <w:tcW w:w="2972" w:type="dxa"/>
          </w:tcPr>
          <w:p w14:paraId="42E07D27" w14:textId="77777777" w:rsidR="00B02873" w:rsidRDefault="00B02873" w:rsidP="00B415A9">
            <w:pPr>
              <w:pStyle w:val="TablebodyleftTables"/>
            </w:pPr>
            <w:r>
              <w:t>Hectares of weed control in priority locations</w:t>
            </w:r>
          </w:p>
        </w:tc>
        <w:tc>
          <w:tcPr>
            <w:tcW w:w="1134" w:type="dxa"/>
          </w:tcPr>
          <w:p w14:paraId="392E0BF2" w14:textId="77777777" w:rsidR="00B02873" w:rsidRDefault="00B02873" w:rsidP="003E0922">
            <w:pPr>
              <w:pStyle w:val="TablebodyleftTables"/>
            </w:pPr>
            <w:r>
              <w:t>hectares</w:t>
            </w:r>
          </w:p>
        </w:tc>
        <w:tc>
          <w:tcPr>
            <w:tcW w:w="1134" w:type="dxa"/>
          </w:tcPr>
          <w:p w14:paraId="368D2765" w14:textId="77777777" w:rsidR="00B02873" w:rsidRDefault="00B02873" w:rsidP="00A63A42">
            <w:pPr>
              <w:pStyle w:val="TablebodyleftTables"/>
              <w:jc w:val="right"/>
            </w:pPr>
            <w:r>
              <w:t>160 000 (estimate)</w:t>
            </w:r>
          </w:p>
        </w:tc>
        <w:tc>
          <w:tcPr>
            <w:tcW w:w="992" w:type="dxa"/>
          </w:tcPr>
          <w:p w14:paraId="602D176B" w14:textId="77777777" w:rsidR="00B02873" w:rsidRDefault="00B02873" w:rsidP="00A63A42">
            <w:pPr>
              <w:pStyle w:val="TablebodyleftTables"/>
              <w:jc w:val="right"/>
            </w:pPr>
            <w:r>
              <w:t>140 000</w:t>
            </w:r>
          </w:p>
        </w:tc>
        <w:tc>
          <w:tcPr>
            <w:tcW w:w="1502" w:type="dxa"/>
          </w:tcPr>
          <w:p w14:paraId="3CE859E2" w14:textId="77777777" w:rsidR="00B02873" w:rsidRDefault="00B02873" w:rsidP="00A63A42">
            <w:pPr>
              <w:pStyle w:val="TablebodyleftTables"/>
              <w:jc w:val="right"/>
            </w:pPr>
            <w:r>
              <w:t>14%</w:t>
            </w:r>
          </w:p>
        </w:tc>
        <w:tc>
          <w:tcPr>
            <w:tcW w:w="1900" w:type="dxa"/>
          </w:tcPr>
          <w:p w14:paraId="38CD102A" w14:textId="15B54EA2" w:rsidR="00B02873" w:rsidRDefault="003532BD" w:rsidP="003E0922">
            <w:pPr>
              <w:pStyle w:val="TablebodyleftTables"/>
            </w:pPr>
            <w:r w:rsidRPr="003532BD">
              <w:t>Performance target achieved or exceeded.</w:t>
            </w:r>
          </w:p>
        </w:tc>
      </w:tr>
    </w:tbl>
    <w:p w14:paraId="74FCA6B2" w14:textId="3F089F9B" w:rsidR="00DC03AD" w:rsidRDefault="00DC03AD">
      <w:r>
        <w:t>A final result will be available by early 2023 after completion of data analysis. Performance is projected to be above target due to re-focused effort towards optimum timing for weed control after bushfires.</w:t>
      </w:r>
    </w:p>
    <w:tbl>
      <w:tblPr>
        <w:tblStyle w:val="TableGrid"/>
        <w:tblW w:w="9634" w:type="dxa"/>
        <w:tblLayout w:type="fixed"/>
        <w:tblLook w:val="0020" w:firstRow="1" w:lastRow="0" w:firstColumn="0" w:lastColumn="0" w:noHBand="0" w:noVBand="0"/>
      </w:tblPr>
      <w:tblGrid>
        <w:gridCol w:w="2972"/>
        <w:gridCol w:w="1134"/>
        <w:gridCol w:w="1134"/>
        <w:gridCol w:w="992"/>
        <w:gridCol w:w="1502"/>
        <w:gridCol w:w="1900"/>
      </w:tblGrid>
      <w:tr w:rsidR="00DC03AD" w:rsidRPr="00B02873" w14:paraId="2A7141BC" w14:textId="77777777" w:rsidTr="00B574F1">
        <w:trPr>
          <w:cnfStyle w:val="100000000000" w:firstRow="1" w:lastRow="0" w:firstColumn="0" w:lastColumn="0" w:oddVBand="0" w:evenVBand="0" w:oddHBand="0" w:evenHBand="0" w:firstRowFirstColumn="0" w:firstRowLastColumn="0" w:lastRowFirstColumn="0" w:lastRowLastColumn="0"/>
          <w:tblHeader/>
        </w:trPr>
        <w:tc>
          <w:tcPr>
            <w:tcW w:w="2972" w:type="dxa"/>
          </w:tcPr>
          <w:p w14:paraId="0D54D48A" w14:textId="77777777" w:rsidR="00DC03AD" w:rsidRDefault="00DC03AD" w:rsidP="00B574F1">
            <w:pPr>
              <w:pStyle w:val="TableheadingleftTables"/>
            </w:pPr>
            <w:r>
              <w:t>Output performance measures</w:t>
            </w:r>
          </w:p>
        </w:tc>
        <w:tc>
          <w:tcPr>
            <w:tcW w:w="1134" w:type="dxa"/>
          </w:tcPr>
          <w:p w14:paraId="0A6A6EFA" w14:textId="77777777" w:rsidR="00DC03AD" w:rsidRDefault="00DC03AD" w:rsidP="00B574F1">
            <w:pPr>
              <w:pStyle w:val="TableheadingleftTables"/>
            </w:pPr>
            <w:r>
              <w:t>Unit of measure</w:t>
            </w:r>
          </w:p>
        </w:tc>
        <w:tc>
          <w:tcPr>
            <w:tcW w:w="1134" w:type="dxa"/>
          </w:tcPr>
          <w:p w14:paraId="3030332E" w14:textId="77777777" w:rsidR="00DC03AD" w:rsidRDefault="00DC03AD" w:rsidP="00A63A42">
            <w:pPr>
              <w:pStyle w:val="TableheadingleftTables"/>
              <w:jc w:val="right"/>
            </w:pPr>
            <w:r>
              <w:t>2021-22 actual</w:t>
            </w:r>
          </w:p>
        </w:tc>
        <w:tc>
          <w:tcPr>
            <w:tcW w:w="992" w:type="dxa"/>
          </w:tcPr>
          <w:p w14:paraId="442834B1" w14:textId="77777777" w:rsidR="00DC03AD" w:rsidRDefault="00DC03AD" w:rsidP="00A63A42">
            <w:pPr>
              <w:pStyle w:val="TableheadingleftTables"/>
              <w:jc w:val="right"/>
            </w:pPr>
            <w:r>
              <w:t>2021-22 target</w:t>
            </w:r>
          </w:p>
        </w:tc>
        <w:tc>
          <w:tcPr>
            <w:tcW w:w="1502" w:type="dxa"/>
          </w:tcPr>
          <w:p w14:paraId="557A40FE" w14:textId="77777777" w:rsidR="00DC03AD" w:rsidRDefault="00DC03AD" w:rsidP="00A63A42">
            <w:pPr>
              <w:pStyle w:val="TableheadingleftTables"/>
              <w:jc w:val="right"/>
            </w:pPr>
            <w:r>
              <w:rPr>
                <w:spacing w:val="-3"/>
              </w:rPr>
              <w:t>Performance variation (%)</w:t>
            </w:r>
          </w:p>
        </w:tc>
        <w:tc>
          <w:tcPr>
            <w:tcW w:w="1900" w:type="dxa"/>
          </w:tcPr>
          <w:p w14:paraId="4E1C302E" w14:textId="77777777" w:rsidR="00DC03AD" w:rsidRDefault="00DC03AD" w:rsidP="00B574F1">
            <w:pPr>
              <w:pStyle w:val="TableheadingleftTables"/>
            </w:pPr>
            <w:r>
              <w:t>Result</w:t>
            </w:r>
          </w:p>
        </w:tc>
      </w:tr>
      <w:tr w:rsidR="00B02873" w:rsidRPr="00B02873" w14:paraId="57C40FC3" w14:textId="77777777" w:rsidTr="00DC03AD">
        <w:tc>
          <w:tcPr>
            <w:tcW w:w="2972" w:type="dxa"/>
          </w:tcPr>
          <w:p w14:paraId="4B950351" w14:textId="77777777" w:rsidR="00B02873" w:rsidRDefault="00B02873" w:rsidP="00B415A9">
            <w:pPr>
              <w:pStyle w:val="TablebodyleftTables"/>
            </w:pPr>
            <w:r>
              <w:t>Hectares of pest predator control in priority locations</w:t>
            </w:r>
          </w:p>
        </w:tc>
        <w:tc>
          <w:tcPr>
            <w:tcW w:w="1134" w:type="dxa"/>
          </w:tcPr>
          <w:p w14:paraId="2EAD2919" w14:textId="77777777" w:rsidR="00B02873" w:rsidRDefault="00B02873" w:rsidP="003E0922">
            <w:pPr>
              <w:pStyle w:val="TablebodyleftTables"/>
            </w:pPr>
            <w:r>
              <w:t>hectares</w:t>
            </w:r>
          </w:p>
        </w:tc>
        <w:tc>
          <w:tcPr>
            <w:tcW w:w="1134" w:type="dxa"/>
          </w:tcPr>
          <w:p w14:paraId="440E626C" w14:textId="77777777" w:rsidR="00B02873" w:rsidRDefault="00B02873" w:rsidP="00A63A42">
            <w:pPr>
              <w:pStyle w:val="TablebodyleftTables"/>
              <w:jc w:val="right"/>
            </w:pPr>
            <w:r>
              <w:t>700 000</w:t>
            </w:r>
            <w:r>
              <w:br/>
              <w:t>(estimate)</w:t>
            </w:r>
          </w:p>
        </w:tc>
        <w:tc>
          <w:tcPr>
            <w:tcW w:w="992" w:type="dxa"/>
          </w:tcPr>
          <w:p w14:paraId="76E2A7DE" w14:textId="77777777" w:rsidR="00B02873" w:rsidRDefault="00B02873" w:rsidP="00A63A42">
            <w:pPr>
              <w:pStyle w:val="TablebodyleftTables"/>
              <w:jc w:val="right"/>
            </w:pPr>
            <w:r>
              <w:t>400 000</w:t>
            </w:r>
          </w:p>
        </w:tc>
        <w:tc>
          <w:tcPr>
            <w:tcW w:w="1502" w:type="dxa"/>
          </w:tcPr>
          <w:p w14:paraId="704ED94B" w14:textId="77777777" w:rsidR="00B02873" w:rsidRDefault="00B02873" w:rsidP="00A63A42">
            <w:pPr>
              <w:pStyle w:val="TablebodyleftTables"/>
              <w:jc w:val="right"/>
            </w:pPr>
            <w:r>
              <w:t>75%</w:t>
            </w:r>
          </w:p>
        </w:tc>
        <w:tc>
          <w:tcPr>
            <w:tcW w:w="1900" w:type="dxa"/>
          </w:tcPr>
          <w:p w14:paraId="1BF316F2" w14:textId="6386E673" w:rsidR="00B02873" w:rsidRDefault="003532BD" w:rsidP="003532BD">
            <w:pPr>
              <w:pStyle w:val="TablebodyleftTables"/>
            </w:pPr>
            <w:r w:rsidRPr="003532BD">
              <w:t>Performance target achieved or exceeded.</w:t>
            </w:r>
          </w:p>
        </w:tc>
      </w:tr>
    </w:tbl>
    <w:p w14:paraId="16D6C6E2" w14:textId="38B1C1DD" w:rsidR="00DC03AD" w:rsidRDefault="00DC03AD">
      <w:r>
        <w:t>A final result will be available by early 2023 after completion of data analysis. Performance is projected to be above target due to increased pest predator control through bushfire recovery activity. The continuation of existing programs has also created efficiencies in delivery and enabled a larger area of control than was initially planned.</w:t>
      </w:r>
    </w:p>
    <w:tbl>
      <w:tblPr>
        <w:tblStyle w:val="TableGrid"/>
        <w:tblW w:w="9634" w:type="dxa"/>
        <w:tblLayout w:type="fixed"/>
        <w:tblLook w:val="0020" w:firstRow="1" w:lastRow="0" w:firstColumn="0" w:lastColumn="0" w:noHBand="0" w:noVBand="0"/>
      </w:tblPr>
      <w:tblGrid>
        <w:gridCol w:w="2972"/>
        <w:gridCol w:w="1134"/>
        <w:gridCol w:w="1134"/>
        <w:gridCol w:w="992"/>
        <w:gridCol w:w="1502"/>
        <w:gridCol w:w="1900"/>
      </w:tblGrid>
      <w:tr w:rsidR="00DC03AD" w:rsidRPr="00B02873" w14:paraId="50BE0EB1" w14:textId="77777777" w:rsidTr="000C3818">
        <w:trPr>
          <w:cnfStyle w:val="100000000000" w:firstRow="1" w:lastRow="0" w:firstColumn="0" w:lastColumn="0" w:oddVBand="0" w:evenVBand="0" w:oddHBand="0" w:evenHBand="0" w:firstRowFirstColumn="0" w:firstRowLastColumn="0" w:lastRowFirstColumn="0" w:lastRowLastColumn="0"/>
          <w:tblHeader/>
        </w:trPr>
        <w:tc>
          <w:tcPr>
            <w:tcW w:w="2972" w:type="dxa"/>
          </w:tcPr>
          <w:p w14:paraId="35C187C7" w14:textId="77777777" w:rsidR="00DC03AD" w:rsidRDefault="00DC03AD" w:rsidP="000C3818">
            <w:pPr>
              <w:pStyle w:val="TableheadingleftTables"/>
            </w:pPr>
            <w:r>
              <w:t>Output performance measures</w:t>
            </w:r>
          </w:p>
        </w:tc>
        <w:tc>
          <w:tcPr>
            <w:tcW w:w="1134" w:type="dxa"/>
          </w:tcPr>
          <w:p w14:paraId="5C82BB07" w14:textId="77777777" w:rsidR="00DC03AD" w:rsidRDefault="00DC03AD" w:rsidP="000C3818">
            <w:pPr>
              <w:pStyle w:val="TableheadingleftTables"/>
            </w:pPr>
            <w:r>
              <w:t>Unit of measure</w:t>
            </w:r>
          </w:p>
        </w:tc>
        <w:tc>
          <w:tcPr>
            <w:tcW w:w="1134" w:type="dxa"/>
          </w:tcPr>
          <w:p w14:paraId="1E4DDE4D" w14:textId="77777777" w:rsidR="00DC03AD" w:rsidRDefault="00DC03AD" w:rsidP="00A63A42">
            <w:pPr>
              <w:pStyle w:val="TableheadingleftTables"/>
              <w:jc w:val="right"/>
            </w:pPr>
            <w:r>
              <w:t>2021-22 actual</w:t>
            </w:r>
          </w:p>
        </w:tc>
        <w:tc>
          <w:tcPr>
            <w:tcW w:w="992" w:type="dxa"/>
          </w:tcPr>
          <w:p w14:paraId="2C55F2E3" w14:textId="77777777" w:rsidR="00DC03AD" w:rsidRDefault="00DC03AD" w:rsidP="00A63A42">
            <w:pPr>
              <w:pStyle w:val="TableheadingleftTables"/>
              <w:jc w:val="right"/>
            </w:pPr>
            <w:r>
              <w:t>2021-22 target</w:t>
            </w:r>
          </w:p>
        </w:tc>
        <w:tc>
          <w:tcPr>
            <w:tcW w:w="1502" w:type="dxa"/>
          </w:tcPr>
          <w:p w14:paraId="7853A9CE" w14:textId="77777777" w:rsidR="00DC03AD" w:rsidRDefault="00DC03AD" w:rsidP="00A63A42">
            <w:pPr>
              <w:pStyle w:val="TableheadingleftTables"/>
              <w:jc w:val="right"/>
            </w:pPr>
            <w:r>
              <w:rPr>
                <w:spacing w:val="-3"/>
              </w:rPr>
              <w:t>Performance variation (%)</w:t>
            </w:r>
          </w:p>
        </w:tc>
        <w:tc>
          <w:tcPr>
            <w:tcW w:w="1900" w:type="dxa"/>
          </w:tcPr>
          <w:p w14:paraId="3CA63EA5" w14:textId="77777777" w:rsidR="00DC03AD" w:rsidRDefault="00DC03AD" w:rsidP="000C3818">
            <w:pPr>
              <w:pStyle w:val="TableheadingleftTables"/>
            </w:pPr>
            <w:r>
              <w:t>Result</w:t>
            </w:r>
          </w:p>
        </w:tc>
      </w:tr>
      <w:tr w:rsidR="00B02873" w:rsidRPr="00B02873" w14:paraId="119E4E55" w14:textId="77777777" w:rsidTr="00DC03AD">
        <w:tc>
          <w:tcPr>
            <w:tcW w:w="2972" w:type="dxa"/>
          </w:tcPr>
          <w:p w14:paraId="1F116DEE" w14:textId="26467278" w:rsidR="00B02873" w:rsidRDefault="00B02873" w:rsidP="00B415A9">
            <w:pPr>
              <w:pStyle w:val="TablebodyleftTables"/>
            </w:pPr>
            <w:r>
              <w:t>Hectares of pest herbivore control in priority locations</w:t>
            </w:r>
          </w:p>
        </w:tc>
        <w:tc>
          <w:tcPr>
            <w:tcW w:w="1134" w:type="dxa"/>
          </w:tcPr>
          <w:p w14:paraId="7AB30339" w14:textId="77777777" w:rsidR="00B02873" w:rsidRDefault="00B02873" w:rsidP="003E0922">
            <w:pPr>
              <w:pStyle w:val="TablebodyleftTables"/>
            </w:pPr>
            <w:r>
              <w:t>hectares</w:t>
            </w:r>
          </w:p>
        </w:tc>
        <w:tc>
          <w:tcPr>
            <w:tcW w:w="1134" w:type="dxa"/>
          </w:tcPr>
          <w:p w14:paraId="408F91A6" w14:textId="77777777" w:rsidR="00B02873" w:rsidRDefault="00B02873" w:rsidP="00A63A42">
            <w:pPr>
              <w:pStyle w:val="TablebodyleftTables"/>
              <w:jc w:val="right"/>
            </w:pPr>
            <w:r>
              <w:t>700 000</w:t>
            </w:r>
            <w:r>
              <w:br/>
              <w:t>(estimate)</w:t>
            </w:r>
          </w:p>
        </w:tc>
        <w:tc>
          <w:tcPr>
            <w:tcW w:w="992" w:type="dxa"/>
          </w:tcPr>
          <w:p w14:paraId="5ED37587" w14:textId="77777777" w:rsidR="00B02873" w:rsidRDefault="00B02873" w:rsidP="00A63A42">
            <w:pPr>
              <w:pStyle w:val="TablebodyleftTables"/>
              <w:jc w:val="right"/>
            </w:pPr>
            <w:r>
              <w:t>500 000</w:t>
            </w:r>
          </w:p>
        </w:tc>
        <w:tc>
          <w:tcPr>
            <w:tcW w:w="1502" w:type="dxa"/>
          </w:tcPr>
          <w:p w14:paraId="7150AF48" w14:textId="77777777" w:rsidR="00B02873" w:rsidRDefault="00B02873" w:rsidP="00A63A42">
            <w:pPr>
              <w:pStyle w:val="TablebodyleftTables"/>
              <w:jc w:val="right"/>
            </w:pPr>
            <w:r>
              <w:t>40%</w:t>
            </w:r>
          </w:p>
        </w:tc>
        <w:tc>
          <w:tcPr>
            <w:tcW w:w="1900" w:type="dxa"/>
          </w:tcPr>
          <w:p w14:paraId="3F6144EF" w14:textId="06B1AA25" w:rsidR="00B02873" w:rsidRDefault="003532BD" w:rsidP="003E0922">
            <w:pPr>
              <w:pStyle w:val="TablebodyleftTables"/>
            </w:pPr>
            <w:r w:rsidRPr="003532BD">
              <w:t>Performance target achieved or exceeded.</w:t>
            </w:r>
          </w:p>
        </w:tc>
      </w:tr>
    </w:tbl>
    <w:p w14:paraId="0FEA505F" w14:textId="2226B20C" w:rsidR="00DC03AD" w:rsidRDefault="00DC03AD">
      <w:r>
        <w:t>A final result will be available by early 2023 after completion of data analysis. Performance is projected to be above target due to increased pest herbivore control through the adoption of new approaches allowing a greater area of control to be achieved than initially planned under the bushfire recovery activity and the deer control program.</w:t>
      </w:r>
    </w:p>
    <w:tbl>
      <w:tblPr>
        <w:tblStyle w:val="TableGrid"/>
        <w:tblW w:w="9634" w:type="dxa"/>
        <w:tblLayout w:type="fixed"/>
        <w:tblLook w:val="0020" w:firstRow="1" w:lastRow="0" w:firstColumn="0" w:lastColumn="0" w:noHBand="0" w:noVBand="0"/>
      </w:tblPr>
      <w:tblGrid>
        <w:gridCol w:w="2972"/>
        <w:gridCol w:w="1134"/>
        <w:gridCol w:w="1134"/>
        <w:gridCol w:w="992"/>
        <w:gridCol w:w="1502"/>
        <w:gridCol w:w="1900"/>
      </w:tblGrid>
      <w:tr w:rsidR="00DC03AD" w:rsidRPr="00B02873" w14:paraId="7F8EDCB1" w14:textId="77777777" w:rsidTr="009B1251">
        <w:trPr>
          <w:cnfStyle w:val="100000000000" w:firstRow="1" w:lastRow="0" w:firstColumn="0" w:lastColumn="0" w:oddVBand="0" w:evenVBand="0" w:oddHBand="0" w:evenHBand="0" w:firstRowFirstColumn="0" w:firstRowLastColumn="0" w:lastRowFirstColumn="0" w:lastRowLastColumn="0"/>
          <w:tblHeader/>
        </w:trPr>
        <w:tc>
          <w:tcPr>
            <w:tcW w:w="2972" w:type="dxa"/>
          </w:tcPr>
          <w:p w14:paraId="2F77B7CF" w14:textId="77777777" w:rsidR="00DC03AD" w:rsidRDefault="00DC03AD" w:rsidP="009B1251">
            <w:pPr>
              <w:pStyle w:val="TableheadingleftTables"/>
            </w:pPr>
            <w:r>
              <w:t>Output performance measures</w:t>
            </w:r>
          </w:p>
        </w:tc>
        <w:tc>
          <w:tcPr>
            <w:tcW w:w="1134" w:type="dxa"/>
          </w:tcPr>
          <w:p w14:paraId="1ED35818" w14:textId="77777777" w:rsidR="00DC03AD" w:rsidRDefault="00DC03AD" w:rsidP="009B1251">
            <w:pPr>
              <w:pStyle w:val="TableheadingleftTables"/>
            </w:pPr>
            <w:r>
              <w:t>Unit of measure</w:t>
            </w:r>
          </w:p>
        </w:tc>
        <w:tc>
          <w:tcPr>
            <w:tcW w:w="1134" w:type="dxa"/>
          </w:tcPr>
          <w:p w14:paraId="2CE746AB" w14:textId="77777777" w:rsidR="00DC03AD" w:rsidRDefault="00DC03AD" w:rsidP="00A63A42">
            <w:pPr>
              <w:pStyle w:val="TableheadingleftTables"/>
              <w:jc w:val="right"/>
            </w:pPr>
            <w:r>
              <w:t>2021-22 actual</w:t>
            </w:r>
          </w:p>
        </w:tc>
        <w:tc>
          <w:tcPr>
            <w:tcW w:w="992" w:type="dxa"/>
          </w:tcPr>
          <w:p w14:paraId="3F8EDF92" w14:textId="77777777" w:rsidR="00DC03AD" w:rsidRDefault="00DC03AD" w:rsidP="00A63A42">
            <w:pPr>
              <w:pStyle w:val="TableheadingleftTables"/>
              <w:jc w:val="right"/>
            </w:pPr>
            <w:r>
              <w:t>2021-22 target</w:t>
            </w:r>
          </w:p>
        </w:tc>
        <w:tc>
          <w:tcPr>
            <w:tcW w:w="1502" w:type="dxa"/>
          </w:tcPr>
          <w:p w14:paraId="6723A885" w14:textId="77777777" w:rsidR="00DC03AD" w:rsidRDefault="00DC03AD" w:rsidP="00A63A42">
            <w:pPr>
              <w:pStyle w:val="TableheadingleftTables"/>
              <w:jc w:val="right"/>
            </w:pPr>
            <w:r>
              <w:rPr>
                <w:spacing w:val="-3"/>
              </w:rPr>
              <w:t>Performance variation (%)</w:t>
            </w:r>
          </w:p>
        </w:tc>
        <w:tc>
          <w:tcPr>
            <w:tcW w:w="1900" w:type="dxa"/>
          </w:tcPr>
          <w:p w14:paraId="5E04F744" w14:textId="77777777" w:rsidR="00DC03AD" w:rsidRDefault="00DC03AD" w:rsidP="009B1251">
            <w:pPr>
              <w:pStyle w:val="TableheadingleftTables"/>
            </w:pPr>
            <w:r>
              <w:t>Result</w:t>
            </w:r>
          </w:p>
        </w:tc>
      </w:tr>
      <w:tr w:rsidR="00B02873" w:rsidRPr="00B02873" w14:paraId="52BDB121" w14:textId="77777777" w:rsidTr="00DC03AD">
        <w:tc>
          <w:tcPr>
            <w:tcW w:w="2972" w:type="dxa"/>
          </w:tcPr>
          <w:p w14:paraId="175B98B9" w14:textId="77777777" w:rsidR="00B02873" w:rsidRDefault="00B02873" w:rsidP="00B415A9">
            <w:pPr>
              <w:pStyle w:val="TablebodyleftTables"/>
            </w:pPr>
            <w:r>
              <w:t>Hectares of revegetation in priority locations for habitat connectivity</w:t>
            </w:r>
          </w:p>
        </w:tc>
        <w:tc>
          <w:tcPr>
            <w:tcW w:w="1134" w:type="dxa"/>
          </w:tcPr>
          <w:p w14:paraId="2FFEA28C" w14:textId="77777777" w:rsidR="00B02873" w:rsidRDefault="00B02873" w:rsidP="003E0922">
            <w:pPr>
              <w:pStyle w:val="TablebodyleftTables"/>
            </w:pPr>
            <w:r>
              <w:t>hectares</w:t>
            </w:r>
          </w:p>
        </w:tc>
        <w:tc>
          <w:tcPr>
            <w:tcW w:w="1134" w:type="dxa"/>
          </w:tcPr>
          <w:p w14:paraId="56AEB2EE" w14:textId="77777777" w:rsidR="00B02873" w:rsidRDefault="00B02873" w:rsidP="00A63A42">
            <w:pPr>
              <w:pStyle w:val="TablebodyleftTables"/>
              <w:jc w:val="right"/>
            </w:pPr>
            <w:r>
              <w:t>300</w:t>
            </w:r>
            <w:r>
              <w:br/>
              <w:t>(estimate)</w:t>
            </w:r>
          </w:p>
        </w:tc>
        <w:tc>
          <w:tcPr>
            <w:tcW w:w="992" w:type="dxa"/>
          </w:tcPr>
          <w:p w14:paraId="07134365" w14:textId="77777777" w:rsidR="00B02873" w:rsidRDefault="00B02873" w:rsidP="00A63A42">
            <w:pPr>
              <w:pStyle w:val="TablebodyleftTables"/>
              <w:jc w:val="right"/>
            </w:pPr>
            <w:r>
              <w:t>1 000</w:t>
            </w:r>
          </w:p>
        </w:tc>
        <w:tc>
          <w:tcPr>
            <w:tcW w:w="1502" w:type="dxa"/>
          </w:tcPr>
          <w:p w14:paraId="090D3D48" w14:textId="77777777" w:rsidR="00B02873" w:rsidRDefault="00B02873" w:rsidP="00A63A42">
            <w:pPr>
              <w:pStyle w:val="TablebodyleftTables"/>
              <w:jc w:val="right"/>
            </w:pPr>
            <w:r>
              <w:t>(70%)</w:t>
            </w:r>
          </w:p>
        </w:tc>
        <w:tc>
          <w:tcPr>
            <w:tcW w:w="1900" w:type="dxa"/>
          </w:tcPr>
          <w:p w14:paraId="5BF4A07D" w14:textId="5304047E" w:rsidR="00B02873" w:rsidRDefault="003532BD" w:rsidP="003532BD">
            <w:pPr>
              <w:pStyle w:val="TablebodyleftTables"/>
            </w:pPr>
            <w:r w:rsidRPr="003532BD">
              <w:t>Performance target not achieved – exceeds 5 per cent variance.</w:t>
            </w:r>
          </w:p>
        </w:tc>
      </w:tr>
    </w:tbl>
    <w:p w14:paraId="2EFC5DD8" w14:textId="5695007F" w:rsidR="00DC03AD" w:rsidRDefault="00DC03AD">
      <w:r>
        <w:t>A final result will be available by early 2023 after completion of data analysis. Performance is projected to be below target due to reprioritisation of resources to bushfire recovery, pest and herbivore control activities, and additional time required for stakeholder engagement to plan the implementation of large-scale revegetation programs. This reprioritisation enabled a greater benefit to more species, in line with Biodiversity 2037 outcomes.</w:t>
      </w:r>
    </w:p>
    <w:tbl>
      <w:tblPr>
        <w:tblStyle w:val="TableGrid"/>
        <w:tblW w:w="9634" w:type="dxa"/>
        <w:tblLayout w:type="fixed"/>
        <w:tblLook w:val="0020" w:firstRow="1" w:lastRow="0" w:firstColumn="0" w:lastColumn="0" w:noHBand="0" w:noVBand="0"/>
      </w:tblPr>
      <w:tblGrid>
        <w:gridCol w:w="2972"/>
        <w:gridCol w:w="1134"/>
        <w:gridCol w:w="1134"/>
        <w:gridCol w:w="992"/>
        <w:gridCol w:w="1502"/>
        <w:gridCol w:w="1900"/>
      </w:tblGrid>
      <w:tr w:rsidR="00DC03AD" w:rsidRPr="00B02873" w14:paraId="252247AF" w14:textId="77777777" w:rsidTr="007116F3">
        <w:trPr>
          <w:cnfStyle w:val="100000000000" w:firstRow="1" w:lastRow="0" w:firstColumn="0" w:lastColumn="0" w:oddVBand="0" w:evenVBand="0" w:oddHBand="0" w:evenHBand="0" w:firstRowFirstColumn="0" w:firstRowLastColumn="0" w:lastRowFirstColumn="0" w:lastRowLastColumn="0"/>
          <w:tblHeader/>
        </w:trPr>
        <w:tc>
          <w:tcPr>
            <w:tcW w:w="2972" w:type="dxa"/>
          </w:tcPr>
          <w:p w14:paraId="1CDE50F6" w14:textId="77777777" w:rsidR="00DC03AD" w:rsidRDefault="00DC03AD" w:rsidP="007116F3">
            <w:pPr>
              <w:pStyle w:val="TableheadingleftTables"/>
            </w:pPr>
            <w:r>
              <w:lastRenderedPageBreak/>
              <w:t>Output performance measures</w:t>
            </w:r>
          </w:p>
        </w:tc>
        <w:tc>
          <w:tcPr>
            <w:tcW w:w="1134" w:type="dxa"/>
          </w:tcPr>
          <w:p w14:paraId="17D4BD2B" w14:textId="77777777" w:rsidR="00DC03AD" w:rsidRDefault="00DC03AD" w:rsidP="007116F3">
            <w:pPr>
              <w:pStyle w:val="TableheadingleftTables"/>
            </w:pPr>
            <w:r>
              <w:t>Unit of measure</w:t>
            </w:r>
          </w:p>
        </w:tc>
        <w:tc>
          <w:tcPr>
            <w:tcW w:w="1134" w:type="dxa"/>
          </w:tcPr>
          <w:p w14:paraId="5769DF41" w14:textId="77777777" w:rsidR="00DC03AD" w:rsidRDefault="00DC03AD" w:rsidP="00A63A42">
            <w:pPr>
              <w:pStyle w:val="TableheadingleftTables"/>
              <w:jc w:val="right"/>
            </w:pPr>
            <w:r>
              <w:t>2021-22 actual</w:t>
            </w:r>
          </w:p>
        </w:tc>
        <w:tc>
          <w:tcPr>
            <w:tcW w:w="992" w:type="dxa"/>
          </w:tcPr>
          <w:p w14:paraId="13A6A924" w14:textId="77777777" w:rsidR="00DC03AD" w:rsidRDefault="00DC03AD" w:rsidP="00A63A42">
            <w:pPr>
              <w:pStyle w:val="TableheadingleftTables"/>
              <w:jc w:val="right"/>
            </w:pPr>
            <w:r>
              <w:t>2021-22 target</w:t>
            </w:r>
          </w:p>
        </w:tc>
        <w:tc>
          <w:tcPr>
            <w:tcW w:w="1502" w:type="dxa"/>
          </w:tcPr>
          <w:p w14:paraId="7BB38C76" w14:textId="77777777" w:rsidR="00DC03AD" w:rsidRDefault="00DC03AD" w:rsidP="00A63A42">
            <w:pPr>
              <w:pStyle w:val="TableheadingleftTables"/>
              <w:jc w:val="right"/>
            </w:pPr>
            <w:r>
              <w:rPr>
                <w:spacing w:val="-3"/>
              </w:rPr>
              <w:t>Performance variation (%)</w:t>
            </w:r>
          </w:p>
        </w:tc>
        <w:tc>
          <w:tcPr>
            <w:tcW w:w="1900" w:type="dxa"/>
          </w:tcPr>
          <w:p w14:paraId="32208886" w14:textId="77777777" w:rsidR="00DC03AD" w:rsidRDefault="00DC03AD" w:rsidP="007116F3">
            <w:pPr>
              <w:pStyle w:val="TableheadingleftTables"/>
            </w:pPr>
            <w:r>
              <w:t>Result</w:t>
            </w:r>
          </w:p>
        </w:tc>
      </w:tr>
      <w:tr w:rsidR="00B02873" w:rsidRPr="00B02873" w14:paraId="7DE4E6C6" w14:textId="77777777" w:rsidTr="00DC03AD">
        <w:tc>
          <w:tcPr>
            <w:tcW w:w="2972" w:type="dxa"/>
          </w:tcPr>
          <w:p w14:paraId="57D68AB2" w14:textId="2400DB73" w:rsidR="00B02873" w:rsidRDefault="00B02873" w:rsidP="008F558A">
            <w:pPr>
              <w:pStyle w:val="TablebodyleftTables"/>
              <w:keepNext/>
            </w:pPr>
            <w:r>
              <w:rPr>
                <w:spacing w:val="-2"/>
              </w:rPr>
              <w:t>Strategic compliance operations implemented by the Conservation Regulator</w:t>
            </w:r>
          </w:p>
        </w:tc>
        <w:tc>
          <w:tcPr>
            <w:tcW w:w="1134" w:type="dxa"/>
          </w:tcPr>
          <w:p w14:paraId="5C93C2A7" w14:textId="77777777" w:rsidR="00B02873" w:rsidRDefault="00B02873" w:rsidP="008F558A">
            <w:pPr>
              <w:pStyle w:val="TablebodyleftTables"/>
              <w:keepNext/>
            </w:pPr>
            <w:r>
              <w:t>number</w:t>
            </w:r>
          </w:p>
        </w:tc>
        <w:tc>
          <w:tcPr>
            <w:tcW w:w="1134" w:type="dxa"/>
          </w:tcPr>
          <w:p w14:paraId="2B9F6167" w14:textId="77777777" w:rsidR="00B02873" w:rsidRDefault="00B02873" w:rsidP="00A63A42">
            <w:pPr>
              <w:pStyle w:val="TablebodyleftTables"/>
              <w:keepNext/>
              <w:jc w:val="right"/>
            </w:pPr>
            <w:r>
              <w:t>8</w:t>
            </w:r>
          </w:p>
        </w:tc>
        <w:tc>
          <w:tcPr>
            <w:tcW w:w="992" w:type="dxa"/>
          </w:tcPr>
          <w:p w14:paraId="1C687301" w14:textId="77777777" w:rsidR="00B02873" w:rsidRDefault="00B02873" w:rsidP="00A63A42">
            <w:pPr>
              <w:pStyle w:val="TablebodyleftTables"/>
              <w:keepNext/>
              <w:jc w:val="right"/>
            </w:pPr>
            <w:r>
              <w:t>6</w:t>
            </w:r>
          </w:p>
        </w:tc>
        <w:tc>
          <w:tcPr>
            <w:tcW w:w="1502" w:type="dxa"/>
          </w:tcPr>
          <w:p w14:paraId="6E10A4E2" w14:textId="77777777" w:rsidR="00B02873" w:rsidRDefault="00B02873" w:rsidP="00A63A42">
            <w:pPr>
              <w:pStyle w:val="TablebodyleftTables"/>
              <w:keepNext/>
              <w:jc w:val="right"/>
            </w:pPr>
            <w:r>
              <w:t>33%</w:t>
            </w:r>
          </w:p>
        </w:tc>
        <w:tc>
          <w:tcPr>
            <w:tcW w:w="1900" w:type="dxa"/>
          </w:tcPr>
          <w:p w14:paraId="0F9262CC" w14:textId="04431D13" w:rsidR="00B02873" w:rsidRDefault="003532BD" w:rsidP="008F558A">
            <w:pPr>
              <w:pStyle w:val="TablebodyleftTables"/>
              <w:keepNext/>
            </w:pPr>
            <w:r w:rsidRPr="003532BD">
              <w:t>Performance target achieved or exceeded.</w:t>
            </w:r>
          </w:p>
        </w:tc>
      </w:tr>
    </w:tbl>
    <w:p w14:paraId="4F2D97D6" w14:textId="6D562DE3" w:rsidR="008F558A" w:rsidRDefault="008F558A">
      <w:r>
        <w:t>Performance is above target due to two additional strategic operations being undertaken in 2021-22 based on intelligence.</w:t>
      </w:r>
    </w:p>
    <w:tbl>
      <w:tblPr>
        <w:tblStyle w:val="TableGrid"/>
        <w:tblW w:w="9634" w:type="dxa"/>
        <w:tblLayout w:type="fixed"/>
        <w:tblLook w:val="0020" w:firstRow="1" w:lastRow="0" w:firstColumn="0" w:lastColumn="0" w:noHBand="0" w:noVBand="0"/>
      </w:tblPr>
      <w:tblGrid>
        <w:gridCol w:w="2972"/>
        <w:gridCol w:w="1134"/>
        <w:gridCol w:w="1134"/>
        <w:gridCol w:w="992"/>
        <w:gridCol w:w="1502"/>
        <w:gridCol w:w="1900"/>
      </w:tblGrid>
      <w:tr w:rsidR="008F558A" w:rsidRPr="00B02873" w14:paraId="6CB8EC01" w14:textId="77777777" w:rsidTr="007A0B91">
        <w:trPr>
          <w:cnfStyle w:val="100000000000" w:firstRow="1" w:lastRow="0" w:firstColumn="0" w:lastColumn="0" w:oddVBand="0" w:evenVBand="0" w:oddHBand="0" w:evenHBand="0" w:firstRowFirstColumn="0" w:firstRowLastColumn="0" w:lastRowFirstColumn="0" w:lastRowLastColumn="0"/>
          <w:tblHeader/>
        </w:trPr>
        <w:tc>
          <w:tcPr>
            <w:tcW w:w="2972" w:type="dxa"/>
          </w:tcPr>
          <w:p w14:paraId="3CBD0769" w14:textId="77777777" w:rsidR="008F558A" w:rsidRDefault="008F558A" w:rsidP="007A0B91">
            <w:pPr>
              <w:pStyle w:val="TableheadingleftTables"/>
            </w:pPr>
            <w:r>
              <w:t>Output performance measures</w:t>
            </w:r>
          </w:p>
        </w:tc>
        <w:tc>
          <w:tcPr>
            <w:tcW w:w="1134" w:type="dxa"/>
          </w:tcPr>
          <w:p w14:paraId="3AD20F9A" w14:textId="77777777" w:rsidR="008F558A" w:rsidRDefault="008F558A" w:rsidP="007A0B91">
            <w:pPr>
              <w:pStyle w:val="TableheadingleftTables"/>
            </w:pPr>
            <w:r>
              <w:t>Unit of measure</w:t>
            </w:r>
          </w:p>
        </w:tc>
        <w:tc>
          <w:tcPr>
            <w:tcW w:w="1134" w:type="dxa"/>
          </w:tcPr>
          <w:p w14:paraId="27AD5339" w14:textId="77777777" w:rsidR="008F558A" w:rsidRDefault="008F558A" w:rsidP="00A63A42">
            <w:pPr>
              <w:pStyle w:val="TableheadingleftTables"/>
              <w:jc w:val="right"/>
            </w:pPr>
            <w:r>
              <w:t>2021-22 actual</w:t>
            </w:r>
          </w:p>
        </w:tc>
        <w:tc>
          <w:tcPr>
            <w:tcW w:w="992" w:type="dxa"/>
          </w:tcPr>
          <w:p w14:paraId="3F5E881A" w14:textId="77777777" w:rsidR="008F558A" w:rsidRDefault="008F558A" w:rsidP="00A63A42">
            <w:pPr>
              <w:pStyle w:val="TableheadingleftTables"/>
              <w:jc w:val="right"/>
            </w:pPr>
            <w:r>
              <w:t>2021-22 target</w:t>
            </w:r>
          </w:p>
        </w:tc>
        <w:tc>
          <w:tcPr>
            <w:tcW w:w="1502" w:type="dxa"/>
          </w:tcPr>
          <w:p w14:paraId="2898117B" w14:textId="77777777" w:rsidR="008F558A" w:rsidRDefault="008F558A" w:rsidP="00A63A42">
            <w:pPr>
              <w:pStyle w:val="TableheadingleftTables"/>
              <w:jc w:val="right"/>
            </w:pPr>
            <w:r>
              <w:rPr>
                <w:spacing w:val="-3"/>
              </w:rPr>
              <w:t>Performance variation (%)</w:t>
            </w:r>
          </w:p>
        </w:tc>
        <w:tc>
          <w:tcPr>
            <w:tcW w:w="1900" w:type="dxa"/>
          </w:tcPr>
          <w:p w14:paraId="6CE372D3" w14:textId="77777777" w:rsidR="008F558A" w:rsidRDefault="008F558A" w:rsidP="007A0B91">
            <w:pPr>
              <w:pStyle w:val="TableheadingleftTables"/>
            </w:pPr>
            <w:r>
              <w:t>Result</w:t>
            </w:r>
          </w:p>
        </w:tc>
      </w:tr>
      <w:tr w:rsidR="00B02873" w:rsidRPr="00B02873" w14:paraId="461E9867" w14:textId="77777777" w:rsidTr="00DC03AD">
        <w:tc>
          <w:tcPr>
            <w:tcW w:w="2972" w:type="dxa"/>
          </w:tcPr>
          <w:p w14:paraId="27989CBD" w14:textId="77777777" w:rsidR="00B02873" w:rsidRDefault="00B02873" w:rsidP="00B415A9">
            <w:pPr>
              <w:pStyle w:val="TableheadingleftTables"/>
            </w:pPr>
            <w:r>
              <w:t>Quality</w:t>
            </w:r>
          </w:p>
        </w:tc>
        <w:tc>
          <w:tcPr>
            <w:tcW w:w="1134" w:type="dxa"/>
          </w:tcPr>
          <w:p w14:paraId="24C1C95E" w14:textId="77777777" w:rsidR="00B02873" w:rsidRPr="00B02873" w:rsidRDefault="00B02873" w:rsidP="00B415A9">
            <w:pPr>
              <w:pStyle w:val="NoParagraphStyle"/>
              <w:spacing w:line="240" w:lineRule="auto"/>
              <w:textAlignment w:val="auto"/>
              <w:rPr>
                <w:rFonts w:ascii="Apple Symbols Regular" w:hAnsi="Apple Symbols Regular" w:cs="Times New Roman"/>
                <w:color w:val="auto"/>
                <w:lang w:val="en-AU"/>
              </w:rPr>
            </w:pPr>
          </w:p>
        </w:tc>
        <w:tc>
          <w:tcPr>
            <w:tcW w:w="1134" w:type="dxa"/>
          </w:tcPr>
          <w:p w14:paraId="3956D24C" w14:textId="77777777" w:rsidR="00B02873" w:rsidRPr="00B02873" w:rsidRDefault="00B02873" w:rsidP="00A63A42">
            <w:pPr>
              <w:pStyle w:val="NoParagraphStyle"/>
              <w:spacing w:line="240" w:lineRule="auto"/>
              <w:jc w:val="right"/>
              <w:textAlignment w:val="auto"/>
              <w:rPr>
                <w:rFonts w:ascii="Apple Symbols Regular" w:hAnsi="Apple Symbols Regular" w:cs="Times New Roman"/>
                <w:color w:val="auto"/>
                <w:lang w:val="en-AU"/>
              </w:rPr>
            </w:pPr>
          </w:p>
        </w:tc>
        <w:tc>
          <w:tcPr>
            <w:tcW w:w="992" w:type="dxa"/>
          </w:tcPr>
          <w:p w14:paraId="52CE7B76" w14:textId="77777777" w:rsidR="00B02873" w:rsidRPr="00B02873" w:rsidRDefault="00B02873" w:rsidP="00A63A42">
            <w:pPr>
              <w:pStyle w:val="NoParagraphStyle"/>
              <w:spacing w:line="240" w:lineRule="auto"/>
              <w:jc w:val="right"/>
              <w:textAlignment w:val="auto"/>
              <w:rPr>
                <w:rFonts w:ascii="Apple Symbols Regular" w:hAnsi="Apple Symbols Regular" w:cs="Times New Roman"/>
                <w:color w:val="auto"/>
                <w:lang w:val="en-AU"/>
              </w:rPr>
            </w:pPr>
          </w:p>
        </w:tc>
        <w:tc>
          <w:tcPr>
            <w:tcW w:w="1502" w:type="dxa"/>
          </w:tcPr>
          <w:p w14:paraId="56632D24" w14:textId="77777777" w:rsidR="00B02873" w:rsidRPr="00B02873" w:rsidRDefault="00B02873" w:rsidP="00A63A42">
            <w:pPr>
              <w:pStyle w:val="NoParagraphStyle"/>
              <w:spacing w:line="240" w:lineRule="auto"/>
              <w:jc w:val="right"/>
              <w:textAlignment w:val="auto"/>
              <w:rPr>
                <w:rFonts w:ascii="Apple Symbols Regular" w:hAnsi="Apple Symbols Regular" w:cs="Times New Roman"/>
                <w:color w:val="auto"/>
                <w:lang w:val="en-AU"/>
              </w:rPr>
            </w:pPr>
          </w:p>
        </w:tc>
        <w:tc>
          <w:tcPr>
            <w:tcW w:w="1900" w:type="dxa"/>
          </w:tcPr>
          <w:p w14:paraId="35C79EA9" w14:textId="77777777" w:rsidR="00B02873" w:rsidRPr="00B02873" w:rsidRDefault="00B02873" w:rsidP="00B415A9">
            <w:pPr>
              <w:pStyle w:val="NoParagraphStyle"/>
              <w:spacing w:line="240" w:lineRule="auto"/>
              <w:textAlignment w:val="auto"/>
              <w:rPr>
                <w:rFonts w:ascii="Apple Symbols Regular" w:hAnsi="Apple Symbols Regular" w:cs="Times New Roman"/>
                <w:color w:val="auto"/>
                <w:lang w:val="en-AU"/>
              </w:rPr>
            </w:pPr>
          </w:p>
        </w:tc>
      </w:tr>
      <w:tr w:rsidR="00B02873" w:rsidRPr="00B02873" w14:paraId="7F1B6105" w14:textId="77777777" w:rsidTr="00DC03AD">
        <w:tc>
          <w:tcPr>
            <w:tcW w:w="2972" w:type="dxa"/>
          </w:tcPr>
          <w:p w14:paraId="1EC98D8C" w14:textId="77777777" w:rsidR="00B02873" w:rsidRDefault="00B02873" w:rsidP="00B415A9">
            <w:pPr>
              <w:pStyle w:val="TablebodyleftTables"/>
            </w:pPr>
            <w:r>
              <w:t>Presentations made and scientific publications in peer reviewed journals</w:t>
            </w:r>
          </w:p>
        </w:tc>
        <w:tc>
          <w:tcPr>
            <w:tcW w:w="1134" w:type="dxa"/>
          </w:tcPr>
          <w:p w14:paraId="3547FD71" w14:textId="77777777" w:rsidR="00B02873" w:rsidRDefault="00B02873" w:rsidP="003E0922">
            <w:pPr>
              <w:pStyle w:val="TablebodyleftTables"/>
            </w:pPr>
            <w:r>
              <w:t>number</w:t>
            </w:r>
          </w:p>
        </w:tc>
        <w:tc>
          <w:tcPr>
            <w:tcW w:w="1134" w:type="dxa"/>
          </w:tcPr>
          <w:p w14:paraId="25D299C4" w14:textId="77777777" w:rsidR="00B02873" w:rsidRDefault="00B02873" w:rsidP="00A63A42">
            <w:pPr>
              <w:pStyle w:val="TablebodyleftTables"/>
              <w:jc w:val="right"/>
            </w:pPr>
            <w:r>
              <w:t>60</w:t>
            </w:r>
          </w:p>
        </w:tc>
        <w:tc>
          <w:tcPr>
            <w:tcW w:w="992" w:type="dxa"/>
          </w:tcPr>
          <w:p w14:paraId="1B61B325" w14:textId="77777777" w:rsidR="00B02873" w:rsidRDefault="00B02873" w:rsidP="00A63A42">
            <w:pPr>
              <w:pStyle w:val="TablebodyleftTables"/>
              <w:jc w:val="right"/>
            </w:pPr>
            <w:r>
              <w:t>60</w:t>
            </w:r>
          </w:p>
        </w:tc>
        <w:tc>
          <w:tcPr>
            <w:tcW w:w="1502" w:type="dxa"/>
          </w:tcPr>
          <w:p w14:paraId="0E225C19" w14:textId="77777777" w:rsidR="00B02873" w:rsidRDefault="00B02873" w:rsidP="00A63A42">
            <w:pPr>
              <w:pStyle w:val="TablebodyleftTables"/>
              <w:jc w:val="right"/>
            </w:pPr>
            <w:r>
              <w:t>0%</w:t>
            </w:r>
          </w:p>
        </w:tc>
        <w:tc>
          <w:tcPr>
            <w:tcW w:w="1900" w:type="dxa"/>
          </w:tcPr>
          <w:p w14:paraId="5733F3C3" w14:textId="4D8547C3" w:rsidR="00B02873" w:rsidRDefault="003532BD" w:rsidP="003E0922">
            <w:pPr>
              <w:pStyle w:val="TablebodyleftTables"/>
            </w:pPr>
            <w:r w:rsidRPr="003532BD">
              <w:t>Performance target achieved or exceeded.</w:t>
            </w:r>
          </w:p>
        </w:tc>
      </w:tr>
      <w:tr w:rsidR="00B02873" w:rsidRPr="00B02873" w14:paraId="28DB6D38" w14:textId="77777777" w:rsidTr="00DC03AD">
        <w:tc>
          <w:tcPr>
            <w:tcW w:w="2972" w:type="dxa"/>
          </w:tcPr>
          <w:p w14:paraId="5865ED35" w14:textId="77777777" w:rsidR="00B02873" w:rsidRDefault="00B02873" w:rsidP="00B415A9">
            <w:pPr>
              <w:pStyle w:val="TablebodyleftTables"/>
            </w:pPr>
            <w:r>
              <w:t>Annual Arthur Rylah Institute Client Survey respondents rank the level of overall satisfaction with ARI’s research as good, very good or excellent</w:t>
            </w:r>
          </w:p>
        </w:tc>
        <w:tc>
          <w:tcPr>
            <w:tcW w:w="1134" w:type="dxa"/>
          </w:tcPr>
          <w:p w14:paraId="5949F5C6" w14:textId="77777777" w:rsidR="00B02873" w:rsidRDefault="00B02873" w:rsidP="003E0922">
            <w:pPr>
              <w:pStyle w:val="TablebodyleftTables"/>
            </w:pPr>
            <w:r>
              <w:t>per cent</w:t>
            </w:r>
          </w:p>
        </w:tc>
        <w:tc>
          <w:tcPr>
            <w:tcW w:w="1134" w:type="dxa"/>
          </w:tcPr>
          <w:p w14:paraId="05669FE0" w14:textId="77777777" w:rsidR="00B02873" w:rsidRDefault="00B02873" w:rsidP="00A63A42">
            <w:pPr>
              <w:pStyle w:val="TablebodyleftTables"/>
              <w:jc w:val="right"/>
            </w:pPr>
            <w:r>
              <w:t>96</w:t>
            </w:r>
          </w:p>
        </w:tc>
        <w:tc>
          <w:tcPr>
            <w:tcW w:w="992" w:type="dxa"/>
          </w:tcPr>
          <w:p w14:paraId="4D0FF9EA" w14:textId="77777777" w:rsidR="00B02873" w:rsidRDefault="00B02873" w:rsidP="00A63A42">
            <w:pPr>
              <w:pStyle w:val="TablebodyleftTables"/>
              <w:jc w:val="right"/>
            </w:pPr>
            <w:r>
              <w:t>95</w:t>
            </w:r>
          </w:p>
        </w:tc>
        <w:tc>
          <w:tcPr>
            <w:tcW w:w="1502" w:type="dxa"/>
          </w:tcPr>
          <w:p w14:paraId="78F35FEB" w14:textId="77777777" w:rsidR="00B02873" w:rsidRDefault="00B02873" w:rsidP="00A63A42">
            <w:pPr>
              <w:pStyle w:val="TablebodyleftTables"/>
              <w:jc w:val="right"/>
            </w:pPr>
            <w:r>
              <w:t>1%</w:t>
            </w:r>
          </w:p>
        </w:tc>
        <w:tc>
          <w:tcPr>
            <w:tcW w:w="1900" w:type="dxa"/>
          </w:tcPr>
          <w:p w14:paraId="2BB3B960" w14:textId="2CD692FD" w:rsidR="00B02873" w:rsidRDefault="003532BD" w:rsidP="003E0922">
            <w:pPr>
              <w:pStyle w:val="TablebodyleftTables"/>
            </w:pPr>
            <w:r w:rsidRPr="003532BD">
              <w:t>Performance target achieved or exceeded.</w:t>
            </w:r>
          </w:p>
        </w:tc>
      </w:tr>
      <w:tr w:rsidR="00B02873" w:rsidRPr="00B02873" w14:paraId="7EE132C5" w14:textId="77777777" w:rsidTr="00DC03AD">
        <w:tc>
          <w:tcPr>
            <w:tcW w:w="2972" w:type="dxa"/>
          </w:tcPr>
          <w:p w14:paraId="04F9D2EA" w14:textId="77777777" w:rsidR="00B02873" w:rsidRDefault="00B02873" w:rsidP="00B415A9">
            <w:pPr>
              <w:pStyle w:val="TablebodyleftTables"/>
            </w:pPr>
            <w:r>
              <w:t xml:space="preserve">Portfolio entity annual reports including financial statements produced in line with the </w:t>
            </w:r>
            <w:r w:rsidRPr="008F558A">
              <w:rPr>
                <w:rStyle w:val="LightItalic"/>
                <w:rFonts w:asciiTheme="minorHAnsi" w:hAnsiTheme="minorHAnsi" w:cstheme="minorHAnsi"/>
              </w:rPr>
              <w:t>Financial Management Act 1994</w:t>
            </w:r>
            <w:r w:rsidRPr="008F558A">
              <w:rPr>
                <w:rFonts w:asciiTheme="minorHAnsi" w:hAnsiTheme="minorHAnsi" w:cstheme="minorHAnsi"/>
              </w:rPr>
              <w:t xml:space="preserve"> </w:t>
            </w:r>
            <w:r>
              <w:t>and free from material errors</w:t>
            </w:r>
          </w:p>
        </w:tc>
        <w:tc>
          <w:tcPr>
            <w:tcW w:w="1134" w:type="dxa"/>
          </w:tcPr>
          <w:p w14:paraId="7F1D1F1D" w14:textId="77777777" w:rsidR="00B02873" w:rsidRDefault="00B02873" w:rsidP="003E0922">
            <w:pPr>
              <w:pStyle w:val="TablebodyleftTables"/>
            </w:pPr>
            <w:r>
              <w:t>per cent</w:t>
            </w:r>
          </w:p>
        </w:tc>
        <w:tc>
          <w:tcPr>
            <w:tcW w:w="1134" w:type="dxa"/>
          </w:tcPr>
          <w:p w14:paraId="1B3FA003" w14:textId="77777777" w:rsidR="00B02873" w:rsidRDefault="00B02873" w:rsidP="00A63A42">
            <w:pPr>
              <w:pStyle w:val="TablebodyleftTables"/>
              <w:jc w:val="right"/>
            </w:pPr>
            <w:r>
              <w:t>100</w:t>
            </w:r>
          </w:p>
        </w:tc>
        <w:tc>
          <w:tcPr>
            <w:tcW w:w="992" w:type="dxa"/>
          </w:tcPr>
          <w:p w14:paraId="72EA4BF5" w14:textId="77777777" w:rsidR="00B02873" w:rsidRDefault="00B02873" w:rsidP="00A63A42">
            <w:pPr>
              <w:pStyle w:val="TablebodyleftTables"/>
              <w:jc w:val="right"/>
            </w:pPr>
            <w:r>
              <w:t>100</w:t>
            </w:r>
          </w:p>
        </w:tc>
        <w:tc>
          <w:tcPr>
            <w:tcW w:w="1502" w:type="dxa"/>
          </w:tcPr>
          <w:p w14:paraId="2170F10A" w14:textId="77777777" w:rsidR="00B02873" w:rsidRDefault="00B02873" w:rsidP="00A63A42">
            <w:pPr>
              <w:pStyle w:val="TablebodyleftTables"/>
              <w:jc w:val="right"/>
            </w:pPr>
            <w:r>
              <w:t>0%</w:t>
            </w:r>
          </w:p>
        </w:tc>
        <w:tc>
          <w:tcPr>
            <w:tcW w:w="1900" w:type="dxa"/>
          </w:tcPr>
          <w:p w14:paraId="04DBCA01" w14:textId="3A33F141" w:rsidR="00B02873" w:rsidRDefault="003532BD" w:rsidP="003E0922">
            <w:pPr>
              <w:pStyle w:val="TablebodyleftTables"/>
            </w:pPr>
            <w:r w:rsidRPr="003532BD">
              <w:t>Performance target achieved or exceeded.</w:t>
            </w:r>
          </w:p>
        </w:tc>
      </w:tr>
      <w:tr w:rsidR="00B02873" w:rsidRPr="00B02873" w14:paraId="6C5EF640" w14:textId="77777777" w:rsidTr="00DC03AD">
        <w:tc>
          <w:tcPr>
            <w:tcW w:w="2972" w:type="dxa"/>
          </w:tcPr>
          <w:p w14:paraId="2065A86E" w14:textId="207FA2D6" w:rsidR="00B02873" w:rsidRDefault="00B02873" w:rsidP="00B415A9">
            <w:pPr>
              <w:pStyle w:val="TablebodyleftTables"/>
            </w:pPr>
            <w:r>
              <w:t>Preharvest surveys of areas planned for timber harvesting completed</w:t>
            </w:r>
          </w:p>
        </w:tc>
        <w:tc>
          <w:tcPr>
            <w:tcW w:w="1134" w:type="dxa"/>
          </w:tcPr>
          <w:p w14:paraId="76FB36FC" w14:textId="77777777" w:rsidR="00B02873" w:rsidRDefault="00B02873" w:rsidP="003E0922">
            <w:pPr>
              <w:pStyle w:val="TablebodyleftTables"/>
            </w:pPr>
            <w:r>
              <w:t>per cent</w:t>
            </w:r>
          </w:p>
        </w:tc>
        <w:tc>
          <w:tcPr>
            <w:tcW w:w="1134" w:type="dxa"/>
          </w:tcPr>
          <w:p w14:paraId="1E795623" w14:textId="77777777" w:rsidR="00B02873" w:rsidRDefault="00B02873" w:rsidP="00A63A42">
            <w:pPr>
              <w:pStyle w:val="TablebodyleftTables"/>
              <w:jc w:val="right"/>
            </w:pPr>
            <w:r>
              <w:t>81</w:t>
            </w:r>
          </w:p>
        </w:tc>
        <w:tc>
          <w:tcPr>
            <w:tcW w:w="992" w:type="dxa"/>
          </w:tcPr>
          <w:p w14:paraId="2FEA4878" w14:textId="77777777" w:rsidR="00B02873" w:rsidRDefault="00B02873" w:rsidP="00A63A42">
            <w:pPr>
              <w:pStyle w:val="TablebodyleftTables"/>
              <w:jc w:val="right"/>
            </w:pPr>
            <w:r>
              <w:t>80</w:t>
            </w:r>
          </w:p>
        </w:tc>
        <w:tc>
          <w:tcPr>
            <w:tcW w:w="1502" w:type="dxa"/>
          </w:tcPr>
          <w:p w14:paraId="49EAEF92" w14:textId="77777777" w:rsidR="00B02873" w:rsidRDefault="00B02873" w:rsidP="00A63A42">
            <w:pPr>
              <w:pStyle w:val="TablebodyleftTables"/>
              <w:jc w:val="right"/>
            </w:pPr>
            <w:r>
              <w:t>1%</w:t>
            </w:r>
          </w:p>
        </w:tc>
        <w:tc>
          <w:tcPr>
            <w:tcW w:w="1900" w:type="dxa"/>
          </w:tcPr>
          <w:p w14:paraId="54F594EC" w14:textId="4EB16CE7" w:rsidR="00B02873" w:rsidRDefault="003532BD" w:rsidP="003E0922">
            <w:pPr>
              <w:pStyle w:val="TablebodyleftTables"/>
            </w:pPr>
            <w:r w:rsidRPr="003532BD">
              <w:t>Performance target achieved or exceeded.</w:t>
            </w:r>
          </w:p>
        </w:tc>
      </w:tr>
      <w:tr w:rsidR="00B02873" w:rsidRPr="00B02873" w14:paraId="4733C497" w14:textId="77777777" w:rsidTr="00DC03AD">
        <w:tc>
          <w:tcPr>
            <w:tcW w:w="2972" w:type="dxa"/>
          </w:tcPr>
          <w:p w14:paraId="1219F142" w14:textId="77777777" w:rsidR="00B02873" w:rsidRDefault="00B02873" w:rsidP="008F558A">
            <w:pPr>
              <w:pStyle w:val="TableheadingleftTables"/>
            </w:pPr>
            <w:r>
              <w:t>Timeliness</w:t>
            </w:r>
          </w:p>
        </w:tc>
        <w:tc>
          <w:tcPr>
            <w:tcW w:w="1134" w:type="dxa"/>
          </w:tcPr>
          <w:p w14:paraId="08493C22" w14:textId="77777777" w:rsidR="00B02873" w:rsidRPr="00B02873" w:rsidRDefault="00B02873" w:rsidP="008F558A">
            <w:pPr>
              <w:pStyle w:val="TableheadingleftTables"/>
              <w:rPr>
                <w:rFonts w:ascii="Apple Symbols Regular" w:hAnsi="Apple Symbols Regular" w:cs="Times New Roman"/>
                <w:lang w:val="en-AU"/>
              </w:rPr>
            </w:pPr>
          </w:p>
        </w:tc>
        <w:tc>
          <w:tcPr>
            <w:tcW w:w="1134" w:type="dxa"/>
          </w:tcPr>
          <w:p w14:paraId="7C949EF1" w14:textId="77777777" w:rsidR="00B02873" w:rsidRPr="00B02873" w:rsidRDefault="00B02873" w:rsidP="00A63A42">
            <w:pPr>
              <w:pStyle w:val="TableheadingleftTables"/>
              <w:jc w:val="right"/>
              <w:rPr>
                <w:rFonts w:ascii="Apple Symbols Regular" w:hAnsi="Apple Symbols Regular" w:cs="Times New Roman"/>
                <w:lang w:val="en-AU"/>
              </w:rPr>
            </w:pPr>
          </w:p>
        </w:tc>
        <w:tc>
          <w:tcPr>
            <w:tcW w:w="992" w:type="dxa"/>
          </w:tcPr>
          <w:p w14:paraId="6CA28566" w14:textId="77777777" w:rsidR="00B02873" w:rsidRPr="00B02873" w:rsidRDefault="00B02873" w:rsidP="00A63A42">
            <w:pPr>
              <w:pStyle w:val="TableheadingleftTables"/>
              <w:jc w:val="right"/>
              <w:rPr>
                <w:rFonts w:ascii="Apple Symbols Regular" w:hAnsi="Apple Symbols Regular" w:cs="Times New Roman"/>
                <w:lang w:val="en-AU"/>
              </w:rPr>
            </w:pPr>
          </w:p>
        </w:tc>
        <w:tc>
          <w:tcPr>
            <w:tcW w:w="1502" w:type="dxa"/>
          </w:tcPr>
          <w:p w14:paraId="31E49204" w14:textId="77777777" w:rsidR="00B02873" w:rsidRPr="00B02873" w:rsidRDefault="00B02873" w:rsidP="00A63A42">
            <w:pPr>
              <w:pStyle w:val="TableheadingleftTables"/>
              <w:jc w:val="right"/>
              <w:rPr>
                <w:rFonts w:ascii="Apple Symbols Regular" w:hAnsi="Apple Symbols Regular" w:cs="Times New Roman"/>
                <w:lang w:val="en-AU"/>
              </w:rPr>
            </w:pPr>
          </w:p>
        </w:tc>
        <w:tc>
          <w:tcPr>
            <w:tcW w:w="1900" w:type="dxa"/>
          </w:tcPr>
          <w:p w14:paraId="28C275F3" w14:textId="77777777" w:rsidR="00B02873" w:rsidRPr="00B02873" w:rsidRDefault="00B02873" w:rsidP="008F558A">
            <w:pPr>
              <w:pStyle w:val="TableheadingleftTables"/>
              <w:rPr>
                <w:rFonts w:ascii="Apple Symbols Regular" w:hAnsi="Apple Symbols Regular" w:cs="Times New Roman"/>
                <w:lang w:val="en-AU"/>
              </w:rPr>
            </w:pPr>
          </w:p>
        </w:tc>
      </w:tr>
      <w:tr w:rsidR="00B02873" w:rsidRPr="00B02873" w14:paraId="7A95E067" w14:textId="77777777" w:rsidTr="00DC03AD">
        <w:tc>
          <w:tcPr>
            <w:tcW w:w="2972" w:type="dxa"/>
          </w:tcPr>
          <w:p w14:paraId="2809C27A" w14:textId="77777777" w:rsidR="00B02873" w:rsidRDefault="00B02873" w:rsidP="00B415A9">
            <w:pPr>
              <w:pStyle w:val="TablebodyleftTables"/>
            </w:pPr>
            <w:r>
              <w:rPr>
                <w:spacing w:val="-2"/>
              </w:rPr>
              <w:t>Native Vegetation Credit Extracts processed within 10 days</w:t>
            </w:r>
          </w:p>
        </w:tc>
        <w:tc>
          <w:tcPr>
            <w:tcW w:w="1134" w:type="dxa"/>
          </w:tcPr>
          <w:p w14:paraId="19769232" w14:textId="77777777" w:rsidR="00B02873" w:rsidRDefault="00B02873" w:rsidP="003E0922">
            <w:pPr>
              <w:pStyle w:val="TablebodyleftTables"/>
            </w:pPr>
            <w:r>
              <w:t>per cent</w:t>
            </w:r>
          </w:p>
        </w:tc>
        <w:tc>
          <w:tcPr>
            <w:tcW w:w="1134" w:type="dxa"/>
          </w:tcPr>
          <w:p w14:paraId="74D353C4" w14:textId="77777777" w:rsidR="00B02873" w:rsidRDefault="00B02873" w:rsidP="00A63A42">
            <w:pPr>
              <w:pStyle w:val="TablebodyleftTables"/>
              <w:jc w:val="right"/>
            </w:pPr>
            <w:r>
              <w:t>99</w:t>
            </w:r>
          </w:p>
        </w:tc>
        <w:tc>
          <w:tcPr>
            <w:tcW w:w="992" w:type="dxa"/>
          </w:tcPr>
          <w:p w14:paraId="6A416A9B" w14:textId="77777777" w:rsidR="00B02873" w:rsidRDefault="00B02873" w:rsidP="00A63A42">
            <w:pPr>
              <w:pStyle w:val="TablebodyleftTables"/>
              <w:jc w:val="right"/>
            </w:pPr>
            <w:r>
              <w:t>95</w:t>
            </w:r>
          </w:p>
        </w:tc>
        <w:tc>
          <w:tcPr>
            <w:tcW w:w="1502" w:type="dxa"/>
          </w:tcPr>
          <w:p w14:paraId="6AA3A56E" w14:textId="77777777" w:rsidR="00B02873" w:rsidRDefault="00B02873" w:rsidP="00A63A42">
            <w:pPr>
              <w:pStyle w:val="TablebodyleftTables"/>
              <w:jc w:val="right"/>
            </w:pPr>
            <w:r>
              <w:t>4%</w:t>
            </w:r>
          </w:p>
        </w:tc>
        <w:tc>
          <w:tcPr>
            <w:tcW w:w="1900" w:type="dxa"/>
          </w:tcPr>
          <w:p w14:paraId="230E6719" w14:textId="77115B8D" w:rsidR="00B02873" w:rsidRDefault="003532BD" w:rsidP="003E0922">
            <w:pPr>
              <w:pStyle w:val="TablebodyleftTables"/>
            </w:pPr>
            <w:r w:rsidRPr="003532BD">
              <w:t>Performance target achieved or exceeded.</w:t>
            </w:r>
          </w:p>
        </w:tc>
      </w:tr>
      <w:tr w:rsidR="00B02873" w:rsidRPr="00B02873" w14:paraId="7A6E2636" w14:textId="77777777" w:rsidTr="00DC03AD">
        <w:tc>
          <w:tcPr>
            <w:tcW w:w="2972" w:type="dxa"/>
          </w:tcPr>
          <w:p w14:paraId="62CEC3B4" w14:textId="77777777" w:rsidR="00B02873" w:rsidRDefault="00B02873" w:rsidP="00B415A9">
            <w:pPr>
              <w:pStyle w:val="TablebodyleftTables"/>
            </w:pPr>
            <w:r>
              <w:t>Planning referrals relating to native vegetation processed within statutory timeframes</w:t>
            </w:r>
          </w:p>
        </w:tc>
        <w:tc>
          <w:tcPr>
            <w:tcW w:w="1134" w:type="dxa"/>
          </w:tcPr>
          <w:p w14:paraId="3136CCFF" w14:textId="77777777" w:rsidR="00B02873" w:rsidRDefault="00B02873" w:rsidP="003E0922">
            <w:pPr>
              <w:pStyle w:val="TablebodyleftTables"/>
            </w:pPr>
            <w:r>
              <w:t>per cent</w:t>
            </w:r>
          </w:p>
        </w:tc>
        <w:tc>
          <w:tcPr>
            <w:tcW w:w="1134" w:type="dxa"/>
          </w:tcPr>
          <w:p w14:paraId="1E632F1A" w14:textId="77777777" w:rsidR="00B02873" w:rsidRDefault="00B02873" w:rsidP="00A63A42">
            <w:pPr>
              <w:pStyle w:val="TablebodyleftTables"/>
              <w:jc w:val="right"/>
            </w:pPr>
            <w:r>
              <w:t>78</w:t>
            </w:r>
          </w:p>
        </w:tc>
        <w:tc>
          <w:tcPr>
            <w:tcW w:w="992" w:type="dxa"/>
          </w:tcPr>
          <w:p w14:paraId="5E12B177" w14:textId="77777777" w:rsidR="00B02873" w:rsidRDefault="00B02873" w:rsidP="00A63A42">
            <w:pPr>
              <w:pStyle w:val="TablebodyleftTables"/>
              <w:jc w:val="right"/>
            </w:pPr>
            <w:r>
              <w:t>80</w:t>
            </w:r>
          </w:p>
        </w:tc>
        <w:tc>
          <w:tcPr>
            <w:tcW w:w="1502" w:type="dxa"/>
          </w:tcPr>
          <w:p w14:paraId="0E2F04D7" w14:textId="77777777" w:rsidR="00B02873" w:rsidRDefault="00B02873" w:rsidP="00A63A42">
            <w:pPr>
              <w:pStyle w:val="TablebodyleftTables"/>
              <w:jc w:val="right"/>
            </w:pPr>
            <w:r>
              <w:t>(3%)</w:t>
            </w:r>
          </w:p>
        </w:tc>
        <w:tc>
          <w:tcPr>
            <w:tcW w:w="1900" w:type="dxa"/>
          </w:tcPr>
          <w:p w14:paraId="3CD96115" w14:textId="1547F2B9" w:rsidR="00B02873" w:rsidRDefault="003532BD" w:rsidP="003E0922">
            <w:pPr>
              <w:pStyle w:val="TablebodyleftTables"/>
            </w:pPr>
            <w:r w:rsidRPr="003532BD">
              <w:t>Performance target not achieved – within 5 per cent variance.</w:t>
            </w:r>
          </w:p>
        </w:tc>
      </w:tr>
      <w:tr w:rsidR="00B02873" w:rsidRPr="00B02873" w14:paraId="177BA75E" w14:textId="77777777" w:rsidTr="00DC03AD">
        <w:tc>
          <w:tcPr>
            <w:tcW w:w="2972" w:type="dxa"/>
          </w:tcPr>
          <w:p w14:paraId="6EBCDFAC" w14:textId="0A270BA7" w:rsidR="00B02873" w:rsidRDefault="00B02873" w:rsidP="00B415A9">
            <w:pPr>
              <w:pStyle w:val="TablebodyleftTables"/>
            </w:pPr>
            <w:r>
              <w:t>Wildlife Licence renewals processed by target dates</w:t>
            </w:r>
          </w:p>
        </w:tc>
        <w:tc>
          <w:tcPr>
            <w:tcW w:w="1134" w:type="dxa"/>
          </w:tcPr>
          <w:p w14:paraId="5EDDC5A4" w14:textId="77777777" w:rsidR="00B02873" w:rsidRDefault="00B02873" w:rsidP="003E0922">
            <w:pPr>
              <w:pStyle w:val="TablebodyleftTables"/>
            </w:pPr>
            <w:r>
              <w:t>per cent</w:t>
            </w:r>
          </w:p>
        </w:tc>
        <w:tc>
          <w:tcPr>
            <w:tcW w:w="1134" w:type="dxa"/>
          </w:tcPr>
          <w:p w14:paraId="7CF3FDAA" w14:textId="77777777" w:rsidR="00B02873" w:rsidRDefault="00B02873" w:rsidP="00A63A42">
            <w:pPr>
              <w:pStyle w:val="TablebodyleftTables"/>
              <w:jc w:val="right"/>
            </w:pPr>
            <w:r>
              <w:t>97.2</w:t>
            </w:r>
          </w:p>
        </w:tc>
        <w:tc>
          <w:tcPr>
            <w:tcW w:w="992" w:type="dxa"/>
          </w:tcPr>
          <w:p w14:paraId="375761D6" w14:textId="77777777" w:rsidR="00B02873" w:rsidRDefault="00B02873" w:rsidP="00A63A42">
            <w:pPr>
              <w:pStyle w:val="TablebodyleftTables"/>
              <w:jc w:val="right"/>
            </w:pPr>
            <w:r>
              <w:t>96</w:t>
            </w:r>
          </w:p>
        </w:tc>
        <w:tc>
          <w:tcPr>
            <w:tcW w:w="1502" w:type="dxa"/>
          </w:tcPr>
          <w:p w14:paraId="2E512AFB" w14:textId="77777777" w:rsidR="00B02873" w:rsidRDefault="00B02873" w:rsidP="00A63A42">
            <w:pPr>
              <w:pStyle w:val="TablebodyleftTables"/>
              <w:jc w:val="right"/>
            </w:pPr>
            <w:r>
              <w:t>1%</w:t>
            </w:r>
          </w:p>
        </w:tc>
        <w:tc>
          <w:tcPr>
            <w:tcW w:w="1900" w:type="dxa"/>
          </w:tcPr>
          <w:p w14:paraId="7AEAA9A9" w14:textId="4E0913CB" w:rsidR="00B02873" w:rsidRDefault="003532BD" w:rsidP="003E0922">
            <w:pPr>
              <w:pStyle w:val="TablebodyleftTables"/>
            </w:pPr>
            <w:r w:rsidRPr="003532BD">
              <w:t>Performance target achieved or exceeded.</w:t>
            </w:r>
          </w:p>
        </w:tc>
      </w:tr>
      <w:tr w:rsidR="00B02873" w:rsidRPr="00B02873" w14:paraId="4D8CECCC" w14:textId="77777777" w:rsidTr="00DC03AD">
        <w:tc>
          <w:tcPr>
            <w:tcW w:w="2972" w:type="dxa"/>
          </w:tcPr>
          <w:p w14:paraId="7DD07512" w14:textId="77777777" w:rsidR="00B02873" w:rsidRDefault="00B02873" w:rsidP="00B415A9">
            <w:pPr>
              <w:pStyle w:val="TableheadingleftTables"/>
            </w:pPr>
            <w:r>
              <w:lastRenderedPageBreak/>
              <w:t>Cost</w:t>
            </w:r>
          </w:p>
        </w:tc>
        <w:tc>
          <w:tcPr>
            <w:tcW w:w="1134" w:type="dxa"/>
          </w:tcPr>
          <w:p w14:paraId="41282F05" w14:textId="77777777" w:rsidR="00B02873" w:rsidRPr="00B02873" w:rsidRDefault="00B02873" w:rsidP="00B415A9">
            <w:pPr>
              <w:pStyle w:val="NoParagraphStyle"/>
              <w:spacing w:line="240" w:lineRule="auto"/>
              <w:textAlignment w:val="auto"/>
              <w:rPr>
                <w:rFonts w:ascii="Apple Symbols Regular" w:hAnsi="Apple Symbols Regular" w:cs="Times New Roman"/>
                <w:color w:val="auto"/>
                <w:lang w:val="en-AU"/>
              </w:rPr>
            </w:pPr>
          </w:p>
        </w:tc>
        <w:tc>
          <w:tcPr>
            <w:tcW w:w="1134" w:type="dxa"/>
          </w:tcPr>
          <w:p w14:paraId="3DA0B9D8" w14:textId="77777777" w:rsidR="00B02873" w:rsidRPr="00B02873" w:rsidRDefault="00B02873" w:rsidP="00A63A42">
            <w:pPr>
              <w:pStyle w:val="NoParagraphStyle"/>
              <w:spacing w:line="240" w:lineRule="auto"/>
              <w:jc w:val="right"/>
              <w:textAlignment w:val="auto"/>
              <w:rPr>
                <w:rFonts w:ascii="Apple Symbols Regular" w:hAnsi="Apple Symbols Regular" w:cs="Times New Roman"/>
                <w:color w:val="auto"/>
                <w:lang w:val="en-AU"/>
              </w:rPr>
            </w:pPr>
          </w:p>
        </w:tc>
        <w:tc>
          <w:tcPr>
            <w:tcW w:w="992" w:type="dxa"/>
          </w:tcPr>
          <w:p w14:paraId="5A0663F1" w14:textId="77777777" w:rsidR="00B02873" w:rsidRPr="00B02873" w:rsidRDefault="00B02873" w:rsidP="00A63A42">
            <w:pPr>
              <w:pStyle w:val="NoParagraphStyle"/>
              <w:spacing w:line="240" w:lineRule="auto"/>
              <w:jc w:val="right"/>
              <w:textAlignment w:val="auto"/>
              <w:rPr>
                <w:rFonts w:ascii="Apple Symbols Regular" w:hAnsi="Apple Symbols Regular" w:cs="Times New Roman"/>
                <w:color w:val="auto"/>
                <w:lang w:val="en-AU"/>
              </w:rPr>
            </w:pPr>
          </w:p>
        </w:tc>
        <w:tc>
          <w:tcPr>
            <w:tcW w:w="1502" w:type="dxa"/>
          </w:tcPr>
          <w:p w14:paraId="4234F189" w14:textId="77777777" w:rsidR="00B02873" w:rsidRPr="00B02873" w:rsidRDefault="00B02873" w:rsidP="00A63A42">
            <w:pPr>
              <w:pStyle w:val="NoParagraphStyle"/>
              <w:spacing w:line="240" w:lineRule="auto"/>
              <w:jc w:val="right"/>
              <w:textAlignment w:val="auto"/>
              <w:rPr>
                <w:rFonts w:ascii="Apple Symbols Regular" w:hAnsi="Apple Symbols Regular" w:cs="Times New Roman"/>
                <w:color w:val="auto"/>
                <w:lang w:val="en-AU"/>
              </w:rPr>
            </w:pPr>
          </w:p>
        </w:tc>
        <w:tc>
          <w:tcPr>
            <w:tcW w:w="1900" w:type="dxa"/>
          </w:tcPr>
          <w:p w14:paraId="0422FE92" w14:textId="77777777" w:rsidR="00B02873" w:rsidRPr="00B02873" w:rsidRDefault="00B02873" w:rsidP="00B415A9">
            <w:pPr>
              <w:pStyle w:val="NoParagraphStyle"/>
              <w:spacing w:line="240" w:lineRule="auto"/>
              <w:textAlignment w:val="auto"/>
              <w:rPr>
                <w:rFonts w:ascii="Apple Symbols Regular" w:hAnsi="Apple Symbols Regular" w:cs="Times New Roman"/>
                <w:color w:val="auto"/>
                <w:lang w:val="en-AU"/>
              </w:rPr>
            </w:pPr>
          </w:p>
        </w:tc>
      </w:tr>
      <w:tr w:rsidR="00B02873" w:rsidRPr="00B02873" w14:paraId="1EDDA779" w14:textId="77777777" w:rsidTr="00DC03AD">
        <w:tc>
          <w:tcPr>
            <w:tcW w:w="2972" w:type="dxa"/>
          </w:tcPr>
          <w:p w14:paraId="32652C12" w14:textId="77777777" w:rsidR="00B02873" w:rsidRDefault="00B02873" w:rsidP="00B415A9">
            <w:pPr>
              <w:pStyle w:val="TablebodyleftTables"/>
            </w:pPr>
            <w:r>
              <w:rPr>
                <w:rStyle w:val="Bold"/>
              </w:rPr>
              <w:t>Total output cost</w:t>
            </w:r>
          </w:p>
        </w:tc>
        <w:tc>
          <w:tcPr>
            <w:tcW w:w="1134" w:type="dxa"/>
          </w:tcPr>
          <w:p w14:paraId="6E587FD5" w14:textId="77777777" w:rsidR="00B02873" w:rsidRDefault="00B02873" w:rsidP="003E0922">
            <w:pPr>
              <w:pStyle w:val="TablebodyleftTables"/>
            </w:pPr>
            <w:r>
              <w:t>$ million</w:t>
            </w:r>
          </w:p>
        </w:tc>
        <w:tc>
          <w:tcPr>
            <w:tcW w:w="1134" w:type="dxa"/>
          </w:tcPr>
          <w:p w14:paraId="542D11A7" w14:textId="77777777" w:rsidR="00B02873" w:rsidRDefault="00B02873" w:rsidP="00A63A42">
            <w:pPr>
              <w:pStyle w:val="TablebodyleftTables"/>
              <w:jc w:val="right"/>
            </w:pPr>
            <w:r>
              <w:t>274.8</w:t>
            </w:r>
          </w:p>
        </w:tc>
        <w:tc>
          <w:tcPr>
            <w:tcW w:w="992" w:type="dxa"/>
          </w:tcPr>
          <w:p w14:paraId="600B167F" w14:textId="77777777" w:rsidR="00B02873" w:rsidRDefault="00B02873" w:rsidP="00A63A42">
            <w:pPr>
              <w:pStyle w:val="TablebodyleftTables"/>
              <w:jc w:val="right"/>
            </w:pPr>
            <w:r>
              <w:t>162.3</w:t>
            </w:r>
          </w:p>
        </w:tc>
        <w:tc>
          <w:tcPr>
            <w:tcW w:w="1502" w:type="dxa"/>
          </w:tcPr>
          <w:p w14:paraId="246AF662" w14:textId="77777777" w:rsidR="00B02873" w:rsidRDefault="00B02873" w:rsidP="00A63A42">
            <w:pPr>
              <w:pStyle w:val="TablebodyleftTables"/>
              <w:jc w:val="right"/>
            </w:pPr>
            <w:r>
              <w:t>69%</w:t>
            </w:r>
          </w:p>
        </w:tc>
        <w:tc>
          <w:tcPr>
            <w:tcW w:w="1900" w:type="dxa"/>
          </w:tcPr>
          <w:p w14:paraId="367AC4D3" w14:textId="361873D2" w:rsidR="00B02873" w:rsidRDefault="003532BD" w:rsidP="003532BD">
            <w:pPr>
              <w:pStyle w:val="TablebodyleftTables"/>
            </w:pPr>
            <w:r w:rsidRPr="003532BD">
              <w:t>Performance target not achieved – exceeds 5 per cent variance.</w:t>
            </w:r>
          </w:p>
        </w:tc>
      </w:tr>
    </w:tbl>
    <w:p w14:paraId="16F6B6C0" w14:textId="3DB96332" w:rsidR="008F558A" w:rsidRDefault="008F558A">
      <w:r>
        <w:t>The higher than budgeted output cost is primarily due to additional funding for Melbourne Strategic Assessment land purchases; the release of contingency funds for immediate recovery works; the Biodiversity Bushfire Response and Recovery initiative in response to the 2019-20 bushfires; as well as an increase in Commonwealth funding for the Regional Fund for Wildlife and Habitat Bushfire Recovery initiative.</w:t>
      </w:r>
    </w:p>
    <w:p w14:paraId="5229DA59" w14:textId="77777777" w:rsidR="00B02873" w:rsidRDefault="00B02873" w:rsidP="008F558A">
      <w:pPr>
        <w:pStyle w:val="Heading4"/>
      </w:pPr>
      <w:r>
        <w:t>Statutory Activities and Environment Protection</w:t>
      </w:r>
    </w:p>
    <w:p w14:paraId="2AAA591B" w14:textId="77777777" w:rsidR="00B02873" w:rsidRDefault="00B02873" w:rsidP="00FE198A">
      <w:r>
        <w:t>This output involves protecting the environment and people by preventing and reducing harm from pollution and waste through better regulation, conducting research and gathering intelligence to inform compliance and enforcement activities, collaboration and the provision of advice. These activities support a liveable and prosperous state by leveraging good environmental performance and a shared responsibility among all Victorians to maintain clean air, water and land, and enjoy minimal disturbance from noise and odour.</w:t>
      </w:r>
    </w:p>
    <w:p w14:paraId="6429334E" w14:textId="093DC293" w:rsidR="00B02873" w:rsidRDefault="00B02873" w:rsidP="00FE198A">
      <w:r>
        <w:t>The performance measures below compare targets and expected or actual results from the delivery of programs and services as part of this output:</w:t>
      </w:r>
    </w:p>
    <w:tbl>
      <w:tblPr>
        <w:tblStyle w:val="TableGrid"/>
        <w:tblW w:w="9638" w:type="dxa"/>
        <w:tblLayout w:type="fixed"/>
        <w:tblLook w:val="0020" w:firstRow="1" w:lastRow="0" w:firstColumn="0" w:lastColumn="0" w:noHBand="0" w:noVBand="0"/>
      </w:tblPr>
      <w:tblGrid>
        <w:gridCol w:w="2972"/>
        <w:gridCol w:w="1134"/>
        <w:gridCol w:w="1134"/>
        <w:gridCol w:w="1110"/>
        <w:gridCol w:w="1442"/>
        <w:gridCol w:w="1846"/>
      </w:tblGrid>
      <w:tr w:rsidR="00B02873" w:rsidRPr="00B02873" w14:paraId="776B048E" w14:textId="77777777" w:rsidTr="00214283">
        <w:trPr>
          <w:cnfStyle w:val="100000000000" w:firstRow="1" w:lastRow="0" w:firstColumn="0" w:lastColumn="0" w:oddVBand="0" w:evenVBand="0" w:oddHBand="0" w:evenHBand="0" w:firstRowFirstColumn="0" w:firstRowLastColumn="0" w:lastRowFirstColumn="0" w:lastRowLastColumn="0"/>
          <w:tblHeader/>
        </w:trPr>
        <w:tc>
          <w:tcPr>
            <w:tcW w:w="2972" w:type="dxa"/>
          </w:tcPr>
          <w:p w14:paraId="1BA210A7" w14:textId="77777777" w:rsidR="00B02873" w:rsidRDefault="00B02873" w:rsidP="008A5549">
            <w:pPr>
              <w:pStyle w:val="TableheadingleftTables"/>
            </w:pPr>
            <w:r>
              <w:t>Output performance measures</w:t>
            </w:r>
          </w:p>
        </w:tc>
        <w:tc>
          <w:tcPr>
            <w:tcW w:w="1134" w:type="dxa"/>
          </w:tcPr>
          <w:p w14:paraId="33659DED" w14:textId="77777777" w:rsidR="00B02873" w:rsidRDefault="00B02873" w:rsidP="008A5549">
            <w:pPr>
              <w:pStyle w:val="TableheadingleftTables"/>
            </w:pPr>
            <w:r>
              <w:t>Unit of measure</w:t>
            </w:r>
          </w:p>
        </w:tc>
        <w:tc>
          <w:tcPr>
            <w:tcW w:w="1134" w:type="dxa"/>
          </w:tcPr>
          <w:p w14:paraId="5C685CF8" w14:textId="77777777" w:rsidR="00B02873" w:rsidRDefault="00B02873" w:rsidP="00A63A42">
            <w:pPr>
              <w:pStyle w:val="TableheadingleftTables"/>
              <w:jc w:val="right"/>
            </w:pPr>
            <w:r>
              <w:t>2021-22 actual</w:t>
            </w:r>
          </w:p>
        </w:tc>
        <w:tc>
          <w:tcPr>
            <w:tcW w:w="1110" w:type="dxa"/>
          </w:tcPr>
          <w:p w14:paraId="2AC38810" w14:textId="77777777" w:rsidR="00B02873" w:rsidRDefault="00B02873" w:rsidP="00A63A42">
            <w:pPr>
              <w:pStyle w:val="TableheadingleftTables"/>
              <w:jc w:val="right"/>
            </w:pPr>
            <w:r>
              <w:t>2021-22 target</w:t>
            </w:r>
          </w:p>
        </w:tc>
        <w:tc>
          <w:tcPr>
            <w:tcW w:w="1442" w:type="dxa"/>
          </w:tcPr>
          <w:p w14:paraId="2A478BDB" w14:textId="77777777" w:rsidR="00B02873" w:rsidRDefault="00B02873" w:rsidP="00A63A42">
            <w:pPr>
              <w:pStyle w:val="TableheadingleftTables"/>
              <w:jc w:val="right"/>
            </w:pPr>
            <w:r>
              <w:rPr>
                <w:spacing w:val="-3"/>
              </w:rPr>
              <w:t>Performance variation (%)</w:t>
            </w:r>
          </w:p>
        </w:tc>
        <w:tc>
          <w:tcPr>
            <w:tcW w:w="1846" w:type="dxa"/>
          </w:tcPr>
          <w:p w14:paraId="15CD1353" w14:textId="77777777" w:rsidR="00B02873" w:rsidRDefault="00B02873" w:rsidP="008A5549">
            <w:pPr>
              <w:pStyle w:val="TableheadingleftTables"/>
            </w:pPr>
            <w:r>
              <w:t>Result</w:t>
            </w:r>
          </w:p>
        </w:tc>
      </w:tr>
      <w:tr w:rsidR="00B02873" w:rsidRPr="00B02873" w14:paraId="4FF047BF" w14:textId="77777777" w:rsidTr="00214283">
        <w:tc>
          <w:tcPr>
            <w:tcW w:w="2972" w:type="dxa"/>
          </w:tcPr>
          <w:p w14:paraId="5F9ABEA2" w14:textId="77777777" w:rsidR="00B02873" w:rsidRDefault="00B02873" w:rsidP="00B415A9">
            <w:pPr>
              <w:pStyle w:val="TableheadingleftTables"/>
            </w:pPr>
            <w:r>
              <w:t>Quantity</w:t>
            </w:r>
          </w:p>
        </w:tc>
        <w:tc>
          <w:tcPr>
            <w:tcW w:w="1134" w:type="dxa"/>
          </w:tcPr>
          <w:p w14:paraId="4E904137" w14:textId="77777777" w:rsidR="00B02873" w:rsidRPr="00B02873" w:rsidRDefault="00B02873" w:rsidP="00B415A9">
            <w:pPr>
              <w:pStyle w:val="NoParagraphStyle"/>
              <w:spacing w:line="240" w:lineRule="auto"/>
              <w:textAlignment w:val="auto"/>
              <w:rPr>
                <w:rFonts w:ascii="Apple Symbols Regular" w:hAnsi="Apple Symbols Regular" w:cs="Times New Roman"/>
                <w:color w:val="auto"/>
                <w:lang w:val="en-AU"/>
              </w:rPr>
            </w:pPr>
          </w:p>
        </w:tc>
        <w:tc>
          <w:tcPr>
            <w:tcW w:w="1134" w:type="dxa"/>
          </w:tcPr>
          <w:p w14:paraId="0F22B832" w14:textId="77777777" w:rsidR="00B02873" w:rsidRPr="00B02873" w:rsidRDefault="00B02873" w:rsidP="00A63A42">
            <w:pPr>
              <w:pStyle w:val="NoParagraphStyle"/>
              <w:spacing w:line="240" w:lineRule="auto"/>
              <w:jc w:val="right"/>
              <w:textAlignment w:val="auto"/>
              <w:rPr>
                <w:rFonts w:ascii="Apple Symbols Regular" w:hAnsi="Apple Symbols Regular" w:cs="Times New Roman"/>
                <w:color w:val="auto"/>
                <w:lang w:val="en-AU"/>
              </w:rPr>
            </w:pPr>
          </w:p>
        </w:tc>
        <w:tc>
          <w:tcPr>
            <w:tcW w:w="1110" w:type="dxa"/>
          </w:tcPr>
          <w:p w14:paraId="42010824" w14:textId="77777777" w:rsidR="00B02873" w:rsidRPr="00B02873" w:rsidRDefault="00B02873" w:rsidP="00A63A42">
            <w:pPr>
              <w:pStyle w:val="NoParagraphStyle"/>
              <w:spacing w:line="240" w:lineRule="auto"/>
              <w:jc w:val="right"/>
              <w:textAlignment w:val="auto"/>
              <w:rPr>
                <w:rFonts w:ascii="Apple Symbols Regular" w:hAnsi="Apple Symbols Regular" w:cs="Times New Roman"/>
                <w:color w:val="auto"/>
                <w:lang w:val="en-AU"/>
              </w:rPr>
            </w:pPr>
          </w:p>
        </w:tc>
        <w:tc>
          <w:tcPr>
            <w:tcW w:w="1442" w:type="dxa"/>
          </w:tcPr>
          <w:p w14:paraId="3CA22CD6" w14:textId="77777777" w:rsidR="00B02873" w:rsidRPr="00B02873" w:rsidRDefault="00B02873" w:rsidP="00A63A42">
            <w:pPr>
              <w:pStyle w:val="NoParagraphStyle"/>
              <w:spacing w:line="240" w:lineRule="auto"/>
              <w:jc w:val="right"/>
              <w:textAlignment w:val="auto"/>
              <w:rPr>
                <w:rFonts w:ascii="Apple Symbols Regular" w:hAnsi="Apple Symbols Regular" w:cs="Times New Roman"/>
                <w:color w:val="auto"/>
                <w:lang w:val="en-AU"/>
              </w:rPr>
            </w:pPr>
          </w:p>
        </w:tc>
        <w:tc>
          <w:tcPr>
            <w:tcW w:w="1846" w:type="dxa"/>
          </w:tcPr>
          <w:p w14:paraId="349EECD4" w14:textId="77777777" w:rsidR="00B02873" w:rsidRPr="00B02873" w:rsidRDefault="00B02873" w:rsidP="00B415A9">
            <w:pPr>
              <w:pStyle w:val="NoParagraphStyle"/>
              <w:spacing w:line="240" w:lineRule="auto"/>
              <w:textAlignment w:val="auto"/>
              <w:rPr>
                <w:rFonts w:ascii="Apple Symbols Regular" w:hAnsi="Apple Symbols Regular" w:cs="Times New Roman"/>
                <w:color w:val="auto"/>
                <w:lang w:val="en-AU"/>
              </w:rPr>
            </w:pPr>
          </w:p>
        </w:tc>
      </w:tr>
      <w:tr w:rsidR="00B02873" w:rsidRPr="00B02873" w14:paraId="5093F6FB" w14:textId="77777777" w:rsidTr="00214283">
        <w:tc>
          <w:tcPr>
            <w:tcW w:w="2972" w:type="dxa"/>
          </w:tcPr>
          <w:p w14:paraId="4FFD5635" w14:textId="77777777" w:rsidR="00B02873" w:rsidRDefault="00B02873" w:rsidP="00B415A9">
            <w:pPr>
              <w:pStyle w:val="TablebodyleftTables"/>
            </w:pPr>
            <w:r>
              <w:t>Inspections that assess premises compliance, including licenced premises, whose operations represent a significant risk to the environment and human health</w:t>
            </w:r>
          </w:p>
        </w:tc>
        <w:tc>
          <w:tcPr>
            <w:tcW w:w="1134" w:type="dxa"/>
          </w:tcPr>
          <w:p w14:paraId="44E117B4" w14:textId="77777777" w:rsidR="00B02873" w:rsidRDefault="00B02873" w:rsidP="008A5549">
            <w:pPr>
              <w:pStyle w:val="TablebodyleftTables"/>
            </w:pPr>
            <w:r>
              <w:t>number</w:t>
            </w:r>
          </w:p>
        </w:tc>
        <w:tc>
          <w:tcPr>
            <w:tcW w:w="1134" w:type="dxa"/>
          </w:tcPr>
          <w:p w14:paraId="0A57362D" w14:textId="77777777" w:rsidR="00B02873" w:rsidRDefault="00B02873" w:rsidP="00A63A42">
            <w:pPr>
              <w:pStyle w:val="TablebodyleftTables"/>
              <w:jc w:val="right"/>
            </w:pPr>
            <w:r>
              <w:t>510</w:t>
            </w:r>
          </w:p>
        </w:tc>
        <w:tc>
          <w:tcPr>
            <w:tcW w:w="1110" w:type="dxa"/>
          </w:tcPr>
          <w:p w14:paraId="4EC61165" w14:textId="77777777" w:rsidR="00B02873" w:rsidRDefault="00B02873" w:rsidP="00A63A42">
            <w:pPr>
              <w:pStyle w:val="TablebodyleftTables"/>
              <w:jc w:val="right"/>
            </w:pPr>
            <w:r>
              <w:t>400-450</w:t>
            </w:r>
          </w:p>
        </w:tc>
        <w:tc>
          <w:tcPr>
            <w:tcW w:w="1442" w:type="dxa"/>
          </w:tcPr>
          <w:p w14:paraId="1F96409C" w14:textId="77777777" w:rsidR="00B02873" w:rsidRDefault="00B02873" w:rsidP="00A63A42">
            <w:pPr>
              <w:pStyle w:val="TablebodyleftTables"/>
              <w:jc w:val="right"/>
            </w:pPr>
            <w:r>
              <w:t>13%</w:t>
            </w:r>
          </w:p>
        </w:tc>
        <w:tc>
          <w:tcPr>
            <w:tcW w:w="1846" w:type="dxa"/>
          </w:tcPr>
          <w:p w14:paraId="6239703E" w14:textId="77777777" w:rsidR="00B02873" w:rsidRDefault="00B02873" w:rsidP="008A5549">
            <w:pPr>
              <w:pStyle w:val="TablebodyleftTables"/>
            </w:pPr>
          </w:p>
        </w:tc>
      </w:tr>
    </w:tbl>
    <w:p w14:paraId="6E74B84F" w14:textId="2F5ECD67" w:rsidR="00214283" w:rsidRDefault="00214283">
      <w:r>
        <w:t>Performance is above target due to a higher than forecast number of response inspections for pollution events deemed high risk to the environment or public health, including from water events driven by wetter La Niña conditions.</w:t>
      </w:r>
    </w:p>
    <w:tbl>
      <w:tblPr>
        <w:tblStyle w:val="TableGrid"/>
        <w:tblW w:w="9638" w:type="dxa"/>
        <w:tblLayout w:type="fixed"/>
        <w:tblLook w:val="0020" w:firstRow="1" w:lastRow="0" w:firstColumn="0" w:lastColumn="0" w:noHBand="0" w:noVBand="0"/>
      </w:tblPr>
      <w:tblGrid>
        <w:gridCol w:w="2972"/>
        <w:gridCol w:w="1134"/>
        <w:gridCol w:w="1134"/>
        <w:gridCol w:w="1110"/>
        <w:gridCol w:w="1442"/>
        <w:gridCol w:w="1846"/>
      </w:tblGrid>
      <w:tr w:rsidR="008A5549" w:rsidRPr="00B02873" w14:paraId="1118102C" w14:textId="77777777" w:rsidTr="00214283">
        <w:trPr>
          <w:cnfStyle w:val="100000000000" w:firstRow="1" w:lastRow="0" w:firstColumn="0" w:lastColumn="0" w:oddVBand="0" w:evenVBand="0" w:oddHBand="0" w:evenHBand="0" w:firstRowFirstColumn="0" w:firstRowLastColumn="0" w:lastRowFirstColumn="0" w:lastRowLastColumn="0"/>
          <w:tblHeader/>
        </w:trPr>
        <w:tc>
          <w:tcPr>
            <w:tcW w:w="2972" w:type="dxa"/>
          </w:tcPr>
          <w:p w14:paraId="5A626B9E" w14:textId="77777777" w:rsidR="008A5549" w:rsidRDefault="008A5549" w:rsidP="00240CCE">
            <w:pPr>
              <w:pStyle w:val="TableheadingleftTables"/>
            </w:pPr>
            <w:r>
              <w:t>Output performance measures</w:t>
            </w:r>
          </w:p>
        </w:tc>
        <w:tc>
          <w:tcPr>
            <w:tcW w:w="1134" w:type="dxa"/>
          </w:tcPr>
          <w:p w14:paraId="0CC7674A" w14:textId="77777777" w:rsidR="008A5549" w:rsidRDefault="008A5549" w:rsidP="00240CCE">
            <w:pPr>
              <w:pStyle w:val="TableheadingleftTables"/>
            </w:pPr>
            <w:r>
              <w:t>Unit of measure</w:t>
            </w:r>
          </w:p>
        </w:tc>
        <w:tc>
          <w:tcPr>
            <w:tcW w:w="1134" w:type="dxa"/>
          </w:tcPr>
          <w:p w14:paraId="58D24205" w14:textId="77777777" w:rsidR="008A5549" w:rsidRDefault="008A5549" w:rsidP="00A63A42">
            <w:pPr>
              <w:pStyle w:val="TableheadingleftTables"/>
              <w:jc w:val="right"/>
            </w:pPr>
            <w:r>
              <w:t>2021-22 actual</w:t>
            </w:r>
          </w:p>
        </w:tc>
        <w:tc>
          <w:tcPr>
            <w:tcW w:w="1110" w:type="dxa"/>
          </w:tcPr>
          <w:p w14:paraId="153BA63E" w14:textId="77777777" w:rsidR="008A5549" w:rsidRDefault="008A5549" w:rsidP="00A63A42">
            <w:pPr>
              <w:pStyle w:val="TableheadingleftTables"/>
              <w:jc w:val="right"/>
            </w:pPr>
            <w:r>
              <w:t>2021-22 target</w:t>
            </w:r>
          </w:p>
        </w:tc>
        <w:tc>
          <w:tcPr>
            <w:tcW w:w="1442" w:type="dxa"/>
          </w:tcPr>
          <w:p w14:paraId="2C6545A2" w14:textId="77777777" w:rsidR="008A5549" w:rsidRDefault="008A5549" w:rsidP="00A63A42">
            <w:pPr>
              <w:pStyle w:val="TableheadingleftTables"/>
              <w:jc w:val="right"/>
            </w:pPr>
            <w:r>
              <w:rPr>
                <w:spacing w:val="-3"/>
              </w:rPr>
              <w:t>Performance variation (%)</w:t>
            </w:r>
          </w:p>
        </w:tc>
        <w:tc>
          <w:tcPr>
            <w:tcW w:w="1846" w:type="dxa"/>
          </w:tcPr>
          <w:p w14:paraId="442D18AA" w14:textId="77777777" w:rsidR="008A5549" w:rsidRDefault="008A5549" w:rsidP="00240CCE">
            <w:pPr>
              <w:pStyle w:val="TableheadingleftTables"/>
            </w:pPr>
            <w:r>
              <w:t>Result</w:t>
            </w:r>
          </w:p>
        </w:tc>
      </w:tr>
      <w:tr w:rsidR="00B02873" w:rsidRPr="00B02873" w14:paraId="10B08803" w14:textId="77777777" w:rsidTr="00214283">
        <w:tc>
          <w:tcPr>
            <w:tcW w:w="2972" w:type="dxa"/>
          </w:tcPr>
          <w:p w14:paraId="3F58C718" w14:textId="77777777" w:rsidR="00B02873" w:rsidRDefault="00B02873" w:rsidP="00B415A9">
            <w:pPr>
              <w:pStyle w:val="TablebodyleftTables"/>
            </w:pPr>
            <w:r>
              <w:t>Events that engage business and community in environment protection</w:t>
            </w:r>
          </w:p>
        </w:tc>
        <w:tc>
          <w:tcPr>
            <w:tcW w:w="1134" w:type="dxa"/>
          </w:tcPr>
          <w:p w14:paraId="4BDAC61A" w14:textId="77777777" w:rsidR="00B02873" w:rsidRDefault="00B02873" w:rsidP="008A5549">
            <w:pPr>
              <w:pStyle w:val="TablebodyleftTables"/>
            </w:pPr>
            <w:r>
              <w:t>number</w:t>
            </w:r>
          </w:p>
        </w:tc>
        <w:tc>
          <w:tcPr>
            <w:tcW w:w="1134" w:type="dxa"/>
          </w:tcPr>
          <w:p w14:paraId="22EEB0E2" w14:textId="77777777" w:rsidR="00B02873" w:rsidRDefault="00B02873" w:rsidP="00A63A42">
            <w:pPr>
              <w:pStyle w:val="TablebodyleftTables"/>
              <w:jc w:val="right"/>
            </w:pPr>
            <w:r>
              <w:t>662</w:t>
            </w:r>
          </w:p>
        </w:tc>
        <w:tc>
          <w:tcPr>
            <w:tcW w:w="1110" w:type="dxa"/>
          </w:tcPr>
          <w:p w14:paraId="3A0494FC" w14:textId="77777777" w:rsidR="00B02873" w:rsidRDefault="00B02873" w:rsidP="00A63A42">
            <w:pPr>
              <w:pStyle w:val="TablebodyleftTables"/>
              <w:jc w:val="right"/>
            </w:pPr>
            <w:r>
              <w:t>60-65</w:t>
            </w:r>
          </w:p>
        </w:tc>
        <w:tc>
          <w:tcPr>
            <w:tcW w:w="1442" w:type="dxa"/>
          </w:tcPr>
          <w:p w14:paraId="5CD45AF1" w14:textId="77777777" w:rsidR="00B02873" w:rsidRDefault="00B02873" w:rsidP="00A63A42">
            <w:pPr>
              <w:pStyle w:val="TablebodyleftTables"/>
              <w:jc w:val="right"/>
            </w:pPr>
            <w:r>
              <w:t>918%</w:t>
            </w:r>
          </w:p>
        </w:tc>
        <w:tc>
          <w:tcPr>
            <w:tcW w:w="1846" w:type="dxa"/>
          </w:tcPr>
          <w:p w14:paraId="59B1AFC2" w14:textId="77777777" w:rsidR="00B02873" w:rsidRDefault="00B02873" w:rsidP="008A5549">
            <w:pPr>
              <w:pStyle w:val="TablebodyleftTables"/>
            </w:pPr>
          </w:p>
        </w:tc>
      </w:tr>
    </w:tbl>
    <w:p w14:paraId="01D7FA70" w14:textId="7A7B42EB" w:rsidR="00B232E4" w:rsidRDefault="00B232E4">
      <w:r>
        <w:t>Performance is above target due to a greater focus on direct engagement with local communities, EPA’s implementation of a more effective event and activity recording and reporting system, and a large uptake of online engagement opportunities by businesses since the commencement of EPA’s new legislative framework on 1 July 2021.</w:t>
      </w:r>
    </w:p>
    <w:tbl>
      <w:tblPr>
        <w:tblStyle w:val="TableGrid"/>
        <w:tblW w:w="9638" w:type="dxa"/>
        <w:tblLayout w:type="fixed"/>
        <w:tblLook w:val="0020" w:firstRow="1" w:lastRow="0" w:firstColumn="0" w:lastColumn="0" w:noHBand="0" w:noVBand="0"/>
      </w:tblPr>
      <w:tblGrid>
        <w:gridCol w:w="2972"/>
        <w:gridCol w:w="1134"/>
        <w:gridCol w:w="1134"/>
        <w:gridCol w:w="1110"/>
        <w:gridCol w:w="1442"/>
        <w:gridCol w:w="1846"/>
      </w:tblGrid>
      <w:tr w:rsidR="008A5549" w:rsidRPr="00B02873" w14:paraId="124DC20F" w14:textId="77777777" w:rsidTr="00214283">
        <w:trPr>
          <w:cnfStyle w:val="100000000000" w:firstRow="1" w:lastRow="0" w:firstColumn="0" w:lastColumn="0" w:oddVBand="0" w:evenVBand="0" w:oddHBand="0" w:evenHBand="0" w:firstRowFirstColumn="0" w:firstRowLastColumn="0" w:lastRowFirstColumn="0" w:lastRowLastColumn="0"/>
          <w:tblHeader/>
        </w:trPr>
        <w:tc>
          <w:tcPr>
            <w:tcW w:w="2972" w:type="dxa"/>
          </w:tcPr>
          <w:p w14:paraId="40380BA6" w14:textId="77777777" w:rsidR="008A5549" w:rsidRDefault="008A5549" w:rsidP="00FE4A36">
            <w:pPr>
              <w:pStyle w:val="TableheadingleftTables"/>
            </w:pPr>
            <w:r>
              <w:lastRenderedPageBreak/>
              <w:t>Output performance measures</w:t>
            </w:r>
          </w:p>
        </w:tc>
        <w:tc>
          <w:tcPr>
            <w:tcW w:w="1134" w:type="dxa"/>
          </w:tcPr>
          <w:p w14:paraId="4123C069" w14:textId="77777777" w:rsidR="008A5549" w:rsidRDefault="008A5549" w:rsidP="00FE4A36">
            <w:pPr>
              <w:pStyle w:val="TableheadingleftTables"/>
            </w:pPr>
            <w:r>
              <w:t>Unit of measure</w:t>
            </w:r>
          </w:p>
        </w:tc>
        <w:tc>
          <w:tcPr>
            <w:tcW w:w="1134" w:type="dxa"/>
          </w:tcPr>
          <w:p w14:paraId="13996592" w14:textId="77777777" w:rsidR="008A5549" w:rsidRDefault="008A5549" w:rsidP="00A63A42">
            <w:pPr>
              <w:pStyle w:val="TableheadingleftTables"/>
              <w:jc w:val="right"/>
            </w:pPr>
            <w:r>
              <w:t>2021-22 actual</w:t>
            </w:r>
          </w:p>
        </w:tc>
        <w:tc>
          <w:tcPr>
            <w:tcW w:w="1110" w:type="dxa"/>
          </w:tcPr>
          <w:p w14:paraId="7EDA5B51" w14:textId="77777777" w:rsidR="008A5549" w:rsidRDefault="008A5549" w:rsidP="00A63A42">
            <w:pPr>
              <w:pStyle w:val="TableheadingleftTables"/>
              <w:jc w:val="right"/>
            </w:pPr>
            <w:r>
              <w:t>2021-22 target</w:t>
            </w:r>
          </w:p>
        </w:tc>
        <w:tc>
          <w:tcPr>
            <w:tcW w:w="1442" w:type="dxa"/>
          </w:tcPr>
          <w:p w14:paraId="19EE24FE" w14:textId="77777777" w:rsidR="008A5549" w:rsidRDefault="008A5549" w:rsidP="00A63A42">
            <w:pPr>
              <w:pStyle w:val="TableheadingleftTables"/>
              <w:jc w:val="right"/>
            </w:pPr>
            <w:r>
              <w:rPr>
                <w:spacing w:val="-3"/>
              </w:rPr>
              <w:t>Performance variation (%)</w:t>
            </w:r>
          </w:p>
        </w:tc>
        <w:tc>
          <w:tcPr>
            <w:tcW w:w="1846" w:type="dxa"/>
          </w:tcPr>
          <w:p w14:paraId="600DF3C5" w14:textId="77777777" w:rsidR="008A5549" w:rsidRDefault="008A5549" w:rsidP="00FE4A36">
            <w:pPr>
              <w:pStyle w:val="TableheadingleftTables"/>
            </w:pPr>
            <w:r>
              <w:t>Result</w:t>
            </w:r>
          </w:p>
        </w:tc>
      </w:tr>
      <w:tr w:rsidR="00B02873" w:rsidRPr="00B02873" w14:paraId="6450DEC7" w14:textId="77777777" w:rsidTr="00214283">
        <w:tc>
          <w:tcPr>
            <w:tcW w:w="2972" w:type="dxa"/>
          </w:tcPr>
          <w:p w14:paraId="476E57B4" w14:textId="77777777" w:rsidR="00B02873" w:rsidRDefault="00B02873" w:rsidP="00B415A9">
            <w:pPr>
              <w:pStyle w:val="TablebodyleftTables"/>
            </w:pPr>
            <w:r>
              <w:t>Environment condition notifications provided to Victorians via digital channels</w:t>
            </w:r>
          </w:p>
        </w:tc>
        <w:tc>
          <w:tcPr>
            <w:tcW w:w="1134" w:type="dxa"/>
          </w:tcPr>
          <w:p w14:paraId="6F276DA1" w14:textId="77777777" w:rsidR="00B02873" w:rsidRDefault="00B02873" w:rsidP="008A5549">
            <w:pPr>
              <w:pStyle w:val="TablebodyleftTables"/>
            </w:pPr>
            <w:r>
              <w:t>number</w:t>
            </w:r>
          </w:p>
        </w:tc>
        <w:tc>
          <w:tcPr>
            <w:tcW w:w="1134" w:type="dxa"/>
          </w:tcPr>
          <w:p w14:paraId="56A5A024" w14:textId="77777777" w:rsidR="00B02873" w:rsidRDefault="00B02873" w:rsidP="00A63A42">
            <w:pPr>
              <w:pStyle w:val="TablebodyleftTables"/>
              <w:jc w:val="right"/>
            </w:pPr>
            <w:r>
              <w:t>1 111</w:t>
            </w:r>
          </w:p>
        </w:tc>
        <w:tc>
          <w:tcPr>
            <w:tcW w:w="1110" w:type="dxa"/>
          </w:tcPr>
          <w:p w14:paraId="2AFD5939" w14:textId="77777777" w:rsidR="00B02873" w:rsidRDefault="00B02873" w:rsidP="00A63A42">
            <w:pPr>
              <w:pStyle w:val="TablebodyleftTables"/>
              <w:jc w:val="right"/>
            </w:pPr>
            <w:r>
              <w:t>&gt; 1 000</w:t>
            </w:r>
          </w:p>
        </w:tc>
        <w:tc>
          <w:tcPr>
            <w:tcW w:w="1442" w:type="dxa"/>
          </w:tcPr>
          <w:p w14:paraId="5454B8DF" w14:textId="77777777" w:rsidR="00B02873" w:rsidRDefault="00B02873" w:rsidP="00A63A42">
            <w:pPr>
              <w:pStyle w:val="TablebodyleftTables"/>
              <w:jc w:val="right"/>
            </w:pPr>
            <w:r>
              <w:t>11%</w:t>
            </w:r>
          </w:p>
        </w:tc>
        <w:tc>
          <w:tcPr>
            <w:tcW w:w="1846" w:type="dxa"/>
          </w:tcPr>
          <w:p w14:paraId="514522B2" w14:textId="77777777" w:rsidR="00B02873" w:rsidRDefault="00B02873" w:rsidP="008A5549">
            <w:pPr>
              <w:pStyle w:val="TablebodyleftTables"/>
            </w:pPr>
          </w:p>
        </w:tc>
      </w:tr>
    </w:tbl>
    <w:p w14:paraId="33264178" w14:textId="77F97E59" w:rsidR="00B232E4" w:rsidRDefault="00B232E4">
      <w:r>
        <w:t>Performance is above target due to additional environmental notifications associated with specific environmental incidents, such as the Cherry Creek and Lake incident.</w:t>
      </w:r>
    </w:p>
    <w:tbl>
      <w:tblPr>
        <w:tblStyle w:val="TableGrid"/>
        <w:tblW w:w="9638" w:type="dxa"/>
        <w:tblLayout w:type="fixed"/>
        <w:tblLook w:val="0020" w:firstRow="1" w:lastRow="0" w:firstColumn="0" w:lastColumn="0" w:noHBand="0" w:noVBand="0"/>
      </w:tblPr>
      <w:tblGrid>
        <w:gridCol w:w="2972"/>
        <w:gridCol w:w="1134"/>
        <w:gridCol w:w="1134"/>
        <w:gridCol w:w="1110"/>
        <w:gridCol w:w="1442"/>
        <w:gridCol w:w="1846"/>
      </w:tblGrid>
      <w:tr w:rsidR="008A5549" w:rsidRPr="00B02873" w14:paraId="722EA543" w14:textId="77777777" w:rsidTr="00214283">
        <w:trPr>
          <w:cnfStyle w:val="100000000000" w:firstRow="1" w:lastRow="0" w:firstColumn="0" w:lastColumn="0" w:oddVBand="0" w:evenVBand="0" w:oddHBand="0" w:evenHBand="0" w:firstRowFirstColumn="0" w:firstRowLastColumn="0" w:lastRowFirstColumn="0" w:lastRowLastColumn="0"/>
          <w:tblHeader/>
        </w:trPr>
        <w:tc>
          <w:tcPr>
            <w:tcW w:w="2972" w:type="dxa"/>
          </w:tcPr>
          <w:p w14:paraId="26522A49" w14:textId="77777777" w:rsidR="008A5549" w:rsidRDefault="008A5549" w:rsidP="00B526FA">
            <w:pPr>
              <w:pStyle w:val="TableheadingleftTables"/>
            </w:pPr>
            <w:r>
              <w:t>Output performance measures</w:t>
            </w:r>
          </w:p>
        </w:tc>
        <w:tc>
          <w:tcPr>
            <w:tcW w:w="1134" w:type="dxa"/>
          </w:tcPr>
          <w:p w14:paraId="392CFD13" w14:textId="77777777" w:rsidR="008A5549" w:rsidRDefault="008A5549" w:rsidP="00B526FA">
            <w:pPr>
              <w:pStyle w:val="TableheadingleftTables"/>
            </w:pPr>
            <w:r>
              <w:t>Unit of measure</w:t>
            </w:r>
          </w:p>
        </w:tc>
        <w:tc>
          <w:tcPr>
            <w:tcW w:w="1134" w:type="dxa"/>
          </w:tcPr>
          <w:p w14:paraId="0DF5917B" w14:textId="77777777" w:rsidR="008A5549" w:rsidRDefault="008A5549" w:rsidP="00A63A42">
            <w:pPr>
              <w:pStyle w:val="TableheadingleftTables"/>
              <w:jc w:val="right"/>
            </w:pPr>
            <w:r>
              <w:t>2021-22 actual</w:t>
            </w:r>
          </w:p>
        </w:tc>
        <w:tc>
          <w:tcPr>
            <w:tcW w:w="1110" w:type="dxa"/>
          </w:tcPr>
          <w:p w14:paraId="20DACB6A" w14:textId="77777777" w:rsidR="008A5549" w:rsidRDefault="008A5549" w:rsidP="00A63A42">
            <w:pPr>
              <w:pStyle w:val="TableheadingleftTables"/>
              <w:jc w:val="right"/>
            </w:pPr>
            <w:r>
              <w:t>2021-22 target</w:t>
            </w:r>
          </w:p>
        </w:tc>
        <w:tc>
          <w:tcPr>
            <w:tcW w:w="1442" w:type="dxa"/>
          </w:tcPr>
          <w:p w14:paraId="04BA7009" w14:textId="77777777" w:rsidR="008A5549" w:rsidRDefault="008A5549" w:rsidP="00A63A42">
            <w:pPr>
              <w:pStyle w:val="TableheadingleftTables"/>
              <w:jc w:val="right"/>
            </w:pPr>
            <w:r>
              <w:rPr>
                <w:spacing w:val="-3"/>
              </w:rPr>
              <w:t>Performance variation (%)</w:t>
            </w:r>
          </w:p>
        </w:tc>
        <w:tc>
          <w:tcPr>
            <w:tcW w:w="1846" w:type="dxa"/>
          </w:tcPr>
          <w:p w14:paraId="7F68CA87" w14:textId="77777777" w:rsidR="008A5549" w:rsidRDefault="008A5549" w:rsidP="00B526FA">
            <w:pPr>
              <w:pStyle w:val="TableheadingleftTables"/>
            </w:pPr>
            <w:r>
              <w:t>Result</w:t>
            </w:r>
          </w:p>
        </w:tc>
      </w:tr>
      <w:tr w:rsidR="00B02873" w:rsidRPr="00B02873" w14:paraId="6C23B965" w14:textId="77777777" w:rsidTr="00214283">
        <w:tc>
          <w:tcPr>
            <w:tcW w:w="2972" w:type="dxa"/>
          </w:tcPr>
          <w:p w14:paraId="459E3175" w14:textId="77777777" w:rsidR="00B02873" w:rsidRDefault="00B02873" w:rsidP="00B415A9">
            <w:pPr>
              <w:pStyle w:val="TableheadingleftTables"/>
            </w:pPr>
            <w:r>
              <w:t>Quality</w:t>
            </w:r>
          </w:p>
        </w:tc>
        <w:tc>
          <w:tcPr>
            <w:tcW w:w="1134" w:type="dxa"/>
          </w:tcPr>
          <w:p w14:paraId="60DC259A" w14:textId="77777777" w:rsidR="00B02873" w:rsidRPr="00B02873" w:rsidRDefault="00B02873" w:rsidP="00B415A9">
            <w:pPr>
              <w:pStyle w:val="NoParagraphStyle"/>
              <w:spacing w:line="240" w:lineRule="auto"/>
              <w:textAlignment w:val="auto"/>
              <w:rPr>
                <w:rFonts w:ascii="Apple Symbols Regular" w:hAnsi="Apple Symbols Regular" w:cs="Times New Roman"/>
                <w:color w:val="auto"/>
                <w:lang w:val="en-AU"/>
              </w:rPr>
            </w:pPr>
          </w:p>
        </w:tc>
        <w:tc>
          <w:tcPr>
            <w:tcW w:w="1134" w:type="dxa"/>
          </w:tcPr>
          <w:p w14:paraId="789B6573" w14:textId="77777777" w:rsidR="00B02873" w:rsidRPr="00B02873" w:rsidRDefault="00B02873" w:rsidP="00A63A42">
            <w:pPr>
              <w:pStyle w:val="NoParagraphStyle"/>
              <w:spacing w:line="240" w:lineRule="auto"/>
              <w:jc w:val="right"/>
              <w:textAlignment w:val="auto"/>
              <w:rPr>
                <w:rFonts w:ascii="Apple Symbols Regular" w:hAnsi="Apple Symbols Regular" w:cs="Times New Roman"/>
                <w:color w:val="auto"/>
                <w:lang w:val="en-AU"/>
              </w:rPr>
            </w:pPr>
          </w:p>
        </w:tc>
        <w:tc>
          <w:tcPr>
            <w:tcW w:w="1110" w:type="dxa"/>
          </w:tcPr>
          <w:p w14:paraId="7C8FEB2E" w14:textId="77777777" w:rsidR="00B02873" w:rsidRPr="00B02873" w:rsidRDefault="00B02873" w:rsidP="00A63A42">
            <w:pPr>
              <w:pStyle w:val="NoParagraphStyle"/>
              <w:spacing w:line="240" w:lineRule="auto"/>
              <w:jc w:val="right"/>
              <w:textAlignment w:val="auto"/>
              <w:rPr>
                <w:rFonts w:ascii="Apple Symbols Regular" w:hAnsi="Apple Symbols Regular" w:cs="Times New Roman"/>
                <w:color w:val="auto"/>
                <w:lang w:val="en-AU"/>
              </w:rPr>
            </w:pPr>
          </w:p>
        </w:tc>
        <w:tc>
          <w:tcPr>
            <w:tcW w:w="1442" w:type="dxa"/>
          </w:tcPr>
          <w:p w14:paraId="383E2E09" w14:textId="77777777" w:rsidR="00B02873" w:rsidRPr="00B02873" w:rsidRDefault="00B02873" w:rsidP="00A63A42">
            <w:pPr>
              <w:pStyle w:val="NoParagraphStyle"/>
              <w:spacing w:line="240" w:lineRule="auto"/>
              <w:jc w:val="right"/>
              <w:textAlignment w:val="auto"/>
              <w:rPr>
                <w:rFonts w:ascii="Apple Symbols Regular" w:hAnsi="Apple Symbols Regular" w:cs="Times New Roman"/>
                <w:color w:val="auto"/>
                <w:lang w:val="en-AU"/>
              </w:rPr>
            </w:pPr>
          </w:p>
        </w:tc>
        <w:tc>
          <w:tcPr>
            <w:tcW w:w="1846" w:type="dxa"/>
          </w:tcPr>
          <w:p w14:paraId="4478DF85" w14:textId="77777777" w:rsidR="00B02873" w:rsidRPr="00B02873" w:rsidRDefault="00B02873" w:rsidP="00B415A9">
            <w:pPr>
              <w:pStyle w:val="NoParagraphStyle"/>
              <w:spacing w:line="240" w:lineRule="auto"/>
              <w:textAlignment w:val="auto"/>
              <w:rPr>
                <w:rFonts w:ascii="Apple Symbols Regular" w:hAnsi="Apple Symbols Regular" w:cs="Times New Roman"/>
                <w:color w:val="auto"/>
                <w:lang w:val="en-AU"/>
              </w:rPr>
            </w:pPr>
          </w:p>
        </w:tc>
      </w:tr>
      <w:tr w:rsidR="00B02873" w:rsidRPr="00B02873" w14:paraId="0B745BE6" w14:textId="77777777" w:rsidTr="00214283">
        <w:tc>
          <w:tcPr>
            <w:tcW w:w="2972" w:type="dxa"/>
          </w:tcPr>
          <w:p w14:paraId="318C4DDB" w14:textId="77777777" w:rsidR="00B02873" w:rsidRDefault="00B02873" w:rsidP="00B415A9">
            <w:pPr>
              <w:pStyle w:val="TablebodyleftTables"/>
            </w:pPr>
            <w:r>
              <w:t>EPA prosecutions are selected using a risk based approach, focused on environmental outcomes and are successful</w:t>
            </w:r>
          </w:p>
        </w:tc>
        <w:tc>
          <w:tcPr>
            <w:tcW w:w="1134" w:type="dxa"/>
          </w:tcPr>
          <w:p w14:paraId="6E938F44" w14:textId="77777777" w:rsidR="00B02873" w:rsidRDefault="00B02873" w:rsidP="008A5549">
            <w:pPr>
              <w:pStyle w:val="TablebodyleftTables"/>
            </w:pPr>
            <w:r>
              <w:t>per cent</w:t>
            </w:r>
          </w:p>
        </w:tc>
        <w:tc>
          <w:tcPr>
            <w:tcW w:w="1134" w:type="dxa"/>
          </w:tcPr>
          <w:p w14:paraId="2DEC1333" w14:textId="77777777" w:rsidR="00B02873" w:rsidRDefault="00B02873" w:rsidP="00A63A42">
            <w:pPr>
              <w:pStyle w:val="TablebodyleftTables"/>
              <w:jc w:val="right"/>
            </w:pPr>
            <w:r>
              <w:t>76</w:t>
            </w:r>
          </w:p>
        </w:tc>
        <w:tc>
          <w:tcPr>
            <w:tcW w:w="1110" w:type="dxa"/>
          </w:tcPr>
          <w:p w14:paraId="54A949CB" w14:textId="77777777" w:rsidR="00B02873" w:rsidRDefault="00B02873" w:rsidP="00A63A42">
            <w:pPr>
              <w:pStyle w:val="TablebodyleftTables"/>
              <w:jc w:val="right"/>
            </w:pPr>
            <w:r>
              <w:t>90</w:t>
            </w:r>
          </w:p>
        </w:tc>
        <w:tc>
          <w:tcPr>
            <w:tcW w:w="1442" w:type="dxa"/>
          </w:tcPr>
          <w:p w14:paraId="7D80C869" w14:textId="77777777" w:rsidR="00B02873" w:rsidRDefault="00B02873" w:rsidP="00A63A42">
            <w:pPr>
              <w:pStyle w:val="TablebodyleftTables"/>
              <w:jc w:val="right"/>
            </w:pPr>
            <w:r>
              <w:t>(16%)</w:t>
            </w:r>
          </w:p>
        </w:tc>
        <w:tc>
          <w:tcPr>
            <w:tcW w:w="1846" w:type="dxa"/>
          </w:tcPr>
          <w:p w14:paraId="509551EA" w14:textId="7EC17841" w:rsidR="00B02873" w:rsidRDefault="00214283" w:rsidP="00214283">
            <w:pPr>
              <w:pStyle w:val="TablebodyleftTables"/>
            </w:pPr>
            <w:r w:rsidRPr="00214283">
              <w:t>Performance target not achieved – exceeds 5 per cent variance.</w:t>
            </w:r>
          </w:p>
        </w:tc>
      </w:tr>
    </w:tbl>
    <w:p w14:paraId="455E0BB1" w14:textId="0A2F958F" w:rsidR="00B232E4" w:rsidRDefault="00B232E4">
      <w:r>
        <w:t>Performance is below target because 16 of 21 prosecutions were successful. EPA withdrew charges against three of six defendants in a single matter and two further defendants in separate matters.</w:t>
      </w:r>
    </w:p>
    <w:tbl>
      <w:tblPr>
        <w:tblStyle w:val="TableGrid"/>
        <w:tblW w:w="9638" w:type="dxa"/>
        <w:tblLayout w:type="fixed"/>
        <w:tblLook w:val="0020" w:firstRow="1" w:lastRow="0" w:firstColumn="0" w:lastColumn="0" w:noHBand="0" w:noVBand="0"/>
      </w:tblPr>
      <w:tblGrid>
        <w:gridCol w:w="2972"/>
        <w:gridCol w:w="1134"/>
        <w:gridCol w:w="1134"/>
        <w:gridCol w:w="1110"/>
        <w:gridCol w:w="1442"/>
        <w:gridCol w:w="1846"/>
      </w:tblGrid>
      <w:tr w:rsidR="008A5549" w:rsidRPr="00B02873" w14:paraId="00673A31" w14:textId="77777777" w:rsidTr="00214283">
        <w:trPr>
          <w:cnfStyle w:val="100000000000" w:firstRow="1" w:lastRow="0" w:firstColumn="0" w:lastColumn="0" w:oddVBand="0" w:evenVBand="0" w:oddHBand="0" w:evenHBand="0" w:firstRowFirstColumn="0" w:firstRowLastColumn="0" w:lastRowFirstColumn="0" w:lastRowLastColumn="0"/>
          <w:tblHeader/>
        </w:trPr>
        <w:tc>
          <w:tcPr>
            <w:tcW w:w="2972" w:type="dxa"/>
          </w:tcPr>
          <w:p w14:paraId="377953DB" w14:textId="77777777" w:rsidR="008A5549" w:rsidRDefault="008A5549" w:rsidP="00663C8A">
            <w:pPr>
              <w:pStyle w:val="TableheadingleftTables"/>
            </w:pPr>
            <w:r>
              <w:t>Output performance measures</w:t>
            </w:r>
          </w:p>
        </w:tc>
        <w:tc>
          <w:tcPr>
            <w:tcW w:w="1134" w:type="dxa"/>
          </w:tcPr>
          <w:p w14:paraId="4492C762" w14:textId="77777777" w:rsidR="008A5549" w:rsidRDefault="008A5549" w:rsidP="00663C8A">
            <w:pPr>
              <w:pStyle w:val="TableheadingleftTables"/>
            </w:pPr>
            <w:r>
              <w:t>Unit of measure</w:t>
            </w:r>
          </w:p>
        </w:tc>
        <w:tc>
          <w:tcPr>
            <w:tcW w:w="1134" w:type="dxa"/>
          </w:tcPr>
          <w:p w14:paraId="4DF7D7BD" w14:textId="77777777" w:rsidR="008A5549" w:rsidRDefault="008A5549" w:rsidP="00A63A42">
            <w:pPr>
              <w:pStyle w:val="TableheadingleftTables"/>
              <w:jc w:val="right"/>
            </w:pPr>
            <w:r>
              <w:t>2021-22 actual</w:t>
            </w:r>
          </w:p>
        </w:tc>
        <w:tc>
          <w:tcPr>
            <w:tcW w:w="1110" w:type="dxa"/>
          </w:tcPr>
          <w:p w14:paraId="381C3F08" w14:textId="77777777" w:rsidR="008A5549" w:rsidRDefault="008A5549" w:rsidP="00A63A42">
            <w:pPr>
              <w:pStyle w:val="TableheadingleftTables"/>
              <w:jc w:val="right"/>
            </w:pPr>
            <w:r>
              <w:t>2021-22 target</w:t>
            </w:r>
          </w:p>
        </w:tc>
        <w:tc>
          <w:tcPr>
            <w:tcW w:w="1442" w:type="dxa"/>
          </w:tcPr>
          <w:p w14:paraId="2EAAF9C9" w14:textId="77777777" w:rsidR="008A5549" w:rsidRDefault="008A5549" w:rsidP="00A63A42">
            <w:pPr>
              <w:pStyle w:val="TableheadingleftTables"/>
              <w:jc w:val="right"/>
            </w:pPr>
            <w:r>
              <w:rPr>
                <w:spacing w:val="-3"/>
              </w:rPr>
              <w:t>Performance variation (%)</w:t>
            </w:r>
          </w:p>
        </w:tc>
        <w:tc>
          <w:tcPr>
            <w:tcW w:w="1846" w:type="dxa"/>
          </w:tcPr>
          <w:p w14:paraId="703D72BA" w14:textId="77777777" w:rsidR="008A5549" w:rsidRDefault="008A5549" w:rsidP="00663C8A">
            <w:pPr>
              <w:pStyle w:val="TableheadingleftTables"/>
            </w:pPr>
            <w:r>
              <w:t>Result</w:t>
            </w:r>
          </w:p>
        </w:tc>
      </w:tr>
      <w:tr w:rsidR="00B02873" w:rsidRPr="00B02873" w14:paraId="52CC9D32" w14:textId="77777777" w:rsidTr="00214283">
        <w:tc>
          <w:tcPr>
            <w:tcW w:w="2972" w:type="dxa"/>
          </w:tcPr>
          <w:p w14:paraId="3A0865CA" w14:textId="77777777" w:rsidR="00B02873" w:rsidRDefault="00B02873" w:rsidP="00B415A9">
            <w:pPr>
              <w:pStyle w:val="TablebodyleftTables"/>
            </w:pPr>
            <w:r>
              <w:t>Environmental audits reviewed to ensure compliance with statutory requirements and guidelines</w:t>
            </w:r>
          </w:p>
        </w:tc>
        <w:tc>
          <w:tcPr>
            <w:tcW w:w="1134" w:type="dxa"/>
          </w:tcPr>
          <w:p w14:paraId="6F35C3C8" w14:textId="77777777" w:rsidR="00B02873" w:rsidRDefault="00B02873" w:rsidP="008A5549">
            <w:pPr>
              <w:pStyle w:val="TablebodyleftTables"/>
            </w:pPr>
            <w:r>
              <w:t>per cent</w:t>
            </w:r>
          </w:p>
        </w:tc>
        <w:tc>
          <w:tcPr>
            <w:tcW w:w="1134" w:type="dxa"/>
          </w:tcPr>
          <w:p w14:paraId="7CA4C1D8" w14:textId="77777777" w:rsidR="00B02873" w:rsidRDefault="00B02873" w:rsidP="00A63A42">
            <w:pPr>
              <w:pStyle w:val="TablebodyleftTables"/>
              <w:jc w:val="right"/>
            </w:pPr>
            <w:r>
              <w:t>98</w:t>
            </w:r>
          </w:p>
        </w:tc>
        <w:tc>
          <w:tcPr>
            <w:tcW w:w="1110" w:type="dxa"/>
          </w:tcPr>
          <w:p w14:paraId="57AD74C7" w14:textId="77777777" w:rsidR="00B02873" w:rsidRDefault="00B02873" w:rsidP="00A63A42">
            <w:pPr>
              <w:pStyle w:val="TablebodyleftTables"/>
              <w:jc w:val="right"/>
            </w:pPr>
            <w:r>
              <w:t>90</w:t>
            </w:r>
          </w:p>
        </w:tc>
        <w:tc>
          <w:tcPr>
            <w:tcW w:w="1442" w:type="dxa"/>
          </w:tcPr>
          <w:p w14:paraId="3465D321" w14:textId="77777777" w:rsidR="00B02873" w:rsidRDefault="00B02873" w:rsidP="00A63A42">
            <w:pPr>
              <w:pStyle w:val="TablebodyleftTables"/>
              <w:jc w:val="right"/>
            </w:pPr>
            <w:r>
              <w:t>9%</w:t>
            </w:r>
          </w:p>
        </w:tc>
        <w:tc>
          <w:tcPr>
            <w:tcW w:w="1846" w:type="dxa"/>
          </w:tcPr>
          <w:p w14:paraId="416174DA" w14:textId="77777777" w:rsidR="00B02873" w:rsidRDefault="00B02873" w:rsidP="008A5549">
            <w:pPr>
              <w:pStyle w:val="TablebodyleftTables"/>
            </w:pPr>
          </w:p>
        </w:tc>
      </w:tr>
    </w:tbl>
    <w:p w14:paraId="1B49EB4A" w14:textId="2D806B72" w:rsidR="00B232E4" w:rsidRDefault="00B232E4">
      <w:r>
        <w:t>Performance is above target due to the continued prioritisation of resources to conduct timely administrative reviews of environmental audits.</w:t>
      </w:r>
    </w:p>
    <w:tbl>
      <w:tblPr>
        <w:tblStyle w:val="TableGrid"/>
        <w:tblW w:w="9638" w:type="dxa"/>
        <w:tblLayout w:type="fixed"/>
        <w:tblLook w:val="0020" w:firstRow="1" w:lastRow="0" w:firstColumn="0" w:lastColumn="0" w:noHBand="0" w:noVBand="0"/>
      </w:tblPr>
      <w:tblGrid>
        <w:gridCol w:w="2972"/>
        <w:gridCol w:w="1134"/>
        <w:gridCol w:w="1134"/>
        <w:gridCol w:w="1110"/>
        <w:gridCol w:w="1442"/>
        <w:gridCol w:w="1846"/>
      </w:tblGrid>
      <w:tr w:rsidR="008A5549" w:rsidRPr="00B02873" w14:paraId="0E03C0D4" w14:textId="77777777" w:rsidTr="00214283">
        <w:trPr>
          <w:cnfStyle w:val="100000000000" w:firstRow="1" w:lastRow="0" w:firstColumn="0" w:lastColumn="0" w:oddVBand="0" w:evenVBand="0" w:oddHBand="0" w:evenHBand="0" w:firstRowFirstColumn="0" w:firstRowLastColumn="0" w:lastRowFirstColumn="0" w:lastRowLastColumn="0"/>
          <w:tblHeader/>
        </w:trPr>
        <w:tc>
          <w:tcPr>
            <w:tcW w:w="2972" w:type="dxa"/>
          </w:tcPr>
          <w:p w14:paraId="6FDD4556" w14:textId="77777777" w:rsidR="008A5549" w:rsidRDefault="008A5549" w:rsidP="009F3632">
            <w:pPr>
              <w:pStyle w:val="TableheadingleftTables"/>
            </w:pPr>
            <w:r>
              <w:t>Output performance measures</w:t>
            </w:r>
          </w:p>
        </w:tc>
        <w:tc>
          <w:tcPr>
            <w:tcW w:w="1134" w:type="dxa"/>
          </w:tcPr>
          <w:p w14:paraId="16B9EA1B" w14:textId="77777777" w:rsidR="008A5549" w:rsidRDefault="008A5549" w:rsidP="009F3632">
            <w:pPr>
              <w:pStyle w:val="TableheadingleftTables"/>
            </w:pPr>
            <w:r>
              <w:t>Unit of measure</w:t>
            </w:r>
          </w:p>
        </w:tc>
        <w:tc>
          <w:tcPr>
            <w:tcW w:w="1134" w:type="dxa"/>
          </w:tcPr>
          <w:p w14:paraId="7556DD01" w14:textId="77777777" w:rsidR="008A5549" w:rsidRDefault="008A5549" w:rsidP="00A63A42">
            <w:pPr>
              <w:pStyle w:val="TableheadingleftTables"/>
              <w:jc w:val="right"/>
            </w:pPr>
            <w:r>
              <w:t>2021-22 actual</w:t>
            </w:r>
          </w:p>
        </w:tc>
        <w:tc>
          <w:tcPr>
            <w:tcW w:w="1110" w:type="dxa"/>
          </w:tcPr>
          <w:p w14:paraId="20696F58" w14:textId="77777777" w:rsidR="008A5549" w:rsidRDefault="008A5549" w:rsidP="00A63A42">
            <w:pPr>
              <w:pStyle w:val="TableheadingleftTables"/>
              <w:jc w:val="right"/>
            </w:pPr>
            <w:r>
              <w:t>2021-22 target</w:t>
            </w:r>
          </w:p>
        </w:tc>
        <w:tc>
          <w:tcPr>
            <w:tcW w:w="1442" w:type="dxa"/>
          </w:tcPr>
          <w:p w14:paraId="07E13FBD" w14:textId="77777777" w:rsidR="008A5549" w:rsidRDefault="008A5549" w:rsidP="00A63A42">
            <w:pPr>
              <w:pStyle w:val="TableheadingleftTables"/>
              <w:jc w:val="right"/>
            </w:pPr>
            <w:r>
              <w:rPr>
                <w:spacing w:val="-3"/>
              </w:rPr>
              <w:t>Performance variation (%)</w:t>
            </w:r>
          </w:p>
        </w:tc>
        <w:tc>
          <w:tcPr>
            <w:tcW w:w="1846" w:type="dxa"/>
          </w:tcPr>
          <w:p w14:paraId="6756F50C" w14:textId="77777777" w:rsidR="008A5549" w:rsidRDefault="008A5549" w:rsidP="009F3632">
            <w:pPr>
              <w:pStyle w:val="TableheadingleftTables"/>
            </w:pPr>
            <w:r>
              <w:t>Result</w:t>
            </w:r>
          </w:p>
        </w:tc>
      </w:tr>
      <w:tr w:rsidR="00B02873" w:rsidRPr="00B02873" w14:paraId="09E50309" w14:textId="77777777" w:rsidTr="00214283">
        <w:tc>
          <w:tcPr>
            <w:tcW w:w="2972" w:type="dxa"/>
          </w:tcPr>
          <w:p w14:paraId="0D8D10BE" w14:textId="77777777" w:rsidR="00B02873" w:rsidRDefault="00B02873" w:rsidP="00B415A9">
            <w:pPr>
              <w:pStyle w:val="TablebodyleftTables"/>
            </w:pPr>
            <w:r>
              <w:t>Remedial notices complied with by due date or escalated in line with EPA’s Compliance and Enforcement policy</w:t>
            </w:r>
          </w:p>
        </w:tc>
        <w:tc>
          <w:tcPr>
            <w:tcW w:w="1134" w:type="dxa"/>
          </w:tcPr>
          <w:p w14:paraId="77C801BE" w14:textId="77777777" w:rsidR="00B02873" w:rsidRDefault="00B02873" w:rsidP="008A5549">
            <w:pPr>
              <w:pStyle w:val="TablebodyleftTables"/>
            </w:pPr>
            <w:r>
              <w:t>per cent</w:t>
            </w:r>
          </w:p>
        </w:tc>
        <w:tc>
          <w:tcPr>
            <w:tcW w:w="1134" w:type="dxa"/>
          </w:tcPr>
          <w:p w14:paraId="4EF7C31E" w14:textId="77777777" w:rsidR="00B02873" w:rsidRDefault="00B02873" w:rsidP="00A63A42">
            <w:pPr>
              <w:pStyle w:val="TablebodyleftTables"/>
              <w:jc w:val="right"/>
            </w:pPr>
            <w:r>
              <w:t>84</w:t>
            </w:r>
          </w:p>
        </w:tc>
        <w:tc>
          <w:tcPr>
            <w:tcW w:w="1110" w:type="dxa"/>
          </w:tcPr>
          <w:p w14:paraId="120541B9" w14:textId="77777777" w:rsidR="00B02873" w:rsidRDefault="00B02873" w:rsidP="00A63A42">
            <w:pPr>
              <w:pStyle w:val="TablebodyleftTables"/>
              <w:jc w:val="right"/>
            </w:pPr>
            <w:r>
              <w:t>90</w:t>
            </w:r>
          </w:p>
        </w:tc>
        <w:tc>
          <w:tcPr>
            <w:tcW w:w="1442" w:type="dxa"/>
          </w:tcPr>
          <w:p w14:paraId="6EB7184B" w14:textId="77777777" w:rsidR="00B02873" w:rsidRDefault="00B02873" w:rsidP="00A63A42">
            <w:pPr>
              <w:pStyle w:val="TablebodyleftTables"/>
              <w:jc w:val="right"/>
            </w:pPr>
            <w:r>
              <w:t>(7%)</w:t>
            </w:r>
          </w:p>
        </w:tc>
        <w:tc>
          <w:tcPr>
            <w:tcW w:w="1846" w:type="dxa"/>
          </w:tcPr>
          <w:p w14:paraId="012BD708" w14:textId="14A83561" w:rsidR="00B02873" w:rsidRDefault="00214283" w:rsidP="00214283">
            <w:pPr>
              <w:pStyle w:val="TablebodyleftTables"/>
            </w:pPr>
            <w:r w:rsidRPr="00214283">
              <w:t>Performance target not achieved – exceeds 5 per cent variance.</w:t>
            </w:r>
          </w:p>
        </w:tc>
      </w:tr>
    </w:tbl>
    <w:p w14:paraId="1CFC8287" w14:textId="0B001953" w:rsidR="00B232E4" w:rsidRDefault="00B232E4">
      <w:r>
        <w:t xml:space="preserve">Performance is below target due to an increased number of remedial notices issued by EPA as a result of a greater number of duty holders and new forms of remedial notices available to EPA under the </w:t>
      </w:r>
      <w:r>
        <w:rPr>
          <w:spacing w:val="-2"/>
        </w:rPr>
        <w:t>Environment Protection Act 2017</w:t>
      </w:r>
      <w:r>
        <w:t>.</w:t>
      </w:r>
    </w:p>
    <w:tbl>
      <w:tblPr>
        <w:tblStyle w:val="TableGrid"/>
        <w:tblW w:w="9638" w:type="dxa"/>
        <w:tblLayout w:type="fixed"/>
        <w:tblLook w:val="0020" w:firstRow="1" w:lastRow="0" w:firstColumn="0" w:lastColumn="0" w:noHBand="0" w:noVBand="0"/>
      </w:tblPr>
      <w:tblGrid>
        <w:gridCol w:w="2972"/>
        <w:gridCol w:w="1134"/>
        <w:gridCol w:w="1134"/>
        <w:gridCol w:w="1110"/>
        <w:gridCol w:w="1442"/>
        <w:gridCol w:w="1846"/>
      </w:tblGrid>
      <w:tr w:rsidR="008A5549" w:rsidRPr="00B02873" w14:paraId="09CD6E55" w14:textId="77777777" w:rsidTr="00214283">
        <w:trPr>
          <w:cnfStyle w:val="100000000000" w:firstRow="1" w:lastRow="0" w:firstColumn="0" w:lastColumn="0" w:oddVBand="0" w:evenVBand="0" w:oddHBand="0" w:evenHBand="0" w:firstRowFirstColumn="0" w:firstRowLastColumn="0" w:lastRowFirstColumn="0" w:lastRowLastColumn="0"/>
          <w:tblHeader/>
        </w:trPr>
        <w:tc>
          <w:tcPr>
            <w:tcW w:w="2972" w:type="dxa"/>
          </w:tcPr>
          <w:p w14:paraId="5260B175" w14:textId="77777777" w:rsidR="008A5549" w:rsidRDefault="008A5549" w:rsidP="00BA7211">
            <w:pPr>
              <w:pStyle w:val="TableheadingleftTables"/>
            </w:pPr>
            <w:r>
              <w:lastRenderedPageBreak/>
              <w:t>Output performance measures</w:t>
            </w:r>
          </w:p>
        </w:tc>
        <w:tc>
          <w:tcPr>
            <w:tcW w:w="1134" w:type="dxa"/>
          </w:tcPr>
          <w:p w14:paraId="6284C90B" w14:textId="77777777" w:rsidR="008A5549" w:rsidRDefault="008A5549" w:rsidP="00BA7211">
            <w:pPr>
              <w:pStyle w:val="TableheadingleftTables"/>
            </w:pPr>
            <w:r>
              <w:t>Unit of measure</w:t>
            </w:r>
          </w:p>
        </w:tc>
        <w:tc>
          <w:tcPr>
            <w:tcW w:w="1134" w:type="dxa"/>
          </w:tcPr>
          <w:p w14:paraId="1B218849" w14:textId="77777777" w:rsidR="008A5549" w:rsidRDefault="008A5549" w:rsidP="00A56FB4">
            <w:pPr>
              <w:pStyle w:val="TableheadingleftTables"/>
              <w:jc w:val="right"/>
            </w:pPr>
            <w:r>
              <w:t>2021-22 actual</w:t>
            </w:r>
          </w:p>
        </w:tc>
        <w:tc>
          <w:tcPr>
            <w:tcW w:w="1110" w:type="dxa"/>
          </w:tcPr>
          <w:p w14:paraId="70761176" w14:textId="77777777" w:rsidR="008A5549" w:rsidRDefault="008A5549" w:rsidP="00A56FB4">
            <w:pPr>
              <w:pStyle w:val="TableheadingleftTables"/>
              <w:jc w:val="right"/>
            </w:pPr>
            <w:r>
              <w:t>2021-22 target</w:t>
            </w:r>
          </w:p>
        </w:tc>
        <w:tc>
          <w:tcPr>
            <w:tcW w:w="1442" w:type="dxa"/>
          </w:tcPr>
          <w:p w14:paraId="7C88DDDD" w14:textId="77777777" w:rsidR="008A5549" w:rsidRDefault="008A5549" w:rsidP="00A56FB4">
            <w:pPr>
              <w:pStyle w:val="TableheadingleftTables"/>
              <w:jc w:val="right"/>
            </w:pPr>
            <w:r>
              <w:rPr>
                <w:spacing w:val="-3"/>
              </w:rPr>
              <w:t>Performance variation (%)</w:t>
            </w:r>
          </w:p>
        </w:tc>
        <w:tc>
          <w:tcPr>
            <w:tcW w:w="1846" w:type="dxa"/>
          </w:tcPr>
          <w:p w14:paraId="29B46D2F" w14:textId="77777777" w:rsidR="008A5549" w:rsidRDefault="008A5549" w:rsidP="00BA7211">
            <w:pPr>
              <w:pStyle w:val="TableheadingleftTables"/>
            </w:pPr>
            <w:r>
              <w:t>Result</w:t>
            </w:r>
          </w:p>
        </w:tc>
      </w:tr>
      <w:tr w:rsidR="00B02873" w:rsidRPr="00B02873" w14:paraId="473336BC" w14:textId="77777777" w:rsidTr="00214283">
        <w:tc>
          <w:tcPr>
            <w:tcW w:w="2972" w:type="dxa"/>
          </w:tcPr>
          <w:p w14:paraId="76C8F31F" w14:textId="77777777" w:rsidR="00B02873" w:rsidRDefault="00B02873" w:rsidP="00B415A9">
            <w:pPr>
              <w:pStyle w:val="TableheadingleftTables"/>
            </w:pPr>
            <w:r>
              <w:t>Timeliness</w:t>
            </w:r>
          </w:p>
        </w:tc>
        <w:tc>
          <w:tcPr>
            <w:tcW w:w="1134" w:type="dxa"/>
          </w:tcPr>
          <w:p w14:paraId="1623DE0B" w14:textId="77777777" w:rsidR="00B02873" w:rsidRPr="00B02873" w:rsidRDefault="00B02873" w:rsidP="00B415A9">
            <w:pPr>
              <w:pStyle w:val="NoParagraphStyle"/>
              <w:spacing w:line="240" w:lineRule="auto"/>
              <w:textAlignment w:val="auto"/>
              <w:rPr>
                <w:rFonts w:ascii="Apple Symbols Regular" w:hAnsi="Apple Symbols Regular" w:cs="Times New Roman"/>
                <w:color w:val="auto"/>
                <w:lang w:val="en-AU"/>
              </w:rPr>
            </w:pPr>
          </w:p>
        </w:tc>
        <w:tc>
          <w:tcPr>
            <w:tcW w:w="1134" w:type="dxa"/>
          </w:tcPr>
          <w:p w14:paraId="790A0BE8" w14:textId="77777777" w:rsidR="00B02873" w:rsidRPr="00B02873" w:rsidRDefault="00B02873" w:rsidP="00A56FB4">
            <w:pPr>
              <w:pStyle w:val="NoParagraphStyle"/>
              <w:spacing w:line="240" w:lineRule="auto"/>
              <w:jc w:val="right"/>
              <w:textAlignment w:val="auto"/>
              <w:rPr>
                <w:rFonts w:ascii="Apple Symbols Regular" w:hAnsi="Apple Symbols Regular" w:cs="Times New Roman"/>
                <w:color w:val="auto"/>
                <w:lang w:val="en-AU"/>
              </w:rPr>
            </w:pPr>
          </w:p>
        </w:tc>
        <w:tc>
          <w:tcPr>
            <w:tcW w:w="1110" w:type="dxa"/>
          </w:tcPr>
          <w:p w14:paraId="1177C12A" w14:textId="77777777" w:rsidR="00B02873" w:rsidRPr="00B02873" w:rsidRDefault="00B02873" w:rsidP="00A56FB4">
            <w:pPr>
              <w:pStyle w:val="NoParagraphStyle"/>
              <w:spacing w:line="240" w:lineRule="auto"/>
              <w:jc w:val="right"/>
              <w:textAlignment w:val="auto"/>
              <w:rPr>
                <w:rFonts w:ascii="Apple Symbols Regular" w:hAnsi="Apple Symbols Regular" w:cs="Times New Roman"/>
                <w:color w:val="auto"/>
                <w:lang w:val="en-AU"/>
              </w:rPr>
            </w:pPr>
          </w:p>
        </w:tc>
        <w:tc>
          <w:tcPr>
            <w:tcW w:w="1442" w:type="dxa"/>
          </w:tcPr>
          <w:p w14:paraId="3A3A21BA" w14:textId="77777777" w:rsidR="00B02873" w:rsidRPr="00B02873" w:rsidRDefault="00B02873" w:rsidP="00A56FB4">
            <w:pPr>
              <w:pStyle w:val="NoParagraphStyle"/>
              <w:spacing w:line="240" w:lineRule="auto"/>
              <w:jc w:val="right"/>
              <w:textAlignment w:val="auto"/>
              <w:rPr>
                <w:rFonts w:ascii="Apple Symbols Regular" w:hAnsi="Apple Symbols Regular" w:cs="Times New Roman"/>
                <w:color w:val="auto"/>
                <w:lang w:val="en-AU"/>
              </w:rPr>
            </w:pPr>
          </w:p>
        </w:tc>
        <w:tc>
          <w:tcPr>
            <w:tcW w:w="1846" w:type="dxa"/>
          </w:tcPr>
          <w:p w14:paraId="632CC29F" w14:textId="77777777" w:rsidR="00B02873" w:rsidRPr="00B02873" w:rsidRDefault="00B02873" w:rsidP="00B415A9">
            <w:pPr>
              <w:pStyle w:val="NoParagraphStyle"/>
              <w:spacing w:line="240" w:lineRule="auto"/>
              <w:textAlignment w:val="auto"/>
              <w:rPr>
                <w:rFonts w:ascii="Apple Symbols Regular" w:hAnsi="Apple Symbols Regular" w:cs="Times New Roman"/>
                <w:color w:val="auto"/>
                <w:lang w:val="en-AU"/>
              </w:rPr>
            </w:pPr>
          </w:p>
        </w:tc>
      </w:tr>
      <w:tr w:rsidR="00B02873" w:rsidRPr="00B02873" w14:paraId="2BB96595" w14:textId="77777777" w:rsidTr="00214283">
        <w:tc>
          <w:tcPr>
            <w:tcW w:w="2972" w:type="dxa"/>
          </w:tcPr>
          <w:p w14:paraId="12C7B67F" w14:textId="77777777" w:rsidR="00B02873" w:rsidRDefault="00B02873" w:rsidP="00B415A9">
            <w:pPr>
              <w:pStyle w:val="TablebodyleftTables"/>
            </w:pPr>
            <w:r>
              <w:rPr>
                <w:spacing w:val="-2"/>
              </w:rPr>
              <w:t>Pollution reporters requesting follow-up by EPA receive contact within three working days</w:t>
            </w:r>
          </w:p>
        </w:tc>
        <w:tc>
          <w:tcPr>
            <w:tcW w:w="1134" w:type="dxa"/>
          </w:tcPr>
          <w:p w14:paraId="12B0E4B4" w14:textId="77777777" w:rsidR="00B02873" w:rsidRDefault="00B02873" w:rsidP="008A5549">
            <w:pPr>
              <w:pStyle w:val="TablebodyleftTables"/>
            </w:pPr>
            <w:r>
              <w:t>per cent</w:t>
            </w:r>
          </w:p>
        </w:tc>
        <w:tc>
          <w:tcPr>
            <w:tcW w:w="1134" w:type="dxa"/>
          </w:tcPr>
          <w:p w14:paraId="27429A92" w14:textId="77777777" w:rsidR="00B02873" w:rsidRDefault="00B02873" w:rsidP="00A56FB4">
            <w:pPr>
              <w:pStyle w:val="TablebodyleftTables"/>
              <w:jc w:val="right"/>
            </w:pPr>
            <w:r>
              <w:t>86</w:t>
            </w:r>
          </w:p>
        </w:tc>
        <w:tc>
          <w:tcPr>
            <w:tcW w:w="1110" w:type="dxa"/>
          </w:tcPr>
          <w:p w14:paraId="413089F6" w14:textId="77777777" w:rsidR="00B02873" w:rsidRDefault="00B02873" w:rsidP="00A56FB4">
            <w:pPr>
              <w:pStyle w:val="TablebodyleftTables"/>
              <w:jc w:val="right"/>
            </w:pPr>
            <w:r>
              <w:t>85</w:t>
            </w:r>
          </w:p>
        </w:tc>
        <w:tc>
          <w:tcPr>
            <w:tcW w:w="1442" w:type="dxa"/>
          </w:tcPr>
          <w:p w14:paraId="7E2981AC" w14:textId="77777777" w:rsidR="00B02873" w:rsidRDefault="00B02873" w:rsidP="00A56FB4">
            <w:pPr>
              <w:pStyle w:val="TablebodyleftTables"/>
              <w:jc w:val="right"/>
            </w:pPr>
            <w:r>
              <w:t>1%</w:t>
            </w:r>
          </w:p>
        </w:tc>
        <w:tc>
          <w:tcPr>
            <w:tcW w:w="1846" w:type="dxa"/>
          </w:tcPr>
          <w:p w14:paraId="1960A57D" w14:textId="77777777" w:rsidR="00B02873" w:rsidRDefault="00B02873" w:rsidP="008A5549">
            <w:pPr>
              <w:pStyle w:val="TablebodyleftTables"/>
            </w:pPr>
          </w:p>
        </w:tc>
      </w:tr>
      <w:tr w:rsidR="00B02873" w:rsidRPr="00B02873" w14:paraId="2E679C6F" w14:textId="77777777" w:rsidTr="00214283">
        <w:tc>
          <w:tcPr>
            <w:tcW w:w="2972" w:type="dxa"/>
          </w:tcPr>
          <w:p w14:paraId="027ACF50" w14:textId="77777777" w:rsidR="00B02873" w:rsidRDefault="00B02873" w:rsidP="00B415A9">
            <w:pPr>
              <w:pStyle w:val="TablebodyleftTables"/>
            </w:pPr>
            <w:r>
              <w:t>Applications for permissions completed within statutory timelines</w:t>
            </w:r>
          </w:p>
        </w:tc>
        <w:tc>
          <w:tcPr>
            <w:tcW w:w="1134" w:type="dxa"/>
          </w:tcPr>
          <w:p w14:paraId="3C6FDCCC" w14:textId="77777777" w:rsidR="00B02873" w:rsidRDefault="00B02873" w:rsidP="008A5549">
            <w:pPr>
              <w:pStyle w:val="TablebodyleftTables"/>
            </w:pPr>
            <w:r>
              <w:t>per cent</w:t>
            </w:r>
          </w:p>
        </w:tc>
        <w:tc>
          <w:tcPr>
            <w:tcW w:w="1134" w:type="dxa"/>
          </w:tcPr>
          <w:p w14:paraId="2A764273" w14:textId="77777777" w:rsidR="00B02873" w:rsidRDefault="00B02873" w:rsidP="00A56FB4">
            <w:pPr>
              <w:pStyle w:val="TablebodyleftTables"/>
              <w:jc w:val="right"/>
            </w:pPr>
            <w:r>
              <w:t>N/A</w:t>
            </w:r>
          </w:p>
        </w:tc>
        <w:tc>
          <w:tcPr>
            <w:tcW w:w="1110" w:type="dxa"/>
          </w:tcPr>
          <w:p w14:paraId="15DFF312" w14:textId="77777777" w:rsidR="00B02873" w:rsidRDefault="00B02873" w:rsidP="00A56FB4">
            <w:pPr>
              <w:pStyle w:val="TablebodyleftTables"/>
              <w:jc w:val="right"/>
            </w:pPr>
            <w:r>
              <w:t>96</w:t>
            </w:r>
          </w:p>
        </w:tc>
        <w:tc>
          <w:tcPr>
            <w:tcW w:w="1442" w:type="dxa"/>
          </w:tcPr>
          <w:p w14:paraId="4B7CC358" w14:textId="77777777" w:rsidR="00B02873" w:rsidRDefault="00B02873" w:rsidP="00A56FB4">
            <w:pPr>
              <w:pStyle w:val="TablebodyleftTables"/>
              <w:jc w:val="right"/>
            </w:pPr>
            <w:r>
              <w:t>N/A</w:t>
            </w:r>
          </w:p>
        </w:tc>
        <w:tc>
          <w:tcPr>
            <w:tcW w:w="1846" w:type="dxa"/>
          </w:tcPr>
          <w:p w14:paraId="0C5EDD97" w14:textId="77777777" w:rsidR="00B02873" w:rsidRPr="00B02873" w:rsidRDefault="00B02873" w:rsidP="008A5549">
            <w:pPr>
              <w:pStyle w:val="TablebodyleftTables"/>
              <w:rPr>
                <w:rFonts w:ascii="Apple Symbols Regular" w:hAnsi="Apple Symbols Regular" w:cs="Times New Roman"/>
              </w:rPr>
            </w:pPr>
          </w:p>
        </w:tc>
      </w:tr>
    </w:tbl>
    <w:p w14:paraId="0CB50BD9" w14:textId="1820B7B4" w:rsidR="00B232E4" w:rsidRDefault="00B232E4">
      <w:r>
        <w:t>A result for this measure will be available by October 2022 following implementation of a new system to manage the new permissions scheme under the amended Environment Protection Act 2017.</w:t>
      </w:r>
    </w:p>
    <w:tbl>
      <w:tblPr>
        <w:tblStyle w:val="TableGrid"/>
        <w:tblW w:w="9638" w:type="dxa"/>
        <w:tblLayout w:type="fixed"/>
        <w:tblLook w:val="0020" w:firstRow="1" w:lastRow="0" w:firstColumn="0" w:lastColumn="0" w:noHBand="0" w:noVBand="0"/>
      </w:tblPr>
      <w:tblGrid>
        <w:gridCol w:w="2972"/>
        <w:gridCol w:w="1134"/>
        <w:gridCol w:w="1134"/>
        <w:gridCol w:w="1110"/>
        <w:gridCol w:w="1442"/>
        <w:gridCol w:w="1846"/>
      </w:tblGrid>
      <w:tr w:rsidR="008A5549" w:rsidRPr="00B02873" w14:paraId="58FABA54" w14:textId="77777777" w:rsidTr="00214283">
        <w:trPr>
          <w:cnfStyle w:val="100000000000" w:firstRow="1" w:lastRow="0" w:firstColumn="0" w:lastColumn="0" w:oddVBand="0" w:evenVBand="0" w:oddHBand="0" w:evenHBand="0" w:firstRowFirstColumn="0" w:firstRowLastColumn="0" w:lastRowFirstColumn="0" w:lastRowLastColumn="0"/>
          <w:tblHeader/>
        </w:trPr>
        <w:tc>
          <w:tcPr>
            <w:tcW w:w="2972" w:type="dxa"/>
          </w:tcPr>
          <w:p w14:paraId="461B3FD4" w14:textId="77777777" w:rsidR="008A5549" w:rsidRDefault="008A5549" w:rsidP="003E6BF3">
            <w:pPr>
              <w:pStyle w:val="TableheadingleftTables"/>
            </w:pPr>
            <w:r>
              <w:t>Output performance measures</w:t>
            </w:r>
          </w:p>
        </w:tc>
        <w:tc>
          <w:tcPr>
            <w:tcW w:w="1134" w:type="dxa"/>
          </w:tcPr>
          <w:p w14:paraId="1E6C8B99" w14:textId="77777777" w:rsidR="008A5549" w:rsidRDefault="008A5549" w:rsidP="003E6BF3">
            <w:pPr>
              <w:pStyle w:val="TableheadingleftTables"/>
            </w:pPr>
            <w:r>
              <w:t>Unit of measure</w:t>
            </w:r>
          </w:p>
        </w:tc>
        <w:tc>
          <w:tcPr>
            <w:tcW w:w="1134" w:type="dxa"/>
          </w:tcPr>
          <w:p w14:paraId="45342F6B" w14:textId="77777777" w:rsidR="008A5549" w:rsidRDefault="008A5549" w:rsidP="00A56FB4">
            <w:pPr>
              <w:pStyle w:val="TableheadingleftTables"/>
              <w:jc w:val="right"/>
            </w:pPr>
            <w:r>
              <w:t>2021-22 actual</w:t>
            </w:r>
          </w:p>
        </w:tc>
        <w:tc>
          <w:tcPr>
            <w:tcW w:w="1110" w:type="dxa"/>
          </w:tcPr>
          <w:p w14:paraId="7E0BF69B" w14:textId="77777777" w:rsidR="008A5549" w:rsidRDefault="008A5549" w:rsidP="00A56FB4">
            <w:pPr>
              <w:pStyle w:val="TableheadingleftTables"/>
              <w:jc w:val="right"/>
            </w:pPr>
            <w:r>
              <w:t>2021-22 target</w:t>
            </w:r>
          </w:p>
        </w:tc>
        <w:tc>
          <w:tcPr>
            <w:tcW w:w="1442" w:type="dxa"/>
          </w:tcPr>
          <w:p w14:paraId="2C00973D" w14:textId="77777777" w:rsidR="008A5549" w:rsidRDefault="008A5549" w:rsidP="00A56FB4">
            <w:pPr>
              <w:pStyle w:val="TableheadingleftTables"/>
              <w:jc w:val="right"/>
            </w:pPr>
            <w:r>
              <w:rPr>
                <w:spacing w:val="-3"/>
              </w:rPr>
              <w:t>Performance variation (%)</w:t>
            </w:r>
          </w:p>
        </w:tc>
        <w:tc>
          <w:tcPr>
            <w:tcW w:w="1846" w:type="dxa"/>
          </w:tcPr>
          <w:p w14:paraId="2DB6CD9D" w14:textId="77777777" w:rsidR="008A5549" w:rsidRDefault="008A5549" w:rsidP="003E6BF3">
            <w:pPr>
              <w:pStyle w:val="TableheadingleftTables"/>
            </w:pPr>
            <w:r>
              <w:t>Result</w:t>
            </w:r>
          </w:p>
        </w:tc>
      </w:tr>
      <w:tr w:rsidR="00B02873" w:rsidRPr="00B02873" w14:paraId="5D3A0979" w14:textId="77777777" w:rsidTr="00214283">
        <w:tc>
          <w:tcPr>
            <w:tcW w:w="2972" w:type="dxa"/>
          </w:tcPr>
          <w:p w14:paraId="3298F3D4" w14:textId="77777777" w:rsidR="00B02873" w:rsidRDefault="00B02873" w:rsidP="00B415A9">
            <w:pPr>
              <w:pStyle w:val="TablebodyleftTables"/>
            </w:pPr>
            <w:r>
              <w:t>Planning matters responded to within agreed timeframes</w:t>
            </w:r>
          </w:p>
        </w:tc>
        <w:tc>
          <w:tcPr>
            <w:tcW w:w="1134" w:type="dxa"/>
          </w:tcPr>
          <w:p w14:paraId="30CEDBAA" w14:textId="77777777" w:rsidR="00B02873" w:rsidRDefault="00B02873" w:rsidP="008A5549">
            <w:pPr>
              <w:pStyle w:val="TablebodyleftTables"/>
            </w:pPr>
            <w:r>
              <w:t>per cent</w:t>
            </w:r>
          </w:p>
        </w:tc>
        <w:tc>
          <w:tcPr>
            <w:tcW w:w="1134" w:type="dxa"/>
          </w:tcPr>
          <w:p w14:paraId="0ACDE5D3" w14:textId="77777777" w:rsidR="00B02873" w:rsidRDefault="00B02873" w:rsidP="00A56FB4">
            <w:pPr>
              <w:pStyle w:val="TablebodyleftTables"/>
              <w:jc w:val="right"/>
            </w:pPr>
            <w:r>
              <w:t>90</w:t>
            </w:r>
          </w:p>
        </w:tc>
        <w:tc>
          <w:tcPr>
            <w:tcW w:w="1110" w:type="dxa"/>
          </w:tcPr>
          <w:p w14:paraId="17F673B2" w14:textId="77777777" w:rsidR="00B02873" w:rsidRDefault="00B02873" w:rsidP="00A56FB4">
            <w:pPr>
              <w:pStyle w:val="TablebodyleftTables"/>
              <w:jc w:val="right"/>
            </w:pPr>
            <w:r>
              <w:t>80</w:t>
            </w:r>
          </w:p>
        </w:tc>
        <w:tc>
          <w:tcPr>
            <w:tcW w:w="1442" w:type="dxa"/>
          </w:tcPr>
          <w:p w14:paraId="64C1354D" w14:textId="77777777" w:rsidR="00B02873" w:rsidRDefault="00B02873" w:rsidP="00A56FB4">
            <w:pPr>
              <w:pStyle w:val="TablebodyleftTables"/>
              <w:jc w:val="right"/>
            </w:pPr>
            <w:r>
              <w:t>13%</w:t>
            </w:r>
          </w:p>
        </w:tc>
        <w:tc>
          <w:tcPr>
            <w:tcW w:w="1846" w:type="dxa"/>
          </w:tcPr>
          <w:p w14:paraId="6326A94E" w14:textId="77777777" w:rsidR="00B02873" w:rsidRDefault="00B02873" w:rsidP="008A5549">
            <w:pPr>
              <w:pStyle w:val="TablebodyleftTables"/>
            </w:pPr>
          </w:p>
        </w:tc>
      </w:tr>
    </w:tbl>
    <w:p w14:paraId="0BBB290F" w14:textId="1F9C915D" w:rsidR="00B232E4" w:rsidRDefault="00B232E4">
      <w:r>
        <w:t>Performance is above target due to EPA’s concerted effort to provide planning advice to all matters within agreed timeframes, with triaging and prioritising of requests based on environmental risk.</w:t>
      </w:r>
    </w:p>
    <w:tbl>
      <w:tblPr>
        <w:tblStyle w:val="TableGrid"/>
        <w:tblW w:w="9638" w:type="dxa"/>
        <w:tblLayout w:type="fixed"/>
        <w:tblLook w:val="0020" w:firstRow="1" w:lastRow="0" w:firstColumn="0" w:lastColumn="0" w:noHBand="0" w:noVBand="0"/>
      </w:tblPr>
      <w:tblGrid>
        <w:gridCol w:w="2972"/>
        <w:gridCol w:w="1134"/>
        <w:gridCol w:w="1134"/>
        <w:gridCol w:w="1110"/>
        <w:gridCol w:w="1442"/>
        <w:gridCol w:w="1846"/>
      </w:tblGrid>
      <w:tr w:rsidR="008A5549" w:rsidRPr="00B02873" w14:paraId="0F4DBFA5" w14:textId="77777777" w:rsidTr="00214283">
        <w:trPr>
          <w:cnfStyle w:val="100000000000" w:firstRow="1" w:lastRow="0" w:firstColumn="0" w:lastColumn="0" w:oddVBand="0" w:evenVBand="0" w:oddHBand="0" w:evenHBand="0" w:firstRowFirstColumn="0" w:firstRowLastColumn="0" w:lastRowFirstColumn="0" w:lastRowLastColumn="0"/>
          <w:tblHeader/>
        </w:trPr>
        <w:tc>
          <w:tcPr>
            <w:tcW w:w="2972" w:type="dxa"/>
          </w:tcPr>
          <w:p w14:paraId="59814A19" w14:textId="77777777" w:rsidR="008A5549" w:rsidRDefault="008A5549" w:rsidP="00005D84">
            <w:pPr>
              <w:pStyle w:val="TableheadingleftTables"/>
            </w:pPr>
            <w:r>
              <w:t>Output performance measures</w:t>
            </w:r>
          </w:p>
        </w:tc>
        <w:tc>
          <w:tcPr>
            <w:tcW w:w="1134" w:type="dxa"/>
          </w:tcPr>
          <w:p w14:paraId="50048603" w14:textId="77777777" w:rsidR="008A5549" w:rsidRDefault="008A5549" w:rsidP="00005D84">
            <w:pPr>
              <w:pStyle w:val="TableheadingleftTables"/>
            </w:pPr>
            <w:r>
              <w:t>Unit of measure</w:t>
            </w:r>
          </w:p>
        </w:tc>
        <w:tc>
          <w:tcPr>
            <w:tcW w:w="1134" w:type="dxa"/>
          </w:tcPr>
          <w:p w14:paraId="5895EE44" w14:textId="77777777" w:rsidR="008A5549" w:rsidRDefault="008A5549" w:rsidP="00A56FB4">
            <w:pPr>
              <w:pStyle w:val="TableheadingleftTables"/>
              <w:jc w:val="right"/>
            </w:pPr>
            <w:r>
              <w:t>2021-22 actual</w:t>
            </w:r>
          </w:p>
        </w:tc>
        <w:tc>
          <w:tcPr>
            <w:tcW w:w="1110" w:type="dxa"/>
          </w:tcPr>
          <w:p w14:paraId="0AE283FE" w14:textId="77777777" w:rsidR="008A5549" w:rsidRDefault="008A5549" w:rsidP="00A56FB4">
            <w:pPr>
              <w:pStyle w:val="TableheadingleftTables"/>
              <w:jc w:val="right"/>
            </w:pPr>
            <w:r>
              <w:t>2021-22 target</w:t>
            </w:r>
          </w:p>
        </w:tc>
        <w:tc>
          <w:tcPr>
            <w:tcW w:w="1442" w:type="dxa"/>
          </w:tcPr>
          <w:p w14:paraId="2EEE6038" w14:textId="77777777" w:rsidR="008A5549" w:rsidRDefault="008A5549" w:rsidP="00A56FB4">
            <w:pPr>
              <w:pStyle w:val="TableheadingleftTables"/>
              <w:jc w:val="right"/>
            </w:pPr>
            <w:r>
              <w:rPr>
                <w:spacing w:val="-3"/>
              </w:rPr>
              <w:t>Performance variation (%)</w:t>
            </w:r>
          </w:p>
        </w:tc>
        <w:tc>
          <w:tcPr>
            <w:tcW w:w="1846" w:type="dxa"/>
          </w:tcPr>
          <w:p w14:paraId="09EE1FFC" w14:textId="77777777" w:rsidR="008A5549" w:rsidRDefault="008A5549" w:rsidP="00005D84">
            <w:pPr>
              <w:pStyle w:val="TableheadingleftTables"/>
            </w:pPr>
            <w:r>
              <w:t>Result</w:t>
            </w:r>
          </w:p>
        </w:tc>
      </w:tr>
      <w:tr w:rsidR="00B02873" w:rsidRPr="00B02873" w14:paraId="71773084" w14:textId="77777777" w:rsidTr="00214283">
        <w:tc>
          <w:tcPr>
            <w:tcW w:w="2972" w:type="dxa"/>
          </w:tcPr>
          <w:p w14:paraId="2EE306A7" w14:textId="77777777" w:rsidR="00B02873" w:rsidRDefault="00B02873" w:rsidP="00B415A9">
            <w:pPr>
              <w:pStyle w:val="TablebodyleftTables"/>
            </w:pPr>
            <w:r>
              <w:t>Applications for internal review of remedial notices completed within statutory timeframes</w:t>
            </w:r>
          </w:p>
        </w:tc>
        <w:tc>
          <w:tcPr>
            <w:tcW w:w="1134" w:type="dxa"/>
          </w:tcPr>
          <w:p w14:paraId="5682F7F4" w14:textId="77777777" w:rsidR="00B02873" w:rsidRDefault="00B02873" w:rsidP="008A5549">
            <w:pPr>
              <w:pStyle w:val="TablebodyleftTables"/>
            </w:pPr>
            <w:r>
              <w:t>per cent</w:t>
            </w:r>
          </w:p>
        </w:tc>
        <w:tc>
          <w:tcPr>
            <w:tcW w:w="1134" w:type="dxa"/>
          </w:tcPr>
          <w:p w14:paraId="796F29D3" w14:textId="77777777" w:rsidR="00B02873" w:rsidRDefault="00B02873" w:rsidP="00A56FB4">
            <w:pPr>
              <w:pStyle w:val="TablebodyleftTables"/>
              <w:jc w:val="right"/>
            </w:pPr>
            <w:r>
              <w:t>100</w:t>
            </w:r>
          </w:p>
        </w:tc>
        <w:tc>
          <w:tcPr>
            <w:tcW w:w="1110" w:type="dxa"/>
          </w:tcPr>
          <w:p w14:paraId="38A469DB" w14:textId="77777777" w:rsidR="00B02873" w:rsidRDefault="00B02873" w:rsidP="00A56FB4">
            <w:pPr>
              <w:pStyle w:val="TablebodyleftTables"/>
              <w:jc w:val="right"/>
            </w:pPr>
            <w:r>
              <w:t>90</w:t>
            </w:r>
          </w:p>
        </w:tc>
        <w:tc>
          <w:tcPr>
            <w:tcW w:w="1442" w:type="dxa"/>
          </w:tcPr>
          <w:p w14:paraId="167DC71C" w14:textId="77777777" w:rsidR="00B02873" w:rsidRDefault="00B02873" w:rsidP="00A56FB4">
            <w:pPr>
              <w:pStyle w:val="TablebodyleftTables"/>
              <w:jc w:val="right"/>
            </w:pPr>
            <w:r>
              <w:t>11%</w:t>
            </w:r>
          </w:p>
        </w:tc>
        <w:tc>
          <w:tcPr>
            <w:tcW w:w="1846" w:type="dxa"/>
          </w:tcPr>
          <w:p w14:paraId="724C3AC3" w14:textId="77777777" w:rsidR="00B02873" w:rsidRDefault="00B02873" w:rsidP="008A5549">
            <w:pPr>
              <w:pStyle w:val="TablebodyleftTables"/>
            </w:pPr>
          </w:p>
        </w:tc>
      </w:tr>
    </w:tbl>
    <w:p w14:paraId="6420D32C" w14:textId="0458D59D" w:rsidR="00B232E4" w:rsidRDefault="00B232E4">
      <w:r>
        <w:t>Performance is above target due to EPA’s commitment to the efficient review, where requested, of remedial notices for environmental improvements, prohibitions, actions and investigations.</w:t>
      </w:r>
    </w:p>
    <w:tbl>
      <w:tblPr>
        <w:tblStyle w:val="TableGrid"/>
        <w:tblW w:w="9638" w:type="dxa"/>
        <w:tblLayout w:type="fixed"/>
        <w:tblLook w:val="0020" w:firstRow="1" w:lastRow="0" w:firstColumn="0" w:lastColumn="0" w:noHBand="0" w:noVBand="0"/>
      </w:tblPr>
      <w:tblGrid>
        <w:gridCol w:w="2972"/>
        <w:gridCol w:w="1134"/>
        <w:gridCol w:w="1134"/>
        <w:gridCol w:w="1110"/>
        <w:gridCol w:w="1442"/>
        <w:gridCol w:w="1846"/>
      </w:tblGrid>
      <w:tr w:rsidR="008A5549" w:rsidRPr="00B02873" w14:paraId="41B33D8A" w14:textId="77777777" w:rsidTr="00214283">
        <w:trPr>
          <w:cnfStyle w:val="100000000000" w:firstRow="1" w:lastRow="0" w:firstColumn="0" w:lastColumn="0" w:oddVBand="0" w:evenVBand="0" w:oddHBand="0" w:evenHBand="0" w:firstRowFirstColumn="0" w:firstRowLastColumn="0" w:lastRowFirstColumn="0" w:lastRowLastColumn="0"/>
          <w:tblHeader/>
        </w:trPr>
        <w:tc>
          <w:tcPr>
            <w:tcW w:w="2972" w:type="dxa"/>
          </w:tcPr>
          <w:p w14:paraId="35BED4DD" w14:textId="77777777" w:rsidR="008A5549" w:rsidRDefault="008A5549" w:rsidP="00362FD2">
            <w:pPr>
              <w:pStyle w:val="TableheadingleftTables"/>
            </w:pPr>
            <w:r>
              <w:t>Output performance measures</w:t>
            </w:r>
          </w:p>
        </w:tc>
        <w:tc>
          <w:tcPr>
            <w:tcW w:w="1134" w:type="dxa"/>
          </w:tcPr>
          <w:p w14:paraId="74F8F78D" w14:textId="77777777" w:rsidR="008A5549" w:rsidRDefault="008A5549" w:rsidP="00362FD2">
            <w:pPr>
              <w:pStyle w:val="TableheadingleftTables"/>
            </w:pPr>
            <w:r>
              <w:t>Unit of measure</w:t>
            </w:r>
          </w:p>
        </w:tc>
        <w:tc>
          <w:tcPr>
            <w:tcW w:w="1134" w:type="dxa"/>
          </w:tcPr>
          <w:p w14:paraId="0E3DD130" w14:textId="77777777" w:rsidR="008A5549" w:rsidRDefault="008A5549" w:rsidP="00A56FB4">
            <w:pPr>
              <w:pStyle w:val="TableheadingleftTables"/>
              <w:jc w:val="right"/>
            </w:pPr>
            <w:r>
              <w:t>2021-22 actual</w:t>
            </w:r>
          </w:p>
        </w:tc>
        <w:tc>
          <w:tcPr>
            <w:tcW w:w="1110" w:type="dxa"/>
          </w:tcPr>
          <w:p w14:paraId="748EE6BE" w14:textId="77777777" w:rsidR="008A5549" w:rsidRDefault="008A5549" w:rsidP="00A56FB4">
            <w:pPr>
              <w:pStyle w:val="TableheadingleftTables"/>
              <w:jc w:val="right"/>
            </w:pPr>
            <w:r>
              <w:t>2021-22 target</w:t>
            </w:r>
          </w:p>
        </w:tc>
        <w:tc>
          <w:tcPr>
            <w:tcW w:w="1442" w:type="dxa"/>
          </w:tcPr>
          <w:p w14:paraId="2936EBBB" w14:textId="77777777" w:rsidR="008A5549" w:rsidRDefault="008A5549" w:rsidP="00A56FB4">
            <w:pPr>
              <w:pStyle w:val="TableheadingleftTables"/>
              <w:jc w:val="right"/>
            </w:pPr>
            <w:r>
              <w:rPr>
                <w:spacing w:val="-3"/>
              </w:rPr>
              <w:t>Performance variation (%)</w:t>
            </w:r>
          </w:p>
        </w:tc>
        <w:tc>
          <w:tcPr>
            <w:tcW w:w="1846" w:type="dxa"/>
          </w:tcPr>
          <w:p w14:paraId="3AFE1D35" w14:textId="77777777" w:rsidR="008A5549" w:rsidRDefault="008A5549" w:rsidP="00362FD2">
            <w:pPr>
              <w:pStyle w:val="TableheadingleftTables"/>
            </w:pPr>
            <w:r>
              <w:t>Result</w:t>
            </w:r>
          </w:p>
        </w:tc>
      </w:tr>
      <w:tr w:rsidR="00B02873" w:rsidRPr="00B02873" w14:paraId="360E7B0C" w14:textId="77777777" w:rsidTr="00214283">
        <w:tc>
          <w:tcPr>
            <w:tcW w:w="2972" w:type="dxa"/>
          </w:tcPr>
          <w:p w14:paraId="7CF5ACCB" w14:textId="77777777" w:rsidR="00B02873" w:rsidRDefault="00B02873" w:rsidP="00B415A9">
            <w:pPr>
              <w:pStyle w:val="TablebodyleftTables"/>
            </w:pPr>
            <w:r>
              <w:t>EPA provides technical advice to lead agencies within agreed timelines during emergency incidents</w:t>
            </w:r>
          </w:p>
        </w:tc>
        <w:tc>
          <w:tcPr>
            <w:tcW w:w="1134" w:type="dxa"/>
          </w:tcPr>
          <w:p w14:paraId="77F2E925" w14:textId="77777777" w:rsidR="00B02873" w:rsidRDefault="00B02873" w:rsidP="008A5549">
            <w:pPr>
              <w:pStyle w:val="TablebodyleftTables"/>
            </w:pPr>
            <w:r>
              <w:t>per cent</w:t>
            </w:r>
          </w:p>
        </w:tc>
        <w:tc>
          <w:tcPr>
            <w:tcW w:w="1134" w:type="dxa"/>
          </w:tcPr>
          <w:p w14:paraId="3CE724F5" w14:textId="77777777" w:rsidR="00B02873" w:rsidRDefault="00B02873" w:rsidP="00A56FB4">
            <w:pPr>
              <w:pStyle w:val="TablebodyleftTables"/>
              <w:jc w:val="right"/>
            </w:pPr>
            <w:r>
              <w:t>100</w:t>
            </w:r>
          </w:p>
        </w:tc>
        <w:tc>
          <w:tcPr>
            <w:tcW w:w="1110" w:type="dxa"/>
          </w:tcPr>
          <w:p w14:paraId="0A818FDE" w14:textId="77777777" w:rsidR="00B02873" w:rsidRDefault="00B02873" w:rsidP="00A56FB4">
            <w:pPr>
              <w:pStyle w:val="TablebodyleftTables"/>
              <w:jc w:val="right"/>
            </w:pPr>
            <w:r>
              <w:t>90</w:t>
            </w:r>
          </w:p>
        </w:tc>
        <w:tc>
          <w:tcPr>
            <w:tcW w:w="1442" w:type="dxa"/>
          </w:tcPr>
          <w:p w14:paraId="2778E85B" w14:textId="77777777" w:rsidR="00B02873" w:rsidRDefault="00B02873" w:rsidP="00A56FB4">
            <w:pPr>
              <w:pStyle w:val="TablebodyleftTables"/>
              <w:jc w:val="right"/>
            </w:pPr>
            <w:r>
              <w:t>11%</w:t>
            </w:r>
          </w:p>
        </w:tc>
        <w:tc>
          <w:tcPr>
            <w:tcW w:w="1846" w:type="dxa"/>
          </w:tcPr>
          <w:p w14:paraId="6476A114" w14:textId="77777777" w:rsidR="00B02873" w:rsidRDefault="00B02873" w:rsidP="008A5549">
            <w:pPr>
              <w:pStyle w:val="TablebodyleftTables"/>
            </w:pPr>
          </w:p>
        </w:tc>
      </w:tr>
    </w:tbl>
    <w:p w14:paraId="1E956697" w14:textId="631C0F6A" w:rsidR="00B232E4" w:rsidRDefault="00B232E4">
      <w:r>
        <w:t>Performance is above target due to EPA’s commitment to provide timely technical advice to lead agencies during emergency incidents and reflects a continued focus on process and system improvement.</w:t>
      </w:r>
    </w:p>
    <w:tbl>
      <w:tblPr>
        <w:tblStyle w:val="TableGrid"/>
        <w:tblW w:w="9638" w:type="dxa"/>
        <w:tblLayout w:type="fixed"/>
        <w:tblLook w:val="0020" w:firstRow="1" w:lastRow="0" w:firstColumn="0" w:lastColumn="0" w:noHBand="0" w:noVBand="0"/>
      </w:tblPr>
      <w:tblGrid>
        <w:gridCol w:w="2972"/>
        <w:gridCol w:w="1134"/>
        <w:gridCol w:w="1134"/>
        <w:gridCol w:w="1110"/>
        <w:gridCol w:w="1442"/>
        <w:gridCol w:w="1846"/>
      </w:tblGrid>
      <w:tr w:rsidR="008A5549" w:rsidRPr="00B02873" w14:paraId="0B991DB6" w14:textId="77777777" w:rsidTr="00214283">
        <w:trPr>
          <w:cnfStyle w:val="100000000000" w:firstRow="1" w:lastRow="0" w:firstColumn="0" w:lastColumn="0" w:oddVBand="0" w:evenVBand="0" w:oddHBand="0" w:evenHBand="0" w:firstRowFirstColumn="0" w:firstRowLastColumn="0" w:lastRowFirstColumn="0" w:lastRowLastColumn="0"/>
          <w:tblHeader/>
        </w:trPr>
        <w:tc>
          <w:tcPr>
            <w:tcW w:w="2972" w:type="dxa"/>
          </w:tcPr>
          <w:p w14:paraId="27EC17F5" w14:textId="77777777" w:rsidR="008A5549" w:rsidRDefault="008A5549" w:rsidP="00780BBD">
            <w:pPr>
              <w:pStyle w:val="TableheadingleftTables"/>
            </w:pPr>
            <w:r>
              <w:lastRenderedPageBreak/>
              <w:t>Output performance measures</w:t>
            </w:r>
          </w:p>
        </w:tc>
        <w:tc>
          <w:tcPr>
            <w:tcW w:w="1134" w:type="dxa"/>
          </w:tcPr>
          <w:p w14:paraId="275FE82C" w14:textId="77777777" w:rsidR="008A5549" w:rsidRDefault="008A5549" w:rsidP="00780BBD">
            <w:pPr>
              <w:pStyle w:val="TableheadingleftTables"/>
            </w:pPr>
            <w:r>
              <w:t>Unit of measure</w:t>
            </w:r>
          </w:p>
        </w:tc>
        <w:tc>
          <w:tcPr>
            <w:tcW w:w="1134" w:type="dxa"/>
          </w:tcPr>
          <w:p w14:paraId="255AB57B" w14:textId="77777777" w:rsidR="008A5549" w:rsidRDefault="008A5549" w:rsidP="00A56FB4">
            <w:pPr>
              <w:pStyle w:val="TableheadingleftTables"/>
              <w:jc w:val="right"/>
            </w:pPr>
            <w:r>
              <w:t>2021-22 actual</w:t>
            </w:r>
          </w:p>
        </w:tc>
        <w:tc>
          <w:tcPr>
            <w:tcW w:w="1110" w:type="dxa"/>
          </w:tcPr>
          <w:p w14:paraId="23F0ECD4" w14:textId="77777777" w:rsidR="008A5549" w:rsidRDefault="008A5549" w:rsidP="00A56FB4">
            <w:pPr>
              <w:pStyle w:val="TableheadingleftTables"/>
              <w:jc w:val="right"/>
            </w:pPr>
            <w:r>
              <w:t>2021-22 target</w:t>
            </w:r>
          </w:p>
        </w:tc>
        <w:tc>
          <w:tcPr>
            <w:tcW w:w="1442" w:type="dxa"/>
          </w:tcPr>
          <w:p w14:paraId="6CBA3CE2" w14:textId="77777777" w:rsidR="008A5549" w:rsidRDefault="008A5549" w:rsidP="00A56FB4">
            <w:pPr>
              <w:pStyle w:val="TableheadingleftTables"/>
              <w:jc w:val="right"/>
            </w:pPr>
            <w:r>
              <w:rPr>
                <w:spacing w:val="-3"/>
              </w:rPr>
              <w:t>Performance variation (%)</w:t>
            </w:r>
          </w:p>
        </w:tc>
        <w:tc>
          <w:tcPr>
            <w:tcW w:w="1846" w:type="dxa"/>
          </w:tcPr>
          <w:p w14:paraId="3FBE88F6" w14:textId="77777777" w:rsidR="008A5549" w:rsidRDefault="008A5549" w:rsidP="00780BBD">
            <w:pPr>
              <w:pStyle w:val="TableheadingleftTables"/>
            </w:pPr>
            <w:r>
              <w:t>Result</w:t>
            </w:r>
          </w:p>
        </w:tc>
      </w:tr>
      <w:tr w:rsidR="00B02873" w:rsidRPr="00B02873" w14:paraId="37567125" w14:textId="77777777" w:rsidTr="00214283">
        <w:tc>
          <w:tcPr>
            <w:tcW w:w="2972" w:type="dxa"/>
          </w:tcPr>
          <w:p w14:paraId="2DF17618" w14:textId="77777777" w:rsidR="00B02873" w:rsidRDefault="00B02873" w:rsidP="00B415A9">
            <w:pPr>
              <w:pStyle w:val="TablebodyleftTables"/>
            </w:pPr>
            <w:r>
              <w:t>EPA responds within one day of notification to waste crime incidents identified for priority response</w:t>
            </w:r>
          </w:p>
        </w:tc>
        <w:tc>
          <w:tcPr>
            <w:tcW w:w="1134" w:type="dxa"/>
          </w:tcPr>
          <w:p w14:paraId="234C38BC" w14:textId="77777777" w:rsidR="00B02873" w:rsidRDefault="00B02873" w:rsidP="008A5549">
            <w:pPr>
              <w:pStyle w:val="TablebodyleftTables"/>
            </w:pPr>
            <w:r>
              <w:t>per cent</w:t>
            </w:r>
          </w:p>
        </w:tc>
        <w:tc>
          <w:tcPr>
            <w:tcW w:w="1134" w:type="dxa"/>
          </w:tcPr>
          <w:p w14:paraId="3E2938BF" w14:textId="77777777" w:rsidR="00B02873" w:rsidRDefault="00B02873" w:rsidP="00A56FB4">
            <w:pPr>
              <w:pStyle w:val="TablebodyleftTables"/>
              <w:jc w:val="right"/>
            </w:pPr>
            <w:r>
              <w:t>86</w:t>
            </w:r>
          </w:p>
        </w:tc>
        <w:tc>
          <w:tcPr>
            <w:tcW w:w="1110" w:type="dxa"/>
          </w:tcPr>
          <w:p w14:paraId="4E72D6EB" w14:textId="77777777" w:rsidR="00B02873" w:rsidRDefault="00B02873" w:rsidP="00A56FB4">
            <w:pPr>
              <w:pStyle w:val="TablebodyleftTables"/>
              <w:jc w:val="right"/>
            </w:pPr>
            <w:r>
              <w:t>90</w:t>
            </w:r>
          </w:p>
        </w:tc>
        <w:tc>
          <w:tcPr>
            <w:tcW w:w="1442" w:type="dxa"/>
          </w:tcPr>
          <w:p w14:paraId="26ABE5EA" w14:textId="77777777" w:rsidR="00B02873" w:rsidRDefault="00B02873" w:rsidP="00A56FB4">
            <w:pPr>
              <w:pStyle w:val="TablebodyleftTables"/>
              <w:jc w:val="right"/>
            </w:pPr>
            <w:r>
              <w:t>(4%)</w:t>
            </w:r>
          </w:p>
        </w:tc>
        <w:tc>
          <w:tcPr>
            <w:tcW w:w="1846" w:type="dxa"/>
          </w:tcPr>
          <w:p w14:paraId="2BA0151B" w14:textId="51857274" w:rsidR="00B02873" w:rsidRDefault="008A5549" w:rsidP="008A5549">
            <w:pPr>
              <w:pStyle w:val="TablebodyleftTables"/>
            </w:pPr>
            <w:r w:rsidRPr="008A5549">
              <w:t>Performance target not achieved – within 5 per cent variance.</w:t>
            </w:r>
          </w:p>
        </w:tc>
      </w:tr>
      <w:tr w:rsidR="00B02873" w:rsidRPr="00B02873" w14:paraId="5A039617" w14:textId="77777777" w:rsidTr="00214283">
        <w:tc>
          <w:tcPr>
            <w:tcW w:w="2972" w:type="dxa"/>
          </w:tcPr>
          <w:p w14:paraId="0A3F6519" w14:textId="77777777" w:rsidR="00B02873" w:rsidRDefault="00B02873" w:rsidP="00B415A9">
            <w:pPr>
              <w:pStyle w:val="TableheadingleftTables"/>
            </w:pPr>
            <w:r>
              <w:t>Cost</w:t>
            </w:r>
          </w:p>
        </w:tc>
        <w:tc>
          <w:tcPr>
            <w:tcW w:w="1134" w:type="dxa"/>
          </w:tcPr>
          <w:p w14:paraId="3D161C97" w14:textId="77777777" w:rsidR="00B02873" w:rsidRPr="00B02873" w:rsidRDefault="00B02873" w:rsidP="00B415A9">
            <w:pPr>
              <w:pStyle w:val="NoParagraphStyle"/>
              <w:spacing w:line="240" w:lineRule="auto"/>
              <w:textAlignment w:val="auto"/>
              <w:rPr>
                <w:rFonts w:ascii="Apple Symbols Regular" w:hAnsi="Apple Symbols Regular" w:cs="Times New Roman"/>
                <w:color w:val="auto"/>
                <w:lang w:val="en-AU"/>
              </w:rPr>
            </w:pPr>
          </w:p>
        </w:tc>
        <w:tc>
          <w:tcPr>
            <w:tcW w:w="1134" w:type="dxa"/>
          </w:tcPr>
          <w:p w14:paraId="1453A2A7" w14:textId="77777777" w:rsidR="00B02873" w:rsidRPr="00B02873" w:rsidRDefault="00B02873" w:rsidP="00A56FB4">
            <w:pPr>
              <w:pStyle w:val="NoParagraphStyle"/>
              <w:spacing w:line="240" w:lineRule="auto"/>
              <w:jc w:val="right"/>
              <w:textAlignment w:val="auto"/>
              <w:rPr>
                <w:rFonts w:ascii="Apple Symbols Regular" w:hAnsi="Apple Symbols Regular" w:cs="Times New Roman"/>
                <w:color w:val="auto"/>
                <w:lang w:val="en-AU"/>
              </w:rPr>
            </w:pPr>
          </w:p>
        </w:tc>
        <w:tc>
          <w:tcPr>
            <w:tcW w:w="1110" w:type="dxa"/>
          </w:tcPr>
          <w:p w14:paraId="67939351" w14:textId="77777777" w:rsidR="00B02873" w:rsidRPr="00B02873" w:rsidRDefault="00B02873" w:rsidP="00A56FB4">
            <w:pPr>
              <w:pStyle w:val="NoParagraphStyle"/>
              <w:spacing w:line="240" w:lineRule="auto"/>
              <w:jc w:val="right"/>
              <w:textAlignment w:val="auto"/>
              <w:rPr>
                <w:rFonts w:ascii="Apple Symbols Regular" w:hAnsi="Apple Symbols Regular" w:cs="Times New Roman"/>
                <w:color w:val="auto"/>
                <w:lang w:val="en-AU"/>
              </w:rPr>
            </w:pPr>
          </w:p>
        </w:tc>
        <w:tc>
          <w:tcPr>
            <w:tcW w:w="1442" w:type="dxa"/>
          </w:tcPr>
          <w:p w14:paraId="2387828A" w14:textId="77777777" w:rsidR="00B02873" w:rsidRPr="00B02873" w:rsidRDefault="00B02873" w:rsidP="00A56FB4">
            <w:pPr>
              <w:pStyle w:val="NoParagraphStyle"/>
              <w:spacing w:line="240" w:lineRule="auto"/>
              <w:jc w:val="right"/>
              <w:textAlignment w:val="auto"/>
              <w:rPr>
                <w:rFonts w:ascii="Apple Symbols Regular" w:hAnsi="Apple Symbols Regular" w:cs="Times New Roman"/>
                <w:color w:val="auto"/>
                <w:lang w:val="en-AU"/>
              </w:rPr>
            </w:pPr>
          </w:p>
        </w:tc>
        <w:tc>
          <w:tcPr>
            <w:tcW w:w="1846" w:type="dxa"/>
          </w:tcPr>
          <w:p w14:paraId="20A7A221" w14:textId="77777777" w:rsidR="00B02873" w:rsidRPr="00B02873" w:rsidRDefault="00B02873" w:rsidP="00B415A9">
            <w:pPr>
              <w:pStyle w:val="NoParagraphStyle"/>
              <w:spacing w:line="240" w:lineRule="auto"/>
              <w:textAlignment w:val="auto"/>
              <w:rPr>
                <w:rFonts w:ascii="Apple Symbols Regular" w:hAnsi="Apple Symbols Regular" w:cs="Times New Roman"/>
                <w:color w:val="auto"/>
                <w:lang w:val="en-AU"/>
              </w:rPr>
            </w:pPr>
          </w:p>
        </w:tc>
      </w:tr>
      <w:tr w:rsidR="00B02873" w:rsidRPr="00B02873" w14:paraId="278D59F2" w14:textId="77777777" w:rsidTr="00214283">
        <w:tc>
          <w:tcPr>
            <w:tcW w:w="2972" w:type="dxa"/>
          </w:tcPr>
          <w:p w14:paraId="56A1E2D8" w14:textId="77777777" w:rsidR="00B02873" w:rsidRDefault="00B02873" w:rsidP="00B415A9">
            <w:pPr>
              <w:pStyle w:val="TablebodyleftTables"/>
            </w:pPr>
            <w:r>
              <w:rPr>
                <w:rStyle w:val="Bold"/>
              </w:rPr>
              <w:t>Total output cost</w:t>
            </w:r>
          </w:p>
        </w:tc>
        <w:tc>
          <w:tcPr>
            <w:tcW w:w="1134" w:type="dxa"/>
          </w:tcPr>
          <w:p w14:paraId="1B88674A" w14:textId="77777777" w:rsidR="00B02873" w:rsidRDefault="00B02873" w:rsidP="008A5549">
            <w:pPr>
              <w:pStyle w:val="TablebodyleftTables"/>
            </w:pPr>
            <w:r>
              <w:t>$ million</w:t>
            </w:r>
          </w:p>
        </w:tc>
        <w:tc>
          <w:tcPr>
            <w:tcW w:w="1134" w:type="dxa"/>
          </w:tcPr>
          <w:p w14:paraId="5AEF4E29" w14:textId="77777777" w:rsidR="00B02873" w:rsidRDefault="00B02873" w:rsidP="00A56FB4">
            <w:pPr>
              <w:pStyle w:val="TablebodyleftTables"/>
              <w:jc w:val="right"/>
            </w:pPr>
            <w:r>
              <w:t>207.4</w:t>
            </w:r>
          </w:p>
        </w:tc>
        <w:tc>
          <w:tcPr>
            <w:tcW w:w="1110" w:type="dxa"/>
          </w:tcPr>
          <w:p w14:paraId="2996514A" w14:textId="77777777" w:rsidR="00B02873" w:rsidRDefault="00B02873" w:rsidP="00A56FB4">
            <w:pPr>
              <w:pStyle w:val="TablebodyleftTables"/>
              <w:jc w:val="right"/>
            </w:pPr>
            <w:r>
              <w:t>236.5</w:t>
            </w:r>
          </w:p>
        </w:tc>
        <w:tc>
          <w:tcPr>
            <w:tcW w:w="1442" w:type="dxa"/>
          </w:tcPr>
          <w:p w14:paraId="06B947EC" w14:textId="77777777" w:rsidR="00B02873" w:rsidRDefault="00B02873" w:rsidP="00A56FB4">
            <w:pPr>
              <w:pStyle w:val="TablebodyleftTables"/>
              <w:jc w:val="right"/>
            </w:pPr>
            <w:r>
              <w:t>(12%)</w:t>
            </w:r>
          </w:p>
        </w:tc>
        <w:tc>
          <w:tcPr>
            <w:tcW w:w="1846" w:type="dxa"/>
          </w:tcPr>
          <w:p w14:paraId="0D08D984" w14:textId="5B7F2455" w:rsidR="00B02873" w:rsidRDefault="00214283" w:rsidP="00214283">
            <w:pPr>
              <w:pStyle w:val="TablebodyleftTables"/>
            </w:pPr>
            <w:r w:rsidRPr="00214283">
              <w:t>Performance target not achieved – exceeds 5 per cent variance.</w:t>
            </w:r>
          </w:p>
        </w:tc>
      </w:tr>
    </w:tbl>
    <w:p w14:paraId="20A780BB" w14:textId="363D85DE" w:rsidR="00A56FB4" w:rsidRDefault="00A56FB4">
      <w:r>
        <w:t>The lower than budgeted output cost is primarily driven by reallocation of expenditure across several other outputs to better reflect where the expenditure was incurred.</w:t>
      </w:r>
    </w:p>
    <w:p w14:paraId="75245AC3" w14:textId="77777777" w:rsidR="00B02873" w:rsidRDefault="00B02873" w:rsidP="00B232E4">
      <w:pPr>
        <w:pStyle w:val="Heading4"/>
      </w:pPr>
      <w:r>
        <w:t>Waste and Recycling</w:t>
      </w:r>
    </w:p>
    <w:p w14:paraId="0EBAD9BD" w14:textId="77777777" w:rsidR="00B02873" w:rsidRDefault="00B02873" w:rsidP="00FE198A">
      <w:r>
        <w:t>This output delivers investment into reducing waste, transforming recycling services and increasing value from recycled materials. These activities support industry, innovation, research and development and clean technologies to create new markets and business opportunities for recycled materials.</w:t>
      </w:r>
    </w:p>
    <w:p w14:paraId="313FD48B" w14:textId="77777777" w:rsidR="00B02873" w:rsidRDefault="00B02873" w:rsidP="00FE198A">
      <w:r>
        <w:t>The performance measures below compare targets and expected or actual results from the delivery of programs and services as part of this output:</w:t>
      </w:r>
    </w:p>
    <w:tbl>
      <w:tblPr>
        <w:tblStyle w:val="TableGrid"/>
        <w:tblW w:w="9638" w:type="dxa"/>
        <w:tblLayout w:type="fixed"/>
        <w:tblLook w:val="0020" w:firstRow="1" w:lastRow="0" w:firstColumn="0" w:lastColumn="0" w:noHBand="0" w:noVBand="0"/>
      </w:tblPr>
      <w:tblGrid>
        <w:gridCol w:w="2972"/>
        <w:gridCol w:w="1134"/>
        <w:gridCol w:w="1139"/>
        <w:gridCol w:w="1105"/>
        <w:gridCol w:w="1442"/>
        <w:gridCol w:w="1846"/>
      </w:tblGrid>
      <w:tr w:rsidR="00B02873" w:rsidRPr="00B02873" w14:paraId="01D6AA9F" w14:textId="77777777" w:rsidTr="00DB42CF">
        <w:trPr>
          <w:cnfStyle w:val="100000000000" w:firstRow="1" w:lastRow="0" w:firstColumn="0" w:lastColumn="0" w:oddVBand="0" w:evenVBand="0" w:oddHBand="0" w:evenHBand="0" w:firstRowFirstColumn="0" w:firstRowLastColumn="0" w:lastRowFirstColumn="0" w:lastRowLastColumn="0"/>
          <w:tblHeader/>
        </w:trPr>
        <w:tc>
          <w:tcPr>
            <w:tcW w:w="2972" w:type="dxa"/>
          </w:tcPr>
          <w:p w14:paraId="78C9AAC4" w14:textId="77777777" w:rsidR="00B02873" w:rsidRDefault="00B02873" w:rsidP="00B776F1">
            <w:pPr>
              <w:pStyle w:val="TableheadingleftTables"/>
            </w:pPr>
            <w:r>
              <w:t>Output performance measures</w:t>
            </w:r>
          </w:p>
        </w:tc>
        <w:tc>
          <w:tcPr>
            <w:tcW w:w="1134" w:type="dxa"/>
          </w:tcPr>
          <w:p w14:paraId="6BA90BF9" w14:textId="77777777" w:rsidR="00B02873" w:rsidRDefault="00B02873" w:rsidP="00B776F1">
            <w:pPr>
              <w:pStyle w:val="TableheadingleftTables"/>
            </w:pPr>
            <w:r>
              <w:t>Unit of measure</w:t>
            </w:r>
          </w:p>
        </w:tc>
        <w:tc>
          <w:tcPr>
            <w:tcW w:w="1139" w:type="dxa"/>
          </w:tcPr>
          <w:p w14:paraId="4F3D4984" w14:textId="77777777" w:rsidR="00B02873" w:rsidRDefault="00B02873" w:rsidP="00A56FB4">
            <w:pPr>
              <w:pStyle w:val="TableheadingleftTables"/>
              <w:jc w:val="right"/>
            </w:pPr>
            <w:r>
              <w:t>2021-22 actual</w:t>
            </w:r>
          </w:p>
        </w:tc>
        <w:tc>
          <w:tcPr>
            <w:tcW w:w="1105" w:type="dxa"/>
          </w:tcPr>
          <w:p w14:paraId="7D3A22BE" w14:textId="77777777" w:rsidR="00B02873" w:rsidRDefault="00B02873" w:rsidP="00A56FB4">
            <w:pPr>
              <w:pStyle w:val="TableheadingleftTables"/>
              <w:jc w:val="right"/>
            </w:pPr>
            <w:r>
              <w:t>2021-22 target</w:t>
            </w:r>
          </w:p>
        </w:tc>
        <w:tc>
          <w:tcPr>
            <w:tcW w:w="1442" w:type="dxa"/>
          </w:tcPr>
          <w:p w14:paraId="3A53D267" w14:textId="77777777" w:rsidR="00B02873" w:rsidRDefault="00B02873" w:rsidP="00A56FB4">
            <w:pPr>
              <w:pStyle w:val="TableheadingleftTables"/>
              <w:jc w:val="right"/>
            </w:pPr>
            <w:r>
              <w:rPr>
                <w:spacing w:val="-3"/>
              </w:rPr>
              <w:t>Performance variation (%)</w:t>
            </w:r>
          </w:p>
        </w:tc>
        <w:tc>
          <w:tcPr>
            <w:tcW w:w="1846" w:type="dxa"/>
          </w:tcPr>
          <w:p w14:paraId="3CBB8B2A" w14:textId="77777777" w:rsidR="00B02873" w:rsidRDefault="00B02873" w:rsidP="00B776F1">
            <w:pPr>
              <w:pStyle w:val="TableheadingleftTables"/>
            </w:pPr>
            <w:r>
              <w:t>Result</w:t>
            </w:r>
          </w:p>
        </w:tc>
      </w:tr>
      <w:tr w:rsidR="00B02873" w:rsidRPr="00B02873" w14:paraId="3FE56520" w14:textId="77777777" w:rsidTr="00DB42CF">
        <w:tc>
          <w:tcPr>
            <w:tcW w:w="2972" w:type="dxa"/>
          </w:tcPr>
          <w:p w14:paraId="235C3981" w14:textId="77777777" w:rsidR="00B02873" w:rsidRDefault="00B02873" w:rsidP="00B415A9">
            <w:pPr>
              <w:pStyle w:val="TableheadingleftTables"/>
            </w:pPr>
            <w:r>
              <w:t>Quantity</w:t>
            </w:r>
          </w:p>
        </w:tc>
        <w:tc>
          <w:tcPr>
            <w:tcW w:w="1134" w:type="dxa"/>
          </w:tcPr>
          <w:p w14:paraId="2416D5FF" w14:textId="77777777" w:rsidR="00B02873" w:rsidRPr="00B02873" w:rsidRDefault="00B02873" w:rsidP="00B415A9">
            <w:pPr>
              <w:pStyle w:val="NoParagraphStyle"/>
              <w:spacing w:line="240" w:lineRule="auto"/>
              <w:textAlignment w:val="auto"/>
              <w:rPr>
                <w:rFonts w:ascii="Apple Symbols Regular" w:hAnsi="Apple Symbols Regular" w:cs="Times New Roman"/>
                <w:color w:val="auto"/>
                <w:lang w:val="en-AU"/>
              </w:rPr>
            </w:pPr>
          </w:p>
        </w:tc>
        <w:tc>
          <w:tcPr>
            <w:tcW w:w="1139" w:type="dxa"/>
          </w:tcPr>
          <w:p w14:paraId="1B1C50BC" w14:textId="77777777" w:rsidR="00B02873" w:rsidRPr="00B02873" w:rsidRDefault="00B02873" w:rsidP="00A56FB4">
            <w:pPr>
              <w:pStyle w:val="NoParagraphStyle"/>
              <w:spacing w:line="240" w:lineRule="auto"/>
              <w:jc w:val="right"/>
              <w:textAlignment w:val="auto"/>
              <w:rPr>
                <w:rFonts w:ascii="Apple Symbols Regular" w:hAnsi="Apple Symbols Regular" w:cs="Times New Roman"/>
                <w:color w:val="auto"/>
                <w:lang w:val="en-AU"/>
              </w:rPr>
            </w:pPr>
          </w:p>
        </w:tc>
        <w:tc>
          <w:tcPr>
            <w:tcW w:w="1105" w:type="dxa"/>
          </w:tcPr>
          <w:p w14:paraId="2851FF82" w14:textId="77777777" w:rsidR="00B02873" w:rsidRPr="00B02873" w:rsidRDefault="00B02873" w:rsidP="00A56FB4">
            <w:pPr>
              <w:pStyle w:val="NoParagraphStyle"/>
              <w:spacing w:line="240" w:lineRule="auto"/>
              <w:jc w:val="right"/>
              <w:textAlignment w:val="auto"/>
              <w:rPr>
                <w:rFonts w:ascii="Apple Symbols Regular" w:hAnsi="Apple Symbols Regular" w:cs="Times New Roman"/>
                <w:color w:val="auto"/>
                <w:lang w:val="en-AU"/>
              </w:rPr>
            </w:pPr>
          </w:p>
        </w:tc>
        <w:tc>
          <w:tcPr>
            <w:tcW w:w="1442" w:type="dxa"/>
          </w:tcPr>
          <w:p w14:paraId="6CC3F571" w14:textId="77777777" w:rsidR="00B02873" w:rsidRPr="00B02873" w:rsidRDefault="00B02873" w:rsidP="00A56FB4">
            <w:pPr>
              <w:pStyle w:val="NoParagraphStyle"/>
              <w:spacing w:line="240" w:lineRule="auto"/>
              <w:jc w:val="right"/>
              <w:textAlignment w:val="auto"/>
              <w:rPr>
                <w:rFonts w:ascii="Apple Symbols Regular" w:hAnsi="Apple Symbols Regular" w:cs="Times New Roman"/>
                <w:color w:val="auto"/>
                <w:lang w:val="en-AU"/>
              </w:rPr>
            </w:pPr>
          </w:p>
        </w:tc>
        <w:tc>
          <w:tcPr>
            <w:tcW w:w="1846" w:type="dxa"/>
          </w:tcPr>
          <w:p w14:paraId="34ABDA60" w14:textId="77777777" w:rsidR="00B02873" w:rsidRPr="00B02873" w:rsidRDefault="00B02873" w:rsidP="00B415A9">
            <w:pPr>
              <w:pStyle w:val="NoParagraphStyle"/>
              <w:spacing w:line="240" w:lineRule="auto"/>
              <w:textAlignment w:val="auto"/>
              <w:rPr>
                <w:rFonts w:ascii="Apple Symbols Regular" w:hAnsi="Apple Symbols Regular" w:cs="Times New Roman"/>
                <w:color w:val="auto"/>
                <w:lang w:val="en-AU"/>
              </w:rPr>
            </w:pPr>
          </w:p>
        </w:tc>
      </w:tr>
      <w:tr w:rsidR="00B02873" w:rsidRPr="00B02873" w14:paraId="0B08BD90" w14:textId="77777777" w:rsidTr="00DB42CF">
        <w:tc>
          <w:tcPr>
            <w:tcW w:w="2972" w:type="dxa"/>
          </w:tcPr>
          <w:p w14:paraId="5E6544B4" w14:textId="55F28892" w:rsidR="00B02873" w:rsidRDefault="00B02873" w:rsidP="00B415A9">
            <w:pPr>
              <w:pStyle w:val="TablebodyleftTables"/>
            </w:pPr>
            <w:r>
              <w:t>Proportion of waste diverted away from landfill</w:t>
            </w:r>
          </w:p>
        </w:tc>
        <w:tc>
          <w:tcPr>
            <w:tcW w:w="1134" w:type="dxa"/>
          </w:tcPr>
          <w:p w14:paraId="6E09A38D" w14:textId="77777777" w:rsidR="00B02873" w:rsidRDefault="00B02873" w:rsidP="00B776F1">
            <w:pPr>
              <w:pStyle w:val="TablebodyleftTables"/>
            </w:pPr>
            <w:r>
              <w:t>per cent</w:t>
            </w:r>
          </w:p>
        </w:tc>
        <w:tc>
          <w:tcPr>
            <w:tcW w:w="1139" w:type="dxa"/>
          </w:tcPr>
          <w:p w14:paraId="02D44339" w14:textId="42AC1F7C" w:rsidR="00B02873" w:rsidRDefault="00B02873" w:rsidP="00A56FB4">
            <w:pPr>
              <w:pStyle w:val="TablebodyleftTables"/>
              <w:jc w:val="right"/>
            </w:pPr>
            <w:r>
              <w:t>70 (estimate)</w:t>
            </w:r>
          </w:p>
        </w:tc>
        <w:tc>
          <w:tcPr>
            <w:tcW w:w="1105" w:type="dxa"/>
          </w:tcPr>
          <w:p w14:paraId="2423A3DF" w14:textId="77777777" w:rsidR="00B02873" w:rsidRDefault="00B02873" w:rsidP="00A56FB4">
            <w:pPr>
              <w:pStyle w:val="TablebodyleftTables"/>
              <w:jc w:val="right"/>
            </w:pPr>
            <w:r>
              <w:t>70</w:t>
            </w:r>
          </w:p>
        </w:tc>
        <w:tc>
          <w:tcPr>
            <w:tcW w:w="1442" w:type="dxa"/>
          </w:tcPr>
          <w:p w14:paraId="06526468" w14:textId="77777777" w:rsidR="00B02873" w:rsidRDefault="00B02873" w:rsidP="00A56FB4">
            <w:pPr>
              <w:pStyle w:val="TablebodyleftTables"/>
              <w:jc w:val="right"/>
            </w:pPr>
            <w:r>
              <w:t>0%</w:t>
            </w:r>
          </w:p>
        </w:tc>
        <w:tc>
          <w:tcPr>
            <w:tcW w:w="1846" w:type="dxa"/>
          </w:tcPr>
          <w:p w14:paraId="21E28B5A" w14:textId="251896F0" w:rsidR="00B02873" w:rsidRDefault="00DB42CF" w:rsidP="00B776F1">
            <w:pPr>
              <w:pStyle w:val="TablebodyleftTables"/>
            </w:pPr>
            <w:r w:rsidRPr="00DB42CF">
              <w:t>Performance target achieved or exceeded.</w:t>
            </w:r>
          </w:p>
        </w:tc>
      </w:tr>
    </w:tbl>
    <w:p w14:paraId="23FAFD0C" w14:textId="306D3333" w:rsidR="00DB42CF" w:rsidRDefault="00DB42CF">
      <w:r>
        <w:t>A final result will be available by 31 December 2022 after analysis of the 2021-22 Victorian Recycling Industry Annual Survey data</w:t>
      </w:r>
      <w:r w:rsidRPr="00DE1FCE">
        <w:rPr>
          <w:rFonts w:cs="VIC Light Italic"/>
        </w:rPr>
        <w:t>.</w:t>
      </w:r>
    </w:p>
    <w:tbl>
      <w:tblPr>
        <w:tblStyle w:val="TableGrid"/>
        <w:tblW w:w="9638" w:type="dxa"/>
        <w:tblLayout w:type="fixed"/>
        <w:tblLook w:val="0020" w:firstRow="1" w:lastRow="0" w:firstColumn="0" w:lastColumn="0" w:noHBand="0" w:noVBand="0"/>
      </w:tblPr>
      <w:tblGrid>
        <w:gridCol w:w="2972"/>
        <w:gridCol w:w="1134"/>
        <w:gridCol w:w="1139"/>
        <w:gridCol w:w="1105"/>
        <w:gridCol w:w="1442"/>
        <w:gridCol w:w="1846"/>
      </w:tblGrid>
      <w:tr w:rsidR="00DB42CF" w:rsidRPr="00B02873" w14:paraId="3A0BB93E" w14:textId="77777777" w:rsidTr="00DB42CF">
        <w:trPr>
          <w:cnfStyle w:val="100000000000" w:firstRow="1" w:lastRow="0" w:firstColumn="0" w:lastColumn="0" w:oddVBand="0" w:evenVBand="0" w:oddHBand="0" w:evenHBand="0" w:firstRowFirstColumn="0" w:firstRowLastColumn="0" w:lastRowFirstColumn="0" w:lastRowLastColumn="0"/>
        </w:trPr>
        <w:tc>
          <w:tcPr>
            <w:tcW w:w="2972" w:type="dxa"/>
          </w:tcPr>
          <w:p w14:paraId="5309D842" w14:textId="77777777" w:rsidR="00DB42CF" w:rsidRDefault="00DB42CF" w:rsidP="00880581">
            <w:pPr>
              <w:pStyle w:val="TableheadingleftTables"/>
            </w:pPr>
            <w:r>
              <w:t>Output performance measures</w:t>
            </w:r>
          </w:p>
        </w:tc>
        <w:tc>
          <w:tcPr>
            <w:tcW w:w="1134" w:type="dxa"/>
          </w:tcPr>
          <w:p w14:paraId="3BBA2F86" w14:textId="77777777" w:rsidR="00DB42CF" w:rsidRDefault="00DB42CF" w:rsidP="00880581">
            <w:pPr>
              <w:pStyle w:val="TableheadingleftTables"/>
            </w:pPr>
            <w:r>
              <w:t>Unit of measure</w:t>
            </w:r>
          </w:p>
        </w:tc>
        <w:tc>
          <w:tcPr>
            <w:tcW w:w="1139" w:type="dxa"/>
          </w:tcPr>
          <w:p w14:paraId="70BDEF75" w14:textId="77777777" w:rsidR="00DB42CF" w:rsidRDefault="00DB42CF" w:rsidP="00A56FB4">
            <w:pPr>
              <w:pStyle w:val="TableheadingleftTables"/>
              <w:jc w:val="right"/>
            </w:pPr>
            <w:r>
              <w:t>2021-22 actual</w:t>
            </w:r>
          </w:p>
        </w:tc>
        <w:tc>
          <w:tcPr>
            <w:tcW w:w="1105" w:type="dxa"/>
          </w:tcPr>
          <w:p w14:paraId="41985C28" w14:textId="77777777" w:rsidR="00DB42CF" w:rsidRDefault="00DB42CF" w:rsidP="00A56FB4">
            <w:pPr>
              <w:pStyle w:val="TableheadingleftTables"/>
              <w:jc w:val="right"/>
            </w:pPr>
            <w:r>
              <w:t>2021-22 target</w:t>
            </w:r>
          </w:p>
        </w:tc>
        <w:tc>
          <w:tcPr>
            <w:tcW w:w="1442" w:type="dxa"/>
          </w:tcPr>
          <w:p w14:paraId="0D143FBA" w14:textId="77777777" w:rsidR="00DB42CF" w:rsidRDefault="00DB42CF" w:rsidP="00A56FB4">
            <w:pPr>
              <w:pStyle w:val="TableheadingleftTables"/>
              <w:jc w:val="right"/>
            </w:pPr>
            <w:r>
              <w:rPr>
                <w:spacing w:val="-3"/>
              </w:rPr>
              <w:t>Performance variation (%)</w:t>
            </w:r>
          </w:p>
        </w:tc>
        <w:tc>
          <w:tcPr>
            <w:tcW w:w="1846" w:type="dxa"/>
          </w:tcPr>
          <w:p w14:paraId="5CDD8A33" w14:textId="77777777" w:rsidR="00DB42CF" w:rsidRDefault="00DB42CF" w:rsidP="00880581">
            <w:pPr>
              <w:pStyle w:val="TableheadingleftTables"/>
            </w:pPr>
            <w:r>
              <w:t>Result</w:t>
            </w:r>
          </w:p>
        </w:tc>
      </w:tr>
      <w:tr w:rsidR="00B02873" w:rsidRPr="00B02873" w14:paraId="4061C254" w14:textId="77777777" w:rsidTr="00DB42CF">
        <w:tc>
          <w:tcPr>
            <w:tcW w:w="2972" w:type="dxa"/>
          </w:tcPr>
          <w:p w14:paraId="40B32E64" w14:textId="77777777" w:rsidR="00B02873" w:rsidRDefault="00B02873" w:rsidP="00B415A9">
            <w:pPr>
              <w:pStyle w:val="TablebodyleftTables"/>
            </w:pPr>
            <w:r>
              <w:t>Proportion of Victorian households with access to organic food and garden waste recycling services</w:t>
            </w:r>
          </w:p>
        </w:tc>
        <w:tc>
          <w:tcPr>
            <w:tcW w:w="1134" w:type="dxa"/>
          </w:tcPr>
          <w:p w14:paraId="35078C78" w14:textId="77777777" w:rsidR="00B02873" w:rsidRDefault="00B02873" w:rsidP="00B776F1">
            <w:pPr>
              <w:pStyle w:val="TablebodyleftTables"/>
            </w:pPr>
            <w:r>
              <w:t>per cent</w:t>
            </w:r>
          </w:p>
        </w:tc>
        <w:tc>
          <w:tcPr>
            <w:tcW w:w="1139" w:type="dxa"/>
          </w:tcPr>
          <w:p w14:paraId="7DA49EC6" w14:textId="6040C00C" w:rsidR="00B02873" w:rsidRDefault="00B02873" w:rsidP="00A56FB4">
            <w:pPr>
              <w:pStyle w:val="TablebodyleftTables"/>
              <w:jc w:val="right"/>
            </w:pPr>
            <w:r>
              <w:t>31 (estimate)</w:t>
            </w:r>
          </w:p>
        </w:tc>
        <w:tc>
          <w:tcPr>
            <w:tcW w:w="1105" w:type="dxa"/>
          </w:tcPr>
          <w:p w14:paraId="2F6C0133" w14:textId="77777777" w:rsidR="00B02873" w:rsidRDefault="00B02873" w:rsidP="00A56FB4">
            <w:pPr>
              <w:pStyle w:val="TablebodyleftTables"/>
              <w:jc w:val="right"/>
            </w:pPr>
            <w:r>
              <w:t>16</w:t>
            </w:r>
          </w:p>
        </w:tc>
        <w:tc>
          <w:tcPr>
            <w:tcW w:w="1442" w:type="dxa"/>
          </w:tcPr>
          <w:p w14:paraId="5D76D153" w14:textId="77777777" w:rsidR="00B02873" w:rsidRDefault="00B02873" w:rsidP="00A56FB4">
            <w:pPr>
              <w:pStyle w:val="TablebodyleftTables"/>
              <w:jc w:val="right"/>
            </w:pPr>
            <w:r>
              <w:t>94%</w:t>
            </w:r>
          </w:p>
        </w:tc>
        <w:tc>
          <w:tcPr>
            <w:tcW w:w="1846" w:type="dxa"/>
          </w:tcPr>
          <w:p w14:paraId="32494827" w14:textId="66EF7D86" w:rsidR="00B02873" w:rsidRDefault="00DB42CF" w:rsidP="00B776F1">
            <w:pPr>
              <w:pStyle w:val="TablebodyleftTables"/>
            </w:pPr>
            <w:r w:rsidRPr="00DB42CF">
              <w:t>Performance target achieved or exceeded.</w:t>
            </w:r>
          </w:p>
        </w:tc>
      </w:tr>
    </w:tbl>
    <w:p w14:paraId="051469C5" w14:textId="767FF1B1" w:rsidR="00DB42CF" w:rsidRDefault="00DB42CF">
      <w:r>
        <w:t>A final result will be available by 31 December 2022 after analysis of the 2021-22 Victorian Local Government Annual Survey data. Performance is projected to be above target due to strong council participation in organic food and garden waste services</w:t>
      </w:r>
      <w:r w:rsidRPr="00DE1FCE">
        <w:rPr>
          <w:rFonts w:cs="VIC Light Italic"/>
        </w:rPr>
        <w:t>.</w:t>
      </w:r>
    </w:p>
    <w:tbl>
      <w:tblPr>
        <w:tblStyle w:val="TableGrid"/>
        <w:tblW w:w="9638" w:type="dxa"/>
        <w:tblLayout w:type="fixed"/>
        <w:tblLook w:val="0020" w:firstRow="1" w:lastRow="0" w:firstColumn="0" w:lastColumn="0" w:noHBand="0" w:noVBand="0"/>
      </w:tblPr>
      <w:tblGrid>
        <w:gridCol w:w="2972"/>
        <w:gridCol w:w="1134"/>
        <w:gridCol w:w="1139"/>
        <w:gridCol w:w="1105"/>
        <w:gridCol w:w="1442"/>
        <w:gridCol w:w="1846"/>
      </w:tblGrid>
      <w:tr w:rsidR="00DB42CF" w:rsidRPr="00B02873" w14:paraId="64660534" w14:textId="77777777" w:rsidTr="00DB42CF">
        <w:trPr>
          <w:cnfStyle w:val="100000000000" w:firstRow="1" w:lastRow="0" w:firstColumn="0" w:lastColumn="0" w:oddVBand="0" w:evenVBand="0" w:oddHBand="0" w:evenHBand="0" w:firstRowFirstColumn="0" w:firstRowLastColumn="0" w:lastRowFirstColumn="0" w:lastRowLastColumn="0"/>
        </w:trPr>
        <w:tc>
          <w:tcPr>
            <w:tcW w:w="2972" w:type="dxa"/>
          </w:tcPr>
          <w:p w14:paraId="66785874" w14:textId="77777777" w:rsidR="00DB42CF" w:rsidRDefault="00DB42CF" w:rsidP="002048A6">
            <w:pPr>
              <w:pStyle w:val="TableheadingleftTables"/>
            </w:pPr>
            <w:r>
              <w:lastRenderedPageBreak/>
              <w:t>Output performance measures</w:t>
            </w:r>
          </w:p>
        </w:tc>
        <w:tc>
          <w:tcPr>
            <w:tcW w:w="1134" w:type="dxa"/>
          </w:tcPr>
          <w:p w14:paraId="31E63B53" w14:textId="77777777" w:rsidR="00DB42CF" w:rsidRDefault="00DB42CF" w:rsidP="002048A6">
            <w:pPr>
              <w:pStyle w:val="TableheadingleftTables"/>
            </w:pPr>
            <w:r>
              <w:t>Unit of measure</w:t>
            </w:r>
          </w:p>
        </w:tc>
        <w:tc>
          <w:tcPr>
            <w:tcW w:w="1139" w:type="dxa"/>
          </w:tcPr>
          <w:p w14:paraId="687EA92E" w14:textId="77777777" w:rsidR="00DB42CF" w:rsidRDefault="00DB42CF" w:rsidP="00A56FB4">
            <w:pPr>
              <w:pStyle w:val="TableheadingleftTables"/>
              <w:jc w:val="right"/>
            </w:pPr>
            <w:r>
              <w:t>2021-22 actual</w:t>
            </w:r>
          </w:p>
        </w:tc>
        <w:tc>
          <w:tcPr>
            <w:tcW w:w="1105" w:type="dxa"/>
          </w:tcPr>
          <w:p w14:paraId="5E2D353B" w14:textId="77777777" w:rsidR="00DB42CF" w:rsidRDefault="00DB42CF" w:rsidP="00A56FB4">
            <w:pPr>
              <w:pStyle w:val="TableheadingleftTables"/>
              <w:jc w:val="right"/>
            </w:pPr>
            <w:r>
              <w:t>2021-22 target</w:t>
            </w:r>
          </w:p>
        </w:tc>
        <w:tc>
          <w:tcPr>
            <w:tcW w:w="1442" w:type="dxa"/>
          </w:tcPr>
          <w:p w14:paraId="07600B61" w14:textId="77777777" w:rsidR="00DB42CF" w:rsidRDefault="00DB42CF" w:rsidP="00A56FB4">
            <w:pPr>
              <w:pStyle w:val="TableheadingleftTables"/>
              <w:jc w:val="right"/>
            </w:pPr>
            <w:r>
              <w:rPr>
                <w:spacing w:val="-3"/>
              </w:rPr>
              <w:t>Performance variation (%)</w:t>
            </w:r>
          </w:p>
        </w:tc>
        <w:tc>
          <w:tcPr>
            <w:tcW w:w="1846" w:type="dxa"/>
          </w:tcPr>
          <w:p w14:paraId="0AA12DC8" w14:textId="77777777" w:rsidR="00DB42CF" w:rsidRDefault="00DB42CF" w:rsidP="002048A6">
            <w:pPr>
              <w:pStyle w:val="TableheadingleftTables"/>
            </w:pPr>
            <w:r>
              <w:t>Result</w:t>
            </w:r>
          </w:p>
        </w:tc>
      </w:tr>
      <w:tr w:rsidR="00B02873" w:rsidRPr="00B02873" w14:paraId="323E3240" w14:textId="77777777" w:rsidTr="00DB42CF">
        <w:tc>
          <w:tcPr>
            <w:tcW w:w="2972" w:type="dxa"/>
          </w:tcPr>
          <w:p w14:paraId="3FDB0D91" w14:textId="77777777" w:rsidR="00B02873" w:rsidRDefault="00B02873" w:rsidP="00B415A9">
            <w:pPr>
              <w:pStyle w:val="TablebodyleftTables"/>
            </w:pPr>
            <w:r>
              <w:t xml:space="preserve">Proportion of Victorian households with access to separated glass recycling services </w:t>
            </w:r>
          </w:p>
        </w:tc>
        <w:tc>
          <w:tcPr>
            <w:tcW w:w="1134" w:type="dxa"/>
          </w:tcPr>
          <w:p w14:paraId="51A44B3B" w14:textId="77777777" w:rsidR="00B02873" w:rsidRDefault="00B02873" w:rsidP="00B776F1">
            <w:pPr>
              <w:pStyle w:val="TablebodyleftTables"/>
            </w:pPr>
            <w:r>
              <w:t>per cent</w:t>
            </w:r>
          </w:p>
        </w:tc>
        <w:tc>
          <w:tcPr>
            <w:tcW w:w="1139" w:type="dxa"/>
          </w:tcPr>
          <w:p w14:paraId="26E6E69C" w14:textId="38E29AE5" w:rsidR="00B02873" w:rsidRDefault="00B02873" w:rsidP="00A56FB4">
            <w:pPr>
              <w:pStyle w:val="TablebodyleftTables"/>
              <w:jc w:val="right"/>
            </w:pPr>
            <w:r>
              <w:t>6 (estimate)</w:t>
            </w:r>
          </w:p>
        </w:tc>
        <w:tc>
          <w:tcPr>
            <w:tcW w:w="1105" w:type="dxa"/>
          </w:tcPr>
          <w:p w14:paraId="0329AFCA" w14:textId="77777777" w:rsidR="00B02873" w:rsidRDefault="00B02873" w:rsidP="00A56FB4">
            <w:pPr>
              <w:pStyle w:val="TablebodyleftTables"/>
              <w:jc w:val="right"/>
            </w:pPr>
            <w:r>
              <w:t>11</w:t>
            </w:r>
          </w:p>
        </w:tc>
        <w:tc>
          <w:tcPr>
            <w:tcW w:w="1442" w:type="dxa"/>
          </w:tcPr>
          <w:p w14:paraId="714985F0" w14:textId="77777777" w:rsidR="00B02873" w:rsidRDefault="00B02873" w:rsidP="00A56FB4">
            <w:pPr>
              <w:pStyle w:val="TablebodyleftTables"/>
              <w:jc w:val="right"/>
            </w:pPr>
            <w:r>
              <w:t>(45%)</w:t>
            </w:r>
          </w:p>
        </w:tc>
        <w:tc>
          <w:tcPr>
            <w:tcW w:w="1846" w:type="dxa"/>
          </w:tcPr>
          <w:p w14:paraId="2CA432D0" w14:textId="0E648E19" w:rsidR="00B02873" w:rsidRPr="00B776F1" w:rsidRDefault="00B776F1" w:rsidP="00B776F1">
            <w:pPr>
              <w:pStyle w:val="TablebodyleftTables"/>
            </w:pPr>
            <w:r w:rsidRPr="00B776F1">
              <w:t>Performance target not achieved – exceeds 5 per cent variance.</w:t>
            </w:r>
          </w:p>
        </w:tc>
      </w:tr>
    </w:tbl>
    <w:p w14:paraId="36765FF8" w14:textId="34EF0DD9" w:rsidR="00DB42CF" w:rsidRDefault="00DB42CF">
      <w:r>
        <w:t>A final result will be available by 31 December 2022 after analysis of the 2021-22 Victorian Local Government Annual Survey data. Performance is projected to be below target due to lower than expected early adoption of separated glass services.</w:t>
      </w:r>
    </w:p>
    <w:tbl>
      <w:tblPr>
        <w:tblStyle w:val="TableGrid"/>
        <w:tblW w:w="9638" w:type="dxa"/>
        <w:tblLayout w:type="fixed"/>
        <w:tblLook w:val="0020" w:firstRow="1" w:lastRow="0" w:firstColumn="0" w:lastColumn="0" w:noHBand="0" w:noVBand="0"/>
      </w:tblPr>
      <w:tblGrid>
        <w:gridCol w:w="2972"/>
        <w:gridCol w:w="1134"/>
        <w:gridCol w:w="1139"/>
        <w:gridCol w:w="1105"/>
        <w:gridCol w:w="1442"/>
        <w:gridCol w:w="1846"/>
      </w:tblGrid>
      <w:tr w:rsidR="00DB42CF" w:rsidRPr="00B02873" w14:paraId="4F7BCB95" w14:textId="77777777" w:rsidTr="00DB42CF">
        <w:trPr>
          <w:cnfStyle w:val="100000000000" w:firstRow="1" w:lastRow="0" w:firstColumn="0" w:lastColumn="0" w:oddVBand="0" w:evenVBand="0" w:oddHBand="0" w:evenHBand="0" w:firstRowFirstColumn="0" w:firstRowLastColumn="0" w:lastRowFirstColumn="0" w:lastRowLastColumn="0"/>
        </w:trPr>
        <w:tc>
          <w:tcPr>
            <w:tcW w:w="2972" w:type="dxa"/>
          </w:tcPr>
          <w:p w14:paraId="7B322595" w14:textId="77777777" w:rsidR="00DB42CF" w:rsidRDefault="00DB42CF" w:rsidP="005A540E">
            <w:pPr>
              <w:pStyle w:val="TableheadingleftTables"/>
            </w:pPr>
            <w:r>
              <w:t>Output performance measures</w:t>
            </w:r>
          </w:p>
        </w:tc>
        <w:tc>
          <w:tcPr>
            <w:tcW w:w="1134" w:type="dxa"/>
          </w:tcPr>
          <w:p w14:paraId="4DD8B419" w14:textId="77777777" w:rsidR="00DB42CF" w:rsidRDefault="00DB42CF" w:rsidP="005A540E">
            <w:pPr>
              <w:pStyle w:val="TableheadingleftTables"/>
            </w:pPr>
            <w:r>
              <w:t>Unit of measure</w:t>
            </w:r>
          </w:p>
        </w:tc>
        <w:tc>
          <w:tcPr>
            <w:tcW w:w="1139" w:type="dxa"/>
          </w:tcPr>
          <w:p w14:paraId="0D81FD60" w14:textId="77777777" w:rsidR="00DB42CF" w:rsidRDefault="00DB42CF" w:rsidP="00A56FB4">
            <w:pPr>
              <w:pStyle w:val="TableheadingleftTables"/>
              <w:jc w:val="right"/>
            </w:pPr>
            <w:r>
              <w:t>2021-22 actual</w:t>
            </w:r>
          </w:p>
        </w:tc>
        <w:tc>
          <w:tcPr>
            <w:tcW w:w="1105" w:type="dxa"/>
          </w:tcPr>
          <w:p w14:paraId="4EE1FAA1" w14:textId="77777777" w:rsidR="00DB42CF" w:rsidRDefault="00DB42CF" w:rsidP="00A56FB4">
            <w:pPr>
              <w:pStyle w:val="TableheadingleftTables"/>
              <w:jc w:val="right"/>
            </w:pPr>
            <w:r>
              <w:t>2021-22 target</w:t>
            </w:r>
          </w:p>
        </w:tc>
        <w:tc>
          <w:tcPr>
            <w:tcW w:w="1442" w:type="dxa"/>
          </w:tcPr>
          <w:p w14:paraId="4E58D984" w14:textId="77777777" w:rsidR="00DB42CF" w:rsidRDefault="00DB42CF" w:rsidP="00A56FB4">
            <w:pPr>
              <w:pStyle w:val="TableheadingleftTables"/>
              <w:jc w:val="right"/>
            </w:pPr>
            <w:r>
              <w:rPr>
                <w:spacing w:val="-3"/>
              </w:rPr>
              <w:t>Performance variation (%)</w:t>
            </w:r>
          </w:p>
        </w:tc>
        <w:tc>
          <w:tcPr>
            <w:tcW w:w="1846" w:type="dxa"/>
          </w:tcPr>
          <w:p w14:paraId="419D6D6D" w14:textId="77777777" w:rsidR="00DB42CF" w:rsidRDefault="00DB42CF" w:rsidP="005A540E">
            <w:pPr>
              <w:pStyle w:val="TableheadingleftTables"/>
            </w:pPr>
            <w:r>
              <w:t>Result</w:t>
            </w:r>
          </w:p>
        </w:tc>
      </w:tr>
      <w:tr w:rsidR="00B02873" w:rsidRPr="00B02873" w14:paraId="1258E1FF" w14:textId="77777777" w:rsidTr="00DB42CF">
        <w:tc>
          <w:tcPr>
            <w:tcW w:w="2972" w:type="dxa"/>
          </w:tcPr>
          <w:p w14:paraId="49A58851" w14:textId="77777777" w:rsidR="00B02873" w:rsidRDefault="00B02873" w:rsidP="00B415A9">
            <w:pPr>
              <w:pStyle w:val="TablebodyleftTables"/>
            </w:pPr>
            <w:r>
              <w:t xml:space="preserve">Victorian local council sites supported to upgrade infrastructure to safely collect and sort e-waste for recovery </w:t>
            </w:r>
          </w:p>
        </w:tc>
        <w:tc>
          <w:tcPr>
            <w:tcW w:w="1134" w:type="dxa"/>
          </w:tcPr>
          <w:p w14:paraId="6E6B6AF5" w14:textId="77777777" w:rsidR="00B02873" w:rsidRDefault="00B02873" w:rsidP="00B776F1">
            <w:pPr>
              <w:pStyle w:val="TablebodyleftTables"/>
            </w:pPr>
            <w:r>
              <w:t>number</w:t>
            </w:r>
          </w:p>
        </w:tc>
        <w:tc>
          <w:tcPr>
            <w:tcW w:w="1139" w:type="dxa"/>
          </w:tcPr>
          <w:p w14:paraId="29F3298C" w14:textId="77777777" w:rsidR="00B02873" w:rsidRDefault="00B02873" w:rsidP="00A56FB4">
            <w:pPr>
              <w:pStyle w:val="TablebodyleftTables"/>
              <w:jc w:val="right"/>
            </w:pPr>
            <w:r>
              <w:t>137</w:t>
            </w:r>
          </w:p>
        </w:tc>
        <w:tc>
          <w:tcPr>
            <w:tcW w:w="1105" w:type="dxa"/>
          </w:tcPr>
          <w:p w14:paraId="708DB31A" w14:textId="77777777" w:rsidR="00B02873" w:rsidRDefault="00B02873" w:rsidP="00A56FB4">
            <w:pPr>
              <w:pStyle w:val="TablebodyleftTables"/>
              <w:jc w:val="right"/>
            </w:pPr>
            <w:r>
              <w:t>140</w:t>
            </w:r>
          </w:p>
        </w:tc>
        <w:tc>
          <w:tcPr>
            <w:tcW w:w="1442" w:type="dxa"/>
          </w:tcPr>
          <w:p w14:paraId="071CE515" w14:textId="77777777" w:rsidR="00B02873" w:rsidRDefault="00B02873" w:rsidP="00A56FB4">
            <w:pPr>
              <w:pStyle w:val="TablebodyleftTables"/>
              <w:jc w:val="right"/>
            </w:pPr>
            <w:r>
              <w:t>(2%)</w:t>
            </w:r>
          </w:p>
        </w:tc>
        <w:tc>
          <w:tcPr>
            <w:tcW w:w="1846" w:type="dxa"/>
          </w:tcPr>
          <w:p w14:paraId="7A8D1B2F" w14:textId="2D1B414C" w:rsidR="00B02873" w:rsidRDefault="00DB42CF" w:rsidP="00B776F1">
            <w:pPr>
              <w:pStyle w:val="TablebodyleftTables"/>
            </w:pPr>
            <w:r w:rsidRPr="00DB42CF">
              <w:t>Performance target not achieved – within 5 per cent variance.</w:t>
            </w:r>
          </w:p>
        </w:tc>
      </w:tr>
      <w:tr w:rsidR="00B02873" w:rsidRPr="00B02873" w14:paraId="031C1090" w14:textId="77777777" w:rsidTr="00DB42CF">
        <w:tc>
          <w:tcPr>
            <w:tcW w:w="2972" w:type="dxa"/>
          </w:tcPr>
          <w:p w14:paraId="76E2BA4B" w14:textId="77777777" w:rsidR="00B02873" w:rsidRDefault="00B02873" w:rsidP="00B415A9">
            <w:pPr>
              <w:pStyle w:val="TableheadingleftTables"/>
            </w:pPr>
            <w:r>
              <w:t>Quality</w:t>
            </w:r>
          </w:p>
        </w:tc>
        <w:tc>
          <w:tcPr>
            <w:tcW w:w="1134" w:type="dxa"/>
          </w:tcPr>
          <w:p w14:paraId="7311B419" w14:textId="77777777" w:rsidR="00B02873" w:rsidRPr="00B02873" w:rsidRDefault="00B02873" w:rsidP="00B415A9">
            <w:pPr>
              <w:pStyle w:val="NoParagraphStyle"/>
              <w:spacing w:line="240" w:lineRule="auto"/>
              <w:textAlignment w:val="auto"/>
              <w:rPr>
                <w:rFonts w:ascii="Apple Symbols Regular" w:hAnsi="Apple Symbols Regular" w:cs="Times New Roman"/>
                <w:color w:val="auto"/>
                <w:lang w:val="en-AU"/>
              </w:rPr>
            </w:pPr>
          </w:p>
        </w:tc>
        <w:tc>
          <w:tcPr>
            <w:tcW w:w="1139" w:type="dxa"/>
          </w:tcPr>
          <w:p w14:paraId="09370FCF" w14:textId="77777777" w:rsidR="00B02873" w:rsidRPr="00B02873" w:rsidRDefault="00B02873" w:rsidP="00A56FB4">
            <w:pPr>
              <w:pStyle w:val="NoParagraphStyle"/>
              <w:spacing w:line="240" w:lineRule="auto"/>
              <w:jc w:val="right"/>
              <w:textAlignment w:val="auto"/>
              <w:rPr>
                <w:rFonts w:ascii="Apple Symbols Regular" w:hAnsi="Apple Symbols Regular" w:cs="Times New Roman"/>
                <w:color w:val="auto"/>
                <w:lang w:val="en-AU"/>
              </w:rPr>
            </w:pPr>
          </w:p>
        </w:tc>
        <w:tc>
          <w:tcPr>
            <w:tcW w:w="1105" w:type="dxa"/>
          </w:tcPr>
          <w:p w14:paraId="20661AE5" w14:textId="77777777" w:rsidR="00B02873" w:rsidRPr="00B02873" w:rsidRDefault="00B02873" w:rsidP="00A56FB4">
            <w:pPr>
              <w:pStyle w:val="NoParagraphStyle"/>
              <w:spacing w:line="240" w:lineRule="auto"/>
              <w:jc w:val="right"/>
              <w:textAlignment w:val="auto"/>
              <w:rPr>
                <w:rFonts w:ascii="Apple Symbols Regular" w:hAnsi="Apple Symbols Regular" w:cs="Times New Roman"/>
                <w:color w:val="auto"/>
                <w:lang w:val="en-AU"/>
              </w:rPr>
            </w:pPr>
          </w:p>
        </w:tc>
        <w:tc>
          <w:tcPr>
            <w:tcW w:w="1442" w:type="dxa"/>
          </w:tcPr>
          <w:p w14:paraId="08227A7E" w14:textId="77777777" w:rsidR="00B02873" w:rsidRPr="00B02873" w:rsidRDefault="00B02873" w:rsidP="00A56FB4">
            <w:pPr>
              <w:pStyle w:val="NoParagraphStyle"/>
              <w:spacing w:line="240" w:lineRule="auto"/>
              <w:jc w:val="right"/>
              <w:textAlignment w:val="auto"/>
              <w:rPr>
                <w:rFonts w:ascii="Apple Symbols Regular" w:hAnsi="Apple Symbols Regular" w:cs="Times New Roman"/>
                <w:color w:val="auto"/>
                <w:lang w:val="en-AU"/>
              </w:rPr>
            </w:pPr>
          </w:p>
        </w:tc>
        <w:tc>
          <w:tcPr>
            <w:tcW w:w="1846" w:type="dxa"/>
          </w:tcPr>
          <w:p w14:paraId="2DC1E933" w14:textId="77777777" w:rsidR="00B02873" w:rsidRPr="00B02873" w:rsidRDefault="00B02873" w:rsidP="00B415A9">
            <w:pPr>
              <w:pStyle w:val="NoParagraphStyle"/>
              <w:spacing w:line="240" w:lineRule="auto"/>
              <w:textAlignment w:val="auto"/>
              <w:rPr>
                <w:rFonts w:ascii="Apple Symbols Regular" w:hAnsi="Apple Symbols Regular" w:cs="Times New Roman"/>
                <w:color w:val="auto"/>
                <w:lang w:val="en-AU"/>
              </w:rPr>
            </w:pPr>
          </w:p>
        </w:tc>
      </w:tr>
      <w:tr w:rsidR="00B02873" w:rsidRPr="00B02873" w14:paraId="61B29070" w14:textId="77777777" w:rsidTr="00DB42CF">
        <w:tc>
          <w:tcPr>
            <w:tcW w:w="2972" w:type="dxa"/>
          </w:tcPr>
          <w:p w14:paraId="66B41F47" w14:textId="77777777" w:rsidR="00B02873" w:rsidRDefault="00B02873" w:rsidP="00B415A9">
            <w:pPr>
              <w:pStyle w:val="TablebodyleftTables"/>
            </w:pPr>
            <w:r>
              <w:t>Cumulative increase in the capacity of Victoria’s resource recovery infrastructure</w:t>
            </w:r>
          </w:p>
        </w:tc>
        <w:tc>
          <w:tcPr>
            <w:tcW w:w="1134" w:type="dxa"/>
          </w:tcPr>
          <w:p w14:paraId="2720E520" w14:textId="77777777" w:rsidR="00B02873" w:rsidRDefault="00B02873" w:rsidP="00B776F1">
            <w:pPr>
              <w:pStyle w:val="TablebodyleftTables"/>
            </w:pPr>
            <w:r>
              <w:t>tonnes</w:t>
            </w:r>
          </w:p>
        </w:tc>
        <w:tc>
          <w:tcPr>
            <w:tcW w:w="1139" w:type="dxa"/>
          </w:tcPr>
          <w:p w14:paraId="3402D08C" w14:textId="77777777" w:rsidR="00B02873" w:rsidRDefault="00B02873" w:rsidP="00A56FB4">
            <w:pPr>
              <w:pStyle w:val="TablebodyleftTables"/>
              <w:jc w:val="right"/>
            </w:pPr>
            <w:r>
              <w:t>1 748 346</w:t>
            </w:r>
          </w:p>
        </w:tc>
        <w:tc>
          <w:tcPr>
            <w:tcW w:w="1105" w:type="dxa"/>
          </w:tcPr>
          <w:p w14:paraId="6B074F1E" w14:textId="77777777" w:rsidR="00B02873" w:rsidRDefault="00B02873" w:rsidP="00A56FB4">
            <w:pPr>
              <w:pStyle w:val="TablebodyleftTables"/>
              <w:jc w:val="right"/>
            </w:pPr>
            <w:r>
              <w:t>1 000 000</w:t>
            </w:r>
          </w:p>
        </w:tc>
        <w:tc>
          <w:tcPr>
            <w:tcW w:w="1442" w:type="dxa"/>
          </w:tcPr>
          <w:p w14:paraId="12731DF3" w14:textId="77777777" w:rsidR="00B02873" w:rsidRDefault="00B02873" w:rsidP="00A56FB4">
            <w:pPr>
              <w:pStyle w:val="TablebodyleftTables"/>
              <w:jc w:val="right"/>
            </w:pPr>
            <w:r>
              <w:t>75%</w:t>
            </w:r>
          </w:p>
        </w:tc>
        <w:tc>
          <w:tcPr>
            <w:tcW w:w="1846" w:type="dxa"/>
          </w:tcPr>
          <w:p w14:paraId="6550A40E" w14:textId="66AE4056" w:rsidR="00B02873" w:rsidRDefault="00DB42CF" w:rsidP="00B776F1">
            <w:pPr>
              <w:pStyle w:val="TablebodyleftTables"/>
            </w:pPr>
            <w:r w:rsidRPr="00DB42CF">
              <w:t>Performance target achieved or exceeded.</w:t>
            </w:r>
          </w:p>
        </w:tc>
      </w:tr>
    </w:tbl>
    <w:p w14:paraId="27A00EC5" w14:textId="7B500BCF" w:rsidR="00DB42CF" w:rsidRDefault="00DB42CF">
      <w:r>
        <w:t>Performance is above target due to additional capacity achieved following changes in the scope of some funded projects.</w:t>
      </w:r>
    </w:p>
    <w:tbl>
      <w:tblPr>
        <w:tblStyle w:val="TableGrid"/>
        <w:tblW w:w="9638" w:type="dxa"/>
        <w:tblLayout w:type="fixed"/>
        <w:tblLook w:val="0020" w:firstRow="1" w:lastRow="0" w:firstColumn="0" w:lastColumn="0" w:noHBand="0" w:noVBand="0"/>
      </w:tblPr>
      <w:tblGrid>
        <w:gridCol w:w="2972"/>
        <w:gridCol w:w="1134"/>
        <w:gridCol w:w="1139"/>
        <w:gridCol w:w="1105"/>
        <w:gridCol w:w="1442"/>
        <w:gridCol w:w="1846"/>
      </w:tblGrid>
      <w:tr w:rsidR="00DB42CF" w:rsidRPr="00B02873" w14:paraId="386208DE" w14:textId="77777777" w:rsidTr="00C57D4C">
        <w:trPr>
          <w:cnfStyle w:val="100000000000" w:firstRow="1" w:lastRow="0" w:firstColumn="0" w:lastColumn="0" w:oddVBand="0" w:evenVBand="0" w:oddHBand="0" w:evenHBand="0" w:firstRowFirstColumn="0" w:firstRowLastColumn="0" w:lastRowFirstColumn="0" w:lastRowLastColumn="0"/>
          <w:tblHeader/>
        </w:trPr>
        <w:tc>
          <w:tcPr>
            <w:tcW w:w="2972" w:type="dxa"/>
          </w:tcPr>
          <w:p w14:paraId="1BDAC069" w14:textId="77777777" w:rsidR="00DB42CF" w:rsidRDefault="00DB42CF" w:rsidP="00E43571">
            <w:pPr>
              <w:pStyle w:val="TableheadingleftTables"/>
            </w:pPr>
            <w:r>
              <w:t>Output performance measures</w:t>
            </w:r>
          </w:p>
        </w:tc>
        <w:tc>
          <w:tcPr>
            <w:tcW w:w="1134" w:type="dxa"/>
          </w:tcPr>
          <w:p w14:paraId="32143E4F" w14:textId="77777777" w:rsidR="00DB42CF" w:rsidRDefault="00DB42CF" w:rsidP="00E43571">
            <w:pPr>
              <w:pStyle w:val="TableheadingleftTables"/>
            </w:pPr>
            <w:r>
              <w:t>Unit of measure</w:t>
            </w:r>
          </w:p>
        </w:tc>
        <w:tc>
          <w:tcPr>
            <w:tcW w:w="1139" w:type="dxa"/>
          </w:tcPr>
          <w:p w14:paraId="4DA71F16" w14:textId="77777777" w:rsidR="00DB42CF" w:rsidRDefault="00DB42CF" w:rsidP="00A56FB4">
            <w:pPr>
              <w:pStyle w:val="TableheadingleftTables"/>
              <w:jc w:val="right"/>
            </w:pPr>
            <w:r>
              <w:t>2021-22 actual</w:t>
            </w:r>
          </w:p>
        </w:tc>
        <w:tc>
          <w:tcPr>
            <w:tcW w:w="1105" w:type="dxa"/>
          </w:tcPr>
          <w:p w14:paraId="1F606649" w14:textId="77777777" w:rsidR="00DB42CF" w:rsidRDefault="00DB42CF" w:rsidP="00A56FB4">
            <w:pPr>
              <w:pStyle w:val="TableheadingleftTables"/>
              <w:jc w:val="right"/>
            </w:pPr>
            <w:r>
              <w:t>2021-22 target</w:t>
            </w:r>
          </w:p>
        </w:tc>
        <w:tc>
          <w:tcPr>
            <w:tcW w:w="1442" w:type="dxa"/>
          </w:tcPr>
          <w:p w14:paraId="5040C972" w14:textId="77777777" w:rsidR="00DB42CF" w:rsidRDefault="00DB42CF" w:rsidP="00A56FB4">
            <w:pPr>
              <w:pStyle w:val="TableheadingleftTables"/>
              <w:jc w:val="right"/>
            </w:pPr>
            <w:r>
              <w:rPr>
                <w:spacing w:val="-3"/>
              </w:rPr>
              <w:t>Performance variation (%)</w:t>
            </w:r>
          </w:p>
        </w:tc>
        <w:tc>
          <w:tcPr>
            <w:tcW w:w="1846" w:type="dxa"/>
          </w:tcPr>
          <w:p w14:paraId="607D0CD4" w14:textId="77777777" w:rsidR="00DB42CF" w:rsidRDefault="00DB42CF" w:rsidP="00E43571">
            <w:pPr>
              <w:pStyle w:val="TableheadingleftTables"/>
            </w:pPr>
            <w:r>
              <w:t>Result</w:t>
            </w:r>
          </w:p>
        </w:tc>
      </w:tr>
      <w:tr w:rsidR="00B02873" w:rsidRPr="00B02873" w14:paraId="6F605EC6" w14:textId="77777777" w:rsidTr="00DB42CF">
        <w:tc>
          <w:tcPr>
            <w:tcW w:w="2972" w:type="dxa"/>
          </w:tcPr>
          <w:p w14:paraId="2C45CFFB" w14:textId="77777777" w:rsidR="00B02873" w:rsidRDefault="00B02873" w:rsidP="00B415A9">
            <w:pPr>
              <w:pStyle w:val="TableheadingleftTables"/>
            </w:pPr>
            <w:r>
              <w:t>Timeliness</w:t>
            </w:r>
          </w:p>
        </w:tc>
        <w:tc>
          <w:tcPr>
            <w:tcW w:w="1134" w:type="dxa"/>
          </w:tcPr>
          <w:p w14:paraId="0D48A90D" w14:textId="77777777" w:rsidR="00B02873" w:rsidRPr="00B02873" w:rsidRDefault="00B02873" w:rsidP="00B415A9">
            <w:pPr>
              <w:pStyle w:val="NoParagraphStyle"/>
              <w:spacing w:line="240" w:lineRule="auto"/>
              <w:textAlignment w:val="auto"/>
              <w:rPr>
                <w:rFonts w:ascii="Apple Symbols Regular" w:hAnsi="Apple Symbols Regular" w:cs="Times New Roman"/>
                <w:color w:val="auto"/>
                <w:lang w:val="en-AU"/>
              </w:rPr>
            </w:pPr>
          </w:p>
        </w:tc>
        <w:tc>
          <w:tcPr>
            <w:tcW w:w="1139" w:type="dxa"/>
          </w:tcPr>
          <w:p w14:paraId="378A1B89" w14:textId="77777777" w:rsidR="00B02873" w:rsidRPr="00B02873" w:rsidRDefault="00B02873" w:rsidP="00A56FB4">
            <w:pPr>
              <w:pStyle w:val="NoParagraphStyle"/>
              <w:spacing w:line="240" w:lineRule="auto"/>
              <w:jc w:val="right"/>
              <w:textAlignment w:val="auto"/>
              <w:rPr>
                <w:rFonts w:ascii="Apple Symbols Regular" w:hAnsi="Apple Symbols Regular" w:cs="Times New Roman"/>
                <w:color w:val="auto"/>
                <w:lang w:val="en-AU"/>
              </w:rPr>
            </w:pPr>
          </w:p>
        </w:tc>
        <w:tc>
          <w:tcPr>
            <w:tcW w:w="1105" w:type="dxa"/>
          </w:tcPr>
          <w:p w14:paraId="484F1902" w14:textId="77777777" w:rsidR="00B02873" w:rsidRPr="00B02873" w:rsidRDefault="00B02873" w:rsidP="00A56FB4">
            <w:pPr>
              <w:pStyle w:val="NoParagraphStyle"/>
              <w:spacing w:line="240" w:lineRule="auto"/>
              <w:jc w:val="right"/>
              <w:textAlignment w:val="auto"/>
              <w:rPr>
                <w:rFonts w:ascii="Apple Symbols Regular" w:hAnsi="Apple Symbols Regular" w:cs="Times New Roman"/>
                <w:color w:val="auto"/>
                <w:lang w:val="en-AU"/>
              </w:rPr>
            </w:pPr>
          </w:p>
        </w:tc>
        <w:tc>
          <w:tcPr>
            <w:tcW w:w="1442" w:type="dxa"/>
          </w:tcPr>
          <w:p w14:paraId="1D7F2B15" w14:textId="77777777" w:rsidR="00B02873" w:rsidRPr="00B02873" w:rsidRDefault="00B02873" w:rsidP="00A56FB4">
            <w:pPr>
              <w:pStyle w:val="NoParagraphStyle"/>
              <w:spacing w:line="240" w:lineRule="auto"/>
              <w:jc w:val="right"/>
              <w:textAlignment w:val="auto"/>
              <w:rPr>
                <w:rFonts w:ascii="Apple Symbols Regular" w:hAnsi="Apple Symbols Regular" w:cs="Times New Roman"/>
                <w:color w:val="auto"/>
                <w:lang w:val="en-AU"/>
              </w:rPr>
            </w:pPr>
          </w:p>
        </w:tc>
        <w:tc>
          <w:tcPr>
            <w:tcW w:w="1846" w:type="dxa"/>
          </w:tcPr>
          <w:p w14:paraId="32A497CD" w14:textId="77777777" w:rsidR="00B02873" w:rsidRPr="00B02873" w:rsidRDefault="00B02873" w:rsidP="00B415A9">
            <w:pPr>
              <w:pStyle w:val="NoParagraphStyle"/>
              <w:spacing w:line="240" w:lineRule="auto"/>
              <w:textAlignment w:val="auto"/>
              <w:rPr>
                <w:rFonts w:ascii="Apple Symbols Regular" w:hAnsi="Apple Symbols Regular" w:cs="Times New Roman"/>
                <w:color w:val="auto"/>
                <w:lang w:val="en-AU"/>
              </w:rPr>
            </w:pPr>
          </w:p>
        </w:tc>
      </w:tr>
      <w:tr w:rsidR="00B02873" w:rsidRPr="00B02873" w14:paraId="54B3C9E3" w14:textId="77777777" w:rsidTr="00DB42CF">
        <w:tc>
          <w:tcPr>
            <w:tcW w:w="2972" w:type="dxa"/>
          </w:tcPr>
          <w:p w14:paraId="5F20C0D2" w14:textId="77777777" w:rsidR="00B02873" w:rsidRDefault="00B02873" w:rsidP="00B415A9">
            <w:pPr>
              <w:pStyle w:val="TablebodyleftTables"/>
            </w:pPr>
            <w:r>
              <w:rPr>
                <w:spacing w:val="-2"/>
              </w:rPr>
              <w:t>Average assessment time (calendar days) for major investment grants from application closure to recommendation</w:t>
            </w:r>
          </w:p>
        </w:tc>
        <w:tc>
          <w:tcPr>
            <w:tcW w:w="1134" w:type="dxa"/>
          </w:tcPr>
          <w:p w14:paraId="069231E7" w14:textId="77777777" w:rsidR="00B02873" w:rsidRDefault="00B02873" w:rsidP="00B776F1">
            <w:pPr>
              <w:pStyle w:val="TablebodyleftTables"/>
            </w:pPr>
            <w:r>
              <w:t>days</w:t>
            </w:r>
          </w:p>
        </w:tc>
        <w:tc>
          <w:tcPr>
            <w:tcW w:w="1139" w:type="dxa"/>
          </w:tcPr>
          <w:p w14:paraId="319116D4" w14:textId="77777777" w:rsidR="00B02873" w:rsidRDefault="00B02873" w:rsidP="00A56FB4">
            <w:pPr>
              <w:pStyle w:val="TablebodyleftTables"/>
              <w:jc w:val="right"/>
            </w:pPr>
            <w:r>
              <w:t>93</w:t>
            </w:r>
          </w:p>
        </w:tc>
        <w:tc>
          <w:tcPr>
            <w:tcW w:w="1105" w:type="dxa"/>
          </w:tcPr>
          <w:p w14:paraId="2625876D" w14:textId="77777777" w:rsidR="00B02873" w:rsidRDefault="00B02873" w:rsidP="00A56FB4">
            <w:pPr>
              <w:pStyle w:val="TablebodyleftTables"/>
              <w:jc w:val="right"/>
            </w:pPr>
            <w:r>
              <w:t>60</w:t>
            </w:r>
          </w:p>
        </w:tc>
        <w:tc>
          <w:tcPr>
            <w:tcW w:w="1442" w:type="dxa"/>
          </w:tcPr>
          <w:p w14:paraId="08C93439" w14:textId="77777777" w:rsidR="00B02873" w:rsidRDefault="00B02873" w:rsidP="00A56FB4">
            <w:pPr>
              <w:pStyle w:val="TablebodyleftTables"/>
              <w:jc w:val="right"/>
            </w:pPr>
            <w:r>
              <w:t>(55%)</w:t>
            </w:r>
          </w:p>
        </w:tc>
        <w:tc>
          <w:tcPr>
            <w:tcW w:w="1846" w:type="dxa"/>
          </w:tcPr>
          <w:p w14:paraId="29E51718" w14:textId="31D02A73" w:rsidR="00B02873" w:rsidRPr="00B776F1" w:rsidRDefault="00B776F1" w:rsidP="00B776F1">
            <w:pPr>
              <w:pStyle w:val="TablebodyleftTables"/>
            </w:pPr>
            <w:r w:rsidRPr="00B776F1">
              <w:t>Performance target not achieved – exceeds 5 per cent variance.</w:t>
            </w:r>
          </w:p>
        </w:tc>
      </w:tr>
    </w:tbl>
    <w:p w14:paraId="50C14935" w14:textId="1804E8DD" w:rsidR="00DB42CF" w:rsidRDefault="00DB42CF">
      <w:r>
        <w:t>Performance is below target due to a higher than expected demand for grants and a greater level of complexity in assessing grant applications than was anticipated when the target was set.</w:t>
      </w:r>
    </w:p>
    <w:tbl>
      <w:tblPr>
        <w:tblStyle w:val="TableGrid"/>
        <w:tblW w:w="9638" w:type="dxa"/>
        <w:tblLayout w:type="fixed"/>
        <w:tblLook w:val="0020" w:firstRow="1" w:lastRow="0" w:firstColumn="0" w:lastColumn="0" w:noHBand="0" w:noVBand="0"/>
      </w:tblPr>
      <w:tblGrid>
        <w:gridCol w:w="2972"/>
        <w:gridCol w:w="1134"/>
        <w:gridCol w:w="1139"/>
        <w:gridCol w:w="1105"/>
        <w:gridCol w:w="1442"/>
        <w:gridCol w:w="1846"/>
      </w:tblGrid>
      <w:tr w:rsidR="00C57D4C" w:rsidRPr="00B02873" w14:paraId="78D87EC5" w14:textId="77777777" w:rsidTr="008E1840">
        <w:trPr>
          <w:cnfStyle w:val="100000000000" w:firstRow="1" w:lastRow="0" w:firstColumn="0" w:lastColumn="0" w:oddVBand="0" w:evenVBand="0" w:oddHBand="0" w:evenHBand="0" w:firstRowFirstColumn="0" w:firstRowLastColumn="0" w:lastRowFirstColumn="0" w:lastRowLastColumn="0"/>
          <w:tblHeader/>
        </w:trPr>
        <w:tc>
          <w:tcPr>
            <w:tcW w:w="2972" w:type="dxa"/>
          </w:tcPr>
          <w:p w14:paraId="7577E89E" w14:textId="77777777" w:rsidR="00C57D4C" w:rsidRDefault="00C57D4C" w:rsidP="008E1840">
            <w:pPr>
              <w:pStyle w:val="TableheadingleftTables"/>
            </w:pPr>
            <w:r>
              <w:lastRenderedPageBreak/>
              <w:t>Output performance measures</w:t>
            </w:r>
          </w:p>
        </w:tc>
        <w:tc>
          <w:tcPr>
            <w:tcW w:w="1134" w:type="dxa"/>
          </w:tcPr>
          <w:p w14:paraId="1423E352" w14:textId="77777777" w:rsidR="00C57D4C" w:rsidRDefault="00C57D4C" w:rsidP="008E1840">
            <w:pPr>
              <w:pStyle w:val="TableheadingleftTables"/>
            </w:pPr>
            <w:r>
              <w:t>Unit of measure</w:t>
            </w:r>
          </w:p>
        </w:tc>
        <w:tc>
          <w:tcPr>
            <w:tcW w:w="1139" w:type="dxa"/>
          </w:tcPr>
          <w:p w14:paraId="3FD4863F" w14:textId="77777777" w:rsidR="00C57D4C" w:rsidRDefault="00C57D4C" w:rsidP="00A56FB4">
            <w:pPr>
              <w:pStyle w:val="TableheadingleftTables"/>
              <w:jc w:val="right"/>
            </w:pPr>
            <w:r>
              <w:t>2021-22 actual</w:t>
            </w:r>
          </w:p>
        </w:tc>
        <w:tc>
          <w:tcPr>
            <w:tcW w:w="1105" w:type="dxa"/>
          </w:tcPr>
          <w:p w14:paraId="572F0756" w14:textId="77777777" w:rsidR="00C57D4C" w:rsidRDefault="00C57D4C" w:rsidP="00A56FB4">
            <w:pPr>
              <w:pStyle w:val="TableheadingleftTables"/>
              <w:jc w:val="right"/>
            </w:pPr>
            <w:r>
              <w:t>2021-22 target</w:t>
            </w:r>
          </w:p>
        </w:tc>
        <w:tc>
          <w:tcPr>
            <w:tcW w:w="1442" w:type="dxa"/>
          </w:tcPr>
          <w:p w14:paraId="42395006" w14:textId="77777777" w:rsidR="00C57D4C" w:rsidRDefault="00C57D4C" w:rsidP="00A56FB4">
            <w:pPr>
              <w:pStyle w:val="TableheadingleftTables"/>
              <w:jc w:val="right"/>
            </w:pPr>
            <w:r>
              <w:rPr>
                <w:spacing w:val="-3"/>
              </w:rPr>
              <w:t>Performance variation (%)</w:t>
            </w:r>
          </w:p>
        </w:tc>
        <w:tc>
          <w:tcPr>
            <w:tcW w:w="1846" w:type="dxa"/>
          </w:tcPr>
          <w:p w14:paraId="2BBFD198" w14:textId="77777777" w:rsidR="00C57D4C" w:rsidRDefault="00C57D4C" w:rsidP="008E1840">
            <w:pPr>
              <w:pStyle w:val="TableheadingleftTables"/>
            </w:pPr>
            <w:r>
              <w:t>Result</w:t>
            </w:r>
          </w:p>
        </w:tc>
      </w:tr>
      <w:tr w:rsidR="00B02873" w:rsidRPr="00B02873" w14:paraId="3017FAE0" w14:textId="77777777" w:rsidTr="00DB42CF">
        <w:tc>
          <w:tcPr>
            <w:tcW w:w="2972" w:type="dxa"/>
          </w:tcPr>
          <w:p w14:paraId="75899D74" w14:textId="77777777" w:rsidR="00B02873" w:rsidRDefault="00B02873" w:rsidP="00B415A9">
            <w:pPr>
              <w:pStyle w:val="TableheadingleftTables"/>
            </w:pPr>
            <w:r>
              <w:t>Cost</w:t>
            </w:r>
          </w:p>
        </w:tc>
        <w:tc>
          <w:tcPr>
            <w:tcW w:w="1134" w:type="dxa"/>
          </w:tcPr>
          <w:p w14:paraId="3B6A705D" w14:textId="77777777" w:rsidR="00B02873" w:rsidRPr="00B02873" w:rsidRDefault="00B02873" w:rsidP="00B415A9">
            <w:pPr>
              <w:pStyle w:val="NoParagraphStyle"/>
              <w:spacing w:line="240" w:lineRule="auto"/>
              <w:textAlignment w:val="auto"/>
              <w:rPr>
                <w:rFonts w:ascii="Apple Symbols Regular" w:hAnsi="Apple Symbols Regular" w:cs="Times New Roman"/>
                <w:color w:val="auto"/>
                <w:lang w:val="en-AU"/>
              </w:rPr>
            </w:pPr>
          </w:p>
        </w:tc>
        <w:tc>
          <w:tcPr>
            <w:tcW w:w="1139" w:type="dxa"/>
          </w:tcPr>
          <w:p w14:paraId="7D65781F" w14:textId="77777777" w:rsidR="00B02873" w:rsidRPr="00B02873" w:rsidRDefault="00B02873" w:rsidP="00A56FB4">
            <w:pPr>
              <w:pStyle w:val="NoParagraphStyle"/>
              <w:spacing w:line="240" w:lineRule="auto"/>
              <w:jc w:val="right"/>
              <w:textAlignment w:val="auto"/>
              <w:rPr>
                <w:rFonts w:ascii="Apple Symbols Regular" w:hAnsi="Apple Symbols Regular" w:cs="Times New Roman"/>
                <w:color w:val="auto"/>
                <w:lang w:val="en-AU"/>
              </w:rPr>
            </w:pPr>
          </w:p>
        </w:tc>
        <w:tc>
          <w:tcPr>
            <w:tcW w:w="1105" w:type="dxa"/>
          </w:tcPr>
          <w:p w14:paraId="38BE4362" w14:textId="77777777" w:rsidR="00B02873" w:rsidRPr="00B02873" w:rsidRDefault="00B02873" w:rsidP="00A56FB4">
            <w:pPr>
              <w:pStyle w:val="NoParagraphStyle"/>
              <w:spacing w:line="240" w:lineRule="auto"/>
              <w:jc w:val="right"/>
              <w:textAlignment w:val="auto"/>
              <w:rPr>
                <w:rFonts w:ascii="Apple Symbols Regular" w:hAnsi="Apple Symbols Regular" w:cs="Times New Roman"/>
                <w:color w:val="auto"/>
                <w:lang w:val="en-AU"/>
              </w:rPr>
            </w:pPr>
          </w:p>
        </w:tc>
        <w:tc>
          <w:tcPr>
            <w:tcW w:w="1442" w:type="dxa"/>
          </w:tcPr>
          <w:p w14:paraId="762BE5D5" w14:textId="77777777" w:rsidR="00B02873" w:rsidRPr="00B02873" w:rsidRDefault="00B02873" w:rsidP="00A56FB4">
            <w:pPr>
              <w:pStyle w:val="NoParagraphStyle"/>
              <w:spacing w:line="240" w:lineRule="auto"/>
              <w:jc w:val="right"/>
              <w:textAlignment w:val="auto"/>
              <w:rPr>
                <w:rFonts w:ascii="Apple Symbols Regular" w:hAnsi="Apple Symbols Regular" w:cs="Times New Roman"/>
                <w:color w:val="auto"/>
                <w:lang w:val="en-AU"/>
              </w:rPr>
            </w:pPr>
          </w:p>
        </w:tc>
        <w:tc>
          <w:tcPr>
            <w:tcW w:w="1846" w:type="dxa"/>
          </w:tcPr>
          <w:p w14:paraId="0D1D176A" w14:textId="77777777" w:rsidR="00B02873" w:rsidRPr="00B02873" w:rsidRDefault="00B02873" w:rsidP="00B415A9">
            <w:pPr>
              <w:pStyle w:val="NoParagraphStyle"/>
              <w:spacing w:line="240" w:lineRule="auto"/>
              <w:textAlignment w:val="auto"/>
              <w:rPr>
                <w:rFonts w:ascii="Apple Symbols Regular" w:hAnsi="Apple Symbols Regular" w:cs="Times New Roman"/>
                <w:color w:val="auto"/>
                <w:lang w:val="en-AU"/>
              </w:rPr>
            </w:pPr>
          </w:p>
        </w:tc>
      </w:tr>
      <w:tr w:rsidR="00B02873" w:rsidRPr="00B02873" w14:paraId="3D59DFEE" w14:textId="77777777" w:rsidTr="00DB42CF">
        <w:tc>
          <w:tcPr>
            <w:tcW w:w="2972" w:type="dxa"/>
          </w:tcPr>
          <w:p w14:paraId="23003426" w14:textId="77777777" w:rsidR="00B02873" w:rsidRDefault="00B02873" w:rsidP="00C57D4C">
            <w:pPr>
              <w:pStyle w:val="TablebodyleftTables"/>
              <w:keepNext/>
            </w:pPr>
            <w:r>
              <w:rPr>
                <w:rStyle w:val="Bold"/>
              </w:rPr>
              <w:t>Total output cost</w:t>
            </w:r>
          </w:p>
        </w:tc>
        <w:tc>
          <w:tcPr>
            <w:tcW w:w="1134" w:type="dxa"/>
          </w:tcPr>
          <w:p w14:paraId="59DD684D" w14:textId="77777777" w:rsidR="00B02873" w:rsidRDefault="00B02873" w:rsidP="00C57D4C">
            <w:pPr>
              <w:pStyle w:val="TablebodyleftTables"/>
              <w:keepNext/>
            </w:pPr>
            <w:r>
              <w:t>$ million</w:t>
            </w:r>
          </w:p>
        </w:tc>
        <w:tc>
          <w:tcPr>
            <w:tcW w:w="1139" w:type="dxa"/>
          </w:tcPr>
          <w:p w14:paraId="1DF72B4A" w14:textId="77777777" w:rsidR="00B02873" w:rsidRDefault="00B02873" w:rsidP="00A56FB4">
            <w:pPr>
              <w:pStyle w:val="TablebodyleftTables"/>
              <w:keepNext/>
              <w:jc w:val="right"/>
            </w:pPr>
            <w:r>
              <w:t>51.7</w:t>
            </w:r>
          </w:p>
        </w:tc>
        <w:tc>
          <w:tcPr>
            <w:tcW w:w="1105" w:type="dxa"/>
          </w:tcPr>
          <w:p w14:paraId="2E447D24" w14:textId="77777777" w:rsidR="00B02873" w:rsidRDefault="00B02873" w:rsidP="00A56FB4">
            <w:pPr>
              <w:pStyle w:val="TablebodyleftTables"/>
              <w:keepNext/>
              <w:jc w:val="right"/>
            </w:pPr>
            <w:r>
              <w:t>55.9</w:t>
            </w:r>
          </w:p>
        </w:tc>
        <w:tc>
          <w:tcPr>
            <w:tcW w:w="1442" w:type="dxa"/>
          </w:tcPr>
          <w:p w14:paraId="14819DF4" w14:textId="77777777" w:rsidR="00B02873" w:rsidRDefault="00B02873" w:rsidP="00A56FB4">
            <w:pPr>
              <w:pStyle w:val="TablebodyleftTables"/>
              <w:keepNext/>
              <w:jc w:val="right"/>
            </w:pPr>
            <w:r>
              <w:t>(7%)</w:t>
            </w:r>
          </w:p>
        </w:tc>
        <w:tc>
          <w:tcPr>
            <w:tcW w:w="1846" w:type="dxa"/>
          </w:tcPr>
          <w:p w14:paraId="4B95653E" w14:textId="3B1DCDB9" w:rsidR="00B02873" w:rsidRPr="00B776F1" w:rsidRDefault="00B776F1" w:rsidP="00C57D4C">
            <w:pPr>
              <w:pStyle w:val="TablebodyleftTables"/>
              <w:keepNext/>
            </w:pPr>
            <w:r w:rsidRPr="00B776F1">
              <w:t>Performance target not achieved – exceeds 5 per cent variance.</w:t>
            </w:r>
          </w:p>
        </w:tc>
      </w:tr>
    </w:tbl>
    <w:p w14:paraId="4AA5C12A" w14:textId="12000564" w:rsidR="00DB42CF" w:rsidRDefault="00DB42CF" w:rsidP="00C57D4C">
      <w:pPr>
        <w:keepLines/>
      </w:pPr>
      <w:r>
        <w:t>The lower than budgeted output cost is primarily due to less than anticipated expenditure incurred for circular economy initiatives as a result of COVID-19 limiting the ability of councils to directly engage and consult with communities. This is partially offset by a change in funding profile for the Facilitating Innovative Remediation Solutions program; and additional funding made available for the Environment Protection Authority for remediation works at Lemon Springs.</w:t>
      </w:r>
    </w:p>
    <w:p w14:paraId="1F795A1F" w14:textId="77777777" w:rsidR="00B02873" w:rsidRDefault="00B02873" w:rsidP="00103738">
      <w:pPr>
        <w:pStyle w:val="Heading2"/>
      </w:pPr>
      <w:bookmarkStart w:id="13" w:name="_Toc117447354"/>
      <w:r>
        <w:t>Reliable, sustainable and affordable energy services</w:t>
      </w:r>
      <w:bookmarkEnd w:id="13"/>
    </w:p>
    <w:p w14:paraId="0D831ADA" w14:textId="4BAE883E" w:rsidR="00B02873" w:rsidRPr="00A56FB4" w:rsidRDefault="00103738" w:rsidP="001128B1">
      <w:pPr>
        <w:pStyle w:val="Number1Lists"/>
        <w:numPr>
          <w:ilvl w:val="0"/>
          <w:numId w:val="59"/>
        </w:numPr>
      </w:pPr>
      <w:r>
        <w:t xml:space="preserve">Affordable and clean </w:t>
      </w:r>
      <w:r w:rsidRPr="00A56FB4">
        <w:t>energy</w:t>
      </w:r>
    </w:p>
    <w:p w14:paraId="01ADA026" w14:textId="4091237E" w:rsidR="00103738" w:rsidRPr="00A56FB4" w:rsidRDefault="00103738" w:rsidP="00A56FB4">
      <w:pPr>
        <w:pStyle w:val="Number1Lists"/>
      </w:pPr>
      <w:r w:rsidRPr="00A56FB4">
        <w:t>Sustainable cities and communities</w:t>
      </w:r>
    </w:p>
    <w:p w14:paraId="1B0B6B6C" w14:textId="23A953F2" w:rsidR="00103738" w:rsidRPr="00A56FB4" w:rsidRDefault="00103738" w:rsidP="00A56FB4">
      <w:pPr>
        <w:pStyle w:val="Number1Lists"/>
      </w:pPr>
      <w:r w:rsidRPr="00A56FB4">
        <w:t>Responsible consumption and production</w:t>
      </w:r>
    </w:p>
    <w:p w14:paraId="32062283" w14:textId="5D27919D" w:rsidR="00103738" w:rsidRPr="00A56FB4" w:rsidRDefault="00103738" w:rsidP="00A56FB4">
      <w:pPr>
        <w:pStyle w:val="Number1Listslast"/>
      </w:pPr>
      <w:r w:rsidRPr="00A56FB4">
        <w:t>Climate action</w:t>
      </w:r>
    </w:p>
    <w:p w14:paraId="79A9CA86" w14:textId="77777777" w:rsidR="00B02873" w:rsidRDefault="00B02873" w:rsidP="00103738">
      <w:pPr>
        <w:pStyle w:val="Heading3"/>
      </w:pPr>
      <w:r>
        <w:t>Progress towards achieving this objective</w:t>
      </w:r>
    </w:p>
    <w:p w14:paraId="01CB72C4" w14:textId="77777777" w:rsidR="00B02873" w:rsidRDefault="00B02873" w:rsidP="00103738">
      <w:pPr>
        <w:pStyle w:val="Heading4"/>
      </w:pPr>
      <w:r>
        <w:t>Context</w:t>
      </w:r>
    </w:p>
    <w:p w14:paraId="74FE74E2" w14:textId="77777777" w:rsidR="00B02873" w:rsidRDefault="00B02873" w:rsidP="00FE198A">
      <w:r>
        <w:t>Reliable, affordable and clean energy is critical to a strong economy – and our transition away from fossil fuels to renewable energy is well underway.</w:t>
      </w:r>
    </w:p>
    <w:p w14:paraId="60D6FE55" w14:textId="4B34699B" w:rsidR="00B02873" w:rsidRDefault="00B02873" w:rsidP="00FE198A">
      <w:r>
        <w:t>Renewable energy will play a key role in achieving Victoria’s emissions reduction targets. Beyond the energy sector, renewable energy helps decarbonise transport and industrial sectors as they switch from burning fossil fuels to using clean electricity. One-third of Victoria’s electricity was produced from renewable sources in 2021, up from 27 per cent in 2020. In addition, incentives, standards and information are helping energy consumers to upgrade their equipment, appliances and buildings to be more efficient and reduce emissions. Improving energy efficiency cuts energy costs and improves the comfort of our homes and workplaces</w:t>
      </w:r>
      <w:r w:rsidR="000F6BBC">
        <w:t>002E</w:t>
      </w:r>
    </w:p>
    <w:p w14:paraId="32E7F9F1" w14:textId="77777777" w:rsidR="00B02873" w:rsidRDefault="00B02873" w:rsidP="00FE198A">
      <w:r>
        <w:t>DELWP provides policy advice to government on the delivery of reliable, sustainable and affordable energy services, as well as leading programs on renewable energy and improving energy efficiency and productivity. DELWP also plays a critical role in responding to and building resilience against events that impact Victoria’s energy system; from the changing energy demand, supply and prices, to bushfires, floods and extreme weather. It also works with market bodies, and national and state governments to design and implement reforms to ensure that governance and systems are fit-for purpose to support the energy transition.</w:t>
      </w:r>
    </w:p>
    <w:tbl>
      <w:tblPr>
        <w:tblStyle w:val="TableGrid"/>
        <w:tblW w:w="0" w:type="auto"/>
        <w:tblLayout w:type="fixed"/>
        <w:tblLook w:val="0020" w:firstRow="1" w:lastRow="0" w:firstColumn="0" w:lastColumn="0" w:noHBand="0" w:noVBand="0"/>
      </w:tblPr>
      <w:tblGrid>
        <w:gridCol w:w="2339"/>
        <w:gridCol w:w="7289"/>
      </w:tblGrid>
      <w:tr w:rsidR="00B02873" w:rsidRPr="00B02873" w14:paraId="0B0E7A47" w14:textId="77777777" w:rsidTr="00745E80">
        <w:trPr>
          <w:cnfStyle w:val="100000000000" w:firstRow="1" w:lastRow="0" w:firstColumn="0" w:lastColumn="0" w:oddVBand="0" w:evenVBand="0" w:oddHBand="0" w:evenHBand="0" w:firstRowFirstColumn="0" w:firstRowLastColumn="0" w:lastRowFirstColumn="0" w:lastRowLastColumn="0"/>
          <w:tblHeader/>
        </w:trPr>
        <w:tc>
          <w:tcPr>
            <w:tcW w:w="2339" w:type="dxa"/>
          </w:tcPr>
          <w:p w14:paraId="086C5E15" w14:textId="77777777" w:rsidR="00B02873" w:rsidRDefault="00B02873" w:rsidP="00745E80">
            <w:pPr>
              <w:pStyle w:val="TableheadingleftTables"/>
            </w:pPr>
            <w:r>
              <w:lastRenderedPageBreak/>
              <w:t xml:space="preserve">Key initiative </w:t>
            </w:r>
          </w:p>
        </w:tc>
        <w:tc>
          <w:tcPr>
            <w:tcW w:w="7289" w:type="dxa"/>
          </w:tcPr>
          <w:p w14:paraId="406202B4" w14:textId="77777777" w:rsidR="00B02873" w:rsidRDefault="00B02873" w:rsidP="00745E80">
            <w:pPr>
              <w:pStyle w:val="TableheadingleftTables"/>
            </w:pPr>
            <w:r>
              <w:t xml:space="preserve">2021-22 progress summary </w:t>
            </w:r>
          </w:p>
        </w:tc>
      </w:tr>
      <w:tr w:rsidR="00B02873" w:rsidRPr="00B02873" w14:paraId="41F38083" w14:textId="77777777" w:rsidTr="00745E80">
        <w:tc>
          <w:tcPr>
            <w:tcW w:w="2339" w:type="dxa"/>
          </w:tcPr>
          <w:p w14:paraId="4575A2D3" w14:textId="77777777" w:rsidR="00B02873" w:rsidRDefault="00B02873" w:rsidP="00B415A9">
            <w:pPr>
              <w:pStyle w:val="TablebodyleftTables"/>
            </w:pPr>
            <w:r>
              <w:t xml:space="preserve">$250 Power Saving Bonus </w:t>
            </w:r>
          </w:p>
        </w:tc>
        <w:tc>
          <w:tcPr>
            <w:tcW w:w="7289" w:type="dxa"/>
          </w:tcPr>
          <w:p w14:paraId="4CF458DC" w14:textId="2F905697" w:rsidR="00B02873" w:rsidRDefault="00B02873" w:rsidP="00B415A9">
            <w:pPr>
              <w:pStyle w:val="TablebodyleftTables"/>
            </w:pPr>
            <w:r>
              <w:t>More than 400,000 applications were received through the Power Saving Bonus for concession recipients program since its commencement in February 2021, resulting in nearly $100 million in payments to vulnerable Victorian households.</w:t>
            </w:r>
          </w:p>
          <w:p w14:paraId="5501D274" w14:textId="129459C0" w:rsidR="00B02873" w:rsidRDefault="00B02873" w:rsidP="00B415A9">
            <w:pPr>
              <w:pStyle w:val="TablebodyleftTables"/>
            </w:pPr>
            <w:r>
              <w:t>The Power Saving Bonus program is supported by a Community Outreach Program which assists customers without access to a computer or the internet.</w:t>
            </w:r>
            <w:r w:rsidR="00012C04">
              <w:t xml:space="preserve"> </w:t>
            </w:r>
            <w:r>
              <w:t>Since its inception, more than 45,000 households have been assisted.</w:t>
            </w:r>
          </w:p>
        </w:tc>
      </w:tr>
      <w:tr w:rsidR="00B02873" w:rsidRPr="00B02873" w14:paraId="540F43AE" w14:textId="77777777" w:rsidTr="00745E80">
        <w:tc>
          <w:tcPr>
            <w:tcW w:w="2339" w:type="dxa"/>
          </w:tcPr>
          <w:p w14:paraId="3595E94C" w14:textId="77777777" w:rsidR="00B02873" w:rsidRDefault="00B02873" w:rsidP="00B415A9">
            <w:pPr>
              <w:pStyle w:val="TablebodyleftTables"/>
            </w:pPr>
            <w:r>
              <w:t xml:space="preserve">Renewable Energy Zones </w:t>
            </w:r>
          </w:p>
        </w:tc>
        <w:tc>
          <w:tcPr>
            <w:tcW w:w="7289" w:type="dxa"/>
          </w:tcPr>
          <w:p w14:paraId="5323DBEE" w14:textId="77777777" w:rsidR="00B02873" w:rsidRDefault="00B02873" w:rsidP="00B415A9">
            <w:pPr>
              <w:pStyle w:val="TablebodyleftTables"/>
            </w:pPr>
            <w:r>
              <w:t>VicGrid, a new body tasked with coordinating the overarching planning and development of Victoria’s Renewable Energy Zones (REZs), was established in July 2021.</w:t>
            </w:r>
          </w:p>
          <w:p w14:paraId="21B912B4" w14:textId="77777777" w:rsidR="00B02873" w:rsidRDefault="00B02873" w:rsidP="00B415A9">
            <w:pPr>
              <w:pStyle w:val="TablebodyleftTables"/>
            </w:pPr>
            <w:r>
              <w:t>Seven ‘stage one’ projects will deliver network upgrades to prepare Victoria’s energy grid for REZs. Procurement processes for the projects progressed during 2021-22, with final investment decisions to occur in 2022-23.</w:t>
            </w:r>
          </w:p>
        </w:tc>
      </w:tr>
      <w:tr w:rsidR="00B02873" w:rsidRPr="00B02873" w14:paraId="324A509C" w14:textId="77777777" w:rsidTr="00745E80">
        <w:tc>
          <w:tcPr>
            <w:tcW w:w="2339" w:type="dxa"/>
          </w:tcPr>
          <w:p w14:paraId="68A43E34" w14:textId="77777777" w:rsidR="00B02873" w:rsidRDefault="00B02873" w:rsidP="00B415A9">
            <w:pPr>
              <w:pStyle w:val="TablebodyleftTables"/>
            </w:pPr>
            <w:r>
              <w:t>Victorian Big Battery</w:t>
            </w:r>
          </w:p>
        </w:tc>
        <w:tc>
          <w:tcPr>
            <w:tcW w:w="7289" w:type="dxa"/>
          </w:tcPr>
          <w:p w14:paraId="7FF3427A" w14:textId="77777777" w:rsidR="00B02873" w:rsidRDefault="00B02873" w:rsidP="00B415A9">
            <w:pPr>
              <w:pStyle w:val="TablebodyleftTables"/>
            </w:pPr>
            <w:r>
              <w:t>The Victorian Big Battery completed its first season of safeguarding the state’s energy supply through our hot summer months, driving down electricity prices and supporting the state’s renewable energy build. Between November and March the Victorian Big Battery operates as a virtual transmission line enabling increased flows of up to 250MW over the Victoria – New South Wales interconnector. This service, called the System Integrity Protection Scheme, reduces the risk of unscheduled load shedding over the peak summer months. The first operational season concluded at the end of March 2022 with the battery successfully providing the required service and availability.</w:t>
            </w:r>
          </w:p>
        </w:tc>
      </w:tr>
      <w:tr w:rsidR="00B02873" w:rsidRPr="00B02873" w14:paraId="4C5C883A" w14:textId="77777777" w:rsidTr="00745E80">
        <w:tc>
          <w:tcPr>
            <w:tcW w:w="2339" w:type="dxa"/>
          </w:tcPr>
          <w:p w14:paraId="6803481C" w14:textId="77777777" w:rsidR="00B02873" w:rsidRDefault="00B02873" w:rsidP="00B415A9">
            <w:pPr>
              <w:pStyle w:val="TablebodyleftTables"/>
            </w:pPr>
            <w:r>
              <w:t xml:space="preserve">Transmission network upgrades </w:t>
            </w:r>
          </w:p>
        </w:tc>
        <w:tc>
          <w:tcPr>
            <w:tcW w:w="7289" w:type="dxa"/>
          </w:tcPr>
          <w:p w14:paraId="60F25966" w14:textId="77777777" w:rsidR="00B02873" w:rsidRDefault="00B02873" w:rsidP="00B415A9">
            <w:pPr>
              <w:pStyle w:val="TablebodyleftTables"/>
            </w:pPr>
            <w:r>
              <w:t>Work on major Integrated System Plan transmission projects continues to ensure energy security, reliability and affordability for Victorians, as the state transitions from traditional sources of electricity to renewables. The major focus of work during 2021-22 was on KerangLink, the Western Victoria Transmission Network Project and Marinus Link.</w:t>
            </w:r>
          </w:p>
        </w:tc>
      </w:tr>
      <w:tr w:rsidR="00B02873" w:rsidRPr="00B02873" w14:paraId="3826BA19" w14:textId="77777777" w:rsidTr="00745E80">
        <w:tc>
          <w:tcPr>
            <w:tcW w:w="2339" w:type="dxa"/>
          </w:tcPr>
          <w:p w14:paraId="14E301AC" w14:textId="77777777" w:rsidR="00B02873" w:rsidRDefault="00B02873" w:rsidP="00B415A9">
            <w:pPr>
              <w:pStyle w:val="TablebodyleftTables"/>
            </w:pPr>
            <w:r>
              <w:t xml:space="preserve">Trialling new technologies to improve grid resilience including microgrids and stand-alone power systems </w:t>
            </w:r>
          </w:p>
        </w:tc>
        <w:tc>
          <w:tcPr>
            <w:tcW w:w="7289" w:type="dxa"/>
          </w:tcPr>
          <w:p w14:paraId="63C3ECD6" w14:textId="77777777" w:rsidR="00B02873" w:rsidRDefault="00B02873" w:rsidP="00B415A9">
            <w:pPr>
              <w:pStyle w:val="TablebodyleftTables"/>
            </w:pPr>
            <w:r>
              <w:t>DELWP and AusNet are working with communities in the fire-affected areas of Mallacoota, Omeo and Corryong to increase their bushfire and energy resilience through a $7 million Community Microgrids and Sustainable Energy Program.</w:t>
            </w:r>
          </w:p>
          <w:p w14:paraId="6E61C746" w14:textId="77777777" w:rsidR="00B02873" w:rsidRDefault="00B02873" w:rsidP="00B415A9">
            <w:pPr>
              <w:pStyle w:val="TablebodyleftTables"/>
            </w:pPr>
            <w:r>
              <w:t>During 2021-22, DELWP and AusNet undertook extensive community engagement with each of these communities to understand their experience of electricity supply. Energy resilient systems were then designed for each community, which will be delivered in 2022-23 to increase access to locally generated energy and storage.</w:t>
            </w:r>
          </w:p>
        </w:tc>
      </w:tr>
      <w:tr w:rsidR="00B02873" w:rsidRPr="00B02873" w14:paraId="25606393" w14:textId="77777777" w:rsidTr="00745E80">
        <w:tc>
          <w:tcPr>
            <w:tcW w:w="2339" w:type="dxa"/>
          </w:tcPr>
          <w:p w14:paraId="40BE19B0" w14:textId="25878A85" w:rsidR="00B02873" w:rsidRDefault="00B02873" w:rsidP="00B415A9">
            <w:pPr>
              <w:pStyle w:val="TablebodyleftTables"/>
            </w:pPr>
            <w:r>
              <w:lastRenderedPageBreak/>
              <w:t>Energy Innovation Fund</w:t>
            </w:r>
            <w:r w:rsidR="00012C04">
              <w:t xml:space="preserve"> </w:t>
            </w:r>
          </w:p>
        </w:tc>
        <w:tc>
          <w:tcPr>
            <w:tcW w:w="7289" w:type="dxa"/>
          </w:tcPr>
          <w:p w14:paraId="57EC4F26" w14:textId="77777777" w:rsidR="00B02873" w:rsidRDefault="00B02873" w:rsidP="00B415A9">
            <w:pPr>
              <w:pStyle w:val="TablebodyleftTables"/>
            </w:pPr>
            <w:r>
              <w:t>During 2021-22, round 1 of the Energy Innovation Fund (EIF) provided a total of $37.9 million in funding to support the initial development of three offshore wind projects. Together these projects could generate the equivalent of more than 40 per cent of Victoria’s electricity consumption, deliver more than 5,500 jobs and more than $18 billion in investment and bring significant benefits to the regions.</w:t>
            </w:r>
          </w:p>
          <w:p w14:paraId="1FA55952" w14:textId="77777777" w:rsidR="00B02873" w:rsidRDefault="00B02873" w:rsidP="00B415A9">
            <w:pPr>
              <w:pStyle w:val="TablebodyleftTables"/>
            </w:pPr>
            <w:r>
              <w:t>Round 2 of the EIF opened for applications in August 2021, with successful projects to be announced in 2022-23.</w:t>
            </w:r>
          </w:p>
        </w:tc>
      </w:tr>
      <w:tr w:rsidR="00B02873" w:rsidRPr="00B02873" w14:paraId="4D743B7E" w14:textId="77777777" w:rsidTr="00745E80">
        <w:tc>
          <w:tcPr>
            <w:tcW w:w="2339" w:type="dxa"/>
          </w:tcPr>
          <w:p w14:paraId="7DD8CE7F" w14:textId="77777777" w:rsidR="00B02873" w:rsidRDefault="00B02873" w:rsidP="00B415A9">
            <w:pPr>
              <w:pStyle w:val="TablebodyleftTables"/>
            </w:pPr>
            <w:r>
              <w:t>Business Recovery Energy Efficiency Fund</w:t>
            </w:r>
          </w:p>
        </w:tc>
        <w:tc>
          <w:tcPr>
            <w:tcW w:w="7289" w:type="dxa"/>
          </w:tcPr>
          <w:p w14:paraId="0176E503" w14:textId="4D360909" w:rsidR="00B02873" w:rsidRDefault="00B02873" w:rsidP="00B415A9">
            <w:pPr>
              <w:pStyle w:val="TablebodyleftTables"/>
            </w:pPr>
            <w:r>
              <w:t>Since its establishment in 2020-21, the Business Recovery Energy Efficiency Fund (BREEF) has provided $26.9 million of the total grant funding of $27.2 million to businesses to deliver 98 of the 109 energy efficiency and energy demand management projects.</w:t>
            </w:r>
            <w:r w:rsidR="00012C04">
              <w:t xml:space="preserve"> </w:t>
            </w:r>
          </w:p>
          <w:p w14:paraId="493C55C4" w14:textId="77777777" w:rsidR="00B02873" w:rsidRDefault="00B02873" w:rsidP="00B415A9">
            <w:pPr>
              <w:pStyle w:val="TablebodyleftTables"/>
            </w:pPr>
            <w:r>
              <w:t xml:space="preserve">The remaining 20 BREEF projects will be completed by the end of 2022. It is estimated that the program will achieve: </w:t>
            </w:r>
          </w:p>
          <w:p w14:paraId="2AB32A74" w14:textId="77777777" w:rsidR="00B02873" w:rsidRDefault="00B02873" w:rsidP="00745E80">
            <w:pPr>
              <w:pStyle w:val="TableBulletleftTables"/>
            </w:pPr>
            <w:r>
              <w:t xml:space="preserve">$8.7 million in savings for business </w:t>
            </w:r>
          </w:p>
          <w:p w14:paraId="367078CF" w14:textId="77777777" w:rsidR="00B02873" w:rsidRDefault="00B02873" w:rsidP="00745E80">
            <w:pPr>
              <w:pStyle w:val="TableBulletleftTables"/>
            </w:pPr>
            <w:r>
              <w:t>54.2 ktCO</w:t>
            </w:r>
            <w:r w:rsidRPr="00A93AE6">
              <w:rPr>
                <w:vertAlign w:val="subscript"/>
              </w:rPr>
              <w:t>2</w:t>
            </w:r>
            <w:r>
              <w:t>-e in energy savings</w:t>
            </w:r>
          </w:p>
          <w:p w14:paraId="13D780C8" w14:textId="77777777" w:rsidR="00B02873" w:rsidRDefault="00B02873" w:rsidP="00745E80">
            <w:pPr>
              <w:pStyle w:val="TableBulletleftTables"/>
            </w:pPr>
            <w:r>
              <w:t>creation of 54 jobs.</w:t>
            </w:r>
          </w:p>
        </w:tc>
      </w:tr>
      <w:tr w:rsidR="00B02873" w:rsidRPr="00B02873" w14:paraId="59DE3015" w14:textId="77777777" w:rsidTr="00745E80">
        <w:tc>
          <w:tcPr>
            <w:tcW w:w="2339" w:type="dxa"/>
          </w:tcPr>
          <w:p w14:paraId="7F1B2B82" w14:textId="77777777" w:rsidR="00B02873" w:rsidRDefault="00B02873" w:rsidP="00B415A9">
            <w:pPr>
              <w:pStyle w:val="TablebodyleftTables"/>
            </w:pPr>
            <w:r>
              <w:t>Energy Fairness Plan reforms</w:t>
            </w:r>
          </w:p>
        </w:tc>
        <w:tc>
          <w:tcPr>
            <w:tcW w:w="7289" w:type="dxa"/>
          </w:tcPr>
          <w:p w14:paraId="50611928" w14:textId="77777777" w:rsidR="00B02873" w:rsidRDefault="00B02873" w:rsidP="00B415A9">
            <w:pPr>
              <w:pStyle w:val="TablebodyleftTables"/>
            </w:pPr>
            <w:r>
              <w:t xml:space="preserve">The Energy Fairness Plan reforms have been delivered over the period 2019 to 2022 through the </w:t>
            </w:r>
            <w:r w:rsidRPr="00745E80">
              <w:rPr>
                <w:rStyle w:val="LightItalic"/>
                <w:rFonts w:asciiTheme="minorHAnsi" w:hAnsiTheme="minorHAnsi" w:cstheme="minorHAnsi"/>
              </w:rPr>
              <w:t>National Energy Legislation Amendment Act 2020, Energy Legislation Amendment (Energy Fairness) Act 2021</w:t>
            </w:r>
            <w:r w:rsidRPr="00745E80">
              <w:rPr>
                <w:rFonts w:asciiTheme="minorHAnsi" w:hAnsiTheme="minorHAnsi" w:cstheme="minorHAnsi"/>
              </w:rPr>
              <w:t xml:space="preserve"> and </w:t>
            </w:r>
            <w:r w:rsidRPr="00745E80">
              <w:rPr>
                <w:rStyle w:val="LightItalic"/>
                <w:rFonts w:asciiTheme="minorHAnsi" w:hAnsiTheme="minorHAnsi" w:cstheme="minorHAnsi"/>
              </w:rPr>
              <w:t>Essential Services Commission (Compliance and Enforcement Powers) Act 2021</w:t>
            </w:r>
            <w:r w:rsidRPr="00745E80">
              <w:rPr>
                <w:rFonts w:asciiTheme="minorHAnsi" w:hAnsiTheme="minorHAnsi" w:cstheme="minorHAnsi"/>
              </w:rPr>
              <w:t xml:space="preserve">. </w:t>
            </w:r>
            <w:r>
              <w:t>These reforms aim to deliver lower energy prices for Victorians, increase transparency and competition in the market and maintain protection for consumers.</w:t>
            </w:r>
          </w:p>
          <w:p w14:paraId="380EE1FB" w14:textId="77777777" w:rsidR="00B02873" w:rsidRDefault="00B02873" w:rsidP="00B415A9">
            <w:pPr>
              <w:pStyle w:val="TablebodyleftTables"/>
            </w:pPr>
            <w:r>
              <w:t>Implementation of consequential Orders and revised Energy Retail and Electricity Distribution Codes of Practice have also been completed. New Electricity Industry and Gas Industry (Penalty Regime) Regulations came into effect in July 2022.</w:t>
            </w:r>
          </w:p>
          <w:p w14:paraId="2E003AD8" w14:textId="77777777" w:rsidR="00B02873" w:rsidRDefault="00B02873" w:rsidP="00B415A9">
            <w:pPr>
              <w:pStyle w:val="TablebodyleftTables"/>
            </w:pPr>
            <w:r>
              <w:t>Taken together, these reforms have enhanced consumer protection, ensured consumers are at the centre of the energy selection process and assisted with protecting vulnerable consumers from poor retailer practices.</w:t>
            </w:r>
          </w:p>
        </w:tc>
      </w:tr>
      <w:tr w:rsidR="00B02873" w:rsidRPr="00B02873" w14:paraId="382E4F0C" w14:textId="77777777" w:rsidTr="00745E80">
        <w:tc>
          <w:tcPr>
            <w:tcW w:w="2339" w:type="dxa"/>
          </w:tcPr>
          <w:p w14:paraId="3BE777A3" w14:textId="77777777" w:rsidR="00B02873" w:rsidRDefault="00B02873" w:rsidP="00B415A9">
            <w:pPr>
              <w:pStyle w:val="TablebodyleftTables"/>
            </w:pPr>
            <w:r>
              <w:t xml:space="preserve">Solar for Business </w:t>
            </w:r>
          </w:p>
        </w:tc>
        <w:tc>
          <w:tcPr>
            <w:tcW w:w="7289" w:type="dxa"/>
          </w:tcPr>
          <w:p w14:paraId="39E5722B" w14:textId="77777777" w:rsidR="00B02873" w:rsidRDefault="00B02873" w:rsidP="00B415A9">
            <w:pPr>
              <w:pStyle w:val="TablebodyleftTables"/>
            </w:pPr>
            <w:r>
              <w:t>The Solar for Business program supports the economic recovery of Victorian small to medium businesses and the broader solar sector by providing 15,000 solar PV rebates over three years. Since April 2022, the program has offered interest-free loans to enable businesses to reduce the upfront cost of the installation of an approved small-scale solar PV system.</w:t>
            </w:r>
          </w:p>
          <w:p w14:paraId="3259C02D" w14:textId="77777777" w:rsidR="00B02873" w:rsidRDefault="00B02873" w:rsidP="00B415A9">
            <w:pPr>
              <w:pStyle w:val="TablebodyleftTables"/>
            </w:pPr>
            <w:r>
              <w:t>During 2021-22, 1,508 solar rebate applications were approved for Victorian businesses, with 34 per cent of those applicants also applying for an interest-free loan.</w:t>
            </w:r>
          </w:p>
        </w:tc>
      </w:tr>
      <w:tr w:rsidR="00B02873" w:rsidRPr="00B02873" w14:paraId="18FEFADF" w14:textId="77777777" w:rsidTr="00745E80">
        <w:tc>
          <w:tcPr>
            <w:tcW w:w="2339" w:type="dxa"/>
          </w:tcPr>
          <w:p w14:paraId="639B4AE3" w14:textId="77777777" w:rsidR="00B02873" w:rsidRDefault="00B02873" w:rsidP="00B415A9">
            <w:pPr>
              <w:pStyle w:val="TablebodyleftTables"/>
            </w:pPr>
            <w:r>
              <w:lastRenderedPageBreak/>
              <w:t xml:space="preserve">Energy efficiency upgrades </w:t>
            </w:r>
          </w:p>
        </w:tc>
        <w:tc>
          <w:tcPr>
            <w:tcW w:w="7289" w:type="dxa"/>
          </w:tcPr>
          <w:p w14:paraId="5794C3E6" w14:textId="48F13869" w:rsidR="00B02873" w:rsidRDefault="00B02873" w:rsidP="00B415A9">
            <w:pPr>
              <w:pStyle w:val="TablebodyleftTables"/>
            </w:pPr>
            <w:r>
              <w:t>During 2021-22, DELWP continued to support Homes Victoria to deliver energy efficiency upgrades to social housing homes. This included overseeing technical requirements for upgrades and establishing links with Solar Victoria’s Home Heating and Cooling Upgrades program to maximise support for community housing organisations seeking to upgrade their heaters.</w:t>
            </w:r>
            <w:r w:rsidR="00012C04">
              <w:t xml:space="preserve"> </w:t>
            </w:r>
            <w:r>
              <w:t>Upgrades included the installation of efficient reverse cycle air conditioners for vulnerable public housing tenants living in the hotter climatic areas of north-western Victoria, and for residents with disability or health condition.</w:t>
            </w:r>
          </w:p>
          <w:p w14:paraId="012C3BCE" w14:textId="77777777" w:rsidR="00B02873" w:rsidRDefault="00B02873" w:rsidP="00B415A9">
            <w:pPr>
              <w:pStyle w:val="TablebodyleftTables"/>
            </w:pPr>
            <w:r>
              <w:t>The Home Heating and Cooling Upgrades program supports low-income and vulnerable households to improve their thermal comfort and reduce the cost of home heating and cooling, by offering rebates to encourage households to switch from gas heaters, electric heaters, wood heaters and homes without heating to energy efficient electric reverse cycle split systems. During 2021-22, 35,367 applications were approved and 6,040 systems installed.</w:t>
            </w:r>
          </w:p>
        </w:tc>
      </w:tr>
      <w:tr w:rsidR="00B02873" w:rsidRPr="00B02873" w14:paraId="25B089F9" w14:textId="77777777" w:rsidTr="00745E80">
        <w:tc>
          <w:tcPr>
            <w:tcW w:w="2339" w:type="dxa"/>
          </w:tcPr>
          <w:p w14:paraId="08EAF6DC" w14:textId="77777777" w:rsidR="00B02873" w:rsidRDefault="00B02873" w:rsidP="00B415A9">
            <w:pPr>
              <w:pStyle w:val="TablebodyleftTables"/>
            </w:pPr>
            <w:r>
              <w:t xml:space="preserve">Delivering reforms to Victoria’s wholesale electricity and gas markets </w:t>
            </w:r>
          </w:p>
        </w:tc>
        <w:tc>
          <w:tcPr>
            <w:tcW w:w="7289" w:type="dxa"/>
          </w:tcPr>
          <w:p w14:paraId="390D1D97" w14:textId="77777777" w:rsidR="00B02873" w:rsidRDefault="00B02873" w:rsidP="00B415A9">
            <w:pPr>
              <w:pStyle w:val="TablebodyleftTables"/>
            </w:pPr>
            <w:r>
              <w:t>During 2021-22, DELWP delivered reforms to Victoria’s wholesale electricity and gas markets including:</w:t>
            </w:r>
          </w:p>
          <w:p w14:paraId="47350CE0" w14:textId="77777777" w:rsidR="00B02873" w:rsidRDefault="00B02873" w:rsidP="00745E80">
            <w:pPr>
              <w:pStyle w:val="TableBulletleftTables"/>
            </w:pPr>
            <w:r>
              <w:t xml:space="preserve">royal assent for the </w:t>
            </w:r>
            <w:r w:rsidRPr="00745E80">
              <w:rPr>
                <w:rStyle w:val="LightItalic"/>
                <w:rFonts w:asciiTheme="minorHAnsi" w:hAnsiTheme="minorHAnsi" w:cstheme="minorHAnsi"/>
              </w:rPr>
              <w:t>Energy Legislation Amendment Act 2021</w:t>
            </w:r>
            <w:r>
              <w:t xml:space="preserve"> in September 2021, which establishes a regulatory sandboxing framework in Victoria and reforms to enable the controlled use of hydrogen in Victoria’s gas network</w:t>
            </w:r>
          </w:p>
          <w:p w14:paraId="593BB574" w14:textId="77777777" w:rsidR="00B02873" w:rsidRDefault="00B02873" w:rsidP="00745E80">
            <w:pPr>
              <w:pStyle w:val="TableBulletleftTables"/>
            </w:pPr>
            <w:r>
              <w:t>initiation of the distribution connected facilities rule change to allow hydrogen blending facilities (once established) to participate in the Victorian Declared Wholesale Gas Market</w:t>
            </w:r>
          </w:p>
          <w:p w14:paraId="62AD194D" w14:textId="77777777" w:rsidR="00B02873" w:rsidRDefault="00B02873" w:rsidP="00745E80">
            <w:pPr>
              <w:pStyle w:val="TableBulletleftTables"/>
            </w:pPr>
            <w:r>
              <w:t>continued input into the Energy Security Board’s post 2025 market design work, including design of a market wide capacity mechanism.</w:t>
            </w:r>
          </w:p>
        </w:tc>
      </w:tr>
      <w:tr w:rsidR="00B02873" w:rsidRPr="00B02873" w14:paraId="37B5D619" w14:textId="77777777" w:rsidTr="00745E80">
        <w:tc>
          <w:tcPr>
            <w:tcW w:w="2339" w:type="dxa"/>
          </w:tcPr>
          <w:p w14:paraId="00A9D79F" w14:textId="77777777" w:rsidR="00B02873" w:rsidRDefault="00B02873" w:rsidP="00B415A9">
            <w:pPr>
              <w:pStyle w:val="TablebodyleftTables"/>
            </w:pPr>
            <w:r>
              <w:t xml:space="preserve">Supporting national energy efficiency processes and market reforms </w:t>
            </w:r>
          </w:p>
        </w:tc>
        <w:tc>
          <w:tcPr>
            <w:tcW w:w="7289" w:type="dxa"/>
          </w:tcPr>
          <w:p w14:paraId="0EC1B127" w14:textId="029C2009" w:rsidR="00B02873" w:rsidRDefault="00B02873" w:rsidP="00B415A9">
            <w:pPr>
              <w:pStyle w:val="TablebodyleftTables"/>
            </w:pPr>
            <w:r>
              <w:t xml:space="preserve">During 2021-22, DELWP contributed to the progress of the Australian Building Code’s Board development of the National Construction Code 2022 energy efficiency provisions on residential buildings. This informed the analysis and development of the national regulatory impact statement of moving to a new 7 star NatHERS rating and a new whole of home approach to regulating the energy use of fixed household appliances. </w:t>
            </w:r>
          </w:p>
        </w:tc>
      </w:tr>
      <w:tr w:rsidR="00B02873" w:rsidRPr="00B02873" w14:paraId="790EC635" w14:textId="77777777" w:rsidTr="00745E80">
        <w:tc>
          <w:tcPr>
            <w:tcW w:w="2339" w:type="dxa"/>
          </w:tcPr>
          <w:p w14:paraId="55E35383" w14:textId="77777777" w:rsidR="00B02873" w:rsidRDefault="00B02873" w:rsidP="00B415A9">
            <w:pPr>
              <w:pStyle w:val="TablebodyleftTables"/>
            </w:pPr>
            <w:r>
              <w:t xml:space="preserve">Community power hubs </w:t>
            </w:r>
          </w:p>
        </w:tc>
        <w:tc>
          <w:tcPr>
            <w:tcW w:w="7289" w:type="dxa"/>
          </w:tcPr>
          <w:p w14:paraId="0D07A342" w14:textId="77777777" w:rsidR="00B02873" w:rsidRDefault="00B02873" w:rsidP="00B415A9">
            <w:pPr>
              <w:pStyle w:val="TablebodyleftTables"/>
            </w:pPr>
            <w:r>
              <w:t>During 2021-22, seven Pilot Community Power Hubs were funded across Victoria. Through the program, Sustainability Victoria worked on more than 25 locally owned, cost-effective renewable energy projects and installed 1 MW of new solar panels – preventing 1,384 tonnes of CO</w:t>
            </w:r>
            <w:r w:rsidRPr="00745E80">
              <w:rPr>
                <w:vertAlign w:val="subscript"/>
              </w:rPr>
              <w:t>2</w:t>
            </w:r>
            <w:r>
              <w:t xml:space="preserve">-e emissions and reducing consumer electricity costs by up to $235,000 a year. </w:t>
            </w:r>
          </w:p>
        </w:tc>
      </w:tr>
      <w:tr w:rsidR="00B02873" w:rsidRPr="00B02873" w14:paraId="79DEFCCF" w14:textId="77777777" w:rsidTr="00745E80">
        <w:tc>
          <w:tcPr>
            <w:tcW w:w="2339" w:type="dxa"/>
          </w:tcPr>
          <w:p w14:paraId="46D6D80A" w14:textId="77777777" w:rsidR="00B02873" w:rsidRDefault="00B02873" w:rsidP="00B415A9">
            <w:pPr>
              <w:pStyle w:val="TablebodyleftTables"/>
            </w:pPr>
            <w:r>
              <w:t xml:space="preserve">Private Overhead Electric Line Scheme </w:t>
            </w:r>
          </w:p>
        </w:tc>
        <w:tc>
          <w:tcPr>
            <w:tcW w:w="7289" w:type="dxa"/>
          </w:tcPr>
          <w:p w14:paraId="3B2AC9FB" w14:textId="3A859897" w:rsidR="00B02873" w:rsidRDefault="00B02873" w:rsidP="00B415A9">
            <w:pPr>
              <w:pStyle w:val="TablebodyleftTables"/>
            </w:pPr>
            <w:r>
              <w:t>During 2021-22, the Private Overhead Electric Line (POEL) Scheme was expanded from the three Local Government Areas (LGAs) of Alpine, East Gippsland and Towong, to an additional 10 LGAs to increase community safety in surrounding and higher powerline bushfire risk areas.</w:t>
            </w:r>
          </w:p>
          <w:p w14:paraId="73936D8F" w14:textId="77777777" w:rsidR="00B02873" w:rsidRDefault="00B02873" w:rsidP="00B415A9">
            <w:pPr>
              <w:pStyle w:val="TablebodyleftTables"/>
            </w:pPr>
            <w:r>
              <w:t>T</w:t>
            </w:r>
            <w:r w:rsidRPr="00745E80">
              <w:rPr>
                <w:spacing w:val="-2"/>
              </w:rPr>
              <w:t>he POEL Scheme will continue to fully fund the undergrounding of eligible bare-wire and defective private overhead electric lines into 2022-23.</w:t>
            </w:r>
          </w:p>
        </w:tc>
      </w:tr>
      <w:tr w:rsidR="00B02873" w:rsidRPr="00B02873" w14:paraId="5A8B5794" w14:textId="77777777" w:rsidTr="00745E80">
        <w:tc>
          <w:tcPr>
            <w:tcW w:w="2339" w:type="dxa"/>
          </w:tcPr>
          <w:p w14:paraId="7A9586C2" w14:textId="77777777" w:rsidR="00B02873" w:rsidRDefault="00B02873" w:rsidP="00B415A9">
            <w:pPr>
              <w:pStyle w:val="TablebodyleftTables"/>
            </w:pPr>
            <w:r>
              <w:lastRenderedPageBreak/>
              <w:t>Supporting government decision making on emergency management of the electricity, gas and liquid fuel sector</w:t>
            </w:r>
          </w:p>
        </w:tc>
        <w:tc>
          <w:tcPr>
            <w:tcW w:w="7289" w:type="dxa"/>
          </w:tcPr>
          <w:p w14:paraId="555FC087" w14:textId="77777777" w:rsidR="00B02873" w:rsidRDefault="00B02873" w:rsidP="00B415A9">
            <w:pPr>
              <w:pStyle w:val="TablebodyleftTables"/>
            </w:pPr>
            <w:r>
              <w:t>DELWP led the response to multiple energy emergencies, including flood risks to Yallourn Mine, an earthquake in September 2021, the October 2021 storm event that caused the most widespread network damage and outages experienced in Victoria, and the June 2022 gas and electricity market price shocks.</w:t>
            </w:r>
          </w:p>
          <w:p w14:paraId="5569E537" w14:textId="77777777" w:rsidR="00B02873" w:rsidRDefault="00B02873" w:rsidP="00B415A9">
            <w:pPr>
              <w:pStyle w:val="TablebodyleftTables"/>
            </w:pPr>
            <w:r>
              <w:t>Post-event reviews were conducted to identify improvements to DELWP’s operational response and the response and emergency preparedness of distribution networks. Learnings have been applied to improve outcomes for Victorian communities.</w:t>
            </w:r>
          </w:p>
        </w:tc>
      </w:tr>
      <w:tr w:rsidR="00B02873" w:rsidRPr="00B02873" w14:paraId="5A4F7B6F" w14:textId="77777777" w:rsidTr="00745E80">
        <w:tc>
          <w:tcPr>
            <w:tcW w:w="2339" w:type="dxa"/>
          </w:tcPr>
          <w:p w14:paraId="2EABB87C" w14:textId="77777777" w:rsidR="00B02873" w:rsidRDefault="00B02873" w:rsidP="00B415A9">
            <w:pPr>
              <w:pStyle w:val="TablebodyleftTables"/>
            </w:pPr>
            <w:r>
              <w:t>Implementing policy and regulatory reforms to modernise our electricity grid and support the roll-out of distributed energy resources in Victoria</w:t>
            </w:r>
          </w:p>
        </w:tc>
        <w:tc>
          <w:tcPr>
            <w:tcW w:w="7289" w:type="dxa"/>
          </w:tcPr>
          <w:p w14:paraId="0CD14039" w14:textId="77777777" w:rsidR="00B02873" w:rsidRDefault="00B02873" w:rsidP="00B415A9">
            <w:pPr>
              <w:pStyle w:val="TablebodyleftTables"/>
            </w:pPr>
            <w:r>
              <w:t>In April 2022, DELWP released Harnessing Victoria’s Distributed Energy Resources, a vision statement highlighting our goals and objectives in transitioning to a distributed energy resources dominant future. In line with this vision, during 2021-22 DELWP has:</w:t>
            </w:r>
          </w:p>
          <w:p w14:paraId="52996FA5" w14:textId="77777777" w:rsidR="00B02873" w:rsidRDefault="00B02873" w:rsidP="00745E80">
            <w:pPr>
              <w:pStyle w:val="TableBulletleftTables"/>
            </w:pPr>
            <w:r>
              <w:t>undertaken public consultation on policy and regulatory barriers to deploying neighbourhood batteries and released a consultation outcomes summary in April 2022</w:t>
            </w:r>
          </w:p>
          <w:p w14:paraId="635CFBD5" w14:textId="77777777" w:rsidR="00B02873" w:rsidRDefault="00B02873" w:rsidP="00745E80">
            <w:pPr>
              <w:pStyle w:val="TableBulletleftTables"/>
            </w:pPr>
            <w:r>
              <w:t>delivered reforms to the planning system to better incorporate neighbourhood batteries, thereby removing regulatory barriers to development</w:t>
            </w:r>
          </w:p>
          <w:p w14:paraId="013613FE" w14:textId="77777777" w:rsidR="00B02873" w:rsidRDefault="00B02873" w:rsidP="00745E80">
            <w:pPr>
              <w:pStyle w:val="TableBulletleftTables"/>
            </w:pPr>
            <w:r>
              <w:t xml:space="preserve">commenced public consultation in May 2022 on voltage management in the distribution network to maximise the value of solar and batteries in Victoria’s energy transition </w:t>
            </w:r>
          </w:p>
          <w:p w14:paraId="12A9A32F" w14:textId="323BAFDA" w:rsidR="00B02873" w:rsidRDefault="00B02873" w:rsidP="00745E80">
            <w:pPr>
              <w:pStyle w:val="TableBulletleftTables"/>
            </w:pPr>
            <w:r>
              <w:t>made public submissions to regulatory processes on increasing the availability of network data</w:t>
            </w:r>
          </w:p>
          <w:p w14:paraId="10E6067D" w14:textId="36D60441" w:rsidR="00B02873" w:rsidRDefault="00B02873" w:rsidP="00745E80">
            <w:pPr>
              <w:pStyle w:val="TableBulletleftTables"/>
            </w:pPr>
            <w:r>
              <w:t>protected solar owners via a public commitment to no export pricing on solar in Victoria</w:t>
            </w:r>
          </w:p>
          <w:p w14:paraId="6393A22B" w14:textId="77777777" w:rsidR="00B02873" w:rsidRDefault="00B02873" w:rsidP="00745E80">
            <w:pPr>
              <w:pStyle w:val="TableBulletleftTables"/>
            </w:pPr>
            <w:r>
              <w:t>improved visibility of solar export constraints and worked closely with Victoria’s distribution businesses to improve solar enablement</w:t>
            </w:r>
          </w:p>
          <w:p w14:paraId="31C12905" w14:textId="77777777" w:rsidR="00B02873" w:rsidRDefault="00B02873" w:rsidP="00745E80">
            <w:pPr>
              <w:pStyle w:val="TableBulletleftTables"/>
            </w:pPr>
            <w:r>
              <w:t xml:space="preserve">met with the Australian Energy Market Operator (AEMO) and Victorian networks fortnightly to progress policy and regulatory responses to maintain system security at high levels of solar penetration. </w:t>
            </w:r>
          </w:p>
        </w:tc>
      </w:tr>
      <w:tr w:rsidR="00B02873" w:rsidRPr="00B02873" w14:paraId="193622A1" w14:textId="77777777" w:rsidTr="00745E80">
        <w:tc>
          <w:tcPr>
            <w:tcW w:w="2339" w:type="dxa"/>
          </w:tcPr>
          <w:p w14:paraId="363F2A44" w14:textId="77777777" w:rsidR="00B02873" w:rsidRDefault="00B02873" w:rsidP="00B415A9">
            <w:pPr>
              <w:pStyle w:val="TablebodyleftTables"/>
            </w:pPr>
            <w:r>
              <w:t xml:space="preserve">Gas Substitution Roadmap </w:t>
            </w:r>
          </w:p>
        </w:tc>
        <w:tc>
          <w:tcPr>
            <w:tcW w:w="7289" w:type="dxa"/>
          </w:tcPr>
          <w:p w14:paraId="30453D7C" w14:textId="77777777" w:rsidR="00B02873" w:rsidRDefault="00B02873" w:rsidP="00B415A9">
            <w:pPr>
              <w:pStyle w:val="TablebodyleftTables"/>
            </w:pPr>
            <w:r>
              <w:t xml:space="preserve">Released in July 2022, the Gas Substitution Roadmap was informed by a series of technical investigations, analysis and significant industry and consumer consultation. </w:t>
            </w:r>
          </w:p>
          <w:p w14:paraId="6B547C29" w14:textId="77777777" w:rsidR="00B02873" w:rsidRDefault="00B02873" w:rsidP="00B415A9">
            <w:pPr>
              <w:pStyle w:val="TablebodyleftTables"/>
            </w:pPr>
            <w:r>
              <w:t>The Roadmap will:</w:t>
            </w:r>
          </w:p>
          <w:p w14:paraId="232C20FD" w14:textId="77777777" w:rsidR="00B02873" w:rsidRDefault="00B02873" w:rsidP="00745E80">
            <w:pPr>
              <w:pStyle w:val="TableBulletleftTables"/>
            </w:pPr>
            <w:r>
              <w:t>promote the electrification of homes and businesses</w:t>
            </w:r>
          </w:p>
          <w:p w14:paraId="6EFA598E" w14:textId="77777777" w:rsidR="00B02873" w:rsidRDefault="00B02873" w:rsidP="00745E80">
            <w:pPr>
              <w:pStyle w:val="TableBulletleftTables"/>
            </w:pPr>
            <w:r>
              <w:t>lower energy bills</w:t>
            </w:r>
          </w:p>
          <w:p w14:paraId="154AA003" w14:textId="77777777" w:rsidR="00B02873" w:rsidRDefault="00B02873" w:rsidP="00745E80">
            <w:pPr>
              <w:pStyle w:val="TableBulletleftTables"/>
            </w:pPr>
            <w:r>
              <w:t>maintain reliable gas supply for Victorians</w:t>
            </w:r>
          </w:p>
          <w:p w14:paraId="6AE95DA4" w14:textId="77777777" w:rsidR="00B02873" w:rsidRDefault="00B02873" w:rsidP="00745E80">
            <w:pPr>
              <w:pStyle w:val="TableBulletleftTables"/>
            </w:pPr>
            <w:r>
              <w:t>enhance consumer choice by removing barriers to all-electric new homes</w:t>
            </w:r>
          </w:p>
          <w:p w14:paraId="15BA5285" w14:textId="77777777" w:rsidR="00B02873" w:rsidRDefault="00B02873" w:rsidP="00745E80">
            <w:pPr>
              <w:pStyle w:val="TableBulletleftTables"/>
            </w:pPr>
            <w:r>
              <w:t>create jobs</w:t>
            </w:r>
          </w:p>
          <w:p w14:paraId="27FC6833" w14:textId="77777777" w:rsidR="00B02873" w:rsidRDefault="00B02873" w:rsidP="00745E80">
            <w:pPr>
              <w:pStyle w:val="TableBulletleftTables"/>
            </w:pPr>
            <w:r>
              <w:t>drive investment in clean energy technologies by promoting the use of alternative gases such as hydrogen and biogas.</w:t>
            </w:r>
          </w:p>
        </w:tc>
      </w:tr>
      <w:tr w:rsidR="00B02873" w:rsidRPr="00B02873" w14:paraId="5C7DFD90" w14:textId="77777777" w:rsidTr="00745E80">
        <w:tc>
          <w:tcPr>
            <w:tcW w:w="2339" w:type="dxa"/>
          </w:tcPr>
          <w:p w14:paraId="4CDB3382" w14:textId="77777777" w:rsidR="00B02873" w:rsidRDefault="00B02873" w:rsidP="00B415A9">
            <w:pPr>
              <w:pStyle w:val="TablebodyleftTables"/>
            </w:pPr>
            <w:r>
              <w:lastRenderedPageBreak/>
              <w:t>Supporting development of the renewable hydrogen sector</w:t>
            </w:r>
          </w:p>
        </w:tc>
        <w:tc>
          <w:tcPr>
            <w:tcW w:w="7289" w:type="dxa"/>
          </w:tcPr>
          <w:p w14:paraId="1053E4D6" w14:textId="77777777" w:rsidR="00B02873" w:rsidRDefault="00B02873" w:rsidP="00B415A9">
            <w:pPr>
              <w:pStyle w:val="TablebodyleftTables"/>
            </w:pPr>
            <w:r>
              <w:t xml:space="preserve">In January 2022, $7.2 million in grant funding was awarded across the Renewable Hydrogen Business Ready Fund and the Renewable Hydrogen Commercialisation Fund. </w:t>
            </w:r>
          </w:p>
          <w:p w14:paraId="7D7E9AB7" w14:textId="77777777" w:rsidR="00B02873" w:rsidRDefault="00B02873" w:rsidP="00B415A9">
            <w:pPr>
              <w:pStyle w:val="TablebodyleftTables"/>
            </w:pPr>
            <w:r>
              <w:t>The Renewable Hydrogen Business Ready Fund provided grants to eight projects that will enable businesses to identify pathways to transition towards renewable hydrogen.</w:t>
            </w:r>
          </w:p>
          <w:p w14:paraId="7D02486D" w14:textId="77777777" w:rsidR="00B02873" w:rsidRDefault="00B02873" w:rsidP="00B415A9">
            <w:pPr>
              <w:pStyle w:val="TablebodyleftTables"/>
            </w:pPr>
            <w:r>
              <w:t>The Renewable Hydrogen Commercialisation Pathways Fund provided grants to six projects that support the building of hydrogen pilots, trials, and demonstrations.</w:t>
            </w:r>
          </w:p>
          <w:p w14:paraId="5BA177CE" w14:textId="77777777" w:rsidR="00B02873" w:rsidRDefault="00B02873" w:rsidP="00B415A9">
            <w:pPr>
              <w:pStyle w:val="TablebodyleftTables"/>
            </w:pPr>
            <w:r>
              <w:t>In March 2022, the Victorian and NSW Governments announced the $20 million Hume Hydrogen Highway (HHH) Program. Each government is investing $10 million in grant funding to co-deliver the HHH program, which will support the development of hydrogen refuelling stations along the Hume Highway – including at least four stations in Victoria.</w:t>
            </w:r>
          </w:p>
        </w:tc>
      </w:tr>
      <w:tr w:rsidR="00B02873" w:rsidRPr="00B02873" w14:paraId="31F280BF" w14:textId="77777777" w:rsidTr="00745E80">
        <w:tc>
          <w:tcPr>
            <w:tcW w:w="2339" w:type="dxa"/>
          </w:tcPr>
          <w:p w14:paraId="68757472" w14:textId="77777777" w:rsidR="00B02873" w:rsidRDefault="00B02873" w:rsidP="00B415A9">
            <w:pPr>
              <w:pStyle w:val="TablebodyleftTables"/>
            </w:pPr>
            <w:r>
              <w:t xml:space="preserve">Setting energy standards in rental properties </w:t>
            </w:r>
          </w:p>
        </w:tc>
        <w:tc>
          <w:tcPr>
            <w:tcW w:w="7289" w:type="dxa"/>
          </w:tcPr>
          <w:p w14:paraId="7D013245" w14:textId="06A8F9DE" w:rsidR="00B02873" w:rsidRDefault="00B02873" w:rsidP="00B415A9">
            <w:pPr>
              <w:pStyle w:val="TablebodyleftTables"/>
            </w:pPr>
            <w:r>
              <w:t>A minimum energy efficiency standard for heaters in rented homes commenced in March 2021, with all new leases requiring a heater installed and new heaters meeting a minimum 2 star energy rating. Further energy efficiency standards for ceiling insulation and draught sealing continued to be prepared during 2021-22.</w:t>
            </w:r>
          </w:p>
        </w:tc>
      </w:tr>
      <w:tr w:rsidR="00B02873" w:rsidRPr="00B02873" w14:paraId="5CD176E7" w14:textId="77777777" w:rsidTr="00745E80">
        <w:tc>
          <w:tcPr>
            <w:tcW w:w="2339" w:type="dxa"/>
          </w:tcPr>
          <w:p w14:paraId="3F41E6A5" w14:textId="77777777" w:rsidR="00B02873" w:rsidRDefault="00B02873" w:rsidP="00B415A9">
            <w:pPr>
              <w:pStyle w:val="TablebodyleftTables"/>
            </w:pPr>
            <w:r>
              <w:t>Expanding the Victorian Energy Upgrades program</w:t>
            </w:r>
          </w:p>
        </w:tc>
        <w:tc>
          <w:tcPr>
            <w:tcW w:w="7289" w:type="dxa"/>
          </w:tcPr>
          <w:p w14:paraId="5E3A17D0" w14:textId="77777777" w:rsidR="00B02873" w:rsidRDefault="00B02873" w:rsidP="00B415A9">
            <w:pPr>
              <w:pStyle w:val="TablebodyleftTables"/>
            </w:pPr>
            <w:r>
              <w:t xml:space="preserve">The Victorian Energy Upgrades (VEU) program is Victoria’s flagship energy efficiency program and a major emission reduction measure. In 2021-22, more than 410,000 households and 45,000 businesses accessed incentives under the Victorian Energy Upgrades program. </w:t>
            </w:r>
          </w:p>
          <w:p w14:paraId="75B07887" w14:textId="53E04BB4" w:rsidR="00B02873" w:rsidRDefault="00B02873" w:rsidP="00B415A9">
            <w:pPr>
              <w:pStyle w:val="TablebodyleftTables"/>
            </w:pPr>
            <w:r>
              <w:t>The supply of certificates remained strong as Victoria continued to recover from the COVID-19 pandemic; by the end of 2021-22, all the certificates required to meet the 2021 and 2022 energy savings targets were already created.</w:t>
            </w:r>
            <w:r w:rsidR="00012C04">
              <w:t xml:space="preserve"> </w:t>
            </w:r>
          </w:p>
          <w:p w14:paraId="0E0CB773" w14:textId="4C1C534A" w:rsidR="00B02873" w:rsidRDefault="00B02873" w:rsidP="00B415A9">
            <w:pPr>
              <w:pStyle w:val="TablebodyleftTables"/>
            </w:pPr>
            <w:r>
              <w:t>DELWP led reforms to strengthen consumer protections, compliance and enforcement, including the introduction of a VEU Code of Conduct from 1 July 2022.The range of energy savings activities eligible for incentives was expanded, including cool rooms and commercial and industrial heat pumps. Consultation occurred on new incentives for additional activities including insulation of hot pipes, home energy ratings and replacing gas hot water and space heating appliances with efficient electric alternatives.</w:t>
            </w:r>
            <w:r w:rsidR="00012C04">
              <w:t xml:space="preserve"> </w:t>
            </w:r>
          </w:p>
          <w:p w14:paraId="18E6798B" w14:textId="66870355" w:rsidR="00B02873" w:rsidRDefault="00B02873" w:rsidP="00B415A9">
            <w:pPr>
              <w:pStyle w:val="TablebodyleftTables"/>
            </w:pPr>
            <w:r>
              <w:t xml:space="preserve">DELWP worked with the Essential Services Commission to monitor the performance of activities in the program to ensure outcomes are achieved. As part of this process incentives for refrigerated display cabinet activity were temporarily removed while the activity is reviewed to ensure all installations result in energy savings for participating businesses and greenhouse gas reduction. </w:t>
            </w:r>
          </w:p>
        </w:tc>
      </w:tr>
      <w:tr w:rsidR="00B02873" w:rsidRPr="00B02873" w14:paraId="64F65840" w14:textId="77777777" w:rsidTr="00745E80">
        <w:tc>
          <w:tcPr>
            <w:tcW w:w="2339" w:type="dxa"/>
          </w:tcPr>
          <w:p w14:paraId="6ACB589A" w14:textId="77777777" w:rsidR="00B02873" w:rsidRDefault="00B02873" w:rsidP="00B415A9">
            <w:pPr>
              <w:pStyle w:val="TablebodyleftTables"/>
            </w:pPr>
            <w:r>
              <w:lastRenderedPageBreak/>
              <w:t xml:space="preserve">Accelerating the adoption of zero emission vehicles </w:t>
            </w:r>
          </w:p>
        </w:tc>
        <w:tc>
          <w:tcPr>
            <w:tcW w:w="7289" w:type="dxa"/>
          </w:tcPr>
          <w:p w14:paraId="1613003D" w14:textId="77777777" w:rsidR="00B02873" w:rsidRDefault="00B02873" w:rsidP="00B415A9">
            <w:pPr>
              <w:pStyle w:val="TablebodyleftTables"/>
            </w:pPr>
            <w:r>
              <w:t>Successful projects under the Destination Charging Across Victoria program were announced in December 2021. This will result in the installation of around 141 electric vehicle (EV) fast-charging stations within approximately 116 high-use areas and tourist spots across regional and metropolitan Victoria.</w:t>
            </w:r>
          </w:p>
          <w:p w14:paraId="71FCD409" w14:textId="6497CFA9" w:rsidR="00B02873" w:rsidRDefault="00B02873" w:rsidP="00B415A9">
            <w:pPr>
              <w:pStyle w:val="TablebodyleftTables"/>
            </w:pPr>
            <w:r>
              <w:t>The EV Charging for Council Fleets program was launched in December 2021 and aims to transition local council vehicle fleets to EVs. This was followed by launch of the EV Charging for Business Fleets program in June 2022, which aims to support business leadership in the transition to EVs, removing a large barrier to EV adoption.</w:t>
            </w:r>
          </w:p>
          <w:p w14:paraId="0B5F6019" w14:textId="77777777" w:rsidR="00B02873" w:rsidRDefault="00B02873" w:rsidP="00B415A9">
            <w:pPr>
              <w:pStyle w:val="TablebodyleftTables"/>
            </w:pPr>
            <w:r>
              <w:t>During 2021-22, 5,316 Victorian residents and businesses were approved for EV subsidies through the Zero Emissions Vehicle program</w:t>
            </w:r>
          </w:p>
        </w:tc>
      </w:tr>
      <w:tr w:rsidR="00B02873" w:rsidRPr="00B02873" w14:paraId="21C52E7D" w14:textId="77777777" w:rsidTr="00745E80">
        <w:tc>
          <w:tcPr>
            <w:tcW w:w="2339" w:type="dxa"/>
          </w:tcPr>
          <w:p w14:paraId="59A47FCB" w14:textId="1C3AC0A3" w:rsidR="00B02873" w:rsidRDefault="00B02873" w:rsidP="00B415A9">
            <w:pPr>
              <w:pStyle w:val="TablebodyleftTables"/>
            </w:pPr>
            <w:r>
              <w:t>Second Victorian Renewable Energy Target Auction</w:t>
            </w:r>
            <w:r w:rsidR="00012C04">
              <w:t xml:space="preserve"> </w:t>
            </w:r>
          </w:p>
        </w:tc>
        <w:tc>
          <w:tcPr>
            <w:tcW w:w="7289" w:type="dxa"/>
          </w:tcPr>
          <w:p w14:paraId="16C761D8" w14:textId="77777777" w:rsidR="00B02873" w:rsidRDefault="00B02873" w:rsidP="00B415A9">
            <w:pPr>
              <w:pStyle w:val="TablebodyleftTables"/>
            </w:pPr>
            <w:r>
              <w:t>The Victorian Government announced the Second Victorian Renewable Energy Target Auction (VRET2) in November 2020, targeting at least 600 MW of new renewable energy capacity.</w:t>
            </w:r>
          </w:p>
          <w:p w14:paraId="7A015FCD" w14:textId="4495345A" w:rsidR="00B02873" w:rsidRDefault="00B02873" w:rsidP="00B415A9">
            <w:pPr>
              <w:pStyle w:val="TablebodyleftTables"/>
            </w:pPr>
            <w:r>
              <w:t>VRET2 opened in August 2021 and closed in December 2021, following a four-week extension in recognition of significant COVID-19 impacts on project development and global and local supply chains.</w:t>
            </w:r>
            <w:r w:rsidR="00012C04">
              <w:t xml:space="preserve"> </w:t>
            </w:r>
            <w:r>
              <w:t>The evaluation of proposals is ongoing and it is expected to announce successful proponents in the first quarter of 2022-23.</w:t>
            </w:r>
          </w:p>
        </w:tc>
      </w:tr>
      <w:tr w:rsidR="00B02873" w:rsidRPr="00B02873" w14:paraId="0634E133" w14:textId="77777777" w:rsidTr="00745E80">
        <w:tc>
          <w:tcPr>
            <w:tcW w:w="2339" w:type="dxa"/>
          </w:tcPr>
          <w:p w14:paraId="2495445C" w14:textId="77777777" w:rsidR="00B02873" w:rsidRDefault="00B02873" w:rsidP="00B415A9">
            <w:pPr>
              <w:pStyle w:val="TablebodyleftTables"/>
            </w:pPr>
            <w:r>
              <w:t xml:space="preserve">Bulgana Green Power Hub </w:t>
            </w:r>
          </w:p>
        </w:tc>
        <w:tc>
          <w:tcPr>
            <w:tcW w:w="7289" w:type="dxa"/>
          </w:tcPr>
          <w:p w14:paraId="0D6C33D3" w14:textId="28E3ACBD" w:rsidR="00B02873" w:rsidRDefault="00B02873" w:rsidP="00B415A9">
            <w:pPr>
              <w:pStyle w:val="TablebodyleftTables"/>
            </w:pPr>
            <w:r>
              <w:t>The Bulgana Green Power Hub wind farm and battery commenced commercial operations in December 2021.</w:t>
            </w:r>
            <w:r w:rsidR="00012C04">
              <w:t xml:space="preserve"> </w:t>
            </w:r>
          </w:p>
          <w:p w14:paraId="0B0CD430" w14:textId="77777777" w:rsidR="00B02873" w:rsidRDefault="00B02873" w:rsidP="00B415A9">
            <w:pPr>
              <w:pStyle w:val="TablebodyleftTables"/>
            </w:pPr>
            <w:r>
              <w:t>This project created 150 construction jobs and can now generate more than 750,000 MWh of cheap, clean energy annually – enough to power around 150,000 homes.</w:t>
            </w:r>
          </w:p>
        </w:tc>
      </w:tr>
      <w:tr w:rsidR="00B02873" w:rsidRPr="00B02873" w14:paraId="0F4A8247" w14:textId="77777777" w:rsidTr="00745E80">
        <w:tc>
          <w:tcPr>
            <w:tcW w:w="2339" w:type="dxa"/>
          </w:tcPr>
          <w:p w14:paraId="35B01800" w14:textId="77777777" w:rsidR="00B02873" w:rsidRDefault="00B02873" w:rsidP="00B415A9">
            <w:pPr>
              <w:pStyle w:val="TablebodyleftTables"/>
            </w:pPr>
            <w:r>
              <w:t xml:space="preserve">Traditional Owner Renewable Energy Program </w:t>
            </w:r>
          </w:p>
        </w:tc>
        <w:tc>
          <w:tcPr>
            <w:tcW w:w="7289" w:type="dxa"/>
          </w:tcPr>
          <w:p w14:paraId="3F9593DD" w14:textId="77777777" w:rsidR="00B02873" w:rsidRDefault="00B02873" w:rsidP="00B415A9">
            <w:pPr>
              <w:pStyle w:val="TablebodyleftTables"/>
            </w:pPr>
            <w:r>
              <w:t xml:space="preserve">During 2021-22, the Traditional Owner Renewable Energy Program (TOREP) received applications from nine out of the eleven Registered Aboriginal Parties (RAPs). </w:t>
            </w:r>
          </w:p>
          <w:p w14:paraId="68565349" w14:textId="77777777" w:rsidR="00B02873" w:rsidRDefault="00B02873" w:rsidP="00B415A9">
            <w:pPr>
              <w:pStyle w:val="TablebodyleftTables"/>
            </w:pPr>
            <w:r>
              <w:t>TOREP grants were awarded to all nine RAPs to implement and deliver their renewable energy projects and plans.</w:t>
            </w:r>
          </w:p>
          <w:p w14:paraId="52C5F4BB" w14:textId="2F0662EF" w:rsidR="00B02873" w:rsidRDefault="00B02873" w:rsidP="00B415A9">
            <w:pPr>
              <w:pStyle w:val="TablebodyleftTables"/>
            </w:pPr>
            <w:r>
              <w:t>Three RAPs have successfully completed their projects, with relationships continuing to be fostered through increased engagement from the TOREP.</w:t>
            </w:r>
          </w:p>
        </w:tc>
      </w:tr>
      <w:tr w:rsidR="00B02873" w:rsidRPr="00B02873" w14:paraId="7BD03A69" w14:textId="77777777" w:rsidTr="00745E80">
        <w:tc>
          <w:tcPr>
            <w:tcW w:w="2339" w:type="dxa"/>
          </w:tcPr>
          <w:p w14:paraId="38749730" w14:textId="77777777" w:rsidR="00B02873" w:rsidRDefault="00B02873" w:rsidP="00B415A9">
            <w:pPr>
              <w:pStyle w:val="TablebodyleftTables"/>
            </w:pPr>
            <w:r>
              <w:t xml:space="preserve">New Energy Jobs Fund </w:t>
            </w:r>
          </w:p>
        </w:tc>
        <w:tc>
          <w:tcPr>
            <w:tcW w:w="7289" w:type="dxa"/>
          </w:tcPr>
          <w:p w14:paraId="6BD8EB85" w14:textId="77777777" w:rsidR="00B02873" w:rsidRDefault="00B02873" w:rsidP="00B415A9">
            <w:pPr>
              <w:pStyle w:val="TablebodyleftTables"/>
            </w:pPr>
            <w:r>
              <w:t>The New Energy Jobs Fund (NEJF) successfully delivered six round 5 projects during 2021-22, resulting in the installation of 375 kW of solar PV and 380 kWh of battery storage. Since commencement of the program in September 2016 to 30 June 2022, NEJF has invested $13 million in 70 new energy technology projects across Victoria. These projects will create long-term sustainable jobs, increase the uptake of renewable energy generation, reduce greenhouse gas emissions and drive innovation in new energy technologies.</w:t>
            </w:r>
          </w:p>
        </w:tc>
      </w:tr>
      <w:tr w:rsidR="00B02873" w:rsidRPr="00B02873" w14:paraId="6728BF67" w14:textId="77777777" w:rsidTr="00745E80">
        <w:tc>
          <w:tcPr>
            <w:tcW w:w="2339" w:type="dxa"/>
          </w:tcPr>
          <w:p w14:paraId="7E5DB9F6" w14:textId="77777777" w:rsidR="00B02873" w:rsidRDefault="00B02873" w:rsidP="00B415A9">
            <w:pPr>
              <w:pStyle w:val="TablebodyleftTables"/>
            </w:pPr>
            <w:r>
              <w:lastRenderedPageBreak/>
              <w:t xml:space="preserve">Energy consumer protections </w:t>
            </w:r>
          </w:p>
        </w:tc>
        <w:tc>
          <w:tcPr>
            <w:tcW w:w="7289" w:type="dxa"/>
          </w:tcPr>
          <w:p w14:paraId="6CB42141" w14:textId="77777777" w:rsidR="00B02873" w:rsidRDefault="00B02873" w:rsidP="00B415A9">
            <w:pPr>
              <w:pStyle w:val="TablebodyleftTables"/>
            </w:pPr>
            <w:r>
              <w:t>The final Embedded Networks Review report was published in January 2022 with recommendations for reforms to protect consumers in embedded networks, including for the Government to action its commitment to ban embedded networks in new residential apartment buildings. The Government’s formal response to the Embedded Networks Review was published in August 2022.</w:t>
            </w:r>
          </w:p>
          <w:p w14:paraId="556CA370" w14:textId="77777777" w:rsidR="00B02873" w:rsidRDefault="00B02873" w:rsidP="00B415A9">
            <w:pPr>
              <w:pStyle w:val="TablebodyleftTables"/>
            </w:pPr>
            <w:r>
              <w:t>In March 2022, legislative reforms to enact the Government’s Energy Fairness Plan were completed. The reform package included bans on high-pressure sales tactics for energy retail contracts, increased penalties for energy businesses that contravene the energy rules and overhauled investigation and enforcement powers for the Essential Services Commission.</w:t>
            </w:r>
          </w:p>
          <w:p w14:paraId="43C6DE06" w14:textId="77777777" w:rsidR="00B02873" w:rsidRDefault="00B02873" w:rsidP="00B415A9">
            <w:pPr>
              <w:pStyle w:val="TablebodyleftTables"/>
            </w:pPr>
            <w:r>
              <w:t>Throughout 2021-22, DELWP worked closely with the Essential Services Commission on its review of the implementation of the Payment Difficulty Framework. The final findings report was delivered in May 2022 and a better practice program is continuing into 2022-23 to improve outcomes for consumers experiencing payment difficulty.</w:t>
            </w:r>
          </w:p>
          <w:p w14:paraId="3F4059F5" w14:textId="77777777" w:rsidR="00B02873" w:rsidRDefault="00B02873" w:rsidP="00B415A9">
            <w:pPr>
              <w:pStyle w:val="TablebodyleftTables"/>
            </w:pPr>
            <w:r>
              <w:t>In March 2022, DELWP commenced its review of the Victorian Default Offer Order in Council to ensure the reform remains effective to protect consumers who do not or cannot engage in the energy market. The consultation phase was completed in April 2022 and a final report will be completed early in 2022-23.</w:t>
            </w:r>
          </w:p>
          <w:p w14:paraId="22C7D450" w14:textId="77777777" w:rsidR="00B02873" w:rsidRDefault="00B02873" w:rsidP="00B415A9">
            <w:pPr>
              <w:pStyle w:val="TablebodyleftTables"/>
            </w:pPr>
            <w:r>
              <w:t>DELWP continued to provide information and active outreach to ensure consumers are aware of support available to manage energy prices.</w:t>
            </w:r>
          </w:p>
        </w:tc>
      </w:tr>
      <w:tr w:rsidR="00B02873" w:rsidRPr="00B02873" w14:paraId="4AFBFFB2" w14:textId="77777777" w:rsidTr="00745E80">
        <w:tc>
          <w:tcPr>
            <w:tcW w:w="2339" w:type="dxa"/>
          </w:tcPr>
          <w:p w14:paraId="2143B10E" w14:textId="77777777" w:rsidR="00B02873" w:rsidRDefault="00B02873" w:rsidP="00B415A9">
            <w:pPr>
              <w:pStyle w:val="TablebodyleftTables"/>
            </w:pPr>
            <w:r>
              <w:t>Solar Homes rebates</w:t>
            </w:r>
          </w:p>
        </w:tc>
        <w:tc>
          <w:tcPr>
            <w:tcW w:w="7289" w:type="dxa"/>
          </w:tcPr>
          <w:p w14:paraId="3CEC295F" w14:textId="77777777" w:rsidR="00B02873" w:rsidRDefault="00B02873" w:rsidP="00B415A9">
            <w:pPr>
              <w:pStyle w:val="TablebodyleftTables"/>
            </w:pPr>
            <w:r>
              <w:t>During 2021-22, 48,642 rebates were provided to households to install solar panels, battery storage systems, solar and energy efficient hot water and 23,624 interest-free loans were provided to households.</w:t>
            </w:r>
          </w:p>
        </w:tc>
      </w:tr>
    </w:tbl>
    <w:p w14:paraId="04585633" w14:textId="230E2AD1" w:rsidR="00B02873" w:rsidRDefault="00B02873" w:rsidP="00DF358B">
      <w:pPr>
        <w:pStyle w:val="Heading4"/>
      </w:pPr>
      <w:r>
        <w:t xml:space="preserve">Indicator: Relative share of Victorian energy sourced from renewables </w:t>
      </w:r>
    </w:p>
    <w:p w14:paraId="718D4C0B" w14:textId="3135506B" w:rsidR="00DF358B" w:rsidRPr="00DF358B" w:rsidRDefault="008D67CE" w:rsidP="00DF358B">
      <w:pPr>
        <w:rPr>
          <w:lang w:val="en-GB"/>
        </w:rPr>
      </w:pPr>
      <w:r>
        <w:rPr>
          <w:noProof/>
          <w:lang w:val="en-GB"/>
        </w:rPr>
        <w:drawing>
          <wp:inline distT="0" distB="0" distL="0" distR="0" wp14:anchorId="655AD6C3" wp14:editId="5E754C04">
            <wp:extent cx="3026670" cy="2706630"/>
            <wp:effectExtent l="0" t="0" r="2540" b="0"/>
            <wp:docPr id="55" name="Picture 55" descr="Graph showing an increasing relative share of Victorian energy sourced from renewables from 2017-18 to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 showing an increasing relative share of Victorian energy sourced from renewables from 2017-18 to 2021-22."/>
                    <pic:cNvPicPr/>
                  </pic:nvPicPr>
                  <pic:blipFill>
                    <a:blip r:embed="rId23"/>
                    <a:stretch>
                      <a:fillRect/>
                    </a:stretch>
                  </pic:blipFill>
                  <pic:spPr>
                    <a:xfrm>
                      <a:off x="0" y="0"/>
                      <a:ext cx="3026670" cy="2706630"/>
                    </a:xfrm>
                    <a:prstGeom prst="rect">
                      <a:avLst/>
                    </a:prstGeom>
                  </pic:spPr>
                </pic:pic>
              </a:graphicData>
            </a:graphic>
          </wp:inline>
        </w:drawing>
      </w:r>
    </w:p>
    <w:p w14:paraId="4BEFA01E" w14:textId="77777777" w:rsidR="00B02873" w:rsidRDefault="00B02873" w:rsidP="00FE198A">
      <w:r>
        <w:t>In 2021-22, the share of renewable energy in Victoria’s electricity generation reached 34 per cent, up from 29 per cent in 2020-21. This increase in share is reflective of increased output from new wind and solar projects, continued growth in rooftop solar PV, and reduced coal output.</w:t>
      </w:r>
    </w:p>
    <w:p w14:paraId="42DE8494" w14:textId="44A46347" w:rsidR="00B02873" w:rsidRDefault="00B02873" w:rsidP="00DF358B">
      <w:pPr>
        <w:pStyle w:val="Heading4"/>
      </w:pPr>
      <w:r>
        <w:lastRenderedPageBreak/>
        <w:t>Indicator: Electricity generating capacity installed under the Solar Homes program</w:t>
      </w:r>
      <w:r w:rsidR="00012C04">
        <w:t xml:space="preserve"> </w:t>
      </w:r>
    </w:p>
    <w:p w14:paraId="7181718F" w14:textId="5B92EA31" w:rsidR="00DF358B" w:rsidRPr="00DF358B" w:rsidRDefault="008D67CE" w:rsidP="00DF358B">
      <w:pPr>
        <w:rPr>
          <w:lang w:val="en-GB"/>
        </w:rPr>
      </w:pPr>
      <w:r>
        <w:rPr>
          <w:noProof/>
          <w:lang w:val="en-GB"/>
        </w:rPr>
        <w:drawing>
          <wp:inline distT="0" distB="0" distL="0" distR="0" wp14:anchorId="2E2F4E51" wp14:editId="1AD1E861">
            <wp:extent cx="2999238" cy="2682245"/>
            <wp:effectExtent l="0" t="0" r="0" b="3810"/>
            <wp:docPr id="56" name="Picture 56" descr="Graph showing the cumulative electricity generating capacity installed under the Solar Homes program. In 2021-22, the cumulative total of electricity generating capacity installed was 1246.4 MW, an increase of 306.2MW since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aph showing the cumulative electricity generating capacity installed under the Solar Homes program. In 2021-22, the cumulative total of electricity generating capacity installed was 1246.4 MW, an increase of 306.2MW since 2020-21."/>
                    <pic:cNvPicPr/>
                  </pic:nvPicPr>
                  <pic:blipFill>
                    <a:blip r:embed="rId24"/>
                    <a:stretch>
                      <a:fillRect/>
                    </a:stretch>
                  </pic:blipFill>
                  <pic:spPr>
                    <a:xfrm>
                      <a:off x="0" y="0"/>
                      <a:ext cx="2999238" cy="2682245"/>
                    </a:xfrm>
                    <a:prstGeom prst="rect">
                      <a:avLst/>
                    </a:prstGeom>
                  </pic:spPr>
                </pic:pic>
              </a:graphicData>
            </a:graphic>
          </wp:inline>
        </w:drawing>
      </w:r>
    </w:p>
    <w:p w14:paraId="6D90E7E5" w14:textId="77777777" w:rsidR="00B02873" w:rsidRPr="005D106C" w:rsidRDefault="00B02873" w:rsidP="004A26FD">
      <w:pPr>
        <w:pStyle w:val="SourceNote"/>
      </w:pPr>
      <w:r w:rsidRPr="005D106C">
        <w:rPr>
          <w:rStyle w:val="LightItalic"/>
          <w:rFonts w:asciiTheme="minorHAnsi" w:hAnsiTheme="minorHAnsi" w:cstheme="minorHAnsi"/>
        </w:rPr>
        <w:t>*Data has been adjusted to account for a change in the unit of measure from MWh to MW. The revised unit of measure is consistent with standard conventions for measuring generation capacity</w:t>
      </w:r>
      <w:r w:rsidRPr="005D106C">
        <w:t xml:space="preserve">. </w:t>
      </w:r>
    </w:p>
    <w:p w14:paraId="6B1D3CFE" w14:textId="77777777" w:rsidR="00B02873" w:rsidRDefault="00B02873" w:rsidP="00FE198A">
      <w:r>
        <w:t>The total cumulative electricity generating capacity installed under the Solar Homes program as at 30 June 2022 was 1,246.4 MW, with the annual result for 2021-22 totalling 306.2 MW. This output represents the generating capacity from all solar PV systems installed under the Solar PV rebates for owner occupier households and rental properties program.</w:t>
      </w:r>
    </w:p>
    <w:p w14:paraId="5BB9BF67" w14:textId="77777777" w:rsidR="00B02873" w:rsidRDefault="00B02873" w:rsidP="00FE198A">
      <w:r>
        <w:t>The lower increase rate in electricity generating capacity between 2020-21 to 2021-22 reflects lower than anticipated uptake of the solar PV rebate. This was due to a number of factors such as the ongoing impact of the COVID-19 pandemic on economic security and consumer demand, as well as labour shutdowns and shortages, supply chain limitations and increasing technology prices, coupled with a slightly lower solar PV rebate in 2021-22.</w:t>
      </w:r>
    </w:p>
    <w:p w14:paraId="7FF0B83E" w14:textId="757479A7" w:rsidR="00B02873" w:rsidRDefault="00B02873" w:rsidP="004A26FD">
      <w:pPr>
        <w:pStyle w:val="Heading4"/>
      </w:pPr>
      <w:r>
        <w:t>Indicator: Solar systems installed under the Solar Homes program</w:t>
      </w:r>
    </w:p>
    <w:p w14:paraId="106C010B" w14:textId="72EC7C6B" w:rsidR="004A26FD" w:rsidRDefault="004A26FD" w:rsidP="004A26FD">
      <w:r>
        <w:rPr>
          <w:noProof/>
        </w:rPr>
        <w:drawing>
          <wp:inline distT="0" distB="0" distL="0" distR="0" wp14:anchorId="756DFCF2" wp14:editId="1D291C5F">
            <wp:extent cx="3023622" cy="2682245"/>
            <wp:effectExtent l="0" t="0" r="5715" b="3810"/>
            <wp:docPr id="3" name="Picture 3" descr="Graph showing the cumulative number of solar systems installed under the Solar Homes program. In 2021-22, the total number of solar systems installed was 200,607 systems, with the annual result for 2021-22 totalling 49,518 solar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 showing the cumulative number of solar systems installed under the Solar Homes program. In 2021-22, the total number of solar systems installed was 200,607 systems, with the annual result for 2021-22 totalling 49,518 solar systems."/>
                    <pic:cNvPicPr/>
                  </pic:nvPicPr>
                  <pic:blipFill>
                    <a:blip r:embed="rId25"/>
                    <a:stretch>
                      <a:fillRect/>
                    </a:stretch>
                  </pic:blipFill>
                  <pic:spPr>
                    <a:xfrm>
                      <a:off x="0" y="0"/>
                      <a:ext cx="3023622" cy="2682245"/>
                    </a:xfrm>
                    <a:prstGeom prst="rect">
                      <a:avLst/>
                    </a:prstGeom>
                  </pic:spPr>
                </pic:pic>
              </a:graphicData>
            </a:graphic>
          </wp:inline>
        </w:drawing>
      </w:r>
    </w:p>
    <w:p w14:paraId="50D91CF5" w14:textId="77777777" w:rsidR="00B02873" w:rsidRPr="004A26FD" w:rsidRDefault="00B02873" w:rsidP="004A26FD">
      <w:pPr>
        <w:pStyle w:val="SourceNote"/>
      </w:pPr>
      <w:r w:rsidRPr="004A26FD">
        <w:rPr>
          <w:rStyle w:val="LightItalic"/>
          <w:rFonts w:asciiTheme="minorHAnsi" w:hAnsiTheme="minorHAnsi" w:cstheme="minorHAnsi"/>
          <w:spacing w:val="-1"/>
        </w:rPr>
        <w:t>Note: this is a new indicator for 2021-22</w:t>
      </w:r>
      <w:r w:rsidRPr="004A26FD">
        <w:t xml:space="preserve"> </w:t>
      </w:r>
    </w:p>
    <w:p w14:paraId="3438B55A" w14:textId="77777777" w:rsidR="00B02873" w:rsidRDefault="00B02873" w:rsidP="00FE198A">
      <w:r>
        <w:t>This new objective indicator reports on the cumulative number of solar systems installed under the Solar Homes Program. It reflects progress towards providing 778 500 rebates for either solar panel energy systems, solar hot water systems, or battery storage for homes over 10 years.</w:t>
      </w:r>
    </w:p>
    <w:p w14:paraId="7E920912" w14:textId="77777777" w:rsidR="00B02873" w:rsidRDefault="00B02873" w:rsidP="00FE198A">
      <w:r>
        <w:lastRenderedPageBreak/>
        <w:t>The cumulative total number of installed solar systems under the Solar Homes program as at 30 June 2022 was 200,607, with the annual result for 2021-22 totalling 49,518 solar systems. The decrease in solar systems installations between 2020-21 and 2021-22 was due to a number of factors including the ongoing impact of the COVID-19 pandemic on consumer demand, as well as labour shutdowns and shortages, supply chain limitations and increasing technology prices, coupled with a slightly lower solar PV and battery rebate in 2021-22.</w:t>
      </w:r>
    </w:p>
    <w:p w14:paraId="4372ED67" w14:textId="1B7AB2F6" w:rsidR="00B02873" w:rsidRDefault="00B02873" w:rsidP="004A26FD">
      <w:pPr>
        <w:pStyle w:val="Heading4"/>
      </w:pPr>
      <w:r>
        <w:t>Indicator: Percentage of surveyed users of the Victorian Energy Compare website who report that they plan to switch offers after using the website</w:t>
      </w:r>
      <w:r w:rsidR="00012C04">
        <w:t xml:space="preserve"> </w:t>
      </w:r>
    </w:p>
    <w:p w14:paraId="4D304E40" w14:textId="3C895A26" w:rsidR="004A26FD" w:rsidRPr="004A26FD" w:rsidRDefault="004A26FD" w:rsidP="004A26FD">
      <w:pPr>
        <w:rPr>
          <w:lang w:val="en-GB"/>
        </w:rPr>
      </w:pPr>
      <w:r>
        <w:rPr>
          <w:noProof/>
          <w:lang w:val="en-GB"/>
        </w:rPr>
        <w:drawing>
          <wp:inline distT="0" distB="0" distL="0" distR="0" wp14:anchorId="7C544655" wp14:editId="19232229">
            <wp:extent cx="3014478" cy="2694437"/>
            <wp:effectExtent l="0" t="0" r="0" b="0"/>
            <wp:docPr id="4" name="Picture 4" descr="Graph showing the percentage of surveyed users of the Victorian Energy Compare website who report that they plan to switch offers after using the website over time. The percentage of surveyed users of the Victorian Energy Compare website who report that they plan to switch offers after using the website remained steady from 2017-18 to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 showing the percentage of surveyed users of the Victorian Energy Compare website who report that they plan to switch offers after using the website over time. The percentage of surveyed users of the Victorian Energy Compare website who report that they plan to switch offers after using the website remained steady from 2017-18 to 2021-22."/>
                    <pic:cNvPicPr/>
                  </pic:nvPicPr>
                  <pic:blipFill>
                    <a:blip r:embed="rId26"/>
                    <a:stretch>
                      <a:fillRect/>
                    </a:stretch>
                  </pic:blipFill>
                  <pic:spPr>
                    <a:xfrm>
                      <a:off x="0" y="0"/>
                      <a:ext cx="3014478" cy="2694437"/>
                    </a:xfrm>
                    <a:prstGeom prst="rect">
                      <a:avLst/>
                    </a:prstGeom>
                  </pic:spPr>
                </pic:pic>
              </a:graphicData>
            </a:graphic>
          </wp:inline>
        </w:drawing>
      </w:r>
    </w:p>
    <w:p w14:paraId="2B0A579E" w14:textId="74B3244F" w:rsidR="00B02873" w:rsidRDefault="00B02873" w:rsidP="00FE198A">
      <w:r>
        <w:t>Of the 15,585 Victorian Energy Compare users who completed the online survey during 2021-22, 52 per cent reported they plan to change offers based on the information provided. This result is a reflection of volatile energy prices in the retail market, resulting in a reduction in the percentage of surveyed users who plan to switch after visiting the Victorian Energy Compare website. Overall, more than 78 per cent reported they had a positive experience and 59 per cent reported they understand usage and energy costs better.</w:t>
      </w:r>
    </w:p>
    <w:p w14:paraId="39B5B038" w14:textId="77777777" w:rsidR="00B02873" w:rsidRDefault="00B02873" w:rsidP="004A26FD">
      <w:pPr>
        <w:pStyle w:val="Heading3"/>
      </w:pPr>
      <w:r>
        <w:t>Output performance measures</w:t>
      </w:r>
    </w:p>
    <w:p w14:paraId="0A363A1A" w14:textId="77777777" w:rsidR="00B02873" w:rsidRDefault="00B02873" w:rsidP="004A26FD">
      <w:pPr>
        <w:pStyle w:val="Heading4"/>
      </w:pPr>
      <w:r>
        <w:t>Energy</w:t>
      </w:r>
    </w:p>
    <w:p w14:paraId="5D5F9E2F" w14:textId="77777777" w:rsidR="00B02873" w:rsidRDefault="00B02873" w:rsidP="00FE198A">
      <w:r>
        <w:t>This output advocates for the provision of reliable, sustainable and affordable energy services through state-based energy programs, including renewable energy development, energy efficiency and affordability improvements, and facilitation of new investment.</w:t>
      </w:r>
    </w:p>
    <w:p w14:paraId="38444764" w14:textId="1CAA41ED" w:rsidR="00B02873" w:rsidRDefault="00B02873" w:rsidP="00FE198A">
      <w:r>
        <w:t>The performance measures below compare targets and expected or actual results from the delivery of programs and services as part of this output:</w:t>
      </w:r>
    </w:p>
    <w:tbl>
      <w:tblPr>
        <w:tblStyle w:val="TableGrid"/>
        <w:tblW w:w="9776" w:type="dxa"/>
        <w:tblLayout w:type="fixed"/>
        <w:tblLook w:val="0020" w:firstRow="1" w:lastRow="0" w:firstColumn="0" w:lastColumn="0" w:noHBand="0" w:noVBand="0"/>
      </w:tblPr>
      <w:tblGrid>
        <w:gridCol w:w="3256"/>
        <w:gridCol w:w="1275"/>
        <w:gridCol w:w="993"/>
        <w:gridCol w:w="1134"/>
        <w:gridCol w:w="1559"/>
        <w:gridCol w:w="1559"/>
      </w:tblGrid>
      <w:tr w:rsidR="00B02873" w:rsidRPr="00B02873" w14:paraId="31C7C937" w14:textId="77777777" w:rsidTr="007F5FB5">
        <w:trPr>
          <w:cnfStyle w:val="100000000000" w:firstRow="1" w:lastRow="0" w:firstColumn="0" w:lastColumn="0" w:oddVBand="0" w:evenVBand="0" w:oddHBand="0" w:evenHBand="0" w:firstRowFirstColumn="0" w:firstRowLastColumn="0" w:lastRowFirstColumn="0" w:lastRowLastColumn="0"/>
          <w:tblHeader/>
        </w:trPr>
        <w:tc>
          <w:tcPr>
            <w:tcW w:w="3256" w:type="dxa"/>
          </w:tcPr>
          <w:p w14:paraId="2E73AAC2" w14:textId="77777777" w:rsidR="00B02873" w:rsidRDefault="00B02873" w:rsidP="004A26FD">
            <w:pPr>
              <w:pStyle w:val="TableheadingleftTables"/>
            </w:pPr>
            <w:r>
              <w:t>Output performance measures</w:t>
            </w:r>
          </w:p>
        </w:tc>
        <w:tc>
          <w:tcPr>
            <w:tcW w:w="1275" w:type="dxa"/>
          </w:tcPr>
          <w:p w14:paraId="266AAFBE" w14:textId="77777777" w:rsidR="00B02873" w:rsidRDefault="00B02873" w:rsidP="004A26FD">
            <w:pPr>
              <w:pStyle w:val="TableheadingleftTables"/>
            </w:pPr>
            <w:r>
              <w:t>Unit of measure</w:t>
            </w:r>
          </w:p>
        </w:tc>
        <w:tc>
          <w:tcPr>
            <w:tcW w:w="993" w:type="dxa"/>
          </w:tcPr>
          <w:p w14:paraId="65E4C8A3" w14:textId="77777777" w:rsidR="00B02873" w:rsidRDefault="00B02873" w:rsidP="00A56FB4">
            <w:pPr>
              <w:pStyle w:val="TableheadingleftTables"/>
              <w:jc w:val="right"/>
            </w:pPr>
            <w:r>
              <w:t>2021-22 actual</w:t>
            </w:r>
          </w:p>
        </w:tc>
        <w:tc>
          <w:tcPr>
            <w:tcW w:w="1134" w:type="dxa"/>
          </w:tcPr>
          <w:p w14:paraId="14F21366" w14:textId="77777777" w:rsidR="00B02873" w:rsidRDefault="00B02873" w:rsidP="00A56FB4">
            <w:pPr>
              <w:pStyle w:val="TableheadingleftTables"/>
              <w:jc w:val="right"/>
            </w:pPr>
            <w:r>
              <w:t>2021-22 target</w:t>
            </w:r>
          </w:p>
        </w:tc>
        <w:tc>
          <w:tcPr>
            <w:tcW w:w="1559" w:type="dxa"/>
          </w:tcPr>
          <w:p w14:paraId="25DEDF09" w14:textId="77777777" w:rsidR="00B02873" w:rsidRDefault="00B02873" w:rsidP="00A56FB4">
            <w:pPr>
              <w:pStyle w:val="TableheadingleftTables"/>
              <w:jc w:val="right"/>
            </w:pPr>
            <w:r>
              <w:rPr>
                <w:spacing w:val="-3"/>
              </w:rPr>
              <w:t>Performance variation (%)</w:t>
            </w:r>
          </w:p>
        </w:tc>
        <w:tc>
          <w:tcPr>
            <w:tcW w:w="1559" w:type="dxa"/>
          </w:tcPr>
          <w:p w14:paraId="721F31D6" w14:textId="77777777" w:rsidR="00B02873" w:rsidRDefault="00B02873" w:rsidP="004A26FD">
            <w:pPr>
              <w:pStyle w:val="TableheadingleftTables"/>
            </w:pPr>
            <w:r>
              <w:t>Result</w:t>
            </w:r>
          </w:p>
        </w:tc>
      </w:tr>
      <w:tr w:rsidR="00B02873" w:rsidRPr="00B02873" w14:paraId="4B7501B6" w14:textId="77777777" w:rsidTr="007F5FB5">
        <w:tc>
          <w:tcPr>
            <w:tcW w:w="3256" w:type="dxa"/>
          </w:tcPr>
          <w:p w14:paraId="587F212A" w14:textId="77777777" w:rsidR="00B02873" w:rsidRDefault="00B02873" w:rsidP="00B415A9">
            <w:pPr>
              <w:pStyle w:val="TableheadingleftTables"/>
            </w:pPr>
            <w:r>
              <w:t>Quantity</w:t>
            </w:r>
          </w:p>
        </w:tc>
        <w:tc>
          <w:tcPr>
            <w:tcW w:w="1275" w:type="dxa"/>
          </w:tcPr>
          <w:p w14:paraId="20282E76" w14:textId="77777777" w:rsidR="00B02873" w:rsidRPr="00B02873" w:rsidRDefault="00B02873" w:rsidP="00B415A9">
            <w:pPr>
              <w:pStyle w:val="NoParagraphStyle"/>
              <w:spacing w:line="240" w:lineRule="auto"/>
              <w:textAlignment w:val="auto"/>
              <w:rPr>
                <w:rFonts w:ascii="Apple Symbols Regular" w:hAnsi="Apple Symbols Regular" w:cs="Times New Roman"/>
                <w:color w:val="auto"/>
                <w:lang w:val="en-AU"/>
              </w:rPr>
            </w:pPr>
          </w:p>
        </w:tc>
        <w:tc>
          <w:tcPr>
            <w:tcW w:w="993" w:type="dxa"/>
          </w:tcPr>
          <w:p w14:paraId="408B356A" w14:textId="77777777" w:rsidR="00B02873" w:rsidRPr="00B02873" w:rsidRDefault="00B02873" w:rsidP="00A56FB4">
            <w:pPr>
              <w:pStyle w:val="NoParagraphStyle"/>
              <w:spacing w:line="240" w:lineRule="auto"/>
              <w:jc w:val="right"/>
              <w:textAlignment w:val="auto"/>
              <w:rPr>
                <w:rFonts w:ascii="Apple Symbols Regular" w:hAnsi="Apple Symbols Regular" w:cs="Times New Roman"/>
                <w:color w:val="auto"/>
                <w:lang w:val="en-AU"/>
              </w:rPr>
            </w:pPr>
          </w:p>
        </w:tc>
        <w:tc>
          <w:tcPr>
            <w:tcW w:w="1134" w:type="dxa"/>
          </w:tcPr>
          <w:p w14:paraId="378D0777" w14:textId="77777777" w:rsidR="00B02873" w:rsidRPr="00B02873" w:rsidRDefault="00B02873" w:rsidP="00A56FB4">
            <w:pPr>
              <w:pStyle w:val="NoParagraphStyle"/>
              <w:spacing w:line="240" w:lineRule="auto"/>
              <w:jc w:val="right"/>
              <w:textAlignment w:val="auto"/>
              <w:rPr>
                <w:rFonts w:ascii="Apple Symbols Regular" w:hAnsi="Apple Symbols Regular" w:cs="Times New Roman"/>
                <w:color w:val="auto"/>
                <w:lang w:val="en-AU"/>
              </w:rPr>
            </w:pPr>
          </w:p>
        </w:tc>
        <w:tc>
          <w:tcPr>
            <w:tcW w:w="1559" w:type="dxa"/>
          </w:tcPr>
          <w:p w14:paraId="38641F8C" w14:textId="77777777" w:rsidR="00B02873" w:rsidRPr="00B02873" w:rsidRDefault="00B02873" w:rsidP="00A56FB4">
            <w:pPr>
              <w:pStyle w:val="NoParagraphStyle"/>
              <w:spacing w:line="240" w:lineRule="auto"/>
              <w:jc w:val="right"/>
              <w:textAlignment w:val="auto"/>
              <w:rPr>
                <w:rFonts w:ascii="Apple Symbols Regular" w:hAnsi="Apple Symbols Regular" w:cs="Times New Roman"/>
                <w:color w:val="auto"/>
                <w:lang w:val="en-AU"/>
              </w:rPr>
            </w:pPr>
          </w:p>
        </w:tc>
        <w:tc>
          <w:tcPr>
            <w:tcW w:w="1559" w:type="dxa"/>
          </w:tcPr>
          <w:p w14:paraId="741B03FD" w14:textId="77777777" w:rsidR="00B02873" w:rsidRPr="00B02873" w:rsidRDefault="00B02873" w:rsidP="00B415A9">
            <w:pPr>
              <w:pStyle w:val="NoParagraphStyle"/>
              <w:spacing w:line="240" w:lineRule="auto"/>
              <w:textAlignment w:val="auto"/>
              <w:rPr>
                <w:rFonts w:ascii="Apple Symbols Regular" w:hAnsi="Apple Symbols Regular" w:cs="Times New Roman"/>
                <w:color w:val="auto"/>
                <w:lang w:val="en-AU"/>
              </w:rPr>
            </w:pPr>
          </w:p>
        </w:tc>
      </w:tr>
      <w:tr w:rsidR="00B02873" w:rsidRPr="00B02873" w14:paraId="2CF63F32" w14:textId="77777777" w:rsidTr="007F5FB5">
        <w:tc>
          <w:tcPr>
            <w:tcW w:w="3256" w:type="dxa"/>
          </w:tcPr>
          <w:p w14:paraId="62CF863F" w14:textId="77777777" w:rsidR="00B02873" w:rsidRDefault="00B02873" w:rsidP="00E71B3D">
            <w:pPr>
              <w:pStyle w:val="TablebodyleftTables"/>
            </w:pPr>
            <w:r>
              <w:t>Certificates surrendered to meet energy saving targets under the Victorian Energy Upgrades program</w:t>
            </w:r>
          </w:p>
        </w:tc>
        <w:tc>
          <w:tcPr>
            <w:tcW w:w="1275" w:type="dxa"/>
          </w:tcPr>
          <w:p w14:paraId="4E5E04A4" w14:textId="77777777" w:rsidR="00B02873" w:rsidRDefault="00B02873" w:rsidP="00E71B3D">
            <w:pPr>
              <w:pStyle w:val="TablebodyleftTables"/>
            </w:pPr>
            <w:r>
              <w:t>million certificates</w:t>
            </w:r>
          </w:p>
        </w:tc>
        <w:tc>
          <w:tcPr>
            <w:tcW w:w="993" w:type="dxa"/>
          </w:tcPr>
          <w:p w14:paraId="07E4D4AF" w14:textId="77777777" w:rsidR="00B02873" w:rsidRDefault="00B02873" w:rsidP="00A56FB4">
            <w:pPr>
              <w:pStyle w:val="TablebodyleftTables"/>
              <w:jc w:val="right"/>
            </w:pPr>
            <w:r>
              <w:t>0</w:t>
            </w:r>
          </w:p>
        </w:tc>
        <w:tc>
          <w:tcPr>
            <w:tcW w:w="1134" w:type="dxa"/>
          </w:tcPr>
          <w:p w14:paraId="70BFED87" w14:textId="77777777" w:rsidR="00B02873" w:rsidRDefault="00B02873" w:rsidP="00A56FB4">
            <w:pPr>
              <w:pStyle w:val="TablebodyleftTables"/>
              <w:jc w:val="right"/>
            </w:pPr>
            <w:r>
              <w:t>6.5</w:t>
            </w:r>
          </w:p>
        </w:tc>
        <w:tc>
          <w:tcPr>
            <w:tcW w:w="1559" w:type="dxa"/>
          </w:tcPr>
          <w:p w14:paraId="0E08377A" w14:textId="77777777" w:rsidR="00B02873" w:rsidRDefault="00B02873" w:rsidP="00A56FB4">
            <w:pPr>
              <w:pStyle w:val="TablebodyleftTables"/>
              <w:jc w:val="right"/>
            </w:pPr>
            <w:r>
              <w:t>(100%)</w:t>
            </w:r>
          </w:p>
        </w:tc>
        <w:tc>
          <w:tcPr>
            <w:tcW w:w="1559" w:type="dxa"/>
          </w:tcPr>
          <w:p w14:paraId="6C44F84B" w14:textId="1610E2FA" w:rsidR="00B02873" w:rsidRDefault="007F5FB5" w:rsidP="00E71B3D">
            <w:pPr>
              <w:pStyle w:val="TablebodyleftTables"/>
            </w:pPr>
            <w:r>
              <w:t>Performance target not achieved – exceeds 5 per cent variance.</w:t>
            </w:r>
          </w:p>
        </w:tc>
      </w:tr>
    </w:tbl>
    <w:p w14:paraId="2507B8B0" w14:textId="7CA50D0B" w:rsidR="00E71B3D" w:rsidRDefault="00E71B3D">
      <w:r w:rsidRPr="00E71B3D">
        <w:rPr>
          <w:i/>
        </w:rPr>
        <w:t xml:space="preserve">Performance is reported as below target as at 30 June 2022, due to COVIDSafe settings limiting installations of energy efficiency upgrades in households and businesses. This resulted in some </w:t>
      </w:r>
      <w:r w:rsidRPr="00E71B3D">
        <w:rPr>
          <w:i/>
        </w:rPr>
        <w:lastRenderedPageBreak/>
        <w:t>certificate providers not being able to meet their contracts with energy retailers. While sufficient energy efficiency certificates were created to meet the target, the liability surrender date was delayed to 31 July 2022 to allow more time for contracts to be renegotiated or retailers to source certificates from elsewhere. As at 31 July 2022, 6.6 million certificates have been submitted for surrender, which would exceed the 2021 target.</w:t>
      </w:r>
    </w:p>
    <w:tbl>
      <w:tblPr>
        <w:tblStyle w:val="TableGrid"/>
        <w:tblW w:w="9776" w:type="dxa"/>
        <w:tblLayout w:type="fixed"/>
        <w:tblLook w:val="0020" w:firstRow="1" w:lastRow="0" w:firstColumn="0" w:lastColumn="0" w:noHBand="0" w:noVBand="0"/>
      </w:tblPr>
      <w:tblGrid>
        <w:gridCol w:w="3256"/>
        <w:gridCol w:w="1275"/>
        <w:gridCol w:w="993"/>
        <w:gridCol w:w="1134"/>
        <w:gridCol w:w="1559"/>
        <w:gridCol w:w="1559"/>
      </w:tblGrid>
      <w:tr w:rsidR="007F5FB5" w:rsidRPr="00B02873" w14:paraId="525073CE" w14:textId="77777777" w:rsidTr="007F5FB5">
        <w:trPr>
          <w:cnfStyle w:val="100000000000" w:firstRow="1" w:lastRow="0" w:firstColumn="0" w:lastColumn="0" w:oddVBand="0" w:evenVBand="0" w:oddHBand="0" w:evenHBand="0" w:firstRowFirstColumn="0" w:firstRowLastColumn="0" w:lastRowFirstColumn="0" w:lastRowLastColumn="0"/>
          <w:tblHeader/>
        </w:trPr>
        <w:tc>
          <w:tcPr>
            <w:tcW w:w="3256" w:type="dxa"/>
          </w:tcPr>
          <w:p w14:paraId="5EBC7187" w14:textId="77777777" w:rsidR="007F5FB5" w:rsidRDefault="007F5FB5" w:rsidP="00F0025B">
            <w:pPr>
              <w:pStyle w:val="TableheadingleftTables"/>
            </w:pPr>
            <w:r>
              <w:t>Output performance measures</w:t>
            </w:r>
          </w:p>
        </w:tc>
        <w:tc>
          <w:tcPr>
            <w:tcW w:w="1275" w:type="dxa"/>
          </w:tcPr>
          <w:p w14:paraId="7E5C2639" w14:textId="77777777" w:rsidR="007F5FB5" w:rsidRDefault="007F5FB5" w:rsidP="00F0025B">
            <w:pPr>
              <w:pStyle w:val="TableheadingleftTables"/>
            </w:pPr>
            <w:r>
              <w:t>Unit of measure</w:t>
            </w:r>
          </w:p>
        </w:tc>
        <w:tc>
          <w:tcPr>
            <w:tcW w:w="993" w:type="dxa"/>
          </w:tcPr>
          <w:p w14:paraId="30336546" w14:textId="77777777" w:rsidR="007F5FB5" w:rsidRDefault="007F5FB5" w:rsidP="00A56FB4">
            <w:pPr>
              <w:pStyle w:val="TableheadingleftTables"/>
              <w:jc w:val="right"/>
            </w:pPr>
            <w:r>
              <w:t>2021-22 actual</w:t>
            </w:r>
          </w:p>
        </w:tc>
        <w:tc>
          <w:tcPr>
            <w:tcW w:w="1134" w:type="dxa"/>
          </w:tcPr>
          <w:p w14:paraId="3EC0FEFA" w14:textId="77777777" w:rsidR="007F5FB5" w:rsidRDefault="007F5FB5" w:rsidP="00A56FB4">
            <w:pPr>
              <w:pStyle w:val="TableheadingleftTables"/>
              <w:jc w:val="right"/>
            </w:pPr>
            <w:r>
              <w:t>2021-22 target</w:t>
            </w:r>
          </w:p>
        </w:tc>
        <w:tc>
          <w:tcPr>
            <w:tcW w:w="1559" w:type="dxa"/>
          </w:tcPr>
          <w:p w14:paraId="0D02A0C7" w14:textId="77777777" w:rsidR="007F5FB5" w:rsidRDefault="007F5FB5" w:rsidP="00A56FB4">
            <w:pPr>
              <w:pStyle w:val="TableheadingleftTables"/>
              <w:jc w:val="right"/>
            </w:pPr>
            <w:r>
              <w:rPr>
                <w:spacing w:val="-3"/>
              </w:rPr>
              <w:t>Performance variation (%)</w:t>
            </w:r>
          </w:p>
        </w:tc>
        <w:tc>
          <w:tcPr>
            <w:tcW w:w="1559" w:type="dxa"/>
          </w:tcPr>
          <w:p w14:paraId="38DEB19C" w14:textId="77777777" w:rsidR="007F5FB5" w:rsidRDefault="007F5FB5" w:rsidP="00F0025B">
            <w:pPr>
              <w:pStyle w:val="TableheadingleftTables"/>
            </w:pPr>
            <w:r>
              <w:t>Result</w:t>
            </w:r>
          </w:p>
        </w:tc>
      </w:tr>
      <w:tr w:rsidR="00B02873" w:rsidRPr="00B02873" w14:paraId="5282B8BD" w14:textId="77777777" w:rsidTr="007F5FB5">
        <w:tc>
          <w:tcPr>
            <w:tcW w:w="3256" w:type="dxa"/>
          </w:tcPr>
          <w:p w14:paraId="048B868F" w14:textId="77777777" w:rsidR="00B02873" w:rsidRDefault="00B02873" w:rsidP="00B415A9">
            <w:pPr>
              <w:pStyle w:val="TablebodyleftTables"/>
            </w:pPr>
            <w:r>
              <w:t>Solar energy purchases sufficient to meet annual Melbourne tram network demand</w:t>
            </w:r>
          </w:p>
        </w:tc>
        <w:tc>
          <w:tcPr>
            <w:tcW w:w="1275" w:type="dxa"/>
          </w:tcPr>
          <w:p w14:paraId="77B5DA23" w14:textId="77777777" w:rsidR="00B02873" w:rsidRDefault="00B02873" w:rsidP="00E71B3D">
            <w:pPr>
              <w:pStyle w:val="TablebodyleftTables"/>
            </w:pPr>
            <w:r>
              <w:t>per cent</w:t>
            </w:r>
          </w:p>
        </w:tc>
        <w:tc>
          <w:tcPr>
            <w:tcW w:w="993" w:type="dxa"/>
          </w:tcPr>
          <w:p w14:paraId="167E67C7" w14:textId="77777777" w:rsidR="00B02873" w:rsidRDefault="00B02873" w:rsidP="00A56FB4">
            <w:pPr>
              <w:pStyle w:val="TablebodyleftTables"/>
              <w:jc w:val="right"/>
            </w:pPr>
            <w:r>
              <w:t>100</w:t>
            </w:r>
          </w:p>
        </w:tc>
        <w:tc>
          <w:tcPr>
            <w:tcW w:w="1134" w:type="dxa"/>
          </w:tcPr>
          <w:p w14:paraId="0A6008E6" w14:textId="77777777" w:rsidR="00B02873" w:rsidRDefault="00B02873" w:rsidP="00A56FB4">
            <w:pPr>
              <w:pStyle w:val="TablebodyleftTables"/>
              <w:jc w:val="right"/>
            </w:pPr>
            <w:r>
              <w:t>100</w:t>
            </w:r>
          </w:p>
        </w:tc>
        <w:tc>
          <w:tcPr>
            <w:tcW w:w="1559" w:type="dxa"/>
          </w:tcPr>
          <w:p w14:paraId="21421D99" w14:textId="77777777" w:rsidR="00B02873" w:rsidRDefault="00B02873" w:rsidP="00A56FB4">
            <w:pPr>
              <w:pStyle w:val="TablebodyleftTables"/>
              <w:jc w:val="right"/>
            </w:pPr>
            <w:r>
              <w:t>0.0%</w:t>
            </w:r>
          </w:p>
        </w:tc>
        <w:tc>
          <w:tcPr>
            <w:tcW w:w="1559" w:type="dxa"/>
          </w:tcPr>
          <w:p w14:paraId="00763959" w14:textId="5533504F" w:rsidR="00B02873" w:rsidRDefault="004550A8" w:rsidP="00E71B3D">
            <w:pPr>
              <w:pStyle w:val="TablebodyleftTables"/>
            </w:pPr>
            <w:r>
              <w:t>Performance target achieved or exceeded.</w:t>
            </w:r>
          </w:p>
        </w:tc>
      </w:tr>
      <w:tr w:rsidR="00B02873" w:rsidRPr="00B02873" w14:paraId="11D4D2AD" w14:textId="77777777" w:rsidTr="007F5FB5">
        <w:tc>
          <w:tcPr>
            <w:tcW w:w="3256" w:type="dxa"/>
          </w:tcPr>
          <w:p w14:paraId="7BF60758" w14:textId="77777777" w:rsidR="00B02873" w:rsidRDefault="00B02873" w:rsidP="00B415A9">
            <w:pPr>
              <w:pStyle w:val="TablebodyleftTables"/>
            </w:pPr>
            <w:r>
              <w:t>Share of Victoria’s electricity generation from renewable sources</w:t>
            </w:r>
          </w:p>
        </w:tc>
        <w:tc>
          <w:tcPr>
            <w:tcW w:w="1275" w:type="dxa"/>
          </w:tcPr>
          <w:p w14:paraId="2884BAB9" w14:textId="77777777" w:rsidR="00B02873" w:rsidRDefault="00B02873" w:rsidP="00E71B3D">
            <w:pPr>
              <w:pStyle w:val="TablebodyleftTables"/>
            </w:pPr>
            <w:r>
              <w:t>per cent</w:t>
            </w:r>
          </w:p>
        </w:tc>
        <w:tc>
          <w:tcPr>
            <w:tcW w:w="993" w:type="dxa"/>
          </w:tcPr>
          <w:p w14:paraId="06FC1983" w14:textId="77777777" w:rsidR="00B02873" w:rsidRDefault="00B02873" w:rsidP="00A56FB4">
            <w:pPr>
              <w:pStyle w:val="TablebodyleftTables"/>
              <w:jc w:val="right"/>
            </w:pPr>
            <w:r>
              <w:t>34</w:t>
            </w:r>
          </w:p>
        </w:tc>
        <w:tc>
          <w:tcPr>
            <w:tcW w:w="1134" w:type="dxa"/>
          </w:tcPr>
          <w:p w14:paraId="106B62F3" w14:textId="77777777" w:rsidR="00B02873" w:rsidRDefault="00B02873" w:rsidP="00A56FB4">
            <w:pPr>
              <w:pStyle w:val="TablebodyleftTables"/>
              <w:jc w:val="right"/>
            </w:pPr>
            <w:r>
              <w:t>31</w:t>
            </w:r>
          </w:p>
        </w:tc>
        <w:tc>
          <w:tcPr>
            <w:tcW w:w="1559" w:type="dxa"/>
          </w:tcPr>
          <w:p w14:paraId="02BFCC23" w14:textId="77777777" w:rsidR="00B02873" w:rsidRDefault="00B02873" w:rsidP="00A56FB4">
            <w:pPr>
              <w:pStyle w:val="TablebodyleftTables"/>
              <w:jc w:val="right"/>
            </w:pPr>
            <w:r>
              <w:t>10%</w:t>
            </w:r>
          </w:p>
        </w:tc>
        <w:tc>
          <w:tcPr>
            <w:tcW w:w="1559" w:type="dxa"/>
          </w:tcPr>
          <w:p w14:paraId="1307159D" w14:textId="2C9CB992" w:rsidR="00B02873" w:rsidRDefault="004550A8" w:rsidP="00E71B3D">
            <w:pPr>
              <w:pStyle w:val="TablebodyleftTables"/>
            </w:pPr>
            <w:r>
              <w:t>Performance target achieved or exceeded.</w:t>
            </w:r>
          </w:p>
        </w:tc>
      </w:tr>
    </w:tbl>
    <w:p w14:paraId="5E9151F2" w14:textId="25BE94DB" w:rsidR="00E71B3D" w:rsidRPr="00E71B3D" w:rsidRDefault="00E71B3D">
      <w:pPr>
        <w:rPr>
          <w:i/>
          <w:iCs/>
        </w:rPr>
      </w:pPr>
      <w:r w:rsidRPr="00E71B3D">
        <w:rPr>
          <w:i/>
          <w:iCs/>
          <w:spacing w:val="-4"/>
        </w:rPr>
        <w:t>Performance is above target, reflecting increased output from new wind and solar projects and continued growth in rooftop solar PV.</w:t>
      </w:r>
    </w:p>
    <w:tbl>
      <w:tblPr>
        <w:tblStyle w:val="TableGrid"/>
        <w:tblW w:w="9776" w:type="dxa"/>
        <w:tblLayout w:type="fixed"/>
        <w:tblLook w:val="0020" w:firstRow="1" w:lastRow="0" w:firstColumn="0" w:lastColumn="0" w:noHBand="0" w:noVBand="0"/>
      </w:tblPr>
      <w:tblGrid>
        <w:gridCol w:w="3256"/>
        <w:gridCol w:w="1275"/>
        <w:gridCol w:w="993"/>
        <w:gridCol w:w="1134"/>
        <w:gridCol w:w="1559"/>
        <w:gridCol w:w="1559"/>
      </w:tblGrid>
      <w:tr w:rsidR="007F5FB5" w:rsidRPr="00B02873" w14:paraId="2103C01E" w14:textId="77777777" w:rsidTr="007F5FB5">
        <w:trPr>
          <w:cnfStyle w:val="100000000000" w:firstRow="1" w:lastRow="0" w:firstColumn="0" w:lastColumn="0" w:oddVBand="0" w:evenVBand="0" w:oddHBand="0" w:evenHBand="0" w:firstRowFirstColumn="0" w:firstRowLastColumn="0" w:lastRowFirstColumn="0" w:lastRowLastColumn="0"/>
          <w:tblHeader/>
        </w:trPr>
        <w:tc>
          <w:tcPr>
            <w:tcW w:w="3256" w:type="dxa"/>
          </w:tcPr>
          <w:p w14:paraId="73778046" w14:textId="77777777" w:rsidR="007F5FB5" w:rsidRDefault="007F5FB5" w:rsidP="00F0025B">
            <w:pPr>
              <w:pStyle w:val="TableheadingleftTables"/>
            </w:pPr>
            <w:r>
              <w:t>Output performance measures</w:t>
            </w:r>
          </w:p>
        </w:tc>
        <w:tc>
          <w:tcPr>
            <w:tcW w:w="1275" w:type="dxa"/>
          </w:tcPr>
          <w:p w14:paraId="4A80E07C" w14:textId="77777777" w:rsidR="007F5FB5" w:rsidRDefault="007F5FB5" w:rsidP="00F0025B">
            <w:pPr>
              <w:pStyle w:val="TableheadingleftTables"/>
            </w:pPr>
            <w:r>
              <w:t>Unit of measure</w:t>
            </w:r>
          </w:p>
        </w:tc>
        <w:tc>
          <w:tcPr>
            <w:tcW w:w="993" w:type="dxa"/>
          </w:tcPr>
          <w:p w14:paraId="4D30D3FB" w14:textId="77777777" w:rsidR="007F5FB5" w:rsidRDefault="007F5FB5" w:rsidP="00A56FB4">
            <w:pPr>
              <w:pStyle w:val="TableheadingleftTables"/>
              <w:jc w:val="right"/>
            </w:pPr>
            <w:r>
              <w:t>2021-22 actual</w:t>
            </w:r>
          </w:p>
        </w:tc>
        <w:tc>
          <w:tcPr>
            <w:tcW w:w="1134" w:type="dxa"/>
          </w:tcPr>
          <w:p w14:paraId="65412357" w14:textId="77777777" w:rsidR="007F5FB5" w:rsidRDefault="007F5FB5" w:rsidP="00A56FB4">
            <w:pPr>
              <w:pStyle w:val="TableheadingleftTables"/>
              <w:jc w:val="right"/>
            </w:pPr>
            <w:r>
              <w:t>2021-22 target</w:t>
            </w:r>
          </w:p>
        </w:tc>
        <w:tc>
          <w:tcPr>
            <w:tcW w:w="1559" w:type="dxa"/>
          </w:tcPr>
          <w:p w14:paraId="0EF5B4AC" w14:textId="77777777" w:rsidR="007F5FB5" w:rsidRDefault="007F5FB5" w:rsidP="00A56FB4">
            <w:pPr>
              <w:pStyle w:val="TableheadingleftTables"/>
              <w:jc w:val="right"/>
            </w:pPr>
            <w:r>
              <w:rPr>
                <w:spacing w:val="-3"/>
              </w:rPr>
              <w:t>Performance variation (%)</w:t>
            </w:r>
          </w:p>
        </w:tc>
        <w:tc>
          <w:tcPr>
            <w:tcW w:w="1559" w:type="dxa"/>
          </w:tcPr>
          <w:p w14:paraId="0320EBD3" w14:textId="77777777" w:rsidR="007F5FB5" w:rsidRDefault="007F5FB5" w:rsidP="00F0025B">
            <w:pPr>
              <w:pStyle w:val="TableheadingleftTables"/>
            </w:pPr>
            <w:r>
              <w:t>Result</w:t>
            </w:r>
          </w:p>
        </w:tc>
      </w:tr>
      <w:tr w:rsidR="00B02873" w:rsidRPr="00B02873" w14:paraId="277C56EF" w14:textId="77777777" w:rsidTr="007F5FB5">
        <w:tc>
          <w:tcPr>
            <w:tcW w:w="3256" w:type="dxa"/>
          </w:tcPr>
          <w:p w14:paraId="4510E1AA" w14:textId="77777777" w:rsidR="00B02873" w:rsidRDefault="00B02873" w:rsidP="00B415A9">
            <w:pPr>
              <w:pStyle w:val="TablebodyleftTables"/>
            </w:pPr>
            <w:r>
              <w:t>Large scale Generation Certificates procured under the Renewable Certificate Purchasing Initiative sufficient to meet annual electricity demand of participating government sites</w:t>
            </w:r>
          </w:p>
        </w:tc>
        <w:tc>
          <w:tcPr>
            <w:tcW w:w="1275" w:type="dxa"/>
          </w:tcPr>
          <w:p w14:paraId="33AE225B" w14:textId="77777777" w:rsidR="00B02873" w:rsidRDefault="00B02873" w:rsidP="00E71B3D">
            <w:pPr>
              <w:pStyle w:val="TablebodyleftTables"/>
            </w:pPr>
            <w:r>
              <w:t>per cent</w:t>
            </w:r>
          </w:p>
        </w:tc>
        <w:tc>
          <w:tcPr>
            <w:tcW w:w="993" w:type="dxa"/>
          </w:tcPr>
          <w:p w14:paraId="3A68DC11" w14:textId="77777777" w:rsidR="00B02873" w:rsidRDefault="00B02873" w:rsidP="00A56FB4">
            <w:pPr>
              <w:pStyle w:val="TablebodyleftTables"/>
              <w:jc w:val="right"/>
            </w:pPr>
            <w:r>
              <w:t>100</w:t>
            </w:r>
          </w:p>
        </w:tc>
        <w:tc>
          <w:tcPr>
            <w:tcW w:w="1134" w:type="dxa"/>
          </w:tcPr>
          <w:p w14:paraId="63CF5E4D" w14:textId="77777777" w:rsidR="00B02873" w:rsidRDefault="00B02873" w:rsidP="00A56FB4">
            <w:pPr>
              <w:pStyle w:val="TablebodyleftTables"/>
              <w:jc w:val="right"/>
            </w:pPr>
            <w:r>
              <w:t>100</w:t>
            </w:r>
          </w:p>
        </w:tc>
        <w:tc>
          <w:tcPr>
            <w:tcW w:w="1559" w:type="dxa"/>
          </w:tcPr>
          <w:p w14:paraId="25619FEB" w14:textId="77777777" w:rsidR="00B02873" w:rsidRDefault="00B02873" w:rsidP="00A56FB4">
            <w:pPr>
              <w:pStyle w:val="TablebodyleftTables"/>
              <w:jc w:val="right"/>
            </w:pPr>
            <w:r>
              <w:t>0.0%</w:t>
            </w:r>
          </w:p>
        </w:tc>
        <w:tc>
          <w:tcPr>
            <w:tcW w:w="1559" w:type="dxa"/>
          </w:tcPr>
          <w:p w14:paraId="2D40BC16" w14:textId="1387EBD6" w:rsidR="00B02873" w:rsidRDefault="004550A8" w:rsidP="00E71B3D">
            <w:pPr>
              <w:pStyle w:val="TablebodyleftTables"/>
            </w:pPr>
            <w:r>
              <w:t>Performance target achieved or exceeded.</w:t>
            </w:r>
          </w:p>
        </w:tc>
      </w:tr>
      <w:tr w:rsidR="00B02873" w:rsidRPr="00B02873" w14:paraId="463D37C8" w14:textId="77777777" w:rsidTr="007F5FB5">
        <w:tc>
          <w:tcPr>
            <w:tcW w:w="3256" w:type="dxa"/>
          </w:tcPr>
          <w:p w14:paraId="681FD87A" w14:textId="77777777" w:rsidR="00B02873" w:rsidRDefault="00B02873" w:rsidP="00B415A9">
            <w:pPr>
              <w:pStyle w:val="TablebodyleftTables"/>
            </w:pPr>
            <w:r>
              <w:t>Cumulative renewable electricity generation capacity under the Victorian Renewable Energy Target 2017 Auction</w:t>
            </w:r>
          </w:p>
        </w:tc>
        <w:tc>
          <w:tcPr>
            <w:tcW w:w="1275" w:type="dxa"/>
          </w:tcPr>
          <w:p w14:paraId="28C0AF5E" w14:textId="77777777" w:rsidR="00B02873" w:rsidRDefault="00B02873" w:rsidP="00E71B3D">
            <w:pPr>
              <w:pStyle w:val="TablebodyleftTables"/>
            </w:pPr>
            <w:r>
              <w:t>MW</w:t>
            </w:r>
          </w:p>
        </w:tc>
        <w:tc>
          <w:tcPr>
            <w:tcW w:w="993" w:type="dxa"/>
          </w:tcPr>
          <w:p w14:paraId="031463F9" w14:textId="77777777" w:rsidR="00B02873" w:rsidRDefault="00B02873" w:rsidP="00A56FB4">
            <w:pPr>
              <w:pStyle w:val="TablebodyleftTables"/>
              <w:jc w:val="right"/>
            </w:pPr>
            <w:r>
              <w:t>650</w:t>
            </w:r>
          </w:p>
        </w:tc>
        <w:tc>
          <w:tcPr>
            <w:tcW w:w="1134" w:type="dxa"/>
          </w:tcPr>
          <w:p w14:paraId="404BEB20" w14:textId="77777777" w:rsidR="00B02873" w:rsidRDefault="00B02873" w:rsidP="00A56FB4">
            <w:pPr>
              <w:pStyle w:val="TablebodyleftTables"/>
              <w:jc w:val="right"/>
            </w:pPr>
            <w:r>
              <w:t>650</w:t>
            </w:r>
          </w:p>
        </w:tc>
        <w:tc>
          <w:tcPr>
            <w:tcW w:w="1559" w:type="dxa"/>
          </w:tcPr>
          <w:p w14:paraId="3B87EFC9" w14:textId="77777777" w:rsidR="00B02873" w:rsidRDefault="00B02873" w:rsidP="00A56FB4">
            <w:pPr>
              <w:pStyle w:val="TablebodyleftTables"/>
              <w:jc w:val="right"/>
            </w:pPr>
            <w:r>
              <w:t>0.0%</w:t>
            </w:r>
          </w:p>
        </w:tc>
        <w:tc>
          <w:tcPr>
            <w:tcW w:w="1559" w:type="dxa"/>
          </w:tcPr>
          <w:p w14:paraId="6906D599" w14:textId="606F2364" w:rsidR="00B02873" w:rsidRDefault="004550A8" w:rsidP="00E71B3D">
            <w:pPr>
              <w:pStyle w:val="TablebodyleftTables"/>
            </w:pPr>
            <w:r>
              <w:t>Performance target achieved or exceeded.</w:t>
            </w:r>
          </w:p>
        </w:tc>
      </w:tr>
      <w:tr w:rsidR="00B02873" w:rsidRPr="00B02873" w14:paraId="1D6DC3CD" w14:textId="77777777" w:rsidTr="007F5FB5">
        <w:tc>
          <w:tcPr>
            <w:tcW w:w="3256" w:type="dxa"/>
          </w:tcPr>
          <w:p w14:paraId="3591CE65" w14:textId="77777777" w:rsidR="00B02873" w:rsidRDefault="00B02873" w:rsidP="00B415A9">
            <w:pPr>
              <w:pStyle w:val="TablebodyleftTables"/>
            </w:pPr>
            <w:r>
              <w:t>New Energy Jobs Fund projects completed</w:t>
            </w:r>
          </w:p>
        </w:tc>
        <w:tc>
          <w:tcPr>
            <w:tcW w:w="1275" w:type="dxa"/>
          </w:tcPr>
          <w:p w14:paraId="35A7D142" w14:textId="77777777" w:rsidR="00B02873" w:rsidRDefault="00B02873" w:rsidP="00E71B3D">
            <w:pPr>
              <w:pStyle w:val="TablebodyleftTables"/>
            </w:pPr>
            <w:r>
              <w:t>number</w:t>
            </w:r>
          </w:p>
        </w:tc>
        <w:tc>
          <w:tcPr>
            <w:tcW w:w="993" w:type="dxa"/>
          </w:tcPr>
          <w:p w14:paraId="02139F48" w14:textId="77777777" w:rsidR="00B02873" w:rsidRDefault="00B02873" w:rsidP="00A56FB4">
            <w:pPr>
              <w:pStyle w:val="TablebodyleftTables"/>
              <w:jc w:val="right"/>
            </w:pPr>
            <w:r>
              <w:t>13</w:t>
            </w:r>
          </w:p>
        </w:tc>
        <w:tc>
          <w:tcPr>
            <w:tcW w:w="1134" w:type="dxa"/>
          </w:tcPr>
          <w:p w14:paraId="45D23984" w14:textId="77777777" w:rsidR="00B02873" w:rsidRDefault="00B02873" w:rsidP="00A56FB4">
            <w:pPr>
              <w:pStyle w:val="TablebodyleftTables"/>
              <w:jc w:val="right"/>
            </w:pPr>
            <w:r>
              <w:t>15</w:t>
            </w:r>
          </w:p>
        </w:tc>
        <w:tc>
          <w:tcPr>
            <w:tcW w:w="1559" w:type="dxa"/>
          </w:tcPr>
          <w:p w14:paraId="2CF544D0" w14:textId="77777777" w:rsidR="00B02873" w:rsidRDefault="00B02873" w:rsidP="00A56FB4">
            <w:pPr>
              <w:pStyle w:val="TablebodyleftTables"/>
              <w:jc w:val="right"/>
            </w:pPr>
            <w:r>
              <w:t>(13%)</w:t>
            </w:r>
          </w:p>
        </w:tc>
        <w:tc>
          <w:tcPr>
            <w:tcW w:w="1559" w:type="dxa"/>
          </w:tcPr>
          <w:p w14:paraId="585DB175" w14:textId="066D2745" w:rsidR="00B02873" w:rsidRDefault="007F5FB5" w:rsidP="00E71B3D">
            <w:pPr>
              <w:pStyle w:val="TablebodyleftTables"/>
            </w:pPr>
            <w:r>
              <w:t>Performance target not achieved – exceeds 5 per cent variance.</w:t>
            </w:r>
          </w:p>
        </w:tc>
      </w:tr>
    </w:tbl>
    <w:p w14:paraId="22A6D205" w14:textId="1692BF52" w:rsidR="00E71B3D" w:rsidRPr="00E71B3D" w:rsidRDefault="00E71B3D">
      <w:pPr>
        <w:rPr>
          <w:i/>
          <w:iCs/>
        </w:rPr>
      </w:pPr>
      <w:r w:rsidRPr="00E71B3D">
        <w:rPr>
          <w:i/>
          <w:iCs/>
          <w:spacing w:val="-4"/>
        </w:rPr>
        <w:t>Performance is below target due to COVID-19 impacts on one project, and another project requiring additional time for its participating energy retailer to register as a residential retailer. Both projects will be completed by 30 November 2022.</w:t>
      </w:r>
    </w:p>
    <w:tbl>
      <w:tblPr>
        <w:tblStyle w:val="TableGrid"/>
        <w:tblW w:w="9776" w:type="dxa"/>
        <w:tblLayout w:type="fixed"/>
        <w:tblLook w:val="0020" w:firstRow="1" w:lastRow="0" w:firstColumn="0" w:lastColumn="0" w:noHBand="0" w:noVBand="0"/>
      </w:tblPr>
      <w:tblGrid>
        <w:gridCol w:w="3256"/>
        <w:gridCol w:w="1275"/>
        <w:gridCol w:w="993"/>
        <w:gridCol w:w="1134"/>
        <w:gridCol w:w="1559"/>
        <w:gridCol w:w="1559"/>
      </w:tblGrid>
      <w:tr w:rsidR="007F5FB5" w:rsidRPr="00B02873" w14:paraId="74DAF340" w14:textId="77777777" w:rsidTr="007F5FB5">
        <w:trPr>
          <w:cnfStyle w:val="100000000000" w:firstRow="1" w:lastRow="0" w:firstColumn="0" w:lastColumn="0" w:oddVBand="0" w:evenVBand="0" w:oddHBand="0" w:evenHBand="0" w:firstRowFirstColumn="0" w:firstRowLastColumn="0" w:lastRowFirstColumn="0" w:lastRowLastColumn="0"/>
          <w:tblHeader/>
        </w:trPr>
        <w:tc>
          <w:tcPr>
            <w:tcW w:w="3256" w:type="dxa"/>
          </w:tcPr>
          <w:p w14:paraId="27EDF6CD" w14:textId="77777777" w:rsidR="007F5FB5" w:rsidRDefault="007F5FB5" w:rsidP="00F0025B">
            <w:pPr>
              <w:pStyle w:val="TableheadingleftTables"/>
            </w:pPr>
            <w:r>
              <w:t>Output performance measures</w:t>
            </w:r>
          </w:p>
        </w:tc>
        <w:tc>
          <w:tcPr>
            <w:tcW w:w="1275" w:type="dxa"/>
          </w:tcPr>
          <w:p w14:paraId="6F21CDEB" w14:textId="77777777" w:rsidR="007F5FB5" w:rsidRDefault="007F5FB5" w:rsidP="00F0025B">
            <w:pPr>
              <w:pStyle w:val="TableheadingleftTables"/>
            </w:pPr>
            <w:r>
              <w:t>Unit of measure</w:t>
            </w:r>
          </w:p>
        </w:tc>
        <w:tc>
          <w:tcPr>
            <w:tcW w:w="993" w:type="dxa"/>
          </w:tcPr>
          <w:p w14:paraId="7EE59A17" w14:textId="77777777" w:rsidR="007F5FB5" w:rsidRDefault="007F5FB5" w:rsidP="00A56FB4">
            <w:pPr>
              <w:pStyle w:val="TableheadingleftTables"/>
              <w:jc w:val="right"/>
            </w:pPr>
            <w:r>
              <w:t>2021-22 actual</w:t>
            </w:r>
          </w:p>
        </w:tc>
        <w:tc>
          <w:tcPr>
            <w:tcW w:w="1134" w:type="dxa"/>
          </w:tcPr>
          <w:p w14:paraId="49556FF2" w14:textId="77777777" w:rsidR="007F5FB5" w:rsidRDefault="007F5FB5" w:rsidP="00A56FB4">
            <w:pPr>
              <w:pStyle w:val="TableheadingleftTables"/>
              <w:jc w:val="right"/>
            </w:pPr>
            <w:r>
              <w:t>2021-22 target</w:t>
            </w:r>
          </w:p>
        </w:tc>
        <w:tc>
          <w:tcPr>
            <w:tcW w:w="1559" w:type="dxa"/>
          </w:tcPr>
          <w:p w14:paraId="6DB48009" w14:textId="77777777" w:rsidR="007F5FB5" w:rsidRDefault="007F5FB5" w:rsidP="00A56FB4">
            <w:pPr>
              <w:pStyle w:val="TableheadingleftTables"/>
              <w:jc w:val="right"/>
            </w:pPr>
            <w:r>
              <w:rPr>
                <w:spacing w:val="-3"/>
              </w:rPr>
              <w:t>Performance variation (%)</w:t>
            </w:r>
          </w:p>
        </w:tc>
        <w:tc>
          <w:tcPr>
            <w:tcW w:w="1559" w:type="dxa"/>
          </w:tcPr>
          <w:p w14:paraId="40A0D367" w14:textId="77777777" w:rsidR="007F5FB5" w:rsidRDefault="007F5FB5" w:rsidP="00F0025B">
            <w:pPr>
              <w:pStyle w:val="TableheadingleftTables"/>
            </w:pPr>
            <w:r>
              <w:t>Result</w:t>
            </w:r>
          </w:p>
        </w:tc>
      </w:tr>
      <w:tr w:rsidR="00B02873" w:rsidRPr="00B02873" w14:paraId="0CF6406F" w14:textId="77777777" w:rsidTr="007F5FB5">
        <w:tc>
          <w:tcPr>
            <w:tcW w:w="3256" w:type="dxa"/>
          </w:tcPr>
          <w:p w14:paraId="4437EFAD" w14:textId="77777777" w:rsidR="00B02873" w:rsidRDefault="00B02873" w:rsidP="00B415A9">
            <w:pPr>
              <w:pStyle w:val="TablebodyleftTables"/>
            </w:pPr>
            <w:r>
              <w:t>Government-supported events that engage business and supply chains regarding the energy sector</w:t>
            </w:r>
          </w:p>
        </w:tc>
        <w:tc>
          <w:tcPr>
            <w:tcW w:w="1275" w:type="dxa"/>
          </w:tcPr>
          <w:p w14:paraId="30F28947" w14:textId="77777777" w:rsidR="00B02873" w:rsidRDefault="00B02873" w:rsidP="00E71B3D">
            <w:pPr>
              <w:pStyle w:val="TablebodyleftTables"/>
            </w:pPr>
            <w:r>
              <w:t>number</w:t>
            </w:r>
          </w:p>
        </w:tc>
        <w:tc>
          <w:tcPr>
            <w:tcW w:w="993" w:type="dxa"/>
          </w:tcPr>
          <w:p w14:paraId="638942EE" w14:textId="77777777" w:rsidR="00B02873" w:rsidRDefault="00B02873" w:rsidP="00A56FB4">
            <w:pPr>
              <w:pStyle w:val="TablebodyleftTables"/>
              <w:jc w:val="right"/>
            </w:pPr>
            <w:r>
              <w:t>10</w:t>
            </w:r>
          </w:p>
        </w:tc>
        <w:tc>
          <w:tcPr>
            <w:tcW w:w="1134" w:type="dxa"/>
          </w:tcPr>
          <w:p w14:paraId="23D99202" w14:textId="77777777" w:rsidR="00B02873" w:rsidRDefault="00B02873" w:rsidP="00A56FB4">
            <w:pPr>
              <w:pStyle w:val="TablebodyleftTables"/>
              <w:jc w:val="right"/>
            </w:pPr>
            <w:r>
              <w:t>10</w:t>
            </w:r>
          </w:p>
        </w:tc>
        <w:tc>
          <w:tcPr>
            <w:tcW w:w="1559" w:type="dxa"/>
          </w:tcPr>
          <w:p w14:paraId="6CC31FA1" w14:textId="77777777" w:rsidR="00B02873" w:rsidRDefault="00B02873" w:rsidP="00A56FB4">
            <w:pPr>
              <w:pStyle w:val="TablebodyleftTables"/>
              <w:jc w:val="right"/>
            </w:pPr>
            <w:r>
              <w:t>0%</w:t>
            </w:r>
          </w:p>
        </w:tc>
        <w:tc>
          <w:tcPr>
            <w:tcW w:w="1559" w:type="dxa"/>
          </w:tcPr>
          <w:p w14:paraId="14A15994" w14:textId="152C07C8" w:rsidR="00B02873" w:rsidRDefault="004550A8" w:rsidP="00E71B3D">
            <w:pPr>
              <w:pStyle w:val="TablebodyleftTables"/>
            </w:pPr>
            <w:r>
              <w:t>Performance target achieved or exceeded.</w:t>
            </w:r>
          </w:p>
        </w:tc>
      </w:tr>
      <w:tr w:rsidR="00B02873" w:rsidRPr="00B02873" w14:paraId="5233AB7F" w14:textId="77777777" w:rsidTr="007F5FB5">
        <w:tc>
          <w:tcPr>
            <w:tcW w:w="3256" w:type="dxa"/>
          </w:tcPr>
          <w:p w14:paraId="5E12A89B" w14:textId="77777777" w:rsidR="00B02873" w:rsidRDefault="00B02873" w:rsidP="00B415A9">
            <w:pPr>
              <w:pStyle w:val="TablebodyleftTables"/>
            </w:pPr>
            <w:r>
              <w:lastRenderedPageBreak/>
              <w:t>Vulnerable Victorian energy consumers reached through consumer support programs</w:t>
            </w:r>
          </w:p>
        </w:tc>
        <w:tc>
          <w:tcPr>
            <w:tcW w:w="1275" w:type="dxa"/>
          </w:tcPr>
          <w:p w14:paraId="0CDB2AB0" w14:textId="77777777" w:rsidR="00B02873" w:rsidRDefault="00B02873" w:rsidP="00E71B3D">
            <w:pPr>
              <w:pStyle w:val="TablebodyleftTables"/>
            </w:pPr>
            <w:r>
              <w:t>number</w:t>
            </w:r>
          </w:p>
        </w:tc>
        <w:tc>
          <w:tcPr>
            <w:tcW w:w="993" w:type="dxa"/>
          </w:tcPr>
          <w:p w14:paraId="4F015663" w14:textId="77777777" w:rsidR="00B02873" w:rsidRDefault="00B02873" w:rsidP="00A56FB4">
            <w:pPr>
              <w:pStyle w:val="TablebodyleftTables"/>
              <w:jc w:val="right"/>
            </w:pPr>
            <w:r>
              <w:t>25 543</w:t>
            </w:r>
          </w:p>
        </w:tc>
        <w:tc>
          <w:tcPr>
            <w:tcW w:w="1134" w:type="dxa"/>
          </w:tcPr>
          <w:p w14:paraId="015BF381" w14:textId="77777777" w:rsidR="00B02873" w:rsidRDefault="00B02873" w:rsidP="00A56FB4">
            <w:pPr>
              <w:pStyle w:val="TablebodyleftTables"/>
              <w:jc w:val="right"/>
            </w:pPr>
            <w:r>
              <w:t>10 000</w:t>
            </w:r>
          </w:p>
        </w:tc>
        <w:tc>
          <w:tcPr>
            <w:tcW w:w="1559" w:type="dxa"/>
          </w:tcPr>
          <w:p w14:paraId="3F993FAE" w14:textId="77777777" w:rsidR="00B02873" w:rsidRDefault="00B02873" w:rsidP="00A56FB4">
            <w:pPr>
              <w:pStyle w:val="TablebodyleftTables"/>
              <w:jc w:val="right"/>
            </w:pPr>
            <w:r>
              <w:t>155%</w:t>
            </w:r>
          </w:p>
        </w:tc>
        <w:tc>
          <w:tcPr>
            <w:tcW w:w="1559" w:type="dxa"/>
          </w:tcPr>
          <w:p w14:paraId="752CC94E" w14:textId="772D052A" w:rsidR="00B02873" w:rsidRDefault="004550A8" w:rsidP="00E71B3D">
            <w:pPr>
              <w:pStyle w:val="TablebodyleftTables"/>
            </w:pPr>
            <w:r>
              <w:t>Performance target achieved or exceeded.</w:t>
            </w:r>
          </w:p>
        </w:tc>
      </w:tr>
    </w:tbl>
    <w:p w14:paraId="7FE2B85C" w14:textId="147E5D66" w:rsidR="00E71B3D" w:rsidRPr="00E71B3D" w:rsidRDefault="00E71B3D">
      <w:pPr>
        <w:rPr>
          <w:i/>
          <w:iCs/>
        </w:rPr>
      </w:pPr>
      <w:r w:rsidRPr="00E71B3D">
        <w:rPr>
          <w:i/>
          <w:iCs/>
          <w:spacing w:val="-3"/>
        </w:rPr>
        <w:t>Performance is above target reflecting the significant reach of the Victorian Government’s $250 Power Saving Bonus program.</w:t>
      </w:r>
    </w:p>
    <w:tbl>
      <w:tblPr>
        <w:tblStyle w:val="TableGrid"/>
        <w:tblW w:w="9776" w:type="dxa"/>
        <w:tblLayout w:type="fixed"/>
        <w:tblLook w:val="0020" w:firstRow="1" w:lastRow="0" w:firstColumn="0" w:lastColumn="0" w:noHBand="0" w:noVBand="0"/>
      </w:tblPr>
      <w:tblGrid>
        <w:gridCol w:w="3256"/>
        <w:gridCol w:w="1275"/>
        <w:gridCol w:w="993"/>
        <w:gridCol w:w="1134"/>
        <w:gridCol w:w="1559"/>
        <w:gridCol w:w="1559"/>
      </w:tblGrid>
      <w:tr w:rsidR="007F5FB5" w:rsidRPr="00B02873" w14:paraId="04E26BF7" w14:textId="77777777" w:rsidTr="007F5FB5">
        <w:trPr>
          <w:cnfStyle w:val="100000000000" w:firstRow="1" w:lastRow="0" w:firstColumn="0" w:lastColumn="0" w:oddVBand="0" w:evenVBand="0" w:oddHBand="0" w:evenHBand="0" w:firstRowFirstColumn="0" w:firstRowLastColumn="0" w:lastRowFirstColumn="0" w:lastRowLastColumn="0"/>
          <w:tblHeader/>
        </w:trPr>
        <w:tc>
          <w:tcPr>
            <w:tcW w:w="3256" w:type="dxa"/>
          </w:tcPr>
          <w:p w14:paraId="0EB2E07B" w14:textId="77777777" w:rsidR="007F5FB5" w:rsidRDefault="007F5FB5" w:rsidP="00F0025B">
            <w:pPr>
              <w:pStyle w:val="TableheadingleftTables"/>
            </w:pPr>
            <w:r>
              <w:t>Output performance measures</w:t>
            </w:r>
          </w:p>
        </w:tc>
        <w:tc>
          <w:tcPr>
            <w:tcW w:w="1275" w:type="dxa"/>
          </w:tcPr>
          <w:p w14:paraId="7F5A7678" w14:textId="77777777" w:rsidR="007F5FB5" w:rsidRDefault="007F5FB5" w:rsidP="00F0025B">
            <w:pPr>
              <w:pStyle w:val="TableheadingleftTables"/>
            </w:pPr>
            <w:r>
              <w:t>Unit of measure</w:t>
            </w:r>
          </w:p>
        </w:tc>
        <w:tc>
          <w:tcPr>
            <w:tcW w:w="993" w:type="dxa"/>
          </w:tcPr>
          <w:p w14:paraId="4C7FC4BE" w14:textId="77777777" w:rsidR="007F5FB5" w:rsidRDefault="007F5FB5" w:rsidP="00A56FB4">
            <w:pPr>
              <w:pStyle w:val="TableheadingleftTables"/>
              <w:jc w:val="right"/>
            </w:pPr>
            <w:r>
              <w:t>2021-22 actual</w:t>
            </w:r>
          </w:p>
        </w:tc>
        <w:tc>
          <w:tcPr>
            <w:tcW w:w="1134" w:type="dxa"/>
          </w:tcPr>
          <w:p w14:paraId="5CAB7D45" w14:textId="77777777" w:rsidR="007F5FB5" w:rsidRDefault="007F5FB5" w:rsidP="00A56FB4">
            <w:pPr>
              <w:pStyle w:val="TableheadingleftTables"/>
              <w:jc w:val="right"/>
            </w:pPr>
            <w:r>
              <w:t>2021-22 target</w:t>
            </w:r>
          </w:p>
        </w:tc>
        <w:tc>
          <w:tcPr>
            <w:tcW w:w="1559" w:type="dxa"/>
          </w:tcPr>
          <w:p w14:paraId="39F1AE83" w14:textId="77777777" w:rsidR="007F5FB5" w:rsidRDefault="007F5FB5" w:rsidP="00A56FB4">
            <w:pPr>
              <w:pStyle w:val="TableheadingleftTables"/>
              <w:jc w:val="right"/>
            </w:pPr>
            <w:r>
              <w:rPr>
                <w:spacing w:val="-3"/>
              </w:rPr>
              <w:t>Performance variation (%)</w:t>
            </w:r>
          </w:p>
        </w:tc>
        <w:tc>
          <w:tcPr>
            <w:tcW w:w="1559" w:type="dxa"/>
          </w:tcPr>
          <w:p w14:paraId="07C0A764" w14:textId="77777777" w:rsidR="007F5FB5" w:rsidRDefault="007F5FB5" w:rsidP="00F0025B">
            <w:pPr>
              <w:pStyle w:val="TableheadingleftTables"/>
            </w:pPr>
            <w:r>
              <w:t>Result</w:t>
            </w:r>
          </w:p>
        </w:tc>
      </w:tr>
      <w:tr w:rsidR="00B02873" w:rsidRPr="00B02873" w14:paraId="442B145B" w14:textId="77777777" w:rsidTr="007F5FB5">
        <w:tc>
          <w:tcPr>
            <w:tcW w:w="3256" w:type="dxa"/>
          </w:tcPr>
          <w:p w14:paraId="24160604" w14:textId="77777777" w:rsidR="00B02873" w:rsidRDefault="00B02873" w:rsidP="00B415A9">
            <w:pPr>
              <w:pStyle w:val="TableheadingleftTables"/>
            </w:pPr>
            <w:r>
              <w:t>Quality</w:t>
            </w:r>
          </w:p>
        </w:tc>
        <w:tc>
          <w:tcPr>
            <w:tcW w:w="1275" w:type="dxa"/>
          </w:tcPr>
          <w:p w14:paraId="7BF19F31" w14:textId="77777777" w:rsidR="00B02873" w:rsidRPr="00B02873" w:rsidRDefault="00B02873" w:rsidP="00B415A9">
            <w:pPr>
              <w:pStyle w:val="NoParagraphStyle"/>
              <w:spacing w:line="240" w:lineRule="auto"/>
              <w:textAlignment w:val="auto"/>
              <w:rPr>
                <w:rFonts w:ascii="Apple Symbols Regular" w:hAnsi="Apple Symbols Regular" w:cs="Times New Roman"/>
                <w:color w:val="auto"/>
                <w:lang w:val="en-AU"/>
              </w:rPr>
            </w:pPr>
          </w:p>
        </w:tc>
        <w:tc>
          <w:tcPr>
            <w:tcW w:w="993" w:type="dxa"/>
          </w:tcPr>
          <w:p w14:paraId="7F750F89" w14:textId="77777777" w:rsidR="00B02873" w:rsidRPr="00B02873" w:rsidRDefault="00B02873" w:rsidP="00A56FB4">
            <w:pPr>
              <w:pStyle w:val="NoParagraphStyle"/>
              <w:spacing w:line="240" w:lineRule="auto"/>
              <w:jc w:val="right"/>
              <w:textAlignment w:val="auto"/>
              <w:rPr>
                <w:rFonts w:ascii="Apple Symbols Regular" w:hAnsi="Apple Symbols Regular" w:cs="Times New Roman"/>
                <w:color w:val="auto"/>
                <w:lang w:val="en-AU"/>
              </w:rPr>
            </w:pPr>
          </w:p>
        </w:tc>
        <w:tc>
          <w:tcPr>
            <w:tcW w:w="1134" w:type="dxa"/>
          </w:tcPr>
          <w:p w14:paraId="48E1FAF9" w14:textId="77777777" w:rsidR="00B02873" w:rsidRPr="00B02873" w:rsidRDefault="00B02873" w:rsidP="00A56FB4">
            <w:pPr>
              <w:pStyle w:val="NoParagraphStyle"/>
              <w:spacing w:line="240" w:lineRule="auto"/>
              <w:jc w:val="right"/>
              <w:textAlignment w:val="auto"/>
              <w:rPr>
                <w:rFonts w:ascii="Apple Symbols Regular" w:hAnsi="Apple Symbols Regular" w:cs="Times New Roman"/>
                <w:color w:val="auto"/>
                <w:lang w:val="en-AU"/>
              </w:rPr>
            </w:pPr>
          </w:p>
        </w:tc>
        <w:tc>
          <w:tcPr>
            <w:tcW w:w="1559" w:type="dxa"/>
          </w:tcPr>
          <w:p w14:paraId="2065F435" w14:textId="77777777" w:rsidR="00B02873" w:rsidRPr="00B02873" w:rsidRDefault="00B02873" w:rsidP="00A56FB4">
            <w:pPr>
              <w:pStyle w:val="NoParagraphStyle"/>
              <w:spacing w:line="240" w:lineRule="auto"/>
              <w:jc w:val="right"/>
              <w:textAlignment w:val="auto"/>
              <w:rPr>
                <w:rFonts w:ascii="Apple Symbols Regular" w:hAnsi="Apple Symbols Regular" w:cs="Times New Roman"/>
                <w:color w:val="auto"/>
                <w:lang w:val="en-AU"/>
              </w:rPr>
            </w:pPr>
          </w:p>
        </w:tc>
        <w:tc>
          <w:tcPr>
            <w:tcW w:w="1559" w:type="dxa"/>
          </w:tcPr>
          <w:p w14:paraId="02564F41" w14:textId="77777777" w:rsidR="00B02873" w:rsidRPr="00B02873" w:rsidRDefault="00B02873" w:rsidP="00B415A9">
            <w:pPr>
              <w:pStyle w:val="NoParagraphStyle"/>
              <w:spacing w:line="240" w:lineRule="auto"/>
              <w:textAlignment w:val="auto"/>
              <w:rPr>
                <w:rFonts w:ascii="Apple Symbols Regular" w:hAnsi="Apple Symbols Regular" w:cs="Times New Roman"/>
                <w:color w:val="auto"/>
                <w:lang w:val="en-AU"/>
              </w:rPr>
            </w:pPr>
          </w:p>
        </w:tc>
      </w:tr>
      <w:tr w:rsidR="00B02873" w:rsidRPr="00B02873" w14:paraId="3D9CDADE" w14:textId="77777777" w:rsidTr="007F5FB5">
        <w:tc>
          <w:tcPr>
            <w:tcW w:w="3256" w:type="dxa"/>
          </w:tcPr>
          <w:p w14:paraId="43B8B330" w14:textId="77777777" w:rsidR="00B02873" w:rsidRDefault="00B02873" w:rsidP="00B415A9">
            <w:pPr>
              <w:pStyle w:val="TablebodyleftTables"/>
            </w:pPr>
            <w:r>
              <w:t>Relative reduction in statewide powerline related bushfire risk</w:t>
            </w:r>
          </w:p>
        </w:tc>
        <w:tc>
          <w:tcPr>
            <w:tcW w:w="1275" w:type="dxa"/>
          </w:tcPr>
          <w:p w14:paraId="1FBF17E6" w14:textId="77777777" w:rsidR="00B02873" w:rsidRDefault="00B02873" w:rsidP="007F5FB5">
            <w:pPr>
              <w:pStyle w:val="TablebodyleftTables"/>
            </w:pPr>
            <w:r>
              <w:t>per cent</w:t>
            </w:r>
          </w:p>
        </w:tc>
        <w:tc>
          <w:tcPr>
            <w:tcW w:w="993" w:type="dxa"/>
          </w:tcPr>
          <w:p w14:paraId="010495C5" w14:textId="77777777" w:rsidR="00B02873" w:rsidRDefault="00B02873" w:rsidP="00A56FB4">
            <w:pPr>
              <w:pStyle w:val="TablebodyleftTables"/>
              <w:jc w:val="right"/>
            </w:pPr>
            <w:r>
              <w:t>44.1</w:t>
            </w:r>
          </w:p>
        </w:tc>
        <w:tc>
          <w:tcPr>
            <w:tcW w:w="1134" w:type="dxa"/>
          </w:tcPr>
          <w:p w14:paraId="27F2576C" w14:textId="77777777" w:rsidR="00B02873" w:rsidRDefault="00B02873" w:rsidP="00A56FB4">
            <w:pPr>
              <w:pStyle w:val="TablebodyleftTables"/>
              <w:jc w:val="right"/>
            </w:pPr>
            <w:r>
              <w:t>45</w:t>
            </w:r>
          </w:p>
        </w:tc>
        <w:tc>
          <w:tcPr>
            <w:tcW w:w="1559" w:type="dxa"/>
          </w:tcPr>
          <w:p w14:paraId="17108E33" w14:textId="77777777" w:rsidR="00B02873" w:rsidRDefault="00B02873" w:rsidP="00A56FB4">
            <w:pPr>
              <w:pStyle w:val="TablebodyleftTables"/>
              <w:jc w:val="right"/>
            </w:pPr>
            <w:r>
              <w:t>(2%)</w:t>
            </w:r>
          </w:p>
        </w:tc>
        <w:tc>
          <w:tcPr>
            <w:tcW w:w="1559" w:type="dxa"/>
          </w:tcPr>
          <w:p w14:paraId="712BEFD6" w14:textId="0D0A0B96" w:rsidR="00B02873" w:rsidRDefault="007F5FB5" w:rsidP="007F5FB5">
            <w:pPr>
              <w:pStyle w:val="TablebodyleftTables"/>
            </w:pPr>
            <w:r>
              <w:t>Performance target not achieved – within 5 per cent variance.</w:t>
            </w:r>
          </w:p>
        </w:tc>
      </w:tr>
      <w:tr w:rsidR="00B02873" w:rsidRPr="00B02873" w14:paraId="16586956" w14:textId="77777777" w:rsidTr="007F5FB5">
        <w:tc>
          <w:tcPr>
            <w:tcW w:w="3256" w:type="dxa"/>
          </w:tcPr>
          <w:p w14:paraId="45854B18" w14:textId="77777777" w:rsidR="00B02873" w:rsidRDefault="00B02873" w:rsidP="00B415A9">
            <w:pPr>
              <w:pStyle w:val="TablebodyleftTables"/>
            </w:pPr>
            <w:r>
              <w:t>Users of the Victorian Energy Compare website who report a better understanding of their usage costs after using the website</w:t>
            </w:r>
          </w:p>
        </w:tc>
        <w:tc>
          <w:tcPr>
            <w:tcW w:w="1275" w:type="dxa"/>
          </w:tcPr>
          <w:p w14:paraId="259EA665" w14:textId="77777777" w:rsidR="00B02873" w:rsidRDefault="00B02873" w:rsidP="007F5FB5">
            <w:pPr>
              <w:pStyle w:val="TablebodyleftTables"/>
            </w:pPr>
            <w:r>
              <w:t>per cent</w:t>
            </w:r>
          </w:p>
        </w:tc>
        <w:tc>
          <w:tcPr>
            <w:tcW w:w="993" w:type="dxa"/>
          </w:tcPr>
          <w:p w14:paraId="52623FE4" w14:textId="77777777" w:rsidR="00B02873" w:rsidRDefault="00B02873" w:rsidP="00A56FB4">
            <w:pPr>
              <w:pStyle w:val="TablebodyleftTables"/>
              <w:jc w:val="right"/>
            </w:pPr>
            <w:r>
              <w:t>59</w:t>
            </w:r>
          </w:p>
        </w:tc>
        <w:tc>
          <w:tcPr>
            <w:tcW w:w="1134" w:type="dxa"/>
          </w:tcPr>
          <w:p w14:paraId="1E39E772" w14:textId="77777777" w:rsidR="00B02873" w:rsidRDefault="00B02873" w:rsidP="00A56FB4">
            <w:pPr>
              <w:pStyle w:val="TablebodyleftTables"/>
              <w:jc w:val="right"/>
            </w:pPr>
            <w:r>
              <w:t>65</w:t>
            </w:r>
          </w:p>
        </w:tc>
        <w:tc>
          <w:tcPr>
            <w:tcW w:w="1559" w:type="dxa"/>
          </w:tcPr>
          <w:p w14:paraId="2E70BD2F" w14:textId="77777777" w:rsidR="00B02873" w:rsidRDefault="00B02873" w:rsidP="00A56FB4">
            <w:pPr>
              <w:pStyle w:val="TablebodyleftTables"/>
              <w:jc w:val="right"/>
            </w:pPr>
            <w:r>
              <w:t>(9%)</w:t>
            </w:r>
          </w:p>
        </w:tc>
        <w:tc>
          <w:tcPr>
            <w:tcW w:w="1559" w:type="dxa"/>
          </w:tcPr>
          <w:p w14:paraId="36167377" w14:textId="5948018D" w:rsidR="00B02873" w:rsidRDefault="007F5FB5" w:rsidP="007F5FB5">
            <w:pPr>
              <w:pStyle w:val="TablebodyleftTables"/>
            </w:pPr>
            <w:r>
              <w:t>Performance target not achieved – exceeds 5 per cent variance.</w:t>
            </w:r>
          </w:p>
        </w:tc>
      </w:tr>
    </w:tbl>
    <w:p w14:paraId="5FE1D4F0" w14:textId="481038D4" w:rsidR="007F5FB5" w:rsidRPr="007F5FB5" w:rsidRDefault="007F5FB5">
      <w:pPr>
        <w:rPr>
          <w:i/>
          <w:iCs/>
        </w:rPr>
      </w:pPr>
      <w:r w:rsidRPr="007F5FB5">
        <w:rPr>
          <w:i/>
          <w:iCs/>
        </w:rPr>
        <w:t>Performance is below target due to the impact of the $250 Power Saving Bonus program, which can bring users to the Victorian Energy Compare website for a purpose other than to compare energy offers and better understand their usage and costs. The result is also influenced by external factors such as retailer offer structures and billing approaches.</w:t>
      </w:r>
    </w:p>
    <w:tbl>
      <w:tblPr>
        <w:tblStyle w:val="TableGrid"/>
        <w:tblW w:w="9776" w:type="dxa"/>
        <w:tblLayout w:type="fixed"/>
        <w:tblLook w:val="0020" w:firstRow="1" w:lastRow="0" w:firstColumn="0" w:lastColumn="0" w:noHBand="0" w:noVBand="0"/>
      </w:tblPr>
      <w:tblGrid>
        <w:gridCol w:w="3256"/>
        <w:gridCol w:w="1275"/>
        <w:gridCol w:w="993"/>
        <w:gridCol w:w="1134"/>
        <w:gridCol w:w="1559"/>
        <w:gridCol w:w="1559"/>
      </w:tblGrid>
      <w:tr w:rsidR="007F5FB5" w:rsidRPr="00B02873" w14:paraId="31CE906F" w14:textId="77777777" w:rsidTr="007F5FB5">
        <w:trPr>
          <w:cnfStyle w:val="100000000000" w:firstRow="1" w:lastRow="0" w:firstColumn="0" w:lastColumn="0" w:oddVBand="0" w:evenVBand="0" w:oddHBand="0" w:evenHBand="0" w:firstRowFirstColumn="0" w:firstRowLastColumn="0" w:lastRowFirstColumn="0" w:lastRowLastColumn="0"/>
          <w:tblHeader/>
        </w:trPr>
        <w:tc>
          <w:tcPr>
            <w:tcW w:w="3256" w:type="dxa"/>
          </w:tcPr>
          <w:p w14:paraId="7D54A4E4" w14:textId="77777777" w:rsidR="007F5FB5" w:rsidRDefault="007F5FB5" w:rsidP="00F0025B">
            <w:pPr>
              <w:pStyle w:val="TableheadingleftTables"/>
            </w:pPr>
            <w:r>
              <w:t>Output performance measures</w:t>
            </w:r>
          </w:p>
        </w:tc>
        <w:tc>
          <w:tcPr>
            <w:tcW w:w="1275" w:type="dxa"/>
          </w:tcPr>
          <w:p w14:paraId="3346A794" w14:textId="77777777" w:rsidR="007F5FB5" w:rsidRDefault="007F5FB5" w:rsidP="00F0025B">
            <w:pPr>
              <w:pStyle w:val="TableheadingleftTables"/>
            </w:pPr>
            <w:r>
              <w:t>Unit of measure</w:t>
            </w:r>
          </w:p>
        </w:tc>
        <w:tc>
          <w:tcPr>
            <w:tcW w:w="993" w:type="dxa"/>
          </w:tcPr>
          <w:p w14:paraId="3897B035" w14:textId="77777777" w:rsidR="007F5FB5" w:rsidRDefault="007F5FB5" w:rsidP="00A56FB4">
            <w:pPr>
              <w:pStyle w:val="TableheadingleftTables"/>
              <w:jc w:val="right"/>
            </w:pPr>
            <w:r>
              <w:t>2021-22 actual</w:t>
            </w:r>
          </w:p>
        </w:tc>
        <w:tc>
          <w:tcPr>
            <w:tcW w:w="1134" w:type="dxa"/>
          </w:tcPr>
          <w:p w14:paraId="2E4FBA1F" w14:textId="77777777" w:rsidR="007F5FB5" w:rsidRDefault="007F5FB5" w:rsidP="00A56FB4">
            <w:pPr>
              <w:pStyle w:val="TableheadingleftTables"/>
              <w:jc w:val="right"/>
            </w:pPr>
            <w:r>
              <w:t>2021-22 target</w:t>
            </w:r>
          </w:p>
        </w:tc>
        <w:tc>
          <w:tcPr>
            <w:tcW w:w="1559" w:type="dxa"/>
          </w:tcPr>
          <w:p w14:paraId="43A3FB12" w14:textId="77777777" w:rsidR="007F5FB5" w:rsidRDefault="007F5FB5" w:rsidP="00A56FB4">
            <w:pPr>
              <w:pStyle w:val="TableheadingleftTables"/>
              <w:jc w:val="right"/>
            </w:pPr>
            <w:r>
              <w:rPr>
                <w:spacing w:val="-3"/>
              </w:rPr>
              <w:t>Performance variation (%)</w:t>
            </w:r>
          </w:p>
        </w:tc>
        <w:tc>
          <w:tcPr>
            <w:tcW w:w="1559" w:type="dxa"/>
          </w:tcPr>
          <w:p w14:paraId="04E3CA25" w14:textId="77777777" w:rsidR="007F5FB5" w:rsidRDefault="007F5FB5" w:rsidP="00F0025B">
            <w:pPr>
              <w:pStyle w:val="TableheadingleftTables"/>
            </w:pPr>
            <w:r>
              <w:t>Result</w:t>
            </w:r>
          </w:p>
        </w:tc>
      </w:tr>
      <w:tr w:rsidR="00B02873" w:rsidRPr="00B02873" w14:paraId="6FBAE2A4" w14:textId="77777777" w:rsidTr="007F5FB5">
        <w:tc>
          <w:tcPr>
            <w:tcW w:w="3256" w:type="dxa"/>
          </w:tcPr>
          <w:p w14:paraId="5A4E577B" w14:textId="77777777" w:rsidR="00B02873" w:rsidRDefault="00B02873" w:rsidP="00B415A9">
            <w:pPr>
              <w:pStyle w:val="TablebodyleftTables"/>
            </w:pPr>
            <w:r>
              <w:t>Victoria is represented at each Energy Ministers’ meeting</w:t>
            </w:r>
          </w:p>
        </w:tc>
        <w:tc>
          <w:tcPr>
            <w:tcW w:w="1275" w:type="dxa"/>
          </w:tcPr>
          <w:p w14:paraId="0A7EECAB" w14:textId="77777777" w:rsidR="00B02873" w:rsidRDefault="00B02873" w:rsidP="007F5FB5">
            <w:pPr>
              <w:pStyle w:val="TablebodyleftTables"/>
            </w:pPr>
            <w:r>
              <w:t>per cent</w:t>
            </w:r>
          </w:p>
        </w:tc>
        <w:tc>
          <w:tcPr>
            <w:tcW w:w="993" w:type="dxa"/>
          </w:tcPr>
          <w:p w14:paraId="424A0D93" w14:textId="77777777" w:rsidR="00B02873" w:rsidRDefault="00B02873" w:rsidP="00A56FB4">
            <w:pPr>
              <w:pStyle w:val="TablebodyleftTables"/>
              <w:jc w:val="right"/>
            </w:pPr>
            <w:r>
              <w:t>100</w:t>
            </w:r>
          </w:p>
        </w:tc>
        <w:tc>
          <w:tcPr>
            <w:tcW w:w="1134" w:type="dxa"/>
          </w:tcPr>
          <w:p w14:paraId="2DF795BF" w14:textId="77777777" w:rsidR="00B02873" w:rsidRDefault="00B02873" w:rsidP="00A56FB4">
            <w:pPr>
              <w:pStyle w:val="TablebodyleftTables"/>
              <w:jc w:val="right"/>
            </w:pPr>
            <w:r>
              <w:t>100</w:t>
            </w:r>
          </w:p>
        </w:tc>
        <w:tc>
          <w:tcPr>
            <w:tcW w:w="1559" w:type="dxa"/>
          </w:tcPr>
          <w:p w14:paraId="0E3895F5" w14:textId="77777777" w:rsidR="00B02873" w:rsidRDefault="00B02873" w:rsidP="00A56FB4">
            <w:pPr>
              <w:pStyle w:val="TablebodyleftTables"/>
              <w:jc w:val="right"/>
            </w:pPr>
            <w:r>
              <w:t>0%</w:t>
            </w:r>
          </w:p>
        </w:tc>
        <w:tc>
          <w:tcPr>
            <w:tcW w:w="1559" w:type="dxa"/>
          </w:tcPr>
          <w:p w14:paraId="2BDD9C1E" w14:textId="7F5BD030" w:rsidR="00B02873" w:rsidRDefault="007F5FB5" w:rsidP="007F5FB5">
            <w:pPr>
              <w:pStyle w:val="TablebodyleftTables"/>
            </w:pPr>
            <w:r>
              <w:t>Performance target achieved or exceeded.</w:t>
            </w:r>
          </w:p>
        </w:tc>
      </w:tr>
      <w:tr w:rsidR="00B02873" w:rsidRPr="00B02873" w14:paraId="446B860B" w14:textId="77777777" w:rsidTr="007F5FB5">
        <w:tc>
          <w:tcPr>
            <w:tcW w:w="3256" w:type="dxa"/>
          </w:tcPr>
          <w:p w14:paraId="6F95B32C" w14:textId="77777777" w:rsidR="00B02873" w:rsidRDefault="00B02873" w:rsidP="00B415A9">
            <w:pPr>
              <w:pStyle w:val="TableheadingleftTables"/>
            </w:pPr>
            <w:r>
              <w:t>Timeliness</w:t>
            </w:r>
          </w:p>
        </w:tc>
        <w:tc>
          <w:tcPr>
            <w:tcW w:w="1275" w:type="dxa"/>
          </w:tcPr>
          <w:p w14:paraId="5D079A17" w14:textId="77777777" w:rsidR="00B02873" w:rsidRPr="00B02873" w:rsidRDefault="00B02873" w:rsidP="007F5FB5">
            <w:pPr>
              <w:pStyle w:val="TablebodyleftTables"/>
              <w:rPr>
                <w:rFonts w:ascii="Apple Symbols Regular" w:hAnsi="Apple Symbols Regular" w:cs="Times New Roman"/>
              </w:rPr>
            </w:pPr>
          </w:p>
        </w:tc>
        <w:tc>
          <w:tcPr>
            <w:tcW w:w="993" w:type="dxa"/>
          </w:tcPr>
          <w:p w14:paraId="07AF4EFB" w14:textId="77777777" w:rsidR="00B02873" w:rsidRPr="00B02873" w:rsidRDefault="00B02873" w:rsidP="00A56FB4">
            <w:pPr>
              <w:pStyle w:val="TablebodyleftTables"/>
              <w:jc w:val="right"/>
              <w:rPr>
                <w:rFonts w:ascii="Apple Symbols Regular" w:hAnsi="Apple Symbols Regular" w:cs="Times New Roman"/>
              </w:rPr>
            </w:pPr>
          </w:p>
        </w:tc>
        <w:tc>
          <w:tcPr>
            <w:tcW w:w="1134" w:type="dxa"/>
          </w:tcPr>
          <w:p w14:paraId="6B75B8DD" w14:textId="77777777" w:rsidR="00B02873" w:rsidRPr="00B02873" w:rsidRDefault="00B02873" w:rsidP="00A56FB4">
            <w:pPr>
              <w:pStyle w:val="TablebodyleftTables"/>
              <w:jc w:val="right"/>
              <w:rPr>
                <w:rFonts w:ascii="Apple Symbols Regular" w:hAnsi="Apple Symbols Regular" w:cs="Times New Roman"/>
              </w:rPr>
            </w:pPr>
          </w:p>
        </w:tc>
        <w:tc>
          <w:tcPr>
            <w:tcW w:w="1559" w:type="dxa"/>
          </w:tcPr>
          <w:p w14:paraId="1E41F3A4" w14:textId="77777777" w:rsidR="00B02873" w:rsidRPr="00B02873" w:rsidRDefault="00B02873" w:rsidP="00A56FB4">
            <w:pPr>
              <w:pStyle w:val="TablebodyleftTables"/>
              <w:jc w:val="right"/>
              <w:rPr>
                <w:rFonts w:ascii="Apple Symbols Regular" w:hAnsi="Apple Symbols Regular" w:cs="Times New Roman"/>
              </w:rPr>
            </w:pPr>
          </w:p>
        </w:tc>
        <w:tc>
          <w:tcPr>
            <w:tcW w:w="1559" w:type="dxa"/>
          </w:tcPr>
          <w:p w14:paraId="632CB012" w14:textId="77777777" w:rsidR="00B02873" w:rsidRPr="00B02873" w:rsidRDefault="00B02873" w:rsidP="007F5FB5">
            <w:pPr>
              <w:pStyle w:val="TablebodyleftTables"/>
              <w:rPr>
                <w:rFonts w:ascii="Apple Symbols Regular" w:hAnsi="Apple Symbols Regular" w:cs="Times New Roman"/>
              </w:rPr>
            </w:pPr>
          </w:p>
        </w:tc>
      </w:tr>
      <w:tr w:rsidR="00B02873" w:rsidRPr="00B02873" w14:paraId="3BCB222F" w14:textId="77777777" w:rsidTr="007F5FB5">
        <w:tc>
          <w:tcPr>
            <w:tcW w:w="3256" w:type="dxa"/>
          </w:tcPr>
          <w:p w14:paraId="6C02363A" w14:textId="77777777" w:rsidR="00B02873" w:rsidRDefault="00B02873" w:rsidP="00B415A9">
            <w:pPr>
              <w:pStyle w:val="TablebodyleftTables"/>
            </w:pPr>
            <w:r>
              <w:t>Delivery of key Australian Energy Market Commission funding milestones, in line with funding agreements and agreed project deliverables</w:t>
            </w:r>
          </w:p>
        </w:tc>
        <w:tc>
          <w:tcPr>
            <w:tcW w:w="1275" w:type="dxa"/>
          </w:tcPr>
          <w:p w14:paraId="2BE72DEE" w14:textId="77777777" w:rsidR="00B02873" w:rsidRDefault="00B02873" w:rsidP="007F5FB5">
            <w:pPr>
              <w:pStyle w:val="TablebodyleftTables"/>
            </w:pPr>
            <w:r>
              <w:t>per cent</w:t>
            </w:r>
          </w:p>
        </w:tc>
        <w:tc>
          <w:tcPr>
            <w:tcW w:w="993" w:type="dxa"/>
          </w:tcPr>
          <w:p w14:paraId="5ED9DBCD" w14:textId="77777777" w:rsidR="00B02873" w:rsidRDefault="00B02873" w:rsidP="00A56FB4">
            <w:pPr>
              <w:pStyle w:val="TablebodyleftTables"/>
              <w:jc w:val="right"/>
            </w:pPr>
            <w:r>
              <w:t>100</w:t>
            </w:r>
          </w:p>
        </w:tc>
        <w:tc>
          <w:tcPr>
            <w:tcW w:w="1134" w:type="dxa"/>
          </w:tcPr>
          <w:p w14:paraId="66D2273B" w14:textId="77777777" w:rsidR="00B02873" w:rsidRDefault="00B02873" w:rsidP="00A56FB4">
            <w:pPr>
              <w:pStyle w:val="TablebodyleftTables"/>
              <w:jc w:val="right"/>
            </w:pPr>
            <w:r>
              <w:t>100</w:t>
            </w:r>
          </w:p>
        </w:tc>
        <w:tc>
          <w:tcPr>
            <w:tcW w:w="1559" w:type="dxa"/>
          </w:tcPr>
          <w:p w14:paraId="2737E185" w14:textId="77777777" w:rsidR="00B02873" w:rsidRDefault="00B02873" w:rsidP="00A56FB4">
            <w:pPr>
              <w:pStyle w:val="TablebodyleftTables"/>
              <w:jc w:val="right"/>
            </w:pPr>
            <w:r>
              <w:t>0%</w:t>
            </w:r>
          </w:p>
        </w:tc>
        <w:tc>
          <w:tcPr>
            <w:tcW w:w="1559" w:type="dxa"/>
          </w:tcPr>
          <w:p w14:paraId="25D3720D" w14:textId="54EF6753" w:rsidR="00B02873" w:rsidRDefault="007F5FB5" w:rsidP="007F5FB5">
            <w:pPr>
              <w:pStyle w:val="TablebodyleftTables"/>
            </w:pPr>
            <w:r>
              <w:t>Performance target achieved or exceeded.</w:t>
            </w:r>
          </w:p>
        </w:tc>
      </w:tr>
      <w:tr w:rsidR="00B02873" w:rsidRPr="00B02873" w14:paraId="156B3382" w14:textId="77777777" w:rsidTr="007F5FB5">
        <w:tc>
          <w:tcPr>
            <w:tcW w:w="3256" w:type="dxa"/>
          </w:tcPr>
          <w:p w14:paraId="7AEB2728" w14:textId="77777777" w:rsidR="00B02873" w:rsidRDefault="00B02873" w:rsidP="00B415A9">
            <w:pPr>
              <w:pStyle w:val="TableheadingleftTables"/>
            </w:pPr>
            <w:r>
              <w:t>Cost</w:t>
            </w:r>
          </w:p>
        </w:tc>
        <w:tc>
          <w:tcPr>
            <w:tcW w:w="1275" w:type="dxa"/>
          </w:tcPr>
          <w:p w14:paraId="2A4A31AD" w14:textId="77777777" w:rsidR="00B02873" w:rsidRPr="00B02873" w:rsidRDefault="00B02873" w:rsidP="007F5FB5">
            <w:pPr>
              <w:pStyle w:val="TablebodyleftTables"/>
              <w:rPr>
                <w:rFonts w:ascii="Apple Symbols Regular" w:hAnsi="Apple Symbols Regular" w:cs="Times New Roman"/>
              </w:rPr>
            </w:pPr>
          </w:p>
        </w:tc>
        <w:tc>
          <w:tcPr>
            <w:tcW w:w="993" w:type="dxa"/>
          </w:tcPr>
          <w:p w14:paraId="7B609555" w14:textId="77777777" w:rsidR="00B02873" w:rsidRPr="00B02873" w:rsidRDefault="00B02873" w:rsidP="00A56FB4">
            <w:pPr>
              <w:pStyle w:val="TablebodyleftTables"/>
              <w:jc w:val="right"/>
              <w:rPr>
                <w:rFonts w:ascii="Apple Symbols Regular" w:hAnsi="Apple Symbols Regular" w:cs="Times New Roman"/>
              </w:rPr>
            </w:pPr>
          </w:p>
        </w:tc>
        <w:tc>
          <w:tcPr>
            <w:tcW w:w="1134" w:type="dxa"/>
          </w:tcPr>
          <w:p w14:paraId="434DD5C4" w14:textId="77777777" w:rsidR="00B02873" w:rsidRPr="00B02873" w:rsidRDefault="00B02873" w:rsidP="00A56FB4">
            <w:pPr>
              <w:pStyle w:val="TablebodyleftTables"/>
              <w:jc w:val="right"/>
              <w:rPr>
                <w:rFonts w:ascii="Apple Symbols Regular" w:hAnsi="Apple Symbols Regular" w:cs="Times New Roman"/>
              </w:rPr>
            </w:pPr>
          </w:p>
        </w:tc>
        <w:tc>
          <w:tcPr>
            <w:tcW w:w="1559" w:type="dxa"/>
          </w:tcPr>
          <w:p w14:paraId="1C0E8BA9" w14:textId="77777777" w:rsidR="00B02873" w:rsidRPr="00B02873" w:rsidRDefault="00B02873" w:rsidP="00A56FB4">
            <w:pPr>
              <w:pStyle w:val="TablebodyleftTables"/>
              <w:jc w:val="right"/>
              <w:rPr>
                <w:rFonts w:ascii="Apple Symbols Regular" w:hAnsi="Apple Symbols Regular" w:cs="Times New Roman"/>
              </w:rPr>
            </w:pPr>
          </w:p>
        </w:tc>
        <w:tc>
          <w:tcPr>
            <w:tcW w:w="1559" w:type="dxa"/>
          </w:tcPr>
          <w:p w14:paraId="7510827F" w14:textId="77777777" w:rsidR="00B02873" w:rsidRPr="00B02873" w:rsidRDefault="00B02873" w:rsidP="007F5FB5">
            <w:pPr>
              <w:pStyle w:val="TablebodyleftTables"/>
              <w:rPr>
                <w:rFonts w:ascii="Apple Symbols Regular" w:hAnsi="Apple Symbols Regular" w:cs="Times New Roman"/>
              </w:rPr>
            </w:pPr>
          </w:p>
        </w:tc>
      </w:tr>
      <w:tr w:rsidR="00B02873" w:rsidRPr="00B02873" w14:paraId="3CAA78EC" w14:textId="77777777" w:rsidTr="007F5FB5">
        <w:tc>
          <w:tcPr>
            <w:tcW w:w="3256" w:type="dxa"/>
          </w:tcPr>
          <w:p w14:paraId="4CA3AEF5" w14:textId="77777777" w:rsidR="00B02873" w:rsidRDefault="00B02873" w:rsidP="00B415A9">
            <w:pPr>
              <w:pStyle w:val="TablebodyleftTables"/>
            </w:pPr>
            <w:r>
              <w:rPr>
                <w:rStyle w:val="Bold"/>
              </w:rPr>
              <w:t>Total output cost</w:t>
            </w:r>
          </w:p>
        </w:tc>
        <w:tc>
          <w:tcPr>
            <w:tcW w:w="1275" w:type="dxa"/>
          </w:tcPr>
          <w:p w14:paraId="3E7BD7B4" w14:textId="77777777" w:rsidR="00B02873" w:rsidRDefault="00B02873" w:rsidP="007F5FB5">
            <w:pPr>
              <w:pStyle w:val="TablebodyleftTables"/>
            </w:pPr>
            <w:r>
              <w:t>$ million</w:t>
            </w:r>
          </w:p>
        </w:tc>
        <w:tc>
          <w:tcPr>
            <w:tcW w:w="993" w:type="dxa"/>
          </w:tcPr>
          <w:p w14:paraId="300EE10B" w14:textId="77777777" w:rsidR="00B02873" w:rsidRDefault="00B02873" w:rsidP="00A56FB4">
            <w:pPr>
              <w:pStyle w:val="TablebodyleftTables"/>
              <w:jc w:val="right"/>
            </w:pPr>
            <w:r>
              <w:t>323.2</w:t>
            </w:r>
          </w:p>
        </w:tc>
        <w:tc>
          <w:tcPr>
            <w:tcW w:w="1134" w:type="dxa"/>
          </w:tcPr>
          <w:p w14:paraId="45DC35DE" w14:textId="77777777" w:rsidR="00B02873" w:rsidRDefault="00B02873" w:rsidP="00A56FB4">
            <w:pPr>
              <w:pStyle w:val="TablebodyleftTables"/>
              <w:jc w:val="right"/>
            </w:pPr>
            <w:r>
              <w:t>278.3</w:t>
            </w:r>
          </w:p>
        </w:tc>
        <w:tc>
          <w:tcPr>
            <w:tcW w:w="1559" w:type="dxa"/>
          </w:tcPr>
          <w:p w14:paraId="2C0B5B71" w14:textId="77777777" w:rsidR="00B02873" w:rsidRDefault="00B02873" w:rsidP="00A56FB4">
            <w:pPr>
              <w:pStyle w:val="TablebodyleftTables"/>
              <w:jc w:val="right"/>
            </w:pPr>
            <w:r>
              <w:t>16%</w:t>
            </w:r>
          </w:p>
        </w:tc>
        <w:tc>
          <w:tcPr>
            <w:tcW w:w="1559" w:type="dxa"/>
          </w:tcPr>
          <w:p w14:paraId="4ABFD711" w14:textId="00410A53" w:rsidR="00B02873" w:rsidRDefault="007F5FB5" w:rsidP="007F5FB5">
            <w:pPr>
              <w:pStyle w:val="TablebodyleftTables"/>
            </w:pPr>
            <w:r>
              <w:t>Performance target not achieved – exceeds 5 per cent variance.</w:t>
            </w:r>
          </w:p>
        </w:tc>
      </w:tr>
    </w:tbl>
    <w:p w14:paraId="76EBE98A" w14:textId="248B4EFE" w:rsidR="007F5FB5" w:rsidRPr="007F5FB5" w:rsidRDefault="007F5FB5">
      <w:pPr>
        <w:rPr>
          <w:i/>
          <w:iCs/>
        </w:rPr>
      </w:pPr>
      <w:r w:rsidRPr="007F5FB5">
        <w:rPr>
          <w:i/>
          <w:iCs/>
        </w:rPr>
        <w:lastRenderedPageBreak/>
        <w:t>The higher than budgeted output cost is primarily due to an increase in the fair value adjustment of derivative financial instruments, partially offset by a rephase for the Energy Efficiency Upgrades for Homes initiative.</w:t>
      </w:r>
    </w:p>
    <w:p w14:paraId="19D24076" w14:textId="77777777" w:rsidR="00B02873" w:rsidRDefault="00B02873" w:rsidP="004550A8">
      <w:pPr>
        <w:pStyle w:val="Heading4"/>
      </w:pPr>
      <w:r>
        <w:t>Solar Homes</w:t>
      </w:r>
    </w:p>
    <w:p w14:paraId="31FFACC2" w14:textId="49719838" w:rsidR="00B02873" w:rsidRDefault="00B02873" w:rsidP="00FE198A">
      <w:r>
        <w:t>This output will, over 10 years, provide 778 500 rebates for either rooftop solar energy systems, solar and energy efficient hot water systems, or battery storage, as Victoria transitions to a lower emissions future</w:t>
      </w:r>
      <w:r w:rsidR="000C45FC">
        <w:t xml:space="preserve"> – </w:t>
      </w:r>
      <w:r>
        <w:t xml:space="preserve">reducing fossil fuel usage and air pollution, and allowing independence from conventional energy supplies. </w:t>
      </w:r>
    </w:p>
    <w:p w14:paraId="389369AA" w14:textId="77777777" w:rsidR="00B02873" w:rsidRDefault="00B02873" w:rsidP="00FE198A">
      <w:r>
        <w:t xml:space="preserve">Through this output, Solar Victoria supports households to invest in money saving renewable energy technology, reduce emissions and contribute to meeting future energy demand. </w:t>
      </w:r>
    </w:p>
    <w:p w14:paraId="0A497AC6" w14:textId="77777777" w:rsidR="00B02873" w:rsidRDefault="00B02873" w:rsidP="00FE198A">
      <w:r>
        <w:t>The performance measures below compare targets and expected or actual results from the delivery of programs and services as part of this output:</w:t>
      </w:r>
    </w:p>
    <w:tbl>
      <w:tblPr>
        <w:tblStyle w:val="TableGrid"/>
        <w:tblW w:w="9776" w:type="dxa"/>
        <w:tblLayout w:type="fixed"/>
        <w:tblLook w:val="0020" w:firstRow="1" w:lastRow="0" w:firstColumn="0" w:lastColumn="0" w:noHBand="0" w:noVBand="0"/>
      </w:tblPr>
      <w:tblGrid>
        <w:gridCol w:w="3256"/>
        <w:gridCol w:w="1275"/>
        <w:gridCol w:w="993"/>
        <w:gridCol w:w="1134"/>
        <w:gridCol w:w="1559"/>
        <w:gridCol w:w="1559"/>
      </w:tblGrid>
      <w:tr w:rsidR="00B02873" w:rsidRPr="00B02873" w14:paraId="2C74DFBA" w14:textId="77777777" w:rsidTr="00656640">
        <w:trPr>
          <w:cnfStyle w:val="100000000000" w:firstRow="1" w:lastRow="0" w:firstColumn="0" w:lastColumn="0" w:oddVBand="0" w:evenVBand="0" w:oddHBand="0" w:evenHBand="0" w:firstRowFirstColumn="0" w:firstRowLastColumn="0" w:lastRowFirstColumn="0" w:lastRowLastColumn="0"/>
          <w:tblHeader/>
        </w:trPr>
        <w:tc>
          <w:tcPr>
            <w:tcW w:w="3256" w:type="dxa"/>
          </w:tcPr>
          <w:p w14:paraId="3FF7B381" w14:textId="77777777" w:rsidR="00B02873" w:rsidRDefault="00B02873" w:rsidP="00656640">
            <w:pPr>
              <w:pStyle w:val="TableheadingleftTables"/>
            </w:pPr>
            <w:r>
              <w:t>Output performance measures</w:t>
            </w:r>
          </w:p>
        </w:tc>
        <w:tc>
          <w:tcPr>
            <w:tcW w:w="1275" w:type="dxa"/>
          </w:tcPr>
          <w:p w14:paraId="1CAE30D6" w14:textId="77777777" w:rsidR="00B02873" w:rsidRDefault="00B02873" w:rsidP="00656640">
            <w:pPr>
              <w:pStyle w:val="TableheadingleftTables"/>
            </w:pPr>
            <w:r>
              <w:t>Unit of measure</w:t>
            </w:r>
          </w:p>
        </w:tc>
        <w:tc>
          <w:tcPr>
            <w:tcW w:w="993" w:type="dxa"/>
          </w:tcPr>
          <w:p w14:paraId="61943478" w14:textId="77777777" w:rsidR="00B02873" w:rsidRDefault="00B02873" w:rsidP="00A56FB4">
            <w:pPr>
              <w:pStyle w:val="TableheadingleftTables"/>
              <w:jc w:val="right"/>
            </w:pPr>
            <w:r>
              <w:t>2021-22 actual</w:t>
            </w:r>
          </w:p>
        </w:tc>
        <w:tc>
          <w:tcPr>
            <w:tcW w:w="1134" w:type="dxa"/>
          </w:tcPr>
          <w:p w14:paraId="0DADB850" w14:textId="77777777" w:rsidR="00B02873" w:rsidRDefault="00B02873" w:rsidP="00A56FB4">
            <w:pPr>
              <w:pStyle w:val="TableheadingleftTables"/>
              <w:jc w:val="right"/>
            </w:pPr>
            <w:r>
              <w:t>2021-22 target</w:t>
            </w:r>
          </w:p>
        </w:tc>
        <w:tc>
          <w:tcPr>
            <w:tcW w:w="1559" w:type="dxa"/>
          </w:tcPr>
          <w:p w14:paraId="5C848AEF" w14:textId="77777777" w:rsidR="00B02873" w:rsidRDefault="00B02873" w:rsidP="00A56FB4">
            <w:pPr>
              <w:pStyle w:val="TableheadingleftTables"/>
              <w:jc w:val="right"/>
            </w:pPr>
            <w:r>
              <w:rPr>
                <w:spacing w:val="-3"/>
              </w:rPr>
              <w:t>Performance variation (%)</w:t>
            </w:r>
          </w:p>
        </w:tc>
        <w:tc>
          <w:tcPr>
            <w:tcW w:w="1559" w:type="dxa"/>
          </w:tcPr>
          <w:p w14:paraId="63D2E3AA" w14:textId="77777777" w:rsidR="00B02873" w:rsidRDefault="00B02873" w:rsidP="00656640">
            <w:pPr>
              <w:pStyle w:val="TableheadingleftTables"/>
            </w:pPr>
            <w:r>
              <w:t>Result</w:t>
            </w:r>
          </w:p>
        </w:tc>
      </w:tr>
      <w:tr w:rsidR="00B02873" w:rsidRPr="00B02873" w14:paraId="06CE7F47" w14:textId="77777777" w:rsidTr="00656640">
        <w:tc>
          <w:tcPr>
            <w:tcW w:w="3256" w:type="dxa"/>
          </w:tcPr>
          <w:p w14:paraId="1AB7BCC9" w14:textId="77777777" w:rsidR="00B02873" w:rsidRDefault="00B02873" w:rsidP="00B415A9">
            <w:pPr>
              <w:pStyle w:val="TableheadingleftTables"/>
            </w:pPr>
            <w:r>
              <w:t>Quantity</w:t>
            </w:r>
          </w:p>
        </w:tc>
        <w:tc>
          <w:tcPr>
            <w:tcW w:w="1275" w:type="dxa"/>
          </w:tcPr>
          <w:p w14:paraId="15D2392C" w14:textId="77777777" w:rsidR="00B02873" w:rsidRPr="00B02873" w:rsidRDefault="00B02873" w:rsidP="00B415A9">
            <w:pPr>
              <w:pStyle w:val="NoParagraphStyle"/>
              <w:spacing w:line="240" w:lineRule="auto"/>
              <w:textAlignment w:val="auto"/>
              <w:rPr>
                <w:rFonts w:ascii="Apple Symbols Regular" w:hAnsi="Apple Symbols Regular" w:cs="Times New Roman"/>
                <w:color w:val="auto"/>
                <w:lang w:val="en-AU"/>
              </w:rPr>
            </w:pPr>
          </w:p>
        </w:tc>
        <w:tc>
          <w:tcPr>
            <w:tcW w:w="993" w:type="dxa"/>
          </w:tcPr>
          <w:p w14:paraId="3CE811C5" w14:textId="77777777" w:rsidR="00B02873" w:rsidRPr="00B02873" w:rsidRDefault="00B02873" w:rsidP="00A56FB4">
            <w:pPr>
              <w:pStyle w:val="NoParagraphStyle"/>
              <w:spacing w:line="240" w:lineRule="auto"/>
              <w:jc w:val="right"/>
              <w:textAlignment w:val="auto"/>
              <w:rPr>
                <w:rFonts w:ascii="Apple Symbols Regular" w:hAnsi="Apple Symbols Regular" w:cs="Times New Roman"/>
                <w:color w:val="auto"/>
                <w:lang w:val="en-AU"/>
              </w:rPr>
            </w:pPr>
          </w:p>
        </w:tc>
        <w:tc>
          <w:tcPr>
            <w:tcW w:w="1134" w:type="dxa"/>
          </w:tcPr>
          <w:p w14:paraId="2DFE82AB" w14:textId="77777777" w:rsidR="00B02873" w:rsidRPr="00B02873" w:rsidRDefault="00B02873" w:rsidP="00A56FB4">
            <w:pPr>
              <w:pStyle w:val="NoParagraphStyle"/>
              <w:spacing w:line="240" w:lineRule="auto"/>
              <w:jc w:val="right"/>
              <w:textAlignment w:val="auto"/>
              <w:rPr>
                <w:rFonts w:ascii="Apple Symbols Regular" w:hAnsi="Apple Symbols Regular" w:cs="Times New Roman"/>
                <w:color w:val="auto"/>
                <w:lang w:val="en-AU"/>
              </w:rPr>
            </w:pPr>
          </w:p>
        </w:tc>
        <w:tc>
          <w:tcPr>
            <w:tcW w:w="1559" w:type="dxa"/>
          </w:tcPr>
          <w:p w14:paraId="17E79445" w14:textId="77777777" w:rsidR="00B02873" w:rsidRPr="00B02873" w:rsidRDefault="00B02873" w:rsidP="00A56FB4">
            <w:pPr>
              <w:pStyle w:val="NoParagraphStyle"/>
              <w:spacing w:line="240" w:lineRule="auto"/>
              <w:jc w:val="right"/>
              <w:textAlignment w:val="auto"/>
              <w:rPr>
                <w:rFonts w:ascii="Apple Symbols Regular" w:hAnsi="Apple Symbols Regular" w:cs="Times New Roman"/>
                <w:color w:val="auto"/>
                <w:lang w:val="en-AU"/>
              </w:rPr>
            </w:pPr>
          </w:p>
        </w:tc>
        <w:tc>
          <w:tcPr>
            <w:tcW w:w="1559" w:type="dxa"/>
          </w:tcPr>
          <w:p w14:paraId="2A2FCCBF" w14:textId="77777777" w:rsidR="00B02873" w:rsidRPr="00B02873" w:rsidRDefault="00B02873" w:rsidP="00B415A9">
            <w:pPr>
              <w:pStyle w:val="NoParagraphStyle"/>
              <w:spacing w:line="240" w:lineRule="auto"/>
              <w:textAlignment w:val="auto"/>
              <w:rPr>
                <w:rFonts w:ascii="Apple Symbols Regular" w:hAnsi="Apple Symbols Regular" w:cs="Times New Roman"/>
                <w:color w:val="auto"/>
                <w:lang w:val="en-AU"/>
              </w:rPr>
            </w:pPr>
          </w:p>
        </w:tc>
      </w:tr>
      <w:tr w:rsidR="00B02873" w:rsidRPr="00B02873" w14:paraId="2A5076A4" w14:textId="77777777" w:rsidTr="00656640">
        <w:tc>
          <w:tcPr>
            <w:tcW w:w="3256" w:type="dxa"/>
          </w:tcPr>
          <w:p w14:paraId="3AF569A3" w14:textId="77777777" w:rsidR="00B02873" w:rsidRDefault="00B02873" w:rsidP="00B415A9">
            <w:pPr>
              <w:pStyle w:val="TablebodyleftTables"/>
            </w:pPr>
            <w:r>
              <w:t>Applications for Solar PV rebates for owner-occupied and rental households approved</w:t>
            </w:r>
          </w:p>
        </w:tc>
        <w:tc>
          <w:tcPr>
            <w:tcW w:w="1275" w:type="dxa"/>
          </w:tcPr>
          <w:p w14:paraId="73E25772" w14:textId="77777777" w:rsidR="00B02873" w:rsidRDefault="00B02873" w:rsidP="00656640">
            <w:pPr>
              <w:pStyle w:val="TablebodyleftTables"/>
            </w:pPr>
            <w:r>
              <w:t>number</w:t>
            </w:r>
          </w:p>
        </w:tc>
        <w:tc>
          <w:tcPr>
            <w:tcW w:w="993" w:type="dxa"/>
          </w:tcPr>
          <w:p w14:paraId="4D41AA52" w14:textId="77777777" w:rsidR="00B02873" w:rsidRDefault="00B02873" w:rsidP="00A56FB4">
            <w:pPr>
              <w:pStyle w:val="TablebodyleftTables"/>
              <w:jc w:val="right"/>
            </w:pPr>
            <w:r>
              <w:t>41 395</w:t>
            </w:r>
          </w:p>
        </w:tc>
        <w:tc>
          <w:tcPr>
            <w:tcW w:w="1134" w:type="dxa"/>
          </w:tcPr>
          <w:p w14:paraId="6B2FFA02" w14:textId="77777777" w:rsidR="00B02873" w:rsidRDefault="00B02873" w:rsidP="00A56FB4">
            <w:pPr>
              <w:pStyle w:val="TablebodyleftTables"/>
              <w:jc w:val="right"/>
            </w:pPr>
            <w:r>
              <w:t>75 000</w:t>
            </w:r>
          </w:p>
        </w:tc>
        <w:tc>
          <w:tcPr>
            <w:tcW w:w="1559" w:type="dxa"/>
          </w:tcPr>
          <w:p w14:paraId="2A96FFFC" w14:textId="77777777" w:rsidR="00B02873" w:rsidRDefault="00B02873" w:rsidP="00A56FB4">
            <w:pPr>
              <w:pStyle w:val="TablebodyleftTables"/>
              <w:jc w:val="right"/>
            </w:pPr>
            <w:r>
              <w:t>(45%)</w:t>
            </w:r>
          </w:p>
        </w:tc>
        <w:tc>
          <w:tcPr>
            <w:tcW w:w="1559" w:type="dxa"/>
          </w:tcPr>
          <w:p w14:paraId="7DE737B1" w14:textId="474063B2" w:rsidR="00B02873" w:rsidRDefault="0003210E" w:rsidP="00656640">
            <w:pPr>
              <w:pStyle w:val="TablebodyleftTables"/>
            </w:pPr>
            <w:r w:rsidRPr="0003210E">
              <w:t>Performance target not achieved – exceeds 5 per cent variance.</w:t>
            </w:r>
          </w:p>
        </w:tc>
      </w:tr>
    </w:tbl>
    <w:p w14:paraId="2F109E9D" w14:textId="23094A37" w:rsidR="00656640" w:rsidRDefault="00656640">
      <w:r w:rsidRPr="00656640">
        <w:rPr>
          <w:i/>
          <w:iCs/>
        </w:rPr>
        <w:t>Performance is below target reflecting reduced demand for Solar PV rebates caused by the impact of the COVID-19 pandemic on supply chains and workforce availability, and higher Solar PV prices in 2021-22.</w:t>
      </w:r>
    </w:p>
    <w:tbl>
      <w:tblPr>
        <w:tblStyle w:val="TableGrid"/>
        <w:tblW w:w="9776" w:type="dxa"/>
        <w:tblLayout w:type="fixed"/>
        <w:tblLook w:val="0020" w:firstRow="1" w:lastRow="0" w:firstColumn="0" w:lastColumn="0" w:noHBand="0" w:noVBand="0"/>
      </w:tblPr>
      <w:tblGrid>
        <w:gridCol w:w="3256"/>
        <w:gridCol w:w="1275"/>
        <w:gridCol w:w="993"/>
        <w:gridCol w:w="1134"/>
        <w:gridCol w:w="1559"/>
        <w:gridCol w:w="1559"/>
      </w:tblGrid>
      <w:tr w:rsidR="0003210E" w:rsidRPr="00B02873" w14:paraId="64645D15" w14:textId="77777777" w:rsidTr="00F0025B">
        <w:trPr>
          <w:cnfStyle w:val="100000000000" w:firstRow="1" w:lastRow="0" w:firstColumn="0" w:lastColumn="0" w:oddVBand="0" w:evenVBand="0" w:oddHBand="0" w:evenHBand="0" w:firstRowFirstColumn="0" w:firstRowLastColumn="0" w:lastRowFirstColumn="0" w:lastRowLastColumn="0"/>
          <w:tblHeader/>
        </w:trPr>
        <w:tc>
          <w:tcPr>
            <w:tcW w:w="3256" w:type="dxa"/>
          </w:tcPr>
          <w:p w14:paraId="776EFC71" w14:textId="77777777" w:rsidR="0003210E" w:rsidRDefault="0003210E" w:rsidP="00F0025B">
            <w:pPr>
              <w:pStyle w:val="TableheadingleftTables"/>
            </w:pPr>
            <w:r>
              <w:t>Output performance measures</w:t>
            </w:r>
          </w:p>
        </w:tc>
        <w:tc>
          <w:tcPr>
            <w:tcW w:w="1275" w:type="dxa"/>
          </w:tcPr>
          <w:p w14:paraId="77D76A2B" w14:textId="77777777" w:rsidR="0003210E" w:rsidRDefault="0003210E" w:rsidP="00F0025B">
            <w:pPr>
              <w:pStyle w:val="TableheadingleftTables"/>
            </w:pPr>
            <w:r>
              <w:t>Unit of measure</w:t>
            </w:r>
          </w:p>
        </w:tc>
        <w:tc>
          <w:tcPr>
            <w:tcW w:w="993" w:type="dxa"/>
          </w:tcPr>
          <w:p w14:paraId="1E10DBD9" w14:textId="77777777" w:rsidR="0003210E" w:rsidRDefault="0003210E" w:rsidP="00A56FB4">
            <w:pPr>
              <w:pStyle w:val="TableheadingleftTables"/>
              <w:jc w:val="right"/>
            </w:pPr>
            <w:r>
              <w:t>2021-22 actual</w:t>
            </w:r>
          </w:p>
        </w:tc>
        <w:tc>
          <w:tcPr>
            <w:tcW w:w="1134" w:type="dxa"/>
          </w:tcPr>
          <w:p w14:paraId="07CEE0CA" w14:textId="77777777" w:rsidR="0003210E" w:rsidRDefault="0003210E" w:rsidP="00A56FB4">
            <w:pPr>
              <w:pStyle w:val="TableheadingleftTables"/>
              <w:jc w:val="right"/>
            </w:pPr>
            <w:r>
              <w:t>2021-22 target</w:t>
            </w:r>
          </w:p>
        </w:tc>
        <w:tc>
          <w:tcPr>
            <w:tcW w:w="1559" w:type="dxa"/>
          </w:tcPr>
          <w:p w14:paraId="26924767" w14:textId="77777777" w:rsidR="0003210E" w:rsidRDefault="0003210E" w:rsidP="00A56FB4">
            <w:pPr>
              <w:pStyle w:val="TableheadingleftTables"/>
              <w:jc w:val="right"/>
            </w:pPr>
            <w:r>
              <w:rPr>
                <w:spacing w:val="-3"/>
              </w:rPr>
              <w:t>Performance variation (%)</w:t>
            </w:r>
          </w:p>
        </w:tc>
        <w:tc>
          <w:tcPr>
            <w:tcW w:w="1559" w:type="dxa"/>
          </w:tcPr>
          <w:p w14:paraId="54C9FFBA" w14:textId="77777777" w:rsidR="0003210E" w:rsidRDefault="0003210E" w:rsidP="00F0025B">
            <w:pPr>
              <w:pStyle w:val="TableheadingleftTables"/>
            </w:pPr>
            <w:r>
              <w:t>Result</w:t>
            </w:r>
          </w:p>
        </w:tc>
      </w:tr>
      <w:tr w:rsidR="00B02873" w:rsidRPr="00B02873" w14:paraId="6601A3A2" w14:textId="77777777" w:rsidTr="00656640">
        <w:tc>
          <w:tcPr>
            <w:tcW w:w="3256" w:type="dxa"/>
          </w:tcPr>
          <w:p w14:paraId="5692F1A6" w14:textId="77777777" w:rsidR="00B02873" w:rsidRDefault="00B02873" w:rsidP="00B415A9">
            <w:pPr>
              <w:pStyle w:val="TablebodyleftTables"/>
            </w:pPr>
            <w:r>
              <w:t>Applications for home battery rebates approved</w:t>
            </w:r>
          </w:p>
        </w:tc>
        <w:tc>
          <w:tcPr>
            <w:tcW w:w="1275" w:type="dxa"/>
          </w:tcPr>
          <w:p w14:paraId="5E4D53A8" w14:textId="77777777" w:rsidR="00B02873" w:rsidRDefault="00B02873" w:rsidP="00656640">
            <w:pPr>
              <w:pStyle w:val="TablebodyleftTables"/>
            </w:pPr>
            <w:r>
              <w:t>number</w:t>
            </w:r>
          </w:p>
        </w:tc>
        <w:tc>
          <w:tcPr>
            <w:tcW w:w="993" w:type="dxa"/>
          </w:tcPr>
          <w:p w14:paraId="578F3284" w14:textId="77777777" w:rsidR="00B02873" w:rsidRDefault="00B02873" w:rsidP="00A56FB4">
            <w:pPr>
              <w:pStyle w:val="TablebodyleftTables"/>
              <w:jc w:val="right"/>
            </w:pPr>
            <w:r>
              <w:t>6 502</w:t>
            </w:r>
          </w:p>
        </w:tc>
        <w:tc>
          <w:tcPr>
            <w:tcW w:w="1134" w:type="dxa"/>
          </w:tcPr>
          <w:p w14:paraId="2B91CDAB" w14:textId="77777777" w:rsidR="00B02873" w:rsidRDefault="00B02873" w:rsidP="00A56FB4">
            <w:pPr>
              <w:pStyle w:val="TablebodyleftTables"/>
              <w:jc w:val="right"/>
            </w:pPr>
            <w:r>
              <w:t>7 000</w:t>
            </w:r>
          </w:p>
        </w:tc>
        <w:tc>
          <w:tcPr>
            <w:tcW w:w="1559" w:type="dxa"/>
          </w:tcPr>
          <w:p w14:paraId="138BD930" w14:textId="77777777" w:rsidR="00B02873" w:rsidRDefault="00B02873" w:rsidP="00A56FB4">
            <w:pPr>
              <w:pStyle w:val="TablebodyleftTables"/>
              <w:jc w:val="right"/>
            </w:pPr>
            <w:r>
              <w:t>(7%)</w:t>
            </w:r>
          </w:p>
        </w:tc>
        <w:tc>
          <w:tcPr>
            <w:tcW w:w="1559" w:type="dxa"/>
          </w:tcPr>
          <w:p w14:paraId="7717C586" w14:textId="0300D07D" w:rsidR="00B02873" w:rsidRDefault="0003210E" w:rsidP="00656640">
            <w:pPr>
              <w:pStyle w:val="TablebodyleftTables"/>
            </w:pPr>
            <w:r w:rsidRPr="0003210E">
              <w:t>Performance target not achieved – exceeds 5 per cent variance.</w:t>
            </w:r>
          </w:p>
        </w:tc>
      </w:tr>
    </w:tbl>
    <w:p w14:paraId="01F4D86B" w14:textId="39C470BB" w:rsidR="00656640" w:rsidRPr="00656640" w:rsidRDefault="00656640">
      <w:pPr>
        <w:rPr>
          <w:i/>
          <w:iCs/>
        </w:rPr>
      </w:pPr>
      <w:r w:rsidRPr="00656640">
        <w:rPr>
          <w:i/>
          <w:iCs/>
          <w:spacing w:val="-4"/>
        </w:rPr>
        <w:t>Performance is below target due to slower than expected uptake of rebates allocated under the Virtual Power Plant pilot program combined with COVID-19 impacts on home battery sales.</w:t>
      </w:r>
    </w:p>
    <w:tbl>
      <w:tblPr>
        <w:tblStyle w:val="TableGrid"/>
        <w:tblW w:w="9776" w:type="dxa"/>
        <w:tblLayout w:type="fixed"/>
        <w:tblLook w:val="0020" w:firstRow="1" w:lastRow="0" w:firstColumn="0" w:lastColumn="0" w:noHBand="0" w:noVBand="0"/>
      </w:tblPr>
      <w:tblGrid>
        <w:gridCol w:w="3256"/>
        <w:gridCol w:w="1275"/>
        <w:gridCol w:w="993"/>
        <w:gridCol w:w="1134"/>
        <w:gridCol w:w="1559"/>
        <w:gridCol w:w="1559"/>
      </w:tblGrid>
      <w:tr w:rsidR="0003210E" w:rsidRPr="00B02873" w14:paraId="44FEEC11" w14:textId="77777777" w:rsidTr="00F0025B">
        <w:trPr>
          <w:cnfStyle w:val="100000000000" w:firstRow="1" w:lastRow="0" w:firstColumn="0" w:lastColumn="0" w:oddVBand="0" w:evenVBand="0" w:oddHBand="0" w:evenHBand="0" w:firstRowFirstColumn="0" w:firstRowLastColumn="0" w:lastRowFirstColumn="0" w:lastRowLastColumn="0"/>
          <w:tblHeader/>
        </w:trPr>
        <w:tc>
          <w:tcPr>
            <w:tcW w:w="3256" w:type="dxa"/>
          </w:tcPr>
          <w:p w14:paraId="7953D8A6" w14:textId="77777777" w:rsidR="0003210E" w:rsidRDefault="0003210E" w:rsidP="00F0025B">
            <w:pPr>
              <w:pStyle w:val="TableheadingleftTables"/>
            </w:pPr>
            <w:r>
              <w:t>Output performance measures</w:t>
            </w:r>
          </w:p>
        </w:tc>
        <w:tc>
          <w:tcPr>
            <w:tcW w:w="1275" w:type="dxa"/>
          </w:tcPr>
          <w:p w14:paraId="20AB5955" w14:textId="77777777" w:rsidR="0003210E" w:rsidRDefault="0003210E" w:rsidP="00F0025B">
            <w:pPr>
              <w:pStyle w:val="TableheadingleftTables"/>
            </w:pPr>
            <w:r>
              <w:t>Unit of measure</w:t>
            </w:r>
          </w:p>
        </w:tc>
        <w:tc>
          <w:tcPr>
            <w:tcW w:w="993" w:type="dxa"/>
          </w:tcPr>
          <w:p w14:paraId="688EE3A0" w14:textId="77777777" w:rsidR="0003210E" w:rsidRDefault="0003210E" w:rsidP="00A56FB4">
            <w:pPr>
              <w:pStyle w:val="TableheadingleftTables"/>
              <w:jc w:val="right"/>
            </w:pPr>
            <w:r>
              <w:t>2021-22 actual</w:t>
            </w:r>
          </w:p>
        </w:tc>
        <w:tc>
          <w:tcPr>
            <w:tcW w:w="1134" w:type="dxa"/>
          </w:tcPr>
          <w:p w14:paraId="4CBF517B" w14:textId="77777777" w:rsidR="0003210E" w:rsidRDefault="0003210E" w:rsidP="00A56FB4">
            <w:pPr>
              <w:pStyle w:val="TableheadingleftTables"/>
              <w:jc w:val="right"/>
            </w:pPr>
            <w:r>
              <w:t>2021-22 target</w:t>
            </w:r>
          </w:p>
        </w:tc>
        <w:tc>
          <w:tcPr>
            <w:tcW w:w="1559" w:type="dxa"/>
          </w:tcPr>
          <w:p w14:paraId="62A5CC26" w14:textId="77777777" w:rsidR="0003210E" w:rsidRDefault="0003210E" w:rsidP="00A56FB4">
            <w:pPr>
              <w:pStyle w:val="TableheadingleftTables"/>
              <w:jc w:val="right"/>
            </w:pPr>
            <w:r>
              <w:rPr>
                <w:spacing w:val="-3"/>
              </w:rPr>
              <w:t>Performance variation (%)</w:t>
            </w:r>
          </w:p>
        </w:tc>
        <w:tc>
          <w:tcPr>
            <w:tcW w:w="1559" w:type="dxa"/>
          </w:tcPr>
          <w:p w14:paraId="0D95C04C" w14:textId="77777777" w:rsidR="0003210E" w:rsidRDefault="0003210E" w:rsidP="00F0025B">
            <w:pPr>
              <w:pStyle w:val="TableheadingleftTables"/>
            </w:pPr>
            <w:r>
              <w:t>Result</w:t>
            </w:r>
          </w:p>
        </w:tc>
      </w:tr>
      <w:tr w:rsidR="00B02873" w:rsidRPr="00B02873" w14:paraId="457D224D" w14:textId="77777777" w:rsidTr="00656640">
        <w:tc>
          <w:tcPr>
            <w:tcW w:w="3256" w:type="dxa"/>
          </w:tcPr>
          <w:p w14:paraId="7A690CD2" w14:textId="77777777" w:rsidR="00B02873" w:rsidRDefault="00B02873" w:rsidP="00B415A9">
            <w:pPr>
              <w:pStyle w:val="TablebodyleftTables"/>
            </w:pPr>
            <w:r>
              <w:t>Applications for solar hot water rebates approved</w:t>
            </w:r>
          </w:p>
        </w:tc>
        <w:tc>
          <w:tcPr>
            <w:tcW w:w="1275" w:type="dxa"/>
          </w:tcPr>
          <w:p w14:paraId="2B1DBD57" w14:textId="77777777" w:rsidR="00B02873" w:rsidRDefault="00B02873" w:rsidP="00656640">
            <w:pPr>
              <w:pStyle w:val="TablebodyleftTables"/>
            </w:pPr>
            <w:r>
              <w:t>number</w:t>
            </w:r>
          </w:p>
        </w:tc>
        <w:tc>
          <w:tcPr>
            <w:tcW w:w="993" w:type="dxa"/>
          </w:tcPr>
          <w:p w14:paraId="2EF57F8F" w14:textId="77777777" w:rsidR="00B02873" w:rsidRDefault="00B02873" w:rsidP="00A56FB4">
            <w:pPr>
              <w:pStyle w:val="TablebodyleftTables"/>
              <w:jc w:val="right"/>
            </w:pPr>
            <w:r>
              <w:t>745</w:t>
            </w:r>
          </w:p>
        </w:tc>
        <w:tc>
          <w:tcPr>
            <w:tcW w:w="1134" w:type="dxa"/>
          </w:tcPr>
          <w:p w14:paraId="1B2B5955" w14:textId="77777777" w:rsidR="00B02873" w:rsidRDefault="00B02873" w:rsidP="00A56FB4">
            <w:pPr>
              <w:pStyle w:val="TablebodyleftTables"/>
              <w:jc w:val="right"/>
            </w:pPr>
            <w:r>
              <w:t>6 000</w:t>
            </w:r>
          </w:p>
        </w:tc>
        <w:tc>
          <w:tcPr>
            <w:tcW w:w="1559" w:type="dxa"/>
          </w:tcPr>
          <w:p w14:paraId="690ED72F" w14:textId="77777777" w:rsidR="00B02873" w:rsidRDefault="00B02873" w:rsidP="00A56FB4">
            <w:pPr>
              <w:pStyle w:val="TablebodyleftTables"/>
              <w:jc w:val="right"/>
            </w:pPr>
            <w:r>
              <w:t>(88%)</w:t>
            </w:r>
          </w:p>
        </w:tc>
        <w:tc>
          <w:tcPr>
            <w:tcW w:w="1559" w:type="dxa"/>
          </w:tcPr>
          <w:p w14:paraId="796226F3" w14:textId="0FDDDB9E" w:rsidR="00B02873" w:rsidRDefault="0003210E" w:rsidP="00656640">
            <w:pPr>
              <w:pStyle w:val="TablebodyleftTables"/>
            </w:pPr>
            <w:r w:rsidRPr="0003210E">
              <w:t>Performance target not achieved – exceeds 5 per cent variance.</w:t>
            </w:r>
          </w:p>
        </w:tc>
      </w:tr>
    </w:tbl>
    <w:p w14:paraId="3EBA167C" w14:textId="1BC7D220" w:rsidR="00656640" w:rsidRPr="00656640" w:rsidRDefault="00656640">
      <w:pPr>
        <w:rPr>
          <w:i/>
          <w:iCs/>
        </w:rPr>
      </w:pPr>
      <w:r w:rsidRPr="00656640">
        <w:rPr>
          <w:i/>
          <w:iCs/>
          <w:spacing w:val="-4"/>
        </w:rPr>
        <w:t>Performance is below target reflecting low demand for solar hot water rebates and the impact of the COVID-19 pandemic on solar hot water sales activity. Although demand grew in the final months of 2021-22 following changes to eligibility, Solar Victoria is also developing strategies to increase demand.</w:t>
      </w:r>
    </w:p>
    <w:tbl>
      <w:tblPr>
        <w:tblStyle w:val="TableGrid"/>
        <w:tblW w:w="9776" w:type="dxa"/>
        <w:tblLayout w:type="fixed"/>
        <w:tblLook w:val="0020" w:firstRow="1" w:lastRow="0" w:firstColumn="0" w:lastColumn="0" w:noHBand="0" w:noVBand="0"/>
      </w:tblPr>
      <w:tblGrid>
        <w:gridCol w:w="3256"/>
        <w:gridCol w:w="1275"/>
        <w:gridCol w:w="993"/>
        <w:gridCol w:w="1134"/>
        <w:gridCol w:w="1559"/>
        <w:gridCol w:w="1559"/>
      </w:tblGrid>
      <w:tr w:rsidR="0003210E" w:rsidRPr="00B02873" w14:paraId="45E0ECEE" w14:textId="77777777" w:rsidTr="00F0025B">
        <w:trPr>
          <w:cnfStyle w:val="100000000000" w:firstRow="1" w:lastRow="0" w:firstColumn="0" w:lastColumn="0" w:oddVBand="0" w:evenVBand="0" w:oddHBand="0" w:evenHBand="0" w:firstRowFirstColumn="0" w:firstRowLastColumn="0" w:lastRowFirstColumn="0" w:lastRowLastColumn="0"/>
          <w:tblHeader/>
        </w:trPr>
        <w:tc>
          <w:tcPr>
            <w:tcW w:w="3256" w:type="dxa"/>
          </w:tcPr>
          <w:p w14:paraId="02B31475" w14:textId="77777777" w:rsidR="0003210E" w:rsidRDefault="0003210E" w:rsidP="00F0025B">
            <w:pPr>
              <w:pStyle w:val="TableheadingleftTables"/>
            </w:pPr>
            <w:r>
              <w:lastRenderedPageBreak/>
              <w:t>Output performance measures</w:t>
            </w:r>
          </w:p>
        </w:tc>
        <w:tc>
          <w:tcPr>
            <w:tcW w:w="1275" w:type="dxa"/>
          </w:tcPr>
          <w:p w14:paraId="2B247C89" w14:textId="77777777" w:rsidR="0003210E" w:rsidRDefault="0003210E" w:rsidP="00F0025B">
            <w:pPr>
              <w:pStyle w:val="TableheadingleftTables"/>
            </w:pPr>
            <w:r>
              <w:t>Unit of measure</w:t>
            </w:r>
          </w:p>
        </w:tc>
        <w:tc>
          <w:tcPr>
            <w:tcW w:w="993" w:type="dxa"/>
          </w:tcPr>
          <w:p w14:paraId="31CA57CF" w14:textId="77777777" w:rsidR="0003210E" w:rsidRDefault="0003210E" w:rsidP="00A56FB4">
            <w:pPr>
              <w:pStyle w:val="TableheadingleftTables"/>
              <w:jc w:val="right"/>
            </w:pPr>
            <w:r>
              <w:t>2021-22 actual</w:t>
            </w:r>
          </w:p>
        </w:tc>
        <w:tc>
          <w:tcPr>
            <w:tcW w:w="1134" w:type="dxa"/>
          </w:tcPr>
          <w:p w14:paraId="3A9767FB" w14:textId="77777777" w:rsidR="0003210E" w:rsidRDefault="0003210E" w:rsidP="00A56FB4">
            <w:pPr>
              <w:pStyle w:val="TableheadingleftTables"/>
              <w:jc w:val="right"/>
            </w:pPr>
            <w:r>
              <w:t>2021-22 target</w:t>
            </w:r>
          </w:p>
        </w:tc>
        <w:tc>
          <w:tcPr>
            <w:tcW w:w="1559" w:type="dxa"/>
          </w:tcPr>
          <w:p w14:paraId="5D7CE279" w14:textId="77777777" w:rsidR="0003210E" w:rsidRDefault="0003210E" w:rsidP="00A56FB4">
            <w:pPr>
              <w:pStyle w:val="TableheadingleftTables"/>
              <w:jc w:val="right"/>
            </w:pPr>
            <w:r>
              <w:rPr>
                <w:spacing w:val="-3"/>
              </w:rPr>
              <w:t>Performance variation (%)</w:t>
            </w:r>
          </w:p>
        </w:tc>
        <w:tc>
          <w:tcPr>
            <w:tcW w:w="1559" w:type="dxa"/>
          </w:tcPr>
          <w:p w14:paraId="1B091114" w14:textId="77777777" w:rsidR="0003210E" w:rsidRDefault="0003210E" w:rsidP="00F0025B">
            <w:pPr>
              <w:pStyle w:val="TableheadingleftTables"/>
            </w:pPr>
            <w:r>
              <w:t>Result</w:t>
            </w:r>
          </w:p>
        </w:tc>
      </w:tr>
      <w:tr w:rsidR="00B02873" w:rsidRPr="00B02873" w14:paraId="398B52F4" w14:textId="77777777" w:rsidTr="00656640">
        <w:tc>
          <w:tcPr>
            <w:tcW w:w="3256" w:type="dxa"/>
          </w:tcPr>
          <w:p w14:paraId="752A1C05" w14:textId="77777777" w:rsidR="00B02873" w:rsidRDefault="00B02873" w:rsidP="00B415A9">
            <w:pPr>
              <w:pStyle w:val="TablebodyleftTables"/>
            </w:pPr>
            <w:r>
              <w:t>Applications for Solar PV rebates for small businesses approved</w:t>
            </w:r>
          </w:p>
        </w:tc>
        <w:tc>
          <w:tcPr>
            <w:tcW w:w="1275" w:type="dxa"/>
          </w:tcPr>
          <w:p w14:paraId="6B81F2D6" w14:textId="77777777" w:rsidR="00B02873" w:rsidRDefault="00B02873" w:rsidP="00656640">
            <w:pPr>
              <w:pStyle w:val="TablebodyleftTables"/>
            </w:pPr>
            <w:r>
              <w:t>number</w:t>
            </w:r>
          </w:p>
        </w:tc>
        <w:tc>
          <w:tcPr>
            <w:tcW w:w="993" w:type="dxa"/>
          </w:tcPr>
          <w:p w14:paraId="734DE1DE" w14:textId="77777777" w:rsidR="00B02873" w:rsidRDefault="00B02873" w:rsidP="00A56FB4">
            <w:pPr>
              <w:pStyle w:val="TablebodyleftTables"/>
              <w:jc w:val="right"/>
            </w:pPr>
            <w:r>
              <w:t>1 508</w:t>
            </w:r>
          </w:p>
        </w:tc>
        <w:tc>
          <w:tcPr>
            <w:tcW w:w="1134" w:type="dxa"/>
          </w:tcPr>
          <w:p w14:paraId="0DDEF1AB" w14:textId="77777777" w:rsidR="00B02873" w:rsidRDefault="00B02873" w:rsidP="00A56FB4">
            <w:pPr>
              <w:pStyle w:val="TablebodyleftTables"/>
              <w:jc w:val="right"/>
            </w:pPr>
            <w:r>
              <w:t>5 000</w:t>
            </w:r>
          </w:p>
        </w:tc>
        <w:tc>
          <w:tcPr>
            <w:tcW w:w="1559" w:type="dxa"/>
          </w:tcPr>
          <w:p w14:paraId="3CE9F5E1" w14:textId="77777777" w:rsidR="00B02873" w:rsidRDefault="00B02873" w:rsidP="00A56FB4">
            <w:pPr>
              <w:pStyle w:val="TablebodyleftTables"/>
              <w:jc w:val="right"/>
            </w:pPr>
            <w:r>
              <w:t>(70%)</w:t>
            </w:r>
          </w:p>
        </w:tc>
        <w:tc>
          <w:tcPr>
            <w:tcW w:w="1559" w:type="dxa"/>
          </w:tcPr>
          <w:p w14:paraId="768A7A86" w14:textId="4A2DDCC8" w:rsidR="00B02873" w:rsidRDefault="0003210E" w:rsidP="00656640">
            <w:pPr>
              <w:pStyle w:val="TablebodyleftTables"/>
            </w:pPr>
            <w:r w:rsidRPr="0003210E">
              <w:t>Performance target not achieved – exceeds 5 per cent variance.</w:t>
            </w:r>
          </w:p>
        </w:tc>
      </w:tr>
    </w:tbl>
    <w:p w14:paraId="798E20C6" w14:textId="6AFBE14F" w:rsidR="00656640" w:rsidRPr="00656640" w:rsidRDefault="00656640">
      <w:pPr>
        <w:rPr>
          <w:i/>
          <w:iCs/>
        </w:rPr>
      </w:pPr>
      <w:r w:rsidRPr="00656640">
        <w:rPr>
          <w:i/>
          <w:iCs/>
          <w:spacing w:val="-4"/>
        </w:rPr>
        <w:t>Performance is below target due to COVID-19 impacts on small businesses and solar retailer sales activity.</w:t>
      </w:r>
    </w:p>
    <w:tbl>
      <w:tblPr>
        <w:tblStyle w:val="TableGrid"/>
        <w:tblW w:w="9776" w:type="dxa"/>
        <w:tblLayout w:type="fixed"/>
        <w:tblLook w:val="0020" w:firstRow="1" w:lastRow="0" w:firstColumn="0" w:lastColumn="0" w:noHBand="0" w:noVBand="0"/>
      </w:tblPr>
      <w:tblGrid>
        <w:gridCol w:w="3256"/>
        <w:gridCol w:w="1275"/>
        <w:gridCol w:w="993"/>
        <w:gridCol w:w="1134"/>
        <w:gridCol w:w="1559"/>
        <w:gridCol w:w="1559"/>
      </w:tblGrid>
      <w:tr w:rsidR="0003210E" w:rsidRPr="00B02873" w14:paraId="507B7659" w14:textId="77777777" w:rsidTr="00F0025B">
        <w:trPr>
          <w:cnfStyle w:val="100000000000" w:firstRow="1" w:lastRow="0" w:firstColumn="0" w:lastColumn="0" w:oddVBand="0" w:evenVBand="0" w:oddHBand="0" w:evenHBand="0" w:firstRowFirstColumn="0" w:firstRowLastColumn="0" w:lastRowFirstColumn="0" w:lastRowLastColumn="0"/>
          <w:tblHeader/>
        </w:trPr>
        <w:tc>
          <w:tcPr>
            <w:tcW w:w="3256" w:type="dxa"/>
          </w:tcPr>
          <w:p w14:paraId="60EE36EF" w14:textId="77777777" w:rsidR="0003210E" w:rsidRDefault="0003210E" w:rsidP="00F0025B">
            <w:pPr>
              <w:pStyle w:val="TableheadingleftTables"/>
            </w:pPr>
            <w:r>
              <w:t>Output performance measures</w:t>
            </w:r>
          </w:p>
        </w:tc>
        <w:tc>
          <w:tcPr>
            <w:tcW w:w="1275" w:type="dxa"/>
          </w:tcPr>
          <w:p w14:paraId="2DBE4BD0" w14:textId="77777777" w:rsidR="0003210E" w:rsidRDefault="0003210E" w:rsidP="00F0025B">
            <w:pPr>
              <w:pStyle w:val="TableheadingleftTables"/>
            </w:pPr>
            <w:r>
              <w:t>Unit of measure</w:t>
            </w:r>
          </w:p>
        </w:tc>
        <w:tc>
          <w:tcPr>
            <w:tcW w:w="993" w:type="dxa"/>
          </w:tcPr>
          <w:p w14:paraId="786F2DFF" w14:textId="77777777" w:rsidR="0003210E" w:rsidRDefault="0003210E" w:rsidP="00A56FB4">
            <w:pPr>
              <w:pStyle w:val="TableheadingleftTables"/>
              <w:jc w:val="right"/>
            </w:pPr>
            <w:r>
              <w:t>2021-22 actual</w:t>
            </w:r>
          </w:p>
        </w:tc>
        <w:tc>
          <w:tcPr>
            <w:tcW w:w="1134" w:type="dxa"/>
          </w:tcPr>
          <w:p w14:paraId="5C447BC2" w14:textId="77777777" w:rsidR="0003210E" w:rsidRDefault="0003210E" w:rsidP="00A56FB4">
            <w:pPr>
              <w:pStyle w:val="TableheadingleftTables"/>
              <w:jc w:val="right"/>
            </w:pPr>
            <w:r>
              <w:t>2021-22 target</w:t>
            </w:r>
          </w:p>
        </w:tc>
        <w:tc>
          <w:tcPr>
            <w:tcW w:w="1559" w:type="dxa"/>
          </w:tcPr>
          <w:p w14:paraId="4A4C9F83" w14:textId="77777777" w:rsidR="0003210E" w:rsidRDefault="0003210E" w:rsidP="00A56FB4">
            <w:pPr>
              <w:pStyle w:val="TableheadingleftTables"/>
              <w:jc w:val="right"/>
            </w:pPr>
            <w:r>
              <w:rPr>
                <w:spacing w:val="-3"/>
              </w:rPr>
              <w:t>Performance variation (%)</w:t>
            </w:r>
          </w:p>
        </w:tc>
        <w:tc>
          <w:tcPr>
            <w:tcW w:w="1559" w:type="dxa"/>
          </w:tcPr>
          <w:p w14:paraId="78903CDA" w14:textId="77777777" w:rsidR="0003210E" w:rsidRDefault="0003210E" w:rsidP="00F0025B">
            <w:pPr>
              <w:pStyle w:val="TableheadingleftTables"/>
            </w:pPr>
            <w:r>
              <w:t>Result</w:t>
            </w:r>
          </w:p>
        </w:tc>
      </w:tr>
      <w:tr w:rsidR="00B02873" w:rsidRPr="00B02873" w14:paraId="4979103D" w14:textId="77777777" w:rsidTr="00656640">
        <w:tc>
          <w:tcPr>
            <w:tcW w:w="3256" w:type="dxa"/>
          </w:tcPr>
          <w:p w14:paraId="4387E1F8" w14:textId="77777777" w:rsidR="00B02873" w:rsidRDefault="00B02873" w:rsidP="00B415A9">
            <w:pPr>
              <w:pStyle w:val="TablebodyleftTables"/>
            </w:pPr>
            <w:r>
              <w:t>Applications for Home Heating and Cooling Upgrade rebates for reverse cycle air conditioning units to replace inefficient heating systems approved</w:t>
            </w:r>
          </w:p>
        </w:tc>
        <w:tc>
          <w:tcPr>
            <w:tcW w:w="1275" w:type="dxa"/>
          </w:tcPr>
          <w:p w14:paraId="4EF4C341" w14:textId="77777777" w:rsidR="00B02873" w:rsidRDefault="00B02873" w:rsidP="00656640">
            <w:pPr>
              <w:pStyle w:val="TablebodyleftTables"/>
            </w:pPr>
            <w:r>
              <w:t>number</w:t>
            </w:r>
          </w:p>
        </w:tc>
        <w:tc>
          <w:tcPr>
            <w:tcW w:w="993" w:type="dxa"/>
          </w:tcPr>
          <w:p w14:paraId="1EF37E7D" w14:textId="77777777" w:rsidR="00B02873" w:rsidRDefault="00B02873" w:rsidP="00A56FB4">
            <w:pPr>
              <w:pStyle w:val="TablebodyleftTables"/>
              <w:jc w:val="right"/>
            </w:pPr>
            <w:r>
              <w:t>35 367</w:t>
            </w:r>
          </w:p>
        </w:tc>
        <w:tc>
          <w:tcPr>
            <w:tcW w:w="1134" w:type="dxa"/>
          </w:tcPr>
          <w:p w14:paraId="7E484E22" w14:textId="77777777" w:rsidR="00B02873" w:rsidRDefault="00B02873" w:rsidP="00A56FB4">
            <w:pPr>
              <w:pStyle w:val="TablebodyleftTables"/>
              <w:jc w:val="right"/>
            </w:pPr>
            <w:r>
              <w:t>70 000</w:t>
            </w:r>
          </w:p>
        </w:tc>
        <w:tc>
          <w:tcPr>
            <w:tcW w:w="1559" w:type="dxa"/>
          </w:tcPr>
          <w:p w14:paraId="36EA6E8E" w14:textId="77777777" w:rsidR="00B02873" w:rsidRDefault="00B02873" w:rsidP="00A56FB4">
            <w:pPr>
              <w:pStyle w:val="TablebodyleftTables"/>
              <w:jc w:val="right"/>
            </w:pPr>
            <w:r>
              <w:t>(49%)</w:t>
            </w:r>
          </w:p>
        </w:tc>
        <w:tc>
          <w:tcPr>
            <w:tcW w:w="1559" w:type="dxa"/>
          </w:tcPr>
          <w:p w14:paraId="5AA00F55" w14:textId="121B7CF2" w:rsidR="00B02873" w:rsidRDefault="0003210E" w:rsidP="00656640">
            <w:pPr>
              <w:pStyle w:val="TablebodyleftTables"/>
            </w:pPr>
            <w:r w:rsidRPr="0003210E">
              <w:t>Performance target not achieved – exceeds 5 per cent variance.</w:t>
            </w:r>
          </w:p>
        </w:tc>
      </w:tr>
    </w:tbl>
    <w:p w14:paraId="2F586A6B" w14:textId="7D6C677B" w:rsidR="00656640" w:rsidRPr="00656640" w:rsidRDefault="00656640">
      <w:pPr>
        <w:rPr>
          <w:i/>
          <w:iCs/>
        </w:rPr>
      </w:pPr>
      <w:r w:rsidRPr="00656640">
        <w:rPr>
          <w:i/>
          <w:iCs/>
          <w:spacing w:val="-3"/>
        </w:rPr>
        <w:t>Performance is below target due to COVID-19 impacts on consumer demand and on reverse cycle air conditioning unit sales activity through supply chain impacts and labour shortages.</w:t>
      </w:r>
    </w:p>
    <w:tbl>
      <w:tblPr>
        <w:tblStyle w:val="TableGrid"/>
        <w:tblW w:w="9776" w:type="dxa"/>
        <w:tblLayout w:type="fixed"/>
        <w:tblLook w:val="0020" w:firstRow="1" w:lastRow="0" w:firstColumn="0" w:lastColumn="0" w:noHBand="0" w:noVBand="0"/>
      </w:tblPr>
      <w:tblGrid>
        <w:gridCol w:w="3256"/>
        <w:gridCol w:w="1275"/>
        <w:gridCol w:w="993"/>
        <w:gridCol w:w="1134"/>
        <w:gridCol w:w="1559"/>
        <w:gridCol w:w="1559"/>
      </w:tblGrid>
      <w:tr w:rsidR="0003210E" w:rsidRPr="00B02873" w14:paraId="7722BE00" w14:textId="77777777" w:rsidTr="00F0025B">
        <w:trPr>
          <w:cnfStyle w:val="100000000000" w:firstRow="1" w:lastRow="0" w:firstColumn="0" w:lastColumn="0" w:oddVBand="0" w:evenVBand="0" w:oddHBand="0" w:evenHBand="0" w:firstRowFirstColumn="0" w:firstRowLastColumn="0" w:lastRowFirstColumn="0" w:lastRowLastColumn="0"/>
          <w:tblHeader/>
        </w:trPr>
        <w:tc>
          <w:tcPr>
            <w:tcW w:w="3256" w:type="dxa"/>
          </w:tcPr>
          <w:p w14:paraId="2B78179D" w14:textId="77777777" w:rsidR="0003210E" w:rsidRDefault="0003210E" w:rsidP="00F0025B">
            <w:pPr>
              <w:pStyle w:val="TableheadingleftTables"/>
            </w:pPr>
            <w:r>
              <w:t>Output performance measures</w:t>
            </w:r>
          </w:p>
        </w:tc>
        <w:tc>
          <w:tcPr>
            <w:tcW w:w="1275" w:type="dxa"/>
          </w:tcPr>
          <w:p w14:paraId="392EAF5D" w14:textId="77777777" w:rsidR="0003210E" w:rsidRDefault="0003210E" w:rsidP="00F0025B">
            <w:pPr>
              <w:pStyle w:val="TableheadingleftTables"/>
            </w:pPr>
            <w:r>
              <w:t>Unit of measure</w:t>
            </w:r>
          </w:p>
        </w:tc>
        <w:tc>
          <w:tcPr>
            <w:tcW w:w="993" w:type="dxa"/>
          </w:tcPr>
          <w:p w14:paraId="4F0A47A5" w14:textId="77777777" w:rsidR="0003210E" w:rsidRDefault="0003210E" w:rsidP="00A56FB4">
            <w:pPr>
              <w:pStyle w:val="TableheadingleftTables"/>
              <w:jc w:val="right"/>
            </w:pPr>
            <w:r>
              <w:t>2021-22 actual</w:t>
            </w:r>
          </w:p>
        </w:tc>
        <w:tc>
          <w:tcPr>
            <w:tcW w:w="1134" w:type="dxa"/>
          </w:tcPr>
          <w:p w14:paraId="586B5C02" w14:textId="77777777" w:rsidR="0003210E" w:rsidRDefault="0003210E" w:rsidP="00A56FB4">
            <w:pPr>
              <w:pStyle w:val="TableheadingleftTables"/>
              <w:jc w:val="right"/>
            </w:pPr>
            <w:r>
              <w:t>2021-22 target</w:t>
            </w:r>
          </w:p>
        </w:tc>
        <w:tc>
          <w:tcPr>
            <w:tcW w:w="1559" w:type="dxa"/>
          </w:tcPr>
          <w:p w14:paraId="29B5951D" w14:textId="77777777" w:rsidR="0003210E" w:rsidRDefault="0003210E" w:rsidP="00A56FB4">
            <w:pPr>
              <w:pStyle w:val="TableheadingleftTables"/>
              <w:jc w:val="right"/>
            </w:pPr>
            <w:r>
              <w:rPr>
                <w:spacing w:val="-3"/>
              </w:rPr>
              <w:t>Performance variation (%)</w:t>
            </w:r>
          </w:p>
        </w:tc>
        <w:tc>
          <w:tcPr>
            <w:tcW w:w="1559" w:type="dxa"/>
          </w:tcPr>
          <w:p w14:paraId="362651F4" w14:textId="77777777" w:rsidR="0003210E" w:rsidRDefault="0003210E" w:rsidP="00F0025B">
            <w:pPr>
              <w:pStyle w:val="TableheadingleftTables"/>
            </w:pPr>
            <w:r>
              <w:t>Result</w:t>
            </w:r>
          </w:p>
        </w:tc>
      </w:tr>
      <w:tr w:rsidR="00B02873" w:rsidRPr="00B02873" w14:paraId="4897D0E1" w14:textId="77777777" w:rsidTr="00656640">
        <w:tc>
          <w:tcPr>
            <w:tcW w:w="3256" w:type="dxa"/>
          </w:tcPr>
          <w:p w14:paraId="16B96DD6" w14:textId="77777777" w:rsidR="00B02873" w:rsidRDefault="00B02873" w:rsidP="00B415A9">
            <w:pPr>
              <w:pStyle w:val="TableheadingleftTables"/>
            </w:pPr>
            <w:r>
              <w:t>Quality</w:t>
            </w:r>
          </w:p>
        </w:tc>
        <w:tc>
          <w:tcPr>
            <w:tcW w:w="1275" w:type="dxa"/>
          </w:tcPr>
          <w:p w14:paraId="62B77704" w14:textId="77777777" w:rsidR="00B02873" w:rsidRPr="00B02873" w:rsidRDefault="00B02873" w:rsidP="00B415A9">
            <w:pPr>
              <w:pStyle w:val="NoParagraphStyle"/>
              <w:spacing w:line="240" w:lineRule="auto"/>
              <w:textAlignment w:val="auto"/>
              <w:rPr>
                <w:rFonts w:ascii="Apple Symbols Regular" w:hAnsi="Apple Symbols Regular" w:cs="Times New Roman"/>
                <w:color w:val="auto"/>
                <w:lang w:val="en-AU"/>
              </w:rPr>
            </w:pPr>
          </w:p>
        </w:tc>
        <w:tc>
          <w:tcPr>
            <w:tcW w:w="993" w:type="dxa"/>
          </w:tcPr>
          <w:p w14:paraId="335DD136" w14:textId="77777777" w:rsidR="00B02873" w:rsidRPr="00B02873" w:rsidRDefault="00B02873" w:rsidP="00A56FB4">
            <w:pPr>
              <w:pStyle w:val="NoParagraphStyle"/>
              <w:spacing w:line="240" w:lineRule="auto"/>
              <w:jc w:val="right"/>
              <w:textAlignment w:val="auto"/>
              <w:rPr>
                <w:rFonts w:ascii="Apple Symbols Regular" w:hAnsi="Apple Symbols Regular" w:cs="Times New Roman"/>
                <w:color w:val="auto"/>
                <w:lang w:val="en-AU"/>
              </w:rPr>
            </w:pPr>
          </w:p>
        </w:tc>
        <w:tc>
          <w:tcPr>
            <w:tcW w:w="1134" w:type="dxa"/>
          </w:tcPr>
          <w:p w14:paraId="312FC8A7" w14:textId="77777777" w:rsidR="00B02873" w:rsidRPr="00B02873" w:rsidRDefault="00B02873" w:rsidP="00A56FB4">
            <w:pPr>
              <w:pStyle w:val="NoParagraphStyle"/>
              <w:spacing w:line="240" w:lineRule="auto"/>
              <w:jc w:val="right"/>
              <w:textAlignment w:val="auto"/>
              <w:rPr>
                <w:rFonts w:ascii="Apple Symbols Regular" w:hAnsi="Apple Symbols Regular" w:cs="Times New Roman"/>
                <w:color w:val="auto"/>
                <w:lang w:val="en-AU"/>
              </w:rPr>
            </w:pPr>
          </w:p>
        </w:tc>
        <w:tc>
          <w:tcPr>
            <w:tcW w:w="1559" w:type="dxa"/>
          </w:tcPr>
          <w:p w14:paraId="113185D0" w14:textId="77777777" w:rsidR="00B02873" w:rsidRPr="00B02873" w:rsidRDefault="00B02873" w:rsidP="00A56FB4">
            <w:pPr>
              <w:pStyle w:val="NoParagraphStyle"/>
              <w:spacing w:line="240" w:lineRule="auto"/>
              <w:jc w:val="right"/>
              <w:textAlignment w:val="auto"/>
              <w:rPr>
                <w:rFonts w:ascii="Apple Symbols Regular" w:hAnsi="Apple Symbols Regular" w:cs="Times New Roman"/>
                <w:color w:val="auto"/>
                <w:lang w:val="en-AU"/>
              </w:rPr>
            </w:pPr>
          </w:p>
        </w:tc>
        <w:tc>
          <w:tcPr>
            <w:tcW w:w="1559" w:type="dxa"/>
          </w:tcPr>
          <w:p w14:paraId="33E7398E" w14:textId="77777777" w:rsidR="00B02873" w:rsidRPr="00B02873" w:rsidRDefault="00B02873" w:rsidP="00B415A9">
            <w:pPr>
              <w:pStyle w:val="NoParagraphStyle"/>
              <w:spacing w:line="240" w:lineRule="auto"/>
              <w:textAlignment w:val="auto"/>
              <w:rPr>
                <w:rFonts w:ascii="Apple Symbols Regular" w:hAnsi="Apple Symbols Regular" w:cs="Times New Roman"/>
                <w:color w:val="auto"/>
                <w:lang w:val="en-AU"/>
              </w:rPr>
            </w:pPr>
          </w:p>
        </w:tc>
      </w:tr>
      <w:tr w:rsidR="00B02873" w:rsidRPr="00B02873" w14:paraId="170C994A" w14:textId="77777777" w:rsidTr="00656640">
        <w:tc>
          <w:tcPr>
            <w:tcW w:w="3256" w:type="dxa"/>
          </w:tcPr>
          <w:p w14:paraId="03352ED8" w14:textId="77777777" w:rsidR="00B02873" w:rsidRDefault="00B02873" w:rsidP="00B415A9">
            <w:pPr>
              <w:pStyle w:val="TablebodyleftTables"/>
            </w:pPr>
            <w:r>
              <w:t>Rebated installations audited by the Solar Homes Audit Program to be conducted in accordance with the Solar Homes Assurance Framework plan</w:t>
            </w:r>
          </w:p>
        </w:tc>
        <w:tc>
          <w:tcPr>
            <w:tcW w:w="1275" w:type="dxa"/>
          </w:tcPr>
          <w:p w14:paraId="2A52C58C" w14:textId="77777777" w:rsidR="00B02873" w:rsidRDefault="00B02873" w:rsidP="00656640">
            <w:pPr>
              <w:pStyle w:val="TablebodyleftTables"/>
            </w:pPr>
            <w:r>
              <w:t>per cent</w:t>
            </w:r>
          </w:p>
        </w:tc>
        <w:tc>
          <w:tcPr>
            <w:tcW w:w="993" w:type="dxa"/>
          </w:tcPr>
          <w:p w14:paraId="447164BA" w14:textId="77777777" w:rsidR="00B02873" w:rsidRDefault="00B02873" w:rsidP="00A56FB4">
            <w:pPr>
              <w:pStyle w:val="TablebodyleftTables"/>
              <w:jc w:val="right"/>
            </w:pPr>
            <w:r>
              <w:t>5</w:t>
            </w:r>
          </w:p>
        </w:tc>
        <w:tc>
          <w:tcPr>
            <w:tcW w:w="1134" w:type="dxa"/>
          </w:tcPr>
          <w:p w14:paraId="4D320E62" w14:textId="77777777" w:rsidR="00B02873" w:rsidRDefault="00B02873" w:rsidP="00A56FB4">
            <w:pPr>
              <w:pStyle w:val="TablebodyleftTables"/>
              <w:jc w:val="right"/>
            </w:pPr>
            <w:r>
              <w:t>5</w:t>
            </w:r>
          </w:p>
        </w:tc>
        <w:tc>
          <w:tcPr>
            <w:tcW w:w="1559" w:type="dxa"/>
          </w:tcPr>
          <w:p w14:paraId="145EA523" w14:textId="77777777" w:rsidR="00B02873" w:rsidRDefault="00B02873" w:rsidP="00A56FB4">
            <w:pPr>
              <w:pStyle w:val="TablebodyleftTables"/>
              <w:jc w:val="right"/>
            </w:pPr>
            <w:r>
              <w:t>0%</w:t>
            </w:r>
          </w:p>
        </w:tc>
        <w:tc>
          <w:tcPr>
            <w:tcW w:w="1559" w:type="dxa"/>
          </w:tcPr>
          <w:p w14:paraId="0DF1F9E6" w14:textId="7C4634B8" w:rsidR="00B02873" w:rsidRDefault="0003210E" w:rsidP="00656640">
            <w:pPr>
              <w:pStyle w:val="TablebodyleftTables"/>
            </w:pPr>
            <w:r w:rsidRPr="0003210E">
              <w:t>Performance target achieved or exceeded.</w:t>
            </w:r>
          </w:p>
        </w:tc>
      </w:tr>
      <w:tr w:rsidR="00B02873" w:rsidRPr="00B02873" w14:paraId="0BD8FAFC" w14:textId="77777777" w:rsidTr="00656640">
        <w:tc>
          <w:tcPr>
            <w:tcW w:w="3256" w:type="dxa"/>
          </w:tcPr>
          <w:p w14:paraId="59617037" w14:textId="77777777" w:rsidR="00B02873" w:rsidRDefault="00B02873" w:rsidP="00B415A9">
            <w:pPr>
              <w:pStyle w:val="TableheadingleftTables"/>
            </w:pPr>
            <w:r>
              <w:t>Timeliness</w:t>
            </w:r>
          </w:p>
        </w:tc>
        <w:tc>
          <w:tcPr>
            <w:tcW w:w="1275" w:type="dxa"/>
          </w:tcPr>
          <w:p w14:paraId="0A1AE100" w14:textId="77777777" w:rsidR="00B02873" w:rsidRPr="00B02873" w:rsidRDefault="00B02873" w:rsidP="00B415A9">
            <w:pPr>
              <w:pStyle w:val="NoParagraphStyle"/>
              <w:spacing w:line="240" w:lineRule="auto"/>
              <w:textAlignment w:val="auto"/>
              <w:rPr>
                <w:rFonts w:ascii="Apple Symbols Regular" w:hAnsi="Apple Symbols Regular" w:cs="Times New Roman"/>
                <w:color w:val="auto"/>
                <w:lang w:val="en-AU"/>
              </w:rPr>
            </w:pPr>
          </w:p>
        </w:tc>
        <w:tc>
          <w:tcPr>
            <w:tcW w:w="993" w:type="dxa"/>
          </w:tcPr>
          <w:p w14:paraId="44366982" w14:textId="77777777" w:rsidR="00B02873" w:rsidRPr="00B02873" w:rsidRDefault="00B02873" w:rsidP="00A56FB4">
            <w:pPr>
              <w:pStyle w:val="NoParagraphStyle"/>
              <w:spacing w:line="240" w:lineRule="auto"/>
              <w:jc w:val="right"/>
              <w:textAlignment w:val="auto"/>
              <w:rPr>
                <w:rFonts w:ascii="Apple Symbols Regular" w:hAnsi="Apple Symbols Regular" w:cs="Times New Roman"/>
                <w:color w:val="auto"/>
                <w:lang w:val="en-AU"/>
              </w:rPr>
            </w:pPr>
          </w:p>
        </w:tc>
        <w:tc>
          <w:tcPr>
            <w:tcW w:w="1134" w:type="dxa"/>
          </w:tcPr>
          <w:p w14:paraId="767A7604" w14:textId="77777777" w:rsidR="00B02873" w:rsidRPr="00B02873" w:rsidRDefault="00B02873" w:rsidP="00A56FB4">
            <w:pPr>
              <w:pStyle w:val="NoParagraphStyle"/>
              <w:spacing w:line="240" w:lineRule="auto"/>
              <w:jc w:val="right"/>
              <w:textAlignment w:val="auto"/>
              <w:rPr>
                <w:rFonts w:ascii="Apple Symbols Regular" w:hAnsi="Apple Symbols Regular" w:cs="Times New Roman"/>
                <w:color w:val="auto"/>
                <w:lang w:val="en-AU"/>
              </w:rPr>
            </w:pPr>
          </w:p>
        </w:tc>
        <w:tc>
          <w:tcPr>
            <w:tcW w:w="1559" w:type="dxa"/>
          </w:tcPr>
          <w:p w14:paraId="530E76D5" w14:textId="77777777" w:rsidR="00B02873" w:rsidRPr="00B02873" w:rsidRDefault="00B02873" w:rsidP="00A56FB4">
            <w:pPr>
              <w:pStyle w:val="NoParagraphStyle"/>
              <w:spacing w:line="240" w:lineRule="auto"/>
              <w:jc w:val="right"/>
              <w:textAlignment w:val="auto"/>
              <w:rPr>
                <w:rFonts w:ascii="Apple Symbols Regular" w:hAnsi="Apple Symbols Regular" w:cs="Times New Roman"/>
                <w:color w:val="auto"/>
                <w:lang w:val="en-AU"/>
              </w:rPr>
            </w:pPr>
          </w:p>
        </w:tc>
        <w:tc>
          <w:tcPr>
            <w:tcW w:w="1559" w:type="dxa"/>
          </w:tcPr>
          <w:p w14:paraId="6CF19B20" w14:textId="77777777" w:rsidR="00B02873" w:rsidRPr="00B02873" w:rsidRDefault="00B02873" w:rsidP="00B415A9">
            <w:pPr>
              <w:pStyle w:val="NoParagraphStyle"/>
              <w:spacing w:line="240" w:lineRule="auto"/>
              <w:textAlignment w:val="auto"/>
              <w:rPr>
                <w:rFonts w:ascii="Apple Symbols Regular" w:hAnsi="Apple Symbols Regular" w:cs="Times New Roman"/>
                <w:color w:val="auto"/>
                <w:lang w:val="en-AU"/>
              </w:rPr>
            </w:pPr>
          </w:p>
        </w:tc>
      </w:tr>
      <w:tr w:rsidR="00B02873" w:rsidRPr="00B02873" w14:paraId="286426F1" w14:textId="77777777" w:rsidTr="00656640">
        <w:tc>
          <w:tcPr>
            <w:tcW w:w="3256" w:type="dxa"/>
          </w:tcPr>
          <w:p w14:paraId="1E215FCE" w14:textId="77777777" w:rsidR="00B02873" w:rsidRDefault="00B02873" w:rsidP="00B415A9">
            <w:pPr>
              <w:pStyle w:val="TablebodyleftTables"/>
            </w:pPr>
            <w:r>
              <w:t>Average number of weeks to process completed eligibility applications</w:t>
            </w:r>
          </w:p>
        </w:tc>
        <w:tc>
          <w:tcPr>
            <w:tcW w:w="1275" w:type="dxa"/>
          </w:tcPr>
          <w:p w14:paraId="0165158A" w14:textId="77777777" w:rsidR="00B02873" w:rsidRDefault="00B02873" w:rsidP="00656640">
            <w:pPr>
              <w:pStyle w:val="TablebodyleftTables"/>
            </w:pPr>
            <w:r>
              <w:t>weeks</w:t>
            </w:r>
          </w:p>
        </w:tc>
        <w:tc>
          <w:tcPr>
            <w:tcW w:w="993" w:type="dxa"/>
          </w:tcPr>
          <w:p w14:paraId="1DF80F59" w14:textId="77777777" w:rsidR="00B02873" w:rsidRDefault="00B02873" w:rsidP="00A56FB4">
            <w:pPr>
              <w:pStyle w:val="TablebodyleftTables"/>
              <w:jc w:val="right"/>
            </w:pPr>
            <w:r>
              <w:t>1.94</w:t>
            </w:r>
          </w:p>
        </w:tc>
        <w:tc>
          <w:tcPr>
            <w:tcW w:w="1134" w:type="dxa"/>
          </w:tcPr>
          <w:p w14:paraId="5071965C" w14:textId="77777777" w:rsidR="00B02873" w:rsidRDefault="00B02873" w:rsidP="00A56FB4">
            <w:pPr>
              <w:pStyle w:val="TablebodyleftTables"/>
              <w:jc w:val="right"/>
            </w:pPr>
            <w:r>
              <w:t>4</w:t>
            </w:r>
          </w:p>
        </w:tc>
        <w:tc>
          <w:tcPr>
            <w:tcW w:w="1559" w:type="dxa"/>
          </w:tcPr>
          <w:p w14:paraId="30A22246" w14:textId="77777777" w:rsidR="00B02873" w:rsidRDefault="00B02873" w:rsidP="00A56FB4">
            <w:pPr>
              <w:pStyle w:val="TablebodyleftTables"/>
              <w:jc w:val="right"/>
            </w:pPr>
            <w:r>
              <w:t>52%</w:t>
            </w:r>
          </w:p>
        </w:tc>
        <w:tc>
          <w:tcPr>
            <w:tcW w:w="1559" w:type="dxa"/>
          </w:tcPr>
          <w:p w14:paraId="5709A74D" w14:textId="642BB832" w:rsidR="00B02873" w:rsidRDefault="0003210E" w:rsidP="00656640">
            <w:pPr>
              <w:pStyle w:val="TablebodyleftTables"/>
            </w:pPr>
            <w:r w:rsidRPr="0003210E">
              <w:t>Performance target achieved or exceeded.</w:t>
            </w:r>
          </w:p>
        </w:tc>
      </w:tr>
    </w:tbl>
    <w:p w14:paraId="0802AD69" w14:textId="33544768" w:rsidR="00656640" w:rsidRPr="00656640" w:rsidRDefault="00656640">
      <w:pPr>
        <w:rPr>
          <w:i/>
          <w:iCs/>
        </w:rPr>
      </w:pPr>
      <w:r w:rsidRPr="00656640">
        <w:rPr>
          <w:i/>
          <w:iCs/>
          <w:spacing w:val="-3"/>
        </w:rPr>
        <w:t>Performance is better than target due to lower than expected numbers of rebate applications received during 2021-22.</w:t>
      </w:r>
    </w:p>
    <w:tbl>
      <w:tblPr>
        <w:tblStyle w:val="TableGrid"/>
        <w:tblW w:w="9776" w:type="dxa"/>
        <w:tblLayout w:type="fixed"/>
        <w:tblLook w:val="0020" w:firstRow="1" w:lastRow="0" w:firstColumn="0" w:lastColumn="0" w:noHBand="0" w:noVBand="0"/>
      </w:tblPr>
      <w:tblGrid>
        <w:gridCol w:w="3256"/>
        <w:gridCol w:w="1275"/>
        <w:gridCol w:w="993"/>
        <w:gridCol w:w="1134"/>
        <w:gridCol w:w="1559"/>
        <w:gridCol w:w="1559"/>
      </w:tblGrid>
      <w:tr w:rsidR="0003210E" w:rsidRPr="00B02873" w14:paraId="30C5AB74" w14:textId="77777777" w:rsidTr="00F0025B">
        <w:trPr>
          <w:cnfStyle w:val="100000000000" w:firstRow="1" w:lastRow="0" w:firstColumn="0" w:lastColumn="0" w:oddVBand="0" w:evenVBand="0" w:oddHBand="0" w:evenHBand="0" w:firstRowFirstColumn="0" w:firstRowLastColumn="0" w:lastRowFirstColumn="0" w:lastRowLastColumn="0"/>
          <w:tblHeader/>
        </w:trPr>
        <w:tc>
          <w:tcPr>
            <w:tcW w:w="3256" w:type="dxa"/>
          </w:tcPr>
          <w:p w14:paraId="0AE00754" w14:textId="77777777" w:rsidR="0003210E" w:rsidRDefault="0003210E" w:rsidP="00F0025B">
            <w:pPr>
              <w:pStyle w:val="TableheadingleftTables"/>
            </w:pPr>
            <w:r>
              <w:t>Output performance measures</w:t>
            </w:r>
          </w:p>
        </w:tc>
        <w:tc>
          <w:tcPr>
            <w:tcW w:w="1275" w:type="dxa"/>
          </w:tcPr>
          <w:p w14:paraId="4F85E8C6" w14:textId="77777777" w:rsidR="0003210E" w:rsidRDefault="0003210E" w:rsidP="00F0025B">
            <w:pPr>
              <w:pStyle w:val="TableheadingleftTables"/>
            </w:pPr>
            <w:r>
              <w:t>Unit of measure</w:t>
            </w:r>
          </w:p>
        </w:tc>
        <w:tc>
          <w:tcPr>
            <w:tcW w:w="993" w:type="dxa"/>
          </w:tcPr>
          <w:p w14:paraId="5F3FC3CD" w14:textId="77777777" w:rsidR="0003210E" w:rsidRDefault="0003210E" w:rsidP="00A56FB4">
            <w:pPr>
              <w:pStyle w:val="TableheadingleftTables"/>
              <w:jc w:val="right"/>
            </w:pPr>
            <w:r>
              <w:t>2021-22 actual</w:t>
            </w:r>
          </w:p>
        </w:tc>
        <w:tc>
          <w:tcPr>
            <w:tcW w:w="1134" w:type="dxa"/>
          </w:tcPr>
          <w:p w14:paraId="2C478171" w14:textId="77777777" w:rsidR="0003210E" w:rsidRDefault="0003210E" w:rsidP="00A56FB4">
            <w:pPr>
              <w:pStyle w:val="TableheadingleftTables"/>
              <w:jc w:val="right"/>
            </w:pPr>
            <w:r>
              <w:t>2021-22 target</w:t>
            </w:r>
          </w:p>
        </w:tc>
        <w:tc>
          <w:tcPr>
            <w:tcW w:w="1559" w:type="dxa"/>
          </w:tcPr>
          <w:p w14:paraId="4E3D8A17" w14:textId="77777777" w:rsidR="0003210E" w:rsidRDefault="0003210E" w:rsidP="00A56FB4">
            <w:pPr>
              <w:pStyle w:val="TableheadingleftTables"/>
              <w:jc w:val="right"/>
            </w:pPr>
            <w:r>
              <w:rPr>
                <w:spacing w:val="-3"/>
              </w:rPr>
              <w:t>Performance variation (%)</w:t>
            </w:r>
          </w:p>
        </w:tc>
        <w:tc>
          <w:tcPr>
            <w:tcW w:w="1559" w:type="dxa"/>
          </w:tcPr>
          <w:p w14:paraId="29E77D7B" w14:textId="77777777" w:rsidR="0003210E" w:rsidRDefault="0003210E" w:rsidP="00F0025B">
            <w:pPr>
              <w:pStyle w:val="TableheadingleftTables"/>
            </w:pPr>
            <w:r>
              <w:t>Result</w:t>
            </w:r>
          </w:p>
        </w:tc>
      </w:tr>
      <w:tr w:rsidR="00B02873" w:rsidRPr="00B02873" w14:paraId="792C4151" w14:textId="77777777" w:rsidTr="00656640">
        <w:tc>
          <w:tcPr>
            <w:tcW w:w="3256" w:type="dxa"/>
          </w:tcPr>
          <w:p w14:paraId="6720E6F4" w14:textId="77777777" w:rsidR="00B02873" w:rsidRDefault="00B02873" w:rsidP="00B415A9">
            <w:pPr>
              <w:pStyle w:val="TableheadingleftTables"/>
            </w:pPr>
            <w:r>
              <w:t>Cost</w:t>
            </w:r>
          </w:p>
        </w:tc>
        <w:tc>
          <w:tcPr>
            <w:tcW w:w="1275" w:type="dxa"/>
          </w:tcPr>
          <w:p w14:paraId="7448FB53" w14:textId="77777777" w:rsidR="00B02873" w:rsidRPr="00B02873" w:rsidRDefault="00B02873" w:rsidP="00B415A9">
            <w:pPr>
              <w:pStyle w:val="NoParagraphStyle"/>
              <w:spacing w:line="240" w:lineRule="auto"/>
              <w:textAlignment w:val="auto"/>
              <w:rPr>
                <w:rFonts w:ascii="Apple Symbols Regular" w:hAnsi="Apple Symbols Regular" w:cs="Times New Roman"/>
                <w:color w:val="auto"/>
                <w:lang w:val="en-AU"/>
              </w:rPr>
            </w:pPr>
          </w:p>
        </w:tc>
        <w:tc>
          <w:tcPr>
            <w:tcW w:w="993" w:type="dxa"/>
          </w:tcPr>
          <w:p w14:paraId="2EDE9371" w14:textId="77777777" w:rsidR="00B02873" w:rsidRPr="00B02873" w:rsidRDefault="00B02873" w:rsidP="00A56FB4">
            <w:pPr>
              <w:pStyle w:val="NoParagraphStyle"/>
              <w:spacing w:line="240" w:lineRule="auto"/>
              <w:jc w:val="right"/>
              <w:textAlignment w:val="auto"/>
              <w:rPr>
                <w:rFonts w:ascii="Apple Symbols Regular" w:hAnsi="Apple Symbols Regular" w:cs="Times New Roman"/>
                <w:color w:val="auto"/>
                <w:lang w:val="en-AU"/>
              </w:rPr>
            </w:pPr>
          </w:p>
        </w:tc>
        <w:tc>
          <w:tcPr>
            <w:tcW w:w="1134" w:type="dxa"/>
          </w:tcPr>
          <w:p w14:paraId="2BCB2C4B" w14:textId="77777777" w:rsidR="00B02873" w:rsidRPr="00B02873" w:rsidRDefault="00B02873" w:rsidP="00A56FB4">
            <w:pPr>
              <w:pStyle w:val="NoParagraphStyle"/>
              <w:spacing w:line="240" w:lineRule="auto"/>
              <w:jc w:val="right"/>
              <w:textAlignment w:val="auto"/>
              <w:rPr>
                <w:rFonts w:ascii="Apple Symbols Regular" w:hAnsi="Apple Symbols Regular" w:cs="Times New Roman"/>
                <w:color w:val="auto"/>
                <w:lang w:val="en-AU"/>
              </w:rPr>
            </w:pPr>
          </w:p>
        </w:tc>
        <w:tc>
          <w:tcPr>
            <w:tcW w:w="1559" w:type="dxa"/>
          </w:tcPr>
          <w:p w14:paraId="2C6F15B6" w14:textId="77777777" w:rsidR="00B02873" w:rsidRPr="00B02873" w:rsidRDefault="00B02873" w:rsidP="00A56FB4">
            <w:pPr>
              <w:pStyle w:val="NoParagraphStyle"/>
              <w:spacing w:line="240" w:lineRule="auto"/>
              <w:jc w:val="right"/>
              <w:textAlignment w:val="auto"/>
              <w:rPr>
                <w:rFonts w:ascii="Apple Symbols Regular" w:hAnsi="Apple Symbols Regular" w:cs="Times New Roman"/>
                <w:color w:val="auto"/>
                <w:lang w:val="en-AU"/>
              </w:rPr>
            </w:pPr>
          </w:p>
        </w:tc>
        <w:tc>
          <w:tcPr>
            <w:tcW w:w="1559" w:type="dxa"/>
          </w:tcPr>
          <w:p w14:paraId="3CA0A023" w14:textId="77777777" w:rsidR="00B02873" w:rsidRPr="00B02873" w:rsidRDefault="00B02873" w:rsidP="00B415A9">
            <w:pPr>
              <w:pStyle w:val="NoParagraphStyle"/>
              <w:spacing w:line="240" w:lineRule="auto"/>
              <w:textAlignment w:val="auto"/>
              <w:rPr>
                <w:rFonts w:ascii="Apple Symbols Regular" w:hAnsi="Apple Symbols Regular" w:cs="Times New Roman"/>
                <w:color w:val="auto"/>
                <w:lang w:val="en-AU"/>
              </w:rPr>
            </w:pPr>
          </w:p>
        </w:tc>
      </w:tr>
      <w:tr w:rsidR="00B02873" w:rsidRPr="00B02873" w14:paraId="12334E1D" w14:textId="77777777" w:rsidTr="00656640">
        <w:tc>
          <w:tcPr>
            <w:tcW w:w="3256" w:type="dxa"/>
          </w:tcPr>
          <w:p w14:paraId="31D2C221" w14:textId="77777777" w:rsidR="00B02873" w:rsidRDefault="00B02873" w:rsidP="00B415A9">
            <w:pPr>
              <w:pStyle w:val="TablebodyleftTables"/>
            </w:pPr>
            <w:r>
              <w:rPr>
                <w:rStyle w:val="Bold"/>
              </w:rPr>
              <w:t>Total output cost</w:t>
            </w:r>
          </w:p>
        </w:tc>
        <w:tc>
          <w:tcPr>
            <w:tcW w:w="1275" w:type="dxa"/>
          </w:tcPr>
          <w:p w14:paraId="7D6E2FA5" w14:textId="77777777" w:rsidR="00B02873" w:rsidRDefault="00B02873" w:rsidP="00656640">
            <w:pPr>
              <w:pStyle w:val="TablebodyleftTables"/>
            </w:pPr>
            <w:r>
              <w:t>$ million</w:t>
            </w:r>
          </w:p>
        </w:tc>
        <w:tc>
          <w:tcPr>
            <w:tcW w:w="993" w:type="dxa"/>
          </w:tcPr>
          <w:p w14:paraId="0726CDF9" w14:textId="77777777" w:rsidR="00B02873" w:rsidRDefault="00B02873" w:rsidP="00A56FB4">
            <w:pPr>
              <w:pStyle w:val="TablebodyleftTables"/>
              <w:jc w:val="right"/>
            </w:pPr>
            <w:r>
              <w:t>187.5</w:t>
            </w:r>
          </w:p>
        </w:tc>
        <w:tc>
          <w:tcPr>
            <w:tcW w:w="1134" w:type="dxa"/>
          </w:tcPr>
          <w:p w14:paraId="76B874D6" w14:textId="77777777" w:rsidR="00B02873" w:rsidRDefault="00B02873" w:rsidP="00A56FB4">
            <w:pPr>
              <w:pStyle w:val="TablebodyleftTables"/>
              <w:jc w:val="right"/>
            </w:pPr>
            <w:r>
              <w:t>322.2</w:t>
            </w:r>
          </w:p>
        </w:tc>
        <w:tc>
          <w:tcPr>
            <w:tcW w:w="1559" w:type="dxa"/>
          </w:tcPr>
          <w:p w14:paraId="1D673C77" w14:textId="77777777" w:rsidR="00B02873" w:rsidRDefault="00B02873" w:rsidP="00A56FB4">
            <w:pPr>
              <w:pStyle w:val="TablebodyleftTables"/>
              <w:jc w:val="right"/>
            </w:pPr>
            <w:r>
              <w:t>(42%)</w:t>
            </w:r>
          </w:p>
        </w:tc>
        <w:tc>
          <w:tcPr>
            <w:tcW w:w="1559" w:type="dxa"/>
          </w:tcPr>
          <w:p w14:paraId="1C876B7D" w14:textId="60C8A542" w:rsidR="00B02873" w:rsidRDefault="0003210E" w:rsidP="00656640">
            <w:pPr>
              <w:pStyle w:val="TablebodyleftTables"/>
            </w:pPr>
            <w:r w:rsidRPr="0003210E">
              <w:t>Performance target not achieved – exceeds 5 per cent variance.</w:t>
            </w:r>
          </w:p>
        </w:tc>
      </w:tr>
    </w:tbl>
    <w:p w14:paraId="6ECCAF70" w14:textId="2159D441" w:rsidR="00656640" w:rsidRPr="00656640" w:rsidRDefault="00656640">
      <w:pPr>
        <w:rPr>
          <w:i/>
          <w:iCs/>
        </w:rPr>
      </w:pPr>
      <w:r w:rsidRPr="00656640">
        <w:rPr>
          <w:i/>
          <w:iCs/>
        </w:rPr>
        <w:lastRenderedPageBreak/>
        <w:t>The lower than budgeted output cost is primarily due to a rephase of funding for the Home Heating and Cooling Upgrades, Solar Homes and Growing Victoria’s Solar Industry initiatives, as well as reduced expenditure reflecting the lower number of rebates taken up.</w:t>
      </w:r>
    </w:p>
    <w:p w14:paraId="410169D0" w14:textId="242309CF" w:rsidR="00B02873" w:rsidRDefault="00B02873" w:rsidP="0003210E">
      <w:pPr>
        <w:pStyle w:val="Heading2"/>
      </w:pPr>
      <w:bookmarkStart w:id="14" w:name="_Toc117447355"/>
      <w:r>
        <w:t>Productive and effective land management</w:t>
      </w:r>
      <w:bookmarkEnd w:id="14"/>
    </w:p>
    <w:p w14:paraId="6F3C16D9" w14:textId="46903F40" w:rsidR="003B4308" w:rsidRDefault="003B4308" w:rsidP="001128B1">
      <w:pPr>
        <w:pStyle w:val="Number1Lists"/>
        <w:numPr>
          <w:ilvl w:val="0"/>
          <w:numId w:val="60"/>
        </w:numPr>
      </w:pPr>
      <w:r>
        <w:t>Sustainable cities and communities</w:t>
      </w:r>
    </w:p>
    <w:p w14:paraId="26D748A0" w14:textId="0B2806AE" w:rsidR="003B4308" w:rsidRDefault="003B4308" w:rsidP="00A56FB4">
      <w:pPr>
        <w:pStyle w:val="Number1Lists"/>
      </w:pPr>
      <w:r>
        <w:t>Life below water</w:t>
      </w:r>
    </w:p>
    <w:p w14:paraId="199503C0" w14:textId="65F4E69B" w:rsidR="003B4308" w:rsidRDefault="003B4308" w:rsidP="00A56FB4">
      <w:pPr>
        <w:pStyle w:val="Number1Lists"/>
      </w:pPr>
      <w:r>
        <w:t>Life on land</w:t>
      </w:r>
    </w:p>
    <w:p w14:paraId="7F3FACEF" w14:textId="0A54E820" w:rsidR="003B4308" w:rsidRPr="003B4308" w:rsidRDefault="003B4308" w:rsidP="00A56FB4">
      <w:pPr>
        <w:pStyle w:val="Number1Listslast"/>
      </w:pPr>
      <w:r>
        <w:t>Peace, justice and strong institutions</w:t>
      </w:r>
    </w:p>
    <w:p w14:paraId="6E452AD9" w14:textId="36A2F1CD" w:rsidR="00B02873" w:rsidRDefault="00B02873" w:rsidP="003B4308">
      <w:pPr>
        <w:pStyle w:val="Heading3"/>
      </w:pPr>
      <w:r>
        <w:t>Progress towards achieving this objective</w:t>
      </w:r>
    </w:p>
    <w:p w14:paraId="6E89C250" w14:textId="77777777" w:rsidR="00B02873" w:rsidRDefault="00B02873" w:rsidP="00BC7127">
      <w:pPr>
        <w:pStyle w:val="Heading4"/>
      </w:pPr>
      <w:r>
        <w:t>Context</w:t>
      </w:r>
    </w:p>
    <w:p w14:paraId="35F05E17" w14:textId="77777777" w:rsidR="00B02873" w:rsidRDefault="00B02873" w:rsidP="00FE198A">
      <w:r>
        <w:t xml:space="preserve">Victoria’s public land, including its parks, forests, coasts, alpine resorts and Crown land reserves, has significant economic, environmental, cultural and recreational value. DELWP manages public land to both protect these values and optimise its use by all Victorians. </w:t>
      </w:r>
    </w:p>
    <w:p w14:paraId="615668E7" w14:textId="77777777" w:rsidR="00B02873" w:rsidRDefault="00B02873" w:rsidP="00FE198A">
      <w:r>
        <w:t xml:space="preserve">In partnering with other public land managers, including Traditional Owners, statutory agencies, and committees of management, we ensure that our public land and water assets are used in a sustainable manner and that their natural and built assets continue to be maintained and improved. </w:t>
      </w:r>
    </w:p>
    <w:p w14:paraId="4B0349DF" w14:textId="77777777" w:rsidR="00B02873" w:rsidRDefault="00B02873" w:rsidP="00FE198A">
      <w:r>
        <w:t>We partner and work closely with Traditional Owners and Registered Aboriginal Parties to ensure their connection to Country, recognise existing rights under agreements, and incorporate Aboriginal knowledge and culture into the management of land and natural values.</w:t>
      </w:r>
    </w:p>
    <w:p w14:paraId="5835D5B0" w14:textId="77777777" w:rsidR="00B02873" w:rsidRDefault="00B02873" w:rsidP="00FE198A">
      <w:r>
        <w:t>We ensure that all Victorians and visitors to the state have access to safe and appropriate infrastructure, and that development, particularly along Victoria’s coastline, is appropriate and takes full account of community, environmental, and economic values as well as Traditional Owner values and aspirations.</w:t>
      </w:r>
    </w:p>
    <w:tbl>
      <w:tblPr>
        <w:tblStyle w:val="TableGrid"/>
        <w:tblW w:w="0" w:type="auto"/>
        <w:tblLayout w:type="fixed"/>
        <w:tblLook w:val="0020" w:firstRow="1" w:lastRow="0" w:firstColumn="0" w:lastColumn="0" w:noHBand="0" w:noVBand="0"/>
      </w:tblPr>
      <w:tblGrid>
        <w:gridCol w:w="2339"/>
        <w:gridCol w:w="7289"/>
      </w:tblGrid>
      <w:tr w:rsidR="00B02873" w:rsidRPr="00B02873" w14:paraId="34B3FCE5" w14:textId="77777777" w:rsidTr="009A100E">
        <w:trPr>
          <w:cnfStyle w:val="100000000000" w:firstRow="1" w:lastRow="0" w:firstColumn="0" w:lastColumn="0" w:oddVBand="0" w:evenVBand="0" w:oddHBand="0" w:evenHBand="0" w:firstRowFirstColumn="0" w:firstRowLastColumn="0" w:lastRowFirstColumn="0" w:lastRowLastColumn="0"/>
          <w:tblHeader/>
        </w:trPr>
        <w:tc>
          <w:tcPr>
            <w:tcW w:w="2339" w:type="dxa"/>
          </w:tcPr>
          <w:p w14:paraId="2453AD70" w14:textId="77777777" w:rsidR="00B02873" w:rsidRDefault="00B02873" w:rsidP="009A100E">
            <w:pPr>
              <w:pStyle w:val="TableheadingleftTables"/>
            </w:pPr>
            <w:r>
              <w:t xml:space="preserve">Key initiative </w:t>
            </w:r>
          </w:p>
        </w:tc>
        <w:tc>
          <w:tcPr>
            <w:tcW w:w="7289" w:type="dxa"/>
          </w:tcPr>
          <w:p w14:paraId="393155C3" w14:textId="77777777" w:rsidR="00B02873" w:rsidRDefault="00B02873" w:rsidP="009A100E">
            <w:pPr>
              <w:pStyle w:val="TableheadingleftTables"/>
            </w:pPr>
            <w:r>
              <w:t xml:space="preserve">2021-22 progress summary </w:t>
            </w:r>
          </w:p>
        </w:tc>
      </w:tr>
      <w:tr w:rsidR="00B02873" w:rsidRPr="00B02873" w14:paraId="5A50BC23" w14:textId="77777777" w:rsidTr="009A100E">
        <w:tc>
          <w:tcPr>
            <w:tcW w:w="2339" w:type="dxa"/>
          </w:tcPr>
          <w:p w14:paraId="77F9BBF9" w14:textId="77777777" w:rsidR="00B02873" w:rsidRDefault="00B02873" w:rsidP="00B415A9">
            <w:pPr>
              <w:pStyle w:val="TablebodyleftTables"/>
            </w:pPr>
            <w:r>
              <w:t xml:space="preserve">Suburban Parks Program </w:t>
            </w:r>
          </w:p>
        </w:tc>
        <w:tc>
          <w:tcPr>
            <w:tcW w:w="7289" w:type="dxa"/>
          </w:tcPr>
          <w:p w14:paraId="42AD370B" w14:textId="77777777" w:rsidR="00B02873" w:rsidRDefault="00B02873" w:rsidP="00B415A9">
            <w:pPr>
              <w:pStyle w:val="TablebodyleftTables"/>
            </w:pPr>
            <w:r>
              <w:t xml:space="preserve">DELWP acquired seven properties in 2021-22 to support creation of three new regional parks and Sandbelt Parklands. A further 32 properties are expected to be acquired by December 2022. </w:t>
            </w:r>
          </w:p>
          <w:p w14:paraId="0A2576F1" w14:textId="77777777" w:rsidR="00B02873" w:rsidRDefault="00B02873" w:rsidP="00B415A9">
            <w:pPr>
              <w:pStyle w:val="TablebodyleftTables"/>
            </w:pPr>
            <w:r>
              <w:t>DELWP is supporting the delivery of 29 new pocket parks, 14 new off-leash dog parks and 41 park revitalisation projects. Four pocket parks, seven off-leash dog parks and 14 park revitalisation projects were completed in 2020-21. The majority of the remaining projects are expected to be completed by October 2022.</w:t>
            </w:r>
          </w:p>
        </w:tc>
      </w:tr>
      <w:tr w:rsidR="00B02873" w:rsidRPr="00B02873" w14:paraId="66F23E0F" w14:textId="77777777" w:rsidTr="009A100E">
        <w:tc>
          <w:tcPr>
            <w:tcW w:w="2339" w:type="dxa"/>
          </w:tcPr>
          <w:p w14:paraId="664E7A95" w14:textId="77777777" w:rsidR="00B02873" w:rsidRDefault="00B02873" w:rsidP="00B415A9">
            <w:pPr>
              <w:pStyle w:val="TablebodyleftTables"/>
            </w:pPr>
            <w:r>
              <w:lastRenderedPageBreak/>
              <w:t>Cleaning up contaminated public land</w:t>
            </w:r>
          </w:p>
        </w:tc>
        <w:tc>
          <w:tcPr>
            <w:tcW w:w="7289" w:type="dxa"/>
          </w:tcPr>
          <w:p w14:paraId="6BC1873C" w14:textId="24919455" w:rsidR="00B02873" w:rsidRDefault="00B02873" w:rsidP="00B415A9">
            <w:pPr>
              <w:pStyle w:val="TablebodyleftTables"/>
            </w:pPr>
            <w:r>
              <w:t>During 2021-22, remediation works at five contaminated land sites were completed. This included remediation at Geelong Gun Club, and clean-up plans completed for Mitchell Lasry, Sebastopol Gun Club, California Gully and Marong Road. Brimbank and Truganina site assessments were previously completed, with Lysterfield site assessments due for completion in early 2022-23.</w:t>
            </w:r>
            <w:r w:rsidR="00012C04">
              <w:t xml:space="preserve"> </w:t>
            </w:r>
          </w:p>
          <w:p w14:paraId="7A6DF238" w14:textId="77777777" w:rsidR="00B02873" w:rsidRDefault="00B02873" w:rsidP="00B415A9">
            <w:pPr>
              <w:pStyle w:val="TablebodyleftTables"/>
            </w:pPr>
            <w:r>
              <w:t>Completed in April 2022, the potentially contaminated public land identification and prioritisation screen tool identifies and prioritises potentially contaminated land based on past and present use, possibility of contamination, source-path-receptor considerations, and several other technical criteria. The tool was developed in-house by DELWP with input from Parks Victoria.</w:t>
            </w:r>
          </w:p>
        </w:tc>
      </w:tr>
      <w:tr w:rsidR="00B02873" w:rsidRPr="00B02873" w14:paraId="3259BDC3" w14:textId="77777777" w:rsidTr="009A100E">
        <w:tc>
          <w:tcPr>
            <w:tcW w:w="2339" w:type="dxa"/>
          </w:tcPr>
          <w:p w14:paraId="7643BF0E" w14:textId="77777777" w:rsidR="00B02873" w:rsidRDefault="00B02873" w:rsidP="00B415A9">
            <w:pPr>
              <w:pStyle w:val="TablebodyleftTables"/>
            </w:pPr>
            <w:r>
              <w:t xml:space="preserve">Yellingbo Conservation Area </w:t>
            </w:r>
          </w:p>
        </w:tc>
        <w:tc>
          <w:tcPr>
            <w:tcW w:w="7289" w:type="dxa"/>
          </w:tcPr>
          <w:p w14:paraId="200574B9" w14:textId="7FF44655" w:rsidR="00B02873" w:rsidRDefault="00B02873" w:rsidP="00B415A9">
            <w:pPr>
              <w:pStyle w:val="TablebodyleftTables"/>
            </w:pPr>
            <w:r>
              <w:t>The Yellingbo (Liwik Barring) Landscape Conservation Area 10-year Plan was released in December 2021 following consultation with a wide range of interested community, stakeholder groups. The plan articulates management directions for the conservation area for a 10-year time frame aimed at enhancing its scenic beauty, biodiversity, cultural heritage and community enjoyment.</w:t>
            </w:r>
          </w:p>
          <w:p w14:paraId="0C5BA1C5" w14:textId="77777777" w:rsidR="00B02873" w:rsidRDefault="00B02873" w:rsidP="00B415A9">
            <w:pPr>
              <w:pStyle w:val="TablebodyleftTables"/>
            </w:pPr>
            <w:r>
              <w:t>During 2021-22, more than 25 site visits were conducted to discuss changes to the management of Crown land with adjacent landholders. The site visits addressed construction of boundary fences, weed management, revegetation and off stream watering systems.</w:t>
            </w:r>
          </w:p>
        </w:tc>
      </w:tr>
      <w:tr w:rsidR="00B02873" w:rsidRPr="00B02873" w14:paraId="0E5D5DAA" w14:textId="77777777" w:rsidTr="009A100E">
        <w:tc>
          <w:tcPr>
            <w:tcW w:w="2339" w:type="dxa"/>
          </w:tcPr>
          <w:p w14:paraId="37D1A859" w14:textId="77777777" w:rsidR="00B02873" w:rsidRDefault="00B02873" w:rsidP="00B415A9">
            <w:pPr>
              <w:pStyle w:val="TablebodyleftTables"/>
            </w:pPr>
            <w:r>
              <w:t xml:space="preserve">Regional Forest Agreements </w:t>
            </w:r>
          </w:p>
        </w:tc>
        <w:tc>
          <w:tcPr>
            <w:tcW w:w="7289" w:type="dxa"/>
          </w:tcPr>
          <w:p w14:paraId="01343541" w14:textId="50211D3B" w:rsidR="00B02873" w:rsidRDefault="00B02873" w:rsidP="00B415A9">
            <w:pPr>
              <w:pStyle w:val="TablebodyleftTables"/>
            </w:pPr>
            <w:r>
              <w:t>DELWP is progressing commitments made in the Regional Forest Agreements (RFAs) for improving the long-term sustainable management and conservation of forests. These include:</w:t>
            </w:r>
          </w:p>
          <w:p w14:paraId="4AEBA6B3" w14:textId="77777777" w:rsidR="00B02873" w:rsidRDefault="00B02873" w:rsidP="009A100E">
            <w:pPr>
              <w:pStyle w:val="TableBulletleftTables"/>
            </w:pPr>
            <w:r>
              <w:t>a second RFA annual meeting held in March 2022 between DELWP, the Department of Jobs, Precincts and Regions and the Commonwealth Government</w:t>
            </w:r>
          </w:p>
          <w:p w14:paraId="4D6701AF" w14:textId="77777777" w:rsidR="00B02873" w:rsidRDefault="00B02873" w:rsidP="009A100E">
            <w:pPr>
              <w:pStyle w:val="TableBulletleftTables"/>
            </w:pPr>
            <w:r>
              <w:t xml:space="preserve">completion of a Major Event Review in April 2022 assessing the impacts of the 2019-20 bushfires on RFA matters </w:t>
            </w:r>
          </w:p>
          <w:p w14:paraId="03B88805" w14:textId="77777777" w:rsidR="00B02873" w:rsidRDefault="00B02873" w:rsidP="009A100E">
            <w:pPr>
              <w:pStyle w:val="TableBulletleftTables"/>
            </w:pPr>
            <w:r>
              <w:t>introduction of interim protections and management actions for threatened species and communities in April 2021</w:t>
            </w:r>
          </w:p>
          <w:p w14:paraId="5946DB71" w14:textId="77777777" w:rsidR="00B02873" w:rsidRDefault="00B02873" w:rsidP="009A100E">
            <w:pPr>
              <w:pStyle w:val="TableBulletleftTables"/>
            </w:pPr>
            <w:r>
              <w:t>commencement of a Comprehensive Review of the Code of Practice for Timber Production in January 2022, to be completed by December 2023.</w:t>
            </w:r>
          </w:p>
        </w:tc>
      </w:tr>
      <w:tr w:rsidR="00B02873" w:rsidRPr="00B02873" w14:paraId="35C69341" w14:textId="77777777" w:rsidTr="009A100E">
        <w:tc>
          <w:tcPr>
            <w:tcW w:w="2339" w:type="dxa"/>
          </w:tcPr>
          <w:p w14:paraId="2EDEED8B" w14:textId="77777777" w:rsidR="00B02873" w:rsidRDefault="00B02873" w:rsidP="00B415A9">
            <w:pPr>
              <w:pStyle w:val="TablebodyleftTables"/>
            </w:pPr>
            <w:r>
              <w:t xml:space="preserve">Management of the Great Ocean Road </w:t>
            </w:r>
          </w:p>
        </w:tc>
        <w:tc>
          <w:tcPr>
            <w:tcW w:w="7289" w:type="dxa"/>
          </w:tcPr>
          <w:p w14:paraId="394BBC79" w14:textId="77777777" w:rsidR="00B02873" w:rsidRDefault="00B02873" w:rsidP="00B415A9">
            <w:pPr>
              <w:pStyle w:val="TablebodyleftTables"/>
            </w:pPr>
            <w:r>
              <w:t xml:space="preserve">A Bill to amend the </w:t>
            </w:r>
            <w:r w:rsidRPr="009A100E">
              <w:rPr>
                <w:rStyle w:val="LightItalic"/>
                <w:rFonts w:asciiTheme="minorHAnsi" w:hAnsiTheme="minorHAnsi" w:cstheme="minorHAnsi"/>
              </w:rPr>
              <w:t>Great Ocean Road and Environs Protection Act 2020</w:t>
            </w:r>
            <w:r>
              <w:t xml:space="preserve"> was passed by Parliament on 14 October 2021, making the Great Ocean Road Coast and Parks Authority the dedicated parks and public land manager for the Great Ocean Road coast and parks. </w:t>
            </w:r>
          </w:p>
          <w:p w14:paraId="298A32AB" w14:textId="77777777" w:rsidR="00B02873" w:rsidRDefault="00B02873" w:rsidP="00B415A9">
            <w:pPr>
              <w:pStyle w:val="TablebodyleftTables"/>
            </w:pPr>
            <w:r>
              <w:t>The first step in developing the Great Ocean Road strategic framework plan was completed in June 2022 with the release of a consultation draft. The draft plan is expected to be finalised by December 2023.</w:t>
            </w:r>
          </w:p>
        </w:tc>
      </w:tr>
      <w:tr w:rsidR="00B02873" w:rsidRPr="00B02873" w14:paraId="371C8940" w14:textId="77777777" w:rsidTr="009A100E">
        <w:tc>
          <w:tcPr>
            <w:tcW w:w="2339" w:type="dxa"/>
          </w:tcPr>
          <w:p w14:paraId="1E0BE2E2" w14:textId="77777777" w:rsidR="00B02873" w:rsidRDefault="00B02873" w:rsidP="00B415A9">
            <w:pPr>
              <w:pStyle w:val="TablebodyleftTables"/>
            </w:pPr>
            <w:r>
              <w:lastRenderedPageBreak/>
              <w:t>Office of the Conservation Regulator regulatory functions in relation to timber harvesting, land use, and fire prevention</w:t>
            </w:r>
          </w:p>
        </w:tc>
        <w:tc>
          <w:tcPr>
            <w:tcW w:w="7289" w:type="dxa"/>
          </w:tcPr>
          <w:p w14:paraId="490BA967" w14:textId="77777777" w:rsidR="00B02873" w:rsidRDefault="00B02873" w:rsidP="00B415A9">
            <w:pPr>
              <w:pStyle w:val="TablebodyleftTables"/>
            </w:pPr>
            <w:r>
              <w:t xml:space="preserve">The Conservation Regulator delivered significant work to tackle key regulatory risks impacting land management including illegal campfires, illegal possession of wildlife, illegal commercial timber harvesting in state forests, illegal removal of firewood and illegal vehicle use on public land. </w:t>
            </w:r>
          </w:p>
          <w:p w14:paraId="5F6EC230" w14:textId="77777777" w:rsidR="00B02873" w:rsidRDefault="00B02873" w:rsidP="00B415A9">
            <w:pPr>
              <w:pStyle w:val="TablebodyleftTables"/>
            </w:pPr>
            <w:r>
              <w:t xml:space="preserve">There has been a significant increase in visitation to public land as a result of the COVID-19 pandemic, and this has presented increased risks of environmental harm. To address this risk and ensure compliance with the law, more than 1,900 proactive patrols on public land were conducted across the state during 2021-22. </w:t>
            </w:r>
          </w:p>
        </w:tc>
      </w:tr>
      <w:tr w:rsidR="00B02873" w:rsidRPr="00B02873" w14:paraId="07148472" w14:textId="77777777" w:rsidTr="009A100E">
        <w:tc>
          <w:tcPr>
            <w:tcW w:w="2339" w:type="dxa"/>
          </w:tcPr>
          <w:p w14:paraId="5CCA1F9C" w14:textId="77777777" w:rsidR="00B02873" w:rsidRDefault="00B02873" w:rsidP="00B415A9">
            <w:pPr>
              <w:pStyle w:val="TablebodyleftTables"/>
            </w:pPr>
            <w:r>
              <w:t xml:space="preserve">Building Works Program </w:t>
            </w:r>
          </w:p>
        </w:tc>
        <w:tc>
          <w:tcPr>
            <w:tcW w:w="7289" w:type="dxa"/>
          </w:tcPr>
          <w:p w14:paraId="512B88D3" w14:textId="77777777" w:rsidR="00B02873" w:rsidRDefault="00B02873" w:rsidP="00B415A9">
            <w:pPr>
              <w:pStyle w:val="TablebodyleftTables"/>
            </w:pPr>
            <w:r>
              <w:t xml:space="preserve">The Solar on Public Buildings program installed 3,900 solar panels at 140 sites across Victoria over 2021-22. This produced 1540kW of capacity and will save committees of management an estimated $300,000 per year. </w:t>
            </w:r>
          </w:p>
          <w:p w14:paraId="0E2CE8BD" w14:textId="77777777" w:rsidR="00B02873" w:rsidRDefault="00B02873" w:rsidP="00B415A9">
            <w:pPr>
              <w:pStyle w:val="TablebodyleftTables"/>
            </w:pPr>
            <w:r>
              <w:t>The Improving Public Visitor and Recreation Sites program continued to deliver improvements to walking tracks and campgrounds. During 2021-22, improvements were made at sites such as Forrest Mountain Bike Trails, O’Hagens to Staceys Bridge, the Timber Workers High Country Huts, the Mill Campground, Knowsley State Forest Smart Track Camp Area and Fontainbleu Campground. Visitor experiences at the Kyabram Fauna Park were improved through the program’s delivery of extensive upgrades to the park’s visitor entrance, education and conservation centre and reptile house.</w:t>
            </w:r>
          </w:p>
          <w:p w14:paraId="6BE94538" w14:textId="77777777" w:rsidR="00B02873" w:rsidRDefault="00B02873" w:rsidP="00B415A9">
            <w:pPr>
              <w:pStyle w:val="TablebodyleftTables"/>
            </w:pPr>
            <w:r>
              <w:t xml:space="preserve">The Safeguarding Marine and Coastal Assets program completed essential remediation works at Lakes Entrance, Mallacoota and Jam Jerrup in 2021-22 to protect vulnerable coastal and community assets under pressure from severe weather and changes in environmental conditions. </w:t>
            </w:r>
          </w:p>
          <w:p w14:paraId="6F1155C6" w14:textId="77777777" w:rsidR="00B02873" w:rsidRDefault="00B02873" w:rsidP="00B415A9">
            <w:pPr>
              <w:pStyle w:val="TablebodyleftTables"/>
            </w:pPr>
            <w:r>
              <w:t>The Building Works program also facilitated the development of 17 dog parks under the Local Parks program (of which six were completed in 2021-22), and delivered innovative infrastructure that will reduce aircraft turn-around times and improve effectiveness of fire-bombing operations through the Securing Water Supplies in Remote Areas for Firefighting project.</w:t>
            </w:r>
          </w:p>
        </w:tc>
      </w:tr>
      <w:tr w:rsidR="00B02873" w:rsidRPr="00B02873" w14:paraId="148EEEDC" w14:textId="77777777" w:rsidTr="009A100E">
        <w:tc>
          <w:tcPr>
            <w:tcW w:w="2339" w:type="dxa"/>
          </w:tcPr>
          <w:p w14:paraId="3929B21A" w14:textId="1B867E49" w:rsidR="00B02873" w:rsidRDefault="00B02873" w:rsidP="00B415A9">
            <w:pPr>
              <w:pStyle w:val="TablebodyleftTables"/>
            </w:pPr>
            <w:r>
              <w:t xml:space="preserve">Safeguarding Marine and Coastal Environments in the Face of Climate Change </w:t>
            </w:r>
          </w:p>
        </w:tc>
        <w:tc>
          <w:tcPr>
            <w:tcW w:w="7289" w:type="dxa"/>
          </w:tcPr>
          <w:p w14:paraId="0FA25B20" w14:textId="77777777" w:rsidR="00B02873" w:rsidRDefault="00B02873" w:rsidP="00B415A9">
            <w:pPr>
              <w:pStyle w:val="TablebodyleftTables"/>
            </w:pPr>
            <w:r>
              <w:t xml:space="preserve">Grants were awarded to six pilot projects in June 2022 for technical, engagement and strategic planning activities aligned to the </w:t>
            </w:r>
            <w:r w:rsidRPr="009A100E">
              <w:rPr>
                <w:rStyle w:val="LightItalic"/>
                <w:rFonts w:asciiTheme="minorHAnsi" w:hAnsiTheme="minorHAnsi" w:cstheme="minorHAnsi"/>
              </w:rPr>
              <w:t>Victoria’s Resilient Coast</w:t>
            </w:r>
            <w:r>
              <w:t xml:space="preserve"> framework. Six Traditional Owner groups were supported to develop self-determined marine and coastal projects through the Sea Country projects grants program. Through the Coastal Public Access and Risk Grants program, in January 2022, 20 grants were awarded to Victorian coastal Crown land managers for reduction of coastal risk and public access improvements.</w:t>
            </w:r>
          </w:p>
          <w:p w14:paraId="628E9FA2" w14:textId="6009459E" w:rsidR="00B02873" w:rsidRDefault="00B02873" w:rsidP="00B415A9">
            <w:pPr>
              <w:pStyle w:val="TablebodyleftTables"/>
            </w:pPr>
            <w:r>
              <w:t>Coastal protection works were completed at Altona in April 2022.</w:t>
            </w:r>
            <w:r w:rsidR="00012C04">
              <w:t xml:space="preserve"> </w:t>
            </w:r>
            <w:r>
              <w:t>Stage 2 of coastal protection works were delivered at Apollo Bay in May 2022 and at Mallacoota and Lakes Entrance in June 2022.</w:t>
            </w:r>
          </w:p>
        </w:tc>
      </w:tr>
      <w:tr w:rsidR="00B02873" w:rsidRPr="00B02873" w14:paraId="28D5C342" w14:textId="77777777" w:rsidTr="009A100E">
        <w:tc>
          <w:tcPr>
            <w:tcW w:w="2339" w:type="dxa"/>
          </w:tcPr>
          <w:p w14:paraId="4A6E1BB4" w14:textId="77777777" w:rsidR="00B02873" w:rsidRDefault="00B02873" w:rsidP="00B415A9">
            <w:pPr>
              <w:pStyle w:val="TablebodyleftTables"/>
            </w:pPr>
            <w:r>
              <w:lastRenderedPageBreak/>
              <w:t xml:space="preserve">Melbourne Zoo, Healesville Sanctuary and Werribee Open Range Zoo ‘Kids Free’ policy </w:t>
            </w:r>
          </w:p>
        </w:tc>
        <w:tc>
          <w:tcPr>
            <w:tcW w:w="7289" w:type="dxa"/>
          </w:tcPr>
          <w:p w14:paraId="7D29A18D" w14:textId="77777777" w:rsidR="00B02873" w:rsidRDefault="00B02873" w:rsidP="00B415A9">
            <w:pPr>
              <w:pStyle w:val="TablebodyleftTables"/>
            </w:pPr>
            <w:r>
              <w:t>The ‘Kids Free’ policy provided 260,000 children aged under 16 free access to Zoos Victoria’s three sites during 2021-22.</w:t>
            </w:r>
          </w:p>
          <w:p w14:paraId="4127A445" w14:textId="77777777" w:rsidR="00B02873" w:rsidRDefault="00B02873" w:rsidP="00B415A9">
            <w:pPr>
              <w:pStyle w:val="TablebodyleftTables"/>
            </w:pPr>
            <w:r>
              <w:t>Total visitation to the three zoos was 1.64 million in 2021-22, an increase of 110,000 from the 1.53 million visitors in 2020-21.</w:t>
            </w:r>
          </w:p>
        </w:tc>
      </w:tr>
      <w:tr w:rsidR="00B02873" w:rsidRPr="00B02873" w14:paraId="06D86FAD" w14:textId="77777777" w:rsidTr="009A100E">
        <w:tc>
          <w:tcPr>
            <w:tcW w:w="2339" w:type="dxa"/>
          </w:tcPr>
          <w:p w14:paraId="2BB08CCD" w14:textId="77777777" w:rsidR="00B02873" w:rsidRDefault="00B02873" w:rsidP="00B415A9">
            <w:pPr>
              <w:pStyle w:val="TablebodyleftTables"/>
            </w:pPr>
            <w:r>
              <w:t xml:space="preserve">Marine and coastal policy reforms </w:t>
            </w:r>
          </w:p>
        </w:tc>
        <w:tc>
          <w:tcPr>
            <w:tcW w:w="7289" w:type="dxa"/>
          </w:tcPr>
          <w:p w14:paraId="2F165570" w14:textId="77777777" w:rsidR="00B02873" w:rsidRDefault="00B02873" w:rsidP="00B415A9">
            <w:pPr>
              <w:pStyle w:val="TablebodyleftTables"/>
            </w:pPr>
            <w:r>
              <w:t>The Marine and Coastal Strategy was released in May 2022. It will support sustainable use and improve how we manage the health of the marine and coastal environment. Research projects with university partners on sea level rise impacts and coastal erosion have progressed. Guidelines for the management of existing bathing boxes and boatsheds on marine and coastal Crown land were released in March 2022 and guidelines for the development of marine and coastal management plans are also being drafted.</w:t>
            </w:r>
          </w:p>
        </w:tc>
      </w:tr>
      <w:tr w:rsidR="00B02873" w:rsidRPr="00B02873" w14:paraId="461C73CA" w14:textId="77777777" w:rsidTr="009A100E">
        <w:tc>
          <w:tcPr>
            <w:tcW w:w="2339" w:type="dxa"/>
          </w:tcPr>
          <w:p w14:paraId="3840E5FD" w14:textId="77777777" w:rsidR="00B02873" w:rsidRDefault="00B02873" w:rsidP="00B415A9">
            <w:pPr>
              <w:pStyle w:val="TablebodyleftTables"/>
            </w:pPr>
            <w:r>
              <w:t>Port Phillip Bay Beach Renourishment Program</w:t>
            </w:r>
          </w:p>
        </w:tc>
        <w:tc>
          <w:tcPr>
            <w:tcW w:w="7289" w:type="dxa"/>
          </w:tcPr>
          <w:p w14:paraId="2CC3DFD8" w14:textId="77777777" w:rsidR="00B02873" w:rsidRDefault="00B02873" w:rsidP="00B415A9">
            <w:pPr>
              <w:pStyle w:val="TablebodyleftTables"/>
            </w:pPr>
            <w:r>
              <w:t>The Port Phillip Bay Beaches Renourishment program met its target of 12 beach renourishments over four years. The final year of the program delivered six beach renourishments at:</w:t>
            </w:r>
          </w:p>
          <w:p w14:paraId="716F3F80" w14:textId="77777777" w:rsidR="00B02873" w:rsidRDefault="00B02873" w:rsidP="009A100E">
            <w:pPr>
              <w:pStyle w:val="TableBulletleftTables"/>
            </w:pPr>
            <w:r>
              <w:t>St Leonards North in November 2021</w:t>
            </w:r>
          </w:p>
          <w:p w14:paraId="53E41021" w14:textId="77777777" w:rsidR="00B02873" w:rsidRDefault="00B02873" w:rsidP="009A100E">
            <w:pPr>
              <w:pStyle w:val="TableBulletleftTables"/>
            </w:pPr>
            <w:r>
              <w:t>Sandringham in December 2021</w:t>
            </w:r>
          </w:p>
          <w:p w14:paraId="6F4B9AED" w14:textId="77777777" w:rsidR="00B02873" w:rsidRDefault="00B02873" w:rsidP="009A100E">
            <w:pPr>
              <w:pStyle w:val="TableBulletleftTables"/>
            </w:pPr>
            <w:r>
              <w:t>Blairgowrie and Rye in March 2022</w:t>
            </w:r>
          </w:p>
          <w:p w14:paraId="4283673D" w14:textId="77777777" w:rsidR="00B02873" w:rsidRDefault="00B02873" w:rsidP="009A100E">
            <w:pPr>
              <w:pStyle w:val="TableBulletleftTables"/>
            </w:pPr>
            <w:r>
              <w:t>Tootgarook and St Leonards South in April 2022.</w:t>
            </w:r>
          </w:p>
        </w:tc>
      </w:tr>
      <w:tr w:rsidR="00B02873" w:rsidRPr="00B02873" w14:paraId="263E2CD6" w14:textId="77777777" w:rsidTr="009A100E">
        <w:tc>
          <w:tcPr>
            <w:tcW w:w="2339" w:type="dxa"/>
          </w:tcPr>
          <w:p w14:paraId="4C92E40C" w14:textId="77777777" w:rsidR="00B02873" w:rsidRDefault="00B02873" w:rsidP="00B415A9">
            <w:pPr>
              <w:pStyle w:val="TablebodyleftTables"/>
            </w:pPr>
            <w:r>
              <w:t>Coastcare Victoria</w:t>
            </w:r>
          </w:p>
        </w:tc>
        <w:tc>
          <w:tcPr>
            <w:tcW w:w="7289" w:type="dxa"/>
          </w:tcPr>
          <w:p w14:paraId="3A438E21" w14:textId="3F8BF52F" w:rsidR="00B02873" w:rsidRDefault="00B02873" w:rsidP="00B415A9">
            <w:pPr>
              <w:pStyle w:val="TablebodyleftTables"/>
            </w:pPr>
            <w:r>
              <w:t xml:space="preserve">Coastcare Victoria delivered the Summer by the Sea program to more than 9,000 participants in January 2022 using an innovative hybrid delivery model (face to face and online). Face to face volunteer engagement resumed in May and June 2022 with the delivery of three regional volunteer forums. </w:t>
            </w:r>
          </w:p>
          <w:p w14:paraId="4CB065CC" w14:textId="77777777" w:rsidR="00B02873" w:rsidRDefault="00B02873" w:rsidP="00B415A9">
            <w:pPr>
              <w:pStyle w:val="TablebodyleftTables"/>
            </w:pPr>
            <w:r>
              <w:t xml:space="preserve">The Coastcare Community Grants program issued 32 grants to community organisations in September 2021, enabling protection and enhancement of the coastal and near-shore marine environment. </w:t>
            </w:r>
          </w:p>
        </w:tc>
      </w:tr>
      <w:tr w:rsidR="00B02873" w:rsidRPr="00B02873" w14:paraId="177D0F56" w14:textId="77777777" w:rsidTr="009A100E">
        <w:tc>
          <w:tcPr>
            <w:tcW w:w="2339" w:type="dxa"/>
          </w:tcPr>
          <w:p w14:paraId="3A4ACC88" w14:textId="77777777" w:rsidR="00B02873" w:rsidRDefault="00B02873" w:rsidP="00B415A9">
            <w:pPr>
              <w:pStyle w:val="TablebodyleftTables"/>
            </w:pPr>
            <w:r>
              <w:t xml:space="preserve">Renewing Victoria’s public land legislation </w:t>
            </w:r>
          </w:p>
        </w:tc>
        <w:tc>
          <w:tcPr>
            <w:tcW w:w="7289" w:type="dxa"/>
          </w:tcPr>
          <w:p w14:paraId="62955F7C" w14:textId="77777777" w:rsidR="00B02873" w:rsidRDefault="00B02873" w:rsidP="00B415A9">
            <w:pPr>
              <w:pStyle w:val="TablebodyleftTables"/>
            </w:pPr>
            <w:r>
              <w:t>Progress continues to be made on policy proposals to deliver the Government’s commitment to renew Victoria’s public land legislation to improve land use and management, streamline approval processes and remove barriers that limit self-determination for Traditional Owners. Public feedback was sought on a consultation paper, ‘Realising the value of Victoria’s public land: Renewing Victoria’s public land legislation’ over April and May 2021 with feedback being used to inform and refine the policy proposals.</w:t>
            </w:r>
          </w:p>
        </w:tc>
      </w:tr>
      <w:tr w:rsidR="00B02873" w:rsidRPr="00B02873" w14:paraId="7AD76CB8" w14:textId="77777777" w:rsidTr="009A100E">
        <w:tc>
          <w:tcPr>
            <w:tcW w:w="2339" w:type="dxa"/>
          </w:tcPr>
          <w:p w14:paraId="33C21050" w14:textId="77777777" w:rsidR="00B02873" w:rsidRDefault="00B02873" w:rsidP="00B415A9">
            <w:pPr>
              <w:pStyle w:val="TablebodyleftTables"/>
            </w:pPr>
            <w:r>
              <w:t xml:space="preserve">Victorian Traditional Owner Cultural Landscapes Strategy </w:t>
            </w:r>
          </w:p>
        </w:tc>
        <w:tc>
          <w:tcPr>
            <w:tcW w:w="7289" w:type="dxa"/>
          </w:tcPr>
          <w:p w14:paraId="36F89E23" w14:textId="66E9ABFE" w:rsidR="00B02873" w:rsidRDefault="00B02873" w:rsidP="00B415A9">
            <w:pPr>
              <w:pStyle w:val="TablebodyleftTables"/>
            </w:pPr>
            <w:r>
              <w:t xml:space="preserve">In August 2021, the Victorian Traditional Owner Cultural Landscapes Strategy was launched by Victorian Traditional Owners, supported by DELWP and Parks Victoria. The Strategy provides direction to the Victorian Government about how it can enable and empower Traditional Owner self-determination in land management. </w:t>
            </w:r>
          </w:p>
        </w:tc>
      </w:tr>
      <w:tr w:rsidR="00B02873" w:rsidRPr="00B02873" w14:paraId="7D59141D" w14:textId="77777777" w:rsidTr="009A100E">
        <w:tc>
          <w:tcPr>
            <w:tcW w:w="2339" w:type="dxa"/>
          </w:tcPr>
          <w:p w14:paraId="3572BE0A" w14:textId="77777777" w:rsidR="00B02873" w:rsidRDefault="00B02873" w:rsidP="00B415A9">
            <w:pPr>
              <w:pStyle w:val="TablebodyleftTables"/>
            </w:pPr>
            <w:r>
              <w:lastRenderedPageBreak/>
              <w:t>Identifying processes by which Traditional Owners have greater say in the way heritage is protected on Country</w:t>
            </w:r>
          </w:p>
        </w:tc>
        <w:tc>
          <w:tcPr>
            <w:tcW w:w="7289" w:type="dxa"/>
          </w:tcPr>
          <w:p w14:paraId="0DF14E64" w14:textId="77777777" w:rsidR="00B02873" w:rsidRDefault="00B02873" w:rsidP="00B415A9">
            <w:pPr>
              <w:pStyle w:val="TablebodyleftTables"/>
            </w:pPr>
            <w:r>
              <w:t xml:space="preserve">Under the direction of the Caring for Country Partnerships forum Traditional Owner caucus, DELWP commenced an in-depth review of Aboriginal heritage management in the context of </w:t>
            </w:r>
            <w:r w:rsidRPr="009A100E">
              <w:rPr>
                <w:rStyle w:val="LightItalic"/>
                <w:rFonts w:asciiTheme="minorHAnsi" w:hAnsiTheme="minorHAnsi" w:cstheme="minorHAnsi"/>
              </w:rPr>
              <w:t>Pupangarli Marnmarnepu</w:t>
            </w:r>
            <w:r>
              <w:t>. An interim report was provided to the caucus in late 2021 with feedback being used to inform an Aboriginal Cultural Heritage reform roadmap. The roadmap will enable Traditional Owners to set the strategic agenda for Aboriginal Cultural Heritage management.</w:t>
            </w:r>
          </w:p>
        </w:tc>
      </w:tr>
      <w:tr w:rsidR="00B02873" w:rsidRPr="00B02873" w14:paraId="7EEF6E84" w14:textId="77777777" w:rsidTr="009A100E">
        <w:tc>
          <w:tcPr>
            <w:tcW w:w="2339" w:type="dxa"/>
          </w:tcPr>
          <w:p w14:paraId="5D6588CE" w14:textId="77777777" w:rsidR="00B02873" w:rsidRDefault="00B02873" w:rsidP="00B415A9">
            <w:pPr>
              <w:pStyle w:val="TablebodyleftTables"/>
            </w:pPr>
            <w:r>
              <w:t xml:space="preserve">Regional Caring for Country Partnership Forums </w:t>
            </w:r>
          </w:p>
        </w:tc>
        <w:tc>
          <w:tcPr>
            <w:tcW w:w="7289" w:type="dxa"/>
          </w:tcPr>
          <w:p w14:paraId="1B3E32CF" w14:textId="77777777" w:rsidR="00B02873" w:rsidRDefault="00B02873" w:rsidP="00B415A9">
            <w:pPr>
              <w:pStyle w:val="TablebodyleftTables"/>
            </w:pPr>
            <w:r>
              <w:t xml:space="preserve">Regional Caring for Country Partnership forums were delivered to support four Traditional Owner groups in progressing self-determination: </w:t>
            </w:r>
          </w:p>
          <w:p w14:paraId="3C2FFF39" w14:textId="77777777" w:rsidR="00B02873" w:rsidRDefault="00B02873" w:rsidP="009A100E">
            <w:pPr>
              <w:pStyle w:val="TableBulletleftTables"/>
            </w:pPr>
            <w:r>
              <w:t>First People of the Millewa-Mallee Aboriginal Corporation (held on 23 March 2022 and 1 June 2022)</w:t>
            </w:r>
          </w:p>
          <w:p w14:paraId="185F0740" w14:textId="77777777" w:rsidR="00B02873" w:rsidRDefault="00B02873" w:rsidP="009A100E">
            <w:pPr>
              <w:pStyle w:val="TableBulletleftTables"/>
            </w:pPr>
            <w:r>
              <w:t>Dja Dja Wurrung Clans Aboriginal Corporation (held on 10 March 2022 and 2 June 2022)</w:t>
            </w:r>
          </w:p>
          <w:p w14:paraId="10A5D80D" w14:textId="77777777" w:rsidR="00B02873" w:rsidRDefault="00B02873" w:rsidP="009A100E">
            <w:pPr>
              <w:pStyle w:val="TableBulletleftTables"/>
            </w:pPr>
            <w:r>
              <w:t xml:space="preserve">Gunaikurnai Land and Waters Aboriginal Corporation (held on 24 March 2022) </w:t>
            </w:r>
          </w:p>
          <w:p w14:paraId="455E2E3C" w14:textId="77777777" w:rsidR="00B02873" w:rsidRDefault="00B02873" w:rsidP="009A100E">
            <w:pPr>
              <w:pStyle w:val="TableBulletleftTables"/>
            </w:pPr>
            <w:r>
              <w:t>Wurundjeri Woi Wurrung Cultural Heritage Aboriginal Corporation (held on 9 June 2022).</w:t>
            </w:r>
          </w:p>
          <w:p w14:paraId="49208086" w14:textId="77777777" w:rsidR="00B02873" w:rsidRDefault="00B02873" w:rsidP="00B415A9">
            <w:pPr>
              <w:pStyle w:val="TablebodyleftTables"/>
            </w:pPr>
            <w:r>
              <w:t>DELWP continues to support Traditional Owner groups in the preparation and delivery of the forums. Priorities discussed at the forums include increasing exposure of the forums to younger members of the communities, amending place names, recognising relationships and cultural fire.</w:t>
            </w:r>
          </w:p>
        </w:tc>
      </w:tr>
      <w:tr w:rsidR="00B02873" w:rsidRPr="00B02873" w14:paraId="7EF1E00F" w14:textId="77777777" w:rsidTr="009A100E">
        <w:tc>
          <w:tcPr>
            <w:tcW w:w="2339" w:type="dxa"/>
          </w:tcPr>
          <w:p w14:paraId="426FB5FD" w14:textId="77777777" w:rsidR="00B02873" w:rsidRDefault="00B02873" w:rsidP="00B415A9">
            <w:pPr>
              <w:pStyle w:val="TablebodyleftTables"/>
            </w:pPr>
            <w:r>
              <w:t xml:space="preserve">Supporting Traditional Owner Land Management Boards </w:t>
            </w:r>
          </w:p>
        </w:tc>
        <w:tc>
          <w:tcPr>
            <w:tcW w:w="7289" w:type="dxa"/>
          </w:tcPr>
          <w:p w14:paraId="52A58473" w14:textId="77777777" w:rsidR="00B02873" w:rsidRDefault="00B02873" w:rsidP="00B415A9">
            <w:pPr>
              <w:pStyle w:val="TablebodyleftTables"/>
            </w:pPr>
            <w:r>
              <w:t xml:space="preserve">Ongoing support to the three Traditional Owner Land Management Boards who oversee joint management continues. DELWP provided oversight with a focus on advice and administration in public sector governance including appointments, annual reports and financial management compliance. During 2021-22, DELWP met regularly with the chairs and executive officers of each board. </w:t>
            </w:r>
          </w:p>
          <w:p w14:paraId="32D70BF1" w14:textId="77777777" w:rsidR="00B02873" w:rsidRDefault="00B02873" w:rsidP="00B415A9">
            <w:pPr>
              <w:pStyle w:val="TablebodyleftTables"/>
            </w:pPr>
            <w:r>
              <w:t>In addition, DELWP participated in joint management workshops and board meetings on Country. DELWP continues to provide in-kind administrative support to the Yorta Yorta Traditional Owner Land Management.</w:t>
            </w:r>
          </w:p>
        </w:tc>
      </w:tr>
      <w:tr w:rsidR="00B02873" w:rsidRPr="00B02873" w14:paraId="46FBCF21" w14:textId="77777777" w:rsidTr="009A100E">
        <w:tc>
          <w:tcPr>
            <w:tcW w:w="2339" w:type="dxa"/>
          </w:tcPr>
          <w:p w14:paraId="202D928B" w14:textId="77777777" w:rsidR="00B02873" w:rsidRDefault="00B02873" w:rsidP="00B415A9">
            <w:pPr>
              <w:pStyle w:val="TablebodyleftTables"/>
            </w:pPr>
            <w:r>
              <w:t>Partnering with Traditional Owners in the planning and management of Victoria’s marine environment coastlines</w:t>
            </w:r>
          </w:p>
        </w:tc>
        <w:tc>
          <w:tcPr>
            <w:tcW w:w="7289" w:type="dxa"/>
          </w:tcPr>
          <w:p w14:paraId="0F5B91FA" w14:textId="77777777" w:rsidR="00B02873" w:rsidRDefault="00B02873" w:rsidP="00B415A9">
            <w:pPr>
              <w:pStyle w:val="TablebodyleftTables"/>
            </w:pPr>
            <w:r>
              <w:t>DELWP released an Access and Infrastructure Plan for the new Yallock-Bulluk Marine and Coastal Park in November 2021. The plan was developed in consultation with Traditional Owner partners and includes information about Aboriginal heritage places, visitor areas, facilities, and proposed trail routes to be constructed in phases based on funding.</w:t>
            </w:r>
          </w:p>
        </w:tc>
      </w:tr>
      <w:tr w:rsidR="00B02873" w:rsidRPr="00B02873" w14:paraId="4492F486" w14:textId="77777777" w:rsidTr="009A100E">
        <w:tc>
          <w:tcPr>
            <w:tcW w:w="2339" w:type="dxa"/>
          </w:tcPr>
          <w:p w14:paraId="4545FE61" w14:textId="77777777" w:rsidR="00B02873" w:rsidRDefault="00B02873" w:rsidP="00B415A9">
            <w:pPr>
              <w:pStyle w:val="TablebodyleftTables"/>
            </w:pPr>
            <w:r>
              <w:t>Victoria’s Great Outdoors</w:t>
            </w:r>
          </w:p>
        </w:tc>
        <w:tc>
          <w:tcPr>
            <w:tcW w:w="7289" w:type="dxa"/>
          </w:tcPr>
          <w:p w14:paraId="293C9D77" w14:textId="77777777" w:rsidR="00B02873" w:rsidRDefault="00B02873" w:rsidP="00B415A9">
            <w:pPr>
              <w:pStyle w:val="TablebodyleftTables"/>
            </w:pPr>
            <w:r>
              <w:t xml:space="preserve">In 2021-22, the Victoria’s Great Outdoors program delivered $3 million in reduced campground fees in state and national parks, nine new campgrounds, six walking trails and upgrades to nine existing campgrounds. </w:t>
            </w:r>
          </w:p>
          <w:p w14:paraId="1571A9FC" w14:textId="77777777" w:rsidR="00B02873" w:rsidRDefault="00B02873" w:rsidP="00B415A9">
            <w:pPr>
              <w:pStyle w:val="TablebodyleftTables"/>
            </w:pPr>
            <w:r>
              <w:t>The third and final round of Camping and Caravan Grants were awarded in November 2021 with 20 successful applicants. Out of the 44 round 1 and 2 grants, 31 projects have been completed.</w:t>
            </w:r>
          </w:p>
        </w:tc>
      </w:tr>
      <w:tr w:rsidR="00B02873" w:rsidRPr="00B02873" w14:paraId="3DF37342" w14:textId="77777777" w:rsidTr="009A100E">
        <w:tc>
          <w:tcPr>
            <w:tcW w:w="2339" w:type="dxa"/>
          </w:tcPr>
          <w:p w14:paraId="54BB9990" w14:textId="77777777" w:rsidR="00B02873" w:rsidRDefault="00B02873" w:rsidP="00B415A9">
            <w:pPr>
              <w:pStyle w:val="TablebodyleftTables"/>
            </w:pPr>
            <w:r>
              <w:lastRenderedPageBreak/>
              <w:t xml:space="preserve">Supporting alpine resorts </w:t>
            </w:r>
          </w:p>
        </w:tc>
        <w:tc>
          <w:tcPr>
            <w:tcW w:w="7289" w:type="dxa"/>
          </w:tcPr>
          <w:p w14:paraId="3BFEFDD5" w14:textId="77777777" w:rsidR="00B02873" w:rsidRDefault="00B02873" w:rsidP="00B415A9">
            <w:pPr>
              <w:pStyle w:val="TablebodyleftTables"/>
            </w:pPr>
            <w:r>
              <w:t xml:space="preserve">Legislation to amend the </w:t>
            </w:r>
            <w:r w:rsidRPr="009A100E">
              <w:rPr>
                <w:rStyle w:val="LightItalic"/>
                <w:rFonts w:asciiTheme="minorHAnsi" w:hAnsiTheme="minorHAnsi" w:cstheme="minorHAnsi"/>
              </w:rPr>
              <w:t>Alpine Resorts (Management) Act 1997</w:t>
            </w:r>
            <w:r>
              <w:t xml:space="preserve"> to establish a single entity to manage Victoria’s six alpine resorts passed in March 2022. The amendments are scheduled to come into effect on 1 October 2022. </w:t>
            </w:r>
          </w:p>
          <w:p w14:paraId="405CAA06" w14:textId="77777777" w:rsidR="00B02873" w:rsidRDefault="00B02873" w:rsidP="00B415A9">
            <w:pPr>
              <w:pStyle w:val="TablebodyleftTables"/>
            </w:pPr>
            <w:r>
              <w:t>The new entity, to be known as Alpine Resorts Victoria, will support alpine resorts and associated communities as they recover from the effects of the 2019-20 bushfires and the COVID-19 pandemic.</w:t>
            </w:r>
          </w:p>
        </w:tc>
      </w:tr>
      <w:tr w:rsidR="00B02873" w:rsidRPr="00B02873" w14:paraId="25E7F5C1" w14:textId="77777777" w:rsidTr="009A100E">
        <w:tc>
          <w:tcPr>
            <w:tcW w:w="2339" w:type="dxa"/>
          </w:tcPr>
          <w:p w14:paraId="3F9984F7" w14:textId="77777777" w:rsidR="00B02873" w:rsidRDefault="00B02873" w:rsidP="00B415A9">
            <w:pPr>
              <w:pStyle w:val="TablebodyleftTables"/>
            </w:pPr>
            <w:r>
              <w:t xml:space="preserve">Strategic land use assessments </w:t>
            </w:r>
          </w:p>
        </w:tc>
        <w:tc>
          <w:tcPr>
            <w:tcW w:w="7289" w:type="dxa"/>
          </w:tcPr>
          <w:p w14:paraId="7F8ED756" w14:textId="77777777" w:rsidR="00B02873" w:rsidRDefault="00B02873" w:rsidP="00B415A9">
            <w:pPr>
              <w:pStyle w:val="TablebodyleftTables"/>
            </w:pPr>
            <w:r>
              <w:t>Strategic land use assessments considering future land use opportunities were completed on two government owned sites. These assessments involved significant whole of government collaboration and engagement to ensure delivery of robust advice and exploration of all potential land use options. Land use advice on approaches to maximise public value from the sites was delivered to government in December 2021.</w:t>
            </w:r>
          </w:p>
        </w:tc>
      </w:tr>
      <w:tr w:rsidR="00B02873" w:rsidRPr="00B02873" w14:paraId="52265632" w14:textId="77777777" w:rsidTr="009A100E">
        <w:tc>
          <w:tcPr>
            <w:tcW w:w="2339" w:type="dxa"/>
          </w:tcPr>
          <w:p w14:paraId="4ECBBC29" w14:textId="77777777" w:rsidR="00B02873" w:rsidRDefault="00B02873" w:rsidP="00B415A9">
            <w:pPr>
              <w:pStyle w:val="TablebodyleftTables"/>
            </w:pPr>
            <w:r>
              <w:t xml:space="preserve">Land Utilisation Assessment program </w:t>
            </w:r>
          </w:p>
        </w:tc>
        <w:tc>
          <w:tcPr>
            <w:tcW w:w="7289" w:type="dxa"/>
          </w:tcPr>
          <w:p w14:paraId="78FE62EF" w14:textId="77777777" w:rsidR="00B02873" w:rsidRDefault="00B02873" w:rsidP="00B415A9">
            <w:pPr>
              <w:pStyle w:val="TablebodyleftTables"/>
            </w:pPr>
            <w:r>
              <w:t>During 2021-22, 53 Rapid Assessments were completed on government held land across the state and 10 Strategic Investigations were completed to support key government priorities. These include Homes Victoria for the Big Housing Build, the Department of Jobs, Precincts and Regions for the Commonwealth Games and the Footscray Business Precinct, and the Department of Health for the Ambulance Station Program and Collaborative Centre for Mental Health.</w:t>
            </w:r>
          </w:p>
        </w:tc>
      </w:tr>
      <w:tr w:rsidR="00B02873" w:rsidRPr="00B02873" w14:paraId="0EDF3DBD" w14:textId="77777777" w:rsidTr="009A100E">
        <w:tc>
          <w:tcPr>
            <w:tcW w:w="2339" w:type="dxa"/>
          </w:tcPr>
          <w:p w14:paraId="23C5A13F" w14:textId="77777777" w:rsidR="00B02873" w:rsidRDefault="00B02873" w:rsidP="00B415A9">
            <w:pPr>
              <w:pStyle w:val="TablebodyleftTables"/>
            </w:pPr>
            <w:r>
              <w:t>Vicmap data services</w:t>
            </w:r>
          </w:p>
        </w:tc>
        <w:tc>
          <w:tcPr>
            <w:tcW w:w="7289" w:type="dxa"/>
          </w:tcPr>
          <w:p w14:paraId="6FC7A2A2" w14:textId="49FE15F2" w:rsidR="00B02873" w:rsidRDefault="00B02873" w:rsidP="00B415A9">
            <w:pPr>
              <w:pStyle w:val="TablebodyleftTables"/>
            </w:pPr>
            <w:r>
              <w:t xml:space="preserve">As part of DELWP’s commitment to provide emergency services with authoritative mapping tools, DELWP’s online Vicmap Topographic Maps continue to be maintained and provided to emergency response organisations at no cost. During 2021-22, total map downloads exceeded 80,000 (including usage from the Vicmap Viewer mobile app). </w:t>
            </w:r>
          </w:p>
          <w:p w14:paraId="58B71C42" w14:textId="77777777" w:rsidR="00B02873" w:rsidRDefault="00B02873" w:rsidP="00B415A9">
            <w:pPr>
              <w:pStyle w:val="TablebodyleftTables"/>
            </w:pPr>
            <w:r>
              <w:t xml:space="preserve">In December 2021, Vicmap developed a statewide open update to Vicmap Vegetation, published via Vicmap as a Service. This project was recognised for its contribution to </w:t>
            </w:r>
            <w:r w:rsidRPr="009A100E">
              <w:rPr>
                <w:rStyle w:val="LightItalic"/>
                <w:rFonts w:asciiTheme="minorHAnsi" w:hAnsiTheme="minorHAnsi" w:cstheme="minorHAnsi"/>
              </w:rPr>
              <w:t>Environment and Sustainability</w:t>
            </w:r>
            <w:r w:rsidRPr="009A100E">
              <w:rPr>
                <w:rFonts w:asciiTheme="minorHAnsi" w:hAnsiTheme="minorHAnsi" w:cstheme="minorHAnsi"/>
              </w:rPr>
              <w:t xml:space="preserve"> </w:t>
            </w:r>
            <w:r>
              <w:t xml:space="preserve">as the recipient of the annual Asia Pacific Spatial Enablement Awards (APSEA) Victoria award in March 2022. </w:t>
            </w:r>
          </w:p>
          <w:p w14:paraId="03C3F01D" w14:textId="77777777" w:rsidR="00B02873" w:rsidRPr="003A3E8B" w:rsidRDefault="00B02873" w:rsidP="00B415A9">
            <w:pPr>
              <w:pStyle w:val="TablebodyleftTables"/>
              <w:rPr>
                <w:spacing w:val="-2"/>
              </w:rPr>
            </w:pPr>
            <w:r w:rsidRPr="003A3E8B">
              <w:rPr>
                <w:spacing w:val="-2"/>
              </w:rPr>
              <w:t>Vicmap as a Service has now achieved over 10 million hits since its launch in September 2021 and is now streaming Vicmap data directly into numerous federal, state and local governments, private spatial service providers, and emergency service agencies’ spatial systems, including the Bureau of Meteorology, the Emergency Services Telecommunications Authority, the Country Fire Authority and Fire Rescue Victoria.</w:t>
            </w:r>
          </w:p>
        </w:tc>
      </w:tr>
      <w:tr w:rsidR="00B02873" w:rsidRPr="00B02873" w14:paraId="780CDBA1" w14:textId="77777777" w:rsidTr="009A100E">
        <w:tc>
          <w:tcPr>
            <w:tcW w:w="2339" w:type="dxa"/>
          </w:tcPr>
          <w:p w14:paraId="25502DCA" w14:textId="77777777" w:rsidR="00B02873" w:rsidRDefault="00B02873" w:rsidP="00B415A9">
            <w:pPr>
              <w:pStyle w:val="TablebodyleftTables"/>
            </w:pPr>
            <w:r>
              <w:t xml:space="preserve">Maintenance and enhancement of survey control and positioning infrastructure </w:t>
            </w:r>
          </w:p>
        </w:tc>
        <w:tc>
          <w:tcPr>
            <w:tcW w:w="7289" w:type="dxa"/>
          </w:tcPr>
          <w:p w14:paraId="0FF965B8" w14:textId="2279D5D6" w:rsidR="00B02873" w:rsidRDefault="00B02873" w:rsidP="00B415A9">
            <w:pPr>
              <w:pStyle w:val="TablebodyleftTables"/>
            </w:pPr>
            <w:r>
              <w:t>The Global Navigation Satellite System ground station network was upgraded with new infrastructure, enhanced communications equipment reducing costs for the department, migration of data services to a new cloud-based environment in June 2022, and 11 new stations installed during 2021-22 to support major infrastructure projects and development in growth areas.</w:t>
            </w:r>
            <w:r w:rsidR="00012C04">
              <w:t xml:space="preserve"> </w:t>
            </w:r>
          </w:p>
          <w:p w14:paraId="6DBFF452" w14:textId="77777777" w:rsidR="00B02873" w:rsidRDefault="00B02873" w:rsidP="00B415A9">
            <w:pPr>
              <w:pStyle w:val="TablebodyleftTables"/>
            </w:pPr>
            <w:r>
              <w:t>The survey control network was upgraded to support major infrastructure projects including Suburban Rail Loop in April 2022 and North East Link in June 2022, and targeted ground control point surveys were performed throughout January to June 2022 to support airborne LiDAR acquisition and creation of digital elevation models for Digital Twin Victoria.</w:t>
            </w:r>
          </w:p>
        </w:tc>
      </w:tr>
      <w:tr w:rsidR="00B02873" w:rsidRPr="00B02873" w14:paraId="0254B9F6" w14:textId="77777777" w:rsidTr="009A100E">
        <w:tc>
          <w:tcPr>
            <w:tcW w:w="2339" w:type="dxa"/>
          </w:tcPr>
          <w:p w14:paraId="2052BAC8" w14:textId="77777777" w:rsidR="00B02873" w:rsidRDefault="00B02873" w:rsidP="00B415A9">
            <w:pPr>
              <w:pStyle w:val="TablebodyleftTables"/>
            </w:pPr>
            <w:r>
              <w:lastRenderedPageBreak/>
              <w:t xml:space="preserve">Digital Cadastre Modernisation project </w:t>
            </w:r>
          </w:p>
        </w:tc>
        <w:tc>
          <w:tcPr>
            <w:tcW w:w="7289" w:type="dxa"/>
          </w:tcPr>
          <w:p w14:paraId="20D457E9" w14:textId="77777777" w:rsidR="00B02873" w:rsidRDefault="00B02873" w:rsidP="00B415A9">
            <w:pPr>
              <w:pStyle w:val="TablebodyleftTables"/>
            </w:pPr>
            <w:r>
              <w:t>During 2021-22, 2.2 million land parcels were turned into a fully digital format and added into the newly created Digital Cadastre Data Base. Thirty-three municipalities also underwent an initial spatial adjustment to increase the accuracy of their position in Vicmap.</w:t>
            </w:r>
          </w:p>
          <w:p w14:paraId="0D3D438A" w14:textId="77777777" w:rsidR="00B02873" w:rsidRDefault="00B02873" w:rsidP="00B415A9">
            <w:pPr>
              <w:pStyle w:val="TablebodyleftTables"/>
            </w:pPr>
            <w:r>
              <w:t>Automated updating of the cadastre underwent a successful proof of concept demonstration, which was the first step in enabling automated upload of new land parcels into the Cadastre as the land development process occurs.</w:t>
            </w:r>
          </w:p>
        </w:tc>
      </w:tr>
      <w:tr w:rsidR="00B02873" w:rsidRPr="00B02873" w14:paraId="1A070AFD" w14:textId="77777777" w:rsidTr="009A100E">
        <w:tc>
          <w:tcPr>
            <w:tcW w:w="2339" w:type="dxa"/>
          </w:tcPr>
          <w:p w14:paraId="076EC805" w14:textId="113A8498" w:rsidR="00B02873" w:rsidRDefault="00B02873" w:rsidP="00B415A9">
            <w:pPr>
              <w:pStyle w:val="TablebodyleftTables"/>
            </w:pPr>
            <w:r>
              <w:t>Digital Twin Victoria</w:t>
            </w:r>
            <w:r w:rsidR="00012C04">
              <w:t xml:space="preserve"> </w:t>
            </w:r>
          </w:p>
        </w:tc>
        <w:tc>
          <w:tcPr>
            <w:tcW w:w="7289" w:type="dxa"/>
          </w:tcPr>
          <w:p w14:paraId="3FFC1D65" w14:textId="2230DC10" w:rsidR="00B02873" w:rsidRDefault="00B02873" w:rsidP="00B415A9">
            <w:pPr>
              <w:pStyle w:val="TablebodyleftTables"/>
            </w:pPr>
            <w:r>
              <w:t>Significant progress was made in establishing core capabilities and engagement with key stakeholders to progress the Digital Twin Victoria (DTV) program. The DTV platform now includes many new datasets and functionality. A three-month beta testing program gathered customer insights to inform the development of the platform, with over 80 per cent of participants expressing a high level of satisfaction. The platform is already providing benefits to state and local governments by providing easier access to data and delivering savings through the use of shared data storage, analytics and visualisation tools.</w:t>
            </w:r>
          </w:p>
          <w:p w14:paraId="4600714A" w14:textId="4777146C" w:rsidR="00B02873" w:rsidRDefault="00B02873" w:rsidP="00B415A9">
            <w:pPr>
              <w:pStyle w:val="TablebodyleftTables"/>
            </w:pPr>
            <w:r>
              <w:t>A proof of concept commenced in June 2022 to design the DTV Utility Data Portal. The portal will be an industry-first, government-led tool that will streamline access to utility information throughout the lifecycle of major infrastructure projects in Victoria and ensure the data developed during these projects can be reused.</w:t>
            </w:r>
          </w:p>
        </w:tc>
      </w:tr>
      <w:tr w:rsidR="00B02873" w:rsidRPr="00B02873" w14:paraId="3B1DFAA7" w14:textId="77777777" w:rsidTr="009A100E">
        <w:tc>
          <w:tcPr>
            <w:tcW w:w="2339" w:type="dxa"/>
          </w:tcPr>
          <w:p w14:paraId="1B3D3CFE" w14:textId="77777777" w:rsidR="00B02873" w:rsidRDefault="00B02873" w:rsidP="00B415A9">
            <w:pPr>
              <w:pStyle w:val="TablebodyleftTables"/>
            </w:pPr>
            <w:r>
              <w:t xml:space="preserve">Australian Geospatial Reference System modernisation </w:t>
            </w:r>
          </w:p>
        </w:tc>
        <w:tc>
          <w:tcPr>
            <w:tcW w:w="7289" w:type="dxa"/>
          </w:tcPr>
          <w:p w14:paraId="17598EC7" w14:textId="77777777" w:rsidR="00B02873" w:rsidRDefault="00B02873" w:rsidP="00B415A9">
            <w:pPr>
              <w:pStyle w:val="TablebodyleftTables"/>
            </w:pPr>
            <w:r>
              <w:t>To enable accurate and reliable positioning to support spatial applications across Victoria, DELWP:</w:t>
            </w:r>
          </w:p>
          <w:p w14:paraId="61C72C1A" w14:textId="77777777" w:rsidR="00B02873" w:rsidRDefault="00B02873" w:rsidP="003A3E8B">
            <w:pPr>
              <w:pStyle w:val="TableBulletleftTables"/>
            </w:pPr>
            <w:r>
              <w:t>developed a deformation modelling project agreement and identified locations for subsidence monitoring network marks throughout the Latrobe Valley</w:t>
            </w:r>
          </w:p>
          <w:p w14:paraId="30F3CA0C" w14:textId="77777777" w:rsidR="00B02873" w:rsidRDefault="00B02873" w:rsidP="003A3E8B">
            <w:pPr>
              <w:pStyle w:val="TableBulletleftTables"/>
            </w:pPr>
            <w:r>
              <w:t>commenced airborne gravity survey data capture in March 2022. As at 30 June 2022, 23.1 per cent of data capture has been completed.</w:t>
            </w:r>
          </w:p>
          <w:p w14:paraId="139AF7B8" w14:textId="77777777" w:rsidR="00B02873" w:rsidRDefault="00B02873" w:rsidP="003A3E8B">
            <w:pPr>
              <w:pStyle w:val="TableBulletleftTables"/>
            </w:pPr>
            <w:r>
              <w:t>is continuing a consultation and communications process with government and industry to help them transition to the Geocentric Data of Australia 2020 (GDA2020) datum, the new official coordinate system for Australia.</w:t>
            </w:r>
          </w:p>
        </w:tc>
      </w:tr>
    </w:tbl>
    <w:p w14:paraId="27104FFD" w14:textId="361A4F18" w:rsidR="00B02873" w:rsidRDefault="00B02873" w:rsidP="003A3E8B">
      <w:pPr>
        <w:pStyle w:val="Heading4"/>
      </w:pPr>
      <w:r>
        <w:lastRenderedPageBreak/>
        <w:t>Indicator: Efficient provision of timely and authoritative land administration and property information services</w:t>
      </w:r>
      <w:r w:rsidR="00012C04">
        <w:t xml:space="preserve"> </w:t>
      </w:r>
    </w:p>
    <w:p w14:paraId="2A590CFC" w14:textId="6D06F103" w:rsidR="003A3E8B" w:rsidRPr="003A3E8B" w:rsidRDefault="003A3E8B" w:rsidP="003A3E8B">
      <w:pPr>
        <w:rPr>
          <w:lang w:val="en-GB"/>
        </w:rPr>
      </w:pPr>
      <w:r>
        <w:rPr>
          <w:noProof/>
          <w:lang w:val="en-GB"/>
        </w:rPr>
        <w:drawing>
          <wp:inline distT="0" distB="0" distL="0" distR="0" wp14:anchorId="3E58ECE3" wp14:editId="4B6D8D3F">
            <wp:extent cx="2999238" cy="2682245"/>
            <wp:effectExtent l="0" t="0" r="0" b="3810"/>
            <wp:docPr id="19" name="Picture 19" descr="Graph showing the efficient provision of timely and authoritative land administration and property information services over time. The result was 100% each year from 2017-18 to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 showing the efficient provision of timely and authoritative land administration and property information services over time. The result was 100% each year from 2017-18 to 2021-22."/>
                    <pic:cNvPicPr/>
                  </pic:nvPicPr>
                  <pic:blipFill>
                    <a:blip r:embed="rId27"/>
                    <a:stretch>
                      <a:fillRect/>
                    </a:stretch>
                  </pic:blipFill>
                  <pic:spPr>
                    <a:xfrm>
                      <a:off x="0" y="0"/>
                      <a:ext cx="2999238" cy="2682245"/>
                    </a:xfrm>
                    <a:prstGeom prst="rect">
                      <a:avLst/>
                    </a:prstGeom>
                  </pic:spPr>
                </pic:pic>
              </a:graphicData>
            </a:graphic>
          </wp:inline>
        </w:drawing>
      </w:r>
    </w:p>
    <w:p w14:paraId="37D97028" w14:textId="1D3D9019" w:rsidR="00B02873" w:rsidRDefault="00B02873" w:rsidP="00FE198A">
      <w:r>
        <w:t>DELWP’s Land Registry Services processed more than one million transactions (1,018,201 registered) in 2021-22 (the highest on record) and delivered nearly three million (2,977,311) title searches.</w:t>
      </w:r>
      <w:r w:rsidR="00012C04">
        <w:t xml:space="preserve"> </w:t>
      </w:r>
      <w:r>
        <w:t>Full year revenue exceeded $492 million.</w:t>
      </w:r>
      <w:r w:rsidR="00012C04">
        <w:t xml:space="preserve"> </w:t>
      </w:r>
      <w:r>
        <w:t>Electronic dealings made up over 97 percent of all dealings lodged and electronic transfers made up 99 per cent of all transfers.</w:t>
      </w:r>
    </w:p>
    <w:p w14:paraId="2BB080CE" w14:textId="3B880448" w:rsidR="00B02873" w:rsidRDefault="00B02873" w:rsidP="00FE198A">
      <w:r>
        <w:t>The Office of the Valuer-General Victoria (VGV) completed the 2022 annual rating and taxation valuation, which was the fourth year of the centralised and annual rating valuation. The total value of Victorian property has grown from $2.55 trillion in 2021 to $2.98 trillion in 2022.</w:t>
      </w:r>
      <w:r w:rsidR="00012C04">
        <w:t xml:space="preserve"> </w:t>
      </w:r>
      <w:r>
        <w:t xml:space="preserve">The total number of valuations completed increased from 3.22 million in 2021 to 3.27 million in 2022. There was an average increase of 17 per cent in the total capital improved value (CIV) of Victoria. However, there was a larger average increase in values in regional Victorian CIVs, of 27 per cent compared to a 14.6 per cent average increase in metropolitan Melbourne. </w:t>
      </w:r>
    </w:p>
    <w:p w14:paraId="1036FB83" w14:textId="23C39BBC" w:rsidR="00B02873" w:rsidRDefault="00B02873" w:rsidP="003A3E8B">
      <w:pPr>
        <w:pStyle w:val="Heading4"/>
      </w:pPr>
      <w:r>
        <w:t>Indicator: Consistent and timely provision of government land transaction approvals and advice</w:t>
      </w:r>
      <w:r w:rsidR="00012C04">
        <w:t xml:space="preserve"> </w:t>
      </w:r>
    </w:p>
    <w:p w14:paraId="223A3FA2" w14:textId="59A885BC" w:rsidR="003A3E8B" w:rsidRPr="003A3E8B" w:rsidRDefault="003A3E8B" w:rsidP="003A3E8B">
      <w:pPr>
        <w:rPr>
          <w:lang w:val="en-GB"/>
        </w:rPr>
      </w:pPr>
      <w:r>
        <w:rPr>
          <w:noProof/>
          <w:lang w:val="en-GB"/>
        </w:rPr>
        <w:drawing>
          <wp:inline distT="0" distB="0" distL="0" distR="0" wp14:anchorId="311F5317" wp14:editId="78AA687B">
            <wp:extent cx="2999238" cy="2682245"/>
            <wp:effectExtent l="0" t="0" r="0" b="3810"/>
            <wp:docPr id="5" name="Picture 5" descr="Graph showing the consistent and timely provision of government land transaction approvals and advice over time. The result was 100% each year from 2017-18 to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 showing the consistent and timely provision of government land transaction approvals and advice over time. The result was 100% each year from 2017-18 to 2021-22."/>
                    <pic:cNvPicPr/>
                  </pic:nvPicPr>
                  <pic:blipFill>
                    <a:blip r:embed="rId27"/>
                    <a:stretch>
                      <a:fillRect/>
                    </a:stretch>
                  </pic:blipFill>
                  <pic:spPr>
                    <a:xfrm>
                      <a:off x="0" y="0"/>
                      <a:ext cx="2999238" cy="2682245"/>
                    </a:xfrm>
                    <a:prstGeom prst="rect">
                      <a:avLst/>
                    </a:prstGeom>
                  </pic:spPr>
                </pic:pic>
              </a:graphicData>
            </a:graphic>
          </wp:inline>
        </w:drawing>
      </w:r>
    </w:p>
    <w:p w14:paraId="285B78FA" w14:textId="77777777" w:rsidR="00B02873" w:rsidRDefault="00B02873" w:rsidP="00FE198A">
      <w:pPr>
        <w:rPr>
          <w:spacing w:val="-2"/>
        </w:rPr>
      </w:pPr>
      <w:r>
        <w:rPr>
          <w:spacing w:val="-2"/>
        </w:rPr>
        <w:t xml:space="preserve">Provision of government land transaction approvals and advice continues to be delivered at a consistent and timely standard. </w:t>
      </w:r>
    </w:p>
    <w:p w14:paraId="583CE4FD" w14:textId="1DC208A7" w:rsidR="00B02873" w:rsidRDefault="00B02873" w:rsidP="00FE198A">
      <w:pPr>
        <w:rPr>
          <w:spacing w:val="-2"/>
        </w:rPr>
      </w:pPr>
      <w:r>
        <w:rPr>
          <w:spacing w:val="-2"/>
        </w:rPr>
        <w:t xml:space="preserve">During 2021-22, VGV received over 3,800 requests for valuations from government departments and agencies, including DELWP. Many of these have been for the Big Housing Build and other priority </w:t>
      </w:r>
      <w:r>
        <w:rPr>
          <w:spacing w:val="-2"/>
        </w:rPr>
        <w:lastRenderedPageBreak/>
        <w:t>infrastructure projects such as the West Gate Tunnel project, the North East Link project and the Suburban Rail Loop project.</w:t>
      </w:r>
      <w:r w:rsidR="00012C04">
        <w:rPr>
          <w:spacing w:val="-2"/>
        </w:rPr>
        <w:t xml:space="preserve"> </w:t>
      </w:r>
      <w:r>
        <w:rPr>
          <w:spacing w:val="-2"/>
        </w:rPr>
        <w:t>VGV also processed a large volume of work for financial reporting valuations for many Victorian Government agencies.</w:t>
      </w:r>
      <w:r w:rsidR="00012C04">
        <w:rPr>
          <w:spacing w:val="-2"/>
        </w:rPr>
        <w:t xml:space="preserve"> </w:t>
      </w:r>
    </w:p>
    <w:p w14:paraId="33299368" w14:textId="2A9149DA" w:rsidR="00B02873" w:rsidRDefault="00B02873" w:rsidP="00FE198A">
      <w:r>
        <w:rPr>
          <w:spacing w:val="-2"/>
        </w:rPr>
        <w:t>Through the Victorian Government Land Monitor (VGLM), the department developed and implemented the 2022 Victorian Government Land Transaction Policy, which became effective on 4 April 2022. The VGLM conducted training and information sessions with Victorian government agencies to ensure that agencies understand the framework and have the support they need to maintain accountability and transparency when conducting land transactions. VGLM continues to experience significant engagement and submissions by agencies. Key transactions reviewed and approved include the following government infrastructure projects and initiatives: Big Housing Build (Homes for Victorians), North East Link Project, Level Crossing Removal Projects, Development Victoria – housing developments, Victorian School Building Authority – 100 schools program, Victorian Health Building Authority – Community hospitals program, and Fire Rescue Victoria – new station sites.</w:t>
      </w:r>
      <w:r w:rsidR="00012C04">
        <w:rPr>
          <w:spacing w:val="-2"/>
        </w:rPr>
        <w:t xml:space="preserve"> </w:t>
      </w:r>
    </w:p>
    <w:p w14:paraId="5D08B9EC" w14:textId="7E0A461A" w:rsidR="00B02873" w:rsidRDefault="00B02873" w:rsidP="003A3E8B">
      <w:pPr>
        <w:pStyle w:val="Heading4"/>
      </w:pPr>
      <w:r>
        <w:t>Indicator: Number of visits to the public land estate managed by the department’s portfolio agencies (Parks Victoria)</w:t>
      </w:r>
      <w:r w:rsidR="00012C04">
        <w:t xml:space="preserve"> </w:t>
      </w:r>
    </w:p>
    <w:p w14:paraId="6B3046D5" w14:textId="51682EA8" w:rsidR="003A3E8B" w:rsidRPr="003A3E8B" w:rsidRDefault="008E3948" w:rsidP="003A3E8B">
      <w:pPr>
        <w:rPr>
          <w:lang w:val="en-GB"/>
        </w:rPr>
      </w:pPr>
      <w:r>
        <w:rPr>
          <w:noProof/>
          <w:lang w:val="en-GB"/>
        </w:rPr>
        <w:drawing>
          <wp:inline distT="0" distB="0" distL="0" distR="0" wp14:anchorId="24D2C26B" wp14:editId="4197FB4B">
            <wp:extent cx="2999238" cy="2682245"/>
            <wp:effectExtent l="0" t="0" r="0" b="3810"/>
            <wp:docPr id="20" name="Picture 20" descr="Graph showing the number of visits to the public land estate managed by Parks Victoria over time. The data shows an increasing trend from 2013 to 2019, then a decrease between 2019 and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 showing the number of visits to the public land estate managed by Parks Victoria over time. The data shows an increasing trend from 2013 to 2019, then a decrease between 2019 and 2021."/>
                    <pic:cNvPicPr/>
                  </pic:nvPicPr>
                  <pic:blipFill>
                    <a:blip r:embed="rId28"/>
                    <a:stretch>
                      <a:fillRect/>
                    </a:stretch>
                  </pic:blipFill>
                  <pic:spPr>
                    <a:xfrm>
                      <a:off x="0" y="0"/>
                      <a:ext cx="2999238" cy="2682245"/>
                    </a:xfrm>
                    <a:prstGeom prst="rect">
                      <a:avLst/>
                    </a:prstGeom>
                  </pic:spPr>
                </pic:pic>
              </a:graphicData>
            </a:graphic>
          </wp:inline>
        </w:drawing>
      </w:r>
    </w:p>
    <w:p w14:paraId="32D174F7" w14:textId="77777777" w:rsidR="00B02873" w:rsidRPr="008E3948" w:rsidRDefault="00B02873" w:rsidP="008E3948">
      <w:pPr>
        <w:pStyle w:val="SourceNote"/>
      </w:pPr>
      <w:r w:rsidRPr="008E3948">
        <w:t>Results for this measure are captured every two years.</w:t>
      </w:r>
    </w:p>
    <w:p w14:paraId="28810697" w14:textId="77777777" w:rsidR="00B02873" w:rsidRDefault="00B02873" w:rsidP="00FE198A">
      <w:r>
        <w:t>The biennial visitor number survey in 2020-21 indicated that the Parks Victoria estate received 119.3 million visitors to national, state, urban and other terrestrial parks, and piers and jetties, against a target of 115 million visitors.</w:t>
      </w:r>
    </w:p>
    <w:p w14:paraId="78E6A70B" w14:textId="224A788E" w:rsidR="00B02873" w:rsidRDefault="00B02873" w:rsidP="00FE198A">
      <w:r>
        <w:t>While this appears to be a decrease in visitors since 2018-19, improvements to the survey in 2020-21 have enabled greater accuracy in reporting visits, and this saw a decrease in estimated visits to Parks Victoria managed piers and jetties. Visitation to national parks, state parks and conservation reserves remained consistent and visitation to Melbourne metropolitan parks increased by 39 per cent. The number of visitors to Park Victoria’s estate is evidence of the community choosing to make use of the natural, built, and cultural assets within the estate.</w:t>
      </w:r>
    </w:p>
    <w:p w14:paraId="43A3492E" w14:textId="1DFF9A68" w:rsidR="00B02873" w:rsidRDefault="00B02873" w:rsidP="00FE198A">
      <w:r>
        <w:t>As in 2020-21, increased visitation to many areas of public land during the 2021-22 summer created challenges and risks requiring careful management, including preparing for a COVIDSafe summer and messaging to encourage Victorians to get outdoors safely. DELWP continued to implement the Public Safety on Public Land and Waterways COVIDSafe Summer Plan to ensure a consistent and coordinated approach to the COVIDSafe management of public land and waterways. This was maintained until the conclusion of the April 2022 school holiday period.</w:t>
      </w:r>
    </w:p>
    <w:p w14:paraId="6A3B5109" w14:textId="71D351CF" w:rsidR="00B02873" w:rsidRDefault="00B02873" w:rsidP="008E3948">
      <w:pPr>
        <w:pStyle w:val="Heading4"/>
      </w:pPr>
      <w:r>
        <w:lastRenderedPageBreak/>
        <w:t>Indicator: Bay and park assets rated in average to excellent condition</w:t>
      </w:r>
    </w:p>
    <w:p w14:paraId="52F65DB8" w14:textId="65BC20CA" w:rsidR="008E3948" w:rsidRPr="008E3948" w:rsidRDefault="008E3948" w:rsidP="008E3948">
      <w:pPr>
        <w:rPr>
          <w:lang w:val="en-GB"/>
        </w:rPr>
      </w:pPr>
      <w:r>
        <w:rPr>
          <w:noProof/>
          <w:lang w:val="en-GB"/>
        </w:rPr>
        <w:drawing>
          <wp:inline distT="0" distB="0" distL="0" distR="0" wp14:anchorId="7D42E189" wp14:editId="0C2A369B">
            <wp:extent cx="2999238" cy="3005334"/>
            <wp:effectExtent l="0" t="0" r="0" b="5080"/>
            <wp:docPr id="21" name="Picture 21" descr="Graph showing the percentage of bay and park assets rated in average to excellent condition over time. The trend for park assets remained steady between 2016-17 and 2021-22. The trend for bay assets decreased from 2016-17 to 2019-20 and increased slightly from 2019-20 to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 showing the percentage of bay and park assets rated in average to excellent condition over time. The trend for park assets remained steady between 2016-17 and 2021-22. The trend for bay assets decreased from 2016-17 to 2019-20 and increased slightly from 2019-20 to 2021-22."/>
                    <pic:cNvPicPr/>
                  </pic:nvPicPr>
                  <pic:blipFill>
                    <a:blip r:embed="rId29"/>
                    <a:stretch>
                      <a:fillRect/>
                    </a:stretch>
                  </pic:blipFill>
                  <pic:spPr>
                    <a:xfrm>
                      <a:off x="0" y="0"/>
                      <a:ext cx="2999238" cy="3005334"/>
                    </a:xfrm>
                    <a:prstGeom prst="rect">
                      <a:avLst/>
                    </a:prstGeom>
                  </pic:spPr>
                </pic:pic>
              </a:graphicData>
            </a:graphic>
          </wp:inline>
        </w:drawing>
      </w:r>
    </w:p>
    <w:p w14:paraId="00A0B29F" w14:textId="77777777" w:rsidR="00B02873" w:rsidRDefault="00B02873" w:rsidP="00FE198A">
      <w:r>
        <w:t>Parks Victoria manages one of the most diverse park and waterway networks in the world. The network contains natural and cultural resources that provide a wide range of benefits to the environment, the community and the economy. Each year, Parks Victoria measures the condition of bay and park assets to inform asset investment and maintenance.</w:t>
      </w:r>
    </w:p>
    <w:p w14:paraId="2FF123E7" w14:textId="1A72CB8E" w:rsidR="00B02873" w:rsidRDefault="00B02873" w:rsidP="00FE198A">
      <w:r>
        <w:t>In 2021-22, 87 per cent of park assets (against a target of 88 per cent) and 71 per cent of bay assets (against a target of 80 per cent) were rated in average to excellent condition.</w:t>
      </w:r>
      <w:r w:rsidR="00012C04">
        <w:t xml:space="preserve"> </w:t>
      </w:r>
      <w:r>
        <w:t>The lower than targeted result for bay assets is due to deterioration through ageing and storm impacts. Works are underway to support the improvement of asset condition, including under the Better Piers and Waterside Facilities program. The result for bay assets has however improved by four percentage points since 2020-21 due to completion of major repair works at Cowes and Middle Brighton piers and Queenscliff South pier and shed. Parks Victoria has received funding for asset maintenance for high-risk assets and is continuing works on a number of piers as part of the Victorian Government Stimulus program. Parks Victoria is also working with the Department of Transport to develop a strategic investment plan for the local ports of Port Phillip and Western Port, which will assist future funding prioritisation.</w:t>
      </w:r>
    </w:p>
    <w:p w14:paraId="50FB19DA" w14:textId="77777777" w:rsidR="00B02873" w:rsidRDefault="00B02873" w:rsidP="008E3948">
      <w:pPr>
        <w:pStyle w:val="Heading4"/>
      </w:pPr>
      <w:r>
        <w:t>Indicator: Traditional Owner satisfaction with progress on the Pupangarli Marnmarnepu Implementation Action Plan endorsed by the Statewide Caring for Country Partnership Forum</w:t>
      </w:r>
    </w:p>
    <w:p w14:paraId="4C1BA9BB" w14:textId="77777777" w:rsidR="00B02873" w:rsidRDefault="00B02873" w:rsidP="00FE198A">
      <w:r>
        <w:t>During this first year of reporting on this indicator, time was taken to develop an appropriate mechanism to measure Traditional Owner satisfaction with progress on the</w:t>
      </w:r>
      <w:r w:rsidRPr="00DE1FCE">
        <w:rPr>
          <w:rFonts w:cs="VIC Light Italic"/>
          <w:i/>
          <w:iCs/>
        </w:rPr>
        <w:t xml:space="preserve"> </w:t>
      </w:r>
      <w:r w:rsidRPr="008E3948">
        <w:rPr>
          <w:rFonts w:asciiTheme="minorHAnsi" w:hAnsiTheme="minorHAnsi" w:cstheme="minorHAnsi"/>
          <w:i/>
          <w:iCs/>
        </w:rPr>
        <w:t>Pupangarli Marnmarnepu</w:t>
      </w:r>
      <w:r>
        <w:t xml:space="preserve"> Implementation Action Plan. DELWP worked with the State-wide Caring for Country Partnership Forum Secretariat to develop an appropriate survey, which was launched with Traditional Owners in June 2022. </w:t>
      </w:r>
    </w:p>
    <w:p w14:paraId="5C4B51E2" w14:textId="77777777" w:rsidR="00B02873" w:rsidRDefault="00B02873" w:rsidP="00FE198A">
      <w:r>
        <w:t xml:space="preserve">These initial survey results indicate a positive to neutral level of satisfaction with systems and processes that are changing across the department (being a key objective of </w:t>
      </w:r>
      <w:r w:rsidRPr="008E3948">
        <w:rPr>
          <w:rFonts w:asciiTheme="minorHAnsi" w:hAnsiTheme="minorHAnsi" w:cstheme="minorHAnsi"/>
          <w:i/>
          <w:iCs/>
        </w:rPr>
        <w:t>Pupangarli Marnmarnepu</w:t>
      </w:r>
      <w:r>
        <w:t xml:space="preserve">), including the transition of power and resources to Traditional Owners. </w:t>
      </w:r>
    </w:p>
    <w:p w14:paraId="50913AF8" w14:textId="77777777" w:rsidR="00B02873" w:rsidRDefault="00B02873" w:rsidP="00FE198A">
      <w:r>
        <w:t>An example of this is the successful facilitation of the timetable for the transfer of 30,000 hectares of private land back to Ngintait Traditional Owners in May 2022. This will be the largest tract of private land to be returned to Indigenous management in the state’s history.</w:t>
      </w:r>
    </w:p>
    <w:p w14:paraId="6E901D33" w14:textId="77777777" w:rsidR="00B02873" w:rsidRDefault="00B02873" w:rsidP="00FE198A">
      <w:r>
        <w:t xml:space="preserve">Further to this, the department coordinated two Yorta Yorta Nation Aboriginal Corporation (YYNAC) Forums on Country in Echuca and Barmah to protect the sacred cultural site of Ghow </w:t>
      </w:r>
      <w:r>
        <w:lastRenderedPageBreak/>
        <w:t xml:space="preserve">(Kow) Swamp. Forums are held quarterly and demonstrate DELWP’s commitment to bringing government agencies together to look at Country holistically and to serve Traditional Owners’ interests. </w:t>
      </w:r>
    </w:p>
    <w:p w14:paraId="29BD16F4" w14:textId="77777777" w:rsidR="00B02873" w:rsidRDefault="00B02873" w:rsidP="00066FED">
      <w:pPr>
        <w:pStyle w:val="Heading2Headings"/>
      </w:pPr>
      <w:r>
        <w:t>Output performance measures</w:t>
      </w:r>
    </w:p>
    <w:p w14:paraId="562657FF" w14:textId="77777777" w:rsidR="00B02873" w:rsidRDefault="00B02873" w:rsidP="00272EA8">
      <w:pPr>
        <w:pStyle w:val="Heading3"/>
      </w:pPr>
      <w:r>
        <w:t>Land Use Victoria</w:t>
      </w:r>
    </w:p>
    <w:p w14:paraId="180AA4CF" w14:textId="77777777" w:rsidR="00B02873" w:rsidRDefault="00B02873" w:rsidP="00FE198A">
      <w:r>
        <w:t>This output delivers high quality and authoritative land administration and property information services, including the registration of land titles under the Torrens system, survey, valuation and land information services. Land Use Victoria also incorporates the State’s foundational spatial data services and government land policies. The probity of the government’s property transactions is overseen by the Government Land Monitor.</w:t>
      </w:r>
    </w:p>
    <w:p w14:paraId="6B616480" w14:textId="1A94EBAA" w:rsidR="00B02873" w:rsidRDefault="00B02873" w:rsidP="00FE198A">
      <w:r>
        <w:t>The performance measures below compare targets and actual results from the delivery of programs and services as part of this output:</w:t>
      </w:r>
    </w:p>
    <w:tbl>
      <w:tblPr>
        <w:tblStyle w:val="TableGrid"/>
        <w:tblW w:w="9776" w:type="dxa"/>
        <w:tblLayout w:type="fixed"/>
        <w:tblLook w:val="0020" w:firstRow="1" w:lastRow="0" w:firstColumn="0" w:lastColumn="0" w:noHBand="0" w:noVBand="0"/>
      </w:tblPr>
      <w:tblGrid>
        <w:gridCol w:w="2830"/>
        <w:gridCol w:w="1276"/>
        <w:gridCol w:w="1134"/>
        <w:gridCol w:w="1134"/>
        <w:gridCol w:w="1559"/>
        <w:gridCol w:w="1843"/>
      </w:tblGrid>
      <w:tr w:rsidR="00B02873" w:rsidRPr="00B02873" w14:paraId="788DA824" w14:textId="77777777" w:rsidTr="00272EA8">
        <w:trPr>
          <w:cnfStyle w:val="100000000000" w:firstRow="1" w:lastRow="0" w:firstColumn="0" w:lastColumn="0" w:oddVBand="0" w:evenVBand="0" w:oddHBand="0" w:evenHBand="0" w:firstRowFirstColumn="0" w:firstRowLastColumn="0" w:lastRowFirstColumn="0" w:lastRowLastColumn="0"/>
          <w:tblHeader/>
        </w:trPr>
        <w:tc>
          <w:tcPr>
            <w:tcW w:w="2830" w:type="dxa"/>
          </w:tcPr>
          <w:p w14:paraId="12597166" w14:textId="77777777" w:rsidR="00B02873" w:rsidRDefault="00B02873" w:rsidP="00272EA8">
            <w:pPr>
              <w:pStyle w:val="TableheadingleftTables"/>
            </w:pPr>
            <w:r>
              <w:t>Output performance measures</w:t>
            </w:r>
          </w:p>
        </w:tc>
        <w:tc>
          <w:tcPr>
            <w:tcW w:w="1276" w:type="dxa"/>
          </w:tcPr>
          <w:p w14:paraId="0C6002F1" w14:textId="77777777" w:rsidR="00B02873" w:rsidRDefault="00B02873" w:rsidP="00272EA8">
            <w:pPr>
              <w:pStyle w:val="TableheadingleftTables"/>
            </w:pPr>
            <w:r>
              <w:t>Unit of measure</w:t>
            </w:r>
          </w:p>
        </w:tc>
        <w:tc>
          <w:tcPr>
            <w:tcW w:w="1134" w:type="dxa"/>
          </w:tcPr>
          <w:p w14:paraId="5A5D8375" w14:textId="77777777" w:rsidR="00B02873" w:rsidRDefault="00B02873" w:rsidP="00C07FB5">
            <w:pPr>
              <w:pStyle w:val="TableheadingleftTables"/>
              <w:jc w:val="right"/>
            </w:pPr>
            <w:r>
              <w:t>2021-22 actual</w:t>
            </w:r>
          </w:p>
        </w:tc>
        <w:tc>
          <w:tcPr>
            <w:tcW w:w="1134" w:type="dxa"/>
          </w:tcPr>
          <w:p w14:paraId="50890A47" w14:textId="77777777" w:rsidR="00B02873" w:rsidRDefault="00B02873" w:rsidP="00C07FB5">
            <w:pPr>
              <w:pStyle w:val="TableheadingleftTables"/>
              <w:jc w:val="right"/>
            </w:pPr>
            <w:r>
              <w:t>2021-22 target</w:t>
            </w:r>
          </w:p>
        </w:tc>
        <w:tc>
          <w:tcPr>
            <w:tcW w:w="1559" w:type="dxa"/>
          </w:tcPr>
          <w:p w14:paraId="345C196A" w14:textId="77777777" w:rsidR="00B02873" w:rsidRDefault="00B02873" w:rsidP="00C07FB5">
            <w:pPr>
              <w:pStyle w:val="TableheadingleftTables"/>
              <w:jc w:val="right"/>
            </w:pPr>
            <w:r>
              <w:rPr>
                <w:spacing w:val="-3"/>
              </w:rPr>
              <w:t>Performance variation (%)</w:t>
            </w:r>
          </w:p>
        </w:tc>
        <w:tc>
          <w:tcPr>
            <w:tcW w:w="1843" w:type="dxa"/>
          </w:tcPr>
          <w:p w14:paraId="4C47C642" w14:textId="77777777" w:rsidR="00B02873" w:rsidRDefault="00B02873" w:rsidP="00272EA8">
            <w:pPr>
              <w:pStyle w:val="TableheadingleftTables"/>
            </w:pPr>
            <w:r>
              <w:t>Result</w:t>
            </w:r>
          </w:p>
        </w:tc>
      </w:tr>
      <w:tr w:rsidR="00B02873" w:rsidRPr="00B02873" w14:paraId="481BC5BE" w14:textId="77777777" w:rsidTr="00272EA8">
        <w:tc>
          <w:tcPr>
            <w:tcW w:w="2830" w:type="dxa"/>
          </w:tcPr>
          <w:p w14:paraId="6D7868EF" w14:textId="77777777" w:rsidR="00B02873" w:rsidRDefault="00B02873" w:rsidP="00B415A9">
            <w:pPr>
              <w:pStyle w:val="TableheadingleftTables"/>
            </w:pPr>
            <w:r>
              <w:t>Quantity</w:t>
            </w:r>
          </w:p>
        </w:tc>
        <w:tc>
          <w:tcPr>
            <w:tcW w:w="1276" w:type="dxa"/>
          </w:tcPr>
          <w:p w14:paraId="3F5E7C67" w14:textId="77777777" w:rsidR="00B02873" w:rsidRPr="00B02873" w:rsidRDefault="00B02873" w:rsidP="00B415A9">
            <w:pPr>
              <w:pStyle w:val="NoParagraphStyle"/>
              <w:spacing w:line="240" w:lineRule="auto"/>
              <w:textAlignment w:val="auto"/>
              <w:rPr>
                <w:rFonts w:ascii="Apple Symbols Regular" w:hAnsi="Apple Symbols Regular" w:cs="Times New Roman"/>
                <w:color w:val="auto"/>
                <w:lang w:val="en-AU"/>
              </w:rPr>
            </w:pPr>
          </w:p>
        </w:tc>
        <w:tc>
          <w:tcPr>
            <w:tcW w:w="1134" w:type="dxa"/>
          </w:tcPr>
          <w:p w14:paraId="26D764B2" w14:textId="77777777" w:rsidR="00B02873" w:rsidRPr="00B02873" w:rsidRDefault="00B02873" w:rsidP="00C07FB5">
            <w:pPr>
              <w:pStyle w:val="NoParagraphStyle"/>
              <w:spacing w:line="240" w:lineRule="auto"/>
              <w:jc w:val="right"/>
              <w:textAlignment w:val="auto"/>
              <w:rPr>
                <w:rFonts w:ascii="Apple Symbols Regular" w:hAnsi="Apple Symbols Regular" w:cs="Times New Roman"/>
                <w:color w:val="auto"/>
                <w:lang w:val="en-AU"/>
              </w:rPr>
            </w:pPr>
          </w:p>
        </w:tc>
        <w:tc>
          <w:tcPr>
            <w:tcW w:w="1134" w:type="dxa"/>
          </w:tcPr>
          <w:p w14:paraId="303EBC02" w14:textId="77777777" w:rsidR="00B02873" w:rsidRPr="00B02873" w:rsidRDefault="00B02873" w:rsidP="00C07FB5">
            <w:pPr>
              <w:pStyle w:val="NoParagraphStyle"/>
              <w:spacing w:line="240" w:lineRule="auto"/>
              <w:jc w:val="right"/>
              <w:textAlignment w:val="auto"/>
              <w:rPr>
                <w:rFonts w:ascii="Apple Symbols Regular" w:hAnsi="Apple Symbols Regular" w:cs="Times New Roman"/>
                <w:color w:val="auto"/>
                <w:lang w:val="en-AU"/>
              </w:rPr>
            </w:pPr>
          </w:p>
        </w:tc>
        <w:tc>
          <w:tcPr>
            <w:tcW w:w="1559" w:type="dxa"/>
          </w:tcPr>
          <w:p w14:paraId="71BF6D2B" w14:textId="77777777" w:rsidR="00B02873" w:rsidRPr="00B02873" w:rsidRDefault="00B02873" w:rsidP="00C07FB5">
            <w:pPr>
              <w:pStyle w:val="NoParagraphStyle"/>
              <w:spacing w:line="240" w:lineRule="auto"/>
              <w:jc w:val="right"/>
              <w:textAlignment w:val="auto"/>
              <w:rPr>
                <w:rFonts w:ascii="Apple Symbols Regular" w:hAnsi="Apple Symbols Regular" w:cs="Times New Roman"/>
                <w:color w:val="auto"/>
                <w:lang w:val="en-AU"/>
              </w:rPr>
            </w:pPr>
          </w:p>
        </w:tc>
        <w:tc>
          <w:tcPr>
            <w:tcW w:w="1843" w:type="dxa"/>
          </w:tcPr>
          <w:p w14:paraId="57CBFFA8" w14:textId="77777777" w:rsidR="00B02873" w:rsidRPr="00B02873" w:rsidRDefault="00B02873" w:rsidP="00B415A9">
            <w:pPr>
              <w:pStyle w:val="NoParagraphStyle"/>
              <w:spacing w:line="240" w:lineRule="auto"/>
              <w:textAlignment w:val="auto"/>
              <w:rPr>
                <w:rFonts w:ascii="Apple Symbols Regular" w:hAnsi="Apple Symbols Regular" w:cs="Times New Roman"/>
                <w:color w:val="auto"/>
                <w:lang w:val="en-AU"/>
              </w:rPr>
            </w:pPr>
          </w:p>
        </w:tc>
      </w:tr>
      <w:tr w:rsidR="00B02873" w:rsidRPr="00B02873" w14:paraId="0D890C77" w14:textId="77777777" w:rsidTr="00272EA8">
        <w:tc>
          <w:tcPr>
            <w:tcW w:w="2830" w:type="dxa"/>
          </w:tcPr>
          <w:p w14:paraId="6C7DF192" w14:textId="77777777" w:rsidR="00B02873" w:rsidRDefault="00B02873" w:rsidP="00B415A9">
            <w:pPr>
              <w:pStyle w:val="TablebodyleftTables"/>
            </w:pPr>
            <w:r>
              <w:t>Property transfers, discharge of mortgages and registration of new mortgages</w:t>
            </w:r>
          </w:p>
        </w:tc>
        <w:tc>
          <w:tcPr>
            <w:tcW w:w="1276" w:type="dxa"/>
          </w:tcPr>
          <w:p w14:paraId="36A96F4B" w14:textId="77777777" w:rsidR="00B02873" w:rsidRDefault="00B02873" w:rsidP="00272EA8">
            <w:pPr>
              <w:pStyle w:val="TablebodyleftTables"/>
            </w:pPr>
            <w:r>
              <w:t>number (000)</w:t>
            </w:r>
          </w:p>
        </w:tc>
        <w:tc>
          <w:tcPr>
            <w:tcW w:w="1134" w:type="dxa"/>
          </w:tcPr>
          <w:p w14:paraId="1D1F5076" w14:textId="77777777" w:rsidR="00B02873" w:rsidRDefault="00B02873" w:rsidP="00C07FB5">
            <w:pPr>
              <w:pStyle w:val="TablebodyleftTables"/>
              <w:jc w:val="right"/>
            </w:pPr>
            <w:r>
              <w:t>1 018</w:t>
            </w:r>
          </w:p>
        </w:tc>
        <w:tc>
          <w:tcPr>
            <w:tcW w:w="1134" w:type="dxa"/>
          </w:tcPr>
          <w:p w14:paraId="555E8BE4" w14:textId="77777777" w:rsidR="00B02873" w:rsidRDefault="00B02873" w:rsidP="00C07FB5">
            <w:pPr>
              <w:pStyle w:val="TablebodyleftTables"/>
              <w:jc w:val="right"/>
            </w:pPr>
            <w:r>
              <w:t>850</w:t>
            </w:r>
          </w:p>
        </w:tc>
        <w:tc>
          <w:tcPr>
            <w:tcW w:w="1559" w:type="dxa"/>
          </w:tcPr>
          <w:p w14:paraId="27299F8B" w14:textId="77777777" w:rsidR="00B02873" w:rsidRDefault="00B02873" w:rsidP="00C07FB5">
            <w:pPr>
              <w:pStyle w:val="TablebodyleftTables"/>
              <w:jc w:val="right"/>
            </w:pPr>
            <w:r>
              <w:t>20%</w:t>
            </w:r>
          </w:p>
        </w:tc>
        <w:tc>
          <w:tcPr>
            <w:tcW w:w="1843" w:type="dxa"/>
          </w:tcPr>
          <w:p w14:paraId="02DA58B0" w14:textId="502A8160" w:rsidR="00B02873" w:rsidRDefault="00A55F61" w:rsidP="00272EA8">
            <w:pPr>
              <w:pStyle w:val="TablebodyleftTables"/>
            </w:pPr>
            <w:r>
              <w:t>Performance target achieved or exceeded.</w:t>
            </w:r>
          </w:p>
        </w:tc>
      </w:tr>
    </w:tbl>
    <w:p w14:paraId="5F9BBF99" w14:textId="286B80F2" w:rsidR="00272EA8" w:rsidRPr="00272EA8" w:rsidRDefault="00272EA8">
      <w:pPr>
        <w:rPr>
          <w:i/>
          <w:iCs/>
        </w:rPr>
      </w:pPr>
      <w:r w:rsidRPr="00272EA8">
        <w:rPr>
          <w:i/>
          <w:iCs/>
        </w:rPr>
        <w:t>Performance is above target reflecting heightened property market activity in 2021-22.</w:t>
      </w:r>
    </w:p>
    <w:tbl>
      <w:tblPr>
        <w:tblStyle w:val="TableGrid"/>
        <w:tblW w:w="9776" w:type="dxa"/>
        <w:tblLayout w:type="fixed"/>
        <w:tblLook w:val="0020" w:firstRow="1" w:lastRow="0" w:firstColumn="0" w:lastColumn="0" w:noHBand="0" w:noVBand="0"/>
      </w:tblPr>
      <w:tblGrid>
        <w:gridCol w:w="2830"/>
        <w:gridCol w:w="1276"/>
        <w:gridCol w:w="1134"/>
        <w:gridCol w:w="1134"/>
        <w:gridCol w:w="1559"/>
        <w:gridCol w:w="1843"/>
      </w:tblGrid>
      <w:tr w:rsidR="00272EA8" w:rsidRPr="00B02873" w14:paraId="63D60BD0" w14:textId="77777777" w:rsidTr="00F0025B">
        <w:trPr>
          <w:cnfStyle w:val="100000000000" w:firstRow="1" w:lastRow="0" w:firstColumn="0" w:lastColumn="0" w:oddVBand="0" w:evenVBand="0" w:oddHBand="0" w:evenHBand="0" w:firstRowFirstColumn="0" w:firstRowLastColumn="0" w:lastRowFirstColumn="0" w:lastRowLastColumn="0"/>
          <w:tblHeader/>
        </w:trPr>
        <w:tc>
          <w:tcPr>
            <w:tcW w:w="2830" w:type="dxa"/>
          </w:tcPr>
          <w:p w14:paraId="7089B7CC" w14:textId="77777777" w:rsidR="00272EA8" w:rsidRDefault="00272EA8" w:rsidP="00F0025B">
            <w:pPr>
              <w:pStyle w:val="TableheadingleftTables"/>
            </w:pPr>
            <w:r>
              <w:t>Output performance measures</w:t>
            </w:r>
          </w:p>
        </w:tc>
        <w:tc>
          <w:tcPr>
            <w:tcW w:w="1276" w:type="dxa"/>
          </w:tcPr>
          <w:p w14:paraId="6E5CF88E" w14:textId="77777777" w:rsidR="00272EA8" w:rsidRDefault="00272EA8" w:rsidP="00F0025B">
            <w:pPr>
              <w:pStyle w:val="TableheadingleftTables"/>
            </w:pPr>
            <w:r>
              <w:t>Unit of measure</w:t>
            </w:r>
          </w:p>
        </w:tc>
        <w:tc>
          <w:tcPr>
            <w:tcW w:w="1134" w:type="dxa"/>
          </w:tcPr>
          <w:p w14:paraId="7FB84BB4" w14:textId="77777777" w:rsidR="00272EA8" w:rsidRDefault="00272EA8" w:rsidP="00C07FB5">
            <w:pPr>
              <w:pStyle w:val="TableheadingleftTables"/>
              <w:jc w:val="right"/>
            </w:pPr>
            <w:r>
              <w:t>2021-22 actual</w:t>
            </w:r>
          </w:p>
        </w:tc>
        <w:tc>
          <w:tcPr>
            <w:tcW w:w="1134" w:type="dxa"/>
          </w:tcPr>
          <w:p w14:paraId="5C3D3CCA" w14:textId="77777777" w:rsidR="00272EA8" w:rsidRDefault="00272EA8" w:rsidP="00C07FB5">
            <w:pPr>
              <w:pStyle w:val="TableheadingleftTables"/>
              <w:jc w:val="right"/>
            </w:pPr>
            <w:r>
              <w:t>2021-22 target</w:t>
            </w:r>
          </w:p>
        </w:tc>
        <w:tc>
          <w:tcPr>
            <w:tcW w:w="1559" w:type="dxa"/>
          </w:tcPr>
          <w:p w14:paraId="3451E9B9" w14:textId="77777777" w:rsidR="00272EA8" w:rsidRDefault="00272EA8" w:rsidP="00C07FB5">
            <w:pPr>
              <w:pStyle w:val="TableheadingleftTables"/>
              <w:jc w:val="right"/>
            </w:pPr>
            <w:r>
              <w:rPr>
                <w:spacing w:val="-3"/>
              </w:rPr>
              <w:t>Performance variation (%)</w:t>
            </w:r>
          </w:p>
        </w:tc>
        <w:tc>
          <w:tcPr>
            <w:tcW w:w="1843" w:type="dxa"/>
          </w:tcPr>
          <w:p w14:paraId="45803DF7" w14:textId="77777777" w:rsidR="00272EA8" w:rsidRDefault="00272EA8" w:rsidP="00F0025B">
            <w:pPr>
              <w:pStyle w:val="TableheadingleftTables"/>
            </w:pPr>
            <w:r>
              <w:t>Result</w:t>
            </w:r>
          </w:p>
        </w:tc>
      </w:tr>
      <w:tr w:rsidR="00B02873" w:rsidRPr="00B02873" w14:paraId="4D01756D" w14:textId="77777777" w:rsidTr="00272EA8">
        <w:tc>
          <w:tcPr>
            <w:tcW w:w="2830" w:type="dxa"/>
          </w:tcPr>
          <w:p w14:paraId="3CC21FCF" w14:textId="77777777" w:rsidR="00B02873" w:rsidRDefault="00B02873" w:rsidP="00B415A9">
            <w:pPr>
              <w:pStyle w:val="TablebodyleftTables"/>
            </w:pPr>
            <w:r>
              <w:t>Rapid Land Use Assessments completed</w:t>
            </w:r>
          </w:p>
        </w:tc>
        <w:tc>
          <w:tcPr>
            <w:tcW w:w="1276" w:type="dxa"/>
          </w:tcPr>
          <w:p w14:paraId="7E4B09D5" w14:textId="77777777" w:rsidR="00B02873" w:rsidRDefault="00B02873" w:rsidP="00272EA8">
            <w:pPr>
              <w:pStyle w:val="TablebodyleftTables"/>
            </w:pPr>
            <w:r>
              <w:t>number</w:t>
            </w:r>
          </w:p>
        </w:tc>
        <w:tc>
          <w:tcPr>
            <w:tcW w:w="1134" w:type="dxa"/>
          </w:tcPr>
          <w:p w14:paraId="1FC53514" w14:textId="77777777" w:rsidR="00B02873" w:rsidRDefault="00B02873" w:rsidP="00C07FB5">
            <w:pPr>
              <w:pStyle w:val="TablebodyleftTables"/>
              <w:jc w:val="right"/>
            </w:pPr>
            <w:r>
              <w:t>53</w:t>
            </w:r>
          </w:p>
        </w:tc>
        <w:tc>
          <w:tcPr>
            <w:tcW w:w="1134" w:type="dxa"/>
          </w:tcPr>
          <w:p w14:paraId="6B920E1D" w14:textId="77777777" w:rsidR="00B02873" w:rsidRDefault="00B02873" w:rsidP="00C07FB5">
            <w:pPr>
              <w:pStyle w:val="TablebodyleftTables"/>
              <w:jc w:val="right"/>
            </w:pPr>
            <w:r>
              <w:t>40</w:t>
            </w:r>
          </w:p>
        </w:tc>
        <w:tc>
          <w:tcPr>
            <w:tcW w:w="1559" w:type="dxa"/>
          </w:tcPr>
          <w:p w14:paraId="5D34642C" w14:textId="77777777" w:rsidR="00B02873" w:rsidRDefault="00B02873" w:rsidP="00C07FB5">
            <w:pPr>
              <w:pStyle w:val="TablebodyleftTables"/>
              <w:jc w:val="right"/>
            </w:pPr>
            <w:r>
              <w:t>33%</w:t>
            </w:r>
          </w:p>
        </w:tc>
        <w:tc>
          <w:tcPr>
            <w:tcW w:w="1843" w:type="dxa"/>
          </w:tcPr>
          <w:p w14:paraId="3DF3CCB8" w14:textId="09B22F4C" w:rsidR="00B02873" w:rsidRDefault="00A55F61" w:rsidP="00272EA8">
            <w:pPr>
              <w:pStyle w:val="TablebodyleftTables"/>
            </w:pPr>
            <w:r>
              <w:t>Performance target achieved or exceeded.</w:t>
            </w:r>
          </w:p>
        </w:tc>
      </w:tr>
    </w:tbl>
    <w:p w14:paraId="03675811" w14:textId="2C80DA33" w:rsidR="00272EA8" w:rsidRPr="00272EA8" w:rsidRDefault="00272EA8">
      <w:pPr>
        <w:rPr>
          <w:i/>
          <w:iCs/>
        </w:rPr>
      </w:pPr>
      <w:r w:rsidRPr="00272EA8">
        <w:rPr>
          <w:i/>
          <w:iCs/>
        </w:rPr>
        <w:t>Performance is above target due to a focussed effort on delivering a package of rapid assessments, including for sites identified by landholding agencies.</w:t>
      </w:r>
    </w:p>
    <w:tbl>
      <w:tblPr>
        <w:tblStyle w:val="TableGrid"/>
        <w:tblW w:w="9776" w:type="dxa"/>
        <w:tblLayout w:type="fixed"/>
        <w:tblLook w:val="0020" w:firstRow="1" w:lastRow="0" w:firstColumn="0" w:lastColumn="0" w:noHBand="0" w:noVBand="0"/>
      </w:tblPr>
      <w:tblGrid>
        <w:gridCol w:w="2830"/>
        <w:gridCol w:w="1276"/>
        <w:gridCol w:w="1134"/>
        <w:gridCol w:w="1134"/>
        <w:gridCol w:w="1559"/>
        <w:gridCol w:w="1843"/>
      </w:tblGrid>
      <w:tr w:rsidR="00272EA8" w:rsidRPr="00B02873" w14:paraId="47CF0E00" w14:textId="77777777" w:rsidTr="00F0025B">
        <w:trPr>
          <w:cnfStyle w:val="100000000000" w:firstRow="1" w:lastRow="0" w:firstColumn="0" w:lastColumn="0" w:oddVBand="0" w:evenVBand="0" w:oddHBand="0" w:evenHBand="0" w:firstRowFirstColumn="0" w:firstRowLastColumn="0" w:lastRowFirstColumn="0" w:lastRowLastColumn="0"/>
          <w:tblHeader/>
        </w:trPr>
        <w:tc>
          <w:tcPr>
            <w:tcW w:w="2830" w:type="dxa"/>
          </w:tcPr>
          <w:p w14:paraId="259017A9" w14:textId="77777777" w:rsidR="00272EA8" w:rsidRDefault="00272EA8" w:rsidP="00F0025B">
            <w:pPr>
              <w:pStyle w:val="TableheadingleftTables"/>
            </w:pPr>
            <w:r>
              <w:t>Output performance measures</w:t>
            </w:r>
          </w:p>
        </w:tc>
        <w:tc>
          <w:tcPr>
            <w:tcW w:w="1276" w:type="dxa"/>
          </w:tcPr>
          <w:p w14:paraId="23E873DB" w14:textId="77777777" w:rsidR="00272EA8" w:rsidRDefault="00272EA8" w:rsidP="00F0025B">
            <w:pPr>
              <w:pStyle w:val="TableheadingleftTables"/>
            </w:pPr>
            <w:r>
              <w:t>Unit of measure</w:t>
            </w:r>
          </w:p>
        </w:tc>
        <w:tc>
          <w:tcPr>
            <w:tcW w:w="1134" w:type="dxa"/>
          </w:tcPr>
          <w:p w14:paraId="27B15AA6" w14:textId="77777777" w:rsidR="00272EA8" w:rsidRDefault="00272EA8" w:rsidP="00C07FB5">
            <w:pPr>
              <w:pStyle w:val="TableheadingleftTables"/>
              <w:jc w:val="right"/>
            </w:pPr>
            <w:r>
              <w:t>2021-22 actual</w:t>
            </w:r>
          </w:p>
        </w:tc>
        <w:tc>
          <w:tcPr>
            <w:tcW w:w="1134" w:type="dxa"/>
          </w:tcPr>
          <w:p w14:paraId="59EF4DB9" w14:textId="77777777" w:rsidR="00272EA8" w:rsidRDefault="00272EA8" w:rsidP="00C07FB5">
            <w:pPr>
              <w:pStyle w:val="TableheadingleftTables"/>
              <w:jc w:val="right"/>
            </w:pPr>
            <w:r>
              <w:t>2021-22 target</w:t>
            </w:r>
          </w:p>
        </w:tc>
        <w:tc>
          <w:tcPr>
            <w:tcW w:w="1559" w:type="dxa"/>
          </w:tcPr>
          <w:p w14:paraId="4C858D9E" w14:textId="77777777" w:rsidR="00272EA8" w:rsidRDefault="00272EA8" w:rsidP="00C07FB5">
            <w:pPr>
              <w:pStyle w:val="TableheadingleftTables"/>
              <w:jc w:val="right"/>
            </w:pPr>
            <w:r>
              <w:rPr>
                <w:spacing w:val="-3"/>
              </w:rPr>
              <w:t>Performance variation (%)</w:t>
            </w:r>
          </w:p>
        </w:tc>
        <w:tc>
          <w:tcPr>
            <w:tcW w:w="1843" w:type="dxa"/>
          </w:tcPr>
          <w:p w14:paraId="3A96D751" w14:textId="77777777" w:rsidR="00272EA8" w:rsidRDefault="00272EA8" w:rsidP="00F0025B">
            <w:pPr>
              <w:pStyle w:val="TableheadingleftTables"/>
            </w:pPr>
            <w:r>
              <w:t>Result</w:t>
            </w:r>
          </w:p>
        </w:tc>
      </w:tr>
      <w:tr w:rsidR="00B02873" w:rsidRPr="00B02873" w14:paraId="0B22B3F3" w14:textId="77777777" w:rsidTr="00272EA8">
        <w:tc>
          <w:tcPr>
            <w:tcW w:w="2830" w:type="dxa"/>
          </w:tcPr>
          <w:p w14:paraId="169E1AE9" w14:textId="77777777" w:rsidR="00B02873" w:rsidRDefault="00B02873" w:rsidP="00B415A9">
            <w:pPr>
              <w:pStyle w:val="TableheadingleftTables"/>
            </w:pPr>
            <w:r>
              <w:t>Quality</w:t>
            </w:r>
          </w:p>
        </w:tc>
        <w:tc>
          <w:tcPr>
            <w:tcW w:w="1276" w:type="dxa"/>
          </w:tcPr>
          <w:p w14:paraId="4A7B18BD" w14:textId="77777777" w:rsidR="00B02873" w:rsidRPr="00B02873" w:rsidRDefault="00B02873" w:rsidP="00B415A9">
            <w:pPr>
              <w:pStyle w:val="NoParagraphStyle"/>
              <w:spacing w:line="240" w:lineRule="auto"/>
              <w:textAlignment w:val="auto"/>
              <w:rPr>
                <w:rFonts w:ascii="Apple Symbols Regular" w:hAnsi="Apple Symbols Regular" w:cs="Times New Roman"/>
                <w:color w:val="auto"/>
                <w:lang w:val="en-AU"/>
              </w:rPr>
            </w:pPr>
          </w:p>
        </w:tc>
        <w:tc>
          <w:tcPr>
            <w:tcW w:w="1134" w:type="dxa"/>
          </w:tcPr>
          <w:p w14:paraId="6F70D80F" w14:textId="77777777" w:rsidR="00B02873" w:rsidRPr="00B02873" w:rsidRDefault="00B02873" w:rsidP="00C07FB5">
            <w:pPr>
              <w:pStyle w:val="NoParagraphStyle"/>
              <w:spacing w:line="240" w:lineRule="auto"/>
              <w:jc w:val="right"/>
              <w:textAlignment w:val="auto"/>
              <w:rPr>
                <w:rFonts w:ascii="Apple Symbols Regular" w:hAnsi="Apple Symbols Regular" w:cs="Times New Roman"/>
                <w:color w:val="auto"/>
                <w:lang w:val="en-AU"/>
              </w:rPr>
            </w:pPr>
          </w:p>
        </w:tc>
        <w:tc>
          <w:tcPr>
            <w:tcW w:w="1134" w:type="dxa"/>
          </w:tcPr>
          <w:p w14:paraId="571DA9A4" w14:textId="77777777" w:rsidR="00B02873" w:rsidRPr="00B02873" w:rsidRDefault="00B02873" w:rsidP="00C07FB5">
            <w:pPr>
              <w:pStyle w:val="NoParagraphStyle"/>
              <w:spacing w:line="240" w:lineRule="auto"/>
              <w:jc w:val="right"/>
              <w:textAlignment w:val="auto"/>
              <w:rPr>
                <w:rFonts w:ascii="Apple Symbols Regular" w:hAnsi="Apple Symbols Regular" w:cs="Times New Roman"/>
                <w:color w:val="auto"/>
                <w:lang w:val="en-AU"/>
              </w:rPr>
            </w:pPr>
          </w:p>
        </w:tc>
        <w:tc>
          <w:tcPr>
            <w:tcW w:w="1559" w:type="dxa"/>
          </w:tcPr>
          <w:p w14:paraId="2801CB87" w14:textId="77777777" w:rsidR="00B02873" w:rsidRPr="00B02873" w:rsidRDefault="00B02873" w:rsidP="00C07FB5">
            <w:pPr>
              <w:pStyle w:val="NoParagraphStyle"/>
              <w:spacing w:line="240" w:lineRule="auto"/>
              <w:jc w:val="right"/>
              <w:textAlignment w:val="auto"/>
              <w:rPr>
                <w:rFonts w:ascii="Apple Symbols Regular" w:hAnsi="Apple Symbols Regular" w:cs="Times New Roman"/>
                <w:color w:val="auto"/>
                <w:lang w:val="en-AU"/>
              </w:rPr>
            </w:pPr>
          </w:p>
        </w:tc>
        <w:tc>
          <w:tcPr>
            <w:tcW w:w="1843" w:type="dxa"/>
          </w:tcPr>
          <w:p w14:paraId="67E9B070" w14:textId="77777777" w:rsidR="00B02873" w:rsidRPr="00B02873" w:rsidRDefault="00B02873" w:rsidP="00B415A9">
            <w:pPr>
              <w:pStyle w:val="NoParagraphStyle"/>
              <w:spacing w:line="240" w:lineRule="auto"/>
              <w:textAlignment w:val="auto"/>
              <w:rPr>
                <w:rFonts w:ascii="Apple Symbols Regular" w:hAnsi="Apple Symbols Regular" w:cs="Times New Roman"/>
                <w:color w:val="auto"/>
                <w:lang w:val="en-AU"/>
              </w:rPr>
            </w:pPr>
          </w:p>
        </w:tc>
      </w:tr>
      <w:tr w:rsidR="00B02873" w:rsidRPr="00B02873" w14:paraId="16CD1F30" w14:textId="77777777" w:rsidTr="00272EA8">
        <w:tc>
          <w:tcPr>
            <w:tcW w:w="2830" w:type="dxa"/>
          </w:tcPr>
          <w:p w14:paraId="4D5E1D09" w14:textId="41C042E9" w:rsidR="00B02873" w:rsidRDefault="00B02873" w:rsidP="00B415A9">
            <w:pPr>
              <w:pStyle w:val="TablebodyleftTables"/>
            </w:pPr>
            <w:r>
              <w:t>Audited Vicmap digital map base not requiring correction</w:t>
            </w:r>
          </w:p>
        </w:tc>
        <w:tc>
          <w:tcPr>
            <w:tcW w:w="1276" w:type="dxa"/>
          </w:tcPr>
          <w:p w14:paraId="2E8CBF1B" w14:textId="77777777" w:rsidR="00B02873" w:rsidRDefault="00B02873" w:rsidP="00272EA8">
            <w:pPr>
              <w:pStyle w:val="TablebodyleftTables"/>
            </w:pPr>
            <w:r>
              <w:t>per cent</w:t>
            </w:r>
          </w:p>
        </w:tc>
        <w:tc>
          <w:tcPr>
            <w:tcW w:w="1134" w:type="dxa"/>
          </w:tcPr>
          <w:p w14:paraId="688C4AAB" w14:textId="77777777" w:rsidR="00B02873" w:rsidRDefault="00B02873" w:rsidP="00C07FB5">
            <w:pPr>
              <w:pStyle w:val="TablebodyleftTables"/>
              <w:jc w:val="right"/>
            </w:pPr>
            <w:r>
              <w:t>98.9</w:t>
            </w:r>
          </w:p>
        </w:tc>
        <w:tc>
          <w:tcPr>
            <w:tcW w:w="1134" w:type="dxa"/>
          </w:tcPr>
          <w:p w14:paraId="6919767C" w14:textId="77777777" w:rsidR="00B02873" w:rsidRDefault="00B02873" w:rsidP="00C07FB5">
            <w:pPr>
              <w:pStyle w:val="TablebodyleftTables"/>
              <w:jc w:val="right"/>
            </w:pPr>
            <w:r>
              <w:t>98</w:t>
            </w:r>
          </w:p>
        </w:tc>
        <w:tc>
          <w:tcPr>
            <w:tcW w:w="1559" w:type="dxa"/>
          </w:tcPr>
          <w:p w14:paraId="10E35043" w14:textId="77777777" w:rsidR="00B02873" w:rsidRDefault="00B02873" w:rsidP="00C07FB5">
            <w:pPr>
              <w:pStyle w:val="TablebodyleftTables"/>
              <w:jc w:val="right"/>
            </w:pPr>
            <w:r>
              <w:t>1%</w:t>
            </w:r>
          </w:p>
        </w:tc>
        <w:tc>
          <w:tcPr>
            <w:tcW w:w="1843" w:type="dxa"/>
          </w:tcPr>
          <w:p w14:paraId="7B8ACC50" w14:textId="13CD2DE9" w:rsidR="00B02873" w:rsidRDefault="00A55F61" w:rsidP="00272EA8">
            <w:pPr>
              <w:pStyle w:val="TablebodyleftTables"/>
            </w:pPr>
            <w:r>
              <w:t>Performance target achieved or exceeded.</w:t>
            </w:r>
          </w:p>
        </w:tc>
      </w:tr>
      <w:tr w:rsidR="00B02873" w:rsidRPr="00B02873" w14:paraId="2991F92A" w14:textId="77777777" w:rsidTr="00272EA8">
        <w:tc>
          <w:tcPr>
            <w:tcW w:w="2830" w:type="dxa"/>
          </w:tcPr>
          <w:p w14:paraId="56322D4F" w14:textId="77777777" w:rsidR="00B02873" w:rsidRDefault="00B02873" w:rsidP="00B415A9">
            <w:pPr>
              <w:pStyle w:val="TablebodyleftTables"/>
            </w:pPr>
            <w:r>
              <w:t>Government owned properties sold, bought or leased within 10 per cent of valuation</w:t>
            </w:r>
          </w:p>
        </w:tc>
        <w:tc>
          <w:tcPr>
            <w:tcW w:w="1276" w:type="dxa"/>
          </w:tcPr>
          <w:p w14:paraId="5E01045E" w14:textId="77777777" w:rsidR="00B02873" w:rsidRDefault="00B02873" w:rsidP="00272EA8">
            <w:pPr>
              <w:pStyle w:val="TablebodyleftTables"/>
            </w:pPr>
            <w:r>
              <w:t>per cent</w:t>
            </w:r>
          </w:p>
        </w:tc>
        <w:tc>
          <w:tcPr>
            <w:tcW w:w="1134" w:type="dxa"/>
          </w:tcPr>
          <w:p w14:paraId="68116DBA" w14:textId="77777777" w:rsidR="00B02873" w:rsidRDefault="00B02873" w:rsidP="00C07FB5">
            <w:pPr>
              <w:pStyle w:val="TablebodyleftTables"/>
              <w:jc w:val="right"/>
            </w:pPr>
            <w:r>
              <w:t>80</w:t>
            </w:r>
          </w:p>
        </w:tc>
        <w:tc>
          <w:tcPr>
            <w:tcW w:w="1134" w:type="dxa"/>
          </w:tcPr>
          <w:p w14:paraId="7FAB61C4" w14:textId="77777777" w:rsidR="00B02873" w:rsidRDefault="00B02873" w:rsidP="00C07FB5">
            <w:pPr>
              <w:pStyle w:val="TablebodyleftTables"/>
              <w:jc w:val="right"/>
            </w:pPr>
            <w:r>
              <w:t>80</w:t>
            </w:r>
          </w:p>
        </w:tc>
        <w:tc>
          <w:tcPr>
            <w:tcW w:w="1559" w:type="dxa"/>
          </w:tcPr>
          <w:p w14:paraId="6CD29D4D" w14:textId="77777777" w:rsidR="00B02873" w:rsidRDefault="00B02873" w:rsidP="00C07FB5">
            <w:pPr>
              <w:pStyle w:val="TablebodyleftTables"/>
              <w:jc w:val="right"/>
            </w:pPr>
            <w:r>
              <w:t>0%</w:t>
            </w:r>
          </w:p>
        </w:tc>
        <w:tc>
          <w:tcPr>
            <w:tcW w:w="1843" w:type="dxa"/>
          </w:tcPr>
          <w:p w14:paraId="66E991F9" w14:textId="4166F912" w:rsidR="00B02873" w:rsidRDefault="00A55F61" w:rsidP="00272EA8">
            <w:pPr>
              <w:pStyle w:val="TablebodyleftTables"/>
            </w:pPr>
            <w:r>
              <w:t>Performance target achieved or exceeded.</w:t>
            </w:r>
          </w:p>
        </w:tc>
      </w:tr>
      <w:tr w:rsidR="00B02873" w:rsidRPr="00B02873" w14:paraId="0C4B05C7" w14:textId="77777777" w:rsidTr="00272EA8">
        <w:tc>
          <w:tcPr>
            <w:tcW w:w="2830" w:type="dxa"/>
          </w:tcPr>
          <w:p w14:paraId="601095D3" w14:textId="77777777" w:rsidR="00B02873" w:rsidRDefault="00B02873" w:rsidP="00B415A9">
            <w:pPr>
              <w:pStyle w:val="TableheadingleftTables"/>
            </w:pPr>
            <w:r>
              <w:lastRenderedPageBreak/>
              <w:t>Timeliness</w:t>
            </w:r>
          </w:p>
        </w:tc>
        <w:tc>
          <w:tcPr>
            <w:tcW w:w="1276" w:type="dxa"/>
          </w:tcPr>
          <w:p w14:paraId="7750AA1F" w14:textId="77777777" w:rsidR="00B02873" w:rsidRPr="00B02873" w:rsidRDefault="00B02873" w:rsidP="00B415A9">
            <w:pPr>
              <w:pStyle w:val="NoParagraphStyle"/>
              <w:spacing w:line="240" w:lineRule="auto"/>
              <w:textAlignment w:val="auto"/>
              <w:rPr>
                <w:rFonts w:ascii="Apple Symbols Regular" w:hAnsi="Apple Symbols Regular" w:cs="Times New Roman"/>
                <w:color w:val="auto"/>
                <w:lang w:val="en-AU"/>
              </w:rPr>
            </w:pPr>
          </w:p>
        </w:tc>
        <w:tc>
          <w:tcPr>
            <w:tcW w:w="1134" w:type="dxa"/>
          </w:tcPr>
          <w:p w14:paraId="6C9B6BBC" w14:textId="77777777" w:rsidR="00B02873" w:rsidRPr="00B02873" w:rsidRDefault="00B02873" w:rsidP="00C07FB5">
            <w:pPr>
              <w:pStyle w:val="NoParagraphStyle"/>
              <w:spacing w:line="240" w:lineRule="auto"/>
              <w:jc w:val="right"/>
              <w:textAlignment w:val="auto"/>
              <w:rPr>
                <w:rFonts w:ascii="Apple Symbols Regular" w:hAnsi="Apple Symbols Regular" w:cs="Times New Roman"/>
                <w:color w:val="auto"/>
                <w:lang w:val="en-AU"/>
              </w:rPr>
            </w:pPr>
          </w:p>
        </w:tc>
        <w:tc>
          <w:tcPr>
            <w:tcW w:w="1134" w:type="dxa"/>
          </w:tcPr>
          <w:p w14:paraId="2180EA88" w14:textId="77777777" w:rsidR="00B02873" w:rsidRPr="00B02873" w:rsidRDefault="00B02873" w:rsidP="00C07FB5">
            <w:pPr>
              <w:pStyle w:val="NoParagraphStyle"/>
              <w:spacing w:line="240" w:lineRule="auto"/>
              <w:jc w:val="right"/>
              <w:textAlignment w:val="auto"/>
              <w:rPr>
                <w:rFonts w:ascii="Apple Symbols Regular" w:hAnsi="Apple Symbols Regular" w:cs="Times New Roman"/>
                <w:color w:val="auto"/>
                <w:lang w:val="en-AU"/>
              </w:rPr>
            </w:pPr>
          </w:p>
        </w:tc>
        <w:tc>
          <w:tcPr>
            <w:tcW w:w="1559" w:type="dxa"/>
          </w:tcPr>
          <w:p w14:paraId="69B23826" w14:textId="77777777" w:rsidR="00B02873" w:rsidRPr="00B02873" w:rsidRDefault="00B02873" w:rsidP="00C07FB5">
            <w:pPr>
              <w:pStyle w:val="NoParagraphStyle"/>
              <w:spacing w:line="240" w:lineRule="auto"/>
              <w:jc w:val="right"/>
              <w:textAlignment w:val="auto"/>
              <w:rPr>
                <w:rFonts w:ascii="Apple Symbols Regular" w:hAnsi="Apple Symbols Regular" w:cs="Times New Roman"/>
                <w:color w:val="auto"/>
                <w:lang w:val="en-AU"/>
              </w:rPr>
            </w:pPr>
          </w:p>
        </w:tc>
        <w:tc>
          <w:tcPr>
            <w:tcW w:w="1843" w:type="dxa"/>
          </w:tcPr>
          <w:p w14:paraId="7520F45A" w14:textId="77777777" w:rsidR="00B02873" w:rsidRPr="00B02873" w:rsidRDefault="00B02873" w:rsidP="00B415A9">
            <w:pPr>
              <w:pStyle w:val="NoParagraphStyle"/>
              <w:spacing w:line="240" w:lineRule="auto"/>
              <w:textAlignment w:val="auto"/>
              <w:rPr>
                <w:rFonts w:ascii="Apple Symbols Regular" w:hAnsi="Apple Symbols Regular" w:cs="Times New Roman"/>
                <w:color w:val="auto"/>
                <w:lang w:val="en-AU"/>
              </w:rPr>
            </w:pPr>
          </w:p>
        </w:tc>
      </w:tr>
      <w:tr w:rsidR="00B02873" w:rsidRPr="00B02873" w14:paraId="07B7E80D" w14:textId="77777777" w:rsidTr="00272EA8">
        <w:tc>
          <w:tcPr>
            <w:tcW w:w="2830" w:type="dxa"/>
          </w:tcPr>
          <w:p w14:paraId="3529581E" w14:textId="77777777" w:rsidR="00B02873" w:rsidRDefault="00B02873" w:rsidP="00B415A9">
            <w:pPr>
              <w:pStyle w:val="TablebodyleftTables"/>
            </w:pPr>
            <w:r>
              <w:t>Delivery of updated Vicmap Foundation Data within one week</w:t>
            </w:r>
          </w:p>
        </w:tc>
        <w:tc>
          <w:tcPr>
            <w:tcW w:w="1276" w:type="dxa"/>
          </w:tcPr>
          <w:p w14:paraId="0E2652EA" w14:textId="77777777" w:rsidR="00B02873" w:rsidRDefault="00B02873" w:rsidP="00272EA8">
            <w:pPr>
              <w:pStyle w:val="TablebodyleftTables"/>
            </w:pPr>
            <w:r>
              <w:t>per cent</w:t>
            </w:r>
          </w:p>
        </w:tc>
        <w:tc>
          <w:tcPr>
            <w:tcW w:w="1134" w:type="dxa"/>
          </w:tcPr>
          <w:p w14:paraId="6F479094" w14:textId="77777777" w:rsidR="00B02873" w:rsidRDefault="00B02873" w:rsidP="00C07FB5">
            <w:pPr>
              <w:pStyle w:val="TablebodyleftTables"/>
              <w:jc w:val="right"/>
            </w:pPr>
            <w:r>
              <w:t>100</w:t>
            </w:r>
          </w:p>
        </w:tc>
        <w:tc>
          <w:tcPr>
            <w:tcW w:w="1134" w:type="dxa"/>
          </w:tcPr>
          <w:p w14:paraId="27827919" w14:textId="77777777" w:rsidR="00B02873" w:rsidRDefault="00B02873" w:rsidP="00C07FB5">
            <w:pPr>
              <w:pStyle w:val="TablebodyleftTables"/>
              <w:jc w:val="right"/>
            </w:pPr>
            <w:r>
              <w:t>98</w:t>
            </w:r>
          </w:p>
        </w:tc>
        <w:tc>
          <w:tcPr>
            <w:tcW w:w="1559" w:type="dxa"/>
          </w:tcPr>
          <w:p w14:paraId="536C8D52" w14:textId="77777777" w:rsidR="00B02873" w:rsidRDefault="00B02873" w:rsidP="00C07FB5">
            <w:pPr>
              <w:pStyle w:val="TablebodyleftTables"/>
              <w:jc w:val="right"/>
            </w:pPr>
            <w:r>
              <w:t>2%</w:t>
            </w:r>
          </w:p>
        </w:tc>
        <w:tc>
          <w:tcPr>
            <w:tcW w:w="1843" w:type="dxa"/>
          </w:tcPr>
          <w:p w14:paraId="06766972" w14:textId="266DEE93" w:rsidR="00B02873" w:rsidRDefault="00A55F61" w:rsidP="00272EA8">
            <w:pPr>
              <w:pStyle w:val="TablebodyleftTables"/>
            </w:pPr>
            <w:r>
              <w:t>Performance target achieved or exceeded.</w:t>
            </w:r>
          </w:p>
        </w:tc>
      </w:tr>
      <w:tr w:rsidR="00B02873" w:rsidRPr="00B02873" w14:paraId="43F2A6DE" w14:textId="77777777" w:rsidTr="00272EA8">
        <w:tc>
          <w:tcPr>
            <w:tcW w:w="2830" w:type="dxa"/>
          </w:tcPr>
          <w:p w14:paraId="354DDF97" w14:textId="77777777" w:rsidR="00B02873" w:rsidRDefault="00B02873" w:rsidP="00B415A9">
            <w:pPr>
              <w:pStyle w:val="TablebodyleftTables"/>
            </w:pPr>
            <w:r>
              <w:t>Land dealings registered within five days</w:t>
            </w:r>
          </w:p>
        </w:tc>
        <w:tc>
          <w:tcPr>
            <w:tcW w:w="1276" w:type="dxa"/>
          </w:tcPr>
          <w:p w14:paraId="0787656C" w14:textId="77777777" w:rsidR="00B02873" w:rsidRDefault="00B02873" w:rsidP="00272EA8">
            <w:pPr>
              <w:pStyle w:val="TablebodyleftTables"/>
            </w:pPr>
            <w:r>
              <w:t>per cent</w:t>
            </w:r>
          </w:p>
        </w:tc>
        <w:tc>
          <w:tcPr>
            <w:tcW w:w="1134" w:type="dxa"/>
          </w:tcPr>
          <w:p w14:paraId="704A913C" w14:textId="77777777" w:rsidR="00B02873" w:rsidRDefault="00B02873" w:rsidP="00C07FB5">
            <w:pPr>
              <w:pStyle w:val="TablebodyleftTables"/>
              <w:jc w:val="right"/>
            </w:pPr>
            <w:r>
              <w:t>99.3</w:t>
            </w:r>
          </w:p>
        </w:tc>
        <w:tc>
          <w:tcPr>
            <w:tcW w:w="1134" w:type="dxa"/>
          </w:tcPr>
          <w:p w14:paraId="77B2A30E" w14:textId="77777777" w:rsidR="00B02873" w:rsidRDefault="00B02873" w:rsidP="00C07FB5">
            <w:pPr>
              <w:pStyle w:val="TablebodyleftTables"/>
              <w:jc w:val="right"/>
            </w:pPr>
            <w:r>
              <w:t>99</w:t>
            </w:r>
          </w:p>
        </w:tc>
        <w:tc>
          <w:tcPr>
            <w:tcW w:w="1559" w:type="dxa"/>
          </w:tcPr>
          <w:p w14:paraId="1B263E75" w14:textId="77777777" w:rsidR="00B02873" w:rsidRDefault="00B02873" w:rsidP="00C07FB5">
            <w:pPr>
              <w:pStyle w:val="TablebodyleftTables"/>
              <w:jc w:val="right"/>
            </w:pPr>
            <w:r>
              <w:t>0%</w:t>
            </w:r>
          </w:p>
        </w:tc>
        <w:tc>
          <w:tcPr>
            <w:tcW w:w="1843" w:type="dxa"/>
          </w:tcPr>
          <w:p w14:paraId="2536D769" w14:textId="6266385E" w:rsidR="00B02873" w:rsidRDefault="00A55F61" w:rsidP="00272EA8">
            <w:pPr>
              <w:pStyle w:val="TablebodyleftTables"/>
            </w:pPr>
            <w:r>
              <w:t>Performance target achieved or exceeded.</w:t>
            </w:r>
          </w:p>
        </w:tc>
      </w:tr>
      <w:tr w:rsidR="00B02873" w:rsidRPr="00B02873" w14:paraId="16352555" w14:textId="77777777" w:rsidTr="00272EA8">
        <w:tc>
          <w:tcPr>
            <w:tcW w:w="2830" w:type="dxa"/>
          </w:tcPr>
          <w:p w14:paraId="4EF876AD" w14:textId="77777777" w:rsidR="00B02873" w:rsidRDefault="00B02873" w:rsidP="00B415A9">
            <w:pPr>
              <w:pStyle w:val="TablebodyleftTables"/>
            </w:pPr>
            <w:r>
              <w:t>New titles (subdivisions) created within three weeks</w:t>
            </w:r>
          </w:p>
        </w:tc>
        <w:tc>
          <w:tcPr>
            <w:tcW w:w="1276" w:type="dxa"/>
          </w:tcPr>
          <w:p w14:paraId="2CEDB77F" w14:textId="77777777" w:rsidR="00B02873" w:rsidRDefault="00B02873" w:rsidP="00272EA8">
            <w:pPr>
              <w:pStyle w:val="TablebodyleftTables"/>
            </w:pPr>
            <w:r>
              <w:t>per cent</w:t>
            </w:r>
          </w:p>
        </w:tc>
        <w:tc>
          <w:tcPr>
            <w:tcW w:w="1134" w:type="dxa"/>
          </w:tcPr>
          <w:p w14:paraId="36A54526" w14:textId="77777777" w:rsidR="00B02873" w:rsidRDefault="00B02873" w:rsidP="00C07FB5">
            <w:pPr>
              <w:pStyle w:val="TablebodyleftTables"/>
              <w:jc w:val="right"/>
            </w:pPr>
            <w:r>
              <w:t>92.7</w:t>
            </w:r>
          </w:p>
        </w:tc>
        <w:tc>
          <w:tcPr>
            <w:tcW w:w="1134" w:type="dxa"/>
          </w:tcPr>
          <w:p w14:paraId="7D5A9D9D" w14:textId="77777777" w:rsidR="00B02873" w:rsidRDefault="00B02873" w:rsidP="00C07FB5">
            <w:pPr>
              <w:pStyle w:val="TablebodyleftTables"/>
              <w:jc w:val="right"/>
            </w:pPr>
            <w:r>
              <w:t>95</w:t>
            </w:r>
          </w:p>
        </w:tc>
        <w:tc>
          <w:tcPr>
            <w:tcW w:w="1559" w:type="dxa"/>
          </w:tcPr>
          <w:p w14:paraId="185D95EF" w14:textId="77777777" w:rsidR="00B02873" w:rsidRDefault="00B02873" w:rsidP="00C07FB5">
            <w:pPr>
              <w:pStyle w:val="TablebodyleftTables"/>
              <w:jc w:val="right"/>
            </w:pPr>
            <w:r>
              <w:t>(2%)</w:t>
            </w:r>
          </w:p>
        </w:tc>
        <w:tc>
          <w:tcPr>
            <w:tcW w:w="1843" w:type="dxa"/>
          </w:tcPr>
          <w:p w14:paraId="594DBC14" w14:textId="1F479C85" w:rsidR="00B02873" w:rsidRDefault="00A55F61" w:rsidP="00272EA8">
            <w:pPr>
              <w:pStyle w:val="TablebodyleftTables"/>
            </w:pPr>
            <w:r>
              <w:t>Performance target not achieved – within 5 per cent variance.</w:t>
            </w:r>
          </w:p>
        </w:tc>
      </w:tr>
      <w:tr w:rsidR="00B02873" w:rsidRPr="00B02873" w14:paraId="12DF90D4" w14:textId="77777777" w:rsidTr="00272EA8">
        <w:tc>
          <w:tcPr>
            <w:tcW w:w="2830" w:type="dxa"/>
          </w:tcPr>
          <w:p w14:paraId="0FE5EE19" w14:textId="77777777" w:rsidR="00B02873" w:rsidRDefault="00B02873" w:rsidP="00B415A9">
            <w:pPr>
              <w:pStyle w:val="TablebodyleftTables"/>
            </w:pPr>
            <w:r>
              <w:t>Update transactions for the Vicmap digital map base processed within the required timeframes</w:t>
            </w:r>
          </w:p>
        </w:tc>
        <w:tc>
          <w:tcPr>
            <w:tcW w:w="1276" w:type="dxa"/>
          </w:tcPr>
          <w:p w14:paraId="02EBDBC0" w14:textId="77777777" w:rsidR="00B02873" w:rsidRDefault="00B02873" w:rsidP="00272EA8">
            <w:pPr>
              <w:pStyle w:val="TablebodyleftTables"/>
            </w:pPr>
            <w:r>
              <w:t>per cent</w:t>
            </w:r>
          </w:p>
        </w:tc>
        <w:tc>
          <w:tcPr>
            <w:tcW w:w="1134" w:type="dxa"/>
          </w:tcPr>
          <w:p w14:paraId="2D59FDBD" w14:textId="77777777" w:rsidR="00B02873" w:rsidRDefault="00B02873" w:rsidP="00C07FB5">
            <w:pPr>
              <w:pStyle w:val="TablebodyleftTables"/>
              <w:jc w:val="right"/>
            </w:pPr>
            <w:r>
              <w:t>98</w:t>
            </w:r>
          </w:p>
        </w:tc>
        <w:tc>
          <w:tcPr>
            <w:tcW w:w="1134" w:type="dxa"/>
          </w:tcPr>
          <w:p w14:paraId="7067FCD9" w14:textId="77777777" w:rsidR="00B02873" w:rsidRDefault="00B02873" w:rsidP="00C07FB5">
            <w:pPr>
              <w:pStyle w:val="TablebodyleftTables"/>
              <w:jc w:val="right"/>
            </w:pPr>
            <w:r>
              <w:t>98</w:t>
            </w:r>
          </w:p>
        </w:tc>
        <w:tc>
          <w:tcPr>
            <w:tcW w:w="1559" w:type="dxa"/>
          </w:tcPr>
          <w:p w14:paraId="605C02B9" w14:textId="77777777" w:rsidR="00B02873" w:rsidRDefault="00B02873" w:rsidP="00C07FB5">
            <w:pPr>
              <w:pStyle w:val="TablebodyleftTables"/>
              <w:jc w:val="right"/>
            </w:pPr>
            <w:r>
              <w:t>0%</w:t>
            </w:r>
          </w:p>
        </w:tc>
        <w:tc>
          <w:tcPr>
            <w:tcW w:w="1843" w:type="dxa"/>
          </w:tcPr>
          <w:p w14:paraId="44E150A5" w14:textId="068D6C7B" w:rsidR="00B02873" w:rsidRDefault="00A55F61" w:rsidP="00272EA8">
            <w:pPr>
              <w:pStyle w:val="TablebodyleftTables"/>
            </w:pPr>
            <w:r>
              <w:t>Performance target achieved or exceeded.</w:t>
            </w:r>
          </w:p>
        </w:tc>
      </w:tr>
      <w:tr w:rsidR="00B02873" w:rsidRPr="00B02873" w14:paraId="27556F45" w14:textId="77777777" w:rsidTr="00272EA8">
        <w:tc>
          <w:tcPr>
            <w:tcW w:w="2830" w:type="dxa"/>
          </w:tcPr>
          <w:p w14:paraId="25C3C20D" w14:textId="77777777" w:rsidR="00B02873" w:rsidRDefault="00B02873" w:rsidP="00B415A9">
            <w:pPr>
              <w:pStyle w:val="TableheadingleftTables"/>
            </w:pPr>
            <w:r>
              <w:t>Cost</w:t>
            </w:r>
          </w:p>
        </w:tc>
        <w:tc>
          <w:tcPr>
            <w:tcW w:w="1276" w:type="dxa"/>
          </w:tcPr>
          <w:p w14:paraId="61F82691" w14:textId="77777777" w:rsidR="00B02873" w:rsidRPr="00B02873" w:rsidRDefault="00B02873" w:rsidP="00B415A9">
            <w:pPr>
              <w:pStyle w:val="NoParagraphStyle"/>
              <w:spacing w:line="240" w:lineRule="auto"/>
              <w:textAlignment w:val="auto"/>
              <w:rPr>
                <w:rFonts w:ascii="Apple Symbols Regular" w:hAnsi="Apple Symbols Regular" w:cs="Times New Roman"/>
                <w:color w:val="auto"/>
                <w:lang w:val="en-AU"/>
              </w:rPr>
            </w:pPr>
          </w:p>
        </w:tc>
        <w:tc>
          <w:tcPr>
            <w:tcW w:w="1134" w:type="dxa"/>
          </w:tcPr>
          <w:p w14:paraId="07EC6B36" w14:textId="77777777" w:rsidR="00B02873" w:rsidRPr="00B02873" w:rsidRDefault="00B02873" w:rsidP="00C07FB5">
            <w:pPr>
              <w:pStyle w:val="NoParagraphStyle"/>
              <w:spacing w:line="240" w:lineRule="auto"/>
              <w:jc w:val="right"/>
              <w:textAlignment w:val="auto"/>
              <w:rPr>
                <w:rFonts w:ascii="Apple Symbols Regular" w:hAnsi="Apple Symbols Regular" w:cs="Times New Roman"/>
                <w:color w:val="auto"/>
                <w:lang w:val="en-AU"/>
              </w:rPr>
            </w:pPr>
          </w:p>
        </w:tc>
        <w:tc>
          <w:tcPr>
            <w:tcW w:w="1134" w:type="dxa"/>
          </w:tcPr>
          <w:p w14:paraId="13D9A4A0" w14:textId="77777777" w:rsidR="00B02873" w:rsidRPr="00B02873" w:rsidRDefault="00B02873" w:rsidP="00C07FB5">
            <w:pPr>
              <w:pStyle w:val="NoParagraphStyle"/>
              <w:spacing w:line="240" w:lineRule="auto"/>
              <w:jc w:val="right"/>
              <w:textAlignment w:val="auto"/>
              <w:rPr>
                <w:rFonts w:ascii="Apple Symbols Regular" w:hAnsi="Apple Symbols Regular" w:cs="Times New Roman"/>
                <w:color w:val="auto"/>
                <w:lang w:val="en-AU"/>
              </w:rPr>
            </w:pPr>
          </w:p>
        </w:tc>
        <w:tc>
          <w:tcPr>
            <w:tcW w:w="1559" w:type="dxa"/>
          </w:tcPr>
          <w:p w14:paraId="1F8D55D5" w14:textId="77777777" w:rsidR="00B02873" w:rsidRPr="00B02873" w:rsidRDefault="00B02873" w:rsidP="00C07FB5">
            <w:pPr>
              <w:pStyle w:val="NoParagraphStyle"/>
              <w:spacing w:line="240" w:lineRule="auto"/>
              <w:jc w:val="right"/>
              <w:textAlignment w:val="auto"/>
              <w:rPr>
                <w:rFonts w:ascii="Apple Symbols Regular" w:hAnsi="Apple Symbols Regular" w:cs="Times New Roman"/>
                <w:color w:val="auto"/>
                <w:lang w:val="en-AU"/>
              </w:rPr>
            </w:pPr>
          </w:p>
        </w:tc>
        <w:tc>
          <w:tcPr>
            <w:tcW w:w="1843" w:type="dxa"/>
          </w:tcPr>
          <w:p w14:paraId="0C229FB4" w14:textId="77777777" w:rsidR="00B02873" w:rsidRPr="00B02873" w:rsidRDefault="00B02873" w:rsidP="00B415A9">
            <w:pPr>
              <w:pStyle w:val="NoParagraphStyle"/>
              <w:spacing w:line="240" w:lineRule="auto"/>
              <w:textAlignment w:val="auto"/>
              <w:rPr>
                <w:rFonts w:ascii="Apple Symbols Regular" w:hAnsi="Apple Symbols Regular" w:cs="Times New Roman"/>
                <w:color w:val="auto"/>
                <w:lang w:val="en-AU"/>
              </w:rPr>
            </w:pPr>
          </w:p>
        </w:tc>
      </w:tr>
      <w:tr w:rsidR="00B02873" w:rsidRPr="00B02873" w14:paraId="15FA753C" w14:textId="77777777" w:rsidTr="00272EA8">
        <w:tc>
          <w:tcPr>
            <w:tcW w:w="2830" w:type="dxa"/>
          </w:tcPr>
          <w:p w14:paraId="139A6A5C" w14:textId="77777777" w:rsidR="00B02873" w:rsidRDefault="00B02873" w:rsidP="00B415A9">
            <w:pPr>
              <w:pStyle w:val="TablebodyleftTables"/>
            </w:pPr>
            <w:r>
              <w:rPr>
                <w:rStyle w:val="Bold"/>
              </w:rPr>
              <w:t xml:space="preserve">Total output cost </w:t>
            </w:r>
          </w:p>
        </w:tc>
        <w:tc>
          <w:tcPr>
            <w:tcW w:w="1276" w:type="dxa"/>
          </w:tcPr>
          <w:p w14:paraId="25EEF90E" w14:textId="77777777" w:rsidR="00B02873" w:rsidRDefault="00B02873" w:rsidP="00272EA8">
            <w:pPr>
              <w:pStyle w:val="TablebodyleftTables"/>
            </w:pPr>
            <w:r>
              <w:t>$ million</w:t>
            </w:r>
          </w:p>
        </w:tc>
        <w:tc>
          <w:tcPr>
            <w:tcW w:w="1134" w:type="dxa"/>
          </w:tcPr>
          <w:p w14:paraId="5BD55950" w14:textId="77777777" w:rsidR="00B02873" w:rsidRDefault="00B02873" w:rsidP="00C07FB5">
            <w:pPr>
              <w:pStyle w:val="TablebodyleftTables"/>
              <w:jc w:val="right"/>
            </w:pPr>
            <w:r>
              <w:t>287.0</w:t>
            </w:r>
          </w:p>
        </w:tc>
        <w:tc>
          <w:tcPr>
            <w:tcW w:w="1134" w:type="dxa"/>
          </w:tcPr>
          <w:p w14:paraId="22D039FD" w14:textId="77777777" w:rsidR="00B02873" w:rsidRDefault="00B02873" w:rsidP="00C07FB5">
            <w:pPr>
              <w:pStyle w:val="TablebodyleftTables"/>
              <w:jc w:val="right"/>
            </w:pPr>
            <w:r>
              <w:t>255.4</w:t>
            </w:r>
          </w:p>
        </w:tc>
        <w:tc>
          <w:tcPr>
            <w:tcW w:w="1559" w:type="dxa"/>
          </w:tcPr>
          <w:p w14:paraId="294D7647" w14:textId="77777777" w:rsidR="00B02873" w:rsidRDefault="00B02873" w:rsidP="00C07FB5">
            <w:pPr>
              <w:pStyle w:val="TablebodyleftTables"/>
              <w:jc w:val="right"/>
            </w:pPr>
            <w:r>
              <w:t>12%</w:t>
            </w:r>
          </w:p>
        </w:tc>
        <w:tc>
          <w:tcPr>
            <w:tcW w:w="1843" w:type="dxa"/>
          </w:tcPr>
          <w:p w14:paraId="1BBF53B1" w14:textId="1E676A4E" w:rsidR="00B02873" w:rsidRDefault="00272EA8" w:rsidP="00272EA8">
            <w:pPr>
              <w:pStyle w:val="TablebodyleftTables"/>
            </w:pPr>
            <w:r>
              <w:t>Performance target not achieved – exceeds 5 per cent variance.</w:t>
            </w:r>
          </w:p>
        </w:tc>
      </w:tr>
    </w:tbl>
    <w:p w14:paraId="6D58EC17" w14:textId="00B82039" w:rsidR="00272EA8" w:rsidRPr="00272EA8" w:rsidRDefault="00272EA8">
      <w:pPr>
        <w:rPr>
          <w:i/>
          <w:iCs/>
        </w:rPr>
      </w:pPr>
      <w:r w:rsidRPr="00272EA8">
        <w:rPr>
          <w:i/>
          <w:iCs/>
        </w:rPr>
        <w:t>The higher than budgeted output cost is primarily due to an increase in property market activity which has caused an increase in Land Registry Services revenue with a reciprocal increase in payments to the private operator; as well as a release of contingency funding for Digital Twin Victoria. This is partially offset by reduced expenditure for several activities due to the redirection of resources to core services to meet the increase in property transaction volumes.</w:t>
      </w:r>
    </w:p>
    <w:p w14:paraId="5D07CBA1" w14:textId="77777777" w:rsidR="00B02873" w:rsidRDefault="00B02873" w:rsidP="00A55F61">
      <w:pPr>
        <w:pStyle w:val="Heading4"/>
      </w:pPr>
      <w:r>
        <w:t>Management of Public Land and Forests</w:t>
      </w:r>
    </w:p>
    <w:p w14:paraId="0F1BCC23" w14:textId="77777777" w:rsidR="00B02873" w:rsidRDefault="00B02873" w:rsidP="00FE198A">
      <w:r>
        <w:t xml:space="preserve">This output provides for the improved stewardship of Victoria’s forests, coasts and Crown land reserves. Through this output, the department manages the natural, built and historic assets on public land, and incorporates management of public land in partnership with statutory agencies, Committees of Management and local government. </w:t>
      </w:r>
    </w:p>
    <w:p w14:paraId="38731CBA" w14:textId="21A0376B" w:rsidR="00B02873" w:rsidRDefault="00B02873" w:rsidP="00FE198A">
      <w:r>
        <w:t>The performance measures below compare targets and expected or actual results from the delivery of programs and services as part of this output:</w:t>
      </w:r>
    </w:p>
    <w:tbl>
      <w:tblPr>
        <w:tblStyle w:val="TableGrid"/>
        <w:tblW w:w="9776" w:type="dxa"/>
        <w:tblLayout w:type="fixed"/>
        <w:tblLook w:val="0020" w:firstRow="1" w:lastRow="0" w:firstColumn="0" w:lastColumn="0" w:noHBand="0" w:noVBand="0"/>
      </w:tblPr>
      <w:tblGrid>
        <w:gridCol w:w="3256"/>
        <w:gridCol w:w="1134"/>
        <w:gridCol w:w="992"/>
        <w:gridCol w:w="992"/>
        <w:gridCol w:w="1559"/>
        <w:gridCol w:w="1843"/>
      </w:tblGrid>
      <w:tr w:rsidR="00B02873" w:rsidRPr="00B02873" w14:paraId="50228182" w14:textId="77777777" w:rsidTr="00A55F61">
        <w:trPr>
          <w:cnfStyle w:val="100000000000" w:firstRow="1" w:lastRow="0" w:firstColumn="0" w:lastColumn="0" w:oddVBand="0" w:evenVBand="0" w:oddHBand="0" w:evenHBand="0" w:firstRowFirstColumn="0" w:firstRowLastColumn="0" w:lastRowFirstColumn="0" w:lastRowLastColumn="0"/>
          <w:tblHeader/>
        </w:trPr>
        <w:tc>
          <w:tcPr>
            <w:tcW w:w="3256" w:type="dxa"/>
          </w:tcPr>
          <w:p w14:paraId="3321E662" w14:textId="77777777" w:rsidR="00B02873" w:rsidRDefault="00B02873" w:rsidP="00A55F61">
            <w:pPr>
              <w:pStyle w:val="TableheadingleftTables"/>
            </w:pPr>
            <w:r>
              <w:lastRenderedPageBreak/>
              <w:t>Output performance measures</w:t>
            </w:r>
          </w:p>
        </w:tc>
        <w:tc>
          <w:tcPr>
            <w:tcW w:w="1134" w:type="dxa"/>
          </w:tcPr>
          <w:p w14:paraId="36901D23" w14:textId="77777777" w:rsidR="00B02873" w:rsidRDefault="00B02873" w:rsidP="00A55F61">
            <w:pPr>
              <w:pStyle w:val="TableheadingleftTables"/>
            </w:pPr>
            <w:r>
              <w:t>Unit of measure</w:t>
            </w:r>
          </w:p>
        </w:tc>
        <w:tc>
          <w:tcPr>
            <w:tcW w:w="992" w:type="dxa"/>
          </w:tcPr>
          <w:p w14:paraId="51BA91E5" w14:textId="77777777" w:rsidR="00B02873" w:rsidRDefault="00B02873" w:rsidP="00C07FB5">
            <w:pPr>
              <w:pStyle w:val="TableheadingleftTables"/>
              <w:jc w:val="right"/>
            </w:pPr>
            <w:r>
              <w:t>2021-22 actual</w:t>
            </w:r>
          </w:p>
        </w:tc>
        <w:tc>
          <w:tcPr>
            <w:tcW w:w="992" w:type="dxa"/>
          </w:tcPr>
          <w:p w14:paraId="7D7BD149" w14:textId="77777777" w:rsidR="00B02873" w:rsidRDefault="00B02873" w:rsidP="00C07FB5">
            <w:pPr>
              <w:pStyle w:val="TableheadingleftTables"/>
              <w:jc w:val="right"/>
            </w:pPr>
            <w:r>
              <w:t>2021-22 target</w:t>
            </w:r>
          </w:p>
        </w:tc>
        <w:tc>
          <w:tcPr>
            <w:tcW w:w="1559" w:type="dxa"/>
          </w:tcPr>
          <w:p w14:paraId="1218C838" w14:textId="77777777" w:rsidR="00B02873" w:rsidRDefault="00B02873" w:rsidP="00C07FB5">
            <w:pPr>
              <w:pStyle w:val="TableheadingleftTables"/>
              <w:jc w:val="right"/>
            </w:pPr>
            <w:r>
              <w:rPr>
                <w:spacing w:val="-3"/>
              </w:rPr>
              <w:t>Performance variation (%)</w:t>
            </w:r>
          </w:p>
        </w:tc>
        <w:tc>
          <w:tcPr>
            <w:tcW w:w="1843" w:type="dxa"/>
          </w:tcPr>
          <w:p w14:paraId="5BC5D8FE" w14:textId="77777777" w:rsidR="00B02873" w:rsidRDefault="00B02873" w:rsidP="00A55F61">
            <w:pPr>
              <w:pStyle w:val="TableheadingleftTables"/>
            </w:pPr>
            <w:r>
              <w:t>Result</w:t>
            </w:r>
          </w:p>
        </w:tc>
      </w:tr>
      <w:tr w:rsidR="00B02873" w:rsidRPr="00B02873" w14:paraId="17313391" w14:textId="77777777" w:rsidTr="00A55F61">
        <w:tc>
          <w:tcPr>
            <w:tcW w:w="3256" w:type="dxa"/>
          </w:tcPr>
          <w:p w14:paraId="56CF2E05" w14:textId="77777777" w:rsidR="00B02873" w:rsidRDefault="00B02873" w:rsidP="00B415A9">
            <w:pPr>
              <w:pStyle w:val="TableheadingleftTables"/>
            </w:pPr>
            <w:r>
              <w:t>Quantity</w:t>
            </w:r>
          </w:p>
        </w:tc>
        <w:tc>
          <w:tcPr>
            <w:tcW w:w="1134" w:type="dxa"/>
          </w:tcPr>
          <w:p w14:paraId="65254ED4" w14:textId="77777777" w:rsidR="00B02873" w:rsidRPr="00B02873" w:rsidRDefault="00B02873" w:rsidP="00B415A9">
            <w:pPr>
              <w:pStyle w:val="NoParagraphStyle"/>
              <w:spacing w:line="240" w:lineRule="auto"/>
              <w:textAlignment w:val="auto"/>
              <w:rPr>
                <w:rFonts w:ascii="Apple Symbols Regular" w:hAnsi="Apple Symbols Regular" w:cs="Times New Roman"/>
                <w:color w:val="auto"/>
                <w:lang w:val="en-AU"/>
              </w:rPr>
            </w:pPr>
          </w:p>
        </w:tc>
        <w:tc>
          <w:tcPr>
            <w:tcW w:w="992" w:type="dxa"/>
          </w:tcPr>
          <w:p w14:paraId="634E1320" w14:textId="77777777" w:rsidR="00B02873" w:rsidRPr="00B02873" w:rsidRDefault="00B02873" w:rsidP="00C07FB5">
            <w:pPr>
              <w:pStyle w:val="NoParagraphStyle"/>
              <w:spacing w:line="240" w:lineRule="auto"/>
              <w:jc w:val="right"/>
              <w:textAlignment w:val="auto"/>
              <w:rPr>
                <w:rFonts w:ascii="Apple Symbols Regular" w:hAnsi="Apple Symbols Regular" w:cs="Times New Roman"/>
                <w:color w:val="auto"/>
                <w:lang w:val="en-AU"/>
              </w:rPr>
            </w:pPr>
          </w:p>
        </w:tc>
        <w:tc>
          <w:tcPr>
            <w:tcW w:w="992" w:type="dxa"/>
          </w:tcPr>
          <w:p w14:paraId="454092FC" w14:textId="77777777" w:rsidR="00B02873" w:rsidRPr="00B02873" w:rsidRDefault="00B02873" w:rsidP="00C07FB5">
            <w:pPr>
              <w:pStyle w:val="NoParagraphStyle"/>
              <w:spacing w:line="240" w:lineRule="auto"/>
              <w:jc w:val="right"/>
              <w:textAlignment w:val="auto"/>
              <w:rPr>
                <w:rFonts w:ascii="Apple Symbols Regular" w:hAnsi="Apple Symbols Regular" w:cs="Times New Roman"/>
                <w:color w:val="auto"/>
                <w:lang w:val="en-AU"/>
              </w:rPr>
            </w:pPr>
          </w:p>
        </w:tc>
        <w:tc>
          <w:tcPr>
            <w:tcW w:w="1559" w:type="dxa"/>
          </w:tcPr>
          <w:p w14:paraId="595397A6" w14:textId="77777777" w:rsidR="00B02873" w:rsidRPr="00B02873" w:rsidRDefault="00B02873" w:rsidP="00C07FB5">
            <w:pPr>
              <w:pStyle w:val="NoParagraphStyle"/>
              <w:spacing w:line="240" w:lineRule="auto"/>
              <w:jc w:val="right"/>
              <w:textAlignment w:val="auto"/>
              <w:rPr>
                <w:rFonts w:ascii="Apple Symbols Regular" w:hAnsi="Apple Symbols Regular" w:cs="Times New Roman"/>
                <w:color w:val="auto"/>
                <w:lang w:val="en-AU"/>
              </w:rPr>
            </w:pPr>
          </w:p>
        </w:tc>
        <w:tc>
          <w:tcPr>
            <w:tcW w:w="1843" w:type="dxa"/>
          </w:tcPr>
          <w:p w14:paraId="76EDADCB" w14:textId="77777777" w:rsidR="00B02873" w:rsidRPr="00B02873" w:rsidRDefault="00B02873" w:rsidP="00B415A9">
            <w:pPr>
              <w:pStyle w:val="NoParagraphStyle"/>
              <w:spacing w:line="240" w:lineRule="auto"/>
              <w:textAlignment w:val="auto"/>
              <w:rPr>
                <w:rFonts w:ascii="Apple Symbols Regular" w:hAnsi="Apple Symbols Regular" w:cs="Times New Roman"/>
                <w:color w:val="auto"/>
                <w:lang w:val="en-AU"/>
              </w:rPr>
            </w:pPr>
          </w:p>
        </w:tc>
      </w:tr>
      <w:tr w:rsidR="00B02873" w:rsidRPr="00B02873" w14:paraId="4EA1DC7C" w14:textId="77777777" w:rsidTr="00A55F61">
        <w:tc>
          <w:tcPr>
            <w:tcW w:w="3256" w:type="dxa"/>
          </w:tcPr>
          <w:p w14:paraId="55940E07" w14:textId="77777777" w:rsidR="00B02873" w:rsidRDefault="00B02873" w:rsidP="00B415A9">
            <w:pPr>
              <w:pStyle w:val="TablebodyleftTables"/>
            </w:pPr>
            <w:r>
              <w:t>Crown land leases directly managed by the Department</w:t>
            </w:r>
          </w:p>
        </w:tc>
        <w:tc>
          <w:tcPr>
            <w:tcW w:w="1134" w:type="dxa"/>
          </w:tcPr>
          <w:p w14:paraId="2BEAFFE8" w14:textId="77777777" w:rsidR="00B02873" w:rsidRDefault="00B02873" w:rsidP="00A55F61">
            <w:pPr>
              <w:pStyle w:val="TablebodyleftTables"/>
            </w:pPr>
            <w:r>
              <w:t>number</w:t>
            </w:r>
          </w:p>
        </w:tc>
        <w:tc>
          <w:tcPr>
            <w:tcW w:w="992" w:type="dxa"/>
          </w:tcPr>
          <w:p w14:paraId="71682731" w14:textId="77777777" w:rsidR="00B02873" w:rsidRDefault="00B02873" w:rsidP="00C07FB5">
            <w:pPr>
              <w:pStyle w:val="TablebodyleftTables"/>
              <w:jc w:val="right"/>
            </w:pPr>
            <w:r>
              <w:t>658</w:t>
            </w:r>
          </w:p>
        </w:tc>
        <w:tc>
          <w:tcPr>
            <w:tcW w:w="992" w:type="dxa"/>
          </w:tcPr>
          <w:p w14:paraId="43B480AE" w14:textId="77777777" w:rsidR="00B02873" w:rsidRDefault="00B02873" w:rsidP="00C07FB5">
            <w:pPr>
              <w:pStyle w:val="TablebodyleftTables"/>
              <w:jc w:val="right"/>
            </w:pPr>
            <w:r>
              <w:t>720</w:t>
            </w:r>
          </w:p>
        </w:tc>
        <w:tc>
          <w:tcPr>
            <w:tcW w:w="1559" w:type="dxa"/>
          </w:tcPr>
          <w:p w14:paraId="7EB9730A" w14:textId="77777777" w:rsidR="00B02873" w:rsidRDefault="00B02873" w:rsidP="00C07FB5">
            <w:pPr>
              <w:pStyle w:val="TablebodyleftTables"/>
              <w:jc w:val="right"/>
            </w:pPr>
            <w:r>
              <w:t>(9%)</w:t>
            </w:r>
          </w:p>
        </w:tc>
        <w:tc>
          <w:tcPr>
            <w:tcW w:w="1843" w:type="dxa"/>
          </w:tcPr>
          <w:p w14:paraId="2B7F530D" w14:textId="46A0BA42" w:rsidR="00B02873" w:rsidRDefault="00543972" w:rsidP="00A55F61">
            <w:pPr>
              <w:pStyle w:val="TablebodyleftTables"/>
            </w:pPr>
            <w:r>
              <w:t>Performance target not achieved – exceeds 5 per cent variance.</w:t>
            </w:r>
          </w:p>
        </w:tc>
      </w:tr>
    </w:tbl>
    <w:p w14:paraId="0864691F" w14:textId="2E9B1780" w:rsidR="00A55F61" w:rsidRPr="00A55F61" w:rsidRDefault="00A55F61">
      <w:pPr>
        <w:rPr>
          <w:i/>
          <w:iCs/>
        </w:rPr>
      </w:pPr>
      <w:r w:rsidRPr="00A55F61">
        <w:rPr>
          <w:i/>
          <w:iCs/>
        </w:rPr>
        <w:t>Performance is below target reflecting a transfer of leases to other agencies, some leases not being renewed by tenants and other leased parcels of land being reclassified as reserves to be managed by Committees of Management.</w:t>
      </w:r>
    </w:p>
    <w:tbl>
      <w:tblPr>
        <w:tblStyle w:val="TableGrid"/>
        <w:tblW w:w="9776" w:type="dxa"/>
        <w:tblLayout w:type="fixed"/>
        <w:tblLook w:val="0020" w:firstRow="1" w:lastRow="0" w:firstColumn="0" w:lastColumn="0" w:noHBand="0" w:noVBand="0"/>
      </w:tblPr>
      <w:tblGrid>
        <w:gridCol w:w="3256"/>
        <w:gridCol w:w="1134"/>
        <w:gridCol w:w="992"/>
        <w:gridCol w:w="992"/>
        <w:gridCol w:w="1559"/>
        <w:gridCol w:w="1843"/>
      </w:tblGrid>
      <w:tr w:rsidR="00543972" w:rsidRPr="00B02873" w14:paraId="510EFA25" w14:textId="77777777" w:rsidTr="00F0025B">
        <w:trPr>
          <w:cnfStyle w:val="100000000000" w:firstRow="1" w:lastRow="0" w:firstColumn="0" w:lastColumn="0" w:oddVBand="0" w:evenVBand="0" w:oddHBand="0" w:evenHBand="0" w:firstRowFirstColumn="0" w:firstRowLastColumn="0" w:lastRowFirstColumn="0" w:lastRowLastColumn="0"/>
          <w:tblHeader/>
        </w:trPr>
        <w:tc>
          <w:tcPr>
            <w:tcW w:w="3256" w:type="dxa"/>
          </w:tcPr>
          <w:p w14:paraId="2B1D5832" w14:textId="77777777" w:rsidR="00543972" w:rsidRDefault="00543972" w:rsidP="00F0025B">
            <w:pPr>
              <w:pStyle w:val="TableheadingleftTables"/>
            </w:pPr>
            <w:r>
              <w:t>Output performance measures</w:t>
            </w:r>
          </w:p>
        </w:tc>
        <w:tc>
          <w:tcPr>
            <w:tcW w:w="1134" w:type="dxa"/>
          </w:tcPr>
          <w:p w14:paraId="1FCD3568" w14:textId="77777777" w:rsidR="00543972" w:rsidRDefault="00543972" w:rsidP="00F0025B">
            <w:pPr>
              <w:pStyle w:val="TableheadingleftTables"/>
            </w:pPr>
            <w:r>
              <w:t>Unit of measure</w:t>
            </w:r>
          </w:p>
        </w:tc>
        <w:tc>
          <w:tcPr>
            <w:tcW w:w="992" w:type="dxa"/>
          </w:tcPr>
          <w:p w14:paraId="1E8695F3" w14:textId="77777777" w:rsidR="00543972" w:rsidRDefault="00543972" w:rsidP="00C07FB5">
            <w:pPr>
              <w:pStyle w:val="TableheadingleftTables"/>
              <w:jc w:val="right"/>
            </w:pPr>
            <w:r>
              <w:t>2021-22 actual</w:t>
            </w:r>
          </w:p>
        </w:tc>
        <w:tc>
          <w:tcPr>
            <w:tcW w:w="992" w:type="dxa"/>
          </w:tcPr>
          <w:p w14:paraId="2C33437A" w14:textId="77777777" w:rsidR="00543972" w:rsidRDefault="00543972" w:rsidP="00C07FB5">
            <w:pPr>
              <w:pStyle w:val="TableheadingleftTables"/>
              <w:jc w:val="right"/>
            </w:pPr>
            <w:r>
              <w:t>2021-22 target</w:t>
            </w:r>
          </w:p>
        </w:tc>
        <w:tc>
          <w:tcPr>
            <w:tcW w:w="1559" w:type="dxa"/>
          </w:tcPr>
          <w:p w14:paraId="45B05BA3" w14:textId="77777777" w:rsidR="00543972" w:rsidRDefault="00543972" w:rsidP="00C07FB5">
            <w:pPr>
              <w:pStyle w:val="TableheadingleftTables"/>
              <w:jc w:val="right"/>
            </w:pPr>
            <w:r>
              <w:rPr>
                <w:spacing w:val="-3"/>
              </w:rPr>
              <w:t>Performance variation (%)</w:t>
            </w:r>
          </w:p>
        </w:tc>
        <w:tc>
          <w:tcPr>
            <w:tcW w:w="1843" w:type="dxa"/>
          </w:tcPr>
          <w:p w14:paraId="19B85E86" w14:textId="77777777" w:rsidR="00543972" w:rsidRDefault="00543972" w:rsidP="00F0025B">
            <w:pPr>
              <w:pStyle w:val="TableheadingleftTables"/>
            </w:pPr>
            <w:r>
              <w:t>Result</w:t>
            </w:r>
          </w:p>
        </w:tc>
      </w:tr>
      <w:tr w:rsidR="00B02873" w:rsidRPr="00B02873" w14:paraId="512E96EE" w14:textId="77777777" w:rsidTr="00A55F61">
        <w:tc>
          <w:tcPr>
            <w:tcW w:w="3256" w:type="dxa"/>
          </w:tcPr>
          <w:p w14:paraId="6D7EFEF5" w14:textId="23456061" w:rsidR="00B02873" w:rsidRDefault="00B02873" w:rsidP="00B415A9">
            <w:pPr>
              <w:pStyle w:val="TablebodyleftTables"/>
            </w:pPr>
            <w:r>
              <w:t>Crown land licenses directly managed by the Department</w:t>
            </w:r>
          </w:p>
        </w:tc>
        <w:tc>
          <w:tcPr>
            <w:tcW w:w="1134" w:type="dxa"/>
          </w:tcPr>
          <w:p w14:paraId="3C07F99C" w14:textId="77777777" w:rsidR="00B02873" w:rsidRDefault="00B02873" w:rsidP="00A55F61">
            <w:pPr>
              <w:pStyle w:val="TablebodyleftTables"/>
            </w:pPr>
            <w:r>
              <w:t>number</w:t>
            </w:r>
          </w:p>
        </w:tc>
        <w:tc>
          <w:tcPr>
            <w:tcW w:w="992" w:type="dxa"/>
          </w:tcPr>
          <w:p w14:paraId="18FFB236" w14:textId="77777777" w:rsidR="00B02873" w:rsidRDefault="00B02873" w:rsidP="00C07FB5">
            <w:pPr>
              <w:pStyle w:val="TablebodyleftTables"/>
              <w:jc w:val="right"/>
            </w:pPr>
            <w:r>
              <w:t>45 300</w:t>
            </w:r>
          </w:p>
        </w:tc>
        <w:tc>
          <w:tcPr>
            <w:tcW w:w="992" w:type="dxa"/>
          </w:tcPr>
          <w:p w14:paraId="2464819C" w14:textId="77777777" w:rsidR="00B02873" w:rsidRDefault="00B02873" w:rsidP="00C07FB5">
            <w:pPr>
              <w:pStyle w:val="TablebodyleftTables"/>
              <w:jc w:val="right"/>
            </w:pPr>
            <w:r>
              <w:t>45 000</w:t>
            </w:r>
          </w:p>
        </w:tc>
        <w:tc>
          <w:tcPr>
            <w:tcW w:w="1559" w:type="dxa"/>
          </w:tcPr>
          <w:p w14:paraId="3ECCF5CB" w14:textId="77777777" w:rsidR="00B02873" w:rsidRDefault="00B02873" w:rsidP="00C07FB5">
            <w:pPr>
              <w:pStyle w:val="TablebodyleftTables"/>
              <w:jc w:val="right"/>
            </w:pPr>
            <w:r>
              <w:t>1%</w:t>
            </w:r>
          </w:p>
        </w:tc>
        <w:tc>
          <w:tcPr>
            <w:tcW w:w="1843" w:type="dxa"/>
          </w:tcPr>
          <w:p w14:paraId="57FE4875" w14:textId="7770561B" w:rsidR="00B02873" w:rsidRDefault="00543972" w:rsidP="00A55F61">
            <w:pPr>
              <w:pStyle w:val="TablebodyleftTables"/>
            </w:pPr>
            <w:r>
              <w:t>Performance target achieved or exceeded.</w:t>
            </w:r>
          </w:p>
        </w:tc>
      </w:tr>
      <w:tr w:rsidR="00B02873" w:rsidRPr="00B02873" w14:paraId="65BC29B4" w14:textId="77777777" w:rsidTr="00A55F61">
        <w:tc>
          <w:tcPr>
            <w:tcW w:w="3256" w:type="dxa"/>
          </w:tcPr>
          <w:p w14:paraId="03610DEB" w14:textId="77777777" w:rsidR="00B02873" w:rsidRDefault="00B02873" w:rsidP="00B415A9">
            <w:pPr>
              <w:pStyle w:val="TablebodyleftTables"/>
            </w:pPr>
            <w:r w:rsidRPr="00A55F61">
              <w:rPr>
                <w:rStyle w:val="LightItalic"/>
                <w:rFonts w:asciiTheme="minorHAnsi" w:hAnsiTheme="minorHAnsi" w:cstheme="minorHAnsi"/>
                <w:spacing w:val="-2"/>
              </w:rPr>
              <w:t>Native Title and Traditional Owner Settlement Act 2010</w:t>
            </w:r>
            <w:r>
              <w:rPr>
                <w:spacing w:val="-2"/>
              </w:rPr>
              <w:t xml:space="preserve"> negotiations the Department supports with data and information services </w:t>
            </w:r>
          </w:p>
        </w:tc>
        <w:tc>
          <w:tcPr>
            <w:tcW w:w="1134" w:type="dxa"/>
          </w:tcPr>
          <w:p w14:paraId="3D5FA199" w14:textId="77777777" w:rsidR="00B02873" w:rsidRDefault="00B02873" w:rsidP="00A55F61">
            <w:pPr>
              <w:pStyle w:val="TablebodyleftTables"/>
            </w:pPr>
            <w:r>
              <w:t>number</w:t>
            </w:r>
          </w:p>
        </w:tc>
        <w:tc>
          <w:tcPr>
            <w:tcW w:w="992" w:type="dxa"/>
          </w:tcPr>
          <w:p w14:paraId="18C75163" w14:textId="77777777" w:rsidR="00B02873" w:rsidRDefault="00B02873" w:rsidP="00C07FB5">
            <w:pPr>
              <w:pStyle w:val="TablebodyleftTables"/>
              <w:jc w:val="right"/>
            </w:pPr>
            <w:r>
              <w:t>4</w:t>
            </w:r>
          </w:p>
        </w:tc>
        <w:tc>
          <w:tcPr>
            <w:tcW w:w="992" w:type="dxa"/>
          </w:tcPr>
          <w:p w14:paraId="3189FE89" w14:textId="77777777" w:rsidR="00B02873" w:rsidRDefault="00B02873" w:rsidP="00C07FB5">
            <w:pPr>
              <w:pStyle w:val="TablebodyleftTables"/>
              <w:jc w:val="right"/>
            </w:pPr>
            <w:r>
              <w:t>4</w:t>
            </w:r>
          </w:p>
        </w:tc>
        <w:tc>
          <w:tcPr>
            <w:tcW w:w="1559" w:type="dxa"/>
          </w:tcPr>
          <w:p w14:paraId="15F690C2" w14:textId="77777777" w:rsidR="00B02873" w:rsidRDefault="00B02873" w:rsidP="00C07FB5">
            <w:pPr>
              <w:pStyle w:val="TablebodyleftTables"/>
              <w:jc w:val="right"/>
            </w:pPr>
            <w:r>
              <w:t>0%</w:t>
            </w:r>
          </w:p>
        </w:tc>
        <w:tc>
          <w:tcPr>
            <w:tcW w:w="1843" w:type="dxa"/>
          </w:tcPr>
          <w:p w14:paraId="2F1C24CA" w14:textId="04B26D16" w:rsidR="00B02873" w:rsidRDefault="00543972" w:rsidP="00A55F61">
            <w:pPr>
              <w:pStyle w:val="TablebodyleftTables"/>
            </w:pPr>
            <w:r>
              <w:t>Performance target achieved or exceeded.</w:t>
            </w:r>
          </w:p>
        </w:tc>
      </w:tr>
      <w:tr w:rsidR="00B02873" w:rsidRPr="00B02873" w14:paraId="542CBD88" w14:textId="77777777" w:rsidTr="00A55F61">
        <w:tc>
          <w:tcPr>
            <w:tcW w:w="3256" w:type="dxa"/>
          </w:tcPr>
          <w:p w14:paraId="7E98D3CD" w14:textId="77777777" w:rsidR="00B02873" w:rsidRDefault="00B02873" w:rsidP="00B415A9">
            <w:pPr>
              <w:pStyle w:val="TablebodyleftTables"/>
            </w:pPr>
            <w:r w:rsidRPr="00A55F61">
              <w:rPr>
                <w:rStyle w:val="LightItalic"/>
                <w:rFonts w:asciiTheme="minorHAnsi" w:hAnsiTheme="minorHAnsi" w:cstheme="minorHAnsi"/>
              </w:rPr>
              <w:t>Native Title and Traditional Owner Settlement Act 2010</w:t>
            </w:r>
            <w:r>
              <w:t xml:space="preserve"> agreements being implemented by the Department </w:t>
            </w:r>
          </w:p>
        </w:tc>
        <w:tc>
          <w:tcPr>
            <w:tcW w:w="1134" w:type="dxa"/>
          </w:tcPr>
          <w:p w14:paraId="48025183" w14:textId="77777777" w:rsidR="00B02873" w:rsidRDefault="00B02873" w:rsidP="00A55F61">
            <w:pPr>
              <w:pStyle w:val="TablebodyleftTables"/>
            </w:pPr>
            <w:r>
              <w:t>number</w:t>
            </w:r>
          </w:p>
        </w:tc>
        <w:tc>
          <w:tcPr>
            <w:tcW w:w="992" w:type="dxa"/>
          </w:tcPr>
          <w:p w14:paraId="1BFDFA1D" w14:textId="77777777" w:rsidR="00B02873" w:rsidRDefault="00B02873" w:rsidP="00C07FB5">
            <w:pPr>
              <w:pStyle w:val="TablebodyleftTables"/>
              <w:jc w:val="right"/>
            </w:pPr>
            <w:r>
              <w:t>6</w:t>
            </w:r>
          </w:p>
        </w:tc>
        <w:tc>
          <w:tcPr>
            <w:tcW w:w="992" w:type="dxa"/>
          </w:tcPr>
          <w:p w14:paraId="7970F71C" w14:textId="77777777" w:rsidR="00B02873" w:rsidRDefault="00B02873" w:rsidP="00C07FB5">
            <w:pPr>
              <w:pStyle w:val="TablebodyleftTables"/>
              <w:jc w:val="right"/>
            </w:pPr>
            <w:r>
              <w:t>6</w:t>
            </w:r>
          </w:p>
        </w:tc>
        <w:tc>
          <w:tcPr>
            <w:tcW w:w="1559" w:type="dxa"/>
          </w:tcPr>
          <w:p w14:paraId="7DC4DF6F" w14:textId="77777777" w:rsidR="00B02873" w:rsidRDefault="00B02873" w:rsidP="00C07FB5">
            <w:pPr>
              <w:pStyle w:val="TablebodyleftTables"/>
              <w:jc w:val="right"/>
            </w:pPr>
            <w:r>
              <w:t>0%</w:t>
            </w:r>
          </w:p>
        </w:tc>
        <w:tc>
          <w:tcPr>
            <w:tcW w:w="1843" w:type="dxa"/>
          </w:tcPr>
          <w:p w14:paraId="04BCA5AE" w14:textId="13678051" w:rsidR="00B02873" w:rsidRDefault="00543972" w:rsidP="00A55F61">
            <w:pPr>
              <w:pStyle w:val="TablebodyleftTables"/>
            </w:pPr>
            <w:r>
              <w:t>Performance target achieved or exceeded.</w:t>
            </w:r>
          </w:p>
        </w:tc>
      </w:tr>
      <w:tr w:rsidR="00B02873" w:rsidRPr="00B02873" w14:paraId="75113ED8" w14:textId="77777777" w:rsidTr="00A55F61">
        <w:tc>
          <w:tcPr>
            <w:tcW w:w="3256" w:type="dxa"/>
          </w:tcPr>
          <w:p w14:paraId="536FE285" w14:textId="77777777" w:rsidR="00B02873" w:rsidRDefault="00B02873" w:rsidP="00B415A9">
            <w:pPr>
              <w:pStyle w:val="TablebodyleftTables"/>
            </w:pPr>
            <w:r>
              <w:t xml:space="preserve">Participants in Coastcare activities </w:t>
            </w:r>
          </w:p>
        </w:tc>
        <w:tc>
          <w:tcPr>
            <w:tcW w:w="1134" w:type="dxa"/>
          </w:tcPr>
          <w:p w14:paraId="0651F989" w14:textId="77777777" w:rsidR="00B02873" w:rsidRDefault="00B02873" w:rsidP="00A55F61">
            <w:pPr>
              <w:pStyle w:val="TablebodyleftTables"/>
            </w:pPr>
            <w:r>
              <w:t>number</w:t>
            </w:r>
          </w:p>
        </w:tc>
        <w:tc>
          <w:tcPr>
            <w:tcW w:w="992" w:type="dxa"/>
          </w:tcPr>
          <w:p w14:paraId="11DEC1DB" w14:textId="77777777" w:rsidR="00B02873" w:rsidRDefault="00B02873" w:rsidP="00C07FB5">
            <w:pPr>
              <w:pStyle w:val="TablebodyleftTables"/>
              <w:jc w:val="right"/>
            </w:pPr>
            <w:r>
              <w:t>9 094</w:t>
            </w:r>
          </w:p>
        </w:tc>
        <w:tc>
          <w:tcPr>
            <w:tcW w:w="992" w:type="dxa"/>
          </w:tcPr>
          <w:p w14:paraId="29BFB42B" w14:textId="77777777" w:rsidR="00B02873" w:rsidRDefault="00B02873" w:rsidP="00C07FB5">
            <w:pPr>
              <w:pStyle w:val="TablebodyleftTables"/>
              <w:jc w:val="right"/>
            </w:pPr>
            <w:r>
              <w:t>10 000</w:t>
            </w:r>
          </w:p>
        </w:tc>
        <w:tc>
          <w:tcPr>
            <w:tcW w:w="1559" w:type="dxa"/>
          </w:tcPr>
          <w:p w14:paraId="3A6FA5A5" w14:textId="77777777" w:rsidR="00B02873" w:rsidRDefault="00B02873" w:rsidP="00C07FB5">
            <w:pPr>
              <w:pStyle w:val="TablebodyleftTables"/>
              <w:jc w:val="right"/>
            </w:pPr>
            <w:r>
              <w:t>(9%)</w:t>
            </w:r>
          </w:p>
        </w:tc>
        <w:tc>
          <w:tcPr>
            <w:tcW w:w="1843" w:type="dxa"/>
          </w:tcPr>
          <w:p w14:paraId="6832847B" w14:textId="68208C61" w:rsidR="00B02873" w:rsidRDefault="00543972" w:rsidP="00A55F61">
            <w:pPr>
              <w:pStyle w:val="TablebodyleftTables"/>
            </w:pPr>
            <w:r>
              <w:t>Performance target not achieved – exceeds 5 per cent variance.</w:t>
            </w:r>
          </w:p>
        </w:tc>
      </w:tr>
    </w:tbl>
    <w:p w14:paraId="0EFDFE31" w14:textId="58F6BFBD" w:rsidR="00A55F61" w:rsidRPr="00A55F61" w:rsidRDefault="00A55F61">
      <w:pPr>
        <w:rPr>
          <w:i/>
          <w:iCs/>
        </w:rPr>
      </w:pPr>
      <w:r w:rsidRPr="00A55F61">
        <w:rPr>
          <w:i/>
          <w:iCs/>
        </w:rPr>
        <w:t>Performance is below target due to COVIDSafe settings impacting face to face delivery of Coastcare activities.</w:t>
      </w:r>
    </w:p>
    <w:tbl>
      <w:tblPr>
        <w:tblStyle w:val="TableGrid"/>
        <w:tblW w:w="9776" w:type="dxa"/>
        <w:tblLayout w:type="fixed"/>
        <w:tblLook w:val="0020" w:firstRow="1" w:lastRow="0" w:firstColumn="0" w:lastColumn="0" w:noHBand="0" w:noVBand="0"/>
      </w:tblPr>
      <w:tblGrid>
        <w:gridCol w:w="3256"/>
        <w:gridCol w:w="1134"/>
        <w:gridCol w:w="992"/>
        <w:gridCol w:w="992"/>
        <w:gridCol w:w="1559"/>
        <w:gridCol w:w="1843"/>
      </w:tblGrid>
      <w:tr w:rsidR="00543972" w:rsidRPr="00B02873" w14:paraId="330D56E4" w14:textId="77777777" w:rsidTr="00F0025B">
        <w:trPr>
          <w:cnfStyle w:val="100000000000" w:firstRow="1" w:lastRow="0" w:firstColumn="0" w:lastColumn="0" w:oddVBand="0" w:evenVBand="0" w:oddHBand="0" w:evenHBand="0" w:firstRowFirstColumn="0" w:firstRowLastColumn="0" w:lastRowFirstColumn="0" w:lastRowLastColumn="0"/>
          <w:tblHeader/>
        </w:trPr>
        <w:tc>
          <w:tcPr>
            <w:tcW w:w="3256" w:type="dxa"/>
          </w:tcPr>
          <w:p w14:paraId="2BA43C9A" w14:textId="77777777" w:rsidR="00543972" w:rsidRDefault="00543972" w:rsidP="00F0025B">
            <w:pPr>
              <w:pStyle w:val="TableheadingleftTables"/>
            </w:pPr>
            <w:r>
              <w:t>Output performance measures</w:t>
            </w:r>
          </w:p>
        </w:tc>
        <w:tc>
          <w:tcPr>
            <w:tcW w:w="1134" w:type="dxa"/>
          </w:tcPr>
          <w:p w14:paraId="56B59DE9" w14:textId="77777777" w:rsidR="00543972" w:rsidRDefault="00543972" w:rsidP="00F0025B">
            <w:pPr>
              <w:pStyle w:val="TableheadingleftTables"/>
            </w:pPr>
            <w:r>
              <w:t>Unit of measure</w:t>
            </w:r>
          </w:p>
        </w:tc>
        <w:tc>
          <w:tcPr>
            <w:tcW w:w="992" w:type="dxa"/>
          </w:tcPr>
          <w:p w14:paraId="1077D5CE" w14:textId="77777777" w:rsidR="00543972" w:rsidRDefault="00543972" w:rsidP="00C07FB5">
            <w:pPr>
              <w:pStyle w:val="TableheadingleftTables"/>
              <w:jc w:val="right"/>
            </w:pPr>
            <w:r>
              <w:t>2021-22 actual</w:t>
            </w:r>
          </w:p>
        </w:tc>
        <w:tc>
          <w:tcPr>
            <w:tcW w:w="992" w:type="dxa"/>
          </w:tcPr>
          <w:p w14:paraId="6051F15D" w14:textId="77777777" w:rsidR="00543972" w:rsidRDefault="00543972" w:rsidP="00C07FB5">
            <w:pPr>
              <w:pStyle w:val="TableheadingleftTables"/>
              <w:jc w:val="right"/>
            </w:pPr>
            <w:r>
              <w:t>2021-22 target</w:t>
            </w:r>
          </w:p>
        </w:tc>
        <w:tc>
          <w:tcPr>
            <w:tcW w:w="1559" w:type="dxa"/>
          </w:tcPr>
          <w:p w14:paraId="42A55919" w14:textId="77777777" w:rsidR="00543972" w:rsidRDefault="00543972" w:rsidP="00C07FB5">
            <w:pPr>
              <w:pStyle w:val="TableheadingleftTables"/>
              <w:jc w:val="right"/>
            </w:pPr>
            <w:r>
              <w:rPr>
                <w:spacing w:val="-3"/>
              </w:rPr>
              <w:t>Performance variation (%)</w:t>
            </w:r>
          </w:p>
        </w:tc>
        <w:tc>
          <w:tcPr>
            <w:tcW w:w="1843" w:type="dxa"/>
          </w:tcPr>
          <w:p w14:paraId="5C57E587" w14:textId="77777777" w:rsidR="00543972" w:rsidRDefault="00543972" w:rsidP="00F0025B">
            <w:pPr>
              <w:pStyle w:val="TableheadingleftTables"/>
            </w:pPr>
            <w:r>
              <w:t>Result</w:t>
            </w:r>
          </w:p>
        </w:tc>
      </w:tr>
      <w:tr w:rsidR="00B02873" w:rsidRPr="00B02873" w14:paraId="0A67E1C5" w14:textId="77777777" w:rsidTr="00A55F61">
        <w:tc>
          <w:tcPr>
            <w:tcW w:w="3256" w:type="dxa"/>
          </w:tcPr>
          <w:p w14:paraId="277EB060" w14:textId="1D786182" w:rsidR="00B02873" w:rsidRDefault="00B02873" w:rsidP="00B415A9">
            <w:pPr>
              <w:pStyle w:val="TablebodyleftTables"/>
            </w:pPr>
            <w:r>
              <w:t>Visitors to the Royal Botanic Gardens in Melbourne and Cranbourne</w:t>
            </w:r>
          </w:p>
        </w:tc>
        <w:tc>
          <w:tcPr>
            <w:tcW w:w="1134" w:type="dxa"/>
          </w:tcPr>
          <w:p w14:paraId="4241206D" w14:textId="77777777" w:rsidR="00B02873" w:rsidRDefault="00B02873" w:rsidP="00A55F61">
            <w:pPr>
              <w:pStyle w:val="TablebodyleftTables"/>
            </w:pPr>
            <w:r>
              <w:t>number (million)</w:t>
            </w:r>
          </w:p>
        </w:tc>
        <w:tc>
          <w:tcPr>
            <w:tcW w:w="992" w:type="dxa"/>
          </w:tcPr>
          <w:p w14:paraId="5785CF5C" w14:textId="77777777" w:rsidR="00B02873" w:rsidRDefault="00B02873" w:rsidP="00C07FB5">
            <w:pPr>
              <w:pStyle w:val="TablebodyleftTables"/>
              <w:jc w:val="right"/>
            </w:pPr>
            <w:r>
              <w:t>1.78</w:t>
            </w:r>
          </w:p>
        </w:tc>
        <w:tc>
          <w:tcPr>
            <w:tcW w:w="992" w:type="dxa"/>
          </w:tcPr>
          <w:p w14:paraId="4370ED7D" w14:textId="77777777" w:rsidR="00B02873" w:rsidRDefault="00B02873" w:rsidP="00C07FB5">
            <w:pPr>
              <w:pStyle w:val="TablebodyleftTables"/>
              <w:jc w:val="right"/>
            </w:pPr>
            <w:r>
              <w:t>2.0-2.2</w:t>
            </w:r>
          </w:p>
        </w:tc>
        <w:tc>
          <w:tcPr>
            <w:tcW w:w="1559" w:type="dxa"/>
          </w:tcPr>
          <w:p w14:paraId="5E53B1EB" w14:textId="77777777" w:rsidR="00B02873" w:rsidRDefault="00B02873" w:rsidP="00C07FB5">
            <w:pPr>
              <w:pStyle w:val="TablebodyleftTables"/>
              <w:jc w:val="right"/>
            </w:pPr>
            <w:r>
              <w:t>(11%)</w:t>
            </w:r>
          </w:p>
        </w:tc>
        <w:tc>
          <w:tcPr>
            <w:tcW w:w="1843" w:type="dxa"/>
          </w:tcPr>
          <w:p w14:paraId="4BDD7896" w14:textId="3147CA8D" w:rsidR="00B02873" w:rsidRDefault="00543972" w:rsidP="00A55F61">
            <w:pPr>
              <w:pStyle w:val="TablebodyleftTables"/>
            </w:pPr>
            <w:r>
              <w:t>Performance target not achieved – exceeds 5 per cent variance.</w:t>
            </w:r>
          </w:p>
        </w:tc>
      </w:tr>
    </w:tbl>
    <w:p w14:paraId="2E4171D9" w14:textId="060EE080" w:rsidR="00543972" w:rsidRPr="00543972" w:rsidRDefault="00543972">
      <w:pPr>
        <w:rPr>
          <w:i/>
          <w:iCs/>
        </w:rPr>
      </w:pPr>
      <w:r w:rsidRPr="00543972">
        <w:rPr>
          <w:i/>
          <w:iCs/>
        </w:rPr>
        <w:t>Performance is below target due to significantly reduced international and interstate tourism to Melbourne Gardens and a reduction in the amount of public programming at both sites due to COVIDSafe settings.</w:t>
      </w:r>
    </w:p>
    <w:tbl>
      <w:tblPr>
        <w:tblStyle w:val="TableGrid"/>
        <w:tblW w:w="9776" w:type="dxa"/>
        <w:tblLayout w:type="fixed"/>
        <w:tblLook w:val="0020" w:firstRow="1" w:lastRow="0" w:firstColumn="0" w:lastColumn="0" w:noHBand="0" w:noVBand="0"/>
      </w:tblPr>
      <w:tblGrid>
        <w:gridCol w:w="3256"/>
        <w:gridCol w:w="1134"/>
        <w:gridCol w:w="992"/>
        <w:gridCol w:w="992"/>
        <w:gridCol w:w="1559"/>
        <w:gridCol w:w="1843"/>
      </w:tblGrid>
      <w:tr w:rsidR="00543972" w:rsidRPr="00B02873" w14:paraId="547DFC7D" w14:textId="77777777" w:rsidTr="00F0025B">
        <w:trPr>
          <w:cnfStyle w:val="100000000000" w:firstRow="1" w:lastRow="0" w:firstColumn="0" w:lastColumn="0" w:oddVBand="0" w:evenVBand="0" w:oddHBand="0" w:evenHBand="0" w:firstRowFirstColumn="0" w:firstRowLastColumn="0" w:lastRowFirstColumn="0" w:lastRowLastColumn="0"/>
          <w:tblHeader/>
        </w:trPr>
        <w:tc>
          <w:tcPr>
            <w:tcW w:w="3256" w:type="dxa"/>
          </w:tcPr>
          <w:p w14:paraId="21CB436B" w14:textId="77777777" w:rsidR="00543972" w:rsidRDefault="00543972" w:rsidP="00F0025B">
            <w:pPr>
              <w:pStyle w:val="TableheadingleftTables"/>
            </w:pPr>
            <w:r>
              <w:lastRenderedPageBreak/>
              <w:t>Output performance measures</w:t>
            </w:r>
          </w:p>
        </w:tc>
        <w:tc>
          <w:tcPr>
            <w:tcW w:w="1134" w:type="dxa"/>
          </w:tcPr>
          <w:p w14:paraId="0DE62A81" w14:textId="77777777" w:rsidR="00543972" w:rsidRDefault="00543972" w:rsidP="00F0025B">
            <w:pPr>
              <w:pStyle w:val="TableheadingleftTables"/>
            </w:pPr>
            <w:r>
              <w:t>Unit of measure</w:t>
            </w:r>
          </w:p>
        </w:tc>
        <w:tc>
          <w:tcPr>
            <w:tcW w:w="992" w:type="dxa"/>
          </w:tcPr>
          <w:p w14:paraId="51F9470B" w14:textId="77777777" w:rsidR="00543972" w:rsidRDefault="00543972" w:rsidP="00C07FB5">
            <w:pPr>
              <w:pStyle w:val="TableheadingleftTables"/>
              <w:jc w:val="right"/>
            </w:pPr>
            <w:r>
              <w:t>2021-22 actual</w:t>
            </w:r>
          </w:p>
        </w:tc>
        <w:tc>
          <w:tcPr>
            <w:tcW w:w="992" w:type="dxa"/>
          </w:tcPr>
          <w:p w14:paraId="632742F7" w14:textId="77777777" w:rsidR="00543972" w:rsidRDefault="00543972" w:rsidP="00C07FB5">
            <w:pPr>
              <w:pStyle w:val="TableheadingleftTables"/>
              <w:jc w:val="right"/>
            </w:pPr>
            <w:r>
              <w:t>2021-22 target</w:t>
            </w:r>
          </w:p>
        </w:tc>
        <w:tc>
          <w:tcPr>
            <w:tcW w:w="1559" w:type="dxa"/>
          </w:tcPr>
          <w:p w14:paraId="7440F2FE" w14:textId="77777777" w:rsidR="00543972" w:rsidRDefault="00543972" w:rsidP="00C07FB5">
            <w:pPr>
              <w:pStyle w:val="TableheadingleftTables"/>
              <w:jc w:val="right"/>
            </w:pPr>
            <w:r>
              <w:rPr>
                <w:spacing w:val="-3"/>
              </w:rPr>
              <w:t>Performance variation (%)</w:t>
            </w:r>
          </w:p>
        </w:tc>
        <w:tc>
          <w:tcPr>
            <w:tcW w:w="1843" w:type="dxa"/>
          </w:tcPr>
          <w:p w14:paraId="7AB6DE60" w14:textId="77777777" w:rsidR="00543972" w:rsidRDefault="00543972" w:rsidP="00F0025B">
            <w:pPr>
              <w:pStyle w:val="TableheadingleftTables"/>
            </w:pPr>
            <w:r>
              <w:t>Result</w:t>
            </w:r>
          </w:p>
        </w:tc>
      </w:tr>
      <w:tr w:rsidR="00B02873" w:rsidRPr="00B02873" w14:paraId="5A857675" w14:textId="77777777" w:rsidTr="00A55F61">
        <w:tc>
          <w:tcPr>
            <w:tcW w:w="3256" w:type="dxa"/>
          </w:tcPr>
          <w:p w14:paraId="2FDE14AC" w14:textId="77777777" w:rsidR="00B02873" w:rsidRDefault="00B02873" w:rsidP="00B415A9">
            <w:pPr>
              <w:pStyle w:val="TablebodyleftTables"/>
            </w:pPr>
            <w:r>
              <w:t>Specimens curated in the State Botanical Collection</w:t>
            </w:r>
          </w:p>
        </w:tc>
        <w:tc>
          <w:tcPr>
            <w:tcW w:w="1134" w:type="dxa"/>
          </w:tcPr>
          <w:p w14:paraId="75CBD423" w14:textId="77777777" w:rsidR="00B02873" w:rsidRDefault="00B02873" w:rsidP="00A55F61">
            <w:pPr>
              <w:pStyle w:val="TablebodyleftTables"/>
            </w:pPr>
            <w:r>
              <w:t>number</w:t>
            </w:r>
          </w:p>
        </w:tc>
        <w:tc>
          <w:tcPr>
            <w:tcW w:w="992" w:type="dxa"/>
          </w:tcPr>
          <w:p w14:paraId="279631C3" w14:textId="77777777" w:rsidR="00B02873" w:rsidRDefault="00B02873" w:rsidP="00C07FB5">
            <w:pPr>
              <w:pStyle w:val="TablebodyleftTables"/>
              <w:jc w:val="right"/>
            </w:pPr>
            <w:r>
              <w:t>26 984</w:t>
            </w:r>
          </w:p>
        </w:tc>
        <w:tc>
          <w:tcPr>
            <w:tcW w:w="992" w:type="dxa"/>
          </w:tcPr>
          <w:p w14:paraId="47FFC0CF" w14:textId="77777777" w:rsidR="00B02873" w:rsidRDefault="00B02873" w:rsidP="00C07FB5">
            <w:pPr>
              <w:pStyle w:val="TablebodyleftTables"/>
              <w:jc w:val="right"/>
            </w:pPr>
            <w:r>
              <w:t>30 000</w:t>
            </w:r>
          </w:p>
        </w:tc>
        <w:tc>
          <w:tcPr>
            <w:tcW w:w="1559" w:type="dxa"/>
          </w:tcPr>
          <w:p w14:paraId="39949D2A" w14:textId="77777777" w:rsidR="00B02873" w:rsidRDefault="00B02873" w:rsidP="00C07FB5">
            <w:pPr>
              <w:pStyle w:val="TablebodyleftTables"/>
              <w:jc w:val="right"/>
            </w:pPr>
            <w:r>
              <w:t>(10%)</w:t>
            </w:r>
          </w:p>
        </w:tc>
        <w:tc>
          <w:tcPr>
            <w:tcW w:w="1843" w:type="dxa"/>
          </w:tcPr>
          <w:p w14:paraId="155E378A" w14:textId="79D7F478" w:rsidR="00B02873" w:rsidRDefault="00543972" w:rsidP="00A55F61">
            <w:pPr>
              <w:pStyle w:val="TablebodyleftTables"/>
            </w:pPr>
            <w:r>
              <w:t>Performance target not achieved – exceeds 5 per cent variance.</w:t>
            </w:r>
          </w:p>
        </w:tc>
      </w:tr>
    </w:tbl>
    <w:p w14:paraId="63161ACA" w14:textId="00BEC3C4" w:rsidR="00543972" w:rsidRPr="00543972" w:rsidRDefault="00543972">
      <w:pPr>
        <w:rPr>
          <w:i/>
          <w:iCs/>
        </w:rPr>
      </w:pPr>
      <w:r w:rsidRPr="00543972">
        <w:rPr>
          <w:i/>
          <w:iCs/>
        </w:rPr>
        <w:t>Performance is below target due to COVIDSafe settings limiting on-site curation works.</w:t>
      </w:r>
    </w:p>
    <w:tbl>
      <w:tblPr>
        <w:tblStyle w:val="TableGrid"/>
        <w:tblW w:w="9776" w:type="dxa"/>
        <w:tblLayout w:type="fixed"/>
        <w:tblLook w:val="0020" w:firstRow="1" w:lastRow="0" w:firstColumn="0" w:lastColumn="0" w:noHBand="0" w:noVBand="0"/>
      </w:tblPr>
      <w:tblGrid>
        <w:gridCol w:w="3256"/>
        <w:gridCol w:w="1134"/>
        <w:gridCol w:w="992"/>
        <w:gridCol w:w="992"/>
        <w:gridCol w:w="1559"/>
        <w:gridCol w:w="1843"/>
      </w:tblGrid>
      <w:tr w:rsidR="00543972" w:rsidRPr="00B02873" w14:paraId="5D98CE6E" w14:textId="77777777" w:rsidTr="00F0025B">
        <w:trPr>
          <w:cnfStyle w:val="100000000000" w:firstRow="1" w:lastRow="0" w:firstColumn="0" w:lastColumn="0" w:oddVBand="0" w:evenVBand="0" w:oddHBand="0" w:evenHBand="0" w:firstRowFirstColumn="0" w:firstRowLastColumn="0" w:lastRowFirstColumn="0" w:lastRowLastColumn="0"/>
          <w:tblHeader/>
        </w:trPr>
        <w:tc>
          <w:tcPr>
            <w:tcW w:w="3256" w:type="dxa"/>
          </w:tcPr>
          <w:p w14:paraId="004C2BBE" w14:textId="77777777" w:rsidR="00543972" w:rsidRDefault="00543972" w:rsidP="00F0025B">
            <w:pPr>
              <w:pStyle w:val="TableheadingleftTables"/>
            </w:pPr>
            <w:r>
              <w:t>Output performance measures</w:t>
            </w:r>
          </w:p>
        </w:tc>
        <w:tc>
          <w:tcPr>
            <w:tcW w:w="1134" w:type="dxa"/>
          </w:tcPr>
          <w:p w14:paraId="0536D3D2" w14:textId="77777777" w:rsidR="00543972" w:rsidRDefault="00543972" w:rsidP="00F0025B">
            <w:pPr>
              <w:pStyle w:val="TableheadingleftTables"/>
            </w:pPr>
            <w:r>
              <w:t>Unit of measure</w:t>
            </w:r>
          </w:p>
        </w:tc>
        <w:tc>
          <w:tcPr>
            <w:tcW w:w="992" w:type="dxa"/>
          </w:tcPr>
          <w:p w14:paraId="2368D0D2" w14:textId="77777777" w:rsidR="00543972" w:rsidRDefault="00543972" w:rsidP="00C07FB5">
            <w:pPr>
              <w:pStyle w:val="TableheadingleftTables"/>
              <w:jc w:val="right"/>
            </w:pPr>
            <w:r>
              <w:t>2021-22 actual</w:t>
            </w:r>
          </w:p>
        </w:tc>
        <w:tc>
          <w:tcPr>
            <w:tcW w:w="992" w:type="dxa"/>
          </w:tcPr>
          <w:p w14:paraId="071FCC9D" w14:textId="77777777" w:rsidR="00543972" w:rsidRDefault="00543972" w:rsidP="00C07FB5">
            <w:pPr>
              <w:pStyle w:val="TableheadingleftTables"/>
              <w:jc w:val="right"/>
            </w:pPr>
            <w:r>
              <w:t>2021-22 target</w:t>
            </w:r>
          </w:p>
        </w:tc>
        <w:tc>
          <w:tcPr>
            <w:tcW w:w="1559" w:type="dxa"/>
          </w:tcPr>
          <w:p w14:paraId="69F958CB" w14:textId="77777777" w:rsidR="00543972" w:rsidRDefault="00543972" w:rsidP="00C07FB5">
            <w:pPr>
              <w:pStyle w:val="TableheadingleftTables"/>
              <w:jc w:val="right"/>
            </w:pPr>
            <w:r>
              <w:rPr>
                <w:spacing w:val="-3"/>
              </w:rPr>
              <w:t>Performance variation (%)</w:t>
            </w:r>
          </w:p>
        </w:tc>
        <w:tc>
          <w:tcPr>
            <w:tcW w:w="1843" w:type="dxa"/>
          </w:tcPr>
          <w:p w14:paraId="1DD05D52" w14:textId="77777777" w:rsidR="00543972" w:rsidRDefault="00543972" w:rsidP="00F0025B">
            <w:pPr>
              <w:pStyle w:val="TableheadingleftTables"/>
            </w:pPr>
            <w:r>
              <w:t>Result</w:t>
            </w:r>
          </w:p>
        </w:tc>
      </w:tr>
      <w:tr w:rsidR="00B02873" w:rsidRPr="00B02873" w14:paraId="0F23BCDE" w14:textId="77777777" w:rsidTr="00A55F61">
        <w:tc>
          <w:tcPr>
            <w:tcW w:w="3256" w:type="dxa"/>
          </w:tcPr>
          <w:p w14:paraId="618E009A" w14:textId="77777777" w:rsidR="00B02873" w:rsidRDefault="00B02873" w:rsidP="00B415A9">
            <w:pPr>
              <w:pStyle w:val="TablebodyleftTables"/>
            </w:pPr>
            <w:r>
              <w:t xml:space="preserve">Visitors to Zoos Victoria at Melbourne, Werribee and Healesville </w:t>
            </w:r>
          </w:p>
        </w:tc>
        <w:tc>
          <w:tcPr>
            <w:tcW w:w="1134" w:type="dxa"/>
          </w:tcPr>
          <w:p w14:paraId="1FB9EC5D" w14:textId="77777777" w:rsidR="00B02873" w:rsidRDefault="00B02873" w:rsidP="00A55F61">
            <w:pPr>
              <w:pStyle w:val="TablebodyleftTables"/>
            </w:pPr>
            <w:r>
              <w:t>number (million)</w:t>
            </w:r>
          </w:p>
        </w:tc>
        <w:tc>
          <w:tcPr>
            <w:tcW w:w="992" w:type="dxa"/>
          </w:tcPr>
          <w:p w14:paraId="3AAD6C26" w14:textId="77777777" w:rsidR="00B02873" w:rsidRDefault="00B02873" w:rsidP="00C07FB5">
            <w:pPr>
              <w:pStyle w:val="TablebodyleftTables"/>
              <w:jc w:val="right"/>
            </w:pPr>
            <w:r>
              <w:t>1.64</w:t>
            </w:r>
          </w:p>
        </w:tc>
        <w:tc>
          <w:tcPr>
            <w:tcW w:w="992" w:type="dxa"/>
          </w:tcPr>
          <w:p w14:paraId="2A1AC8C5" w14:textId="77777777" w:rsidR="00B02873" w:rsidRDefault="00B02873" w:rsidP="00C07FB5">
            <w:pPr>
              <w:pStyle w:val="TablebodyleftTables"/>
              <w:jc w:val="right"/>
            </w:pPr>
            <w:r>
              <w:t>2.85</w:t>
            </w:r>
          </w:p>
        </w:tc>
        <w:tc>
          <w:tcPr>
            <w:tcW w:w="1559" w:type="dxa"/>
          </w:tcPr>
          <w:p w14:paraId="6094F4AC" w14:textId="77777777" w:rsidR="00B02873" w:rsidRDefault="00B02873" w:rsidP="00C07FB5">
            <w:pPr>
              <w:pStyle w:val="TablebodyleftTables"/>
              <w:jc w:val="right"/>
            </w:pPr>
            <w:r>
              <w:t>(43%)</w:t>
            </w:r>
          </w:p>
        </w:tc>
        <w:tc>
          <w:tcPr>
            <w:tcW w:w="1843" w:type="dxa"/>
          </w:tcPr>
          <w:p w14:paraId="4D7B52C9" w14:textId="1699266F" w:rsidR="00B02873" w:rsidRDefault="00543972" w:rsidP="00A55F61">
            <w:pPr>
              <w:pStyle w:val="TablebodyleftTables"/>
            </w:pPr>
            <w:r>
              <w:t>Performance target not achieved – exceeds 5 per cent variance.</w:t>
            </w:r>
          </w:p>
        </w:tc>
      </w:tr>
    </w:tbl>
    <w:p w14:paraId="1352E242" w14:textId="7EEF1EC6" w:rsidR="00543972" w:rsidRPr="00543972" w:rsidRDefault="00543972">
      <w:pPr>
        <w:rPr>
          <w:i/>
          <w:iCs/>
        </w:rPr>
      </w:pPr>
      <w:r w:rsidRPr="00543972">
        <w:rPr>
          <w:i/>
          <w:iCs/>
        </w:rPr>
        <w:t>Performance is below target due to periods of zoos closures and visitor caps as a result of COVIDSafe settings, significantly reduced international and interstate tourism and school group visits.</w:t>
      </w:r>
    </w:p>
    <w:tbl>
      <w:tblPr>
        <w:tblStyle w:val="TableGrid"/>
        <w:tblW w:w="9776" w:type="dxa"/>
        <w:tblLayout w:type="fixed"/>
        <w:tblLook w:val="0020" w:firstRow="1" w:lastRow="0" w:firstColumn="0" w:lastColumn="0" w:noHBand="0" w:noVBand="0"/>
      </w:tblPr>
      <w:tblGrid>
        <w:gridCol w:w="3256"/>
        <w:gridCol w:w="1134"/>
        <w:gridCol w:w="992"/>
        <w:gridCol w:w="992"/>
        <w:gridCol w:w="1559"/>
        <w:gridCol w:w="1843"/>
      </w:tblGrid>
      <w:tr w:rsidR="00543972" w:rsidRPr="00B02873" w14:paraId="28540D9B" w14:textId="77777777" w:rsidTr="00F0025B">
        <w:trPr>
          <w:cnfStyle w:val="100000000000" w:firstRow="1" w:lastRow="0" w:firstColumn="0" w:lastColumn="0" w:oddVBand="0" w:evenVBand="0" w:oddHBand="0" w:evenHBand="0" w:firstRowFirstColumn="0" w:firstRowLastColumn="0" w:lastRowFirstColumn="0" w:lastRowLastColumn="0"/>
          <w:tblHeader/>
        </w:trPr>
        <w:tc>
          <w:tcPr>
            <w:tcW w:w="3256" w:type="dxa"/>
          </w:tcPr>
          <w:p w14:paraId="4A344247" w14:textId="77777777" w:rsidR="00543972" w:rsidRDefault="00543972" w:rsidP="00F0025B">
            <w:pPr>
              <w:pStyle w:val="TableheadingleftTables"/>
            </w:pPr>
            <w:r>
              <w:t>Output performance measures</w:t>
            </w:r>
          </w:p>
        </w:tc>
        <w:tc>
          <w:tcPr>
            <w:tcW w:w="1134" w:type="dxa"/>
          </w:tcPr>
          <w:p w14:paraId="51DF8259" w14:textId="77777777" w:rsidR="00543972" w:rsidRDefault="00543972" w:rsidP="00F0025B">
            <w:pPr>
              <w:pStyle w:val="TableheadingleftTables"/>
            </w:pPr>
            <w:r>
              <w:t>Unit of measure</w:t>
            </w:r>
          </w:p>
        </w:tc>
        <w:tc>
          <w:tcPr>
            <w:tcW w:w="992" w:type="dxa"/>
          </w:tcPr>
          <w:p w14:paraId="06986109" w14:textId="77777777" w:rsidR="00543972" w:rsidRDefault="00543972" w:rsidP="00C07FB5">
            <w:pPr>
              <w:pStyle w:val="TableheadingleftTables"/>
              <w:jc w:val="right"/>
            </w:pPr>
            <w:r>
              <w:t>2021-22 actual</w:t>
            </w:r>
          </w:p>
        </w:tc>
        <w:tc>
          <w:tcPr>
            <w:tcW w:w="992" w:type="dxa"/>
          </w:tcPr>
          <w:p w14:paraId="1ECF3B70" w14:textId="77777777" w:rsidR="00543972" w:rsidRDefault="00543972" w:rsidP="00C07FB5">
            <w:pPr>
              <w:pStyle w:val="TableheadingleftTables"/>
              <w:jc w:val="right"/>
            </w:pPr>
            <w:r>
              <w:t>2021-22 target</w:t>
            </w:r>
          </w:p>
        </w:tc>
        <w:tc>
          <w:tcPr>
            <w:tcW w:w="1559" w:type="dxa"/>
          </w:tcPr>
          <w:p w14:paraId="0F27EEC3" w14:textId="77777777" w:rsidR="00543972" w:rsidRDefault="00543972" w:rsidP="00C07FB5">
            <w:pPr>
              <w:pStyle w:val="TableheadingleftTables"/>
              <w:jc w:val="right"/>
            </w:pPr>
            <w:r>
              <w:rPr>
                <w:spacing w:val="-3"/>
              </w:rPr>
              <w:t>Performance variation (%)</w:t>
            </w:r>
          </w:p>
        </w:tc>
        <w:tc>
          <w:tcPr>
            <w:tcW w:w="1843" w:type="dxa"/>
          </w:tcPr>
          <w:p w14:paraId="09FF75BA" w14:textId="77777777" w:rsidR="00543972" w:rsidRDefault="00543972" w:rsidP="00F0025B">
            <w:pPr>
              <w:pStyle w:val="TableheadingleftTables"/>
            </w:pPr>
            <w:r>
              <w:t>Result</w:t>
            </w:r>
          </w:p>
        </w:tc>
      </w:tr>
      <w:tr w:rsidR="00B02873" w:rsidRPr="00B02873" w14:paraId="20AC0B70" w14:textId="77777777" w:rsidTr="00A55F61">
        <w:tc>
          <w:tcPr>
            <w:tcW w:w="3256" w:type="dxa"/>
          </w:tcPr>
          <w:p w14:paraId="7596D9AC" w14:textId="77777777" w:rsidR="00B02873" w:rsidRDefault="00B02873" w:rsidP="00B415A9">
            <w:pPr>
              <w:pStyle w:val="TablebodyleftTables"/>
            </w:pPr>
            <w:r>
              <w:t>Beaches renourished in Port Phillip Bay</w:t>
            </w:r>
          </w:p>
        </w:tc>
        <w:tc>
          <w:tcPr>
            <w:tcW w:w="1134" w:type="dxa"/>
          </w:tcPr>
          <w:p w14:paraId="37299ACA" w14:textId="77777777" w:rsidR="00B02873" w:rsidRDefault="00B02873" w:rsidP="00A55F61">
            <w:pPr>
              <w:pStyle w:val="TablebodyleftTables"/>
            </w:pPr>
            <w:r>
              <w:t>number</w:t>
            </w:r>
          </w:p>
        </w:tc>
        <w:tc>
          <w:tcPr>
            <w:tcW w:w="992" w:type="dxa"/>
          </w:tcPr>
          <w:p w14:paraId="5224023C" w14:textId="77777777" w:rsidR="00B02873" w:rsidRDefault="00B02873" w:rsidP="00C07FB5">
            <w:pPr>
              <w:pStyle w:val="TablebodyleftTables"/>
              <w:jc w:val="right"/>
            </w:pPr>
            <w:r>
              <w:t>6</w:t>
            </w:r>
          </w:p>
        </w:tc>
        <w:tc>
          <w:tcPr>
            <w:tcW w:w="992" w:type="dxa"/>
          </w:tcPr>
          <w:p w14:paraId="4A76A33E" w14:textId="77777777" w:rsidR="00B02873" w:rsidRDefault="00B02873" w:rsidP="00C07FB5">
            <w:pPr>
              <w:pStyle w:val="TablebodyleftTables"/>
              <w:jc w:val="right"/>
            </w:pPr>
            <w:r>
              <w:t>3</w:t>
            </w:r>
          </w:p>
        </w:tc>
        <w:tc>
          <w:tcPr>
            <w:tcW w:w="1559" w:type="dxa"/>
          </w:tcPr>
          <w:p w14:paraId="44616D7F" w14:textId="77777777" w:rsidR="00B02873" w:rsidRDefault="00B02873" w:rsidP="00C07FB5">
            <w:pPr>
              <w:pStyle w:val="TablebodyleftTables"/>
              <w:jc w:val="right"/>
            </w:pPr>
            <w:r>
              <w:t>100%</w:t>
            </w:r>
          </w:p>
        </w:tc>
        <w:tc>
          <w:tcPr>
            <w:tcW w:w="1843" w:type="dxa"/>
          </w:tcPr>
          <w:p w14:paraId="68B27128" w14:textId="1D2AF0E0" w:rsidR="00B02873" w:rsidRDefault="00543972" w:rsidP="00A55F61">
            <w:pPr>
              <w:pStyle w:val="TablebodyleftTables"/>
            </w:pPr>
            <w:r>
              <w:t>Performance target achieved or exceeded.</w:t>
            </w:r>
          </w:p>
        </w:tc>
      </w:tr>
    </w:tbl>
    <w:p w14:paraId="62E496EA" w14:textId="0412B327" w:rsidR="00543972" w:rsidRPr="00543972" w:rsidRDefault="00543972">
      <w:pPr>
        <w:rPr>
          <w:i/>
          <w:iCs/>
        </w:rPr>
      </w:pPr>
      <w:r w:rsidRPr="00543972">
        <w:rPr>
          <w:i/>
          <w:iCs/>
        </w:rPr>
        <w:t>Performance is above target due to completion in 2021-22 of three projects delayed from 2020-21.</w:t>
      </w:r>
    </w:p>
    <w:tbl>
      <w:tblPr>
        <w:tblStyle w:val="TableGrid"/>
        <w:tblW w:w="9776" w:type="dxa"/>
        <w:tblLayout w:type="fixed"/>
        <w:tblLook w:val="0020" w:firstRow="1" w:lastRow="0" w:firstColumn="0" w:lastColumn="0" w:noHBand="0" w:noVBand="0"/>
      </w:tblPr>
      <w:tblGrid>
        <w:gridCol w:w="3256"/>
        <w:gridCol w:w="1134"/>
        <w:gridCol w:w="992"/>
        <w:gridCol w:w="992"/>
        <w:gridCol w:w="1559"/>
        <w:gridCol w:w="1843"/>
      </w:tblGrid>
      <w:tr w:rsidR="00543972" w:rsidRPr="00B02873" w14:paraId="55C16F01" w14:textId="77777777" w:rsidTr="00F0025B">
        <w:trPr>
          <w:cnfStyle w:val="100000000000" w:firstRow="1" w:lastRow="0" w:firstColumn="0" w:lastColumn="0" w:oddVBand="0" w:evenVBand="0" w:oddHBand="0" w:evenHBand="0" w:firstRowFirstColumn="0" w:firstRowLastColumn="0" w:lastRowFirstColumn="0" w:lastRowLastColumn="0"/>
          <w:tblHeader/>
        </w:trPr>
        <w:tc>
          <w:tcPr>
            <w:tcW w:w="3256" w:type="dxa"/>
          </w:tcPr>
          <w:p w14:paraId="3B9AAD27" w14:textId="77777777" w:rsidR="00543972" w:rsidRDefault="00543972" w:rsidP="00F0025B">
            <w:pPr>
              <w:pStyle w:val="TableheadingleftTables"/>
            </w:pPr>
            <w:r>
              <w:t>Output performance measures</w:t>
            </w:r>
          </w:p>
        </w:tc>
        <w:tc>
          <w:tcPr>
            <w:tcW w:w="1134" w:type="dxa"/>
          </w:tcPr>
          <w:p w14:paraId="37F193B3" w14:textId="77777777" w:rsidR="00543972" w:rsidRDefault="00543972" w:rsidP="00F0025B">
            <w:pPr>
              <w:pStyle w:val="TableheadingleftTables"/>
            </w:pPr>
            <w:r>
              <w:t>Unit of measure</w:t>
            </w:r>
          </w:p>
        </w:tc>
        <w:tc>
          <w:tcPr>
            <w:tcW w:w="992" w:type="dxa"/>
          </w:tcPr>
          <w:p w14:paraId="49BC0E65" w14:textId="77777777" w:rsidR="00543972" w:rsidRDefault="00543972" w:rsidP="00C07FB5">
            <w:pPr>
              <w:pStyle w:val="TableheadingleftTables"/>
              <w:jc w:val="right"/>
            </w:pPr>
            <w:r>
              <w:t>2021-22 actual</w:t>
            </w:r>
          </w:p>
        </w:tc>
        <w:tc>
          <w:tcPr>
            <w:tcW w:w="992" w:type="dxa"/>
          </w:tcPr>
          <w:p w14:paraId="4E8126C3" w14:textId="77777777" w:rsidR="00543972" w:rsidRDefault="00543972" w:rsidP="00C07FB5">
            <w:pPr>
              <w:pStyle w:val="TableheadingleftTables"/>
              <w:jc w:val="right"/>
            </w:pPr>
            <w:r>
              <w:t>2021-22 target</w:t>
            </w:r>
          </w:p>
        </w:tc>
        <w:tc>
          <w:tcPr>
            <w:tcW w:w="1559" w:type="dxa"/>
          </w:tcPr>
          <w:p w14:paraId="4BB8DA29" w14:textId="77777777" w:rsidR="00543972" w:rsidRDefault="00543972" w:rsidP="00C07FB5">
            <w:pPr>
              <w:pStyle w:val="TableheadingleftTables"/>
              <w:jc w:val="right"/>
            </w:pPr>
            <w:r>
              <w:rPr>
                <w:spacing w:val="-3"/>
              </w:rPr>
              <w:t>Performance variation (%)</w:t>
            </w:r>
          </w:p>
        </w:tc>
        <w:tc>
          <w:tcPr>
            <w:tcW w:w="1843" w:type="dxa"/>
          </w:tcPr>
          <w:p w14:paraId="0D963023" w14:textId="77777777" w:rsidR="00543972" w:rsidRDefault="00543972" w:rsidP="00F0025B">
            <w:pPr>
              <w:pStyle w:val="TableheadingleftTables"/>
            </w:pPr>
            <w:r>
              <w:t>Result</w:t>
            </w:r>
          </w:p>
        </w:tc>
      </w:tr>
      <w:tr w:rsidR="00B02873" w:rsidRPr="00B02873" w14:paraId="365EB9D9" w14:textId="77777777" w:rsidTr="00A55F61">
        <w:tc>
          <w:tcPr>
            <w:tcW w:w="3256" w:type="dxa"/>
          </w:tcPr>
          <w:p w14:paraId="51771576" w14:textId="77777777" w:rsidR="00B02873" w:rsidRDefault="00B02873" w:rsidP="00B415A9">
            <w:pPr>
              <w:pStyle w:val="TablebodyleftTables"/>
            </w:pPr>
            <w:r>
              <w:t>Contaminated crown land sites assessed/prepared for remediation</w:t>
            </w:r>
          </w:p>
        </w:tc>
        <w:tc>
          <w:tcPr>
            <w:tcW w:w="1134" w:type="dxa"/>
          </w:tcPr>
          <w:p w14:paraId="607F40B5" w14:textId="77777777" w:rsidR="00B02873" w:rsidRDefault="00B02873" w:rsidP="00A55F61">
            <w:pPr>
              <w:pStyle w:val="TablebodyleftTables"/>
            </w:pPr>
            <w:r>
              <w:t>number</w:t>
            </w:r>
          </w:p>
        </w:tc>
        <w:tc>
          <w:tcPr>
            <w:tcW w:w="992" w:type="dxa"/>
          </w:tcPr>
          <w:p w14:paraId="0CE24EBA" w14:textId="77777777" w:rsidR="00B02873" w:rsidRDefault="00B02873" w:rsidP="00C07FB5">
            <w:pPr>
              <w:pStyle w:val="TablebodyleftTables"/>
              <w:jc w:val="right"/>
            </w:pPr>
            <w:r>
              <w:t>5</w:t>
            </w:r>
          </w:p>
        </w:tc>
        <w:tc>
          <w:tcPr>
            <w:tcW w:w="992" w:type="dxa"/>
          </w:tcPr>
          <w:p w14:paraId="60F2E96B" w14:textId="77777777" w:rsidR="00B02873" w:rsidRDefault="00B02873" w:rsidP="00C07FB5">
            <w:pPr>
              <w:pStyle w:val="TablebodyleftTables"/>
              <w:jc w:val="right"/>
            </w:pPr>
            <w:r>
              <w:t>5</w:t>
            </w:r>
          </w:p>
        </w:tc>
        <w:tc>
          <w:tcPr>
            <w:tcW w:w="1559" w:type="dxa"/>
          </w:tcPr>
          <w:p w14:paraId="61F1A262" w14:textId="77777777" w:rsidR="00B02873" w:rsidRDefault="00B02873" w:rsidP="00C07FB5">
            <w:pPr>
              <w:pStyle w:val="TablebodyleftTables"/>
              <w:jc w:val="right"/>
            </w:pPr>
            <w:r>
              <w:t>0%</w:t>
            </w:r>
          </w:p>
        </w:tc>
        <w:tc>
          <w:tcPr>
            <w:tcW w:w="1843" w:type="dxa"/>
          </w:tcPr>
          <w:p w14:paraId="0DEF74C1" w14:textId="53A2873C" w:rsidR="00B02873" w:rsidRDefault="00543972" w:rsidP="00A55F61">
            <w:pPr>
              <w:pStyle w:val="TablebodyleftTables"/>
            </w:pPr>
            <w:r>
              <w:t>Performance target achieved or exceeded.</w:t>
            </w:r>
          </w:p>
        </w:tc>
      </w:tr>
      <w:tr w:rsidR="00B02873" w:rsidRPr="00B02873" w14:paraId="713CD928" w14:textId="77777777" w:rsidTr="00A55F61">
        <w:tc>
          <w:tcPr>
            <w:tcW w:w="3256" w:type="dxa"/>
          </w:tcPr>
          <w:p w14:paraId="6B0C9A56" w14:textId="77777777" w:rsidR="00B02873" w:rsidRDefault="00B02873" w:rsidP="00B415A9">
            <w:pPr>
              <w:pStyle w:val="TablebodyleftTables"/>
            </w:pPr>
            <w:r>
              <w:t>Suburban dog parks and pocket parks under development</w:t>
            </w:r>
          </w:p>
        </w:tc>
        <w:tc>
          <w:tcPr>
            <w:tcW w:w="1134" w:type="dxa"/>
          </w:tcPr>
          <w:p w14:paraId="5D89D3A5" w14:textId="77777777" w:rsidR="00B02873" w:rsidRDefault="00B02873" w:rsidP="00A55F61">
            <w:pPr>
              <w:pStyle w:val="TablebodyleftTables"/>
            </w:pPr>
            <w:r>
              <w:t>number</w:t>
            </w:r>
          </w:p>
        </w:tc>
        <w:tc>
          <w:tcPr>
            <w:tcW w:w="992" w:type="dxa"/>
          </w:tcPr>
          <w:p w14:paraId="0B894B45" w14:textId="77777777" w:rsidR="00B02873" w:rsidRDefault="00B02873" w:rsidP="00C07FB5">
            <w:pPr>
              <w:pStyle w:val="TablebodyleftTables"/>
              <w:jc w:val="right"/>
            </w:pPr>
            <w:r>
              <w:t>43</w:t>
            </w:r>
          </w:p>
        </w:tc>
        <w:tc>
          <w:tcPr>
            <w:tcW w:w="992" w:type="dxa"/>
          </w:tcPr>
          <w:p w14:paraId="2D193FE1" w14:textId="77777777" w:rsidR="00B02873" w:rsidRDefault="00B02873" w:rsidP="00C07FB5">
            <w:pPr>
              <w:pStyle w:val="TablebodyleftTables"/>
              <w:jc w:val="right"/>
            </w:pPr>
            <w:r>
              <w:t>43</w:t>
            </w:r>
          </w:p>
        </w:tc>
        <w:tc>
          <w:tcPr>
            <w:tcW w:w="1559" w:type="dxa"/>
          </w:tcPr>
          <w:p w14:paraId="3CB45BDA" w14:textId="77777777" w:rsidR="00B02873" w:rsidRDefault="00B02873" w:rsidP="00C07FB5">
            <w:pPr>
              <w:pStyle w:val="TablebodyleftTables"/>
              <w:jc w:val="right"/>
            </w:pPr>
            <w:r>
              <w:t>0%</w:t>
            </w:r>
          </w:p>
        </w:tc>
        <w:tc>
          <w:tcPr>
            <w:tcW w:w="1843" w:type="dxa"/>
          </w:tcPr>
          <w:p w14:paraId="6E348E1D" w14:textId="14B089C8" w:rsidR="00B02873" w:rsidRDefault="00543972" w:rsidP="00A55F61">
            <w:pPr>
              <w:pStyle w:val="TablebodyleftTables"/>
            </w:pPr>
            <w:r>
              <w:t>Performance target achieved or exceeded.</w:t>
            </w:r>
          </w:p>
        </w:tc>
      </w:tr>
      <w:tr w:rsidR="00B02873" w:rsidRPr="00B02873" w14:paraId="6F4654B4" w14:textId="77777777" w:rsidTr="00A55F61">
        <w:tc>
          <w:tcPr>
            <w:tcW w:w="3256" w:type="dxa"/>
          </w:tcPr>
          <w:p w14:paraId="4663BFA7" w14:textId="77777777" w:rsidR="00B02873" w:rsidRDefault="00B02873" w:rsidP="00B415A9">
            <w:pPr>
              <w:pStyle w:val="TableheadingleftTables"/>
            </w:pPr>
            <w:r>
              <w:t>Quality</w:t>
            </w:r>
          </w:p>
        </w:tc>
        <w:tc>
          <w:tcPr>
            <w:tcW w:w="1134" w:type="dxa"/>
          </w:tcPr>
          <w:p w14:paraId="7BBC47B3" w14:textId="77777777" w:rsidR="00B02873" w:rsidRPr="00B02873" w:rsidRDefault="00B02873" w:rsidP="00B415A9">
            <w:pPr>
              <w:pStyle w:val="NoParagraphStyle"/>
              <w:spacing w:line="240" w:lineRule="auto"/>
              <w:textAlignment w:val="auto"/>
              <w:rPr>
                <w:rFonts w:ascii="Apple Symbols Regular" w:hAnsi="Apple Symbols Regular" w:cs="Times New Roman"/>
                <w:color w:val="auto"/>
                <w:lang w:val="en-AU"/>
              </w:rPr>
            </w:pPr>
          </w:p>
        </w:tc>
        <w:tc>
          <w:tcPr>
            <w:tcW w:w="992" w:type="dxa"/>
          </w:tcPr>
          <w:p w14:paraId="01179CA9" w14:textId="77777777" w:rsidR="00B02873" w:rsidRPr="00B02873" w:rsidRDefault="00B02873" w:rsidP="00C07FB5">
            <w:pPr>
              <w:pStyle w:val="NoParagraphStyle"/>
              <w:spacing w:line="240" w:lineRule="auto"/>
              <w:jc w:val="right"/>
              <w:textAlignment w:val="auto"/>
              <w:rPr>
                <w:rFonts w:ascii="Apple Symbols Regular" w:hAnsi="Apple Symbols Regular" w:cs="Times New Roman"/>
                <w:color w:val="auto"/>
                <w:lang w:val="en-AU"/>
              </w:rPr>
            </w:pPr>
          </w:p>
        </w:tc>
        <w:tc>
          <w:tcPr>
            <w:tcW w:w="992" w:type="dxa"/>
          </w:tcPr>
          <w:p w14:paraId="01E1B1FA" w14:textId="77777777" w:rsidR="00B02873" w:rsidRPr="00B02873" w:rsidRDefault="00B02873" w:rsidP="00C07FB5">
            <w:pPr>
              <w:pStyle w:val="NoParagraphStyle"/>
              <w:spacing w:line="240" w:lineRule="auto"/>
              <w:jc w:val="right"/>
              <w:textAlignment w:val="auto"/>
              <w:rPr>
                <w:rFonts w:ascii="Apple Symbols Regular" w:hAnsi="Apple Symbols Regular" w:cs="Times New Roman"/>
                <w:color w:val="auto"/>
                <w:lang w:val="en-AU"/>
              </w:rPr>
            </w:pPr>
          </w:p>
        </w:tc>
        <w:tc>
          <w:tcPr>
            <w:tcW w:w="1559" w:type="dxa"/>
          </w:tcPr>
          <w:p w14:paraId="4A75683C" w14:textId="77777777" w:rsidR="00B02873" w:rsidRPr="00B02873" w:rsidRDefault="00B02873" w:rsidP="00C07FB5">
            <w:pPr>
              <w:pStyle w:val="NoParagraphStyle"/>
              <w:spacing w:line="240" w:lineRule="auto"/>
              <w:jc w:val="right"/>
              <w:textAlignment w:val="auto"/>
              <w:rPr>
                <w:rFonts w:ascii="Apple Symbols Regular" w:hAnsi="Apple Symbols Regular" w:cs="Times New Roman"/>
                <w:color w:val="auto"/>
                <w:lang w:val="en-AU"/>
              </w:rPr>
            </w:pPr>
          </w:p>
        </w:tc>
        <w:tc>
          <w:tcPr>
            <w:tcW w:w="1843" w:type="dxa"/>
          </w:tcPr>
          <w:p w14:paraId="152CB5C7" w14:textId="77777777" w:rsidR="00B02873" w:rsidRPr="00B02873" w:rsidRDefault="00B02873" w:rsidP="00B415A9">
            <w:pPr>
              <w:pStyle w:val="NoParagraphStyle"/>
              <w:spacing w:line="240" w:lineRule="auto"/>
              <w:textAlignment w:val="auto"/>
              <w:rPr>
                <w:rFonts w:ascii="Apple Symbols Regular" w:hAnsi="Apple Symbols Regular" w:cs="Times New Roman"/>
                <w:color w:val="auto"/>
                <w:lang w:val="en-AU"/>
              </w:rPr>
            </w:pPr>
          </w:p>
        </w:tc>
      </w:tr>
      <w:tr w:rsidR="00B02873" w:rsidRPr="00B02873" w14:paraId="2A0F41A2" w14:textId="77777777" w:rsidTr="00A55F61">
        <w:tc>
          <w:tcPr>
            <w:tcW w:w="3256" w:type="dxa"/>
          </w:tcPr>
          <w:p w14:paraId="782C6D2E" w14:textId="77777777" w:rsidR="00B02873" w:rsidRDefault="00B02873" w:rsidP="00B415A9">
            <w:pPr>
              <w:pStyle w:val="TablebodyleftTables"/>
            </w:pPr>
            <w:r>
              <w:rPr>
                <w:spacing w:val="-2"/>
              </w:rPr>
              <w:t>Publicly elected Committees of Management that have a current statutory appointment</w:t>
            </w:r>
          </w:p>
        </w:tc>
        <w:tc>
          <w:tcPr>
            <w:tcW w:w="1134" w:type="dxa"/>
          </w:tcPr>
          <w:p w14:paraId="5B657E36" w14:textId="77777777" w:rsidR="00B02873" w:rsidRDefault="00B02873" w:rsidP="00A55F61">
            <w:pPr>
              <w:pStyle w:val="TablebodyleftTables"/>
            </w:pPr>
            <w:r>
              <w:t>per cent</w:t>
            </w:r>
          </w:p>
        </w:tc>
        <w:tc>
          <w:tcPr>
            <w:tcW w:w="992" w:type="dxa"/>
          </w:tcPr>
          <w:p w14:paraId="5FA7CB3C" w14:textId="77777777" w:rsidR="00B02873" w:rsidRDefault="00B02873" w:rsidP="00C07FB5">
            <w:pPr>
              <w:pStyle w:val="TablebodyleftTables"/>
              <w:jc w:val="right"/>
            </w:pPr>
            <w:r>
              <w:t>91</w:t>
            </w:r>
          </w:p>
        </w:tc>
        <w:tc>
          <w:tcPr>
            <w:tcW w:w="992" w:type="dxa"/>
          </w:tcPr>
          <w:p w14:paraId="432CB309" w14:textId="77777777" w:rsidR="00B02873" w:rsidRDefault="00B02873" w:rsidP="00C07FB5">
            <w:pPr>
              <w:pStyle w:val="TablebodyleftTables"/>
              <w:jc w:val="right"/>
            </w:pPr>
            <w:r>
              <w:t>90</w:t>
            </w:r>
          </w:p>
        </w:tc>
        <w:tc>
          <w:tcPr>
            <w:tcW w:w="1559" w:type="dxa"/>
          </w:tcPr>
          <w:p w14:paraId="24DD2BE0" w14:textId="77777777" w:rsidR="00B02873" w:rsidRDefault="00B02873" w:rsidP="00C07FB5">
            <w:pPr>
              <w:pStyle w:val="TablebodyleftTables"/>
              <w:jc w:val="right"/>
            </w:pPr>
            <w:r>
              <w:t>1%</w:t>
            </w:r>
          </w:p>
        </w:tc>
        <w:tc>
          <w:tcPr>
            <w:tcW w:w="1843" w:type="dxa"/>
          </w:tcPr>
          <w:p w14:paraId="53E8EE6A" w14:textId="28A9C9D4" w:rsidR="00B02873" w:rsidRDefault="00543972" w:rsidP="00A55F61">
            <w:pPr>
              <w:pStyle w:val="TablebodyleftTables"/>
            </w:pPr>
            <w:r>
              <w:t>Performance target achieved or exceeded.</w:t>
            </w:r>
          </w:p>
        </w:tc>
      </w:tr>
      <w:tr w:rsidR="00B02873" w:rsidRPr="00B02873" w14:paraId="3BB69218" w14:textId="77777777" w:rsidTr="00A55F61">
        <w:tc>
          <w:tcPr>
            <w:tcW w:w="3256" w:type="dxa"/>
          </w:tcPr>
          <w:p w14:paraId="2655B7A0" w14:textId="51A22958" w:rsidR="00B02873" w:rsidRDefault="00B02873" w:rsidP="00B415A9">
            <w:pPr>
              <w:pStyle w:val="TablebodyleftTables"/>
            </w:pPr>
            <w:r>
              <w:t>Recreational facilities in state forests with a life expectancy greater than five years</w:t>
            </w:r>
          </w:p>
        </w:tc>
        <w:tc>
          <w:tcPr>
            <w:tcW w:w="1134" w:type="dxa"/>
          </w:tcPr>
          <w:p w14:paraId="41722B73" w14:textId="77777777" w:rsidR="00B02873" w:rsidRDefault="00B02873" w:rsidP="00A55F61">
            <w:pPr>
              <w:pStyle w:val="TablebodyleftTables"/>
            </w:pPr>
            <w:r>
              <w:t>per cent</w:t>
            </w:r>
          </w:p>
        </w:tc>
        <w:tc>
          <w:tcPr>
            <w:tcW w:w="992" w:type="dxa"/>
          </w:tcPr>
          <w:p w14:paraId="53F9A8B4" w14:textId="77777777" w:rsidR="00B02873" w:rsidRDefault="00B02873" w:rsidP="00C07FB5">
            <w:pPr>
              <w:pStyle w:val="TablebodyleftTables"/>
              <w:jc w:val="right"/>
            </w:pPr>
            <w:r>
              <w:t>78</w:t>
            </w:r>
          </w:p>
        </w:tc>
        <w:tc>
          <w:tcPr>
            <w:tcW w:w="992" w:type="dxa"/>
          </w:tcPr>
          <w:p w14:paraId="2BC9D7A2" w14:textId="77777777" w:rsidR="00B02873" w:rsidRDefault="00B02873" w:rsidP="00C07FB5">
            <w:pPr>
              <w:pStyle w:val="TablebodyleftTables"/>
              <w:jc w:val="right"/>
            </w:pPr>
            <w:r>
              <w:t>75</w:t>
            </w:r>
          </w:p>
        </w:tc>
        <w:tc>
          <w:tcPr>
            <w:tcW w:w="1559" w:type="dxa"/>
          </w:tcPr>
          <w:p w14:paraId="79623E4F" w14:textId="77777777" w:rsidR="00B02873" w:rsidRDefault="00B02873" w:rsidP="00C07FB5">
            <w:pPr>
              <w:pStyle w:val="TablebodyleftTables"/>
              <w:jc w:val="right"/>
            </w:pPr>
            <w:r>
              <w:t>4%</w:t>
            </w:r>
          </w:p>
        </w:tc>
        <w:tc>
          <w:tcPr>
            <w:tcW w:w="1843" w:type="dxa"/>
          </w:tcPr>
          <w:p w14:paraId="48FD6272" w14:textId="7F6A3615" w:rsidR="00B02873" w:rsidRDefault="00543972" w:rsidP="00A55F61">
            <w:pPr>
              <w:pStyle w:val="TablebodyleftTables"/>
            </w:pPr>
            <w:r>
              <w:t>Performance target achieved or exceeded.</w:t>
            </w:r>
          </w:p>
        </w:tc>
      </w:tr>
      <w:tr w:rsidR="00B02873" w:rsidRPr="00B02873" w14:paraId="3D96D412" w14:textId="77777777" w:rsidTr="00A55F61">
        <w:tc>
          <w:tcPr>
            <w:tcW w:w="3256" w:type="dxa"/>
          </w:tcPr>
          <w:p w14:paraId="660F8506" w14:textId="77777777" w:rsidR="00B02873" w:rsidRDefault="00B02873" w:rsidP="00B415A9">
            <w:pPr>
              <w:pStyle w:val="TableheadingleftTables"/>
            </w:pPr>
            <w:r>
              <w:lastRenderedPageBreak/>
              <w:t>Timeliness</w:t>
            </w:r>
          </w:p>
        </w:tc>
        <w:tc>
          <w:tcPr>
            <w:tcW w:w="1134" w:type="dxa"/>
          </w:tcPr>
          <w:p w14:paraId="7C6F1D01" w14:textId="77777777" w:rsidR="00B02873" w:rsidRPr="00B02873" w:rsidRDefault="00B02873" w:rsidP="00B415A9">
            <w:pPr>
              <w:pStyle w:val="NoParagraphStyle"/>
              <w:spacing w:line="240" w:lineRule="auto"/>
              <w:textAlignment w:val="auto"/>
              <w:rPr>
                <w:rFonts w:ascii="Apple Symbols Regular" w:hAnsi="Apple Symbols Regular" w:cs="Times New Roman"/>
                <w:color w:val="auto"/>
                <w:lang w:val="en-AU"/>
              </w:rPr>
            </w:pPr>
          </w:p>
        </w:tc>
        <w:tc>
          <w:tcPr>
            <w:tcW w:w="992" w:type="dxa"/>
          </w:tcPr>
          <w:p w14:paraId="4DB8A9CC" w14:textId="77777777" w:rsidR="00B02873" w:rsidRPr="00B02873" w:rsidRDefault="00B02873" w:rsidP="00C07FB5">
            <w:pPr>
              <w:pStyle w:val="NoParagraphStyle"/>
              <w:spacing w:line="240" w:lineRule="auto"/>
              <w:jc w:val="right"/>
              <w:textAlignment w:val="auto"/>
              <w:rPr>
                <w:rFonts w:ascii="Apple Symbols Regular" w:hAnsi="Apple Symbols Regular" w:cs="Times New Roman"/>
                <w:color w:val="auto"/>
                <w:lang w:val="en-AU"/>
              </w:rPr>
            </w:pPr>
          </w:p>
        </w:tc>
        <w:tc>
          <w:tcPr>
            <w:tcW w:w="992" w:type="dxa"/>
          </w:tcPr>
          <w:p w14:paraId="4056C975" w14:textId="77777777" w:rsidR="00B02873" w:rsidRPr="00B02873" w:rsidRDefault="00B02873" w:rsidP="00C07FB5">
            <w:pPr>
              <w:pStyle w:val="NoParagraphStyle"/>
              <w:spacing w:line="240" w:lineRule="auto"/>
              <w:jc w:val="right"/>
              <w:textAlignment w:val="auto"/>
              <w:rPr>
                <w:rFonts w:ascii="Apple Symbols Regular" w:hAnsi="Apple Symbols Regular" w:cs="Times New Roman"/>
                <w:color w:val="auto"/>
                <w:lang w:val="en-AU"/>
              </w:rPr>
            </w:pPr>
          </w:p>
        </w:tc>
        <w:tc>
          <w:tcPr>
            <w:tcW w:w="1559" w:type="dxa"/>
          </w:tcPr>
          <w:p w14:paraId="5C7B58E1" w14:textId="77777777" w:rsidR="00B02873" w:rsidRPr="00B02873" w:rsidRDefault="00B02873" w:rsidP="00C07FB5">
            <w:pPr>
              <w:pStyle w:val="NoParagraphStyle"/>
              <w:spacing w:line="240" w:lineRule="auto"/>
              <w:jc w:val="right"/>
              <w:textAlignment w:val="auto"/>
              <w:rPr>
                <w:rFonts w:ascii="Apple Symbols Regular" w:hAnsi="Apple Symbols Regular" w:cs="Times New Roman"/>
                <w:color w:val="auto"/>
                <w:lang w:val="en-AU"/>
              </w:rPr>
            </w:pPr>
          </w:p>
        </w:tc>
        <w:tc>
          <w:tcPr>
            <w:tcW w:w="1843" w:type="dxa"/>
          </w:tcPr>
          <w:p w14:paraId="030DA59B" w14:textId="77777777" w:rsidR="00B02873" w:rsidRPr="00B02873" w:rsidRDefault="00B02873" w:rsidP="00B415A9">
            <w:pPr>
              <w:pStyle w:val="NoParagraphStyle"/>
              <w:spacing w:line="240" w:lineRule="auto"/>
              <w:textAlignment w:val="auto"/>
              <w:rPr>
                <w:rFonts w:ascii="Apple Symbols Regular" w:hAnsi="Apple Symbols Regular" w:cs="Times New Roman"/>
                <w:color w:val="auto"/>
                <w:lang w:val="en-AU"/>
              </w:rPr>
            </w:pPr>
          </w:p>
        </w:tc>
      </w:tr>
      <w:tr w:rsidR="00B02873" w:rsidRPr="00B02873" w14:paraId="70711F2A" w14:textId="77777777" w:rsidTr="00A55F61">
        <w:tc>
          <w:tcPr>
            <w:tcW w:w="3256" w:type="dxa"/>
          </w:tcPr>
          <w:p w14:paraId="5E528930" w14:textId="77777777" w:rsidR="00B02873" w:rsidRDefault="00B02873" w:rsidP="00B415A9">
            <w:pPr>
              <w:pStyle w:val="TablebodyleftTables"/>
            </w:pPr>
            <w:r>
              <w:t>Rent reviews of Department-managed Crown land leases undertaken within specified time frames</w:t>
            </w:r>
          </w:p>
        </w:tc>
        <w:tc>
          <w:tcPr>
            <w:tcW w:w="1134" w:type="dxa"/>
          </w:tcPr>
          <w:p w14:paraId="1F65CE55" w14:textId="77777777" w:rsidR="00B02873" w:rsidRDefault="00B02873" w:rsidP="00A55F61">
            <w:pPr>
              <w:pStyle w:val="TablebodyleftTables"/>
            </w:pPr>
            <w:r>
              <w:t>per cent</w:t>
            </w:r>
          </w:p>
        </w:tc>
        <w:tc>
          <w:tcPr>
            <w:tcW w:w="992" w:type="dxa"/>
          </w:tcPr>
          <w:p w14:paraId="1FA948D4" w14:textId="77777777" w:rsidR="00B02873" w:rsidRDefault="00B02873" w:rsidP="00C07FB5">
            <w:pPr>
              <w:pStyle w:val="TablebodyleftTables"/>
              <w:jc w:val="right"/>
            </w:pPr>
            <w:r>
              <w:t>99</w:t>
            </w:r>
          </w:p>
        </w:tc>
        <w:tc>
          <w:tcPr>
            <w:tcW w:w="992" w:type="dxa"/>
          </w:tcPr>
          <w:p w14:paraId="3C5BBE77" w14:textId="77777777" w:rsidR="00B02873" w:rsidRDefault="00B02873" w:rsidP="00C07FB5">
            <w:pPr>
              <w:pStyle w:val="TablebodyleftTables"/>
              <w:jc w:val="right"/>
            </w:pPr>
            <w:r>
              <w:t>95</w:t>
            </w:r>
          </w:p>
        </w:tc>
        <w:tc>
          <w:tcPr>
            <w:tcW w:w="1559" w:type="dxa"/>
          </w:tcPr>
          <w:p w14:paraId="26A69FB8" w14:textId="77777777" w:rsidR="00B02873" w:rsidRDefault="00B02873" w:rsidP="00C07FB5">
            <w:pPr>
              <w:pStyle w:val="TablebodyleftTables"/>
              <w:jc w:val="right"/>
            </w:pPr>
            <w:r>
              <w:t>4%</w:t>
            </w:r>
          </w:p>
        </w:tc>
        <w:tc>
          <w:tcPr>
            <w:tcW w:w="1843" w:type="dxa"/>
          </w:tcPr>
          <w:p w14:paraId="614A0A11" w14:textId="79279ACA" w:rsidR="00B02873" w:rsidRDefault="00543972" w:rsidP="00A55F61">
            <w:pPr>
              <w:pStyle w:val="TablebodyleftTables"/>
            </w:pPr>
            <w:r>
              <w:t>Performance target achieved or exceeded.</w:t>
            </w:r>
          </w:p>
        </w:tc>
      </w:tr>
      <w:tr w:rsidR="00B02873" w:rsidRPr="00B02873" w14:paraId="7D010DE0" w14:textId="77777777" w:rsidTr="00A55F61">
        <w:tc>
          <w:tcPr>
            <w:tcW w:w="3256" w:type="dxa"/>
          </w:tcPr>
          <w:p w14:paraId="3EC58B2A" w14:textId="77777777" w:rsidR="00B02873" w:rsidRDefault="00B02873" w:rsidP="00B415A9">
            <w:pPr>
              <w:pStyle w:val="TablebodyleftTables"/>
            </w:pPr>
            <w:r>
              <w:t>Investigations of alleged non-compliance with the Code of Practice for Timber Production 2014 and other relevant laws are completed within the statute of limitations of two years</w:t>
            </w:r>
          </w:p>
        </w:tc>
        <w:tc>
          <w:tcPr>
            <w:tcW w:w="1134" w:type="dxa"/>
          </w:tcPr>
          <w:p w14:paraId="3B789C4E" w14:textId="77777777" w:rsidR="00B02873" w:rsidRDefault="00B02873" w:rsidP="00A55F61">
            <w:pPr>
              <w:pStyle w:val="TablebodyleftTables"/>
            </w:pPr>
            <w:r>
              <w:t>per cent</w:t>
            </w:r>
          </w:p>
        </w:tc>
        <w:tc>
          <w:tcPr>
            <w:tcW w:w="992" w:type="dxa"/>
          </w:tcPr>
          <w:p w14:paraId="1D113235" w14:textId="77777777" w:rsidR="00B02873" w:rsidRDefault="00B02873" w:rsidP="00C07FB5">
            <w:pPr>
              <w:pStyle w:val="TablebodyleftTables"/>
              <w:jc w:val="right"/>
            </w:pPr>
            <w:r>
              <w:t>100</w:t>
            </w:r>
          </w:p>
        </w:tc>
        <w:tc>
          <w:tcPr>
            <w:tcW w:w="992" w:type="dxa"/>
          </w:tcPr>
          <w:p w14:paraId="37BFD4E0" w14:textId="77777777" w:rsidR="00B02873" w:rsidRDefault="00B02873" w:rsidP="00C07FB5">
            <w:pPr>
              <w:pStyle w:val="TablebodyleftTables"/>
              <w:jc w:val="right"/>
            </w:pPr>
            <w:r>
              <w:t>100</w:t>
            </w:r>
          </w:p>
        </w:tc>
        <w:tc>
          <w:tcPr>
            <w:tcW w:w="1559" w:type="dxa"/>
          </w:tcPr>
          <w:p w14:paraId="55566300" w14:textId="77777777" w:rsidR="00B02873" w:rsidRDefault="00B02873" w:rsidP="00C07FB5">
            <w:pPr>
              <w:pStyle w:val="TablebodyleftTables"/>
              <w:jc w:val="right"/>
            </w:pPr>
            <w:r>
              <w:t>0%</w:t>
            </w:r>
          </w:p>
        </w:tc>
        <w:tc>
          <w:tcPr>
            <w:tcW w:w="1843" w:type="dxa"/>
          </w:tcPr>
          <w:p w14:paraId="6E20D7BB" w14:textId="1436109A" w:rsidR="00B02873" w:rsidRDefault="00543972" w:rsidP="00A55F61">
            <w:pPr>
              <w:pStyle w:val="TablebodyleftTables"/>
            </w:pPr>
            <w:r>
              <w:t>Performance target achieved or exceeded.</w:t>
            </w:r>
          </w:p>
        </w:tc>
      </w:tr>
      <w:tr w:rsidR="00B02873" w:rsidRPr="00B02873" w14:paraId="0494DC42" w14:textId="77777777" w:rsidTr="00A55F61">
        <w:tc>
          <w:tcPr>
            <w:tcW w:w="3256" w:type="dxa"/>
          </w:tcPr>
          <w:p w14:paraId="2C7E4EC6" w14:textId="77777777" w:rsidR="00B02873" w:rsidRDefault="00B02873" w:rsidP="00B415A9">
            <w:pPr>
              <w:pStyle w:val="TableheadingleftTables"/>
            </w:pPr>
            <w:r>
              <w:t>Cost</w:t>
            </w:r>
          </w:p>
        </w:tc>
        <w:tc>
          <w:tcPr>
            <w:tcW w:w="1134" w:type="dxa"/>
          </w:tcPr>
          <w:p w14:paraId="04A0DA46" w14:textId="77777777" w:rsidR="00B02873" w:rsidRPr="00B02873" w:rsidRDefault="00B02873" w:rsidP="00B415A9">
            <w:pPr>
              <w:pStyle w:val="NoParagraphStyle"/>
              <w:spacing w:line="240" w:lineRule="auto"/>
              <w:textAlignment w:val="auto"/>
              <w:rPr>
                <w:rFonts w:ascii="Apple Symbols Regular" w:hAnsi="Apple Symbols Regular" w:cs="Times New Roman"/>
                <w:color w:val="auto"/>
                <w:lang w:val="en-AU"/>
              </w:rPr>
            </w:pPr>
          </w:p>
        </w:tc>
        <w:tc>
          <w:tcPr>
            <w:tcW w:w="992" w:type="dxa"/>
          </w:tcPr>
          <w:p w14:paraId="29E268D4" w14:textId="77777777" w:rsidR="00B02873" w:rsidRPr="00B02873" w:rsidRDefault="00B02873" w:rsidP="00C07FB5">
            <w:pPr>
              <w:pStyle w:val="NoParagraphStyle"/>
              <w:spacing w:line="240" w:lineRule="auto"/>
              <w:jc w:val="right"/>
              <w:textAlignment w:val="auto"/>
              <w:rPr>
                <w:rFonts w:ascii="Apple Symbols Regular" w:hAnsi="Apple Symbols Regular" w:cs="Times New Roman"/>
                <w:color w:val="auto"/>
                <w:lang w:val="en-AU"/>
              </w:rPr>
            </w:pPr>
          </w:p>
        </w:tc>
        <w:tc>
          <w:tcPr>
            <w:tcW w:w="992" w:type="dxa"/>
          </w:tcPr>
          <w:p w14:paraId="6DDC45BC" w14:textId="77777777" w:rsidR="00B02873" w:rsidRPr="00B02873" w:rsidRDefault="00B02873" w:rsidP="00C07FB5">
            <w:pPr>
              <w:pStyle w:val="NoParagraphStyle"/>
              <w:spacing w:line="240" w:lineRule="auto"/>
              <w:jc w:val="right"/>
              <w:textAlignment w:val="auto"/>
              <w:rPr>
                <w:rFonts w:ascii="Apple Symbols Regular" w:hAnsi="Apple Symbols Regular" w:cs="Times New Roman"/>
                <w:color w:val="auto"/>
                <w:lang w:val="en-AU"/>
              </w:rPr>
            </w:pPr>
          </w:p>
        </w:tc>
        <w:tc>
          <w:tcPr>
            <w:tcW w:w="1559" w:type="dxa"/>
          </w:tcPr>
          <w:p w14:paraId="366C2A65" w14:textId="77777777" w:rsidR="00B02873" w:rsidRPr="00B02873" w:rsidRDefault="00B02873" w:rsidP="00C07FB5">
            <w:pPr>
              <w:pStyle w:val="NoParagraphStyle"/>
              <w:spacing w:line="240" w:lineRule="auto"/>
              <w:jc w:val="right"/>
              <w:textAlignment w:val="auto"/>
              <w:rPr>
                <w:rFonts w:ascii="Apple Symbols Regular" w:hAnsi="Apple Symbols Regular" w:cs="Times New Roman"/>
                <w:color w:val="auto"/>
                <w:lang w:val="en-AU"/>
              </w:rPr>
            </w:pPr>
          </w:p>
        </w:tc>
        <w:tc>
          <w:tcPr>
            <w:tcW w:w="1843" w:type="dxa"/>
          </w:tcPr>
          <w:p w14:paraId="6EA32A26" w14:textId="77777777" w:rsidR="00B02873" w:rsidRPr="00B02873" w:rsidRDefault="00B02873" w:rsidP="00B415A9">
            <w:pPr>
              <w:pStyle w:val="NoParagraphStyle"/>
              <w:spacing w:line="240" w:lineRule="auto"/>
              <w:textAlignment w:val="auto"/>
              <w:rPr>
                <w:rFonts w:ascii="Apple Symbols Regular" w:hAnsi="Apple Symbols Regular" w:cs="Times New Roman"/>
                <w:color w:val="auto"/>
                <w:lang w:val="en-AU"/>
              </w:rPr>
            </w:pPr>
          </w:p>
        </w:tc>
      </w:tr>
      <w:tr w:rsidR="00B02873" w:rsidRPr="00B02873" w14:paraId="0B817F76" w14:textId="77777777" w:rsidTr="00A55F61">
        <w:tc>
          <w:tcPr>
            <w:tcW w:w="3256" w:type="dxa"/>
          </w:tcPr>
          <w:p w14:paraId="5DD28B8B" w14:textId="77777777" w:rsidR="00B02873" w:rsidRDefault="00B02873" w:rsidP="00B415A9">
            <w:pPr>
              <w:pStyle w:val="TablebodyleftTables"/>
            </w:pPr>
            <w:r>
              <w:rPr>
                <w:rStyle w:val="Bold"/>
              </w:rPr>
              <w:t>Total output cost</w:t>
            </w:r>
          </w:p>
        </w:tc>
        <w:tc>
          <w:tcPr>
            <w:tcW w:w="1134" w:type="dxa"/>
          </w:tcPr>
          <w:p w14:paraId="71403CD8" w14:textId="77777777" w:rsidR="00B02873" w:rsidRDefault="00B02873" w:rsidP="00A55F61">
            <w:pPr>
              <w:pStyle w:val="TablebodyleftTables"/>
            </w:pPr>
            <w:r>
              <w:t>$ million</w:t>
            </w:r>
          </w:p>
        </w:tc>
        <w:tc>
          <w:tcPr>
            <w:tcW w:w="992" w:type="dxa"/>
          </w:tcPr>
          <w:p w14:paraId="486B1325" w14:textId="77777777" w:rsidR="00B02873" w:rsidRDefault="00B02873" w:rsidP="00C07FB5">
            <w:pPr>
              <w:pStyle w:val="TablebodyleftTables"/>
              <w:jc w:val="right"/>
            </w:pPr>
            <w:r>
              <w:t>438.1</w:t>
            </w:r>
          </w:p>
        </w:tc>
        <w:tc>
          <w:tcPr>
            <w:tcW w:w="992" w:type="dxa"/>
          </w:tcPr>
          <w:p w14:paraId="4ECA42D7" w14:textId="77777777" w:rsidR="00B02873" w:rsidRDefault="00B02873" w:rsidP="00C07FB5">
            <w:pPr>
              <w:pStyle w:val="TablebodyleftTables"/>
              <w:jc w:val="right"/>
            </w:pPr>
            <w:r>
              <w:t>294.0</w:t>
            </w:r>
          </w:p>
        </w:tc>
        <w:tc>
          <w:tcPr>
            <w:tcW w:w="1559" w:type="dxa"/>
          </w:tcPr>
          <w:p w14:paraId="40730820" w14:textId="77777777" w:rsidR="00B02873" w:rsidRDefault="00B02873" w:rsidP="00C07FB5">
            <w:pPr>
              <w:pStyle w:val="TablebodyleftTables"/>
              <w:jc w:val="right"/>
            </w:pPr>
            <w:r>
              <w:t>49%</w:t>
            </w:r>
          </w:p>
        </w:tc>
        <w:tc>
          <w:tcPr>
            <w:tcW w:w="1843" w:type="dxa"/>
          </w:tcPr>
          <w:p w14:paraId="180B7B2F" w14:textId="56E6BC81" w:rsidR="00B02873" w:rsidRDefault="00543972" w:rsidP="00A55F61">
            <w:pPr>
              <w:pStyle w:val="TablebodyleftTables"/>
            </w:pPr>
            <w:r>
              <w:t>Performance target not achieved – exceeds 5 per cent variance.</w:t>
            </w:r>
          </w:p>
        </w:tc>
      </w:tr>
    </w:tbl>
    <w:p w14:paraId="3BB328A9" w14:textId="13D39C6E" w:rsidR="00543972" w:rsidRPr="00543972" w:rsidRDefault="00543972">
      <w:pPr>
        <w:rPr>
          <w:i/>
          <w:iCs/>
        </w:rPr>
      </w:pPr>
      <w:r w:rsidRPr="00543972">
        <w:rPr>
          <w:i/>
          <w:iCs/>
        </w:rPr>
        <w:t>The higher than budgeted output cost is primarily due to additional funding for flood and storm recovery works and a reallocation of costs from capital to output for the Great Ocean Road Management Reforms and Coastal Trail initiative and Safeguarding Marine and Coastal Environments in the Face of Climate Change initiatives.</w:t>
      </w:r>
    </w:p>
    <w:p w14:paraId="24481651" w14:textId="77777777" w:rsidR="00B02873" w:rsidRDefault="00B02873" w:rsidP="00543972">
      <w:pPr>
        <w:pStyle w:val="Heading4"/>
      </w:pPr>
      <w:r>
        <w:t>Parks Victoria</w:t>
      </w:r>
    </w:p>
    <w:p w14:paraId="7C8CE8C1" w14:textId="515CC426" w:rsidR="00B02873" w:rsidRDefault="00B02873" w:rsidP="00FE198A">
      <w:r>
        <w:t>This output provides for the improved stewardship of Victoria’s parks. Through this output, Parks Victoria manages the development and protection of natural, cultural and community assets for safe enjoyment and sustainable use by all Victorians. Parks Victoria works to ensure the state’s park assets are managed efficiently and effectively.</w:t>
      </w:r>
    </w:p>
    <w:p w14:paraId="44CA3152" w14:textId="6EDDBE5E" w:rsidR="00B02873" w:rsidRDefault="00B02873" w:rsidP="00FE198A">
      <w:r>
        <w:t>The performance measures below compare targets and expected or actual results from the delivery of programs and services as part of this output:</w:t>
      </w:r>
    </w:p>
    <w:tbl>
      <w:tblPr>
        <w:tblStyle w:val="TableGrid"/>
        <w:tblW w:w="9776" w:type="dxa"/>
        <w:tblLayout w:type="fixed"/>
        <w:tblLook w:val="0020" w:firstRow="1" w:lastRow="0" w:firstColumn="0" w:lastColumn="0" w:noHBand="0" w:noVBand="0"/>
      </w:tblPr>
      <w:tblGrid>
        <w:gridCol w:w="3256"/>
        <w:gridCol w:w="1134"/>
        <w:gridCol w:w="992"/>
        <w:gridCol w:w="992"/>
        <w:gridCol w:w="1559"/>
        <w:gridCol w:w="1843"/>
      </w:tblGrid>
      <w:tr w:rsidR="00B02873" w:rsidRPr="00B02873" w14:paraId="46CD3248" w14:textId="77777777" w:rsidTr="00F306F4">
        <w:trPr>
          <w:cnfStyle w:val="100000000000" w:firstRow="1" w:lastRow="0" w:firstColumn="0" w:lastColumn="0" w:oddVBand="0" w:evenVBand="0" w:oddHBand="0" w:evenHBand="0" w:firstRowFirstColumn="0" w:firstRowLastColumn="0" w:lastRowFirstColumn="0" w:lastRowLastColumn="0"/>
          <w:tblHeader/>
        </w:trPr>
        <w:tc>
          <w:tcPr>
            <w:tcW w:w="3256" w:type="dxa"/>
          </w:tcPr>
          <w:p w14:paraId="1BD2DE59" w14:textId="77777777" w:rsidR="00B02873" w:rsidRDefault="00B02873" w:rsidP="00543972">
            <w:pPr>
              <w:pStyle w:val="TableheadingleftTables"/>
            </w:pPr>
            <w:r>
              <w:t>Output performance measures</w:t>
            </w:r>
          </w:p>
        </w:tc>
        <w:tc>
          <w:tcPr>
            <w:tcW w:w="1134" w:type="dxa"/>
          </w:tcPr>
          <w:p w14:paraId="03A8C1B8" w14:textId="77777777" w:rsidR="00B02873" w:rsidRDefault="00B02873" w:rsidP="00543972">
            <w:pPr>
              <w:pStyle w:val="TableheadingleftTables"/>
            </w:pPr>
            <w:r>
              <w:t>Unit of measure</w:t>
            </w:r>
          </w:p>
        </w:tc>
        <w:tc>
          <w:tcPr>
            <w:tcW w:w="992" w:type="dxa"/>
          </w:tcPr>
          <w:p w14:paraId="7C1C6AF5" w14:textId="77777777" w:rsidR="00B02873" w:rsidRDefault="00B02873" w:rsidP="00C07FB5">
            <w:pPr>
              <w:pStyle w:val="TableheadingleftTables"/>
              <w:jc w:val="right"/>
            </w:pPr>
            <w:r>
              <w:t>2021-22 actual</w:t>
            </w:r>
          </w:p>
        </w:tc>
        <w:tc>
          <w:tcPr>
            <w:tcW w:w="992" w:type="dxa"/>
          </w:tcPr>
          <w:p w14:paraId="69404544" w14:textId="77777777" w:rsidR="00B02873" w:rsidRDefault="00B02873" w:rsidP="00C07FB5">
            <w:pPr>
              <w:pStyle w:val="TableheadingleftTables"/>
              <w:jc w:val="right"/>
            </w:pPr>
            <w:r>
              <w:t>2021-22 target</w:t>
            </w:r>
          </w:p>
        </w:tc>
        <w:tc>
          <w:tcPr>
            <w:tcW w:w="1559" w:type="dxa"/>
          </w:tcPr>
          <w:p w14:paraId="61AE431A" w14:textId="77777777" w:rsidR="00B02873" w:rsidRDefault="00B02873" w:rsidP="00C07FB5">
            <w:pPr>
              <w:pStyle w:val="TableheadingleftTables"/>
              <w:jc w:val="right"/>
            </w:pPr>
            <w:r>
              <w:rPr>
                <w:spacing w:val="-3"/>
              </w:rPr>
              <w:t>Performance variation (%)</w:t>
            </w:r>
          </w:p>
        </w:tc>
        <w:tc>
          <w:tcPr>
            <w:tcW w:w="1843" w:type="dxa"/>
          </w:tcPr>
          <w:p w14:paraId="755130E2" w14:textId="77777777" w:rsidR="00B02873" w:rsidRDefault="00B02873" w:rsidP="00543972">
            <w:pPr>
              <w:pStyle w:val="TableheadingleftTables"/>
            </w:pPr>
            <w:r>
              <w:t>Result</w:t>
            </w:r>
          </w:p>
        </w:tc>
      </w:tr>
      <w:tr w:rsidR="00B02873" w:rsidRPr="00B02873" w14:paraId="57AC9EA6" w14:textId="77777777" w:rsidTr="00F306F4">
        <w:tc>
          <w:tcPr>
            <w:tcW w:w="3256" w:type="dxa"/>
          </w:tcPr>
          <w:p w14:paraId="490EC873" w14:textId="77777777" w:rsidR="00B02873" w:rsidRDefault="00B02873" w:rsidP="00B415A9">
            <w:pPr>
              <w:pStyle w:val="TableheadingleftTables"/>
            </w:pPr>
            <w:r>
              <w:t>Quantity</w:t>
            </w:r>
          </w:p>
        </w:tc>
        <w:tc>
          <w:tcPr>
            <w:tcW w:w="1134" w:type="dxa"/>
          </w:tcPr>
          <w:p w14:paraId="572CCAE1" w14:textId="77777777" w:rsidR="00B02873" w:rsidRPr="00B02873" w:rsidRDefault="00B02873" w:rsidP="00B415A9">
            <w:pPr>
              <w:pStyle w:val="NoParagraphStyle"/>
              <w:spacing w:line="240" w:lineRule="auto"/>
              <w:textAlignment w:val="auto"/>
              <w:rPr>
                <w:rFonts w:ascii="Apple Symbols Regular" w:hAnsi="Apple Symbols Regular" w:cs="Times New Roman"/>
                <w:color w:val="auto"/>
                <w:lang w:val="en-AU"/>
              </w:rPr>
            </w:pPr>
          </w:p>
        </w:tc>
        <w:tc>
          <w:tcPr>
            <w:tcW w:w="992" w:type="dxa"/>
          </w:tcPr>
          <w:p w14:paraId="6C6FF12D" w14:textId="77777777" w:rsidR="00B02873" w:rsidRPr="00B02873" w:rsidRDefault="00B02873" w:rsidP="00C07FB5">
            <w:pPr>
              <w:pStyle w:val="NoParagraphStyle"/>
              <w:spacing w:line="240" w:lineRule="auto"/>
              <w:jc w:val="right"/>
              <w:textAlignment w:val="auto"/>
              <w:rPr>
                <w:rFonts w:ascii="Apple Symbols Regular" w:hAnsi="Apple Symbols Regular" w:cs="Times New Roman"/>
                <w:color w:val="auto"/>
                <w:lang w:val="en-AU"/>
              </w:rPr>
            </w:pPr>
          </w:p>
        </w:tc>
        <w:tc>
          <w:tcPr>
            <w:tcW w:w="992" w:type="dxa"/>
          </w:tcPr>
          <w:p w14:paraId="1D844A94" w14:textId="77777777" w:rsidR="00B02873" w:rsidRPr="00B02873" w:rsidRDefault="00B02873" w:rsidP="00C07FB5">
            <w:pPr>
              <w:pStyle w:val="NoParagraphStyle"/>
              <w:spacing w:line="240" w:lineRule="auto"/>
              <w:jc w:val="right"/>
              <w:textAlignment w:val="auto"/>
              <w:rPr>
                <w:rFonts w:ascii="Apple Symbols Regular" w:hAnsi="Apple Symbols Regular" w:cs="Times New Roman"/>
                <w:color w:val="auto"/>
                <w:lang w:val="en-AU"/>
              </w:rPr>
            </w:pPr>
          </w:p>
        </w:tc>
        <w:tc>
          <w:tcPr>
            <w:tcW w:w="1559" w:type="dxa"/>
          </w:tcPr>
          <w:p w14:paraId="772DD3B9" w14:textId="77777777" w:rsidR="00B02873" w:rsidRPr="00B02873" w:rsidRDefault="00B02873" w:rsidP="00C07FB5">
            <w:pPr>
              <w:pStyle w:val="NoParagraphStyle"/>
              <w:spacing w:line="240" w:lineRule="auto"/>
              <w:jc w:val="right"/>
              <w:textAlignment w:val="auto"/>
              <w:rPr>
                <w:rFonts w:ascii="Apple Symbols Regular" w:hAnsi="Apple Symbols Regular" w:cs="Times New Roman"/>
                <w:color w:val="auto"/>
                <w:lang w:val="en-AU"/>
              </w:rPr>
            </w:pPr>
          </w:p>
        </w:tc>
        <w:tc>
          <w:tcPr>
            <w:tcW w:w="1843" w:type="dxa"/>
          </w:tcPr>
          <w:p w14:paraId="342056BF" w14:textId="77777777" w:rsidR="00B02873" w:rsidRPr="00B02873" w:rsidRDefault="00B02873" w:rsidP="00B415A9">
            <w:pPr>
              <w:pStyle w:val="NoParagraphStyle"/>
              <w:spacing w:line="240" w:lineRule="auto"/>
              <w:textAlignment w:val="auto"/>
              <w:rPr>
                <w:rFonts w:ascii="Apple Symbols Regular" w:hAnsi="Apple Symbols Regular" w:cs="Times New Roman"/>
                <w:color w:val="auto"/>
                <w:lang w:val="en-AU"/>
              </w:rPr>
            </w:pPr>
          </w:p>
        </w:tc>
      </w:tr>
      <w:tr w:rsidR="00B02873" w:rsidRPr="00B02873" w14:paraId="00D6F648" w14:textId="77777777" w:rsidTr="00F306F4">
        <w:tc>
          <w:tcPr>
            <w:tcW w:w="3256" w:type="dxa"/>
          </w:tcPr>
          <w:p w14:paraId="144F282A" w14:textId="77777777" w:rsidR="00B02873" w:rsidRDefault="00B02873" w:rsidP="00B415A9">
            <w:pPr>
              <w:pStyle w:val="TablebodyleftTables"/>
            </w:pPr>
            <w:r>
              <w:t>Area treated to minimise the impact of pest plants, pest animals and over abundant native animals in parks managed by Parks Victoria</w:t>
            </w:r>
          </w:p>
        </w:tc>
        <w:tc>
          <w:tcPr>
            <w:tcW w:w="1134" w:type="dxa"/>
          </w:tcPr>
          <w:p w14:paraId="3BC48F47" w14:textId="77777777" w:rsidR="00B02873" w:rsidRDefault="00B02873" w:rsidP="00F306F4">
            <w:pPr>
              <w:pStyle w:val="TablebodyleftTables"/>
            </w:pPr>
            <w:r>
              <w:t>hectares (000)</w:t>
            </w:r>
          </w:p>
        </w:tc>
        <w:tc>
          <w:tcPr>
            <w:tcW w:w="992" w:type="dxa"/>
          </w:tcPr>
          <w:p w14:paraId="7EB95D39" w14:textId="77777777" w:rsidR="00B02873" w:rsidRDefault="00B02873" w:rsidP="00C07FB5">
            <w:pPr>
              <w:pStyle w:val="TablebodyleftTables"/>
              <w:jc w:val="right"/>
            </w:pPr>
            <w:r>
              <w:t>2 400</w:t>
            </w:r>
          </w:p>
        </w:tc>
        <w:tc>
          <w:tcPr>
            <w:tcW w:w="992" w:type="dxa"/>
          </w:tcPr>
          <w:p w14:paraId="283A4A05" w14:textId="77777777" w:rsidR="00B02873" w:rsidRDefault="00B02873" w:rsidP="00C07FB5">
            <w:pPr>
              <w:pStyle w:val="TablebodyleftTables"/>
              <w:jc w:val="right"/>
            </w:pPr>
            <w:r>
              <w:t>2 200</w:t>
            </w:r>
          </w:p>
        </w:tc>
        <w:tc>
          <w:tcPr>
            <w:tcW w:w="1559" w:type="dxa"/>
          </w:tcPr>
          <w:p w14:paraId="5F367476" w14:textId="77777777" w:rsidR="00B02873" w:rsidRDefault="00B02873" w:rsidP="00C07FB5">
            <w:pPr>
              <w:pStyle w:val="TablebodyleftTables"/>
              <w:jc w:val="right"/>
            </w:pPr>
            <w:r>
              <w:t>2%</w:t>
            </w:r>
          </w:p>
        </w:tc>
        <w:tc>
          <w:tcPr>
            <w:tcW w:w="1843" w:type="dxa"/>
          </w:tcPr>
          <w:p w14:paraId="471EBA1E" w14:textId="45FCD85D" w:rsidR="00B02873" w:rsidRDefault="00F306F4" w:rsidP="00F306F4">
            <w:pPr>
              <w:pStyle w:val="TablebodyleftTables"/>
            </w:pPr>
            <w:r>
              <w:t>Performance target achieved or exceeded.</w:t>
            </w:r>
          </w:p>
        </w:tc>
      </w:tr>
      <w:tr w:rsidR="00B02873" w:rsidRPr="00B02873" w14:paraId="7F107F85" w14:textId="77777777" w:rsidTr="00F306F4">
        <w:tc>
          <w:tcPr>
            <w:tcW w:w="3256" w:type="dxa"/>
          </w:tcPr>
          <w:p w14:paraId="51B2D26A" w14:textId="77777777" w:rsidR="00B02873" w:rsidRDefault="00B02873" w:rsidP="00B415A9">
            <w:pPr>
              <w:pStyle w:val="TablebodyleftTables"/>
            </w:pPr>
            <w:r>
              <w:t>Visits to national, state, urban and other terrestrial parks</w:t>
            </w:r>
          </w:p>
        </w:tc>
        <w:tc>
          <w:tcPr>
            <w:tcW w:w="1134" w:type="dxa"/>
          </w:tcPr>
          <w:p w14:paraId="543F176E" w14:textId="77777777" w:rsidR="00B02873" w:rsidRDefault="00B02873" w:rsidP="00F306F4">
            <w:pPr>
              <w:pStyle w:val="TablebodyleftTables"/>
            </w:pPr>
            <w:r>
              <w:t>number (million)</w:t>
            </w:r>
          </w:p>
        </w:tc>
        <w:tc>
          <w:tcPr>
            <w:tcW w:w="992" w:type="dxa"/>
          </w:tcPr>
          <w:p w14:paraId="1372C3FC" w14:textId="77777777" w:rsidR="00B02873" w:rsidRDefault="00B02873" w:rsidP="00C07FB5">
            <w:pPr>
              <w:pStyle w:val="TablebodyleftTables"/>
              <w:jc w:val="right"/>
            </w:pPr>
            <w:r>
              <w:t>N/A</w:t>
            </w:r>
          </w:p>
        </w:tc>
        <w:tc>
          <w:tcPr>
            <w:tcW w:w="992" w:type="dxa"/>
          </w:tcPr>
          <w:p w14:paraId="34D5590A" w14:textId="77777777" w:rsidR="00B02873" w:rsidRDefault="00B02873" w:rsidP="00C07FB5">
            <w:pPr>
              <w:pStyle w:val="TablebodyleftTables"/>
              <w:jc w:val="right"/>
            </w:pPr>
            <w:r>
              <w:t>80</w:t>
            </w:r>
          </w:p>
        </w:tc>
        <w:tc>
          <w:tcPr>
            <w:tcW w:w="1559" w:type="dxa"/>
          </w:tcPr>
          <w:p w14:paraId="77C59AD6" w14:textId="77777777" w:rsidR="00B02873" w:rsidRDefault="00B02873" w:rsidP="00C07FB5">
            <w:pPr>
              <w:pStyle w:val="TablebodyleftTables"/>
              <w:jc w:val="right"/>
            </w:pPr>
            <w:r>
              <w:t>N/A</w:t>
            </w:r>
          </w:p>
        </w:tc>
        <w:tc>
          <w:tcPr>
            <w:tcW w:w="1843" w:type="dxa"/>
          </w:tcPr>
          <w:p w14:paraId="72D20B82" w14:textId="77777777" w:rsidR="00B02873" w:rsidRDefault="00B02873" w:rsidP="00F306F4">
            <w:pPr>
              <w:pStyle w:val="TablebodyleftTables"/>
            </w:pPr>
            <w:r>
              <w:t>N/A</w:t>
            </w:r>
          </w:p>
        </w:tc>
      </w:tr>
    </w:tbl>
    <w:p w14:paraId="5A20B6AA" w14:textId="47DF70C2" w:rsidR="00F306F4" w:rsidRPr="00F306F4" w:rsidRDefault="00F306F4">
      <w:pPr>
        <w:rPr>
          <w:i/>
          <w:iCs/>
        </w:rPr>
      </w:pPr>
      <w:r w:rsidRPr="00F306F4">
        <w:rPr>
          <w:i/>
          <w:iCs/>
        </w:rPr>
        <w:t>Not measured in 2021-22. Results for this measure are captured every two years.</w:t>
      </w:r>
    </w:p>
    <w:tbl>
      <w:tblPr>
        <w:tblStyle w:val="TableGrid"/>
        <w:tblW w:w="9776" w:type="dxa"/>
        <w:tblLayout w:type="fixed"/>
        <w:tblLook w:val="0020" w:firstRow="1" w:lastRow="0" w:firstColumn="0" w:lastColumn="0" w:noHBand="0" w:noVBand="0"/>
      </w:tblPr>
      <w:tblGrid>
        <w:gridCol w:w="3256"/>
        <w:gridCol w:w="1134"/>
        <w:gridCol w:w="992"/>
        <w:gridCol w:w="992"/>
        <w:gridCol w:w="1559"/>
        <w:gridCol w:w="1843"/>
      </w:tblGrid>
      <w:tr w:rsidR="00F306F4" w:rsidRPr="00B02873" w14:paraId="331225AB" w14:textId="77777777" w:rsidTr="00F0025B">
        <w:trPr>
          <w:cnfStyle w:val="100000000000" w:firstRow="1" w:lastRow="0" w:firstColumn="0" w:lastColumn="0" w:oddVBand="0" w:evenVBand="0" w:oddHBand="0" w:evenHBand="0" w:firstRowFirstColumn="0" w:firstRowLastColumn="0" w:lastRowFirstColumn="0" w:lastRowLastColumn="0"/>
          <w:tblHeader/>
        </w:trPr>
        <w:tc>
          <w:tcPr>
            <w:tcW w:w="3256" w:type="dxa"/>
          </w:tcPr>
          <w:p w14:paraId="2851F9A4" w14:textId="77777777" w:rsidR="00F306F4" w:rsidRDefault="00F306F4" w:rsidP="00F0025B">
            <w:pPr>
              <w:pStyle w:val="TableheadingleftTables"/>
            </w:pPr>
            <w:r>
              <w:lastRenderedPageBreak/>
              <w:t>Output performance measures</w:t>
            </w:r>
          </w:p>
        </w:tc>
        <w:tc>
          <w:tcPr>
            <w:tcW w:w="1134" w:type="dxa"/>
          </w:tcPr>
          <w:p w14:paraId="6BE2C7BE" w14:textId="77777777" w:rsidR="00F306F4" w:rsidRDefault="00F306F4" w:rsidP="00F0025B">
            <w:pPr>
              <w:pStyle w:val="TableheadingleftTables"/>
            </w:pPr>
            <w:r>
              <w:t>Unit of measure</w:t>
            </w:r>
          </w:p>
        </w:tc>
        <w:tc>
          <w:tcPr>
            <w:tcW w:w="992" w:type="dxa"/>
          </w:tcPr>
          <w:p w14:paraId="7615A294" w14:textId="77777777" w:rsidR="00F306F4" w:rsidRDefault="00F306F4" w:rsidP="00C07FB5">
            <w:pPr>
              <w:pStyle w:val="TableheadingleftTables"/>
              <w:jc w:val="right"/>
            </w:pPr>
            <w:r>
              <w:t>2021-22 actual</w:t>
            </w:r>
          </w:p>
        </w:tc>
        <w:tc>
          <w:tcPr>
            <w:tcW w:w="992" w:type="dxa"/>
          </w:tcPr>
          <w:p w14:paraId="370B10F6" w14:textId="77777777" w:rsidR="00F306F4" w:rsidRDefault="00F306F4" w:rsidP="00C07FB5">
            <w:pPr>
              <w:pStyle w:val="TableheadingleftTables"/>
              <w:jc w:val="right"/>
            </w:pPr>
            <w:r>
              <w:t>2021-22 target</w:t>
            </w:r>
          </w:p>
        </w:tc>
        <w:tc>
          <w:tcPr>
            <w:tcW w:w="1559" w:type="dxa"/>
          </w:tcPr>
          <w:p w14:paraId="3E967752" w14:textId="77777777" w:rsidR="00F306F4" w:rsidRDefault="00F306F4" w:rsidP="00C07FB5">
            <w:pPr>
              <w:pStyle w:val="TableheadingleftTables"/>
              <w:jc w:val="right"/>
            </w:pPr>
            <w:r>
              <w:rPr>
                <w:spacing w:val="-3"/>
              </w:rPr>
              <w:t>Performance variation (%)</w:t>
            </w:r>
          </w:p>
        </w:tc>
        <w:tc>
          <w:tcPr>
            <w:tcW w:w="1843" w:type="dxa"/>
          </w:tcPr>
          <w:p w14:paraId="2D6C6958" w14:textId="77777777" w:rsidR="00F306F4" w:rsidRDefault="00F306F4" w:rsidP="00F0025B">
            <w:pPr>
              <w:pStyle w:val="TableheadingleftTables"/>
            </w:pPr>
            <w:r>
              <w:t>Result</w:t>
            </w:r>
          </w:p>
        </w:tc>
      </w:tr>
      <w:tr w:rsidR="00B02873" w:rsidRPr="00B02873" w14:paraId="7EE44F6F" w14:textId="77777777" w:rsidTr="00F306F4">
        <w:tc>
          <w:tcPr>
            <w:tcW w:w="3256" w:type="dxa"/>
          </w:tcPr>
          <w:p w14:paraId="105E274D" w14:textId="77777777" w:rsidR="00B02873" w:rsidRDefault="00B02873" w:rsidP="00B415A9">
            <w:pPr>
              <w:pStyle w:val="TablebodyleftTables"/>
            </w:pPr>
            <w:r>
              <w:t>Visits to piers and jetties</w:t>
            </w:r>
          </w:p>
        </w:tc>
        <w:tc>
          <w:tcPr>
            <w:tcW w:w="1134" w:type="dxa"/>
          </w:tcPr>
          <w:p w14:paraId="071673B1" w14:textId="77777777" w:rsidR="00B02873" w:rsidRDefault="00B02873" w:rsidP="00F306F4">
            <w:pPr>
              <w:pStyle w:val="TablebodyleftTables"/>
            </w:pPr>
            <w:r>
              <w:t>number (million)</w:t>
            </w:r>
          </w:p>
        </w:tc>
        <w:tc>
          <w:tcPr>
            <w:tcW w:w="992" w:type="dxa"/>
          </w:tcPr>
          <w:p w14:paraId="0361020E" w14:textId="77777777" w:rsidR="00B02873" w:rsidRDefault="00B02873" w:rsidP="00C07FB5">
            <w:pPr>
              <w:pStyle w:val="TablebodyleftTables"/>
              <w:jc w:val="right"/>
            </w:pPr>
            <w:r>
              <w:t>N/A</w:t>
            </w:r>
          </w:p>
        </w:tc>
        <w:tc>
          <w:tcPr>
            <w:tcW w:w="992" w:type="dxa"/>
          </w:tcPr>
          <w:p w14:paraId="3B9881C4" w14:textId="77777777" w:rsidR="00B02873" w:rsidRDefault="00B02873" w:rsidP="00C07FB5">
            <w:pPr>
              <w:pStyle w:val="TablebodyleftTables"/>
              <w:jc w:val="right"/>
            </w:pPr>
            <w:r>
              <w:t>35</w:t>
            </w:r>
          </w:p>
        </w:tc>
        <w:tc>
          <w:tcPr>
            <w:tcW w:w="1559" w:type="dxa"/>
          </w:tcPr>
          <w:p w14:paraId="64B71C42" w14:textId="77777777" w:rsidR="00B02873" w:rsidRDefault="00B02873" w:rsidP="00C07FB5">
            <w:pPr>
              <w:pStyle w:val="TablebodyleftTables"/>
              <w:jc w:val="right"/>
            </w:pPr>
            <w:r>
              <w:t>N/A</w:t>
            </w:r>
          </w:p>
        </w:tc>
        <w:tc>
          <w:tcPr>
            <w:tcW w:w="1843" w:type="dxa"/>
          </w:tcPr>
          <w:p w14:paraId="5FC40AEF" w14:textId="77777777" w:rsidR="00B02873" w:rsidRDefault="00B02873" w:rsidP="00F306F4">
            <w:pPr>
              <w:pStyle w:val="TablebodyleftTables"/>
            </w:pPr>
            <w:r>
              <w:t>N/A</w:t>
            </w:r>
          </w:p>
        </w:tc>
      </w:tr>
    </w:tbl>
    <w:p w14:paraId="6F377072" w14:textId="71612DBD" w:rsidR="00F306F4" w:rsidRPr="00F306F4" w:rsidRDefault="00F306F4">
      <w:pPr>
        <w:rPr>
          <w:i/>
          <w:iCs/>
        </w:rPr>
      </w:pPr>
      <w:r w:rsidRPr="00F306F4">
        <w:rPr>
          <w:i/>
          <w:iCs/>
        </w:rPr>
        <w:t>Not measured in 2021-22. Results for this measure are captured every two years.</w:t>
      </w:r>
    </w:p>
    <w:tbl>
      <w:tblPr>
        <w:tblStyle w:val="TableGrid"/>
        <w:tblW w:w="9776" w:type="dxa"/>
        <w:tblLayout w:type="fixed"/>
        <w:tblLook w:val="0020" w:firstRow="1" w:lastRow="0" w:firstColumn="0" w:lastColumn="0" w:noHBand="0" w:noVBand="0"/>
      </w:tblPr>
      <w:tblGrid>
        <w:gridCol w:w="3256"/>
        <w:gridCol w:w="1134"/>
        <w:gridCol w:w="992"/>
        <w:gridCol w:w="992"/>
        <w:gridCol w:w="1559"/>
        <w:gridCol w:w="1843"/>
      </w:tblGrid>
      <w:tr w:rsidR="00F306F4" w:rsidRPr="00B02873" w14:paraId="6FE77CC4" w14:textId="77777777" w:rsidTr="00F0025B">
        <w:trPr>
          <w:cnfStyle w:val="100000000000" w:firstRow="1" w:lastRow="0" w:firstColumn="0" w:lastColumn="0" w:oddVBand="0" w:evenVBand="0" w:oddHBand="0" w:evenHBand="0" w:firstRowFirstColumn="0" w:firstRowLastColumn="0" w:lastRowFirstColumn="0" w:lastRowLastColumn="0"/>
          <w:tblHeader/>
        </w:trPr>
        <w:tc>
          <w:tcPr>
            <w:tcW w:w="3256" w:type="dxa"/>
          </w:tcPr>
          <w:p w14:paraId="5A3BDCA6" w14:textId="77777777" w:rsidR="00F306F4" w:rsidRDefault="00F306F4" w:rsidP="00F0025B">
            <w:pPr>
              <w:pStyle w:val="TableheadingleftTables"/>
            </w:pPr>
            <w:r>
              <w:t>Output performance measures</w:t>
            </w:r>
          </w:p>
        </w:tc>
        <w:tc>
          <w:tcPr>
            <w:tcW w:w="1134" w:type="dxa"/>
          </w:tcPr>
          <w:p w14:paraId="458CA9BE" w14:textId="77777777" w:rsidR="00F306F4" w:rsidRDefault="00F306F4" w:rsidP="00F0025B">
            <w:pPr>
              <w:pStyle w:val="TableheadingleftTables"/>
            </w:pPr>
            <w:r>
              <w:t>Unit of measure</w:t>
            </w:r>
          </w:p>
        </w:tc>
        <w:tc>
          <w:tcPr>
            <w:tcW w:w="992" w:type="dxa"/>
          </w:tcPr>
          <w:p w14:paraId="4058A4E8" w14:textId="77777777" w:rsidR="00F306F4" w:rsidRDefault="00F306F4" w:rsidP="00C07FB5">
            <w:pPr>
              <w:pStyle w:val="TableheadingleftTables"/>
              <w:jc w:val="right"/>
            </w:pPr>
            <w:r>
              <w:t>2021-22 actual</w:t>
            </w:r>
          </w:p>
        </w:tc>
        <w:tc>
          <w:tcPr>
            <w:tcW w:w="992" w:type="dxa"/>
          </w:tcPr>
          <w:p w14:paraId="23BB2BAE" w14:textId="77777777" w:rsidR="00F306F4" w:rsidRDefault="00F306F4" w:rsidP="00C07FB5">
            <w:pPr>
              <w:pStyle w:val="TableheadingleftTables"/>
              <w:jc w:val="right"/>
            </w:pPr>
            <w:r>
              <w:t>2021-22 target</w:t>
            </w:r>
          </w:p>
        </w:tc>
        <w:tc>
          <w:tcPr>
            <w:tcW w:w="1559" w:type="dxa"/>
          </w:tcPr>
          <w:p w14:paraId="5E876C0E" w14:textId="77777777" w:rsidR="00F306F4" w:rsidRDefault="00F306F4" w:rsidP="00C07FB5">
            <w:pPr>
              <w:pStyle w:val="TableheadingleftTables"/>
              <w:jc w:val="right"/>
            </w:pPr>
            <w:r>
              <w:rPr>
                <w:spacing w:val="-3"/>
              </w:rPr>
              <w:t>Performance variation (%)</w:t>
            </w:r>
          </w:p>
        </w:tc>
        <w:tc>
          <w:tcPr>
            <w:tcW w:w="1843" w:type="dxa"/>
          </w:tcPr>
          <w:p w14:paraId="0C49379F" w14:textId="77777777" w:rsidR="00F306F4" w:rsidRDefault="00F306F4" w:rsidP="00F0025B">
            <w:pPr>
              <w:pStyle w:val="TableheadingleftTables"/>
            </w:pPr>
            <w:r>
              <w:t>Result</w:t>
            </w:r>
          </w:p>
        </w:tc>
      </w:tr>
      <w:tr w:rsidR="00B02873" w:rsidRPr="00B02873" w14:paraId="608B7415" w14:textId="77777777" w:rsidTr="00F306F4">
        <w:tc>
          <w:tcPr>
            <w:tcW w:w="3256" w:type="dxa"/>
          </w:tcPr>
          <w:p w14:paraId="4EB0024B" w14:textId="77777777" w:rsidR="00B02873" w:rsidRDefault="00B02873" w:rsidP="00B415A9">
            <w:pPr>
              <w:pStyle w:val="TablebodyleftTables"/>
            </w:pPr>
            <w:r>
              <w:t>Total area of estate managed by Parks Victoria</w:t>
            </w:r>
          </w:p>
        </w:tc>
        <w:tc>
          <w:tcPr>
            <w:tcW w:w="1134" w:type="dxa"/>
          </w:tcPr>
          <w:p w14:paraId="5154D62E" w14:textId="77777777" w:rsidR="00B02873" w:rsidRDefault="00B02873" w:rsidP="00F306F4">
            <w:pPr>
              <w:pStyle w:val="TablebodyleftTables"/>
            </w:pPr>
            <w:r>
              <w:t>hectares (000)</w:t>
            </w:r>
          </w:p>
        </w:tc>
        <w:tc>
          <w:tcPr>
            <w:tcW w:w="992" w:type="dxa"/>
          </w:tcPr>
          <w:p w14:paraId="3EA981DF" w14:textId="77777777" w:rsidR="00B02873" w:rsidRDefault="00B02873" w:rsidP="00C07FB5">
            <w:pPr>
              <w:pStyle w:val="TablebodyleftTables"/>
              <w:jc w:val="right"/>
            </w:pPr>
            <w:r>
              <w:t>4 120</w:t>
            </w:r>
          </w:p>
        </w:tc>
        <w:tc>
          <w:tcPr>
            <w:tcW w:w="992" w:type="dxa"/>
          </w:tcPr>
          <w:p w14:paraId="07E815B7" w14:textId="77777777" w:rsidR="00B02873" w:rsidRDefault="00B02873" w:rsidP="00C07FB5">
            <w:pPr>
              <w:pStyle w:val="TablebodyleftTables"/>
              <w:jc w:val="right"/>
            </w:pPr>
            <w:r>
              <w:t>4 120</w:t>
            </w:r>
          </w:p>
        </w:tc>
        <w:tc>
          <w:tcPr>
            <w:tcW w:w="1559" w:type="dxa"/>
          </w:tcPr>
          <w:p w14:paraId="6D95CED1" w14:textId="77777777" w:rsidR="00B02873" w:rsidRDefault="00B02873" w:rsidP="00C07FB5">
            <w:pPr>
              <w:pStyle w:val="TablebodyleftTables"/>
              <w:jc w:val="right"/>
            </w:pPr>
            <w:r>
              <w:t>0%</w:t>
            </w:r>
          </w:p>
        </w:tc>
        <w:tc>
          <w:tcPr>
            <w:tcW w:w="1843" w:type="dxa"/>
          </w:tcPr>
          <w:p w14:paraId="272C10C1" w14:textId="664D7E8D" w:rsidR="00B02873" w:rsidRDefault="00F306F4" w:rsidP="00F306F4">
            <w:pPr>
              <w:pStyle w:val="TablebodyleftTables"/>
            </w:pPr>
            <w:r>
              <w:t>Performance target achieved or exceeded.</w:t>
            </w:r>
          </w:p>
        </w:tc>
      </w:tr>
      <w:tr w:rsidR="00B02873" w:rsidRPr="00B02873" w14:paraId="4D42ED75" w14:textId="77777777" w:rsidTr="00F306F4">
        <w:tc>
          <w:tcPr>
            <w:tcW w:w="3256" w:type="dxa"/>
          </w:tcPr>
          <w:p w14:paraId="60F13DC4" w14:textId="77777777" w:rsidR="00B02873" w:rsidRDefault="00B02873" w:rsidP="00B415A9">
            <w:pPr>
              <w:pStyle w:val="TableheadingleftTables"/>
            </w:pPr>
            <w:r>
              <w:t>Quality</w:t>
            </w:r>
          </w:p>
        </w:tc>
        <w:tc>
          <w:tcPr>
            <w:tcW w:w="1134" w:type="dxa"/>
          </w:tcPr>
          <w:p w14:paraId="21DB76E0" w14:textId="77777777" w:rsidR="00B02873" w:rsidRPr="00B02873" w:rsidRDefault="00B02873" w:rsidP="00B415A9">
            <w:pPr>
              <w:pStyle w:val="NoParagraphStyle"/>
              <w:spacing w:line="240" w:lineRule="auto"/>
              <w:textAlignment w:val="auto"/>
              <w:rPr>
                <w:rFonts w:ascii="Apple Symbols Regular" w:hAnsi="Apple Symbols Regular" w:cs="Times New Roman"/>
                <w:color w:val="auto"/>
                <w:lang w:val="en-AU"/>
              </w:rPr>
            </w:pPr>
          </w:p>
        </w:tc>
        <w:tc>
          <w:tcPr>
            <w:tcW w:w="992" w:type="dxa"/>
          </w:tcPr>
          <w:p w14:paraId="7B6C2DB6" w14:textId="77777777" w:rsidR="00B02873" w:rsidRPr="00B02873" w:rsidRDefault="00B02873" w:rsidP="00C07FB5">
            <w:pPr>
              <w:pStyle w:val="NoParagraphStyle"/>
              <w:spacing w:line="240" w:lineRule="auto"/>
              <w:jc w:val="right"/>
              <w:textAlignment w:val="auto"/>
              <w:rPr>
                <w:rFonts w:ascii="Apple Symbols Regular" w:hAnsi="Apple Symbols Regular" w:cs="Times New Roman"/>
                <w:color w:val="auto"/>
                <w:lang w:val="en-AU"/>
              </w:rPr>
            </w:pPr>
          </w:p>
        </w:tc>
        <w:tc>
          <w:tcPr>
            <w:tcW w:w="992" w:type="dxa"/>
          </w:tcPr>
          <w:p w14:paraId="0022A41E" w14:textId="77777777" w:rsidR="00B02873" w:rsidRPr="00B02873" w:rsidRDefault="00B02873" w:rsidP="00C07FB5">
            <w:pPr>
              <w:pStyle w:val="NoParagraphStyle"/>
              <w:spacing w:line="240" w:lineRule="auto"/>
              <w:jc w:val="right"/>
              <w:textAlignment w:val="auto"/>
              <w:rPr>
                <w:rFonts w:ascii="Apple Symbols Regular" w:hAnsi="Apple Symbols Regular" w:cs="Times New Roman"/>
                <w:color w:val="auto"/>
                <w:lang w:val="en-AU"/>
              </w:rPr>
            </w:pPr>
          </w:p>
        </w:tc>
        <w:tc>
          <w:tcPr>
            <w:tcW w:w="1559" w:type="dxa"/>
          </w:tcPr>
          <w:p w14:paraId="4BFED642" w14:textId="77777777" w:rsidR="00B02873" w:rsidRPr="00B02873" w:rsidRDefault="00B02873" w:rsidP="00C07FB5">
            <w:pPr>
              <w:pStyle w:val="NoParagraphStyle"/>
              <w:spacing w:line="240" w:lineRule="auto"/>
              <w:jc w:val="right"/>
              <w:textAlignment w:val="auto"/>
              <w:rPr>
                <w:rFonts w:ascii="Apple Symbols Regular" w:hAnsi="Apple Symbols Regular" w:cs="Times New Roman"/>
                <w:color w:val="auto"/>
                <w:lang w:val="en-AU"/>
              </w:rPr>
            </w:pPr>
          </w:p>
        </w:tc>
        <w:tc>
          <w:tcPr>
            <w:tcW w:w="1843" w:type="dxa"/>
          </w:tcPr>
          <w:p w14:paraId="0A6E8723" w14:textId="77777777" w:rsidR="00B02873" w:rsidRPr="00B02873" w:rsidRDefault="00B02873" w:rsidP="00B415A9">
            <w:pPr>
              <w:pStyle w:val="NoParagraphStyle"/>
              <w:spacing w:line="240" w:lineRule="auto"/>
              <w:textAlignment w:val="auto"/>
              <w:rPr>
                <w:rFonts w:ascii="Apple Symbols Regular" w:hAnsi="Apple Symbols Regular" w:cs="Times New Roman"/>
                <w:color w:val="auto"/>
                <w:lang w:val="en-AU"/>
              </w:rPr>
            </w:pPr>
          </w:p>
        </w:tc>
      </w:tr>
      <w:tr w:rsidR="00B02873" w:rsidRPr="00B02873" w14:paraId="297BA177" w14:textId="77777777" w:rsidTr="00F306F4">
        <w:tc>
          <w:tcPr>
            <w:tcW w:w="3256" w:type="dxa"/>
          </w:tcPr>
          <w:p w14:paraId="1B9C6DA2" w14:textId="77777777" w:rsidR="00B02873" w:rsidRDefault="00B02873" w:rsidP="00B415A9">
            <w:pPr>
              <w:pStyle w:val="TablebodyleftTables"/>
            </w:pPr>
            <w:r>
              <w:t>Significant built bay assets managed by Parks Victoria rated in average to excellent condition</w:t>
            </w:r>
          </w:p>
        </w:tc>
        <w:tc>
          <w:tcPr>
            <w:tcW w:w="1134" w:type="dxa"/>
          </w:tcPr>
          <w:p w14:paraId="5B26A84E" w14:textId="77777777" w:rsidR="00B02873" w:rsidRDefault="00B02873" w:rsidP="00F306F4">
            <w:pPr>
              <w:pStyle w:val="TablebodyleftTables"/>
            </w:pPr>
            <w:r>
              <w:t>per cent</w:t>
            </w:r>
          </w:p>
        </w:tc>
        <w:tc>
          <w:tcPr>
            <w:tcW w:w="992" w:type="dxa"/>
          </w:tcPr>
          <w:p w14:paraId="7513AAF9" w14:textId="77777777" w:rsidR="00B02873" w:rsidRDefault="00B02873" w:rsidP="00C07FB5">
            <w:pPr>
              <w:pStyle w:val="TablebodyleftTables"/>
              <w:jc w:val="right"/>
            </w:pPr>
            <w:r>
              <w:t>71</w:t>
            </w:r>
          </w:p>
        </w:tc>
        <w:tc>
          <w:tcPr>
            <w:tcW w:w="992" w:type="dxa"/>
          </w:tcPr>
          <w:p w14:paraId="0E930F37" w14:textId="77777777" w:rsidR="00B02873" w:rsidRDefault="00B02873" w:rsidP="00C07FB5">
            <w:pPr>
              <w:pStyle w:val="TablebodyleftTables"/>
              <w:jc w:val="right"/>
            </w:pPr>
            <w:r>
              <w:t>80</w:t>
            </w:r>
          </w:p>
        </w:tc>
        <w:tc>
          <w:tcPr>
            <w:tcW w:w="1559" w:type="dxa"/>
          </w:tcPr>
          <w:p w14:paraId="3ABB7517" w14:textId="77777777" w:rsidR="00B02873" w:rsidRDefault="00B02873" w:rsidP="00C07FB5">
            <w:pPr>
              <w:pStyle w:val="TablebodyleftTables"/>
              <w:jc w:val="right"/>
            </w:pPr>
            <w:r>
              <w:t>(11%)</w:t>
            </w:r>
          </w:p>
        </w:tc>
        <w:tc>
          <w:tcPr>
            <w:tcW w:w="1843" w:type="dxa"/>
          </w:tcPr>
          <w:p w14:paraId="4487D177" w14:textId="0A69138D" w:rsidR="00B02873" w:rsidRDefault="00F306F4" w:rsidP="00F306F4">
            <w:pPr>
              <w:pStyle w:val="TablebodyleftTables"/>
            </w:pPr>
            <w:r>
              <w:t>Performance target not achieved – exceeds 5 per cent variance.</w:t>
            </w:r>
          </w:p>
        </w:tc>
      </w:tr>
    </w:tbl>
    <w:p w14:paraId="26EB8B33" w14:textId="272BFDB5" w:rsidR="00F306F4" w:rsidRPr="00F306F4" w:rsidRDefault="00F306F4">
      <w:pPr>
        <w:rPr>
          <w:i/>
          <w:iCs/>
        </w:rPr>
      </w:pPr>
      <w:r w:rsidRPr="00F306F4">
        <w:rPr>
          <w:i/>
          <w:iCs/>
        </w:rPr>
        <w:t>Performance is below target due to the decline of maritime assets from age and storm impacts. The result has however improved by four percentage points since 2020-21 due to completion of major repair works at Cowes and Middle Brighton piers and Queenscliff South pier and shed.</w:t>
      </w:r>
    </w:p>
    <w:tbl>
      <w:tblPr>
        <w:tblStyle w:val="TableGrid"/>
        <w:tblW w:w="9776" w:type="dxa"/>
        <w:tblLayout w:type="fixed"/>
        <w:tblLook w:val="0020" w:firstRow="1" w:lastRow="0" w:firstColumn="0" w:lastColumn="0" w:noHBand="0" w:noVBand="0"/>
      </w:tblPr>
      <w:tblGrid>
        <w:gridCol w:w="3256"/>
        <w:gridCol w:w="1134"/>
        <w:gridCol w:w="992"/>
        <w:gridCol w:w="992"/>
        <w:gridCol w:w="1559"/>
        <w:gridCol w:w="1843"/>
      </w:tblGrid>
      <w:tr w:rsidR="00F306F4" w:rsidRPr="00B02873" w14:paraId="3D8CA2EE" w14:textId="77777777" w:rsidTr="00F0025B">
        <w:trPr>
          <w:cnfStyle w:val="100000000000" w:firstRow="1" w:lastRow="0" w:firstColumn="0" w:lastColumn="0" w:oddVBand="0" w:evenVBand="0" w:oddHBand="0" w:evenHBand="0" w:firstRowFirstColumn="0" w:firstRowLastColumn="0" w:lastRowFirstColumn="0" w:lastRowLastColumn="0"/>
          <w:tblHeader/>
        </w:trPr>
        <w:tc>
          <w:tcPr>
            <w:tcW w:w="3256" w:type="dxa"/>
          </w:tcPr>
          <w:p w14:paraId="1EAA5946" w14:textId="77777777" w:rsidR="00F306F4" w:rsidRDefault="00F306F4" w:rsidP="00F0025B">
            <w:pPr>
              <w:pStyle w:val="TableheadingleftTables"/>
            </w:pPr>
            <w:r>
              <w:t>Output performance measures</w:t>
            </w:r>
          </w:p>
        </w:tc>
        <w:tc>
          <w:tcPr>
            <w:tcW w:w="1134" w:type="dxa"/>
          </w:tcPr>
          <w:p w14:paraId="082FA5D4" w14:textId="77777777" w:rsidR="00F306F4" w:rsidRDefault="00F306F4" w:rsidP="00F0025B">
            <w:pPr>
              <w:pStyle w:val="TableheadingleftTables"/>
            </w:pPr>
            <w:r>
              <w:t>Unit of measure</w:t>
            </w:r>
          </w:p>
        </w:tc>
        <w:tc>
          <w:tcPr>
            <w:tcW w:w="992" w:type="dxa"/>
          </w:tcPr>
          <w:p w14:paraId="26F96FDD" w14:textId="77777777" w:rsidR="00F306F4" w:rsidRDefault="00F306F4" w:rsidP="00C07FB5">
            <w:pPr>
              <w:pStyle w:val="TableheadingleftTables"/>
              <w:jc w:val="right"/>
            </w:pPr>
            <w:r>
              <w:t>2021-22 actual</w:t>
            </w:r>
          </w:p>
        </w:tc>
        <w:tc>
          <w:tcPr>
            <w:tcW w:w="992" w:type="dxa"/>
          </w:tcPr>
          <w:p w14:paraId="4A452D74" w14:textId="77777777" w:rsidR="00F306F4" w:rsidRDefault="00F306F4" w:rsidP="00C07FB5">
            <w:pPr>
              <w:pStyle w:val="TableheadingleftTables"/>
              <w:jc w:val="right"/>
            </w:pPr>
            <w:r>
              <w:t>2021-22 target</w:t>
            </w:r>
          </w:p>
        </w:tc>
        <w:tc>
          <w:tcPr>
            <w:tcW w:w="1559" w:type="dxa"/>
          </w:tcPr>
          <w:p w14:paraId="5AED8F82" w14:textId="77777777" w:rsidR="00F306F4" w:rsidRDefault="00F306F4" w:rsidP="00C07FB5">
            <w:pPr>
              <w:pStyle w:val="TableheadingleftTables"/>
              <w:jc w:val="right"/>
            </w:pPr>
            <w:r>
              <w:rPr>
                <w:spacing w:val="-3"/>
              </w:rPr>
              <w:t>Performance variation (%)</w:t>
            </w:r>
          </w:p>
        </w:tc>
        <w:tc>
          <w:tcPr>
            <w:tcW w:w="1843" w:type="dxa"/>
          </w:tcPr>
          <w:p w14:paraId="66A75C4B" w14:textId="77777777" w:rsidR="00F306F4" w:rsidRDefault="00F306F4" w:rsidP="00F0025B">
            <w:pPr>
              <w:pStyle w:val="TableheadingleftTables"/>
            </w:pPr>
            <w:r>
              <w:t>Result</w:t>
            </w:r>
          </w:p>
        </w:tc>
      </w:tr>
      <w:tr w:rsidR="00B02873" w:rsidRPr="00B02873" w14:paraId="2E3BBBC5" w14:textId="77777777" w:rsidTr="00F306F4">
        <w:tc>
          <w:tcPr>
            <w:tcW w:w="3256" w:type="dxa"/>
          </w:tcPr>
          <w:p w14:paraId="1FD1E68E" w14:textId="77777777" w:rsidR="00B02873" w:rsidRDefault="00B02873" w:rsidP="00B415A9">
            <w:pPr>
              <w:pStyle w:val="TablebodyleftTables"/>
            </w:pPr>
            <w:r>
              <w:t>Significant built park assets managed by Parks Victoria rated in average to excellent condition</w:t>
            </w:r>
          </w:p>
        </w:tc>
        <w:tc>
          <w:tcPr>
            <w:tcW w:w="1134" w:type="dxa"/>
          </w:tcPr>
          <w:p w14:paraId="528689F6" w14:textId="77777777" w:rsidR="00B02873" w:rsidRDefault="00B02873" w:rsidP="00F306F4">
            <w:pPr>
              <w:pStyle w:val="TablebodyleftTables"/>
            </w:pPr>
            <w:r>
              <w:t>per cent</w:t>
            </w:r>
          </w:p>
        </w:tc>
        <w:tc>
          <w:tcPr>
            <w:tcW w:w="992" w:type="dxa"/>
          </w:tcPr>
          <w:p w14:paraId="0E677AF0" w14:textId="77777777" w:rsidR="00B02873" w:rsidRDefault="00B02873" w:rsidP="00C07FB5">
            <w:pPr>
              <w:pStyle w:val="TablebodyleftTables"/>
              <w:jc w:val="right"/>
            </w:pPr>
            <w:r>
              <w:t>86.7</w:t>
            </w:r>
          </w:p>
        </w:tc>
        <w:tc>
          <w:tcPr>
            <w:tcW w:w="992" w:type="dxa"/>
          </w:tcPr>
          <w:p w14:paraId="32E3F120" w14:textId="77777777" w:rsidR="00B02873" w:rsidRDefault="00B02873" w:rsidP="00C07FB5">
            <w:pPr>
              <w:pStyle w:val="TablebodyleftTables"/>
              <w:jc w:val="right"/>
            </w:pPr>
            <w:r>
              <w:t>88</w:t>
            </w:r>
          </w:p>
        </w:tc>
        <w:tc>
          <w:tcPr>
            <w:tcW w:w="1559" w:type="dxa"/>
          </w:tcPr>
          <w:p w14:paraId="6DA62B58" w14:textId="77777777" w:rsidR="00B02873" w:rsidRDefault="00B02873" w:rsidP="00C07FB5">
            <w:pPr>
              <w:pStyle w:val="TablebodyleftTables"/>
              <w:jc w:val="right"/>
            </w:pPr>
            <w:r>
              <w:t>(1%)</w:t>
            </w:r>
          </w:p>
        </w:tc>
        <w:tc>
          <w:tcPr>
            <w:tcW w:w="1843" w:type="dxa"/>
          </w:tcPr>
          <w:p w14:paraId="1AD9BD31" w14:textId="67F4C1E4" w:rsidR="00B02873" w:rsidRDefault="00F306F4" w:rsidP="00F306F4">
            <w:pPr>
              <w:pStyle w:val="TablebodyleftTables"/>
            </w:pPr>
            <w:r>
              <w:t>Performance target not achieved – within 5 per cent variance.</w:t>
            </w:r>
          </w:p>
        </w:tc>
      </w:tr>
      <w:tr w:rsidR="00B02873" w:rsidRPr="00B02873" w14:paraId="66176C8A" w14:textId="77777777" w:rsidTr="00F306F4">
        <w:tc>
          <w:tcPr>
            <w:tcW w:w="3256" w:type="dxa"/>
          </w:tcPr>
          <w:p w14:paraId="449F4C88" w14:textId="77777777" w:rsidR="00B02873" w:rsidRDefault="00B02873" w:rsidP="00B415A9">
            <w:pPr>
              <w:pStyle w:val="TableheadingleftTables"/>
            </w:pPr>
            <w:r>
              <w:t>Cost</w:t>
            </w:r>
          </w:p>
        </w:tc>
        <w:tc>
          <w:tcPr>
            <w:tcW w:w="1134" w:type="dxa"/>
          </w:tcPr>
          <w:p w14:paraId="2E47E0B0" w14:textId="77777777" w:rsidR="00B02873" w:rsidRPr="00B02873" w:rsidRDefault="00B02873" w:rsidP="00B415A9">
            <w:pPr>
              <w:pStyle w:val="NoParagraphStyle"/>
              <w:spacing w:line="240" w:lineRule="auto"/>
              <w:textAlignment w:val="auto"/>
              <w:rPr>
                <w:rFonts w:ascii="Apple Symbols Regular" w:hAnsi="Apple Symbols Regular" w:cs="Times New Roman"/>
                <w:color w:val="auto"/>
                <w:lang w:val="en-AU"/>
              </w:rPr>
            </w:pPr>
          </w:p>
        </w:tc>
        <w:tc>
          <w:tcPr>
            <w:tcW w:w="992" w:type="dxa"/>
          </w:tcPr>
          <w:p w14:paraId="16838D44" w14:textId="77777777" w:rsidR="00B02873" w:rsidRPr="00B02873" w:rsidRDefault="00B02873" w:rsidP="00C07FB5">
            <w:pPr>
              <w:pStyle w:val="NoParagraphStyle"/>
              <w:spacing w:line="240" w:lineRule="auto"/>
              <w:jc w:val="right"/>
              <w:textAlignment w:val="auto"/>
              <w:rPr>
                <w:rFonts w:ascii="Apple Symbols Regular" w:hAnsi="Apple Symbols Regular" w:cs="Times New Roman"/>
                <w:color w:val="auto"/>
                <w:lang w:val="en-AU"/>
              </w:rPr>
            </w:pPr>
          </w:p>
        </w:tc>
        <w:tc>
          <w:tcPr>
            <w:tcW w:w="992" w:type="dxa"/>
          </w:tcPr>
          <w:p w14:paraId="4FCF2E90" w14:textId="77777777" w:rsidR="00B02873" w:rsidRPr="00B02873" w:rsidRDefault="00B02873" w:rsidP="00C07FB5">
            <w:pPr>
              <w:pStyle w:val="NoParagraphStyle"/>
              <w:spacing w:line="240" w:lineRule="auto"/>
              <w:jc w:val="right"/>
              <w:textAlignment w:val="auto"/>
              <w:rPr>
                <w:rFonts w:ascii="Apple Symbols Regular" w:hAnsi="Apple Symbols Regular" w:cs="Times New Roman"/>
                <w:color w:val="auto"/>
                <w:lang w:val="en-AU"/>
              </w:rPr>
            </w:pPr>
          </w:p>
        </w:tc>
        <w:tc>
          <w:tcPr>
            <w:tcW w:w="1559" w:type="dxa"/>
          </w:tcPr>
          <w:p w14:paraId="5A3A2161" w14:textId="77777777" w:rsidR="00B02873" w:rsidRPr="00B02873" w:rsidRDefault="00B02873" w:rsidP="00C07FB5">
            <w:pPr>
              <w:pStyle w:val="NoParagraphStyle"/>
              <w:spacing w:line="240" w:lineRule="auto"/>
              <w:jc w:val="right"/>
              <w:textAlignment w:val="auto"/>
              <w:rPr>
                <w:rFonts w:ascii="Apple Symbols Regular" w:hAnsi="Apple Symbols Regular" w:cs="Times New Roman"/>
                <w:color w:val="auto"/>
                <w:lang w:val="en-AU"/>
              </w:rPr>
            </w:pPr>
          </w:p>
        </w:tc>
        <w:tc>
          <w:tcPr>
            <w:tcW w:w="1843" w:type="dxa"/>
          </w:tcPr>
          <w:p w14:paraId="031F62A1" w14:textId="77777777" w:rsidR="00B02873" w:rsidRPr="00B02873" w:rsidRDefault="00B02873" w:rsidP="00B415A9">
            <w:pPr>
              <w:pStyle w:val="NoParagraphStyle"/>
              <w:spacing w:line="240" w:lineRule="auto"/>
              <w:textAlignment w:val="auto"/>
              <w:rPr>
                <w:rFonts w:ascii="Apple Symbols Regular" w:hAnsi="Apple Symbols Regular" w:cs="Times New Roman"/>
                <w:color w:val="auto"/>
                <w:lang w:val="en-AU"/>
              </w:rPr>
            </w:pPr>
          </w:p>
        </w:tc>
      </w:tr>
      <w:tr w:rsidR="00B02873" w:rsidRPr="00B02873" w14:paraId="3FC3D268" w14:textId="77777777" w:rsidTr="00F306F4">
        <w:tc>
          <w:tcPr>
            <w:tcW w:w="3256" w:type="dxa"/>
          </w:tcPr>
          <w:p w14:paraId="2BABD0DD" w14:textId="77777777" w:rsidR="00B02873" w:rsidRDefault="00B02873" w:rsidP="00B415A9">
            <w:pPr>
              <w:pStyle w:val="TablebodyleftTables"/>
            </w:pPr>
            <w:r>
              <w:rPr>
                <w:rStyle w:val="Bold"/>
              </w:rPr>
              <w:t xml:space="preserve">Total output cost </w:t>
            </w:r>
          </w:p>
        </w:tc>
        <w:tc>
          <w:tcPr>
            <w:tcW w:w="1134" w:type="dxa"/>
          </w:tcPr>
          <w:p w14:paraId="797879E2" w14:textId="77777777" w:rsidR="00B02873" w:rsidRDefault="00B02873" w:rsidP="00F306F4">
            <w:pPr>
              <w:pStyle w:val="TablebodyleftTables"/>
            </w:pPr>
            <w:r>
              <w:t>$ million</w:t>
            </w:r>
          </w:p>
        </w:tc>
        <w:tc>
          <w:tcPr>
            <w:tcW w:w="992" w:type="dxa"/>
          </w:tcPr>
          <w:p w14:paraId="1DE8DDDF" w14:textId="77777777" w:rsidR="00B02873" w:rsidRDefault="00B02873" w:rsidP="00C07FB5">
            <w:pPr>
              <w:pStyle w:val="TablebodyleftTables"/>
              <w:jc w:val="right"/>
            </w:pPr>
            <w:r>
              <w:t>170.5</w:t>
            </w:r>
          </w:p>
        </w:tc>
        <w:tc>
          <w:tcPr>
            <w:tcW w:w="992" w:type="dxa"/>
          </w:tcPr>
          <w:p w14:paraId="099476C7" w14:textId="77777777" w:rsidR="00B02873" w:rsidRDefault="00B02873" w:rsidP="00C07FB5">
            <w:pPr>
              <w:pStyle w:val="TablebodyleftTables"/>
              <w:jc w:val="right"/>
            </w:pPr>
            <w:r>
              <w:t>207.6</w:t>
            </w:r>
          </w:p>
        </w:tc>
        <w:tc>
          <w:tcPr>
            <w:tcW w:w="1559" w:type="dxa"/>
          </w:tcPr>
          <w:p w14:paraId="1F9D5DB4" w14:textId="77777777" w:rsidR="00B02873" w:rsidRDefault="00B02873" w:rsidP="00C07FB5">
            <w:pPr>
              <w:pStyle w:val="TablebodyleftTables"/>
              <w:jc w:val="right"/>
            </w:pPr>
            <w:r>
              <w:t>(18%)</w:t>
            </w:r>
          </w:p>
        </w:tc>
        <w:tc>
          <w:tcPr>
            <w:tcW w:w="1843" w:type="dxa"/>
          </w:tcPr>
          <w:p w14:paraId="732078B6" w14:textId="53DFEB1F" w:rsidR="00B02873" w:rsidRDefault="00F306F4" w:rsidP="00F306F4">
            <w:pPr>
              <w:pStyle w:val="TablebodyleftTables"/>
            </w:pPr>
            <w:r>
              <w:t>Performance target not achieved – exceeds 5 per cent variance.</w:t>
            </w:r>
          </w:p>
        </w:tc>
      </w:tr>
    </w:tbl>
    <w:p w14:paraId="41664672" w14:textId="31E6FC32" w:rsidR="00F306F4" w:rsidRPr="00F306F4" w:rsidRDefault="00F306F4">
      <w:pPr>
        <w:rPr>
          <w:i/>
          <w:iCs/>
        </w:rPr>
      </w:pPr>
      <w:r w:rsidRPr="00F306F4">
        <w:rPr>
          <w:i/>
          <w:iCs/>
        </w:rPr>
        <w:t>The lower than budgeted output cost is primarily driven by less than anticipated expenditure associated with less revenue collected from the Werribee Mansion; and the timing of payments from the Parks and Reserves Trust Account.</w:t>
      </w:r>
    </w:p>
    <w:p w14:paraId="6B1BD276" w14:textId="176335D3" w:rsidR="00B02873" w:rsidRDefault="00B02873" w:rsidP="00F306F4">
      <w:pPr>
        <w:pStyle w:val="Heading2"/>
      </w:pPr>
      <w:bookmarkStart w:id="15" w:name="_Toc117447356"/>
      <w:r>
        <w:t>Safe and sustainable water resources</w:t>
      </w:r>
      <w:bookmarkEnd w:id="15"/>
    </w:p>
    <w:p w14:paraId="5414AB67" w14:textId="3DEAD57E" w:rsidR="00F306F4" w:rsidRDefault="004E1BC8" w:rsidP="008316E9">
      <w:pPr>
        <w:pStyle w:val="Number1Lists"/>
        <w:numPr>
          <w:ilvl w:val="0"/>
          <w:numId w:val="6"/>
        </w:numPr>
      </w:pPr>
      <w:r>
        <w:t>Clean water and sanitation</w:t>
      </w:r>
    </w:p>
    <w:p w14:paraId="750D26BA" w14:textId="0F335EAC" w:rsidR="004E1BC8" w:rsidRDefault="004E1BC8" w:rsidP="001E0F51">
      <w:pPr>
        <w:pStyle w:val="Number1Lists"/>
      </w:pPr>
      <w:r>
        <w:t>Sustainable cities and communities</w:t>
      </w:r>
    </w:p>
    <w:p w14:paraId="40C39D90" w14:textId="35FCED4F" w:rsidR="004E1BC8" w:rsidRDefault="004E1BC8" w:rsidP="001E0F51">
      <w:pPr>
        <w:pStyle w:val="Number1Lists"/>
      </w:pPr>
      <w:r>
        <w:t>Climate action</w:t>
      </w:r>
    </w:p>
    <w:p w14:paraId="4328BB74" w14:textId="2C2FA15A" w:rsidR="004E1BC8" w:rsidRPr="00F306F4" w:rsidRDefault="004E1BC8" w:rsidP="001E0F51">
      <w:pPr>
        <w:pStyle w:val="Number1Lists"/>
      </w:pPr>
      <w:r>
        <w:t>Life below water</w:t>
      </w:r>
    </w:p>
    <w:p w14:paraId="2565F6F9" w14:textId="7845588E" w:rsidR="00B02873" w:rsidRDefault="00B02873" w:rsidP="004E1BC8">
      <w:pPr>
        <w:pStyle w:val="Heading3"/>
      </w:pPr>
      <w:r>
        <w:lastRenderedPageBreak/>
        <w:t xml:space="preserve">Progress towards achieving this objective </w:t>
      </w:r>
    </w:p>
    <w:p w14:paraId="53C07CE8" w14:textId="77777777" w:rsidR="00B02873" w:rsidRDefault="00B02873" w:rsidP="004E1BC8">
      <w:pPr>
        <w:pStyle w:val="Heading4"/>
      </w:pPr>
      <w:r>
        <w:t>Context</w:t>
      </w:r>
    </w:p>
    <w:p w14:paraId="1A84B0F1" w14:textId="0D2F5088" w:rsidR="00B02873" w:rsidRDefault="00B02873" w:rsidP="00FE198A">
      <w:r>
        <w:rPr>
          <w:spacing w:val="-3"/>
        </w:rPr>
        <w:t>DELWP works to ensure that Victoria has safe, sustainable and productive water resources to meet future urban, rural, environmental and cultural needs. The department partners with water corporations, catchment management authorities, government agencies, industry, Traditional Owners and the community to balance the economic, environmental and social values of water. This helps to deliver healthy waterways and aquifers, secure water supplies across Victoria and ensure sustainable irrigation and agriculture, along with greener and more liveable cities and towns.</w:t>
      </w:r>
      <w:r w:rsidR="00012C04">
        <w:rPr>
          <w:spacing w:val="-3"/>
        </w:rPr>
        <w:t xml:space="preserve"> </w:t>
      </w:r>
    </w:p>
    <w:p w14:paraId="6F84CD2A" w14:textId="57160723" w:rsidR="00B02873" w:rsidRDefault="00B02873" w:rsidP="00FE198A">
      <w:r>
        <w:t xml:space="preserve">As part of the fifth tranche of the Environmental Contribution, the Victorian Government is investing $693.9 million over a four-year period to deliver </w:t>
      </w:r>
      <w:r w:rsidRPr="004E1BC8">
        <w:rPr>
          <w:rStyle w:val="LightItalic"/>
          <w:rFonts w:asciiTheme="minorHAnsi" w:hAnsiTheme="minorHAnsi" w:cstheme="minorHAnsi"/>
          <w:spacing w:val="-3"/>
        </w:rPr>
        <w:t>Water for Victoria</w:t>
      </w:r>
      <w:r>
        <w:t>, our strategic plan for managing our water resources and to support a healthy environment, a prosperous economy and thriving communities.</w:t>
      </w:r>
      <w:r w:rsidR="00012C04">
        <w:t xml:space="preserve"> </w:t>
      </w:r>
    </w:p>
    <w:p w14:paraId="54BFA643" w14:textId="77777777" w:rsidR="00B02873" w:rsidRDefault="00B02873" w:rsidP="00FE198A">
      <w:r>
        <w:t xml:space="preserve">As we deal with challenges of climate change and population growth, DELWP is taking action to ensure our water system is efficient and innovative so that we can reduce the detrimental impacts on our rivers and the environment. The Water for Victoria plan gives prominence to the cultural importance of water for Traditional Owners and Aboriginal people and the recreational values of water. Keeping water affordable for everyone is vital. Our challenge, and our opportunity, is to do more with less water and to reduce our reliance on traditional water sources. </w:t>
      </w:r>
    </w:p>
    <w:p w14:paraId="575A48A8" w14:textId="77777777" w:rsidR="00B02873" w:rsidRDefault="00B02873" w:rsidP="00FE198A">
      <w:r w:rsidRPr="004E1BC8">
        <w:rPr>
          <w:rStyle w:val="LightItalic"/>
          <w:rFonts w:asciiTheme="minorHAnsi" w:hAnsiTheme="minorHAnsi" w:cstheme="minorHAnsi"/>
          <w:spacing w:val="-3"/>
        </w:rPr>
        <w:t>Water for Victoria</w:t>
      </w:r>
      <w:r>
        <w:t xml:space="preserve"> outlines the actions we are taking to create a modern and efficient, future-focused and affordable water system.</w:t>
      </w:r>
    </w:p>
    <w:tbl>
      <w:tblPr>
        <w:tblStyle w:val="TableGrid"/>
        <w:tblW w:w="0" w:type="auto"/>
        <w:tblLayout w:type="fixed"/>
        <w:tblLook w:val="0020" w:firstRow="1" w:lastRow="0" w:firstColumn="0" w:lastColumn="0" w:noHBand="0" w:noVBand="0"/>
      </w:tblPr>
      <w:tblGrid>
        <w:gridCol w:w="2339"/>
        <w:gridCol w:w="7289"/>
      </w:tblGrid>
      <w:tr w:rsidR="00B02873" w:rsidRPr="00B02873" w14:paraId="637C2354" w14:textId="77777777" w:rsidTr="004E1BC8">
        <w:trPr>
          <w:cnfStyle w:val="100000000000" w:firstRow="1" w:lastRow="0" w:firstColumn="0" w:lastColumn="0" w:oddVBand="0" w:evenVBand="0" w:oddHBand="0" w:evenHBand="0" w:firstRowFirstColumn="0" w:firstRowLastColumn="0" w:lastRowFirstColumn="0" w:lastRowLastColumn="0"/>
          <w:tblHeader/>
        </w:trPr>
        <w:tc>
          <w:tcPr>
            <w:tcW w:w="2339" w:type="dxa"/>
          </w:tcPr>
          <w:p w14:paraId="3DA23996" w14:textId="77777777" w:rsidR="00B02873" w:rsidRDefault="00B02873" w:rsidP="004E1BC8">
            <w:pPr>
              <w:pStyle w:val="TableheadingleftTables"/>
            </w:pPr>
            <w:r>
              <w:t xml:space="preserve">Key initiative </w:t>
            </w:r>
          </w:p>
        </w:tc>
        <w:tc>
          <w:tcPr>
            <w:tcW w:w="7289" w:type="dxa"/>
          </w:tcPr>
          <w:p w14:paraId="13880031" w14:textId="77777777" w:rsidR="00B02873" w:rsidRDefault="00B02873" w:rsidP="004E1BC8">
            <w:pPr>
              <w:pStyle w:val="TableheadingleftTables"/>
            </w:pPr>
            <w:r>
              <w:t xml:space="preserve">2021-22 progress summary </w:t>
            </w:r>
          </w:p>
        </w:tc>
      </w:tr>
      <w:tr w:rsidR="00B02873" w:rsidRPr="00B02873" w14:paraId="7101C3C2" w14:textId="77777777" w:rsidTr="004E1BC8">
        <w:tc>
          <w:tcPr>
            <w:tcW w:w="2339" w:type="dxa"/>
          </w:tcPr>
          <w:p w14:paraId="2C642AF4" w14:textId="77777777" w:rsidR="00B02873" w:rsidRDefault="00B02873" w:rsidP="00B415A9">
            <w:pPr>
              <w:pStyle w:val="TablebodyleftTables"/>
            </w:pPr>
            <w:r>
              <w:t xml:space="preserve">Monitoring the water entitlement framework </w:t>
            </w:r>
          </w:p>
        </w:tc>
        <w:tc>
          <w:tcPr>
            <w:tcW w:w="7289" w:type="dxa"/>
          </w:tcPr>
          <w:p w14:paraId="19D09987" w14:textId="77777777" w:rsidR="00B02873" w:rsidRDefault="00B02873" w:rsidP="00B415A9">
            <w:pPr>
              <w:pStyle w:val="TablebodyleftTables"/>
            </w:pPr>
            <w:r>
              <w:t>New bulk metering guidelines were developed in November 2021. Storage manager and resource manager appointments were streamlined to simplify bulk water management arrangements, clarify roles and responsibilities, and reduce red tape.</w:t>
            </w:r>
          </w:p>
          <w:p w14:paraId="729E7D12" w14:textId="1EB3F65A" w:rsidR="00B02873" w:rsidRDefault="00B02873" w:rsidP="00B415A9">
            <w:pPr>
              <w:pStyle w:val="TablebodyleftTables"/>
            </w:pPr>
            <w:r>
              <w:t>DELWP worked with Traditional Owners to explore immediate and long-term options to support the issuing of water entitlements to Traditional Owners.</w:t>
            </w:r>
          </w:p>
          <w:p w14:paraId="4531221C" w14:textId="77777777" w:rsidR="00B02873" w:rsidRDefault="00B02873" w:rsidP="00B415A9">
            <w:pPr>
              <w:pStyle w:val="TablebodyleftTables"/>
            </w:pPr>
            <w:r>
              <w:t>An approach to guide allocation of unallocated water was developed as part of the Central and Gippsland Region Sustainable Water Strategy that includes an explicit requirement that Traditional Owner water returns are considered in the process.</w:t>
            </w:r>
          </w:p>
          <w:p w14:paraId="08F66EB5" w14:textId="56EFD5A3" w:rsidR="00B02873" w:rsidRDefault="00B02873" w:rsidP="00B415A9">
            <w:pPr>
              <w:pStyle w:val="TablebodyleftTables"/>
            </w:pPr>
            <w:r>
              <w:t>The operation of the water licencing framework was administered and improved to support water users and environmental values. Administrative improvements in the assessment and management of licences have been ongoing during this period. This supports greater certainty for users in how water is managed, and decisions are made in relation to their entitlements to water. The Statewide Licensing Committee was re-established to provide a community of best practice and develop consistency across the state.</w:t>
            </w:r>
          </w:p>
        </w:tc>
      </w:tr>
      <w:tr w:rsidR="00B02873" w:rsidRPr="00B02873" w14:paraId="24408F02" w14:textId="77777777" w:rsidTr="004E1BC8">
        <w:tc>
          <w:tcPr>
            <w:tcW w:w="2339" w:type="dxa"/>
          </w:tcPr>
          <w:p w14:paraId="6BBFD78B" w14:textId="77777777" w:rsidR="00B02873" w:rsidRDefault="00B02873" w:rsidP="00B415A9">
            <w:pPr>
              <w:pStyle w:val="TablebodyleftTables"/>
            </w:pPr>
            <w:r>
              <w:lastRenderedPageBreak/>
              <w:t xml:space="preserve">Ensuring water is shared equitably and transparently </w:t>
            </w:r>
          </w:p>
        </w:tc>
        <w:tc>
          <w:tcPr>
            <w:tcW w:w="7289" w:type="dxa"/>
          </w:tcPr>
          <w:p w14:paraId="39BCE941" w14:textId="77777777" w:rsidR="00B02873" w:rsidRDefault="00B02873" w:rsidP="00B415A9">
            <w:pPr>
              <w:pStyle w:val="TablebodyleftTables"/>
            </w:pPr>
            <w:r>
              <w:t xml:space="preserve">The Goulburn to Murray trade review was completed resulting in the Minister for Water announcing new permanent trade and operating rules in June 2022 to align trade opportunity to what can sustainably be delivered in the lower Goulburn River. </w:t>
            </w:r>
          </w:p>
          <w:p w14:paraId="1F4D42E6" w14:textId="77777777" w:rsidR="00B02873" w:rsidRDefault="00B02873" w:rsidP="00B415A9">
            <w:pPr>
              <w:pStyle w:val="TablebodyleftTables"/>
            </w:pPr>
            <w:r>
              <w:t xml:space="preserve">Legislative changes to the </w:t>
            </w:r>
            <w:r w:rsidRPr="004E1BC8">
              <w:rPr>
                <w:rStyle w:val="LightItalic"/>
                <w:rFonts w:asciiTheme="minorHAnsi" w:hAnsiTheme="minorHAnsi" w:cstheme="minorHAnsi"/>
              </w:rPr>
              <w:t>Water Act 1989</w:t>
            </w:r>
            <w:r>
              <w:t xml:space="preserve"> to better manage delivery shortfalls and to support entitlement holders to manage their own delivery risks were passed by the Legislative Council on 26 October 2021.</w:t>
            </w:r>
          </w:p>
          <w:p w14:paraId="720C34B0" w14:textId="77777777" w:rsidR="00B02873" w:rsidRDefault="00B02873" w:rsidP="00B415A9">
            <w:pPr>
              <w:pStyle w:val="TablebodyleftTables"/>
            </w:pPr>
            <w:r>
              <w:t xml:space="preserve">The names of companies who own 2 per cent or more of water were published in January 2022. In August 2022, together with Southern Rural Water, work commenced on the development of a market platform trial in the Macalister Irrigation District. The trial will support a greater understanding of the tools and resources required to improve water market transparency for water users in the southern Victorian water market. </w:t>
            </w:r>
          </w:p>
          <w:p w14:paraId="594E3A8C" w14:textId="205AAFC6" w:rsidR="00B02873" w:rsidRDefault="00B02873" w:rsidP="00B415A9">
            <w:pPr>
              <w:pStyle w:val="TablebodyleftTables"/>
            </w:pPr>
            <w:r>
              <w:t>DELWP worked with the Commonwealth and Basin Jurisdictions to support the development of a Water Market Reform Roadmap to deliver on the recommendations from the ACCC inquiry into the Murray-Darling Basin water markets.</w:t>
            </w:r>
          </w:p>
          <w:p w14:paraId="2928FB61" w14:textId="52160403" w:rsidR="00B02873" w:rsidRDefault="00B02873" w:rsidP="00B415A9">
            <w:pPr>
              <w:pStyle w:val="TablebodyleftTables"/>
            </w:pPr>
            <w:r>
              <w:t>Completion of the annual broker audit confirmed brokers who met their obligations to provide transparency of allocation trades and accurate price disclosure to all parties. The security of sensitive information and brokers’ knowledge of their responsibilities to their clients was also evaluated. The 2020-21 Victorian Water Trading Report was published in June 2022.</w:t>
            </w:r>
          </w:p>
        </w:tc>
      </w:tr>
      <w:tr w:rsidR="00B02873" w:rsidRPr="00B02873" w14:paraId="1DA12A5C" w14:textId="77777777" w:rsidTr="004E1BC8">
        <w:tc>
          <w:tcPr>
            <w:tcW w:w="2339" w:type="dxa"/>
          </w:tcPr>
          <w:p w14:paraId="5BBB003D" w14:textId="77777777" w:rsidR="00B02873" w:rsidRDefault="00B02873" w:rsidP="00B415A9">
            <w:pPr>
              <w:pStyle w:val="TablebodyleftTables"/>
            </w:pPr>
            <w:r>
              <w:t xml:space="preserve">Supporting water compliance activities </w:t>
            </w:r>
          </w:p>
        </w:tc>
        <w:tc>
          <w:tcPr>
            <w:tcW w:w="7289" w:type="dxa"/>
          </w:tcPr>
          <w:p w14:paraId="30050D10" w14:textId="77777777" w:rsidR="00B02873" w:rsidRDefault="00B02873" w:rsidP="00B415A9">
            <w:pPr>
              <w:pStyle w:val="TablebodyleftTables"/>
            </w:pPr>
            <w:r>
              <w:t xml:space="preserve">Rural water corporations included compliance and enforcement statistics in their 2020-21 annual reports for the first time in accordance with updates to Ministerial Reporting Directions developed by the department. </w:t>
            </w:r>
          </w:p>
          <w:p w14:paraId="4CD2DDAD" w14:textId="77777777" w:rsidR="00B02873" w:rsidRDefault="00B02873" w:rsidP="00B415A9">
            <w:pPr>
              <w:pStyle w:val="TablebodyleftTables"/>
            </w:pPr>
            <w:r>
              <w:t>In January 2022, Goulburn-Murray Water and Lower Murray introduced Penalty Infringement Notices (Fines) to deter small volume unauthorised take, following extensive implementation work led by the department. During this irrigation season DELWP coordinated targeted communications about fines to customers from both water corporations which has seen a reduction in small volume water theft.</w:t>
            </w:r>
          </w:p>
          <w:p w14:paraId="508F1EE5" w14:textId="77777777" w:rsidR="00B02873" w:rsidRDefault="00B02873" w:rsidP="00B415A9">
            <w:pPr>
              <w:pStyle w:val="TablebodyleftTables"/>
            </w:pPr>
            <w:r>
              <w:t>In June 2022, DELWP finalised a cost benefit framework to support telemetry investment decision-making by rural water corporations. This work was initiated by the department in January 2021 to reinforce Victoria’s ability to benchmark metering requirements against compliance risk over time.</w:t>
            </w:r>
          </w:p>
        </w:tc>
      </w:tr>
      <w:tr w:rsidR="00B02873" w:rsidRPr="00B02873" w14:paraId="03FAB54C" w14:textId="77777777" w:rsidTr="004E1BC8">
        <w:tc>
          <w:tcPr>
            <w:tcW w:w="2339" w:type="dxa"/>
          </w:tcPr>
          <w:p w14:paraId="4AE2C5DE" w14:textId="77777777" w:rsidR="00B02873" w:rsidRDefault="00B02873" w:rsidP="00B415A9">
            <w:pPr>
              <w:pStyle w:val="TablebodyleftTables"/>
            </w:pPr>
            <w:r>
              <w:t>Victorian Water Register Transform Project</w:t>
            </w:r>
          </w:p>
        </w:tc>
        <w:tc>
          <w:tcPr>
            <w:tcW w:w="7289" w:type="dxa"/>
          </w:tcPr>
          <w:p w14:paraId="78CDA332" w14:textId="77777777" w:rsidR="00B02873" w:rsidRDefault="00B02873" w:rsidP="00B415A9">
            <w:pPr>
              <w:pStyle w:val="TablebodyleftTables"/>
            </w:pPr>
            <w:r>
              <w:t>DELWP progressed work to transition the Victorian Water Register to a new technology platform. The contract to build and operate the new Victorian Water Register was awarded in April 2022. A series of targeted engagements with Victorian Water Register partner organisations and stakeholders was undertaken. A benefits realisation map was developed as part of the alignment to the 10-Year Strategy and business case. Transformation activities including engagement, development and delivery will continue until mid-2024.</w:t>
            </w:r>
          </w:p>
        </w:tc>
      </w:tr>
      <w:tr w:rsidR="00B02873" w:rsidRPr="00B02873" w14:paraId="126650DD" w14:textId="77777777" w:rsidTr="004E1BC8">
        <w:tc>
          <w:tcPr>
            <w:tcW w:w="2339" w:type="dxa"/>
          </w:tcPr>
          <w:p w14:paraId="4409C919" w14:textId="77777777" w:rsidR="00B02873" w:rsidRDefault="00B02873" w:rsidP="00B415A9">
            <w:pPr>
              <w:pStyle w:val="TablebodyleftTables"/>
            </w:pPr>
            <w:r>
              <w:lastRenderedPageBreak/>
              <w:t xml:space="preserve">Delivery of essential water availability information </w:t>
            </w:r>
          </w:p>
        </w:tc>
        <w:tc>
          <w:tcPr>
            <w:tcW w:w="7289" w:type="dxa"/>
          </w:tcPr>
          <w:p w14:paraId="4674AF87" w14:textId="533FCC76" w:rsidR="00B02873" w:rsidRDefault="00B02873" w:rsidP="00B415A9">
            <w:pPr>
              <w:pStyle w:val="TablebodyleftTables"/>
            </w:pPr>
            <w:r>
              <w:t xml:space="preserve">During 2021-22, water monitoring data was collected at 942 surface water gauges and 1,504 key groundwater bores. All data collected was published to </w:t>
            </w:r>
            <w:hyperlink r:id="rId30" w:history="1">
              <w:r w:rsidR="001A4A1A" w:rsidRPr="00482562">
                <w:rPr>
                  <w:rStyle w:val="Hyperlink"/>
                </w:rPr>
                <w:t>www.data.water.vic.gov.au</w:t>
              </w:r>
            </w:hyperlink>
          </w:p>
          <w:p w14:paraId="057EBA05" w14:textId="77777777" w:rsidR="00B02873" w:rsidRDefault="00B02873" w:rsidP="00B415A9">
            <w:pPr>
              <w:pStyle w:val="TablebodyleftTables"/>
            </w:pPr>
            <w:r>
              <w:t xml:space="preserve">Engagement with the water sector took place throughout the year to support the application of the Guidelines for Assessing the Impact of Climate Change on Water Availability in Victoria in the next iteration of Urban Water Strategies and the Central and Gippsland Region Sustainable Water Strategy. </w:t>
            </w:r>
          </w:p>
          <w:p w14:paraId="69B2FB79" w14:textId="77777777" w:rsidR="00B02873" w:rsidRDefault="00B02873" w:rsidP="00B415A9">
            <w:pPr>
              <w:pStyle w:val="TablebodyleftTables"/>
            </w:pPr>
            <w:r>
              <w:t xml:space="preserve">The 2020-21 Victorian Water Accounts (VWA) were published in June 2022. The annual VWA are a transparent resource that communicates annual water availability and use across the state. </w:t>
            </w:r>
          </w:p>
        </w:tc>
      </w:tr>
      <w:tr w:rsidR="00B02873" w:rsidRPr="00B02873" w14:paraId="652E98AA" w14:textId="77777777" w:rsidTr="004E1BC8">
        <w:tc>
          <w:tcPr>
            <w:tcW w:w="2339" w:type="dxa"/>
          </w:tcPr>
          <w:p w14:paraId="7A38E415" w14:textId="77777777" w:rsidR="00B02873" w:rsidRDefault="00B02873" w:rsidP="00B415A9">
            <w:pPr>
              <w:pStyle w:val="TablebodyleftTables"/>
            </w:pPr>
            <w:r>
              <w:t xml:space="preserve">Integrated water package of works </w:t>
            </w:r>
          </w:p>
        </w:tc>
        <w:tc>
          <w:tcPr>
            <w:tcW w:w="7289" w:type="dxa"/>
          </w:tcPr>
          <w:p w14:paraId="7392E380" w14:textId="31A4D310" w:rsidR="00B02873" w:rsidRDefault="00B02873" w:rsidP="00B415A9">
            <w:pPr>
              <w:pStyle w:val="TablebodyleftTables"/>
            </w:pPr>
            <w:r>
              <w:t xml:space="preserve">An integrated water package of works completed during 2021-22 include the installation of educational wetland boardwalks in Pakenham, a new stormwater irrigation system for greenspace in Sunshine North, the installation of recycled permeable pavers to reduce flooding in South Yarra and ecological restoration of Gunbower Creek. Construction is underway for a stormwater harvesting system in Narre Warren, a recycled water irrigation system for a community farm in Whittlesea and the naturalisation of a section of Moonee Ponds Creek. </w:t>
            </w:r>
          </w:p>
        </w:tc>
      </w:tr>
      <w:tr w:rsidR="00B02873" w:rsidRPr="00B02873" w14:paraId="754EFEB9" w14:textId="77777777" w:rsidTr="004E1BC8">
        <w:tc>
          <w:tcPr>
            <w:tcW w:w="2339" w:type="dxa"/>
          </w:tcPr>
          <w:p w14:paraId="47A392A4" w14:textId="77777777" w:rsidR="00B02873" w:rsidRDefault="00B02873" w:rsidP="00B415A9">
            <w:pPr>
              <w:pStyle w:val="TablebodyleftTables"/>
            </w:pPr>
            <w:r>
              <w:t>Integrated Water Management</w:t>
            </w:r>
          </w:p>
        </w:tc>
        <w:tc>
          <w:tcPr>
            <w:tcW w:w="7289" w:type="dxa"/>
          </w:tcPr>
          <w:p w14:paraId="693D7218" w14:textId="77777777" w:rsidR="00B02873" w:rsidRDefault="00B02873" w:rsidP="00B415A9">
            <w:pPr>
              <w:pStyle w:val="TablebodyleftTables"/>
            </w:pPr>
            <w:r>
              <w:t>The first Integrated Water Management progress report was released in April 2022, highlighting the tangible benefits to the community of our collaborative approach to managing the urban water cycle. Works included drought-proofing 15 sporting ovals, three golf courses, 21 parks and open public spaces, nine schools and colleges, conservation parklands, Cranbourne Botanic Gardens and Werribee Open Range Zoo.</w:t>
            </w:r>
          </w:p>
        </w:tc>
      </w:tr>
      <w:tr w:rsidR="00B02873" w:rsidRPr="00B02873" w14:paraId="0CE33C70" w14:textId="77777777" w:rsidTr="004E1BC8">
        <w:tc>
          <w:tcPr>
            <w:tcW w:w="2339" w:type="dxa"/>
          </w:tcPr>
          <w:p w14:paraId="728EF0A5" w14:textId="77777777" w:rsidR="00B02873" w:rsidRDefault="00B02873" w:rsidP="00B415A9">
            <w:pPr>
              <w:pStyle w:val="TablebodyleftTables"/>
            </w:pPr>
            <w:r>
              <w:t xml:space="preserve">Improving the amenity and environment of Melbourne’s iconic waterways </w:t>
            </w:r>
          </w:p>
        </w:tc>
        <w:tc>
          <w:tcPr>
            <w:tcW w:w="7289" w:type="dxa"/>
          </w:tcPr>
          <w:p w14:paraId="70B2EA71" w14:textId="7B795EBD" w:rsidR="00B02873" w:rsidRDefault="00B02873" w:rsidP="00B415A9">
            <w:pPr>
              <w:pStyle w:val="TablebodyleftTables"/>
            </w:pPr>
            <w:r>
              <w:t xml:space="preserve">The </w:t>
            </w:r>
            <w:r w:rsidRPr="004E1BC8">
              <w:rPr>
                <w:rStyle w:val="LightItalic"/>
                <w:rFonts w:asciiTheme="minorHAnsi" w:hAnsiTheme="minorHAnsi" w:cstheme="minorHAnsi"/>
              </w:rPr>
              <w:t>Burndap Birrarung burndap umarkoo</w:t>
            </w:r>
            <w:r>
              <w:t xml:space="preserve"> (Yarra Strategic Plan), the Waterways of the West and the Rivers of the Barwon (Barre Warre Yulluk) Action Plans were published between November 2021 and February 2022.</w:t>
            </w:r>
            <w:r w:rsidR="00012C04">
              <w:t xml:space="preserve"> </w:t>
            </w:r>
            <w:r>
              <w:t>These plans will support the protection of the health and amenity of these waterways and the landscapes through which they flow as living, integrated entities.</w:t>
            </w:r>
          </w:p>
          <w:p w14:paraId="1AD8DEAC" w14:textId="77777777" w:rsidR="00B02873" w:rsidRDefault="00B02873" w:rsidP="00B415A9">
            <w:pPr>
              <w:pStyle w:val="TablebodyleftTables"/>
            </w:pPr>
            <w:r>
              <w:t>In June 2022, the Iconic Urban Waterways grants program awarded $1.1 million for 11 projects that will support delivery of the Waterways of the West and Rivers of the Barwon Action Plans.</w:t>
            </w:r>
          </w:p>
        </w:tc>
      </w:tr>
      <w:tr w:rsidR="00B02873" w:rsidRPr="00B02873" w14:paraId="3E188432" w14:textId="77777777" w:rsidTr="004E1BC8">
        <w:tc>
          <w:tcPr>
            <w:tcW w:w="2339" w:type="dxa"/>
          </w:tcPr>
          <w:p w14:paraId="049240E6" w14:textId="77777777" w:rsidR="00B02873" w:rsidRDefault="00B02873" w:rsidP="00B415A9">
            <w:pPr>
              <w:pStyle w:val="TablebodyleftTables"/>
            </w:pPr>
            <w:r>
              <w:t>Waterways of the West and Rivers of the Barwon (Barre Warre Yulluk)</w:t>
            </w:r>
          </w:p>
        </w:tc>
        <w:tc>
          <w:tcPr>
            <w:tcW w:w="7289" w:type="dxa"/>
          </w:tcPr>
          <w:p w14:paraId="79D07179" w14:textId="77777777" w:rsidR="00B02873" w:rsidRDefault="00B02873" w:rsidP="00B415A9">
            <w:pPr>
              <w:pStyle w:val="TablebodyleftTables"/>
            </w:pPr>
            <w:r>
              <w:t>All short term, one-year actions for the Waterways of the West and Rivers of the Barwon (Barre Warre Yulluk) Action Plans have progressed, including:</w:t>
            </w:r>
          </w:p>
          <w:p w14:paraId="4C9E1875" w14:textId="77777777" w:rsidR="00B02873" w:rsidRDefault="00B02873" w:rsidP="004E1BC8">
            <w:pPr>
              <w:pStyle w:val="TableBulletleftTables"/>
            </w:pPr>
            <w:r>
              <w:t xml:space="preserve">establishing a pollution prevention taskforce for the waterways of the west; and </w:t>
            </w:r>
          </w:p>
          <w:p w14:paraId="681D10C0" w14:textId="77777777" w:rsidR="00B02873" w:rsidRDefault="00B02873" w:rsidP="004E1BC8">
            <w:pPr>
              <w:pStyle w:val="TableBulletleftTables"/>
            </w:pPr>
            <w:r>
              <w:t>developing a collaborative governance structure for stormwater drainage infrastructure planning, development and management with City of Greater Geelong, Barwon Water and Corangamite Catchment Management Authority.</w:t>
            </w:r>
          </w:p>
        </w:tc>
      </w:tr>
      <w:tr w:rsidR="00B02873" w:rsidRPr="00B02873" w14:paraId="18B7AFA6" w14:textId="77777777" w:rsidTr="004E1BC8">
        <w:tc>
          <w:tcPr>
            <w:tcW w:w="2339" w:type="dxa"/>
          </w:tcPr>
          <w:p w14:paraId="4D9441F6" w14:textId="77777777" w:rsidR="00B02873" w:rsidRDefault="00B02873" w:rsidP="00B415A9">
            <w:pPr>
              <w:pStyle w:val="TablebodyleftTables"/>
            </w:pPr>
            <w:r>
              <w:lastRenderedPageBreak/>
              <w:t>Yarra River Strategic Plan</w:t>
            </w:r>
          </w:p>
        </w:tc>
        <w:tc>
          <w:tcPr>
            <w:tcW w:w="7289" w:type="dxa"/>
          </w:tcPr>
          <w:p w14:paraId="4BB3655D" w14:textId="5B0C816F" w:rsidR="00B02873" w:rsidRDefault="00B02873" w:rsidP="00B415A9">
            <w:pPr>
              <w:pStyle w:val="TablebodyleftTables"/>
            </w:pPr>
            <w:r>
              <w:t xml:space="preserve">The outcomes from five priority projects funded by Iconic Urban Waterways to deliver on </w:t>
            </w:r>
            <w:r w:rsidRPr="004E1BC8">
              <w:rPr>
                <w:rStyle w:val="LightItalic"/>
                <w:rFonts w:asciiTheme="minorHAnsi" w:hAnsiTheme="minorHAnsi" w:cstheme="minorHAnsi"/>
              </w:rPr>
              <w:t>Burndap Birarrung burndap umarkoo</w:t>
            </w:r>
            <w:r>
              <w:t xml:space="preserve"> (Yarra Strategic Plan) included: </w:t>
            </w:r>
          </w:p>
          <w:p w14:paraId="3C448950" w14:textId="77777777" w:rsidR="00B02873" w:rsidRDefault="00B02873" w:rsidP="004E1BC8">
            <w:pPr>
              <w:pStyle w:val="TableBulletleftTables"/>
            </w:pPr>
            <w:r>
              <w:t>watering of the Annulus Billabong</w:t>
            </w:r>
          </w:p>
          <w:p w14:paraId="2C548473" w14:textId="77777777" w:rsidR="00B02873" w:rsidRDefault="00B02873" w:rsidP="004E1BC8">
            <w:pPr>
              <w:pStyle w:val="TableBulletleftTables"/>
            </w:pPr>
            <w:r>
              <w:t>quantifying polystyrene pollution in the Yarra</w:t>
            </w:r>
          </w:p>
          <w:p w14:paraId="416A0712" w14:textId="77777777" w:rsidR="00B02873" w:rsidRDefault="00B02873" w:rsidP="004E1BC8">
            <w:pPr>
              <w:pStyle w:val="TableBulletleftTables"/>
            </w:pPr>
            <w:r>
              <w:t>identifying options for reconnecting the Birrarung to its floodplain in the Yering area; and</w:t>
            </w:r>
          </w:p>
          <w:p w14:paraId="1B9E0878" w14:textId="77777777" w:rsidR="00B02873" w:rsidRDefault="00B02873" w:rsidP="004E1BC8">
            <w:pPr>
              <w:pStyle w:val="TableBulletleftTables"/>
            </w:pPr>
            <w:r>
              <w:t>and investigating designs for floating wetlands in the inner city.</w:t>
            </w:r>
          </w:p>
        </w:tc>
      </w:tr>
      <w:tr w:rsidR="00B02873" w:rsidRPr="00B02873" w14:paraId="476F9BAA" w14:textId="77777777" w:rsidTr="004E1BC8">
        <w:tc>
          <w:tcPr>
            <w:tcW w:w="2339" w:type="dxa"/>
          </w:tcPr>
          <w:p w14:paraId="59DA34CA" w14:textId="77777777" w:rsidR="00B02873" w:rsidRDefault="00B02873" w:rsidP="00B415A9">
            <w:pPr>
              <w:pStyle w:val="TablebodyleftTables"/>
            </w:pPr>
            <w:r>
              <w:t>Stormwater and recycled water as alternative sources of water</w:t>
            </w:r>
          </w:p>
        </w:tc>
        <w:tc>
          <w:tcPr>
            <w:tcW w:w="7289" w:type="dxa"/>
          </w:tcPr>
          <w:p w14:paraId="23282025" w14:textId="77777777" w:rsidR="00B02873" w:rsidRDefault="00B02873" w:rsidP="00B415A9">
            <w:pPr>
              <w:pStyle w:val="TablebodyleftTables"/>
            </w:pPr>
            <w:r>
              <w:t>DELWP worked with stakeholders to address barriers to using more recycled water and stormwater including:</w:t>
            </w:r>
          </w:p>
          <w:p w14:paraId="55660175" w14:textId="77777777" w:rsidR="00B02873" w:rsidRDefault="00B02873" w:rsidP="004E1BC8">
            <w:pPr>
              <w:pStyle w:val="TableBulletleftTables"/>
            </w:pPr>
            <w:r>
              <w:t>supporting the Environment Protection Authority (EPA) to update guidelines for recycled water for irrigation use and to increase the state of knowledge on emerging contaminants in recycled water through a field sampling project</w:t>
            </w:r>
          </w:p>
          <w:p w14:paraId="4552D36C" w14:textId="77777777" w:rsidR="00B02873" w:rsidRDefault="00B02873" w:rsidP="004E1BC8">
            <w:pPr>
              <w:pStyle w:val="TableBulletleftTables"/>
            </w:pPr>
            <w:r>
              <w:t xml:space="preserve">ongoing capacity building and training activities to support planning assessors and the development industry to comply with Victoria’s stormwater planning requirements set out in the Victoria Planning Provisions </w:t>
            </w:r>
          </w:p>
          <w:p w14:paraId="1585C1FC" w14:textId="77777777" w:rsidR="00B02873" w:rsidRDefault="00B02873" w:rsidP="004E1BC8">
            <w:pPr>
              <w:pStyle w:val="TableBulletleftTables"/>
            </w:pPr>
            <w:r>
              <w:t xml:space="preserve">developing an informative integrated water management video. </w:t>
            </w:r>
          </w:p>
        </w:tc>
      </w:tr>
      <w:tr w:rsidR="00B02873" w:rsidRPr="00B02873" w14:paraId="0ED0613D" w14:textId="77777777" w:rsidTr="004E1BC8">
        <w:tc>
          <w:tcPr>
            <w:tcW w:w="2339" w:type="dxa"/>
          </w:tcPr>
          <w:p w14:paraId="1FB3AEAA" w14:textId="77777777" w:rsidR="00B02873" w:rsidRDefault="00B02873" w:rsidP="00B415A9">
            <w:pPr>
              <w:pStyle w:val="TablebodyleftTables"/>
            </w:pPr>
            <w:r>
              <w:t>Engaging with Traditional Owner groups to identify perspectives on water use</w:t>
            </w:r>
          </w:p>
        </w:tc>
        <w:tc>
          <w:tcPr>
            <w:tcW w:w="7289" w:type="dxa"/>
          </w:tcPr>
          <w:p w14:paraId="4B40646F" w14:textId="77777777" w:rsidR="00B02873" w:rsidRDefault="00B02873" w:rsidP="00B415A9">
            <w:pPr>
              <w:pStyle w:val="TablebodyleftTables"/>
            </w:pPr>
            <w:r>
              <w:t xml:space="preserve">Engagement with Traditional Owners was undertaken on delivering </w:t>
            </w:r>
            <w:r w:rsidRPr="00F26335">
              <w:rPr>
                <w:rStyle w:val="LightItalic"/>
                <w:rFonts w:asciiTheme="minorHAnsi" w:hAnsiTheme="minorHAnsi" w:cstheme="minorHAnsi"/>
              </w:rPr>
              <w:t>Water for Victoria’s</w:t>
            </w:r>
            <w:r>
              <w:t xml:space="preserve"> policy commitment to Water is Life. This included four Traditional Owner regional workshops, two Water is Life statewide forums, and two statewide Traditional Owner forums. Traditional Owners have also been contributing to Water is Life through the development and submission of Nation Statements.</w:t>
            </w:r>
          </w:p>
          <w:p w14:paraId="0059C467" w14:textId="77777777" w:rsidR="00B02873" w:rsidRDefault="00B02873" w:rsidP="00B415A9">
            <w:pPr>
              <w:pStyle w:val="TablebodyleftTables"/>
            </w:pPr>
            <w:r>
              <w:t xml:space="preserve">In 2021-22, four Aboriginal Water Officer Network meetings were held. </w:t>
            </w:r>
          </w:p>
        </w:tc>
      </w:tr>
      <w:tr w:rsidR="00B02873" w:rsidRPr="00B02873" w14:paraId="7E740413" w14:textId="77777777" w:rsidTr="004E1BC8">
        <w:tc>
          <w:tcPr>
            <w:tcW w:w="2339" w:type="dxa"/>
          </w:tcPr>
          <w:p w14:paraId="6B2F0F04" w14:textId="77777777" w:rsidR="00B02873" w:rsidRDefault="00B02873" w:rsidP="00B415A9">
            <w:pPr>
              <w:pStyle w:val="TablebodyleftTables"/>
            </w:pPr>
            <w:r>
              <w:t xml:space="preserve">Aboriginal Water Program and the Water, Country and Community Funding Program </w:t>
            </w:r>
          </w:p>
        </w:tc>
        <w:tc>
          <w:tcPr>
            <w:tcW w:w="7289" w:type="dxa"/>
          </w:tcPr>
          <w:p w14:paraId="075FFAF5" w14:textId="77777777" w:rsidR="00B02873" w:rsidRDefault="00B02873" w:rsidP="00B415A9">
            <w:pPr>
              <w:pStyle w:val="TablebodyleftTables"/>
            </w:pPr>
            <w:r>
              <w:t>Stage 1 of the Water, Country and Community Program directed $18 million to Traditional Owner water-related priorities, including 13 self-determined water projects and further funding through to 2024 for 17 Aboriginal Water Officers.</w:t>
            </w:r>
          </w:p>
          <w:p w14:paraId="082B4147" w14:textId="77777777" w:rsidR="00B02873" w:rsidRDefault="00B02873" w:rsidP="00B415A9">
            <w:pPr>
              <w:pStyle w:val="TablebodyleftTables"/>
            </w:pPr>
            <w:r>
              <w:t xml:space="preserve">The stage 2 grant round, launched in December 2021, supports Traditional Owners and Aboriginal Victorians not previously funded with grants of up to $200,000 to lead projects, research, or employ an Aboriginal Water officer (or equivalent) between June 2022 and June 2024. </w:t>
            </w:r>
          </w:p>
        </w:tc>
      </w:tr>
      <w:tr w:rsidR="00B02873" w:rsidRPr="00B02873" w14:paraId="0C3E6AC8" w14:textId="77777777" w:rsidTr="004E1BC8">
        <w:tc>
          <w:tcPr>
            <w:tcW w:w="2339" w:type="dxa"/>
          </w:tcPr>
          <w:p w14:paraId="43CD5173" w14:textId="77777777" w:rsidR="00B02873" w:rsidRDefault="00B02873" w:rsidP="00B415A9">
            <w:pPr>
              <w:pStyle w:val="TablebodyleftTables"/>
            </w:pPr>
            <w:r>
              <w:t>Supporting Aboriginal people in accessing water for economic development and other self-determining purposes</w:t>
            </w:r>
          </w:p>
        </w:tc>
        <w:tc>
          <w:tcPr>
            <w:tcW w:w="7289" w:type="dxa"/>
          </w:tcPr>
          <w:p w14:paraId="36BA8F0E" w14:textId="77777777" w:rsidR="00B02873" w:rsidRDefault="00B02873" w:rsidP="00B415A9">
            <w:pPr>
              <w:pStyle w:val="TablebodyleftTables"/>
            </w:pPr>
            <w:r>
              <w:t>In February 2022, the Victorian Government announced 1.36 GL of water would be returned to Traditional Owners in Northern Victoria and in March 2022, Gunditj Mirring Traditional Owner Aboriginal Corporation received a 2.5 GL water return in the Palawarra (Fitzroy River) system.</w:t>
            </w:r>
          </w:p>
          <w:p w14:paraId="2E0EE39B" w14:textId="77777777" w:rsidR="00B02873" w:rsidRDefault="00B02873" w:rsidP="00B415A9">
            <w:pPr>
              <w:pStyle w:val="TablebodyleftTables"/>
            </w:pPr>
            <w:r>
              <w:t xml:space="preserve">The Water is Life: Traditional Owner Access to Water Roadmap: Draft was released for consultation in May 2022. Water is Life will contribute to self-determination by identifying opportunities for Victorian Traditional Owners and First Peoples to access, manage and own water for spiritual, cultural, environmental and social economic purposes. </w:t>
            </w:r>
          </w:p>
        </w:tc>
      </w:tr>
      <w:tr w:rsidR="00B02873" w:rsidRPr="00B02873" w14:paraId="157FC8DB" w14:textId="77777777" w:rsidTr="004E1BC8">
        <w:tc>
          <w:tcPr>
            <w:tcW w:w="2339" w:type="dxa"/>
          </w:tcPr>
          <w:p w14:paraId="51933A58" w14:textId="77777777" w:rsidR="00B02873" w:rsidRDefault="00B02873" w:rsidP="00B415A9">
            <w:pPr>
              <w:pStyle w:val="TablebodyleftTables"/>
            </w:pPr>
            <w:r>
              <w:lastRenderedPageBreak/>
              <w:t xml:space="preserve">Improving the health of Victoria’s regional waterways and catchments </w:t>
            </w:r>
          </w:p>
        </w:tc>
        <w:tc>
          <w:tcPr>
            <w:tcW w:w="7289" w:type="dxa"/>
          </w:tcPr>
          <w:p w14:paraId="18322AF2" w14:textId="356E6DC2" w:rsidR="00B02873" w:rsidRDefault="00B02873" w:rsidP="00B415A9">
            <w:pPr>
              <w:pStyle w:val="TablebodyleftTables"/>
            </w:pPr>
            <w:r>
              <w:t>Catchment management authorities (CMAs) delivered an integrated program of on ground works in priority waterways and catchments, critical water statutory functions and key partnership projects with regional partners including Parks Victoria and Landcare. Key outcomes in 2021-22 included:</w:t>
            </w:r>
          </w:p>
          <w:p w14:paraId="57A64BBF" w14:textId="77777777" w:rsidR="00B02873" w:rsidRDefault="00B02873" w:rsidP="004E1BC8">
            <w:pPr>
              <w:pStyle w:val="TableBulletleftTables"/>
            </w:pPr>
            <w:r>
              <w:t>processing over 5,000 waterway permits, licences and planning advice/approval actions for local councils and the general community</w:t>
            </w:r>
          </w:p>
          <w:p w14:paraId="21B4C351" w14:textId="77777777" w:rsidR="00B02873" w:rsidRDefault="00B02873" w:rsidP="004E1BC8">
            <w:pPr>
              <w:pStyle w:val="TableBulletleftTables"/>
            </w:pPr>
            <w:r>
              <w:t>partnership projects to improve the environmental condition at Victoria’s internationally recognised Ramsar wetland sites</w:t>
            </w:r>
          </w:p>
          <w:p w14:paraId="2EB5C79A" w14:textId="77777777" w:rsidR="00B02873" w:rsidRDefault="00B02873" w:rsidP="004E1BC8">
            <w:pPr>
              <w:pStyle w:val="TableBulletleftTables"/>
            </w:pPr>
            <w:r>
              <w:t>approximately 6,800 hectares of waterway vegetation improvement works across priority sites, including further works at existing Flagship Waterway sites</w:t>
            </w:r>
          </w:p>
          <w:p w14:paraId="0EB73C3C" w14:textId="77777777" w:rsidR="00B02873" w:rsidRDefault="00B02873" w:rsidP="004E1BC8">
            <w:pPr>
              <w:pStyle w:val="TableBulletleftTables"/>
            </w:pPr>
            <w:r>
              <w:t>delivery of popular citizen science programs including Waterwatch, EstuaryWatch and River Detectives</w:t>
            </w:r>
          </w:p>
          <w:p w14:paraId="268E82BF" w14:textId="77777777" w:rsidR="00B02873" w:rsidRDefault="00B02873" w:rsidP="004E1BC8">
            <w:pPr>
              <w:pStyle w:val="TableBulletleftTables"/>
            </w:pPr>
            <w:r>
              <w:t>construction of erosion control structures and fish habitat structures at key sites in priority waterways</w:t>
            </w:r>
          </w:p>
          <w:p w14:paraId="443A8EA9" w14:textId="77777777" w:rsidR="00B02873" w:rsidRDefault="00B02873" w:rsidP="004E1BC8">
            <w:pPr>
              <w:pStyle w:val="TableBulletleftTables"/>
            </w:pPr>
            <w:r>
              <w:t>continuation of major long-term monitoring programs in targeted rivers and wetlands.</w:t>
            </w:r>
          </w:p>
        </w:tc>
      </w:tr>
      <w:tr w:rsidR="00B02873" w:rsidRPr="00B02873" w14:paraId="42425E90" w14:textId="77777777" w:rsidTr="004E1BC8">
        <w:tc>
          <w:tcPr>
            <w:tcW w:w="2339" w:type="dxa"/>
          </w:tcPr>
          <w:p w14:paraId="62493CC4" w14:textId="77777777" w:rsidR="00B02873" w:rsidRDefault="00B02873" w:rsidP="00B415A9">
            <w:pPr>
              <w:pStyle w:val="TablebodyleftTables"/>
            </w:pPr>
            <w:r>
              <w:t xml:space="preserve">Restoring waterways and catchments </w:t>
            </w:r>
          </w:p>
        </w:tc>
        <w:tc>
          <w:tcPr>
            <w:tcW w:w="7289" w:type="dxa"/>
          </w:tcPr>
          <w:p w14:paraId="2EAD28C9" w14:textId="77777777" w:rsidR="00B02873" w:rsidRDefault="00B02873" w:rsidP="00B415A9">
            <w:pPr>
              <w:pStyle w:val="TablebodyleftTables"/>
            </w:pPr>
            <w:r>
              <w:t>During 2021-22, CMAs:</w:t>
            </w:r>
          </w:p>
          <w:p w14:paraId="44026AFB" w14:textId="77777777" w:rsidR="00B02873" w:rsidRDefault="00B02873" w:rsidP="004E1BC8">
            <w:pPr>
              <w:pStyle w:val="TableBulletleftTables"/>
            </w:pPr>
            <w:r>
              <w:t>commenced eight new regional Flagship Waterway projects across regional Victoria</w:t>
            </w:r>
          </w:p>
          <w:p w14:paraId="2BCEEF5C" w14:textId="77777777" w:rsidR="00B02873" w:rsidRDefault="00B02873" w:rsidP="004E1BC8">
            <w:pPr>
              <w:pStyle w:val="TableBulletleftTables"/>
            </w:pPr>
            <w:r>
              <w:t>completed additional works at priority Ramsar sites to address key threats</w:t>
            </w:r>
          </w:p>
          <w:p w14:paraId="3CC15D89" w14:textId="77777777" w:rsidR="00B02873" w:rsidRDefault="00B02873" w:rsidP="004E1BC8">
            <w:pPr>
              <w:pStyle w:val="TableBulletleftTables"/>
            </w:pPr>
            <w:r>
              <w:t>commenced the first year of the refreshed Gippsland Lakes Priority Plan, which will result in 30 projects delivered in collaboration with 12 delivery partners</w:t>
            </w:r>
          </w:p>
          <w:p w14:paraId="612E24B0" w14:textId="68756D43" w:rsidR="00B02873" w:rsidRDefault="00B02873" w:rsidP="004E1BC8">
            <w:pPr>
              <w:pStyle w:val="TableBulletleftTables"/>
            </w:pPr>
            <w:r>
              <w:t>released the first round of the Gippsland Lakes Community Grants program in May 2022.</w:t>
            </w:r>
          </w:p>
        </w:tc>
      </w:tr>
      <w:tr w:rsidR="00B02873" w:rsidRPr="00B02873" w14:paraId="76DD51D1" w14:textId="77777777" w:rsidTr="004E1BC8">
        <w:tc>
          <w:tcPr>
            <w:tcW w:w="2339" w:type="dxa"/>
          </w:tcPr>
          <w:p w14:paraId="07328000" w14:textId="77777777" w:rsidR="00B02873" w:rsidRDefault="00B02873" w:rsidP="00B415A9">
            <w:pPr>
              <w:pStyle w:val="TablebodyleftTables"/>
            </w:pPr>
            <w:r>
              <w:t>Water for the environment</w:t>
            </w:r>
          </w:p>
        </w:tc>
        <w:tc>
          <w:tcPr>
            <w:tcW w:w="7289" w:type="dxa"/>
          </w:tcPr>
          <w:p w14:paraId="376530A1" w14:textId="7BED8F9C" w:rsidR="00B02873" w:rsidRDefault="00B02873" w:rsidP="00B415A9">
            <w:pPr>
              <w:pStyle w:val="TablebodyleftTables"/>
            </w:pPr>
            <w:r>
              <w:t>More than 900 GL of water was delivered for the environment at 89 river reaches and 81 wetlands during 2021-22.</w:t>
            </w:r>
          </w:p>
          <w:p w14:paraId="400765E8" w14:textId="63AB3F91" w:rsidR="00B02873" w:rsidRDefault="00B02873" w:rsidP="00B415A9">
            <w:pPr>
              <w:pStyle w:val="TablebodyleftTables"/>
            </w:pPr>
            <w:r>
              <w:t>The Koondrook Weir Fishway was completed in December 2021, connecting 55 kilometres of Gunbower Creek and 530 kilometres of Murray River for native fish, including the iconic Murray cod and golden perch. The project was co-funded by the Victorian Government’s Building Works package and the Victorian Environmental Water Holder.</w:t>
            </w:r>
          </w:p>
        </w:tc>
      </w:tr>
      <w:tr w:rsidR="00B02873" w:rsidRPr="00B02873" w14:paraId="5C627D12" w14:textId="77777777" w:rsidTr="004E1BC8">
        <w:tc>
          <w:tcPr>
            <w:tcW w:w="2339" w:type="dxa"/>
          </w:tcPr>
          <w:p w14:paraId="2398A548" w14:textId="11A778AF" w:rsidR="00B02873" w:rsidRDefault="00B02873" w:rsidP="00B415A9">
            <w:pPr>
              <w:pStyle w:val="TablebodyleftTables"/>
            </w:pPr>
            <w:r>
              <w:t>Improving the health of rivers and wetlands in recreational and tourism sites</w:t>
            </w:r>
          </w:p>
        </w:tc>
        <w:tc>
          <w:tcPr>
            <w:tcW w:w="7289" w:type="dxa"/>
          </w:tcPr>
          <w:p w14:paraId="3209736E" w14:textId="77777777" w:rsidR="00B02873" w:rsidRDefault="00B02873" w:rsidP="00B415A9">
            <w:pPr>
              <w:pStyle w:val="TablebodyleftTables"/>
            </w:pPr>
            <w:r>
              <w:t xml:space="preserve">West Gippsland CMA improved the visitor experience at the Lower Thomson River and Latrobe Wetlands through on-ground works including weed and vegetation control to improve fishing, boating and rowing access at Flooding Creek. </w:t>
            </w:r>
          </w:p>
          <w:p w14:paraId="2F9E063F" w14:textId="77777777" w:rsidR="00B02873" w:rsidRDefault="00B02873" w:rsidP="00B415A9">
            <w:pPr>
              <w:pStyle w:val="TablebodyleftTables"/>
            </w:pPr>
            <w:r>
              <w:t>In February 2022, Glenelg Hopkins CMA commenced a project to improve recreational access and community connections to the Merri River. This will build on successful community-led weeding and planting initiatives along the Merri’s riverbanks.</w:t>
            </w:r>
          </w:p>
        </w:tc>
      </w:tr>
      <w:tr w:rsidR="00B02873" w:rsidRPr="00B02873" w14:paraId="64C579C6" w14:textId="77777777" w:rsidTr="004E1BC8">
        <w:tc>
          <w:tcPr>
            <w:tcW w:w="2339" w:type="dxa"/>
          </w:tcPr>
          <w:p w14:paraId="496501BE" w14:textId="77777777" w:rsidR="00B02873" w:rsidRDefault="00B02873" w:rsidP="00B415A9">
            <w:pPr>
              <w:pStyle w:val="TablebodyleftTables"/>
            </w:pPr>
            <w:r>
              <w:lastRenderedPageBreak/>
              <w:t>Integrated catchment management and stewardship</w:t>
            </w:r>
          </w:p>
        </w:tc>
        <w:tc>
          <w:tcPr>
            <w:tcW w:w="7289" w:type="dxa"/>
          </w:tcPr>
          <w:p w14:paraId="4300A692" w14:textId="77777777" w:rsidR="00B02873" w:rsidRDefault="00B02873" w:rsidP="00B415A9">
            <w:pPr>
              <w:pStyle w:val="TablebodyleftTables"/>
            </w:pPr>
            <w:r>
              <w:t xml:space="preserve">As at 30 June 2022, seven new Regional Catchment Strategies are being implemented across Victoria. </w:t>
            </w:r>
          </w:p>
          <w:p w14:paraId="0B0312FF" w14:textId="3BB28D18" w:rsidR="00B02873" w:rsidRDefault="00B02873" w:rsidP="00B415A9">
            <w:pPr>
              <w:pStyle w:val="TablebodyleftTables"/>
            </w:pPr>
            <w:r>
              <w:t>CMAs worked closely with community, sector partners and Traditional Owners to deliver 17 new catchment stewardship projects. These projects have delivered 9,500 hectares of on-ground change across Victoria since July 2020.</w:t>
            </w:r>
          </w:p>
          <w:p w14:paraId="0FFC7FF4" w14:textId="4BDBAF61" w:rsidR="00B02873" w:rsidRDefault="00B02873" w:rsidP="00B415A9">
            <w:pPr>
              <w:pStyle w:val="TablebodyleftTables"/>
            </w:pPr>
            <w:r>
              <w:t>CMAs built on strong foundations with partners and Landcare networks to complete stewardship plans and assessments for more than 700,000 hectares across Victoria since July 2020.</w:t>
            </w:r>
          </w:p>
        </w:tc>
      </w:tr>
      <w:tr w:rsidR="00B02873" w:rsidRPr="00B02873" w14:paraId="06EDCA88" w14:textId="77777777" w:rsidTr="004E1BC8">
        <w:tc>
          <w:tcPr>
            <w:tcW w:w="2339" w:type="dxa"/>
          </w:tcPr>
          <w:p w14:paraId="06DD7B5F" w14:textId="77777777" w:rsidR="00B02873" w:rsidRDefault="00B02873" w:rsidP="00B415A9">
            <w:pPr>
              <w:pStyle w:val="TablebodyleftTables"/>
            </w:pPr>
            <w:r>
              <w:t>Restoring waterways and catchments impacted by bushfires and improving resilience climate change</w:t>
            </w:r>
          </w:p>
        </w:tc>
        <w:tc>
          <w:tcPr>
            <w:tcW w:w="7289" w:type="dxa"/>
          </w:tcPr>
          <w:p w14:paraId="79D2A833" w14:textId="77777777" w:rsidR="00B02873" w:rsidRDefault="00B02873" w:rsidP="00B415A9">
            <w:pPr>
              <w:pStyle w:val="TablebodyleftTables"/>
            </w:pPr>
            <w:r>
              <w:t>In 2021-22, CMAs:</w:t>
            </w:r>
          </w:p>
          <w:p w14:paraId="218BB1AD" w14:textId="45E3F807" w:rsidR="00B02873" w:rsidRDefault="00B02873" w:rsidP="004E1BC8">
            <w:pPr>
              <w:pStyle w:val="TableBulletleftTables"/>
            </w:pPr>
            <w:r>
              <w:t xml:space="preserve">repaired over two kilometres of priority riparian fencing (119 kilometres out of an original target of 121 kilometres completed in total for the project) </w:t>
            </w:r>
          </w:p>
          <w:p w14:paraId="072C0B26" w14:textId="55AEEB93" w:rsidR="00B02873" w:rsidRDefault="00B02873" w:rsidP="004E1BC8">
            <w:pPr>
              <w:pStyle w:val="TableBulletleftTables"/>
            </w:pPr>
            <w:r>
              <w:t>completed 476.4 hectares of weed control (1,932 hectares completed out of an original target of 2312 hectares in total for the project)</w:t>
            </w:r>
          </w:p>
          <w:p w14:paraId="3FB4675A" w14:textId="77777777" w:rsidR="00B02873" w:rsidRDefault="00B02873" w:rsidP="004E1BC8">
            <w:pPr>
              <w:pStyle w:val="TableBulletleftTables"/>
            </w:pPr>
            <w:r>
              <w:t>continued work on repairing off-stream watering systems and addressing priority risks from erosion, debris and water quality.</w:t>
            </w:r>
          </w:p>
        </w:tc>
      </w:tr>
      <w:tr w:rsidR="00B02873" w:rsidRPr="00B02873" w14:paraId="13EC8381" w14:textId="77777777" w:rsidTr="004E1BC8">
        <w:tc>
          <w:tcPr>
            <w:tcW w:w="2339" w:type="dxa"/>
          </w:tcPr>
          <w:p w14:paraId="6B7F66EC" w14:textId="77777777" w:rsidR="00B02873" w:rsidRDefault="00B02873" w:rsidP="00B415A9">
            <w:pPr>
              <w:pStyle w:val="TablebodyleftTables"/>
            </w:pPr>
            <w:r>
              <w:t>Improving access to recreational opportunities on and around water-based natural spaces and water storages</w:t>
            </w:r>
          </w:p>
        </w:tc>
        <w:tc>
          <w:tcPr>
            <w:tcW w:w="7289" w:type="dxa"/>
          </w:tcPr>
          <w:p w14:paraId="119C4953" w14:textId="77777777" w:rsidR="00B02873" w:rsidRDefault="00B02873" w:rsidP="00B415A9">
            <w:pPr>
              <w:pStyle w:val="TablebodyleftTables"/>
            </w:pPr>
            <w:r>
              <w:t xml:space="preserve">During 2021-22: </w:t>
            </w:r>
          </w:p>
          <w:p w14:paraId="33B5A3AF" w14:textId="77777777" w:rsidR="00B02873" w:rsidRDefault="00B02873" w:rsidP="004E1BC8">
            <w:pPr>
              <w:pStyle w:val="TableBulletleftTables"/>
            </w:pPr>
            <w:r>
              <w:t>works commenced on a new fishing access pontoon and new access walking track at Trawool Reservoir</w:t>
            </w:r>
          </w:p>
          <w:p w14:paraId="5A5542B2" w14:textId="77777777" w:rsidR="00B02873" w:rsidRDefault="00B02873" w:rsidP="004E1BC8">
            <w:pPr>
              <w:pStyle w:val="TableBulletleftTables"/>
            </w:pPr>
            <w:r>
              <w:t>planning and consultation commenced for infrastructure works at Merri River, Warrnambool to refurbish old and install new walking paths and install canoe facilities and new community benches.</w:t>
            </w:r>
          </w:p>
        </w:tc>
      </w:tr>
      <w:tr w:rsidR="00B02873" w:rsidRPr="00B02873" w14:paraId="549C8694" w14:textId="77777777" w:rsidTr="004E1BC8">
        <w:tc>
          <w:tcPr>
            <w:tcW w:w="2339" w:type="dxa"/>
          </w:tcPr>
          <w:p w14:paraId="737DA15C" w14:textId="77777777" w:rsidR="00B02873" w:rsidRDefault="00B02873" w:rsidP="00B415A9">
            <w:pPr>
              <w:pStyle w:val="TablebodyleftTables"/>
            </w:pPr>
            <w:r>
              <w:t xml:space="preserve">Greater access to recreational water sites and protection for the Barwon and Yarra Rivers and Melbourne’s western waterways </w:t>
            </w:r>
          </w:p>
        </w:tc>
        <w:tc>
          <w:tcPr>
            <w:tcW w:w="7289" w:type="dxa"/>
          </w:tcPr>
          <w:p w14:paraId="35A43AC9" w14:textId="77777777" w:rsidR="00B02873" w:rsidRDefault="00B02873" w:rsidP="00B415A9">
            <w:pPr>
              <w:pStyle w:val="TablebodyleftTables"/>
            </w:pPr>
            <w:r>
              <w:t xml:space="preserve">Corangamite CMA and Wadawurrung Traditional Owners launched </w:t>
            </w:r>
            <w:r w:rsidRPr="00F26335">
              <w:rPr>
                <w:rStyle w:val="LightItalic"/>
                <w:rFonts w:asciiTheme="minorHAnsi" w:hAnsiTheme="minorHAnsi" w:cstheme="minorHAnsi"/>
              </w:rPr>
              <w:t>Kitjarra-dja-bul Bullarto Langi-ut</w:t>
            </w:r>
            <w:r>
              <w:t xml:space="preserve"> (Barwon River Parklands Masterplan) in April 2022. </w:t>
            </w:r>
            <w:r w:rsidRPr="00F26335">
              <w:rPr>
                <w:rStyle w:val="LightItalic"/>
                <w:rFonts w:asciiTheme="minorHAnsi" w:hAnsiTheme="minorHAnsi" w:cstheme="minorHAnsi"/>
              </w:rPr>
              <w:t>Kitjarra-dja-bul</w:t>
            </w:r>
            <w:r>
              <w:t xml:space="preserve"> will enable strategic consideration of waterway amenity, tourism opportunities, community wellbeing, and Traditional Owner values in recreation planning and coordinate future amenity investment.</w:t>
            </w:r>
          </w:p>
          <w:p w14:paraId="78700E4D" w14:textId="77777777" w:rsidR="00B02873" w:rsidRDefault="00B02873" w:rsidP="00B415A9">
            <w:pPr>
              <w:pStyle w:val="TablebodyleftTables"/>
            </w:pPr>
            <w:r w:rsidRPr="00F26335">
              <w:rPr>
                <w:rStyle w:val="LightItalic"/>
                <w:rFonts w:asciiTheme="minorHAnsi" w:hAnsiTheme="minorHAnsi" w:cstheme="minorHAnsi"/>
              </w:rPr>
              <w:t>Burndap Birrarung burndap umarkoo</w:t>
            </w:r>
            <w:r>
              <w:t xml:space="preserve"> (the inaugural Yarra Strategic Plan) was released in February 2022. Building on the 50-year community vision for the Yarra River, </w:t>
            </w:r>
            <w:r w:rsidRPr="00F26335">
              <w:rPr>
                <w:rStyle w:val="LightItalic"/>
                <w:rFonts w:asciiTheme="minorHAnsi" w:hAnsiTheme="minorHAnsi" w:cstheme="minorHAnsi"/>
              </w:rPr>
              <w:t>Birrarung</w:t>
            </w:r>
            <w:r w:rsidRPr="00F26335">
              <w:rPr>
                <w:rFonts w:asciiTheme="minorHAnsi" w:hAnsiTheme="minorHAnsi" w:cstheme="minorHAnsi"/>
              </w:rPr>
              <w:t>,</w:t>
            </w:r>
            <w:r>
              <w:t xml:space="preserve"> the plan protects and enhances the river and its parklands as one living and integrated entity.</w:t>
            </w:r>
          </w:p>
          <w:p w14:paraId="7DE1A5A4" w14:textId="4A2A5DAB" w:rsidR="00B02873" w:rsidRDefault="00B02873" w:rsidP="00B415A9">
            <w:pPr>
              <w:pStyle w:val="TablebodyleftTables"/>
            </w:pPr>
            <w:r>
              <w:t>Melbourne Water will complement their waterway management functions by advocating for amenity outcomes along waterways and their lands in the Waterways of the West region. Melbourne Water also led the multi-agency collaboration for a Lower Werribee Waterway Amenity Action Plan that was released in January 2022.</w:t>
            </w:r>
            <w:r w:rsidR="00012C04">
              <w:t xml:space="preserve"> </w:t>
            </w:r>
            <w:r>
              <w:t xml:space="preserve"> </w:t>
            </w:r>
          </w:p>
        </w:tc>
      </w:tr>
      <w:tr w:rsidR="00B02873" w:rsidRPr="00B02873" w14:paraId="63192BE4" w14:textId="77777777" w:rsidTr="004E1BC8">
        <w:tc>
          <w:tcPr>
            <w:tcW w:w="2339" w:type="dxa"/>
          </w:tcPr>
          <w:p w14:paraId="13E3BB4D" w14:textId="77777777" w:rsidR="00B02873" w:rsidRDefault="00B02873" w:rsidP="00B415A9">
            <w:pPr>
              <w:pStyle w:val="TablebodyleftTables"/>
            </w:pPr>
            <w:r>
              <w:lastRenderedPageBreak/>
              <w:t xml:space="preserve">Rural water infrastructure projects </w:t>
            </w:r>
          </w:p>
        </w:tc>
        <w:tc>
          <w:tcPr>
            <w:tcW w:w="7289" w:type="dxa"/>
          </w:tcPr>
          <w:p w14:paraId="22954327" w14:textId="77777777" w:rsidR="00B02873" w:rsidRDefault="00B02873" w:rsidP="00B415A9">
            <w:pPr>
              <w:pStyle w:val="TablebodyleftTables"/>
              <w:spacing w:after="113"/>
            </w:pPr>
            <w:r>
              <w:t>Rural water infrastructure projects across the state are being implemented to improve water security, boost productivity/efficiency, provide significant regional community benefit, and in some cases recover water for the environment. These projects are typically co-funded by the State and Commonwealth Government, customers, and other beneficiaries. DELWP provides project governance and oversight of these projects.</w:t>
            </w:r>
          </w:p>
          <w:p w14:paraId="533E0243" w14:textId="77777777" w:rsidR="00B02873" w:rsidRDefault="00B02873" w:rsidP="00B415A9">
            <w:pPr>
              <w:pStyle w:val="TablebodyleftTables"/>
              <w:spacing w:after="113"/>
            </w:pPr>
            <w:r>
              <w:t>In 2020-21, the following infrastructure projects reached practical completion:</w:t>
            </w:r>
          </w:p>
          <w:p w14:paraId="0CE9AF0B" w14:textId="77777777" w:rsidR="00B02873" w:rsidRDefault="00B02873" w:rsidP="004E1BC8">
            <w:pPr>
              <w:pStyle w:val="TableBulletleftTables"/>
            </w:pPr>
            <w:r>
              <w:t xml:space="preserve">Mitiamo and District Reticulated Water Supply Project </w:t>
            </w:r>
          </w:p>
          <w:p w14:paraId="7BECDF48" w14:textId="77777777" w:rsidR="00B02873" w:rsidRDefault="00B02873" w:rsidP="004E1BC8">
            <w:pPr>
              <w:pStyle w:val="TableBulletleftTables"/>
            </w:pPr>
            <w:r>
              <w:t xml:space="preserve">Macalister Irrigation District (MID) Phase 1B project </w:t>
            </w:r>
          </w:p>
          <w:p w14:paraId="493EC664" w14:textId="77777777" w:rsidR="00B02873" w:rsidRDefault="00B02873" w:rsidP="004E1BC8">
            <w:pPr>
              <w:pStyle w:val="TableBulletleftTables"/>
            </w:pPr>
            <w:r>
              <w:t xml:space="preserve">Werribee and Bacchus Marsh Irrigation District Modernisation </w:t>
            </w:r>
          </w:p>
          <w:p w14:paraId="084DC046" w14:textId="77777777" w:rsidR="00B02873" w:rsidRDefault="00B02873" w:rsidP="00B415A9">
            <w:pPr>
              <w:pStyle w:val="TablebodyleftTables"/>
              <w:spacing w:before="57" w:after="113"/>
            </w:pPr>
            <w:r>
              <w:t xml:space="preserve">These further rural water infrastructure projects are currently underway or just commencing: </w:t>
            </w:r>
          </w:p>
          <w:p w14:paraId="29D5FE05" w14:textId="77777777" w:rsidR="00B02873" w:rsidRDefault="00B02873" w:rsidP="004E1BC8">
            <w:pPr>
              <w:pStyle w:val="TableBulletleftTables"/>
            </w:pPr>
            <w:r>
              <w:t xml:space="preserve">Victorian Murray Floodplain Restoration </w:t>
            </w:r>
          </w:p>
          <w:p w14:paraId="117ECF53" w14:textId="77777777" w:rsidR="00B02873" w:rsidRDefault="00B02873" w:rsidP="004E1BC8">
            <w:pPr>
              <w:pStyle w:val="TableBulletleftTables"/>
            </w:pPr>
            <w:r>
              <w:t xml:space="preserve">GMW Water Efficiency Project </w:t>
            </w:r>
          </w:p>
          <w:p w14:paraId="48E45DE5" w14:textId="77777777" w:rsidR="00B02873" w:rsidRDefault="00B02873" w:rsidP="004E1BC8">
            <w:pPr>
              <w:pStyle w:val="TableBulletleftTables"/>
            </w:pPr>
            <w:r>
              <w:t xml:space="preserve">Western Irrigation Network </w:t>
            </w:r>
          </w:p>
          <w:p w14:paraId="7BF3039D" w14:textId="77777777" w:rsidR="00B02873" w:rsidRDefault="00B02873" w:rsidP="004E1BC8">
            <w:pPr>
              <w:pStyle w:val="TableBulletleftTables"/>
            </w:pPr>
            <w:r>
              <w:t xml:space="preserve">East Grampians Domestic and Stock Pipeline Project </w:t>
            </w:r>
          </w:p>
          <w:p w14:paraId="34DE8DAE" w14:textId="77777777" w:rsidR="00B02873" w:rsidRDefault="00B02873" w:rsidP="004E1BC8">
            <w:pPr>
              <w:pStyle w:val="TableBulletleftTables"/>
            </w:pPr>
            <w:r>
              <w:t xml:space="preserve">Macalister Irrigation District Phase 2 </w:t>
            </w:r>
          </w:p>
          <w:p w14:paraId="58EE1890" w14:textId="77777777" w:rsidR="00B02873" w:rsidRDefault="00B02873" w:rsidP="004E1BC8">
            <w:pPr>
              <w:pStyle w:val="TableBulletleftTables"/>
            </w:pPr>
            <w:r>
              <w:t>Werribee Irrigation District Modernisation Project Stages 4 and 5</w:t>
            </w:r>
          </w:p>
          <w:p w14:paraId="413129AC" w14:textId="77777777" w:rsidR="00B02873" w:rsidRDefault="00B02873" w:rsidP="004E1BC8">
            <w:pPr>
              <w:pStyle w:val="TableBulletleftTables"/>
            </w:pPr>
            <w:r>
              <w:t>Recycled Water on the Bellarine</w:t>
            </w:r>
          </w:p>
          <w:p w14:paraId="161891C4" w14:textId="77777777" w:rsidR="00B02873" w:rsidRDefault="00B02873" w:rsidP="004E1BC8">
            <w:pPr>
              <w:pStyle w:val="TableBulletleftTables"/>
            </w:pPr>
            <w:r>
              <w:t>Victorian Connections Package that includes nine projects</w:t>
            </w:r>
          </w:p>
          <w:p w14:paraId="479CBD5B" w14:textId="77777777" w:rsidR="00B02873" w:rsidRDefault="00B02873" w:rsidP="004E1BC8">
            <w:pPr>
              <w:pStyle w:val="TableBulletleftTables"/>
            </w:pPr>
            <w:r>
              <w:t>Commonwealth funded Lindenow Valley Water Security Scheme.</w:t>
            </w:r>
          </w:p>
        </w:tc>
      </w:tr>
      <w:tr w:rsidR="00B02873" w:rsidRPr="00B02873" w14:paraId="5BC1DB86" w14:textId="77777777" w:rsidTr="004E1BC8">
        <w:tc>
          <w:tcPr>
            <w:tcW w:w="2339" w:type="dxa"/>
          </w:tcPr>
          <w:p w14:paraId="57B5AFE1" w14:textId="77777777" w:rsidR="00B02873" w:rsidRDefault="00B02873" w:rsidP="00B415A9">
            <w:pPr>
              <w:pStyle w:val="TablebodyleftTables"/>
            </w:pPr>
            <w:r>
              <w:t>Sustainable irrigation</w:t>
            </w:r>
          </w:p>
        </w:tc>
        <w:tc>
          <w:tcPr>
            <w:tcW w:w="7289" w:type="dxa"/>
          </w:tcPr>
          <w:p w14:paraId="702933B6" w14:textId="77777777" w:rsidR="00B02873" w:rsidRDefault="00B02873" w:rsidP="00B415A9">
            <w:pPr>
              <w:pStyle w:val="TablebodyleftTables"/>
              <w:spacing w:after="113"/>
            </w:pPr>
            <w:r>
              <w:t xml:space="preserve">CMAs and Agriculture Victoria continued to assist irrigators to be more water wise, improving water use efficiency and managing impacts of irrigation on the environment and third parties. </w:t>
            </w:r>
          </w:p>
          <w:p w14:paraId="77B1B950" w14:textId="77777777" w:rsidR="00B02873" w:rsidRDefault="00B02873" w:rsidP="00B415A9">
            <w:pPr>
              <w:pStyle w:val="TablebodyleftTables"/>
              <w:spacing w:after="113"/>
            </w:pPr>
            <w:r>
              <w:t xml:space="preserve">Extension services including webinars and a weekly Water Availability newsletter (covering the Southern Murray-Darling Basin) provided via Agriculture Victoria helped irrigators in improving knowledge on elements of the water market, prevailing climatic conditions and associated water availability. </w:t>
            </w:r>
          </w:p>
          <w:p w14:paraId="781F16FD" w14:textId="77777777" w:rsidR="00B02873" w:rsidRDefault="00B02873" w:rsidP="00B415A9">
            <w:pPr>
              <w:pStyle w:val="TablebodyleftTables"/>
              <w:spacing w:after="113"/>
            </w:pPr>
            <w:r>
              <w:t>The Sustainable Irrigation Program continued to be delivered including direct field officer support to irrigators, implementation of regional land and water management plans, review of irrigation development guidelines, and irrigation drainage projects. Additional complementary on farm support activities for the GMW Water Efficiency Project also progressed during the year.</w:t>
            </w:r>
          </w:p>
        </w:tc>
      </w:tr>
      <w:tr w:rsidR="00B02873" w:rsidRPr="00B02873" w14:paraId="0E6633FF" w14:textId="77777777" w:rsidTr="004E1BC8">
        <w:tc>
          <w:tcPr>
            <w:tcW w:w="2339" w:type="dxa"/>
          </w:tcPr>
          <w:p w14:paraId="370F8802" w14:textId="77777777" w:rsidR="00B02873" w:rsidRDefault="00B02873" w:rsidP="00B415A9">
            <w:pPr>
              <w:pStyle w:val="TablebodyleftTables"/>
            </w:pPr>
            <w:r>
              <w:lastRenderedPageBreak/>
              <w:t>Schools Water Efficiency Program</w:t>
            </w:r>
          </w:p>
        </w:tc>
        <w:tc>
          <w:tcPr>
            <w:tcW w:w="7289" w:type="dxa"/>
          </w:tcPr>
          <w:p w14:paraId="69E196E1" w14:textId="77777777" w:rsidR="00B02873" w:rsidRDefault="00B02873" w:rsidP="00B415A9">
            <w:pPr>
              <w:pStyle w:val="TablebodyleftTables"/>
            </w:pPr>
            <w:r>
              <w:t>The Schools Water Efficiency Program continues to monitor water use and provides education on water use to more than 50 per cent of Victoria’s primary and secondary schools. As at 30 June 2022, the 1,320 registered schools have saved over 9.6 GL of water and over $30.6 million in water and wastewater charges since commencement of the program in 2012.</w:t>
            </w:r>
          </w:p>
        </w:tc>
      </w:tr>
      <w:tr w:rsidR="00B02873" w:rsidRPr="00B02873" w14:paraId="23C486DD" w14:textId="77777777" w:rsidTr="004E1BC8">
        <w:tc>
          <w:tcPr>
            <w:tcW w:w="2339" w:type="dxa"/>
          </w:tcPr>
          <w:p w14:paraId="01E57397" w14:textId="77777777" w:rsidR="00B02873" w:rsidRDefault="00B02873" w:rsidP="00B415A9">
            <w:pPr>
              <w:pStyle w:val="TablebodyleftTables"/>
            </w:pPr>
            <w:r>
              <w:t xml:space="preserve">Behavioural change campaigns </w:t>
            </w:r>
          </w:p>
        </w:tc>
        <w:tc>
          <w:tcPr>
            <w:tcW w:w="7289" w:type="dxa"/>
          </w:tcPr>
          <w:p w14:paraId="5A9012F0" w14:textId="77777777" w:rsidR="00B02873" w:rsidRDefault="00B02873" w:rsidP="00B415A9">
            <w:pPr>
              <w:pStyle w:val="TablebodyleftTables"/>
              <w:spacing w:after="113"/>
            </w:pPr>
            <w:r>
              <w:t>Target 155 is encouraging Melbourne residents to use an average of 155 litres of water per person per day. The Melbourne water corporations reinvigorated the Make Every Drop Count campaign from January 2022 to April 2022 through development of new campaign materials and content amplification.</w:t>
            </w:r>
          </w:p>
          <w:p w14:paraId="64336C09" w14:textId="77777777" w:rsidR="00B02873" w:rsidRDefault="00B02873" w:rsidP="00B415A9">
            <w:pPr>
              <w:pStyle w:val="TablebodyleftTables"/>
              <w:spacing w:after="113"/>
            </w:pPr>
            <w:r>
              <w:t xml:space="preserve">In regional Victoria, the water corporations are using the Target Your Water Use campaign to promote water efficiency to their customers. </w:t>
            </w:r>
          </w:p>
        </w:tc>
      </w:tr>
      <w:tr w:rsidR="00B02873" w:rsidRPr="00B02873" w14:paraId="7964976C" w14:textId="77777777" w:rsidTr="004E1BC8">
        <w:tc>
          <w:tcPr>
            <w:tcW w:w="2339" w:type="dxa"/>
          </w:tcPr>
          <w:p w14:paraId="45768DD9" w14:textId="77777777" w:rsidR="00B02873" w:rsidRDefault="00B02873" w:rsidP="00B415A9">
            <w:pPr>
              <w:pStyle w:val="TablebodyleftTables"/>
            </w:pPr>
            <w:r>
              <w:t>Community Rebate Program and Community Housing Retrofit Pilot Programs</w:t>
            </w:r>
          </w:p>
        </w:tc>
        <w:tc>
          <w:tcPr>
            <w:tcW w:w="7289" w:type="dxa"/>
          </w:tcPr>
          <w:p w14:paraId="702C9532" w14:textId="77777777" w:rsidR="00B02873" w:rsidRDefault="00B02873" w:rsidP="00B415A9">
            <w:pPr>
              <w:pStyle w:val="TablebodyleftTables"/>
              <w:spacing w:after="170"/>
            </w:pPr>
            <w:r>
              <w:t>During 2021-22, the Community Rebate Program and Community Housing Retrofit Pilot Programs assisted more than 1,300 vulnerable and hardship households and more than 200 non-for-profit organisations’ properties in saving over 77 ML of water per year.</w:t>
            </w:r>
          </w:p>
        </w:tc>
      </w:tr>
      <w:tr w:rsidR="00B02873" w:rsidRPr="00B02873" w14:paraId="5552C96B" w14:textId="77777777" w:rsidTr="004E1BC8">
        <w:tc>
          <w:tcPr>
            <w:tcW w:w="2339" w:type="dxa"/>
          </w:tcPr>
          <w:p w14:paraId="2311F89B" w14:textId="77777777" w:rsidR="00B02873" w:rsidRDefault="00B02873" w:rsidP="00B415A9">
            <w:pPr>
              <w:pStyle w:val="TablebodyleftTables"/>
            </w:pPr>
            <w:r>
              <w:t xml:space="preserve">Central and Gippsland Regional Sustainable Water Strategy </w:t>
            </w:r>
          </w:p>
        </w:tc>
        <w:tc>
          <w:tcPr>
            <w:tcW w:w="7289" w:type="dxa"/>
          </w:tcPr>
          <w:p w14:paraId="037B1B38" w14:textId="77777777" w:rsidR="00B02873" w:rsidRDefault="00B02873" w:rsidP="00B415A9">
            <w:pPr>
              <w:pStyle w:val="TablebodyleftTables"/>
              <w:spacing w:after="113"/>
            </w:pPr>
            <w:r>
              <w:t xml:space="preserve">The discussion draft of the Central and Gippsland Regional Sustainable Water Strategy (CGRSWS) was released for public consultation in October 2021. Feedback from the public consultation process was considered by the Consultative Committee and is shaping the final Strategy. </w:t>
            </w:r>
          </w:p>
          <w:p w14:paraId="24CFDCB5" w14:textId="77777777" w:rsidR="00B02873" w:rsidRDefault="00B02873" w:rsidP="00B415A9">
            <w:pPr>
              <w:pStyle w:val="TablebodyleftTables"/>
              <w:spacing w:after="113"/>
            </w:pPr>
            <w:r>
              <w:t xml:space="preserve">Funding of $56.5 million has been secured to assist with early implementation of the CGRSWS over the next two years. </w:t>
            </w:r>
          </w:p>
        </w:tc>
      </w:tr>
      <w:tr w:rsidR="00B02873" w:rsidRPr="00B02873" w14:paraId="485CAB54" w14:textId="77777777" w:rsidTr="004E1BC8">
        <w:tc>
          <w:tcPr>
            <w:tcW w:w="2339" w:type="dxa"/>
          </w:tcPr>
          <w:p w14:paraId="6405FA84" w14:textId="77777777" w:rsidR="00B02873" w:rsidRDefault="00B02873" w:rsidP="00B415A9">
            <w:pPr>
              <w:pStyle w:val="TablebodyleftTables"/>
            </w:pPr>
            <w:r>
              <w:t>Urban Water Strategies</w:t>
            </w:r>
          </w:p>
        </w:tc>
        <w:tc>
          <w:tcPr>
            <w:tcW w:w="7289" w:type="dxa"/>
          </w:tcPr>
          <w:p w14:paraId="54688254" w14:textId="77777777" w:rsidR="00B02873" w:rsidRDefault="00B02873" w:rsidP="00B415A9">
            <w:pPr>
              <w:pStyle w:val="TablebodyleftTables"/>
              <w:spacing w:after="170"/>
            </w:pPr>
            <w:r>
              <w:t>Urban Water Strategies (UWS) are delivered by Victoria’s Urban Water Corporations for their service areas under their Statement of Obligations. They are renewed every five years. UWSs identify the best mix of actions to provide water and sewerage services in our towns and cities now and into the future. The latest update of UWSs will be released throughout the remainder of 2022.</w:t>
            </w:r>
          </w:p>
        </w:tc>
      </w:tr>
      <w:tr w:rsidR="00B02873" w:rsidRPr="00B02873" w14:paraId="4C9E5D24" w14:textId="77777777" w:rsidTr="004E1BC8">
        <w:tc>
          <w:tcPr>
            <w:tcW w:w="2339" w:type="dxa"/>
          </w:tcPr>
          <w:p w14:paraId="2625950D" w14:textId="77777777" w:rsidR="00B02873" w:rsidRDefault="00B02873" w:rsidP="00B415A9">
            <w:pPr>
              <w:pStyle w:val="TablebodyleftTables"/>
            </w:pPr>
            <w:r>
              <w:t xml:space="preserve">Safety improvements to high-risk small dams </w:t>
            </w:r>
          </w:p>
        </w:tc>
        <w:tc>
          <w:tcPr>
            <w:tcW w:w="7289" w:type="dxa"/>
          </w:tcPr>
          <w:p w14:paraId="0AD3DDE8" w14:textId="77777777" w:rsidR="00B02873" w:rsidRDefault="00B02873" w:rsidP="00B415A9">
            <w:pPr>
              <w:pStyle w:val="TablebodyleftTables"/>
              <w:spacing w:after="113"/>
            </w:pPr>
            <w:r>
              <w:t>Funding was provided in 2021-22 to three councils to remediate three dams and reduce safety risks:</w:t>
            </w:r>
          </w:p>
          <w:p w14:paraId="7CF4BA03" w14:textId="77777777" w:rsidR="00B02873" w:rsidRDefault="00B02873" w:rsidP="004E1BC8">
            <w:pPr>
              <w:pStyle w:val="TableBulletleftTables"/>
            </w:pPr>
            <w:r>
              <w:t xml:space="preserve">Central Goldfield Shire Council to remediate Goldfields dam </w:t>
            </w:r>
          </w:p>
          <w:p w14:paraId="5390EFC9" w14:textId="77777777" w:rsidR="00B02873" w:rsidRDefault="00B02873" w:rsidP="004E1BC8">
            <w:pPr>
              <w:pStyle w:val="TableBulletleftTables"/>
            </w:pPr>
            <w:r>
              <w:t>Frankston City Council to remediate Baxter Park dam</w:t>
            </w:r>
          </w:p>
          <w:p w14:paraId="7A4BE508" w14:textId="77777777" w:rsidR="00B02873" w:rsidRDefault="00B02873" w:rsidP="004E1BC8">
            <w:pPr>
              <w:pStyle w:val="TableBulletleftTables"/>
            </w:pPr>
            <w:r>
              <w:t xml:space="preserve">Latrobe City Council to remediate Traralgon Reserve large dam. </w:t>
            </w:r>
          </w:p>
        </w:tc>
      </w:tr>
      <w:tr w:rsidR="00B02873" w:rsidRPr="00B02873" w14:paraId="0C08E6D6" w14:textId="77777777" w:rsidTr="004E1BC8">
        <w:tc>
          <w:tcPr>
            <w:tcW w:w="2339" w:type="dxa"/>
          </w:tcPr>
          <w:p w14:paraId="72680405" w14:textId="77777777" w:rsidR="00B02873" w:rsidRDefault="00B02873" w:rsidP="00B415A9">
            <w:pPr>
              <w:pStyle w:val="TablebodyleftTables"/>
            </w:pPr>
            <w:r>
              <w:lastRenderedPageBreak/>
              <w:t>Contributing to the Murray-Darling Basin Agreement on behalf of Victoria</w:t>
            </w:r>
          </w:p>
        </w:tc>
        <w:tc>
          <w:tcPr>
            <w:tcW w:w="7289" w:type="dxa"/>
          </w:tcPr>
          <w:p w14:paraId="1B6F1AC5" w14:textId="77777777" w:rsidR="00B02873" w:rsidRDefault="00B02873" w:rsidP="00B415A9">
            <w:pPr>
              <w:pStyle w:val="TablebodyleftTables"/>
              <w:spacing w:after="113"/>
            </w:pPr>
            <w:r>
              <w:t>DELWP and the Murray Lower Darling Rivers Indigenous Nations (MLDRIN) co-led an interjurisdictional approach for consideration of Traditional Owner water as part of future Murray-Darling Basin Plan projects.</w:t>
            </w:r>
          </w:p>
          <w:p w14:paraId="1062C139" w14:textId="77777777" w:rsidR="00B02873" w:rsidRDefault="00B02873" w:rsidP="00B415A9">
            <w:pPr>
              <w:pStyle w:val="TablebodyleftTables"/>
              <w:spacing w:after="113"/>
            </w:pPr>
            <w:r>
              <w:t xml:space="preserve">An Action Plan to address risks to the sustainable diversion limit adjustment mechanism (SDLAM) program was agreed by the Basin Officials Committee (BOC), which includes representatives from all Basin governments and is established under the </w:t>
            </w:r>
            <w:r w:rsidRPr="00F26335">
              <w:rPr>
                <w:rStyle w:val="LightItalic"/>
                <w:rFonts w:asciiTheme="minorHAnsi" w:hAnsiTheme="minorHAnsi" w:cstheme="minorHAnsi"/>
              </w:rPr>
              <w:t>Water Act 2007</w:t>
            </w:r>
            <w:r w:rsidRPr="00F26335">
              <w:rPr>
                <w:rFonts w:asciiTheme="minorHAnsi" w:hAnsiTheme="minorHAnsi" w:cstheme="minorHAnsi"/>
              </w:rPr>
              <w:t xml:space="preserve"> </w:t>
            </w:r>
            <w:r w:rsidRPr="00F26335">
              <w:rPr>
                <w:rStyle w:val="LightItalic"/>
                <w:rFonts w:asciiTheme="minorHAnsi" w:hAnsiTheme="minorHAnsi" w:cstheme="minorHAnsi"/>
              </w:rPr>
              <w:t>(Cth)</w:t>
            </w:r>
            <w:r>
              <w:t>. DELWP contributed to a pilot for SDLAM Assurance Reporting.</w:t>
            </w:r>
          </w:p>
          <w:p w14:paraId="379B7063" w14:textId="049D9BB7" w:rsidR="00B02873" w:rsidRDefault="00B02873" w:rsidP="00B415A9">
            <w:pPr>
              <w:pStyle w:val="TablebodyleftTables"/>
              <w:spacing w:after="113"/>
            </w:pPr>
            <w:r>
              <w:t>DELWP participated in a review to inform improvements to the Murray Joint Programs budget development process and continued to improve governance arrangements and decision making in resource management in the Basin by reviewing and updating terms of reference for all Tier One committees. Tier One committees are established by and report directly to the BOC.</w:t>
            </w:r>
          </w:p>
          <w:p w14:paraId="61336725" w14:textId="2D6B6AB0" w:rsidR="00B02873" w:rsidRDefault="00B02873" w:rsidP="00B415A9">
            <w:pPr>
              <w:pStyle w:val="TablebodyleftTables"/>
              <w:spacing w:after="113"/>
            </w:pPr>
            <w:r>
              <w:t xml:space="preserve">DELWP led progress on a Memorandum of Understanding to facilitate the Inspector-General of Water Compliance’s performance of functions consistent with legislation and the role agreed by Ministerial Council. </w:t>
            </w:r>
          </w:p>
        </w:tc>
      </w:tr>
      <w:tr w:rsidR="00B02873" w:rsidRPr="00B02873" w14:paraId="37708B8C" w14:textId="77777777" w:rsidTr="004E1BC8">
        <w:tc>
          <w:tcPr>
            <w:tcW w:w="2339" w:type="dxa"/>
          </w:tcPr>
          <w:p w14:paraId="4C8C64E7" w14:textId="77777777" w:rsidR="00B02873" w:rsidRDefault="00B02873" w:rsidP="00B415A9">
            <w:pPr>
              <w:pStyle w:val="TablebodyleftTables"/>
            </w:pPr>
            <w:r>
              <w:t xml:space="preserve">Improving Victoria’s resilience to flooding </w:t>
            </w:r>
          </w:p>
        </w:tc>
        <w:tc>
          <w:tcPr>
            <w:tcW w:w="7289" w:type="dxa"/>
          </w:tcPr>
          <w:p w14:paraId="4107BE7F" w14:textId="77777777" w:rsidR="00B02873" w:rsidRDefault="00B02873" w:rsidP="00B415A9">
            <w:pPr>
              <w:pStyle w:val="TablebodyleftTables"/>
              <w:spacing w:after="113"/>
            </w:pPr>
            <w:r>
              <w:t>DELWP manages Victoria’s flood warning and mapping systems to ensure it is prepared for flood emergencies, can effectively assess risks, and provide authoritative information to communities.</w:t>
            </w:r>
          </w:p>
          <w:p w14:paraId="6123DA0A" w14:textId="77777777" w:rsidR="00B02873" w:rsidRDefault="00B02873" w:rsidP="00B415A9">
            <w:pPr>
              <w:pStyle w:val="TablebodyleftTables"/>
              <w:spacing w:after="170"/>
            </w:pPr>
            <w:r>
              <w:t>DELWP partnered with the Bureau of Meteorology and local councils to advance flood warning systems for seven communities located across Victoria’s central and southwestern catchments.</w:t>
            </w:r>
          </w:p>
        </w:tc>
      </w:tr>
      <w:tr w:rsidR="00B02873" w:rsidRPr="00B02873" w14:paraId="359A7298" w14:textId="77777777" w:rsidTr="004E1BC8">
        <w:tc>
          <w:tcPr>
            <w:tcW w:w="2339" w:type="dxa"/>
          </w:tcPr>
          <w:p w14:paraId="73A6527F" w14:textId="77777777" w:rsidR="00B02873" w:rsidRDefault="00B02873" w:rsidP="00B415A9">
            <w:pPr>
              <w:pStyle w:val="TablebodyleftTables"/>
            </w:pPr>
            <w:r>
              <w:t>Investment in locally prioritised flood prevention infrastructure</w:t>
            </w:r>
          </w:p>
        </w:tc>
        <w:tc>
          <w:tcPr>
            <w:tcW w:w="7289" w:type="dxa"/>
          </w:tcPr>
          <w:p w14:paraId="4EB7CDC5" w14:textId="1AE53E13" w:rsidR="00B02873" w:rsidRDefault="00B02873" w:rsidP="00B415A9">
            <w:pPr>
              <w:pStyle w:val="TablebodyleftTables"/>
              <w:spacing w:after="113"/>
            </w:pPr>
            <w:r>
              <w:t>Commonwealth Government funding was secured for the Numurkah northern levee in April 2022, a project previously funded by the Victorian Government to the construction phase.</w:t>
            </w:r>
          </w:p>
          <w:p w14:paraId="7C5DCD50" w14:textId="678B129A" w:rsidR="00B02873" w:rsidRDefault="00B02873" w:rsidP="00B415A9">
            <w:pPr>
              <w:pStyle w:val="TablebodyleftTables"/>
            </w:pPr>
            <w:r>
              <w:t>Flood levees in Seaspray will be upgraded with Commonwealth Government funding secured in 2021-22, following several years of local and state government investment in planning and design phases.</w:t>
            </w:r>
          </w:p>
        </w:tc>
      </w:tr>
      <w:tr w:rsidR="00B02873" w:rsidRPr="00B02873" w14:paraId="739424C6" w14:textId="77777777" w:rsidTr="004E1BC8">
        <w:tc>
          <w:tcPr>
            <w:tcW w:w="2339" w:type="dxa"/>
          </w:tcPr>
          <w:p w14:paraId="012B06DE" w14:textId="77777777" w:rsidR="00B02873" w:rsidRDefault="00B02873" w:rsidP="00B415A9">
            <w:pPr>
              <w:pStyle w:val="TablebodyleftTables"/>
            </w:pPr>
            <w:r>
              <w:t>Implementation of regional floodplain management strategies</w:t>
            </w:r>
          </w:p>
        </w:tc>
        <w:tc>
          <w:tcPr>
            <w:tcW w:w="7289" w:type="dxa"/>
          </w:tcPr>
          <w:p w14:paraId="6AB3175C" w14:textId="77777777" w:rsidR="00B02873" w:rsidRDefault="00B02873" w:rsidP="00B415A9">
            <w:pPr>
              <w:pStyle w:val="TablebodyleftTables"/>
            </w:pPr>
            <w:r>
              <w:t>The Victorian and Commonwealth Government co-funded Risk and Resilience Grants Program for 2021-22 opened for applications in June 2022, with up to $6.6 million towards the next tranche of regional floodplain management strategy priority projects to be awarded.</w:t>
            </w:r>
          </w:p>
        </w:tc>
      </w:tr>
      <w:tr w:rsidR="00B02873" w:rsidRPr="00B02873" w14:paraId="733FBC45" w14:textId="77777777" w:rsidTr="004E1BC8">
        <w:tc>
          <w:tcPr>
            <w:tcW w:w="2339" w:type="dxa"/>
          </w:tcPr>
          <w:p w14:paraId="1553AB01" w14:textId="77777777" w:rsidR="00B02873" w:rsidRDefault="00B02873" w:rsidP="00B415A9">
            <w:pPr>
              <w:pStyle w:val="TablebodyleftTables"/>
            </w:pPr>
            <w:r>
              <w:t>Safeguarding Bendigo’s urban waterways</w:t>
            </w:r>
          </w:p>
        </w:tc>
        <w:tc>
          <w:tcPr>
            <w:tcW w:w="7289" w:type="dxa"/>
          </w:tcPr>
          <w:p w14:paraId="45D40E91" w14:textId="77777777" w:rsidR="00B02873" w:rsidRDefault="00B02873" w:rsidP="00B415A9">
            <w:pPr>
              <w:pStyle w:val="TablebodyleftTables"/>
            </w:pPr>
            <w:r>
              <w:t>A long-term management approach to manage impacts of groundwater from mine voids beneath Bendigo was developed by DELWP with the support of project stakeholders. Funding for the solution was provided in the 2022-23 State Budget, which will be implemented over the next three years. Interim management continues to operate, safeguarding Bendigo’s urban waterways.</w:t>
            </w:r>
          </w:p>
        </w:tc>
      </w:tr>
      <w:tr w:rsidR="00B02873" w:rsidRPr="00B02873" w14:paraId="1C17D02F" w14:textId="77777777" w:rsidTr="004E1BC8">
        <w:tc>
          <w:tcPr>
            <w:tcW w:w="2339" w:type="dxa"/>
          </w:tcPr>
          <w:p w14:paraId="6F269CF9" w14:textId="77777777" w:rsidR="00B02873" w:rsidRDefault="00B02873" w:rsidP="00B415A9">
            <w:pPr>
              <w:pStyle w:val="TablebodyleftTables"/>
            </w:pPr>
            <w:r>
              <w:lastRenderedPageBreak/>
              <w:t xml:space="preserve">Supporting affected water corporations to address wastewater contamination and treatment plant outages </w:t>
            </w:r>
          </w:p>
        </w:tc>
        <w:tc>
          <w:tcPr>
            <w:tcW w:w="7289" w:type="dxa"/>
          </w:tcPr>
          <w:p w14:paraId="3760EAAD" w14:textId="77777777" w:rsidR="00B02873" w:rsidRDefault="00B02873" w:rsidP="00B415A9">
            <w:pPr>
              <w:pStyle w:val="TablebodyleftTables"/>
            </w:pPr>
            <w:r>
              <w:t>A Water and Wastewater Operational Plan was developed in October 2021 to support water corporations in addressing water and wastewater disruptions by facilitation of resources and to support recovery from emergencies that impact service continuity. This will ensure water supply to fire, flood and storm affected communities is minimally impacted.</w:t>
            </w:r>
          </w:p>
        </w:tc>
      </w:tr>
      <w:tr w:rsidR="00B02873" w:rsidRPr="00B02873" w14:paraId="6A4CFB50" w14:textId="77777777" w:rsidTr="004E1BC8">
        <w:tc>
          <w:tcPr>
            <w:tcW w:w="2339" w:type="dxa"/>
          </w:tcPr>
          <w:p w14:paraId="589A4CAD" w14:textId="77777777" w:rsidR="00B02873" w:rsidRDefault="00B02873" w:rsidP="00B415A9">
            <w:pPr>
              <w:pStyle w:val="TablebodyleftTables"/>
            </w:pPr>
            <w:r>
              <w:t>Repairing and replacing essential water infrastructure assets to assist East Gippsland Water and North East Victoria recover from the impact of bushfires</w:t>
            </w:r>
          </w:p>
        </w:tc>
        <w:tc>
          <w:tcPr>
            <w:tcW w:w="7289" w:type="dxa"/>
          </w:tcPr>
          <w:p w14:paraId="327C6C21" w14:textId="4FD2DCD2" w:rsidR="00B02873" w:rsidRDefault="00B02873" w:rsidP="00B415A9">
            <w:pPr>
              <w:pStyle w:val="TablebodyleftTables"/>
            </w:pPr>
            <w:r>
              <w:t>Improvements and upgrades to the Flood Warning Gauge Network were completed and a final report delivered in October 2021. Funding agreements between DELWP and local councils to repair and construct new Emergency Water Supply Points were finalised and executed in June 2022. East Gippsland Water are nearing completion of a raw water storage tank in Buchan, and completed SCADA system upgrades at four of six sites, with both initiatives to be completed by December 2022.</w:t>
            </w:r>
          </w:p>
        </w:tc>
      </w:tr>
    </w:tbl>
    <w:p w14:paraId="26521749" w14:textId="77777777" w:rsidR="00B02873" w:rsidRDefault="00B02873" w:rsidP="00FE198A"/>
    <w:p w14:paraId="36542296" w14:textId="06ACD040" w:rsidR="00B02873" w:rsidRDefault="00B02873" w:rsidP="00BB10F9">
      <w:pPr>
        <w:pStyle w:val="Heading4"/>
      </w:pPr>
      <w:r>
        <w:t>Indicator: Proportion of intended properties (or equivalent) in the Goulburn Murray, Macalister, Werribee and Bacchus Marsh irrigation districts connected to a modernised irrigation delivery system</w:t>
      </w:r>
      <w:r w:rsidR="00012C04">
        <w:t xml:space="preserve"> </w:t>
      </w:r>
    </w:p>
    <w:p w14:paraId="2EBDDC00" w14:textId="58D3A30E" w:rsidR="00BB10F9" w:rsidRPr="00BB10F9" w:rsidRDefault="00BB10F9" w:rsidP="00BB10F9">
      <w:pPr>
        <w:rPr>
          <w:lang w:val="en-GB"/>
        </w:rPr>
      </w:pPr>
      <w:r>
        <w:rPr>
          <w:noProof/>
          <w:lang w:val="en-GB"/>
        </w:rPr>
        <w:drawing>
          <wp:inline distT="0" distB="0" distL="0" distR="0" wp14:anchorId="4A2324AE" wp14:editId="4E290707">
            <wp:extent cx="2999238" cy="2682245"/>
            <wp:effectExtent l="0" t="0" r="0" b="3810"/>
            <wp:docPr id="22" name="Picture 22" descr="Graph showing the proportion of intended properties in the Goulburn Murray, Macalister, Werribee and Bacchus Marsh irrigation districts connected to a modernised irrigation delivery system over time. The graph shows an increase from 2017-18 to 2020-21, then a decrease from 2020-21 to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 showing the proportion of intended properties in the Goulburn Murray, Macalister, Werribee and Bacchus Marsh irrigation districts connected to a modernised irrigation delivery system over time. The graph shows an increase from 2017-18 to 2020-21, then a decrease from 2020-21 to 2021-22."/>
                    <pic:cNvPicPr/>
                  </pic:nvPicPr>
                  <pic:blipFill>
                    <a:blip r:embed="rId31"/>
                    <a:stretch>
                      <a:fillRect/>
                    </a:stretch>
                  </pic:blipFill>
                  <pic:spPr>
                    <a:xfrm>
                      <a:off x="0" y="0"/>
                      <a:ext cx="2999238" cy="2682245"/>
                    </a:xfrm>
                    <a:prstGeom prst="rect">
                      <a:avLst/>
                    </a:prstGeom>
                  </pic:spPr>
                </pic:pic>
              </a:graphicData>
            </a:graphic>
          </wp:inline>
        </w:drawing>
      </w:r>
    </w:p>
    <w:p w14:paraId="54BFB0E1" w14:textId="77777777" w:rsidR="00B02873" w:rsidRDefault="00B02873" w:rsidP="00FE198A">
      <w:r>
        <w:rPr>
          <w:spacing w:val="-2"/>
        </w:rPr>
        <w:t>In 2021-22, 92.5 per cent of intended properties were connected to a modernised irrigation delivery system. The decrease compared to 2020-21 reflects the addition of new infrastructure projects in these irrigation districts, which has increased the baseline number of intended properties to be connected. As more modernisation projects are funded in these districts, the proportion of intended properties connected to a modernised irrigation delivery system will decrease until works are complete.</w:t>
      </w:r>
    </w:p>
    <w:p w14:paraId="58F18027" w14:textId="16155927" w:rsidR="00B02873" w:rsidRDefault="00B02873" w:rsidP="00FE198A">
      <w:r>
        <w:t>The $2 billion Goulburn-Murray Water Connections project is the most significant investment in modernising irrigation infrastructure in Australia. Announced as all works completed by the Victorian Premier and Minister for Water on 2 October 2020, the project has provided 279 GL long-term water savings to the environment. This was delivered to meet Victoria’s obligations under the Murray-Darling Basin Plan. The project exceeded its target of 429 GL long-term water savings, to be distributed to the environment, irrigators and Melbourne water retailers as set by the funding agreements.</w:t>
      </w:r>
      <w:r w:rsidR="00012C04">
        <w:t xml:space="preserve"> </w:t>
      </w:r>
    </w:p>
    <w:p w14:paraId="43CE3EE5" w14:textId="77777777" w:rsidR="00B02873" w:rsidRDefault="00B02873" w:rsidP="00FE198A">
      <w:r>
        <w:lastRenderedPageBreak/>
        <w:t>In addition to the additional 2 GL long-term water savings distributed as part of the irrigators’ share in 2021, a further 681 ML was identified for distribution to irrigators in 2022, and 1.36 GL of long-term water savings are being set aside for Traditional Owners in northern Victoria.</w:t>
      </w:r>
    </w:p>
    <w:p w14:paraId="5A4FB227" w14:textId="77777777" w:rsidR="00B02873" w:rsidRDefault="00B02873" w:rsidP="00FE198A">
      <w:r>
        <w:t xml:space="preserve">The Melbourne water retailers who invested $300 million in Stage 1 of the Project received their 75 GL share of long-term water savings in July 2022. </w:t>
      </w:r>
    </w:p>
    <w:p w14:paraId="3E726FA3" w14:textId="77777777" w:rsidR="00B02873" w:rsidRDefault="00B02873" w:rsidP="00FE198A">
      <w:r>
        <w:t xml:space="preserve">DELWP also oversaw the successful completion of four other major water infrastructure projects: South West Loddon Rural Water Supply Project, Macalister Irrigation District Phase 1B, Sunraysia Modernisation Project 2 and the Mitiamo and District Reticulated Water Supply project. </w:t>
      </w:r>
    </w:p>
    <w:p w14:paraId="4731A884" w14:textId="77C72593" w:rsidR="00B02873" w:rsidRDefault="00B02873" w:rsidP="00BB10F9">
      <w:pPr>
        <w:pStyle w:val="Heading4"/>
      </w:pPr>
      <w:r>
        <w:t xml:space="preserve">Indicator: Number of river reaches/wetlands with maintained or improved environmental condition </w:t>
      </w:r>
    </w:p>
    <w:p w14:paraId="2DF9783B" w14:textId="78095BDC" w:rsidR="00BB10F9" w:rsidRPr="00BB10F9" w:rsidRDefault="00BB10F9" w:rsidP="00BB10F9">
      <w:pPr>
        <w:rPr>
          <w:lang w:val="en-GB"/>
        </w:rPr>
      </w:pPr>
      <w:r>
        <w:rPr>
          <w:noProof/>
          <w:lang w:val="en-GB"/>
        </w:rPr>
        <w:drawing>
          <wp:inline distT="0" distB="0" distL="0" distR="0" wp14:anchorId="1A15F166" wp14:editId="5F79FC1C">
            <wp:extent cx="3014478" cy="2688341"/>
            <wp:effectExtent l="0" t="0" r="0" b="0"/>
            <wp:docPr id="23" name="Picture 23" descr="Graph showing the number of river reaches/wetlands with maintained or improved environmental condition over time. The graph shows a decrease from 2017-18 to 2020-21 then an increase from 2020-21 to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 showing the number of river reaches/wetlands with maintained or improved environmental condition over time. The graph shows a decrease from 2017-18 to 2020-21 then an increase from 2020-21 to 2021-22."/>
                    <pic:cNvPicPr/>
                  </pic:nvPicPr>
                  <pic:blipFill>
                    <a:blip r:embed="rId32"/>
                    <a:stretch>
                      <a:fillRect/>
                    </a:stretch>
                  </pic:blipFill>
                  <pic:spPr>
                    <a:xfrm>
                      <a:off x="0" y="0"/>
                      <a:ext cx="3014478" cy="2688341"/>
                    </a:xfrm>
                    <a:prstGeom prst="rect">
                      <a:avLst/>
                    </a:prstGeom>
                  </pic:spPr>
                </pic:pic>
              </a:graphicData>
            </a:graphic>
          </wp:inline>
        </w:drawing>
      </w:r>
    </w:p>
    <w:p w14:paraId="571AA3CC" w14:textId="35EFBE17" w:rsidR="00B02873" w:rsidRDefault="00B02873" w:rsidP="00FE198A">
      <w:r>
        <w:rPr>
          <w:spacing w:val="-2"/>
        </w:rPr>
        <w:t>In 2021-22, on-ground works and watering programs were undertaken at 330 river reaches and wetlands to maintain or improve their environmental condition. This included 6,800 hectares of waterway vegetation works such as tree planting, weed control and fencing alongside waterways, and the completion of 86 per cent of planned environmental watering actions.</w:t>
      </w:r>
      <w:r w:rsidR="00012C04">
        <w:rPr>
          <w:spacing w:val="-2"/>
        </w:rPr>
        <w:t xml:space="preserve"> </w:t>
      </w:r>
      <w:r>
        <w:rPr>
          <w:spacing w:val="-2"/>
        </w:rPr>
        <w:t>The COVID-19 pandemic had several significant impacts on project delivery throughout 2021-22 including: increased cost of essential materials (including rock, concrete, timber, fuel) due to supply chain and availability issues; reduced and interrupted availability of regional contractors due to COVID-19 infections and isolation requirements; staff shortages in delivery agencies due to COVID-19 infections and isolation; and the reduced ability to complete required levels of community engagement leading to timeline delays for works approvals. Nonetheless, delivery agencies maintained strong performance throughout the year. The long-term yearly average delivery (over the last five years) is 362 sites.</w:t>
      </w:r>
    </w:p>
    <w:p w14:paraId="340AACC4" w14:textId="77777777" w:rsidR="00B02873" w:rsidRDefault="00B02873" w:rsidP="00BB10F9">
      <w:pPr>
        <w:pStyle w:val="Heading3"/>
      </w:pPr>
      <w:r>
        <w:t>Output performance measures</w:t>
      </w:r>
    </w:p>
    <w:p w14:paraId="1892A503" w14:textId="77777777" w:rsidR="00B02873" w:rsidRDefault="00B02873" w:rsidP="00BB10F9">
      <w:pPr>
        <w:pStyle w:val="Heading4"/>
      </w:pPr>
      <w:r>
        <w:t>Effective Water Management and Supply</w:t>
      </w:r>
    </w:p>
    <w:p w14:paraId="4CD11458" w14:textId="77777777" w:rsidR="00B02873" w:rsidRDefault="00B02873" w:rsidP="00FE198A">
      <w:r>
        <w:t>This output develops policies, provides strategic advice and oversees regulatory systems and institutional arrangements to effectively manage Victoria’s water resources. Through this output, the Department delivers on-ground environmental programs to improve the health of waterways; water industry reform, governance and performance oversight; integrated water management; sustainable irrigation programs; and makes water resource information accessible to enable informed decision making.</w:t>
      </w:r>
    </w:p>
    <w:p w14:paraId="0C064CEA" w14:textId="2B851A22" w:rsidR="00B02873" w:rsidRDefault="00B02873" w:rsidP="00FE198A">
      <w:r>
        <w:t>The performance measures below compare targets and expected or actual results from the delivery of programs and services as part of this output:</w:t>
      </w:r>
    </w:p>
    <w:tbl>
      <w:tblPr>
        <w:tblStyle w:val="TableGrid"/>
        <w:tblW w:w="9776" w:type="dxa"/>
        <w:tblLayout w:type="fixed"/>
        <w:tblLook w:val="0020" w:firstRow="1" w:lastRow="0" w:firstColumn="0" w:lastColumn="0" w:noHBand="0" w:noVBand="0"/>
      </w:tblPr>
      <w:tblGrid>
        <w:gridCol w:w="3114"/>
        <w:gridCol w:w="1134"/>
        <w:gridCol w:w="1134"/>
        <w:gridCol w:w="1134"/>
        <w:gridCol w:w="1559"/>
        <w:gridCol w:w="1701"/>
      </w:tblGrid>
      <w:tr w:rsidR="00B02873" w:rsidRPr="00B02873" w14:paraId="523B554F" w14:textId="77777777" w:rsidTr="00CA65F5">
        <w:trPr>
          <w:cnfStyle w:val="100000000000" w:firstRow="1" w:lastRow="0" w:firstColumn="0" w:lastColumn="0" w:oddVBand="0" w:evenVBand="0" w:oddHBand="0" w:evenHBand="0" w:firstRowFirstColumn="0" w:firstRowLastColumn="0" w:lastRowFirstColumn="0" w:lastRowLastColumn="0"/>
          <w:tblHeader/>
        </w:trPr>
        <w:tc>
          <w:tcPr>
            <w:tcW w:w="3114" w:type="dxa"/>
          </w:tcPr>
          <w:p w14:paraId="68C1516C" w14:textId="77777777" w:rsidR="00B02873" w:rsidRDefault="00B02873" w:rsidP="00250BC3">
            <w:pPr>
              <w:pStyle w:val="TableheadingleftTables"/>
            </w:pPr>
            <w:r>
              <w:lastRenderedPageBreak/>
              <w:t>Output performance measures</w:t>
            </w:r>
          </w:p>
        </w:tc>
        <w:tc>
          <w:tcPr>
            <w:tcW w:w="1134" w:type="dxa"/>
          </w:tcPr>
          <w:p w14:paraId="5B5D80B6" w14:textId="77777777" w:rsidR="00B02873" w:rsidRDefault="00B02873" w:rsidP="00250BC3">
            <w:pPr>
              <w:pStyle w:val="TableheadingleftTables"/>
            </w:pPr>
            <w:r>
              <w:t>Unit of measure</w:t>
            </w:r>
          </w:p>
        </w:tc>
        <w:tc>
          <w:tcPr>
            <w:tcW w:w="1134" w:type="dxa"/>
          </w:tcPr>
          <w:p w14:paraId="2D1FB636" w14:textId="77777777" w:rsidR="00B02873" w:rsidRDefault="00B02873" w:rsidP="00DE1159">
            <w:pPr>
              <w:pStyle w:val="TableheadingleftTables"/>
              <w:jc w:val="right"/>
            </w:pPr>
            <w:r>
              <w:t>2021-22 actual</w:t>
            </w:r>
          </w:p>
        </w:tc>
        <w:tc>
          <w:tcPr>
            <w:tcW w:w="1134" w:type="dxa"/>
          </w:tcPr>
          <w:p w14:paraId="349E0544" w14:textId="77777777" w:rsidR="00B02873" w:rsidRDefault="00B02873" w:rsidP="00DE1159">
            <w:pPr>
              <w:pStyle w:val="TableheadingleftTables"/>
              <w:jc w:val="right"/>
            </w:pPr>
            <w:r>
              <w:t>2021-22 target</w:t>
            </w:r>
          </w:p>
        </w:tc>
        <w:tc>
          <w:tcPr>
            <w:tcW w:w="1559" w:type="dxa"/>
          </w:tcPr>
          <w:p w14:paraId="2D3CDEC4" w14:textId="77777777" w:rsidR="00B02873" w:rsidRDefault="00B02873" w:rsidP="00DE1159">
            <w:pPr>
              <w:pStyle w:val="TableheadingleftTables"/>
              <w:jc w:val="right"/>
            </w:pPr>
            <w:r>
              <w:rPr>
                <w:spacing w:val="-3"/>
              </w:rPr>
              <w:t>Performance variation (%)</w:t>
            </w:r>
          </w:p>
        </w:tc>
        <w:tc>
          <w:tcPr>
            <w:tcW w:w="1701" w:type="dxa"/>
          </w:tcPr>
          <w:p w14:paraId="133ACF9C" w14:textId="77777777" w:rsidR="00B02873" w:rsidRDefault="00B02873" w:rsidP="00250BC3">
            <w:pPr>
              <w:pStyle w:val="TableheadingleftTables"/>
            </w:pPr>
            <w:r>
              <w:t>Result</w:t>
            </w:r>
          </w:p>
        </w:tc>
      </w:tr>
      <w:tr w:rsidR="00B02873" w:rsidRPr="00B02873" w14:paraId="77546823" w14:textId="77777777" w:rsidTr="00CA65F5">
        <w:tc>
          <w:tcPr>
            <w:tcW w:w="3114" w:type="dxa"/>
          </w:tcPr>
          <w:p w14:paraId="49449609" w14:textId="77777777" w:rsidR="00B02873" w:rsidRDefault="00B02873" w:rsidP="00B415A9">
            <w:pPr>
              <w:pStyle w:val="TableheadingleftTables"/>
            </w:pPr>
            <w:r>
              <w:t>Quantity</w:t>
            </w:r>
          </w:p>
        </w:tc>
        <w:tc>
          <w:tcPr>
            <w:tcW w:w="1134" w:type="dxa"/>
          </w:tcPr>
          <w:p w14:paraId="673CA50B" w14:textId="77777777" w:rsidR="00B02873" w:rsidRPr="00B02873" w:rsidRDefault="00B02873" w:rsidP="00B415A9">
            <w:pPr>
              <w:pStyle w:val="NoParagraphStyle"/>
              <w:spacing w:line="240" w:lineRule="auto"/>
              <w:textAlignment w:val="auto"/>
              <w:rPr>
                <w:rFonts w:ascii="Apple Symbols Regular" w:hAnsi="Apple Symbols Regular" w:cs="Times New Roman"/>
                <w:color w:val="auto"/>
                <w:lang w:val="en-AU"/>
              </w:rPr>
            </w:pPr>
          </w:p>
        </w:tc>
        <w:tc>
          <w:tcPr>
            <w:tcW w:w="1134" w:type="dxa"/>
          </w:tcPr>
          <w:p w14:paraId="1C9485AB" w14:textId="77777777" w:rsidR="00B02873" w:rsidRPr="00B02873" w:rsidRDefault="00B02873" w:rsidP="00DE1159">
            <w:pPr>
              <w:pStyle w:val="NoParagraphStyle"/>
              <w:spacing w:line="240" w:lineRule="auto"/>
              <w:jc w:val="right"/>
              <w:textAlignment w:val="auto"/>
              <w:rPr>
                <w:rFonts w:ascii="Apple Symbols Regular" w:hAnsi="Apple Symbols Regular" w:cs="Times New Roman"/>
                <w:color w:val="auto"/>
                <w:lang w:val="en-AU"/>
              </w:rPr>
            </w:pPr>
          </w:p>
        </w:tc>
        <w:tc>
          <w:tcPr>
            <w:tcW w:w="1134" w:type="dxa"/>
          </w:tcPr>
          <w:p w14:paraId="08D8AF77" w14:textId="77777777" w:rsidR="00B02873" w:rsidRPr="00B02873" w:rsidRDefault="00B02873" w:rsidP="00DE1159">
            <w:pPr>
              <w:pStyle w:val="NoParagraphStyle"/>
              <w:spacing w:line="240" w:lineRule="auto"/>
              <w:jc w:val="right"/>
              <w:textAlignment w:val="auto"/>
              <w:rPr>
                <w:rFonts w:ascii="Apple Symbols Regular" w:hAnsi="Apple Symbols Regular" w:cs="Times New Roman"/>
                <w:color w:val="auto"/>
                <w:lang w:val="en-AU"/>
              </w:rPr>
            </w:pPr>
          </w:p>
        </w:tc>
        <w:tc>
          <w:tcPr>
            <w:tcW w:w="1559" w:type="dxa"/>
          </w:tcPr>
          <w:p w14:paraId="7BD02080" w14:textId="77777777" w:rsidR="00B02873" w:rsidRPr="00B02873" w:rsidRDefault="00B02873" w:rsidP="00DE1159">
            <w:pPr>
              <w:pStyle w:val="NoParagraphStyle"/>
              <w:spacing w:line="240" w:lineRule="auto"/>
              <w:jc w:val="right"/>
              <w:textAlignment w:val="auto"/>
              <w:rPr>
                <w:rFonts w:ascii="Apple Symbols Regular" w:hAnsi="Apple Symbols Regular" w:cs="Times New Roman"/>
                <w:color w:val="auto"/>
                <w:lang w:val="en-AU"/>
              </w:rPr>
            </w:pPr>
          </w:p>
        </w:tc>
        <w:tc>
          <w:tcPr>
            <w:tcW w:w="1701" w:type="dxa"/>
          </w:tcPr>
          <w:p w14:paraId="7A7BB825" w14:textId="77777777" w:rsidR="00B02873" w:rsidRPr="00B02873" w:rsidRDefault="00B02873" w:rsidP="00B415A9">
            <w:pPr>
              <w:pStyle w:val="NoParagraphStyle"/>
              <w:spacing w:line="240" w:lineRule="auto"/>
              <w:textAlignment w:val="auto"/>
              <w:rPr>
                <w:rFonts w:ascii="Apple Symbols Regular" w:hAnsi="Apple Symbols Regular" w:cs="Times New Roman"/>
                <w:color w:val="auto"/>
                <w:lang w:val="en-AU"/>
              </w:rPr>
            </w:pPr>
          </w:p>
        </w:tc>
      </w:tr>
      <w:tr w:rsidR="00B02873" w:rsidRPr="00B02873" w14:paraId="4FE4A6C2" w14:textId="77777777" w:rsidTr="00CA65F5">
        <w:tc>
          <w:tcPr>
            <w:tcW w:w="3114" w:type="dxa"/>
          </w:tcPr>
          <w:p w14:paraId="7C2BFAED" w14:textId="77777777" w:rsidR="00B02873" w:rsidRDefault="00B02873" w:rsidP="00B415A9">
            <w:pPr>
              <w:pStyle w:val="TablebodyleftTables"/>
            </w:pPr>
            <w:r>
              <w:t>Area of waterway vegetation works undertaken to improve the health and resilience of waterways</w:t>
            </w:r>
          </w:p>
        </w:tc>
        <w:tc>
          <w:tcPr>
            <w:tcW w:w="1134" w:type="dxa"/>
          </w:tcPr>
          <w:p w14:paraId="3E464BCF" w14:textId="77777777" w:rsidR="00B02873" w:rsidRDefault="00B02873" w:rsidP="00250BC3">
            <w:pPr>
              <w:pStyle w:val="TablebodyleftTables"/>
            </w:pPr>
            <w:r>
              <w:t>hectares</w:t>
            </w:r>
          </w:p>
        </w:tc>
        <w:tc>
          <w:tcPr>
            <w:tcW w:w="1134" w:type="dxa"/>
          </w:tcPr>
          <w:p w14:paraId="29D72BD4" w14:textId="77777777" w:rsidR="00B02873" w:rsidRDefault="00B02873" w:rsidP="00DE1159">
            <w:pPr>
              <w:pStyle w:val="TablebodyleftTables"/>
              <w:jc w:val="right"/>
            </w:pPr>
            <w:r>
              <w:t>6 800</w:t>
            </w:r>
          </w:p>
        </w:tc>
        <w:tc>
          <w:tcPr>
            <w:tcW w:w="1134" w:type="dxa"/>
          </w:tcPr>
          <w:p w14:paraId="3EB91F82" w14:textId="77777777" w:rsidR="00B02873" w:rsidRDefault="00B02873" w:rsidP="00DE1159">
            <w:pPr>
              <w:pStyle w:val="TablebodyleftTables"/>
              <w:jc w:val="right"/>
            </w:pPr>
            <w:r>
              <w:t>9 000</w:t>
            </w:r>
          </w:p>
        </w:tc>
        <w:tc>
          <w:tcPr>
            <w:tcW w:w="1559" w:type="dxa"/>
          </w:tcPr>
          <w:p w14:paraId="5EFAA09B" w14:textId="77777777" w:rsidR="00B02873" w:rsidRDefault="00B02873" w:rsidP="00DE1159">
            <w:pPr>
              <w:pStyle w:val="TablebodyleftTables"/>
              <w:jc w:val="right"/>
            </w:pPr>
            <w:r>
              <w:t>(24%)</w:t>
            </w:r>
          </w:p>
        </w:tc>
        <w:tc>
          <w:tcPr>
            <w:tcW w:w="1701" w:type="dxa"/>
          </w:tcPr>
          <w:p w14:paraId="4FF0471B" w14:textId="07B64A30" w:rsidR="00B02873" w:rsidRDefault="00CA65F5" w:rsidP="00250BC3">
            <w:pPr>
              <w:pStyle w:val="TablebodyleftTables"/>
            </w:pPr>
            <w:r>
              <w:t>Performance target not achieved – exceeds 5 per cent variance.</w:t>
            </w:r>
          </w:p>
        </w:tc>
      </w:tr>
    </w:tbl>
    <w:p w14:paraId="342213A1" w14:textId="407F3DDB" w:rsidR="00F74F44" w:rsidRPr="00F74F44" w:rsidRDefault="00F74F44">
      <w:pPr>
        <w:rPr>
          <w:i/>
          <w:iCs/>
        </w:rPr>
      </w:pPr>
      <w:r w:rsidRPr="00F74F44">
        <w:rPr>
          <w:i/>
          <w:iCs/>
        </w:rPr>
        <w:t>Performance is below target due to an extended spring/summer wet season rendering planned project sites physically inaccessible and/or unsafe for works and COVID-19 impacts on project delivery.</w:t>
      </w:r>
    </w:p>
    <w:tbl>
      <w:tblPr>
        <w:tblStyle w:val="TableGrid"/>
        <w:tblW w:w="9776" w:type="dxa"/>
        <w:tblLayout w:type="fixed"/>
        <w:tblLook w:val="0020" w:firstRow="1" w:lastRow="0" w:firstColumn="0" w:lastColumn="0" w:noHBand="0" w:noVBand="0"/>
      </w:tblPr>
      <w:tblGrid>
        <w:gridCol w:w="3114"/>
        <w:gridCol w:w="1134"/>
        <w:gridCol w:w="1134"/>
        <w:gridCol w:w="1134"/>
        <w:gridCol w:w="1559"/>
        <w:gridCol w:w="1701"/>
      </w:tblGrid>
      <w:tr w:rsidR="009C3D47" w:rsidRPr="00B02873" w14:paraId="09799B32" w14:textId="77777777" w:rsidTr="00F0025B">
        <w:trPr>
          <w:cnfStyle w:val="100000000000" w:firstRow="1" w:lastRow="0" w:firstColumn="0" w:lastColumn="0" w:oddVBand="0" w:evenVBand="0" w:oddHBand="0" w:evenHBand="0" w:firstRowFirstColumn="0" w:firstRowLastColumn="0" w:lastRowFirstColumn="0" w:lastRowLastColumn="0"/>
          <w:tblHeader/>
        </w:trPr>
        <w:tc>
          <w:tcPr>
            <w:tcW w:w="3114" w:type="dxa"/>
          </w:tcPr>
          <w:p w14:paraId="0046CEAB" w14:textId="77777777" w:rsidR="009C3D47" w:rsidRDefault="009C3D47" w:rsidP="00F0025B">
            <w:pPr>
              <w:pStyle w:val="TableheadingleftTables"/>
            </w:pPr>
            <w:r>
              <w:t>Output performance measures</w:t>
            </w:r>
          </w:p>
        </w:tc>
        <w:tc>
          <w:tcPr>
            <w:tcW w:w="1134" w:type="dxa"/>
          </w:tcPr>
          <w:p w14:paraId="3773184A" w14:textId="77777777" w:rsidR="009C3D47" w:rsidRDefault="009C3D47" w:rsidP="00F0025B">
            <w:pPr>
              <w:pStyle w:val="TableheadingleftTables"/>
            </w:pPr>
            <w:r>
              <w:t>Unit of measure</w:t>
            </w:r>
          </w:p>
        </w:tc>
        <w:tc>
          <w:tcPr>
            <w:tcW w:w="1134" w:type="dxa"/>
          </w:tcPr>
          <w:p w14:paraId="5577A221" w14:textId="77777777" w:rsidR="009C3D47" w:rsidRDefault="009C3D47" w:rsidP="00DE1159">
            <w:pPr>
              <w:pStyle w:val="TableheadingleftTables"/>
              <w:jc w:val="right"/>
            </w:pPr>
            <w:r>
              <w:t>2021-22 actual</w:t>
            </w:r>
          </w:p>
        </w:tc>
        <w:tc>
          <w:tcPr>
            <w:tcW w:w="1134" w:type="dxa"/>
          </w:tcPr>
          <w:p w14:paraId="6993ACA5" w14:textId="77777777" w:rsidR="009C3D47" w:rsidRDefault="009C3D47" w:rsidP="00DE1159">
            <w:pPr>
              <w:pStyle w:val="TableheadingleftTables"/>
              <w:jc w:val="right"/>
            </w:pPr>
            <w:r>
              <w:t>2021-22 target</w:t>
            </w:r>
          </w:p>
        </w:tc>
        <w:tc>
          <w:tcPr>
            <w:tcW w:w="1559" w:type="dxa"/>
          </w:tcPr>
          <w:p w14:paraId="61531BEB" w14:textId="77777777" w:rsidR="009C3D47" w:rsidRDefault="009C3D47" w:rsidP="00DE1159">
            <w:pPr>
              <w:pStyle w:val="TableheadingleftTables"/>
              <w:jc w:val="right"/>
            </w:pPr>
            <w:r>
              <w:rPr>
                <w:spacing w:val="-3"/>
              </w:rPr>
              <w:t>Performance variation (%)</w:t>
            </w:r>
          </w:p>
        </w:tc>
        <w:tc>
          <w:tcPr>
            <w:tcW w:w="1701" w:type="dxa"/>
          </w:tcPr>
          <w:p w14:paraId="4C62E860" w14:textId="77777777" w:rsidR="009C3D47" w:rsidRDefault="009C3D47" w:rsidP="00F0025B">
            <w:pPr>
              <w:pStyle w:val="TableheadingleftTables"/>
            </w:pPr>
            <w:r>
              <w:t>Result</w:t>
            </w:r>
          </w:p>
        </w:tc>
      </w:tr>
      <w:tr w:rsidR="00B02873" w:rsidRPr="00B02873" w14:paraId="05F7B6FB" w14:textId="77777777" w:rsidTr="00CA65F5">
        <w:tc>
          <w:tcPr>
            <w:tcW w:w="3114" w:type="dxa"/>
          </w:tcPr>
          <w:p w14:paraId="3D1F0414" w14:textId="77777777" w:rsidR="00B02873" w:rsidRDefault="00B02873" w:rsidP="00B415A9">
            <w:pPr>
              <w:pStyle w:val="TablebodyleftTables"/>
            </w:pPr>
            <w:r>
              <w:t>Cumulative water savings (permanent reduction in irrigation distribution system delivery losses) realised through water recovery projects</w:t>
            </w:r>
          </w:p>
        </w:tc>
        <w:tc>
          <w:tcPr>
            <w:tcW w:w="1134" w:type="dxa"/>
          </w:tcPr>
          <w:p w14:paraId="69EC4383" w14:textId="77777777" w:rsidR="00B02873" w:rsidRDefault="00B02873" w:rsidP="00250BC3">
            <w:pPr>
              <w:pStyle w:val="TablebodyleftTables"/>
            </w:pPr>
            <w:r>
              <w:t>megalitres</w:t>
            </w:r>
          </w:p>
        </w:tc>
        <w:tc>
          <w:tcPr>
            <w:tcW w:w="1134" w:type="dxa"/>
          </w:tcPr>
          <w:p w14:paraId="27E6E709" w14:textId="77777777" w:rsidR="00B02873" w:rsidRDefault="00B02873" w:rsidP="00DE1159">
            <w:pPr>
              <w:pStyle w:val="TablebodyleftTables"/>
              <w:jc w:val="right"/>
            </w:pPr>
            <w:r>
              <w:t>897 939.7 (estimate)</w:t>
            </w:r>
          </w:p>
        </w:tc>
        <w:tc>
          <w:tcPr>
            <w:tcW w:w="1134" w:type="dxa"/>
          </w:tcPr>
          <w:p w14:paraId="603A1411" w14:textId="77777777" w:rsidR="00B02873" w:rsidRDefault="00B02873" w:rsidP="00DE1159">
            <w:pPr>
              <w:pStyle w:val="TablebodyleftTables"/>
              <w:jc w:val="right"/>
            </w:pPr>
            <w:r>
              <w:t>909 902</w:t>
            </w:r>
          </w:p>
        </w:tc>
        <w:tc>
          <w:tcPr>
            <w:tcW w:w="1559" w:type="dxa"/>
          </w:tcPr>
          <w:p w14:paraId="2F20BB2D" w14:textId="77777777" w:rsidR="00B02873" w:rsidRDefault="00B02873" w:rsidP="00DE1159">
            <w:pPr>
              <w:pStyle w:val="TablebodyleftTables"/>
              <w:jc w:val="right"/>
            </w:pPr>
            <w:r>
              <w:t>(1%)</w:t>
            </w:r>
          </w:p>
        </w:tc>
        <w:tc>
          <w:tcPr>
            <w:tcW w:w="1701" w:type="dxa"/>
          </w:tcPr>
          <w:p w14:paraId="15B96F83" w14:textId="112A3D85" w:rsidR="00B02873" w:rsidRDefault="00CA65F5" w:rsidP="00250BC3">
            <w:pPr>
              <w:pStyle w:val="TablebodyleftTables"/>
            </w:pPr>
            <w:r>
              <w:t>Performance target not achieved – within 5 per cent variance.</w:t>
            </w:r>
          </w:p>
        </w:tc>
      </w:tr>
    </w:tbl>
    <w:p w14:paraId="63B9C4D9" w14:textId="33058DD7" w:rsidR="00F74F44" w:rsidRPr="00F74F44" w:rsidRDefault="00F74F44">
      <w:pPr>
        <w:rPr>
          <w:i/>
          <w:iCs/>
        </w:rPr>
      </w:pPr>
      <w:r w:rsidRPr="00F74F44">
        <w:rPr>
          <w:i/>
          <w:iCs/>
        </w:rPr>
        <w:t>Final results for this performance measure will be available after completion of the water savings audit in 2023. Water savings are not granted to water corporations until savings have been formally verified and recognised through an independent water audit process.</w:t>
      </w:r>
    </w:p>
    <w:tbl>
      <w:tblPr>
        <w:tblStyle w:val="TableGrid"/>
        <w:tblW w:w="9776" w:type="dxa"/>
        <w:tblLayout w:type="fixed"/>
        <w:tblLook w:val="0020" w:firstRow="1" w:lastRow="0" w:firstColumn="0" w:lastColumn="0" w:noHBand="0" w:noVBand="0"/>
      </w:tblPr>
      <w:tblGrid>
        <w:gridCol w:w="3114"/>
        <w:gridCol w:w="1134"/>
        <w:gridCol w:w="1134"/>
        <w:gridCol w:w="1134"/>
        <w:gridCol w:w="1559"/>
        <w:gridCol w:w="1701"/>
      </w:tblGrid>
      <w:tr w:rsidR="009C3D47" w:rsidRPr="00B02873" w14:paraId="41BB2E59" w14:textId="77777777" w:rsidTr="00F0025B">
        <w:trPr>
          <w:cnfStyle w:val="100000000000" w:firstRow="1" w:lastRow="0" w:firstColumn="0" w:lastColumn="0" w:oddVBand="0" w:evenVBand="0" w:oddHBand="0" w:evenHBand="0" w:firstRowFirstColumn="0" w:firstRowLastColumn="0" w:lastRowFirstColumn="0" w:lastRowLastColumn="0"/>
          <w:tblHeader/>
        </w:trPr>
        <w:tc>
          <w:tcPr>
            <w:tcW w:w="3114" w:type="dxa"/>
          </w:tcPr>
          <w:p w14:paraId="19438B5B" w14:textId="77777777" w:rsidR="009C3D47" w:rsidRDefault="009C3D47" w:rsidP="00F0025B">
            <w:pPr>
              <w:pStyle w:val="TableheadingleftTables"/>
            </w:pPr>
            <w:r>
              <w:t>Output performance measures</w:t>
            </w:r>
          </w:p>
        </w:tc>
        <w:tc>
          <w:tcPr>
            <w:tcW w:w="1134" w:type="dxa"/>
          </w:tcPr>
          <w:p w14:paraId="4F45F2C1" w14:textId="77777777" w:rsidR="009C3D47" w:rsidRDefault="009C3D47" w:rsidP="00F0025B">
            <w:pPr>
              <w:pStyle w:val="TableheadingleftTables"/>
            </w:pPr>
            <w:r>
              <w:t>Unit of measure</w:t>
            </w:r>
          </w:p>
        </w:tc>
        <w:tc>
          <w:tcPr>
            <w:tcW w:w="1134" w:type="dxa"/>
          </w:tcPr>
          <w:p w14:paraId="497EC801" w14:textId="77777777" w:rsidR="009C3D47" w:rsidRDefault="009C3D47" w:rsidP="00DE1159">
            <w:pPr>
              <w:pStyle w:val="TableheadingleftTables"/>
              <w:jc w:val="right"/>
            </w:pPr>
            <w:r>
              <w:t>2021-22 actual</w:t>
            </w:r>
          </w:p>
        </w:tc>
        <w:tc>
          <w:tcPr>
            <w:tcW w:w="1134" w:type="dxa"/>
          </w:tcPr>
          <w:p w14:paraId="1FCBABCD" w14:textId="77777777" w:rsidR="009C3D47" w:rsidRDefault="009C3D47" w:rsidP="00DE1159">
            <w:pPr>
              <w:pStyle w:val="TableheadingleftTables"/>
              <w:jc w:val="right"/>
            </w:pPr>
            <w:r>
              <w:t>2021-22 target</w:t>
            </w:r>
          </w:p>
        </w:tc>
        <w:tc>
          <w:tcPr>
            <w:tcW w:w="1559" w:type="dxa"/>
          </w:tcPr>
          <w:p w14:paraId="638A9E5A" w14:textId="77777777" w:rsidR="009C3D47" w:rsidRDefault="009C3D47" w:rsidP="00DE1159">
            <w:pPr>
              <w:pStyle w:val="TableheadingleftTables"/>
              <w:jc w:val="right"/>
            </w:pPr>
            <w:r>
              <w:rPr>
                <w:spacing w:val="-3"/>
              </w:rPr>
              <w:t>Performance variation (%)</w:t>
            </w:r>
          </w:p>
        </w:tc>
        <w:tc>
          <w:tcPr>
            <w:tcW w:w="1701" w:type="dxa"/>
          </w:tcPr>
          <w:p w14:paraId="57E9DC74" w14:textId="77777777" w:rsidR="009C3D47" w:rsidRDefault="009C3D47" w:rsidP="00F0025B">
            <w:pPr>
              <w:pStyle w:val="TableheadingleftTables"/>
            </w:pPr>
            <w:r>
              <w:t>Result</w:t>
            </w:r>
          </w:p>
        </w:tc>
      </w:tr>
      <w:tr w:rsidR="00B02873" w:rsidRPr="00B02873" w14:paraId="1578BFCA" w14:textId="77777777" w:rsidTr="00CA65F5">
        <w:tc>
          <w:tcPr>
            <w:tcW w:w="3114" w:type="dxa"/>
          </w:tcPr>
          <w:p w14:paraId="51A62448" w14:textId="77777777" w:rsidR="00B02873" w:rsidRDefault="00B02873" w:rsidP="00B415A9">
            <w:pPr>
              <w:pStyle w:val="TablebodyleftTables"/>
            </w:pPr>
            <w:r>
              <w:t>Climate and hydrology research activities underway that focus specifically on Victoria</w:t>
            </w:r>
          </w:p>
        </w:tc>
        <w:tc>
          <w:tcPr>
            <w:tcW w:w="1134" w:type="dxa"/>
          </w:tcPr>
          <w:p w14:paraId="6DCAC601" w14:textId="77777777" w:rsidR="00B02873" w:rsidRDefault="00B02873" w:rsidP="00250BC3">
            <w:pPr>
              <w:pStyle w:val="TablebodyleftTables"/>
            </w:pPr>
            <w:r>
              <w:t>number</w:t>
            </w:r>
          </w:p>
        </w:tc>
        <w:tc>
          <w:tcPr>
            <w:tcW w:w="1134" w:type="dxa"/>
          </w:tcPr>
          <w:p w14:paraId="171B0B21" w14:textId="77777777" w:rsidR="00B02873" w:rsidRDefault="00B02873" w:rsidP="00DE1159">
            <w:pPr>
              <w:pStyle w:val="TablebodyleftTables"/>
              <w:jc w:val="right"/>
            </w:pPr>
            <w:r>
              <w:t>2</w:t>
            </w:r>
          </w:p>
        </w:tc>
        <w:tc>
          <w:tcPr>
            <w:tcW w:w="1134" w:type="dxa"/>
          </w:tcPr>
          <w:p w14:paraId="0386A0B9" w14:textId="77777777" w:rsidR="00B02873" w:rsidRDefault="00B02873" w:rsidP="00DE1159">
            <w:pPr>
              <w:pStyle w:val="TablebodyleftTables"/>
              <w:jc w:val="right"/>
            </w:pPr>
            <w:r>
              <w:t>1</w:t>
            </w:r>
          </w:p>
        </w:tc>
        <w:tc>
          <w:tcPr>
            <w:tcW w:w="1559" w:type="dxa"/>
          </w:tcPr>
          <w:p w14:paraId="5ED0815E" w14:textId="77777777" w:rsidR="00B02873" w:rsidRDefault="00B02873" w:rsidP="00DE1159">
            <w:pPr>
              <w:pStyle w:val="TablebodyleftTables"/>
              <w:jc w:val="right"/>
            </w:pPr>
            <w:r>
              <w:t>100%</w:t>
            </w:r>
          </w:p>
        </w:tc>
        <w:tc>
          <w:tcPr>
            <w:tcW w:w="1701" w:type="dxa"/>
          </w:tcPr>
          <w:p w14:paraId="7FFFDAC5" w14:textId="2820100B" w:rsidR="00B02873" w:rsidRDefault="00CA65F5" w:rsidP="00250BC3">
            <w:pPr>
              <w:pStyle w:val="TablebodyleftTables"/>
            </w:pPr>
            <w:r>
              <w:t>Performance target achieved or exceeded.</w:t>
            </w:r>
          </w:p>
        </w:tc>
      </w:tr>
    </w:tbl>
    <w:p w14:paraId="23036977" w14:textId="3C22DA1D" w:rsidR="00F74F44" w:rsidRPr="00F74F44" w:rsidRDefault="00F74F44">
      <w:pPr>
        <w:rPr>
          <w:i/>
          <w:iCs/>
        </w:rPr>
      </w:pPr>
      <w:r w:rsidRPr="00F74F44">
        <w:rPr>
          <w:i/>
          <w:iCs/>
        </w:rPr>
        <w:t>Performance is above target due to two research activities being developed under the Victorian Water and Climate Initiative. As implementation progressed, it was found that two funding agreements would deliver a better outcome for this investment.</w:t>
      </w:r>
    </w:p>
    <w:tbl>
      <w:tblPr>
        <w:tblStyle w:val="TableGrid"/>
        <w:tblW w:w="9776" w:type="dxa"/>
        <w:tblLayout w:type="fixed"/>
        <w:tblLook w:val="0020" w:firstRow="1" w:lastRow="0" w:firstColumn="0" w:lastColumn="0" w:noHBand="0" w:noVBand="0"/>
      </w:tblPr>
      <w:tblGrid>
        <w:gridCol w:w="3114"/>
        <w:gridCol w:w="1134"/>
        <w:gridCol w:w="1134"/>
        <w:gridCol w:w="1134"/>
        <w:gridCol w:w="1559"/>
        <w:gridCol w:w="1701"/>
      </w:tblGrid>
      <w:tr w:rsidR="009C3D47" w:rsidRPr="00B02873" w14:paraId="1FA1A4AA" w14:textId="77777777" w:rsidTr="00F0025B">
        <w:trPr>
          <w:cnfStyle w:val="100000000000" w:firstRow="1" w:lastRow="0" w:firstColumn="0" w:lastColumn="0" w:oddVBand="0" w:evenVBand="0" w:oddHBand="0" w:evenHBand="0" w:firstRowFirstColumn="0" w:firstRowLastColumn="0" w:lastRowFirstColumn="0" w:lastRowLastColumn="0"/>
          <w:tblHeader/>
        </w:trPr>
        <w:tc>
          <w:tcPr>
            <w:tcW w:w="3114" w:type="dxa"/>
          </w:tcPr>
          <w:p w14:paraId="44EDEEDD" w14:textId="77777777" w:rsidR="009C3D47" w:rsidRDefault="009C3D47" w:rsidP="00F0025B">
            <w:pPr>
              <w:pStyle w:val="TableheadingleftTables"/>
            </w:pPr>
            <w:r>
              <w:t>Output performance measures</w:t>
            </w:r>
          </w:p>
        </w:tc>
        <w:tc>
          <w:tcPr>
            <w:tcW w:w="1134" w:type="dxa"/>
          </w:tcPr>
          <w:p w14:paraId="76F168A7" w14:textId="77777777" w:rsidR="009C3D47" w:rsidRDefault="009C3D47" w:rsidP="00F0025B">
            <w:pPr>
              <w:pStyle w:val="TableheadingleftTables"/>
            </w:pPr>
            <w:r>
              <w:t>Unit of measure</w:t>
            </w:r>
          </w:p>
        </w:tc>
        <w:tc>
          <w:tcPr>
            <w:tcW w:w="1134" w:type="dxa"/>
          </w:tcPr>
          <w:p w14:paraId="2648BCBD" w14:textId="77777777" w:rsidR="009C3D47" w:rsidRDefault="009C3D47" w:rsidP="00DE1159">
            <w:pPr>
              <w:pStyle w:val="TableheadingleftTables"/>
              <w:jc w:val="right"/>
            </w:pPr>
            <w:r>
              <w:t>2021-22 actual</w:t>
            </w:r>
          </w:p>
        </w:tc>
        <w:tc>
          <w:tcPr>
            <w:tcW w:w="1134" w:type="dxa"/>
          </w:tcPr>
          <w:p w14:paraId="4F7D720E" w14:textId="77777777" w:rsidR="009C3D47" w:rsidRDefault="009C3D47" w:rsidP="00DE1159">
            <w:pPr>
              <w:pStyle w:val="TableheadingleftTables"/>
              <w:jc w:val="right"/>
            </w:pPr>
            <w:r>
              <w:t>2021-22 target</w:t>
            </w:r>
          </w:p>
        </w:tc>
        <w:tc>
          <w:tcPr>
            <w:tcW w:w="1559" w:type="dxa"/>
          </w:tcPr>
          <w:p w14:paraId="1A8D634C" w14:textId="77777777" w:rsidR="009C3D47" w:rsidRDefault="009C3D47" w:rsidP="00DE1159">
            <w:pPr>
              <w:pStyle w:val="TableheadingleftTables"/>
              <w:jc w:val="right"/>
            </w:pPr>
            <w:r>
              <w:rPr>
                <w:spacing w:val="-3"/>
              </w:rPr>
              <w:t>Performance variation (%)</w:t>
            </w:r>
          </w:p>
        </w:tc>
        <w:tc>
          <w:tcPr>
            <w:tcW w:w="1701" w:type="dxa"/>
          </w:tcPr>
          <w:p w14:paraId="3D2716C7" w14:textId="77777777" w:rsidR="009C3D47" w:rsidRDefault="009C3D47" w:rsidP="00F0025B">
            <w:pPr>
              <w:pStyle w:val="TableheadingleftTables"/>
            </w:pPr>
            <w:r>
              <w:t>Result</w:t>
            </w:r>
          </w:p>
        </w:tc>
      </w:tr>
      <w:tr w:rsidR="00B02873" w:rsidRPr="00B02873" w14:paraId="0F807896" w14:textId="77777777" w:rsidTr="00CA65F5">
        <w:tc>
          <w:tcPr>
            <w:tcW w:w="3114" w:type="dxa"/>
          </w:tcPr>
          <w:p w14:paraId="01EC13EE" w14:textId="77777777" w:rsidR="00B02873" w:rsidRDefault="00B02873" w:rsidP="00B415A9">
            <w:pPr>
              <w:pStyle w:val="TablebodyleftTables"/>
            </w:pPr>
            <w:r>
              <w:t>Long-term water monitoring sites maintained</w:t>
            </w:r>
          </w:p>
        </w:tc>
        <w:tc>
          <w:tcPr>
            <w:tcW w:w="1134" w:type="dxa"/>
          </w:tcPr>
          <w:p w14:paraId="58C53E6B" w14:textId="77777777" w:rsidR="00B02873" w:rsidRDefault="00B02873" w:rsidP="00250BC3">
            <w:pPr>
              <w:pStyle w:val="TablebodyleftTables"/>
            </w:pPr>
            <w:r>
              <w:t>number</w:t>
            </w:r>
          </w:p>
        </w:tc>
        <w:tc>
          <w:tcPr>
            <w:tcW w:w="1134" w:type="dxa"/>
          </w:tcPr>
          <w:p w14:paraId="21F8681D" w14:textId="77777777" w:rsidR="00B02873" w:rsidRDefault="00B02873" w:rsidP="00DE1159">
            <w:pPr>
              <w:pStyle w:val="TablebodyleftTables"/>
              <w:jc w:val="right"/>
            </w:pPr>
            <w:r>
              <w:t>1 167</w:t>
            </w:r>
          </w:p>
        </w:tc>
        <w:tc>
          <w:tcPr>
            <w:tcW w:w="1134" w:type="dxa"/>
          </w:tcPr>
          <w:p w14:paraId="51BEF7D3" w14:textId="77777777" w:rsidR="00B02873" w:rsidRDefault="00B02873" w:rsidP="00DE1159">
            <w:pPr>
              <w:pStyle w:val="TablebodyleftTables"/>
              <w:jc w:val="right"/>
            </w:pPr>
            <w:r>
              <w:t>1 167</w:t>
            </w:r>
          </w:p>
        </w:tc>
        <w:tc>
          <w:tcPr>
            <w:tcW w:w="1559" w:type="dxa"/>
          </w:tcPr>
          <w:p w14:paraId="26364AF2" w14:textId="77777777" w:rsidR="00B02873" w:rsidRDefault="00B02873" w:rsidP="00DE1159">
            <w:pPr>
              <w:pStyle w:val="TablebodyleftTables"/>
              <w:jc w:val="right"/>
            </w:pPr>
            <w:r>
              <w:t>0%</w:t>
            </w:r>
          </w:p>
        </w:tc>
        <w:tc>
          <w:tcPr>
            <w:tcW w:w="1701" w:type="dxa"/>
          </w:tcPr>
          <w:p w14:paraId="0BE5F1F8" w14:textId="49209F99" w:rsidR="00B02873" w:rsidRDefault="00CA65F5" w:rsidP="00250BC3">
            <w:pPr>
              <w:pStyle w:val="TablebodyleftTables"/>
            </w:pPr>
            <w:r>
              <w:t>Performance target achieved or exceeded.</w:t>
            </w:r>
          </w:p>
        </w:tc>
      </w:tr>
      <w:tr w:rsidR="009C3D47" w:rsidRPr="00B02873" w14:paraId="713B50CE" w14:textId="77777777" w:rsidTr="00F0025B">
        <w:trPr>
          <w:tblHeader/>
        </w:trPr>
        <w:tc>
          <w:tcPr>
            <w:tcW w:w="3114" w:type="dxa"/>
          </w:tcPr>
          <w:p w14:paraId="1736D578" w14:textId="77777777" w:rsidR="009C3D47" w:rsidRDefault="009C3D47" w:rsidP="00F0025B">
            <w:pPr>
              <w:pStyle w:val="TableheadingleftTables"/>
            </w:pPr>
            <w:r>
              <w:lastRenderedPageBreak/>
              <w:t>Output performance measures</w:t>
            </w:r>
          </w:p>
        </w:tc>
        <w:tc>
          <w:tcPr>
            <w:tcW w:w="1134" w:type="dxa"/>
          </w:tcPr>
          <w:p w14:paraId="2DA8098D" w14:textId="77777777" w:rsidR="009C3D47" w:rsidRDefault="009C3D47" w:rsidP="00F0025B">
            <w:pPr>
              <w:pStyle w:val="TableheadingleftTables"/>
            </w:pPr>
            <w:r>
              <w:t>Unit of measure</w:t>
            </w:r>
          </w:p>
        </w:tc>
        <w:tc>
          <w:tcPr>
            <w:tcW w:w="1134" w:type="dxa"/>
          </w:tcPr>
          <w:p w14:paraId="22833F77" w14:textId="77777777" w:rsidR="009C3D47" w:rsidRDefault="009C3D47" w:rsidP="00DE1159">
            <w:pPr>
              <w:pStyle w:val="TableheadingleftTables"/>
              <w:jc w:val="right"/>
            </w:pPr>
            <w:r>
              <w:t>2021-22 actual</w:t>
            </w:r>
          </w:p>
        </w:tc>
        <w:tc>
          <w:tcPr>
            <w:tcW w:w="1134" w:type="dxa"/>
          </w:tcPr>
          <w:p w14:paraId="20267885" w14:textId="77777777" w:rsidR="009C3D47" w:rsidRDefault="009C3D47" w:rsidP="00DE1159">
            <w:pPr>
              <w:pStyle w:val="TableheadingleftTables"/>
              <w:jc w:val="right"/>
            </w:pPr>
            <w:r>
              <w:t>2021-22 target</w:t>
            </w:r>
          </w:p>
        </w:tc>
        <w:tc>
          <w:tcPr>
            <w:tcW w:w="1559" w:type="dxa"/>
          </w:tcPr>
          <w:p w14:paraId="7EEA5A4F" w14:textId="77777777" w:rsidR="009C3D47" w:rsidRDefault="009C3D47" w:rsidP="00DE1159">
            <w:pPr>
              <w:pStyle w:val="TableheadingleftTables"/>
              <w:jc w:val="right"/>
            </w:pPr>
            <w:r>
              <w:rPr>
                <w:spacing w:val="-3"/>
              </w:rPr>
              <w:t>Performance variation (%)</w:t>
            </w:r>
          </w:p>
        </w:tc>
        <w:tc>
          <w:tcPr>
            <w:tcW w:w="1701" w:type="dxa"/>
          </w:tcPr>
          <w:p w14:paraId="7F977A49" w14:textId="77777777" w:rsidR="009C3D47" w:rsidRDefault="009C3D47" w:rsidP="00F0025B">
            <w:pPr>
              <w:pStyle w:val="TableheadingleftTables"/>
            </w:pPr>
            <w:r>
              <w:t>Result</w:t>
            </w:r>
          </w:p>
        </w:tc>
      </w:tr>
      <w:tr w:rsidR="00B02873" w:rsidRPr="00B02873" w14:paraId="3FCF4A01" w14:textId="77777777" w:rsidTr="00CA65F5">
        <w:tc>
          <w:tcPr>
            <w:tcW w:w="3114" w:type="dxa"/>
          </w:tcPr>
          <w:p w14:paraId="4E9EBC87" w14:textId="07DD3A51" w:rsidR="00B02873" w:rsidRDefault="00B02873" w:rsidP="00B415A9">
            <w:pPr>
              <w:pStyle w:val="TablebodyleftTables"/>
            </w:pPr>
            <w:r>
              <w:t>Interactions with Water Markets reporting and transparency information, including visits to the Water Markets insights webpage and other digital information, per month</w:t>
            </w:r>
          </w:p>
        </w:tc>
        <w:tc>
          <w:tcPr>
            <w:tcW w:w="1134" w:type="dxa"/>
          </w:tcPr>
          <w:p w14:paraId="3AB35D10" w14:textId="77777777" w:rsidR="00B02873" w:rsidRDefault="00B02873" w:rsidP="00250BC3">
            <w:pPr>
              <w:pStyle w:val="TablebodyleftTables"/>
            </w:pPr>
            <w:r>
              <w:t>number</w:t>
            </w:r>
          </w:p>
        </w:tc>
        <w:tc>
          <w:tcPr>
            <w:tcW w:w="1134" w:type="dxa"/>
          </w:tcPr>
          <w:p w14:paraId="0E05F65F" w14:textId="77777777" w:rsidR="00B02873" w:rsidRDefault="00B02873" w:rsidP="00DE1159">
            <w:pPr>
              <w:pStyle w:val="TablebodyleftTables"/>
              <w:jc w:val="right"/>
            </w:pPr>
            <w:r>
              <w:t>9 177</w:t>
            </w:r>
          </w:p>
        </w:tc>
        <w:tc>
          <w:tcPr>
            <w:tcW w:w="1134" w:type="dxa"/>
          </w:tcPr>
          <w:p w14:paraId="15C95FE6" w14:textId="77777777" w:rsidR="00B02873" w:rsidRDefault="00B02873" w:rsidP="00DE1159">
            <w:pPr>
              <w:pStyle w:val="TablebodyleftTables"/>
              <w:jc w:val="right"/>
            </w:pPr>
            <w:r>
              <w:t>2 000</w:t>
            </w:r>
          </w:p>
        </w:tc>
        <w:tc>
          <w:tcPr>
            <w:tcW w:w="1559" w:type="dxa"/>
          </w:tcPr>
          <w:p w14:paraId="6970B5AC" w14:textId="77777777" w:rsidR="00B02873" w:rsidRDefault="00B02873" w:rsidP="00DE1159">
            <w:pPr>
              <w:pStyle w:val="TablebodyleftTables"/>
              <w:jc w:val="right"/>
            </w:pPr>
            <w:r>
              <w:t>359%</w:t>
            </w:r>
          </w:p>
        </w:tc>
        <w:tc>
          <w:tcPr>
            <w:tcW w:w="1701" w:type="dxa"/>
          </w:tcPr>
          <w:p w14:paraId="23F66D64" w14:textId="12685F67" w:rsidR="00B02873" w:rsidRDefault="00CA65F5" w:rsidP="00250BC3">
            <w:pPr>
              <w:pStyle w:val="TablebodyleftTables"/>
            </w:pPr>
            <w:r>
              <w:t>Performance target achieved or exceeded.</w:t>
            </w:r>
          </w:p>
        </w:tc>
      </w:tr>
    </w:tbl>
    <w:p w14:paraId="6A32CF71" w14:textId="7F33D8C0" w:rsidR="00F74F44" w:rsidRPr="00F74F44" w:rsidRDefault="00F74F44">
      <w:pPr>
        <w:rPr>
          <w:i/>
          <w:iCs/>
        </w:rPr>
      </w:pPr>
      <w:r w:rsidRPr="00F74F44">
        <w:rPr>
          <w:i/>
          <w:iCs/>
        </w:rPr>
        <w:t>Performance is above target reflecting strong demand for water market information. Demand can vary depending on seasonal conditions, water availability and water price among other factors.</w:t>
      </w:r>
    </w:p>
    <w:tbl>
      <w:tblPr>
        <w:tblStyle w:val="TableGrid"/>
        <w:tblW w:w="9776" w:type="dxa"/>
        <w:tblLayout w:type="fixed"/>
        <w:tblLook w:val="0020" w:firstRow="1" w:lastRow="0" w:firstColumn="0" w:lastColumn="0" w:noHBand="0" w:noVBand="0"/>
      </w:tblPr>
      <w:tblGrid>
        <w:gridCol w:w="3114"/>
        <w:gridCol w:w="1134"/>
        <w:gridCol w:w="1134"/>
        <w:gridCol w:w="1134"/>
        <w:gridCol w:w="1559"/>
        <w:gridCol w:w="1701"/>
      </w:tblGrid>
      <w:tr w:rsidR="009C3D47" w:rsidRPr="00B02873" w14:paraId="3FDF8AC5" w14:textId="77777777" w:rsidTr="00F0025B">
        <w:trPr>
          <w:cnfStyle w:val="100000000000" w:firstRow="1" w:lastRow="0" w:firstColumn="0" w:lastColumn="0" w:oddVBand="0" w:evenVBand="0" w:oddHBand="0" w:evenHBand="0" w:firstRowFirstColumn="0" w:firstRowLastColumn="0" w:lastRowFirstColumn="0" w:lastRowLastColumn="0"/>
          <w:tblHeader/>
        </w:trPr>
        <w:tc>
          <w:tcPr>
            <w:tcW w:w="3114" w:type="dxa"/>
          </w:tcPr>
          <w:p w14:paraId="4DE1BE2F" w14:textId="77777777" w:rsidR="009C3D47" w:rsidRDefault="009C3D47" w:rsidP="00F0025B">
            <w:pPr>
              <w:pStyle w:val="TableheadingleftTables"/>
            </w:pPr>
            <w:r>
              <w:t>Output performance measures</w:t>
            </w:r>
          </w:p>
        </w:tc>
        <w:tc>
          <w:tcPr>
            <w:tcW w:w="1134" w:type="dxa"/>
          </w:tcPr>
          <w:p w14:paraId="684A01D7" w14:textId="77777777" w:rsidR="009C3D47" w:rsidRDefault="009C3D47" w:rsidP="00F0025B">
            <w:pPr>
              <w:pStyle w:val="TableheadingleftTables"/>
            </w:pPr>
            <w:r>
              <w:t>Unit of measure</w:t>
            </w:r>
          </w:p>
        </w:tc>
        <w:tc>
          <w:tcPr>
            <w:tcW w:w="1134" w:type="dxa"/>
          </w:tcPr>
          <w:p w14:paraId="7A357D1A" w14:textId="77777777" w:rsidR="009C3D47" w:rsidRDefault="009C3D47" w:rsidP="00DE1159">
            <w:pPr>
              <w:pStyle w:val="TableheadingleftTables"/>
              <w:jc w:val="right"/>
            </w:pPr>
            <w:r>
              <w:t>2021-22 actual</w:t>
            </w:r>
          </w:p>
        </w:tc>
        <w:tc>
          <w:tcPr>
            <w:tcW w:w="1134" w:type="dxa"/>
          </w:tcPr>
          <w:p w14:paraId="710D5324" w14:textId="77777777" w:rsidR="009C3D47" w:rsidRDefault="009C3D47" w:rsidP="00DE1159">
            <w:pPr>
              <w:pStyle w:val="TableheadingleftTables"/>
              <w:jc w:val="right"/>
            </w:pPr>
            <w:r>
              <w:t>2021-22 target</w:t>
            </w:r>
          </w:p>
        </w:tc>
        <w:tc>
          <w:tcPr>
            <w:tcW w:w="1559" w:type="dxa"/>
          </w:tcPr>
          <w:p w14:paraId="273B804B" w14:textId="77777777" w:rsidR="009C3D47" w:rsidRDefault="009C3D47" w:rsidP="00DE1159">
            <w:pPr>
              <w:pStyle w:val="TableheadingleftTables"/>
              <w:jc w:val="right"/>
            </w:pPr>
            <w:r>
              <w:rPr>
                <w:spacing w:val="-3"/>
              </w:rPr>
              <w:t>Performance variation (%)</w:t>
            </w:r>
          </w:p>
        </w:tc>
        <w:tc>
          <w:tcPr>
            <w:tcW w:w="1701" w:type="dxa"/>
          </w:tcPr>
          <w:p w14:paraId="30B58C99" w14:textId="77777777" w:rsidR="009C3D47" w:rsidRDefault="009C3D47" w:rsidP="00F0025B">
            <w:pPr>
              <w:pStyle w:val="TableheadingleftTables"/>
            </w:pPr>
            <w:r>
              <w:t>Result</w:t>
            </w:r>
          </w:p>
        </w:tc>
      </w:tr>
      <w:tr w:rsidR="00B02873" w:rsidRPr="00B02873" w14:paraId="2EEF42A2" w14:textId="77777777" w:rsidTr="00CA65F5">
        <w:tc>
          <w:tcPr>
            <w:tcW w:w="3114" w:type="dxa"/>
          </w:tcPr>
          <w:p w14:paraId="64A99ADE" w14:textId="77777777" w:rsidR="00B02873" w:rsidRDefault="00B02873" w:rsidP="00B415A9">
            <w:pPr>
              <w:pStyle w:val="TablebodyleftTables"/>
            </w:pPr>
            <w:r>
              <w:t>Schools signed up to Schools Water Efficiency Program (SWEP)</w:t>
            </w:r>
          </w:p>
        </w:tc>
        <w:tc>
          <w:tcPr>
            <w:tcW w:w="1134" w:type="dxa"/>
          </w:tcPr>
          <w:p w14:paraId="59A716C8" w14:textId="77777777" w:rsidR="00B02873" w:rsidRDefault="00B02873" w:rsidP="00250BC3">
            <w:pPr>
              <w:pStyle w:val="TablebodyleftTables"/>
            </w:pPr>
            <w:r>
              <w:t>number</w:t>
            </w:r>
          </w:p>
        </w:tc>
        <w:tc>
          <w:tcPr>
            <w:tcW w:w="1134" w:type="dxa"/>
          </w:tcPr>
          <w:p w14:paraId="7A21D237" w14:textId="77777777" w:rsidR="00B02873" w:rsidRDefault="00B02873" w:rsidP="00DE1159">
            <w:pPr>
              <w:pStyle w:val="TablebodyleftTables"/>
              <w:jc w:val="right"/>
            </w:pPr>
            <w:r>
              <w:t>1 320</w:t>
            </w:r>
          </w:p>
        </w:tc>
        <w:tc>
          <w:tcPr>
            <w:tcW w:w="1134" w:type="dxa"/>
          </w:tcPr>
          <w:p w14:paraId="7E8A86D5" w14:textId="77777777" w:rsidR="00B02873" w:rsidRDefault="00B02873" w:rsidP="00DE1159">
            <w:pPr>
              <w:pStyle w:val="TablebodyleftTables"/>
              <w:jc w:val="right"/>
            </w:pPr>
            <w:r>
              <w:t>1 500</w:t>
            </w:r>
          </w:p>
        </w:tc>
        <w:tc>
          <w:tcPr>
            <w:tcW w:w="1559" w:type="dxa"/>
          </w:tcPr>
          <w:p w14:paraId="23638727" w14:textId="77777777" w:rsidR="00B02873" w:rsidRDefault="00B02873" w:rsidP="00DE1159">
            <w:pPr>
              <w:pStyle w:val="TablebodyleftTables"/>
              <w:jc w:val="right"/>
            </w:pPr>
            <w:r>
              <w:t>(12%)</w:t>
            </w:r>
          </w:p>
        </w:tc>
        <w:tc>
          <w:tcPr>
            <w:tcW w:w="1701" w:type="dxa"/>
          </w:tcPr>
          <w:p w14:paraId="3C449AB1" w14:textId="41670E0E" w:rsidR="00B02873" w:rsidRDefault="00CA65F5" w:rsidP="00250BC3">
            <w:pPr>
              <w:pStyle w:val="TablebodyleftTables"/>
            </w:pPr>
            <w:r>
              <w:t>Performance target not achieved – exceeds 5 per cent variance.</w:t>
            </w:r>
          </w:p>
        </w:tc>
      </w:tr>
    </w:tbl>
    <w:p w14:paraId="3BBE597A" w14:textId="773D8052" w:rsidR="00F74F44" w:rsidRPr="00F74F44" w:rsidRDefault="00F74F44">
      <w:pPr>
        <w:rPr>
          <w:i/>
          <w:iCs/>
        </w:rPr>
      </w:pPr>
      <w:r w:rsidRPr="00F74F44">
        <w:rPr>
          <w:i/>
          <w:iCs/>
        </w:rPr>
        <w:t>Performance is below target due to COVID-19 impacts on the education sector reducing engagement opportunities and the number of schools recruited to the Schools Water Efficiency Program.</w:t>
      </w:r>
    </w:p>
    <w:tbl>
      <w:tblPr>
        <w:tblStyle w:val="TableGrid"/>
        <w:tblW w:w="9776" w:type="dxa"/>
        <w:tblLayout w:type="fixed"/>
        <w:tblLook w:val="0020" w:firstRow="1" w:lastRow="0" w:firstColumn="0" w:lastColumn="0" w:noHBand="0" w:noVBand="0"/>
      </w:tblPr>
      <w:tblGrid>
        <w:gridCol w:w="3114"/>
        <w:gridCol w:w="1134"/>
        <w:gridCol w:w="1134"/>
        <w:gridCol w:w="1134"/>
        <w:gridCol w:w="1559"/>
        <w:gridCol w:w="1701"/>
      </w:tblGrid>
      <w:tr w:rsidR="009C3D47" w:rsidRPr="00B02873" w14:paraId="25948D70" w14:textId="77777777" w:rsidTr="00F0025B">
        <w:trPr>
          <w:cnfStyle w:val="100000000000" w:firstRow="1" w:lastRow="0" w:firstColumn="0" w:lastColumn="0" w:oddVBand="0" w:evenVBand="0" w:oddHBand="0" w:evenHBand="0" w:firstRowFirstColumn="0" w:firstRowLastColumn="0" w:lastRowFirstColumn="0" w:lastRowLastColumn="0"/>
          <w:tblHeader/>
        </w:trPr>
        <w:tc>
          <w:tcPr>
            <w:tcW w:w="3114" w:type="dxa"/>
          </w:tcPr>
          <w:p w14:paraId="7DDB8273" w14:textId="77777777" w:rsidR="009C3D47" w:rsidRDefault="009C3D47" w:rsidP="00F0025B">
            <w:pPr>
              <w:pStyle w:val="TableheadingleftTables"/>
            </w:pPr>
            <w:r>
              <w:t>Output performance measures</w:t>
            </w:r>
          </w:p>
        </w:tc>
        <w:tc>
          <w:tcPr>
            <w:tcW w:w="1134" w:type="dxa"/>
          </w:tcPr>
          <w:p w14:paraId="692882A4" w14:textId="77777777" w:rsidR="009C3D47" w:rsidRDefault="009C3D47" w:rsidP="00F0025B">
            <w:pPr>
              <w:pStyle w:val="TableheadingleftTables"/>
            </w:pPr>
            <w:r>
              <w:t>Unit of measure</w:t>
            </w:r>
          </w:p>
        </w:tc>
        <w:tc>
          <w:tcPr>
            <w:tcW w:w="1134" w:type="dxa"/>
          </w:tcPr>
          <w:p w14:paraId="5228BA00" w14:textId="77777777" w:rsidR="009C3D47" w:rsidRDefault="009C3D47" w:rsidP="00DE1159">
            <w:pPr>
              <w:pStyle w:val="TableheadingleftTables"/>
              <w:jc w:val="right"/>
            </w:pPr>
            <w:r>
              <w:t>2021-22 actual</w:t>
            </w:r>
          </w:p>
        </w:tc>
        <w:tc>
          <w:tcPr>
            <w:tcW w:w="1134" w:type="dxa"/>
          </w:tcPr>
          <w:p w14:paraId="7F746577" w14:textId="77777777" w:rsidR="009C3D47" w:rsidRDefault="009C3D47" w:rsidP="00DE1159">
            <w:pPr>
              <w:pStyle w:val="TableheadingleftTables"/>
              <w:jc w:val="right"/>
            </w:pPr>
            <w:r>
              <w:t>2021-22 target</w:t>
            </w:r>
          </w:p>
        </w:tc>
        <w:tc>
          <w:tcPr>
            <w:tcW w:w="1559" w:type="dxa"/>
          </w:tcPr>
          <w:p w14:paraId="2F6593C5" w14:textId="77777777" w:rsidR="009C3D47" w:rsidRDefault="009C3D47" w:rsidP="00DE1159">
            <w:pPr>
              <w:pStyle w:val="TableheadingleftTables"/>
              <w:jc w:val="right"/>
            </w:pPr>
            <w:r>
              <w:rPr>
                <w:spacing w:val="-3"/>
              </w:rPr>
              <w:t>Performance variation (%)</w:t>
            </w:r>
          </w:p>
        </w:tc>
        <w:tc>
          <w:tcPr>
            <w:tcW w:w="1701" w:type="dxa"/>
          </w:tcPr>
          <w:p w14:paraId="66E2CB0D" w14:textId="77777777" w:rsidR="009C3D47" w:rsidRDefault="009C3D47" w:rsidP="00F0025B">
            <w:pPr>
              <w:pStyle w:val="TableheadingleftTables"/>
            </w:pPr>
            <w:r>
              <w:t>Result</w:t>
            </w:r>
          </w:p>
        </w:tc>
      </w:tr>
      <w:tr w:rsidR="00B02873" w:rsidRPr="00B02873" w14:paraId="361D4DA0" w14:textId="77777777" w:rsidTr="00CA65F5">
        <w:tc>
          <w:tcPr>
            <w:tcW w:w="3114" w:type="dxa"/>
          </w:tcPr>
          <w:p w14:paraId="71FD1C54" w14:textId="77777777" w:rsidR="00B02873" w:rsidRDefault="00B02873" w:rsidP="00B415A9">
            <w:pPr>
              <w:pStyle w:val="TablebodyleftTables"/>
            </w:pPr>
            <w:r>
              <w:t>Place-based plans and actions underway for healthier communities and environments that encompass multiple values (Aboriginal, social, environmental and economic)</w:t>
            </w:r>
          </w:p>
        </w:tc>
        <w:tc>
          <w:tcPr>
            <w:tcW w:w="1134" w:type="dxa"/>
          </w:tcPr>
          <w:p w14:paraId="1634B4B6" w14:textId="77777777" w:rsidR="00B02873" w:rsidRDefault="00B02873" w:rsidP="00250BC3">
            <w:pPr>
              <w:pStyle w:val="TablebodyleftTables"/>
            </w:pPr>
            <w:r>
              <w:t>number</w:t>
            </w:r>
          </w:p>
        </w:tc>
        <w:tc>
          <w:tcPr>
            <w:tcW w:w="1134" w:type="dxa"/>
          </w:tcPr>
          <w:p w14:paraId="7F0556B2" w14:textId="77777777" w:rsidR="00B02873" w:rsidRDefault="00B02873" w:rsidP="00DE1159">
            <w:pPr>
              <w:pStyle w:val="TablebodyleftTables"/>
              <w:jc w:val="right"/>
            </w:pPr>
            <w:r>
              <w:t>8</w:t>
            </w:r>
          </w:p>
        </w:tc>
        <w:tc>
          <w:tcPr>
            <w:tcW w:w="1134" w:type="dxa"/>
          </w:tcPr>
          <w:p w14:paraId="0ADBEDCB" w14:textId="77777777" w:rsidR="00B02873" w:rsidRDefault="00B02873" w:rsidP="00DE1159">
            <w:pPr>
              <w:pStyle w:val="TablebodyleftTables"/>
              <w:jc w:val="right"/>
            </w:pPr>
            <w:r>
              <w:t>8</w:t>
            </w:r>
          </w:p>
        </w:tc>
        <w:tc>
          <w:tcPr>
            <w:tcW w:w="1559" w:type="dxa"/>
          </w:tcPr>
          <w:p w14:paraId="323E336D" w14:textId="77777777" w:rsidR="00B02873" w:rsidRDefault="00B02873" w:rsidP="00DE1159">
            <w:pPr>
              <w:pStyle w:val="TablebodyleftTables"/>
              <w:jc w:val="right"/>
            </w:pPr>
            <w:r>
              <w:t>0%</w:t>
            </w:r>
          </w:p>
        </w:tc>
        <w:tc>
          <w:tcPr>
            <w:tcW w:w="1701" w:type="dxa"/>
          </w:tcPr>
          <w:p w14:paraId="1747BCA9" w14:textId="6BAACC31" w:rsidR="00B02873" w:rsidRDefault="00CA65F5" w:rsidP="00250BC3">
            <w:pPr>
              <w:pStyle w:val="TablebodyleftTables"/>
            </w:pPr>
            <w:r>
              <w:t>Performance target achieved or exceeded.</w:t>
            </w:r>
          </w:p>
        </w:tc>
      </w:tr>
      <w:tr w:rsidR="00B02873" w:rsidRPr="00B02873" w14:paraId="165B703D" w14:textId="77777777" w:rsidTr="00CA65F5">
        <w:tc>
          <w:tcPr>
            <w:tcW w:w="3114" w:type="dxa"/>
          </w:tcPr>
          <w:p w14:paraId="1D37CFBD" w14:textId="77777777" w:rsidR="00B02873" w:rsidRDefault="00B02873" w:rsidP="00B415A9">
            <w:pPr>
              <w:pStyle w:val="TablebodyleftTables"/>
            </w:pPr>
            <w:r>
              <w:t>Households or community housing assisted in the Community Rebate and Housing Retrofit Program</w:t>
            </w:r>
          </w:p>
        </w:tc>
        <w:tc>
          <w:tcPr>
            <w:tcW w:w="1134" w:type="dxa"/>
          </w:tcPr>
          <w:p w14:paraId="01294C9F" w14:textId="77777777" w:rsidR="00B02873" w:rsidRDefault="00B02873" w:rsidP="00250BC3">
            <w:pPr>
              <w:pStyle w:val="TablebodyleftTables"/>
            </w:pPr>
            <w:r>
              <w:t>number</w:t>
            </w:r>
          </w:p>
        </w:tc>
        <w:tc>
          <w:tcPr>
            <w:tcW w:w="1134" w:type="dxa"/>
          </w:tcPr>
          <w:p w14:paraId="286D23C4" w14:textId="77777777" w:rsidR="00B02873" w:rsidRDefault="00B02873" w:rsidP="00DE1159">
            <w:pPr>
              <w:pStyle w:val="TablebodyleftTables"/>
              <w:jc w:val="right"/>
            </w:pPr>
            <w:r>
              <w:t>1 536</w:t>
            </w:r>
          </w:p>
        </w:tc>
        <w:tc>
          <w:tcPr>
            <w:tcW w:w="1134" w:type="dxa"/>
          </w:tcPr>
          <w:p w14:paraId="7E01CBED" w14:textId="77777777" w:rsidR="00B02873" w:rsidRDefault="00B02873" w:rsidP="00DE1159">
            <w:pPr>
              <w:pStyle w:val="TablebodyleftTables"/>
              <w:jc w:val="right"/>
            </w:pPr>
            <w:r>
              <w:t>1 555</w:t>
            </w:r>
          </w:p>
        </w:tc>
        <w:tc>
          <w:tcPr>
            <w:tcW w:w="1559" w:type="dxa"/>
          </w:tcPr>
          <w:p w14:paraId="25F93182" w14:textId="77777777" w:rsidR="00B02873" w:rsidRDefault="00B02873" w:rsidP="00DE1159">
            <w:pPr>
              <w:pStyle w:val="TablebodyleftTables"/>
              <w:jc w:val="right"/>
            </w:pPr>
            <w:r>
              <w:t>(1%)</w:t>
            </w:r>
          </w:p>
        </w:tc>
        <w:tc>
          <w:tcPr>
            <w:tcW w:w="1701" w:type="dxa"/>
          </w:tcPr>
          <w:p w14:paraId="63ED0165" w14:textId="1CFF24A7" w:rsidR="00B02873" w:rsidRDefault="00CA65F5" w:rsidP="00250BC3">
            <w:pPr>
              <w:pStyle w:val="TablebodyleftTables"/>
            </w:pPr>
            <w:r>
              <w:t>Performance target not achieved – within 5 per cent variance.</w:t>
            </w:r>
          </w:p>
        </w:tc>
      </w:tr>
      <w:tr w:rsidR="00B02873" w:rsidRPr="00B02873" w14:paraId="439D2943" w14:textId="77777777" w:rsidTr="00CA65F5">
        <w:tc>
          <w:tcPr>
            <w:tcW w:w="3114" w:type="dxa"/>
          </w:tcPr>
          <w:p w14:paraId="4CED80E4" w14:textId="77777777" w:rsidR="00B02873" w:rsidRDefault="00B02873" w:rsidP="00B415A9">
            <w:pPr>
              <w:pStyle w:val="TablebodyleftTables"/>
            </w:pPr>
            <w:r>
              <w:t>Area of active stewardship for catchment health and resilience</w:t>
            </w:r>
          </w:p>
        </w:tc>
        <w:tc>
          <w:tcPr>
            <w:tcW w:w="1134" w:type="dxa"/>
          </w:tcPr>
          <w:p w14:paraId="4E769587" w14:textId="77777777" w:rsidR="00B02873" w:rsidRDefault="00B02873" w:rsidP="00250BC3">
            <w:pPr>
              <w:pStyle w:val="TablebodyleftTables"/>
            </w:pPr>
            <w:r>
              <w:t>hectares</w:t>
            </w:r>
          </w:p>
        </w:tc>
        <w:tc>
          <w:tcPr>
            <w:tcW w:w="1134" w:type="dxa"/>
          </w:tcPr>
          <w:p w14:paraId="365328B2" w14:textId="77777777" w:rsidR="00B02873" w:rsidRDefault="00B02873" w:rsidP="00DE1159">
            <w:pPr>
              <w:pStyle w:val="TablebodyleftTables"/>
              <w:jc w:val="right"/>
            </w:pPr>
            <w:r>
              <w:t>5 832</w:t>
            </w:r>
          </w:p>
        </w:tc>
        <w:tc>
          <w:tcPr>
            <w:tcW w:w="1134" w:type="dxa"/>
          </w:tcPr>
          <w:p w14:paraId="2F4D0789" w14:textId="77777777" w:rsidR="00B02873" w:rsidRDefault="00B02873" w:rsidP="00DE1159">
            <w:pPr>
              <w:pStyle w:val="TablebodyleftTables"/>
              <w:jc w:val="right"/>
            </w:pPr>
            <w:r>
              <w:t>12 000</w:t>
            </w:r>
          </w:p>
        </w:tc>
        <w:tc>
          <w:tcPr>
            <w:tcW w:w="1559" w:type="dxa"/>
          </w:tcPr>
          <w:p w14:paraId="3926E890" w14:textId="77777777" w:rsidR="00B02873" w:rsidRDefault="00B02873" w:rsidP="00DE1159">
            <w:pPr>
              <w:pStyle w:val="TablebodyleftTables"/>
              <w:jc w:val="right"/>
            </w:pPr>
            <w:r>
              <w:t>(51%)</w:t>
            </w:r>
          </w:p>
        </w:tc>
        <w:tc>
          <w:tcPr>
            <w:tcW w:w="1701" w:type="dxa"/>
          </w:tcPr>
          <w:p w14:paraId="24B4B554" w14:textId="66F310FD" w:rsidR="00B02873" w:rsidRDefault="00CA65F5" w:rsidP="00250BC3">
            <w:pPr>
              <w:pStyle w:val="TablebodyleftTables"/>
            </w:pPr>
            <w:r>
              <w:t>Performance target not achieved – exceeds 5 per cent variance.</w:t>
            </w:r>
          </w:p>
        </w:tc>
      </w:tr>
    </w:tbl>
    <w:p w14:paraId="23C581D4" w14:textId="10400CCE" w:rsidR="00F74F44" w:rsidRDefault="00F74F44">
      <w:r>
        <w:t>Performance is below target due to COVIDSafe settings limiting ability to meet with landholders and contractors, and undertake work. Wet conditions also made sites inaccessible and unsuitable for works for lengthy periods.</w:t>
      </w:r>
    </w:p>
    <w:tbl>
      <w:tblPr>
        <w:tblStyle w:val="TableGrid"/>
        <w:tblW w:w="9776" w:type="dxa"/>
        <w:tblLayout w:type="fixed"/>
        <w:tblLook w:val="0020" w:firstRow="1" w:lastRow="0" w:firstColumn="0" w:lastColumn="0" w:noHBand="0" w:noVBand="0"/>
      </w:tblPr>
      <w:tblGrid>
        <w:gridCol w:w="3114"/>
        <w:gridCol w:w="1134"/>
        <w:gridCol w:w="1134"/>
        <w:gridCol w:w="1134"/>
        <w:gridCol w:w="1559"/>
        <w:gridCol w:w="1701"/>
      </w:tblGrid>
      <w:tr w:rsidR="009C3D47" w:rsidRPr="00B02873" w14:paraId="72BBD32A" w14:textId="77777777" w:rsidTr="00F0025B">
        <w:trPr>
          <w:cnfStyle w:val="100000000000" w:firstRow="1" w:lastRow="0" w:firstColumn="0" w:lastColumn="0" w:oddVBand="0" w:evenVBand="0" w:oddHBand="0" w:evenHBand="0" w:firstRowFirstColumn="0" w:firstRowLastColumn="0" w:lastRowFirstColumn="0" w:lastRowLastColumn="0"/>
          <w:tblHeader/>
        </w:trPr>
        <w:tc>
          <w:tcPr>
            <w:tcW w:w="3114" w:type="dxa"/>
          </w:tcPr>
          <w:p w14:paraId="4F02C1C0" w14:textId="77777777" w:rsidR="009C3D47" w:rsidRDefault="009C3D47" w:rsidP="00F0025B">
            <w:pPr>
              <w:pStyle w:val="TableheadingleftTables"/>
            </w:pPr>
            <w:r>
              <w:lastRenderedPageBreak/>
              <w:t>Output performance measures</w:t>
            </w:r>
          </w:p>
        </w:tc>
        <w:tc>
          <w:tcPr>
            <w:tcW w:w="1134" w:type="dxa"/>
          </w:tcPr>
          <w:p w14:paraId="37CFC834" w14:textId="77777777" w:rsidR="009C3D47" w:rsidRDefault="009C3D47" w:rsidP="00F0025B">
            <w:pPr>
              <w:pStyle w:val="TableheadingleftTables"/>
            </w:pPr>
            <w:r>
              <w:t>Unit of measure</w:t>
            </w:r>
          </w:p>
        </w:tc>
        <w:tc>
          <w:tcPr>
            <w:tcW w:w="1134" w:type="dxa"/>
          </w:tcPr>
          <w:p w14:paraId="39404A7C" w14:textId="77777777" w:rsidR="009C3D47" w:rsidRDefault="009C3D47" w:rsidP="00DE1159">
            <w:pPr>
              <w:pStyle w:val="TableheadingleftTables"/>
              <w:jc w:val="right"/>
            </w:pPr>
            <w:r>
              <w:t>2021-22 actual</w:t>
            </w:r>
          </w:p>
        </w:tc>
        <w:tc>
          <w:tcPr>
            <w:tcW w:w="1134" w:type="dxa"/>
          </w:tcPr>
          <w:p w14:paraId="7276377C" w14:textId="77777777" w:rsidR="009C3D47" w:rsidRDefault="009C3D47" w:rsidP="00DE1159">
            <w:pPr>
              <w:pStyle w:val="TableheadingleftTables"/>
              <w:jc w:val="right"/>
            </w:pPr>
            <w:r>
              <w:t>2021-22 target</w:t>
            </w:r>
          </w:p>
        </w:tc>
        <w:tc>
          <w:tcPr>
            <w:tcW w:w="1559" w:type="dxa"/>
          </w:tcPr>
          <w:p w14:paraId="3C3B71FB" w14:textId="77777777" w:rsidR="009C3D47" w:rsidRDefault="009C3D47" w:rsidP="00DE1159">
            <w:pPr>
              <w:pStyle w:val="TableheadingleftTables"/>
              <w:jc w:val="right"/>
            </w:pPr>
            <w:r>
              <w:rPr>
                <w:spacing w:val="-3"/>
              </w:rPr>
              <w:t>Performance variation (%)</w:t>
            </w:r>
          </w:p>
        </w:tc>
        <w:tc>
          <w:tcPr>
            <w:tcW w:w="1701" w:type="dxa"/>
          </w:tcPr>
          <w:p w14:paraId="4F906D3E" w14:textId="77777777" w:rsidR="009C3D47" w:rsidRDefault="009C3D47" w:rsidP="00F0025B">
            <w:pPr>
              <w:pStyle w:val="TableheadingleftTables"/>
            </w:pPr>
            <w:r>
              <w:t>Result</w:t>
            </w:r>
          </w:p>
        </w:tc>
      </w:tr>
      <w:tr w:rsidR="00B02873" w:rsidRPr="00B02873" w14:paraId="243DC6B4" w14:textId="77777777" w:rsidTr="00CA65F5">
        <w:tc>
          <w:tcPr>
            <w:tcW w:w="3114" w:type="dxa"/>
          </w:tcPr>
          <w:p w14:paraId="049D748F" w14:textId="08817ACC" w:rsidR="00B02873" w:rsidRDefault="00B02873" w:rsidP="00B415A9">
            <w:pPr>
              <w:pStyle w:val="TablebodyleftTables"/>
            </w:pPr>
            <w:r>
              <w:t>New flood studies underway to ensure communities understand flood risk and to inform investment in flood warning and mitigation measures</w:t>
            </w:r>
          </w:p>
        </w:tc>
        <w:tc>
          <w:tcPr>
            <w:tcW w:w="1134" w:type="dxa"/>
          </w:tcPr>
          <w:p w14:paraId="278D3B03" w14:textId="77777777" w:rsidR="00B02873" w:rsidRDefault="00B02873" w:rsidP="00250BC3">
            <w:pPr>
              <w:pStyle w:val="TablebodyleftTables"/>
            </w:pPr>
            <w:r>
              <w:t>number</w:t>
            </w:r>
          </w:p>
        </w:tc>
        <w:tc>
          <w:tcPr>
            <w:tcW w:w="1134" w:type="dxa"/>
          </w:tcPr>
          <w:p w14:paraId="701DAA3E" w14:textId="77777777" w:rsidR="00B02873" w:rsidRDefault="00B02873" w:rsidP="00DE1159">
            <w:pPr>
              <w:pStyle w:val="TablebodyleftTables"/>
              <w:jc w:val="right"/>
            </w:pPr>
            <w:r>
              <w:t>9</w:t>
            </w:r>
          </w:p>
        </w:tc>
        <w:tc>
          <w:tcPr>
            <w:tcW w:w="1134" w:type="dxa"/>
          </w:tcPr>
          <w:p w14:paraId="3D1909A7" w14:textId="77777777" w:rsidR="00B02873" w:rsidRDefault="00B02873" w:rsidP="00DE1159">
            <w:pPr>
              <w:pStyle w:val="TablebodyleftTables"/>
              <w:jc w:val="right"/>
            </w:pPr>
            <w:r>
              <w:t>6</w:t>
            </w:r>
          </w:p>
        </w:tc>
        <w:tc>
          <w:tcPr>
            <w:tcW w:w="1559" w:type="dxa"/>
          </w:tcPr>
          <w:p w14:paraId="049432B3" w14:textId="77777777" w:rsidR="00B02873" w:rsidRDefault="00B02873" w:rsidP="00DE1159">
            <w:pPr>
              <w:pStyle w:val="TablebodyleftTables"/>
              <w:jc w:val="right"/>
            </w:pPr>
            <w:r>
              <w:t>50%</w:t>
            </w:r>
          </w:p>
        </w:tc>
        <w:tc>
          <w:tcPr>
            <w:tcW w:w="1701" w:type="dxa"/>
          </w:tcPr>
          <w:p w14:paraId="4469A723" w14:textId="372A4521" w:rsidR="00B02873" w:rsidRDefault="00CA65F5" w:rsidP="00250BC3">
            <w:pPr>
              <w:pStyle w:val="TablebodyleftTables"/>
            </w:pPr>
            <w:r>
              <w:t>Performance target achieved or exceeded.</w:t>
            </w:r>
          </w:p>
        </w:tc>
      </w:tr>
    </w:tbl>
    <w:p w14:paraId="6A509389" w14:textId="076B5A21" w:rsidR="00F74F44" w:rsidRPr="00F74F44" w:rsidRDefault="00F74F44">
      <w:pPr>
        <w:rPr>
          <w:i/>
          <w:iCs/>
        </w:rPr>
      </w:pPr>
      <w:r w:rsidRPr="00F74F44">
        <w:rPr>
          <w:i/>
          <w:iCs/>
        </w:rPr>
        <w:t>Performance is above target due to nine submissions fully meeting the Risk and Resilience Grants criteria.</w:t>
      </w:r>
    </w:p>
    <w:tbl>
      <w:tblPr>
        <w:tblStyle w:val="TableGrid"/>
        <w:tblW w:w="9776" w:type="dxa"/>
        <w:tblLayout w:type="fixed"/>
        <w:tblLook w:val="0020" w:firstRow="1" w:lastRow="0" w:firstColumn="0" w:lastColumn="0" w:noHBand="0" w:noVBand="0"/>
      </w:tblPr>
      <w:tblGrid>
        <w:gridCol w:w="3114"/>
        <w:gridCol w:w="1134"/>
        <w:gridCol w:w="1134"/>
        <w:gridCol w:w="1134"/>
        <w:gridCol w:w="1559"/>
        <w:gridCol w:w="1701"/>
      </w:tblGrid>
      <w:tr w:rsidR="009C3D47" w:rsidRPr="00B02873" w14:paraId="4FC4A674" w14:textId="77777777" w:rsidTr="00F0025B">
        <w:trPr>
          <w:cnfStyle w:val="100000000000" w:firstRow="1" w:lastRow="0" w:firstColumn="0" w:lastColumn="0" w:oddVBand="0" w:evenVBand="0" w:oddHBand="0" w:evenHBand="0" w:firstRowFirstColumn="0" w:firstRowLastColumn="0" w:lastRowFirstColumn="0" w:lastRowLastColumn="0"/>
          <w:tblHeader/>
        </w:trPr>
        <w:tc>
          <w:tcPr>
            <w:tcW w:w="3114" w:type="dxa"/>
          </w:tcPr>
          <w:p w14:paraId="2AA0E4D3" w14:textId="77777777" w:rsidR="009C3D47" w:rsidRDefault="009C3D47" w:rsidP="00F0025B">
            <w:pPr>
              <w:pStyle w:val="TableheadingleftTables"/>
            </w:pPr>
            <w:r>
              <w:t>Output performance measures</w:t>
            </w:r>
          </w:p>
        </w:tc>
        <w:tc>
          <w:tcPr>
            <w:tcW w:w="1134" w:type="dxa"/>
          </w:tcPr>
          <w:p w14:paraId="79774226" w14:textId="77777777" w:rsidR="009C3D47" w:rsidRDefault="009C3D47" w:rsidP="00F0025B">
            <w:pPr>
              <w:pStyle w:val="TableheadingleftTables"/>
            </w:pPr>
            <w:r>
              <w:t>Unit of measure</w:t>
            </w:r>
          </w:p>
        </w:tc>
        <w:tc>
          <w:tcPr>
            <w:tcW w:w="1134" w:type="dxa"/>
          </w:tcPr>
          <w:p w14:paraId="6F31A14A" w14:textId="77777777" w:rsidR="009C3D47" w:rsidRDefault="009C3D47" w:rsidP="00DE1159">
            <w:pPr>
              <w:pStyle w:val="TableheadingleftTables"/>
              <w:jc w:val="right"/>
            </w:pPr>
            <w:r>
              <w:t>2021-22 actual</w:t>
            </w:r>
          </w:p>
        </w:tc>
        <w:tc>
          <w:tcPr>
            <w:tcW w:w="1134" w:type="dxa"/>
          </w:tcPr>
          <w:p w14:paraId="5E058CE4" w14:textId="77777777" w:rsidR="009C3D47" w:rsidRDefault="009C3D47" w:rsidP="00DE1159">
            <w:pPr>
              <w:pStyle w:val="TableheadingleftTables"/>
              <w:jc w:val="right"/>
            </w:pPr>
            <w:r>
              <w:t>2021-22 target</w:t>
            </w:r>
          </w:p>
        </w:tc>
        <w:tc>
          <w:tcPr>
            <w:tcW w:w="1559" w:type="dxa"/>
          </w:tcPr>
          <w:p w14:paraId="15FAEE28" w14:textId="77777777" w:rsidR="009C3D47" w:rsidRDefault="009C3D47" w:rsidP="00DE1159">
            <w:pPr>
              <w:pStyle w:val="TableheadingleftTables"/>
              <w:jc w:val="right"/>
            </w:pPr>
            <w:r>
              <w:rPr>
                <w:spacing w:val="-3"/>
              </w:rPr>
              <w:t>Performance variation (%)</w:t>
            </w:r>
          </w:p>
        </w:tc>
        <w:tc>
          <w:tcPr>
            <w:tcW w:w="1701" w:type="dxa"/>
          </w:tcPr>
          <w:p w14:paraId="568F3A83" w14:textId="77777777" w:rsidR="009C3D47" w:rsidRDefault="009C3D47" w:rsidP="00F0025B">
            <w:pPr>
              <w:pStyle w:val="TableheadingleftTables"/>
            </w:pPr>
            <w:r>
              <w:t>Result</w:t>
            </w:r>
          </w:p>
        </w:tc>
      </w:tr>
      <w:tr w:rsidR="00B02873" w:rsidRPr="00B02873" w14:paraId="19216D23" w14:textId="77777777" w:rsidTr="00CA65F5">
        <w:tc>
          <w:tcPr>
            <w:tcW w:w="3114" w:type="dxa"/>
          </w:tcPr>
          <w:p w14:paraId="2CB825F7" w14:textId="0C453324" w:rsidR="00B02873" w:rsidRDefault="00B02873" w:rsidP="00B415A9">
            <w:pPr>
              <w:pStyle w:val="TablebodyleftTables"/>
            </w:pPr>
            <w:r>
              <w:t>Environmental watering actions achieved at planned sites</w:t>
            </w:r>
          </w:p>
        </w:tc>
        <w:tc>
          <w:tcPr>
            <w:tcW w:w="1134" w:type="dxa"/>
          </w:tcPr>
          <w:p w14:paraId="2F954CFF" w14:textId="77777777" w:rsidR="00B02873" w:rsidRDefault="00B02873" w:rsidP="00250BC3">
            <w:pPr>
              <w:pStyle w:val="TablebodyleftTables"/>
            </w:pPr>
            <w:r>
              <w:t>per cent</w:t>
            </w:r>
          </w:p>
        </w:tc>
        <w:tc>
          <w:tcPr>
            <w:tcW w:w="1134" w:type="dxa"/>
          </w:tcPr>
          <w:p w14:paraId="0DB7AB6E" w14:textId="77777777" w:rsidR="00B02873" w:rsidRDefault="00B02873" w:rsidP="00DE1159">
            <w:pPr>
              <w:pStyle w:val="TablebodyleftTables"/>
              <w:jc w:val="right"/>
            </w:pPr>
            <w:r>
              <w:t>85.9</w:t>
            </w:r>
          </w:p>
        </w:tc>
        <w:tc>
          <w:tcPr>
            <w:tcW w:w="1134" w:type="dxa"/>
          </w:tcPr>
          <w:p w14:paraId="5A3857CD" w14:textId="77777777" w:rsidR="00B02873" w:rsidRDefault="00B02873" w:rsidP="00DE1159">
            <w:pPr>
              <w:pStyle w:val="TablebodyleftTables"/>
              <w:jc w:val="right"/>
            </w:pPr>
            <w:r>
              <w:t>90</w:t>
            </w:r>
          </w:p>
        </w:tc>
        <w:tc>
          <w:tcPr>
            <w:tcW w:w="1559" w:type="dxa"/>
          </w:tcPr>
          <w:p w14:paraId="3E8D4032" w14:textId="77777777" w:rsidR="00B02873" w:rsidRDefault="00B02873" w:rsidP="00DE1159">
            <w:pPr>
              <w:pStyle w:val="TablebodyleftTables"/>
              <w:jc w:val="right"/>
            </w:pPr>
            <w:r>
              <w:t>(4.6%)</w:t>
            </w:r>
          </w:p>
        </w:tc>
        <w:tc>
          <w:tcPr>
            <w:tcW w:w="1701" w:type="dxa"/>
          </w:tcPr>
          <w:p w14:paraId="4BE48725" w14:textId="6860334D" w:rsidR="00B02873" w:rsidRDefault="00CA65F5" w:rsidP="00250BC3">
            <w:pPr>
              <w:pStyle w:val="TablebodyleftTables"/>
            </w:pPr>
            <w:r>
              <w:t>Performance target not achieved – within 5 per cent variance.</w:t>
            </w:r>
          </w:p>
        </w:tc>
      </w:tr>
      <w:tr w:rsidR="00B02873" w:rsidRPr="00B02873" w14:paraId="16C23C8B" w14:textId="77777777" w:rsidTr="00CA65F5">
        <w:tc>
          <w:tcPr>
            <w:tcW w:w="3114" w:type="dxa"/>
          </w:tcPr>
          <w:p w14:paraId="32649143" w14:textId="77777777" w:rsidR="00B02873" w:rsidRDefault="00B02873" w:rsidP="00B415A9">
            <w:pPr>
              <w:pStyle w:val="TableheadingleftTables"/>
            </w:pPr>
            <w:r>
              <w:t>Quality</w:t>
            </w:r>
          </w:p>
        </w:tc>
        <w:tc>
          <w:tcPr>
            <w:tcW w:w="1134" w:type="dxa"/>
          </w:tcPr>
          <w:p w14:paraId="57257DFF" w14:textId="77777777" w:rsidR="00B02873" w:rsidRPr="00B02873" w:rsidRDefault="00B02873" w:rsidP="00B415A9">
            <w:pPr>
              <w:pStyle w:val="NoParagraphStyle"/>
              <w:spacing w:line="240" w:lineRule="auto"/>
              <w:textAlignment w:val="auto"/>
              <w:rPr>
                <w:rFonts w:ascii="Apple Symbols Regular" w:hAnsi="Apple Symbols Regular" w:cs="Times New Roman"/>
                <w:color w:val="auto"/>
                <w:lang w:val="en-AU"/>
              </w:rPr>
            </w:pPr>
          </w:p>
        </w:tc>
        <w:tc>
          <w:tcPr>
            <w:tcW w:w="1134" w:type="dxa"/>
          </w:tcPr>
          <w:p w14:paraId="545F847D" w14:textId="77777777" w:rsidR="00B02873" w:rsidRPr="00B02873" w:rsidRDefault="00B02873" w:rsidP="00DE1159">
            <w:pPr>
              <w:pStyle w:val="NoParagraphStyle"/>
              <w:spacing w:line="240" w:lineRule="auto"/>
              <w:jc w:val="right"/>
              <w:textAlignment w:val="auto"/>
              <w:rPr>
                <w:rFonts w:ascii="Apple Symbols Regular" w:hAnsi="Apple Symbols Regular" w:cs="Times New Roman"/>
                <w:color w:val="auto"/>
                <w:lang w:val="en-AU"/>
              </w:rPr>
            </w:pPr>
          </w:p>
        </w:tc>
        <w:tc>
          <w:tcPr>
            <w:tcW w:w="1134" w:type="dxa"/>
          </w:tcPr>
          <w:p w14:paraId="6F6A9BFB" w14:textId="77777777" w:rsidR="00B02873" w:rsidRPr="00B02873" w:rsidRDefault="00B02873" w:rsidP="00DE1159">
            <w:pPr>
              <w:pStyle w:val="NoParagraphStyle"/>
              <w:spacing w:line="240" w:lineRule="auto"/>
              <w:jc w:val="right"/>
              <w:textAlignment w:val="auto"/>
              <w:rPr>
                <w:rFonts w:ascii="Apple Symbols Regular" w:hAnsi="Apple Symbols Regular" w:cs="Times New Roman"/>
                <w:color w:val="auto"/>
                <w:lang w:val="en-AU"/>
              </w:rPr>
            </w:pPr>
          </w:p>
        </w:tc>
        <w:tc>
          <w:tcPr>
            <w:tcW w:w="1559" w:type="dxa"/>
          </w:tcPr>
          <w:p w14:paraId="67EECD97" w14:textId="77777777" w:rsidR="00B02873" w:rsidRPr="00B02873" w:rsidRDefault="00B02873" w:rsidP="00DE1159">
            <w:pPr>
              <w:pStyle w:val="NoParagraphStyle"/>
              <w:spacing w:line="240" w:lineRule="auto"/>
              <w:jc w:val="right"/>
              <w:textAlignment w:val="auto"/>
              <w:rPr>
                <w:rFonts w:ascii="Apple Symbols Regular" w:hAnsi="Apple Symbols Regular" w:cs="Times New Roman"/>
                <w:color w:val="auto"/>
                <w:lang w:val="en-AU"/>
              </w:rPr>
            </w:pPr>
          </w:p>
        </w:tc>
        <w:tc>
          <w:tcPr>
            <w:tcW w:w="1701" w:type="dxa"/>
          </w:tcPr>
          <w:p w14:paraId="4F51F8CA" w14:textId="77777777" w:rsidR="00B02873" w:rsidRPr="00B02873" w:rsidRDefault="00B02873" w:rsidP="00B415A9">
            <w:pPr>
              <w:pStyle w:val="NoParagraphStyle"/>
              <w:spacing w:line="240" w:lineRule="auto"/>
              <w:textAlignment w:val="auto"/>
              <w:rPr>
                <w:rFonts w:ascii="Apple Symbols Regular" w:hAnsi="Apple Symbols Regular" w:cs="Times New Roman"/>
                <w:color w:val="auto"/>
                <w:lang w:val="en-AU"/>
              </w:rPr>
            </w:pPr>
          </w:p>
        </w:tc>
      </w:tr>
      <w:tr w:rsidR="00B02873" w:rsidRPr="00B02873" w14:paraId="390E91D3" w14:textId="77777777" w:rsidTr="00CA65F5">
        <w:tc>
          <w:tcPr>
            <w:tcW w:w="3114" w:type="dxa"/>
          </w:tcPr>
          <w:p w14:paraId="34996E33" w14:textId="77777777" w:rsidR="00B02873" w:rsidRDefault="00B02873" w:rsidP="00B415A9">
            <w:pPr>
              <w:pStyle w:val="TablebodyleftTables"/>
            </w:pPr>
            <w:r>
              <w:t>Compliance with the salinity management actions agreed in the Murray Darling Basin Agreement</w:t>
            </w:r>
          </w:p>
        </w:tc>
        <w:tc>
          <w:tcPr>
            <w:tcW w:w="1134" w:type="dxa"/>
          </w:tcPr>
          <w:p w14:paraId="7D255BDD" w14:textId="77777777" w:rsidR="00B02873" w:rsidRDefault="00B02873" w:rsidP="00250BC3">
            <w:pPr>
              <w:pStyle w:val="TablebodyleftTables"/>
            </w:pPr>
            <w:r>
              <w:t>per cent</w:t>
            </w:r>
          </w:p>
        </w:tc>
        <w:tc>
          <w:tcPr>
            <w:tcW w:w="1134" w:type="dxa"/>
          </w:tcPr>
          <w:p w14:paraId="1D42161D" w14:textId="77777777" w:rsidR="00B02873" w:rsidRDefault="00B02873" w:rsidP="00DE1159">
            <w:pPr>
              <w:pStyle w:val="TablebodyleftTables"/>
              <w:jc w:val="right"/>
            </w:pPr>
            <w:r>
              <w:t>100</w:t>
            </w:r>
          </w:p>
        </w:tc>
        <w:tc>
          <w:tcPr>
            <w:tcW w:w="1134" w:type="dxa"/>
          </w:tcPr>
          <w:p w14:paraId="0B570E83" w14:textId="77777777" w:rsidR="00B02873" w:rsidRDefault="00B02873" w:rsidP="00DE1159">
            <w:pPr>
              <w:pStyle w:val="TablebodyleftTables"/>
              <w:jc w:val="right"/>
            </w:pPr>
            <w:r>
              <w:t>100</w:t>
            </w:r>
          </w:p>
        </w:tc>
        <w:tc>
          <w:tcPr>
            <w:tcW w:w="1559" w:type="dxa"/>
          </w:tcPr>
          <w:p w14:paraId="25D45F01" w14:textId="77777777" w:rsidR="00B02873" w:rsidRDefault="00B02873" w:rsidP="00DE1159">
            <w:pPr>
              <w:pStyle w:val="TablebodyleftTables"/>
              <w:jc w:val="right"/>
            </w:pPr>
            <w:r>
              <w:t>0%</w:t>
            </w:r>
          </w:p>
        </w:tc>
        <w:tc>
          <w:tcPr>
            <w:tcW w:w="1701" w:type="dxa"/>
          </w:tcPr>
          <w:p w14:paraId="5F4D71AB" w14:textId="124D3656" w:rsidR="00B02873" w:rsidRDefault="00CA65F5" w:rsidP="00250BC3">
            <w:pPr>
              <w:pStyle w:val="TablebodyleftTables"/>
            </w:pPr>
            <w:r>
              <w:t>Performance target achieved or exceeded.</w:t>
            </w:r>
          </w:p>
        </w:tc>
      </w:tr>
      <w:tr w:rsidR="00B02873" w:rsidRPr="00B02873" w14:paraId="52769DF4" w14:textId="77777777" w:rsidTr="00CA65F5">
        <w:tc>
          <w:tcPr>
            <w:tcW w:w="3114" w:type="dxa"/>
          </w:tcPr>
          <w:p w14:paraId="7EFD2A49" w14:textId="77777777" w:rsidR="00B02873" w:rsidRDefault="00B02873" w:rsidP="00B415A9">
            <w:pPr>
              <w:pStyle w:val="TablebodyleftTables"/>
            </w:pPr>
            <w:r>
              <w:t>Victorian Water Register system availability per annum</w:t>
            </w:r>
          </w:p>
        </w:tc>
        <w:tc>
          <w:tcPr>
            <w:tcW w:w="1134" w:type="dxa"/>
          </w:tcPr>
          <w:p w14:paraId="514C1C2B" w14:textId="77777777" w:rsidR="00B02873" w:rsidRDefault="00B02873" w:rsidP="00250BC3">
            <w:pPr>
              <w:pStyle w:val="TablebodyleftTables"/>
            </w:pPr>
            <w:r>
              <w:t>per cent</w:t>
            </w:r>
          </w:p>
        </w:tc>
        <w:tc>
          <w:tcPr>
            <w:tcW w:w="1134" w:type="dxa"/>
          </w:tcPr>
          <w:p w14:paraId="6FE17BF4" w14:textId="77777777" w:rsidR="00B02873" w:rsidRDefault="00B02873" w:rsidP="00DE1159">
            <w:pPr>
              <w:pStyle w:val="TablebodyleftTables"/>
              <w:jc w:val="right"/>
            </w:pPr>
            <w:r>
              <w:t>95</w:t>
            </w:r>
          </w:p>
        </w:tc>
        <w:tc>
          <w:tcPr>
            <w:tcW w:w="1134" w:type="dxa"/>
          </w:tcPr>
          <w:p w14:paraId="385D33C8" w14:textId="77777777" w:rsidR="00B02873" w:rsidRDefault="00B02873" w:rsidP="00DE1159">
            <w:pPr>
              <w:pStyle w:val="TablebodyleftTables"/>
              <w:jc w:val="right"/>
            </w:pPr>
            <w:r>
              <w:t>95.8</w:t>
            </w:r>
          </w:p>
        </w:tc>
        <w:tc>
          <w:tcPr>
            <w:tcW w:w="1559" w:type="dxa"/>
          </w:tcPr>
          <w:p w14:paraId="6A98481C" w14:textId="77777777" w:rsidR="00B02873" w:rsidRDefault="00B02873" w:rsidP="00DE1159">
            <w:pPr>
              <w:pStyle w:val="TablebodyleftTables"/>
              <w:jc w:val="right"/>
            </w:pPr>
            <w:r>
              <w:t>(1%)</w:t>
            </w:r>
          </w:p>
        </w:tc>
        <w:tc>
          <w:tcPr>
            <w:tcW w:w="1701" w:type="dxa"/>
          </w:tcPr>
          <w:p w14:paraId="6F134CCF" w14:textId="6CC62D65" w:rsidR="00B02873" w:rsidRDefault="00CA65F5" w:rsidP="00250BC3">
            <w:pPr>
              <w:pStyle w:val="TablebodyleftTables"/>
            </w:pPr>
            <w:r>
              <w:t>Performance target not achieved – within 5 per cent variance.</w:t>
            </w:r>
          </w:p>
        </w:tc>
      </w:tr>
      <w:tr w:rsidR="00B02873" w:rsidRPr="00B02873" w14:paraId="6A3DE18B" w14:textId="77777777" w:rsidTr="00CA65F5">
        <w:tc>
          <w:tcPr>
            <w:tcW w:w="3114" w:type="dxa"/>
          </w:tcPr>
          <w:p w14:paraId="2B96841E" w14:textId="55C79A75" w:rsidR="00B02873" w:rsidRDefault="00B02873" w:rsidP="00B415A9">
            <w:pPr>
              <w:pStyle w:val="TablebodyleftTables"/>
            </w:pPr>
            <w:r>
              <w:t>Waterway and catchment health priority projects delivered involving community and sector partners</w:t>
            </w:r>
          </w:p>
        </w:tc>
        <w:tc>
          <w:tcPr>
            <w:tcW w:w="1134" w:type="dxa"/>
          </w:tcPr>
          <w:p w14:paraId="48572AA5" w14:textId="77777777" w:rsidR="00B02873" w:rsidRDefault="00B02873" w:rsidP="00250BC3">
            <w:pPr>
              <w:pStyle w:val="TablebodyleftTables"/>
            </w:pPr>
            <w:r>
              <w:t>per cent</w:t>
            </w:r>
          </w:p>
        </w:tc>
        <w:tc>
          <w:tcPr>
            <w:tcW w:w="1134" w:type="dxa"/>
          </w:tcPr>
          <w:p w14:paraId="530BDB2D" w14:textId="77777777" w:rsidR="00B02873" w:rsidRDefault="00B02873" w:rsidP="00DE1159">
            <w:pPr>
              <w:pStyle w:val="TablebodyleftTables"/>
              <w:jc w:val="right"/>
            </w:pPr>
            <w:r>
              <w:t>98</w:t>
            </w:r>
          </w:p>
        </w:tc>
        <w:tc>
          <w:tcPr>
            <w:tcW w:w="1134" w:type="dxa"/>
          </w:tcPr>
          <w:p w14:paraId="08E42205" w14:textId="77777777" w:rsidR="00B02873" w:rsidRDefault="00B02873" w:rsidP="00DE1159">
            <w:pPr>
              <w:pStyle w:val="TablebodyleftTables"/>
              <w:jc w:val="right"/>
            </w:pPr>
            <w:r>
              <w:t>90</w:t>
            </w:r>
          </w:p>
        </w:tc>
        <w:tc>
          <w:tcPr>
            <w:tcW w:w="1559" w:type="dxa"/>
          </w:tcPr>
          <w:p w14:paraId="32F9D709" w14:textId="77777777" w:rsidR="00B02873" w:rsidRDefault="00B02873" w:rsidP="00DE1159">
            <w:pPr>
              <w:pStyle w:val="TablebodyleftTables"/>
              <w:jc w:val="right"/>
            </w:pPr>
            <w:r>
              <w:t>9%</w:t>
            </w:r>
          </w:p>
        </w:tc>
        <w:tc>
          <w:tcPr>
            <w:tcW w:w="1701" w:type="dxa"/>
          </w:tcPr>
          <w:p w14:paraId="35BB371B" w14:textId="62EBFCC6" w:rsidR="00B02873" w:rsidRDefault="00CA65F5" w:rsidP="00250BC3">
            <w:pPr>
              <w:pStyle w:val="TablebodyleftTables"/>
            </w:pPr>
            <w:r>
              <w:t>Performance target achieved or exceeded.</w:t>
            </w:r>
          </w:p>
        </w:tc>
      </w:tr>
    </w:tbl>
    <w:p w14:paraId="169A88CE" w14:textId="0D39797D" w:rsidR="00F74F44" w:rsidRPr="00F74F44" w:rsidRDefault="00F74F44">
      <w:pPr>
        <w:rPr>
          <w:i/>
          <w:iCs/>
        </w:rPr>
      </w:pPr>
      <w:r w:rsidRPr="00F74F44">
        <w:rPr>
          <w:i/>
          <w:iCs/>
        </w:rPr>
        <w:t>Performance is above target reflecting Catchment Management Authorities’ commitment to engaging with community and sector partners.</w:t>
      </w:r>
    </w:p>
    <w:tbl>
      <w:tblPr>
        <w:tblStyle w:val="TableGrid"/>
        <w:tblW w:w="9776" w:type="dxa"/>
        <w:tblLayout w:type="fixed"/>
        <w:tblLook w:val="0020" w:firstRow="1" w:lastRow="0" w:firstColumn="0" w:lastColumn="0" w:noHBand="0" w:noVBand="0"/>
      </w:tblPr>
      <w:tblGrid>
        <w:gridCol w:w="3114"/>
        <w:gridCol w:w="1134"/>
        <w:gridCol w:w="1134"/>
        <w:gridCol w:w="1134"/>
        <w:gridCol w:w="1559"/>
        <w:gridCol w:w="1701"/>
      </w:tblGrid>
      <w:tr w:rsidR="009C3D47" w:rsidRPr="00B02873" w14:paraId="3E6EBFA3" w14:textId="77777777" w:rsidTr="00F0025B">
        <w:trPr>
          <w:cnfStyle w:val="100000000000" w:firstRow="1" w:lastRow="0" w:firstColumn="0" w:lastColumn="0" w:oddVBand="0" w:evenVBand="0" w:oddHBand="0" w:evenHBand="0" w:firstRowFirstColumn="0" w:firstRowLastColumn="0" w:lastRowFirstColumn="0" w:lastRowLastColumn="0"/>
          <w:tblHeader/>
        </w:trPr>
        <w:tc>
          <w:tcPr>
            <w:tcW w:w="3114" w:type="dxa"/>
          </w:tcPr>
          <w:p w14:paraId="46329B70" w14:textId="77777777" w:rsidR="009C3D47" w:rsidRDefault="009C3D47" w:rsidP="00F0025B">
            <w:pPr>
              <w:pStyle w:val="TableheadingleftTables"/>
            </w:pPr>
            <w:r>
              <w:t>Output performance measures</w:t>
            </w:r>
          </w:p>
        </w:tc>
        <w:tc>
          <w:tcPr>
            <w:tcW w:w="1134" w:type="dxa"/>
          </w:tcPr>
          <w:p w14:paraId="1E81F5BA" w14:textId="77777777" w:rsidR="009C3D47" w:rsidRDefault="009C3D47" w:rsidP="00F0025B">
            <w:pPr>
              <w:pStyle w:val="TableheadingleftTables"/>
            </w:pPr>
            <w:r>
              <w:t>Unit of measure</w:t>
            </w:r>
          </w:p>
        </w:tc>
        <w:tc>
          <w:tcPr>
            <w:tcW w:w="1134" w:type="dxa"/>
          </w:tcPr>
          <w:p w14:paraId="7ABC9278" w14:textId="77777777" w:rsidR="009C3D47" w:rsidRDefault="009C3D47" w:rsidP="00DE1159">
            <w:pPr>
              <w:pStyle w:val="TableheadingleftTables"/>
              <w:jc w:val="right"/>
            </w:pPr>
            <w:r>
              <w:t>2021-22 actual</w:t>
            </w:r>
          </w:p>
        </w:tc>
        <w:tc>
          <w:tcPr>
            <w:tcW w:w="1134" w:type="dxa"/>
          </w:tcPr>
          <w:p w14:paraId="2F4C04C0" w14:textId="77777777" w:rsidR="009C3D47" w:rsidRDefault="009C3D47" w:rsidP="00DE1159">
            <w:pPr>
              <w:pStyle w:val="TableheadingleftTables"/>
              <w:jc w:val="right"/>
            </w:pPr>
            <w:r>
              <w:t>2021-22 target</w:t>
            </w:r>
          </w:p>
        </w:tc>
        <w:tc>
          <w:tcPr>
            <w:tcW w:w="1559" w:type="dxa"/>
          </w:tcPr>
          <w:p w14:paraId="125EF6AB" w14:textId="77777777" w:rsidR="009C3D47" w:rsidRDefault="009C3D47" w:rsidP="00DE1159">
            <w:pPr>
              <w:pStyle w:val="TableheadingleftTables"/>
              <w:jc w:val="right"/>
            </w:pPr>
            <w:r>
              <w:rPr>
                <w:spacing w:val="-3"/>
              </w:rPr>
              <w:t>Performance variation (%)</w:t>
            </w:r>
          </w:p>
        </w:tc>
        <w:tc>
          <w:tcPr>
            <w:tcW w:w="1701" w:type="dxa"/>
          </w:tcPr>
          <w:p w14:paraId="6029CB72" w14:textId="77777777" w:rsidR="009C3D47" w:rsidRDefault="009C3D47" w:rsidP="00F0025B">
            <w:pPr>
              <w:pStyle w:val="TableheadingleftTables"/>
            </w:pPr>
            <w:r>
              <w:t>Result</w:t>
            </w:r>
          </w:p>
        </w:tc>
      </w:tr>
      <w:tr w:rsidR="00B02873" w:rsidRPr="00B02873" w14:paraId="13A72B70" w14:textId="77777777" w:rsidTr="00CA65F5">
        <w:tc>
          <w:tcPr>
            <w:tcW w:w="3114" w:type="dxa"/>
          </w:tcPr>
          <w:p w14:paraId="594A1146" w14:textId="77777777" w:rsidR="00B02873" w:rsidRDefault="00B02873" w:rsidP="00B415A9">
            <w:pPr>
              <w:pStyle w:val="TableheadingleftTables"/>
            </w:pPr>
            <w:r>
              <w:t>Timeliness</w:t>
            </w:r>
          </w:p>
        </w:tc>
        <w:tc>
          <w:tcPr>
            <w:tcW w:w="1134" w:type="dxa"/>
          </w:tcPr>
          <w:p w14:paraId="098598A7" w14:textId="77777777" w:rsidR="00B02873" w:rsidRPr="00B02873" w:rsidRDefault="00B02873" w:rsidP="00B415A9">
            <w:pPr>
              <w:pStyle w:val="NoParagraphStyle"/>
              <w:spacing w:line="240" w:lineRule="auto"/>
              <w:textAlignment w:val="auto"/>
              <w:rPr>
                <w:rFonts w:ascii="Apple Symbols Regular" w:hAnsi="Apple Symbols Regular" w:cs="Times New Roman"/>
                <w:color w:val="auto"/>
                <w:lang w:val="en-AU"/>
              </w:rPr>
            </w:pPr>
          </w:p>
        </w:tc>
        <w:tc>
          <w:tcPr>
            <w:tcW w:w="1134" w:type="dxa"/>
          </w:tcPr>
          <w:p w14:paraId="653DF98F" w14:textId="77777777" w:rsidR="00B02873" w:rsidRPr="00B02873" w:rsidRDefault="00B02873" w:rsidP="00DE1159">
            <w:pPr>
              <w:pStyle w:val="NoParagraphStyle"/>
              <w:spacing w:line="240" w:lineRule="auto"/>
              <w:jc w:val="right"/>
              <w:textAlignment w:val="auto"/>
              <w:rPr>
                <w:rFonts w:ascii="Apple Symbols Regular" w:hAnsi="Apple Symbols Regular" w:cs="Times New Roman"/>
                <w:color w:val="auto"/>
                <w:lang w:val="en-AU"/>
              </w:rPr>
            </w:pPr>
          </w:p>
        </w:tc>
        <w:tc>
          <w:tcPr>
            <w:tcW w:w="1134" w:type="dxa"/>
          </w:tcPr>
          <w:p w14:paraId="159BDA50" w14:textId="77777777" w:rsidR="00B02873" w:rsidRPr="00B02873" w:rsidRDefault="00B02873" w:rsidP="00DE1159">
            <w:pPr>
              <w:pStyle w:val="NoParagraphStyle"/>
              <w:spacing w:line="240" w:lineRule="auto"/>
              <w:jc w:val="right"/>
              <w:textAlignment w:val="auto"/>
              <w:rPr>
                <w:rFonts w:ascii="Apple Symbols Regular" w:hAnsi="Apple Symbols Regular" w:cs="Times New Roman"/>
                <w:color w:val="auto"/>
                <w:lang w:val="en-AU"/>
              </w:rPr>
            </w:pPr>
          </w:p>
        </w:tc>
        <w:tc>
          <w:tcPr>
            <w:tcW w:w="1559" w:type="dxa"/>
          </w:tcPr>
          <w:p w14:paraId="1712F01A" w14:textId="77777777" w:rsidR="00B02873" w:rsidRPr="00B02873" w:rsidRDefault="00B02873" w:rsidP="00DE1159">
            <w:pPr>
              <w:pStyle w:val="NoParagraphStyle"/>
              <w:spacing w:line="240" w:lineRule="auto"/>
              <w:jc w:val="right"/>
              <w:textAlignment w:val="auto"/>
              <w:rPr>
                <w:rFonts w:ascii="Apple Symbols Regular" w:hAnsi="Apple Symbols Regular" w:cs="Times New Roman"/>
                <w:color w:val="auto"/>
                <w:lang w:val="en-AU"/>
              </w:rPr>
            </w:pPr>
          </w:p>
        </w:tc>
        <w:tc>
          <w:tcPr>
            <w:tcW w:w="1701" w:type="dxa"/>
          </w:tcPr>
          <w:p w14:paraId="4C91E265" w14:textId="77777777" w:rsidR="00B02873" w:rsidRPr="00B02873" w:rsidRDefault="00B02873" w:rsidP="00B415A9">
            <w:pPr>
              <w:pStyle w:val="NoParagraphStyle"/>
              <w:spacing w:line="240" w:lineRule="auto"/>
              <w:textAlignment w:val="auto"/>
              <w:rPr>
                <w:rFonts w:ascii="Apple Symbols Regular" w:hAnsi="Apple Symbols Regular" w:cs="Times New Roman"/>
                <w:color w:val="auto"/>
                <w:lang w:val="en-AU"/>
              </w:rPr>
            </w:pPr>
          </w:p>
        </w:tc>
      </w:tr>
      <w:tr w:rsidR="00B02873" w:rsidRPr="00B02873" w14:paraId="60B153FA" w14:textId="77777777" w:rsidTr="00CA65F5">
        <w:tc>
          <w:tcPr>
            <w:tcW w:w="3114" w:type="dxa"/>
          </w:tcPr>
          <w:p w14:paraId="0F3A2D00" w14:textId="77777777" w:rsidR="00B02873" w:rsidRDefault="00B02873" w:rsidP="00B415A9">
            <w:pPr>
              <w:pStyle w:val="TablebodyleftTables"/>
            </w:pPr>
            <w:r>
              <w:t>Waterway licenses and permits processed within statutory timeframes</w:t>
            </w:r>
          </w:p>
        </w:tc>
        <w:tc>
          <w:tcPr>
            <w:tcW w:w="1134" w:type="dxa"/>
          </w:tcPr>
          <w:p w14:paraId="45DD0D26" w14:textId="77777777" w:rsidR="00B02873" w:rsidRDefault="00B02873" w:rsidP="00250BC3">
            <w:pPr>
              <w:pStyle w:val="TablebodyleftTables"/>
            </w:pPr>
            <w:r>
              <w:t>per cent</w:t>
            </w:r>
          </w:p>
        </w:tc>
        <w:tc>
          <w:tcPr>
            <w:tcW w:w="1134" w:type="dxa"/>
          </w:tcPr>
          <w:p w14:paraId="4C4E54D4" w14:textId="77777777" w:rsidR="00B02873" w:rsidRDefault="00B02873" w:rsidP="00DE1159">
            <w:pPr>
              <w:pStyle w:val="TablebodyleftTables"/>
              <w:jc w:val="right"/>
            </w:pPr>
            <w:r>
              <w:t>94</w:t>
            </w:r>
          </w:p>
        </w:tc>
        <w:tc>
          <w:tcPr>
            <w:tcW w:w="1134" w:type="dxa"/>
          </w:tcPr>
          <w:p w14:paraId="741923AD" w14:textId="77777777" w:rsidR="00B02873" w:rsidRDefault="00B02873" w:rsidP="00DE1159">
            <w:pPr>
              <w:pStyle w:val="TablebodyleftTables"/>
              <w:jc w:val="right"/>
            </w:pPr>
            <w:r>
              <w:t>90</w:t>
            </w:r>
          </w:p>
        </w:tc>
        <w:tc>
          <w:tcPr>
            <w:tcW w:w="1559" w:type="dxa"/>
          </w:tcPr>
          <w:p w14:paraId="037A9BD0" w14:textId="77777777" w:rsidR="00B02873" w:rsidRDefault="00B02873" w:rsidP="00DE1159">
            <w:pPr>
              <w:pStyle w:val="TablebodyleftTables"/>
              <w:jc w:val="right"/>
            </w:pPr>
            <w:r>
              <w:t>4%</w:t>
            </w:r>
          </w:p>
        </w:tc>
        <w:tc>
          <w:tcPr>
            <w:tcW w:w="1701" w:type="dxa"/>
          </w:tcPr>
          <w:p w14:paraId="11B826B3" w14:textId="1B929F0A" w:rsidR="00B02873" w:rsidRDefault="00CA65F5" w:rsidP="00250BC3">
            <w:pPr>
              <w:pStyle w:val="TablebodyleftTables"/>
            </w:pPr>
            <w:r>
              <w:t>Performance target achieved or exceeded.</w:t>
            </w:r>
          </w:p>
        </w:tc>
      </w:tr>
      <w:tr w:rsidR="00B02873" w:rsidRPr="00B02873" w14:paraId="5DA23086" w14:textId="77777777" w:rsidTr="00CA65F5">
        <w:tc>
          <w:tcPr>
            <w:tcW w:w="3114" w:type="dxa"/>
          </w:tcPr>
          <w:p w14:paraId="0DEF8B72" w14:textId="77777777" w:rsidR="00B02873" w:rsidRDefault="00B02873" w:rsidP="00B415A9">
            <w:pPr>
              <w:pStyle w:val="TableheadingleftTables"/>
            </w:pPr>
            <w:r>
              <w:lastRenderedPageBreak/>
              <w:t>Cost</w:t>
            </w:r>
          </w:p>
        </w:tc>
        <w:tc>
          <w:tcPr>
            <w:tcW w:w="1134" w:type="dxa"/>
          </w:tcPr>
          <w:p w14:paraId="39C53DED" w14:textId="77777777" w:rsidR="00B02873" w:rsidRPr="00B02873" w:rsidRDefault="00B02873" w:rsidP="00B415A9">
            <w:pPr>
              <w:pStyle w:val="NoParagraphStyle"/>
              <w:spacing w:line="240" w:lineRule="auto"/>
              <w:textAlignment w:val="auto"/>
              <w:rPr>
                <w:rFonts w:ascii="Apple Symbols Regular" w:hAnsi="Apple Symbols Regular" w:cs="Times New Roman"/>
                <w:color w:val="auto"/>
                <w:lang w:val="en-AU"/>
              </w:rPr>
            </w:pPr>
          </w:p>
        </w:tc>
        <w:tc>
          <w:tcPr>
            <w:tcW w:w="1134" w:type="dxa"/>
          </w:tcPr>
          <w:p w14:paraId="5EE578B3" w14:textId="77777777" w:rsidR="00B02873" w:rsidRPr="00B02873" w:rsidRDefault="00B02873" w:rsidP="00DE1159">
            <w:pPr>
              <w:pStyle w:val="NoParagraphStyle"/>
              <w:spacing w:line="240" w:lineRule="auto"/>
              <w:jc w:val="right"/>
              <w:textAlignment w:val="auto"/>
              <w:rPr>
                <w:rFonts w:ascii="Apple Symbols Regular" w:hAnsi="Apple Symbols Regular" w:cs="Times New Roman"/>
                <w:color w:val="auto"/>
                <w:lang w:val="en-AU"/>
              </w:rPr>
            </w:pPr>
          </w:p>
        </w:tc>
        <w:tc>
          <w:tcPr>
            <w:tcW w:w="1134" w:type="dxa"/>
          </w:tcPr>
          <w:p w14:paraId="24544F6F" w14:textId="77777777" w:rsidR="00B02873" w:rsidRPr="00B02873" w:rsidRDefault="00B02873" w:rsidP="00DE1159">
            <w:pPr>
              <w:pStyle w:val="NoParagraphStyle"/>
              <w:spacing w:line="240" w:lineRule="auto"/>
              <w:jc w:val="right"/>
              <w:textAlignment w:val="auto"/>
              <w:rPr>
                <w:rFonts w:ascii="Apple Symbols Regular" w:hAnsi="Apple Symbols Regular" w:cs="Times New Roman"/>
                <w:color w:val="auto"/>
                <w:lang w:val="en-AU"/>
              </w:rPr>
            </w:pPr>
          </w:p>
        </w:tc>
        <w:tc>
          <w:tcPr>
            <w:tcW w:w="1559" w:type="dxa"/>
          </w:tcPr>
          <w:p w14:paraId="51781816" w14:textId="77777777" w:rsidR="00B02873" w:rsidRPr="00B02873" w:rsidRDefault="00B02873" w:rsidP="00DE1159">
            <w:pPr>
              <w:pStyle w:val="NoParagraphStyle"/>
              <w:spacing w:line="240" w:lineRule="auto"/>
              <w:jc w:val="right"/>
              <w:textAlignment w:val="auto"/>
              <w:rPr>
                <w:rFonts w:ascii="Apple Symbols Regular" w:hAnsi="Apple Symbols Regular" w:cs="Times New Roman"/>
                <w:color w:val="auto"/>
                <w:lang w:val="en-AU"/>
              </w:rPr>
            </w:pPr>
          </w:p>
        </w:tc>
        <w:tc>
          <w:tcPr>
            <w:tcW w:w="1701" w:type="dxa"/>
          </w:tcPr>
          <w:p w14:paraId="0740D7C4" w14:textId="77777777" w:rsidR="00B02873" w:rsidRPr="00B02873" w:rsidRDefault="00B02873" w:rsidP="00B415A9">
            <w:pPr>
              <w:pStyle w:val="NoParagraphStyle"/>
              <w:spacing w:line="240" w:lineRule="auto"/>
              <w:textAlignment w:val="auto"/>
              <w:rPr>
                <w:rFonts w:ascii="Apple Symbols Regular" w:hAnsi="Apple Symbols Regular" w:cs="Times New Roman"/>
                <w:color w:val="auto"/>
                <w:lang w:val="en-AU"/>
              </w:rPr>
            </w:pPr>
          </w:p>
        </w:tc>
      </w:tr>
      <w:tr w:rsidR="00B02873" w:rsidRPr="00B02873" w14:paraId="7442EA29" w14:textId="77777777" w:rsidTr="00CA65F5">
        <w:tc>
          <w:tcPr>
            <w:tcW w:w="3114" w:type="dxa"/>
          </w:tcPr>
          <w:p w14:paraId="322C78F8" w14:textId="77777777" w:rsidR="00B02873" w:rsidRDefault="00B02873" w:rsidP="00B415A9">
            <w:pPr>
              <w:pStyle w:val="TablebodyleftTables"/>
            </w:pPr>
            <w:r>
              <w:rPr>
                <w:rStyle w:val="Bold"/>
              </w:rPr>
              <w:t>Total output cost</w:t>
            </w:r>
          </w:p>
        </w:tc>
        <w:tc>
          <w:tcPr>
            <w:tcW w:w="1134" w:type="dxa"/>
          </w:tcPr>
          <w:p w14:paraId="6F299855" w14:textId="77777777" w:rsidR="00B02873" w:rsidRDefault="00B02873" w:rsidP="00250BC3">
            <w:pPr>
              <w:pStyle w:val="TablebodyleftTables"/>
            </w:pPr>
            <w:r>
              <w:t>$ million</w:t>
            </w:r>
          </w:p>
        </w:tc>
        <w:tc>
          <w:tcPr>
            <w:tcW w:w="1134" w:type="dxa"/>
          </w:tcPr>
          <w:p w14:paraId="29C5F7B5" w14:textId="77777777" w:rsidR="00B02873" w:rsidRDefault="00B02873" w:rsidP="00DE1159">
            <w:pPr>
              <w:pStyle w:val="TablebodyleftTables"/>
              <w:jc w:val="right"/>
            </w:pPr>
            <w:r>
              <w:t>346.3</w:t>
            </w:r>
          </w:p>
        </w:tc>
        <w:tc>
          <w:tcPr>
            <w:tcW w:w="1134" w:type="dxa"/>
          </w:tcPr>
          <w:p w14:paraId="2ABC93ED" w14:textId="77777777" w:rsidR="00B02873" w:rsidRDefault="00B02873" w:rsidP="00DE1159">
            <w:pPr>
              <w:pStyle w:val="TablebodyleftTables"/>
              <w:jc w:val="right"/>
            </w:pPr>
            <w:r>
              <w:t>317.7</w:t>
            </w:r>
          </w:p>
        </w:tc>
        <w:tc>
          <w:tcPr>
            <w:tcW w:w="1559" w:type="dxa"/>
          </w:tcPr>
          <w:p w14:paraId="1F83B547" w14:textId="77777777" w:rsidR="00B02873" w:rsidRDefault="00B02873" w:rsidP="00DE1159">
            <w:pPr>
              <w:pStyle w:val="TablebodyleftTables"/>
              <w:jc w:val="right"/>
            </w:pPr>
            <w:r>
              <w:t>9%</w:t>
            </w:r>
          </w:p>
        </w:tc>
        <w:tc>
          <w:tcPr>
            <w:tcW w:w="1701" w:type="dxa"/>
          </w:tcPr>
          <w:p w14:paraId="1ACE37E4" w14:textId="14E07F09" w:rsidR="00B02873" w:rsidRDefault="00CA65F5" w:rsidP="00250BC3">
            <w:pPr>
              <w:pStyle w:val="TablebodyleftTables"/>
            </w:pPr>
            <w:r>
              <w:t>Performance target not achieved – exceeds 5 per cent variance.</w:t>
            </w:r>
          </w:p>
        </w:tc>
      </w:tr>
    </w:tbl>
    <w:p w14:paraId="405218FC" w14:textId="4567FF6C" w:rsidR="00F74F44" w:rsidRPr="00F74F44" w:rsidRDefault="00F74F44">
      <w:pPr>
        <w:rPr>
          <w:i/>
          <w:iCs/>
        </w:rPr>
      </w:pPr>
      <w:r w:rsidRPr="00F74F44">
        <w:rPr>
          <w:i/>
          <w:iCs/>
        </w:rPr>
        <w:t>The higher than budgeted output cost is primarily due to an increase in Commonwealth funding for the Sustainable Rural Water Use and Infrastructure and Schedule Victoria – National Flood Mitigation Infrastructure programs.</w:t>
      </w:r>
    </w:p>
    <w:p w14:paraId="2881FB06" w14:textId="77777777" w:rsidR="00B02873" w:rsidRDefault="00B02873" w:rsidP="009C3D47">
      <w:pPr>
        <w:pStyle w:val="Heading2"/>
      </w:pPr>
      <w:bookmarkStart w:id="16" w:name="_Toc117447357"/>
      <w:r>
        <w:t>A safe and quality built environment</w:t>
      </w:r>
      <w:bookmarkEnd w:id="16"/>
    </w:p>
    <w:p w14:paraId="1D87D8EB" w14:textId="09A44FAA" w:rsidR="00B02873" w:rsidRPr="00DE1159" w:rsidRDefault="009C3D47" w:rsidP="001128B1">
      <w:pPr>
        <w:pStyle w:val="Number1Lists"/>
        <w:numPr>
          <w:ilvl w:val="0"/>
          <w:numId w:val="61"/>
        </w:numPr>
      </w:pPr>
      <w:r w:rsidRPr="00DE1159">
        <w:t>Sustainable cities and communities</w:t>
      </w:r>
    </w:p>
    <w:p w14:paraId="564632A7" w14:textId="40E042FB" w:rsidR="009C3D47" w:rsidRPr="00DE1159" w:rsidRDefault="009C3D47" w:rsidP="00DE1159">
      <w:pPr>
        <w:pStyle w:val="Number1Lists"/>
      </w:pPr>
      <w:r w:rsidRPr="00DE1159">
        <w:t>Decent work and economic growth</w:t>
      </w:r>
    </w:p>
    <w:p w14:paraId="767675E4" w14:textId="32D3A166" w:rsidR="009C3D47" w:rsidRPr="00DE1159" w:rsidRDefault="009C3D47" w:rsidP="00DE1159">
      <w:pPr>
        <w:pStyle w:val="Number1Lists"/>
      </w:pPr>
      <w:r w:rsidRPr="00DE1159">
        <w:t>Industry, innovation and infrastructure</w:t>
      </w:r>
    </w:p>
    <w:p w14:paraId="7BE3A788" w14:textId="0C8364D3" w:rsidR="009C3D47" w:rsidRDefault="009C3D47" w:rsidP="00DE1159">
      <w:pPr>
        <w:pStyle w:val="Number1Listslast"/>
      </w:pPr>
      <w:r w:rsidRPr="00DE1159">
        <w:t>Peace</w:t>
      </w:r>
      <w:r>
        <w:t>, justice and strong institutions</w:t>
      </w:r>
    </w:p>
    <w:p w14:paraId="7F996AA3" w14:textId="77777777" w:rsidR="00B02873" w:rsidRDefault="00B02873" w:rsidP="009C3D47">
      <w:pPr>
        <w:pStyle w:val="Heading3"/>
      </w:pPr>
      <w:r>
        <w:t>Progress towards achieving this objective</w:t>
      </w:r>
    </w:p>
    <w:p w14:paraId="3B9CE30E" w14:textId="77777777" w:rsidR="00B02873" w:rsidRDefault="00B02873" w:rsidP="009C3D47">
      <w:pPr>
        <w:pStyle w:val="Heading4"/>
      </w:pPr>
      <w:r>
        <w:t>Context</w:t>
      </w:r>
    </w:p>
    <w:p w14:paraId="0CBF6309" w14:textId="77777777" w:rsidR="00B02873" w:rsidRDefault="00B02873" w:rsidP="00FE198A">
      <w:r>
        <w:t xml:space="preserve">Victoria’s DELWP shapes the long-term vision for the spatial pattern of land-use and built form for Victoria. </w:t>
      </w:r>
    </w:p>
    <w:p w14:paraId="254706AB" w14:textId="77777777" w:rsidR="00B02873" w:rsidRDefault="00B02873" w:rsidP="00FE198A">
      <w:r>
        <w:t>In doing so we unlock economic opportunity and optimise positive social and environmental outcomes for Victorians. The department leads cities and regional growth policy to deliver positive outcomes for everyone who lives, works, invests in and visits Victoria. We reform policy, legislation, regulation and systems to help protect our heritage and environment; build productive, sustainable and resilient communities, and achieve better outcomes for consumers and industry.</w:t>
      </w:r>
    </w:p>
    <w:p w14:paraId="30D7A304" w14:textId="77777777" w:rsidR="00B02873" w:rsidRDefault="00B02873" w:rsidP="00FE198A">
      <w:r>
        <w:t>We shape the agenda and engage stakeholders in conversations and creative problem solving to develop innovative and practical approaches to maintaining Victoria’s liveability. We manage heritage issues in Victoria in a holistic manner to ensure consistency across neighbourhoods and the state. We identify opportunities to support future industries identified as having the potential to drive jobs growth and investment. An integrated approach to managing our built and natural environment is crucial to accommodating population growth and changes, in order to maintain our world class liveability and protect our heritage.</w:t>
      </w:r>
    </w:p>
    <w:p w14:paraId="5B95A293" w14:textId="77777777" w:rsidR="00B02873" w:rsidRDefault="00B02873" w:rsidP="00FE198A">
      <w:r>
        <w:rPr>
          <w:spacing w:val="-4"/>
        </w:rPr>
        <w:t>The quality of our built and natural environments influences Victoria’s ability to attract jobs, investment and skills.</w:t>
      </w:r>
    </w:p>
    <w:p w14:paraId="168ABE3E" w14:textId="77777777" w:rsidR="00B02873" w:rsidRDefault="00B02873" w:rsidP="00FE198A">
      <w:r>
        <w:t>Victoria is projected to reach a population of 11.2 million by 2056. It is therefore essential that planning processes work to maintain our liveability and give growing communities the services, transport links, and infrastructure they deserve.</w:t>
      </w:r>
    </w:p>
    <w:p w14:paraId="63B10605" w14:textId="26904904" w:rsidR="00B02873" w:rsidRPr="009C3D47" w:rsidRDefault="00B02873" w:rsidP="00FE198A">
      <w:pPr>
        <w:rPr>
          <w:rFonts w:asciiTheme="minorHAnsi" w:hAnsiTheme="minorHAnsi" w:cstheme="minorHAnsi"/>
          <w:color w:val="100149"/>
          <w:sz w:val="20"/>
          <w:szCs w:val="20"/>
        </w:rPr>
      </w:pPr>
      <w:r w:rsidRPr="009C3D47">
        <w:rPr>
          <w:rStyle w:val="LightItalic"/>
          <w:rFonts w:asciiTheme="minorHAnsi" w:hAnsiTheme="minorHAnsi" w:cstheme="minorHAnsi"/>
        </w:rPr>
        <w:t>Plan Melbourne</w:t>
      </w:r>
      <w:r>
        <w:t xml:space="preserve"> guides the sustainable development of metropolitan Melbourne to 2050. It sets the strategy for supporting jobs, housing and transport, while building on Melbourne’s legacy of distinctiveness, liveability and sustainability. In addition, eight </w:t>
      </w:r>
      <w:r w:rsidRPr="009C3D47">
        <w:rPr>
          <w:rStyle w:val="LightItalic"/>
          <w:rFonts w:asciiTheme="minorHAnsi" w:hAnsiTheme="minorHAnsi" w:cstheme="minorHAnsi"/>
        </w:rPr>
        <w:t>Regional Growth Plans</w:t>
      </w:r>
      <w:r>
        <w:t xml:space="preserve"> provide long-term planning to guide growth and manage change across all of Victoria</w:t>
      </w:r>
      <w:r w:rsidR="009C3D47">
        <w:t>.</w:t>
      </w:r>
    </w:p>
    <w:tbl>
      <w:tblPr>
        <w:tblStyle w:val="TableGrid"/>
        <w:tblW w:w="0" w:type="auto"/>
        <w:tblLayout w:type="fixed"/>
        <w:tblLook w:val="0020" w:firstRow="1" w:lastRow="0" w:firstColumn="0" w:lastColumn="0" w:noHBand="0" w:noVBand="0"/>
      </w:tblPr>
      <w:tblGrid>
        <w:gridCol w:w="2339"/>
        <w:gridCol w:w="7289"/>
      </w:tblGrid>
      <w:tr w:rsidR="00B02873" w:rsidRPr="00B02873" w14:paraId="38CEC513" w14:textId="77777777" w:rsidTr="00E612B7">
        <w:trPr>
          <w:cnfStyle w:val="100000000000" w:firstRow="1" w:lastRow="0" w:firstColumn="0" w:lastColumn="0" w:oddVBand="0" w:evenVBand="0" w:oddHBand="0" w:evenHBand="0" w:firstRowFirstColumn="0" w:firstRowLastColumn="0" w:lastRowFirstColumn="0" w:lastRowLastColumn="0"/>
          <w:tblHeader/>
        </w:trPr>
        <w:tc>
          <w:tcPr>
            <w:tcW w:w="2339" w:type="dxa"/>
          </w:tcPr>
          <w:p w14:paraId="1940E22F" w14:textId="77777777" w:rsidR="00B02873" w:rsidRDefault="00B02873" w:rsidP="00E612B7">
            <w:pPr>
              <w:pStyle w:val="TableheadingleftTables"/>
            </w:pPr>
            <w:r>
              <w:lastRenderedPageBreak/>
              <w:t xml:space="preserve">Key initiative </w:t>
            </w:r>
          </w:p>
        </w:tc>
        <w:tc>
          <w:tcPr>
            <w:tcW w:w="7289" w:type="dxa"/>
          </w:tcPr>
          <w:p w14:paraId="6931DBEB" w14:textId="77777777" w:rsidR="00B02873" w:rsidRDefault="00B02873" w:rsidP="00E612B7">
            <w:pPr>
              <w:pStyle w:val="TableheadingleftTables"/>
            </w:pPr>
            <w:r>
              <w:t xml:space="preserve">2021-22 progress summary </w:t>
            </w:r>
          </w:p>
        </w:tc>
      </w:tr>
      <w:tr w:rsidR="00B02873" w:rsidRPr="00B02873" w14:paraId="4B652C13" w14:textId="77777777" w:rsidTr="00E612B7">
        <w:tc>
          <w:tcPr>
            <w:tcW w:w="2339" w:type="dxa"/>
          </w:tcPr>
          <w:p w14:paraId="6F6B49A8" w14:textId="77777777" w:rsidR="00B02873" w:rsidRDefault="00B02873" w:rsidP="00B415A9">
            <w:pPr>
              <w:pStyle w:val="TablebodyleftTables"/>
            </w:pPr>
            <w:r>
              <w:t xml:space="preserve">Planning reforms </w:t>
            </w:r>
          </w:p>
        </w:tc>
        <w:tc>
          <w:tcPr>
            <w:tcW w:w="7289" w:type="dxa"/>
          </w:tcPr>
          <w:p w14:paraId="01F5B77C" w14:textId="77777777" w:rsidR="00B02873" w:rsidRDefault="00B02873" w:rsidP="00B415A9">
            <w:pPr>
              <w:pStyle w:val="TablebodyleftTables"/>
            </w:pPr>
            <w:r>
              <w:t>A range of reforms have been implemented in 2021-22 or are underway to bring forward investment and jobs supporting Victoria’s economic recovery, including:</w:t>
            </w:r>
          </w:p>
          <w:p w14:paraId="4A8CB07E" w14:textId="2B6326E4" w:rsidR="00B02873" w:rsidRDefault="00B02873" w:rsidP="00E612B7">
            <w:pPr>
              <w:pStyle w:val="TableBulletleftTables"/>
            </w:pPr>
            <w:r>
              <w:t>collaboration with 12 councils through the Better Planning Approvals program to improve and simplify approval processes</w:t>
            </w:r>
          </w:p>
          <w:p w14:paraId="125B9E35" w14:textId="15D7BCDE" w:rsidR="00B02873" w:rsidRDefault="00B02873" w:rsidP="00E612B7">
            <w:pPr>
              <w:pStyle w:val="TableBulletleftTables"/>
            </w:pPr>
            <w:r>
              <w:t xml:space="preserve">support to rural and regional councils with statutory and strategic planning via the Regional Planning Hub program, with over 111 requests for support received from councils seeking assistance from the department </w:t>
            </w:r>
          </w:p>
          <w:p w14:paraId="5FD105DC" w14:textId="1075416E" w:rsidR="00B02873" w:rsidRDefault="00B02873" w:rsidP="00E612B7">
            <w:pPr>
              <w:pStyle w:val="TableBulletleftTables"/>
            </w:pPr>
            <w:r>
              <w:t xml:space="preserve">improved coordination of planning approvals for state infrastructure projects via a dedicated State Project Concierge, with the facilitation of 73 projects or programs since its commencement to 30 June 2022 </w:t>
            </w:r>
          </w:p>
          <w:p w14:paraId="70DAA202" w14:textId="77777777" w:rsidR="00B02873" w:rsidRDefault="00B02873" w:rsidP="00E612B7">
            <w:pPr>
              <w:pStyle w:val="TableBulletleftTables"/>
            </w:pPr>
            <w:r>
              <w:t>creating a better Digital Planning System that makes it easier for community and councils by undertaking user research, upgrading Planning Schemes Online, implementing a new 3D visualisation tool (Vic3D) and releasing a new applications hub for lodgement of planning applications made to the Minister for Planning</w:t>
            </w:r>
          </w:p>
          <w:p w14:paraId="0E8625CF" w14:textId="77777777" w:rsidR="00B02873" w:rsidRDefault="00B02873" w:rsidP="00E612B7">
            <w:pPr>
              <w:pStyle w:val="TableBulletleftTables"/>
            </w:pPr>
            <w:r>
              <w:t>streamlined planning and assessment of major road and rail projects and provided consistent planning requirements for all land required for transport services and facilities.</w:t>
            </w:r>
          </w:p>
        </w:tc>
      </w:tr>
      <w:tr w:rsidR="00B02873" w:rsidRPr="00B02873" w14:paraId="36D73A78" w14:textId="77777777" w:rsidTr="00E612B7">
        <w:tc>
          <w:tcPr>
            <w:tcW w:w="2339" w:type="dxa"/>
          </w:tcPr>
          <w:p w14:paraId="03589F63" w14:textId="77777777" w:rsidR="00B02873" w:rsidRDefault="00B02873" w:rsidP="00B415A9">
            <w:pPr>
              <w:pStyle w:val="TablebodyleftTables"/>
            </w:pPr>
            <w:r>
              <w:t xml:space="preserve">Development Facilitation Program </w:t>
            </w:r>
          </w:p>
        </w:tc>
        <w:tc>
          <w:tcPr>
            <w:tcW w:w="7289" w:type="dxa"/>
          </w:tcPr>
          <w:p w14:paraId="79E73B34" w14:textId="77777777" w:rsidR="00B02873" w:rsidRDefault="00B02873" w:rsidP="00B415A9">
            <w:pPr>
              <w:pStyle w:val="TablebodyleftTables"/>
            </w:pPr>
            <w:r>
              <w:t>Since commencement of the program in October 2020 to 30 June 2022, the Development Facilitation Program has recommended priority assessment pathways for 42 major projects worth a total of $7.3 billion and facilitated approval of 19 projects with a combined value of $3.26 billion.</w:t>
            </w:r>
          </w:p>
        </w:tc>
      </w:tr>
      <w:tr w:rsidR="00B02873" w:rsidRPr="00B02873" w14:paraId="0C227F8A" w14:textId="77777777" w:rsidTr="00E612B7">
        <w:tc>
          <w:tcPr>
            <w:tcW w:w="2339" w:type="dxa"/>
          </w:tcPr>
          <w:p w14:paraId="79EADBBE" w14:textId="77777777" w:rsidR="00B02873" w:rsidRDefault="00B02873" w:rsidP="00B415A9">
            <w:pPr>
              <w:pStyle w:val="TablebodyleftTables"/>
            </w:pPr>
            <w:r>
              <w:t>Assessment model for development proposals greater than $50 million</w:t>
            </w:r>
          </w:p>
        </w:tc>
        <w:tc>
          <w:tcPr>
            <w:tcW w:w="7289" w:type="dxa"/>
          </w:tcPr>
          <w:p w14:paraId="41FCF32C" w14:textId="77777777" w:rsidR="00B02873" w:rsidRDefault="00B02873" w:rsidP="00B415A9">
            <w:pPr>
              <w:pStyle w:val="TablebodyleftTables"/>
            </w:pPr>
            <w:r>
              <w:t>The role and function of the Development Facilitation Program has evolved since its inception in October 2020 to provide a short to medium-term response to the economic impact of the COVID-19 pandemic, with an objective to ensure a steady pipeline of major projects to drive the ongoing economic and social recovery of Victoria.</w:t>
            </w:r>
          </w:p>
          <w:p w14:paraId="2009AF3C" w14:textId="77777777" w:rsidR="00B02873" w:rsidRDefault="00B02873" w:rsidP="00B415A9">
            <w:pPr>
              <w:pStyle w:val="TablebodyleftTables"/>
            </w:pPr>
            <w:r>
              <w:t>Priority project eligibility criteria originally focused on economic contribution, timing, policy alignment and significant public benefit, as a short-term response to the COVID-19 pandemic.</w:t>
            </w:r>
          </w:p>
          <w:p w14:paraId="2E9458E1" w14:textId="77777777" w:rsidR="00B02873" w:rsidRDefault="00B02873" w:rsidP="00B415A9">
            <w:pPr>
              <w:pStyle w:val="TablebodyleftTables"/>
            </w:pPr>
            <w:r>
              <w:t xml:space="preserve">On 1 January 2022, the eligibility criteria were refined to align with existing Victorian government priorities, policies, and strategies. Specifically, the new criteria require projects to be shovel ready, associated with a prescribed priority sector and meet a minimum financial or scale threshold. </w:t>
            </w:r>
          </w:p>
        </w:tc>
      </w:tr>
      <w:tr w:rsidR="00B02873" w:rsidRPr="00B02873" w14:paraId="52307114" w14:textId="77777777" w:rsidTr="00E612B7">
        <w:tc>
          <w:tcPr>
            <w:tcW w:w="2339" w:type="dxa"/>
          </w:tcPr>
          <w:p w14:paraId="228395C5" w14:textId="77777777" w:rsidR="00B02873" w:rsidRDefault="00B02873" w:rsidP="00B415A9">
            <w:pPr>
              <w:pStyle w:val="TablebodyleftTables"/>
            </w:pPr>
            <w:r>
              <w:lastRenderedPageBreak/>
              <w:t>Facilitating major infrastructure projects through efficient, streamlined statutory assessment and planning approval processes</w:t>
            </w:r>
          </w:p>
        </w:tc>
        <w:tc>
          <w:tcPr>
            <w:tcW w:w="7289" w:type="dxa"/>
          </w:tcPr>
          <w:p w14:paraId="2D1568BB" w14:textId="77777777" w:rsidR="00B02873" w:rsidRDefault="00B02873" w:rsidP="00B415A9">
            <w:pPr>
              <w:pStyle w:val="TablebodyleftTables"/>
            </w:pPr>
            <w:r>
              <w:t xml:space="preserve">During 2021-22, impact assessment and approval processes for the Suburban Rail Loop East, Inland Rail, Western Outer Ring Main Gas Pipeline, Western Renewables Link and Willatook Wind Farm major infrastructure projects progressed. </w:t>
            </w:r>
          </w:p>
          <w:p w14:paraId="295F9052" w14:textId="7D5BD5F3" w:rsidR="00B02873" w:rsidRDefault="00B02873" w:rsidP="00B415A9">
            <w:pPr>
              <w:pStyle w:val="TablebodyleftTables"/>
            </w:pPr>
            <w:r>
              <w:t xml:space="preserve">A total of eight approvals for new health infrastructure projects were delivered to support new ambulance stations and hospitals. Four approvals were delivered for new water infrastructure, two approvals for sport and recreation infrastructure, and four approvals for new municipal infrastructure projects including a fire station, government and community buildings. </w:t>
            </w:r>
          </w:p>
        </w:tc>
      </w:tr>
      <w:tr w:rsidR="00B02873" w:rsidRPr="00B02873" w14:paraId="16649DB8" w14:textId="77777777" w:rsidTr="00E612B7">
        <w:tc>
          <w:tcPr>
            <w:tcW w:w="2339" w:type="dxa"/>
          </w:tcPr>
          <w:p w14:paraId="276EFD8F" w14:textId="146F9530" w:rsidR="00B02873" w:rsidRPr="00E612B7" w:rsidRDefault="00B02873" w:rsidP="00B415A9">
            <w:pPr>
              <w:pStyle w:val="TablebodyleftTables"/>
              <w:rPr>
                <w:rFonts w:asciiTheme="minorHAnsi" w:hAnsiTheme="minorHAnsi" w:cstheme="minorHAnsi"/>
              </w:rPr>
            </w:pPr>
            <w:r w:rsidRPr="00E612B7">
              <w:rPr>
                <w:rStyle w:val="LightItalic"/>
                <w:rFonts w:asciiTheme="minorHAnsi" w:hAnsiTheme="minorHAnsi" w:cstheme="minorHAnsi"/>
              </w:rPr>
              <w:t>Plan Melbourne 2017-2050</w:t>
            </w:r>
          </w:p>
        </w:tc>
        <w:tc>
          <w:tcPr>
            <w:tcW w:w="7289" w:type="dxa"/>
          </w:tcPr>
          <w:p w14:paraId="68022300" w14:textId="17BB1966" w:rsidR="00B02873" w:rsidRDefault="00B02873" w:rsidP="00B415A9">
            <w:pPr>
              <w:pStyle w:val="TablebodyleftTables"/>
            </w:pPr>
            <w:r>
              <w:t>As at 30 June 2022, three-quarters of the 113 actions set out in the Plan Melbourne five-year implementation plan are complete, with one year left in the current implementation period. DELWP is responsible for leading the delivery of 66 actions, of which:</w:t>
            </w:r>
          </w:p>
          <w:p w14:paraId="35059EDA" w14:textId="7FCA120D" w:rsidR="00B02873" w:rsidRDefault="00B02873" w:rsidP="00E612B7">
            <w:pPr>
              <w:pStyle w:val="TableBulletleftTables"/>
            </w:pPr>
            <w:r>
              <w:t>44 are completed or have transitioned to ‘business as usual’ planning and delivery functions</w:t>
            </w:r>
          </w:p>
          <w:p w14:paraId="33ABE198" w14:textId="77777777" w:rsidR="00B02873" w:rsidRDefault="00B02873" w:rsidP="00E612B7">
            <w:pPr>
              <w:pStyle w:val="TableBulletleftTables"/>
            </w:pPr>
            <w:r>
              <w:t>20 are progressing</w:t>
            </w:r>
          </w:p>
          <w:p w14:paraId="63FA5A3C" w14:textId="77777777" w:rsidR="00B02873" w:rsidRDefault="00B02873" w:rsidP="00E612B7">
            <w:pPr>
              <w:pStyle w:val="TableBulletleftTables"/>
            </w:pPr>
            <w:r>
              <w:t>two are in development.</w:t>
            </w:r>
          </w:p>
        </w:tc>
      </w:tr>
      <w:tr w:rsidR="00B02873" w:rsidRPr="00B02873" w14:paraId="285B1FD6" w14:textId="77777777" w:rsidTr="00E612B7">
        <w:tc>
          <w:tcPr>
            <w:tcW w:w="2339" w:type="dxa"/>
          </w:tcPr>
          <w:p w14:paraId="2D03613B" w14:textId="77777777" w:rsidR="00B02873" w:rsidRDefault="00B02873" w:rsidP="00B415A9">
            <w:pPr>
              <w:pStyle w:val="TablebodyleftTables"/>
            </w:pPr>
            <w:r>
              <w:t xml:space="preserve">Five-year review of </w:t>
            </w:r>
            <w:r w:rsidRPr="00E612B7">
              <w:rPr>
                <w:rFonts w:asciiTheme="minorHAnsi" w:hAnsiTheme="minorHAnsi" w:cstheme="minorHAnsi"/>
                <w:i/>
                <w:iCs/>
              </w:rPr>
              <w:t>Plan Melbourne 2017-2050</w:t>
            </w:r>
            <w:r>
              <w:t xml:space="preserve"> </w:t>
            </w:r>
          </w:p>
        </w:tc>
        <w:tc>
          <w:tcPr>
            <w:tcW w:w="7289" w:type="dxa"/>
          </w:tcPr>
          <w:p w14:paraId="75B5CF8D" w14:textId="1D02E48D" w:rsidR="00B02873" w:rsidRDefault="00B02873" w:rsidP="00B415A9">
            <w:pPr>
              <w:pStyle w:val="TablebodyleftTables"/>
            </w:pPr>
            <w:r>
              <w:t>A scoping exercise for the Plan Melbourne Update commenced at the end of 2021 to determine the focus areas of the review. The Plan Melbourne Update will consider the implications of COVID-19 on the 30-year vision for Melbourne, embed new state government policies and objectives, and review the approach taken for implementation of the plan.</w:t>
            </w:r>
          </w:p>
          <w:p w14:paraId="5AE83A20" w14:textId="3652B752" w:rsidR="00B02873" w:rsidRDefault="00B02873" w:rsidP="00B415A9">
            <w:pPr>
              <w:pStyle w:val="TablebodyleftTables"/>
            </w:pPr>
            <w:r>
              <w:t>Research and policy development will be undertaken throughout the remainder of 2022 in collaboration with relevant stakeholders, with public engagement to be held in 2023.</w:t>
            </w:r>
          </w:p>
          <w:p w14:paraId="1A0AB8AA" w14:textId="77777777" w:rsidR="00B02873" w:rsidRDefault="00B02873" w:rsidP="00B415A9">
            <w:pPr>
              <w:pStyle w:val="TablebodyleftTables"/>
            </w:pPr>
            <w:r>
              <w:t>The final Plan Melbourne Update and revised Five Year Implementation Plan are expected to be delivered by the end of 2023.</w:t>
            </w:r>
          </w:p>
        </w:tc>
      </w:tr>
      <w:tr w:rsidR="00B02873" w:rsidRPr="00B02873" w14:paraId="6F526DC0" w14:textId="77777777" w:rsidTr="00E612B7">
        <w:tc>
          <w:tcPr>
            <w:tcW w:w="2339" w:type="dxa"/>
          </w:tcPr>
          <w:p w14:paraId="4AE1128F" w14:textId="77777777" w:rsidR="00B02873" w:rsidRDefault="00B02873" w:rsidP="00B415A9">
            <w:pPr>
              <w:pStyle w:val="TablebodyleftTables"/>
            </w:pPr>
            <w:r>
              <w:t xml:space="preserve">Review of the </w:t>
            </w:r>
            <w:r w:rsidRPr="00E612B7">
              <w:rPr>
                <w:rStyle w:val="LightItalic"/>
                <w:rFonts w:asciiTheme="minorHAnsi" w:hAnsiTheme="minorHAnsi" w:cstheme="minorHAnsi"/>
              </w:rPr>
              <w:t>Planning and Environment Act 1987</w:t>
            </w:r>
            <w:r w:rsidRPr="00DE1FCE">
              <w:rPr>
                <w:rStyle w:val="LightItalic"/>
                <w:rFonts w:ascii="Arial" w:hAnsi="Arial"/>
              </w:rPr>
              <w:t xml:space="preserve"> </w:t>
            </w:r>
          </w:p>
        </w:tc>
        <w:tc>
          <w:tcPr>
            <w:tcW w:w="7289" w:type="dxa"/>
          </w:tcPr>
          <w:p w14:paraId="3791CC2B" w14:textId="77777777" w:rsidR="00B02873" w:rsidRDefault="00B02873" w:rsidP="00B415A9">
            <w:pPr>
              <w:pStyle w:val="TablebodyleftTables"/>
            </w:pPr>
            <w:r>
              <w:t xml:space="preserve">The Building, Planning and Heritage Legislation Amendment (Administration and Other Matters) Bill 2022 was introduced into Parliament in June 2022, which includes amendments to the </w:t>
            </w:r>
            <w:r w:rsidRPr="00E612B7">
              <w:rPr>
                <w:rStyle w:val="LightItalic"/>
                <w:rFonts w:ascii="Arial" w:hAnsi="Arial" w:cs="Arial"/>
              </w:rPr>
              <w:t>Planning and Environment Act 1987.</w:t>
            </w:r>
          </w:p>
        </w:tc>
      </w:tr>
      <w:tr w:rsidR="00B02873" w:rsidRPr="00B02873" w14:paraId="46EF81AE" w14:textId="77777777" w:rsidTr="00E612B7">
        <w:tc>
          <w:tcPr>
            <w:tcW w:w="2339" w:type="dxa"/>
          </w:tcPr>
          <w:p w14:paraId="484960AD" w14:textId="77777777" w:rsidR="00B02873" w:rsidRDefault="00B02873" w:rsidP="00B415A9">
            <w:pPr>
              <w:pStyle w:val="TablebodyleftTables"/>
            </w:pPr>
            <w:r>
              <w:t>Unlocking New Communities and Affordable Housing program</w:t>
            </w:r>
          </w:p>
        </w:tc>
        <w:tc>
          <w:tcPr>
            <w:tcW w:w="7289" w:type="dxa"/>
          </w:tcPr>
          <w:p w14:paraId="420EA57D" w14:textId="77777777" w:rsidR="00B02873" w:rsidRDefault="00B02873" w:rsidP="00B415A9">
            <w:pPr>
              <w:pStyle w:val="TablebodyleftTables"/>
            </w:pPr>
            <w:r>
              <w:t>Through the Unlocking New Communities and Affordable Housing program, three projects have been identified for funding, one each in Melton East, Casey Fields South and Devon Meadows. These projects will unlock and zone more land for housing and employment opportunities.</w:t>
            </w:r>
          </w:p>
        </w:tc>
      </w:tr>
      <w:tr w:rsidR="00B02873" w:rsidRPr="00B02873" w14:paraId="374DBE7B" w14:textId="77777777" w:rsidTr="00E612B7">
        <w:tc>
          <w:tcPr>
            <w:tcW w:w="2339" w:type="dxa"/>
          </w:tcPr>
          <w:p w14:paraId="6D4EBECF" w14:textId="77777777" w:rsidR="00B02873" w:rsidRDefault="00B02873" w:rsidP="00B415A9">
            <w:pPr>
              <w:pStyle w:val="TablebodyleftTables"/>
            </w:pPr>
            <w:r>
              <w:t>Simplification of growth area infrastructure coordination</w:t>
            </w:r>
          </w:p>
        </w:tc>
        <w:tc>
          <w:tcPr>
            <w:tcW w:w="7289" w:type="dxa"/>
          </w:tcPr>
          <w:p w14:paraId="00FAF9CC" w14:textId="6236DEA4" w:rsidR="00B02873" w:rsidRDefault="00B02873" w:rsidP="00B415A9">
            <w:pPr>
              <w:pStyle w:val="TablebodyleftTables"/>
            </w:pPr>
            <w:r>
              <w:t>In response to the Infrastructure Contributions Ministerial Advisory Committee’s recommendations for significant structural reform of the infrastructure contributions system, short term improvements are underway with medium to long-term initiatives</w:t>
            </w:r>
            <w:r w:rsidR="00E612B7">
              <w:t xml:space="preserve"> </w:t>
            </w:r>
            <w:r>
              <w:t>to be progressively implemented in the coming years – subject to funding.</w:t>
            </w:r>
          </w:p>
        </w:tc>
      </w:tr>
      <w:tr w:rsidR="00B02873" w:rsidRPr="00B02873" w14:paraId="3AAD6008" w14:textId="77777777" w:rsidTr="00E612B7">
        <w:tc>
          <w:tcPr>
            <w:tcW w:w="2339" w:type="dxa"/>
          </w:tcPr>
          <w:p w14:paraId="3C915771" w14:textId="77777777" w:rsidR="00B02873" w:rsidRDefault="00B02873" w:rsidP="00B415A9">
            <w:pPr>
              <w:pStyle w:val="TablebodyleftTables"/>
            </w:pPr>
            <w:r>
              <w:lastRenderedPageBreak/>
              <w:t xml:space="preserve">Improving the Victorian Civil, and Administrative Tribunal’s planning and environment case management </w:t>
            </w:r>
          </w:p>
        </w:tc>
        <w:tc>
          <w:tcPr>
            <w:tcW w:w="7289" w:type="dxa"/>
          </w:tcPr>
          <w:p w14:paraId="2ED4586D" w14:textId="77777777" w:rsidR="00B02873" w:rsidRDefault="00B02873" w:rsidP="00B415A9">
            <w:pPr>
              <w:pStyle w:val="TablebodyleftTables"/>
            </w:pPr>
            <w:r>
              <w:t>Targeted actions to improve the Victorian Civil and Administrative Tribunal’s (VCAT) planning and environment case management to unlock construction projects and support Victoria’s economic recovery included:</w:t>
            </w:r>
          </w:p>
          <w:p w14:paraId="2351274A" w14:textId="77777777" w:rsidR="00B02873" w:rsidRDefault="00B02873" w:rsidP="00E612B7">
            <w:pPr>
              <w:pStyle w:val="TableBulletleftTables"/>
            </w:pPr>
            <w:r>
              <w:t>A Specialised Case Management Team was established to reduce member time spent on administrative tasks and increase availability for hearings. Planning is completed to expand the team to build on benefits already realised and enhance hearing processes.</w:t>
            </w:r>
          </w:p>
          <w:p w14:paraId="7B5D059D" w14:textId="6E0831B9" w:rsidR="00B02873" w:rsidRDefault="00B02873" w:rsidP="00E612B7">
            <w:pPr>
              <w:pStyle w:val="TableBulletleftTables"/>
            </w:pPr>
            <w:r>
              <w:t>Alternative Dispute Resolution (mediation) training was completed for 27 members in VCAT, with up to 500 cases per annum expected to benefit from earlier opportunities for settlement.</w:t>
            </w:r>
          </w:p>
        </w:tc>
      </w:tr>
      <w:tr w:rsidR="00B02873" w:rsidRPr="00B02873" w14:paraId="591DB213" w14:textId="77777777" w:rsidTr="00E612B7">
        <w:tc>
          <w:tcPr>
            <w:tcW w:w="2339" w:type="dxa"/>
          </w:tcPr>
          <w:p w14:paraId="2849E075" w14:textId="77777777" w:rsidR="00B02873" w:rsidRDefault="00B02873" w:rsidP="00B415A9">
            <w:pPr>
              <w:pStyle w:val="TablebodyleftTables"/>
            </w:pPr>
            <w:r>
              <w:t>Supporting the Geelong Authority to deliver the Revitalising Central Geelong Action Plan</w:t>
            </w:r>
          </w:p>
        </w:tc>
        <w:tc>
          <w:tcPr>
            <w:tcW w:w="7289" w:type="dxa"/>
          </w:tcPr>
          <w:p w14:paraId="3534C245" w14:textId="77777777" w:rsidR="00B02873" w:rsidRDefault="00B02873" w:rsidP="00B415A9">
            <w:pPr>
              <w:pStyle w:val="TablebodyleftTables"/>
            </w:pPr>
            <w:r>
              <w:t xml:space="preserve">The Geelong Authority continues to play a leading role in advising government on changes that support long-term growth potential in central Geelong. In December 2021, the Geelong Authority was reappointed for a further three-year term with two new members bringing the membership to nine. </w:t>
            </w:r>
          </w:p>
          <w:p w14:paraId="440D9BC5" w14:textId="77777777" w:rsidR="00B02873" w:rsidRDefault="00B02873" w:rsidP="00B415A9">
            <w:pPr>
              <w:pStyle w:val="TablebodyleftTables"/>
            </w:pPr>
            <w:r>
              <w:t>The 2021-22 State Budget provided $0.6 million for the continued operation of the Geelong Authority over the next two years. The Geelong Authority’s oversight of implementation of the Revitalising Central Geelong Action Plan continues, with funding secured to complete design and delivery of the second laneways strategy breakthrough project at Market Street South, Geelong to improve connection between the nearby health and education precincts to the commercial heart of the city.</w:t>
            </w:r>
          </w:p>
        </w:tc>
      </w:tr>
      <w:tr w:rsidR="00B02873" w:rsidRPr="00B02873" w14:paraId="5884C2C2" w14:textId="77777777" w:rsidTr="00E612B7">
        <w:tc>
          <w:tcPr>
            <w:tcW w:w="2339" w:type="dxa"/>
          </w:tcPr>
          <w:p w14:paraId="6345771D" w14:textId="77777777" w:rsidR="00B02873" w:rsidRDefault="00B02873" w:rsidP="00B415A9">
            <w:pPr>
              <w:pStyle w:val="TablebodyleftTables"/>
            </w:pPr>
            <w:r>
              <w:t>Streamlining for Growth program</w:t>
            </w:r>
          </w:p>
        </w:tc>
        <w:tc>
          <w:tcPr>
            <w:tcW w:w="7289" w:type="dxa"/>
          </w:tcPr>
          <w:p w14:paraId="7AF7892B" w14:textId="77777777" w:rsidR="00B02873" w:rsidRDefault="00B02873" w:rsidP="00B415A9">
            <w:pPr>
              <w:pStyle w:val="TablebodyleftTables"/>
            </w:pPr>
            <w:r>
              <w:t xml:space="preserve">During 2021-22, 34 projects that benefitted councils were approved through the Streamlining for Growth program. </w:t>
            </w:r>
          </w:p>
          <w:p w14:paraId="05563D92" w14:textId="4B687D31" w:rsidR="00B02873" w:rsidRDefault="00B02873" w:rsidP="00B415A9">
            <w:pPr>
              <w:pStyle w:val="TablebodyleftTables"/>
            </w:pPr>
            <w:r>
              <w:t>All available 2021-22 funds had been allocated to projects at the end of March 2022, inclusive of 28 council grant projects and six Victorian Planning Authority led projects for a total of 34 projects.</w:t>
            </w:r>
          </w:p>
        </w:tc>
      </w:tr>
      <w:tr w:rsidR="00B02873" w:rsidRPr="00B02873" w14:paraId="6F70E73C" w14:textId="77777777" w:rsidTr="00E612B7">
        <w:tc>
          <w:tcPr>
            <w:tcW w:w="2339" w:type="dxa"/>
          </w:tcPr>
          <w:p w14:paraId="78307992" w14:textId="77777777" w:rsidR="00B02873" w:rsidRDefault="00B02873" w:rsidP="00B415A9">
            <w:pPr>
              <w:pStyle w:val="TablebodyleftTables"/>
            </w:pPr>
            <w:r>
              <w:t>Victorian Planning Authority Fast Track program</w:t>
            </w:r>
          </w:p>
        </w:tc>
        <w:tc>
          <w:tcPr>
            <w:tcW w:w="7289" w:type="dxa"/>
          </w:tcPr>
          <w:p w14:paraId="76B4C1DC" w14:textId="77777777" w:rsidR="00B02873" w:rsidRDefault="00B02873" w:rsidP="00B415A9">
            <w:pPr>
              <w:pStyle w:val="TablebodyleftTables"/>
            </w:pPr>
            <w:r>
              <w:t>The Victorian Planning Authority (VPA) completed eight projects in 2021-22 through the Fast-Track program, delivering zoned land for 28,000 homes and 27,000 jobs and is working towards completing seven further planning and infrastructure projects in 2022-23.</w:t>
            </w:r>
          </w:p>
          <w:p w14:paraId="0F7DFD73" w14:textId="77777777" w:rsidR="00B02873" w:rsidRDefault="00B02873" w:rsidP="00B415A9">
            <w:pPr>
              <w:pStyle w:val="TablebodyleftTables"/>
            </w:pPr>
            <w:r>
              <w:t>DELWP partnered with the VPA to develop the revised Precinct Structure Planning Guidelines: New Communities in Victoria, delivering action 20 of the Plan Melbourne Implementation plan. The new guidelines were released in November 2021.</w:t>
            </w:r>
          </w:p>
        </w:tc>
      </w:tr>
      <w:tr w:rsidR="00B02873" w:rsidRPr="00B02873" w14:paraId="4D4C1858" w14:textId="77777777" w:rsidTr="00E612B7">
        <w:tc>
          <w:tcPr>
            <w:tcW w:w="2339" w:type="dxa"/>
          </w:tcPr>
          <w:p w14:paraId="5963ED6B" w14:textId="77777777" w:rsidR="00B02873" w:rsidRDefault="00B02873" w:rsidP="00B415A9">
            <w:pPr>
              <w:pStyle w:val="TablebodyleftTables"/>
            </w:pPr>
            <w:r>
              <w:t>Facilitating delivery of major transport infrastructure and city-shaping projects</w:t>
            </w:r>
          </w:p>
        </w:tc>
        <w:tc>
          <w:tcPr>
            <w:tcW w:w="7289" w:type="dxa"/>
          </w:tcPr>
          <w:p w14:paraId="69980F30" w14:textId="77777777" w:rsidR="00B02873" w:rsidRDefault="00B02873" w:rsidP="00B415A9">
            <w:pPr>
              <w:pStyle w:val="TablebodyleftTables"/>
            </w:pPr>
            <w:r>
              <w:t>During 2021-22, impact assessment and approval processes for the North East Link, Inland Rail, West Gate Tunnel Spoil Disposal and Suburban Rail Loop major transport infrastructure projects progressed.</w:t>
            </w:r>
          </w:p>
          <w:p w14:paraId="098BA52B" w14:textId="77777777" w:rsidR="00B02873" w:rsidRDefault="00B02873" w:rsidP="00B415A9">
            <w:pPr>
              <w:pStyle w:val="TablebodyleftTables"/>
            </w:pPr>
            <w:r>
              <w:t>DELWP facilitated over 130 primary and secondary planning approvals for other major transport infrastructure projects including 75 approvals for the Level Crossing Removal Project, 28 approvals for the Major Road Projects Victoria and 14 for Rail Projects Victoria and three approvals for tram, cycling and road infrastructure.</w:t>
            </w:r>
          </w:p>
        </w:tc>
      </w:tr>
      <w:tr w:rsidR="00B02873" w:rsidRPr="00B02873" w14:paraId="1683F2FE" w14:textId="77777777" w:rsidTr="00E612B7">
        <w:tc>
          <w:tcPr>
            <w:tcW w:w="2339" w:type="dxa"/>
          </w:tcPr>
          <w:p w14:paraId="7B4ECADF" w14:textId="77777777" w:rsidR="00B02873" w:rsidRDefault="00B02873" w:rsidP="00B415A9">
            <w:pPr>
              <w:pStyle w:val="TablebodyleftTables"/>
            </w:pPr>
            <w:r>
              <w:lastRenderedPageBreak/>
              <w:t>Supporting recovery for bushfire-affected communities</w:t>
            </w:r>
          </w:p>
        </w:tc>
        <w:tc>
          <w:tcPr>
            <w:tcW w:w="7289" w:type="dxa"/>
          </w:tcPr>
          <w:p w14:paraId="18C9C43A" w14:textId="77777777" w:rsidR="00B02873" w:rsidRDefault="00B02873" w:rsidP="00B415A9">
            <w:pPr>
              <w:pStyle w:val="TablebodyleftTables"/>
            </w:pPr>
            <w:r>
              <w:t xml:space="preserve">Following the 2019-20 bushfires, a suite of 11 priority strategic planning recovery projects were identified in consultation with staff from bushfire impacted councils and the Victorian Planning Authority (VPA). These projects focus on recovery priorities that deliver on multiple outcomes, enabling councils to move forward in a positive and more resilient way, and allowing the impacted communities to build back better. </w:t>
            </w:r>
          </w:p>
          <w:p w14:paraId="0F799840" w14:textId="77777777" w:rsidR="00B02873" w:rsidRDefault="00B02873" w:rsidP="00B415A9">
            <w:pPr>
              <w:pStyle w:val="TablebodyleftTables"/>
            </w:pPr>
            <w:r>
              <w:t>Three projects have been completed to date:</w:t>
            </w:r>
          </w:p>
          <w:p w14:paraId="46D2850C" w14:textId="77777777" w:rsidR="00B02873" w:rsidRDefault="00B02873" w:rsidP="00E612B7">
            <w:pPr>
              <w:pStyle w:val="TableBulletleftTables"/>
            </w:pPr>
            <w:r>
              <w:t>Towong Planning Scheme Planning Policy Framework translation</w:t>
            </w:r>
          </w:p>
          <w:p w14:paraId="1547073C" w14:textId="77777777" w:rsidR="00B02873" w:rsidRDefault="00B02873" w:rsidP="00E612B7">
            <w:pPr>
              <w:pStyle w:val="TableBulletleftTables"/>
            </w:pPr>
            <w:r>
              <w:t>Policy plans for inclusion in the East Gippsland Planning Scheme</w:t>
            </w:r>
          </w:p>
          <w:p w14:paraId="60ED5586" w14:textId="0687B059" w:rsidR="00B02873" w:rsidRDefault="00B02873" w:rsidP="00E612B7">
            <w:pPr>
              <w:pStyle w:val="TableBulletleftTables"/>
            </w:pPr>
            <w:r>
              <w:t>Independent Planning Scheme Review</w:t>
            </w:r>
            <w:r w:rsidR="000C45FC">
              <w:t xml:space="preserve"> – </w:t>
            </w:r>
            <w:r>
              <w:t>East Gippsland Planning Scheme</w:t>
            </w:r>
          </w:p>
          <w:p w14:paraId="0BF6CF86" w14:textId="0297ABBA" w:rsidR="00B02873" w:rsidRDefault="00B02873" w:rsidP="00B415A9">
            <w:pPr>
              <w:pStyle w:val="TablebodyleftTables"/>
            </w:pPr>
            <w:r>
              <w:t>Across the bushfire and storm and floods programs, 102 assessments of historic heritage places were completed during 2021-22. The assessments focused on detailing the impacts of bushfire, storm and flood, providing advice to property owners and managers and recommending measures to mitigate the impact of future events.</w:t>
            </w:r>
          </w:p>
        </w:tc>
      </w:tr>
      <w:tr w:rsidR="00B02873" w:rsidRPr="00B02873" w14:paraId="5D723D47" w14:textId="77777777" w:rsidTr="00E612B7">
        <w:tc>
          <w:tcPr>
            <w:tcW w:w="2339" w:type="dxa"/>
          </w:tcPr>
          <w:p w14:paraId="5F0DAD4C" w14:textId="77777777" w:rsidR="00B02873" w:rsidRDefault="00B02873" w:rsidP="00B415A9">
            <w:pPr>
              <w:pStyle w:val="TablebodyleftTables"/>
            </w:pPr>
            <w:r>
              <w:t>Review of Victoria’s building system</w:t>
            </w:r>
          </w:p>
        </w:tc>
        <w:tc>
          <w:tcPr>
            <w:tcW w:w="7289" w:type="dxa"/>
          </w:tcPr>
          <w:p w14:paraId="2ABE3133" w14:textId="77777777" w:rsidR="00B02873" w:rsidRDefault="00B02873" w:rsidP="00B415A9">
            <w:pPr>
              <w:pStyle w:val="TablebodyleftTables"/>
            </w:pPr>
            <w:r>
              <w:t xml:space="preserve">An expert panel canvassed reform options in the </w:t>
            </w:r>
            <w:r w:rsidRPr="00E612B7">
              <w:rPr>
                <w:rStyle w:val="LightItalic"/>
                <w:rFonts w:asciiTheme="minorHAnsi" w:hAnsiTheme="minorHAnsi" w:cstheme="minorHAnsi"/>
              </w:rPr>
              <w:t>Framework for Reform</w:t>
            </w:r>
            <w:r>
              <w:t xml:space="preserve"> paper, published in April 2021, and provided its report and recommendations for Stage 1 reforms to government in August 2021. The Building, Planning and Heritage Legislation Amendment (Administration and Other Matters) Bill 2022 was introduced into Parliament on 21 June 2022. The Bill will address some of the reforms to Victoria’s building system considered by the expert panel.</w:t>
            </w:r>
          </w:p>
        </w:tc>
      </w:tr>
      <w:tr w:rsidR="00B02873" w:rsidRPr="00B02873" w14:paraId="0EB93E52" w14:textId="77777777" w:rsidTr="00E612B7">
        <w:tc>
          <w:tcPr>
            <w:tcW w:w="2339" w:type="dxa"/>
          </w:tcPr>
          <w:p w14:paraId="02A5BF23" w14:textId="77777777" w:rsidR="00B02873" w:rsidRDefault="00B02873" w:rsidP="00B415A9">
            <w:pPr>
              <w:pStyle w:val="TablebodyleftTables"/>
            </w:pPr>
            <w:r>
              <w:t>Statewide Cladding Audit Intensive Inspection Initiative</w:t>
            </w:r>
          </w:p>
        </w:tc>
        <w:tc>
          <w:tcPr>
            <w:tcW w:w="7289" w:type="dxa"/>
          </w:tcPr>
          <w:p w14:paraId="2BA25C3C" w14:textId="77777777" w:rsidR="00B02873" w:rsidRDefault="00B02873" w:rsidP="00B415A9">
            <w:pPr>
              <w:pStyle w:val="TablebodyleftTables"/>
            </w:pPr>
            <w:r>
              <w:t>During 2021-22, 5,306 virtual reviews, 322 kerbside reviews, 167 inspections and 83 audits were undertaken through the Victorian Building Authority’s Statewide Cladding Audit Intensive Inspection Initiative.</w:t>
            </w:r>
          </w:p>
        </w:tc>
      </w:tr>
      <w:tr w:rsidR="00B02873" w:rsidRPr="00B02873" w14:paraId="1442A3E6" w14:textId="77777777" w:rsidTr="00E612B7">
        <w:tc>
          <w:tcPr>
            <w:tcW w:w="2339" w:type="dxa"/>
          </w:tcPr>
          <w:p w14:paraId="73989612" w14:textId="77777777" w:rsidR="00B02873" w:rsidRDefault="00B02873" w:rsidP="00B415A9">
            <w:pPr>
              <w:pStyle w:val="TablebodyleftTables"/>
            </w:pPr>
            <w:r>
              <w:t xml:space="preserve">Cladding rectification program </w:t>
            </w:r>
          </w:p>
        </w:tc>
        <w:tc>
          <w:tcPr>
            <w:tcW w:w="7289" w:type="dxa"/>
          </w:tcPr>
          <w:p w14:paraId="3FC218EA" w14:textId="77777777" w:rsidR="00B02873" w:rsidRDefault="00B02873" w:rsidP="00B415A9">
            <w:pPr>
              <w:pStyle w:val="TablebodyleftTables"/>
            </w:pPr>
            <w:r>
              <w:t>In 2021-22, cladding rectification commenced on 29 government owned buildings and 33 private residential buildings. Rectification works were completed for 34 government owned buildings and 131 private residential buildings.</w:t>
            </w:r>
          </w:p>
        </w:tc>
      </w:tr>
      <w:tr w:rsidR="00B02873" w:rsidRPr="00B02873" w14:paraId="5DBB54AD" w14:textId="77777777" w:rsidTr="00E612B7">
        <w:tc>
          <w:tcPr>
            <w:tcW w:w="2339" w:type="dxa"/>
          </w:tcPr>
          <w:p w14:paraId="5B966EB1" w14:textId="77777777" w:rsidR="00B02873" w:rsidRDefault="00B02873" w:rsidP="00B415A9">
            <w:pPr>
              <w:pStyle w:val="TablebodyleftTables"/>
            </w:pPr>
            <w:r>
              <w:t>Victorian Building Authority building works inspections</w:t>
            </w:r>
          </w:p>
        </w:tc>
        <w:tc>
          <w:tcPr>
            <w:tcW w:w="7289" w:type="dxa"/>
          </w:tcPr>
          <w:p w14:paraId="352168B9" w14:textId="77777777" w:rsidR="00B02873" w:rsidRDefault="00B02873" w:rsidP="00B415A9">
            <w:pPr>
              <w:pStyle w:val="TablebodyleftTables"/>
            </w:pPr>
            <w:r>
              <w:t xml:space="preserve">In 2021-22, the Victorian Building Authority inspected 10.9 per cent of building works associated with new building permits issued to improve safety and ensure high quality outcomes, exceeding the annual target of 10 per cent. </w:t>
            </w:r>
          </w:p>
        </w:tc>
      </w:tr>
      <w:tr w:rsidR="00B02873" w:rsidRPr="00B02873" w14:paraId="5C03F521" w14:textId="77777777" w:rsidTr="00E612B7">
        <w:tc>
          <w:tcPr>
            <w:tcW w:w="2339" w:type="dxa"/>
          </w:tcPr>
          <w:p w14:paraId="76AC5805" w14:textId="76CCCE32" w:rsidR="00B02873" w:rsidRDefault="00B02873" w:rsidP="00B415A9">
            <w:pPr>
              <w:pStyle w:val="TablebodyleftTables"/>
            </w:pPr>
            <w:r>
              <w:t>Future Homes</w:t>
            </w:r>
            <w:r w:rsidR="00012C04">
              <w:t xml:space="preserve"> </w:t>
            </w:r>
          </w:p>
        </w:tc>
        <w:tc>
          <w:tcPr>
            <w:tcW w:w="7289" w:type="dxa"/>
          </w:tcPr>
          <w:p w14:paraId="4CB9BC97" w14:textId="77777777" w:rsidR="00B02873" w:rsidRDefault="00B02873" w:rsidP="00B415A9">
            <w:pPr>
              <w:pStyle w:val="TablebodyleftTables"/>
            </w:pPr>
            <w:r>
              <w:t xml:space="preserve">A streamlined planning process was created to incentivise take up of the four exemplar designs created through the Future Homes design competition. </w:t>
            </w:r>
          </w:p>
          <w:p w14:paraId="0C84C19A" w14:textId="77777777" w:rsidR="00B02873" w:rsidRDefault="00B02873" w:rsidP="00B415A9">
            <w:pPr>
              <w:pStyle w:val="TablebodyleftTables"/>
            </w:pPr>
            <w:r>
              <w:t>This new planning process will be introduced into Maribyrnong City Council’s planning scheme through an upcoming amendment, enabling more high-quality, liveable and sustainable apartments to be delivered, faster.</w:t>
            </w:r>
          </w:p>
        </w:tc>
      </w:tr>
      <w:tr w:rsidR="00B02873" w:rsidRPr="00B02873" w14:paraId="7A04DA27" w14:textId="77777777" w:rsidTr="00E612B7">
        <w:tc>
          <w:tcPr>
            <w:tcW w:w="2339" w:type="dxa"/>
          </w:tcPr>
          <w:p w14:paraId="1EDFD812" w14:textId="77777777" w:rsidR="00B02873" w:rsidRDefault="00B02873" w:rsidP="00B415A9">
            <w:pPr>
              <w:pStyle w:val="TablebodyleftTables"/>
            </w:pPr>
            <w:r>
              <w:lastRenderedPageBreak/>
              <w:t xml:space="preserve">Strengthening protection of green wedges and agricultural land </w:t>
            </w:r>
          </w:p>
        </w:tc>
        <w:tc>
          <w:tcPr>
            <w:tcW w:w="7289" w:type="dxa"/>
          </w:tcPr>
          <w:p w14:paraId="0C70DF4B" w14:textId="253C18E7" w:rsidR="00B02873" w:rsidRDefault="00B02873" w:rsidP="00B415A9">
            <w:pPr>
              <w:pStyle w:val="TablebodyleftTables"/>
            </w:pPr>
            <w:r>
              <w:t>Community consultation on the Planning for Melbourne’s Green Wedges and Agricultural Land Discussion Paper occurred over late 2020 to early 2021 and 879 submissions were received. These submissions are being considered as part of the development of an Action Plan that sets out the Victorian Government’s approach to the enhancing the protection of green wedges and agricultural land. The Action Plan sets out changes to legislation, planning policy and permissible uses, and provides more detailed guidance for local decision making.</w:t>
            </w:r>
            <w:r w:rsidR="00012C04">
              <w:t xml:space="preserve"> </w:t>
            </w:r>
          </w:p>
          <w:p w14:paraId="6132EEED" w14:textId="77777777" w:rsidR="00B02873" w:rsidRDefault="00B02873" w:rsidP="00B415A9">
            <w:pPr>
              <w:pStyle w:val="TablebodyleftTables"/>
            </w:pPr>
            <w:r>
              <w:t>A key reform, announced on 17 December 2021, is the establishment of the Agriculture Victoria Planning and Advisory Service. This statewide service, co-funded by DELWP and Agriculture Victoria, supports better agricultural planning outcomes for council planners and agribusiness.</w:t>
            </w:r>
          </w:p>
        </w:tc>
      </w:tr>
      <w:tr w:rsidR="00B02873" w:rsidRPr="00B02873" w14:paraId="1194209E" w14:textId="77777777" w:rsidTr="00E612B7">
        <w:tc>
          <w:tcPr>
            <w:tcW w:w="2339" w:type="dxa"/>
          </w:tcPr>
          <w:p w14:paraId="27320521" w14:textId="77777777" w:rsidR="00B02873" w:rsidRDefault="00B02873" w:rsidP="00B415A9">
            <w:pPr>
              <w:pStyle w:val="TablebodyleftTables"/>
            </w:pPr>
            <w:r>
              <w:t>Engaging and consulting with Traditional Owners on planning reform opportunities to support Aboriginal self-determination</w:t>
            </w:r>
          </w:p>
        </w:tc>
        <w:tc>
          <w:tcPr>
            <w:tcW w:w="7289" w:type="dxa"/>
          </w:tcPr>
          <w:p w14:paraId="44FB7950" w14:textId="77777777" w:rsidR="00B02873" w:rsidRDefault="00B02873" w:rsidP="00B415A9">
            <w:pPr>
              <w:pStyle w:val="TablebodyleftTables"/>
            </w:pPr>
            <w:r>
              <w:t>DELWP progressed a number of planning reform initiatives in 2021-22 to support Aboriginal self-determination:</w:t>
            </w:r>
          </w:p>
          <w:p w14:paraId="7E69BFFC" w14:textId="77777777" w:rsidR="00B02873" w:rsidRDefault="00B02873" w:rsidP="00E612B7">
            <w:pPr>
              <w:pStyle w:val="TableBulletleftTables"/>
            </w:pPr>
            <w:r>
              <w:t>adding additional public mapping layers in VicPlan relevant to Traditional Owners</w:t>
            </w:r>
          </w:p>
          <w:p w14:paraId="39F72327" w14:textId="77777777" w:rsidR="00B02873" w:rsidRDefault="00B02873" w:rsidP="00E612B7">
            <w:pPr>
              <w:pStyle w:val="TableBulletleftTables"/>
            </w:pPr>
            <w:r>
              <w:t>including a mandatory clause in Environment Effects Statement (EES) Inquiry Terms of Reference, EES scoping requirements and EES consultation plans to require consideration of Registered Aboriginal Parties (RAPs)/Traditional Owner views</w:t>
            </w:r>
          </w:p>
          <w:p w14:paraId="590C6BB4" w14:textId="77777777" w:rsidR="00B02873" w:rsidRDefault="00B02873" w:rsidP="00E612B7">
            <w:pPr>
              <w:pStyle w:val="TableBulletleftTables"/>
            </w:pPr>
            <w:r>
              <w:t>establishment of an internal Aboriginal engagement community of practice to support and build engagement capability</w:t>
            </w:r>
          </w:p>
          <w:p w14:paraId="4C8CBEBE" w14:textId="40A88F28" w:rsidR="00B02873" w:rsidRDefault="00B02873" w:rsidP="00E612B7">
            <w:pPr>
              <w:pStyle w:val="TableBulletleftTables"/>
            </w:pPr>
            <w:r>
              <w:t>active participation of RAPs on technical reference groups during the preparation of environmental effects statements</w:t>
            </w:r>
          </w:p>
          <w:p w14:paraId="4E7E5D82" w14:textId="77777777" w:rsidR="00B02873" w:rsidRDefault="00B02873" w:rsidP="00E612B7">
            <w:pPr>
              <w:pStyle w:val="TableBulletleftTables"/>
            </w:pPr>
            <w:r>
              <w:t xml:space="preserve">partnership with Wurundjeri Woi Wurrung Cultural Heritage Aboriginal Corporation to record cultural values associated with the Yarra River (Birrarung) as part of the Yarra River Action Plan. </w:t>
            </w:r>
          </w:p>
          <w:p w14:paraId="60D61FF0" w14:textId="1D88C7B4" w:rsidR="00B02873" w:rsidRDefault="00B02873" w:rsidP="00B415A9">
            <w:pPr>
              <w:pStyle w:val="TablebodyleftTables"/>
            </w:pPr>
            <w:r>
              <w:t xml:space="preserve">Through release of government action plans for Waterways of the West and Rivers of the Barwon, DELWP has committed to investigating potential amendments to the </w:t>
            </w:r>
            <w:r w:rsidRPr="00E612B7">
              <w:rPr>
                <w:rStyle w:val="LightItalic"/>
                <w:rFonts w:asciiTheme="minorHAnsi" w:hAnsiTheme="minorHAnsi" w:cstheme="minorHAnsi"/>
              </w:rPr>
              <w:t>Planning and Environment Act 1987</w:t>
            </w:r>
            <w:r>
              <w:t xml:space="preserve"> and the planning policy framework to embed Traditional Owners and their values in decision making. This will be supported by comprehensive tools and guidance materials.</w:t>
            </w:r>
          </w:p>
        </w:tc>
      </w:tr>
      <w:tr w:rsidR="00B02873" w:rsidRPr="00B02873" w14:paraId="1437AF47" w14:textId="77777777" w:rsidTr="00E612B7">
        <w:tc>
          <w:tcPr>
            <w:tcW w:w="2339" w:type="dxa"/>
          </w:tcPr>
          <w:p w14:paraId="7AB40C7C" w14:textId="77777777" w:rsidR="00B02873" w:rsidRDefault="00B02873" w:rsidP="00B415A9">
            <w:pPr>
              <w:pStyle w:val="TablebodyleftTables"/>
            </w:pPr>
            <w:r>
              <w:t>Reforming policy, legislation, regulations and systems to protect heritage</w:t>
            </w:r>
          </w:p>
        </w:tc>
        <w:tc>
          <w:tcPr>
            <w:tcW w:w="7289" w:type="dxa"/>
          </w:tcPr>
          <w:p w14:paraId="684FEF00" w14:textId="2361F386" w:rsidR="00B02873" w:rsidRDefault="00B02873" w:rsidP="00B415A9">
            <w:pPr>
              <w:pStyle w:val="TablebodyleftTables"/>
            </w:pPr>
            <w:r>
              <w:t xml:space="preserve">Heritage Victoria focuses on protecting and conserving Victoria’s cultural heritage. In 2021-22 it has delivered policy, programs and initiatives to improve protection of Victoria’s significant heritage places and objects and to make it easier to be a good custodian. </w:t>
            </w:r>
          </w:p>
          <w:p w14:paraId="5D90B9E0" w14:textId="0666B4C5" w:rsidR="00B02873" w:rsidRDefault="00B02873" w:rsidP="00B415A9">
            <w:pPr>
              <w:pStyle w:val="TablebodyleftTables"/>
            </w:pPr>
            <w:r>
              <w:t>This has included commencing the Incentivising Low Harm Proposals Project to develop standing permit exemptions for places and objects included in the Victorian Heritage Register to reduce the regulatory burden of the statutory approval process; delivering guidelines to better identify and assess low harm permit proposals and expedite the assessment of proposals for solar installations and heritage protection plans, and introducing dashboard functionality to improve visibility and management of the permit management system.</w:t>
            </w:r>
            <w:r w:rsidR="00012C04">
              <w:t xml:space="preserve"> </w:t>
            </w:r>
          </w:p>
        </w:tc>
      </w:tr>
      <w:tr w:rsidR="00B02873" w:rsidRPr="00B02873" w14:paraId="233313FD" w14:textId="77777777" w:rsidTr="00E612B7">
        <w:tc>
          <w:tcPr>
            <w:tcW w:w="2339" w:type="dxa"/>
          </w:tcPr>
          <w:p w14:paraId="374BF5A9" w14:textId="77777777" w:rsidR="00B02873" w:rsidRDefault="00B02873" w:rsidP="00B415A9">
            <w:pPr>
              <w:pStyle w:val="TablebodyleftTables"/>
            </w:pPr>
            <w:r>
              <w:lastRenderedPageBreak/>
              <w:t xml:space="preserve">Living Heritage Grants Program </w:t>
            </w:r>
          </w:p>
        </w:tc>
        <w:tc>
          <w:tcPr>
            <w:tcW w:w="7289" w:type="dxa"/>
          </w:tcPr>
          <w:p w14:paraId="781C1714" w14:textId="4C351A2F" w:rsidR="00B02873" w:rsidRDefault="00B02873" w:rsidP="00B415A9">
            <w:pPr>
              <w:pStyle w:val="TablebodyleftTables"/>
            </w:pPr>
            <w:r>
              <w:t>Round 7 of the Living Heritage Grants Program opened in February 2022 and closed 31 March 2022. Successful projects will be announced by August 2022.</w:t>
            </w:r>
          </w:p>
          <w:p w14:paraId="68AE4D6E" w14:textId="77777777" w:rsidR="00B02873" w:rsidRDefault="00B02873" w:rsidP="00B415A9">
            <w:pPr>
              <w:pStyle w:val="TablebodyleftTables"/>
            </w:pPr>
            <w:r>
              <w:t xml:space="preserve">In 2021-22, round 6 of the Living Heritage Program funded 19 new conservation projects totalling $2.4 million. </w:t>
            </w:r>
          </w:p>
          <w:p w14:paraId="01DD55D9" w14:textId="77777777" w:rsidR="00B02873" w:rsidRDefault="00B02873" w:rsidP="00B415A9">
            <w:pPr>
              <w:pStyle w:val="TablebodyleftTables"/>
            </w:pPr>
            <w:r>
              <w:t>Since its inception in 2016, the program has funded more than 165 projects for the conservation of state-significant heritage places, and over 100 are complete.</w:t>
            </w:r>
          </w:p>
        </w:tc>
      </w:tr>
      <w:tr w:rsidR="00B02873" w:rsidRPr="00B02873" w14:paraId="1B57AC1F" w14:textId="77777777" w:rsidTr="00E612B7">
        <w:tc>
          <w:tcPr>
            <w:tcW w:w="2339" w:type="dxa"/>
          </w:tcPr>
          <w:p w14:paraId="7992A68D" w14:textId="77777777" w:rsidR="00B02873" w:rsidRDefault="00B02873" w:rsidP="00B415A9">
            <w:pPr>
              <w:pStyle w:val="TablebodyleftTables"/>
            </w:pPr>
            <w:r>
              <w:t xml:space="preserve">Protecting heritage at Jacksons Hill </w:t>
            </w:r>
          </w:p>
        </w:tc>
        <w:tc>
          <w:tcPr>
            <w:tcW w:w="7289" w:type="dxa"/>
          </w:tcPr>
          <w:p w14:paraId="0A0C77AC" w14:textId="77777777" w:rsidR="00B02873" w:rsidRDefault="00B02873" w:rsidP="00B415A9">
            <w:pPr>
              <w:pStyle w:val="TablebodyleftTables"/>
            </w:pPr>
            <w:r>
              <w:t xml:space="preserve">Jacksons Hill continued to be managed in 2021-22 by DELWP’s facilities manager provider in accordance with statutory obligations, including requirements under the </w:t>
            </w:r>
            <w:r w:rsidRPr="007B6A2B">
              <w:rPr>
                <w:rStyle w:val="LightItalic"/>
                <w:rFonts w:asciiTheme="minorHAnsi" w:hAnsiTheme="minorHAnsi" w:cstheme="minorHAnsi"/>
              </w:rPr>
              <w:t>Heritage Act 2017</w:t>
            </w:r>
            <w:r>
              <w:t>. Preparation of a Cultural Heritage Management Plan is underway and expected to be approved in early 2023. A conservation management plan was completed in December 2021. Negotiations with Hume City Council are continuing regarding gifting part of the site in the Community Arts Precinct.</w:t>
            </w:r>
          </w:p>
        </w:tc>
      </w:tr>
      <w:tr w:rsidR="00B02873" w:rsidRPr="00B02873" w14:paraId="0DD8FC7B" w14:textId="77777777" w:rsidTr="00E612B7">
        <w:tc>
          <w:tcPr>
            <w:tcW w:w="2339" w:type="dxa"/>
          </w:tcPr>
          <w:p w14:paraId="0D72E24E" w14:textId="77777777" w:rsidR="00B02873" w:rsidRDefault="00B02873" w:rsidP="00B415A9">
            <w:pPr>
              <w:pStyle w:val="TablebodyleftTables"/>
            </w:pPr>
            <w:r>
              <w:t xml:space="preserve">World Heritage Management Plan for the Royal Exhibition Building and Carlton Gardens </w:t>
            </w:r>
          </w:p>
        </w:tc>
        <w:tc>
          <w:tcPr>
            <w:tcW w:w="7289" w:type="dxa"/>
          </w:tcPr>
          <w:p w14:paraId="0B6070ED" w14:textId="77777777" w:rsidR="00B02873" w:rsidRDefault="00B02873" w:rsidP="00B415A9">
            <w:pPr>
              <w:pStyle w:val="TablebodyleftTables"/>
            </w:pPr>
            <w:r>
              <w:t>A first draft of the World Heritage Management Plan was provided to the World Heritage Steering Committee for the Royal Exhibition Building and Carlton Gardens in April 2022 The final draft was publicly released in August 2022.</w:t>
            </w:r>
          </w:p>
        </w:tc>
      </w:tr>
      <w:tr w:rsidR="00B02873" w:rsidRPr="00B02873" w14:paraId="70C03AA8" w14:textId="77777777" w:rsidTr="00E612B7">
        <w:tc>
          <w:tcPr>
            <w:tcW w:w="2339" w:type="dxa"/>
          </w:tcPr>
          <w:p w14:paraId="585ABFFE" w14:textId="77777777" w:rsidR="00B02873" w:rsidRDefault="00B02873" w:rsidP="00B415A9">
            <w:pPr>
              <w:pStyle w:val="TablebodyleftTables"/>
            </w:pPr>
            <w:r>
              <w:t xml:space="preserve">Protecting Victoria’s key distinctive areas and landscapes </w:t>
            </w:r>
          </w:p>
        </w:tc>
        <w:tc>
          <w:tcPr>
            <w:tcW w:w="7289" w:type="dxa"/>
          </w:tcPr>
          <w:p w14:paraId="2C844DCA" w14:textId="77777777" w:rsidR="00B02873" w:rsidRDefault="00B02873" w:rsidP="00B415A9">
            <w:pPr>
              <w:pStyle w:val="TablebodyleftTables"/>
            </w:pPr>
            <w:r>
              <w:t>A final draft Statement of Planning Policy was prepared by DELWP for the Surf Coast declared area and endorsements sought from responsible public entities and ministers responsible for those entities. The statement will become operational in 2022-23 subject to approval by the Governor in Council.</w:t>
            </w:r>
          </w:p>
          <w:p w14:paraId="6AA9020A" w14:textId="77777777" w:rsidR="00B02873" w:rsidRDefault="00B02873" w:rsidP="00B415A9">
            <w:pPr>
              <w:pStyle w:val="TablebodyleftTables"/>
            </w:pPr>
            <w:r>
              <w:t>Draft Statements of Planning Policy for the Bass Coast (March-April 2022) and Bellarine Peninsula (July-August 2021) underwent public consultation. Final statements will be operational in 2022-23 subject to endorsement by responsible public entities and approval by the Governor in Council.</w:t>
            </w:r>
          </w:p>
        </w:tc>
      </w:tr>
      <w:tr w:rsidR="00B02873" w:rsidRPr="00B02873" w14:paraId="0EC9DEE2" w14:textId="77777777" w:rsidTr="00E612B7">
        <w:tc>
          <w:tcPr>
            <w:tcW w:w="2339" w:type="dxa"/>
          </w:tcPr>
          <w:p w14:paraId="199736FE" w14:textId="77777777" w:rsidR="00B02873" w:rsidRDefault="00B02873" w:rsidP="00B415A9">
            <w:pPr>
              <w:pStyle w:val="TablebodyleftTables"/>
            </w:pPr>
            <w:r>
              <w:t>Protection of Aboriginal heritage</w:t>
            </w:r>
          </w:p>
        </w:tc>
        <w:tc>
          <w:tcPr>
            <w:tcW w:w="7289" w:type="dxa"/>
          </w:tcPr>
          <w:p w14:paraId="592580C5" w14:textId="1C82EAFC" w:rsidR="00B02873" w:rsidRDefault="00B02873" w:rsidP="00B415A9">
            <w:pPr>
              <w:pStyle w:val="TablebodyleftTables"/>
            </w:pPr>
            <w:r>
              <w:t xml:space="preserve">The DELWP Planning Group Traditional Owner Community of Practice was established in October 2021 and holds meetings approximately every six weeks. The group is involved in sharing best practice and enhancing knowledge regarding the protection of Aboriginal heritage. The Community of Practice also assists in setting goals and actions to support DELWP’s </w:t>
            </w:r>
            <w:r w:rsidRPr="007B6A2B">
              <w:rPr>
                <w:rStyle w:val="LightItalic"/>
                <w:rFonts w:asciiTheme="minorHAnsi" w:hAnsiTheme="minorHAnsi" w:cstheme="minorHAnsi"/>
              </w:rPr>
              <w:t>Pupangarli Marnmarnepu</w:t>
            </w:r>
            <w:r>
              <w:t xml:space="preserve"> strategy.</w:t>
            </w:r>
          </w:p>
        </w:tc>
      </w:tr>
      <w:tr w:rsidR="00B02873" w:rsidRPr="00B02873" w14:paraId="3D1DB8BA" w14:textId="77777777" w:rsidTr="00E612B7">
        <w:tc>
          <w:tcPr>
            <w:tcW w:w="2339" w:type="dxa"/>
          </w:tcPr>
          <w:p w14:paraId="71784B5B" w14:textId="77777777" w:rsidR="00B02873" w:rsidRDefault="00B02873" w:rsidP="00B415A9">
            <w:pPr>
              <w:pStyle w:val="TablebodyleftTables"/>
            </w:pPr>
            <w:r>
              <w:lastRenderedPageBreak/>
              <w:t>New models for joined up, localised planning in priority urban areas</w:t>
            </w:r>
          </w:p>
        </w:tc>
        <w:tc>
          <w:tcPr>
            <w:tcW w:w="7289" w:type="dxa"/>
          </w:tcPr>
          <w:p w14:paraId="2EEFD84C" w14:textId="77777777" w:rsidR="00B02873" w:rsidRDefault="00B02873" w:rsidP="00B415A9">
            <w:pPr>
              <w:pStyle w:val="TablebodyleftTables"/>
            </w:pPr>
            <w:r>
              <w:t>Coordinated government activity between DELWP, the Department of Jobs, Precincts and Regions and other departments has enhanced infrastructure and service planning relating to priority precincts with significant progress including:</w:t>
            </w:r>
          </w:p>
          <w:p w14:paraId="4249A75D" w14:textId="77777777" w:rsidR="00B02873" w:rsidRDefault="00B02873" w:rsidP="00E612B7">
            <w:pPr>
              <w:pStyle w:val="TableBulletleftTables"/>
            </w:pPr>
            <w:r>
              <w:t>precincts being identified in the draft Metropolitan Land Use Framework Plans including the Suburban Rail renewal precincts</w:t>
            </w:r>
          </w:p>
          <w:p w14:paraId="1EA666C4" w14:textId="77777777" w:rsidR="00B02873" w:rsidRPr="007B6A2B" w:rsidRDefault="00B02873" w:rsidP="00E612B7">
            <w:pPr>
              <w:pStyle w:val="TableBulletleftTables"/>
              <w:rPr>
                <w:spacing w:val="-2"/>
              </w:rPr>
            </w:pPr>
            <w:r w:rsidRPr="007B6A2B">
              <w:rPr>
                <w:spacing w:val="-2"/>
              </w:rPr>
              <w:t>release of the Arden Urban Renewal Precincts framework plan in August 2021 and amendment C407 to the Melbourne Planning Scheme</w:t>
            </w:r>
          </w:p>
          <w:p w14:paraId="70C127B8" w14:textId="77777777" w:rsidR="00B02873" w:rsidRDefault="00B02873" w:rsidP="00E612B7">
            <w:pPr>
              <w:pStyle w:val="TableBulletleftTables"/>
            </w:pPr>
            <w:r>
              <w:t>release of the Footscray Opportunities and Directions Paper in December 2021.</w:t>
            </w:r>
          </w:p>
        </w:tc>
      </w:tr>
      <w:tr w:rsidR="00B02873" w:rsidRPr="00B02873" w14:paraId="0DF78F4D" w14:textId="77777777" w:rsidTr="00E612B7">
        <w:tc>
          <w:tcPr>
            <w:tcW w:w="2339" w:type="dxa"/>
          </w:tcPr>
          <w:p w14:paraId="38448D37" w14:textId="77777777" w:rsidR="00B02873" w:rsidRDefault="00B02873" w:rsidP="00B415A9">
            <w:pPr>
              <w:pStyle w:val="TablebodyleftTables"/>
            </w:pPr>
            <w:r>
              <w:t xml:space="preserve">Land-use framework plans </w:t>
            </w:r>
          </w:p>
        </w:tc>
        <w:tc>
          <w:tcPr>
            <w:tcW w:w="7289" w:type="dxa"/>
          </w:tcPr>
          <w:p w14:paraId="38EA420F" w14:textId="77777777" w:rsidR="00B02873" w:rsidRDefault="00B02873" w:rsidP="00B415A9">
            <w:pPr>
              <w:pStyle w:val="TablebodyleftTables"/>
            </w:pPr>
            <w:r>
              <w:t xml:space="preserve">Following a public consultation process in August and September 2021, draft land-use framework plans for the Inner, Western, Northern, Eastern, Southern and Inner South-East metro regions are being finalised for government’s consideration in late 2022. </w:t>
            </w:r>
          </w:p>
          <w:p w14:paraId="0DF51371" w14:textId="77777777" w:rsidR="00B02873" w:rsidRDefault="00B02873" w:rsidP="00B415A9">
            <w:pPr>
              <w:pStyle w:val="TablebodyleftTables"/>
            </w:pPr>
            <w:r>
              <w:t>The plans were developed with extensive engagement across state and local government, and in partnership with Traditional Owners. The final plans will explain what Plan Melbourne 2017-2050 means for each metropolitan region and provide direction on where future growth should be focussed while protecting Melbourne’s liveability.</w:t>
            </w:r>
          </w:p>
        </w:tc>
      </w:tr>
    </w:tbl>
    <w:p w14:paraId="6D4127C1" w14:textId="77777777" w:rsidR="00B02873" w:rsidRDefault="00B02873" w:rsidP="00FE198A"/>
    <w:p w14:paraId="779F0C73" w14:textId="7A4150C9" w:rsidR="00B02873" w:rsidRDefault="00B02873" w:rsidP="007B6A2B">
      <w:pPr>
        <w:pStyle w:val="Heading4"/>
      </w:pPr>
      <w:r>
        <w:t>Indicator: Improved liveability, sustainability and inclusiveness of public spaces and neighbourhoods</w:t>
      </w:r>
    </w:p>
    <w:p w14:paraId="2BAD8300" w14:textId="77777777" w:rsidR="00B02873" w:rsidRDefault="00B02873" w:rsidP="00FE198A">
      <w:r>
        <w:t>A key role of DELWP is to create liveable, inclusive and sustainable communities, as we work to accommodate population growth while responding to climate change and protecting our natural environment, infrastructure and heritage.</w:t>
      </w:r>
    </w:p>
    <w:p w14:paraId="3A876E24" w14:textId="77777777" w:rsidR="00B02873" w:rsidRDefault="00B02873" w:rsidP="00FE198A">
      <w:r w:rsidRPr="00DE1FCE">
        <w:rPr>
          <w:rStyle w:val="LightItalic"/>
          <w:rFonts w:asciiTheme="minorHAnsi" w:hAnsiTheme="minorHAnsi" w:cstheme="minorHAnsi"/>
        </w:rPr>
        <w:t>Plan Melbourne</w:t>
      </w:r>
      <w:r>
        <w:t xml:space="preserve"> sets the vision of how we will develop over the next 30 years and is structured around six outcomes that are critical to achieving our vision of maintaining our status as a global city of opportunity and choice. Plan Melbourne will provide housing choice in locations close to jobs and services and enable an integrated transport system that connects people to jobs and services. </w:t>
      </w:r>
    </w:p>
    <w:p w14:paraId="78993E6E" w14:textId="77777777" w:rsidR="00B02873" w:rsidRDefault="00B02873" w:rsidP="00FE198A">
      <w:r>
        <w:t xml:space="preserve">This is supported through two of the key </w:t>
      </w:r>
      <w:r w:rsidRPr="007B6A2B">
        <w:rPr>
          <w:rStyle w:val="LightItalic"/>
          <w:rFonts w:asciiTheme="minorHAnsi" w:hAnsiTheme="minorHAnsi" w:cstheme="minorHAnsi"/>
        </w:rPr>
        <w:t>Plan Melbourne</w:t>
      </w:r>
      <w:r>
        <w:t xml:space="preserve"> outcomes:</w:t>
      </w:r>
    </w:p>
    <w:p w14:paraId="29FCFC9F" w14:textId="30A6D9DF" w:rsidR="00B02873" w:rsidRDefault="00B02873" w:rsidP="00B02873">
      <w:pPr>
        <w:pStyle w:val="Bullet1Lists"/>
      </w:pPr>
      <w:r>
        <w:t>Creating affordable and accessible housing by delivering more housing affordability and choice with more of the housing needed delivered in the right locations</w:t>
      </w:r>
    </w:p>
    <w:p w14:paraId="69742093" w14:textId="1C8C8872" w:rsidR="00B02873" w:rsidRDefault="00B02873" w:rsidP="007B6A2B">
      <w:pPr>
        <w:pStyle w:val="Bullet1Listslast"/>
      </w:pPr>
      <w:r>
        <w:t>Connecting communities by creating a city of 20-minute neighbourhoods, supported by the 20-minute neighbourhoods pilot program to build pedestrian friendly neighbourhoods – measured by the distance of 800 metres.</w:t>
      </w:r>
    </w:p>
    <w:p w14:paraId="271285D0" w14:textId="77777777" w:rsidR="00B02873" w:rsidRDefault="00B02873" w:rsidP="007B6A2B">
      <w:pPr>
        <w:pStyle w:val="Normalbeforebullet"/>
      </w:pPr>
      <w:r>
        <w:lastRenderedPageBreak/>
        <w:t>DELWP reports on this indicator through the below two measures:</w:t>
      </w:r>
    </w:p>
    <w:p w14:paraId="0CA4514F" w14:textId="565B3D2D" w:rsidR="00B02873" w:rsidRDefault="00B02873" w:rsidP="007B6A2B">
      <w:pPr>
        <w:pStyle w:val="Figureheading"/>
      </w:pPr>
      <w:r w:rsidRPr="007B6A2B">
        <w:t>Proportion of major infill development in areas close to services and transport (within 800m of an Activity Centre or Train station)</w:t>
      </w:r>
    </w:p>
    <w:p w14:paraId="0546D74B" w14:textId="5CF6B14E" w:rsidR="007B6A2B" w:rsidRPr="007B6A2B" w:rsidRDefault="007B6A2B" w:rsidP="007B6A2B">
      <w:r>
        <w:rPr>
          <w:noProof/>
        </w:rPr>
        <w:drawing>
          <wp:inline distT="0" distB="0" distL="0" distR="0" wp14:anchorId="7EFCED5A" wp14:editId="049F7CD2">
            <wp:extent cx="3048006" cy="2724918"/>
            <wp:effectExtent l="0" t="0" r="0" b="0"/>
            <wp:docPr id="24" name="Picture 24" descr="Graph showing the proportion of major infill development in areas close to services and transport (within 800m of an Activity Centre or Train station) over time. The proportion has remained steady between 2019-20 and 2021-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 showing the proportion of major infill development in areas close to services and transport (within 800m of an Activity Centre or Train station) over time. The proportion has remained steady between 2019-20 and 2021-22. "/>
                    <pic:cNvPicPr/>
                  </pic:nvPicPr>
                  <pic:blipFill>
                    <a:blip r:embed="rId33"/>
                    <a:stretch>
                      <a:fillRect/>
                    </a:stretch>
                  </pic:blipFill>
                  <pic:spPr>
                    <a:xfrm>
                      <a:off x="0" y="0"/>
                      <a:ext cx="3048006" cy="2724918"/>
                    </a:xfrm>
                    <a:prstGeom prst="rect">
                      <a:avLst/>
                    </a:prstGeom>
                  </pic:spPr>
                </pic:pic>
              </a:graphicData>
            </a:graphic>
          </wp:inline>
        </w:drawing>
      </w:r>
    </w:p>
    <w:p w14:paraId="16D007E3" w14:textId="77777777" w:rsidR="00B02873" w:rsidRPr="007B6A2B" w:rsidRDefault="00B02873" w:rsidP="007B6A2B">
      <w:pPr>
        <w:pStyle w:val="SourceNote"/>
      </w:pPr>
      <w:r w:rsidRPr="007B6A2B">
        <w:t>*Data for 2020-21 has been revised following an annual re-assessment of major infill redevelopment sites.</w:t>
      </w:r>
    </w:p>
    <w:p w14:paraId="45CB4E2E" w14:textId="77777777" w:rsidR="00B02873" w:rsidRDefault="00B02873" w:rsidP="00FE198A">
      <w:r>
        <w:t>In line with Plan Melbourne principles, this measure shows the percentage share of new dwellings in and around Activity Centres and close to train stations (within 800 metres of these locations). The share of new dwellings in major residential infill projects in around these well serviced locations remained relatively stable from 2019-20 to 2021-22 at around 85 per cent. This is an outcome of planning policy that has promoted development in these areas.</w:t>
      </w:r>
    </w:p>
    <w:p w14:paraId="238315D3" w14:textId="7B78B7E8" w:rsidR="00B02873" w:rsidRPr="007B6A2B" w:rsidRDefault="00B02873" w:rsidP="007B6A2B">
      <w:pPr>
        <w:pStyle w:val="Figureheading"/>
      </w:pPr>
      <w:r w:rsidRPr="007B6A2B">
        <w:t>Diversity of housing lots in growth areas (share of new lots under 300 square metres)</w:t>
      </w:r>
    </w:p>
    <w:p w14:paraId="76E914B1" w14:textId="2CB666E5" w:rsidR="00B02873" w:rsidRDefault="007B6A2B" w:rsidP="00FE198A">
      <w:r>
        <w:rPr>
          <w:noProof/>
        </w:rPr>
        <w:drawing>
          <wp:inline distT="0" distB="0" distL="0" distR="0" wp14:anchorId="6C963475" wp14:editId="6EF9EDBD">
            <wp:extent cx="3048006" cy="2724918"/>
            <wp:effectExtent l="0" t="0" r="0" b="0"/>
            <wp:docPr id="25" name="Picture 25" descr="Graph showing the share of new housing lots under 300 square metres over time. The graph shows an overall increasing trend from 2017-18 to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 showing the share of new housing lots under 300 square metres over time. The graph shows an overall increasing trend from 2017-18 to 2021-22."/>
                    <pic:cNvPicPr/>
                  </pic:nvPicPr>
                  <pic:blipFill>
                    <a:blip r:embed="rId34"/>
                    <a:stretch>
                      <a:fillRect/>
                    </a:stretch>
                  </pic:blipFill>
                  <pic:spPr>
                    <a:xfrm>
                      <a:off x="0" y="0"/>
                      <a:ext cx="3048006" cy="2724918"/>
                    </a:xfrm>
                    <a:prstGeom prst="rect">
                      <a:avLst/>
                    </a:prstGeom>
                  </pic:spPr>
                </pic:pic>
              </a:graphicData>
            </a:graphic>
          </wp:inline>
        </w:drawing>
      </w:r>
    </w:p>
    <w:p w14:paraId="66CBD0B8" w14:textId="77777777" w:rsidR="00B02873" w:rsidRDefault="00B02873" w:rsidP="00FE198A">
      <w:r>
        <w:t>This measure on diversity of housing lots in growth areas has increased significantly to 35 per cent in 2021-22, up from 28 per cent in the previous year. New lots under 300m</w:t>
      </w:r>
      <w:r>
        <w:rPr>
          <w:vertAlign w:val="superscript"/>
        </w:rPr>
        <w:t>2</w:t>
      </w:r>
      <w:r>
        <w:t xml:space="preserve"> are becoming more prevalent as compact housing forms, such as townhouses and units, and are becoming a more accepted choice of housing in growth areas.</w:t>
      </w:r>
    </w:p>
    <w:p w14:paraId="5C70DDD3" w14:textId="603A4FFF" w:rsidR="00B02873" w:rsidRDefault="00B02873" w:rsidP="00F56184">
      <w:pPr>
        <w:pStyle w:val="Heading4"/>
      </w:pPr>
      <w:r>
        <w:t>Indicator: Effective protection of cultural and natural heritage</w:t>
      </w:r>
    </w:p>
    <w:p w14:paraId="70FACCBA" w14:textId="6103FBF4" w:rsidR="00B02873" w:rsidRDefault="00B02873" w:rsidP="00FE198A">
      <w:r>
        <w:t>Victorians have a strong love of the state’s heritage places and objects. Our valued heritage places need to be protected and conserved for the enjoyment of current and future generations.</w:t>
      </w:r>
      <w:r w:rsidR="00012C04">
        <w:t xml:space="preserve"> </w:t>
      </w:r>
    </w:p>
    <w:p w14:paraId="608CFD0B" w14:textId="77777777" w:rsidR="00B02873" w:rsidRDefault="00B02873" w:rsidP="00FE198A">
      <w:r>
        <w:lastRenderedPageBreak/>
        <w:t xml:space="preserve">The protection of our historic heritage is supported through the </w:t>
      </w:r>
      <w:r w:rsidRPr="00F56184">
        <w:rPr>
          <w:rStyle w:val="LightItalic"/>
          <w:rFonts w:asciiTheme="minorHAnsi" w:hAnsiTheme="minorHAnsi" w:cstheme="minorHAnsi"/>
        </w:rPr>
        <w:t>Heritage Act 2017</w:t>
      </w:r>
      <w:r>
        <w:t xml:space="preserve">, which introduced streamlined processes for approvals and strengthened enforcement tools for the Victorian Heritage Register. The Register includes 2,376 historic places and objects of state level significance, ranging from Flinders Street Railway Station, the Murtoa Stick Shed, the Castlemaine Diggings and the Eureka Flag. The </w:t>
      </w:r>
      <w:r w:rsidRPr="00F56184">
        <w:rPr>
          <w:rStyle w:val="LightItalic"/>
          <w:rFonts w:asciiTheme="minorHAnsi" w:hAnsiTheme="minorHAnsi" w:cstheme="minorHAnsi"/>
        </w:rPr>
        <w:t>Heritage Act 2017</w:t>
      </w:r>
      <w:r>
        <w:t xml:space="preserve"> also provides for the protection of shipwrecks, and other underwater cultural heritage, and historical archaeological sites. </w:t>
      </w:r>
    </w:p>
    <w:p w14:paraId="1BD48A68" w14:textId="77777777" w:rsidR="00B02873" w:rsidRDefault="00B02873" w:rsidP="00F56184">
      <w:pPr>
        <w:pStyle w:val="Normalbeforebullet"/>
      </w:pPr>
      <w:r>
        <w:t>DELWP reports on this indicator through the below two measures:</w:t>
      </w:r>
    </w:p>
    <w:p w14:paraId="43CE717A" w14:textId="77777777" w:rsidR="00B02873" w:rsidRPr="00F56184" w:rsidRDefault="00B02873" w:rsidP="00F56184">
      <w:pPr>
        <w:pStyle w:val="Figureheading"/>
      </w:pPr>
      <w:r w:rsidRPr="00F56184">
        <w:t>Total number of registered places and objects in the Victorian Heritage Register</w:t>
      </w:r>
    </w:p>
    <w:p w14:paraId="61E429EA" w14:textId="360C8581" w:rsidR="00B02873" w:rsidRDefault="00F56184" w:rsidP="00FE198A">
      <w:r>
        <w:rPr>
          <w:noProof/>
        </w:rPr>
        <w:drawing>
          <wp:inline distT="0" distB="0" distL="0" distR="0" wp14:anchorId="196A834D" wp14:editId="6355ACF3">
            <wp:extent cx="3048006" cy="2703582"/>
            <wp:effectExtent l="0" t="0" r="0" b="1905"/>
            <wp:docPr id="26" name="Picture 26" descr="Graph showing the total cumulative number of registered places and objects in the Victorian Heritage Register over time. In 2021-22, the total number was 2,376, representing a net increase of nine registered places and object compared to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 showing the total cumulative number of registered places and objects in the Victorian Heritage Register over time. In 2021-22, the total number was 2,376, representing a net increase of nine registered places and object compared to 2020-21."/>
                    <pic:cNvPicPr/>
                  </pic:nvPicPr>
                  <pic:blipFill>
                    <a:blip r:embed="rId35"/>
                    <a:stretch>
                      <a:fillRect/>
                    </a:stretch>
                  </pic:blipFill>
                  <pic:spPr>
                    <a:xfrm>
                      <a:off x="0" y="0"/>
                      <a:ext cx="3048006" cy="2703582"/>
                    </a:xfrm>
                    <a:prstGeom prst="rect">
                      <a:avLst/>
                    </a:prstGeom>
                  </pic:spPr>
                </pic:pic>
              </a:graphicData>
            </a:graphic>
          </wp:inline>
        </w:drawing>
      </w:r>
    </w:p>
    <w:p w14:paraId="0928D29F" w14:textId="0B63C83E" w:rsidR="00B02873" w:rsidRPr="00F56184" w:rsidRDefault="00B02873" w:rsidP="00F56184">
      <w:pPr>
        <w:pStyle w:val="SourceNote"/>
      </w:pPr>
      <w:r w:rsidRPr="00F56184">
        <w:t xml:space="preserve">(i) This metric replaces the 2020-21 metric ‘Places or objects protected and managed by the Victorian Heritage Register’. The new metric improves performance transparency by providing the total number of heritage places or objects with legal protection through the Victorian Heritage Register. </w:t>
      </w:r>
    </w:p>
    <w:p w14:paraId="7E24E4B7" w14:textId="77777777" w:rsidR="00B02873" w:rsidRDefault="00B02873" w:rsidP="00FE198A">
      <w:r>
        <w:t>Recent inclusions of places and objects in the Register such as the Lyceum Club, Edith Ingpen House and the Aids Memorial Quilt acknowledge the contribution of key communities to Victoria’s history.</w:t>
      </w:r>
    </w:p>
    <w:p w14:paraId="68674135" w14:textId="63E3E662" w:rsidR="00B02873" w:rsidRDefault="00B02873" w:rsidP="00F56184">
      <w:pPr>
        <w:pStyle w:val="Figureheading"/>
      </w:pPr>
      <w:r w:rsidRPr="00F56184">
        <w:t>Incidents of unauthorised works to State listed heritage places and objects</w:t>
      </w:r>
    </w:p>
    <w:p w14:paraId="390A37F6" w14:textId="37BDE625" w:rsidR="00F56184" w:rsidRPr="00F56184" w:rsidRDefault="00F56184" w:rsidP="00F56184">
      <w:r>
        <w:rPr>
          <w:noProof/>
        </w:rPr>
        <w:drawing>
          <wp:inline distT="0" distB="0" distL="0" distR="0" wp14:anchorId="0B32F0D0" wp14:editId="60C4943F">
            <wp:extent cx="3048006" cy="2731014"/>
            <wp:effectExtent l="0" t="0" r="0" b="0"/>
            <wp:docPr id="27" name="Picture 27" descr="Graph showing the number of incidents of unauthorised works to State listed heritage places and objects over time. The graph shows an overall increasing trend between 2018-19 and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 showing the number of incidents of unauthorised works to State listed heritage places and objects over time. The graph shows an overall increasing trend between 2018-19 and 2021-22."/>
                    <pic:cNvPicPr/>
                  </pic:nvPicPr>
                  <pic:blipFill>
                    <a:blip r:embed="rId36"/>
                    <a:stretch>
                      <a:fillRect/>
                    </a:stretch>
                  </pic:blipFill>
                  <pic:spPr>
                    <a:xfrm>
                      <a:off x="0" y="0"/>
                      <a:ext cx="3048006" cy="2731014"/>
                    </a:xfrm>
                    <a:prstGeom prst="rect">
                      <a:avLst/>
                    </a:prstGeom>
                  </pic:spPr>
                </pic:pic>
              </a:graphicData>
            </a:graphic>
          </wp:inline>
        </w:drawing>
      </w:r>
    </w:p>
    <w:p w14:paraId="5C3D6A7D" w14:textId="7641BC93" w:rsidR="00B02873" w:rsidRDefault="00B02873" w:rsidP="00FE198A">
      <w:r>
        <w:t xml:space="preserve">The </w:t>
      </w:r>
      <w:r w:rsidRPr="00F56184">
        <w:rPr>
          <w:rStyle w:val="LightItalic"/>
          <w:rFonts w:asciiTheme="minorHAnsi" w:hAnsiTheme="minorHAnsi" w:cstheme="minorHAnsi"/>
        </w:rPr>
        <w:t>Heritage Act 2017</w:t>
      </w:r>
      <w:r>
        <w:t xml:space="preserve"> protects heritage places and objects included in the Victorian Heritage Register and any works carried out to those places must be completed only with permits or permit exemptions in place.</w:t>
      </w:r>
    </w:p>
    <w:p w14:paraId="3B2B2E41" w14:textId="77777777" w:rsidR="00B02873" w:rsidRDefault="00B02873" w:rsidP="00FE198A">
      <w:r>
        <w:lastRenderedPageBreak/>
        <w:t>During 2021-22, Heritage Victoria received 64 notifications of unauthorised works to registered places. Heritage Victoria has experienced an overall increase in reporting of these types of incidents. This is due to a number of factors including increased enforcement and investigation activities by Heritage Victoria following the easing of COVIDSafe settings in Victoria and an increase in the number of community reports/complaints.</w:t>
      </w:r>
    </w:p>
    <w:p w14:paraId="029A3C39" w14:textId="77777777" w:rsidR="00B02873" w:rsidRDefault="00B02873" w:rsidP="00F56184">
      <w:pPr>
        <w:pStyle w:val="Heading3"/>
      </w:pPr>
      <w:r>
        <w:t>Output performance measures</w:t>
      </w:r>
    </w:p>
    <w:p w14:paraId="72050A8E" w14:textId="77777777" w:rsidR="00B02873" w:rsidRDefault="00B02873" w:rsidP="00F56184">
      <w:pPr>
        <w:pStyle w:val="Heading4"/>
      </w:pPr>
      <w:r>
        <w:t>Planning, Building and Heritage</w:t>
      </w:r>
    </w:p>
    <w:p w14:paraId="4672DE1A" w14:textId="77777777" w:rsidR="00B02873" w:rsidRDefault="00B02873" w:rsidP="00FE198A">
      <w:r>
        <w:t>This output delivers programs to address the future growth and transformation of cities and regions through: strategic and integrated land use planning; urban development, design and renewal; land supply; heritage conservation and management; and regulatory reform. Through this output, the Department administers the statutory responsibilities of the Minister for Planning and provides for fair and transparent planning, building and heritage systems.</w:t>
      </w:r>
    </w:p>
    <w:p w14:paraId="3FBF673C" w14:textId="52EC49DD" w:rsidR="00B02873" w:rsidRDefault="00B02873" w:rsidP="00F56184">
      <w:pPr>
        <w:pStyle w:val="Normalbeforebullet"/>
      </w:pPr>
      <w:r>
        <w:t>The performance measures below compare targets and expected or actual results from the delivery of programs and services as part of this output:</w:t>
      </w:r>
    </w:p>
    <w:tbl>
      <w:tblPr>
        <w:tblStyle w:val="TableGrid"/>
        <w:tblW w:w="9776" w:type="dxa"/>
        <w:tblLayout w:type="fixed"/>
        <w:tblLook w:val="0020" w:firstRow="1" w:lastRow="0" w:firstColumn="0" w:lastColumn="0" w:noHBand="0" w:noVBand="0"/>
      </w:tblPr>
      <w:tblGrid>
        <w:gridCol w:w="3256"/>
        <w:gridCol w:w="1134"/>
        <w:gridCol w:w="992"/>
        <w:gridCol w:w="992"/>
        <w:gridCol w:w="1559"/>
        <w:gridCol w:w="1843"/>
      </w:tblGrid>
      <w:tr w:rsidR="00B02873" w:rsidRPr="00B02873" w14:paraId="19FC9366" w14:textId="77777777" w:rsidTr="00BE3CFB">
        <w:trPr>
          <w:cnfStyle w:val="100000000000" w:firstRow="1" w:lastRow="0" w:firstColumn="0" w:lastColumn="0" w:oddVBand="0" w:evenVBand="0" w:oddHBand="0" w:evenHBand="0" w:firstRowFirstColumn="0" w:firstRowLastColumn="0" w:lastRowFirstColumn="0" w:lastRowLastColumn="0"/>
          <w:tblHeader/>
        </w:trPr>
        <w:tc>
          <w:tcPr>
            <w:tcW w:w="3256" w:type="dxa"/>
          </w:tcPr>
          <w:p w14:paraId="2CE82FD5" w14:textId="77777777" w:rsidR="00B02873" w:rsidRDefault="00B02873" w:rsidP="00625766">
            <w:pPr>
              <w:pStyle w:val="TableheadingleftTables"/>
            </w:pPr>
            <w:r>
              <w:t xml:space="preserve">Output performance measures </w:t>
            </w:r>
          </w:p>
        </w:tc>
        <w:tc>
          <w:tcPr>
            <w:tcW w:w="1134" w:type="dxa"/>
          </w:tcPr>
          <w:p w14:paraId="627FB958" w14:textId="77777777" w:rsidR="00B02873" w:rsidRDefault="00B02873" w:rsidP="00625766">
            <w:pPr>
              <w:pStyle w:val="TableheadingleftTables"/>
            </w:pPr>
            <w:r>
              <w:t>Unit of measure</w:t>
            </w:r>
          </w:p>
        </w:tc>
        <w:tc>
          <w:tcPr>
            <w:tcW w:w="992" w:type="dxa"/>
          </w:tcPr>
          <w:p w14:paraId="58F6634C" w14:textId="77777777" w:rsidR="00B02873" w:rsidRDefault="00B02873" w:rsidP="00DE1159">
            <w:pPr>
              <w:pStyle w:val="TableheadingleftTables"/>
              <w:jc w:val="right"/>
            </w:pPr>
            <w:r>
              <w:t>2021-22 actual</w:t>
            </w:r>
          </w:p>
        </w:tc>
        <w:tc>
          <w:tcPr>
            <w:tcW w:w="992" w:type="dxa"/>
          </w:tcPr>
          <w:p w14:paraId="7F4C3DE3" w14:textId="77777777" w:rsidR="00B02873" w:rsidRDefault="00B02873" w:rsidP="00DE1159">
            <w:pPr>
              <w:pStyle w:val="TableheadingleftTables"/>
              <w:jc w:val="right"/>
            </w:pPr>
            <w:r>
              <w:t>2021-22 target</w:t>
            </w:r>
          </w:p>
        </w:tc>
        <w:tc>
          <w:tcPr>
            <w:tcW w:w="1559" w:type="dxa"/>
          </w:tcPr>
          <w:p w14:paraId="2AEF2128" w14:textId="77777777" w:rsidR="00B02873" w:rsidRDefault="00B02873" w:rsidP="00DE1159">
            <w:pPr>
              <w:pStyle w:val="TableheadingleftTables"/>
              <w:jc w:val="right"/>
            </w:pPr>
            <w:r>
              <w:rPr>
                <w:spacing w:val="-3"/>
              </w:rPr>
              <w:t>Performance variation (%)</w:t>
            </w:r>
          </w:p>
        </w:tc>
        <w:tc>
          <w:tcPr>
            <w:tcW w:w="1843" w:type="dxa"/>
          </w:tcPr>
          <w:p w14:paraId="32D7C064" w14:textId="77777777" w:rsidR="00B02873" w:rsidRDefault="00B02873" w:rsidP="00625766">
            <w:pPr>
              <w:pStyle w:val="TableheadingleftTables"/>
            </w:pPr>
            <w:r>
              <w:t>Result</w:t>
            </w:r>
          </w:p>
        </w:tc>
      </w:tr>
      <w:tr w:rsidR="00B02873" w:rsidRPr="00B02873" w14:paraId="69C899B5" w14:textId="77777777" w:rsidTr="00BE3CFB">
        <w:tc>
          <w:tcPr>
            <w:tcW w:w="3256" w:type="dxa"/>
          </w:tcPr>
          <w:p w14:paraId="09AF6615" w14:textId="77777777" w:rsidR="00B02873" w:rsidRDefault="00B02873" w:rsidP="00B415A9">
            <w:pPr>
              <w:pStyle w:val="TableheadingleftTables"/>
            </w:pPr>
            <w:r>
              <w:t>Quantity</w:t>
            </w:r>
          </w:p>
        </w:tc>
        <w:tc>
          <w:tcPr>
            <w:tcW w:w="1134" w:type="dxa"/>
          </w:tcPr>
          <w:p w14:paraId="28EBE5AF" w14:textId="77777777" w:rsidR="00B02873" w:rsidRPr="00B02873" w:rsidRDefault="00B02873" w:rsidP="00B415A9">
            <w:pPr>
              <w:pStyle w:val="NoParagraphStyle"/>
              <w:spacing w:line="240" w:lineRule="auto"/>
              <w:textAlignment w:val="auto"/>
              <w:rPr>
                <w:rFonts w:ascii="Apple Symbols Regular" w:hAnsi="Apple Symbols Regular" w:cs="Times New Roman"/>
                <w:color w:val="auto"/>
                <w:lang w:val="en-AU"/>
              </w:rPr>
            </w:pPr>
          </w:p>
        </w:tc>
        <w:tc>
          <w:tcPr>
            <w:tcW w:w="992" w:type="dxa"/>
          </w:tcPr>
          <w:p w14:paraId="7CD72AEF" w14:textId="77777777" w:rsidR="00B02873" w:rsidRPr="00B02873" w:rsidRDefault="00B02873" w:rsidP="00DE1159">
            <w:pPr>
              <w:pStyle w:val="NoParagraphStyle"/>
              <w:spacing w:line="240" w:lineRule="auto"/>
              <w:jc w:val="right"/>
              <w:textAlignment w:val="auto"/>
              <w:rPr>
                <w:rFonts w:ascii="Apple Symbols Regular" w:hAnsi="Apple Symbols Regular" w:cs="Times New Roman"/>
                <w:color w:val="auto"/>
                <w:lang w:val="en-AU"/>
              </w:rPr>
            </w:pPr>
          </w:p>
        </w:tc>
        <w:tc>
          <w:tcPr>
            <w:tcW w:w="992" w:type="dxa"/>
          </w:tcPr>
          <w:p w14:paraId="65971426" w14:textId="77777777" w:rsidR="00B02873" w:rsidRPr="00B02873" w:rsidRDefault="00B02873" w:rsidP="00DE1159">
            <w:pPr>
              <w:pStyle w:val="NoParagraphStyle"/>
              <w:spacing w:line="240" w:lineRule="auto"/>
              <w:jc w:val="right"/>
              <w:textAlignment w:val="auto"/>
              <w:rPr>
                <w:rFonts w:ascii="Apple Symbols Regular" w:hAnsi="Apple Symbols Regular" w:cs="Times New Roman"/>
                <w:color w:val="auto"/>
                <w:lang w:val="en-AU"/>
              </w:rPr>
            </w:pPr>
          </w:p>
        </w:tc>
        <w:tc>
          <w:tcPr>
            <w:tcW w:w="1559" w:type="dxa"/>
          </w:tcPr>
          <w:p w14:paraId="6FECE36C" w14:textId="77777777" w:rsidR="00B02873" w:rsidRPr="00B02873" w:rsidRDefault="00B02873" w:rsidP="00DE1159">
            <w:pPr>
              <w:pStyle w:val="NoParagraphStyle"/>
              <w:spacing w:line="240" w:lineRule="auto"/>
              <w:jc w:val="right"/>
              <w:textAlignment w:val="auto"/>
              <w:rPr>
                <w:rFonts w:ascii="Apple Symbols Regular" w:hAnsi="Apple Symbols Regular" w:cs="Times New Roman"/>
                <w:color w:val="auto"/>
                <w:lang w:val="en-AU"/>
              </w:rPr>
            </w:pPr>
          </w:p>
        </w:tc>
        <w:tc>
          <w:tcPr>
            <w:tcW w:w="1843" w:type="dxa"/>
          </w:tcPr>
          <w:p w14:paraId="6DDD9C78" w14:textId="77777777" w:rsidR="00B02873" w:rsidRPr="00B02873" w:rsidRDefault="00B02873" w:rsidP="00B415A9">
            <w:pPr>
              <w:pStyle w:val="NoParagraphStyle"/>
              <w:spacing w:line="240" w:lineRule="auto"/>
              <w:textAlignment w:val="auto"/>
              <w:rPr>
                <w:rFonts w:ascii="Apple Symbols Regular" w:hAnsi="Apple Symbols Regular" w:cs="Times New Roman"/>
                <w:color w:val="auto"/>
                <w:lang w:val="en-AU"/>
              </w:rPr>
            </w:pPr>
          </w:p>
        </w:tc>
      </w:tr>
      <w:tr w:rsidR="00B02873" w:rsidRPr="00B02873" w14:paraId="60BFA7C0" w14:textId="77777777" w:rsidTr="00BE3CFB">
        <w:tc>
          <w:tcPr>
            <w:tcW w:w="3256" w:type="dxa"/>
          </w:tcPr>
          <w:p w14:paraId="4FBDA72B" w14:textId="37127FAD" w:rsidR="00B02873" w:rsidRDefault="00B02873" w:rsidP="00B415A9">
            <w:pPr>
              <w:pStyle w:val="TablebodyleftTables"/>
            </w:pPr>
            <w:r>
              <w:t>Local governments undertaking work to support strategic planning for coastal settlements and areas</w:t>
            </w:r>
          </w:p>
        </w:tc>
        <w:tc>
          <w:tcPr>
            <w:tcW w:w="1134" w:type="dxa"/>
          </w:tcPr>
          <w:p w14:paraId="39C30479" w14:textId="77777777" w:rsidR="00B02873" w:rsidRDefault="00B02873" w:rsidP="00BE3CFB">
            <w:pPr>
              <w:pStyle w:val="TablebodyleftTables"/>
            </w:pPr>
            <w:r>
              <w:t>number</w:t>
            </w:r>
          </w:p>
        </w:tc>
        <w:tc>
          <w:tcPr>
            <w:tcW w:w="992" w:type="dxa"/>
          </w:tcPr>
          <w:p w14:paraId="098F665C" w14:textId="77777777" w:rsidR="00B02873" w:rsidRDefault="00B02873" w:rsidP="00DE1159">
            <w:pPr>
              <w:pStyle w:val="TablebodyleftTables"/>
              <w:jc w:val="right"/>
            </w:pPr>
            <w:r>
              <w:t>14</w:t>
            </w:r>
          </w:p>
        </w:tc>
        <w:tc>
          <w:tcPr>
            <w:tcW w:w="992" w:type="dxa"/>
          </w:tcPr>
          <w:p w14:paraId="5D568713" w14:textId="77777777" w:rsidR="00B02873" w:rsidRDefault="00B02873" w:rsidP="00DE1159">
            <w:pPr>
              <w:pStyle w:val="TablebodyleftTables"/>
              <w:jc w:val="right"/>
            </w:pPr>
            <w:r>
              <w:t>15</w:t>
            </w:r>
          </w:p>
        </w:tc>
        <w:tc>
          <w:tcPr>
            <w:tcW w:w="1559" w:type="dxa"/>
          </w:tcPr>
          <w:p w14:paraId="5B88D1D2" w14:textId="77777777" w:rsidR="00B02873" w:rsidRDefault="00B02873" w:rsidP="00DE1159">
            <w:pPr>
              <w:pStyle w:val="TablebodyleftTables"/>
              <w:jc w:val="right"/>
            </w:pPr>
            <w:r>
              <w:t>(7%)</w:t>
            </w:r>
          </w:p>
        </w:tc>
        <w:tc>
          <w:tcPr>
            <w:tcW w:w="1843" w:type="dxa"/>
          </w:tcPr>
          <w:p w14:paraId="2AE6510A" w14:textId="2C147BBC" w:rsidR="00B02873" w:rsidRDefault="002D1E4B" w:rsidP="00BE3CFB">
            <w:pPr>
              <w:pStyle w:val="TablebodyleftTables"/>
            </w:pPr>
            <w:r>
              <w:t>Performance target not achieved – exceeds 5 per cent variance.</w:t>
            </w:r>
          </w:p>
        </w:tc>
      </w:tr>
    </w:tbl>
    <w:p w14:paraId="110F3600" w14:textId="784FDBE7" w:rsidR="00BE3CFB" w:rsidRPr="00BE3CFB" w:rsidRDefault="00BE3CFB">
      <w:pPr>
        <w:rPr>
          <w:i/>
          <w:iCs/>
        </w:rPr>
      </w:pPr>
      <w:r w:rsidRPr="00BE3CFB">
        <w:rPr>
          <w:i/>
          <w:iCs/>
        </w:rPr>
        <w:t>Performance is below target because one eligible council did not apply for funding as anticipated due to resourcing constraints.</w:t>
      </w:r>
    </w:p>
    <w:tbl>
      <w:tblPr>
        <w:tblStyle w:val="TableGrid"/>
        <w:tblW w:w="9776" w:type="dxa"/>
        <w:tblLayout w:type="fixed"/>
        <w:tblLook w:val="0020" w:firstRow="1" w:lastRow="0" w:firstColumn="0" w:lastColumn="0" w:noHBand="0" w:noVBand="0"/>
      </w:tblPr>
      <w:tblGrid>
        <w:gridCol w:w="3256"/>
        <w:gridCol w:w="1134"/>
        <w:gridCol w:w="992"/>
        <w:gridCol w:w="992"/>
        <w:gridCol w:w="1559"/>
        <w:gridCol w:w="1843"/>
      </w:tblGrid>
      <w:tr w:rsidR="002D1E4B" w:rsidRPr="00B02873" w14:paraId="462813A7" w14:textId="77777777" w:rsidTr="00F0025B">
        <w:trPr>
          <w:cnfStyle w:val="100000000000" w:firstRow="1" w:lastRow="0" w:firstColumn="0" w:lastColumn="0" w:oddVBand="0" w:evenVBand="0" w:oddHBand="0" w:evenHBand="0" w:firstRowFirstColumn="0" w:firstRowLastColumn="0" w:lastRowFirstColumn="0" w:lastRowLastColumn="0"/>
          <w:tblHeader/>
        </w:trPr>
        <w:tc>
          <w:tcPr>
            <w:tcW w:w="3256" w:type="dxa"/>
          </w:tcPr>
          <w:p w14:paraId="4BD0D985" w14:textId="77777777" w:rsidR="002D1E4B" w:rsidRDefault="002D1E4B" w:rsidP="00F0025B">
            <w:pPr>
              <w:pStyle w:val="TableheadingleftTables"/>
            </w:pPr>
            <w:r>
              <w:t xml:space="preserve">Output performance measures </w:t>
            </w:r>
          </w:p>
        </w:tc>
        <w:tc>
          <w:tcPr>
            <w:tcW w:w="1134" w:type="dxa"/>
          </w:tcPr>
          <w:p w14:paraId="2635AC98" w14:textId="77777777" w:rsidR="002D1E4B" w:rsidRDefault="002D1E4B" w:rsidP="00F0025B">
            <w:pPr>
              <w:pStyle w:val="TableheadingleftTables"/>
            </w:pPr>
            <w:r>
              <w:t>Unit of measure</w:t>
            </w:r>
          </w:p>
        </w:tc>
        <w:tc>
          <w:tcPr>
            <w:tcW w:w="992" w:type="dxa"/>
          </w:tcPr>
          <w:p w14:paraId="742AFE8F" w14:textId="77777777" w:rsidR="002D1E4B" w:rsidRDefault="002D1E4B" w:rsidP="00DE1159">
            <w:pPr>
              <w:pStyle w:val="TableheadingleftTables"/>
              <w:jc w:val="right"/>
            </w:pPr>
            <w:r>
              <w:t>2021-22 actual</w:t>
            </w:r>
          </w:p>
        </w:tc>
        <w:tc>
          <w:tcPr>
            <w:tcW w:w="992" w:type="dxa"/>
          </w:tcPr>
          <w:p w14:paraId="3074AEC2" w14:textId="77777777" w:rsidR="002D1E4B" w:rsidRDefault="002D1E4B" w:rsidP="00DE1159">
            <w:pPr>
              <w:pStyle w:val="TableheadingleftTables"/>
              <w:jc w:val="right"/>
            </w:pPr>
            <w:r>
              <w:t>2021-22 target</w:t>
            </w:r>
          </w:p>
        </w:tc>
        <w:tc>
          <w:tcPr>
            <w:tcW w:w="1559" w:type="dxa"/>
          </w:tcPr>
          <w:p w14:paraId="0761173B" w14:textId="77777777" w:rsidR="002D1E4B" w:rsidRDefault="002D1E4B" w:rsidP="00DE1159">
            <w:pPr>
              <w:pStyle w:val="TableheadingleftTables"/>
              <w:jc w:val="right"/>
            </w:pPr>
            <w:r>
              <w:rPr>
                <w:spacing w:val="-3"/>
              </w:rPr>
              <w:t>Performance variation (%)</w:t>
            </w:r>
          </w:p>
        </w:tc>
        <w:tc>
          <w:tcPr>
            <w:tcW w:w="1843" w:type="dxa"/>
          </w:tcPr>
          <w:p w14:paraId="32C4E23D" w14:textId="77777777" w:rsidR="002D1E4B" w:rsidRDefault="002D1E4B" w:rsidP="00F0025B">
            <w:pPr>
              <w:pStyle w:val="TableheadingleftTables"/>
            </w:pPr>
            <w:r>
              <w:t>Result</w:t>
            </w:r>
          </w:p>
        </w:tc>
      </w:tr>
      <w:tr w:rsidR="00B02873" w:rsidRPr="00B02873" w14:paraId="1CCE04BC" w14:textId="77777777" w:rsidTr="00BE3CFB">
        <w:tc>
          <w:tcPr>
            <w:tcW w:w="3256" w:type="dxa"/>
          </w:tcPr>
          <w:p w14:paraId="067D30D5" w14:textId="77777777" w:rsidR="00B02873" w:rsidRDefault="00B02873" w:rsidP="00B415A9">
            <w:pPr>
              <w:pStyle w:val="TablebodyleftTables"/>
            </w:pPr>
            <w:r>
              <w:t>Places or objects assessed for the Victorian Heritage Register</w:t>
            </w:r>
          </w:p>
        </w:tc>
        <w:tc>
          <w:tcPr>
            <w:tcW w:w="1134" w:type="dxa"/>
          </w:tcPr>
          <w:p w14:paraId="0BC71933" w14:textId="77777777" w:rsidR="00B02873" w:rsidRDefault="00B02873" w:rsidP="00BE3CFB">
            <w:pPr>
              <w:pStyle w:val="TablebodyleftTables"/>
            </w:pPr>
            <w:r>
              <w:t>number</w:t>
            </w:r>
          </w:p>
        </w:tc>
        <w:tc>
          <w:tcPr>
            <w:tcW w:w="992" w:type="dxa"/>
          </w:tcPr>
          <w:p w14:paraId="701E6761" w14:textId="77777777" w:rsidR="00B02873" w:rsidRDefault="00B02873" w:rsidP="00DE1159">
            <w:pPr>
              <w:pStyle w:val="TablebodyleftTables"/>
              <w:jc w:val="right"/>
            </w:pPr>
            <w:r>
              <w:t>40</w:t>
            </w:r>
          </w:p>
        </w:tc>
        <w:tc>
          <w:tcPr>
            <w:tcW w:w="992" w:type="dxa"/>
          </w:tcPr>
          <w:p w14:paraId="5970FABC" w14:textId="77777777" w:rsidR="00B02873" w:rsidRDefault="00B02873" w:rsidP="00DE1159">
            <w:pPr>
              <w:pStyle w:val="TablebodyleftTables"/>
              <w:jc w:val="right"/>
            </w:pPr>
            <w:r>
              <w:t>40</w:t>
            </w:r>
          </w:p>
        </w:tc>
        <w:tc>
          <w:tcPr>
            <w:tcW w:w="1559" w:type="dxa"/>
          </w:tcPr>
          <w:p w14:paraId="5E4FD9EF" w14:textId="77777777" w:rsidR="00B02873" w:rsidRDefault="00B02873" w:rsidP="00DE1159">
            <w:pPr>
              <w:pStyle w:val="TablebodyleftTables"/>
              <w:jc w:val="right"/>
            </w:pPr>
            <w:r>
              <w:t>0%</w:t>
            </w:r>
          </w:p>
        </w:tc>
        <w:tc>
          <w:tcPr>
            <w:tcW w:w="1843" w:type="dxa"/>
          </w:tcPr>
          <w:p w14:paraId="38688549" w14:textId="6756F37C" w:rsidR="00B02873" w:rsidRDefault="002D1E4B" w:rsidP="00BE3CFB">
            <w:pPr>
              <w:pStyle w:val="TablebodyleftTables"/>
            </w:pPr>
            <w:r>
              <w:t>Performance target achieved or exceeded.</w:t>
            </w:r>
          </w:p>
        </w:tc>
      </w:tr>
      <w:tr w:rsidR="00B02873" w:rsidRPr="00B02873" w14:paraId="2ECBD140" w14:textId="77777777" w:rsidTr="00BE3CFB">
        <w:tc>
          <w:tcPr>
            <w:tcW w:w="3256" w:type="dxa"/>
          </w:tcPr>
          <w:p w14:paraId="26985127" w14:textId="77777777" w:rsidR="00B02873" w:rsidRDefault="00B02873" w:rsidP="00B415A9">
            <w:pPr>
              <w:pStyle w:val="TablebodyleftTables"/>
            </w:pPr>
            <w:r>
              <w:rPr>
                <w:spacing w:val="-1"/>
              </w:rPr>
              <w:t>Conservation projects funded for ‘at risk’ State significant heritage places and objects</w:t>
            </w:r>
          </w:p>
        </w:tc>
        <w:tc>
          <w:tcPr>
            <w:tcW w:w="1134" w:type="dxa"/>
          </w:tcPr>
          <w:p w14:paraId="3C6E0921" w14:textId="77777777" w:rsidR="00B02873" w:rsidRDefault="00B02873" w:rsidP="00BE3CFB">
            <w:pPr>
              <w:pStyle w:val="TablebodyleftTables"/>
            </w:pPr>
            <w:r>
              <w:t>number</w:t>
            </w:r>
          </w:p>
        </w:tc>
        <w:tc>
          <w:tcPr>
            <w:tcW w:w="992" w:type="dxa"/>
          </w:tcPr>
          <w:p w14:paraId="64610729" w14:textId="77777777" w:rsidR="00B02873" w:rsidRDefault="00B02873" w:rsidP="00DE1159">
            <w:pPr>
              <w:pStyle w:val="TablebodyleftTables"/>
              <w:jc w:val="right"/>
            </w:pPr>
            <w:r>
              <w:t>19</w:t>
            </w:r>
          </w:p>
        </w:tc>
        <w:tc>
          <w:tcPr>
            <w:tcW w:w="992" w:type="dxa"/>
          </w:tcPr>
          <w:p w14:paraId="795C975E" w14:textId="77777777" w:rsidR="00B02873" w:rsidRDefault="00B02873" w:rsidP="00DE1159">
            <w:pPr>
              <w:pStyle w:val="TablebodyleftTables"/>
              <w:jc w:val="right"/>
            </w:pPr>
            <w:r>
              <w:t>20</w:t>
            </w:r>
          </w:p>
        </w:tc>
        <w:tc>
          <w:tcPr>
            <w:tcW w:w="1559" w:type="dxa"/>
          </w:tcPr>
          <w:p w14:paraId="7027EB6E" w14:textId="77777777" w:rsidR="00B02873" w:rsidRDefault="00B02873" w:rsidP="00DE1159">
            <w:pPr>
              <w:pStyle w:val="TablebodyleftTables"/>
              <w:jc w:val="right"/>
            </w:pPr>
            <w:r>
              <w:t>(5%)</w:t>
            </w:r>
          </w:p>
        </w:tc>
        <w:tc>
          <w:tcPr>
            <w:tcW w:w="1843" w:type="dxa"/>
          </w:tcPr>
          <w:p w14:paraId="467FC595" w14:textId="0BEDCBDD" w:rsidR="00B02873" w:rsidRDefault="002D1E4B" w:rsidP="00BE3CFB">
            <w:pPr>
              <w:pStyle w:val="TablebodyleftTables"/>
            </w:pPr>
            <w:r>
              <w:t>Performance target not achieved – exceeds 5 per cent variance.</w:t>
            </w:r>
          </w:p>
        </w:tc>
      </w:tr>
    </w:tbl>
    <w:p w14:paraId="0F974A70" w14:textId="7C6D2179" w:rsidR="00BE3CFB" w:rsidRPr="00BE3CFB" w:rsidRDefault="00BE3CFB">
      <w:pPr>
        <w:rPr>
          <w:i/>
          <w:iCs/>
        </w:rPr>
      </w:pPr>
      <w:r w:rsidRPr="00BE3CFB">
        <w:rPr>
          <w:i/>
          <w:iCs/>
        </w:rPr>
        <w:t>Performance is below target reflecting the number of projects funded through round 6 of the Living Heritage Program. These successful projects scored highest against the program criteria and were assessed as providing the strongest community and heritage conservation benefits.</w:t>
      </w:r>
    </w:p>
    <w:tbl>
      <w:tblPr>
        <w:tblStyle w:val="TableGrid"/>
        <w:tblW w:w="9776" w:type="dxa"/>
        <w:tblLayout w:type="fixed"/>
        <w:tblLook w:val="0020" w:firstRow="1" w:lastRow="0" w:firstColumn="0" w:lastColumn="0" w:noHBand="0" w:noVBand="0"/>
      </w:tblPr>
      <w:tblGrid>
        <w:gridCol w:w="3256"/>
        <w:gridCol w:w="1134"/>
        <w:gridCol w:w="992"/>
        <w:gridCol w:w="992"/>
        <w:gridCol w:w="1559"/>
        <w:gridCol w:w="1843"/>
      </w:tblGrid>
      <w:tr w:rsidR="002D1E4B" w:rsidRPr="00B02873" w14:paraId="7FAD9845" w14:textId="77777777" w:rsidTr="00F0025B">
        <w:trPr>
          <w:cnfStyle w:val="100000000000" w:firstRow="1" w:lastRow="0" w:firstColumn="0" w:lastColumn="0" w:oddVBand="0" w:evenVBand="0" w:oddHBand="0" w:evenHBand="0" w:firstRowFirstColumn="0" w:firstRowLastColumn="0" w:lastRowFirstColumn="0" w:lastRowLastColumn="0"/>
          <w:tblHeader/>
        </w:trPr>
        <w:tc>
          <w:tcPr>
            <w:tcW w:w="3256" w:type="dxa"/>
          </w:tcPr>
          <w:p w14:paraId="0A86D12D" w14:textId="77777777" w:rsidR="002D1E4B" w:rsidRDefault="002D1E4B" w:rsidP="00F0025B">
            <w:pPr>
              <w:pStyle w:val="TableheadingleftTables"/>
            </w:pPr>
            <w:r>
              <w:t xml:space="preserve">Output performance measures </w:t>
            </w:r>
          </w:p>
        </w:tc>
        <w:tc>
          <w:tcPr>
            <w:tcW w:w="1134" w:type="dxa"/>
          </w:tcPr>
          <w:p w14:paraId="71136736" w14:textId="77777777" w:rsidR="002D1E4B" w:rsidRDefault="002D1E4B" w:rsidP="00F0025B">
            <w:pPr>
              <w:pStyle w:val="TableheadingleftTables"/>
            </w:pPr>
            <w:r>
              <w:t>Unit of measure</w:t>
            </w:r>
          </w:p>
        </w:tc>
        <w:tc>
          <w:tcPr>
            <w:tcW w:w="992" w:type="dxa"/>
          </w:tcPr>
          <w:p w14:paraId="106B87D8" w14:textId="77777777" w:rsidR="002D1E4B" w:rsidRDefault="002D1E4B" w:rsidP="00DE1159">
            <w:pPr>
              <w:pStyle w:val="TableheadingleftTables"/>
              <w:jc w:val="right"/>
            </w:pPr>
            <w:r>
              <w:t>2021-22 actual</w:t>
            </w:r>
          </w:p>
        </w:tc>
        <w:tc>
          <w:tcPr>
            <w:tcW w:w="992" w:type="dxa"/>
          </w:tcPr>
          <w:p w14:paraId="08471B73" w14:textId="77777777" w:rsidR="002D1E4B" w:rsidRDefault="002D1E4B" w:rsidP="00DE1159">
            <w:pPr>
              <w:pStyle w:val="TableheadingleftTables"/>
              <w:jc w:val="right"/>
            </w:pPr>
            <w:r>
              <w:t>2021-22 target</w:t>
            </w:r>
          </w:p>
        </w:tc>
        <w:tc>
          <w:tcPr>
            <w:tcW w:w="1559" w:type="dxa"/>
          </w:tcPr>
          <w:p w14:paraId="2AF4C42D" w14:textId="77777777" w:rsidR="002D1E4B" w:rsidRDefault="002D1E4B" w:rsidP="00DE1159">
            <w:pPr>
              <w:pStyle w:val="TableheadingleftTables"/>
              <w:jc w:val="right"/>
            </w:pPr>
            <w:r>
              <w:rPr>
                <w:spacing w:val="-3"/>
              </w:rPr>
              <w:t>Performance variation (%)</w:t>
            </w:r>
          </w:p>
        </w:tc>
        <w:tc>
          <w:tcPr>
            <w:tcW w:w="1843" w:type="dxa"/>
          </w:tcPr>
          <w:p w14:paraId="0B16AB12" w14:textId="77777777" w:rsidR="002D1E4B" w:rsidRDefault="002D1E4B" w:rsidP="00F0025B">
            <w:pPr>
              <w:pStyle w:val="TableheadingleftTables"/>
            </w:pPr>
            <w:r>
              <w:t>Result</w:t>
            </w:r>
          </w:p>
        </w:tc>
      </w:tr>
      <w:tr w:rsidR="00B02873" w:rsidRPr="00B02873" w14:paraId="5524B7C5" w14:textId="77777777" w:rsidTr="00BE3CFB">
        <w:tc>
          <w:tcPr>
            <w:tcW w:w="3256" w:type="dxa"/>
          </w:tcPr>
          <w:p w14:paraId="187E27EC" w14:textId="77777777" w:rsidR="00B02873" w:rsidRDefault="00B02873" w:rsidP="00B415A9">
            <w:pPr>
              <w:pStyle w:val="TablebodyleftTables"/>
            </w:pPr>
            <w:r>
              <w:t>Projects approved through the Streamlining for Growth program that benefit councils</w:t>
            </w:r>
          </w:p>
        </w:tc>
        <w:tc>
          <w:tcPr>
            <w:tcW w:w="1134" w:type="dxa"/>
          </w:tcPr>
          <w:p w14:paraId="3ACE4534" w14:textId="77777777" w:rsidR="00B02873" w:rsidRDefault="00B02873" w:rsidP="00BE3CFB">
            <w:pPr>
              <w:pStyle w:val="TablebodyleftTables"/>
            </w:pPr>
            <w:r>
              <w:t>number</w:t>
            </w:r>
          </w:p>
        </w:tc>
        <w:tc>
          <w:tcPr>
            <w:tcW w:w="992" w:type="dxa"/>
          </w:tcPr>
          <w:p w14:paraId="1641A5C6" w14:textId="77777777" w:rsidR="00B02873" w:rsidRDefault="00B02873" w:rsidP="00DE1159">
            <w:pPr>
              <w:pStyle w:val="TablebodyleftTables"/>
              <w:jc w:val="right"/>
            </w:pPr>
            <w:r>
              <w:t>34</w:t>
            </w:r>
          </w:p>
        </w:tc>
        <w:tc>
          <w:tcPr>
            <w:tcW w:w="992" w:type="dxa"/>
          </w:tcPr>
          <w:p w14:paraId="6F815426" w14:textId="77777777" w:rsidR="00B02873" w:rsidRDefault="00B02873" w:rsidP="00DE1159">
            <w:pPr>
              <w:pStyle w:val="TablebodyleftTables"/>
              <w:jc w:val="right"/>
            </w:pPr>
            <w:r>
              <w:t>30</w:t>
            </w:r>
          </w:p>
        </w:tc>
        <w:tc>
          <w:tcPr>
            <w:tcW w:w="1559" w:type="dxa"/>
          </w:tcPr>
          <w:p w14:paraId="4F8630FC" w14:textId="77777777" w:rsidR="00B02873" w:rsidRDefault="00B02873" w:rsidP="00DE1159">
            <w:pPr>
              <w:pStyle w:val="TablebodyleftTables"/>
              <w:jc w:val="right"/>
            </w:pPr>
            <w:r>
              <w:t>13%</w:t>
            </w:r>
          </w:p>
        </w:tc>
        <w:tc>
          <w:tcPr>
            <w:tcW w:w="1843" w:type="dxa"/>
          </w:tcPr>
          <w:p w14:paraId="6A122510" w14:textId="4B4D1622" w:rsidR="00B02873" w:rsidRDefault="002D1E4B" w:rsidP="00BE3CFB">
            <w:pPr>
              <w:pStyle w:val="TablebodyleftTables"/>
            </w:pPr>
            <w:r>
              <w:t>Performance target achieved or exceeded.</w:t>
            </w:r>
          </w:p>
        </w:tc>
      </w:tr>
    </w:tbl>
    <w:p w14:paraId="3A0F5EA7" w14:textId="00184B09" w:rsidR="00BE3CFB" w:rsidRPr="00BE3CFB" w:rsidRDefault="00BE3CFB">
      <w:pPr>
        <w:rPr>
          <w:i/>
          <w:iCs/>
        </w:rPr>
      </w:pPr>
      <w:r w:rsidRPr="00BE3CFB">
        <w:rPr>
          <w:i/>
          <w:iCs/>
        </w:rPr>
        <w:lastRenderedPageBreak/>
        <w:t>Performance is above target due to additional projects approved to support economic growth by accelerating strategic planning and infrastructure coordination.</w:t>
      </w:r>
    </w:p>
    <w:tbl>
      <w:tblPr>
        <w:tblStyle w:val="TableGrid"/>
        <w:tblW w:w="9776" w:type="dxa"/>
        <w:tblLayout w:type="fixed"/>
        <w:tblLook w:val="0020" w:firstRow="1" w:lastRow="0" w:firstColumn="0" w:lastColumn="0" w:noHBand="0" w:noVBand="0"/>
      </w:tblPr>
      <w:tblGrid>
        <w:gridCol w:w="3256"/>
        <w:gridCol w:w="1134"/>
        <w:gridCol w:w="992"/>
        <w:gridCol w:w="992"/>
        <w:gridCol w:w="1559"/>
        <w:gridCol w:w="1843"/>
      </w:tblGrid>
      <w:tr w:rsidR="002D1E4B" w:rsidRPr="00B02873" w14:paraId="285B2EE1" w14:textId="77777777" w:rsidTr="00F0025B">
        <w:trPr>
          <w:cnfStyle w:val="100000000000" w:firstRow="1" w:lastRow="0" w:firstColumn="0" w:lastColumn="0" w:oddVBand="0" w:evenVBand="0" w:oddHBand="0" w:evenHBand="0" w:firstRowFirstColumn="0" w:firstRowLastColumn="0" w:lastRowFirstColumn="0" w:lastRowLastColumn="0"/>
          <w:tblHeader/>
        </w:trPr>
        <w:tc>
          <w:tcPr>
            <w:tcW w:w="3256" w:type="dxa"/>
          </w:tcPr>
          <w:p w14:paraId="41B77AE3" w14:textId="77777777" w:rsidR="002D1E4B" w:rsidRDefault="002D1E4B" w:rsidP="00F0025B">
            <w:pPr>
              <w:pStyle w:val="TableheadingleftTables"/>
            </w:pPr>
            <w:r>
              <w:t xml:space="preserve">Output performance measures </w:t>
            </w:r>
          </w:p>
        </w:tc>
        <w:tc>
          <w:tcPr>
            <w:tcW w:w="1134" w:type="dxa"/>
          </w:tcPr>
          <w:p w14:paraId="36F23EFE" w14:textId="77777777" w:rsidR="002D1E4B" w:rsidRDefault="002D1E4B" w:rsidP="00F0025B">
            <w:pPr>
              <w:pStyle w:val="TableheadingleftTables"/>
            </w:pPr>
            <w:r>
              <w:t>Unit of measure</w:t>
            </w:r>
          </w:p>
        </w:tc>
        <w:tc>
          <w:tcPr>
            <w:tcW w:w="992" w:type="dxa"/>
          </w:tcPr>
          <w:p w14:paraId="066758AA" w14:textId="77777777" w:rsidR="002D1E4B" w:rsidRDefault="002D1E4B" w:rsidP="00DE1159">
            <w:pPr>
              <w:pStyle w:val="TableheadingleftTables"/>
              <w:jc w:val="right"/>
            </w:pPr>
            <w:r>
              <w:t>2021-22 actual</w:t>
            </w:r>
          </w:p>
        </w:tc>
        <w:tc>
          <w:tcPr>
            <w:tcW w:w="992" w:type="dxa"/>
          </w:tcPr>
          <w:p w14:paraId="45C122B0" w14:textId="77777777" w:rsidR="002D1E4B" w:rsidRDefault="002D1E4B" w:rsidP="00DE1159">
            <w:pPr>
              <w:pStyle w:val="TableheadingleftTables"/>
              <w:jc w:val="right"/>
            </w:pPr>
            <w:r>
              <w:t>2021-22 target</w:t>
            </w:r>
          </w:p>
        </w:tc>
        <w:tc>
          <w:tcPr>
            <w:tcW w:w="1559" w:type="dxa"/>
          </w:tcPr>
          <w:p w14:paraId="1D5C84DE" w14:textId="77777777" w:rsidR="002D1E4B" w:rsidRDefault="002D1E4B" w:rsidP="00DE1159">
            <w:pPr>
              <w:pStyle w:val="TableheadingleftTables"/>
              <w:jc w:val="right"/>
            </w:pPr>
            <w:r>
              <w:rPr>
                <w:spacing w:val="-3"/>
              </w:rPr>
              <w:t>Performance variation (%)</w:t>
            </w:r>
          </w:p>
        </w:tc>
        <w:tc>
          <w:tcPr>
            <w:tcW w:w="1843" w:type="dxa"/>
          </w:tcPr>
          <w:p w14:paraId="016204B4" w14:textId="77777777" w:rsidR="002D1E4B" w:rsidRDefault="002D1E4B" w:rsidP="00F0025B">
            <w:pPr>
              <w:pStyle w:val="TableheadingleftTables"/>
            </w:pPr>
            <w:r>
              <w:t>Result</w:t>
            </w:r>
          </w:p>
        </w:tc>
      </w:tr>
      <w:tr w:rsidR="00B02873" w:rsidRPr="00B02873" w14:paraId="0D7C597B" w14:textId="77777777" w:rsidTr="00BE3CFB">
        <w:tc>
          <w:tcPr>
            <w:tcW w:w="3256" w:type="dxa"/>
          </w:tcPr>
          <w:p w14:paraId="50DDEA20" w14:textId="77777777" w:rsidR="00B02873" w:rsidRDefault="00B02873" w:rsidP="00B415A9">
            <w:pPr>
              <w:pStyle w:val="TablebodyleftTables"/>
            </w:pPr>
            <w:r>
              <w:t>Planning projects initiated in regional cities and towns to unlock and deliver zoned land supply</w:t>
            </w:r>
          </w:p>
        </w:tc>
        <w:tc>
          <w:tcPr>
            <w:tcW w:w="1134" w:type="dxa"/>
          </w:tcPr>
          <w:p w14:paraId="6C6BA417" w14:textId="77777777" w:rsidR="00B02873" w:rsidRDefault="00B02873" w:rsidP="00BE3CFB">
            <w:pPr>
              <w:pStyle w:val="TablebodyleftTables"/>
            </w:pPr>
            <w:r>
              <w:t>number</w:t>
            </w:r>
          </w:p>
        </w:tc>
        <w:tc>
          <w:tcPr>
            <w:tcW w:w="992" w:type="dxa"/>
          </w:tcPr>
          <w:p w14:paraId="7882F7B8" w14:textId="77777777" w:rsidR="00B02873" w:rsidRDefault="00B02873" w:rsidP="00DE1159">
            <w:pPr>
              <w:pStyle w:val="TablebodyleftTables"/>
              <w:jc w:val="right"/>
            </w:pPr>
            <w:r>
              <w:t>3</w:t>
            </w:r>
          </w:p>
        </w:tc>
        <w:tc>
          <w:tcPr>
            <w:tcW w:w="992" w:type="dxa"/>
          </w:tcPr>
          <w:p w14:paraId="5366474D" w14:textId="77777777" w:rsidR="00B02873" w:rsidRDefault="00B02873" w:rsidP="00DE1159">
            <w:pPr>
              <w:pStyle w:val="TablebodyleftTables"/>
              <w:jc w:val="right"/>
            </w:pPr>
            <w:r>
              <w:t>3</w:t>
            </w:r>
          </w:p>
        </w:tc>
        <w:tc>
          <w:tcPr>
            <w:tcW w:w="1559" w:type="dxa"/>
          </w:tcPr>
          <w:p w14:paraId="15CA3FC0" w14:textId="77777777" w:rsidR="00B02873" w:rsidRDefault="00B02873" w:rsidP="00DE1159">
            <w:pPr>
              <w:pStyle w:val="TablebodyleftTables"/>
              <w:jc w:val="right"/>
            </w:pPr>
            <w:r>
              <w:t>0%</w:t>
            </w:r>
          </w:p>
        </w:tc>
        <w:tc>
          <w:tcPr>
            <w:tcW w:w="1843" w:type="dxa"/>
          </w:tcPr>
          <w:p w14:paraId="0AFC5603" w14:textId="7482719A" w:rsidR="00B02873" w:rsidRDefault="002D1E4B" w:rsidP="00BE3CFB">
            <w:pPr>
              <w:pStyle w:val="TablebodyleftTables"/>
            </w:pPr>
            <w:r>
              <w:t>Performance target achieved or exceeded.</w:t>
            </w:r>
          </w:p>
        </w:tc>
      </w:tr>
      <w:tr w:rsidR="00B02873" w:rsidRPr="00B02873" w14:paraId="7B3E0B32" w14:textId="77777777" w:rsidTr="00BE3CFB">
        <w:tc>
          <w:tcPr>
            <w:tcW w:w="3256" w:type="dxa"/>
          </w:tcPr>
          <w:p w14:paraId="7681737C" w14:textId="77777777" w:rsidR="00B02873" w:rsidRDefault="00B02873" w:rsidP="00B415A9">
            <w:pPr>
              <w:pStyle w:val="TablebodyleftTables"/>
            </w:pPr>
            <w:r>
              <w:t>Planning projects initiated to deliver zoned land supply for new 20-minute neighbourhoods in Greenfields Melbourne</w:t>
            </w:r>
          </w:p>
        </w:tc>
        <w:tc>
          <w:tcPr>
            <w:tcW w:w="1134" w:type="dxa"/>
          </w:tcPr>
          <w:p w14:paraId="5F3857E7" w14:textId="77777777" w:rsidR="00B02873" w:rsidRDefault="00B02873" w:rsidP="00BE3CFB">
            <w:pPr>
              <w:pStyle w:val="TablebodyleftTables"/>
            </w:pPr>
            <w:r>
              <w:t>number</w:t>
            </w:r>
          </w:p>
        </w:tc>
        <w:tc>
          <w:tcPr>
            <w:tcW w:w="992" w:type="dxa"/>
          </w:tcPr>
          <w:p w14:paraId="0F911C80" w14:textId="77777777" w:rsidR="00B02873" w:rsidRDefault="00B02873" w:rsidP="00DE1159">
            <w:pPr>
              <w:pStyle w:val="TablebodyleftTables"/>
              <w:jc w:val="right"/>
            </w:pPr>
            <w:r>
              <w:t>3</w:t>
            </w:r>
          </w:p>
        </w:tc>
        <w:tc>
          <w:tcPr>
            <w:tcW w:w="992" w:type="dxa"/>
          </w:tcPr>
          <w:p w14:paraId="4CFF1D56" w14:textId="77777777" w:rsidR="00B02873" w:rsidRDefault="00B02873" w:rsidP="00DE1159">
            <w:pPr>
              <w:pStyle w:val="TablebodyleftTables"/>
              <w:jc w:val="right"/>
            </w:pPr>
            <w:r>
              <w:t>3</w:t>
            </w:r>
          </w:p>
        </w:tc>
        <w:tc>
          <w:tcPr>
            <w:tcW w:w="1559" w:type="dxa"/>
          </w:tcPr>
          <w:p w14:paraId="721546FA" w14:textId="77777777" w:rsidR="00B02873" w:rsidRDefault="00B02873" w:rsidP="00DE1159">
            <w:pPr>
              <w:pStyle w:val="TablebodyleftTables"/>
              <w:jc w:val="right"/>
            </w:pPr>
            <w:r>
              <w:t>0%</w:t>
            </w:r>
          </w:p>
        </w:tc>
        <w:tc>
          <w:tcPr>
            <w:tcW w:w="1843" w:type="dxa"/>
          </w:tcPr>
          <w:p w14:paraId="3550E3C0" w14:textId="5898AF1B" w:rsidR="00B02873" w:rsidRDefault="002D1E4B" w:rsidP="00BE3CFB">
            <w:pPr>
              <w:pStyle w:val="TablebodyleftTables"/>
            </w:pPr>
            <w:r>
              <w:t>Performance target achieved or exceeded.</w:t>
            </w:r>
          </w:p>
        </w:tc>
      </w:tr>
      <w:tr w:rsidR="00B02873" w:rsidRPr="00B02873" w14:paraId="0747C40F" w14:textId="77777777" w:rsidTr="00BE3CFB">
        <w:tc>
          <w:tcPr>
            <w:tcW w:w="3256" w:type="dxa"/>
          </w:tcPr>
          <w:p w14:paraId="16408430" w14:textId="3700CA08" w:rsidR="00B02873" w:rsidRDefault="00B02873" w:rsidP="00B415A9">
            <w:pPr>
              <w:pStyle w:val="TablebodyleftTables"/>
            </w:pPr>
            <w:r>
              <w:t>Building inspections undertaken by the Victoria Building Authority to identify use of noncompliant cladding materials</w:t>
            </w:r>
            <w:r w:rsidR="00012C04">
              <w:t xml:space="preserve"> </w:t>
            </w:r>
          </w:p>
        </w:tc>
        <w:tc>
          <w:tcPr>
            <w:tcW w:w="1134" w:type="dxa"/>
          </w:tcPr>
          <w:p w14:paraId="441BE534" w14:textId="77777777" w:rsidR="00B02873" w:rsidRDefault="00B02873" w:rsidP="00BE3CFB">
            <w:pPr>
              <w:pStyle w:val="TablebodyleftTables"/>
            </w:pPr>
            <w:r>
              <w:t>number</w:t>
            </w:r>
          </w:p>
        </w:tc>
        <w:tc>
          <w:tcPr>
            <w:tcW w:w="992" w:type="dxa"/>
          </w:tcPr>
          <w:p w14:paraId="7D34C578" w14:textId="77777777" w:rsidR="00B02873" w:rsidRDefault="00B02873" w:rsidP="00DE1159">
            <w:pPr>
              <w:pStyle w:val="TablebodyleftTables"/>
              <w:jc w:val="right"/>
            </w:pPr>
            <w:r>
              <w:t>181</w:t>
            </w:r>
          </w:p>
        </w:tc>
        <w:tc>
          <w:tcPr>
            <w:tcW w:w="992" w:type="dxa"/>
          </w:tcPr>
          <w:p w14:paraId="6C8874AB" w14:textId="77777777" w:rsidR="00B02873" w:rsidRDefault="00B02873" w:rsidP="00DE1159">
            <w:pPr>
              <w:pStyle w:val="TablebodyleftTables"/>
              <w:jc w:val="right"/>
            </w:pPr>
            <w:r>
              <w:t>480</w:t>
            </w:r>
          </w:p>
        </w:tc>
        <w:tc>
          <w:tcPr>
            <w:tcW w:w="1559" w:type="dxa"/>
          </w:tcPr>
          <w:p w14:paraId="49F0A980" w14:textId="77777777" w:rsidR="00B02873" w:rsidRDefault="00B02873" w:rsidP="00DE1159">
            <w:pPr>
              <w:pStyle w:val="TablebodyleftTables"/>
              <w:jc w:val="right"/>
            </w:pPr>
            <w:r>
              <w:t>(62%)</w:t>
            </w:r>
          </w:p>
        </w:tc>
        <w:tc>
          <w:tcPr>
            <w:tcW w:w="1843" w:type="dxa"/>
          </w:tcPr>
          <w:p w14:paraId="30A36433" w14:textId="126B3F9F" w:rsidR="00B02873" w:rsidRDefault="002D1E4B" w:rsidP="00BE3CFB">
            <w:pPr>
              <w:pStyle w:val="TablebodyleftTables"/>
            </w:pPr>
            <w:r>
              <w:t>Performance target not achieved – exceeds 5 per cent variance.</w:t>
            </w:r>
          </w:p>
        </w:tc>
      </w:tr>
    </w:tbl>
    <w:p w14:paraId="7AAEF216" w14:textId="25D4E92C" w:rsidR="00BE3CFB" w:rsidRPr="00BE3CFB" w:rsidRDefault="00BE3CFB">
      <w:pPr>
        <w:rPr>
          <w:i/>
          <w:iCs/>
        </w:rPr>
      </w:pPr>
      <w:r w:rsidRPr="00BE3CFB">
        <w:rPr>
          <w:i/>
          <w:iCs/>
        </w:rPr>
        <w:t>Performance is below target due to COVIDSafe settings limiting building site access and inspections, and implementation of the Statewide Cladding Audit Intensive Inspection Initiative in August 2021.</w:t>
      </w:r>
    </w:p>
    <w:tbl>
      <w:tblPr>
        <w:tblStyle w:val="TableGrid"/>
        <w:tblW w:w="9776" w:type="dxa"/>
        <w:tblLayout w:type="fixed"/>
        <w:tblLook w:val="0020" w:firstRow="1" w:lastRow="0" w:firstColumn="0" w:lastColumn="0" w:noHBand="0" w:noVBand="0"/>
      </w:tblPr>
      <w:tblGrid>
        <w:gridCol w:w="3256"/>
        <w:gridCol w:w="1134"/>
        <w:gridCol w:w="992"/>
        <w:gridCol w:w="992"/>
        <w:gridCol w:w="1559"/>
        <w:gridCol w:w="1843"/>
      </w:tblGrid>
      <w:tr w:rsidR="002D1E4B" w:rsidRPr="00B02873" w14:paraId="000264B2" w14:textId="77777777" w:rsidTr="00F0025B">
        <w:trPr>
          <w:cnfStyle w:val="100000000000" w:firstRow="1" w:lastRow="0" w:firstColumn="0" w:lastColumn="0" w:oddVBand="0" w:evenVBand="0" w:oddHBand="0" w:evenHBand="0" w:firstRowFirstColumn="0" w:firstRowLastColumn="0" w:lastRowFirstColumn="0" w:lastRowLastColumn="0"/>
          <w:tblHeader/>
        </w:trPr>
        <w:tc>
          <w:tcPr>
            <w:tcW w:w="3256" w:type="dxa"/>
          </w:tcPr>
          <w:p w14:paraId="4D223E23" w14:textId="77777777" w:rsidR="002D1E4B" w:rsidRDefault="002D1E4B" w:rsidP="00F0025B">
            <w:pPr>
              <w:pStyle w:val="TableheadingleftTables"/>
            </w:pPr>
            <w:r>
              <w:t xml:space="preserve">Output performance measures </w:t>
            </w:r>
          </w:p>
        </w:tc>
        <w:tc>
          <w:tcPr>
            <w:tcW w:w="1134" w:type="dxa"/>
          </w:tcPr>
          <w:p w14:paraId="35B6A63C" w14:textId="77777777" w:rsidR="002D1E4B" w:rsidRDefault="002D1E4B" w:rsidP="00F0025B">
            <w:pPr>
              <w:pStyle w:val="TableheadingleftTables"/>
            </w:pPr>
            <w:r>
              <w:t>Unit of measure</w:t>
            </w:r>
          </w:p>
        </w:tc>
        <w:tc>
          <w:tcPr>
            <w:tcW w:w="992" w:type="dxa"/>
          </w:tcPr>
          <w:p w14:paraId="3B1421F7" w14:textId="77777777" w:rsidR="002D1E4B" w:rsidRDefault="002D1E4B" w:rsidP="00DE1159">
            <w:pPr>
              <w:pStyle w:val="TableheadingleftTables"/>
              <w:jc w:val="right"/>
            </w:pPr>
            <w:r>
              <w:t>2021-22 actual</w:t>
            </w:r>
          </w:p>
        </w:tc>
        <w:tc>
          <w:tcPr>
            <w:tcW w:w="992" w:type="dxa"/>
          </w:tcPr>
          <w:p w14:paraId="0E67D63A" w14:textId="77777777" w:rsidR="002D1E4B" w:rsidRDefault="002D1E4B" w:rsidP="00DE1159">
            <w:pPr>
              <w:pStyle w:val="TableheadingleftTables"/>
              <w:jc w:val="right"/>
            </w:pPr>
            <w:r>
              <w:t>2021-22 target</w:t>
            </w:r>
          </w:p>
        </w:tc>
        <w:tc>
          <w:tcPr>
            <w:tcW w:w="1559" w:type="dxa"/>
          </w:tcPr>
          <w:p w14:paraId="40922C36" w14:textId="77777777" w:rsidR="002D1E4B" w:rsidRDefault="002D1E4B" w:rsidP="00DE1159">
            <w:pPr>
              <w:pStyle w:val="TableheadingleftTables"/>
              <w:jc w:val="right"/>
            </w:pPr>
            <w:r>
              <w:rPr>
                <w:spacing w:val="-3"/>
              </w:rPr>
              <w:t>Performance variation (%)</w:t>
            </w:r>
          </w:p>
        </w:tc>
        <w:tc>
          <w:tcPr>
            <w:tcW w:w="1843" w:type="dxa"/>
          </w:tcPr>
          <w:p w14:paraId="42B6F5D9" w14:textId="77777777" w:rsidR="002D1E4B" w:rsidRDefault="002D1E4B" w:rsidP="00F0025B">
            <w:pPr>
              <w:pStyle w:val="TableheadingleftTables"/>
            </w:pPr>
            <w:r>
              <w:t>Result</w:t>
            </w:r>
          </w:p>
        </w:tc>
      </w:tr>
      <w:tr w:rsidR="00B02873" w:rsidRPr="00B02873" w14:paraId="5EA44DC5" w14:textId="77777777" w:rsidTr="00BE3CFB">
        <w:tc>
          <w:tcPr>
            <w:tcW w:w="3256" w:type="dxa"/>
          </w:tcPr>
          <w:p w14:paraId="6C77F0B5" w14:textId="7FD226CC" w:rsidR="00B02873" w:rsidRDefault="00B02873" w:rsidP="00B415A9">
            <w:pPr>
              <w:pStyle w:val="TablebodyleftTables"/>
            </w:pPr>
            <w:r>
              <w:t>Building audits undertaken by the Victoria Building Authority to identify use of noncompliant cladding materials</w:t>
            </w:r>
            <w:r w:rsidR="00012C04">
              <w:t xml:space="preserve"> </w:t>
            </w:r>
            <w:r>
              <w:t xml:space="preserve"> </w:t>
            </w:r>
          </w:p>
        </w:tc>
        <w:tc>
          <w:tcPr>
            <w:tcW w:w="1134" w:type="dxa"/>
          </w:tcPr>
          <w:p w14:paraId="505A2FF6" w14:textId="77777777" w:rsidR="00B02873" w:rsidRDefault="00B02873" w:rsidP="00BE3CFB">
            <w:pPr>
              <w:pStyle w:val="TablebodyleftTables"/>
            </w:pPr>
            <w:r>
              <w:t>number</w:t>
            </w:r>
          </w:p>
        </w:tc>
        <w:tc>
          <w:tcPr>
            <w:tcW w:w="992" w:type="dxa"/>
          </w:tcPr>
          <w:p w14:paraId="2EEED2E6" w14:textId="77777777" w:rsidR="00B02873" w:rsidRDefault="00B02873" w:rsidP="00DE1159">
            <w:pPr>
              <w:pStyle w:val="TablebodyleftTables"/>
              <w:jc w:val="right"/>
            </w:pPr>
            <w:r>
              <w:t>106</w:t>
            </w:r>
          </w:p>
        </w:tc>
        <w:tc>
          <w:tcPr>
            <w:tcW w:w="992" w:type="dxa"/>
          </w:tcPr>
          <w:p w14:paraId="1B1D95ED" w14:textId="77777777" w:rsidR="00B02873" w:rsidRDefault="00B02873" w:rsidP="00DE1159">
            <w:pPr>
              <w:pStyle w:val="TablebodyleftTables"/>
              <w:jc w:val="right"/>
            </w:pPr>
            <w:r>
              <w:t>350</w:t>
            </w:r>
          </w:p>
        </w:tc>
        <w:tc>
          <w:tcPr>
            <w:tcW w:w="1559" w:type="dxa"/>
          </w:tcPr>
          <w:p w14:paraId="590D6CCE" w14:textId="77777777" w:rsidR="00B02873" w:rsidRDefault="00B02873" w:rsidP="00DE1159">
            <w:pPr>
              <w:pStyle w:val="TablebodyleftTables"/>
              <w:jc w:val="right"/>
            </w:pPr>
            <w:r>
              <w:t>(70%)</w:t>
            </w:r>
          </w:p>
        </w:tc>
        <w:tc>
          <w:tcPr>
            <w:tcW w:w="1843" w:type="dxa"/>
          </w:tcPr>
          <w:p w14:paraId="7313EE27" w14:textId="11CC2B6E" w:rsidR="00B02873" w:rsidRDefault="002D1E4B" w:rsidP="00BE3CFB">
            <w:pPr>
              <w:pStyle w:val="TablebodyleftTables"/>
            </w:pPr>
            <w:r>
              <w:t>Performance target not achieved – exceeds 5 per cent variance.</w:t>
            </w:r>
          </w:p>
        </w:tc>
      </w:tr>
    </w:tbl>
    <w:p w14:paraId="248A2E2E" w14:textId="7683F348" w:rsidR="00BE3CFB" w:rsidRPr="00BE3CFB" w:rsidRDefault="00BE3CFB">
      <w:pPr>
        <w:rPr>
          <w:i/>
          <w:iCs/>
        </w:rPr>
      </w:pPr>
      <w:r w:rsidRPr="00BE3CFB">
        <w:rPr>
          <w:i/>
          <w:iCs/>
        </w:rPr>
        <w:t>Performance is below target due to COVIDSafe settings limiting building site access and inspections, and implementation of the Statewide Cladding Audit Intensive Inspection Initiative in August 2021.</w:t>
      </w:r>
    </w:p>
    <w:tbl>
      <w:tblPr>
        <w:tblStyle w:val="TableGrid"/>
        <w:tblW w:w="9776" w:type="dxa"/>
        <w:tblLayout w:type="fixed"/>
        <w:tblLook w:val="0020" w:firstRow="1" w:lastRow="0" w:firstColumn="0" w:lastColumn="0" w:noHBand="0" w:noVBand="0"/>
      </w:tblPr>
      <w:tblGrid>
        <w:gridCol w:w="3256"/>
        <w:gridCol w:w="1134"/>
        <w:gridCol w:w="992"/>
        <w:gridCol w:w="992"/>
        <w:gridCol w:w="1559"/>
        <w:gridCol w:w="1843"/>
      </w:tblGrid>
      <w:tr w:rsidR="002D1E4B" w:rsidRPr="00B02873" w14:paraId="6D9ED6FE" w14:textId="77777777" w:rsidTr="00F0025B">
        <w:trPr>
          <w:cnfStyle w:val="100000000000" w:firstRow="1" w:lastRow="0" w:firstColumn="0" w:lastColumn="0" w:oddVBand="0" w:evenVBand="0" w:oddHBand="0" w:evenHBand="0" w:firstRowFirstColumn="0" w:firstRowLastColumn="0" w:lastRowFirstColumn="0" w:lastRowLastColumn="0"/>
          <w:tblHeader/>
        </w:trPr>
        <w:tc>
          <w:tcPr>
            <w:tcW w:w="3256" w:type="dxa"/>
          </w:tcPr>
          <w:p w14:paraId="76DDB27D" w14:textId="77777777" w:rsidR="002D1E4B" w:rsidRDefault="002D1E4B" w:rsidP="00F0025B">
            <w:pPr>
              <w:pStyle w:val="TableheadingleftTables"/>
            </w:pPr>
            <w:r>
              <w:t xml:space="preserve">Output performance measures </w:t>
            </w:r>
          </w:p>
        </w:tc>
        <w:tc>
          <w:tcPr>
            <w:tcW w:w="1134" w:type="dxa"/>
          </w:tcPr>
          <w:p w14:paraId="32155D99" w14:textId="77777777" w:rsidR="002D1E4B" w:rsidRDefault="002D1E4B" w:rsidP="00F0025B">
            <w:pPr>
              <w:pStyle w:val="TableheadingleftTables"/>
            </w:pPr>
            <w:r>
              <w:t>Unit of measure</w:t>
            </w:r>
          </w:p>
        </w:tc>
        <w:tc>
          <w:tcPr>
            <w:tcW w:w="992" w:type="dxa"/>
          </w:tcPr>
          <w:p w14:paraId="78B4857A" w14:textId="77777777" w:rsidR="002D1E4B" w:rsidRDefault="002D1E4B" w:rsidP="00DE1159">
            <w:pPr>
              <w:pStyle w:val="TableheadingleftTables"/>
              <w:jc w:val="right"/>
            </w:pPr>
            <w:r>
              <w:t>2021-22 actual</w:t>
            </w:r>
          </w:p>
        </w:tc>
        <w:tc>
          <w:tcPr>
            <w:tcW w:w="992" w:type="dxa"/>
          </w:tcPr>
          <w:p w14:paraId="4071A3CA" w14:textId="77777777" w:rsidR="002D1E4B" w:rsidRDefault="002D1E4B" w:rsidP="00DE1159">
            <w:pPr>
              <w:pStyle w:val="TableheadingleftTables"/>
              <w:jc w:val="right"/>
            </w:pPr>
            <w:r>
              <w:t>2021-22 target</w:t>
            </w:r>
          </w:p>
        </w:tc>
        <w:tc>
          <w:tcPr>
            <w:tcW w:w="1559" w:type="dxa"/>
          </w:tcPr>
          <w:p w14:paraId="62A549A2" w14:textId="77777777" w:rsidR="002D1E4B" w:rsidRDefault="002D1E4B" w:rsidP="00DE1159">
            <w:pPr>
              <w:pStyle w:val="TableheadingleftTables"/>
              <w:jc w:val="right"/>
            </w:pPr>
            <w:r>
              <w:rPr>
                <w:spacing w:val="-3"/>
              </w:rPr>
              <w:t>Performance variation (%)</w:t>
            </w:r>
          </w:p>
        </w:tc>
        <w:tc>
          <w:tcPr>
            <w:tcW w:w="1843" w:type="dxa"/>
          </w:tcPr>
          <w:p w14:paraId="7A06B01A" w14:textId="77777777" w:rsidR="002D1E4B" w:rsidRDefault="002D1E4B" w:rsidP="00F0025B">
            <w:pPr>
              <w:pStyle w:val="TableheadingleftTables"/>
            </w:pPr>
            <w:r>
              <w:t>Result</w:t>
            </w:r>
          </w:p>
        </w:tc>
      </w:tr>
      <w:tr w:rsidR="00B02873" w:rsidRPr="00B02873" w14:paraId="38B4830F" w14:textId="77777777" w:rsidTr="00BE3CFB">
        <w:tc>
          <w:tcPr>
            <w:tcW w:w="3256" w:type="dxa"/>
          </w:tcPr>
          <w:p w14:paraId="6CCDE3B9" w14:textId="77777777" w:rsidR="00B02873" w:rsidRDefault="00B02873" w:rsidP="00B415A9">
            <w:pPr>
              <w:pStyle w:val="TablebodyleftTables"/>
            </w:pPr>
            <w:r>
              <w:t>Building permits inspected by the Victorian Building Authority</w:t>
            </w:r>
          </w:p>
        </w:tc>
        <w:tc>
          <w:tcPr>
            <w:tcW w:w="1134" w:type="dxa"/>
          </w:tcPr>
          <w:p w14:paraId="31A61882" w14:textId="77777777" w:rsidR="00B02873" w:rsidRDefault="00B02873" w:rsidP="00BE3CFB">
            <w:pPr>
              <w:pStyle w:val="TablebodyleftTables"/>
            </w:pPr>
            <w:r>
              <w:t xml:space="preserve">per cent </w:t>
            </w:r>
          </w:p>
        </w:tc>
        <w:tc>
          <w:tcPr>
            <w:tcW w:w="992" w:type="dxa"/>
          </w:tcPr>
          <w:p w14:paraId="4C070712" w14:textId="77777777" w:rsidR="00B02873" w:rsidRDefault="00B02873" w:rsidP="00DE1159">
            <w:pPr>
              <w:pStyle w:val="TablebodyleftTables"/>
              <w:jc w:val="right"/>
            </w:pPr>
            <w:r>
              <w:t>10.9</w:t>
            </w:r>
          </w:p>
        </w:tc>
        <w:tc>
          <w:tcPr>
            <w:tcW w:w="992" w:type="dxa"/>
          </w:tcPr>
          <w:p w14:paraId="44A72132" w14:textId="77777777" w:rsidR="00B02873" w:rsidRDefault="00B02873" w:rsidP="00DE1159">
            <w:pPr>
              <w:pStyle w:val="TablebodyleftTables"/>
              <w:jc w:val="right"/>
            </w:pPr>
            <w:r>
              <w:t>10</w:t>
            </w:r>
          </w:p>
        </w:tc>
        <w:tc>
          <w:tcPr>
            <w:tcW w:w="1559" w:type="dxa"/>
          </w:tcPr>
          <w:p w14:paraId="5AB144F8" w14:textId="77777777" w:rsidR="00B02873" w:rsidRDefault="00B02873" w:rsidP="00DE1159">
            <w:pPr>
              <w:pStyle w:val="TablebodyleftTables"/>
              <w:jc w:val="right"/>
            </w:pPr>
            <w:r>
              <w:t>9%</w:t>
            </w:r>
          </w:p>
        </w:tc>
        <w:tc>
          <w:tcPr>
            <w:tcW w:w="1843" w:type="dxa"/>
          </w:tcPr>
          <w:p w14:paraId="5DAFB4B6" w14:textId="2A27EC15" w:rsidR="00B02873" w:rsidRDefault="002D1E4B" w:rsidP="00BE3CFB">
            <w:pPr>
              <w:pStyle w:val="TablebodyleftTables"/>
            </w:pPr>
            <w:r>
              <w:t>Performance target achieved or exceeded.</w:t>
            </w:r>
          </w:p>
        </w:tc>
      </w:tr>
    </w:tbl>
    <w:p w14:paraId="641A5BAC" w14:textId="006A8FB4" w:rsidR="00BE3CFB" w:rsidRPr="00BE3CFB" w:rsidRDefault="00BE3CFB">
      <w:pPr>
        <w:rPr>
          <w:i/>
          <w:iCs/>
        </w:rPr>
      </w:pPr>
      <w:r w:rsidRPr="00BE3CFB">
        <w:rPr>
          <w:i/>
          <w:iCs/>
        </w:rPr>
        <w:t>Performance is above target due to the prioritisation of new building permit inspections by the Victorian Building Authority to adequately manage risk and to ensure early intervention.</w:t>
      </w:r>
    </w:p>
    <w:tbl>
      <w:tblPr>
        <w:tblStyle w:val="TableGrid"/>
        <w:tblW w:w="9776" w:type="dxa"/>
        <w:tblLayout w:type="fixed"/>
        <w:tblLook w:val="0020" w:firstRow="1" w:lastRow="0" w:firstColumn="0" w:lastColumn="0" w:noHBand="0" w:noVBand="0"/>
      </w:tblPr>
      <w:tblGrid>
        <w:gridCol w:w="3256"/>
        <w:gridCol w:w="1134"/>
        <w:gridCol w:w="992"/>
        <w:gridCol w:w="992"/>
        <w:gridCol w:w="1559"/>
        <w:gridCol w:w="1843"/>
      </w:tblGrid>
      <w:tr w:rsidR="002D1E4B" w:rsidRPr="00B02873" w14:paraId="43FF47F3" w14:textId="77777777" w:rsidTr="00F0025B">
        <w:trPr>
          <w:cnfStyle w:val="100000000000" w:firstRow="1" w:lastRow="0" w:firstColumn="0" w:lastColumn="0" w:oddVBand="0" w:evenVBand="0" w:oddHBand="0" w:evenHBand="0" w:firstRowFirstColumn="0" w:firstRowLastColumn="0" w:lastRowFirstColumn="0" w:lastRowLastColumn="0"/>
          <w:tblHeader/>
        </w:trPr>
        <w:tc>
          <w:tcPr>
            <w:tcW w:w="3256" w:type="dxa"/>
          </w:tcPr>
          <w:p w14:paraId="01AAD0BA" w14:textId="77777777" w:rsidR="002D1E4B" w:rsidRDefault="002D1E4B" w:rsidP="00F0025B">
            <w:pPr>
              <w:pStyle w:val="TableheadingleftTables"/>
            </w:pPr>
            <w:r>
              <w:t xml:space="preserve">Output performance measures </w:t>
            </w:r>
          </w:p>
        </w:tc>
        <w:tc>
          <w:tcPr>
            <w:tcW w:w="1134" w:type="dxa"/>
          </w:tcPr>
          <w:p w14:paraId="11162C31" w14:textId="77777777" w:rsidR="002D1E4B" w:rsidRDefault="002D1E4B" w:rsidP="00F0025B">
            <w:pPr>
              <w:pStyle w:val="TableheadingleftTables"/>
            </w:pPr>
            <w:r>
              <w:t>Unit of measure</w:t>
            </w:r>
          </w:p>
        </w:tc>
        <w:tc>
          <w:tcPr>
            <w:tcW w:w="992" w:type="dxa"/>
          </w:tcPr>
          <w:p w14:paraId="1AAA0542" w14:textId="77777777" w:rsidR="002D1E4B" w:rsidRDefault="002D1E4B" w:rsidP="00DE1159">
            <w:pPr>
              <w:pStyle w:val="TableheadingleftTables"/>
              <w:jc w:val="right"/>
            </w:pPr>
            <w:r>
              <w:t>2021-22 actual</w:t>
            </w:r>
          </w:p>
        </w:tc>
        <w:tc>
          <w:tcPr>
            <w:tcW w:w="992" w:type="dxa"/>
          </w:tcPr>
          <w:p w14:paraId="07987AF7" w14:textId="77777777" w:rsidR="002D1E4B" w:rsidRDefault="002D1E4B" w:rsidP="00DE1159">
            <w:pPr>
              <w:pStyle w:val="TableheadingleftTables"/>
              <w:jc w:val="right"/>
            </w:pPr>
            <w:r>
              <w:t>2021-22 target</w:t>
            </w:r>
          </w:p>
        </w:tc>
        <w:tc>
          <w:tcPr>
            <w:tcW w:w="1559" w:type="dxa"/>
          </w:tcPr>
          <w:p w14:paraId="7FB1FBDE" w14:textId="77777777" w:rsidR="002D1E4B" w:rsidRDefault="002D1E4B" w:rsidP="00DE1159">
            <w:pPr>
              <w:pStyle w:val="TableheadingleftTables"/>
              <w:jc w:val="right"/>
            </w:pPr>
            <w:r>
              <w:rPr>
                <w:spacing w:val="-3"/>
              </w:rPr>
              <w:t>Performance variation (%)</w:t>
            </w:r>
          </w:p>
        </w:tc>
        <w:tc>
          <w:tcPr>
            <w:tcW w:w="1843" w:type="dxa"/>
          </w:tcPr>
          <w:p w14:paraId="6A185EF2" w14:textId="77777777" w:rsidR="002D1E4B" w:rsidRDefault="002D1E4B" w:rsidP="00F0025B">
            <w:pPr>
              <w:pStyle w:val="TableheadingleftTables"/>
            </w:pPr>
            <w:r>
              <w:t>Result</w:t>
            </w:r>
          </w:p>
        </w:tc>
      </w:tr>
      <w:tr w:rsidR="00B02873" w:rsidRPr="00B02873" w14:paraId="758FA076" w14:textId="77777777" w:rsidTr="00BE3CFB">
        <w:tc>
          <w:tcPr>
            <w:tcW w:w="3256" w:type="dxa"/>
          </w:tcPr>
          <w:p w14:paraId="102674F5" w14:textId="77777777" w:rsidR="00B02873" w:rsidRDefault="00B02873" w:rsidP="00B415A9">
            <w:pPr>
              <w:pStyle w:val="TablebodyleftTables"/>
            </w:pPr>
            <w:r>
              <w:t>In-scope government buildings that have commenced cladding rectification</w:t>
            </w:r>
          </w:p>
        </w:tc>
        <w:tc>
          <w:tcPr>
            <w:tcW w:w="1134" w:type="dxa"/>
          </w:tcPr>
          <w:p w14:paraId="2E6191EE" w14:textId="77777777" w:rsidR="00B02873" w:rsidRDefault="00B02873" w:rsidP="00BE3CFB">
            <w:pPr>
              <w:pStyle w:val="TablebodyleftTables"/>
            </w:pPr>
            <w:r>
              <w:t>number</w:t>
            </w:r>
          </w:p>
        </w:tc>
        <w:tc>
          <w:tcPr>
            <w:tcW w:w="992" w:type="dxa"/>
          </w:tcPr>
          <w:p w14:paraId="70281067" w14:textId="77777777" w:rsidR="00B02873" w:rsidRDefault="00B02873" w:rsidP="00DE1159">
            <w:pPr>
              <w:pStyle w:val="TablebodyleftTables"/>
              <w:jc w:val="right"/>
            </w:pPr>
            <w:r>
              <w:t>29</w:t>
            </w:r>
          </w:p>
        </w:tc>
        <w:tc>
          <w:tcPr>
            <w:tcW w:w="992" w:type="dxa"/>
          </w:tcPr>
          <w:p w14:paraId="4C0A416B" w14:textId="77777777" w:rsidR="00B02873" w:rsidRDefault="00B02873" w:rsidP="00DE1159">
            <w:pPr>
              <w:pStyle w:val="TablebodyleftTables"/>
              <w:jc w:val="right"/>
            </w:pPr>
            <w:r>
              <w:t>7</w:t>
            </w:r>
          </w:p>
        </w:tc>
        <w:tc>
          <w:tcPr>
            <w:tcW w:w="1559" w:type="dxa"/>
          </w:tcPr>
          <w:p w14:paraId="407C8568" w14:textId="77777777" w:rsidR="00B02873" w:rsidRDefault="00B02873" w:rsidP="00DE1159">
            <w:pPr>
              <w:pStyle w:val="TablebodyleftTables"/>
              <w:jc w:val="right"/>
            </w:pPr>
            <w:r>
              <w:t>314%</w:t>
            </w:r>
          </w:p>
        </w:tc>
        <w:tc>
          <w:tcPr>
            <w:tcW w:w="1843" w:type="dxa"/>
          </w:tcPr>
          <w:p w14:paraId="0416B0F7" w14:textId="44F9470F" w:rsidR="00B02873" w:rsidRDefault="002D1E4B" w:rsidP="00BE3CFB">
            <w:pPr>
              <w:pStyle w:val="TablebodyleftTables"/>
            </w:pPr>
            <w:r>
              <w:t>Performance target achieved or exceeded.</w:t>
            </w:r>
          </w:p>
        </w:tc>
      </w:tr>
    </w:tbl>
    <w:p w14:paraId="623BC1D4" w14:textId="7DC71087" w:rsidR="00BE3CFB" w:rsidRPr="00BE3CFB" w:rsidRDefault="00BE3CFB">
      <w:pPr>
        <w:rPr>
          <w:i/>
          <w:iCs/>
        </w:rPr>
      </w:pPr>
      <w:r w:rsidRPr="00BE3CFB">
        <w:rPr>
          <w:i/>
          <w:iCs/>
        </w:rPr>
        <w:lastRenderedPageBreak/>
        <w:t>Performance is above target due to additional community housing and government buildings added to the program, and commencement of works delayed from 2020-21.</w:t>
      </w:r>
    </w:p>
    <w:tbl>
      <w:tblPr>
        <w:tblStyle w:val="TableGrid"/>
        <w:tblW w:w="9776" w:type="dxa"/>
        <w:tblLayout w:type="fixed"/>
        <w:tblLook w:val="0020" w:firstRow="1" w:lastRow="0" w:firstColumn="0" w:lastColumn="0" w:noHBand="0" w:noVBand="0"/>
      </w:tblPr>
      <w:tblGrid>
        <w:gridCol w:w="3256"/>
        <w:gridCol w:w="1134"/>
        <w:gridCol w:w="992"/>
        <w:gridCol w:w="992"/>
        <w:gridCol w:w="1559"/>
        <w:gridCol w:w="1843"/>
      </w:tblGrid>
      <w:tr w:rsidR="002D1E4B" w:rsidRPr="00B02873" w14:paraId="68B71EEE" w14:textId="77777777" w:rsidTr="00F0025B">
        <w:trPr>
          <w:cnfStyle w:val="100000000000" w:firstRow="1" w:lastRow="0" w:firstColumn="0" w:lastColumn="0" w:oddVBand="0" w:evenVBand="0" w:oddHBand="0" w:evenHBand="0" w:firstRowFirstColumn="0" w:firstRowLastColumn="0" w:lastRowFirstColumn="0" w:lastRowLastColumn="0"/>
          <w:tblHeader/>
        </w:trPr>
        <w:tc>
          <w:tcPr>
            <w:tcW w:w="3256" w:type="dxa"/>
          </w:tcPr>
          <w:p w14:paraId="33780D8B" w14:textId="77777777" w:rsidR="002D1E4B" w:rsidRDefault="002D1E4B" w:rsidP="00F0025B">
            <w:pPr>
              <w:pStyle w:val="TableheadingleftTables"/>
            </w:pPr>
            <w:r>
              <w:t xml:space="preserve">Output performance measures </w:t>
            </w:r>
          </w:p>
        </w:tc>
        <w:tc>
          <w:tcPr>
            <w:tcW w:w="1134" w:type="dxa"/>
          </w:tcPr>
          <w:p w14:paraId="1FAC664A" w14:textId="77777777" w:rsidR="002D1E4B" w:rsidRDefault="002D1E4B" w:rsidP="00F0025B">
            <w:pPr>
              <w:pStyle w:val="TableheadingleftTables"/>
            </w:pPr>
            <w:r>
              <w:t>Unit of measure</w:t>
            </w:r>
          </w:p>
        </w:tc>
        <w:tc>
          <w:tcPr>
            <w:tcW w:w="992" w:type="dxa"/>
          </w:tcPr>
          <w:p w14:paraId="33DCE1BA" w14:textId="77777777" w:rsidR="002D1E4B" w:rsidRDefault="002D1E4B" w:rsidP="00DE1159">
            <w:pPr>
              <w:pStyle w:val="TableheadingleftTables"/>
              <w:jc w:val="right"/>
            </w:pPr>
            <w:r>
              <w:t>2021-22 actual</w:t>
            </w:r>
          </w:p>
        </w:tc>
        <w:tc>
          <w:tcPr>
            <w:tcW w:w="992" w:type="dxa"/>
          </w:tcPr>
          <w:p w14:paraId="3BCC62EE" w14:textId="77777777" w:rsidR="002D1E4B" w:rsidRDefault="002D1E4B" w:rsidP="00DE1159">
            <w:pPr>
              <w:pStyle w:val="TableheadingleftTables"/>
              <w:jc w:val="right"/>
            </w:pPr>
            <w:r>
              <w:t>2021-22 target</w:t>
            </w:r>
          </w:p>
        </w:tc>
        <w:tc>
          <w:tcPr>
            <w:tcW w:w="1559" w:type="dxa"/>
          </w:tcPr>
          <w:p w14:paraId="2AFC0D71" w14:textId="77777777" w:rsidR="002D1E4B" w:rsidRDefault="002D1E4B" w:rsidP="00DE1159">
            <w:pPr>
              <w:pStyle w:val="TableheadingleftTables"/>
              <w:jc w:val="right"/>
            </w:pPr>
            <w:r>
              <w:rPr>
                <w:spacing w:val="-3"/>
              </w:rPr>
              <w:t>Performance variation (%)</w:t>
            </w:r>
          </w:p>
        </w:tc>
        <w:tc>
          <w:tcPr>
            <w:tcW w:w="1843" w:type="dxa"/>
          </w:tcPr>
          <w:p w14:paraId="229C7EBF" w14:textId="77777777" w:rsidR="002D1E4B" w:rsidRDefault="002D1E4B" w:rsidP="00F0025B">
            <w:pPr>
              <w:pStyle w:val="TableheadingleftTables"/>
            </w:pPr>
            <w:r>
              <w:t>Result</w:t>
            </w:r>
          </w:p>
        </w:tc>
      </w:tr>
      <w:tr w:rsidR="00B02873" w:rsidRPr="00B02873" w14:paraId="1AB0DAD7" w14:textId="77777777" w:rsidTr="00BE3CFB">
        <w:tc>
          <w:tcPr>
            <w:tcW w:w="3256" w:type="dxa"/>
          </w:tcPr>
          <w:p w14:paraId="0077B564" w14:textId="77777777" w:rsidR="00B02873" w:rsidRDefault="00B02873" w:rsidP="00B415A9">
            <w:pPr>
              <w:pStyle w:val="TablebodyleftTables"/>
            </w:pPr>
            <w:r>
              <w:t>In-scope government building that have completed cladding rectification works</w:t>
            </w:r>
          </w:p>
        </w:tc>
        <w:tc>
          <w:tcPr>
            <w:tcW w:w="1134" w:type="dxa"/>
          </w:tcPr>
          <w:p w14:paraId="0B766CC3" w14:textId="77777777" w:rsidR="00B02873" w:rsidRDefault="00B02873" w:rsidP="00BE3CFB">
            <w:pPr>
              <w:pStyle w:val="TablebodyleftTables"/>
            </w:pPr>
            <w:r>
              <w:t>number</w:t>
            </w:r>
          </w:p>
        </w:tc>
        <w:tc>
          <w:tcPr>
            <w:tcW w:w="992" w:type="dxa"/>
          </w:tcPr>
          <w:p w14:paraId="5937277E" w14:textId="77777777" w:rsidR="00B02873" w:rsidRDefault="00B02873" w:rsidP="00DE1159">
            <w:pPr>
              <w:pStyle w:val="TablebodyleftTables"/>
              <w:jc w:val="right"/>
            </w:pPr>
            <w:r>
              <w:t>34</w:t>
            </w:r>
          </w:p>
        </w:tc>
        <w:tc>
          <w:tcPr>
            <w:tcW w:w="992" w:type="dxa"/>
          </w:tcPr>
          <w:p w14:paraId="33F2EA06" w14:textId="77777777" w:rsidR="00B02873" w:rsidRDefault="00B02873" w:rsidP="00DE1159">
            <w:pPr>
              <w:pStyle w:val="TablebodyleftTables"/>
              <w:jc w:val="right"/>
            </w:pPr>
            <w:r>
              <w:t>31</w:t>
            </w:r>
          </w:p>
        </w:tc>
        <w:tc>
          <w:tcPr>
            <w:tcW w:w="1559" w:type="dxa"/>
          </w:tcPr>
          <w:p w14:paraId="0908B0DD" w14:textId="77777777" w:rsidR="00B02873" w:rsidRDefault="00B02873" w:rsidP="00DE1159">
            <w:pPr>
              <w:pStyle w:val="TablebodyleftTables"/>
              <w:jc w:val="right"/>
            </w:pPr>
            <w:r>
              <w:t>10%</w:t>
            </w:r>
          </w:p>
        </w:tc>
        <w:tc>
          <w:tcPr>
            <w:tcW w:w="1843" w:type="dxa"/>
          </w:tcPr>
          <w:p w14:paraId="2D75C91B" w14:textId="7E81647F" w:rsidR="00B02873" w:rsidRDefault="002D1E4B" w:rsidP="00BE3CFB">
            <w:pPr>
              <w:pStyle w:val="TablebodyleftTables"/>
            </w:pPr>
            <w:r>
              <w:t>Performance target achieved or exceeded.</w:t>
            </w:r>
          </w:p>
        </w:tc>
      </w:tr>
    </w:tbl>
    <w:p w14:paraId="2987D4E2" w14:textId="43A7DF05" w:rsidR="00BE3CFB" w:rsidRPr="00BE3CFB" w:rsidRDefault="00BE3CFB">
      <w:pPr>
        <w:rPr>
          <w:i/>
          <w:iCs/>
        </w:rPr>
      </w:pPr>
      <w:r w:rsidRPr="00BE3CFB">
        <w:rPr>
          <w:i/>
          <w:iCs/>
        </w:rPr>
        <w:t>Performance is above target due to a number of community housing buildings requiring minor rectification works, approved to be funded from the program in 2021-22 and completed in the same year.</w:t>
      </w:r>
    </w:p>
    <w:tbl>
      <w:tblPr>
        <w:tblStyle w:val="TableGrid"/>
        <w:tblW w:w="9776" w:type="dxa"/>
        <w:tblLayout w:type="fixed"/>
        <w:tblLook w:val="0020" w:firstRow="1" w:lastRow="0" w:firstColumn="0" w:lastColumn="0" w:noHBand="0" w:noVBand="0"/>
      </w:tblPr>
      <w:tblGrid>
        <w:gridCol w:w="3256"/>
        <w:gridCol w:w="1134"/>
        <w:gridCol w:w="992"/>
        <w:gridCol w:w="992"/>
        <w:gridCol w:w="1559"/>
        <w:gridCol w:w="1843"/>
      </w:tblGrid>
      <w:tr w:rsidR="002D1E4B" w:rsidRPr="00B02873" w14:paraId="08637183" w14:textId="77777777" w:rsidTr="00F0025B">
        <w:trPr>
          <w:cnfStyle w:val="100000000000" w:firstRow="1" w:lastRow="0" w:firstColumn="0" w:lastColumn="0" w:oddVBand="0" w:evenVBand="0" w:oddHBand="0" w:evenHBand="0" w:firstRowFirstColumn="0" w:firstRowLastColumn="0" w:lastRowFirstColumn="0" w:lastRowLastColumn="0"/>
          <w:tblHeader/>
        </w:trPr>
        <w:tc>
          <w:tcPr>
            <w:tcW w:w="3256" w:type="dxa"/>
          </w:tcPr>
          <w:p w14:paraId="542A7D7B" w14:textId="77777777" w:rsidR="002D1E4B" w:rsidRDefault="002D1E4B" w:rsidP="00F0025B">
            <w:pPr>
              <w:pStyle w:val="TableheadingleftTables"/>
            </w:pPr>
            <w:r>
              <w:t xml:space="preserve">Output performance measures </w:t>
            </w:r>
          </w:p>
        </w:tc>
        <w:tc>
          <w:tcPr>
            <w:tcW w:w="1134" w:type="dxa"/>
          </w:tcPr>
          <w:p w14:paraId="7D1CBC89" w14:textId="77777777" w:rsidR="002D1E4B" w:rsidRDefault="002D1E4B" w:rsidP="00F0025B">
            <w:pPr>
              <w:pStyle w:val="TableheadingleftTables"/>
            </w:pPr>
            <w:r>
              <w:t>Unit of measure</w:t>
            </w:r>
          </w:p>
        </w:tc>
        <w:tc>
          <w:tcPr>
            <w:tcW w:w="992" w:type="dxa"/>
          </w:tcPr>
          <w:p w14:paraId="5279C057" w14:textId="77777777" w:rsidR="002D1E4B" w:rsidRDefault="002D1E4B" w:rsidP="00DE1159">
            <w:pPr>
              <w:pStyle w:val="TableheadingleftTables"/>
              <w:jc w:val="right"/>
            </w:pPr>
            <w:r>
              <w:t>2021-22 actual</w:t>
            </w:r>
          </w:p>
        </w:tc>
        <w:tc>
          <w:tcPr>
            <w:tcW w:w="992" w:type="dxa"/>
          </w:tcPr>
          <w:p w14:paraId="23D4AB17" w14:textId="77777777" w:rsidR="002D1E4B" w:rsidRDefault="002D1E4B" w:rsidP="00DE1159">
            <w:pPr>
              <w:pStyle w:val="TableheadingleftTables"/>
              <w:jc w:val="right"/>
            </w:pPr>
            <w:r>
              <w:t>2021-22 target</w:t>
            </w:r>
          </w:p>
        </w:tc>
        <w:tc>
          <w:tcPr>
            <w:tcW w:w="1559" w:type="dxa"/>
          </w:tcPr>
          <w:p w14:paraId="30B450E5" w14:textId="77777777" w:rsidR="002D1E4B" w:rsidRDefault="002D1E4B" w:rsidP="00DE1159">
            <w:pPr>
              <w:pStyle w:val="TableheadingleftTables"/>
              <w:jc w:val="right"/>
            </w:pPr>
            <w:r>
              <w:rPr>
                <w:spacing w:val="-3"/>
              </w:rPr>
              <w:t>Performance variation (%)</w:t>
            </w:r>
          </w:p>
        </w:tc>
        <w:tc>
          <w:tcPr>
            <w:tcW w:w="1843" w:type="dxa"/>
          </w:tcPr>
          <w:p w14:paraId="10903C3C" w14:textId="77777777" w:rsidR="002D1E4B" w:rsidRDefault="002D1E4B" w:rsidP="00F0025B">
            <w:pPr>
              <w:pStyle w:val="TableheadingleftTables"/>
            </w:pPr>
            <w:r>
              <w:t>Result</w:t>
            </w:r>
          </w:p>
        </w:tc>
      </w:tr>
      <w:tr w:rsidR="00B02873" w:rsidRPr="00B02873" w14:paraId="17D8C334" w14:textId="77777777" w:rsidTr="00BE3CFB">
        <w:tc>
          <w:tcPr>
            <w:tcW w:w="3256" w:type="dxa"/>
          </w:tcPr>
          <w:p w14:paraId="09DF6610" w14:textId="77777777" w:rsidR="00B02873" w:rsidRDefault="00B02873" w:rsidP="00B415A9">
            <w:pPr>
              <w:pStyle w:val="TablebodyleftTables"/>
            </w:pPr>
            <w:r>
              <w:t>In-scope privately owned residential buildings that have commenced cladding rectification works</w:t>
            </w:r>
          </w:p>
        </w:tc>
        <w:tc>
          <w:tcPr>
            <w:tcW w:w="1134" w:type="dxa"/>
          </w:tcPr>
          <w:p w14:paraId="5A5B275D" w14:textId="77777777" w:rsidR="00B02873" w:rsidRDefault="00B02873" w:rsidP="00BE3CFB">
            <w:pPr>
              <w:pStyle w:val="TablebodyleftTables"/>
            </w:pPr>
            <w:r>
              <w:t>number</w:t>
            </w:r>
          </w:p>
        </w:tc>
        <w:tc>
          <w:tcPr>
            <w:tcW w:w="992" w:type="dxa"/>
          </w:tcPr>
          <w:p w14:paraId="7601F36C" w14:textId="77777777" w:rsidR="00B02873" w:rsidRDefault="00B02873" w:rsidP="00DE1159">
            <w:pPr>
              <w:pStyle w:val="TablebodyleftTables"/>
              <w:jc w:val="right"/>
            </w:pPr>
            <w:r>
              <w:t>33</w:t>
            </w:r>
          </w:p>
        </w:tc>
        <w:tc>
          <w:tcPr>
            <w:tcW w:w="992" w:type="dxa"/>
          </w:tcPr>
          <w:p w14:paraId="43E471DE" w14:textId="77777777" w:rsidR="00B02873" w:rsidRDefault="00B02873" w:rsidP="00DE1159">
            <w:pPr>
              <w:pStyle w:val="TablebodyleftTables"/>
              <w:jc w:val="right"/>
            </w:pPr>
            <w:r>
              <w:t>150</w:t>
            </w:r>
          </w:p>
        </w:tc>
        <w:tc>
          <w:tcPr>
            <w:tcW w:w="1559" w:type="dxa"/>
          </w:tcPr>
          <w:p w14:paraId="2DF12066" w14:textId="77777777" w:rsidR="00B02873" w:rsidRDefault="00B02873" w:rsidP="00DE1159">
            <w:pPr>
              <w:pStyle w:val="TablebodyleftTables"/>
              <w:jc w:val="right"/>
            </w:pPr>
            <w:r>
              <w:t>(78%)</w:t>
            </w:r>
          </w:p>
        </w:tc>
        <w:tc>
          <w:tcPr>
            <w:tcW w:w="1843" w:type="dxa"/>
          </w:tcPr>
          <w:p w14:paraId="1674BF3A" w14:textId="59E95EBB" w:rsidR="00B02873" w:rsidRDefault="002D1E4B" w:rsidP="00BE3CFB">
            <w:pPr>
              <w:pStyle w:val="TablebodyleftTables"/>
            </w:pPr>
            <w:r>
              <w:t>Performance target not achieved – exceeds 5 per cent variance.</w:t>
            </w:r>
          </w:p>
        </w:tc>
      </w:tr>
    </w:tbl>
    <w:p w14:paraId="5AFEA709" w14:textId="42E8A14C" w:rsidR="00BE3CFB" w:rsidRPr="00BE3CFB" w:rsidRDefault="00BE3CFB">
      <w:pPr>
        <w:rPr>
          <w:i/>
          <w:iCs/>
        </w:rPr>
      </w:pPr>
      <w:r w:rsidRPr="00BE3CFB">
        <w:rPr>
          <w:i/>
          <w:iCs/>
        </w:rPr>
        <w:t>Performance is below target due to unforeseen delays associated with the execution of contracts with builders, additional time required to finalise fire safety design solutions, and delays caused by latent defects requiring remediation before cladding rectification works commenced. This was combined with a pause in the progression of new buildings through the program during the first half of 2021-22 as a result of implementation of the Statewide Cladding Audit Intensive Inspection Initiative from August to November 2021.</w:t>
      </w:r>
    </w:p>
    <w:tbl>
      <w:tblPr>
        <w:tblStyle w:val="TableGrid"/>
        <w:tblW w:w="9776" w:type="dxa"/>
        <w:tblLayout w:type="fixed"/>
        <w:tblLook w:val="0020" w:firstRow="1" w:lastRow="0" w:firstColumn="0" w:lastColumn="0" w:noHBand="0" w:noVBand="0"/>
      </w:tblPr>
      <w:tblGrid>
        <w:gridCol w:w="3256"/>
        <w:gridCol w:w="1134"/>
        <w:gridCol w:w="992"/>
        <w:gridCol w:w="992"/>
        <w:gridCol w:w="1559"/>
        <w:gridCol w:w="1843"/>
      </w:tblGrid>
      <w:tr w:rsidR="002D1E4B" w:rsidRPr="00B02873" w14:paraId="0E250139" w14:textId="77777777" w:rsidTr="00F0025B">
        <w:trPr>
          <w:cnfStyle w:val="100000000000" w:firstRow="1" w:lastRow="0" w:firstColumn="0" w:lastColumn="0" w:oddVBand="0" w:evenVBand="0" w:oddHBand="0" w:evenHBand="0" w:firstRowFirstColumn="0" w:firstRowLastColumn="0" w:lastRowFirstColumn="0" w:lastRowLastColumn="0"/>
          <w:tblHeader/>
        </w:trPr>
        <w:tc>
          <w:tcPr>
            <w:tcW w:w="3256" w:type="dxa"/>
          </w:tcPr>
          <w:p w14:paraId="6A066C67" w14:textId="77777777" w:rsidR="002D1E4B" w:rsidRDefault="002D1E4B" w:rsidP="00F0025B">
            <w:pPr>
              <w:pStyle w:val="TableheadingleftTables"/>
            </w:pPr>
            <w:r>
              <w:t xml:space="preserve">Output performance measures </w:t>
            </w:r>
          </w:p>
        </w:tc>
        <w:tc>
          <w:tcPr>
            <w:tcW w:w="1134" w:type="dxa"/>
          </w:tcPr>
          <w:p w14:paraId="1379A601" w14:textId="77777777" w:rsidR="002D1E4B" w:rsidRDefault="002D1E4B" w:rsidP="00F0025B">
            <w:pPr>
              <w:pStyle w:val="TableheadingleftTables"/>
            </w:pPr>
            <w:r>
              <w:t>Unit of measure</w:t>
            </w:r>
          </w:p>
        </w:tc>
        <w:tc>
          <w:tcPr>
            <w:tcW w:w="992" w:type="dxa"/>
          </w:tcPr>
          <w:p w14:paraId="3CE22E22" w14:textId="77777777" w:rsidR="002D1E4B" w:rsidRDefault="002D1E4B" w:rsidP="00DE1159">
            <w:pPr>
              <w:pStyle w:val="TableheadingleftTables"/>
              <w:jc w:val="right"/>
            </w:pPr>
            <w:r>
              <w:t>2021-22 actual</w:t>
            </w:r>
          </w:p>
        </w:tc>
        <w:tc>
          <w:tcPr>
            <w:tcW w:w="992" w:type="dxa"/>
          </w:tcPr>
          <w:p w14:paraId="4C10A9EA" w14:textId="77777777" w:rsidR="002D1E4B" w:rsidRDefault="002D1E4B" w:rsidP="00DE1159">
            <w:pPr>
              <w:pStyle w:val="TableheadingleftTables"/>
              <w:jc w:val="right"/>
            </w:pPr>
            <w:r>
              <w:t>2021-22 target</w:t>
            </w:r>
          </w:p>
        </w:tc>
        <w:tc>
          <w:tcPr>
            <w:tcW w:w="1559" w:type="dxa"/>
          </w:tcPr>
          <w:p w14:paraId="36534E80" w14:textId="77777777" w:rsidR="002D1E4B" w:rsidRDefault="002D1E4B" w:rsidP="00DE1159">
            <w:pPr>
              <w:pStyle w:val="TableheadingleftTables"/>
              <w:jc w:val="right"/>
            </w:pPr>
            <w:r>
              <w:rPr>
                <w:spacing w:val="-3"/>
              </w:rPr>
              <w:t>Performance variation (%)</w:t>
            </w:r>
          </w:p>
        </w:tc>
        <w:tc>
          <w:tcPr>
            <w:tcW w:w="1843" w:type="dxa"/>
          </w:tcPr>
          <w:p w14:paraId="34F74BD5" w14:textId="77777777" w:rsidR="002D1E4B" w:rsidRDefault="002D1E4B" w:rsidP="00F0025B">
            <w:pPr>
              <w:pStyle w:val="TableheadingleftTables"/>
            </w:pPr>
            <w:r>
              <w:t>Result</w:t>
            </w:r>
          </w:p>
        </w:tc>
      </w:tr>
      <w:tr w:rsidR="00B02873" w:rsidRPr="00B02873" w14:paraId="5A03DF39" w14:textId="77777777" w:rsidTr="00BE3CFB">
        <w:tc>
          <w:tcPr>
            <w:tcW w:w="3256" w:type="dxa"/>
          </w:tcPr>
          <w:p w14:paraId="726855A5" w14:textId="77777777" w:rsidR="00B02873" w:rsidRDefault="00B02873" w:rsidP="00B415A9">
            <w:pPr>
              <w:pStyle w:val="TablebodyleftTables"/>
            </w:pPr>
            <w:r>
              <w:t>In-scope privately-owned residential buildings that have completed cladding rectification works</w:t>
            </w:r>
          </w:p>
        </w:tc>
        <w:tc>
          <w:tcPr>
            <w:tcW w:w="1134" w:type="dxa"/>
          </w:tcPr>
          <w:p w14:paraId="27AAA077" w14:textId="77777777" w:rsidR="00B02873" w:rsidRDefault="00B02873" w:rsidP="00BE3CFB">
            <w:pPr>
              <w:pStyle w:val="TablebodyleftTables"/>
            </w:pPr>
            <w:r>
              <w:t>number</w:t>
            </w:r>
          </w:p>
        </w:tc>
        <w:tc>
          <w:tcPr>
            <w:tcW w:w="992" w:type="dxa"/>
          </w:tcPr>
          <w:p w14:paraId="57DAC314" w14:textId="77777777" w:rsidR="00B02873" w:rsidRDefault="00B02873" w:rsidP="00DE1159">
            <w:pPr>
              <w:pStyle w:val="TablebodyleftTables"/>
              <w:jc w:val="right"/>
            </w:pPr>
            <w:r>
              <w:t>131</w:t>
            </w:r>
          </w:p>
        </w:tc>
        <w:tc>
          <w:tcPr>
            <w:tcW w:w="992" w:type="dxa"/>
          </w:tcPr>
          <w:p w14:paraId="7E7ACBE6" w14:textId="77777777" w:rsidR="00B02873" w:rsidRDefault="00B02873" w:rsidP="00DE1159">
            <w:pPr>
              <w:pStyle w:val="TablebodyleftTables"/>
              <w:jc w:val="right"/>
            </w:pPr>
            <w:r>
              <w:t>150</w:t>
            </w:r>
          </w:p>
        </w:tc>
        <w:tc>
          <w:tcPr>
            <w:tcW w:w="1559" w:type="dxa"/>
          </w:tcPr>
          <w:p w14:paraId="47ED3D80" w14:textId="77777777" w:rsidR="00B02873" w:rsidRDefault="00B02873" w:rsidP="00DE1159">
            <w:pPr>
              <w:pStyle w:val="TablebodyleftTables"/>
              <w:jc w:val="right"/>
            </w:pPr>
            <w:r>
              <w:t>(13%)</w:t>
            </w:r>
          </w:p>
        </w:tc>
        <w:tc>
          <w:tcPr>
            <w:tcW w:w="1843" w:type="dxa"/>
          </w:tcPr>
          <w:p w14:paraId="735D3695" w14:textId="42347B44" w:rsidR="00B02873" w:rsidRDefault="002D1E4B" w:rsidP="00BE3CFB">
            <w:pPr>
              <w:pStyle w:val="TablebodyleftTables"/>
            </w:pPr>
            <w:r>
              <w:t>Performance target not achieved – exceeds 5 per cent variance.</w:t>
            </w:r>
          </w:p>
        </w:tc>
      </w:tr>
    </w:tbl>
    <w:p w14:paraId="765AE24D" w14:textId="2A22EE84" w:rsidR="00BE3CFB" w:rsidRPr="00BE3CFB" w:rsidRDefault="00BE3CFB">
      <w:pPr>
        <w:rPr>
          <w:i/>
          <w:iCs/>
        </w:rPr>
      </w:pPr>
      <w:r w:rsidRPr="00BE3CFB">
        <w:rPr>
          <w:i/>
          <w:iCs/>
        </w:rPr>
        <w:t>Performance is below target due to shortages in scaffolding material and labour, longer than anticipated lead times for construction materials, and inclement weather.</w:t>
      </w:r>
    </w:p>
    <w:tbl>
      <w:tblPr>
        <w:tblStyle w:val="TableGrid"/>
        <w:tblW w:w="9776" w:type="dxa"/>
        <w:tblLayout w:type="fixed"/>
        <w:tblLook w:val="0020" w:firstRow="1" w:lastRow="0" w:firstColumn="0" w:lastColumn="0" w:noHBand="0" w:noVBand="0"/>
      </w:tblPr>
      <w:tblGrid>
        <w:gridCol w:w="3256"/>
        <w:gridCol w:w="1134"/>
        <w:gridCol w:w="992"/>
        <w:gridCol w:w="992"/>
        <w:gridCol w:w="1559"/>
        <w:gridCol w:w="1843"/>
      </w:tblGrid>
      <w:tr w:rsidR="002D1E4B" w:rsidRPr="00B02873" w14:paraId="48D988E4" w14:textId="77777777" w:rsidTr="00F0025B">
        <w:trPr>
          <w:cnfStyle w:val="100000000000" w:firstRow="1" w:lastRow="0" w:firstColumn="0" w:lastColumn="0" w:oddVBand="0" w:evenVBand="0" w:oddHBand="0" w:evenHBand="0" w:firstRowFirstColumn="0" w:firstRowLastColumn="0" w:lastRowFirstColumn="0" w:lastRowLastColumn="0"/>
          <w:tblHeader/>
        </w:trPr>
        <w:tc>
          <w:tcPr>
            <w:tcW w:w="3256" w:type="dxa"/>
          </w:tcPr>
          <w:p w14:paraId="3CACAF30" w14:textId="77777777" w:rsidR="002D1E4B" w:rsidRDefault="002D1E4B" w:rsidP="00F0025B">
            <w:pPr>
              <w:pStyle w:val="TableheadingleftTables"/>
            </w:pPr>
            <w:r>
              <w:t xml:space="preserve">Output performance measures </w:t>
            </w:r>
          </w:p>
        </w:tc>
        <w:tc>
          <w:tcPr>
            <w:tcW w:w="1134" w:type="dxa"/>
          </w:tcPr>
          <w:p w14:paraId="47C9A937" w14:textId="77777777" w:rsidR="002D1E4B" w:rsidRDefault="002D1E4B" w:rsidP="00F0025B">
            <w:pPr>
              <w:pStyle w:val="TableheadingleftTables"/>
            </w:pPr>
            <w:r>
              <w:t>Unit of measure</w:t>
            </w:r>
          </w:p>
        </w:tc>
        <w:tc>
          <w:tcPr>
            <w:tcW w:w="992" w:type="dxa"/>
          </w:tcPr>
          <w:p w14:paraId="1E6D8896" w14:textId="77777777" w:rsidR="002D1E4B" w:rsidRDefault="002D1E4B" w:rsidP="00DE1159">
            <w:pPr>
              <w:pStyle w:val="TableheadingleftTables"/>
              <w:jc w:val="right"/>
            </w:pPr>
            <w:r>
              <w:t>2021-22 actual</w:t>
            </w:r>
          </w:p>
        </w:tc>
        <w:tc>
          <w:tcPr>
            <w:tcW w:w="992" w:type="dxa"/>
          </w:tcPr>
          <w:p w14:paraId="6B1DA1A8" w14:textId="77777777" w:rsidR="002D1E4B" w:rsidRDefault="002D1E4B" w:rsidP="00DE1159">
            <w:pPr>
              <w:pStyle w:val="TableheadingleftTables"/>
              <w:jc w:val="right"/>
            </w:pPr>
            <w:r>
              <w:t>2021-22 target</w:t>
            </w:r>
          </w:p>
        </w:tc>
        <w:tc>
          <w:tcPr>
            <w:tcW w:w="1559" w:type="dxa"/>
          </w:tcPr>
          <w:p w14:paraId="6ACF8897" w14:textId="77777777" w:rsidR="002D1E4B" w:rsidRDefault="002D1E4B" w:rsidP="00DE1159">
            <w:pPr>
              <w:pStyle w:val="TableheadingleftTables"/>
              <w:jc w:val="right"/>
            </w:pPr>
            <w:r>
              <w:rPr>
                <w:spacing w:val="-3"/>
              </w:rPr>
              <w:t>Performance variation (%)</w:t>
            </w:r>
          </w:p>
        </w:tc>
        <w:tc>
          <w:tcPr>
            <w:tcW w:w="1843" w:type="dxa"/>
          </w:tcPr>
          <w:p w14:paraId="36B7EBB0" w14:textId="77777777" w:rsidR="002D1E4B" w:rsidRDefault="002D1E4B" w:rsidP="00F0025B">
            <w:pPr>
              <w:pStyle w:val="TableheadingleftTables"/>
            </w:pPr>
            <w:r>
              <w:t>Result</w:t>
            </w:r>
          </w:p>
        </w:tc>
      </w:tr>
      <w:tr w:rsidR="00B02873" w:rsidRPr="00B02873" w14:paraId="586472F3" w14:textId="77777777" w:rsidTr="00BE3CFB">
        <w:tc>
          <w:tcPr>
            <w:tcW w:w="3256" w:type="dxa"/>
          </w:tcPr>
          <w:p w14:paraId="1C9E7B8F" w14:textId="77777777" w:rsidR="00B02873" w:rsidRDefault="00B02873" w:rsidP="00B415A9">
            <w:pPr>
              <w:pStyle w:val="TableheadingleftTables"/>
            </w:pPr>
            <w:r>
              <w:t>Quality</w:t>
            </w:r>
          </w:p>
        </w:tc>
        <w:tc>
          <w:tcPr>
            <w:tcW w:w="1134" w:type="dxa"/>
          </w:tcPr>
          <w:p w14:paraId="06F6D201" w14:textId="77777777" w:rsidR="00B02873" w:rsidRPr="00B02873" w:rsidRDefault="00B02873" w:rsidP="00B415A9">
            <w:pPr>
              <w:pStyle w:val="NoParagraphStyle"/>
              <w:spacing w:line="240" w:lineRule="auto"/>
              <w:textAlignment w:val="auto"/>
              <w:rPr>
                <w:rFonts w:ascii="Apple Symbols Regular" w:hAnsi="Apple Symbols Regular" w:cs="Times New Roman"/>
                <w:color w:val="auto"/>
                <w:lang w:val="en-AU"/>
              </w:rPr>
            </w:pPr>
          </w:p>
        </w:tc>
        <w:tc>
          <w:tcPr>
            <w:tcW w:w="992" w:type="dxa"/>
          </w:tcPr>
          <w:p w14:paraId="45E3148E" w14:textId="77777777" w:rsidR="00B02873" w:rsidRPr="00B02873" w:rsidRDefault="00B02873" w:rsidP="00DE1159">
            <w:pPr>
              <w:pStyle w:val="NoParagraphStyle"/>
              <w:spacing w:line="240" w:lineRule="auto"/>
              <w:jc w:val="right"/>
              <w:textAlignment w:val="auto"/>
              <w:rPr>
                <w:rFonts w:ascii="Apple Symbols Regular" w:hAnsi="Apple Symbols Regular" w:cs="Times New Roman"/>
                <w:color w:val="auto"/>
                <w:lang w:val="en-AU"/>
              </w:rPr>
            </w:pPr>
          </w:p>
        </w:tc>
        <w:tc>
          <w:tcPr>
            <w:tcW w:w="992" w:type="dxa"/>
          </w:tcPr>
          <w:p w14:paraId="33985B29" w14:textId="77777777" w:rsidR="00B02873" w:rsidRPr="00B02873" w:rsidRDefault="00B02873" w:rsidP="00DE1159">
            <w:pPr>
              <w:pStyle w:val="NoParagraphStyle"/>
              <w:spacing w:line="240" w:lineRule="auto"/>
              <w:jc w:val="right"/>
              <w:textAlignment w:val="auto"/>
              <w:rPr>
                <w:rFonts w:ascii="Apple Symbols Regular" w:hAnsi="Apple Symbols Regular" w:cs="Times New Roman"/>
                <w:color w:val="auto"/>
                <w:lang w:val="en-AU"/>
              </w:rPr>
            </w:pPr>
          </w:p>
        </w:tc>
        <w:tc>
          <w:tcPr>
            <w:tcW w:w="1559" w:type="dxa"/>
          </w:tcPr>
          <w:p w14:paraId="76EE09FC" w14:textId="77777777" w:rsidR="00B02873" w:rsidRPr="00B02873" w:rsidRDefault="00B02873" w:rsidP="00DE1159">
            <w:pPr>
              <w:pStyle w:val="NoParagraphStyle"/>
              <w:spacing w:line="240" w:lineRule="auto"/>
              <w:jc w:val="right"/>
              <w:textAlignment w:val="auto"/>
              <w:rPr>
                <w:rFonts w:ascii="Apple Symbols Regular" w:hAnsi="Apple Symbols Regular" w:cs="Times New Roman"/>
                <w:color w:val="auto"/>
                <w:lang w:val="en-AU"/>
              </w:rPr>
            </w:pPr>
          </w:p>
        </w:tc>
        <w:tc>
          <w:tcPr>
            <w:tcW w:w="1843" w:type="dxa"/>
          </w:tcPr>
          <w:p w14:paraId="2501FD70" w14:textId="77777777" w:rsidR="00B02873" w:rsidRPr="00B02873" w:rsidRDefault="00B02873" w:rsidP="00B415A9">
            <w:pPr>
              <w:pStyle w:val="NoParagraphStyle"/>
              <w:spacing w:line="240" w:lineRule="auto"/>
              <w:textAlignment w:val="auto"/>
              <w:rPr>
                <w:rFonts w:ascii="Apple Symbols Regular" w:hAnsi="Apple Symbols Regular" w:cs="Times New Roman"/>
                <w:color w:val="auto"/>
                <w:lang w:val="en-AU"/>
              </w:rPr>
            </w:pPr>
          </w:p>
        </w:tc>
      </w:tr>
      <w:tr w:rsidR="00B02873" w:rsidRPr="00B02873" w14:paraId="57A8B9B3" w14:textId="77777777" w:rsidTr="00BE3CFB">
        <w:tc>
          <w:tcPr>
            <w:tcW w:w="3256" w:type="dxa"/>
          </w:tcPr>
          <w:p w14:paraId="209AB623" w14:textId="77777777" w:rsidR="00B02873" w:rsidRDefault="00B02873" w:rsidP="00B415A9">
            <w:pPr>
              <w:pStyle w:val="TablebodyleftTables"/>
            </w:pPr>
            <w:r>
              <w:t>Environment effects statements, referrals and assessments are completed effectively and within the timeframes necessary to meet targets in the Ministerial Guidelines</w:t>
            </w:r>
          </w:p>
        </w:tc>
        <w:tc>
          <w:tcPr>
            <w:tcW w:w="1134" w:type="dxa"/>
          </w:tcPr>
          <w:p w14:paraId="6A4A18BB" w14:textId="77777777" w:rsidR="00B02873" w:rsidRDefault="00B02873" w:rsidP="00BE3CFB">
            <w:pPr>
              <w:pStyle w:val="TablebodyleftTables"/>
            </w:pPr>
            <w:r>
              <w:t>per cent</w:t>
            </w:r>
          </w:p>
        </w:tc>
        <w:tc>
          <w:tcPr>
            <w:tcW w:w="992" w:type="dxa"/>
          </w:tcPr>
          <w:p w14:paraId="37A3AABB" w14:textId="77777777" w:rsidR="00B02873" w:rsidRDefault="00B02873" w:rsidP="00DE1159">
            <w:pPr>
              <w:pStyle w:val="TablebodyleftTables"/>
              <w:jc w:val="right"/>
            </w:pPr>
            <w:r>
              <w:t>65</w:t>
            </w:r>
          </w:p>
        </w:tc>
        <w:tc>
          <w:tcPr>
            <w:tcW w:w="992" w:type="dxa"/>
          </w:tcPr>
          <w:p w14:paraId="1CD997E2" w14:textId="77777777" w:rsidR="00B02873" w:rsidRDefault="00B02873" w:rsidP="00DE1159">
            <w:pPr>
              <w:pStyle w:val="TablebodyleftTables"/>
              <w:jc w:val="right"/>
            </w:pPr>
            <w:r>
              <w:t>70</w:t>
            </w:r>
          </w:p>
        </w:tc>
        <w:tc>
          <w:tcPr>
            <w:tcW w:w="1559" w:type="dxa"/>
          </w:tcPr>
          <w:p w14:paraId="62A48BAC" w14:textId="77777777" w:rsidR="00B02873" w:rsidRDefault="00B02873" w:rsidP="00DE1159">
            <w:pPr>
              <w:pStyle w:val="TablebodyleftTables"/>
              <w:jc w:val="right"/>
            </w:pPr>
            <w:r>
              <w:t>(7%)</w:t>
            </w:r>
          </w:p>
        </w:tc>
        <w:tc>
          <w:tcPr>
            <w:tcW w:w="1843" w:type="dxa"/>
          </w:tcPr>
          <w:p w14:paraId="5D8F25C4" w14:textId="2C998DD8" w:rsidR="00B02873" w:rsidRDefault="002D1E4B" w:rsidP="00BE3CFB">
            <w:pPr>
              <w:pStyle w:val="TablebodyleftTables"/>
            </w:pPr>
            <w:r>
              <w:t>Performance target not achieved – exceeds 5 per cent variance.</w:t>
            </w:r>
          </w:p>
        </w:tc>
      </w:tr>
    </w:tbl>
    <w:p w14:paraId="17A8A29B" w14:textId="1767E136" w:rsidR="00BE3CFB" w:rsidRPr="002D1E4B" w:rsidRDefault="002D1E4B">
      <w:pPr>
        <w:rPr>
          <w:i/>
          <w:iCs/>
        </w:rPr>
      </w:pPr>
      <w:r w:rsidRPr="002D1E4B">
        <w:rPr>
          <w:i/>
          <w:iCs/>
        </w:rPr>
        <w:lastRenderedPageBreak/>
        <w:t>Performance is below target due to a significant number of environment effects statements and projects required to be examined under the Environment Effects Act 1978 combined with resourcing constraints.</w:t>
      </w:r>
    </w:p>
    <w:tbl>
      <w:tblPr>
        <w:tblStyle w:val="TableGrid"/>
        <w:tblW w:w="9776" w:type="dxa"/>
        <w:tblLayout w:type="fixed"/>
        <w:tblLook w:val="0020" w:firstRow="1" w:lastRow="0" w:firstColumn="0" w:lastColumn="0" w:noHBand="0" w:noVBand="0"/>
      </w:tblPr>
      <w:tblGrid>
        <w:gridCol w:w="3256"/>
        <w:gridCol w:w="1134"/>
        <w:gridCol w:w="992"/>
        <w:gridCol w:w="992"/>
        <w:gridCol w:w="1559"/>
        <w:gridCol w:w="1843"/>
      </w:tblGrid>
      <w:tr w:rsidR="002D1E4B" w:rsidRPr="00B02873" w14:paraId="1373EB09" w14:textId="77777777" w:rsidTr="00F0025B">
        <w:trPr>
          <w:cnfStyle w:val="100000000000" w:firstRow="1" w:lastRow="0" w:firstColumn="0" w:lastColumn="0" w:oddVBand="0" w:evenVBand="0" w:oddHBand="0" w:evenHBand="0" w:firstRowFirstColumn="0" w:firstRowLastColumn="0" w:lastRowFirstColumn="0" w:lastRowLastColumn="0"/>
          <w:tblHeader/>
        </w:trPr>
        <w:tc>
          <w:tcPr>
            <w:tcW w:w="3256" w:type="dxa"/>
          </w:tcPr>
          <w:p w14:paraId="5C657761" w14:textId="77777777" w:rsidR="002D1E4B" w:rsidRDefault="002D1E4B" w:rsidP="00F0025B">
            <w:pPr>
              <w:pStyle w:val="TableheadingleftTables"/>
            </w:pPr>
            <w:r>
              <w:t xml:space="preserve">Output performance measures </w:t>
            </w:r>
          </w:p>
        </w:tc>
        <w:tc>
          <w:tcPr>
            <w:tcW w:w="1134" w:type="dxa"/>
          </w:tcPr>
          <w:p w14:paraId="3BA1BB4D" w14:textId="77777777" w:rsidR="002D1E4B" w:rsidRDefault="002D1E4B" w:rsidP="00F0025B">
            <w:pPr>
              <w:pStyle w:val="TableheadingleftTables"/>
            </w:pPr>
            <w:r>
              <w:t>Unit of measure</w:t>
            </w:r>
          </w:p>
        </w:tc>
        <w:tc>
          <w:tcPr>
            <w:tcW w:w="992" w:type="dxa"/>
          </w:tcPr>
          <w:p w14:paraId="469B4480" w14:textId="77777777" w:rsidR="002D1E4B" w:rsidRDefault="002D1E4B" w:rsidP="00DE1159">
            <w:pPr>
              <w:pStyle w:val="TableheadingleftTables"/>
              <w:jc w:val="right"/>
            </w:pPr>
            <w:r>
              <w:t>2021-22 actual</w:t>
            </w:r>
          </w:p>
        </w:tc>
        <w:tc>
          <w:tcPr>
            <w:tcW w:w="992" w:type="dxa"/>
          </w:tcPr>
          <w:p w14:paraId="4D9FBFEF" w14:textId="77777777" w:rsidR="002D1E4B" w:rsidRDefault="002D1E4B" w:rsidP="00DE1159">
            <w:pPr>
              <w:pStyle w:val="TableheadingleftTables"/>
              <w:jc w:val="right"/>
            </w:pPr>
            <w:r>
              <w:t>2021-22 target</w:t>
            </w:r>
          </w:p>
        </w:tc>
        <w:tc>
          <w:tcPr>
            <w:tcW w:w="1559" w:type="dxa"/>
          </w:tcPr>
          <w:p w14:paraId="04932113" w14:textId="77777777" w:rsidR="002D1E4B" w:rsidRDefault="002D1E4B" w:rsidP="00DE1159">
            <w:pPr>
              <w:pStyle w:val="TableheadingleftTables"/>
              <w:jc w:val="right"/>
            </w:pPr>
            <w:r>
              <w:rPr>
                <w:spacing w:val="-3"/>
              </w:rPr>
              <w:t>Performance variation (%)</w:t>
            </w:r>
          </w:p>
        </w:tc>
        <w:tc>
          <w:tcPr>
            <w:tcW w:w="1843" w:type="dxa"/>
          </w:tcPr>
          <w:p w14:paraId="1B6882F0" w14:textId="77777777" w:rsidR="002D1E4B" w:rsidRDefault="002D1E4B" w:rsidP="00F0025B">
            <w:pPr>
              <w:pStyle w:val="TableheadingleftTables"/>
            </w:pPr>
            <w:r>
              <w:t>Result</w:t>
            </w:r>
          </w:p>
        </w:tc>
      </w:tr>
      <w:tr w:rsidR="00B02873" w:rsidRPr="00B02873" w14:paraId="26C453B8" w14:textId="77777777" w:rsidTr="00BE3CFB">
        <w:tc>
          <w:tcPr>
            <w:tcW w:w="3256" w:type="dxa"/>
          </w:tcPr>
          <w:p w14:paraId="2DAFA058" w14:textId="77777777" w:rsidR="00B02873" w:rsidRDefault="00B02873" w:rsidP="00B415A9">
            <w:pPr>
              <w:pStyle w:val="TablebodyleftTables"/>
            </w:pPr>
            <w:r>
              <w:t>Proportion of planning applications that proceed through the VicSmart process within 10 days</w:t>
            </w:r>
          </w:p>
        </w:tc>
        <w:tc>
          <w:tcPr>
            <w:tcW w:w="1134" w:type="dxa"/>
          </w:tcPr>
          <w:p w14:paraId="45A7228A" w14:textId="77777777" w:rsidR="00B02873" w:rsidRDefault="00B02873" w:rsidP="00BE3CFB">
            <w:pPr>
              <w:pStyle w:val="TablebodyleftTables"/>
            </w:pPr>
            <w:r>
              <w:t>per cent</w:t>
            </w:r>
          </w:p>
        </w:tc>
        <w:tc>
          <w:tcPr>
            <w:tcW w:w="992" w:type="dxa"/>
          </w:tcPr>
          <w:p w14:paraId="37E4E86B" w14:textId="77777777" w:rsidR="00B02873" w:rsidRDefault="00B02873" w:rsidP="00DE1159">
            <w:pPr>
              <w:pStyle w:val="TablebodyleftTables"/>
              <w:jc w:val="right"/>
            </w:pPr>
            <w:r>
              <w:t>15</w:t>
            </w:r>
          </w:p>
        </w:tc>
        <w:tc>
          <w:tcPr>
            <w:tcW w:w="992" w:type="dxa"/>
          </w:tcPr>
          <w:p w14:paraId="63B51401" w14:textId="77777777" w:rsidR="00B02873" w:rsidRDefault="00B02873" w:rsidP="00DE1159">
            <w:pPr>
              <w:pStyle w:val="TablebodyleftTables"/>
              <w:jc w:val="right"/>
            </w:pPr>
            <w:r>
              <w:t>16</w:t>
            </w:r>
          </w:p>
        </w:tc>
        <w:tc>
          <w:tcPr>
            <w:tcW w:w="1559" w:type="dxa"/>
          </w:tcPr>
          <w:p w14:paraId="34CD60FA" w14:textId="77777777" w:rsidR="00B02873" w:rsidRDefault="00B02873" w:rsidP="00DE1159">
            <w:pPr>
              <w:pStyle w:val="TablebodyleftTables"/>
              <w:jc w:val="right"/>
            </w:pPr>
            <w:r>
              <w:t>(6%)</w:t>
            </w:r>
          </w:p>
        </w:tc>
        <w:tc>
          <w:tcPr>
            <w:tcW w:w="1843" w:type="dxa"/>
          </w:tcPr>
          <w:p w14:paraId="460E1EE7" w14:textId="5B87D37B" w:rsidR="00B02873" w:rsidRDefault="002D1E4B" w:rsidP="00BE3CFB">
            <w:pPr>
              <w:pStyle w:val="TablebodyleftTables"/>
            </w:pPr>
            <w:r>
              <w:t>Performance target not achieved – exceeds 5 per cent variance.</w:t>
            </w:r>
          </w:p>
        </w:tc>
      </w:tr>
    </w:tbl>
    <w:p w14:paraId="3B72C6E3" w14:textId="5A6CDF60" w:rsidR="00BE3CFB" w:rsidRPr="002D1E4B" w:rsidRDefault="002D1E4B">
      <w:pPr>
        <w:rPr>
          <w:i/>
          <w:iCs/>
        </w:rPr>
      </w:pPr>
      <w:r w:rsidRPr="002D1E4B">
        <w:rPr>
          <w:i/>
          <w:iCs/>
        </w:rPr>
        <w:t>Performance is below target due to staff resourcing challenges faced by responsible authorities located in rural and regional Victoria.</w:t>
      </w:r>
    </w:p>
    <w:tbl>
      <w:tblPr>
        <w:tblStyle w:val="TableGrid"/>
        <w:tblW w:w="9776" w:type="dxa"/>
        <w:tblLayout w:type="fixed"/>
        <w:tblLook w:val="0020" w:firstRow="1" w:lastRow="0" w:firstColumn="0" w:lastColumn="0" w:noHBand="0" w:noVBand="0"/>
      </w:tblPr>
      <w:tblGrid>
        <w:gridCol w:w="3256"/>
        <w:gridCol w:w="1134"/>
        <w:gridCol w:w="992"/>
        <w:gridCol w:w="992"/>
        <w:gridCol w:w="1559"/>
        <w:gridCol w:w="1843"/>
      </w:tblGrid>
      <w:tr w:rsidR="002D1E4B" w:rsidRPr="00B02873" w14:paraId="3136CFD1" w14:textId="77777777" w:rsidTr="00F0025B">
        <w:trPr>
          <w:cnfStyle w:val="100000000000" w:firstRow="1" w:lastRow="0" w:firstColumn="0" w:lastColumn="0" w:oddVBand="0" w:evenVBand="0" w:oddHBand="0" w:evenHBand="0" w:firstRowFirstColumn="0" w:firstRowLastColumn="0" w:lastRowFirstColumn="0" w:lastRowLastColumn="0"/>
          <w:tblHeader/>
        </w:trPr>
        <w:tc>
          <w:tcPr>
            <w:tcW w:w="3256" w:type="dxa"/>
          </w:tcPr>
          <w:p w14:paraId="610C746F" w14:textId="77777777" w:rsidR="002D1E4B" w:rsidRDefault="002D1E4B" w:rsidP="00F0025B">
            <w:pPr>
              <w:pStyle w:val="TableheadingleftTables"/>
            </w:pPr>
            <w:r>
              <w:t xml:space="preserve">Output performance measures </w:t>
            </w:r>
          </w:p>
        </w:tc>
        <w:tc>
          <w:tcPr>
            <w:tcW w:w="1134" w:type="dxa"/>
          </w:tcPr>
          <w:p w14:paraId="35DBC10F" w14:textId="77777777" w:rsidR="002D1E4B" w:rsidRDefault="002D1E4B" w:rsidP="00F0025B">
            <w:pPr>
              <w:pStyle w:val="TableheadingleftTables"/>
            </w:pPr>
            <w:r>
              <w:t>Unit of measure</w:t>
            </w:r>
          </w:p>
        </w:tc>
        <w:tc>
          <w:tcPr>
            <w:tcW w:w="992" w:type="dxa"/>
          </w:tcPr>
          <w:p w14:paraId="4A8A2428" w14:textId="77777777" w:rsidR="002D1E4B" w:rsidRDefault="002D1E4B" w:rsidP="00DE1159">
            <w:pPr>
              <w:pStyle w:val="TableheadingleftTables"/>
              <w:jc w:val="right"/>
            </w:pPr>
            <w:r>
              <w:t>2021-22 actual</w:t>
            </w:r>
          </w:p>
        </w:tc>
        <w:tc>
          <w:tcPr>
            <w:tcW w:w="992" w:type="dxa"/>
          </w:tcPr>
          <w:p w14:paraId="3099E5DA" w14:textId="77777777" w:rsidR="002D1E4B" w:rsidRDefault="002D1E4B" w:rsidP="00DE1159">
            <w:pPr>
              <w:pStyle w:val="TableheadingleftTables"/>
              <w:jc w:val="right"/>
            </w:pPr>
            <w:r>
              <w:t>2021-22 target</w:t>
            </w:r>
          </w:p>
        </w:tc>
        <w:tc>
          <w:tcPr>
            <w:tcW w:w="1559" w:type="dxa"/>
          </w:tcPr>
          <w:p w14:paraId="1B13B570" w14:textId="77777777" w:rsidR="002D1E4B" w:rsidRDefault="002D1E4B" w:rsidP="00DE1159">
            <w:pPr>
              <w:pStyle w:val="TableheadingleftTables"/>
              <w:jc w:val="right"/>
            </w:pPr>
            <w:r>
              <w:rPr>
                <w:spacing w:val="-3"/>
              </w:rPr>
              <w:t>Performance variation (%)</w:t>
            </w:r>
          </w:p>
        </w:tc>
        <w:tc>
          <w:tcPr>
            <w:tcW w:w="1843" w:type="dxa"/>
          </w:tcPr>
          <w:p w14:paraId="5E2449F9" w14:textId="77777777" w:rsidR="002D1E4B" w:rsidRDefault="002D1E4B" w:rsidP="00F0025B">
            <w:pPr>
              <w:pStyle w:val="TableheadingleftTables"/>
            </w:pPr>
            <w:r>
              <w:t>Result</w:t>
            </w:r>
          </w:p>
        </w:tc>
      </w:tr>
      <w:tr w:rsidR="00B02873" w:rsidRPr="00B02873" w14:paraId="797444B2" w14:textId="77777777" w:rsidTr="00BE3CFB">
        <w:tc>
          <w:tcPr>
            <w:tcW w:w="3256" w:type="dxa"/>
          </w:tcPr>
          <w:p w14:paraId="2636A538" w14:textId="77777777" w:rsidR="00B02873" w:rsidRDefault="00B02873" w:rsidP="00B415A9">
            <w:pPr>
              <w:pStyle w:val="TablebodyleftTables"/>
            </w:pPr>
            <w:r>
              <w:t>Planning Scheme Amendments that are correct upon submission for approval</w:t>
            </w:r>
          </w:p>
        </w:tc>
        <w:tc>
          <w:tcPr>
            <w:tcW w:w="1134" w:type="dxa"/>
          </w:tcPr>
          <w:p w14:paraId="196D2CA3" w14:textId="77777777" w:rsidR="00B02873" w:rsidRDefault="00B02873" w:rsidP="00BE3CFB">
            <w:pPr>
              <w:pStyle w:val="TablebodyleftTables"/>
            </w:pPr>
            <w:r>
              <w:t>per cent</w:t>
            </w:r>
          </w:p>
        </w:tc>
        <w:tc>
          <w:tcPr>
            <w:tcW w:w="992" w:type="dxa"/>
          </w:tcPr>
          <w:p w14:paraId="0C563426" w14:textId="77777777" w:rsidR="00B02873" w:rsidRDefault="00B02873" w:rsidP="00DE1159">
            <w:pPr>
              <w:pStyle w:val="TablebodyleftTables"/>
              <w:jc w:val="right"/>
            </w:pPr>
            <w:r>
              <w:t>71</w:t>
            </w:r>
          </w:p>
        </w:tc>
        <w:tc>
          <w:tcPr>
            <w:tcW w:w="992" w:type="dxa"/>
          </w:tcPr>
          <w:p w14:paraId="621B3B7E" w14:textId="77777777" w:rsidR="00B02873" w:rsidRDefault="00B02873" w:rsidP="00DE1159">
            <w:pPr>
              <w:pStyle w:val="TablebodyleftTables"/>
              <w:jc w:val="right"/>
            </w:pPr>
            <w:r>
              <w:t>80</w:t>
            </w:r>
          </w:p>
        </w:tc>
        <w:tc>
          <w:tcPr>
            <w:tcW w:w="1559" w:type="dxa"/>
          </w:tcPr>
          <w:p w14:paraId="49C638A0" w14:textId="77777777" w:rsidR="00B02873" w:rsidRDefault="00B02873" w:rsidP="00DE1159">
            <w:pPr>
              <w:pStyle w:val="TablebodyleftTables"/>
              <w:jc w:val="right"/>
            </w:pPr>
            <w:r>
              <w:t>(11%)</w:t>
            </w:r>
          </w:p>
        </w:tc>
        <w:tc>
          <w:tcPr>
            <w:tcW w:w="1843" w:type="dxa"/>
          </w:tcPr>
          <w:p w14:paraId="54772286" w14:textId="5E7417F4" w:rsidR="00B02873" w:rsidRDefault="002D1E4B" w:rsidP="00BE3CFB">
            <w:pPr>
              <w:pStyle w:val="TablebodyleftTables"/>
            </w:pPr>
            <w:r>
              <w:t>Performance target not achieved – exceeds 5 per cent variance.</w:t>
            </w:r>
          </w:p>
        </w:tc>
      </w:tr>
    </w:tbl>
    <w:p w14:paraId="3D44BD3E" w14:textId="3A481F8D" w:rsidR="00BE3CFB" w:rsidRPr="002D1E4B" w:rsidRDefault="002D1E4B">
      <w:pPr>
        <w:rPr>
          <w:i/>
          <w:iCs/>
        </w:rPr>
      </w:pPr>
      <w:r w:rsidRPr="002D1E4B">
        <w:rPr>
          <w:i/>
          <w:iCs/>
        </w:rPr>
        <w:t>Performance is below target due to staff turnover within some councils resulting in gaps in institutional knowledge that has reduced the accuracy of planning scheme amendment content.</w:t>
      </w:r>
    </w:p>
    <w:tbl>
      <w:tblPr>
        <w:tblStyle w:val="TableGrid"/>
        <w:tblW w:w="9776" w:type="dxa"/>
        <w:tblLayout w:type="fixed"/>
        <w:tblLook w:val="0020" w:firstRow="1" w:lastRow="0" w:firstColumn="0" w:lastColumn="0" w:noHBand="0" w:noVBand="0"/>
      </w:tblPr>
      <w:tblGrid>
        <w:gridCol w:w="3256"/>
        <w:gridCol w:w="1134"/>
        <w:gridCol w:w="992"/>
        <w:gridCol w:w="992"/>
        <w:gridCol w:w="1559"/>
        <w:gridCol w:w="1843"/>
      </w:tblGrid>
      <w:tr w:rsidR="002D1E4B" w:rsidRPr="00B02873" w14:paraId="56182B44" w14:textId="77777777" w:rsidTr="00F0025B">
        <w:trPr>
          <w:cnfStyle w:val="100000000000" w:firstRow="1" w:lastRow="0" w:firstColumn="0" w:lastColumn="0" w:oddVBand="0" w:evenVBand="0" w:oddHBand="0" w:evenHBand="0" w:firstRowFirstColumn="0" w:firstRowLastColumn="0" w:lastRowFirstColumn="0" w:lastRowLastColumn="0"/>
          <w:tblHeader/>
        </w:trPr>
        <w:tc>
          <w:tcPr>
            <w:tcW w:w="3256" w:type="dxa"/>
          </w:tcPr>
          <w:p w14:paraId="1ECF5028" w14:textId="77777777" w:rsidR="002D1E4B" w:rsidRDefault="002D1E4B" w:rsidP="00F0025B">
            <w:pPr>
              <w:pStyle w:val="TableheadingleftTables"/>
            </w:pPr>
            <w:r>
              <w:t xml:space="preserve">Output performance measures </w:t>
            </w:r>
          </w:p>
        </w:tc>
        <w:tc>
          <w:tcPr>
            <w:tcW w:w="1134" w:type="dxa"/>
          </w:tcPr>
          <w:p w14:paraId="1242D019" w14:textId="77777777" w:rsidR="002D1E4B" w:rsidRDefault="002D1E4B" w:rsidP="00F0025B">
            <w:pPr>
              <w:pStyle w:val="TableheadingleftTables"/>
            </w:pPr>
            <w:r>
              <w:t>Unit of measure</w:t>
            </w:r>
          </w:p>
        </w:tc>
        <w:tc>
          <w:tcPr>
            <w:tcW w:w="992" w:type="dxa"/>
          </w:tcPr>
          <w:p w14:paraId="28360016" w14:textId="77777777" w:rsidR="002D1E4B" w:rsidRDefault="002D1E4B" w:rsidP="00DE1159">
            <w:pPr>
              <w:pStyle w:val="TableheadingleftTables"/>
              <w:jc w:val="right"/>
            </w:pPr>
            <w:r>
              <w:t>2021-22 actual</w:t>
            </w:r>
          </w:p>
        </w:tc>
        <w:tc>
          <w:tcPr>
            <w:tcW w:w="992" w:type="dxa"/>
          </w:tcPr>
          <w:p w14:paraId="3AAE1DE4" w14:textId="77777777" w:rsidR="002D1E4B" w:rsidRDefault="002D1E4B" w:rsidP="00DE1159">
            <w:pPr>
              <w:pStyle w:val="TableheadingleftTables"/>
              <w:jc w:val="right"/>
            </w:pPr>
            <w:r>
              <w:t>2021-22 target</w:t>
            </w:r>
          </w:p>
        </w:tc>
        <w:tc>
          <w:tcPr>
            <w:tcW w:w="1559" w:type="dxa"/>
          </w:tcPr>
          <w:p w14:paraId="44BD7BC2" w14:textId="77777777" w:rsidR="002D1E4B" w:rsidRDefault="002D1E4B" w:rsidP="00DE1159">
            <w:pPr>
              <w:pStyle w:val="TableheadingleftTables"/>
              <w:jc w:val="right"/>
            </w:pPr>
            <w:r>
              <w:rPr>
                <w:spacing w:val="-3"/>
              </w:rPr>
              <w:t>Performance variation (%)</w:t>
            </w:r>
          </w:p>
        </w:tc>
        <w:tc>
          <w:tcPr>
            <w:tcW w:w="1843" w:type="dxa"/>
          </w:tcPr>
          <w:p w14:paraId="3441A9B4" w14:textId="77777777" w:rsidR="002D1E4B" w:rsidRDefault="002D1E4B" w:rsidP="00F0025B">
            <w:pPr>
              <w:pStyle w:val="TableheadingleftTables"/>
            </w:pPr>
            <w:r>
              <w:t>Result</w:t>
            </w:r>
          </w:p>
        </w:tc>
      </w:tr>
      <w:tr w:rsidR="00B02873" w:rsidRPr="00B02873" w14:paraId="4A12B6A7" w14:textId="77777777" w:rsidTr="00BE3CFB">
        <w:tc>
          <w:tcPr>
            <w:tcW w:w="3256" w:type="dxa"/>
          </w:tcPr>
          <w:p w14:paraId="678873CD" w14:textId="77777777" w:rsidR="00B02873" w:rsidRDefault="00B02873" w:rsidP="00B415A9">
            <w:pPr>
              <w:pStyle w:val="TableheadingleftTables"/>
            </w:pPr>
            <w:r>
              <w:t>Timeliness</w:t>
            </w:r>
          </w:p>
        </w:tc>
        <w:tc>
          <w:tcPr>
            <w:tcW w:w="1134" w:type="dxa"/>
          </w:tcPr>
          <w:p w14:paraId="78CF6838" w14:textId="77777777" w:rsidR="00B02873" w:rsidRPr="00B02873" w:rsidRDefault="00B02873" w:rsidP="00B415A9">
            <w:pPr>
              <w:pStyle w:val="NoParagraphStyle"/>
              <w:spacing w:line="240" w:lineRule="auto"/>
              <w:textAlignment w:val="auto"/>
              <w:rPr>
                <w:rFonts w:ascii="Apple Symbols Regular" w:hAnsi="Apple Symbols Regular" w:cs="Times New Roman"/>
                <w:color w:val="auto"/>
                <w:lang w:val="en-AU"/>
              </w:rPr>
            </w:pPr>
          </w:p>
        </w:tc>
        <w:tc>
          <w:tcPr>
            <w:tcW w:w="992" w:type="dxa"/>
          </w:tcPr>
          <w:p w14:paraId="47DE2A00" w14:textId="77777777" w:rsidR="00B02873" w:rsidRPr="00B02873" w:rsidRDefault="00B02873" w:rsidP="00DE1159">
            <w:pPr>
              <w:pStyle w:val="NoParagraphStyle"/>
              <w:spacing w:line="240" w:lineRule="auto"/>
              <w:jc w:val="right"/>
              <w:textAlignment w:val="auto"/>
              <w:rPr>
                <w:rFonts w:ascii="Apple Symbols Regular" w:hAnsi="Apple Symbols Regular" w:cs="Times New Roman"/>
                <w:color w:val="auto"/>
                <w:lang w:val="en-AU"/>
              </w:rPr>
            </w:pPr>
          </w:p>
        </w:tc>
        <w:tc>
          <w:tcPr>
            <w:tcW w:w="992" w:type="dxa"/>
          </w:tcPr>
          <w:p w14:paraId="30FE0D01" w14:textId="77777777" w:rsidR="00B02873" w:rsidRPr="00B02873" w:rsidRDefault="00B02873" w:rsidP="00DE1159">
            <w:pPr>
              <w:pStyle w:val="NoParagraphStyle"/>
              <w:spacing w:line="240" w:lineRule="auto"/>
              <w:jc w:val="right"/>
              <w:textAlignment w:val="auto"/>
              <w:rPr>
                <w:rFonts w:ascii="Apple Symbols Regular" w:hAnsi="Apple Symbols Regular" w:cs="Times New Roman"/>
                <w:color w:val="auto"/>
                <w:lang w:val="en-AU"/>
              </w:rPr>
            </w:pPr>
          </w:p>
        </w:tc>
        <w:tc>
          <w:tcPr>
            <w:tcW w:w="1559" w:type="dxa"/>
          </w:tcPr>
          <w:p w14:paraId="1D45B263" w14:textId="77777777" w:rsidR="00B02873" w:rsidRPr="00B02873" w:rsidRDefault="00B02873" w:rsidP="00DE1159">
            <w:pPr>
              <w:pStyle w:val="NoParagraphStyle"/>
              <w:spacing w:line="240" w:lineRule="auto"/>
              <w:jc w:val="right"/>
              <w:textAlignment w:val="auto"/>
              <w:rPr>
                <w:rFonts w:ascii="Apple Symbols Regular" w:hAnsi="Apple Symbols Regular" w:cs="Times New Roman"/>
                <w:color w:val="auto"/>
                <w:lang w:val="en-AU"/>
              </w:rPr>
            </w:pPr>
          </w:p>
        </w:tc>
        <w:tc>
          <w:tcPr>
            <w:tcW w:w="1843" w:type="dxa"/>
          </w:tcPr>
          <w:p w14:paraId="15D93D56" w14:textId="77777777" w:rsidR="00B02873" w:rsidRPr="00B02873" w:rsidRDefault="00B02873" w:rsidP="00B415A9">
            <w:pPr>
              <w:pStyle w:val="NoParagraphStyle"/>
              <w:spacing w:line="240" w:lineRule="auto"/>
              <w:textAlignment w:val="auto"/>
              <w:rPr>
                <w:rFonts w:ascii="Apple Symbols Regular" w:hAnsi="Apple Symbols Regular" w:cs="Times New Roman"/>
                <w:color w:val="auto"/>
                <w:lang w:val="en-AU"/>
              </w:rPr>
            </w:pPr>
          </w:p>
        </w:tc>
      </w:tr>
      <w:tr w:rsidR="00B02873" w:rsidRPr="00B02873" w14:paraId="103AF3CF" w14:textId="77777777" w:rsidTr="00BE3CFB">
        <w:tc>
          <w:tcPr>
            <w:tcW w:w="3256" w:type="dxa"/>
          </w:tcPr>
          <w:p w14:paraId="4AF5F72A" w14:textId="77777777" w:rsidR="00B02873" w:rsidRDefault="00B02873" w:rsidP="00B415A9">
            <w:pPr>
              <w:pStyle w:val="TablebodyleftTables"/>
            </w:pPr>
            <w:r>
              <w:t>Average number of days to issue an archaeological consent</w:t>
            </w:r>
          </w:p>
        </w:tc>
        <w:tc>
          <w:tcPr>
            <w:tcW w:w="1134" w:type="dxa"/>
          </w:tcPr>
          <w:p w14:paraId="5917DF92" w14:textId="77777777" w:rsidR="00B02873" w:rsidRDefault="00B02873" w:rsidP="00BE3CFB">
            <w:pPr>
              <w:pStyle w:val="TablebodyleftTables"/>
            </w:pPr>
            <w:r>
              <w:t>days</w:t>
            </w:r>
          </w:p>
        </w:tc>
        <w:tc>
          <w:tcPr>
            <w:tcW w:w="992" w:type="dxa"/>
          </w:tcPr>
          <w:p w14:paraId="03E8D1AA" w14:textId="77777777" w:rsidR="00B02873" w:rsidRDefault="00B02873" w:rsidP="00DE1159">
            <w:pPr>
              <w:pStyle w:val="TablebodyleftTables"/>
              <w:jc w:val="right"/>
            </w:pPr>
            <w:r>
              <w:t>19</w:t>
            </w:r>
          </w:p>
        </w:tc>
        <w:tc>
          <w:tcPr>
            <w:tcW w:w="992" w:type="dxa"/>
          </w:tcPr>
          <w:p w14:paraId="15C01045" w14:textId="77777777" w:rsidR="00B02873" w:rsidRDefault="00B02873" w:rsidP="00DE1159">
            <w:pPr>
              <w:pStyle w:val="TablebodyleftTables"/>
              <w:jc w:val="right"/>
            </w:pPr>
            <w:r>
              <w:t>20</w:t>
            </w:r>
          </w:p>
        </w:tc>
        <w:tc>
          <w:tcPr>
            <w:tcW w:w="1559" w:type="dxa"/>
          </w:tcPr>
          <w:p w14:paraId="043CF2AC" w14:textId="77777777" w:rsidR="00B02873" w:rsidRDefault="00B02873" w:rsidP="00DE1159">
            <w:pPr>
              <w:pStyle w:val="TablebodyleftTables"/>
              <w:jc w:val="right"/>
            </w:pPr>
            <w:r>
              <w:t>5%</w:t>
            </w:r>
          </w:p>
        </w:tc>
        <w:tc>
          <w:tcPr>
            <w:tcW w:w="1843" w:type="dxa"/>
          </w:tcPr>
          <w:p w14:paraId="31366E87" w14:textId="6A19E55F" w:rsidR="00B02873" w:rsidRDefault="002D1E4B" w:rsidP="00BE3CFB">
            <w:pPr>
              <w:pStyle w:val="TablebodyleftTables"/>
            </w:pPr>
            <w:r>
              <w:t>Performance target achieved or exceeded.</w:t>
            </w:r>
          </w:p>
        </w:tc>
      </w:tr>
    </w:tbl>
    <w:p w14:paraId="111CD801" w14:textId="1AC345D2" w:rsidR="00BE3CFB" w:rsidRPr="002D1E4B" w:rsidRDefault="002D1E4B">
      <w:pPr>
        <w:rPr>
          <w:i/>
          <w:iCs/>
        </w:rPr>
      </w:pPr>
      <w:r w:rsidRPr="002D1E4B">
        <w:rPr>
          <w:i/>
          <w:iCs/>
        </w:rPr>
        <w:t>Performance is above target reflecting a high number of consents for minor works such as geotechnical testing that are more straight-forward to process than standard consents.</w:t>
      </w:r>
    </w:p>
    <w:tbl>
      <w:tblPr>
        <w:tblStyle w:val="TableGrid"/>
        <w:tblW w:w="9776" w:type="dxa"/>
        <w:tblLayout w:type="fixed"/>
        <w:tblLook w:val="0020" w:firstRow="1" w:lastRow="0" w:firstColumn="0" w:lastColumn="0" w:noHBand="0" w:noVBand="0"/>
      </w:tblPr>
      <w:tblGrid>
        <w:gridCol w:w="3256"/>
        <w:gridCol w:w="1134"/>
        <w:gridCol w:w="992"/>
        <w:gridCol w:w="992"/>
        <w:gridCol w:w="1559"/>
        <w:gridCol w:w="1843"/>
      </w:tblGrid>
      <w:tr w:rsidR="002D1E4B" w:rsidRPr="00B02873" w14:paraId="3A2F238D" w14:textId="77777777" w:rsidTr="00F0025B">
        <w:trPr>
          <w:cnfStyle w:val="100000000000" w:firstRow="1" w:lastRow="0" w:firstColumn="0" w:lastColumn="0" w:oddVBand="0" w:evenVBand="0" w:oddHBand="0" w:evenHBand="0" w:firstRowFirstColumn="0" w:firstRowLastColumn="0" w:lastRowFirstColumn="0" w:lastRowLastColumn="0"/>
          <w:tblHeader/>
        </w:trPr>
        <w:tc>
          <w:tcPr>
            <w:tcW w:w="3256" w:type="dxa"/>
          </w:tcPr>
          <w:p w14:paraId="7840B77A" w14:textId="77777777" w:rsidR="002D1E4B" w:rsidRDefault="002D1E4B" w:rsidP="00F0025B">
            <w:pPr>
              <w:pStyle w:val="TableheadingleftTables"/>
            </w:pPr>
            <w:r>
              <w:t xml:space="preserve">Output performance measures </w:t>
            </w:r>
          </w:p>
        </w:tc>
        <w:tc>
          <w:tcPr>
            <w:tcW w:w="1134" w:type="dxa"/>
          </w:tcPr>
          <w:p w14:paraId="65CBB31D" w14:textId="77777777" w:rsidR="002D1E4B" w:rsidRDefault="002D1E4B" w:rsidP="00F0025B">
            <w:pPr>
              <w:pStyle w:val="TableheadingleftTables"/>
            </w:pPr>
            <w:r>
              <w:t>Unit of measure</w:t>
            </w:r>
          </w:p>
        </w:tc>
        <w:tc>
          <w:tcPr>
            <w:tcW w:w="992" w:type="dxa"/>
          </w:tcPr>
          <w:p w14:paraId="52A339AC" w14:textId="77777777" w:rsidR="002D1E4B" w:rsidRDefault="002D1E4B" w:rsidP="00DE1159">
            <w:pPr>
              <w:pStyle w:val="TableheadingleftTables"/>
              <w:jc w:val="right"/>
            </w:pPr>
            <w:r>
              <w:t>2021-22 actual</w:t>
            </w:r>
          </w:p>
        </w:tc>
        <w:tc>
          <w:tcPr>
            <w:tcW w:w="992" w:type="dxa"/>
          </w:tcPr>
          <w:p w14:paraId="5AE86907" w14:textId="77777777" w:rsidR="002D1E4B" w:rsidRDefault="002D1E4B" w:rsidP="00DE1159">
            <w:pPr>
              <w:pStyle w:val="TableheadingleftTables"/>
              <w:jc w:val="right"/>
            </w:pPr>
            <w:r>
              <w:t>2021-22 target</w:t>
            </w:r>
          </w:p>
        </w:tc>
        <w:tc>
          <w:tcPr>
            <w:tcW w:w="1559" w:type="dxa"/>
          </w:tcPr>
          <w:p w14:paraId="211220D0" w14:textId="77777777" w:rsidR="002D1E4B" w:rsidRDefault="002D1E4B" w:rsidP="00DE1159">
            <w:pPr>
              <w:pStyle w:val="TableheadingleftTables"/>
              <w:jc w:val="right"/>
            </w:pPr>
            <w:r>
              <w:rPr>
                <w:spacing w:val="-3"/>
              </w:rPr>
              <w:t>Performance variation (%)</w:t>
            </w:r>
          </w:p>
        </w:tc>
        <w:tc>
          <w:tcPr>
            <w:tcW w:w="1843" w:type="dxa"/>
          </w:tcPr>
          <w:p w14:paraId="4F819B49" w14:textId="77777777" w:rsidR="002D1E4B" w:rsidRDefault="002D1E4B" w:rsidP="00F0025B">
            <w:pPr>
              <w:pStyle w:val="TableheadingleftTables"/>
            </w:pPr>
            <w:r>
              <w:t>Result</w:t>
            </w:r>
          </w:p>
        </w:tc>
      </w:tr>
      <w:tr w:rsidR="00B02873" w:rsidRPr="00B02873" w14:paraId="66733C7D" w14:textId="77777777" w:rsidTr="00BE3CFB">
        <w:tc>
          <w:tcPr>
            <w:tcW w:w="3256" w:type="dxa"/>
          </w:tcPr>
          <w:p w14:paraId="604A838F" w14:textId="77777777" w:rsidR="00B02873" w:rsidRDefault="00B02873" w:rsidP="00B415A9">
            <w:pPr>
              <w:pStyle w:val="TablebodyleftTables"/>
            </w:pPr>
            <w:r>
              <w:t>Average number of days to issue heritage certificates</w:t>
            </w:r>
          </w:p>
        </w:tc>
        <w:tc>
          <w:tcPr>
            <w:tcW w:w="1134" w:type="dxa"/>
          </w:tcPr>
          <w:p w14:paraId="25A6018F" w14:textId="77777777" w:rsidR="00B02873" w:rsidRDefault="00B02873" w:rsidP="00BE3CFB">
            <w:pPr>
              <w:pStyle w:val="TablebodyleftTables"/>
            </w:pPr>
            <w:r>
              <w:t>days</w:t>
            </w:r>
          </w:p>
        </w:tc>
        <w:tc>
          <w:tcPr>
            <w:tcW w:w="992" w:type="dxa"/>
          </w:tcPr>
          <w:p w14:paraId="6C96810C" w14:textId="77777777" w:rsidR="00B02873" w:rsidRDefault="00B02873" w:rsidP="00DE1159">
            <w:pPr>
              <w:pStyle w:val="TablebodyleftTables"/>
              <w:jc w:val="right"/>
            </w:pPr>
            <w:r>
              <w:t>7</w:t>
            </w:r>
          </w:p>
        </w:tc>
        <w:tc>
          <w:tcPr>
            <w:tcW w:w="992" w:type="dxa"/>
          </w:tcPr>
          <w:p w14:paraId="64E188BE" w14:textId="77777777" w:rsidR="00B02873" w:rsidRDefault="00B02873" w:rsidP="00DE1159">
            <w:pPr>
              <w:pStyle w:val="TablebodyleftTables"/>
              <w:jc w:val="right"/>
            </w:pPr>
            <w:r>
              <w:t>7</w:t>
            </w:r>
          </w:p>
        </w:tc>
        <w:tc>
          <w:tcPr>
            <w:tcW w:w="1559" w:type="dxa"/>
          </w:tcPr>
          <w:p w14:paraId="3B47C3B4" w14:textId="77777777" w:rsidR="00B02873" w:rsidRDefault="00B02873" w:rsidP="00DE1159">
            <w:pPr>
              <w:pStyle w:val="TablebodyleftTables"/>
              <w:jc w:val="right"/>
            </w:pPr>
            <w:r>
              <w:t>0%</w:t>
            </w:r>
          </w:p>
        </w:tc>
        <w:tc>
          <w:tcPr>
            <w:tcW w:w="1843" w:type="dxa"/>
          </w:tcPr>
          <w:p w14:paraId="4B2BB2B2" w14:textId="0C8F220C" w:rsidR="00B02873" w:rsidRDefault="002D1E4B" w:rsidP="00BE3CFB">
            <w:pPr>
              <w:pStyle w:val="TablebodyleftTables"/>
            </w:pPr>
            <w:r>
              <w:t>Performance target achieved or exceeded.</w:t>
            </w:r>
          </w:p>
        </w:tc>
      </w:tr>
      <w:tr w:rsidR="00B02873" w:rsidRPr="00B02873" w14:paraId="2A943242" w14:textId="77777777" w:rsidTr="00BE3CFB">
        <w:tc>
          <w:tcPr>
            <w:tcW w:w="3256" w:type="dxa"/>
          </w:tcPr>
          <w:p w14:paraId="6DE481D7" w14:textId="77777777" w:rsidR="00B02873" w:rsidRDefault="00B02873" w:rsidP="00B415A9">
            <w:pPr>
              <w:pStyle w:val="TablebodyleftTables"/>
            </w:pPr>
            <w:r>
              <w:t>Heritage permits issued within initial 60 day statutory timeframes</w:t>
            </w:r>
          </w:p>
        </w:tc>
        <w:tc>
          <w:tcPr>
            <w:tcW w:w="1134" w:type="dxa"/>
          </w:tcPr>
          <w:p w14:paraId="72560DAA" w14:textId="77777777" w:rsidR="00B02873" w:rsidRDefault="00B02873" w:rsidP="00BE3CFB">
            <w:pPr>
              <w:pStyle w:val="TablebodyleftTables"/>
            </w:pPr>
            <w:r>
              <w:t>per cent</w:t>
            </w:r>
          </w:p>
        </w:tc>
        <w:tc>
          <w:tcPr>
            <w:tcW w:w="992" w:type="dxa"/>
          </w:tcPr>
          <w:p w14:paraId="6A5716A3" w14:textId="77777777" w:rsidR="00B02873" w:rsidRDefault="00B02873" w:rsidP="00DE1159">
            <w:pPr>
              <w:pStyle w:val="TablebodyleftTables"/>
              <w:jc w:val="right"/>
            </w:pPr>
            <w:r>
              <w:t>89</w:t>
            </w:r>
          </w:p>
        </w:tc>
        <w:tc>
          <w:tcPr>
            <w:tcW w:w="992" w:type="dxa"/>
          </w:tcPr>
          <w:p w14:paraId="2A0C4A00" w14:textId="77777777" w:rsidR="00B02873" w:rsidRDefault="00B02873" w:rsidP="00DE1159">
            <w:pPr>
              <w:pStyle w:val="TablebodyleftTables"/>
              <w:jc w:val="right"/>
            </w:pPr>
            <w:r>
              <w:t>90</w:t>
            </w:r>
          </w:p>
        </w:tc>
        <w:tc>
          <w:tcPr>
            <w:tcW w:w="1559" w:type="dxa"/>
          </w:tcPr>
          <w:p w14:paraId="347FB339" w14:textId="77777777" w:rsidR="00B02873" w:rsidRDefault="00B02873" w:rsidP="00DE1159">
            <w:pPr>
              <w:pStyle w:val="TablebodyleftTables"/>
              <w:jc w:val="right"/>
            </w:pPr>
            <w:r>
              <w:t>(1%)</w:t>
            </w:r>
          </w:p>
        </w:tc>
        <w:tc>
          <w:tcPr>
            <w:tcW w:w="1843" w:type="dxa"/>
          </w:tcPr>
          <w:p w14:paraId="220B67A7" w14:textId="67976143" w:rsidR="00B02873" w:rsidRDefault="002D1E4B" w:rsidP="00BE3CFB">
            <w:pPr>
              <w:pStyle w:val="TablebodyleftTables"/>
            </w:pPr>
            <w:r>
              <w:t>Performance target not achieved – within 5 per cent variance.</w:t>
            </w:r>
          </w:p>
        </w:tc>
      </w:tr>
      <w:tr w:rsidR="00B02873" w:rsidRPr="00B02873" w14:paraId="6583A27B" w14:textId="77777777" w:rsidTr="00BE3CFB">
        <w:tc>
          <w:tcPr>
            <w:tcW w:w="3256" w:type="dxa"/>
          </w:tcPr>
          <w:p w14:paraId="1258D77C" w14:textId="77777777" w:rsidR="00B02873" w:rsidRDefault="00B02873" w:rsidP="00B415A9">
            <w:pPr>
              <w:pStyle w:val="TablebodyleftTables"/>
            </w:pPr>
            <w:r>
              <w:lastRenderedPageBreak/>
              <w:t>Median number of days taken by the Department to assess a planning scheme amendment</w:t>
            </w:r>
          </w:p>
        </w:tc>
        <w:tc>
          <w:tcPr>
            <w:tcW w:w="1134" w:type="dxa"/>
          </w:tcPr>
          <w:p w14:paraId="754F6ACA" w14:textId="77777777" w:rsidR="00B02873" w:rsidRDefault="00B02873" w:rsidP="00BE3CFB">
            <w:pPr>
              <w:pStyle w:val="TablebodyleftTables"/>
            </w:pPr>
            <w:r>
              <w:t>days</w:t>
            </w:r>
          </w:p>
        </w:tc>
        <w:tc>
          <w:tcPr>
            <w:tcW w:w="992" w:type="dxa"/>
          </w:tcPr>
          <w:p w14:paraId="02C0B0D0" w14:textId="77777777" w:rsidR="00B02873" w:rsidRDefault="00B02873" w:rsidP="00DE1159">
            <w:pPr>
              <w:pStyle w:val="TablebodyleftTables"/>
              <w:jc w:val="right"/>
            </w:pPr>
            <w:r>
              <w:t>49</w:t>
            </w:r>
          </w:p>
        </w:tc>
        <w:tc>
          <w:tcPr>
            <w:tcW w:w="992" w:type="dxa"/>
          </w:tcPr>
          <w:p w14:paraId="354BBE8E" w14:textId="77777777" w:rsidR="00B02873" w:rsidRDefault="00B02873" w:rsidP="00DE1159">
            <w:pPr>
              <w:pStyle w:val="TablebodyleftTables"/>
              <w:jc w:val="right"/>
            </w:pPr>
            <w:r>
              <w:t>35</w:t>
            </w:r>
          </w:p>
        </w:tc>
        <w:tc>
          <w:tcPr>
            <w:tcW w:w="1559" w:type="dxa"/>
          </w:tcPr>
          <w:p w14:paraId="35DA20C2" w14:textId="77777777" w:rsidR="00B02873" w:rsidRDefault="00B02873" w:rsidP="00DE1159">
            <w:pPr>
              <w:pStyle w:val="TablebodyleftTables"/>
              <w:jc w:val="right"/>
            </w:pPr>
            <w:r>
              <w:t>(40%)</w:t>
            </w:r>
          </w:p>
        </w:tc>
        <w:tc>
          <w:tcPr>
            <w:tcW w:w="1843" w:type="dxa"/>
          </w:tcPr>
          <w:p w14:paraId="0C2794C9" w14:textId="54517802" w:rsidR="00B02873" w:rsidRDefault="002D1E4B" w:rsidP="00BE3CFB">
            <w:pPr>
              <w:pStyle w:val="TablebodyleftTables"/>
            </w:pPr>
            <w:r>
              <w:t>Performance target not achieved – exceeds 5 per cent variance.</w:t>
            </w:r>
          </w:p>
        </w:tc>
      </w:tr>
    </w:tbl>
    <w:p w14:paraId="1A976818" w14:textId="5AD0CEDF" w:rsidR="00BE3CFB" w:rsidRPr="002D1E4B" w:rsidRDefault="002D1E4B">
      <w:pPr>
        <w:rPr>
          <w:i/>
          <w:iCs/>
        </w:rPr>
      </w:pPr>
      <w:r w:rsidRPr="002D1E4B">
        <w:rPr>
          <w:i/>
          <w:iCs/>
        </w:rPr>
        <w:t>Performance is below target due to staff resources being allocated towards strategic assessment of authorisation requests, which affected the timeliness of final assessments but had the benefit of avoiding or reducing timelines for panel hearings.</w:t>
      </w:r>
    </w:p>
    <w:tbl>
      <w:tblPr>
        <w:tblStyle w:val="TableGrid"/>
        <w:tblW w:w="9776" w:type="dxa"/>
        <w:tblLayout w:type="fixed"/>
        <w:tblLook w:val="0020" w:firstRow="1" w:lastRow="0" w:firstColumn="0" w:lastColumn="0" w:noHBand="0" w:noVBand="0"/>
      </w:tblPr>
      <w:tblGrid>
        <w:gridCol w:w="3256"/>
        <w:gridCol w:w="1134"/>
        <w:gridCol w:w="992"/>
        <w:gridCol w:w="992"/>
        <w:gridCol w:w="1559"/>
        <w:gridCol w:w="1843"/>
      </w:tblGrid>
      <w:tr w:rsidR="002D1E4B" w:rsidRPr="00B02873" w14:paraId="72F4837E" w14:textId="77777777" w:rsidTr="00F0025B">
        <w:trPr>
          <w:cnfStyle w:val="100000000000" w:firstRow="1" w:lastRow="0" w:firstColumn="0" w:lastColumn="0" w:oddVBand="0" w:evenVBand="0" w:oddHBand="0" w:evenHBand="0" w:firstRowFirstColumn="0" w:firstRowLastColumn="0" w:lastRowFirstColumn="0" w:lastRowLastColumn="0"/>
          <w:tblHeader/>
        </w:trPr>
        <w:tc>
          <w:tcPr>
            <w:tcW w:w="3256" w:type="dxa"/>
          </w:tcPr>
          <w:p w14:paraId="3D739E82" w14:textId="77777777" w:rsidR="002D1E4B" w:rsidRDefault="002D1E4B" w:rsidP="00F0025B">
            <w:pPr>
              <w:pStyle w:val="TableheadingleftTables"/>
            </w:pPr>
            <w:r>
              <w:t xml:space="preserve">Output performance measures </w:t>
            </w:r>
          </w:p>
        </w:tc>
        <w:tc>
          <w:tcPr>
            <w:tcW w:w="1134" w:type="dxa"/>
          </w:tcPr>
          <w:p w14:paraId="1794A33E" w14:textId="77777777" w:rsidR="002D1E4B" w:rsidRDefault="002D1E4B" w:rsidP="00F0025B">
            <w:pPr>
              <w:pStyle w:val="TableheadingleftTables"/>
            </w:pPr>
            <w:r>
              <w:t>Unit of measure</w:t>
            </w:r>
          </w:p>
        </w:tc>
        <w:tc>
          <w:tcPr>
            <w:tcW w:w="992" w:type="dxa"/>
          </w:tcPr>
          <w:p w14:paraId="3C4735F9" w14:textId="77777777" w:rsidR="002D1E4B" w:rsidRDefault="002D1E4B" w:rsidP="00DE1159">
            <w:pPr>
              <w:pStyle w:val="TableheadingleftTables"/>
              <w:jc w:val="right"/>
            </w:pPr>
            <w:r>
              <w:t>2021-22 actual</w:t>
            </w:r>
          </w:p>
        </w:tc>
        <w:tc>
          <w:tcPr>
            <w:tcW w:w="992" w:type="dxa"/>
          </w:tcPr>
          <w:p w14:paraId="12EE70FE" w14:textId="77777777" w:rsidR="002D1E4B" w:rsidRDefault="002D1E4B" w:rsidP="00DE1159">
            <w:pPr>
              <w:pStyle w:val="TableheadingleftTables"/>
              <w:jc w:val="right"/>
            </w:pPr>
            <w:r>
              <w:t>2021-22 target</w:t>
            </w:r>
          </w:p>
        </w:tc>
        <w:tc>
          <w:tcPr>
            <w:tcW w:w="1559" w:type="dxa"/>
          </w:tcPr>
          <w:p w14:paraId="60718A73" w14:textId="77777777" w:rsidR="002D1E4B" w:rsidRDefault="002D1E4B" w:rsidP="00DE1159">
            <w:pPr>
              <w:pStyle w:val="TableheadingleftTables"/>
              <w:jc w:val="right"/>
            </w:pPr>
            <w:r>
              <w:rPr>
                <w:spacing w:val="-3"/>
              </w:rPr>
              <w:t>Performance variation (%)</w:t>
            </w:r>
          </w:p>
        </w:tc>
        <w:tc>
          <w:tcPr>
            <w:tcW w:w="1843" w:type="dxa"/>
          </w:tcPr>
          <w:p w14:paraId="7ED9573C" w14:textId="77777777" w:rsidR="002D1E4B" w:rsidRDefault="002D1E4B" w:rsidP="00F0025B">
            <w:pPr>
              <w:pStyle w:val="TableheadingleftTables"/>
            </w:pPr>
            <w:r>
              <w:t>Result</w:t>
            </w:r>
          </w:p>
        </w:tc>
      </w:tr>
      <w:tr w:rsidR="00B02873" w:rsidRPr="00B02873" w14:paraId="67CF04C0" w14:textId="77777777" w:rsidTr="00BE3CFB">
        <w:tc>
          <w:tcPr>
            <w:tcW w:w="3256" w:type="dxa"/>
          </w:tcPr>
          <w:p w14:paraId="2DB18486" w14:textId="77777777" w:rsidR="00B02873" w:rsidRDefault="00B02873" w:rsidP="00B415A9">
            <w:pPr>
              <w:pStyle w:val="TablebodyleftTables"/>
            </w:pPr>
            <w:r>
              <w:t>Urban Development Program Report on analysis of supply, consumption and adequacy of residential and industrial land completed</w:t>
            </w:r>
          </w:p>
        </w:tc>
        <w:tc>
          <w:tcPr>
            <w:tcW w:w="1134" w:type="dxa"/>
          </w:tcPr>
          <w:p w14:paraId="0E35E06D" w14:textId="77777777" w:rsidR="00B02873" w:rsidRDefault="00B02873" w:rsidP="00BE3CFB">
            <w:pPr>
              <w:pStyle w:val="TablebodyleftTables"/>
            </w:pPr>
            <w:r>
              <w:t>date</w:t>
            </w:r>
          </w:p>
        </w:tc>
        <w:tc>
          <w:tcPr>
            <w:tcW w:w="992" w:type="dxa"/>
          </w:tcPr>
          <w:p w14:paraId="43EF5D9C" w14:textId="77777777" w:rsidR="00B02873" w:rsidRDefault="00B02873" w:rsidP="00DE1159">
            <w:pPr>
              <w:pStyle w:val="TablebodyleftTables"/>
              <w:jc w:val="right"/>
            </w:pPr>
            <w:r>
              <w:t>Jun 2022</w:t>
            </w:r>
          </w:p>
        </w:tc>
        <w:tc>
          <w:tcPr>
            <w:tcW w:w="992" w:type="dxa"/>
          </w:tcPr>
          <w:p w14:paraId="50E7035C" w14:textId="77777777" w:rsidR="00B02873" w:rsidRDefault="00B02873" w:rsidP="00DE1159">
            <w:pPr>
              <w:pStyle w:val="TablebodyleftTables"/>
              <w:jc w:val="right"/>
            </w:pPr>
            <w:r>
              <w:t>Jun 2022</w:t>
            </w:r>
          </w:p>
        </w:tc>
        <w:tc>
          <w:tcPr>
            <w:tcW w:w="1559" w:type="dxa"/>
          </w:tcPr>
          <w:p w14:paraId="4978CA85" w14:textId="77777777" w:rsidR="00B02873" w:rsidRDefault="00B02873" w:rsidP="00DE1159">
            <w:pPr>
              <w:pStyle w:val="TablebodyleftTables"/>
              <w:jc w:val="right"/>
            </w:pPr>
            <w:r>
              <w:t>0%</w:t>
            </w:r>
          </w:p>
        </w:tc>
        <w:tc>
          <w:tcPr>
            <w:tcW w:w="1843" w:type="dxa"/>
          </w:tcPr>
          <w:p w14:paraId="39FE31F3" w14:textId="0BCE8348" w:rsidR="00B02873" w:rsidRDefault="002D1E4B" w:rsidP="00BE3CFB">
            <w:pPr>
              <w:pStyle w:val="TablebodyleftTables"/>
            </w:pPr>
            <w:r>
              <w:t>Performance target achieved or exceeded.</w:t>
            </w:r>
          </w:p>
        </w:tc>
      </w:tr>
      <w:tr w:rsidR="00B02873" w:rsidRPr="00B02873" w14:paraId="436C7280" w14:textId="77777777" w:rsidTr="00BE3CFB">
        <w:tc>
          <w:tcPr>
            <w:tcW w:w="3256" w:type="dxa"/>
          </w:tcPr>
          <w:p w14:paraId="0BF632EA" w14:textId="29656BCA" w:rsidR="00B02873" w:rsidRDefault="00B02873" w:rsidP="00B415A9">
            <w:pPr>
              <w:pStyle w:val="TablebodyleftTables"/>
            </w:pPr>
            <w:r>
              <w:t xml:space="preserve">State population projections completed to inform State Budget delivery </w:t>
            </w:r>
          </w:p>
        </w:tc>
        <w:tc>
          <w:tcPr>
            <w:tcW w:w="1134" w:type="dxa"/>
          </w:tcPr>
          <w:p w14:paraId="7F0BE377" w14:textId="77777777" w:rsidR="00B02873" w:rsidRDefault="00B02873" w:rsidP="00BE3CFB">
            <w:pPr>
              <w:pStyle w:val="TablebodyleftTables"/>
            </w:pPr>
            <w:r>
              <w:t>date</w:t>
            </w:r>
          </w:p>
        </w:tc>
        <w:tc>
          <w:tcPr>
            <w:tcW w:w="992" w:type="dxa"/>
          </w:tcPr>
          <w:p w14:paraId="06224FBC" w14:textId="77777777" w:rsidR="00B02873" w:rsidRDefault="00B02873" w:rsidP="00DE1159">
            <w:pPr>
              <w:pStyle w:val="TablebodyleftTables"/>
              <w:jc w:val="right"/>
            </w:pPr>
            <w:r>
              <w:t>Feb 2022</w:t>
            </w:r>
          </w:p>
        </w:tc>
        <w:tc>
          <w:tcPr>
            <w:tcW w:w="992" w:type="dxa"/>
          </w:tcPr>
          <w:p w14:paraId="6D598A61" w14:textId="77777777" w:rsidR="00B02873" w:rsidRDefault="00B02873" w:rsidP="00DE1159">
            <w:pPr>
              <w:pStyle w:val="TablebodyleftTables"/>
              <w:jc w:val="right"/>
            </w:pPr>
            <w:r>
              <w:t>Feb 2022</w:t>
            </w:r>
          </w:p>
        </w:tc>
        <w:tc>
          <w:tcPr>
            <w:tcW w:w="1559" w:type="dxa"/>
          </w:tcPr>
          <w:p w14:paraId="1F1E9617" w14:textId="77777777" w:rsidR="00B02873" w:rsidRDefault="00B02873" w:rsidP="00DE1159">
            <w:pPr>
              <w:pStyle w:val="TablebodyleftTables"/>
              <w:jc w:val="right"/>
            </w:pPr>
            <w:r>
              <w:t>0%</w:t>
            </w:r>
          </w:p>
        </w:tc>
        <w:tc>
          <w:tcPr>
            <w:tcW w:w="1843" w:type="dxa"/>
          </w:tcPr>
          <w:p w14:paraId="7370A4BA" w14:textId="633BE509" w:rsidR="00B02873" w:rsidRDefault="002D1E4B" w:rsidP="00BE3CFB">
            <w:pPr>
              <w:pStyle w:val="TablebodyleftTables"/>
            </w:pPr>
            <w:r>
              <w:t>Performance target achieved or exceeded.</w:t>
            </w:r>
          </w:p>
        </w:tc>
      </w:tr>
      <w:tr w:rsidR="00B02873" w:rsidRPr="00B02873" w14:paraId="6CAECB43" w14:textId="77777777" w:rsidTr="00BE3CFB">
        <w:tc>
          <w:tcPr>
            <w:tcW w:w="3256" w:type="dxa"/>
          </w:tcPr>
          <w:p w14:paraId="327166F3" w14:textId="77777777" w:rsidR="00B02873" w:rsidRDefault="00B02873" w:rsidP="00B415A9">
            <w:pPr>
              <w:pStyle w:val="TablebodyleftTables"/>
            </w:pPr>
            <w:r>
              <w:t xml:space="preserve">Victoria in Future population projection data to support infrastructure and service delivery planning completed </w:t>
            </w:r>
          </w:p>
        </w:tc>
        <w:tc>
          <w:tcPr>
            <w:tcW w:w="1134" w:type="dxa"/>
          </w:tcPr>
          <w:p w14:paraId="438758EF" w14:textId="77777777" w:rsidR="00B02873" w:rsidRDefault="00B02873" w:rsidP="00BE3CFB">
            <w:pPr>
              <w:pStyle w:val="TablebodyleftTables"/>
            </w:pPr>
            <w:r>
              <w:t>date</w:t>
            </w:r>
          </w:p>
        </w:tc>
        <w:tc>
          <w:tcPr>
            <w:tcW w:w="992" w:type="dxa"/>
          </w:tcPr>
          <w:p w14:paraId="3A6BAECD" w14:textId="77777777" w:rsidR="00B02873" w:rsidRDefault="00B02873" w:rsidP="00DE1159">
            <w:pPr>
              <w:pStyle w:val="TablebodyleftTables"/>
              <w:jc w:val="right"/>
            </w:pPr>
            <w:r>
              <w:t>Jun 2022</w:t>
            </w:r>
          </w:p>
        </w:tc>
        <w:tc>
          <w:tcPr>
            <w:tcW w:w="992" w:type="dxa"/>
          </w:tcPr>
          <w:p w14:paraId="501DD07A" w14:textId="77777777" w:rsidR="00B02873" w:rsidRDefault="00B02873" w:rsidP="00DE1159">
            <w:pPr>
              <w:pStyle w:val="TablebodyleftTables"/>
              <w:jc w:val="right"/>
            </w:pPr>
            <w:r>
              <w:t>Jun 2022</w:t>
            </w:r>
          </w:p>
        </w:tc>
        <w:tc>
          <w:tcPr>
            <w:tcW w:w="1559" w:type="dxa"/>
          </w:tcPr>
          <w:p w14:paraId="22D3C8A4" w14:textId="77777777" w:rsidR="00B02873" w:rsidRDefault="00B02873" w:rsidP="00DE1159">
            <w:pPr>
              <w:pStyle w:val="TablebodyleftTables"/>
              <w:jc w:val="right"/>
            </w:pPr>
            <w:r>
              <w:t>0%</w:t>
            </w:r>
          </w:p>
        </w:tc>
        <w:tc>
          <w:tcPr>
            <w:tcW w:w="1843" w:type="dxa"/>
          </w:tcPr>
          <w:p w14:paraId="31C4F9C5" w14:textId="5BA4FAF1" w:rsidR="00B02873" w:rsidRDefault="002D1E4B" w:rsidP="00BE3CFB">
            <w:pPr>
              <w:pStyle w:val="TablebodyleftTables"/>
            </w:pPr>
            <w:r>
              <w:t>Performance target achieved or exceeded.</w:t>
            </w:r>
          </w:p>
        </w:tc>
      </w:tr>
      <w:tr w:rsidR="00B02873" w:rsidRPr="00B02873" w14:paraId="3CA1B336" w14:textId="77777777" w:rsidTr="00BE3CFB">
        <w:tc>
          <w:tcPr>
            <w:tcW w:w="3256" w:type="dxa"/>
          </w:tcPr>
          <w:p w14:paraId="08B8BB3C" w14:textId="77777777" w:rsidR="00B02873" w:rsidRDefault="00B02873" w:rsidP="00B415A9">
            <w:pPr>
              <w:pStyle w:val="TablebodyleftTables"/>
            </w:pPr>
            <w:r>
              <w:t>Planning permit applications for new renewable energy facilities (excluding call ins) prepared for determination within 45 days after completion of public notice and receipt of council response to public notice</w:t>
            </w:r>
          </w:p>
        </w:tc>
        <w:tc>
          <w:tcPr>
            <w:tcW w:w="1134" w:type="dxa"/>
          </w:tcPr>
          <w:p w14:paraId="31F3A3DF" w14:textId="77777777" w:rsidR="00B02873" w:rsidRDefault="00B02873" w:rsidP="00BE3CFB">
            <w:pPr>
              <w:pStyle w:val="TablebodyleftTables"/>
            </w:pPr>
            <w:r>
              <w:t>per cent</w:t>
            </w:r>
          </w:p>
        </w:tc>
        <w:tc>
          <w:tcPr>
            <w:tcW w:w="992" w:type="dxa"/>
          </w:tcPr>
          <w:p w14:paraId="6AE268E4" w14:textId="77777777" w:rsidR="00B02873" w:rsidRDefault="00B02873" w:rsidP="00DE1159">
            <w:pPr>
              <w:pStyle w:val="TablebodyleftTables"/>
              <w:jc w:val="right"/>
            </w:pPr>
            <w:r>
              <w:t>45</w:t>
            </w:r>
          </w:p>
        </w:tc>
        <w:tc>
          <w:tcPr>
            <w:tcW w:w="992" w:type="dxa"/>
          </w:tcPr>
          <w:p w14:paraId="0ADEEC97" w14:textId="77777777" w:rsidR="00B02873" w:rsidRDefault="00B02873" w:rsidP="00DE1159">
            <w:pPr>
              <w:pStyle w:val="TablebodyleftTables"/>
              <w:jc w:val="right"/>
            </w:pPr>
            <w:r>
              <w:t>70</w:t>
            </w:r>
          </w:p>
        </w:tc>
        <w:tc>
          <w:tcPr>
            <w:tcW w:w="1559" w:type="dxa"/>
          </w:tcPr>
          <w:p w14:paraId="252716C7" w14:textId="77777777" w:rsidR="00B02873" w:rsidRDefault="00B02873" w:rsidP="00DE1159">
            <w:pPr>
              <w:pStyle w:val="TablebodyleftTables"/>
              <w:jc w:val="right"/>
            </w:pPr>
            <w:r>
              <w:t>(36%)</w:t>
            </w:r>
          </w:p>
        </w:tc>
        <w:tc>
          <w:tcPr>
            <w:tcW w:w="1843" w:type="dxa"/>
          </w:tcPr>
          <w:p w14:paraId="67A1936D" w14:textId="306C9A97" w:rsidR="00B02873" w:rsidRDefault="002D1E4B" w:rsidP="00BE3CFB">
            <w:pPr>
              <w:pStyle w:val="TablebodyleftTables"/>
            </w:pPr>
            <w:r>
              <w:t>Performance target not achieved – exceeds 5 per cent variance.</w:t>
            </w:r>
          </w:p>
        </w:tc>
      </w:tr>
    </w:tbl>
    <w:p w14:paraId="3D81305E" w14:textId="204D8CF3" w:rsidR="00BE3CFB" w:rsidRPr="002D1E4B" w:rsidRDefault="002D1E4B">
      <w:pPr>
        <w:rPr>
          <w:i/>
          <w:iCs/>
        </w:rPr>
      </w:pPr>
      <w:r w:rsidRPr="002D1E4B">
        <w:rPr>
          <w:i/>
          <w:iCs/>
        </w:rPr>
        <w:t>Performance is below target due to staff resourcing challenges and some decisions being delayed due to Cultural Heritage Management Plans not being prepared by the applicant in time.</w:t>
      </w:r>
    </w:p>
    <w:tbl>
      <w:tblPr>
        <w:tblStyle w:val="TableGrid"/>
        <w:tblW w:w="9776" w:type="dxa"/>
        <w:tblLayout w:type="fixed"/>
        <w:tblLook w:val="0020" w:firstRow="1" w:lastRow="0" w:firstColumn="0" w:lastColumn="0" w:noHBand="0" w:noVBand="0"/>
      </w:tblPr>
      <w:tblGrid>
        <w:gridCol w:w="3256"/>
        <w:gridCol w:w="1134"/>
        <w:gridCol w:w="992"/>
        <w:gridCol w:w="992"/>
        <w:gridCol w:w="1559"/>
        <w:gridCol w:w="1843"/>
      </w:tblGrid>
      <w:tr w:rsidR="0063650A" w:rsidRPr="00B02873" w14:paraId="6A2B9C14" w14:textId="77777777" w:rsidTr="00F0025B">
        <w:trPr>
          <w:cnfStyle w:val="100000000000" w:firstRow="1" w:lastRow="0" w:firstColumn="0" w:lastColumn="0" w:oddVBand="0" w:evenVBand="0" w:oddHBand="0" w:evenHBand="0" w:firstRowFirstColumn="0" w:firstRowLastColumn="0" w:lastRowFirstColumn="0" w:lastRowLastColumn="0"/>
          <w:tblHeader/>
        </w:trPr>
        <w:tc>
          <w:tcPr>
            <w:tcW w:w="3256" w:type="dxa"/>
          </w:tcPr>
          <w:p w14:paraId="76E61D99" w14:textId="77777777" w:rsidR="0063650A" w:rsidRDefault="0063650A" w:rsidP="00F0025B">
            <w:pPr>
              <w:pStyle w:val="TableheadingleftTables"/>
            </w:pPr>
            <w:r>
              <w:t xml:space="preserve">Output performance measures </w:t>
            </w:r>
          </w:p>
        </w:tc>
        <w:tc>
          <w:tcPr>
            <w:tcW w:w="1134" w:type="dxa"/>
          </w:tcPr>
          <w:p w14:paraId="750A7A27" w14:textId="77777777" w:rsidR="0063650A" w:rsidRDefault="0063650A" w:rsidP="00F0025B">
            <w:pPr>
              <w:pStyle w:val="TableheadingleftTables"/>
            </w:pPr>
            <w:r>
              <w:t>Unit of measure</w:t>
            </w:r>
          </w:p>
        </w:tc>
        <w:tc>
          <w:tcPr>
            <w:tcW w:w="992" w:type="dxa"/>
          </w:tcPr>
          <w:p w14:paraId="2DFD28E0" w14:textId="77777777" w:rsidR="0063650A" w:rsidRDefault="0063650A" w:rsidP="00DE1159">
            <w:pPr>
              <w:pStyle w:val="TableheadingleftTables"/>
              <w:jc w:val="right"/>
            </w:pPr>
            <w:r>
              <w:t>2021-22 actual</w:t>
            </w:r>
          </w:p>
        </w:tc>
        <w:tc>
          <w:tcPr>
            <w:tcW w:w="992" w:type="dxa"/>
          </w:tcPr>
          <w:p w14:paraId="6415D2D8" w14:textId="77777777" w:rsidR="0063650A" w:rsidRDefault="0063650A" w:rsidP="00DE1159">
            <w:pPr>
              <w:pStyle w:val="TableheadingleftTables"/>
              <w:jc w:val="right"/>
            </w:pPr>
            <w:r>
              <w:t>2021-22 target</w:t>
            </w:r>
          </w:p>
        </w:tc>
        <w:tc>
          <w:tcPr>
            <w:tcW w:w="1559" w:type="dxa"/>
          </w:tcPr>
          <w:p w14:paraId="34468E86" w14:textId="77777777" w:rsidR="0063650A" w:rsidRDefault="0063650A" w:rsidP="00DE1159">
            <w:pPr>
              <w:pStyle w:val="TableheadingleftTables"/>
              <w:jc w:val="right"/>
            </w:pPr>
            <w:r>
              <w:rPr>
                <w:spacing w:val="-3"/>
              </w:rPr>
              <w:t>Performance variation (%)</w:t>
            </w:r>
          </w:p>
        </w:tc>
        <w:tc>
          <w:tcPr>
            <w:tcW w:w="1843" w:type="dxa"/>
          </w:tcPr>
          <w:p w14:paraId="11D66D4B" w14:textId="77777777" w:rsidR="0063650A" w:rsidRDefault="0063650A" w:rsidP="00F0025B">
            <w:pPr>
              <w:pStyle w:val="TableheadingleftTables"/>
            </w:pPr>
            <w:r>
              <w:t>Result</w:t>
            </w:r>
          </w:p>
        </w:tc>
      </w:tr>
      <w:tr w:rsidR="00B02873" w:rsidRPr="00B02873" w14:paraId="2207AB13" w14:textId="77777777" w:rsidTr="00BE3CFB">
        <w:tc>
          <w:tcPr>
            <w:tcW w:w="3256" w:type="dxa"/>
          </w:tcPr>
          <w:p w14:paraId="73A4F9A6" w14:textId="77777777" w:rsidR="00B02873" w:rsidRDefault="00B02873" w:rsidP="00B415A9">
            <w:pPr>
              <w:pStyle w:val="TableheadingleftTables"/>
            </w:pPr>
            <w:r>
              <w:t>Cost</w:t>
            </w:r>
          </w:p>
        </w:tc>
        <w:tc>
          <w:tcPr>
            <w:tcW w:w="1134" w:type="dxa"/>
          </w:tcPr>
          <w:p w14:paraId="1B0A3DD5" w14:textId="77777777" w:rsidR="00B02873" w:rsidRPr="00B02873" w:rsidRDefault="00B02873" w:rsidP="00B415A9">
            <w:pPr>
              <w:pStyle w:val="NoParagraphStyle"/>
              <w:spacing w:line="240" w:lineRule="auto"/>
              <w:textAlignment w:val="auto"/>
              <w:rPr>
                <w:rFonts w:ascii="Apple Symbols Regular" w:hAnsi="Apple Symbols Regular" w:cs="Times New Roman"/>
                <w:color w:val="auto"/>
                <w:lang w:val="en-AU"/>
              </w:rPr>
            </w:pPr>
          </w:p>
        </w:tc>
        <w:tc>
          <w:tcPr>
            <w:tcW w:w="992" w:type="dxa"/>
          </w:tcPr>
          <w:p w14:paraId="72F2D6D6" w14:textId="77777777" w:rsidR="00B02873" w:rsidRPr="00B02873" w:rsidRDefault="00B02873" w:rsidP="00DE1159">
            <w:pPr>
              <w:pStyle w:val="NoParagraphStyle"/>
              <w:spacing w:line="240" w:lineRule="auto"/>
              <w:jc w:val="right"/>
              <w:textAlignment w:val="auto"/>
              <w:rPr>
                <w:rFonts w:ascii="Apple Symbols Regular" w:hAnsi="Apple Symbols Regular" w:cs="Times New Roman"/>
                <w:color w:val="auto"/>
                <w:lang w:val="en-AU"/>
              </w:rPr>
            </w:pPr>
          </w:p>
        </w:tc>
        <w:tc>
          <w:tcPr>
            <w:tcW w:w="992" w:type="dxa"/>
          </w:tcPr>
          <w:p w14:paraId="6928D45D" w14:textId="77777777" w:rsidR="00B02873" w:rsidRPr="00B02873" w:rsidRDefault="00B02873" w:rsidP="00DE1159">
            <w:pPr>
              <w:pStyle w:val="NoParagraphStyle"/>
              <w:spacing w:line="240" w:lineRule="auto"/>
              <w:jc w:val="right"/>
              <w:textAlignment w:val="auto"/>
              <w:rPr>
                <w:rFonts w:ascii="Apple Symbols Regular" w:hAnsi="Apple Symbols Regular" w:cs="Times New Roman"/>
                <w:color w:val="auto"/>
                <w:lang w:val="en-AU"/>
              </w:rPr>
            </w:pPr>
          </w:p>
        </w:tc>
        <w:tc>
          <w:tcPr>
            <w:tcW w:w="1559" w:type="dxa"/>
          </w:tcPr>
          <w:p w14:paraId="5E67E11B" w14:textId="77777777" w:rsidR="00B02873" w:rsidRPr="00B02873" w:rsidRDefault="00B02873" w:rsidP="00DE1159">
            <w:pPr>
              <w:pStyle w:val="NoParagraphStyle"/>
              <w:spacing w:line="240" w:lineRule="auto"/>
              <w:jc w:val="right"/>
              <w:textAlignment w:val="auto"/>
              <w:rPr>
                <w:rFonts w:ascii="Apple Symbols Regular" w:hAnsi="Apple Symbols Regular" w:cs="Times New Roman"/>
                <w:color w:val="auto"/>
                <w:lang w:val="en-AU"/>
              </w:rPr>
            </w:pPr>
          </w:p>
        </w:tc>
        <w:tc>
          <w:tcPr>
            <w:tcW w:w="1843" w:type="dxa"/>
          </w:tcPr>
          <w:p w14:paraId="5233A32C" w14:textId="77777777" w:rsidR="00B02873" w:rsidRPr="00B02873" w:rsidRDefault="00B02873" w:rsidP="00B415A9">
            <w:pPr>
              <w:pStyle w:val="NoParagraphStyle"/>
              <w:spacing w:line="240" w:lineRule="auto"/>
              <w:textAlignment w:val="auto"/>
              <w:rPr>
                <w:rFonts w:ascii="Apple Symbols Regular" w:hAnsi="Apple Symbols Regular" w:cs="Times New Roman"/>
                <w:color w:val="auto"/>
                <w:lang w:val="en-AU"/>
              </w:rPr>
            </w:pPr>
          </w:p>
        </w:tc>
      </w:tr>
      <w:tr w:rsidR="00B02873" w:rsidRPr="00B02873" w14:paraId="02006769" w14:textId="77777777" w:rsidTr="00BE3CFB">
        <w:tc>
          <w:tcPr>
            <w:tcW w:w="3256" w:type="dxa"/>
          </w:tcPr>
          <w:p w14:paraId="1B3AB472" w14:textId="77777777" w:rsidR="00B02873" w:rsidRDefault="00B02873" w:rsidP="00B415A9">
            <w:pPr>
              <w:pStyle w:val="TablebodyleftTables"/>
            </w:pPr>
            <w:r>
              <w:rPr>
                <w:rStyle w:val="Bold"/>
              </w:rPr>
              <w:t>Total output cost</w:t>
            </w:r>
          </w:p>
        </w:tc>
        <w:tc>
          <w:tcPr>
            <w:tcW w:w="1134" w:type="dxa"/>
          </w:tcPr>
          <w:p w14:paraId="36294A43" w14:textId="77777777" w:rsidR="00B02873" w:rsidRDefault="00B02873" w:rsidP="00BE3CFB">
            <w:pPr>
              <w:pStyle w:val="TablebodyleftTables"/>
            </w:pPr>
            <w:r>
              <w:t>$ million</w:t>
            </w:r>
          </w:p>
        </w:tc>
        <w:tc>
          <w:tcPr>
            <w:tcW w:w="992" w:type="dxa"/>
          </w:tcPr>
          <w:p w14:paraId="6912C5CD" w14:textId="77777777" w:rsidR="00B02873" w:rsidRDefault="00B02873" w:rsidP="00DE1159">
            <w:pPr>
              <w:pStyle w:val="TablebodyleftTables"/>
              <w:jc w:val="right"/>
            </w:pPr>
            <w:r>
              <w:t>341.7</w:t>
            </w:r>
          </w:p>
        </w:tc>
        <w:tc>
          <w:tcPr>
            <w:tcW w:w="992" w:type="dxa"/>
          </w:tcPr>
          <w:p w14:paraId="103B4508" w14:textId="77777777" w:rsidR="00B02873" w:rsidRDefault="00B02873" w:rsidP="00DE1159">
            <w:pPr>
              <w:pStyle w:val="TablebodyleftTables"/>
              <w:jc w:val="right"/>
            </w:pPr>
            <w:r>
              <w:t>321.1</w:t>
            </w:r>
          </w:p>
        </w:tc>
        <w:tc>
          <w:tcPr>
            <w:tcW w:w="1559" w:type="dxa"/>
          </w:tcPr>
          <w:p w14:paraId="4CD40B8A" w14:textId="77777777" w:rsidR="00B02873" w:rsidRDefault="00B02873" w:rsidP="00DE1159">
            <w:pPr>
              <w:pStyle w:val="TablebodyleftTables"/>
              <w:jc w:val="right"/>
            </w:pPr>
            <w:r>
              <w:t>6%</w:t>
            </w:r>
          </w:p>
        </w:tc>
        <w:tc>
          <w:tcPr>
            <w:tcW w:w="1843" w:type="dxa"/>
          </w:tcPr>
          <w:p w14:paraId="7DCB797B" w14:textId="1F5FC866" w:rsidR="00B02873" w:rsidRDefault="002D1E4B" w:rsidP="00BE3CFB">
            <w:pPr>
              <w:pStyle w:val="TablebodyleftTables"/>
            </w:pPr>
            <w:r>
              <w:t>Performance target not achieved – exceeds 5 per cent variance.</w:t>
            </w:r>
          </w:p>
        </w:tc>
      </w:tr>
    </w:tbl>
    <w:p w14:paraId="20296336" w14:textId="093450B9" w:rsidR="00BE3CFB" w:rsidRPr="002D1E4B" w:rsidRDefault="002D1E4B">
      <w:pPr>
        <w:rPr>
          <w:i/>
          <w:iCs/>
        </w:rPr>
      </w:pPr>
      <w:r w:rsidRPr="002D1E4B">
        <w:rPr>
          <w:i/>
          <w:iCs/>
        </w:rPr>
        <w:t xml:space="preserve">The higher than budgeted output cost is primarily due to the allocation of funding from the Growth Areas Infrastructure Contribution fund to various initiatives: Berwick station bus interchange; bus interchange and cycle access to Tarneit station; Cranbourne station car parking; and the future </w:t>
      </w:r>
      <w:r w:rsidRPr="002D1E4B">
        <w:rPr>
          <w:i/>
          <w:iCs/>
        </w:rPr>
        <w:lastRenderedPageBreak/>
        <w:t>police station at Wollert. This increase in funding is partially offset by less than anticipated expenditure for the Cladding Rectification Program initiatives arising from materials and labour shortages.</w:t>
      </w:r>
    </w:p>
    <w:p w14:paraId="0395A7E1" w14:textId="74B04D27" w:rsidR="00B02873" w:rsidRDefault="00B02873" w:rsidP="003243B5">
      <w:pPr>
        <w:pStyle w:val="Heading2"/>
      </w:pPr>
      <w:bookmarkStart w:id="17" w:name="_Toc117447358"/>
      <w:r>
        <w:t>Reduced impact of major bushfires and other emergencies on people, property and the environment</w:t>
      </w:r>
      <w:bookmarkEnd w:id="17"/>
    </w:p>
    <w:p w14:paraId="1F560B94" w14:textId="3B28D2F3" w:rsidR="00B02873" w:rsidRPr="00DE1159" w:rsidRDefault="003243B5" w:rsidP="001128B1">
      <w:pPr>
        <w:pStyle w:val="Number1Lists"/>
        <w:numPr>
          <w:ilvl w:val="0"/>
          <w:numId w:val="62"/>
        </w:numPr>
      </w:pPr>
      <w:r w:rsidRPr="00DE1159">
        <w:t>Sustainable cities and communities</w:t>
      </w:r>
    </w:p>
    <w:p w14:paraId="283189EC" w14:textId="14B2A9A5" w:rsidR="003243B5" w:rsidRPr="00DE1159" w:rsidRDefault="003243B5" w:rsidP="00DE1159">
      <w:pPr>
        <w:pStyle w:val="Number1Lists"/>
      </w:pPr>
      <w:r w:rsidRPr="00DE1159">
        <w:t>Climate action</w:t>
      </w:r>
    </w:p>
    <w:p w14:paraId="2522D903" w14:textId="447917A0" w:rsidR="003243B5" w:rsidRPr="00DE1159" w:rsidRDefault="003243B5" w:rsidP="00DE1159">
      <w:pPr>
        <w:pStyle w:val="Number1Lists"/>
      </w:pPr>
      <w:r w:rsidRPr="00DE1159">
        <w:t>Life on land</w:t>
      </w:r>
    </w:p>
    <w:p w14:paraId="4306E004" w14:textId="77777777" w:rsidR="00B02873" w:rsidRDefault="00B02873" w:rsidP="003243B5">
      <w:pPr>
        <w:pStyle w:val="Heading3"/>
      </w:pPr>
      <w:r>
        <w:t>Progress towards achieving this objective</w:t>
      </w:r>
    </w:p>
    <w:p w14:paraId="79CCDC94" w14:textId="77777777" w:rsidR="00B02873" w:rsidRDefault="00B02873" w:rsidP="003243B5">
      <w:pPr>
        <w:pStyle w:val="Heading4"/>
      </w:pPr>
      <w:r>
        <w:t>Context</w:t>
      </w:r>
    </w:p>
    <w:p w14:paraId="433725E2" w14:textId="77777777" w:rsidR="00B02873" w:rsidRDefault="00B02873" w:rsidP="00FE198A">
      <w:r>
        <w:t>DELWP is one of several Victorian Government departments and agencies with responsibilities for emergency management. DELWP’s responsibilities include: the management of fire on public land; dam safety; whale and dolphin stranding or entanglement; as well as managing the impacts of emergencies on the environment and energy network infrastructure.</w:t>
      </w:r>
    </w:p>
    <w:p w14:paraId="35B51C5B" w14:textId="77777777" w:rsidR="00B02873" w:rsidRDefault="00B02873" w:rsidP="00FE198A">
      <w:r>
        <w:t xml:space="preserve">DELWP’s integrated approach to reducing the risk of bushfires and other emergencies in protecting people, property and the environment, is guided by </w:t>
      </w:r>
      <w:r w:rsidRPr="003243B5">
        <w:rPr>
          <w:rStyle w:val="LightItalic"/>
          <w:rFonts w:asciiTheme="minorHAnsi" w:hAnsiTheme="minorHAnsi" w:cstheme="minorHAnsi"/>
        </w:rPr>
        <w:t>Safer Together – A new approach to reducing the risk of bushfire in Victoria</w:t>
      </w:r>
      <w:r w:rsidRPr="003243B5">
        <w:rPr>
          <w:rFonts w:asciiTheme="minorHAnsi" w:hAnsiTheme="minorHAnsi" w:cstheme="minorHAnsi"/>
        </w:rPr>
        <w:t>.</w:t>
      </w:r>
      <w:r>
        <w:t xml:space="preserve"> This approach involves land and fire agencies working in partnership with local communities using world-leading science to manage bushfire risks and protect the things that communities value the most. Our integrated approach to bushfire planning and management also helps to make communities safer and more resilient to the impacts of climate change before, during and after bushfires.</w:t>
      </w:r>
    </w:p>
    <w:p w14:paraId="000D8CF4" w14:textId="77777777" w:rsidR="00B02873" w:rsidRDefault="00B02873" w:rsidP="00FE198A">
      <w:r>
        <w:t>DELWP provides end-to-end management of forests, fire and other emergencies, including planned burning and other bushfire fuel management operations.</w:t>
      </w:r>
    </w:p>
    <w:tbl>
      <w:tblPr>
        <w:tblStyle w:val="TableGrid"/>
        <w:tblW w:w="0" w:type="auto"/>
        <w:tblLayout w:type="fixed"/>
        <w:tblLook w:val="0020" w:firstRow="1" w:lastRow="0" w:firstColumn="0" w:lastColumn="0" w:noHBand="0" w:noVBand="0"/>
      </w:tblPr>
      <w:tblGrid>
        <w:gridCol w:w="2339"/>
        <w:gridCol w:w="7289"/>
      </w:tblGrid>
      <w:tr w:rsidR="00B02873" w:rsidRPr="00B02873" w14:paraId="31C66A19" w14:textId="77777777" w:rsidTr="003243B5">
        <w:trPr>
          <w:cnfStyle w:val="100000000000" w:firstRow="1" w:lastRow="0" w:firstColumn="0" w:lastColumn="0" w:oddVBand="0" w:evenVBand="0" w:oddHBand="0" w:evenHBand="0" w:firstRowFirstColumn="0" w:firstRowLastColumn="0" w:lastRowFirstColumn="0" w:lastRowLastColumn="0"/>
          <w:tblHeader/>
        </w:trPr>
        <w:tc>
          <w:tcPr>
            <w:tcW w:w="2339" w:type="dxa"/>
          </w:tcPr>
          <w:p w14:paraId="22E52178" w14:textId="77777777" w:rsidR="00B02873" w:rsidRDefault="00B02873" w:rsidP="003243B5">
            <w:pPr>
              <w:pStyle w:val="TableheadingleftTables"/>
            </w:pPr>
            <w:r>
              <w:t xml:space="preserve">Key initiative </w:t>
            </w:r>
          </w:p>
        </w:tc>
        <w:tc>
          <w:tcPr>
            <w:tcW w:w="7289" w:type="dxa"/>
          </w:tcPr>
          <w:p w14:paraId="4B41AE3E" w14:textId="77777777" w:rsidR="00B02873" w:rsidRDefault="00B02873" w:rsidP="003243B5">
            <w:pPr>
              <w:pStyle w:val="TableheadingleftTables"/>
            </w:pPr>
            <w:r>
              <w:t xml:space="preserve">2021-22 progress summary </w:t>
            </w:r>
          </w:p>
        </w:tc>
      </w:tr>
      <w:tr w:rsidR="00B02873" w:rsidRPr="00B02873" w14:paraId="41919275" w14:textId="77777777" w:rsidTr="003243B5">
        <w:tc>
          <w:tcPr>
            <w:tcW w:w="2339" w:type="dxa"/>
          </w:tcPr>
          <w:p w14:paraId="23E1184D" w14:textId="77777777" w:rsidR="00B02873" w:rsidRDefault="00B02873" w:rsidP="00B415A9">
            <w:pPr>
              <w:pStyle w:val="TablebodyleftTables"/>
            </w:pPr>
            <w:r>
              <w:t xml:space="preserve">Evidence-based fuel management </w:t>
            </w:r>
          </w:p>
        </w:tc>
        <w:tc>
          <w:tcPr>
            <w:tcW w:w="7289" w:type="dxa"/>
          </w:tcPr>
          <w:p w14:paraId="0D6E05F0" w14:textId="77777777" w:rsidR="00B02873" w:rsidRDefault="00B02873" w:rsidP="00B415A9">
            <w:pPr>
              <w:pStyle w:val="TablebodyleftTables"/>
            </w:pPr>
            <w:r>
              <w:t>Through Safer Together, DELWP:</w:t>
            </w:r>
          </w:p>
          <w:p w14:paraId="50E671FF" w14:textId="77777777" w:rsidR="00B02873" w:rsidRDefault="00B02873" w:rsidP="003243B5">
            <w:pPr>
              <w:pStyle w:val="TableBulletleftTables"/>
            </w:pPr>
            <w:r>
              <w:t>commissioned a bushfire behaviour database in May 2022 to enable better understanding of bushfire risk</w:t>
            </w:r>
          </w:p>
          <w:p w14:paraId="33B02B1D" w14:textId="77777777" w:rsidR="00B02873" w:rsidRDefault="00B02873" w:rsidP="003243B5">
            <w:pPr>
              <w:pStyle w:val="TableBulletleftTables"/>
            </w:pPr>
            <w:r>
              <w:t xml:space="preserve">implemented an automated fuel management report to flag safe planned burning opportunities </w:t>
            </w:r>
          </w:p>
          <w:p w14:paraId="0872CB75" w14:textId="77777777" w:rsidR="00B02873" w:rsidRDefault="00B02873" w:rsidP="003243B5">
            <w:pPr>
              <w:pStyle w:val="TableBulletleftTables"/>
            </w:pPr>
            <w:r>
              <w:t>engaged with communities to improve access to bushfire risk information and build understanding</w:t>
            </w:r>
          </w:p>
          <w:p w14:paraId="36F40BC4" w14:textId="77777777" w:rsidR="00B02873" w:rsidRDefault="00B02873" w:rsidP="003243B5">
            <w:pPr>
              <w:pStyle w:val="TableBulletleftTables"/>
            </w:pPr>
            <w:r>
              <w:t>engaged with Traditional Owner groups to help shape the whole of sector bushfire strategy.</w:t>
            </w:r>
          </w:p>
          <w:p w14:paraId="4B7423E3" w14:textId="49949E62" w:rsidR="00B02873" w:rsidRDefault="00B02873" w:rsidP="00B415A9">
            <w:pPr>
              <w:pStyle w:val="TablebodyleftTables"/>
            </w:pPr>
            <w:r>
              <w:t xml:space="preserve">DELWP planned and delivered the year-round fuel management program, maintaining Victoria’s residual bushfire risk on public land below the 70 per cent target. Due to the wet conditions experienced across 2021-22 because of the La Niña weather pattern, delivery of fuel management activities focused on areas where life and property protection could be best achieved. Through this targeted approach, DELWP substantially reduced bushfire risk in high bushfire risk areas such as the Otway and Midlands districts. </w:t>
            </w:r>
          </w:p>
        </w:tc>
      </w:tr>
      <w:tr w:rsidR="00B02873" w:rsidRPr="00B02873" w14:paraId="049E87C6" w14:textId="77777777" w:rsidTr="003243B5">
        <w:tc>
          <w:tcPr>
            <w:tcW w:w="2339" w:type="dxa"/>
          </w:tcPr>
          <w:p w14:paraId="08AC67ED" w14:textId="77777777" w:rsidR="00B02873" w:rsidRDefault="00B02873" w:rsidP="00B415A9">
            <w:pPr>
              <w:pStyle w:val="TablebodyleftTables"/>
            </w:pPr>
            <w:r>
              <w:lastRenderedPageBreak/>
              <w:t xml:space="preserve">Fuel Management Program </w:t>
            </w:r>
          </w:p>
        </w:tc>
        <w:tc>
          <w:tcPr>
            <w:tcW w:w="7289" w:type="dxa"/>
          </w:tcPr>
          <w:p w14:paraId="591BA545" w14:textId="77777777" w:rsidR="00B02873" w:rsidRDefault="00B02873" w:rsidP="00B415A9">
            <w:pPr>
              <w:pStyle w:val="TablebodyleftTables"/>
            </w:pPr>
            <w:r>
              <w:t>The Fuel Management Program delivery continues year-round. From 1 July 2021 to 30 June 2022 a combined total of 78,292 hectares were treated comprising both planned burns (62,625 hectares) and mechanical treatments (15,667 hectares). The number of planned burns conducted peaked over April 2022, with 277 planned burns delivered in total across the financial year. The level of residual risk is 62 per cent as at 30 June 2022.</w:t>
            </w:r>
          </w:p>
          <w:p w14:paraId="14A02E6C" w14:textId="77777777" w:rsidR="00B02873" w:rsidRDefault="00B02873" w:rsidP="00B415A9">
            <w:pPr>
              <w:pStyle w:val="TablebodyleftTables"/>
            </w:pPr>
            <w:r>
              <w:t>The Joint Fuel Management Program (JFMP) was published on the FFMVic website in October 2021, which sets out locations across public and private land where both FFMVic and the Country Fire Authority (CFA) intend to carry out fuel management operations.</w:t>
            </w:r>
          </w:p>
          <w:p w14:paraId="60219D5B" w14:textId="77777777" w:rsidR="00B02873" w:rsidRDefault="00B02873" w:rsidP="00B415A9">
            <w:pPr>
              <w:pStyle w:val="TablebodyleftTables"/>
            </w:pPr>
            <w:r>
              <w:t>All cultural burns on the JFMP were nominated and planned to be carried out by Traditional Owners with support from FFMVic. A total of 13 Traditional Owner cultural burns were delivered in 2021-22.</w:t>
            </w:r>
          </w:p>
        </w:tc>
      </w:tr>
      <w:tr w:rsidR="00B02873" w:rsidRPr="00B02873" w14:paraId="08C35B99" w14:textId="77777777" w:rsidTr="003243B5">
        <w:tc>
          <w:tcPr>
            <w:tcW w:w="2339" w:type="dxa"/>
          </w:tcPr>
          <w:p w14:paraId="50CB76FE" w14:textId="77777777" w:rsidR="00B02873" w:rsidRDefault="00B02873" w:rsidP="00B415A9">
            <w:pPr>
              <w:pStyle w:val="TablebodyleftTables"/>
            </w:pPr>
            <w:r>
              <w:t xml:space="preserve">Emergency management preparedness </w:t>
            </w:r>
          </w:p>
        </w:tc>
        <w:tc>
          <w:tcPr>
            <w:tcW w:w="7289" w:type="dxa"/>
          </w:tcPr>
          <w:p w14:paraId="28A0D3BA" w14:textId="5FDE2931" w:rsidR="00B02873" w:rsidRDefault="00B02873" w:rsidP="00B415A9">
            <w:pPr>
              <w:pStyle w:val="TablebodyleftTables"/>
            </w:pPr>
            <w:r>
              <w:t>Through the Safer Together Community First program, staff and volunteers across agencies received training aimed at building their capacity and capability in community engagement skills and knowledge.</w:t>
            </w:r>
            <w:r w:rsidR="00012C04">
              <w:t xml:space="preserve"> </w:t>
            </w:r>
          </w:p>
          <w:p w14:paraId="3CE75E29" w14:textId="5348EE2B" w:rsidR="00B02873" w:rsidRDefault="00B02873" w:rsidP="00B415A9">
            <w:pPr>
              <w:pStyle w:val="TablebodyleftTables"/>
            </w:pPr>
            <w:r>
              <w:t>The Safer Together Community Based Bushfire Management (CBBM) program, which makes decisions related to bushfires in equal partnership with communities, has grown. This multi-agency program has 23 CBBM communities with 92 per cent classed as high functioning and a further six proposed communities being scoped for suitability.</w:t>
            </w:r>
            <w:r w:rsidR="00012C04">
              <w:t xml:space="preserve"> </w:t>
            </w:r>
          </w:p>
          <w:p w14:paraId="131431B3" w14:textId="77777777" w:rsidR="00B02873" w:rsidRDefault="00B02873" w:rsidP="00B415A9">
            <w:pPr>
              <w:pStyle w:val="TablebodyleftTables"/>
            </w:pPr>
            <w:r>
              <w:t>DELWP released various public messaging in 2021-22 to support community preparedness and decision making in emergencies. For example, information on preparing for power outages was shared on social media when an emergency was likely to cause power disruptions.</w:t>
            </w:r>
          </w:p>
        </w:tc>
      </w:tr>
      <w:tr w:rsidR="00B02873" w:rsidRPr="00B02873" w14:paraId="79553953" w14:textId="77777777" w:rsidTr="003243B5">
        <w:tc>
          <w:tcPr>
            <w:tcW w:w="2339" w:type="dxa"/>
          </w:tcPr>
          <w:p w14:paraId="499DBF91" w14:textId="77777777" w:rsidR="00B02873" w:rsidRDefault="00B02873" w:rsidP="00B415A9">
            <w:pPr>
              <w:pStyle w:val="TablebodyleftTables"/>
            </w:pPr>
            <w:r>
              <w:t>Improving DELWP’s fire and emergency management capability and increasing the diversity of our workforce</w:t>
            </w:r>
          </w:p>
        </w:tc>
        <w:tc>
          <w:tcPr>
            <w:tcW w:w="7289" w:type="dxa"/>
          </w:tcPr>
          <w:p w14:paraId="43CB065A" w14:textId="6375FA6A" w:rsidR="00B02873" w:rsidRDefault="00B02873" w:rsidP="00B415A9">
            <w:pPr>
              <w:pStyle w:val="TablebodyleftTables"/>
            </w:pPr>
            <w:r>
              <w:t>Work towards developing modular approaches to fire and emergency training continued throughout 2021-22 and new and revised training programs have been issued.</w:t>
            </w:r>
            <w:r w:rsidR="00012C04">
              <w:t xml:space="preserve"> </w:t>
            </w:r>
            <w:r>
              <w:t>The modular approaches provide greater flexibility for participation. New approaches enable priority training to continue and provide a blend of online and face to face training.</w:t>
            </w:r>
          </w:p>
          <w:p w14:paraId="5EBF7B04" w14:textId="77777777" w:rsidR="00B02873" w:rsidRDefault="00B02873" w:rsidP="00B415A9">
            <w:pPr>
              <w:pStyle w:val="TablebodyleftTables"/>
            </w:pPr>
            <w:r>
              <w:t>DELWP maintained its strong focus on increasing diversity within its Forest, Fire and Regions Group. During 2021-22, two Crew Leader courses achieved around 50 per cent and 30 per cent female participation, an increase from the historical average of 20 per cent female participation.</w:t>
            </w:r>
          </w:p>
          <w:p w14:paraId="72DF3DDD" w14:textId="77777777" w:rsidR="00B02873" w:rsidRDefault="00B02873" w:rsidP="00B415A9">
            <w:pPr>
              <w:pStyle w:val="TablebodyleftTables"/>
            </w:pPr>
            <w:r>
              <w:t>DELWP delivered a pilot to train new Class 2 emergency State Controllers, with 23 participants in the 2021-22 program.</w:t>
            </w:r>
          </w:p>
        </w:tc>
      </w:tr>
      <w:tr w:rsidR="00B02873" w:rsidRPr="00B02873" w14:paraId="09F0C660" w14:textId="77777777" w:rsidTr="003243B5">
        <w:tc>
          <w:tcPr>
            <w:tcW w:w="2339" w:type="dxa"/>
          </w:tcPr>
          <w:p w14:paraId="558510AC" w14:textId="77777777" w:rsidR="00B02873" w:rsidRDefault="00B02873" w:rsidP="00B415A9">
            <w:pPr>
              <w:pStyle w:val="TablebodyleftTables"/>
            </w:pPr>
            <w:r>
              <w:t xml:space="preserve">Upgrading analogue radios to an encrypted digital radio system </w:t>
            </w:r>
          </w:p>
        </w:tc>
        <w:tc>
          <w:tcPr>
            <w:tcW w:w="7289" w:type="dxa"/>
          </w:tcPr>
          <w:p w14:paraId="6CDD897F" w14:textId="77777777" w:rsidR="00B02873" w:rsidRDefault="00B02873" w:rsidP="00B415A9">
            <w:pPr>
              <w:pStyle w:val="TablebodyleftTables"/>
            </w:pPr>
            <w:r>
              <w:t xml:space="preserve">A project team was established in October 2021 to manage and deliver the radio communications project. Radio firmware for the regional mobile radio network was delivered in May 2022 to ensure interoperability and reliability of the radio system during emergencies. </w:t>
            </w:r>
          </w:p>
        </w:tc>
      </w:tr>
      <w:tr w:rsidR="00B02873" w:rsidRPr="00B02873" w14:paraId="3D1A168E" w14:textId="77777777" w:rsidTr="003243B5">
        <w:tc>
          <w:tcPr>
            <w:tcW w:w="2339" w:type="dxa"/>
          </w:tcPr>
          <w:p w14:paraId="74F70074" w14:textId="77777777" w:rsidR="00B02873" w:rsidRDefault="00B02873" w:rsidP="00B415A9">
            <w:pPr>
              <w:pStyle w:val="TablebodyleftTables"/>
            </w:pPr>
            <w:r>
              <w:lastRenderedPageBreak/>
              <w:t xml:space="preserve">Supporting safe egress and access on the strategic fire access road network </w:t>
            </w:r>
          </w:p>
        </w:tc>
        <w:tc>
          <w:tcPr>
            <w:tcW w:w="7289" w:type="dxa"/>
          </w:tcPr>
          <w:p w14:paraId="42D94918" w14:textId="77777777" w:rsidR="00B02873" w:rsidRDefault="00B02873" w:rsidP="00B415A9">
            <w:pPr>
              <w:pStyle w:val="TablebodyleftTables"/>
            </w:pPr>
            <w:r>
              <w:t>In 2021-22, 10 crossing structures were replaced with a focus on priority structures on strategic fire access roads and 2,024 kilometres of road upgrades and improvements delivered across our strategic fire access road network. This included 355 kilometres of verge and roadside vegetation management to support safe egress and access for firefighters and other road users.</w:t>
            </w:r>
          </w:p>
          <w:p w14:paraId="24D5E760" w14:textId="6CB8FD7A" w:rsidR="00B02873" w:rsidRDefault="00B02873" w:rsidP="00B415A9">
            <w:pPr>
              <w:pStyle w:val="TablebodyleftTables"/>
            </w:pPr>
            <w:r>
              <w:t>A two-year road condition assessment project commenced in September 2021 to undertake on-ground condition assessment inspections of priority roads. This will update and validate our asset management data and contribute to the strategic management of our roading network.</w:t>
            </w:r>
          </w:p>
        </w:tc>
      </w:tr>
      <w:tr w:rsidR="00B02873" w:rsidRPr="00B02873" w14:paraId="55A543D9" w14:textId="77777777" w:rsidTr="003243B5">
        <w:tc>
          <w:tcPr>
            <w:tcW w:w="2339" w:type="dxa"/>
          </w:tcPr>
          <w:p w14:paraId="2CE026C5" w14:textId="77777777" w:rsidR="00B02873" w:rsidRDefault="00B02873" w:rsidP="00B415A9">
            <w:pPr>
              <w:pStyle w:val="TablebodyleftTables"/>
            </w:pPr>
            <w:r>
              <w:t>Supporting Traditional Owner-led cultural land and fire management practices</w:t>
            </w:r>
          </w:p>
        </w:tc>
        <w:tc>
          <w:tcPr>
            <w:tcW w:w="7289" w:type="dxa"/>
          </w:tcPr>
          <w:p w14:paraId="2E3C1D99" w14:textId="4014A520" w:rsidR="00B02873" w:rsidRDefault="00B02873" w:rsidP="00B415A9">
            <w:pPr>
              <w:pStyle w:val="TablebodyleftTables"/>
            </w:pPr>
            <w:r>
              <w:t>The Victorian Government committed $22.5 million from 2021-22 to 2024-25 and $6.3 million ongoing to support Traditional Owner led cultural land and fire management practices. A key priority in 2021-22 was establishing equitable distribution principles and negotiating the transfer of funds directly to Traditional Owners.</w:t>
            </w:r>
          </w:p>
          <w:p w14:paraId="53483BBD" w14:textId="77777777" w:rsidR="00B02873" w:rsidRDefault="00B02873" w:rsidP="00B415A9">
            <w:pPr>
              <w:pStyle w:val="TablebodyleftTables"/>
            </w:pPr>
            <w:r>
              <w:t>DELWP worked in partnership with 10 Traditional Owner Corporations to co-develop funding agreements, which will see the transfer of power and resources to them to implement their self-determined pathways for implementing cultural fire.</w:t>
            </w:r>
          </w:p>
          <w:p w14:paraId="1528B49A" w14:textId="77777777" w:rsidR="00B02873" w:rsidRDefault="00B02873" w:rsidP="00B415A9">
            <w:pPr>
              <w:pStyle w:val="TablebodyleftTables"/>
            </w:pPr>
            <w:r>
              <w:t>The remaining funds are to be distributed through a competitive grants program – Cultural Fire Grants. Applications closed in May 2022, with applications now progressing through a two-stage assessment process. Successful applicants will be notified by September 2022.</w:t>
            </w:r>
          </w:p>
        </w:tc>
      </w:tr>
      <w:tr w:rsidR="00B02873" w:rsidRPr="00B02873" w14:paraId="34F77850" w14:textId="77777777" w:rsidTr="003243B5">
        <w:tc>
          <w:tcPr>
            <w:tcW w:w="2339" w:type="dxa"/>
          </w:tcPr>
          <w:p w14:paraId="4028B5BF" w14:textId="77777777" w:rsidR="00B02873" w:rsidRDefault="00B02873" w:rsidP="00B415A9">
            <w:pPr>
              <w:pStyle w:val="TablebodyleftTables"/>
            </w:pPr>
            <w:r>
              <w:t xml:space="preserve">Community engagement on bushfire management planning </w:t>
            </w:r>
          </w:p>
        </w:tc>
        <w:tc>
          <w:tcPr>
            <w:tcW w:w="7289" w:type="dxa"/>
          </w:tcPr>
          <w:p w14:paraId="74D13906" w14:textId="77777777" w:rsidR="00B02873" w:rsidRDefault="00B02873" w:rsidP="00B415A9">
            <w:pPr>
              <w:pStyle w:val="TablebodyleftTables"/>
            </w:pPr>
            <w:r>
              <w:t xml:space="preserve">DELWP held 24 stakeholder and community forums on bushfire management and planned burning during 2021-22. </w:t>
            </w:r>
          </w:p>
          <w:p w14:paraId="198596D0" w14:textId="77777777" w:rsidR="00B02873" w:rsidRDefault="00B02873" w:rsidP="00B415A9">
            <w:pPr>
              <w:pStyle w:val="TablebodyleftTables"/>
            </w:pPr>
            <w:r>
              <w:t>Additional engagement was delivered to raise awareness of fallen debris and bushfire risk following storm events in June and October 2021, as well as regular engagement on planned burning.</w:t>
            </w:r>
          </w:p>
        </w:tc>
      </w:tr>
      <w:tr w:rsidR="00B02873" w:rsidRPr="00B02873" w14:paraId="67A8842D" w14:textId="77777777" w:rsidTr="003243B5">
        <w:tc>
          <w:tcPr>
            <w:tcW w:w="2339" w:type="dxa"/>
          </w:tcPr>
          <w:p w14:paraId="14CF6B3C" w14:textId="77777777" w:rsidR="00B02873" w:rsidRDefault="00B02873" w:rsidP="00B415A9">
            <w:pPr>
              <w:pStyle w:val="TablebodyleftTables"/>
            </w:pPr>
            <w:r>
              <w:t xml:space="preserve">Strengthening partnerships to reduce bushfire risk </w:t>
            </w:r>
          </w:p>
        </w:tc>
        <w:tc>
          <w:tcPr>
            <w:tcW w:w="7289" w:type="dxa"/>
          </w:tcPr>
          <w:p w14:paraId="74518BED" w14:textId="77777777" w:rsidR="00B02873" w:rsidRDefault="00B02873" w:rsidP="00B415A9">
            <w:pPr>
              <w:pStyle w:val="TablebodyleftTables"/>
            </w:pPr>
            <w:r>
              <w:t>The Office of Bushfire Risk Management (OBRM) was established in July 2021. Its purpose is to work with fire and land management agencies to develop and coordinate an end-to end framework for policy, planning, delivery and reporting on bushfire risk management across all land tenures in Victoria.</w:t>
            </w:r>
          </w:p>
          <w:p w14:paraId="7771E699" w14:textId="77777777" w:rsidR="00B02873" w:rsidRDefault="00B02873" w:rsidP="00B415A9">
            <w:pPr>
              <w:pStyle w:val="TablebodyleftTables"/>
            </w:pPr>
            <w:r>
              <w:t>A review of governance was conducted for the Safer Together program and changes made effective from 1 December 2021, ensuring a stronger alignment with the newly established OBRM, as well as more fully embedding recommendations from the Inspector-General for Emergency Management Phase 1 Inquiry into the 2019-20 Victorian fire season, to expand the Safer Together model to other agencies involved in bushfire management.</w:t>
            </w:r>
          </w:p>
        </w:tc>
      </w:tr>
      <w:tr w:rsidR="00B02873" w:rsidRPr="00B02873" w14:paraId="29F9C654" w14:textId="77777777" w:rsidTr="003243B5">
        <w:tc>
          <w:tcPr>
            <w:tcW w:w="2339" w:type="dxa"/>
          </w:tcPr>
          <w:p w14:paraId="46E39148" w14:textId="77777777" w:rsidR="00B02873" w:rsidRDefault="00B02873" w:rsidP="00B415A9">
            <w:pPr>
              <w:pStyle w:val="TablebodyleftTables"/>
            </w:pPr>
            <w:r>
              <w:lastRenderedPageBreak/>
              <w:t xml:space="preserve">Investing in and applying bushfire science and modelling to bushfire risk planning </w:t>
            </w:r>
          </w:p>
        </w:tc>
        <w:tc>
          <w:tcPr>
            <w:tcW w:w="7289" w:type="dxa"/>
          </w:tcPr>
          <w:p w14:paraId="23495651" w14:textId="77777777" w:rsidR="00B02873" w:rsidRDefault="00B02873" w:rsidP="00B415A9">
            <w:pPr>
              <w:pStyle w:val="TablebodyleftTables"/>
            </w:pPr>
            <w:r>
              <w:t>New pilot metrics for the effects of fire on ecosystem resilience, threatened species, fire size and intensity, water yield and quality, critical infrastructure and agricultural values were developed through the Fire Ecology program and Risk 2.0 project. These metrics will be used by fire managers to better target actions to reduce bushfire risk and reduce impacts of bushfire on people, communities and the environment.</w:t>
            </w:r>
          </w:p>
          <w:p w14:paraId="4F812F20" w14:textId="77777777" w:rsidR="00B02873" w:rsidRDefault="00B02873" w:rsidP="00B415A9">
            <w:pPr>
              <w:pStyle w:val="TablebodyleftTables"/>
            </w:pPr>
            <w:r>
              <w:t>OBRM held more than 50 briefings with agencies and practitioners on the metrics and their potential application to land and fire management.</w:t>
            </w:r>
          </w:p>
        </w:tc>
      </w:tr>
      <w:tr w:rsidR="00B02873" w:rsidRPr="00B02873" w14:paraId="63584CA5" w14:textId="77777777" w:rsidTr="003243B5">
        <w:tc>
          <w:tcPr>
            <w:tcW w:w="2339" w:type="dxa"/>
          </w:tcPr>
          <w:p w14:paraId="6E3A46F9" w14:textId="77777777" w:rsidR="00B02873" w:rsidRDefault="00B02873" w:rsidP="00B415A9">
            <w:pPr>
              <w:pStyle w:val="TablebodyleftTables"/>
            </w:pPr>
            <w:r>
              <w:t>Leading and supporting the response to fire and other emergencies</w:t>
            </w:r>
          </w:p>
        </w:tc>
        <w:tc>
          <w:tcPr>
            <w:tcW w:w="7289" w:type="dxa"/>
          </w:tcPr>
          <w:p w14:paraId="4CC1C314" w14:textId="257FD41E" w:rsidR="00B02873" w:rsidRDefault="00B02873" w:rsidP="00B415A9">
            <w:pPr>
              <w:pStyle w:val="TablebodyleftTables"/>
            </w:pPr>
            <w:r>
              <w:t>During the 2021-22 bushfire season, Forest Fire Management Victoria (FFMVic) crews contained 97.5 per cent of fires at first attack. Crews attended 1,066 fires impacting 12,588.8 hectares, of which approximately 59 per cent were unattended campfires. FFMVic firefighters limited the spread of 92.7 per cent of fires this season to less than five hectares in area.</w:t>
            </w:r>
            <w:r w:rsidR="00012C04">
              <w:t xml:space="preserve"> </w:t>
            </w:r>
            <w:r>
              <w:t xml:space="preserve">FFMVic crews also assisted the Country Fire Authority (CFA) with the management and suppression of fires on private land. </w:t>
            </w:r>
          </w:p>
          <w:p w14:paraId="4065C396" w14:textId="77777777" w:rsidR="00B02873" w:rsidRDefault="00B02873" w:rsidP="00B415A9">
            <w:pPr>
              <w:pStyle w:val="TablebodyleftTables"/>
            </w:pPr>
            <w:r>
              <w:t xml:space="preserve">FFMVic Crews responded to 58 non-fire emergency events. The majority of these events consisted of cetacean, wildlife, search and rescue and blue green algae events. </w:t>
            </w:r>
          </w:p>
          <w:p w14:paraId="1B0D2BDC" w14:textId="6E05F0A7" w:rsidR="00B02873" w:rsidRDefault="00B02873" w:rsidP="00B415A9">
            <w:pPr>
              <w:pStyle w:val="TablebodyleftTables"/>
            </w:pPr>
            <w:r>
              <w:t>FFMVic crews were deployed to assist the response to flood and storm operations within Victoria and the March</w:t>
            </w:r>
            <w:r w:rsidR="000C45FC">
              <w:t xml:space="preserve"> – </w:t>
            </w:r>
            <w:r>
              <w:t>April 2022 flood event in NSW. This involved the provision of incident management staff and on-ground operational personnel.</w:t>
            </w:r>
          </w:p>
        </w:tc>
      </w:tr>
      <w:tr w:rsidR="00B02873" w:rsidRPr="00B02873" w14:paraId="2011545F" w14:textId="77777777" w:rsidTr="003243B5">
        <w:tc>
          <w:tcPr>
            <w:tcW w:w="2339" w:type="dxa"/>
          </w:tcPr>
          <w:p w14:paraId="4D8138D9" w14:textId="4A6713C2" w:rsidR="00B02873" w:rsidRDefault="00B02873" w:rsidP="00B415A9">
            <w:pPr>
              <w:pStyle w:val="TablebodyleftTables"/>
            </w:pPr>
            <w:r>
              <w:t xml:space="preserve">Partnering with and supporting the emergency management sector to build resilience </w:t>
            </w:r>
          </w:p>
        </w:tc>
        <w:tc>
          <w:tcPr>
            <w:tcW w:w="7289" w:type="dxa"/>
          </w:tcPr>
          <w:p w14:paraId="716EADAD" w14:textId="77777777" w:rsidR="00B02873" w:rsidRDefault="00B02873" w:rsidP="00B415A9">
            <w:pPr>
              <w:pStyle w:val="TablebodyleftTables"/>
            </w:pPr>
            <w:r>
              <w:t xml:space="preserve">DELWP contributed to Emergency Management Victoria’s Coordinated Learning Review into the June 2021 storms. The review identified opportunities to improve emergency management operations, arrangements and community resilience. </w:t>
            </w:r>
          </w:p>
          <w:p w14:paraId="3E09C5AD" w14:textId="77777777" w:rsidR="00B02873" w:rsidRDefault="00B02873" w:rsidP="00B415A9">
            <w:pPr>
              <w:pStyle w:val="TablebodyleftTables"/>
            </w:pPr>
            <w:r>
              <w:t xml:space="preserve">DELWP undertook reviews into the energy emergencies that occurred as a result of the June 2021 storms. Implementation of recommendations from these reviews will support community resilience in future events. </w:t>
            </w:r>
          </w:p>
          <w:p w14:paraId="17F15332" w14:textId="77777777" w:rsidR="00B02873" w:rsidRDefault="00B02873" w:rsidP="00B415A9">
            <w:pPr>
              <w:pStyle w:val="TablebodyleftTables"/>
            </w:pPr>
            <w:r>
              <w:t>Through the Safer Together program, DELWP partnered with the CFA and local communities to share knowledge and increase the role of communities in the planning and conduct of bushfire management.</w:t>
            </w:r>
          </w:p>
        </w:tc>
      </w:tr>
      <w:tr w:rsidR="00B02873" w:rsidRPr="00B02873" w14:paraId="15D7B48F" w14:textId="77777777" w:rsidTr="003243B5">
        <w:tc>
          <w:tcPr>
            <w:tcW w:w="2339" w:type="dxa"/>
          </w:tcPr>
          <w:p w14:paraId="53DE849F" w14:textId="77777777" w:rsidR="00B02873" w:rsidRDefault="00B02873" w:rsidP="00B415A9">
            <w:pPr>
              <w:pStyle w:val="TablebodyleftTables"/>
            </w:pPr>
            <w:r>
              <w:t>One-DELWP emergency recovery model</w:t>
            </w:r>
          </w:p>
        </w:tc>
        <w:tc>
          <w:tcPr>
            <w:tcW w:w="7289" w:type="dxa"/>
          </w:tcPr>
          <w:p w14:paraId="1A92A5E0" w14:textId="77777777" w:rsidR="00B02873" w:rsidRDefault="00B02873" w:rsidP="00B415A9">
            <w:pPr>
              <w:pStyle w:val="TablebodyleftTables"/>
            </w:pPr>
            <w:r>
              <w:t xml:space="preserve">A One-DELWP emergency recovery function has been in place since early 2020 to ensure the effective and coordinated delivery of continuous, overlapping recovery activities from significant emergencies. </w:t>
            </w:r>
          </w:p>
          <w:p w14:paraId="06F23B40" w14:textId="77777777" w:rsidR="00B02873" w:rsidRDefault="00B02873" w:rsidP="00B415A9">
            <w:pPr>
              <w:pStyle w:val="TablebodyleftTables"/>
            </w:pPr>
            <w:r>
              <w:t>Based on these learnings, and consultation across the department, a permanent One-DELWP recovery model was developed. It is expected that implementation of this model will ensure DELWP can continue to meet its recovery obligations in the face of climate change, minimise impacts to communities, the environment and the economy; and minimise costs.</w:t>
            </w:r>
          </w:p>
        </w:tc>
      </w:tr>
      <w:tr w:rsidR="00B02873" w:rsidRPr="00B02873" w14:paraId="4CF03046" w14:textId="77777777" w:rsidTr="003243B5">
        <w:tc>
          <w:tcPr>
            <w:tcW w:w="2339" w:type="dxa"/>
          </w:tcPr>
          <w:p w14:paraId="0F368F2B" w14:textId="77777777" w:rsidR="00B02873" w:rsidRDefault="00B02873" w:rsidP="00B415A9">
            <w:pPr>
              <w:pStyle w:val="TablebodyleftTables"/>
            </w:pPr>
            <w:r>
              <w:lastRenderedPageBreak/>
              <w:t xml:space="preserve">Bushfire, storm and flood recovery </w:t>
            </w:r>
          </w:p>
        </w:tc>
        <w:tc>
          <w:tcPr>
            <w:tcW w:w="7289" w:type="dxa"/>
          </w:tcPr>
          <w:p w14:paraId="3B1F2775" w14:textId="77777777" w:rsidR="00B02873" w:rsidRDefault="00B02873" w:rsidP="00B415A9">
            <w:pPr>
              <w:pStyle w:val="TablebodyleftTables"/>
            </w:pPr>
            <w:r>
              <w:t>Key achievements in 2021-22 include:</w:t>
            </w:r>
          </w:p>
          <w:p w14:paraId="35398E3E" w14:textId="77777777" w:rsidR="00B02873" w:rsidRDefault="00B02873" w:rsidP="003243B5">
            <w:pPr>
              <w:pStyle w:val="TableBulletleftTables"/>
            </w:pPr>
            <w:r>
              <w:t>reopening 6,490 kilometres (89 per cent of target) of public land roads following the June 2021 storm events, including 96 per cent of the impacted strategic fire access network to ensure critical access for emergency and firefighting services</w:t>
            </w:r>
          </w:p>
          <w:p w14:paraId="7C12B916" w14:textId="0A4B81B4" w:rsidR="00B02873" w:rsidRDefault="00B02873" w:rsidP="003243B5">
            <w:pPr>
              <w:pStyle w:val="TableBulletleftTables"/>
            </w:pPr>
            <w:r>
              <w:t xml:space="preserve">clearing and reopening 459 kilometres of bushfire-impacted public land roads, with a total of 8,979 kilometres reopened since the 2019-20 bushfire season </w:t>
            </w:r>
          </w:p>
          <w:p w14:paraId="755375A7" w14:textId="77777777" w:rsidR="00B02873" w:rsidRDefault="00B02873" w:rsidP="003243B5">
            <w:pPr>
              <w:pStyle w:val="TableBulletleftTables"/>
            </w:pPr>
            <w:r>
              <w:t xml:space="preserve">clearing 6,696 kilometres of a target 7,419 kilometres (90 per cent) of storm debris from public land roads </w:t>
            </w:r>
          </w:p>
          <w:p w14:paraId="1DD580D4" w14:textId="0DBB87D9" w:rsidR="00B02873" w:rsidRDefault="00B02873" w:rsidP="003243B5">
            <w:pPr>
              <w:pStyle w:val="TableBulletleftTables"/>
            </w:pPr>
            <w:r>
              <w:t xml:space="preserve">making safe and reopening 210 of a target 218 storm impacted recreation sites (94 per cent) and 167 of a target of 177 (94 per cent) storm impacted walking tracks </w:t>
            </w:r>
          </w:p>
          <w:p w14:paraId="22BC13EB" w14:textId="77777777" w:rsidR="00B02873" w:rsidRDefault="00B02873" w:rsidP="003243B5">
            <w:pPr>
              <w:pStyle w:val="TableBulletleftTables"/>
            </w:pPr>
            <w:r>
              <w:t>structural completion of repairs to the Morwell River Diversion at Yallourn Power Station</w:t>
            </w:r>
          </w:p>
          <w:p w14:paraId="2454DC1D" w14:textId="7F64DBF8" w:rsidR="00B02873" w:rsidRDefault="00B02873" w:rsidP="003243B5">
            <w:pPr>
              <w:pStyle w:val="TableBulletleftTables"/>
            </w:pPr>
            <w:r>
              <w:t>supporting threatened species and wildlife to recover, including repairing damaged aquatic barriers, installing nest boxes and conducting pest plant and animal control. 87 grants, totalling $210,000, have been paid to wildlife rehabilitators in storm-affected areas</w:t>
            </w:r>
            <w:r w:rsidR="00012C04">
              <w:t xml:space="preserve"> </w:t>
            </w:r>
          </w:p>
          <w:p w14:paraId="668D11C9" w14:textId="77777777" w:rsidR="00B02873" w:rsidRDefault="00B02873" w:rsidP="003243B5">
            <w:pPr>
              <w:pStyle w:val="TableBulletleftTables"/>
            </w:pPr>
            <w:r>
              <w:t>supporting Yarra Ranges Shire Council to establish a Rebuilding Support Service following the storms and floods in June 2021, which has had 173 program registrations to 30 June 2022.</w:t>
            </w:r>
          </w:p>
        </w:tc>
      </w:tr>
      <w:tr w:rsidR="00B02873" w:rsidRPr="00B02873" w14:paraId="43356515" w14:textId="77777777" w:rsidTr="003243B5">
        <w:tc>
          <w:tcPr>
            <w:tcW w:w="2339" w:type="dxa"/>
          </w:tcPr>
          <w:p w14:paraId="3578C89E" w14:textId="77777777" w:rsidR="00B02873" w:rsidRDefault="00B02873" w:rsidP="00B415A9">
            <w:pPr>
              <w:pStyle w:val="TablebodyleftTables"/>
            </w:pPr>
            <w:r>
              <w:t xml:space="preserve">Ecological burning </w:t>
            </w:r>
          </w:p>
        </w:tc>
        <w:tc>
          <w:tcPr>
            <w:tcW w:w="7289" w:type="dxa"/>
          </w:tcPr>
          <w:p w14:paraId="75B53168" w14:textId="4F79E79C" w:rsidR="00B02873" w:rsidRDefault="00B02873" w:rsidP="00B415A9">
            <w:pPr>
              <w:pStyle w:val="TablebodyleftTables"/>
            </w:pPr>
            <w:r>
              <w:t>The Joint Fuel Management Program 2021-22</w:t>
            </w:r>
            <w:r w:rsidR="00202DAA">
              <w:t>–</w:t>
            </w:r>
            <w:r>
              <w:t>2023-24 identifies 158 ecological burns covering a total of 44,417 hectares. As at 30 June 2022, 28 ecological burns have been delivered, covering 2,507 hectares.</w:t>
            </w:r>
          </w:p>
        </w:tc>
      </w:tr>
    </w:tbl>
    <w:p w14:paraId="7273ABAB" w14:textId="77777777" w:rsidR="00B02873" w:rsidRDefault="00B02873" w:rsidP="00FE198A"/>
    <w:p w14:paraId="5A8DC58B" w14:textId="19E164D7" w:rsidR="00B02873" w:rsidRDefault="00B02873" w:rsidP="00202DAA">
      <w:pPr>
        <w:pStyle w:val="Heading4"/>
      </w:pPr>
      <w:r>
        <w:t>Indicator: Percentage of bushfires contained at first attack and/or under five hectares to suppress bushfires promptly, keep bushfires small and minimise loss</w:t>
      </w:r>
    </w:p>
    <w:p w14:paraId="76E63B28" w14:textId="1C7E1264" w:rsidR="00202DAA" w:rsidRPr="00202DAA" w:rsidRDefault="00202DAA" w:rsidP="00202DAA">
      <w:pPr>
        <w:rPr>
          <w:lang w:val="en-GB"/>
        </w:rPr>
      </w:pPr>
      <w:r>
        <w:rPr>
          <w:noProof/>
          <w:lang w:val="en-GB"/>
        </w:rPr>
        <w:drawing>
          <wp:inline distT="0" distB="0" distL="0" distR="0" wp14:anchorId="2B94457F" wp14:editId="4B830897">
            <wp:extent cx="3048006" cy="2883414"/>
            <wp:effectExtent l="0" t="0" r="0" b="0"/>
            <wp:docPr id="28" name="Picture 28" descr="Graph showing the percentage of bushfires contained at first attack and/or under five hectares against the target of 80 per cent. The graph shows that from 2017-18 to 2021-22, the target of 80 per cent has been consistently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 showing the percentage of bushfires contained at first attack and/or under five hectares against the target of 80 per cent. The graph shows that from 2017-18 to 2021-22, the target of 80 per cent has been consistently exceeded."/>
                    <pic:cNvPicPr/>
                  </pic:nvPicPr>
                  <pic:blipFill>
                    <a:blip r:embed="rId37"/>
                    <a:stretch>
                      <a:fillRect/>
                    </a:stretch>
                  </pic:blipFill>
                  <pic:spPr>
                    <a:xfrm>
                      <a:off x="0" y="0"/>
                      <a:ext cx="3048006" cy="2883414"/>
                    </a:xfrm>
                    <a:prstGeom prst="rect">
                      <a:avLst/>
                    </a:prstGeom>
                  </pic:spPr>
                </pic:pic>
              </a:graphicData>
            </a:graphic>
          </wp:inline>
        </w:drawing>
      </w:r>
    </w:p>
    <w:p w14:paraId="0BE03A3E" w14:textId="4D72811E" w:rsidR="00B02873" w:rsidRDefault="00B02873" w:rsidP="00FE198A">
      <w:r>
        <w:rPr>
          <w:spacing w:val="-1"/>
        </w:rPr>
        <w:lastRenderedPageBreak/>
        <w:t>In 2021-22, 97.5 per cent of fires were contained at ‘first attack’ or by 0800 hours the day after detection (against a target of 80 per cent) and 92.7 per cent of fires were contained at less than five hectares in size (against a target of 80 per cent). Performance is above target due to low bushfire risk in 2021-22, with fires generally being smaller, less frequent and less likely to spread due to benign weather conditions before rapid first attack can suppress them. Contract extensions for seasonal workers and additional Forest Fire Operations Officers allowed for increased patrols and preparedness works significantly ahead of and into the bushfire season.</w:t>
      </w:r>
      <w:r w:rsidR="00012C04">
        <w:rPr>
          <w:spacing w:val="-1"/>
        </w:rPr>
        <w:t xml:space="preserve"> </w:t>
      </w:r>
      <w:r>
        <w:rPr>
          <w:spacing w:val="-1"/>
        </w:rPr>
        <w:t>FFMVic crews responded to 1,066 fires impacting 12,588.76 hectares of public and private land during the 2021-22 bushfire season. Enhanced preparedness activities ensured that resources were adequately placed to respond to fires in line with seasonal conditions and bushfire risk assessments for the fire season.</w:t>
      </w:r>
    </w:p>
    <w:p w14:paraId="342720B6" w14:textId="34A3F003" w:rsidR="00B02873" w:rsidRDefault="00B02873" w:rsidP="00202DAA">
      <w:pPr>
        <w:pStyle w:val="Heading4"/>
      </w:pPr>
      <w:r>
        <w:t xml:space="preserve">Indicator: Area treated through planned burning and other treatments to maintain the statewide bushfire risk at or below 70 per cent </w:t>
      </w:r>
    </w:p>
    <w:p w14:paraId="103B75AA" w14:textId="12A93A5A" w:rsidR="00202DAA" w:rsidRPr="00202DAA" w:rsidRDefault="00202DAA" w:rsidP="00202DAA">
      <w:pPr>
        <w:rPr>
          <w:lang w:val="en-GB"/>
        </w:rPr>
      </w:pPr>
      <w:r>
        <w:rPr>
          <w:noProof/>
          <w:lang w:val="en-GB"/>
        </w:rPr>
        <w:drawing>
          <wp:inline distT="0" distB="0" distL="0" distR="0" wp14:anchorId="01303896" wp14:editId="5C37DC53">
            <wp:extent cx="3048006" cy="3380239"/>
            <wp:effectExtent l="0" t="0" r="0" b="0"/>
            <wp:docPr id="29" name="Picture 29" descr="Graph showing the area treated through planned burning and other treatments against the statewide bushfire risk over time. In 2021-22, 78,300 hectares of land was treated to enable a provisional statewide bushfire risk at 62 per cent as at 30 Jun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 showing the area treated through planned burning and other treatments against the statewide bushfire risk over time. In 2021-22, 78,300 hectares of land was treated to enable a provisional statewide bushfire risk at 62 per cent as at 30 June 2022."/>
                    <pic:cNvPicPr/>
                  </pic:nvPicPr>
                  <pic:blipFill>
                    <a:blip r:embed="rId38"/>
                    <a:stretch>
                      <a:fillRect/>
                    </a:stretch>
                  </pic:blipFill>
                  <pic:spPr>
                    <a:xfrm>
                      <a:off x="0" y="0"/>
                      <a:ext cx="3048006" cy="3380239"/>
                    </a:xfrm>
                    <a:prstGeom prst="rect">
                      <a:avLst/>
                    </a:prstGeom>
                  </pic:spPr>
                </pic:pic>
              </a:graphicData>
            </a:graphic>
          </wp:inline>
        </w:drawing>
      </w:r>
    </w:p>
    <w:p w14:paraId="5C1EA4D5" w14:textId="77777777" w:rsidR="00B02873" w:rsidRPr="00202DAA" w:rsidRDefault="00B02873" w:rsidP="00202DAA">
      <w:pPr>
        <w:pStyle w:val="SourceNote"/>
      </w:pPr>
      <w:r w:rsidRPr="00202DAA">
        <w:t>Note the result of 63 per cent for 2020-21 differs to the result published in the 2021-22 Annual Report of 64 per cent as final calculations were incorporated and completed in late 2021.</w:t>
      </w:r>
    </w:p>
    <w:p w14:paraId="1EA65A7E" w14:textId="78B705AA" w:rsidR="00B02873" w:rsidRDefault="00B02873" w:rsidP="00FE198A">
      <w:r>
        <w:rPr>
          <w:spacing w:val="-1"/>
        </w:rPr>
        <w:t>The provisional statewide bushfire residual risk for 2021-22 is 62 per cent (as at 30 June 2022), against a target of 70 per cent or less. Final calculations will be complete later in 2022 and published in the annual Fuel Management Report. This is a decrease (reduced level of risk) from 63 per cent in 2020-21 and 64 per cent in 2019-20. This has also led to a two per cent reduction from the projected statewide residual risk (64 per cent) in the absence of bushfire and planned burning. Due to climatic conditions limiting opportunities for planned burning, the focus for 2021-22 was on conducting fuel management in more densely populated central parts of the state where life and property could be best protected. This approach enabled FFMVic to reduce bushfire risk on public land in areas such as the Otways, Latrobe, Midlands, and Murrindindi districts. FFMVic conducted fuel treatment of 62,625 hectares via planned burning and a further 15,667 hectares by means of mechanical fuel treatment such as slashing, mowing and chaining.</w:t>
      </w:r>
    </w:p>
    <w:p w14:paraId="6EEA68D1" w14:textId="77777777" w:rsidR="00B02873" w:rsidRDefault="00B02873" w:rsidP="00FE198A">
      <w:r>
        <w:t>In 2021-22, 66 per cent of priority burns were delivered (89 burns delivered from 135 planned priority burns). This compares to 74 per cent in 2020-21 (104 delivered from 141 planned priority burns) and 43 per cent in 2019-20 (60 delivered from 139 planned priority burns). Wet weather in 2021-22 affected the delivery of some priority burns, leading to the slight decrease from 2020-21. However, the priority burns delivered in 2021-22 were focussed on higher risk districts. The higher delivery rate of priority burns in 2020-21 was due to the cooler, drier weather conditions allowing for more burns to be delivered.</w:t>
      </w:r>
    </w:p>
    <w:p w14:paraId="31C3F9FC" w14:textId="0BA7764E" w:rsidR="00B02873" w:rsidRDefault="00B02873" w:rsidP="00F0771C">
      <w:pPr>
        <w:pStyle w:val="Heading4"/>
      </w:pPr>
      <w:r>
        <w:lastRenderedPageBreak/>
        <w:t xml:space="preserve">Indicator: Percentage of agreed departmental emergency management obligations met on time and to standard </w:t>
      </w:r>
    </w:p>
    <w:p w14:paraId="32724170" w14:textId="4EF0B7BC" w:rsidR="00F0771C" w:rsidRPr="00F0771C" w:rsidRDefault="00F0771C" w:rsidP="00F0771C">
      <w:pPr>
        <w:rPr>
          <w:lang w:val="en-GB"/>
        </w:rPr>
      </w:pPr>
      <w:r>
        <w:rPr>
          <w:noProof/>
          <w:lang w:val="en-GB"/>
        </w:rPr>
        <w:drawing>
          <wp:inline distT="0" distB="0" distL="0" distR="0" wp14:anchorId="03C573A7" wp14:editId="7FF2C6C0">
            <wp:extent cx="3048006" cy="2724918"/>
            <wp:effectExtent l="0" t="0" r="0" b="0"/>
            <wp:docPr id="30" name="Picture 30" descr="Graph showing the percentage of agreed departmental emergency management obligations met on time and to standard. The result was 100% each year from 2017-18 to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 showing the percentage of agreed departmental emergency management obligations met on time and to standard. The result was 100% each year from 2017-18 to 2021-22."/>
                    <pic:cNvPicPr/>
                  </pic:nvPicPr>
                  <pic:blipFill>
                    <a:blip r:embed="rId39"/>
                    <a:stretch>
                      <a:fillRect/>
                    </a:stretch>
                  </pic:blipFill>
                  <pic:spPr>
                    <a:xfrm>
                      <a:off x="0" y="0"/>
                      <a:ext cx="3048006" cy="2724918"/>
                    </a:xfrm>
                    <a:prstGeom prst="rect">
                      <a:avLst/>
                    </a:prstGeom>
                  </pic:spPr>
                </pic:pic>
              </a:graphicData>
            </a:graphic>
          </wp:inline>
        </w:drawing>
      </w:r>
    </w:p>
    <w:p w14:paraId="465A0D4A" w14:textId="77777777" w:rsidR="00B02873" w:rsidRDefault="00B02873" w:rsidP="00FE198A">
      <w:r>
        <w:rPr>
          <w:spacing w:val="-1"/>
        </w:rPr>
        <w:t>100 per cent of the department’s emergency management obligations were met on time and to standard, meeting its accountabilities under the State Emergency Management Plan. DELWP fulfilled its obligations as a support agency assisting VicSES and Emergency Management Victoria through the provision of Incident Management Team resources placed at Incident Control Centres, Regional Control Centres and within the State Control Centre.</w:t>
      </w:r>
    </w:p>
    <w:p w14:paraId="6E48F309" w14:textId="77777777" w:rsidR="00B02873" w:rsidRDefault="00B02873" w:rsidP="00F0771C">
      <w:pPr>
        <w:pStyle w:val="Heading4"/>
      </w:pPr>
      <w:r>
        <w:t xml:space="preserve">Indicator: The economic impact of fire prevention and preparedness investment </w:t>
      </w:r>
    </w:p>
    <w:p w14:paraId="7FA0A1BE" w14:textId="77777777" w:rsidR="00B02873" w:rsidRDefault="00B02873" w:rsidP="00FE198A">
      <w:r>
        <w:rPr>
          <w:spacing w:val="-1"/>
        </w:rPr>
        <w:t>As part of the Safer Together initiative, DELWP has invested in the uplift of existing bushfire risk models and data. This involved partnering with research institutions to support the development of new modelling capabilities. Data for the indicator will be available for publication in the 2022-23 annual report.</w:t>
      </w:r>
    </w:p>
    <w:p w14:paraId="5069F16E" w14:textId="77777777" w:rsidR="00B02873" w:rsidRDefault="00B02873" w:rsidP="00F0771C">
      <w:pPr>
        <w:pStyle w:val="Normalbeforebullet"/>
      </w:pPr>
      <w:r>
        <w:t>DELWP’s investment in bushfire prevention and preparedness activities addresses significant social, environmental and economic costs associated with response and recovery. Key activities delivered during 2021-22 included:</w:t>
      </w:r>
    </w:p>
    <w:p w14:paraId="0B5FE919" w14:textId="77777777" w:rsidR="00B02873" w:rsidRDefault="00B02873" w:rsidP="00B02873">
      <w:pPr>
        <w:pStyle w:val="Bullet1Lists"/>
      </w:pPr>
      <w:r>
        <w:t>delivering a targeted program of fuel treatment, including planned burning, mechanical fuel treatment and creating and upgrading strategic fuel breaks</w:t>
      </w:r>
    </w:p>
    <w:p w14:paraId="797E1947" w14:textId="77777777" w:rsidR="00B02873" w:rsidRDefault="00B02873" w:rsidP="00B02873">
      <w:pPr>
        <w:pStyle w:val="Bullet1Lists"/>
      </w:pPr>
      <w:r>
        <w:t>employing additional firefighters for fuel management and first attack</w:t>
      </w:r>
    </w:p>
    <w:p w14:paraId="759CB7A5" w14:textId="77777777" w:rsidR="00B02873" w:rsidRDefault="00B02873" w:rsidP="00B02873">
      <w:pPr>
        <w:pStyle w:val="Bullet1Lists"/>
      </w:pPr>
      <w:r>
        <w:t>improving bushfire risk modelling, smoke modelling, fire ecology capability and risk communication products to share bushfire risk knowledge, data and information with Victorians living in or visiting high bushfire risk areas</w:t>
      </w:r>
    </w:p>
    <w:p w14:paraId="183E22B7" w14:textId="71853D23" w:rsidR="00B02873" w:rsidRDefault="00B02873" w:rsidP="00B02873">
      <w:pPr>
        <w:pStyle w:val="Bullet1Lists"/>
      </w:pPr>
      <w:r>
        <w:t>delivering the Safer Together</w:t>
      </w:r>
      <w:r w:rsidR="000C45FC">
        <w:t xml:space="preserve"> – </w:t>
      </w:r>
      <w:r>
        <w:t>Local Government Partnerships Grants program, which awarded $1.82 million in grants over three years to support local councils to develop and extend bushfire risk reduction programs with local communities</w:t>
      </w:r>
    </w:p>
    <w:p w14:paraId="22C67E01" w14:textId="77777777" w:rsidR="00B02873" w:rsidRDefault="00B02873" w:rsidP="00F0771C">
      <w:pPr>
        <w:pStyle w:val="Bullet1Listslast"/>
      </w:pPr>
      <w:r>
        <w:t>supporting communities to better understand and mitigate their bushfire risk through dedicated community-based bushfire officers and project officers across the state.</w:t>
      </w:r>
    </w:p>
    <w:p w14:paraId="35598555" w14:textId="77777777" w:rsidR="00B02873" w:rsidRDefault="00B02873" w:rsidP="00F0771C">
      <w:pPr>
        <w:pStyle w:val="Heading3"/>
      </w:pPr>
      <w:r>
        <w:t>Output performance measures</w:t>
      </w:r>
    </w:p>
    <w:p w14:paraId="465CF056" w14:textId="77777777" w:rsidR="00B02873" w:rsidRDefault="00B02873" w:rsidP="00F0771C">
      <w:pPr>
        <w:pStyle w:val="Heading4"/>
      </w:pPr>
      <w:r>
        <w:t>Fire and Emergency Management</w:t>
      </w:r>
    </w:p>
    <w:p w14:paraId="767CE0A4" w14:textId="77777777" w:rsidR="00B02873" w:rsidRDefault="00B02873" w:rsidP="00FE198A">
      <w:r>
        <w:t xml:space="preserve">This output plans and delivers integrated bushfire management. Through this output, DELWP works with land and fire managers to plan and deliver bushfire management across public and private land; involves local communities in decision-making, drawing on local values and insights to promote resilience; invests in science and partnerships to build knowledge of the relationship </w:t>
      </w:r>
      <w:r>
        <w:lastRenderedPageBreak/>
        <w:t xml:space="preserve">between fire and the environment to better manage risk; monitors and assesses the impact and effectiveness of fire management operations; ensures its workforce is effectively trained and prepared; and maintains a strategic road network to facilitate fire and emergency related activities and provide access for the community, timber and tourism industries. </w:t>
      </w:r>
    </w:p>
    <w:p w14:paraId="2FC2E5C5" w14:textId="35FCB5C3" w:rsidR="00B02873" w:rsidRDefault="00B02873" w:rsidP="00FE198A">
      <w:r>
        <w:t>The performance measures below compare targets and expected or actual results from the delivery of programs and services as part of this output.</w:t>
      </w:r>
    </w:p>
    <w:tbl>
      <w:tblPr>
        <w:tblStyle w:val="TableGrid"/>
        <w:tblW w:w="9776" w:type="dxa"/>
        <w:tblLayout w:type="fixed"/>
        <w:tblLook w:val="0020" w:firstRow="1" w:lastRow="0" w:firstColumn="0" w:lastColumn="0" w:noHBand="0" w:noVBand="0"/>
      </w:tblPr>
      <w:tblGrid>
        <w:gridCol w:w="3256"/>
        <w:gridCol w:w="1134"/>
        <w:gridCol w:w="992"/>
        <w:gridCol w:w="992"/>
        <w:gridCol w:w="1559"/>
        <w:gridCol w:w="1843"/>
      </w:tblGrid>
      <w:tr w:rsidR="00B02873" w:rsidRPr="00B02873" w14:paraId="5C11475A" w14:textId="77777777" w:rsidTr="00F0771C">
        <w:trPr>
          <w:cnfStyle w:val="100000000000" w:firstRow="1" w:lastRow="0" w:firstColumn="0" w:lastColumn="0" w:oddVBand="0" w:evenVBand="0" w:oddHBand="0" w:evenHBand="0" w:firstRowFirstColumn="0" w:firstRowLastColumn="0" w:lastRowFirstColumn="0" w:lastRowLastColumn="0"/>
          <w:tblHeader/>
        </w:trPr>
        <w:tc>
          <w:tcPr>
            <w:tcW w:w="3256" w:type="dxa"/>
          </w:tcPr>
          <w:p w14:paraId="62F58983" w14:textId="77777777" w:rsidR="00B02873" w:rsidRDefault="00B02873" w:rsidP="00F0771C">
            <w:pPr>
              <w:pStyle w:val="TableheadingleftTables"/>
            </w:pPr>
            <w:r>
              <w:t>Output performance measures</w:t>
            </w:r>
          </w:p>
        </w:tc>
        <w:tc>
          <w:tcPr>
            <w:tcW w:w="1134" w:type="dxa"/>
          </w:tcPr>
          <w:p w14:paraId="00A9435B" w14:textId="77777777" w:rsidR="00B02873" w:rsidRDefault="00B02873" w:rsidP="00F0771C">
            <w:pPr>
              <w:pStyle w:val="TableheadingleftTables"/>
            </w:pPr>
            <w:r>
              <w:t>Unit of measure</w:t>
            </w:r>
          </w:p>
        </w:tc>
        <w:tc>
          <w:tcPr>
            <w:tcW w:w="992" w:type="dxa"/>
          </w:tcPr>
          <w:p w14:paraId="7889A896" w14:textId="77777777" w:rsidR="00B02873" w:rsidRDefault="00B02873" w:rsidP="00DE1159">
            <w:pPr>
              <w:pStyle w:val="TableheadingleftTables"/>
              <w:jc w:val="right"/>
            </w:pPr>
            <w:r>
              <w:t>2021-22 actual</w:t>
            </w:r>
          </w:p>
        </w:tc>
        <w:tc>
          <w:tcPr>
            <w:tcW w:w="992" w:type="dxa"/>
          </w:tcPr>
          <w:p w14:paraId="54157AFA" w14:textId="77777777" w:rsidR="00B02873" w:rsidRDefault="00B02873" w:rsidP="00DE1159">
            <w:pPr>
              <w:pStyle w:val="TableheadingleftTables"/>
              <w:jc w:val="right"/>
            </w:pPr>
            <w:r>
              <w:t>2021-22 target</w:t>
            </w:r>
          </w:p>
        </w:tc>
        <w:tc>
          <w:tcPr>
            <w:tcW w:w="1559" w:type="dxa"/>
          </w:tcPr>
          <w:p w14:paraId="571BB132" w14:textId="77777777" w:rsidR="00B02873" w:rsidRDefault="00B02873" w:rsidP="00DE1159">
            <w:pPr>
              <w:pStyle w:val="TableheadingleftTables"/>
              <w:jc w:val="right"/>
            </w:pPr>
            <w:r>
              <w:rPr>
                <w:spacing w:val="-3"/>
              </w:rPr>
              <w:t>Performance variation (%)</w:t>
            </w:r>
          </w:p>
        </w:tc>
        <w:tc>
          <w:tcPr>
            <w:tcW w:w="1843" w:type="dxa"/>
          </w:tcPr>
          <w:p w14:paraId="5C69A5FA" w14:textId="77777777" w:rsidR="00B02873" w:rsidRDefault="00B02873" w:rsidP="00F0771C">
            <w:pPr>
              <w:pStyle w:val="TableheadingleftTables"/>
            </w:pPr>
            <w:r>
              <w:t>Result</w:t>
            </w:r>
          </w:p>
        </w:tc>
      </w:tr>
      <w:tr w:rsidR="00B02873" w:rsidRPr="00B02873" w14:paraId="68C50D6C" w14:textId="77777777" w:rsidTr="00F0771C">
        <w:tc>
          <w:tcPr>
            <w:tcW w:w="3256" w:type="dxa"/>
          </w:tcPr>
          <w:p w14:paraId="1DEB383D" w14:textId="77777777" w:rsidR="00B02873" w:rsidRDefault="00B02873" w:rsidP="00B415A9">
            <w:pPr>
              <w:pStyle w:val="TableheadingleftTables"/>
            </w:pPr>
            <w:r>
              <w:t>Quantity</w:t>
            </w:r>
          </w:p>
        </w:tc>
        <w:tc>
          <w:tcPr>
            <w:tcW w:w="1134" w:type="dxa"/>
          </w:tcPr>
          <w:p w14:paraId="63D94F41" w14:textId="77777777" w:rsidR="00B02873" w:rsidRPr="00B02873" w:rsidRDefault="00B02873" w:rsidP="00B415A9">
            <w:pPr>
              <w:pStyle w:val="NoParagraphStyle"/>
              <w:spacing w:line="240" w:lineRule="auto"/>
              <w:textAlignment w:val="auto"/>
              <w:rPr>
                <w:rFonts w:ascii="Apple Symbols Regular" w:hAnsi="Apple Symbols Regular" w:cs="Times New Roman"/>
                <w:color w:val="auto"/>
                <w:lang w:val="en-AU"/>
              </w:rPr>
            </w:pPr>
          </w:p>
        </w:tc>
        <w:tc>
          <w:tcPr>
            <w:tcW w:w="992" w:type="dxa"/>
          </w:tcPr>
          <w:p w14:paraId="22C25B50" w14:textId="77777777" w:rsidR="00B02873" w:rsidRPr="00B02873" w:rsidRDefault="00B02873" w:rsidP="00DE1159">
            <w:pPr>
              <w:pStyle w:val="NoParagraphStyle"/>
              <w:spacing w:line="240" w:lineRule="auto"/>
              <w:jc w:val="right"/>
              <w:textAlignment w:val="auto"/>
              <w:rPr>
                <w:rFonts w:ascii="Apple Symbols Regular" w:hAnsi="Apple Symbols Regular" w:cs="Times New Roman"/>
                <w:color w:val="auto"/>
                <w:lang w:val="en-AU"/>
              </w:rPr>
            </w:pPr>
          </w:p>
        </w:tc>
        <w:tc>
          <w:tcPr>
            <w:tcW w:w="992" w:type="dxa"/>
          </w:tcPr>
          <w:p w14:paraId="1535D8B8" w14:textId="77777777" w:rsidR="00B02873" w:rsidRPr="00B02873" w:rsidRDefault="00B02873" w:rsidP="00DE1159">
            <w:pPr>
              <w:pStyle w:val="NoParagraphStyle"/>
              <w:spacing w:line="240" w:lineRule="auto"/>
              <w:jc w:val="right"/>
              <w:textAlignment w:val="auto"/>
              <w:rPr>
                <w:rFonts w:ascii="Apple Symbols Regular" w:hAnsi="Apple Symbols Regular" w:cs="Times New Roman"/>
                <w:color w:val="auto"/>
                <w:lang w:val="en-AU"/>
              </w:rPr>
            </w:pPr>
          </w:p>
        </w:tc>
        <w:tc>
          <w:tcPr>
            <w:tcW w:w="1559" w:type="dxa"/>
          </w:tcPr>
          <w:p w14:paraId="4DC7B75A" w14:textId="77777777" w:rsidR="00B02873" w:rsidRPr="00B02873" w:rsidRDefault="00B02873" w:rsidP="00DE1159">
            <w:pPr>
              <w:pStyle w:val="NoParagraphStyle"/>
              <w:spacing w:line="240" w:lineRule="auto"/>
              <w:jc w:val="right"/>
              <w:textAlignment w:val="auto"/>
              <w:rPr>
                <w:rFonts w:ascii="Apple Symbols Regular" w:hAnsi="Apple Symbols Regular" w:cs="Times New Roman"/>
                <w:color w:val="auto"/>
                <w:lang w:val="en-AU"/>
              </w:rPr>
            </w:pPr>
          </w:p>
        </w:tc>
        <w:tc>
          <w:tcPr>
            <w:tcW w:w="1843" w:type="dxa"/>
          </w:tcPr>
          <w:p w14:paraId="01D1CD7E" w14:textId="77777777" w:rsidR="00B02873" w:rsidRPr="00B02873" w:rsidRDefault="00B02873" w:rsidP="00B415A9">
            <w:pPr>
              <w:pStyle w:val="NoParagraphStyle"/>
              <w:spacing w:line="240" w:lineRule="auto"/>
              <w:textAlignment w:val="auto"/>
              <w:rPr>
                <w:rFonts w:ascii="Apple Symbols Regular" w:hAnsi="Apple Symbols Regular" w:cs="Times New Roman"/>
                <w:color w:val="auto"/>
                <w:lang w:val="en-AU"/>
              </w:rPr>
            </w:pPr>
          </w:p>
        </w:tc>
      </w:tr>
      <w:tr w:rsidR="00B02873" w:rsidRPr="00B02873" w14:paraId="28BC50AC" w14:textId="77777777" w:rsidTr="00F0771C">
        <w:tc>
          <w:tcPr>
            <w:tcW w:w="3256" w:type="dxa"/>
          </w:tcPr>
          <w:p w14:paraId="6AA0E058" w14:textId="77777777" w:rsidR="00B02873" w:rsidRDefault="00B02873" w:rsidP="00B415A9">
            <w:pPr>
              <w:pStyle w:val="TablebodyleftTables"/>
            </w:pPr>
            <w:r>
              <w:t>Strategic fuel breaks built or upgraded</w:t>
            </w:r>
          </w:p>
        </w:tc>
        <w:tc>
          <w:tcPr>
            <w:tcW w:w="1134" w:type="dxa"/>
          </w:tcPr>
          <w:p w14:paraId="38CB8755" w14:textId="77777777" w:rsidR="00B02873" w:rsidRDefault="00B02873" w:rsidP="00F0771C">
            <w:pPr>
              <w:pStyle w:val="TablebodyleftTables"/>
            </w:pPr>
            <w:r>
              <w:t>km</w:t>
            </w:r>
          </w:p>
        </w:tc>
        <w:tc>
          <w:tcPr>
            <w:tcW w:w="992" w:type="dxa"/>
          </w:tcPr>
          <w:p w14:paraId="731388EA" w14:textId="77777777" w:rsidR="00B02873" w:rsidRDefault="00B02873" w:rsidP="00DE1159">
            <w:pPr>
              <w:pStyle w:val="TablebodyleftTables"/>
              <w:jc w:val="right"/>
            </w:pPr>
            <w:r>
              <w:t>741.3</w:t>
            </w:r>
          </w:p>
        </w:tc>
        <w:tc>
          <w:tcPr>
            <w:tcW w:w="992" w:type="dxa"/>
          </w:tcPr>
          <w:p w14:paraId="4F786C52" w14:textId="77777777" w:rsidR="00B02873" w:rsidRDefault="00B02873" w:rsidP="00DE1159">
            <w:pPr>
              <w:pStyle w:val="TablebodyleftTables"/>
              <w:jc w:val="right"/>
            </w:pPr>
            <w:r>
              <w:t>963</w:t>
            </w:r>
          </w:p>
        </w:tc>
        <w:tc>
          <w:tcPr>
            <w:tcW w:w="1559" w:type="dxa"/>
          </w:tcPr>
          <w:p w14:paraId="59E0749B" w14:textId="77777777" w:rsidR="00B02873" w:rsidRDefault="00B02873" w:rsidP="00DE1159">
            <w:pPr>
              <w:pStyle w:val="TablebodyleftTables"/>
              <w:jc w:val="right"/>
            </w:pPr>
            <w:r>
              <w:t>(23%)</w:t>
            </w:r>
          </w:p>
        </w:tc>
        <w:tc>
          <w:tcPr>
            <w:tcW w:w="1843" w:type="dxa"/>
          </w:tcPr>
          <w:p w14:paraId="12E650F4" w14:textId="1B6535DD" w:rsidR="00B02873" w:rsidRDefault="00F0771C" w:rsidP="00F0771C">
            <w:pPr>
              <w:pStyle w:val="TablebodyleftTables"/>
            </w:pPr>
            <w:r>
              <w:t>Performance target not achieved – exceeds 5 per cent variance.</w:t>
            </w:r>
          </w:p>
        </w:tc>
      </w:tr>
    </w:tbl>
    <w:p w14:paraId="5E6EF981" w14:textId="1E722719" w:rsidR="004F78CF" w:rsidRPr="00474FAD" w:rsidRDefault="00474FAD">
      <w:pPr>
        <w:rPr>
          <w:i/>
          <w:iCs/>
        </w:rPr>
      </w:pPr>
      <w:r w:rsidRPr="00474FAD">
        <w:rPr>
          <w:i/>
          <w:iCs/>
        </w:rPr>
        <w:t>Performance is below target due to some works being brought forward and undertaken at the end of 2020-21, seasonal factors that delayed some works commencing in 2021-22 and COVID-19 impacts on contractor availability.</w:t>
      </w:r>
    </w:p>
    <w:tbl>
      <w:tblPr>
        <w:tblStyle w:val="TableGrid"/>
        <w:tblW w:w="9776" w:type="dxa"/>
        <w:tblLayout w:type="fixed"/>
        <w:tblLook w:val="0020" w:firstRow="1" w:lastRow="0" w:firstColumn="0" w:lastColumn="0" w:noHBand="0" w:noVBand="0"/>
      </w:tblPr>
      <w:tblGrid>
        <w:gridCol w:w="3256"/>
        <w:gridCol w:w="1134"/>
        <w:gridCol w:w="992"/>
        <w:gridCol w:w="992"/>
        <w:gridCol w:w="1559"/>
        <w:gridCol w:w="1843"/>
      </w:tblGrid>
      <w:tr w:rsidR="00474FAD" w:rsidRPr="00B02873" w14:paraId="52D3D1D1" w14:textId="77777777" w:rsidTr="000315A5">
        <w:trPr>
          <w:cnfStyle w:val="100000000000" w:firstRow="1" w:lastRow="0" w:firstColumn="0" w:lastColumn="0" w:oddVBand="0" w:evenVBand="0" w:oddHBand="0" w:evenHBand="0" w:firstRowFirstColumn="0" w:firstRowLastColumn="0" w:lastRowFirstColumn="0" w:lastRowLastColumn="0"/>
          <w:tblHeader/>
        </w:trPr>
        <w:tc>
          <w:tcPr>
            <w:tcW w:w="3256" w:type="dxa"/>
          </w:tcPr>
          <w:p w14:paraId="1A76A975" w14:textId="77777777" w:rsidR="00474FAD" w:rsidRDefault="00474FAD" w:rsidP="000315A5">
            <w:pPr>
              <w:pStyle w:val="TableheadingleftTables"/>
            </w:pPr>
            <w:r>
              <w:t>Output performance measures</w:t>
            </w:r>
          </w:p>
        </w:tc>
        <w:tc>
          <w:tcPr>
            <w:tcW w:w="1134" w:type="dxa"/>
          </w:tcPr>
          <w:p w14:paraId="554FB55C" w14:textId="77777777" w:rsidR="00474FAD" w:rsidRDefault="00474FAD" w:rsidP="000315A5">
            <w:pPr>
              <w:pStyle w:val="TableheadingleftTables"/>
            </w:pPr>
            <w:r>
              <w:t>Unit of measure</w:t>
            </w:r>
          </w:p>
        </w:tc>
        <w:tc>
          <w:tcPr>
            <w:tcW w:w="992" w:type="dxa"/>
          </w:tcPr>
          <w:p w14:paraId="6DED6BAD" w14:textId="77777777" w:rsidR="00474FAD" w:rsidRDefault="00474FAD" w:rsidP="00DE1159">
            <w:pPr>
              <w:pStyle w:val="TableheadingleftTables"/>
              <w:jc w:val="right"/>
            </w:pPr>
            <w:r>
              <w:t>2021-22 actual</w:t>
            </w:r>
          </w:p>
        </w:tc>
        <w:tc>
          <w:tcPr>
            <w:tcW w:w="992" w:type="dxa"/>
          </w:tcPr>
          <w:p w14:paraId="4848C335" w14:textId="77777777" w:rsidR="00474FAD" w:rsidRDefault="00474FAD" w:rsidP="00DE1159">
            <w:pPr>
              <w:pStyle w:val="TableheadingleftTables"/>
              <w:jc w:val="right"/>
            </w:pPr>
            <w:r>
              <w:t>2021-22 target</w:t>
            </w:r>
          </w:p>
        </w:tc>
        <w:tc>
          <w:tcPr>
            <w:tcW w:w="1559" w:type="dxa"/>
          </w:tcPr>
          <w:p w14:paraId="2A75AFBB" w14:textId="77777777" w:rsidR="00474FAD" w:rsidRDefault="00474FAD" w:rsidP="00DE1159">
            <w:pPr>
              <w:pStyle w:val="TableheadingleftTables"/>
              <w:jc w:val="right"/>
            </w:pPr>
            <w:r>
              <w:rPr>
                <w:spacing w:val="-3"/>
              </w:rPr>
              <w:t>Performance variation (%)</w:t>
            </w:r>
          </w:p>
        </w:tc>
        <w:tc>
          <w:tcPr>
            <w:tcW w:w="1843" w:type="dxa"/>
          </w:tcPr>
          <w:p w14:paraId="7FE36CDA" w14:textId="77777777" w:rsidR="00474FAD" w:rsidRDefault="00474FAD" w:rsidP="000315A5">
            <w:pPr>
              <w:pStyle w:val="TableheadingleftTables"/>
            </w:pPr>
            <w:r>
              <w:t>Result</w:t>
            </w:r>
          </w:p>
        </w:tc>
      </w:tr>
      <w:tr w:rsidR="00B02873" w:rsidRPr="00B02873" w14:paraId="54507974" w14:textId="77777777" w:rsidTr="00F0771C">
        <w:tc>
          <w:tcPr>
            <w:tcW w:w="3256" w:type="dxa"/>
          </w:tcPr>
          <w:p w14:paraId="6895E6DB" w14:textId="77777777" w:rsidR="00B02873" w:rsidRDefault="00B02873" w:rsidP="00B415A9">
            <w:pPr>
              <w:pStyle w:val="TablebodyleftTables"/>
            </w:pPr>
            <w:r>
              <w:t>Strategic fire access roads improved</w:t>
            </w:r>
          </w:p>
        </w:tc>
        <w:tc>
          <w:tcPr>
            <w:tcW w:w="1134" w:type="dxa"/>
          </w:tcPr>
          <w:p w14:paraId="59C65A37" w14:textId="77777777" w:rsidR="00B02873" w:rsidRDefault="00B02873" w:rsidP="00F0771C">
            <w:pPr>
              <w:pStyle w:val="TablebodyleftTables"/>
            </w:pPr>
            <w:r>
              <w:t>km</w:t>
            </w:r>
          </w:p>
        </w:tc>
        <w:tc>
          <w:tcPr>
            <w:tcW w:w="992" w:type="dxa"/>
          </w:tcPr>
          <w:p w14:paraId="297FD715" w14:textId="77777777" w:rsidR="00B02873" w:rsidRDefault="00B02873" w:rsidP="00DE1159">
            <w:pPr>
              <w:pStyle w:val="TablebodyleftTables"/>
              <w:jc w:val="right"/>
            </w:pPr>
            <w:r>
              <w:t>2 024</w:t>
            </w:r>
          </w:p>
        </w:tc>
        <w:tc>
          <w:tcPr>
            <w:tcW w:w="992" w:type="dxa"/>
          </w:tcPr>
          <w:p w14:paraId="286B1812" w14:textId="77777777" w:rsidR="00B02873" w:rsidRDefault="00B02873" w:rsidP="00DE1159">
            <w:pPr>
              <w:pStyle w:val="TablebodyleftTables"/>
              <w:jc w:val="right"/>
            </w:pPr>
            <w:r>
              <w:t>2 000</w:t>
            </w:r>
          </w:p>
        </w:tc>
        <w:tc>
          <w:tcPr>
            <w:tcW w:w="1559" w:type="dxa"/>
          </w:tcPr>
          <w:p w14:paraId="2F874368" w14:textId="77777777" w:rsidR="00B02873" w:rsidRDefault="00B02873" w:rsidP="00DE1159">
            <w:pPr>
              <w:pStyle w:val="TablebodyleftTables"/>
              <w:jc w:val="right"/>
            </w:pPr>
            <w:r>
              <w:t>1%</w:t>
            </w:r>
          </w:p>
        </w:tc>
        <w:tc>
          <w:tcPr>
            <w:tcW w:w="1843" w:type="dxa"/>
          </w:tcPr>
          <w:p w14:paraId="7331B097" w14:textId="178AEAF3" w:rsidR="00B02873" w:rsidRDefault="00F0771C" w:rsidP="00F0771C">
            <w:pPr>
              <w:pStyle w:val="TablebodyleftTables"/>
            </w:pPr>
            <w:r>
              <w:t>Performance target achieved or exceeded.</w:t>
            </w:r>
          </w:p>
        </w:tc>
      </w:tr>
      <w:tr w:rsidR="00B02873" w:rsidRPr="00B02873" w14:paraId="3385EDDC" w14:textId="77777777" w:rsidTr="00F0771C">
        <w:tc>
          <w:tcPr>
            <w:tcW w:w="3256" w:type="dxa"/>
          </w:tcPr>
          <w:p w14:paraId="2E5046DC" w14:textId="77777777" w:rsidR="00B02873" w:rsidRDefault="00B02873" w:rsidP="00B415A9">
            <w:pPr>
              <w:pStyle w:val="TablebodyleftTables"/>
            </w:pPr>
            <w:r>
              <w:t>Bridges or crossings on the strategic fire access road network replaced or upgraded</w:t>
            </w:r>
          </w:p>
        </w:tc>
        <w:tc>
          <w:tcPr>
            <w:tcW w:w="1134" w:type="dxa"/>
          </w:tcPr>
          <w:p w14:paraId="58BB3917" w14:textId="77777777" w:rsidR="00B02873" w:rsidRDefault="00B02873" w:rsidP="00F0771C">
            <w:pPr>
              <w:pStyle w:val="TablebodyleftTables"/>
            </w:pPr>
            <w:r>
              <w:t>number</w:t>
            </w:r>
          </w:p>
        </w:tc>
        <w:tc>
          <w:tcPr>
            <w:tcW w:w="992" w:type="dxa"/>
          </w:tcPr>
          <w:p w14:paraId="218A1906" w14:textId="77777777" w:rsidR="00B02873" w:rsidRDefault="00B02873" w:rsidP="00DE1159">
            <w:pPr>
              <w:pStyle w:val="TablebodyleftTables"/>
              <w:jc w:val="right"/>
            </w:pPr>
            <w:r>
              <w:t>10</w:t>
            </w:r>
          </w:p>
        </w:tc>
        <w:tc>
          <w:tcPr>
            <w:tcW w:w="992" w:type="dxa"/>
          </w:tcPr>
          <w:p w14:paraId="49EEC3B6" w14:textId="77777777" w:rsidR="00B02873" w:rsidRDefault="00B02873" w:rsidP="00DE1159">
            <w:pPr>
              <w:pStyle w:val="TablebodyleftTables"/>
              <w:jc w:val="right"/>
            </w:pPr>
            <w:r>
              <w:t>10</w:t>
            </w:r>
          </w:p>
        </w:tc>
        <w:tc>
          <w:tcPr>
            <w:tcW w:w="1559" w:type="dxa"/>
          </w:tcPr>
          <w:p w14:paraId="67D6F05C" w14:textId="77777777" w:rsidR="00B02873" w:rsidRDefault="00B02873" w:rsidP="00DE1159">
            <w:pPr>
              <w:pStyle w:val="TablebodyleftTables"/>
              <w:jc w:val="right"/>
            </w:pPr>
            <w:r>
              <w:t>0%</w:t>
            </w:r>
          </w:p>
        </w:tc>
        <w:tc>
          <w:tcPr>
            <w:tcW w:w="1843" w:type="dxa"/>
          </w:tcPr>
          <w:p w14:paraId="3BCFF20F" w14:textId="65F23292" w:rsidR="00B02873" w:rsidRDefault="00F0771C" w:rsidP="00F0771C">
            <w:pPr>
              <w:pStyle w:val="TablebodyleftTables"/>
            </w:pPr>
            <w:r>
              <w:t>Performance target achieved or exceeded.</w:t>
            </w:r>
          </w:p>
        </w:tc>
      </w:tr>
      <w:tr w:rsidR="00B02873" w:rsidRPr="00B02873" w14:paraId="1907B8E0" w14:textId="77777777" w:rsidTr="00F0771C">
        <w:tc>
          <w:tcPr>
            <w:tcW w:w="3256" w:type="dxa"/>
          </w:tcPr>
          <w:p w14:paraId="3402E48B" w14:textId="54CC0319" w:rsidR="00B02873" w:rsidRDefault="00B02873" w:rsidP="00B415A9">
            <w:pPr>
              <w:pStyle w:val="TablebodyleftTables"/>
            </w:pPr>
            <w:r>
              <w:t>Personnel with accreditation in a fire and emergency management role</w:t>
            </w:r>
          </w:p>
        </w:tc>
        <w:tc>
          <w:tcPr>
            <w:tcW w:w="1134" w:type="dxa"/>
          </w:tcPr>
          <w:p w14:paraId="6E06773E" w14:textId="77777777" w:rsidR="00B02873" w:rsidRDefault="00B02873" w:rsidP="00F0771C">
            <w:pPr>
              <w:pStyle w:val="TablebodyleftTables"/>
            </w:pPr>
            <w:r>
              <w:t>number</w:t>
            </w:r>
          </w:p>
        </w:tc>
        <w:tc>
          <w:tcPr>
            <w:tcW w:w="992" w:type="dxa"/>
          </w:tcPr>
          <w:p w14:paraId="0919820F" w14:textId="77777777" w:rsidR="00B02873" w:rsidRDefault="00B02873" w:rsidP="00DE1159">
            <w:pPr>
              <w:pStyle w:val="TablebodyleftTables"/>
              <w:jc w:val="right"/>
            </w:pPr>
            <w:r>
              <w:t>2 784</w:t>
            </w:r>
          </w:p>
        </w:tc>
        <w:tc>
          <w:tcPr>
            <w:tcW w:w="992" w:type="dxa"/>
          </w:tcPr>
          <w:p w14:paraId="329F28BB" w14:textId="77777777" w:rsidR="00B02873" w:rsidRDefault="00B02873" w:rsidP="00DE1159">
            <w:pPr>
              <w:pStyle w:val="TablebodyleftTables"/>
              <w:jc w:val="right"/>
            </w:pPr>
            <w:r>
              <w:t>2 400</w:t>
            </w:r>
          </w:p>
        </w:tc>
        <w:tc>
          <w:tcPr>
            <w:tcW w:w="1559" w:type="dxa"/>
          </w:tcPr>
          <w:p w14:paraId="1EEA5904" w14:textId="77777777" w:rsidR="00B02873" w:rsidRDefault="00B02873" w:rsidP="00DE1159">
            <w:pPr>
              <w:pStyle w:val="TablebodyleftTables"/>
              <w:jc w:val="right"/>
            </w:pPr>
            <w:r>
              <w:t>16%</w:t>
            </w:r>
          </w:p>
        </w:tc>
        <w:tc>
          <w:tcPr>
            <w:tcW w:w="1843" w:type="dxa"/>
          </w:tcPr>
          <w:p w14:paraId="1F65A215" w14:textId="61932B54" w:rsidR="00B02873" w:rsidRDefault="00F0771C" w:rsidP="00F0771C">
            <w:pPr>
              <w:pStyle w:val="TablebodyleftTables"/>
            </w:pPr>
            <w:r>
              <w:t>Performance target achieved or exceeded.</w:t>
            </w:r>
          </w:p>
        </w:tc>
      </w:tr>
    </w:tbl>
    <w:p w14:paraId="6266AD97" w14:textId="1124F21F" w:rsidR="004F78CF" w:rsidRPr="004F78CF" w:rsidRDefault="004F78CF">
      <w:pPr>
        <w:rPr>
          <w:i/>
          <w:iCs/>
        </w:rPr>
      </w:pPr>
      <w:r w:rsidRPr="004F78CF">
        <w:rPr>
          <w:i/>
          <w:iCs/>
        </w:rPr>
        <w:t>Performance is above target largely due to a targeted and proactive approach to ensuring staff progress to accreditation as soon as practicable after completing training and demonstrating their ability to perform the role.</w:t>
      </w:r>
    </w:p>
    <w:tbl>
      <w:tblPr>
        <w:tblStyle w:val="TableGrid"/>
        <w:tblW w:w="9776" w:type="dxa"/>
        <w:tblLayout w:type="fixed"/>
        <w:tblLook w:val="0020" w:firstRow="1" w:lastRow="0" w:firstColumn="0" w:lastColumn="0" w:noHBand="0" w:noVBand="0"/>
      </w:tblPr>
      <w:tblGrid>
        <w:gridCol w:w="3256"/>
        <w:gridCol w:w="1065"/>
        <w:gridCol w:w="1061"/>
        <w:gridCol w:w="992"/>
        <w:gridCol w:w="1559"/>
        <w:gridCol w:w="1843"/>
      </w:tblGrid>
      <w:tr w:rsidR="00474FAD" w:rsidRPr="00B02873" w14:paraId="1C2CD914" w14:textId="77777777" w:rsidTr="00474FAD">
        <w:trPr>
          <w:cnfStyle w:val="100000000000" w:firstRow="1" w:lastRow="0" w:firstColumn="0" w:lastColumn="0" w:oddVBand="0" w:evenVBand="0" w:oddHBand="0" w:evenHBand="0" w:firstRowFirstColumn="0" w:firstRowLastColumn="0" w:lastRowFirstColumn="0" w:lastRowLastColumn="0"/>
          <w:tblHeader/>
        </w:trPr>
        <w:tc>
          <w:tcPr>
            <w:tcW w:w="3256" w:type="dxa"/>
          </w:tcPr>
          <w:p w14:paraId="23252B0D" w14:textId="77777777" w:rsidR="00474FAD" w:rsidRDefault="00474FAD" w:rsidP="000315A5">
            <w:pPr>
              <w:pStyle w:val="TableheadingleftTables"/>
            </w:pPr>
            <w:r>
              <w:t>Output performance measures</w:t>
            </w:r>
          </w:p>
        </w:tc>
        <w:tc>
          <w:tcPr>
            <w:tcW w:w="1065" w:type="dxa"/>
          </w:tcPr>
          <w:p w14:paraId="63F14951" w14:textId="77777777" w:rsidR="00474FAD" w:rsidRDefault="00474FAD" w:rsidP="000315A5">
            <w:pPr>
              <w:pStyle w:val="TableheadingleftTables"/>
            </w:pPr>
            <w:r>
              <w:t>Unit of measure</w:t>
            </w:r>
          </w:p>
        </w:tc>
        <w:tc>
          <w:tcPr>
            <w:tcW w:w="1061" w:type="dxa"/>
          </w:tcPr>
          <w:p w14:paraId="3A96A016" w14:textId="77777777" w:rsidR="00474FAD" w:rsidRDefault="00474FAD" w:rsidP="00DE1159">
            <w:pPr>
              <w:pStyle w:val="TableheadingleftTables"/>
              <w:jc w:val="right"/>
            </w:pPr>
            <w:r>
              <w:t>2021-22 actual</w:t>
            </w:r>
          </w:p>
        </w:tc>
        <w:tc>
          <w:tcPr>
            <w:tcW w:w="992" w:type="dxa"/>
          </w:tcPr>
          <w:p w14:paraId="3F8848E7" w14:textId="77777777" w:rsidR="00474FAD" w:rsidRDefault="00474FAD" w:rsidP="00DE1159">
            <w:pPr>
              <w:pStyle w:val="TableheadingleftTables"/>
              <w:jc w:val="right"/>
            </w:pPr>
            <w:r>
              <w:t>2021-22 target</w:t>
            </w:r>
          </w:p>
        </w:tc>
        <w:tc>
          <w:tcPr>
            <w:tcW w:w="1559" w:type="dxa"/>
          </w:tcPr>
          <w:p w14:paraId="6A61A8BF" w14:textId="77777777" w:rsidR="00474FAD" w:rsidRDefault="00474FAD" w:rsidP="00DE1159">
            <w:pPr>
              <w:pStyle w:val="TableheadingleftTables"/>
              <w:jc w:val="right"/>
            </w:pPr>
            <w:r>
              <w:rPr>
                <w:spacing w:val="-3"/>
              </w:rPr>
              <w:t>Performance variation (%)</w:t>
            </w:r>
          </w:p>
        </w:tc>
        <w:tc>
          <w:tcPr>
            <w:tcW w:w="1843" w:type="dxa"/>
          </w:tcPr>
          <w:p w14:paraId="3F9397A1" w14:textId="77777777" w:rsidR="00474FAD" w:rsidRDefault="00474FAD" w:rsidP="000315A5">
            <w:pPr>
              <w:pStyle w:val="TableheadingleftTables"/>
            </w:pPr>
            <w:r>
              <w:t>Result</w:t>
            </w:r>
          </w:p>
        </w:tc>
      </w:tr>
      <w:tr w:rsidR="00B02873" w:rsidRPr="00B02873" w14:paraId="14249460" w14:textId="77777777" w:rsidTr="00474FAD">
        <w:tc>
          <w:tcPr>
            <w:tcW w:w="3256" w:type="dxa"/>
          </w:tcPr>
          <w:p w14:paraId="3875F2BE" w14:textId="77777777" w:rsidR="00B02873" w:rsidRDefault="00B02873" w:rsidP="00B415A9">
            <w:pPr>
              <w:pStyle w:val="TablebodyleftTables"/>
            </w:pPr>
            <w:r>
              <w:t>State forests roads (Category 1) and bridges (on Category 1 roads) with documented inspections and/or maintenance programs to meet regulatory obligations</w:t>
            </w:r>
          </w:p>
        </w:tc>
        <w:tc>
          <w:tcPr>
            <w:tcW w:w="1065" w:type="dxa"/>
          </w:tcPr>
          <w:p w14:paraId="1FEE2C3B" w14:textId="77777777" w:rsidR="00B02873" w:rsidRDefault="00B02873" w:rsidP="00F0771C">
            <w:pPr>
              <w:pStyle w:val="TablebodyleftTables"/>
            </w:pPr>
            <w:r>
              <w:t>per cent</w:t>
            </w:r>
          </w:p>
        </w:tc>
        <w:tc>
          <w:tcPr>
            <w:tcW w:w="1061" w:type="dxa"/>
          </w:tcPr>
          <w:p w14:paraId="0F2398AC" w14:textId="77777777" w:rsidR="00B02873" w:rsidRDefault="00B02873" w:rsidP="00DE1159">
            <w:pPr>
              <w:pStyle w:val="TablebodyleftTables"/>
              <w:jc w:val="right"/>
            </w:pPr>
            <w:r>
              <w:t>100</w:t>
            </w:r>
          </w:p>
        </w:tc>
        <w:tc>
          <w:tcPr>
            <w:tcW w:w="992" w:type="dxa"/>
          </w:tcPr>
          <w:p w14:paraId="63A4ABAA" w14:textId="77777777" w:rsidR="00B02873" w:rsidRDefault="00B02873" w:rsidP="00DE1159">
            <w:pPr>
              <w:pStyle w:val="TablebodyleftTables"/>
              <w:jc w:val="right"/>
            </w:pPr>
            <w:r>
              <w:t>100</w:t>
            </w:r>
          </w:p>
        </w:tc>
        <w:tc>
          <w:tcPr>
            <w:tcW w:w="1559" w:type="dxa"/>
          </w:tcPr>
          <w:p w14:paraId="3F5A86E7" w14:textId="77777777" w:rsidR="00B02873" w:rsidRDefault="00B02873" w:rsidP="00DE1159">
            <w:pPr>
              <w:pStyle w:val="TablebodyleftTables"/>
              <w:jc w:val="right"/>
            </w:pPr>
            <w:r>
              <w:t>0%</w:t>
            </w:r>
          </w:p>
        </w:tc>
        <w:tc>
          <w:tcPr>
            <w:tcW w:w="1843" w:type="dxa"/>
          </w:tcPr>
          <w:p w14:paraId="0EF62636" w14:textId="209DD222" w:rsidR="00B02873" w:rsidRDefault="00F0771C" w:rsidP="00F0771C">
            <w:pPr>
              <w:pStyle w:val="TablebodyleftTables"/>
            </w:pPr>
            <w:r>
              <w:t>Performance target achieved or exceeded.</w:t>
            </w:r>
          </w:p>
        </w:tc>
      </w:tr>
      <w:tr w:rsidR="00B02873" w:rsidRPr="00B02873" w14:paraId="37539638" w14:textId="77777777" w:rsidTr="00474FAD">
        <w:tc>
          <w:tcPr>
            <w:tcW w:w="3256" w:type="dxa"/>
          </w:tcPr>
          <w:p w14:paraId="5A5CE789" w14:textId="6A4D8A12" w:rsidR="00B02873" w:rsidRDefault="00B02873" w:rsidP="00B415A9">
            <w:pPr>
              <w:pStyle w:val="TablebodyleftTables"/>
            </w:pPr>
            <w:r>
              <w:t xml:space="preserve">Statewide bushfire risk is maintained at or below the target </w:t>
            </w:r>
          </w:p>
        </w:tc>
        <w:tc>
          <w:tcPr>
            <w:tcW w:w="1065" w:type="dxa"/>
          </w:tcPr>
          <w:p w14:paraId="392B699B" w14:textId="77777777" w:rsidR="00B02873" w:rsidRDefault="00B02873" w:rsidP="00F0771C">
            <w:pPr>
              <w:pStyle w:val="TablebodyleftTables"/>
            </w:pPr>
            <w:r>
              <w:t>per cent</w:t>
            </w:r>
          </w:p>
        </w:tc>
        <w:tc>
          <w:tcPr>
            <w:tcW w:w="1061" w:type="dxa"/>
          </w:tcPr>
          <w:p w14:paraId="517F3C4B" w14:textId="49B21BA9" w:rsidR="00B02873" w:rsidRDefault="00B02873" w:rsidP="00DE1159">
            <w:pPr>
              <w:pStyle w:val="TablebodyleftTables"/>
              <w:jc w:val="right"/>
            </w:pPr>
            <w:r>
              <w:t>62</w:t>
            </w:r>
            <w:r w:rsidR="00A93AE6">
              <w:t xml:space="preserve"> </w:t>
            </w:r>
            <w:r w:rsidRPr="004F78CF">
              <w:rPr>
                <w:spacing w:val="-4"/>
              </w:rPr>
              <w:t>(estimate)</w:t>
            </w:r>
          </w:p>
        </w:tc>
        <w:tc>
          <w:tcPr>
            <w:tcW w:w="992" w:type="dxa"/>
          </w:tcPr>
          <w:p w14:paraId="1938F30C" w14:textId="77777777" w:rsidR="00B02873" w:rsidRDefault="00B02873" w:rsidP="00DE1159">
            <w:pPr>
              <w:pStyle w:val="TablebodyleftTables"/>
              <w:jc w:val="right"/>
            </w:pPr>
            <w:r>
              <w:t>70</w:t>
            </w:r>
          </w:p>
        </w:tc>
        <w:tc>
          <w:tcPr>
            <w:tcW w:w="1559" w:type="dxa"/>
          </w:tcPr>
          <w:p w14:paraId="38D0D91E" w14:textId="77777777" w:rsidR="00B02873" w:rsidRDefault="00B02873" w:rsidP="00DE1159">
            <w:pPr>
              <w:pStyle w:val="TablebodyleftTables"/>
              <w:jc w:val="right"/>
            </w:pPr>
            <w:r>
              <w:t>11%</w:t>
            </w:r>
          </w:p>
        </w:tc>
        <w:tc>
          <w:tcPr>
            <w:tcW w:w="1843" w:type="dxa"/>
          </w:tcPr>
          <w:p w14:paraId="3F2631DC" w14:textId="1600327E" w:rsidR="00B02873" w:rsidRDefault="00F0771C" w:rsidP="00F0771C">
            <w:pPr>
              <w:pStyle w:val="TablebodyleftTables"/>
            </w:pPr>
            <w:r>
              <w:t>Performance target achieved or exceeded.</w:t>
            </w:r>
          </w:p>
        </w:tc>
      </w:tr>
    </w:tbl>
    <w:p w14:paraId="181E70FF" w14:textId="66CD3A96" w:rsidR="004F78CF" w:rsidRPr="004F78CF" w:rsidRDefault="004F78CF">
      <w:pPr>
        <w:rPr>
          <w:i/>
          <w:iCs/>
        </w:rPr>
      </w:pPr>
      <w:r w:rsidRPr="004F78CF">
        <w:rPr>
          <w:i/>
          <w:iCs/>
        </w:rPr>
        <w:lastRenderedPageBreak/>
        <w:t>The figure of 62 per cent is an interim figure. The final result will be published in the Fuel Management Report 2021-22.</w:t>
      </w:r>
      <w:r>
        <w:rPr>
          <w:i/>
          <w:iCs/>
        </w:rPr>
        <w:t xml:space="preserve"> </w:t>
      </w:r>
      <w:r w:rsidRPr="004F78CF">
        <w:rPr>
          <w:i/>
          <w:iCs/>
        </w:rPr>
        <w:t>Performance is above target due to completion of planned burns that were of state and/or regional priority, and allocation of additional planned burning taskforces to regions and districts with the highest bushfire residual risk.</w:t>
      </w:r>
    </w:p>
    <w:tbl>
      <w:tblPr>
        <w:tblStyle w:val="TableGrid"/>
        <w:tblW w:w="9776" w:type="dxa"/>
        <w:tblLayout w:type="fixed"/>
        <w:tblLook w:val="0020" w:firstRow="1" w:lastRow="0" w:firstColumn="0" w:lastColumn="0" w:noHBand="0" w:noVBand="0"/>
      </w:tblPr>
      <w:tblGrid>
        <w:gridCol w:w="3256"/>
        <w:gridCol w:w="1134"/>
        <w:gridCol w:w="992"/>
        <w:gridCol w:w="992"/>
        <w:gridCol w:w="1559"/>
        <w:gridCol w:w="1843"/>
      </w:tblGrid>
      <w:tr w:rsidR="00474FAD" w:rsidRPr="00B02873" w14:paraId="4D2336D2" w14:textId="77777777" w:rsidTr="000315A5">
        <w:trPr>
          <w:cnfStyle w:val="100000000000" w:firstRow="1" w:lastRow="0" w:firstColumn="0" w:lastColumn="0" w:oddVBand="0" w:evenVBand="0" w:oddHBand="0" w:evenHBand="0" w:firstRowFirstColumn="0" w:firstRowLastColumn="0" w:lastRowFirstColumn="0" w:lastRowLastColumn="0"/>
          <w:tblHeader/>
        </w:trPr>
        <w:tc>
          <w:tcPr>
            <w:tcW w:w="3256" w:type="dxa"/>
          </w:tcPr>
          <w:p w14:paraId="7F9082B8" w14:textId="77777777" w:rsidR="00474FAD" w:rsidRDefault="00474FAD" w:rsidP="000315A5">
            <w:pPr>
              <w:pStyle w:val="TableheadingleftTables"/>
            </w:pPr>
            <w:r>
              <w:t>Output performance measures</w:t>
            </w:r>
          </w:p>
        </w:tc>
        <w:tc>
          <w:tcPr>
            <w:tcW w:w="1134" w:type="dxa"/>
          </w:tcPr>
          <w:p w14:paraId="65F3BE5C" w14:textId="77777777" w:rsidR="00474FAD" w:rsidRDefault="00474FAD" w:rsidP="000315A5">
            <w:pPr>
              <w:pStyle w:val="TableheadingleftTables"/>
            </w:pPr>
            <w:r>
              <w:t>Unit of measure</w:t>
            </w:r>
          </w:p>
        </w:tc>
        <w:tc>
          <w:tcPr>
            <w:tcW w:w="992" w:type="dxa"/>
          </w:tcPr>
          <w:p w14:paraId="52DAB074" w14:textId="77777777" w:rsidR="00474FAD" w:rsidRDefault="00474FAD" w:rsidP="00DE1159">
            <w:pPr>
              <w:pStyle w:val="TableheadingleftTables"/>
              <w:jc w:val="right"/>
            </w:pPr>
            <w:r>
              <w:t>2021-22 actual</w:t>
            </w:r>
          </w:p>
        </w:tc>
        <w:tc>
          <w:tcPr>
            <w:tcW w:w="992" w:type="dxa"/>
          </w:tcPr>
          <w:p w14:paraId="2AB03499" w14:textId="77777777" w:rsidR="00474FAD" w:rsidRDefault="00474FAD" w:rsidP="00DE1159">
            <w:pPr>
              <w:pStyle w:val="TableheadingleftTables"/>
              <w:jc w:val="right"/>
            </w:pPr>
            <w:r>
              <w:t>2021-22 target</w:t>
            </w:r>
          </w:p>
        </w:tc>
        <w:tc>
          <w:tcPr>
            <w:tcW w:w="1559" w:type="dxa"/>
          </w:tcPr>
          <w:p w14:paraId="44DE9EFC" w14:textId="77777777" w:rsidR="00474FAD" w:rsidRDefault="00474FAD" w:rsidP="00DE1159">
            <w:pPr>
              <w:pStyle w:val="TableheadingleftTables"/>
              <w:jc w:val="right"/>
            </w:pPr>
            <w:r>
              <w:rPr>
                <w:spacing w:val="-3"/>
              </w:rPr>
              <w:t>Performance variation (%)</w:t>
            </w:r>
          </w:p>
        </w:tc>
        <w:tc>
          <w:tcPr>
            <w:tcW w:w="1843" w:type="dxa"/>
          </w:tcPr>
          <w:p w14:paraId="2B85F560" w14:textId="77777777" w:rsidR="00474FAD" w:rsidRDefault="00474FAD" w:rsidP="000315A5">
            <w:pPr>
              <w:pStyle w:val="TableheadingleftTables"/>
            </w:pPr>
            <w:r>
              <w:t>Result</w:t>
            </w:r>
          </w:p>
        </w:tc>
      </w:tr>
      <w:tr w:rsidR="00B02873" w:rsidRPr="00B02873" w14:paraId="2FF693B2" w14:textId="77777777" w:rsidTr="00F0771C">
        <w:tc>
          <w:tcPr>
            <w:tcW w:w="3256" w:type="dxa"/>
          </w:tcPr>
          <w:p w14:paraId="4594F64B" w14:textId="05E2E52F" w:rsidR="00B02873" w:rsidRDefault="00B02873" w:rsidP="00B415A9">
            <w:pPr>
              <w:pStyle w:val="TablebodyleftTables"/>
            </w:pPr>
            <w:r>
              <w:t>Stakeholder and community forums on bushfire management and planned burning held</w:t>
            </w:r>
          </w:p>
        </w:tc>
        <w:tc>
          <w:tcPr>
            <w:tcW w:w="1134" w:type="dxa"/>
          </w:tcPr>
          <w:p w14:paraId="7EB978D4" w14:textId="77777777" w:rsidR="00B02873" w:rsidRDefault="00B02873" w:rsidP="00F0771C">
            <w:pPr>
              <w:pStyle w:val="TablebodyleftTables"/>
            </w:pPr>
            <w:r>
              <w:t>number</w:t>
            </w:r>
          </w:p>
        </w:tc>
        <w:tc>
          <w:tcPr>
            <w:tcW w:w="992" w:type="dxa"/>
          </w:tcPr>
          <w:p w14:paraId="2C5D5833" w14:textId="77777777" w:rsidR="00B02873" w:rsidRDefault="00B02873" w:rsidP="00DE1159">
            <w:pPr>
              <w:pStyle w:val="TablebodyleftTables"/>
              <w:jc w:val="right"/>
            </w:pPr>
            <w:r>
              <w:t>24</w:t>
            </w:r>
          </w:p>
        </w:tc>
        <w:tc>
          <w:tcPr>
            <w:tcW w:w="992" w:type="dxa"/>
          </w:tcPr>
          <w:p w14:paraId="140D67AF" w14:textId="77777777" w:rsidR="00B02873" w:rsidRDefault="00B02873" w:rsidP="00DE1159">
            <w:pPr>
              <w:pStyle w:val="TablebodyleftTables"/>
              <w:jc w:val="right"/>
            </w:pPr>
            <w:r>
              <w:t>12</w:t>
            </w:r>
          </w:p>
        </w:tc>
        <w:tc>
          <w:tcPr>
            <w:tcW w:w="1559" w:type="dxa"/>
          </w:tcPr>
          <w:p w14:paraId="614F5F2B" w14:textId="77777777" w:rsidR="00B02873" w:rsidRDefault="00B02873" w:rsidP="00DE1159">
            <w:pPr>
              <w:pStyle w:val="TablebodyleftTables"/>
              <w:jc w:val="right"/>
            </w:pPr>
            <w:r>
              <w:t>100%</w:t>
            </w:r>
          </w:p>
        </w:tc>
        <w:tc>
          <w:tcPr>
            <w:tcW w:w="1843" w:type="dxa"/>
          </w:tcPr>
          <w:p w14:paraId="3D02D01C" w14:textId="6D4BF4EE" w:rsidR="00B02873" w:rsidRDefault="00F0771C" w:rsidP="00F0771C">
            <w:pPr>
              <w:pStyle w:val="TablebodyleftTables"/>
            </w:pPr>
            <w:r>
              <w:t>Performance target achieved or exceeded.</w:t>
            </w:r>
          </w:p>
        </w:tc>
      </w:tr>
    </w:tbl>
    <w:p w14:paraId="62E192C5" w14:textId="313AA5E2" w:rsidR="004F78CF" w:rsidRPr="004F78CF" w:rsidRDefault="004F78CF">
      <w:pPr>
        <w:rPr>
          <w:i/>
          <w:iCs/>
        </w:rPr>
      </w:pPr>
      <w:r w:rsidRPr="004F78CF">
        <w:rPr>
          <w:i/>
          <w:iCs/>
        </w:rPr>
        <w:t>Performance is above target due to a requirement for stakeholder and community engagement on the impact of storm debris on bushfire management following the June 2021 storm and flood event.</w:t>
      </w:r>
    </w:p>
    <w:tbl>
      <w:tblPr>
        <w:tblStyle w:val="TableGrid"/>
        <w:tblW w:w="9776" w:type="dxa"/>
        <w:tblLayout w:type="fixed"/>
        <w:tblLook w:val="0020" w:firstRow="1" w:lastRow="0" w:firstColumn="0" w:lastColumn="0" w:noHBand="0" w:noVBand="0"/>
      </w:tblPr>
      <w:tblGrid>
        <w:gridCol w:w="3256"/>
        <w:gridCol w:w="1134"/>
        <w:gridCol w:w="992"/>
        <w:gridCol w:w="992"/>
        <w:gridCol w:w="1559"/>
        <w:gridCol w:w="1843"/>
      </w:tblGrid>
      <w:tr w:rsidR="00474FAD" w:rsidRPr="00B02873" w14:paraId="3EBD917E" w14:textId="77777777" w:rsidTr="000315A5">
        <w:trPr>
          <w:cnfStyle w:val="100000000000" w:firstRow="1" w:lastRow="0" w:firstColumn="0" w:lastColumn="0" w:oddVBand="0" w:evenVBand="0" w:oddHBand="0" w:evenHBand="0" w:firstRowFirstColumn="0" w:firstRowLastColumn="0" w:lastRowFirstColumn="0" w:lastRowLastColumn="0"/>
          <w:tblHeader/>
        </w:trPr>
        <w:tc>
          <w:tcPr>
            <w:tcW w:w="3256" w:type="dxa"/>
          </w:tcPr>
          <w:p w14:paraId="5AFAF30D" w14:textId="77777777" w:rsidR="00474FAD" w:rsidRDefault="00474FAD" w:rsidP="000315A5">
            <w:pPr>
              <w:pStyle w:val="TableheadingleftTables"/>
            </w:pPr>
            <w:r>
              <w:t>Output performance measures</w:t>
            </w:r>
          </w:p>
        </w:tc>
        <w:tc>
          <w:tcPr>
            <w:tcW w:w="1134" w:type="dxa"/>
          </w:tcPr>
          <w:p w14:paraId="684B0E9D" w14:textId="77777777" w:rsidR="00474FAD" w:rsidRDefault="00474FAD" w:rsidP="000315A5">
            <w:pPr>
              <w:pStyle w:val="TableheadingleftTables"/>
            </w:pPr>
            <w:r>
              <w:t>Unit of measure</w:t>
            </w:r>
          </w:p>
        </w:tc>
        <w:tc>
          <w:tcPr>
            <w:tcW w:w="992" w:type="dxa"/>
          </w:tcPr>
          <w:p w14:paraId="227C9586" w14:textId="77777777" w:rsidR="00474FAD" w:rsidRDefault="00474FAD" w:rsidP="00DE1159">
            <w:pPr>
              <w:pStyle w:val="TableheadingleftTables"/>
              <w:jc w:val="right"/>
            </w:pPr>
            <w:r>
              <w:t>2021-22 actual</w:t>
            </w:r>
          </w:p>
        </w:tc>
        <w:tc>
          <w:tcPr>
            <w:tcW w:w="992" w:type="dxa"/>
          </w:tcPr>
          <w:p w14:paraId="2080EC28" w14:textId="77777777" w:rsidR="00474FAD" w:rsidRDefault="00474FAD" w:rsidP="00DE1159">
            <w:pPr>
              <w:pStyle w:val="TableheadingleftTables"/>
              <w:jc w:val="right"/>
            </w:pPr>
            <w:r>
              <w:t>2021-22 target</w:t>
            </w:r>
          </w:p>
        </w:tc>
        <w:tc>
          <w:tcPr>
            <w:tcW w:w="1559" w:type="dxa"/>
          </w:tcPr>
          <w:p w14:paraId="0CF07009" w14:textId="77777777" w:rsidR="00474FAD" w:rsidRDefault="00474FAD" w:rsidP="00DE1159">
            <w:pPr>
              <w:pStyle w:val="TableheadingleftTables"/>
              <w:jc w:val="right"/>
            </w:pPr>
            <w:r>
              <w:rPr>
                <w:spacing w:val="-3"/>
              </w:rPr>
              <w:t>Performance variation (%)</w:t>
            </w:r>
          </w:p>
        </w:tc>
        <w:tc>
          <w:tcPr>
            <w:tcW w:w="1843" w:type="dxa"/>
          </w:tcPr>
          <w:p w14:paraId="7F06B0E7" w14:textId="77777777" w:rsidR="00474FAD" w:rsidRDefault="00474FAD" w:rsidP="000315A5">
            <w:pPr>
              <w:pStyle w:val="TableheadingleftTables"/>
            </w:pPr>
            <w:r>
              <w:t>Result</w:t>
            </w:r>
          </w:p>
        </w:tc>
      </w:tr>
      <w:tr w:rsidR="00B02873" w:rsidRPr="00B02873" w14:paraId="5E89F192" w14:textId="77777777" w:rsidTr="00F0771C">
        <w:tc>
          <w:tcPr>
            <w:tcW w:w="3256" w:type="dxa"/>
          </w:tcPr>
          <w:p w14:paraId="3C42D927" w14:textId="77777777" w:rsidR="00B02873" w:rsidRDefault="00B02873" w:rsidP="00B415A9">
            <w:pPr>
              <w:pStyle w:val="TableheadingleftTables"/>
            </w:pPr>
            <w:r>
              <w:t>Quality</w:t>
            </w:r>
          </w:p>
        </w:tc>
        <w:tc>
          <w:tcPr>
            <w:tcW w:w="1134" w:type="dxa"/>
          </w:tcPr>
          <w:p w14:paraId="6B918030" w14:textId="77777777" w:rsidR="00B02873" w:rsidRPr="00B02873" w:rsidRDefault="00B02873" w:rsidP="00B415A9">
            <w:pPr>
              <w:pStyle w:val="NoParagraphStyle"/>
              <w:spacing w:line="240" w:lineRule="auto"/>
              <w:textAlignment w:val="auto"/>
              <w:rPr>
                <w:rFonts w:ascii="Apple Symbols Regular" w:hAnsi="Apple Symbols Regular" w:cs="Times New Roman"/>
                <w:color w:val="auto"/>
                <w:lang w:val="en-AU"/>
              </w:rPr>
            </w:pPr>
          </w:p>
        </w:tc>
        <w:tc>
          <w:tcPr>
            <w:tcW w:w="992" w:type="dxa"/>
          </w:tcPr>
          <w:p w14:paraId="47EF952B" w14:textId="77777777" w:rsidR="00B02873" w:rsidRPr="00B02873" w:rsidRDefault="00B02873" w:rsidP="00DE1159">
            <w:pPr>
              <w:pStyle w:val="NoParagraphStyle"/>
              <w:spacing w:line="240" w:lineRule="auto"/>
              <w:jc w:val="right"/>
              <w:textAlignment w:val="auto"/>
              <w:rPr>
                <w:rFonts w:ascii="Apple Symbols Regular" w:hAnsi="Apple Symbols Regular" w:cs="Times New Roman"/>
                <w:color w:val="auto"/>
                <w:lang w:val="en-AU"/>
              </w:rPr>
            </w:pPr>
          </w:p>
        </w:tc>
        <w:tc>
          <w:tcPr>
            <w:tcW w:w="992" w:type="dxa"/>
          </w:tcPr>
          <w:p w14:paraId="4D3A6378" w14:textId="77777777" w:rsidR="00B02873" w:rsidRPr="00B02873" w:rsidRDefault="00B02873" w:rsidP="00DE1159">
            <w:pPr>
              <w:pStyle w:val="NoParagraphStyle"/>
              <w:spacing w:line="240" w:lineRule="auto"/>
              <w:jc w:val="right"/>
              <w:textAlignment w:val="auto"/>
              <w:rPr>
                <w:rFonts w:ascii="Apple Symbols Regular" w:hAnsi="Apple Symbols Regular" w:cs="Times New Roman"/>
                <w:color w:val="auto"/>
                <w:lang w:val="en-AU"/>
              </w:rPr>
            </w:pPr>
          </w:p>
        </w:tc>
        <w:tc>
          <w:tcPr>
            <w:tcW w:w="1559" w:type="dxa"/>
          </w:tcPr>
          <w:p w14:paraId="5406CC0F" w14:textId="77777777" w:rsidR="00B02873" w:rsidRPr="00B02873" w:rsidRDefault="00B02873" w:rsidP="00DE1159">
            <w:pPr>
              <w:pStyle w:val="NoParagraphStyle"/>
              <w:spacing w:line="240" w:lineRule="auto"/>
              <w:jc w:val="right"/>
              <w:textAlignment w:val="auto"/>
              <w:rPr>
                <w:rFonts w:ascii="Apple Symbols Regular" w:hAnsi="Apple Symbols Regular" w:cs="Times New Roman"/>
                <w:color w:val="auto"/>
                <w:lang w:val="en-AU"/>
              </w:rPr>
            </w:pPr>
          </w:p>
        </w:tc>
        <w:tc>
          <w:tcPr>
            <w:tcW w:w="1843" w:type="dxa"/>
          </w:tcPr>
          <w:p w14:paraId="23CF30A5" w14:textId="77777777" w:rsidR="00B02873" w:rsidRPr="00B02873" w:rsidRDefault="00B02873" w:rsidP="00B415A9">
            <w:pPr>
              <w:pStyle w:val="NoParagraphStyle"/>
              <w:spacing w:line="240" w:lineRule="auto"/>
              <w:textAlignment w:val="auto"/>
              <w:rPr>
                <w:rFonts w:ascii="Apple Symbols Regular" w:hAnsi="Apple Symbols Regular" w:cs="Times New Roman"/>
                <w:color w:val="auto"/>
                <w:lang w:val="en-AU"/>
              </w:rPr>
            </w:pPr>
          </w:p>
        </w:tc>
      </w:tr>
      <w:tr w:rsidR="00B02873" w:rsidRPr="00B02873" w14:paraId="2A3EBBAC" w14:textId="77777777" w:rsidTr="00F0771C">
        <w:tc>
          <w:tcPr>
            <w:tcW w:w="3256" w:type="dxa"/>
          </w:tcPr>
          <w:p w14:paraId="6D0560C0" w14:textId="77777777" w:rsidR="00B02873" w:rsidRDefault="00B02873" w:rsidP="00B415A9">
            <w:pPr>
              <w:pStyle w:val="TablebodyleftTables"/>
            </w:pPr>
            <w:r>
              <w:t>Fires contained at less than five hectares to suppress fires before they become established, minimising impact</w:t>
            </w:r>
          </w:p>
        </w:tc>
        <w:tc>
          <w:tcPr>
            <w:tcW w:w="1134" w:type="dxa"/>
          </w:tcPr>
          <w:p w14:paraId="025DA97A" w14:textId="77777777" w:rsidR="00B02873" w:rsidRDefault="00B02873" w:rsidP="00F0771C">
            <w:pPr>
              <w:pStyle w:val="TablebodyleftTables"/>
            </w:pPr>
            <w:r>
              <w:t>per cent</w:t>
            </w:r>
          </w:p>
        </w:tc>
        <w:tc>
          <w:tcPr>
            <w:tcW w:w="992" w:type="dxa"/>
          </w:tcPr>
          <w:p w14:paraId="5E3B6D62" w14:textId="77777777" w:rsidR="00B02873" w:rsidRDefault="00B02873" w:rsidP="00DE1159">
            <w:pPr>
              <w:pStyle w:val="TablebodyleftTables"/>
              <w:jc w:val="right"/>
            </w:pPr>
            <w:r>
              <w:t>92.7</w:t>
            </w:r>
          </w:p>
        </w:tc>
        <w:tc>
          <w:tcPr>
            <w:tcW w:w="992" w:type="dxa"/>
          </w:tcPr>
          <w:p w14:paraId="28E02E0F" w14:textId="77777777" w:rsidR="00B02873" w:rsidRDefault="00B02873" w:rsidP="00DE1159">
            <w:pPr>
              <w:pStyle w:val="TablebodyleftTables"/>
              <w:jc w:val="right"/>
            </w:pPr>
            <w:r>
              <w:t xml:space="preserve"> 80</w:t>
            </w:r>
          </w:p>
        </w:tc>
        <w:tc>
          <w:tcPr>
            <w:tcW w:w="1559" w:type="dxa"/>
          </w:tcPr>
          <w:p w14:paraId="3B53BDAE" w14:textId="77777777" w:rsidR="00B02873" w:rsidRDefault="00B02873" w:rsidP="00DE1159">
            <w:pPr>
              <w:pStyle w:val="TablebodyleftTables"/>
              <w:jc w:val="right"/>
            </w:pPr>
            <w:r>
              <w:t>16%</w:t>
            </w:r>
          </w:p>
        </w:tc>
        <w:tc>
          <w:tcPr>
            <w:tcW w:w="1843" w:type="dxa"/>
          </w:tcPr>
          <w:p w14:paraId="16A099F3" w14:textId="78F86BC9" w:rsidR="00B02873" w:rsidRDefault="00F0771C" w:rsidP="00F0771C">
            <w:pPr>
              <w:pStyle w:val="TablebodyleftTables"/>
            </w:pPr>
            <w:r>
              <w:t>Performance target achieved or exceeded.</w:t>
            </w:r>
          </w:p>
        </w:tc>
      </w:tr>
    </w:tbl>
    <w:p w14:paraId="02C868E3" w14:textId="5E1C6401" w:rsidR="004F78CF" w:rsidRPr="004F78CF" w:rsidRDefault="004F78CF">
      <w:pPr>
        <w:rPr>
          <w:i/>
          <w:iCs/>
        </w:rPr>
      </w:pPr>
      <w:r w:rsidRPr="004F78CF">
        <w:rPr>
          <w:i/>
          <w:iCs/>
        </w:rPr>
        <w:t>Performance is above target due to low bushfire risk in 2021-22, with fires generally being smaller, less frequent and less likely to spread before rapid first attack can suppress them. Contract extensions for seasonal workers and additional Forest Fire Operations Officers allowed for increased patrols and preparedness works significantly ahead of and into the bushfire season.</w:t>
      </w:r>
    </w:p>
    <w:tbl>
      <w:tblPr>
        <w:tblStyle w:val="TableGrid"/>
        <w:tblW w:w="9776" w:type="dxa"/>
        <w:tblLayout w:type="fixed"/>
        <w:tblLook w:val="0020" w:firstRow="1" w:lastRow="0" w:firstColumn="0" w:lastColumn="0" w:noHBand="0" w:noVBand="0"/>
      </w:tblPr>
      <w:tblGrid>
        <w:gridCol w:w="3256"/>
        <w:gridCol w:w="1134"/>
        <w:gridCol w:w="992"/>
        <w:gridCol w:w="992"/>
        <w:gridCol w:w="1559"/>
        <w:gridCol w:w="1843"/>
      </w:tblGrid>
      <w:tr w:rsidR="00474FAD" w:rsidRPr="00B02873" w14:paraId="3699E37E" w14:textId="77777777" w:rsidTr="000315A5">
        <w:trPr>
          <w:cnfStyle w:val="100000000000" w:firstRow="1" w:lastRow="0" w:firstColumn="0" w:lastColumn="0" w:oddVBand="0" w:evenVBand="0" w:oddHBand="0" w:evenHBand="0" w:firstRowFirstColumn="0" w:firstRowLastColumn="0" w:lastRowFirstColumn="0" w:lastRowLastColumn="0"/>
          <w:tblHeader/>
        </w:trPr>
        <w:tc>
          <w:tcPr>
            <w:tcW w:w="3256" w:type="dxa"/>
          </w:tcPr>
          <w:p w14:paraId="0983671E" w14:textId="77777777" w:rsidR="00474FAD" w:rsidRDefault="00474FAD" w:rsidP="000315A5">
            <w:pPr>
              <w:pStyle w:val="TableheadingleftTables"/>
            </w:pPr>
            <w:r>
              <w:t>Output performance measures</w:t>
            </w:r>
          </w:p>
        </w:tc>
        <w:tc>
          <w:tcPr>
            <w:tcW w:w="1134" w:type="dxa"/>
          </w:tcPr>
          <w:p w14:paraId="1117A34C" w14:textId="77777777" w:rsidR="00474FAD" w:rsidRDefault="00474FAD" w:rsidP="000315A5">
            <w:pPr>
              <w:pStyle w:val="TableheadingleftTables"/>
            </w:pPr>
            <w:r>
              <w:t>Unit of measure</w:t>
            </w:r>
          </w:p>
        </w:tc>
        <w:tc>
          <w:tcPr>
            <w:tcW w:w="992" w:type="dxa"/>
          </w:tcPr>
          <w:p w14:paraId="52E05354" w14:textId="77777777" w:rsidR="00474FAD" w:rsidRDefault="00474FAD" w:rsidP="00DE1159">
            <w:pPr>
              <w:pStyle w:val="TableheadingleftTables"/>
              <w:jc w:val="right"/>
            </w:pPr>
            <w:r>
              <w:t>2021-22 actual</w:t>
            </w:r>
          </w:p>
        </w:tc>
        <w:tc>
          <w:tcPr>
            <w:tcW w:w="992" w:type="dxa"/>
          </w:tcPr>
          <w:p w14:paraId="02E9AA9E" w14:textId="77777777" w:rsidR="00474FAD" w:rsidRDefault="00474FAD" w:rsidP="00DE1159">
            <w:pPr>
              <w:pStyle w:val="TableheadingleftTables"/>
              <w:jc w:val="right"/>
            </w:pPr>
            <w:r>
              <w:t>2021-22 target</w:t>
            </w:r>
          </w:p>
        </w:tc>
        <w:tc>
          <w:tcPr>
            <w:tcW w:w="1559" w:type="dxa"/>
          </w:tcPr>
          <w:p w14:paraId="59430E7E" w14:textId="77777777" w:rsidR="00474FAD" w:rsidRDefault="00474FAD" w:rsidP="00DE1159">
            <w:pPr>
              <w:pStyle w:val="TableheadingleftTables"/>
              <w:jc w:val="right"/>
            </w:pPr>
            <w:r>
              <w:rPr>
                <w:spacing w:val="-3"/>
              </w:rPr>
              <w:t>Performance variation (%)</w:t>
            </w:r>
          </w:p>
        </w:tc>
        <w:tc>
          <w:tcPr>
            <w:tcW w:w="1843" w:type="dxa"/>
          </w:tcPr>
          <w:p w14:paraId="7C8FE039" w14:textId="77777777" w:rsidR="00474FAD" w:rsidRDefault="00474FAD" w:rsidP="000315A5">
            <w:pPr>
              <w:pStyle w:val="TableheadingleftTables"/>
            </w:pPr>
            <w:r>
              <w:t>Result</w:t>
            </w:r>
          </w:p>
        </w:tc>
      </w:tr>
      <w:tr w:rsidR="00B02873" w:rsidRPr="00B02873" w14:paraId="6C15417C" w14:textId="77777777" w:rsidTr="00F0771C">
        <w:tc>
          <w:tcPr>
            <w:tcW w:w="3256" w:type="dxa"/>
          </w:tcPr>
          <w:p w14:paraId="0E99C981" w14:textId="77777777" w:rsidR="00B02873" w:rsidRDefault="00B02873" w:rsidP="00B415A9">
            <w:pPr>
              <w:pStyle w:val="TablebodyleftTables"/>
            </w:pPr>
            <w:r>
              <w:t>Personnel accredited to serve in a senior capacity (level 2 or 3) in a fire and emergency management role</w:t>
            </w:r>
          </w:p>
        </w:tc>
        <w:tc>
          <w:tcPr>
            <w:tcW w:w="1134" w:type="dxa"/>
          </w:tcPr>
          <w:p w14:paraId="3CD4022D" w14:textId="77777777" w:rsidR="00B02873" w:rsidRDefault="00B02873" w:rsidP="00F0771C">
            <w:pPr>
              <w:pStyle w:val="TablebodyleftTables"/>
            </w:pPr>
            <w:r>
              <w:t>number</w:t>
            </w:r>
          </w:p>
        </w:tc>
        <w:tc>
          <w:tcPr>
            <w:tcW w:w="992" w:type="dxa"/>
          </w:tcPr>
          <w:p w14:paraId="2C64478C" w14:textId="77777777" w:rsidR="00B02873" w:rsidRDefault="00B02873" w:rsidP="00DE1159">
            <w:pPr>
              <w:pStyle w:val="TablebodyleftTables"/>
              <w:jc w:val="right"/>
            </w:pPr>
            <w:r>
              <w:t>374</w:t>
            </w:r>
          </w:p>
        </w:tc>
        <w:tc>
          <w:tcPr>
            <w:tcW w:w="992" w:type="dxa"/>
          </w:tcPr>
          <w:p w14:paraId="1E199F7A" w14:textId="77777777" w:rsidR="00B02873" w:rsidRDefault="00B02873" w:rsidP="00DE1159">
            <w:pPr>
              <w:pStyle w:val="TablebodyleftTables"/>
              <w:jc w:val="right"/>
            </w:pPr>
            <w:r>
              <w:t>330</w:t>
            </w:r>
          </w:p>
        </w:tc>
        <w:tc>
          <w:tcPr>
            <w:tcW w:w="1559" w:type="dxa"/>
          </w:tcPr>
          <w:p w14:paraId="5807C816" w14:textId="77777777" w:rsidR="00B02873" w:rsidRDefault="00B02873" w:rsidP="00DE1159">
            <w:pPr>
              <w:pStyle w:val="TablebodyleftTables"/>
              <w:jc w:val="right"/>
            </w:pPr>
            <w:r>
              <w:t>13%</w:t>
            </w:r>
          </w:p>
        </w:tc>
        <w:tc>
          <w:tcPr>
            <w:tcW w:w="1843" w:type="dxa"/>
          </w:tcPr>
          <w:p w14:paraId="3D93D9BF" w14:textId="3F8F568E" w:rsidR="00B02873" w:rsidRDefault="00F0771C" w:rsidP="00F0771C">
            <w:pPr>
              <w:pStyle w:val="TablebodyleftTables"/>
            </w:pPr>
            <w:r>
              <w:t>Performance target achieved or exceeded.</w:t>
            </w:r>
          </w:p>
        </w:tc>
      </w:tr>
    </w:tbl>
    <w:p w14:paraId="5D6C6D5B" w14:textId="7F56405E" w:rsidR="004F78CF" w:rsidRPr="004F78CF" w:rsidRDefault="004F78CF">
      <w:pPr>
        <w:rPr>
          <w:i/>
          <w:iCs/>
        </w:rPr>
      </w:pPr>
      <w:r w:rsidRPr="004F78CF">
        <w:rPr>
          <w:i/>
          <w:iCs/>
        </w:rPr>
        <w:t>Performance is above target largely due to a proactive approach to ensuring staff progress to accreditation as soon as practicable after completing training and demonstrating their ability to perform the role.</w:t>
      </w:r>
    </w:p>
    <w:tbl>
      <w:tblPr>
        <w:tblStyle w:val="TableGrid"/>
        <w:tblW w:w="9776" w:type="dxa"/>
        <w:tblLayout w:type="fixed"/>
        <w:tblLook w:val="0020" w:firstRow="1" w:lastRow="0" w:firstColumn="0" w:lastColumn="0" w:noHBand="0" w:noVBand="0"/>
      </w:tblPr>
      <w:tblGrid>
        <w:gridCol w:w="3256"/>
        <w:gridCol w:w="1134"/>
        <w:gridCol w:w="992"/>
        <w:gridCol w:w="992"/>
        <w:gridCol w:w="1559"/>
        <w:gridCol w:w="1843"/>
      </w:tblGrid>
      <w:tr w:rsidR="00474FAD" w:rsidRPr="00B02873" w14:paraId="50EF7691" w14:textId="77777777" w:rsidTr="000315A5">
        <w:trPr>
          <w:cnfStyle w:val="100000000000" w:firstRow="1" w:lastRow="0" w:firstColumn="0" w:lastColumn="0" w:oddVBand="0" w:evenVBand="0" w:oddHBand="0" w:evenHBand="0" w:firstRowFirstColumn="0" w:firstRowLastColumn="0" w:lastRowFirstColumn="0" w:lastRowLastColumn="0"/>
          <w:tblHeader/>
        </w:trPr>
        <w:tc>
          <w:tcPr>
            <w:tcW w:w="3256" w:type="dxa"/>
          </w:tcPr>
          <w:p w14:paraId="48B92B1F" w14:textId="77777777" w:rsidR="00474FAD" w:rsidRDefault="00474FAD" w:rsidP="000315A5">
            <w:pPr>
              <w:pStyle w:val="TableheadingleftTables"/>
            </w:pPr>
            <w:r>
              <w:t>Output performance measures</w:t>
            </w:r>
          </w:p>
        </w:tc>
        <w:tc>
          <w:tcPr>
            <w:tcW w:w="1134" w:type="dxa"/>
          </w:tcPr>
          <w:p w14:paraId="02B80FA5" w14:textId="77777777" w:rsidR="00474FAD" w:rsidRDefault="00474FAD" w:rsidP="000315A5">
            <w:pPr>
              <w:pStyle w:val="TableheadingleftTables"/>
            </w:pPr>
            <w:r>
              <w:t>Unit of measure</w:t>
            </w:r>
          </w:p>
        </w:tc>
        <w:tc>
          <w:tcPr>
            <w:tcW w:w="992" w:type="dxa"/>
          </w:tcPr>
          <w:p w14:paraId="6A3CD613" w14:textId="77777777" w:rsidR="00474FAD" w:rsidRDefault="00474FAD" w:rsidP="00DE1159">
            <w:pPr>
              <w:pStyle w:val="TableheadingleftTables"/>
              <w:jc w:val="right"/>
            </w:pPr>
            <w:r>
              <w:t>2021-22 actual</w:t>
            </w:r>
          </w:p>
        </w:tc>
        <w:tc>
          <w:tcPr>
            <w:tcW w:w="992" w:type="dxa"/>
          </w:tcPr>
          <w:p w14:paraId="3AED8C65" w14:textId="77777777" w:rsidR="00474FAD" w:rsidRDefault="00474FAD" w:rsidP="00DE1159">
            <w:pPr>
              <w:pStyle w:val="TableheadingleftTables"/>
              <w:jc w:val="right"/>
            </w:pPr>
            <w:r>
              <w:t>2021-22 target</w:t>
            </w:r>
          </w:p>
        </w:tc>
        <w:tc>
          <w:tcPr>
            <w:tcW w:w="1559" w:type="dxa"/>
          </w:tcPr>
          <w:p w14:paraId="462FC1FA" w14:textId="77777777" w:rsidR="00474FAD" w:rsidRDefault="00474FAD" w:rsidP="00DE1159">
            <w:pPr>
              <w:pStyle w:val="TableheadingleftTables"/>
              <w:jc w:val="right"/>
            </w:pPr>
            <w:r>
              <w:rPr>
                <w:spacing w:val="-3"/>
              </w:rPr>
              <w:t>Performance variation (%)</w:t>
            </w:r>
          </w:p>
        </w:tc>
        <w:tc>
          <w:tcPr>
            <w:tcW w:w="1843" w:type="dxa"/>
          </w:tcPr>
          <w:p w14:paraId="31317202" w14:textId="77777777" w:rsidR="00474FAD" w:rsidRDefault="00474FAD" w:rsidP="000315A5">
            <w:pPr>
              <w:pStyle w:val="TableheadingleftTables"/>
            </w:pPr>
            <w:r>
              <w:t>Result</w:t>
            </w:r>
          </w:p>
        </w:tc>
      </w:tr>
      <w:tr w:rsidR="00B02873" w:rsidRPr="00B02873" w14:paraId="3D002E2D" w14:textId="77777777" w:rsidTr="00F0771C">
        <w:tc>
          <w:tcPr>
            <w:tcW w:w="3256" w:type="dxa"/>
          </w:tcPr>
          <w:p w14:paraId="18D5D044" w14:textId="77777777" w:rsidR="00B02873" w:rsidRDefault="00B02873" w:rsidP="00B415A9">
            <w:pPr>
              <w:pStyle w:val="TablebodyleftTables"/>
            </w:pPr>
            <w:r>
              <w:t>Proportion of Community Based Bushfire Management partnerships rated as high functioning</w:t>
            </w:r>
          </w:p>
        </w:tc>
        <w:tc>
          <w:tcPr>
            <w:tcW w:w="1134" w:type="dxa"/>
          </w:tcPr>
          <w:p w14:paraId="5DA37D52" w14:textId="77777777" w:rsidR="00B02873" w:rsidRDefault="00B02873" w:rsidP="00F0771C">
            <w:pPr>
              <w:pStyle w:val="TablebodyleftTables"/>
            </w:pPr>
            <w:r>
              <w:t>per cent</w:t>
            </w:r>
          </w:p>
        </w:tc>
        <w:tc>
          <w:tcPr>
            <w:tcW w:w="992" w:type="dxa"/>
          </w:tcPr>
          <w:p w14:paraId="640B8A9A" w14:textId="77777777" w:rsidR="00B02873" w:rsidRDefault="00B02873" w:rsidP="00DE1159">
            <w:pPr>
              <w:pStyle w:val="TablebodyleftTables"/>
              <w:jc w:val="right"/>
            </w:pPr>
            <w:r>
              <w:t>92</w:t>
            </w:r>
          </w:p>
        </w:tc>
        <w:tc>
          <w:tcPr>
            <w:tcW w:w="992" w:type="dxa"/>
          </w:tcPr>
          <w:p w14:paraId="29D131A7" w14:textId="77777777" w:rsidR="00B02873" w:rsidRDefault="00B02873" w:rsidP="00DE1159">
            <w:pPr>
              <w:pStyle w:val="TablebodyleftTables"/>
              <w:jc w:val="right"/>
            </w:pPr>
            <w:r>
              <w:t>80</w:t>
            </w:r>
          </w:p>
        </w:tc>
        <w:tc>
          <w:tcPr>
            <w:tcW w:w="1559" w:type="dxa"/>
          </w:tcPr>
          <w:p w14:paraId="596AA93C" w14:textId="77777777" w:rsidR="00B02873" w:rsidRDefault="00B02873" w:rsidP="00DE1159">
            <w:pPr>
              <w:pStyle w:val="TablebodyleftTables"/>
              <w:jc w:val="right"/>
            </w:pPr>
            <w:r>
              <w:t>15%</w:t>
            </w:r>
          </w:p>
        </w:tc>
        <w:tc>
          <w:tcPr>
            <w:tcW w:w="1843" w:type="dxa"/>
          </w:tcPr>
          <w:p w14:paraId="6BEB4D45" w14:textId="2B4635EC" w:rsidR="00B02873" w:rsidRDefault="00F0771C" w:rsidP="00F0771C">
            <w:pPr>
              <w:pStyle w:val="TablebodyleftTables"/>
            </w:pPr>
            <w:r>
              <w:t>Performance target achieved or exceeded.</w:t>
            </w:r>
          </w:p>
        </w:tc>
      </w:tr>
    </w:tbl>
    <w:p w14:paraId="23AC324D" w14:textId="70EF58E1" w:rsidR="004F78CF" w:rsidRPr="004F78CF" w:rsidRDefault="004F78CF">
      <w:pPr>
        <w:rPr>
          <w:i/>
          <w:iCs/>
        </w:rPr>
      </w:pPr>
      <w:r w:rsidRPr="004F78CF">
        <w:rPr>
          <w:i/>
          <w:iCs/>
        </w:rPr>
        <w:t>Performance is above target due to additional staff resources to support Community-Based Bushfire Management partnerships.</w:t>
      </w:r>
    </w:p>
    <w:tbl>
      <w:tblPr>
        <w:tblStyle w:val="TableGrid"/>
        <w:tblW w:w="9776" w:type="dxa"/>
        <w:tblLayout w:type="fixed"/>
        <w:tblLook w:val="0020" w:firstRow="1" w:lastRow="0" w:firstColumn="0" w:lastColumn="0" w:noHBand="0" w:noVBand="0"/>
      </w:tblPr>
      <w:tblGrid>
        <w:gridCol w:w="3256"/>
        <w:gridCol w:w="1134"/>
        <w:gridCol w:w="992"/>
        <w:gridCol w:w="992"/>
        <w:gridCol w:w="1559"/>
        <w:gridCol w:w="1843"/>
      </w:tblGrid>
      <w:tr w:rsidR="00474FAD" w:rsidRPr="00B02873" w14:paraId="1BC1086D" w14:textId="77777777" w:rsidTr="000315A5">
        <w:trPr>
          <w:cnfStyle w:val="100000000000" w:firstRow="1" w:lastRow="0" w:firstColumn="0" w:lastColumn="0" w:oddVBand="0" w:evenVBand="0" w:oddHBand="0" w:evenHBand="0" w:firstRowFirstColumn="0" w:firstRowLastColumn="0" w:lastRowFirstColumn="0" w:lastRowLastColumn="0"/>
          <w:tblHeader/>
        </w:trPr>
        <w:tc>
          <w:tcPr>
            <w:tcW w:w="3256" w:type="dxa"/>
          </w:tcPr>
          <w:p w14:paraId="273F281E" w14:textId="77777777" w:rsidR="00474FAD" w:rsidRDefault="00474FAD" w:rsidP="000315A5">
            <w:pPr>
              <w:pStyle w:val="TableheadingleftTables"/>
            </w:pPr>
            <w:r>
              <w:lastRenderedPageBreak/>
              <w:t>Output performance measures</w:t>
            </w:r>
          </w:p>
        </w:tc>
        <w:tc>
          <w:tcPr>
            <w:tcW w:w="1134" w:type="dxa"/>
          </w:tcPr>
          <w:p w14:paraId="3CF2BF8B" w14:textId="77777777" w:rsidR="00474FAD" w:rsidRDefault="00474FAD" w:rsidP="000315A5">
            <w:pPr>
              <w:pStyle w:val="TableheadingleftTables"/>
            </w:pPr>
            <w:r>
              <w:t>Unit of measure</w:t>
            </w:r>
          </w:p>
        </w:tc>
        <w:tc>
          <w:tcPr>
            <w:tcW w:w="992" w:type="dxa"/>
          </w:tcPr>
          <w:p w14:paraId="47AB1DA0" w14:textId="77777777" w:rsidR="00474FAD" w:rsidRDefault="00474FAD" w:rsidP="00DE1159">
            <w:pPr>
              <w:pStyle w:val="TableheadingleftTables"/>
              <w:jc w:val="right"/>
            </w:pPr>
            <w:r>
              <w:t>2021-22 actual</w:t>
            </w:r>
          </w:p>
        </w:tc>
        <w:tc>
          <w:tcPr>
            <w:tcW w:w="992" w:type="dxa"/>
          </w:tcPr>
          <w:p w14:paraId="0A9C4CB5" w14:textId="77777777" w:rsidR="00474FAD" w:rsidRDefault="00474FAD" w:rsidP="00DE1159">
            <w:pPr>
              <w:pStyle w:val="TableheadingleftTables"/>
              <w:jc w:val="right"/>
            </w:pPr>
            <w:r>
              <w:t>2021-22 target</w:t>
            </w:r>
          </w:p>
        </w:tc>
        <w:tc>
          <w:tcPr>
            <w:tcW w:w="1559" w:type="dxa"/>
          </w:tcPr>
          <w:p w14:paraId="29377D78" w14:textId="77777777" w:rsidR="00474FAD" w:rsidRDefault="00474FAD" w:rsidP="00DE1159">
            <w:pPr>
              <w:pStyle w:val="TableheadingleftTables"/>
              <w:jc w:val="right"/>
            </w:pPr>
            <w:r>
              <w:rPr>
                <w:spacing w:val="-3"/>
              </w:rPr>
              <w:t>Performance variation (%)</w:t>
            </w:r>
          </w:p>
        </w:tc>
        <w:tc>
          <w:tcPr>
            <w:tcW w:w="1843" w:type="dxa"/>
          </w:tcPr>
          <w:p w14:paraId="50D52388" w14:textId="77777777" w:rsidR="00474FAD" w:rsidRDefault="00474FAD" w:rsidP="000315A5">
            <w:pPr>
              <w:pStyle w:val="TableheadingleftTables"/>
            </w:pPr>
            <w:r>
              <w:t>Result</w:t>
            </w:r>
          </w:p>
        </w:tc>
      </w:tr>
      <w:tr w:rsidR="00B02873" w:rsidRPr="00B02873" w14:paraId="4B89E5D6" w14:textId="77777777" w:rsidTr="00F0771C">
        <w:tc>
          <w:tcPr>
            <w:tcW w:w="3256" w:type="dxa"/>
          </w:tcPr>
          <w:p w14:paraId="4E2128B0" w14:textId="77777777" w:rsidR="00B02873" w:rsidRDefault="00B02873" w:rsidP="00B415A9">
            <w:pPr>
              <w:pStyle w:val="TableheadingleftTables"/>
            </w:pPr>
            <w:r>
              <w:t>Timeliness</w:t>
            </w:r>
          </w:p>
        </w:tc>
        <w:tc>
          <w:tcPr>
            <w:tcW w:w="1134" w:type="dxa"/>
          </w:tcPr>
          <w:p w14:paraId="6922D122" w14:textId="77777777" w:rsidR="00B02873" w:rsidRPr="00B02873" w:rsidRDefault="00B02873" w:rsidP="00B415A9">
            <w:pPr>
              <w:pStyle w:val="NoParagraphStyle"/>
              <w:spacing w:line="240" w:lineRule="auto"/>
              <w:textAlignment w:val="auto"/>
              <w:rPr>
                <w:rFonts w:ascii="Apple Symbols Regular" w:hAnsi="Apple Symbols Regular" w:cs="Times New Roman"/>
                <w:color w:val="auto"/>
                <w:lang w:val="en-AU"/>
              </w:rPr>
            </w:pPr>
          </w:p>
        </w:tc>
        <w:tc>
          <w:tcPr>
            <w:tcW w:w="992" w:type="dxa"/>
          </w:tcPr>
          <w:p w14:paraId="77BE0673" w14:textId="77777777" w:rsidR="00B02873" w:rsidRPr="00B02873" w:rsidRDefault="00B02873" w:rsidP="00DE1159">
            <w:pPr>
              <w:pStyle w:val="NoParagraphStyle"/>
              <w:spacing w:line="240" w:lineRule="auto"/>
              <w:jc w:val="right"/>
              <w:textAlignment w:val="auto"/>
              <w:rPr>
                <w:rFonts w:ascii="Apple Symbols Regular" w:hAnsi="Apple Symbols Regular" w:cs="Times New Roman"/>
                <w:color w:val="auto"/>
                <w:lang w:val="en-AU"/>
              </w:rPr>
            </w:pPr>
          </w:p>
        </w:tc>
        <w:tc>
          <w:tcPr>
            <w:tcW w:w="992" w:type="dxa"/>
          </w:tcPr>
          <w:p w14:paraId="500A68B5" w14:textId="77777777" w:rsidR="00B02873" w:rsidRPr="00B02873" w:rsidRDefault="00B02873" w:rsidP="00DE1159">
            <w:pPr>
              <w:pStyle w:val="NoParagraphStyle"/>
              <w:spacing w:line="240" w:lineRule="auto"/>
              <w:jc w:val="right"/>
              <w:textAlignment w:val="auto"/>
              <w:rPr>
                <w:rFonts w:ascii="Apple Symbols Regular" w:hAnsi="Apple Symbols Regular" w:cs="Times New Roman"/>
                <w:color w:val="auto"/>
                <w:lang w:val="en-AU"/>
              </w:rPr>
            </w:pPr>
          </w:p>
        </w:tc>
        <w:tc>
          <w:tcPr>
            <w:tcW w:w="1559" w:type="dxa"/>
          </w:tcPr>
          <w:p w14:paraId="3A5FB634" w14:textId="77777777" w:rsidR="00B02873" w:rsidRPr="00B02873" w:rsidRDefault="00B02873" w:rsidP="00DE1159">
            <w:pPr>
              <w:pStyle w:val="NoParagraphStyle"/>
              <w:spacing w:line="240" w:lineRule="auto"/>
              <w:jc w:val="right"/>
              <w:textAlignment w:val="auto"/>
              <w:rPr>
                <w:rFonts w:ascii="Apple Symbols Regular" w:hAnsi="Apple Symbols Regular" w:cs="Times New Roman"/>
                <w:color w:val="auto"/>
                <w:lang w:val="en-AU"/>
              </w:rPr>
            </w:pPr>
          </w:p>
        </w:tc>
        <w:tc>
          <w:tcPr>
            <w:tcW w:w="1843" w:type="dxa"/>
          </w:tcPr>
          <w:p w14:paraId="04DDC98D" w14:textId="77777777" w:rsidR="00B02873" w:rsidRPr="00B02873" w:rsidRDefault="00B02873" w:rsidP="00B415A9">
            <w:pPr>
              <w:pStyle w:val="NoParagraphStyle"/>
              <w:spacing w:line="240" w:lineRule="auto"/>
              <w:textAlignment w:val="auto"/>
              <w:rPr>
                <w:rFonts w:ascii="Apple Symbols Regular" w:hAnsi="Apple Symbols Regular" w:cs="Times New Roman"/>
                <w:color w:val="auto"/>
                <w:lang w:val="en-AU"/>
              </w:rPr>
            </w:pPr>
          </w:p>
        </w:tc>
      </w:tr>
      <w:tr w:rsidR="00B02873" w:rsidRPr="00B02873" w14:paraId="091F1D87" w14:textId="77777777" w:rsidTr="00F0771C">
        <w:tc>
          <w:tcPr>
            <w:tcW w:w="3256" w:type="dxa"/>
          </w:tcPr>
          <w:p w14:paraId="044324C1" w14:textId="77777777" w:rsidR="00B02873" w:rsidRDefault="00B02873" w:rsidP="00B415A9">
            <w:pPr>
              <w:pStyle w:val="TablebodyleftTables"/>
            </w:pPr>
            <w:r>
              <w:t>Assessment of model of cover completed to assess resource requirements and availability</w:t>
            </w:r>
          </w:p>
        </w:tc>
        <w:tc>
          <w:tcPr>
            <w:tcW w:w="1134" w:type="dxa"/>
          </w:tcPr>
          <w:p w14:paraId="1EE5A3B5" w14:textId="77777777" w:rsidR="00B02873" w:rsidRDefault="00B02873" w:rsidP="00F0771C">
            <w:pPr>
              <w:pStyle w:val="TablebodyleftTables"/>
            </w:pPr>
            <w:r>
              <w:t>date</w:t>
            </w:r>
          </w:p>
        </w:tc>
        <w:tc>
          <w:tcPr>
            <w:tcW w:w="992" w:type="dxa"/>
          </w:tcPr>
          <w:p w14:paraId="6AC614F1" w14:textId="77777777" w:rsidR="00B02873" w:rsidRDefault="00B02873" w:rsidP="00DE1159">
            <w:pPr>
              <w:pStyle w:val="TablebodyleftTables"/>
              <w:jc w:val="right"/>
            </w:pPr>
            <w:r>
              <w:t>Dec 2021</w:t>
            </w:r>
          </w:p>
        </w:tc>
        <w:tc>
          <w:tcPr>
            <w:tcW w:w="992" w:type="dxa"/>
          </w:tcPr>
          <w:p w14:paraId="4C1E589D" w14:textId="77777777" w:rsidR="00B02873" w:rsidRDefault="00B02873" w:rsidP="00DE1159">
            <w:pPr>
              <w:pStyle w:val="TablebodyleftTables"/>
              <w:jc w:val="right"/>
            </w:pPr>
            <w:r>
              <w:t>Dec 2021</w:t>
            </w:r>
          </w:p>
        </w:tc>
        <w:tc>
          <w:tcPr>
            <w:tcW w:w="1559" w:type="dxa"/>
          </w:tcPr>
          <w:p w14:paraId="433A4AA3" w14:textId="77777777" w:rsidR="00B02873" w:rsidRDefault="00B02873" w:rsidP="00DE1159">
            <w:pPr>
              <w:pStyle w:val="TablebodyleftTables"/>
              <w:jc w:val="right"/>
            </w:pPr>
            <w:r>
              <w:t>0%</w:t>
            </w:r>
          </w:p>
        </w:tc>
        <w:tc>
          <w:tcPr>
            <w:tcW w:w="1843" w:type="dxa"/>
          </w:tcPr>
          <w:p w14:paraId="2E4E339F" w14:textId="65528F09" w:rsidR="00B02873" w:rsidRDefault="00F0771C" w:rsidP="00F0771C">
            <w:pPr>
              <w:pStyle w:val="TablebodyleftTables"/>
            </w:pPr>
            <w:r>
              <w:t>Performance target achieved or exceeded.</w:t>
            </w:r>
          </w:p>
        </w:tc>
      </w:tr>
      <w:tr w:rsidR="00B02873" w:rsidRPr="00B02873" w14:paraId="5128418F" w14:textId="77777777" w:rsidTr="00F0771C">
        <w:tc>
          <w:tcPr>
            <w:tcW w:w="3256" w:type="dxa"/>
          </w:tcPr>
          <w:p w14:paraId="09BC7174" w14:textId="77777777" w:rsidR="00B02873" w:rsidRDefault="00B02873" w:rsidP="00B415A9">
            <w:pPr>
              <w:pStyle w:val="TablebodyleftTables"/>
            </w:pPr>
            <w:r>
              <w:t xml:space="preserve">Joint Fuel Management Plans completed </w:t>
            </w:r>
          </w:p>
        </w:tc>
        <w:tc>
          <w:tcPr>
            <w:tcW w:w="1134" w:type="dxa"/>
          </w:tcPr>
          <w:p w14:paraId="1D592577" w14:textId="77777777" w:rsidR="00B02873" w:rsidRDefault="00B02873" w:rsidP="00F0771C">
            <w:pPr>
              <w:pStyle w:val="TablebodyleftTables"/>
            </w:pPr>
            <w:r>
              <w:t>date</w:t>
            </w:r>
          </w:p>
        </w:tc>
        <w:tc>
          <w:tcPr>
            <w:tcW w:w="992" w:type="dxa"/>
          </w:tcPr>
          <w:p w14:paraId="7FFF1427" w14:textId="77777777" w:rsidR="00B02873" w:rsidRDefault="00B02873" w:rsidP="00DE1159">
            <w:pPr>
              <w:pStyle w:val="TablebodyleftTables"/>
              <w:jc w:val="right"/>
            </w:pPr>
            <w:r>
              <w:t>Oct 2021</w:t>
            </w:r>
          </w:p>
        </w:tc>
        <w:tc>
          <w:tcPr>
            <w:tcW w:w="992" w:type="dxa"/>
          </w:tcPr>
          <w:p w14:paraId="77B518C5" w14:textId="77777777" w:rsidR="00B02873" w:rsidRDefault="00B02873" w:rsidP="00DE1159">
            <w:pPr>
              <w:pStyle w:val="TablebodyleftTables"/>
              <w:jc w:val="right"/>
            </w:pPr>
            <w:r>
              <w:t>Sep 2021</w:t>
            </w:r>
          </w:p>
        </w:tc>
        <w:tc>
          <w:tcPr>
            <w:tcW w:w="1559" w:type="dxa"/>
          </w:tcPr>
          <w:p w14:paraId="79844077" w14:textId="77777777" w:rsidR="00B02873" w:rsidRDefault="00B02873" w:rsidP="00DE1159">
            <w:pPr>
              <w:pStyle w:val="TablebodyleftTables"/>
              <w:jc w:val="right"/>
            </w:pPr>
            <w:r>
              <w:t>(8%)</w:t>
            </w:r>
          </w:p>
        </w:tc>
        <w:tc>
          <w:tcPr>
            <w:tcW w:w="1843" w:type="dxa"/>
          </w:tcPr>
          <w:p w14:paraId="61A9FBA8" w14:textId="465BFD69" w:rsidR="00B02873" w:rsidRDefault="00F0771C" w:rsidP="00F0771C">
            <w:pPr>
              <w:pStyle w:val="TablebodyleftTables"/>
            </w:pPr>
            <w:r>
              <w:t>Performance target not achieved – exceeds 5 per cent variance.</w:t>
            </w:r>
          </w:p>
        </w:tc>
      </w:tr>
    </w:tbl>
    <w:p w14:paraId="20127038" w14:textId="5270E00D" w:rsidR="004F78CF" w:rsidRPr="004F78CF" w:rsidRDefault="004F78CF">
      <w:pPr>
        <w:rPr>
          <w:i/>
          <w:iCs/>
        </w:rPr>
      </w:pPr>
      <w:r w:rsidRPr="004F78CF">
        <w:rPr>
          <w:i/>
          <w:iCs/>
        </w:rPr>
        <w:t>The target date of September 2021 was not met due to additional time required to finalise fire history spatial data.</w:t>
      </w:r>
    </w:p>
    <w:tbl>
      <w:tblPr>
        <w:tblStyle w:val="TableGrid"/>
        <w:tblW w:w="9776" w:type="dxa"/>
        <w:tblLayout w:type="fixed"/>
        <w:tblLook w:val="0020" w:firstRow="1" w:lastRow="0" w:firstColumn="0" w:lastColumn="0" w:noHBand="0" w:noVBand="0"/>
      </w:tblPr>
      <w:tblGrid>
        <w:gridCol w:w="3256"/>
        <w:gridCol w:w="1134"/>
        <w:gridCol w:w="992"/>
        <w:gridCol w:w="992"/>
        <w:gridCol w:w="1559"/>
        <w:gridCol w:w="1843"/>
      </w:tblGrid>
      <w:tr w:rsidR="00474FAD" w:rsidRPr="00B02873" w14:paraId="2C256ED0" w14:textId="77777777" w:rsidTr="000315A5">
        <w:trPr>
          <w:cnfStyle w:val="100000000000" w:firstRow="1" w:lastRow="0" w:firstColumn="0" w:lastColumn="0" w:oddVBand="0" w:evenVBand="0" w:oddHBand="0" w:evenHBand="0" w:firstRowFirstColumn="0" w:firstRowLastColumn="0" w:lastRowFirstColumn="0" w:lastRowLastColumn="0"/>
          <w:tblHeader/>
        </w:trPr>
        <w:tc>
          <w:tcPr>
            <w:tcW w:w="3256" w:type="dxa"/>
          </w:tcPr>
          <w:p w14:paraId="576D0647" w14:textId="77777777" w:rsidR="00474FAD" w:rsidRDefault="00474FAD" w:rsidP="000315A5">
            <w:pPr>
              <w:pStyle w:val="TableheadingleftTables"/>
            </w:pPr>
            <w:r>
              <w:t>Output performance measures</w:t>
            </w:r>
          </w:p>
        </w:tc>
        <w:tc>
          <w:tcPr>
            <w:tcW w:w="1134" w:type="dxa"/>
          </w:tcPr>
          <w:p w14:paraId="0C96B2FA" w14:textId="77777777" w:rsidR="00474FAD" w:rsidRDefault="00474FAD" w:rsidP="000315A5">
            <w:pPr>
              <w:pStyle w:val="TableheadingleftTables"/>
            </w:pPr>
            <w:r>
              <w:t>Unit of measure</w:t>
            </w:r>
          </w:p>
        </w:tc>
        <w:tc>
          <w:tcPr>
            <w:tcW w:w="992" w:type="dxa"/>
          </w:tcPr>
          <w:p w14:paraId="0C5CEADA" w14:textId="77777777" w:rsidR="00474FAD" w:rsidRDefault="00474FAD" w:rsidP="00DE1159">
            <w:pPr>
              <w:pStyle w:val="TableheadingleftTables"/>
              <w:jc w:val="right"/>
            </w:pPr>
            <w:r>
              <w:t>2021-22 actual</w:t>
            </w:r>
          </w:p>
        </w:tc>
        <w:tc>
          <w:tcPr>
            <w:tcW w:w="992" w:type="dxa"/>
          </w:tcPr>
          <w:p w14:paraId="63AA725A" w14:textId="77777777" w:rsidR="00474FAD" w:rsidRDefault="00474FAD" w:rsidP="00DE1159">
            <w:pPr>
              <w:pStyle w:val="TableheadingleftTables"/>
              <w:jc w:val="right"/>
            </w:pPr>
            <w:r>
              <w:t>2021-22 target</w:t>
            </w:r>
          </w:p>
        </w:tc>
        <w:tc>
          <w:tcPr>
            <w:tcW w:w="1559" w:type="dxa"/>
          </w:tcPr>
          <w:p w14:paraId="1CF1D9A3" w14:textId="77777777" w:rsidR="00474FAD" w:rsidRDefault="00474FAD" w:rsidP="00DE1159">
            <w:pPr>
              <w:pStyle w:val="TableheadingleftTables"/>
              <w:jc w:val="right"/>
            </w:pPr>
            <w:r>
              <w:rPr>
                <w:spacing w:val="-3"/>
              </w:rPr>
              <w:t>Performance variation (%)</w:t>
            </w:r>
          </w:p>
        </w:tc>
        <w:tc>
          <w:tcPr>
            <w:tcW w:w="1843" w:type="dxa"/>
          </w:tcPr>
          <w:p w14:paraId="05370E1F" w14:textId="77777777" w:rsidR="00474FAD" w:rsidRDefault="00474FAD" w:rsidP="000315A5">
            <w:pPr>
              <w:pStyle w:val="TableheadingleftTables"/>
            </w:pPr>
            <w:r>
              <w:t>Result</w:t>
            </w:r>
          </w:p>
        </w:tc>
      </w:tr>
      <w:tr w:rsidR="00B02873" w:rsidRPr="00B02873" w14:paraId="6782A4B9" w14:textId="77777777" w:rsidTr="00F0771C">
        <w:tc>
          <w:tcPr>
            <w:tcW w:w="3256" w:type="dxa"/>
          </w:tcPr>
          <w:p w14:paraId="335A6097" w14:textId="77777777" w:rsidR="00B02873" w:rsidRDefault="00B02873" w:rsidP="00B415A9">
            <w:pPr>
              <w:pStyle w:val="TablebodyleftTables"/>
            </w:pPr>
            <w:r>
              <w:t>Fires contained at first attack to suppress fires before they become established, minimising impact</w:t>
            </w:r>
          </w:p>
        </w:tc>
        <w:tc>
          <w:tcPr>
            <w:tcW w:w="1134" w:type="dxa"/>
          </w:tcPr>
          <w:p w14:paraId="2D384052" w14:textId="77777777" w:rsidR="00B02873" w:rsidRDefault="00B02873" w:rsidP="00F0771C">
            <w:pPr>
              <w:pStyle w:val="TablebodyleftTables"/>
            </w:pPr>
            <w:r>
              <w:t>per cent</w:t>
            </w:r>
          </w:p>
        </w:tc>
        <w:tc>
          <w:tcPr>
            <w:tcW w:w="992" w:type="dxa"/>
          </w:tcPr>
          <w:p w14:paraId="62085DDB" w14:textId="77777777" w:rsidR="00B02873" w:rsidRDefault="00B02873" w:rsidP="00DE1159">
            <w:pPr>
              <w:pStyle w:val="TablebodyleftTables"/>
              <w:jc w:val="right"/>
            </w:pPr>
            <w:r>
              <w:t>97.5</w:t>
            </w:r>
          </w:p>
        </w:tc>
        <w:tc>
          <w:tcPr>
            <w:tcW w:w="992" w:type="dxa"/>
          </w:tcPr>
          <w:p w14:paraId="7605931E" w14:textId="77777777" w:rsidR="00B02873" w:rsidRDefault="00B02873" w:rsidP="00DE1159">
            <w:pPr>
              <w:pStyle w:val="TablebodyleftTables"/>
              <w:jc w:val="right"/>
            </w:pPr>
            <w:r>
              <w:t>80</w:t>
            </w:r>
          </w:p>
        </w:tc>
        <w:tc>
          <w:tcPr>
            <w:tcW w:w="1559" w:type="dxa"/>
          </w:tcPr>
          <w:p w14:paraId="4EE9C9B4" w14:textId="77777777" w:rsidR="00B02873" w:rsidRDefault="00B02873" w:rsidP="00DE1159">
            <w:pPr>
              <w:pStyle w:val="TablebodyleftTables"/>
              <w:jc w:val="right"/>
            </w:pPr>
            <w:r>
              <w:t>22%</w:t>
            </w:r>
          </w:p>
        </w:tc>
        <w:tc>
          <w:tcPr>
            <w:tcW w:w="1843" w:type="dxa"/>
          </w:tcPr>
          <w:p w14:paraId="79EBD621" w14:textId="2D81BD93" w:rsidR="00B02873" w:rsidRDefault="00F0771C" w:rsidP="00F0771C">
            <w:pPr>
              <w:pStyle w:val="TablebodyleftTables"/>
            </w:pPr>
            <w:r>
              <w:t>Performance target achieved or exceeded.</w:t>
            </w:r>
          </w:p>
        </w:tc>
      </w:tr>
    </w:tbl>
    <w:p w14:paraId="7E67C951" w14:textId="6D618909" w:rsidR="004F78CF" w:rsidRPr="004F78CF" w:rsidRDefault="004F78CF">
      <w:pPr>
        <w:rPr>
          <w:i/>
          <w:iCs/>
        </w:rPr>
      </w:pPr>
      <w:r w:rsidRPr="004F78CF">
        <w:rPr>
          <w:i/>
          <w:iCs/>
        </w:rPr>
        <w:t>Performance is above target due to low bushfire risk in 2021-22, with fires generally being smaller, less frequent and less likely to spread before rapid first attack can suppress them. Contract extensions for seasonal workers and additional Forest Fire Operations Officers allowed for increased patrols and preparedness works significantly ahead of and into the bushfire season.</w:t>
      </w:r>
    </w:p>
    <w:tbl>
      <w:tblPr>
        <w:tblStyle w:val="TableGrid"/>
        <w:tblW w:w="9776" w:type="dxa"/>
        <w:tblLayout w:type="fixed"/>
        <w:tblLook w:val="0020" w:firstRow="1" w:lastRow="0" w:firstColumn="0" w:lastColumn="0" w:noHBand="0" w:noVBand="0"/>
      </w:tblPr>
      <w:tblGrid>
        <w:gridCol w:w="3256"/>
        <w:gridCol w:w="1134"/>
        <w:gridCol w:w="992"/>
        <w:gridCol w:w="992"/>
        <w:gridCol w:w="1559"/>
        <w:gridCol w:w="1843"/>
      </w:tblGrid>
      <w:tr w:rsidR="00474FAD" w:rsidRPr="00B02873" w14:paraId="74BE42D4" w14:textId="77777777" w:rsidTr="000315A5">
        <w:trPr>
          <w:cnfStyle w:val="100000000000" w:firstRow="1" w:lastRow="0" w:firstColumn="0" w:lastColumn="0" w:oddVBand="0" w:evenVBand="0" w:oddHBand="0" w:evenHBand="0" w:firstRowFirstColumn="0" w:firstRowLastColumn="0" w:lastRowFirstColumn="0" w:lastRowLastColumn="0"/>
          <w:tblHeader/>
        </w:trPr>
        <w:tc>
          <w:tcPr>
            <w:tcW w:w="3256" w:type="dxa"/>
          </w:tcPr>
          <w:p w14:paraId="3318FA34" w14:textId="77777777" w:rsidR="00474FAD" w:rsidRDefault="00474FAD" w:rsidP="000315A5">
            <w:pPr>
              <w:pStyle w:val="TableheadingleftTables"/>
            </w:pPr>
            <w:r>
              <w:t>Output performance measures</w:t>
            </w:r>
          </w:p>
        </w:tc>
        <w:tc>
          <w:tcPr>
            <w:tcW w:w="1134" w:type="dxa"/>
          </w:tcPr>
          <w:p w14:paraId="60437228" w14:textId="77777777" w:rsidR="00474FAD" w:rsidRDefault="00474FAD" w:rsidP="000315A5">
            <w:pPr>
              <w:pStyle w:val="TableheadingleftTables"/>
            </w:pPr>
            <w:r>
              <w:t>Unit of measure</w:t>
            </w:r>
          </w:p>
        </w:tc>
        <w:tc>
          <w:tcPr>
            <w:tcW w:w="992" w:type="dxa"/>
          </w:tcPr>
          <w:p w14:paraId="167F5D7F" w14:textId="77777777" w:rsidR="00474FAD" w:rsidRDefault="00474FAD" w:rsidP="00DE1159">
            <w:pPr>
              <w:pStyle w:val="TableheadingleftTables"/>
              <w:jc w:val="right"/>
            </w:pPr>
            <w:r>
              <w:t>2021-22 actual</w:t>
            </w:r>
          </w:p>
        </w:tc>
        <w:tc>
          <w:tcPr>
            <w:tcW w:w="992" w:type="dxa"/>
          </w:tcPr>
          <w:p w14:paraId="2F32995E" w14:textId="77777777" w:rsidR="00474FAD" w:rsidRDefault="00474FAD" w:rsidP="00DE1159">
            <w:pPr>
              <w:pStyle w:val="TableheadingleftTables"/>
              <w:jc w:val="right"/>
            </w:pPr>
            <w:r>
              <w:t>2021-22 target</w:t>
            </w:r>
          </w:p>
        </w:tc>
        <w:tc>
          <w:tcPr>
            <w:tcW w:w="1559" w:type="dxa"/>
          </w:tcPr>
          <w:p w14:paraId="433288E2" w14:textId="77777777" w:rsidR="00474FAD" w:rsidRDefault="00474FAD" w:rsidP="00DE1159">
            <w:pPr>
              <w:pStyle w:val="TableheadingleftTables"/>
              <w:jc w:val="right"/>
            </w:pPr>
            <w:r>
              <w:rPr>
                <w:spacing w:val="-3"/>
              </w:rPr>
              <w:t>Performance variation (%)</w:t>
            </w:r>
          </w:p>
        </w:tc>
        <w:tc>
          <w:tcPr>
            <w:tcW w:w="1843" w:type="dxa"/>
          </w:tcPr>
          <w:p w14:paraId="04BA28DC" w14:textId="77777777" w:rsidR="00474FAD" w:rsidRDefault="00474FAD" w:rsidP="000315A5">
            <w:pPr>
              <w:pStyle w:val="TableheadingleftTables"/>
            </w:pPr>
            <w:r>
              <w:t>Result</w:t>
            </w:r>
          </w:p>
        </w:tc>
      </w:tr>
      <w:tr w:rsidR="00B02873" w:rsidRPr="00B02873" w14:paraId="370F5BAA" w14:textId="77777777" w:rsidTr="00F0771C">
        <w:tc>
          <w:tcPr>
            <w:tcW w:w="3256" w:type="dxa"/>
          </w:tcPr>
          <w:p w14:paraId="5DB4D950" w14:textId="77777777" w:rsidR="00B02873" w:rsidRDefault="00B02873" w:rsidP="00B415A9">
            <w:pPr>
              <w:pStyle w:val="TablebodyleftTables"/>
            </w:pPr>
            <w:r>
              <w:t>Readiness and response plans completed prior to the upcoming fire season</w:t>
            </w:r>
          </w:p>
        </w:tc>
        <w:tc>
          <w:tcPr>
            <w:tcW w:w="1134" w:type="dxa"/>
          </w:tcPr>
          <w:p w14:paraId="7E01C6A6" w14:textId="77777777" w:rsidR="00B02873" w:rsidRDefault="00B02873" w:rsidP="00F0771C">
            <w:pPr>
              <w:pStyle w:val="TablebodyleftTables"/>
            </w:pPr>
            <w:r>
              <w:t>date</w:t>
            </w:r>
          </w:p>
        </w:tc>
        <w:tc>
          <w:tcPr>
            <w:tcW w:w="992" w:type="dxa"/>
          </w:tcPr>
          <w:p w14:paraId="252EC06C" w14:textId="77777777" w:rsidR="00B02873" w:rsidRDefault="00B02873" w:rsidP="00DE1159">
            <w:pPr>
              <w:pStyle w:val="TablebodyleftTables"/>
              <w:jc w:val="right"/>
            </w:pPr>
            <w:r>
              <w:t>Oct 2021</w:t>
            </w:r>
          </w:p>
        </w:tc>
        <w:tc>
          <w:tcPr>
            <w:tcW w:w="992" w:type="dxa"/>
          </w:tcPr>
          <w:p w14:paraId="0D98BB4A" w14:textId="77777777" w:rsidR="00B02873" w:rsidRDefault="00B02873" w:rsidP="00DE1159">
            <w:pPr>
              <w:pStyle w:val="TablebodyleftTables"/>
              <w:jc w:val="right"/>
            </w:pPr>
            <w:r>
              <w:t>Oct 2021</w:t>
            </w:r>
          </w:p>
        </w:tc>
        <w:tc>
          <w:tcPr>
            <w:tcW w:w="1559" w:type="dxa"/>
          </w:tcPr>
          <w:p w14:paraId="3755C75F" w14:textId="77777777" w:rsidR="00B02873" w:rsidRDefault="00B02873" w:rsidP="00DE1159">
            <w:pPr>
              <w:pStyle w:val="TablebodyleftTables"/>
              <w:jc w:val="right"/>
            </w:pPr>
            <w:r>
              <w:t>0%</w:t>
            </w:r>
          </w:p>
        </w:tc>
        <w:tc>
          <w:tcPr>
            <w:tcW w:w="1843" w:type="dxa"/>
          </w:tcPr>
          <w:p w14:paraId="70CE57E8" w14:textId="720B106B" w:rsidR="00B02873" w:rsidRDefault="00F0771C" w:rsidP="00F0771C">
            <w:pPr>
              <w:pStyle w:val="TablebodyleftTables"/>
            </w:pPr>
            <w:r>
              <w:t>Performance target achieved or exceeded.</w:t>
            </w:r>
          </w:p>
        </w:tc>
      </w:tr>
      <w:tr w:rsidR="00B02873" w:rsidRPr="00B02873" w14:paraId="428AD380" w14:textId="77777777" w:rsidTr="00F0771C">
        <w:tc>
          <w:tcPr>
            <w:tcW w:w="3256" w:type="dxa"/>
          </w:tcPr>
          <w:p w14:paraId="633C5050" w14:textId="77777777" w:rsidR="00B02873" w:rsidRDefault="00B02873" w:rsidP="00B415A9">
            <w:pPr>
              <w:pStyle w:val="TableheadingleftTables"/>
            </w:pPr>
            <w:r>
              <w:t>Cost</w:t>
            </w:r>
          </w:p>
        </w:tc>
        <w:tc>
          <w:tcPr>
            <w:tcW w:w="1134" w:type="dxa"/>
          </w:tcPr>
          <w:p w14:paraId="1BE1F8D0" w14:textId="77777777" w:rsidR="00B02873" w:rsidRPr="00B02873" w:rsidRDefault="00B02873" w:rsidP="00B415A9">
            <w:pPr>
              <w:pStyle w:val="NoParagraphStyle"/>
              <w:spacing w:line="240" w:lineRule="auto"/>
              <w:textAlignment w:val="auto"/>
              <w:rPr>
                <w:rFonts w:ascii="Apple Symbols Regular" w:hAnsi="Apple Symbols Regular" w:cs="Times New Roman"/>
                <w:color w:val="auto"/>
                <w:lang w:val="en-AU"/>
              </w:rPr>
            </w:pPr>
          </w:p>
        </w:tc>
        <w:tc>
          <w:tcPr>
            <w:tcW w:w="992" w:type="dxa"/>
          </w:tcPr>
          <w:p w14:paraId="4712FEAE" w14:textId="77777777" w:rsidR="00B02873" w:rsidRPr="00B02873" w:rsidRDefault="00B02873" w:rsidP="00DE1159">
            <w:pPr>
              <w:pStyle w:val="NoParagraphStyle"/>
              <w:spacing w:line="240" w:lineRule="auto"/>
              <w:jc w:val="right"/>
              <w:textAlignment w:val="auto"/>
              <w:rPr>
                <w:rFonts w:ascii="Apple Symbols Regular" w:hAnsi="Apple Symbols Regular" w:cs="Times New Roman"/>
                <w:color w:val="auto"/>
                <w:lang w:val="en-AU"/>
              </w:rPr>
            </w:pPr>
          </w:p>
        </w:tc>
        <w:tc>
          <w:tcPr>
            <w:tcW w:w="992" w:type="dxa"/>
          </w:tcPr>
          <w:p w14:paraId="3EC13F1D" w14:textId="77777777" w:rsidR="00B02873" w:rsidRPr="00B02873" w:rsidRDefault="00B02873" w:rsidP="00DE1159">
            <w:pPr>
              <w:pStyle w:val="NoParagraphStyle"/>
              <w:spacing w:line="240" w:lineRule="auto"/>
              <w:jc w:val="right"/>
              <w:textAlignment w:val="auto"/>
              <w:rPr>
                <w:rFonts w:ascii="Apple Symbols Regular" w:hAnsi="Apple Symbols Regular" w:cs="Times New Roman"/>
                <w:color w:val="auto"/>
                <w:lang w:val="en-AU"/>
              </w:rPr>
            </w:pPr>
          </w:p>
        </w:tc>
        <w:tc>
          <w:tcPr>
            <w:tcW w:w="1559" w:type="dxa"/>
          </w:tcPr>
          <w:p w14:paraId="169F1693" w14:textId="77777777" w:rsidR="00B02873" w:rsidRPr="00B02873" w:rsidRDefault="00B02873" w:rsidP="00DE1159">
            <w:pPr>
              <w:pStyle w:val="NoParagraphStyle"/>
              <w:spacing w:line="240" w:lineRule="auto"/>
              <w:jc w:val="right"/>
              <w:textAlignment w:val="auto"/>
              <w:rPr>
                <w:rFonts w:ascii="Apple Symbols Regular" w:hAnsi="Apple Symbols Regular" w:cs="Times New Roman"/>
                <w:color w:val="auto"/>
                <w:lang w:val="en-AU"/>
              </w:rPr>
            </w:pPr>
          </w:p>
        </w:tc>
        <w:tc>
          <w:tcPr>
            <w:tcW w:w="1843" w:type="dxa"/>
          </w:tcPr>
          <w:p w14:paraId="7031D37A" w14:textId="77777777" w:rsidR="00B02873" w:rsidRPr="00B02873" w:rsidRDefault="00B02873" w:rsidP="00B415A9">
            <w:pPr>
              <w:pStyle w:val="NoParagraphStyle"/>
              <w:spacing w:line="240" w:lineRule="auto"/>
              <w:textAlignment w:val="auto"/>
              <w:rPr>
                <w:rFonts w:ascii="Apple Symbols Regular" w:hAnsi="Apple Symbols Regular" w:cs="Times New Roman"/>
                <w:color w:val="auto"/>
                <w:lang w:val="en-AU"/>
              </w:rPr>
            </w:pPr>
          </w:p>
        </w:tc>
      </w:tr>
      <w:tr w:rsidR="00B02873" w:rsidRPr="00B02873" w14:paraId="16FDFFF7" w14:textId="77777777" w:rsidTr="00F0771C">
        <w:tc>
          <w:tcPr>
            <w:tcW w:w="3256" w:type="dxa"/>
          </w:tcPr>
          <w:p w14:paraId="62E0A9CB" w14:textId="77777777" w:rsidR="00B02873" w:rsidRDefault="00B02873" w:rsidP="00B415A9">
            <w:pPr>
              <w:pStyle w:val="TablebodyleftTables"/>
            </w:pPr>
            <w:r>
              <w:rPr>
                <w:rStyle w:val="Bold"/>
              </w:rPr>
              <w:t>Total output cost</w:t>
            </w:r>
          </w:p>
        </w:tc>
        <w:tc>
          <w:tcPr>
            <w:tcW w:w="1134" w:type="dxa"/>
          </w:tcPr>
          <w:p w14:paraId="5FDEB7D9" w14:textId="77777777" w:rsidR="00B02873" w:rsidRDefault="00B02873" w:rsidP="00F0771C">
            <w:pPr>
              <w:pStyle w:val="TablebodyleftTables"/>
            </w:pPr>
            <w:r>
              <w:t>$ million</w:t>
            </w:r>
          </w:p>
        </w:tc>
        <w:tc>
          <w:tcPr>
            <w:tcW w:w="992" w:type="dxa"/>
          </w:tcPr>
          <w:p w14:paraId="7E3FD745" w14:textId="77777777" w:rsidR="00B02873" w:rsidRDefault="00B02873" w:rsidP="00DE1159">
            <w:pPr>
              <w:pStyle w:val="TablebodyleftTables"/>
              <w:jc w:val="right"/>
            </w:pPr>
            <w:r>
              <w:t>432.6</w:t>
            </w:r>
          </w:p>
        </w:tc>
        <w:tc>
          <w:tcPr>
            <w:tcW w:w="992" w:type="dxa"/>
          </w:tcPr>
          <w:p w14:paraId="7232714B" w14:textId="77777777" w:rsidR="00B02873" w:rsidRDefault="00B02873" w:rsidP="00DE1159">
            <w:pPr>
              <w:pStyle w:val="TablebodyleftTables"/>
              <w:jc w:val="right"/>
            </w:pPr>
            <w:r>
              <w:t>406.4</w:t>
            </w:r>
          </w:p>
        </w:tc>
        <w:tc>
          <w:tcPr>
            <w:tcW w:w="1559" w:type="dxa"/>
          </w:tcPr>
          <w:p w14:paraId="14313493" w14:textId="77777777" w:rsidR="00B02873" w:rsidRDefault="00B02873" w:rsidP="00DE1159">
            <w:pPr>
              <w:pStyle w:val="TablebodyleftTables"/>
              <w:jc w:val="right"/>
            </w:pPr>
            <w:r>
              <w:t>6%</w:t>
            </w:r>
          </w:p>
        </w:tc>
        <w:tc>
          <w:tcPr>
            <w:tcW w:w="1843" w:type="dxa"/>
          </w:tcPr>
          <w:p w14:paraId="3EBA954A" w14:textId="1CD74E33" w:rsidR="00B02873" w:rsidRDefault="00F0771C" w:rsidP="00F0771C">
            <w:pPr>
              <w:pStyle w:val="TablebodyleftTables"/>
            </w:pPr>
            <w:r>
              <w:t>Performance target not achieved – exceeds 5 per cent variance.</w:t>
            </w:r>
          </w:p>
        </w:tc>
      </w:tr>
    </w:tbl>
    <w:p w14:paraId="6EA3125F" w14:textId="48DD0A51" w:rsidR="004F78CF" w:rsidRPr="004F78CF" w:rsidRDefault="004F78CF">
      <w:pPr>
        <w:rPr>
          <w:i/>
          <w:iCs/>
        </w:rPr>
      </w:pPr>
      <w:r w:rsidRPr="004F78CF">
        <w:rPr>
          <w:i/>
          <w:iCs/>
        </w:rPr>
        <w:t>The higher than budgeted output cost is primarily due to additional funding provided for the Aviation Firefighting Resources initiative and 2021-22 Bushfire Preparedness initiative.</w:t>
      </w:r>
    </w:p>
    <w:p w14:paraId="68BF0495" w14:textId="77777777" w:rsidR="00B02873" w:rsidRDefault="00B02873" w:rsidP="00FE198A">
      <w:pPr>
        <w:pStyle w:val="Heading1"/>
      </w:pPr>
      <w:bookmarkStart w:id="18" w:name="_Toc117447359"/>
      <w:r>
        <w:lastRenderedPageBreak/>
        <w:t>Our People</w:t>
      </w:r>
      <w:bookmarkEnd w:id="18"/>
    </w:p>
    <w:p w14:paraId="031FC9FC" w14:textId="3FB8DBDE" w:rsidR="00B02873" w:rsidRPr="00DE1159" w:rsidRDefault="00474FAD" w:rsidP="001128B1">
      <w:pPr>
        <w:pStyle w:val="Number1Lists"/>
        <w:keepNext/>
        <w:numPr>
          <w:ilvl w:val="0"/>
          <w:numId w:val="63"/>
        </w:numPr>
      </w:pPr>
      <w:r w:rsidRPr="00DE1159">
        <w:t>Good health and well-being</w:t>
      </w:r>
    </w:p>
    <w:p w14:paraId="31D7AC84" w14:textId="3EACBDB7" w:rsidR="00474FAD" w:rsidRPr="00DE1159" w:rsidRDefault="00474FAD" w:rsidP="00B23E1C">
      <w:pPr>
        <w:pStyle w:val="Number1Lists"/>
        <w:keepNext/>
      </w:pPr>
      <w:r w:rsidRPr="00DE1159">
        <w:t>Gender equality</w:t>
      </w:r>
    </w:p>
    <w:p w14:paraId="03F6DD31" w14:textId="5BB5C07A" w:rsidR="00474FAD" w:rsidRPr="00DE1159" w:rsidRDefault="00474FAD" w:rsidP="00B23E1C">
      <w:pPr>
        <w:pStyle w:val="Number1Lists"/>
        <w:keepNext/>
      </w:pPr>
      <w:r w:rsidRPr="00DE1159">
        <w:t>Reduced inequalities</w:t>
      </w:r>
    </w:p>
    <w:p w14:paraId="66A5E7B4" w14:textId="70DCAC43" w:rsidR="00474FAD" w:rsidRDefault="00474FAD" w:rsidP="00DE1159">
      <w:pPr>
        <w:pStyle w:val="Number1Listslast"/>
      </w:pPr>
      <w:r w:rsidRPr="00DE1159">
        <w:t>Peace, justice</w:t>
      </w:r>
      <w:r>
        <w:t xml:space="preserve"> and strong institutions</w:t>
      </w:r>
    </w:p>
    <w:p w14:paraId="759473B4" w14:textId="77777777" w:rsidR="00B02873" w:rsidRDefault="00B02873" w:rsidP="00FE198A">
      <w:pPr>
        <w:rPr>
          <w:spacing w:val="-2"/>
        </w:rPr>
      </w:pPr>
      <w:r>
        <w:rPr>
          <w:spacing w:val="-2"/>
        </w:rPr>
        <w:t>At DELWP, our aspiration is to have a workforce that reflects the communities that we serve and live in. We are committed to fostering a culture where our employees are provided with opportunities to develop, are valued for their contribution, and can work flexibly and safely to deliver great value and services to Victorian communities and stakeholders.</w:t>
      </w:r>
    </w:p>
    <w:p w14:paraId="5B27B235" w14:textId="77777777" w:rsidR="00B02873" w:rsidRDefault="00B02873" w:rsidP="00FE198A">
      <w:r>
        <w:rPr>
          <w:spacing w:val="-2"/>
        </w:rPr>
        <w:t>On 30 June 2022, DELWP employed 5,186 full time equivalent (FTE) staff, with a total headcount of 5,439</w:t>
      </w:r>
      <w:r>
        <w:t xml:space="preserve">. </w:t>
      </w:r>
    </w:p>
    <w:p w14:paraId="1CEC88BA" w14:textId="77777777" w:rsidR="00B02873" w:rsidRDefault="00B02873" w:rsidP="002C308E">
      <w:pPr>
        <w:pStyle w:val="Figureheading"/>
      </w:pPr>
      <w:r>
        <w:t>Figure 1. Staff distribution by age</w:t>
      </w:r>
    </w:p>
    <w:p w14:paraId="39460982" w14:textId="67185CE3" w:rsidR="00B02873" w:rsidRDefault="002C308E" w:rsidP="002C308E">
      <w:r>
        <w:rPr>
          <w:noProof/>
        </w:rPr>
        <w:drawing>
          <wp:inline distT="0" distB="0" distL="0" distR="0" wp14:anchorId="2CB0540C" wp14:editId="15EF05D8">
            <wp:extent cx="2968758" cy="2075692"/>
            <wp:effectExtent l="0" t="0" r="3175" b="1270"/>
            <wp:docPr id="31" name="Picture 31" descr="Graph showing staff distribution on a headcount basis by age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 showing staff distribution on a headcount basis by age group. "/>
                    <pic:cNvPicPr/>
                  </pic:nvPicPr>
                  <pic:blipFill>
                    <a:blip r:embed="rId40"/>
                    <a:stretch>
                      <a:fillRect/>
                    </a:stretch>
                  </pic:blipFill>
                  <pic:spPr>
                    <a:xfrm>
                      <a:off x="0" y="0"/>
                      <a:ext cx="2968758" cy="2075692"/>
                    </a:xfrm>
                    <a:prstGeom prst="rect">
                      <a:avLst/>
                    </a:prstGeom>
                  </pic:spPr>
                </pic:pic>
              </a:graphicData>
            </a:graphic>
          </wp:inline>
        </w:drawing>
      </w:r>
    </w:p>
    <w:p w14:paraId="25285A32" w14:textId="77777777" w:rsidR="00B02873" w:rsidRDefault="00B02873" w:rsidP="002C308E">
      <w:r>
        <w:t xml:space="preserve">The largest age cohort is staff between 35-44 years of age, accounting for 30.0 per cent of total staff. The next largest is the 25-34 year age cohort, accounting for 24.7 per cent of staff. </w:t>
      </w:r>
    </w:p>
    <w:p w14:paraId="1818F9F9" w14:textId="77777777" w:rsidR="00B02873" w:rsidRDefault="00B02873" w:rsidP="00431F6B">
      <w:pPr>
        <w:pStyle w:val="Figureheading"/>
      </w:pPr>
      <w:r>
        <w:t>Figure 1.1 Staff distribution by work status</w:t>
      </w:r>
    </w:p>
    <w:p w14:paraId="42BF47E9" w14:textId="37116428" w:rsidR="002C308E" w:rsidRDefault="00431F6B" w:rsidP="00FE198A">
      <w:r>
        <w:rPr>
          <w:noProof/>
        </w:rPr>
        <w:drawing>
          <wp:inline distT="0" distB="0" distL="0" distR="0" wp14:anchorId="313C29AD" wp14:editId="144FDCA7">
            <wp:extent cx="2565400" cy="2859768"/>
            <wp:effectExtent l="0" t="0" r="6350" b="0"/>
            <wp:docPr id="32" name="Picture 32" descr="Graph showing the percentage of staff who are casual, fixed term or ongo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 showing the percentage of staff who are casual, fixed term or ongoing."/>
                    <pic:cNvPicPr/>
                  </pic:nvPicPr>
                  <pic:blipFill rotWithShape="1">
                    <a:blip r:embed="rId41"/>
                    <a:srcRect r="27701"/>
                    <a:stretch/>
                  </pic:blipFill>
                  <pic:spPr bwMode="auto">
                    <a:xfrm>
                      <a:off x="0" y="0"/>
                      <a:ext cx="2570954" cy="2865960"/>
                    </a:xfrm>
                    <a:prstGeom prst="rect">
                      <a:avLst/>
                    </a:prstGeom>
                    <a:ln>
                      <a:noFill/>
                    </a:ln>
                    <a:extLst>
                      <a:ext uri="{53640926-AAD7-44D8-BBD7-CCE9431645EC}">
                        <a14:shadowObscured xmlns:a14="http://schemas.microsoft.com/office/drawing/2010/main"/>
                      </a:ext>
                    </a:extLst>
                  </pic:spPr>
                </pic:pic>
              </a:graphicData>
            </a:graphic>
          </wp:inline>
        </w:drawing>
      </w:r>
    </w:p>
    <w:p w14:paraId="113A75B7" w14:textId="204CF0D1" w:rsidR="00B02873" w:rsidRDefault="00B02873" w:rsidP="00FE198A">
      <w:r>
        <w:t xml:space="preserve">Most staff are in ongoing roles, representing 71.9 per cent of DELWP’s staff. </w:t>
      </w:r>
    </w:p>
    <w:p w14:paraId="0AC2A010" w14:textId="77777777" w:rsidR="00B02873" w:rsidRDefault="00B02873" w:rsidP="00431F6B">
      <w:pPr>
        <w:pStyle w:val="Figureheading"/>
      </w:pPr>
      <w:r>
        <w:lastRenderedPageBreak/>
        <w:t xml:space="preserve">Figure 1.2 Staff distribution by working arrangement </w:t>
      </w:r>
    </w:p>
    <w:p w14:paraId="7C029BA7" w14:textId="0DAA8EC3" w:rsidR="00431F6B" w:rsidRDefault="00431F6B" w:rsidP="00FE198A">
      <w:r>
        <w:rPr>
          <w:noProof/>
        </w:rPr>
        <w:drawing>
          <wp:inline distT="0" distB="0" distL="0" distR="0" wp14:anchorId="63337726" wp14:editId="1C9415DA">
            <wp:extent cx="2496820" cy="2540000"/>
            <wp:effectExtent l="0" t="0" r="0" b="0"/>
            <wp:docPr id="33" name="Picture 33" descr="Graph showing the percentage of staff who work full time or part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 showing the percentage of staff who work full time or part time."/>
                    <pic:cNvPicPr/>
                  </pic:nvPicPr>
                  <pic:blipFill rotWithShape="1">
                    <a:blip r:embed="rId42"/>
                    <a:srcRect r="15886" b="4073"/>
                    <a:stretch/>
                  </pic:blipFill>
                  <pic:spPr bwMode="auto">
                    <a:xfrm>
                      <a:off x="0" y="0"/>
                      <a:ext cx="2504902" cy="2548222"/>
                    </a:xfrm>
                    <a:prstGeom prst="rect">
                      <a:avLst/>
                    </a:prstGeom>
                    <a:ln>
                      <a:noFill/>
                    </a:ln>
                    <a:extLst>
                      <a:ext uri="{53640926-AAD7-44D8-BBD7-CCE9431645EC}">
                        <a14:shadowObscured xmlns:a14="http://schemas.microsoft.com/office/drawing/2010/main"/>
                      </a:ext>
                    </a:extLst>
                  </pic:spPr>
                </pic:pic>
              </a:graphicData>
            </a:graphic>
          </wp:inline>
        </w:drawing>
      </w:r>
    </w:p>
    <w:p w14:paraId="67832A3A" w14:textId="7711AC0E" w:rsidR="00B02873" w:rsidRDefault="00B02873" w:rsidP="00FE198A">
      <w:r>
        <w:t xml:space="preserve">Reflecting the availability of flexible working arrangements, 655 (16.8 per cent) of 3,910 ongoing staff utilise part-time working arrangements. </w:t>
      </w:r>
    </w:p>
    <w:p w14:paraId="181505F4" w14:textId="0575D6B2" w:rsidR="00B02873" w:rsidRDefault="00B02873" w:rsidP="00746197">
      <w:pPr>
        <w:pStyle w:val="Figureheading"/>
      </w:pPr>
      <w:r>
        <w:t>Figure 2. Staff distribution by classification and gender</w:t>
      </w:r>
    </w:p>
    <w:p w14:paraId="14BA2496" w14:textId="40BA5DBD" w:rsidR="00746197" w:rsidRDefault="00746197" w:rsidP="00746197">
      <w:r>
        <w:rPr>
          <w:noProof/>
        </w:rPr>
        <w:drawing>
          <wp:inline distT="0" distB="0" distL="0" distR="0" wp14:anchorId="48AAE3BE" wp14:editId="3DD094F3">
            <wp:extent cx="4968250" cy="3892304"/>
            <wp:effectExtent l="0" t="0" r="0" b="0"/>
            <wp:docPr id="34" name="Picture 34" descr="Graph showing the number and percentage of staff by classification and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 showing the number and percentage of staff by classification and gender."/>
                    <pic:cNvPicPr/>
                  </pic:nvPicPr>
                  <pic:blipFill>
                    <a:blip r:embed="rId43"/>
                    <a:stretch>
                      <a:fillRect/>
                    </a:stretch>
                  </pic:blipFill>
                  <pic:spPr>
                    <a:xfrm>
                      <a:off x="0" y="0"/>
                      <a:ext cx="4968250" cy="3892304"/>
                    </a:xfrm>
                    <a:prstGeom prst="rect">
                      <a:avLst/>
                    </a:prstGeom>
                  </pic:spPr>
                </pic:pic>
              </a:graphicData>
            </a:graphic>
          </wp:inline>
        </w:drawing>
      </w:r>
    </w:p>
    <w:p w14:paraId="79923149" w14:textId="77777777" w:rsidR="00B02873" w:rsidRDefault="00B02873" w:rsidP="00746197">
      <w:r>
        <w:t>In the two classifications with the largest number of staff, VPS Grade 4 and VPS Grade 5, the representation of women is: 59.0 per cent of 1,401 VPS Grade 4 staff; and 52.2 per cent of 1,472 VPS Grade 5 staff.</w:t>
      </w:r>
    </w:p>
    <w:p w14:paraId="039B448C" w14:textId="77777777" w:rsidR="00B02873" w:rsidRDefault="00B02873" w:rsidP="006F52C9">
      <w:pPr>
        <w:pStyle w:val="Figureheading"/>
      </w:pPr>
      <w:r>
        <w:lastRenderedPageBreak/>
        <w:t>Figure 3. Staff Distribution by region</w:t>
      </w:r>
    </w:p>
    <w:p w14:paraId="76A169C0" w14:textId="79AAEF40" w:rsidR="00B02873" w:rsidRDefault="00746197" w:rsidP="00746197">
      <w:r>
        <w:rPr>
          <w:noProof/>
        </w:rPr>
        <w:drawing>
          <wp:inline distT="0" distB="0" distL="0" distR="0" wp14:anchorId="2DA9729F" wp14:editId="46BA4EF6">
            <wp:extent cx="3246127" cy="2807214"/>
            <wp:effectExtent l="0" t="0" r="0" b="0"/>
            <wp:docPr id="35" name="Picture 35" descr="Graph showing the number and percentage of staff by office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 showing the number and percentage of staff by office location."/>
                    <pic:cNvPicPr/>
                  </pic:nvPicPr>
                  <pic:blipFill>
                    <a:blip r:embed="rId44"/>
                    <a:stretch>
                      <a:fillRect/>
                    </a:stretch>
                  </pic:blipFill>
                  <pic:spPr>
                    <a:xfrm>
                      <a:off x="0" y="0"/>
                      <a:ext cx="3246127" cy="2807214"/>
                    </a:xfrm>
                    <a:prstGeom prst="rect">
                      <a:avLst/>
                    </a:prstGeom>
                  </pic:spPr>
                </pic:pic>
              </a:graphicData>
            </a:graphic>
          </wp:inline>
        </w:drawing>
      </w:r>
    </w:p>
    <w:p w14:paraId="2962E21D" w14:textId="2FC32F33" w:rsidR="00B02873" w:rsidRDefault="00B02873" w:rsidP="00FE198A">
      <w:r>
        <w:t>DELWP is geographically dispersed across 87 locations within Victoria, with 59 per cent of staff usually based in the Melbourne central business district (CBD) and 7 per cent in the Port Phillip region (which covers the Greater Melbourne area), and the remaining 34 per cent in regional Victoria. The largest regional staff population is in Gippsland where 11 per cent of staff are based. In 2021-22 most of our office-based staff worked remotely due to COVID-19.</w:t>
      </w:r>
    </w:p>
    <w:p w14:paraId="518933A6" w14:textId="77777777" w:rsidR="00B02873" w:rsidRDefault="00B02873" w:rsidP="00FE198A">
      <w:r>
        <w:t>Additional information on DELWP’s workforce profile is available at Appendix 2.</w:t>
      </w:r>
    </w:p>
    <w:p w14:paraId="6CDFE454" w14:textId="77777777" w:rsidR="00B02873" w:rsidRDefault="00B02873" w:rsidP="00066FED">
      <w:pPr>
        <w:pStyle w:val="Heading2Headings"/>
      </w:pPr>
      <w:r>
        <w:t>Our culture and values</w:t>
      </w:r>
    </w:p>
    <w:p w14:paraId="13A11F03" w14:textId="34F231F7" w:rsidR="00746197" w:rsidRDefault="00746197" w:rsidP="001128B1">
      <w:pPr>
        <w:pStyle w:val="Number1Lists"/>
        <w:numPr>
          <w:ilvl w:val="0"/>
          <w:numId w:val="64"/>
        </w:numPr>
        <w:spacing w:after="200"/>
      </w:pPr>
      <w:r>
        <w:t>Peace, justice and strong institutions</w:t>
      </w:r>
    </w:p>
    <w:p w14:paraId="6447568F" w14:textId="054A6F6B" w:rsidR="00B02873" w:rsidRDefault="00B02873" w:rsidP="00746197">
      <w:r>
        <w:t>How we work and interact with each other, and with our ministers, stakeholders and the community is critically important to achieve the best outcomes possible for the Victorian community. We are guided by the Victorian Public Sector Code of Conduct and our values: teamwork, ownership, wellbeing and safety, and service excellence. These values speak to the way we work as individuals and team members, from project firefighters to senior executives. Our values articulate clear expectations for the attitudes and behaviours required to successfully deliver for our community.</w:t>
      </w:r>
    </w:p>
    <w:p w14:paraId="1FD0A975" w14:textId="6DC7448D" w:rsidR="00B02873" w:rsidRDefault="002D6E86" w:rsidP="002D6E86">
      <w:pPr>
        <w:pStyle w:val="Heading3"/>
      </w:pPr>
      <w:r>
        <w:t>Teamwork</w:t>
      </w:r>
    </w:p>
    <w:p w14:paraId="773CCFCE" w14:textId="368F3B2C" w:rsidR="002D6E86" w:rsidRDefault="002D6E86" w:rsidP="002D6E86">
      <w:pPr>
        <w:pStyle w:val="Bullet1Lists"/>
      </w:pPr>
      <w:r>
        <w:t>We will respect and welcome different perspectives</w:t>
      </w:r>
    </w:p>
    <w:p w14:paraId="6F795485" w14:textId="4350BF66" w:rsidR="002D6E86" w:rsidRDefault="002D6E86" w:rsidP="002D6E86">
      <w:pPr>
        <w:pStyle w:val="Bullet1Lists"/>
      </w:pPr>
      <w:r>
        <w:t>We will listen to others, give and actively seek constructive feedback</w:t>
      </w:r>
    </w:p>
    <w:p w14:paraId="1CAC7020" w14:textId="77777777" w:rsidR="002D6E86" w:rsidRDefault="002D6E86" w:rsidP="002D6E86">
      <w:pPr>
        <w:pStyle w:val="Bullet1Lists"/>
      </w:pPr>
      <w:r>
        <w:t>We will lead, empower and trust others</w:t>
      </w:r>
    </w:p>
    <w:p w14:paraId="6B374BAB" w14:textId="3AD631C6" w:rsidR="002D6E86" w:rsidRDefault="002D6E86" w:rsidP="002D6E86">
      <w:pPr>
        <w:pStyle w:val="Bullet1Lists"/>
      </w:pPr>
      <w:r>
        <w:t>We will support and constructively challenge our colleagues</w:t>
      </w:r>
    </w:p>
    <w:p w14:paraId="11F69E6F" w14:textId="5295BC11" w:rsidR="00B02873" w:rsidRDefault="002D6E86" w:rsidP="002D6E86">
      <w:pPr>
        <w:pStyle w:val="Bullet1Listslast"/>
      </w:pPr>
      <w:r>
        <w:t>We are flexible when dealing with change and ambiguity</w:t>
      </w:r>
    </w:p>
    <w:p w14:paraId="555CAAE5" w14:textId="41EAA56F" w:rsidR="002D6E86" w:rsidRDefault="002D6E86" w:rsidP="002D6E86">
      <w:pPr>
        <w:pStyle w:val="Heading3"/>
      </w:pPr>
      <w:r w:rsidRPr="002D6E86">
        <w:t>Wellbeing</w:t>
      </w:r>
      <w:r>
        <w:t xml:space="preserve"> </w:t>
      </w:r>
      <w:r w:rsidRPr="002D6E86">
        <w:t>and safety</w:t>
      </w:r>
    </w:p>
    <w:p w14:paraId="4466B1F2" w14:textId="42EF13E1" w:rsidR="002D6E86" w:rsidRDefault="002D6E86" w:rsidP="002D6E86">
      <w:pPr>
        <w:pStyle w:val="Bullet1Lists"/>
      </w:pPr>
      <w:r>
        <w:t>We will create an environment where it is ok to speak up and where issues can be raised and resolved constructively</w:t>
      </w:r>
    </w:p>
    <w:p w14:paraId="7B525CF2" w14:textId="38D88ACF" w:rsidR="002D6E86" w:rsidRDefault="002D6E86" w:rsidP="002D6E86">
      <w:pPr>
        <w:pStyle w:val="Bullet1Lists"/>
      </w:pPr>
      <w:r>
        <w:t>We will each take personal responsibility for our own wellbeing and safety, and that of our colleagues</w:t>
      </w:r>
    </w:p>
    <w:p w14:paraId="0EBCC212" w14:textId="0691115F" w:rsidR="002D6E86" w:rsidRDefault="002D6E86" w:rsidP="002D6E86">
      <w:pPr>
        <w:pStyle w:val="Bullet1Lists"/>
      </w:pPr>
      <w:r>
        <w:lastRenderedPageBreak/>
        <w:t>We will lead by example and be an active role model in how we treat ourselves and others</w:t>
      </w:r>
    </w:p>
    <w:p w14:paraId="6091C093" w14:textId="32D99758" w:rsidR="002D6E86" w:rsidRDefault="002D6E86" w:rsidP="002D6E86">
      <w:pPr>
        <w:pStyle w:val="Bullet1Listslast"/>
      </w:pPr>
      <w:r>
        <w:t>We will think before acting, be caring, supportive and show empathy towards others</w:t>
      </w:r>
    </w:p>
    <w:p w14:paraId="608FC842" w14:textId="374F5C36" w:rsidR="002D6E86" w:rsidRDefault="002D6E86" w:rsidP="002D6E86">
      <w:pPr>
        <w:pStyle w:val="Heading3"/>
      </w:pPr>
      <w:r>
        <w:t>Ownership</w:t>
      </w:r>
    </w:p>
    <w:p w14:paraId="6CC2F20E" w14:textId="45B8718A" w:rsidR="0024238B" w:rsidRPr="0024238B" w:rsidRDefault="0024238B" w:rsidP="0024238B">
      <w:pPr>
        <w:pStyle w:val="Bullet1Lists"/>
        <w:rPr>
          <w:lang w:val="en-AU"/>
        </w:rPr>
      </w:pPr>
      <w:r w:rsidRPr="0024238B">
        <w:rPr>
          <w:lang w:val="en-AU"/>
        </w:rPr>
        <w:t>We will create a safe environment that encourages people to show initiative, learn from mistakes and grow</w:t>
      </w:r>
    </w:p>
    <w:p w14:paraId="099A26F3" w14:textId="51B8D3F6" w:rsidR="0024238B" w:rsidRPr="0024238B" w:rsidRDefault="0024238B" w:rsidP="0024238B">
      <w:pPr>
        <w:pStyle w:val="Bullet1Lists"/>
        <w:rPr>
          <w:lang w:val="en-AU"/>
        </w:rPr>
      </w:pPr>
      <w:r w:rsidRPr="0024238B">
        <w:rPr>
          <w:lang w:val="en-AU"/>
        </w:rPr>
        <w:t>We will support, trust, equip and empower people to make decisions</w:t>
      </w:r>
    </w:p>
    <w:p w14:paraId="7765484B" w14:textId="0A78BEAA" w:rsidR="0024238B" w:rsidRPr="0024238B" w:rsidRDefault="0024238B" w:rsidP="0024238B">
      <w:pPr>
        <w:pStyle w:val="Bullet1Lists"/>
        <w:rPr>
          <w:lang w:val="en-AU"/>
        </w:rPr>
      </w:pPr>
      <w:r w:rsidRPr="0024238B">
        <w:rPr>
          <w:lang w:val="en-AU"/>
        </w:rPr>
        <w:t>We will value the experience and ideas of our people</w:t>
      </w:r>
    </w:p>
    <w:p w14:paraId="46129C45" w14:textId="0841C1DD" w:rsidR="0024238B" w:rsidRPr="0024238B" w:rsidRDefault="0024238B" w:rsidP="0024238B">
      <w:pPr>
        <w:pStyle w:val="Bullet1Lists"/>
        <w:rPr>
          <w:lang w:val="en-AU"/>
        </w:rPr>
      </w:pPr>
      <w:r w:rsidRPr="0024238B">
        <w:rPr>
          <w:lang w:val="en-AU"/>
        </w:rPr>
        <w:t>We will take pride in our work and the organisation, leading by example</w:t>
      </w:r>
    </w:p>
    <w:p w14:paraId="7A914D32" w14:textId="69B70240" w:rsidR="0024238B" w:rsidRDefault="0024238B" w:rsidP="0024238B">
      <w:pPr>
        <w:pStyle w:val="Bullet1Listslast"/>
      </w:pPr>
      <w:r w:rsidRPr="0024238B">
        <w:t>We will own our actions and decisions that are made</w:t>
      </w:r>
    </w:p>
    <w:p w14:paraId="2CDE4F6E" w14:textId="57848E0B" w:rsidR="0024238B" w:rsidRDefault="0024238B" w:rsidP="0024238B">
      <w:pPr>
        <w:pStyle w:val="Heading3"/>
      </w:pPr>
      <w:r>
        <w:t>Service excellence</w:t>
      </w:r>
    </w:p>
    <w:p w14:paraId="6C128DDD" w14:textId="16311345" w:rsidR="0024238B" w:rsidRDefault="0024238B" w:rsidP="0024238B">
      <w:pPr>
        <w:pStyle w:val="Bullet1Lists"/>
      </w:pPr>
      <w:r>
        <w:t>We will set clear objectives, be honest, transparent and timely</w:t>
      </w:r>
    </w:p>
    <w:p w14:paraId="0E7E0397" w14:textId="03970A60" w:rsidR="0024238B" w:rsidRDefault="0024238B" w:rsidP="0024238B">
      <w:pPr>
        <w:pStyle w:val="Bullet1Lists"/>
      </w:pPr>
      <w:r>
        <w:t>We will take pride in our professional service delivery and engender excellence into everything we do</w:t>
      </w:r>
    </w:p>
    <w:p w14:paraId="03B63D77" w14:textId="42CD56D3" w:rsidR="0024238B" w:rsidRDefault="0024238B" w:rsidP="0024238B">
      <w:pPr>
        <w:pStyle w:val="Bullet1Lists"/>
      </w:pPr>
      <w:r>
        <w:t>We will look for opportunities to connect and work together to provide better service outcomes</w:t>
      </w:r>
    </w:p>
    <w:p w14:paraId="7762C958" w14:textId="7660F09C" w:rsidR="0024238B" w:rsidRDefault="0024238B" w:rsidP="0024238B">
      <w:pPr>
        <w:pStyle w:val="Bullet1Lists"/>
      </w:pPr>
      <w:r>
        <w:t>We will encourage innovation and different ways of working to improve service delivery</w:t>
      </w:r>
    </w:p>
    <w:p w14:paraId="7D6A9E4C" w14:textId="0B9D10B4" w:rsidR="0024238B" w:rsidRDefault="0024238B" w:rsidP="0024238B">
      <w:pPr>
        <w:pStyle w:val="Bullet1Listslast"/>
      </w:pPr>
      <w:r>
        <w:t>We will understand the customer and community needs by stepping into their shoes</w:t>
      </w:r>
    </w:p>
    <w:p w14:paraId="3D28C910" w14:textId="77777777" w:rsidR="00B02873" w:rsidRDefault="00B02873" w:rsidP="0024238B">
      <w:pPr>
        <w:pStyle w:val="Heading3"/>
      </w:pPr>
      <w:r>
        <w:t>People Matter Survey</w:t>
      </w:r>
    </w:p>
    <w:p w14:paraId="60B64241" w14:textId="07027C26" w:rsidR="00B02873" w:rsidRDefault="00B02873" w:rsidP="00FE198A">
      <w:r>
        <w:t>The 2021 People Matter Survey was a full version of the survey, unlike the previous year’s shortened wellbeing-focused survey. DELWP had a response rate of 65 per cent, with 3,349 of our people completing the survey from 31 May to 2 July 2021. The results of the survey provided valuable insights into what our people are experiencing in the workplace and where we need to continue to focus our efforts.</w:t>
      </w:r>
    </w:p>
    <w:p w14:paraId="4B18907A" w14:textId="05616E10" w:rsidR="00B02873" w:rsidRDefault="00B02873" w:rsidP="00FE198A">
      <w:r>
        <w:t xml:space="preserve">In 2021, DELWP continued to lead the way with our engagement and satisfaction survey results amongst the highest across the VPS. Our people were feeling more engaged with an increase of four points on our index score. Our employee satisfaction score, while still high, reduced by 1 per cent to an overall total of 67 percent, compared to 2020 results. Overall, our people were enjoying their current jobs more (82 per cent) and had a higher sense of accomplishment (80 per cent) compared to when they were last surveyed in these areas in 2019. </w:t>
      </w:r>
    </w:p>
    <w:p w14:paraId="086B827F" w14:textId="77777777" w:rsidR="00B02873" w:rsidRDefault="00B02873" w:rsidP="0024238B">
      <w:pPr>
        <w:pStyle w:val="Normalbeforebullet"/>
      </w:pPr>
      <w:r>
        <w:t>Key highlights from the 2021 survey include:</w:t>
      </w:r>
    </w:p>
    <w:p w14:paraId="1F7A0460" w14:textId="77777777" w:rsidR="00B02873" w:rsidRDefault="00B02873" w:rsidP="00B02873">
      <w:pPr>
        <w:pStyle w:val="Bullet1Lists"/>
      </w:pPr>
      <w:r>
        <w:t>75 per cent of people felt supported by our senior leaders (a 5 per cent increase from 2020)</w:t>
      </w:r>
    </w:p>
    <w:p w14:paraId="2706A03B" w14:textId="77777777" w:rsidR="00B02873" w:rsidRDefault="00B02873" w:rsidP="00B02873">
      <w:pPr>
        <w:pStyle w:val="Bullet1Lists"/>
      </w:pPr>
      <w:r>
        <w:t>84 per cent of people felt they were making a worthwhile contribution and achieving something important at work</w:t>
      </w:r>
    </w:p>
    <w:p w14:paraId="443DCA9B" w14:textId="77777777" w:rsidR="00B02873" w:rsidRDefault="00B02873" w:rsidP="00B02873">
      <w:pPr>
        <w:pStyle w:val="Bullet1Lists"/>
      </w:pPr>
      <w:r>
        <w:t xml:space="preserve">91 percent of people were experiencing high levels of job enrichment and were clear on how their job contributes to our purpose </w:t>
      </w:r>
    </w:p>
    <w:p w14:paraId="1192679D" w14:textId="77777777" w:rsidR="00B02873" w:rsidRDefault="00B02873" w:rsidP="00601660">
      <w:pPr>
        <w:pStyle w:val="Bullet1Listslast"/>
      </w:pPr>
      <w:r>
        <w:t>93 per cent agreed that people worked well together in their immediate work groups with 90 percent agreeing that people worked well together outside their immediate workgroups.</w:t>
      </w:r>
    </w:p>
    <w:p w14:paraId="389DBA91" w14:textId="77777777" w:rsidR="00B02873" w:rsidRDefault="00B02873" w:rsidP="00FE198A">
      <w:r>
        <w:t xml:space="preserve">Work-related stress was 1 per cent higher in 2021 with 28 per cent of people saying they had high to severe stress. 91 per cent of people who completed the survey said they had experienced mild to severe stress. Of that 91 per cent, 51 per cent said it was from workload and 47 per cent said it was from time pressure. DELWP continues to implement a series of interventions with the aim of addressing these stress and workload issues across the department. </w:t>
      </w:r>
    </w:p>
    <w:p w14:paraId="160B1FED" w14:textId="1B1A804A" w:rsidR="00B02873" w:rsidRDefault="00B02873" w:rsidP="00FE198A">
      <w:r>
        <w:lastRenderedPageBreak/>
        <w:t>In 2021, 10 per cent of people who completed the survey (336 people) reported they had experienced bullying in the last 12 months. This is a decrease from the 2020 result of 13 per cent. Addressing bullying and other negative work behaviours has been, and continues to be, a key focus area</w:t>
      </w:r>
      <w:r w:rsidR="00012C04">
        <w:t xml:space="preserve"> </w:t>
      </w:r>
      <w:r>
        <w:t xml:space="preserve">for the department. </w:t>
      </w:r>
    </w:p>
    <w:p w14:paraId="43D47301" w14:textId="77777777" w:rsidR="00B02873" w:rsidRDefault="00B02873" w:rsidP="00601660">
      <w:pPr>
        <w:pStyle w:val="Heading3"/>
      </w:pPr>
      <w:r>
        <w:t>Flexible work and hybrid ways of working</w:t>
      </w:r>
    </w:p>
    <w:p w14:paraId="484CD823" w14:textId="77777777" w:rsidR="00B02873" w:rsidRDefault="00B02873" w:rsidP="00FE198A">
      <w:r>
        <w:t>DELWP has long been an adopter of flexible work with offerings of various formal and informal flexibility options including options such as a part-time, compressed work week, and nine-day fortnights. The COVID-19 pandemic accelerated, through necessity, the uptake of remote work arrangements for office-based roles. The use of flexible work options has continued at high levels since the beginning of the COVID-19 pandemic.</w:t>
      </w:r>
    </w:p>
    <w:p w14:paraId="470C8A56" w14:textId="77777777" w:rsidR="00B02873" w:rsidRDefault="00B02873" w:rsidP="00FE198A">
      <w:r>
        <w:t>At the end of 2021-22, approximately 71 per cent of staff had completed a formal ‘flexibility agreement’ with their manager (which represents approximately 80 per cent of office-based employees). At that time, arrangements to work either two or three days per week in the workplace made up the majority of agreements (70 per cent).</w:t>
      </w:r>
    </w:p>
    <w:p w14:paraId="4723D3FE" w14:textId="1C9EB255" w:rsidR="00B02873" w:rsidRDefault="00B02873" w:rsidP="00FE198A">
      <w:r>
        <w:t>As we return to our workplaces after two years of disruption and with new expectations of flexibility for workers in office-based roles, hybrid working is the norm for many of our teams.</w:t>
      </w:r>
      <w:r w:rsidR="00012C04">
        <w:t xml:space="preserve"> </w:t>
      </w:r>
      <w:r>
        <w:t>DELWP is taking the approach that hybrid working offers many benefits but requires intentional effort to design and implement to realise those benefits.</w:t>
      </w:r>
      <w:r w:rsidR="00012C04">
        <w:t xml:space="preserve"> </w:t>
      </w:r>
      <w:r>
        <w:t>We are developing our policies, procedures, and support tools to get the benefits of both working in person and working remotely.</w:t>
      </w:r>
    </w:p>
    <w:p w14:paraId="44888D71" w14:textId="77777777" w:rsidR="00B02873" w:rsidRDefault="00B02873" w:rsidP="00601660">
      <w:pPr>
        <w:pStyle w:val="Heading3"/>
      </w:pPr>
      <w:r>
        <w:t>Capability development</w:t>
      </w:r>
    </w:p>
    <w:p w14:paraId="45A6FD8B" w14:textId="280BF081" w:rsidR="00B02873" w:rsidRDefault="00B02873" w:rsidP="00FE198A">
      <w:r>
        <w:t>As DELWP transitions towards a hybrid workplace, we have kept pace and responded by refreshing the content of our training courses to reflect this new style of working.</w:t>
      </w:r>
      <w:r w:rsidR="00012C04">
        <w:t xml:space="preserve"> </w:t>
      </w:r>
      <w:r>
        <w:t>Training has focused on building leadership capability, developing core business skills, leading flexible and dispersed teams, and supporting a safe and inclusive workplace.</w:t>
      </w:r>
      <w:r w:rsidR="00012C04">
        <w:t xml:space="preserve"> </w:t>
      </w:r>
    </w:p>
    <w:p w14:paraId="3259A101" w14:textId="77777777" w:rsidR="00B02873" w:rsidRDefault="00B02873" w:rsidP="00FE198A">
      <w:r>
        <w:t>This year, we delivered 234 corporate Virtual Instructor Led Training sessions to 8,455 participants with an additional 1,102 participants completing DELWP’s eLearning courses.</w:t>
      </w:r>
    </w:p>
    <w:p w14:paraId="33825F3B" w14:textId="0B5EF20B" w:rsidR="00B02873" w:rsidRDefault="00B02873" w:rsidP="00FE198A">
      <w:r>
        <w:rPr>
          <w:spacing w:val="-2"/>
        </w:rPr>
        <w:t>The department has been particularly mindful of supporting new starters to DELWP, with so many of our people working remotely from their teams.</w:t>
      </w:r>
      <w:r w:rsidR="00012C04">
        <w:rPr>
          <w:spacing w:val="-2"/>
        </w:rPr>
        <w:t xml:space="preserve"> </w:t>
      </w:r>
      <w:r>
        <w:rPr>
          <w:spacing w:val="-2"/>
        </w:rPr>
        <w:t>In particular, the onboarding of new starters that commenced with Recycling Victoria was a priority and included the delivery of special training to enable business continuity as well as a ‘Welcome to DELWP’ event to introduce staff to their new department.</w:t>
      </w:r>
    </w:p>
    <w:p w14:paraId="2B8C394B" w14:textId="26F4B148" w:rsidR="00B02873" w:rsidRDefault="00B02873" w:rsidP="00FE198A">
      <w:r>
        <w:t>The department has invested in a range of programs aimed at supporting people leaders to navigate the transition to a flexible, dispersed and hybrid workforce.</w:t>
      </w:r>
      <w:r w:rsidR="00012C04">
        <w:t xml:space="preserve"> </w:t>
      </w:r>
      <w:r>
        <w:t>During 2021 the new FOCUS program introduced key habits for leaders to adopt and was delivered to 1,166 of DELWP’s leaders, including the DELWP Executive Board.</w:t>
      </w:r>
    </w:p>
    <w:p w14:paraId="3D7ECA70" w14:textId="40657CB5" w:rsidR="00B02873" w:rsidRDefault="00B02873" w:rsidP="00FE198A">
      <w:r>
        <w:rPr>
          <w:spacing w:val="-2"/>
        </w:rPr>
        <w:t>The Senior Leader Support Program, which supports directors and their teams with executive coaching services, was also launched in 2022.</w:t>
      </w:r>
      <w:r w:rsidR="00012C04">
        <w:rPr>
          <w:spacing w:val="-2"/>
        </w:rPr>
        <w:t xml:space="preserve"> </w:t>
      </w:r>
      <w:r>
        <w:rPr>
          <w:spacing w:val="-2"/>
        </w:rPr>
        <w:t>This program is expected to increase the capability of our leaders to support teams through a range of changes and challenges that the department will face in the future.</w:t>
      </w:r>
    </w:p>
    <w:p w14:paraId="4428FC82" w14:textId="77777777" w:rsidR="00B02873" w:rsidRDefault="00B02873" w:rsidP="00601660">
      <w:pPr>
        <w:pStyle w:val="Heading3"/>
      </w:pPr>
      <w:bookmarkStart w:id="19" w:name="_Ref116902178"/>
      <w:r>
        <w:t>Employment and conduct principles</w:t>
      </w:r>
      <w:bookmarkEnd w:id="19"/>
    </w:p>
    <w:p w14:paraId="736BEE8D" w14:textId="77777777" w:rsidR="00B02873" w:rsidRDefault="00B02873" w:rsidP="00FE198A">
      <w:r>
        <w:t xml:space="preserve">The department applies the public sector values and employment principles as set out in the </w:t>
      </w:r>
      <w:r w:rsidRPr="00601660">
        <w:rPr>
          <w:rStyle w:val="LightItalic"/>
          <w:rFonts w:asciiTheme="minorHAnsi" w:hAnsiTheme="minorHAnsi" w:cstheme="minorHAnsi"/>
        </w:rPr>
        <w:t>Public Administration Act 2004</w:t>
      </w:r>
      <w:r>
        <w:t xml:space="preserve">, including the application of merit and equity principles when appointing staff. </w:t>
      </w:r>
    </w:p>
    <w:p w14:paraId="0EAB8393" w14:textId="77777777" w:rsidR="00B02873" w:rsidRDefault="00B02873" w:rsidP="00FE198A">
      <w:r>
        <w:t>The selection processes ensure the applicants are assessed and evaluated fairly and equitably based on the key selection criteria and other accountabilities without discrimination.</w:t>
      </w:r>
    </w:p>
    <w:p w14:paraId="64E344B0" w14:textId="77777777" w:rsidR="00B02873" w:rsidRDefault="00B02873" w:rsidP="00601660">
      <w:pPr>
        <w:pStyle w:val="Heading3"/>
      </w:pPr>
      <w:r>
        <w:lastRenderedPageBreak/>
        <w:t>Workplace Relations and Investigations</w:t>
      </w:r>
    </w:p>
    <w:p w14:paraId="7DCF0D2B" w14:textId="497CC8DF" w:rsidR="00B02873" w:rsidRDefault="00B02873" w:rsidP="00FE198A">
      <w:r>
        <w:t xml:space="preserve">The Workplace Relations and Investigations Team provides advice and support in relation to a range of industrial and employee relations matters including interpretation of the department’s enterprise agreements, performance management, investigating behavioural complaints and significant safety investigations. The team also provides advice and support to the department’s portfolio agencies on the Victorian Government’s Enterprise Bargaining process, wages, and general industrial relations policies. The role of Child Safety Officer, which is responsible for monitoring departmental compliance with Victoria’s Child Safe Standards and Reportable Conduct Scheme, is also within the team’s responsibilities. The team undertakes assessments and makes recommendations with respect to disclosable outcomes arising out of employment screening processes such as police checks and misconduct declarations. </w:t>
      </w:r>
    </w:p>
    <w:p w14:paraId="0B3926C8" w14:textId="77777777" w:rsidR="00B02873" w:rsidRDefault="00B02873" w:rsidP="00601660">
      <w:pPr>
        <w:pStyle w:val="Heading3"/>
      </w:pPr>
      <w:r>
        <w:t>Enterprise Bargaining</w:t>
      </w:r>
    </w:p>
    <w:p w14:paraId="2A917962" w14:textId="65C881AF" w:rsidR="00B02873" w:rsidRDefault="00B02873" w:rsidP="00FE198A">
      <w:r>
        <w:rPr>
          <w:spacing w:val="-2"/>
        </w:rPr>
        <w:t xml:space="preserve">The </w:t>
      </w:r>
      <w:r w:rsidRPr="00601660">
        <w:rPr>
          <w:rStyle w:val="LightItalic"/>
          <w:rFonts w:asciiTheme="minorHAnsi" w:hAnsiTheme="minorHAnsi" w:cstheme="minorHAnsi"/>
          <w:spacing w:val="-2"/>
        </w:rPr>
        <w:t>Field Staff and Wild Dog Controllers Enterprise Agreement 2021</w:t>
      </w:r>
      <w:r>
        <w:rPr>
          <w:spacing w:val="-2"/>
        </w:rPr>
        <w:t xml:space="preserve"> was approved by the Fair Work Commission on 4 March 2022 and became operational on 11 March 2022. This new enterprise agreement covers staff members engaged in undertaking fire suppression, prescribed burning, forestry, and feral animal control.</w:t>
      </w:r>
      <w:r w:rsidR="00012C04">
        <w:rPr>
          <w:spacing w:val="-2"/>
        </w:rPr>
        <w:t xml:space="preserve"> </w:t>
      </w:r>
    </w:p>
    <w:p w14:paraId="29EA7D51" w14:textId="77777777" w:rsidR="00B02873" w:rsidRDefault="00B02873" w:rsidP="00FE198A">
      <w:r>
        <w:t>The department has constructive working relationships with both the Community and Public Sector Union and the Australian Workers’ Union. During 2021-22, the department recorded nil time lost through industrial disputes.</w:t>
      </w:r>
    </w:p>
    <w:p w14:paraId="23D668AA" w14:textId="77777777" w:rsidR="00B02873" w:rsidRDefault="00B02873" w:rsidP="00066FED">
      <w:pPr>
        <w:pStyle w:val="Heading2Headings"/>
      </w:pPr>
      <w:bookmarkStart w:id="20" w:name="_Ref116902348"/>
      <w:r>
        <w:t>Occupational Health, Safety and Wellbeing</w:t>
      </w:r>
      <w:bookmarkEnd w:id="20"/>
    </w:p>
    <w:p w14:paraId="737A0C3C" w14:textId="52ED47AD" w:rsidR="00B02873" w:rsidRDefault="00B02873" w:rsidP="00FE198A">
      <w:r>
        <w:t xml:space="preserve">DELWP is committed to creating and maintaining a physically and mentally safe workplace. Our framework has systems in place to manage all hazards and we continue to improve our safety and wellbeing culture by revising our systems of work, regularly re-assessing and managing our risks, and creating an environment that empowers our people to recognise, raise and address issues. </w:t>
      </w:r>
    </w:p>
    <w:p w14:paraId="2C3448C4" w14:textId="77777777" w:rsidR="00B02873" w:rsidRDefault="00B02873" w:rsidP="00601660">
      <w:pPr>
        <w:pStyle w:val="Normalbeforebullet"/>
      </w:pPr>
      <w:r>
        <w:t xml:space="preserve">The department’s approach includes the following features: </w:t>
      </w:r>
    </w:p>
    <w:p w14:paraId="6CD8617D" w14:textId="77777777" w:rsidR="00B02873" w:rsidRDefault="00B02873" w:rsidP="00B02873">
      <w:pPr>
        <w:pStyle w:val="Bullet1Lists"/>
      </w:pPr>
      <w:r>
        <w:t xml:space="preserve">strong leadership and commitment, for example Regional Directors or Deputy Chief Fire Officers chairing or co-chairing Regional Safety and Wellbeing Consultative Committees, and Deputy Secretary level chairing of the Metro Safety and Wellbeing Consultative Committee and Departmental Safety and Wellbeing Consultative Committee </w:t>
      </w:r>
    </w:p>
    <w:p w14:paraId="4420F3E4" w14:textId="77777777" w:rsidR="00B02873" w:rsidRDefault="00B02873" w:rsidP="00B02873">
      <w:pPr>
        <w:pStyle w:val="Bullet1Lists"/>
      </w:pPr>
      <w:r>
        <w:t>a safety and wellbeing management system based on policies, procedures, supporting guidance and services that our people use to address, promote, and protect safety, health, and wellbeing</w:t>
      </w:r>
    </w:p>
    <w:p w14:paraId="3F3958DB" w14:textId="7A207242" w:rsidR="00B02873" w:rsidRDefault="00B02873" w:rsidP="00B02873">
      <w:pPr>
        <w:pStyle w:val="Bullet1Lists"/>
      </w:pPr>
      <w:r>
        <w:t>a strong consultative structure that facilitates direct engagement with elected health and safety representatives as well as management representatives on local matters being raised by our people</w:t>
      </w:r>
      <w:r w:rsidR="00012C04">
        <w:t xml:space="preserve"> </w:t>
      </w:r>
    </w:p>
    <w:p w14:paraId="16129A09" w14:textId="77777777" w:rsidR="00B02873" w:rsidRDefault="00B02873" w:rsidP="00B02873">
      <w:pPr>
        <w:pStyle w:val="Bullet1Lists"/>
      </w:pPr>
      <w:r>
        <w:t>consultative committees that support the safety and wellbeing management system through their collaboration on local safety and wellbeing action plans aimed at enhancing the department’s safety and wellbeing performance</w:t>
      </w:r>
    </w:p>
    <w:p w14:paraId="62AC01E4" w14:textId="7E4D1F1B" w:rsidR="00B02873" w:rsidRDefault="00B02873" w:rsidP="00601660">
      <w:pPr>
        <w:pStyle w:val="Bullet1Listslast"/>
      </w:pPr>
      <w:r>
        <w:t>a focus on continuous improvement through activities such as internal audits, independent reviews, investigations, safety advisor led assurance activities, workplace inspections and managers undertaking job safety observations of field operations.</w:t>
      </w:r>
    </w:p>
    <w:p w14:paraId="7BD171A0" w14:textId="6FAF5168" w:rsidR="00B02873" w:rsidRDefault="00B02873" w:rsidP="00601660">
      <w:pPr>
        <w:pStyle w:val="Heading3"/>
      </w:pPr>
      <w:r>
        <w:t>Initiatives to support our people’s safety and wellbeing</w:t>
      </w:r>
    </w:p>
    <w:p w14:paraId="2D00F33F" w14:textId="77777777" w:rsidR="00B02873" w:rsidRDefault="00B02873" w:rsidP="00FE198A">
      <w:r>
        <w:t>During 2021-22 the department implemented several initiatives aimed at improving the physical and mental health, safety and wellbeing of our employees and other workplace participants.</w:t>
      </w:r>
    </w:p>
    <w:p w14:paraId="188095ED" w14:textId="77777777" w:rsidR="00B02873" w:rsidRDefault="00B02873" w:rsidP="00601660">
      <w:pPr>
        <w:pStyle w:val="Normalbeforebullet"/>
      </w:pPr>
      <w:r>
        <w:lastRenderedPageBreak/>
        <w:t>Highlights from our health, safety and wellbeing initiatives for the year include:</w:t>
      </w:r>
    </w:p>
    <w:p w14:paraId="18045701" w14:textId="3EDBE9AD" w:rsidR="00B02873" w:rsidRDefault="00B02873" w:rsidP="00B02873">
      <w:pPr>
        <w:pStyle w:val="Bullet1Lists"/>
      </w:pPr>
      <w:r>
        <w:t>strengthening the department’s governance of safety and wellbeing through the Safety and Wellbeing Assurance Committee (SWAC) which reports to the DELWP Executive Board. With an independent chair, and on behalf of the Secretary and the DELWP Executive Board, the SWAC provides oversight of the strategic risk management of the safety and wellbeing of our people in line with legislative and statutory obligations.</w:t>
      </w:r>
    </w:p>
    <w:p w14:paraId="798A73C9" w14:textId="77777777" w:rsidR="00B02873" w:rsidRDefault="00B02873" w:rsidP="00B02873">
      <w:pPr>
        <w:pStyle w:val="Bullet1Lists"/>
      </w:pPr>
      <w:r>
        <w:t xml:space="preserve">active participation in safety and wellbeing programs within the public sector through involvement in the VPS Interdepartmental Occupational Health and Safety Committee and Subcommittee, leading the Key Performance and Measurements Working Group and supporting the Annual Report Working Group as part of the requirements of the Victorian Government’s </w:t>
      </w:r>
      <w:r w:rsidRPr="00A33CC1">
        <w:rPr>
          <w:rStyle w:val="LightItalic"/>
          <w:rFonts w:asciiTheme="minorHAnsi" w:hAnsiTheme="minorHAnsi" w:cstheme="minorHAnsi"/>
        </w:rPr>
        <w:t>Leading the Way</w:t>
      </w:r>
      <w:r>
        <w:t xml:space="preserve"> initiative </w:t>
      </w:r>
    </w:p>
    <w:p w14:paraId="4F88EF96" w14:textId="77777777" w:rsidR="00B02873" w:rsidRDefault="00B02873" w:rsidP="00B02873">
      <w:pPr>
        <w:pStyle w:val="Bullet1Lists"/>
      </w:pPr>
      <w:r>
        <w:t xml:space="preserve">finalising an independent evaluation of the department’s implementation of </w:t>
      </w:r>
      <w:r w:rsidRPr="00A33CC1">
        <w:rPr>
          <w:rStyle w:val="LightItalic"/>
          <w:rFonts w:asciiTheme="minorHAnsi" w:hAnsiTheme="minorHAnsi" w:cstheme="minorHAnsi"/>
        </w:rPr>
        <w:t>Leading the Way</w:t>
      </w:r>
    </w:p>
    <w:p w14:paraId="535C3A36" w14:textId="77777777" w:rsidR="00B02873" w:rsidRDefault="00B02873" w:rsidP="00B02873">
      <w:pPr>
        <w:pStyle w:val="Bullet1Lists"/>
      </w:pPr>
      <w:r>
        <w:t>delivering a modified, voucher-based influenza (flu) vaccination program, allowing employees to choose a vaccination time and location that suited them, resulting in 1,148 (at a rate of 24.2 per 100 FTE) employees redeeming a voucher with a further 106 vaccination reimbursements claimed. While this is a small reduction from the previous year, the program was superseded by the Victorian government’s announcement of free flu vaccination for any Victorian up until 30 June 2022.</w:t>
      </w:r>
    </w:p>
    <w:p w14:paraId="143218F7" w14:textId="4F211C5A" w:rsidR="00B02873" w:rsidRDefault="00B02873" w:rsidP="00B02873">
      <w:pPr>
        <w:pStyle w:val="Bullet1Lists"/>
      </w:pPr>
      <w:r>
        <w:t>delivering a variety of online initiatives to encourage our employees to continue focusing on their mental and physical health and supporting them in their remote working arrangements, including a self-care challenge, nutrition seminar and exercise programs</w:t>
      </w:r>
    </w:p>
    <w:p w14:paraId="60F46C0F" w14:textId="4449951E" w:rsidR="00B02873" w:rsidRDefault="00B02873" w:rsidP="00B02873">
      <w:pPr>
        <w:pStyle w:val="Bullet1Lists"/>
      </w:pPr>
      <w:r>
        <w:t>development of a virtual Safety and Wellbeing Notice board to support staff working flexibly to access safety and wellbeing advice</w:t>
      </w:r>
    </w:p>
    <w:p w14:paraId="1BE25B5C" w14:textId="55EA735E" w:rsidR="00B02873" w:rsidRDefault="00B02873" w:rsidP="00B02873">
      <w:pPr>
        <w:pStyle w:val="Bullet1Lists"/>
      </w:pPr>
      <w:r>
        <w:t>continuing to destigmatise mental health and wellbeing by supporting national wellbeing initiatives and delivering mental health and wellbeing literacy training, for an additional 910 of our employees</w:t>
      </w:r>
    </w:p>
    <w:p w14:paraId="55D79F14" w14:textId="77777777" w:rsidR="00B02873" w:rsidRDefault="00B02873" w:rsidP="00B02873">
      <w:pPr>
        <w:pStyle w:val="Bullet1Lists"/>
      </w:pPr>
      <w:r>
        <w:t>developing and implementing specialist wellbeing support for groups within DELWP, such as a Wellbeing Plan for participants in the Yoorrook Justice Commission</w:t>
      </w:r>
    </w:p>
    <w:p w14:paraId="4BFEA71E" w14:textId="77777777" w:rsidR="00B02873" w:rsidRDefault="00B02873" w:rsidP="00B02873">
      <w:pPr>
        <w:pStyle w:val="Bullet1Lists"/>
      </w:pPr>
      <w:r>
        <w:t xml:space="preserve">embedding our enhanced wellbeing reforms, such as the Critical Wellbeing Coordinator and Regional EAP Coordinators, following significant incidents </w:t>
      </w:r>
    </w:p>
    <w:p w14:paraId="035E1679" w14:textId="77777777" w:rsidR="00B02873" w:rsidRDefault="00B02873" w:rsidP="00B02873">
      <w:pPr>
        <w:pStyle w:val="Bullet1Lists"/>
      </w:pPr>
      <w:r>
        <w:t>monitoring and evaluating the safety of our people with 193 site and field safety assurance reviews across Victoria (at a rate of 3.7 reviews per 100 FTE). This was a reduction of 24 reviews from 2020-21 as a result of COVIDSafe settings and staff absences. This resulted in 136 corrective actions and safety improvements that focused on the greatest risk areas across the department.</w:t>
      </w:r>
    </w:p>
    <w:p w14:paraId="4B90DB00" w14:textId="1E58C454" w:rsidR="00B02873" w:rsidRDefault="00B02873" w:rsidP="00A33CC1">
      <w:pPr>
        <w:pStyle w:val="Bullet1Listslast"/>
      </w:pPr>
      <w:r>
        <w:t xml:space="preserve">to support staff that work alone or in isolation, a new Working Alone or in Isolation Policy, Guideline and web-based application (JourneyMate) was released in March 2022. These aim to provide direction and supporting tools to assess risks associated with working alone or in isolation and enables escalation and emergency response assistance in a timely manner. </w:t>
      </w:r>
    </w:p>
    <w:p w14:paraId="0F2E6DF0" w14:textId="77777777" w:rsidR="00B02873" w:rsidRDefault="00B02873" w:rsidP="00A33CC1">
      <w:pPr>
        <w:pStyle w:val="Heading3"/>
      </w:pPr>
      <w:r>
        <w:t>Support and response during the COVID-19 pandemic</w:t>
      </w:r>
    </w:p>
    <w:p w14:paraId="033C48FD" w14:textId="4E708290" w:rsidR="00B02873" w:rsidRDefault="00B02873" w:rsidP="00A33CC1">
      <w:pPr>
        <w:pStyle w:val="Normalbeforebullet"/>
      </w:pPr>
      <w:r>
        <w:t xml:space="preserve">DELWP has continued to take a holistic approach to the health, safety, and wellbeing of our people throughout the COVID-19 pandemic. Initiatives included, but were not limited to: </w:t>
      </w:r>
    </w:p>
    <w:p w14:paraId="3AC8B940" w14:textId="3B22AC04" w:rsidR="00B02873" w:rsidRDefault="00B02873" w:rsidP="00B02873">
      <w:pPr>
        <w:pStyle w:val="Bullet1Lists"/>
      </w:pPr>
      <w:r>
        <w:t>finalising the DELWP COVID-19 Vaccination Requirements Policy following an independent risk assessment and consultation with staff</w:t>
      </w:r>
      <w:r w:rsidR="00012C04">
        <w:t xml:space="preserve"> </w:t>
      </w:r>
    </w:p>
    <w:p w14:paraId="41778D97" w14:textId="77777777" w:rsidR="00B02873" w:rsidRDefault="00B02873" w:rsidP="00B02873">
      <w:pPr>
        <w:pStyle w:val="Bullet1Lists"/>
      </w:pPr>
      <w:r>
        <w:t>updating our COVIDSafe Plan as required to remain contemporary with changing public health arrangements and health advice</w:t>
      </w:r>
    </w:p>
    <w:p w14:paraId="227FB352" w14:textId="77777777" w:rsidR="00B02873" w:rsidRDefault="00B02873" w:rsidP="00B02873">
      <w:pPr>
        <w:pStyle w:val="Bullet1Lists"/>
      </w:pPr>
      <w:r>
        <w:lastRenderedPageBreak/>
        <w:t>continuation of a dedicated Critical Incident Controller under the Critical Incident Management Framework to provide leadership and manage the department’s response to COVID-19 cases within the workplace</w:t>
      </w:r>
    </w:p>
    <w:p w14:paraId="180F25FC" w14:textId="77777777" w:rsidR="00B02873" w:rsidRDefault="00B02873" w:rsidP="00B02873">
      <w:pPr>
        <w:pStyle w:val="Bullet1Lists"/>
      </w:pPr>
      <w:r>
        <w:t>refining online and virtual health and wellbeing offerings in response to COVIDSafe settings, ensuring a contemporary and valuable set of resources was available to staff</w:t>
      </w:r>
    </w:p>
    <w:p w14:paraId="1830FC2E" w14:textId="77777777" w:rsidR="00B02873" w:rsidRDefault="00B02873" w:rsidP="00B02873">
      <w:pPr>
        <w:pStyle w:val="Bullet1Lists"/>
      </w:pPr>
      <w:r>
        <w:t>active encouragement for staff during periods of COVIDSafe settings to use special leave to manage home-schooling</w:t>
      </w:r>
    </w:p>
    <w:p w14:paraId="2A473D11" w14:textId="77777777" w:rsidR="00B02873" w:rsidRDefault="00B02873" w:rsidP="00B02873">
      <w:pPr>
        <w:pStyle w:val="Bullet1Lists"/>
      </w:pPr>
      <w:r>
        <w:t>increasing our phone-based capacity in the Reach Out program with a dedicated role, where phone-based support was extended to staff in need, specifically in response to those affected by COVID-19, either directly or indirectly. A total of 119 staff were supported through Reach Out throughout the year, 30 of which were solely COVID-19 related.</w:t>
      </w:r>
    </w:p>
    <w:p w14:paraId="09FE6C2D" w14:textId="4D4DA30E" w:rsidR="00B02873" w:rsidRDefault="00B02873" w:rsidP="00A33CC1">
      <w:pPr>
        <w:pStyle w:val="Bullet1Listslast"/>
      </w:pPr>
      <w:r>
        <w:t>implementing risk management approaches to support continued delivery of critical face-to-face training, and online delivery of other training.</w:t>
      </w:r>
    </w:p>
    <w:p w14:paraId="0088BA44" w14:textId="36753AA3" w:rsidR="00B02873" w:rsidRDefault="00B02873" w:rsidP="00A33CC1">
      <w:pPr>
        <w:pStyle w:val="Normalbeforebullet"/>
      </w:pPr>
      <w:r>
        <w:t>As transition back into the workplace progressed, our safety and wellbeing guidance for staff was routinely updated, and staff sentiment relating to the safe return to our workplaces continued to be measured. This was demonstrated by:</w:t>
      </w:r>
      <w:r w:rsidR="00012C04">
        <w:t xml:space="preserve"> </w:t>
      </w:r>
    </w:p>
    <w:p w14:paraId="185E73DC" w14:textId="0F572FCB" w:rsidR="00B02873" w:rsidRDefault="00B02873" w:rsidP="00B02873">
      <w:pPr>
        <w:pStyle w:val="Bullet1Lists"/>
      </w:pPr>
      <w:r>
        <w:t>providing our people with an opportunity to tell us how they were experiencing the workplace via four pulse surveys in 2021-22</w:t>
      </w:r>
      <w:r w:rsidR="00012C04">
        <w:t xml:space="preserve"> </w:t>
      </w:r>
    </w:p>
    <w:p w14:paraId="7A8F7864" w14:textId="77777777" w:rsidR="00B02873" w:rsidRDefault="00B02873" w:rsidP="00B02873">
      <w:pPr>
        <w:pStyle w:val="Bullet1Lists"/>
      </w:pPr>
      <w:r>
        <w:t xml:space="preserve">conducting regular Secretary-led All Staff Forums to re-iterate the latest COVID-19 information and provide engagement for staff </w:t>
      </w:r>
    </w:p>
    <w:p w14:paraId="6D0A85E1" w14:textId="77777777" w:rsidR="00B02873" w:rsidRDefault="00B02873" w:rsidP="00B02873">
      <w:pPr>
        <w:pStyle w:val="Bullet1Lists"/>
      </w:pPr>
      <w:r>
        <w:t xml:space="preserve">facilitating ongoing quarterly virtual Health and Safety Representative (HSR) briefings </w:t>
      </w:r>
    </w:p>
    <w:p w14:paraId="47BF0066" w14:textId="77777777" w:rsidR="00B02873" w:rsidRDefault="00B02873" w:rsidP="00B02873">
      <w:pPr>
        <w:pStyle w:val="Bullet1Lists"/>
      </w:pPr>
      <w:r>
        <w:t>re-assessing our need for Designated First Aiders and Wardens and ensuring they were appropriately trained (and recruited where required) to support a return to the workplace</w:t>
      </w:r>
    </w:p>
    <w:p w14:paraId="057F260B" w14:textId="77777777" w:rsidR="00B02873" w:rsidRDefault="00B02873" w:rsidP="00B02873">
      <w:pPr>
        <w:pStyle w:val="Bullet1Lists"/>
      </w:pPr>
      <w:r>
        <w:t xml:space="preserve">reviewing and adapting our safety and wellbeing induction to accommodate for remote working and a requirement for our people to refresh their safety and wellbeing knowledge and be re-inducted into their workplace as part of their transition. </w:t>
      </w:r>
    </w:p>
    <w:p w14:paraId="79E3376E" w14:textId="77777777" w:rsidR="00B02873" w:rsidRDefault="00B02873" w:rsidP="00A33CC1">
      <w:pPr>
        <w:pStyle w:val="Heading3"/>
      </w:pPr>
      <w:r>
        <w:t>Employee Assistance Program</w:t>
      </w:r>
    </w:p>
    <w:p w14:paraId="1CD26316" w14:textId="77777777" w:rsidR="00B02873" w:rsidRDefault="00B02873" w:rsidP="00FE198A">
      <w:r>
        <w:rPr>
          <w:spacing w:val="-2"/>
        </w:rPr>
        <w:t>A personalised letter from the DELWP Secretary was mailed out to our employees in July 2021 to reinforce the importance of continuing to focus on their mental and physical health. This saw an increased uptake of support through the Employee Assistance Program (EAP), with a total of 732 new cases or 1,669 hours of support throughout the year. Overall, the annual utilisation rate for the department was 14 per cent, almost double (7.8 per cent) the rate recorded across the government and public administration industry.</w:t>
      </w:r>
    </w:p>
    <w:p w14:paraId="4E2FFAAA" w14:textId="77777777" w:rsidR="00B02873" w:rsidRDefault="00B02873" w:rsidP="00FE198A">
      <w:r>
        <w:t>During 2021-22, the department led a project with FFMVic agencies to review the current best practice in Peer Support Programs. Findings from the review will be implemented to uplift the department’s existing program.</w:t>
      </w:r>
    </w:p>
    <w:p w14:paraId="21B02407" w14:textId="4A573DEE" w:rsidR="00B02873" w:rsidRDefault="00B02873" w:rsidP="00A33CC1">
      <w:pPr>
        <w:pStyle w:val="Heading3"/>
      </w:pPr>
      <w:r>
        <w:t>Incident Management</w:t>
      </w:r>
    </w:p>
    <w:p w14:paraId="7D62D2F7" w14:textId="77777777" w:rsidR="00B02873" w:rsidRDefault="00B02873" w:rsidP="00FE198A">
      <w:r>
        <w:t xml:space="preserve">The number of incidents reported across the department rose from 812 in 2020-21 to 2,318 in 2021-22, representing an increase of 185 per cent. This translates to a change from 16.68 incidents per 100 FTE to 44.70 per 100 FTE respectively and equates to 1,506 more incidents reported compared to 2020-21. As displayed below in Figure 1, overall incidents remained consistent throughout the first half of the financial year, with no notable spike throughout the fire response period (November 2021 to March 2022) compared to significant spikes in previous years. However, due to the department’s policy on COVID-19 incident reporting, all staff were required to make an entry when testing positive to COVID-19. This resulted in 1,632 COVID-19 event reports being logged into the system, with some staff submitting reports when they were being tested for COVID-19, in addition to positive staff notifications. As a result, the department experienced its </w:t>
      </w:r>
      <w:r>
        <w:lastRenderedPageBreak/>
        <w:t xml:space="preserve">highest number of incidents in a financial year since the implementation of our current incident reporting system in 2002. </w:t>
      </w:r>
    </w:p>
    <w:p w14:paraId="5344574C" w14:textId="77777777" w:rsidR="00B02873" w:rsidRDefault="00B02873" w:rsidP="00FE198A">
      <w:r>
        <w:t>If COVID-19 related incident reports were excluded, the data shows a slight increase from 659 incidents reports in 2020-21 to 686 in 2021-22.</w:t>
      </w:r>
    </w:p>
    <w:p w14:paraId="7FD5EB54" w14:textId="58F997F7" w:rsidR="00B02873" w:rsidRDefault="00B02873" w:rsidP="00FE198A">
      <w:r>
        <w:t>Continuing the trend observed in the last two years, vehicle related incidents were elevated, being the second highest report after COVID-19 related incident reports. There were 123 vehicle incidents in 2021-22 (2.37 incidents per 100 FTE), four more than the previous year (119 incidents in total, at 2.58 incidents per 100 FTE).</w:t>
      </w:r>
      <w:r w:rsidR="00012C04">
        <w:t xml:space="preserve"> </w:t>
      </w:r>
    </w:p>
    <w:p w14:paraId="4CB1E4DC" w14:textId="77777777" w:rsidR="00B02873" w:rsidRDefault="00B02873" w:rsidP="00A33CC1">
      <w:pPr>
        <w:pStyle w:val="Normalbeforebullet"/>
      </w:pPr>
      <w:r>
        <w:t xml:space="preserve">There were also 87 notifiable incidents that occurred across the department. Notifiable incidents are those that require the Victorian WorkCover Authority (WorkSafe) who is the Occupational Health and Safety Regulator in Victoria, to be notified. These notifiable incidents included: </w:t>
      </w:r>
    </w:p>
    <w:p w14:paraId="5FA5A2C3" w14:textId="77777777" w:rsidR="00B02873" w:rsidRDefault="00B02873" w:rsidP="00B02873">
      <w:pPr>
        <w:pStyle w:val="Bullet1Lists"/>
      </w:pPr>
      <w:r>
        <w:t>56 notifications related to COVID-19 reporting requirements; this reporting requirement ceased on 14 January 2022</w:t>
      </w:r>
    </w:p>
    <w:p w14:paraId="706200AF" w14:textId="77777777" w:rsidR="00B02873" w:rsidRDefault="00B02873" w:rsidP="00B02873">
      <w:pPr>
        <w:pStyle w:val="Bullet1Lists"/>
      </w:pPr>
      <w:r>
        <w:t>one fatal incident where a member of the public fell into a mine shaft on public land</w:t>
      </w:r>
    </w:p>
    <w:p w14:paraId="7AC11E59" w14:textId="77777777" w:rsidR="00B02873" w:rsidRDefault="00B02873" w:rsidP="00B02873">
      <w:pPr>
        <w:pStyle w:val="Bullet1Lists"/>
      </w:pPr>
      <w:r>
        <w:rPr>
          <w:spacing w:val="-2"/>
        </w:rPr>
        <w:t>14 incidents where a person needed immediate medical treatment, the resultant injuries included fractures, crush injury, lacerations requiring stitches, snake bite, concussion and other minor injuries</w:t>
      </w:r>
    </w:p>
    <w:p w14:paraId="5DB6485F" w14:textId="77777777" w:rsidR="00B02873" w:rsidRDefault="00B02873" w:rsidP="00A33CC1">
      <w:pPr>
        <w:pStyle w:val="Bullet1Listslast"/>
      </w:pPr>
      <w:r>
        <w:t>16 incidents that did not result in injuries.</w:t>
      </w:r>
    </w:p>
    <w:p w14:paraId="35035115" w14:textId="2434165A" w:rsidR="00B02873" w:rsidRDefault="00B02873" w:rsidP="00FE198A">
      <w:r>
        <w:t>The increase of non-COVID-19 related incidents being notified to WorkSafe Victoria rose from 12 in 2020-21 to 31 in 2021-2022. These can be attributed to the department taking a proactive approach to incident reporting to WorkSafe Victoria and to legislative changes resulting in the broadening of the definition of a notifiable incident.</w:t>
      </w:r>
    </w:p>
    <w:p w14:paraId="5B4A7409" w14:textId="272CA25C" w:rsidR="00B02873" w:rsidRDefault="00B02873" w:rsidP="006F52C9">
      <w:pPr>
        <w:pStyle w:val="Figureheading"/>
      </w:pPr>
      <w:r>
        <w:t>Figure 1.</w:t>
      </w:r>
      <w:r w:rsidR="00012C04">
        <w:t xml:space="preserve"> </w:t>
      </w:r>
      <w:r>
        <w:t>Number of incidents by month (excluding COVID-19 incidents)</w:t>
      </w:r>
    </w:p>
    <w:p w14:paraId="52525C34" w14:textId="27375BA8" w:rsidR="00B02873" w:rsidRDefault="00BD3BF1" w:rsidP="006F52C9">
      <w:r>
        <w:rPr>
          <w:noProof/>
        </w:rPr>
        <w:drawing>
          <wp:inline distT="0" distB="0" distL="0" distR="0" wp14:anchorId="11C40889" wp14:editId="4F146853">
            <wp:extent cx="3184770" cy="2997200"/>
            <wp:effectExtent l="0" t="0" r="0" b="0"/>
            <wp:docPr id="36" name="Picture 36" descr="Graph comparing the number of OHS incidents by month for three financial years: 2019-20, 2020-21 and 2021-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 comparing the number of OHS incidents by month for three financial years: 2019-20, 2020-21 and 2021-22. "/>
                    <pic:cNvPicPr/>
                  </pic:nvPicPr>
                  <pic:blipFill rotWithShape="1">
                    <a:blip r:embed="rId45"/>
                    <a:srcRect b="3772"/>
                    <a:stretch/>
                  </pic:blipFill>
                  <pic:spPr bwMode="auto">
                    <a:xfrm>
                      <a:off x="0" y="0"/>
                      <a:ext cx="3185166" cy="2997572"/>
                    </a:xfrm>
                    <a:prstGeom prst="rect">
                      <a:avLst/>
                    </a:prstGeom>
                    <a:ln>
                      <a:noFill/>
                    </a:ln>
                    <a:extLst>
                      <a:ext uri="{53640926-AAD7-44D8-BBD7-CCE9431645EC}">
                        <a14:shadowObscured xmlns:a14="http://schemas.microsoft.com/office/drawing/2010/main"/>
                      </a:ext>
                    </a:extLst>
                  </pic:spPr>
                </pic:pic>
              </a:graphicData>
            </a:graphic>
          </wp:inline>
        </w:drawing>
      </w:r>
    </w:p>
    <w:p w14:paraId="3CA8160D" w14:textId="55B266E8" w:rsidR="00B02873" w:rsidRDefault="00B02873" w:rsidP="006F52C9">
      <w:pPr>
        <w:pStyle w:val="Figureheading"/>
      </w:pPr>
      <w:r>
        <w:lastRenderedPageBreak/>
        <w:t>Figure 2.</w:t>
      </w:r>
      <w:r w:rsidR="00012C04">
        <w:t xml:space="preserve"> </w:t>
      </w:r>
      <w:r>
        <w:t>Number of Incidents and Rate per 100 FTE (excluding COVID-19 incidents)</w:t>
      </w:r>
    </w:p>
    <w:p w14:paraId="1762BE6D" w14:textId="6DD35D69" w:rsidR="00B02873" w:rsidRDefault="00BD3BF1" w:rsidP="006F52C9">
      <w:r>
        <w:rPr>
          <w:noProof/>
        </w:rPr>
        <w:drawing>
          <wp:inline distT="0" distB="0" distL="0" distR="0" wp14:anchorId="60B3667A" wp14:editId="76DA6E5A">
            <wp:extent cx="2968625" cy="3610708"/>
            <wp:effectExtent l="0" t="0" r="3175" b="8890"/>
            <wp:docPr id="37" name="Picture 37" descr="Graph showing the total number of OHS incidents and rate per 100 FTE across three financial years: 2019-20, 2020-21 and 2021-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 showing the total number of OHS incidents and rate per 100 FTE across three financial years: 2019-20, 2020-21 and 2021-22. "/>
                    <pic:cNvPicPr/>
                  </pic:nvPicPr>
                  <pic:blipFill rotWithShape="1">
                    <a:blip r:embed="rId46"/>
                    <a:srcRect b="3998"/>
                    <a:stretch/>
                  </pic:blipFill>
                  <pic:spPr bwMode="auto">
                    <a:xfrm>
                      <a:off x="0" y="0"/>
                      <a:ext cx="2968758" cy="3610870"/>
                    </a:xfrm>
                    <a:prstGeom prst="rect">
                      <a:avLst/>
                    </a:prstGeom>
                    <a:ln>
                      <a:noFill/>
                    </a:ln>
                    <a:extLst>
                      <a:ext uri="{53640926-AAD7-44D8-BBD7-CCE9431645EC}">
                        <a14:shadowObscured xmlns:a14="http://schemas.microsoft.com/office/drawing/2010/main"/>
                      </a:ext>
                    </a:extLst>
                  </pic:spPr>
                </pic:pic>
              </a:graphicData>
            </a:graphic>
          </wp:inline>
        </w:drawing>
      </w:r>
    </w:p>
    <w:p w14:paraId="42301CEF" w14:textId="77777777" w:rsidR="00B02873" w:rsidRDefault="00B02873" w:rsidP="00BD3BF1">
      <w:pPr>
        <w:pStyle w:val="Heading3"/>
      </w:pPr>
      <w:r>
        <w:t>WorkCover claims</w:t>
      </w:r>
    </w:p>
    <w:p w14:paraId="4AD2E5A6" w14:textId="4AB2EED8" w:rsidR="00B02873" w:rsidRDefault="00B02873" w:rsidP="00FE198A">
      <w:r>
        <w:t>A total of 60 standard claims were lodged with DELWP’s WorkCover insurer in 2021-22. This is lower than the 74 claims accepted in 2020-21 due to a considerable decrease in fire activity. The number of overall claims in the previous three years remained stable, with a proportion of those claims involving significant lost time.</w:t>
      </w:r>
      <w:r w:rsidR="00012C04">
        <w:t xml:space="preserve"> </w:t>
      </w:r>
      <w:r>
        <w:t>Almost half of the 2021-22 claims have a full return to work with the remainder of claims on a partial return to work or no capacity to return.</w:t>
      </w:r>
      <w:r w:rsidR="00012C04">
        <w:t xml:space="preserve"> </w:t>
      </w:r>
      <w:r>
        <w:t>The injuries sustained mainly occurred during the planned burning season (mainly slips, trips, falls), with a small proportion of claims for mental injury.</w:t>
      </w:r>
      <w:r w:rsidR="00012C04">
        <w:t xml:space="preserve"> </w:t>
      </w:r>
      <w:r>
        <w:t>The most common cause cited in mental health injury claims was workplace conflict.</w:t>
      </w:r>
    </w:p>
    <w:p w14:paraId="17C0EF91" w14:textId="4D81A5C4" w:rsidR="00B02873" w:rsidRDefault="00B02873" w:rsidP="00FE198A">
      <w:r>
        <w:t>While there was a decrease in the total number of standard claims lodged with the department’s WorkCover insurer in 2021-22, the department’s WorkCover premium increased.</w:t>
      </w:r>
      <w:r w:rsidR="00012C04">
        <w:t xml:space="preserve"> </w:t>
      </w:r>
      <w:r>
        <w:t>The increase is influenced by the department’s increased salary base, claims costs from the previous two years and increases to premiums more broadly across industry groups. Whilst the number of mental health claims is relatively low, mental health claims are on average more complex and more costly.</w:t>
      </w:r>
    </w:p>
    <w:p w14:paraId="5FB3547B" w14:textId="6AEC945D" w:rsidR="00B02873" w:rsidRDefault="00B02873" w:rsidP="006F52C9">
      <w:pPr>
        <w:pStyle w:val="Figureheading"/>
      </w:pPr>
      <w:r>
        <w:lastRenderedPageBreak/>
        <w:t>Figure 3. Number of standard claims against number of lost time claims)</w:t>
      </w:r>
    </w:p>
    <w:p w14:paraId="7DBCE578" w14:textId="7A159534" w:rsidR="00B02873" w:rsidRDefault="00BD3BF1" w:rsidP="00FE198A">
      <w:r>
        <w:rPr>
          <w:noProof/>
        </w:rPr>
        <w:drawing>
          <wp:inline distT="0" distB="0" distL="0" distR="0" wp14:anchorId="2909E4FA" wp14:editId="0873F8BD">
            <wp:extent cx="2968758" cy="3051054"/>
            <wp:effectExtent l="0" t="0" r="0" b="9525"/>
            <wp:docPr id="38" name="Picture 38" descr="Graph comparing number of standard claims vs number of lost time claims over three financial years: 2019-20, 2020-21 and 2021-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 comparing number of standard claims vs number of lost time claims over three financial years: 2019-20, 2020-21 and 2021-22. "/>
                    <pic:cNvPicPr/>
                  </pic:nvPicPr>
                  <pic:blipFill>
                    <a:blip r:embed="rId47"/>
                    <a:stretch>
                      <a:fillRect/>
                    </a:stretch>
                  </pic:blipFill>
                  <pic:spPr>
                    <a:xfrm>
                      <a:off x="0" y="0"/>
                      <a:ext cx="2968758" cy="3051054"/>
                    </a:xfrm>
                    <a:prstGeom prst="rect">
                      <a:avLst/>
                    </a:prstGeom>
                  </pic:spPr>
                </pic:pic>
              </a:graphicData>
            </a:graphic>
          </wp:inline>
        </w:drawing>
      </w:r>
    </w:p>
    <w:p w14:paraId="52BC3749" w14:textId="0D6E286E" w:rsidR="00B02873" w:rsidRDefault="00B02873" w:rsidP="006F52C9">
      <w:pPr>
        <w:pStyle w:val="Figureheading"/>
      </w:pPr>
      <w:r>
        <w:t>Figure 4. Number of Standard Claims and Rate per 100 FTE</w:t>
      </w:r>
    </w:p>
    <w:p w14:paraId="19A1CDC1" w14:textId="03C21251" w:rsidR="00B02873" w:rsidRDefault="00BD3BF1" w:rsidP="00BD3BF1">
      <w:r>
        <w:rPr>
          <w:noProof/>
        </w:rPr>
        <w:drawing>
          <wp:inline distT="0" distB="0" distL="0" distR="0" wp14:anchorId="47455C2E" wp14:editId="572E6B77">
            <wp:extent cx="2968758" cy="2968758"/>
            <wp:effectExtent l="0" t="0" r="3175" b="3175"/>
            <wp:docPr id="39" name="Picture 39" descr="Graph showing the total number of standard claims and rate per 100 FTE across three financial years: 2019-20, 2020-21 and 2021-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 showing the total number of standard claims and rate per 100 FTE across three financial years: 2019-20, 2020-21 and 2021-22. "/>
                    <pic:cNvPicPr/>
                  </pic:nvPicPr>
                  <pic:blipFill>
                    <a:blip r:embed="rId48"/>
                    <a:stretch>
                      <a:fillRect/>
                    </a:stretch>
                  </pic:blipFill>
                  <pic:spPr>
                    <a:xfrm>
                      <a:off x="0" y="0"/>
                      <a:ext cx="2968758" cy="2968758"/>
                    </a:xfrm>
                    <a:prstGeom prst="rect">
                      <a:avLst/>
                    </a:prstGeom>
                  </pic:spPr>
                </pic:pic>
              </a:graphicData>
            </a:graphic>
          </wp:inline>
        </w:drawing>
      </w:r>
    </w:p>
    <w:p w14:paraId="24BD0D2F" w14:textId="7E3107AC" w:rsidR="00B02873" w:rsidRDefault="00B02873" w:rsidP="006F52C9">
      <w:pPr>
        <w:pStyle w:val="Figureheading"/>
      </w:pPr>
      <w:r>
        <w:lastRenderedPageBreak/>
        <w:t>Figure 5. Accepted Lost Time Mental Claims vs. Non-Mental Injury</w:t>
      </w:r>
    </w:p>
    <w:p w14:paraId="03AF8C02" w14:textId="66593AFD" w:rsidR="00B02873" w:rsidRDefault="00D667F0" w:rsidP="00BD3BF1">
      <w:r>
        <w:rPr>
          <w:noProof/>
        </w:rPr>
        <w:drawing>
          <wp:inline distT="0" distB="0" distL="0" distR="0" wp14:anchorId="0838E291" wp14:editId="137D193C">
            <wp:extent cx="2968344" cy="5058019"/>
            <wp:effectExtent l="0" t="0" r="3810" b="0"/>
            <wp:docPr id="40" name="Picture 40" descr="Graph comparing the total number of accepted lost time mental claims versus the total number of non mental injuries across three financial years: 2019-20, 2020-21 and 2021-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 comparing the total number of accepted lost time mental claims versus the total number of non mental injuries across three financial years: 2019-20, 2020-21 and 2021-22. "/>
                    <pic:cNvPicPr/>
                  </pic:nvPicPr>
                  <pic:blipFill rotWithShape="1">
                    <a:blip r:embed="rId49"/>
                    <a:srcRect t="2161" b="4598"/>
                    <a:stretch/>
                  </pic:blipFill>
                  <pic:spPr bwMode="auto">
                    <a:xfrm>
                      <a:off x="0" y="0"/>
                      <a:ext cx="2968758" cy="5058724"/>
                    </a:xfrm>
                    <a:prstGeom prst="rect">
                      <a:avLst/>
                    </a:prstGeom>
                    <a:ln>
                      <a:noFill/>
                    </a:ln>
                    <a:extLst>
                      <a:ext uri="{53640926-AAD7-44D8-BBD7-CCE9431645EC}">
                        <a14:shadowObscured xmlns:a14="http://schemas.microsoft.com/office/drawing/2010/main"/>
                      </a:ext>
                    </a:extLst>
                  </pic:spPr>
                </pic:pic>
              </a:graphicData>
            </a:graphic>
          </wp:inline>
        </w:drawing>
      </w:r>
    </w:p>
    <w:p w14:paraId="009AEA98" w14:textId="782B3009" w:rsidR="00B02873" w:rsidRDefault="00B02873" w:rsidP="006F52C9">
      <w:pPr>
        <w:pStyle w:val="Figureheading"/>
      </w:pPr>
      <w:r>
        <w:t>Figure 6. Number of Claims Exceeding 13 Weeks and Rate per 100 FTE</w:t>
      </w:r>
    </w:p>
    <w:p w14:paraId="2BDEBDA2" w14:textId="19A1A66F" w:rsidR="00BD3BF1" w:rsidRDefault="00D667F0" w:rsidP="00BD3BF1">
      <w:pPr>
        <w:rPr>
          <w:lang w:val="en-GB"/>
        </w:rPr>
      </w:pPr>
      <w:r>
        <w:rPr>
          <w:noProof/>
          <w:lang w:val="en-GB"/>
        </w:rPr>
        <w:drawing>
          <wp:inline distT="0" distB="0" distL="0" distR="0" wp14:anchorId="697AB0AF" wp14:editId="7D58F5A7">
            <wp:extent cx="2968407" cy="2977661"/>
            <wp:effectExtent l="0" t="0" r="3810" b="0"/>
            <wp:docPr id="41" name="Picture 41" descr="Graph showing the total number of claims exceeding 13 weeks and rate per 100 FTE for three financial years: 2019-20, 2020-21 and 2021-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 showing the total number of claims exceeding 13 weeks and rate per 100 FTE for three financial years: 2019-20, 2020-21 and 2021-22. "/>
                    <pic:cNvPicPr/>
                  </pic:nvPicPr>
                  <pic:blipFill rotWithShape="1">
                    <a:blip r:embed="rId50"/>
                    <a:srcRect b="9282"/>
                    <a:stretch/>
                  </pic:blipFill>
                  <pic:spPr bwMode="auto">
                    <a:xfrm>
                      <a:off x="0" y="0"/>
                      <a:ext cx="2968758" cy="2978013"/>
                    </a:xfrm>
                    <a:prstGeom prst="rect">
                      <a:avLst/>
                    </a:prstGeom>
                    <a:ln>
                      <a:noFill/>
                    </a:ln>
                    <a:extLst>
                      <a:ext uri="{53640926-AAD7-44D8-BBD7-CCE9431645EC}">
                        <a14:shadowObscured xmlns:a14="http://schemas.microsoft.com/office/drawing/2010/main"/>
                      </a:ext>
                    </a:extLst>
                  </pic:spPr>
                </pic:pic>
              </a:graphicData>
            </a:graphic>
          </wp:inline>
        </w:drawing>
      </w:r>
    </w:p>
    <w:p w14:paraId="52266FBB" w14:textId="77777777" w:rsidR="00B02873" w:rsidRDefault="00B02873" w:rsidP="006F52C9">
      <w:pPr>
        <w:pStyle w:val="Figureheading"/>
      </w:pPr>
      <w:r>
        <w:lastRenderedPageBreak/>
        <w:t>Figure 7. DELWP premium rate</w:t>
      </w:r>
    </w:p>
    <w:p w14:paraId="279940B6" w14:textId="68409383" w:rsidR="00B02873" w:rsidRDefault="00D667F0" w:rsidP="00BD3BF1">
      <w:r>
        <w:rPr>
          <w:noProof/>
        </w:rPr>
        <w:drawing>
          <wp:inline distT="0" distB="0" distL="0" distR="0" wp14:anchorId="1067FFA7" wp14:editId="00E658F7">
            <wp:extent cx="2968480" cy="3640016"/>
            <wp:effectExtent l="0" t="0" r="3810" b="0"/>
            <wp:docPr id="42" name="Picture 42" descr="Graph showing DELWP's premium rate for three financial years: 2019-20, 2020-21 and 2021-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 showing DELWP's premium rate for three financial years: 2019-20, 2020-21 and 2021-22. "/>
                    <pic:cNvPicPr/>
                  </pic:nvPicPr>
                  <pic:blipFill rotWithShape="1">
                    <a:blip r:embed="rId51"/>
                    <a:srcRect b="12310"/>
                    <a:stretch/>
                  </pic:blipFill>
                  <pic:spPr bwMode="auto">
                    <a:xfrm>
                      <a:off x="0" y="0"/>
                      <a:ext cx="2968758" cy="3640357"/>
                    </a:xfrm>
                    <a:prstGeom prst="rect">
                      <a:avLst/>
                    </a:prstGeom>
                    <a:ln>
                      <a:noFill/>
                    </a:ln>
                    <a:extLst>
                      <a:ext uri="{53640926-AAD7-44D8-BBD7-CCE9431645EC}">
                        <a14:shadowObscured xmlns:a14="http://schemas.microsoft.com/office/drawing/2010/main"/>
                      </a:ext>
                    </a:extLst>
                  </pic:spPr>
                </pic:pic>
              </a:graphicData>
            </a:graphic>
          </wp:inline>
        </w:drawing>
      </w:r>
    </w:p>
    <w:p w14:paraId="68345436" w14:textId="39DA5838" w:rsidR="00B02873" w:rsidRDefault="00B02873" w:rsidP="00D667F0">
      <w:pPr>
        <w:pStyle w:val="Heading3"/>
      </w:pPr>
      <w:r>
        <w:t>Preparation for upcoming changes in legislation</w:t>
      </w:r>
    </w:p>
    <w:p w14:paraId="3A8F7874" w14:textId="77777777" w:rsidR="00B02873" w:rsidRDefault="00B02873" w:rsidP="00FE198A">
      <w:r>
        <w:t xml:space="preserve">The </w:t>
      </w:r>
      <w:r w:rsidRPr="00D667F0">
        <w:rPr>
          <w:rStyle w:val="LightItalic"/>
          <w:rFonts w:asciiTheme="minorHAnsi" w:hAnsiTheme="minorHAnsi" w:cstheme="minorHAnsi"/>
        </w:rPr>
        <w:t>Forests Amendment (Forest Firefighters Presumptive Rights Compensation) Act 2021</w:t>
      </w:r>
      <w:r>
        <w:t xml:space="preserve"> (the Act) was passed by the Victorian Parliament in October 2021 and is expected to be proclaimed in September 2022. Workers’ compensation claims for FFMVic forest firefighters under the Act will be assessed by each of the FFMVic agency WorkCover insurers and the appointed WorkSafe Advisory Committee. </w:t>
      </w:r>
    </w:p>
    <w:p w14:paraId="2D0CD601" w14:textId="0B6F0DB5" w:rsidR="00B02873" w:rsidRDefault="00B02873" w:rsidP="00FE198A">
      <w:r>
        <w:t>The proposed OHS Amendment (Psychological Health) Regulations 2022 is expected to be introduced in the second half of 2022.</w:t>
      </w:r>
      <w:r w:rsidR="00012C04">
        <w:t xml:space="preserve"> </w:t>
      </w:r>
      <w:r>
        <w:t>The proposed regulations aim to strengthen the occupational health and safety framework by recognising that psychological hazards in the workplace are equally as harmful as physical hazards.</w:t>
      </w:r>
      <w:r w:rsidR="00012C04">
        <w:t xml:space="preserve"> </w:t>
      </w:r>
      <w:r>
        <w:t>The introduction of the Regulations will require significant effort from DELWP to identify and control hazards, and review reporting requirements, including the introduction of Prevention Plans for high-risk psychological hazards. Planning for the introduction of the Regulations has already commenced.</w:t>
      </w:r>
    </w:p>
    <w:p w14:paraId="607AB25D" w14:textId="7773F6FB" w:rsidR="00B02873" w:rsidRDefault="00B02873" w:rsidP="00D667F0">
      <w:pPr>
        <w:pStyle w:val="Heading3"/>
      </w:pPr>
      <w:r>
        <w:t>Further information</w:t>
      </w:r>
    </w:p>
    <w:p w14:paraId="5E1976FF" w14:textId="77777777" w:rsidR="00B02873" w:rsidRDefault="00B02873" w:rsidP="00FE198A">
      <w:r>
        <w:t>Additional information on the department’s performance against key Occupational Health and Safety performance indicators is at Appendix 3.</w:t>
      </w:r>
    </w:p>
    <w:p w14:paraId="11F6ECFB" w14:textId="77777777" w:rsidR="00B02873" w:rsidRDefault="00B02873" w:rsidP="00066FED">
      <w:pPr>
        <w:pStyle w:val="Heading2Headings"/>
      </w:pPr>
      <w:r>
        <w:t>Diversity and inclusion</w:t>
      </w:r>
    </w:p>
    <w:p w14:paraId="6CF31F43" w14:textId="5A400C5E" w:rsidR="00D667F0" w:rsidRDefault="00D667F0" w:rsidP="008316E9">
      <w:pPr>
        <w:pStyle w:val="Number1Lists"/>
        <w:numPr>
          <w:ilvl w:val="0"/>
          <w:numId w:val="7"/>
        </w:numPr>
        <w:spacing w:after="200"/>
      </w:pPr>
      <w:r>
        <w:t>Reduced inequalities</w:t>
      </w:r>
    </w:p>
    <w:p w14:paraId="48EE1294" w14:textId="36D6E3EF" w:rsidR="00B02873" w:rsidRDefault="00B02873" w:rsidP="00D667F0">
      <w:r>
        <w:t xml:space="preserve">2021-22 was an active year for diversity and inclusion at DELWP. Of those who responded to the 2021 People Matter Survey (PMS), 83 per cent reported that their senior leaders championed diversity and inclusion across the department, up from 79 per cent the year before. Through targeted initiatives and programs, action plans and celebration of significant days on the diversity and inclusion calendar, DELWP has further elevated its focus on the importance of diversity and inclusion. Our staff-led networks played a significant part in capturing the lived experiences of our </w:t>
      </w:r>
      <w:r>
        <w:lastRenderedPageBreak/>
        <w:t xml:space="preserve">people, strengthening intersectionality, diversity, and inclusion. These networks have also contributed to organisational strategies and action plans. </w:t>
      </w:r>
    </w:p>
    <w:p w14:paraId="704B96D9" w14:textId="0EEC8F8A" w:rsidR="00B02873" w:rsidRPr="00DE1FCE" w:rsidRDefault="00B02873" w:rsidP="00D667F0">
      <w:pPr>
        <w:rPr>
          <w:rFonts w:cs="VIC"/>
          <w:color w:val="100149"/>
          <w:sz w:val="20"/>
          <w:szCs w:val="20"/>
        </w:rPr>
      </w:pPr>
      <w:r>
        <w:t xml:space="preserve">2022 is the final year of DELWP’s first </w:t>
      </w:r>
      <w:r w:rsidRPr="00DE1FCE">
        <w:rPr>
          <w:rStyle w:val="LightItalic"/>
          <w:rFonts w:asciiTheme="minorHAnsi" w:hAnsiTheme="minorHAnsi" w:cstheme="minorHAnsi"/>
        </w:rPr>
        <w:t>Diversity and Inclusion Strategy 2019-22</w:t>
      </w:r>
      <w:r>
        <w:t>.</w:t>
      </w:r>
      <w:r w:rsidR="00012C04">
        <w:t xml:space="preserve"> </w:t>
      </w:r>
      <w:r>
        <w:t>The department has set strong diversity targets, established new policies and procedures, and has committed to comprehensive action plans to ensure our workplace is a safe and inclusive one for our people. A new strategy is being prepared for 2023-27.</w:t>
      </w:r>
    </w:p>
    <w:p w14:paraId="1EE6EFEE" w14:textId="77777777" w:rsidR="00B02873" w:rsidRPr="00DE1FCE" w:rsidRDefault="00B02873" w:rsidP="00DE1FCE">
      <w:pPr>
        <w:pStyle w:val="Heading3"/>
      </w:pPr>
      <w:r w:rsidRPr="00DE1FCE">
        <w:t>Aboriginal Self-Determination</w:t>
      </w:r>
    </w:p>
    <w:p w14:paraId="1C8F42EC" w14:textId="7A9A8397" w:rsidR="00B02873" w:rsidRDefault="00B02873" w:rsidP="00FE198A">
      <w:r>
        <w:t>In 2019, the Victorian Government released the Self-Determination Reform Framework (SDRF).</w:t>
      </w:r>
      <w:r w:rsidR="00012C04">
        <w:t xml:space="preserve"> </w:t>
      </w:r>
    </w:p>
    <w:p w14:paraId="3F0719D2" w14:textId="508D3033" w:rsidR="00B02873" w:rsidRDefault="00B02873" w:rsidP="00FE198A">
      <w:r>
        <w:t xml:space="preserve">Under the SDRF, DELWP agreed to develop a plan that sets the direction, outcomes, and priorities for DELWP to respond to the cultural authority and needs of Aboriginal self-determination. That plan, </w:t>
      </w:r>
      <w:r w:rsidRPr="00D667F0">
        <w:rPr>
          <w:rStyle w:val="LightItalic"/>
          <w:rFonts w:asciiTheme="minorHAnsi" w:hAnsiTheme="minorHAnsi" w:cstheme="minorHAnsi"/>
        </w:rPr>
        <w:t>Pupangarli Marnmarnepu: Aboriginal Self-Determination Reform Strategy 2020-25</w:t>
      </w:r>
      <w:r w:rsidRPr="00D667F0">
        <w:rPr>
          <w:rFonts w:asciiTheme="minorHAnsi" w:hAnsiTheme="minorHAnsi" w:cstheme="minorHAnsi"/>
        </w:rPr>
        <w:t xml:space="preserve"> </w:t>
      </w:r>
      <w:r>
        <w:t>(Pupangarli Marnmarnepu), was released in August 2020.</w:t>
      </w:r>
      <w:r w:rsidR="00012C04">
        <w:t xml:space="preserve"> </w:t>
      </w:r>
    </w:p>
    <w:p w14:paraId="0E766F13" w14:textId="3177FD9B" w:rsidR="00B02873" w:rsidRDefault="00B02873" w:rsidP="00FE198A">
      <w:r>
        <w:t xml:space="preserve">The second year of the implementation action plan for </w:t>
      </w:r>
      <w:r w:rsidRPr="006A6341">
        <w:rPr>
          <w:rStyle w:val="LightItalic"/>
          <w:rFonts w:asciiTheme="minorHAnsi" w:hAnsiTheme="minorHAnsi" w:cstheme="minorHAnsi"/>
        </w:rPr>
        <w:t>Pupangarli Marnmarnepu</w:t>
      </w:r>
      <w:r>
        <w:t xml:space="preserve"> was completed in 2021-22. Actions taken highlight DELWP’s strength in collaborating across the department to continue our journey to embed true self-determination for Traditional Owner Corporations and Victorian Aboriginal and Torres Strait Islander communities.</w:t>
      </w:r>
      <w:r w:rsidR="00012C04">
        <w:t xml:space="preserve"> </w:t>
      </w:r>
      <w:r>
        <w:t>A major outcome of this effort has been the commencement of the Traditional Owner Corporation (TOC) Employee Exchange pilot in September 2021.</w:t>
      </w:r>
    </w:p>
    <w:p w14:paraId="708FE0F3" w14:textId="6E5CE2CA" w:rsidR="00B02873" w:rsidRDefault="00B02873" w:rsidP="00FE198A">
      <w:r>
        <w:t>DELWP has continued to build on programs to support Aboriginal employment, engagement, and networking for new and existing staff, including an Aboriginal staff network, a mentoring program and leadership development programs. Aboriginal Cultural Safety training is made available to all staff and managers.</w:t>
      </w:r>
      <w:r w:rsidR="00012C04">
        <w:t xml:space="preserve"> </w:t>
      </w:r>
    </w:p>
    <w:p w14:paraId="5AB5BB31" w14:textId="77777777" w:rsidR="00B02873" w:rsidRDefault="00B02873" w:rsidP="006A6341">
      <w:pPr>
        <w:pStyle w:val="Heading3"/>
      </w:pPr>
      <w:r>
        <w:t>Aboriginal Cultural Safety</w:t>
      </w:r>
    </w:p>
    <w:p w14:paraId="08DB3CD1" w14:textId="77777777" w:rsidR="00B02873" w:rsidRDefault="00B02873" w:rsidP="006A6341">
      <w:pPr>
        <w:pStyle w:val="Normalbeforebullet"/>
      </w:pPr>
      <w:r>
        <w:t xml:space="preserve">Fostering Aboriginal cultural safety within the department helps us to better understand our First Nations history and how all staff play a role in creating a culturally safe workplace. The following DELWP frameworks and associated programs set clear targets for Aboriginal cultural safety: </w:t>
      </w:r>
    </w:p>
    <w:p w14:paraId="5DB8D49F" w14:textId="77777777" w:rsidR="00B02873" w:rsidRDefault="00B02873" w:rsidP="00B02873">
      <w:pPr>
        <w:pStyle w:val="Bullet1Lists"/>
      </w:pPr>
      <w:r>
        <w:t>Aboriginal Cultural Safety Framework – setting clear expectations for self-determination and safety</w:t>
      </w:r>
    </w:p>
    <w:p w14:paraId="16C1C888" w14:textId="77777777" w:rsidR="00B02873" w:rsidRDefault="00B02873" w:rsidP="00B02873">
      <w:pPr>
        <w:pStyle w:val="Bullet1Lists"/>
      </w:pPr>
      <w:r>
        <w:t>Aboriginal Cultural Capability Framework – building capability for non-Aboriginal staff</w:t>
      </w:r>
    </w:p>
    <w:p w14:paraId="2336CB0C" w14:textId="77777777" w:rsidR="00B02873" w:rsidRDefault="00B02873" w:rsidP="00B02873">
      <w:pPr>
        <w:pStyle w:val="Bullet1Lists"/>
      </w:pPr>
      <w:r>
        <w:t xml:space="preserve">Aboriginal Cultural Safety training – setting a clear target for our people to attend training designed to educate on how we can build a culturally safe environment </w:t>
      </w:r>
    </w:p>
    <w:p w14:paraId="08184356" w14:textId="77777777" w:rsidR="00B02873" w:rsidRDefault="00B02873" w:rsidP="006A6341">
      <w:pPr>
        <w:pStyle w:val="Bullet1Listslast"/>
      </w:pPr>
      <w:r>
        <w:t>Traditional Owner and Aboriginal Victorian Community Engagement Framework – outlining how we engage with Traditional Owner Corporations and ensure this is a key focus and viewpoint on important decisions affecting community.</w:t>
      </w:r>
    </w:p>
    <w:p w14:paraId="25DBE1A8" w14:textId="6348E7F1" w:rsidR="00B02873" w:rsidRDefault="00B02873" w:rsidP="00FE198A">
      <w:r>
        <w:t>During 2021-22, Aboriginal Cultural Safety Training was completed by 515 staff members. As at 30 June 2022, Aboriginal Cultural Safety Training has been completed by 42 per cent of our people leaders and 21 per cent of our staff.</w:t>
      </w:r>
    </w:p>
    <w:p w14:paraId="7F6CB255" w14:textId="77777777" w:rsidR="00B02873" w:rsidRDefault="00B02873" w:rsidP="006A6341">
      <w:pPr>
        <w:pStyle w:val="Heading3"/>
      </w:pPr>
      <w:r>
        <w:t>Programs Supporting Aboriginal Employment</w:t>
      </w:r>
    </w:p>
    <w:p w14:paraId="080271F3" w14:textId="3A82760A" w:rsidR="00B02873" w:rsidRDefault="00B02873" w:rsidP="00FE198A">
      <w:r>
        <w:t xml:space="preserve">As at 30 June 2022, 1.78 per cent of DELWP’s workforce identified as Aboriginal and/or Torres Strait Islander. DELWP’s Aboriginal Staff network has 105 active members and continues to be a guiding voice towards self-determination. We understand that there are challenges when building a talent pipeline for Aboriginal and Torres Strait Islander staff, given the limited pool of job seekers across Victoria and other departments within the Victorian Government competing for talent. It requires delicate balancing of the need to meet DELWP’s targets and objectives in a meaningful manner, while ensuring the Traditional Owner Corporations and communities are supported in their </w:t>
      </w:r>
      <w:r>
        <w:lastRenderedPageBreak/>
        <w:t>self-determination. The department has focused on building a sustainable talent pipeline whilst listening to the needs of Traditional Owners, so that we are working in partnership to build capacity and can learn and grow together.</w:t>
      </w:r>
      <w:r w:rsidR="00012C04">
        <w:t xml:space="preserve"> </w:t>
      </w:r>
    </w:p>
    <w:p w14:paraId="60DA2F8C" w14:textId="77777777" w:rsidR="00B02873" w:rsidRDefault="00B02873" w:rsidP="006A6341">
      <w:pPr>
        <w:pStyle w:val="Normalbeforebullet"/>
      </w:pPr>
      <w:r>
        <w:t>Key initiatives to attract Aboriginal people and grow our Aboriginal staff numbers are:</w:t>
      </w:r>
    </w:p>
    <w:p w14:paraId="2D5EF782" w14:textId="77777777" w:rsidR="00B02873" w:rsidRDefault="00B02873" w:rsidP="00B02873">
      <w:pPr>
        <w:pStyle w:val="Bullet1Lists"/>
      </w:pPr>
      <w:r w:rsidRPr="006A6341">
        <w:rPr>
          <w:rStyle w:val="LightItalic"/>
          <w:rFonts w:asciiTheme="minorHAnsi" w:hAnsiTheme="minorHAnsi" w:cstheme="minorHAnsi"/>
        </w:rPr>
        <w:t>Aboriginal Mentoring Program</w:t>
      </w:r>
      <w:r w:rsidRPr="006A6341">
        <w:rPr>
          <w:rFonts w:asciiTheme="minorHAnsi" w:hAnsiTheme="minorHAnsi" w:cstheme="minorHAnsi"/>
        </w:rPr>
        <w:t xml:space="preserve"> </w:t>
      </w:r>
      <w:r>
        <w:t>– in the 2021 pilot program, 12 Aboriginal mentees were connected with senior mentors to build capability, increase retention and create stronger relationships. In the second half of 2022, program participants will work to build their capability with an Aboriginal owned business, Black Wattle, that specialises in professional development from a culturally safe and inclusive perspective.</w:t>
      </w:r>
    </w:p>
    <w:p w14:paraId="2F4A146A" w14:textId="77777777" w:rsidR="00B02873" w:rsidRDefault="00B02873" w:rsidP="00B02873">
      <w:pPr>
        <w:pStyle w:val="Bullet1Lists"/>
      </w:pPr>
      <w:r w:rsidRPr="006A6341">
        <w:rPr>
          <w:rStyle w:val="LightItalic"/>
          <w:rFonts w:asciiTheme="minorHAnsi" w:hAnsiTheme="minorHAnsi" w:cstheme="minorHAnsi"/>
        </w:rPr>
        <w:t>First People’s Women’s Forum</w:t>
      </w:r>
      <w:r>
        <w:t xml:space="preserve"> – in May 2022, DELWP held its inaugural conference for Aboriginal staff across Victoria. 14 Aboriginal women met from across the state to connect, share cultural knowledge and build on career aspirations. Sessions included basket weaving, financial empowerment and the importance of setting values based goals. The women were joined by two esteemed members of the community, Antoinette Gentile and Aunty (Dr.) Lois Peeler, who discussed their impressive accomplishments and lifetime experience. </w:t>
      </w:r>
    </w:p>
    <w:p w14:paraId="47FDE659" w14:textId="58A29676" w:rsidR="00B02873" w:rsidRDefault="00B02873" w:rsidP="00B02873">
      <w:pPr>
        <w:pStyle w:val="Bullet1Lists"/>
      </w:pPr>
      <w:r w:rsidRPr="006A6341">
        <w:rPr>
          <w:rStyle w:val="LightItalic"/>
          <w:rFonts w:asciiTheme="minorHAnsi" w:hAnsiTheme="minorHAnsi" w:cstheme="minorHAnsi"/>
        </w:rPr>
        <w:t>Aboriginal Leadership Program</w:t>
      </w:r>
      <w:r>
        <w:t xml:space="preserve"> –13 staff participated in this structured program to develop Aboriginal leaders, providing learning opportunities in career development and assisting in the retention of the next cohort of Aboriginal leaders at DELWP.</w:t>
      </w:r>
      <w:r w:rsidR="00012C04">
        <w:t xml:space="preserve"> </w:t>
      </w:r>
    </w:p>
    <w:p w14:paraId="727AB4E1" w14:textId="77777777" w:rsidR="00B02873" w:rsidRDefault="00B02873" w:rsidP="00B02873">
      <w:pPr>
        <w:pStyle w:val="Bullet1Lists"/>
      </w:pPr>
      <w:r w:rsidRPr="006A6341">
        <w:rPr>
          <w:rStyle w:val="LightItalic"/>
          <w:rFonts w:asciiTheme="minorHAnsi" w:hAnsiTheme="minorHAnsi" w:cstheme="minorHAnsi"/>
        </w:rPr>
        <w:t>Baring Djinang Internships</w:t>
      </w:r>
      <w:r>
        <w:t xml:space="preserve"> – utilising the Victorian Public Sector Commission’s internship program, in partnership with CareerTrackers, DELWP offers three-month internship placements to Aboriginal students, building a talent pipeline for future graduates within the department. In the most recent intake, seven interns within the Baring Djinang program commenced internships in August 2021. </w:t>
      </w:r>
    </w:p>
    <w:p w14:paraId="6879FFB1" w14:textId="08425A84" w:rsidR="00B02873" w:rsidRDefault="00B02873" w:rsidP="006A6341">
      <w:pPr>
        <w:pStyle w:val="Bullet1Listslast"/>
      </w:pPr>
      <w:r w:rsidRPr="006A6341">
        <w:rPr>
          <w:rStyle w:val="LightItalic"/>
          <w:rFonts w:asciiTheme="minorHAnsi" w:hAnsiTheme="minorHAnsi" w:cstheme="minorHAnsi"/>
        </w:rPr>
        <w:t>Traditional Owner Corporation (TOC) Employee Exchange</w:t>
      </w:r>
      <w:r>
        <w:t xml:space="preserve"> –piloted in 2021-22, six DELWP staff worked in TOC roles for up to 12 months to build capability and understanding of the important cultural impact of Traditional Owners.</w:t>
      </w:r>
      <w:r w:rsidR="00012C04">
        <w:t xml:space="preserve"> </w:t>
      </w:r>
    </w:p>
    <w:p w14:paraId="2B530F21" w14:textId="77777777" w:rsidR="00B02873" w:rsidRDefault="00B02873" w:rsidP="00FE198A">
      <w:r>
        <w:t xml:space="preserve">In addition, during the year DELWP acknowledged Aboriginal days of significance through Secretary Messages to all staff, marking Reconciliation Week and celebrating NAIDOC Week. Due to COVIDSafe settings, there was a range of in person and online events in 2021-22. </w:t>
      </w:r>
    </w:p>
    <w:p w14:paraId="2C78390F" w14:textId="77777777" w:rsidR="00B02873" w:rsidRDefault="00B02873" w:rsidP="006A6341">
      <w:pPr>
        <w:pStyle w:val="Heading3"/>
      </w:pPr>
      <w:r>
        <w:t>Our Commitment to Access and Inclusion – Disability Under the Spotlight</w:t>
      </w:r>
    </w:p>
    <w:p w14:paraId="1B31C6A6" w14:textId="77777777" w:rsidR="00B02873" w:rsidRDefault="00B02873" w:rsidP="00FE198A">
      <w:r>
        <w:t xml:space="preserve">As part of our ongoing commitment to ensure that disability inclusion is a priority across the department, in 2021 DELWP appointed a Senior Disability Adviser to enhance expertise and guide the department towards greater disability confidence and capability. </w:t>
      </w:r>
    </w:p>
    <w:p w14:paraId="5F9E8BBF" w14:textId="77777777" w:rsidR="00B02873" w:rsidRDefault="00B02873" w:rsidP="00FE198A">
      <w:r>
        <w:t xml:space="preserve">This appointment coincided with the release of our renewed Access and Inclusion Plan 2021-24. This plan delivered DELWP’s largest ever investment both in the inclusion of people with disability in our organisation and the inclusion of Victorians with disability who access and engage with our programs and services. </w:t>
      </w:r>
    </w:p>
    <w:p w14:paraId="6063F620" w14:textId="77777777" w:rsidR="00B02873" w:rsidRDefault="00B02873" w:rsidP="006A6341">
      <w:pPr>
        <w:pStyle w:val="Heading3"/>
      </w:pPr>
      <w:r>
        <w:t xml:space="preserve">Our Data on Disability </w:t>
      </w:r>
    </w:p>
    <w:p w14:paraId="75E61E5C" w14:textId="17946100" w:rsidR="00B02873" w:rsidRDefault="00B02873" w:rsidP="00FE198A">
      <w:r>
        <w:t xml:space="preserve">According to 2021 PMS results, DELWP recorded a 2 per cent increase in the representation of people with disability in the department since 2019-20, from 4 per cent to just under 6 per cent. </w:t>
      </w:r>
    </w:p>
    <w:p w14:paraId="1827AF7A" w14:textId="77777777" w:rsidR="00B02873" w:rsidRDefault="00B02873" w:rsidP="00FE198A">
      <w:r>
        <w:t xml:space="preserve">DELWP’s PMS data also shows a positive trend in the number of staff with disability agreeing that DELWP is a supportive and inclusive workplace. </w:t>
      </w:r>
    </w:p>
    <w:p w14:paraId="45839F21" w14:textId="77777777" w:rsidR="00B02873" w:rsidRDefault="00B02873" w:rsidP="006A6341">
      <w:pPr>
        <w:pStyle w:val="Heading3"/>
      </w:pPr>
      <w:r>
        <w:t>Inclusive Workplace Culture and Capability</w:t>
      </w:r>
    </w:p>
    <w:p w14:paraId="657C9D96" w14:textId="662CACD7" w:rsidR="00B02873" w:rsidRDefault="00B02873" w:rsidP="00FE198A">
      <w:r>
        <w:t>In 2021-22, DELWP delivered several key initiatives against our Access and Inclusion Plan.</w:t>
      </w:r>
      <w:r w:rsidR="00012C04">
        <w:t xml:space="preserve"> </w:t>
      </w:r>
      <w:r>
        <w:t xml:space="preserve">The aim of these initiatives was to increase the disability confidence of our workforce, and to ensure </w:t>
      </w:r>
      <w:r>
        <w:lastRenderedPageBreak/>
        <w:t xml:space="preserve">DELWP is a safe and inclusive place for people with disability, health conditions and carers to work. </w:t>
      </w:r>
    </w:p>
    <w:p w14:paraId="78B67335" w14:textId="33FFC4C2" w:rsidR="00B02873" w:rsidRDefault="00B02873" w:rsidP="00FE198A">
      <w:r>
        <w:t>A key initiative was the renewal of our Workplace Adjustment Policy in December 2021. The policy outlines a collaborative approach between staff, managers and the Diversity and Inclusion team. This approach focuses on transparent and timely service delivery for staff accessing workplace adjustments, stronger privacy protocols for adjustment documentation, and dedicated support and resources to deliver adjustments. From when the policy was released in December 2021 to 30 June 2022, 49 formal adjustment requests were registered and 38 of those had been fully implemented. The most common types of adjustments made to support staff with disabilities are flexible work arrangements, provision of equipment, including assistive technology hardware and specialist coaching to support navigation of workplace challenges.</w:t>
      </w:r>
      <w:r w:rsidR="00012C04">
        <w:t xml:space="preserve"> </w:t>
      </w:r>
    </w:p>
    <w:p w14:paraId="0A6EB1CB" w14:textId="77777777" w:rsidR="00B02873" w:rsidRDefault="00B02873" w:rsidP="00FE198A">
      <w:r>
        <w:t xml:space="preserve">The department also contributed to actions under the </w:t>
      </w:r>
      <w:r w:rsidRPr="006A6341">
        <w:rPr>
          <w:rStyle w:val="LightItalic"/>
          <w:rFonts w:asciiTheme="minorHAnsi" w:hAnsiTheme="minorHAnsi" w:cstheme="minorHAnsi"/>
        </w:rPr>
        <w:t>Getting to work: Victorian public sector disability employment action plan 2018-25</w:t>
      </w:r>
      <w:r w:rsidRPr="006A6341">
        <w:rPr>
          <w:rFonts w:asciiTheme="minorHAnsi" w:hAnsiTheme="minorHAnsi" w:cstheme="minorHAnsi"/>
        </w:rPr>
        <w:t>.</w:t>
      </w:r>
      <w:r>
        <w:t xml:space="preserve"> To support existing DELWP staff living with disability to progress their careers, 18 were onboarded into the VPSC Mentoring Program Pilot – the second highest enrolment rate across the VPS. This pilot will inform future mentoring programs targeted at retaining and progressing the careers of people with disability currently working in the VPS. </w:t>
      </w:r>
    </w:p>
    <w:p w14:paraId="53A75DD6" w14:textId="14DDE0BD" w:rsidR="00B02873" w:rsidRDefault="00B02873" w:rsidP="00FE198A">
      <w:r>
        <w:t>DELWP launched the VPSC’s Disability Awareness e-learning on 2 June 2022 via a whole-of-DELWP communications campaign, with mandatory participation targets set for all people leaders across the department. Alongside the e-learning module, new resources relating to people with disability and carers were made available via the intranet for all DELWP staff.</w:t>
      </w:r>
      <w:r w:rsidR="00012C04">
        <w:t xml:space="preserve"> </w:t>
      </w:r>
      <w:r>
        <w:t>These resources are designed to provide staff with disability, health conditions, carers and their managers and supervisors with key information relating to disability supports at DELWP.</w:t>
      </w:r>
    </w:p>
    <w:p w14:paraId="56C7B135" w14:textId="77777777" w:rsidR="00B02873" w:rsidRDefault="00B02873" w:rsidP="00FE198A">
      <w:r>
        <w:t>Raising awareness of disability across the department was another key priority. Through collaboration between key departmental staff and the staff-led All Abilities Network, DELWP staff enjoyed several key awareness day events. These included a keynote presentation with author and activist Carly Findlay and a disability and leadership panel on International Day of People with Disability, as well as a presentation and Q&amp;A led by DELWP Secretary John Bradley on leadership and neurodiversity to celebrate Autism Awareness Day.</w:t>
      </w:r>
    </w:p>
    <w:p w14:paraId="45E62F9F" w14:textId="77777777" w:rsidR="00B02873" w:rsidRDefault="00B02873" w:rsidP="006A6341">
      <w:pPr>
        <w:pStyle w:val="Heading3"/>
      </w:pPr>
      <w:r>
        <w:t xml:space="preserve">Inclusive information and communication </w:t>
      </w:r>
    </w:p>
    <w:p w14:paraId="2ABDB9C9" w14:textId="76F1B9DF" w:rsidR="00B02873" w:rsidRDefault="00B02873" w:rsidP="00FE198A">
      <w:r>
        <w:t xml:space="preserve">DELWP’s website complies with the Web Content Accessibility Guidelines Version 2.0 (WCAG) AAA standard, meaning our customers and community have access to the information they need. In addition, 129 team members across our Digital and Customer Communications and Information Services teams have been trained on accessible communication standards, with more than 13 courses delivered between February 2021 and May 2022. </w:t>
      </w:r>
    </w:p>
    <w:p w14:paraId="4B8D1163" w14:textId="77777777" w:rsidR="00B02873" w:rsidRDefault="00B02873" w:rsidP="006A6341">
      <w:pPr>
        <w:pStyle w:val="Heading3"/>
      </w:pPr>
      <w:r>
        <w:t>Inclusive Places and Spaces</w:t>
      </w:r>
    </w:p>
    <w:p w14:paraId="7DE0D3BC" w14:textId="77777777" w:rsidR="00B02873" w:rsidRDefault="00B02873" w:rsidP="00FE198A">
      <w:r>
        <w:t xml:space="preserve">In preparing for the return to face-to-face events and engagement, with the support of the Australian Network on Disability, the DELWP Accessible Events Guidelines have been reviewed and updated. These new guidelines include protocols, processes, checklists, and resources to ensure DELWP staff planning an in-person event have everything they need to ensure an inclusive and accessible experience. </w:t>
      </w:r>
    </w:p>
    <w:p w14:paraId="3527CC28" w14:textId="77777777" w:rsidR="00B02873" w:rsidRDefault="00B02873" w:rsidP="007600D1">
      <w:pPr>
        <w:pStyle w:val="Heading3"/>
      </w:pPr>
      <w:r>
        <w:t>Inclusive Communities</w:t>
      </w:r>
    </w:p>
    <w:p w14:paraId="52CFF3EB" w14:textId="6437F2EE" w:rsidR="00B02873" w:rsidRDefault="00B02873" w:rsidP="00FE198A">
      <w:r>
        <w:t xml:space="preserve">DELWP is delivering against its commitments in the </w:t>
      </w:r>
      <w:r w:rsidRPr="007600D1">
        <w:rPr>
          <w:rStyle w:val="LightItalic"/>
          <w:rFonts w:asciiTheme="minorHAnsi" w:hAnsiTheme="minorHAnsi" w:cstheme="minorHAnsi"/>
        </w:rPr>
        <w:t>Inclusive Victoria: state disability plan (2022-26)</w:t>
      </w:r>
      <w:r w:rsidRPr="007600D1">
        <w:rPr>
          <w:rFonts w:asciiTheme="minorHAnsi" w:hAnsiTheme="minorHAnsi" w:cstheme="minorHAnsi"/>
        </w:rPr>
        <w:t>.</w:t>
      </w:r>
      <w:r>
        <w:t xml:space="preserve"> In 2021-22, DELWP led the implementation of forthcoming mandatory accessible housing provisions within the National Construction Code 2022 across all Australian jurisdictions.</w:t>
      </w:r>
      <w:r w:rsidR="00012C04">
        <w:t xml:space="preserve"> </w:t>
      </w:r>
    </w:p>
    <w:p w14:paraId="0ECD72F6" w14:textId="77777777" w:rsidR="00B02873" w:rsidRDefault="00B02873" w:rsidP="00FE198A">
      <w:r>
        <w:t xml:space="preserve">DELWP also delivered a full audit of the accessibility of its grant program guidelines and documentation, to ensure that all DELWP funding programs are accessible to all Victorians. </w:t>
      </w:r>
      <w:r>
        <w:lastRenderedPageBreak/>
        <w:t xml:space="preserve">Opportunities for inclusion outcomes to be embedded in grant funding guidelines are now being identified, with the aim of enhancing inclusion outcomes in DELWP grant opportunities. </w:t>
      </w:r>
    </w:p>
    <w:p w14:paraId="7AC0131E" w14:textId="54E83DCC" w:rsidR="00B02873" w:rsidRDefault="00B02873" w:rsidP="00FE198A">
      <w:r>
        <w:t>The department, in partnership with Parks Victoria, is delivering more accessible opportunities to enjoy nature through the Victoria’s Great Outdoors program. This includes the completed and forthcoming construction of accessible campgrounds, viewing platforms and facilities in state forests across Victoria.</w:t>
      </w:r>
    </w:p>
    <w:p w14:paraId="6307FD31" w14:textId="77777777" w:rsidR="00B02873" w:rsidRDefault="00B02873" w:rsidP="007600D1">
      <w:pPr>
        <w:pStyle w:val="Heading3"/>
      </w:pPr>
      <w:r>
        <w:t>Gender Equality</w:t>
      </w:r>
    </w:p>
    <w:p w14:paraId="44892342" w14:textId="77777777" w:rsidR="00B02873" w:rsidRDefault="00B02873" w:rsidP="00FE198A">
      <w:r>
        <w:t>The department recognises that a gender equal workplace is a crucial aspect of building a diverse workforce that fosters belonging and reflects the community it serves. DELWP prides itself as a safe employer within the Victorian Government, focusing on our people’s safety in addressing gender discrimination and inequality.</w:t>
      </w:r>
    </w:p>
    <w:p w14:paraId="5C1A6860" w14:textId="77777777" w:rsidR="00B02873" w:rsidRDefault="00B02873" w:rsidP="00FE198A">
      <w:r>
        <w:t xml:space="preserve">DELWP has a strong history of championing its gender equality framework which has been in place since 2015. Of the DELWP employees who participated in our 2021 PMS, 82 per cent said there is a positive culture within the department in relation to employees of different genders and 73 per cent believed gender was not a barrier to success at work. Women make up 52 per cent of our executive cohort. There is a higher proportion of women in the Corporate Services, Water and Catchments and Energy groups. Overall, the representation of women in the department has remained consistent at 48 per cent for the past two years. </w:t>
      </w:r>
    </w:p>
    <w:p w14:paraId="7C231D10" w14:textId="77777777" w:rsidR="00B02873" w:rsidRDefault="00B02873" w:rsidP="00FE198A">
      <w:r>
        <w:t xml:space="preserve">In 2021, DELWP made a commitment to gender pay equality with a 2 per cent gender pay gap threshold and a gender pay gap analysis action plan. </w:t>
      </w:r>
    </w:p>
    <w:p w14:paraId="6A1EE81F" w14:textId="77777777" w:rsidR="00B02873" w:rsidRDefault="00B02873" w:rsidP="00FE198A">
      <w:r>
        <w:t xml:space="preserve">In June 2021, the gender pay gap for all DELWP staff was 2 per cent in favour of women, compared to 2 per cent in favour of men across the Victorian Public Service (based on median total salaries, as published in the State of the Public Sector report). In June 2022, there was no gender pay gap based on median total salaries. </w:t>
      </w:r>
    </w:p>
    <w:p w14:paraId="3EBBCA19" w14:textId="50443373" w:rsidR="00B02873" w:rsidRDefault="00B02873" w:rsidP="007600D1">
      <w:pPr>
        <w:pStyle w:val="Heading4"/>
      </w:pPr>
      <w:r>
        <w:t>DELWP Gender Equality Action Plan 2021–22 – 2025–26</w:t>
      </w:r>
    </w:p>
    <w:p w14:paraId="4544FCF2" w14:textId="6792A8AF" w:rsidR="00B02873" w:rsidRDefault="00B02873" w:rsidP="00FE198A">
      <w:r>
        <w:t xml:space="preserve">DELWP’s Gender Equality Action Plan (GEAP) 2021-22—2025-26 provides a critical platform to make the department more effective and a better workplace. It is our inaugural response to the new </w:t>
      </w:r>
      <w:r w:rsidRPr="007600D1">
        <w:rPr>
          <w:rStyle w:val="LightItalic"/>
          <w:rFonts w:asciiTheme="minorHAnsi" w:hAnsiTheme="minorHAnsi" w:cstheme="minorHAnsi"/>
        </w:rPr>
        <w:t>Gender Equality Act 2020</w:t>
      </w:r>
      <w:r w:rsidRPr="007600D1">
        <w:rPr>
          <w:rFonts w:asciiTheme="minorHAnsi" w:hAnsiTheme="minorHAnsi" w:cstheme="minorHAnsi"/>
        </w:rPr>
        <w:t xml:space="preserve"> </w:t>
      </w:r>
      <w:r>
        <w:t xml:space="preserve">and has been assessed as fully compliant by the Victorian Gender Equality Commissioner, elevating DELWP’s commitment to gender equality. </w:t>
      </w:r>
    </w:p>
    <w:p w14:paraId="02A89DEB" w14:textId="400BD66A" w:rsidR="00B02873" w:rsidRDefault="00B02873" w:rsidP="00FE198A">
      <w:r>
        <w:t>DELWP has adopted a holistic and intersectional strategy lens to develop synergistic actions, streamline our response to the GEAP, and deliver material and reasonable progress to gender equality.</w:t>
      </w:r>
      <w:r w:rsidR="00012C04">
        <w:t xml:space="preserve"> </w:t>
      </w:r>
      <w:r>
        <w:t xml:space="preserve">We achieved this by leveraging our policies, stakeholder consultations, human resource processes, subject matter experts and peer advocacy groups. Our GEAP is mapped to the seven indicators of workplace gender equality outlined in the </w:t>
      </w:r>
      <w:r w:rsidRPr="007600D1">
        <w:rPr>
          <w:rStyle w:val="LightItalic"/>
          <w:rFonts w:asciiTheme="minorHAnsi" w:hAnsiTheme="minorHAnsi" w:cstheme="minorHAnsi"/>
        </w:rPr>
        <w:t>Gender Equality Act 2020</w:t>
      </w:r>
      <w:r>
        <w:t>. We aim to make reasonable and material progress in gender equality through 22 actions delivered over the next four years.</w:t>
      </w:r>
    </w:p>
    <w:p w14:paraId="19BEF739" w14:textId="77777777" w:rsidR="00B02873" w:rsidRDefault="00B02873" w:rsidP="009C269B">
      <w:pPr>
        <w:pStyle w:val="Heading3"/>
      </w:pPr>
      <w:r>
        <w:t>Gender Equality Focus Areas</w:t>
      </w:r>
    </w:p>
    <w:p w14:paraId="4E1EF7B0" w14:textId="77777777" w:rsidR="00B02873" w:rsidRDefault="00B02873" w:rsidP="00FE198A">
      <w:r>
        <w:t xml:space="preserve">We know from various sources including the 2021 PMS results, the VPS Women of Colour Network Diversity and Inclusion Survey and employee consultation sessions, that where you work within the department, your sexual orientation, gender identity and cultural background influences the experience you have. </w:t>
      </w:r>
    </w:p>
    <w:p w14:paraId="1510EB57" w14:textId="678507F8" w:rsidR="00B02873" w:rsidRDefault="00B02873" w:rsidP="00FE198A">
      <w:r>
        <w:t>DELWP’s Workplace Gender Audit 2021 data showed a higher percentage of women at VPS grades 2 to 4 for example, in junior clerical or administrative roles. In more senior roles women make up an average of 48 per cent.</w:t>
      </w:r>
      <w:r w:rsidR="00012C04">
        <w:t xml:space="preserve"> </w:t>
      </w:r>
    </w:p>
    <w:p w14:paraId="45211843" w14:textId="22CF5171" w:rsidR="00B02873" w:rsidRDefault="00B02873" w:rsidP="00FE198A">
      <w:r>
        <w:lastRenderedPageBreak/>
        <w:t>Women made up 81 per cent of the part-time workforce across the department.</w:t>
      </w:r>
      <w:r w:rsidR="00012C04">
        <w:t xml:space="preserve"> </w:t>
      </w:r>
      <w:r>
        <w:t>DELWP recognises the need to further promote part-time and flexible work arrangements among men.</w:t>
      </w:r>
    </w:p>
    <w:p w14:paraId="21AC89E6" w14:textId="77777777" w:rsidR="00B02873" w:rsidRDefault="00B02873" w:rsidP="00FE198A">
      <w:r>
        <w:t xml:space="preserve">Data also shows that DELWP maintains gender balance in leadership roles, but has a higher proportion of men in technical, trade and community service roles, and a higher proportion of women in clerical and administrative roles. </w:t>
      </w:r>
    </w:p>
    <w:p w14:paraId="733301EF" w14:textId="77777777" w:rsidR="00B02873" w:rsidRDefault="00B02873" w:rsidP="00FE198A">
      <w:r>
        <w:t xml:space="preserve">These insights helped to identify ‘hot spots’ within the organisation that need targeted action and shaped the measures and strategies within our GEAP. </w:t>
      </w:r>
    </w:p>
    <w:p w14:paraId="06DE35AC" w14:textId="77777777" w:rsidR="00B02873" w:rsidRDefault="00B02873" w:rsidP="00FE198A">
      <w:r>
        <w:t>DELWP’s work on ‘hot spots’, and in particular the Women in Fire and Emergency Leadership program, aims to address gendered workforce segregation and is reflected in our GEAP, and in the state Gender Equality Strategy.</w:t>
      </w:r>
    </w:p>
    <w:p w14:paraId="15BDC71A" w14:textId="77777777" w:rsidR="00B02873" w:rsidRDefault="00B02873" w:rsidP="009C269B">
      <w:pPr>
        <w:pStyle w:val="Heading3"/>
      </w:pPr>
      <w:r>
        <w:t xml:space="preserve">Intersectional gender inequality </w:t>
      </w:r>
    </w:p>
    <w:p w14:paraId="2C8BEC17" w14:textId="77777777" w:rsidR="00B02873" w:rsidRDefault="00B02873" w:rsidP="00FE198A">
      <w:r>
        <w:t xml:space="preserve">The department has considered intersectionality in all strategies and measures in developing its gender equality initiatives. DELWP understands that gender inequality can be compounded by individual identity, and we have ensured that the voices of those with lived experience of protected attributes have been heard throughout our consultation. </w:t>
      </w:r>
    </w:p>
    <w:p w14:paraId="0EECF850" w14:textId="77777777" w:rsidR="00B02873" w:rsidRDefault="00B02873" w:rsidP="00FE198A">
      <w:r>
        <w:t>DELWP also identified the need for better data collection across intersectional attributes and this will be addressed through actions in the GEAP.</w:t>
      </w:r>
    </w:p>
    <w:p w14:paraId="33FED341" w14:textId="77777777" w:rsidR="00B02873" w:rsidRDefault="00B02873" w:rsidP="009C269B">
      <w:pPr>
        <w:pStyle w:val="Heading3"/>
      </w:pPr>
      <w:r>
        <w:t xml:space="preserve">FFMVic gender equality and inclusion </w:t>
      </w:r>
    </w:p>
    <w:p w14:paraId="51FB354F" w14:textId="77777777" w:rsidR="00B02873" w:rsidRDefault="00B02873" w:rsidP="00FE198A">
      <w:r>
        <w:t xml:space="preserve">DELWP is actively addressing gender-based bias and challenging stereotypes in fire management roles. Through targeted projects and initiatives, DELWP is working to improve the presence of women in fire management roles and create a safe and respectful environment for women in the sector. This also extends to DELWP’s partnerships in emergency with Forest Fire Management Victoria (FFMVic). In 2021-22, training for all people leaders across DELWP’s forest and fire divisions and the FFMVic partnership was provided on gender-based discrimination and the importance of safe, respectful, and inclusive environments, ensuring the emergency management sector has leaders who are equipped to prevent and call out inequality in the workplace. </w:t>
      </w:r>
    </w:p>
    <w:p w14:paraId="2D390997" w14:textId="080076F0" w:rsidR="00B02873" w:rsidRDefault="00B02873" w:rsidP="00FE198A">
      <w:r>
        <w:rPr>
          <w:spacing w:val="-2"/>
        </w:rPr>
        <w:t>DELWP continues to support gender equality through the Aboriginal Women in Fire Pathway Program, State Regional Women in Fire Coordinator Group program priorities and the Regional Diversity, Equality and Inclusion working groups. With this targeted approach, DELWP will champion gender equality across the state, having a positive impact for the community in both metropolitan and regional areas.</w:t>
      </w:r>
    </w:p>
    <w:p w14:paraId="0031C34C" w14:textId="77777777" w:rsidR="00B02873" w:rsidRDefault="00B02873" w:rsidP="009C269B">
      <w:pPr>
        <w:pStyle w:val="Normalbeforebullet"/>
      </w:pPr>
      <w:r>
        <w:t>Further achievements in 2021-22 include:</w:t>
      </w:r>
    </w:p>
    <w:p w14:paraId="101DDB22" w14:textId="77777777" w:rsidR="00B02873" w:rsidRDefault="00B02873" w:rsidP="00B02873">
      <w:pPr>
        <w:pStyle w:val="Bullet1Lists"/>
      </w:pPr>
      <w:r>
        <w:t xml:space="preserve">an Accelerated Leadership program for 26 women working in operational fire roles within DELWP, focused on skills, personal and professional development to drive advancement into senior executive roles </w:t>
      </w:r>
    </w:p>
    <w:p w14:paraId="646C5462" w14:textId="50DBED52" w:rsidR="00B02873" w:rsidRDefault="00B02873" w:rsidP="00B02873">
      <w:pPr>
        <w:pStyle w:val="Bullet1Lists"/>
      </w:pPr>
      <w:r>
        <w:t>formal endorsement of the DELWP Women of Colour network, which provides peer support and advocacy to self-identifying women and non-binary people of colour across DELWP relating to the issues and barriers faced within the department</w:t>
      </w:r>
    </w:p>
    <w:p w14:paraId="2AEE222E" w14:textId="77777777" w:rsidR="00B02873" w:rsidRDefault="00B02873" w:rsidP="00B02873">
      <w:pPr>
        <w:pStyle w:val="Bullet1Lists"/>
      </w:pPr>
      <w:r>
        <w:t>leading a successful forum for the Autism Success Network on 21st Century Leadership during the week of Autism Awareness in April 2022 to support women with a disability</w:t>
      </w:r>
    </w:p>
    <w:p w14:paraId="0CA1FDF4" w14:textId="77777777" w:rsidR="00B02873" w:rsidRDefault="00B02873" w:rsidP="009C269B">
      <w:pPr>
        <w:pStyle w:val="Bullet1Listslast"/>
      </w:pPr>
      <w:r>
        <w:t>continuing to leverage the Champions of Change Coalition, which brings together senior leaders from diverse sectors to champion gender equality and inform targeted initiatives.</w:t>
      </w:r>
    </w:p>
    <w:p w14:paraId="3D9838CE" w14:textId="77777777" w:rsidR="00B02873" w:rsidRDefault="00B02873" w:rsidP="009C269B">
      <w:pPr>
        <w:pStyle w:val="Heading3"/>
      </w:pPr>
      <w:r>
        <w:lastRenderedPageBreak/>
        <w:t xml:space="preserve">Community presence </w:t>
      </w:r>
    </w:p>
    <w:p w14:paraId="13C81566" w14:textId="77777777" w:rsidR="00B02873" w:rsidRDefault="00B02873" w:rsidP="00FE198A">
      <w:r>
        <w:rPr>
          <w:spacing w:val="2"/>
        </w:rPr>
        <w:t>DELWP continues to be a visible champion of gender equality in the public sector through a strong presence and participation across various forums. On International Women’s Day in March 2022, DELWP hosted a diverse panel of intersectional women who spoke to staff about breaking the gender bias in the workplace. The panel discussion was an enormous success with more than 1,600 staff attending the virtual event. DELWP also had a strong presence at external events such as the IPAA International Women’s Day Gala. In 2022 six DELWP staff were included in the ‘IPAA Top 50 Public Sector Women (Victoria)’ awards that recognised exceptional women leaders during the COVID-19 pandemic for their commitment, strength, and extraordinary contribution.</w:t>
      </w:r>
    </w:p>
    <w:p w14:paraId="7DE9A65E" w14:textId="77777777" w:rsidR="00B02873" w:rsidRDefault="00B02873" w:rsidP="00FE198A">
      <w:r>
        <w:t>Events such as these strengthen DELWP’s reputation as an employer committed to progressing gender equality across all layers of the organisation.</w:t>
      </w:r>
    </w:p>
    <w:p w14:paraId="07A06CD2" w14:textId="77777777" w:rsidR="00B02873" w:rsidRDefault="00B02873" w:rsidP="009C269B">
      <w:pPr>
        <w:pStyle w:val="Heading3"/>
      </w:pPr>
      <w:r>
        <w:t>Gender Impact Assessments</w:t>
      </w:r>
    </w:p>
    <w:p w14:paraId="307B73C1" w14:textId="77777777" w:rsidR="00B02873" w:rsidRDefault="00B02873" w:rsidP="009C269B">
      <w:pPr>
        <w:pStyle w:val="Normalbeforebullet"/>
      </w:pPr>
      <w:r>
        <w:t xml:space="preserve">The department is embedding Gender Impact Assessments into current processes and structures. This is an obligation under the </w:t>
      </w:r>
      <w:r w:rsidRPr="009C269B">
        <w:rPr>
          <w:rStyle w:val="LightItalic"/>
          <w:rFonts w:asciiTheme="minorHAnsi" w:hAnsiTheme="minorHAnsi" w:cstheme="minorHAnsi"/>
        </w:rPr>
        <w:t>Gender Equality Act 2020</w:t>
      </w:r>
      <w:r>
        <w:t xml:space="preserve"> for the department. DELWP will achieve this by: </w:t>
      </w:r>
    </w:p>
    <w:p w14:paraId="0B148730" w14:textId="77777777" w:rsidR="00B02873" w:rsidRDefault="00B02873" w:rsidP="00B02873">
      <w:pPr>
        <w:pStyle w:val="Bullet1Lists"/>
      </w:pPr>
      <w:r>
        <w:t>including Gender Responsive Budget bidding into existing financial bidding templates</w:t>
      </w:r>
    </w:p>
    <w:p w14:paraId="2D92E846" w14:textId="77777777" w:rsidR="00B02873" w:rsidRDefault="00B02873" w:rsidP="00B02873">
      <w:pPr>
        <w:pStyle w:val="Bullet1Lists"/>
      </w:pPr>
      <w:r>
        <w:t>running workshops for existing projects to include Gender Impact Assessments on projects that have direct and significant impact to community</w:t>
      </w:r>
    </w:p>
    <w:p w14:paraId="77E582DE" w14:textId="77777777" w:rsidR="00B02873" w:rsidRDefault="00B02873" w:rsidP="009C269B">
      <w:pPr>
        <w:pStyle w:val="Bullet1Listslast"/>
      </w:pPr>
      <w:r>
        <w:t>update planning templates to include consideration of Gender Impact Assessments in initial proposals and budget bids.</w:t>
      </w:r>
    </w:p>
    <w:p w14:paraId="3ADA7CC1" w14:textId="77777777" w:rsidR="00B02873" w:rsidRDefault="00B02873" w:rsidP="009C269B">
      <w:pPr>
        <w:pStyle w:val="Heading3"/>
      </w:pPr>
      <w:r>
        <w:t>Lesbian, Gay, Bisexual, Transgender, Intersex, Queer+ (LGBTIQ+) Inclusion – Championing a Place of Pride</w:t>
      </w:r>
    </w:p>
    <w:p w14:paraId="6AF0C690" w14:textId="77777777" w:rsidR="00B02873" w:rsidRDefault="00B02873" w:rsidP="00FE198A">
      <w:r>
        <w:t xml:space="preserve">DELWP continues to be a workplace that strives to create inclusion and belonging for our LGBTIQ+ employees. In the 2021 PMS, 10 per cent of DELWP staff self-identified as being members on the LGBTIQ+ community, with 1 per cent of participants self-identifying as transgender, non-binary or used a different term to man or women and a further 11 per cent preferring not to disclose. </w:t>
      </w:r>
    </w:p>
    <w:p w14:paraId="31FE62F9" w14:textId="6255F633" w:rsidR="00B02873" w:rsidRDefault="00B02873" w:rsidP="00FE198A">
      <w:r>
        <w:t xml:space="preserve">With the launch of the Victorian Government’s </w:t>
      </w:r>
      <w:r w:rsidRPr="009C269B">
        <w:rPr>
          <w:rStyle w:val="LightItalic"/>
          <w:rFonts w:asciiTheme="minorHAnsi" w:hAnsiTheme="minorHAnsi" w:cstheme="minorHAnsi"/>
        </w:rPr>
        <w:t>Pride in our future: Victoria’s LGBTIQ+ Strategy 2022-32</w:t>
      </w:r>
      <w:r>
        <w:t xml:space="preserve"> in early 2022, DELWP commenced development of an implementation plan connected to the strategy. As part of this work, DELWP developed a new Affirming Gender at DELWP policy, procedure, and resource package to support employees affirming their gender, as well as their managers, and teams. A Gender Affirmation working group, consisting of trans and gender diverse employees was formed in May 2022, bringing a critical focus on lived and personal experience to the work. Through this work, DELWP has already supported several employees with the gender affirmation process. </w:t>
      </w:r>
    </w:p>
    <w:p w14:paraId="0727AA3A" w14:textId="30A95B81" w:rsidR="00B02873" w:rsidRDefault="00B02873" w:rsidP="00FE198A">
      <w:r>
        <w:t>The Victorian Government’s commitment to inclusion and diversity for the state’s LGBTIQ+ community continues to grow, as does DELWP’s work towards belonging and safety for our people. In addition to being members of Pride in Diversity and participating in the annual Australian Workplace Equality Index for LGBTIQ+ inclusion, the department’s Place of Pride employee-led network consists of 250 active members and has 15 dedicated employees on its steering committee, creating a sense of community at DELWP.</w:t>
      </w:r>
      <w:r w:rsidR="00012C04">
        <w:t xml:space="preserve"> </w:t>
      </w:r>
      <w:r>
        <w:t xml:space="preserve">The Place of Pride network has led several LGBTIQ+ events to celebrate all things queer, with DELWP having a visible presence at the Midsumma Festival 2022 and International Day Against Homophobia, Biphobia, Transphobia and Intersexism (IDAHOBIT), hosting and participating in events attended by employees across the VPS. </w:t>
      </w:r>
    </w:p>
    <w:p w14:paraId="17BA164A" w14:textId="77777777" w:rsidR="00B02873" w:rsidRDefault="00B02873" w:rsidP="00FE198A">
      <w:r>
        <w:lastRenderedPageBreak/>
        <w:t xml:space="preserve">DELWP’s new LGBTIQ+ Awareness Training was developed, launched, and facilitated by members of DELWP’s Place of Pride network in April 2022. Aimed at raising awareness and understanding of the LGBTIQ+ community, this interactive training also provides participants with DELWP-specific content and context to build on belonging and inclusion. </w:t>
      </w:r>
    </w:p>
    <w:p w14:paraId="58F5D698" w14:textId="16D2E117" w:rsidR="00B02873" w:rsidRDefault="00B02873" w:rsidP="009C269B">
      <w:pPr>
        <w:pStyle w:val="Heading3"/>
      </w:pPr>
      <w:r>
        <w:t>Multicultural inclusion – elevating the voices of diverse communities</w:t>
      </w:r>
    </w:p>
    <w:p w14:paraId="6A366A85" w14:textId="77777777" w:rsidR="00B02873" w:rsidRDefault="00B02873" w:rsidP="00FE198A">
      <w:r>
        <w:t xml:space="preserve">Our people are diverse; our teams are rich in cultural identity and are of multiple faiths. From DELWP’s 2021 PMS results, we know that 15 per cent of DELWP staff were born overseas, 28 per cent identified as having a cultural identity in addition to Australian and DELWP staff speak over 30 different languages. Of survey participants, 48 per cent of staff identified as having a faith. </w:t>
      </w:r>
    </w:p>
    <w:p w14:paraId="44A16056" w14:textId="518B07CA" w:rsidR="00B02873" w:rsidRDefault="00B02873" w:rsidP="00FE198A">
      <w:r>
        <w:t xml:space="preserve">DELWP’s </w:t>
      </w:r>
      <w:r w:rsidRPr="00B23E1C">
        <w:rPr>
          <w:rStyle w:val="Hyperlink"/>
        </w:rPr>
        <w:t>Multicultural@DELWP</w:t>
      </w:r>
      <w:r>
        <w:t xml:space="preserve"> and Women of Colour staff networks continue to grow, with 130 active members and allies, working towards elevating inclusion initiatives for people from cultural and linguistically diverse backgrounds. These networks also have a strong presence within the VPS Women of Colour working groups, ensuring DELWP contributes to inter-departmental activities. Members of these multicultural networks have helped shape </w:t>
      </w:r>
      <w:r w:rsidRPr="009C269B">
        <w:rPr>
          <w:rStyle w:val="LightItalic"/>
          <w:rFonts w:asciiTheme="minorHAnsi" w:hAnsiTheme="minorHAnsi" w:cstheme="minorHAnsi"/>
        </w:rPr>
        <w:t>DELWP’s Gender Equality Action Plan 2020-21 —2024-25</w:t>
      </w:r>
      <w:r>
        <w:t xml:space="preserve">, ensuring an intersectional approach to equality is actioned across the department. </w:t>
      </w:r>
    </w:p>
    <w:p w14:paraId="7DF98BEB" w14:textId="77777777" w:rsidR="00B02873" w:rsidRDefault="00B02873" w:rsidP="009C269B">
      <w:pPr>
        <w:pStyle w:val="Heading3"/>
      </w:pPr>
      <w:r>
        <w:t>Diversity and Inclusion Employment Programs – Future-proofing Diverse Talent</w:t>
      </w:r>
    </w:p>
    <w:p w14:paraId="6979BDEA" w14:textId="77777777" w:rsidR="00B02873" w:rsidRDefault="00B02873" w:rsidP="00FE198A">
      <w:r>
        <w:t xml:space="preserve">DELWP’s participation in a range of targeted employment programs helps us to achieve our commitment to increase the diversity of our workforce. During 2021-22 we built strong communities of practice, interdepartmental relationships and collaborated to embed pathways for diverse and high potential talent. </w:t>
      </w:r>
    </w:p>
    <w:p w14:paraId="7E77AA79" w14:textId="6DE14A1B" w:rsidR="00B02873" w:rsidRDefault="00B02873" w:rsidP="00FE198A">
      <w:r>
        <w:t xml:space="preserve">As well as supporting First Peoples employment targets and talent pipelines outlined in </w:t>
      </w:r>
      <w:r w:rsidRPr="009C269B">
        <w:rPr>
          <w:rStyle w:val="LightItalic"/>
          <w:rFonts w:asciiTheme="minorHAnsi" w:hAnsiTheme="minorHAnsi" w:cstheme="minorHAnsi"/>
        </w:rPr>
        <w:t>Pupangarli Marnmarnepu ‘Owning Our Future’ Aboriginal Self-Determination Reform Strategy 2020-2025</w:t>
      </w:r>
      <w:r w:rsidRPr="009C269B">
        <w:rPr>
          <w:rFonts w:asciiTheme="minorHAnsi" w:hAnsiTheme="minorHAnsi" w:cstheme="minorHAnsi"/>
        </w:rPr>
        <w:t>,</w:t>
      </w:r>
      <w:r>
        <w:t xml:space="preserve"> DELWP continues to use its employment programs to provide meaningful opportunities for new and emerging talent. Initiatives during 2021-22 assisted 173 young people enter the workforce during an economic downturn and helped to build a diverse and inclusive Victorian public sector, with a focus on intersectional representation. </w:t>
      </w:r>
    </w:p>
    <w:p w14:paraId="4FD3D672" w14:textId="77777777" w:rsidR="00B02873" w:rsidRDefault="00B02873" w:rsidP="00FE198A">
      <w:r>
        <w:t xml:space="preserve">In late 2021, with the involvement of the department’s staff-led networks, DELWP conducted an Inclusive Recruitment Review to put DELWP’s recruitment practices under the microscope. Through this process, 22 actions were aimed at adapting DELWP’s current practices to remove barriers to full participation of diverse talent. </w:t>
      </w:r>
    </w:p>
    <w:p w14:paraId="0CD6C23D" w14:textId="77777777" w:rsidR="00B02873" w:rsidRDefault="00B02873" w:rsidP="00FE198A">
      <w:r>
        <w:t xml:space="preserve">To showcase some of the career opportunities available across the department, DELWP maintained a strong presence at key career expos and online forums and participated in several employment programs across the Victorian Public Service. We engaged with prospective students at 17 information and professional practice sessions, including career fairs at Victoria’s major universities. With COVIDSafe settings easing in early 2022, face to face engagement increased and the department held several forums, learning and development sessions and events for our graduates, including a regional forum in Eildon. </w:t>
      </w:r>
    </w:p>
    <w:p w14:paraId="25E64413" w14:textId="77777777" w:rsidR="00B02873" w:rsidRDefault="00B02873" w:rsidP="009C269B">
      <w:pPr>
        <w:pStyle w:val="Normalbeforebullet"/>
      </w:pPr>
      <w:r>
        <w:lastRenderedPageBreak/>
        <w:t xml:space="preserve">As part of DELWP’s commitment to building a diverse talent pipeline, opportunities were provided within the following employment programs: </w:t>
      </w:r>
    </w:p>
    <w:tbl>
      <w:tblPr>
        <w:tblStyle w:val="TableGrid"/>
        <w:tblW w:w="9638" w:type="dxa"/>
        <w:tblLayout w:type="fixed"/>
        <w:tblLook w:val="0020" w:firstRow="1" w:lastRow="0" w:firstColumn="0" w:lastColumn="0" w:noHBand="0" w:noVBand="0"/>
      </w:tblPr>
      <w:tblGrid>
        <w:gridCol w:w="1838"/>
        <w:gridCol w:w="1560"/>
        <w:gridCol w:w="1560"/>
        <w:gridCol w:w="1560"/>
        <w:gridCol w:w="1560"/>
        <w:gridCol w:w="1560"/>
      </w:tblGrid>
      <w:tr w:rsidR="00B02873" w:rsidRPr="00B02873" w14:paraId="6370E9B2" w14:textId="77777777" w:rsidTr="00561B32">
        <w:trPr>
          <w:cnfStyle w:val="100000000000" w:firstRow="1" w:lastRow="0" w:firstColumn="0" w:lastColumn="0" w:oddVBand="0" w:evenVBand="0" w:oddHBand="0" w:evenHBand="0" w:firstRowFirstColumn="0" w:firstRowLastColumn="0" w:lastRowFirstColumn="0" w:lastRowLastColumn="0"/>
          <w:tblHeader/>
        </w:trPr>
        <w:tc>
          <w:tcPr>
            <w:tcW w:w="1838" w:type="dxa"/>
          </w:tcPr>
          <w:p w14:paraId="0DCE634C" w14:textId="77777777" w:rsidR="00B02873" w:rsidRPr="00B02873" w:rsidRDefault="00B02873" w:rsidP="00561B32">
            <w:pPr>
              <w:pStyle w:val="TableheadingleftTables"/>
            </w:pPr>
          </w:p>
        </w:tc>
        <w:tc>
          <w:tcPr>
            <w:tcW w:w="1560" w:type="dxa"/>
          </w:tcPr>
          <w:p w14:paraId="41C41EA5" w14:textId="77777777" w:rsidR="00B02873" w:rsidRDefault="00B02873" w:rsidP="00B23E1C">
            <w:pPr>
              <w:pStyle w:val="TableheadingleftTables"/>
              <w:jc w:val="right"/>
            </w:pPr>
            <w:r>
              <w:t xml:space="preserve">Victorian Public Service Graduate Program 2021-22 </w:t>
            </w:r>
          </w:p>
        </w:tc>
        <w:tc>
          <w:tcPr>
            <w:tcW w:w="1560" w:type="dxa"/>
          </w:tcPr>
          <w:p w14:paraId="1BD87716" w14:textId="77777777" w:rsidR="00B02873" w:rsidRDefault="00B02873" w:rsidP="00B23E1C">
            <w:pPr>
              <w:pStyle w:val="TableheadingleftTables"/>
              <w:jc w:val="right"/>
            </w:pPr>
            <w:r>
              <w:t xml:space="preserve">Science and Planning Graduate Program 2021-22 </w:t>
            </w:r>
          </w:p>
        </w:tc>
        <w:tc>
          <w:tcPr>
            <w:tcW w:w="1560" w:type="dxa"/>
          </w:tcPr>
          <w:p w14:paraId="5A5D43FC" w14:textId="77777777" w:rsidR="00B02873" w:rsidRDefault="00B02873" w:rsidP="00B23E1C">
            <w:pPr>
              <w:pStyle w:val="TableheadingleftTables"/>
              <w:jc w:val="right"/>
            </w:pPr>
            <w:r>
              <w:t xml:space="preserve">Digital Jobs Internship Program </w:t>
            </w:r>
          </w:p>
        </w:tc>
        <w:tc>
          <w:tcPr>
            <w:tcW w:w="1560" w:type="dxa"/>
          </w:tcPr>
          <w:p w14:paraId="4705EED7" w14:textId="77777777" w:rsidR="00B02873" w:rsidRDefault="00B02873" w:rsidP="00B23E1C">
            <w:pPr>
              <w:pStyle w:val="TableheadingleftTables"/>
              <w:jc w:val="right"/>
            </w:pPr>
            <w:r>
              <w:t>Victorian Public Service Internships Program</w:t>
            </w:r>
          </w:p>
        </w:tc>
        <w:tc>
          <w:tcPr>
            <w:tcW w:w="1560" w:type="dxa"/>
          </w:tcPr>
          <w:p w14:paraId="49A89535" w14:textId="0EB7EA0A" w:rsidR="00B02873" w:rsidRDefault="00B02873" w:rsidP="00B23E1C">
            <w:pPr>
              <w:pStyle w:val="TableheadingleftTables"/>
              <w:jc w:val="right"/>
            </w:pPr>
            <w:r>
              <w:t>Youth Employment Program/</w:t>
            </w:r>
            <w:r w:rsidR="00561B32">
              <w:t xml:space="preserve"> </w:t>
            </w:r>
            <w:r>
              <w:t>Youth Employment Scheme</w:t>
            </w:r>
          </w:p>
        </w:tc>
      </w:tr>
      <w:tr w:rsidR="00B02873" w:rsidRPr="00B02873" w14:paraId="63BA2D34" w14:textId="77777777" w:rsidTr="00561B32">
        <w:tc>
          <w:tcPr>
            <w:tcW w:w="1838" w:type="dxa"/>
          </w:tcPr>
          <w:p w14:paraId="7DC22A87" w14:textId="77777777" w:rsidR="00B02873" w:rsidRDefault="00B02873" w:rsidP="00561B32">
            <w:pPr>
              <w:pStyle w:val="TablebodyleftTables"/>
              <w:keepNext/>
            </w:pPr>
            <w:r>
              <w:t>First Peoples</w:t>
            </w:r>
          </w:p>
        </w:tc>
        <w:tc>
          <w:tcPr>
            <w:tcW w:w="1560" w:type="dxa"/>
          </w:tcPr>
          <w:p w14:paraId="1CE66738" w14:textId="77777777" w:rsidR="00B02873" w:rsidRDefault="00B02873" w:rsidP="00B23E1C">
            <w:pPr>
              <w:pStyle w:val="TablebodyleftTables"/>
              <w:keepNext/>
              <w:jc w:val="right"/>
            </w:pPr>
            <w:r>
              <w:t>5</w:t>
            </w:r>
          </w:p>
        </w:tc>
        <w:tc>
          <w:tcPr>
            <w:tcW w:w="1560" w:type="dxa"/>
          </w:tcPr>
          <w:p w14:paraId="4E1291A8" w14:textId="77777777" w:rsidR="00B02873" w:rsidRDefault="00B02873" w:rsidP="00B23E1C">
            <w:pPr>
              <w:pStyle w:val="TablebodyleftTables"/>
              <w:keepNext/>
              <w:jc w:val="right"/>
            </w:pPr>
            <w:r>
              <w:t>2</w:t>
            </w:r>
          </w:p>
        </w:tc>
        <w:tc>
          <w:tcPr>
            <w:tcW w:w="1560" w:type="dxa"/>
          </w:tcPr>
          <w:p w14:paraId="396AAA5B" w14:textId="0FA574CC" w:rsidR="00B02873" w:rsidRDefault="00561B32" w:rsidP="00B23E1C">
            <w:pPr>
              <w:pStyle w:val="TablebodyleftTables"/>
              <w:keepNext/>
              <w:jc w:val="right"/>
            </w:pPr>
            <w:r>
              <w:t>–</w:t>
            </w:r>
          </w:p>
        </w:tc>
        <w:tc>
          <w:tcPr>
            <w:tcW w:w="1560" w:type="dxa"/>
          </w:tcPr>
          <w:p w14:paraId="4C16341C" w14:textId="77777777" w:rsidR="00B02873" w:rsidRDefault="00B02873" w:rsidP="00B23E1C">
            <w:pPr>
              <w:pStyle w:val="TablebodyleftTables"/>
              <w:keepNext/>
              <w:jc w:val="right"/>
            </w:pPr>
            <w:r>
              <w:t>7</w:t>
            </w:r>
          </w:p>
        </w:tc>
        <w:tc>
          <w:tcPr>
            <w:tcW w:w="1560" w:type="dxa"/>
          </w:tcPr>
          <w:p w14:paraId="0AD9E1DA" w14:textId="618B9254" w:rsidR="00B02873" w:rsidRDefault="00561B32" w:rsidP="00B23E1C">
            <w:pPr>
              <w:pStyle w:val="TablebodyleftTables"/>
              <w:keepNext/>
              <w:jc w:val="right"/>
            </w:pPr>
            <w:r>
              <w:t>–</w:t>
            </w:r>
          </w:p>
        </w:tc>
      </w:tr>
      <w:tr w:rsidR="00B02873" w:rsidRPr="00B02873" w14:paraId="7BB36DE3" w14:textId="77777777" w:rsidTr="00561B32">
        <w:tc>
          <w:tcPr>
            <w:tcW w:w="1838" w:type="dxa"/>
          </w:tcPr>
          <w:p w14:paraId="786508E4" w14:textId="77777777" w:rsidR="00B02873" w:rsidRDefault="00B02873" w:rsidP="00B415A9">
            <w:pPr>
              <w:pStyle w:val="TablebodyleftTables"/>
            </w:pPr>
            <w:r>
              <w:t>Disability</w:t>
            </w:r>
          </w:p>
        </w:tc>
        <w:tc>
          <w:tcPr>
            <w:tcW w:w="1560" w:type="dxa"/>
          </w:tcPr>
          <w:p w14:paraId="57130D56" w14:textId="77777777" w:rsidR="00B02873" w:rsidRDefault="00B02873" w:rsidP="00B23E1C">
            <w:pPr>
              <w:pStyle w:val="TablebodyleftTables"/>
              <w:jc w:val="right"/>
            </w:pPr>
            <w:r>
              <w:t>7</w:t>
            </w:r>
          </w:p>
        </w:tc>
        <w:tc>
          <w:tcPr>
            <w:tcW w:w="1560" w:type="dxa"/>
          </w:tcPr>
          <w:p w14:paraId="10F3757C" w14:textId="77777777" w:rsidR="00B02873" w:rsidRDefault="00B02873" w:rsidP="00B23E1C">
            <w:pPr>
              <w:pStyle w:val="TablebodyleftTables"/>
              <w:jc w:val="right"/>
            </w:pPr>
            <w:r>
              <w:t>2</w:t>
            </w:r>
          </w:p>
        </w:tc>
        <w:tc>
          <w:tcPr>
            <w:tcW w:w="1560" w:type="dxa"/>
          </w:tcPr>
          <w:p w14:paraId="66EED655" w14:textId="4915A9B4" w:rsidR="00B02873" w:rsidRDefault="00561B32" w:rsidP="00B23E1C">
            <w:pPr>
              <w:pStyle w:val="TablebodyleftTables"/>
              <w:jc w:val="right"/>
            </w:pPr>
            <w:r>
              <w:t>–</w:t>
            </w:r>
          </w:p>
        </w:tc>
        <w:tc>
          <w:tcPr>
            <w:tcW w:w="1560" w:type="dxa"/>
          </w:tcPr>
          <w:p w14:paraId="73A1753C" w14:textId="77777777" w:rsidR="00B02873" w:rsidRDefault="00B02873" w:rsidP="00B23E1C">
            <w:pPr>
              <w:pStyle w:val="TablebodyleftTables"/>
              <w:jc w:val="right"/>
            </w:pPr>
            <w:r>
              <w:t>4</w:t>
            </w:r>
          </w:p>
        </w:tc>
        <w:tc>
          <w:tcPr>
            <w:tcW w:w="1560" w:type="dxa"/>
          </w:tcPr>
          <w:p w14:paraId="141B7064" w14:textId="77777777" w:rsidR="00B02873" w:rsidRDefault="00B02873" w:rsidP="00B23E1C">
            <w:pPr>
              <w:pStyle w:val="TablebodyleftTables"/>
              <w:jc w:val="right"/>
            </w:pPr>
            <w:r>
              <w:t>5</w:t>
            </w:r>
          </w:p>
        </w:tc>
      </w:tr>
      <w:tr w:rsidR="00B02873" w:rsidRPr="00B02873" w14:paraId="5DCD888D" w14:textId="77777777" w:rsidTr="00561B32">
        <w:tc>
          <w:tcPr>
            <w:tcW w:w="1838" w:type="dxa"/>
          </w:tcPr>
          <w:p w14:paraId="2D8B9B32" w14:textId="77777777" w:rsidR="00B02873" w:rsidRDefault="00B02873" w:rsidP="00B415A9">
            <w:pPr>
              <w:pStyle w:val="TablebodyleftTables"/>
            </w:pPr>
            <w:r>
              <w:t>Culturally and Linguistically Diverse</w:t>
            </w:r>
          </w:p>
        </w:tc>
        <w:tc>
          <w:tcPr>
            <w:tcW w:w="1560" w:type="dxa"/>
          </w:tcPr>
          <w:p w14:paraId="5FCD9F35" w14:textId="61570C67" w:rsidR="00B02873" w:rsidRDefault="00561B32" w:rsidP="00B23E1C">
            <w:pPr>
              <w:pStyle w:val="TablebodyleftTables"/>
              <w:jc w:val="right"/>
            </w:pPr>
            <w:r>
              <w:t>–</w:t>
            </w:r>
          </w:p>
        </w:tc>
        <w:tc>
          <w:tcPr>
            <w:tcW w:w="1560" w:type="dxa"/>
          </w:tcPr>
          <w:p w14:paraId="6E61B07C" w14:textId="77777777" w:rsidR="00B02873" w:rsidRDefault="00B02873" w:rsidP="00B23E1C">
            <w:pPr>
              <w:pStyle w:val="TablebodyleftTables"/>
              <w:jc w:val="right"/>
            </w:pPr>
            <w:r>
              <w:t>No data</w:t>
            </w:r>
          </w:p>
        </w:tc>
        <w:tc>
          <w:tcPr>
            <w:tcW w:w="1560" w:type="dxa"/>
          </w:tcPr>
          <w:p w14:paraId="34BC6508" w14:textId="5B4982B6" w:rsidR="00B02873" w:rsidRDefault="00561B32" w:rsidP="00B23E1C">
            <w:pPr>
              <w:pStyle w:val="TablebodyleftTables"/>
              <w:jc w:val="right"/>
            </w:pPr>
            <w:r>
              <w:t>–</w:t>
            </w:r>
          </w:p>
        </w:tc>
        <w:tc>
          <w:tcPr>
            <w:tcW w:w="1560" w:type="dxa"/>
          </w:tcPr>
          <w:p w14:paraId="3A7CB19C" w14:textId="77777777" w:rsidR="00B02873" w:rsidRDefault="00B02873" w:rsidP="00B23E1C">
            <w:pPr>
              <w:pStyle w:val="TablebodyleftTables"/>
              <w:jc w:val="right"/>
            </w:pPr>
            <w:r>
              <w:t>5</w:t>
            </w:r>
          </w:p>
        </w:tc>
        <w:tc>
          <w:tcPr>
            <w:tcW w:w="1560" w:type="dxa"/>
          </w:tcPr>
          <w:p w14:paraId="5CB66F02" w14:textId="77777777" w:rsidR="00B02873" w:rsidRDefault="00B02873" w:rsidP="00B23E1C">
            <w:pPr>
              <w:pStyle w:val="TablebodyleftTables"/>
              <w:jc w:val="right"/>
            </w:pPr>
            <w:r>
              <w:t>8</w:t>
            </w:r>
          </w:p>
        </w:tc>
      </w:tr>
      <w:tr w:rsidR="00B02873" w:rsidRPr="00B02873" w14:paraId="1A0DFDEC" w14:textId="77777777" w:rsidTr="00561B32">
        <w:tc>
          <w:tcPr>
            <w:tcW w:w="1838" w:type="dxa"/>
          </w:tcPr>
          <w:p w14:paraId="30FC677C" w14:textId="77777777" w:rsidR="00B02873" w:rsidRDefault="00B02873" w:rsidP="00B415A9">
            <w:pPr>
              <w:pStyle w:val="TablebodyleftTables"/>
            </w:pPr>
            <w:r>
              <w:t>Men</w:t>
            </w:r>
          </w:p>
        </w:tc>
        <w:tc>
          <w:tcPr>
            <w:tcW w:w="1560" w:type="dxa"/>
          </w:tcPr>
          <w:p w14:paraId="5E1AC6DA" w14:textId="77777777" w:rsidR="00B02873" w:rsidRDefault="00B02873" w:rsidP="00B23E1C">
            <w:pPr>
              <w:pStyle w:val="TablebodyleftTables"/>
              <w:jc w:val="right"/>
            </w:pPr>
            <w:r>
              <w:t>10</w:t>
            </w:r>
          </w:p>
        </w:tc>
        <w:tc>
          <w:tcPr>
            <w:tcW w:w="1560" w:type="dxa"/>
          </w:tcPr>
          <w:p w14:paraId="444B8BFC" w14:textId="77777777" w:rsidR="00B02873" w:rsidRDefault="00B02873" w:rsidP="00B23E1C">
            <w:pPr>
              <w:pStyle w:val="TablebodyleftTables"/>
              <w:jc w:val="right"/>
            </w:pPr>
            <w:r>
              <w:t>12</w:t>
            </w:r>
          </w:p>
        </w:tc>
        <w:tc>
          <w:tcPr>
            <w:tcW w:w="1560" w:type="dxa"/>
          </w:tcPr>
          <w:p w14:paraId="214626E1" w14:textId="77777777" w:rsidR="00B02873" w:rsidRDefault="00B02873" w:rsidP="00B23E1C">
            <w:pPr>
              <w:pStyle w:val="TablebodyleftTables"/>
              <w:jc w:val="right"/>
            </w:pPr>
            <w:r>
              <w:t>2</w:t>
            </w:r>
          </w:p>
        </w:tc>
        <w:tc>
          <w:tcPr>
            <w:tcW w:w="1560" w:type="dxa"/>
          </w:tcPr>
          <w:p w14:paraId="1B4E4189" w14:textId="77777777" w:rsidR="00B02873" w:rsidRDefault="00B02873" w:rsidP="00B23E1C">
            <w:pPr>
              <w:pStyle w:val="TablebodyleftTables"/>
              <w:jc w:val="right"/>
            </w:pPr>
            <w:r>
              <w:t>6</w:t>
            </w:r>
          </w:p>
        </w:tc>
        <w:tc>
          <w:tcPr>
            <w:tcW w:w="1560" w:type="dxa"/>
          </w:tcPr>
          <w:p w14:paraId="2434D64D" w14:textId="77777777" w:rsidR="00B02873" w:rsidRDefault="00B02873" w:rsidP="00B23E1C">
            <w:pPr>
              <w:pStyle w:val="TablebodyleftTables"/>
              <w:jc w:val="right"/>
            </w:pPr>
            <w:r>
              <w:t>32</w:t>
            </w:r>
          </w:p>
        </w:tc>
      </w:tr>
      <w:tr w:rsidR="00B02873" w:rsidRPr="00B02873" w14:paraId="1F33954E" w14:textId="77777777" w:rsidTr="00561B32">
        <w:tc>
          <w:tcPr>
            <w:tcW w:w="1838" w:type="dxa"/>
          </w:tcPr>
          <w:p w14:paraId="25D3182F" w14:textId="77777777" w:rsidR="00B02873" w:rsidRDefault="00B02873" w:rsidP="00B415A9">
            <w:pPr>
              <w:pStyle w:val="TablebodyleftTables"/>
            </w:pPr>
            <w:r>
              <w:t>Women</w:t>
            </w:r>
          </w:p>
        </w:tc>
        <w:tc>
          <w:tcPr>
            <w:tcW w:w="1560" w:type="dxa"/>
          </w:tcPr>
          <w:p w14:paraId="2E53878F" w14:textId="77777777" w:rsidR="00B02873" w:rsidRDefault="00B02873" w:rsidP="00B23E1C">
            <w:pPr>
              <w:pStyle w:val="TablebodyleftTables"/>
              <w:jc w:val="right"/>
            </w:pPr>
            <w:r>
              <w:t>17</w:t>
            </w:r>
          </w:p>
        </w:tc>
        <w:tc>
          <w:tcPr>
            <w:tcW w:w="1560" w:type="dxa"/>
          </w:tcPr>
          <w:p w14:paraId="55845389" w14:textId="77777777" w:rsidR="00B02873" w:rsidRDefault="00B02873" w:rsidP="00B23E1C">
            <w:pPr>
              <w:pStyle w:val="TablebodyleftTables"/>
              <w:jc w:val="right"/>
            </w:pPr>
            <w:r>
              <w:t>18</w:t>
            </w:r>
          </w:p>
        </w:tc>
        <w:tc>
          <w:tcPr>
            <w:tcW w:w="1560" w:type="dxa"/>
          </w:tcPr>
          <w:p w14:paraId="50859FC3" w14:textId="77777777" w:rsidR="00B02873" w:rsidRDefault="00B02873" w:rsidP="00B23E1C">
            <w:pPr>
              <w:pStyle w:val="TablebodyleftTables"/>
              <w:jc w:val="right"/>
            </w:pPr>
            <w:r>
              <w:t>7</w:t>
            </w:r>
          </w:p>
        </w:tc>
        <w:tc>
          <w:tcPr>
            <w:tcW w:w="1560" w:type="dxa"/>
          </w:tcPr>
          <w:p w14:paraId="314ED262" w14:textId="77777777" w:rsidR="00B02873" w:rsidRDefault="00B02873" w:rsidP="00B23E1C">
            <w:pPr>
              <w:pStyle w:val="TablebodyleftTables"/>
              <w:jc w:val="right"/>
            </w:pPr>
            <w:r>
              <w:t>9</w:t>
            </w:r>
          </w:p>
        </w:tc>
        <w:tc>
          <w:tcPr>
            <w:tcW w:w="1560" w:type="dxa"/>
          </w:tcPr>
          <w:p w14:paraId="37E9CB93" w14:textId="77777777" w:rsidR="00B02873" w:rsidRDefault="00B02873" w:rsidP="00B23E1C">
            <w:pPr>
              <w:pStyle w:val="TablebodyleftTables"/>
              <w:jc w:val="right"/>
            </w:pPr>
            <w:r>
              <w:t>56</w:t>
            </w:r>
          </w:p>
        </w:tc>
      </w:tr>
      <w:tr w:rsidR="00B02873" w:rsidRPr="00B02873" w14:paraId="15AED5B9" w14:textId="77777777" w:rsidTr="00561B32">
        <w:tc>
          <w:tcPr>
            <w:tcW w:w="1838" w:type="dxa"/>
          </w:tcPr>
          <w:p w14:paraId="18F38F14" w14:textId="77777777" w:rsidR="00B02873" w:rsidRDefault="00B02873" w:rsidP="00B415A9">
            <w:pPr>
              <w:pStyle w:val="TablebodyleftTables"/>
            </w:pPr>
            <w:r>
              <w:t>Non-binary</w:t>
            </w:r>
          </w:p>
        </w:tc>
        <w:tc>
          <w:tcPr>
            <w:tcW w:w="1560" w:type="dxa"/>
          </w:tcPr>
          <w:p w14:paraId="52C4BF84" w14:textId="77777777" w:rsidR="00B02873" w:rsidRDefault="00B02873" w:rsidP="00B23E1C">
            <w:pPr>
              <w:pStyle w:val="TablebodyleftTables"/>
              <w:jc w:val="right"/>
            </w:pPr>
            <w:r>
              <w:t>1</w:t>
            </w:r>
          </w:p>
        </w:tc>
        <w:tc>
          <w:tcPr>
            <w:tcW w:w="1560" w:type="dxa"/>
          </w:tcPr>
          <w:p w14:paraId="60F40F35" w14:textId="77777777" w:rsidR="00B02873" w:rsidRDefault="00B02873" w:rsidP="00B23E1C">
            <w:pPr>
              <w:pStyle w:val="TablebodyleftTables"/>
              <w:jc w:val="right"/>
            </w:pPr>
            <w:r>
              <w:t>1</w:t>
            </w:r>
          </w:p>
        </w:tc>
        <w:tc>
          <w:tcPr>
            <w:tcW w:w="1560" w:type="dxa"/>
          </w:tcPr>
          <w:p w14:paraId="0DF83F72" w14:textId="77777777" w:rsidR="00B02873" w:rsidRDefault="00B02873" w:rsidP="00B23E1C">
            <w:pPr>
              <w:pStyle w:val="TablebodyleftTables"/>
              <w:jc w:val="right"/>
            </w:pPr>
            <w:r>
              <w:t>-</w:t>
            </w:r>
          </w:p>
        </w:tc>
        <w:tc>
          <w:tcPr>
            <w:tcW w:w="1560" w:type="dxa"/>
          </w:tcPr>
          <w:p w14:paraId="07A6AE11" w14:textId="77777777" w:rsidR="00B02873" w:rsidRDefault="00B02873" w:rsidP="00B23E1C">
            <w:pPr>
              <w:pStyle w:val="TablebodyleftTables"/>
              <w:jc w:val="right"/>
            </w:pPr>
            <w:r>
              <w:t>1</w:t>
            </w:r>
          </w:p>
        </w:tc>
        <w:tc>
          <w:tcPr>
            <w:tcW w:w="1560" w:type="dxa"/>
          </w:tcPr>
          <w:p w14:paraId="207077C0" w14:textId="77777777" w:rsidR="00B02873" w:rsidRDefault="00B02873" w:rsidP="00B23E1C">
            <w:pPr>
              <w:pStyle w:val="TablebodyleftTables"/>
              <w:jc w:val="right"/>
            </w:pPr>
            <w:r>
              <w:t>1</w:t>
            </w:r>
          </w:p>
        </w:tc>
      </w:tr>
      <w:tr w:rsidR="00B02873" w:rsidRPr="00B02873" w14:paraId="058E1CFF" w14:textId="77777777" w:rsidTr="00561B32">
        <w:tc>
          <w:tcPr>
            <w:tcW w:w="1838" w:type="dxa"/>
          </w:tcPr>
          <w:p w14:paraId="6F49CCEE" w14:textId="77777777" w:rsidR="00B02873" w:rsidRDefault="00B02873" w:rsidP="00B415A9">
            <w:pPr>
              <w:pStyle w:val="TableheadingleftTables"/>
            </w:pPr>
            <w:r>
              <w:t>Total</w:t>
            </w:r>
          </w:p>
        </w:tc>
        <w:tc>
          <w:tcPr>
            <w:tcW w:w="1560" w:type="dxa"/>
          </w:tcPr>
          <w:p w14:paraId="7D47C589" w14:textId="77777777" w:rsidR="00B02873" w:rsidRDefault="00B02873" w:rsidP="00B23E1C">
            <w:pPr>
              <w:pStyle w:val="TablebodyleftTables"/>
              <w:jc w:val="right"/>
            </w:pPr>
            <w:r>
              <w:t>28</w:t>
            </w:r>
          </w:p>
        </w:tc>
        <w:tc>
          <w:tcPr>
            <w:tcW w:w="1560" w:type="dxa"/>
          </w:tcPr>
          <w:p w14:paraId="45721B5F" w14:textId="77777777" w:rsidR="00B02873" w:rsidRDefault="00B02873" w:rsidP="00B23E1C">
            <w:pPr>
              <w:pStyle w:val="TablebodyleftTables"/>
              <w:jc w:val="right"/>
            </w:pPr>
            <w:r>
              <w:t>31</w:t>
            </w:r>
          </w:p>
        </w:tc>
        <w:tc>
          <w:tcPr>
            <w:tcW w:w="1560" w:type="dxa"/>
          </w:tcPr>
          <w:p w14:paraId="4590D611" w14:textId="77777777" w:rsidR="00B02873" w:rsidRDefault="00B02873" w:rsidP="00B23E1C">
            <w:pPr>
              <w:pStyle w:val="TablebodyleftTables"/>
              <w:jc w:val="right"/>
            </w:pPr>
            <w:r>
              <w:t>9</w:t>
            </w:r>
          </w:p>
        </w:tc>
        <w:tc>
          <w:tcPr>
            <w:tcW w:w="1560" w:type="dxa"/>
          </w:tcPr>
          <w:p w14:paraId="607119BF" w14:textId="77777777" w:rsidR="00B02873" w:rsidRDefault="00B02873" w:rsidP="00B23E1C">
            <w:pPr>
              <w:pStyle w:val="TablebodyleftTables"/>
              <w:jc w:val="right"/>
            </w:pPr>
            <w:r>
              <w:t>16</w:t>
            </w:r>
          </w:p>
        </w:tc>
        <w:tc>
          <w:tcPr>
            <w:tcW w:w="1560" w:type="dxa"/>
          </w:tcPr>
          <w:p w14:paraId="6DF5B0D7" w14:textId="77777777" w:rsidR="00B02873" w:rsidRDefault="00B02873" w:rsidP="00B23E1C">
            <w:pPr>
              <w:pStyle w:val="TablebodyleftTables"/>
              <w:jc w:val="right"/>
            </w:pPr>
            <w:r>
              <w:t>89</w:t>
            </w:r>
          </w:p>
        </w:tc>
      </w:tr>
    </w:tbl>
    <w:p w14:paraId="37FB23E6" w14:textId="409A41EC" w:rsidR="00B02873" w:rsidRDefault="00B02873" w:rsidP="00FE198A"/>
    <w:p w14:paraId="389D1069" w14:textId="77777777" w:rsidR="00B02873" w:rsidRPr="00DE1FCE" w:rsidRDefault="00B02873" w:rsidP="00FE198A">
      <w:pPr>
        <w:rPr>
          <w:rStyle w:val="LightItalic"/>
          <w:rFonts w:asciiTheme="minorHAnsi" w:hAnsiTheme="minorHAnsi" w:cstheme="minorHAnsi"/>
          <w:i w:val="0"/>
          <w:iCs w:val="0"/>
        </w:rPr>
      </w:pPr>
      <w:r>
        <w:t>The In addition to hosting seven Barring Djinang CareerTrackers Aboriginal Interns over the summer of 2021-22, DELWP created additional opportunities for interns from diverse backgrounds, partnering with The Australian Network on Disability and CareerSeekers Refugee and Asylum Seeker candidates</w:t>
      </w:r>
      <w:r w:rsidRPr="00DE1FCE">
        <w:rPr>
          <w:rStyle w:val="LightItalic"/>
          <w:rFonts w:asciiTheme="minorHAnsi" w:hAnsiTheme="minorHAnsi" w:cstheme="minorHAnsi"/>
          <w:i w:val="0"/>
          <w:iCs w:val="0"/>
        </w:rPr>
        <w:t xml:space="preserve">. </w:t>
      </w:r>
    </w:p>
    <w:p w14:paraId="7C8B6E86" w14:textId="77777777" w:rsidR="00B02873" w:rsidRDefault="00B02873" w:rsidP="00561B32">
      <w:pPr>
        <w:pStyle w:val="Heading3"/>
      </w:pPr>
      <w:r>
        <w:t>Youth Employment Program – Opportunities for Diverse Young People</w:t>
      </w:r>
    </w:p>
    <w:p w14:paraId="0C1BF77B" w14:textId="77777777" w:rsidR="00B02873" w:rsidRDefault="00B02873" w:rsidP="00FE198A">
      <w:r>
        <w:t xml:space="preserve">In partnership with the Department of Jobs, Precincts and Regions, the Working for Victoria Fund Youth Employment Program (YEP) provided opportunities for 89 young unemployed or underemployed job seekers looking to gain industry experience within government. Of the 89 YEP employees, there was a strong representation of participants from diverse backgrounds, a key focus for the department. </w:t>
      </w:r>
    </w:p>
    <w:p w14:paraId="27F1D345" w14:textId="77777777" w:rsidR="00B02873" w:rsidRDefault="00B02873" w:rsidP="00561B32">
      <w:pPr>
        <w:pStyle w:val="Heading3"/>
      </w:pPr>
      <w:r>
        <w:t>Safe and Respectful Workplaces Program</w:t>
      </w:r>
    </w:p>
    <w:p w14:paraId="0342D0A4" w14:textId="77777777" w:rsidR="00B02873" w:rsidRDefault="00B02873" w:rsidP="00FE198A">
      <w:r>
        <w:t xml:space="preserve">DELWP’s safety and wellbeing programs, and our diversity and inclusion programs, are designed to be mutually reinforcing – in recognition that a safe workplace is more inclusive, and an inclusive workplace is safer. Therefore, creating an environment of safety, inclusion and respect is at the forefront of DELWP’s aspirations, and our Safe and Respectful Workplaces program is a priority vehicle for working towards these aspirations. </w:t>
      </w:r>
    </w:p>
    <w:p w14:paraId="354ADD80" w14:textId="77777777" w:rsidR="00B02873" w:rsidRDefault="00B02873" w:rsidP="00FE198A">
      <w:r>
        <w:t xml:space="preserve">In April 2022, a new Safe and Respectful Workplace Behaviours Policy and Safe and Respectful Response Procedure were released in a format under one Framework, the Safe and Respectful Workplaces framework, which brings together a range of strategies to better prevent and respond to reports of sexual harassment and other harmful behaviours. </w:t>
      </w:r>
    </w:p>
    <w:p w14:paraId="14203AA4" w14:textId="78DFCEBA" w:rsidR="00B02873" w:rsidRDefault="00B02873" w:rsidP="00FE198A">
      <w:r>
        <w:t xml:space="preserve">DELWP’s new approach reflects leading practice; it is person-centred and trauma informed. It establishes multiple and improved reporting pathways and support avenues available to all parties, removing the distinction between formal and informal reporting, to encourage an even stronger reporting culture. </w:t>
      </w:r>
    </w:p>
    <w:p w14:paraId="33766678" w14:textId="77777777" w:rsidR="00B02873" w:rsidRDefault="00B02873" w:rsidP="00FE198A">
      <w:r>
        <w:lastRenderedPageBreak/>
        <w:t>First responder training to support the new policy and procedure has been delivered to key departmental staff and field-based leaders in locations and work environments that present a heightened risk of negative behaviours. As at 30 June 2022, 20 DELWP staff from across the state are trained as First Responders under the new Framework.</w:t>
      </w:r>
    </w:p>
    <w:p w14:paraId="6045C89B" w14:textId="77777777" w:rsidR="00B02873" w:rsidRDefault="00B02873" w:rsidP="00FE198A">
      <w:r>
        <w:t>To build leadership capability, 500 people leaders attended Safe and Respectful Workplaces First Responder webinar sessions in June 2022 to understand their role in effectively supporting their teams within the new Framework. An additional 188 people leaders were trained in July 2022.</w:t>
      </w:r>
    </w:p>
    <w:p w14:paraId="702DD94B" w14:textId="77777777" w:rsidR="00B02873" w:rsidRDefault="00B02873" w:rsidP="00FE198A">
      <w:r>
        <w:t xml:space="preserve">DELWP is also updating its Safe and Respectful Workplaces prevention focused learning and development programs to provide a more tailored and flexible set of learning interventions. During 2021-22, 36 workshops with 329 participants were delivered. </w:t>
      </w:r>
    </w:p>
    <w:p w14:paraId="29F5FD2C" w14:textId="3D0AA729" w:rsidR="00B02873" w:rsidRDefault="00B02873" w:rsidP="00FE198A">
      <w:pPr>
        <w:pStyle w:val="Heading1"/>
      </w:pPr>
      <w:bookmarkStart w:id="21" w:name="_Toc117447360"/>
      <w:r>
        <w:t>Climate-related risk disclosure statement</w:t>
      </w:r>
      <w:bookmarkEnd w:id="21"/>
    </w:p>
    <w:p w14:paraId="5CFE3C40" w14:textId="77777777" w:rsidR="00B02873" w:rsidRDefault="00B02873" w:rsidP="00714C9E">
      <w:pPr>
        <w:pStyle w:val="Boldheader"/>
      </w:pPr>
      <w:r>
        <w:t xml:space="preserve">About this statement </w:t>
      </w:r>
    </w:p>
    <w:p w14:paraId="205A5717" w14:textId="77777777" w:rsidR="00B02873" w:rsidRDefault="00B02873" w:rsidP="00FE198A">
      <w:r>
        <w:t>This statement summarises DELWP’s response to climate-related risks and opportunities across its operations. It is the department’s second climate-related disclosure. The statement highlights key developments in DELWP’s approach to addressing climate-related risk through the 2021-22 period. This includes new strategies, plans, investments and reforms which contribute towards managing climate-related risks for DELWP such as Adaptation Action Plans, the Traditional Owner Cultural Landscapes Strategy, the Marine and Coastal Strategy and Heritage Victoria’s Emergency and Bushfire Recovery Program. The statement also describes progress on existing commitments such as the introduction of Zero Emissions Vehicles and the publication of guidance for Board members of public entities on climate risk.</w:t>
      </w:r>
    </w:p>
    <w:p w14:paraId="44CBE027" w14:textId="77777777" w:rsidR="00B02873" w:rsidRDefault="00B02873" w:rsidP="00FE198A">
      <w:r>
        <w:t>The statement is informed by the recommendations of Task Force on Climate-related Financial Disclosures (TCFD). It addresses the TCFD themes of Governance, Strategy, Risk Management and Metrics and Targets. DELWP will continue to strengthen its approach to climate-related disclosure. Future statements will consider developments in international disclosure best practice, such as the International Sustainability Standards Board’s (ISSB) forthcoming global sustainability disclosure baseline.</w:t>
      </w:r>
    </w:p>
    <w:p w14:paraId="5C6306FE" w14:textId="77777777" w:rsidR="00B02873" w:rsidRDefault="00B02873" w:rsidP="00714C9E">
      <w:pPr>
        <w:pStyle w:val="Normalbeforebullet"/>
      </w:pPr>
      <w:r>
        <w:t>Through this statement, the department aims to:</w:t>
      </w:r>
    </w:p>
    <w:p w14:paraId="5E101B68" w14:textId="77777777" w:rsidR="00B02873" w:rsidRDefault="00B02873" w:rsidP="00B02873">
      <w:pPr>
        <w:pStyle w:val="Bullet1Lists"/>
      </w:pPr>
      <w:r>
        <w:t xml:space="preserve">communicate DELWP’s actions to understand and manage the impact of climate change on its assets, infrastructure and natural resources </w:t>
      </w:r>
    </w:p>
    <w:p w14:paraId="2AF85C85" w14:textId="77777777" w:rsidR="00B02873" w:rsidRDefault="00B02873" w:rsidP="00B02873">
      <w:pPr>
        <w:pStyle w:val="Bullet1Lists"/>
      </w:pPr>
      <w:r>
        <w:t>demonstrate that DELWP’s environmental impacts are responsibly managed and mitigated</w:t>
      </w:r>
    </w:p>
    <w:p w14:paraId="150217D6" w14:textId="77777777" w:rsidR="00B02873" w:rsidRDefault="00B02873" w:rsidP="00B02873">
      <w:pPr>
        <w:pStyle w:val="Bullet1Lists"/>
      </w:pPr>
      <w:r>
        <w:t>demonstrate the priority that DELWP places on community safety and emergency services; and</w:t>
      </w:r>
    </w:p>
    <w:p w14:paraId="0C592517" w14:textId="77777777" w:rsidR="00B02873" w:rsidRDefault="00B02873" w:rsidP="00714C9E">
      <w:pPr>
        <w:pStyle w:val="Bullet1Listslast"/>
      </w:pPr>
      <w:r>
        <w:t>support the efficient allocation of resources for the transition to a zero emissions, climate-ready economy and community.</w:t>
      </w:r>
    </w:p>
    <w:p w14:paraId="52F0AD9C" w14:textId="15F878A5" w:rsidR="00B02873" w:rsidRDefault="00B02873" w:rsidP="00714C9E">
      <w:pPr>
        <w:pStyle w:val="Boldheader"/>
      </w:pPr>
      <w:r>
        <w:t xml:space="preserve">Climate change impacts on Victoria now and into the future </w:t>
      </w:r>
    </w:p>
    <w:p w14:paraId="764113BC" w14:textId="5B352595" w:rsidR="00B02873" w:rsidRDefault="00B02873" w:rsidP="00FE198A">
      <w:r>
        <w:t xml:space="preserve">The latest </w:t>
      </w:r>
      <w:hyperlink r:id="rId52" w:history="1">
        <w:r w:rsidRPr="00C557DA">
          <w:rPr>
            <w:rStyle w:val="Hyperlink"/>
          </w:rPr>
          <w:t>Intergovernmental Panel on Climate Change report</w:t>
        </w:r>
        <w:r>
          <w:t xml:space="preserve"> confirms that climate change is making many extreme weather events around the world worse, including flooding, heatwaves, droughts and catastrophic bushfires</w:t>
        </w:r>
      </w:hyperlink>
      <w:r>
        <w:t xml:space="preserve">. In Victoria the climate has warmed by 1.2°C since records began, becoming hotter and drier with an increase in spring fire danger. These trends are projected to continue in the future, likely resulting in more frequent and intense heatwaves, extreme fire conditions, intense rainfall events, storm surges and coastal erosion. </w:t>
      </w:r>
    </w:p>
    <w:p w14:paraId="399EF9E0" w14:textId="78391B5E" w:rsidR="00B02873" w:rsidRDefault="00B02873" w:rsidP="00714C9E">
      <w:pPr>
        <w:pStyle w:val="Boldheader"/>
      </w:pPr>
      <w:r>
        <w:lastRenderedPageBreak/>
        <w:t>Leading Victorian Government action on climate change</w:t>
      </w:r>
    </w:p>
    <w:p w14:paraId="22E4D37A" w14:textId="77777777" w:rsidR="00B02873" w:rsidRDefault="00B02873" w:rsidP="00FE198A">
      <w:r>
        <w:t xml:space="preserve">The Victorian Government is taking strong and lasting action to address climate change and its impacts. Through the </w:t>
      </w:r>
      <w:r w:rsidRPr="00714C9E">
        <w:rPr>
          <w:rStyle w:val="LightItalic"/>
          <w:rFonts w:asciiTheme="minorHAnsi" w:hAnsiTheme="minorHAnsi" w:cstheme="minorHAnsi"/>
        </w:rPr>
        <w:t>Climate Change Act 2017</w:t>
      </w:r>
      <w:r>
        <w:t>, Victoria has legislated a long-term target of net zero emissions by 2050, consistent with the Paris Agreement ambition to limit the increase in global average temperatures to well below 2 degrees Celsius above pre-industrial levels, and to pursue efforts to limit the temperature increase to 1.5 degrees Celsius.</w:t>
      </w:r>
    </w:p>
    <w:p w14:paraId="3F91C5A3" w14:textId="77777777" w:rsidR="00B02873" w:rsidRDefault="00B02873" w:rsidP="00FE198A">
      <w:r>
        <w:t>DELWP leads the Victorian Government response to climate change, overseeing legislative, regulatory and governance arrangements in the environment portfolio, and using economic, research and scientific expertise to develop policy responses to harness Victoria’s climate-related opportunities.</w:t>
      </w:r>
    </w:p>
    <w:p w14:paraId="5657E1A5" w14:textId="77777777" w:rsidR="00B02873" w:rsidRDefault="002F4F06" w:rsidP="00FE198A">
      <w:hyperlink r:id="rId53" w:history="1">
        <w:r w:rsidR="00B02873" w:rsidRPr="00C557DA">
          <w:rPr>
            <w:rStyle w:val="Hyperlink"/>
          </w:rPr>
          <w:t>Victoria’s Climate Change Strategy</w:t>
        </w:r>
      </w:hyperlink>
      <w:r w:rsidR="00B02873">
        <w:t xml:space="preserve"> sets out the Government’s interim emissions reduction targets for 2025 (28-33 per cent below 2005 levels) and 2030 (45-50 per cent below 2005 levels) and brings together actions to achieve those targets from the first set of five-yearly emissions reduction pledges, as required under the </w:t>
      </w:r>
      <w:r w:rsidR="00B02873" w:rsidRPr="00714C9E">
        <w:rPr>
          <w:rStyle w:val="LightItalic"/>
          <w:rFonts w:asciiTheme="minorHAnsi" w:hAnsiTheme="minorHAnsi" w:cstheme="minorHAnsi"/>
        </w:rPr>
        <w:t>Climate Change Act 2017</w:t>
      </w:r>
      <w:r w:rsidR="00B02873">
        <w:t>. The Strategy will keep Victoria on track to meet its long-term target for net zero emissions, while also seizing the opportunities of climate action through advancing clean and innovative technologies, investing in new industries and creating Victorian jobs and cost savings.</w:t>
      </w:r>
    </w:p>
    <w:p w14:paraId="04785235" w14:textId="77777777" w:rsidR="00B02873" w:rsidRDefault="00B02873" w:rsidP="00FE198A">
      <w:r>
        <w:t>Released on 9 February 2022, the Victorian Government’s Adaptation Action Plans are a major step forward in ensuring Victoria is ready to respond to the risks and opportunities of a changing climate. The actions set out in the plans will help meet the Victorian Government’s five-year adaptation priorities in Victoria’s Climate Change Strategy. They address the current impacts of climate change, reduce the barriers to adaptation, and lay the foundations for transformational adaptation to ensure preparedness for future climate scenarios.</w:t>
      </w:r>
    </w:p>
    <w:p w14:paraId="16F677E0" w14:textId="77777777" w:rsidR="00B02873" w:rsidRDefault="00B02873" w:rsidP="00FE198A">
      <w:r>
        <w:t xml:space="preserve">The </w:t>
      </w:r>
      <w:r w:rsidRPr="00714C9E">
        <w:rPr>
          <w:rStyle w:val="LightItalic"/>
          <w:rFonts w:asciiTheme="minorHAnsi" w:hAnsiTheme="minorHAnsi" w:cstheme="minorHAnsi"/>
        </w:rPr>
        <w:t>Climate Change Act 2017</w:t>
      </w:r>
      <w:r>
        <w:t xml:space="preserve"> requires the Victorian Government to make a whole of government emissions reduction pledge every five years alongside emissions reduction pledges for key economic sectors. The first Whole of Victorian Government pledge sets out commitments to reduce emissions across the Victorian public sector by purchasing renewable electricity, investing in the environmentally sustainable design and energy performance of government buildings and infrastructure, and starting to transition its fleet to zero emissions vehicles (ZEV’s). The key action for all government operations to be powered by 100 per cent renewable electricity by 2025 is expected to reduce annual government emissions by an estimated 2.7 million tonnes of carbon dioxide equivalent (Mt CO</w:t>
      </w:r>
      <w:r w:rsidRPr="00A93AE6">
        <w:rPr>
          <w:vertAlign w:val="subscript"/>
        </w:rPr>
        <w:t>2</w:t>
      </w:r>
      <w:r>
        <w:t>-e) compared to 2018-19 levels.</w:t>
      </w:r>
    </w:p>
    <w:p w14:paraId="08617DD5" w14:textId="77777777" w:rsidR="00B02873" w:rsidRDefault="00B02873" w:rsidP="00714C9E">
      <w:pPr>
        <w:pStyle w:val="Boldheader"/>
      </w:pPr>
      <w:r>
        <w:t>Committed to addressing climate change across DELWP</w:t>
      </w:r>
    </w:p>
    <w:p w14:paraId="1F25035C" w14:textId="77777777" w:rsidR="00B02873" w:rsidRDefault="00B02873" w:rsidP="00FE198A">
      <w:r>
        <w:t xml:space="preserve">DELWP is committed to playing its part in Victoria’s transition to net zero emissions and a climate resilient state. DELWP’s actions are guided by Victoria’s Climate Change Strategy and interim emissions reduction targets. DELWP has set an ambitious target to reduce reported emissions from its operations to net zero by 2025 and to build resilience to climate change impacts across its services and activities. </w:t>
      </w:r>
    </w:p>
    <w:p w14:paraId="69FEB5FD" w14:textId="77777777" w:rsidR="00B02873" w:rsidRDefault="00B02873" w:rsidP="00FE198A">
      <w:r>
        <w:t xml:space="preserve">Recent extreme weather events demonstrate the importance of addressing climate change risk across DELWP’s operations. The 2021 June and October storms and floods impacted approximately 3.3 million hectares across Victoria, including 1.97 million hectares of public land managed by DELWP and its portfolio agencies. Over 7,000 kilometres of park and forest roads, almost 200 recreation sites and more than 300 walking tracks were affected. With climate change driving more frequent, intense and longer-lasting extreme weather around the world, DELWP is continuing to assist and support Victorian communities who are still recovering from recent local events and is adjusting its approach so that recovery builds resilience to future events. </w:t>
      </w:r>
    </w:p>
    <w:p w14:paraId="6B989562" w14:textId="77777777" w:rsidR="00B02873" w:rsidRDefault="00B02873" w:rsidP="00066FED">
      <w:pPr>
        <w:pStyle w:val="Heading2Headings"/>
      </w:pPr>
      <w:r>
        <w:lastRenderedPageBreak/>
        <w:t>Climate-related risk governance</w:t>
      </w:r>
    </w:p>
    <w:p w14:paraId="57A7AEB6" w14:textId="77777777" w:rsidR="00B02873" w:rsidRDefault="00B02873" w:rsidP="00714C9E">
      <w:pPr>
        <w:pStyle w:val="Normalbeforebullet"/>
      </w:pPr>
      <w:r>
        <w:t>The DELWP Executive Board leads the department’s risk management framework and is the collective owner of DELWP’s strategic risks. The Board actively manages multiple climate-related physical and transition strategic risks including:</w:t>
      </w:r>
    </w:p>
    <w:p w14:paraId="56E65B5A" w14:textId="5E904DA1" w:rsidR="00B02873" w:rsidRDefault="00B02873" w:rsidP="00B02873">
      <w:pPr>
        <w:pStyle w:val="Bullet1Lists"/>
      </w:pPr>
      <w:r>
        <w:t>energy security, availability, affordability and safety</w:t>
      </w:r>
    </w:p>
    <w:p w14:paraId="5E4B605D" w14:textId="77777777" w:rsidR="00B02873" w:rsidRDefault="00B02873" w:rsidP="00B02873">
      <w:pPr>
        <w:pStyle w:val="Bullet1Lists"/>
      </w:pPr>
      <w:r>
        <w:t>emergency management</w:t>
      </w:r>
    </w:p>
    <w:p w14:paraId="0CBCB35E" w14:textId="77777777" w:rsidR="00B02873" w:rsidRDefault="00B02873" w:rsidP="00B02873">
      <w:pPr>
        <w:pStyle w:val="Bullet1Lists"/>
      </w:pPr>
      <w:r>
        <w:t>water security; and</w:t>
      </w:r>
    </w:p>
    <w:p w14:paraId="3E39DFFC" w14:textId="77777777" w:rsidR="00B02873" w:rsidRDefault="00B02873" w:rsidP="00714C9E">
      <w:pPr>
        <w:pStyle w:val="Bullet1Listslast"/>
      </w:pPr>
      <w:r>
        <w:t xml:space="preserve">providing effective leadership to the Victorian community to enable the transition to a climate resilient and net zero emissions economy. </w:t>
      </w:r>
    </w:p>
    <w:p w14:paraId="32E8E23D" w14:textId="77777777" w:rsidR="00714C9E" w:rsidRDefault="00B02873" w:rsidP="00FE198A">
      <w:r>
        <w:t>The Board monitors risk mitigation activities through quarterly executive risk management reporting, which includes updates of mitigation activities and briefings on strategic risk assessment workshops. The Board is supported in managing and monitoring climate-related risks by stewardship committees and assurance committees, as outlined in the About DELWP section of this Annual Report, drawing on expertise from across the department’s executive leadership team as required.</w:t>
      </w:r>
    </w:p>
    <w:p w14:paraId="4D52A149" w14:textId="3ACDB10B" w:rsidR="00B02873" w:rsidRDefault="00B02873" w:rsidP="00FE198A">
      <w:r>
        <w:t>In particular, the Board is supported by the Policy and Legislation Stewardship Committee, which leads and oversees DELWP’s policy and legislative reform agenda on behalf of the Secretary and the Board, and advises on its oversight, direction, monitoring and review for the Victorian Government.</w:t>
      </w:r>
    </w:p>
    <w:p w14:paraId="76024615" w14:textId="77777777" w:rsidR="00B02873" w:rsidRDefault="00B02873" w:rsidP="00FE198A">
      <w:r>
        <w:t>The DELWP Risk and Audit Committee provides independent assurance to the Secretary that the department’s risk and control environment is operating effectively and efficiently. This committee actively monitors the department’s risk profile, including climate-related risks, and assesses the risk management strategies adopted. The internal audit program provides further assurance through the assessment of key controls mitigating strategic risks.</w:t>
      </w:r>
    </w:p>
    <w:p w14:paraId="5047884B" w14:textId="77777777" w:rsidR="00B02873" w:rsidRDefault="00B02873" w:rsidP="00FE198A">
      <w:r>
        <w:rPr>
          <w:spacing w:val="-2"/>
        </w:rPr>
        <w:t xml:space="preserve">DELWP is supporting its portfolio entities to improve climate risk governance. In 2021-22, DELWP developed whole-of-Victorian Government guidance for Board members of public entities on directors’ duties under the </w:t>
      </w:r>
      <w:r w:rsidRPr="00714C9E">
        <w:rPr>
          <w:rStyle w:val="LightItalic"/>
          <w:rFonts w:asciiTheme="minorHAnsi" w:hAnsiTheme="minorHAnsi" w:cstheme="minorHAnsi"/>
          <w:spacing w:val="-2"/>
        </w:rPr>
        <w:t>Public Administration Act 2004</w:t>
      </w:r>
      <w:r>
        <w:rPr>
          <w:spacing w:val="-2"/>
        </w:rPr>
        <w:t xml:space="preserve"> and how these extend to managing climate risk. This guidance was published to the </w:t>
      </w:r>
      <w:hyperlink r:id="rId54" w:history="1">
        <w:r w:rsidRPr="00C557DA">
          <w:rPr>
            <w:rStyle w:val="Hyperlink"/>
          </w:rPr>
          <w:t>Victorian Government boards website</w:t>
        </w:r>
      </w:hyperlink>
      <w:r>
        <w:rPr>
          <w:spacing w:val="-2"/>
        </w:rPr>
        <w:t xml:space="preserve"> in August 2022. DELWP has also developed director development materials on climate risk for portfolio entity Board member </w:t>
      </w:r>
      <w:r>
        <w:t xml:space="preserve">training. </w:t>
      </w:r>
    </w:p>
    <w:p w14:paraId="6344780A" w14:textId="77777777" w:rsidR="00B02873" w:rsidRDefault="00B02873" w:rsidP="00066FED">
      <w:pPr>
        <w:pStyle w:val="Heading2Headings"/>
      </w:pPr>
      <w:r>
        <w:t>Climate-related risk strategy</w:t>
      </w:r>
    </w:p>
    <w:p w14:paraId="54BE0CD2" w14:textId="7104A073" w:rsidR="00B02873" w:rsidRDefault="00B02873" w:rsidP="00FE198A">
      <w:r>
        <w:t>Climate change has a direct impact on the services and programs that the department delivers on behalf of the Victorian Government and requires sustained action to manage the risks, maximise opportunities and build resilience. Integral to this, is strengthening the ability of DELWP assets and operations to withstand, respond to and recover from extreme weather events.</w:t>
      </w:r>
    </w:p>
    <w:p w14:paraId="19FEB16D" w14:textId="77777777" w:rsidR="00B02873" w:rsidRDefault="00B02873" w:rsidP="00FE198A">
      <w:r>
        <w:t>The economic and social transition to a net zero emissions and climate resilient future may entail policy, legal, technological and market changes that impact DELWP’s operations. These transition risks and opportunities are being monitored by DELWP and reflected in DELWP’s planning.</w:t>
      </w:r>
    </w:p>
    <w:p w14:paraId="5AE973F8" w14:textId="77777777" w:rsidR="00B02873" w:rsidRDefault="00B02873" w:rsidP="00714C9E">
      <w:pPr>
        <w:pStyle w:val="Heading3"/>
      </w:pPr>
      <w:r>
        <w:t>Climate change is embedded in DELWP organisational planning</w:t>
      </w:r>
    </w:p>
    <w:p w14:paraId="4912D4F9" w14:textId="77777777" w:rsidR="00B02873" w:rsidRDefault="00B02873" w:rsidP="00FE198A">
      <w:r>
        <w:t>Climate change is one of four cross-cutting themes in the DELWP Corporate Plan. This shows how all groups within DELWP support the Government to deliver a net zero emissions, climate resilient Victoria.</w:t>
      </w:r>
    </w:p>
    <w:p w14:paraId="7281332A" w14:textId="77777777" w:rsidR="00B02873" w:rsidRDefault="00B02873" w:rsidP="00714C9E">
      <w:pPr>
        <w:pStyle w:val="Heading3"/>
      </w:pPr>
      <w:r>
        <w:lastRenderedPageBreak/>
        <w:t>Science informs DELWP’s understanding and response to climate-related risk</w:t>
      </w:r>
    </w:p>
    <w:p w14:paraId="6194C2E0" w14:textId="77777777" w:rsidR="00B02873" w:rsidRDefault="00B02873" w:rsidP="00FE198A">
      <w:r>
        <w:t>DELWP leverages the latest national and international climate change science knowledge to develop its response to climate-related risk. The Victorian Government’s ongoing investment in climate science has delivered projections of what Victoria’s future climate may look like at a statewide scale and for 10 regions. These projections inform planning and projects across the department.</w:t>
      </w:r>
    </w:p>
    <w:p w14:paraId="2304E584" w14:textId="5E4FBA03" w:rsidR="00B02873" w:rsidRDefault="00B02873" w:rsidP="00FE198A">
      <w:r>
        <w:t xml:space="preserve">Following release of </w:t>
      </w:r>
      <w:hyperlink r:id="rId55" w:history="1">
        <w:r w:rsidRPr="00C557DA">
          <w:rPr>
            <w:rStyle w:val="Hyperlink"/>
          </w:rPr>
          <w:t>Victoria’s Future Climate Tool</w:t>
        </w:r>
      </w:hyperlink>
      <w:r>
        <w:t xml:space="preserve"> in 2021, DELWP delivered ‘climate clinics’ to support teams and individuals within DELWP, and across Victorian Government departments and agencies, to interpret future climate information and apply the tool to inform risk assessments and adaptation decisions. In 2021-22, more than 20 sessions were conducted and over 350 participants were introduced to the tool.</w:t>
      </w:r>
      <w:r w:rsidR="00012C04">
        <w:t xml:space="preserve"> </w:t>
      </w:r>
    </w:p>
    <w:p w14:paraId="0DE5C023" w14:textId="77777777" w:rsidR="00B02873" w:rsidRDefault="00B02873" w:rsidP="00714C9E">
      <w:pPr>
        <w:pStyle w:val="Heading3"/>
      </w:pPr>
      <w:r>
        <w:t>Prioritising Traditional Owner expertise</w:t>
      </w:r>
    </w:p>
    <w:p w14:paraId="4208C79F" w14:textId="77777777" w:rsidR="00B02873" w:rsidRDefault="00B02873" w:rsidP="00FE198A">
      <w:r>
        <w:t xml:space="preserve">DELWP recognises the intrinsic connection of Traditional Owners to Country and the value of their unique knowledge and expertise in the development of climate change responses. </w:t>
      </w:r>
      <w:hyperlink r:id="rId56" w:history="1">
        <w:r w:rsidRPr="00714C9E">
          <w:rPr>
            <w:rStyle w:val="LightItalic"/>
            <w:rFonts w:asciiTheme="minorHAnsi" w:hAnsiTheme="minorHAnsi" w:cstheme="minorHAnsi"/>
          </w:rPr>
          <w:t>Pupangarli Marnmarnepu ‘Owning Our Future’ – Aboriginal Self-Determination Reform Strategy 2020-2025</w:t>
        </w:r>
      </w:hyperlink>
      <w:r w:rsidRPr="00714C9E">
        <w:rPr>
          <w:rFonts w:asciiTheme="minorHAnsi" w:hAnsiTheme="minorHAnsi" w:cstheme="minorHAnsi"/>
        </w:rPr>
        <w:t xml:space="preserve"> i</w:t>
      </w:r>
      <w:r>
        <w:t xml:space="preserve">s DELWP’s five-year roadmap that enables self-determination by honouring the rights and dignity of Traditional Owners and Aboriginal Victorians. </w:t>
      </w:r>
      <w:r w:rsidRPr="00714C9E">
        <w:rPr>
          <w:rStyle w:val="LightItalic"/>
          <w:rFonts w:asciiTheme="minorHAnsi" w:hAnsiTheme="minorHAnsi" w:cstheme="minorHAnsi"/>
        </w:rPr>
        <w:t>Pupangarli Marnmarnepu</w:t>
      </w:r>
      <w:r>
        <w:t xml:space="preserve"> requires DELWP to work in partnership with Traditional Owners to progress self-determination, including by valuing Traditional Owner expertise in climate change programs, increasing the number of Traditional Owner groups involved in climate change planning and response, and recognising and implementing the decisions that Traditional Owners make over cultural fire practices and traditional lands, waters and resources. </w:t>
      </w:r>
    </w:p>
    <w:p w14:paraId="65DEEE7C" w14:textId="77777777" w:rsidR="00B02873" w:rsidRDefault="00B02873" w:rsidP="00FE198A">
      <w:r>
        <w:t xml:space="preserve">DELWP’s land management approach in the context of climate change is informed by Traditional Owner voices, articulated in the </w:t>
      </w:r>
      <w:hyperlink r:id="rId57" w:history="1">
        <w:r w:rsidRPr="00C557DA">
          <w:rPr>
            <w:rStyle w:val="Hyperlink"/>
          </w:rPr>
          <w:t>Victorian Traditional Owner Cultural Landscapes Strategy</w:t>
        </w:r>
      </w:hyperlink>
      <w:r>
        <w:t xml:space="preserve">, launched in 2021, and the </w:t>
      </w:r>
      <w:hyperlink r:id="rId58" w:history="1">
        <w:r w:rsidRPr="00C557DA">
          <w:rPr>
            <w:rStyle w:val="Hyperlink"/>
          </w:rPr>
          <w:t>Victorian Traditional Owner Cultural Fire Strategy</w:t>
        </w:r>
      </w:hyperlink>
      <w:r>
        <w:t>.</w:t>
      </w:r>
    </w:p>
    <w:p w14:paraId="346FEF14" w14:textId="77777777" w:rsidR="00B02873" w:rsidRDefault="00B02873" w:rsidP="00FE198A">
      <w:r>
        <w:t xml:space="preserve">Both strategies provide direction to the Victorian Government and a strategic foundation for Traditional Owners to articulate an Indigenous management paradigm that is underpinned by cultural values, knowledge and expertise associated with their Country in Victoria and elevate Traditional Owners’ role in the policy, planning and management of Country. </w:t>
      </w:r>
    </w:p>
    <w:p w14:paraId="4533988C" w14:textId="77777777" w:rsidR="00B02873" w:rsidRDefault="00B02873" w:rsidP="00FE198A">
      <w:r>
        <w:t>They also provide a cultural strategic framework based on cultural objectives and possible actions which help Traditional Owners repatriate management practices and begin the complex task of restoring and redressing harms to Country and, in doing so, bring healing to Country and community. First Peoples stress that cultural knowledge and practice is for the purpose of achieving cultural objectives but will also support the management of risk reduction as a complementary outcome.</w:t>
      </w:r>
    </w:p>
    <w:p w14:paraId="67701B3B" w14:textId="77777777" w:rsidR="00B02873" w:rsidRDefault="00B02873" w:rsidP="00FE198A">
      <w:r>
        <w:t xml:space="preserve">In 2021-22, the Victorian Government provided $11 million to Traditional Owner Corporations to implement the Cultural Landscape Strategy on Country and a further $22.5 million over four years with $6.3 million ongoing, to reinvigorate Traditional Owner-led cultural land and fire management practices. </w:t>
      </w:r>
    </w:p>
    <w:p w14:paraId="52D1A79C" w14:textId="77777777" w:rsidR="00B02873" w:rsidRDefault="00B02873" w:rsidP="00FE198A">
      <w:r>
        <w:t xml:space="preserve">Released in 2022, the </w:t>
      </w:r>
      <w:hyperlink r:id="rId59" w:history="1">
        <w:r w:rsidRPr="00C557DA">
          <w:rPr>
            <w:rStyle w:val="Hyperlink"/>
          </w:rPr>
          <w:t>Yarra Strategic Plan, Burndap Birrarung burndap umarkoo</w:t>
        </w:r>
      </w:hyperlink>
      <w:r>
        <w:t xml:space="preserve"> seeks to protect the Yarra River corridor as one living and integrated entity for future generations from key threats, including climate change, while promoting opportunities for self-determination among the Birrarung’s Traditional Owners the Bunurong and Wurundjeri Woi-wurrung. Through the Birrarung Council – the independent voice of the river – and shared governance arrangements established by the </w:t>
      </w:r>
      <w:r w:rsidRPr="00714C9E">
        <w:rPr>
          <w:rStyle w:val="LightItalic"/>
          <w:rFonts w:asciiTheme="minorHAnsi" w:hAnsiTheme="minorHAnsi" w:cstheme="minorHAnsi"/>
        </w:rPr>
        <w:t>Wilip-gin Birrarung murron (Yarra River Protection Act) 2017</w:t>
      </w:r>
      <w:r>
        <w:t>, Traditional Owner voices will inform climate change responses implemented through Burndap Birrarung burndap umarkoo.</w:t>
      </w:r>
    </w:p>
    <w:p w14:paraId="5017EB34" w14:textId="77777777" w:rsidR="00B02873" w:rsidRDefault="00B02873" w:rsidP="00714C9E">
      <w:pPr>
        <w:pStyle w:val="Heading3"/>
      </w:pPr>
      <w:r>
        <w:lastRenderedPageBreak/>
        <w:t>Mitigating climate impacts from DELWP operations</w:t>
      </w:r>
    </w:p>
    <w:p w14:paraId="40A71A6F" w14:textId="77777777" w:rsidR="00B02873" w:rsidRDefault="00B02873" w:rsidP="00FE198A">
      <w:r>
        <w:t>DELWP is committed to mitigating its climate and broader environmental impacts. DELWP has set a target of net zero reported emissions by 2025 with measures to reduce greenhouse gas emissions across its operations.</w:t>
      </w:r>
    </w:p>
    <w:p w14:paraId="65ADE76B" w14:textId="77777777" w:rsidR="00B02873" w:rsidRDefault="00B02873" w:rsidP="00FE198A">
      <w:r>
        <w:t>DELWP has achieved 100 per cent renewable electricity since April 2021 and in advance of the whole of Victorian Government pledge commitment for 100 per cent renewable electricity for government operations by 2025. This has been accomplished by purchasing 100 per cent Green Power across all DELWP sites and by installing solar panels at select sites. 1,319 kW of photovoltaic (PV) solar panels have been installed at 27 sites reducing annual greenhouse gas emissions by an estimated 1,112 tonnes CO</w:t>
      </w:r>
      <w:r w:rsidRPr="00714C9E">
        <w:rPr>
          <w:vertAlign w:val="subscript"/>
        </w:rPr>
        <w:t>2</w:t>
      </w:r>
      <w:r>
        <w:t>-e, with an additional 429kW of PV solar panels to be installed before 2025. DELWP will continue to purchase Green Power to maintain net zero emissions for its electricity consumption.</w:t>
      </w:r>
    </w:p>
    <w:p w14:paraId="5B93DE91" w14:textId="77777777" w:rsidR="00B02873" w:rsidRDefault="00B02873" w:rsidP="00FE198A">
      <w:r>
        <w:t xml:space="preserve">Adding to commitments in the whole of Victorian Government pledge to introduce 400 Zero Emission Vehicles (ZEVs) into the government fleet by 2023, DELWP has established a policy of ZEVs first for its shared passenger vehicle fleet from 2021-22 onwards and is installing charging infrastructure at DELWP sites to support this policy. During 2021-22, DELWP introduced 14 ZEVs into its fleet. </w:t>
      </w:r>
    </w:p>
    <w:p w14:paraId="52CE53B1" w14:textId="77777777" w:rsidR="00B02873" w:rsidRDefault="00B02873" w:rsidP="00FE198A">
      <w:r>
        <w:t>More information on these and other measures is provided under ‘</w:t>
      </w:r>
      <w:r w:rsidRPr="00714C9E">
        <w:rPr>
          <w:rStyle w:val="LightItalic"/>
          <w:rFonts w:asciiTheme="minorHAnsi" w:hAnsiTheme="minorHAnsi" w:cstheme="minorHAnsi"/>
        </w:rPr>
        <w:t>Environmental Performance</w:t>
      </w:r>
      <w:r w:rsidRPr="00714C9E">
        <w:rPr>
          <w:rFonts w:asciiTheme="minorHAnsi" w:hAnsiTheme="minorHAnsi" w:cstheme="minorHAnsi"/>
        </w:rPr>
        <w:t>’</w:t>
      </w:r>
      <w:r>
        <w:t>.</w:t>
      </w:r>
    </w:p>
    <w:p w14:paraId="506D802C" w14:textId="77777777" w:rsidR="00B02873" w:rsidRDefault="00B02873" w:rsidP="00714C9E">
      <w:pPr>
        <w:pStyle w:val="Heading3"/>
      </w:pPr>
      <w:r>
        <w:t>Building resilience through advanced bushfire management and storm, flood and bushfire recovery</w:t>
      </w:r>
    </w:p>
    <w:p w14:paraId="13DAEDC8" w14:textId="77777777" w:rsidR="00B02873" w:rsidRDefault="00B02873" w:rsidP="00FE198A">
      <w:r>
        <w:t xml:space="preserve">In response to climate change, DELWP continues to expand and adapt its emergency management capability across preparedness, response and recovery. </w:t>
      </w:r>
    </w:p>
    <w:p w14:paraId="50E0C44F" w14:textId="77777777" w:rsidR="00B02873" w:rsidRDefault="00B02873" w:rsidP="00FE198A">
      <w:r>
        <w:t>Responding to recommendations from the Phase 1 inquiry into the 2019-20 bushfires by the Inspector-General for Emergency Management (IGEM), DELWP is expanding Victoria’s risk-based approach to fuel management. This includes strengthening bushfire risk modelling and evaluation, funding more mechanical fuel treatments and firefighters, preparing a long-term strategy to retain skilled forest-based contractors and working with Traditional Owners to lead cultural fire practices. These investments support the department to undertake bushfire management more efficiently and effectively in the context of a rapidly changing climate.</w:t>
      </w:r>
    </w:p>
    <w:p w14:paraId="59D7DC72" w14:textId="77777777" w:rsidR="00B02873" w:rsidRDefault="00B02873" w:rsidP="00FE198A">
      <w:r>
        <w:t>DELWP is integrating climate adaptation throughout recovery programs to increase the resilience of communities, the natural environment, built infrastructure and local economies to future, more frequent and severe, events. Throughout 2021-22, DELWP has delivered storm, flood and bushfire recovery activities across the state. Capital works delivered as part of recovery activities seek to build resilience to climate change. For example, new bridges and crossings are designed to withstand fire and 1 in 100-year floods using concrete and steel components. By integrating climate sensitive design into bridge and crossing infrastructure built since 2008, including approximately 40 new concrete bridges since 2018, the government has seen a return on investment in terms of insurability, with infrastructure experiencing substantially reduced damage as a result of extreme events, quicker return to service and reduced cost of reinstatement. For example, an East Gippsland bridge built in 2018 has proved resilient through several events including the 2019-20 bushfires and two floods in July 2020 and April 2022.</w:t>
      </w:r>
    </w:p>
    <w:p w14:paraId="4930E1C6" w14:textId="77777777" w:rsidR="00B02873" w:rsidRDefault="00B02873" w:rsidP="00714C9E">
      <w:pPr>
        <w:pStyle w:val="Heading3"/>
      </w:pPr>
      <w:r>
        <w:t>Strategically managing coastal hazards</w:t>
      </w:r>
    </w:p>
    <w:p w14:paraId="73523308" w14:textId="77777777" w:rsidR="00B02873" w:rsidRDefault="00B02873" w:rsidP="00FE198A">
      <w:r>
        <w:t xml:space="preserve">Victoria’s coast and marine areas including DELWP’s vast portfolio of natural and built coastal assets are increasingly susceptible to climate change impacts such as sea level rise and changes to long-term weather patterns. Many built coastal assets such as sea walls, groynes, piers and jetties are also losing integrity due to age. </w:t>
      </w:r>
    </w:p>
    <w:p w14:paraId="337CAC66" w14:textId="16D0A6CB" w:rsidR="00B02873" w:rsidRDefault="00B02873" w:rsidP="00FE198A">
      <w:r>
        <w:lastRenderedPageBreak/>
        <w:t xml:space="preserve">Following a consultation process in 2021, the </w:t>
      </w:r>
      <w:hyperlink r:id="rId60" w:history="1">
        <w:r w:rsidRPr="00C557DA">
          <w:rPr>
            <w:rStyle w:val="Hyperlink"/>
          </w:rPr>
          <w:t>Marine and Coastal Strategy</w:t>
        </w:r>
      </w:hyperlink>
      <w:r>
        <w:t xml:space="preserve"> was released in May 2022. The Strategy is the first of three five-year action plans to give effect to the </w:t>
      </w:r>
      <w:hyperlink r:id="rId61" w:history="1">
        <w:r w:rsidRPr="00C557DA">
          <w:rPr>
            <w:rStyle w:val="Hyperlink"/>
          </w:rPr>
          <w:t>Marine and Coastal Policy 2020</w:t>
        </w:r>
      </w:hyperlink>
      <w:r>
        <w:t>, and achieve the vision for a healthy, dynamic and biodiverse marine and coastal environment that is valued in its own right and benefits the Victorian community now and in the future. Adapting to climate change and strategically managing coastal assets are key priorities of the strategy.</w:t>
      </w:r>
      <w:r w:rsidR="00012C04">
        <w:t xml:space="preserve"> </w:t>
      </w:r>
    </w:p>
    <w:p w14:paraId="50EE8D82" w14:textId="77777777" w:rsidR="00B02873" w:rsidRDefault="00B02873" w:rsidP="00FE198A">
      <w:r>
        <w:t xml:space="preserve">Under the Strategy, DELWP has embedded climate change adaptation and mitigation into a long-term statewide asset management plan for coastal protection assets, both nature-based and built. The plan identifies priority assets for maintenance, replacement or adaptation and satisfies the requirements of the Victorian Asset Management Accountability Framework. The plan has modelled costs for managing these assets from 2022-2042, allowing for proactive investment into assets and reducing the frequency of fix-on-fail approaches and also aligns with the statewide approach to coastal hazard risk management and adaptation planning developed in 2021-22 by the </w:t>
      </w:r>
      <w:hyperlink r:id="rId62" w:history="1">
        <w:r w:rsidRPr="00C557DA">
          <w:rPr>
            <w:rStyle w:val="Hyperlink"/>
          </w:rPr>
          <w:t>Victoria’s Resilient Coast – Adapting to 2100+</w:t>
        </w:r>
      </w:hyperlink>
      <w:r>
        <w:t xml:space="preserve"> (VRC) project.</w:t>
      </w:r>
    </w:p>
    <w:p w14:paraId="6AB7A6DD" w14:textId="77777777" w:rsidR="00B02873" w:rsidRDefault="00B02873" w:rsidP="00FE198A">
      <w:r>
        <w:t xml:space="preserve">The Marine and Coastal Strategy will also see climate change adaptation embedded as a core component of planning and management in the marine and coastal environment using a range of statewide and local approaches. Statewide approaches include the VRC project, implementation of the Marine Spatial Planning Framework and updates to statewide land use planning tools and policies. Local approaches include the Regional and Strategic Partnerships, Coastal and Marine Management Plans, Environmental Management Plans, marine plans (where developed) and statutory planning mechanisms. </w:t>
      </w:r>
    </w:p>
    <w:p w14:paraId="2289690B" w14:textId="77777777" w:rsidR="00B02873" w:rsidRDefault="00B02873" w:rsidP="00FE198A">
      <w:r>
        <w:t xml:space="preserve">As an example, the Inverloch Regional and Strategic Partnership (RaSP), is bringing together Traditional Owners and nine agencies with responsibility for managing coastal land, assets and infrastructure in the region to proactively plan for future changes to the coastline around Inverloch, Venus Bay and Anderson Inlet via the </w:t>
      </w:r>
      <w:hyperlink r:id="rId63" w:history="1">
        <w:r w:rsidRPr="00C557DA">
          <w:rPr>
            <w:rStyle w:val="Hyperlink"/>
          </w:rPr>
          <w:t>Cape to Cape Resilience Project</w:t>
        </w:r>
      </w:hyperlink>
      <w:r>
        <w:t xml:space="preserve">. In 2021-22, the Cape to Cape Resilience Project delivered new research through a coastal hazard assessment and adaptation options modelling, a Cultural Values Assessment, a coastal risk and vulnerability assessment and adaptation framework. </w:t>
      </w:r>
    </w:p>
    <w:p w14:paraId="0C8F8F09" w14:textId="77777777" w:rsidR="00B02873" w:rsidRDefault="00B02873" w:rsidP="00714C9E">
      <w:pPr>
        <w:pStyle w:val="Heading3"/>
      </w:pPr>
      <w:r>
        <w:t>Managing the impact of climate change on our built environment</w:t>
      </w:r>
    </w:p>
    <w:p w14:paraId="7A6EFD0B" w14:textId="4FE66F18" w:rsidR="00B02873" w:rsidRDefault="00B02873" w:rsidP="00FE198A">
      <w:r>
        <w:t>Climate change is anticipated to increase management and maintenance costs for Victoria’s built environment, particularly in areas exposed to natural hazards and sea-level rise. In response, the planning system is undergoing reform to support planning practitioners and improve the long-term resilience of the built environment.</w:t>
      </w:r>
    </w:p>
    <w:p w14:paraId="0EEE98B8" w14:textId="77777777" w:rsidR="00B02873" w:rsidRDefault="00B02873" w:rsidP="00714C9E">
      <w:pPr>
        <w:pStyle w:val="Normalbeforebullet"/>
      </w:pPr>
      <w:r>
        <w:t xml:space="preserve">In 2021-22, reforms to the Victoria Planning Provisions (VPP) included: </w:t>
      </w:r>
    </w:p>
    <w:p w14:paraId="726578EC" w14:textId="77777777" w:rsidR="00B02873" w:rsidRDefault="00B02873" w:rsidP="00B02873">
      <w:pPr>
        <w:pStyle w:val="Bullet1Lists"/>
      </w:pPr>
      <w:r>
        <w:t>Amendment VC171, which strengthens coastal hazard planning and implements the Marine and Coastal Policy 2020, came into operation on 6 September 2021</w:t>
      </w:r>
    </w:p>
    <w:p w14:paraId="39DCEAC6" w14:textId="77777777" w:rsidR="00B02873" w:rsidRDefault="00B02873" w:rsidP="00714C9E">
      <w:pPr>
        <w:pStyle w:val="Bullet1Listslast"/>
      </w:pPr>
      <w:r>
        <w:t>Amendment VC216, which updates the Planning Policy Framework of the VPP to better support Environmentally Sustainable Development (ESD), came into effect on 10 June 2022. This amendment adds additional responses to ESD within relevant planning policy themes and incorporates consideration of climate change into the purpose of Victoria Planning Provisions and all planning schemes.</w:t>
      </w:r>
    </w:p>
    <w:p w14:paraId="6B277D47" w14:textId="77777777" w:rsidR="00B02873" w:rsidRDefault="00B02873" w:rsidP="00FE198A">
      <w:r>
        <w:t xml:space="preserve">The </w:t>
      </w:r>
      <w:hyperlink r:id="rId64" w:history="1">
        <w:r w:rsidRPr="00C557DA">
          <w:rPr>
            <w:rStyle w:val="Hyperlink"/>
          </w:rPr>
          <w:t>Built Environment Adaptation Action Plan</w:t>
        </w:r>
      </w:hyperlink>
      <w:r>
        <w:t xml:space="preserve"> outlines a five-year program of climate change adaptation responses across DELWP portfolio areas. The plan outlines a range of initiatives to update policies and standards and extend a range of programs to support the resilience of communities across the state.</w:t>
      </w:r>
    </w:p>
    <w:p w14:paraId="64FDF458" w14:textId="77777777" w:rsidR="00B02873" w:rsidRDefault="00B02873" w:rsidP="00FE198A">
      <w:r>
        <w:t xml:space="preserve">In 2022, DELWP also released the </w:t>
      </w:r>
      <w:hyperlink r:id="rId65" w:history="1">
        <w:r w:rsidRPr="00C557DA">
          <w:rPr>
            <w:rStyle w:val="Hyperlink"/>
          </w:rPr>
          <w:t>Guideline for effective stakeholder engagement: Planning for settlements exposed to natural hazard and climate change risks</w:t>
        </w:r>
      </w:hyperlink>
      <w:r>
        <w:t xml:space="preserve">. Developed for strategic land use planners, the guideline provides a resource for how to undertake and achieve effective </w:t>
      </w:r>
      <w:r>
        <w:lastRenderedPageBreak/>
        <w:t>engagement outcomes. Involving stakeholders in settlement planning will contribute to safer and more resilient communities, build technical understanding in identifying and mitigating risk and improve preparation and response to natural hazards.</w:t>
      </w:r>
    </w:p>
    <w:p w14:paraId="7D93AF01" w14:textId="77777777" w:rsidR="00B02873" w:rsidRDefault="00B02873" w:rsidP="00714C9E">
      <w:pPr>
        <w:pStyle w:val="Normalbeforebullet"/>
      </w:pPr>
      <w:r>
        <w:t>DELWP continues to support local governments in updating their planning schemes to reflect best available coastal hazard data. DELWP’s Coastal Planning Grants Program assists local government with the planning scheme implementation of:</w:t>
      </w:r>
    </w:p>
    <w:p w14:paraId="25ADADCE" w14:textId="77777777" w:rsidR="00B02873" w:rsidRDefault="00B02873" w:rsidP="00B02873">
      <w:pPr>
        <w:pStyle w:val="Bullet1Lists"/>
      </w:pPr>
      <w:r>
        <w:t>state-funded local coastal hazard assessments</w:t>
      </w:r>
    </w:p>
    <w:p w14:paraId="12F175CE" w14:textId="77777777" w:rsidR="00B02873" w:rsidRDefault="00B02873" w:rsidP="00B02873">
      <w:pPr>
        <w:pStyle w:val="Bullet1Lists"/>
      </w:pPr>
      <w:r>
        <w:t>the land use planning components of any coastal adaptation planning; or</w:t>
      </w:r>
    </w:p>
    <w:p w14:paraId="54411BA1" w14:textId="77777777" w:rsidR="00B02873" w:rsidRDefault="00B02873" w:rsidP="00714C9E">
      <w:pPr>
        <w:pStyle w:val="Bullet1Listslast"/>
      </w:pPr>
      <w:r>
        <w:t xml:space="preserve">hazard assessment and risk analysis undertaken by councils and supported by the state. </w:t>
      </w:r>
    </w:p>
    <w:p w14:paraId="60CDC761" w14:textId="77777777" w:rsidR="00B02873" w:rsidRDefault="00B02873" w:rsidP="00714C9E">
      <w:pPr>
        <w:pStyle w:val="Heading3"/>
      </w:pPr>
      <w:r>
        <w:t xml:space="preserve">Protecting historic heritage sites </w:t>
      </w:r>
    </w:p>
    <w:p w14:paraId="5166B08D" w14:textId="77777777" w:rsidR="00B02873" w:rsidRDefault="00B02873" w:rsidP="00FE198A">
      <w:r>
        <w:t xml:space="preserve">Victorian places and objects of heritage significance protected under the </w:t>
      </w:r>
      <w:r w:rsidRPr="00714C9E">
        <w:rPr>
          <w:rStyle w:val="LightItalic"/>
          <w:rFonts w:asciiTheme="minorHAnsi" w:hAnsiTheme="minorHAnsi" w:cstheme="minorHAnsi"/>
        </w:rPr>
        <w:t>Heritage Act 2017</w:t>
      </w:r>
      <w:r>
        <w:t xml:space="preserve"> are being affected by climate change, including over 100 places impacted by the June 2021 storms and floods. </w:t>
      </w:r>
    </w:p>
    <w:p w14:paraId="6B8FE2AB" w14:textId="778D6393" w:rsidR="00B02873" w:rsidRDefault="00B02873" w:rsidP="00FE198A">
      <w:r>
        <w:t>In response, Heritage Victoria has established the Emergency and Bushfire Recovery Program. Under the program, Heritage Victoria assesses heritage places affected by disasters and natural hazards and provides advice to heritage asset owners and managers about management and remediation. The program also delivers projects contributing to heritage recovery and public safety goals. In 2021-22, the program conducted site visits to storm-affected heritage places and continued bushfire recovery heritage site audits.</w:t>
      </w:r>
    </w:p>
    <w:p w14:paraId="09F7A4F9" w14:textId="77777777" w:rsidR="00B02873" w:rsidRDefault="00B02873" w:rsidP="00FE198A">
      <w:r>
        <w:t>Heritage Victoria, in partnership with the Heritage Council, are also implementing the Heritage and Climate Change Project. In 2021-22, the project began development of a risk matrix and associated guidelines for owners and managers of places on the Victorian Heritage Register. The risk matrix assesses and identifies risks for a place or object in the face of climate driven and natural extreme events while the guidelines include advice on mitigation measures to assist future decision making. The project, including guidelines and risk matrix, is due for completion in December 2022.</w:t>
      </w:r>
    </w:p>
    <w:p w14:paraId="7C8098D4" w14:textId="77777777" w:rsidR="00B02873" w:rsidRDefault="00B02873" w:rsidP="00066FED">
      <w:pPr>
        <w:pStyle w:val="Heading2Headings"/>
      </w:pPr>
      <w:r>
        <w:t>Climate-related risk management</w:t>
      </w:r>
    </w:p>
    <w:p w14:paraId="6C73FBF1" w14:textId="77777777" w:rsidR="00B02873" w:rsidRDefault="00B02873" w:rsidP="00FE198A">
      <w:r>
        <w:t xml:space="preserve">DELWP’s risk management framework provides the foundations and organisational arrangements to ensure that climate-related risks are effectively identified, assessed, and managed throughout the department. The framework is aligned to the Victorian Government Risk Management Framework and provides guidance for designing, implementing, monitoring, reviewing and continually improving risk management throughout DELWP. </w:t>
      </w:r>
    </w:p>
    <w:p w14:paraId="3895415D" w14:textId="0632055A" w:rsidR="00B02873" w:rsidRDefault="00B02873" w:rsidP="00FE198A">
      <w:r>
        <w:t xml:space="preserve">DELWP’s risk management framework requires DELWP’s businesses to consider their operating context, including climate change, and identify and assess risks and opportunities with a view to managing any risks within the department’s risk appetite. Climate-related risks are assessed and managed at the strategic, operational and program/project levels. </w:t>
      </w:r>
    </w:p>
    <w:p w14:paraId="50F96D84" w14:textId="4804066A" w:rsidR="00B02873" w:rsidRDefault="00B02873" w:rsidP="00FE198A">
      <w:r>
        <w:t>DELWP’s risk management framework also requires all risks to be assessed for potential impacts on the environment, with extreme impacts being outside the department’s risk appetite. The department mitigates the impacts of climate-related risks through business adaptation strategies, delivery of climate-related programs, and associated operational risk management activities.</w:t>
      </w:r>
    </w:p>
    <w:p w14:paraId="0BEB4DE7" w14:textId="77777777" w:rsidR="00B02873" w:rsidRDefault="00B02873" w:rsidP="00066FED">
      <w:pPr>
        <w:pStyle w:val="Heading2Headings"/>
      </w:pPr>
      <w:r>
        <w:t>Climate-related metrics and targets</w:t>
      </w:r>
    </w:p>
    <w:p w14:paraId="5D184E70" w14:textId="28D8720D" w:rsidR="00B02873" w:rsidRDefault="00B02873" w:rsidP="00FE198A">
      <w:r>
        <w:t xml:space="preserve">DELWP reports climate-related metrics and targets in line with the Victorian Government’s Financial Reporting Direction (FRD) 24: Reporting of office-based environmental data by government entities, while including a wider environmental performance reporting scope. DELWP’s </w:t>
      </w:r>
      <w:r>
        <w:lastRenderedPageBreak/>
        <w:t>reporting against these metrics and targets are detailed in the next section of the Annual Report</w:t>
      </w:r>
      <w:r w:rsidR="000C45FC">
        <w:t xml:space="preserve"> – </w:t>
      </w:r>
      <w:r>
        <w:t>Environmental Performance.</w:t>
      </w:r>
    </w:p>
    <w:p w14:paraId="08860F62" w14:textId="77777777" w:rsidR="00B02873" w:rsidRDefault="00B02873" w:rsidP="00FE198A">
      <w:r>
        <w:t>Over the past year, DELWP has led an update to FRD 24 to strengthen environmental reporting requirements, with all government entities required to report on all office and non-office activities across a range of environmental indicators in their annual reports from 2022-23 onwards.</w:t>
      </w:r>
    </w:p>
    <w:p w14:paraId="1A08DD46" w14:textId="5D76FD9A" w:rsidR="00B02873" w:rsidRDefault="00B02873" w:rsidP="00FE198A">
      <w:r>
        <w:t xml:space="preserve">The new environmental information will provide greater transparency for the Victorian community of the environmental impacts of public services and illustrate how they are being responsibly managed. Improved reporting will also support delivery of five-yearly whole of government emissions reduction pledges required by the </w:t>
      </w:r>
      <w:r w:rsidRPr="00714C9E">
        <w:rPr>
          <w:rStyle w:val="LightItalic"/>
          <w:rFonts w:asciiTheme="minorHAnsi" w:hAnsiTheme="minorHAnsi" w:cstheme="minorHAnsi"/>
        </w:rPr>
        <w:t>Climate Change Act 2017</w:t>
      </w:r>
      <w:r>
        <w:t xml:space="preserve">. </w:t>
      </w:r>
    </w:p>
    <w:p w14:paraId="611D8285" w14:textId="77777777" w:rsidR="00B02873" w:rsidRDefault="00B02873" w:rsidP="00FE198A">
      <w:r>
        <w:t xml:space="preserve">The updated </w:t>
      </w:r>
      <w:hyperlink r:id="rId66" w:history="1">
        <w:r w:rsidRPr="00C557DA">
          <w:rPr>
            <w:rStyle w:val="Hyperlink"/>
          </w:rPr>
          <w:t>Financial Direction 24: Reporting of environmental data by government entities</w:t>
        </w:r>
      </w:hyperlink>
      <w:r>
        <w:t xml:space="preserve"> is available on the Department of Treasury and Finance website. DELWP will implement these requirements in its 2022-23 annual report and will continue to lead work across the Victorian Government to support implementation by all departments and agencies.</w:t>
      </w:r>
    </w:p>
    <w:p w14:paraId="34DC0943" w14:textId="77777777" w:rsidR="00B02873" w:rsidRDefault="00B02873" w:rsidP="00FE198A">
      <w:pPr>
        <w:pStyle w:val="Heading1"/>
      </w:pPr>
      <w:bookmarkStart w:id="22" w:name="_Toc117447361"/>
      <w:r>
        <w:t>Environmental performance</w:t>
      </w:r>
      <w:bookmarkEnd w:id="22"/>
    </w:p>
    <w:p w14:paraId="785C2AC0" w14:textId="1222DDDD" w:rsidR="00B02873" w:rsidRDefault="00C557DA" w:rsidP="008316E9">
      <w:pPr>
        <w:pStyle w:val="Number1Lists"/>
        <w:numPr>
          <w:ilvl w:val="0"/>
          <w:numId w:val="8"/>
        </w:numPr>
      </w:pPr>
      <w:r>
        <w:t>Clean water and sanitation</w:t>
      </w:r>
    </w:p>
    <w:p w14:paraId="5EA619A3" w14:textId="2F042F78" w:rsidR="00C557DA" w:rsidRDefault="00935927" w:rsidP="001E0F51">
      <w:pPr>
        <w:pStyle w:val="Number1Lists"/>
      </w:pPr>
      <w:r>
        <w:t>Affordable and clean energy</w:t>
      </w:r>
    </w:p>
    <w:p w14:paraId="4E9DCD75" w14:textId="3E96AA78" w:rsidR="00935927" w:rsidRDefault="00935927" w:rsidP="001E0F51">
      <w:pPr>
        <w:pStyle w:val="Number1Lists"/>
      </w:pPr>
      <w:r>
        <w:t>Sustainable cities and communities</w:t>
      </w:r>
    </w:p>
    <w:p w14:paraId="3516A093" w14:textId="61F27580" w:rsidR="00935927" w:rsidRDefault="00935927" w:rsidP="001E0F51">
      <w:pPr>
        <w:pStyle w:val="Number1Lists"/>
      </w:pPr>
      <w:r>
        <w:t>Responsible consumption and production</w:t>
      </w:r>
    </w:p>
    <w:p w14:paraId="2D929D6C" w14:textId="74821636" w:rsidR="00935927" w:rsidRDefault="00935927" w:rsidP="001E0F51">
      <w:pPr>
        <w:pStyle w:val="Number1Lists"/>
      </w:pPr>
      <w:r>
        <w:t>Climate action</w:t>
      </w:r>
    </w:p>
    <w:p w14:paraId="02E0F8AC" w14:textId="77777777" w:rsidR="00B02873" w:rsidRDefault="00B02873" w:rsidP="00066FED">
      <w:pPr>
        <w:pStyle w:val="Heading2Headings"/>
      </w:pPr>
      <w:r>
        <w:t>Net zero reported emissions by 2025</w:t>
      </w:r>
    </w:p>
    <w:p w14:paraId="787EDA58" w14:textId="65E6C6B2" w:rsidR="00935927" w:rsidRDefault="00935927" w:rsidP="00066FED">
      <w:pPr>
        <w:pStyle w:val="Number1Lists"/>
        <w:numPr>
          <w:ilvl w:val="0"/>
          <w:numId w:val="9"/>
        </w:numPr>
        <w:spacing w:after="200"/>
      </w:pPr>
      <w:r>
        <w:t>Sustainable cities and communities</w:t>
      </w:r>
    </w:p>
    <w:p w14:paraId="0BB087C6" w14:textId="47A08138" w:rsidR="00B02873" w:rsidRDefault="00B02873" w:rsidP="007A21F4">
      <w:pPr>
        <w:pStyle w:val="Normalbeforebullet"/>
      </w:pPr>
      <w:r>
        <w:t xml:space="preserve">DELWP expects to achieve net zero emissions by 2025 ahead of the 2050 Victorian Government target. Some of the key measures DELWP will take to achieve this include the following: </w:t>
      </w:r>
    </w:p>
    <w:p w14:paraId="738A15B6" w14:textId="52B85584" w:rsidR="007A21F4" w:rsidRDefault="007A21F4" w:rsidP="007A21F4">
      <w:pPr>
        <w:pStyle w:val="Bullet1Lists"/>
      </w:pPr>
      <w:r>
        <w:t>installation of a further 550kW of Solar photovoltaic (PV) panels at DELWP sites by 2025</w:t>
      </w:r>
    </w:p>
    <w:p w14:paraId="04B591EE" w14:textId="7C74B5BE" w:rsidR="007A21F4" w:rsidRDefault="007A21F4" w:rsidP="007A21F4">
      <w:pPr>
        <w:pStyle w:val="Bullet1Lists"/>
      </w:pPr>
      <w:r>
        <w:t>transition to zero emissions vehicles (ZEVs) for the shared passenger vehicle fleet by 2025</w:t>
      </w:r>
    </w:p>
    <w:p w14:paraId="246D4624" w14:textId="306C2CD6" w:rsidR="007A21F4" w:rsidRDefault="007A21F4" w:rsidP="007A21F4">
      <w:pPr>
        <w:pStyle w:val="Bullet1Listslast"/>
      </w:pPr>
      <w:r>
        <w:t>net zero reported electricity emissions from April 2021 onwards</w:t>
      </w:r>
    </w:p>
    <w:p w14:paraId="59D55B67" w14:textId="1D7B78E3" w:rsidR="007A21F4" w:rsidRDefault="007A21F4" w:rsidP="007A21F4">
      <w:r>
        <w:rPr>
          <w:noProof/>
        </w:rPr>
        <w:drawing>
          <wp:inline distT="0" distB="0" distL="0" distR="0" wp14:anchorId="24D95616" wp14:editId="491E760E">
            <wp:extent cx="6120396" cy="2325629"/>
            <wp:effectExtent l="0" t="0" r="0" b="0"/>
            <wp:docPr id="43" name="Picture 43" descr="Graph showing DELWP's progress towards achieving net zero reported emissions by 2025. A decreasing trend in reported emissions can be observed since the 2014-15 baseline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 showing DELWP's progress towards achieving net zero reported emissions by 2025. A decreasing trend in reported emissions can be observed since the 2014-15 baseline year."/>
                    <pic:cNvPicPr/>
                  </pic:nvPicPr>
                  <pic:blipFill>
                    <a:blip r:embed="rId67"/>
                    <a:stretch>
                      <a:fillRect/>
                    </a:stretch>
                  </pic:blipFill>
                  <pic:spPr>
                    <a:xfrm>
                      <a:off x="0" y="0"/>
                      <a:ext cx="6120396" cy="2325629"/>
                    </a:xfrm>
                    <a:prstGeom prst="rect">
                      <a:avLst/>
                    </a:prstGeom>
                  </pic:spPr>
                </pic:pic>
              </a:graphicData>
            </a:graphic>
          </wp:inline>
        </w:drawing>
      </w:r>
    </w:p>
    <w:p w14:paraId="0E556DA2" w14:textId="4100E170" w:rsidR="00B02873" w:rsidRDefault="00B02873" w:rsidP="007A21F4">
      <w:pPr>
        <w:rPr>
          <w:spacing w:val="-1"/>
        </w:rPr>
      </w:pPr>
      <w:r>
        <w:lastRenderedPageBreak/>
        <w:t xml:space="preserve">DELWP continues to make significant progress towards reducing emissions from the 2014-15 baseline year (the first reporting year after previous significant Machinery of Government changes) through the implementation of its 2025 net zero action plan. </w:t>
      </w:r>
    </w:p>
    <w:p w14:paraId="7E5B9AE2" w14:textId="77777777" w:rsidR="00B02873" w:rsidRDefault="00B02873" w:rsidP="00066FED">
      <w:pPr>
        <w:pStyle w:val="Heading2Headings"/>
      </w:pPr>
      <w:r>
        <w:t>Environmental performance reporting scope</w:t>
      </w:r>
    </w:p>
    <w:p w14:paraId="1B51C627" w14:textId="48CF6172" w:rsidR="00B02873" w:rsidRDefault="00B02873" w:rsidP="00FE198A">
      <w:r>
        <w:rPr>
          <w:spacing w:val="-1"/>
        </w:rPr>
        <w:t>The mandated FRD24 environmental performance reporting scope has a focus on office-based activities. Many aspects of DELWP’s environmental performance reporting are not covered under the reporting scope of FRD24. At the recommendation of the Commissioner for Environmental Sustainability Victoria (CES), DELWP has reported against a wider environmental performance reporting scope since 2008. Details of this extended environmental reporting at DELWP are shown below.</w:t>
      </w:r>
    </w:p>
    <w:tbl>
      <w:tblPr>
        <w:tblStyle w:val="TableGrid"/>
        <w:tblW w:w="9647" w:type="dxa"/>
        <w:tblLayout w:type="fixed"/>
        <w:tblLook w:val="0020" w:firstRow="1" w:lastRow="0" w:firstColumn="0" w:lastColumn="0" w:noHBand="0" w:noVBand="0"/>
      </w:tblPr>
      <w:tblGrid>
        <w:gridCol w:w="3397"/>
        <w:gridCol w:w="2669"/>
        <w:gridCol w:w="3581"/>
      </w:tblGrid>
      <w:tr w:rsidR="00B02873" w:rsidRPr="007A21F4" w14:paraId="1932E9FC" w14:textId="77777777" w:rsidTr="007A21F4">
        <w:trPr>
          <w:cnfStyle w:val="100000000000" w:firstRow="1" w:lastRow="0" w:firstColumn="0" w:lastColumn="0" w:oddVBand="0" w:evenVBand="0" w:oddHBand="0" w:evenHBand="0" w:firstRowFirstColumn="0" w:firstRowLastColumn="0" w:lastRowFirstColumn="0" w:lastRowLastColumn="0"/>
          <w:tblHeader/>
        </w:trPr>
        <w:tc>
          <w:tcPr>
            <w:tcW w:w="3397" w:type="dxa"/>
          </w:tcPr>
          <w:p w14:paraId="2B2B9392" w14:textId="77777777" w:rsidR="00B02873" w:rsidRPr="007A21F4" w:rsidRDefault="00B02873" w:rsidP="007A21F4">
            <w:pPr>
              <w:pStyle w:val="TableheadingleftTables"/>
            </w:pPr>
          </w:p>
        </w:tc>
        <w:tc>
          <w:tcPr>
            <w:tcW w:w="2669" w:type="dxa"/>
          </w:tcPr>
          <w:p w14:paraId="41C913DE" w14:textId="77777777" w:rsidR="00B02873" w:rsidRPr="007A21F4" w:rsidRDefault="00B02873" w:rsidP="007A21F4">
            <w:pPr>
              <w:pStyle w:val="TableheadingleftTables"/>
            </w:pPr>
            <w:r w:rsidRPr="007A21F4">
              <w:t>FRD24 environmental performance reporting</w:t>
            </w:r>
          </w:p>
        </w:tc>
        <w:tc>
          <w:tcPr>
            <w:tcW w:w="3581" w:type="dxa"/>
          </w:tcPr>
          <w:p w14:paraId="5A0BFE98" w14:textId="77777777" w:rsidR="00B02873" w:rsidRPr="007A21F4" w:rsidRDefault="00B02873" w:rsidP="007A21F4">
            <w:pPr>
              <w:pStyle w:val="TableheadingleftTables"/>
            </w:pPr>
            <w:r w:rsidRPr="007A21F4">
              <w:t>DELWP environmental performance reporting</w:t>
            </w:r>
          </w:p>
        </w:tc>
      </w:tr>
      <w:tr w:rsidR="00B02873" w:rsidRPr="00B02873" w14:paraId="01BACA57" w14:textId="77777777" w:rsidTr="007A21F4">
        <w:tc>
          <w:tcPr>
            <w:tcW w:w="3397" w:type="dxa"/>
          </w:tcPr>
          <w:p w14:paraId="51471714" w14:textId="77777777" w:rsidR="00B02873" w:rsidRPr="007A21F4" w:rsidRDefault="00B02873" w:rsidP="007A21F4">
            <w:pPr>
              <w:pStyle w:val="TablebodyleftTables"/>
            </w:pPr>
            <w:r w:rsidRPr="007A21F4">
              <w:t>Building energy consumption and emissions</w:t>
            </w:r>
          </w:p>
        </w:tc>
        <w:tc>
          <w:tcPr>
            <w:tcW w:w="2669" w:type="dxa"/>
          </w:tcPr>
          <w:p w14:paraId="2F4D2C63" w14:textId="77777777" w:rsidR="00B02873" w:rsidRPr="007A21F4" w:rsidRDefault="00B02873" w:rsidP="007A21F4">
            <w:pPr>
              <w:pStyle w:val="TablebodyleftTables"/>
            </w:pPr>
            <w:r w:rsidRPr="007A21F4">
              <w:t>Offices</w:t>
            </w:r>
          </w:p>
        </w:tc>
        <w:tc>
          <w:tcPr>
            <w:tcW w:w="3581" w:type="dxa"/>
          </w:tcPr>
          <w:p w14:paraId="3EACAECD" w14:textId="77777777" w:rsidR="00B02873" w:rsidRPr="007A21F4" w:rsidRDefault="00B02873" w:rsidP="007A21F4">
            <w:pPr>
              <w:pStyle w:val="TablebodyleftTables"/>
            </w:pPr>
            <w:r w:rsidRPr="007A21F4">
              <w:t>Offices, airbases, depots and warehouses, fire towers, research centres and mixed-use sites</w:t>
            </w:r>
          </w:p>
        </w:tc>
      </w:tr>
      <w:tr w:rsidR="00B02873" w:rsidRPr="00B02873" w14:paraId="18D61725" w14:textId="77777777" w:rsidTr="007A21F4">
        <w:tc>
          <w:tcPr>
            <w:tcW w:w="3397" w:type="dxa"/>
          </w:tcPr>
          <w:p w14:paraId="75F1133D" w14:textId="77777777" w:rsidR="00B02873" w:rsidRPr="007A21F4" w:rsidRDefault="00B02873" w:rsidP="007A21F4">
            <w:pPr>
              <w:pStyle w:val="TablebodyleftTables"/>
            </w:pPr>
            <w:r w:rsidRPr="007A21F4">
              <w:t>Water consumption</w:t>
            </w:r>
          </w:p>
        </w:tc>
        <w:tc>
          <w:tcPr>
            <w:tcW w:w="2669" w:type="dxa"/>
          </w:tcPr>
          <w:p w14:paraId="3C7C0EBD" w14:textId="77777777" w:rsidR="00B02873" w:rsidRPr="007A21F4" w:rsidRDefault="00B02873" w:rsidP="007A21F4">
            <w:pPr>
              <w:pStyle w:val="TablebodyleftTables"/>
            </w:pPr>
            <w:r w:rsidRPr="007A21F4">
              <w:t>Offices</w:t>
            </w:r>
          </w:p>
        </w:tc>
        <w:tc>
          <w:tcPr>
            <w:tcW w:w="3581" w:type="dxa"/>
          </w:tcPr>
          <w:p w14:paraId="7E4E31B6" w14:textId="77777777" w:rsidR="00B02873" w:rsidRPr="007A21F4" w:rsidRDefault="00B02873" w:rsidP="007A21F4">
            <w:pPr>
              <w:pStyle w:val="TablebodyleftTables"/>
            </w:pPr>
            <w:r w:rsidRPr="007A21F4">
              <w:t>Offices, airbases, depots and warehouses, research centres and mixed-use sites</w:t>
            </w:r>
          </w:p>
        </w:tc>
      </w:tr>
      <w:tr w:rsidR="00B02873" w:rsidRPr="00B02873" w14:paraId="24C39ADF" w14:textId="77777777" w:rsidTr="007A21F4">
        <w:tc>
          <w:tcPr>
            <w:tcW w:w="3397" w:type="dxa"/>
          </w:tcPr>
          <w:p w14:paraId="68429C03" w14:textId="77777777" w:rsidR="00B02873" w:rsidRPr="007A21F4" w:rsidRDefault="00B02873" w:rsidP="007A21F4">
            <w:pPr>
              <w:pStyle w:val="TablebodyleftTables"/>
            </w:pPr>
            <w:r w:rsidRPr="007A21F4">
              <w:t>Vehicle travel and emissions</w:t>
            </w:r>
          </w:p>
        </w:tc>
        <w:tc>
          <w:tcPr>
            <w:tcW w:w="2669" w:type="dxa"/>
          </w:tcPr>
          <w:p w14:paraId="5E681A6C" w14:textId="77777777" w:rsidR="00B02873" w:rsidRPr="007A21F4" w:rsidRDefault="00B02873" w:rsidP="007A21F4">
            <w:pPr>
              <w:pStyle w:val="TablebodyleftTables"/>
            </w:pPr>
            <w:r w:rsidRPr="007A21F4">
              <w:t>Shared passenger vehicle fleet</w:t>
            </w:r>
          </w:p>
        </w:tc>
        <w:tc>
          <w:tcPr>
            <w:tcW w:w="3581" w:type="dxa"/>
          </w:tcPr>
          <w:p w14:paraId="5ACA7A53" w14:textId="77777777" w:rsidR="00B02873" w:rsidRPr="007A21F4" w:rsidRDefault="00B02873" w:rsidP="007A21F4">
            <w:pPr>
              <w:pStyle w:val="TablebodyleftTables"/>
            </w:pPr>
            <w:r w:rsidRPr="007A21F4">
              <w:t>Shared passenger vehicle fleet, and the operational vehicle fleet (including utility vehicles and Ultralight Tankers)</w:t>
            </w:r>
          </w:p>
        </w:tc>
      </w:tr>
      <w:tr w:rsidR="00B02873" w:rsidRPr="00B02873" w14:paraId="4322FC59" w14:textId="77777777" w:rsidTr="007A21F4">
        <w:tc>
          <w:tcPr>
            <w:tcW w:w="3397" w:type="dxa"/>
          </w:tcPr>
          <w:p w14:paraId="7F1912E2" w14:textId="77777777" w:rsidR="00B02873" w:rsidRPr="007A21F4" w:rsidRDefault="00B02873" w:rsidP="007A21F4">
            <w:pPr>
              <w:pStyle w:val="TablebodyleftTables"/>
            </w:pPr>
            <w:r w:rsidRPr="007A21F4">
              <w:t>Air travel and emissions</w:t>
            </w:r>
          </w:p>
        </w:tc>
        <w:tc>
          <w:tcPr>
            <w:tcW w:w="2669" w:type="dxa"/>
          </w:tcPr>
          <w:p w14:paraId="7FF658F1" w14:textId="77777777" w:rsidR="00B02873" w:rsidRPr="007A21F4" w:rsidRDefault="00B02873" w:rsidP="007A21F4">
            <w:pPr>
              <w:pStyle w:val="TablebodyleftTables"/>
            </w:pPr>
            <w:r w:rsidRPr="007A21F4">
              <w:t>Staff air travel</w:t>
            </w:r>
          </w:p>
        </w:tc>
        <w:tc>
          <w:tcPr>
            <w:tcW w:w="3581" w:type="dxa"/>
          </w:tcPr>
          <w:p w14:paraId="28BF04AC" w14:textId="77777777" w:rsidR="00B02873" w:rsidRPr="007A21F4" w:rsidRDefault="00B02873" w:rsidP="007A21F4">
            <w:pPr>
              <w:pStyle w:val="TablebodyleftTables"/>
            </w:pPr>
            <w:r w:rsidRPr="007A21F4">
              <w:t>Staff air travel</w:t>
            </w:r>
          </w:p>
        </w:tc>
      </w:tr>
      <w:tr w:rsidR="00B02873" w:rsidRPr="00B02873" w14:paraId="3FF81562" w14:textId="77777777" w:rsidTr="007A21F4">
        <w:tc>
          <w:tcPr>
            <w:tcW w:w="3397" w:type="dxa"/>
          </w:tcPr>
          <w:p w14:paraId="3037AF36" w14:textId="77777777" w:rsidR="00B02873" w:rsidRPr="007A21F4" w:rsidRDefault="00B02873" w:rsidP="007A21F4">
            <w:pPr>
              <w:pStyle w:val="TablebodyleftTables"/>
            </w:pPr>
            <w:r w:rsidRPr="007A21F4">
              <w:t>Building waste generation and emissions</w:t>
            </w:r>
          </w:p>
        </w:tc>
        <w:tc>
          <w:tcPr>
            <w:tcW w:w="2669" w:type="dxa"/>
          </w:tcPr>
          <w:p w14:paraId="63496C07" w14:textId="77777777" w:rsidR="00B02873" w:rsidRPr="007A21F4" w:rsidRDefault="00B02873" w:rsidP="007A21F4">
            <w:pPr>
              <w:pStyle w:val="TablebodyleftTables"/>
            </w:pPr>
            <w:r w:rsidRPr="007A21F4">
              <w:t>Office kitchen and stationery room waste</w:t>
            </w:r>
          </w:p>
        </w:tc>
        <w:tc>
          <w:tcPr>
            <w:tcW w:w="3581" w:type="dxa"/>
          </w:tcPr>
          <w:p w14:paraId="12C23857" w14:textId="77777777" w:rsidR="00B02873" w:rsidRPr="007A21F4" w:rsidRDefault="00B02873" w:rsidP="007A21F4">
            <w:pPr>
              <w:pStyle w:val="TablebodyleftTables"/>
            </w:pPr>
            <w:r w:rsidRPr="007A21F4">
              <w:t>Offices and mixed-use sites kitchen and stationery room waste</w:t>
            </w:r>
          </w:p>
        </w:tc>
      </w:tr>
      <w:tr w:rsidR="00B02873" w:rsidRPr="00B02873" w14:paraId="69FC5551" w14:textId="77777777" w:rsidTr="007A21F4">
        <w:tc>
          <w:tcPr>
            <w:tcW w:w="3397" w:type="dxa"/>
          </w:tcPr>
          <w:p w14:paraId="2B5917C9" w14:textId="77777777" w:rsidR="00B02873" w:rsidRPr="007A21F4" w:rsidRDefault="00B02873" w:rsidP="007A21F4">
            <w:pPr>
              <w:pStyle w:val="TablebodyleftTables"/>
            </w:pPr>
            <w:r w:rsidRPr="007A21F4">
              <w:t>Paper purchasing</w:t>
            </w:r>
          </w:p>
        </w:tc>
        <w:tc>
          <w:tcPr>
            <w:tcW w:w="2669" w:type="dxa"/>
          </w:tcPr>
          <w:p w14:paraId="13F242EE" w14:textId="77777777" w:rsidR="00B02873" w:rsidRPr="007A21F4" w:rsidRDefault="00B02873" w:rsidP="007A21F4">
            <w:pPr>
              <w:pStyle w:val="TablebodyleftTables"/>
            </w:pPr>
            <w:r w:rsidRPr="007A21F4">
              <w:t xml:space="preserve">All paper purchasing </w:t>
            </w:r>
          </w:p>
        </w:tc>
        <w:tc>
          <w:tcPr>
            <w:tcW w:w="3581" w:type="dxa"/>
          </w:tcPr>
          <w:p w14:paraId="4FFE4DD2" w14:textId="77777777" w:rsidR="00B02873" w:rsidRPr="007A21F4" w:rsidRDefault="00B02873" w:rsidP="007A21F4">
            <w:pPr>
              <w:pStyle w:val="TablebodyleftTables"/>
            </w:pPr>
            <w:r w:rsidRPr="007A21F4">
              <w:t>All paper purchasing and associated emissions</w:t>
            </w:r>
          </w:p>
        </w:tc>
      </w:tr>
    </w:tbl>
    <w:p w14:paraId="1061F113" w14:textId="77777777" w:rsidR="00B02873" w:rsidRDefault="00B02873" w:rsidP="00FE198A"/>
    <w:p w14:paraId="186A27EB" w14:textId="634D1DFD" w:rsidR="00B02873" w:rsidRDefault="00B02873" w:rsidP="00FE198A">
      <w:r>
        <w:t>DELWP reports environmental data from 1 April to 31 March to allow for a full reporting year and provide greater accuracy for the annual report. Data is captured through consumption reports, surveys, and audits at DELWP sites.</w:t>
      </w:r>
    </w:p>
    <w:p w14:paraId="3B8A16D2" w14:textId="77777777" w:rsidR="00B02873" w:rsidRDefault="00B02873" w:rsidP="00FE198A">
      <w:r>
        <w:t>While many office-based elements of environmental reporting can be more clearly managed, other operational environmental impacts can be dictated by seasonal events, such as fire response activities.</w:t>
      </w:r>
    </w:p>
    <w:p w14:paraId="3B9A55D3" w14:textId="0B035874" w:rsidR="00B02873" w:rsidRDefault="00B02873" w:rsidP="00FE198A">
      <w:r>
        <w:t>The reportable site list excludes residences and sites where DELWP staff are located within another department’s facility. Non-DELWP staff accommodated within a DELWP-managed facility are counted towards the DELWP reported consumption figures (but not FTE figures). Staff numbers and office tenancy net lettable area (NLA) details used for reporting calculations are shown below.</w:t>
      </w:r>
    </w:p>
    <w:tbl>
      <w:tblPr>
        <w:tblStyle w:val="TableGrid"/>
        <w:tblW w:w="0" w:type="auto"/>
        <w:tblInd w:w="-57" w:type="dxa"/>
        <w:tblLayout w:type="fixed"/>
        <w:tblLook w:val="0020" w:firstRow="1" w:lastRow="0" w:firstColumn="0" w:lastColumn="0" w:noHBand="0" w:noVBand="0"/>
      </w:tblPr>
      <w:tblGrid>
        <w:gridCol w:w="3880"/>
        <w:gridCol w:w="1243"/>
        <w:gridCol w:w="1276"/>
        <w:gridCol w:w="1276"/>
        <w:gridCol w:w="1623"/>
      </w:tblGrid>
      <w:tr w:rsidR="00B02873" w:rsidRPr="00B02873" w14:paraId="564DB735" w14:textId="77777777" w:rsidTr="00367FD6">
        <w:trPr>
          <w:cnfStyle w:val="100000000000" w:firstRow="1" w:lastRow="0" w:firstColumn="0" w:lastColumn="0" w:oddVBand="0" w:evenVBand="0" w:oddHBand="0" w:evenHBand="0" w:firstRowFirstColumn="0" w:firstRowLastColumn="0" w:lastRowFirstColumn="0" w:lastRowLastColumn="0"/>
          <w:trHeight w:val="60"/>
          <w:tblHeader/>
        </w:trPr>
        <w:tc>
          <w:tcPr>
            <w:tcW w:w="3880" w:type="dxa"/>
          </w:tcPr>
          <w:p w14:paraId="2ADB49D5" w14:textId="77777777" w:rsidR="00B02873" w:rsidRDefault="00B02873" w:rsidP="00367FD6">
            <w:pPr>
              <w:pStyle w:val="TableheadingleftTables"/>
            </w:pPr>
            <w:r>
              <w:lastRenderedPageBreak/>
              <w:t>Indicator</w:t>
            </w:r>
          </w:p>
        </w:tc>
        <w:tc>
          <w:tcPr>
            <w:tcW w:w="1243" w:type="dxa"/>
          </w:tcPr>
          <w:p w14:paraId="39AC437A" w14:textId="77777777" w:rsidR="00B02873" w:rsidRDefault="00B02873" w:rsidP="00B23E1C">
            <w:pPr>
              <w:pStyle w:val="TableheadingleftTables"/>
              <w:jc w:val="right"/>
            </w:pPr>
            <w:r>
              <w:rPr>
                <w:spacing w:val="-3"/>
              </w:rPr>
              <w:t>2021-22</w:t>
            </w:r>
          </w:p>
        </w:tc>
        <w:tc>
          <w:tcPr>
            <w:tcW w:w="1276" w:type="dxa"/>
          </w:tcPr>
          <w:p w14:paraId="20A563A8" w14:textId="77777777" w:rsidR="00B02873" w:rsidRDefault="00B02873" w:rsidP="00B23E1C">
            <w:pPr>
              <w:pStyle w:val="TableheadingleftTables"/>
              <w:jc w:val="right"/>
            </w:pPr>
            <w:r>
              <w:rPr>
                <w:spacing w:val="-3"/>
              </w:rPr>
              <w:t>2020-21</w:t>
            </w:r>
          </w:p>
        </w:tc>
        <w:tc>
          <w:tcPr>
            <w:tcW w:w="1276" w:type="dxa"/>
          </w:tcPr>
          <w:p w14:paraId="03ECF0B0" w14:textId="77777777" w:rsidR="00B02873" w:rsidRDefault="00B02873" w:rsidP="00B23E1C">
            <w:pPr>
              <w:pStyle w:val="TableheadingleftTables"/>
              <w:jc w:val="right"/>
            </w:pPr>
            <w:r>
              <w:rPr>
                <w:spacing w:val="-3"/>
              </w:rPr>
              <w:t>2019-20</w:t>
            </w:r>
          </w:p>
        </w:tc>
        <w:tc>
          <w:tcPr>
            <w:tcW w:w="1623" w:type="dxa"/>
          </w:tcPr>
          <w:p w14:paraId="33DA3C72" w14:textId="77777777" w:rsidR="00B02873" w:rsidRDefault="00B02873" w:rsidP="00B23E1C">
            <w:pPr>
              <w:pStyle w:val="TableheadingleftTables"/>
              <w:jc w:val="right"/>
            </w:pPr>
            <w:r>
              <w:rPr>
                <w:spacing w:val="-3"/>
              </w:rPr>
              <w:t>2014-15 (baseline)</w:t>
            </w:r>
          </w:p>
        </w:tc>
      </w:tr>
      <w:tr w:rsidR="00B02873" w:rsidRPr="00B02873" w14:paraId="6345A932" w14:textId="77777777" w:rsidTr="00367FD6">
        <w:trPr>
          <w:trHeight w:val="60"/>
        </w:trPr>
        <w:tc>
          <w:tcPr>
            <w:tcW w:w="3880" w:type="dxa"/>
          </w:tcPr>
          <w:p w14:paraId="7E7A4544" w14:textId="77777777" w:rsidR="00B02873" w:rsidRDefault="00B02873" w:rsidP="00367FD6">
            <w:pPr>
              <w:pStyle w:val="TablebodyleftTables"/>
              <w:keepNext/>
            </w:pPr>
            <w:r>
              <w:t>DELWP FTE</w:t>
            </w:r>
          </w:p>
        </w:tc>
        <w:tc>
          <w:tcPr>
            <w:tcW w:w="1243" w:type="dxa"/>
          </w:tcPr>
          <w:p w14:paraId="33C039D0" w14:textId="77777777" w:rsidR="00B02873" w:rsidRDefault="00B02873" w:rsidP="00B23E1C">
            <w:pPr>
              <w:pStyle w:val="TablebodyleftTables"/>
              <w:keepNext/>
              <w:jc w:val="right"/>
            </w:pPr>
            <w:r>
              <w:t>5,186</w:t>
            </w:r>
          </w:p>
        </w:tc>
        <w:tc>
          <w:tcPr>
            <w:tcW w:w="1276" w:type="dxa"/>
          </w:tcPr>
          <w:p w14:paraId="7076C0FE" w14:textId="77777777" w:rsidR="00B02873" w:rsidRDefault="00B02873" w:rsidP="00B23E1C">
            <w:pPr>
              <w:pStyle w:val="TablebodyleftTables"/>
              <w:keepNext/>
              <w:jc w:val="right"/>
            </w:pPr>
            <w:r>
              <w:t>4,868</w:t>
            </w:r>
          </w:p>
        </w:tc>
        <w:tc>
          <w:tcPr>
            <w:tcW w:w="1276" w:type="dxa"/>
          </w:tcPr>
          <w:p w14:paraId="16D6C7B6" w14:textId="77777777" w:rsidR="00B02873" w:rsidRDefault="00B02873" w:rsidP="00B23E1C">
            <w:pPr>
              <w:pStyle w:val="TablebodyleftTables"/>
              <w:keepNext/>
              <w:jc w:val="right"/>
            </w:pPr>
            <w:r>
              <w:t>4,529</w:t>
            </w:r>
          </w:p>
        </w:tc>
        <w:tc>
          <w:tcPr>
            <w:tcW w:w="1623" w:type="dxa"/>
          </w:tcPr>
          <w:p w14:paraId="48B85946" w14:textId="77777777" w:rsidR="00B02873" w:rsidRDefault="00B02873" w:rsidP="00B23E1C">
            <w:pPr>
              <w:pStyle w:val="TablebodyleftTables"/>
              <w:keepNext/>
              <w:jc w:val="right"/>
            </w:pPr>
            <w:r>
              <w:t>2,960</w:t>
            </w:r>
          </w:p>
        </w:tc>
      </w:tr>
      <w:tr w:rsidR="00B02873" w:rsidRPr="00B02873" w14:paraId="7D902115" w14:textId="77777777" w:rsidTr="00367FD6">
        <w:trPr>
          <w:trHeight w:val="60"/>
        </w:trPr>
        <w:tc>
          <w:tcPr>
            <w:tcW w:w="3880" w:type="dxa"/>
          </w:tcPr>
          <w:p w14:paraId="0278CA0B" w14:textId="77777777" w:rsidR="00B02873" w:rsidRDefault="00B02873" w:rsidP="00367FD6">
            <w:pPr>
              <w:pStyle w:val="TablebodyleftTables"/>
            </w:pPr>
            <w:r>
              <w:t>DELWP Office FTE</w:t>
            </w:r>
          </w:p>
        </w:tc>
        <w:tc>
          <w:tcPr>
            <w:tcW w:w="1243" w:type="dxa"/>
          </w:tcPr>
          <w:p w14:paraId="6EEBCA88" w14:textId="77777777" w:rsidR="00B02873" w:rsidRDefault="00B02873" w:rsidP="00B23E1C">
            <w:pPr>
              <w:pStyle w:val="TablebodyleftTables"/>
              <w:jc w:val="right"/>
            </w:pPr>
            <w:r>
              <w:t xml:space="preserve">3,662 </w:t>
            </w:r>
          </w:p>
        </w:tc>
        <w:tc>
          <w:tcPr>
            <w:tcW w:w="1276" w:type="dxa"/>
          </w:tcPr>
          <w:p w14:paraId="66C5A8A2" w14:textId="77777777" w:rsidR="00B02873" w:rsidRDefault="00B02873" w:rsidP="00B23E1C">
            <w:pPr>
              <w:pStyle w:val="TablebodyleftTables"/>
              <w:jc w:val="right"/>
            </w:pPr>
            <w:r>
              <w:t>3,381</w:t>
            </w:r>
          </w:p>
        </w:tc>
        <w:tc>
          <w:tcPr>
            <w:tcW w:w="1276" w:type="dxa"/>
          </w:tcPr>
          <w:p w14:paraId="47E34EE7" w14:textId="77777777" w:rsidR="00B02873" w:rsidRDefault="00B02873" w:rsidP="00B23E1C">
            <w:pPr>
              <w:pStyle w:val="TablebodyleftTables"/>
              <w:jc w:val="right"/>
            </w:pPr>
            <w:r>
              <w:t>3,042</w:t>
            </w:r>
          </w:p>
        </w:tc>
        <w:tc>
          <w:tcPr>
            <w:tcW w:w="1623" w:type="dxa"/>
          </w:tcPr>
          <w:p w14:paraId="7656DE03" w14:textId="77777777" w:rsidR="00B02873" w:rsidRDefault="00B02873" w:rsidP="00B23E1C">
            <w:pPr>
              <w:pStyle w:val="TablebodyleftTables"/>
              <w:jc w:val="right"/>
            </w:pPr>
            <w:r>
              <w:t>1,983</w:t>
            </w:r>
          </w:p>
        </w:tc>
      </w:tr>
      <w:tr w:rsidR="00B02873" w:rsidRPr="00B02873" w14:paraId="176E4E90" w14:textId="77777777" w:rsidTr="00367FD6">
        <w:trPr>
          <w:trHeight w:val="60"/>
        </w:trPr>
        <w:tc>
          <w:tcPr>
            <w:tcW w:w="3880" w:type="dxa"/>
          </w:tcPr>
          <w:p w14:paraId="1D52168C" w14:textId="77777777" w:rsidR="00B02873" w:rsidRDefault="00B02873" w:rsidP="00367FD6">
            <w:pPr>
              <w:pStyle w:val="TablebodyleftTables"/>
            </w:pPr>
            <w:r>
              <w:t>DELWP Office NLA (m</w:t>
            </w:r>
            <w:r w:rsidRPr="00367FD6">
              <w:rPr>
                <w:vertAlign w:val="superscript"/>
              </w:rPr>
              <w:t>2</w:t>
            </w:r>
            <w:r>
              <w:t>)</w:t>
            </w:r>
          </w:p>
        </w:tc>
        <w:tc>
          <w:tcPr>
            <w:tcW w:w="1243" w:type="dxa"/>
          </w:tcPr>
          <w:p w14:paraId="7137AC55" w14:textId="77777777" w:rsidR="00B02873" w:rsidRDefault="00B02873" w:rsidP="00B23E1C">
            <w:pPr>
              <w:pStyle w:val="TablebodyleftTables"/>
              <w:jc w:val="right"/>
            </w:pPr>
            <w:r>
              <w:t>55,032</w:t>
            </w:r>
          </w:p>
        </w:tc>
        <w:tc>
          <w:tcPr>
            <w:tcW w:w="1276" w:type="dxa"/>
          </w:tcPr>
          <w:p w14:paraId="7FDB30E9" w14:textId="77777777" w:rsidR="00B02873" w:rsidRDefault="00B02873" w:rsidP="00B23E1C">
            <w:pPr>
              <w:pStyle w:val="TablebodyleftTables"/>
              <w:jc w:val="right"/>
            </w:pPr>
            <w:r>
              <w:t>51,387</w:t>
            </w:r>
          </w:p>
        </w:tc>
        <w:tc>
          <w:tcPr>
            <w:tcW w:w="1276" w:type="dxa"/>
          </w:tcPr>
          <w:p w14:paraId="16F05A8D" w14:textId="77777777" w:rsidR="00B02873" w:rsidRDefault="00B02873" w:rsidP="00B23E1C">
            <w:pPr>
              <w:pStyle w:val="TablebodyleftTables"/>
              <w:jc w:val="right"/>
            </w:pPr>
            <w:r>
              <w:t>51,375</w:t>
            </w:r>
          </w:p>
        </w:tc>
        <w:tc>
          <w:tcPr>
            <w:tcW w:w="1623" w:type="dxa"/>
          </w:tcPr>
          <w:p w14:paraId="1DCE8919" w14:textId="77777777" w:rsidR="00B02873" w:rsidRDefault="00B02873" w:rsidP="00B23E1C">
            <w:pPr>
              <w:pStyle w:val="TablebodyleftTables"/>
              <w:jc w:val="right"/>
            </w:pPr>
            <w:r>
              <w:t>51,100</w:t>
            </w:r>
          </w:p>
        </w:tc>
      </w:tr>
      <w:tr w:rsidR="00B02873" w:rsidRPr="00B02873" w14:paraId="6DE814A0" w14:textId="77777777" w:rsidTr="00367FD6">
        <w:trPr>
          <w:trHeight w:val="60"/>
        </w:trPr>
        <w:tc>
          <w:tcPr>
            <w:tcW w:w="3880" w:type="dxa"/>
          </w:tcPr>
          <w:p w14:paraId="7DC8B2EA" w14:textId="77777777" w:rsidR="00B02873" w:rsidRDefault="00B02873" w:rsidP="00367FD6">
            <w:pPr>
              <w:pStyle w:val="TablebodyleftTables"/>
            </w:pPr>
            <w:r>
              <w:t>Number of DELWP Office sites</w:t>
            </w:r>
          </w:p>
        </w:tc>
        <w:tc>
          <w:tcPr>
            <w:tcW w:w="1243" w:type="dxa"/>
          </w:tcPr>
          <w:p w14:paraId="1784BB96" w14:textId="77777777" w:rsidR="00B02873" w:rsidRDefault="00B02873" w:rsidP="00B23E1C">
            <w:pPr>
              <w:pStyle w:val="TablebodyleftTables"/>
              <w:jc w:val="right"/>
            </w:pPr>
            <w:r>
              <w:t>18</w:t>
            </w:r>
          </w:p>
        </w:tc>
        <w:tc>
          <w:tcPr>
            <w:tcW w:w="1276" w:type="dxa"/>
          </w:tcPr>
          <w:p w14:paraId="5A1D37A4" w14:textId="77777777" w:rsidR="00B02873" w:rsidRDefault="00B02873" w:rsidP="00B23E1C">
            <w:pPr>
              <w:pStyle w:val="TablebodyleftTables"/>
              <w:jc w:val="right"/>
            </w:pPr>
            <w:r>
              <w:t>18</w:t>
            </w:r>
          </w:p>
        </w:tc>
        <w:tc>
          <w:tcPr>
            <w:tcW w:w="1276" w:type="dxa"/>
          </w:tcPr>
          <w:p w14:paraId="2DEC79BA" w14:textId="77777777" w:rsidR="00B02873" w:rsidRDefault="00B02873" w:rsidP="00B23E1C">
            <w:pPr>
              <w:pStyle w:val="TablebodyleftTables"/>
              <w:jc w:val="right"/>
            </w:pPr>
            <w:r>
              <w:t>19</w:t>
            </w:r>
          </w:p>
        </w:tc>
        <w:tc>
          <w:tcPr>
            <w:tcW w:w="1623" w:type="dxa"/>
          </w:tcPr>
          <w:p w14:paraId="6406A4AB" w14:textId="77777777" w:rsidR="00B02873" w:rsidRDefault="00B02873" w:rsidP="00B23E1C">
            <w:pPr>
              <w:pStyle w:val="TablebodyleftTables"/>
              <w:jc w:val="right"/>
            </w:pPr>
            <w:r>
              <w:t>20</w:t>
            </w:r>
          </w:p>
        </w:tc>
      </w:tr>
    </w:tbl>
    <w:p w14:paraId="7B6C3C87" w14:textId="77777777" w:rsidR="00B02873" w:rsidRDefault="00B02873" w:rsidP="00FE198A"/>
    <w:p w14:paraId="025AF15F" w14:textId="77777777" w:rsidR="00B02873" w:rsidRDefault="00B02873" w:rsidP="00FE198A">
      <w:r>
        <w:t>DELWP’s Environment Management System (EMS) was set up to meet government requirements under Financial Reporting Directive 24 (FRD24), with a range of reporting indicators enabling departments to monitor and improve environmental performance over time. The EMS is externally audited every two years and audit recommendations are submitted to the Commissioner for Environmental Sustainability Victoria (CES).</w:t>
      </w:r>
    </w:p>
    <w:p w14:paraId="75EA7365" w14:textId="77777777" w:rsidR="00B02873" w:rsidRDefault="00B02873" w:rsidP="00FE198A">
      <w:pPr>
        <w:rPr>
          <w:spacing w:val="-1"/>
        </w:rPr>
      </w:pPr>
      <w:r>
        <w:rPr>
          <w:spacing w:val="-1"/>
        </w:rPr>
        <w:t>CES use both FRD24 annual report data and EMS audit findings from all departments (along with Sustainability Victoria and the Environment Protection Authority) to assess government’s overall environmental performance in the CES Strategic Audit Report.</w:t>
      </w:r>
    </w:p>
    <w:p w14:paraId="3E59D823" w14:textId="77777777" w:rsidR="00B02873" w:rsidRDefault="00B02873" w:rsidP="00367FD6">
      <w:pPr>
        <w:pStyle w:val="Heading3"/>
        <w:rPr>
          <w:vertAlign w:val="superscript"/>
        </w:rPr>
      </w:pPr>
      <w:r>
        <w:t>Environmental performance reporting summary</w:t>
      </w:r>
      <w:r>
        <w:rPr>
          <w:vertAlign w:val="superscript"/>
        </w:rPr>
        <w:t>(i)</w:t>
      </w:r>
    </w:p>
    <w:tbl>
      <w:tblPr>
        <w:tblStyle w:val="TableGrid"/>
        <w:tblW w:w="9691" w:type="dxa"/>
        <w:tblInd w:w="-57" w:type="dxa"/>
        <w:tblLayout w:type="fixed"/>
        <w:tblLook w:val="0020" w:firstRow="1" w:lastRow="0" w:firstColumn="0" w:lastColumn="0" w:noHBand="0" w:noVBand="0"/>
      </w:tblPr>
      <w:tblGrid>
        <w:gridCol w:w="4021"/>
        <w:gridCol w:w="993"/>
        <w:gridCol w:w="992"/>
        <w:gridCol w:w="1276"/>
        <w:gridCol w:w="1134"/>
        <w:gridCol w:w="1275"/>
      </w:tblGrid>
      <w:tr w:rsidR="00B02873" w:rsidRPr="00367FD6" w14:paraId="49FEF4C5" w14:textId="77777777" w:rsidTr="00367FD6">
        <w:trPr>
          <w:cnfStyle w:val="100000000000" w:firstRow="1" w:lastRow="0" w:firstColumn="0" w:lastColumn="0" w:oddVBand="0" w:evenVBand="0" w:oddHBand="0" w:evenHBand="0" w:firstRowFirstColumn="0" w:firstRowLastColumn="0" w:lastRowFirstColumn="0" w:lastRowLastColumn="0"/>
          <w:tblHeader/>
        </w:trPr>
        <w:tc>
          <w:tcPr>
            <w:tcW w:w="4021" w:type="dxa"/>
          </w:tcPr>
          <w:p w14:paraId="17C59D98" w14:textId="77777777" w:rsidR="00B02873" w:rsidRPr="00367FD6" w:rsidRDefault="00B02873" w:rsidP="00367FD6">
            <w:pPr>
              <w:pStyle w:val="TableheadingleftTables"/>
            </w:pPr>
          </w:p>
        </w:tc>
        <w:tc>
          <w:tcPr>
            <w:tcW w:w="993" w:type="dxa"/>
          </w:tcPr>
          <w:p w14:paraId="133B92C2" w14:textId="77777777" w:rsidR="00B02873" w:rsidRPr="00367FD6" w:rsidRDefault="00B02873" w:rsidP="00B23E1C">
            <w:pPr>
              <w:pStyle w:val="TableheadingleftTables"/>
              <w:jc w:val="right"/>
            </w:pPr>
            <w:r w:rsidRPr="00367FD6">
              <w:t>2021-22</w:t>
            </w:r>
          </w:p>
        </w:tc>
        <w:tc>
          <w:tcPr>
            <w:tcW w:w="992" w:type="dxa"/>
          </w:tcPr>
          <w:p w14:paraId="6F79DB57" w14:textId="77777777" w:rsidR="00B02873" w:rsidRPr="00367FD6" w:rsidRDefault="00B02873" w:rsidP="00B23E1C">
            <w:pPr>
              <w:pStyle w:val="TableheadingleftTables"/>
              <w:jc w:val="right"/>
            </w:pPr>
            <w:r w:rsidRPr="00367FD6">
              <w:t>2020-21</w:t>
            </w:r>
          </w:p>
        </w:tc>
        <w:tc>
          <w:tcPr>
            <w:tcW w:w="1276" w:type="dxa"/>
          </w:tcPr>
          <w:p w14:paraId="30E081A8" w14:textId="77777777" w:rsidR="00B02873" w:rsidRPr="00367FD6" w:rsidRDefault="00B02873" w:rsidP="00B23E1C">
            <w:pPr>
              <w:pStyle w:val="TableheadingleftTables"/>
              <w:jc w:val="right"/>
            </w:pPr>
            <w:r w:rsidRPr="00367FD6">
              <w:t>Difference to 2020-21</w:t>
            </w:r>
          </w:p>
        </w:tc>
        <w:tc>
          <w:tcPr>
            <w:tcW w:w="1134" w:type="dxa"/>
          </w:tcPr>
          <w:p w14:paraId="2FDAD6FC" w14:textId="77777777" w:rsidR="00B02873" w:rsidRPr="00367FD6" w:rsidRDefault="00B02873" w:rsidP="00B23E1C">
            <w:pPr>
              <w:pStyle w:val="TableheadingleftTables"/>
              <w:jc w:val="right"/>
            </w:pPr>
            <w:r w:rsidRPr="00367FD6">
              <w:t>2014-15 baseline</w:t>
            </w:r>
          </w:p>
        </w:tc>
        <w:tc>
          <w:tcPr>
            <w:tcW w:w="1275" w:type="dxa"/>
          </w:tcPr>
          <w:p w14:paraId="797649ED" w14:textId="77777777" w:rsidR="00B02873" w:rsidRPr="00367FD6" w:rsidRDefault="00B02873" w:rsidP="00B23E1C">
            <w:pPr>
              <w:pStyle w:val="TableheadingleftTables"/>
              <w:jc w:val="right"/>
            </w:pPr>
            <w:r w:rsidRPr="00367FD6">
              <w:t>Difference to baseline</w:t>
            </w:r>
          </w:p>
        </w:tc>
      </w:tr>
      <w:tr w:rsidR="00B02873" w:rsidRPr="00B02873" w14:paraId="3F885EF2" w14:textId="77777777" w:rsidTr="00367FD6">
        <w:tc>
          <w:tcPr>
            <w:tcW w:w="4021" w:type="dxa"/>
          </w:tcPr>
          <w:p w14:paraId="55010427" w14:textId="206FF8A3" w:rsidR="00B02873" w:rsidRDefault="00B02873" w:rsidP="00367FD6">
            <w:pPr>
              <w:pStyle w:val="TablebodyleftTables"/>
            </w:pPr>
            <w:r>
              <w:rPr>
                <w:rStyle w:val="Bold"/>
              </w:rPr>
              <w:t>Total reported emissions (tonnes of CO</w:t>
            </w:r>
            <w:r w:rsidRPr="00A93AE6">
              <w:rPr>
                <w:rStyle w:val="Bold"/>
                <w:vertAlign w:val="subscript"/>
              </w:rPr>
              <w:t>2</w:t>
            </w:r>
            <w:r>
              <w:rPr>
                <w:rStyle w:val="Bold"/>
              </w:rPr>
              <w:t>-e)</w:t>
            </w:r>
            <w:r>
              <w:rPr>
                <w:rStyle w:val="Bold"/>
                <w:vertAlign w:val="superscript"/>
              </w:rPr>
              <w:t>(ii)</w:t>
            </w:r>
          </w:p>
        </w:tc>
        <w:tc>
          <w:tcPr>
            <w:tcW w:w="993" w:type="dxa"/>
          </w:tcPr>
          <w:p w14:paraId="23093D29" w14:textId="77777777" w:rsidR="00B02873" w:rsidRDefault="00B02873" w:rsidP="00B23E1C">
            <w:pPr>
              <w:pStyle w:val="TablebodyleftTables"/>
              <w:jc w:val="right"/>
            </w:pPr>
            <w:r>
              <w:rPr>
                <w:rStyle w:val="Bold"/>
              </w:rPr>
              <w:t>6,374</w:t>
            </w:r>
          </w:p>
        </w:tc>
        <w:tc>
          <w:tcPr>
            <w:tcW w:w="992" w:type="dxa"/>
          </w:tcPr>
          <w:p w14:paraId="347C2470" w14:textId="77777777" w:rsidR="00B02873" w:rsidRDefault="00B02873" w:rsidP="00B23E1C">
            <w:pPr>
              <w:pStyle w:val="TablebodyleftTables"/>
              <w:jc w:val="right"/>
            </w:pPr>
            <w:r>
              <w:rPr>
                <w:rStyle w:val="Bold"/>
                <w:spacing w:val="-5"/>
              </w:rPr>
              <w:t>13,683</w:t>
            </w:r>
          </w:p>
        </w:tc>
        <w:tc>
          <w:tcPr>
            <w:tcW w:w="1276" w:type="dxa"/>
          </w:tcPr>
          <w:p w14:paraId="198EAEA9" w14:textId="77777777" w:rsidR="00B02873" w:rsidRDefault="00B02873" w:rsidP="00B23E1C">
            <w:pPr>
              <w:pStyle w:val="TablebodyleftTables"/>
              <w:jc w:val="right"/>
            </w:pPr>
            <w:r>
              <w:rPr>
                <w:spacing w:val="-2"/>
              </w:rPr>
              <w:t>-53%</w:t>
            </w:r>
          </w:p>
        </w:tc>
        <w:tc>
          <w:tcPr>
            <w:tcW w:w="1134" w:type="dxa"/>
          </w:tcPr>
          <w:p w14:paraId="11CF584C" w14:textId="77777777" w:rsidR="00B02873" w:rsidRDefault="00B02873" w:rsidP="00B23E1C">
            <w:pPr>
              <w:pStyle w:val="TablebodyleftTables"/>
              <w:jc w:val="right"/>
            </w:pPr>
            <w:r>
              <w:rPr>
                <w:rStyle w:val="Bold"/>
                <w:spacing w:val="-5"/>
              </w:rPr>
              <w:t>26,321</w:t>
            </w:r>
          </w:p>
        </w:tc>
        <w:tc>
          <w:tcPr>
            <w:tcW w:w="1275" w:type="dxa"/>
          </w:tcPr>
          <w:p w14:paraId="5A7B1959" w14:textId="77777777" w:rsidR="00B02873" w:rsidRDefault="00B02873" w:rsidP="00B23E1C">
            <w:pPr>
              <w:pStyle w:val="TablebodyleftTables"/>
              <w:jc w:val="right"/>
            </w:pPr>
            <w:r>
              <w:t>-76%</w:t>
            </w:r>
          </w:p>
        </w:tc>
      </w:tr>
      <w:tr w:rsidR="00B02873" w:rsidRPr="00B02873" w14:paraId="2673F323" w14:textId="77777777" w:rsidTr="00367FD6">
        <w:tc>
          <w:tcPr>
            <w:tcW w:w="4021" w:type="dxa"/>
          </w:tcPr>
          <w:p w14:paraId="6DAF4E2A" w14:textId="77777777" w:rsidR="00B02873" w:rsidRDefault="00B02873" w:rsidP="00367FD6">
            <w:pPr>
              <w:pStyle w:val="TablebodyleftTables"/>
            </w:pPr>
            <w:r>
              <w:rPr>
                <w:rStyle w:val="Bold"/>
              </w:rPr>
              <w:t>Total FRD24 emissions (tonnes of CO</w:t>
            </w:r>
            <w:r w:rsidRPr="00A93AE6">
              <w:rPr>
                <w:rStyle w:val="Bold"/>
                <w:vertAlign w:val="subscript"/>
              </w:rPr>
              <w:t>2</w:t>
            </w:r>
            <w:r>
              <w:rPr>
                <w:rStyle w:val="Bold"/>
              </w:rPr>
              <w:t>-e)</w:t>
            </w:r>
          </w:p>
        </w:tc>
        <w:tc>
          <w:tcPr>
            <w:tcW w:w="993" w:type="dxa"/>
          </w:tcPr>
          <w:p w14:paraId="7956A2CE" w14:textId="77777777" w:rsidR="00B02873" w:rsidRDefault="00B02873" w:rsidP="00B23E1C">
            <w:pPr>
              <w:pStyle w:val="TablebodyleftTables"/>
              <w:jc w:val="right"/>
            </w:pPr>
            <w:r>
              <w:rPr>
                <w:rStyle w:val="Bold"/>
              </w:rPr>
              <w:t>566</w:t>
            </w:r>
          </w:p>
        </w:tc>
        <w:tc>
          <w:tcPr>
            <w:tcW w:w="992" w:type="dxa"/>
          </w:tcPr>
          <w:p w14:paraId="0BB0BB4A" w14:textId="77777777" w:rsidR="00B02873" w:rsidRDefault="00B02873" w:rsidP="00B23E1C">
            <w:pPr>
              <w:pStyle w:val="TablebodyleftTables"/>
              <w:jc w:val="right"/>
            </w:pPr>
            <w:r>
              <w:rPr>
                <w:rStyle w:val="Bold"/>
                <w:spacing w:val="-5"/>
              </w:rPr>
              <w:t>3,012</w:t>
            </w:r>
          </w:p>
        </w:tc>
        <w:tc>
          <w:tcPr>
            <w:tcW w:w="1276" w:type="dxa"/>
          </w:tcPr>
          <w:p w14:paraId="160DC281" w14:textId="77777777" w:rsidR="00B02873" w:rsidRDefault="00B02873" w:rsidP="00B23E1C">
            <w:pPr>
              <w:pStyle w:val="TablebodyleftTables"/>
              <w:jc w:val="right"/>
            </w:pPr>
            <w:r>
              <w:t>-81%</w:t>
            </w:r>
          </w:p>
        </w:tc>
        <w:tc>
          <w:tcPr>
            <w:tcW w:w="1134" w:type="dxa"/>
          </w:tcPr>
          <w:p w14:paraId="28EB8051" w14:textId="77777777" w:rsidR="00B02873" w:rsidRDefault="00B02873" w:rsidP="00B23E1C">
            <w:pPr>
              <w:pStyle w:val="TablebodyleftTables"/>
              <w:jc w:val="right"/>
            </w:pPr>
            <w:r>
              <w:rPr>
                <w:rStyle w:val="Bold"/>
                <w:spacing w:val="-3"/>
              </w:rPr>
              <w:t>12,164</w:t>
            </w:r>
          </w:p>
        </w:tc>
        <w:tc>
          <w:tcPr>
            <w:tcW w:w="1275" w:type="dxa"/>
          </w:tcPr>
          <w:p w14:paraId="6DA678C4" w14:textId="77777777" w:rsidR="00B02873" w:rsidRDefault="00B02873" w:rsidP="00B23E1C">
            <w:pPr>
              <w:pStyle w:val="TablebodyleftTables"/>
              <w:jc w:val="right"/>
            </w:pPr>
            <w:r>
              <w:rPr>
                <w:spacing w:val="-3"/>
              </w:rPr>
              <w:t>-95%</w:t>
            </w:r>
          </w:p>
        </w:tc>
      </w:tr>
      <w:tr w:rsidR="00B02873" w:rsidRPr="00B02873" w14:paraId="7E8B737D" w14:textId="77777777" w:rsidTr="00367FD6">
        <w:tc>
          <w:tcPr>
            <w:tcW w:w="4021" w:type="dxa"/>
          </w:tcPr>
          <w:p w14:paraId="3A514C34" w14:textId="77777777" w:rsidR="00B02873" w:rsidRDefault="00B02873" w:rsidP="00367FD6">
            <w:pPr>
              <w:pStyle w:val="TablebodyleftTables"/>
            </w:pPr>
            <w:r>
              <w:t>Total electricity emissions</w:t>
            </w:r>
          </w:p>
        </w:tc>
        <w:tc>
          <w:tcPr>
            <w:tcW w:w="993" w:type="dxa"/>
          </w:tcPr>
          <w:p w14:paraId="5BE526F4" w14:textId="77777777" w:rsidR="00B02873" w:rsidRDefault="00B02873" w:rsidP="00B23E1C">
            <w:pPr>
              <w:pStyle w:val="TablebodyleftTables"/>
              <w:jc w:val="right"/>
            </w:pPr>
            <w:r>
              <w:t>0</w:t>
            </w:r>
          </w:p>
        </w:tc>
        <w:tc>
          <w:tcPr>
            <w:tcW w:w="992" w:type="dxa"/>
          </w:tcPr>
          <w:p w14:paraId="01144419" w14:textId="77777777" w:rsidR="00B02873" w:rsidRDefault="00B02873" w:rsidP="00B23E1C">
            <w:pPr>
              <w:pStyle w:val="TablebodyleftTables"/>
              <w:jc w:val="right"/>
            </w:pPr>
            <w:r>
              <w:t>6,557</w:t>
            </w:r>
          </w:p>
        </w:tc>
        <w:tc>
          <w:tcPr>
            <w:tcW w:w="1276" w:type="dxa"/>
          </w:tcPr>
          <w:p w14:paraId="01852450" w14:textId="77777777" w:rsidR="00B02873" w:rsidRDefault="00B02873" w:rsidP="00B23E1C">
            <w:pPr>
              <w:pStyle w:val="TablebodyleftTables"/>
              <w:jc w:val="right"/>
            </w:pPr>
            <w:r>
              <w:t>-100%</w:t>
            </w:r>
          </w:p>
        </w:tc>
        <w:tc>
          <w:tcPr>
            <w:tcW w:w="1134" w:type="dxa"/>
          </w:tcPr>
          <w:p w14:paraId="6BCED180" w14:textId="77777777" w:rsidR="00B02873" w:rsidRDefault="00B02873" w:rsidP="00B23E1C">
            <w:pPr>
              <w:pStyle w:val="TablebodyleftTables"/>
              <w:jc w:val="right"/>
            </w:pPr>
            <w:r>
              <w:t>17,290</w:t>
            </w:r>
          </w:p>
        </w:tc>
        <w:tc>
          <w:tcPr>
            <w:tcW w:w="1275" w:type="dxa"/>
          </w:tcPr>
          <w:p w14:paraId="784808ED" w14:textId="77777777" w:rsidR="00B02873" w:rsidRDefault="00B02873" w:rsidP="00B23E1C">
            <w:pPr>
              <w:pStyle w:val="TablebodyleftTables"/>
              <w:jc w:val="right"/>
            </w:pPr>
            <w:r>
              <w:t>-100%</w:t>
            </w:r>
          </w:p>
        </w:tc>
      </w:tr>
      <w:tr w:rsidR="00B02873" w:rsidRPr="00B02873" w14:paraId="26A7AE67" w14:textId="77777777" w:rsidTr="00367FD6">
        <w:tc>
          <w:tcPr>
            <w:tcW w:w="4021" w:type="dxa"/>
          </w:tcPr>
          <w:p w14:paraId="46DA8B4E" w14:textId="77777777" w:rsidR="00B02873" w:rsidRDefault="00B02873" w:rsidP="00367FD6">
            <w:pPr>
              <w:pStyle w:val="TablebodyleftTables"/>
            </w:pPr>
            <w:r>
              <w:t>Total natural gas and LPG emissions</w:t>
            </w:r>
          </w:p>
        </w:tc>
        <w:tc>
          <w:tcPr>
            <w:tcW w:w="993" w:type="dxa"/>
          </w:tcPr>
          <w:p w14:paraId="491F03C8" w14:textId="77777777" w:rsidR="00B02873" w:rsidRDefault="00B02873" w:rsidP="00B23E1C">
            <w:pPr>
              <w:pStyle w:val="TablebodyleftTables"/>
              <w:jc w:val="right"/>
            </w:pPr>
            <w:r>
              <w:t>513</w:t>
            </w:r>
          </w:p>
        </w:tc>
        <w:tc>
          <w:tcPr>
            <w:tcW w:w="992" w:type="dxa"/>
          </w:tcPr>
          <w:p w14:paraId="45E0DE55" w14:textId="77777777" w:rsidR="00B02873" w:rsidRDefault="00B02873" w:rsidP="00B23E1C">
            <w:pPr>
              <w:pStyle w:val="TablebodyleftTables"/>
              <w:jc w:val="right"/>
            </w:pPr>
            <w:r>
              <w:t>687</w:t>
            </w:r>
          </w:p>
        </w:tc>
        <w:tc>
          <w:tcPr>
            <w:tcW w:w="1276" w:type="dxa"/>
          </w:tcPr>
          <w:p w14:paraId="5EBE3214" w14:textId="77777777" w:rsidR="00B02873" w:rsidRDefault="00B02873" w:rsidP="00B23E1C">
            <w:pPr>
              <w:pStyle w:val="TablebodyleftTables"/>
              <w:jc w:val="right"/>
            </w:pPr>
            <w:r>
              <w:t>-25%</w:t>
            </w:r>
          </w:p>
        </w:tc>
        <w:tc>
          <w:tcPr>
            <w:tcW w:w="1134" w:type="dxa"/>
          </w:tcPr>
          <w:p w14:paraId="419402E1" w14:textId="77777777" w:rsidR="00B02873" w:rsidRDefault="00B02873" w:rsidP="00B23E1C">
            <w:pPr>
              <w:pStyle w:val="TablebodyleftTables"/>
              <w:jc w:val="right"/>
            </w:pPr>
            <w:r>
              <w:t>768</w:t>
            </w:r>
          </w:p>
        </w:tc>
        <w:tc>
          <w:tcPr>
            <w:tcW w:w="1275" w:type="dxa"/>
          </w:tcPr>
          <w:p w14:paraId="663F54DE" w14:textId="77777777" w:rsidR="00B02873" w:rsidRDefault="00B02873" w:rsidP="00B23E1C">
            <w:pPr>
              <w:pStyle w:val="TablebodyleftTables"/>
              <w:jc w:val="right"/>
            </w:pPr>
            <w:r>
              <w:t>-33%</w:t>
            </w:r>
          </w:p>
        </w:tc>
      </w:tr>
      <w:tr w:rsidR="00B02873" w:rsidRPr="00B02873" w14:paraId="23117B6F" w14:textId="77777777" w:rsidTr="00367FD6">
        <w:tc>
          <w:tcPr>
            <w:tcW w:w="4021" w:type="dxa"/>
          </w:tcPr>
          <w:p w14:paraId="09DA7286" w14:textId="77777777" w:rsidR="00B02873" w:rsidRDefault="00B02873" w:rsidP="00367FD6">
            <w:pPr>
              <w:pStyle w:val="TablebodyleftTables"/>
            </w:pPr>
            <w:r>
              <w:t>Total passenger vehicle emissions</w:t>
            </w:r>
          </w:p>
        </w:tc>
        <w:tc>
          <w:tcPr>
            <w:tcW w:w="993" w:type="dxa"/>
          </w:tcPr>
          <w:p w14:paraId="1C682EA3" w14:textId="77777777" w:rsidR="00B02873" w:rsidRDefault="00B02873" w:rsidP="00B23E1C">
            <w:pPr>
              <w:pStyle w:val="TablebodyleftTables"/>
              <w:jc w:val="right"/>
            </w:pPr>
            <w:r>
              <w:t>309</w:t>
            </w:r>
          </w:p>
        </w:tc>
        <w:tc>
          <w:tcPr>
            <w:tcW w:w="992" w:type="dxa"/>
          </w:tcPr>
          <w:p w14:paraId="63D1E048" w14:textId="77777777" w:rsidR="00B02873" w:rsidRDefault="00B02873" w:rsidP="00B23E1C">
            <w:pPr>
              <w:pStyle w:val="TablebodyleftTables"/>
              <w:jc w:val="right"/>
            </w:pPr>
            <w:r>
              <w:t>222</w:t>
            </w:r>
          </w:p>
        </w:tc>
        <w:tc>
          <w:tcPr>
            <w:tcW w:w="1276" w:type="dxa"/>
          </w:tcPr>
          <w:p w14:paraId="0596056C" w14:textId="77777777" w:rsidR="00B02873" w:rsidRDefault="00B02873" w:rsidP="00B23E1C">
            <w:pPr>
              <w:pStyle w:val="TablebodyleftTables"/>
              <w:jc w:val="right"/>
            </w:pPr>
            <w:r>
              <w:t>39%</w:t>
            </w:r>
          </w:p>
        </w:tc>
        <w:tc>
          <w:tcPr>
            <w:tcW w:w="1134" w:type="dxa"/>
          </w:tcPr>
          <w:p w14:paraId="675ABCD9" w14:textId="77777777" w:rsidR="00B02873" w:rsidRDefault="00B02873" w:rsidP="00B23E1C">
            <w:pPr>
              <w:pStyle w:val="TablebodyleftTables"/>
              <w:jc w:val="right"/>
            </w:pPr>
            <w:r>
              <w:t>876</w:t>
            </w:r>
          </w:p>
        </w:tc>
        <w:tc>
          <w:tcPr>
            <w:tcW w:w="1275" w:type="dxa"/>
          </w:tcPr>
          <w:p w14:paraId="1F0BCF03" w14:textId="77777777" w:rsidR="00B02873" w:rsidRDefault="00B02873" w:rsidP="00B23E1C">
            <w:pPr>
              <w:pStyle w:val="TablebodyleftTables"/>
              <w:jc w:val="right"/>
            </w:pPr>
            <w:r>
              <w:t>-65%</w:t>
            </w:r>
          </w:p>
        </w:tc>
      </w:tr>
      <w:tr w:rsidR="00B02873" w:rsidRPr="00B02873" w14:paraId="24CE84E8" w14:textId="77777777" w:rsidTr="00367FD6">
        <w:tc>
          <w:tcPr>
            <w:tcW w:w="4021" w:type="dxa"/>
          </w:tcPr>
          <w:p w14:paraId="70B926E4" w14:textId="404EACC9" w:rsidR="00B02873" w:rsidRDefault="00B02873" w:rsidP="00367FD6">
            <w:pPr>
              <w:pStyle w:val="TablebodyleftTables"/>
            </w:pPr>
            <w:r>
              <w:t>Total operational vehicle emissions</w:t>
            </w:r>
            <w:r>
              <w:rPr>
                <w:vertAlign w:val="superscript"/>
              </w:rPr>
              <w:t>(ii)</w:t>
            </w:r>
          </w:p>
        </w:tc>
        <w:tc>
          <w:tcPr>
            <w:tcW w:w="993" w:type="dxa"/>
          </w:tcPr>
          <w:p w14:paraId="0A15E34E" w14:textId="77777777" w:rsidR="00B02873" w:rsidRDefault="00B02873" w:rsidP="00B23E1C">
            <w:pPr>
              <w:pStyle w:val="TablebodyleftTables"/>
              <w:jc w:val="right"/>
            </w:pPr>
            <w:r>
              <w:t>5,488</w:t>
            </w:r>
          </w:p>
        </w:tc>
        <w:tc>
          <w:tcPr>
            <w:tcW w:w="992" w:type="dxa"/>
          </w:tcPr>
          <w:p w14:paraId="04BDDF29" w14:textId="77777777" w:rsidR="00B02873" w:rsidRDefault="00B02873" w:rsidP="00B23E1C">
            <w:pPr>
              <w:pStyle w:val="TablebodyleftTables"/>
              <w:jc w:val="right"/>
            </w:pPr>
            <w:r>
              <w:t>6,160</w:t>
            </w:r>
          </w:p>
        </w:tc>
        <w:tc>
          <w:tcPr>
            <w:tcW w:w="1276" w:type="dxa"/>
          </w:tcPr>
          <w:p w14:paraId="0326E7BD" w14:textId="77777777" w:rsidR="00B02873" w:rsidRDefault="00B02873" w:rsidP="00B23E1C">
            <w:pPr>
              <w:pStyle w:val="TablebodyleftTables"/>
              <w:jc w:val="right"/>
            </w:pPr>
            <w:r>
              <w:t>-11%</w:t>
            </w:r>
          </w:p>
        </w:tc>
        <w:tc>
          <w:tcPr>
            <w:tcW w:w="1134" w:type="dxa"/>
          </w:tcPr>
          <w:p w14:paraId="0694E7D9" w14:textId="77777777" w:rsidR="00B02873" w:rsidRDefault="00B02873" w:rsidP="00B23E1C">
            <w:pPr>
              <w:pStyle w:val="TablebodyleftTables"/>
              <w:jc w:val="right"/>
            </w:pPr>
            <w:r>
              <w:t>6,326</w:t>
            </w:r>
          </w:p>
        </w:tc>
        <w:tc>
          <w:tcPr>
            <w:tcW w:w="1275" w:type="dxa"/>
          </w:tcPr>
          <w:p w14:paraId="198F2D6E" w14:textId="77777777" w:rsidR="00B02873" w:rsidRDefault="00B02873" w:rsidP="00B23E1C">
            <w:pPr>
              <w:pStyle w:val="TablebodyleftTables"/>
              <w:jc w:val="right"/>
            </w:pPr>
            <w:r>
              <w:t>-13%</w:t>
            </w:r>
          </w:p>
        </w:tc>
      </w:tr>
      <w:tr w:rsidR="00B02873" w:rsidRPr="00B02873" w14:paraId="0F75A983" w14:textId="77777777" w:rsidTr="00367FD6">
        <w:tc>
          <w:tcPr>
            <w:tcW w:w="4021" w:type="dxa"/>
          </w:tcPr>
          <w:p w14:paraId="21CD8C77" w14:textId="77777777" w:rsidR="00B02873" w:rsidRDefault="00B02873" w:rsidP="00367FD6">
            <w:pPr>
              <w:pStyle w:val="TablebodyleftTables"/>
            </w:pPr>
            <w:r>
              <w:rPr>
                <w:spacing w:val="-5"/>
              </w:rPr>
              <w:t>Total air travel, building waste and paper purchasing emissions</w:t>
            </w:r>
          </w:p>
        </w:tc>
        <w:tc>
          <w:tcPr>
            <w:tcW w:w="993" w:type="dxa"/>
          </w:tcPr>
          <w:p w14:paraId="65927AB2" w14:textId="77777777" w:rsidR="00B02873" w:rsidRDefault="00B02873" w:rsidP="00B23E1C">
            <w:pPr>
              <w:pStyle w:val="TablebodyleftTables"/>
              <w:jc w:val="right"/>
            </w:pPr>
            <w:r>
              <w:t>64</w:t>
            </w:r>
          </w:p>
        </w:tc>
        <w:tc>
          <w:tcPr>
            <w:tcW w:w="992" w:type="dxa"/>
          </w:tcPr>
          <w:p w14:paraId="3F79EF78" w14:textId="77777777" w:rsidR="00B02873" w:rsidRDefault="00B02873" w:rsidP="00B23E1C">
            <w:pPr>
              <w:pStyle w:val="TablebodyleftTables"/>
              <w:jc w:val="right"/>
            </w:pPr>
            <w:r>
              <w:t>57</w:t>
            </w:r>
          </w:p>
        </w:tc>
        <w:tc>
          <w:tcPr>
            <w:tcW w:w="1276" w:type="dxa"/>
          </w:tcPr>
          <w:p w14:paraId="43E4A6DC" w14:textId="77777777" w:rsidR="00B02873" w:rsidRDefault="00B02873" w:rsidP="00B23E1C">
            <w:pPr>
              <w:pStyle w:val="TablebodyleftTables"/>
              <w:jc w:val="right"/>
            </w:pPr>
            <w:r>
              <w:t xml:space="preserve">14% </w:t>
            </w:r>
          </w:p>
        </w:tc>
        <w:tc>
          <w:tcPr>
            <w:tcW w:w="1134" w:type="dxa"/>
          </w:tcPr>
          <w:p w14:paraId="35E21EB6" w14:textId="77777777" w:rsidR="00B02873" w:rsidRDefault="00B02873" w:rsidP="00B23E1C">
            <w:pPr>
              <w:pStyle w:val="TablebodyleftTables"/>
              <w:jc w:val="right"/>
            </w:pPr>
            <w:r>
              <w:t>1,061</w:t>
            </w:r>
          </w:p>
        </w:tc>
        <w:tc>
          <w:tcPr>
            <w:tcW w:w="1275" w:type="dxa"/>
          </w:tcPr>
          <w:p w14:paraId="3EC10F53" w14:textId="77777777" w:rsidR="00B02873" w:rsidRDefault="00B02873" w:rsidP="00B23E1C">
            <w:pPr>
              <w:pStyle w:val="TablebodyleftTables"/>
              <w:jc w:val="right"/>
            </w:pPr>
            <w:r>
              <w:t>-95%</w:t>
            </w:r>
          </w:p>
        </w:tc>
      </w:tr>
    </w:tbl>
    <w:p w14:paraId="5DCBEABB" w14:textId="77777777" w:rsidR="00B02873" w:rsidRPr="00367FD6" w:rsidRDefault="00B02873" w:rsidP="00367FD6">
      <w:pPr>
        <w:pStyle w:val="SourceNote"/>
        <w:rPr>
          <w:b/>
          <w:bCs/>
        </w:rPr>
      </w:pPr>
      <w:r w:rsidRPr="00367FD6">
        <w:rPr>
          <w:b/>
          <w:bCs/>
        </w:rPr>
        <w:t>Explanatory notes:</w:t>
      </w:r>
    </w:p>
    <w:p w14:paraId="72F8E7D7" w14:textId="208B65C5" w:rsidR="00B02873" w:rsidRPr="002C35BC" w:rsidRDefault="00B02873" w:rsidP="008316E9">
      <w:pPr>
        <w:pStyle w:val="SourceNote"/>
        <w:numPr>
          <w:ilvl w:val="0"/>
          <w:numId w:val="10"/>
        </w:numPr>
      </w:pPr>
      <w:r w:rsidRPr="002C35BC">
        <w:t>Due to COVID-19, there has been an increase in staff working from home from the 2020-21 reporting period onwards. This has had an impact on environmental performance reporting indicators, as detailed in the following sections.</w:t>
      </w:r>
    </w:p>
    <w:p w14:paraId="51E31020" w14:textId="77777777" w:rsidR="00B02873" w:rsidRPr="002C35BC" w:rsidRDefault="00B02873" w:rsidP="008316E9">
      <w:pPr>
        <w:pStyle w:val="SourceNote"/>
        <w:numPr>
          <w:ilvl w:val="0"/>
          <w:numId w:val="10"/>
        </w:numPr>
      </w:pPr>
      <w:r w:rsidRPr="002C35BC">
        <w:t>All operational vehicles are now included in reporting. Further detail is proved in the travel and transport section of the report.</w:t>
      </w:r>
    </w:p>
    <w:p w14:paraId="0EEE808F" w14:textId="77777777" w:rsidR="00B02873" w:rsidRDefault="00B02873" w:rsidP="002C35BC">
      <w:pPr>
        <w:pStyle w:val="Heading3"/>
      </w:pPr>
      <w:r>
        <w:t>Green Team program</w:t>
      </w:r>
    </w:p>
    <w:p w14:paraId="6EC694C2" w14:textId="77777777" w:rsidR="00B02873" w:rsidRDefault="00B02873" w:rsidP="00FE198A">
      <w:r>
        <w:t xml:space="preserve">DELWP’s </w:t>
      </w:r>
      <w:r w:rsidRPr="002C35BC">
        <w:rPr>
          <w:rStyle w:val="LightItalic"/>
          <w:rFonts w:asciiTheme="minorHAnsi" w:hAnsiTheme="minorHAnsi" w:cstheme="minorHAnsi"/>
        </w:rPr>
        <w:t>Green Team Program</w:t>
      </w:r>
      <w:r>
        <w:t xml:space="preserve"> aims to promote awareness of environmental objectives by encouraging positive environmental behaviours across the department. A group of staff Green Team volunteers help develop, implement, and refine a range of site-based initiatives and activities aimed at raising staff awareness to improve environmental performance.</w:t>
      </w:r>
    </w:p>
    <w:p w14:paraId="5345DA20" w14:textId="77777777" w:rsidR="00B02873" w:rsidRDefault="00B02873" w:rsidP="00FA43C4">
      <w:pPr>
        <w:pStyle w:val="Heading2Headings"/>
      </w:pPr>
      <w:r>
        <w:lastRenderedPageBreak/>
        <w:t>Greenhouse gas emissions</w:t>
      </w:r>
    </w:p>
    <w:p w14:paraId="728CEEBF" w14:textId="3845281E" w:rsidR="002C35BC" w:rsidRDefault="002C35BC" w:rsidP="00FA43C4">
      <w:pPr>
        <w:pStyle w:val="Number1Lists"/>
        <w:numPr>
          <w:ilvl w:val="0"/>
          <w:numId w:val="11"/>
        </w:numPr>
        <w:spacing w:after="200"/>
      </w:pPr>
      <w:r>
        <w:t>Affordable and clean energy</w:t>
      </w:r>
    </w:p>
    <w:p w14:paraId="39CDDD02" w14:textId="662C9E6C" w:rsidR="00B02873" w:rsidRDefault="00B02873" w:rsidP="002C35BC">
      <w:r>
        <w:t>DELWP has reduced total reported greenhouse gas emissions by 53 per cent since the 2020-21 reporting period and by 76 per cent since the 2014-15 baseline. A significant part of the reduction since the 2019-20 reporting period can be attributed to an increase in staff working from home due to COVIDSafe settings. The long-term reduction on the 2014-15 baseline has been achieved primarily through the purchase of green power, Australian Carbon Credit Units (ACCUs) and the ongoing installation of solar PV panels at DELWP sites.</w:t>
      </w:r>
    </w:p>
    <w:p w14:paraId="58C67571" w14:textId="6530F27F" w:rsidR="002C35BC" w:rsidRDefault="002C35BC" w:rsidP="002C35BC">
      <w:r>
        <w:rPr>
          <w:noProof/>
        </w:rPr>
        <w:drawing>
          <wp:inline distT="0" distB="0" distL="0" distR="0" wp14:anchorId="21D3E035" wp14:editId="19D8FB8C">
            <wp:extent cx="5733401" cy="2383971"/>
            <wp:effectExtent l="0" t="0" r="1270" b="0"/>
            <wp:docPr id="44" name="Picture 44" descr="Graph showing total reported emissions in tonnes CO2-e, broken down by source of emissions, for four financial years: 2014-15 (baseline year), 2019-20, 2020-21 and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 showing total reported emissions in tonnes CO2-e, broken down by source of emissions, for four financial years: 2014-15 (baseline year), 2019-20, 2020-21 and 2021-22."/>
                    <pic:cNvPicPr/>
                  </pic:nvPicPr>
                  <pic:blipFill rotWithShape="1">
                    <a:blip r:embed="rId68"/>
                    <a:srcRect b="2688"/>
                    <a:stretch/>
                  </pic:blipFill>
                  <pic:spPr bwMode="auto">
                    <a:xfrm>
                      <a:off x="0" y="0"/>
                      <a:ext cx="5742041" cy="2387564"/>
                    </a:xfrm>
                    <a:prstGeom prst="rect">
                      <a:avLst/>
                    </a:prstGeom>
                    <a:ln>
                      <a:noFill/>
                    </a:ln>
                    <a:extLst>
                      <a:ext uri="{53640926-AAD7-44D8-BBD7-CCE9431645EC}">
                        <a14:shadowObscured xmlns:a14="http://schemas.microsoft.com/office/drawing/2010/main"/>
                      </a:ext>
                    </a:extLst>
                  </pic:spPr>
                </pic:pic>
              </a:graphicData>
            </a:graphic>
          </wp:inline>
        </w:drawing>
      </w:r>
    </w:p>
    <w:p w14:paraId="29A47855" w14:textId="77777777" w:rsidR="00B02873" w:rsidRDefault="00B02873" w:rsidP="002C35BC">
      <w:pPr>
        <w:pStyle w:val="Heading3"/>
      </w:pPr>
      <w:r>
        <w:t>Actions undertaken:</w:t>
      </w:r>
    </w:p>
    <w:p w14:paraId="25A93038" w14:textId="34727DDA" w:rsidR="00B02873" w:rsidRDefault="00B02873" w:rsidP="00B02873">
      <w:pPr>
        <w:pStyle w:val="Bullet1Lists"/>
      </w:pPr>
      <w:r>
        <w:t xml:space="preserve">DELWP has committed to achieving net zero emissions by 2025 with </w:t>
      </w:r>
      <w:r w:rsidR="00FE2186">
        <w:t>a</w:t>
      </w:r>
      <w:r>
        <w:t xml:space="preserve"> plan finalised over the 2021-22 reporting period. </w:t>
      </w:r>
    </w:p>
    <w:p w14:paraId="66AB97ED" w14:textId="77777777" w:rsidR="00B02873" w:rsidRDefault="00B02873" w:rsidP="00B02873">
      <w:pPr>
        <w:pStyle w:val="Bullet1Lists"/>
      </w:pPr>
      <w:r>
        <w:t>DELWP has committed to net zero reported electricity emissions from 2021-22 onwards. This has been achieved primarily through the purchasing of 100 per cent Green Power across all DELWP sites.</w:t>
      </w:r>
    </w:p>
    <w:p w14:paraId="5FF05927" w14:textId="1001BD5E" w:rsidR="00B02873" w:rsidRDefault="00B02873" w:rsidP="00B02873">
      <w:pPr>
        <w:pStyle w:val="Bullet1Lists"/>
      </w:pPr>
      <w:r>
        <w:t>1,319 kW of solar PV panels have now been installed at 27 DELWP sites. These will reduce emissions by an estimated 1,112 tonnes CO</w:t>
      </w:r>
      <w:r w:rsidRPr="00FE2186">
        <w:rPr>
          <w:vertAlign w:val="subscript"/>
        </w:rPr>
        <w:t>2</w:t>
      </w:r>
      <w:r>
        <w:t>-e per year.</w:t>
      </w:r>
    </w:p>
    <w:p w14:paraId="22992940" w14:textId="3201F431" w:rsidR="00B02873" w:rsidRDefault="00B02873" w:rsidP="00B02873">
      <w:pPr>
        <w:pStyle w:val="Bullet1Lists"/>
      </w:pPr>
      <w:r>
        <w:t>All DELWP managed new builds</w:t>
      </w:r>
      <w:r w:rsidR="00012C04">
        <w:t xml:space="preserve"> </w:t>
      </w:r>
      <w:r>
        <w:t>and significant rebuilds have LED lighting and solar installation as a standard requirement and will be built to both 6-star NABERS ratings and Green Star principles.</w:t>
      </w:r>
    </w:p>
    <w:p w14:paraId="68D04E4B" w14:textId="77777777" w:rsidR="00B02873" w:rsidRDefault="00B02873" w:rsidP="00B02873">
      <w:pPr>
        <w:pStyle w:val="Bullet1Lists"/>
      </w:pPr>
      <w:r>
        <w:t>DELWP has committed to a policy of ‘zero emissions vehicles (ZEVs) first’ for the shared passenger vehicle fleet as current vehicles leases expire. As at 30 June 2022, DELWP has 14 ZEVs in the shared passenger vehicle fleet.</w:t>
      </w:r>
    </w:p>
    <w:p w14:paraId="1A588F7B" w14:textId="46995E13" w:rsidR="00B02873" w:rsidRDefault="00B02873" w:rsidP="00B02873">
      <w:pPr>
        <w:pStyle w:val="Bullet1Lists"/>
      </w:pPr>
      <w:r>
        <w:t>ACCUs have been purchased to offset 25 per cent of both operational vehicle emissions and building gas/LPG emissions.</w:t>
      </w:r>
    </w:p>
    <w:p w14:paraId="52851B4D" w14:textId="77777777" w:rsidR="00B02873" w:rsidRPr="00DE1FCE" w:rsidRDefault="00B02873" w:rsidP="002C35BC">
      <w:pPr>
        <w:pStyle w:val="Bullet1Listslast"/>
        <w:rPr>
          <w:rFonts w:cs="VIC"/>
          <w:b/>
          <w:bCs/>
          <w:color w:val="100149"/>
          <w:spacing w:val="-2"/>
          <w:sz w:val="20"/>
          <w:szCs w:val="20"/>
        </w:rPr>
      </w:pPr>
      <w:r w:rsidRPr="00D867EF">
        <w:rPr>
          <w:spacing w:val="-2"/>
        </w:rPr>
        <w:t>DELWP has continued offsetting all departmental air travel through the state purchasing contract.</w:t>
      </w:r>
    </w:p>
    <w:p w14:paraId="57754CF6" w14:textId="77777777" w:rsidR="00B02873" w:rsidRDefault="00B02873" w:rsidP="002C35BC">
      <w:pPr>
        <w:pStyle w:val="Heading3"/>
      </w:pPr>
      <w:r>
        <w:t>Future objectives:</w:t>
      </w:r>
    </w:p>
    <w:p w14:paraId="4A165A19" w14:textId="77777777" w:rsidR="00B02873" w:rsidRDefault="00B02873" w:rsidP="00B02873">
      <w:pPr>
        <w:pStyle w:val="Bullet1Lists"/>
      </w:pPr>
      <w:r>
        <w:t>An additional 429kW of solar PV panels (out of the 2021 commitment of 550KW) will be installed at sites before 2025.</w:t>
      </w:r>
    </w:p>
    <w:p w14:paraId="568B5E07" w14:textId="0FA69C5D" w:rsidR="00B02873" w:rsidRDefault="00B02873" w:rsidP="00B02873">
      <w:pPr>
        <w:pStyle w:val="Bullet1Lists"/>
      </w:pPr>
      <w:r>
        <w:t>DELWP will continue to purchase ACCUs towards offsetting emissions for both operational vehicles and building gas/LPG consumption to meet the 2025 net zero commitment.</w:t>
      </w:r>
    </w:p>
    <w:p w14:paraId="3BA3106E" w14:textId="77777777" w:rsidR="00B02873" w:rsidRDefault="00B02873" w:rsidP="00B02873">
      <w:pPr>
        <w:pStyle w:val="Bullet1Lists"/>
      </w:pPr>
      <w:r>
        <w:t>In the Hume region, DELWP is working with the Taungurung Land and Waters Council to put in place Power Purchase Agreements resulting in up to an additional 100kW of solar installations.</w:t>
      </w:r>
    </w:p>
    <w:p w14:paraId="79BA1649" w14:textId="77777777" w:rsidR="00B02873" w:rsidRDefault="00B02873" w:rsidP="00FE2186">
      <w:pPr>
        <w:pStyle w:val="Heading3"/>
      </w:pPr>
      <w:r>
        <w:lastRenderedPageBreak/>
        <w:t>Total reported greenhouse gas emissions summary (tonnes CO</w:t>
      </w:r>
      <w:r w:rsidRPr="00FE2186">
        <w:rPr>
          <w:vertAlign w:val="subscript"/>
        </w:rPr>
        <w:t>2</w:t>
      </w:r>
      <w:r>
        <w:t>-e):</w:t>
      </w:r>
    </w:p>
    <w:tbl>
      <w:tblPr>
        <w:tblStyle w:val="TableGrid"/>
        <w:tblW w:w="9776" w:type="dxa"/>
        <w:tblLayout w:type="fixed"/>
        <w:tblLook w:val="0020" w:firstRow="1" w:lastRow="0" w:firstColumn="0" w:lastColumn="0" w:noHBand="0" w:noVBand="0"/>
      </w:tblPr>
      <w:tblGrid>
        <w:gridCol w:w="4588"/>
        <w:gridCol w:w="1311"/>
        <w:gridCol w:w="1311"/>
        <w:gridCol w:w="1311"/>
        <w:gridCol w:w="1255"/>
      </w:tblGrid>
      <w:tr w:rsidR="00B02873" w:rsidRPr="00FE2186" w14:paraId="515E10DD" w14:textId="77777777" w:rsidTr="00D867EF">
        <w:trPr>
          <w:cnfStyle w:val="100000000000" w:firstRow="1" w:lastRow="0" w:firstColumn="0" w:lastColumn="0" w:oddVBand="0" w:evenVBand="0" w:oddHBand="0" w:evenHBand="0" w:firstRowFirstColumn="0" w:firstRowLastColumn="0" w:lastRowFirstColumn="0" w:lastRowLastColumn="0"/>
          <w:tblHeader/>
        </w:trPr>
        <w:tc>
          <w:tcPr>
            <w:tcW w:w="4588" w:type="dxa"/>
          </w:tcPr>
          <w:p w14:paraId="72F5F5EA" w14:textId="77777777" w:rsidR="00B02873" w:rsidRPr="00FE2186" w:rsidRDefault="00B02873" w:rsidP="00FE2186">
            <w:pPr>
              <w:pStyle w:val="TableheadingleftTables"/>
            </w:pPr>
          </w:p>
        </w:tc>
        <w:tc>
          <w:tcPr>
            <w:tcW w:w="1311" w:type="dxa"/>
          </w:tcPr>
          <w:p w14:paraId="60E7F489" w14:textId="77777777" w:rsidR="00B02873" w:rsidRPr="00FE2186" w:rsidRDefault="00B02873" w:rsidP="00B23E1C">
            <w:pPr>
              <w:pStyle w:val="TableheadingleftTables"/>
              <w:jc w:val="right"/>
            </w:pPr>
            <w:r w:rsidRPr="00FE2186">
              <w:t>2021-22</w:t>
            </w:r>
          </w:p>
        </w:tc>
        <w:tc>
          <w:tcPr>
            <w:tcW w:w="1311" w:type="dxa"/>
          </w:tcPr>
          <w:p w14:paraId="3D9D2694" w14:textId="77777777" w:rsidR="00B02873" w:rsidRPr="00FE2186" w:rsidRDefault="00B02873" w:rsidP="00B23E1C">
            <w:pPr>
              <w:pStyle w:val="TableheadingleftTables"/>
              <w:jc w:val="right"/>
            </w:pPr>
            <w:r w:rsidRPr="00FE2186">
              <w:t>2020-21</w:t>
            </w:r>
          </w:p>
        </w:tc>
        <w:tc>
          <w:tcPr>
            <w:tcW w:w="1311" w:type="dxa"/>
          </w:tcPr>
          <w:p w14:paraId="50DDCA71" w14:textId="77777777" w:rsidR="00B02873" w:rsidRPr="00FE2186" w:rsidRDefault="00B02873" w:rsidP="00B23E1C">
            <w:pPr>
              <w:pStyle w:val="TableheadingleftTables"/>
              <w:jc w:val="right"/>
            </w:pPr>
            <w:r w:rsidRPr="00FE2186">
              <w:t>2019-20</w:t>
            </w:r>
          </w:p>
        </w:tc>
        <w:tc>
          <w:tcPr>
            <w:tcW w:w="1255" w:type="dxa"/>
          </w:tcPr>
          <w:p w14:paraId="67AC203F" w14:textId="77777777" w:rsidR="00B02873" w:rsidRPr="00FE2186" w:rsidRDefault="00B02873" w:rsidP="00B23E1C">
            <w:pPr>
              <w:pStyle w:val="TableheadingleftTables"/>
              <w:jc w:val="right"/>
            </w:pPr>
            <w:r w:rsidRPr="00FE2186">
              <w:t>2014-15 (baseline)</w:t>
            </w:r>
          </w:p>
        </w:tc>
      </w:tr>
      <w:tr w:rsidR="00B02873" w:rsidRPr="00B02873" w14:paraId="4F9A2307" w14:textId="77777777" w:rsidTr="00D867EF">
        <w:tc>
          <w:tcPr>
            <w:tcW w:w="4588" w:type="dxa"/>
          </w:tcPr>
          <w:p w14:paraId="20B9D16B" w14:textId="46BBA471" w:rsidR="00B02873" w:rsidRDefault="00B02873" w:rsidP="00B415A9">
            <w:pPr>
              <w:pStyle w:val="TablebodyleftTables"/>
            </w:pPr>
            <w:r>
              <w:rPr>
                <w:rStyle w:val="Bold"/>
              </w:rPr>
              <w:t>Total reported greenhouse gas emissions(i)</w:t>
            </w:r>
          </w:p>
        </w:tc>
        <w:tc>
          <w:tcPr>
            <w:tcW w:w="1311" w:type="dxa"/>
          </w:tcPr>
          <w:p w14:paraId="13A3B543" w14:textId="77777777" w:rsidR="00B02873" w:rsidRDefault="00B02873" w:rsidP="00B23E1C">
            <w:pPr>
              <w:pStyle w:val="TablebodyleftTables"/>
              <w:jc w:val="right"/>
            </w:pPr>
            <w:r>
              <w:rPr>
                <w:rStyle w:val="Bold"/>
              </w:rPr>
              <w:t>6,374</w:t>
            </w:r>
          </w:p>
        </w:tc>
        <w:tc>
          <w:tcPr>
            <w:tcW w:w="1311" w:type="dxa"/>
          </w:tcPr>
          <w:p w14:paraId="0A6D9872" w14:textId="2808BB7E" w:rsidR="00B02873" w:rsidRDefault="00B02873" w:rsidP="00B23E1C">
            <w:pPr>
              <w:pStyle w:val="TablebodyleftTables"/>
              <w:jc w:val="right"/>
            </w:pPr>
            <w:r>
              <w:rPr>
                <w:rStyle w:val="Bold"/>
                <w:spacing w:val="-5"/>
              </w:rPr>
              <w:t>13,683</w:t>
            </w:r>
            <w:r>
              <w:rPr>
                <w:rStyle w:val="Bold"/>
                <w:spacing w:val="-5"/>
                <w:vertAlign w:val="superscript"/>
              </w:rPr>
              <w:t>(ii)(iii)</w:t>
            </w:r>
          </w:p>
        </w:tc>
        <w:tc>
          <w:tcPr>
            <w:tcW w:w="1311" w:type="dxa"/>
          </w:tcPr>
          <w:p w14:paraId="297DFD5F" w14:textId="77777777" w:rsidR="00B02873" w:rsidRDefault="00B02873" w:rsidP="00B23E1C">
            <w:pPr>
              <w:pStyle w:val="TablebodyleftTables"/>
              <w:jc w:val="right"/>
            </w:pPr>
            <w:r>
              <w:rPr>
                <w:rStyle w:val="Bold"/>
                <w:spacing w:val="-5"/>
              </w:rPr>
              <w:t>19,393</w:t>
            </w:r>
            <w:r>
              <w:rPr>
                <w:rStyle w:val="Bold"/>
                <w:spacing w:val="-5"/>
                <w:vertAlign w:val="superscript"/>
              </w:rPr>
              <w:t>(ii) (iii)</w:t>
            </w:r>
          </w:p>
        </w:tc>
        <w:tc>
          <w:tcPr>
            <w:tcW w:w="1255" w:type="dxa"/>
          </w:tcPr>
          <w:p w14:paraId="616DE294" w14:textId="77777777" w:rsidR="00B02873" w:rsidRDefault="00B02873" w:rsidP="00B23E1C">
            <w:pPr>
              <w:pStyle w:val="TablebodyleftTables"/>
              <w:jc w:val="right"/>
            </w:pPr>
            <w:r>
              <w:rPr>
                <w:rStyle w:val="Bold"/>
              </w:rPr>
              <w:t>26,321</w:t>
            </w:r>
            <w:r>
              <w:rPr>
                <w:rStyle w:val="Bold"/>
                <w:vertAlign w:val="superscript"/>
              </w:rPr>
              <w:t>(iii)</w:t>
            </w:r>
          </w:p>
        </w:tc>
      </w:tr>
      <w:tr w:rsidR="00B02873" w:rsidRPr="00B02873" w14:paraId="631AF94B" w14:textId="77777777" w:rsidTr="00D867EF">
        <w:tc>
          <w:tcPr>
            <w:tcW w:w="4588" w:type="dxa"/>
          </w:tcPr>
          <w:p w14:paraId="249D99A9" w14:textId="77777777" w:rsidR="00B02873" w:rsidRDefault="00B02873" w:rsidP="00B415A9">
            <w:pPr>
              <w:pStyle w:val="TablebodyleftTables"/>
            </w:pPr>
            <w:r>
              <w:t>Total electricity emissions (scope 2 and scope 3)</w:t>
            </w:r>
          </w:p>
        </w:tc>
        <w:tc>
          <w:tcPr>
            <w:tcW w:w="1311" w:type="dxa"/>
          </w:tcPr>
          <w:p w14:paraId="4D1CBD10" w14:textId="77777777" w:rsidR="00B02873" w:rsidRDefault="00B02873" w:rsidP="00B23E1C">
            <w:pPr>
              <w:pStyle w:val="TablebodyleftTables"/>
              <w:jc w:val="right"/>
            </w:pPr>
            <w:r>
              <w:t>0</w:t>
            </w:r>
          </w:p>
        </w:tc>
        <w:tc>
          <w:tcPr>
            <w:tcW w:w="1311" w:type="dxa"/>
          </w:tcPr>
          <w:p w14:paraId="628DF264" w14:textId="27A04F8E" w:rsidR="00B02873" w:rsidRDefault="00B02873" w:rsidP="00B23E1C">
            <w:pPr>
              <w:pStyle w:val="TablebodyleftTables"/>
              <w:jc w:val="right"/>
            </w:pPr>
            <w:r>
              <w:t>6,557</w:t>
            </w:r>
            <w:r w:rsidRPr="00FE2186">
              <w:rPr>
                <w:vertAlign w:val="superscript"/>
              </w:rPr>
              <w:t>(ii)</w:t>
            </w:r>
          </w:p>
        </w:tc>
        <w:tc>
          <w:tcPr>
            <w:tcW w:w="1311" w:type="dxa"/>
          </w:tcPr>
          <w:p w14:paraId="7A98CF86" w14:textId="4C18BF85" w:rsidR="00B02873" w:rsidRDefault="00B02873" w:rsidP="00B23E1C">
            <w:pPr>
              <w:pStyle w:val="TablebodyleftTables"/>
              <w:jc w:val="right"/>
            </w:pPr>
            <w:r>
              <w:t>9,180</w:t>
            </w:r>
            <w:r w:rsidRPr="00FE2186">
              <w:rPr>
                <w:vertAlign w:val="superscript"/>
              </w:rPr>
              <w:t>(ii)</w:t>
            </w:r>
          </w:p>
        </w:tc>
        <w:tc>
          <w:tcPr>
            <w:tcW w:w="1255" w:type="dxa"/>
          </w:tcPr>
          <w:p w14:paraId="535E48C8" w14:textId="77777777" w:rsidR="00B02873" w:rsidRDefault="00B02873" w:rsidP="00B23E1C">
            <w:pPr>
              <w:pStyle w:val="TablebodyleftTables"/>
              <w:jc w:val="right"/>
            </w:pPr>
            <w:r>
              <w:t>17,290</w:t>
            </w:r>
          </w:p>
        </w:tc>
      </w:tr>
      <w:tr w:rsidR="00B02873" w:rsidRPr="00B02873" w14:paraId="6BABAC53" w14:textId="77777777" w:rsidTr="00D867EF">
        <w:tc>
          <w:tcPr>
            <w:tcW w:w="4588" w:type="dxa"/>
          </w:tcPr>
          <w:p w14:paraId="1CDAADE1" w14:textId="77777777" w:rsidR="00B02873" w:rsidRDefault="00B02873" w:rsidP="00B415A9">
            <w:pPr>
              <w:pStyle w:val="TablebodyleftTables"/>
            </w:pPr>
            <w:r>
              <w:t>Total natural gas and LPG emissions (scope 1 and scope 3)</w:t>
            </w:r>
          </w:p>
        </w:tc>
        <w:tc>
          <w:tcPr>
            <w:tcW w:w="1311" w:type="dxa"/>
          </w:tcPr>
          <w:p w14:paraId="0C4D5F57" w14:textId="77777777" w:rsidR="00B02873" w:rsidRDefault="00B02873" w:rsidP="00B23E1C">
            <w:pPr>
              <w:pStyle w:val="TablebodyleftTables"/>
              <w:jc w:val="right"/>
            </w:pPr>
            <w:r>
              <w:t>513</w:t>
            </w:r>
          </w:p>
        </w:tc>
        <w:tc>
          <w:tcPr>
            <w:tcW w:w="1311" w:type="dxa"/>
          </w:tcPr>
          <w:p w14:paraId="0F4F54D7" w14:textId="77777777" w:rsidR="00B02873" w:rsidRDefault="00B02873" w:rsidP="00B23E1C">
            <w:pPr>
              <w:pStyle w:val="TablebodyleftTables"/>
              <w:jc w:val="right"/>
            </w:pPr>
            <w:r>
              <w:t>687</w:t>
            </w:r>
          </w:p>
        </w:tc>
        <w:tc>
          <w:tcPr>
            <w:tcW w:w="1311" w:type="dxa"/>
          </w:tcPr>
          <w:p w14:paraId="7176737A" w14:textId="77777777" w:rsidR="00B02873" w:rsidRDefault="00B02873" w:rsidP="00B23E1C">
            <w:pPr>
              <w:pStyle w:val="TablebodyleftTables"/>
              <w:jc w:val="right"/>
            </w:pPr>
            <w:r>
              <w:t>746</w:t>
            </w:r>
          </w:p>
        </w:tc>
        <w:tc>
          <w:tcPr>
            <w:tcW w:w="1255" w:type="dxa"/>
          </w:tcPr>
          <w:p w14:paraId="6838F213" w14:textId="77777777" w:rsidR="00B02873" w:rsidRDefault="00B02873" w:rsidP="00B23E1C">
            <w:pPr>
              <w:pStyle w:val="TablebodyleftTables"/>
              <w:jc w:val="right"/>
            </w:pPr>
            <w:r>
              <w:t>768</w:t>
            </w:r>
          </w:p>
        </w:tc>
      </w:tr>
      <w:tr w:rsidR="00B02873" w:rsidRPr="00B02873" w14:paraId="03C385AB" w14:textId="77777777" w:rsidTr="00D867EF">
        <w:tc>
          <w:tcPr>
            <w:tcW w:w="4588" w:type="dxa"/>
          </w:tcPr>
          <w:p w14:paraId="33FEDBCC" w14:textId="77777777" w:rsidR="00B02873" w:rsidRDefault="00B02873" w:rsidP="00B415A9">
            <w:pPr>
              <w:pStyle w:val="TablebodyleftTables"/>
            </w:pPr>
            <w:r>
              <w:t>Total passenger vehicle emissions (scope 1)</w:t>
            </w:r>
          </w:p>
        </w:tc>
        <w:tc>
          <w:tcPr>
            <w:tcW w:w="1311" w:type="dxa"/>
          </w:tcPr>
          <w:p w14:paraId="5342ED76" w14:textId="77777777" w:rsidR="00B02873" w:rsidRDefault="00B02873" w:rsidP="00B23E1C">
            <w:pPr>
              <w:pStyle w:val="TablebodyleftTables"/>
              <w:jc w:val="right"/>
            </w:pPr>
            <w:r>
              <w:t>309</w:t>
            </w:r>
          </w:p>
        </w:tc>
        <w:tc>
          <w:tcPr>
            <w:tcW w:w="1311" w:type="dxa"/>
          </w:tcPr>
          <w:p w14:paraId="499CA53A" w14:textId="77777777" w:rsidR="00B02873" w:rsidRDefault="00B02873" w:rsidP="00B23E1C">
            <w:pPr>
              <w:pStyle w:val="TablebodyleftTables"/>
              <w:jc w:val="right"/>
            </w:pPr>
            <w:r>
              <w:t>222</w:t>
            </w:r>
          </w:p>
        </w:tc>
        <w:tc>
          <w:tcPr>
            <w:tcW w:w="1311" w:type="dxa"/>
          </w:tcPr>
          <w:p w14:paraId="197B885A" w14:textId="77777777" w:rsidR="00B02873" w:rsidRDefault="00B02873" w:rsidP="00B23E1C">
            <w:pPr>
              <w:pStyle w:val="TablebodyleftTables"/>
              <w:jc w:val="right"/>
            </w:pPr>
            <w:r>
              <w:t>776</w:t>
            </w:r>
          </w:p>
        </w:tc>
        <w:tc>
          <w:tcPr>
            <w:tcW w:w="1255" w:type="dxa"/>
          </w:tcPr>
          <w:p w14:paraId="332A95D9" w14:textId="77777777" w:rsidR="00B02873" w:rsidRDefault="00B02873" w:rsidP="00B23E1C">
            <w:pPr>
              <w:pStyle w:val="TablebodyleftTables"/>
              <w:jc w:val="right"/>
            </w:pPr>
            <w:r>
              <w:t>876</w:t>
            </w:r>
          </w:p>
        </w:tc>
      </w:tr>
      <w:tr w:rsidR="00B02873" w:rsidRPr="00B02873" w14:paraId="3FCA9C9A" w14:textId="77777777" w:rsidTr="00D867EF">
        <w:tc>
          <w:tcPr>
            <w:tcW w:w="4588" w:type="dxa"/>
          </w:tcPr>
          <w:p w14:paraId="7EEBB0CE" w14:textId="77777777" w:rsidR="00B02873" w:rsidRDefault="00B02873" w:rsidP="00B415A9">
            <w:pPr>
              <w:pStyle w:val="TablebodyleftTables"/>
            </w:pPr>
            <w:r>
              <w:t>Total operational vehicle emissions (scope 1)</w:t>
            </w:r>
          </w:p>
        </w:tc>
        <w:tc>
          <w:tcPr>
            <w:tcW w:w="1311" w:type="dxa"/>
          </w:tcPr>
          <w:p w14:paraId="32EADE2D" w14:textId="77777777" w:rsidR="00B02873" w:rsidRDefault="00B02873" w:rsidP="00B23E1C">
            <w:pPr>
              <w:pStyle w:val="TablebodyleftTables"/>
              <w:jc w:val="right"/>
            </w:pPr>
            <w:r>
              <w:t>5,488</w:t>
            </w:r>
          </w:p>
        </w:tc>
        <w:tc>
          <w:tcPr>
            <w:tcW w:w="1311" w:type="dxa"/>
          </w:tcPr>
          <w:p w14:paraId="775A2A41" w14:textId="77777777" w:rsidR="00B02873" w:rsidRDefault="00B02873" w:rsidP="00B23E1C">
            <w:pPr>
              <w:pStyle w:val="TablebodyleftTables"/>
              <w:jc w:val="right"/>
            </w:pPr>
            <w:r>
              <w:t>6,160</w:t>
            </w:r>
            <w:r>
              <w:rPr>
                <w:vertAlign w:val="superscript"/>
              </w:rPr>
              <w:t>(iii)</w:t>
            </w:r>
          </w:p>
        </w:tc>
        <w:tc>
          <w:tcPr>
            <w:tcW w:w="1311" w:type="dxa"/>
          </w:tcPr>
          <w:p w14:paraId="5913EB82" w14:textId="77777777" w:rsidR="00B02873" w:rsidRDefault="00B02873" w:rsidP="00B23E1C">
            <w:pPr>
              <w:pStyle w:val="TablebodyleftTables"/>
              <w:jc w:val="right"/>
            </w:pPr>
            <w:r>
              <w:t>8,496</w:t>
            </w:r>
            <w:r>
              <w:rPr>
                <w:vertAlign w:val="superscript"/>
              </w:rPr>
              <w:t>(iii)</w:t>
            </w:r>
          </w:p>
        </w:tc>
        <w:tc>
          <w:tcPr>
            <w:tcW w:w="1255" w:type="dxa"/>
          </w:tcPr>
          <w:p w14:paraId="6C3EC9A4" w14:textId="77777777" w:rsidR="00B02873" w:rsidRDefault="00B02873" w:rsidP="00B23E1C">
            <w:pPr>
              <w:pStyle w:val="TablebodyleftTables"/>
              <w:jc w:val="right"/>
            </w:pPr>
            <w:r>
              <w:t>6,326</w:t>
            </w:r>
            <w:r>
              <w:rPr>
                <w:vertAlign w:val="superscript"/>
              </w:rPr>
              <w:t>(iii)</w:t>
            </w:r>
          </w:p>
        </w:tc>
      </w:tr>
      <w:tr w:rsidR="00B02873" w:rsidRPr="00B02873" w14:paraId="58954177" w14:textId="77777777" w:rsidTr="00D867EF">
        <w:tc>
          <w:tcPr>
            <w:tcW w:w="4588" w:type="dxa"/>
          </w:tcPr>
          <w:p w14:paraId="5AE69BE2" w14:textId="77777777" w:rsidR="00B02873" w:rsidRDefault="00B02873" w:rsidP="00B415A9">
            <w:pPr>
              <w:pStyle w:val="TablebodyleftTables"/>
            </w:pPr>
            <w:r>
              <w:t>Total air travel emissions (scope 3)</w:t>
            </w:r>
          </w:p>
        </w:tc>
        <w:tc>
          <w:tcPr>
            <w:tcW w:w="1311" w:type="dxa"/>
          </w:tcPr>
          <w:p w14:paraId="5BF70212" w14:textId="77777777" w:rsidR="00B02873" w:rsidRDefault="00B02873" w:rsidP="00B23E1C">
            <w:pPr>
              <w:pStyle w:val="TablebodyleftTables"/>
              <w:jc w:val="right"/>
            </w:pPr>
            <w:r>
              <w:t>0</w:t>
            </w:r>
          </w:p>
        </w:tc>
        <w:tc>
          <w:tcPr>
            <w:tcW w:w="1311" w:type="dxa"/>
          </w:tcPr>
          <w:p w14:paraId="2E1745A1" w14:textId="77777777" w:rsidR="00B02873" w:rsidRDefault="00B02873" w:rsidP="00B23E1C">
            <w:pPr>
              <w:pStyle w:val="TablebodyleftTables"/>
              <w:jc w:val="right"/>
            </w:pPr>
            <w:r>
              <w:t>0</w:t>
            </w:r>
          </w:p>
        </w:tc>
        <w:tc>
          <w:tcPr>
            <w:tcW w:w="1311" w:type="dxa"/>
          </w:tcPr>
          <w:p w14:paraId="4DD70A34" w14:textId="77777777" w:rsidR="00B02873" w:rsidRDefault="00B02873" w:rsidP="00B23E1C">
            <w:pPr>
              <w:pStyle w:val="TablebodyleftTables"/>
              <w:jc w:val="right"/>
            </w:pPr>
            <w:r>
              <w:t>0</w:t>
            </w:r>
          </w:p>
        </w:tc>
        <w:tc>
          <w:tcPr>
            <w:tcW w:w="1255" w:type="dxa"/>
          </w:tcPr>
          <w:p w14:paraId="4DAF4920" w14:textId="77777777" w:rsidR="00B02873" w:rsidRDefault="00B02873" w:rsidP="00B23E1C">
            <w:pPr>
              <w:pStyle w:val="TablebodyleftTables"/>
              <w:jc w:val="right"/>
            </w:pPr>
            <w:r>
              <w:t>850</w:t>
            </w:r>
          </w:p>
        </w:tc>
      </w:tr>
      <w:tr w:rsidR="00B02873" w:rsidRPr="00B02873" w14:paraId="029A4D4A" w14:textId="77777777" w:rsidTr="00D867EF">
        <w:tc>
          <w:tcPr>
            <w:tcW w:w="4588" w:type="dxa"/>
          </w:tcPr>
          <w:p w14:paraId="70FD6132" w14:textId="77777777" w:rsidR="00B02873" w:rsidRDefault="00B02873" w:rsidP="00B415A9">
            <w:pPr>
              <w:pStyle w:val="TablebodyleftTables"/>
            </w:pPr>
            <w:r>
              <w:t>Total building waste emissions (scope 3)</w:t>
            </w:r>
          </w:p>
        </w:tc>
        <w:tc>
          <w:tcPr>
            <w:tcW w:w="1311" w:type="dxa"/>
          </w:tcPr>
          <w:p w14:paraId="4386BBBE" w14:textId="77777777" w:rsidR="00B02873" w:rsidRDefault="00B02873" w:rsidP="00B23E1C">
            <w:pPr>
              <w:pStyle w:val="TablebodyleftTables"/>
              <w:jc w:val="right"/>
            </w:pPr>
            <w:r>
              <w:t>44</w:t>
            </w:r>
          </w:p>
        </w:tc>
        <w:tc>
          <w:tcPr>
            <w:tcW w:w="1311" w:type="dxa"/>
          </w:tcPr>
          <w:p w14:paraId="22DD362D" w14:textId="77777777" w:rsidR="00B02873" w:rsidRDefault="00B02873" w:rsidP="00B23E1C">
            <w:pPr>
              <w:pStyle w:val="TablebodyleftTables"/>
              <w:jc w:val="right"/>
            </w:pPr>
            <w:r>
              <w:t>42</w:t>
            </w:r>
          </w:p>
        </w:tc>
        <w:tc>
          <w:tcPr>
            <w:tcW w:w="1311" w:type="dxa"/>
          </w:tcPr>
          <w:p w14:paraId="1B742122" w14:textId="77777777" w:rsidR="00B02873" w:rsidRDefault="00B02873" w:rsidP="00B23E1C">
            <w:pPr>
              <w:pStyle w:val="TablebodyleftTables"/>
              <w:jc w:val="right"/>
            </w:pPr>
            <w:r>
              <w:t>70</w:t>
            </w:r>
          </w:p>
        </w:tc>
        <w:tc>
          <w:tcPr>
            <w:tcW w:w="1255" w:type="dxa"/>
          </w:tcPr>
          <w:p w14:paraId="5127E573" w14:textId="77777777" w:rsidR="00B02873" w:rsidRDefault="00B02873" w:rsidP="00B23E1C">
            <w:pPr>
              <w:pStyle w:val="TablebodyleftTables"/>
              <w:jc w:val="right"/>
            </w:pPr>
            <w:r>
              <w:t>72</w:t>
            </w:r>
          </w:p>
        </w:tc>
      </w:tr>
      <w:tr w:rsidR="00B02873" w:rsidRPr="00B02873" w14:paraId="206199E0" w14:textId="77777777" w:rsidTr="00D867EF">
        <w:tc>
          <w:tcPr>
            <w:tcW w:w="4588" w:type="dxa"/>
          </w:tcPr>
          <w:p w14:paraId="7493C18F" w14:textId="77777777" w:rsidR="00B02873" w:rsidRDefault="00B02873" w:rsidP="00B415A9">
            <w:pPr>
              <w:pStyle w:val="TablebodyleftTables"/>
            </w:pPr>
            <w:r>
              <w:t>Total paper purchasing emissions (scope 3)</w:t>
            </w:r>
          </w:p>
        </w:tc>
        <w:tc>
          <w:tcPr>
            <w:tcW w:w="1311" w:type="dxa"/>
          </w:tcPr>
          <w:p w14:paraId="63757533" w14:textId="77777777" w:rsidR="00B02873" w:rsidRDefault="00B02873" w:rsidP="00B23E1C">
            <w:pPr>
              <w:pStyle w:val="TablebodyleftTables"/>
              <w:jc w:val="right"/>
            </w:pPr>
            <w:r>
              <w:t>21</w:t>
            </w:r>
          </w:p>
        </w:tc>
        <w:tc>
          <w:tcPr>
            <w:tcW w:w="1311" w:type="dxa"/>
          </w:tcPr>
          <w:p w14:paraId="2C1E05D0" w14:textId="77777777" w:rsidR="00B02873" w:rsidRDefault="00B02873" w:rsidP="00B23E1C">
            <w:pPr>
              <w:pStyle w:val="TablebodyleftTables"/>
              <w:jc w:val="right"/>
            </w:pPr>
            <w:r>
              <w:t>15</w:t>
            </w:r>
          </w:p>
        </w:tc>
        <w:tc>
          <w:tcPr>
            <w:tcW w:w="1311" w:type="dxa"/>
          </w:tcPr>
          <w:p w14:paraId="16D1BFB3" w14:textId="77777777" w:rsidR="00B02873" w:rsidRDefault="00B02873" w:rsidP="00B23E1C">
            <w:pPr>
              <w:pStyle w:val="TablebodyleftTables"/>
              <w:jc w:val="right"/>
            </w:pPr>
            <w:r>
              <w:t>125</w:t>
            </w:r>
          </w:p>
        </w:tc>
        <w:tc>
          <w:tcPr>
            <w:tcW w:w="1255" w:type="dxa"/>
          </w:tcPr>
          <w:p w14:paraId="07B40648" w14:textId="77777777" w:rsidR="00B02873" w:rsidRDefault="00B02873" w:rsidP="00B23E1C">
            <w:pPr>
              <w:pStyle w:val="TablebodyleftTables"/>
              <w:jc w:val="right"/>
            </w:pPr>
            <w:r>
              <w:t>139</w:t>
            </w:r>
          </w:p>
        </w:tc>
      </w:tr>
    </w:tbl>
    <w:p w14:paraId="452EDA7E" w14:textId="77777777" w:rsidR="00D867EF" w:rsidRPr="00B95A6A" w:rsidRDefault="00D867EF" w:rsidP="00D867EF">
      <w:pPr>
        <w:pStyle w:val="SourceNote"/>
        <w:keepNext/>
        <w:spacing w:after="120"/>
        <w:rPr>
          <w:b/>
          <w:bCs/>
        </w:rPr>
      </w:pPr>
      <w:r w:rsidRPr="00B95A6A">
        <w:rPr>
          <w:b/>
          <w:bCs/>
        </w:rPr>
        <w:t>Explanatory notes:</w:t>
      </w:r>
    </w:p>
    <w:p w14:paraId="3C361540" w14:textId="77777777" w:rsidR="00426F06" w:rsidRDefault="00426F06" w:rsidP="00426F06">
      <w:pPr>
        <w:pStyle w:val="SourceNote"/>
        <w:spacing w:after="120"/>
        <w:ind w:left="397" w:hanging="397"/>
      </w:pPr>
      <w:r>
        <w:t>(i)</w:t>
      </w:r>
      <w:r>
        <w:tab/>
        <w:t>The total reported greenhouse gas emissions include FRD24 emissions (G1-G4), and emissions from non-office sites, operational vehicles and paper purchasing. A definition of emissions is provided below.</w:t>
      </w:r>
    </w:p>
    <w:p w14:paraId="01DA110B" w14:textId="77777777" w:rsidR="00426F06" w:rsidRDefault="00426F06" w:rsidP="00426F06">
      <w:pPr>
        <w:pStyle w:val="SourceNote"/>
        <w:spacing w:after="120"/>
        <w:ind w:left="794" w:hanging="397"/>
      </w:pPr>
      <w:r>
        <w:t>Scope 1: Emissions released to the atmosphere as a direct result of an activity</w:t>
      </w:r>
    </w:p>
    <w:p w14:paraId="25CC8FD7" w14:textId="77777777" w:rsidR="00426F06" w:rsidRDefault="00426F06" w:rsidP="00426F06">
      <w:pPr>
        <w:pStyle w:val="SourceNote"/>
        <w:spacing w:after="120"/>
        <w:ind w:left="397"/>
      </w:pPr>
      <w:r>
        <w:t>Scope 2: Emissions released to the atmosphere from the indirect consumption of an energy commodity. For example, ‘indirect emissions’ come from the use of electricity produced by the burning of coal in another facility.</w:t>
      </w:r>
    </w:p>
    <w:p w14:paraId="3450214E" w14:textId="33B6F177" w:rsidR="00426F06" w:rsidRDefault="00426F06" w:rsidP="00426F06">
      <w:pPr>
        <w:pStyle w:val="SourceNote"/>
        <w:spacing w:after="120"/>
        <w:ind w:left="397"/>
      </w:pPr>
      <w:r>
        <w:t>Scope 3: Indirect emissions that are generated in the wider economy. They occur because of the activities of a facility, but from sources not owned or controlled by that facility’s business. For example, the indirect emissions attributable to the electricity lost in delivery in the transmission and distribution network.</w:t>
      </w:r>
    </w:p>
    <w:p w14:paraId="41A17A1F" w14:textId="1469A79E" w:rsidR="00D867EF" w:rsidRDefault="005A2549" w:rsidP="005A2549">
      <w:pPr>
        <w:pStyle w:val="SourceNote"/>
        <w:spacing w:after="120"/>
        <w:ind w:left="397" w:hanging="397"/>
      </w:pPr>
      <w:r>
        <w:t>(ii)</w:t>
      </w:r>
      <w:r>
        <w:tab/>
      </w:r>
      <w:r w:rsidR="00D867EF">
        <w:t>These figures have been updated to include previously unavailable electricity data for 8 Nicholson Street, 2 Lonsdale Street, 1 Spring Street, Geelong and Laverton North.</w:t>
      </w:r>
    </w:p>
    <w:p w14:paraId="6AD6DECF" w14:textId="62EAEC8E" w:rsidR="00D867EF" w:rsidRDefault="005A2549" w:rsidP="005A2549">
      <w:pPr>
        <w:pStyle w:val="SourceNote"/>
        <w:ind w:left="397" w:hanging="397"/>
      </w:pPr>
      <w:r>
        <w:t>(iii)</w:t>
      </w:r>
      <w:r>
        <w:tab/>
      </w:r>
      <w:r w:rsidR="00D867EF">
        <w:t>Figures updated to include the full operational vehicle fleet. Previously emissions were only reported for the 4WDs and ultra-light tankers.</w:t>
      </w:r>
    </w:p>
    <w:p w14:paraId="7EE8E0FA" w14:textId="77777777" w:rsidR="00B02873" w:rsidRDefault="00B02873" w:rsidP="000D70EA">
      <w:pPr>
        <w:pStyle w:val="Heading3"/>
      </w:pPr>
      <w:r>
        <w:t>Total reported electricity emissions:</w:t>
      </w:r>
    </w:p>
    <w:p w14:paraId="470BE5B5" w14:textId="77777777" w:rsidR="00B02873" w:rsidRDefault="00B02873" w:rsidP="00AA0FB1">
      <w:pPr>
        <w:pStyle w:val="Bullet1Listslast"/>
        <w:keepNext/>
      </w:pPr>
      <w:r>
        <w:t>DELWP purchases 100 per cent Green Power for all sites to achieve net zero electricity emissions.</w:t>
      </w:r>
    </w:p>
    <w:p w14:paraId="2E783994" w14:textId="0431260C" w:rsidR="00B02873" w:rsidRDefault="00B02873" w:rsidP="000D70EA">
      <w:pPr>
        <w:pStyle w:val="Figureheading"/>
      </w:pPr>
      <w:r>
        <w:t>Total reported building electricity emissions (tonnes CO</w:t>
      </w:r>
      <w:r w:rsidRPr="00426F06">
        <w:rPr>
          <w:vertAlign w:val="subscript"/>
        </w:rPr>
        <w:t>2</w:t>
      </w:r>
      <w:r>
        <w:t>-e)</w:t>
      </w:r>
    </w:p>
    <w:p w14:paraId="6C8D5B05" w14:textId="745074CD" w:rsidR="000D70EA" w:rsidRPr="000D70EA" w:rsidRDefault="000D70EA" w:rsidP="000D70EA">
      <w:r>
        <w:rPr>
          <w:noProof/>
        </w:rPr>
        <w:drawing>
          <wp:inline distT="0" distB="0" distL="0" distR="0" wp14:anchorId="4D9DD435" wp14:editId="38AAB458">
            <wp:extent cx="5238750" cy="2006981"/>
            <wp:effectExtent l="0" t="0" r="0" b="0"/>
            <wp:docPr id="45" name="Picture 45" descr="Graph showing total reported electricity emissions and electricity emissions offset by Green Power in tonnes CO2-e for four financial years: 2014-15 (baseline year), 2019-20, 2020-21 and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 showing total reported electricity emissions and electricity emissions offset by Green Power in tonnes CO2-e for four financial years: 2014-15 (baseline year), 2019-20, 2020-21 and 2021-22."/>
                    <pic:cNvPicPr/>
                  </pic:nvPicPr>
                  <pic:blipFill rotWithShape="1">
                    <a:blip r:embed="rId69"/>
                    <a:srcRect b="4911"/>
                    <a:stretch/>
                  </pic:blipFill>
                  <pic:spPr bwMode="auto">
                    <a:xfrm>
                      <a:off x="0" y="0"/>
                      <a:ext cx="5258286" cy="201446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9638" w:type="dxa"/>
        <w:tblLayout w:type="fixed"/>
        <w:tblLook w:val="0020" w:firstRow="1" w:lastRow="0" w:firstColumn="0" w:lastColumn="0" w:noHBand="0" w:noVBand="0"/>
      </w:tblPr>
      <w:tblGrid>
        <w:gridCol w:w="4531"/>
        <w:gridCol w:w="1276"/>
        <w:gridCol w:w="1277"/>
        <w:gridCol w:w="1277"/>
        <w:gridCol w:w="1277"/>
      </w:tblGrid>
      <w:tr w:rsidR="00B02873" w:rsidRPr="000D70EA" w14:paraId="415BAFED" w14:textId="77777777" w:rsidTr="000D70EA">
        <w:trPr>
          <w:cnfStyle w:val="100000000000" w:firstRow="1" w:lastRow="0" w:firstColumn="0" w:lastColumn="0" w:oddVBand="0" w:evenVBand="0" w:oddHBand="0" w:evenHBand="0" w:firstRowFirstColumn="0" w:firstRowLastColumn="0" w:lastRowFirstColumn="0" w:lastRowLastColumn="0"/>
          <w:tblHeader/>
        </w:trPr>
        <w:tc>
          <w:tcPr>
            <w:tcW w:w="4531" w:type="dxa"/>
          </w:tcPr>
          <w:p w14:paraId="5545C106" w14:textId="77777777" w:rsidR="00B02873" w:rsidRPr="000D70EA" w:rsidRDefault="00B02873" w:rsidP="000D70EA">
            <w:pPr>
              <w:pStyle w:val="TableheadingleftTables"/>
            </w:pPr>
          </w:p>
        </w:tc>
        <w:tc>
          <w:tcPr>
            <w:tcW w:w="1276" w:type="dxa"/>
          </w:tcPr>
          <w:p w14:paraId="700AF059" w14:textId="77777777" w:rsidR="00B02873" w:rsidRPr="000D70EA" w:rsidRDefault="00B02873" w:rsidP="00B23E1C">
            <w:pPr>
              <w:pStyle w:val="TableheadingleftTables"/>
              <w:jc w:val="right"/>
            </w:pPr>
            <w:r w:rsidRPr="000D70EA">
              <w:t>2021-22</w:t>
            </w:r>
          </w:p>
        </w:tc>
        <w:tc>
          <w:tcPr>
            <w:tcW w:w="1277" w:type="dxa"/>
          </w:tcPr>
          <w:p w14:paraId="6EB3791F" w14:textId="77777777" w:rsidR="00B02873" w:rsidRPr="000D70EA" w:rsidRDefault="00B02873" w:rsidP="00B23E1C">
            <w:pPr>
              <w:pStyle w:val="TableheadingleftTables"/>
              <w:jc w:val="right"/>
            </w:pPr>
            <w:r w:rsidRPr="000D70EA">
              <w:t>2020-21</w:t>
            </w:r>
          </w:p>
        </w:tc>
        <w:tc>
          <w:tcPr>
            <w:tcW w:w="1277" w:type="dxa"/>
          </w:tcPr>
          <w:p w14:paraId="763A7E96" w14:textId="77777777" w:rsidR="00B02873" w:rsidRPr="000D70EA" w:rsidRDefault="00B02873" w:rsidP="00B23E1C">
            <w:pPr>
              <w:pStyle w:val="TableheadingleftTables"/>
              <w:jc w:val="right"/>
            </w:pPr>
            <w:r w:rsidRPr="000D70EA">
              <w:t>2019-20</w:t>
            </w:r>
          </w:p>
        </w:tc>
        <w:tc>
          <w:tcPr>
            <w:tcW w:w="1277" w:type="dxa"/>
          </w:tcPr>
          <w:p w14:paraId="3D174916" w14:textId="77777777" w:rsidR="00B02873" w:rsidRPr="000D70EA" w:rsidRDefault="00B02873" w:rsidP="00B23E1C">
            <w:pPr>
              <w:pStyle w:val="TableheadingleftTables"/>
              <w:jc w:val="right"/>
            </w:pPr>
            <w:r w:rsidRPr="000D70EA">
              <w:t>2014-15 (baseline)</w:t>
            </w:r>
          </w:p>
        </w:tc>
      </w:tr>
      <w:tr w:rsidR="00B02873" w:rsidRPr="00B02873" w14:paraId="3A0C21C1" w14:textId="77777777" w:rsidTr="000D70EA">
        <w:tc>
          <w:tcPr>
            <w:tcW w:w="4531" w:type="dxa"/>
          </w:tcPr>
          <w:p w14:paraId="7578F641" w14:textId="77777777" w:rsidR="00B02873" w:rsidRDefault="00B02873" w:rsidP="000D70EA">
            <w:pPr>
              <w:pStyle w:val="TablebodyleftTables"/>
              <w:keepNext/>
            </w:pPr>
            <w:r>
              <w:rPr>
                <w:rStyle w:val="Bold"/>
              </w:rPr>
              <w:t>Total reported electricity emissions (scope 2 and scope 3)</w:t>
            </w:r>
          </w:p>
        </w:tc>
        <w:tc>
          <w:tcPr>
            <w:tcW w:w="1276" w:type="dxa"/>
          </w:tcPr>
          <w:p w14:paraId="3C8C0FAE" w14:textId="77777777" w:rsidR="00B02873" w:rsidRDefault="00B02873" w:rsidP="00B23E1C">
            <w:pPr>
              <w:pStyle w:val="TablebodyleftTables"/>
              <w:jc w:val="right"/>
            </w:pPr>
            <w:r>
              <w:rPr>
                <w:rStyle w:val="Bold"/>
                <w:spacing w:val="-5"/>
              </w:rPr>
              <w:t>0</w:t>
            </w:r>
          </w:p>
        </w:tc>
        <w:tc>
          <w:tcPr>
            <w:tcW w:w="1277" w:type="dxa"/>
          </w:tcPr>
          <w:p w14:paraId="6442479F" w14:textId="77777777" w:rsidR="00B02873" w:rsidRDefault="00B02873" w:rsidP="00B23E1C">
            <w:pPr>
              <w:pStyle w:val="TablebodyleftTables"/>
              <w:jc w:val="right"/>
            </w:pPr>
            <w:r>
              <w:rPr>
                <w:rStyle w:val="Bold"/>
                <w:spacing w:val="-5"/>
              </w:rPr>
              <w:t>6,557</w:t>
            </w:r>
            <w:r>
              <w:rPr>
                <w:rStyle w:val="Bold"/>
                <w:spacing w:val="-5"/>
                <w:vertAlign w:val="superscript"/>
              </w:rPr>
              <w:t>(ii)</w:t>
            </w:r>
          </w:p>
        </w:tc>
        <w:tc>
          <w:tcPr>
            <w:tcW w:w="1277" w:type="dxa"/>
          </w:tcPr>
          <w:p w14:paraId="5DC28E8E" w14:textId="77777777" w:rsidR="00B02873" w:rsidRDefault="00B02873" w:rsidP="00B23E1C">
            <w:pPr>
              <w:pStyle w:val="TablebodyleftTables"/>
              <w:jc w:val="right"/>
            </w:pPr>
            <w:r>
              <w:rPr>
                <w:rStyle w:val="Bold"/>
                <w:spacing w:val="-5"/>
              </w:rPr>
              <w:t>9,180</w:t>
            </w:r>
            <w:r>
              <w:rPr>
                <w:rStyle w:val="Bold"/>
                <w:spacing w:val="-5"/>
                <w:vertAlign w:val="superscript"/>
              </w:rPr>
              <w:t>(ii)</w:t>
            </w:r>
          </w:p>
        </w:tc>
        <w:tc>
          <w:tcPr>
            <w:tcW w:w="1277" w:type="dxa"/>
          </w:tcPr>
          <w:p w14:paraId="0BE3B7BA" w14:textId="77777777" w:rsidR="00B02873" w:rsidRDefault="00B02873" w:rsidP="00B23E1C">
            <w:pPr>
              <w:pStyle w:val="TablebodyleftTables"/>
              <w:jc w:val="right"/>
            </w:pPr>
            <w:r>
              <w:rPr>
                <w:rStyle w:val="Bold"/>
              </w:rPr>
              <w:t>17,290</w:t>
            </w:r>
          </w:p>
        </w:tc>
      </w:tr>
      <w:tr w:rsidR="00B02873" w:rsidRPr="00B02873" w14:paraId="5B4E3E10" w14:textId="77777777" w:rsidTr="000D70EA">
        <w:tc>
          <w:tcPr>
            <w:tcW w:w="4531" w:type="dxa"/>
          </w:tcPr>
          <w:p w14:paraId="645DAF2A" w14:textId="77777777" w:rsidR="00B02873" w:rsidRDefault="00B02873" w:rsidP="00B415A9">
            <w:pPr>
              <w:pStyle w:val="TablebodyleftTables"/>
            </w:pPr>
            <w:r>
              <w:t>Electricity emissions (scope 2)</w:t>
            </w:r>
          </w:p>
        </w:tc>
        <w:tc>
          <w:tcPr>
            <w:tcW w:w="1276" w:type="dxa"/>
          </w:tcPr>
          <w:p w14:paraId="7915CEDF" w14:textId="77777777" w:rsidR="00B02873" w:rsidRDefault="00B02873" w:rsidP="00B23E1C">
            <w:pPr>
              <w:pStyle w:val="TablebodyleftTables"/>
              <w:jc w:val="right"/>
            </w:pPr>
            <w:r>
              <w:t>8,356</w:t>
            </w:r>
          </w:p>
        </w:tc>
        <w:tc>
          <w:tcPr>
            <w:tcW w:w="1277" w:type="dxa"/>
          </w:tcPr>
          <w:p w14:paraId="54AE4170" w14:textId="77777777" w:rsidR="00B02873" w:rsidRDefault="00B02873" w:rsidP="00B23E1C">
            <w:pPr>
              <w:pStyle w:val="TablebodyleftTables"/>
              <w:jc w:val="right"/>
            </w:pPr>
            <w:r>
              <w:t>8,656</w:t>
            </w:r>
            <w:r>
              <w:rPr>
                <w:vertAlign w:val="superscript"/>
              </w:rPr>
              <w:t>(ii)</w:t>
            </w:r>
          </w:p>
        </w:tc>
        <w:tc>
          <w:tcPr>
            <w:tcW w:w="1277" w:type="dxa"/>
          </w:tcPr>
          <w:p w14:paraId="3C114C6A" w14:textId="77777777" w:rsidR="00B02873" w:rsidRDefault="00B02873" w:rsidP="00B23E1C">
            <w:pPr>
              <w:pStyle w:val="TablebodyleftTables"/>
              <w:jc w:val="right"/>
            </w:pPr>
            <w:r>
              <w:t>11,690</w:t>
            </w:r>
            <w:r>
              <w:rPr>
                <w:vertAlign w:val="superscript"/>
              </w:rPr>
              <w:t>(ii)</w:t>
            </w:r>
          </w:p>
        </w:tc>
        <w:tc>
          <w:tcPr>
            <w:tcW w:w="1277" w:type="dxa"/>
          </w:tcPr>
          <w:p w14:paraId="7EAD5978" w14:textId="77777777" w:rsidR="00B02873" w:rsidRDefault="00B02873" w:rsidP="00B23E1C">
            <w:pPr>
              <w:pStyle w:val="TablebodyleftTables"/>
              <w:jc w:val="right"/>
            </w:pPr>
            <w:r>
              <w:t>15,340</w:t>
            </w:r>
          </w:p>
        </w:tc>
      </w:tr>
      <w:tr w:rsidR="00B02873" w:rsidRPr="00B02873" w14:paraId="4683B25A" w14:textId="77777777" w:rsidTr="000D70EA">
        <w:tc>
          <w:tcPr>
            <w:tcW w:w="4531" w:type="dxa"/>
          </w:tcPr>
          <w:p w14:paraId="63AFD430" w14:textId="77777777" w:rsidR="00B02873" w:rsidRDefault="00B02873" w:rsidP="00B415A9">
            <w:pPr>
              <w:pStyle w:val="TablebodyleftTables"/>
            </w:pPr>
            <w:r>
              <w:t>Electricity emissions (scope 3)</w:t>
            </w:r>
          </w:p>
        </w:tc>
        <w:tc>
          <w:tcPr>
            <w:tcW w:w="1276" w:type="dxa"/>
          </w:tcPr>
          <w:p w14:paraId="6B6C1040" w14:textId="77777777" w:rsidR="00B02873" w:rsidRDefault="00B02873" w:rsidP="00B23E1C">
            <w:pPr>
              <w:pStyle w:val="TablebodyleftTables"/>
              <w:jc w:val="right"/>
            </w:pPr>
            <w:r>
              <w:t>918</w:t>
            </w:r>
          </w:p>
        </w:tc>
        <w:tc>
          <w:tcPr>
            <w:tcW w:w="1277" w:type="dxa"/>
          </w:tcPr>
          <w:p w14:paraId="2BB846C9" w14:textId="77777777" w:rsidR="00B02873" w:rsidRDefault="00B02873" w:rsidP="00B23E1C">
            <w:pPr>
              <w:pStyle w:val="TablebodyleftTables"/>
              <w:jc w:val="right"/>
            </w:pPr>
            <w:r>
              <w:t>972</w:t>
            </w:r>
            <w:r>
              <w:rPr>
                <w:vertAlign w:val="superscript"/>
              </w:rPr>
              <w:t>(ii)</w:t>
            </w:r>
          </w:p>
        </w:tc>
        <w:tc>
          <w:tcPr>
            <w:tcW w:w="1277" w:type="dxa"/>
          </w:tcPr>
          <w:p w14:paraId="57805746" w14:textId="77777777" w:rsidR="00B02873" w:rsidRDefault="00B02873" w:rsidP="00B23E1C">
            <w:pPr>
              <w:pStyle w:val="TablebodyleftTables"/>
              <w:jc w:val="right"/>
            </w:pPr>
            <w:r>
              <w:t>1,146</w:t>
            </w:r>
            <w:r>
              <w:rPr>
                <w:vertAlign w:val="superscript"/>
              </w:rPr>
              <w:t>(ii)</w:t>
            </w:r>
          </w:p>
        </w:tc>
        <w:tc>
          <w:tcPr>
            <w:tcW w:w="1277" w:type="dxa"/>
          </w:tcPr>
          <w:p w14:paraId="71A0F27E" w14:textId="77777777" w:rsidR="00B02873" w:rsidRDefault="00B02873" w:rsidP="00B23E1C">
            <w:pPr>
              <w:pStyle w:val="TablebodyleftTables"/>
              <w:jc w:val="right"/>
            </w:pPr>
            <w:r>
              <w:t>1,950</w:t>
            </w:r>
          </w:p>
        </w:tc>
      </w:tr>
      <w:tr w:rsidR="00B02873" w:rsidRPr="00B02873" w14:paraId="2FFCA1BE" w14:textId="77777777" w:rsidTr="000D70EA">
        <w:tc>
          <w:tcPr>
            <w:tcW w:w="4531" w:type="dxa"/>
          </w:tcPr>
          <w:p w14:paraId="455DF3CC" w14:textId="77777777" w:rsidR="00B02873" w:rsidRDefault="00B02873" w:rsidP="00B415A9">
            <w:pPr>
              <w:pStyle w:val="TablebodyleftTables"/>
            </w:pPr>
            <w:r>
              <w:t>Electricity emissions (scope 2 and scope 3)</w:t>
            </w:r>
          </w:p>
        </w:tc>
        <w:tc>
          <w:tcPr>
            <w:tcW w:w="1276" w:type="dxa"/>
          </w:tcPr>
          <w:p w14:paraId="405EAF6D" w14:textId="77777777" w:rsidR="00B02873" w:rsidRDefault="00B02873" w:rsidP="00B23E1C">
            <w:pPr>
              <w:pStyle w:val="TablebodyleftTables"/>
              <w:jc w:val="right"/>
            </w:pPr>
            <w:r>
              <w:t>9,274</w:t>
            </w:r>
          </w:p>
        </w:tc>
        <w:tc>
          <w:tcPr>
            <w:tcW w:w="1277" w:type="dxa"/>
          </w:tcPr>
          <w:p w14:paraId="0B7CCC08" w14:textId="77777777" w:rsidR="00B02873" w:rsidRDefault="00B02873" w:rsidP="00B23E1C">
            <w:pPr>
              <w:pStyle w:val="TablebodyleftTables"/>
              <w:jc w:val="right"/>
            </w:pPr>
            <w:r>
              <w:t>9,628</w:t>
            </w:r>
            <w:r>
              <w:rPr>
                <w:vertAlign w:val="superscript"/>
              </w:rPr>
              <w:t>(ii)</w:t>
            </w:r>
          </w:p>
        </w:tc>
        <w:tc>
          <w:tcPr>
            <w:tcW w:w="1277" w:type="dxa"/>
          </w:tcPr>
          <w:p w14:paraId="4DAC03CE" w14:textId="77777777" w:rsidR="00B02873" w:rsidRDefault="00B02873" w:rsidP="00B23E1C">
            <w:pPr>
              <w:pStyle w:val="TablebodyleftTables"/>
              <w:jc w:val="right"/>
            </w:pPr>
            <w:r>
              <w:t>12,836</w:t>
            </w:r>
            <w:r>
              <w:rPr>
                <w:vertAlign w:val="superscript"/>
              </w:rPr>
              <w:t>(ii)</w:t>
            </w:r>
          </w:p>
        </w:tc>
        <w:tc>
          <w:tcPr>
            <w:tcW w:w="1277" w:type="dxa"/>
          </w:tcPr>
          <w:p w14:paraId="5B1AD8D1" w14:textId="77777777" w:rsidR="00B02873" w:rsidRDefault="00B02873" w:rsidP="00B23E1C">
            <w:pPr>
              <w:pStyle w:val="TablebodyleftTables"/>
              <w:jc w:val="right"/>
            </w:pPr>
            <w:r>
              <w:t>17,290</w:t>
            </w:r>
          </w:p>
        </w:tc>
      </w:tr>
      <w:tr w:rsidR="00B02873" w:rsidRPr="00B02873" w14:paraId="6A32024A" w14:textId="77777777" w:rsidTr="000D70EA">
        <w:tc>
          <w:tcPr>
            <w:tcW w:w="4531" w:type="dxa"/>
          </w:tcPr>
          <w:p w14:paraId="09D5CB5F" w14:textId="77777777" w:rsidR="00B02873" w:rsidRDefault="00B02873" w:rsidP="00B415A9">
            <w:pPr>
              <w:pStyle w:val="TablebodyleftTables"/>
            </w:pPr>
            <w:r>
              <w:t>Electricity emissions offset by Green Power</w:t>
            </w:r>
          </w:p>
        </w:tc>
        <w:tc>
          <w:tcPr>
            <w:tcW w:w="1276" w:type="dxa"/>
          </w:tcPr>
          <w:p w14:paraId="69E7AAB7" w14:textId="77777777" w:rsidR="00B02873" w:rsidRDefault="00B02873" w:rsidP="00B23E1C">
            <w:pPr>
              <w:pStyle w:val="TablebodyleftTables"/>
              <w:jc w:val="right"/>
            </w:pPr>
            <w:r>
              <w:t>9,274</w:t>
            </w:r>
          </w:p>
        </w:tc>
        <w:tc>
          <w:tcPr>
            <w:tcW w:w="1277" w:type="dxa"/>
          </w:tcPr>
          <w:p w14:paraId="778D18F3" w14:textId="77777777" w:rsidR="00B02873" w:rsidRDefault="00B02873" w:rsidP="00B23E1C">
            <w:pPr>
              <w:pStyle w:val="TablebodyleftTables"/>
              <w:jc w:val="right"/>
            </w:pPr>
            <w:r>
              <w:t>3,070</w:t>
            </w:r>
            <w:r>
              <w:rPr>
                <w:vertAlign w:val="superscript"/>
              </w:rPr>
              <w:t>(ii)</w:t>
            </w:r>
          </w:p>
        </w:tc>
        <w:tc>
          <w:tcPr>
            <w:tcW w:w="1277" w:type="dxa"/>
          </w:tcPr>
          <w:p w14:paraId="7B0326BF" w14:textId="77777777" w:rsidR="00B02873" w:rsidRDefault="00B02873" w:rsidP="00B23E1C">
            <w:pPr>
              <w:pStyle w:val="TablebodyleftTables"/>
              <w:jc w:val="right"/>
            </w:pPr>
            <w:r>
              <w:t>3,656</w:t>
            </w:r>
            <w:r>
              <w:rPr>
                <w:vertAlign w:val="superscript"/>
              </w:rPr>
              <w:t>(ii)</w:t>
            </w:r>
          </w:p>
        </w:tc>
        <w:tc>
          <w:tcPr>
            <w:tcW w:w="1277" w:type="dxa"/>
          </w:tcPr>
          <w:p w14:paraId="42F272FC" w14:textId="77777777" w:rsidR="00B02873" w:rsidRDefault="00B02873" w:rsidP="00B23E1C">
            <w:pPr>
              <w:pStyle w:val="TablebodyleftTables"/>
              <w:jc w:val="right"/>
            </w:pPr>
            <w:r>
              <w:t>0</w:t>
            </w:r>
          </w:p>
        </w:tc>
      </w:tr>
    </w:tbl>
    <w:p w14:paraId="2DD1F334" w14:textId="77777777" w:rsidR="005A2549" w:rsidRPr="00B95A6A" w:rsidRDefault="005A2549" w:rsidP="005A2549">
      <w:pPr>
        <w:pStyle w:val="SourceNote"/>
        <w:keepNext/>
        <w:spacing w:after="120"/>
        <w:rPr>
          <w:b/>
          <w:bCs/>
        </w:rPr>
      </w:pPr>
      <w:r w:rsidRPr="00B95A6A">
        <w:rPr>
          <w:b/>
          <w:bCs/>
        </w:rPr>
        <w:t>Explanatory notes:</w:t>
      </w:r>
    </w:p>
    <w:p w14:paraId="6A6BE176" w14:textId="77777777" w:rsidR="005A2549" w:rsidRDefault="005A2549" w:rsidP="005A2549">
      <w:pPr>
        <w:pStyle w:val="SourceNote"/>
        <w:ind w:left="397" w:hanging="397"/>
      </w:pPr>
      <w:r>
        <w:t>(ii)</w:t>
      </w:r>
      <w:r>
        <w:tab/>
        <w:t>These figures have been updated to include previously unavailable electricity data for 8 Nicholson Street, 2 Lonsdale Street, 1 Spring Street, Geelong and Laverton North.</w:t>
      </w:r>
    </w:p>
    <w:p w14:paraId="4DB9500A" w14:textId="77777777" w:rsidR="00B02873" w:rsidRDefault="00B02873" w:rsidP="00293663">
      <w:pPr>
        <w:pStyle w:val="Heading3"/>
      </w:pPr>
      <w:r>
        <w:t>Total reported gas and LPG emissions:</w:t>
      </w:r>
    </w:p>
    <w:p w14:paraId="59406ABF" w14:textId="52EFA673" w:rsidR="00B02873" w:rsidRDefault="00B02873" w:rsidP="00293663">
      <w:pPr>
        <w:pStyle w:val="Bullet1Listslast"/>
      </w:pPr>
      <w:r>
        <w:t>DELWP used ACCUs to offset 25 per cent of building gas and LPG emissions over 2021-22.</w:t>
      </w:r>
    </w:p>
    <w:p w14:paraId="174BF66F" w14:textId="0F55D210" w:rsidR="00B02873" w:rsidRDefault="00B02873" w:rsidP="00E174EC">
      <w:pPr>
        <w:pStyle w:val="Figureheading"/>
      </w:pPr>
      <w:r>
        <w:t>Total reported building gas/LPG emissions (tonnes CO</w:t>
      </w:r>
      <w:r w:rsidRPr="00293663">
        <w:rPr>
          <w:vertAlign w:val="subscript"/>
        </w:rPr>
        <w:t>2</w:t>
      </w:r>
      <w:r>
        <w:t>-e)</w:t>
      </w:r>
    </w:p>
    <w:p w14:paraId="6A68750B" w14:textId="714780D4" w:rsidR="00E174EC" w:rsidRPr="00E174EC" w:rsidRDefault="00E174EC" w:rsidP="00E174EC">
      <w:r>
        <w:rPr>
          <w:noProof/>
        </w:rPr>
        <w:drawing>
          <wp:inline distT="0" distB="0" distL="0" distR="0" wp14:anchorId="5F262898" wp14:editId="221BED49">
            <wp:extent cx="4876800" cy="1882328"/>
            <wp:effectExtent l="0" t="0" r="0" b="3810"/>
            <wp:docPr id="46" name="Picture 46" descr="Graph showing total reported building gas/LPG emissions and building gas/LPG emissions offset by ACCUs in tonnes CO2-e for four financial years: 2014-15 (baseline year), 2019-20, 2020-21 and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 showing total reported building gas/LPG emissions and building gas/LPG emissions offset by ACCUs in tonnes CO2-e for four financial years: 2014-15 (baseline year), 2019-20, 2020-21 and 2021-22."/>
                    <pic:cNvPicPr/>
                  </pic:nvPicPr>
                  <pic:blipFill rotWithShape="1">
                    <a:blip r:embed="rId70"/>
                    <a:srcRect b="4198"/>
                    <a:stretch/>
                  </pic:blipFill>
                  <pic:spPr bwMode="auto">
                    <a:xfrm>
                      <a:off x="0" y="0"/>
                      <a:ext cx="4890004" cy="188742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9638" w:type="dxa"/>
        <w:tblLayout w:type="fixed"/>
        <w:tblLook w:val="0020" w:firstRow="1" w:lastRow="0" w:firstColumn="0" w:lastColumn="0" w:noHBand="0" w:noVBand="0"/>
      </w:tblPr>
      <w:tblGrid>
        <w:gridCol w:w="4957"/>
        <w:gridCol w:w="1170"/>
        <w:gridCol w:w="1170"/>
        <w:gridCol w:w="1170"/>
        <w:gridCol w:w="1171"/>
      </w:tblGrid>
      <w:tr w:rsidR="00B02873" w:rsidRPr="00293663" w14:paraId="264FA707" w14:textId="77777777" w:rsidTr="00293663">
        <w:trPr>
          <w:cnfStyle w:val="100000000000" w:firstRow="1" w:lastRow="0" w:firstColumn="0" w:lastColumn="0" w:oddVBand="0" w:evenVBand="0" w:oddHBand="0" w:evenHBand="0" w:firstRowFirstColumn="0" w:firstRowLastColumn="0" w:lastRowFirstColumn="0" w:lastRowLastColumn="0"/>
          <w:tblHeader/>
        </w:trPr>
        <w:tc>
          <w:tcPr>
            <w:tcW w:w="4957" w:type="dxa"/>
          </w:tcPr>
          <w:p w14:paraId="5839BA05" w14:textId="77777777" w:rsidR="00B02873" w:rsidRPr="00293663" w:rsidRDefault="00B02873" w:rsidP="00293663">
            <w:pPr>
              <w:pStyle w:val="TableheadingleftTables"/>
            </w:pPr>
          </w:p>
        </w:tc>
        <w:tc>
          <w:tcPr>
            <w:tcW w:w="1170" w:type="dxa"/>
          </w:tcPr>
          <w:p w14:paraId="39A22669" w14:textId="77777777" w:rsidR="00B02873" w:rsidRPr="00293663" w:rsidRDefault="00B02873" w:rsidP="00B23E1C">
            <w:pPr>
              <w:pStyle w:val="TableheadingleftTables"/>
              <w:jc w:val="right"/>
            </w:pPr>
            <w:r w:rsidRPr="00293663">
              <w:t>2021-22</w:t>
            </w:r>
          </w:p>
        </w:tc>
        <w:tc>
          <w:tcPr>
            <w:tcW w:w="1170" w:type="dxa"/>
          </w:tcPr>
          <w:p w14:paraId="1CA866C2" w14:textId="77777777" w:rsidR="00B02873" w:rsidRPr="00293663" w:rsidRDefault="00B02873" w:rsidP="00B23E1C">
            <w:pPr>
              <w:pStyle w:val="TableheadingleftTables"/>
              <w:jc w:val="right"/>
            </w:pPr>
            <w:r w:rsidRPr="00293663">
              <w:t>2020-21</w:t>
            </w:r>
          </w:p>
        </w:tc>
        <w:tc>
          <w:tcPr>
            <w:tcW w:w="1170" w:type="dxa"/>
          </w:tcPr>
          <w:p w14:paraId="037AE770" w14:textId="77777777" w:rsidR="00B02873" w:rsidRPr="00293663" w:rsidRDefault="00B02873" w:rsidP="00B23E1C">
            <w:pPr>
              <w:pStyle w:val="TableheadingleftTables"/>
              <w:jc w:val="right"/>
            </w:pPr>
            <w:r w:rsidRPr="00293663">
              <w:t>2019-20</w:t>
            </w:r>
          </w:p>
        </w:tc>
        <w:tc>
          <w:tcPr>
            <w:tcW w:w="1171" w:type="dxa"/>
          </w:tcPr>
          <w:p w14:paraId="1D0D67B1" w14:textId="77777777" w:rsidR="00B02873" w:rsidRPr="00293663" w:rsidRDefault="00B02873" w:rsidP="00B23E1C">
            <w:pPr>
              <w:pStyle w:val="TableheadingleftTables"/>
              <w:jc w:val="right"/>
            </w:pPr>
            <w:r w:rsidRPr="00293663">
              <w:t>2014-15 (baseline)</w:t>
            </w:r>
          </w:p>
        </w:tc>
      </w:tr>
      <w:tr w:rsidR="00B02873" w:rsidRPr="00B02873" w14:paraId="17DA2819" w14:textId="77777777" w:rsidTr="00293663">
        <w:tc>
          <w:tcPr>
            <w:tcW w:w="4957" w:type="dxa"/>
          </w:tcPr>
          <w:p w14:paraId="58C77415" w14:textId="77777777" w:rsidR="00B02873" w:rsidRDefault="00B02873" w:rsidP="00B415A9">
            <w:pPr>
              <w:pStyle w:val="TablebodyleftTables"/>
            </w:pPr>
            <w:r>
              <w:rPr>
                <w:rStyle w:val="Bold"/>
                <w:spacing w:val="-3"/>
              </w:rPr>
              <w:t xml:space="preserve">Total reported natural gas and LPG emissions (scope 1 and scope </w:t>
            </w:r>
            <w:r>
              <w:rPr>
                <w:rStyle w:val="Bold"/>
              </w:rPr>
              <w:t>3)</w:t>
            </w:r>
          </w:p>
        </w:tc>
        <w:tc>
          <w:tcPr>
            <w:tcW w:w="1170" w:type="dxa"/>
          </w:tcPr>
          <w:p w14:paraId="76BD40D6" w14:textId="77777777" w:rsidR="00B02873" w:rsidRDefault="00B02873" w:rsidP="00B23E1C">
            <w:pPr>
              <w:pStyle w:val="TablebodyleftTables"/>
              <w:jc w:val="right"/>
            </w:pPr>
            <w:r>
              <w:rPr>
                <w:rStyle w:val="Bold"/>
              </w:rPr>
              <w:t>513</w:t>
            </w:r>
          </w:p>
        </w:tc>
        <w:tc>
          <w:tcPr>
            <w:tcW w:w="1170" w:type="dxa"/>
          </w:tcPr>
          <w:p w14:paraId="556D5192" w14:textId="77777777" w:rsidR="00B02873" w:rsidRDefault="00B02873" w:rsidP="00B23E1C">
            <w:pPr>
              <w:pStyle w:val="TablebodyleftTables"/>
              <w:jc w:val="right"/>
            </w:pPr>
            <w:r>
              <w:rPr>
                <w:rStyle w:val="Bold"/>
                <w:spacing w:val="-5"/>
              </w:rPr>
              <w:t>687</w:t>
            </w:r>
          </w:p>
        </w:tc>
        <w:tc>
          <w:tcPr>
            <w:tcW w:w="1170" w:type="dxa"/>
          </w:tcPr>
          <w:p w14:paraId="5DDF2362" w14:textId="77777777" w:rsidR="00B02873" w:rsidRDefault="00B02873" w:rsidP="00B23E1C">
            <w:pPr>
              <w:pStyle w:val="TablebodyleftTables"/>
              <w:jc w:val="right"/>
            </w:pPr>
            <w:r>
              <w:rPr>
                <w:rStyle w:val="Bold"/>
                <w:spacing w:val="-5"/>
              </w:rPr>
              <w:t>746</w:t>
            </w:r>
          </w:p>
        </w:tc>
        <w:tc>
          <w:tcPr>
            <w:tcW w:w="1171" w:type="dxa"/>
          </w:tcPr>
          <w:p w14:paraId="545D3C2B" w14:textId="77777777" w:rsidR="00B02873" w:rsidRDefault="00B02873" w:rsidP="00B23E1C">
            <w:pPr>
              <w:pStyle w:val="TablebodyleftTables"/>
              <w:jc w:val="right"/>
            </w:pPr>
            <w:r>
              <w:rPr>
                <w:rStyle w:val="Bold"/>
              </w:rPr>
              <w:t>768</w:t>
            </w:r>
          </w:p>
        </w:tc>
      </w:tr>
      <w:tr w:rsidR="00B02873" w:rsidRPr="00B02873" w14:paraId="4D921241" w14:textId="77777777" w:rsidTr="00293663">
        <w:tc>
          <w:tcPr>
            <w:tcW w:w="4957" w:type="dxa"/>
          </w:tcPr>
          <w:p w14:paraId="54A97903" w14:textId="77777777" w:rsidR="00B02873" w:rsidRDefault="00B02873" w:rsidP="00B415A9">
            <w:pPr>
              <w:pStyle w:val="TablebodyleftTables"/>
            </w:pPr>
            <w:r>
              <w:t>Natural gas emissions (scope 1)</w:t>
            </w:r>
          </w:p>
        </w:tc>
        <w:tc>
          <w:tcPr>
            <w:tcW w:w="1170" w:type="dxa"/>
          </w:tcPr>
          <w:p w14:paraId="04945CC2" w14:textId="77777777" w:rsidR="00B02873" w:rsidRDefault="00B02873" w:rsidP="00B23E1C">
            <w:pPr>
              <w:pStyle w:val="TablebodyleftTables"/>
              <w:jc w:val="right"/>
            </w:pPr>
            <w:r>
              <w:t>587</w:t>
            </w:r>
          </w:p>
        </w:tc>
        <w:tc>
          <w:tcPr>
            <w:tcW w:w="1170" w:type="dxa"/>
          </w:tcPr>
          <w:p w14:paraId="4AB72AD5" w14:textId="77777777" w:rsidR="00B02873" w:rsidRDefault="00B02873" w:rsidP="00B23E1C">
            <w:pPr>
              <w:pStyle w:val="TablebodyleftTables"/>
              <w:jc w:val="right"/>
            </w:pPr>
            <w:r>
              <w:t>594</w:t>
            </w:r>
          </w:p>
        </w:tc>
        <w:tc>
          <w:tcPr>
            <w:tcW w:w="1170" w:type="dxa"/>
          </w:tcPr>
          <w:p w14:paraId="6FF31B99" w14:textId="77777777" w:rsidR="00B02873" w:rsidRDefault="00B02873" w:rsidP="00B23E1C">
            <w:pPr>
              <w:pStyle w:val="TablebodyleftTables"/>
              <w:jc w:val="right"/>
            </w:pPr>
            <w:r>
              <w:t>631</w:t>
            </w:r>
          </w:p>
        </w:tc>
        <w:tc>
          <w:tcPr>
            <w:tcW w:w="1171" w:type="dxa"/>
          </w:tcPr>
          <w:p w14:paraId="5C769DD6" w14:textId="77777777" w:rsidR="00B02873" w:rsidRDefault="00B02873" w:rsidP="00B23E1C">
            <w:pPr>
              <w:pStyle w:val="TablebodyleftTables"/>
              <w:jc w:val="right"/>
            </w:pPr>
            <w:r>
              <w:t>662</w:t>
            </w:r>
          </w:p>
        </w:tc>
      </w:tr>
      <w:tr w:rsidR="00B02873" w:rsidRPr="00B02873" w14:paraId="78E1F20D" w14:textId="77777777" w:rsidTr="00293663">
        <w:tc>
          <w:tcPr>
            <w:tcW w:w="4957" w:type="dxa"/>
          </w:tcPr>
          <w:p w14:paraId="77D31696" w14:textId="77777777" w:rsidR="00B02873" w:rsidRDefault="00B02873" w:rsidP="00B415A9">
            <w:pPr>
              <w:pStyle w:val="TablebodyleftTables"/>
            </w:pPr>
            <w:r>
              <w:t>Natural gas emissions (scope 3)</w:t>
            </w:r>
          </w:p>
        </w:tc>
        <w:tc>
          <w:tcPr>
            <w:tcW w:w="1170" w:type="dxa"/>
          </w:tcPr>
          <w:p w14:paraId="78166390" w14:textId="77777777" w:rsidR="00B02873" w:rsidRDefault="00B02873" w:rsidP="00B23E1C">
            <w:pPr>
              <w:pStyle w:val="TablebodyleftTables"/>
              <w:jc w:val="right"/>
            </w:pPr>
            <w:r>
              <w:t>46</w:t>
            </w:r>
          </w:p>
        </w:tc>
        <w:tc>
          <w:tcPr>
            <w:tcW w:w="1170" w:type="dxa"/>
          </w:tcPr>
          <w:p w14:paraId="0DF67AE2" w14:textId="77777777" w:rsidR="00B02873" w:rsidRDefault="00B02873" w:rsidP="00B23E1C">
            <w:pPr>
              <w:pStyle w:val="TablebodyleftTables"/>
              <w:jc w:val="right"/>
            </w:pPr>
            <w:r>
              <w:t>46</w:t>
            </w:r>
          </w:p>
        </w:tc>
        <w:tc>
          <w:tcPr>
            <w:tcW w:w="1170" w:type="dxa"/>
          </w:tcPr>
          <w:p w14:paraId="43D4F569" w14:textId="77777777" w:rsidR="00B02873" w:rsidRDefault="00B02873" w:rsidP="00B23E1C">
            <w:pPr>
              <w:pStyle w:val="TablebodyleftTables"/>
              <w:jc w:val="right"/>
            </w:pPr>
            <w:r>
              <w:t>48</w:t>
            </w:r>
          </w:p>
        </w:tc>
        <w:tc>
          <w:tcPr>
            <w:tcW w:w="1171" w:type="dxa"/>
          </w:tcPr>
          <w:p w14:paraId="5BD797A8" w14:textId="77777777" w:rsidR="00B02873" w:rsidRDefault="00B02873" w:rsidP="00B23E1C">
            <w:pPr>
              <w:pStyle w:val="TablebodyleftTables"/>
              <w:jc w:val="right"/>
            </w:pPr>
            <w:r>
              <w:t>50</w:t>
            </w:r>
          </w:p>
        </w:tc>
      </w:tr>
      <w:tr w:rsidR="00B02873" w:rsidRPr="00B02873" w14:paraId="5192EAE7" w14:textId="77777777" w:rsidTr="00293663">
        <w:tc>
          <w:tcPr>
            <w:tcW w:w="4957" w:type="dxa"/>
          </w:tcPr>
          <w:p w14:paraId="0F0FDDC1" w14:textId="77777777" w:rsidR="00B02873" w:rsidRDefault="00B02873" w:rsidP="00B415A9">
            <w:pPr>
              <w:pStyle w:val="TablebodyleftTables"/>
            </w:pPr>
            <w:r>
              <w:t>LPG emissions (scope 1)</w:t>
            </w:r>
          </w:p>
        </w:tc>
        <w:tc>
          <w:tcPr>
            <w:tcW w:w="1170" w:type="dxa"/>
          </w:tcPr>
          <w:p w14:paraId="6EBAE07F" w14:textId="77777777" w:rsidR="00B02873" w:rsidRDefault="00B02873" w:rsidP="00B23E1C">
            <w:pPr>
              <w:pStyle w:val="TablebodyleftTables"/>
              <w:jc w:val="right"/>
            </w:pPr>
            <w:r>
              <w:t>49</w:t>
            </w:r>
          </w:p>
        </w:tc>
        <w:tc>
          <w:tcPr>
            <w:tcW w:w="1170" w:type="dxa"/>
          </w:tcPr>
          <w:p w14:paraId="1243487F" w14:textId="77777777" w:rsidR="00B02873" w:rsidRDefault="00B02873" w:rsidP="00B23E1C">
            <w:pPr>
              <w:pStyle w:val="TablebodyleftTables"/>
              <w:jc w:val="right"/>
            </w:pPr>
            <w:r>
              <w:t>45</w:t>
            </w:r>
          </w:p>
        </w:tc>
        <w:tc>
          <w:tcPr>
            <w:tcW w:w="1170" w:type="dxa"/>
          </w:tcPr>
          <w:p w14:paraId="3A40FA64" w14:textId="77777777" w:rsidR="00B02873" w:rsidRDefault="00B02873" w:rsidP="00B23E1C">
            <w:pPr>
              <w:pStyle w:val="TablebodyleftTables"/>
              <w:jc w:val="right"/>
            </w:pPr>
            <w:r>
              <w:t>63</w:t>
            </w:r>
          </w:p>
        </w:tc>
        <w:tc>
          <w:tcPr>
            <w:tcW w:w="1171" w:type="dxa"/>
          </w:tcPr>
          <w:p w14:paraId="69D2A864" w14:textId="77777777" w:rsidR="00B02873" w:rsidRDefault="00B02873" w:rsidP="00B23E1C">
            <w:pPr>
              <w:pStyle w:val="TablebodyleftTables"/>
              <w:jc w:val="right"/>
            </w:pPr>
            <w:r>
              <w:t>52</w:t>
            </w:r>
          </w:p>
        </w:tc>
      </w:tr>
      <w:tr w:rsidR="00B02873" w:rsidRPr="00B02873" w14:paraId="63CF2492" w14:textId="77777777" w:rsidTr="00293663">
        <w:tc>
          <w:tcPr>
            <w:tcW w:w="4957" w:type="dxa"/>
          </w:tcPr>
          <w:p w14:paraId="0C4A9350" w14:textId="77777777" w:rsidR="00B02873" w:rsidRDefault="00B02873" w:rsidP="00B415A9">
            <w:pPr>
              <w:pStyle w:val="TablebodyleftTables"/>
            </w:pPr>
            <w:r>
              <w:t>LPG emissions (scope 3)</w:t>
            </w:r>
          </w:p>
        </w:tc>
        <w:tc>
          <w:tcPr>
            <w:tcW w:w="1170" w:type="dxa"/>
          </w:tcPr>
          <w:p w14:paraId="24020D0D" w14:textId="77777777" w:rsidR="00B02873" w:rsidRDefault="00B02873" w:rsidP="00B23E1C">
            <w:pPr>
              <w:pStyle w:val="TablebodyleftTables"/>
              <w:jc w:val="right"/>
            </w:pPr>
            <w:r>
              <w:t>3</w:t>
            </w:r>
          </w:p>
        </w:tc>
        <w:tc>
          <w:tcPr>
            <w:tcW w:w="1170" w:type="dxa"/>
          </w:tcPr>
          <w:p w14:paraId="7DBB6CE8" w14:textId="77777777" w:rsidR="00B02873" w:rsidRDefault="00B02873" w:rsidP="00B23E1C">
            <w:pPr>
              <w:pStyle w:val="TablebodyleftTables"/>
              <w:jc w:val="right"/>
            </w:pPr>
            <w:r>
              <w:t>3</w:t>
            </w:r>
          </w:p>
        </w:tc>
        <w:tc>
          <w:tcPr>
            <w:tcW w:w="1170" w:type="dxa"/>
          </w:tcPr>
          <w:p w14:paraId="1A4E0189" w14:textId="77777777" w:rsidR="00B02873" w:rsidRDefault="00B02873" w:rsidP="00B23E1C">
            <w:pPr>
              <w:pStyle w:val="TablebodyleftTables"/>
              <w:jc w:val="right"/>
            </w:pPr>
            <w:r>
              <w:t>4</w:t>
            </w:r>
          </w:p>
        </w:tc>
        <w:tc>
          <w:tcPr>
            <w:tcW w:w="1171" w:type="dxa"/>
          </w:tcPr>
          <w:p w14:paraId="3D9DA4FC" w14:textId="77777777" w:rsidR="00B02873" w:rsidRDefault="00B02873" w:rsidP="00B23E1C">
            <w:pPr>
              <w:pStyle w:val="TablebodyleftTables"/>
              <w:jc w:val="right"/>
            </w:pPr>
            <w:r>
              <w:t>4</w:t>
            </w:r>
          </w:p>
        </w:tc>
      </w:tr>
      <w:tr w:rsidR="00B02873" w:rsidRPr="00B02873" w14:paraId="18C1F081" w14:textId="77777777" w:rsidTr="00293663">
        <w:tc>
          <w:tcPr>
            <w:tcW w:w="4957" w:type="dxa"/>
          </w:tcPr>
          <w:p w14:paraId="1CBAEAC1" w14:textId="77777777" w:rsidR="00B02873" w:rsidRDefault="00B02873" w:rsidP="00B415A9">
            <w:pPr>
              <w:pStyle w:val="TablebodyleftTables"/>
            </w:pPr>
            <w:r>
              <w:t>Natural gas and LPG emissions (scope 1 and scope 3)</w:t>
            </w:r>
          </w:p>
        </w:tc>
        <w:tc>
          <w:tcPr>
            <w:tcW w:w="1170" w:type="dxa"/>
          </w:tcPr>
          <w:p w14:paraId="49CCAF4D" w14:textId="77777777" w:rsidR="00B02873" w:rsidRDefault="00B02873" w:rsidP="00B23E1C">
            <w:pPr>
              <w:pStyle w:val="TablebodyleftTables"/>
              <w:jc w:val="right"/>
            </w:pPr>
            <w:r>
              <w:t>684</w:t>
            </w:r>
          </w:p>
        </w:tc>
        <w:tc>
          <w:tcPr>
            <w:tcW w:w="1170" w:type="dxa"/>
          </w:tcPr>
          <w:p w14:paraId="4C6DF7DC" w14:textId="77777777" w:rsidR="00B02873" w:rsidRDefault="00B02873" w:rsidP="00B23E1C">
            <w:pPr>
              <w:pStyle w:val="TablebodyleftTables"/>
              <w:jc w:val="right"/>
            </w:pPr>
            <w:r>
              <w:t>687</w:t>
            </w:r>
          </w:p>
        </w:tc>
        <w:tc>
          <w:tcPr>
            <w:tcW w:w="1170" w:type="dxa"/>
          </w:tcPr>
          <w:p w14:paraId="31CA996D" w14:textId="77777777" w:rsidR="00B02873" w:rsidRDefault="00B02873" w:rsidP="00B23E1C">
            <w:pPr>
              <w:pStyle w:val="TablebodyleftTables"/>
              <w:jc w:val="right"/>
            </w:pPr>
            <w:r>
              <w:t>746</w:t>
            </w:r>
          </w:p>
        </w:tc>
        <w:tc>
          <w:tcPr>
            <w:tcW w:w="1171" w:type="dxa"/>
          </w:tcPr>
          <w:p w14:paraId="446CB0A8" w14:textId="77777777" w:rsidR="00B02873" w:rsidRDefault="00B02873" w:rsidP="00B23E1C">
            <w:pPr>
              <w:pStyle w:val="TablebodyleftTables"/>
              <w:jc w:val="right"/>
            </w:pPr>
            <w:r>
              <w:t>768</w:t>
            </w:r>
          </w:p>
        </w:tc>
      </w:tr>
      <w:tr w:rsidR="00B02873" w:rsidRPr="00B02873" w14:paraId="475086E5" w14:textId="77777777" w:rsidTr="00293663">
        <w:tc>
          <w:tcPr>
            <w:tcW w:w="4957" w:type="dxa"/>
          </w:tcPr>
          <w:p w14:paraId="633445AD" w14:textId="77777777" w:rsidR="00B02873" w:rsidRDefault="00B02873" w:rsidP="00B415A9">
            <w:pPr>
              <w:pStyle w:val="TablebodyleftTables"/>
            </w:pPr>
            <w:r>
              <w:t>Natural gas and LPG emissions offset by ACCUs</w:t>
            </w:r>
          </w:p>
        </w:tc>
        <w:tc>
          <w:tcPr>
            <w:tcW w:w="1170" w:type="dxa"/>
          </w:tcPr>
          <w:p w14:paraId="6761DC41" w14:textId="77777777" w:rsidR="00B02873" w:rsidRDefault="00B02873" w:rsidP="00B23E1C">
            <w:pPr>
              <w:pStyle w:val="TablebodyleftTables"/>
              <w:jc w:val="right"/>
            </w:pPr>
            <w:r>
              <w:t>171</w:t>
            </w:r>
          </w:p>
        </w:tc>
        <w:tc>
          <w:tcPr>
            <w:tcW w:w="1170" w:type="dxa"/>
          </w:tcPr>
          <w:p w14:paraId="304BA4B9" w14:textId="77777777" w:rsidR="00B02873" w:rsidRDefault="00B02873" w:rsidP="00B23E1C">
            <w:pPr>
              <w:pStyle w:val="TablebodyleftTables"/>
              <w:jc w:val="right"/>
            </w:pPr>
            <w:r>
              <w:t>0</w:t>
            </w:r>
          </w:p>
        </w:tc>
        <w:tc>
          <w:tcPr>
            <w:tcW w:w="1170" w:type="dxa"/>
          </w:tcPr>
          <w:p w14:paraId="60FB1164" w14:textId="77777777" w:rsidR="00B02873" w:rsidRDefault="00B02873" w:rsidP="00B23E1C">
            <w:pPr>
              <w:pStyle w:val="TablebodyleftTables"/>
              <w:jc w:val="right"/>
            </w:pPr>
            <w:r>
              <w:t>0</w:t>
            </w:r>
          </w:p>
        </w:tc>
        <w:tc>
          <w:tcPr>
            <w:tcW w:w="1171" w:type="dxa"/>
          </w:tcPr>
          <w:p w14:paraId="1AD70E69" w14:textId="77777777" w:rsidR="00B02873" w:rsidRDefault="00B02873" w:rsidP="00B23E1C">
            <w:pPr>
              <w:pStyle w:val="TablebodyleftTables"/>
              <w:jc w:val="right"/>
            </w:pPr>
            <w:r>
              <w:t>0</w:t>
            </w:r>
          </w:p>
        </w:tc>
      </w:tr>
    </w:tbl>
    <w:p w14:paraId="7753D43B" w14:textId="77777777" w:rsidR="00B02873" w:rsidRDefault="00B02873" w:rsidP="00E174EC"/>
    <w:p w14:paraId="6601E1DA" w14:textId="77777777" w:rsidR="00B02873" w:rsidRDefault="00B02873" w:rsidP="006614C1">
      <w:pPr>
        <w:pStyle w:val="Heading3"/>
      </w:pPr>
      <w:r>
        <w:lastRenderedPageBreak/>
        <w:t>Total reported passenger vehicle emissions:</w:t>
      </w:r>
    </w:p>
    <w:tbl>
      <w:tblPr>
        <w:tblStyle w:val="TableGrid"/>
        <w:tblW w:w="9638" w:type="dxa"/>
        <w:tblLayout w:type="fixed"/>
        <w:tblLook w:val="0020" w:firstRow="1" w:lastRow="0" w:firstColumn="0" w:lastColumn="0" w:noHBand="0" w:noVBand="0"/>
      </w:tblPr>
      <w:tblGrid>
        <w:gridCol w:w="4815"/>
        <w:gridCol w:w="1205"/>
        <w:gridCol w:w="1206"/>
        <w:gridCol w:w="1206"/>
        <w:gridCol w:w="1206"/>
      </w:tblGrid>
      <w:tr w:rsidR="00B02873" w:rsidRPr="006614C1" w14:paraId="23445E34" w14:textId="77777777" w:rsidTr="006614C1">
        <w:trPr>
          <w:cnfStyle w:val="100000000000" w:firstRow="1" w:lastRow="0" w:firstColumn="0" w:lastColumn="0" w:oddVBand="0" w:evenVBand="0" w:oddHBand="0" w:evenHBand="0" w:firstRowFirstColumn="0" w:firstRowLastColumn="0" w:lastRowFirstColumn="0" w:lastRowLastColumn="0"/>
          <w:tblHeader/>
        </w:trPr>
        <w:tc>
          <w:tcPr>
            <w:tcW w:w="4815" w:type="dxa"/>
          </w:tcPr>
          <w:p w14:paraId="7142634D" w14:textId="77777777" w:rsidR="00B02873" w:rsidRPr="006614C1" w:rsidRDefault="00B02873" w:rsidP="006614C1">
            <w:pPr>
              <w:pStyle w:val="TableheadingleftTables"/>
            </w:pPr>
          </w:p>
        </w:tc>
        <w:tc>
          <w:tcPr>
            <w:tcW w:w="1205" w:type="dxa"/>
          </w:tcPr>
          <w:p w14:paraId="1AE86B86" w14:textId="77777777" w:rsidR="00B02873" w:rsidRPr="006614C1" w:rsidRDefault="00B02873" w:rsidP="00B23E1C">
            <w:pPr>
              <w:pStyle w:val="TableheadingleftTables"/>
              <w:jc w:val="right"/>
            </w:pPr>
            <w:r w:rsidRPr="006614C1">
              <w:t>2021-22</w:t>
            </w:r>
          </w:p>
        </w:tc>
        <w:tc>
          <w:tcPr>
            <w:tcW w:w="1206" w:type="dxa"/>
          </w:tcPr>
          <w:p w14:paraId="6171B28B" w14:textId="77777777" w:rsidR="00B02873" w:rsidRPr="006614C1" w:rsidRDefault="00B02873" w:rsidP="00B23E1C">
            <w:pPr>
              <w:pStyle w:val="TableheadingleftTables"/>
              <w:jc w:val="right"/>
            </w:pPr>
            <w:r w:rsidRPr="006614C1">
              <w:t>2020-21</w:t>
            </w:r>
          </w:p>
        </w:tc>
        <w:tc>
          <w:tcPr>
            <w:tcW w:w="1206" w:type="dxa"/>
          </w:tcPr>
          <w:p w14:paraId="61DB678B" w14:textId="77777777" w:rsidR="00B02873" w:rsidRPr="006614C1" w:rsidRDefault="00B02873" w:rsidP="00B23E1C">
            <w:pPr>
              <w:pStyle w:val="TableheadingleftTables"/>
              <w:jc w:val="right"/>
            </w:pPr>
            <w:r w:rsidRPr="006614C1">
              <w:t>2019-20</w:t>
            </w:r>
          </w:p>
        </w:tc>
        <w:tc>
          <w:tcPr>
            <w:tcW w:w="1206" w:type="dxa"/>
          </w:tcPr>
          <w:p w14:paraId="392032A9" w14:textId="77777777" w:rsidR="00B02873" w:rsidRPr="006614C1" w:rsidRDefault="00B02873" w:rsidP="00B23E1C">
            <w:pPr>
              <w:pStyle w:val="TableheadingleftTables"/>
              <w:jc w:val="right"/>
            </w:pPr>
            <w:r w:rsidRPr="006614C1">
              <w:t>2014-15 (baseline)</w:t>
            </w:r>
          </w:p>
        </w:tc>
      </w:tr>
      <w:tr w:rsidR="00B02873" w:rsidRPr="00B02873" w14:paraId="7D161B8A" w14:textId="77777777" w:rsidTr="006614C1">
        <w:tc>
          <w:tcPr>
            <w:tcW w:w="4815" w:type="dxa"/>
          </w:tcPr>
          <w:p w14:paraId="10DEBE72" w14:textId="77777777" w:rsidR="00B02873" w:rsidRDefault="00B02873" w:rsidP="00B415A9">
            <w:pPr>
              <w:pStyle w:val="TablebodyleftTables"/>
            </w:pPr>
            <w:r>
              <w:rPr>
                <w:rStyle w:val="Bold"/>
              </w:rPr>
              <w:t>Total reported passenger vehicle emissions (scope 1)</w:t>
            </w:r>
          </w:p>
        </w:tc>
        <w:tc>
          <w:tcPr>
            <w:tcW w:w="1205" w:type="dxa"/>
          </w:tcPr>
          <w:p w14:paraId="4C3CCED1" w14:textId="77777777" w:rsidR="00B02873" w:rsidRDefault="00B02873" w:rsidP="00B23E1C">
            <w:pPr>
              <w:pStyle w:val="TablebodyleftTables"/>
              <w:jc w:val="right"/>
            </w:pPr>
            <w:r>
              <w:rPr>
                <w:rStyle w:val="Bold"/>
              </w:rPr>
              <w:t>309</w:t>
            </w:r>
          </w:p>
        </w:tc>
        <w:tc>
          <w:tcPr>
            <w:tcW w:w="1206" w:type="dxa"/>
          </w:tcPr>
          <w:p w14:paraId="53D6F2A1" w14:textId="77777777" w:rsidR="00B02873" w:rsidRDefault="00B02873" w:rsidP="00B23E1C">
            <w:pPr>
              <w:pStyle w:val="TablebodyleftTables"/>
              <w:jc w:val="right"/>
            </w:pPr>
            <w:r>
              <w:rPr>
                <w:rStyle w:val="Bold"/>
                <w:spacing w:val="-5"/>
              </w:rPr>
              <w:t>222</w:t>
            </w:r>
          </w:p>
        </w:tc>
        <w:tc>
          <w:tcPr>
            <w:tcW w:w="1206" w:type="dxa"/>
          </w:tcPr>
          <w:p w14:paraId="7826E7FF" w14:textId="77777777" w:rsidR="00B02873" w:rsidRDefault="00B02873" w:rsidP="00B23E1C">
            <w:pPr>
              <w:pStyle w:val="TablebodyleftTables"/>
              <w:jc w:val="right"/>
            </w:pPr>
            <w:r>
              <w:rPr>
                <w:rStyle w:val="Bold"/>
                <w:spacing w:val="-5"/>
              </w:rPr>
              <w:t>776</w:t>
            </w:r>
          </w:p>
        </w:tc>
        <w:tc>
          <w:tcPr>
            <w:tcW w:w="1206" w:type="dxa"/>
          </w:tcPr>
          <w:p w14:paraId="079F15DB" w14:textId="77777777" w:rsidR="00B02873" w:rsidRDefault="00B02873" w:rsidP="00B23E1C">
            <w:pPr>
              <w:pStyle w:val="TablebodyleftTables"/>
              <w:jc w:val="right"/>
            </w:pPr>
            <w:r>
              <w:rPr>
                <w:rStyle w:val="Bold"/>
              </w:rPr>
              <w:t>876</w:t>
            </w:r>
          </w:p>
        </w:tc>
      </w:tr>
      <w:tr w:rsidR="00B02873" w:rsidRPr="00B02873" w14:paraId="1CB95C52" w14:textId="77777777" w:rsidTr="006614C1">
        <w:tc>
          <w:tcPr>
            <w:tcW w:w="4815" w:type="dxa"/>
          </w:tcPr>
          <w:p w14:paraId="6C381EB8" w14:textId="77777777" w:rsidR="00B02873" w:rsidRDefault="00B02873" w:rsidP="00B415A9">
            <w:pPr>
              <w:pStyle w:val="TablebodyleftTables"/>
            </w:pPr>
            <w:r>
              <w:t>Diesel emissions (scope 1)</w:t>
            </w:r>
          </w:p>
        </w:tc>
        <w:tc>
          <w:tcPr>
            <w:tcW w:w="1205" w:type="dxa"/>
          </w:tcPr>
          <w:p w14:paraId="3FFF5B82" w14:textId="77777777" w:rsidR="00B02873" w:rsidRDefault="00B02873" w:rsidP="00B23E1C">
            <w:pPr>
              <w:pStyle w:val="TablebodyleftTables"/>
              <w:jc w:val="right"/>
            </w:pPr>
            <w:r>
              <w:t>66</w:t>
            </w:r>
          </w:p>
        </w:tc>
        <w:tc>
          <w:tcPr>
            <w:tcW w:w="1206" w:type="dxa"/>
          </w:tcPr>
          <w:p w14:paraId="42664E09" w14:textId="77777777" w:rsidR="00B02873" w:rsidRDefault="00B02873" w:rsidP="00B23E1C">
            <w:pPr>
              <w:pStyle w:val="TablebodyleftTables"/>
              <w:jc w:val="right"/>
            </w:pPr>
            <w:r>
              <w:t>59</w:t>
            </w:r>
          </w:p>
        </w:tc>
        <w:tc>
          <w:tcPr>
            <w:tcW w:w="1206" w:type="dxa"/>
          </w:tcPr>
          <w:p w14:paraId="69CC97DE" w14:textId="77777777" w:rsidR="00B02873" w:rsidRDefault="00B02873" w:rsidP="00B23E1C">
            <w:pPr>
              <w:pStyle w:val="TablebodyleftTables"/>
              <w:jc w:val="right"/>
            </w:pPr>
            <w:r>
              <w:t>56</w:t>
            </w:r>
          </w:p>
        </w:tc>
        <w:tc>
          <w:tcPr>
            <w:tcW w:w="1206" w:type="dxa"/>
          </w:tcPr>
          <w:p w14:paraId="68EB0F5D" w14:textId="77777777" w:rsidR="00B02873" w:rsidRDefault="00B02873" w:rsidP="00B23E1C">
            <w:pPr>
              <w:pStyle w:val="TablebodyleftTables"/>
              <w:jc w:val="right"/>
            </w:pPr>
            <w:r>
              <w:t>225</w:t>
            </w:r>
          </w:p>
        </w:tc>
      </w:tr>
      <w:tr w:rsidR="00B02873" w:rsidRPr="00B02873" w14:paraId="59957548" w14:textId="77777777" w:rsidTr="006614C1">
        <w:tc>
          <w:tcPr>
            <w:tcW w:w="4815" w:type="dxa"/>
          </w:tcPr>
          <w:p w14:paraId="0E178118" w14:textId="77777777" w:rsidR="00B02873" w:rsidRDefault="00B02873" w:rsidP="00B415A9">
            <w:pPr>
              <w:pStyle w:val="TablebodyleftTables"/>
            </w:pPr>
            <w:r>
              <w:t>LPG emissions (scope 1)</w:t>
            </w:r>
          </w:p>
        </w:tc>
        <w:tc>
          <w:tcPr>
            <w:tcW w:w="1205" w:type="dxa"/>
          </w:tcPr>
          <w:p w14:paraId="36C03E40" w14:textId="77777777" w:rsidR="00B02873" w:rsidRDefault="00B02873" w:rsidP="00B23E1C">
            <w:pPr>
              <w:pStyle w:val="TablebodyleftTables"/>
              <w:jc w:val="right"/>
            </w:pPr>
            <w:r>
              <w:t>0</w:t>
            </w:r>
          </w:p>
        </w:tc>
        <w:tc>
          <w:tcPr>
            <w:tcW w:w="1206" w:type="dxa"/>
          </w:tcPr>
          <w:p w14:paraId="0820F080" w14:textId="77777777" w:rsidR="00B02873" w:rsidRDefault="00B02873" w:rsidP="00B23E1C">
            <w:pPr>
              <w:pStyle w:val="TablebodyleftTables"/>
              <w:jc w:val="right"/>
            </w:pPr>
            <w:r>
              <w:t>0</w:t>
            </w:r>
          </w:p>
        </w:tc>
        <w:tc>
          <w:tcPr>
            <w:tcW w:w="1206" w:type="dxa"/>
          </w:tcPr>
          <w:p w14:paraId="72B70A68" w14:textId="77777777" w:rsidR="00B02873" w:rsidRDefault="00B02873" w:rsidP="00B23E1C">
            <w:pPr>
              <w:pStyle w:val="TablebodyleftTables"/>
              <w:jc w:val="right"/>
            </w:pPr>
            <w:r>
              <w:t>0</w:t>
            </w:r>
          </w:p>
        </w:tc>
        <w:tc>
          <w:tcPr>
            <w:tcW w:w="1206" w:type="dxa"/>
          </w:tcPr>
          <w:p w14:paraId="7317228D" w14:textId="77777777" w:rsidR="00B02873" w:rsidRDefault="00B02873" w:rsidP="00B23E1C">
            <w:pPr>
              <w:pStyle w:val="TablebodyleftTables"/>
              <w:jc w:val="right"/>
            </w:pPr>
            <w:r>
              <w:t>54</w:t>
            </w:r>
          </w:p>
        </w:tc>
      </w:tr>
      <w:tr w:rsidR="00B02873" w:rsidRPr="00B02873" w14:paraId="255CC606" w14:textId="77777777" w:rsidTr="006614C1">
        <w:tc>
          <w:tcPr>
            <w:tcW w:w="4815" w:type="dxa"/>
          </w:tcPr>
          <w:p w14:paraId="55C120F3" w14:textId="77777777" w:rsidR="00B02873" w:rsidRDefault="00B02873" w:rsidP="00B415A9">
            <w:pPr>
              <w:pStyle w:val="TablebodyleftTables"/>
            </w:pPr>
            <w:r>
              <w:t>Unleaded emissions (scope 1)</w:t>
            </w:r>
          </w:p>
        </w:tc>
        <w:tc>
          <w:tcPr>
            <w:tcW w:w="1205" w:type="dxa"/>
          </w:tcPr>
          <w:p w14:paraId="6D19E34A" w14:textId="77777777" w:rsidR="00B02873" w:rsidRDefault="00B02873" w:rsidP="00B23E1C">
            <w:pPr>
              <w:pStyle w:val="TablebodyleftTables"/>
              <w:jc w:val="right"/>
            </w:pPr>
            <w:r>
              <w:t>138</w:t>
            </w:r>
          </w:p>
        </w:tc>
        <w:tc>
          <w:tcPr>
            <w:tcW w:w="1206" w:type="dxa"/>
          </w:tcPr>
          <w:p w14:paraId="153185FF" w14:textId="77777777" w:rsidR="00B02873" w:rsidRDefault="00B02873" w:rsidP="00B23E1C">
            <w:pPr>
              <w:pStyle w:val="TablebodyleftTables"/>
              <w:jc w:val="right"/>
            </w:pPr>
            <w:r>
              <w:t>123</w:t>
            </w:r>
          </w:p>
        </w:tc>
        <w:tc>
          <w:tcPr>
            <w:tcW w:w="1206" w:type="dxa"/>
          </w:tcPr>
          <w:p w14:paraId="27EE41B5" w14:textId="77777777" w:rsidR="00B02873" w:rsidRDefault="00B02873" w:rsidP="00B23E1C">
            <w:pPr>
              <w:pStyle w:val="TablebodyleftTables"/>
              <w:jc w:val="right"/>
            </w:pPr>
            <w:r>
              <w:t>575</w:t>
            </w:r>
          </w:p>
        </w:tc>
        <w:tc>
          <w:tcPr>
            <w:tcW w:w="1206" w:type="dxa"/>
          </w:tcPr>
          <w:p w14:paraId="7A5B8DD3" w14:textId="77777777" w:rsidR="00B02873" w:rsidRDefault="00B02873" w:rsidP="00B23E1C">
            <w:pPr>
              <w:pStyle w:val="TablebodyleftTables"/>
              <w:jc w:val="right"/>
            </w:pPr>
            <w:r>
              <w:t>434</w:t>
            </w:r>
          </w:p>
        </w:tc>
      </w:tr>
      <w:tr w:rsidR="00B02873" w:rsidRPr="00B02873" w14:paraId="4528AAC7" w14:textId="77777777" w:rsidTr="006614C1">
        <w:tc>
          <w:tcPr>
            <w:tcW w:w="4815" w:type="dxa"/>
          </w:tcPr>
          <w:p w14:paraId="73259D15" w14:textId="77777777" w:rsidR="00B02873" w:rsidRDefault="00B02873" w:rsidP="00B415A9">
            <w:pPr>
              <w:pStyle w:val="TablebodyleftTables"/>
            </w:pPr>
            <w:r>
              <w:t>Hybrid emissions (scope 1)</w:t>
            </w:r>
          </w:p>
        </w:tc>
        <w:tc>
          <w:tcPr>
            <w:tcW w:w="1205" w:type="dxa"/>
          </w:tcPr>
          <w:p w14:paraId="050824B8" w14:textId="77777777" w:rsidR="00B02873" w:rsidRDefault="00B02873" w:rsidP="00B23E1C">
            <w:pPr>
              <w:pStyle w:val="TablebodyleftTables"/>
              <w:jc w:val="right"/>
            </w:pPr>
            <w:r>
              <w:t>104</w:t>
            </w:r>
          </w:p>
        </w:tc>
        <w:tc>
          <w:tcPr>
            <w:tcW w:w="1206" w:type="dxa"/>
          </w:tcPr>
          <w:p w14:paraId="24756483" w14:textId="77777777" w:rsidR="00B02873" w:rsidRDefault="00B02873" w:rsidP="00B23E1C">
            <w:pPr>
              <w:pStyle w:val="TablebodyleftTables"/>
              <w:jc w:val="right"/>
            </w:pPr>
            <w:r>
              <w:t>41</w:t>
            </w:r>
          </w:p>
        </w:tc>
        <w:tc>
          <w:tcPr>
            <w:tcW w:w="1206" w:type="dxa"/>
          </w:tcPr>
          <w:p w14:paraId="469DBBDF" w14:textId="77777777" w:rsidR="00B02873" w:rsidRDefault="00B02873" w:rsidP="00B23E1C">
            <w:pPr>
              <w:pStyle w:val="TablebodyleftTables"/>
              <w:jc w:val="right"/>
            </w:pPr>
            <w:r>
              <w:t>145</w:t>
            </w:r>
          </w:p>
        </w:tc>
        <w:tc>
          <w:tcPr>
            <w:tcW w:w="1206" w:type="dxa"/>
          </w:tcPr>
          <w:p w14:paraId="2C3D4263" w14:textId="77777777" w:rsidR="00B02873" w:rsidRDefault="00B02873" w:rsidP="00B23E1C">
            <w:pPr>
              <w:pStyle w:val="TablebodyleftTables"/>
              <w:jc w:val="right"/>
            </w:pPr>
            <w:r>
              <w:t>163</w:t>
            </w:r>
          </w:p>
        </w:tc>
      </w:tr>
    </w:tbl>
    <w:p w14:paraId="442C73D4" w14:textId="77777777" w:rsidR="00B02873" w:rsidRDefault="00B02873" w:rsidP="006614C1"/>
    <w:p w14:paraId="78645631" w14:textId="77777777" w:rsidR="00B02873" w:rsidRDefault="00B02873" w:rsidP="006614C1">
      <w:pPr>
        <w:pStyle w:val="Heading3"/>
      </w:pPr>
      <w:r>
        <w:t>Total reported operational vehicle emissions:</w:t>
      </w:r>
    </w:p>
    <w:p w14:paraId="3C4B8F43" w14:textId="77777777" w:rsidR="00B02873" w:rsidRDefault="00B02873" w:rsidP="006614C1">
      <w:pPr>
        <w:pStyle w:val="Bullet1Listslast"/>
      </w:pPr>
      <w:r>
        <w:t>DELWP used ACCUs to offset 25 per cent of operational vehicle emissions over 2021-22.</w:t>
      </w:r>
    </w:p>
    <w:p w14:paraId="39C3C1C0" w14:textId="36530C80" w:rsidR="00B02873" w:rsidRDefault="00B02873" w:rsidP="006614C1">
      <w:pPr>
        <w:pStyle w:val="Figureheading"/>
      </w:pPr>
      <w:r>
        <w:t>Total reported operational vehicle emissions (tonnes CO</w:t>
      </w:r>
      <w:r w:rsidRPr="006614C1">
        <w:rPr>
          <w:vertAlign w:val="subscript"/>
        </w:rPr>
        <w:t>2</w:t>
      </w:r>
      <w:r>
        <w:t>-e)</w:t>
      </w:r>
    </w:p>
    <w:p w14:paraId="2B134EE9" w14:textId="7B5780DB" w:rsidR="006614C1" w:rsidRDefault="006614C1" w:rsidP="006614C1">
      <w:r>
        <w:rPr>
          <w:noProof/>
        </w:rPr>
        <w:drawing>
          <wp:inline distT="0" distB="0" distL="0" distR="0" wp14:anchorId="66F74E63" wp14:editId="32B55CB3">
            <wp:extent cx="4972050" cy="1941603"/>
            <wp:effectExtent l="0" t="0" r="0" b="1905"/>
            <wp:docPr id="47" name="Picture 47" descr="Graph showing total reported operational vehicle emissions and operational vehicle emissions offset by ACCUs in tonnes CO2-e for four financial years: 2014-15 (baseline year), 2019-20, 2020-21 and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 showing total reported operational vehicle emissions and operational vehicle emissions offset by ACCUs in tonnes CO2-e for four financial years: 2014-15 (baseline year), 2019-20, 2020-21 and 2021-22."/>
                    <pic:cNvPicPr/>
                  </pic:nvPicPr>
                  <pic:blipFill rotWithShape="1">
                    <a:blip r:embed="rId71"/>
                    <a:srcRect b="3670"/>
                    <a:stretch/>
                  </pic:blipFill>
                  <pic:spPr bwMode="auto">
                    <a:xfrm>
                      <a:off x="0" y="0"/>
                      <a:ext cx="4980648" cy="1944961"/>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9638" w:type="dxa"/>
        <w:tblLayout w:type="fixed"/>
        <w:tblLook w:val="0020" w:firstRow="1" w:lastRow="0" w:firstColumn="0" w:lastColumn="0" w:noHBand="0" w:noVBand="0"/>
      </w:tblPr>
      <w:tblGrid>
        <w:gridCol w:w="4872"/>
        <w:gridCol w:w="1191"/>
        <w:gridCol w:w="1192"/>
        <w:gridCol w:w="1191"/>
        <w:gridCol w:w="1192"/>
      </w:tblGrid>
      <w:tr w:rsidR="00B02873" w:rsidRPr="006614C1" w14:paraId="607FBF90" w14:textId="77777777" w:rsidTr="00ED3106">
        <w:trPr>
          <w:cnfStyle w:val="100000000000" w:firstRow="1" w:lastRow="0" w:firstColumn="0" w:lastColumn="0" w:oddVBand="0" w:evenVBand="0" w:oddHBand="0" w:evenHBand="0" w:firstRowFirstColumn="0" w:firstRowLastColumn="0" w:lastRowFirstColumn="0" w:lastRowLastColumn="0"/>
          <w:tblHeader/>
        </w:trPr>
        <w:tc>
          <w:tcPr>
            <w:tcW w:w="4872" w:type="dxa"/>
          </w:tcPr>
          <w:p w14:paraId="25ECB65F" w14:textId="77777777" w:rsidR="00B02873" w:rsidRPr="006614C1" w:rsidRDefault="00B02873" w:rsidP="006614C1">
            <w:pPr>
              <w:pStyle w:val="TableheadingleftTables"/>
            </w:pPr>
          </w:p>
        </w:tc>
        <w:tc>
          <w:tcPr>
            <w:tcW w:w="1191" w:type="dxa"/>
          </w:tcPr>
          <w:p w14:paraId="051D2944" w14:textId="77777777" w:rsidR="00B02873" w:rsidRPr="006614C1" w:rsidRDefault="00B02873" w:rsidP="00B23E1C">
            <w:pPr>
              <w:pStyle w:val="TableheadingleftTables"/>
              <w:jc w:val="right"/>
            </w:pPr>
            <w:r w:rsidRPr="006614C1">
              <w:t>2021-22</w:t>
            </w:r>
          </w:p>
        </w:tc>
        <w:tc>
          <w:tcPr>
            <w:tcW w:w="1192" w:type="dxa"/>
          </w:tcPr>
          <w:p w14:paraId="4AC4C582" w14:textId="77777777" w:rsidR="00B02873" w:rsidRPr="006614C1" w:rsidRDefault="00B02873" w:rsidP="00B23E1C">
            <w:pPr>
              <w:pStyle w:val="TableheadingleftTables"/>
              <w:jc w:val="right"/>
            </w:pPr>
            <w:r w:rsidRPr="006614C1">
              <w:t>2020-21</w:t>
            </w:r>
          </w:p>
        </w:tc>
        <w:tc>
          <w:tcPr>
            <w:tcW w:w="1191" w:type="dxa"/>
          </w:tcPr>
          <w:p w14:paraId="79D9E1B7" w14:textId="77777777" w:rsidR="00B02873" w:rsidRPr="006614C1" w:rsidRDefault="00B02873" w:rsidP="00B23E1C">
            <w:pPr>
              <w:pStyle w:val="TableheadingleftTables"/>
              <w:jc w:val="right"/>
            </w:pPr>
            <w:r w:rsidRPr="006614C1">
              <w:t>2019-20</w:t>
            </w:r>
          </w:p>
        </w:tc>
        <w:tc>
          <w:tcPr>
            <w:tcW w:w="1192" w:type="dxa"/>
          </w:tcPr>
          <w:p w14:paraId="36B53359" w14:textId="77777777" w:rsidR="00B02873" w:rsidRPr="006614C1" w:rsidRDefault="00B02873" w:rsidP="00B23E1C">
            <w:pPr>
              <w:pStyle w:val="TableheadingleftTables"/>
              <w:jc w:val="right"/>
            </w:pPr>
            <w:r w:rsidRPr="006614C1">
              <w:t>2014-15 (baseline)</w:t>
            </w:r>
          </w:p>
        </w:tc>
      </w:tr>
      <w:tr w:rsidR="00B02873" w:rsidRPr="00B02873" w14:paraId="70129CB6" w14:textId="77777777" w:rsidTr="00ED3106">
        <w:tc>
          <w:tcPr>
            <w:tcW w:w="4872" w:type="dxa"/>
          </w:tcPr>
          <w:p w14:paraId="1FE4D62D" w14:textId="77777777" w:rsidR="00B02873" w:rsidRDefault="00B02873" w:rsidP="00B415A9">
            <w:pPr>
              <w:pStyle w:val="TablebodyleftTables"/>
            </w:pPr>
            <w:r>
              <w:rPr>
                <w:rStyle w:val="Bold"/>
              </w:rPr>
              <w:t>Total reported operational vehicle emissions (scope 1)</w:t>
            </w:r>
          </w:p>
        </w:tc>
        <w:tc>
          <w:tcPr>
            <w:tcW w:w="1191" w:type="dxa"/>
          </w:tcPr>
          <w:p w14:paraId="28F92E2D" w14:textId="77777777" w:rsidR="00B02873" w:rsidRDefault="00B02873" w:rsidP="00B23E1C">
            <w:pPr>
              <w:pStyle w:val="TablebodyleftTables"/>
              <w:jc w:val="right"/>
            </w:pPr>
            <w:r>
              <w:rPr>
                <w:rStyle w:val="Bold"/>
              </w:rPr>
              <w:t>5,488</w:t>
            </w:r>
          </w:p>
        </w:tc>
        <w:tc>
          <w:tcPr>
            <w:tcW w:w="1192" w:type="dxa"/>
          </w:tcPr>
          <w:p w14:paraId="7A6D462B" w14:textId="77777777" w:rsidR="00B02873" w:rsidRDefault="00B02873" w:rsidP="00B23E1C">
            <w:pPr>
              <w:pStyle w:val="TablebodyleftTables"/>
              <w:jc w:val="right"/>
            </w:pPr>
            <w:r>
              <w:rPr>
                <w:rStyle w:val="Bold"/>
                <w:spacing w:val="-5"/>
              </w:rPr>
              <w:t>6,160</w:t>
            </w:r>
            <w:r>
              <w:rPr>
                <w:rStyle w:val="Bold"/>
                <w:spacing w:val="-5"/>
                <w:vertAlign w:val="superscript"/>
              </w:rPr>
              <w:t>(iii)</w:t>
            </w:r>
          </w:p>
        </w:tc>
        <w:tc>
          <w:tcPr>
            <w:tcW w:w="1191" w:type="dxa"/>
          </w:tcPr>
          <w:p w14:paraId="4D29C6F2" w14:textId="77777777" w:rsidR="00B02873" w:rsidRDefault="00B02873" w:rsidP="00B23E1C">
            <w:pPr>
              <w:pStyle w:val="TablebodyleftTables"/>
              <w:jc w:val="right"/>
            </w:pPr>
            <w:r>
              <w:rPr>
                <w:rStyle w:val="Bold"/>
                <w:spacing w:val="-5"/>
              </w:rPr>
              <w:t>8,496</w:t>
            </w:r>
            <w:r>
              <w:rPr>
                <w:rStyle w:val="Bold"/>
                <w:spacing w:val="-5"/>
                <w:vertAlign w:val="superscript"/>
              </w:rPr>
              <w:t>(iii)</w:t>
            </w:r>
          </w:p>
        </w:tc>
        <w:tc>
          <w:tcPr>
            <w:tcW w:w="1192" w:type="dxa"/>
          </w:tcPr>
          <w:p w14:paraId="56C21E56" w14:textId="77777777" w:rsidR="00B02873" w:rsidRDefault="00B02873" w:rsidP="00B23E1C">
            <w:pPr>
              <w:pStyle w:val="TablebodyleftTables"/>
              <w:jc w:val="right"/>
            </w:pPr>
            <w:r>
              <w:rPr>
                <w:rStyle w:val="Bold"/>
              </w:rPr>
              <w:t>6,326</w:t>
            </w:r>
            <w:r>
              <w:rPr>
                <w:rStyle w:val="Bold"/>
                <w:vertAlign w:val="superscript"/>
              </w:rPr>
              <w:t>(iii)</w:t>
            </w:r>
          </w:p>
        </w:tc>
      </w:tr>
      <w:tr w:rsidR="00B02873" w:rsidRPr="00B02873" w14:paraId="3398D339" w14:textId="77777777" w:rsidTr="00ED3106">
        <w:tc>
          <w:tcPr>
            <w:tcW w:w="4872" w:type="dxa"/>
          </w:tcPr>
          <w:p w14:paraId="0F7CE1A6" w14:textId="77777777" w:rsidR="00B02873" w:rsidRDefault="00B02873" w:rsidP="00B415A9">
            <w:pPr>
              <w:pStyle w:val="TablebodyleftTables"/>
            </w:pPr>
            <w:r>
              <w:t>Diesel emissions (scope 1)</w:t>
            </w:r>
          </w:p>
        </w:tc>
        <w:tc>
          <w:tcPr>
            <w:tcW w:w="1191" w:type="dxa"/>
          </w:tcPr>
          <w:p w14:paraId="44E95FD7" w14:textId="77777777" w:rsidR="00B02873" w:rsidRDefault="00B02873" w:rsidP="00B23E1C">
            <w:pPr>
              <w:pStyle w:val="TablebodyleftTables"/>
              <w:jc w:val="right"/>
            </w:pPr>
            <w:r>
              <w:t>7,307</w:t>
            </w:r>
          </w:p>
        </w:tc>
        <w:tc>
          <w:tcPr>
            <w:tcW w:w="1192" w:type="dxa"/>
          </w:tcPr>
          <w:p w14:paraId="480EA055" w14:textId="77777777" w:rsidR="00B02873" w:rsidRDefault="00B02873" w:rsidP="00B23E1C">
            <w:pPr>
              <w:pStyle w:val="TablebodyleftTables"/>
              <w:jc w:val="right"/>
            </w:pPr>
            <w:r>
              <w:t>6,148</w:t>
            </w:r>
          </w:p>
        </w:tc>
        <w:tc>
          <w:tcPr>
            <w:tcW w:w="1191" w:type="dxa"/>
          </w:tcPr>
          <w:p w14:paraId="7429C5ED" w14:textId="77777777" w:rsidR="00B02873" w:rsidRDefault="00B02873" w:rsidP="00B23E1C">
            <w:pPr>
              <w:pStyle w:val="TablebodyleftTables"/>
              <w:jc w:val="right"/>
            </w:pPr>
            <w:r>
              <w:t>8,546</w:t>
            </w:r>
          </w:p>
        </w:tc>
        <w:tc>
          <w:tcPr>
            <w:tcW w:w="1192" w:type="dxa"/>
          </w:tcPr>
          <w:p w14:paraId="019B0844" w14:textId="77777777" w:rsidR="00B02873" w:rsidRDefault="00B02873" w:rsidP="00B23E1C">
            <w:pPr>
              <w:pStyle w:val="TablebodyleftTables"/>
              <w:jc w:val="right"/>
            </w:pPr>
            <w:r>
              <w:t>6,320</w:t>
            </w:r>
          </w:p>
        </w:tc>
      </w:tr>
      <w:tr w:rsidR="00B02873" w:rsidRPr="00B02873" w14:paraId="0B76D575" w14:textId="77777777" w:rsidTr="00ED3106">
        <w:tc>
          <w:tcPr>
            <w:tcW w:w="4872" w:type="dxa"/>
          </w:tcPr>
          <w:p w14:paraId="08EC063B" w14:textId="77777777" w:rsidR="00B02873" w:rsidRDefault="00B02873" w:rsidP="00B415A9">
            <w:pPr>
              <w:pStyle w:val="TablebodyleftTables"/>
            </w:pPr>
            <w:r>
              <w:t>Unleaded emissions (scope 1)</w:t>
            </w:r>
          </w:p>
        </w:tc>
        <w:tc>
          <w:tcPr>
            <w:tcW w:w="1191" w:type="dxa"/>
          </w:tcPr>
          <w:p w14:paraId="61B7C037" w14:textId="77777777" w:rsidR="00B02873" w:rsidRDefault="00B02873" w:rsidP="00B23E1C">
            <w:pPr>
              <w:pStyle w:val="TablebodyleftTables"/>
              <w:jc w:val="right"/>
            </w:pPr>
            <w:r>
              <w:t>10</w:t>
            </w:r>
          </w:p>
        </w:tc>
        <w:tc>
          <w:tcPr>
            <w:tcW w:w="1192" w:type="dxa"/>
          </w:tcPr>
          <w:p w14:paraId="6155D7B5" w14:textId="77777777" w:rsidR="00B02873" w:rsidRDefault="00B02873" w:rsidP="00B23E1C">
            <w:pPr>
              <w:pStyle w:val="TablebodyleftTables"/>
              <w:jc w:val="right"/>
            </w:pPr>
            <w:r>
              <w:t>12</w:t>
            </w:r>
          </w:p>
        </w:tc>
        <w:tc>
          <w:tcPr>
            <w:tcW w:w="1191" w:type="dxa"/>
          </w:tcPr>
          <w:p w14:paraId="3541151E" w14:textId="77777777" w:rsidR="00B02873" w:rsidRDefault="00B02873" w:rsidP="00B23E1C">
            <w:pPr>
              <w:pStyle w:val="TablebodyleftTables"/>
              <w:jc w:val="right"/>
            </w:pPr>
            <w:r>
              <w:t>40</w:t>
            </w:r>
          </w:p>
        </w:tc>
        <w:tc>
          <w:tcPr>
            <w:tcW w:w="1192" w:type="dxa"/>
          </w:tcPr>
          <w:p w14:paraId="1CD3FBFD" w14:textId="77777777" w:rsidR="00B02873" w:rsidRDefault="00B02873" w:rsidP="00B23E1C">
            <w:pPr>
              <w:pStyle w:val="TablebodyleftTables"/>
              <w:jc w:val="right"/>
            </w:pPr>
            <w:r>
              <w:t>7</w:t>
            </w:r>
          </w:p>
        </w:tc>
      </w:tr>
      <w:tr w:rsidR="00B02873" w:rsidRPr="00B02873" w14:paraId="10BB40AE" w14:textId="77777777" w:rsidTr="00ED3106">
        <w:tc>
          <w:tcPr>
            <w:tcW w:w="4872" w:type="dxa"/>
          </w:tcPr>
          <w:p w14:paraId="68E793FC" w14:textId="77777777" w:rsidR="00B02873" w:rsidRDefault="00B02873" w:rsidP="00B415A9">
            <w:pPr>
              <w:pStyle w:val="TablebodyleftTables"/>
            </w:pPr>
            <w:r>
              <w:t>All operational vehicle emissions (scope 1)</w:t>
            </w:r>
          </w:p>
        </w:tc>
        <w:tc>
          <w:tcPr>
            <w:tcW w:w="1191" w:type="dxa"/>
          </w:tcPr>
          <w:p w14:paraId="17252A61" w14:textId="77777777" w:rsidR="00B02873" w:rsidRDefault="00B02873" w:rsidP="00B23E1C">
            <w:pPr>
              <w:pStyle w:val="TablebodyleftTables"/>
              <w:jc w:val="right"/>
            </w:pPr>
            <w:r>
              <w:t>7,317</w:t>
            </w:r>
          </w:p>
        </w:tc>
        <w:tc>
          <w:tcPr>
            <w:tcW w:w="1192" w:type="dxa"/>
          </w:tcPr>
          <w:p w14:paraId="07D77A12" w14:textId="77777777" w:rsidR="00B02873" w:rsidRDefault="00B02873" w:rsidP="00B23E1C">
            <w:pPr>
              <w:pStyle w:val="TablebodyleftTables"/>
              <w:jc w:val="right"/>
            </w:pPr>
            <w:r>
              <w:t>6,160</w:t>
            </w:r>
            <w:r>
              <w:rPr>
                <w:vertAlign w:val="superscript"/>
              </w:rPr>
              <w:t>(iii)</w:t>
            </w:r>
          </w:p>
        </w:tc>
        <w:tc>
          <w:tcPr>
            <w:tcW w:w="1191" w:type="dxa"/>
          </w:tcPr>
          <w:p w14:paraId="7072CC2B" w14:textId="77777777" w:rsidR="00B02873" w:rsidRDefault="00B02873" w:rsidP="00B23E1C">
            <w:pPr>
              <w:pStyle w:val="TablebodyleftTables"/>
              <w:jc w:val="right"/>
            </w:pPr>
            <w:r>
              <w:t>8,496</w:t>
            </w:r>
            <w:r>
              <w:rPr>
                <w:vertAlign w:val="superscript"/>
              </w:rPr>
              <w:t>(iii)</w:t>
            </w:r>
          </w:p>
        </w:tc>
        <w:tc>
          <w:tcPr>
            <w:tcW w:w="1192" w:type="dxa"/>
          </w:tcPr>
          <w:p w14:paraId="7F0F8055" w14:textId="77777777" w:rsidR="00B02873" w:rsidRDefault="00B02873" w:rsidP="00B23E1C">
            <w:pPr>
              <w:pStyle w:val="TablebodyleftTables"/>
              <w:jc w:val="right"/>
            </w:pPr>
            <w:r>
              <w:t>6,326</w:t>
            </w:r>
            <w:r>
              <w:rPr>
                <w:vertAlign w:val="superscript"/>
              </w:rPr>
              <w:t>(iii)</w:t>
            </w:r>
          </w:p>
        </w:tc>
      </w:tr>
      <w:tr w:rsidR="00B02873" w:rsidRPr="00B02873" w14:paraId="4A88FA06" w14:textId="77777777" w:rsidTr="00ED3106">
        <w:tc>
          <w:tcPr>
            <w:tcW w:w="4872" w:type="dxa"/>
          </w:tcPr>
          <w:p w14:paraId="7AAD1A2A" w14:textId="77777777" w:rsidR="00B02873" w:rsidRDefault="00B02873" w:rsidP="00B415A9">
            <w:pPr>
              <w:pStyle w:val="TablebodyleftTables"/>
            </w:pPr>
            <w:r>
              <w:t>Operational vehicle emissions offset by ACCUs</w:t>
            </w:r>
          </w:p>
        </w:tc>
        <w:tc>
          <w:tcPr>
            <w:tcW w:w="1191" w:type="dxa"/>
          </w:tcPr>
          <w:p w14:paraId="5DD1BDFC" w14:textId="77777777" w:rsidR="00B02873" w:rsidRDefault="00B02873" w:rsidP="00B23E1C">
            <w:pPr>
              <w:pStyle w:val="TablebodyleftTables"/>
              <w:jc w:val="right"/>
            </w:pPr>
            <w:r>
              <w:t>1,829</w:t>
            </w:r>
          </w:p>
        </w:tc>
        <w:tc>
          <w:tcPr>
            <w:tcW w:w="1192" w:type="dxa"/>
          </w:tcPr>
          <w:p w14:paraId="527248C8" w14:textId="77777777" w:rsidR="00B02873" w:rsidRDefault="00B02873" w:rsidP="00B23E1C">
            <w:pPr>
              <w:pStyle w:val="TablebodyleftTables"/>
              <w:jc w:val="right"/>
            </w:pPr>
            <w:r>
              <w:t>0</w:t>
            </w:r>
          </w:p>
        </w:tc>
        <w:tc>
          <w:tcPr>
            <w:tcW w:w="1191" w:type="dxa"/>
          </w:tcPr>
          <w:p w14:paraId="055F1181" w14:textId="77777777" w:rsidR="00B02873" w:rsidRDefault="00B02873" w:rsidP="00B23E1C">
            <w:pPr>
              <w:pStyle w:val="TablebodyleftTables"/>
              <w:jc w:val="right"/>
            </w:pPr>
            <w:r>
              <w:t>0</w:t>
            </w:r>
          </w:p>
        </w:tc>
        <w:tc>
          <w:tcPr>
            <w:tcW w:w="1192" w:type="dxa"/>
          </w:tcPr>
          <w:p w14:paraId="2B2F241B" w14:textId="77777777" w:rsidR="00B02873" w:rsidRDefault="00B02873" w:rsidP="00B23E1C">
            <w:pPr>
              <w:pStyle w:val="TablebodyleftTables"/>
              <w:jc w:val="right"/>
            </w:pPr>
            <w:r>
              <w:t>0</w:t>
            </w:r>
          </w:p>
        </w:tc>
      </w:tr>
    </w:tbl>
    <w:p w14:paraId="7921E255" w14:textId="77777777" w:rsidR="00ED3106" w:rsidRPr="00B95A6A" w:rsidRDefault="00ED3106" w:rsidP="00ED3106">
      <w:pPr>
        <w:pStyle w:val="SourceNote"/>
        <w:keepNext/>
        <w:spacing w:after="120"/>
        <w:rPr>
          <w:b/>
          <w:bCs/>
        </w:rPr>
      </w:pPr>
      <w:r w:rsidRPr="00B95A6A">
        <w:rPr>
          <w:b/>
          <w:bCs/>
        </w:rPr>
        <w:t>Explanatory notes:</w:t>
      </w:r>
    </w:p>
    <w:p w14:paraId="0295D642" w14:textId="77777777" w:rsidR="00ED3106" w:rsidRDefault="00ED3106" w:rsidP="00ED3106">
      <w:pPr>
        <w:pStyle w:val="SourceNote"/>
        <w:ind w:left="397" w:hanging="397"/>
      </w:pPr>
      <w:r>
        <w:t>(iii)</w:t>
      </w:r>
      <w:r>
        <w:tab/>
        <w:t>Figures updated to include the full operational vehicle fleet. Previously emissions were only reported for the 4WDs and ultra-light tankers.</w:t>
      </w:r>
    </w:p>
    <w:p w14:paraId="03EC8655" w14:textId="77777777" w:rsidR="00B02873" w:rsidRDefault="00B02873" w:rsidP="006614C1"/>
    <w:p w14:paraId="23EA2FAA" w14:textId="77777777" w:rsidR="00B02873" w:rsidRDefault="00B02873" w:rsidP="006614C1">
      <w:pPr>
        <w:pStyle w:val="Heading3"/>
      </w:pPr>
      <w:r>
        <w:lastRenderedPageBreak/>
        <w:t>Total reported air travel, building waste and paper purchasing emissions:</w:t>
      </w:r>
    </w:p>
    <w:tbl>
      <w:tblPr>
        <w:tblStyle w:val="TableGrid"/>
        <w:tblW w:w="9638" w:type="dxa"/>
        <w:tblLayout w:type="fixed"/>
        <w:tblLook w:val="0020" w:firstRow="1" w:lastRow="0" w:firstColumn="0" w:lastColumn="0" w:noHBand="0" w:noVBand="0"/>
      </w:tblPr>
      <w:tblGrid>
        <w:gridCol w:w="4673"/>
        <w:gridCol w:w="1241"/>
        <w:gridCol w:w="1241"/>
        <w:gridCol w:w="1241"/>
        <w:gridCol w:w="1242"/>
      </w:tblGrid>
      <w:tr w:rsidR="00B02873" w:rsidRPr="006614C1" w14:paraId="3F5A52D0" w14:textId="77777777" w:rsidTr="006614C1">
        <w:trPr>
          <w:cnfStyle w:val="100000000000" w:firstRow="1" w:lastRow="0" w:firstColumn="0" w:lastColumn="0" w:oddVBand="0" w:evenVBand="0" w:oddHBand="0" w:evenHBand="0" w:firstRowFirstColumn="0" w:firstRowLastColumn="0" w:lastRowFirstColumn="0" w:lastRowLastColumn="0"/>
          <w:tblHeader/>
        </w:trPr>
        <w:tc>
          <w:tcPr>
            <w:tcW w:w="4673" w:type="dxa"/>
          </w:tcPr>
          <w:p w14:paraId="6A335CDB" w14:textId="77777777" w:rsidR="00B02873" w:rsidRPr="006614C1" w:rsidRDefault="00B02873" w:rsidP="006614C1">
            <w:pPr>
              <w:pStyle w:val="TableheadingleftTables"/>
            </w:pPr>
          </w:p>
        </w:tc>
        <w:tc>
          <w:tcPr>
            <w:tcW w:w="1241" w:type="dxa"/>
          </w:tcPr>
          <w:p w14:paraId="4F7E1E11" w14:textId="77777777" w:rsidR="00B02873" w:rsidRPr="006614C1" w:rsidRDefault="00B02873" w:rsidP="009121E6">
            <w:pPr>
              <w:pStyle w:val="TableheadingleftTables"/>
              <w:jc w:val="right"/>
            </w:pPr>
            <w:r w:rsidRPr="006614C1">
              <w:t>2021-22</w:t>
            </w:r>
          </w:p>
        </w:tc>
        <w:tc>
          <w:tcPr>
            <w:tcW w:w="1241" w:type="dxa"/>
          </w:tcPr>
          <w:p w14:paraId="34544A38" w14:textId="77777777" w:rsidR="00B02873" w:rsidRPr="006614C1" w:rsidRDefault="00B02873" w:rsidP="009121E6">
            <w:pPr>
              <w:pStyle w:val="TableheadingleftTables"/>
              <w:jc w:val="right"/>
            </w:pPr>
            <w:r w:rsidRPr="006614C1">
              <w:t>2020-21</w:t>
            </w:r>
          </w:p>
        </w:tc>
        <w:tc>
          <w:tcPr>
            <w:tcW w:w="1241" w:type="dxa"/>
          </w:tcPr>
          <w:p w14:paraId="20B00A3B" w14:textId="77777777" w:rsidR="00B02873" w:rsidRPr="006614C1" w:rsidRDefault="00B02873" w:rsidP="009121E6">
            <w:pPr>
              <w:pStyle w:val="TableheadingleftTables"/>
              <w:jc w:val="right"/>
            </w:pPr>
            <w:r w:rsidRPr="006614C1">
              <w:t>2019-20</w:t>
            </w:r>
          </w:p>
        </w:tc>
        <w:tc>
          <w:tcPr>
            <w:tcW w:w="1242" w:type="dxa"/>
          </w:tcPr>
          <w:p w14:paraId="1C8542A4" w14:textId="77777777" w:rsidR="00B02873" w:rsidRPr="006614C1" w:rsidRDefault="00B02873" w:rsidP="009121E6">
            <w:pPr>
              <w:pStyle w:val="TableheadingleftTables"/>
              <w:jc w:val="right"/>
            </w:pPr>
            <w:r w:rsidRPr="006614C1">
              <w:t>2014-15 (baseline)</w:t>
            </w:r>
          </w:p>
        </w:tc>
      </w:tr>
      <w:tr w:rsidR="00B02873" w:rsidRPr="00B02873" w14:paraId="16FAA739" w14:textId="77777777" w:rsidTr="006614C1">
        <w:tc>
          <w:tcPr>
            <w:tcW w:w="4673" w:type="dxa"/>
          </w:tcPr>
          <w:p w14:paraId="0727C91D" w14:textId="77777777" w:rsidR="00B02873" w:rsidRDefault="00B02873" w:rsidP="00B415A9">
            <w:pPr>
              <w:pStyle w:val="TablebodyleftTables"/>
            </w:pPr>
            <w:r>
              <w:rPr>
                <w:rStyle w:val="Bold"/>
              </w:rPr>
              <w:t>Total reported air travel, building waste and paper purchasing emissions (scope 3)</w:t>
            </w:r>
          </w:p>
        </w:tc>
        <w:tc>
          <w:tcPr>
            <w:tcW w:w="1241" w:type="dxa"/>
          </w:tcPr>
          <w:p w14:paraId="1C5AFEF5" w14:textId="77777777" w:rsidR="00B02873" w:rsidRDefault="00B02873" w:rsidP="009121E6">
            <w:pPr>
              <w:pStyle w:val="TablebodyleftTables"/>
              <w:jc w:val="right"/>
            </w:pPr>
            <w:r>
              <w:rPr>
                <w:rStyle w:val="Bold"/>
              </w:rPr>
              <w:t>64</w:t>
            </w:r>
          </w:p>
        </w:tc>
        <w:tc>
          <w:tcPr>
            <w:tcW w:w="1241" w:type="dxa"/>
          </w:tcPr>
          <w:p w14:paraId="69F3B0ED" w14:textId="77777777" w:rsidR="00B02873" w:rsidRDefault="00B02873" w:rsidP="009121E6">
            <w:pPr>
              <w:pStyle w:val="TablebodyleftTables"/>
              <w:jc w:val="right"/>
            </w:pPr>
            <w:r>
              <w:rPr>
                <w:rStyle w:val="Bold"/>
                <w:spacing w:val="-5"/>
              </w:rPr>
              <w:t>57</w:t>
            </w:r>
          </w:p>
        </w:tc>
        <w:tc>
          <w:tcPr>
            <w:tcW w:w="1241" w:type="dxa"/>
          </w:tcPr>
          <w:p w14:paraId="44D76F94" w14:textId="77777777" w:rsidR="00B02873" w:rsidRDefault="00B02873" w:rsidP="009121E6">
            <w:pPr>
              <w:pStyle w:val="TablebodyleftTables"/>
              <w:jc w:val="right"/>
            </w:pPr>
            <w:r>
              <w:rPr>
                <w:rStyle w:val="Bold"/>
                <w:spacing w:val="-5"/>
              </w:rPr>
              <w:t>195</w:t>
            </w:r>
          </w:p>
        </w:tc>
        <w:tc>
          <w:tcPr>
            <w:tcW w:w="1242" w:type="dxa"/>
          </w:tcPr>
          <w:p w14:paraId="17E067CB" w14:textId="77777777" w:rsidR="00B02873" w:rsidRDefault="00B02873" w:rsidP="009121E6">
            <w:pPr>
              <w:pStyle w:val="TablebodyleftTables"/>
              <w:jc w:val="right"/>
            </w:pPr>
            <w:r>
              <w:rPr>
                <w:rStyle w:val="Bold"/>
              </w:rPr>
              <w:t>1,061</w:t>
            </w:r>
          </w:p>
        </w:tc>
      </w:tr>
      <w:tr w:rsidR="00B02873" w:rsidRPr="00B02873" w14:paraId="7E62586B" w14:textId="77777777" w:rsidTr="006614C1">
        <w:tc>
          <w:tcPr>
            <w:tcW w:w="4673" w:type="dxa"/>
          </w:tcPr>
          <w:p w14:paraId="435A6445" w14:textId="77777777" w:rsidR="00B02873" w:rsidRDefault="00B02873" w:rsidP="00B415A9">
            <w:pPr>
              <w:pStyle w:val="TablebodyleftTables"/>
            </w:pPr>
            <w:r>
              <w:t>Air travel emissions (scope 3)</w:t>
            </w:r>
          </w:p>
        </w:tc>
        <w:tc>
          <w:tcPr>
            <w:tcW w:w="1241" w:type="dxa"/>
          </w:tcPr>
          <w:p w14:paraId="7DC577CA" w14:textId="77777777" w:rsidR="00B02873" w:rsidRDefault="00B02873" w:rsidP="009121E6">
            <w:pPr>
              <w:pStyle w:val="TablebodyleftTables"/>
              <w:jc w:val="right"/>
            </w:pPr>
            <w:r>
              <w:t>37</w:t>
            </w:r>
          </w:p>
        </w:tc>
        <w:tc>
          <w:tcPr>
            <w:tcW w:w="1241" w:type="dxa"/>
          </w:tcPr>
          <w:p w14:paraId="1B918096" w14:textId="77777777" w:rsidR="00B02873" w:rsidRDefault="00B02873" w:rsidP="009121E6">
            <w:pPr>
              <w:pStyle w:val="TablebodyleftTables"/>
              <w:jc w:val="right"/>
            </w:pPr>
            <w:r>
              <w:t>3</w:t>
            </w:r>
          </w:p>
        </w:tc>
        <w:tc>
          <w:tcPr>
            <w:tcW w:w="1241" w:type="dxa"/>
          </w:tcPr>
          <w:p w14:paraId="37FECC3D" w14:textId="77777777" w:rsidR="00B02873" w:rsidRDefault="00B02873" w:rsidP="009121E6">
            <w:pPr>
              <w:pStyle w:val="TablebodyleftTables"/>
              <w:jc w:val="right"/>
            </w:pPr>
            <w:r>
              <w:t>580</w:t>
            </w:r>
          </w:p>
        </w:tc>
        <w:tc>
          <w:tcPr>
            <w:tcW w:w="1242" w:type="dxa"/>
          </w:tcPr>
          <w:p w14:paraId="44EE2085" w14:textId="77777777" w:rsidR="00B02873" w:rsidRDefault="00B02873" w:rsidP="009121E6">
            <w:pPr>
              <w:pStyle w:val="TablebodyleftTables"/>
              <w:jc w:val="right"/>
            </w:pPr>
            <w:r>
              <w:t>850</w:t>
            </w:r>
          </w:p>
        </w:tc>
      </w:tr>
      <w:tr w:rsidR="00B02873" w:rsidRPr="00B02873" w14:paraId="7DD213B6" w14:textId="77777777" w:rsidTr="006614C1">
        <w:tc>
          <w:tcPr>
            <w:tcW w:w="4673" w:type="dxa"/>
          </w:tcPr>
          <w:p w14:paraId="1DE6F35D" w14:textId="77777777" w:rsidR="00B02873" w:rsidRDefault="00B02873" w:rsidP="00B415A9">
            <w:pPr>
              <w:pStyle w:val="TablebodyleftTables"/>
            </w:pPr>
            <w:r>
              <w:t>Air travel emissions offset through the State Purchasing Contract</w:t>
            </w:r>
          </w:p>
        </w:tc>
        <w:tc>
          <w:tcPr>
            <w:tcW w:w="1241" w:type="dxa"/>
          </w:tcPr>
          <w:p w14:paraId="4012FF3E" w14:textId="77777777" w:rsidR="00B02873" w:rsidRDefault="00B02873" w:rsidP="009121E6">
            <w:pPr>
              <w:pStyle w:val="TablebodyleftTables"/>
              <w:jc w:val="right"/>
            </w:pPr>
            <w:r>
              <w:t>37</w:t>
            </w:r>
          </w:p>
        </w:tc>
        <w:tc>
          <w:tcPr>
            <w:tcW w:w="1241" w:type="dxa"/>
          </w:tcPr>
          <w:p w14:paraId="33D6B9CD" w14:textId="77777777" w:rsidR="00B02873" w:rsidRDefault="00B02873" w:rsidP="009121E6">
            <w:pPr>
              <w:pStyle w:val="TablebodyleftTables"/>
              <w:jc w:val="right"/>
            </w:pPr>
            <w:r>
              <w:t>3</w:t>
            </w:r>
          </w:p>
        </w:tc>
        <w:tc>
          <w:tcPr>
            <w:tcW w:w="1241" w:type="dxa"/>
          </w:tcPr>
          <w:p w14:paraId="4FA2C3DD" w14:textId="77777777" w:rsidR="00B02873" w:rsidRDefault="00B02873" w:rsidP="009121E6">
            <w:pPr>
              <w:pStyle w:val="TablebodyleftTables"/>
              <w:jc w:val="right"/>
            </w:pPr>
            <w:r>
              <w:t>580</w:t>
            </w:r>
          </w:p>
        </w:tc>
        <w:tc>
          <w:tcPr>
            <w:tcW w:w="1242" w:type="dxa"/>
          </w:tcPr>
          <w:p w14:paraId="3240DFAF" w14:textId="77777777" w:rsidR="00B02873" w:rsidRDefault="00B02873" w:rsidP="009121E6">
            <w:pPr>
              <w:pStyle w:val="TablebodyleftTables"/>
              <w:jc w:val="right"/>
            </w:pPr>
            <w:r>
              <w:t>0</w:t>
            </w:r>
          </w:p>
        </w:tc>
      </w:tr>
      <w:tr w:rsidR="00B02873" w:rsidRPr="00B02873" w14:paraId="064251FB" w14:textId="77777777" w:rsidTr="006614C1">
        <w:tc>
          <w:tcPr>
            <w:tcW w:w="4673" w:type="dxa"/>
          </w:tcPr>
          <w:p w14:paraId="7F4B36D5" w14:textId="77777777" w:rsidR="00B02873" w:rsidRDefault="00B02873" w:rsidP="00B415A9">
            <w:pPr>
              <w:pStyle w:val="TablebodyleftTables"/>
            </w:pPr>
            <w:r>
              <w:t>Total reported air travel emissions (scope 3)</w:t>
            </w:r>
          </w:p>
        </w:tc>
        <w:tc>
          <w:tcPr>
            <w:tcW w:w="1241" w:type="dxa"/>
          </w:tcPr>
          <w:p w14:paraId="03838431" w14:textId="77777777" w:rsidR="00B02873" w:rsidRDefault="00B02873" w:rsidP="009121E6">
            <w:pPr>
              <w:pStyle w:val="TablebodyleftTables"/>
              <w:jc w:val="right"/>
            </w:pPr>
            <w:r>
              <w:t>0</w:t>
            </w:r>
          </w:p>
        </w:tc>
        <w:tc>
          <w:tcPr>
            <w:tcW w:w="1241" w:type="dxa"/>
          </w:tcPr>
          <w:p w14:paraId="6772F42F" w14:textId="77777777" w:rsidR="00B02873" w:rsidRDefault="00B02873" w:rsidP="009121E6">
            <w:pPr>
              <w:pStyle w:val="TablebodyleftTables"/>
              <w:jc w:val="right"/>
            </w:pPr>
            <w:r>
              <w:t>0</w:t>
            </w:r>
          </w:p>
        </w:tc>
        <w:tc>
          <w:tcPr>
            <w:tcW w:w="1241" w:type="dxa"/>
          </w:tcPr>
          <w:p w14:paraId="400EAB9B" w14:textId="77777777" w:rsidR="00B02873" w:rsidRDefault="00B02873" w:rsidP="009121E6">
            <w:pPr>
              <w:pStyle w:val="TablebodyleftTables"/>
              <w:jc w:val="right"/>
            </w:pPr>
            <w:r>
              <w:t>0</w:t>
            </w:r>
          </w:p>
        </w:tc>
        <w:tc>
          <w:tcPr>
            <w:tcW w:w="1242" w:type="dxa"/>
          </w:tcPr>
          <w:p w14:paraId="0DDA2ECE" w14:textId="77777777" w:rsidR="00B02873" w:rsidRDefault="00B02873" w:rsidP="009121E6">
            <w:pPr>
              <w:pStyle w:val="TablebodyleftTables"/>
              <w:jc w:val="right"/>
            </w:pPr>
            <w:r>
              <w:t>850</w:t>
            </w:r>
          </w:p>
        </w:tc>
      </w:tr>
      <w:tr w:rsidR="00B02873" w:rsidRPr="00B02873" w14:paraId="7A11EC0E" w14:textId="77777777" w:rsidTr="006614C1">
        <w:tc>
          <w:tcPr>
            <w:tcW w:w="4673" w:type="dxa"/>
          </w:tcPr>
          <w:p w14:paraId="394FC60D" w14:textId="77777777" w:rsidR="00B02873" w:rsidRDefault="00B02873" w:rsidP="00B415A9">
            <w:pPr>
              <w:pStyle w:val="TablebodyleftTables"/>
            </w:pPr>
            <w:r>
              <w:t>Total reported building waste emissions (scope 3)</w:t>
            </w:r>
          </w:p>
        </w:tc>
        <w:tc>
          <w:tcPr>
            <w:tcW w:w="1241" w:type="dxa"/>
          </w:tcPr>
          <w:p w14:paraId="446DBF95" w14:textId="77777777" w:rsidR="00B02873" w:rsidRDefault="00B02873" w:rsidP="009121E6">
            <w:pPr>
              <w:pStyle w:val="TablebodyleftTables"/>
              <w:jc w:val="right"/>
            </w:pPr>
            <w:r>
              <w:t>44</w:t>
            </w:r>
          </w:p>
        </w:tc>
        <w:tc>
          <w:tcPr>
            <w:tcW w:w="1241" w:type="dxa"/>
          </w:tcPr>
          <w:p w14:paraId="415B8F52" w14:textId="77777777" w:rsidR="00B02873" w:rsidRDefault="00B02873" w:rsidP="009121E6">
            <w:pPr>
              <w:pStyle w:val="TablebodyleftTables"/>
              <w:jc w:val="right"/>
            </w:pPr>
            <w:r>
              <w:t>42</w:t>
            </w:r>
          </w:p>
        </w:tc>
        <w:tc>
          <w:tcPr>
            <w:tcW w:w="1241" w:type="dxa"/>
          </w:tcPr>
          <w:p w14:paraId="70960E9C" w14:textId="77777777" w:rsidR="00B02873" w:rsidRDefault="00B02873" w:rsidP="009121E6">
            <w:pPr>
              <w:pStyle w:val="TablebodyleftTables"/>
              <w:jc w:val="right"/>
            </w:pPr>
            <w:r>
              <w:t>70</w:t>
            </w:r>
          </w:p>
        </w:tc>
        <w:tc>
          <w:tcPr>
            <w:tcW w:w="1242" w:type="dxa"/>
          </w:tcPr>
          <w:p w14:paraId="47BB5DFF" w14:textId="77777777" w:rsidR="00B02873" w:rsidRDefault="00B02873" w:rsidP="009121E6">
            <w:pPr>
              <w:pStyle w:val="TablebodyleftTables"/>
              <w:jc w:val="right"/>
            </w:pPr>
            <w:r>
              <w:t>72</w:t>
            </w:r>
          </w:p>
        </w:tc>
      </w:tr>
      <w:tr w:rsidR="00B02873" w:rsidRPr="00B02873" w14:paraId="16023A35" w14:textId="77777777" w:rsidTr="006614C1">
        <w:tc>
          <w:tcPr>
            <w:tcW w:w="4673" w:type="dxa"/>
          </w:tcPr>
          <w:p w14:paraId="1C99CEEC" w14:textId="77777777" w:rsidR="00B02873" w:rsidRDefault="00B02873" w:rsidP="00B415A9">
            <w:pPr>
              <w:pStyle w:val="TablebodyleftTables"/>
            </w:pPr>
            <w:r>
              <w:t>Total reported paper purchasing emissions (scope 3)</w:t>
            </w:r>
          </w:p>
        </w:tc>
        <w:tc>
          <w:tcPr>
            <w:tcW w:w="1241" w:type="dxa"/>
          </w:tcPr>
          <w:p w14:paraId="53A3F4B2" w14:textId="77777777" w:rsidR="00B02873" w:rsidRDefault="00B02873" w:rsidP="009121E6">
            <w:pPr>
              <w:pStyle w:val="TablebodyleftTables"/>
              <w:jc w:val="right"/>
            </w:pPr>
            <w:r>
              <w:t>21</w:t>
            </w:r>
          </w:p>
        </w:tc>
        <w:tc>
          <w:tcPr>
            <w:tcW w:w="1241" w:type="dxa"/>
          </w:tcPr>
          <w:p w14:paraId="53EF3D02" w14:textId="77777777" w:rsidR="00B02873" w:rsidRDefault="00B02873" w:rsidP="009121E6">
            <w:pPr>
              <w:pStyle w:val="TablebodyleftTables"/>
              <w:jc w:val="right"/>
            </w:pPr>
            <w:r>
              <w:t>15</w:t>
            </w:r>
          </w:p>
        </w:tc>
        <w:tc>
          <w:tcPr>
            <w:tcW w:w="1241" w:type="dxa"/>
          </w:tcPr>
          <w:p w14:paraId="1C046898" w14:textId="77777777" w:rsidR="00B02873" w:rsidRDefault="00B02873" w:rsidP="009121E6">
            <w:pPr>
              <w:pStyle w:val="TablebodyleftTables"/>
              <w:jc w:val="right"/>
            </w:pPr>
            <w:r>
              <w:t>125</w:t>
            </w:r>
          </w:p>
        </w:tc>
        <w:tc>
          <w:tcPr>
            <w:tcW w:w="1242" w:type="dxa"/>
          </w:tcPr>
          <w:p w14:paraId="702D5426" w14:textId="77777777" w:rsidR="00B02873" w:rsidRDefault="00B02873" w:rsidP="009121E6">
            <w:pPr>
              <w:pStyle w:val="TablebodyleftTables"/>
              <w:jc w:val="right"/>
            </w:pPr>
            <w:r>
              <w:t>139</w:t>
            </w:r>
          </w:p>
        </w:tc>
      </w:tr>
    </w:tbl>
    <w:p w14:paraId="6E7FB53B" w14:textId="77777777" w:rsidR="00B02873" w:rsidRDefault="00B02873" w:rsidP="006614C1"/>
    <w:p w14:paraId="34587831" w14:textId="6AECC0F5" w:rsidR="00B02873" w:rsidRDefault="00B02873" w:rsidP="006614C1">
      <w:pPr>
        <w:pStyle w:val="Heading3"/>
      </w:pPr>
      <w:r>
        <w:t>FRD24 greenhouse gas emissions:</w:t>
      </w:r>
    </w:p>
    <w:tbl>
      <w:tblPr>
        <w:tblStyle w:val="TableGrid"/>
        <w:tblW w:w="9638" w:type="dxa"/>
        <w:tblLayout w:type="fixed"/>
        <w:tblLook w:val="0020" w:firstRow="1" w:lastRow="0" w:firstColumn="0" w:lastColumn="0" w:noHBand="0" w:noVBand="0"/>
      </w:tblPr>
      <w:tblGrid>
        <w:gridCol w:w="4673"/>
        <w:gridCol w:w="1241"/>
        <w:gridCol w:w="1241"/>
        <w:gridCol w:w="1241"/>
        <w:gridCol w:w="1242"/>
      </w:tblGrid>
      <w:tr w:rsidR="00B02873" w:rsidRPr="00B95A6A" w14:paraId="57E0E319" w14:textId="77777777" w:rsidTr="00B95A6A">
        <w:trPr>
          <w:cnfStyle w:val="100000000000" w:firstRow="1" w:lastRow="0" w:firstColumn="0" w:lastColumn="0" w:oddVBand="0" w:evenVBand="0" w:oddHBand="0" w:evenHBand="0" w:firstRowFirstColumn="0" w:firstRowLastColumn="0" w:lastRowFirstColumn="0" w:lastRowLastColumn="0"/>
          <w:tblHeader/>
        </w:trPr>
        <w:tc>
          <w:tcPr>
            <w:tcW w:w="4673" w:type="dxa"/>
          </w:tcPr>
          <w:p w14:paraId="4107CF09" w14:textId="77777777" w:rsidR="00B02873" w:rsidRPr="00B95A6A" w:rsidRDefault="00B02873" w:rsidP="00B95A6A">
            <w:pPr>
              <w:pStyle w:val="TableheadingleftTables"/>
            </w:pPr>
          </w:p>
        </w:tc>
        <w:tc>
          <w:tcPr>
            <w:tcW w:w="1241" w:type="dxa"/>
          </w:tcPr>
          <w:p w14:paraId="639E60F0" w14:textId="77777777" w:rsidR="00B02873" w:rsidRPr="00B95A6A" w:rsidRDefault="00B02873" w:rsidP="009121E6">
            <w:pPr>
              <w:pStyle w:val="TableheadingleftTables"/>
              <w:jc w:val="right"/>
            </w:pPr>
            <w:r w:rsidRPr="00B95A6A">
              <w:t>2021-22</w:t>
            </w:r>
          </w:p>
        </w:tc>
        <w:tc>
          <w:tcPr>
            <w:tcW w:w="1241" w:type="dxa"/>
          </w:tcPr>
          <w:p w14:paraId="4DF9BAC4" w14:textId="77777777" w:rsidR="00B02873" w:rsidRPr="00B95A6A" w:rsidRDefault="00B02873" w:rsidP="009121E6">
            <w:pPr>
              <w:pStyle w:val="TableheadingleftTables"/>
              <w:jc w:val="right"/>
            </w:pPr>
            <w:r w:rsidRPr="00B95A6A">
              <w:t>2020-21</w:t>
            </w:r>
          </w:p>
        </w:tc>
        <w:tc>
          <w:tcPr>
            <w:tcW w:w="1241" w:type="dxa"/>
          </w:tcPr>
          <w:p w14:paraId="007EDA68" w14:textId="77777777" w:rsidR="00B02873" w:rsidRPr="00B95A6A" w:rsidRDefault="00B02873" w:rsidP="009121E6">
            <w:pPr>
              <w:pStyle w:val="TableheadingleftTables"/>
              <w:jc w:val="right"/>
            </w:pPr>
            <w:r w:rsidRPr="00B95A6A">
              <w:t>2019-20</w:t>
            </w:r>
          </w:p>
        </w:tc>
        <w:tc>
          <w:tcPr>
            <w:tcW w:w="1242" w:type="dxa"/>
          </w:tcPr>
          <w:p w14:paraId="1D8D7C29" w14:textId="77777777" w:rsidR="00B02873" w:rsidRPr="00B95A6A" w:rsidRDefault="00B02873" w:rsidP="009121E6">
            <w:pPr>
              <w:pStyle w:val="TableheadingleftTables"/>
              <w:jc w:val="right"/>
            </w:pPr>
            <w:r w:rsidRPr="00B95A6A">
              <w:t>2014-15 (baseline)</w:t>
            </w:r>
          </w:p>
        </w:tc>
      </w:tr>
      <w:tr w:rsidR="00B02873" w:rsidRPr="00B02873" w14:paraId="13F24CCC" w14:textId="77777777" w:rsidTr="00B95A6A">
        <w:tc>
          <w:tcPr>
            <w:tcW w:w="4673" w:type="dxa"/>
          </w:tcPr>
          <w:p w14:paraId="69750FE2" w14:textId="77777777" w:rsidR="00B02873" w:rsidRDefault="00B02873" w:rsidP="00B415A9">
            <w:pPr>
              <w:pStyle w:val="TablebodyleftTables"/>
            </w:pPr>
            <w:r>
              <w:t>FRD24 greenhouse gas emissions (tonnes CO</w:t>
            </w:r>
            <w:r w:rsidRPr="00B95A6A">
              <w:rPr>
                <w:vertAlign w:val="subscript"/>
              </w:rPr>
              <w:t>2</w:t>
            </w:r>
            <w:r>
              <w:t>-e)</w:t>
            </w:r>
            <w:r>
              <w:rPr>
                <w:vertAlign w:val="superscript"/>
              </w:rPr>
              <w:t>(iv)</w:t>
            </w:r>
          </w:p>
        </w:tc>
        <w:tc>
          <w:tcPr>
            <w:tcW w:w="1241" w:type="dxa"/>
          </w:tcPr>
          <w:p w14:paraId="4AEF3282" w14:textId="77777777" w:rsidR="00B02873" w:rsidRDefault="00B02873" w:rsidP="009121E6">
            <w:pPr>
              <w:pStyle w:val="TablebodyleftTables"/>
              <w:jc w:val="right"/>
            </w:pPr>
            <w:r>
              <w:t>566</w:t>
            </w:r>
          </w:p>
        </w:tc>
        <w:tc>
          <w:tcPr>
            <w:tcW w:w="1241" w:type="dxa"/>
          </w:tcPr>
          <w:p w14:paraId="55718429" w14:textId="77777777" w:rsidR="00B02873" w:rsidRDefault="00B02873" w:rsidP="009121E6">
            <w:pPr>
              <w:pStyle w:val="TablebodyleftTables"/>
              <w:jc w:val="right"/>
            </w:pPr>
            <w:r>
              <w:rPr>
                <w:spacing w:val="-5"/>
              </w:rPr>
              <w:t>3,012</w:t>
            </w:r>
            <w:r>
              <w:rPr>
                <w:spacing w:val="-5"/>
                <w:vertAlign w:val="superscript"/>
              </w:rPr>
              <w:t>(ii)</w:t>
            </w:r>
          </w:p>
        </w:tc>
        <w:tc>
          <w:tcPr>
            <w:tcW w:w="1241" w:type="dxa"/>
          </w:tcPr>
          <w:p w14:paraId="7EE7F80D" w14:textId="77777777" w:rsidR="00B02873" w:rsidRDefault="00B02873" w:rsidP="009121E6">
            <w:pPr>
              <w:pStyle w:val="TablebodyleftTables"/>
              <w:jc w:val="right"/>
            </w:pPr>
            <w:r>
              <w:rPr>
                <w:spacing w:val="-5"/>
              </w:rPr>
              <w:t>4,908</w:t>
            </w:r>
            <w:r>
              <w:rPr>
                <w:spacing w:val="-5"/>
                <w:vertAlign w:val="superscript"/>
              </w:rPr>
              <w:t>(ii)</w:t>
            </w:r>
          </w:p>
        </w:tc>
        <w:tc>
          <w:tcPr>
            <w:tcW w:w="1242" w:type="dxa"/>
          </w:tcPr>
          <w:p w14:paraId="2423FECA" w14:textId="77777777" w:rsidR="00B02873" w:rsidRDefault="00B02873" w:rsidP="009121E6">
            <w:pPr>
              <w:pStyle w:val="TablebodyleftTables"/>
              <w:jc w:val="right"/>
            </w:pPr>
            <w:r>
              <w:t>12,164</w:t>
            </w:r>
          </w:p>
        </w:tc>
      </w:tr>
      <w:tr w:rsidR="00B02873" w:rsidRPr="00B02873" w14:paraId="638B2EE9" w14:textId="77777777" w:rsidTr="00B95A6A">
        <w:tc>
          <w:tcPr>
            <w:tcW w:w="4673" w:type="dxa"/>
          </w:tcPr>
          <w:p w14:paraId="5FDF470A" w14:textId="77777777" w:rsidR="00B02873" w:rsidRDefault="00B02873" w:rsidP="00B415A9">
            <w:pPr>
              <w:pStyle w:val="TablebodyleftTables"/>
            </w:pPr>
            <w:r>
              <w:t>G1. Office energy emissions (including Green Power and ACCUs) (scope 1-3)</w:t>
            </w:r>
          </w:p>
        </w:tc>
        <w:tc>
          <w:tcPr>
            <w:tcW w:w="1241" w:type="dxa"/>
          </w:tcPr>
          <w:p w14:paraId="13B53363" w14:textId="77777777" w:rsidR="00B02873" w:rsidRDefault="00B02873" w:rsidP="009121E6">
            <w:pPr>
              <w:pStyle w:val="TablebodyleftTables"/>
              <w:jc w:val="right"/>
            </w:pPr>
            <w:r>
              <w:t>213</w:t>
            </w:r>
          </w:p>
        </w:tc>
        <w:tc>
          <w:tcPr>
            <w:tcW w:w="1241" w:type="dxa"/>
          </w:tcPr>
          <w:p w14:paraId="29810DE5" w14:textId="77777777" w:rsidR="00B02873" w:rsidRDefault="00B02873" w:rsidP="009121E6">
            <w:pPr>
              <w:pStyle w:val="TablebodyleftTables"/>
              <w:jc w:val="right"/>
            </w:pPr>
            <w:r>
              <w:t>2,748</w:t>
            </w:r>
            <w:r>
              <w:rPr>
                <w:vertAlign w:val="superscript"/>
              </w:rPr>
              <w:t>(ii)</w:t>
            </w:r>
          </w:p>
        </w:tc>
        <w:tc>
          <w:tcPr>
            <w:tcW w:w="1241" w:type="dxa"/>
          </w:tcPr>
          <w:p w14:paraId="56FED51E" w14:textId="77777777" w:rsidR="00B02873" w:rsidRDefault="00B02873" w:rsidP="009121E6">
            <w:pPr>
              <w:pStyle w:val="TablebodyleftTables"/>
              <w:jc w:val="right"/>
            </w:pPr>
            <w:r>
              <w:t>4,062</w:t>
            </w:r>
            <w:r>
              <w:rPr>
                <w:vertAlign w:val="superscript"/>
              </w:rPr>
              <w:t>(ii)</w:t>
            </w:r>
          </w:p>
        </w:tc>
        <w:tc>
          <w:tcPr>
            <w:tcW w:w="1242" w:type="dxa"/>
          </w:tcPr>
          <w:p w14:paraId="0942D251" w14:textId="77777777" w:rsidR="00B02873" w:rsidRDefault="00B02873" w:rsidP="009121E6">
            <w:pPr>
              <w:pStyle w:val="TablebodyleftTables"/>
              <w:jc w:val="right"/>
            </w:pPr>
            <w:r>
              <w:t>10,366</w:t>
            </w:r>
          </w:p>
        </w:tc>
      </w:tr>
      <w:tr w:rsidR="00B02873" w:rsidRPr="00B02873" w14:paraId="03504BC4" w14:textId="77777777" w:rsidTr="00B95A6A">
        <w:tc>
          <w:tcPr>
            <w:tcW w:w="4673" w:type="dxa"/>
          </w:tcPr>
          <w:p w14:paraId="6D939767" w14:textId="77777777" w:rsidR="00B02873" w:rsidRDefault="00B02873" w:rsidP="00B415A9">
            <w:pPr>
              <w:pStyle w:val="TablebodyleftTables"/>
            </w:pPr>
            <w:r>
              <w:t>G2. Passenger vehicle emissions (scope 1)</w:t>
            </w:r>
          </w:p>
        </w:tc>
        <w:tc>
          <w:tcPr>
            <w:tcW w:w="1241" w:type="dxa"/>
          </w:tcPr>
          <w:p w14:paraId="522446CC" w14:textId="77777777" w:rsidR="00B02873" w:rsidRDefault="00B02873" w:rsidP="009121E6">
            <w:pPr>
              <w:pStyle w:val="TablebodyleftTables"/>
              <w:jc w:val="right"/>
            </w:pPr>
            <w:r>
              <w:t>309</w:t>
            </w:r>
          </w:p>
        </w:tc>
        <w:tc>
          <w:tcPr>
            <w:tcW w:w="1241" w:type="dxa"/>
          </w:tcPr>
          <w:p w14:paraId="54BCEE07" w14:textId="77777777" w:rsidR="00B02873" w:rsidRDefault="00B02873" w:rsidP="009121E6">
            <w:pPr>
              <w:pStyle w:val="TablebodyleftTables"/>
              <w:jc w:val="right"/>
            </w:pPr>
            <w:r>
              <w:t>222</w:t>
            </w:r>
          </w:p>
        </w:tc>
        <w:tc>
          <w:tcPr>
            <w:tcW w:w="1241" w:type="dxa"/>
          </w:tcPr>
          <w:p w14:paraId="6F046E4A" w14:textId="77777777" w:rsidR="00B02873" w:rsidRDefault="00B02873" w:rsidP="009121E6">
            <w:pPr>
              <w:pStyle w:val="TablebodyleftTables"/>
              <w:jc w:val="right"/>
            </w:pPr>
            <w:r>
              <w:t>776</w:t>
            </w:r>
          </w:p>
        </w:tc>
        <w:tc>
          <w:tcPr>
            <w:tcW w:w="1242" w:type="dxa"/>
          </w:tcPr>
          <w:p w14:paraId="1807EE5E" w14:textId="77777777" w:rsidR="00B02873" w:rsidRDefault="00B02873" w:rsidP="009121E6">
            <w:pPr>
              <w:pStyle w:val="TablebodyleftTables"/>
              <w:jc w:val="right"/>
            </w:pPr>
            <w:r>
              <w:t>876</w:t>
            </w:r>
          </w:p>
        </w:tc>
      </w:tr>
      <w:tr w:rsidR="00B02873" w:rsidRPr="00B02873" w14:paraId="18210625" w14:textId="77777777" w:rsidTr="00B95A6A">
        <w:tc>
          <w:tcPr>
            <w:tcW w:w="4673" w:type="dxa"/>
          </w:tcPr>
          <w:p w14:paraId="3A7759D9" w14:textId="77777777" w:rsidR="00B02873" w:rsidRDefault="00B02873" w:rsidP="00B415A9">
            <w:pPr>
              <w:pStyle w:val="TablebodyleftTables"/>
            </w:pPr>
            <w:r>
              <w:t>G3. Air travel emissions (after SPC offsets) (scope 3)</w:t>
            </w:r>
          </w:p>
        </w:tc>
        <w:tc>
          <w:tcPr>
            <w:tcW w:w="1241" w:type="dxa"/>
          </w:tcPr>
          <w:p w14:paraId="0FBEA3CB" w14:textId="77777777" w:rsidR="00B02873" w:rsidRDefault="00B02873" w:rsidP="009121E6">
            <w:pPr>
              <w:pStyle w:val="TablebodyleftTables"/>
              <w:jc w:val="right"/>
            </w:pPr>
            <w:r>
              <w:t>0</w:t>
            </w:r>
          </w:p>
        </w:tc>
        <w:tc>
          <w:tcPr>
            <w:tcW w:w="1241" w:type="dxa"/>
          </w:tcPr>
          <w:p w14:paraId="1F9E5194" w14:textId="77777777" w:rsidR="00B02873" w:rsidRDefault="00B02873" w:rsidP="009121E6">
            <w:pPr>
              <w:pStyle w:val="TablebodyleftTables"/>
              <w:jc w:val="right"/>
            </w:pPr>
            <w:r>
              <w:t>0</w:t>
            </w:r>
          </w:p>
        </w:tc>
        <w:tc>
          <w:tcPr>
            <w:tcW w:w="1241" w:type="dxa"/>
          </w:tcPr>
          <w:p w14:paraId="17AC6266" w14:textId="77777777" w:rsidR="00B02873" w:rsidRDefault="00B02873" w:rsidP="009121E6">
            <w:pPr>
              <w:pStyle w:val="TablebodyleftTables"/>
              <w:jc w:val="right"/>
            </w:pPr>
            <w:r>
              <w:t>0</w:t>
            </w:r>
          </w:p>
        </w:tc>
        <w:tc>
          <w:tcPr>
            <w:tcW w:w="1242" w:type="dxa"/>
          </w:tcPr>
          <w:p w14:paraId="4B47AF68" w14:textId="77777777" w:rsidR="00B02873" w:rsidRDefault="00B02873" w:rsidP="009121E6">
            <w:pPr>
              <w:pStyle w:val="TablebodyleftTables"/>
              <w:jc w:val="right"/>
            </w:pPr>
            <w:r>
              <w:t>850</w:t>
            </w:r>
          </w:p>
        </w:tc>
      </w:tr>
      <w:tr w:rsidR="00B02873" w:rsidRPr="00B02873" w14:paraId="70DE2AEC" w14:textId="77777777" w:rsidTr="00B95A6A">
        <w:tc>
          <w:tcPr>
            <w:tcW w:w="4673" w:type="dxa"/>
          </w:tcPr>
          <w:p w14:paraId="45F5795B" w14:textId="77777777" w:rsidR="00B02873" w:rsidRDefault="00B02873" w:rsidP="00B415A9">
            <w:pPr>
              <w:pStyle w:val="TablebodyleftTables"/>
            </w:pPr>
            <w:r>
              <w:t>G4. Building waste emissions (scope 3)</w:t>
            </w:r>
          </w:p>
        </w:tc>
        <w:tc>
          <w:tcPr>
            <w:tcW w:w="1241" w:type="dxa"/>
          </w:tcPr>
          <w:p w14:paraId="753D6F92" w14:textId="77777777" w:rsidR="00B02873" w:rsidRDefault="00B02873" w:rsidP="009121E6">
            <w:pPr>
              <w:pStyle w:val="TablebodyleftTables"/>
              <w:jc w:val="right"/>
            </w:pPr>
            <w:r>
              <w:t>44</w:t>
            </w:r>
          </w:p>
        </w:tc>
        <w:tc>
          <w:tcPr>
            <w:tcW w:w="1241" w:type="dxa"/>
          </w:tcPr>
          <w:p w14:paraId="50EE3A3C" w14:textId="77777777" w:rsidR="00B02873" w:rsidRDefault="00B02873" w:rsidP="009121E6">
            <w:pPr>
              <w:pStyle w:val="TablebodyleftTables"/>
              <w:jc w:val="right"/>
            </w:pPr>
            <w:r>
              <w:t>42</w:t>
            </w:r>
          </w:p>
        </w:tc>
        <w:tc>
          <w:tcPr>
            <w:tcW w:w="1241" w:type="dxa"/>
          </w:tcPr>
          <w:p w14:paraId="5E3CF5EC" w14:textId="77777777" w:rsidR="00B02873" w:rsidRDefault="00B02873" w:rsidP="009121E6">
            <w:pPr>
              <w:pStyle w:val="TablebodyleftTables"/>
              <w:jc w:val="right"/>
            </w:pPr>
            <w:r>
              <w:t>70</w:t>
            </w:r>
          </w:p>
        </w:tc>
        <w:tc>
          <w:tcPr>
            <w:tcW w:w="1242" w:type="dxa"/>
          </w:tcPr>
          <w:p w14:paraId="63B34EAD" w14:textId="77777777" w:rsidR="00B02873" w:rsidRDefault="00B02873" w:rsidP="009121E6">
            <w:pPr>
              <w:pStyle w:val="TablebodyleftTables"/>
              <w:jc w:val="right"/>
            </w:pPr>
            <w:r>
              <w:t>72</w:t>
            </w:r>
          </w:p>
        </w:tc>
      </w:tr>
    </w:tbl>
    <w:p w14:paraId="1F5483FB" w14:textId="77777777" w:rsidR="00ED3106" w:rsidRPr="00B95A6A" w:rsidRDefault="00ED3106" w:rsidP="00ED3106">
      <w:pPr>
        <w:pStyle w:val="SourceNote"/>
        <w:keepNext/>
        <w:spacing w:after="120"/>
        <w:rPr>
          <w:b/>
          <w:bCs/>
        </w:rPr>
      </w:pPr>
      <w:r w:rsidRPr="00B95A6A">
        <w:rPr>
          <w:b/>
          <w:bCs/>
        </w:rPr>
        <w:t>Explanatory notes:</w:t>
      </w:r>
    </w:p>
    <w:p w14:paraId="0857F7EC" w14:textId="77777777" w:rsidR="00ED3106" w:rsidRDefault="00ED3106" w:rsidP="00ED3106">
      <w:pPr>
        <w:pStyle w:val="SourceNote"/>
        <w:spacing w:after="120"/>
        <w:ind w:left="397" w:hanging="397"/>
      </w:pPr>
      <w:r>
        <w:t>(ii)</w:t>
      </w:r>
      <w:r>
        <w:tab/>
        <w:t>These figures have been updated to include previously unavailable electricity data for 8 Nicholson Street, 2 Lonsdale Street, 1 Spring Street, Geelong and Laverton North.</w:t>
      </w:r>
    </w:p>
    <w:p w14:paraId="0E43FDBF" w14:textId="05523AF6" w:rsidR="00ED3106" w:rsidRDefault="00ED3106" w:rsidP="00ED3106">
      <w:pPr>
        <w:pStyle w:val="SourceNote"/>
        <w:ind w:left="397" w:hanging="397"/>
      </w:pPr>
      <w:r>
        <w:t>(iv)</w:t>
      </w:r>
      <w:r>
        <w:tab/>
      </w:r>
      <w:r w:rsidRPr="00ED3106">
        <w:t>FRD24 office based environmental reporting covers the mandated reporting performance indicators only.</w:t>
      </w:r>
    </w:p>
    <w:p w14:paraId="1621850A" w14:textId="77777777" w:rsidR="00B02873" w:rsidRDefault="00B02873" w:rsidP="00B95A6A"/>
    <w:p w14:paraId="1EF99A4A" w14:textId="2E992E7F" w:rsidR="00B02873" w:rsidRDefault="00B02873" w:rsidP="00B95A6A">
      <w:pPr>
        <w:pStyle w:val="Heading3"/>
      </w:pPr>
      <w:r>
        <w:lastRenderedPageBreak/>
        <w:t>ACCUs purchased:</w:t>
      </w:r>
    </w:p>
    <w:tbl>
      <w:tblPr>
        <w:tblStyle w:val="TableGrid"/>
        <w:tblW w:w="9638" w:type="dxa"/>
        <w:tblLayout w:type="fixed"/>
        <w:tblLook w:val="0020" w:firstRow="1" w:lastRow="0" w:firstColumn="0" w:lastColumn="0" w:noHBand="0" w:noVBand="0"/>
      </w:tblPr>
      <w:tblGrid>
        <w:gridCol w:w="4673"/>
        <w:gridCol w:w="1241"/>
        <w:gridCol w:w="1241"/>
        <w:gridCol w:w="1241"/>
        <w:gridCol w:w="1242"/>
      </w:tblGrid>
      <w:tr w:rsidR="00B02873" w:rsidRPr="00B95A6A" w14:paraId="3011DCB3" w14:textId="77777777" w:rsidTr="00B95A6A">
        <w:trPr>
          <w:cnfStyle w:val="100000000000" w:firstRow="1" w:lastRow="0" w:firstColumn="0" w:lastColumn="0" w:oddVBand="0" w:evenVBand="0" w:oddHBand="0" w:evenHBand="0" w:firstRowFirstColumn="0" w:firstRowLastColumn="0" w:lastRowFirstColumn="0" w:lastRowLastColumn="0"/>
        </w:trPr>
        <w:tc>
          <w:tcPr>
            <w:tcW w:w="4673" w:type="dxa"/>
          </w:tcPr>
          <w:p w14:paraId="68A0D190" w14:textId="77777777" w:rsidR="00B02873" w:rsidRPr="00B95A6A" w:rsidRDefault="00B02873" w:rsidP="00B95A6A">
            <w:pPr>
              <w:pStyle w:val="TableheadingleftTables"/>
            </w:pPr>
          </w:p>
        </w:tc>
        <w:tc>
          <w:tcPr>
            <w:tcW w:w="1241" w:type="dxa"/>
          </w:tcPr>
          <w:p w14:paraId="7C94627E" w14:textId="77777777" w:rsidR="00B02873" w:rsidRPr="00B95A6A" w:rsidRDefault="00B02873" w:rsidP="009121E6">
            <w:pPr>
              <w:pStyle w:val="TableheadingleftTables"/>
              <w:jc w:val="right"/>
            </w:pPr>
            <w:r w:rsidRPr="00B95A6A">
              <w:t>2021-22</w:t>
            </w:r>
          </w:p>
        </w:tc>
        <w:tc>
          <w:tcPr>
            <w:tcW w:w="1241" w:type="dxa"/>
          </w:tcPr>
          <w:p w14:paraId="63936C2A" w14:textId="77777777" w:rsidR="00B02873" w:rsidRPr="00B95A6A" w:rsidRDefault="00B02873" w:rsidP="009121E6">
            <w:pPr>
              <w:pStyle w:val="TableheadingleftTables"/>
              <w:jc w:val="right"/>
            </w:pPr>
            <w:r w:rsidRPr="00B95A6A">
              <w:t>2020-21</w:t>
            </w:r>
          </w:p>
        </w:tc>
        <w:tc>
          <w:tcPr>
            <w:tcW w:w="1241" w:type="dxa"/>
          </w:tcPr>
          <w:p w14:paraId="29A972C8" w14:textId="77777777" w:rsidR="00B02873" w:rsidRPr="00B95A6A" w:rsidRDefault="00B02873" w:rsidP="009121E6">
            <w:pPr>
              <w:pStyle w:val="TableheadingleftTables"/>
              <w:jc w:val="right"/>
            </w:pPr>
            <w:r w:rsidRPr="00B95A6A">
              <w:t>2019-20</w:t>
            </w:r>
          </w:p>
        </w:tc>
        <w:tc>
          <w:tcPr>
            <w:tcW w:w="1242" w:type="dxa"/>
          </w:tcPr>
          <w:p w14:paraId="64A52F3B" w14:textId="77777777" w:rsidR="00B02873" w:rsidRPr="00B95A6A" w:rsidRDefault="00B02873" w:rsidP="009121E6">
            <w:pPr>
              <w:pStyle w:val="TableheadingleftTables"/>
              <w:jc w:val="right"/>
            </w:pPr>
            <w:r w:rsidRPr="00B95A6A">
              <w:t>2014-15 (baseline)</w:t>
            </w:r>
          </w:p>
        </w:tc>
      </w:tr>
      <w:tr w:rsidR="00B02873" w:rsidRPr="00B02873" w14:paraId="265F9938" w14:textId="77777777" w:rsidTr="00B95A6A">
        <w:tc>
          <w:tcPr>
            <w:tcW w:w="4673" w:type="dxa"/>
          </w:tcPr>
          <w:p w14:paraId="384C98F1" w14:textId="72A497B2" w:rsidR="00B02873" w:rsidRDefault="00B02873" w:rsidP="00426F06">
            <w:pPr>
              <w:pStyle w:val="TablebodyleftTables"/>
              <w:keepNext/>
            </w:pPr>
            <w:r>
              <w:t>ACCUs used to offset emissions</w:t>
            </w:r>
            <w:r w:rsidR="00012C04">
              <w:t xml:space="preserve"> </w:t>
            </w:r>
            <w:r>
              <w:br/>
              <w:t>8,329,076,344 – 8,329,078,343</w:t>
            </w:r>
          </w:p>
        </w:tc>
        <w:tc>
          <w:tcPr>
            <w:tcW w:w="1241" w:type="dxa"/>
          </w:tcPr>
          <w:p w14:paraId="6D942E30" w14:textId="77777777" w:rsidR="00B02873" w:rsidRDefault="00B02873" w:rsidP="009121E6">
            <w:pPr>
              <w:pStyle w:val="TablebodyleftTables"/>
              <w:keepNext/>
              <w:jc w:val="right"/>
            </w:pPr>
            <w:r>
              <w:t>2,000</w:t>
            </w:r>
          </w:p>
        </w:tc>
        <w:tc>
          <w:tcPr>
            <w:tcW w:w="1241" w:type="dxa"/>
          </w:tcPr>
          <w:p w14:paraId="68BCE311" w14:textId="77777777" w:rsidR="00B02873" w:rsidRDefault="00B02873" w:rsidP="009121E6">
            <w:pPr>
              <w:pStyle w:val="TablebodyleftTables"/>
              <w:keepNext/>
              <w:jc w:val="right"/>
            </w:pPr>
            <w:r>
              <w:rPr>
                <w:spacing w:val="-5"/>
              </w:rPr>
              <w:t>0</w:t>
            </w:r>
          </w:p>
        </w:tc>
        <w:tc>
          <w:tcPr>
            <w:tcW w:w="1241" w:type="dxa"/>
          </w:tcPr>
          <w:p w14:paraId="315FF84A" w14:textId="77777777" w:rsidR="00B02873" w:rsidRDefault="00B02873" w:rsidP="009121E6">
            <w:pPr>
              <w:pStyle w:val="TablebodyleftTables"/>
              <w:keepNext/>
              <w:jc w:val="right"/>
            </w:pPr>
            <w:r>
              <w:rPr>
                <w:spacing w:val="-5"/>
              </w:rPr>
              <w:t>0</w:t>
            </w:r>
          </w:p>
        </w:tc>
        <w:tc>
          <w:tcPr>
            <w:tcW w:w="1242" w:type="dxa"/>
          </w:tcPr>
          <w:p w14:paraId="49C5050D" w14:textId="77777777" w:rsidR="00B02873" w:rsidRDefault="00B02873" w:rsidP="009121E6">
            <w:pPr>
              <w:pStyle w:val="TablebodyleftTables"/>
              <w:keepNext/>
              <w:jc w:val="right"/>
            </w:pPr>
            <w:r>
              <w:t>0</w:t>
            </w:r>
          </w:p>
        </w:tc>
      </w:tr>
      <w:tr w:rsidR="00B02873" w:rsidRPr="00B02873" w14:paraId="7EC41D27" w14:textId="77777777" w:rsidTr="00B95A6A">
        <w:tc>
          <w:tcPr>
            <w:tcW w:w="4673" w:type="dxa"/>
          </w:tcPr>
          <w:p w14:paraId="5E72FD15" w14:textId="77777777" w:rsidR="00B02873" w:rsidRDefault="00B02873" w:rsidP="00B415A9">
            <w:pPr>
              <w:pStyle w:val="TablebodyleftTables"/>
            </w:pPr>
            <w:r>
              <w:t xml:space="preserve">ACCUs purchased </w:t>
            </w:r>
            <w:r>
              <w:br/>
              <w:t>8,329,076,344 – 8,329,078,843</w:t>
            </w:r>
          </w:p>
        </w:tc>
        <w:tc>
          <w:tcPr>
            <w:tcW w:w="1241" w:type="dxa"/>
          </w:tcPr>
          <w:p w14:paraId="7C63FA73" w14:textId="77777777" w:rsidR="00B02873" w:rsidRDefault="00B02873" w:rsidP="009121E6">
            <w:pPr>
              <w:pStyle w:val="TablebodyleftTables"/>
              <w:jc w:val="right"/>
            </w:pPr>
            <w:r>
              <w:t>2,500</w:t>
            </w:r>
          </w:p>
        </w:tc>
        <w:tc>
          <w:tcPr>
            <w:tcW w:w="1241" w:type="dxa"/>
          </w:tcPr>
          <w:p w14:paraId="228BF63B" w14:textId="77777777" w:rsidR="00B02873" w:rsidRDefault="00B02873" w:rsidP="009121E6">
            <w:pPr>
              <w:pStyle w:val="TablebodyleftTables"/>
              <w:jc w:val="right"/>
            </w:pPr>
            <w:r>
              <w:t>0</w:t>
            </w:r>
          </w:p>
        </w:tc>
        <w:tc>
          <w:tcPr>
            <w:tcW w:w="1241" w:type="dxa"/>
          </w:tcPr>
          <w:p w14:paraId="6E71F100" w14:textId="77777777" w:rsidR="00B02873" w:rsidRDefault="00B02873" w:rsidP="009121E6">
            <w:pPr>
              <w:pStyle w:val="TablebodyleftTables"/>
              <w:jc w:val="right"/>
            </w:pPr>
            <w:r>
              <w:t>0</w:t>
            </w:r>
          </w:p>
        </w:tc>
        <w:tc>
          <w:tcPr>
            <w:tcW w:w="1242" w:type="dxa"/>
          </w:tcPr>
          <w:p w14:paraId="2437765A" w14:textId="77777777" w:rsidR="00B02873" w:rsidRDefault="00B02873" w:rsidP="009121E6">
            <w:pPr>
              <w:pStyle w:val="TablebodyleftTables"/>
              <w:jc w:val="right"/>
            </w:pPr>
            <w:r>
              <w:t>0</w:t>
            </w:r>
          </w:p>
        </w:tc>
      </w:tr>
      <w:tr w:rsidR="00B02873" w:rsidRPr="00B02873" w14:paraId="7ACFF82B" w14:textId="77777777" w:rsidTr="00B95A6A">
        <w:tc>
          <w:tcPr>
            <w:tcW w:w="4673" w:type="dxa"/>
          </w:tcPr>
          <w:p w14:paraId="449F65CB" w14:textId="77777777" w:rsidR="00B02873" w:rsidRDefault="00B02873" w:rsidP="00B415A9">
            <w:pPr>
              <w:pStyle w:val="TablebodyleftTables"/>
            </w:pPr>
            <w:r>
              <w:t>ACCUs banked for 2022-23</w:t>
            </w:r>
            <w:r>
              <w:br/>
              <w:t>8,329,078,344 – 8,329,078,843</w:t>
            </w:r>
          </w:p>
        </w:tc>
        <w:tc>
          <w:tcPr>
            <w:tcW w:w="1241" w:type="dxa"/>
          </w:tcPr>
          <w:p w14:paraId="3210E3B4" w14:textId="77777777" w:rsidR="00B02873" w:rsidRDefault="00B02873" w:rsidP="009121E6">
            <w:pPr>
              <w:pStyle w:val="TablebodyleftTables"/>
              <w:jc w:val="right"/>
            </w:pPr>
            <w:r>
              <w:t>500</w:t>
            </w:r>
          </w:p>
        </w:tc>
        <w:tc>
          <w:tcPr>
            <w:tcW w:w="1241" w:type="dxa"/>
          </w:tcPr>
          <w:p w14:paraId="4CFC4AC1" w14:textId="77777777" w:rsidR="00B02873" w:rsidRDefault="00B02873" w:rsidP="009121E6">
            <w:pPr>
              <w:pStyle w:val="TablebodyleftTables"/>
              <w:jc w:val="right"/>
            </w:pPr>
            <w:r>
              <w:t>0</w:t>
            </w:r>
          </w:p>
        </w:tc>
        <w:tc>
          <w:tcPr>
            <w:tcW w:w="1241" w:type="dxa"/>
          </w:tcPr>
          <w:p w14:paraId="05CCAA34" w14:textId="77777777" w:rsidR="00B02873" w:rsidRDefault="00B02873" w:rsidP="009121E6">
            <w:pPr>
              <w:pStyle w:val="TablebodyleftTables"/>
              <w:jc w:val="right"/>
            </w:pPr>
            <w:r>
              <w:t>0</w:t>
            </w:r>
          </w:p>
        </w:tc>
        <w:tc>
          <w:tcPr>
            <w:tcW w:w="1242" w:type="dxa"/>
          </w:tcPr>
          <w:p w14:paraId="17AA496F" w14:textId="77777777" w:rsidR="00B02873" w:rsidRDefault="00B02873" w:rsidP="009121E6">
            <w:pPr>
              <w:pStyle w:val="TablebodyleftTables"/>
              <w:jc w:val="right"/>
            </w:pPr>
            <w:r>
              <w:t>0</w:t>
            </w:r>
          </w:p>
        </w:tc>
      </w:tr>
    </w:tbl>
    <w:p w14:paraId="5355D61F" w14:textId="77777777" w:rsidR="00B02873" w:rsidRPr="00B95A6A" w:rsidRDefault="00B02873" w:rsidP="00072DB1">
      <w:pPr>
        <w:pStyle w:val="SourceNote"/>
        <w:keepNext/>
        <w:spacing w:after="120"/>
        <w:rPr>
          <w:b/>
          <w:bCs/>
        </w:rPr>
      </w:pPr>
      <w:r w:rsidRPr="00B95A6A">
        <w:rPr>
          <w:b/>
          <w:bCs/>
        </w:rPr>
        <w:t>Explanatory notes:</w:t>
      </w:r>
    </w:p>
    <w:p w14:paraId="6C62A799" w14:textId="77777777" w:rsidR="00072DB1" w:rsidRDefault="00B02873" w:rsidP="008316E9">
      <w:pPr>
        <w:pStyle w:val="SourceNote"/>
        <w:numPr>
          <w:ilvl w:val="0"/>
          <w:numId w:val="12"/>
        </w:numPr>
        <w:spacing w:after="120"/>
      </w:pPr>
      <w:r>
        <w:t>The total reported greenhouse gas emissions include FRD24 emissions (G1-G4), and emissions from non-office sites, operational vehicles and paper purchasing. A definition of emissions is provided below.</w:t>
      </w:r>
    </w:p>
    <w:p w14:paraId="0C1A3649" w14:textId="77777777" w:rsidR="00072DB1" w:rsidRDefault="00B02873" w:rsidP="00072DB1">
      <w:pPr>
        <w:pStyle w:val="SourceNote"/>
        <w:spacing w:after="120"/>
        <w:ind w:left="397"/>
      </w:pPr>
      <w:r>
        <w:t>Scope 1: Emissions released to the atmosphere as a direct result of an activity</w:t>
      </w:r>
    </w:p>
    <w:p w14:paraId="79B08A93" w14:textId="04C116A7" w:rsidR="00072DB1" w:rsidRDefault="00B02873" w:rsidP="00072DB1">
      <w:pPr>
        <w:pStyle w:val="SourceNote"/>
        <w:spacing w:after="120"/>
        <w:ind w:left="397"/>
      </w:pPr>
      <w:r>
        <w:t>Scope 2: Emissions released to the atmosphere from the indirect consumption of an energy commodity. For example, ‘indirect emissions’ come from the use of electricity produced by the burning of coal in another facility.</w:t>
      </w:r>
    </w:p>
    <w:p w14:paraId="1F0438D5" w14:textId="7C17BB6E" w:rsidR="00B02873" w:rsidRDefault="00B02873" w:rsidP="00072DB1">
      <w:pPr>
        <w:pStyle w:val="SourceNote"/>
        <w:spacing w:after="120"/>
        <w:ind w:left="397"/>
      </w:pPr>
      <w:r>
        <w:t>Scope 3: Indirect emissions that are generated in the wider economy. They occur because of the activities of a facility, but from sources not owned or controlled by that facility’s business. For example, the indirect emissions attributable to the electricity lost in delivery in the transmission and distribution network.</w:t>
      </w:r>
    </w:p>
    <w:p w14:paraId="0005077E" w14:textId="4C0A9137" w:rsidR="00B02873" w:rsidRDefault="00B02873" w:rsidP="008316E9">
      <w:pPr>
        <w:pStyle w:val="SourceNote"/>
        <w:numPr>
          <w:ilvl w:val="0"/>
          <w:numId w:val="12"/>
        </w:numPr>
        <w:spacing w:after="120"/>
      </w:pPr>
      <w:r>
        <w:t>These figures have been updated to include previously unavailable electricity data for 8 Nicholson Street, 2 Lonsdale Street, 1</w:t>
      </w:r>
      <w:r w:rsidR="00EB7E6A">
        <w:t> </w:t>
      </w:r>
      <w:r>
        <w:t>Spring Street, Geelong and Laverton North.</w:t>
      </w:r>
    </w:p>
    <w:p w14:paraId="5BFD2485" w14:textId="77777777" w:rsidR="00B02873" w:rsidRDefault="00B02873" w:rsidP="008316E9">
      <w:pPr>
        <w:pStyle w:val="SourceNote"/>
        <w:numPr>
          <w:ilvl w:val="0"/>
          <w:numId w:val="12"/>
        </w:numPr>
        <w:spacing w:after="120"/>
      </w:pPr>
      <w:r>
        <w:t>Figures updated to include the full operational vehicle fleet. Previously emissions were only reported for the 4WDs and ultra-light tankers.</w:t>
      </w:r>
    </w:p>
    <w:p w14:paraId="196EE18E" w14:textId="77777777" w:rsidR="00B02873" w:rsidRPr="00072DB1" w:rsidRDefault="00B02873" w:rsidP="008316E9">
      <w:pPr>
        <w:pStyle w:val="SourceNote"/>
        <w:numPr>
          <w:ilvl w:val="0"/>
          <w:numId w:val="12"/>
        </w:numPr>
      </w:pPr>
      <w:r>
        <w:t>FRD24 office based environmental reporting covers the mandated reporting performance indicators only.</w:t>
      </w:r>
    </w:p>
    <w:p w14:paraId="4DCFC0C1" w14:textId="77777777" w:rsidR="00B02873" w:rsidRDefault="00B02873" w:rsidP="00FA43C4">
      <w:pPr>
        <w:pStyle w:val="Heading2Headings"/>
      </w:pPr>
      <w:r>
        <w:t>Energy consumption</w:t>
      </w:r>
    </w:p>
    <w:p w14:paraId="45C8F93E" w14:textId="6D7DD486" w:rsidR="002B1BCE" w:rsidRDefault="002B1BCE" w:rsidP="008316E9">
      <w:pPr>
        <w:pStyle w:val="Number1Lists"/>
        <w:numPr>
          <w:ilvl w:val="0"/>
          <w:numId w:val="13"/>
        </w:numPr>
        <w:spacing w:after="200"/>
      </w:pPr>
      <w:r>
        <w:t>Affordable and clean energy</w:t>
      </w:r>
    </w:p>
    <w:p w14:paraId="3622807C" w14:textId="6D648ED8" w:rsidR="00B02873" w:rsidRDefault="00B02873" w:rsidP="002B1BCE">
      <w:r>
        <w:t>Total grid energy consumption over the 2021-22 reporting period increased by 3 per cent since 2020-21 but decreased by 25 per cent since the 2014-15 baseline. The 2021-22 increase can be attributed to some staff transitioning back to the office after an extended period of working remotely. Overall the 2021-22 and 2020-21 reporting periods show reduced energy consumption compared to prior years due to staff working remotely due to COVIDSafe settings. Grid energy consumption has also fallen at sites where solar PV panels have been recently installed.</w:t>
      </w:r>
    </w:p>
    <w:p w14:paraId="64A7DCC0" w14:textId="08062E23" w:rsidR="00B02873" w:rsidRDefault="00B02873" w:rsidP="00FC7219">
      <w:pPr>
        <w:pStyle w:val="Figureheading"/>
      </w:pPr>
      <w:r>
        <w:t>Total building grid energy consumption (MJ)</w:t>
      </w:r>
    </w:p>
    <w:p w14:paraId="7024A0FF" w14:textId="09F012FF" w:rsidR="00FC7219" w:rsidRDefault="00FC7219" w:rsidP="00FC7219">
      <w:r>
        <w:rPr>
          <w:noProof/>
        </w:rPr>
        <w:drawing>
          <wp:inline distT="0" distB="0" distL="0" distR="0" wp14:anchorId="5A1578D5" wp14:editId="301BB7B3">
            <wp:extent cx="5086350" cy="2163218"/>
            <wp:effectExtent l="0" t="0" r="0" b="8890"/>
            <wp:docPr id="6" name="Picture 6" descr="Graph showing total building grid energy consumption in megajoules, broken down by energy source, for four financial years: 2014-15 (baseline year), 2019-20, 2020-21 and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 showing total building grid energy consumption in megajoules, broken down by energy source, for four financial years: 2014-15 (baseline year), 2019-20, 2020-21 and 2021-22."/>
                    <pic:cNvPicPr/>
                  </pic:nvPicPr>
                  <pic:blipFill>
                    <a:blip r:embed="rId72"/>
                    <a:stretch>
                      <a:fillRect/>
                    </a:stretch>
                  </pic:blipFill>
                  <pic:spPr>
                    <a:xfrm>
                      <a:off x="0" y="0"/>
                      <a:ext cx="5092124" cy="2165673"/>
                    </a:xfrm>
                    <a:prstGeom prst="rect">
                      <a:avLst/>
                    </a:prstGeom>
                  </pic:spPr>
                </pic:pic>
              </a:graphicData>
            </a:graphic>
          </wp:inline>
        </w:drawing>
      </w:r>
    </w:p>
    <w:p w14:paraId="16CCAB70" w14:textId="77777777" w:rsidR="00B02873" w:rsidRDefault="00B02873" w:rsidP="00FC7219">
      <w:pPr>
        <w:pStyle w:val="Heading3"/>
      </w:pPr>
      <w:r>
        <w:lastRenderedPageBreak/>
        <w:t>Actions undertaken:</w:t>
      </w:r>
    </w:p>
    <w:p w14:paraId="44D99A90" w14:textId="77777777" w:rsidR="00B02873" w:rsidRDefault="00B02873" w:rsidP="00B02873">
      <w:pPr>
        <w:pStyle w:val="Bullet1Lists"/>
      </w:pPr>
      <w:r>
        <w:t>1,319 kW of solar PV panels have been installed at 27 DELWP sites.</w:t>
      </w:r>
    </w:p>
    <w:p w14:paraId="6B0B6CF6" w14:textId="77777777" w:rsidR="00B02873" w:rsidRDefault="00B02873" w:rsidP="00B02873">
      <w:pPr>
        <w:pStyle w:val="Bullet1Lists"/>
      </w:pPr>
      <w:r>
        <w:t>All DELWP new builds and significant rebuilds have LED lighting and solar installation as a standard requirement and are built to both 6-star NABERS ratings and Green Start principles.</w:t>
      </w:r>
    </w:p>
    <w:p w14:paraId="306013BA" w14:textId="77777777" w:rsidR="00B02873" w:rsidRDefault="00B02873" w:rsidP="00FC7219">
      <w:pPr>
        <w:pStyle w:val="Bullet1Listslast"/>
      </w:pPr>
      <w:r>
        <w:t>Participation in the global ‘Earth Hour’ event to promote and improve office energy efficiency.</w:t>
      </w:r>
    </w:p>
    <w:p w14:paraId="70E191DF" w14:textId="77777777" w:rsidR="00B02873" w:rsidRDefault="00B02873" w:rsidP="00FC7219">
      <w:pPr>
        <w:pStyle w:val="Heading3"/>
      </w:pPr>
      <w:r>
        <w:t>Future objectives:</w:t>
      </w:r>
    </w:p>
    <w:p w14:paraId="18A606E9" w14:textId="77777777" w:rsidR="00B02873" w:rsidRDefault="00B02873" w:rsidP="00B02873">
      <w:pPr>
        <w:pStyle w:val="Bullet1Lists"/>
      </w:pPr>
      <w:r>
        <w:t>An additional 429kW of solar PV panels (out of the 2021 commitment of 550KW) will be installed at sites before 2025.</w:t>
      </w:r>
    </w:p>
    <w:p w14:paraId="3463C587" w14:textId="77777777" w:rsidR="00B02873" w:rsidRDefault="00B02873" w:rsidP="00B02873">
      <w:pPr>
        <w:pStyle w:val="Bullet1Lists"/>
      </w:pPr>
      <w:r>
        <w:t>In the Hume region, DELWP is working with the Taungurung Land and Waters Council to put in place Power Purchase Agreements resulting in up to an additional 100kW of solar installations.</w:t>
      </w:r>
    </w:p>
    <w:p w14:paraId="729D9E50" w14:textId="77777777" w:rsidR="00B02873" w:rsidRDefault="00B02873" w:rsidP="00B02873">
      <w:pPr>
        <w:pStyle w:val="Bullet1Lists"/>
      </w:pPr>
      <w:r>
        <w:t>DELWP will undertake an audit of gas and LPG use and work with sites and facility management to phase out gas and LPG consumption at DELWP managed sites wherever practical by 2025.</w:t>
      </w:r>
    </w:p>
    <w:p w14:paraId="23CF4DD6" w14:textId="202C5535" w:rsidR="00B02873" w:rsidRDefault="00B02873" w:rsidP="00B02873">
      <w:pPr>
        <w:pStyle w:val="Bullet1Lists"/>
      </w:pPr>
      <w:r>
        <w:rPr>
          <w:spacing w:val="-4"/>
        </w:rPr>
        <w:t>DELWP will continue to purchase ACCUs towards offsetting emissions for building gas / LPG consumption to meet the 2025 net zero commitment.</w:t>
      </w:r>
    </w:p>
    <w:p w14:paraId="62E9DE6F" w14:textId="77777777" w:rsidR="00B02873" w:rsidRDefault="00B02873" w:rsidP="00FC7219">
      <w:pPr>
        <w:pStyle w:val="Bullet1Listslast"/>
      </w:pPr>
      <w:r>
        <w:t>DELWP will continue to evaluate energy use across the regions and remains committed to implementing measures to reduce overall energy consumption.</w:t>
      </w:r>
    </w:p>
    <w:p w14:paraId="41074468" w14:textId="77777777" w:rsidR="00B02873" w:rsidRDefault="00B02873" w:rsidP="00FC7219">
      <w:pPr>
        <w:pStyle w:val="Heading3"/>
      </w:pPr>
      <w:r>
        <w:t>Performance:</w:t>
      </w:r>
    </w:p>
    <w:tbl>
      <w:tblPr>
        <w:tblStyle w:val="TableGrid"/>
        <w:tblW w:w="9638" w:type="dxa"/>
        <w:tblLayout w:type="fixed"/>
        <w:tblLook w:val="0020" w:firstRow="1" w:lastRow="0" w:firstColumn="0" w:lastColumn="0" w:noHBand="0" w:noVBand="0"/>
      </w:tblPr>
      <w:tblGrid>
        <w:gridCol w:w="3964"/>
        <w:gridCol w:w="1418"/>
        <w:gridCol w:w="1419"/>
        <w:gridCol w:w="1418"/>
        <w:gridCol w:w="1419"/>
      </w:tblGrid>
      <w:tr w:rsidR="00B02873" w:rsidRPr="00FC7219" w14:paraId="412484EF" w14:textId="77777777" w:rsidTr="00E223CE">
        <w:trPr>
          <w:cnfStyle w:val="100000000000" w:firstRow="1" w:lastRow="0" w:firstColumn="0" w:lastColumn="0" w:oddVBand="0" w:evenVBand="0" w:oddHBand="0" w:evenHBand="0" w:firstRowFirstColumn="0" w:firstRowLastColumn="0" w:lastRowFirstColumn="0" w:lastRowLastColumn="0"/>
          <w:tblHeader/>
        </w:trPr>
        <w:tc>
          <w:tcPr>
            <w:tcW w:w="3964" w:type="dxa"/>
          </w:tcPr>
          <w:p w14:paraId="4ED81BD4" w14:textId="77777777" w:rsidR="00B02873" w:rsidRPr="00FC7219" w:rsidRDefault="00B02873" w:rsidP="00FC7219">
            <w:pPr>
              <w:pStyle w:val="TableheadingleftTables"/>
            </w:pPr>
          </w:p>
        </w:tc>
        <w:tc>
          <w:tcPr>
            <w:tcW w:w="1418" w:type="dxa"/>
          </w:tcPr>
          <w:p w14:paraId="53B069E2" w14:textId="77777777" w:rsidR="00B02873" w:rsidRPr="00FC7219" w:rsidRDefault="00B02873" w:rsidP="009121E6">
            <w:pPr>
              <w:pStyle w:val="TableheadingleftTables"/>
              <w:jc w:val="right"/>
            </w:pPr>
            <w:r w:rsidRPr="00FC7219">
              <w:t>2021-22</w:t>
            </w:r>
          </w:p>
        </w:tc>
        <w:tc>
          <w:tcPr>
            <w:tcW w:w="1419" w:type="dxa"/>
          </w:tcPr>
          <w:p w14:paraId="31DAE316" w14:textId="77777777" w:rsidR="00B02873" w:rsidRPr="00FC7219" w:rsidRDefault="00B02873" w:rsidP="009121E6">
            <w:pPr>
              <w:pStyle w:val="TableheadingleftTables"/>
              <w:jc w:val="right"/>
            </w:pPr>
            <w:r w:rsidRPr="00FC7219">
              <w:t>2020-21</w:t>
            </w:r>
          </w:p>
        </w:tc>
        <w:tc>
          <w:tcPr>
            <w:tcW w:w="1418" w:type="dxa"/>
          </w:tcPr>
          <w:p w14:paraId="3546909E" w14:textId="77777777" w:rsidR="00B02873" w:rsidRPr="00FC7219" w:rsidRDefault="00B02873" w:rsidP="009121E6">
            <w:pPr>
              <w:pStyle w:val="TableheadingleftTables"/>
              <w:jc w:val="right"/>
            </w:pPr>
            <w:r w:rsidRPr="00FC7219">
              <w:t>2019-20</w:t>
            </w:r>
          </w:p>
        </w:tc>
        <w:tc>
          <w:tcPr>
            <w:tcW w:w="1419" w:type="dxa"/>
          </w:tcPr>
          <w:p w14:paraId="6F26DE21" w14:textId="77777777" w:rsidR="00B02873" w:rsidRPr="00FC7219" w:rsidRDefault="00B02873" w:rsidP="009121E6">
            <w:pPr>
              <w:pStyle w:val="TableheadingleftTables"/>
              <w:jc w:val="right"/>
            </w:pPr>
            <w:r w:rsidRPr="00FC7219">
              <w:t>2014-15 (baseline)</w:t>
            </w:r>
          </w:p>
        </w:tc>
      </w:tr>
      <w:tr w:rsidR="00B02873" w:rsidRPr="00B02873" w14:paraId="627A5325" w14:textId="77777777" w:rsidTr="00E223CE">
        <w:tc>
          <w:tcPr>
            <w:tcW w:w="3964" w:type="dxa"/>
          </w:tcPr>
          <w:p w14:paraId="310CA2DC" w14:textId="77777777" w:rsidR="00B02873" w:rsidRDefault="00B02873" w:rsidP="00B415A9">
            <w:pPr>
              <w:pStyle w:val="TablebodyleftTables"/>
            </w:pPr>
            <w:r>
              <w:t>E1. Total energy usage segmented by primary source (MJ)</w:t>
            </w:r>
            <w:r>
              <w:rPr>
                <w:vertAlign w:val="superscript"/>
              </w:rPr>
              <w:t>(i)</w:t>
            </w:r>
          </w:p>
        </w:tc>
        <w:tc>
          <w:tcPr>
            <w:tcW w:w="1418" w:type="dxa"/>
          </w:tcPr>
          <w:p w14:paraId="4CD0AA30" w14:textId="77777777" w:rsidR="00B02873" w:rsidRDefault="00B02873" w:rsidP="009121E6">
            <w:pPr>
              <w:pStyle w:val="TablebodyleftTables"/>
              <w:jc w:val="right"/>
            </w:pPr>
            <w:r>
              <w:t>45,245,924</w:t>
            </w:r>
          </w:p>
        </w:tc>
        <w:tc>
          <w:tcPr>
            <w:tcW w:w="1419" w:type="dxa"/>
          </w:tcPr>
          <w:p w14:paraId="7C1DCC39" w14:textId="77777777" w:rsidR="00B02873" w:rsidRDefault="00B02873" w:rsidP="009121E6">
            <w:pPr>
              <w:pStyle w:val="TablebodyleftTables"/>
              <w:jc w:val="right"/>
            </w:pPr>
            <w:r>
              <w:rPr>
                <w:spacing w:val="-5"/>
              </w:rPr>
              <w:t>44,056,344</w:t>
            </w:r>
            <w:r>
              <w:rPr>
                <w:spacing w:val="-5"/>
                <w:vertAlign w:val="superscript"/>
              </w:rPr>
              <w:t>(ii)</w:t>
            </w:r>
          </w:p>
        </w:tc>
        <w:tc>
          <w:tcPr>
            <w:tcW w:w="1418" w:type="dxa"/>
          </w:tcPr>
          <w:p w14:paraId="1E30B047" w14:textId="77777777" w:rsidR="00B02873" w:rsidRDefault="00B02873" w:rsidP="009121E6">
            <w:pPr>
              <w:pStyle w:val="TablebodyleftTables"/>
              <w:jc w:val="right"/>
            </w:pPr>
            <w:r>
              <w:rPr>
                <w:spacing w:val="-5"/>
              </w:rPr>
              <w:t>54,555,001</w:t>
            </w:r>
            <w:r>
              <w:rPr>
                <w:spacing w:val="-5"/>
                <w:vertAlign w:val="superscript"/>
              </w:rPr>
              <w:t>(ii)</w:t>
            </w:r>
          </w:p>
        </w:tc>
        <w:tc>
          <w:tcPr>
            <w:tcW w:w="1419" w:type="dxa"/>
          </w:tcPr>
          <w:p w14:paraId="4CE75A26" w14:textId="77777777" w:rsidR="00B02873" w:rsidRDefault="00B02873" w:rsidP="009121E6">
            <w:pPr>
              <w:pStyle w:val="TablebodyleftTables"/>
              <w:jc w:val="right"/>
            </w:pPr>
            <w:r>
              <w:rPr>
                <w:spacing w:val="-10"/>
              </w:rPr>
              <w:t>60,549,860</w:t>
            </w:r>
            <w:r>
              <w:rPr>
                <w:vertAlign w:val="superscript"/>
              </w:rPr>
              <w:t>(iii)</w:t>
            </w:r>
          </w:p>
        </w:tc>
      </w:tr>
      <w:tr w:rsidR="00B02873" w:rsidRPr="00B02873" w14:paraId="1AD59814" w14:textId="77777777" w:rsidTr="00E223CE">
        <w:tc>
          <w:tcPr>
            <w:tcW w:w="3964" w:type="dxa"/>
          </w:tcPr>
          <w:p w14:paraId="09D4AF80" w14:textId="095CBDDA" w:rsidR="00B02873" w:rsidRDefault="00012C04" w:rsidP="00B415A9">
            <w:pPr>
              <w:pStyle w:val="TablebodyleftTables"/>
            </w:pPr>
            <w:r>
              <w:t xml:space="preserve"> </w:t>
            </w:r>
            <w:r w:rsidR="00B02873">
              <w:t xml:space="preserve"> Electricity</w:t>
            </w:r>
          </w:p>
        </w:tc>
        <w:tc>
          <w:tcPr>
            <w:tcW w:w="1418" w:type="dxa"/>
          </w:tcPr>
          <w:p w14:paraId="3F5D7B0C" w14:textId="77777777" w:rsidR="00B02873" w:rsidRDefault="00B02873" w:rsidP="009121E6">
            <w:pPr>
              <w:pStyle w:val="TablebodyleftTables"/>
              <w:jc w:val="right"/>
            </w:pPr>
            <w:r>
              <w:t>33,056,954</w:t>
            </w:r>
          </w:p>
        </w:tc>
        <w:tc>
          <w:tcPr>
            <w:tcW w:w="1419" w:type="dxa"/>
          </w:tcPr>
          <w:p w14:paraId="00464205" w14:textId="77777777" w:rsidR="00B02873" w:rsidRDefault="00B02873" w:rsidP="009121E6">
            <w:pPr>
              <w:pStyle w:val="TablebodyleftTables"/>
              <w:jc w:val="right"/>
            </w:pPr>
            <w:r>
              <w:t>31,797,694</w:t>
            </w:r>
            <w:r>
              <w:rPr>
                <w:vertAlign w:val="superscript"/>
              </w:rPr>
              <w:t>(ii)</w:t>
            </w:r>
          </w:p>
        </w:tc>
        <w:tc>
          <w:tcPr>
            <w:tcW w:w="1418" w:type="dxa"/>
          </w:tcPr>
          <w:p w14:paraId="225F784F" w14:textId="77777777" w:rsidR="00B02873" w:rsidRDefault="00B02873" w:rsidP="009121E6">
            <w:pPr>
              <w:pStyle w:val="TablebodyleftTables"/>
              <w:jc w:val="right"/>
            </w:pPr>
            <w:r>
              <w:t>41,257,762</w:t>
            </w:r>
            <w:r>
              <w:rPr>
                <w:vertAlign w:val="superscript"/>
              </w:rPr>
              <w:t>(ii)</w:t>
            </w:r>
          </w:p>
        </w:tc>
        <w:tc>
          <w:tcPr>
            <w:tcW w:w="1419" w:type="dxa"/>
          </w:tcPr>
          <w:p w14:paraId="439734E9" w14:textId="77777777" w:rsidR="00B02873" w:rsidRDefault="00B02873" w:rsidP="009121E6">
            <w:pPr>
              <w:pStyle w:val="TablebodyleftTables"/>
              <w:jc w:val="right"/>
            </w:pPr>
            <w:r>
              <w:t>46,799,063</w:t>
            </w:r>
            <w:r>
              <w:rPr>
                <w:vertAlign w:val="superscript"/>
              </w:rPr>
              <w:t>(iii)</w:t>
            </w:r>
          </w:p>
        </w:tc>
      </w:tr>
      <w:tr w:rsidR="00B02873" w:rsidRPr="00B02873" w14:paraId="5F87446B" w14:textId="77777777" w:rsidTr="00E223CE">
        <w:tc>
          <w:tcPr>
            <w:tcW w:w="3964" w:type="dxa"/>
          </w:tcPr>
          <w:p w14:paraId="0F37EB0B" w14:textId="09CCD039" w:rsidR="00B02873" w:rsidRDefault="00012C04" w:rsidP="00B415A9">
            <w:pPr>
              <w:pStyle w:val="TablebodyleftTables"/>
            </w:pPr>
            <w:r>
              <w:t xml:space="preserve"> </w:t>
            </w:r>
            <w:r w:rsidR="00B02873">
              <w:t xml:space="preserve"> Natural gas</w:t>
            </w:r>
          </w:p>
        </w:tc>
        <w:tc>
          <w:tcPr>
            <w:tcW w:w="1418" w:type="dxa"/>
          </w:tcPr>
          <w:p w14:paraId="6F40CC2D" w14:textId="77777777" w:rsidR="00B02873" w:rsidRDefault="00B02873" w:rsidP="009121E6">
            <w:pPr>
              <w:pStyle w:val="TablebodyleftTables"/>
              <w:jc w:val="right"/>
            </w:pPr>
            <w:r>
              <w:t>11,382,229</w:t>
            </w:r>
          </w:p>
        </w:tc>
        <w:tc>
          <w:tcPr>
            <w:tcW w:w="1419" w:type="dxa"/>
          </w:tcPr>
          <w:p w14:paraId="23E5C99E" w14:textId="77777777" w:rsidR="00B02873" w:rsidRDefault="00B02873" w:rsidP="009121E6">
            <w:pPr>
              <w:pStyle w:val="TablebodyleftTables"/>
              <w:jc w:val="right"/>
            </w:pPr>
            <w:r>
              <w:t>11,522,122</w:t>
            </w:r>
          </w:p>
        </w:tc>
        <w:tc>
          <w:tcPr>
            <w:tcW w:w="1418" w:type="dxa"/>
          </w:tcPr>
          <w:p w14:paraId="41748233" w14:textId="77777777" w:rsidR="00B02873" w:rsidRDefault="00B02873" w:rsidP="009121E6">
            <w:pPr>
              <w:pStyle w:val="TablebodyleftTables"/>
              <w:jc w:val="right"/>
            </w:pPr>
            <w:r>
              <w:t>12,254,206</w:t>
            </w:r>
          </w:p>
        </w:tc>
        <w:tc>
          <w:tcPr>
            <w:tcW w:w="1419" w:type="dxa"/>
          </w:tcPr>
          <w:p w14:paraId="2DB3A32A" w14:textId="77777777" w:rsidR="00B02873" w:rsidRDefault="00B02873" w:rsidP="009121E6">
            <w:pPr>
              <w:pStyle w:val="TablebodyleftTables"/>
              <w:jc w:val="right"/>
            </w:pPr>
            <w:r>
              <w:t>12,889,718</w:t>
            </w:r>
          </w:p>
        </w:tc>
      </w:tr>
      <w:tr w:rsidR="00B02873" w:rsidRPr="00B02873" w14:paraId="524205C0" w14:textId="77777777" w:rsidTr="00E223CE">
        <w:tc>
          <w:tcPr>
            <w:tcW w:w="3964" w:type="dxa"/>
          </w:tcPr>
          <w:p w14:paraId="6358A59E" w14:textId="2F701D7B" w:rsidR="00B02873" w:rsidRDefault="00012C04" w:rsidP="00B415A9">
            <w:pPr>
              <w:pStyle w:val="TablebodyleftTables"/>
            </w:pPr>
            <w:r>
              <w:t xml:space="preserve"> </w:t>
            </w:r>
            <w:r w:rsidR="00B02873">
              <w:t xml:space="preserve"> LPG</w:t>
            </w:r>
            <w:r w:rsidR="00B02873">
              <w:rPr>
                <w:vertAlign w:val="superscript"/>
              </w:rPr>
              <w:t>(iv)</w:t>
            </w:r>
          </w:p>
        </w:tc>
        <w:tc>
          <w:tcPr>
            <w:tcW w:w="1418" w:type="dxa"/>
          </w:tcPr>
          <w:p w14:paraId="5AD69C0D" w14:textId="77777777" w:rsidR="00B02873" w:rsidRDefault="00B02873" w:rsidP="009121E6">
            <w:pPr>
              <w:pStyle w:val="TablebodyleftTables"/>
              <w:jc w:val="right"/>
            </w:pPr>
            <w:r>
              <w:t>806,741</w:t>
            </w:r>
          </w:p>
        </w:tc>
        <w:tc>
          <w:tcPr>
            <w:tcW w:w="1419" w:type="dxa"/>
          </w:tcPr>
          <w:p w14:paraId="762D9003" w14:textId="77777777" w:rsidR="00B02873" w:rsidRDefault="00B02873" w:rsidP="009121E6">
            <w:pPr>
              <w:pStyle w:val="TablebodyleftTables"/>
              <w:jc w:val="right"/>
            </w:pPr>
            <w:r>
              <w:t>736,528</w:t>
            </w:r>
          </w:p>
        </w:tc>
        <w:tc>
          <w:tcPr>
            <w:tcW w:w="1418" w:type="dxa"/>
          </w:tcPr>
          <w:p w14:paraId="4CFAB581" w14:textId="77777777" w:rsidR="00B02873" w:rsidRDefault="00B02873" w:rsidP="009121E6">
            <w:pPr>
              <w:pStyle w:val="TablebodyleftTables"/>
              <w:jc w:val="right"/>
            </w:pPr>
            <w:r>
              <w:t>1,043,033</w:t>
            </w:r>
          </w:p>
        </w:tc>
        <w:tc>
          <w:tcPr>
            <w:tcW w:w="1419" w:type="dxa"/>
          </w:tcPr>
          <w:p w14:paraId="4911FDCA" w14:textId="77777777" w:rsidR="00B02873" w:rsidRDefault="00B02873" w:rsidP="009121E6">
            <w:pPr>
              <w:pStyle w:val="TablebodyleftTables"/>
              <w:jc w:val="right"/>
            </w:pPr>
            <w:r>
              <w:t>861,079</w:t>
            </w:r>
          </w:p>
        </w:tc>
      </w:tr>
      <w:tr w:rsidR="00B02873" w:rsidRPr="00B02873" w14:paraId="2EE460CB" w14:textId="77777777" w:rsidTr="00E223CE">
        <w:tc>
          <w:tcPr>
            <w:tcW w:w="3964" w:type="dxa"/>
          </w:tcPr>
          <w:p w14:paraId="49E368A5" w14:textId="77777777" w:rsidR="00B02873" w:rsidRDefault="00B02873" w:rsidP="00B415A9">
            <w:pPr>
              <w:pStyle w:val="TablebodyleftTables"/>
            </w:pPr>
            <w:r>
              <w:t>Office energy consumption</w:t>
            </w:r>
          </w:p>
        </w:tc>
        <w:tc>
          <w:tcPr>
            <w:tcW w:w="1418" w:type="dxa"/>
          </w:tcPr>
          <w:p w14:paraId="3432703D" w14:textId="77777777" w:rsidR="00B02873" w:rsidRDefault="00B02873" w:rsidP="009121E6">
            <w:pPr>
              <w:pStyle w:val="TablebodyleftTables"/>
              <w:jc w:val="right"/>
            </w:pPr>
            <w:r>
              <w:t>24,446,830</w:t>
            </w:r>
          </w:p>
        </w:tc>
        <w:tc>
          <w:tcPr>
            <w:tcW w:w="1419" w:type="dxa"/>
          </w:tcPr>
          <w:p w14:paraId="0E089607" w14:textId="77777777" w:rsidR="00B02873" w:rsidRDefault="00B02873" w:rsidP="009121E6">
            <w:pPr>
              <w:pStyle w:val="TablebodyleftTables"/>
              <w:jc w:val="right"/>
            </w:pPr>
            <w:r>
              <w:t>24,158,800</w:t>
            </w:r>
            <w:r>
              <w:rPr>
                <w:vertAlign w:val="superscript"/>
              </w:rPr>
              <w:t>(ii)</w:t>
            </w:r>
          </w:p>
        </w:tc>
        <w:tc>
          <w:tcPr>
            <w:tcW w:w="1418" w:type="dxa"/>
          </w:tcPr>
          <w:p w14:paraId="7A70310E" w14:textId="77777777" w:rsidR="00B02873" w:rsidRDefault="00B02873" w:rsidP="009121E6">
            <w:pPr>
              <w:pStyle w:val="TablebodyleftTables"/>
              <w:jc w:val="right"/>
            </w:pPr>
            <w:r>
              <w:t>30,418,243</w:t>
            </w:r>
            <w:r>
              <w:rPr>
                <w:vertAlign w:val="superscript"/>
              </w:rPr>
              <w:t>(ii)</w:t>
            </w:r>
          </w:p>
        </w:tc>
        <w:tc>
          <w:tcPr>
            <w:tcW w:w="1419" w:type="dxa"/>
          </w:tcPr>
          <w:p w14:paraId="3D16CDDD" w14:textId="77777777" w:rsidR="00B02873" w:rsidRDefault="00B02873" w:rsidP="009121E6">
            <w:pPr>
              <w:pStyle w:val="TablebodyleftTables"/>
              <w:jc w:val="right"/>
            </w:pPr>
            <w:r>
              <w:t>34,692,053</w:t>
            </w:r>
            <w:r>
              <w:rPr>
                <w:vertAlign w:val="superscript"/>
              </w:rPr>
              <w:t>(iii)</w:t>
            </w:r>
          </w:p>
        </w:tc>
      </w:tr>
      <w:tr w:rsidR="00B02873" w:rsidRPr="00B02873" w14:paraId="2E8D467B" w14:textId="77777777" w:rsidTr="00E223CE">
        <w:tc>
          <w:tcPr>
            <w:tcW w:w="3964" w:type="dxa"/>
          </w:tcPr>
          <w:p w14:paraId="0A62067E" w14:textId="77777777" w:rsidR="00B02873" w:rsidRDefault="00B02873" w:rsidP="00B415A9">
            <w:pPr>
              <w:pStyle w:val="TablebodyleftTables"/>
            </w:pPr>
            <w:r>
              <w:t>Non-Office energy consumption</w:t>
            </w:r>
            <w:r>
              <w:rPr>
                <w:vertAlign w:val="superscript"/>
              </w:rPr>
              <w:t>(v)</w:t>
            </w:r>
          </w:p>
        </w:tc>
        <w:tc>
          <w:tcPr>
            <w:tcW w:w="1418" w:type="dxa"/>
          </w:tcPr>
          <w:p w14:paraId="6D9FD2D5" w14:textId="77777777" w:rsidR="00B02873" w:rsidRDefault="00B02873" w:rsidP="009121E6">
            <w:pPr>
              <w:pStyle w:val="TablebodyleftTables"/>
              <w:jc w:val="right"/>
            </w:pPr>
            <w:r>
              <w:t>20,799,093</w:t>
            </w:r>
          </w:p>
        </w:tc>
        <w:tc>
          <w:tcPr>
            <w:tcW w:w="1419" w:type="dxa"/>
          </w:tcPr>
          <w:p w14:paraId="27682506" w14:textId="77777777" w:rsidR="00B02873" w:rsidRDefault="00B02873" w:rsidP="009121E6">
            <w:pPr>
              <w:pStyle w:val="TablebodyleftTables"/>
              <w:jc w:val="right"/>
            </w:pPr>
            <w:r>
              <w:t>19,897,544</w:t>
            </w:r>
            <w:r>
              <w:rPr>
                <w:vertAlign w:val="superscript"/>
              </w:rPr>
              <w:t>(ii)</w:t>
            </w:r>
          </w:p>
        </w:tc>
        <w:tc>
          <w:tcPr>
            <w:tcW w:w="1418" w:type="dxa"/>
          </w:tcPr>
          <w:p w14:paraId="61612388" w14:textId="77777777" w:rsidR="00B02873" w:rsidRDefault="00B02873" w:rsidP="009121E6">
            <w:pPr>
              <w:pStyle w:val="TablebodyleftTables"/>
              <w:jc w:val="right"/>
            </w:pPr>
            <w:r>
              <w:t>24,136,759</w:t>
            </w:r>
            <w:r>
              <w:rPr>
                <w:vertAlign w:val="superscript"/>
              </w:rPr>
              <w:t>(ii)</w:t>
            </w:r>
          </w:p>
        </w:tc>
        <w:tc>
          <w:tcPr>
            <w:tcW w:w="1419" w:type="dxa"/>
          </w:tcPr>
          <w:p w14:paraId="669CF5C4" w14:textId="77777777" w:rsidR="00B02873" w:rsidRDefault="00B02873" w:rsidP="009121E6">
            <w:pPr>
              <w:pStyle w:val="TablebodyleftTables"/>
              <w:jc w:val="right"/>
            </w:pPr>
            <w:r>
              <w:t>25,857,807</w:t>
            </w:r>
          </w:p>
        </w:tc>
      </w:tr>
      <w:tr w:rsidR="00B02873" w:rsidRPr="00B02873" w14:paraId="2BFE441F" w14:textId="77777777" w:rsidTr="00E223CE">
        <w:tc>
          <w:tcPr>
            <w:tcW w:w="3964" w:type="dxa"/>
          </w:tcPr>
          <w:p w14:paraId="3BBA4DEA" w14:textId="77777777" w:rsidR="00B02873" w:rsidRDefault="00B02873" w:rsidP="00B415A9">
            <w:pPr>
              <w:pStyle w:val="TablebodyleftTables"/>
            </w:pPr>
            <w:r>
              <w:t>E2. Total greenhouse gas emissions from energy consumption, including Green Power and ACCUs (tonnes CO</w:t>
            </w:r>
            <w:r w:rsidRPr="00E223CE">
              <w:rPr>
                <w:vertAlign w:val="subscript"/>
              </w:rPr>
              <w:t>2</w:t>
            </w:r>
            <w:r>
              <w:t>-e)</w:t>
            </w:r>
          </w:p>
        </w:tc>
        <w:tc>
          <w:tcPr>
            <w:tcW w:w="1418" w:type="dxa"/>
          </w:tcPr>
          <w:p w14:paraId="754BD2AF" w14:textId="77777777" w:rsidR="00B02873" w:rsidRDefault="00B02873" w:rsidP="009121E6">
            <w:pPr>
              <w:pStyle w:val="TablebodyleftTables"/>
              <w:jc w:val="right"/>
            </w:pPr>
            <w:r>
              <w:t>513</w:t>
            </w:r>
          </w:p>
        </w:tc>
        <w:tc>
          <w:tcPr>
            <w:tcW w:w="1419" w:type="dxa"/>
          </w:tcPr>
          <w:p w14:paraId="78DE8B1E" w14:textId="77777777" w:rsidR="00B02873" w:rsidRDefault="00B02873" w:rsidP="009121E6">
            <w:pPr>
              <w:pStyle w:val="TablebodyleftTables"/>
              <w:jc w:val="right"/>
            </w:pPr>
            <w:r>
              <w:t>7,244</w:t>
            </w:r>
            <w:r>
              <w:rPr>
                <w:vertAlign w:val="superscript"/>
              </w:rPr>
              <w:t>(ii)</w:t>
            </w:r>
          </w:p>
        </w:tc>
        <w:tc>
          <w:tcPr>
            <w:tcW w:w="1418" w:type="dxa"/>
          </w:tcPr>
          <w:p w14:paraId="0C8BEE5F" w14:textId="77777777" w:rsidR="00B02873" w:rsidRDefault="00B02873" w:rsidP="009121E6">
            <w:pPr>
              <w:pStyle w:val="TablebodyleftTables"/>
              <w:jc w:val="right"/>
            </w:pPr>
            <w:r>
              <w:t>9,926</w:t>
            </w:r>
            <w:r>
              <w:rPr>
                <w:vertAlign w:val="superscript"/>
              </w:rPr>
              <w:t>(ii)</w:t>
            </w:r>
          </w:p>
        </w:tc>
        <w:tc>
          <w:tcPr>
            <w:tcW w:w="1419" w:type="dxa"/>
          </w:tcPr>
          <w:p w14:paraId="6F445859" w14:textId="77777777" w:rsidR="00B02873" w:rsidRDefault="00B02873" w:rsidP="009121E6">
            <w:pPr>
              <w:pStyle w:val="TablebodyleftTables"/>
              <w:jc w:val="right"/>
            </w:pPr>
            <w:r>
              <w:t>18,057</w:t>
            </w:r>
            <w:r>
              <w:rPr>
                <w:vertAlign w:val="superscript"/>
              </w:rPr>
              <w:t>(iii)</w:t>
            </w:r>
          </w:p>
        </w:tc>
      </w:tr>
      <w:tr w:rsidR="00B02873" w:rsidRPr="00B02873" w14:paraId="3C60AE28" w14:textId="77777777" w:rsidTr="00E223CE">
        <w:tc>
          <w:tcPr>
            <w:tcW w:w="3964" w:type="dxa"/>
          </w:tcPr>
          <w:p w14:paraId="5488216B" w14:textId="77777777" w:rsidR="00B02873" w:rsidRDefault="00B02873" w:rsidP="00B415A9">
            <w:pPr>
              <w:pStyle w:val="TablebodyleftTables"/>
            </w:pPr>
            <w:r>
              <w:t>Total reported electricity emissions</w:t>
            </w:r>
            <w:r>
              <w:rPr>
                <w:vertAlign w:val="superscript"/>
              </w:rPr>
              <w:t>(vi)</w:t>
            </w:r>
          </w:p>
        </w:tc>
        <w:tc>
          <w:tcPr>
            <w:tcW w:w="1418" w:type="dxa"/>
          </w:tcPr>
          <w:p w14:paraId="0576DCA4" w14:textId="77777777" w:rsidR="00B02873" w:rsidRDefault="00B02873" w:rsidP="009121E6">
            <w:pPr>
              <w:pStyle w:val="TablebodyleftTables"/>
              <w:jc w:val="right"/>
            </w:pPr>
            <w:r>
              <w:t>0</w:t>
            </w:r>
          </w:p>
        </w:tc>
        <w:tc>
          <w:tcPr>
            <w:tcW w:w="1419" w:type="dxa"/>
          </w:tcPr>
          <w:p w14:paraId="3BFB4018" w14:textId="77777777" w:rsidR="00B02873" w:rsidRDefault="00B02873" w:rsidP="009121E6">
            <w:pPr>
              <w:pStyle w:val="TablebodyleftTables"/>
              <w:jc w:val="right"/>
            </w:pPr>
            <w:r>
              <w:t>6,557</w:t>
            </w:r>
            <w:r>
              <w:rPr>
                <w:vertAlign w:val="superscript"/>
              </w:rPr>
              <w:t>(ii)</w:t>
            </w:r>
          </w:p>
        </w:tc>
        <w:tc>
          <w:tcPr>
            <w:tcW w:w="1418" w:type="dxa"/>
          </w:tcPr>
          <w:p w14:paraId="30D69B42" w14:textId="77777777" w:rsidR="00B02873" w:rsidRDefault="00B02873" w:rsidP="009121E6">
            <w:pPr>
              <w:pStyle w:val="TablebodyleftTables"/>
              <w:jc w:val="right"/>
            </w:pPr>
            <w:r>
              <w:t>9,180</w:t>
            </w:r>
            <w:r>
              <w:rPr>
                <w:vertAlign w:val="superscript"/>
              </w:rPr>
              <w:t>(ii)</w:t>
            </w:r>
          </w:p>
        </w:tc>
        <w:tc>
          <w:tcPr>
            <w:tcW w:w="1419" w:type="dxa"/>
          </w:tcPr>
          <w:p w14:paraId="340EF1D8" w14:textId="77777777" w:rsidR="00B02873" w:rsidRDefault="00B02873" w:rsidP="009121E6">
            <w:pPr>
              <w:pStyle w:val="TablebodyleftTables"/>
              <w:jc w:val="right"/>
            </w:pPr>
            <w:r>
              <w:t>17,290</w:t>
            </w:r>
            <w:r>
              <w:rPr>
                <w:vertAlign w:val="superscript"/>
              </w:rPr>
              <w:t>(iii)</w:t>
            </w:r>
          </w:p>
        </w:tc>
      </w:tr>
      <w:tr w:rsidR="00B02873" w:rsidRPr="00B02873" w14:paraId="179B4CFA" w14:textId="77777777" w:rsidTr="00E223CE">
        <w:tc>
          <w:tcPr>
            <w:tcW w:w="3964" w:type="dxa"/>
          </w:tcPr>
          <w:p w14:paraId="64060155" w14:textId="77777777" w:rsidR="00B02873" w:rsidRDefault="00B02873" w:rsidP="00B415A9">
            <w:pPr>
              <w:pStyle w:val="TablebodyleftTables"/>
            </w:pPr>
            <w:r>
              <w:t>Total reported natural gas and LPG emissions</w:t>
            </w:r>
            <w:r>
              <w:rPr>
                <w:vertAlign w:val="superscript"/>
              </w:rPr>
              <w:t>(vii)</w:t>
            </w:r>
          </w:p>
        </w:tc>
        <w:tc>
          <w:tcPr>
            <w:tcW w:w="1418" w:type="dxa"/>
          </w:tcPr>
          <w:p w14:paraId="556DFAAF" w14:textId="77777777" w:rsidR="00B02873" w:rsidRDefault="00B02873" w:rsidP="009121E6">
            <w:pPr>
              <w:pStyle w:val="TablebodyleftTables"/>
              <w:jc w:val="right"/>
            </w:pPr>
            <w:r>
              <w:t>513</w:t>
            </w:r>
          </w:p>
        </w:tc>
        <w:tc>
          <w:tcPr>
            <w:tcW w:w="1419" w:type="dxa"/>
          </w:tcPr>
          <w:p w14:paraId="7736FF7C" w14:textId="77777777" w:rsidR="00B02873" w:rsidRDefault="00B02873" w:rsidP="009121E6">
            <w:pPr>
              <w:pStyle w:val="TablebodyleftTables"/>
              <w:jc w:val="right"/>
            </w:pPr>
            <w:r>
              <w:t>687</w:t>
            </w:r>
          </w:p>
        </w:tc>
        <w:tc>
          <w:tcPr>
            <w:tcW w:w="1418" w:type="dxa"/>
          </w:tcPr>
          <w:p w14:paraId="13F4382D" w14:textId="77777777" w:rsidR="00B02873" w:rsidRDefault="00B02873" w:rsidP="009121E6">
            <w:pPr>
              <w:pStyle w:val="TablebodyleftTables"/>
              <w:jc w:val="right"/>
            </w:pPr>
            <w:r>
              <w:t>746</w:t>
            </w:r>
          </w:p>
        </w:tc>
        <w:tc>
          <w:tcPr>
            <w:tcW w:w="1419" w:type="dxa"/>
          </w:tcPr>
          <w:p w14:paraId="1B1BE134" w14:textId="77777777" w:rsidR="00B02873" w:rsidRDefault="00B02873" w:rsidP="009121E6">
            <w:pPr>
              <w:pStyle w:val="TablebodyleftTables"/>
              <w:jc w:val="right"/>
            </w:pPr>
            <w:r>
              <w:t>768</w:t>
            </w:r>
          </w:p>
        </w:tc>
      </w:tr>
      <w:tr w:rsidR="00B02873" w:rsidRPr="00B02873" w14:paraId="5E4918F5" w14:textId="77777777" w:rsidTr="00E223CE">
        <w:tc>
          <w:tcPr>
            <w:tcW w:w="3964" w:type="dxa"/>
          </w:tcPr>
          <w:p w14:paraId="31EE9ED4" w14:textId="77777777" w:rsidR="00B02873" w:rsidRDefault="00B02873" w:rsidP="00B415A9">
            <w:pPr>
              <w:pStyle w:val="TablebodyleftTables"/>
            </w:pPr>
            <w:r>
              <w:t>E3. Percentage of electricity purchased as Green Power</w:t>
            </w:r>
            <w:r>
              <w:rPr>
                <w:vertAlign w:val="superscript"/>
              </w:rPr>
              <w:t>(vi)</w:t>
            </w:r>
          </w:p>
        </w:tc>
        <w:tc>
          <w:tcPr>
            <w:tcW w:w="1418" w:type="dxa"/>
          </w:tcPr>
          <w:p w14:paraId="2A4FFD70" w14:textId="77777777" w:rsidR="00B02873" w:rsidRDefault="00B02873" w:rsidP="009121E6">
            <w:pPr>
              <w:pStyle w:val="TablebodyleftTables"/>
              <w:jc w:val="right"/>
            </w:pPr>
            <w:r>
              <w:t>100%</w:t>
            </w:r>
          </w:p>
        </w:tc>
        <w:tc>
          <w:tcPr>
            <w:tcW w:w="1419" w:type="dxa"/>
          </w:tcPr>
          <w:p w14:paraId="59BA8408" w14:textId="77777777" w:rsidR="00B02873" w:rsidRDefault="00B02873" w:rsidP="009121E6">
            <w:pPr>
              <w:pStyle w:val="TablebodyleftTables"/>
              <w:jc w:val="right"/>
            </w:pPr>
            <w:r>
              <w:t>32%</w:t>
            </w:r>
          </w:p>
        </w:tc>
        <w:tc>
          <w:tcPr>
            <w:tcW w:w="1418" w:type="dxa"/>
          </w:tcPr>
          <w:p w14:paraId="636818A5" w14:textId="77777777" w:rsidR="00B02873" w:rsidRDefault="00B02873" w:rsidP="009121E6">
            <w:pPr>
              <w:pStyle w:val="TablebodyleftTables"/>
              <w:jc w:val="right"/>
            </w:pPr>
            <w:r>
              <w:t>29%</w:t>
            </w:r>
          </w:p>
        </w:tc>
        <w:tc>
          <w:tcPr>
            <w:tcW w:w="1419" w:type="dxa"/>
          </w:tcPr>
          <w:p w14:paraId="2B8667CE" w14:textId="77777777" w:rsidR="00B02873" w:rsidRDefault="00B02873" w:rsidP="009121E6">
            <w:pPr>
              <w:pStyle w:val="TablebodyleftTables"/>
              <w:jc w:val="right"/>
            </w:pPr>
            <w:r>
              <w:t>0%</w:t>
            </w:r>
          </w:p>
        </w:tc>
      </w:tr>
      <w:tr w:rsidR="00B02873" w:rsidRPr="00B02873" w14:paraId="723DBE0D" w14:textId="77777777" w:rsidTr="00E223CE">
        <w:tc>
          <w:tcPr>
            <w:tcW w:w="3964" w:type="dxa"/>
          </w:tcPr>
          <w:p w14:paraId="354F6804" w14:textId="77777777" w:rsidR="00B02873" w:rsidRDefault="00B02873" w:rsidP="00B415A9">
            <w:pPr>
              <w:pStyle w:val="TablebodyleftTables"/>
            </w:pPr>
            <w:r>
              <w:lastRenderedPageBreak/>
              <w:t>Total electricity purchased as Green Power (MJ)</w:t>
            </w:r>
          </w:p>
        </w:tc>
        <w:tc>
          <w:tcPr>
            <w:tcW w:w="1418" w:type="dxa"/>
          </w:tcPr>
          <w:p w14:paraId="42562257" w14:textId="77777777" w:rsidR="00B02873" w:rsidRDefault="00B02873" w:rsidP="009121E6">
            <w:pPr>
              <w:pStyle w:val="TablebodyleftTables"/>
              <w:jc w:val="right"/>
            </w:pPr>
            <w:r>
              <w:t>33,056,954</w:t>
            </w:r>
          </w:p>
        </w:tc>
        <w:tc>
          <w:tcPr>
            <w:tcW w:w="1419" w:type="dxa"/>
          </w:tcPr>
          <w:p w14:paraId="7D7048FB" w14:textId="77777777" w:rsidR="00B02873" w:rsidRDefault="00B02873" w:rsidP="009121E6">
            <w:pPr>
              <w:pStyle w:val="TablebodyleftTables"/>
              <w:jc w:val="right"/>
            </w:pPr>
            <w:r>
              <w:t>10,140,480</w:t>
            </w:r>
            <w:r>
              <w:rPr>
                <w:vertAlign w:val="superscript"/>
              </w:rPr>
              <w:t>(ii)</w:t>
            </w:r>
          </w:p>
        </w:tc>
        <w:tc>
          <w:tcPr>
            <w:tcW w:w="1418" w:type="dxa"/>
          </w:tcPr>
          <w:p w14:paraId="57ACBC2B" w14:textId="77777777" w:rsidR="00B02873" w:rsidRDefault="00B02873" w:rsidP="009121E6">
            <w:pPr>
              <w:pStyle w:val="TablebodyleftTables"/>
              <w:jc w:val="right"/>
            </w:pPr>
            <w:r>
              <w:t>11,751,509</w:t>
            </w:r>
            <w:r>
              <w:rPr>
                <w:vertAlign w:val="superscript"/>
              </w:rPr>
              <w:t>(ii)</w:t>
            </w:r>
          </w:p>
        </w:tc>
        <w:tc>
          <w:tcPr>
            <w:tcW w:w="1419" w:type="dxa"/>
          </w:tcPr>
          <w:p w14:paraId="18BBA88C" w14:textId="77777777" w:rsidR="00B02873" w:rsidRDefault="00B02873" w:rsidP="009121E6">
            <w:pPr>
              <w:pStyle w:val="TablebodyleftTables"/>
              <w:jc w:val="right"/>
            </w:pPr>
            <w:r>
              <w:t>0</w:t>
            </w:r>
          </w:p>
        </w:tc>
      </w:tr>
      <w:tr w:rsidR="00B02873" w:rsidRPr="00B02873" w14:paraId="71009091" w14:textId="77777777" w:rsidTr="00E223CE">
        <w:tc>
          <w:tcPr>
            <w:tcW w:w="3964" w:type="dxa"/>
          </w:tcPr>
          <w:p w14:paraId="1F3FEC57" w14:textId="77777777" w:rsidR="00B02873" w:rsidRDefault="00B02873" w:rsidP="00B415A9">
            <w:pPr>
              <w:pStyle w:val="TablebodyleftTables"/>
            </w:pPr>
            <w:r>
              <w:t>E4. Units of office energy used per FTE (MJ/FTE)</w:t>
            </w:r>
          </w:p>
        </w:tc>
        <w:tc>
          <w:tcPr>
            <w:tcW w:w="1418" w:type="dxa"/>
          </w:tcPr>
          <w:p w14:paraId="725A860B" w14:textId="77777777" w:rsidR="00B02873" w:rsidRDefault="00B02873" w:rsidP="009121E6">
            <w:pPr>
              <w:pStyle w:val="TablebodyleftTables"/>
              <w:jc w:val="right"/>
            </w:pPr>
            <w:r>
              <w:t>6,676</w:t>
            </w:r>
          </w:p>
        </w:tc>
        <w:tc>
          <w:tcPr>
            <w:tcW w:w="1419" w:type="dxa"/>
          </w:tcPr>
          <w:p w14:paraId="15D535EE" w14:textId="77777777" w:rsidR="00B02873" w:rsidRDefault="00B02873" w:rsidP="009121E6">
            <w:pPr>
              <w:pStyle w:val="TablebodyleftTables"/>
              <w:jc w:val="right"/>
            </w:pPr>
            <w:r>
              <w:t>7,146</w:t>
            </w:r>
            <w:r>
              <w:rPr>
                <w:vertAlign w:val="superscript"/>
              </w:rPr>
              <w:t>(ii)</w:t>
            </w:r>
          </w:p>
        </w:tc>
        <w:tc>
          <w:tcPr>
            <w:tcW w:w="1418" w:type="dxa"/>
          </w:tcPr>
          <w:p w14:paraId="2F82AE86" w14:textId="77777777" w:rsidR="00B02873" w:rsidRDefault="00B02873" w:rsidP="009121E6">
            <w:pPr>
              <w:pStyle w:val="TablebodyleftTables"/>
              <w:jc w:val="right"/>
            </w:pPr>
            <w:r>
              <w:t>10,000</w:t>
            </w:r>
            <w:r>
              <w:rPr>
                <w:vertAlign w:val="superscript"/>
              </w:rPr>
              <w:t>(ii)</w:t>
            </w:r>
          </w:p>
        </w:tc>
        <w:tc>
          <w:tcPr>
            <w:tcW w:w="1419" w:type="dxa"/>
          </w:tcPr>
          <w:p w14:paraId="436E13F6" w14:textId="77777777" w:rsidR="00B02873" w:rsidRDefault="00B02873" w:rsidP="009121E6">
            <w:pPr>
              <w:pStyle w:val="TablebodyleftTables"/>
              <w:jc w:val="right"/>
            </w:pPr>
            <w:r>
              <w:t>17,493</w:t>
            </w:r>
            <w:r>
              <w:rPr>
                <w:vertAlign w:val="superscript"/>
              </w:rPr>
              <w:t>(iii)</w:t>
            </w:r>
          </w:p>
        </w:tc>
      </w:tr>
      <w:tr w:rsidR="00B02873" w:rsidRPr="00B02873" w14:paraId="2235EF50" w14:textId="77777777" w:rsidTr="00E223CE">
        <w:tc>
          <w:tcPr>
            <w:tcW w:w="3964" w:type="dxa"/>
          </w:tcPr>
          <w:p w14:paraId="3DB70077" w14:textId="77777777" w:rsidR="00B02873" w:rsidRDefault="00B02873" w:rsidP="00B415A9">
            <w:pPr>
              <w:pStyle w:val="TablebodyleftTables"/>
            </w:pPr>
            <w:r>
              <w:t>E5. Units of office energy used per office area (MJ/m2)</w:t>
            </w:r>
          </w:p>
        </w:tc>
        <w:tc>
          <w:tcPr>
            <w:tcW w:w="1418" w:type="dxa"/>
          </w:tcPr>
          <w:p w14:paraId="30999D63" w14:textId="77777777" w:rsidR="00B02873" w:rsidRDefault="00B02873" w:rsidP="009121E6">
            <w:pPr>
              <w:pStyle w:val="TablebodyleftTables"/>
              <w:jc w:val="right"/>
            </w:pPr>
            <w:r>
              <w:t>444</w:t>
            </w:r>
          </w:p>
        </w:tc>
        <w:tc>
          <w:tcPr>
            <w:tcW w:w="1419" w:type="dxa"/>
          </w:tcPr>
          <w:p w14:paraId="1037B5BC" w14:textId="77777777" w:rsidR="00B02873" w:rsidRDefault="00B02873" w:rsidP="009121E6">
            <w:pPr>
              <w:pStyle w:val="TablebodyleftTables"/>
              <w:jc w:val="right"/>
            </w:pPr>
            <w:r>
              <w:t>470</w:t>
            </w:r>
            <w:r>
              <w:rPr>
                <w:vertAlign w:val="superscript"/>
              </w:rPr>
              <w:t>(ii)</w:t>
            </w:r>
          </w:p>
        </w:tc>
        <w:tc>
          <w:tcPr>
            <w:tcW w:w="1418" w:type="dxa"/>
          </w:tcPr>
          <w:p w14:paraId="4443ADCF" w14:textId="77777777" w:rsidR="00B02873" w:rsidRDefault="00B02873" w:rsidP="009121E6">
            <w:pPr>
              <w:pStyle w:val="TablebodyleftTables"/>
              <w:jc w:val="right"/>
            </w:pPr>
            <w:r>
              <w:t>592</w:t>
            </w:r>
          </w:p>
        </w:tc>
        <w:tc>
          <w:tcPr>
            <w:tcW w:w="1419" w:type="dxa"/>
          </w:tcPr>
          <w:p w14:paraId="736FC719" w14:textId="77777777" w:rsidR="00B02873" w:rsidRDefault="00B02873" w:rsidP="009121E6">
            <w:pPr>
              <w:pStyle w:val="TablebodyleftTables"/>
              <w:jc w:val="right"/>
            </w:pPr>
            <w:r>
              <w:t>679</w:t>
            </w:r>
          </w:p>
        </w:tc>
      </w:tr>
      <w:tr w:rsidR="00B02873" w:rsidRPr="00B02873" w14:paraId="68C130B8" w14:textId="77777777" w:rsidTr="00E223CE">
        <w:tc>
          <w:tcPr>
            <w:tcW w:w="3964" w:type="dxa"/>
          </w:tcPr>
          <w:p w14:paraId="18152062" w14:textId="77777777" w:rsidR="00B02873" w:rsidRDefault="00B02873" w:rsidP="00B415A9">
            <w:pPr>
              <w:pStyle w:val="TablebodyleftTables"/>
            </w:pPr>
            <w:r>
              <w:t>Cumulative installed Solar PV systems (kW)</w:t>
            </w:r>
          </w:p>
        </w:tc>
        <w:tc>
          <w:tcPr>
            <w:tcW w:w="1418" w:type="dxa"/>
          </w:tcPr>
          <w:p w14:paraId="7D8819C7" w14:textId="77777777" w:rsidR="00B02873" w:rsidRDefault="00B02873" w:rsidP="009121E6">
            <w:pPr>
              <w:pStyle w:val="TablebodyleftTables"/>
              <w:jc w:val="right"/>
            </w:pPr>
            <w:r>
              <w:t>1,319</w:t>
            </w:r>
          </w:p>
        </w:tc>
        <w:tc>
          <w:tcPr>
            <w:tcW w:w="1419" w:type="dxa"/>
          </w:tcPr>
          <w:p w14:paraId="6951E0C0" w14:textId="77777777" w:rsidR="00B02873" w:rsidRDefault="00B02873" w:rsidP="009121E6">
            <w:pPr>
              <w:pStyle w:val="TablebodyleftTables"/>
              <w:jc w:val="right"/>
            </w:pPr>
            <w:r>
              <w:t>1,198</w:t>
            </w:r>
          </w:p>
        </w:tc>
        <w:tc>
          <w:tcPr>
            <w:tcW w:w="1418" w:type="dxa"/>
          </w:tcPr>
          <w:p w14:paraId="05281087" w14:textId="77777777" w:rsidR="00B02873" w:rsidRDefault="00B02873" w:rsidP="009121E6">
            <w:pPr>
              <w:pStyle w:val="TablebodyleftTables"/>
              <w:jc w:val="right"/>
            </w:pPr>
            <w:r>
              <w:t>343</w:t>
            </w:r>
          </w:p>
        </w:tc>
        <w:tc>
          <w:tcPr>
            <w:tcW w:w="1419" w:type="dxa"/>
          </w:tcPr>
          <w:p w14:paraId="6D0EB84C" w14:textId="77777777" w:rsidR="00B02873" w:rsidRDefault="00B02873" w:rsidP="009121E6">
            <w:pPr>
              <w:pStyle w:val="TablebodyleftTables"/>
              <w:jc w:val="right"/>
            </w:pPr>
            <w:r>
              <w:t>76</w:t>
            </w:r>
          </w:p>
        </w:tc>
      </w:tr>
      <w:tr w:rsidR="00B02873" w:rsidRPr="00B02873" w14:paraId="5AC20BAE" w14:textId="77777777" w:rsidTr="00E223CE">
        <w:tc>
          <w:tcPr>
            <w:tcW w:w="3964" w:type="dxa"/>
          </w:tcPr>
          <w:p w14:paraId="5676FF73" w14:textId="77777777" w:rsidR="00B02873" w:rsidRDefault="00B02873" w:rsidP="00B415A9">
            <w:pPr>
              <w:pStyle w:val="TablebodyleftTables"/>
            </w:pPr>
            <w:r>
              <w:t>Cumulative number of sites with Solar PV systems</w:t>
            </w:r>
          </w:p>
        </w:tc>
        <w:tc>
          <w:tcPr>
            <w:tcW w:w="1418" w:type="dxa"/>
          </w:tcPr>
          <w:p w14:paraId="2E32BB3E" w14:textId="77777777" w:rsidR="00B02873" w:rsidRDefault="00B02873" w:rsidP="009121E6">
            <w:pPr>
              <w:pStyle w:val="TablebodyleftTables"/>
              <w:jc w:val="right"/>
            </w:pPr>
            <w:r>
              <w:t>27</w:t>
            </w:r>
          </w:p>
        </w:tc>
        <w:tc>
          <w:tcPr>
            <w:tcW w:w="1419" w:type="dxa"/>
          </w:tcPr>
          <w:p w14:paraId="6B45F28B" w14:textId="77777777" w:rsidR="00B02873" w:rsidRDefault="00B02873" w:rsidP="009121E6">
            <w:pPr>
              <w:pStyle w:val="TablebodyleftTables"/>
              <w:jc w:val="right"/>
            </w:pPr>
            <w:r>
              <w:t>25</w:t>
            </w:r>
          </w:p>
        </w:tc>
        <w:tc>
          <w:tcPr>
            <w:tcW w:w="1418" w:type="dxa"/>
          </w:tcPr>
          <w:p w14:paraId="7576A119" w14:textId="77777777" w:rsidR="00B02873" w:rsidRDefault="00B02873" w:rsidP="009121E6">
            <w:pPr>
              <w:pStyle w:val="TablebodyleftTables"/>
              <w:jc w:val="right"/>
            </w:pPr>
            <w:r>
              <w:t>16</w:t>
            </w:r>
          </w:p>
        </w:tc>
        <w:tc>
          <w:tcPr>
            <w:tcW w:w="1419" w:type="dxa"/>
          </w:tcPr>
          <w:p w14:paraId="630F3DC8" w14:textId="77777777" w:rsidR="00B02873" w:rsidRDefault="00B02873" w:rsidP="009121E6">
            <w:pPr>
              <w:pStyle w:val="TablebodyleftTables"/>
              <w:jc w:val="right"/>
            </w:pPr>
            <w:r>
              <w:t>7</w:t>
            </w:r>
          </w:p>
        </w:tc>
      </w:tr>
    </w:tbl>
    <w:p w14:paraId="78FA1EF8" w14:textId="77777777" w:rsidR="00B02873" w:rsidRPr="00E223CE" w:rsidRDefault="00B02873" w:rsidP="00E223CE">
      <w:pPr>
        <w:pStyle w:val="SourceNote"/>
        <w:rPr>
          <w:b/>
          <w:bCs/>
        </w:rPr>
      </w:pPr>
      <w:r w:rsidRPr="00E223CE">
        <w:rPr>
          <w:b/>
          <w:bCs/>
        </w:rPr>
        <w:t>Explanatory notes:</w:t>
      </w:r>
    </w:p>
    <w:p w14:paraId="2E8308E1" w14:textId="15B25187" w:rsidR="00B02873" w:rsidRDefault="00B02873" w:rsidP="005E0C95">
      <w:pPr>
        <w:pStyle w:val="SourceNotenumbered"/>
      </w:pPr>
      <w:r>
        <w:t>Energy data is sourced directly from the government energy suppliers.</w:t>
      </w:r>
    </w:p>
    <w:p w14:paraId="73F87215" w14:textId="74EE74EB" w:rsidR="00B02873" w:rsidRDefault="00B02873" w:rsidP="005E0C95">
      <w:pPr>
        <w:pStyle w:val="SourceNotenumbered"/>
      </w:pPr>
      <w:r>
        <w:t>These figures have been updated to include previously unavailable electricity data for 8 Nicholson Street, 2 Lonsdale Street, 1 Spring Street, Geelong and Laverton North.</w:t>
      </w:r>
    </w:p>
    <w:p w14:paraId="1D3D815F" w14:textId="77777777" w:rsidR="00B02873" w:rsidRDefault="00B02873" w:rsidP="005E0C95">
      <w:pPr>
        <w:pStyle w:val="SourceNotenumbered"/>
      </w:pPr>
      <w:r>
        <w:t>These figures have been updated to include previously unavailable electricity data for Geelong.</w:t>
      </w:r>
    </w:p>
    <w:p w14:paraId="5B98E929" w14:textId="77777777" w:rsidR="00B02873" w:rsidRDefault="00B02873" w:rsidP="005E0C95">
      <w:pPr>
        <w:pStyle w:val="SourceNotenumbered"/>
      </w:pPr>
      <w:r>
        <w:t>This figure is based on LPG delivered to site (either as canisters or refilled into site LPG storage tanks). Canisters and tanks can remain unused for long periods of time.</w:t>
      </w:r>
    </w:p>
    <w:p w14:paraId="1435A6F5" w14:textId="77777777" w:rsidR="00B02873" w:rsidRDefault="00B02873" w:rsidP="005E0C95">
      <w:pPr>
        <w:pStyle w:val="SourceNotenumbered"/>
      </w:pPr>
      <w:r>
        <w:t xml:space="preserve">Under FRD24, departments are only required to report energy consumption and emissions for offices. DELWP reports beyond this, by including sites classified as non-offices. </w:t>
      </w:r>
    </w:p>
    <w:p w14:paraId="6952CF68" w14:textId="77777777" w:rsidR="00B02873" w:rsidRDefault="00B02873" w:rsidP="005E0C95">
      <w:pPr>
        <w:pStyle w:val="SourceNotenumbered"/>
      </w:pPr>
      <w:r>
        <w:t>DELWP has committed to net zero reported electricity emissions from 2021-22 onwards. This has been achieved primarily through the purchasing of 100 per cent Green Power across all DELWP sites.</w:t>
      </w:r>
    </w:p>
    <w:p w14:paraId="28EBB0C9" w14:textId="77777777" w:rsidR="00B02873" w:rsidRDefault="00B02873" w:rsidP="005E0C95">
      <w:pPr>
        <w:pStyle w:val="SourceNotenumbered"/>
      </w:pPr>
      <w:r>
        <w:t>ACCUs have been purchased to offset 25 per cent of building gas / LPG emissions.</w:t>
      </w:r>
    </w:p>
    <w:p w14:paraId="74E9C6FD" w14:textId="77777777" w:rsidR="00B02873" w:rsidRDefault="00B02873" w:rsidP="00FA43C4">
      <w:pPr>
        <w:pStyle w:val="Heading2Headings"/>
      </w:pPr>
      <w:r>
        <w:t>Water consumption</w:t>
      </w:r>
    </w:p>
    <w:p w14:paraId="558423B2" w14:textId="5D74B5DE" w:rsidR="00E223CE" w:rsidRDefault="00E223CE" w:rsidP="008316E9">
      <w:pPr>
        <w:pStyle w:val="Number1Lists"/>
        <w:numPr>
          <w:ilvl w:val="0"/>
          <w:numId w:val="14"/>
        </w:numPr>
      </w:pPr>
      <w:r>
        <w:t>Clean water and sanitation</w:t>
      </w:r>
    </w:p>
    <w:p w14:paraId="4783CC0D" w14:textId="6F742389" w:rsidR="00B02873" w:rsidRDefault="00B02873" w:rsidP="00E223CE">
      <w:r>
        <w:t xml:space="preserve">Total water consumption over the 2021-22 reporting period increased by 2 per cent since 2020-21 but decreased by 29 per cent since the 2014-15 baseline. The slight increase in 2021-22 is attributed to some staff transitioning back to the office after an extended period of working remotely. Overall, the 2021-22 and 2020-21 reporting periods show reduced water consumption compared to prior years due to staff working remotely due to COVIDSafe settings. </w:t>
      </w:r>
    </w:p>
    <w:p w14:paraId="2637D72E" w14:textId="77777777" w:rsidR="00B02873" w:rsidRDefault="00B02873" w:rsidP="006F52C9">
      <w:pPr>
        <w:pStyle w:val="Figureheading"/>
      </w:pPr>
      <w:r>
        <w:t>Total building water consumption (kL)</w:t>
      </w:r>
    </w:p>
    <w:p w14:paraId="4746CBFD" w14:textId="7557E4FA" w:rsidR="00B02873" w:rsidRDefault="00E27D61" w:rsidP="00E27D61">
      <w:r>
        <w:rPr>
          <w:noProof/>
        </w:rPr>
        <w:drawing>
          <wp:inline distT="0" distB="0" distL="0" distR="0" wp14:anchorId="47F82EC6" wp14:editId="2B8A5AF4">
            <wp:extent cx="5359400" cy="1924001"/>
            <wp:effectExtent l="0" t="0" r="0" b="635"/>
            <wp:docPr id="7" name="Picture 7" descr="Graph showing total building water consumption in kilolitres for four financial years: 2014-15 (baseline year), 2019-20, 2020-21 and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 showing total building water consumption in kilolitres for four financial years: 2014-15 (baseline year), 2019-20, 2020-21 and 2021-22."/>
                    <pic:cNvPicPr/>
                  </pic:nvPicPr>
                  <pic:blipFill rotWithShape="1">
                    <a:blip r:embed="rId73"/>
                    <a:srcRect t="8335" b="4268"/>
                    <a:stretch/>
                  </pic:blipFill>
                  <pic:spPr bwMode="auto">
                    <a:xfrm>
                      <a:off x="0" y="0"/>
                      <a:ext cx="5398763" cy="1938132"/>
                    </a:xfrm>
                    <a:prstGeom prst="rect">
                      <a:avLst/>
                    </a:prstGeom>
                    <a:ln>
                      <a:noFill/>
                    </a:ln>
                    <a:extLst>
                      <a:ext uri="{53640926-AAD7-44D8-BBD7-CCE9431645EC}">
                        <a14:shadowObscured xmlns:a14="http://schemas.microsoft.com/office/drawing/2010/main"/>
                      </a:ext>
                    </a:extLst>
                  </pic:spPr>
                </pic:pic>
              </a:graphicData>
            </a:graphic>
          </wp:inline>
        </w:drawing>
      </w:r>
    </w:p>
    <w:p w14:paraId="020C7F4E" w14:textId="77777777" w:rsidR="00B02873" w:rsidRDefault="00B02873" w:rsidP="00E27D61">
      <w:pPr>
        <w:pStyle w:val="Heading3"/>
      </w:pPr>
      <w:r>
        <w:lastRenderedPageBreak/>
        <w:t>Actions undertaken:</w:t>
      </w:r>
    </w:p>
    <w:p w14:paraId="347C975F" w14:textId="665D969C" w:rsidR="00B02873" w:rsidRDefault="00B02873" w:rsidP="00B02873">
      <w:pPr>
        <w:pStyle w:val="Bullet1Lists"/>
      </w:pPr>
      <w:r>
        <w:t>DELWP continued to track daily water consumption across 32 sites through the VicFacilities portal. This enabled faults to be identified in advance of billing data.</w:t>
      </w:r>
    </w:p>
    <w:p w14:paraId="2AC7EEA8" w14:textId="77777777" w:rsidR="00B02873" w:rsidRDefault="00B02873" w:rsidP="00B02873">
      <w:pPr>
        <w:pStyle w:val="Bullet1Lists"/>
      </w:pPr>
      <w:r>
        <w:t>All DELWP new builds and significant rebuilds have water efficient fixtures, water efficient appliances and rainwater systems as a standard requirement and are built to both NABERS 6 star and Green Star 6 star principles.</w:t>
      </w:r>
    </w:p>
    <w:p w14:paraId="531B7706" w14:textId="77777777" w:rsidR="00B02873" w:rsidRPr="00DE1FCE" w:rsidRDefault="00B02873" w:rsidP="00E27D61">
      <w:pPr>
        <w:pStyle w:val="Bullet1Listslast"/>
        <w:rPr>
          <w:rFonts w:cs="VIC"/>
          <w:b/>
          <w:bCs/>
          <w:color w:val="100149"/>
          <w:sz w:val="20"/>
          <w:szCs w:val="20"/>
        </w:rPr>
      </w:pPr>
      <w:r>
        <w:t>Water storage tanks continued to be installed at sites to both support firefighting operations and reduce the demand for mains water.</w:t>
      </w:r>
    </w:p>
    <w:p w14:paraId="5FB212C5" w14:textId="77777777" w:rsidR="00B02873" w:rsidRDefault="00B02873" w:rsidP="00E27D61">
      <w:pPr>
        <w:pStyle w:val="Heading3"/>
      </w:pPr>
      <w:r>
        <w:t>Future objectives:</w:t>
      </w:r>
    </w:p>
    <w:p w14:paraId="4D86F77E" w14:textId="77777777" w:rsidR="00B02873" w:rsidRDefault="00B02873" w:rsidP="00E27D61">
      <w:pPr>
        <w:pStyle w:val="Bullet1Listslast"/>
      </w:pPr>
      <w:r>
        <w:t>DELWP will continue to actively evaluate water use across the regions and remains committed to reducing overall water consumption.</w:t>
      </w:r>
    </w:p>
    <w:p w14:paraId="4DD17424" w14:textId="77777777" w:rsidR="00B02873" w:rsidRDefault="00B02873" w:rsidP="00E27D61">
      <w:pPr>
        <w:pStyle w:val="Heading3"/>
      </w:pPr>
      <w:r>
        <w:t xml:space="preserve">Performance: </w:t>
      </w:r>
    </w:p>
    <w:tbl>
      <w:tblPr>
        <w:tblStyle w:val="TableGrid"/>
        <w:tblW w:w="9638" w:type="dxa"/>
        <w:tblLayout w:type="fixed"/>
        <w:tblLook w:val="0020" w:firstRow="1" w:lastRow="0" w:firstColumn="0" w:lastColumn="0" w:noHBand="0" w:noVBand="0"/>
      </w:tblPr>
      <w:tblGrid>
        <w:gridCol w:w="4106"/>
        <w:gridCol w:w="1383"/>
        <w:gridCol w:w="1383"/>
        <w:gridCol w:w="1383"/>
        <w:gridCol w:w="1383"/>
      </w:tblGrid>
      <w:tr w:rsidR="00B02873" w:rsidRPr="00E27D61" w14:paraId="41D1D285" w14:textId="77777777" w:rsidTr="00E27D61">
        <w:trPr>
          <w:cnfStyle w:val="100000000000" w:firstRow="1" w:lastRow="0" w:firstColumn="0" w:lastColumn="0" w:oddVBand="0" w:evenVBand="0" w:oddHBand="0" w:evenHBand="0" w:firstRowFirstColumn="0" w:firstRowLastColumn="0" w:lastRowFirstColumn="0" w:lastRowLastColumn="0"/>
          <w:tblHeader/>
        </w:trPr>
        <w:tc>
          <w:tcPr>
            <w:tcW w:w="4106" w:type="dxa"/>
          </w:tcPr>
          <w:p w14:paraId="77615AF9" w14:textId="77777777" w:rsidR="00B02873" w:rsidRPr="00E27D61" w:rsidRDefault="00B02873" w:rsidP="00E27D61">
            <w:pPr>
              <w:pStyle w:val="TableheadingleftTables"/>
            </w:pPr>
          </w:p>
        </w:tc>
        <w:tc>
          <w:tcPr>
            <w:tcW w:w="1383" w:type="dxa"/>
          </w:tcPr>
          <w:p w14:paraId="6CEBF0C0" w14:textId="77777777" w:rsidR="00B02873" w:rsidRPr="00E27D61" w:rsidRDefault="00B02873" w:rsidP="009121E6">
            <w:pPr>
              <w:pStyle w:val="TableheadingleftTables"/>
              <w:jc w:val="right"/>
            </w:pPr>
            <w:r w:rsidRPr="00E27D61">
              <w:t>2021-22</w:t>
            </w:r>
          </w:p>
        </w:tc>
        <w:tc>
          <w:tcPr>
            <w:tcW w:w="1383" w:type="dxa"/>
          </w:tcPr>
          <w:p w14:paraId="327FDDFA" w14:textId="77777777" w:rsidR="00B02873" w:rsidRPr="00E27D61" w:rsidRDefault="00B02873" w:rsidP="009121E6">
            <w:pPr>
              <w:pStyle w:val="TableheadingleftTables"/>
              <w:jc w:val="right"/>
            </w:pPr>
            <w:r w:rsidRPr="00E27D61">
              <w:t>2020-21</w:t>
            </w:r>
          </w:p>
        </w:tc>
        <w:tc>
          <w:tcPr>
            <w:tcW w:w="1383" w:type="dxa"/>
          </w:tcPr>
          <w:p w14:paraId="6E738CC5" w14:textId="77777777" w:rsidR="00B02873" w:rsidRPr="00E27D61" w:rsidRDefault="00B02873" w:rsidP="009121E6">
            <w:pPr>
              <w:pStyle w:val="TableheadingleftTables"/>
              <w:jc w:val="right"/>
            </w:pPr>
            <w:r w:rsidRPr="00E27D61">
              <w:t>2019-20</w:t>
            </w:r>
          </w:p>
        </w:tc>
        <w:tc>
          <w:tcPr>
            <w:tcW w:w="1383" w:type="dxa"/>
          </w:tcPr>
          <w:p w14:paraId="61EC504F" w14:textId="77777777" w:rsidR="00B02873" w:rsidRPr="00E27D61" w:rsidRDefault="00B02873" w:rsidP="009121E6">
            <w:pPr>
              <w:pStyle w:val="TableheadingleftTables"/>
              <w:jc w:val="right"/>
            </w:pPr>
            <w:r w:rsidRPr="00E27D61">
              <w:t>2014-15 (baseline)</w:t>
            </w:r>
          </w:p>
        </w:tc>
      </w:tr>
      <w:tr w:rsidR="00B02873" w:rsidRPr="00B02873" w14:paraId="68E51ACA" w14:textId="77777777" w:rsidTr="00E27D61">
        <w:tc>
          <w:tcPr>
            <w:tcW w:w="4106" w:type="dxa"/>
          </w:tcPr>
          <w:p w14:paraId="298620C5" w14:textId="77777777" w:rsidR="00B02873" w:rsidRDefault="00B02873" w:rsidP="00B415A9">
            <w:pPr>
              <w:pStyle w:val="TablebodyleftTables"/>
            </w:pPr>
            <w:r>
              <w:t>W1. Total water consumption (kilolitres)</w:t>
            </w:r>
            <w:r>
              <w:rPr>
                <w:vertAlign w:val="superscript"/>
              </w:rPr>
              <w:t>(i)</w:t>
            </w:r>
          </w:p>
        </w:tc>
        <w:tc>
          <w:tcPr>
            <w:tcW w:w="1383" w:type="dxa"/>
          </w:tcPr>
          <w:p w14:paraId="19A3E0FD" w14:textId="77777777" w:rsidR="00B02873" w:rsidRDefault="00B02873" w:rsidP="009121E6">
            <w:pPr>
              <w:pStyle w:val="TablebodyleftTables"/>
              <w:jc w:val="right"/>
            </w:pPr>
            <w:r>
              <w:t>36,043</w:t>
            </w:r>
          </w:p>
        </w:tc>
        <w:tc>
          <w:tcPr>
            <w:tcW w:w="1383" w:type="dxa"/>
          </w:tcPr>
          <w:p w14:paraId="3EFAFEF6" w14:textId="77777777" w:rsidR="00B02873" w:rsidRDefault="00B02873" w:rsidP="009121E6">
            <w:pPr>
              <w:pStyle w:val="TablebodyleftTables"/>
              <w:jc w:val="right"/>
            </w:pPr>
            <w:r>
              <w:rPr>
                <w:spacing w:val="-5"/>
              </w:rPr>
              <w:t>35,437</w:t>
            </w:r>
            <w:r>
              <w:rPr>
                <w:spacing w:val="-5"/>
                <w:vertAlign w:val="superscript"/>
              </w:rPr>
              <w:t>(ii)</w:t>
            </w:r>
          </w:p>
        </w:tc>
        <w:tc>
          <w:tcPr>
            <w:tcW w:w="1383" w:type="dxa"/>
          </w:tcPr>
          <w:p w14:paraId="3E13EDEC" w14:textId="77777777" w:rsidR="00B02873" w:rsidRDefault="00B02873" w:rsidP="009121E6">
            <w:pPr>
              <w:pStyle w:val="TablebodyleftTables"/>
              <w:jc w:val="right"/>
            </w:pPr>
            <w:r>
              <w:rPr>
                <w:spacing w:val="-5"/>
              </w:rPr>
              <w:t>46,128</w:t>
            </w:r>
            <w:r>
              <w:rPr>
                <w:spacing w:val="-5"/>
                <w:vertAlign w:val="superscript"/>
              </w:rPr>
              <w:t>(ii)</w:t>
            </w:r>
          </w:p>
        </w:tc>
        <w:tc>
          <w:tcPr>
            <w:tcW w:w="1383" w:type="dxa"/>
          </w:tcPr>
          <w:p w14:paraId="1D9B4650" w14:textId="77777777" w:rsidR="00B02873" w:rsidRDefault="00B02873" w:rsidP="009121E6">
            <w:pPr>
              <w:pStyle w:val="TablebodyleftTables"/>
              <w:jc w:val="right"/>
            </w:pPr>
            <w:r>
              <w:t xml:space="preserve">50,707 </w:t>
            </w:r>
          </w:p>
        </w:tc>
      </w:tr>
      <w:tr w:rsidR="00B02873" w:rsidRPr="00B02873" w14:paraId="5EA79BFF" w14:textId="77777777" w:rsidTr="00E27D61">
        <w:tc>
          <w:tcPr>
            <w:tcW w:w="4106" w:type="dxa"/>
          </w:tcPr>
          <w:p w14:paraId="3841AC46" w14:textId="4110F9B0" w:rsidR="00B02873" w:rsidRDefault="00012C04" w:rsidP="00B415A9">
            <w:pPr>
              <w:pStyle w:val="TablebodyleftTables"/>
            </w:pPr>
            <w:r>
              <w:t xml:space="preserve"> </w:t>
            </w:r>
            <w:r w:rsidR="00B02873">
              <w:t xml:space="preserve"> Office water consumption </w:t>
            </w:r>
          </w:p>
        </w:tc>
        <w:tc>
          <w:tcPr>
            <w:tcW w:w="1383" w:type="dxa"/>
          </w:tcPr>
          <w:p w14:paraId="4A7ABAB1" w14:textId="77777777" w:rsidR="00B02873" w:rsidRDefault="00B02873" w:rsidP="009121E6">
            <w:pPr>
              <w:pStyle w:val="TablebodyleftTables"/>
              <w:jc w:val="right"/>
            </w:pPr>
            <w:r>
              <w:t>23,261</w:t>
            </w:r>
          </w:p>
        </w:tc>
        <w:tc>
          <w:tcPr>
            <w:tcW w:w="1383" w:type="dxa"/>
          </w:tcPr>
          <w:p w14:paraId="6158FA28" w14:textId="77777777" w:rsidR="00B02873" w:rsidRDefault="00B02873" w:rsidP="009121E6">
            <w:pPr>
              <w:pStyle w:val="TablebodyleftTables"/>
              <w:jc w:val="right"/>
            </w:pPr>
            <w:r>
              <w:t>20,944</w:t>
            </w:r>
          </w:p>
        </w:tc>
        <w:tc>
          <w:tcPr>
            <w:tcW w:w="1383" w:type="dxa"/>
          </w:tcPr>
          <w:p w14:paraId="2D81B2EA" w14:textId="77777777" w:rsidR="00B02873" w:rsidRDefault="00B02873" w:rsidP="009121E6">
            <w:pPr>
              <w:pStyle w:val="TablebodyleftTables"/>
              <w:jc w:val="right"/>
            </w:pPr>
            <w:r>
              <w:t>28,612</w:t>
            </w:r>
          </w:p>
        </w:tc>
        <w:tc>
          <w:tcPr>
            <w:tcW w:w="1383" w:type="dxa"/>
          </w:tcPr>
          <w:p w14:paraId="63B98170" w14:textId="77777777" w:rsidR="00B02873" w:rsidRDefault="00B02873" w:rsidP="009121E6">
            <w:pPr>
              <w:pStyle w:val="TablebodyleftTables"/>
              <w:jc w:val="right"/>
            </w:pPr>
            <w:r>
              <w:t>18,952</w:t>
            </w:r>
          </w:p>
        </w:tc>
      </w:tr>
      <w:tr w:rsidR="00B02873" w:rsidRPr="00B02873" w14:paraId="09BC6747" w14:textId="77777777" w:rsidTr="00E27D61">
        <w:tc>
          <w:tcPr>
            <w:tcW w:w="4106" w:type="dxa"/>
          </w:tcPr>
          <w:p w14:paraId="5F187E92" w14:textId="317E8927" w:rsidR="00B02873" w:rsidRDefault="00012C04" w:rsidP="00B415A9">
            <w:pPr>
              <w:pStyle w:val="TablebodyleftTables"/>
            </w:pPr>
            <w:r>
              <w:t xml:space="preserve"> </w:t>
            </w:r>
            <w:r w:rsidR="00B02873">
              <w:t xml:space="preserve"> Non-office water consumption</w:t>
            </w:r>
            <w:r w:rsidR="00B02873">
              <w:rPr>
                <w:vertAlign w:val="superscript"/>
              </w:rPr>
              <w:t>(iii)</w:t>
            </w:r>
          </w:p>
        </w:tc>
        <w:tc>
          <w:tcPr>
            <w:tcW w:w="1383" w:type="dxa"/>
          </w:tcPr>
          <w:p w14:paraId="49BC8752" w14:textId="77777777" w:rsidR="00B02873" w:rsidRDefault="00B02873" w:rsidP="009121E6">
            <w:pPr>
              <w:pStyle w:val="TablebodyleftTables"/>
              <w:jc w:val="right"/>
            </w:pPr>
            <w:r>
              <w:t>12,782</w:t>
            </w:r>
          </w:p>
        </w:tc>
        <w:tc>
          <w:tcPr>
            <w:tcW w:w="1383" w:type="dxa"/>
          </w:tcPr>
          <w:p w14:paraId="60A03E49" w14:textId="77777777" w:rsidR="00B02873" w:rsidRDefault="00B02873" w:rsidP="009121E6">
            <w:pPr>
              <w:pStyle w:val="TablebodyleftTables"/>
              <w:jc w:val="right"/>
            </w:pPr>
            <w:r>
              <w:t>14,494</w:t>
            </w:r>
            <w:r>
              <w:rPr>
                <w:vertAlign w:val="superscript"/>
              </w:rPr>
              <w:t>(ii)</w:t>
            </w:r>
          </w:p>
        </w:tc>
        <w:tc>
          <w:tcPr>
            <w:tcW w:w="1383" w:type="dxa"/>
          </w:tcPr>
          <w:p w14:paraId="7E826D21" w14:textId="77777777" w:rsidR="00B02873" w:rsidRDefault="00B02873" w:rsidP="009121E6">
            <w:pPr>
              <w:pStyle w:val="TablebodyleftTables"/>
              <w:jc w:val="right"/>
            </w:pPr>
            <w:r>
              <w:t>17,516</w:t>
            </w:r>
            <w:r>
              <w:rPr>
                <w:vertAlign w:val="superscript"/>
              </w:rPr>
              <w:t>(ii)</w:t>
            </w:r>
          </w:p>
        </w:tc>
        <w:tc>
          <w:tcPr>
            <w:tcW w:w="1383" w:type="dxa"/>
          </w:tcPr>
          <w:p w14:paraId="6CA1796E" w14:textId="77777777" w:rsidR="00B02873" w:rsidRDefault="00B02873" w:rsidP="009121E6">
            <w:pPr>
              <w:pStyle w:val="TablebodyleftTables"/>
              <w:jc w:val="right"/>
            </w:pPr>
            <w:r>
              <w:t>31,755</w:t>
            </w:r>
          </w:p>
        </w:tc>
      </w:tr>
      <w:tr w:rsidR="00B02873" w:rsidRPr="00B02873" w14:paraId="54781DAA" w14:textId="77777777" w:rsidTr="00E27D61">
        <w:tc>
          <w:tcPr>
            <w:tcW w:w="4106" w:type="dxa"/>
          </w:tcPr>
          <w:p w14:paraId="669D525B" w14:textId="77777777" w:rsidR="00B02873" w:rsidRDefault="00B02873" w:rsidP="00B415A9">
            <w:pPr>
              <w:pStyle w:val="TablebodyleftTables"/>
            </w:pPr>
            <w:r>
              <w:t>W2. Units of office water used per FTE (kilolitres/FTE)</w:t>
            </w:r>
          </w:p>
        </w:tc>
        <w:tc>
          <w:tcPr>
            <w:tcW w:w="1383" w:type="dxa"/>
          </w:tcPr>
          <w:p w14:paraId="3C6D66D1" w14:textId="77777777" w:rsidR="00B02873" w:rsidRDefault="00B02873" w:rsidP="009121E6">
            <w:pPr>
              <w:pStyle w:val="TablebodyleftTables"/>
              <w:jc w:val="right"/>
            </w:pPr>
            <w:r>
              <w:t>6.4</w:t>
            </w:r>
          </w:p>
        </w:tc>
        <w:tc>
          <w:tcPr>
            <w:tcW w:w="1383" w:type="dxa"/>
          </w:tcPr>
          <w:p w14:paraId="4C0E4022" w14:textId="77777777" w:rsidR="00B02873" w:rsidRDefault="00B02873" w:rsidP="009121E6">
            <w:pPr>
              <w:pStyle w:val="TablebodyleftTables"/>
              <w:jc w:val="right"/>
            </w:pPr>
            <w:r>
              <w:t>6.2</w:t>
            </w:r>
          </w:p>
        </w:tc>
        <w:tc>
          <w:tcPr>
            <w:tcW w:w="1383" w:type="dxa"/>
          </w:tcPr>
          <w:p w14:paraId="59BF3AE2" w14:textId="77777777" w:rsidR="00B02873" w:rsidRDefault="00B02873" w:rsidP="009121E6">
            <w:pPr>
              <w:pStyle w:val="TablebodyleftTables"/>
              <w:jc w:val="right"/>
            </w:pPr>
            <w:r>
              <w:t>9.4</w:t>
            </w:r>
          </w:p>
        </w:tc>
        <w:tc>
          <w:tcPr>
            <w:tcW w:w="1383" w:type="dxa"/>
          </w:tcPr>
          <w:p w14:paraId="1842C479" w14:textId="77777777" w:rsidR="00B02873" w:rsidRDefault="00B02873" w:rsidP="009121E6">
            <w:pPr>
              <w:pStyle w:val="TablebodyleftTables"/>
              <w:jc w:val="right"/>
            </w:pPr>
            <w:r>
              <w:t>9.6</w:t>
            </w:r>
          </w:p>
        </w:tc>
      </w:tr>
      <w:tr w:rsidR="00B02873" w:rsidRPr="00B02873" w14:paraId="1DC3CDCB" w14:textId="77777777" w:rsidTr="00E27D61">
        <w:tc>
          <w:tcPr>
            <w:tcW w:w="4106" w:type="dxa"/>
          </w:tcPr>
          <w:p w14:paraId="1F16D615" w14:textId="77777777" w:rsidR="00B02873" w:rsidRDefault="00B02873" w:rsidP="00B415A9">
            <w:pPr>
              <w:pStyle w:val="TablebodyleftTables"/>
            </w:pPr>
            <w:r>
              <w:t>W3. Units of office water used per office area (kilolitres/m2)</w:t>
            </w:r>
          </w:p>
        </w:tc>
        <w:tc>
          <w:tcPr>
            <w:tcW w:w="1383" w:type="dxa"/>
          </w:tcPr>
          <w:p w14:paraId="4A1F9681" w14:textId="77777777" w:rsidR="00B02873" w:rsidRDefault="00B02873" w:rsidP="009121E6">
            <w:pPr>
              <w:pStyle w:val="TablebodyleftTables"/>
              <w:jc w:val="right"/>
            </w:pPr>
            <w:r>
              <w:t>0.4</w:t>
            </w:r>
          </w:p>
        </w:tc>
        <w:tc>
          <w:tcPr>
            <w:tcW w:w="1383" w:type="dxa"/>
          </w:tcPr>
          <w:p w14:paraId="38DDB984" w14:textId="77777777" w:rsidR="00B02873" w:rsidRDefault="00B02873" w:rsidP="009121E6">
            <w:pPr>
              <w:pStyle w:val="TablebodyleftTables"/>
              <w:jc w:val="right"/>
            </w:pPr>
            <w:r>
              <w:t>0.4</w:t>
            </w:r>
          </w:p>
        </w:tc>
        <w:tc>
          <w:tcPr>
            <w:tcW w:w="1383" w:type="dxa"/>
          </w:tcPr>
          <w:p w14:paraId="2D22D0F3" w14:textId="77777777" w:rsidR="00B02873" w:rsidRDefault="00B02873" w:rsidP="009121E6">
            <w:pPr>
              <w:pStyle w:val="TablebodyleftTables"/>
              <w:jc w:val="right"/>
            </w:pPr>
            <w:r>
              <w:t>0.6</w:t>
            </w:r>
          </w:p>
        </w:tc>
        <w:tc>
          <w:tcPr>
            <w:tcW w:w="1383" w:type="dxa"/>
          </w:tcPr>
          <w:p w14:paraId="2BB6C582" w14:textId="77777777" w:rsidR="00B02873" w:rsidRDefault="00B02873" w:rsidP="009121E6">
            <w:pPr>
              <w:pStyle w:val="TablebodyleftTables"/>
              <w:jc w:val="right"/>
            </w:pPr>
            <w:r>
              <w:t>0.4</w:t>
            </w:r>
          </w:p>
        </w:tc>
      </w:tr>
    </w:tbl>
    <w:p w14:paraId="400FB8A6" w14:textId="77777777" w:rsidR="00B02873" w:rsidRPr="00E27D61" w:rsidRDefault="00B02873" w:rsidP="00E27D61">
      <w:pPr>
        <w:pStyle w:val="SourceNote"/>
        <w:rPr>
          <w:b/>
          <w:bCs/>
        </w:rPr>
      </w:pPr>
      <w:r w:rsidRPr="00E27D61">
        <w:rPr>
          <w:b/>
          <w:bCs/>
        </w:rPr>
        <w:t>Explanatory notes:</w:t>
      </w:r>
    </w:p>
    <w:p w14:paraId="362B8050" w14:textId="77777777" w:rsidR="00B02873" w:rsidRPr="005E0C95" w:rsidRDefault="00B02873" w:rsidP="001128B1">
      <w:pPr>
        <w:pStyle w:val="SourceNotenumbered"/>
        <w:numPr>
          <w:ilvl w:val="0"/>
          <w:numId w:val="65"/>
        </w:numPr>
      </w:pPr>
      <w:r w:rsidRPr="005E0C95">
        <w:t xml:space="preserve">Water data is sourced directly from water corporations, building managers, or estimated where data is unavailable. Water </w:t>
      </w:r>
      <w:r w:rsidRPr="009121E6">
        <w:t>consumption</w:t>
      </w:r>
      <w:r w:rsidRPr="005E0C95">
        <w:t xml:space="preserve"> for multi tenanted CBD sites (and some regional offices) is taken as a proportion of the total building water consumption. When a single water meter covers the whole building, data fluctuations are out of the control of DELWP. </w:t>
      </w:r>
    </w:p>
    <w:p w14:paraId="3DE645E5" w14:textId="77777777" w:rsidR="00B02873" w:rsidRPr="009121E6" w:rsidRDefault="00B02873" w:rsidP="009121E6">
      <w:pPr>
        <w:pStyle w:val="SourceNotenumbered"/>
      </w:pPr>
      <w:r>
        <w:t xml:space="preserve">These figures have </w:t>
      </w:r>
      <w:r w:rsidRPr="009121E6">
        <w:t>been updated to include revised data at the Laverton North site.</w:t>
      </w:r>
    </w:p>
    <w:p w14:paraId="46142AF2" w14:textId="77777777" w:rsidR="00B02873" w:rsidRDefault="00B02873" w:rsidP="009121E6">
      <w:pPr>
        <w:pStyle w:val="SourceNotenumbered"/>
        <w:spacing w:after="200"/>
        <w:ind w:left="357" w:hanging="357"/>
      </w:pPr>
      <w:r w:rsidRPr="009121E6">
        <w:t>Under FRD24, depart</w:t>
      </w:r>
      <w:r>
        <w:t>ments are only required to report water consumption for offices. DELWP reports beyond this, by including sites classified as non-offices.</w:t>
      </w:r>
    </w:p>
    <w:p w14:paraId="0EC06E11" w14:textId="77777777" w:rsidR="00B02873" w:rsidRDefault="00B02873" w:rsidP="00FA43C4">
      <w:pPr>
        <w:pStyle w:val="Heading2Headings"/>
      </w:pPr>
      <w:r>
        <w:t>Travel and transport</w:t>
      </w:r>
    </w:p>
    <w:p w14:paraId="074B4816" w14:textId="2C120B6B" w:rsidR="00B02873" w:rsidRDefault="00B02873" w:rsidP="00FE198A">
      <w:r>
        <w:t xml:space="preserve">Total vehicle energy use over the 2021-22 reporting period has increased by 20 per cent since 2020-21 and increased by 6 per cent since the 2014-15 baseline. There was greater use of the operational vehicle fleet in 2021-22 than the previous year due to extended tenures of seasonal staff for increased patrols and preparedness works significantly ahead of and into the bushfire season. As at the end of the 2021-22 reporting period, 96 per cent of vehicle energy use is from the operational vehicle fleet, which includes the ultra-light tankers and the heavy fleet. </w:t>
      </w:r>
    </w:p>
    <w:p w14:paraId="6E193986" w14:textId="77777777" w:rsidR="00B02873" w:rsidRDefault="00B02873" w:rsidP="005E0C95">
      <w:pPr>
        <w:pStyle w:val="Heading3"/>
      </w:pPr>
      <w:r>
        <w:t>Actions undertaken:</w:t>
      </w:r>
    </w:p>
    <w:p w14:paraId="58C0B919" w14:textId="4B4CDF50" w:rsidR="00B02873" w:rsidRDefault="00B02873" w:rsidP="00B02873">
      <w:pPr>
        <w:pStyle w:val="Bullet1Lists"/>
      </w:pPr>
      <w:r>
        <w:t>The Digital First program enabled greater collaboration and efficiency in the way staff work through technological innovations such as virtual meetings. DELWP aims to minimise travel whenever possible, and staff are also encouraged to utilise public transport options.</w:t>
      </w:r>
    </w:p>
    <w:p w14:paraId="7489D1D0" w14:textId="63D1E645" w:rsidR="00B02873" w:rsidRDefault="00B02873" w:rsidP="00B02873">
      <w:pPr>
        <w:pStyle w:val="Bullet1Lists"/>
      </w:pPr>
      <w:r>
        <w:lastRenderedPageBreak/>
        <w:t>DELWP has mandated a policy of ‘ZEV first’ for the shared passenger vehicle fleet. This vehicle fleet will transition to ZEVs by 2025 as current leases expire with supporting charging infrastructure also installed to assist this transition. The ZEV transition does not cover the executive vehicle fleet or the DELWP use of the Victorian Government carpool.</w:t>
      </w:r>
    </w:p>
    <w:p w14:paraId="664321AE" w14:textId="568DE27A" w:rsidR="00B02873" w:rsidRDefault="00B02873" w:rsidP="00B02873">
      <w:pPr>
        <w:pStyle w:val="Bullet1Lists"/>
      </w:pPr>
      <w:r>
        <w:t>A Forest and Fire Mixed Fleet strategy has been developed to consider the operational fleet capability and capacity required to meet DELWP’s land management and emergency response obligations. It will also investigate lower emissions vehicle options for future consideration.</w:t>
      </w:r>
    </w:p>
    <w:p w14:paraId="386FF9A3" w14:textId="77777777" w:rsidR="00B02873" w:rsidRDefault="00B02873" w:rsidP="00B02873">
      <w:pPr>
        <w:pStyle w:val="Bullet1Lists"/>
      </w:pPr>
      <w:r>
        <w:t>DELWP purchased ACCUs to offset 25 per cent of operational vehicle emissions.</w:t>
      </w:r>
    </w:p>
    <w:p w14:paraId="3AC8AB7F" w14:textId="77777777" w:rsidR="00B02873" w:rsidRDefault="00B02873" w:rsidP="00B02873">
      <w:pPr>
        <w:pStyle w:val="Bullet1Lists"/>
      </w:pPr>
      <w:r>
        <w:t>DELWP offsets all staff air travel through the state purchasing contract.</w:t>
      </w:r>
    </w:p>
    <w:p w14:paraId="3F67F357" w14:textId="1C36357E" w:rsidR="00B02873" w:rsidRDefault="00B02873" w:rsidP="005E0C95">
      <w:pPr>
        <w:pStyle w:val="Bullet1Listslast"/>
      </w:pPr>
      <w:r>
        <w:t>The Bicycle User Group continued to be widely promoted to help increase the profile of cycling across the department.</w:t>
      </w:r>
    </w:p>
    <w:p w14:paraId="11EF2008" w14:textId="77777777" w:rsidR="00B02873" w:rsidRDefault="00B02873" w:rsidP="005E0C95">
      <w:pPr>
        <w:pStyle w:val="Heading3"/>
      </w:pPr>
      <w:r>
        <w:t>Future objectives:</w:t>
      </w:r>
    </w:p>
    <w:p w14:paraId="1DAC9B11" w14:textId="77777777" w:rsidR="00B02873" w:rsidRDefault="00B02873" w:rsidP="00B02873">
      <w:pPr>
        <w:pStyle w:val="Bullet1Lists"/>
      </w:pPr>
      <w:r>
        <w:t>The remaining shared passenger vehicle fleet will transition to ZEVs by 2025 as part of the 2025 net zero commitment.</w:t>
      </w:r>
    </w:p>
    <w:p w14:paraId="01C58B95" w14:textId="66AEEE13" w:rsidR="00B02873" w:rsidRDefault="00B02873" w:rsidP="00B02873">
      <w:pPr>
        <w:pStyle w:val="Bullet1Lists"/>
      </w:pPr>
      <w:r>
        <w:t>DELWP will continue to purchase ACCUs towards offsetting emissions for the operational vehicle fleet to meet the 2025 net zero commitment.</w:t>
      </w:r>
    </w:p>
    <w:p w14:paraId="128893A5" w14:textId="77777777" w:rsidR="00B02873" w:rsidRDefault="00B02873" w:rsidP="005E0C95">
      <w:pPr>
        <w:pStyle w:val="Bullet1Listslast"/>
      </w:pPr>
      <w:r>
        <w:t>DELWP will continue to offset air travel emissions through the state purchasing contract.</w:t>
      </w:r>
    </w:p>
    <w:p w14:paraId="1C94E37C" w14:textId="77777777" w:rsidR="00B02873" w:rsidRDefault="00B02873" w:rsidP="005E0C95">
      <w:pPr>
        <w:pStyle w:val="Figureheading"/>
      </w:pPr>
      <w:r>
        <w:t>Total vehicle energy use (MJ)</w:t>
      </w:r>
    </w:p>
    <w:p w14:paraId="16E7BB8E" w14:textId="1E7F8E5B" w:rsidR="00B02873" w:rsidRDefault="005E0C95" w:rsidP="005E0C95">
      <w:r>
        <w:rPr>
          <w:noProof/>
        </w:rPr>
        <w:drawing>
          <wp:inline distT="0" distB="0" distL="0" distR="0" wp14:anchorId="1E850B55" wp14:editId="49E1C360">
            <wp:extent cx="5054600" cy="2161098"/>
            <wp:effectExtent l="0" t="0" r="0" b="0"/>
            <wp:docPr id="8" name="Picture 8" descr="Graph showing total vehicle energy use in megajoules, broken down by vehicle type, for four financial years: 2014-15 (baseline year), 2019-20, 2020-21 and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 showing total vehicle energy use in megajoules, broken down by vehicle type, for four financial years: 2014-15 (baseline year), 2019-20, 2020-21 and 2021-22."/>
                    <pic:cNvPicPr/>
                  </pic:nvPicPr>
                  <pic:blipFill rotWithShape="1">
                    <a:blip r:embed="rId74"/>
                    <a:srcRect t="2578" b="8915"/>
                    <a:stretch/>
                  </pic:blipFill>
                  <pic:spPr bwMode="auto">
                    <a:xfrm>
                      <a:off x="0" y="0"/>
                      <a:ext cx="5073500" cy="2169179"/>
                    </a:xfrm>
                    <a:prstGeom prst="rect">
                      <a:avLst/>
                    </a:prstGeom>
                    <a:ln>
                      <a:noFill/>
                    </a:ln>
                    <a:extLst>
                      <a:ext uri="{53640926-AAD7-44D8-BBD7-CCE9431645EC}">
                        <a14:shadowObscured xmlns:a14="http://schemas.microsoft.com/office/drawing/2010/main"/>
                      </a:ext>
                    </a:extLst>
                  </pic:spPr>
                </pic:pic>
              </a:graphicData>
            </a:graphic>
          </wp:inline>
        </w:drawing>
      </w:r>
    </w:p>
    <w:p w14:paraId="4AFA0E78" w14:textId="77777777" w:rsidR="00B02873" w:rsidRDefault="00B02873" w:rsidP="005E0C95">
      <w:pPr>
        <w:pStyle w:val="Figureheading"/>
        <w:rPr>
          <w:lang w:val="en-US"/>
        </w:rPr>
      </w:pPr>
      <w:r>
        <w:t>Number of fleet vehicles</w:t>
      </w:r>
    </w:p>
    <w:p w14:paraId="7609FE89" w14:textId="5108C371" w:rsidR="00B02873" w:rsidRDefault="005E0C95" w:rsidP="005E0C95">
      <w:r>
        <w:rPr>
          <w:noProof/>
        </w:rPr>
        <w:drawing>
          <wp:inline distT="0" distB="0" distL="0" distR="0" wp14:anchorId="583EB731" wp14:editId="2BCF1DE9">
            <wp:extent cx="5022850" cy="1756292"/>
            <wp:effectExtent l="0" t="0" r="0" b="0"/>
            <wp:docPr id="9" name="Picture 9" descr="Graph showing the total number of fleet vehicles broken down by vehicle type for three financial years: 2019-20, 2020-21 and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 showing the total number of fleet vehicles broken down by vehicle type for three financial years: 2019-20, 2020-21 and 2021-22."/>
                    <pic:cNvPicPr/>
                  </pic:nvPicPr>
                  <pic:blipFill rotWithShape="1">
                    <a:blip r:embed="rId75"/>
                    <a:srcRect b="16811"/>
                    <a:stretch/>
                  </pic:blipFill>
                  <pic:spPr bwMode="auto">
                    <a:xfrm>
                      <a:off x="0" y="0"/>
                      <a:ext cx="5037560" cy="1761436"/>
                    </a:xfrm>
                    <a:prstGeom prst="rect">
                      <a:avLst/>
                    </a:prstGeom>
                    <a:ln>
                      <a:noFill/>
                    </a:ln>
                    <a:extLst>
                      <a:ext uri="{53640926-AAD7-44D8-BBD7-CCE9431645EC}">
                        <a14:shadowObscured xmlns:a14="http://schemas.microsoft.com/office/drawing/2010/main"/>
                      </a:ext>
                    </a:extLst>
                  </pic:spPr>
                </pic:pic>
              </a:graphicData>
            </a:graphic>
          </wp:inline>
        </w:drawing>
      </w:r>
    </w:p>
    <w:p w14:paraId="6DD1506B" w14:textId="77777777" w:rsidR="00B02873" w:rsidRDefault="00B02873" w:rsidP="005E0C95">
      <w:pPr>
        <w:pStyle w:val="Heading3"/>
      </w:pPr>
      <w:r>
        <w:lastRenderedPageBreak/>
        <w:t xml:space="preserve">Performance: </w:t>
      </w:r>
    </w:p>
    <w:tbl>
      <w:tblPr>
        <w:tblStyle w:val="TableGrid"/>
        <w:tblW w:w="0" w:type="auto"/>
        <w:tblLayout w:type="fixed"/>
        <w:tblLook w:val="0020" w:firstRow="1" w:lastRow="0" w:firstColumn="0" w:lastColumn="0" w:noHBand="0" w:noVBand="0"/>
      </w:tblPr>
      <w:tblGrid>
        <w:gridCol w:w="3823"/>
        <w:gridCol w:w="1451"/>
        <w:gridCol w:w="1451"/>
        <w:gridCol w:w="1451"/>
        <w:gridCol w:w="1452"/>
      </w:tblGrid>
      <w:tr w:rsidR="00B02873" w:rsidRPr="00604205" w14:paraId="179BDB03" w14:textId="77777777" w:rsidTr="00604205">
        <w:trPr>
          <w:cnfStyle w:val="100000000000" w:firstRow="1" w:lastRow="0" w:firstColumn="0" w:lastColumn="0" w:oddVBand="0" w:evenVBand="0" w:oddHBand="0" w:evenHBand="0" w:firstRowFirstColumn="0" w:firstRowLastColumn="0" w:lastRowFirstColumn="0" w:lastRowLastColumn="0"/>
          <w:tblHeader/>
        </w:trPr>
        <w:tc>
          <w:tcPr>
            <w:tcW w:w="3823" w:type="dxa"/>
          </w:tcPr>
          <w:p w14:paraId="1206FE2E" w14:textId="77777777" w:rsidR="00B02873" w:rsidRPr="00604205" w:rsidRDefault="00B02873" w:rsidP="00604205">
            <w:pPr>
              <w:pStyle w:val="TableheadingleftTables"/>
            </w:pPr>
          </w:p>
        </w:tc>
        <w:tc>
          <w:tcPr>
            <w:tcW w:w="1451" w:type="dxa"/>
          </w:tcPr>
          <w:p w14:paraId="3151D98B" w14:textId="77777777" w:rsidR="00B02873" w:rsidRPr="00604205" w:rsidRDefault="00B02873" w:rsidP="009121E6">
            <w:pPr>
              <w:pStyle w:val="TableheadingleftTables"/>
              <w:jc w:val="right"/>
            </w:pPr>
            <w:r w:rsidRPr="00604205">
              <w:t>2021-22</w:t>
            </w:r>
          </w:p>
        </w:tc>
        <w:tc>
          <w:tcPr>
            <w:tcW w:w="1451" w:type="dxa"/>
          </w:tcPr>
          <w:p w14:paraId="2C137121" w14:textId="77777777" w:rsidR="00B02873" w:rsidRPr="00604205" w:rsidRDefault="00B02873" w:rsidP="009121E6">
            <w:pPr>
              <w:pStyle w:val="TableheadingleftTables"/>
              <w:jc w:val="right"/>
            </w:pPr>
            <w:r w:rsidRPr="00604205">
              <w:t>2020-21</w:t>
            </w:r>
          </w:p>
        </w:tc>
        <w:tc>
          <w:tcPr>
            <w:tcW w:w="1451" w:type="dxa"/>
          </w:tcPr>
          <w:p w14:paraId="00E7CB58" w14:textId="77777777" w:rsidR="00B02873" w:rsidRPr="00604205" w:rsidRDefault="00B02873" w:rsidP="009121E6">
            <w:pPr>
              <w:pStyle w:val="TableheadingleftTables"/>
              <w:jc w:val="right"/>
            </w:pPr>
            <w:r w:rsidRPr="00604205">
              <w:t>2019-20</w:t>
            </w:r>
          </w:p>
        </w:tc>
        <w:tc>
          <w:tcPr>
            <w:tcW w:w="1452" w:type="dxa"/>
          </w:tcPr>
          <w:p w14:paraId="5770A5F7" w14:textId="77777777" w:rsidR="00B02873" w:rsidRPr="00604205" w:rsidRDefault="00B02873" w:rsidP="009121E6">
            <w:pPr>
              <w:pStyle w:val="TableheadingleftTables"/>
              <w:jc w:val="right"/>
            </w:pPr>
            <w:r w:rsidRPr="00604205">
              <w:t>2014-15 (baseline)</w:t>
            </w:r>
          </w:p>
        </w:tc>
      </w:tr>
      <w:tr w:rsidR="00B02873" w:rsidRPr="00B02873" w14:paraId="504D6AD4" w14:textId="77777777" w:rsidTr="00604205">
        <w:tc>
          <w:tcPr>
            <w:tcW w:w="3823" w:type="dxa"/>
          </w:tcPr>
          <w:p w14:paraId="512DBEB5" w14:textId="77777777" w:rsidR="00B02873" w:rsidRDefault="00B02873" w:rsidP="00B415A9">
            <w:pPr>
              <w:pStyle w:val="TablebodyleftTables"/>
            </w:pPr>
            <w:r>
              <w:rPr>
                <w:rStyle w:val="Bold"/>
              </w:rPr>
              <w:t>T1. Total energy consumption by fleet vehicles (MJ)</w:t>
            </w:r>
          </w:p>
        </w:tc>
        <w:tc>
          <w:tcPr>
            <w:tcW w:w="1451" w:type="dxa"/>
          </w:tcPr>
          <w:p w14:paraId="62F9FD91" w14:textId="77777777" w:rsidR="00B02873" w:rsidRDefault="00B02873" w:rsidP="009121E6">
            <w:pPr>
              <w:pStyle w:val="TablebodyleftTables"/>
              <w:jc w:val="right"/>
            </w:pPr>
            <w:r>
              <w:rPr>
                <w:rStyle w:val="Bold"/>
              </w:rPr>
              <w:t>108,459,485</w:t>
            </w:r>
          </w:p>
        </w:tc>
        <w:tc>
          <w:tcPr>
            <w:tcW w:w="1451" w:type="dxa"/>
          </w:tcPr>
          <w:p w14:paraId="2B819F62" w14:textId="77777777" w:rsidR="00B02873" w:rsidRDefault="00B02873" w:rsidP="009121E6">
            <w:pPr>
              <w:pStyle w:val="TablebodyleftTables"/>
              <w:jc w:val="right"/>
            </w:pPr>
            <w:r>
              <w:rPr>
                <w:rStyle w:val="Bold"/>
                <w:spacing w:val="-5"/>
              </w:rPr>
              <w:t>90,742,224</w:t>
            </w:r>
            <w:r>
              <w:rPr>
                <w:rStyle w:val="Bold"/>
                <w:spacing w:val="-5"/>
                <w:vertAlign w:val="superscript"/>
              </w:rPr>
              <w:t>(ii)</w:t>
            </w:r>
          </w:p>
        </w:tc>
        <w:tc>
          <w:tcPr>
            <w:tcW w:w="1451" w:type="dxa"/>
          </w:tcPr>
          <w:p w14:paraId="26CC482C" w14:textId="77777777" w:rsidR="00B02873" w:rsidRDefault="00B02873" w:rsidP="009121E6">
            <w:pPr>
              <w:pStyle w:val="TablebodyleftTables"/>
              <w:jc w:val="right"/>
            </w:pPr>
            <w:r>
              <w:rPr>
                <w:rStyle w:val="Bold"/>
                <w:spacing w:val="-3"/>
              </w:rPr>
              <w:t>131,965,454</w:t>
            </w:r>
            <w:r>
              <w:rPr>
                <w:rStyle w:val="Bold"/>
                <w:spacing w:val="-8"/>
                <w:vertAlign w:val="superscript"/>
              </w:rPr>
              <w:t>(ii)</w:t>
            </w:r>
          </w:p>
        </w:tc>
        <w:tc>
          <w:tcPr>
            <w:tcW w:w="1452" w:type="dxa"/>
          </w:tcPr>
          <w:p w14:paraId="05F98419" w14:textId="77777777" w:rsidR="00B02873" w:rsidRDefault="00B02873" w:rsidP="009121E6">
            <w:pPr>
              <w:pStyle w:val="TablebodyleftTables"/>
              <w:jc w:val="right"/>
            </w:pPr>
            <w:r>
              <w:rPr>
                <w:rStyle w:val="Bold"/>
                <w:spacing w:val="-8"/>
              </w:rPr>
              <w:t>102,744,556</w:t>
            </w:r>
            <w:r>
              <w:rPr>
                <w:rStyle w:val="Bold"/>
                <w:spacing w:val="-8"/>
                <w:vertAlign w:val="superscript"/>
              </w:rPr>
              <w:t>(ii)</w:t>
            </w:r>
          </w:p>
        </w:tc>
      </w:tr>
      <w:tr w:rsidR="00B02873" w:rsidRPr="00B02873" w14:paraId="0AA00505" w14:textId="77777777" w:rsidTr="00604205">
        <w:tc>
          <w:tcPr>
            <w:tcW w:w="3823" w:type="dxa"/>
          </w:tcPr>
          <w:p w14:paraId="45082640" w14:textId="35E4D7D9" w:rsidR="00B02873" w:rsidRDefault="00012C04" w:rsidP="00B415A9">
            <w:pPr>
              <w:pStyle w:val="TablebodyleftTables"/>
            </w:pPr>
            <w:r>
              <w:t xml:space="preserve"> </w:t>
            </w:r>
            <w:r w:rsidR="00B02873">
              <w:t xml:space="preserve"> Total passenger vehicles</w:t>
            </w:r>
          </w:p>
        </w:tc>
        <w:tc>
          <w:tcPr>
            <w:tcW w:w="1451" w:type="dxa"/>
          </w:tcPr>
          <w:p w14:paraId="64B039EB" w14:textId="77777777" w:rsidR="00B02873" w:rsidRDefault="00B02873" w:rsidP="009121E6">
            <w:pPr>
              <w:pStyle w:val="TablebodyleftTables"/>
              <w:jc w:val="right"/>
            </w:pPr>
            <w:r>
              <w:t>4,528,259</w:t>
            </w:r>
          </w:p>
        </w:tc>
        <w:tc>
          <w:tcPr>
            <w:tcW w:w="1451" w:type="dxa"/>
          </w:tcPr>
          <w:p w14:paraId="57AACFF3" w14:textId="77777777" w:rsidR="00B02873" w:rsidRDefault="00B02873" w:rsidP="009121E6">
            <w:pPr>
              <w:pStyle w:val="TablebodyleftTables"/>
              <w:jc w:val="right"/>
            </w:pPr>
            <w:r>
              <w:t>3,250,566</w:t>
            </w:r>
          </w:p>
        </w:tc>
        <w:tc>
          <w:tcPr>
            <w:tcW w:w="1451" w:type="dxa"/>
          </w:tcPr>
          <w:p w14:paraId="4EF8867A" w14:textId="77777777" w:rsidR="00B02873" w:rsidRDefault="00B02873" w:rsidP="009121E6">
            <w:pPr>
              <w:pStyle w:val="TablebodyleftTables"/>
              <w:jc w:val="right"/>
            </w:pPr>
            <w:r>
              <w:t>11,444,413</w:t>
            </w:r>
          </w:p>
        </w:tc>
        <w:tc>
          <w:tcPr>
            <w:tcW w:w="1452" w:type="dxa"/>
          </w:tcPr>
          <w:p w14:paraId="2F4BD10F" w14:textId="77777777" w:rsidR="00B02873" w:rsidRDefault="00B02873" w:rsidP="009121E6">
            <w:pPr>
              <w:pStyle w:val="TablebodyleftTables"/>
              <w:jc w:val="right"/>
            </w:pPr>
            <w:r>
              <w:t>13,014,658</w:t>
            </w:r>
          </w:p>
        </w:tc>
      </w:tr>
      <w:tr w:rsidR="00B02873" w:rsidRPr="00B02873" w14:paraId="4AA6C296" w14:textId="77777777" w:rsidTr="00604205">
        <w:tc>
          <w:tcPr>
            <w:tcW w:w="3823" w:type="dxa"/>
          </w:tcPr>
          <w:p w14:paraId="37ED38C1" w14:textId="6142E112" w:rsidR="00B02873" w:rsidRDefault="00012C04" w:rsidP="00B415A9">
            <w:pPr>
              <w:pStyle w:val="TablebodyleftTables"/>
            </w:pPr>
            <w:r>
              <w:t xml:space="preserve"> </w:t>
            </w:r>
            <w:r w:rsidR="00B02873">
              <w:t xml:space="preserve"> Total operational vehicles</w:t>
            </w:r>
          </w:p>
        </w:tc>
        <w:tc>
          <w:tcPr>
            <w:tcW w:w="1451" w:type="dxa"/>
          </w:tcPr>
          <w:p w14:paraId="22A716D6" w14:textId="77777777" w:rsidR="00B02873" w:rsidRDefault="00B02873" w:rsidP="009121E6">
            <w:pPr>
              <w:pStyle w:val="TablebodyleftTables"/>
              <w:jc w:val="right"/>
            </w:pPr>
            <w:r>
              <w:t>103,931,226</w:t>
            </w:r>
          </w:p>
        </w:tc>
        <w:tc>
          <w:tcPr>
            <w:tcW w:w="1451" w:type="dxa"/>
          </w:tcPr>
          <w:p w14:paraId="7F23D798" w14:textId="77777777" w:rsidR="00B02873" w:rsidRDefault="00B02873" w:rsidP="009121E6">
            <w:pPr>
              <w:pStyle w:val="TablebodyleftTables"/>
              <w:jc w:val="right"/>
            </w:pPr>
            <w:r>
              <w:rPr>
                <w:spacing w:val="-3"/>
              </w:rPr>
              <w:t>87,491,658</w:t>
            </w:r>
            <w:r>
              <w:rPr>
                <w:spacing w:val="-8"/>
                <w:vertAlign w:val="superscript"/>
              </w:rPr>
              <w:t>(ii)</w:t>
            </w:r>
          </w:p>
        </w:tc>
        <w:tc>
          <w:tcPr>
            <w:tcW w:w="1451" w:type="dxa"/>
          </w:tcPr>
          <w:p w14:paraId="1D12E9D7" w14:textId="77777777" w:rsidR="00B02873" w:rsidRDefault="00B02873" w:rsidP="009121E6">
            <w:pPr>
              <w:pStyle w:val="TablebodyleftTables"/>
              <w:jc w:val="right"/>
            </w:pPr>
            <w:r>
              <w:rPr>
                <w:spacing w:val="-3"/>
              </w:rPr>
              <w:t>120,521,042</w:t>
            </w:r>
            <w:r>
              <w:rPr>
                <w:spacing w:val="-10"/>
                <w:vertAlign w:val="superscript"/>
              </w:rPr>
              <w:t>(ii)</w:t>
            </w:r>
          </w:p>
        </w:tc>
        <w:tc>
          <w:tcPr>
            <w:tcW w:w="1452" w:type="dxa"/>
          </w:tcPr>
          <w:p w14:paraId="79A1AE40" w14:textId="77777777" w:rsidR="00B02873" w:rsidRDefault="00B02873" w:rsidP="009121E6">
            <w:pPr>
              <w:pStyle w:val="TablebodyleftTables"/>
              <w:jc w:val="right"/>
            </w:pPr>
            <w:r>
              <w:rPr>
                <w:spacing w:val="-3"/>
              </w:rPr>
              <w:t>89,729,898</w:t>
            </w:r>
            <w:r>
              <w:rPr>
                <w:spacing w:val="-13"/>
                <w:vertAlign w:val="superscript"/>
              </w:rPr>
              <w:t>(ii)</w:t>
            </w:r>
          </w:p>
        </w:tc>
      </w:tr>
      <w:tr w:rsidR="00B02873" w:rsidRPr="00B02873" w14:paraId="0AF3A866" w14:textId="77777777" w:rsidTr="00604205">
        <w:tc>
          <w:tcPr>
            <w:tcW w:w="3823" w:type="dxa"/>
          </w:tcPr>
          <w:p w14:paraId="7A83DFB6" w14:textId="5E36BCBB" w:rsidR="00B02873" w:rsidRDefault="00012C04" w:rsidP="00B415A9">
            <w:pPr>
              <w:pStyle w:val="TablebodyleftTables"/>
            </w:pPr>
            <w:r>
              <w:t xml:space="preserve"> </w:t>
            </w:r>
            <w:r w:rsidR="00B02873">
              <w:t xml:space="preserve"> Diesel (passenger vehicles)</w:t>
            </w:r>
          </w:p>
        </w:tc>
        <w:tc>
          <w:tcPr>
            <w:tcW w:w="1451" w:type="dxa"/>
          </w:tcPr>
          <w:p w14:paraId="302A468C" w14:textId="77777777" w:rsidR="00B02873" w:rsidRDefault="00B02873" w:rsidP="009121E6">
            <w:pPr>
              <w:pStyle w:val="TablebodyleftTables"/>
              <w:jc w:val="right"/>
            </w:pPr>
            <w:r>
              <w:t>935,860</w:t>
            </w:r>
          </w:p>
        </w:tc>
        <w:tc>
          <w:tcPr>
            <w:tcW w:w="1451" w:type="dxa"/>
          </w:tcPr>
          <w:p w14:paraId="60E14565" w14:textId="77777777" w:rsidR="00B02873" w:rsidRDefault="00B02873" w:rsidP="009121E6">
            <w:pPr>
              <w:pStyle w:val="TablebodyleftTables"/>
              <w:jc w:val="right"/>
            </w:pPr>
            <w:r>
              <w:t>837,850</w:t>
            </w:r>
          </w:p>
        </w:tc>
        <w:tc>
          <w:tcPr>
            <w:tcW w:w="1451" w:type="dxa"/>
          </w:tcPr>
          <w:p w14:paraId="3D301A0B" w14:textId="77777777" w:rsidR="00B02873" w:rsidRDefault="00B02873" w:rsidP="009121E6">
            <w:pPr>
              <w:pStyle w:val="TablebodyleftTables"/>
              <w:jc w:val="right"/>
            </w:pPr>
            <w:r>
              <w:t>798,251</w:t>
            </w:r>
          </w:p>
        </w:tc>
        <w:tc>
          <w:tcPr>
            <w:tcW w:w="1452" w:type="dxa"/>
          </w:tcPr>
          <w:p w14:paraId="7963F67A" w14:textId="77777777" w:rsidR="00B02873" w:rsidRDefault="00B02873" w:rsidP="009121E6">
            <w:pPr>
              <w:pStyle w:val="TablebodyleftTables"/>
              <w:jc w:val="right"/>
            </w:pPr>
            <w:r>
              <w:t>3,187,266</w:t>
            </w:r>
          </w:p>
        </w:tc>
      </w:tr>
      <w:tr w:rsidR="00B02873" w:rsidRPr="00B02873" w14:paraId="73D65915" w14:textId="77777777" w:rsidTr="00604205">
        <w:tc>
          <w:tcPr>
            <w:tcW w:w="3823" w:type="dxa"/>
          </w:tcPr>
          <w:p w14:paraId="4090111E" w14:textId="344FA9A6" w:rsidR="00B02873" w:rsidRDefault="00012C04" w:rsidP="00B415A9">
            <w:pPr>
              <w:pStyle w:val="TablebodyleftTables"/>
            </w:pPr>
            <w:r>
              <w:t xml:space="preserve"> </w:t>
            </w:r>
            <w:r w:rsidR="00B02873">
              <w:t xml:space="preserve"> LPG (passenger vehicles)</w:t>
            </w:r>
          </w:p>
        </w:tc>
        <w:tc>
          <w:tcPr>
            <w:tcW w:w="1451" w:type="dxa"/>
          </w:tcPr>
          <w:p w14:paraId="71ED9159" w14:textId="77777777" w:rsidR="00B02873" w:rsidRDefault="00B02873" w:rsidP="009121E6">
            <w:pPr>
              <w:pStyle w:val="TablebodyleftTables"/>
              <w:jc w:val="right"/>
            </w:pPr>
            <w:r>
              <w:t>0</w:t>
            </w:r>
          </w:p>
        </w:tc>
        <w:tc>
          <w:tcPr>
            <w:tcW w:w="1451" w:type="dxa"/>
          </w:tcPr>
          <w:p w14:paraId="41EE0149" w14:textId="77777777" w:rsidR="00B02873" w:rsidRDefault="00B02873" w:rsidP="009121E6">
            <w:pPr>
              <w:pStyle w:val="TablebodyleftTables"/>
              <w:jc w:val="right"/>
            </w:pPr>
            <w:r>
              <w:t>0</w:t>
            </w:r>
          </w:p>
        </w:tc>
        <w:tc>
          <w:tcPr>
            <w:tcW w:w="1451" w:type="dxa"/>
          </w:tcPr>
          <w:p w14:paraId="62B43465" w14:textId="77777777" w:rsidR="00B02873" w:rsidRDefault="00B02873" w:rsidP="009121E6">
            <w:pPr>
              <w:pStyle w:val="TablebodyleftTables"/>
              <w:jc w:val="right"/>
            </w:pPr>
            <w:r>
              <w:t>0</w:t>
            </w:r>
          </w:p>
        </w:tc>
        <w:tc>
          <w:tcPr>
            <w:tcW w:w="1452" w:type="dxa"/>
          </w:tcPr>
          <w:p w14:paraId="364AEF98" w14:textId="77777777" w:rsidR="00B02873" w:rsidRDefault="00B02873" w:rsidP="009121E6">
            <w:pPr>
              <w:pStyle w:val="TablebodyleftTables"/>
              <w:jc w:val="right"/>
            </w:pPr>
            <w:r>
              <w:t>895,201</w:t>
            </w:r>
          </w:p>
        </w:tc>
      </w:tr>
      <w:tr w:rsidR="00B02873" w:rsidRPr="00B02873" w14:paraId="484AB828" w14:textId="77777777" w:rsidTr="00604205">
        <w:tc>
          <w:tcPr>
            <w:tcW w:w="3823" w:type="dxa"/>
          </w:tcPr>
          <w:p w14:paraId="012463AF" w14:textId="08C5365C" w:rsidR="00B02873" w:rsidRDefault="00012C04" w:rsidP="00B415A9">
            <w:pPr>
              <w:pStyle w:val="TablebodyleftTables"/>
            </w:pPr>
            <w:r>
              <w:t xml:space="preserve"> </w:t>
            </w:r>
            <w:r w:rsidR="00B02873">
              <w:t xml:space="preserve"> Unleaded (passenger vehicles)</w:t>
            </w:r>
          </w:p>
        </w:tc>
        <w:tc>
          <w:tcPr>
            <w:tcW w:w="1451" w:type="dxa"/>
          </w:tcPr>
          <w:p w14:paraId="6C10D729" w14:textId="77777777" w:rsidR="00B02873" w:rsidRDefault="00B02873" w:rsidP="009121E6">
            <w:pPr>
              <w:pStyle w:val="TablebodyleftTables"/>
              <w:jc w:val="right"/>
            </w:pPr>
            <w:r>
              <w:t>2,044,922</w:t>
            </w:r>
          </w:p>
        </w:tc>
        <w:tc>
          <w:tcPr>
            <w:tcW w:w="1451" w:type="dxa"/>
          </w:tcPr>
          <w:p w14:paraId="5D1B2EA3" w14:textId="77777777" w:rsidR="00B02873" w:rsidRDefault="00B02873" w:rsidP="009121E6">
            <w:pPr>
              <w:pStyle w:val="TablebodyleftTables"/>
              <w:jc w:val="right"/>
            </w:pPr>
            <w:r>
              <w:t>1,812,263</w:t>
            </w:r>
          </w:p>
        </w:tc>
        <w:tc>
          <w:tcPr>
            <w:tcW w:w="1451" w:type="dxa"/>
          </w:tcPr>
          <w:p w14:paraId="76D91A6C" w14:textId="77777777" w:rsidR="00B02873" w:rsidRDefault="00B02873" w:rsidP="009121E6">
            <w:pPr>
              <w:pStyle w:val="TablebodyleftTables"/>
              <w:jc w:val="right"/>
            </w:pPr>
            <w:r>
              <w:t>8,497,693</w:t>
            </w:r>
          </w:p>
        </w:tc>
        <w:tc>
          <w:tcPr>
            <w:tcW w:w="1452" w:type="dxa"/>
          </w:tcPr>
          <w:p w14:paraId="01D7A111" w14:textId="77777777" w:rsidR="00B02873" w:rsidRDefault="00B02873" w:rsidP="009121E6">
            <w:pPr>
              <w:pStyle w:val="TablebodyleftTables"/>
              <w:jc w:val="right"/>
            </w:pPr>
            <w:r>
              <w:t>6,491,421</w:t>
            </w:r>
          </w:p>
        </w:tc>
      </w:tr>
      <w:tr w:rsidR="00B02873" w:rsidRPr="00B02873" w14:paraId="1375CB9D" w14:textId="77777777" w:rsidTr="00604205">
        <w:tc>
          <w:tcPr>
            <w:tcW w:w="3823" w:type="dxa"/>
          </w:tcPr>
          <w:p w14:paraId="7587AC19" w14:textId="2A9D9C31" w:rsidR="00B02873" w:rsidRDefault="00012C04" w:rsidP="00B415A9">
            <w:pPr>
              <w:pStyle w:val="TablebodyleftTables"/>
            </w:pPr>
            <w:r>
              <w:t xml:space="preserve"> </w:t>
            </w:r>
            <w:r w:rsidR="00B02873">
              <w:t xml:space="preserve"> Hybrid (passenger vehicles)</w:t>
            </w:r>
          </w:p>
        </w:tc>
        <w:tc>
          <w:tcPr>
            <w:tcW w:w="1451" w:type="dxa"/>
          </w:tcPr>
          <w:p w14:paraId="70E23C8E" w14:textId="77777777" w:rsidR="00B02873" w:rsidRDefault="00B02873" w:rsidP="009121E6">
            <w:pPr>
              <w:pStyle w:val="TablebodyleftTables"/>
              <w:jc w:val="right"/>
            </w:pPr>
            <w:r>
              <w:t>1,545,326</w:t>
            </w:r>
          </w:p>
        </w:tc>
        <w:tc>
          <w:tcPr>
            <w:tcW w:w="1451" w:type="dxa"/>
          </w:tcPr>
          <w:p w14:paraId="323A0EFE" w14:textId="77777777" w:rsidR="00B02873" w:rsidRDefault="00B02873" w:rsidP="009121E6">
            <w:pPr>
              <w:pStyle w:val="TablebodyleftTables"/>
              <w:jc w:val="right"/>
            </w:pPr>
            <w:r>
              <w:t>600,452</w:t>
            </w:r>
          </w:p>
        </w:tc>
        <w:tc>
          <w:tcPr>
            <w:tcW w:w="1451" w:type="dxa"/>
          </w:tcPr>
          <w:p w14:paraId="785E0667" w14:textId="77777777" w:rsidR="00B02873" w:rsidRDefault="00B02873" w:rsidP="009121E6">
            <w:pPr>
              <w:pStyle w:val="TablebodyleftTables"/>
              <w:jc w:val="right"/>
            </w:pPr>
            <w:r>
              <w:t>2,148,468</w:t>
            </w:r>
          </w:p>
        </w:tc>
        <w:tc>
          <w:tcPr>
            <w:tcW w:w="1452" w:type="dxa"/>
          </w:tcPr>
          <w:p w14:paraId="4A289F58" w14:textId="77777777" w:rsidR="00B02873" w:rsidRDefault="00B02873" w:rsidP="009121E6">
            <w:pPr>
              <w:pStyle w:val="TablebodyleftTables"/>
              <w:jc w:val="right"/>
            </w:pPr>
            <w:r>
              <w:t>2,440,770</w:t>
            </w:r>
          </w:p>
        </w:tc>
      </w:tr>
      <w:tr w:rsidR="00B02873" w:rsidRPr="00B02873" w14:paraId="72FB35FC" w14:textId="77777777" w:rsidTr="00604205">
        <w:tc>
          <w:tcPr>
            <w:tcW w:w="3823" w:type="dxa"/>
          </w:tcPr>
          <w:p w14:paraId="2910F4F1" w14:textId="221DA2C2" w:rsidR="00B02873" w:rsidRDefault="00012C04" w:rsidP="00B415A9">
            <w:pPr>
              <w:pStyle w:val="TablebodyleftTables"/>
            </w:pPr>
            <w:r>
              <w:t xml:space="preserve"> </w:t>
            </w:r>
            <w:r w:rsidR="00B02873">
              <w:t xml:space="preserve"> ZEVs (passenger vehicles)</w:t>
            </w:r>
          </w:p>
        </w:tc>
        <w:tc>
          <w:tcPr>
            <w:tcW w:w="1451" w:type="dxa"/>
          </w:tcPr>
          <w:p w14:paraId="0A919027" w14:textId="77777777" w:rsidR="00B02873" w:rsidRDefault="00B02873" w:rsidP="009121E6">
            <w:pPr>
              <w:pStyle w:val="TablebodyleftTables"/>
              <w:jc w:val="right"/>
            </w:pPr>
            <w:r>
              <w:t>2,150</w:t>
            </w:r>
          </w:p>
        </w:tc>
        <w:tc>
          <w:tcPr>
            <w:tcW w:w="1451" w:type="dxa"/>
          </w:tcPr>
          <w:p w14:paraId="0D53F067" w14:textId="77777777" w:rsidR="00B02873" w:rsidRDefault="00B02873" w:rsidP="009121E6">
            <w:pPr>
              <w:pStyle w:val="TablebodyleftTables"/>
              <w:jc w:val="right"/>
            </w:pPr>
            <w:r>
              <w:t>0</w:t>
            </w:r>
          </w:p>
        </w:tc>
        <w:tc>
          <w:tcPr>
            <w:tcW w:w="1451" w:type="dxa"/>
          </w:tcPr>
          <w:p w14:paraId="683A56CA" w14:textId="77777777" w:rsidR="00B02873" w:rsidRDefault="00B02873" w:rsidP="009121E6">
            <w:pPr>
              <w:pStyle w:val="TablebodyleftTables"/>
              <w:jc w:val="right"/>
            </w:pPr>
            <w:r>
              <w:t>0</w:t>
            </w:r>
          </w:p>
        </w:tc>
        <w:tc>
          <w:tcPr>
            <w:tcW w:w="1452" w:type="dxa"/>
          </w:tcPr>
          <w:p w14:paraId="21206624" w14:textId="77777777" w:rsidR="00B02873" w:rsidRDefault="00B02873" w:rsidP="009121E6">
            <w:pPr>
              <w:pStyle w:val="TablebodyleftTables"/>
              <w:jc w:val="right"/>
            </w:pPr>
            <w:r>
              <w:t>0</w:t>
            </w:r>
          </w:p>
        </w:tc>
      </w:tr>
      <w:tr w:rsidR="00B02873" w:rsidRPr="00B02873" w14:paraId="3025CBEF" w14:textId="77777777" w:rsidTr="00604205">
        <w:tc>
          <w:tcPr>
            <w:tcW w:w="3823" w:type="dxa"/>
          </w:tcPr>
          <w:p w14:paraId="2A530C9E" w14:textId="16F079D2" w:rsidR="00B02873" w:rsidRDefault="00012C04" w:rsidP="00B415A9">
            <w:pPr>
              <w:pStyle w:val="TablebodyleftTables"/>
            </w:pPr>
            <w:r>
              <w:t xml:space="preserve"> </w:t>
            </w:r>
            <w:r w:rsidR="00B02873">
              <w:t xml:space="preserve"> Operational vehicles:</w:t>
            </w:r>
            <w:r>
              <w:t xml:space="preserve"> </w:t>
            </w:r>
            <w:r w:rsidR="00B02873">
              <w:t>4WD and ultralight tankers</w:t>
            </w:r>
          </w:p>
        </w:tc>
        <w:tc>
          <w:tcPr>
            <w:tcW w:w="1451" w:type="dxa"/>
          </w:tcPr>
          <w:p w14:paraId="4F17DDD8" w14:textId="77777777" w:rsidR="00B02873" w:rsidRDefault="00B02873" w:rsidP="009121E6">
            <w:pPr>
              <w:pStyle w:val="TablebodyleftTables"/>
              <w:jc w:val="right"/>
            </w:pPr>
            <w:r>
              <w:t>71,259,847</w:t>
            </w:r>
          </w:p>
        </w:tc>
        <w:tc>
          <w:tcPr>
            <w:tcW w:w="1451" w:type="dxa"/>
          </w:tcPr>
          <w:p w14:paraId="61A67624" w14:textId="77777777" w:rsidR="00B02873" w:rsidRDefault="00B02873" w:rsidP="009121E6">
            <w:pPr>
              <w:pStyle w:val="TablebodyleftTables"/>
              <w:jc w:val="right"/>
            </w:pPr>
            <w:r>
              <w:t>53,522,031</w:t>
            </w:r>
          </w:p>
        </w:tc>
        <w:tc>
          <w:tcPr>
            <w:tcW w:w="1451" w:type="dxa"/>
          </w:tcPr>
          <w:p w14:paraId="4A0F38A4" w14:textId="77777777" w:rsidR="00B02873" w:rsidRDefault="00B02873" w:rsidP="009121E6">
            <w:pPr>
              <w:pStyle w:val="TablebodyleftTables"/>
              <w:jc w:val="right"/>
            </w:pPr>
            <w:r>
              <w:t>91,368,745</w:t>
            </w:r>
          </w:p>
        </w:tc>
        <w:tc>
          <w:tcPr>
            <w:tcW w:w="1452" w:type="dxa"/>
          </w:tcPr>
          <w:p w14:paraId="44FCC531" w14:textId="77777777" w:rsidR="00B02873" w:rsidRDefault="00B02873" w:rsidP="009121E6">
            <w:pPr>
              <w:pStyle w:val="TablebodyleftTables"/>
              <w:jc w:val="right"/>
            </w:pPr>
            <w:r>
              <w:t>62,001,282</w:t>
            </w:r>
          </w:p>
        </w:tc>
      </w:tr>
      <w:tr w:rsidR="00B02873" w:rsidRPr="00B02873" w14:paraId="7AEC3D48" w14:textId="77777777" w:rsidTr="00604205">
        <w:tc>
          <w:tcPr>
            <w:tcW w:w="3823" w:type="dxa"/>
          </w:tcPr>
          <w:p w14:paraId="350D4F37" w14:textId="1CA2A4BD" w:rsidR="00B02873" w:rsidRDefault="00012C04" w:rsidP="00B415A9">
            <w:pPr>
              <w:pStyle w:val="TablebodyleftTables"/>
            </w:pPr>
            <w:r>
              <w:rPr>
                <w:spacing w:val="-4"/>
              </w:rPr>
              <w:t xml:space="preserve"> </w:t>
            </w:r>
            <w:r w:rsidR="00B02873">
              <w:rPr>
                <w:spacing w:val="-4"/>
              </w:rPr>
              <w:t xml:space="preserve"> Operational vehicles:</w:t>
            </w:r>
            <w:r>
              <w:rPr>
                <w:spacing w:val="-4"/>
              </w:rPr>
              <w:t xml:space="preserve"> </w:t>
            </w:r>
            <w:r w:rsidR="00B02873">
              <w:rPr>
                <w:spacing w:val="-4"/>
              </w:rPr>
              <w:t>remaining vehicles including the heavy fleet</w:t>
            </w:r>
          </w:p>
        </w:tc>
        <w:tc>
          <w:tcPr>
            <w:tcW w:w="1451" w:type="dxa"/>
          </w:tcPr>
          <w:p w14:paraId="5AA4BE15" w14:textId="77777777" w:rsidR="00B02873" w:rsidRDefault="00B02873" w:rsidP="009121E6">
            <w:pPr>
              <w:pStyle w:val="TablebodyleftTables"/>
              <w:jc w:val="right"/>
            </w:pPr>
            <w:r>
              <w:t>32,671,379</w:t>
            </w:r>
          </w:p>
        </w:tc>
        <w:tc>
          <w:tcPr>
            <w:tcW w:w="1451" w:type="dxa"/>
          </w:tcPr>
          <w:p w14:paraId="7D1D01F1" w14:textId="77777777" w:rsidR="00B02873" w:rsidRDefault="00B02873" w:rsidP="009121E6">
            <w:pPr>
              <w:pStyle w:val="TablebodyleftTables"/>
              <w:jc w:val="right"/>
            </w:pPr>
            <w:r>
              <w:t>33,969,628</w:t>
            </w:r>
          </w:p>
        </w:tc>
        <w:tc>
          <w:tcPr>
            <w:tcW w:w="1451" w:type="dxa"/>
          </w:tcPr>
          <w:p w14:paraId="5CE08458" w14:textId="77777777" w:rsidR="00B02873" w:rsidRDefault="00B02873" w:rsidP="009121E6">
            <w:pPr>
              <w:pStyle w:val="TablebodyleftTables"/>
              <w:jc w:val="right"/>
            </w:pPr>
            <w:r>
              <w:t>29,152,297</w:t>
            </w:r>
          </w:p>
        </w:tc>
        <w:tc>
          <w:tcPr>
            <w:tcW w:w="1452" w:type="dxa"/>
          </w:tcPr>
          <w:p w14:paraId="2C41FF4F" w14:textId="77777777" w:rsidR="00B02873" w:rsidRDefault="00B02873" w:rsidP="009121E6">
            <w:pPr>
              <w:pStyle w:val="TablebodyleftTables"/>
              <w:jc w:val="right"/>
            </w:pPr>
            <w:r>
              <w:t>27,728,616</w:t>
            </w:r>
          </w:p>
        </w:tc>
      </w:tr>
      <w:tr w:rsidR="00B02873" w:rsidRPr="00B02873" w14:paraId="381A1B0A" w14:textId="77777777" w:rsidTr="00604205">
        <w:tc>
          <w:tcPr>
            <w:tcW w:w="3823" w:type="dxa"/>
          </w:tcPr>
          <w:p w14:paraId="6F570236" w14:textId="77777777" w:rsidR="00B02873" w:rsidRDefault="00B02873" w:rsidP="00B415A9">
            <w:pPr>
              <w:pStyle w:val="TablebodyleftTables"/>
            </w:pPr>
            <w:r>
              <w:rPr>
                <w:rStyle w:val="Bold"/>
              </w:rPr>
              <w:t>T2. Total distance travelled by fleet vehicles (km)</w:t>
            </w:r>
            <w:r>
              <w:rPr>
                <w:rStyle w:val="Bold"/>
                <w:vertAlign w:val="superscript"/>
              </w:rPr>
              <w:t>(iii)</w:t>
            </w:r>
          </w:p>
        </w:tc>
        <w:tc>
          <w:tcPr>
            <w:tcW w:w="1451" w:type="dxa"/>
          </w:tcPr>
          <w:p w14:paraId="77FCB831" w14:textId="77777777" w:rsidR="00B02873" w:rsidRDefault="00B02873" w:rsidP="009121E6">
            <w:pPr>
              <w:pStyle w:val="TablebodyleftTables"/>
              <w:jc w:val="right"/>
            </w:pPr>
            <w:r>
              <w:rPr>
                <w:rStyle w:val="Bold"/>
              </w:rPr>
              <w:t>15,686,698</w:t>
            </w:r>
          </w:p>
        </w:tc>
        <w:tc>
          <w:tcPr>
            <w:tcW w:w="1451" w:type="dxa"/>
          </w:tcPr>
          <w:p w14:paraId="35332344" w14:textId="77777777" w:rsidR="00B02873" w:rsidRDefault="00B02873" w:rsidP="009121E6">
            <w:pPr>
              <w:pStyle w:val="TablebodyleftTables"/>
              <w:jc w:val="right"/>
            </w:pPr>
            <w:r>
              <w:rPr>
                <w:rStyle w:val="Bold"/>
              </w:rPr>
              <w:t>12,617,559</w:t>
            </w:r>
          </w:p>
        </w:tc>
        <w:tc>
          <w:tcPr>
            <w:tcW w:w="1451" w:type="dxa"/>
          </w:tcPr>
          <w:p w14:paraId="05DCBE19" w14:textId="77777777" w:rsidR="00B02873" w:rsidRDefault="00B02873" w:rsidP="009121E6">
            <w:pPr>
              <w:pStyle w:val="TablebodyleftTables"/>
              <w:jc w:val="right"/>
            </w:pPr>
            <w:r>
              <w:rPr>
                <w:rStyle w:val="Bold"/>
              </w:rPr>
              <w:t>20,298,608</w:t>
            </w:r>
          </w:p>
        </w:tc>
        <w:tc>
          <w:tcPr>
            <w:tcW w:w="1452" w:type="dxa"/>
          </w:tcPr>
          <w:p w14:paraId="0075891F" w14:textId="77777777" w:rsidR="00B02873" w:rsidRDefault="00B02873" w:rsidP="009121E6">
            <w:pPr>
              <w:pStyle w:val="TablebodyleftTables"/>
              <w:jc w:val="right"/>
            </w:pPr>
            <w:r>
              <w:rPr>
                <w:rStyle w:val="Bold"/>
              </w:rPr>
              <w:t>17,411,748</w:t>
            </w:r>
          </w:p>
        </w:tc>
      </w:tr>
      <w:tr w:rsidR="00B02873" w:rsidRPr="00B02873" w14:paraId="14F0319A" w14:textId="77777777" w:rsidTr="00604205">
        <w:tc>
          <w:tcPr>
            <w:tcW w:w="3823" w:type="dxa"/>
          </w:tcPr>
          <w:p w14:paraId="5C8C31FD" w14:textId="7EE8513D" w:rsidR="00B02873" w:rsidRDefault="00012C04" w:rsidP="00B415A9">
            <w:pPr>
              <w:pStyle w:val="TablebodyleftTables"/>
            </w:pPr>
            <w:r>
              <w:t xml:space="preserve"> </w:t>
            </w:r>
            <w:r w:rsidR="00B02873">
              <w:t xml:space="preserve"> Passenger vehicles</w:t>
            </w:r>
          </w:p>
        </w:tc>
        <w:tc>
          <w:tcPr>
            <w:tcW w:w="1451" w:type="dxa"/>
          </w:tcPr>
          <w:p w14:paraId="096696AC" w14:textId="77777777" w:rsidR="00B02873" w:rsidRDefault="00B02873" w:rsidP="009121E6">
            <w:pPr>
              <w:pStyle w:val="TablebodyleftTables"/>
              <w:jc w:val="right"/>
            </w:pPr>
            <w:r>
              <w:t>1,460,772</w:t>
            </w:r>
          </w:p>
        </w:tc>
        <w:tc>
          <w:tcPr>
            <w:tcW w:w="1451" w:type="dxa"/>
          </w:tcPr>
          <w:p w14:paraId="3FAEFD35" w14:textId="77777777" w:rsidR="00B02873" w:rsidRDefault="00B02873" w:rsidP="009121E6">
            <w:pPr>
              <w:pStyle w:val="TablebodyleftTables"/>
              <w:jc w:val="right"/>
            </w:pPr>
            <w:r>
              <w:t>1,100,292</w:t>
            </w:r>
          </w:p>
        </w:tc>
        <w:tc>
          <w:tcPr>
            <w:tcW w:w="1451" w:type="dxa"/>
          </w:tcPr>
          <w:p w14:paraId="3734A0FD" w14:textId="77777777" w:rsidR="00B02873" w:rsidRDefault="00B02873" w:rsidP="009121E6">
            <w:pPr>
              <w:pStyle w:val="TablebodyleftTables"/>
              <w:jc w:val="right"/>
            </w:pPr>
            <w:r>
              <w:t>4,074,779</w:t>
            </w:r>
          </w:p>
        </w:tc>
        <w:tc>
          <w:tcPr>
            <w:tcW w:w="1452" w:type="dxa"/>
          </w:tcPr>
          <w:p w14:paraId="7910CF5E" w14:textId="77777777" w:rsidR="00B02873" w:rsidRDefault="00B02873" w:rsidP="009121E6">
            <w:pPr>
              <w:pStyle w:val="TablebodyleftTables"/>
              <w:jc w:val="right"/>
            </w:pPr>
            <w:r>
              <w:t>5,138,213</w:t>
            </w:r>
          </w:p>
        </w:tc>
      </w:tr>
      <w:tr w:rsidR="00B02873" w:rsidRPr="00B02873" w14:paraId="6EBFE6F5" w14:textId="77777777" w:rsidTr="00604205">
        <w:tc>
          <w:tcPr>
            <w:tcW w:w="3823" w:type="dxa"/>
          </w:tcPr>
          <w:p w14:paraId="5DAB9C83" w14:textId="53A9A369" w:rsidR="00B02873" w:rsidRDefault="00012C04" w:rsidP="00B415A9">
            <w:pPr>
              <w:pStyle w:val="TablebodyleftTables"/>
            </w:pPr>
            <w:r>
              <w:t xml:space="preserve"> </w:t>
            </w:r>
            <w:r w:rsidR="00B02873">
              <w:t xml:space="preserve"> Operational vehicles</w:t>
            </w:r>
          </w:p>
        </w:tc>
        <w:tc>
          <w:tcPr>
            <w:tcW w:w="1451" w:type="dxa"/>
          </w:tcPr>
          <w:p w14:paraId="1BA036F1" w14:textId="77777777" w:rsidR="00B02873" w:rsidRDefault="00B02873" w:rsidP="009121E6">
            <w:pPr>
              <w:pStyle w:val="TablebodyleftTables"/>
              <w:jc w:val="right"/>
            </w:pPr>
            <w:r>
              <w:t>14,225,926</w:t>
            </w:r>
          </w:p>
        </w:tc>
        <w:tc>
          <w:tcPr>
            <w:tcW w:w="1451" w:type="dxa"/>
          </w:tcPr>
          <w:p w14:paraId="6C687DDC" w14:textId="77777777" w:rsidR="00B02873" w:rsidRDefault="00B02873" w:rsidP="009121E6">
            <w:pPr>
              <w:pStyle w:val="TablebodyleftTables"/>
              <w:jc w:val="right"/>
            </w:pPr>
            <w:r>
              <w:t>11,517,267</w:t>
            </w:r>
          </w:p>
        </w:tc>
        <w:tc>
          <w:tcPr>
            <w:tcW w:w="1451" w:type="dxa"/>
          </w:tcPr>
          <w:p w14:paraId="7FB1579B" w14:textId="77777777" w:rsidR="00B02873" w:rsidRDefault="00B02873" w:rsidP="009121E6">
            <w:pPr>
              <w:pStyle w:val="TablebodyleftTables"/>
              <w:jc w:val="right"/>
            </w:pPr>
            <w:r>
              <w:t>16,223,829</w:t>
            </w:r>
          </w:p>
        </w:tc>
        <w:tc>
          <w:tcPr>
            <w:tcW w:w="1452" w:type="dxa"/>
          </w:tcPr>
          <w:p w14:paraId="517ACAB8" w14:textId="77777777" w:rsidR="00B02873" w:rsidRDefault="00B02873" w:rsidP="009121E6">
            <w:pPr>
              <w:pStyle w:val="TablebodyleftTables"/>
              <w:jc w:val="right"/>
            </w:pPr>
            <w:r>
              <w:t>12,273,535</w:t>
            </w:r>
          </w:p>
        </w:tc>
      </w:tr>
      <w:tr w:rsidR="00B02873" w:rsidRPr="00B02873" w14:paraId="7CEC481D" w14:textId="77777777" w:rsidTr="00604205">
        <w:tc>
          <w:tcPr>
            <w:tcW w:w="3823" w:type="dxa"/>
          </w:tcPr>
          <w:p w14:paraId="530C3758" w14:textId="3CD615BF" w:rsidR="00B02873" w:rsidRDefault="00012C04" w:rsidP="00B415A9">
            <w:pPr>
              <w:pStyle w:val="TablebodyleftTables"/>
            </w:pPr>
            <w:r>
              <w:t xml:space="preserve"> </w:t>
            </w:r>
            <w:r w:rsidR="00B02873">
              <w:t xml:space="preserve"> Diesel (passenger vehicles)</w:t>
            </w:r>
          </w:p>
        </w:tc>
        <w:tc>
          <w:tcPr>
            <w:tcW w:w="1451" w:type="dxa"/>
          </w:tcPr>
          <w:p w14:paraId="16B40C01" w14:textId="77777777" w:rsidR="00B02873" w:rsidRDefault="00B02873" w:rsidP="009121E6">
            <w:pPr>
              <w:pStyle w:val="TablebodyleftTables"/>
              <w:jc w:val="right"/>
            </w:pPr>
            <w:r>
              <w:t>265,542</w:t>
            </w:r>
          </w:p>
        </w:tc>
        <w:tc>
          <w:tcPr>
            <w:tcW w:w="1451" w:type="dxa"/>
          </w:tcPr>
          <w:p w14:paraId="143D3E75" w14:textId="77777777" w:rsidR="00B02873" w:rsidRDefault="00B02873" w:rsidP="009121E6">
            <w:pPr>
              <w:pStyle w:val="TablebodyleftTables"/>
              <w:jc w:val="right"/>
            </w:pPr>
            <w:r>
              <w:t>191,676</w:t>
            </w:r>
          </w:p>
        </w:tc>
        <w:tc>
          <w:tcPr>
            <w:tcW w:w="1451" w:type="dxa"/>
          </w:tcPr>
          <w:p w14:paraId="0C91DBE9" w14:textId="77777777" w:rsidR="00B02873" w:rsidRDefault="00B02873" w:rsidP="009121E6">
            <w:pPr>
              <w:pStyle w:val="TablebodyleftTables"/>
              <w:jc w:val="right"/>
            </w:pPr>
            <w:r>
              <w:t>396,316</w:t>
            </w:r>
          </w:p>
        </w:tc>
        <w:tc>
          <w:tcPr>
            <w:tcW w:w="1452" w:type="dxa"/>
          </w:tcPr>
          <w:p w14:paraId="52AE1F1C" w14:textId="77777777" w:rsidR="00B02873" w:rsidRDefault="00B02873" w:rsidP="009121E6">
            <w:pPr>
              <w:pStyle w:val="TablebodyleftTables"/>
              <w:jc w:val="right"/>
            </w:pPr>
            <w:r>
              <w:t>953,669</w:t>
            </w:r>
          </w:p>
        </w:tc>
      </w:tr>
      <w:tr w:rsidR="00B02873" w:rsidRPr="00B02873" w14:paraId="2177AFF0" w14:textId="77777777" w:rsidTr="00604205">
        <w:tc>
          <w:tcPr>
            <w:tcW w:w="3823" w:type="dxa"/>
          </w:tcPr>
          <w:p w14:paraId="0F9783AA" w14:textId="1C41256D" w:rsidR="00B02873" w:rsidRDefault="00012C04" w:rsidP="00B415A9">
            <w:pPr>
              <w:pStyle w:val="TablebodyleftTables"/>
            </w:pPr>
            <w:r>
              <w:t xml:space="preserve"> </w:t>
            </w:r>
            <w:r w:rsidR="00B02873">
              <w:t xml:space="preserve"> LPG (passenger vehicles)</w:t>
            </w:r>
          </w:p>
        </w:tc>
        <w:tc>
          <w:tcPr>
            <w:tcW w:w="1451" w:type="dxa"/>
          </w:tcPr>
          <w:p w14:paraId="42A2BF70" w14:textId="77777777" w:rsidR="00B02873" w:rsidRDefault="00B02873" w:rsidP="009121E6">
            <w:pPr>
              <w:pStyle w:val="TablebodyleftTables"/>
              <w:jc w:val="right"/>
            </w:pPr>
            <w:r>
              <w:t>0</w:t>
            </w:r>
          </w:p>
        </w:tc>
        <w:tc>
          <w:tcPr>
            <w:tcW w:w="1451" w:type="dxa"/>
          </w:tcPr>
          <w:p w14:paraId="78970BBE" w14:textId="77777777" w:rsidR="00B02873" w:rsidRDefault="00B02873" w:rsidP="009121E6">
            <w:pPr>
              <w:pStyle w:val="TablebodyleftTables"/>
              <w:jc w:val="right"/>
            </w:pPr>
            <w:r>
              <w:t>0</w:t>
            </w:r>
          </w:p>
        </w:tc>
        <w:tc>
          <w:tcPr>
            <w:tcW w:w="1451" w:type="dxa"/>
          </w:tcPr>
          <w:p w14:paraId="55AA72FB" w14:textId="77777777" w:rsidR="00B02873" w:rsidRDefault="00B02873" w:rsidP="009121E6">
            <w:pPr>
              <w:pStyle w:val="TablebodyleftTables"/>
              <w:jc w:val="right"/>
            </w:pPr>
            <w:r>
              <w:t>0</w:t>
            </w:r>
          </w:p>
        </w:tc>
        <w:tc>
          <w:tcPr>
            <w:tcW w:w="1452" w:type="dxa"/>
          </w:tcPr>
          <w:p w14:paraId="0709E3E0" w14:textId="77777777" w:rsidR="00B02873" w:rsidRDefault="00B02873" w:rsidP="009121E6">
            <w:pPr>
              <w:pStyle w:val="TablebodyleftTables"/>
              <w:jc w:val="right"/>
            </w:pPr>
            <w:r>
              <w:t>416,924</w:t>
            </w:r>
          </w:p>
        </w:tc>
      </w:tr>
      <w:tr w:rsidR="00B02873" w:rsidRPr="00B02873" w14:paraId="05CA91DF" w14:textId="77777777" w:rsidTr="00604205">
        <w:tc>
          <w:tcPr>
            <w:tcW w:w="3823" w:type="dxa"/>
          </w:tcPr>
          <w:p w14:paraId="07A5606F" w14:textId="2B488473" w:rsidR="00B02873" w:rsidRDefault="00012C04" w:rsidP="00B415A9">
            <w:pPr>
              <w:pStyle w:val="TablebodyleftTables"/>
            </w:pPr>
            <w:r>
              <w:t xml:space="preserve"> </w:t>
            </w:r>
            <w:r w:rsidR="00B02873">
              <w:t xml:space="preserve"> Unleaded (passenger vehicles)</w:t>
            </w:r>
          </w:p>
        </w:tc>
        <w:tc>
          <w:tcPr>
            <w:tcW w:w="1451" w:type="dxa"/>
          </w:tcPr>
          <w:p w14:paraId="6E71386C" w14:textId="77777777" w:rsidR="00B02873" w:rsidRDefault="00B02873" w:rsidP="009121E6">
            <w:pPr>
              <w:pStyle w:val="TablebodyleftTables"/>
              <w:jc w:val="right"/>
            </w:pPr>
            <w:r>
              <w:t>653,024</w:t>
            </w:r>
          </w:p>
        </w:tc>
        <w:tc>
          <w:tcPr>
            <w:tcW w:w="1451" w:type="dxa"/>
          </w:tcPr>
          <w:p w14:paraId="088E669F" w14:textId="77777777" w:rsidR="00B02873" w:rsidRDefault="00B02873" w:rsidP="009121E6">
            <w:pPr>
              <w:pStyle w:val="TablebodyleftTables"/>
              <w:jc w:val="right"/>
            </w:pPr>
            <w:r>
              <w:t>586,969</w:t>
            </w:r>
          </w:p>
        </w:tc>
        <w:tc>
          <w:tcPr>
            <w:tcW w:w="1451" w:type="dxa"/>
          </w:tcPr>
          <w:p w14:paraId="5A039E14" w14:textId="77777777" w:rsidR="00B02873" w:rsidRDefault="00B02873" w:rsidP="009121E6">
            <w:pPr>
              <w:pStyle w:val="TablebodyleftTables"/>
              <w:jc w:val="right"/>
            </w:pPr>
            <w:r>
              <w:t>2,652,520</w:t>
            </w:r>
          </w:p>
        </w:tc>
        <w:tc>
          <w:tcPr>
            <w:tcW w:w="1452" w:type="dxa"/>
          </w:tcPr>
          <w:p w14:paraId="57D44792" w14:textId="77777777" w:rsidR="00B02873" w:rsidRDefault="00B02873" w:rsidP="009121E6">
            <w:pPr>
              <w:pStyle w:val="TablebodyleftTables"/>
              <w:jc w:val="right"/>
            </w:pPr>
            <w:r>
              <w:t>2,205,660</w:t>
            </w:r>
          </w:p>
        </w:tc>
      </w:tr>
      <w:tr w:rsidR="00B02873" w:rsidRPr="00B02873" w14:paraId="103E03EF" w14:textId="77777777" w:rsidTr="00604205">
        <w:tc>
          <w:tcPr>
            <w:tcW w:w="3823" w:type="dxa"/>
          </w:tcPr>
          <w:p w14:paraId="474AC5B8" w14:textId="69F06DF8" w:rsidR="00B02873" w:rsidRDefault="00012C04" w:rsidP="00B415A9">
            <w:pPr>
              <w:pStyle w:val="TablebodyleftTables"/>
            </w:pPr>
            <w:r>
              <w:t xml:space="preserve"> </w:t>
            </w:r>
            <w:r w:rsidR="00B02873">
              <w:t xml:space="preserve"> Hybrid (passenger vehicles)</w:t>
            </w:r>
          </w:p>
        </w:tc>
        <w:tc>
          <w:tcPr>
            <w:tcW w:w="1451" w:type="dxa"/>
          </w:tcPr>
          <w:p w14:paraId="1A8FF60B" w14:textId="77777777" w:rsidR="00B02873" w:rsidRDefault="00B02873" w:rsidP="009121E6">
            <w:pPr>
              <w:pStyle w:val="TablebodyleftTables"/>
              <w:jc w:val="right"/>
            </w:pPr>
            <w:r>
              <w:t>538,529</w:t>
            </w:r>
          </w:p>
        </w:tc>
        <w:tc>
          <w:tcPr>
            <w:tcW w:w="1451" w:type="dxa"/>
          </w:tcPr>
          <w:p w14:paraId="1FDEC171" w14:textId="77777777" w:rsidR="00B02873" w:rsidRDefault="00B02873" w:rsidP="009121E6">
            <w:pPr>
              <w:pStyle w:val="TablebodyleftTables"/>
              <w:jc w:val="right"/>
            </w:pPr>
            <w:r>
              <w:t>321,647</w:t>
            </w:r>
          </w:p>
        </w:tc>
        <w:tc>
          <w:tcPr>
            <w:tcW w:w="1451" w:type="dxa"/>
          </w:tcPr>
          <w:p w14:paraId="3FAFBD6E" w14:textId="77777777" w:rsidR="00B02873" w:rsidRDefault="00B02873" w:rsidP="009121E6">
            <w:pPr>
              <w:pStyle w:val="TablebodyleftTables"/>
              <w:jc w:val="right"/>
            </w:pPr>
            <w:r>
              <w:t>1,025,943</w:t>
            </w:r>
          </w:p>
        </w:tc>
        <w:tc>
          <w:tcPr>
            <w:tcW w:w="1452" w:type="dxa"/>
          </w:tcPr>
          <w:p w14:paraId="5402F356" w14:textId="77777777" w:rsidR="00B02873" w:rsidRDefault="00B02873" w:rsidP="009121E6">
            <w:pPr>
              <w:pStyle w:val="TablebodyleftTables"/>
              <w:jc w:val="right"/>
            </w:pPr>
            <w:r>
              <w:t>1,561,960</w:t>
            </w:r>
          </w:p>
        </w:tc>
      </w:tr>
      <w:tr w:rsidR="00B02873" w:rsidRPr="00B02873" w14:paraId="6681B1A3" w14:textId="77777777" w:rsidTr="00604205">
        <w:tc>
          <w:tcPr>
            <w:tcW w:w="3823" w:type="dxa"/>
          </w:tcPr>
          <w:p w14:paraId="3629AB8F" w14:textId="6E9B59FD" w:rsidR="00B02873" w:rsidRDefault="00012C04" w:rsidP="00B415A9">
            <w:pPr>
              <w:pStyle w:val="TablebodyleftTables"/>
            </w:pPr>
            <w:r>
              <w:t xml:space="preserve"> </w:t>
            </w:r>
            <w:r w:rsidR="00B02873">
              <w:t xml:space="preserve"> ZEVs (passenger vehicles)</w:t>
            </w:r>
          </w:p>
        </w:tc>
        <w:tc>
          <w:tcPr>
            <w:tcW w:w="1451" w:type="dxa"/>
          </w:tcPr>
          <w:p w14:paraId="77A76E94" w14:textId="77777777" w:rsidR="00B02873" w:rsidRDefault="00B02873" w:rsidP="009121E6">
            <w:pPr>
              <w:pStyle w:val="TablebodyleftTables"/>
              <w:jc w:val="right"/>
            </w:pPr>
            <w:r>
              <w:t>3,677</w:t>
            </w:r>
          </w:p>
        </w:tc>
        <w:tc>
          <w:tcPr>
            <w:tcW w:w="1451" w:type="dxa"/>
          </w:tcPr>
          <w:p w14:paraId="6D4A179A" w14:textId="77777777" w:rsidR="00B02873" w:rsidRDefault="00B02873" w:rsidP="009121E6">
            <w:pPr>
              <w:pStyle w:val="TablebodyleftTables"/>
              <w:jc w:val="right"/>
            </w:pPr>
            <w:r>
              <w:t>0</w:t>
            </w:r>
          </w:p>
        </w:tc>
        <w:tc>
          <w:tcPr>
            <w:tcW w:w="1451" w:type="dxa"/>
          </w:tcPr>
          <w:p w14:paraId="4E786841" w14:textId="77777777" w:rsidR="00B02873" w:rsidRDefault="00B02873" w:rsidP="009121E6">
            <w:pPr>
              <w:pStyle w:val="TablebodyleftTables"/>
              <w:jc w:val="right"/>
            </w:pPr>
            <w:r>
              <w:t>0</w:t>
            </w:r>
          </w:p>
        </w:tc>
        <w:tc>
          <w:tcPr>
            <w:tcW w:w="1452" w:type="dxa"/>
          </w:tcPr>
          <w:p w14:paraId="7C446272" w14:textId="77777777" w:rsidR="00B02873" w:rsidRDefault="00B02873" w:rsidP="009121E6">
            <w:pPr>
              <w:pStyle w:val="TablebodyleftTables"/>
              <w:jc w:val="right"/>
            </w:pPr>
            <w:r>
              <w:t>0</w:t>
            </w:r>
          </w:p>
        </w:tc>
      </w:tr>
      <w:tr w:rsidR="00B02873" w:rsidRPr="00B02873" w14:paraId="3E4058A9" w14:textId="77777777" w:rsidTr="00604205">
        <w:tc>
          <w:tcPr>
            <w:tcW w:w="3823" w:type="dxa"/>
          </w:tcPr>
          <w:p w14:paraId="1888AEBB" w14:textId="776236AA" w:rsidR="00B02873" w:rsidRDefault="00012C04" w:rsidP="00B415A9">
            <w:pPr>
              <w:pStyle w:val="TablebodyleftTables"/>
            </w:pPr>
            <w:r>
              <w:t xml:space="preserve"> </w:t>
            </w:r>
            <w:r w:rsidR="00B02873">
              <w:t xml:space="preserve"> Operational vehicles: 4WD and ultralight tankers</w:t>
            </w:r>
          </w:p>
        </w:tc>
        <w:tc>
          <w:tcPr>
            <w:tcW w:w="1451" w:type="dxa"/>
          </w:tcPr>
          <w:p w14:paraId="4EA400B8" w14:textId="77777777" w:rsidR="00B02873" w:rsidRDefault="00B02873" w:rsidP="009121E6">
            <w:pPr>
              <w:pStyle w:val="TablebodyleftTables"/>
              <w:jc w:val="right"/>
            </w:pPr>
            <w:r>
              <w:t>14,225,926</w:t>
            </w:r>
          </w:p>
        </w:tc>
        <w:tc>
          <w:tcPr>
            <w:tcW w:w="1451" w:type="dxa"/>
          </w:tcPr>
          <w:p w14:paraId="04BC62F2" w14:textId="77777777" w:rsidR="00B02873" w:rsidRDefault="00B02873" w:rsidP="009121E6">
            <w:pPr>
              <w:pStyle w:val="TablebodyleftTables"/>
              <w:jc w:val="right"/>
            </w:pPr>
            <w:r>
              <w:t>11,517,267</w:t>
            </w:r>
          </w:p>
        </w:tc>
        <w:tc>
          <w:tcPr>
            <w:tcW w:w="1451" w:type="dxa"/>
          </w:tcPr>
          <w:p w14:paraId="4A2C980F" w14:textId="77777777" w:rsidR="00B02873" w:rsidRDefault="00B02873" w:rsidP="009121E6">
            <w:pPr>
              <w:pStyle w:val="TablebodyleftTables"/>
              <w:jc w:val="right"/>
            </w:pPr>
            <w:r>
              <w:t>16,223,829</w:t>
            </w:r>
          </w:p>
        </w:tc>
        <w:tc>
          <w:tcPr>
            <w:tcW w:w="1452" w:type="dxa"/>
          </w:tcPr>
          <w:p w14:paraId="2BD24F7E" w14:textId="77777777" w:rsidR="00B02873" w:rsidRDefault="00B02873" w:rsidP="009121E6">
            <w:pPr>
              <w:pStyle w:val="TablebodyleftTables"/>
              <w:jc w:val="right"/>
            </w:pPr>
            <w:r>
              <w:t>12,273,535</w:t>
            </w:r>
          </w:p>
        </w:tc>
      </w:tr>
      <w:tr w:rsidR="00B02873" w:rsidRPr="00B02873" w14:paraId="1431E498" w14:textId="77777777" w:rsidTr="00604205">
        <w:tc>
          <w:tcPr>
            <w:tcW w:w="3823" w:type="dxa"/>
          </w:tcPr>
          <w:p w14:paraId="61EAC8D0" w14:textId="77777777" w:rsidR="00B02873" w:rsidRDefault="00B02873" w:rsidP="00B415A9">
            <w:pPr>
              <w:pStyle w:val="TablebodyleftTables"/>
            </w:pPr>
            <w:r>
              <w:rPr>
                <w:rStyle w:val="Bold"/>
                <w:spacing w:val="-5"/>
              </w:rPr>
              <w:t>T3. Total greenhouse gas emissions from fleet vehicles (tonnes CO</w:t>
            </w:r>
            <w:r w:rsidRPr="00604205">
              <w:rPr>
                <w:rStyle w:val="Bold"/>
                <w:spacing w:val="-5"/>
                <w:vertAlign w:val="subscript"/>
              </w:rPr>
              <w:t>2</w:t>
            </w:r>
            <w:r>
              <w:rPr>
                <w:rStyle w:val="Bold"/>
                <w:spacing w:val="-5"/>
              </w:rPr>
              <w:t xml:space="preserve">-e) </w:t>
            </w:r>
          </w:p>
        </w:tc>
        <w:tc>
          <w:tcPr>
            <w:tcW w:w="1451" w:type="dxa"/>
          </w:tcPr>
          <w:p w14:paraId="0726CA67" w14:textId="77777777" w:rsidR="00B02873" w:rsidRDefault="00B02873" w:rsidP="009121E6">
            <w:pPr>
              <w:pStyle w:val="TablebodyleftTables"/>
              <w:jc w:val="right"/>
            </w:pPr>
            <w:r>
              <w:rPr>
                <w:rStyle w:val="Bold"/>
              </w:rPr>
              <w:t>5,797</w:t>
            </w:r>
          </w:p>
        </w:tc>
        <w:tc>
          <w:tcPr>
            <w:tcW w:w="1451" w:type="dxa"/>
          </w:tcPr>
          <w:p w14:paraId="762F880A" w14:textId="77777777" w:rsidR="00B02873" w:rsidRDefault="00B02873" w:rsidP="009121E6">
            <w:pPr>
              <w:pStyle w:val="TablebodyleftTables"/>
              <w:jc w:val="right"/>
            </w:pPr>
            <w:r>
              <w:rPr>
                <w:rStyle w:val="Bold"/>
              </w:rPr>
              <w:t>6,382</w:t>
            </w:r>
            <w:r>
              <w:rPr>
                <w:rStyle w:val="Bold"/>
                <w:vertAlign w:val="superscript"/>
              </w:rPr>
              <w:t>(ii)</w:t>
            </w:r>
          </w:p>
        </w:tc>
        <w:tc>
          <w:tcPr>
            <w:tcW w:w="1451" w:type="dxa"/>
          </w:tcPr>
          <w:p w14:paraId="1882D16F" w14:textId="77777777" w:rsidR="00B02873" w:rsidRDefault="00B02873" w:rsidP="009121E6">
            <w:pPr>
              <w:pStyle w:val="TablebodyleftTables"/>
              <w:jc w:val="right"/>
            </w:pPr>
            <w:r>
              <w:rPr>
                <w:rStyle w:val="Bold"/>
              </w:rPr>
              <w:t>9,272</w:t>
            </w:r>
            <w:r>
              <w:rPr>
                <w:rStyle w:val="Bold"/>
                <w:vertAlign w:val="superscript"/>
              </w:rPr>
              <w:t>(ii)</w:t>
            </w:r>
          </w:p>
        </w:tc>
        <w:tc>
          <w:tcPr>
            <w:tcW w:w="1452" w:type="dxa"/>
          </w:tcPr>
          <w:p w14:paraId="6DA95514" w14:textId="77777777" w:rsidR="00B02873" w:rsidRDefault="00B02873" w:rsidP="009121E6">
            <w:pPr>
              <w:pStyle w:val="TablebodyleftTables"/>
              <w:jc w:val="right"/>
            </w:pPr>
            <w:r>
              <w:rPr>
                <w:rStyle w:val="Bold"/>
              </w:rPr>
              <w:t>7,203</w:t>
            </w:r>
            <w:r>
              <w:rPr>
                <w:rStyle w:val="Bold"/>
                <w:vertAlign w:val="superscript"/>
              </w:rPr>
              <w:t>(ii)</w:t>
            </w:r>
          </w:p>
        </w:tc>
      </w:tr>
      <w:tr w:rsidR="00B02873" w:rsidRPr="00B02873" w14:paraId="6BAD4245" w14:textId="77777777" w:rsidTr="00604205">
        <w:tc>
          <w:tcPr>
            <w:tcW w:w="3823" w:type="dxa"/>
          </w:tcPr>
          <w:p w14:paraId="591B464D" w14:textId="337E4853" w:rsidR="00B02873" w:rsidRDefault="00012C04" w:rsidP="00B415A9">
            <w:pPr>
              <w:pStyle w:val="TablebodyleftTables"/>
            </w:pPr>
            <w:r>
              <w:t xml:space="preserve"> </w:t>
            </w:r>
            <w:r w:rsidR="00B02873">
              <w:t xml:space="preserve"> Passenger vehicles</w:t>
            </w:r>
          </w:p>
        </w:tc>
        <w:tc>
          <w:tcPr>
            <w:tcW w:w="1451" w:type="dxa"/>
          </w:tcPr>
          <w:p w14:paraId="0664E2D3" w14:textId="77777777" w:rsidR="00B02873" w:rsidRDefault="00B02873" w:rsidP="009121E6">
            <w:pPr>
              <w:pStyle w:val="TablebodyleftTables"/>
              <w:jc w:val="right"/>
            </w:pPr>
            <w:r>
              <w:t>309</w:t>
            </w:r>
          </w:p>
        </w:tc>
        <w:tc>
          <w:tcPr>
            <w:tcW w:w="1451" w:type="dxa"/>
          </w:tcPr>
          <w:p w14:paraId="675E6CE0" w14:textId="77777777" w:rsidR="00B02873" w:rsidRDefault="00B02873" w:rsidP="009121E6">
            <w:pPr>
              <w:pStyle w:val="TablebodyleftTables"/>
              <w:jc w:val="right"/>
            </w:pPr>
            <w:r>
              <w:t>222</w:t>
            </w:r>
          </w:p>
        </w:tc>
        <w:tc>
          <w:tcPr>
            <w:tcW w:w="1451" w:type="dxa"/>
          </w:tcPr>
          <w:p w14:paraId="2C83BE5E" w14:textId="77777777" w:rsidR="00B02873" w:rsidRDefault="00B02873" w:rsidP="009121E6">
            <w:pPr>
              <w:pStyle w:val="TablebodyleftTables"/>
              <w:jc w:val="right"/>
            </w:pPr>
            <w:r>
              <w:t>776</w:t>
            </w:r>
          </w:p>
        </w:tc>
        <w:tc>
          <w:tcPr>
            <w:tcW w:w="1452" w:type="dxa"/>
          </w:tcPr>
          <w:p w14:paraId="552AF2B1" w14:textId="77777777" w:rsidR="00B02873" w:rsidRDefault="00B02873" w:rsidP="009121E6">
            <w:pPr>
              <w:pStyle w:val="TablebodyleftTables"/>
              <w:jc w:val="right"/>
            </w:pPr>
            <w:r>
              <w:t>876</w:t>
            </w:r>
          </w:p>
        </w:tc>
      </w:tr>
      <w:tr w:rsidR="00B02873" w:rsidRPr="00B02873" w14:paraId="3F1ADD1E" w14:textId="77777777" w:rsidTr="00604205">
        <w:tc>
          <w:tcPr>
            <w:tcW w:w="3823" w:type="dxa"/>
          </w:tcPr>
          <w:p w14:paraId="70D44654" w14:textId="11F7B7F2" w:rsidR="00B02873" w:rsidRDefault="00012C04" w:rsidP="00B415A9">
            <w:pPr>
              <w:pStyle w:val="TablebodyleftTables"/>
            </w:pPr>
            <w:r>
              <w:t xml:space="preserve"> </w:t>
            </w:r>
            <w:r w:rsidR="00B02873">
              <w:t xml:space="preserve"> Operational vehicles </w:t>
            </w:r>
          </w:p>
        </w:tc>
        <w:tc>
          <w:tcPr>
            <w:tcW w:w="1451" w:type="dxa"/>
          </w:tcPr>
          <w:p w14:paraId="1A9AE8B3" w14:textId="77777777" w:rsidR="00B02873" w:rsidRDefault="00B02873" w:rsidP="009121E6">
            <w:pPr>
              <w:pStyle w:val="TablebodyleftTables"/>
              <w:jc w:val="right"/>
            </w:pPr>
            <w:r>
              <w:t>5,488</w:t>
            </w:r>
            <w:r>
              <w:rPr>
                <w:vertAlign w:val="superscript"/>
              </w:rPr>
              <w:t>(iv)</w:t>
            </w:r>
          </w:p>
        </w:tc>
        <w:tc>
          <w:tcPr>
            <w:tcW w:w="1451" w:type="dxa"/>
          </w:tcPr>
          <w:p w14:paraId="43DDC8F5" w14:textId="77777777" w:rsidR="00B02873" w:rsidRDefault="00B02873" w:rsidP="009121E6">
            <w:pPr>
              <w:pStyle w:val="TablebodyleftTables"/>
              <w:jc w:val="right"/>
            </w:pPr>
            <w:r>
              <w:t>6,160</w:t>
            </w:r>
            <w:r>
              <w:rPr>
                <w:vertAlign w:val="superscript"/>
              </w:rPr>
              <w:t>(ii)</w:t>
            </w:r>
          </w:p>
        </w:tc>
        <w:tc>
          <w:tcPr>
            <w:tcW w:w="1451" w:type="dxa"/>
          </w:tcPr>
          <w:p w14:paraId="2E73461B" w14:textId="77777777" w:rsidR="00B02873" w:rsidRDefault="00B02873" w:rsidP="009121E6">
            <w:pPr>
              <w:pStyle w:val="TablebodyleftTables"/>
              <w:jc w:val="right"/>
            </w:pPr>
            <w:r>
              <w:t>8,496</w:t>
            </w:r>
            <w:r>
              <w:rPr>
                <w:vertAlign w:val="superscript"/>
              </w:rPr>
              <w:t>(ii)</w:t>
            </w:r>
          </w:p>
        </w:tc>
        <w:tc>
          <w:tcPr>
            <w:tcW w:w="1452" w:type="dxa"/>
          </w:tcPr>
          <w:p w14:paraId="17555141" w14:textId="77777777" w:rsidR="00B02873" w:rsidRDefault="00B02873" w:rsidP="009121E6">
            <w:pPr>
              <w:pStyle w:val="TablebodyleftTables"/>
              <w:jc w:val="right"/>
            </w:pPr>
            <w:r>
              <w:t>6,326</w:t>
            </w:r>
            <w:r>
              <w:rPr>
                <w:vertAlign w:val="superscript"/>
              </w:rPr>
              <w:t>(ii)</w:t>
            </w:r>
          </w:p>
        </w:tc>
      </w:tr>
      <w:tr w:rsidR="00B02873" w:rsidRPr="00B02873" w14:paraId="1FCAA67C" w14:textId="77777777" w:rsidTr="00604205">
        <w:tc>
          <w:tcPr>
            <w:tcW w:w="3823" w:type="dxa"/>
          </w:tcPr>
          <w:p w14:paraId="04A18BB6" w14:textId="47659549" w:rsidR="00B02873" w:rsidRDefault="00012C04" w:rsidP="00B415A9">
            <w:pPr>
              <w:pStyle w:val="TablebodyleftTables"/>
            </w:pPr>
            <w:r>
              <w:t xml:space="preserve"> </w:t>
            </w:r>
            <w:r w:rsidR="00B02873">
              <w:t xml:space="preserve"> Diesel (passenger vehicles)</w:t>
            </w:r>
          </w:p>
        </w:tc>
        <w:tc>
          <w:tcPr>
            <w:tcW w:w="1451" w:type="dxa"/>
          </w:tcPr>
          <w:p w14:paraId="4479875B" w14:textId="77777777" w:rsidR="00B02873" w:rsidRDefault="00B02873" w:rsidP="009121E6">
            <w:pPr>
              <w:pStyle w:val="TablebodyleftTables"/>
              <w:jc w:val="right"/>
            </w:pPr>
            <w:r>
              <w:t>66</w:t>
            </w:r>
          </w:p>
        </w:tc>
        <w:tc>
          <w:tcPr>
            <w:tcW w:w="1451" w:type="dxa"/>
          </w:tcPr>
          <w:p w14:paraId="054A776B" w14:textId="77777777" w:rsidR="00B02873" w:rsidRDefault="00B02873" w:rsidP="009121E6">
            <w:pPr>
              <w:pStyle w:val="TablebodyleftTables"/>
              <w:jc w:val="right"/>
            </w:pPr>
            <w:r>
              <w:t>59</w:t>
            </w:r>
          </w:p>
        </w:tc>
        <w:tc>
          <w:tcPr>
            <w:tcW w:w="1451" w:type="dxa"/>
          </w:tcPr>
          <w:p w14:paraId="14D3F0AE" w14:textId="77777777" w:rsidR="00B02873" w:rsidRDefault="00B02873" w:rsidP="009121E6">
            <w:pPr>
              <w:pStyle w:val="TablebodyleftTables"/>
              <w:jc w:val="right"/>
            </w:pPr>
            <w:r>
              <w:t>56</w:t>
            </w:r>
          </w:p>
        </w:tc>
        <w:tc>
          <w:tcPr>
            <w:tcW w:w="1452" w:type="dxa"/>
          </w:tcPr>
          <w:p w14:paraId="21C50E84" w14:textId="77777777" w:rsidR="00B02873" w:rsidRDefault="00B02873" w:rsidP="009121E6">
            <w:pPr>
              <w:pStyle w:val="TablebodyleftTables"/>
              <w:jc w:val="right"/>
            </w:pPr>
            <w:r>
              <w:t>225</w:t>
            </w:r>
          </w:p>
        </w:tc>
      </w:tr>
      <w:tr w:rsidR="00B02873" w:rsidRPr="00B02873" w14:paraId="2CB18764" w14:textId="77777777" w:rsidTr="00604205">
        <w:tc>
          <w:tcPr>
            <w:tcW w:w="3823" w:type="dxa"/>
          </w:tcPr>
          <w:p w14:paraId="3C61B64B" w14:textId="31F42BD0" w:rsidR="00B02873" w:rsidRDefault="00012C04" w:rsidP="00B415A9">
            <w:pPr>
              <w:pStyle w:val="TablebodyleftTables"/>
            </w:pPr>
            <w:r>
              <w:lastRenderedPageBreak/>
              <w:t xml:space="preserve"> </w:t>
            </w:r>
            <w:r w:rsidR="00B02873">
              <w:t xml:space="preserve"> LPG (passenger vehicles)</w:t>
            </w:r>
          </w:p>
        </w:tc>
        <w:tc>
          <w:tcPr>
            <w:tcW w:w="1451" w:type="dxa"/>
          </w:tcPr>
          <w:p w14:paraId="0B9B2D85" w14:textId="77777777" w:rsidR="00B02873" w:rsidRDefault="00B02873" w:rsidP="009121E6">
            <w:pPr>
              <w:pStyle w:val="TablebodyleftTables"/>
              <w:jc w:val="right"/>
            </w:pPr>
            <w:r>
              <w:t>0</w:t>
            </w:r>
          </w:p>
        </w:tc>
        <w:tc>
          <w:tcPr>
            <w:tcW w:w="1451" w:type="dxa"/>
          </w:tcPr>
          <w:p w14:paraId="5B2E0BB9" w14:textId="77777777" w:rsidR="00B02873" w:rsidRDefault="00B02873" w:rsidP="009121E6">
            <w:pPr>
              <w:pStyle w:val="TablebodyleftTables"/>
              <w:jc w:val="right"/>
            </w:pPr>
            <w:r>
              <w:t>0</w:t>
            </w:r>
          </w:p>
        </w:tc>
        <w:tc>
          <w:tcPr>
            <w:tcW w:w="1451" w:type="dxa"/>
          </w:tcPr>
          <w:p w14:paraId="1084B232" w14:textId="77777777" w:rsidR="00B02873" w:rsidRDefault="00B02873" w:rsidP="009121E6">
            <w:pPr>
              <w:pStyle w:val="TablebodyleftTables"/>
              <w:jc w:val="right"/>
            </w:pPr>
            <w:r>
              <w:t>0</w:t>
            </w:r>
          </w:p>
        </w:tc>
        <w:tc>
          <w:tcPr>
            <w:tcW w:w="1452" w:type="dxa"/>
          </w:tcPr>
          <w:p w14:paraId="4DB4D08D" w14:textId="77777777" w:rsidR="00B02873" w:rsidRDefault="00B02873" w:rsidP="009121E6">
            <w:pPr>
              <w:pStyle w:val="TablebodyleftTables"/>
              <w:jc w:val="right"/>
            </w:pPr>
            <w:r>
              <w:t>54</w:t>
            </w:r>
          </w:p>
        </w:tc>
      </w:tr>
      <w:tr w:rsidR="00B02873" w:rsidRPr="00B02873" w14:paraId="28C43F22" w14:textId="77777777" w:rsidTr="00604205">
        <w:tc>
          <w:tcPr>
            <w:tcW w:w="3823" w:type="dxa"/>
          </w:tcPr>
          <w:p w14:paraId="31A3DCD3" w14:textId="129AC89F" w:rsidR="00B02873" w:rsidRDefault="00012C04" w:rsidP="00B415A9">
            <w:pPr>
              <w:pStyle w:val="TablebodyleftTables"/>
            </w:pPr>
            <w:r>
              <w:t xml:space="preserve"> </w:t>
            </w:r>
            <w:r w:rsidR="00B02873">
              <w:t xml:space="preserve"> Unleaded (passenger vehicles)</w:t>
            </w:r>
          </w:p>
        </w:tc>
        <w:tc>
          <w:tcPr>
            <w:tcW w:w="1451" w:type="dxa"/>
          </w:tcPr>
          <w:p w14:paraId="765B47CA" w14:textId="77777777" w:rsidR="00B02873" w:rsidRDefault="00B02873" w:rsidP="009121E6">
            <w:pPr>
              <w:pStyle w:val="TablebodyleftTables"/>
              <w:jc w:val="right"/>
            </w:pPr>
            <w:r>
              <w:t>138</w:t>
            </w:r>
          </w:p>
        </w:tc>
        <w:tc>
          <w:tcPr>
            <w:tcW w:w="1451" w:type="dxa"/>
          </w:tcPr>
          <w:p w14:paraId="26DE18FB" w14:textId="77777777" w:rsidR="00B02873" w:rsidRDefault="00B02873" w:rsidP="009121E6">
            <w:pPr>
              <w:pStyle w:val="TablebodyleftTables"/>
              <w:jc w:val="right"/>
            </w:pPr>
            <w:r>
              <w:t>123</w:t>
            </w:r>
          </w:p>
        </w:tc>
        <w:tc>
          <w:tcPr>
            <w:tcW w:w="1451" w:type="dxa"/>
          </w:tcPr>
          <w:p w14:paraId="31710DC1" w14:textId="77777777" w:rsidR="00B02873" w:rsidRDefault="00B02873" w:rsidP="009121E6">
            <w:pPr>
              <w:pStyle w:val="TablebodyleftTables"/>
              <w:jc w:val="right"/>
            </w:pPr>
            <w:r>
              <w:t>575</w:t>
            </w:r>
          </w:p>
        </w:tc>
        <w:tc>
          <w:tcPr>
            <w:tcW w:w="1452" w:type="dxa"/>
          </w:tcPr>
          <w:p w14:paraId="59298445" w14:textId="77777777" w:rsidR="00B02873" w:rsidRDefault="00B02873" w:rsidP="009121E6">
            <w:pPr>
              <w:pStyle w:val="TablebodyleftTables"/>
              <w:jc w:val="right"/>
            </w:pPr>
            <w:r>
              <w:t>434</w:t>
            </w:r>
          </w:p>
        </w:tc>
      </w:tr>
      <w:tr w:rsidR="00B02873" w:rsidRPr="00B02873" w14:paraId="346AACBF" w14:textId="77777777" w:rsidTr="00604205">
        <w:tc>
          <w:tcPr>
            <w:tcW w:w="3823" w:type="dxa"/>
          </w:tcPr>
          <w:p w14:paraId="0BB6BCB1" w14:textId="7DCA7ADD" w:rsidR="00B02873" w:rsidRDefault="00012C04" w:rsidP="00B415A9">
            <w:pPr>
              <w:pStyle w:val="TablebodyleftTables"/>
            </w:pPr>
            <w:r>
              <w:t xml:space="preserve"> </w:t>
            </w:r>
            <w:r w:rsidR="00B02873">
              <w:t xml:space="preserve"> ZEVs (passenger vehicles)</w:t>
            </w:r>
          </w:p>
        </w:tc>
        <w:tc>
          <w:tcPr>
            <w:tcW w:w="1451" w:type="dxa"/>
          </w:tcPr>
          <w:p w14:paraId="7C7194C2" w14:textId="77777777" w:rsidR="00B02873" w:rsidRDefault="00B02873" w:rsidP="009121E6">
            <w:pPr>
              <w:pStyle w:val="TablebodyleftTables"/>
              <w:jc w:val="right"/>
            </w:pPr>
            <w:r>
              <w:t>0</w:t>
            </w:r>
          </w:p>
        </w:tc>
        <w:tc>
          <w:tcPr>
            <w:tcW w:w="1451" w:type="dxa"/>
          </w:tcPr>
          <w:p w14:paraId="2C64DB1A" w14:textId="77777777" w:rsidR="00B02873" w:rsidRDefault="00B02873" w:rsidP="009121E6">
            <w:pPr>
              <w:pStyle w:val="TablebodyleftTables"/>
              <w:jc w:val="right"/>
            </w:pPr>
            <w:r>
              <w:t>0</w:t>
            </w:r>
          </w:p>
        </w:tc>
        <w:tc>
          <w:tcPr>
            <w:tcW w:w="1451" w:type="dxa"/>
          </w:tcPr>
          <w:p w14:paraId="34363B67" w14:textId="77777777" w:rsidR="00B02873" w:rsidRDefault="00B02873" w:rsidP="009121E6">
            <w:pPr>
              <w:pStyle w:val="TablebodyleftTables"/>
              <w:jc w:val="right"/>
            </w:pPr>
            <w:r>
              <w:t>0</w:t>
            </w:r>
          </w:p>
        </w:tc>
        <w:tc>
          <w:tcPr>
            <w:tcW w:w="1452" w:type="dxa"/>
          </w:tcPr>
          <w:p w14:paraId="1F91B8C9" w14:textId="77777777" w:rsidR="00B02873" w:rsidRDefault="00B02873" w:rsidP="009121E6">
            <w:pPr>
              <w:pStyle w:val="TablebodyleftTables"/>
              <w:jc w:val="right"/>
            </w:pPr>
            <w:r>
              <w:t>0</w:t>
            </w:r>
          </w:p>
        </w:tc>
      </w:tr>
      <w:tr w:rsidR="00B02873" w:rsidRPr="00B02873" w14:paraId="2C7AB37C" w14:textId="77777777" w:rsidTr="00604205">
        <w:tc>
          <w:tcPr>
            <w:tcW w:w="3823" w:type="dxa"/>
          </w:tcPr>
          <w:p w14:paraId="7B71D7ED" w14:textId="15D9A5C5" w:rsidR="00B02873" w:rsidRDefault="00012C04" w:rsidP="00B415A9">
            <w:pPr>
              <w:pStyle w:val="TablebodyleftTables"/>
            </w:pPr>
            <w:r>
              <w:t xml:space="preserve"> </w:t>
            </w:r>
            <w:r w:rsidR="00B02873">
              <w:t xml:space="preserve"> Hybrid (passenger vehicles)</w:t>
            </w:r>
          </w:p>
        </w:tc>
        <w:tc>
          <w:tcPr>
            <w:tcW w:w="1451" w:type="dxa"/>
          </w:tcPr>
          <w:p w14:paraId="5975964F" w14:textId="77777777" w:rsidR="00B02873" w:rsidRDefault="00B02873" w:rsidP="009121E6">
            <w:pPr>
              <w:pStyle w:val="TablebodyleftTables"/>
              <w:jc w:val="right"/>
            </w:pPr>
            <w:r>
              <w:t>104</w:t>
            </w:r>
          </w:p>
        </w:tc>
        <w:tc>
          <w:tcPr>
            <w:tcW w:w="1451" w:type="dxa"/>
          </w:tcPr>
          <w:p w14:paraId="0F142E3E" w14:textId="77777777" w:rsidR="00B02873" w:rsidRDefault="00B02873" w:rsidP="009121E6">
            <w:pPr>
              <w:pStyle w:val="TablebodyleftTables"/>
              <w:jc w:val="right"/>
            </w:pPr>
            <w:r>
              <w:t>41</w:t>
            </w:r>
          </w:p>
        </w:tc>
        <w:tc>
          <w:tcPr>
            <w:tcW w:w="1451" w:type="dxa"/>
          </w:tcPr>
          <w:p w14:paraId="143EB653" w14:textId="77777777" w:rsidR="00B02873" w:rsidRDefault="00B02873" w:rsidP="009121E6">
            <w:pPr>
              <w:pStyle w:val="TablebodyleftTables"/>
              <w:jc w:val="right"/>
            </w:pPr>
            <w:r>
              <w:t>145</w:t>
            </w:r>
          </w:p>
        </w:tc>
        <w:tc>
          <w:tcPr>
            <w:tcW w:w="1452" w:type="dxa"/>
          </w:tcPr>
          <w:p w14:paraId="44E551AA" w14:textId="77777777" w:rsidR="00B02873" w:rsidRDefault="00B02873" w:rsidP="009121E6">
            <w:pPr>
              <w:pStyle w:val="TablebodyleftTables"/>
              <w:jc w:val="right"/>
            </w:pPr>
            <w:r>
              <w:t>163</w:t>
            </w:r>
          </w:p>
        </w:tc>
      </w:tr>
      <w:tr w:rsidR="00B02873" w:rsidRPr="00B02873" w14:paraId="30E7BF84" w14:textId="77777777" w:rsidTr="00604205">
        <w:tc>
          <w:tcPr>
            <w:tcW w:w="3823" w:type="dxa"/>
          </w:tcPr>
          <w:p w14:paraId="6C7BAA26" w14:textId="77777777" w:rsidR="00B02873" w:rsidRDefault="00B02873" w:rsidP="00B415A9">
            <w:pPr>
              <w:pStyle w:val="TablebodyleftTables"/>
            </w:pPr>
            <w:r>
              <w:rPr>
                <w:rStyle w:val="Bold"/>
                <w:spacing w:val="-3"/>
              </w:rPr>
              <w:t>T4. Greenhouse gas emissions from fleet vehicles per 1000km (tonnes CO</w:t>
            </w:r>
            <w:r w:rsidRPr="00604205">
              <w:rPr>
                <w:rStyle w:val="Bold"/>
                <w:spacing w:val="-3"/>
                <w:vertAlign w:val="subscript"/>
              </w:rPr>
              <w:t>2</w:t>
            </w:r>
            <w:r>
              <w:rPr>
                <w:rStyle w:val="Bold"/>
                <w:spacing w:val="-3"/>
              </w:rPr>
              <w:t>-e)</w:t>
            </w:r>
            <w:r>
              <w:rPr>
                <w:rStyle w:val="Bold"/>
                <w:spacing w:val="-3"/>
                <w:vertAlign w:val="superscript"/>
              </w:rPr>
              <w:t>(iii)</w:t>
            </w:r>
          </w:p>
        </w:tc>
        <w:tc>
          <w:tcPr>
            <w:tcW w:w="1451" w:type="dxa"/>
          </w:tcPr>
          <w:p w14:paraId="5F3B6BD7" w14:textId="77777777" w:rsidR="00B02873" w:rsidRDefault="00B02873" w:rsidP="009121E6">
            <w:pPr>
              <w:pStyle w:val="TablebodyleftTables"/>
              <w:jc w:val="right"/>
            </w:pPr>
            <w:r>
              <w:rPr>
                <w:rStyle w:val="Bold"/>
              </w:rPr>
              <w:t>0.21</w:t>
            </w:r>
          </w:p>
        </w:tc>
        <w:tc>
          <w:tcPr>
            <w:tcW w:w="1451" w:type="dxa"/>
          </w:tcPr>
          <w:p w14:paraId="05A4F0A6" w14:textId="77777777" w:rsidR="00B02873" w:rsidRDefault="00B02873" w:rsidP="009121E6">
            <w:pPr>
              <w:pStyle w:val="TablebodyleftTables"/>
              <w:jc w:val="right"/>
            </w:pPr>
            <w:r>
              <w:rPr>
                <w:rStyle w:val="Bold"/>
              </w:rPr>
              <w:t>0.20</w:t>
            </w:r>
          </w:p>
        </w:tc>
        <w:tc>
          <w:tcPr>
            <w:tcW w:w="1451" w:type="dxa"/>
          </w:tcPr>
          <w:p w14:paraId="23B0C61B" w14:textId="77777777" w:rsidR="00B02873" w:rsidRDefault="00B02873" w:rsidP="009121E6">
            <w:pPr>
              <w:pStyle w:val="TablebodyleftTables"/>
              <w:jc w:val="right"/>
            </w:pPr>
            <w:r>
              <w:rPr>
                <w:rStyle w:val="Bold"/>
              </w:rPr>
              <w:t>0.19</w:t>
            </w:r>
          </w:p>
        </w:tc>
        <w:tc>
          <w:tcPr>
            <w:tcW w:w="1452" w:type="dxa"/>
          </w:tcPr>
          <w:p w14:paraId="4FACBD51" w14:textId="77777777" w:rsidR="00B02873" w:rsidRDefault="00B02873" w:rsidP="009121E6">
            <w:pPr>
              <w:pStyle w:val="TablebodyleftTables"/>
              <w:jc w:val="right"/>
            </w:pPr>
            <w:r>
              <w:rPr>
                <w:rStyle w:val="Bold"/>
              </w:rPr>
              <w:t>0.17</w:t>
            </w:r>
          </w:p>
        </w:tc>
      </w:tr>
      <w:tr w:rsidR="00B02873" w:rsidRPr="00B02873" w14:paraId="412E78F0" w14:textId="77777777" w:rsidTr="00604205">
        <w:tc>
          <w:tcPr>
            <w:tcW w:w="3823" w:type="dxa"/>
          </w:tcPr>
          <w:p w14:paraId="45AB04CB" w14:textId="2EFC2044" w:rsidR="00B02873" w:rsidRDefault="00012C04" w:rsidP="00B415A9">
            <w:pPr>
              <w:pStyle w:val="TablebodyleftTables"/>
            </w:pPr>
            <w:r>
              <w:t xml:space="preserve"> </w:t>
            </w:r>
            <w:r w:rsidR="00B02873">
              <w:t xml:space="preserve"> Diesel (passenger vehicles)</w:t>
            </w:r>
          </w:p>
        </w:tc>
        <w:tc>
          <w:tcPr>
            <w:tcW w:w="1451" w:type="dxa"/>
          </w:tcPr>
          <w:p w14:paraId="4CE3B16B" w14:textId="77777777" w:rsidR="00B02873" w:rsidRDefault="00B02873" w:rsidP="009121E6">
            <w:pPr>
              <w:pStyle w:val="TablebodyleftTables"/>
              <w:jc w:val="right"/>
            </w:pPr>
            <w:r>
              <w:t>0.25</w:t>
            </w:r>
          </w:p>
        </w:tc>
        <w:tc>
          <w:tcPr>
            <w:tcW w:w="1451" w:type="dxa"/>
          </w:tcPr>
          <w:p w14:paraId="561A2F42" w14:textId="77777777" w:rsidR="00B02873" w:rsidRDefault="00B02873" w:rsidP="009121E6">
            <w:pPr>
              <w:pStyle w:val="TablebodyleftTables"/>
              <w:jc w:val="right"/>
            </w:pPr>
            <w:r>
              <w:t>0.31</w:t>
            </w:r>
          </w:p>
        </w:tc>
        <w:tc>
          <w:tcPr>
            <w:tcW w:w="1451" w:type="dxa"/>
          </w:tcPr>
          <w:p w14:paraId="4593EB91" w14:textId="77777777" w:rsidR="00B02873" w:rsidRDefault="00B02873" w:rsidP="009121E6">
            <w:pPr>
              <w:pStyle w:val="TablebodyleftTables"/>
              <w:jc w:val="right"/>
            </w:pPr>
            <w:r>
              <w:t>0.14</w:t>
            </w:r>
          </w:p>
        </w:tc>
        <w:tc>
          <w:tcPr>
            <w:tcW w:w="1452" w:type="dxa"/>
          </w:tcPr>
          <w:p w14:paraId="56C0E56D" w14:textId="77777777" w:rsidR="00B02873" w:rsidRDefault="00B02873" w:rsidP="009121E6">
            <w:pPr>
              <w:pStyle w:val="TablebodyleftTables"/>
              <w:jc w:val="right"/>
            </w:pPr>
            <w:r>
              <w:t>0.24</w:t>
            </w:r>
          </w:p>
        </w:tc>
      </w:tr>
      <w:tr w:rsidR="00B02873" w:rsidRPr="00B02873" w14:paraId="4966E5B1" w14:textId="77777777" w:rsidTr="00604205">
        <w:tc>
          <w:tcPr>
            <w:tcW w:w="3823" w:type="dxa"/>
          </w:tcPr>
          <w:p w14:paraId="2EE27012" w14:textId="4280AB79" w:rsidR="00B02873" w:rsidRDefault="00012C04" w:rsidP="00B415A9">
            <w:pPr>
              <w:pStyle w:val="TablebodyleftTables"/>
            </w:pPr>
            <w:r>
              <w:t xml:space="preserve"> </w:t>
            </w:r>
            <w:r w:rsidR="00B02873">
              <w:t xml:space="preserve"> LPG (passenger vehicles)</w:t>
            </w:r>
          </w:p>
        </w:tc>
        <w:tc>
          <w:tcPr>
            <w:tcW w:w="1451" w:type="dxa"/>
          </w:tcPr>
          <w:p w14:paraId="3FF2370F" w14:textId="77777777" w:rsidR="00B02873" w:rsidRDefault="00B02873" w:rsidP="009121E6">
            <w:pPr>
              <w:pStyle w:val="TablebodyleftTables"/>
              <w:jc w:val="right"/>
            </w:pPr>
            <w:r>
              <w:t>N/A</w:t>
            </w:r>
          </w:p>
        </w:tc>
        <w:tc>
          <w:tcPr>
            <w:tcW w:w="1451" w:type="dxa"/>
          </w:tcPr>
          <w:p w14:paraId="4A371018" w14:textId="77777777" w:rsidR="00B02873" w:rsidRDefault="00B02873" w:rsidP="009121E6">
            <w:pPr>
              <w:pStyle w:val="TablebodyleftTables"/>
              <w:jc w:val="right"/>
            </w:pPr>
            <w:r>
              <w:t>N/A</w:t>
            </w:r>
          </w:p>
        </w:tc>
        <w:tc>
          <w:tcPr>
            <w:tcW w:w="1451" w:type="dxa"/>
          </w:tcPr>
          <w:p w14:paraId="3D7133CC" w14:textId="77777777" w:rsidR="00B02873" w:rsidRDefault="00B02873" w:rsidP="009121E6">
            <w:pPr>
              <w:pStyle w:val="TablebodyleftTables"/>
              <w:jc w:val="right"/>
            </w:pPr>
            <w:r>
              <w:t>N/A</w:t>
            </w:r>
          </w:p>
        </w:tc>
        <w:tc>
          <w:tcPr>
            <w:tcW w:w="1452" w:type="dxa"/>
          </w:tcPr>
          <w:p w14:paraId="3ADCF319" w14:textId="77777777" w:rsidR="00B02873" w:rsidRDefault="00B02873" w:rsidP="009121E6">
            <w:pPr>
              <w:pStyle w:val="TablebodyleftTables"/>
              <w:jc w:val="right"/>
            </w:pPr>
            <w:r>
              <w:t>0.13</w:t>
            </w:r>
          </w:p>
        </w:tc>
      </w:tr>
      <w:tr w:rsidR="00B02873" w:rsidRPr="00B02873" w14:paraId="57A87230" w14:textId="77777777" w:rsidTr="00604205">
        <w:tc>
          <w:tcPr>
            <w:tcW w:w="3823" w:type="dxa"/>
          </w:tcPr>
          <w:p w14:paraId="0B868874" w14:textId="5AC2A0F5" w:rsidR="00B02873" w:rsidRDefault="00012C04" w:rsidP="00B415A9">
            <w:pPr>
              <w:pStyle w:val="TablebodyleftTables"/>
            </w:pPr>
            <w:r>
              <w:t xml:space="preserve"> </w:t>
            </w:r>
            <w:r w:rsidR="00B02873">
              <w:t xml:space="preserve"> Unleaded (passenger vehicles)</w:t>
            </w:r>
          </w:p>
        </w:tc>
        <w:tc>
          <w:tcPr>
            <w:tcW w:w="1451" w:type="dxa"/>
          </w:tcPr>
          <w:p w14:paraId="432D72C0" w14:textId="77777777" w:rsidR="00B02873" w:rsidRDefault="00B02873" w:rsidP="009121E6">
            <w:pPr>
              <w:pStyle w:val="TablebodyleftTables"/>
              <w:jc w:val="right"/>
            </w:pPr>
            <w:r>
              <w:t>0.21</w:t>
            </w:r>
          </w:p>
        </w:tc>
        <w:tc>
          <w:tcPr>
            <w:tcW w:w="1451" w:type="dxa"/>
          </w:tcPr>
          <w:p w14:paraId="41981AD3" w14:textId="77777777" w:rsidR="00B02873" w:rsidRDefault="00B02873" w:rsidP="009121E6">
            <w:pPr>
              <w:pStyle w:val="TablebodyleftTables"/>
              <w:jc w:val="right"/>
            </w:pPr>
            <w:r>
              <w:t>0.21</w:t>
            </w:r>
          </w:p>
        </w:tc>
        <w:tc>
          <w:tcPr>
            <w:tcW w:w="1451" w:type="dxa"/>
          </w:tcPr>
          <w:p w14:paraId="0349D9C9" w14:textId="77777777" w:rsidR="00B02873" w:rsidRDefault="00B02873" w:rsidP="009121E6">
            <w:pPr>
              <w:pStyle w:val="TablebodyleftTables"/>
              <w:jc w:val="right"/>
            </w:pPr>
            <w:r>
              <w:t>0.22</w:t>
            </w:r>
          </w:p>
        </w:tc>
        <w:tc>
          <w:tcPr>
            <w:tcW w:w="1452" w:type="dxa"/>
          </w:tcPr>
          <w:p w14:paraId="4334B249" w14:textId="77777777" w:rsidR="00B02873" w:rsidRDefault="00B02873" w:rsidP="009121E6">
            <w:pPr>
              <w:pStyle w:val="TablebodyleftTables"/>
              <w:jc w:val="right"/>
            </w:pPr>
            <w:r>
              <w:t>0.20</w:t>
            </w:r>
          </w:p>
        </w:tc>
      </w:tr>
      <w:tr w:rsidR="00B02873" w:rsidRPr="00B02873" w14:paraId="4231ED3B" w14:textId="77777777" w:rsidTr="00604205">
        <w:tc>
          <w:tcPr>
            <w:tcW w:w="3823" w:type="dxa"/>
          </w:tcPr>
          <w:p w14:paraId="743179D8" w14:textId="2E7A923B" w:rsidR="00B02873" w:rsidRDefault="00012C04" w:rsidP="00B415A9">
            <w:pPr>
              <w:pStyle w:val="TablebodyleftTables"/>
            </w:pPr>
            <w:r>
              <w:t xml:space="preserve"> </w:t>
            </w:r>
            <w:r w:rsidR="00B02873">
              <w:t xml:space="preserve"> Hybrid (passenger vehicles)</w:t>
            </w:r>
          </w:p>
        </w:tc>
        <w:tc>
          <w:tcPr>
            <w:tcW w:w="1451" w:type="dxa"/>
          </w:tcPr>
          <w:p w14:paraId="291C4E94" w14:textId="77777777" w:rsidR="00B02873" w:rsidRDefault="00B02873" w:rsidP="009121E6">
            <w:pPr>
              <w:pStyle w:val="TablebodyleftTables"/>
              <w:jc w:val="right"/>
            </w:pPr>
            <w:r>
              <w:t>0.19</w:t>
            </w:r>
          </w:p>
        </w:tc>
        <w:tc>
          <w:tcPr>
            <w:tcW w:w="1451" w:type="dxa"/>
          </w:tcPr>
          <w:p w14:paraId="3DFF4807" w14:textId="77777777" w:rsidR="00B02873" w:rsidRDefault="00B02873" w:rsidP="009121E6">
            <w:pPr>
              <w:pStyle w:val="TablebodyleftTables"/>
              <w:jc w:val="right"/>
            </w:pPr>
            <w:r>
              <w:t>0.13</w:t>
            </w:r>
          </w:p>
        </w:tc>
        <w:tc>
          <w:tcPr>
            <w:tcW w:w="1451" w:type="dxa"/>
          </w:tcPr>
          <w:p w14:paraId="057AFA3B" w14:textId="77777777" w:rsidR="00B02873" w:rsidRDefault="00B02873" w:rsidP="009121E6">
            <w:pPr>
              <w:pStyle w:val="TablebodyleftTables"/>
              <w:jc w:val="right"/>
            </w:pPr>
            <w:r>
              <w:t>0.14</w:t>
            </w:r>
          </w:p>
        </w:tc>
        <w:tc>
          <w:tcPr>
            <w:tcW w:w="1452" w:type="dxa"/>
          </w:tcPr>
          <w:p w14:paraId="59DE5A10" w14:textId="77777777" w:rsidR="00B02873" w:rsidRDefault="00B02873" w:rsidP="009121E6">
            <w:pPr>
              <w:pStyle w:val="TablebodyleftTables"/>
              <w:jc w:val="right"/>
            </w:pPr>
            <w:r>
              <w:t>0.10</w:t>
            </w:r>
          </w:p>
        </w:tc>
      </w:tr>
      <w:tr w:rsidR="00B02873" w:rsidRPr="00B02873" w14:paraId="79060883" w14:textId="77777777" w:rsidTr="00604205">
        <w:tc>
          <w:tcPr>
            <w:tcW w:w="3823" w:type="dxa"/>
          </w:tcPr>
          <w:p w14:paraId="1066CCF9" w14:textId="137087AD" w:rsidR="00B02873" w:rsidRDefault="00012C04" w:rsidP="00B415A9">
            <w:pPr>
              <w:pStyle w:val="TablebodyleftTables"/>
            </w:pPr>
            <w:r>
              <w:t xml:space="preserve"> </w:t>
            </w:r>
            <w:r w:rsidR="00B02873">
              <w:t xml:space="preserve"> Operational vehicles: 4WD and ultralight tankers</w:t>
            </w:r>
          </w:p>
        </w:tc>
        <w:tc>
          <w:tcPr>
            <w:tcW w:w="1451" w:type="dxa"/>
          </w:tcPr>
          <w:p w14:paraId="52D22C72" w14:textId="77777777" w:rsidR="00B02873" w:rsidRDefault="00B02873" w:rsidP="009121E6">
            <w:pPr>
              <w:pStyle w:val="TablebodyleftTables"/>
              <w:jc w:val="right"/>
            </w:pPr>
            <w:r>
              <w:t>0.35</w:t>
            </w:r>
          </w:p>
        </w:tc>
        <w:tc>
          <w:tcPr>
            <w:tcW w:w="1451" w:type="dxa"/>
          </w:tcPr>
          <w:p w14:paraId="63FFEFE6" w14:textId="77777777" w:rsidR="00B02873" w:rsidRDefault="00B02873" w:rsidP="009121E6">
            <w:pPr>
              <w:pStyle w:val="TablebodyleftTables"/>
              <w:jc w:val="right"/>
            </w:pPr>
            <w:r>
              <w:t>0.33</w:t>
            </w:r>
          </w:p>
        </w:tc>
        <w:tc>
          <w:tcPr>
            <w:tcW w:w="1451" w:type="dxa"/>
          </w:tcPr>
          <w:p w14:paraId="6CA32644" w14:textId="77777777" w:rsidR="00B02873" w:rsidRDefault="00B02873" w:rsidP="009121E6">
            <w:pPr>
              <w:pStyle w:val="TablebodyleftTables"/>
              <w:jc w:val="right"/>
            </w:pPr>
            <w:r>
              <w:t>0.40</w:t>
            </w:r>
          </w:p>
        </w:tc>
        <w:tc>
          <w:tcPr>
            <w:tcW w:w="1452" w:type="dxa"/>
          </w:tcPr>
          <w:p w14:paraId="49FFE521" w14:textId="77777777" w:rsidR="00B02873" w:rsidRDefault="00B02873" w:rsidP="009121E6">
            <w:pPr>
              <w:pStyle w:val="TablebodyleftTables"/>
              <w:jc w:val="right"/>
            </w:pPr>
            <w:r>
              <w:t>0.36</w:t>
            </w:r>
          </w:p>
        </w:tc>
      </w:tr>
      <w:tr w:rsidR="00B02873" w:rsidRPr="00B02873" w14:paraId="47C0602A" w14:textId="77777777" w:rsidTr="00604205">
        <w:tc>
          <w:tcPr>
            <w:tcW w:w="3823" w:type="dxa"/>
          </w:tcPr>
          <w:p w14:paraId="536E13FB" w14:textId="77777777" w:rsidR="00B02873" w:rsidRDefault="00B02873" w:rsidP="00B415A9">
            <w:pPr>
              <w:pStyle w:val="TablebodyleftTables"/>
            </w:pPr>
            <w:r>
              <w:t>Total vehicle numbers</w:t>
            </w:r>
          </w:p>
        </w:tc>
        <w:tc>
          <w:tcPr>
            <w:tcW w:w="1451" w:type="dxa"/>
          </w:tcPr>
          <w:p w14:paraId="4101716E" w14:textId="77777777" w:rsidR="00B02873" w:rsidRDefault="00B02873" w:rsidP="009121E6">
            <w:pPr>
              <w:pStyle w:val="TablebodyleftTables"/>
              <w:jc w:val="right"/>
            </w:pPr>
            <w:r>
              <w:t>1,124</w:t>
            </w:r>
          </w:p>
        </w:tc>
        <w:tc>
          <w:tcPr>
            <w:tcW w:w="1451" w:type="dxa"/>
          </w:tcPr>
          <w:p w14:paraId="6F695C5B" w14:textId="77777777" w:rsidR="00B02873" w:rsidRDefault="00B02873" w:rsidP="009121E6">
            <w:pPr>
              <w:pStyle w:val="TablebodyleftTables"/>
              <w:jc w:val="right"/>
            </w:pPr>
            <w:r>
              <w:t xml:space="preserve">1,067 </w:t>
            </w:r>
          </w:p>
        </w:tc>
        <w:tc>
          <w:tcPr>
            <w:tcW w:w="1451" w:type="dxa"/>
          </w:tcPr>
          <w:p w14:paraId="3808EF44" w14:textId="77777777" w:rsidR="00B02873" w:rsidRDefault="00B02873" w:rsidP="009121E6">
            <w:pPr>
              <w:pStyle w:val="TablebodyleftTables"/>
              <w:jc w:val="right"/>
            </w:pPr>
            <w:r>
              <w:t>988</w:t>
            </w:r>
          </w:p>
        </w:tc>
        <w:tc>
          <w:tcPr>
            <w:tcW w:w="1452" w:type="dxa"/>
          </w:tcPr>
          <w:p w14:paraId="49CFE63C" w14:textId="77777777" w:rsidR="00B02873" w:rsidRDefault="00B02873" w:rsidP="009121E6">
            <w:pPr>
              <w:pStyle w:val="TablebodyleftTables"/>
              <w:jc w:val="right"/>
            </w:pPr>
            <w:r>
              <w:t xml:space="preserve">867 </w:t>
            </w:r>
          </w:p>
        </w:tc>
      </w:tr>
      <w:tr w:rsidR="00B02873" w:rsidRPr="00B02873" w14:paraId="18F599E4" w14:textId="77777777" w:rsidTr="00604205">
        <w:tc>
          <w:tcPr>
            <w:tcW w:w="3823" w:type="dxa"/>
          </w:tcPr>
          <w:p w14:paraId="3A361954" w14:textId="438A64F6" w:rsidR="00B02873" w:rsidRDefault="00012C04" w:rsidP="00B415A9">
            <w:pPr>
              <w:pStyle w:val="TablebodyleftTables"/>
            </w:pPr>
            <w:r>
              <w:t xml:space="preserve"> </w:t>
            </w:r>
            <w:r w:rsidR="00B02873">
              <w:t xml:space="preserve"> Shared passenger fleet</w:t>
            </w:r>
          </w:p>
        </w:tc>
        <w:tc>
          <w:tcPr>
            <w:tcW w:w="1451" w:type="dxa"/>
          </w:tcPr>
          <w:p w14:paraId="48767ED6" w14:textId="77777777" w:rsidR="00B02873" w:rsidRDefault="00B02873" w:rsidP="009121E6">
            <w:pPr>
              <w:pStyle w:val="TablebodyleftTables"/>
              <w:jc w:val="right"/>
            </w:pPr>
            <w:r>
              <w:t>148</w:t>
            </w:r>
          </w:p>
        </w:tc>
        <w:tc>
          <w:tcPr>
            <w:tcW w:w="1451" w:type="dxa"/>
          </w:tcPr>
          <w:p w14:paraId="04ECB0FC" w14:textId="77777777" w:rsidR="00B02873" w:rsidRDefault="00B02873" w:rsidP="009121E6">
            <w:pPr>
              <w:pStyle w:val="TablebodyleftTables"/>
              <w:jc w:val="right"/>
            </w:pPr>
            <w:r>
              <w:t>159</w:t>
            </w:r>
          </w:p>
        </w:tc>
        <w:tc>
          <w:tcPr>
            <w:tcW w:w="1451" w:type="dxa"/>
          </w:tcPr>
          <w:p w14:paraId="074E73D7" w14:textId="77777777" w:rsidR="00B02873" w:rsidRDefault="00B02873" w:rsidP="009121E6">
            <w:pPr>
              <w:pStyle w:val="TablebodyleftTables"/>
              <w:jc w:val="right"/>
            </w:pPr>
            <w:r>
              <w:t>148</w:t>
            </w:r>
          </w:p>
        </w:tc>
        <w:tc>
          <w:tcPr>
            <w:tcW w:w="1452" w:type="dxa"/>
          </w:tcPr>
          <w:p w14:paraId="67BEACBC" w14:textId="77777777" w:rsidR="00B02873" w:rsidRDefault="00B02873" w:rsidP="009121E6">
            <w:pPr>
              <w:pStyle w:val="TablebodyleftTables"/>
              <w:jc w:val="right"/>
            </w:pPr>
            <w:r>
              <w:rPr>
                <w:spacing w:val="-8"/>
              </w:rPr>
              <w:t>Breakdown not available</w:t>
            </w:r>
          </w:p>
        </w:tc>
      </w:tr>
      <w:tr w:rsidR="00B02873" w:rsidRPr="00B02873" w14:paraId="7E6A1E9F" w14:textId="77777777" w:rsidTr="00604205">
        <w:tc>
          <w:tcPr>
            <w:tcW w:w="3823" w:type="dxa"/>
          </w:tcPr>
          <w:p w14:paraId="211D8165" w14:textId="2F3D65BC" w:rsidR="00B02873" w:rsidRDefault="00012C04" w:rsidP="00B415A9">
            <w:pPr>
              <w:pStyle w:val="TablebodyleftTables"/>
            </w:pPr>
            <w:r>
              <w:t xml:space="preserve"> </w:t>
            </w:r>
            <w:r w:rsidR="00B02873">
              <w:t xml:space="preserve"> Executive passenger fleet</w:t>
            </w:r>
          </w:p>
        </w:tc>
        <w:tc>
          <w:tcPr>
            <w:tcW w:w="1451" w:type="dxa"/>
          </w:tcPr>
          <w:p w14:paraId="03F9B0B3" w14:textId="77777777" w:rsidR="00B02873" w:rsidRDefault="00B02873" w:rsidP="009121E6">
            <w:pPr>
              <w:pStyle w:val="TablebodyleftTables"/>
              <w:jc w:val="right"/>
            </w:pPr>
            <w:r>
              <w:t>59</w:t>
            </w:r>
          </w:p>
        </w:tc>
        <w:tc>
          <w:tcPr>
            <w:tcW w:w="1451" w:type="dxa"/>
          </w:tcPr>
          <w:p w14:paraId="1CFC6E90" w14:textId="77777777" w:rsidR="00B02873" w:rsidRDefault="00B02873" w:rsidP="009121E6">
            <w:pPr>
              <w:pStyle w:val="TablebodyleftTables"/>
              <w:jc w:val="right"/>
            </w:pPr>
            <w:r>
              <w:t>45</w:t>
            </w:r>
          </w:p>
        </w:tc>
        <w:tc>
          <w:tcPr>
            <w:tcW w:w="1451" w:type="dxa"/>
          </w:tcPr>
          <w:p w14:paraId="1B2A523F" w14:textId="77777777" w:rsidR="00B02873" w:rsidRDefault="00B02873" w:rsidP="009121E6">
            <w:pPr>
              <w:pStyle w:val="TablebodyleftTables"/>
              <w:jc w:val="right"/>
            </w:pPr>
            <w:r>
              <w:t>50</w:t>
            </w:r>
          </w:p>
        </w:tc>
        <w:tc>
          <w:tcPr>
            <w:tcW w:w="1452" w:type="dxa"/>
          </w:tcPr>
          <w:p w14:paraId="41A1FCC0" w14:textId="77777777" w:rsidR="00B02873" w:rsidRDefault="00B02873" w:rsidP="009121E6">
            <w:pPr>
              <w:pStyle w:val="TablebodyleftTables"/>
              <w:jc w:val="right"/>
            </w:pPr>
            <w:r>
              <w:t>33</w:t>
            </w:r>
          </w:p>
        </w:tc>
      </w:tr>
      <w:tr w:rsidR="00B02873" w:rsidRPr="00B02873" w14:paraId="1AA9F6A4" w14:textId="77777777" w:rsidTr="00604205">
        <w:tc>
          <w:tcPr>
            <w:tcW w:w="3823" w:type="dxa"/>
          </w:tcPr>
          <w:p w14:paraId="4825C7E7" w14:textId="2CCC3AAD" w:rsidR="00B02873" w:rsidRDefault="00012C04" w:rsidP="00B415A9">
            <w:pPr>
              <w:pStyle w:val="TablebodyleftTables"/>
            </w:pPr>
            <w:r>
              <w:t xml:space="preserve"> </w:t>
            </w:r>
            <w:r w:rsidR="00B02873">
              <w:t xml:space="preserve"> Operational vehicles:</w:t>
            </w:r>
            <w:r>
              <w:t xml:space="preserve"> </w:t>
            </w:r>
            <w:r w:rsidR="00B02873">
              <w:t>4WD and ultralight tankers</w:t>
            </w:r>
            <w:r w:rsidR="00B02873">
              <w:rPr>
                <w:vertAlign w:val="superscript"/>
              </w:rPr>
              <w:t>(v)</w:t>
            </w:r>
          </w:p>
        </w:tc>
        <w:tc>
          <w:tcPr>
            <w:tcW w:w="1451" w:type="dxa"/>
          </w:tcPr>
          <w:p w14:paraId="6C72B26C" w14:textId="77777777" w:rsidR="00B02873" w:rsidRDefault="00B02873" w:rsidP="009121E6">
            <w:pPr>
              <w:pStyle w:val="TablebodyleftTables"/>
              <w:jc w:val="right"/>
            </w:pPr>
            <w:r>
              <w:t>917</w:t>
            </w:r>
          </w:p>
        </w:tc>
        <w:tc>
          <w:tcPr>
            <w:tcW w:w="1451" w:type="dxa"/>
          </w:tcPr>
          <w:p w14:paraId="0733BA58" w14:textId="77777777" w:rsidR="00B02873" w:rsidRDefault="00B02873" w:rsidP="009121E6">
            <w:pPr>
              <w:pStyle w:val="TablebodyleftTables"/>
              <w:jc w:val="right"/>
            </w:pPr>
            <w:r>
              <w:t>863</w:t>
            </w:r>
          </w:p>
        </w:tc>
        <w:tc>
          <w:tcPr>
            <w:tcW w:w="1451" w:type="dxa"/>
          </w:tcPr>
          <w:p w14:paraId="66808507" w14:textId="77777777" w:rsidR="00B02873" w:rsidRDefault="00B02873" w:rsidP="009121E6">
            <w:pPr>
              <w:pStyle w:val="TablebodyleftTables"/>
              <w:jc w:val="right"/>
            </w:pPr>
            <w:r>
              <w:t>790</w:t>
            </w:r>
          </w:p>
        </w:tc>
        <w:tc>
          <w:tcPr>
            <w:tcW w:w="1452" w:type="dxa"/>
          </w:tcPr>
          <w:p w14:paraId="6B7C4D2F" w14:textId="77777777" w:rsidR="00B02873" w:rsidRDefault="00B02873" w:rsidP="009121E6">
            <w:pPr>
              <w:pStyle w:val="TablebodyleftTables"/>
              <w:jc w:val="right"/>
            </w:pPr>
            <w:r>
              <w:rPr>
                <w:spacing w:val="-8"/>
              </w:rPr>
              <w:t>Breakdown not available</w:t>
            </w:r>
          </w:p>
        </w:tc>
      </w:tr>
    </w:tbl>
    <w:p w14:paraId="7866EB63" w14:textId="77777777" w:rsidR="00B02873" w:rsidRPr="00604205" w:rsidRDefault="00B02873" w:rsidP="00604205">
      <w:pPr>
        <w:pStyle w:val="SourceNote"/>
        <w:rPr>
          <w:b/>
          <w:bCs/>
        </w:rPr>
      </w:pPr>
      <w:r w:rsidRPr="00604205">
        <w:rPr>
          <w:b/>
          <w:bCs/>
        </w:rPr>
        <w:t>Explanatory notes:</w:t>
      </w:r>
    </w:p>
    <w:p w14:paraId="1F612DFA" w14:textId="77777777" w:rsidR="00B02873" w:rsidRPr="009121E6" w:rsidRDefault="00B02873" w:rsidP="001128B1">
      <w:pPr>
        <w:pStyle w:val="SourceNotenumbered"/>
        <w:numPr>
          <w:ilvl w:val="0"/>
          <w:numId w:val="66"/>
        </w:numPr>
      </w:pPr>
      <w:r>
        <w:t xml:space="preserve">DELWP reports on both the passenger vehicle fleet and operational vehicle fleet. The passenger vehicle fleet includes shared vehicles, executive vehicles and </w:t>
      </w:r>
      <w:r w:rsidRPr="009121E6">
        <w:t xml:space="preserve">departmental use of the vehicle fleet managed through the Shared Services Provider. The operational vehicle fleet includes use of 4WD utility vehicles and Ultralight Tankers. Heavy Tankers, dozers and other heavy-duty vehicles and equipment are also now included in the report (with data added dating back to the 2014-15 baseline year). Data was obtained from fuel purchase records, lease data for vehicles and VicFleet. Accuracy is dependent on staff completing vehicle log sheets. </w:t>
      </w:r>
    </w:p>
    <w:p w14:paraId="6E2D90C8" w14:textId="77777777" w:rsidR="00B02873" w:rsidRPr="009121E6" w:rsidRDefault="00B02873" w:rsidP="009121E6">
      <w:pPr>
        <w:pStyle w:val="SourceNotenumbered"/>
      </w:pPr>
      <w:r w:rsidRPr="009121E6">
        <w:t>Figures updated to include the full operational vehicle fleet. Previously emissions were only reported for 4WD and ultra-light tankers.</w:t>
      </w:r>
    </w:p>
    <w:p w14:paraId="65183500" w14:textId="77777777" w:rsidR="00B02873" w:rsidRPr="009121E6" w:rsidRDefault="00B02873" w:rsidP="009121E6">
      <w:pPr>
        <w:pStyle w:val="SourceNotenumbered"/>
      </w:pPr>
      <w:r w:rsidRPr="009121E6">
        <w:t>This data is based on staff vehicle log sheets. Fuel efficiency estimates are used to calculate kilometres travelled when data sets are incomplete.</w:t>
      </w:r>
    </w:p>
    <w:p w14:paraId="6CB63403" w14:textId="77777777" w:rsidR="00B02873" w:rsidRPr="009121E6" w:rsidRDefault="00B02873" w:rsidP="009121E6">
      <w:pPr>
        <w:pStyle w:val="SourceNotenumbered"/>
      </w:pPr>
      <w:r w:rsidRPr="009121E6">
        <w:t xml:space="preserve">ACCUs have been purchased to offset 25 per cent of operational vehicle emissions. </w:t>
      </w:r>
    </w:p>
    <w:p w14:paraId="24F65053" w14:textId="5FCD93BD" w:rsidR="00B02873" w:rsidRDefault="00B02873" w:rsidP="009121E6">
      <w:pPr>
        <w:pStyle w:val="SourceNotenumbered"/>
      </w:pPr>
      <w:r w:rsidRPr="009121E6">
        <w:t>The increase in numbers of operational</w:t>
      </w:r>
      <w:r>
        <w:t xml:space="preserve"> vehicles was to meet the needs of an increased seasonal workforce, engaged to ensure a sufficient fire suppression response and recovery efforts following the 2019-20 bushfire season.</w:t>
      </w:r>
    </w:p>
    <w:p w14:paraId="18745619" w14:textId="017C7973" w:rsidR="00B02873" w:rsidRDefault="00B02873" w:rsidP="00604205">
      <w:pPr>
        <w:pStyle w:val="Heading3"/>
      </w:pPr>
      <w:r>
        <w:lastRenderedPageBreak/>
        <w:t>Air travel</w:t>
      </w:r>
      <w:r>
        <w:rPr>
          <w:vertAlign w:val="superscript"/>
        </w:rPr>
        <w:t>(i)</w:t>
      </w:r>
      <w:r>
        <w:t>:</w:t>
      </w:r>
    </w:p>
    <w:tbl>
      <w:tblPr>
        <w:tblStyle w:val="TableGrid"/>
        <w:tblW w:w="9638" w:type="dxa"/>
        <w:tblLayout w:type="fixed"/>
        <w:tblLook w:val="0020" w:firstRow="1" w:lastRow="0" w:firstColumn="0" w:lastColumn="0" w:noHBand="0" w:noVBand="0"/>
      </w:tblPr>
      <w:tblGrid>
        <w:gridCol w:w="4957"/>
        <w:gridCol w:w="1134"/>
        <w:gridCol w:w="1134"/>
        <w:gridCol w:w="1134"/>
        <w:gridCol w:w="1279"/>
      </w:tblGrid>
      <w:tr w:rsidR="00B02873" w:rsidRPr="00604205" w14:paraId="410D2A05" w14:textId="77777777" w:rsidTr="00BA6213">
        <w:trPr>
          <w:cnfStyle w:val="100000000000" w:firstRow="1" w:lastRow="0" w:firstColumn="0" w:lastColumn="0" w:oddVBand="0" w:evenVBand="0" w:oddHBand="0" w:evenHBand="0" w:firstRowFirstColumn="0" w:firstRowLastColumn="0" w:lastRowFirstColumn="0" w:lastRowLastColumn="0"/>
          <w:tblHeader/>
        </w:trPr>
        <w:tc>
          <w:tcPr>
            <w:tcW w:w="4957" w:type="dxa"/>
          </w:tcPr>
          <w:p w14:paraId="4217BDAC" w14:textId="77777777" w:rsidR="00B02873" w:rsidRPr="00604205" w:rsidRDefault="00B02873" w:rsidP="00604205">
            <w:pPr>
              <w:pStyle w:val="TableheadingleftTables"/>
            </w:pPr>
          </w:p>
        </w:tc>
        <w:tc>
          <w:tcPr>
            <w:tcW w:w="1134" w:type="dxa"/>
          </w:tcPr>
          <w:p w14:paraId="23D438FE" w14:textId="77777777" w:rsidR="00B02873" w:rsidRPr="00604205" w:rsidRDefault="00B02873" w:rsidP="00304BA6">
            <w:pPr>
              <w:pStyle w:val="TableheadingleftTables"/>
              <w:jc w:val="right"/>
            </w:pPr>
            <w:r w:rsidRPr="00604205">
              <w:t>2021-22</w:t>
            </w:r>
          </w:p>
        </w:tc>
        <w:tc>
          <w:tcPr>
            <w:tcW w:w="1134" w:type="dxa"/>
          </w:tcPr>
          <w:p w14:paraId="1F9B2305" w14:textId="77777777" w:rsidR="00B02873" w:rsidRPr="00604205" w:rsidRDefault="00B02873" w:rsidP="00304BA6">
            <w:pPr>
              <w:pStyle w:val="TableheadingleftTables"/>
              <w:jc w:val="right"/>
            </w:pPr>
            <w:r w:rsidRPr="00604205">
              <w:t>2020-21</w:t>
            </w:r>
          </w:p>
        </w:tc>
        <w:tc>
          <w:tcPr>
            <w:tcW w:w="1134" w:type="dxa"/>
          </w:tcPr>
          <w:p w14:paraId="1D9B39E1" w14:textId="77777777" w:rsidR="00B02873" w:rsidRPr="00604205" w:rsidRDefault="00B02873" w:rsidP="00304BA6">
            <w:pPr>
              <w:pStyle w:val="TableheadingleftTables"/>
              <w:jc w:val="right"/>
            </w:pPr>
            <w:r w:rsidRPr="00604205">
              <w:t>2019-20</w:t>
            </w:r>
          </w:p>
        </w:tc>
        <w:tc>
          <w:tcPr>
            <w:tcW w:w="1279" w:type="dxa"/>
          </w:tcPr>
          <w:p w14:paraId="67083604" w14:textId="77777777" w:rsidR="00B02873" w:rsidRPr="00604205" w:rsidRDefault="00B02873" w:rsidP="00304BA6">
            <w:pPr>
              <w:pStyle w:val="TableheadingleftTables"/>
              <w:jc w:val="right"/>
            </w:pPr>
            <w:r w:rsidRPr="00604205">
              <w:t>2014-15 (baseline)</w:t>
            </w:r>
          </w:p>
        </w:tc>
      </w:tr>
      <w:tr w:rsidR="00B02873" w:rsidRPr="00B02873" w14:paraId="0CDD5B8B" w14:textId="77777777" w:rsidTr="00BA6213">
        <w:tc>
          <w:tcPr>
            <w:tcW w:w="4957" w:type="dxa"/>
          </w:tcPr>
          <w:p w14:paraId="3111D13E" w14:textId="77777777" w:rsidR="00B02873" w:rsidRDefault="00B02873" w:rsidP="009121E6">
            <w:pPr>
              <w:pStyle w:val="TablebodyleftTables"/>
              <w:keepNext/>
            </w:pPr>
            <w:r>
              <w:t>T5. Total distance travelled by aeroplane (km)</w:t>
            </w:r>
          </w:p>
        </w:tc>
        <w:tc>
          <w:tcPr>
            <w:tcW w:w="1134" w:type="dxa"/>
          </w:tcPr>
          <w:p w14:paraId="1394FFAF" w14:textId="77777777" w:rsidR="00B02873" w:rsidRDefault="00B02873" w:rsidP="00304BA6">
            <w:pPr>
              <w:pStyle w:val="TablebodyleftTables"/>
              <w:keepNext/>
              <w:jc w:val="right"/>
            </w:pPr>
            <w:r>
              <w:t>188,258</w:t>
            </w:r>
          </w:p>
        </w:tc>
        <w:tc>
          <w:tcPr>
            <w:tcW w:w="1134" w:type="dxa"/>
          </w:tcPr>
          <w:p w14:paraId="56218CFA" w14:textId="77777777" w:rsidR="00B02873" w:rsidRDefault="00B02873" w:rsidP="00304BA6">
            <w:pPr>
              <w:pStyle w:val="TablebodyleftTables"/>
              <w:keepNext/>
              <w:jc w:val="right"/>
            </w:pPr>
            <w:r>
              <w:rPr>
                <w:spacing w:val="-5"/>
              </w:rPr>
              <w:t>21,418</w:t>
            </w:r>
          </w:p>
        </w:tc>
        <w:tc>
          <w:tcPr>
            <w:tcW w:w="1134" w:type="dxa"/>
          </w:tcPr>
          <w:p w14:paraId="602A39B2" w14:textId="77777777" w:rsidR="00B02873" w:rsidRDefault="00B02873" w:rsidP="00304BA6">
            <w:pPr>
              <w:pStyle w:val="TablebodyleftTables"/>
              <w:keepNext/>
              <w:jc w:val="right"/>
            </w:pPr>
            <w:r>
              <w:rPr>
                <w:spacing w:val="-5"/>
              </w:rPr>
              <w:t>2,706,334</w:t>
            </w:r>
          </w:p>
        </w:tc>
        <w:tc>
          <w:tcPr>
            <w:tcW w:w="1279" w:type="dxa"/>
          </w:tcPr>
          <w:p w14:paraId="4EF44A90" w14:textId="77777777" w:rsidR="00B02873" w:rsidRDefault="00B02873" w:rsidP="00304BA6">
            <w:pPr>
              <w:pStyle w:val="TablebodyleftTables"/>
              <w:keepNext/>
              <w:jc w:val="right"/>
            </w:pPr>
            <w:r>
              <w:t>3,171,978</w:t>
            </w:r>
          </w:p>
        </w:tc>
      </w:tr>
      <w:tr w:rsidR="00B02873" w:rsidRPr="00B02873" w14:paraId="0B24A389" w14:textId="77777777" w:rsidTr="00BA6213">
        <w:tc>
          <w:tcPr>
            <w:tcW w:w="4957" w:type="dxa"/>
          </w:tcPr>
          <w:p w14:paraId="230DA62F" w14:textId="77777777" w:rsidR="00B02873" w:rsidRPr="00BA6213" w:rsidRDefault="00B02873" w:rsidP="00B415A9">
            <w:pPr>
              <w:pStyle w:val="TablebodyleftTables"/>
              <w:rPr>
                <w:spacing w:val="-2"/>
              </w:rPr>
            </w:pPr>
            <w:r w:rsidRPr="00BA6213">
              <w:rPr>
                <w:spacing w:val="-2"/>
              </w:rPr>
              <w:t>Total reported air travel emissions (tonnes CO</w:t>
            </w:r>
            <w:r w:rsidRPr="00BA6213">
              <w:rPr>
                <w:spacing w:val="-2"/>
                <w:vertAlign w:val="subscript"/>
              </w:rPr>
              <w:t>2</w:t>
            </w:r>
            <w:r w:rsidRPr="00BA6213">
              <w:rPr>
                <w:spacing w:val="-2"/>
              </w:rPr>
              <w:t>-e)</w:t>
            </w:r>
          </w:p>
        </w:tc>
        <w:tc>
          <w:tcPr>
            <w:tcW w:w="1134" w:type="dxa"/>
          </w:tcPr>
          <w:p w14:paraId="5DAD25E0" w14:textId="77777777" w:rsidR="00B02873" w:rsidRDefault="00B02873" w:rsidP="00304BA6">
            <w:pPr>
              <w:pStyle w:val="TablebodyleftTables"/>
              <w:jc w:val="right"/>
            </w:pPr>
            <w:r>
              <w:t>0</w:t>
            </w:r>
          </w:p>
        </w:tc>
        <w:tc>
          <w:tcPr>
            <w:tcW w:w="1134" w:type="dxa"/>
          </w:tcPr>
          <w:p w14:paraId="5692E32E" w14:textId="77777777" w:rsidR="00B02873" w:rsidRDefault="00B02873" w:rsidP="00304BA6">
            <w:pPr>
              <w:pStyle w:val="TablebodyleftTables"/>
              <w:jc w:val="right"/>
            </w:pPr>
            <w:r>
              <w:t>0</w:t>
            </w:r>
          </w:p>
        </w:tc>
        <w:tc>
          <w:tcPr>
            <w:tcW w:w="1134" w:type="dxa"/>
          </w:tcPr>
          <w:p w14:paraId="5C224FA0" w14:textId="77777777" w:rsidR="00B02873" w:rsidRDefault="00B02873" w:rsidP="00304BA6">
            <w:pPr>
              <w:pStyle w:val="TablebodyleftTables"/>
              <w:jc w:val="right"/>
            </w:pPr>
            <w:r>
              <w:t>0</w:t>
            </w:r>
          </w:p>
        </w:tc>
        <w:tc>
          <w:tcPr>
            <w:tcW w:w="1279" w:type="dxa"/>
          </w:tcPr>
          <w:p w14:paraId="2B5586E4" w14:textId="77777777" w:rsidR="00B02873" w:rsidRDefault="00B02873" w:rsidP="00304BA6">
            <w:pPr>
              <w:pStyle w:val="TablebodyleftTables"/>
              <w:jc w:val="right"/>
            </w:pPr>
            <w:r>
              <w:t>850</w:t>
            </w:r>
          </w:p>
        </w:tc>
      </w:tr>
    </w:tbl>
    <w:p w14:paraId="4E928639" w14:textId="77777777" w:rsidR="00B02873" w:rsidRPr="00BA6213" w:rsidRDefault="00B02873" w:rsidP="00BA6213">
      <w:pPr>
        <w:pStyle w:val="SourceNote"/>
        <w:rPr>
          <w:b/>
          <w:bCs/>
        </w:rPr>
      </w:pPr>
      <w:r w:rsidRPr="00BA6213">
        <w:rPr>
          <w:b/>
          <w:bCs/>
        </w:rPr>
        <w:t>Explanatory notes:</w:t>
      </w:r>
    </w:p>
    <w:p w14:paraId="663407FB" w14:textId="77777777" w:rsidR="00B02873" w:rsidRDefault="00B02873" w:rsidP="001128B1">
      <w:pPr>
        <w:pStyle w:val="SourceNotenumbered"/>
        <w:numPr>
          <w:ilvl w:val="0"/>
          <w:numId w:val="67"/>
        </w:numPr>
      </w:pPr>
      <w:r>
        <w:t xml:space="preserve">Air travel data is sourced from the government travel agent, Corporate Travel Management. </w:t>
      </w:r>
    </w:p>
    <w:p w14:paraId="752308C3" w14:textId="77777777" w:rsidR="00B02873" w:rsidRDefault="00B02873" w:rsidP="00304BA6">
      <w:pPr>
        <w:pStyle w:val="SourceNotenumbered"/>
        <w:spacing w:after="200"/>
        <w:ind w:left="357" w:hanging="357"/>
      </w:pPr>
      <w:r>
        <w:t>All DELWP emissions from air travel have been offset since July 2016 through the government travel agent.</w:t>
      </w:r>
    </w:p>
    <w:p w14:paraId="5C142636" w14:textId="4E6FD871" w:rsidR="00B02873" w:rsidRDefault="00B02873" w:rsidP="00BA6213">
      <w:pPr>
        <w:pStyle w:val="Heading3"/>
      </w:pPr>
      <w:r>
        <w:t>Staff travel</w:t>
      </w:r>
      <w:r>
        <w:rPr>
          <w:vertAlign w:val="superscript"/>
        </w:rPr>
        <w:t>(i)</w:t>
      </w:r>
      <w:r>
        <w:t>:</w:t>
      </w:r>
    </w:p>
    <w:tbl>
      <w:tblPr>
        <w:tblStyle w:val="TableGrid"/>
        <w:tblW w:w="9638" w:type="dxa"/>
        <w:tblLayout w:type="fixed"/>
        <w:tblLook w:val="0020" w:firstRow="1" w:lastRow="0" w:firstColumn="0" w:lastColumn="0" w:noHBand="0" w:noVBand="0"/>
      </w:tblPr>
      <w:tblGrid>
        <w:gridCol w:w="4957"/>
        <w:gridCol w:w="1170"/>
        <w:gridCol w:w="1170"/>
        <w:gridCol w:w="1170"/>
        <w:gridCol w:w="1171"/>
      </w:tblGrid>
      <w:tr w:rsidR="00B02873" w:rsidRPr="00BA6213" w14:paraId="1FF20AD7" w14:textId="77777777" w:rsidTr="00BA6213">
        <w:trPr>
          <w:cnfStyle w:val="100000000000" w:firstRow="1" w:lastRow="0" w:firstColumn="0" w:lastColumn="0" w:oddVBand="0" w:evenVBand="0" w:oddHBand="0" w:evenHBand="0" w:firstRowFirstColumn="0" w:firstRowLastColumn="0" w:lastRowFirstColumn="0" w:lastRowLastColumn="0"/>
          <w:tblHeader/>
        </w:trPr>
        <w:tc>
          <w:tcPr>
            <w:tcW w:w="4957" w:type="dxa"/>
          </w:tcPr>
          <w:p w14:paraId="0C0ACBBF" w14:textId="77777777" w:rsidR="00B02873" w:rsidRPr="00BA6213" w:rsidRDefault="00B02873" w:rsidP="00BA6213">
            <w:pPr>
              <w:pStyle w:val="TableheadingleftTables"/>
            </w:pPr>
          </w:p>
        </w:tc>
        <w:tc>
          <w:tcPr>
            <w:tcW w:w="1170" w:type="dxa"/>
          </w:tcPr>
          <w:p w14:paraId="153727F8" w14:textId="77777777" w:rsidR="00B02873" w:rsidRPr="00BA6213" w:rsidRDefault="00B02873" w:rsidP="00304BA6">
            <w:pPr>
              <w:pStyle w:val="TableheadingleftTables"/>
              <w:jc w:val="right"/>
            </w:pPr>
            <w:r w:rsidRPr="00BA6213">
              <w:t>2021-22</w:t>
            </w:r>
            <w:r w:rsidRPr="00BA6213">
              <w:rPr>
                <w:vertAlign w:val="superscript"/>
              </w:rPr>
              <w:t>(ii)</w:t>
            </w:r>
          </w:p>
        </w:tc>
        <w:tc>
          <w:tcPr>
            <w:tcW w:w="1170" w:type="dxa"/>
          </w:tcPr>
          <w:p w14:paraId="000516CF" w14:textId="2AE18710" w:rsidR="00B02873" w:rsidRPr="00BA6213" w:rsidRDefault="00B02873" w:rsidP="00304BA6">
            <w:pPr>
              <w:pStyle w:val="TableheadingleftTables"/>
              <w:jc w:val="right"/>
            </w:pPr>
            <w:r w:rsidRPr="00BA6213">
              <w:t>2020-21</w:t>
            </w:r>
            <w:r w:rsidRPr="00BA6213">
              <w:rPr>
                <w:vertAlign w:val="superscript"/>
              </w:rPr>
              <w:t>(ii)</w:t>
            </w:r>
          </w:p>
        </w:tc>
        <w:tc>
          <w:tcPr>
            <w:tcW w:w="1170" w:type="dxa"/>
          </w:tcPr>
          <w:p w14:paraId="5E48C223" w14:textId="77777777" w:rsidR="00B02873" w:rsidRPr="00BA6213" w:rsidRDefault="00B02873" w:rsidP="00304BA6">
            <w:pPr>
              <w:pStyle w:val="TableheadingleftTables"/>
              <w:jc w:val="right"/>
            </w:pPr>
            <w:r w:rsidRPr="00BA6213">
              <w:t>2019-20</w:t>
            </w:r>
          </w:p>
        </w:tc>
        <w:tc>
          <w:tcPr>
            <w:tcW w:w="1171" w:type="dxa"/>
          </w:tcPr>
          <w:p w14:paraId="284CA8BC" w14:textId="77777777" w:rsidR="00B02873" w:rsidRPr="00BA6213" w:rsidRDefault="00B02873" w:rsidP="00304BA6">
            <w:pPr>
              <w:pStyle w:val="TableheadingleftTables"/>
              <w:jc w:val="right"/>
            </w:pPr>
            <w:r w:rsidRPr="00BA6213">
              <w:t>2014-15 (baseline)</w:t>
            </w:r>
          </w:p>
        </w:tc>
      </w:tr>
      <w:tr w:rsidR="00B02873" w:rsidRPr="00B02873" w14:paraId="0A90D2DF" w14:textId="77777777" w:rsidTr="00BA6213">
        <w:tc>
          <w:tcPr>
            <w:tcW w:w="4957" w:type="dxa"/>
          </w:tcPr>
          <w:p w14:paraId="2396AC14" w14:textId="77777777" w:rsidR="00B02873" w:rsidRDefault="00B02873" w:rsidP="00B415A9">
            <w:pPr>
              <w:pStyle w:val="TablebodyleftTables"/>
            </w:pPr>
            <w:r>
              <w:rPr>
                <w:spacing w:val="-3"/>
              </w:rPr>
              <w:t>T6. CBD staff: Percentage using sustainable transport to get to work</w:t>
            </w:r>
          </w:p>
        </w:tc>
        <w:tc>
          <w:tcPr>
            <w:tcW w:w="1170" w:type="dxa"/>
          </w:tcPr>
          <w:p w14:paraId="66544A2A" w14:textId="77777777" w:rsidR="00B02873" w:rsidRDefault="00B02873" w:rsidP="00304BA6">
            <w:pPr>
              <w:pStyle w:val="TablebodyleftTables"/>
              <w:jc w:val="right"/>
            </w:pPr>
            <w:r>
              <w:t>N/A</w:t>
            </w:r>
            <w:r>
              <w:rPr>
                <w:vertAlign w:val="superscript"/>
              </w:rPr>
              <w:t>(ii)</w:t>
            </w:r>
          </w:p>
        </w:tc>
        <w:tc>
          <w:tcPr>
            <w:tcW w:w="1170" w:type="dxa"/>
          </w:tcPr>
          <w:p w14:paraId="4AAE115D" w14:textId="77777777" w:rsidR="00B02873" w:rsidRDefault="00B02873" w:rsidP="00304BA6">
            <w:pPr>
              <w:pStyle w:val="TablebodyleftTables"/>
              <w:jc w:val="right"/>
            </w:pPr>
            <w:r>
              <w:rPr>
                <w:spacing w:val="-5"/>
              </w:rPr>
              <w:t>N/A</w:t>
            </w:r>
            <w:r>
              <w:rPr>
                <w:spacing w:val="-5"/>
                <w:vertAlign w:val="superscript"/>
              </w:rPr>
              <w:t>(ii)</w:t>
            </w:r>
          </w:p>
        </w:tc>
        <w:tc>
          <w:tcPr>
            <w:tcW w:w="1170" w:type="dxa"/>
          </w:tcPr>
          <w:p w14:paraId="12DCEA0A" w14:textId="77777777" w:rsidR="00B02873" w:rsidRDefault="00B02873" w:rsidP="00304BA6">
            <w:pPr>
              <w:pStyle w:val="TablebodyleftTables"/>
              <w:jc w:val="right"/>
            </w:pPr>
            <w:r>
              <w:rPr>
                <w:spacing w:val="-5"/>
              </w:rPr>
              <w:t>95%</w:t>
            </w:r>
          </w:p>
        </w:tc>
        <w:tc>
          <w:tcPr>
            <w:tcW w:w="1171" w:type="dxa"/>
          </w:tcPr>
          <w:p w14:paraId="400B3F86" w14:textId="77777777" w:rsidR="00B02873" w:rsidRDefault="00B02873" w:rsidP="00304BA6">
            <w:pPr>
              <w:pStyle w:val="TablebodyleftTables"/>
              <w:jc w:val="right"/>
            </w:pPr>
            <w:r>
              <w:t>89%</w:t>
            </w:r>
          </w:p>
        </w:tc>
      </w:tr>
      <w:tr w:rsidR="00B02873" w:rsidRPr="00B02873" w14:paraId="5F0E6137" w14:textId="77777777" w:rsidTr="00BA6213">
        <w:tc>
          <w:tcPr>
            <w:tcW w:w="4957" w:type="dxa"/>
          </w:tcPr>
          <w:p w14:paraId="70F66AA8" w14:textId="77777777" w:rsidR="00B02873" w:rsidRDefault="00B02873" w:rsidP="00B415A9">
            <w:pPr>
              <w:pStyle w:val="TablebodyleftTables"/>
            </w:pPr>
            <w:r>
              <w:rPr>
                <w:spacing w:val="-5"/>
              </w:rPr>
              <w:t>T6. Metro staff: Percentage using sustainable transport to get to work</w:t>
            </w:r>
          </w:p>
        </w:tc>
        <w:tc>
          <w:tcPr>
            <w:tcW w:w="1170" w:type="dxa"/>
          </w:tcPr>
          <w:p w14:paraId="3866B155" w14:textId="77777777" w:rsidR="00B02873" w:rsidRDefault="00B02873" w:rsidP="00304BA6">
            <w:pPr>
              <w:pStyle w:val="TablebodyleftTables"/>
              <w:jc w:val="right"/>
            </w:pPr>
            <w:r>
              <w:t>N/A</w:t>
            </w:r>
            <w:r>
              <w:rPr>
                <w:vertAlign w:val="superscript"/>
              </w:rPr>
              <w:t>(ii)</w:t>
            </w:r>
          </w:p>
        </w:tc>
        <w:tc>
          <w:tcPr>
            <w:tcW w:w="1170" w:type="dxa"/>
          </w:tcPr>
          <w:p w14:paraId="56ADDEEC" w14:textId="77777777" w:rsidR="00B02873" w:rsidRDefault="00B02873" w:rsidP="00304BA6">
            <w:pPr>
              <w:pStyle w:val="TablebodyleftTables"/>
              <w:jc w:val="right"/>
            </w:pPr>
            <w:r>
              <w:t>N/A</w:t>
            </w:r>
            <w:r>
              <w:rPr>
                <w:vertAlign w:val="superscript"/>
              </w:rPr>
              <w:t>(ii)</w:t>
            </w:r>
          </w:p>
        </w:tc>
        <w:tc>
          <w:tcPr>
            <w:tcW w:w="1170" w:type="dxa"/>
          </w:tcPr>
          <w:p w14:paraId="674DE3CA" w14:textId="77777777" w:rsidR="00B02873" w:rsidRDefault="00B02873" w:rsidP="00304BA6">
            <w:pPr>
              <w:pStyle w:val="TablebodyleftTables"/>
              <w:jc w:val="right"/>
            </w:pPr>
            <w:r>
              <w:t>17%</w:t>
            </w:r>
          </w:p>
        </w:tc>
        <w:tc>
          <w:tcPr>
            <w:tcW w:w="1171" w:type="dxa"/>
          </w:tcPr>
          <w:p w14:paraId="3228B757" w14:textId="77777777" w:rsidR="00B02873" w:rsidRDefault="00B02873" w:rsidP="00304BA6">
            <w:pPr>
              <w:pStyle w:val="TablebodyleftTables"/>
              <w:jc w:val="right"/>
            </w:pPr>
            <w:r>
              <w:t>30%</w:t>
            </w:r>
          </w:p>
        </w:tc>
      </w:tr>
      <w:tr w:rsidR="00B02873" w:rsidRPr="00B02873" w14:paraId="5430A718" w14:textId="77777777" w:rsidTr="00BA6213">
        <w:tc>
          <w:tcPr>
            <w:tcW w:w="4957" w:type="dxa"/>
          </w:tcPr>
          <w:p w14:paraId="45B4684D" w14:textId="77777777" w:rsidR="00B02873" w:rsidRDefault="00B02873" w:rsidP="00B415A9">
            <w:pPr>
              <w:pStyle w:val="TablebodyleftTables"/>
            </w:pPr>
            <w:r>
              <w:t>T6. Regional staff: Percentage using sustainable transport to get to work</w:t>
            </w:r>
          </w:p>
        </w:tc>
        <w:tc>
          <w:tcPr>
            <w:tcW w:w="1170" w:type="dxa"/>
          </w:tcPr>
          <w:p w14:paraId="35122C56" w14:textId="77777777" w:rsidR="00B02873" w:rsidRDefault="00B02873" w:rsidP="00304BA6">
            <w:pPr>
              <w:pStyle w:val="TablebodyleftTables"/>
              <w:jc w:val="right"/>
            </w:pPr>
            <w:r>
              <w:t>N/A</w:t>
            </w:r>
            <w:r>
              <w:rPr>
                <w:vertAlign w:val="superscript"/>
              </w:rPr>
              <w:t>(ii)</w:t>
            </w:r>
          </w:p>
        </w:tc>
        <w:tc>
          <w:tcPr>
            <w:tcW w:w="1170" w:type="dxa"/>
          </w:tcPr>
          <w:p w14:paraId="153BBB55" w14:textId="77777777" w:rsidR="00B02873" w:rsidRDefault="00B02873" w:rsidP="00304BA6">
            <w:pPr>
              <w:pStyle w:val="TablebodyleftTables"/>
              <w:jc w:val="right"/>
            </w:pPr>
            <w:r>
              <w:t>N/A</w:t>
            </w:r>
            <w:r>
              <w:rPr>
                <w:vertAlign w:val="superscript"/>
              </w:rPr>
              <w:t>(ii)</w:t>
            </w:r>
          </w:p>
        </w:tc>
        <w:tc>
          <w:tcPr>
            <w:tcW w:w="1170" w:type="dxa"/>
          </w:tcPr>
          <w:p w14:paraId="2F8E686C" w14:textId="77777777" w:rsidR="00B02873" w:rsidRDefault="00B02873" w:rsidP="00304BA6">
            <w:pPr>
              <w:pStyle w:val="TablebodyleftTables"/>
              <w:jc w:val="right"/>
            </w:pPr>
            <w:r>
              <w:t>21%</w:t>
            </w:r>
          </w:p>
        </w:tc>
        <w:tc>
          <w:tcPr>
            <w:tcW w:w="1171" w:type="dxa"/>
          </w:tcPr>
          <w:p w14:paraId="0548C816" w14:textId="77777777" w:rsidR="00B02873" w:rsidRDefault="00B02873" w:rsidP="00304BA6">
            <w:pPr>
              <w:pStyle w:val="TablebodyleftTables"/>
              <w:jc w:val="right"/>
            </w:pPr>
            <w:r>
              <w:t>22%</w:t>
            </w:r>
          </w:p>
        </w:tc>
      </w:tr>
    </w:tbl>
    <w:p w14:paraId="7ED390A3" w14:textId="77777777" w:rsidR="00B02873" w:rsidRPr="00BA6213" w:rsidRDefault="00B02873" w:rsidP="00BA6213">
      <w:pPr>
        <w:pStyle w:val="SourceNote"/>
        <w:rPr>
          <w:b/>
          <w:bCs/>
        </w:rPr>
      </w:pPr>
      <w:r w:rsidRPr="00BA6213">
        <w:rPr>
          <w:b/>
          <w:bCs/>
        </w:rPr>
        <w:t>Explanatory notes:</w:t>
      </w:r>
    </w:p>
    <w:p w14:paraId="1560AFEF" w14:textId="77777777" w:rsidR="00B02873" w:rsidRPr="00304BA6" w:rsidRDefault="00B02873" w:rsidP="001128B1">
      <w:pPr>
        <w:pStyle w:val="SourceNotenumbered"/>
        <w:numPr>
          <w:ilvl w:val="0"/>
          <w:numId w:val="68"/>
        </w:numPr>
      </w:pPr>
      <w:r w:rsidRPr="00304BA6">
        <w:t xml:space="preserve">Staff travel data is sourced from the annual staff travel survey in March. </w:t>
      </w:r>
    </w:p>
    <w:p w14:paraId="394A1AE6" w14:textId="77777777" w:rsidR="00B02873" w:rsidRPr="00304BA6" w:rsidRDefault="00B02873" w:rsidP="00304BA6">
      <w:pPr>
        <w:pStyle w:val="SourceNotenumbered"/>
        <w:spacing w:after="200"/>
        <w:ind w:left="357" w:hanging="357"/>
      </w:pPr>
      <w:r w:rsidRPr="00304BA6">
        <w:t>Due to COVIDSafe settings, most staff were working remotely in March 2021 and March 2022, so the survey did not take place.</w:t>
      </w:r>
    </w:p>
    <w:p w14:paraId="6AF6B06F" w14:textId="77777777" w:rsidR="00B02873" w:rsidRDefault="00B02873" w:rsidP="00FA43C4">
      <w:pPr>
        <w:pStyle w:val="Heading2Headings"/>
      </w:pPr>
      <w:r>
        <w:t>Waste and recycling</w:t>
      </w:r>
    </w:p>
    <w:p w14:paraId="2E98343E" w14:textId="20A4368A" w:rsidR="00012797" w:rsidRDefault="00012797" w:rsidP="00FA43C4">
      <w:pPr>
        <w:pStyle w:val="Number1Lists"/>
        <w:numPr>
          <w:ilvl w:val="0"/>
          <w:numId w:val="15"/>
        </w:numPr>
        <w:spacing w:after="200"/>
      </w:pPr>
      <w:r>
        <w:t>Responsible consumption and production</w:t>
      </w:r>
    </w:p>
    <w:p w14:paraId="14DB8C16" w14:textId="57E8CBD7" w:rsidR="00B02873" w:rsidRDefault="00B02873" w:rsidP="00FE198A">
      <w:r>
        <w:t xml:space="preserve">Total waste over the 2021-22 reporting period decreased by 30 per cent since 2020-21 and by 74 per cent since the 2014-15 baseline. A significant part of the reduction since the 2019-20 reporting period can be attributed to an increase in staff working remotely due to COVIDSafe settings. </w:t>
      </w:r>
    </w:p>
    <w:p w14:paraId="4599E1E9" w14:textId="18E0E9F9" w:rsidR="00B02873" w:rsidRDefault="00B02873" w:rsidP="00012797">
      <w:pPr>
        <w:pStyle w:val="Figureheading"/>
      </w:pPr>
      <w:r>
        <w:t>Office based waste generation (kg)</w:t>
      </w:r>
    </w:p>
    <w:p w14:paraId="3B7C9125" w14:textId="57076C5D" w:rsidR="00B02873" w:rsidRDefault="00012797" w:rsidP="00012797">
      <w:r>
        <w:rPr>
          <w:noProof/>
        </w:rPr>
        <w:drawing>
          <wp:inline distT="0" distB="0" distL="0" distR="0" wp14:anchorId="52D5040D" wp14:editId="0375E146">
            <wp:extent cx="5098825" cy="2063750"/>
            <wp:effectExtent l="0" t="0" r="6985" b="0"/>
            <wp:docPr id="48" name="Picture 48" descr="Graph showing office based waste generation, broken down by waste type, for four financial years: 2014-15 (baseline year), 2019-20, 2020-21 and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 showing office based waste generation, broken down by waste type, for four financial years: 2014-15 (baseline year), 2019-20, 2020-21 and 2021-22."/>
                    <pic:cNvPicPr/>
                  </pic:nvPicPr>
                  <pic:blipFill rotWithShape="1">
                    <a:blip r:embed="rId76"/>
                    <a:srcRect b="4720"/>
                    <a:stretch/>
                  </pic:blipFill>
                  <pic:spPr bwMode="auto">
                    <a:xfrm>
                      <a:off x="0" y="0"/>
                      <a:ext cx="5119063" cy="2071941"/>
                    </a:xfrm>
                    <a:prstGeom prst="rect">
                      <a:avLst/>
                    </a:prstGeom>
                    <a:ln>
                      <a:noFill/>
                    </a:ln>
                    <a:extLst>
                      <a:ext uri="{53640926-AAD7-44D8-BBD7-CCE9431645EC}">
                        <a14:shadowObscured xmlns:a14="http://schemas.microsoft.com/office/drawing/2010/main"/>
                      </a:ext>
                    </a:extLst>
                  </pic:spPr>
                </pic:pic>
              </a:graphicData>
            </a:graphic>
          </wp:inline>
        </w:drawing>
      </w:r>
    </w:p>
    <w:p w14:paraId="7F461D66" w14:textId="77777777" w:rsidR="00B02873" w:rsidRDefault="00B02873" w:rsidP="00012797">
      <w:pPr>
        <w:pStyle w:val="Heading3"/>
      </w:pPr>
      <w:r>
        <w:lastRenderedPageBreak/>
        <w:t>Actions undertaken:</w:t>
      </w:r>
    </w:p>
    <w:p w14:paraId="3FE2BD0D" w14:textId="77777777" w:rsidR="00B02873" w:rsidRDefault="00B02873" w:rsidP="00B02873">
      <w:pPr>
        <w:pStyle w:val="Bullet1Lists"/>
      </w:pPr>
      <w:r>
        <w:t>DELWP diverted 551 kilograms of metal, plastics, batteries, mobile phones, and stationery through the Green Collect recycling scheme.</w:t>
      </w:r>
    </w:p>
    <w:p w14:paraId="787B843F" w14:textId="77777777" w:rsidR="00B02873" w:rsidRDefault="00B02873" w:rsidP="00B02873">
      <w:pPr>
        <w:pStyle w:val="Bullet1Lists"/>
      </w:pPr>
      <w:r>
        <w:rPr>
          <w:spacing w:val="4"/>
        </w:rPr>
        <w:t xml:space="preserve">DELWP has phased out the use of specific single-use plastics at all sites and for all operations, including straws, cutlery, plates, drink stirrers, polystyrene food and drink containers and plastic cotton bud sticks. This aligns with the Tackling Plastic Pollution: single-use plastics ban and associated statewide Victorian Government commitment. </w:t>
      </w:r>
    </w:p>
    <w:p w14:paraId="358D4DA3" w14:textId="77777777" w:rsidR="00B02873" w:rsidRDefault="00B02873" w:rsidP="00B02873">
      <w:pPr>
        <w:pStyle w:val="Bullet1Lists"/>
      </w:pPr>
      <w:r>
        <w:t>DELWP continued to participate in the take-away coffee cup recycling scheme at 8 Nicholson Street.</w:t>
      </w:r>
    </w:p>
    <w:p w14:paraId="08E83DA9" w14:textId="77777777" w:rsidR="00B02873" w:rsidRDefault="00B02873" w:rsidP="00B02873">
      <w:pPr>
        <w:pStyle w:val="Bullet1Lists"/>
      </w:pPr>
      <w:r>
        <w:t>All redundant IT equipment was collected through the ReTech scheme, securely wiped and repurposed throughout the wider community.</w:t>
      </w:r>
    </w:p>
    <w:p w14:paraId="50922EE5" w14:textId="77777777" w:rsidR="00B02873" w:rsidRDefault="00B02873" w:rsidP="00B02873">
      <w:pPr>
        <w:pStyle w:val="Bullet1Lists"/>
      </w:pPr>
      <w:r>
        <w:t>Excess office furniture and fit-out materials continued to be reused and recycled, reducing waste generated by office moves across all sites.</w:t>
      </w:r>
    </w:p>
    <w:p w14:paraId="131DF15E" w14:textId="77777777" w:rsidR="00B02873" w:rsidRDefault="00B02873" w:rsidP="00B02873">
      <w:pPr>
        <w:pStyle w:val="Bullet1Lists"/>
      </w:pPr>
      <w:r>
        <w:t>Green Team volunteers managed soft plastics recycling at many DELWP sites throughout the state.</w:t>
      </w:r>
    </w:p>
    <w:p w14:paraId="7EC16562" w14:textId="77777777" w:rsidR="00B02873" w:rsidRPr="00304BA6" w:rsidRDefault="00B02873" w:rsidP="00012797">
      <w:pPr>
        <w:pStyle w:val="Bullet1Listslast"/>
      </w:pPr>
      <w:r>
        <w:t>All office sites participated in used toner cartridge recycling collections.</w:t>
      </w:r>
    </w:p>
    <w:p w14:paraId="5C5B5051" w14:textId="77777777" w:rsidR="00B02873" w:rsidRDefault="00B02873" w:rsidP="00012797">
      <w:pPr>
        <w:pStyle w:val="Heading3"/>
      </w:pPr>
      <w:r>
        <w:t>Future objectives:</w:t>
      </w:r>
    </w:p>
    <w:p w14:paraId="36252D09" w14:textId="77777777" w:rsidR="00B02873" w:rsidRDefault="00B02873" w:rsidP="00B02873">
      <w:pPr>
        <w:pStyle w:val="Bullet1Lists"/>
      </w:pPr>
      <w:r>
        <w:t>DELWP will establish separate organic and glass collections at all sites as services become available within local councils. This will support an 80 per cent recycling rate target of kitchen and stationery room waste by 2025 (in advance of the 2030 Recycling Victoria (RV) targets).</w:t>
      </w:r>
    </w:p>
    <w:p w14:paraId="4B3D848A" w14:textId="77777777" w:rsidR="00B02873" w:rsidRDefault="00B02873" w:rsidP="00B02873">
      <w:pPr>
        <w:pStyle w:val="Bullet1Lists"/>
      </w:pPr>
      <w:r>
        <w:rPr>
          <w:spacing w:val="-2"/>
        </w:rPr>
        <w:t>DELWP will also reduce the total volume of kitchen and stationery room waste by 15 per cent per FTE by 2025.</w:t>
      </w:r>
    </w:p>
    <w:p w14:paraId="12128CE9" w14:textId="77777777" w:rsidR="00B02873" w:rsidRDefault="00B02873" w:rsidP="00012797">
      <w:pPr>
        <w:pStyle w:val="Bullet1Listslast"/>
      </w:pPr>
      <w:r>
        <w:t>DELWP will continue to participate in a range of other additional voluntary recycling schemes.</w:t>
      </w:r>
    </w:p>
    <w:p w14:paraId="6CB473E6" w14:textId="50CCDE27" w:rsidR="00B02873" w:rsidRDefault="00B02873" w:rsidP="00012797">
      <w:pPr>
        <w:pStyle w:val="Heading3"/>
      </w:pPr>
      <w:r>
        <w:t>Performance:</w:t>
      </w:r>
    </w:p>
    <w:tbl>
      <w:tblPr>
        <w:tblStyle w:val="TableGrid"/>
        <w:tblW w:w="9638" w:type="dxa"/>
        <w:tblLayout w:type="fixed"/>
        <w:tblLook w:val="0020" w:firstRow="1" w:lastRow="0" w:firstColumn="0" w:lastColumn="0" w:noHBand="0" w:noVBand="0"/>
      </w:tblPr>
      <w:tblGrid>
        <w:gridCol w:w="4106"/>
        <w:gridCol w:w="1383"/>
        <w:gridCol w:w="1383"/>
        <w:gridCol w:w="1383"/>
        <w:gridCol w:w="1383"/>
      </w:tblGrid>
      <w:tr w:rsidR="00B02873" w:rsidRPr="005075EE" w14:paraId="31B08FB2" w14:textId="77777777" w:rsidTr="005075EE">
        <w:trPr>
          <w:cnfStyle w:val="100000000000" w:firstRow="1" w:lastRow="0" w:firstColumn="0" w:lastColumn="0" w:oddVBand="0" w:evenVBand="0" w:oddHBand="0" w:evenHBand="0" w:firstRowFirstColumn="0" w:firstRowLastColumn="0" w:lastRowFirstColumn="0" w:lastRowLastColumn="0"/>
          <w:tblHeader/>
        </w:trPr>
        <w:tc>
          <w:tcPr>
            <w:tcW w:w="4106" w:type="dxa"/>
          </w:tcPr>
          <w:p w14:paraId="61CF33AA" w14:textId="77777777" w:rsidR="00B02873" w:rsidRPr="005075EE" w:rsidRDefault="00B02873" w:rsidP="00304BA6">
            <w:pPr>
              <w:pStyle w:val="TableheadingleftTables"/>
              <w:spacing w:before="40" w:after="40"/>
            </w:pPr>
          </w:p>
        </w:tc>
        <w:tc>
          <w:tcPr>
            <w:tcW w:w="1383" w:type="dxa"/>
          </w:tcPr>
          <w:p w14:paraId="64FDFD5D" w14:textId="77777777" w:rsidR="00B02873" w:rsidRPr="005075EE" w:rsidRDefault="00B02873" w:rsidP="00304BA6">
            <w:pPr>
              <w:pStyle w:val="TableheadingleftTables"/>
              <w:spacing w:before="40" w:after="40"/>
              <w:jc w:val="right"/>
            </w:pPr>
            <w:r w:rsidRPr="005075EE">
              <w:t>2021-22</w:t>
            </w:r>
          </w:p>
        </w:tc>
        <w:tc>
          <w:tcPr>
            <w:tcW w:w="1383" w:type="dxa"/>
          </w:tcPr>
          <w:p w14:paraId="7EEDB53E" w14:textId="77777777" w:rsidR="00B02873" w:rsidRPr="005075EE" w:rsidRDefault="00B02873" w:rsidP="00304BA6">
            <w:pPr>
              <w:pStyle w:val="TableheadingleftTables"/>
              <w:spacing w:before="40" w:after="40"/>
              <w:jc w:val="right"/>
            </w:pPr>
            <w:r w:rsidRPr="005075EE">
              <w:t>2020-21</w:t>
            </w:r>
          </w:p>
        </w:tc>
        <w:tc>
          <w:tcPr>
            <w:tcW w:w="1383" w:type="dxa"/>
          </w:tcPr>
          <w:p w14:paraId="004F1146" w14:textId="77777777" w:rsidR="00B02873" w:rsidRPr="005075EE" w:rsidRDefault="00B02873" w:rsidP="00304BA6">
            <w:pPr>
              <w:pStyle w:val="TableheadingleftTables"/>
              <w:spacing w:before="40" w:after="40"/>
              <w:jc w:val="right"/>
            </w:pPr>
            <w:r w:rsidRPr="005075EE">
              <w:t>2019-20</w:t>
            </w:r>
          </w:p>
        </w:tc>
        <w:tc>
          <w:tcPr>
            <w:tcW w:w="1383" w:type="dxa"/>
          </w:tcPr>
          <w:p w14:paraId="745666BE" w14:textId="77777777" w:rsidR="00B02873" w:rsidRPr="005075EE" w:rsidRDefault="00B02873" w:rsidP="00304BA6">
            <w:pPr>
              <w:pStyle w:val="TableheadingleftTables"/>
              <w:spacing w:before="40" w:after="40"/>
              <w:jc w:val="right"/>
            </w:pPr>
            <w:r w:rsidRPr="005075EE">
              <w:t>2014-15 (baseline)</w:t>
            </w:r>
          </w:p>
        </w:tc>
      </w:tr>
      <w:tr w:rsidR="00B02873" w:rsidRPr="00B02873" w14:paraId="0DEC5C67" w14:textId="77777777" w:rsidTr="005075EE">
        <w:tc>
          <w:tcPr>
            <w:tcW w:w="4106" w:type="dxa"/>
          </w:tcPr>
          <w:p w14:paraId="5D856D83" w14:textId="77777777" w:rsidR="00B02873" w:rsidRDefault="00B02873" w:rsidP="00304BA6">
            <w:pPr>
              <w:pStyle w:val="TablebodyleftTables"/>
              <w:spacing w:before="40" w:after="40"/>
            </w:pPr>
            <w:r>
              <w:rPr>
                <w:rStyle w:val="Bold"/>
                <w:spacing w:val="-3"/>
              </w:rPr>
              <w:t>Ws1. Total units of waste disposed of by destination (kg)</w:t>
            </w:r>
            <w:r>
              <w:rPr>
                <w:rStyle w:val="Bold"/>
                <w:spacing w:val="-3"/>
                <w:vertAlign w:val="superscript"/>
              </w:rPr>
              <w:t>(i)</w:t>
            </w:r>
          </w:p>
        </w:tc>
        <w:tc>
          <w:tcPr>
            <w:tcW w:w="1383" w:type="dxa"/>
          </w:tcPr>
          <w:p w14:paraId="62C7303A" w14:textId="77777777" w:rsidR="00B02873" w:rsidRDefault="00B02873" w:rsidP="00304BA6">
            <w:pPr>
              <w:pStyle w:val="TablebodyleftTables"/>
              <w:spacing w:before="40" w:after="40"/>
              <w:jc w:val="right"/>
            </w:pPr>
            <w:r>
              <w:rPr>
                <w:rStyle w:val="Bold"/>
              </w:rPr>
              <w:t>58,929</w:t>
            </w:r>
          </w:p>
        </w:tc>
        <w:tc>
          <w:tcPr>
            <w:tcW w:w="1383" w:type="dxa"/>
          </w:tcPr>
          <w:p w14:paraId="0E9201A8" w14:textId="77777777" w:rsidR="00B02873" w:rsidRDefault="00B02873" w:rsidP="00304BA6">
            <w:pPr>
              <w:pStyle w:val="TablebodyleftTables"/>
              <w:spacing w:before="40" w:after="40"/>
              <w:jc w:val="right"/>
            </w:pPr>
            <w:r>
              <w:rPr>
                <w:rStyle w:val="Bold"/>
                <w:spacing w:val="-5"/>
              </w:rPr>
              <w:t>83,620</w:t>
            </w:r>
          </w:p>
        </w:tc>
        <w:tc>
          <w:tcPr>
            <w:tcW w:w="1383" w:type="dxa"/>
          </w:tcPr>
          <w:p w14:paraId="125642AE" w14:textId="77777777" w:rsidR="00B02873" w:rsidRDefault="00B02873" w:rsidP="00304BA6">
            <w:pPr>
              <w:pStyle w:val="TablebodyleftTables"/>
              <w:spacing w:before="40" w:after="40"/>
              <w:jc w:val="right"/>
            </w:pPr>
            <w:r>
              <w:rPr>
                <w:rStyle w:val="Bold"/>
                <w:spacing w:val="-5"/>
              </w:rPr>
              <w:t>188,347</w:t>
            </w:r>
          </w:p>
        </w:tc>
        <w:tc>
          <w:tcPr>
            <w:tcW w:w="1383" w:type="dxa"/>
          </w:tcPr>
          <w:p w14:paraId="1248CCFA" w14:textId="77777777" w:rsidR="00B02873" w:rsidRDefault="00B02873" w:rsidP="00304BA6">
            <w:pPr>
              <w:pStyle w:val="TablebodyleftTables"/>
              <w:spacing w:before="40" w:after="40"/>
              <w:jc w:val="right"/>
            </w:pPr>
            <w:r>
              <w:rPr>
                <w:rStyle w:val="Bold"/>
              </w:rPr>
              <w:t>245,235</w:t>
            </w:r>
          </w:p>
        </w:tc>
      </w:tr>
      <w:tr w:rsidR="00B02873" w:rsidRPr="00B02873" w14:paraId="6B69219E" w14:textId="77777777" w:rsidTr="005075EE">
        <w:tc>
          <w:tcPr>
            <w:tcW w:w="4106" w:type="dxa"/>
          </w:tcPr>
          <w:p w14:paraId="3FA19D21" w14:textId="71CFB4FD" w:rsidR="00B02873" w:rsidRDefault="00012C04" w:rsidP="00304BA6">
            <w:pPr>
              <w:pStyle w:val="TablebodyleftTables"/>
              <w:spacing w:before="40" w:after="40"/>
            </w:pPr>
            <w:r>
              <w:rPr>
                <w:spacing w:val="-5"/>
              </w:rPr>
              <w:t xml:space="preserve"> </w:t>
            </w:r>
            <w:r w:rsidR="00B02873">
              <w:rPr>
                <w:spacing w:val="-5"/>
              </w:rPr>
              <w:t xml:space="preserve"> Landfill (kg)</w:t>
            </w:r>
          </w:p>
        </w:tc>
        <w:tc>
          <w:tcPr>
            <w:tcW w:w="1383" w:type="dxa"/>
          </w:tcPr>
          <w:p w14:paraId="3615E04B" w14:textId="77777777" w:rsidR="00B02873" w:rsidRDefault="00B02873" w:rsidP="00304BA6">
            <w:pPr>
              <w:pStyle w:val="TablebodyleftTables"/>
              <w:spacing w:before="40" w:after="40"/>
              <w:jc w:val="right"/>
            </w:pPr>
            <w:r>
              <w:t>23,565</w:t>
            </w:r>
          </w:p>
        </w:tc>
        <w:tc>
          <w:tcPr>
            <w:tcW w:w="1383" w:type="dxa"/>
          </w:tcPr>
          <w:p w14:paraId="004A66E8" w14:textId="77777777" w:rsidR="00B02873" w:rsidRDefault="00B02873" w:rsidP="00304BA6">
            <w:pPr>
              <w:pStyle w:val="TablebodyleftTables"/>
              <w:spacing w:before="40" w:after="40"/>
              <w:jc w:val="right"/>
            </w:pPr>
            <w:r>
              <w:t>22,697</w:t>
            </w:r>
          </w:p>
        </w:tc>
        <w:tc>
          <w:tcPr>
            <w:tcW w:w="1383" w:type="dxa"/>
          </w:tcPr>
          <w:p w14:paraId="415A7499" w14:textId="77777777" w:rsidR="00B02873" w:rsidRDefault="00B02873" w:rsidP="00304BA6">
            <w:pPr>
              <w:pStyle w:val="TablebodyleftTables"/>
              <w:spacing w:before="40" w:after="40"/>
              <w:jc w:val="right"/>
            </w:pPr>
            <w:r>
              <w:t>50,048</w:t>
            </w:r>
          </w:p>
        </w:tc>
        <w:tc>
          <w:tcPr>
            <w:tcW w:w="1383" w:type="dxa"/>
          </w:tcPr>
          <w:p w14:paraId="4637F2C4" w14:textId="77777777" w:rsidR="00B02873" w:rsidRDefault="00B02873" w:rsidP="00304BA6">
            <w:pPr>
              <w:pStyle w:val="TablebodyleftTables"/>
              <w:spacing w:before="40" w:after="40"/>
              <w:jc w:val="right"/>
            </w:pPr>
            <w:r>
              <w:t>55,258</w:t>
            </w:r>
          </w:p>
        </w:tc>
      </w:tr>
      <w:tr w:rsidR="00B02873" w:rsidRPr="00B02873" w14:paraId="4EEACCAF" w14:textId="77777777" w:rsidTr="005075EE">
        <w:tc>
          <w:tcPr>
            <w:tcW w:w="4106" w:type="dxa"/>
          </w:tcPr>
          <w:p w14:paraId="3B3B9120" w14:textId="080E6546" w:rsidR="00B02873" w:rsidRDefault="00012C04" w:rsidP="00304BA6">
            <w:pPr>
              <w:pStyle w:val="TablebodyleftTables"/>
              <w:spacing w:before="40" w:after="40"/>
            </w:pPr>
            <w:r>
              <w:rPr>
                <w:spacing w:val="-5"/>
              </w:rPr>
              <w:t xml:space="preserve"> </w:t>
            </w:r>
            <w:r w:rsidR="00B02873">
              <w:rPr>
                <w:spacing w:val="-5"/>
              </w:rPr>
              <w:t xml:space="preserve"> </w:t>
            </w:r>
            <w:r w:rsidR="00B02873">
              <w:t>Comingled recycling (kg)</w:t>
            </w:r>
          </w:p>
        </w:tc>
        <w:tc>
          <w:tcPr>
            <w:tcW w:w="1383" w:type="dxa"/>
          </w:tcPr>
          <w:p w14:paraId="773B53A9" w14:textId="77777777" w:rsidR="00B02873" w:rsidRDefault="00B02873" w:rsidP="00304BA6">
            <w:pPr>
              <w:pStyle w:val="TablebodyleftTables"/>
              <w:spacing w:before="40" w:after="40"/>
              <w:jc w:val="right"/>
            </w:pPr>
            <w:r>
              <w:t>7,760</w:t>
            </w:r>
          </w:p>
        </w:tc>
        <w:tc>
          <w:tcPr>
            <w:tcW w:w="1383" w:type="dxa"/>
          </w:tcPr>
          <w:p w14:paraId="3A056ED5" w14:textId="77777777" w:rsidR="00B02873" w:rsidRDefault="00B02873" w:rsidP="00304BA6">
            <w:pPr>
              <w:pStyle w:val="TablebodyleftTables"/>
              <w:spacing w:before="40" w:after="40"/>
              <w:jc w:val="right"/>
            </w:pPr>
            <w:r>
              <w:t>15,926</w:t>
            </w:r>
          </w:p>
        </w:tc>
        <w:tc>
          <w:tcPr>
            <w:tcW w:w="1383" w:type="dxa"/>
          </w:tcPr>
          <w:p w14:paraId="7D79C5B4" w14:textId="77777777" w:rsidR="00B02873" w:rsidRDefault="00B02873" w:rsidP="00304BA6">
            <w:pPr>
              <w:pStyle w:val="TablebodyleftTables"/>
              <w:spacing w:before="40" w:after="40"/>
              <w:jc w:val="right"/>
            </w:pPr>
            <w:r>
              <w:t>29,607</w:t>
            </w:r>
          </w:p>
        </w:tc>
        <w:tc>
          <w:tcPr>
            <w:tcW w:w="1383" w:type="dxa"/>
          </w:tcPr>
          <w:p w14:paraId="43A292E9" w14:textId="77777777" w:rsidR="00B02873" w:rsidRDefault="00B02873" w:rsidP="00304BA6">
            <w:pPr>
              <w:pStyle w:val="TablebodyleftTables"/>
              <w:spacing w:before="40" w:after="40"/>
              <w:jc w:val="right"/>
            </w:pPr>
            <w:r>
              <w:t>58,132</w:t>
            </w:r>
          </w:p>
        </w:tc>
      </w:tr>
      <w:tr w:rsidR="00B02873" w:rsidRPr="00B02873" w14:paraId="350005A7" w14:textId="77777777" w:rsidTr="005075EE">
        <w:tc>
          <w:tcPr>
            <w:tcW w:w="4106" w:type="dxa"/>
          </w:tcPr>
          <w:p w14:paraId="20BB3FD3" w14:textId="31FC3A11" w:rsidR="00B02873" w:rsidRDefault="00012C04" w:rsidP="00304BA6">
            <w:pPr>
              <w:pStyle w:val="TablebodyleftTables"/>
              <w:spacing w:before="40" w:after="40"/>
            </w:pPr>
            <w:r>
              <w:rPr>
                <w:spacing w:val="-5"/>
              </w:rPr>
              <w:t xml:space="preserve"> </w:t>
            </w:r>
            <w:r w:rsidR="00B02873">
              <w:rPr>
                <w:spacing w:val="-5"/>
              </w:rPr>
              <w:t xml:space="preserve"> </w:t>
            </w:r>
            <w:r w:rsidR="00B02873">
              <w:t>Paper and card (kg)</w:t>
            </w:r>
          </w:p>
        </w:tc>
        <w:tc>
          <w:tcPr>
            <w:tcW w:w="1383" w:type="dxa"/>
          </w:tcPr>
          <w:p w14:paraId="4A8C4ADB" w14:textId="77777777" w:rsidR="00B02873" w:rsidRDefault="00B02873" w:rsidP="00304BA6">
            <w:pPr>
              <w:pStyle w:val="TablebodyleftTables"/>
              <w:spacing w:before="40" w:after="40"/>
              <w:jc w:val="right"/>
            </w:pPr>
            <w:r>
              <w:t>16,592</w:t>
            </w:r>
          </w:p>
        </w:tc>
        <w:tc>
          <w:tcPr>
            <w:tcW w:w="1383" w:type="dxa"/>
          </w:tcPr>
          <w:p w14:paraId="03209F29" w14:textId="77777777" w:rsidR="00B02873" w:rsidRDefault="00B02873" w:rsidP="00304BA6">
            <w:pPr>
              <w:pStyle w:val="TablebodyleftTables"/>
              <w:spacing w:before="40" w:after="40"/>
              <w:jc w:val="right"/>
            </w:pPr>
            <w:r>
              <w:t>13,992</w:t>
            </w:r>
          </w:p>
        </w:tc>
        <w:tc>
          <w:tcPr>
            <w:tcW w:w="1383" w:type="dxa"/>
          </w:tcPr>
          <w:p w14:paraId="15869514" w14:textId="77777777" w:rsidR="00B02873" w:rsidRDefault="00B02873" w:rsidP="00304BA6">
            <w:pPr>
              <w:pStyle w:val="TablebodyleftTables"/>
              <w:spacing w:before="40" w:after="40"/>
              <w:jc w:val="right"/>
            </w:pPr>
            <w:r>
              <w:t>50,502</w:t>
            </w:r>
          </w:p>
        </w:tc>
        <w:tc>
          <w:tcPr>
            <w:tcW w:w="1383" w:type="dxa"/>
          </w:tcPr>
          <w:p w14:paraId="6711E80C" w14:textId="77777777" w:rsidR="00B02873" w:rsidRDefault="00B02873" w:rsidP="00304BA6">
            <w:pPr>
              <w:pStyle w:val="TablebodyleftTables"/>
              <w:spacing w:before="40" w:after="40"/>
              <w:jc w:val="right"/>
            </w:pPr>
            <w:r>
              <w:t>65,911</w:t>
            </w:r>
          </w:p>
        </w:tc>
      </w:tr>
      <w:tr w:rsidR="00B02873" w:rsidRPr="00B02873" w14:paraId="197F1577" w14:textId="77777777" w:rsidTr="005075EE">
        <w:tc>
          <w:tcPr>
            <w:tcW w:w="4106" w:type="dxa"/>
          </w:tcPr>
          <w:p w14:paraId="5CE5A3B8" w14:textId="740CA9FA" w:rsidR="00B02873" w:rsidRDefault="00012C04" w:rsidP="00304BA6">
            <w:pPr>
              <w:pStyle w:val="TablebodyleftTables"/>
              <w:spacing w:before="40" w:after="40"/>
            </w:pPr>
            <w:r>
              <w:rPr>
                <w:spacing w:val="-5"/>
              </w:rPr>
              <w:t xml:space="preserve"> </w:t>
            </w:r>
            <w:r w:rsidR="00B02873">
              <w:rPr>
                <w:spacing w:val="-5"/>
              </w:rPr>
              <w:t xml:space="preserve"> </w:t>
            </w:r>
            <w:r w:rsidR="00B02873">
              <w:t>Secure documents (kg)</w:t>
            </w:r>
          </w:p>
        </w:tc>
        <w:tc>
          <w:tcPr>
            <w:tcW w:w="1383" w:type="dxa"/>
          </w:tcPr>
          <w:p w14:paraId="70C6B1B1" w14:textId="77777777" w:rsidR="00B02873" w:rsidRDefault="00B02873" w:rsidP="00304BA6">
            <w:pPr>
              <w:pStyle w:val="TablebodyleftTables"/>
              <w:spacing w:before="40" w:after="40"/>
              <w:jc w:val="right"/>
            </w:pPr>
            <w:r>
              <w:t>8,158</w:t>
            </w:r>
          </w:p>
        </w:tc>
        <w:tc>
          <w:tcPr>
            <w:tcW w:w="1383" w:type="dxa"/>
          </w:tcPr>
          <w:p w14:paraId="119BCA11" w14:textId="77777777" w:rsidR="00B02873" w:rsidRDefault="00B02873" w:rsidP="00304BA6">
            <w:pPr>
              <w:pStyle w:val="TablebodyleftTables"/>
              <w:spacing w:before="40" w:after="40"/>
              <w:jc w:val="right"/>
            </w:pPr>
            <w:r>
              <w:t>28,550</w:t>
            </w:r>
          </w:p>
        </w:tc>
        <w:tc>
          <w:tcPr>
            <w:tcW w:w="1383" w:type="dxa"/>
          </w:tcPr>
          <w:p w14:paraId="20A39DE8" w14:textId="77777777" w:rsidR="00B02873" w:rsidRDefault="00B02873" w:rsidP="00304BA6">
            <w:pPr>
              <w:pStyle w:val="TablebodyleftTables"/>
              <w:spacing w:before="40" w:after="40"/>
              <w:jc w:val="right"/>
            </w:pPr>
            <w:r>
              <w:t>32,822</w:t>
            </w:r>
          </w:p>
        </w:tc>
        <w:tc>
          <w:tcPr>
            <w:tcW w:w="1383" w:type="dxa"/>
          </w:tcPr>
          <w:p w14:paraId="3FED9BCE" w14:textId="77777777" w:rsidR="00B02873" w:rsidRDefault="00B02873" w:rsidP="00304BA6">
            <w:pPr>
              <w:pStyle w:val="TablebodyleftTables"/>
              <w:spacing w:before="40" w:after="40"/>
              <w:jc w:val="right"/>
            </w:pPr>
            <w:r>
              <w:t>40,621</w:t>
            </w:r>
          </w:p>
        </w:tc>
      </w:tr>
      <w:tr w:rsidR="00B02873" w:rsidRPr="00B02873" w14:paraId="30FA40C6" w14:textId="77777777" w:rsidTr="005075EE">
        <w:tc>
          <w:tcPr>
            <w:tcW w:w="4106" w:type="dxa"/>
          </w:tcPr>
          <w:p w14:paraId="3B6731B9" w14:textId="05EE18EF" w:rsidR="00B02873" w:rsidRDefault="00012C04" w:rsidP="00304BA6">
            <w:pPr>
              <w:pStyle w:val="TablebodyleftTables"/>
              <w:spacing w:before="40" w:after="40"/>
            </w:pPr>
            <w:r>
              <w:rPr>
                <w:spacing w:val="-5"/>
              </w:rPr>
              <w:t xml:space="preserve"> </w:t>
            </w:r>
            <w:r w:rsidR="00B02873">
              <w:rPr>
                <w:spacing w:val="-5"/>
              </w:rPr>
              <w:t xml:space="preserve"> </w:t>
            </w:r>
            <w:r w:rsidR="00B02873">
              <w:t>Organics (kg)</w:t>
            </w:r>
          </w:p>
        </w:tc>
        <w:tc>
          <w:tcPr>
            <w:tcW w:w="1383" w:type="dxa"/>
          </w:tcPr>
          <w:p w14:paraId="00EB6898" w14:textId="77777777" w:rsidR="00B02873" w:rsidRDefault="00B02873" w:rsidP="00304BA6">
            <w:pPr>
              <w:pStyle w:val="TablebodyleftTables"/>
              <w:spacing w:before="40" w:after="40"/>
              <w:jc w:val="right"/>
            </w:pPr>
            <w:r>
              <w:t>2,853</w:t>
            </w:r>
          </w:p>
        </w:tc>
        <w:tc>
          <w:tcPr>
            <w:tcW w:w="1383" w:type="dxa"/>
          </w:tcPr>
          <w:p w14:paraId="62182F49" w14:textId="77777777" w:rsidR="00B02873" w:rsidRDefault="00B02873" w:rsidP="00304BA6">
            <w:pPr>
              <w:pStyle w:val="TablebodyleftTables"/>
              <w:spacing w:before="40" w:after="40"/>
              <w:jc w:val="right"/>
            </w:pPr>
            <w:r>
              <w:t>2,456</w:t>
            </w:r>
          </w:p>
        </w:tc>
        <w:tc>
          <w:tcPr>
            <w:tcW w:w="1383" w:type="dxa"/>
          </w:tcPr>
          <w:p w14:paraId="54DAF9D5" w14:textId="77777777" w:rsidR="00B02873" w:rsidRDefault="00B02873" w:rsidP="00304BA6">
            <w:pPr>
              <w:pStyle w:val="TablebodyleftTables"/>
              <w:spacing w:before="40" w:after="40"/>
              <w:jc w:val="right"/>
            </w:pPr>
            <w:r>
              <w:t>25,368</w:t>
            </w:r>
          </w:p>
        </w:tc>
        <w:tc>
          <w:tcPr>
            <w:tcW w:w="1383" w:type="dxa"/>
          </w:tcPr>
          <w:p w14:paraId="6FAF3E69" w14:textId="77777777" w:rsidR="00B02873" w:rsidRDefault="00B02873" w:rsidP="00304BA6">
            <w:pPr>
              <w:pStyle w:val="TablebodyleftTables"/>
              <w:spacing w:before="40" w:after="40"/>
              <w:jc w:val="right"/>
            </w:pPr>
            <w:r>
              <w:t>25,313</w:t>
            </w:r>
          </w:p>
        </w:tc>
      </w:tr>
      <w:tr w:rsidR="00B02873" w:rsidRPr="00B02873" w14:paraId="26819582" w14:textId="77777777" w:rsidTr="005075EE">
        <w:tc>
          <w:tcPr>
            <w:tcW w:w="4106" w:type="dxa"/>
          </w:tcPr>
          <w:p w14:paraId="0B93C4E0" w14:textId="77777777" w:rsidR="00B02873" w:rsidRDefault="00B02873" w:rsidP="00304BA6">
            <w:pPr>
              <w:pStyle w:val="TablebodyleftTables"/>
              <w:spacing w:before="40" w:after="40"/>
            </w:pPr>
            <w:r>
              <w:rPr>
                <w:rStyle w:val="Bold"/>
                <w:spacing w:val="-6"/>
              </w:rPr>
              <w:t>Ws2. Total units of waste disposed of per FTE by destination (kg/</w:t>
            </w:r>
            <w:r>
              <w:rPr>
                <w:rStyle w:val="Bold"/>
              </w:rPr>
              <w:t>FTE)</w:t>
            </w:r>
          </w:p>
        </w:tc>
        <w:tc>
          <w:tcPr>
            <w:tcW w:w="1383" w:type="dxa"/>
          </w:tcPr>
          <w:p w14:paraId="3EF469CA" w14:textId="77777777" w:rsidR="00B02873" w:rsidRDefault="00B02873" w:rsidP="00304BA6">
            <w:pPr>
              <w:pStyle w:val="TablebodyleftTables"/>
              <w:spacing w:before="40" w:after="40"/>
              <w:jc w:val="right"/>
            </w:pPr>
            <w:r>
              <w:rPr>
                <w:rStyle w:val="Bold"/>
              </w:rPr>
              <w:t>11.4</w:t>
            </w:r>
          </w:p>
        </w:tc>
        <w:tc>
          <w:tcPr>
            <w:tcW w:w="1383" w:type="dxa"/>
          </w:tcPr>
          <w:p w14:paraId="418B4EDD" w14:textId="77777777" w:rsidR="00B02873" w:rsidRDefault="00B02873" w:rsidP="00304BA6">
            <w:pPr>
              <w:pStyle w:val="TablebodyleftTables"/>
              <w:spacing w:before="40" w:after="40"/>
              <w:jc w:val="right"/>
            </w:pPr>
            <w:r>
              <w:rPr>
                <w:rStyle w:val="Bold"/>
              </w:rPr>
              <w:t>17.2</w:t>
            </w:r>
          </w:p>
        </w:tc>
        <w:tc>
          <w:tcPr>
            <w:tcW w:w="1383" w:type="dxa"/>
          </w:tcPr>
          <w:p w14:paraId="185D3E04" w14:textId="77777777" w:rsidR="00B02873" w:rsidRDefault="00B02873" w:rsidP="00304BA6">
            <w:pPr>
              <w:pStyle w:val="TablebodyleftTables"/>
              <w:spacing w:before="40" w:after="40"/>
              <w:jc w:val="right"/>
            </w:pPr>
            <w:r>
              <w:rPr>
                <w:rStyle w:val="Bold"/>
              </w:rPr>
              <w:t>41.6</w:t>
            </w:r>
          </w:p>
        </w:tc>
        <w:tc>
          <w:tcPr>
            <w:tcW w:w="1383" w:type="dxa"/>
          </w:tcPr>
          <w:p w14:paraId="4C20EF1A" w14:textId="77777777" w:rsidR="00B02873" w:rsidRDefault="00B02873" w:rsidP="00304BA6">
            <w:pPr>
              <w:pStyle w:val="TablebodyleftTables"/>
              <w:spacing w:before="40" w:after="40"/>
              <w:jc w:val="right"/>
            </w:pPr>
            <w:r>
              <w:rPr>
                <w:rStyle w:val="Bold"/>
              </w:rPr>
              <w:t>82.9</w:t>
            </w:r>
          </w:p>
        </w:tc>
      </w:tr>
      <w:tr w:rsidR="00B02873" w:rsidRPr="00B02873" w14:paraId="0DBEE805" w14:textId="77777777" w:rsidTr="005075EE">
        <w:tc>
          <w:tcPr>
            <w:tcW w:w="4106" w:type="dxa"/>
          </w:tcPr>
          <w:p w14:paraId="545166A1" w14:textId="09D626AC" w:rsidR="00B02873" w:rsidRDefault="00012C04" w:rsidP="00304BA6">
            <w:pPr>
              <w:pStyle w:val="TablebodyleftTables"/>
              <w:spacing w:before="40" w:after="40"/>
            </w:pPr>
            <w:r>
              <w:rPr>
                <w:spacing w:val="-5"/>
              </w:rPr>
              <w:t xml:space="preserve"> </w:t>
            </w:r>
            <w:r w:rsidR="00B02873">
              <w:rPr>
                <w:spacing w:val="-5"/>
              </w:rPr>
              <w:t xml:space="preserve"> </w:t>
            </w:r>
            <w:r w:rsidR="00B02873">
              <w:t>Landfill (kg/FTE)</w:t>
            </w:r>
          </w:p>
        </w:tc>
        <w:tc>
          <w:tcPr>
            <w:tcW w:w="1383" w:type="dxa"/>
          </w:tcPr>
          <w:p w14:paraId="51DB167D" w14:textId="77777777" w:rsidR="00B02873" w:rsidRDefault="00B02873" w:rsidP="00304BA6">
            <w:pPr>
              <w:pStyle w:val="TablebodyleftTables"/>
              <w:spacing w:before="40" w:after="40"/>
              <w:jc w:val="right"/>
            </w:pPr>
            <w:r>
              <w:t>4.5</w:t>
            </w:r>
          </w:p>
        </w:tc>
        <w:tc>
          <w:tcPr>
            <w:tcW w:w="1383" w:type="dxa"/>
          </w:tcPr>
          <w:p w14:paraId="5CFA97BE" w14:textId="77777777" w:rsidR="00B02873" w:rsidRDefault="00B02873" w:rsidP="00304BA6">
            <w:pPr>
              <w:pStyle w:val="TablebodyleftTables"/>
              <w:spacing w:before="40" w:after="40"/>
              <w:jc w:val="right"/>
            </w:pPr>
            <w:r>
              <w:t>4.7</w:t>
            </w:r>
          </w:p>
        </w:tc>
        <w:tc>
          <w:tcPr>
            <w:tcW w:w="1383" w:type="dxa"/>
          </w:tcPr>
          <w:p w14:paraId="149C482A" w14:textId="77777777" w:rsidR="00B02873" w:rsidRDefault="00B02873" w:rsidP="00304BA6">
            <w:pPr>
              <w:pStyle w:val="TablebodyleftTables"/>
              <w:spacing w:before="40" w:after="40"/>
              <w:jc w:val="right"/>
            </w:pPr>
            <w:r>
              <w:t>11.1</w:t>
            </w:r>
          </w:p>
        </w:tc>
        <w:tc>
          <w:tcPr>
            <w:tcW w:w="1383" w:type="dxa"/>
          </w:tcPr>
          <w:p w14:paraId="4A893B90" w14:textId="77777777" w:rsidR="00B02873" w:rsidRDefault="00B02873" w:rsidP="00304BA6">
            <w:pPr>
              <w:pStyle w:val="TablebodyleftTables"/>
              <w:spacing w:before="40" w:after="40"/>
              <w:jc w:val="right"/>
            </w:pPr>
            <w:r>
              <w:t>18.7</w:t>
            </w:r>
          </w:p>
        </w:tc>
      </w:tr>
      <w:tr w:rsidR="00B02873" w:rsidRPr="00B02873" w14:paraId="4DC2C7DB" w14:textId="77777777" w:rsidTr="005075EE">
        <w:tc>
          <w:tcPr>
            <w:tcW w:w="4106" w:type="dxa"/>
          </w:tcPr>
          <w:p w14:paraId="6FD7C016" w14:textId="590074CF" w:rsidR="00B02873" w:rsidRDefault="00012C04" w:rsidP="00304BA6">
            <w:pPr>
              <w:pStyle w:val="TablebodyleftTables"/>
              <w:spacing w:before="40" w:after="40"/>
            </w:pPr>
            <w:r>
              <w:rPr>
                <w:spacing w:val="-5"/>
              </w:rPr>
              <w:t xml:space="preserve"> </w:t>
            </w:r>
            <w:r w:rsidR="00B02873">
              <w:rPr>
                <w:spacing w:val="-5"/>
              </w:rPr>
              <w:t xml:space="preserve"> </w:t>
            </w:r>
            <w:r w:rsidR="00B02873">
              <w:t>Comingled recycling (kg/FTE)</w:t>
            </w:r>
          </w:p>
        </w:tc>
        <w:tc>
          <w:tcPr>
            <w:tcW w:w="1383" w:type="dxa"/>
          </w:tcPr>
          <w:p w14:paraId="42F0F5A4" w14:textId="77777777" w:rsidR="00B02873" w:rsidRDefault="00B02873" w:rsidP="00304BA6">
            <w:pPr>
              <w:pStyle w:val="TablebodyleftTables"/>
              <w:spacing w:before="40" w:after="40"/>
              <w:jc w:val="right"/>
            </w:pPr>
            <w:r>
              <w:t>1.5</w:t>
            </w:r>
          </w:p>
        </w:tc>
        <w:tc>
          <w:tcPr>
            <w:tcW w:w="1383" w:type="dxa"/>
          </w:tcPr>
          <w:p w14:paraId="310C72EA" w14:textId="77777777" w:rsidR="00B02873" w:rsidRDefault="00B02873" w:rsidP="00304BA6">
            <w:pPr>
              <w:pStyle w:val="TablebodyleftTables"/>
              <w:spacing w:before="40" w:after="40"/>
              <w:jc w:val="right"/>
            </w:pPr>
            <w:r>
              <w:t>3.3</w:t>
            </w:r>
          </w:p>
        </w:tc>
        <w:tc>
          <w:tcPr>
            <w:tcW w:w="1383" w:type="dxa"/>
          </w:tcPr>
          <w:p w14:paraId="45A148C9" w14:textId="77777777" w:rsidR="00B02873" w:rsidRDefault="00B02873" w:rsidP="00304BA6">
            <w:pPr>
              <w:pStyle w:val="TablebodyleftTables"/>
              <w:spacing w:before="40" w:after="40"/>
              <w:jc w:val="right"/>
            </w:pPr>
            <w:r>
              <w:t>6.5</w:t>
            </w:r>
          </w:p>
        </w:tc>
        <w:tc>
          <w:tcPr>
            <w:tcW w:w="1383" w:type="dxa"/>
          </w:tcPr>
          <w:p w14:paraId="57720F53" w14:textId="77777777" w:rsidR="00B02873" w:rsidRDefault="00B02873" w:rsidP="00304BA6">
            <w:pPr>
              <w:pStyle w:val="TablebodyleftTables"/>
              <w:spacing w:before="40" w:after="40"/>
              <w:jc w:val="right"/>
            </w:pPr>
            <w:r>
              <w:t>19.6</w:t>
            </w:r>
          </w:p>
        </w:tc>
      </w:tr>
      <w:tr w:rsidR="00B02873" w:rsidRPr="00B02873" w14:paraId="4C1CB372" w14:textId="77777777" w:rsidTr="005075EE">
        <w:tc>
          <w:tcPr>
            <w:tcW w:w="4106" w:type="dxa"/>
          </w:tcPr>
          <w:p w14:paraId="4479FB31" w14:textId="4164D94E" w:rsidR="00B02873" w:rsidRDefault="00012C04" w:rsidP="00304BA6">
            <w:pPr>
              <w:pStyle w:val="TablebodyleftTables"/>
              <w:spacing w:before="40" w:after="40"/>
            </w:pPr>
            <w:r>
              <w:rPr>
                <w:spacing w:val="-5"/>
              </w:rPr>
              <w:t xml:space="preserve"> </w:t>
            </w:r>
            <w:r w:rsidR="00B02873">
              <w:rPr>
                <w:spacing w:val="-5"/>
              </w:rPr>
              <w:t xml:space="preserve"> </w:t>
            </w:r>
            <w:r w:rsidR="00B02873">
              <w:t>Paper and card (kg/FTE)</w:t>
            </w:r>
          </w:p>
        </w:tc>
        <w:tc>
          <w:tcPr>
            <w:tcW w:w="1383" w:type="dxa"/>
          </w:tcPr>
          <w:p w14:paraId="16A67074" w14:textId="77777777" w:rsidR="00B02873" w:rsidRDefault="00B02873" w:rsidP="00304BA6">
            <w:pPr>
              <w:pStyle w:val="TablebodyleftTables"/>
              <w:spacing w:before="40" w:after="40"/>
              <w:jc w:val="right"/>
            </w:pPr>
            <w:r>
              <w:t>3.2</w:t>
            </w:r>
          </w:p>
        </w:tc>
        <w:tc>
          <w:tcPr>
            <w:tcW w:w="1383" w:type="dxa"/>
          </w:tcPr>
          <w:p w14:paraId="0A34C9F7" w14:textId="77777777" w:rsidR="00B02873" w:rsidRDefault="00B02873" w:rsidP="00304BA6">
            <w:pPr>
              <w:pStyle w:val="TablebodyleftTables"/>
              <w:spacing w:before="40" w:after="40"/>
              <w:jc w:val="right"/>
            </w:pPr>
            <w:r>
              <w:t>2.9</w:t>
            </w:r>
          </w:p>
        </w:tc>
        <w:tc>
          <w:tcPr>
            <w:tcW w:w="1383" w:type="dxa"/>
          </w:tcPr>
          <w:p w14:paraId="2634C892" w14:textId="77777777" w:rsidR="00B02873" w:rsidRDefault="00B02873" w:rsidP="00304BA6">
            <w:pPr>
              <w:pStyle w:val="TablebodyleftTables"/>
              <w:spacing w:before="40" w:after="40"/>
              <w:jc w:val="right"/>
            </w:pPr>
            <w:r>
              <w:t>11.2</w:t>
            </w:r>
          </w:p>
        </w:tc>
        <w:tc>
          <w:tcPr>
            <w:tcW w:w="1383" w:type="dxa"/>
          </w:tcPr>
          <w:p w14:paraId="51FF5996" w14:textId="77777777" w:rsidR="00B02873" w:rsidRDefault="00B02873" w:rsidP="00304BA6">
            <w:pPr>
              <w:pStyle w:val="TablebodyleftTables"/>
              <w:spacing w:before="40" w:after="40"/>
              <w:jc w:val="right"/>
            </w:pPr>
            <w:r>
              <w:t>22.3</w:t>
            </w:r>
          </w:p>
        </w:tc>
      </w:tr>
      <w:tr w:rsidR="00B02873" w:rsidRPr="00B02873" w14:paraId="014F01E7" w14:textId="77777777" w:rsidTr="005075EE">
        <w:tc>
          <w:tcPr>
            <w:tcW w:w="4106" w:type="dxa"/>
          </w:tcPr>
          <w:p w14:paraId="041D0219" w14:textId="48257DC8" w:rsidR="00B02873" w:rsidRDefault="00012C04" w:rsidP="00304BA6">
            <w:pPr>
              <w:pStyle w:val="TablebodyleftTables"/>
              <w:spacing w:before="40" w:after="40"/>
            </w:pPr>
            <w:r>
              <w:rPr>
                <w:spacing w:val="-5"/>
              </w:rPr>
              <w:lastRenderedPageBreak/>
              <w:t xml:space="preserve"> </w:t>
            </w:r>
            <w:r w:rsidR="00B02873">
              <w:rPr>
                <w:spacing w:val="-5"/>
              </w:rPr>
              <w:t xml:space="preserve"> </w:t>
            </w:r>
            <w:r w:rsidR="00B02873">
              <w:t>Secure documents (kg/FTE)</w:t>
            </w:r>
          </w:p>
        </w:tc>
        <w:tc>
          <w:tcPr>
            <w:tcW w:w="1383" w:type="dxa"/>
          </w:tcPr>
          <w:p w14:paraId="67E618D9" w14:textId="77777777" w:rsidR="00B02873" w:rsidRDefault="00B02873" w:rsidP="00304BA6">
            <w:pPr>
              <w:pStyle w:val="TablebodyleftTables"/>
              <w:spacing w:before="40" w:after="40"/>
              <w:jc w:val="right"/>
            </w:pPr>
            <w:r>
              <w:t>1.6</w:t>
            </w:r>
          </w:p>
        </w:tc>
        <w:tc>
          <w:tcPr>
            <w:tcW w:w="1383" w:type="dxa"/>
          </w:tcPr>
          <w:p w14:paraId="01543DA3" w14:textId="77777777" w:rsidR="00B02873" w:rsidRDefault="00B02873" w:rsidP="00304BA6">
            <w:pPr>
              <w:pStyle w:val="TablebodyleftTables"/>
              <w:spacing w:before="40" w:after="40"/>
              <w:jc w:val="right"/>
            </w:pPr>
            <w:r>
              <w:t>5.9</w:t>
            </w:r>
          </w:p>
        </w:tc>
        <w:tc>
          <w:tcPr>
            <w:tcW w:w="1383" w:type="dxa"/>
          </w:tcPr>
          <w:p w14:paraId="17CD52E9" w14:textId="77777777" w:rsidR="00B02873" w:rsidRDefault="00B02873" w:rsidP="00304BA6">
            <w:pPr>
              <w:pStyle w:val="TablebodyleftTables"/>
              <w:spacing w:before="40" w:after="40"/>
              <w:jc w:val="right"/>
            </w:pPr>
            <w:r>
              <w:t>7.2</w:t>
            </w:r>
          </w:p>
        </w:tc>
        <w:tc>
          <w:tcPr>
            <w:tcW w:w="1383" w:type="dxa"/>
          </w:tcPr>
          <w:p w14:paraId="3AF26D11" w14:textId="77777777" w:rsidR="00B02873" w:rsidRDefault="00B02873" w:rsidP="00304BA6">
            <w:pPr>
              <w:pStyle w:val="TablebodyleftTables"/>
              <w:spacing w:before="40" w:after="40"/>
              <w:jc w:val="right"/>
            </w:pPr>
            <w:r>
              <w:t>13.7</w:t>
            </w:r>
          </w:p>
        </w:tc>
      </w:tr>
      <w:tr w:rsidR="00B02873" w:rsidRPr="00B02873" w14:paraId="7FD8E339" w14:textId="77777777" w:rsidTr="005075EE">
        <w:tc>
          <w:tcPr>
            <w:tcW w:w="4106" w:type="dxa"/>
          </w:tcPr>
          <w:p w14:paraId="4F08B91C" w14:textId="6947B7AE" w:rsidR="00B02873" w:rsidRDefault="00012C04" w:rsidP="00304BA6">
            <w:pPr>
              <w:pStyle w:val="TablebodyleftTables"/>
              <w:spacing w:before="40" w:after="40"/>
            </w:pPr>
            <w:r>
              <w:rPr>
                <w:spacing w:val="-5"/>
              </w:rPr>
              <w:t xml:space="preserve"> </w:t>
            </w:r>
            <w:r w:rsidR="00B02873">
              <w:rPr>
                <w:spacing w:val="-5"/>
              </w:rPr>
              <w:t xml:space="preserve"> </w:t>
            </w:r>
            <w:r w:rsidR="00B02873">
              <w:t>Organics (kg/FTE)</w:t>
            </w:r>
          </w:p>
        </w:tc>
        <w:tc>
          <w:tcPr>
            <w:tcW w:w="1383" w:type="dxa"/>
          </w:tcPr>
          <w:p w14:paraId="1CB237E0" w14:textId="77777777" w:rsidR="00B02873" w:rsidRDefault="00B02873" w:rsidP="00304BA6">
            <w:pPr>
              <w:pStyle w:val="TablebodyleftTables"/>
              <w:spacing w:before="40" w:after="40"/>
              <w:jc w:val="right"/>
            </w:pPr>
            <w:r>
              <w:t>0.6</w:t>
            </w:r>
          </w:p>
        </w:tc>
        <w:tc>
          <w:tcPr>
            <w:tcW w:w="1383" w:type="dxa"/>
          </w:tcPr>
          <w:p w14:paraId="7C163D00" w14:textId="77777777" w:rsidR="00B02873" w:rsidRDefault="00B02873" w:rsidP="00304BA6">
            <w:pPr>
              <w:pStyle w:val="TablebodyleftTables"/>
              <w:spacing w:before="40" w:after="40"/>
              <w:jc w:val="right"/>
            </w:pPr>
            <w:r>
              <w:t>0.5</w:t>
            </w:r>
          </w:p>
        </w:tc>
        <w:tc>
          <w:tcPr>
            <w:tcW w:w="1383" w:type="dxa"/>
          </w:tcPr>
          <w:p w14:paraId="7C2F24C7" w14:textId="77777777" w:rsidR="00B02873" w:rsidRDefault="00B02873" w:rsidP="00304BA6">
            <w:pPr>
              <w:pStyle w:val="TablebodyleftTables"/>
              <w:spacing w:before="40" w:after="40"/>
              <w:jc w:val="right"/>
            </w:pPr>
            <w:r>
              <w:t>5.6</w:t>
            </w:r>
          </w:p>
        </w:tc>
        <w:tc>
          <w:tcPr>
            <w:tcW w:w="1383" w:type="dxa"/>
          </w:tcPr>
          <w:p w14:paraId="37A2E932" w14:textId="77777777" w:rsidR="00B02873" w:rsidRDefault="00B02873" w:rsidP="00304BA6">
            <w:pPr>
              <w:pStyle w:val="TablebodyleftTables"/>
              <w:spacing w:before="40" w:after="40"/>
              <w:jc w:val="right"/>
            </w:pPr>
            <w:r>
              <w:t>8.6</w:t>
            </w:r>
          </w:p>
        </w:tc>
      </w:tr>
      <w:tr w:rsidR="00B02873" w:rsidRPr="00B02873" w14:paraId="42BAA0DF" w14:textId="77777777" w:rsidTr="005075EE">
        <w:tc>
          <w:tcPr>
            <w:tcW w:w="4106" w:type="dxa"/>
          </w:tcPr>
          <w:p w14:paraId="2C344CED" w14:textId="77777777" w:rsidR="00B02873" w:rsidRDefault="00B02873" w:rsidP="00304BA6">
            <w:pPr>
              <w:pStyle w:val="TablebodyleftTables"/>
              <w:spacing w:before="40" w:after="40"/>
            </w:pPr>
            <w:r>
              <w:t>Ws3. Recycling rate (%)</w:t>
            </w:r>
          </w:p>
        </w:tc>
        <w:tc>
          <w:tcPr>
            <w:tcW w:w="1383" w:type="dxa"/>
          </w:tcPr>
          <w:p w14:paraId="6D77DAEA" w14:textId="77777777" w:rsidR="00B02873" w:rsidRDefault="00B02873" w:rsidP="00304BA6">
            <w:pPr>
              <w:pStyle w:val="TablebodyleftTables"/>
              <w:spacing w:before="40" w:after="40"/>
              <w:jc w:val="right"/>
            </w:pPr>
            <w:r>
              <w:t>60%</w:t>
            </w:r>
          </w:p>
        </w:tc>
        <w:tc>
          <w:tcPr>
            <w:tcW w:w="1383" w:type="dxa"/>
          </w:tcPr>
          <w:p w14:paraId="2A163367" w14:textId="77777777" w:rsidR="00B02873" w:rsidRDefault="00B02873" w:rsidP="00304BA6">
            <w:pPr>
              <w:pStyle w:val="TablebodyleftTables"/>
              <w:spacing w:before="40" w:after="40"/>
              <w:jc w:val="right"/>
            </w:pPr>
            <w:r>
              <w:t>73%</w:t>
            </w:r>
          </w:p>
        </w:tc>
        <w:tc>
          <w:tcPr>
            <w:tcW w:w="1383" w:type="dxa"/>
          </w:tcPr>
          <w:p w14:paraId="30BEBB94" w14:textId="77777777" w:rsidR="00B02873" w:rsidRDefault="00B02873" w:rsidP="00304BA6">
            <w:pPr>
              <w:pStyle w:val="TablebodyleftTables"/>
              <w:spacing w:before="40" w:after="40"/>
              <w:jc w:val="right"/>
            </w:pPr>
            <w:r>
              <w:t>73%</w:t>
            </w:r>
          </w:p>
        </w:tc>
        <w:tc>
          <w:tcPr>
            <w:tcW w:w="1383" w:type="dxa"/>
          </w:tcPr>
          <w:p w14:paraId="202EE958" w14:textId="77777777" w:rsidR="00B02873" w:rsidRDefault="00B02873" w:rsidP="00304BA6">
            <w:pPr>
              <w:pStyle w:val="TablebodyleftTables"/>
              <w:spacing w:before="40" w:after="40"/>
              <w:jc w:val="right"/>
            </w:pPr>
            <w:r>
              <w:t>77%</w:t>
            </w:r>
          </w:p>
        </w:tc>
      </w:tr>
      <w:tr w:rsidR="00B02873" w:rsidRPr="00B02873" w14:paraId="368DADBB" w14:textId="77777777" w:rsidTr="005075EE">
        <w:tc>
          <w:tcPr>
            <w:tcW w:w="4106" w:type="dxa"/>
          </w:tcPr>
          <w:p w14:paraId="0CBA64EE" w14:textId="1C2B333F" w:rsidR="00B02873" w:rsidRDefault="00B02873" w:rsidP="00304BA6">
            <w:pPr>
              <w:pStyle w:val="TablebodyleftTables"/>
              <w:spacing w:before="40" w:after="40"/>
            </w:pPr>
            <w:r>
              <w:t>Ws4. Greenhouse gas emissions associated with waste (tonnes CO</w:t>
            </w:r>
            <w:r w:rsidRPr="005075EE">
              <w:rPr>
                <w:vertAlign w:val="subscript"/>
              </w:rPr>
              <w:t>2</w:t>
            </w:r>
            <w:r>
              <w:t>-e)</w:t>
            </w:r>
          </w:p>
        </w:tc>
        <w:tc>
          <w:tcPr>
            <w:tcW w:w="1383" w:type="dxa"/>
          </w:tcPr>
          <w:p w14:paraId="65BEB0BC" w14:textId="77777777" w:rsidR="00B02873" w:rsidRDefault="00B02873" w:rsidP="00304BA6">
            <w:pPr>
              <w:pStyle w:val="TablebodyleftTables"/>
              <w:spacing w:before="40" w:after="40"/>
              <w:jc w:val="right"/>
            </w:pPr>
            <w:r>
              <w:t>44</w:t>
            </w:r>
          </w:p>
        </w:tc>
        <w:tc>
          <w:tcPr>
            <w:tcW w:w="1383" w:type="dxa"/>
          </w:tcPr>
          <w:p w14:paraId="5F8F17ED" w14:textId="77777777" w:rsidR="00B02873" w:rsidRDefault="00B02873" w:rsidP="00304BA6">
            <w:pPr>
              <w:pStyle w:val="TablebodyleftTables"/>
              <w:spacing w:before="40" w:after="40"/>
              <w:jc w:val="right"/>
            </w:pPr>
            <w:r>
              <w:t>42</w:t>
            </w:r>
          </w:p>
        </w:tc>
        <w:tc>
          <w:tcPr>
            <w:tcW w:w="1383" w:type="dxa"/>
          </w:tcPr>
          <w:p w14:paraId="0F95D410" w14:textId="77777777" w:rsidR="00B02873" w:rsidRDefault="00B02873" w:rsidP="00304BA6">
            <w:pPr>
              <w:pStyle w:val="TablebodyleftTables"/>
              <w:spacing w:before="40" w:after="40"/>
              <w:jc w:val="right"/>
            </w:pPr>
            <w:r>
              <w:t>70</w:t>
            </w:r>
          </w:p>
        </w:tc>
        <w:tc>
          <w:tcPr>
            <w:tcW w:w="1383" w:type="dxa"/>
          </w:tcPr>
          <w:p w14:paraId="01F5320C" w14:textId="77777777" w:rsidR="00B02873" w:rsidRDefault="00B02873" w:rsidP="00304BA6">
            <w:pPr>
              <w:pStyle w:val="TablebodyleftTables"/>
              <w:spacing w:before="40" w:after="40"/>
              <w:jc w:val="right"/>
            </w:pPr>
            <w:r>
              <w:t>72</w:t>
            </w:r>
          </w:p>
        </w:tc>
      </w:tr>
      <w:tr w:rsidR="00B02873" w:rsidRPr="00B02873" w14:paraId="4158E3C3" w14:textId="77777777" w:rsidTr="005075EE">
        <w:tc>
          <w:tcPr>
            <w:tcW w:w="4106" w:type="dxa"/>
          </w:tcPr>
          <w:p w14:paraId="4DCC621C" w14:textId="77777777" w:rsidR="00B02873" w:rsidRDefault="00B02873" w:rsidP="00304BA6">
            <w:pPr>
              <w:pStyle w:val="TablebodyleftTables"/>
              <w:spacing w:before="40" w:after="40"/>
            </w:pPr>
            <w:r>
              <w:t>Green Collect donations (kg)</w:t>
            </w:r>
          </w:p>
        </w:tc>
        <w:tc>
          <w:tcPr>
            <w:tcW w:w="1383" w:type="dxa"/>
          </w:tcPr>
          <w:p w14:paraId="34DCAACF" w14:textId="77777777" w:rsidR="00B02873" w:rsidRDefault="00B02873" w:rsidP="00304BA6">
            <w:pPr>
              <w:pStyle w:val="TablebodyleftTables"/>
              <w:spacing w:before="40" w:after="40"/>
              <w:jc w:val="right"/>
            </w:pPr>
            <w:r>
              <w:t>551</w:t>
            </w:r>
          </w:p>
        </w:tc>
        <w:tc>
          <w:tcPr>
            <w:tcW w:w="1383" w:type="dxa"/>
          </w:tcPr>
          <w:p w14:paraId="10918A7D" w14:textId="77777777" w:rsidR="00B02873" w:rsidRDefault="00B02873" w:rsidP="00304BA6">
            <w:pPr>
              <w:pStyle w:val="TablebodyleftTables"/>
              <w:spacing w:before="40" w:after="40"/>
              <w:jc w:val="right"/>
            </w:pPr>
            <w:r>
              <w:t>1,951</w:t>
            </w:r>
          </w:p>
        </w:tc>
        <w:tc>
          <w:tcPr>
            <w:tcW w:w="1383" w:type="dxa"/>
          </w:tcPr>
          <w:p w14:paraId="3A7A953B" w14:textId="77777777" w:rsidR="00B02873" w:rsidRDefault="00B02873" w:rsidP="00304BA6">
            <w:pPr>
              <w:pStyle w:val="TablebodyleftTables"/>
              <w:spacing w:before="40" w:after="40"/>
              <w:jc w:val="right"/>
            </w:pPr>
            <w:r>
              <w:t>4,118</w:t>
            </w:r>
          </w:p>
        </w:tc>
        <w:tc>
          <w:tcPr>
            <w:tcW w:w="1383" w:type="dxa"/>
          </w:tcPr>
          <w:p w14:paraId="0BBBDEA4" w14:textId="77777777" w:rsidR="00B02873" w:rsidRDefault="00B02873" w:rsidP="00304BA6">
            <w:pPr>
              <w:pStyle w:val="TablebodyleftTables"/>
              <w:spacing w:before="40" w:after="40"/>
              <w:jc w:val="right"/>
            </w:pPr>
            <w:r>
              <w:t>1,739</w:t>
            </w:r>
          </w:p>
        </w:tc>
      </w:tr>
    </w:tbl>
    <w:p w14:paraId="0500B86D" w14:textId="77777777" w:rsidR="00B02873" w:rsidRPr="005075EE" w:rsidRDefault="00B02873" w:rsidP="005075EE">
      <w:pPr>
        <w:pStyle w:val="SourceNote"/>
        <w:rPr>
          <w:b/>
          <w:bCs/>
        </w:rPr>
      </w:pPr>
      <w:r w:rsidRPr="005075EE">
        <w:rPr>
          <w:b/>
          <w:bCs/>
        </w:rPr>
        <w:t>Explanatory notes:</w:t>
      </w:r>
    </w:p>
    <w:p w14:paraId="07AFF3BC" w14:textId="77777777" w:rsidR="00B02873" w:rsidRDefault="00B02873" w:rsidP="008316E9">
      <w:pPr>
        <w:pStyle w:val="SourceNotenumbered"/>
        <w:numPr>
          <w:ilvl w:val="0"/>
          <w:numId w:val="16"/>
        </w:numPr>
      </w:pPr>
      <w:r>
        <w:t>In accordance with FRD24, DELWP waste and recycling data is calculated from annual audits at 11 locations where 70 per cent total staff are located. Waste volumes were lower than previous years due to reduced staff numbers at sites because of COVIDSafe settings. The results are extrapolated to cover all DELWP FTEs. Due to FRD24 methodology, data can be subject to significant fluctuations. FRD24 reporting requires that waste and recycling data be collated for kitchens and stationery rooms only. Through signage and behavior change, DELWP can influence the proportions of waste and recycling to some extent. However, DELWP has minimal influence or control over the total volume of kitchen waste and recycling as this primarily consists of items that staff bring into the workplace.</w:t>
      </w:r>
    </w:p>
    <w:p w14:paraId="04262760" w14:textId="77777777" w:rsidR="00B02873" w:rsidRDefault="00B02873" w:rsidP="00FA43C4">
      <w:pPr>
        <w:pStyle w:val="Heading2Headings"/>
      </w:pPr>
      <w:r>
        <w:t>Paper purchasing</w:t>
      </w:r>
    </w:p>
    <w:p w14:paraId="46C14A91" w14:textId="77777777" w:rsidR="00B02873" w:rsidRDefault="00B02873" w:rsidP="00FE198A">
      <w:r>
        <w:t xml:space="preserve">Total paper purchasing over the 2021-22 reporting period increased by 40 per cent since 2020-21 but decreased by 86 per cent since the 2014-15 baseline. This increase can be attributed to the transition of some staff back to the office after an extended period of working remotely. Overall, the 2021-22 and 2020-21 reporting periods show reduced paper consumption compared to prior years due to staff working remotely due to COVIDSafe settings. </w:t>
      </w:r>
    </w:p>
    <w:p w14:paraId="00567B77" w14:textId="77777777" w:rsidR="00B02873" w:rsidRDefault="00B02873" w:rsidP="005075EE">
      <w:pPr>
        <w:pStyle w:val="Figureheading"/>
      </w:pPr>
      <w:r>
        <w:t>Total units of A4 equivalent copy paper purchased (reams)</w:t>
      </w:r>
    </w:p>
    <w:p w14:paraId="10CB2F18" w14:textId="6ECD3424" w:rsidR="00B02873" w:rsidRDefault="005075EE" w:rsidP="005075EE">
      <w:r>
        <w:rPr>
          <w:noProof/>
        </w:rPr>
        <w:drawing>
          <wp:inline distT="0" distB="0" distL="0" distR="0" wp14:anchorId="515636C6" wp14:editId="02FEDC98">
            <wp:extent cx="5085355" cy="1917700"/>
            <wp:effectExtent l="0" t="0" r="0" b="0"/>
            <wp:docPr id="49" name="Picture 49" descr="Graph showing total units of A4 copy paper reams purchased in four financial years: 2014-15 (baseline year), 2019-20, 2020-21 and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 showing total units of A4 copy paper reams purchased in four financial years: 2014-15 (baseline year), 2019-20, 2020-21 and 2021-22."/>
                    <pic:cNvPicPr/>
                  </pic:nvPicPr>
                  <pic:blipFill rotWithShape="1">
                    <a:blip r:embed="rId77"/>
                    <a:srcRect b="9364"/>
                    <a:stretch/>
                  </pic:blipFill>
                  <pic:spPr bwMode="auto">
                    <a:xfrm>
                      <a:off x="0" y="0"/>
                      <a:ext cx="5111998" cy="1927747"/>
                    </a:xfrm>
                    <a:prstGeom prst="rect">
                      <a:avLst/>
                    </a:prstGeom>
                    <a:ln>
                      <a:noFill/>
                    </a:ln>
                    <a:extLst>
                      <a:ext uri="{53640926-AAD7-44D8-BBD7-CCE9431645EC}">
                        <a14:shadowObscured xmlns:a14="http://schemas.microsoft.com/office/drawing/2010/main"/>
                      </a:ext>
                    </a:extLst>
                  </pic:spPr>
                </pic:pic>
              </a:graphicData>
            </a:graphic>
          </wp:inline>
        </w:drawing>
      </w:r>
    </w:p>
    <w:p w14:paraId="5DDA5B4C" w14:textId="77777777" w:rsidR="00B02873" w:rsidRDefault="00B02873" w:rsidP="005075EE">
      <w:pPr>
        <w:pStyle w:val="Heading3"/>
      </w:pPr>
      <w:r>
        <w:t>Actions undertaken:</w:t>
      </w:r>
    </w:p>
    <w:p w14:paraId="1CED67EE" w14:textId="77777777" w:rsidR="00B02873" w:rsidRDefault="00B02873" w:rsidP="00B02873">
      <w:pPr>
        <w:pStyle w:val="Bullet1Lists"/>
      </w:pPr>
      <w:r>
        <w:rPr>
          <w:spacing w:val="-4"/>
        </w:rPr>
        <w:t>Completion of the Digital First program has enabled greater collaboration and efficiency in the way staff work.</w:t>
      </w:r>
    </w:p>
    <w:p w14:paraId="5AB8E209" w14:textId="77777777" w:rsidR="00B02873" w:rsidRDefault="00B02873" w:rsidP="00B02873">
      <w:pPr>
        <w:pStyle w:val="Bullet1Lists"/>
      </w:pPr>
      <w:r>
        <w:t xml:space="preserve">A printer policy has been implemented to both support the transition to a paperless office and reduce the number of printers across all sites. </w:t>
      </w:r>
    </w:p>
    <w:p w14:paraId="01C4658A" w14:textId="77777777" w:rsidR="00B02873" w:rsidRDefault="00B02873" w:rsidP="00B02873">
      <w:pPr>
        <w:pStyle w:val="Bullet1Lists"/>
      </w:pPr>
      <w:r>
        <w:t xml:space="preserve">The default A4 white printer paper has 100 per cent recycled content. </w:t>
      </w:r>
    </w:p>
    <w:p w14:paraId="667812AE" w14:textId="7E279D51" w:rsidR="00B02873" w:rsidRDefault="00B02873" w:rsidP="00B02873">
      <w:pPr>
        <w:pStyle w:val="Bullet1Lists"/>
      </w:pPr>
      <w:r>
        <w:t>DELWP continued to ensure that staff can utilise the 100 per cent recycled paper wherever possible, by replacing old and outdated printers.</w:t>
      </w:r>
    </w:p>
    <w:p w14:paraId="27719C38" w14:textId="77777777" w:rsidR="00B02873" w:rsidRDefault="00B02873" w:rsidP="002A3305">
      <w:pPr>
        <w:pStyle w:val="Bullet1Listslast"/>
      </w:pPr>
      <w:r>
        <w:t>The Green Team continued to raise awareness of the volume of paper purchasing through staff behaviour change tools.</w:t>
      </w:r>
    </w:p>
    <w:p w14:paraId="4C82D640" w14:textId="77777777" w:rsidR="00B02873" w:rsidRDefault="00B02873" w:rsidP="002A3305">
      <w:pPr>
        <w:pStyle w:val="Heading3"/>
      </w:pPr>
      <w:r>
        <w:lastRenderedPageBreak/>
        <w:t>Future objectives:</w:t>
      </w:r>
    </w:p>
    <w:p w14:paraId="52624125" w14:textId="77777777" w:rsidR="00B02873" w:rsidRDefault="00B02873" w:rsidP="002A3305">
      <w:pPr>
        <w:pStyle w:val="Bullet1Listslast"/>
      </w:pPr>
      <w:r>
        <w:t>The complete rollout of swipe card printing across all sites, which will reduce the amount of printer paper wastage commenced in March 2022.</w:t>
      </w:r>
    </w:p>
    <w:p w14:paraId="1E6A17DD" w14:textId="50CB1EC4" w:rsidR="00B02873" w:rsidRDefault="00B02873" w:rsidP="002A3305">
      <w:pPr>
        <w:pStyle w:val="Heading3"/>
      </w:pPr>
      <w:r>
        <w:t>Performance:</w:t>
      </w:r>
    </w:p>
    <w:tbl>
      <w:tblPr>
        <w:tblStyle w:val="TableGrid"/>
        <w:tblW w:w="9638" w:type="dxa"/>
        <w:tblLayout w:type="fixed"/>
        <w:tblLook w:val="0020" w:firstRow="1" w:lastRow="0" w:firstColumn="0" w:lastColumn="0" w:noHBand="0" w:noVBand="0"/>
      </w:tblPr>
      <w:tblGrid>
        <w:gridCol w:w="4106"/>
        <w:gridCol w:w="1383"/>
        <w:gridCol w:w="1383"/>
        <w:gridCol w:w="1383"/>
        <w:gridCol w:w="1383"/>
      </w:tblGrid>
      <w:tr w:rsidR="00B02873" w:rsidRPr="002A3305" w14:paraId="4CC7EDC3" w14:textId="77777777" w:rsidTr="002A3305">
        <w:trPr>
          <w:cnfStyle w:val="100000000000" w:firstRow="1" w:lastRow="0" w:firstColumn="0" w:lastColumn="0" w:oddVBand="0" w:evenVBand="0" w:oddHBand="0" w:evenHBand="0" w:firstRowFirstColumn="0" w:firstRowLastColumn="0" w:lastRowFirstColumn="0" w:lastRowLastColumn="0"/>
          <w:tblHeader/>
        </w:trPr>
        <w:tc>
          <w:tcPr>
            <w:tcW w:w="4106" w:type="dxa"/>
          </w:tcPr>
          <w:p w14:paraId="67223095" w14:textId="77777777" w:rsidR="00B02873" w:rsidRPr="002A3305" w:rsidRDefault="00B02873" w:rsidP="002A3305">
            <w:pPr>
              <w:pStyle w:val="TableheadingleftTables"/>
            </w:pPr>
          </w:p>
        </w:tc>
        <w:tc>
          <w:tcPr>
            <w:tcW w:w="1383" w:type="dxa"/>
          </w:tcPr>
          <w:p w14:paraId="25AE9FEB" w14:textId="77777777" w:rsidR="00B02873" w:rsidRPr="002A3305" w:rsidRDefault="00B02873" w:rsidP="00304BA6">
            <w:pPr>
              <w:pStyle w:val="TableheadingleftTables"/>
              <w:jc w:val="right"/>
            </w:pPr>
            <w:r w:rsidRPr="002A3305">
              <w:t>2021-22</w:t>
            </w:r>
          </w:p>
        </w:tc>
        <w:tc>
          <w:tcPr>
            <w:tcW w:w="1383" w:type="dxa"/>
          </w:tcPr>
          <w:p w14:paraId="3739C167" w14:textId="77777777" w:rsidR="00B02873" w:rsidRPr="002A3305" w:rsidRDefault="00B02873" w:rsidP="00304BA6">
            <w:pPr>
              <w:pStyle w:val="TableheadingleftTables"/>
              <w:jc w:val="right"/>
            </w:pPr>
            <w:r w:rsidRPr="002A3305">
              <w:t>2020-21</w:t>
            </w:r>
          </w:p>
        </w:tc>
        <w:tc>
          <w:tcPr>
            <w:tcW w:w="1383" w:type="dxa"/>
          </w:tcPr>
          <w:p w14:paraId="3DBD6DC0" w14:textId="77777777" w:rsidR="00B02873" w:rsidRPr="002A3305" w:rsidRDefault="00B02873" w:rsidP="00304BA6">
            <w:pPr>
              <w:pStyle w:val="TableheadingleftTables"/>
              <w:jc w:val="right"/>
            </w:pPr>
            <w:r w:rsidRPr="002A3305">
              <w:t>2019-20</w:t>
            </w:r>
          </w:p>
        </w:tc>
        <w:tc>
          <w:tcPr>
            <w:tcW w:w="1383" w:type="dxa"/>
          </w:tcPr>
          <w:p w14:paraId="272836B8" w14:textId="77777777" w:rsidR="00B02873" w:rsidRPr="002A3305" w:rsidRDefault="00B02873" w:rsidP="00304BA6">
            <w:pPr>
              <w:pStyle w:val="TableheadingleftTables"/>
              <w:jc w:val="right"/>
            </w:pPr>
            <w:r w:rsidRPr="002A3305">
              <w:t>2014-15 (baseline)</w:t>
            </w:r>
          </w:p>
        </w:tc>
      </w:tr>
      <w:tr w:rsidR="00B02873" w:rsidRPr="00B02873" w14:paraId="7C385B7E" w14:textId="77777777" w:rsidTr="002A3305">
        <w:tc>
          <w:tcPr>
            <w:tcW w:w="4106" w:type="dxa"/>
          </w:tcPr>
          <w:p w14:paraId="2CF91F2B" w14:textId="77777777" w:rsidR="00B02873" w:rsidRDefault="00B02873" w:rsidP="00B415A9">
            <w:pPr>
              <w:pStyle w:val="TablebodyleftTables"/>
            </w:pPr>
            <w:r>
              <w:rPr>
                <w:spacing w:val="-3"/>
              </w:rPr>
              <w:t>P1. Total units of A4 equivalent copy paper purchased (reams)</w:t>
            </w:r>
            <w:r>
              <w:rPr>
                <w:spacing w:val="-3"/>
                <w:vertAlign w:val="superscript"/>
              </w:rPr>
              <w:t>(i)</w:t>
            </w:r>
          </w:p>
        </w:tc>
        <w:tc>
          <w:tcPr>
            <w:tcW w:w="1383" w:type="dxa"/>
          </w:tcPr>
          <w:p w14:paraId="6C2D797A" w14:textId="77777777" w:rsidR="00B02873" w:rsidRDefault="00B02873" w:rsidP="00304BA6">
            <w:pPr>
              <w:pStyle w:val="TablebodyleftTables"/>
              <w:jc w:val="right"/>
            </w:pPr>
            <w:r>
              <w:t>5,455</w:t>
            </w:r>
          </w:p>
        </w:tc>
        <w:tc>
          <w:tcPr>
            <w:tcW w:w="1383" w:type="dxa"/>
          </w:tcPr>
          <w:p w14:paraId="279A3AC1" w14:textId="77777777" w:rsidR="00B02873" w:rsidRDefault="00B02873" w:rsidP="00304BA6">
            <w:pPr>
              <w:pStyle w:val="TablebodyleftTables"/>
              <w:jc w:val="right"/>
            </w:pPr>
            <w:r>
              <w:rPr>
                <w:spacing w:val="-5"/>
              </w:rPr>
              <w:t>3,910</w:t>
            </w:r>
          </w:p>
        </w:tc>
        <w:tc>
          <w:tcPr>
            <w:tcW w:w="1383" w:type="dxa"/>
          </w:tcPr>
          <w:p w14:paraId="62CCB449" w14:textId="77777777" w:rsidR="00B02873" w:rsidRDefault="00B02873" w:rsidP="00304BA6">
            <w:pPr>
              <w:pStyle w:val="TablebodyleftTables"/>
              <w:jc w:val="right"/>
            </w:pPr>
            <w:r>
              <w:rPr>
                <w:spacing w:val="-5"/>
              </w:rPr>
              <w:t>33,075</w:t>
            </w:r>
          </w:p>
        </w:tc>
        <w:tc>
          <w:tcPr>
            <w:tcW w:w="1383" w:type="dxa"/>
          </w:tcPr>
          <w:p w14:paraId="622D3ADF" w14:textId="77777777" w:rsidR="00B02873" w:rsidRDefault="00B02873" w:rsidP="00304BA6">
            <w:pPr>
              <w:pStyle w:val="TablebodyleftTables"/>
              <w:jc w:val="right"/>
            </w:pPr>
            <w:r>
              <w:t>37,666</w:t>
            </w:r>
          </w:p>
        </w:tc>
      </w:tr>
      <w:tr w:rsidR="00B02873" w:rsidRPr="00B02873" w14:paraId="3A2D2D1D" w14:textId="77777777" w:rsidTr="002A3305">
        <w:tc>
          <w:tcPr>
            <w:tcW w:w="4106" w:type="dxa"/>
          </w:tcPr>
          <w:p w14:paraId="191AF2DA" w14:textId="77777777" w:rsidR="00B02873" w:rsidRDefault="00B02873" w:rsidP="00B415A9">
            <w:pPr>
              <w:pStyle w:val="TablebodyleftTables"/>
            </w:pPr>
            <w:r>
              <w:rPr>
                <w:spacing w:val="-5"/>
              </w:rPr>
              <w:t>P2. Units of A4 equivalent copy paper used per FTE (reams/FTE)</w:t>
            </w:r>
          </w:p>
        </w:tc>
        <w:tc>
          <w:tcPr>
            <w:tcW w:w="1383" w:type="dxa"/>
          </w:tcPr>
          <w:p w14:paraId="39E35542" w14:textId="77777777" w:rsidR="00B02873" w:rsidRDefault="00B02873" w:rsidP="00304BA6">
            <w:pPr>
              <w:pStyle w:val="TablebodyleftTables"/>
              <w:jc w:val="right"/>
            </w:pPr>
            <w:r>
              <w:t>1.1</w:t>
            </w:r>
          </w:p>
        </w:tc>
        <w:tc>
          <w:tcPr>
            <w:tcW w:w="1383" w:type="dxa"/>
          </w:tcPr>
          <w:p w14:paraId="614AAA6E" w14:textId="77777777" w:rsidR="00B02873" w:rsidRDefault="00B02873" w:rsidP="00304BA6">
            <w:pPr>
              <w:pStyle w:val="TablebodyleftTables"/>
              <w:jc w:val="right"/>
            </w:pPr>
            <w:r>
              <w:t>0.8</w:t>
            </w:r>
          </w:p>
        </w:tc>
        <w:tc>
          <w:tcPr>
            <w:tcW w:w="1383" w:type="dxa"/>
          </w:tcPr>
          <w:p w14:paraId="0879158E" w14:textId="77777777" w:rsidR="00B02873" w:rsidRDefault="00B02873" w:rsidP="00304BA6">
            <w:pPr>
              <w:pStyle w:val="TablebodyleftTables"/>
              <w:jc w:val="right"/>
            </w:pPr>
            <w:r>
              <w:t>7.3</w:t>
            </w:r>
          </w:p>
        </w:tc>
        <w:tc>
          <w:tcPr>
            <w:tcW w:w="1383" w:type="dxa"/>
          </w:tcPr>
          <w:p w14:paraId="283CA907" w14:textId="77777777" w:rsidR="00B02873" w:rsidRDefault="00B02873" w:rsidP="00304BA6">
            <w:pPr>
              <w:pStyle w:val="TablebodyleftTables"/>
              <w:jc w:val="right"/>
            </w:pPr>
            <w:r>
              <w:t>12.7</w:t>
            </w:r>
          </w:p>
        </w:tc>
      </w:tr>
      <w:tr w:rsidR="00B02873" w:rsidRPr="00B02873" w14:paraId="2FF6169F" w14:textId="77777777" w:rsidTr="002A3305">
        <w:tc>
          <w:tcPr>
            <w:tcW w:w="4106" w:type="dxa"/>
          </w:tcPr>
          <w:p w14:paraId="72287485" w14:textId="77777777" w:rsidR="00B02873" w:rsidRDefault="00B02873" w:rsidP="00B415A9">
            <w:pPr>
              <w:pStyle w:val="TablebodyleftTables"/>
            </w:pPr>
            <w:r>
              <w:t>P3. 75-100% recycled content</w:t>
            </w:r>
            <w:r>
              <w:rPr>
                <w:vertAlign w:val="superscript"/>
              </w:rPr>
              <w:t>(ii)</w:t>
            </w:r>
          </w:p>
        </w:tc>
        <w:tc>
          <w:tcPr>
            <w:tcW w:w="1383" w:type="dxa"/>
          </w:tcPr>
          <w:p w14:paraId="150AFAFF" w14:textId="77777777" w:rsidR="00B02873" w:rsidRDefault="00B02873" w:rsidP="00304BA6">
            <w:pPr>
              <w:pStyle w:val="TablebodyleftTables"/>
              <w:jc w:val="right"/>
            </w:pPr>
            <w:r>
              <w:t>98.3%</w:t>
            </w:r>
          </w:p>
        </w:tc>
        <w:tc>
          <w:tcPr>
            <w:tcW w:w="1383" w:type="dxa"/>
          </w:tcPr>
          <w:p w14:paraId="614BB2AB" w14:textId="77777777" w:rsidR="00B02873" w:rsidRDefault="00B02873" w:rsidP="00304BA6">
            <w:pPr>
              <w:pStyle w:val="TablebodyleftTables"/>
              <w:jc w:val="right"/>
            </w:pPr>
            <w:r>
              <w:t>98.6%</w:t>
            </w:r>
          </w:p>
        </w:tc>
        <w:tc>
          <w:tcPr>
            <w:tcW w:w="1383" w:type="dxa"/>
          </w:tcPr>
          <w:p w14:paraId="30124681" w14:textId="77777777" w:rsidR="00B02873" w:rsidRDefault="00B02873" w:rsidP="00304BA6">
            <w:pPr>
              <w:pStyle w:val="TablebodyleftTables"/>
              <w:jc w:val="right"/>
            </w:pPr>
            <w:r>
              <w:t>97.6%</w:t>
            </w:r>
          </w:p>
        </w:tc>
        <w:tc>
          <w:tcPr>
            <w:tcW w:w="1383" w:type="dxa"/>
          </w:tcPr>
          <w:p w14:paraId="48278A6B" w14:textId="77777777" w:rsidR="00B02873" w:rsidRDefault="00B02873" w:rsidP="00304BA6">
            <w:pPr>
              <w:pStyle w:val="TablebodyleftTables"/>
              <w:jc w:val="right"/>
            </w:pPr>
            <w:r>
              <w:t>81.7%</w:t>
            </w:r>
          </w:p>
        </w:tc>
      </w:tr>
      <w:tr w:rsidR="00B02873" w:rsidRPr="00B02873" w14:paraId="21A082C1" w14:textId="77777777" w:rsidTr="002A3305">
        <w:tc>
          <w:tcPr>
            <w:tcW w:w="4106" w:type="dxa"/>
          </w:tcPr>
          <w:p w14:paraId="0ECE8CE2" w14:textId="77777777" w:rsidR="00B02873" w:rsidRDefault="00B02873" w:rsidP="00B415A9">
            <w:pPr>
              <w:pStyle w:val="TablebodyleftTables"/>
            </w:pPr>
            <w:r>
              <w:t>P3. 50-74% recycled content</w:t>
            </w:r>
          </w:p>
        </w:tc>
        <w:tc>
          <w:tcPr>
            <w:tcW w:w="1383" w:type="dxa"/>
          </w:tcPr>
          <w:p w14:paraId="24FF79A5" w14:textId="77777777" w:rsidR="00B02873" w:rsidRDefault="00B02873" w:rsidP="00304BA6">
            <w:pPr>
              <w:pStyle w:val="TablebodyleftTables"/>
              <w:jc w:val="right"/>
            </w:pPr>
            <w:r>
              <w:t>0%</w:t>
            </w:r>
          </w:p>
        </w:tc>
        <w:tc>
          <w:tcPr>
            <w:tcW w:w="1383" w:type="dxa"/>
          </w:tcPr>
          <w:p w14:paraId="77EA639D" w14:textId="77777777" w:rsidR="00B02873" w:rsidRDefault="00B02873" w:rsidP="00304BA6">
            <w:pPr>
              <w:pStyle w:val="TablebodyleftTables"/>
              <w:jc w:val="right"/>
            </w:pPr>
            <w:r>
              <w:t>0%</w:t>
            </w:r>
          </w:p>
        </w:tc>
        <w:tc>
          <w:tcPr>
            <w:tcW w:w="1383" w:type="dxa"/>
          </w:tcPr>
          <w:p w14:paraId="75FC7279" w14:textId="77777777" w:rsidR="00B02873" w:rsidRDefault="00B02873" w:rsidP="00304BA6">
            <w:pPr>
              <w:pStyle w:val="TablebodyleftTables"/>
              <w:jc w:val="right"/>
            </w:pPr>
            <w:r>
              <w:t>0%</w:t>
            </w:r>
          </w:p>
        </w:tc>
        <w:tc>
          <w:tcPr>
            <w:tcW w:w="1383" w:type="dxa"/>
          </w:tcPr>
          <w:p w14:paraId="70C07049" w14:textId="77777777" w:rsidR="00B02873" w:rsidRDefault="00B02873" w:rsidP="00304BA6">
            <w:pPr>
              <w:pStyle w:val="TablebodyleftTables"/>
              <w:jc w:val="right"/>
            </w:pPr>
            <w:r>
              <w:t>3.4%</w:t>
            </w:r>
          </w:p>
        </w:tc>
      </w:tr>
      <w:tr w:rsidR="00B02873" w:rsidRPr="00B02873" w14:paraId="5B300F6F" w14:textId="77777777" w:rsidTr="002A3305">
        <w:tc>
          <w:tcPr>
            <w:tcW w:w="4106" w:type="dxa"/>
          </w:tcPr>
          <w:p w14:paraId="25C4DEB0" w14:textId="77777777" w:rsidR="00B02873" w:rsidRDefault="00B02873" w:rsidP="00B415A9">
            <w:pPr>
              <w:pStyle w:val="TablebodyleftTables"/>
            </w:pPr>
            <w:r>
              <w:t>P3. 0-49% recycled content</w:t>
            </w:r>
          </w:p>
        </w:tc>
        <w:tc>
          <w:tcPr>
            <w:tcW w:w="1383" w:type="dxa"/>
          </w:tcPr>
          <w:p w14:paraId="0C9FBEBD" w14:textId="77777777" w:rsidR="00B02873" w:rsidRDefault="00B02873" w:rsidP="00304BA6">
            <w:pPr>
              <w:pStyle w:val="TablebodyleftTables"/>
              <w:jc w:val="right"/>
            </w:pPr>
            <w:r>
              <w:t>1.7%</w:t>
            </w:r>
          </w:p>
        </w:tc>
        <w:tc>
          <w:tcPr>
            <w:tcW w:w="1383" w:type="dxa"/>
          </w:tcPr>
          <w:p w14:paraId="6764FFFF" w14:textId="77777777" w:rsidR="00B02873" w:rsidRDefault="00B02873" w:rsidP="00304BA6">
            <w:pPr>
              <w:pStyle w:val="TablebodyleftTables"/>
              <w:jc w:val="right"/>
            </w:pPr>
            <w:r>
              <w:t>1.4%</w:t>
            </w:r>
          </w:p>
        </w:tc>
        <w:tc>
          <w:tcPr>
            <w:tcW w:w="1383" w:type="dxa"/>
          </w:tcPr>
          <w:p w14:paraId="28BDC157" w14:textId="77777777" w:rsidR="00B02873" w:rsidRDefault="00B02873" w:rsidP="00304BA6">
            <w:pPr>
              <w:pStyle w:val="TablebodyleftTables"/>
              <w:jc w:val="right"/>
            </w:pPr>
            <w:r>
              <w:t>2.4%</w:t>
            </w:r>
          </w:p>
        </w:tc>
        <w:tc>
          <w:tcPr>
            <w:tcW w:w="1383" w:type="dxa"/>
          </w:tcPr>
          <w:p w14:paraId="12AEE912" w14:textId="77777777" w:rsidR="00B02873" w:rsidRDefault="00B02873" w:rsidP="00304BA6">
            <w:pPr>
              <w:pStyle w:val="TablebodyleftTables"/>
              <w:jc w:val="right"/>
            </w:pPr>
            <w:r>
              <w:t>14.9%</w:t>
            </w:r>
          </w:p>
        </w:tc>
      </w:tr>
      <w:tr w:rsidR="00B02873" w:rsidRPr="00B02873" w14:paraId="6353A4BF" w14:textId="77777777" w:rsidTr="002A3305">
        <w:tc>
          <w:tcPr>
            <w:tcW w:w="4106" w:type="dxa"/>
          </w:tcPr>
          <w:p w14:paraId="5DCD027E" w14:textId="77777777" w:rsidR="00B02873" w:rsidRDefault="00B02873" w:rsidP="00B415A9">
            <w:pPr>
              <w:pStyle w:val="TablebodyleftTables"/>
            </w:pPr>
            <w:r>
              <w:t>Total reported paper purchasing emissions (tonnes CO</w:t>
            </w:r>
            <w:r w:rsidRPr="002A3305">
              <w:rPr>
                <w:vertAlign w:val="subscript"/>
              </w:rPr>
              <w:t>2</w:t>
            </w:r>
            <w:r>
              <w:t>-e)</w:t>
            </w:r>
          </w:p>
        </w:tc>
        <w:tc>
          <w:tcPr>
            <w:tcW w:w="1383" w:type="dxa"/>
          </w:tcPr>
          <w:p w14:paraId="1CE58E91" w14:textId="77777777" w:rsidR="00B02873" w:rsidRDefault="00B02873" w:rsidP="00304BA6">
            <w:pPr>
              <w:pStyle w:val="TablebodyleftTables"/>
              <w:jc w:val="right"/>
            </w:pPr>
            <w:r>
              <w:t>21</w:t>
            </w:r>
          </w:p>
        </w:tc>
        <w:tc>
          <w:tcPr>
            <w:tcW w:w="1383" w:type="dxa"/>
          </w:tcPr>
          <w:p w14:paraId="2D9B0EA5" w14:textId="77777777" w:rsidR="00B02873" w:rsidRDefault="00B02873" w:rsidP="00304BA6">
            <w:pPr>
              <w:pStyle w:val="TablebodyleftTables"/>
              <w:jc w:val="right"/>
            </w:pPr>
            <w:r>
              <w:t>15</w:t>
            </w:r>
          </w:p>
        </w:tc>
        <w:tc>
          <w:tcPr>
            <w:tcW w:w="1383" w:type="dxa"/>
          </w:tcPr>
          <w:p w14:paraId="308D8BBC" w14:textId="77777777" w:rsidR="00B02873" w:rsidRDefault="00B02873" w:rsidP="00304BA6">
            <w:pPr>
              <w:pStyle w:val="TablebodyleftTables"/>
              <w:jc w:val="right"/>
            </w:pPr>
            <w:r>
              <w:t>125</w:t>
            </w:r>
          </w:p>
        </w:tc>
        <w:tc>
          <w:tcPr>
            <w:tcW w:w="1383" w:type="dxa"/>
          </w:tcPr>
          <w:p w14:paraId="41368330" w14:textId="77777777" w:rsidR="00B02873" w:rsidRDefault="00B02873" w:rsidP="00304BA6">
            <w:pPr>
              <w:pStyle w:val="TablebodyleftTables"/>
              <w:jc w:val="right"/>
            </w:pPr>
            <w:r>
              <w:t>139</w:t>
            </w:r>
          </w:p>
        </w:tc>
      </w:tr>
    </w:tbl>
    <w:p w14:paraId="3E5A0803" w14:textId="77777777" w:rsidR="00B02873" w:rsidRPr="002A3305" w:rsidRDefault="00B02873" w:rsidP="002A3305">
      <w:pPr>
        <w:pStyle w:val="SourceNote"/>
        <w:rPr>
          <w:b/>
          <w:bCs/>
        </w:rPr>
      </w:pPr>
      <w:r w:rsidRPr="002A3305">
        <w:rPr>
          <w:b/>
          <w:bCs/>
        </w:rPr>
        <w:t>Explanatory notes:</w:t>
      </w:r>
    </w:p>
    <w:p w14:paraId="1EF235AE" w14:textId="77777777" w:rsidR="00B02873" w:rsidRDefault="00B02873" w:rsidP="001128B1">
      <w:pPr>
        <w:pStyle w:val="SourceNotenumbered"/>
        <w:numPr>
          <w:ilvl w:val="0"/>
          <w:numId w:val="69"/>
        </w:numPr>
      </w:pPr>
      <w:r>
        <w:t>DELWP paper purchasing is calculated using data from the government stationery supplier, Complete Office Supplies (COS)</w:t>
      </w:r>
    </w:p>
    <w:p w14:paraId="4D021ED7" w14:textId="77777777" w:rsidR="00B02873" w:rsidRDefault="00B02873" w:rsidP="00304BA6">
      <w:pPr>
        <w:pStyle w:val="SourceNotenumbered"/>
        <w:spacing w:after="200"/>
        <w:ind w:left="357" w:hanging="357"/>
      </w:pPr>
      <w:r>
        <w:t xml:space="preserve">Restrictions are now in place to prevent any white paper being purchased with less than 100 per cent recycled content. All coloured paper available for purchasing continues to have no recycled content. </w:t>
      </w:r>
    </w:p>
    <w:p w14:paraId="6565F4A5" w14:textId="77777777" w:rsidR="00B02873" w:rsidRDefault="00B02873" w:rsidP="00FA43C4">
      <w:pPr>
        <w:pStyle w:val="Heading2Headings"/>
      </w:pPr>
      <w:r>
        <w:t>Greener procurement</w:t>
      </w:r>
    </w:p>
    <w:p w14:paraId="293C83EA" w14:textId="79A9BD87" w:rsidR="002A3305" w:rsidRDefault="002A3305" w:rsidP="00FA43C4">
      <w:pPr>
        <w:pStyle w:val="Number1Lists"/>
        <w:numPr>
          <w:ilvl w:val="0"/>
          <w:numId w:val="70"/>
        </w:numPr>
        <w:spacing w:after="200"/>
      </w:pPr>
      <w:r>
        <w:t>Responsible Consumption and production</w:t>
      </w:r>
    </w:p>
    <w:p w14:paraId="13675647" w14:textId="3FAB49D7" w:rsidR="00B02873" w:rsidRDefault="00B02873" w:rsidP="002A3305">
      <w:pPr>
        <w:pStyle w:val="Heading3"/>
      </w:pPr>
      <w:r>
        <w:t>Actions undertaken:</w:t>
      </w:r>
    </w:p>
    <w:p w14:paraId="7E65B0B0" w14:textId="77777777" w:rsidR="00B02873" w:rsidRDefault="00B02873" w:rsidP="00B02873">
      <w:pPr>
        <w:pStyle w:val="Bullet1Lists"/>
      </w:pPr>
      <w:r>
        <w:t xml:space="preserve">DELWP has phased out use of specific single-use plastics at all sites, and for all operations, including straws, cutlery, plates, drink stirrers, polystyrene food and drink containers and plastic cotton bud sticks. This aligns with the Tackling Plastic Pollution: single-use plastics ban and associated statewide Victorian Government commitment. </w:t>
      </w:r>
    </w:p>
    <w:p w14:paraId="1E385A68" w14:textId="77777777" w:rsidR="00B02873" w:rsidRDefault="00B02873" w:rsidP="00B02873">
      <w:pPr>
        <w:pStyle w:val="Bullet1Lists"/>
      </w:pPr>
      <w:r>
        <w:t>DELWP’s Procurement Team provides internal procurement advice to support and strengthen environmental procurement practices. Departmental templates for tendering and contracting are being finalised to incorporate requirements for tenders to demonstrate their environmental credentials and allow tender evaluation teams to weight and score this as a separate assessment criterion, where relevant.</w:t>
      </w:r>
    </w:p>
    <w:p w14:paraId="72F11508" w14:textId="77777777" w:rsidR="00B02873" w:rsidRDefault="00B02873" w:rsidP="00B02873">
      <w:pPr>
        <w:pStyle w:val="Bullet1Lists"/>
      </w:pPr>
      <w:r>
        <w:t>Staff seeking approval from the Chief Procurement Officer for significant procurement activities (of $200,000 and greater) are required to demonstrate how sustainability was considered in the evaluation.</w:t>
      </w:r>
    </w:p>
    <w:p w14:paraId="25C0B82A" w14:textId="77777777" w:rsidR="00B02873" w:rsidRDefault="00B02873" w:rsidP="00B02873">
      <w:pPr>
        <w:pStyle w:val="Bullet1Lists"/>
      </w:pPr>
      <w:r>
        <w:t>DELWP continued to implement its Social Procurement Strategy as a requirement of the Victorian Social Procurement Framework. This strategy includes measurable objectives on environmentally sustainable outputs and environmentally sustainable business practices for all procurement over $1 million.</w:t>
      </w:r>
    </w:p>
    <w:p w14:paraId="6D65D83B" w14:textId="77777777" w:rsidR="00B02873" w:rsidRDefault="00B02873" w:rsidP="00B02873">
      <w:pPr>
        <w:pStyle w:val="Bullet1Lists"/>
      </w:pPr>
      <w:r>
        <w:t xml:space="preserve">73 per cent of printing jobs through Finsbury Green have used printers with a minimum two-star (out of five) environmental rating. This is a scheme established by Finsbury Green (who hold </w:t>
      </w:r>
      <w:r>
        <w:lastRenderedPageBreak/>
        <w:t>the state purchasing contract) to help improve environmental printing standards across the industry.</w:t>
      </w:r>
    </w:p>
    <w:p w14:paraId="77253961" w14:textId="77777777" w:rsidR="00B02873" w:rsidRDefault="00B02873" w:rsidP="002A3305">
      <w:pPr>
        <w:pStyle w:val="Bullet1Listslast"/>
      </w:pPr>
      <w:r>
        <w:t>The default A4 white printer paper has 100 per cent recycled content.</w:t>
      </w:r>
    </w:p>
    <w:p w14:paraId="6A173872" w14:textId="77777777" w:rsidR="00B02873" w:rsidRDefault="00B02873" w:rsidP="002A3305">
      <w:pPr>
        <w:pStyle w:val="Heading3"/>
      </w:pPr>
      <w:r>
        <w:t>Future objectives:</w:t>
      </w:r>
    </w:p>
    <w:p w14:paraId="17DD5125" w14:textId="77777777" w:rsidR="00B02873" w:rsidRDefault="00B02873" w:rsidP="002A3305">
      <w:pPr>
        <w:pStyle w:val="Bullet1Listslast"/>
      </w:pPr>
      <w:r>
        <w:t>DELWP will continue to promote greener procurement and strengthen environmentally sustainable practices when procuring stationery, IT equipment, fleet vehicles and office furniture.</w:t>
      </w:r>
    </w:p>
    <w:p w14:paraId="64C1A38D" w14:textId="77777777" w:rsidR="00B02873" w:rsidRDefault="00B02873" w:rsidP="00FE198A">
      <w:pPr>
        <w:pStyle w:val="Heading1"/>
      </w:pPr>
      <w:bookmarkStart w:id="23" w:name="_Toc117447362"/>
      <w:r>
        <w:t>Financial Review</w:t>
      </w:r>
      <w:bookmarkEnd w:id="23"/>
    </w:p>
    <w:p w14:paraId="73AC4910" w14:textId="79BD6FAA" w:rsidR="00B02873" w:rsidRDefault="00B02873" w:rsidP="006F52C9">
      <w:pPr>
        <w:pStyle w:val="Figureheading"/>
      </w:pPr>
      <w:r>
        <w:t>Table 1.</w:t>
      </w:r>
      <w:r w:rsidR="00012C04">
        <w:t xml:space="preserve"> </w:t>
      </w:r>
      <w:r>
        <w:t>Five-year financial summary</w:t>
      </w:r>
    </w:p>
    <w:tbl>
      <w:tblPr>
        <w:tblStyle w:val="TableGrid"/>
        <w:tblW w:w="9638" w:type="dxa"/>
        <w:tblLayout w:type="fixed"/>
        <w:tblLook w:val="0020" w:firstRow="1" w:lastRow="0" w:firstColumn="0" w:lastColumn="0" w:noHBand="0" w:noVBand="0"/>
      </w:tblPr>
      <w:tblGrid>
        <w:gridCol w:w="3397"/>
        <w:gridCol w:w="1248"/>
        <w:gridCol w:w="1248"/>
        <w:gridCol w:w="1248"/>
        <w:gridCol w:w="1248"/>
        <w:gridCol w:w="1249"/>
      </w:tblGrid>
      <w:tr w:rsidR="00B02873" w:rsidRPr="00B02873" w14:paraId="5EB5F205" w14:textId="77777777" w:rsidTr="00524BF0">
        <w:trPr>
          <w:cnfStyle w:val="100000000000" w:firstRow="1" w:lastRow="0" w:firstColumn="0" w:lastColumn="0" w:oddVBand="0" w:evenVBand="0" w:oddHBand="0" w:evenHBand="0" w:firstRowFirstColumn="0" w:firstRowLastColumn="0" w:lastRowFirstColumn="0" w:lastRowLastColumn="0"/>
        </w:trPr>
        <w:tc>
          <w:tcPr>
            <w:tcW w:w="3397" w:type="dxa"/>
          </w:tcPr>
          <w:p w14:paraId="337BD9C8" w14:textId="77777777" w:rsidR="00B02873" w:rsidRPr="00B02873" w:rsidRDefault="00B02873" w:rsidP="00524BF0">
            <w:pPr>
              <w:pStyle w:val="TableheadingleftTables"/>
            </w:pPr>
          </w:p>
        </w:tc>
        <w:tc>
          <w:tcPr>
            <w:tcW w:w="1248" w:type="dxa"/>
          </w:tcPr>
          <w:p w14:paraId="315EA7F2" w14:textId="34341F36" w:rsidR="00B02873" w:rsidRDefault="00B02873" w:rsidP="00304BA6">
            <w:pPr>
              <w:pStyle w:val="TableheadingleftTables"/>
              <w:jc w:val="right"/>
            </w:pPr>
            <w:r>
              <w:t>2022</w:t>
            </w:r>
            <w:r w:rsidR="00012C04">
              <w:t xml:space="preserve"> </w:t>
            </w:r>
            <w:r>
              <w:br/>
              <w:t>$’000</w:t>
            </w:r>
          </w:p>
        </w:tc>
        <w:tc>
          <w:tcPr>
            <w:tcW w:w="1248" w:type="dxa"/>
          </w:tcPr>
          <w:p w14:paraId="175DC409" w14:textId="2335E1DF" w:rsidR="00B02873" w:rsidRDefault="00B02873" w:rsidP="00304BA6">
            <w:pPr>
              <w:pStyle w:val="TableheadingleftTables"/>
              <w:jc w:val="right"/>
            </w:pPr>
            <w:r>
              <w:t>2021</w:t>
            </w:r>
            <w:r w:rsidR="00012C04">
              <w:t xml:space="preserve"> </w:t>
            </w:r>
            <w:r>
              <w:br/>
              <w:t>$’000</w:t>
            </w:r>
            <w:r>
              <w:rPr>
                <w:vertAlign w:val="superscript"/>
              </w:rPr>
              <w:t>(iii)</w:t>
            </w:r>
          </w:p>
        </w:tc>
        <w:tc>
          <w:tcPr>
            <w:tcW w:w="1248" w:type="dxa"/>
          </w:tcPr>
          <w:p w14:paraId="03364DF0" w14:textId="77777777" w:rsidR="00B02873" w:rsidRDefault="00B02873" w:rsidP="00304BA6">
            <w:pPr>
              <w:pStyle w:val="TableheadingleftTables"/>
              <w:jc w:val="right"/>
            </w:pPr>
            <w:r>
              <w:t xml:space="preserve">2020 </w:t>
            </w:r>
            <w:r>
              <w:br/>
              <w:t>$’000</w:t>
            </w:r>
            <w:r>
              <w:rPr>
                <w:vertAlign w:val="superscript"/>
              </w:rPr>
              <w:t>(iv)</w:t>
            </w:r>
          </w:p>
        </w:tc>
        <w:tc>
          <w:tcPr>
            <w:tcW w:w="1248" w:type="dxa"/>
          </w:tcPr>
          <w:p w14:paraId="55589A4C" w14:textId="77777777" w:rsidR="00B02873" w:rsidRDefault="00B02873" w:rsidP="00304BA6">
            <w:pPr>
              <w:pStyle w:val="TableheadingleftTables"/>
              <w:jc w:val="right"/>
            </w:pPr>
            <w:r>
              <w:t xml:space="preserve">2019 </w:t>
            </w:r>
            <w:r>
              <w:br/>
              <w:t>$’000</w:t>
            </w:r>
          </w:p>
        </w:tc>
        <w:tc>
          <w:tcPr>
            <w:tcW w:w="1249" w:type="dxa"/>
          </w:tcPr>
          <w:p w14:paraId="43243299" w14:textId="77777777" w:rsidR="00B02873" w:rsidRDefault="00B02873" w:rsidP="00304BA6">
            <w:pPr>
              <w:pStyle w:val="TableheadingleftTables"/>
              <w:jc w:val="right"/>
            </w:pPr>
            <w:r>
              <w:t xml:space="preserve">2018 </w:t>
            </w:r>
            <w:r>
              <w:br/>
              <w:t>$’000</w:t>
            </w:r>
          </w:p>
        </w:tc>
      </w:tr>
      <w:tr w:rsidR="00B02873" w:rsidRPr="00B02873" w14:paraId="0D2120B2" w14:textId="77777777" w:rsidTr="00524BF0">
        <w:tc>
          <w:tcPr>
            <w:tcW w:w="3397" w:type="dxa"/>
          </w:tcPr>
          <w:p w14:paraId="05128CE0" w14:textId="77777777" w:rsidR="00B02873" w:rsidRDefault="00B02873" w:rsidP="00B415A9">
            <w:pPr>
              <w:pStyle w:val="TablebodyleftTables"/>
            </w:pPr>
            <w:r>
              <w:t>Income from government</w:t>
            </w:r>
            <w:r>
              <w:rPr>
                <w:vertAlign w:val="superscript"/>
              </w:rPr>
              <w:t xml:space="preserve"> (i)</w:t>
            </w:r>
          </w:p>
        </w:tc>
        <w:tc>
          <w:tcPr>
            <w:tcW w:w="1248" w:type="dxa"/>
          </w:tcPr>
          <w:p w14:paraId="33B325CC" w14:textId="77777777" w:rsidR="00B02873" w:rsidRDefault="00B02873" w:rsidP="00304BA6">
            <w:pPr>
              <w:pStyle w:val="TablebodyleftTables"/>
              <w:jc w:val="right"/>
            </w:pPr>
            <w:r>
              <w:t>2,373,698</w:t>
            </w:r>
          </w:p>
        </w:tc>
        <w:tc>
          <w:tcPr>
            <w:tcW w:w="1248" w:type="dxa"/>
          </w:tcPr>
          <w:p w14:paraId="7ABDD454" w14:textId="77777777" w:rsidR="00B02873" w:rsidRDefault="00B02873" w:rsidP="00304BA6">
            <w:pPr>
              <w:pStyle w:val="TablebodyleftTables"/>
              <w:jc w:val="right"/>
            </w:pPr>
            <w:r>
              <w:t>2,477,285</w:t>
            </w:r>
          </w:p>
        </w:tc>
        <w:tc>
          <w:tcPr>
            <w:tcW w:w="1248" w:type="dxa"/>
          </w:tcPr>
          <w:p w14:paraId="5F8796D2" w14:textId="77777777" w:rsidR="00B02873" w:rsidRDefault="00B02873" w:rsidP="00304BA6">
            <w:pPr>
              <w:pStyle w:val="TablebodyleftTables"/>
              <w:jc w:val="right"/>
            </w:pPr>
            <w:r>
              <w:t>2,168,943</w:t>
            </w:r>
          </w:p>
        </w:tc>
        <w:tc>
          <w:tcPr>
            <w:tcW w:w="1248" w:type="dxa"/>
          </w:tcPr>
          <w:p w14:paraId="6FB1DD50" w14:textId="77777777" w:rsidR="00B02873" w:rsidRDefault="00B02873" w:rsidP="00304BA6">
            <w:pPr>
              <w:pStyle w:val="TablebodyleftTables"/>
              <w:jc w:val="right"/>
            </w:pPr>
            <w:r>
              <w:t>1,987,429</w:t>
            </w:r>
          </w:p>
        </w:tc>
        <w:tc>
          <w:tcPr>
            <w:tcW w:w="1249" w:type="dxa"/>
          </w:tcPr>
          <w:p w14:paraId="15843CE7" w14:textId="77777777" w:rsidR="00B02873" w:rsidRDefault="00B02873" w:rsidP="00304BA6">
            <w:pPr>
              <w:pStyle w:val="TablebodyleftTables"/>
              <w:jc w:val="right"/>
            </w:pPr>
            <w:r>
              <w:t>1,603,784</w:t>
            </w:r>
          </w:p>
        </w:tc>
      </w:tr>
      <w:tr w:rsidR="00B02873" w:rsidRPr="00B02873" w14:paraId="5A31E432" w14:textId="77777777" w:rsidTr="00524BF0">
        <w:tc>
          <w:tcPr>
            <w:tcW w:w="3397" w:type="dxa"/>
          </w:tcPr>
          <w:p w14:paraId="4AEFF7AC" w14:textId="77777777" w:rsidR="00B02873" w:rsidRDefault="00B02873" w:rsidP="00B415A9">
            <w:pPr>
              <w:pStyle w:val="TablebodyleftTables"/>
            </w:pPr>
            <w:r>
              <w:t>Total income from transactions</w:t>
            </w:r>
          </w:p>
        </w:tc>
        <w:tc>
          <w:tcPr>
            <w:tcW w:w="1248" w:type="dxa"/>
          </w:tcPr>
          <w:p w14:paraId="72FD655C" w14:textId="77777777" w:rsidR="00B02873" w:rsidRDefault="00B02873" w:rsidP="00304BA6">
            <w:pPr>
              <w:pStyle w:val="TablebodyleftTables"/>
              <w:jc w:val="right"/>
            </w:pPr>
            <w:r>
              <w:t>3,246,486</w:t>
            </w:r>
          </w:p>
        </w:tc>
        <w:tc>
          <w:tcPr>
            <w:tcW w:w="1248" w:type="dxa"/>
          </w:tcPr>
          <w:p w14:paraId="7E267F7E" w14:textId="77777777" w:rsidR="00B02873" w:rsidRDefault="00B02873" w:rsidP="00304BA6">
            <w:pPr>
              <w:pStyle w:val="TablebodyleftTables"/>
              <w:jc w:val="right"/>
            </w:pPr>
            <w:r>
              <w:t>3,157,203</w:t>
            </w:r>
          </w:p>
        </w:tc>
        <w:tc>
          <w:tcPr>
            <w:tcW w:w="1248" w:type="dxa"/>
          </w:tcPr>
          <w:p w14:paraId="25F5F565" w14:textId="77777777" w:rsidR="00B02873" w:rsidRDefault="00B02873" w:rsidP="00304BA6">
            <w:pPr>
              <w:pStyle w:val="TablebodyleftTables"/>
              <w:jc w:val="right"/>
            </w:pPr>
            <w:r>
              <w:t>2,782,305</w:t>
            </w:r>
          </w:p>
        </w:tc>
        <w:tc>
          <w:tcPr>
            <w:tcW w:w="1248" w:type="dxa"/>
          </w:tcPr>
          <w:p w14:paraId="67D3D777" w14:textId="77777777" w:rsidR="00B02873" w:rsidRDefault="00B02873" w:rsidP="00304BA6">
            <w:pPr>
              <w:pStyle w:val="TablebodyleftTables"/>
              <w:jc w:val="right"/>
            </w:pPr>
            <w:r>
              <w:t>2,976,910</w:t>
            </w:r>
          </w:p>
        </w:tc>
        <w:tc>
          <w:tcPr>
            <w:tcW w:w="1249" w:type="dxa"/>
          </w:tcPr>
          <w:p w14:paraId="44FDDDC7" w14:textId="77777777" w:rsidR="00B02873" w:rsidRDefault="00B02873" w:rsidP="00304BA6">
            <w:pPr>
              <w:pStyle w:val="TablebodyleftTables"/>
              <w:jc w:val="right"/>
            </w:pPr>
            <w:r>
              <w:t>2,319,590</w:t>
            </w:r>
          </w:p>
        </w:tc>
      </w:tr>
      <w:tr w:rsidR="00B02873" w:rsidRPr="00B02873" w14:paraId="69D81E92" w14:textId="77777777" w:rsidTr="00524BF0">
        <w:tc>
          <w:tcPr>
            <w:tcW w:w="3397" w:type="dxa"/>
          </w:tcPr>
          <w:p w14:paraId="470C4840" w14:textId="77777777" w:rsidR="00B02873" w:rsidRDefault="00B02873" w:rsidP="00B415A9">
            <w:pPr>
              <w:pStyle w:val="TablebodyleftTables"/>
            </w:pPr>
            <w:r>
              <w:t>Total expenses from transactions</w:t>
            </w:r>
          </w:p>
        </w:tc>
        <w:tc>
          <w:tcPr>
            <w:tcW w:w="1248" w:type="dxa"/>
          </w:tcPr>
          <w:p w14:paraId="3D3CA348" w14:textId="77777777" w:rsidR="00B02873" w:rsidRDefault="00B02873" w:rsidP="00304BA6">
            <w:pPr>
              <w:pStyle w:val="TablebodyleftTables"/>
              <w:jc w:val="right"/>
            </w:pPr>
            <w:r>
              <w:t>3,114,827</w:t>
            </w:r>
          </w:p>
        </w:tc>
        <w:tc>
          <w:tcPr>
            <w:tcW w:w="1248" w:type="dxa"/>
          </w:tcPr>
          <w:p w14:paraId="5A50C770" w14:textId="77777777" w:rsidR="00B02873" w:rsidRDefault="00B02873" w:rsidP="00304BA6">
            <w:pPr>
              <w:pStyle w:val="TablebodyleftTables"/>
              <w:jc w:val="right"/>
            </w:pPr>
            <w:r>
              <w:t>3,184,016</w:t>
            </w:r>
          </w:p>
        </w:tc>
        <w:tc>
          <w:tcPr>
            <w:tcW w:w="1248" w:type="dxa"/>
          </w:tcPr>
          <w:p w14:paraId="67FFFC0F" w14:textId="77777777" w:rsidR="00B02873" w:rsidRDefault="00B02873" w:rsidP="00304BA6">
            <w:pPr>
              <w:pStyle w:val="TablebodyleftTables"/>
              <w:jc w:val="right"/>
            </w:pPr>
            <w:r>
              <w:t>2,785,079</w:t>
            </w:r>
          </w:p>
        </w:tc>
        <w:tc>
          <w:tcPr>
            <w:tcW w:w="1248" w:type="dxa"/>
          </w:tcPr>
          <w:p w14:paraId="6275CCA0" w14:textId="77777777" w:rsidR="00B02873" w:rsidRDefault="00B02873" w:rsidP="00304BA6">
            <w:pPr>
              <w:pStyle w:val="TablebodyleftTables"/>
              <w:jc w:val="right"/>
            </w:pPr>
            <w:r>
              <w:t>2,800,466</w:t>
            </w:r>
          </w:p>
        </w:tc>
        <w:tc>
          <w:tcPr>
            <w:tcW w:w="1249" w:type="dxa"/>
          </w:tcPr>
          <w:p w14:paraId="5C37F5A8" w14:textId="77777777" w:rsidR="00B02873" w:rsidRDefault="00B02873" w:rsidP="00304BA6">
            <w:pPr>
              <w:pStyle w:val="TablebodyleftTables"/>
              <w:jc w:val="right"/>
            </w:pPr>
            <w:r>
              <w:t>2,165,945</w:t>
            </w:r>
          </w:p>
        </w:tc>
      </w:tr>
      <w:tr w:rsidR="00B02873" w:rsidRPr="00B02873" w14:paraId="31244F66" w14:textId="77777777" w:rsidTr="00524BF0">
        <w:tc>
          <w:tcPr>
            <w:tcW w:w="3397" w:type="dxa"/>
          </w:tcPr>
          <w:p w14:paraId="2319C080" w14:textId="77777777" w:rsidR="00B02873" w:rsidRDefault="00B02873" w:rsidP="00B415A9">
            <w:pPr>
              <w:pStyle w:val="TablebodyleftTables"/>
            </w:pPr>
            <w:r>
              <w:t xml:space="preserve">Net result from transactions </w:t>
            </w:r>
            <w:r>
              <w:rPr>
                <w:vertAlign w:val="superscript"/>
              </w:rPr>
              <w:t>(ii)</w:t>
            </w:r>
          </w:p>
        </w:tc>
        <w:tc>
          <w:tcPr>
            <w:tcW w:w="1248" w:type="dxa"/>
          </w:tcPr>
          <w:p w14:paraId="2DFAB2D6" w14:textId="77777777" w:rsidR="00B02873" w:rsidRDefault="00B02873" w:rsidP="00304BA6">
            <w:pPr>
              <w:pStyle w:val="TablebodyleftTables"/>
              <w:jc w:val="right"/>
            </w:pPr>
            <w:r>
              <w:t>131,659</w:t>
            </w:r>
          </w:p>
        </w:tc>
        <w:tc>
          <w:tcPr>
            <w:tcW w:w="1248" w:type="dxa"/>
          </w:tcPr>
          <w:p w14:paraId="05AB8866" w14:textId="77777777" w:rsidR="00B02873" w:rsidRDefault="00B02873" w:rsidP="00304BA6">
            <w:pPr>
              <w:pStyle w:val="TablebodyleftTables"/>
              <w:jc w:val="right"/>
            </w:pPr>
            <w:r>
              <w:t>(26,813)</w:t>
            </w:r>
          </w:p>
        </w:tc>
        <w:tc>
          <w:tcPr>
            <w:tcW w:w="1248" w:type="dxa"/>
          </w:tcPr>
          <w:p w14:paraId="209C5D90" w14:textId="77777777" w:rsidR="00B02873" w:rsidRDefault="00B02873" w:rsidP="00304BA6">
            <w:pPr>
              <w:pStyle w:val="TablebodyleftTables"/>
              <w:jc w:val="right"/>
            </w:pPr>
            <w:r>
              <w:t>(2,774)</w:t>
            </w:r>
          </w:p>
        </w:tc>
        <w:tc>
          <w:tcPr>
            <w:tcW w:w="1248" w:type="dxa"/>
          </w:tcPr>
          <w:p w14:paraId="29BE331B" w14:textId="77777777" w:rsidR="00B02873" w:rsidRDefault="00B02873" w:rsidP="00304BA6">
            <w:pPr>
              <w:pStyle w:val="TablebodyleftTables"/>
              <w:jc w:val="right"/>
            </w:pPr>
            <w:r>
              <w:t>176,464</w:t>
            </w:r>
          </w:p>
        </w:tc>
        <w:tc>
          <w:tcPr>
            <w:tcW w:w="1249" w:type="dxa"/>
          </w:tcPr>
          <w:p w14:paraId="00BB6BD4" w14:textId="77777777" w:rsidR="00B02873" w:rsidRDefault="00B02873" w:rsidP="00304BA6">
            <w:pPr>
              <w:pStyle w:val="TablebodyleftTables"/>
              <w:jc w:val="right"/>
            </w:pPr>
            <w:r>
              <w:t>153,645</w:t>
            </w:r>
          </w:p>
        </w:tc>
      </w:tr>
      <w:tr w:rsidR="00B02873" w:rsidRPr="00B02873" w14:paraId="47EFD2DF" w14:textId="77777777" w:rsidTr="00524BF0">
        <w:tc>
          <w:tcPr>
            <w:tcW w:w="3397" w:type="dxa"/>
          </w:tcPr>
          <w:p w14:paraId="5906DC6A" w14:textId="77777777" w:rsidR="00B02873" w:rsidRDefault="00B02873" w:rsidP="00B415A9">
            <w:pPr>
              <w:pStyle w:val="TablebodyleftTables"/>
            </w:pPr>
            <w:r>
              <w:t>Net result for the period</w:t>
            </w:r>
          </w:p>
        </w:tc>
        <w:tc>
          <w:tcPr>
            <w:tcW w:w="1248" w:type="dxa"/>
          </w:tcPr>
          <w:p w14:paraId="7742A41C" w14:textId="77777777" w:rsidR="00B02873" w:rsidRDefault="00B02873" w:rsidP="00304BA6">
            <w:pPr>
              <w:pStyle w:val="TablebodyleftTables"/>
              <w:jc w:val="right"/>
            </w:pPr>
            <w:r>
              <w:t>613,586</w:t>
            </w:r>
          </w:p>
        </w:tc>
        <w:tc>
          <w:tcPr>
            <w:tcW w:w="1248" w:type="dxa"/>
          </w:tcPr>
          <w:p w14:paraId="529EC759" w14:textId="77777777" w:rsidR="00B02873" w:rsidRDefault="00B02873" w:rsidP="00304BA6">
            <w:pPr>
              <w:pStyle w:val="TablebodyleftTables"/>
              <w:jc w:val="right"/>
            </w:pPr>
            <w:r>
              <w:t>769,765</w:t>
            </w:r>
          </w:p>
        </w:tc>
        <w:tc>
          <w:tcPr>
            <w:tcW w:w="1248" w:type="dxa"/>
          </w:tcPr>
          <w:p w14:paraId="305280DE" w14:textId="77777777" w:rsidR="00B02873" w:rsidRDefault="00B02873" w:rsidP="00304BA6">
            <w:pPr>
              <w:pStyle w:val="TablebodyleftTables"/>
              <w:jc w:val="right"/>
            </w:pPr>
            <w:r>
              <w:t>(97,689)</w:t>
            </w:r>
          </w:p>
        </w:tc>
        <w:tc>
          <w:tcPr>
            <w:tcW w:w="1248" w:type="dxa"/>
          </w:tcPr>
          <w:p w14:paraId="68268ED3" w14:textId="77777777" w:rsidR="00B02873" w:rsidRDefault="00B02873" w:rsidP="00304BA6">
            <w:pPr>
              <w:pStyle w:val="TablebodyleftTables"/>
              <w:jc w:val="right"/>
            </w:pPr>
            <w:r>
              <w:t>186,546</w:t>
            </w:r>
          </w:p>
        </w:tc>
        <w:tc>
          <w:tcPr>
            <w:tcW w:w="1249" w:type="dxa"/>
          </w:tcPr>
          <w:p w14:paraId="2A422E1D" w14:textId="77777777" w:rsidR="00B02873" w:rsidRDefault="00B02873" w:rsidP="00304BA6">
            <w:pPr>
              <w:pStyle w:val="TablebodyleftTables"/>
              <w:jc w:val="right"/>
            </w:pPr>
            <w:r>
              <w:t>316,965</w:t>
            </w:r>
          </w:p>
        </w:tc>
      </w:tr>
      <w:tr w:rsidR="00B02873" w:rsidRPr="00B02873" w14:paraId="32C1005A" w14:textId="77777777" w:rsidTr="00524BF0">
        <w:tc>
          <w:tcPr>
            <w:tcW w:w="3397" w:type="dxa"/>
          </w:tcPr>
          <w:p w14:paraId="567981AA" w14:textId="77777777" w:rsidR="00B02873" w:rsidRDefault="00B02873" w:rsidP="00B415A9">
            <w:pPr>
              <w:pStyle w:val="TablebodyleftTables"/>
            </w:pPr>
            <w:r>
              <w:t>Net cash flow from operating activities</w:t>
            </w:r>
          </w:p>
        </w:tc>
        <w:tc>
          <w:tcPr>
            <w:tcW w:w="1248" w:type="dxa"/>
          </w:tcPr>
          <w:p w14:paraId="0E7029A2" w14:textId="77777777" w:rsidR="00B02873" w:rsidRDefault="00B02873" w:rsidP="00304BA6">
            <w:pPr>
              <w:pStyle w:val="TablebodyleftTables"/>
              <w:jc w:val="right"/>
            </w:pPr>
            <w:r>
              <w:t>215,478</w:t>
            </w:r>
          </w:p>
        </w:tc>
        <w:tc>
          <w:tcPr>
            <w:tcW w:w="1248" w:type="dxa"/>
          </w:tcPr>
          <w:p w14:paraId="7FF9DB47" w14:textId="77777777" w:rsidR="00B02873" w:rsidRDefault="00B02873" w:rsidP="00304BA6">
            <w:pPr>
              <w:pStyle w:val="TablebodyleftTables"/>
              <w:jc w:val="right"/>
            </w:pPr>
            <w:r>
              <w:t>(31,678)</w:t>
            </w:r>
          </w:p>
        </w:tc>
        <w:tc>
          <w:tcPr>
            <w:tcW w:w="1248" w:type="dxa"/>
          </w:tcPr>
          <w:p w14:paraId="2F5E322C" w14:textId="77777777" w:rsidR="00B02873" w:rsidRDefault="00B02873" w:rsidP="00304BA6">
            <w:pPr>
              <w:pStyle w:val="TablebodyleftTables"/>
              <w:jc w:val="right"/>
            </w:pPr>
            <w:r>
              <w:t>69,824</w:t>
            </w:r>
          </w:p>
        </w:tc>
        <w:tc>
          <w:tcPr>
            <w:tcW w:w="1248" w:type="dxa"/>
          </w:tcPr>
          <w:p w14:paraId="4BB793BB" w14:textId="77777777" w:rsidR="00B02873" w:rsidRDefault="00B02873" w:rsidP="00304BA6">
            <w:pPr>
              <w:pStyle w:val="TablebodyleftTables"/>
              <w:jc w:val="right"/>
            </w:pPr>
            <w:r>
              <w:t>17,991</w:t>
            </w:r>
          </w:p>
        </w:tc>
        <w:tc>
          <w:tcPr>
            <w:tcW w:w="1249" w:type="dxa"/>
          </w:tcPr>
          <w:p w14:paraId="5CAB4D4A" w14:textId="77777777" w:rsidR="00B02873" w:rsidRDefault="00B02873" w:rsidP="00304BA6">
            <w:pPr>
              <w:pStyle w:val="TablebodyleftTables"/>
              <w:jc w:val="right"/>
            </w:pPr>
            <w:r>
              <w:t>134,556</w:t>
            </w:r>
          </w:p>
        </w:tc>
      </w:tr>
      <w:tr w:rsidR="00B02873" w:rsidRPr="00B02873" w14:paraId="15E16F5D" w14:textId="77777777" w:rsidTr="00524BF0">
        <w:tc>
          <w:tcPr>
            <w:tcW w:w="3397" w:type="dxa"/>
          </w:tcPr>
          <w:p w14:paraId="313748D3" w14:textId="77777777" w:rsidR="00B02873" w:rsidRDefault="00B02873" w:rsidP="00B415A9">
            <w:pPr>
              <w:pStyle w:val="TableheadingleftTables"/>
            </w:pPr>
            <w:r>
              <w:t>Total assets</w:t>
            </w:r>
          </w:p>
        </w:tc>
        <w:tc>
          <w:tcPr>
            <w:tcW w:w="1248" w:type="dxa"/>
          </w:tcPr>
          <w:p w14:paraId="30F18F1C" w14:textId="77777777" w:rsidR="00B02873" w:rsidRPr="00524BF0" w:rsidRDefault="00B02873" w:rsidP="00304BA6">
            <w:pPr>
              <w:jc w:val="right"/>
              <w:rPr>
                <w:b/>
                <w:bCs/>
              </w:rPr>
            </w:pPr>
            <w:r w:rsidRPr="00524BF0">
              <w:rPr>
                <w:b/>
                <w:bCs/>
              </w:rPr>
              <w:t>12,210,155</w:t>
            </w:r>
          </w:p>
        </w:tc>
        <w:tc>
          <w:tcPr>
            <w:tcW w:w="1248" w:type="dxa"/>
          </w:tcPr>
          <w:p w14:paraId="3E0BF173" w14:textId="77777777" w:rsidR="00B02873" w:rsidRPr="00524BF0" w:rsidRDefault="00B02873" w:rsidP="00304BA6">
            <w:pPr>
              <w:jc w:val="right"/>
              <w:rPr>
                <w:b/>
                <w:bCs/>
              </w:rPr>
            </w:pPr>
            <w:r w:rsidRPr="00524BF0">
              <w:rPr>
                <w:b/>
                <w:bCs/>
              </w:rPr>
              <w:t>10,344,722</w:t>
            </w:r>
          </w:p>
        </w:tc>
        <w:tc>
          <w:tcPr>
            <w:tcW w:w="1248" w:type="dxa"/>
          </w:tcPr>
          <w:p w14:paraId="6B3A9F2B" w14:textId="77777777" w:rsidR="00B02873" w:rsidRPr="00524BF0" w:rsidRDefault="00B02873" w:rsidP="00304BA6">
            <w:pPr>
              <w:jc w:val="right"/>
              <w:rPr>
                <w:b/>
                <w:bCs/>
              </w:rPr>
            </w:pPr>
            <w:r w:rsidRPr="00524BF0">
              <w:rPr>
                <w:b/>
                <w:bCs/>
              </w:rPr>
              <w:t>8,487,868</w:t>
            </w:r>
          </w:p>
        </w:tc>
        <w:tc>
          <w:tcPr>
            <w:tcW w:w="1248" w:type="dxa"/>
          </w:tcPr>
          <w:p w14:paraId="42F91F05" w14:textId="77777777" w:rsidR="00B02873" w:rsidRPr="00524BF0" w:rsidRDefault="00B02873" w:rsidP="00304BA6">
            <w:pPr>
              <w:jc w:val="right"/>
              <w:rPr>
                <w:b/>
                <w:bCs/>
              </w:rPr>
            </w:pPr>
            <w:r w:rsidRPr="00524BF0">
              <w:rPr>
                <w:b/>
                <w:bCs/>
              </w:rPr>
              <w:t>9,029,020</w:t>
            </w:r>
          </w:p>
        </w:tc>
        <w:tc>
          <w:tcPr>
            <w:tcW w:w="1249" w:type="dxa"/>
          </w:tcPr>
          <w:p w14:paraId="6A27D9F5" w14:textId="77777777" w:rsidR="00B02873" w:rsidRPr="00524BF0" w:rsidRDefault="00B02873" w:rsidP="00304BA6">
            <w:pPr>
              <w:jc w:val="right"/>
              <w:rPr>
                <w:b/>
                <w:bCs/>
              </w:rPr>
            </w:pPr>
            <w:r w:rsidRPr="00524BF0">
              <w:rPr>
                <w:b/>
                <w:bCs/>
              </w:rPr>
              <w:t>11,664,496</w:t>
            </w:r>
          </w:p>
        </w:tc>
      </w:tr>
      <w:tr w:rsidR="00B02873" w:rsidRPr="00B02873" w14:paraId="74A1F95B" w14:textId="77777777" w:rsidTr="00524BF0">
        <w:tc>
          <w:tcPr>
            <w:tcW w:w="3397" w:type="dxa"/>
          </w:tcPr>
          <w:p w14:paraId="0479F0B8" w14:textId="77777777" w:rsidR="00B02873" w:rsidRDefault="00B02873" w:rsidP="00B415A9">
            <w:pPr>
              <w:pStyle w:val="TableheadingleftTables"/>
            </w:pPr>
            <w:r>
              <w:t>Total liabilities</w:t>
            </w:r>
          </w:p>
        </w:tc>
        <w:tc>
          <w:tcPr>
            <w:tcW w:w="1248" w:type="dxa"/>
          </w:tcPr>
          <w:p w14:paraId="55148395" w14:textId="77777777" w:rsidR="00B02873" w:rsidRPr="00524BF0" w:rsidRDefault="00B02873" w:rsidP="00304BA6">
            <w:pPr>
              <w:jc w:val="right"/>
              <w:rPr>
                <w:b/>
                <w:bCs/>
              </w:rPr>
            </w:pPr>
            <w:r w:rsidRPr="00524BF0">
              <w:rPr>
                <w:b/>
                <w:bCs/>
              </w:rPr>
              <w:t>894,127</w:t>
            </w:r>
          </w:p>
        </w:tc>
        <w:tc>
          <w:tcPr>
            <w:tcW w:w="1248" w:type="dxa"/>
          </w:tcPr>
          <w:p w14:paraId="0F08C293" w14:textId="77777777" w:rsidR="00B02873" w:rsidRPr="00524BF0" w:rsidRDefault="00B02873" w:rsidP="00304BA6">
            <w:pPr>
              <w:jc w:val="right"/>
              <w:rPr>
                <w:b/>
                <w:bCs/>
              </w:rPr>
            </w:pPr>
            <w:r w:rsidRPr="00524BF0">
              <w:rPr>
                <w:b/>
                <w:bCs/>
              </w:rPr>
              <w:t>740,993</w:t>
            </w:r>
          </w:p>
        </w:tc>
        <w:tc>
          <w:tcPr>
            <w:tcW w:w="1248" w:type="dxa"/>
          </w:tcPr>
          <w:p w14:paraId="5E1D33E7" w14:textId="77777777" w:rsidR="00B02873" w:rsidRPr="00524BF0" w:rsidRDefault="00B02873" w:rsidP="00304BA6">
            <w:pPr>
              <w:jc w:val="right"/>
              <w:rPr>
                <w:b/>
                <w:bCs/>
              </w:rPr>
            </w:pPr>
            <w:r w:rsidRPr="00524BF0">
              <w:rPr>
                <w:b/>
                <w:bCs/>
              </w:rPr>
              <w:t>430,920</w:t>
            </w:r>
          </w:p>
        </w:tc>
        <w:tc>
          <w:tcPr>
            <w:tcW w:w="1248" w:type="dxa"/>
          </w:tcPr>
          <w:p w14:paraId="215D0F18" w14:textId="77777777" w:rsidR="00B02873" w:rsidRPr="00524BF0" w:rsidRDefault="00B02873" w:rsidP="00304BA6">
            <w:pPr>
              <w:jc w:val="right"/>
              <w:rPr>
                <w:b/>
                <w:bCs/>
              </w:rPr>
            </w:pPr>
            <w:r w:rsidRPr="00524BF0">
              <w:rPr>
                <w:b/>
                <w:bCs/>
              </w:rPr>
              <w:t>416,018</w:t>
            </w:r>
          </w:p>
        </w:tc>
        <w:tc>
          <w:tcPr>
            <w:tcW w:w="1249" w:type="dxa"/>
          </w:tcPr>
          <w:p w14:paraId="0A18CDF5" w14:textId="77777777" w:rsidR="00B02873" w:rsidRPr="00524BF0" w:rsidRDefault="00B02873" w:rsidP="00304BA6">
            <w:pPr>
              <w:jc w:val="right"/>
              <w:rPr>
                <w:b/>
                <w:bCs/>
              </w:rPr>
            </w:pPr>
            <w:r w:rsidRPr="00524BF0">
              <w:rPr>
                <w:b/>
                <w:bCs/>
              </w:rPr>
              <w:t>382,475</w:t>
            </w:r>
          </w:p>
        </w:tc>
      </w:tr>
    </w:tbl>
    <w:p w14:paraId="55F7BFAC" w14:textId="77777777" w:rsidR="00B02873" w:rsidRPr="00524BF0" w:rsidRDefault="00B02873" w:rsidP="00524BF0">
      <w:pPr>
        <w:pStyle w:val="SourceNote"/>
        <w:rPr>
          <w:b/>
          <w:bCs/>
        </w:rPr>
      </w:pPr>
      <w:r w:rsidRPr="00524BF0">
        <w:rPr>
          <w:b/>
          <w:bCs/>
        </w:rPr>
        <w:t>Notes:</w:t>
      </w:r>
    </w:p>
    <w:p w14:paraId="1C80FFF4" w14:textId="77777777" w:rsidR="00B02873" w:rsidRDefault="00B02873" w:rsidP="001128B1">
      <w:pPr>
        <w:pStyle w:val="SourceNotenumbered"/>
        <w:numPr>
          <w:ilvl w:val="0"/>
          <w:numId w:val="71"/>
        </w:numPr>
      </w:pPr>
      <w:r>
        <w:t>Income from government includes both output and special appropriations.</w:t>
      </w:r>
    </w:p>
    <w:p w14:paraId="1BE7FEA5" w14:textId="77777777" w:rsidR="00B02873" w:rsidRDefault="00B02873" w:rsidP="00304BA6">
      <w:pPr>
        <w:pStyle w:val="SourceNotenumbered"/>
      </w:pPr>
      <w:r>
        <w:t>The ‘net result from transactions’ is identical to the ‘net operating balance’ for the general government sector.</w:t>
      </w:r>
    </w:p>
    <w:p w14:paraId="2E20D2F7" w14:textId="77777777" w:rsidR="00B02873" w:rsidRDefault="00B02873" w:rsidP="00304BA6">
      <w:pPr>
        <w:pStyle w:val="SourceNotenumbered"/>
      </w:pPr>
      <w:r>
        <w:t>The comparative amounts in the five-year financial summary are not restated for the Machinery of Government change.</w:t>
      </w:r>
    </w:p>
    <w:p w14:paraId="3C4A0B19" w14:textId="77777777" w:rsidR="00B02873" w:rsidRDefault="00B02873" w:rsidP="00304BA6">
      <w:pPr>
        <w:pStyle w:val="SourceNotenumbered"/>
      </w:pPr>
      <w:r>
        <w:t>Total income and expenses from transactions have been revised for 2020 following a review of the department’s chart of accounts and reclassifications to reflect classifications used by the Department of Treasury and Finance whole-of-government reporting.</w:t>
      </w:r>
    </w:p>
    <w:p w14:paraId="7F988EDA" w14:textId="77777777" w:rsidR="00B02873" w:rsidRDefault="00B02873" w:rsidP="00FA43C4">
      <w:pPr>
        <w:pStyle w:val="Heading2Headings"/>
      </w:pPr>
      <w:bookmarkStart w:id="24" w:name="Current_year_financial_review"/>
      <w:r>
        <w:t>Current year financial review</w:t>
      </w:r>
      <w:bookmarkEnd w:id="24"/>
    </w:p>
    <w:p w14:paraId="1AAD3A0F" w14:textId="77777777" w:rsidR="00B02873" w:rsidRDefault="00B02873" w:rsidP="00524BF0">
      <w:pPr>
        <w:pStyle w:val="Heading3"/>
      </w:pPr>
      <w:r>
        <w:t xml:space="preserve">Overview </w:t>
      </w:r>
    </w:p>
    <w:p w14:paraId="0299047B" w14:textId="77777777" w:rsidR="00B02873" w:rsidRDefault="00B02873" w:rsidP="00FE198A">
      <w:r>
        <w:t>The Victorian Government considers the net result from transactions to be the appropriate measure of financial management that can be directly attributed to government policy. This measure excludes the effects of revaluations (holding gains or losses) arising from changes in market prices and other changes in the volume of assets shown under ‘other economic flows’ on the comprehensive operating statement, which are outside the control of the department.</w:t>
      </w:r>
    </w:p>
    <w:p w14:paraId="434D8A8C" w14:textId="77777777" w:rsidR="00B02873" w:rsidRDefault="00B02873" w:rsidP="00FE198A">
      <w:r>
        <w:t xml:space="preserve">In 2021-22, DELWP recorded a net result from transactions of $131.7 million, higher by $158.5 million on the 2020-21 net deficit of $26.8 million. </w:t>
      </w:r>
    </w:p>
    <w:p w14:paraId="10C8E89E" w14:textId="77777777" w:rsidR="00B02873" w:rsidRDefault="00B02873" w:rsidP="00524BF0">
      <w:pPr>
        <w:pStyle w:val="Heading3"/>
      </w:pPr>
      <w:r>
        <w:lastRenderedPageBreak/>
        <w:t>The coronavirus (COVID-19) pandemic and its impact on the financial statement</w:t>
      </w:r>
    </w:p>
    <w:p w14:paraId="0690B205" w14:textId="77777777" w:rsidR="00B02873" w:rsidRDefault="00B02873" w:rsidP="00FE198A">
      <w:r>
        <w:rPr>
          <w:spacing w:val="-2"/>
        </w:rPr>
        <w:t>In 2020 and 2021 the Victorian government introduced COVIDSafe settings across Victoria to slow the spread of COVID-19 by reducing the number of people leaving their homes and moving around Victoria. This has had an impact on the operating and economic environment for the department and a number of policies and directions were introduced to assist, such as providing rent relief to lessees, establishing remote working environments for employees, and managing the distribution of funds for portfolio agencies and key stakeholders.</w:t>
      </w:r>
    </w:p>
    <w:p w14:paraId="780A1B44" w14:textId="77777777" w:rsidR="00B02873" w:rsidRDefault="00B02873" w:rsidP="00FE198A">
      <w:r>
        <w:t>The impacts of COVID-19 on the department’s financial performance and financial position have been considered in the preparation of the 2021-22 Annual Report. Detailed impacts of the pandemic have been disclosed in the financial statements section of this report.</w:t>
      </w:r>
    </w:p>
    <w:p w14:paraId="36C4FB69" w14:textId="77777777" w:rsidR="00B02873" w:rsidRDefault="00B02873" w:rsidP="00524BF0">
      <w:pPr>
        <w:pStyle w:val="Heading3"/>
      </w:pPr>
      <w:r>
        <w:t>Financial performance and business review</w:t>
      </w:r>
    </w:p>
    <w:p w14:paraId="3DEDC0CA" w14:textId="77777777" w:rsidR="00B02873" w:rsidRDefault="00B02873" w:rsidP="00FE198A">
      <w:r>
        <w:rPr>
          <w:spacing w:val="-2"/>
        </w:rPr>
        <w:t xml:space="preserve">In 2021-22, DELWP recorded a net surplus from transactions. The increase in total income of $89 million and a decrease in total expenses from transactions of $69 million resulted in total income exceeding total expenses. </w:t>
      </w:r>
    </w:p>
    <w:p w14:paraId="6509D076" w14:textId="77777777" w:rsidR="00B02873" w:rsidRDefault="00B02873" w:rsidP="00FE198A">
      <w:r>
        <w:t>The observed increase in total income is largely attributable to the increase in Municipal and Industrial Waste Levy, special appropriations and initial recognition income from financial instruments. This is partly offset by reductions in output appropriations and grants revenue.</w:t>
      </w:r>
    </w:p>
    <w:p w14:paraId="448F18DB" w14:textId="77777777" w:rsidR="00B02873" w:rsidRDefault="00B02873" w:rsidP="00524BF0">
      <w:pPr>
        <w:pStyle w:val="Normalbeforebullet"/>
      </w:pPr>
      <w:r>
        <w:t>The increase in total income is primarily due to the following:</w:t>
      </w:r>
    </w:p>
    <w:p w14:paraId="40B9692B" w14:textId="77777777" w:rsidR="00B02873" w:rsidRDefault="00B02873" w:rsidP="00B02873">
      <w:pPr>
        <w:pStyle w:val="Bullet1Lists"/>
      </w:pPr>
      <w:r>
        <w:t xml:space="preserve">An increase of $169 million for Municipal and Industrial Waste Levy due to the increase in waste levy rates which came into effect on 1 July 2021. The metro rate increased from $65.90 in 2020-21 to $105.90 in 2021-22. Likewise, the regional rate increased from $33 (municipal) and $57.76 (industrial) to $53 and $93.20 respectively. </w:t>
      </w:r>
    </w:p>
    <w:p w14:paraId="240467C5" w14:textId="77777777" w:rsidR="00B02873" w:rsidRDefault="00B02873" w:rsidP="00B02873">
      <w:pPr>
        <w:pStyle w:val="Bullet1Lists"/>
      </w:pPr>
      <w:r>
        <w:t>Initial recognition income from financial instruments of $55 million for the initial recognition of the Bulgana derivative financial instrument following achievement of commercial operation in December 2021.</w:t>
      </w:r>
    </w:p>
    <w:p w14:paraId="580DBF8A" w14:textId="77777777" w:rsidR="00B02873" w:rsidRDefault="00B02873" w:rsidP="00B02873">
      <w:pPr>
        <w:pStyle w:val="Bullet1Lists"/>
      </w:pPr>
      <w:r>
        <w:t>An increase of $59 million in special appropriations for the Growth Areas Infrastructure Contribution.</w:t>
      </w:r>
    </w:p>
    <w:p w14:paraId="2279FC35" w14:textId="77777777" w:rsidR="00B02873" w:rsidRDefault="00B02873" w:rsidP="00524BF0">
      <w:pPr>
        <w:pStyle w:val="Bullet1Listslast"/>
      </w:pPr>
      <w:r>
        <w:t>An increase on other income by $17 million relating to habitat compensation associated with the Melbourne Strategic Assessment Program.</w:t>
      </w:r>
    </w:p>
    <w:p w14:paraId="3CCD4662" w14:textId="77777777" w:rsidR="00B02873" w:rsidRDefault="00B02873" w:rsidP="00524BF0">
      <w:pPr>
        <w:pStyle w:val="Normalbeforebullet"/>
      </w:pPr>
      <w:r>
        <w:t>The increase in total income was partly offset by:</w:t>
      </w:r>
    </w:p>
    <w:p w14:paraId="2A12023B" w14:textId="77777777" w:rsidR="00B02873" w:rsidRDefault="00B02873" w:rsidP="00B02873">
      <w:pPr>
        <w:pStyle w:val="Bullet1Lists"/>
      </w:pPr>
      <w:r>
        <w:t>Reductions of $163 million in output appropriations in line with annual parliamentary appropriations.</w:t>
      </w:r>
    </w:p>
    <w:p w14:paraId="0FEC691A" w14:textId="77777777" w:rsidR="00B02873" w:rsidRDefault="00B02873" w:rsidP="00524BF0">
      <w:pPr>
        <w:pStyle w:val="Bullet1Listslast"/>
      </w:pPr>
      <w:r>
        <w:t xml:space="preserve">Grant income also decreased, by $57 million, mainly due to the wind down of the Goulburn Murray Water Connections Project – Stage 2 and one-off grant payments made in 2020-21 relating to recovery following the 2019-20 bushfires and COVID-19 pandemic. </w:t>
      </w:r>
    </w:p>
    <w:p w14:paraId="7B88D1D9" w14:textId="77777777" w:rsidR="00B02873" w:rsidRDefault="00B02873" w:rsidP="00524BF0">
      <w:pPr>
        <w:pStyle w:val="Normalbeforebullet"/>
      </w:pPr>
      <w:r>
        <w:t>The decrease in expenditure of $69 million is driven by prior year expenditure including:</w:t>
      </w:r>
    </w:p>
    <w:p w14:paraId="4AE77601" w14:textId="77777777" w:rsidR="00B02873" w:rsidRDefault="00B02873" w:rsidP="00B02873">
      <w:pPr>
        <w:pStyle w:val="Bullet1Lists"/>
      </w:pPr>
      <w:r>
        <w:t xml:space="preserve">The initial recognition expense from financial instruments of $200 million relating to support to secure Victoria’s energy supply and support for the transition to renewable energy generation. </w:t>
      </w:r>
    </w:p>
    <w:p w14:paraId="2CA6EE17" w14:textId="226831ED" w:rsidR="00B02873" w:rsidRDefault="00B02873" w:rsidP="00B02873">
      <w:pPr>
        <w:pStyle w:val="Bullet1Lists"/>
      </w:pPr>
      <w:r>
        <w:t>A decrease in the capital asset charge of $96 million also contributed to the decline, following discontinuance on 1 July 2021.</w:t>
      </w:r>
      <w:r w:rsidR="00012C04">
        <w:t xml:space="preserve"> </w:t>
      </w:r>
    </w:p>
    <w:p w14:paraId="1B08A726" w14:textId="3856DC9D" w:rsidR="00B02873" w:rsidRDefault="00B02873" w:rsidP="00524BF0">
      <w:pPr>
        <w:pStyle w:val="Bullet1Listslast"/>
      </w:pPr>
      <w:r>
        <w:t xml:space="preserve">A decrease in grants and other transfers of $54 million. </w:t>
      </w:r>
    </w:p>
    <w:p w14:paraId="36011886" w14:textId="77777777" w:rsidR="00B02873" w:rsidRDefault="00B02873" w:rsidP="00524BF0">
      <w:pPr>
        <w:pStyle w:val="Normalbeforebullet"/>
      </w:pPr>
      <w:r>
        <w:t xml:space="preserve">This has been partly offset by: </w:t>
      </w:r>
    </w:p>
    <w:p w14:paraId="63169D9A" w14:textId="77777777" w:rsidR="00B02873" w:rsidRDefault="00B02873" w:rsidP="00B02873">
      <w:pPr>
        <w:pStyle w:val="Bullet1Lists"/>
      </w:pPr>
      <w:r>
        <w:t xml:space="preserve">An increase in supplies and services by $118 million predominantly due to compensation payments to landowners. </w:t>
      </w:r>
    </w:p>
    <w:p w14:paraId="75A8FD60" w14:textId="77777777" w:rsidR="00B02873" w:rsidRDefault="00B02873" w:rsidP="00B02873">
      <w:pPr>
        <w:pStyle w:val="Bullet1Lists"/>
      </w:pPr>
      <w:r>
        <w:lastRenderedPageBreak/>
        <w:t>An increase in employee expenses by $83 million mainly due to increased salaries and wages expenditure attributable to an increase in employee numbers, particularly for emergency management, Enterprise Bargaining Agreement salary increases of 2.75 percent and early retirement packages offered to employees impacted by restructuring arrangements.</w:t>
      </w:r>
    </w:p>
    <w:p w14:paraId="6F0D434F" w14:textId="77777777" w:rsidR="00B02873" w:rsidRDefault="00B02873" w:rsidP="00524BF0">
      <w:pPr>
        <w:pStyle w:val="Bullet1Listslast"/>
      </w:pPr>
      <w:r>
        <w:t xml:space="preserve">The first-time repayment of loans under the Solar Home scheme to the Department of Treasury and Finance, of $74 million. </w:t>
      </w:r>
    </w:p>
    <w:p w14:paraId="6ADC1C37" w14:textId="77777777" w:rsidR="00B02873" w:rsidRDefault="00B02873" w:rsidP="00FE198A">
      <w:r>
        <w:t>Other economic flows included in the net result had a gain of $482 million, a decrease of $315 million from 2020-21. A gain on financial instruments of $381 million was recorded in 2021-22 due to an increase in the fair value of derivative financial instruments resulting from the Victorian Renewable Energy Targets, an increase of $470 million</w:t>
      </w:r>
      <w:r>
        <w:rPr>
          <w:spacing w:val="-2"/>
        </w:rPr>
        <w:t>.</w:t>
      </w:r>
    </w:p>
    <w:p w14:paraId="19336730" w14:textId="77777777" w:rsidR="00B02873" w:rsidRDefault="00B02873" w:rsidP="00524BF0">
      <w:pPr>
        <w:pStyle w:val="Heading3"/>
      </w:pPr>
      <w:r>
        <w:t>Financial position – balance sheet</w:t>
      </w:r>
    </w:p>
    <w:p w14:paraId="640A63FE" w14:textId="77777777" w:rsidR="00B02873" w:rsidRDefault="00B02873" w:rsidP="00FE198A">
      <w:r>
        <w:t>DELWP’s net assets increased by $1.7 billion from the 2021 financial year to $11.3 billion.</w:t>
      </w:r>
    </w:p>
    <w:p w14:paraId="7DAAF304" w14:textId="77777777" w:rsidR="00B02873" w:rsidRDefault="00B02873" w:rsidP="00FE198A">
      <w:r>
        <w:t xml:space="preserve">The observed increase in total assets, by $1.9 billion to $12.2 billion, is largely attributable to the increase in property, plant and equipment, derivative financial instruments and receivables. </w:t>
      </w:r>
    </w:p>
    <w:p w14:paraId="2239E84D" w14:textId="229E4F25" w:rsidR="00B02873" w:rsidRDefault="00B02873" w:rsidP="00FE198A">
      <w:r>
        <w:t>Property, plant and equipment increased by $1.3 billion due to the managerial revaluation of land resulting from the 17 percent increase in land values and, to a lesser extent, land purchases in progress relating to compulsory land acquisitions for the Suburban Parks program. Derivative financial instruments increased by $349 million attributable to the fair value assessment of the derivatives relating to the Victorian Renewable Energy Targets which resulted in a gain for 2021-22. The increase in receivables of $193 million is largely due to the waste levy receivable from the Environment Protection Authority which is linked to the rise in waste levy rates which came into effect on 1 July 2021.</w:t>
      </w:r>
      <w:r w:rsidR="00012C04">
        <w:t xml:space="preserve"> </w:t>
      </w:r>
    </w:p>
    <w:p w14:paraId="22919197" w14:textId="77777777" w:rsidR="00B02873" w:rsidRDefault="00B02873" w:rsidP="00FE198A">
      <w:r>
        <w:t>Total liabilities increased by $153 million primarily due to an increase in the provision for compulsory land acquisition relating to the Suburban Parks program ($133 million) and an increase in employee benefit provisions ($16 million), Enterprise Bargaining Agreement salary increases of 2.75 percent and a rise in oncosts for superannuation and the mental health and wellbeing surcharge.</w:t>
      </w:r>
    </w:p>
    <w:p w14:paraId="458B0980" w14:textId="77777777" w:rsidR="00B02873" w:rsidRDefault="00B02873" w:rsidP="00524BF0">
      <w:pPr>
        <w:pStyle w:val="Heading3"/>
      </w:pPr>
      <w:r>
        <w:t>Cash flows</w:t>
      </w:r>
    </w:p>
    <w:p w14:paraId="01F83D75" w14:textId="77777777" w:rsidR="00B02873" w:rsidRDefault="00B02873" w:rsidP="00FE198A">
      <w:r>
        <w:t>DELWP’s net cash inflow from operating activities increased by $247.2 million resulting in an overall net cash inflow of $215.5 million. This increase reflects DELWP’s net result from transactions for the year, adjusted for the impact of non-cash items such as depreciation.</w:t>
      </w:r>
    </w:p>
    <w:p w14:paraId="2B5A6FB2" w14:textId="77777777" w:rsidR="00B02873" w:rsidRDefault="00B02873" w:rsidP="00524BF0">
      <w:pPr>
        <w:pStyle w:val="Heading3"/>
      </w:pPr>
      <w:bookmarkStart w:id="25" w:name="Subsequent_events"/>
      <w:r>
        <w:t>Subsequent events</w:t>
      </w:r>
      <w:bookmarkEnd w:id="25"/>
    </w:p>
    <w:p w14:paraId="477BD05D" w14:textId="77777777" w:rsidR="00B02873" w:rsidRDefault="00B02873" w:rsidP="00524BF0">
      <w:pPr>
        <w:pStyle w:val="Heading4"/>
      </w:pPr>
      <w:r>
        <w:t>Establishment of Recycling Victoria</w:t>
      </w:r>
    </w:p>
    <w:p w14:paraId="73F56250" w14:textId="77777777" w:rsidR="00B02873" w:rsidRDefault="00B02873" w:rsidP="00FE198A">
      <w:r>
        <w:rPr>
          <w:spacing w:val="-2"/>
        </w:rPr>
        <w:t xml:space="preserve">On 14 December 2021, the </w:t>
      </w:r>
      <w:r w:rsidRPr="00524BF0">
        <w:rPr>
          <w:rStyle w:val="LightItalic"/>
          <w:rFonts w:asciiTheme="minorHAnsi" w:hAnsiTheme="minorHAnsi" w:cstheme="minorHAnsi"/>
          <w:spacing w:val="-2"/>
        </w:rPr>
        <w:t>Circular Economy (Waste Reduction and Recycling) Act 2021</w:t>
      </w:r>
      <w:r>
        <w:rPr>
          <w:spacing w:val="-2"/>
        </w:rPr>
        <w:t xml:space="preserve"> received royal assent. The Act saw the establishment of Recycling Victoria on 1 July 2022, a dedicated business unit within DELWP that provides strategic leadership and oversight of the waste and recycling sector. On commencement, the seven Waste and Resource Recovery Groups (WRRGs), as well as the infrastructure planning function performed by Sustainability Victoria transferred to DELWP. The assets and liabilities of the WRRGs and the Sustainability Victoria function will transfer to DELWP via contributed capital as per the requirement of Financial Reporting Direction 119 on 1 July 2022. The estimated amount of total net assets to be transferred is $7 million</w:t>
      </w:r>
      <w:r>
        <w:t>.</w:t>
      </w:r>
    </w:p>
    <w:p w14:paraId="27C991CC" w14:textId="77777777" w:rsidR="00B02873" w:rsidRDefault="00B02873" w:rsidP="00FA43C4">
      <w:pPr>
        <w:pStyle w:val="Heading2Headings"/>
      </w:pPr>
      <w:r>
        <w:lastRenderedPageBreak/>
        <w:t>Financial governance</w:t>
      </w:r>
    </w:p>
    <w:p w14:paraId="7AEB06F6" w14:textId="77777777" w:rsidR="00B02873" w:rsidRDefault="00B02873" w:rsidP="00FE198A">
      <w:r>
        <w:t xml:space="preserve">The department diligently exercises its various financial management obligations which include compliance with the provisions of the </w:t>
      </w:r>
      <w:r w:rsidRPr="005773A2">
        <w:rPr>
          <w:rStyle w:val="LightItalic"/>
          <w:rFonts w:asciiTheme="minorHAnsi" w:hAnsiTheme="minorHAnsi" w:cstheme="minorHAnsi"/>
        </w:rPr>
        <w:t>Financial Management Act 1994</w:t>
      </w:r>
      <w:r w:rsidRPr="005773A2">
        <w:rPr>
          <w:rFonts w:asciiTheme="minorHAnsi" w:hAnsiTheme="minorHAnsi" w:cstheme="minorHAnsi"/>
        </w:rPr>
        <w:t>,</w:t>
      </w:r>
      <w:r>
        <w:t xml:space="preserve"> the Standing Directions 2018 under the </w:t>
      </w:r>
      <w:r w:rsidRPr="005773A2">
        <w:rPr>
          <w:rFonts w:asciiTheme="minorHAnsi" w:hAnsiTheme="minorHAnsi" w:cstheme="minorHAnsi"/>
          <w:i/>
          <w:iCs/>
        </w:rPr>
        <w:t>Financial Management Act 1994</w:t>
      </w:r>
      <w:r>
        <w:t xml:space="preserve"> (directions) and taxation legislation. </w:t>
      </w:r>
    </w:p>
    <w:p w14:paraId="257712FD" w14:textId="77777777" w:rsidR="00B02873" w:rsidRDefault="00B02873" w:rsidP="00FE198A">
      <w:r>
        <w:t xml:space="preserve">The department’s compliance with the directions is formally assessed at 30 June each year. The department prepares and publishes in its annual report, a public attestation of its material compliance with direction requirements. There is also a rolling internal audit program in place to review the department’s compliance with the directions. </w:t>
      </w:r>
    </w:p>
    <w:p w14:paraId="6420450E" w14:textId="10A40371" w:rsidR="00B02873" w:rsidRDefault="00B02873" w:rsidP="00FE198A">
      <w:r>
        <w:t xml:space="preserve">The department also maintains financial policies and procedures to ensure good governance, effective internal controls and consistency with financial reporting. These documents are reviewed regularly and updated as appropriate to ensure ongoing relevance and conformance to external reporting requirements. </w:t>
      </w:r>
    </w:p>
    <w:p w14:paraId="45061F6C" w14:textId="29B4273B" w:rsidR="00B02873" w:rsidRDefault="00B02873" w:rsidP="00FE198A">
      <w:r>
        <w:t>Financial transactions are subject to regular compliance reviews by the Financial Compliance team within the Finance, Infrastructure and Procurement Services division in DELWP.</w:t>
      </w:r>
      <w:r w:rsidR="00012C04">
        <w:t xml:space="preserve"> </w:t>
      </w:r>
    </w:p>
    <w:p w14:paraId="16F05D4F" w14:textId="77777777" w:rsidR="00B02873" w:rsidRDefault="00B02873" w:rsidP="00FE198A">
      <w:r>
        <w:t xml:space="preserve">Governance of Financial Management (GOFM) training is mandatory for all new financial delegates within the department. Refresher GOFM training is to be undertaken every four years for financial delegations to be maintained. Governance and integrity training is available online and compulsory for all staff. </w:t>
      </w:r>
    </w:p>
    <w:p w14:paraId="1E3868D5" w14:textId="77777777" w:rsidR="00B02873" w:rsidRDefault="00B02873" w:rsidP="00FE198A">
      <w:r>
        <w:t xml:space="preserve">Leadership teams throughout the department actively participate in financial management. Financial compliance continues to be embedded into work practices. Regular communication of the requirements will continue through financial forums and daily work practices. </w:t>
      </w:r>
    </w:p>
    <w:p w14:paraId="751A71A4" w14:textId="77777777" w:rsidR="00B02873" w:rsidRDefault="00B02873" w:rsidP="00FE198A">
      <w:r>
        <w:t xml:space="preserve">These activities form part of the department’s commitment to championing a culture of integrity within the public sector. </w:t>
      </w:r>
    </w:p>
    <w:p w14:paraId="12869E9C" w14:textId="77777777" w:rsidR="00B02873" w:rsidRDefault="00B02873" w:rsidP="00FA43C4">
      <w:pPr>
        <w:pStyle w:val="Heading2Headings"/>
      </w:pPr>
      <w:r>
        <w:t xml:space="preserve">Budget portfolio outcome statements </w:t>
      </w:r>
    </w:p>
    <w:p w14:paraId="517F8E3A" w14:textId="77777777" w:rsidR="00B02873" w:rsidRDefault="00B02873" w:rsidP="00FE198A">
      <w:r>
        <w:t xml:space="preserve">A comparison of the budget portfolio outcome statements for the department, as published in the 2021-22 Budget Paper No. 5, and the actual results for the year can be found at Appendix 4. </w:t>
      </w:r>
    </w:p>
    <w:p w14:paraId="258032D2" w14:textId="77777777" w:rsidR="00B02873" w:rsidRDefault="00B02873" w:rsidP="005773A2">
      <w:pPr>
        <w:pStyle w:val="Heading3"/>
      </w:pPr>
      <w:bookmarkStart w:id="26" w:name="Attestation_for_financial_management"/>
      <w:bookmarkStart w:id="27" w:name="_Ref116975212"/>
      <w:r>
        <w:lastRenderedPageBreak/>
        <w:t xml:space="preserve">Attestation for financial management compliance </w:t>
      </w:r>
      <w:bookmarkEnd w:id="26"/>
      <w:r>
        <w:t>with Ministerial Standing Directions 5.1.4</w:t>
      </w:r>
      <w:bookmarkEnd w:id="27"/>
    </w:p>
    <w:p w14:paraId="422A5D68" w14:textId="7CBBF465" w:rsidR="00B02873" w:rsidRPr="005773A2" w:rsidRDefault="005773A2" w:rsidP="005773A2">
      <w:r>
        <w:rPr>
          <w:noProof/>
        </w:rPr>
        <w:drawing>
          <wp:inline distT="0" distB="0" distL="0" distR="0" wp14:anchorId="519BC41F" wp14:editId="33B50B1F">
            <wp:extent cx="5410211" cy="7876048"/>
            <wp:effectExtent l="0" t="0" r="0" b="0"/>
            <wp:docPr id="50" name="Picture 50" descr="Letter from the Department of Environment, Land, Water and Planning&#10;Financial Management Compliance Attestation Statement signed by John Brad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Letter from the Department of Environment, Land, Water and Planning&#10;Financial Management Compliance Attestation Statement signed by John Bradley"/>
                    <pic:cNvPicPr/>
                  </pic:nvPicPr>
                  <pic:blipFill>
                    <a:blip r:embed="rId78"/>
                    <a:stretch>
                      <a:fillRect/>
                    </a:stretch>
                  </pic:blipFill>
                  <pic:spPr>
                    <a:xfrm>
                      <a:off x="0" y="0"/>
                      <a:ext cx="5410211" cy="7876048"/>
                    </a:xfrm>
                    <a:prstGeom prst="rect">
                      <a:avLst/>
                    </a:prstGeom>
                  </pic:spPr>
                </pic:pic>
              </a:graphicData>
            </a:graphic>
          </wp:inline>
        </w:drawing>
      </w:r>
    </w:p>
    <w:p w14:paraId="05E1B2DC" w14:textId="77777777" w:rsidR="00B02873" w:rsidRDefault="00B02873" w:rsidP="00FE198A">
      <w:pPr>
        <w:pStyle w:val="Heading1"/>
      </w:pPr>
      <w:bookmarkStart w:id="28" w:name="_Toc117447363"/>
      <w:r>
        <w:lastRenderedPageBreak/>
        <w:t>Legislative and other information</w:t>
      </w:r>
      <w:bookmarkEnd w:id="28"/>
    </w:p>
    <w:p w14:paraId="3E974510" w14:textId="77777777" w:rsidR="00B02873" w:rsidRDefault="00B02873" w:rsidP="00FA43C4">
      <w:pPr>
        <w:pStyle w:val="Heading2Headings"/>
      </w:pPr>
      <w:r>
        <w:t>Major Entities</w:t>
      </w:r>
    </w:p>
    <w:p w14:paraId="4C4157EB" w14:textId="77777777" w:rsidR="00B02873" w:rsidRDefault="00B02873" w:rsidP="005773A2">
      <w:pPr>
        <w:pStyle w:val="Heading3"/>
      </w:pPr>
      <w:r>
        <w:t>Energy, Environment and Climate Action</w:t>
      </w:r>
    </w:p>
    <w:p w14:paraId="01D6BBCD" w14:textId="77777777" w:rsidR="00B02873" w:rsidRDefault="00B02873" w:rsidP="005773A2">
      <w:pPr>
        <w:pStyle w:val="Normalbeforebullet"/>
        <w:keepNext w:val="0"/>
      </w:pPr>
      <w:r>
        <w:t>Environment Protection Authority</w:t>
      </w:r>
    </w:p>
    <w:p w14:paraId="25EF4A64" w14:textId="77777777" w:rsidR="00B02873" w:rsidRDefault="00B02873" w:rsidP="005773A2">
      <w:pPr>
        <w:pStyle w:val="Normalbeforebullet"/>
        <w:keepNext w:val="0"/>
      </w:pPr>
      <w:r>
        <w:t xml:space="preserve">Parks Victoria </w:t>
      </w:r>
    </w:p>
    <w:p w14:paraId="6805AA88" w14:textId="77777777" w:rsidR="00B02873" w:rsidRDefault="00B02873" w:rsidP="005773A2">
      <w:pPr>
        <w:pStyle w:val="Normalbeforebullet"/>
        <w:keepNext w:val="0"/>
      </w:pPr>
      <w:r>
        <w:t>Energy Safe Victoria</w:t>
      </w:r>
    </w:p>
    <w:p w14:paraId="3C6C09D5" w14:textId="77777777" w:rsidR="00B02873" w:rsidRDefault="00B02873" w:rsidP="005773A2">
      <w:pPr>
        <w:pStyle w:val="Normalbeforebullet"/>
        <w:keepNext w:val="0"/>
      </w:pPr>
      <w:r>
        <w:t>Sustainability Victoria</w:t>
      </w:r>
    </w:p>
    <w:p w14:paraId="17C215D6" w14:textId="77777777" w:rsidR="00B02873" w:rsidRDefault="00B02873" w:rsidP="005773A2">
      <w:pPr>
        <w:pStyle w:val="Normalbeforebullet"/>
        <w:keepNext w:val="0"/>
      </w:pPr>
      <w:r>
        <w:t>Commissioner for Environmental Sustainability</w:t>
      </w:r>
    </w:p>
    <w:p w14:paraId="0BCC63F9" w14:textId="77777777" w:rsidR="00B02873" w:rsidRDefault="00B02873" w:rsidP="005773A2">
      <w:pPr>
        <w:pStyle w:val="Normalbeforebullet"/>
        <w:keepNext w:val="0"/>
      </w:pPr>
      <w:r>
        <w:t>Zoological Parks and Gardens Board</w:t>
      </w:r>
    </w:p>
    <w:p w14:paraId="3B2407E5" w14:textId="77777777" w:rsidR="00B02873" w:rsidRDefault="00B02873" w:rsidP="005773A2">
      <w:pPr>
        <w:pStyle w:val="Normalbeforebullet"/>
        <w:keepNext w:val="0"/>
      </w:pPr>
      <w:r>
        <w:t>Royal Botanic Gardens Board Victoria</w:t>
      </w:r>
    </w:p>
    <w:p w14:paraId="704FBE1F" w14:textId="77777777" w:rsidR="00B02873" w:rsidRDefault="00B02873" w:rsidP="005773A2">
      <w:pPr>
        <w:pStyle w:val="Normalbeforebullet"/>
        <w:keepNext w:val="0"/>
      </w:pPr>
      <w:r>
        <w:t>Trust for Nature (Victoria)</w:t>
      </w:r>
    </w:p>
    <w:p w14:paraId="3E3D949D" w14:textId="77777777" w:rsidR="00B02873" w:rsidRDefault="00B02873" w:rsidP="005773A2">
      <w:pPr>
        <w:pStyle w:val="Normalbeforebullet"/>
        <w:keepNext w:val="0"/>
      </w:pPr>
      <w:r>
        <w:t xml:space="preserve">Budj Bim Council </w:t>
      </w:r>
    </w:p>
    <w:p w14:paraId="5B7B0D7F" w14:textId="77777777" w:rsidR="00B02873" w:rsidRDefault="00B02873" w:rsidP="005773A2">
      <w:pPr>
        <w:pStyle w:val="Normalbeforebullet"/>
        <w:keepNext w:val="0"/>
      </w:pPr>
      <w:r>
        <w:t xml:space="preserve">Dhelkunya Dja Land Management Board </w:t>
      </w:r>
    </w:p>
    <w:p w14:paraId="1AC19F66" w14:textId="77777777" w:rsidR="00B02873" w:rsidRDefault="00B02873" w:rsidP="005773A2">
      <w:pPr>
        <w:pStyle w:val="Normalbeforebullet"/>
        <w:keepNext w:val="0"/>
      </w:pPr>
      <w:r>
        <w:t>Gunaikurnai Traditional Owner Land Management Board</w:t>
      </w:r>
    </w:p>
    <w:p w14:paraId="110CD2DD" w14:textId="77777777" w:rsidR="00B02873" w:rsidRDefault="00B02873" w:rsidP="005773A2">
      <w:pPr>
        <w:pStyle w:val="Normalbeforebullet"/>
        <w:keepNext w:val="0"/>
      </w:pPr>
      <w:r>
        <w:t>Yorta Yorta Traditional Owner Land Management Board</w:t>
      </w:r>
    </w:p>
    <w:p w14:paraId="340234B7" w14:textId="77777777" w:rsidR="00B02873" w:rsidRDefault="00B02873" w:rsidP="005773A2">
      <w:pPr>
        <w:pStyle w:val="Normalbeforebullet"/>
        <w:keepNext w:val="0"/>
      </w:pPr>
      <w:r>
        <w:t xml:space="preserve">Barwon South West Waste and Resource Recovery Group </w:t>
      </w:r>
      <w:r>
        <w:rPr>
          <w:vertAlign w:val="superscript"/>
        </w:rPr>
        <w:t>(i)</w:t>
      </w:r>
    </w:p>
    <w:p w14:paraId="53AD0E72" w14:textId="77777777" w:rsidR="00B02873" w:rsidRDefault="00B02873" w:rsidP="005773A2">
      <w:pPr>
        <w:pStyle w:val="Normalbeforebullet"/>
        <w:keepNext w:val="0"/>
      </w:pPr>
      <w:r>
        <w:t xml:space="preserve">Gippsland Waste and Resource Recovery Group </w:t>
      </w:r>
      <w:r>
        <w:rPr>
          <w:vertAlign w:val="superscript"/>
        </w:rPr>
        <w:t>(i)</w:t>
      </w:r>
    </w:p>
    <w:p w14:paraId="31100D92" w14:textId="77777777" w:rsidR="00B02873" w:rsidRDefault="00B02873" w:rsidP="005773A2">
      <w:pPr>
        <w:pStyle w:val="Normalbeforebullet"/>
        <w:keepNext w:val="0"/>
      </w:pPr>
      <w:r>
        <w:t xml:space="preserve">Goulburn Valley Waste and Resource Recovery Group </w:t>
      </w:r>
      <w:r>
        <w:rPr>
          <w:vertAlign w:val="superscript"/>
        </w:rPr>
        <w:t>(i)</w:t>
      </w:r>
    </w:p>
    <w:p w14:paraId="4FE571EE" w14:textId="77777777" w:rsidR="00B02873" w:rsidRDefault="00B02873" w:rsidP="005773A2">
      <w:pPr>
        <w:pStyle w:val="Normalbeforebullet"/>
        <w:keepNext w:val="0"/>
      </w:pPr>
      <w:r>
        <w:t>Grampians Central West Waste and Resource Recovery Group</w:t>
      </w:r>
      <w:r>
        <w:rPr>
          <w:vertAlign w:val="superscript"/>
        </w:rPr>
        <w:t xml:space="preserve"> (i)</w:t>
      </w:r>
    </w:p>
    <w:p w14:paraId="305093C6" w14:textId="77777777" w:rsidR="00B02873" w:rsidRDefault="00B02873" w:rsidP="005773A2">
      <w:pPr>
        <w:pStyle w:val="Normalbeforebullet"/>
        <w:keepNext w:val="0"/>
      </w:pPr>
      <w:r>
        <w:rPr>
          <w:spacing w:val="-4"/>
        </w:rPr>
        <w:t>Loddon Mallee Waste and Resource Recovery Group</w:t>
      </w:r>
      <w:r>
        <w:rPr>
          <w:spacing w:val="-4"/>
          <w:vertAlign w:val="superscript"/>
        </w:rPr>
        <w:t>(i)</w:t>
      </w:r>
    </w:p>
    <w:p w14:paraId="1E41E461" w14:textId="77777777" w:rsidR="00B02873" w:rsidRDefault="00B02873" w:rsidP="005773A2">
      <w:pPr>
        <w:pStyle w:val="Normalbeforebullet"/>
        <w:keepNext w:val="0"/>
      </w:pPr>
      <w:r>
        <w:t>North East Waste and Resource Recovery Group</w:t>
      </w:r>
      <w:r>
        <w:rPr>
          <w:vertAlign w:val="superscript"/>
        </w:rPr>
        <w:t xml:space="preserve"> (i)</w:t>
      </w:r>
    </w:p>
    <w:p w14:paraId="60E321B9" w14:textId="77777777" w:rsidR="00B02873" w:rsidRDefault="00B02873" w:rsidP="005773A2">
      <w:pPr>
        <w:pStyle w:val="Normalbeforebullet"/>
        <w:keepNext w:val="0"/>
      </w:pPr>
      <w:r>
        <w:t>Metropolitan Waste and Resource Recovery Group</w:t>
      </w:r>
      <w:r>
        <w:rPr>
          <w:vertAlign w:val="superscript"/>
        </w:rPr>
        <w:t xml:space="preserve"> (i)</w:t>
      </w:r>
    </w:p>
    <w:p w14:paraId="049190CD" w14:textId="77777777" w:rsidR="00B02873" w:rsidRDefault="00B02873" w:rsidP="005773A2">
      <w:pPr>
        <w:pStyle w:val="Normalbeforebullet"/>
        <w:keepNext w:val="0"/>
      </w:pPr>
      <w:r>
        <w:t>Falls Creek Alpine Resort Management Board</w:t>
      </w:r>
    </w:p>
    <w:p w14:paraId="5F6CACBD" w14:textId="77777777" w:rsidR="00B02873" w:rsidRDefault="00B02873" w:rsidP="005773A2">
      <w:pPr>
        <w:pStyle w:val="Normalbeforebullet"/>
        <w:keepNext w:val="0"/>
      </w:pPr>
      <w:r>
        <w:t>Mount Buller and Mount Stirling Alpine Resort Management Board</w:t>
      </w:r>
    </w:p>
    <w:p w14:paraId="672BA533" w14:textId="77777777" w:rsidR="00B02873" w:rsidRDefault="00B02873" w:rsidP="005773A2">
      <w:pPr>
        <w:pStyle w:val="Normalbeforebullet"/>
        <w:keepNext w:val="0"/>
      </w:pPr>
      <w:r>
        <w:t>Mount Hotham Alpine Resort Management Board</w:t>
      </w:r>
    </w:p>
    <w:p w14:paraId="106D8DDE" w14:textId="77777777" w:rsidR="00B02873" w:rsidRDefault="00B02873" w:rsidP="005773A2">
      <w:pPr>
        <w:pStyle w:val="Normalbeforebullet"/>
        <w:keepNext w:val="0"/>
      </w:pPr>
      <w:r>
        <w:t>Southern Alpine Resort Management Board</w:t>
      </w:r>
    </w:p>
    <w:p w14:paraId="55E8262F" w14:textId="77777777" w:rsidR="00B02873" w:rsidRDefault="00B02873" w:rsidP="005773A2">
      <w:pPr>
        <w:pStyle w:val="Normalbeforebullet"/>
        <w:keepNext w:val="0"/>
      </w:pPr>
      <w:r>
        <w:t>Phillip Island Nature Parks Board of Management</w:t>
      </w:r>
    </w:p>
    <w:p w14:paraId="460DBD2E" w14:textId="77777777" w:rsidR="00B02873" w:rsidRDefault="00B02873" w:rsidP="005773A2">
      <w:pPr>
        <w:pStyle w:val="Normalbeforebullet"/>
        <w:keepNext w:val="0"/>
      </w:pPr>
      <w:r>
        <w:t>Caulfield Racecourse Reserve Trust</w:t>
      </w:r>
    </w:p>
    <w:p w14:paraId="181F5AF7" w14:textId="77777777" w:rsidR="00B02873" w:rsidRDefault="00B02873" w:rsidP="005773A2">
      <w:pPr>
        <w:pStyle w:val="Normalbeforebullet"/>
        <w:keepNext w:val="0"/>
      </w:pPr>
      <w:r>
        <w:t>Director of National Parks</w:t>
      </w:r>
    </w:p>
    <w:p w14:paraId="05F173A0" w14:textId="77777777" w:rsidR="00B02873" w:rsidRDefault="00B02873" w:rsidP="005773A2">
      <w:pPr>
        <w:pStyle w:val="Normalbeforebullet"/>
        <w:keepNext w:val="0"/>
      </w:pPr>
      <w:r>
        <w:t>Alpine Resorts Coordinating Council</w:t>
      </w:r>
    </w:p>
    <w:p w14:paraId="1AED75F4" w14:textId="77777777" w:rsidR="00B02873" w:rsidRDefault="00B02873" w:rsidP="005773A2">
      <w:pPr>
        <w:pStyle w:val="Normalbeforebullet"/>
        <w:keepNext w:val="0"/>
      </w:pPr>
      <w:r>
        <w:t>Great Ocean Road Coast and Parks Authority</w:t>
      </w:r>
    </w:p>
    <w:p w14:paraId="22D2C74B" w14:textId="77777777" w:rsidR="00B02873" w:rsidRDefault="00B02873" w:rsidP="005773A2">
      <w:pPr>
        <w:pStyle w:val="Normalbeforebullet"/>
        <w:keepNext w:val="0"/>
      </w:pPr>
      <w:r>
        <w:t>Marine and Coastal Council</w:t>
      </w:r>
    </w:p>
    <w:p w14:paraId="0B343DD3" w14:textId="77777777" w:rsidR="00B02873" w:rsidRDefault="00B02873" w:rsidP="005773A2">
      <w:pPr>
        <w:pStyle w:val="Normalbeforebullet"/>
        <w:keepNext w:val="0"/>
      </w:pPr>
      <w:r>
        <w:t>National Parks Advisory Council</w:t>
      </w:r>
    </w:p>
    <w:p w14:paraId="6E347641" w14:textId="77777777" w:rsidR="00B02873" w:rsidRDefault="00B02873" w:rsidP="005773A2">
      <w:pPr>
        <w:pStyle w:val="Normalbeforebullet"/>
        <w:keepNext w:val="0"/>
      </w:pPr>
      <w:r>
        <w:t>Victorian Environmental Assessment Council</w:t>
      </w:r>
    </w:p>
    <w:p w14:paraId="6DA99B10" w14:textId="77777777" w:rsidR="00B02873" w:rsidRDefault="00B02873" w:rsidP="005773A2">
      <w:pPr>
        <w:pStyle w:val="Normalbeforebullet"/>
        <w:keepNext w:val="0"/>
      </w:pPr>
      <w:r>
        <w:t>Electric Line Clearance Consultative Committee</w:t>
      </w:r>
    </w:p>
    <w:p w14:paraId="1EAEB3F8" w14:textId="77777777" w:rsidR="00B02873" w:rsidRDefault="00B02873" w:rsidP="005773A2">
      <w:pPr>
        <w:pStyle w:val="Normalbeforebullet"/>
        <w:keepNext w:val="0"/>
      </w:pPr>
      <w:r>
        <w:t>Victorian Electrolysis Committee</w:t>
      </w:r>
    </w:p>
    <w:p w14:paraId="2F3AEE03" w14:textId="77777777" w:rsidR="00B02873" w:rsidRDefault="00B02873" w:rsidP="005773A2">
      <w:pPr>
        <w:pStyle w:val="Normalbeforebullet"/>
        <w:keepNext w:val="0"/>
      </w:pPr>
      <w:r>
        <w:lastRenderedPageBreak/>
        <w:t>Reference Areas Advisory Committee</w:t>
      </w:r>
    </w:p>
    <w:p w14:paraId="02C9B66B" w14:textId="77777777" w:rsidR="00B02873" w:rsidRDefault="00B02873" w:rsidP="005773A2">
      <w:pPr>
        <w:pStyle w:val="Normalbeforebullet"/>
        <w:keepNext w:val="0"/>
      </w:pPr>
      <w:r>
        <w:t>Scientific Advisory Committee</w:t>
      </w:r>
    </w:p>
    <w:p w14:paraId="0F67EBBC" w14:textId="77777777" w:rsidR="00B02873" w:rsidRDefault="00B02873" w:rsidP="005773A2">
      <w:pPr>
        <w:pStyle w:val="Normalbeforebullet"/>
        <w:keepNext w:val="0"/>
      </w:pPr>
      <w:r>
        <w:t>Committees of Management (various) and trustees appointed under restricted Crown grants</w:t>
      </w:r>
      <w:r>
        <w:rPr>
          <w:vertAlign w:val="superscript"/>
        </w:rPr>
        <w:t>(ii)</w:t>
      </w:r>
    </w:p>
    <w:p w14:paraId="20CB3C01" w14:textId="77777777" w:rsidR="00B02873" w:rsidRDefault="00B02873" w:rsidP="00FE198A">
      <w:r>
        <w:t>Ministerial advisory committees (various)</w:t>
      </w:r>
    </w:p>
    <w:p w14:paraId="2FC9BF64" w14:textId="77777777" w:rsidR="00B02873" w:rsidRDefault="00B02873" w:rsidP="005773A2">
      <w:pPr>
        <w:pStyle w:val="Heading3"/>
      </w:pPr>
      <w:r>
        <w:t>Planning</w:t>
      </w:r>
    </w:p>
    <w:p w14:paraId="69C02EAD" w14:textId="77777777" w:rsidR="00B02873" w:rsidRDefault="00B02873" w:rsidP="005773A2">
      <w:pPr>
        <w:pStyle w:val="Normalbeforebullet"/>
        <w:keepNext w:val="0"/>
      </w:pPr>
      <w:r>
        <w:t>Victorian Planning Authority</w:t>
      </w:r>
    </w:p>
    <w:p w14:paraId="0CCB8A67" w14:textId="77777777" w:rsidR="00B02873" w:rsidRDefault="00B02873" w:rsidP="005773A2">
      <w:pPr>
        <w:pStyle w:val="Normalbeforebullet"/>
        <w:keepNext w:val="0"/>
      </w:pPr>
      <w:r>
        <w:t>Heritage Council</w:t>
      </w:r>
    </w:p>
    <w:p w14:paraId="778945F1" w14:textId="3BD2A880" w:rsidR="00B02873" w:rsidRDefault="00B02873" w:rsidP="005773A2">
      <w:pPr>
        <w:pStyle w:val="Normalbeforebullet"/>
        <w:keepNext w:val="0"/>
      </w:pPr>
      <w:r>
        <w:t>Architects Registration Board of Victoria and Panel List</w:t>
      </w:r>
    </w:p>
    <w:p w14:paraId="684D150D" w14:textId="77777777" w:rsidR="00B02873" w:rsidRDefault="00B02873" w:rsidP="005773A2">
      <w:pPr>
        <w:pStyle w:val="Normalbeforebullet"/>
        <w:keepNext w:val="0"/>
      </w:pPr>
      <w:r>
        <w:t>Surveyors Registration Board of Victoria</w:t>
      </w:r>
    </w:p>
    <w:p w14:paraId="702D8024" w14:textId="77777777" w:rsidR="00B02873" w:rsidRDefault="00B02873" w:rsidP="005773A2">
      <w:pPr>
        <w:pStyle w:val="Normalbeforebullet"/>
        <w:keepNext w:val="0"/>
      </w:pPr>
      <w:r>
        <w:t>Geographic Place Names Advisory Panel</w:t>
      </w:r>
    </w:p>
    <w:p w14:paraId="1C99DEEA" w14:textId="77777777" w:rsidR="00B02873" w:rsidRDefault="00B02873" w:rsidP="005773A2">
      <w:pPr>
        <w:pStyle w:val="Normalbeforebullet"/>
        <w:keepNext w:val="0"/>
      </w:pPr>
      <w:r>
        <w:t>Growth Areas Infrastructure Contribution Hardship Relief Board</w:t>
      </w:r>
    </w:p>
    <w:p w14:paraId="560977F8" w14:textId="77777777" w:rsidR="00B02873" w:rsidRDefault="00B02873" w:rsidP="005773A2">
      <w:pPr>
        <w:pStyle w:val="Normalbeforebullet"/>
        <w:keepNext w:val="0"/>
      </w:pPr>
      <w:r>
        <w:t>Victorian Building Authority</w:t>
      </w:r>
    </w:p>
    <w:p w14:paraId="444C5171" w14:textId="77777777" w:rsidR="00B02873" w:rsidRDefault="00B02873" w:rsidP="005773A2">
      <w:pPr>
        <w:pStyle w:val="Normalbeforebullet"/>
        <w:keepNext w:val="0"/>
      </w:pPr>
      <w:r>
        <w:t>Building Appeals Board</w:t>
      </w:r>
    </w:p>
    <w:p w14:paraId="3EDD288E" w14:textId="77777777" w:rsidR="00B02873" w:rsidRDefault="00B02873" w:rsidP="005773A2">
      <w:pPr>
        <w:pStyle w:val="Normalbeforebullet"/>
        <w:keepNext w:val="0"/>
      </w:pPr>
      <w:r>
        <w:t>Building Regulations Advisory Committee</w:t>
      </w:r>
    </w:p>
    <w:p w14:paraId="45699485" w14:textId="77777777" w:rsidR="00B02873" w:rsidRDefault="00B02873" w:rsidP="005773A2">
      <w:pPr>
        <w:pStyle w:val="Normalbeforebullet"/>
        <w:keepNext w:val="0"/>
      </w:pPr>
      <w:r>
        <w:t>Cladding Safety Victoria</w:t>
      </w:r>
    </w:p>
    <w:p w14:paraId="7E739059" w14:textId="77777777" w:rsidR="00B02873" w:rsidRDefault="00B02873" w:rsidP="005773A2">
      <w:pPr>
        <w:pStyle w:val="Normalbeforebullet"/>
        <w:keepNext w:val="0"/>
      </w:pPr>
      <w:r>
        <w:t>Plumbing Advisory Council</w:t>
      </w:r>
    </w:p>
    <w:p w14:paraId="3275A4F6" w14:textId="77777777" w:rsidR="00B02873" w:rsidRDefault="00B02873" w:rsidP="005773A2">
      <w:pPr>
        <w:pStyle w:val="Normalbeforebullet"/>
        <w:keepNext w:val="0"/>
      </w:pPr>
      <w:r>
        <w:t>Royal Exhibition Building World Heritage Area Steering Committee</w:t>
      </w:r>
    </w:p>
    <w:p w14:paraId="66464A4E" w14:textId="77777777" w:rsidR="00B02873" w:rsidRDefault="00B02873" w:rsidP="005773A2">
      <w:pPr>
        <w:pStyle w:val="Normalbeforebullet"/>
        <w:keepNext w:val="0"/>
      </w:pPr>
      <w:r>
        <w:t xml:space="preserve">Planning panels and advisory committees established under the </w:t>
      </w:r>
      <w:r w:rsidRPr="005773A2">
        <w:rPr>
          <w:rStyle w:val="LightItalic"/>
          <w:rFonts w:asciiTheme="minorHAnsi" w:hAnsiTheme="minorHAnsi" w:cstheme="minorHAnsi"/>
        </w:rPr>
        <w:t>Planning and Environment Act 1987</w:t>
      </w:r>
      <w:r w:rsidRPr="005773A2">
        <w:rPr>
          <w:rFonts w:asciiTheme="minorHAnsi" w:hAnsiTheme="minorHAnsi" w:cstheme="minorHAnsi"/>
        </w:rPr>
        <w:t xml:space="preserve"> </w:t>
      </w:r>
      <w:r>
        <w:t>(various)</w:t>
      </w:r>
    </w:p>
    <w:p w14:paraId="319D837B" w14:textId="77777777" w:rsidR="00B02873" w:rsidRDefault="00B02873" w:rsidP="00FE198A">
      <w:r>
        <w:t xml:space="preserve">Environmental Effects Inquiries established under the </w:t>
      </w:r>
      <w:r w:rsidRPr="005773A2">
        <w:rPr>
          <w:rStyle w:val="LightItalic"/>
          <w:rFonts w:asciiTheme="minorHAnsi" w:hAnsiTheme="minorHAnsi" w:cstheme="minorHAnsi"/>
        </w:rPr>
        <w:t>Environmental Effects Act 1978</w:t>
      </w:r>
      <w:r>
        <w:t xml:space="preserve"> (various)</w:t>
      </w:r>
    </w:p>
    <w:p w14:paraId="02C9C3CE" w14:textId="77777777" w:rsidR="00B02873" w:rsidRDefault="00B02873" w:rsidP="005773A2">
      <w:pPr>
        <w:pStyle w:val="Heading3"/>
      </w:pPr>
      <w:r>
        <w:t>Water</w:t>
      </w:r>
    </w:p>
    <w:p w14:paraId="11695935" w14:textId="77777777" w:rsidR="00B02873" w:rsidRDefault="00B02873" w:rsidP="003237AD">
      <w:pPr>
        <w:pStyle w:val="Normalbeforebullet"/>
        <w:keepNext w:val="0"/>
      </w:pPr>
      <w:r>
        <w:t xml:space="preserve">Birrarung Council </w:t>
      </w:r>
    </w:p>
    <w:p w14:paraId="118FEF8B" w14:textId="77777777" w:rsidR="00B02873" w:rsidRDefault="00B02873" w:rsidP="003237AD">
      <w:pPr>
        <w:pStyle w:val="Normalbeforebullet"/>
        <w:keepNext w:val="0"/>
      </w:pPr>
      <w:r>
        <w:t>Border Groundwater Agreement Review Committee</w:t>
      </w:r>
    </w:p>
    <w:p w14:paraId="59E57532" w14:textId="77777777" w:rsidR="00B02873" w:rsidRDefault="00B02873" w:rsidP="003237AD">
      <w:pPr>
        <w:pStyle w:val="Normalbeforebullet"/>
        <w:keepNext w:val="0"/>
      </w:pPr>
      <w:r>
        <w:t>Barwon Region Water Corporation</w:t>
      </w:r>
    </w:p>
    <w:p w14:paraId="52CDE6DD" w14:textId="77777777" w:rsidR="00B02873" w:rsidRDefault="00B02873" w:rsidP="003237AD">
      <w:pPr>
        <w:pStyle w:val="Normalbeforebullet"/>
        <w:keepNext w:val="0"/>
      </w:pPr>
      <w:r>
        <w:t>Central Gippsland Region Water Corporation</w:t>
      </w:r>
    </w:p>
    <w:p w14:paraId="401E951C" w14:textId="77777777" w:rsidR="00B02873" w:rsidRDefault="00B02873" w:rsidP="003237AD">
      <w:pPr>
        <w:pStyle w:val="Normalbeforebullet"/>
        <w:keepNext w:val="0"/>
      </w:pPr>
      <w:r>
        <w:t>Central Highlands Region Water Corporation</w:t>
      </w:r>
    </w:p>
    <w:p w14:paraId="704B316E" w14:textId="77777777" w:rsidR="00B02873" w:rsidRDefault="00B02873" w:rsidP="003237AD">
      <w:pPr>
        <w:pStyle w:val="Normalbeforebullet"/>
        <w:keepNext w:val="0"/>
      </w:pPr>
      <w:r>
        <w:t>Coliban Region Water Corporation</w:t>
      </w:r>
    </w:p>
    <w:p w14:paraId="0FB43622" w14:textId="77777777" w:rsidR="00B02873" w:rsidRDefault="00B02873" w:rsidP="003237AD">
      <w:pPr>
        <w:pStyle w:val="Normalbeforebullet"/>
        <w:keepNext w:val="0"/>
      </w:pPr>
      <w:r>
        <w:t>East Gippsland Region Water Corporation</w:t>
      </w:r>
    </w:p>
    <w:p w14:paraId="0F8D82DB" w14:textId="77777777" w:rsidR="00B02873" w:rsidRDefault="00B02873" w:rsidP="003237AD">
      <w:pPr>
        <w:pStyle w:val="Normalbeforebullet"/>
        <w:keepNext w:val="0"/>
      </w:pPr>
      <w:r>
        <w:t>Gippsland and Southern Rural Water Corporation</w:t>
      </w:r>
    </w:p>
    <w:p w14:paraId="42E1D07E" w14:textId="77777777" w:rsidR="00B02873" w:rsidRDefault="00B02873" w:rsidP="003237AD">
      <w:pPr>
        <w:pStyle w:val="Normalbeforebullet"/>
        <w:keepNext w:val="0"/>
      </w:pPr>
      <w:r>
        <w:t>Goulburn-Murray Rural Water Corporation</w:t>
      </w:r>
    </w:p>
    <w:p w14:paraId="6C084FCE" w14:textId="77777777" w:rsidR="00B02873" w:rsidRDefault="00B02873" w:rsidP="003237AD">
      <w:pPr>
        <w:pStyle w:val="Normalbeforebullet"/>
        <w:keepNext w:val="0"/>
      </w:pPr>
      <w:r>
        <w:t>Goulburn Valley Region Water Corporation</w:t>
      </w:r>
    </w:p>
    <w:p w14:paraId="15EA9078" w14:textId="77777777" w:rsidR="00B02873" w:rsidRDefault="00B02873" w:rsidP="003237AD">
      <w:pPr>
        <w:pStyle w:val="Normalbeforebullet"/>
        <w:keepNext w:val="0"/>
      </w:pPr>
      <w:r>
        <w:t>Grampians Wimmera Mallee Water Corporation</w:t>
      </w:r>
    </w:p>
    <w:p w14:paraId="62B4FE2B" w14:textId="77777777" w:rsidR="00B02873" w:rsidRDefault="00B02873" w:rsidP="003237AD">
      <w:pPr>
        <w:pStyle w:val="Normalbeforebullet"/>
        <w:keepNext w:val="0"/>
      </w:pPr>
      <w:r>
        <w:t>Greater Western Water</w:t>
      </w:r>
      <w:r>
        <w:rPr>
          <w:vertAlign w:val="superscript"/>
        </w:rPr>
        <w:t>(iii)</w:t>
      </w:r>
    </w:p>
    <w:p w14:paraId="5487A8C3" w14:textId="77777777" w:rsidR="00B02873" w:rsidRDefault="00B02873" w:rsidP="003237AD">
      <w:pPr>
        <w:pStyle w:val="Normalbeforebullet"/>
        <w:keepNext w:val="0"/>
      </w:pPr>
      <w:r>
        <w:t>Lower Murray Urban and Rural Water Corporation</w:t>
      </w:r>
    </w:p>
    <w:p w14:paraId="73622551" w14:textId="77777777" w:rsidR="00B02873" w:rsidRDefault="00B02873" w:rsidP="003237AD">
      <w:pPr>
        <w:pStyle w:val="Normalbeforebullet"/>
        <w:keepNext w:val="0"/>
      </w:pPr>
      <w:r>
        <w:t>Melbourne Water Corporation</w:t>
      </w:r>
      <w:r>
        <w:rPr>
          <w:vertAlign w:val="superscript"/>
        </w:rPr>
        <w:t>(iv)</w:t>
      </w:r>
    </w:p>
    <w:p w14:paraId="173E8485" w14:textId="77777777" w:rsidR="00B02873" w:rsidRDefault="00B02873" w:rsidP="003237AD">
      <w:pPr>
        <w:pStyle w:val="Normalbeforebullet"/>
        <w:keepNext w:val="0"/>
      </w:pPr>
      <w:r>
        <w:t>North East Region Water Corporation</w:t>
      </w:r>
    </w:p>
    <w:p w14:paraId="546EB1F7" w14:textId="77777777" w:rsidR="00B02873" w:rsidRDefault="00B02873" w:rsidP="003237AD">
      <w:pPr>
        <w:pStyle w:val="Normalbeforebullet"/>
        <w:keepNext w:val="0"/>
      </w:pPr>
      <w:r>
        <w:t>South East Water Corporation</w:t>
      </w:r>
    </w:p>
    <w:p w14:paraId="35AE2DCB" w14:textId="77777777" w:rsidR="00B02873" w:rsidRDefault="00B02873" w:rsidP="003237AD">
      <w:pPr>
        <w:pStyle w:val="Normalbeforebullet"/>
        <w:keepNext w:val="0"/>
      </w:pPr>
      <w:r>
        <w:lastRenderedPageBreak/>
        <w:t>South Gippsland Region Water Corporation</w:t>
      </w:r>
    </w:p>
    <w:p w14:paraId="761F8F26" w14:textId="77777777" w:rsidR="00B02873" w:rsidRDefault="00B02873" w:rsidP="003237AD">
      <w:pPr>
        <w:pStyle w:val="Normalbeforebullet"/>
        <w:keepNext w:val="0"/>
      </w:pPr>
      <w:r>
        <w:t>Wannon Region Water Corporation</w:t>
      </w:r>
    </w:p>
    <w:p w14:paraId="33C38CCE" w14:textId="77777777" w:rsidR="00B02873" w:rsidRDefault="00B02873" w:rsidP="003237AD">
      <w:pPr>
        <w:pStyle w:val="Normalbeforebullet"/>
        <w:keepNext w:val="0"/>
      </w:pPr>
      <w:r>
        <w:t>Westernport Region Water Corporation</w:t>
      </w:r>
    </w:p>
    <w:p w14:paraId="6FFD992B" w14:textId="77777777" w:rsidR="00B02873" w:rsidRDefault="00B02873" w:rsidP="003237AD">
      <w:pPr>
        <w:pStyle w:val="Normalbeforebullet"/>
        <w:keepNext w:val="0"/>
      </w:pPr>
      <w:r>
        <w:t>Yarra Valley Water Corporation</w:t>
      </w:r>
    </w:p>
    <w:p w14:paraId="6EE9FAC2" w14:textId="77777777" w:rsidR="00B02873" w:rsidRDefault="00B02873" w:rsidP="003237AD">
      <w:pPr>
        <w:pStyle w:val="Normalbeforebullet"/>
        <w:keepNext w:val="0"/>
      </w:pPr>
      <w:r>
        <w:t xml:space="preserve">Corangamite Catchment Management Authority </w:t>
      </w:r>
    </w:p>
    <w:p w14:paraId="2145D34C" w14:textId="77777777" w:rsidR="00B02873" w:rsidRDefault="00B02873" w:rsidP="003237AD">
      <w:pPr>
        <w:pStyle w:val="Normalbeforebullet"/>
        <w:keepNext w:val="0"/>
      </w:pPr>
      <w:r>
        <w:t>East Gippsland Catchment Management Authority</w:t>
      </w:r>
    </w:p>
    <w:p w14:paraId="0EC7D6F7" w14:textId="77777777" w:rsidR="00B02873" w:rsidRDefault="00B02873" w:rsidP="003237AD">
      <w:pPr>
        <w:pStyle w:val="Normalbeforebullet"/>
        <w:keepNext w:val="0"/>
      </w:pPr>
      <w:r>
        <w:t>Glenelg Hopkins Catchment Management Authority</w:t>
      </w:r>
    </w:p>
    <w:p w14:paraId="238E78BB" w14:textId="77777777" w:rsidR="00B02873" w:rsidRDefault="00B02873" w:rsidP="003237AD">
      <w:pPr>
        <w:pStyle w:val="Normalbeforebullet"/>
        <w:keepNext w:val="0"/>
      </w:pPr>
      <w:r>
        <w:t>Goulburn Broken Catchment Management Authority</w:t>
      </w:r>
    </w:p>
    <w:p w14:paraId="2BBA5DD9" w14:textId="77777777" w:rsidR="00B02873" w:rsidRDefault="00B02873" w:rsidP="003237AD">
      <w:pPr>
        <w:pStyle w:val="Normalbeforebullet"/>
        <w:keepNext w:val="0"/>
      </w:pPr>
      <w:r>
        <w:t>Mallee Catchment Management Authority</w:t>
      </w:r>
    </w:p>
    <w:p w14:paraId="27AF255A" w14:textId="77777777" w:rsidR="00B02873" w:rsidRDefault="00B02873" w:rsidP="003237AD">
      <w:pPr>
        <w:pStyle w:val="Normalbeforebullet"/>
        <w:keepNext w:val="0"/>
      </w:pPr>
      <w:r>
        <w:t>North Central Catchment Management Authority</w:t>
      </w:r>
    </w:p>
    <w:p w14:paraId="0538A72B" w14:textId="77777777" w:rsidR="00B02873" w:rsidRDefault="00B02873" w:rsidP="003237AD">
      <w:pPr>
        <w:pStyle w:val="Normalbeforebullet"/>
        <w:keepNext w:val="0"/>
      </w:pPr>
      <w:r>
        <w:t>North East Catchment Management Authority</w:t>
      </w:r>
    </w:p>
    <w:p w14:paraId="6971DC4F" w14:textId="77777777" w:rsidR="00B02873" w:rsidRDefault="00B02873" w:rsidP="003237AD">
      <w:pPr>
        <w:pStyle w:val="Normalbeforebullet"/>
        <w:keepNext w:val="0"/>
      </w:pPr>
      <w:r>
        <w:t>West Gippsland Catchment Management Authority</w:t>
      </w:r>
    </w:p>
    <w:p w14:paraId="501DABAC" w14:textId="77777777" w:rsidR="00B02873" w:rsidRDefault="00B02873" w:rsidP="003237AD">
      <w:pPr>
        <w:pStyle w:val="Normalbeforebullet"/>
        <w:keepNext w:val="0"/>
      </w:pPr>
      <w:r>
        <w:t>Wimmera Catchment Management Authority</w:t>
      </w:r>
    </w:p>
    <w:p w14:paraId="1D4FD1AF" w14:textId="77777777" w:rsidR="00B02873" w:rsidRDefault="00B02873" w:rsidP="00FE198A">
      <w:r>
        <w:t>Victorian Environmental Water Holder</w:t>
      </w:r>
    </w:p>
    <w:p w14:paraId="1A2BE524" w14:textId="77777777" w:rsidR="00B02873" w:rsidRPr="003237AD" w:rsidRDefault="00B02873" w:rsidP="003237AD">
      <w:pPr>
        <w:pStyle w:val="SourceNote"/>
        <w:rPr>
          <w:b/>
          <w:bCs/>
        </w:rPr>
      </w:pPr>
      <w:r w:rsidRPr="003237AD">
        <w:rPr>
          <w:b/>
          <w:bCs/>
        </w:rPr>
        <w:t>Note:</w:t>
      </w:r>
    </w:p>
    <w:p w14:paraId="21026342" w14:textId="77777777" w:rsidR="00B02873" w:rsidRDefault="00B02873" w:rsidP="001128B1">
      <w:pPr>
        <w:pStyle w:val="SourceNotenumbered"/>
        <w:numPr>
          <w:ilvl w:val="0"/>
          <w:numId w:val="72"/>
        </w:numPr>
      </w:pPr>
      <w:r>
        <w:t xml:space="preserve">The seven Waste and Resource Recovery Groups were abolished on 30 June 2022 under the </w:t>
      </w:r>
      <w:r w:rsidRPr="00B32DB2">
        <w:rPr>
          <w:rStyle w:val="LightItalic"/>
          <w:rFonts w:asciiTheme="minorHAnsi" w:hAnsiTheme="minorHAnsi" w:cstheme="minorHAnsi"/>
          <w:spacing w:val="-2"/>
        </w:rPr>
        <w:t>Circular Economy (Waste Reduction and Recycling) Act 2021</w:t>
      </w:r>
      <w:r>
        <w:t>. Recycling Victoria commenced operating on 1 July 2022.</w:t>
      </w:r>
    </w:p>
    <w:p w14:paraId="73A691E5" w14:textId="77777777" w:rsidR="00B02873" w:rsidRDefault="00B02873" w:rsidP="00B32DB2">
      <w:pPr>
        <w:pStyle w:val="SourceNotenumbered"/>
      </w:pPr>
      <w:r>
        <w:t xml:space="preserve">In the DELWP portfolio there are approximately 1,000 committees of management established under the </w:t>
      </w:r>
      <w:r w:rsidRPr="003237AD">
        <w:rPr>
          <w:rStyle w:val="LightItalic"/>
          <w:rFonts w:asciiTheme="minorHAnsi" w:hAnsiTheme="minorHAnsi" w:cstheme="minorHAnsi"/>
          <w:spacing w:val="-2"/>
        </w:rPr>
        <w:t>Crown Land (Reserves) Act 1978</w:t>
      </w:r>
      <w:r>
        <w:t xml:space="preserve"> and approximately 35 restricted Crown grants where trustees manage one or more Crown land reserves. Major incorporated committees of management include Barwon Coast Committee of Management, Bellarine Bayside Foreshore Committee of Management; Working Heritage; and Winton Wetlands Committee of Management.</w:t>
      </w:r>
    </w:p>
    <w:p w14:paraId="583803DD" w14:textId="77777777" w:rsidR="00B02873" w:rsidRDefault="00B02873" w:rsidP="00B32DB2">
      <w:pPr>
        <w:pStyle w:val="SourceNotenumbered"/>
      </w:pPr>
      <w:r>
        <w:t>On 1 July 2021, Western Region Water Corporation and City West Water. were integrated, and Greater Western Water was established.</w:t>
      </w:r>
    </w:p>
    <w:p w14:paraId="77F910EB" w14:textId="77777777" w:rsidR="00B02873" w:rsidRDefault="00B02873" w:rsidP="00B32DB2">
      <w:pPr>
        <w:pStyle w:val="SourceNotenumbered"/>
      </w:pPr>
      <w:r>
        <w:t>On 1 January 2022, the Port Phillip and Westernport Catchment Management Authority (PPWCMA) was integrated into Melbourne Water, and PPWCMA ceased to exist.</w:t>
      </w:r>
    </w:p>
    <w:p w14:paraId="290B0D32" w14:textId="7CBA74A5" w:rsidR="00B02873" w:rsidRDefault="00B02873" w:rsidP="00FA43C4">
      <w:pPr>
        <w:pStyle w:val="Heading2Headings"/>
      </w:pPr>
      <w:r>
        <w:t>Acts administered</w:t>
      </w:r>
    </w:p>
    <w:p w14:paraId="2805FA87" w14:textId="77777777" w:rsidR="00B02873" w:rsidRDefault="00B02873" w:rsidP="003237AD">
      <w:pPr>
        <w:pStyle w:val="Heading3"/>
      </w:pPr>
      <w:r>
        <w:t>Minister for Energy</w:t>
      </w:r>
    </w:p>
    <w:p w14:paraId="0868CBD6" w14:textId="77777777" w:rsidR="00B02873" w:rsidRPr="003237AD" w:rsidRDefault="00B02873" w:rsidP="003237AD">
      <w:pPr>
        <w:pStyle w:val="Normalbeforebullet"/>
        <w:keepNext w:val="0"/>
        <w:rPr>
          <w:rStyle w:val="LightItalic"/>
          <w:rFonts w:asciiTheme="minorHAnsi" w:hAnsiTheme="minorHAnsi" w:cstheme="minorHAnsi"/>
        </w:rPr>
      </w:pPr>
      <w:r w:rsidRPr="003237AD">
        <w:rPr>
          <w:rStyle w:val="LightItalic"/>
          <w:rFonts w:asciiTheme="minorHAnsi" w:hAnsiTheme="minorHAnsi" w:cstheme="minorHAnsi"/>
        </w:rPr>
        <w:t>Electricity Industry Act 2000</w:t>
      </w:r>
    </w:p>
    <w:p w14:paraId="37608C76" w14:textId="77777777" w:rsidR="00B02873" w:rsidRPr="003237AD" w:rsidRDefault="00B02873" w:rsidP="003237AD">
      <w:pPr>
        <w:pStyle w:val="Normalbeforebullet"/>
        <w:keepNext w:val="0"/>
        <w:rPr>
          <w:rStyle w:val="LightItalic"/>
          <w:rFonts w:asciiTheme="minorHAnsi" w:hAnsiTheme="minorHAnsi" w:cstheme="minorHAnsi"/>
        </w:rPr>
      </w:pPr>
      <w:r w:rsidRPr="003237AD">
        <w:rPr>
          <w:rStyle w:val="LightItalic"/>
          <w:rFonts w:asciiTheme="minorHAnsi" w:hAnsiTheme="minorHAnsi" w:cstheme="minorHAnsi"/>
        </w:rPr>
        <w:t>Electricity Safety Act 1998</w:t>
      </w:r>
    </w:p>
    <w:p w14:paraId="0DF95BCB" w14:textId="77777777" w:rsidR="00B02873" w:rsidRPr="003237AD" w:rsidRDefault="00B02873" w:rsidP="003237AD">
      <w:pPr>
        <w:pStyle w:val="Normalbeforebullet"/>
        <w:keepNext w:val="0"/>
        <w:rPr>
          <w:rStyle w:val="LightItalic"/>
          <w:rFonts w:asciiTheme="minorHAnsi" w:hAnsiTheme="minorHAnsi" w:cstheme="minorHAnsi"/>
        </w:rPr>
      </w:pPr>
      <w:r w:rsidRPr="003237AD">
        <w:rPr>
          <w:rStyle w:val="LightItalic"/>
          <w:rFonts w:asciiTheme="minorHAnsi" w:hAnsiTheme="minorHAnsi" w:cstheme="minorHAnsi"/>
        </w:rPr>
        <w:t>Energy Safe Victoria Act 2005</w:t>
      </w:r>
    </w:p>
    <w:p w14:paraId="324334D1" w14:textId="77777777" w:rsidR="00B02873" w:rsidRPr="003237AD" w:rsidRDefault="00B02873" w:rsidP="003237AD">
      <w:pPr>
        <w:pStyle w:val="Normalbeforebullet"/>
        <w:keepNext w:val="0"/>
        <w:rPr>
          <w:rStyle w:val="LightItalic"/>
          <w:rFonts w:asciiTheme="minorHAnsi" w:hAnsiTheme="minorHAnsi" w:cstheme="minorHAnsi"/>
        </w:rPr>
      </w:pPr>
      <w:r w:rsidRPr="003237AD">
        <w:rPr>
          <w:rStyle w:val="LightItalic"/>
          <w:rFonts w:asciiTheme="minorHAnsi" w:hAnsiTheme="minorHAnsi" w:cstheme="minorHAnsi"/>
        </w:rPr>
        <w:t>Fuel Emergency Act 1977</w:t>
      </w:r>
    </w:p>
    <w:p w14:paraId="574E06FF" w14:textId="77777777" w:rsidR="00B02873" w:rsidRPr="003237AD" w:rsidRDefault="00B02873" w:rsidP="003237AD">
      <w:pPr>
        <w:pStyle w:val="Normalbeforebullet"/>
        <w:keepNext w:val="0"/>
        <w:rPr>
          <w:rStyle w:val="LightItalic"/>
          <w:rFonts w:asciiTheme="minorHAnsi" w:hAnsiTheme="minorHAnsi" w:cstheme="minorHAnsi"/>
        </w:rPr>
      </w:pPr>
      <w:r w:rsidRPr="003237AD">
        <w:rPr>
          <w:rStyle w:val="LightItalic"/>
          <w:rFonts w:asciiTheme="minorHAnsi" w:hAnsiTheme="minorHAnsi" w:cstheme="minorHAnsi"/>
        </w:rPr>
        <w:t>Gas Industry Act 2001</w:t>
      </w:r>
    </w:p>
    <w:p w14:paraId="676F5301" w14:textId="77777777" w:rsidR="00B02873" w:rsidRPr="003237AD" w:rsidRDefault="00B02873" w:rsidP="003237AD">
      <w:pPr>
        <w:pStyle w:val="Normalbeforebullet"/>
        <w:keepNext w:val="0"/>
        <w:rPr>
          <w:rStyle w:val="LightItalic"/>
          <w:rFonts w:asciiTheme="minorHAnsi" w:hAnsiTheme="minorHAnsi" w:cstheme="minorHAnsi"/>
        </w:rPr>
      </w:pPr>
      <w:r w:rsidRPr="003237AD">
        <w:rPr>
          <w:rStyle w:val="LightItalic"/>
          <w:rFonts w:asciiTheme="minorHAnsi" w:hAnsiTheme="minorHAnsi" w:cstheme="minorHAnsi"/>
        </w:rPr>
        <w:t>Gas Safety Act 1997</w:t>
      </w:r>
    </w:p>
    <w:p w14:paraId="34D03C8F" w14:textId="77777777" w:rsidR="00B02873" w:rsidRPr="003237AD" w:rsidRDefault="00B02873" w:rsidP="003237AD">
      <w:pPr>
        <w:pStyle w:val="Normalbeforebullet"/>
        <w:keepNext w:val="0"/>
        <w:rPr>
          <w:rStyle w:val="LightItalic"/>
          <w:rFonts w:asciiTheme="minorHAnsi" w:hAnsiTheme="minorHAnsi" w:cstheme="minorHAnsi"/>
        </w:rPr>
      </w:pPr>
      <w:r w:rsidRPr="003237AD">
        <w:rPr>
          <w:rStyle w:val="LightItalic"/>
          <w:rFonts w:asciiTheme="minorHAnsi" w:hAnsiTheme="minorHAnsi" w:cstheme="minorHAnsi"/>
        </w:rPr>
        <w:t>National Electricity (Victoria) Act 2005</w:t>
      </w:r>
    </w:p>
    <w:p w14:paraId="33B002B5" w14:textId="77777777" w:rsidR="00B02873" w:rsidRPr="003237AD" w:rsidRDefault="00B02873" w:rsidP="003237AD">
      <w:pPr>
        <w:pStyle w:val="Normalbeforebullet"/>
        <w:keepNext w:val="0"/>
        <w:rPr>
          <w:rStyle w:val="LightItalic"/>
          <w:rFonts w:asciiTheme="minorHAnsi" w:hAnsiTheme="minorHAnsi" w:cstheme="minorHAnsi"/>
        </w:rPr>
      </w:pPr>
      <w:r w:rsidRPr="003237AD">
        <w:rPr>
          <w:rStyle w:val="LightItalic"/>
          <w:rFonts w:asciiTheme="minorHAnsi" w:hAnsiTheme="minorHAnsi" w:cstheme="minorHAnsi"/>
        </w:rPr>
        <w:t>National Gas (Victoria) Act 2008</w:t>
      </w:r>
    </w:p>
    <w:p w14:paraId="02649B8C" w14:textId="77777777" w:rsidR="00B02873" w:rsidRPr="003237AD" w:rsidRDefault="00B02873" w:rsidP="003237AD">
      <w:pPr>
        <w:pStyle w:val="Normalbeforebullet"/>
        <w:keepNext w:val="0"/>
        <w:rPr>
          <w:rStyle w:val="LightItalic"/>
          <w:rFonts w:asciiTheme="minorHAnsi" w:hAnsiTheme="minorHAnsi" w:cstheme="minorHAnsi"/>
        </w:rPr>
      </w:pPr>
      <w:r w:rsidRPr="003237AD">
        <w:rPr>
          <w:rStyle w:val="LightItalic"/>
          <w:rFonts w:asciiTheme="minorHAnsi" w:hAnsiTheme="minorHAnsi" w:cstheme="minorHAnsi"/>
        </w:rPr>
        <w:t>Pipelines Act 2005</w:t>
      </w:r>
    </w:p>
    <w:p w14:paraId="68AFE967" w14:textId="77777777" w:rsidR="00B02873" w:rsidRPr="003237AD" w:rsidRDefault="00B02873" w:rsidP="003237AD">
      <w:pPr>
        <w:pStyle w:val="Normalbeforebullet"/>
        <w:keepNext w:val="0"/>
        <w:rPr>
          <w:rStyle w:val="LightItalic"/>
          <w:rFonts w:asciiTheme="minorHAnsi" w:hAnsiTheme="minorHAnsi" w:cstheme="minorHAnsi"/>
        </w:rPr>
      </w:pPr>
      <w:r w:rsidRPr="003237AD">
        <w:rPr>
          <w:rStyle w:val="LightItalic"/>
          <w:rFonts w:asciiTheme="minorHAnsi" w:hAnsiTheme="minorHAnsi" w:cstheme="minorHAnsi"/>
        </w:rPr>
        <w:t>Renewable Energy (Jobs and Investment) Act 2017</w:t>
      </w:r>
    </w:p>
    <w:p w14:paraId="3F9A0051" w14:textId="77777777" w:rsidR="00B02873" w:rsidRDefault="00B02873" w:rsidP="003237AD">
      <w:r>
        <w:t>Except sections 8 and 10 which are jointly and severally administered with the Minister for Solar Homes in so far as these provisions relate to the Solar Homes program</w:t>
      </w:r>
    </w:p>
    <w:p w14:paraId="120B037D" w14:textId="77777777" w:rsidR="00B02873" w:rsidRPr="003237AD" w:rsidRDefault="00B02873" w:rsidP="003237AD">
      <w:pPr>
        <w:pStyle w:val="Normalbeforebullet"/>
        <w:rPr>
          <w:rStyle w:val="LightItalic"/>
          <w:rFonts w:asciiTheme="minorHAnsi" w:hAnsiTheme="minorHAnsi" w:cstheme="minorHAnsi"/>
        </w:rPr>
      </w:pPr>
      <w:r w:rsidRPr="003237AD">
        <w:rPr>
          <w:rStyle w:val="LightItalic"/>
          <w:rFonts w:asciiTheme="minorHAnsi" w:hAnsiTheme="minorHAnsi" w:cstheme="minorHAnsi"/>
        </w:rPr>
        <w:lastRenderedPageBreak/>
        <w:t>State Electricity Commission Act 1958</w:t>
      </w:r>
    </w:p>
    <w:p w14:paraId="4B9180A4" w14:textId="77777777" w:rsidR="00B02873" w:rsidRDefault="00B02873" w:rsidP="003237AD">
      <w:r>
        <w:t>Section 107 only, the Act is otherwise administered by the Treasurer.</w:t>
      </w:r>
    </w:p>
    <w:p w14:paraId="2800F031" w14:textId="77777777" w:rsidR="00B02873" w:rsidRPr="00FD2A59" w:rsidRDefault="00B02873" w:rsidP="00FD2A59">
      <w:pPr>
        <w:pStyle w:val="Normalbeforebullet"/>
        <w:rPr>
          <w:rStyle w:val="LightItalic"/>
          <w:rFonts w:asciiTheme="minorHAnsi" w:hAnsiTheme="minorHAnsi" w:cstheme="minorHAnsi"/>
        </w:rPr>
      </w:pPr>
      <w:r w:rsidRPr="00FD2A59">
        <w:rPr>
          <w:rStyle w:val="LightItalic"/>
          <w:rFonts w:asciiTheme="minorHAnsi" w:hAnsiTheme="minorHAnsi" w:cstheme="minorHAnsi"/>
        </w:rPr>
        <w:t>Victorian Energy Efficiency Target Act 2007</w:t>
      </w:r>
    </w:p>
    <w:p w14:paraId="470B4EC2" w14:textId="77777777" w:rsidR="00B02873" w:rsidRPr="00FD2A59" w:rsidRDefault="00B02873" w:rsidP="00FD2A59">
      <w:pPr>
        <w:rPr>
          <w:rStyle w:val="LightItalic"/>
          <w:rFonts w:asciiTheme="minorHAnsi" w:hAnsiTheme="minorHAnsi" w:cstheme="minorHAnsi"/>
        </w:rPr>
      </w:pPr>
      <w:r w:rsidRPr="00FD2A59">
        <w:rPr>
          <w:rStyle w:val="LightItalic"/>
          <w:rFonts w:asciiTheme="minorHAnsi" w:hAnsiTheme="minorHAnsi" w:cstheme="minorHAnsi"/>
        </w:rPr>
        <w:t>Victorian Renewable Energy Act 2006</w:t>
      </w:r>
    </w:p>
    <w:p w14:paraId="17D942D8" w14:textId="77777777" w:rsidR="00B02873" w:rsidRDefault="00B02873" w:rsidP="00FD2A59">
      <w:pPr>
        <w:pStyle w:val="Heading3"/>
      </w:pPr>
      <w:r>
        <w:t>Minister for Environment and Climate Action</w:t>
      </w:r>
    </w:p>
    <w:p w14:paraId="04E60E32" w14:textId="77777777" w:rsidR="00B02873" w:rsidRPr="00FD2A59" w:rsidRDefault="00B02873" w:rsidP="00FD2A59">
      <w:pPr>
        <w:pStyle w:val="Normalbeforebullet"/>
        <w:rPr>
          <w:rStyle w:val="LightItalic"/>
          <w:rFonts w:asciiTheme="minorHAnsi" w:hAnsiTheme="minorHAnsi" w:cstheme="minorHAnsi"/>
        </w:rPr>
      </w:pPr>
      <w:r w:rsidRPr="00FD2A59">
        <w:rPr>
          <w:rStyle w:val="LightItalic"/>
          <w:rFonts w:asciiTheme="minorHAnsi" w:hAnsiTheme="minorHAnsi" w:cstheme="minorHAnsi"/>
        </w:rPr>
        <w:t>Aboriginal Lands Act 1991</w:t>
      </w:r>
    </w:p>
    <w:p w14:paraId="08BB50B6" w14:textId="77777777" w:rsidR="00B02873" w:rsidRPr="00DE1FCE" w:rsidRDefault="00B02873" w:rsidP="00FD2A59">
      <w:pPr>
        <w:rPr>
          <w:rStyle w:val="LightItalic"/>
          <w:rFonts w:asciiTheme="minorHAnsi" w:hAnsiTheme="minorHAnsi" w:cstheme="minorHAnsi"/>
          <w:i w:val="0"/>
          <w:iCs w:val="0"/>
        </w:rPr>
      </w:pPr>
      <w:r>
        <w:t>The Act is jointly and severally administered with the Minister for Treaty and First Peoples</w:t>
      </w:r>
    </w:p>
    <w:p w14:paraId="1514009B" w14:textId="77777777" w:rsidR="00B02873" w:rsidRPr="00FD2A59" w:rsidRDefault="00B02873" w:rsidP="00FD2A59">
      <w:pPr>
        <w:pStyle w:val="Normalbeforebullet"/>
        <w:keepNext w:val="0"/>
        <w:rPr>
          <w:rStyle w:val="LightItalic"/>
          <w:rFonts w:asciiTheme="minorHAnsi" w:hAnsiTheme="minorHAnsi" w:cstheme="minorHAnsi"/>
        </w:rPr>
      </w:pPr>
      <w:r w:rsidRPr="00FD2A59">
        <w:rPr>
          <w:rStyle w:val="LightItalic"/>
          <w:rFonts w:asciiTheme="minorHAnsi" w:hAnsiTheme="minorHAnsi" w:cstheme="minorHAnsi"/>
        </w:rPr>
        <w:t>Alpine Resorts Act 1983</w:t>
      </w:r>
    </w:p>
    <w:p w14:paraId="3B67ED69" w14:textId="77777777" w:rsidR="00B02873" w:rsidRPr="00FD2A59" w:rsidRDefault="00B02873" w:rsidP="00FD2A59">
      <w:pPr>
        <w:pStyle w:val="Normalbeforebullet"/>
        <w:keepNext w:val="0"/>
        <w:rPr>
          <w:rStyle w:val="LightItalic"/>
          <w:rFonts w:asciiTheme="minorHAnsi" w:hAnsiTheme="minorHAnsi" w:cstheme="minorHAnsi"/>
        </w:rPr>
      </w:pPr>
      <w:r w:rsidRPr="00FD2A59">
        <w:rPr>
          <w:rStyle w:val="LightItalic"/>
          <w:rFonts w:asciiTheme="minorHAnsi" w:hAnsiTheme="minorHAnsi" w:cstheme="minorHAnsi"/>
        </w:rPr>
        <w:t>Alpine Resorts (Management) Act 1997</w:t>
      </w:r>
    </w:p>
    <w:p w14:paraId="1D0BAA57" w14:textId="77777777" w:rsidR="00B02873" w:rsidRPr="00FD2A59" w:rsidRDefault="00B02873" w:rsidP="00FD2A59">
      <w:pPr>
        <w:pStyle w:val="Normalbeforebullet"/>
        <w:rPr>
          <w:rStyle w:val="LightItalic"/>
          <w:rFonts w:asciiTheme="minorHAnsi" w:hAnsiTheme="minorHAnsi" w:cstheme="minorHAnsi"/>
        </w:rPr>
      </w:pPr>
      <w:r w:rsidRPr="00FD2A59">
        <w:rPr>
          <w:rStyle w:val="LightItalic"/>
          <w:rFonts w:asciiTheme="minorHAnsi" w:hAnsiTheme="minorHAnsi" w:cstheme="minorHAnsi"/>
        </w:rPr>
        <w:t>Catchment and Land Protection Act 1994</w:t>
      </w:r>
    </w:p>
    <w:p w14:paraId="6392933C" w14:textId="77777777" w:rsidR="00B02873" w:rsidRPr="00DE1FCE" w:rsidRDefault="00B02873" w:rsidP="00FD2A59">
      <w:pPr>
        <w:rPr>
          <w:rStyle w:val="LightItalic"/>
          <w:rFonts w:ascii="Arial" w:hAnsi="Arial"/>
          <w:i w:val="0"/>
          <w:iCs w:val="0"/>
        </w:rPr>
      </w:pPr>
      <w:r>
        <w:t>The Act is jointly and severally administered with the Minister for Water.</w:t>
      </w:r>
    </w:p>
    <w:p w14:paraId="09275784" w14:textId="77777777" w:rsidR="00B02873" w:rsidRPr="00FD2A59" w:rsidRDefault="00B02873" w:rsidP="00FD2A59">
      <w:pPr>
        <w:pStyle w:val="Normalbeforebullet"/>
        <w:keepNext w:val="0"/>
        <w:rPr>
          <w:rStyle w:val="LightItalic"/>
          <w:rFonts w:asciiTheme="minorHAnsi" w:hAnsiTheme="minorHAnsi" w:cstheme="minorHAnsi"/>
        </w:rPr>
      </w:pPr>
      <w:r w:rsidRPr="00FD2A59">
        <w:rPr>
          <w:rStyle w:val="LightItalic"/>
          <w:rFonts w:asciiTheme="minorHAnsi" w:hAnsiTheme="minorHAnsi" w:cstheme="minorHAnsi"/>
        </w:rPr>
        <w:t>Caulfield Racecourse Reserve Act 2017</w:t>
      </w:r>
    </w:p>
    <w:p w14:paraId="455519F3" w14:textId="77777777" w:rsidR="00B02873" w:rsidRPr="00FD2A59" w:rsidRDefault="00B02873" w:rsidP="00FD2A59">
      <w:pPr>
        <w:pStyle w:val="Normalbeforebullet"/>
        <w:keepNext w:val="0"/>
        <w:rPr>
          <w:rStyle w:val="LightItalic"/>
          <w:rFonts w:asciiTheme="minorHAnsi" w:hAnsiTheme="minorHAnsi" w:cstheme="minorHAnsi"/>
        </w:rPr>
      </w:pPr>
      <w:r w:rsidRPr="00FD2A59">
        <w:rPr>
          <w:rStyle w:val="LightItalic"/>
          <w:rFonts w:asciiTheme="minorHAnsi" w:hAnsiTheme="minorHAnsi" w:cstheme="minorHAnsi"/>
        </w:rPr>
        <w:t>Circular Economy (Waste Reduction and Recycling) Act 2021</w:t>
      </w:r>
    </w:p>
    <w:p w14:paraId="6CD1658D" w14:textId="77777777" w:rsidR="00B02873" w:rsidRPr="00FD2A59" w:rsidRDefault="00B02873" w:rsidP="00FD2A59">
      <w:pPr>
        <w:pStyle w:val="Normalbeforebullet"/>
        <w:rPr>
          <w:rStyle w:val="LightItalic"/>
          <w:rFonts w:asciiTheme="minorHAnsi" w:hAnsiTheme="minorHAnsi" w:cstheme="minorHAnsi"/>
        </w:rPr>
      </w:pPr>
      <w:r w:rsidRPr="00FD2A59">
        <w:rPr>
          <w:rStyle w:val="LightItalic"/>
          <w:rFonts w:asciiTheme="minorHAnsi" w:hAnsiTheme="minorHAnsi" w:cstheme="minorHAnsi"/>
        </w:rPr>
        <w:t>Climate Change Act 2017</w:t>
      </w:r>
    </w:p>
    <w:p w14:paraId="3831D01A" w14:textId="77777777" w:rsidR="00B02873" w:rsidRPr="00DE1FCE" w:rsidRDefault="00B02873" w:rsidP="00FD2A59">
      <w:pPr>
        <w:rPr>
          <w:rStyle w:val="LightItalic"/>
          <w:rFonts w:ascii="Arial" w:hAnsi="Arial"/>
          <w:i w:val="0"/>
          <w:iCs w:val="0"/>
        </w:rPr>
      </w:pPr>
      <w:r>
        <w:t>Except certain provisions jointly administered with the Premier and jointly and severally administered with the Minister for Solar Homes in so far as those provisions relate to the Solar Homes program.</w:t>
      </w:r>
    </w:p>
    <w:p w14:paraId="6A095547" w14:textId="77777777" w:rsidR="00B02873" w:rsidRPr="00FD2A59" w:rsidRDefault="00B02873" w:rsidP="00FD2A59">
      <w:pPr>
        <w:pStyle w:val="Normalbeforebullet"/>
        <w:keepNext w:val="0"/>
        <w:rPr>
          <w:rStyle w:val="LightItalic"/>
          <w:rFonts w:asciiTheme="minorHAnsi" w:hAnsiTheme="minorHAnsi" w:cstheme="minorHAnsi"/>
        </w:rPr>
      </w:pPr>
      <w:r w:rsidRPr="00FD2A59">
        <w:rPr>
          <w:rStyle w:val="LightItalic"/>
          <w:rFonts w:asciiTheme="minorHAnsi" w:hAnsiTheme="minorHAnsi" w:cstheme="minorHAnsi"/>
        </w:rPr>
        <w:t>Commissioner for Environmental Sustainability Act 2003</w:t>
      </w:r>
    </w:p>
    <w:p w14:paraId="03196AD9" w14:textId="77777777" w:rsidR="00B02873" w:rsidRPr="00FD2A59" w:rsidRDefault="00B02873" w:rsidP="00FD2A59">
      <w:pPr>
        <w:pStyle w:val="Normalbeforebullet"/>
        <w:keepNext w:val="0"/>
        <w:rPr>
          <w:rStyle w:val="LightItalic"/>
          <w:rFonts w:asciiTheme="minorHAnsi" w:hAnsiTheme="minorHAnsi" w:cstheme="minorHAnsi"/>
        </w:rPr>
      </w:pPr>
      <w:r w:rsidRPr="00FD2A59">
        <w:rPr>
          <w:rStyle w:val="LightItalic"/>
          <w:rFonts w:asciiTheme="minorHAnsi" w:hAnsiTheme="minorHAnsi" w:cstheme="minorHAnsi"/>
        </w:rPr>
        <w:t>Conservation, Forests and Lands Act 1987</w:t>
      </w:r>
    </w:p>
    <w:p w14:paraId="0124C973" w14:textId="77777777" w:rsidR="00B02873" w:rsidRDefault="00B02873" w:rsidP="00FD2A59">
      <w:r>
        <w:t>Except certain provisions administered by the Minister for Fishing and Boating and jointly and severally administered with the Minister for Water or jointly administered with, jointly and severally administered with, or solely administered by, the Minister for Agriculture.</w:t>
      </w:r>
    </w:p>
    <w:p w14:paraId="7B50E03F" w14:textId="77777777" w:rsidR="00B02873" w:rsidRPr="00FD2A59" w:rsidRDefault="00B02873" w:rsidP="00FD2A59">
      <w:pPr>
        <w:pStyle w:val="Normalbeforebullet"/>
        <w:keepNext w:val="0"/>
        <w:rPr>
          <w:rStyle w:val="LightItalic"/>
          <w:rFonts w:asciiTheme="minorHAnsi" w:hAnsiTheme="minorHAnsi" w:cstheme="minorHAnsi"/>
        </w:rPr>
      </w:pPr>
      <w:r w:rsidRPr="00FD2A59">
        <w:rPr>
          <w:rStyle w:val="LightItalic"/>
          <w:rFonts w:asciiTheme="minorHAnsi" w:hAnsiTheme="minorHAnsi" w:cstheme="minorHAnsi"/>
        </w:rPr>
        <w:t>Crown Land (Reserves) Act 1978</w:t>
      </w:r>
    </w:p>
    <w:p w14:paraId="68B7CCCF" w14:textId="77777777" w:rsidR="00B02873" w:rsidRPr="00DE1FCE" w:rsidRDefault="00B02873" w:rsidP="00FD2A59">
      <w:pPr>
        <w:rPr>
          <w:rStyle w:val="LightItalic"/>
          <w:rFonts w:ascii="Arial" w:hAnsi="Arial"/>
          <w:i w:val="0"/>
          <w:iCs w:val="0"/>
        </w:rPr>
      </w:pPr>
      <w:r>
        <w:t>Except certain provisions for Crown Allotments administered by the Premier, the Assistant Treasurer, the Minister for Business Precincts, the Minister for Ports and Freight, the Minister for Tourism, Sport and Major Events, the Minister for Corrections and the Minister for Health.</w:t>
      </w:r>
    </w:p>
    <w:p w14:paraId="6E391F00" w14:textId="77777777" w:rsidR="00B02873" w:rsidRPr="00FD2A59" w:rsidRDefault="00B02873" w:rsidP="00FD2A59">
      <w:pPr>
        <w:pStyle w:val="Normalbeforebullet"/>
        <w:keepNext w:val="0"/>
        <w:rPr>
          <w:rStyle w:val="LightItalic"/>
          <w:rFonts w:asciiTheme="minorHAnsi" w:hAnsiTheme="minorHAnsi" w:cstheme="minorHAnsi"/>
        </w:rPr>
      </w:pPr>
      <w:r w:rsidRPr="00FD2A59">
        <w:rPr>
          <w:rStyle w:val="LightItalic"/>
          <w:rFonts w:asciiTheme="minorHAnsi" w:hAnsiTheme="minorHAnsi" w:cstheme="minorHAnsi"/>
        </w:rPr>
        <w:t>Cultural and Recreational Lands Act 1963</w:t>
      </w:r>
    </w:p>
    <w:p w14:paraId="2067423B" w14:textId="77777777" w:rsidR="00B02873" w:rsidRPr="00FD2A59" w:rsidRDefault="00B02873" w:rsidP="00FD2A59">
      <w:pPr>
        <w:pStyle w:val="Normalbeforebullet"/>
        <w:keepNext w:val="0"/>
        <w:rPr>
          <w:rStyle w:val="LightItalic"/>
          <w:rFonts w:asciiTheme="minorHAnsi" w:hAnsiTheme="minorHAnsi" w:cstheme="minorHAnsi"/>
        </w:rPr>
      </w:pPr>
      <w:r w:rsidRPr="00FD2A59">
        <w:rPr>
          <w:rStyle w:val="LightItalic"/>
          <w:rFonts w:asciiTheme="minorHAnsi" w:hAnsiTheme="minorHAnsi" w:cstheme="minorHAnsi"/>
        </w:rPr>
        <w:t>Dental Hospital Land Act 2011</w:t>
      </w:r>
    </w:p>
    <w:p w14:paraId="34649565" w14:textId="77777777" w:rsidR="00B02873" w:rsidRPr="00FD2A59" w:rsidRDefault="00B02873" w:rsidP="00FD2A59">
      <w:pPr>
        <w:pStyle w:val="Normalbeforebullet"/>
        <w:keepNext w:val="0"/>
        <w:rPr>
          <w:rStyle w:val="LightItalic"/>
          <w:rFonts w:asciiTheme="minorHAnsi" w:hAnsiTheme="minorHAnsi" w:cstheme="minorHAnsi"/>
        </w:rPr>
      </w:pPr>
      <w:r w:rsidRPr="00FD2A59">
        <w:rPr>
          <w:rStyle w:val="LightItalic"/>
          <w:rFonts w:asciiTheme="minorHAnsi" w:hAnsiTheme="minorHAnsi" w:cstheme="minorHAnsi"/>
        </w:rPr>
        <w:t>Environment Protection Act 1970</w:t>
      </w:r>
    </w:p>
    <w:p w14:paraId="11C413DE" w14:textId="77777777" w:rsidR="00B02873" w:rsidRPr="00FD2A59" w:rsidRDefault="00B02873" w:rsidP="00FD2A59">
      <w:pPr>
        <w:pStyle w:val="Normalbeforebullet"/>
        <w:keepNext w:val="0"/>
        <w:rPr>
          <w:rStyle w:val="LightItalic"/>
          <w:rFonts w:asciiTheme="minorHAnsi" w:hAnsiTheme="minorHAnsi" w:cstheme="minorHAnsi"/>
        </w:rPr>
      </w:pPr>
      <w:r w:rsidRPr="00FD2A59">
        <w:rPr>
          <w:rStyle w:val="LightItalic"/>
          <w:rFonts w:asciiTheme="minorHAnsi" w:hAnsiTheme="minorHAnsi" w:cstheme="minorHAnsi"/>
        </w:rPr>
        <w:t>Environment Protection Act 2017</w:t>
      </w:r>
    </w:p>
    <w:p w14:paraId="2A3AECC3" w14:textId="77777777" w:rsidR="00B02873" w:rsidRPr="00FD2A59" w:rsidRDefault="00B02873" w:rsidP="00FD2A59">
      <w:pPr>
        <w:pStyle w:val="Normalbeforebullet"/>
        <w:keepNext w:val="0"/>
        <w:rPr>
          <w:rStyle w:val="LightItalic"/>
          <w:rFonts w:asciiTheme="minorHAnsi" w:hAnsiTheme="minorHAnsi" w:cstheme="minorHAnsi"/>
        </w:rPr>
      </w:pPr>
      <w:r w:rsidRPr="00FD2A59">
        <w:rPr>
          <w:rStyle w:val="LightItalic"/>
          <w:rFonts w:asciiTheme="minorHAnsi" w:hAnsiTheme="minorHAnsi" w:cstheme="minorHAnsi"/>
        </w:rPr>
        <w:t>Flora and Fauna Guarantee Act 1988</w:t>
      </w:r>
    </w:p>
    <w:p w14:paraId="3199C8C3" w14:textId="77777777" w:rsidR="00B02873" w:rsidRPr="00DE1FCE" w:rsidRDefault="00B02873" w:rsidP="00FD2A59">
      <w:pPr>
        <w:rPr>
          <w:rStyle w:val="LightItalic"/>
          <w:rFonts w:ascii="Arial" w:hAnsi="Arial"/>
          <w:i w:val="0"/>
          <w:iCs w:val="0"/>
        </w:rPr>
      </w:pPr>
      <w:r>
        <w:t xml:space="preserve">Except certain provisions jointly administered with the Minister for Agriculture. </w:t>
      </w:r>
    </w:p>
    <w:p w14:paraId="73B7A519" w14:textId="77777777" w:rsidR="00B02873" w:rsidRPr="00FD2A59" w:rsidRDefault="00B02873" w:rsidP="00FD2A59">
      <w:pPr>
        <w:pStyle w:val="Normalbeforebullet"/>
        <w:keepNext w:val="0"/>
        <w:rPr>
          <w:rStyle w:val="LightItalic"/>
          <w:rFonts w:asciiTheme="minorHAnsi" w:hAnsiTheme="minorHAnsi" w:cstheme="minorHAnsi"/>
        </w:rPr>
      </w:pPr>
      <w:r w:rsidRPr="00FD2A59">
        <w:rPr>
          <w:rStyle w:val="LightItalic"/>
          <w:rFonts w:asciiTheme="minorHAnsi" w:hAnsiTheme="minorHAnsi" w:cstheme="minorHAnsi"/>
        </w:rPr>
        <w:t>Forests Act 1958</w:t>
      </w:r>
    </w:p>
    <w:p w14:paraId="67459C20" w14:textId="77777777" w:rsidR="00B02873" w:rsidRPr="00DE1FCE" w:rsidRDefault="00B02873" w:rsidP="00FD2A59">
      <w:pPr>
        <w:rPr>
          <w:rStyle w:val="LightItalic"/>
          <w:rFonts w:ascii="Arial" w:hAnsi="Arial"/>
          <w:i w:val="0"/>
          <w:iCs w:val="0"/>
        </w:rPr>
      </w:pPr>
      <w:r>
        <w:t>Except certain provisions jointly and severally administered with the Minister for Agriculture or solely administered by the Minister for Agriculture.</w:t>
      </w:r>
    </w:p>
    <w:p w14:paraId="74837521" w14:textId="77777777" w:rsidR="00B02873" w:rsidRPr="00FD2A59" w:rsidRDefault="00B02873" w:rsidP="00FD2A59">
      <w:pPr>
        <w:pStyle w:val="Normalbeforebullet"/>
        <w:keepNext w:val="0"/>
        <w:rPr>
          <w:rStyle w:val="LightItalic"/>
          <w:rFonts w:asciiTheme="minorHAnsi" w:hAnsiTheme="minorHAnsi" w:cstheme="minorHAnsi"/>
        </w:rPr>
      </w:pPr>
      <w:r w:rsidRPr="00FD2A59">
        <w:rPr>
          <w:rStyle w:val="LightItalic"/>
          <w:rFonts w:asciiTheme="minorHAnsi" w:hAnsiTheme="minorHAnsi" w:cstheme="minorHAnsi"/>
        </w:rPr>
        <w:t>Geelong Lands (Steampacket Place) Act 1996</w:t>
      </w:r>
    </w:p>
    <w:p w14:paraId="72315657" w14:textId="77777777" w:rsidR="00B02873" w:rsidRPr="00FD2A59" w:rsidRDefault="00B02873" w:rsidP="00FD2A59">
      <w:pPr>
        <w:pStyle w:val="Normalbeforebullet"/>
        <w:keepNext w:val="0"/>
        <w:rPr>
          <w:rStyle w:val="LightItalic"/>
          <w:rFonts w:asciiTheme="minorHAnsi" w:hAnsiTheme="minorHAnsi" w:cstheme="minorHAnsi"/>
        </w:rPr>
      </w:pPr>
      <w:r w:rsidRPr="00FD2A59">
        <w:rPr>
          <w:rStyle w:val="LightItalic"/>
          <w:rFonts w:asciiTheme="minorHAnsi" w:hAnsiTheme="minorHAnsi" w:cstheme="minorHAnsi"/>
        </w:rPr>
        <w:t>Geelong Market Site Act 1983</w:t>
      </w:r>
    </w:p>
    <w:p w14:paraId="69CA4269" w14:textId="77777777" w:rsidR="00B02873" w:rsidRPr="00FD2A59" w:rsidRDefault="00B02873" w:rsidP="00FD2A59">
      <w:pPr>
        <w:pStyle w:val="Normalbeforebullet"/>
        <w:keepNext w:val="0"/>
        <w:rPr>
          <w:rStyle w:val="LightItalic"/>
          <w:rFonts w:asciiTheme="minorHAnsi" w:hAnsiTheme="minorHAnsi" w:cstheme="minorHAnsi"/>
        </w:rPr>
      </w:pPr>
      <w:r w:rsidRPr="00FD2A59">
        <w:rPr>
          <w:rStyle w:val="LightItalic"/>
          <w:rFonts w:asciiTheme="minorHAnsi" w:hAnsiTheme="minorHAnsi" w:cstheme="minorHAnsi"/>
        </w:rPr>
        <w:t>Great Ocean Road and Environs Protection Act 2020</w:t>
      </w:r>
    </w:p>
    <w:p w14:paraId="0F62AB43" w14:textId="77777777" w:rsidR="00B02873" w:rsidRPr="00FD2A59" w:rsidRDefault="00B02873" w:rsidP="00FD2A59">
      <w:pPr>
        <w:pStyle w:val="Normalbeforebullet"/>
        <w:keepNext w:val="0"/>
        <w:rPr>
          <w:rStyle w:val="LightItalic"/>
          <w:rFonts w:asciiTheme="minorHAnsi" w:hAnsiTheme="minorHAnsi" w:cstheme="minorHAnsi"/>
        </w:rPr>
      </w:pPr>
      <w:r w:rsidRPr="00FD2A59">
        <w:rPr>
          <w:rStyle w:val="LightItalic"/>
          <w:rFonts w:asciiTheme="minorHAnsi" w:hAnsiTheme="minorHAnsi" w:cstheme="minorHAnsi"/>
        </w:rPr>
        <w:lastRenderedPageBreak/>
        <w:t>Heritage Rivers Act 1992</w:t>
      </w:r>
    </w:p>
    <w:p w14:paraId="5750D925" w14:textId="77777777" w:rsidR="00B02873" w:rsidRPr="00FD2A59" w:rsidRDefault="00B02873" w:rsidP="00FD2A59">
      <w:pPr>
        <w:pStyle w:val="Normalbeforebullet"/>
        <w:keepNext w:val="0"/>
        <w:rPr>
          <w:rStyle w:val="LightItalic"/>
          <w:rFonts w:asciiTheme="minorHAnsi" w:hAnsiTheme="minorHAnsi" w:cstheme="minorHAnsi"/>
        </w:rPr>
      </w:pPr>
      <w:r w:rsidRPr="00FD2A59">
        <w:rPr>
          <w:rStyle w:val="LightItalic"/>
          <w:rFonts w:asciiTheme="minorHAnsi" w:hAnsiTheme="minorHAnsi" w:cstheme="minorHAnsi"/>
        </w:rPr>
        <w:t>Land Act 1958</w:t>
      </w:r>
    </w:p>
    <w:p w14:paraId="53A735EF" w14:textId="77777777" w:rsidR="00B02873" w:rsidRPr="00DE1FCE" w:rsidRDefault="00B02873" w:rsidP="00FD2A59">
      <w:pPr>
        <w:rPr>
          <w:rStyle w:val="LightItalic"/>
          <w:rFonts w:ascii="Arial" w:hAnsi="Arial"/>
          <w:i w:val="0"/>
          <w:iCs w:val="0"/>
        </w:rPr>
      </w:pPr>
      <w:r>
        <w:t>Except certain provisions for Crown Allotments jointly administered with the Assistant Treasurer, or administered by the Assistant Treasurer, the Attorney-General, the Minister for Corrections, the Minister for Health, the Minister for Government Services, the Minister for Ports and Freight, Minister for Roads and Road Safety and the Minister for Creative Industries.</w:t>
      </w:r>
    </w:p>
    <w:p w14:paraId="50CCF554" w14:textId="77777777" w:rsidR="00B02873" w:rsidRPr="00FD2A59" w:rsidRDefault="00B02873" w:rsidP="00FD2A59">
      <w:pPr>
        <w:pStyle w:val="Normalbeforebullet"/>
        <w:keepNext w:val="0"/>
        <w:rPr>
          <w:rStyle w:val="LightItalic"/>
          <w:rFonts w:asciiTheme="minorHAnsi" w:hAnsiTheme="minorHAnsi" w:cstheme="minorHAnsi"/>
        </w:rPr>
      </w:pPr>
      <w:r w:rsidRPr="00FD2A59">
        <w:rPr>
          <w:rStyle w:val="LightItalic"/>
          <w:rFonts w:asciiTheme="minorHAnsi" w:hAnsiTheme="minorHAnsi" w:cstheme="minorHAnsi"/>
        </w:rPr>
        <w:t>Land Conservation (Vehicle Control) Act 1972</w:t>
      </w:r>
    </w:p>
    <w:p w14:paraId="61EC79BF" w14:textId="77777777" w:rsidR="00B02873" w:rsidRPr="00DE1FCE" w:rsidRDefault="00B02873" w:rsidP="00FD2A59">
      <w:pPr>
        <w:rPr>
          <w:rStyle w:val="LightItalic"/>
          <w:rFonts w:ascii="Arial" w:hAnsi="Arial"/>
          <w:i w:val="0"/>
          <w:iCs w:val="0"/>
        </w:rPr>
      </w:pPr>
      <w:r>
        <w:t>Except section 3 which is jointly administered with the Minister for Agriculture.</w:t>
      </w:r>
    </w:p>
    <w:p w14:paraId="4807733F" w14:textId="77777777" w:rsidR="00B02873" w:rsidRPr="00FD2A59" w:rsidRDefault="00B02873" w:rsidP="00FD2A59">
      <w:pPr>
        <w:pStyle w:val="Normalbeforebullet"/>
        <w:keepNext w:val="0"/>
        <w:rPr>
          <w:rStyle w:val="LightItalic"/>
          <w:rFonts w:asciiTheme="minorHAnsi" w:hAnsiTheme="minorHAnsi" w:cstheme="minorHAnsi"/>
        </w:rPr>
      </w:pPr>
      <w:r w:rsidRPr="00FD2A59">
        <w:rPr>
          <w:rStyle w:val="LightItalic"/>
          <w:rFonts w:asciiTheme="minorHAnsi" w:hAnsiTheme="minorHAnsi" w:cstheme="minorHAnsi"/>
        </w:rPr>
        <w:t>Land (Further Miscellaneous Matters) Act 1990</w:t>
      </w:r>
    </w:p>
    <w:p w14:paraId="60DD1013" w14:textId="77777777" w:rsidR="00B02873" w:rsidRPr="00FD2A59" w:rsidRDefault="00B02873" w:rsidP="00FD2A59">
      <w:pPr>
        <w:pStyle w:val="Normalbeforebullet"/>
        <w:keepNext w:val="0"/>
        <w:rPr>
          <w:rStyle w:val="LightItalic"/>
          <w:rFonts w:asciiTheme="minorHAnsi" w:hAnsiTheme="minorHAnsi" w:cstheme="minorHAnsi"/>
        </w:rPr>
      </w:pPr>
      <w:r w:rsidRPr="00FD2A59">
        <w:rPr>
          <w:rStyle w:val="LightItalic"/>
          <w:rFonts w:asciiTheme="minorHAnsi" w:hAnsiTheme="minorHAnsi" w:cstheme="minorHAnsi"/>
        </w:rPr>
        <w:t>Land (Goonawarra Golf Course) Act 1988</w:t>
      </w:r>
    </w:p>
    <w:p w14:paraId="1BBEA117" w14:textId="77777777" w:rsidR="00B02873" w:rsidRPr="00FD2A59" w:rsidRDefault="00B02873" w:rsidP="00FD2A59">
      <w:pPr>
        <w:pStyle w:val="Normalbeforebullet"/>
        <w:keepNext w:val="0"/>
        <w:rPr>
          <w:rStyle w:val="LightItalic"/>
          <w:rFonts w:asciiTheme="minorHAnsi" w:hAnsiTheme="minorHAnsi" w:cstheme="minorHAnsi"/>
        </w:rPr>
      </w:pPr>
      <w:r w:rsidRPr="00FD2A59">
        <w:rPr>
          <w:rStyle w:val="LightItalic"/>
          <w:rFonts w:asciiTheme="minorHAnsi" w:hAnsiTheme="minorHAnsi" w:cstheme="minorHAnsi"/>
        </w:rPr>
        <w:t>Land (Miscellaneous Matters) Act 1988</w:t>
      </w:r>
    </w:p>
    <w:p w14:paraId="7B36B051" w14:textId="77777777" w:rsidR="00B02873" w:rsidRPr="00FD2A59" w:rsidRDefault="00B02873" w:rsidP="00FD2A59">
      <w:pPr>
        <w:pStyle w:val="Normalbeforebullet"/>
        <w:keepNext w:val="0"/>
        <w:rPr>
          <w:rStyle w:val="LightItalic"/>
          <w:rFonts w:asciiTheme="minorHAnsi" w:hAnsiTheme="minorHAnsi" w:cstheme="minorHAnsi"/>
        </w:rPr>
      </w:pPr>
      <w:r w:rsidRPr="00FD2A59">
        <w:rPr>
          <w:rStyle w:val="LightItalic"/>
          <w:rFonts w:asciiTheme="minorHAnsi" w:hAnsiTheme="minorHAnsi" w:cstheme="minorHAnsi"/>
        </w:rPr>
        <w:t>Land (Miscellaneous Matters) Act 2005</w:t>
      </w:r>
    </w:p>
    <w:p w14:paraId="7C16FFC5" w14:textId="77777777" w:rsidR="00B02873" w:rsidRPr="00FD2A59" w:rsidRDefault="00B02873" w:rsidP="00FD2A59">
      <w:pPr>
        <w:pStyle w:val="Normalbeforebullet"/>
        <w:keepNext w:val="0"/>
        <w:rPr>
          <w:rStyle w:val="LightItalic"/>
          <w:rFonts w:asciiTheme="minorHAnsi" w:hAnsiTheme="minorHAnsi" w:cstheme="minorHAnsi"/>
        </w:rPr>
      </w:pPr>
      <w:r w:rsidRPr="00FD2A59">
        <w:rPr>
          <w:rStyle w:val="LightItalic"/>
          <w:rFonts w:asciiTheme="minorHAnsi" w:hAnsiTheme="minorHAnsi" w:cstheme="minorHAnsi"/>
        </w:rPr>
        <w:t>Land (Reservations and other Matters) Act 1997</w:t>
      </w:r>
    </w:p>
    <w:p w14:paraId="195F1B96" w14:textId="77777777" w:rsidR="00B02873" w:rsidRPr="00FD2A59" w:rsidRDefault="00B02873" w:rsidP="00FD2A59">
      <w:pPr>
        <w:pStyle w:val="Normalbeforebullet"/>
        <w:keepNext w:val="0"/>
        <w:rPr>
          <w:rStyle w:val="LightItalic"/>
          <w:rFonts w:asciiTheme="minorHAnsi" w:hAnsiTheme="minorHAnsi" w:cstheme="minorHAnsi"/>
        </w:rPr>
      </w:pPr>
      <w:r w:rsidRPr="00FD2A59">
        <w:rPr>
          <w:rStyle w:val="LightItalic"/>
          <w:rFonts w:asciiTheme="minorHAnsi" w:hAnsiTheme="minorHAnsi" w:cstheme="minorHAnsi"/>
        </w:rPr>
        <w:t>Land (Reservations and other Matters) Act 1999</w:t>
      </w:r>
    </w:p>
    <w:p w14:paraId="70B1F612" w14:textId="77777777" w:rsidR="00B02873" w:rsidRPr="00FD2A59" w:rsidRDefault="00B02873" w:rsidP="00FD2A59">
      <w:pPr>
        <w:pStyle w:val="Normalbeforebullet"/>
        <w:keepNext w:val="0"/>
        <w:rPr>
          <w:rStyle w:val="LightItalic"/>
          <w:rFonts w:asciiTheme="minorHAnsi" w:hAnsiTheme="minorHAnsi" w:cstheme="minorHAnsi"/>
        </w:rPr>
      </w:pPr>
      <w:r w:rsidRPr="00FD2A59">
        <w:rPr>
          <w:rStyle w:val="LightItalic"/>
          <w:rFonts w:asciiTheme="minorHAnsi" w:hAnsiTheme="minorHAnsi" w:cstheme="minorHAnsi"/>
        </w:rPr>
        <w:t>Land (Revocation of Reservations – Metropolitan Land) Act 2016</w:t>
      </w:r>
    </w:p>
    <w:p w14:paraId="763A13A9" w14:textId="77777777" w:rsidR="00B02873" w:rsidRPr="00FD2A59" w:rsidRDefault="00B02873" w:rsidP="00FD2A59">
      <w:pPr>
        <w:pStyle w:val="Normalbeforebullet"/>
        <w:keepNext w:val="0"/>
        <w:rPr>
          <w:rStyle w:val="LightItalic"/>
          <w:rFonts w:asciiTheme="minorHAnsi" w:hAnsiTheme="minorHAnsi" w:cstheme="minorHAnsi"/>
        </w:rPr>
      </w:pPr>
      <w:r w:rsidRPr="00FD2A59">
        <w:rPr>
          <w:rStyle w:val="LightItalic"/>
          <w:rFonts w:asciiTheme="minorHAnsi" w:hAnsiTheme="minorHAnsi" w:cstheme="minorHAnsi"/>
        </w:rPr>
        <w:t>Land (Revocation of Reservations – Regional Victoria Land) Act 2016</w:t>
      </w:r>
    </w:p>
    <w:p w14:paraId="2D1135CE" w14:textId="77777777" w:rsidR="00B02873" w:rsidRPr="00FD2A59" w:rsidRDefault="00B02873" w:rsidP="00FD2A59">
      <w:pPr>
        <w:pStyle w:val="Normalbeforebullet"/>
        <w:keepNext w:val="0"/>
        <w:rPr>
          <w:rStyle w:val="LightItalic"/>
          <w:rFonts w:asciiTheme="minorHAnsi" w:hAnsiTheme="minorHAnsi" w:cstheme="minorHAnsi"/>
        </w:rPr>
      </w:pPr>
      <w:r w:rsidRPr="00FD2A59">
        <w:rPr>
          <w:rStyle w:val="LightItalic"/>
          <w:rFonts w:asciiTheme="minorHAnsi" w:hAnsiTheme="minorHAnsi" w:cstheme="minorHAnsi"/>
        </w:rPr>
        <w:t>Land (Revocation of Reservations) Act 2008</w:t>
      </w:r>
    </w:p>
    <w:p w14:paraId="0849D99C" w14:textId="77777777" w:rsidR="00B02873" w:rsidRPr="00FD2A59" w:rsidRDefault="00B02873" w:rsidP="00FD2A59">
      <w:pPr>
        <w:pStyle w:val="Normalbeforebullet"/>
        <w:keepNext w:val="0"/>
        <w:rPr>
          <w:rStyle w:val="LightItalic"/>
          <w:rFonts w:asciiTheme="minorHAnsi" w:hAnsiTheme="minorHAnsi" w:cstheme="minorHAnsi"/>
        </w:rPr>
      </w:pPr>
      <w:r w:rsidRPr="00FD2A59">
        <w:rPr>
          <w:rStyle w:val="LightItalic"/>
          <w:rFonts w:asciiTheme="minorHAnsi" w:hAnsiTheme="minorHAnsi" w:cstheme="minorHAnsi"/>
        </w:rPr>
        <w:t>Land (Revocation of Reservations) Act 2012</w:t>
      </w:r>
    </w:p>
    <w:p w14:paraId="142DEAE0" w14:textId="77777777" w:rsidR="00B02873" w:rsidRPr="00FD2A59" w:rsidRDefault="00B02873" w:rsidP="00FD2A59">
      <w:pPr>
        <w:pStyle w:val="Normalbeforebullet"/>
        <w:keepNext w:val="0"/>
        <w:rPr>
          <w:rStyle w:val="LightItalic"/>
          <w:rFonts w:asciiTheme="minorHAnsi" w:hAnsiTheme="minorHAnsi" w:cstheme="minorHAnsi"/>
        </w:rPr>
      </w:pPr>
      <w:r w:rsidRPr="00FD2A59">
        <w:rPr>
          <w:rStyle w:val="LightItalic"/>
          <w:rFonts w:asciiTheme="minorHAnsi" w:hAnsiTheme="minorHAnsi" w:cstheme="minorHAnsi"/>
        </w:rPr>
        <w:t>Land (Revocation of Reservations) Act 2016</w:t>
      </w:r>
    </w:p>
    <w:p w14:paraId="40984581" w14:textId="77777777" w:rsidR="00B02873" w:rsidRPr="00FD2A59" w:rsidRDefault="00B02873" w:rsidP="00FD2A59">
      <w:pPr>
        <w:pStyle w:val="Normalbeforebullet"/>
        <w:keepNext w:val="0"/>
        <w:rPr>
          <w:rStyle w:val="LightItalic"/>
          <w:rFonts w:asciiTheme="minorHAnsi" w:hAnsiTheme="minorHAnsi" w:cstheme="minorHAnsi"/>
        </w:rPr>
      </w:pPr>
      <w:r w:rsidRPr="00FD2A59">
        <w:rPr>
          <w:rStyle w:val="LightItalic"/>
          <w:rFonts w:asciiTheme="minorHAnsi" w:hAnsiTheme="minorHAnsi" w:cstheme="minorHAnsi"/>
        </w:rPr>
        <w:t>Land (Revocation of Reservations) Act 2019</w:t>
      </w:r>
    </w:p>
    <w:p w14:paraId="2CAF2D32" w14:textId="77777777" w:rsidR="00B02873" w:rsidRPr="00FD2A59" w:rsidRDefault="00B02873" w:rsidP="00FD2A59">
      <w:pPr>
        <w:pStyle w:val="Normalbeforebullet"/>
        <w:keepNext w:val="0"/>
        <w:rPr>
          <w:rStyle w:val="LightItalic"/>
          <w:rFonts w:asciiTheme="minorHAnsi" w:hAnsiTheme="minorHAnsi" w:cstheme="minorHAnsi"/>
        </w:rPr>
      </w:pPr>
      <w:r w:rsidRPr="00FD2A59">
        <w:rPr>
          <w:rStyle w:val="LightItalic"/>
          <w:rFonts w:asciiTheme="minorHAnsi" w:hAnsiTheme="minorHAnsi" w:cstheme="minorHAnsi"/>
        </w:rPr>
        <w:t>Land (Revocation of Reservations and Other Matters) Act 2009</w:t>
      </w:r>
    </w:p>
    <w:p w14:paraId="5765AE01" w14:textId="77777777" w:rsidR="00B02873" w:rsidRPr="00FD2A59" w:rsidRDefault="00B02873" w:rsidP="00FD2A59">
      <w:pPr>
        <w:pStyle w:val="Normalbeforebullet"/>
        <w:keepNext w:val="0"/>
        <w:rPr>
          <w:rStyle w:val="LightItalic"/>
          <w:rFonts w:asciiTheme="minorHAnsi" w:hAnsiTheme="minorHAnsi" w:cstheme="minorHAnsi"/>
        </w:rPr>
      </w:pPr>
      <w:r w:rsidRPr="00FD2A59">
        <w:rPr>
          <w:rStyle w:val="LightItalic"/>
          <w:rFonts w:asciiTheme="minorHAnsi" w:hAnsiTheme="minorHAnsi" w:cstheme="minorHAnsi"/>
        </w:rPr>
        <w:t>Land (Revocation of Reservations) (Convention Centre Land) Act 2008</w:t>
      </w:r>
    </w:p>
    <w:p w14:paraId="72D14A35" w14:textId="77777777" w:rsidR="00B02873" w:rsidRPr="00FD2A59" w:rsidRDefault="00B02873" w:rsidP="00FD2A59">
      <w:pPr>
        <w:pStyle w:val="Normalbeforebullet"/>
        <w:keepNext w:val="0"/>
        <w:rPr>
          <w:rStyle w:val="LightItalic"/>
          <w:rFonts w:asciiTheme="minorHAnsi" w:hAnsiTheme="minorHAnsi" w:cstheme="minorHAnsi"/>
        </w:rPr>
      </w:pPr>
      <w:r w:rsidRPr="00FD2A59">
        <w:rPr>
          <w:rStyle w:val="LightItalic"/>
          <w:rFonts w:asciiTheme="minorHAnsi" w:hAnsiTheme="minorHAnsi" w:cstheme="minorHAnsi"/>
        </w:rPr>
        <w:t>Land (St. Kilda Sea Baths) Act 2000</w:t>
      </w:r>
    </w:p>
    <w:p w14:paraId="6218B808" w14:textId="77777777" w:rsidR="00B02873" w:rsidRPr="00FD2A59" w:rsidRDefault="00B02873" w:rsidP="00FD2A59">
      <w:pPr>
        <w:pStyle w:val="Normalbeforebullet"/>
        <w:keepNext w:val="0"/>
        <w:rPr>
          <w:rStyle w:val="LightItalic"/>
          <w:rFonts w:asciiTheme="minorHAnsi" w:hAnsiTheme="minorHAnsi" w:cstheme="minorHAnsi"/>
        </w:rPr>
      </w:pPr>
      <w:r w:rsidRPr="00FD2A59">
        <w:rPr>
          <w:rStyle w:val="LightItalic"/>
          <w:rFonts w:asciiTheme="minorHAnsi" w:hAnsiTheme="minorHAnsi" w:cstheme="minorHAnsi"/>
        </w:rPr>
        <w:t>Land (St Kilda Triangle) Act 2006</w:t>
      </w:r>
    </w:p>
    <w:p w14:paraId="6958F095" w14:textId="77777777" w:rsidR="00B02873" w:rsidRPr="00FD2A59" w:rsidRDefault="00B02873" w:rsidP="00FD2A59">
      <w:pPr>
        <w:pStyle w:val="Normalbeforebullet"/>
        <w:keepNext w:val="0"/>
        <w:rPr>
          <w:rStyle w:val="LightItalic"/>
          <w:rFonts w:asciiTheme="minorHAnsi" w:hAnsiTheme="minorHAnsi" w:cstheme="minorHAnsi"/>
        </w:rPr>
      </w:pPr>
      <w:r w:rsidRPr="00FD2A59">
        <w:rPr>
          <w:rStyle w:val="LightItalic"/>
          <w:rFonts w:asciiTheme="minorHAnsi" w:hAnsiTheme="minorHAnsi" w:cstheme="minorHAnsi"/>
        </w:rPr>
        <w:t>Lands (Miscellaneous Matters) Act 1984</w:t>
      </w:r>
    </w:p>
    <w:p w14:paraId="141270A1" w14:textId="77777777" w:rsidR="00B02873" w:rsidRPr="00FD2A59" w:rsidRDefault="00B02873" w:rsidP="00FD2A59">
      <w:pPr>
        <w:pStyle w:val="Normalbeforebullet"/>
        <w:keepNext w:val="0"/>
        <w:rPr>
          <w:rStyle w:val="LightItalic"/>
          <w:rFonts w:asciiTheme="minorHAnsi" w:hAnsiTheme="minorHAnsi" w:cstheme="minorHAnsi"/>
        </w:rPr>
      </w:pPr>
      <w:r w:rsidRPr="00FD2A59">
        <w:rPr>
          <w:rStyle w:val="LightItalic"/>
          <w:rFonts w:asciiTheme="minorHAnsi" w:hAnsiTheme="minorHAnsi" w:cstheme="minorHAnsi"/>
        </w:rPr>
        <w:t>Marine and Coastal Act 2018</w:t>
      </w:r>
    </w:p>
    <w:p w14:paraId="22778491" w14:textId="77777777" w:rsidR="00B02873" w:rsidRPr="00FD2A59" w:rsidRDefault="00B02873" w:rsidP="00FD2A59">
      <w:pPr>
        <w:pStyle w:val="Normalbeforebullet"/>
        <w:keepNext w:val="0"/>
        <w:rPr>
          <w:rStyle w:val="LightItalic"/>
          <w:rFonts w:asciiTheme="minorHAnsi" w:hAnsiTheme="minorHAnsi" w:cstheme="minorHAnsi"/>
        </w:rPr>
      </w:pPr>
      <w:r w:rsidRPr="00FD2A59">
        <w:rPr>
          <w:rStyle w:val="LightItalic"/>
          <w:rFonts w:asciiTheme="minorHAnsi" w:hAnsiTheme="minorHAnsi" w:cstheme="minorHAnsi"/>
        </w:rPr>
        <w:t>Melbourne and Olympic Parks Act 1985</w:t>
      </w:r>
    </w:p>
    <w:p w14:paraId="5E256B5E" w14:textId="77777777" w:rsidR="00B02873" w:rsidRPr="00DE1FCE" w:rsidRDefault="00B02873" w:rsidP="00FD2A59">
      <w:pPr>
        <w:rPr>
          <w:rStyle w:val="LightItalic"/>
          <w:rFonts w:ascii="Arial" w:hAnsi="Arial"/>
          <w:i w:val="0"/>
          <w:iCs w:val="0"/>
        </w:rPr>
      </w:pPr>
      <w:r>
        <w:t>Sections 24-28 only, the Act is otherwise administered by the Premier, the Minister for Business Precincts and the Minister for Tourism, Sport and Major Events.</w:t>
      </w:r>
    </w:p>
    <w:p w14:paraId="5C94D3EE" w14:textId="77777777" w:rsidR="00B02873" w:rsidRPr="00FD2A59" w:rsidRDefault="00B02873" w:rsidP="00FD2A59">
      <w:pPr>
        <w:pStyle w:val="Normalbeforebullet"/>
        <w:keepNext w:val="0"/>
        <w:rPr>
          <w:rStyle w:val="LightItalic"/>
          <w:rFonts w:asciiTheme="minorHAnsi" w:hAnsiTheme="minorHAnsi" w:cstheme="minorHAnsi"/>
        </w:rPr>
      </w:pPr>
      <w:r w:rsidRPr="00FD2A59">
        <w:rPr>
          <w:rStyle w:val="LightItalic"/>
          <w:rFonts w:asciiTheme="minorHAnsi" w:hAnsiTheme="minorHAnsi" w:cstheme="minorHAnsi"/>
        </w:rPr>
        <w:t>Melbourne Strategic Assessment (Environment Mitigation Levy) Act 2020</w:t>
      </w:r>
    </w:p>
    <w:p w14:paraId="5493490C" w14:textId="77777777" w:rsidR="00B02873" w:rsidRPr="00FD2A59" w:rsidRDefault="00B02873" w:rsidP="00FD2A59">
      <w:pPr>
        <w:pStyle w:val="Normalbeforebullet"/>
        <w:keepNext w:val="0"/>
        <w:rPr>
          <w:rStyle w:val="LightItalic"/>
          <w:rFonts w:asciiTheme="minorHAnsi" w:hAnsiTheme="minorHAnsi" w:cstheme="minorHAnsi"/>
        </w:rPr>
      </w:pPr>
      <w:r w:rsidRPr="00FD2A59">
        <w:rPr>
          <w:rStyle w:val="LightItalic"/>
          <w:rFonts w:asciiTheme="minorHAnsi" w:hAnsiTheme="minorHAnsi" w:cstheme="minorHAnsi"/>
        </w:rPr>
        <w:t>Melbourne (Yarra Park) Land Act 1980</w:t>
      </w:r>
    </w:p>
    <w:p w14:paraId="3166274E" w14:textId="77777777" w:rsidR="00B02873" w:rsidRPr="00DE1FCE" w:rsidRDefault="00B02873" w:rsidP="00FD2A59">
      <w:pPr>
        <w:rPr>
          <w:rStyle w:val="LightItalic"/>
          <w:rFonts w:ascii="Arial" w:hAnsi="Arial"/>
          <w:i w:val="0"/>
          <w:iCs w:val="0"/>
        </w:rPr>
      </w:pPr>
      <w:r>
        <w:t>Except sections 8 and 18 which are jointly and severally administered with the Minister for Business Precincts.</w:t>
      </w:r>
    </w:p>
    <w:p w14:paraId="36FE9BED" w14:textId="77777777" w:rsidR="00B02873" w:rsidRPr="00FD2A59" w:rsidRDefault="00B02873" w:rsidP="00FD2A59">
      <w:pPr>
        <w:pStyle w:val="Normalbeforebullet"/>
        <w:keepNext w:val="0"/>
        <w:rPr>
          <w:rStyle w:val="LightItalic"/>
          <w:rFonts w:asciiTheme="minorHAnsi" w:hAnsiTheme="minorHAnsi" w:cstheme="minorHAnsi"/>
        </w:rPr>
      </w:pPr>
      <w:r w:rsidRPr="00FD2A59">
        <w:rPr>
          <w:rStyle w:val="LightItalic"/>
          <w:rFonts w:asciiTheme="minorHAnsi" w:hAnsiTheme="minorHAnsi" w:cstheme="minorHAnsi"/>
        </w:rPr>
        <w:t>National Environment Protection Council (Victoria) Act 1995</w:t>
      </w:r>
    </w:p>
    <w:p w14:paraId="60B09C9A" w14:textId="77777777" w:rsidR="00B02873" w:rsidRPr="00FD2A59" w:rsidRDefault="00B02873" w:rsidP="00FD2A59">
      <w:pPr>
        <w:pStyle w:val="Normalbeforebullet"/>
        <w:keepNext w:val="0"/>
        <w:rPr>
          <w:rStyle w:val="LightItalic"/>
          <w:rFonts w:asciiTheme="minorHAnsi" w:hAnsiTheme="minorHAnsi" w:cstheme="minorHAnsi"/>
        </w:rPr>
      </w:pPr>
      <w:r w:rsidRPr="00FD2A59">
        <w:rPr>
          <w:rStyle w:val="LightItalic"/>
          <w:rFonts w:asciiTheme="minorHAnsi" w:hAnsiTheme="minorHAnsi" w:cstheme="minorHAnsi"/>
        </w:rPr>
        <w:t>National Parks Act 1975</w:t>
      </w:r>
    </w:p>
    <w:p w14:paraId="7274A10D" w14:textId="77777777" w:rsidR="00B02873" w:rsidRPr="00FD2A59" w:rsidRDefault="00B02873" w:rsidP="00FD2A59">
      <w:pPr>
        <w:pStyle w:val="Normalbeforebullet"/>
        <w:keepNext w:val="0"/>
        <w:rPr>
          <w:rStyle w:val="LightItalic"/>
          <w:rFonts w:asciiTheme="minorHAnsi" w:hAnsiTheme="minorHAnsi" w:cstheme="minorHAnsi"/>
        </w:rPr>
      </w:pPr>
      <w:r w:rsidRPr="00FD2A59">
        <w:rPr>
          <w:rStyle w:val="LightItalic"/>
          <w:rFonts w:asciiTheme="minorHAnsi" w:hAnsiTheme="minorHAnsi" w:cstheme="minorHAnsi"/>
        </w:rPr>
        <w:t>Parks and Crown Land Legislation (Mount Buffalo) Act 2010</w:t>
      </w:r>
    </w:p>
    <w:p w14:paraId="7F535925" w14:textId="77777777" w:rsidR="00B02873" w:rsidRPr="00FD2A59" w:rsidRDefault="00B02873" w:rsidP="00FD2A59">
      <w:pPr>
        <w:pStyle w:val="Normalbeforebullet"/>
        <w:keepNext w:val="0"/>
        <w:rPr>
          <w:rStyle w:val="LightItalic"/>
          <w:rFonts w:asciiTheme="minorHAnsi" w:hAnsiTheme="minorHAnsi" w:cstheme="minorHAnsi"/>
        </w:rPr>
      </w:pPr>
      <w:r w:rsidRPr="00FD2A59">
        <w:rPr>
          <w:rStyle w:val="LightItalic"/>
          <w:rFonts w:asciiTheme="minorHAnsi" w:hAnsiTheme="minorHAnsi" w:cstheme="minorHAnsi"/>
        </w:rPr>
        <w:t>Parks Victoria Act 2018</w:t>
      </w:r>
    </w:p>
    <w:p w14:paraId="3B8FD029" w14:textId="77777777" w:rsidR="00B02873" w:rsidRPr="00FD2A59" w:rsidRDefault="00B02873" w:rsidP="00FD2A59">
      <w:pPr>
        <w:pStyle w:val="Normalbeforebullet"/>
        <w:rPr>
          <w:rStyle w:val="LightItalic"/>
          <w:rFonts w:asciiTheme="minorHAnsi" w:hAnsiTheme="minorHAnsi" w:cstheme="minorHAnsi"/>
        </w:rPr>
      </w:pPr>
      <w:r w:rsidRPr="00FD2A59">
        <w:rPr>
          <w:rStyle w:val="LightItalic"/>
          <w:rFonts w:asciiTheme="minorHAnsi" w:hAnsiTheme="minorHAnsi" w:cstheme="minorHAnsi"/>
        </w:rPr>
        <w:lastRenderedPageBreak/>
        <w:t xml:space="preserve">Planning and Environment Act 1987 </w:t>
      </w:r>
    </w:p>
    <w:p w14:paraId="17318825" w14:textId="695EA37D" w:rsidR="00B02873" w:rsidRPr="00DE1FCE" w:rsidRDefault="00B02873" w:rsidP="00FD2A59">
      <w:pPr>
        <w:rPr>
          <w:rStyle w:val="LightItalic"/>
          <w:rFonts w:ascii="Arial" w:hAnsi="Arial"/>
          <w:i w:val="0"/>
          <w:iCs w:val="0"/>
        </w:rPr>
      </w:pPr>
      <w:r>
        <w:t xml:space="preserve">Parts 1A, 2, 3, 4, 6, 7, 8 and 9 are jointly and severally administered with the Minister for Planning in so far as they related to decisions relating to the activities or interests of Director of Housing or the Minister for Housing. The Act is otherwise administered by the Minister for Planning and the Treasurer. </w:t>
      </w:r>
    </w:p>
    <w:p w14:paraId="62409F59" w14:textId="77777777" w:rsidR="00B02873" w:rsidRPr="00FD2A59" w:rsidRDefault="00B02873" w:rsidP="00FD2A59">
      <w:pPr>
        <w:pStyle w:val="Normalbeforebullet"/>
        <w:rPr>
          <w:rStyle w:val="LightItalic"/>
          <w:rFonts w:asciiTheme="minorHAnsi" w:hAnsiTheme="minorHAnsi" w:cstheme="minorHAnsi"/>
        </w:rPr>
      </w:pPr>
      <w:r w:rsidRPr="00FD2A59">
        <w:rPr>
          <w:rStyle w:val="LightItalic"/>
          <w:rFonts w:asciiTheme="minorHAnsi" w:hAnsiTheme="minorHAnsi" w:cstheme="minorHAnsi"/>
        </w:rPr>
        <w:t>Pollution of Waters by Oil and Noxious Substances Act 1986</w:t>
      </w:r>
    </w:p>
    <w:p w14:paraId="642E041A" w14:textId="77777777" w:rsidR="00B02873" w:rsidRPr="00DE1FCE" w:rsidRDefault="00B02873" w:rsidP="00FD2A59">
      <w:pPr>
        <w:rPr>
          <w:rStyle w:val="LightItalic"/>
          <w:rFonts w:ascii="Arial" w:hAnsi="Arial"/>
          <w:i w:val="0"/>
          <w:iCs w:val="0"/>
        </w:rPr>
      </w:pPr>
      <w:r>
        <w:t>Sections 8, 9, 10, 11, 12, 13, 18, 19, 20, 21, 22, 23, 23B, 23D, 23E, 23G, 23J, 23K, 23L and 24E. Sections 30 and 47 are jointly administered with the Minister for Ports and Freight. The Act is otherwise administered by the Minister for Ports and Freight.</w:t>
      </w:r>
    </w:p>
    <w:p w14:paraId="5460536D" w14:textId="77777777" w:rsidR="00B02873" w:rsidRPr="00FD2A59" w:rsidRDefault="00B02873" w:rsidP="00FD2A59">
      <w:pPr>
        <w:pStyle w:val="Normalbeforebullet"/>
        <w:keepNext w:val="0"/>
        <w:rPr>
          <w:rStyle w:val="LightItalic"/>
          <w:rFonts w:asciiTheme="minorHAnsi" w:hAnsiTheme="minorHAnsi" w:cstheme="minorHAnsi"/>
        </w:rPr>
      </w:pPr>
      <w:r w:rsidRPr="00FD2A59">
        <w:rPr>
          <w:rStyle w:val="LightItalic"/>
          <w:rFonts w:asciiTheme="minorHAnsi" w:hAnsiTheme="minorHAnsi" w:cstheme="minorHAnsi"/>
        </w:rPr>
        <w:t>Queen Victoria Market Lands Act 1996</w:t>
      </w:r>
    </w:p>
    <w:p w14:paraId="0E6D71B7" w14:textId="77777777" w:rsidR="00B02873" w:rsidRPr="00FD2A59" w:rsidRDefault="00B02873" w:rsidP="00FD2A59">
      <w:pPr>
        <w:pStyle w:val="Normalbeforebullet"/>
        <w:keepNext w:val="0"/>
        <w:rPr>
          <w:rStyle w:val="LightItalic"/>
          <w:rFonts w:asciiTheme="minorHAnsi" w:hAnsiTheme="minorHAnsi" w:cstheme="minorHAnsi"/>
        </w:rPr>
      </w:pPr>
      <w:r w:rsidRPr="00FD2A59">
        <w:rPr>
          <w:rStyle w:val="LightItalic"/>
          <w:rFonts w:asciiTheme="minorHAnsi" w:hAnsiTheme="minorHAnsi" w:cstheme="minorHAnsi"/>
        </w:rPr>
        <w:t>Reference Areas Act 1978</w:t>
      </w:r>
    </w:p>
    <w:p w14:paraId="17B0294A" w14:textId="77777777" w:rsidR="00B02873" w:rsidRPr="00FD2A59" w:rsidRDefault="00B02873" w:rsidP="00FD2A59">
      <w:pPr>
        <w:pStyle w:val="Normalbeforebullet"/>
        <w:keepNext w:val="0"/>
        <w:rPr>
          <w:rStyle w:val="LightItalic"/>
          <w:rFonts w:asciiTheme="minorHAnsi" w:hAnsiTheme="minorHAnsi" w:cstheme="minorHAnsi"/>
        </w:rPr>
      </w:pPr>
      <w:r w:rsidRPr="00FD2A59">
        <w:rPr>
          <w:rStyle w:val="LightItalic"/>
          <w:rFonts w:asciiTheme="minorHAnsi" w:hAnsiTheme="minorHAnsi" w:cstheme="minorHAnsi"/>
        </w:rPr>
        <w:t>Royal Agricultural Show-grounds Act 1931</w:t>
      </w:r>
    </w:p>
    <w:p w14:paraId="5C2CAB03" w14:textId="77777777" w:rsidR="00B02873" w:rsidRPr="00FD2A59" w:rsidRDefault="00B02873" w:rsidP="00FD2A59">
      <w:pPr>
        <w:pStyle w:val="Normalbeforebullet"/>
        <w:keepNext w:val="0"/>
        <w:rPr>
          <w:rStyle w:val="LightItalic"/>
          <w:rFonts w:asciiTheme="minorHAnsi" w:hAnsiTheme="minorHAnsi" w:cstheme="minorHAnsi"/>
        </w:rPr>
      </w:pPr>
      <w:r w:rsidRPr="00FD2A59">
        <w:rPr>
          <w:rStyle w:val="LightItalic"/>
          <w:rFonts w:asciiTheme="minorHAnsi" w:hAnsiTheme="minorHAnsi" w:cstheme="minorHAnsi"/>
        </w:rPr>
        <w:t>Royal Agricultural Showgrounds Act 2003</w:t>
      </w:r>
    </w:p>
    <w:p w14:paraId="38A97598" w14:textId="77777777" w:rsidR="00B02873" w:rsidRPr="00FD2A59" w:rsidRDefault="00B02873" w:rsidP="00FD2A59">
      <w:pPr>
        <w:pStyle w:val="Normalbeforebullet"/>
        <w:keepNext w:val="0"/>
        <w:rPr>
          <w:rStyle w:val="LightItalic"/>
          <w:rFonts w:asciiTheme="minorHAnsi" w:hAnsiTheme="minorHAnsi" w:cstheme="minorHAnsi"/>
        </w:rPr>
      </w:pPr>
      <w:r w:rsidRPr="00FD2A59">
        <w:rPr>
          <w:rStyle w:val="LightItalic"/>
          <w:rFonts w:asciiTheme="minorHAnsi" w:hAnsiTheme="minorHAnsi" w:cstheme="minorHAnsi"/>
        </w:rPr>
        <w:t>Royal Botanic Gardens Act 1991</w:t>
      </w:r>
    </w:p>
    <w:p w14:paraId="58112A73" w14:textId="77777777" w:rsidR="00B02873" w:rsidRPr="00FD2A59" w:rsidRDefault="00B02873" w:rsidP="00FD2A59">
      <w:pPr>
        <w:pStyle w:val="Normalbeforebullet"/>
        <w:keepNext w:val="0"/>
        <w:rPr>
          <w:rStyle w:val="LightItalic"/>
          <w:rFonts w:asciiTheme="minorHAnsi" w:hAnsiTheme="minorHAnsi" w:cstheme="minorHAnsi"/>
        </w:rPr>
      </w:pPr>
      <w:r w:rsidRPr="00FD2A59">
        <w:rPr>
          <w:rStyle w:val="LightItalic"/>
          <w:rFonts w:asciiTheme="minorHAnsi" w:hAnsiTheme="minorHAnsi" w:cstheme="minorHAnsi"/>
        </w:rPr>
        <w:t>Royal Children’s Hospital (Land) Act 2007</w:t>
      </w:r>
    </w:p>
    <w:p w14:paraId="25965CA3" w14:textId="77777777" w:rsidR="00B02873" w:rsidRPr="00FD2A59" w:rsidRDefault="00B02873" w:rsidP="00FD2A59">
      <w:pPr>
        <w:pStyle w:val="Normalbeforebullet"/>
        <w:keepNext w:val="0"/>
        <w:rPr>
          <w:rStyle w:val="LightItalic"/>
          <w:rFonts w:asciiTheme="minorHAnsi" w:hAnsiTheme="minorHAnsi" w:cstheme="minorHAnsi"/>
        </w:rPr>
      </w:pPr>
      <w:r w:rsidRPr="00FD2A59">
        <w:rPr>
          <w:rStyle w:val="LightItalic"/>
          <w:rFonts w:asciiTheme="minorHAnsi" w:hAnsiTheme="minorHAnsi" w:cstheme="minorHAnsi"/>
        </w:rPr>
        <w:t>Royal Women’s Hospital Land Act 2012</w:t>
      </w:r>
    </w:p>
    <w:p w14:paraId="146CB169" w14:textId="77777777" w:rsidR="00B02873" w:rsidRPr="00FD2A59" w:rsidRDefault="00B02873" w:rsidP="00FD2A59">
      <w:pPr>
        <w:pStyle w:val="Normalbeforebullet"/>
        <w:keepNext w:val="0"/>
        <w:rPr>
          <w:rStyle w:val="LightItalic"/>
          <w:rFonts w:asciiTheme="minorHAnsi" w:hAnsiTheme="minorHAnsi" w:cstheme="minorHAnsi"/>
        </w:rPr>
      </w:pPr>
      <w:r w:rsidRPr="00FD2A59">
        <w:rPr>
          <w:rStyle w:val="LightItalic"/>
          <w:rFonts w:asciiTheme="minorHAnsi" w:hAnsiTheme="minorHAnsi" w:cstheme="minorHAnsi"/>
        </w:rPr>
        <w:t>Safety on Public Land Act 2004</w:t>
      </w:r>
    </w:p>
    <w:p w14:paraId="28DEB49B" w14:textId="77777777" w:rsidR="00B02873" w:rsidRPr="00FD2A59" w:rsidRDefault="00B02873" w:rsidP="00FD2A59">
      <w:pPr>
        <w:pStyle w:val="Normalbeforebullet"/>
        <w:keepNext w:val="0"/>
        <w:rPr>
          <w:rStyle w:val="LightItalic"/>
          <w:rFonts w:asciiTheme="minorHAnsi" w:hAnsiTheme="minorHAnsi" w:cstheme="minorHAnsi"/>
        </w:rPr>
      </w:pPr>
      <w:r w:rsidRPr="00FD2A59">
        <w:rPr>
          <w:rStyle w:val="LightItalic"/>
          <w:rFonts w:asciiTheme="minorHAnsi" w:hAnsiTheme="minorHAnsi" w:cstheme="minorHAnsi"/>
        </w:rPr>
        <w:t>South Melbourne Land Act 1986</w:t>
      </w:r>
    </w:p>
    <w:p w14:paraId="02C35F47" w14:textId="77777777" w:rsidR="00B02873" w:rsidRPr="00FD2A59" w:rsidRDefault="00B02873" w:rsidP="00FD2A59">
      <w:pPr>
        <w:pStyle w:val="Normalbeforebullet"/>
        <w:keepNext w:val="0"/>
        <w:rPr>
          <w:rStyle w:val="LightItalic"/>
          <w:rFonts w:asciiTheme="minorHAnsi" w:hAnsiTheme="minorHAnsi" w:cstheme="minorHAnsi"/>
        </w:rPr>
      </w:pPr>
      <w:r w:rsidRPr="00FD2A59">
        <w:rPr>
          <w:rStyle w:val="LightItalic"/>
          <w:rFonts w:asciiTheme="minorHAnsi" w:hAnsiTheme="minorHAnsi" w:cstheme="minorHAnsi"/>
        </w:rPr>
        <w:t>Southgate Project Act 1994</w:t>
      </w:r>
    </w:p>
    <w:p w14:paraId="1C2AC66A" w14:textId="77777777" w:rsidR="00B02873" w:rsidRPr="00FD2A59" w:rsidRDefault="00B02873" w:rsidP="00FD2A59">
      <w:pPr>
        <w:pStyle w:val="Normalbeforebullet"/>
        <w:keepNext w:val="0"/>
        <w:rPr>
          <w:rStyle w:val="LightItalic"/>
          <w:rFonts w:asciiTheme="minorHAnsi" w:hAnsiTheme="minorHAnsi" w:cstheme="minorHAnsi"/>
        </w:rPr>
      </w:pPr>
      <w:r w:rsidRPr="00FD2A59">
        <w:rPr>
          <w:rStyle w:val="LightItalic"/>
          <w:rFonts w:asciiTheme="minorHAnsi" w:hAnsiTheme="minorHAnsi" w:cstheme="minorHAnsi"/>
        </w:rPr>
        <w:t>State Owned Enterprises Act 1992</w:t>
      </w:r>
    </w:p>
    <w:p w14:paraId="300A9D03" w14:textId="77777777" w:rsidR="00B02873" w:rsidRPr="00DE1FCE" w:rsidRDefault="00B02873" w:rsidP="00FD2A59">
      <w:pPr>
        <w:rPr>
          <w:rStyle w:val="LightItalic"/>
          <w:rFonts w:ascii="Arial" w:hAnsi="Arial"/>
          <w:i w:val="0"/>
          <w:iCs w:val="0"/>
        </w:rPr>
      </w:pPr>
      <w:r>
        <w:t>Division 2 of Part 2 in so far as it relates to the Victorian Plantations Corporation. The Act is otherwise administered by the Minister for Government Services, the Minister for Multicultural Affairs, the Minister for Water and the Treasurer.</w:t>
      </w:r>
    </w:p>
    <w:p w14:paraId="22365807" w14:textId="77777777" w:rsidR="00B02873" w:rsidRPr="00FD2A59" w:rsidRDefault="00B02873" w:rsidP="00FD2A59">
      <w:pPr>
        <w:pStyle w:val="Normalbeforebullet"/>
        <w:keepNext w:val="0"/>
        <w:rPr>
          <w:rStyle w:val="LightItalic"/>
          <w:rFonts w:asciiTheme="minorHAnsi" w:hAnsiTheme="minorHAnsi" w:cstheme="minorHAnsi"/>
        </w:rPr>
      </w:pPr>
      <w:r w:rsidRPr="00FD2A59">
        <w:rPr>
          <w:rStyle w:val="LightItalic"/>
          <w:rFonts w:asciiTheme="minorHAnsi" w:hAnsiTheme="minorHAnsi" w:cstheme="minorHAnsi"/>
        </w:rPr>
        <w:t>Sustainable Forests (Timber) Act 2004</w:t>
      </w:r>
    </w:p>
    <w:p w14:paraId="19DBD984" w14:textId="77777777" w:rsidR="00B02873" w:rsidRPr="00FD2A59" w:rsidRDefault="00B02873" w:rsidP="00FD2A59">
      <w:pPr>
        <w:pStyle w:val="Normalbeforebullet"/>
        <w:keepNext w:val="0"/>
        <w:rPr>
          <w:rStyle w:val="LightItalic"/>
          <w:rFonts w:asciiTheme="minorHAnsi" w:hAnsiTheme="minorHAnsi" w:cstheme="minorHAnsi"/>
        </w:rPr>
      </w:pPr>
      <w:r w:rsidRPr="00FD2A59">
        <w:rPr>
          <w:rStyle w:val="LightItalic"/>
          <w:rFonts w:asciiTheme="minorHAnsi" w:hAnsiTheme="minorHAnsi" w:cstheme="minorHAnsi"/>
        </w:rPr>
        <w:t xml:space="preserve">Part 2, section 45, Division 1 of Part 6 and Part 8. </w:t>
      </w:r>
    </w:p>
    <w:p w14:paraId="22344FAF" w14:textId="77777777" w:rsidR="00B02873" w:rsidRPr="00DE1FCE" w:rsidRDefault="00B02873" w:rsidP="00FD2A59">
      <w:pPr>
        <w:rPr>
          <w:rStyle w:val="LightItalic"/>
          <w:rFonts w:ascii="Arial" w:hAnsi="Arial"/>
          <w:i w:val="0"/>
          <w:iCs w:val="0"/>
        </w:rPr>
      </w:pPr>
      <w:r>
        <w:t>Sections 3, 22, 23(1) and 24 and Part 9 are jointly administered with the Minister for Agriculture and the Act is otherwise administered by the Minister for Agriculture.</w:t>
      </w:r>
    </w:p>
    <w:p w14:paraId="4BE19EED" w14:textId="77777777" w:rsidR="00B02873" w:rsidRPr="00FD2A59" w:rsidRDefault="00B02873" w:rsidP="00FD2A59">
      <w:pPr>
        <w:pStyle w:val="Normalbeforebullet"/>
        <w:keepNext w:val="0"/>
        <w:rPr>
          <w:rStyle w:val="LightItalic"/>
          <w:rFonts w:asciiTheme="minorHAnsi" w:hAnsiTheme="minorHAnsi" w:cstheme="minorHAnsi"/>
        </w:rPr>
      </w:pPr>
      <w:r w:rsidRPr="00FD2A59">
        <w:rPr>
          <w:rStyle w:val="LightItalic"/>
          <w:rFonts w:asciiTheme="minorHAnsi" w:hAnsiTheme="minorHAnsi" w:cstheme="minorHAnsi"/>
        </w:rPr>
        <w:t>Sustainability Victoria Act 2005</w:t>
      </w:r>
    </w:p>
    <w:p w14:paraId="299AC656" w14:textId="77777777" w:rsidR="00B02873" w:rsidRPr="00FD2A59" w:rsidRDefault="00B02873" w:rsidP="00FD2A59">
      <w:pPr>
        <w:pStyle w:val="Normalbeforebullet"/>
        <w:keepNext w:val="0"/>
        <w:rPr>
          <w:rStyle w:val="LightItalic"/>
          <w:rFonts w:asciiTheme="minorHAnsi" w:hAnsiTheme="minorHAnsi" w:cstheme="minorHAnsi"/>
        </w:rPr>
      </w:pPr>
      <w:r w:rsidRPr="00FD2A59">
        <w:rPr>
          <w:rStyle w:val="LightItalic"/>
          <w:rFonts w:asciiTheme="minorHAnsi" w:hAnsiTheme="minorHAnsi" w:cstheme="minorHAnsi"/>
        </w:rPr>
        <w:t>Swan Hill Pioneer Settlement Authority (Repeal) Act 1994</w:t>
      </w:r>
    </w:p>
    <w:p w14:paraId="31B79BB9" w14:textId="77777777" w:rsidR="00B02873" w:rsidRPr="00FD2A59" w:rsidRDefault="00B02873" w:rsidP="00FD2A59">
      <w:pPr>
        <w:pStyle w:val="Normalbeforebullet"/>
        <w:keepNext w:val="0"/>
        <w:rPr>
          <w:rStyle w:val="LightItalic"/>
          <w:rFonts w:asciiTheme="minorHAnsi" w:hAnsiTheme="minorHAnsi" w:cstheme="minorHAnsi"/>
        </w:rPr>
      </w:pPr>
      <w:r w:rsidRPr="00FD2A59">
        <w:rPr>
          <w:rStyle w:val="LightItalic"/>
          <w:rFonts w:asciiTheme="minorHAnsi" w:hAnsiTheme="minorHAnsi" w:cstheme="minorHAnsi"/>
        </w:rPr>
        <w:t>Temperance Halls Act 1958</w:t>
      </w:r>
    </w:p>
    <w:p w14:paraId="6BDDD0CF" w14:textId="77777777" w:rsidR="00B02873" w:rsidRPr="00FD2A59" w:rsidRDefault="00B02873" w:rsidP="00FD2A59">
      <w:pPr>
        <w:pStyle w:val="Normalbeforebullet"/>
        <w:keepNext w:val="0"/>
        <w:rPr>
          <w:rStyle w:val="LightItalic"/>
          <w:rFonts w:asciiTheme="minorHAnsi" w:hAnsiTheme="minorHAnsi" w:cstheme="minorHAnsi"/>
        </w:rPr>
      </w:pPr>
      <w:r w:rsidRPr="00FD2A59">
        <w:rPr>
          <w:rStyle w:val="LightItalic"/>
          <w:rFonts w:asciiTheme="minorHAnsi" w:hAnsiTheme="minorHAnsi" w:cstheme="minorHAnsi"/>
        </w:rPr>
        <w:t>University of Melbourne Land Act 2000</w:t>
      </w:r>
    </w:p>
    <w:p w14:paraId="37A095C7" w14:textId="77777777" w:rsidR="00B02873" w:rsidRPr="00FD2A59" w:rsidRDefault="00B02873" w:rsidP="00FD2A59">
      <w:pPr>
        <w:pStyle w:val="Normalbeforebullet"/>
        <w:keepNext w:val="0"/>
        <w:rPr>
          <w:rStyle w:val="LightItalic"/>
          <w:rFonts w:asciiTheme="minorHAnsi" w:hAnsiTheme="minorHAnsi" w:cstheme="minorHAnsi"/>
        </w:rPr>
      </w:pPr>
      <w:r w:rsidRPr="00FD2A59">
        <w:rPr>
          <w:rStyle w:val="LightItalic"/>
          <w:rFonts w:asciiTheme="minorHAnsi" w:hAnsiTheme="minorHAnsi" w:cstheme="minorHAnsi"/>
        </w:rPr>
        <w:t>Victorian Conservation Trust Act 1972</w:t>
      </w:r>
    </w:p>
    <w:p w14:paraId="269EC172" w14:textId="77777777" w:rsidR="00B02873" w:rsidRPr="00FD2A59" w:rsidRDefault="00B02873" w:rsidP="00FD2A59">
      <w:pPr>
        <w:pStyle w:val="Normalbeforebullet"/>
        <w:keepNext w:val="0"/>
        <w:rPr>
          <w:rStyle w:val="LightItalic"/>
          <w:rFonts w:asciiTheme="minorHAnsi" w:hAnsiTheme="minorHAnsi" w:cstheme="minorHAnsi"/>
        </w:rPr>
      </w:pPr>
      <w:r w:rsidRPr="00FD2A59">
        <w:rPr>
          <w:rStyle w:val="LightItalic"/>
          <w:rFonts w:asciiTheme="minorHAnsi" w:hAnsiTheme="minorHAnsi" w:cstheme="minorHAnsi"/>
        </w:rPr>
        <w:t>Victorian Environmental Assessment Council Act 2001</w:t>
      </w:r>
    </w:p>
    <w:p w14:paraId="336FF733" w14:textId="77777777" w:rsidR="00B02873" w:rsidRPr="00FD2A59" w:rsidRDefault="00B02873" w:rsidP="00FD2A59">
      <w:pPr>
        <w:pStyle w:val="Normalbeforebullet"/>
        <w:keepNext w:val="0"/>
        <w:rPr>
          <w:rStyle w:val="LightItalic"/>
          <w:rFonts w:asciiTheme="minorHAnsi" w:hAnsiTheme="minorHAnsi" w:cstheme="minorHAnsi"/>
        </w:rPr>
      </w:pPr>
      <w:r w:rsidRPr="00FD2A59">
        <w:rPr>
          <w:rStyle w:val="LightItalic"/>
          <w:rFonts w:asciiTheme="minorHAnsi" w:hAnsiTheme="minorHAnsi" w:cstheme="minorHAnsi"/>
        </w:rPr>
        <w:t>Victorian Plantations Corporation Act 1993</w:t>
      </w:r>
    </w:p>
    <w:p w14:paraId="696B2FA0" w14:textId="77777777" w:rsidR="00B02873" w:rsidRPr="00FD2A59" w:rsidRDefault="00B02873" w:rsidP="00FD2A59">
      <w:pPr>
        <w:pStyle w:val="Normalbeforebullet"/>
        <w:keepNext w:val="0"/>
        <w:rPr>
          <w:rStyle w:val="LightItalic"/>
          <w:rFonts w:asciiTheme="minorHAnsi" w:hAnsiTheme="minorHAnsi" w:cstheme="minorHAnsi"/>
        </w:rPr>
      </w:pPr>
      <w:r w:rsidRPr="00FD2A59">
        <w:rPr>
          <w:rStyle w:val="LightItalic"/>
          <w:rFonts w:asciiTheme="minorHAnsi" w:hAnsiTheme="minorHAnsi" w:cstheme="minorHAnsi"/>
        </w:rPr>
        <w:t>Water Industry Act 1994</w:t>
      </w:r>
    </w:p>
    <w:p w14:paraId="500EEDA2" w14:textId="77777777" w:rsidR="00B02873" w:rsidRPr="00FD2A59" w:rsidRDefault="00B02873" w:rsidP="00275CD4">
      <w:pPr>
        <w:pStyle w:val="Normalbeforebullet"/>
        <w:rPr>
          <w:rStyle w:val="LightItalic"/>
          <w:rFonts w:asciiTheme="minorHAnsi" w:hAnsiTheme="minorHAnsi" w:cstheme="minorHAnsi"/>
        </w:rPr>
      </w:pPr>
      <w:r w:rsidRPr="00FD2A59">
        <w:rPr>
          <w:rStyle w:val="LightItalic"/>
          <w:rFonts w:asciiTheme="minorHAnsi" w:hAnsiTheme="minorHAnsi" w:cstheme="minorHAnsi"/>
        </w:rPr>
        <w:t xml:space="preserve">Parts 4, 4A, 7 and 8. </w:t>
      </w:r>
    </w:p>
    <w:p w14:paraId="67BF37E4" w14:textId="77777777" w:rsidR="00B02873" w:rsidRPr="00DE1FCE" w:rsidRDefault="00B02873" w:rsidP="00FD2A59">
      <w:pPr>
        <w:rPr>
          <w:rStyle w:val="LightItalic"/>
          <w:rFonts w:ascii="Arial" w:hAnsi="Arial"/>
          <w:i w:val="0"/>
          <w:iCs w:val="0"/>
        </w:rPr>
      </w:pPr>
      <w:r>
        <w:t>Section 184 is administered jointly and severally with the Minister for Water and the Act is otherwise administered by the Minister for Water.</w:t>
      </w:r>
    </w:p>
    <w:p w14:paraId="2DD01014" w14:textId="77777777" w:rsidR="00B02873" w:rsidRPr="00FD2A59" w:rsidRDefault="00B02873" w:rsidP="00FD2A59">
      <w:pPr>
        <w:pStyle w:val="Normalbeforebullet"/>
        <w:rPr>
          <w:rStyle w:val="LightItalic"/>
          <w:rFonts w:asciiTheme="minorHAnsi" w:hAnsiTheme="minorHAnsi" w:cstheme="minorHAnsi"/>
        </w:rPr>
      </w:pPr>
      <w:r w:rsidRPr="00FD2A59">
        <w:rPr>
          <w:rStyle w:val="LightItalic"/>
          <w:rFonts w:asciiTheme="minorHAnsi" w:hAnsiTheme="minorHAnsi" w:cstheme="minorHAnsi"/>
        </w:rPr>
        <w:lastRenderedPageBreak/>
        <w:t>Wildlife Act 1975</w:t>
      </w:r>
    </w:p>
    <w:p w14:paraId="22059879" w14:textId="77777777" w:rsidR="00B02873" w:rsidRPr="00DE1FCE" w:rsidRDefault="00B02873" w:rsidP="00FD2A59">
      <w:pPr>
        <w:rPr>
          <w:rStyle w:val="LightItalic"/>
          <w:rFonts w:ascii="Arial" w:hAnsi="Arial"/>
          <w:i w:val="0"/>
          <w:iCs w:val="0"/>
        </w:rPr>
      </w:pPr>
      <w:r>
        <w:t>Except for certain provisions jointly administered with the Minister for Agriculture or administered solely by the Minister for Agriculture.</w:t>
      </w:r>
    </w:p>
    <w:p w14:paraId="4BB71F31" w14:textId="77777777" w:rsidR="00B02873" w:rsidRPr="00275CD4" w:rsidRDefault="00B02873" w:rsidP="00275CD4">
      <w:pPr>
        <w:pStyle w:val="Normalbeforebullet"/>
        <w:keepNext w:val="0"/>
        <w:rPr>
          <w:rStyle w:val="LightItalic"/>
          <w:rFonts w:asciiTheme="minorHAnsi" w:hAnsiTheme="minorHAnsi" w:cstheme="minorHAnsi"/>
        </w:rPr>
      </w:pPr>
      <w:r w:rsidRPr="00275CD4">
        <w:rPr>
          <w:rStyle w:val="LightItalic"/>
          <w:rFonts w:asciiTheme="minorHAnsi" w:hAnsiTheme="minorHAnsi" w:cstheme="minorHAnsi"/>
        </w:rPr>
        <w:t>Zoological Parks and Gardens Act 1995</w:t>
      </w:r>
    </w:p>
    <w:p w14:paraId="4B346E58" w14:textId="77777777" w:rsidR="00B02873" w:rsidRDefault="00B02873" w:rsidP="00275CD4">
      <w:pPr>
        <w:pStyle w:val="Heading3"/>
      </w:pPr>
      <w:r>
        <w:t>Minister for Planning</w:t>
      </w:r>
    </w:p>
    <w:p w14:paraId="357A141D" w14:textId="77777777" w:rsidR="00B02873" w:rsidRPr="00275CD4" w:rsidRDefault="00B02873" w:rsidP="00275CD4">
      <w:pPr>
        <w:pStyle w:val="Normalbeforebullet"/>
        <w:keepNext w:val="0"/>
        <w:rPr>
          <w:rStyle w:val="LightItalic"/>
          <w:rFonts w:asciiTheme="minorHAnsi" w:hAnsiTheme="minorHAnsi" w:cstheme="minorHAnsi"/>
        </w:rPr>
      </w:pPr>
      <w:r w:rsidRPr="00275CD4">
        <w:rPr>
          <w:rStyle w:val="LightItalic"/>
          <w:rFonts w:asciiTheme="minorHAnsi" w:hAnsiTheme="minorHAnsi" w:cstheme="minorHAnsi"/>
        </w:rPr>
        <w:t xml:space="preserve">Architects Act 1991 </w:t>
      </w:r>
    </w:p>
    <w:p w14:paraId="276276D3" w14:textId="77777777" w:rsidR="00B02873" w:rsidRPr="00275CD4" w:rsidRDefault="00B02873" w:rsidP="00275CD4">
      <w:pPr>
        <w:pStyle w:val="Normalbeforebullet"/>
        <w:keepNext w:val="0"/>
        <w:rPr>
          <w:rStyle w:val="LightItalic"/>
          <w:rFonts w:asciiTheme="minorHAnsi" w:hAnsiTheme="minorHAnsi" w:cstheme="minorHAnsi"/>
        </w:rPr>
      </w:pPr>
      <w:r w:rsidRPr="00275CD4">
        <w:rPr>
          <w:rStyle w:val="LightItalic"/>
          <w:rFonts w:asciiTheme="minorHAnsi" w:hAnsiTheme="minorHAnsi" w:cstheme="minorHAnsi"/>
        </w:rPr>
        <w:t>Building Act 1993</w:t>
      </w:r>
    </w:p>
    <w:p w14:paraId="077551C6" w14:textId="77777777" w:rsidR="00B02873" w:rsidRPr="00275CD4" w:rsidRDefault="00B02873" w:rsidP="00275CD4">
      <w:pPr>
        <w:pStyle w:val="Normalbeforebullet"/>
        <w:keepNext w:val="0"/>
        <w:rPr>
          <w:rStyle w:val="LightItalic"/>
          <w:rFonts w:asciiTheme="minorHAnsi" w:hAnsiTheme="minorHAnsi" w:cstheme="minorHAnsi"/>
        </w:rPr>
      </w:pPr>
      <w:r w:rsidRPr="00275CD4">
        <w:rPr>
          <w:rStyle w:val="LightItalic"/>
          <w:rFonts w:asciiTheme="minorHAnsi" w:hAnsiTheme="minorHAnsi" w:cstheme="minorHAnsi"/>
        </w:rPr>
        <w:t>Building and Construction Industry Security of Payment Act 2002</w:t>
      </w:r>
    </w:p>
    <w:p w14:paraId="3ACED998" w14:textId="77777777" w:rsidR="00B02873" w:rsidRPr="00275CD4" w:rsidRDefault="00B02873" w:rsidP="00275CD4">
      <w:pPr>
        <w:pStyle w:val="Normalbeforebullet"/>
        <w:keepNext w:val="0"/>
        <w:rPr>
          <w:rStyle w:val="LightItalic"/>
          <w:rFonts w:asciiTheme="minorHAnsi" w:hAnsiTheme="minorHAnsi" w:cstheme="minorHAnsi"/>
        </w:rPr>
      </w:pPr>
      <w:r w:rsidRPr="00275CD4">
        <w:rPr>
          <w:rStyle w:val="LightItalic"/>
          <w:rFonts w:asciiTheme="minorHAnsi" w:hAnsiTheme="minorHAnsi" w:cstheme="minorHAnsi"/>
        </w:rPr>
        <w:t>Casino Control Act 1991</w:t>
      </w:r>
    </w:p>
    <w:p w14:paraId="2C7E6CB1" w14:textId="77777777" w:rsidR="00B02873" w:rsidRPr="00DE1FCE" w:rsidRDefault="00B02873" w:rsidP="00275CD4">
      <w:pPr>
        <w:rPr>
          <w:rStyle w:val="LightItalic"/>
          <w:rFonts w:ascii="Arial" w:hAnsi="Arial"/>
          <w:i w:val="0"/>
          <w:iCs w:val="0"/>
        </w:rPr>
      </w:pPr>
      <w:r>
        <w:t>Sections 128H-128L, except section 128K(2). The Act is otherwise administered by the Assistant Treasurer and the Minister for Consumer Affairs, Gaming and Liquor Regulation.</w:t>
      </w:r>
    </w:p>
    <w:p w14:paraId="091C9F4A" w14:textId="77777777" w:rsidR="00B02873" w:rsidRPr="00275CD4" w:rsidRDefault="00B02873" w:rsidP="00275CD4">
      <w:pPr>
        <w:pStyle w:val="Normalbeforebullet"/>
        <w:keepNext w:val="0"/>
        <w:rPr>
          <w:rStyle w:val="LightItalic"/>
          <w:rFonts w:asciiTheme="minorHAnsi" w:hAnsiTheme="minorHAnsi" w:cstheme="minorHAnsi"/>
        </w:rPr>
      </w:pPr>
      <w:r w:rsidRPr="00275CD4">
        <w:rPr>
          <w:rStyle w:val="LightItalic"/>
          <w:rFonts w:asciiTheme="minorHAnsi" w:hAnsiTheme="minorHAnsi" w:cstheme="minorHAnsi"/>
        </w:rPr>
        <w:t>Cladding Safety Victoria Act 2020</w:t>
      </w:r>
    </w:p>
    <w:p w14:paraId="2A179D52" w14:textId="77777777" w:rsidR="00B02873" w:rsidRPr="00275CD4" w:rsidRDefault="00B02873" w:rsidP="00275CD4">
      <w:pPr>
        <w:pStyle w:val="Normalbeforebullet"/>
        <w:keepNext w:val="0"/>
        <w:rPr>
          <w:rStyle w:val="LightItalic"/>
          <w:rFonts w:asciiTheme="minorHAnsi" w:hAnsiTheme="minorHAnsi" w:cstheme="minorHAnsi"/>
        </w:rPr>
      </w:pPr>
      <w:r w:rsidRPr="00275CD4">
        <w:rPr>
          <w:rStyle w:val="LightItalic"/>
          <w:rFonts w:asciiTheme="minorHAnsi" w:hAnsiTheme="minorHAnsi" w:cstheme="minorHAnsi"/>
        </w:rPr>
        <w:t>Electronic Conveyancing (Adoption of National Law) Act 2013</w:t>
      </w:r>
    </w:p>
    <w:p w14:paraId="66FB188C" w14:textId="77777777" w:rsidR="00B02873" w:rsidRPr="00275CD4" w:rsidRDefault="00B02873" w:rsidP="00275CD4">
      <w:pPr>
        <w:pStyle w:val="Normalbeforebullet"/>
        <w:keepNext w:val="0"/>
        <w:rPr>
          <w:rStyle w:val="LightItalic"/>
          <w:rFonts w:asciiTheme="minorHAnsi" w:hAnsiTheme="minorHAnsi" w:cstheme="minorHAnsi"/>
        </w:rPr>
      </w:pPr>
      <w:r w:rsidRPr="00275CD4">
        <w:rPr>
          <w:rStyle w:val="LightItalic"/>
          <w:rFonts w:asciiTheme="minorHAnsi" w:hAnsiTheme="minorHAnsi" w:cstheme="minorHAnsi"/>
        </w:rPr>
        <w:t xml:space="preserve">Electronic Conveyancing National Law (Victoria) </w:t>
      </w:r>
    </w:p>
    <w:p w14:paraId="49E990D2" w14:textId="77777777" w:rsidR="00B02873" w:rsidRPr="00275CD4" w:rsidRDefault="00B02873" w:rsidP="00275CD4">
      <w:pPr>
        <w:pStyle w:val="Normalbeforebullet"/>
        <w:keepNext w:val="0"/>
        <w:rPr>
          <w:rStyle w:val="LightItalic"/>
          <w:rFonts w:asciiTheme="minorHAnsi" w:hAnsiTheme="minorHAnsi" w:cstheme="minorHAnsi"/>
        </w:rPr>
      </w:pPr>
      <w:r w:rsidRPr="00275CD4">
        <w:rPr>
          <w:rStyle w:val="LightItalic"/>
          <w:rFonts w:asciiTheme="minorHAnsi" w:hAnsiTheme="minorHAnsi" w:cstheme="minorHAnsi"/>
        </w:rPr>
        <w:t>Environment Effects Act 1978</w:t>
      </w:r>
    </w:p>
    <w:p w14:paraId="20659997" w14:textId="77777777" w:rsidR="00B02873" w:rsidRPr="00275CD4" w:rsidRDefault="00B02873" w:rsidP="00275CD4">
      <w:pPr>
        <w:pStyle w:val="Normalbeforebullet"/>
        <w:keepNext w:val="0"/>
        <w:rPr>
          <w:rStyle w:val="LightItalic"/>
          <w:rFonts w:asciiTheme="minorHAnsi" w:hAnsiTheme="minorHAnsi" w:cstheme="minorHAnsi"/>
        </w:rPr>
      </w:pPr>
      <w:r w:rsidRPr="00275CD4">
        <w:rPr>
          <w:rStyle w:val="LightItalic"/>
          <w:rFonts w:asciiTheme="minorHAnsi" w:hAnsiTheme="minorHAnsi" w:cstheme="minorHAnsi"/>
        </w:rPr>
        <w:t>Geographic Place Names Act 1998</w:t>
      </w:r>
    </w:p>
    <w:p w14:paraId="74C1EC66" w14:textId="77777777" w:rsidR="00B02873" w:rsidRPr="00275CD4" w:rsidRDefault="00B02873" w:rsidP="00275CD4">
      <w:pPr>
        <w:pStyle w:val="Normalbeforebullet"/>
        <w:keepNext w:val="0"/>
        <w:rPr>
          <w:rStyle w:val="LightItalic"/>
          <w:rFonts w:asciiTheme="minorHAnsi" w:hAnsiTheme="minorHAnsi" w:cstheme="minorHAnsi"/>
        </w:rPr>
      </w:pPr>
      <w:r w:rsidRPr="00275CD4">
        <w:rPr>
          <w:rStyle w:val="LightItalic"/>
          <w:rFonts w:asciiTheme="minorHAnsi" w:hAnsiTheme="minorHAnsi" w:cstheme="minorHAnsi"/>
        </w:rPr>
        <w:t>Heritage Act 2017</w:t>
      </w:r>
    </w:p>
    <w:p w14:paraId="4E970E3F" w14:textId="77777777" w:rsidR="00B02873" w:rsidRPr="00275CD4" w:rsidRDefault="00B02873" w:rsidP="00275CD4">
      <w:pPr>
        <w:pStyle w:val="Normalbeforebullet"/>
        <w:keepNext w:val="0"/>
        <w:rPr>
          <w:rStyle w:val="LightItalic"/>
          <w:rFonts w:asciiTheme="minorHAnsi" w:hAnsiTheme="minorHAnsi" w:cstheme="minorHAnsi"/>
        </w:rPr>
      </w:pPr>
      <w:r w:rsidRPr="00275CD4">
        <w:rPr>
          <w:rStyle w:val="LightItalic"/>
          <w:rFonts w:asciiTheme="minorHAnsi" w:hAnsiTheme="minorHAnsi" w:cstheme="minorHAnsi"/>
        </w:rPr>
        <w:t>Instruments Act 1958</w:t>
      </w:r>
    </w:p>
    <w:p w14:paraId="140A7735" w14:textId="77777777" w:rsidR="00B02873" w:rsidRPr="00DE1FCE" w:rsidRDefault="00B02873" w:rsidP="00275CD4">
      <w:pPr>
        <w:rPr>
          <w:rStyle w:val="LightItalic"/>
          <w:rFonts w:ascii="Arial" w:hAnsi="Arial"/>
          <w:i w:val="0"/>
          <w:iCs w:val="0"/>
        </w:rPr>
      </w:pPr>
      <w:r>
        <w:t>Only in so far as it relates to the functions of the Registrar-General and the management of the Office of the Registrar-General. The Act is otherwise administered by the Attorney-General.</w:t>
      </w:r>
    </w:p>
    <w:p w14:paraId="708BEA71" w14:textId="77777777" w:rsidR="00B02873" w:rsidRPr="00275CD4" w:rsidRDefault="00B02873" w:rsidP="00275CD4">
      <w:pPr>
        <w:pStyle w:val="Normalbeforebullet"/>
        <w:keepNext w:val="0"/>
        <w:rPr>
          <w:rStyle w:val="LightItalic"/>
          <w:rFonts w:asciiTheme="minorHAnsi" w:hAnsiTheme="minorHAnsi" w:cstheme="minorHAnsi"/>
        </w:rPr>
      </w:pPr>
      <w:r w:rsidRPr="00275CD4">
        <w:rPr>
          <w:rStyle w:val="LightItalic"/>
          <w:rFonts w:asciiTheme="minorHAnsi" w:hAnsiTheme="minorHAnsi" w:cstheme="minorHAnsi"/>
        </w:rPr>
        <w:t>Local Government Act 1989</w:t>
      </w:r>
    </w:p>
    <w:p w14:paraId="42ADE81D" w14:textId="77777777" w:rsidR="00B02873" w:rsidRPr="00DE1FCE" w:rsidRDefault="00B02873" w:rsidP="00275CD4">
      <w:pPr>
        <w:rPr>
          <w:rStyle w:val="LightItalic"/>
          <w:rFonts w:ascii="Arial" w:hAnsi="Arial"/>
          <w:i w:val="0"/>
          <w:iCs w:val="0"/>
        </w:rPr>
      </w:pPr>
      <w:r>
        <w:t>Part 8B only. The Act is otherwise administered by the Attorney-General, the Minister for Local Government, and the Minister for Roads and Road Safety.</w:t>
      </w:r>
    </w:p>
    <w:p w14:paraId="24AE6C24" w14:textId="77777777" w:rsidR="00B02873" w:rsidRPr="00275CD4" w:rsidRDefault="00B02873" w:rsidP="00275CD4">
      <w:pPr>
        <w:pStyle w:val="Normalbeforebullet"/>
        <w:keepNext w:val="0"/>
        <w:rPr>
          <w:rStyle w:val="LightItalic"/>
          <w:rFonts w:asciiTheme="minorHAnsi" w:hAnsiTheme="minorHAnsi" w:cstheme="minorHAnsi"/>
        </w:rPr>
      </w:pPr>
      <w:r w:rsidRPr="00275CD4">
        <w:rPr>
          <w:rStyle w:val="LightItalic"/>
          <w:rFonts w:asciiTheme="minorHAnsi" w:hAnsiTheme="minorHAnsi" w:cstheme="minorHAnsi"/>
        </w:rPr>
        <w:t>Nudity (Prescribed Areas) Act 1983</w:t>
      </w:r>
    </w:p>
    <w:p w14:paraId="52775F1E" w14:textId="77777777" w:rsidR="00B02873" w:rsidRPr="00275CD4" w:rsidRDefault="00B02873" w:rsidP="00275CD4">
      <w:pPr>
        <w:pStyle w:val="Normalbeforebullet"/>
        <w:keepNext w:val="0"/>
        <w:rPr>
          <w:rStyle w:val="LightItalic"/>
          <w:rFonts w:asciiTheme="minorHAnsi" w:hAnsiTheme="minorHAnsi" w:cstheme="minorHAnsi"/>
        </w:rPr>
      </w:pPr>
      <w:r w:rsidRPr="00275CD4">
        <w:rPr>
          <w:rStyle w:val="LightItalic"/>
          <w:rFonts w:asciiTheme="minorHAnsi" w:hAnsiTheme="minorHAnsi" w:cstheme="minorHAnsi"/>
        </w:rPr>
        <w:t>Planning and Environment Act 1987</w:t>
      </w:r>
    </w:p>
    <w:p w14:paraId="4888EB06" w14:textId="77777777" w:rsidR="00B02873" w:rsidRPr="00DE1FCE" w:rsidRDefault="00B02873" w:rsidP="00275CD4">
      <w:pPr>
        <w:rPr>
          <w:rStyle w:val="LightItalic"/>
          <w:rFonts w:ascii="Arial" w:hAnsi="Arial"/>
          <w:i w:val="0"/>
          <w:iCs w:val="0"/>
        </w:rPr>
      </w:pPr>
      <w:r>
        <w:t xml:space="preserve">Except Part 9B which is jointly and severally administered with the Treasurer and Parts 1A, 2, 3, 4, 6, 7, 8 and 9, which are jointly and severally administered with the Minister for Energy, Environment and Climate Action in so far as they related to decisions relating to the activities or interests of the Director of Housing or the Minister for Housing. </w:t>
      </w:r>
    </w:p>
    <w:p w14:paraId="47AD18F3" w14:textId="77777777" w:rsidR="00B02873" w:rsidRPr="00275CD4" w:rsidRDefault="00B02873" w:rsidP="00275CD4">
      <w:pPr>
        <w:pStyle w:val="Normalbeforebullet"/>
        <w:keepNext w:val="0"/>
        <w:rPr>
          <w:rStyle w:val="LightItalic"/>
          <w:rFonts w:asciiTheme="minorHAnsi" w:hAnsiTheme="minorHAnsi" w:cstheme="minorHAnsi"/>
        </w:rPr>
      </w:pPr>
      <w:r w:rsidRPr="00275CD4">
        <w:rPr>
          <w:rStyle w:val="LightItalic"/>
          <w:rFonts w:asciiTheme="minorHAnsi" w:hAnsiTheme="minorHAnsi" w:cstheme="minorHAnsi"/>
        </w:rPr>
        <w:t>Planning and Environment (Planning Schemes) Act 1996</w:t>
      </w:r>
    </w:p>
    <w:p w14:paraId="461C17A8" w14:textId="77777777" w:rsidR="00B02873" w:rsidRPr="00275CD4" w:rsidRDefault="00B02873" w:rsidP="00275CD4">
      <w:pPr>
        <w:pStyle w:val="Normalbeforebullet"/>
        <w:keepNext w:val="0"/>
        <w:rPr>
          <w:rStyle w:val="LightItalic"/>
          <w:rFonts w:asciiTheme="minorHAnsi" w:hAnsiTheme="minorHAnsi" w:cstheme="minorHAnsi"/>
        </w:rPr>
      </w:pPr>
      <w:r w:rsidRPr="00275CD4">
        <w:rPr>
          <w:rStyle w:val="LightItalic"/>
          <w:rFonts w:asciiTheme="minorHAnsi" w:hAnsiTheme="minorHAnsi" w:cstheme="minorHAnsi"/>
        </w:rPr>
        <w:t>Project Development and Construction Management Act 1994</w:t>
      </w:r>
    </w:p>
    <w:p w14:paraId="3EC45E46" w14:textId="77777777" w:rsidR="00B02873" w:rsidRPr="00DE1FCE" w:rsidRDefault="00B02873" w:rsidP="00275CD4">
      <w:pPr>
        <w:rPr>
          <w:rStyle w:val="LightItalic"/>
          <w:rFonts w:ascii="Arial" w:hAnsi="Arial"/>
          <w:i w:val="0"/>
          <w:iCs w:val="0"/>
        </w:rPr>
      </w:pPr>
      <w:r>
        <w:t>Section 46, Part 7, and Part 5A in so far as Part 5A relates to the exercise of powers and functions under Part 9A of the Planning and Environment Act 1987. The Act is otherwise administered by the Premier, the Assistant Treasurer, the Minister for Business Precincts and the Minister for Transport Infrastructure.</w:t>
      </w:r>
    </w:p>
    <w:p w14:paraId="0E617FE5" w14:textId="77777777" w:rsidR="00B02873" w:rsidRPr="00275CD4" w:rsidRDefault="00B02873" w:rsidP="00275CD4">
      <w:pPr>
        <w:pStyle w:val="Normalbeforebullet"/>
        <w:rPr>
          <w:rStyle w:val="LightItalic"/>
          <w:rFonts w:asciiTheme="minorHAnsi" w:hAnsiTheme="minorHAnsi" w:cstheme="minorHAnsi"/>
        </w:rPr>
      </w:pPr>
      <w:r w:rsidRPr="00275CD4">
        <w:rPr>
          <w:rStyle w:val="LightItalic"/>
          <w:rFonts w:asciiTheme="minorHAnsi" w:hAnsiTheme="minorHAnsi" w:cstheme="minorHAnsi"/>
        </w:rPr>
        <w:t>Property Law Act 1958</w:t>
      </w:r>
    </w:p>
    <w:p w14:paraId="4D742D36" w14:textId="77777777" w:rsidR="00B02873" w:rsidRPr="00DE1FCE" w:rsidRDefault="00B02873" w:rsidP="00275CD4">
      <w:pPr>
        <w:rPr>
          <w:rStyle w:val="LightItalic"/>
          <w:rFonts w:ascii="Arial" w:hAnsi="Arial"/>
          <w:i w:val="0"/>
          <w:iCs w:val="0"/>
        </w:rPr>
      </w:pPr>
      <w:r>
        <w:t>Only in so far as it relates to the functions of the Registrar-General and the management of the Office of the Registrar-General. The Act is otherwise administered by the Attorney-General.</w:t>
      </w:r>
    </w:p>
    <w:p w14:paraId="7CF75338" w14:textId="77777777" w:rsidR="00B02873" w:rsidRPr="00275CD4" w:rsidRDefault="00B02873" w:rsidP="00275CD4">
      <w:pPr>
        <w:pStyle w:val="Normalbeforebullet"/>
        <w:rPr>
          <w:rStyle w:val="LightItalic"/>
          <w:rFonts w:asciiTheme="minorHAnsi" w:hAnsiTheme="minorHAnsi" w:cstheme="minorHAnsi"/>
        </w:rPr>
      </w:pPr>
      <w:r w:rsidRPr="00275CD4">
        <w:rPr>
          <w:rStyle w:val="LightItalic"/>
          <w:rFonts w:asciiTheme="minorHAnsi" w:hAnsiTheme="minorHAnsi" w:cstheme="minorHAnsi"/>
        </w:rPr>
        <w:lastRenderedPageBreak/>
        <w:t>Residential Tenancies Act 1997</w:t>
      </w:r>
    </w:p>
    <w:p w14:paraId="37408D0C" w14:textId="77777777" w:rsidR="00B02873" w:rsidRPr="00DE1FCE" w:rsidRDefault="00B02873" w:rsidP="00275CD4">
      <w:pPr>
        <w:rPr>
          <w:rStyle w:val="LightItalic"/>
          <w:rFonts w:ascii="Arial" w:hAnsi="Arial"/>
          <w:i w:val="0"/>
          <w:iCs w:val="0"/>
        </w:rPr>
      </w:pPr>
      <w:r>
        <w:t>Part 14 only. The Act is otherwise administered by the Attorney-General, the Minister for Consumer Affairs, Gaming and Liquor Regulation, the Minister for Disability, Ageing and Carers and the Minister for Housing.</w:t>
      </w:r>
    </w:p>
    <w:p w14:paraId="426FC905" w14:textId="77777777" w:rsidR="00B02873" w:rsidRPr="00275CD4" w:rsidRDefault="00B02873" w:rsidP="00275CD4">
      <w:pPr>
        <w:pStyle w:val="Normalbeforebullet"/>
        <w:keepNext w:val="0"/>
        <w:rPr>
          <w:rStyle w:val="LightItalic"/>
          <w:rFonts w:asciiTheme="minorHAnsi" w:hAnsiTheme="minorHAnsi" w:cstheme="minorHAnsi"/>
        </w:rPr>
      </w:pPr>
      <w:r w:rsidRPr="00275CD4">
        <w:rPr>
          <w:rStyle w:val="LightItalic"/>
          <w:rFonts w:asciiTheme="minorHAnsi" w:hAnsiTheme="minorHAnsi" w:cstheme="minorHAnsi"/>
        </w:rPr>
        <w:t>South Yarra Project (Subdivision and Management) Act 1985</w:t>
      </w:r>
    </w:p>
    <w:p w14:paraId="557F9F7B" w14:textId="77777777" w:rsidR="00B02873" w:rsidRPr="00275CD4" w:rsidRDefault="00B02873" w:rsidP="00275CD4">
      <w:pPr>
        <w:pStyle w:val="Normalbeforebullet"/>
        <w:rPr>
          <w:rStyle w:val="LightItalic"/>
          <w:rFonts w:asciiTheme="minorHAnsi" w:hAnsiTheme="minorHAnsi" w:cstheme="minorHAnsi"/>
        </w:rPr>
      </w:pPr>
      <w:r w:rsidRPr="00275CD4">
        <w:rPr>
          <w:rStyle w:val="LightItalic"/>
          <w:rFonts w:asciiTheme="minorHAnsi" w:hAnsiTheme="minorHAnsi" w:cstheme="minorHAnsi"/>
        </w:rPr>
        <w:t>Subdivision Act 1988</w:t>
      </w:r>
    </w:p>
    <w:p w14:paraId="1C160348" w14:textId="77777777" w:rsidR="00B02873" w:rsidRPr="00DE1FCE" w:rsidRDefault="00B02873" w:rsidP="00275CD4">
      <w:pPr>
        <w:rPr>
          <w:rStyle w:val="LightItalic"/>
          <w:rFonts w:ascii="Arial" w:hAnsi="Arial"/>
          <w:i w:val="0"/>
          <w:iCs w:val="0"/>
        </w:rPr>
      </w:pPr>
      <w:r>
        <w:t>Except Part 5, section 43 (in so far as it relates to Part 5) which are administered by the Minister for Consumer Affairs, Gaming and Liquor Regulation.</w:t>
      </w:r>
    </w:p>
    <w:p w14:paraId="1388B395" w14:textId="77777777" w:rsidR="00B02873" w:rsidRPr="00275CD4" w:rsidRDefault="00B02873" w:rsidP="00275CD4">
      <w:pPr>
        <w:pStyle w:val="Normalbeforebullet"/>
        <w:keepNext w:val="0"/>
        <w:rPr>
          <w:rStyle w:val="LightItalic"/>
          <w:rFonts w:asciiTheme="minorHAnsi" w:hAnsiTheme="minorHAnsi" w:cstheme="minorHAnsi"/>
        </w:rPr>
      </w:pPr>
      <w:r w:rsidRPr="00275CD4">
        <w:rPr>
          <w:rStyle w:val="LightItalic"/>
          <w:rFonts w:asciiTheme="minorHAnsi" w:hAnsiTheme="minorHAnsi" w:cstheme="minorHAnsi"/>
        </w:rPr>
        <w:t>Survey Co-ordination Act 1958</w:t>
      </w:r>
    </w:p>
    <w:p w14:paraId="7E5E071C" w14:textId="77777777" w:rsidR="00B02873" w:rsidRPr="00275CD4" w:rsidRDefault="00B02873" w:rsidP="00275CD4">
      <w:pPr>
        <w:pStyle w:val="Normalbeforebullet"/>
        <w:keepNext w:val="0"/>
        <w:rPr>
          <w:rStyle w:val="LightItalic"/>
          <w:rFonts w:asciiTheme="minorHAnsi" w:hAnsiTheme="minorHAnsi" w:cstheme="minorHAnsi"/>
        </w:rPr>
      </w:pPr>
      <w:r w:rsidRPr="00275CD4">
        <w:rPr>
          <w:rStyle w:val="LightItalic"/>
          <w:rFonts w:asciiTheme="minorHAnsi" w:hAnsiTheme="minorHAnsi" w:cstheme="minorHAnsi"/>
        </w:rPr>
        <w:t>Surveying Act 2004</w:t>
      </w:r>
    </w:p>
    <w:p w14:paraId="7843AEE9" w14:textId="77777777" w:rsidR="00B02873" w:rsidRPr="00275CD4" w:rsidRDefault="00B02873" w:rsidP="00275CD4">
      <w:pPr>
        <w:pStyle w:val="Normalbeforebullet"/>
        <w:rPr>
          <w:rStyle w:val="LightItalic"/>
          <w:rFonts w:asciiTheme="minorHAnsi" w:hAnsiTheme="minorHAnsi" w:cstheme="minorHAnsi"/>
        </w:rPr>
      </w:pPr>
      <w:r w:rsidRPr="00275CD4">
        <w:rPr>
          <w:rStyle w:val="LightItalic"/>
          <w:rFonts w:asciiTheme="minorHAnsi" w:hAnsiTheme="minorHAnsi" w:cstheme="minorHAnsi"/>
        </w:rPr>
        <w:t>Transfer of Land Act 1958</w:t>
      </w:r>
    </w:p>
    <w:p w14:paraId="579A16A8" w14:textId="77777777" w:rsidR="00B02873" w:rsidRPr="00DE1FCE" w:rsidRDefault="00B02873" w:rsidP="00275CD4">
      <w:pPr>
        <w:rPr>
          <w:rStyle w:val="LightItalic"/>
          <w:rFonts w:ascii="Arial" w:hAnsi="Arial"/>
          <w:i w:val="0"/>
          <w:iCs w:val="0"/>
        </w:rPr>
      </w:pPr>
      <w:r>
        <w:t>Only in so far as it relates to the functions of the Registrar of Titles and the management of the Office of Titles. The Act is otherwise administered by the Attorney-General.</w:t>
      </w:r>
    </w:p>
    <w:p w14:paraId="4D64082B" w14:textId="77777777" w:rsidR="00B02873" w:rsidRPr="00275CD4" w:rsidRDefault="00B02873" w:rsidP="00275CD4">
      <w:pPr>
        <w:pStyle w:val="Normalbeforebullet"/>
        <w:rPr>
          <w:rStyle w:val="LightItalic"/>
          <w:rFonts w:asciiTheme="minorHAnsi" w:hAnsiTheme="minorHAnsi" w:cstheme="minorHAnsi"/>
        </w:rPr>
      </w:pPr>
      <w:r w:rsidRPr="00275CD4">
        <w:rPr>
          <w:rStyle w:val="LightItalic"/>
          <w:rFonts w:asciiTheme="minorHAnsi" w:hAnsiTheme="minorHAnsi" w:cstheme="minorHAnsi"/>
        </w:rPr>
        <w:t>Valuation of Land Act 1960</w:t>
      </w:r>
    </w:p>
    <w:p w14:paraId="119A2AFF" w14:textId="77777777" w:rsidR="00B02873" w:rsidRPr="00DE1FCE" w:rsidRDefault="00B02873" w:rsidP="00275CD4">
      <w:pPr>
        <w:rPr>
          <w:rStyle w:val="LightItalic"/>
          <w:rFonts w:ascii="Arial" w:hAnsi="Arial"/>
          <w:i w:val="0"/>
          <w:iCs w:val="0"/>
        </w:rPr>
      </w:pPr>
      <w:r>
        <w:t>Except Divisions 1 and 2 of Part III, Divisions 4 and 5 of Part III where they relate to the determination of appeals by a Land Valuation Division of the Victorian Civil and Administrative Tribunal and Part IV in so far as it relates to the administration of the above provisions which are administered by the Attorney-General.</w:t>
      </w:r>
    </w:p>
    <w:p w14:paraId="62703627" w14:textId="77777777" w:rsidR="00B02873" w:rsidRPr="00275CD4" w:rsidRDefault="00B02873" w:rsidP="00275CD4">
      <w:pPr>
        <w:pStyle w:val="Normalbeforebullet"/>
        <w:rPr>
          <w:rStyle w:val="LightItalic"/>
          <w:rFonts w:asciiTheme="minorHAnsi" w:hAnsiTheme="minorHAnsi" w:cstheme="minorHAnsi"/>
        </w:rPr>
      </w:pPr>
      <w:r w:rsidRPr="00275CD4">
        <w:rPr>
          <w:rStyle w:val="LightItalic"/>
          <w:rFonts w:asciiTheme="minorHAnsi" w:hAnsiTheme="minorHAnsi" w:cstheme="minorHAnsi"/>
        </w:rPr>
        <w:t>Victorian Planning Authority Act 2017</w:t>
      </w:r>
    </w:p>
    <w:p w14:paraId="05DA54E2" w14:textId="77777777" w:rsidR="00B02873" w:rsidRPr="00DE1FCE" w:rsidRDefault="00B02873" w:rsidP="00275CD4">
      <w:pPr>
        <w:rPr>
          <w:rStyle w:val="LightItalic"/>
          <w:rFonts w:ascii="Arial" w:hAnsi="Arial"/>
          <w:i w:val="0"/>
          <w:iCs w:val="0"/>
        </w:rPr>
      </w:pPr>
      <w:r>
        <w:t>Except section 36 which is jointly and severally administered with the Minister for the Suburban Rail Loop and the Minister for Transport Infrastructure in so far as it relates to seeking advice in relation to functions and powers of the Suburban Rail Loop Authority, and jointly and severally administered with the Minister for Business Precincts and the Minister for Transport Infrastructure in so far as it relates to seeking advice in respect of Major Urban Renewal Precincts.</w:t>
      </w:r>
    </w:p>
    <w:p w14:paraId="23F705FF" w14:textId="77777777" w:rsidR="00B02873" w:rsidRDefault="00B02873" w:rsidP="00275CD4">
      <w:pPr>
        <w:pStyle w:val="Heading3"/>
      </w:pPr>
      <w:r>
        <w:t>Minister for Solar Homes</w:t>
      </w:r>
    </w:p>
    <w:p w14:paraId="56ADBB56" w14:textId="77777777" w:rsidR="00B02873" w:rsidRPr="00275CD4" w:rsidRDefault="00B02873" w:rsidP="00275CD4">
      <w:pPr>
        <w:pStyle w:val="Normalbeforebullet"/>
        <w:rPr>
          <w:rStyle w:val="LightItalic"/>
          <w:rFonts w:asciiTheme="minorHAnsi" w:hAnsiTheme="minorHAnsi" w:cstheme="minorHAnsi"/>
        </w:rPr>
      </w:pPr>
      <w:r w:rsidRPr="00275CD4">
        <w:rPr>
          <w:rStyle w:val="LightItalic"/>
          <w:rFonts w:asciiTheme="minorHAnsi" w:hAnsiTheme="minorHAnsi" w:cstheme="minorHAnsi"/>
        </w:rPr>
        <w:t>Climate Change Act 2017</w:t>
      </w:r>
    </w:p>
    <w:p w14:paraId="61F8B8D1" w14:textId="77777777" w:rsidR="00B02873" w:rsidRPr="00DE1FCE" w:rsidRDefault="00B02873" w:rsidP="00275CD4">
      <w:pPr>
        <w:rPr>
          <w:rStyle w:val="LightItalic"/>
          <w:rFonts w:ascii="Arial" w:hAnsi="Arial"/>
          <w:i w:val="0"/>
          <w:iCs w:val="0"/>
        </w:rPr>
      </w:pPr>
      <w:r>
        <w:t>Part 4, Division 1 of Part 5 and section 97 which are jointly and severally administered with the Minister for Energy, Environment and Climate Action in so far as these provisions relate to the Solar Homes program. The Act is otherwise administered by the Minister for Energy, Environment and Climate Action and the Premier.</w:t>
      </w:r>
    </w:p>
    <w:p w14:paraId="1DD71D51" w14:textId="77777777" w:rsidR="00B02873" w:rsidRPr="00275CD4" w:rsidRDefault="00B02873" w:rsidP="00275CD4">
      <w:pPr>
        <w:pStyle w:val="Normalbeforebullet"/>
        <w:rPr>
          <w:rStyle w:val="LightItalic"/>
          <w:rFonts w:asciiTheme="minorHAnsi" w:hAnsiTheme="minorHAnsi" w:cstheme="minorHAnsi"/>
        </w:rPr>
      </w:pPr>
      <w:r w:rsidRPr="00275CD4">
        <w:rPr>
          <w:rStyle w:val="LightItalic"/>
          <w:rFonts w:asciiTheme="minorHAnsi" w:hAnsiTheme="minorHAnsi" w:cstheme="minorHAnsi"/>
        </w:rPr>
        <w:t>Renewable Energy (Jobs and Investment) Act 2017</w:t>
      </w:r>
    </w:p>
    <w:p w14:paraId="608C7BC6" w14:textId="77777777" w:rsidR="00B02873" w:rsidRPr="00DE1FCE" w:rsidRDefault="00B02873" w:rsidP="00275CD4">
      <w:pPr>
        <w:rPr>
          <w:rStyle w:val="LightItalic"/>
          <w:rFonts w:ascii="Arial" w:hAnsi="Arial"/>
          <w:i w:val="0"/>
          <w:iCs w:val="0"/>
        </w:rPr>
      </w:pPr>
      <w:r>
        <w:t>Sections 8 and 10 which are jointly and severally administered with the Minister for Energy in so far as those provisions relate to the Solar Homes program. The Act is otherwise administered by the Minister for Energy.</w:t>
      </w:r>
    </w:p>
    <w:p w14:paraId="0875427C" w14:textId="77777777" w:rsidR="00B02873" w:rsidRDefault="00B02873" w:rsidP="00275CD4">
      <w:pPr>
        <w:pStyle w:val="Heading3"/>
      </w:pPr>
      <w:r>
        <w:t>Minister for Water</w:t>
      </w:r>
    </w:p>
    <w:p w14:paraId="15844393" w14:textId="77777777" w:rsidR="00B02873" w:rsidRPr="00275CD4" w:rsidRDefault="00B02873" w:rsidP="00275CD4">
      <w:pPr>
        <w:pStyle w:val="Normalbeforebullet"/>
        <w:rPr>
          <w:rStyle w:val="LightItalic"/>
          <w:rFonts w:asciiTheme="minorHAnsi" w:hAnsiTheme="minorHAnsi" w:cstheme="minorHAnsi"/>
        </w:rPr>
      </w:pPr>
      <w:r w:rsidRPr="00275CD4">
        <w:rPr>
          <w:rStyle w:val="LightItalic"/>
          <w:rFonts w:asciiTheme="minorHAnsi" w:hAnsiTheme="minorHAnsi" w:cstheme="minorHAnsi"/>
        </w:rPr>
        <w:t>Catchment and Land Protection Act 1994</w:t>
      </w:r>
    </w:p>
    <w:p w14:paraId="0E211E8B" w14:textId="77777777" w:rsidR="00B02873" w:rsidRPr="00DE1FCE" w:rsidRDefault="00B02873" w:rsidP="00275CD4">
      <w:pPr>
        <w:rPr>
          <w:rStyle w:val="LightItalic"/>
          <w:rFonts w:ascii="Arial" w:hAnsi="Arial"/>
          <w:i w:val="0"/>
          <w:iCs w:val="0"/>
        </w:rPr>
      </w:pPr>
      <w:r>
        <w:t xml:space="preserve">The Act is jointly and severally administered with the Minister for Energy, Environment and Climate Action </w:t>
      </w:r>
    </w:p>
    <w:p w14:paraId="279D808E" w14:textId="77777777" w:rsidR="00B02873" w:rsidRPr="00275CD4" w:rsidRDefault="00B02873" w:rsidP="00275CD4">
      <w:pPr>
        <w:pStyle w:val="Normalbeforebullet"/>
        <w:rPr>
          <w:rStyle w:val="LightItalic"/>
          <w:rFonts w:asciiTheme="minorHAnsi" w:hAnsiTheme="minorHAnsi" w:cstheme="minorHAnsi"/>
        </w:rPr>
      </w:pPr>
      <w:r w:rsidRPr="00275CD4">
        <w:rPr>
          <w:rStyle w:val="LightItalic"/>
          <w:rFonts w:asciiTheme="minorHAnsi" w:hAnsiTheme="minorHAnsi" w:cstheme="minorHAnsi"/>
        </w:rPr>
        <w:t>Conservation, Forests and Lands Act 1987</w:t>
      </w:r>
    </w:p>
    <w:p w14:paraId="60599B0E" w14:textId="77777777" w:rsidR="00B02873" w:rsidRPr="00DE1FCE" w:rsidRDefault="00B02873" w:rsidP="00275CD4">
      <w:pPr>
        <w:rPr>
          <w:rStyle w:val="LightItalic"/>
          <w:rFonts w:ascii="Arial" w:hAnsi="Arial"/>
          <w:i w:val="0"/>
          <w:iCs w:val="0"/>
        </w:rPr>
      </w:pPr>
      <w:r>
        <w:t xml:space="preserve">In so far as it relates to the exercise of powers for the purposes of the Catchment and Land Protection Act 1994 the powers are jointly and severally administered with the Minister for Energy, </w:t>
      </w:r>
      <w:r>
        <w:lastRenderedPageBreak/>
        <w:t>Environment and Climate Action The Act is otherwise administered by the Minister for Agriculture, the Minister for Energy, Environment and Climate Action and the Minister for Fishing and Boating.</w:t>
      </w:r>
    </w:p>
    <w:p w14:paraId="689E4F43" w14:textId="77777777" w:rsidR="00B02873" w:rsidRPr="00275CD4" w:rsidRDefault="00B02873" w:rsidP="00275CD4">
      <w:pPr>
        <w:pStyle w:val="Normalbeforebullet"/>
        <w:keepNext w:val="0"/>
        <w:rPr>
          <w:rStyle w:val="LightItalic"/>
          <w:rFonts w:asciiTheme="minorHAnsi" w:hAnsiTheme="minorHAnsi" w:cstheme="minorHAnsi"/>
        </w:rPr>
      </w:pPr>
      <w:r w:rsidRPr="00275CD4">
        <w:rPr>
          <w:rStyle w:val="LightItalic"/>
          <w:rFonts w:asciiTheme="minorHAnsi" w:hAnsiTheme="minorHAnsi" w:cstheme="minorHAnsi"/>
        </w:rPr>
        <w:t>Groundwater (Border Agreement) Act 1985</w:t>
      </w:r>
    </w:p>
    <w:p w14:paraId="1C539BC1" w14:textId="77777777" w:rsidR="00B02873" w:rsidRPr="00275CD4" w:rsidRDefault="00B02873" w:rsidP="00275CD4">
      <w:pPr>
        <w:pStyle w:val="Normalbeforebullet"/>
        <w:keepNext w:val="0"/>
        <w:rPr>
          <w:rStyle w:val="LightItalic"/>
          <w:rFonts w:asciiTheme="minorHAnsi" w:hAnsiTheme="minorHAnsi" w:cstheme="minorHAnsi"/>
        </w:rPr>
      </w:pPr>
      <w:r w:rsidRPr="00275CD4">
        <w:rPr>
          <w:rStyle w:val="LightItalic"/>
          <w:rFonts w:asciiTheme="minorHAnsi" w:hAnsiTheme="minorHAnsi" w:cstheme="minorHAnsi"/>
        </w:rPr>
        <w:t>Murray-Darling Basin Act 1993</w:t>
      </w:r>
    </w:p>
    <w:p w14:paraId="4E8AE97E" w14:textId="77777777" w:rsidR="00B02873" w:rsidRPr="00275CD4" w:rsidRDefault="00B02873" w:rsidP="00275CD4">
      <w:pPr>
        <w:pStyle w:val="Normalbeforebullet"/>
        <w:rPr>
          <w:rStyle w:val="LightItalic"/>
          <w:rFonts w:asciiTheme="minorHAnsi" w:hAnsiTheme="minorHAnsi" w:cstheme="minorHAnsi"/>
        </w:rPr>
      </w:pPr>
      <w:r w:rsidRPr="00275CD4">
        <w:rPr>
          <w:rStyle w:val="LightItalic"/>
          <w:rFonts w:asciiTheme="minorHAnsi" w:hAnsiTheme="minorHAnsi" w:cstheme="minorHAnsi"/>
        </w:rPr>
        <w:t>State Owned Enterprises Act 1992</w:t>
      </w:r>
    </w:p>
    <w:p w14:paraId="422C7152" w14:textId="77777777" w:rsidR="00B02873" w:rsidRPr="00DE1FCE" w:rsidRDefault="00B02873" w:rsidP="00275CD4">
      <w:pPr>
        <w:rPr>
          <w:rStyle w:val="LightItalic"/>
          <w:rFonts w:ascii="Arial" w:hAnsi="Arial"/>
          <w:i w:val="0"/>
          <w:iCs w:val="0"/>
        </w:rPr>
      </w:pPr>
      <w:r>
        <w:t>Division 2 of Part 2 in so far as it relates to the Water Training Centre. The Act is otherwise administered by the Minister for Government Services, the Minister for Energy, Environment and Climate Action, the Minister for Multicultural Affairs and the Treasurer.</w:t>
      </w:r>
    </w:p>
    <w:p w14:paraId="3E043BDE" w14:textId="77777777" w:rsidR="00B02873" w:rsidRPr="00275CD4" w:rsidRDefault="00B02873" w:rsidP="00275CD4">
      <w:pPr>
        <w:pStyle w:val="Normalbeforebullet"/>
        <w:rPr>
          <w:rStyle w:val="LightItalic"/>
          <w:rFonts w:asciiTheme="minorHAnsi" w:hAnsiTheme="minorHAnsi" w:cstheme="minorHAnsi"/>
        </w:rPr>
      </w:pPr>
      <w:r w:rsidRPr="00275CD4">
        <w:rPr>
          <w:rStyle w:val="LightItalic"/>
          <w:rFonts w:asciiTheme="minorHAnsi" w:hAnsiTheme="minorHAnsi" w:cstheme="minorHAnsi"/>
        </w:rPr>
        <w:t>Water Act 1989</w:t>
      </w:r>
    </w:p>
    <w:p w14:paraId="43798EC3" w14:textId="08E454E2" w:rsidR="00B02873" w:rsidRPr="00DE1FCE" w:rsidRDefault="00B02873" w:rsidP="00275CD4">
      <w:pPr>
        <w:rPr>
          <w:rStyle w:val="LightItalic"/>
          <w:rFonts w:ascii="Arial" w:hAnsi="Arial"/>
          <w:i w:val="0"/>
          <w:iCs w:val="0"/>
        </w:rPr>
      </w:pPr>
      <w:r>
        <w:t>Except section 324 which is jointly and severally administered with the Minister for Fishing and Boating in so far as it relates to the making of regulations for houseboats.</w:t>
      </w:r>
    </w:p>
    <w:p w14:paraId="2966A3E3" w14:textId="77777777" w:rsidR="00B02873" w:rsidRPr="00275CD4" w:rsidRDefault="00B02873" w:rsidP="00275CD4">
      <w:pPr>
        <w:pStyle w:val="Normalbeforebullet"/>
        <w:keepNext w:val="0"/>
        <w:rPr>
          <w:rStyle w:val="LightItalic"/>
          <w:rFonts w:asciiTheme="minorHAnsi" w:hAnsiTheme="minorHAnsi" w:cstheme="minorHAnsi"/>
        </w:rPr>
      </w:pPr>
      <w:r w:rsidRPr="00275CD4">
        <w:rPr>
          <w:rStyle w:val="LightItalic"/>
          <w:rFonts w:asciiTheme="minorHAnsi" w:hAnsiTheme="minorHAnsi" w:cstheme="minorHAnsi"/>
        </w:rPr>
        <w:t>Water (Commonwealth Powers) Act 2008</w:t>
      </w:r>
    </w:p>
    <w:p w14:paraId="61A9F528" w14:textId="77777777" w:rsidR="00B02873" w:rsidRPr="00275CD4" w:rsidRDefault="00B02873" w:rsidP="00275CD4">
      <w:pPr>
        <w:pStyle w:val="Normalbeforebullet"/>
        <w:keepNext w:val="0"/>
        <w:rPr>
          <w:rStyle w:val="LightItalic"/>
          <w:rFonts w:asciiTheme="minorHAnsi" w:hAnsiTheme="minorHAnsi" w:cstheme="minorHAnsi"/>
        </w:rPr>
      </w:pPr>
      <w:r w:rsidRPr="00275CD4">
        <w:rPr>
          <w:rStyle w:val="LightItalic"/>
          <w:rFonts w:asciiTheme="minorHAnsi" w:hAnsiTheme="minorHAnsi" w:cstheme="minorHAnsi"/>
        </w:rPr>
        <w:t>Water Efficiency Labelling and Standards Act 2005</w:t>
      </w:r>
    </w:p>
    <w:p w14:paraId="502EFA7D" w14:textId="77777777" w:rsidR="00B02873" w:rsidRPr="00275CD4" w:rsidRDefault="00B02873" w:rsidP="00275CD4">
      <w:pPr>
        <w:pStyle w:val="Normalbeforebullet"/>
        <w:rPr>
          <w:rStyle w:val="LightItalic"/>
          <w:rFonts w:asciiTheme="minorHAnsi" w:hAnsiTheme="minorHAnsi" w:cstheme="minorHAnsi"/>
        </w:rPr>
      </w:pPr>
      <w:r w:rsidRPr="00275CD4">
        <w:rPr>
          <w:rStyle w:val="LightItalic"/>
          <w:rFonts w:asciiTheme="minorHAnsi" w:hAnsiTheme="minorHAnsi" w:cstheme="minorHAnsi"/>
        </w:rPr>
        <w:t>Water Industry Act 1994</w:t>
      </w:r>
    </w:p>
    <w:p w14:paraId="354C6A06" w14:textId="77777777" w:rsidR="00B02873" w:rsidRPr="00DE1FCE" w:rsidRDefault="00B02873" w:rsidP="00275CD4">
      <w:pPr>
        <w:rPr>
          <w:rStyle w:val="LightItalic"/>
          <w:rFonts w:ascii="Arial" w:hAnsi="Arial"/>
          <w:i w:val="0"/>
          <w:iCs w:val="0"/>
        </w:rPr>
      </w:pPr>
      <w:r>
        <w:t xml:space="preserve">Except section 184 which is jointly and severally administered with the Minister for Energy, Environment and Climate Action and Parts 4, 4A, 7 and 8 which are administered by the Minister for Energy, Environment and Climate Action. </w:t>
      </w:r>
    </w:p>
    <w:p w14:paraId="4F8C2F23" w14:textId="77777777" w:rsidR="00B02873" w:rsidRPr="00275CD4" w:rsidRDefault="00B02873" w:rsidP="00275CD4">
      <w:pPr>
        <w:pStyle w:val="Normalbeforebullet"/>
        <w:keepNext w:val="0"/>
        <w:rPr>
          <w:rStyle w:val="LightItalic"/>
          <w:rFonts w:asciiTheme="minorHAnsi" w:hAnsiTheme="minorHAnsi" w:cstheme="minorHAnsi"/>
          <w:i w:val="0"/>
          <w:iCs w:val="0"/>
        </w:rPr>
      </w:pPr>
      <w:r w:rsidRPr="00275CD4">
        <w:rPr>
          <w:rStyle w:val="LightItalic"/>
          <w:rFonts w:asciiTheme="minorHAnsi" w:hAnsiTheme="minorHAnsi" w:cstheme="minorHAnsi"/>
        </w:rPr>
        <w:t>Yarra River Protection (Wilip-gin Birrarung murron) Act 2017</w:t>
      </w:r>
    </w:p>
    <w:p w14:paraId="4FF92C14" w14:textId="77777777" w:rsidR="00B02873" w:rsidRDefault="00B02873" w:rsidP="00FA43C4">
      <w:pPr>
        <w:pStyle w:val="Heading2Headings"/>
      </w:pPr>
      <w:r>
        <w:t>Land Titles and Registry Functions of Land Use Victoria</w:t>
      </w:r>
    </w:p>
    <w:p w14:paraId="251CD75B" w14:textId="77777777" w:rsidR="00B02873" w:rsidRDefault="00B02873" w:rsidP="00FE198A">
      <w:r>
        <w:t xml:space="preserve">The commercialisation of part of land registry functions in September 2018 requires that the private operator, Secure Electronic Registries Victoria Pty Ltd (SERV) (formerly Victorian Land Registry Services Pty Ltd), report on key performance measures as detailed in the signed concession deed. </w:t>
      </w:r>
    </w:p>
    <w:p w14:paraId="5E7E7A99" w14:textId="6FD73BE6" w:rsidR="00B02873" w:rsidRDefault="00B02873" w:rsidP="00FE198A">
      <w:r>
        <w:t>The key performance measures below compare the targets in the Operating Concession Deed and the actual results from the delivery of services provided by SERV.</w:t>
      </w:r>
    </w:p>
    <w:tbl>
      <w:tblPr>
        <w:tblStyle w:val="TableGrid"/>
        <w:tblW w:w="9634" w:type="dxa"/>
        <w:tblLayout w:type="fixed"/>
        <w:tblLook w:val="0020" w:firstRow="1" w:lastRow="0" w:firstColumn="0" w:lastColumn="0" w:noHBand="0" w:noVBand="0"/>
      </w:tblPr>
      <w:tblGrid>
        <w:gridCol w:w="3685"/>
        <w:gridCol w:w="1130"/>
        <w:gridCol w:w="992"/>
        <w:gridCol w:w="992"/>
        <w:gridCol w:w="1418"/>
        <w:gridCol w:w="1417"/>
      </w:tblGrid>
      <w:tr w:rsidR="00B02873" w:rsidRPr="00B02873" w14:paraId="4F418057" w14:textId="77777777" w:rsidTr="004D61AE">
        <w:trPr>
          <w:cnfStyle w:val="100000000000" w:firstRow="1" w:lastRow="0" w:firstColumn="0" w:lastColumn="0" w:oddVBand="0" w:evenVBand="0" w:oddHBand="0" w:evenHBand="0" w:firstRowFirstColumn="0" w:firstRowLastColumn="0" w:lastRowFirstColumn="0" w:lastRowLastColumn="0"/>
          <w:tblHeader/>
        </w:trPr>
        <w:tc>
          <w:tcPr>
            <w:tcW w:w="3685" w:type="dxa"/>
          </w:tcPr>
          <w:p w14:paraId="353236CB" w14:textId="77777777" w:rsidR="00B02873" w:rsidRDefault="00B02873" w:rsidP="00977925">
            <w:pPr>
              <w:pStyle w:val="TableheadingleftTables"/>
            </w:pPr>
            <w:r>
              <w:t>Performance measures</w:t>
            </w:r>
          </w:p>
        </w:tc>
        <w:tc>
          <w:tcPr>
            <w:tcW w:w="1130" w:type="dxa"/>
          </w:tcPr>
          <w:p w14:paraId="626CE335" w14:textId="77777777" w:rsidR="00B02873" w:rsidRDefault="00B02873" w:rsidP="00977925">
            <w:pPr>
              <w:pStyle w:val="TableheadingleftTables"/>
            </w:pPr>
            <w:r>
              <w:t>Unit of measure</w:t>
            </w:r>
          </w:p>
        </w:tc>
        <w:tc>
          <w:tcPr>
            <w:tcW w:w="992" w:type="dxa"/>
          </w:tcPr>
          <w:p w14:paraId="065563D1" w14:textId="77777777" w:rsidR="00B02873" w:rsidRDefault="00B02873" w:rsidP="00B32DB2">
            <w:pPr>
              <w:pStyle w:val="TableheadingleftTables"/>
              <w:jc w:val="right"/>
            </w:pPr>
            <w:r>
              <w:t>2021-22 actual</w:t>
            </w:r>
          </w:p>
        </w:tc>
        <w:tc>
          <w:tcPr>
            <w:tcW w:w="992" w:type="dxa"/>
          </w:tcPr>
          <w:p w14:paraId="14E2EA32" w14:textId="77777777" w:rsidR="00B02873" w:rsidRDefault="00B02873" w:rsidP="00B32DB2">
            <w:pPr>
              <w:pStyle w:val="TableheadingleftTables"/>
              <w:jc w:val="right"/>
            </w:pPr>
            <w:r>
              <w:t>2021-22 target</w:t>
            </w:r>
          </w:p>
        </w:tc>
        <w:tc>
          <w:tcPr>
            <w:tcW w:w="1418" w:type="dxa"/>
          </w:tcPr>
          <w:p w14:paraId="603F4C84" w14:textId="77777777" w:rsidR="00B02873" w:rsidRDefault="00B02873" w:rsidP="00B32DB2">
            <w:pPr>
              <w:pStyle w:val="TableheadingleftTables"/>
              <w:jc w:val="right"/>
            </w:pPr>
            <w:r>
              <w:rPr>
                <w:spacing w:val="-7"/>
              </w:rPr>
              <w:t>Performance variation (%)</w:t>
            </w:r>
          </w:p>
        </w:tc>
        <w:tc>
          <w:tcPr>
            <w:tcW w:w="1417" w:type="dxa"/>
          </w:tcPr>
          <w:p w14:paraId="77674150" w14:textId="77777777" w:rsidR="00B02873" w:rsidRDefault="00B02873" w:rsidP="00B32DB2">
            <w:pPr>
              <w:pStyle w:val="TableheadingleftTables"/>
              <w:jc w:val="right"/>
            </w:pPr>
            <w:r>
              <w:t>Result</w:t>
            </w:r>
          </w:p>
        </w:tc>
      </w:tr>
      <w:tr w:rsidR="00B02873" w:rsidRPr="00B02873" w14:paraId="035EAD88" w14:textId="77777777" w:rsidTr="004D61AE">
        <w:tc>
          <w:tcPr>
            <w:tcW w:w="3685" w:type="dxa"/>
          </w:tcPr>
          <w:p w14:paraId="1EE56133" w14:textId="77777777" w:rsidR="00B02873" w:rsidRDefault="00B02873" w:rsidP="00B415A9">
            <w:pPr>
              <w:pStyle w:val="TablebodyleftTables"/>
            </w:pPr>
            <w:r>
              <w:t>Availability of call centre in the land registration business</w:t>
            </w:r>
          </w:p>
        </w:tc>
        <w:tc>
          <w:tcPr>
            <w:tcW w:w="1130" w:type="dxa"/>
          </w:tcPr>
          <w:p w14:paraId="60CEA1F7" w14:textId="77777777" w:rsidR="00B02873" w:rsidRDefault="00B02873" w:rsidP="004D61AE">
            <w:pPr>
              <w:pStyle w:val="TablebodyleftTables"/>
            </w:pPr>
            <w:r>
              <w:t>per cent</w:t>
            </w:r>
          </w:p>
        </w:tc>
        <w:tc>
          <w:tcPr>
            <w:tcW w:w="992" w:type="dxa"/>
          </w:tcPr>
          <w:p w14:paraId="722862A9" w14:textId="77777777" w:rsidR="00B02873" w:rsidRDefault="00B02873" w:rsidP="00B32DB2">
            <w:pPr>
              <w:pStyle w:val="TablebodyleftTables"/>
              <w:jc w:val="right"/>
            </w:pPr>
            <w:r>
              <w:t>100</w:t>
            </w:r>
          </w:p>
        </w:tc>
        <w:tc>
          <w:tcPr>
            <w:tcW w:w="992" w:type="dxa"/>
          </w:tcPr>
          <w:p w14:paraId="125DD6BF" w14:textId="77777777" w:rsidR="00B02873" w:rsidRDefault="00B02873" w:rsidP="00B32DB2">
            <w:pPr>
              <w:pStyle w:val="TablebodyleftTables"/>
              <w:jc w:val="right"/>
            </w:pPr>
            <w:r>
              <w:t>100</w:t>
            </w:r>
          </w:p>
        </w:tc>
        <w:tc>
          <w:tcPr>
            <w:tcW w:w="1418" w:type="dxa"/>
          </w:tcPr>
          <w:p w14:paraId="35041FD9" w14:textId="77777777" w:rsidR="00B02873" w:rsidRDefault="00B02873" w:rsidP="00B32DB2">
            <w:pPr>
              <w:pStyle w:val="TablebodyleftTables"/>
              <w:jc w:val="right"/>
            </w:pPr>
            <w:r>
              <w:t>0</w:t>
            </w:r>
          </w:p>
        </w:tc>
        <w:tc>
          <w:tcPr>
            <w:tcW w:w="1417" w:type="dxa"/>
          </w:tcPr>
          <w:p w14:paraId="7A46A617" w14:textId="77777777" w:rsidR="00B02873" w:rsidRDefault="00B02873" w:rsidP="00B32DB2">
            <w:pPr>
              <w:pStyle w:val="TablebodyleftTables"/>
              <w:jc w:val="right"/>
            </w:pPr>
          </w:p>
        </w:tc>
      </w:tr>
      <w:tr w:rsidR="00B02873" w:rsidRPr="00B02873" w14:paraId="7FBC0210" w14:textId="77777777" w:rsidTr="004D61AE">
        <w:tc>
          <w:tcPr>
            <w:tcW w:w="3685" w:type="dxa"/>
          </w:tcPr>
          <w:p w14:paraId="6233E08B" w14:textId="77777777" w:rsidR="00B02873" w:rsidRDefault="00B02873" w:rsidP="00B415A9">
            <w:pPr>
              <w:pStyle w:val="TablebodyleftTables"/>
            </w:pPr>
            <w:r>
              <w:t>Availability of call centre in the Landata business</w:t>
            </w:r>
          </w:p>
        </w:tc>
        <w:tc>
          <w:tcPr>
            <w:tcW w:w="1130" w:type="dxa"/>
          </w:tcPr>
          <w:p w14:paraId="7B3A1FCA" w14:textId="77777777" w:rsidR="00B02873" w:rsidRDefault="00B02873" w:rsidP="004D61AE">
            <w:pPr>
              <w:pStyle w:val="TablebodyleftTables"/>
            </w:pPr>
            <w:r>
              <w:t>per cent</w:t>
            </w:r>
          </w:p>
        </w:tc>
        <w:tc>
          <w:tcPr>
            <w:tcW w:w="992" w:type="dxa"/>
          </w:tcPr>
          <w:p w14:paraId="7FE28CC7" w14:textId="77777777" w:rsidR="00B02873" w:rsidRDefault="00B02873" w:rsidP="00B32DB2">
            <w:pPr>
              <w:pStyle w:val="TablebodyleftTables"/>
              <w:jc w:val="right"/>
            </w:pPr>
            <w:r>
              <w:t>100</w:t>
            </w:r>
          </w:p>
        </w:tc>
        <w:tc>
          <w:tcPr>
            <w:tcW w:w="992" w:type="dxa"/>
          </w:tcPr>
          <w:p w14:paraId="313FACFF" w14:textId="77777777" w:rsidR="00B02873" w:rsidRDefault="00B02873" w:rsidP="00B32DB2">
            <w:pPr>
              <w:pStyle w:val="TablebodyleftTables"/>
              <w:jc w:val="right"/>
            </w:pPr>
            <w:r>
              <w:t>100</w:t>
            </w:r>
          </w:p>
        </w:tc>
        <w:tc>
          <w:tcPr>
            <w:tcW w:w="1418" w:type="dxa"/>
          </w:tcPr>
          <w:p w14:paraId="72DC9278" w14:textId="77777777" w:rsidR="00B02873" w:rsidRDefault="00B02873" w:rsidP="00B32DB2">
            <w:pPr>
              <w:pStyle w:val="TablebodyleftTables"/>
              <w:jc w:val="right"/>
            </w:pPr>
            <w:r>
              <w:t>0</w:t>
            </w:r>
          </w:p>
        </w:tc>
        <w:tc>
          <w:tcPr>
            <w:tcW w:w="1417" w:type="dxa"/>
          </w:tcPr>
          <w:p w14:paraId="12EBEBA6" w14:textId="77777777" w:rsidR="00B02873" w:rsidRDefault="00B02873" w:rsidP="00B32DB2">
            <w:pPr>
              <w:pStyle w:val="TablebodyleftTables"/>
              <w:jc w:val="right"/>
            </w:pPr>
          </w:p>
        </w:tc>
      </w:tr>
      <w:tr w:rsidR="00B02873" w:rsidRPr="00B02873" w14:paraId="219121F1" w14:textId="77777777" w:rsidTr="004D61AE">
        <w:tc>
          <w:tcPr>
            <w:tcW w:w="3685" w:type="dxa"/>
          </w:tcPr>
          <w:p w14:paraId="6AA819F1" w14:textId="77777777" w:rsidR="00B02873" w:rsidRDefault="00B02873" w:rsidP="00B415A9">
            <w:pPr>
              <w:pStyle w:val="TablebodyleftTables"/>
            </w:pPr>
            <w:r>
              <w:t>Timeliness of calls answered in the land registration business</w:t>
            </w:r>
          </w:p>
        </w:tc>
        <w:tc>
          <w:tcPr>
            <w:tcW w:w="1130" w:type="dxa"/>
          </w:tcPr>
          <w:p w14:paraId="4DF835C0" w14:textId="77777777" w:rsidR="00B02873" w:rsidRDefault="00B02873" w:rsidP="004D61AE">
            <w:pPr>
              <w:pStyle w:val="TablebodyleftTables"/>
            </w:pPr>
            <w:r>
              <w:t>per cent</w:t>
            </w:r>
          </w:p>
        </w:tc>
        <w:tc>
          <w:tcPr>
            <w:tcW w:w="992" w:type="dxa"/>
          </w:tcPr>
          <w:p w14:paraId="4632E29D" w14:textId="77777777" w:rsidR="00B02873" w:rsidRDefault="00B02873" w:rsidP="00B32DB2">
            <w:pPr>
              <w:pStyle w:val="TablebodyleftTables"/>
              <w:jc w:val="right"/>
            </w:pPr>
            <w:r>
              <w:t>89</w:t>
            </w:r>
          </w:p>
        </w:tc>
        <w:tc>
          <w:tcPr>
            <w:tcW w:w="992" w:type="dxa"/>
          </w:tcPr>
          <w:p w14:paraId="292C6F0A" w14:textId="77777777" w:rsidR="00B02873" w:rsidRDefault="00B02873" w:rsidP="00B32DB2">
            <w:pPr>
              <w:pStyle w:val="TablebodyleftTables"/>
              <w:jc w:val="right"/>
            </w:pPr>
            <w:r>
              <w:t>80</w:t>
            </w:r>
          </w:p>
        </w:tc>
        <w:tc>
          <w:tcPr>
            <w:tcW w:w="1418" w:type="dxa"/>
          </w:tcPr>
          <w:p w14:paraId="28AC897B" w14:textId="77777777" w:rsidR="00B02873" w:rsidRDefault="00B02873" w:rsidP="00B32DB2">
            <w:pPr>
              <w:pStyle w:val="TablebodyleftTables"/>
              <w:jc w:val="right"/>
            </w:pPr>
            <w:r>
              <w:t>11</w:t>
            </w:r>
          </w:p>
        </w:tc>
        <w:tc>
          <w:tcPr>
            <w:tcW w:w="1417" w:type="dxa"/>
          </w:tcPr>
          <w:p w14:paraId="7E230C05" w14:textId="77777777" w:rsidR="00B02873" w:rsidRDefault="00B02873" w:rsidP="00B32DB2">
            <w:pPr>
              <w:pStyle w:val="TablebodyleftTables"/>
              <w:jc w:val="right"/>
            </w:pPr>
          </w:p>
        </w:tc>
      </w:tr>
      <w:tr w:rsidR="00B02873" w:rsidRPr="00B02873" w14:paraId="51FFC1EC" w14:textId="77777777" w:rsidTr="004D61AE">
        <w:tc>
          <w:tcPr>
            <w:tcW w:w="3685" w:type="dxa"/>
          </w:tcPr>
          <w:p w14:paraId="57CFD36C" w14:textId="77777777" w:rsidR="00B02873" w:rsidRDefault="00B02873" w:rsidP="00B415A9">
            <w:pPr>
              <w:pStyle w:val="TablebodyleftTables"/>
            </w:pPr>
            <w:r>
              <w:t>Timeliness of calls answered in the Landata business</w:t>
            </w:r>
          </w:p>
        </w:tc>
        <w:tc>
          <w:tcPr>
            <w:tcW w:w="1130" w:type="dxa"/>
          </w:tcPr>
          <w:p w14:paraId="5AEEAAE7" w14:textId="77777777" w:rsidR="00B02873" w:rsidRDefault="00B02873" w:rsidP="004D61AE">
            <w:pPr>
              <w:pStyle w:val="TablebodyleftTables"/>
            </w:pPr>
            <w:r>
              <w:t>per cent</w:t>
            </w:r>
          </w:p>
        </w:tc>
        <w:tc>
          <w:tcPr>
            <w:tcW w:w="992" w:type="dxa"/>
          </w:tcPr>
          <w:p w14:paraId="111F4380" w14:textId="77777777" w:rsidR="00B02873" w:rsidRDefault="00B02873" w:rsidP="00B32DB2">
            <w:pPr>
              <w:pStyle w:val="TablebodyleftTables"/>
              <w:jc w:val="right"/>
            </w:pPr>
            <w:r>
              <w:t>95</w:t>
            </w:r>
          </w:p>
        </w:tc>
        <w:tc>
          <w:tcPr>
            <w:tcW w:w="992" w:type="dxa"/>
          </w:tcPr>
          <w:p w14:paraId="776D4855" w14:textId="77777777" w:rsidR="00B02873" w:rsidRDefault="00B02873" w:rsidP="00B32DB2">
            <w:pPr>
              <w:pStyle w:val="TablebodyleftTables"/>
              <w:jc w:val="right"/>
            </w:pPr>
            <w:r>
              <w:t>90</w:t>
            </w:r>
          </w:p>
        </w:tc>
        <w:tc>
          <w:tcPr>
            <w:tcW w:w="1418" w:type="dxa"/>
          </w:tcPr>
          <w:p w14:paraId="367CE5FB" w14:textId="77777777" w:rsidR="00B02873" w:rsidRDefault="00B02873" w:rsidP="00B32DB2">
            <w:pPr>
              <w:pStyle w:val="TablebodyleftTables"/>
              <w:jc w:val="right"/>
            </w:pPr>
            <w:r>
              <w:t>6</w:t>
            </w:r>
          </w:p>
        </w:tc>
        <w:tc>
          <w:tcPr>
            <w:tcW w:w="1417" w:type="dxa"/>
          </w:tcPr>
          <w:p w14:paraId="708FA6D2" w14:textId="77777777" w:rsidR="00B02873" w:rsidRDefault="00B02873" w:rsidP="00B32DB2">
            <w:pPr>
              <w:pStyle w:val="TablebodyleftTables"/>
              <w:jc w:val="right"/>
            </w:pPr>
          </w:p>
        </w:tc>
      </w:tr>
      <w:tr w:rsidR="00B02873" w:rsidRPr="00B02873" w14:paraId="0299A3BF" w14:textId="77777777" w:rsidTr="004D61AE">
        <w:tc>
          <w:tcPr>
            <w:tcW w:w="3685" w:type="dxa"/>
          </w:tcPr>
          <w:p w14:paraId="5BBF497C" w14:textId="77777777" w:rsidR="00B02873" w:rsidRDefault="00B02873" w:rsidP="00B415A9">
            <w:pPr>
              <w:pStyle w:val="TablebodyleftTables"/>
            </w:pPr>
            <w:r>
              <w:t>Timeliness of response to enquiries from the public in the Landata business where direct contact is made</w:t>
            </w:r>
          </w:p>
        </w:tc>
        <w:tc>
          <w:tcPr>
            <w:tcW w:w="1130" w:type="dxa"/>
          </w:tcPr>
          <w:p w14:paraId="5472F037" w14:textId="77777777" w:rsidR="00B02873" w:rsidRDefault="00B02873" w:rsidP="004D61AE">
            <w:pPr>
              <w:pStyle w:val="TablebodyleftTables"/>
            </w:pPr>
            <w:r>
              <w:t>per cent</w:t>
            </w:r>
          </w:p>
        </w:tc>
        <w:tc>
          <w:tcPr>
            <w:tcW w:w="992" w:type="dxa"/>
          </w:tcPr>
          <w:p w14:paraId="58764379" w14:textId="77777777" w:rsidR="00B02873" w:rsidRDefault="00B02873" w:rsidP="00B32DB2">
            <w:pPr>
              <w:pStyle w:val="TablebodyleftTables"/>
              <w:jc w:val="right"/>
            </w:pPr>
            <w:r>
              <w:t>100</w:t>
            </w:r>
          </w:p>
        </w:tc>
        <w:tc>
          <w:tcPr>
            <w:tcW w:w="992" w:type="dxa"/>
          </w:tcPr>
          <w:p w14:paraId="4C075C76" w14:textId="77777777" w:rsidR="00B02873" w:rsidRDefault="00B02873" w:rsidP="00B32DB2">
            <w:pPr>
              <w:pStyle w:val="TablebodyleftTables"/>
              <w:jc w:val="right"/>
            </w:pPr>
            <w:r>
              <w:t>99</w:t>
            </w:r>
          </w:p>
        </w:tc>
        <w:tc>
          <w:tcPr>
            <w:tcW w:w="1418" w:type="dxa"/>
          </w:tcPr>
          <w:p w14:paraId="5172FD19" w14:textId="77777777" w:rsidR="00B02873" w:rsidRDefault="00B02873" w:rsidP="00B32DB2">
            <w:pPr>
              <w:pStyle w:val="TablebodyleftTables"/>
              <w:jc w:val="right"/>
            </w:pPr>
            <w:r>
              <w:t>1</w:t>
            </w:r>
          </w:p>
        </w:tc>
        <w:tc>
          <w:tcPr>
            <w:tcW w:w="1417" w:type="dxa"/>
          </w:tcPr>
          <w:p w14:paraId="436486F1" w14:textId="77777777" w:rsidR="00B02873" w:rsidRDefault="00B02873" w:rsidP="00B32DB2">
            <w:pPr>
              <w:pStyle w:val="TablebodyleftTables"/>
              <w:jc w:val="right"/>
            </w:pPr>
          </w:p>
        </w:tc>
      </w:tr>
      <w:tr w:rsidR="00B02873" w:rsidRPr="00B02873" w14:paraId="301E04BC" w14:textId="77777777" w:rsidTr="004D61AE">
        <w:tc>
          <w:tcPr>
            <w:tcW w:w="3685" w:type="dxa"/>
          </w:tcPr>
          <w:p w14:paraId="5B2B81D8" w14:textId="77777777" w:rsidR="00B02873" w:rsidRDefault="00B02873" w:rsidP="00B415A9">
            <w:pPr>
              <w:pStyle w:val="TablebodyleftTables"/>
            </w:pPr>
            <w:r>
              <w:lastRenderedPageBreak/>
              <w:t>Timeliness of providing information to State arising from Freedom of Information (FOI) requests</w:t>
            </w:r>
          </w:p>
        </w:tc>
        <w:tc>
          <w:tcPr>
            <w:tcW w:w="1130" w:type="dxa"/>
          </w:tcPr>
          <w:p w14:paraId="2F2122CC" w14:textId="77777777" w:rsidR="00B02873" w:rsidRDefault="00B02873" w:rsidP="004D61AE">
            <w:pPr>
              <w:pStyle w:val="TablebodyleftTables"/>
            </w:pPr>
            <w:r>
              <w:t>per cent</w:t>
            </w:r>
          </w:p>
        </w:tc>
        <w:tc>
          <w:tcPr>
            <w:tcW w:w="992" w:type="dxa"/>
          </w:tcPr>
          <w:p w14:paraId="2540C919" w14:textId="77777777" w:rsidR="00B02873" w:rsidRDefault="00B02873" w:rsidP="00B32DB2">
            <w:pPr>
              <w:pStyle w:val="TablebodyleftTables"/>
              <w:jc w:val="right"/>
            </w:pPr>
            <w:r>
              <w:t>100</w:t>
            </w:r>
          </w:p>
        </w:tc>
        <w:tc>
          <w:tcPr>
            <w:tcW w:w="992" w:type="dxa"/>
          </w:tcPr>
          <w:p w14:paraId="416F8785" w14:textId="77777777" w:rsidR="00B02873" w:rsidRDefault="00B02873" w:rsidP="00B32DB2">
            <w:pPr>
              <w:pStyle w:val="TablebodyleftTables"/>
              <w:jc w:val="right"/>
            </w:pPr>
            <w:r>
              <w:t>99</w:t>
            </w:r>
          </w:p>
        </w:tc>
        <w:tc>
          <w:tcPr>
            <w:tcW w:w="1418" w:type="dxa"/>
          </w:tcPr>
          <w:p w14:paraId="6EAEBF12" w14:textId="77777777" w:rsidR="00B02873" w:rsidRDefault="00B02873" w:rsidP="00B32DB2">
            <w:pPr>
              <w:pStyle w:val="TablebodyleftTables"/>
              <w:jc w:val="right"/>
            </w:pPr>
            <w:r>
              <w:t>1</w:t>
            </w:r>
          </w:p>
        </w:tc>
        <w:tc>
          <w:tcPr>
            <w:tcW w:w="1417" w:type="dxa"/>
          </w:tcPr>
          <w:p w14:paraId="40E519DD" w14:textId="77777777" w:rsidR="00B02873" w:rsidRDefault="00B02873" w:rsidP="00B32DB2">
            <w:pPr>
              <w:pStyle w:val="TablebodyleftTables"/>
              <w:jc w:val="right"/>
            </w:pPr>
          </w:p>
        </w:tc>
      </w:tr>
      <w:tr w:rsidR="00B02873" w:rsidRPr="00B02873" w14:paraId="6B9879A4" w14:textId="77777777" w:rsidTr="004D61AE">
        <w:tc>
          <w:tcPr>
            <w:tcW w:w="3685" w:type="dxa"/>
          </w:tcPr>
          <w:p w14:paraId="0AA864C9" w14:textId="77777777" w:rsidR="00B02873" w:rsidRDefault="00B02873" w:rsidP="00B415A9">
            <w:pPr>
              <w:pStyle w:val="TablebodyleftTables"/>
            </w:pPr>
            <w:r>
              <w:t>Availability of online title searches</w:t>
            </w:r>
          </w:p>
        </w:tc>
        <w:tc>
          <w:tcPr>
            <w:tcW w:w="1130" w:type="dxa"/>
          </w:tcPr>
          <w:p w14:paraId="792F273E" w14:textId="77777777" w:rsidR="00B02873" w:rsidRDefault="00B02873" w:rsidP="004D61AE">
            <w:pPr>
              <w:pStyle w:val="TablebodyleftTables"/>
            </w:pPr>
            <w:r>
              <w:t>per cent</w:t>
            </w:r>
          </w:p>
        </w:tc>
        <w:tc>
          <w:tcPr>
            <w:tcW w:w="992" w:type="dxa"/>
          </w:tcPr>
          <w:p w14:paraId="21016684" w14:textId="77777777" w:rsidR="00B02873" w:rsidRDefault="00B02873" w:rsidP="00B32DB2">
            <w:pPr>
              <w:pStyle w:val="TablebodyleftTables"/>
              <w:jc w:val="right"/>
            </w:pPr>
            <w:r>
              <w:t>100</w:t>
            </w:r>
          </w:p>
        </w:tc>
        <w:tc>
          <w:tcPr>
            <w:tcW w:w="992" w:type="dxa"/>
          </w:tcPr>
          <w:p w14:paraId="4DC6AC7F" w14:textId="77777777" w:rsidR="00B02873" w:rsidRDefault="00B02873" w:rsidP="00B32DB2">
            <w:pPr>
              <w:pStyle w:val="TablebodyleftTables"/>
              <w:jc w:val="right"/>
            </w:pPr>
            <w:r>
              <w:t>99</w:t>
            </w:r>
          </w:p>
        </w:tc>
        <w:tc>
          <w:tcPr>
            <w:tcW w:w="1418" w:type="dxa"/>
          </w:tcPr>
          <w:p w14:paraId="59D4561B" w14:textId="77777777" w:rsidR="00B02873" w:rsidRDefault="00B02873" w:rsidP="00B32DB2">
            <w:pPr>
              <w:pStyle w:val="TablebodyleftTables"/>
              <w:jc w:val="right"/>
            </w:pPr>
            <w:r>
              <w:t>1</w:t>
            </w:r>
          </w:p>
        </w:tc>
        <w:tc>
          <w:tcPr>
            <w:tcW w:w="1417" w:type="dxa"/>
          </w:tcPr>
          <w:p w14:paraId="41F83F12" w14:textId="77777777" w:rsidR="00B02873" w:rsidRDefault="00B02873" w:rsidP="00B32DB2">
            <w:pPr>
              <w:pStyle w:val="TablebodyleftTables"/>
              <w:jc w:val="right"/>
            </w:pPr>
          </w:p>
        </w:tc>
      </w:tr>
      <w:tr w:rsidR="00B02873" w:rsidRPr="00B02873" w14:paraId="651A0CBC" w14:textId="77777777" w:rsidTr="004D61AE">
        <w:tc>
          <w:tcPr>
            <w:tcW w:w="3685" w:type="dxa"/>
          </w:tcPr>
          <w:p w14:paraId="537F7C31" w14:textId="77777777" w:rsidR="00B02873" w:rsidRDefault="00B02873" w:rsidP="00B415A9">
            <w:pPr>
              <w:pStyle w:val="TablebodyleftTables"/>
            </w:pPr>
            <w:r>
              <w:t>Delivery of online title search products</w:t>
            </w:r>
          </w:p>
        </w:tc>
        <w:tc>
          <w:tcPr>
            <w:tcW w:w="1130" w:type="dxa"/>
          </w:tcPr>
          <w:p w14:paraId="5CCC4821" w14:textId="77777777" w:rsidR="00B02873" w:rsidRDefault="00B02873" w:rsidP="004D61AE">
            <w:pPr>
              <w:pStyle w:val="TablebodyleftTables"/>
            </w:pPr>
            <w:r>
              <w:t>per cent</w:t>
            </w:r>
          </w:p>
        </w:tc>
        <w:tc>
          <w:tcPr>
            <w:tcW w:w="992" w:type="dxa"/>
          </w:tcPr>
          <w:p w14:paraId="23F7FC25" w14:textId="77777777" w:rsidR="00B02873" w:rsidRDefault="00B02873" w:rsidP="00B32DB2">
            <w:pPr>
              <w:pStyle w:val="TablebodyleftTables"/>
              <w:jc w:val="right"/>
            </w:pPr>
            <w:r>
              <w:t>100</w:t>
            </w:r>
          </w:p>
        </w:tc>
        <w:tc>
          <w:tcPr>
            <w:tcW w:w="992" w:type="dxa"/>
          </w:tcPr>
          <w:p w14:paraId="7B90EF54" w14:textId="77777777" w:rsidR="00B02873" w:rsidRDefault="00B02873" w:rsidP="00B32DB2">
            <w:pPr>
              <w:pStyle w:val="TablebodyleftTables"/>
              <w:jc w:val="right"/>
            </w:pPr>
            <w:r>
              <w:t>99</w:t>
            </w:r>
          </w:p>
        </w:tc>
        <w:tc>
          <w:tcPr>
            <w:tcW w:w="1418" w:type="dxa"/>
          </w:tcPr>
          <w:p w14:paraId="023A6C32" w14:textId="77777777" w:rsidR="00B02873" w:rsidRDefault="00B02873" w:rsidP="00B32DB2">
            <w:pPr>
              <w:pStyle w:val="TablebodyleftTables"/>
              <w:jc w:val="right"/>
            </w:pPr>
            <w:r>
              <w:t>1</w:t>
            </w:r>
          </w:p>
        </w:tc>
        <w:tc>
          <w:tcPr>
            <w:tcW w:w="1417" w:type="dxa"/>
          </w:tcPr>
          <w:p w14:paraId="16556540" w14:textId="77777777" w:rsidR="00B02873" w:rsidRDefault="00B02873" w:rsidP="00B32DB2">
            <w:pPr>
              <w:pStyle w:val="TablebodyleftTables"/>
              <w:jc w:val="right"/>
            </w:pPr>
          </w:p>
        </w:tc>
      </w:tr>
      <w:tr w:rsidR="00B02873" w:rsidRPr="00B02873" w14:paraId="67CF6884" w14:textId="77777777" w:rsidTr="004D61AE">
        <w:tc>
          <w:tcPr>
            <w:tcW w:w="3685" w:type="dxa"/>
          </w:tcPr>
          <w:p w14:paraId="336779E4" w14:textId="77777777" w:rsidR="00B02873" w:rsidRDefault="00B02873" w:rsidP="00B415A9">
            <w:pPr>
              <w:pStyle w:val="TablebodyleftTables"/>
            </w:pPr>
            <w:r>
              <w:t>Timeliness of online planning certificate delivery</w:t>
            </w:r>
          </w:p>
        </w:tc>
        <w:tc>
          <w:tcPr>
            <w:tcW w:w="1130" w:type="dxa"/>
          </w:tcPr>
          <w:p w14:paraId="23BBE164" w14:textId="77777777" w:rsidR="00B02873" w:rsidRDefault="00B02873" w:rsidP="004D61AE">
            <w:pPr>
              <w:pStyle w:val="TablebodyleftTables"/>
            </w:pPr>
            <w:r>
              <w:t>per cent</w:t>
            </w:r>
          </w:p>
        </w:tc>
        <w:tc>
          <w:tcPr>
            <w:tcW w:w="992" w:type="dxa"/>
          </w:tcPr>
          <w:p w14:paraId="79C290B1" w14:textId="77777777" w:rsidR="00B02873" w:rsidRDefault="00B02873" w:rsidP="00B32DB2">
            <w:pPr>
              <w:pStyle w:val="TablebodyleftTables"/>
              <w:jc w:val="right"/>
            </w:pPr>
            <w:r>
              <w:t>100</w:t>
            </w:r>
          </w:p>
        </w:tc>
        <w:tc>
          <w:tcPr>
            <w:tcW w:w="992" w:type="dxa"/>
          </w:tcPr>
          <w:p w14:paraId="3835CE90" w14:textId="77777777" w:rsidR="00B02873" w:rsidRDefault="00B02873" w:rsidP="00B32DB2">
            <w:pPr>
              <w:pStyle w:val="TablebodyleftTables"/>
              <w:jc w:val="right"/>
            </w:pPr>
            <w:r>
              <w:t>99</w:t>
            </w:r>
          </w:p>
        </w:tc>
        <w:tc>
          <w:tcPr>
            <w:tcW w:w="1418" w:type="dxa"/>
          </w:tcPr>
          <w:p w14:paraId="03423253" w14:textId="77777777" w:rsidR="00B02873" w:rsidRDefault="00B02873" w:rsidP="00B32DB2">
            <w:pPr>
              <w:pStyle w:val="TablebodyleftTables"/>
              <w:jc w:val="right"/>
            </w:pPr>
            <w:r>
              <w:t>1</w:t>
            </w:r>
          </w:p>
        </w:tc>
        <w:tc>
          <w:tcPr>
            <w:tcW w:w="1417" w:type="dxa"/>
          </w:tcPr>
          <w:p w14:paraId="1D913C9F" w14:textId="77777777" w:rsidR="00B02873" w:rsidRDefault="00B02873" w:rsidP="00B32DB2">
            <w:pPr>
              <w:pStyle w:val="TablebodyleftTables"/>
              <w:jc w:val="right"/>
            </w:pPr>
          </w:p>
        </w:tc>
      </w:tr>
    </w:tbl>
    <w:p w14:paraId="1AE98F1C" w14:textId="77777777" w:rsidR="00B02873" w:rsidRDefault="00B02873" w:rsidP="00FE198A"/>
    <w:p w14:paraId="0D23E204" w14:textId="77777777" w:rsidR="00B02873" w:rsidRDefault="00B02873" w:rsidP="00FE198A">
      <w:pPr>
        <w:rPr>
          <w:spacing w:val="-1"/>
        </w:rPr>
      </w:pPr>
      <w:r>
        <w:rPr>
          <w:spacing w:val="-1"/>
        </w:rPr>
        <w:t>There have been no reported data breaches.</w:t>
      </w:r>
    </w:p>
    <w:p w14:paraId="34A279D0" w14:textId="172E7205" w:rsidR="00B02873" w:rsidRDefault="00B02873" w:rsidP="00FE198A">
      <w:pPr>
        <w:rPr>
          <w:spacing w:val="-1"/>
        </w:rPr>
      </w:pPr>
      <w:r>
        <w:rPr>
          <w:spacing w:val="-1"/>
        </w:rPr>
        <w:t>The total of statutory fees collected and paid into consolidated revenue in 2021-22 was $492 million.</w:t>
      </w:r>
    </w:p>
    <w:p w14:paraId="5827E98B" w14:textId="77777777" w:rsidR="00B02873" w:rsidRPr="007B509E" w:rsidRDefault="00B02873" w:rsidP="00FE198A">
      <w:pPr>
        <w:rPr>
          <w:rFonts w:cs="VIC SemiBold"/>
          <w:b/>
          <w:bCs/>
          <w:color w:val="00B4AE"/>
          <w:sz w:val="24"/>
          <w:szCs w:val="24"/>
        </w:rPr>
      </w:pPr>
      <w:r>
        <w:rPr>
          <w:spacing w:val="-1"/>
        </w:rPr>
        <w:t xml:space="preserve">SERV receives revenue from statutory and non-statutory search services and a service fee for registration services. In 2021-22 SERV received $135 million from statutory fees and $48.5 million from non-statutory fees. </w:t>
      </w:r>
    </w:p>
    <w:p w14:paraId="328C861C" w14:textId="77777777" w:rsidR="00B02873" w:rsidRDefault="00B02873" w:rsidP="00FA43C4">
      <w:pPr>
        <w:pStyle w:val="Heading2Headings"/>
      </w:pPr>
      <w:bookmarkStart w:id="29" w:name="_Ref116978867"/>
      <w:r>
        <w:t xml:space="preserve">Implementation of the </w:t>
      </w:r>
      <w:bookmarkStart w:id="30" w:name="Local_Jobs_First"/>
      <w:r>
        <w:t>Local Jobs First</w:t>
      </w:r>
      <w:bookmarkEnd w:id="30"/>
      <w:r>
        <w:t xml:space="preserve"> Policy</w:t>
      </w:r>
      <w:bookmarkEnd w:id="29"/>
      <w:r>
        <w:t xml:space="preserve"> </w:t>
      </w:r>
    </w:p>
    <w:p w14:paraId="5401BD75" w14:textId="77777777" w:rsidR="00B02873" w:rsidRDefault="00B02873" w:rsidP="00FE198A">
      <w:r>
        <w:t xml:space="preserve">The </w:t>
      </w:r>
      <w:r w:rsidRPr="004D61AE">
        <w:rPr>
          <w:rFonts w:asciiTheme="minorHAnsi" w:hAnsiTheme="minorHAnsi" w:cstheme="minorHAnsi"/>
          <w:i/>
          <w:iCs/>
        </w:rPr>
        <w:t>Local Jobs First Act 2003</w:t>
      </w:r>
      <w:r>
        <w:t xml:space="preserve"> brings together the Victorian Industry Participation Policy (VIPP) and Major Project Skills Guarantee (MPSG) policy, which were previously administered separately. </w:t>
      </w:r>
    </w:p>
    <w:p w14:paraId="61CE10D0" w14:textId="77777777" w:rsidR="00B02873" w:rsidRDefault="00B02873" w:rsidP="00FE198A">
      <w:r>
        <w:t>Departments and public sector bodies are required to apply the Local Jobs First Policy in all projects valued at $3 million or more in metropolitan Melbourne or for statewide projects, or $1 million or more for projects in regional Victoria.</w:t>
      </w:r>
    </w:p>
    <w:p w14:paraId="3967D733" w14:textId="77777777" w:rsidR="00B02873" w:rsidRDefault="00B02873" w:rsidP="00FE198A">
      <w:r>
        <w:t>The MPSG applies to all construction projects valued at $20 million or more.</w:t>
      </w:r>
    </w:p>
    <w:p w14:paraId="5FB79EFC" w14:textId="77777777" w:rsidR="00B02873" w:rsidRDefault="00B02873" w:rsidP="00FE198A">
      <w:r>
        <w:t>The MPSG guidelines and VIPP guidelines will continue to apply to MPSG-applicable and VIPP applicable projects respectively, where contracts were entered prior to 15 August 2018.</w:t>
      </w:r>
    </w:p>
    <w:p w14:paraId="225B131F" w14:textId="77777777" w:rsidR="00B02873" w:rsidRDefault="00B02873" w:rsidP="004D61AE">
      <w:pPr>
        <w:pStyle w:val="Heading3"/>
      </w:pPr>
      <w:r>
        <w:t>Projects commenced – Local Jobs First Standard</w:t>
      </w:r>
    </w:p>
    <w:p w14:paraId="1AF9637B" w14:textId="77777777" w:rsidR="00B02873" w:rsidRDefault="00B02873" w:rsidP="00FE198A">
      <w:r>
        <w:t>During 2021-22, the department commenced 86 Local Jobs First standard projects totalling $654.55 million to which a Local Industry Development Plan (LIDP) was required. Of those projects, 56 were located in regional Victoria with an average local content commitment of 69 per cent, and 30 in metropolitan Melbourne with an average local content commitment of 91 per cent. No standard projects were commenced that occurred statewide. The MPSG applied to seven of these projects.</w:t>
      </w:r>
    </w:p>
    <w:p w14:paraId="6C6A29A4" w14:textId="2DE00C77" w:rsidR="00B02873" w:rsidRDefault="00B02873" w:rsidP="004D61AE">
      <w:pPr>
        <w:pStyle w:val="Normalbeforebullet"/>
      </w:pPr>
      <w:r>
        <w:t>The outcomes expected from the implementation of the Local Jobs First policy to these projects where information was provided, are as follows:</w:t>
      </w:r>
    </w:p>
    <w:p w14:paraId="3FCC6F1D" w14:textId="074AF0D9" w:rsidR="00B02873" w:rsidRDefault="00B02873" w:rsidP="00B02873">
      <w:pPr>
        <w:pStyle w:val="Bullet1Lists"/>
      </w:pPr>
      <w:r>
        <w:t>an average local content commitment of 77 per cent</w:t>
      </w:r>
    </w:p>
    <w:p w14:paraId="20CF932A" w14:textId="77777777" w:rsidR="00B02873" w:rsidRDefault="00B02873" w:rsidP="00B02873">
      <w:pPr>
        <w:pStyle w:val="Bullet1Lists"/>
      </w:pPr>
      <w:r>
        <w:t>a total of 813 jobs (annualised employee equivalent (AEE)), including the creation of 163 new jobs and the retention of 650 existing jobs (AEE)</w:t>
      </w:r>
    </w:p>
    <w:p w14:paraId="564D6DC0" w14:textId="77777777" w:rsidR="00B02873" w:rsidRDefault="00B02873" w:rsidP="00B02873">
      <w:pPr>
        <w:pStyle w:val="Bullet1Lists"/>
      </w:pPr>
      <w:r>
        <w:t>a total of 62 positions for apprentices, trainees and cadets, including the creation of 27 new apprenticeships, traineeships and cadetships, and the retention of 35 existing apprenticeships, traineeships and cadetships</w:t>
      </w:r>
    </w:p>
    <w:p w14:paraId="73784121" w14:textId="61067079" w:rsidR="00B02873" w:rsidRDefault="00B02873" w:rsidP="004D61AE">
      <w:pPr>
        <w:pStyle w:val="Bullet1Listslast"/>
      </w:pPr>
      <w:r>
        <w:lastRenderedPageBreak/>
        <w:t>engagement of 2,461 small to medium-sized businesses through the supply chain on commenced standard projects.</w:t>
      </w:r>
    </w:p>
    <w:p w14:paraId="67677BC8" w14:textId="77777777" w:rsidR="00B02873" w:rsidRDefault="00B02873" w:rsidP="004D61AE">
      <w:pPr>
        <w:pStyle w:val="Heading3"/>
      </w:pPr>
      <w:r>
        <w:t>Projects completed – Local Jobs First Standard</w:t>
      </w:r>
    </w:p>
    <w:p w14:paraId="08049DF9" w14:textId="4F15C246" w:rsidR="00B02873" w:rsidRDefault="00B02873" w:rsidP="00FE198A">
      <w:r>
        <w:rPr>
          <w:spacing w:val="-2"/>
        </w:rPr>
        <w:t>During 2021-22, the department completed 19 Local Jobs First standard projects, totalling $96.23 million to which a LIDP was required. Of those projects, 12 were located in regional Victoria with an average local content commitment of 79 per cent, six in metropolitan Melbourne with an average local content commitment of 94 per cent, and one statewide with no local content committed. The MSPG applied to one of these projects.</w:t>
      </w:r>
    </w:p>
    <w:p w14:paraId="342D05AA" w14:textId="10CADBFD" w:rsidR="00B02873" w:rsidRDefault="00B02873" w:rsidP="004D61AE">
      <w:pPr>
        <w:pStyle w:val="Normalbeforebullet"/>
      </w:pPr>
      <w:r>
        <w:t>The outcomes achieved from the implementation of the Local Jobs First policy to these projects where information was provided, were as follows:</w:t>
      </w:r>
    </w:p>
    <w:p w14:paraId="3E3F2B0B" w14:textId="77777777" w:rsidR="00B02873" w:rsidRDefault="00B02873" w:rsidP="00B02873">
      <w:pPr>
        <w:pStyle w:val="Bullet1Lists"/>
      </w:pPr>
      <w:r>
        <w:t>an average local content of 80 per cent</w:t>
      </w:r>
    </w:p>
    <w:p w14:paraId="18630822" w14:textId="77777777" w:rsidR="00B02873" w:rsidRDefault="00B02873" w:rsidP="00B02873">
      <w:pPr>
        <w:pStyle w:val="Bullet1Lists"/>
      </w:pPr>
      <w:r>
        <w:t>a total of 93 jobs (AEE), including the creation of nine new jobs and the retention of 84 existing jobs (AEE)</w:t>
      </w:r>
    </w:p>
    <w:p w14:paraId="2A3BD09A" w14:textId="77777777" w:rsidR="00B02873" w:rsidRDefault="00B02873" w:rsidP="00B02873">
      <w:pPr>
        <w:pStyle w:val="Bullet1Lists"/>
      </w:pPr>
      <w:r>
        <w:t>a total of three positions for apprentices and cadets, including the creation of two new cadetships and the retention of one existing apprenticeship; no new apprenticeships or traineeships were created, or existing cadetships or traineeships retained</w:t>
      </w:r>
    </w:p>
    <w:p w14:paraId="53BE6C07" w14:textId="77777777" w:rsidR="00B02873" w:rsidRDefault="00B02873" w:rsidP="004D61AE">
      <w:pPr>
        <w:pStyle w:val="Bullet1Listslast"/>
      </w:pPr>
      <w:r>
        <w:t>engagement of 81 small to medium-sized businesses through the supply chain on completed standard projects.</w:t>
      </w:r>
    </w:p>
    <w:p w14:paraId="4B431857" w14:textId="77777777" w:rsidR="00B02873" w:rsidRDefault="00B02873" w:rsidP="004D61AE">
      <w:pPr>
        <w:pStyle w:val="Heading3"/>
      </w:pPr>
      <w:r>
        <w:t>Projects commenced – Local Jobs First Strategic</w:t>
      </w:r>
    </w:p>
    <w:p w14:paraId="6809AC9A" w14:textId="77777777" w:rsidR="00B02873" w:rsidRDefault="00B02873" w:rsidP="00FE198A">
      <w:r>
        <w:rPr>
          <w:spacing w:val="-2"/>
        </w:rPr>
        <w:t>During 2021-22, the department commenced two Local Jobs First strategic projects, valued at $177.13 million to which a LIDP was required. The projects were based in metropolitan Melbourne with an average local content commitment of 96 per cent. The MPSG applied to both projects.</w:t>
      </w:r>
    </w:p>
    <w:p w14:paraId="562F7878" w14:textId="5166233E" w:rsidR="00B02873" w:rsidRDefault="00B02873" w:rsidP="004D61AE">
      <w:pPr>
        <w:pStyle w:val="Normalbeforebullet"/>
      </w:pPr>
      <w:r>
        <w:t>The outcomes expected from the implementation of the Local Jobs First policy where information was provided, are as follows:</w:t>
      </w:r>
    </w:p>
    <w:p w14:paraId="762D7C57" w14:textId="5662F36A" w:rsidR="00B02873" w:rsidRDefault="00B02873" w:rsidP="00B02873">
      <w:pPr>
        <w:pStyle w:val="Bullet1Lists"/>
      </w:pPr>
      <w:r>
        <w:t>an average local content commitment of 96 per cent</w:t>
      </w:r>
    </w:p>
    <w:p w14:paraId="4A081343" w14:textId="77777777" w:rsidR="00B02873" w:rsidRDefault="00B02873" w:rsidP="00B02873">
      <w:pPr>
        <w:pStyle w:val="Bullet1Lists"/>
      </w:pPr>
      <w:r>
        <w:t>a total of 85 (AEE) positions were committed, including the creation of 24 new jobs and the retention of 61 existing jobs (AEE)</w:t>
      </w:r>
    </w:p>
    <w:p w14:paraId="32D7BC58" w14:textId="2D2106F2" w:rsidR="00B02873" w:rsidRDefault="00B02873" w:rsidP="00B02873">
      <w:pPr>
        <w:pStyle w:val="Bullet1Lists"/>
      </w:pPr>
      <w:r>
        <w:t>a total of nine positions for apprentices, trainees and cadets, including the creation of seven new apprenticeships, traineeships and cadetships, and the retention of two existing apprenticeships, traineeships and cadetships</w:t>
      </w:r>
    </w:p>
    <w:p w14:paraId="19614EFE" w14:textId="77777777" w:rsidR="00B02873" w:rsidRDefault="00B02873" w:rsidP="004D61AE">
      <w:pPr>
        <w:pStyle w:val="Bullet1Listslast"/>
      </w:pPr>
      <w:r>
        <w:t xml:space="preserve">engagement of 146 small to medium-sized businesses through the supply chain on commenced strategic projects. </w:t>
      </w:r>
    </w:p>
    <w:p w14:paraId="452023A4" w14:textId="77777777" w:rsidR="00B02873" w:rsidRDefault="00B02873" w:rsidP="004D61AE">
      <w:pPr>
        <w:pStyle w:val="Heading3"/>
      </w:pPr>
      <w:r>
        <w:t>Projects completed – Local Jobs First Strategic</w:t>
      </w:r>
    </w:p>
    <w:p w14:paraId="7D041B59" w14:textId="77777777" w:rsidR="00B02873" w:rsidRDefault="00B02873" w:rsidP="00FE198A">
      <w:r>
        <w:rPr>
          <w:spacing w:val="-2"/>
        </w:rPr>
        <w:t>During 2021-22, the department completed one Local Jobs First strategic project, valued at $50.00 million to which a LIDP was required. The project was based in metropolitan Melbourne with an average local content commitment of 97 per cent. The MSPG applied to this project.</w:t>
      </w:r>
    </w:p>
    <w:p w14:paraId="219A1E32" w14:textId="0DD3BD82" w:rsidR="00B02873" w:rsidRDefault="00B02873" w:rsidP="00FE198A">
      <w:r>
        <w:t>The outcomes achieved from the implementation of the Local Jobs First policy were not available at the end of the reporting period.</w:t>
      </w:r>
    </w:p>
    <w:p w14:paraId="30851731" w14:textId="77777777" w:rsidR="00B02873" w:rsidRDefault="00B02873" w:rsidP="004D61AE">
      <w:pPr>
        <w:pStyle w:val="Heading3"/>
      </w:pPr>
      <w:r>
        <w:t xml:space="preserve">Reporting on grants provided </w:t>
      </w:r>
    </w:p>
    <w:p w14:paraId="7CD78106" w14:textId="77777777" w:rsidR="00B02873" w:rsidRDefault="00B02873" w:rsidP="00FE198A">
      <w:r>
        <w:rPr>
          <w:spacing w:val="-2"/>
        </w:rPr>
        <w:t xml:space="preserve">Local Jobs First applies to grant and loan projects, including but limited to grant agreements or loan arrangements to private, non-government and local government organisations for a single or group of projects. The Industry Capability Network manages the Local Jobs First Management Centre, </w:t>
      </w:r>
      <w:r>
        <w:rPr>
          <w:spacing w:val="-2"/>
        </w:rPr>
        <w:lastRenderedPageBreak/>
        <w:t xml:space="preserve">which administers Local Jobs First on behalf of the Victorian Government at </w:t>
      </w:r>
      <w:hyperlink r:id="rId79" w:history="1">
        <w:r w:rsidRPr="004D61AE">
          <w:rPr>
            <w:rStyle w:val="Hyperlink"/>
          </w:rPr>
          <w:t>https://icn.org.au/content/victoria/local-jobs-first</w:t>
        </w:r>
      </w:hyperlink>
      <w:r>
        <w:rPr>
          <w:spacing w:val="-2"/>
        </w:rPr>
        <w:t xml:space="preserve">. </w:t>
      </w:r>
    </w:p>
    <w:p w14:paraId="727DB54B" w14:textId="77777777" w:rsidR="00B02873" w:rsidRDefault="00B02873" w:rsidP="00FE198A">
      <w:r>
        <w:t xml:space="preserve">For grants provided during 2021-22, a total of 10 interaction reference numbers were required, which entailed a conversation with the Industry Capability Network (Victoria) Ltd on how to best maximise local engagement on the grants that were provided during the financial year. </w:t>
      </w:r>
    </w:p>
    <w:p w14:paraId="5BA0F0A9" w14:textId="77777777" w:rsidR="00B02873" w:rsidRDefault="00B02873" w:rsidP="00FA43C4">
      <w:pPr>
        <w:pStyle w:val="Heading2Headings"/>
      </w:pPr>
      <w:r>
        <w:t>Victoria’s Social Procurement Framework</w:t>
      </w:r>
    </w:p>
    <w:p w14:paraId="483D6B52" w14:textId="77777777" w:rsidR="00B02873" w:rsidRDefault="00B02873" w:rsidP="00FE198A">
      <w:r>
        <w:t>Victoria’s Social Procurement Framework enables departments and agencies to deliver greater benefits from their procurement spend. The policy harnesses the government’s buying power to increase the value of goods, services and construction by delivering social and sustainable outcomes that benefit all Victorians.</w:t>
      </w:r>
    </w:p>
    <w:p w14:paraId="774B0027" w14:textId="77777777" w:rsidR="00B02873" w:rsidRDefault="00B02873" w:rsidP="00FE198A">
      <w:r>
        <w:t xml:space="preserve">The Social Procurement Framework is administered by the Department of Jobs Precincts and Regions, with support from the Department of Treasury and Finance. </w:t>
      </w:r>
    </w:p>
    <w:p w14:paraId="1351D06E" w14:textId="77777777" w:rsidR="00B02873" w:rsidRDefault="00B02873" w:rsidP="004D61AE">
      <w:pPr>
        <w:pStyle w:val="Normalbeforebullet"/>
      </w:pPr>
      <w:r>
        <w:t>Victoria’s Social Procurement Framework identifies ten objectives, as listed below – seven relate to social procurement and three relate to sustainable procurement:</w:t>
      </w:r>
    </w:p>
    <w:p w14:paraId="44B5D3F8" w14:textId="77777777" w:rsidR="00B02873" w:rsidRDefault="00B02873" w:rsidP="00B02873">
      <w:pPr>
        <w:pStyle w:val="Bullet1Lists"/>
      </w:pPr>
      <w:r>
        <w:t xml:space="preserve">opportunities for Victorian Aboriginal people </w:t>
      </w:r>
    </w:p>
    <w:p w14:paraId="0E9199ED" w14:textId="77777777" w:rsidR="00B02873" w:rsidRDefault="00B02873" w:rsidP="00B02873">
      <w:pPr>
        <w:pStyle w:val="Bullet1Lists"/>
      </w:pPr>
      <w:r>
        <w:t xml:space="preserve">opportunities for Victorians with a disability </w:t>
      </w:r>
    </w:p>
    <w:p w14:paraId="02CAE1DB" w14:textId="77777777" w:rsidR="00B02873" w:rsidRDefault="00B02873" w:rsidP="00B02873">
      <w:pPr>
        <w:pStyle w:val="Bullet1Lists"/>
      </w:pPr>
      <w:r>
        <w:t xml:space="preserve">equality and safety for women </w:t>
      </w:r>
    </w:p>
    <w:p w14:paraId="3C475059" w14:textId="77777777" w:rsidR="00B02873" w:rsidRDefault="00B02873" w:rsidP="00B02873">
      <w:pPr>
        <w:pStyle w:val="Bullet1Lists"/>
      </w:pPr>
      <w:r>
        <w:t xml:space="preserve">opportunities for disadvantaged Victorians </w:t>
      </w:r>
    </w:p>
    <w:p w14:paraId="16E22C3F" w14:textId="77777777" w:rsidR="00B02873" w:rsidRDefault="00B02873" w:rsidP="00B02873">
      <w:pPr>
        <w:pStyle w:val="Bullet1Lists"/>
      </w:pPr>
      <w:r>
        <w:t xml:space="preserve">support for safe and fair workplaces </w:t>
      </w:r>
    </w:p>
    <w:p w14:paraId="7DC8230E" w14:textId="349B1B25" w:rsidR="00B02873" w:rsidRDefault="00B02873" w:rsidP="00B02873">
      <w:pPr>
        <w:pStyle w:val="Bullet1Lists"/>
      </w:pPr>
      <w:r>
        <w:t>support for sustainable Victorian social enterprises and Aboriginal businesses</w:t>
      </w:r>
      <w:r w:rsidR="00012C04">
        <w:t xml:space="preserve"> </w:t>
      </w:r>
    </w:p>
    <w:p w14:paraId="01F5DCCE" w14:textId="77777777" w:rsidR="00B02873" w:rsidRDefault="00B02873" w:rsidP="00B02873">
      <w:pPr>
        <w:pStyle w:val="Bullet1Lists"/>
      </w:pPr>
      <w:r>
        <w:t xml:space="preserve">sustainable Victorian regions </w:t>
      </w:r>
    </w:p>
    <w:p w14:paraId="5024831B" w14:textId="77777777" w:rsidR="00B02873" w:rsidRDefault="00B02873" w:rsidP="00B02873">
      <w:pPr>
        <w:pStyle w:val="Bullet1Lists"/>
      </w:pPr>
      <w:r>
        <w:t xml:space="preserve">environmentally sustainable outputs </w:t>
      </w:r>
    </w:p>
    <w:p w14:paraId="23C68C76" w14:textId="77777777" w:rsidR="00B02873" w:rsidRDefault="00B02873" w:rsidP="00B02873">
      <w:pPr>
        <w:pStyle w:val="Bullet1Lists"/>
      </w:pPr>
      <w:r>
        <w:t xml:space="preserve">environmentally sustainable business practices </w:t>
      </w:r>
    </w:p>
    <w:p w14:paraId="130759B2" w14:textId="77777777" w:rsidR="00B02873" w:rsidRDefault="00B02873" w:rsidP="004D61AE">
      <w:pPr>
        <w:pStyle w:val="Bullet1Listslast"/>
      </w:pPr>
      <w:r>
        <w:t>implementation of Climate Change Policy objectives.</w:t>
      </w:r>
    </w:p>
    <w:p w14:paraId="1C08B870" w14:textId="0F19DE13" w:rsidR="00B02873" w:rsidRDefault="00B02873" w:rsidP="00FE198A">
      <w:r>
        <w:t>The social procurement objectives apply to all individual purchases of goods, services and construction-related services, and they contribute to DELWP’s social procurement commitments.</w:t>
      </w:r>
    </w:p>
    <w:p w14:paraId="15987210" w14:textId="77777777" w:rsidR="00B02873" w:rsidRDefault="00B02873" w:rsidP="00FE198A">
      <w:r>
        <w:t xml:space="preserve">DELWP developed and implemented its first Social Procurement Strategy in October 2020, in response to Victoria’s Social Procurement Framework. </w:t>
      </w:r>
    </w:p>
    <w:p w14:paraId="145C8D55" w14:textId="77777777" w:rsidR="00B02873" w:rsidRDefault="00B02873" w:rsidP="004D61AE">
      <w:pPr>
        <w:pStyle w:val="Normalbeforebullet"/>
      </w:pPr>
      <w:r>
        <w:t>During 2021-22, the strategy focused on three of the ten objectives:</w:t>
      </w:r>
    </w:p>
    <w:p w14:paraId="3DA6AE3A" w14:textId="77777777" w:rsidR="00B02873" w:rsidRDefault="00B02873" w:rsidP="00B02873">
      <w:pPr>
        <w:pStyle w:val="Bullet1Lists"/>
      </w:pPr>
      <w:r>
        <w:t>support for sustainable Victorian social enterprises and Aboriginal businesses</w:t>
      </w:r>
    </w:p>
    <w:p w14:paraId="3E76B153" w14:textId="77777777" w:rsidR="00B02873" w:rsidRDefault="00B02873" w:rsidP="00B02873">
      <w:pPr>
        <w:pStyle w:val="Bullet1Lists"/>
      </w:pPr>
      <w:r>
        <w:t>environmentally sustainable outputs through procurement-specific requirements to use sustainable resources, manage waste and pollution and use recycled content in construction works</w:t>
      </w:r>
    </w:p>
    <w:p w14:paraId="6A7D9737" w14:textId="2C841F42" w:rsidR="00B02873" w:rsidRDefault="00B02873" w:rsidP="0089099B">
      <w:pPr>
        <w:pStyle w:val="Bullet1Listslast"/>
      </w:pPr>
      <w:r>
        <w:t>adoption of sustainable business practices</w:t>
      </w:r>
      <w:r w:rsidR="0089099B">
        <w:t xml:space="preserve"> </w:t>
      </w:r>
      <w:r>
        <w:t xml:space="preserve">by suppliers </w:t>
      </w:r>
    </w:p>
    <w:p w14:paraId="6F1EFF8E" w14:textId="77777777" w:rsidR="00B02873" w:rsidRDefault="00B02873" w:rsidP="00FE198A">
      <w:r>
        <w:t>In 2021-22, DELWP spent a total of $9.22 million through direct engagement of 120 verified social benefit suppliers, including a total of $3.26 million with 46 verified Victorian Aboriginal businesses.</w:t>
      </w:r>
    </w:p>
    <w:p w14:paraId="133EDDFB" w14:textId="77777777" w:rsidR="00B02873" w:rsidRDefault="00B02873" w:rsidP="0089099B">
      <w:pPr>
        <w:pStyle w:val="Normalbeforebullet"/>
      </w:pPr>
      <w:r>
        <w:t xml:space="preserve">DELWP’s </w:t>
      </w:r>
      <w:r w:rsidRPr="0089099B">
        <w:rPr>
          <w:rStyle w:val="LightItalic"/>
          <w:rFonts w:asciiTheme="minorHAnsi" w:hAnsiTheme="minorHAnsi" w:cstheme="minorHAnsi"/>
        </w:rPr>
        <w:t>Social Procurement Strategy 2020-22</w:t>
      </w:r>
      <w:r>
        <w:t xml:space="preserve"> outlines some of the ways the department is progressing to meet its social procurement obligations. Actions underway include:</w:t>
      </w:r>
    </w:p>
    <w:p w14:paraId="6DD68F2B" w14:textId="77777777" w:rsidR="00B02873" w:rsidRDefault="00B02873" w:rsidP="00B02873">
      <w:pPr>
        <w:pStyle w:val="Bullet1Lists"/>
      </w:pPr>
      <w:r>
        <w:t xml:space="preserve">purchasing from certified Victorian social enterprises </w:t>
      </w:r>
    </w:p>
    <w:p w14:paraId="5B3F4C2C" w14:textId="77777777" w:rsidR="00B02873" w:rsidRDefault="00B02873" w:rsidP="00B02873">
      <w:pPr>
        <w:pStyle w:val="Bullet1Lists"/>
      </w:pPr>
      <w:r>
        <w:lastRenderedPageBreak/>
        <w:t>purchasing from certified Victorian Aboriginal business and granting a standing exemption from some procurement processes for direct selection of an Aboriginal business for contracts with a value less than $200,000</w:t>
      </w:r>
    </w:p>
    <w:p w14:paraId="265A0F06" w14:textId="77777777" w:rsidR="00B02873" w:rsidRDefault="00B02873" w:rsidP="00B02873">
      <w:pPr>
        <w:pStyle w:val="Bullet1Lists"/>
      </w:pPr>
      <w:r>
        <w:t xml:space="preserve">maintaining a current register of Victorian Aboriginal businesses </w:t>
      </w:r>
    </w:p>
    <w:p w14:paraId="67FF2741" w14:textId="77777777" w:rsidR="00B02873" w:rsidRDefault="00B02873" w:rsidP="0089099B">
      <w:pPr>
        <w:pStyle w:val="Bullet1Listslast"/>
      </w:pPr>
      <w:r>
        <w:t xml:space="preserve">incorporating requirements for environmentally sustainable outputs and business practices in DELWP’s requests for tender and quotation documents. </w:t>
      </w:r>
    </w:p>
    <w:p w14:paraId="4291CCCB" w14:textId="77777777" w:rsidR="00B02873" w:rsidRDefault="00B02873" w:rsidP="00FA43C4">
      <w:pPr>
        <w:pStyle w:val="Heading2Headings"/>
      </w:pPr>
      <w:bookmarkStart w:id="31" w:name="Consultancies"/>
      <w:r>
        <w:t>Consultancies</w:t>
      </w:r>
      <w:bookmarkEnd w:id="31"/>
      <w:r>
        <w:t xml:space="preserve"> </w:t>
      </w:r>
    </w:p>
    <w:p w14:paraId="6E6A5BF7" w14:textId="77777777" w:rsidR="00B02873" w:rsidRDefault="00B02873" w:rsidP="00FE198A">
      <w:r>
        <w:rPr>
          <w:spacing w:val="-2"/>
        </w:rPr>
        <w:t xml:space="preserve">In 2021-22, there were 57 consultancies where the total fees payable to the consultants were $10,000 or greater. The total expenditure incurred during 2021-22 in relation to these consultancies was $9.13 million (excluding GST). </w:t>
      </w:r>
    </w:p>
    <w:p w14:paraId="0156F2DE" w14:textId="77777777" w:rsidR="00B02873" w:rsidRDefault="00B02873" w:rsidP="00FE198A">
      <w:r>
        <w:t xml:space="preserve">In 2021-22, there were 19 consultancies where the total fees payable to the consultants were less than $10,000. The total expenditure incurred during 2021-22 in relation to these consultancies was $0.1 million (excluding GST). </w:t>
      </w:r>
    </w:p>
    <w:p w14:paraId="7FAFE3EB" w14:textId="4EF8CEA9" w:rsidR="00B02873" w:rsidRDefault="00B02873" w:rsidP="00FE198A">
      <w:r>
        <w:t xml:space="preserve">Details of individual consultancies are available on request, subject to the provisions of the </w:t>
      </w:r>
      <w:r w:rsidRPr="0089099B">
        <w:rPr>
          <w:rStyle w:val="LightItalic"/>
          <w:rFonts w:asciiTheme="minorHAnsi" w:hAnsiTheme="minorHAnsi" w:cstheme="minorHAnsi"/>
          <w:spacing w:val="-2"/>
        </w:rPr>
        <w:t>Freedom of Information Act 1982</w:t>
      </w:r>
      <w:r>
        <w:t>.</w:t>
      </w:r>
    </w:p>
    <w:p w14:paraId="19C7B432" w14:textId="53C0DFD9" w:rsidR="00B02873" w:rsidRDefault="00B02873" w:rsidP="00FA43C4">
      <w:pPr>
        <w:pStyle w:val="Heading2Headings"/>
      </w:pPr>
      <w:bookmarkStart w:id="32" w:name="Disclosure_of_major_contracts"/>
      <w:r>
        <w:t>Disclosure of major contracts</w:t>
      </w:r>
      <w:bookmarkEnd w:id="32"/>
    </w:p>
    <w:p w14:paraId="1D58B0EB" w14:textId="1D2C17C3" w:rsidR="00B02873" w:rsidRDefault="00B02873" w:rsidP="00FE198A">
      <w:r>
        <w:t xml:space="preserve">During 2021-22, the department entered into three contracts greater than $10 million in value (excluding GST). Details of the contracts are published on the Victorian Government Contract Publishing System and can be viewed online at </w:t>
      </w:r>
      <w:hyperlink r:id="rId80" w:history="1">
        <w:r w:rsidRPr="001A4A1A">
          <w:rPr>
            <w:rStyle w:val="Hyperlink"/>
          </w:rPr>
          <w:t>http://www.tenders.vic.gov.au</w:t>
        </w:r>
      </w:hyperlink>
      <w:r>
        <w:t xml:space="preserve">. </w:t>
      </w:r>
    </w:p>
    <w:p w14:paraId="6E87D72C" w14:textId="77777777" w:rsidR="00B02873" w:rsidRDefault="00B02873" w:rsidP="00FA43C4">
      <w:pPr>
        <w:pStyle w:val="Heading2Headings"/>
      </w:pPr>
      <w:bookmarkStart w:id="33" w:name="_Ref116925285"/>
      <w:r>
        <w:t>Disclosure of government advertising expenditure</w:t>
      </w:r>
      <w:bookmarkEnd w:id="33"/>
      <w:r>
        <w:t xml:space="preserve"> </w:t>
      </w:r>
    </w:p>
    <w:p w14:paraId="6C56AED7" w14:textId="3F9842AC" w:rsidR="00B02873" w:rsidRDefault="00B02873" w:rsidP="00FE198A">
      <w:r>
        <w:t>In 2021-22, there were three advertising campaigns with a total media spend of $100,000 or greater (exclusive of GST). The details of each campaign are outlined below.</w:t>
      </w:r>
    </w:p>
    <w:tbl>
      <w:tblPr>
        <w:tblStyle w:val="TableGrid"/>
        <w:tblW w:w="9634" w:type="dxa"/>
        <w:tblLayout w:type="fixed"/>
        <w:tblLook w:val="0020" w:firstRow="1" w:lastRow="0" w:firstColumn="0" w:lastColumn="0" w:noHBand="0" w:noVBand="0"/>
      </w:tblPr>
      <w:tblGrid>
        <w:gridCol w:w="1129"/>
        <w:gridCol w:w="1134"/>
        <w:gridCol w:w="1134"/>
        <w:gridCol w:w="1276"/>
        <w:gridCol w:w="1275"/>
        <w:gridCol w:w="1276"/>
        <w:gridCol w:w="1276"/>
        <w:gridCol w:w="1134"/>
      </w:tblGrid>
      <w:tr w:rsidR="0089099B" w:rsidRPr="00C025B8" w14:paraId="07D1DC07" w14:textId="77777777" w:rsidTr="00B32DB2">
        <w:trPr>
          <w:cnfStyle w:val="100000000000" w:firstRow="1" w:lastRow="0" w:firstColumn="0" w:lastColumn="0" w:oddVBand="0" w:evenVBand="0" w:oddHBand="0" w:evenHBand="0" w:firstRowFirstColumn="0" w:firstRowLastColumn="0" w:lastRowFirstColumn="0" w:lastRowLastColumn="0"/>
          <w:tblHeader/>
        </w:trPr>
        <w:tc>
          <w:tcPr>
            <w:tcW w:w="1129" w:type="dxa"/>
          </w:tcPr>
          <w:p w14:paraId="547E51AF" w14:textId="77777777" w:rsidR="00B02873" w:rsidRPr="00C025B8" w:rsidRDefault="00B02873" w:rsidP="0089099B">
            <w:pPr>
              <w:pStyle w:val="TableheadingleftTables"/>
              <w:rPr>
                <w:sz w:val="18"/>
              </w:rPr>
            </w:pPr>
            <w:r w:rsidRPr="00C025B8">
              <w:rPr>
                <w:sz w:val="18"/>
              </w:rPr>
              <w:t>Campaign name</w:t>
            </w:r>
          </w:p>
        </w:tc>
        <w:tc>
          <w:tcPr>
            <w:tcW w:w="1134" w:type="dxa"/>
          </w:tcPr>
          <w:p w14:paraId="0D108FDA" w14:textId="0A1A50E9" w:rsidR="00B02873" w:rsidRPr="00C025B8" w:rsidRDefault="00B02873" w:rsidP="0089099B">
            <w:pPr>
              <w:pStyle w:val="TableheadingleftTables"/>
              <w:rPr>
                <w:sz w:val="18"/>
              </w:rPr>
            </w:pPr>
            <w:r w:rsidRPr="00C025B8">
              <w:rPr>
                <w:sz w:val="18"/>
              </w:rPr>
              <w:t>Start/end date</w:t>
            </w:r>
          </w:p>
        </w:tc>
        <w:tc>
          <w:tcPr>
            <w:tcW w:w="1134" w:type="dxa"/>
          </w:tcPr>
          <w:p w14:paraId="4F6B598A" w14:textId="77777777" w:rsidR="00B02873" w:rsidRPr="00C025B8" w:rsidRDefault="00B02873" w:rsidP="00A93AE6">
            <w:pPr>
              <w:pStyle w:val="TableheadingleftTables"/>
              <w:jc w:val="right"/>
              <w:rPr>
                <w:sz w:val="18"/>
              </w:rPr>
            </w:pPr>
            <w:r w:rsidRPr="00C025B8">
              <w:rPr>
                <w:spacing w:val="-2"/>
                <w:sz w:val="18"/>
              </w:rPr>
              <w:t>Advertising (media expenditure</w:t>
            </w:r>
            <w:r w:rsidRPr="00C025B8">
              <w:rPr>
                <w:spacing w:val="-2"/>
                <w:sz w:val="18"/>
              </w:rPr>
              <w:br/>
              <w:t>($ ex GST)</w:t>
            </w:r>
          </w:p>
        </w:tc>
        <w:tc>
          <w:tcPr>
            <w:tcW w:w="1276" w:type="dxa"/>
          </w:tcPr>
          <w:p w14:paraId="6456D793" w14:textId="77777777" w:rsidR="00B02873" w:rsidRPr="00C025B8" w:rsidRDefault="00B02873" w:rsidP="00A93AE6">
            <w:pPr>
              <w:pStyle w:val="TableheadingleftTables"/>
              <w:jc w:val="right"/>
              <w:rPr>
                <w:sz w:val="18"/>
              </w:rPr>
            </w:pPr>
            <w:r w:rsidRPr="00C025B8">
              <w:rPr>
                <w:spacing w:val="-2"/>
                <w:sz w:val="18"/>
              </w:rPr>
              <w:t>Creative and campaign development expenditure</w:t>
            </w:r>
            <w:r w:rsidRPr="00C025B8">
              <w:rPr>
                <w:spacing w:val="-2"/>
                <w:sz w:val="18"/>
              </w:rPr>
              <w:br/>
              <w:t>($ ex GST)</w:t>
            </w:r>
          </w:p>
        </w:tc>
        <w:tc>
          <w:tcPr>
            <w:tcW w:w="1275" w:type="dxa"/>
          </w:tcPr>
          <w:p w14:paraId="72991770" w14:textId="77777777" w:rsidR="00B02873" w:rsidRPr="00C025B8" w:rsidRDefault="00B02873" w:rsidP="00A93AE6">
            <w:pPr>
              <w:pStyle w:val="TableheadingleftTables"/>
              <w:jc w:val="right"/>
              <w:rPr>
                <w:sz w:val="18"/>
              </w:rPr>
            </w:pPr>
            <w:r w:rsidRPr="00C025B8">
              <w:rPr>
                <w:spacing w:val="-2"/>
                <w:sz w:val="18"/>
              </w:rPr>
              <w:t>Research and evaluation expenditure</w:t>
            </w:r>
            <w:r w:rsidRPr="00C025B8">
              <w:rPr>
                <w:spacing w:val="-2"/>
                <w:sz w:val="18"/>
              </w:rPr>
              <w:br/>
              <w:t>($ ex GST)</w:t>
            </w:r>
          </w:p>
        </w:tc>
        <w:tc>
          <w:tcPr>
            <w:tcW w:w="1276" w:type="dxa"/>
          </w:tcPr>
          <w:p w14:paraId="7625193F" w14:textId="77777777" w:rsidR="00B02873" w:rsidRPr="00C025B8" w:rsidRDefault="00B02873" w:rsidP="00A93AE6">
            <w:pPr>
              <w:pStyle w:val="TableheadingleftTables"/>
              <w:jc w:val="right"/>
              <w:rPr>
                <w:sz w:val="18"/>
              </w:rPr>
            </w:pPr>
            <w:r w:rsidRPr="00C025B8">
              <w:rPr>
                <w:sz w:val="18"/>
              </w:rPr>
              <w:t>Print and collateral expenditure</w:t>
            </w:r>
            <w:r w:rsidRPr="00C025B8">
              <w:rPr>
                <w:sz w:val="18"/>
              </w:rPr>
              <w:br/>
              <w:t>($ ex GST)</w:t>
            </w:r>
          </w:p>
        </w:tc>
        <w:tc>
          <w:tcPr>
            <w:tcW w:w="1276" w:type="dxa"/>
          </w:tcPr>
          <w:p w14:paraId="084685F1" w14:textId="77777777" w:rsidR="00B02873" w:rsidRPr="00C025B8" w:rsidRDefault="00B02873" w:rsidP="00A93AE6">
            <w:pPr>
              <w:pStyle w:val="TableheadingleftTables"/>
              <w:jc w:val="right"/>
              <w:rPr>
                <w:sz w:val="18"/>
              </w:rPr>
            </w:pPr>
            <w:r w:rsidRPr="00C025B8">
              <w:rPr>
                <w:spacing w:val="-4"/>
                <w:sz w:val="18"/>
              </w:rPr>
              <w:t>Other campaign expenditure</w:t>
            </w:r>
            <w:r w:rsidRPr="00C025B8">
              <w:rPr>
                <w:spacing w:val="-4"/>
                <w:sz w:val="18"/>
              </w:rPr>
              <w:br/>
              <w:t>($ ex GST)</w:t>
            </w:r>
          </w:p>
        </w:tc>
        <w:tc>
          <w:tcPr>
            <w:tcW w:w="1134" w:type="dxa"/>
          </w:tcPr>
          <w:p w14:paraId="148D325D" w14:textId="77777777" w:rsidR="00B02873" w:rsidRPr="00C025B8" w:rsidRDefault="00B02873" w:rsidP="00A93AE6">
            <w:pPr>
              <w:pStyle w:val="TableheadingleftTables"/>
              <w:jc w:val="right"/>
              <w:rPr>
                <w:sz w:val="18"/>
              </w:rPr>
            </w:pPr>
            <w:r w:rsidRPr="00C025B8">
              <w:rPr>
                <w:sz w:val="18"/>
              </w:rPr>
              <w:t>Total</w:t>
            </w:r>
          </w:p>
        </w:tc>
      </w:tr>
      <w:tr w:rsidR="00C025B8" w:rsidRPr="00C025B8" w14:paraId="58B4B00C" w14:textId="77777777" w:rsidTr="00B32DB2">
        <w:tc>
          <w:tcPr>
            <w:tcW w:w="1129" w:type="dxa"/>
          </w:tcPr>
          <w:p w14:paraId="18F29B8A" w14:textId="77777777" w:rsidR="00B02873" w:rsidRPr="00C025B8" w:rsidRDefault="00B02873" w:rsidP="00B415A9">
            <w:pPr>
              <w:pStyle w:val="TablebodyleftTables"/>
              <w:rPr>
                <w:sz w:val="18"/>
                <w:szCs w:val="18"/>
              </w:rPr>
            </w:pPr>
            <w:r w:rsidRPr="00C025B8">
              <w:rPr>
                <w:sz w:val="18"/>
                <w:szCs w:val="18"/>
              </w:rPr>
              <w:t>Power Saving Bonus</w:t>
            </w:r>
          </w:p>
        </w:tc>
        <w:tc>
          <w:tcPr>
            <w:tcW w:w="1134" w:type="dxa"/>
          </w:tcPr>
          <w:p w14:paraId="2E45A9F1" w14:textId="77777777" w:rsidR="00B02873" w:rsidRPr="00C025B8" w:rsidRDefault="00B02873" w:rsidP="00B415A9">
            <w:pPr>
              <w:pStyle w:val="TablebodyleftTables"/>
              <w:rPr>
                <w:sz w:val="18"/>
                <w:szCs w:val="18"/>
              </w:rPr>
            </w:pPr>
            <w:r w:rsidRPr="00C025B8">
              <w:rPr>
                <w:sz w:val="18"/>
                <w:szCs w:val="18"/>
              </w:rPr>
              <w:t>November 2021 to January 2022</w:t>
            </w:r>
          </w:p>
        </w:tc>
        <w:tc>
          <w:tcPr>
            <w:tcW w:w="1134" w:type="dxa"/>
          </w:tcPr>
          <w:p w14:paraId="41954DDB" w14:textId="77777777" w:rsidR="00B02873" w:rsidRPr="00C025B8" w:rsidRDefault="00B02873" w:rsidP="00A93AE6">
            <w:pPr>
              <w:pStyle w:val="TablebodyleftTables"/>
              <w:jc w:val="right"/>
              <w:rPr>
                <w:sz w:val="18"/>
                <w:szCs w:val="18"/>
              </w:rPr>
            </w:pPr>
            <w:r w:rsidRPr="00C025B8">
              <w:rPr>
                <w:sz w:val="18"/>
                <w:szCs w:val="18"/>
              </w:rPr>
              <w:t>$449,805.52</w:t>
            </w:r>
          </w:p>
        </w:tc>
        <w:tc>
          <w:tcPr>
            <w:tcW w:w="1276" w:type="dxa"/>
          </w:tcPr>
          <w:p w14:paraId="17D89318" w14:textId="77777777" w:rsidR="00B02873" w:rsidRPr="00C025B8" w:rsidRDefault="00B02873" w:rsidP="00A93AE6">
            <w:pPr>
              <w:pStyle w:val="TablebodyleftTables"/>
              <w:jc w:val="right"/>
              <w:rPr>
                <w:sz w:val="18"/>
                <w:szCs w:val="18"/>
              </w:rPr>
            </w:pPr>
            <w:r w:rsidRPr="00C025B8">
              <w:rPr>
                <w:sz w:val="18"/>
                <w:szCs w:val="18"/>
              </w:rPr>
              <w:t>$0.00</w:t>
            </w:r>
          </w:p>
        </w:tc>
        <w:tc>
          <w:tcPr>
            <w:tcW w:w="1275" w:type="dxa"/>
          </w:tcPr>
          <w:p w14:paraId="6A8FAC99" w14:textId="77777777" w:rsidR="00B02873" w:rsidRPr="00C025B8" w:rsidRDefault="00B02873" w:rsidP="00A93AE6">
            <w:pPr>
              <w:pStyle w:val="TablebodyleftTables"/>
              <w:jc w:val="right"/>
              <w:rPr>
                <w:sz w:val="18"/>
                <w:szCs w:val="18"/>
              </w:rPr>
            </w:pPr>
            <w:r w:rsidRPr="00C025B8">
              <w:rPr>
                <w:sz w:val="18"/>
                <w:szCs w:val="18"/>
              </w:rPr>
              <w:t>$0.00</w:t>
            </w:r>
          </w:p>
        </w:tc>
        <w:tc>
          <w:tcPr>
            <w:tcW w:w="1276" w:type="dxa"/>
          </w:tcPr>
          <w:p w14:paraId="24DD6238" w14:textId="77777777" w:rsidR="00B02873" w:rsidRPr="00C025B8" w:rsidRDefault="00B02873" w:rsidP="00A93AE6">
            <w:pPr>
              <w:pStyle w:val="TablebodyleftTables"/>
              <w:jc w:val="right"/>
              <w:rPr>
                <w:sz w:val="18"/>
                <w:szCs w:val="18"/>
              </w:rPr>
            </w:pPr>
            <w:r w:rsidRPr="00C025B8">
              <w:rPr>
                <w:sz w:val="18"/>
                <w:szCs w:val="18"/>
              </w:rPr>
              <w:t>$0</w:t>
            </w:r>
          </w:p>
        </w:tc>
        <w:tc>
          <w:tcPr>
            <w:tcW w:w="1276" w:type="dxa"/>
          </w:tcPr>
          <w:p w14:paraId="5C0DC2C0" w14:textId="77777777" w:rsidR="00B02873" w:rsidRPr="00C025B8" w:rsidRDefault="00B02873" w:rsidP="00A93AE6">
            <w:pPr>
              <w:pStyle w:val="TablebodyleftTables"/>
              <w:jc w:val="right"/>
              <w:rPr>
                <w:sz w:val="18"/>
                <w:szCs w:val="18"/>
              </w:rPr>
            </w:pPr>
            <w:r w:rsidRPr="00C025B8">
              <w:rPr>
                <w:sz w:val="18"/>
                <w:szCs w:val="18"/>
              </w:rPr>
              <w:t>$0</w:t>
            </w:r>
          </w:p>
        </w:tc>
        <w:tc>
          <w:tcPr>
            <w:tcW w:w="1134" w:type="dxa"/>
          </w:tcPr>
          <w:p w14:paraId="16F539BC" w14:textId="77777777" w:rsidR="00B02873" w:rsidRPr="00C025B8" w:rsidRDefault="00B02873" w:rsidP="00A93AE6">
            <w:pPr>
              <w:pStyle w:val="TablebodyleftTables"/>
              <w:jc w:val="right"/>
              <w:rPr>
                <w:sz w:val="18"/>
                <w:szCs w:val="18"/>
              </w:rPr>
            </w:pPr>
            <w:r w:rsidRPr="00C025B8">
              <w:rPr>
                <w:sz w:val="18"/>
                <w:szCs w:val="18"/>
              </w:rPr>
              <w:t>$449,805.52</w:t>
            </w:r>
          </w:p>
        </w:tc>
      </w:tr>
    </w:tbl>
    <w:p w14:paraId="6F289E6E" w14:textId="392AB6F2" w:rsidR="00C025B8" w:rsidRDefault="00C025B8" w:rsidP="00C025B8">
      <w:pPr>
        <w:spacing w:line="220" w:lineRule="atLeast"/>
      </w:pPr>
      <w:r w:rsidRPr="00C025B8">
        <w:rPr>
          <w:sz w:val="18"/>
          <w:szCs w:val="12"/>
        </w:rPr>
        <w:t>The $250 Power Saving Bonus for eligible concession cardholders was designed to provide immediate financial assistance to Victorian energy consumers who need it most. The $250 Power Saving Bonus campaign was developed to highlight to eligible pensioner concession card holders, or those receiving JobSeeker, Austudy, Abstudy or Youth Allowance, that they could receive a one-off Power Saving Bonus of $250 by visiting the Victorian Energy Compare (VEC) website, calling the Victorian help line, or reaching out to a Community Outreach Partner. The campaign also was designed to create awareness of the VEC comparison tool, which has the capacity to save consumers money by accessing their cheapest energy deal on an ongoing basis.</w:t>
      </w:r>
    </w:p>
    <w:tbl>
      <w:tblPr>
        <w:tblStyle w:val="TableGrid"/>
        <w:tblW w:w="9634" w:type="dxa"/>
        <w:tblLayout w:type="fixed"/>
        <w:tblLook w:val="0020" w:firstRow="1" w:lastRow="0" w:firstColumn="0" w:lastColumn="0" w:noHBand="0" w:noVBand="0"/>
      </w:tblPr>
      <w:tblGrid>
        <w:gridCol w:w="1129"/>
        <w:gridCol w:w="1134"/>
        <w:gridCol w:w="1134"/>
        <w:gridCol w:w="1276"/>
        <w:gridCol w:w="1275"/>
        <w:gridCol w:w="1276"/>
        <w:gridCol w:w="1276"/>
        <w:gridCol w:w="1134"/>
      </w:tblGrid>
      <w:tr w:rsidR="00C025B8" w:rsidRPr="00C025B8" w14:paraId="3709E000" w14:textId="77777777" w:rsidTr="00B32DB2">
        <w:trPr>
          <w:cnfStyle w:val="100000000000" w:firstRow="1" w:lastRow="0" w:firstColumn="0" w:lastColumn="0" w:oddVBand="0" w:evenVBand="0" w:oddHBand="0" w:evenHBand="0" w:firstRowFirstColumn="0" w:firstRowLastColumn="0" w:lastRowFirstColumn="0" w:lastRowLastColumn="0"/>
          <w:tblHeader/>
        </w:trPr>
        <w:tc>
          <w:tcPr>
            <w:tcW w:w="1129" w:type="dxa"/>
          </w:tcPr>
          <w:p w14:paraId="22639AEF" w14:textId="77777777" w:rsidR="00C025B8" w:rsidRPr="00C025B8" w:rsidRDefault="00C025B8" w:rsidP="000315A5">
            <w:pPr>
              <w:pStyle w:val="TableheadingleftTables"/>
              <w:rPr>
                <w:sz w:val="18"/>
              </w:rPr>
            </w:pPr>
            <w:r w:rsidRPr="00C025B8">
              <w:rPr>
                <w:sz w:val="18"/>
              </w:rPr>
              <w:lastRenderedPageBreak/>
              <w:t>Campaign name</w:t>
            </w:r>
          </w:p>
        </w:tc>
        <w:tc>
          <w:tcPr>
            <w:tcW w:w="1134" w:type="dxa"/>
          </w:tcPr>
          <w:p w14:paraId="623B8895" w14:textId="77777777" w:rsidR="00C025B8" w:rsidRPr="00C025B8" w:rsidRDefault="00C025B8" w:rsidP="000315A5">
            <w:pPr>
              <w:pStyle w:val="TableheadingleftTables"/>
              <w:rPr>
                <w:sz w:val="18"/>
              </w:rPr>
            </w:pPr>
            <w:r w:rsidRPr="00C025B8">
              <w:rPr>
                <w:sz w:val="18"/>
              </w:rPr>
              <w:t>Start/end date</w:t>
            </w:r>
          </w:p>
        </w:tc>
        <w:tc>
          <w:tcPr>
            <w:tcW w:w="1134" w:type="dxa"/>
          </w:tcPr>
          <w:p w14:paraId="20F39A17" w14:textId="77777777" w:rsidR="00C025B8" w:rsidRPr="00C025B8" w:rsidRDefault="00C025B8" w:rsidP="00B32DB2">
            <w:pPr>
              <w:pStyle w:val="TableheadingleftTables"/>
              <w:jc w:val="right"/>
              <w:rPr>
                <w:sz w:val="18"/>
              </w:rPr>
            </w:pPr>
            <w:r w:rsidRPr="00C025B8">
              <w:rPr>
                <w:spacing w:val="-2"/>
                <w:sz w:val="18"/>
              </w:rPr>
              <w:t>Advertising (media expenditure</w:t>
            </w:r>
            <w:r w:rsidRPr="00C025B8">
              <w:rPr>
                <w:spacing w:val="-2"/>
                <w:sz w:val="18"/>
              </w:rPr>
              <w:br/>
              <w:t>($ ex GST)</w:t>
            </w:r>
          </w:p>
        </w:tc>
        <w:tc>
          <w:tcPr>
            <w:tcW w:w="1276" w:type="dxa"/>
          </w:tcPr>
          <w:p w14:paraId="3C6B35A7" w14:textId="77777777" w:rsidR="00C025B8" w:rsidRPr="00C025B8" w:rsidRDefault="00C025B8" w:rsidP="00B32DB2">
            <w:pPr>
              <w:pStyle w:val="TableheadingleftTables"/>
              <w:jc w:val="right"/>
              <w:rPr>
                <w:sz w:val="18"/>
              </w:rPr>
            </w:pPr>
            <w:r w:rsidRPr="00C025B8">
              <w:rPr>
                <w:spacing w:val="-2"/>
                <w:sz w:val="18"/>
              </w:rPr>
              <w:t>Creative and campaign development expenditure</w:t>
            </w:r>
            <w:r w:rsidRPr="00C025B8">
              <w:rPr>
                <w:spacing w:val="-2"/>
                <w:sz w:val="18"/>
              </w:rPr>
              <w:br/>
              <w:t>($ ex GST)</w:t>
            </w:r>
          </w:p>
        </w:tc>
        <w:tc>
          <w:tcPr>
            <w:tcW w:w="1275" w:type="dxa"/>
          </w:tcPr>
          <w:p w14:paraId="77F62493" w14:textId="77777777" w:rsidR="00C025B8" w:rsidRPr="00C025B8" w:rsidRDefault="00C025B8" w:rsidP="00B32DB2">
            <w:pPr>
              <w:pStyle w:val="TableheadingleftTables"/>
              <w:jc w:val="right"/>
              <w:rPr>
                <w:sz w:val="18"/>
              </w:rPr>
            </w:pPr>
            <w:r w:rsidRPr="00C025B8">
              <w:rPr>
                <w:spacing w:val="-2"/>
                <w:sz w:val="18"/>
              </w:rPr>
              <w:t>Research and evaluation expenditure</w:t>
            </w:r>
            <w:r w:rsidRPr="00C025B8">
              <w:rPr>
                <w:spacing w:val="-2"/>
                <w:sz w:val="18"/>
              </w:rPr>
              <w:br/>
              <w:t>($ ex GST)</w:t>
            </w:r>
          </w:p>
        </w:tc>
        <w:tc>
          <w:tcPr>
            <w:tcW w:w="1276" w:type="dxa"/>
          </w:tcPr>
          <w:p w14:paraId="38E62499" w14:textId="77777777" w:rsidR="00C025B8" w:rsidRPr="00C025B8" w:rsidRDefault="00C025B8" w:rsidP="00B32DB2">
            <w:pPr>
              <w:pStyle w:val="TableheadingleftTables"/>
              <w:jc w:val="right"/>
              <w:rPr>
                <w:sz w:val="18"/>
              </w:rPr>
            </w:pPr>
            <w:r w:rsidRPr="00C025B8">
              <w:rPr>
                <w:sz w:val="18"/>
              </w:rPr>
              <w:t>Print and collateral expenditure</w:t>
            </w:r>
            <w:r w:rsidRPr="00C025B8">
              <w:rPr>
                <w:sz w:val="18"/>
              </w:rPr>
              <w:br/>
              <w:t>($ ex GST)</w:t>
            </w:r>
          </w:p>
        </w:tc>
        <w:tc>
          <w:tcPr>
            <w:tcW w:w="1276" w:type="dxa"/>
          </w:tcPr>
          <w:p w14:paraId="7016CB89" w14:textId="77777777" w:rsidR="00C025B8" w:rsidRPr="00C025B8" w:rsidRDefault="00C025B8" w:rsidP="00B32DB2">
            <w:pPr>
              <w:pStyle w:val="TableheadingleftTables"/>
              <w:jc w:val="right"/>
              <w:rPr>
                <w:sz w:val="18"/>
              </w:rPr>
            </w:pPr>
            <w:r w:rsidRPr="00C025B8">
              <w:rPr>
                <w:spacing w:val="-4"/>
                <w:sz w:val="18"/>
              </w:rPr>
              <w:t>Other campaign expenditure</w:t>
            </w:r>
            <w:r w:rsidRPr="00C025B8">
              <w:rPr>
                <w:spacing w:val="-4"/>
                <w:sz w:val="18"/>
              </w:rPr>
              <w:br/>
              <w:t>($ ex GST)</w:t>
            </w:r>
          </w:p>
        </w:tc>
        <w:tc>
          <w:tcPr>
            <w:tcW w:w="1134" w:type="dxa"/>
          </w:tcPr>
          <w:p w14:paraId="358B2B53" w14:textId="77777777" w:rsidR="00C025B8" w:rsidRPr="00C025B8" w:rsidRDefault="00C025B8" w:rsidP="00B32DB2">
            <w:pPr>
              <w:pStyle w:val="TableheadingleftTables"/>
              <w:jc w:val="right"/>
              <w:rPr>
                <w:sz w:val="18"/>
              </w:rPr>
            </w:pPr>
            <w:r w:rsidRPr="00C025B8">
              <w:rPr>
                <w:sz w:val="18"/>
              </w:rPr>
              <w:t>Total</w:t>
            </w:r>
          </w:p>
        </w:tc>
      </w:tr>
      <w:tr w:rsidR="00C025B8" w:rsidRPr="00C025B8" w14:paraId="56ACFCB1" w14:textId="77777777" w:rsidTr="00B32DB2">
        <w:tc>
          <w:tcPr>
            <w:tcW w:w="1129" w:type="dxa"/>
          </w:tcPr>
          <w:p w14:paraId="3DA2DD46" w14:textId="77777777" w:rsidR="00B02873" w:rsidRPr="00C025B8" w:rsidRDefault="00B02873" w:rsidP="00B415A9">
            <w:pPr>
              <w:pStyle w:val="TablebodyleftTables"/>
              <w:rPr>
                <w:sz w:val="18"/>
                <w:szCs w:val="18"/>
              </w:rPr>
            </w:pPr>
            <w:r w:rsidRPr="00C025B8">
              <w:rPr>
                <w:sz w:val="18"/>
                <w:szCs w:val="18"/>
              </w:rPr>
              <w:t>Public Safety on public land and waterways</w:t>
            </w:r>
          </w:p>
        </w:tc>
        <w:tc>
          <w:tcPr>
            <w:tcW w:w="1134" w:type="dxa"/>
          </w:tcPr>
          <w:p w14:paraId="2C0FA8AA" w14:textId="77777777" w:rsidR="00B02873" w:rsidRPr="00C025B8" w:rsidRDefault="00B02873" w:rsidP="00B415A9">
            <w:pPr>
              <w:pStyle w:val="TablebodyleftTables"/>
              <w:rPr>
                <w:sz w:val="18"/>
                <w:szCs w:val="18"/>
              </w:rPr>
            </w:pPr>
            <w:r w:rsidRPr="00C025B8">
              <w:rPr>
                <w:sz w:val="18"/>
                <w:szCs w:val="18"/>
              </w:rPr>
              <w:t>December 2021 to February 2022</w:t>
            </w:r>
          </w:p>
        </w:tc>
        <w:tc>
          <w:tcPr>
            <w:tcW w:w="1134" w:type="dxa"/>
          </w:tcPr>
          <w:p w14:paraId="6FC63A40" w14:textId="77777777" w:rsidR="00B02873" w:rsidRPr="00C025B8" w:rsidRDefault="00B02873" w:rsidP="00B32DB2">
            <w:pPr>
              <w:pStyle w:val="TablebodyleftTables"/>
              <w:jc w:val="right"/>
              <w:rPr>
                <w:sz w:val="18"/>
                <w:szCs w:val="18"/>
              </w:rPr>
            </w:pPr>
            <w:r w:rsidRPr="00C025B8">
              <w:rPr>
                <w:sz w:val="18"/>
                <w:szCs w:val="18"/>
              </w:rPr>
              <w:t>$97,018</w:t>
            </w:r>
          </w:p>
        </w:tc>
        <w:tc>
          <w:tcPr>
            <w:tcW w:w="1276" w:type="dxa"/>
          </w:tcPr>
          <w:p w14:paraId="22B5A7CE" w14:textId="77777777" w:rsidR="00B02873" w:rsidRPr="00C025B8" w:rsidRDefault="00B02873" w:rsidP="00B32DB2">
            <w:pPr>
              <w:pStyle w:val="TablebodyleftTables"/>
              <w:jc w:val="right"/>
              <w:rPr>
                <w:sz w:val="18"/>
                <w:szCs w:val="18"/>
              </w:rPr>
            </w:pPr>
            <w:r w:rsidRPr="00C025B8">
              <w:rPr>
                <w:sz w:val="18"/>
                <w:szCs w:val="18"/>
              </w:rPr>
              <w:t>$0</w:t>
            </w:r>
          </w:p>
        </w:tc>
        <w:tc>
          <w:tcPr>
            <w:tcW w:w="1275" w:type="dxa"/>
          </w:tcPr>
          <w:p w14:paraId="2DF35BBC" w14:textId="77777777" w:rsidR="00B02873" w:rsidRPr="00C025B8" w:rsidRDefault="00B02873" w:rsidP="00B32DB2">
            <w:pPr>
              <w:pStyle w:val="TablebodyleftTables"/>
              <w:jc w:val="right"/>
              <w:rPr>
                <w:sz w:val="18"/>
                <w:szCs w:val="18"/>
              </w:rPr>
            </w:pPr>
            <w:r w:rsidRPr="00C025B8">
              <w:rPr>
                <w:sz w:val="18"/>
                <w:szCs w:val="18"/>
              </w:rPr>
              <w:t>$0</w:t>
            </w:r>
          </w:p>
        </w:tc>
        <w:tc>
          <w:tcPr>
            <w:tcW w:w="1276" w:type="dxa"/>
          </w:tcPr>
          <w:p w14:paraId="6C13033A" w14:textId="77777777" w:rsidR="00B02873" w:rsidRPr="00C025B8" w:rsidRDefault="00B02873" w:rsidP="00B32DB2">
            <w:pPr>
              <w:pStyle w:val="TablebodyleftTables"/>
              <w:jc w:val="right"/>
              <w:rPr>
                <w:sz w:val="18"/>
                <w:szCs w:val="18"/>
              </w:rPr>
            </w:pPr>
            <w:r w:rsidRPr="00C025B8">
              <w:rPr>
                <w:sz w:val="18"/>
                <w:szCs w:val="18"/>
              </w:rPr>
              <w:t>$0</w:t>
            </w:r>
          </w:p>
        </w:tc>
        <w:tc>
          <w:tcPr>
            <w:tcW w:w="1276" w:type="dxa"/>
          </w:tcPr>
          <w:p w14:paraId="306FB04C" w14:textId="77777777" w:rsidR="00B02873" w:rsidRPr="00C025B8" w:rsidRDefault="00B02873" w:rsidP="00B32DB2">
            <w:pPr>
              <w:pStyle w:val="TablebodyleftTables"/>
              <w:jc w:val="right"/>
              <w:rPr>
                <w:sz w:val="18"/>
                <w:szCs w:val="18"/>
              </w:rPr>
            </w:pPr>
            <w:r w:rsidRPr="00C025B8">
              <w:rPr>
                <w:sz w:val="18"/>
                <w:szCs w:val="18"/>
              </w:rPr>
              <w:t>$3,756 Translations</w:t>
            </w:r>
          </w:p>
        </w:tc>
        <w:tc>
          <w:tcPr>
            <w:tcW w:w="1134" w:type="dxa"/>
          </w:tcPr>
          <w:p w14:paraId="47CB2090" w14:textId="77777777" w:rsidR="00B02873" w:rsidRPr="00C025B8" w:rsidRDefault="00B02873" w:rsidP="00B32DB2">
            <w:pPr>
              <w:pStyle w:val="TablebodyleftTables"/>
              <w:jc w:val="right"/>
              <w:rPr>
                <w:sz w:val="18"/>
                <w:szCs w:val="18"/>
              </w:rPr>
            </w:pPr>
            <w:r w:rsidRPr="00C025B8">
              <w:rPr>
                <w:sz w:val="18"/>
                <w:szCs w:val="18"/>
              </w:rPr>
              <w:t>$100,774</w:t>
            </w:r>
          </w:p>
        </w:tc>
      </w:tr>
    </w:tbl>
    <w:p w14:paraId="0452C35F" w14:textId="1929FC3F" w:rsidR="00C025B8" w:rsidRDefault="00C025B8" w:rsidP="00C025B8">
      <w:pPr>
        <w:spacing w:line="220" w:lineRule="atLeast"/>
      </w:pPr>
      <w:r w:rsidRPr="00C025B8">
        <w:rPr>
          <w:sz w:val="18"/>
          <w:szCs w:val="12"/>
        </w:rPr>
        <w:t>The 2021-22 COVIDSafe Summer (public land and waterways) campaign ran through the peak visitation summer period. This campaign supported the Victorian Government’s master COVID-19 campaign: Stay Safe Stay Open. As in the previous summer, high rates of visitation were expected on Victoria’s 7.2 million hectares of public land, beaches, lakes, parks and tourist hotspots. The 2021-22 campaign leveraged the broad coverage of other government pandemic messaging and focused on culturally and linguistically diverse communities, and inexperienced first-time visitors to public land. Management of public land during the 2020-21 summer indicated the need to target specific public land safety messages to these demographics. The campaign had above average reach and provided consistent, effective, and timely information to the community about how to stay safe (led by public health advice) while visiting public spaces during summer.</w:t>
      </w:r>
    </w:p>
    <w:tbl>
      <w:tblPr>
        <w:tblStyle w:val="TableGrid"/>
        <w:tblW w:w="9634" w:type="dxa"/>
        <w:tblLayout w:type="fixed"/>
        <w:tblLook w:val="0020" w:firstRow="1" w:lastRow="0" w:firstColumn="0" w:lastColumn="0" w:noHBand="0" w:noVBand="0"/>
      </w:tblPr>
      <w:tblGrid>
        <w:gridCol w:w="1129"/>
        <w:gridCol w:w="1134"/>
        <w:gridCol w:w="1134"/>
        <w:gridCol w:w="1276"/>
        <w:gridCol w:w="1275"/>
        <w:gridCol w:w="1276"/>
        <w:gridCol w:w="1276"/>
        <w:gridCol w:w="1134"/>
      </w:tblGrid>
      <w:tr w:rsidR="00C025B8" w:rsidRPr="00C025B8" w14:paraId="70AE0FA6" w14:textId="77777777" w:rsidTr="00B32DB2">
        <w:trPr>
          <w:cnfStyle w:val="100000000000" w:firstRow="1" w:lastRow="0" w:firstColumn="0" w:lastColumn="0" w:oddVBand="0" w:evenVBand="0" w:oddHBand="0" w:evenHBand="0" w:firstRowFirstColumn="0" w:firstRowLastColumn="0" w:lastRowFirstColumn="0" w:lastRowLastColumn="0"/>
          <w:tblHeader/>
        </w:trPr>
        <w:tc>
          <w:tcPr>
            <w:tcW w:w="1129" w:type="dxa"/>
          </w:tcPr>
          <w:p w14:paraId="10E33978" w14:textId="77777777" w:rsidR="00C025B8" w:rsidRPr="00C025B8" w:rsidRDefault="00C025B8" w:rsidP="000315A5">
            <w:pPr>
              <w:pStyle w:val="TableheadingleftTables"/>
              <w:rPr>
                <w:sz w:val="18"/>
              </w:rPr>
            </w:pPr>
            <w:r w:rsidRPr="00C025B8">
              <w:rPr>
                <w:sz w:val="18"/>
              </w:rPr>
              <w:t>Campaign name</w:t>
            </w:r>
          </w:p>
        </w:tc>
        <w:tc>
          <w:tcPr>
            <w:tcW w:w="1134" w:type="dxa"/>
          </w:tcPr>
          <w:p w14:paraId="78205F6C" w14:textId="77777777" w:rsidR="00C025B8" w:rsidRPr="00C025B8" w:rsidRDefault="00C025B8" w:rsidP="000315A5">
            <w:pPr>
              <w:pStyle w:val="TableheadingleftTables"/>
              <w:rPr>
                <w:sz w:val="18"/>
              </w:rPr>
            </w:pPr>
            <w:r w:rsidRPr="00C025B8">
              <w:rPr>
                <w:sz w:val="18"/>
              </w:rPr>
              <w:t>Start/end date</w:t>
            </w:r>
          </w:p>
        </w:tc>
        <w:tc>
          <w:tcPr>
            <w:tcW w:w="1134" w:type="dxa"/>
          </w:tcPr>
          <w:p w14:paraId="0CF9A03C" w14:textId="77777777" w:rsidR="00C025B8" w:rsidRPr="00C025B8" w:rsidRDefault="00C025B8" w:rsidP="00B32DB2">
            <w:pPr>
              <w:pStyle w:val="TableheadingleftTables"/>
              <w:jc w:val="right"/>
              <w:rPr>
                <w:sz w:val="18"/>
              </w:rPr>
            </w:pPr>
            <w:r w:rsidRPr="00C025B8">
              <w:rPr>
                <w:spacing w:val="-2"/>
                <w:sz w:val="18"/>
              </w:rPr>
              <w:t>Advertising (media expenditure</w:t>
            </w:r>
            <w:r w:rsidRPr="00C025B8">
              <w:rPr>
                <w:spacing w:val="-2"/>
                <w:sz w:val="18"/>
              </w:rPr>
              <w:br/>
              <w:t>($ ex GST)</w:t>
            </w:r>
          </w:p>
        </w:tc>
        <w:tc>
          <w:tcPr>
            <w:tcW w:w="1276" w:type="dxa"/>
          </w:tcPr>
          <w:p w14:paraId="5F84C3C9" w14:textId="77777777" w:rsidR="00C025B8" w:rsidRPr="00C025B8" w:rsidRDefault="00C025B8" w:rsidP="00B32DB2">
            <w:pPr>
              <w:pStyle w:val="TableheadingleftTables"/>
              <w:jc w:val="right"/>
              <w:rPr>
                <w:sz w:val="18"/>
              </w:rPr>
            </w:pPr>
            <w:r w:rsidRPr="00C025B8">
              <w:rPr>
                <w:spacing w:val="-2"/>
                <w:sz w:val="18"/>
              </w:rPr>
              <w:t>Creative and campaign development expenditure</w:t>
            </w:r>
            <w:r w:rsidRPr="00C025B8">
              <w:rPr>
                <w:spacing w:val="-2"/>
                <w:sz w:val="18"/>
              </w:rPr>
              <w:br/>
              <w:t>($ ex GST)</w:t>
            </w:r>
          </w:p>
        </w:tc>
        <w:tc>
          <w:tcPr>
            <w:tcW w:w="1275" w:type="dxa"/>
          </w:tcPr>
          <w:p w14:paraId="0357D362" w14:textId="77777777" w:rsidR="00C025B8" w:rsidRPr="00C025B8" w:rsidRDefault="00C025B8" w:rsidP="00B32DB2">
            <w:pPr>
              <w:pStyle w:val="TableheadingleftTables"/>
              <w:jc w:val="right"/>
              <w:rPr>
                <w:sz w:val="18"/>
              </w:rPr>
            </w:pPr>
            <w:r w:rsidRPr="00C025B8">
              <w:rPr>
                <w:spacing w:val="-2"/>
                <w:sz w:val="18"/>
              </w:rPr>
              <w:t>Research and evaluation expenditure</w:t>
            </w:r>
            <w:r w:rsidRPr="00C025B8">
              <w:rPr>
                <w:spacing w:val="-2"/>
                <w:sz w:val="18"/>
              </w:rPr>
              <w:br/>
              <w:t>($ ex GST)</w:t>
            </w:r>
          </w:p>
        </w:tc>
        <w:tc>
          <w:tcPr>
            <w:tcW w:w="1276" w:type="dxa"/>
          </w:tcPr>
          <w:p w14:paraId="5B551684" w14:textId="77777777" w:rsidR="00C025B8" w:rsidRPr="00C025B8" w:rsidRDefault="00C025B8" w:rsidP="00B32DB2">
            <w:pPr>
              <w:pStyle w:val="TableheadingleftTables"/>
              <w:jc w:val="right"/>
              <w:rPr>
                <w:sz w:val="18"/>
              </w:rPr>
            </w:pPr>
            <w:r w:rsidRPr="00C025B8">
              <w:rPr>
                <w:sz w:val="18"/>
              </w:rPr>
              <w:t>Print and collateral expenditure</w:t>
            </w:r>
            <w:r w:rsidRPr="00C025B8">
              <w:rPr>
                <w:sz w:val="18"/>
              </w:rPr>
              <w:br/>
              <w:t>($ ex GST)</w:t>
            </w:r>
          </w:p>
        </w:tc>
        <w:tc>
          <w:tcPr>
            <w:tcW w:w="1276" w:type="dxa"/>
          </w:tcPr>
          <w:p w14:paraId="6A4D9D78" w14:textId="77777777" w:rsidR="00C025B8" w:rsidRPr="00C025B8" w:rsidRDefault="00C025B8" w:rsidP="00B32DB2">
            <w:pPr>
              <w:pStyle w:val="TableheadingleftTables"/>
              <w:jc w:val="right"/>
              <w:rPr>
                <w:sz w:val="18"/>
              </w:rPr>
            </w:pPr>
            <w:r w:rsidRPr="00C025B8">
              <w:rPr>
                <w:spacing w:val="-4"/>
                <w:sz w:val="18"/>
              </w:rPr>
              <w:t>Other campaign expenditure</w:t>
            </w:r>
            <w:r w:rsidRPr="00C025B8">
              <w:rPr>
                <w:spacing w:val="-4"/>
                <w:sz w:val="18"/>
              </w:rPr>
              <w:br/>
              <w:t>($ ex GST)</w:t>
            </w:r>
          </w:p>
        </w:tc>
        <w:tc>
          <w:tcPr>
            <w:tcW w:w="1134" w:type="dxa"/>
          </w:tcPr>
          <w:p w14:paraId="3E9EE46D" w14:textId="77777777" w:rsidR="00C025B8" w:rsidRPr="00C025B8" w:rsidRDefault="00C025B8" w:rsidP="00B32DB2">
            <w:pPr>
              <w:pStyle w:val="TableheadingleftTables"/>
              <w:jc w:val="right"/>
              <w:rPr>
                <w:sz w:val="18"/>
              </w:rPr>
            </w:pPr>
            <w:r w:rsidRPr="00C025B8">
              <w:rPr>
                <w:sz w:val="18"/>
              </w:rPr>
              <w:t>Total</w:t>
            </w:r>
          </w:p>
        </w:tc>
      </w:tr>
      <w:tr w:rsidR="00C025B8" w:rsidRPr="00C025B8" w14:paraId="318353F9" w14:textId="77777777" w:rsidTr="00B32DB2">
        <w:tc>
          <w:tcPr>
            <w:tcW w:w="1129" w:type="dxa"/>
          </w:tcPr>
          <w:p w14:paraId="384CFB1E" w14:textId="77777777" w:rsidR="00B02873" w:rsidRPr="00C025B8" w:rsidRDefault="00B02873" w:rsidP="00B415A9">
            <w:pPr>
              <w:pStyle w:val="TablebodyleftTables"/>
              <w:rPr>
                <w:sz w:val="18"/>
                <w:szCs w:val="18"/>
              </w:rPr>
            </w:pPr>
            <w:r w:rsidRPr="00C025B8">
              <w:rPr>
                <w:sz w:val="18"/>
                <w:szCs w:val="18"/>
              </w:rPr>
              <w:t xml:space="preserve">Home Heating and Cooling Upgrades (HHCU) Program </w:t>
            </w:r>
          </w:p>
        </w:tc>
        <w:tc>
          <w:tcPr>
            <w:tcW w:w="1134" w:type="dxa"/>
          </w:tcPr>
          <w:p w14:paraId="7C4A888F" w14:textId="77777777" w:rsidR="00B02873" w:rsidRPr="00C025B8" w:rsidRDefault="00B02873" w:rsidP="00B415A9">
            <w:pPr>
              <w:pStyle w:val="TablebodyleftTables"/>
              <w:rPr>
                <w:sz w:val="18"/>
                <w:szCs w:val="18"/>
              </w:rPr>
            </w:pPr>
            <w:r w:rsidRPr="00C025B8">
              <w:rPr>
                <w:sz w:val="18"/>
                <w:szCs w:val="18"/>
              </w:rPr>
              <w:t>November 2021 to June 2022</w:t>
            </w:r>
          </w:p>
        </w:tc>
        <w:tc>
          <w:tcPr>
            <w:tcW w:w="1134" w:type="dxa"/>
          </w:tcPr>
          <w:p w14:paraId="5265CDE9" w14:textId="77777777" w:rsidR="00B02873" w:rsidRPr="00C025B8" w:rsidRDefault="00B02873" w:rsidP="00B32DB2">
            <w:pPr>
              <w:pStyle w:val="TablebodyleftTables"/>
              <w:jc w:val="right"/>
              <w:rPr>
                <w:sz w:val="18"/>
                <w:szCs w:val="18"/>
              </w:rPr>
            </w:pPr>
            <w:r w:rsidRPr="00C025B8">
              <w:rPr>
                <w:sz w:val="18"/>
                <w:szCs w:val="18"/>
              </w:rPr>
              <w:t>$396,013.77</w:t>
            </w:r>
          </w:p>
        </w:tc>
        <w:tc>
          <w:tcPr>
            <w:tcW w:w="1276" w:type="dxa"/>
          </w:tcPr>
          <w:p w14:paraId="26993624" w14:textId="77777777" w:rsidR="00B02873" w:rsidRPr="00C025B8" w:rsidRDefault="00B02873" w:rsidP="00B32DB2">
            <w:pPr>
              <w:pStyle w:val="TablebodyleftTables"/>
              <w:jc w:val="right"/>
              <w:rPr>
                <w:sz w:val="18"/>
                <w:szCs w:val="18"/>
              </w:rPr>
            </w:pPr>
            <w:r w:rsidRPr="00C025B8">
              <w:rPr>
                <w:sz w:val="18"/>
                <w:szCs w:val="18"/>
              </w:rPr>
              <w:t xml:space="preserve">$343,892.73 </w:t>
            </w:r>
          </w:p>
        </w:tc>
        <w:tc>
          <w:tcPr>
            <w:tcW w:w="1275" w:type="dxa"/>
          </w:tcPr>
          <w:p w14:paraId="5EBEDC64" w14:textId="77777777" w:rsidR="00B02873" w:rsidRPr="00C025B8" w:rsidRDefault="00B02873" w:rsidP="00B32DB2">
            <w:pPr>
              <w:pStyle w:val="TablebodyleftTables"/>
              <w:jc w:val="right"/>
              <w:rPr>
                <w:sz w:val="18"/>
                <w:szCs w:val="18"/>
              </w:rPr>
            </w:pPr>
            <w:r w:rsidRPr="00C025B8">
              <w:rPr>
                <w:sz w:val="18"/>
                <w:szCs w:val="18"/>
              </w:rPr>
              <w:t>$0</w:t>
            </w:r>
          </w:p>
        </w:tc>
        <w:tc>
          <w:tcPr>
            <w:tcW w:w="1276" w:type="dxa"/>
          </w:tcPr>
          <w:p w14:paraId="5B19D5F2" w14:textId="77777777" w:rsidR="00B02873" w:rsidRPr="00C025B8" w:rsidRDefault="00B02873" w:rsidP="00B32DB2">
            <w:pPr>
              <w:pStyle w:val="TablebodyleftTables"/>
              <w:jc w:val="right"/>
              <w:rPr>
                <w:sz w:val="18"/>
                <w:szCs w:val="18"/>
              </w:rPr>
            </w:pPr>
            <w:r w:rsidRPr="00C025B8">
              <w:rPr>
                <w:sz w:val="18"/>
                <w:szCs w:val="18"/>
              </w:rPr>
              <w:t>$0</w:t>
            </w:r>
          </w:p>
        </w:tc>
        <w:tc>
          <w:tcPr>
            <w:tcW w:w="1276" w:type="dxa"/>
          </w:tcPr>
          <w:p w14:paraId="09319B28" w14:textId="77777777" w:rsidR="00B02873" w:rsidRPr="00C025B8" w:rsidRDefault="00B02873" w:rsidP="00B32DB2">
            <w:pPr>
              <w:pStyle w:val="TablebodyleftTables"/>
              <w:jc w:val="right"/>
              <w:rPr>
                <w:sz w:val="18"/>
                <w:szCs w:val="18"/>
              </w:rPr>
            </w:pPr>
            <w:r w:rsidRPr="00C025B8">
              <w:rPr>
                <w:sz w:val="18"/>
                <w:szCs w:val="18"/>
              </w:rPr>
              <w:t xml:space="preserve">$3,075 Translations </w:t>
            </w:r>
          </w:p>
        </w:tc>
        <w:tc>
          <w:tcPr>
            <w:tcW w:w="1134" w:type="dxa"/>
          </w:tcPr>
          <w:p w14:paraId="4F19F2C5" w14:textId="77777777" w:rsidR="00B02873" w:rsidRPr="00C025B8" w:rsidRDefault="00B02873" w:rsidP="00B32DB2">
            <w:pPr>
              <w:pStyle w:val="TablebodyleftTables"/>
              <w:jc w:val="right"/>
              <w:rPr>
                <w:sz w:val="18"/>
                <w:szCs w:val="18"/>
              </w:rPr>
            </w:pPr>
            <w:r w:rsidRPr="00C025B8">
              <w:rPr>
                <w:sz w:val="18"/>
                <w:szCs w:val="18"/>
              </w:rPr>
              <w:t>$742,981.50</w:t>
            </w:r>
          </w:p>
        </w:tc>
      </w:tr>
      <w:tr w:rsidR="00C025B8" w:rsidRPr="00C025B8" w14:paraId="6C596B5C" w14:textId="77777777" w:rsidTr="00B32DB2">
        <w:tc>
          <w:tcPr>
            <w:tcW w:w="1129" w:type="dxa"/>
          </w:tcPr>
          <w:p w14:paraId="16393A39" w14:textId="77777777" w:rsidR="00B02873" w:rsidRPr="00C025B8" w:rsidRDefault="00B02873" w:rsidP="00B415A9">
            <w:pPr>
              <w:pStyle w:val="TablebodyleftTables"/>
              <w:rPr>
                <w:sz w:val="18"/>
                <w:szCs w:val="18"/>
              </w:rPr>
            </w:pPr>
            <w:r w:rsidRPr="00C025B8">
              <w:rPr>
                <w:sz w:val="18"/>
                <w:szCs w:val="18"/>
              </w:rPr>
              <w:t>Solar PV rebate</w:t>
            </w:r>
          </w:p>
        </w:tc>
        <w:tc>
          <w:tcPr>
            <w:tcW w:w="1134" w:type="dxa"/>
          </w:tcPr>
          <w:p w14:paraId="2C7B4A1D" w14:textId="77777777" w:rsidR="00B02873" w:rsidRPr="00C025B8" w:rsidRDefault="00B02873" w:rsidP="00B415A9">
            <w:pPr>
              <w:pStyle w:val="TablebodyleftTables"/>
              <w:rPr>
                <w:sz w:val="18"/>
                <w:szCs w:val="18"/>
              </w:rPr>
            </w:pPr>
            <w:r w:rsidRPr="00C025B8">
              <w:rPr>
                <w:sz w:val="18"/>
                <w:szCs w:val="18"/>
              </w:rPr>
              <w:t>December 2021 to June 2022</w:t>
            </w:r>
          </w:p>
        </w:tc>
        <w:tc>
          <w:tcPr>
            <w:tcW w:w="1134" w:type="dxa"/>
          </w:tcPr>
          <w:p w14:paraId="10D7173A" w14:textId="77777777" w:rsidR="00B02873" w:rsidRPr="00C025B8" w:rsidRDefault="00B02873" w:rsidP="00B32DB2">
            <w:pPr>
              <w:pStyle w:val="TablebodyleftTables"/>
              <w:jc w:val="right"/>
              <w:rPr>
                <w:sz w:val="18"/>
                <w:szCs w:val="18"/>
              </w:rPr>
            </w:pPr>
            <w:r w:rsidRPr="00C025B8">
              <w:rPr>
                <w:sz w:val="18"/>
                <w:szCs w:val="18"/>
              </w:rPr>
              <w:t>$160,000</w:t>
            </w:r>
          </w:p>
        </w:tc>
        <w:tc>
          <w:tcPr>
            <w:tcW w:w="1276" w:type="dxa"/>
          </w:tcPr>
          <w:p w14:paraId="26A2B3A2" w14:textId="77777777" w:rsidR="00B02873" w:rsidRPr="00C025B8" w:rsidRDefault="00B02873" w:rsidP="00B32DB2">
            <w:pPr>
              <w:pStyle w:val="TablebodyleftTables"/>
              <w:jc w:val="right"/>
              <w:rPr>
                <w:sz w:val="18"/>
                <w:szCs w:val="18"/>
              </w:rPr>
            </w:pPr>
            <w:r w:rsidRPr="00C025B8">
              <w:rPr>
                <w:sz w:val="18"/>
                <w:szCs w:val="18"/>
              </w:rPr>
              <w:t>$5,006.81</w:t>
            </w:r>
          </w:p>
        </w:tc>
        <w:tc>
          <w:tcPr>
            <w:tcW w:w="1275" w:type="dxa"/>
          </w:tcPr>
          <w:p w14:paraId="4AD22418" w14:textId="77777777" w:rsidR="00B02873" w:rsidRPr="00C025B8" w:rsidRDefault="00B02873" w:rsidP="00B32DB2">
            <w:pPr>
              <w:pStyle w:val="TablebodyleftTables"/>
              <w:jc w:val="right"/>
              <w:rPr>
                <w:sz w:val="18"/>
                <w:szCs w:val="18"/>
              </w:rPr>
            </w:pPr>
            <w:r w:rsidRPr="00C025B8">
              <w:rPr>
                <w:sz w:val="18"/>
                <w:szCs w:val="18"/>
              </w:rPr>
              <w:t>$0</w:t>
            </w:r>
          </w:p>
        </w:tc>
        <w:tc>
          <w:tcPr>
            <w:tcW w:w="1276" w:type="dxa"/>
          </w:tcPr>
          <w:p w14:paraId="7ABF892D" w14:textId="77777777" w:rsidR="00B02873" w:rsidRPr="00C025B8" w:rsidRDefault="00B02873" w:rsidP="00B32DB2">
            <w:pPr>
              <w:pStyle w:val="TablebodyleftTables"/>
              <w:jc w:val="right"/>
              <w:rPr>
                <w:sz w:val="18"/>
                <w:szCs w:val="18"/>
              </w:rPr>
            </w:pPr>
            <w:r w:rsidRPr="00C025B8">
              <w:rPr>
                <w:sz w:val="18"/>
                <w:szCs w:val="18"/>
              </w:rPr>
              <w:t>$0</w:t>
            </w:r>
          </w:p>
        </w:tc>
        <w:tc>
          <w:tcPr>
            <w:tcW w:w="1276" w:type="dxa"/>
          </w:tcPr>
          <w:p w14:paraId="20FE8919" w14:textId="77777777" w:rsidR="00B02873" w:rsidRPr="00C025B8" w:rsidRDefault="00B02873" w:rsidP="00B32DB2">
            <w:pPr>
              <w:pStyle w:val="TablebodyleftTables"/>
              <w:jc w:val="right"/>
              <w:rPr>
                <w:sz w:val="18"/>
                <w:szCs w:val="18"/>
              </w:rPr>
            </w:pPr>
            <w:r w:rsidRPr="00C025B8">
              <w:rPr>
                <w:sz w:val="18"/>
                <w:szCs w:val="18"/>
              </w:rPr>
              <w:t>$1,330 (Translation inclusive of Solar PV and Solar battery rebates)</w:t>
            </w:r>
          </w:p>
        </w:tc>
        <w:tc>
          <w:tcPr>
            <w:tcW w:w="1134" w:type="dxa"/>
          </w:tcPr>
          <w:p w14:paraId="5FDE4066" w14:textId="77777777" w:rsidR="00B02873" w:rsidRPr="00C025B8" w:rsidRDefault="00B02873" w:rsidP="00B32DB2">
            <w:pPr>
              <w:pStyle w:val="TablebodyleftTables"/>
              <w:jc w:val="right"/>
              <w:rPr>
                <w:sz w:val="18"/>
                <w:szCs w:val="18"/>
              </w:rPr>
            </w:pPr>
            <w:r w:rsidRPr="00C025B8">
              <w:rPr>
                <w:sz w:val="18"/>
                <w:szCs w:val="18"/>
              </w:rPr>
              <w:t>$166,336.81</w:t>
            </w:r>
          </w:p>
        </w:tc>
      </w:tr>
      <w:tr w:rsidR="00C025B8" w:rsidRPr="007B509E" w14:paraId="36C85C82" w14:textId="77777777" w:rsidTr="00B32DB2">
        <w:tc>
          <w:tcPr>
            <w:tcW w:w="1129" w:type="dxa"/>
          </w:tcPr>
          <w:p w14:paraId="3D788E40" w14:textId="77777777" w:rsidR="00B02873" w:rsidRPr="007B509E" w:rsidRDefault="00B02873" w:rsidP="00B415A9">
            <w:pPr>
              <w:pStyle w:val="TablebodyleftTables"/>
              <w:rPr>
                <w:sz w:val="18"/>
                <w:szCs w:val="18"/>
              </w:rPr>
            </w:pPr>
            <w:r w:rsidRPr="007B509E">
              <w:rPr>
                <w:sz w:val="18"/>
                <w:szCs w:val="18"/>
              </w:rPr>
              <w:t>Solar hot water rebate</w:t>
            </w:r>
          </w:p>
        </w:tc>
        <w:tc>
          <w:tcPr>
            <w:tcW w:w="1134" w:type="dxa"/>
          </w:tcPr>
          <w:p w14:paraId="54F60165" w14:textId="77777777" w:rsidR="00B02873" w:rsidRPr="007B509E" w:rsidRDefault="00B02873" w:rsidP="00B415A9">
            <w:pPr>
              <w:pStyle w:val="TablebodyleftTables"/>
              <w:rPr>
                <w:sz w:val="18"/>
                <w:szCs w:val="18"/>
              </w:rPr>
            </w:pPr>
            <w:r w:rsidRPr="007B509E">
              <w:rPr>
                <w:sz w:val="18"/>
                <w:szCs w:val="18"/>
              </w:rPr>
              <w:t>December 2021 to June 2022</w:t>
            </w:r>
          </w:p>
        </w:tc>
        <w:tc>
          <w:tcPr>
            <w:tcW w:w="1134" w:type="dxa"/>
          </w:tcPr>
          <w:p w14:paraId="7CA058DA" w14:textId="77777777" w:rsidR="00B02873" w:rsidRPr="007B509E" w:rsidRDefault="00B02873" w:rsidP="00B32DB2">
            <w:pPr>
              <w:pStyle w:val="TablebodyleftTables"/>
              <w:jc w:val="right"/>
              <w:rPr>
                <w:sz w:val="18"/>
                <w:szCs w:val="18"/>
              </w:rPr>
            </w:pPr>
            <w:r w:rsidRPr="007B509E">
              <w:rPr>
                <w:sz w:val="18"/>
                <w:szCs w:val="18"/>
              </w:rPr>
              <w:t>$90,000</w:t>
            </w:r>
          </w:p>
        </w:tc>
        <w:tc>
          <w:tcPr>
            <w:tcW w:w="1276" w:type="dxa"/>
          </w:tcPr>
          <w:p w14:paraId="2E7DA93E" w14:textId="77777777" w:rsidR="00B02873" w:rsidRPr="007B509E" w:rsidRDefault="00B02873" w:rsidP="00B32DB2">
            <w:pPr>
              <w:pStyle w:val="TablebodyleftTables"/>
              <w:jc w:val="right"/>
              <w:rPr>
                <w:sz w:val="18"/>
                <w:szCs w:val="18"/>
              </w:rPr>
            </w:pPr>
            <w:r w:rsidRPr="007B509E">
              <w:rPr>
                <w:sz w:val="18"/>
                <w:szCs w:val="18"/>
              </w:rPr>
              <w:t>$0</w:t>
            </w:r>
          </w:p>
        </w:tc>
        <w:tc>
          <w:tcPr>
            <w:tcW w:w="1275" w:type="dxa"/>
          </w:tcPr>
          <w:p w14:paraId="25D287B7" w14:textId="77777777" w:rsidR="00B02873" w:rsidRPr="007B509E" w:rsidRDefault="00B02873" w:rsidP="00B32DB2">
            <w:pPr>
              <w:pStyle w:val="TablebodyleftTables"/>
              <w:jc w:val="right"/>
              <w:rPr>
                <w:sz w:val="18"/>
                <w:szCs w:val="18"/>
              </w:rPr>
            </w:pPr>
            <w:r w:rsidRPr="007B509E">
              <w:rPr>
                <w:sz w:val="18"/>
                <w:szCs w:val="18"/>
              </w:rPr>
              <w:t>$0</w:t>
            </w:r>
          </w:p>
        </w:tc>
        <w:tc>
          <w:tcPr>
            <w:tcW w:w="1276" w:type="dxa"/>
          </w:tcPr>
          <w:p w14:paraId="18AD494E" w14:textId="77777777" w:rsidR="00B02873" w:rsidRPr="007B509E" w:rsidRDefault="00B02873" w:rsidP="00B32DB2">
            <w:pPr>
              <w:pStyle w:val="TablebodyleftTables"/>
              <w:jc w:val="right"/>
              <w:rPr>
                <w:sz w:val="18"/>
                <w:szCs w:val="18"/>
              </w:rPr>
            </w:pPr>
            <w:r w:rsidRPr="007B509E">
              <w:rPr>
                <w:sz w:val="18"/>
                <w:szCs w:val="18"/>
              </w:rPr>
              <w:t>$0</w:t>
            </w:r>
          </w:p>
        </w:tc>
        <w:tc>
          <w:tcPr>
            <w:tcW w:w="1276" w:type="dxa"/>
          </w:tcPr>
          <w:p w14:paraId="4AE1F64C" w14:textId="77777777" w:rsidR="00B02873" w:rsidRPr="007B509E" w:rsidRDefault="00B02873" w:rsidP="00B32DB2">
            <w:pPr>
              <w:pStyle w:val="TablebodyleftTables"/>
              <w:jc w:val="right"/>
              <w:rPr>
                <w:rFonts w:cs="Times New Roman"/>
                <w:sz w:val="18"/>
                <w:szCs w:val="18"/>
              </w:rPr>
            </w:pPr>
          </w:p>
        </w:tc>
        <w:tc>
          <w:tcPr>
            <w:tcW w:w="1134" w:type="dxa"/>
          </w:tcPr>
          <w:p w14:paraId="59B2ADF4" w14:textId="77777777" w:rsidR="00B02873" w:rsidRPr="007B509E" w:rsidRDefault="00B02873" w:rsidP="00B32DB2">
            <w:pPr>
              <w:pStyle w:val="TablebodyleftTables"/>
              <w:jc w:val="right"/>
              <w:rPr>
                <w:sz w:val="18"/>
                <w:szCs w:val="18"/>
              </w:rPr>
            </w:pPr>
            <w:r w:rsidRPr="007B509E">
              <w:rPr>
                <w:sz w:val="18"/>
                <w:szCs w:val="18"/>
              </w:rPr>
              <w:t>$90,000</w:t>
            </w:r>
          </w:p>
        </w:tc>
      </w:tr>
      <w:tr w:rsidR="00C025B8" w:rsidRPr="007B509E" w14:paraId="04461687" w14:textId="77777777" w:rsidTr="00B32DB2">
        <w:tc>
          <w:tcPr>
            <w:tcW w:w="1129" w:type="dxa"/>
          </w:tcPr>
          <w:p w14:paraId="3F91AC29" w14:textId="77777777" w:rsidR="00B02873" w:rsidRPr="007B509E" w:rsidRDefault="00B02873" w:rsidP="00B415A9">
            <w:pPr>
              <w:pStyle w:val="TablebodyleftTables"/>
              <w:rPr>
                <w:sz w:val="18"/>
                <w:szCs w:val="18"/>
              </w:rPr>
            </w:pPr>
            <w:r w:rsidRPr="007B509E">
              <w:rPr>
                <w:sz w:val="18"/>
                <w:szCs w:val="18"/>
              </w:rPr>
              <w:t xml:space="preserve">Solar batteries rebate </w:t>
            </w:r>
          </w:p>
        </w:tc>
        <w:tc>
          <w:tcPr>
            <w:tcW w:w="1134" w:type="dxa"/>
          </w:tcPr>
          <w:p w14:paraId="52867EEE" w14:textId="77777777" w:rsidR="00B02873" w:rsidRPr="007B509E" w:rsidRDefault="00B02873" w:rsidP="00B415A9">
            <w:pPr>
              <w:pStyle w:val="TablebodyleftTables"/>
              <w:rPr>
                <w:sz w:val="18"/>
                <w:szCs w:val="18"/>
              </w:rPr>
            </w:pPr>
            <w:r w:rsidRPr="007B509E">
              <w:rPr>
                <w:sz w:val="18"/>
                <w:szCs w:val="18"/>
              </w:rPr>
              <w:t>December 2021 to June 2022</w:t>
            </w:r>
          </w:p>
        </w:tc>
        <w:tc>
          <w:tcPr>
            <w:tcW w:w="1134" w:type="dxa"/>
          </w:tcPr>
          <w:p w14:paraId="0CC048BB" w14:textId="77777777" w:rsidR="00B02873" w:rsidRPr="007B509E" w:rsidRDefault="00B02873" w:rsidP="00B32DB2">
            <w:pPr>
              <w:pStyle w:val="TablebodyleftTables"/>
              <w:jc w:val="right"/>
              <w:rPr>
                <w:sz w:val="18"/>
                <w:szCs w:val="18"/>
              </w:rPr>
            </w:pPr>
            <w:r w:rsidRPr="007B509E">
              <w:rPr>
                <w:sz w:val="18"/>
                <w:szCs w:val="18"/>
              </w:rPr>
              <w:t>$90,000</w:t>
            </w:r>
          </w:p>
        </w:tc>
        <w:tc>
          <w:tcPr>
            <w:tcW w:w="1276" w:type="dxa"/>
          </w:tcPr>
          <w:p w14:paraId="47B2E05C" w14:textId="77777777" w:rsidR="00B02873" w:rsidRPr="007B509E" w:rsidRDefault="00B02873" w:rsidP="00B32DB2">
            <w:pPr>
              <w:pStyle w:val="TablebodyleftTables"/>
              <w:jc w:val="right"/>
              <w:rPr>
                <w:sz w:val="18"/>
                <w:szCs w:val="18"/>
              </w:rPr>
            </w:pPr>
            <w:r w:rsidRPr="007B509E">
              <w:rPr>
                <w:sz w:val="18"/>
                <w:szCs w:val="18"/>
              </w:rPr>
              <w:t>$0</w:t>
            </w:r>
          </w:p>
        </w:tc>
        <w:tc>
          <w:tcPr>
            <w:tcW w:w="1275" w:type="dxa"/>
          </w:tcPr>
          <w:p w14:paraId="34560CA1" w14:textId="77777777" w:rsidR="00B02873" w:rsidRPr="007B509E" w:rsidRDefault="00B02873" w:rsidP="00B32DB2">
            <w:pPr>
              <w:pStyle w:val="TablebodyleftTables"/>
              <w:jc w:val="right"/>
              <w:rPr>
                <w:sz w:val="18"/>
                <w:szCs w:val="18"/>
              </w:rPr>
            </w:pPr>
            <w:r w:rsidRPr="007B509E">
              <w:rPr>
                <w:sz w:val="18"/>
                <w:szCs w:val="18"/>
              </w:rPr>
              <w:t>$0</w:t>
            </w:r>
          </w:p>
        </w:tc>
        <w:tc>
          <w:tcPr>
            <w:tcW w:w="1276" w:type="dxa"/>
          </w:tcPr>
          <w:p w14:paraId="642F42D8" w14:textId="77777777" w:rsidR="00B02873" w:rsidRPr="007B509E" w:rsidRDefault="00B02873" w:rsidP="00B32DB2">
            <w:pPr>
              <w:pStyle w:val="TablebodyleftTables"/>
              <w:jc w:val="right"/>
              <w:rPr>
                <w:sz w:val="18"/>
                <w:szCs w:val="18"/>
              </w:rPr>
            </w:pPr>
            <w:r w:rsidRPr="007B509E">
              <w:rPr>
                <w:sz w:val="18"/>
                <w:szCs w:val="18"/>
              </w:rPr>
              <w:t>$0</w:t>
            </w:r>
          </w:p>
        </w:tc>
        <w:tc>
          <w:tcPr>
            <w:tcW w:w="1276" w:type="dxa"/>
          </w:tcPr>
          <w:p w14:paraId="042447D1" w14:textId="77777777" w:rsidR="00B02873" w:rsidRPr="007B509E" w:rsidRDefault="00B02873" w:rsidP="00B32DB2">
            <w:pPr>
              <w:pStyle w:val="TablebodyleftTables"/>
              <w:jc w:val="right"/>
              <w:rPr>
                <w:rFonts w:cs="Times New Roman"/>
                <w:sz w:val="18"/>
                <w:szCs w:val="18"/>
              </w:rPr>
            </w:pPr>
          </w:p>
        </w:tc>
        <w:tc>
          <w:tcPr>
            <w:tcW w:w="1134" w:type="dxa"/>
          </w:tcPr>
          <w:p w14:paraId="7EE3CD40" w14:textId="77777777" w:rsidR="00B02873" w:rsidRPr="007B509E" w:rsidRDefault="00B02873" w:rsidP="00B32DB2">
            <w:pPr>
              <w:pStyle w:val="TablebodyleftTables"/>
              <w:jc w:val="right"/>
              <w:rPr>
                <w:sz w:val="18"/>
                <w:szCs w:val="18"/>
              </w:rPr>
            </w:pPr>
            <w:r w:rsidRPr="007B509E">
              <w:rPr>
                <w:sz w:val="18"/>
                <w:szCs w:val="18"/>
              </w:rPr>
              <w:t>$90,000</w:t>
            </w:r>
          </w:p>
        </w:tc>
      </w:tr>
      <w:tr w:rsidR="00C025B8" w:rsidRPr="00C025B8" w14:paraId="16A3CFB3" w14:textId="77777777" w:rsidTr="00B32DB2">
        <w:tc>
          <w:tcPr>
            <w:tcW w:w="1129" w:type="dxa"/>
          </w:tcPr>
          <w:p w14:paraId="0FDAD957" w14:textId="77777777" w:rsidR="00B02873" w:rsidRPr="00C025B8" w:rsidRDefault="00B02873" w:rsidP="00B415A9">
            <w:pPr>
              <w:pStyle w:val="TablebodyleftTables"/>
              <w:rPr>
                <w:sz w:val="18"/>
                <w:szCs w:val="18"/>
              </w:rPr>
            </w:pPr>
            <w:r w:rsidRPr="00C025B8">
              <w:rPr>
                <w:sz w:val="18"/>
                <w:szCs w:val="18"/>
              </w:rPr>
              <w:t>Solar for rentals rebate</w:t>
            </w:r>
          </w:p>
        </w:tc>
        <w:tc>
          <w:tcPr>
            <w:tcW w:w="1134" w:type="dxa"/>
          </w:tcPr>
          <w:p w14:paraId="59D09D18" w14:textId="77777777" w:rsidR="00B02873" w:rsidRPr="00C025B8" w:rsidRDefault="00B02873" w:rsidP="00B415A9">
            <w:pPr>
              <w:pStyle w:val="TablebodyleftTables"/>
              <w:rPr>
                <w:sz w:val="18"/>
                <w:szCs w:val="18"/>
              </w:rPr>
            </w:pPr>
            <w:r w:rsidRPr="00C025B8">
              <w:rPr>
                <w:sz w:val="18"/>
                <w:szCs w:val="18"/>
              </w:rPr>
              <w:t>December 2021 to June 2022</w:t>
            </w:r>
          </w:p>
        </w:tc>
        <w:tc>
          <w:tcPr>
            <w:tcW w:w="1134" w:type="dxa"/>
          </w:tcPr>
          <w:p w14:paraId="33278E4A" w14:textId="77777777" w:rsidR="00B02873" w:rsidRPr="00C025B8" w:rsidRDefault="00B02873" w:rsidP="00B32DB2">
            <w:pPr>
              <w:pStyle w:val="TablebodyleftTables"/>
              <w:jc w:val="right"/>
              <w:rPr>
                <w:sz w:val="18"/>
                <w:szCs w:val="18"/>
              </w:rPr>
            </w:pPr>
            <w:r w:rsidRPr="00C025B8">
              <w:rPr>
                <w:sz w:val="18"/>
                <w:szCs w:val="18"/>
              </w:rPr>
              <w:t>$145,000</w:t>
            </w:r>
          </w:p>
        </w:tc>
        <w:tc>
          <w:tcPr>
            <w:tcW w:w="1276" w:type="dxa"/>
          </w:tcPr>
          <w:p w14:paraId="0F8A8E4B" w14:textId="77777777" w:rsidR="00B02873" w:rsidRPr="00C025B8" w:rsidRDefault="00B02873" w:rsidP="00B32DB2">
            <w:pPr>
              <w:pStyle w:val="TablebodyleftTables"/>
              <w:jc w:val="right"/>
              <w:rPr>
                <w:sz w:val="18"/>
                <w:szCs w:val="18"/>
              </w:rPr>
            </w:pPr>
            <w:r w:rsidRPr="00C025B8">
              <w:rPr>
                <w:sz w:val="18"/>
                <w:szCs w:val="18"/>
              </w:rPr>
              <w:t>$0</w:t>
            </w:r>
          </w:p>
        </w:tc>
        <w:tc>
          <w:tcPr>
            <w:tcW w:w="1275" w:type="dxa"/>
          </w:tcPr>
          <w:p w14:paraId="51818BD1" w14:textId="77777777" w:rsidR="00B02873" w:rsidRPr="00C025B8" w:rsidRDefault="00B02873" w:rsidP="00B32DB2">
            <w:pPr>
              <w:pStyle w:val="TablebodyleftTables"/>
              <w:jc w:val="right"/>
              <w:rPr>
                <w:sz w:val="18"/>
                <w:szCs w:val="18"/>
              </w:rPr>
            </w:pPr>
            <w:r w:rsidRPr="00C025B8">
              <w:rPr>
                <w:sz w:val="18"/>
                <w:szCs w:val="18"/>
              </w:rPr>
              <w:t>$0</w:t>
            </w:r>
          </w:p>
        </w:tc>
        <w:tc>
          <w:tcPr>
            <w:tcW w:w="1276" w:type="dxa"/>
          </w:tcPr>
          <w:p w14:paraId="71DDB015" w14:textId="77777777" w:rsidR="00B02873" w:rsidRPr="00C025B8" w:rsidRDefault="00B02873" w:rsidP="00B32DB2">
            <w:pPr>
              <w:pStyle w:val="TablebodyleftTables"/>
              <w:jc w:val="right"/>
              <w:rPr>
                <w:sz w:val="18"/>
                <w:szCs w:val="18"/>
              </w:rPr>
            </w:pPr>
            <w:r w:rsidRPr="00C025B8">
              <w:rPr>
                <w:sz w:val="18"/>
                <w:szCs w:val="18"/>
              </w:rPr>
              <w:t>$0</w:t>
            </w:r>
          </w:p>
        </w:tc>
        <w:tc>
          <w:tcPr>
            <w:tcW w:w="1276" w:type="dxa"/>
          </w:tcPr>
          <w:p w14:paraId="60B909B1" w14:textId="7446ED1D" w:rsidR="00B02873" w:rsidRPr="00C025B8" w:rsidRDefault="00B02873" w:rsidP="00B32DB2">
            <w:pPr>
              <w:pStyle w:val="TablebodyleftTables"/>
              <w:jc w:val="right"/>
              <w:rPr>
                <w:sz w:val="18"/>
                <w:szCs w:val="18"/>
              </w:rPr>
            </w:pPr>
            <w:r w:rsidRPr="00C025B8">
              <w:rPr>
                <w:sz w:val="18"/>
                <w:szCs w:val="18"/>
              </w:rPr>
              <w:t>$726</w:t>
            </w:r>
            <w:r w:rsidR="00A269DB">
              <w:rPr>
                <w:sz w:val="18"/>
                <w:szCs w:val="18"/>
              </w:rPr>
              <w:t xml:space="preserve"> </w:t>
            </w:r>
            <w:r w:rsidRPr="00C025B8">
              <w:rPr>
                <w:sz w:val="18"/>
                <w:szCs w:val="18"/>
              </w:rPr>
              <w:t>Translations</w:t>
            </w:r>
          </w:p>
        </w:tc>
        <w:tc>
          <w:tcPr>
            <w:tcW w:w="1134" w:type="dxa"/>
          </w:tcPr>
          <w:p w14:paraId="35B5B314" w14:textId="77777777" w:rsidR="00B02873" w:rsidRPr="00C025B8" w:rsidRDefault="00B02873" w:rsidP="00B32DB2">
            <w:pPr>
              <w:pStyle w:val="TablebodyleftTables"/>
              <w:jc w:val="right"/>
              <w:rPr>
                <w:sz w:val="18"/>
                <w:szCs w:val="18"/>
              </w:rPr>
            </w:pPr>
            <w:r w:rsidRPr="00C025B8">
              <w:rPr>
                <w:sz w:val="18"/>
                <w:szCs w:val="18"/>
              </w:rPr>
              <w:t>$145,726</w:t>
            </w:r>
          </w:p>
        </w:tc>
      </w:tr>
      <w:tr w:rsidR="00C025B8" w:rsidRPr="00C025B8" w14:paraId="66E74838" w14:textId="77777777" w:rsidTr="00B32DB2">
        <w:tc>
          <w:tcPr>
            <w:tcW w:w="1129" w:type="dxa"/>
          </w:tcPr>
          <w:p w14:paraId="2563B9CE" w14:textId="77777777" w:rsidR="00B02873" w:rsidRPr="00C025B8" w:rsidRDefault="00B02873" w:rsidP="00B415A9">
            <w:pPr>
              <w:pStyle w:val="TablebodyleftTables"/>
              <w:rPr>
                <w:sz w:val="18"/>
                <w:szCs w:val="18"/>
              </w:rPr>
            </w:pPr>
            <w:r w:rsidRPr="00C025B8">
              <w:rPr>
                <w:sz w:val="18"/>
                <w:szCs w:val="18"/>
              </w:rPr>
              <w:lastRenderedPageBreak/>
              <w:t>Solar for Business rebate</w:t>
            </w:r>
          </w:p>
        </w:tc>
        <w:tc>
          <w:tcPr>
            <w:tcW w:w="1134" w:type="dxa"/>
          </w:tcPr>
          <w:p w14:paraId="7DDBDB04" w14:textId="77777777" w:rsidR="00B02873" w:rsidRPr="00C025B8" w:rsidRDefault="00B02873" w:rsidP="00B415A9">
            <w:pPr>
              <w:pStyle w:val="TablebodyleftTables"/>
              <w:rPr>
                <w:sz w:val="18"/>
                <w:szCs w:val="18"/>
              </w:rPr>
            </w:pPr>
            <w:r w:rsidRPr="00C025B8">
              <w:rPr>
                <w:sz w:val="18"/>
                <w:szCs w:val="18"/>
              </w:rPr>
              <w:t>December 2021 to June 2022</w:t>
            </w:r>
          </w:p>
        </w:tc>
        <w:tc>
          <w:tcPr>
            <w:tcW w:w="1134" w:type="dxa"/>
          </w:tcPr>
          <w:p w14:paraId="766E17B8" w14:textId="77777777" w:rsidR="00B02873" w:rsidRPr="00C025B8" w:rsidRDefault="00B02873" w:rsidP="00B32DB2">
            <w:pPr>
              <w:pStyle w:val="TablebodyleftTables"/>
              <w:jc w:val="right"/>
              <w:rPr>
                <w:sz w:val="18"/>
                <w:szCs w:val="18"/>
              </w:rPr>
            </w:pPr>
            <w:r w:rsidRPr="00C025B8">
              <w:rPr>
                <w:sz w:val="18"/>
                <w:szCs w:val="18"/>
              </w:rPr>
              <w:t>$100,000</w:t>
            </w:r>
          </w:p>
        </w:tc>
        <w:tc>
          <w:tcPr>
            <w:tcW w:w="1276" w:type="dxa"/>
          </w:tcPr>
          <w:p w14:paraId="7890E401" w14:textId="77777777" w:rsidR="00B02873" w:rsidRPr="00C025B8" w:rsidRDefault="00B02873" w:rsidP="00B32DB2">
            <w:pPr>
              <w:pStyle w:val="TablebodyleftTables"/>
              <w:jc w:val="right"/>
              <w:rPr>
                <w:sz w:val="18"/>
                <w:szCs w:val="18"/>
              </w:rPr>
            </w:pPr>
            <w:r w:rsidRPr="00C025B8">
              <w:rPr>
                <w:sz w:val="18"/>
                <w:szCs w:val="18"/>
              </w:rPr>
              <w:t>$0</w:t>
            </w:r>
          </w:p>
        </w:tc>
        <w:tc>
          <w:tcPr>
            <w:tcW w:w="1275" w:type="dxa"/>
          </w:tcPr>
          <w:p w14:paraId="6987E56F" w14:textId="77777777" w:rsidR="00B02873" w:rsidRPr="00C025B8" w:rsidRDefault="00B02873" w:rsidP="00B32DB2">
            <w:pPr>
              <w:pStyle w:val="TablebodyleftTables"/>
              <w:jc w:val="right"/>
              <w:rPr>
                <w:sz w:val="18"/>
                <w:szCs w:val="18"/>
              </w:rPr>
            </w:pPr>
            <w:r w:rsidRPr="00C025B8">
              <w:rPr>
                <w:sz w:val="18"/>
                <w:szCs w:val="18"/>
              </w:rPr>
              <w:t>$0</w:t>
            </w:r>
          </w:p>
        </w:tc>
        <w:tc>
          <w:tcPr>
            <w:tcW w:w="1276" w:type="dxa"/>
          </w:tcPr>
          <w:p w14:paraId="1D79C2E5" w14:textId="77777777" w:rsidR="00B02873" w:rsidRPr="00C025B8" w:rsidRDefault="00B02873" w:rsidP="00B32DB2">
            <w:pPr>
              <w:pStyle w:val="TablebodyleftTables"/>
              <w:jc w:val="right"/>
              <w:rPr>
                <w:sz w:val="18"/>
                <w:szCs w:val="18"/>
              </w:rPr>
            </w:pPr>
            <w:r w:rsidRPr="00C025B8">
              <w:rPr>
                <w:sz w:val="18"/>
                <w:szCs w:val="18"/>
              </w:rPr>
              <w:t>$0</w:t>
            </w:r>
          </w:p>
        </w:tc>
        <w:tc>
          <w:tcPr>
            <w:tcW w:w="1276" w:type="dxa"/>
          </w:tcPr>
          <w:p w14:paraId="6336906C" w14:textId="77777777" w:rsidR="00B02873" w:rsidRPr="00C025B8" w:rsidRDefault="00B02873" w:rsidP="00B32DB2">
            <w:pPr>
              <w:pStyle w:val="TablebodyleftTables"/>
              <w:spacing w:line="220" w:lineRule="atLeast"/>
              <w:jc w:val="right"/>
              <w:rPr>
                <w:sz w:val="18"/>
                <w:szCs w:val="18"/>
              </w:rPr>
            </w:pPr>
            <w:r w:rsidRPr="00C025B8">
              <w:rPr>
                <w:sz w:val="18"/>
                <w:szCs w:val="18"/>
              </w:rPr>
              <w:t>$1,485</w:t>
            </w:r>
            <w:r w:rsidRPr="00C025B8">
              <w:rPr>
                <w:sz w:val="18"/>
                <w:szCs w:val="18"/>
              </w:rPr>
              <w:br/>
              <w:t>(Translation inclusive of Solar for Business, Solar for rentals and Solar hot water rebates)</w:t>
            </w:r>
          </w:p>
        </w:tc>
        <w:tc>
          <w:tcPr>
            <w:tcW w:w="1134" w:type="dxa"/>
          </w:tcPr>
          <w:p w14:paraId="3F4F7925" w14:textId="77777777" w:rsidR="00B02873" w:rsidRPr="00C025B8" w:rsidRDefault="00B02873" w:rsidP="00B32DB2">
            <w:pPr>
              <w:pStyle w:val="TablebodyleftTables"/>
              <w:jc w:val="right"/>
              <w:rPr>
                <w:sz w:val="18"/>
                <w:szCs w:val="18"/>
              </w:rPr>
            </w:pPr>
            <w:r w:rsidRPr="00C025B8">
              <w:rPr>
                <w:sz w:val="18"/>
                <w:szCs w:val="18"/>
              </w:rPr>
              <w:t>$101,485</w:t>
            </w:r>
          </w:p>
        </w:tc>
      </w:tr>
    </w:tbl>
    <w:p w14:paraId="761DCC14" w14:textId="542DFFC8" w:rsidR="00C025B8" w:rsidRDefault="00C025B8" w:rsidP="00C025B8">
      <w:pPr>
        <w:spacing w:line="220" w:lineRule="atLeast"/>
      </w:pPr>
      <w:r w:rsidRPr="00C025B8">
        <w:rPr>
          <w:sz w:val="18"/>
          <w:szCs w:val="12"/>
        </w:rPr>
        <w:t>Solar Victoria delivered a public campaign aimed at building awareness of the Home Heating and Cooling Upgrades (HHCU) Program, encouraging eligible Victorians to replace outdated, unsafe and inefficient heating and cooling systems with energy-efficient reverse-cycle air conditioners. Solar Victoria also delivered multiple campaigns promoting rebates and interest free loans available for installing solar panels, batteries and solar hot water systems at Victorian homes, rental properties and businesses, through the Victorian Government’s Solar Homes Program and Solar for Business Programs.</w:t>
      </w:r>
    </w:p>
    <w:p w14:paraId="281D3B8E" w14:textId="77777777" w:rsidR="00B02873" w:rsidRDefault="00B02873" w:rsidP="00FA43C4">
      <w:pPr>
        <w:pStyle w:val="Heading2Headings"/>
      </w:pPr>
      <w:r>
        <w:t>Details of Information and Communications Technology (ICT) expenditure</w:t>
      </w:r>
    </w:p>
    <w:p w14:paraId="04826D36" w14:textId="77777777" w:rsidR="00B02873" w:rsidRDefault="00B02873" w:rsidP="00FE198A">
      <w:r>
        <w:t>ICT expenditure refers to the department’s costs in providing business enabling ICT services. It comprises Business as Usual (BAU) ICT expenditure and Non BAU ICT expenditure. Non BAU ICT expenditure relates to extending or enhancing the department’s current ICT capabilities. BAU ICT expenditure is all remaining ICT expenditure, which primarily relates to ongoing activities to operate and maintain the current ICT capability.</w:t>
      </w:r>
    </w:p>
    <w:p w14:paraId="1AA4740E" w14:textId="77777777" w:rsidR="00B02873" w:rsidRPr="00DE1FCE" w:rsidRDefault="00B02873" w:rsidP="00FE198A">
      <w:pPr>
        <w:rPr>
          <w:rFonts w:cs="VIC"/>
          <w:b/>
          <w:bCs/>
          <w:color w:val="100149"/>
          <w:sz w:val="20"/>
          <w:szCs w:val="20"/>
        </w:rPr>
      </w:pPr>
      <w:r>
        <w:t>For the 2021-22 reporting period, the department had a total ICT expenditure of $173.2 million with the details shown below.</w:t>
      </w:r>
    </w:p>
    <w:tbl>
      <w:tblPr>
        <w:tblStyle w:val="TableGrid"/>
        <w:tblW w:w="0" w:type="auto"/>
        <w:tblLayout w:type="fixed"/>
        <w:tblLook w:val="0020" w:firstRow="1" w:lastRow="0" w:firstColumn="0" w:lastColumn="0" w:noHBand="0" w:noVBand="0"/>
      </w:tblPr>
      <w:tblGrid>
        <w:gridCol w:w="7974"/>
        <w:gridCol w:w="1651"/>
      </w:tblGrid>
      <w:tr w:rsidR="00B02873" w:rsidRPr="00AD3B18" w14:paraId="27DCAB43" w14:textId="77777777" w:rsidTr="00AD3B18">
        <w:trPr>
          <w:cnfStyle w:val="100000000000" w:firstRow="1" w:lastRow="0" w:firstColumn="0" w:lastColumn="0" w:oddVBand="0" w:evenVBand="0" w:oddHBand="0" w:evenHBand="0" w:firstRowFirstColumn="0" w:firstRowLastColumn="0" w:lastRowFirstColumn="0" w:lastRowLastColumn="0"/>
        </w:trPr>
        <w:tc>
          <w:tcPr>
            <w:tcW w:w="7974" w:type="dxa"/>
          </w:tcPr>
          <w:p w14:paraId="320502D8" w14:textId="77777777" w:rsidR="00B02873" w:rsidRPr="00AD3B18" w:rsidRDefault="00B02873" w:rsidP="00AD3B18">
            <w:pPr>
              <w:pStyle w:val="TableheadingleftTables"/>
            </w:pPr>
          </w:p>
        </w:tc>
        <w:tc>
          <w:tcPr>
            <w:tcW w:w="1651" w:type="dxa"/>
          </w:tcPr>
          <w:p w14:paraId="054AF66F" w14:textId="77777777" w:rsidR="00B02873" w:rsidRPr="00AD3B18" w:rsidRDefault="00B02873" w:rsidP="00B32DB2">
            <w:pPr>
              <w:pStyle w:val="TableheadingleftTables"/>
              <w:jc w:val="right"/>
            </w:pPr>
            <w:r w:rsidRPr="00AD3B18">
              <w:t>$’000</w:t>
            </w:r>
          </w:p>
        </w:tc>
      </w:tr>
      <w:tr w:rsidR="00B02873" w:rsidRPr="00B02873" w14:paraId="5FF02F7D" w14:textId="77777777" w:rsidTr="00AD3B18">
        <w:tc>
          <w:tcPr>
            <w:tcW w:w="7974" w:type="dxa"/>
          </w:tcPr>
          <w:p w14:paraId="57A2DFE3" w14:textId="77777777" w:rsidR="00B02873" w:rsidRDefault="00B02873" w:rsidP="00AD3B18">
            <w:pPr>
              <w:pStyle w:val="TablebodyleftTables"/>
            </w:pPr>
            <w:r>
              <w:t>Operational expenditure</w:t>
            </w:r>
          </w:p>
        </w:tc>
        <w:tc>
          <w:tcPr>
            <w:tcW w:w="1651" w:type="dxa"/>
          </w:tcPr>
          <w:p w14:paraId="1E73EA4C" w14:textId="77777777" w:rsidR="00B02873" w:rsidRDefault="00B02873" w:rsidP="00B32DB2">
            <w:pPr>
              <w:pStyle w:val="TablebodyleftTables"/>
              <w:jc w:val="right"/>
            </w:pPr>
            <w:r>
              <w:t>31,582</w:t>
            </w:r>
          </w:p>
        </w:tc>
      </w:tr>
      <w:tr w:rsidR="00B02873" w:rsidRPr="00B02873" w14:paraId="58BA95A8" w14:textId="77777777" w:rsidTr="00AD3B18">
        <w:tc>
          <w:tcPr>
            <w:tcW w:w="7974" w:type="dxa"/>
          </w:tcPr>
          <w:p w14:paraId="1C5AAC00" w14:textId="77777777" w:rsidR="00B02873" w:rsidRDefault="00B02873" w:rsidP="00AD3B18">
            <w:pPr>
              <w:pStyle w:val="TablebodyleftTables"/>
            </w:pPr>
            <w:r>
              <w:t>Capital expenditure</w:t>
            </w:r>
          </w:p>
        </w:tc>
        <w:tc>
          <w:tcPr>
            <w:tcW w:w="1651" w:type="dxa"/>
          </w:tcPr>
          <w:p w14:paraId="5D852A74" w14:textId="77777777" w:rsidR="00B02873" w:rsidRDefault="00B02873" w:rsidP="00B32DB2">
            <w:pPr>
              <w:pStyle w:val="TablebodyleftTables"/>
              <w:jc w:val="right"/>
            </w:pPr>
            <w:r>
              <w:t>6,545</w:t>
            </w:r>
          </w:p>
        </w:tc>
      </w:tr>
      <w:tr w:rsidR="00B02873" w:rsidRPr="00B02873" w14:paraId="7051C993" w14:textId="77777777" w:rsidTr="00AD3B18">
        <w:tc>
          <w:tcPr>
            <w:tcW w:w="7974" w:type="dxa"/>
          </w:tcPr>
          <w:p w14:paraId="090C2EFE" w14:textId="77777777" w:rsidR="00B02873" w:rsidRDefault="00B02873" w:rsidP="00AD3B18">
            <w:pPr>
              <w:pStyle w:val="TablebodyleftTables"/>
            </w:pPr>
            <w:r>
              <w:t xml:space="preserve">Non Business as Usual (non BAU) (Total = Operational expenditure and Capital Expenditure) </w:t>
            </w:r>
          </w:p>
        </w:tc>
        <w:tc>
          <w:tcPr>
            <w:tcW w:w="1651" w:type="dxa"/>
          </w:tcPr>
          <w:p w14:paraId="33737B66" w14:textId="77777777" w:rsidR="00B02873" w:rsidRDefault="00B02873" w:rsidP="00B32DB2">
            <w:pPr>
              <w:pStyle w:val="TablebodyleftTables"/>
              <w:jc w:val="right"/>
            </w:pPr>
            <w:r>
              <w:t>38,127</w:t>
            </w:r>
          </w:p>
        </w:tc>
      </w:tr>
      <w:tr w:rsidR="00B02873" w:rsidRPr="00B02873" w14:paraId="416C5670" w14:textId="77777777" w:rsidTr="00AD3B18">
        <w:tc>
          <w:tcPr>
            <w:tcW w:w="7974" w:type="dxa"/>
          </w:tcPr>
          <w:p w14:paraId="0CAEFE39" w14:textId="77777777" w:rsidR="00B02873" w:rsidRDefault="00B02873" w:rsidP="00AD3B18">
            <w:pPr>
              <w:pStyle w:val="TablebodyleftTables"/>
            </w:pPr>
            <w:r>
              <w:t xml:space="preserve">Business as Usual (BAU) (Total) </w:t>
            </w:r>
          </w:p>
        </w:tc>
        <w:tc>
          <w:tcPr>
            <w:tcW w:w="1651" w:type="dxa"/>
          </w:tcPr>
          <w:p w14:paraId="305B80E3" w14:textId="77777777" w:rsidR="00B02873" w:rsidRDefault="00B02873" w:rsidP="00B32DB2">
            <w:pPr>
              <w:pStyle w:val="TablebodyleftTables"/>
              <w:jc w:val="right"/>
            </w:pPr>
            <w:r>
              <w:t>135,083</w:t>
            </w:r>
          </w:p>
        </w:tc>
      </w:tr>
      <w:tr w:rsidR="00B02873" w:rsidRPr="00AD3B18" w14:paraId="4EF51DD5" w14:textId="77777777" w:rsidTr="00AD3B18">
        <w:tc>
          <w:tcPr>
            <w:tcW w:w="7974" w:type="dxa"/>
          </w:tcPr>
          <w:p w14:paraId="743CD596" w14:textId="77777777" w:rsidR="00B02873" w:rsidRPr="00AD3B18" w:rsidRDefault="00B02873" w:rsidP="00B415A9">
            <w:pPr>
              <w:pStyle w:val="TableheadingleftTables"/>
            </w:pPr>
            <w:r w:rsidRPr="00AD3B18">
              <w:t>Total ICT expenditure</w:t>
            </w:r>
          </w:p>
        </w:tc>
        <w:tc>
          <w:tcPr>
            <w:tcW w:w="1651" w:type="dxa"/>
          </w:tcPr>
          <w:p w14:paraId="5CDABF98" w14:textId="77777777" w:rsidR="00B02873" w:rsidRPr="00AD3B18" w:rsidRDefault="00B02873" w:rsidP="00B32DB2">
            <w:pPr>
              <w:jc w:val="right"/>
              <w:rPr>
                <w:b/>
                <w:bCs/>
              </w:rPr>
            </w:pPr>
            <w:r w:rsidRPr="00AD3B18">
              <w:rPr>
                <w:b/>
                <w:bCs/>
              </w:rPr>
              <w:t>173,210</w:t>
            </w:r>
          </w:p>
        </w:tc>
      </w:tr>
    </w:tbl>
    <w:p w14:paraId="2C8658A2" w14:textId="77777777" w:rsidR="00B02873" w:rsidRDefault="00B02873" w:rsidP="00FE198A"/>
    <w:p w14:paraId="39031A0A" w14:textId="77777777" w:rsidR="00B02873" w:rsidRDefault="00B02873" w:rsidP="00FA43C4">
      <w:pPr>
        <w:pStyle w:val="Heading2Headings"/>
      </w:pPr>
      <w:bookmarkStart w:id="34" w:name="Freedom_of_Information"/>
      <w:r>
        <w:t>Freedom of Information</w:t>
      </w:r>
      <w:bookmarkEnd w:id="34"/>
    </w:p>
    <w:p w14:paraId="470ACDA5" w14:textId="77777777" w:rsidR="00B02873" w:rsidRDefault="00B02873" w:rsidP="00FE198A">
      <w:r>
        <w:rPr>
          <w:spacing w:val="-2"/>
        </w:rPr>
        <w:t xml:space="preserve">The </w:t>
      </w:r>
      <w:r w:rsidRPr="00AD3B18">
        <w:rPr>
          <w:rStyle w:val="LightItalic"/>
          <w:rFonts w:asciiTheme="minorHAnsi" w:hAnsiTheme="minorHAnsi" w:cstheme="minorHAnsi"/>
          <w:spacing w:val="-2"/>
        </w:rPr>
        <w:t>Freedom of Information Act 1982</w:t>
      </w:r>
      <w:r>
        <w:rPr>
          <w:spacing w:val="-2"/>
        </w:rPr>
        <w:t xml:space="preserve"> allows the public a right of access to documents held by the department. The purpose of the Act is to extend as far as possible the right of the community to access information held by government departments, local councils, Ministers and other bodies subject to the Act.</w:t>
      </w:r>
    </w:p>
    <w:p w14:paraId="04800EE2" w14:textId="77777777" w:rsidR="00B02873" w:rsidRDefault="00B02873" w:rsidP="00FE198A">
      <w:r>
        <w:lastRenderedPageBreak/>
        <w:t xml:space="preserve">An applicant has a right to apply for access to documents held by a department. This comprises documents both created by the department or supplied to the department by an external organisation or individual, and may also include maps, films, microfiche, photographs, computer printouts, computer discs, tape recordings and videotapes. Information about the type of material produced by DELWP is available on the department’s website under its Part II Information Statement. </w:t>
      </w:r>
    </w:p>
    <w:p w14:paraId="3FC7A2B5" w14:textId="77777777" w:rsidR="00B02873" w:rsidRDefault="00B02873" w:rsidP="00FE198A">
      <w:r>
        <w:t xml:space="preserve">The Act allows a department to refuse access, either fully or partially, to certain documents or information. Examples of documents that may not be accessed include cabinet documents; some internal working documents; law enforcement documents; documents covered by legal professional privilege, such as legal advice; personal information about other people; and information provided to a department in-confidence. </w:t>
      </w:r>
    </w:p>
    <w:p w14:paraId="68B9D2D7" w14:textId="673DD70F" w:rsidR="00B02873" w:rsidRDefault="00B02873" w:rsidP="00FE198A">
      <w:r>
        <w:t>The prescribed processing time for requests is 30 days. When external consultation is required under ss29, 29A, 31, 31A, 33, 34 or 35, the processing time automatically increases to 45 days. Processing time may also be extended by periods of 30 days, in consultation with the applicant. With the applicant’s agreement this may occur any number of times. However, obtaining an applicant’s agreement for an extension cannot occur after the expiry of the timeframe for deciding a request.</w:t>
      </w:r>
    </w:p>
    <w:p w14:paraId="3BDA812F" w14:textId="77777777" w:rsidR="00B02873" w:rsidRDefault="00B02873" w:rsidP="00FE198A">
      <w:r>
        <w:t>If an applicant is not satisfied by a decision made by the department, under section 49A of the Act, they have the right to seek a review by the Office of the Victorian Information Commissioner within 28 days of receiving a decision letter.</w:t>
      </w:r>
    </w:p>
    <w:p w14:paraId="489AC450" w14:textId="77777777" w:rsidR="00B02873" w:rsidRDefault="00B02873" w:rsidP="00AD3B18">
      <w:pPr>
        <w:pStyle w:val="Heading3"/>
      </w:pPr>
      <w:r>
        <w:t>Making a request</w:t>
      </w:r>
    </w:p>
    <w:p w14:paraId="7469FB8A" w14:textId="77777777" w:rsidR="00B02873" w:rsidRDefault="00B02873" w:rsidP="00FE198A">
      <w:r>
        <w:t xml:space="preserve">Freedom of Information (FOI) requests must be made in writing. A request can be submitted online at </w:t>
      </w:r>
      <w:hyperlink r:id="rId81" w:history="1">
        <w:r w:rsidRPr="001A4A1A">
          <w:rPr>
            <w:rStyle w:val="Hyperlink"/>
          </w:rPr>
          <w:t>www.foi.vic.gov.au</w:t>
        </w:r>
      </w:hyperlink>
      <w:r>
        <w:t xml:space="preserve"> or by sending a written request to email: </w:t>
      </w:r>
      <w:hyperlink r:id="rId82" w:history="1">
        <w:r w:rsidRPr="00AD3B18">
          <w:rPr>
            <w:rStyle w:val="Hyperlink"/>
          </w:rPr>
          <w:t>foi.unit@delwp.vic.gov.au</w:t>
        </w:r>
      </w:hyperlink>
    </w:p>
    <w:p w14:paraId="20E3CC1B" w14:textId="77777777" w:rsidR="00B02873" w:rsidRDefault="00B02873" w:rsidP="00FE198A">
      <w:r>
        <w:t xml:space="preserve">When making an FOI request, applicants should ensure requests are in writing, and clearly identify what types of material/documents are being sought. </w:t>
      </w:r>
    </w:p>
    <w:p w14:paraId="5E19DBBB" w14:textId="77777777" w:rsidR="00B02873" w:rsidRDefault="00B02873" w:rsidP="00FE198A">
      <w:r>
        <w:t xml:space="preserve">An application fee of $30.60 applies. Access charges may also be payable. </w:t>
      </w:r>
    </w:p>
    <w:p w14:paraId="210F906B" w14:textId="77777777" w:rsidR="00B02873" w:rsidRDefault="00B02873" w:rsidP="00FE198A">
      <w:r>
        <w:t xml:space="preserve">The department’s FOI Unit can be contacted by email: </w:t>
      </w:r>
      <w:hyperlink r:id="rId83" w:history="1">
        <w:r w:rsidRPr="00AD3B18">
          <w:rPr>
            <w:rStyle w:val="Hyperlink"/>
          </w:rPr>
          <w:t>foi.unit@delwp.vic.gov.au</w:t>
        </w:r>
      </w:hyperlink>
    </w:p>
    <w:p w14:paraId="6D241988" w14:textId="77777777" w:rsidR="00B02873" w:rsidRDefault="00B02873" w:rsidP="00FA1A4F">
      <w:pPr>
        <w:pStyle w:val="Heading3"/>
      </w:pPr>
      <w:r>
        <w:t>FOI statistics and timeliness</w:t>
      </w:r>
    </w:p>
    <w:p w14:paraId="1CF46D3F" w14:textId="19C9FF53" w:rsidR="00B02873" w:rsidRDefault="00B02873" w:rsidP="00FE198A">
      <w:r>
        <w:t>For the period from 1 July 2021 to 30 June 2022, the department received 162 new FOI requests. They came from:</w:t>
      </w:r>
    </w:p>
    <w:tbl>
      <w:tblPr>
        <w:tblStyle w:val="TableGrid"/>
        <w:tblW w:w="0" w:type="auto"/>
        <w:tblLayout w:type="fixed"/>
        <w:tblLook w:val="0020" w:firstRow="1" w:lastRow="0" w:firstColumn="0" w:lastColumn="0" w:noHBand="0" w:noVBand="0"/>
      </w:tblPr>
      <w:tblGrid>
        <w:gridCol w:w="2830"/>
        <w:gridCol w:w="1191"/>
        <w:gridCol w:w="1503"/>
      </w:tblGrid>
      <w:tr w:rsidR="00B02873" w:rsidRPr="00B02873" w14:paraId="2B315F57" w14:textId="77777777" w:rsidTr="00BA4C8B">
        <w:trPr>
          <w:cnfStyle w:val="100000000000" w:firstRow="1" w:lastRow="0" w:firstColumn="0" w:lastColumn="0" w:oddVBand="0" w:evenVBand="0" w:oddHBand="0" w:evenHBand="0" w:firstRowFirstColumn="0" w:firstRowLastColumn="0" w:lastRowFirstColumn="0" w:lastRowLastColumn="0"/>
          <w:tblHeader/>
        </w:trPr>
        <w:tc>
          <w:tcPr>
            <w:tcW w:w="2830" w:type="dxa"/>
          </w:tcPr>
          <w:p w14:paraId="680FC0A8" w14:textId="77777777" w:rsidR="00B02873" w:rsidRPr="00B02873" w:rsidRDefault="00B02873" w:rsidP="00BA4C8B">
            <w:pPr>
              <w:pStyle w:val="TableheadingleftTables"/>
            </w:pPr>
          </w:p>
        </w:tc>
        <w:tc>
          <w:tcPr>
            <w:tcW w:w="1191" w:type="dxa"/>
          </w:tcPr>
          <w:p w14:paraId="3F5EE4C4" w14:textId="77777777" w:rsidR="00B02873" w:rsidRDefault="00B02873" w:rsidP="00B32DB2">
            <w:pPr>
              <w:pStyle w:val="TableheadingleftTables"/>
              <w:jc w:val="right"/>
            </w:pPr>
            <w:r>
              <w:t>Number</w:t>
            </w:r>
          </w:p>
        </w:tc>
        <w:tc>
          <w:tcPr>
            <w:tcW w:w="1503" w:type="dxa"/>
          </w:tcPr>
          <w:p w14:paraId="367B1715" w14:textId="77777777" w:rsidR="00B02873" w:rsidRDefault="00B02873" w:rsidP="00B32DB2">
            <w:pPr>
              <w:pStyle w:val="TableheadingleftTables"/>
              <w:jc w:val="right"/>
            </w:pPr>
            <w:r>
              <w:t>Per cent (%)</w:t>
            </w:r>
          </w:p>
        </w:tc>
      </w:tr>
      <w:tr w:rsidR="00B02873" w:rsidRPr="00B02873" w14:paraId="38DC21A7" w14:textId="77777777" w:rsidTr="00BA4C8B">
        <w:tc>
          <w:tcPr>
            <w:tcW w:w="2830" w:type="dxa"/>
          </w:tcPr>
          <w:p w14:paraId="202356DD" w14:textId="77777777" w:rsidR="00B02873" w:rsidRDefault="00B02873" w:rsidP="00B415A9">
            <w:pPr>
              <w:pStyle w:val="TablebodyleftTables"/>
            </w:pPr>
            <w:r>
              <w:t>Individuals</w:t>
            </w:r>
          </w:p>
        </w:tc>
        <w:tc>
          <w:tcPr>
            <w:tcW w:w="1191" w:type="dxa"/>
          </w:tcPr>
          <w:p w14:paraId="06C80FFD" w14:textId="77777777" w:rsidR="00B02873" w:rsidRDefault="00B02873" w:rsidP="00B32DB2">
            <w:pPr>
              <w:pStyle w:val="TablebodyleftTables"/>
              <w:jc w:val="right"/>
            </w:pPr>
            <w:r>
              <w:t>84</w:t>
            </w:r>
          </w:p>
        </w:tc>
        <w:tc>
          <w:tcPr>
            <w:tcW w:w="1503" w:type="dxa"/>
          </w:tcPr>
          <w:p w14:paraId="441A1D20" w14:textId="77777777" w:rsidR="00B02873" w:rsidRDefault="00B02873" w:rsidP="00B32DB2">
            <w:pPr>
              <w:pStyle w:val="TablebodyleftTables"/>
              <w:jc w:val="right"/>
            </w:pPr>
            <w:r>
              <w:t>52</w:t>
            </w:r>
          </w:p>
        </w:tc>
      </w:tr>
      <w:tr w:rsidR="00B02873" w:rsidRPr="00B02873" w14:paraId="67BE027E" w14:textId="77777777" w:rsidTr="00BA4C8B">
        <w:tc>
          <w:tcPr>
            <w:tcW w:w="2830" w:type="dxa"/>
          </w:tcPr>
          <w:p w14:paraId="7003D304" w14:textId="77777777" w:rsidR="00B02873" w:rsidRDefault="00B02873" w:rsidP="00B415A9">
            <w:pPr>
              <w:pStyle w:val="TablebodyleftTables"/>
            </w:pPr>
            <w:r>
              <w:t>Members of Parliament</w:t>
            </w:r>
          </w:p>
        </w:tc>
        <w:tc>
          <w:tcPr>
            <w:tcW w:w="1191" w:type="dxa"/>
          </w:tcPr>
          <w:p w14:paraId="5DC32801" w14:textId="77777777" w:rsidR="00B02873" w:rsidRDefault="00B02873" w:rsidP="00B32DB2">
            <w:pPr>
              <w:pStyle w:val="TablebodyleftTables"/>
              <w:jc w:val="right"/>
            </w:pPr>
            <w:r>
              <w:t>21</w:t>
            </w:r>
          </w:p>
        </w:tc>
        <w:tc>
          <w:tcPr>
            <w:tcW w:w="1503" w:type="dxa"/>
          </w:tcPr>
          <w:p w14:paraId="22E28967" w14:textId="77777777" w:rsidR="00B02873" w:rsidRDefault="00B02873" w:rsidP="00B32DB2">
            <w:pPr>
              <w:pStyle w:val="TablebodyleftTables"/>
              <w:jc w:val="right"/>
            </w:pPr>
            <w:r>
              <w:t>13</w:t>
            </w:r>
          </w:p>
        </w:tc>
      </w:tr>
      <w:tr w:rsidR="00B02873" w:rsidRPr="00B02873" w14:paraId="52D66BA6" w14:textId="77777777" w:rsidTr="00BA4C8B">
        <w:tc>
          <w:tcPr>
            <w:tcW w:w="2830" w:type="dxa"/>
          </w:tcPr>
          <w:p w14:paraId="7F727FF3" w14:textId="77777777" w:rsidR="00B02873" w:rsidRDefault="00B02873" w:rsidP="00B415A9">
            <w:pPr>
              <w:pStyle w:val="TablebodyleftTables"/>
            </w:pPr>
            <w:r>
              <w:t>Lawyers</w:t>
            </w:r>
          </w:p>
        </w:tc>
        <w:tc>
          <w:tcPr>
            <w:tcW w:w="1191" w:type="dxa"/>
          </w:tcPr>
          <w:p w14:paraId="66A387DC" w14:textId="77777777" w:rsidR="00B02873" w:rsidRDefault="00B02873" w:rsidP="00B32DB2">
            <w:pPr>
              <w:pStyle w:val="TablebodyleftTables"/>
              <w:jc w:val="right"/>
            </w:pPr>
            <w:r>
              <w:t>33</w:t>
            </w:r>
          </w:p>
        </w:tc>
        <w:tc>
          <w:tcPr>
            <w:tcW w:w="1503" w:type="dxa"/>
          </w:tcPr>
          <w:p w14:paraId="2A9FE30E" w14:textId="77777777" w:rsidR="00B02873" w:rsidRDefault="00B02873" w:rsidP="00B32DB2">
            <w:pPr>
              <w:pStyle w:val="TablebodyleftTables"/>
              <w:jc w:val="right"/>
            </w:pPr>
            <w:r>
              <w:t>20</w:t>
            </w:r>
          </w:p>
        </w:tc>
      </w:tr>
      <w:tr w:rsidR="00B02873" w:rsidRPr="00B02873" w14:paraId="0A927DAD" w14:textId="77777777" w:rsidTr="00BA4C8B">
        <w:tc>
          <w:tcPr>
            <w:tcW w:w="2830" w:type="dxa"/>
          </w:tcPr>
          <w:p w14:paraId="06EC97CC" w14:textId="77777777" w:rsidR="00B02873" w:rsidRDefault="00B02873" w:rsidP="00B415A9">
            <w:pPr>
              <w:pStyle w:val="TablebodyleftTables"/>
            </w:pPr>
            <w:r>
              <w:t>Journalists</w:t>
            </w:r>
          </w:p>
        </w:tc>
        <w:tc>
          <w:tcPr>
            <w:tcW w:w="1191" w:type="dxa"/>
          </w:tcPr>
          <w:p w14:paraId="3D883471" w14:textId="77777777" w:rsidR="00B02873" w:rsidRDefault="00B02873" w:rsidP="00B32DB2">
            <w:pPr>
              <w:pStyle w:val="TablebodyleftTables"/>
              <w:jc w:val="right"/>
            </w:pPr>
            <w:r>
              <w:t>3</w:t>
            </w:r>
          </w:p>
        </w:tc>
        <w:tc>
          <w:tcPr>
            <w:tcW w:w="1503" w:type="dxa"/>
          </w:tcPr>
          <w:p w14:paraId="2D50A9E5" w14:textId="77777777" w:rsidR="00B02873" w:rsidRDefault="00B02873" w:rsidP="00B32DB2">
            <w:pPr>
              <w:pStyle w:val="TablebodyleftTables"/>
              <w:jc w:val="right"/>
            </w:pPr>
            <w:r>
              <w:t>2</w:t>
            </w:r>
          </w:p>
        </w:tc>
      </w:tr>
      <w:tr w:rsidR="00B02873" w:rsidRPr="00B02873" w14:paraId="2700FFE7" w14:textId="77777777" w:rsidTr="00BA4C8B">
        <w:tc>
          <w:tcPr>
            <w:tcW w:w="2830" w:type="dxa"/>
          </w:tcPr>
          <w:p w14:paraId="30EC1444" w14:textId="77777777" w:rsidR="00B02873" w:rsidRDefault="00B02873" w:rsidP="00B415A9">
            <w:pPr>
              <w:pStyle w:val="TablebodyleftTables"/>
            </w:pPr>
            <w:r>
              <w:t>Community groups</w:t>
            </w:r>
          </w:p>
        </w:tc>
        <w:tc>
          <w:tcPr>
            <w:tcW w:w="1191" w:type="dxa"/>
          </w:tcPr>
          <w:p w14:paraId="6BD233F1" w14:textId="77777777" w:rsidR="00B02873" w:rsidRDefault="00B02873" w:rsidP="00B32DB2">
            <w:pPr>
              <w:pStyle w:val="TablebodyleftTables"/>
              <w:jc w:val="right"/>
            </w:pPr>
            <w:r>
              <w:t>6</w:t>
            </w:r>
          </w:p>
        </w:tc>
        <w:tc>
          <w:tcPr>
            <w:tcW w:w="1503" w:type="dxa"/>
          </w:tcPr>
          <w:p w14:paraId="7A1F8A13" w14:textId="77777777" w:rsidR="00B02873" w:rsidRDefault="00B02873" w:rsidP="00B32DB2">
            <w:pPr>
              <w:pStyle w:val="TablebodyleftTables"/>
              <w:jc w:val="right"/>
            </w:pPr>
            <w:r>
              <w:t>4</w:t>
            </w:r>
          </w:p>
        </w:tc>
      </w:tr>
      <w:tr w:rsidR="00B02873" w:rsidRPr="00B02873" w14:paraId="0191144E" w14:textId="77777777" w:rsidTr="00BA4C8B">
        <w:tc>
          <w:tcPr>
            <w:tcW w:w="2830" w:type="dxa"/>
          </w:tcPr>
          <w:p w14:paraId="6C660447" w14:textId="77777777" w:rsidR="00B02873" w:rsidRDefault="00B02873" w:rsidP="00B415A9">
            <w:pPr>
              <w:pStyle w:val="TablebodyleftTables"/>
            </w:pPr>
            <w:r>
              <w:t>Companies</w:t>
            </w:r>
          </w:p>
        </w:tc>
        <w:tc>
          <w:tcPr>
            <w:tcW w:w="1191" w:type="dxa"/>
          </w:tcPr>
          <w:p w14:paraId="20BEFCF3" w14:textId="77777777" w:rsidR="00B02873" w:rsidRDefault="00B02873" w:rsidP="00B32DB2">
            <w:pPr>
              <w:pStyle w:val="TablebodyleftTables"/>
              <w:jc w:val="right"/>
            </w:pPr>
            <w:r>
              <w:t>15</w:t>
            </w:r>
          </w:p>
        </w:tc>
        <w:tc>
          <w:tcPr>
            <w:tcW w:w="1503" w:type="dxa"/>
          </w:tcPr>
          <w:p w14:paraId="59FAB225" w14:textId="77777777" w:rsidR="00B02873" w:rsidRDefault="00B02873" w:rsidP="00B32DB2">
            <w:pPr>
              <w:pStyle w:val="TablebodyleftTables"/>
              <w:jc w:val="right"/>
            </w:pPr>
            <w:r>
              <w:t>9</w:t>
            </w:r>
          </w:p>
        </w:tc>
      </w:tr>
      <w:tr w:rsidR="00B02873" w:rsidRPr="00B02873" w14:paraId="4FB7EA6A" w14:textId="77777777" w:rsidTr="00BA4C8B">
        <w:tc>
          <w:tcPr>
            <w:tcW w:w="2830" w:type="dxa"/>
          </w:tcPr>
          <w:p w14:paraId="35C4A62A" w14:textId="77777777" w:rsidR="00B02873" w:rsidRDefault="00B02873" w:rsidP="00B415A9">
            <w:pPr>
              <w:pStyle w:val="TableheadingleftTables"/>
            </w:pPr>
            <w:r>
              <w:t>Total</w:t>
            </w:r>
          </w:p>
        </w:tc>
        <w:tc>
          <w:tcPr>
            <w:tcW w:w="1191" w:type="dxa"/>
          </w:tcPr>
          <w:p w14:paraId="54276B14" w14:textId="77777777" w:rsidR="00B02873" w:rsidRPr="00BA4C8B" w:rsidRDefault="00B02873" w:rsidP="00B32DB2">
            <w:pPr>
              <w:pStyle w:val="TableheadingleftTables"/>
              <w:jc w:val="right"/>
            </w:pPr>
            <w:r w:rsidRPr="00BA4C8B">
              <w:t>162</w:t>
            </w:r>
          </w:p>
        </w:tc>
        <w:tc>
          <w:tcPr>
            <w:tcW w:w="1503" w:type="dxa"/>
          </w:tcPr>
          <w:p w14:paraId="0743D10F" w14:textId="77777777" w:rsidR="00B02873" w:rsidRPr="00BA4C8B" w:rsidRDefault="00B02873" w:rsidP="00B32DB2">
            <w:pPr>
              <w:pStyle w:val="TableheadingleftTables"/>
              <w:jc w:val="right"/>
            </w:pPr>
            <w:r w:rsidRPr="00BA4C8B">
              <w:t>100</w:t>
            </w:r>
          </w:p>
        </w:tc>
      </w:tr>
    </w:tbl>
    <w:p w14:paraId="5DA8C6AA" w14:textId="77777777" w:rsidR="00B02873" w:rsidRDefault="00B02873" w:rsidP="00FE198A"/>
    <w:p w14:paraId="2EDA3FA6" w14:textId="77777777" w:rsidR="00B02873" w:rsidRDefault="00B02873" w:rsidP="00BA4C8B">
      <w:pPr>
        <w:pStyle w:val="Normalbeforebullet"/>
      </w:pPr>
      <w:r>
        <w:lastRenderedPageBreak/>
        <w:t xml:space="preserve">For the same period, the department made decisions on 139 requests. Eighteen of these requests were received during prior financial years. The outcomes were: </w:t>
      </w:r>
    </w:p>
    <w:tbl>
      <w:tblPr>
        <w:tblStyle w:val="TableGrid"/>
        <w:tblW w:w="0" w:type="auto"/>
        <w:tblLayout w:type="fixed"/>
        <w:tblLook w:val="0020" w:firstRow="1" w:lastRow="0" w:firstColumn="0" w:lastColumn="0" w:noHBand="0" w:noVBand="0"/>
      </w:tblPr>
      <w:tblGrid>
        <w:gridCol w:w="2972"/>
        <w:gridCol w:w="1418"/>
        <w:gridCol w:w="1470"/>
      </w:tblGrid>
      <w:tr w:rsidR="00B02873" w:rsidRPr="00B02873" w14:paraId="5C328C2A" w14:textId="77777777" w:rsidTr="00E82E84">
        <w:trPr>
          <w:cnfStyle w:val="100000000000" w:firstRow="1" w:lastRow="0" w:firstColumn="0" w:lastColumn="0" w:oddVBand="0" w:evenVBand="0" w:oddHBand="0" w:evenHBand="0" w:firstRowFirstColumn="0" w:firstRowLastColumn="0" w:lastRowFirstColumn="0" w:lastRowLastColumn="0"/>
          <w:tblHeader/>
        </w:trPr>
        <w:tc>
          <w:tcPr>
            <w:tcW w:w="2972" w:type="dxa"/>
          </w:tcPr>
          <w:p w14:paraId="05C89F9F" w14:textId="77777777" w:rsidR="00B02873" w:rsidRPr="00B02873" w:rsidRDefault="00B02873" w:rsidP="00BA4C8B">
            <w:pPr>
              <w:pStyle w:val="TableheadingleftTables"/>
            </w:pPr>
          </w:p>
        </w:tc>
        <w:tc>
          <w:tcPr>
            <w:tcW w:w="1418" w:type="dxa"/>
          </w:tcPr>
          <w:p w14:paraId="7CA041D8" w14:textId="77777777" w:rsidR="00B02873" w:rsidRDefault="00B02873" w:rsidP="00B32DB2">
            <w:pPr>
              <w:pStyle w:val="TableheadingleftTables"/>
              <w:jc w:val="right"/>
            </w:pPr>
            <w:r>
              <w:t>Number</w:t>
            </w:r>
          </w:p>
        </w:tc>
        <w:tc>
          <w:tcPr>
            <w:tcW w:w="1470" w:type="dxa"/>
          </w:tcPr>
          <w:p w14:paraId="2B0AE651" w14:textId="77777777" w:rsidR="00B02873" w:rsidRDefault="00B02873" w:rsidP="00B32DB2">
            <w:pPr>
              <w:pStyle w:val="TableheadingleftTables"/>
              <w:jc w:val="right"/>
            </w:pPr>
            <w:r>
              <w:t>Per cent (%)</w:t>
            </w:r>
          </w:p>
        </w:tc>
      </w:tr>
      <w:tr w:rsidR="00B02873" w:rsidRPr="00B02873" w14:paraId="75AA75A3" w14:textId="77777777" w:rsidTr="00E82E84">
        <w:tc>
          <w:tcPr>
            <w:tcW w:w="2972" w:type="dxa"/>
          </w:tcPr>
          <w:p w14:paraId="1A37FFD3" w14:textId="77777777" w:rsidR="00B02873" w:rsidRDefault="00B02873" w:rsidP="00B415A9">
            <w:pPr>
              <w:pStyle w:val="TablebodyleftTables"/>
            </w:pPr>
            <w:r>
              <w:t>Full access granted</w:t>
            </w:r>
          </w:p>
        </w:tc>
        <w:tc>
          <w:tcPr>
            <w:tcW w:w="1418" w:type="dxa"/>
          </w:tcPr>
          <w:p w14:paraId="715E0FF3" w14:textId="77777777" w:rsidR="00B02873" w:rsidRDefault="00B02873" w:rsidP="00B32DB2">
            <w:pPr>
              <w:pStyle w:val="TablebodyleftTables"/>
              <w:jc w:val="right"/>
            </w:pPr>
            <w:r>
              <w:t>57</w:t>
            </w:r>
          </w:p>
        </w:tc>
        <w:tc>
          <w:tcPr>
            <w:tcW w:w="1470" w:type="dxa"/>
          </w:tcPr>
          <w:p w14:paraId="4096D65D" w14:textId="77777777" w:rsidR="00B02873" w:rsidRDefault="00B02873" w:rsidP="00B32DB2">
            <w:pPr>
              <w:pStyle w:val="TablebodyleftTables"/>
              <w:jc w:val="right"/>
            </w:pPr>
            <w:r>
              <w:t>41</w:t>
            </w:r>
          </w:p>
        </w:tc>
      </w:tr>
      <w:tr w:rsidR="00B02873" w:rsidRPr="00B02873" w14:paraId="36E1538C" w14:textId="77777777" w:rsidTr="00E82E84">
        <w:tc>
          <w:tcPr>
            <w:tcW w:w="2972" w:type="dxa"/>
          </w:tcPr>
          <w:p w14:paraId="276FF5D6" w14:textId="77777777" w:rsidR="00B02873" w:rsidRDefault="00B02873" w:rsidP="00B415A9">
            <w:pPr>
              <w:pStyle w:val="TablebodyleftTables"/>
            </w:pPr>
            <w:r>
              <w:t xml:space="preserve">Partial access granted </w:t>
            </w:r>
          </w:p>
        </w:tc>
        <w:tc>
          <w:tcPr>
            <w:tcW w:w="1418" w:type="dxa"/>
          </w:tcPr>
          <w:p w14:paraId="0D36E3E5" w14:textId="77777777" w:rsidR="00B02873" w:rsidRDefault="00B02873" w:rsidP="00B32DB2">
            <w:pPr>
              <w:pStyle w:val="TablebodyleftTables"/>
              <w:jc w:val="right"/>
            </w:pPr>
            <w:r>
              <w:t>62</w:t>
            </w:r>
          </w:p>
        </w:tc>
        <w:tc>
          <w:tcPr>
            <w:tcW w:w="1470" w:type="dxa"/>
          </w:tcPr>
          <w:p w14:paraId="0DD170CE" w14:textId="77777777" w:rsidR="00B02873" w:rsidRDefault="00B02873" w:rsidP="00B32DB2">
            <w:pPr>
              <w:pStyle w:val="TablebodyleftTables"/>
              <w:jc w:val="right"/>
            </w:pPr>
            <w:r>
              <w:t>45</w:t>
            </w:r>
          </w:p>
        </w:tc>
      </w:tr>
      <w:tr w:rsidR="00B02873" w:rsidRPr="00B02873" w14:paraId="766E00BF" w14:textId="77777777" w:rsidTr="00E82E84">
        <w:tc>
          <w:tcPr>
            <w:tcW w:w="2972" w:type="dxa"/>
          </w:tcPr>
          <w:p w14:paraId="7D4EEAFC" w14:textId="77777777" w:rsidR="00B02873" w:rsidRDefault="00B02873" w:rsidP="00B415A9">
            <w:pPr>
              <w:pStyle w:val="TablebodyleftTables"/>
            </w:pPr>
            <w:r>
              <w:t>Access denied</w:t>
            </w:r>
          </w:p>
        </w:tc>
        <w:tc>
          <w:tcPr>
            <w:tcW w:w="1418" w:type="dxa"/>
          </w:tcPr>
          <w:p w14:paraId="5799D08A" w14:textId="77777777" w:rsidR="00B02873" w:rsidRDefault="00B02873" w:rsidP="00B32DB2">
            <w:pPr>
              <w:pStyle w:val="TablebodyleftTables"/>
              <w:jc w:val="right"/>
            </w:pPr>
            <w:r>
              <w:t>10</w:t>
            </w:r>
          </w:p>
        </w:tc>
        <w:tc>
          <w:tcPr>
            <w:tcW w:w="1470" w:type="dxa"/>
          </w:tcPr>
          <w:p w14:paraId="42E215E0" w14:textId="77777777" w:rsidR="00B02873" w:rsidRDefault="00B02873" w:rsidP="00B32DB2">
            <w:pPr>
              <w:pStyle w:val="TablebodyleftTables"/>
              <w:jc w:val="right"/>
            </w:pPr>
            <w:r>
              <w:t>7</w:t>
            </w:r>
          </w:p>
        </w:tc>
      </w:tr>
      <w:tr w:rsidR="00B02873" w:rsidRPr="00B02873" w14:paraId="599EFAE7" w14:textId="77777777" w:rsidTr="00E82E84">
        <w:tc>
          <w:tcPr>
            <w:tcW w:w="2972" w:type="dxa"/>
          </w:tcPr>
          <w:p w14:paraId="751F9F70" w14:textId="77777777" w:rsidR="00B02873" w:rsidRDefault="00B02873" w:rsidP="00B415A9">
            <w:pPr>
              <w:pStyle w:val="TablebodyleftTables"/>
            </w:pPr>
            <w:r>
              <w:t xml:space="preserve">No relevant documents found </w:t>
            </w:r>
          </w:p>
        </w:tc>
        <w:tc>
          <w:tcPr>
            <w:tcW w:w="1418" w:type="dxa"/>
          </w:tcPr>
          <w:p w14:paraId="593475DC" w14:textId="77777777" w:rsidR="00B02873" w:rsidRDefault="00B02873" w:rsidP="00B32DB2">
            <w:pPr>
              <w:pStyle w:val="TablebodyleftTables"/>
              <w:jc w:val="right"/>
            </w:pPr>
            <w:r>
              <w:t>10</w:t>
            </w:r>
          </w:p>
        </w:tc>
        <w:tc>
          <w:tcPr>
            <w:tcW w:w="1470" w:type="dxa"/>
          </w:tcPr>
          <w:p w14:paraId="4C9A6199" w14:textId="77777777" w:rsidR="00B02873" w:rsidRDefault="00B02873" w:rsidP="00B32DB2">
            <w:pPr>
              <w:pStyle w:val="TablebodyleftTables"/>
              <w:jc w:val="right"/>
            </w:pPr>
            <w:r>
              <w:t>7</w:t>
            </w:r>
          </w:p>
        </w:tc>
      </w:tr>
      <w:tr w:rsidR="00B02873" w:rsidRPr="00B02873" w14:paraId="5FA38701" w14:textId="77777777" w:rsidTr="00E82E84">
        <w:tc>
          <w:tcPr>
            <w:tcW w:w="2972" w:type="dxa"/>
          </w:tcPr>
          <w:p w14:paraId="430C6555" w14:textId="77777777" w:rsidR="00B02873" w:rsidRDefault="00B02873" w:rsidP="00B415A9">
            <w:pPr>
              <w:pStyle w:val="TableheadingleftTables"/>
            </w:pPr>
            <w:r>
              <w:t>Total</w:t>
            </w:r>
          </w:p>
        </w:tc>
        <w:tc>
          <w:tcPr>
            <w:tcW w:w="1418" w:type="dxa"/>
          </w:tcPr>
          <w:p w14:paraId="4D98398E" w14:textId="77777777" w:rsidR="00B02873" w:rsidRPr="00BA4C8B" w:rsidRDefault="00B02873" w:rsidP="00B32DB2">
            <w:pPr>
              <w:pStyle w:val="TablebodyleftTables"/>
              <w:jc w:val="right"/>
              <w:rPr>
                <w:b/>
                <w:bCs/>
              </w:rPr>
            </w:pPr>
            <w:r w:rsidRPr="00BA4C8B">
              <w:rPr>
                <w:b/>
                <w:bCs/>
              </w:rPr>
              <w:t>139</w:t>
            </w:r>
          </w:p>
        </w:tc>
        <w:tc>
          <w:tcPr>
            <w:tcW w:w="1470" w:type="dxa"/>
          </w:tcPr>
          <w:p w14:paraId="63E4E7F5" w14:textId="77777777" w:rsidR="00B02873" w:rsidRPr="00BA4C8B" w:rsidRDefault="00B02873" w:rsidP="00B32DB2">
            <w:pPr>
              <w:pStyle w:val="TablebodyleftTables"/>
              <w:jc w:val="right"/>
              <w:rPr>
                <w:b/>
                <w:bCs/>
              </w:rPr>
            </w:pPr>
            <w:r w:rsidRPr="00BA4C8B">
              <w:rPr>
                <w:b/>
                <w:bCs/>
              </w:rPr>
              <w:t>100</w:t>
            </w:r>
          </w:p>
        </w:tc>
      </w:tr>
    </w:tbl>
    <w:p w14:paraId="1F7F2BE0" w14:textId="77777777" w:rsidR="00B02873" w:rsidRDefault="00B02873" w:rsidP="00A52DAD">
      <w:pPr>
        <w:spacing w:after="0"/>
      </w:pPr>
    </w:p>
    <w:p w14:paraId="6CC2E32D" w14:textId="77777777" w:rsidR="00B02873" w:rsidRDefault="00B02873" w:rsidP="00FE198A">
      <w:r>
        <w:t>The processing time for the FOI requests is shown below, with an average of 57 days for 2021-22.</w:t>
      </w:r>
    </w:p>
    <w:tbl>
      <w:tblPr>
        <w:tblStyle w:val="TableGrid"/>
        <w:tblW w:w="0" w:type="auto"/>
        <w:tblLayout w:type="fixed"/>
        <w:tblLook w:val="0020" w:firstRow="1" w:lastRow="0" w:firstColumn="0" w:lastColumn="0" w:noHBand="0" w:noVBand="0"/>
      </w:tblPr>
      <w:tblGrid>
        <w:gridCol w:w="2972"/>
        <w:gridCol w:w="1418"/>
        <w:gridCol w:w="1470"/>
      </w:tblGrid>
      <w:tr w:rsidR="00B02873" w:rsidRPr="00B02873" w14:paraId="5FFBE13E" w14:textId="77777777" w:rsidTr="00A52DAD">
        <w:trPr>
          <w:cnfStyle w:val="100000000000" w:firstRow="1" w:lastRow="0" w:firstColumn="0" w:lastColumn="0" w:oddVBand="0" w:evenVBand="0" w:oddHBand="0" w:evenHBand="0" w:firstRowFirstColumn="0" w:firstRowLastColumn="0" w:lastRowFirstColumn="0" w:lastRowLastColumn="0"/>
          <w:trHeight w:val="60"/>
        </w:trPr>
        <w:tc>
          <w:tcPr>
            <w:tcW w:w="2972" w:type="dxa"/>
          </w:tcPr>
          <w:p w14:paraId="0B921509" w14:textId="77777777" w:rsidR="00B02873" w:rsidRPr="00E82E84" w:rsidRDefault="00B02873" w:rsidP="00E82E84">
            <w:pPr>
              <w:pStyle w:val="TableheadingleftTables"/>
            </w:pPr>
          </w:p>
        </w:tc>
        <w:tc>
          <w:tcPr>
            <w:tcW w:w="1418" w:type="dxa"/>
          </w:tcPr>
          <w:p w14:paraId="7E3DAC18" w14:textId="77777777" w:rsidR="00B02873" w:rsidRDefault="00B02873" w:rsidP="00B32DB2">
            <w:pPr>
              <w:pStyle w:val="TableheadingleftTables"/>
              <w:jc w:val="right"/>
            </w:pPr>
            <w:r>
              <w:t>Number</w:t>
            </w:r>
          </w:p>
        </w:tc>
        <w:tc>
          <w:tcPr>
            <w:tcW w:w="1470" w:type="dxa"/>
          </w:tcPr>
          <w:p w14:paraId="1F000CE8" w14:textId="77777777" w:rsidR="00B02873" w:rsidRDefault="00B02873" w:rsidP="00B32DB2">
            <w:pPr>
              <w:pStyle w:val="TableheadingleftTables"/>
              <w:jc w:val="right"/>
            </w:pPr>
            <w:r>
              <w:t>Per cent (%)</w:t>
            </w:r>
          </w:p>
        </w:tc>
      </w:tr>
      <w:tr w:rsidR="00B02873" w:rsidRPr="00B02873" w14:paraId="0176AC81" w14:textId="77777777" w:rsidTr="00A52DAD">
        <w:trPr>
          <w:trHeight w:val="60"/>
        </w:trPr>
        <w:tc>
          <w:tcPr>
            <w:tcW w:w="2972" w:type="dxa"/>
          </w:tcPr>
          <w:p w14:paraId="5CFCF3DE" w14:textId="77777777" w:rsidR="00B02873" w:rsidRDefault="00B02873" w:rsidP="00B415A9">
            <w:pPr>
              <w:pStyle w:val="TablebodyleftTables"/>
            </w:pPr>
            <w:r>
              <w:t>Within statutory timelines</w:t>
            </w:r>
          </w:p>
        </w:tc>
        <w:tc>
          <w:tcPr>
            <w:tcW w:w="1418" w:type="dxa"/>
          </w:tcPr>
          <w:p w14:paraId="6F247E83" w14:textId="77777777" w:rsidR="00B02873" w:rsidRDefault="00B02873" w:rsidP="00B32DB2">
            <w:pPr>
              <w:pStyle w:val="TablebodyleftTables"/>
              <w:jc w:val="right"/>
            </w:pPr>
            <w:r>
              <w:t>109</w:t>
            </w:r>
          </w:p>
        </w:tc>
        <w:tc>
          <w:tcPr>
            <w:tcW w:w="1470" w:type="dxa"/>
          </w:tcPr>
          <w:p w14:paraId="661652E3" w14:textId="77777777" w:rsidR="00B02873" w:rsidRDefault="00B02873" w:rsidP="00B32DB2">
            <w:pPr>
              <w:pStyle w:val="TablebodyleftTables"/>
              <w:jc w:val="right"/>
            </w:pPr>
            <w:r>
              <w:t>79</w:t>
            </w:r>
          </w:p>
        </w:tc>
      </w:tr>
      <w:tr w:rsidR="00B02873" w:rsidRPr="00B02873" w14:paraId="05920142" w14:textId="77777777" w:rsidTr="00A52DAD">
        <w:trPr>
          <w:trHeight w:val="60"/>
        </w:trPr>
        <w:tc>
          <w:tcPr>
            <w:tcW w:w="2972" w:type="dxa"/>
          </w:tcPr>
          <w:p w14:paraId="40C482C4" w14:textId="77777777" w:rsidR="00B02873" w:rsidRDefault="00B02873" w:rsidP="00B415A9">
            <w:pPr>
              <w:pStyle w:val="TablebodyleftTables"/>
            </w:pPr>
            <w:r>
              <w:t>1-45 days overdue</w:t>
            </w:r>
          </w:p>
        </w:tc>
        <w:tc>
          <w:tcPr>
            <w:tcW w:w="1418" w:type="dxa"/>
          </w:tcPr>
          <w:p w14:paraId="4DD971FE" w14:textId="77777777" w:rsidR="00B02873" w:rsidRDefault="00B02873" w:rsidP="00B32DB2">
            <w:pPr>
              <w:pStyle w:val="TablebodyleftTables"/>
              <w:jc w:val="right"/>
            </w:pPr>
            <w:r>
              <w:t>21</w:t>
            </w:r>
          </w:p>
        </w:tc>
        <w:tc>
          <w:tcPr>
            <w:tcW w:w="1470" w:type="dxa"/>
          </w:tcPr>
          <w:p w14:paraId="29F70BF2" w14:textId="77777777" w:rsidR="00B02873" w:rsidRDefault="00B02873" w:rsidP="00B32DB2">
            <w:pPr>
              <w:pStyle w:val="TablebodyleftTables"/>
              <w:jc w:val="right"/>
            </w:pPr>
            <w:r>
              <w:t>15</w:t>
            </w:r>
          </w:p>
        </w:tc>
      </w:tr>
      <w:tr w:rsidR="00B02873" w:rsidRPr="00B02873" w14:paraId="063AAED9" w14:textId="77777777" w:rsidTr="00A52DAD">
        <w:trPr>
          <w:trHeight w:val="60"/>
        </w:trPr>
        <w:tc>
          <w:tcPr>
            <w:tcW w:w="2972" w:type="dxa"/>
          </w:tcPr>
          <w:p w14:paraId="4D46F93F" w14:textId="77777777" w:rsidR="00B02873" w:rsidRDefault="00B02873" w:rsidP="00B415A9">
            <w:pPr>
              <w:pStyle w:val="TablebodyleftTables"/>
            </w:pPr>
            <w:r>
              <w:rPr>
                <w:spacing w:val="-3"/>
              </w:rPr>
              <w:t>46 days or more overdue</w:t>
            </w:r>
          </w:p>
        </w:tc>
        <w:tc>
          <w:tcPr>
            <w:tcW w:w="1418" w:type="dxa"/>
          </w:tcPr>
          <w:p w14:paraId="36D4CF89" w14:textId="77777777" w:rsidR="00B02873" w:rsidRDefault="00B02873" w:rsidP="00B32DB2">
            <w:pPr>
              <w:pStyle w:val="TablebodyleftTables"/>
              <w:jc w:val="right"/>
            </w:pPr>
            <w:r>
              <w:t>9</w:t>
            </w:r>
          </w:p>
        </w:tc>
        <w:tc>
          <w:tcPr>
            <w:tcW w:w="1470" w:type="dxa"/>
          </w:tcPr>
          <w:p w14:paraId="1D2A98F5" w14:textId="77777777" w:rsidR="00B02873" w:rsidRDefault="00B02873" w:rsidP="00B32DB2">
            <w:pPr>
              <w:pStyle w:val="TablebodyleftTables"/>
              <w:jc w:val="right"/>
            </w:pPr>
            <w:r>
              <w:t>6</w:t>
            </w:r>
          </w:p>
        </w:tc>
      </w:tr>
      <w:tr w:rsidR="00B02873" w:rsidRPr="00B02873" w14:paraId="281D4200" w14:textId="77777777" w:rsidTr="00A52DAD">
        <w:trPr>
          <w:trHeight w:val="60"/>
        </w:trPr>
        <w:tc>
          <w:tcPr>
            <w:tcW w:w="2972" w:type="dxa"/>
          </w:tcPr>
          <w:p w14:paraId="14526505" w14:textId="77777777" w:rsidR="00B02873" w:rsidRDefault="00B02873" w:rsidP="00B415A9">
            <w:pPr>
              <w:pStyle w:val="TableheadingleftTables"/>
            </w:pPr>
            <w:r>
              <w:t>Total</w:t>
            </w:r>
          </w:p>
        </w:tc>
        <w:tc>
          <w:tcPr>
            <w:tcW w:w="1418" w:type="dxa"/>
          </w:tcPr>
          <w:p w14:paraId="37FA2E69" w14:textId="77777777" w:rsidR="00B02873" w:rsidRPr="00E82E84" w:rsidRDefault="00B02873" w:rsidP="00B32DB2">
            <w:pPr>
              <w:pStyle w:val="TablebodyleftTables"/>
              <w:jc w:val="right"/>
              <w:rPr>
                <w:b/>
                <w:bCs/>
              </w:rPr>
            </w:pPr>
            <w:r w:rsidRPr="00E82E84">
              <w:rPr>
                <w:b/>
                <w:bCs/>
              </w:rPr>
              <w:t>139</w:t>
            </w:r>
          </w:p>
        </w:tc>
        <w:tc>
          <w:tcPr>
            <w:tcW w:w="1470" w:type="dxa"/>
          </w:tcPr>
          <w:p w14:paraId="13D33176" w14:textId="77777777" w:rsidR="00B02873" w:rsidRPr="00E82E84" w:rsidRDefault="00B02873" w:rsidP="00B32DB2">
            <w:pPr>
              <w:pStyle w:val="TablebodyleftTables"/>
              <w:jc w:val="right"/>
              <w:rPr>
                <w:b/>
                <w:bCs/>
              </w:rPr>
            </w:pPr>
            <w:r w:rsidRPr="00E82E84">
              <w:rPr>
                <w:b/>
                <w:bCs/>
              </w:rPr>
              <w:t>100</w:t>
            </w:r>
          </w:p>
        </w:tc>
      </w:tr>
    </w:tbl>
    <w:p w14:paraId="0579D471" w14:textId="77777777" w:rsidR="00B02873" w:rsidRDefault="00B02873" w:rsidP="00A52DAD">
      <w:pPr>
        <w:spacing w:after="0"/>
      </w:pPr>
    </w:p>
    <w:p w14:paraId="2DD7AFBE" w14:textId="77777777" w:rsidR="00B02873" w:rsidRDefault="00B02873" w:rsidP="00FE198A">
      <w:r>
        <w:t>The department closed 17 requests, including two received during the previous financial year, with the outcomes shown below:</w:t>
      </w:r>
    </w:p>
    <w:tbl>
      <w:tblPr>
        <w:tblStyle w:val="TableGrid"/>
        <w:tblW w:w="0" w:type="auto"/>
        <w:tblLayout w:type="fixed"/>
        <w:tblLook w:val="0020" w:firstRow="1" w:lastRow="0" w:firstColumn="0" w:lastColumn="0" w:noHBand="0" w:noVBand="0"/>
      </w:tblPr>
      <w:tblGrid>
        <w:gridCol w:w="2972"/>
        <w:gridCol w:w="1892"/>
      </w:tblGrid>
      <w:tr w:rsidR="00B02873" w:rsidRPr="00B02873" w14:paraId="606C7D2D" w14:textId="77777777" w:rsidTr="00A52DAD">
        <w:trPr>
          <w:cnfStyle w:val="100000000000" w:firstRow="1" w:lastRow="0" w:firstColumn="0" w:lastColumn="0" w:oddVBand="0" w:evenVBand="0" w:oddHBand="0" w:evenHBand="0" w:firstRowFirstColumn="0" w:firstRowLastColumn="0" w:lastRowFirstColumn="0" w:lastRowLastColumn="0"/>
          <w:trHeight w:val="60"/>
        </w:trPr>
        <w:tc>
          <w:tcPr>
            <w:tcW w:w="2972" w:type="dxa"/>
          </w:tcPr>
          <w:p w14:paraId="467DEACF" w14:textId="77777777" w:rsidR="00B02873" w:rsidRPr="00B02873" w:rsidRDefault="00B02873" w:rsidP="00E82E84">
            <w:pPr>
              <w:pStyle w:val="TableheadingleftTables"/>
            </w:pPr>
          </w:p>
        </w:tc>
        <w:tc>
          <w:tcPr>
            <w:tcW w:w="1892" w:type="dxa"/>
          </w:tcPr>
          <w:p w14:paraId="67A5D86B" w14:textId="77777777" w:rsidR="00B02873" w:rsidRDefault="00B02873" w:rsidP="00B32DB2">
            <w:pPr>
              <w:pStyle w:val="TableheadingleftTables"/>
              <w:jc w:val="right"/>
            </w:pPr>
            <w:r>
              <w:t>Number</w:t>
            </w:r>
          </w:p>
        </w:tc>
      </w:tr>
      <w:tr w:rsidR="00B02873" w:rsidRPr="00B02873" w14:paraId="184B4E6E" w14:textId="77777777" w:rsidTr="00A52DAD">
        <w:trPr>
          <w:trHeight w:val="60"/>
        </w:trPr>
        <w:tc>
          <w:tcPr>
            <w:tcW w:w="2972" w:type="dxa"/>
          </w:tcPr>
          <w:p w14:paraId="3D0B0E4D" w14:textId="538ACD40" w:rsidR="00B02873" w:rsidRDefault="00B02873" w:rsidP="00B415A9">
            <w:pPr>
              <w:pStyle w:val="TablebodyleftTables"/>
            </w:pPr>
            <w:r>
              <w:t>Request not processed</w:t>
            </w:r>
            <w:r>
              <w:rPr>
                <w:vertAlign w:val="superscript"/>
              </w:rPr>
              <w:t>(i)</w:t>
            </w:r>
          </w:p>
        </w:tc>
        <w:tc>
          <w:tcPr>
            <w:tcW w:w="1892" w:type="dxa"/>
          </w:tcPr>
          <w:p w14:paraId="6C30697A" w14:textId="77777777" w:rsidR="00B02873" w:rsidRDefault="00B02873" w:rsidP="00B32DB2">
            <w:pPr>
              <w:pStyle w:val="TablebodyleftTables"/>
              <w:ind w:left="127" w:hanging="127"/>
              <w:jc w:val="right"/>
            </w:pPr>
            <w:r>
              <w:t>15</w:t>
            </w:r>
          </w:p>
        </w:tc>
      </w:tr>
      <w:tr w:rsidR="00B02873" w:rsidRPr="00B02873" w14:paraId="71F30B11" w14:textId="77777777" w:rsidTr="00A52DAD">
        <w:trPr>
          <w:trHeight w:val="60"/>
        </w:trPr>
        <w:tc>
          <w:tcPr>
            <w:tcW w:w="2972" w:type="dxa"/>
          </w:tcPr>
          <w:p w14:paraId="1C0C9506" w14:textId="77777777" w:rsidR="00B02873" w:rsidRDefault="00B02873" w:rsidP="00B415A9">
            <w:pPr>
              <w:pStyle w:val="TablebodyleftTables"/>
            </w:pPr>
            <w:r>
              <w:t>Unreasonable diversion</w:t>
            </w:r>
          </w:p>
        </w:tc>
        <w:tc>
          <w:tcPr>
            <w:tcW w:w="1892" w:type="dxa"/>
          </w:tcPr>
          <w:p w14:paraId="29BDD076" w14:textId="77777777" w:rsidR="00B02873" w:rsidRDefault="00B02873" w:rsidP="00B32DB2">
            <w:pPr>
              <w:pStyle w:val="TablebodyleftTables"/>
              <w:jc w:val="right"/>
            </w:pPr>
            <w:r>
              <w:t>2</w:t>
            </w:r>
          </w:p>
        </w:tc>
      </w:tr>
      <w:tr w:rsidR="00B02873" w:rsidRPr="00B02873" w14:paraId="7C281A3A" w14:textId="77777777" w:rsidTr="00A52DAD">
        <w:trPr>
          <w:trHeight w:val="60"/>
        </w:trPr>
        <w:tc>
          <w:tcPr>
            <w:tcW w:w="2972" w:type="dxa"/>
          </w:tcPr>
          <w:p w14:paraId="13FC80F7" w14:textId="77777777" w:rsidR="00B02873" w:rsidRDefault="00B02873" w:rsidP="00B415A9">
            <w:pPr>
              <w:pStyle w:val="TableheadingleftTables"/>
            </w:pPr>
            <w:r>
              <w:t>Total</w:t>
            </w:r>
          </w:p>
        </w:tc>
        <w:tc>
          <w:tcPr>
            <w:tcW w:w="1892" w:type="dxa"/>
          </w:tcPr>
          <w:p w14:paraId="58EC4BE3" w14:textId="77777777" w:rsidR="00B02873" w:rsidRPr="00E82E84" w:rsidRDefault="00B02873" w:rsidP="00B32DB2">
            <w:pPr>
              <w:pStyle w:val="TablebodyleftTables"/>
              <w:jc w:val="right"/>
              <w:rPr>
                <w:b/>
                <w:bCs/>
              </w:rPr>
            </w:pPr>
            <w:r w:rsidRPr="00E82E84">
              <w:rPr>
                <w:b/>
                <w:bCs/>
              </w:rPr>
              <w:t>17</w:t>
            </w:r>
          </w:p>
        </w:tc>
      </w:tr>
    </w:tbl>
    <w:p w14:paraId="28E12FAD" w14:textId="77777777" w:rsidR="00B02873" w:rsidRPr="00E82E84" w:rsidRDefault="00B02873" w:rsidP="00FA43C4">
      <w:pPr>
        <w:pStyle w:val="SourceNote"/>
        <w:spacing w:after="120"/>
        <w:rPr>
          <w:b/>
          <w:bCs/>
        </w:rPr>
      </w:pPr>
      <w:r w:rsidRPr="00E82E84">
        <w:rPr>
          <w:b/>
          <w:bCs/>
        </w:rPr>
        <w:t xml:space="preserve">Note: </w:t>
      </w:r>
    </w:p>
    <w:p w14:paraId="61EEC5AE" w14:textId="77777777" w:rsidR="00B02873" w:rsidRPr="00A52DAD" w:rsidRDefault="00B02873" w:rsidP="008316E9">
      <w:pPr>
        <w:pStyle w:val="SourceNotenumbered"/>
        <w:numPr>
          <w:ilvl w:val="0"/>
          <w:numId w:val="17"/>
        </w:numPr>
        <w:spacing w:after="200"/>
        <w:ind w:left="357" w:hanging="357"/>
        <w:rPr>
          <w:spacing w:val="-2"/>
        </w:rPr>
      </w:pPr>
      <w:r w:rsidRPr="00A52DAD">
        <w:rPr>
          <w:spacing w:val="-2"/>
        </w:rPr>
        <w:t>Request not processed includes: all requested documents released outside the Act; request withdrawn by applicant; deposit not paid.</w:t>
      </w:r>
    </w:p>
    <w:p w14:paraId="20228924" w14:textId="77777777" w:rsidR="00B02873" w:rsidRDefault="00B02873" w:rsidP="00A52DAD">
      <w:pPr>
        <w:pStyle w:val="Normalbeforebullet"/>
      </w:pPr>
      <w:r>
        <w:t>The department also responded to an additional 45 requests, including four received during the previous financial year, with the outcomes shown below:</w:t>
      </w:r>
    </w:p>
    <w:tbl>
      <w:tblPr>
        <w:tblStyle w:val="TableGrid"/>
        <w:tblW w:w="0" w:type="auto"/>
        <w:tblLayout w:type="fixed"/>
        <w:tblLook w:val="0020" w:firstRow="1" w:lastRow="0" w:firstColumn="0" w:lastColumn="0" w:noHBand="0" w:noVBand="0"/>
      </w:tblPr>
      <w:tblGrid>
        <w:gridCol w:w="2707"/>
        <w:gridCol w:w="1970"/>
      </w:tblGrid>
      <w:tr w:rsidR="00B02873" w:rsidRPr="00B02873" w14:paraId="522937DD" w14:textId="77777777" w:rsidTr="00A52DAD">
        <w:trPr>
          <w:cnfStyle w:val="100000000000" w:firstRow="1" w:lastRow="0" w:firstColumn="0" w:lastColumn="0" w:oddVBand="0" w:evenVBand="0" w:oddHBand="0" w:evenHBand="0" w:firstRowFirstColumn="0" w:firstRowLastColumn="0" w:lastRowFirstColumn="0" w:lastRowLastColumn="0"/>
          <w:trHeight w:val="60"/>
        </w:trPr>
        <w:tc>
          <w:tcPr>
            <w:tcW w:w="2707" w:type="dxa"/>
          </w:tcPr>
          <w:p w14:paraId="67F3F741" w14:textId="77777777" w:rsidR="00B02873" w:rsidRPr="00B02873" w:rsidRDefault="00B02873" w:rsidP="00A52DAD">
            <w:pPr>
              <w:pStyle w:val="TableheadingleftTables"/>
            </w:pPr>
          </w:p>
        </w:tc>
        <w:tc>
          <w:tcPr>
            <w:tcW w:w="1970" w:type="dxa"/>
          </w:tcPr>
          <w:p w14:paraId="156155E7" w14:textId="77777777" w:rsidR="00B02873" w:rsidRDefault="00B02873" w:rsidP="00B32DB2">
            <w:pPr>
              <w:pStyle w:val="TableheadingleftTables"/>
              <w:jc w:val="right"/>
            </w:pPr>
            <w:r>
              <w:t>Number</w:t>
            </w:r>
          </w:p>
        </w:tc>
      </w:tr>
      <w:tr w:rsidR="00B02873" w:rsidRPr="00B02873" w14:paraId="565BFE60" w14:textId="77777777" w:rsidTr="00A52DAD">
        <w:trPr>
          <w:trHeight w:val="60"/>
        </w:trPr>
        <w:tc>
          <w:tcPr>
            <w:tcW w:w="2707" w:type="dxa"/>
          </w:tcPr>
          <w:p w14:paraId="1250F4ED" w14:textId="0A398952" w:rsidR="00B02873" w:rsidRDefault="00B02873" w:rsidP="00A52DAD">
            <w:pPr>
              <w:pStyle w:val="TablebodyleftTables"/>
              <w:keepNext/>
            </w:pPr>
            <w:r>
              <w:t>Invalid request</w:t>
            </w:r>
            <w:r>
              <w:rPr>
                <w:vertAlign w:val="superscript"/>
              </w:rPr>
              <w:t>(i)</w:t>
            </w:r>
          </w:p>
        </w:tc>
        <w:tc>
          <w:tcPr>
            <w:tcW w:w="1970" w:type="dxa"/>
          </w:tcPr>
          <w:p w14:paraId="46D0E131" w14:textId="77777777" w:rsidR="00B02873" w:rsidRDefault="00B02873" w:rsidP="00B32DB2">
            <w:pPr>
              <w:pStyle w:val="TablebodyleftTables"/>
              <w:keepNext/>
              <w:jc w:val="right"/>
            </w:pPr>
            <w:r>
              <w:t>16</w:t>
            </w:r>
          </w:p>
        </w:tc>
      </w:tr>
      <w:tr w:rsidR="00B02873" w:rsidRPr="00B02873" w14:paraId="6E2ECF62" w14:textId="77777777" w:rsidTr="00A52DAD">
        <w:trPr>
          <w:trHeight w:val="60"/>
        </w:trPr>
        <w:tc>
          <w:tcPr>
            <w:tcW w:w="2707" w:type="dxa"/>
          </w:tcPr>
          <w:p w14:paraId="223A8018" w14:textId="77777777" w:rsidR="00B02873" w:rsidRDefault="00B02873" w:rsidP="00A52DAD">
            <w:pPr>
              <w:pStyle w:val="TablebodyleftTables"/>
              <w:keepNext/>
            </w:pPr>
            <w:r>
              <w:t>Transferred</w:t>
            </w:r>
          </w:p>
        </w:tc>
        <w:tc>
          <w:tcPr>
            <w:tcW w:w="1970" w:type="dxa"/>
          </w:tcPr>
          <w:p w14:paraId="3950DCAE" w14:textId="77777777" w:rsidR="00B02873" w:rsidRDefault="00B02873" w:rsidP="00B32DB2">
            <w:pPr>
              <w:pStyle w:val="TablebodyleftTables"/>
              <w:keepNext/>
              <w:jc w:val="right"/>
            </w:pPr>
            <w:r>
              <w:t>29</w:t>
            </w:r>
          </w:p>
        </w:tc>
      </w:tr>
      <w:tr w:rsidR="00B02873" w:rsidRPr="00B02873" w14:paraId="6EEF1691" w14:textId="77777777" w:rsidTr="00A52DAD">
        <w:trPr>
          <w:trHeight w:val="60"/>
        </w:trPr>
        <w:tc>
          <w:tcPr>
            <w:tcW w:w="2707" w:type="dxa"/>
          </w:tcPr>
          <w:p w14:paraId="14D6CA15" w14:textId="77777777" w:rsidR="00B02873" w:rsidRDefault="00B02873" w:rsidP="00B415A9">
            <w:pPr>
              <w:pStyle w:val="TableheadingleftTables"/>
            </w:pPr>
            <w:r>
              <w:t>Total</w:t>
            </w:r>
          </w:p>
        </w:tc>
        <w:tc>
          <w:tcPr>
            <w:tcW w:w="1970" w:type="dxa"/>
          </w:tcPr>
          <w:p w14:paraId="0F133543" w14:textId="77777777" w:rsidR="00B02873" w:rsidRPr="00A52DAD" w:rsidRDefault="00B02873" w:rsidP="00B32DB2">
            <w:pPr>
              <w:pStyle w:val="TablebodyleftTables"/>
              <w:jc w:val="right"/>
              <w:rPr>
                <w:b/>
                <w:bCs/>
              </w:rPr>
            </w:pPr>
            <w:r w:rsidRPr="00A52DAD">
              <w:rPr>
                <w:b/>
                <w:bCs/>
              </w:rPr>
              <w:t>45</w:t>
            </w:r>
          </w:p>
        </w:tc>
      </w:tr>
    </w:tbl>
    <w:p w14:paraId="21BB0B64" w14:textId="77777777" w:rsidR="00B02873" w:rsidRPr="00A52DAD" w:rsidRDefault="00B02873" w:rsidP="00FA43C4">
      <w:pPr>
        <w:pStyle w:val="SourceNote"/>
        <w:keepNext/>
        <w:spacing w:after="120"/>
        <w:rPr>
          <w:b/>
          <w:bCs/>
        </w:rPr>
      </w:pPr>
      <w:r w:rsidRPr="00A52DAD">
        <w:rPr>
          <w:b/>
          <w:bCs/>
        </w:rPr>
        <w:t>Note:</w:t>
      </w:r>
    </w:p>
    <w:p w14:paraId="1FB0ADD5" w14:textId="77777777" w:rsidR="00B02873" w:rsidRDefault="00B02873" w:rsidP="008316E9">
      <w:pPr>
        <w:pStyle w:val="SourceNotenumbered"/>
        <w:numPr>
          <w:ilvl w:val="0"/>
          <w:numId w:val="18"/>
        </w:numPr>
      </w:pPr>
      <w:r>
        <w:t>Application fee not paid or request terms unclear and applicant did not provide clarification.</w:t>
      </w:r>
    </w:p>
    <w:p w14:paraId="58098830" w14:textId="77777777" w:rsidR="00B02873" w:rsidRDefault="00B02873" w:rsidP="00A52DAD">
      <w:pPr>
        <w:pStyle w:val="Heading3"/>
      </w:pPr>
      <w:r>
        <w:lastRenderedPageBreak/>
        <w:t>Further Information:</w:t>
      </w:r>
    </w:p>
    <w:p w14:paraId="00BA820B" w14:textId="77777777" w:rsidR="00B02873" w:rsidRDefault="00B02873" w:rsidP="00FE198A">
      <w:r>
        <w:rPr>
          <w:spacing w:val="-4"/>
        </w:rPr>
        <w:t xml:space="preserve">Further information regarding the operation and scope of FOI can be obtained from the FOI Act, regulations made under the FOI Act and </w:t>
      </w:r>
      <w:hyperlink r:id="rId84" w:history="1">
        <w:r w:rsidRPr="00A52DAD">
          <w:rPr>
            <w:rStyle w:val="Hyperlink"/>
          </w:rPr>
          <w:t>www.foi.vic.gov.au</w:t>
        </w:r>
      </w:hyperlink>
      <w:r>
        <w:rPr>
          <w:spacing w:val="-4"/>
        </w:rPr>
        <w:t xml:space="preserve"> </w:t>
      </w:r>
    </w:p>
    <w:p w14:paraId="2DCE3C75" w14:textId="77777777" w:rsidR="00B02873" w:rsidRDefault="00B02873" w:rsidP="00FA43C4">
      <w:pPr>
        <w:pStyle w:val="Heading2Headings"/>
      </w:pPr>
      <w:r>
        <w:t>Office of the Victorian Information Commissioner</w:t>
      </w:r>
    </w:p>
    <w:p w14:paraId="5BF224AD" w14:textId="77777777" w:rsidR="00B02873" w:rsidRDefault="00B02873" w:rsidP="00A52DAD">
      <w:pPr>
        <w:pStyle w:val="Heading3"/>
      </w:pPr>
      <w:r>
        <w:t>Reviews</w:t>
      </w:r>
    </w:p>
    <w:p w14:paraId="7375E852" w14:textId="77777777" w:rsidR="00B02873" w:rsidRDefault="00B02873" w:rsidP="00FE198A">
      <w:r>
        <w:t xml:space="preserve">The Office of the Victorian Information Commissioner (OVIC) received notifications of 20 requests for a review of an FOI decision made by the department between 1 July 2021 and 30 June 2022. </w:t>
      </w:r>
    </w:p>
    <w:p w14:paraId="0D5E8C13" w14:textId="77777777" w:rsidR="00B02873" w:rsidRDefault="00B02873" w:rsidP="00A52DAD">
      <w:pPr>
        <w:pStyle w:val="Heading3"/>
      </w:pPr>
      <w:r>
        <w:t>Complaints</w:t>
      </w:r>
    </w:p>
    <w:p w14:paraId="7F307929" w14:textId="77777777" w:rsidR="00B02873" w:rsidRDefault="00B02873" w:rsidP="00FE198A">
      <w:r>
        <w:rPr>
          <w:spacing w:val="-4"/>
        </w:rPr>
        <w:t>The department was advised by OVIC of 10 complaints made about the processing of FOI requests, or decisions where no relevant documents were identified.</w:t>
      </w:r>
    </w:p>
    <w:p w14:paraId="01A505F2" w14:textId="739DBE9D" w:rsidR="00B02873" w:rsidRDefault="00B02873" w:rsidP="00FA43C4">
      <w:pPr>
        <w:pStyle w:val="Heading2Headings"/>
      </w:pPr>
      <w:r>
        <w:t>Victorian Civil and Administrative Tribunal</w:t>
      </w:r>
    </w:p>
    <w:p w14:paraId="32E1C5B2" w14:textId="1EE37DB4" w:rsidR="00B02873" w:rsidRDefault="00B02873" w:rsidP="00FE198A">
      <w:r>
        <w:t>Two applications for a review of FOI decisions made by the department were lodged at the Victorian Civil and Administrative Tribunal during this reporting period.</w:t>
      </w:r>
      <w:r w:rsidR="00012C04">
        <w:t xml:space="preserve"> </w:t>
      </w:r>
    </w:p>
    <w:p w14:paraId="1A69FAA9" w14:textId="77777777" w:rsidR="00B02873" w:rsidRDefault="00B02873" w:rsidP="00FA43C4">
      <w:pPr>
        <w:pStyle w:val="Heading2Headings"/>
      </w:pPr>
      <w:r>
        <w:t>Planning</w:t>
      </w:r>
    </w:p>
    <w:p w14:paraId="6EC1DED3" w14:textId="77777777" w:rsidR="00B02873" w:rsidRDefault="00B02873" w:rsidP="00FE198A">
      <w:r>
        <w:rPr>
          <w:spacing w:val="-2"/>
        </w:rPr>
        <w:t xml:space="preserve">DELWP is responsible for managing the state’s planning, heritage and building systems. This includes driving the implementation of </w:t>
      </w:r>
      <w:r w:rsidRPr="00A52DAD">
        <w:rPr>
          <w:rStyle w:val="LightItalic"/>
          <w:rFonts w:asciiTheme="minorHAnsi" w:hAnsiTheme="minorHAnsi" w:cstheme="minorHAnsi"/>
          <w:spacing w:val="-2"/>
        </w:rPr>
        <w:t>Plan Melbourne</w:t>
      </w:r>
      <w:r>
        <w:rPr>
          <w:spacing w:val="-2"/>
        </w:rPr>
        <w:t xml:space="preserve">, and developing policies to support resilient communities, administering statutory planning responsibilities, and facilitating urban development. </w:t>
      </w:r>
    </w:p>
    <w:p w14:paraId="1E8E3A68" w14:textId="77777777" w:rsidR="00B02873" w:rsidRDefault="00B02873" w:rsidP="00FE198A">
      <w:r>
        <w:t xml:space="preserve">More information is available on DELWP’s planning and heritage websites at </w:t>
      </w:r>
      <w:hyperlink r:id="rId85" w:history="1">
        <w:r w:rsidRPr="00A52DAD">
          <w:rPr>
            <w:rStyle w:val="Hyperlink"/>
          </w:rPr>
          <w:t>www.planning.vic.gov.au</w:t>
        </w:r>
      </w:hyperlink>
      <w:r>
        <w:t xml:space="preserve"> and </w:t>
      </w:r>
      <w:hyperlink r:id="rId86" w:history="1">
        <w:r w:rsidRPr="00A52DAD">
          <w:rPr>
            <w:rStyle w:val="Hyperlink"/>
          </w:rPr>
          <w:t>www.heritage.vic.gov.au</w:t>
        </w:r>
      </w:hyperlink>
      <w:r>
        <w:t xml:space="preserve">. These websites provide single points of access for planning and heritage information. This includes policies, information, services and forms. DELWP’s urban design guideline website </w:t>
      </w:r>
      <w:hyperlink r:id="rId87" w:history="1">
        <w:r w:rsidRPr="00A52DAD">
          <w:rPr>
            <w:rStyle w:val="Hyperlink"/>
          </w:rPr>
          <w:t>www.urban-design-guidelines.planning.vic.gov.au</w:t>
        </w:r>
      </w:hyperlink>
      <w:r>
        <w:t xml:space="preserve"> provides urban design guidelines in an interactive format.</w:t>
      </w:r>
    </w:p>
    <w:p w14:paraId="5163594F" w14:textId="77777777" w:rsidR="00B02873" w:rsidRDefault="00B02873" w:rsidP="00FE198A">
      <w:r>
        <w:t xml:space="preserve">All Victorian planning schemes including exhibited and approved amendments are published on the planning website. The Minister’s </w:t>
      </w:r>
      <w:hyperlink r:id="rId88" w:history="1">
        <w:r>
          <w:t>Planning Permit Application Register Online</w:t>
        </w:r>
      </w:hyperlink>
      <w:r>
        <w:t xml:space="preserve"> provides access to up-to-date information on the status of permit applications where the Minister for Planning is the Responsible Authority. The </w:t>
      </w:r>
      <w:hyperlink r:id="rId89" w:history="1">
        <w:r>
          <w:t xml:space="preserve">Planning Property Report </w:t>
        </w:r>
      </w:hyperlink>
      <w:r>
        <w:t xml:space="preserve">provides easy access to planning scheme information for any property in Victoria, including property details like zoning and overlay controls, and state heritage information where it applies to land. The report can be accessed from the website or from the </w:t>
      </w:r>
      <w:hyperlink r:id="rId90" w:history="1">
        <w:r>
          <w:t>VicPlan interactive mapping tool</w:t>
        </w:r>
      </w:hyperlink>
      <w:r>
        <w:t xml:space="preserve">. </w:t>
      </w:r>
    </w:p>
    <w:p w14:paraId="6B660802" w14:textId="77777777" w:rsidR="00B02873" w:rsidRDefault="00B02873" w:rsidP="00FE198A">
      <w:r>
        <w:t>Planning publications, including all documents incorporated into Victorian planning schemes, can be found in the Resource Library on the Planning website. Search pages provide easy access to planning panels and advisory committees, to information about projects that have been referred to the department for environmental impact assessment and the Find a Planning Service provides a consolidated view of the planning services offered by the department.</w:t>
      </w:r>
    </w:p>
    <w:p w14:paraId="444E2C89" w14:textId="77777777" w:rsidR="00B02873" w:rsidRDefault="00B02873" w:rsidP="00FE198A">
      <w:r>
        <w:t>For assistance with finding information, using any of our web services or general planning enquiries, please contact the DELWP Customer Contact Centre on 136 186 (local call cost).</w:t>
      </w:r>
    </w:p>
    <w:p w14:paraId="060F6EB2" w14:textId="77777777" w:rsidR="00B02873" w:rsidRDefault="00B02873" w:rsidP="00FE198A">
      <w:r>
        <w:t xml:space="preserve">For more detailed information about planning scheme amendments, please contact the relevant DELWP regional office or email: </w:t>
      </w:r>
      <w:hyperlink r:id="rId91" w:history="1">
        <w:r w:rsidRPr="00F239B3">
          <w:rPr>
            <w:rStyle w:val="Hyperlink"/>
          </w:rPr>
          <w:t>planning.schemes@delwp.vic.gov.au</w:t>
        </w:r>
      </w:hyperlink>
      <w:r>
        <w:t>.</w:t>
      </w:r>
    </w:p>
    <w:p w14:paraId="19165DDC" w14:textId="77777777" w:rsidR="00B02873" w:rsidRDefault="00B02873" w:rsidP="00FA43C4">
      <w:pPr>
        <w:pStyle w:val="Heading2Headings"/>
      </w:pPr>
      <w:bookmarkStart w:id="35" w:name="_Ref116979133"/>
      <w:r>
        <w:lastRenderedPageBreak/>
        <w:t xml:space="preserve">Compliance with the </w:t>
      </w:r>
      <w:bookmarkStart w:id="36" w:name="Public_Interest_Disclosures_Act"/>
      <w:r w:rsidRPr="00DC65F8">
        <w:rPr>
          <w:i/>
          <w:iCs/>
        </w:rPr>
        <w:t>Public Interest Disclosure Act 2012</w:t>
      </w:r>
      <w:bookmarkEnd w:id="36"/>
      <w:bookmarkEnd w:id="35"/>
      <w:r>
        <w:t xml:space="preserve"> </w:t>
      </w:r>
    </w:p>
    <w:p w14:paraId="0A1B876F" w14:textId="57A3222B" w:rsidR="00B02873" w:rsidRDefault="00B02873" w:rsidP="00FE198A">
      <w:r>
        <w:t xml:space="preserve">The </w:t>
      </w:r>
      <w:r w:rsidRPr="00F239B3">
        <w:rPr>
          <w:rStyle w:val="LightItalic"/>
          <w:rFonts w:asciiTheme="minorHAnsi" w:hAnsiTheme="minorHAnsi" w:cstheme="minorHAnsi"/>
        </w:rPr>
        <w:t>Public Interest Disclosure Act 2012</w:t>
      </w:r>
      <w:r>
        <w:t xml:space="preserve"> (the Act) encourages and assists people in making disclosures of improper conduct by public officers and public bodies. The Act provides protection to people who make disclosures in accordance with the Act and establishes a system for the matters disclosed to be investigated and rectifying action to be taken.</w:t>
      </w:r>
      <w:r w:rsidR="00012C04">
        <w:t xml:space="preserve"> </w:t>
      </w:r>
    </w:p>
    <w:p w14:paraId="5D275DE0" w14:textId="6A83DC45" w:rsidR="00B02873" w:rsidRDefault="00B02873" w:rsidP="00FE198A">
      <w:r>
        <w:t>The department does not tolerate improper conduct by employees, nor reprisals against those who come forward to disclose such conduct. It is committed to ensuring transparency and accountability in its administrative and management practices and supports the making of disclosures that reveal corrupt conduct, conduct involving a substantial mismanagement of public resources, or conduct involving a substantial risk to public health and safety or the environment.</w:t>
      </w:r>
      <w:r w:rsidR="00012C04">
        <w:t xml:space="preserve"> </w:t>
      </w:r>
    </w:p>
    <w:p w14:paraId="4A494F30" w14:textId="77777777" w:rsidR="00B02873" w:rsidRDefault="00B02873" w:rsidP="00FE198A">
      <w:r>
        <w:t xml:space="preserve">The department will take all reasonable steps to protect people who make such disclosures from any detrimental action in reprisal for making the disclosure. It will also afford natural justice to the person who is the subject of the disclosure to the extent it is legally possible. </w:t>
      </w:r>
    </w:p>
    <w:p w14:paraId="796FC518" w14:textId="77777777" w:rsidR="00B02873" w:rsidRDefault="00B02873" w:rsidP="00F239B3">
      <w:pPr>
        <w:pStyle w:val="Heading3"/>
      </w:pPr>
      <w:r>
        <w:t xml:space="preserve">Reporting Procedures </w:t>
      </w:r>
    </w:p>
    <w:p w14:paraId="4FE90FB2" w14:textId="77777777" w:rsidR="00B02873" w:rsidRDefault="00B02873" w:rsidP="00F239B3">
      <w:pPr>
        <w:pStyle w:val="Normalbeforebullet"/>
      </w:pPr>
      <w:r>
        <w:t>Disclosures of improper conduct or detrimental action by departmental employees or contractors may be made to any of the following department personnel:</w:t>
      </w:r>
    </w:p>
    <w:p w14:paraId="3B0C01BF" w14:textId="77777777" w:rsidR="00B02873" w:rsidRDefault="00B02873" w:rsidP="00B02873">
      <w:pPr>
        <w:pStyle w:val="Bullet1Lists"/>
      </w:pPr>
      <w:r>
        <w:t xml:space="preserve">Secretary of the department </w:t>
      </w:r>
    </w:p>
    <w:p w14:paraId="56ABCD4F" w14:textId="77777777" w:rsidR="00B02873" w:rsidRDefault="00B02873" w:rsidP="00B02873">
      <w:pPr>
        <w:pStyle w:val="Bullet1Lists"/>
      </w:pPr>
      <w:r>
        <w:t xml:space="preserve">Public Interest Disclosure Coordinator </w:t>
      </w:r>
    </w:p>
    <w:p w14:paraId="17F03022" w14:textId="07E2A614" w:rsidR="00B02873" w:rsidRDefault="00B02873" w:rsidP="00B02873">
      <w:pPr>
        <w:pStyle w:val="Bullet1Lists"/>
      </w:pPr>
      <w:r>
        <w:t>manager or supervisor of the discloser</w:t>
      </w:r>
      <w:r w:rsidR="00012C04">
        <w:t xml:space="preserve"> </w:t>
      </w:r>
    </w:p>
    <w:p w14:paraId="7473596C" w14:textId="253E1A04" w:rsidR="00B02873" w:rsidRDefault="00B02873" w:rsidP="00B02873">
      <w:pPr>
        <w:pStyle w:val="Bullet1Lists"/>
      </w:pPr>
      <w:r>
        <w:t>manager or supervisor of the person who is the subject of the disclosure.</w:t>
      </w:r>
      <w:r w:rsidR="00012C04">
        <w:t xml:space="preserve"> </w:t>
      </w:r>
    </w:p>
    <w:p w14:paraId="083A729C" w14:textId="66021977" w:rsidR="00B02873" w:rsidRDefault="00B02873" w:rsidP="00F239B3">
      <w:pPr>
        <w:pStyle w:val="Bullet1Listslast"/>
      </w:pPr>
      <w:r>
        <w:t>a person acting in any of the above roles.</w:t>
      </w:r>
      <w:r w:rsidR="00012C04">
        <w:t xml:space="preserve"> </w:t>
      </w:r>
    </w:p>
    <w:p w14:paraId="454B6D37" w14:textId="59E59158" w:rsidR="00B02873" w:rsidRDefault="00B02873" w:rsidP="00FE198A">
      <w:r>
        <w:t>Department of Environment, Land, Water and Planning, PO Box 500,</w:t>
      </w:r>
      <w:r>
        <w:br/>
        <w:t>East Melbourne Victoria 8002</w:t>
      </w:r>
      <w:r>
        <w:br/>
        <w:t xml:space="preserve">Telephone: 1800 903 877 </w:t>
      </w:r>
      <w:r>
        <w:br/>
        <w:t xml:space="preserve">email: </w:t>
      </w:r>
      <w:hyperlink r:id="rId92" w:history="1">
        <w:r w:rsidRPr="00F239B3">
          <w:rPr>
            <w:rStyle w:val="Hyperlink"/>
          </w:rPr>
          <w:t>disclosures@delwp.vic.gov.au</w:t>
        </w:r>
      </w:hyperlink>
    </w:p>
    <w:p w14:paraId="79A9A6B3" w14:textId="77777777" w:rsidR="00B02873" w:rsidRDefault="00B02873" w:rsidP="00FE198A">
      <w:r>
        <w:t>Alternatively, disclosures may also be made directly to the Independent Broad-based Anticorruption Commission (IBAC):</w:t>
      </w:r>
    </w:p>
    <w:p w14:paraId="7C6D2B6B" w14:textId="77777777" w:rsidR="00B02873" w:rsidRDefault="00B02873" w:rsidP="00FE198A">
      <w:r>
        <w:t>The Independent Broad-based Anti-corruption Commission (IBAC)</w:t>
      </w:r>
      <w:r>
        <w:br/>
        <w:t>Level 1, North Tower 459 Collins Street</w:t>
      </w:r>
      <w:r>
        <w:br/>
        <w:t>Melbourne Victoria 3000</w:t>
      </w:r>
      <w:r>
        <w:br/>
        <w:t>GPO Box 24234, Melbourne Victoria 3001</w:t>
      </w:r>
      <w:r>
        <w:br/>
        <w:t>Telephone: 1300 735 135</w:t>
      </w:r>
      <w:r>
        <w:br/>
        <w:t xml:space="preserve">Website: </w:t>
      </w:r>
      <w:hyperlink r:id="rId93" w:history="1">
        <w:r w:rsidRPr="00F239B3">
          <w:rPr>
            <w:rStyle w:val="Hyperlink"/>
          </w:rPr>
          <w:t>www.ibac.vic.gov.au</w:t>
        </w:r>
      </w:hyperlink>
      <w:r>
        <w:t xml:space="preserve"> </w:t>
      </w:r>
    </w:p>
    <w:p w14:paraId="03279499" w14:textId="77777777" w:rsidR="00B02873" w:rsidRDefault="00B02873" w:rsidP="00F239B3">
      <w:pPr>
        <w:pStyle w:val="Heading3"/>
      </w:pPr>
      <w:r>
        <w:t>Further information</w:t>
      </w:r>
    </w:p>
    <w:p w14:paraId="207C5447" w14:textId="77777777" w:rsidR="00B02873" w:rsidRDefault="00B02873" w:rsidP="00FE198A">
      <w:r>
        <w:t xml:space="preserve">The Public Interest Disclosure Policy and Procedures, which outline the system for reporting disclosures of improper conduct or detrimental action by the department or any of its employees and/or officers, are available on the department’s website. </w:t>
      </w:r>
    </w:p>
    <w:tbl>
      <w:tblPr>
        <w:tblStyle w:val="TableGrid"/>
        <w:tblW w:w="0" w:type="auto"/>
        <w:tblLayout w:type="fixed"/>
        <w:tblLook w:val="0020" w:firstRow="1" w:lastRow="0" w:firstColumn="0" w:lastColumn="0" w:noHBand="0" w:noVBand="0"/>
      </w:tblPr>
      <w:tblGrid>
        <w:gridCol w:w="4248"/>
        <w:gridCol w:w="1191"/>
        <w:gridCol w:w="1190"/>
      </w:tblGrid>
      <w:tr w:rsidR="00B02873" w:rsidRPr="00B02873" w14:paraId="35A062B9" w14:textId="77777777" w:rsidTr="00F239B3">
        <w:trPr>
          <w:cnfStyle w:val="100000000000" w:firstRow="1" w:lastRow="0" w:firstColumn="0" w:lastColumn="0" w:oddVBand="0" w:evenVBand="0" w:oddHBand="0" w:evenHBand="0" w:firstRowFirstColumn="0" w:firstRowLastColumn="0" w:lastRowFirstColumn="0" w:lastRowLastColumn="0"/>
          <w:trHeight w:val="60"/>
        </w:trPr>
        <w:tc>
          <w:tcPr>
            <w:tcW w:w="4248" w:type="dxa"/>
          </w:tcPr>
          <w:p w14:paraId="5CB9DF17" w14:textId="77777777" w:rsidR="00B02873" w:rsidRDefault="00B02873" w:rsidP="00F239B3">
            <w:pPr>
              <w:pStyle w:val="TableheadingleftTables"/>
            </w:pPr>
            <w:r>
              <w:lastRenderedPageBreak/>
              <w:t xml:space="preserve">Disclosures under the </w:t>
            </w:r>
            <w:r w:rsidRPr="00F239B3">
              <w:rPr>
                <w:i/>
                <w:iCs/>
              </w:rPr>
              <w:t>Public Interest Disclosure Act 2012</w:t>
            </w:r>
          </w:p>
        </w:tc>
        <w:tc>
          <w:tcPr>
            <w:tcW w:w="1191" w:type="dxa"/>
          </w:tcPr>
          <w:p w14:paraId="61B06825" w14:textId="77777777" w:rsidR="00B02873" w:rsidRDefault="00B02873" w:rsidP="00B32DB2">
            <w:pPr>
              <w:pStyle w:val="TableheadingleftTables"/>
              <w:jc w:val="right"/>
            </w:pPr>
            <w:r>
              <w:t>2021-22 number</w:t>
            </w:r>
          </w:p>
        </w:tc>
        <w:tc>
          <w:tcPr>
            <w:tcW w:w="1190" w:type="dxa"/>
          </w:tcPr>
          <w:p w14:paraId="479837C5" w14:textId="77777777" w:rsidR="00B02873" w:rsidRDefault="00B02873" w:rsidP="00B32DB2">
            <w:pPr>
              <w:pStyle w:val="TableheadingleftTables"/>
              <w:jc w:val="right"/>
            </w:pPr>
            <w:r>
              <w:t>2020-21 number</w:t>
            </w:r>
          </w:p>
        </w:tc>
      </w:tr>
      <w:tr w:rsidR="00B02873" w:rsidRPr="00B02873" w14:paraId="0D5B5791" w14:textId="77777777" w:rsidTr="00F239B3">
        <w:trPr>
          <w:trHeight w:val="60"/>
        </w:trPr>
        <w:tc>
          <w:tcPr>
            <w:tcW w:w="4248" w:type="dxa"/>
          </w:tcPr>
          <w:p w14:paraId="64F82B19" w14:textId="77777777" w:rsidR="00B02873" w:rsidRDefault="00B02873" w:rsidP="00B415A9">
            <w:pPr>
              <w:pStyle w:val="TablebodyleftTables"/>
            </w:pPr>
            <w:r>
              <w:t xml:space="preserve">The number of disclosures made by an individual to the department and notified to the Independent Broad-based Anti-Corruption Commission. </w:t>
            </w:r>
          </w:p>
        </w:tc>
        <w:tc>
          <w:tcPr>
            <w:tcW w:w="1191" w:type="dxa"/>
          </w:tcPr>
          <w:p w14:paraId="1F9A3A65" w14:textId="77777777" w:rsidR="00B02873" w:rsidRDefault="00B02873" w:rsidP="00B32DB2">
            <w:pPr>
              <w:pStyle w:val="TablebodyleftTables"/>
              <w:jc w:val="right"/>
            </w:pPr>
            <w:r>
              <w:t>1</w:t>
            </w:r>
          </w:p>
        </w:tc>
        <w:tc>
          <w:tcPr>
            <w:tcW w:w="1190" w:type="dxa"/>
          </w:tcPr>
          <w:p w14:paraId="7ABF0623" w14:textId="77777777" w:rsidR="00B02873" w:rsidRDefault="00B02873" w:rsidP="00B32DB2">
            <w:pPr>
              <w:pStyle w:val="TablebodyleftTables"/>
              <w:jc w:val="right"/>
            </w:pPr>
            <w:r>
              <w:t>0</w:t>
            </w:r>
          </w:p>
        </w:tc>
      </w:tr>
    </w:tbl>
    <w:p w14:paraId="043B0A0E" w14:textId="77777777" w:rsidR="00B02873" w:rsidRDefault="00B02873" w:rsidP="00FE198A"/>
    <w:p w14:paraId="67FD6D49" w14:textId="6CF82EAF" w:rsidR="00B02873" w:rsidRDefault="00B02873" w:rsidP="00FE198A">
      <w:r>
        <w:t>Further information about making and handling public interest disclosures is available at</w:t>
      </w:r>
      <w:r w:rsidR="00F239B3">
        <w:t xml:space="preserve"> </w:t>
      </w:r>
      <w:hyperlink r:id="rId94" w:history="1">
        <w:r w:rsidRPr="00F239B3">
          <w:rPr>
            <w:rStyle w:val="Hyperlink"/>
          </w:rPr>
          <w:t>www.delwp.vic.gov.au</w:t>
        </w:r>
      </w:hyperlink>
      <w:r>
        <w:t xml:space="preserve">. </w:t>
      </w:r>
    </w:p>
    <w:p w14:paraId="00567E30" w14:textId="0823D2A2" w:rsidR="00B02873" w:rsidRDefault="00B02873" w:rsidP="00DC65F8">
      <w:pPr>
        <w:pStyle w:val="Heading2Headings"/>
      </w:pPr>
      <w:bookmarkStart w:id="37" w:name="_Ref116976724"/>
      <w:r>
        <w:t xml:space="preserve">Compliance with the </w:t>
      </w:r>
      <w:bookmarkStart w:id="38" w:name="Carers_Recognition_Act"/>
      <w:r w:rsidRPr="00DC65F8">
        <w:rPr>
          <w:i/>
          <w:iCs/>
        </w:rPr>
        <w:t>Carers Recognition Act 2012</w:t>
      </w:r>
      <w:bookmarkEnd w:id="38"/>
      <w:bookmarkEnd w:id="37"/>
      <w:r>
        <w:t xml:space="preserve"> </w:t>
      </w:r>
    </w:p>
    <w:p w14:paraId="1133A3CC" w14:textId="6154496C" w:rsidR="00B02873" w:rsidRDefault="00B02873" w:rsidP="00FE198A">
      <w:r>
        <w:t xml:space="preserve">DELWP recognises the role that many of our staff have as carers and supports them to balance their work and care responsibilities. Around 40 per cent of staff identify as having caring responsibilities. This includes staff that care for and support people with a mental illness, disability, chronic illness or complex care needs as well as older people with specific needs, children and young people with additional care needs, and people who have terminal illness. </w:t>
      </w:r>
    </w:p>
    <w:p w14:paraId="051F90F9" w14:textId="52D5E3D5" w:rsidR="00B02873" w:rsidRDefault="00B02873" w:rsidP="00FE198A">
      <w:r>
        <w:t xml:space="preserve">Carers as they are defined under the </w:t>
      </w:r>
      <w:r w:rsidRPr="00F239B3">
        <w:rPr>
          <w:rStyle w:val="LightItalic"/>
          <w:rFonts w:asciiTheme="minorHAnsi" w:hAnsiTheme="minorHAnsi" w:cstheme="minorHAnsi"/>
        </w:rPr>
        <w:t>Carer Recognition Act</w:t>
      </w:r>
      <w:r w:rsidRPr="00F239B3">
        <w:rPr>
          <w:rFonts w:asciiTheme="minorHAnsi" w:hAnsiTheme="minorHAnsi" w:cstheme="minorHAnsi"/>
        </w:rPr>
        <w:t xml:space="preserve"> </w:t>
      </w:r>
      <w:r w:rsidRPr="00F239B3">
        <w:rPr>
          <w:rStyle w:val="LightItalic"/>
          <w:rFonts w:asciiTheme="minorHAnsi" w:hAnsiTheme="minorHAnsi" w:cstheme="minorHAnsi"/>
        </w:rPr>
        <w:t>2012</w:t>
      </w:r>
      <w:r>
        <w:t xml:space="preserve"> are included in DELWP’s Workplace Adjustment Policy, which ensures they can access the supports they need to manage both work and caring responsibilities. The department has taken all practical measures to comply with its obligations under the </w:t>
      </w:r>
      <w:r w:rsidRPr="00F239B3">
        <w:rPr>
          <w:rStyle w:val="LightItalic"/>
          <w:rFonts w:asciiTheme="minorHAnsi" w:hAnsiTheme="minorHAnsi" w:cstheme="minorHAnsi"/>
        </w:rPr>
        <w:t>Carers Recognition Act 2012</w:t>
      </w:r>
      <w:r>
        <w:t xml:space="preserve">. Our program of work to support carers is informed by the carer relationship principles set out in the Act and the priority actions outlined in the Recognising and supporting Victoria’s carers: </w:t>
      </w:r>
      <w:r w:rsidRPr="00F239B3">
        <w:rPr>
          <w:rStyle w:val="LightItalic"/>
          <w:rFonts w:asciiTheme="minorHAnsi" w:hAnsiTheme="minorHAnsi" w:cstheme="minorHAnsi"/>
        </w:rPr>
        <w:t>Victorian Carers Strategy 2018-2022</w:t>
      </w:r>
      <w:r>
        <w:t>. The department’s actions aim to reduce the barriers to workforce participation for carers and ensure carers can make choices about work and their carers role, are enabled to participate socially and economically, and are supported with their health and wellbeing.</w:t>
      </w:r>
      <w:r w:rsidR="00012C04">
        <w:t xml:space="preserve"> </w:t>
      </w:r>
    </w:p>
    <w:p w14:paraId="2709435B" w14:textId="77777777" w:rsidR="00B02873" w:rsidRDefault="00B02873" w:rsidP="00FE198A">
      <w:r>
        <w:t>Access to special leave to support remote learning during periods of school closures was encouraged and supported by managers. The department’s peer support network, Employee Assistance Program and Reach Out programs are available to support staff to manage their work and caring responsibilities. The department has a number of staff-led networks, including the Parents and Carers Staff Network and the All-Abilities staff network which supports disability inclusion and awareness.</w:t>
      </w:r>
    </w:p>
    <w:p w14:paraId="2969CE1C" w14:textId="156AC363" w:rsidR="00B02873" w:rsidRDefault="00B02873" w:rsidP="00DC65F8">
      <w:pPr>
        <w:pStyle w:val="Heading2Headings"/>
      </w:pPr>
      <w:bookmarkStart w:id="39" w:name="_Ref116976768"/>
      <w:r>
        <w:t xml:space="preserve">Compliance with the </w:t>
      </w:r>
      <w:r w:rsidRPr="00F239B3">
        <w:rPr>
          <w:i/>
          <w:iCs/>
        </w:rPr>
        <w:t>Disability Act 2006</w:t>
      </w:r>
      <w:bookmarkEnd w:id="39"/>
    </w:p>
    <w:p w14:paraId="5B14E23C" w14:textId="77777777" w:rsidR="00B02873" w:rsidRDefault="00B02873" w:rsidP="00FE198A">
      <w:r>
        <w:t xml:space="preserve">The </w:t>
      </w:r>
      <w:r w:rsidRPr="00F239B3">
        <w:rPr>
          <w:rStyle w:val="LightItalic"/>
          <w:rFonts w:asciiTheme="minorHAnsi" w:hAnsiTheme="minorHAnsi" w:cstheme="minorHAnsi"/>
        </w:rPr>
        <w:t>Disability Act 2006</w:t>
      </w:r>
      <w:r>
        <w:t xml:space="preserve"> reaffirms and strengthens the rights of people with a disability and recognises that this requires support across the government sector and within the community. </w:t>
      </w:r>
    </w:p>
    <w:p w14:paraId="4B37FE60" w14:textId="77777777" w:rsidR="00B02873" w:rsidRDefault="00B02873" w:rsidP="00FE198A">
      <w:r>
        <w:t xml:space="preserve">The department has complied with its obligations under the </w:t>
      </w:r>
      <w:r w:rsidRPr="00F239B3">
        <w:rPr>
          <w:rStyle w:val="LightItalic"/>
          <w:rFonts w:asciiTheme="minorHAnsi" w:hAnsiTheme="minorHAnsi" w:cstheme="minorHAnsi"/>
        </w:rPr>
        <w:t>Disability Act 2006</w:t>
      </w:r>
      <w:r>
        <w:t xml:space="preserve"> to prepare a Disability Action Plan through the completion of the </w:t>
      </w:r>
      <w:r w:rsidRPr="00F239B3">
        <w:rPr>
          <w:rStyle w:val="LightItalic"/>
          <w:rFonts w:asciiTheme="minorHAnsi" w:hAnsiTheme="minorHAnsi" w:cstheme="minorHAnsi"/>
        </w:rPr>
        <w:t>Access and Inclusion Plan 2018-2020</w:t>
      </w:r>
      <w:r>
        <w:t xml:space="preserve">, and more recently the release of the </w:t>
      </w:r>
      <w:r w:rsidRPr="00F239B3">
        <w:rPr>
          <w:rStyle w:val="LightItalic"/>
          <w:rFonts w:asciiTheme="minorHAnsi" w:hAnsiTheme="minorHAnsi" w:cstheme="minorHAnsi"/>
        </w:rPr>
        <w:t>Access and Inclusion Plan 2021-2024</w:t>
      </w:r>
      <w:r>
        <w:t>. Reporting against our Disability Action Plan can be found in the ‘Our People’ section of this report.</w:t>
      </w:r>
    </w:p>
    <w:p w14:paraId="3E2675E7" w14:textId="77777777" w:rsidR="00B02873" w:rsidRDefault="00B02873" w:rsidP="00DC65F8">
      <w:pPr>
        <w:pStyle w:val="Heading2Headings"/>
      </w:pPr>
      <w:bookmarkStart w:id="40" w:name="_Ref116976634"/>
      <w:r>
        <w:t xml:space="preserve">Compliance with the </w:t>
      </w:r>
      <w:bookmarkStart w:id="41" w:name="Building_Act_1993"/>
      <w:r w:rsidRPr="00F239B3">
        <w:rPr>
          <w:i/>
          <w:iCs/>
        </w:rPr>
        <w:t>Building Act 1993</w:t>
      </w:r>
      <w:bookmarkEnd w:id="41"/>
      <w:bookmarkEnd w:id="40"/>
    </w:p>
    <w:p w14:paraId="6485EE44" w14:textId="77777777" w:rsidR="00B02873" w:rsidRDefault="00B02873" w:rsidP="00FE198A">
      <w:r>
        <w:t xml:space="preserve">The Department of Treasury and Finance’s Shared Service Provider (DTF SSP) manages, maintains and reports on the leased and part-owned accommodation portfolio occupied by DELWP. </w:t>
      </w:r>
    </w:p>
    <w:p w14:paraId="01128E42" w14:textId="71E5E1F1" w:rsidR="00B02873" w:rsidRDefault="00B02873" w:rsidP="00FE198A">
      <w:r>
        <w:lastRenderedPageBreak/>
        <w:t>DELWP has responsibility for the management of its owned portfolio assets via an outsourced facilities management service provider. The owned portfolio includes offices, combined office/depot sites, depots, residences, airbases and fire lookout towers.</w:t>
      </w:r>
      <w:r w:rsidR="00012C04">
        <w:t xml:space="preserve"> </w:t>
      </w:r>
    </w:p>
    <w:p w14:paraId="3FE82E80" w14:textId="462F9ACC" w:rsidR="00B02873" w:rsidRDefault="00B02873" w:rsidP="00FE198A">
      <w:r>
        <w:t xml:space="preserve">DELWP complies with the </w:t>
      </w:r>
      <w:r w:rsidRPr="00635E8C">
        <w:rPr>
          <w:rStyle w:val="LightItalic"/>
          <w:rFonts w:asciiTheme="minorHAnsi" w:hAnsiTheme="minorHAnsi" w:cstheme="minorHAnsi"/>
        </w:rPr>
        <w:t>Building Act 1993</w:t>
      </w:r>
      <w:r w:rsidRPr="00635E8C">
        <w:rPr>
          <w:rFonts w:asciiTheme="minorHAnsi" w:hAnsiTheme="minorHAnsi" w:cstheme="minorHAnsi"/>
        </w:rPr>
        <w:t>,</w:t>
      </w:r>
      <w:r>
        <w:t xml:space="preserve"> the Building Regulations 2018 and associated statutory requirements and amendments. Annual Essential Safety Measures Reports are undertaken by the facilities provider and a certificate is issued and displayed at each site.</w:t>
      </w:r>
      <w:r w:rsidR="00012C04">
        <w:t xml:space="preserve"> </w:t>
      </w:r>
      <w:r>
        <w:t>Dependent on the category of the building, an occupancy permit or a Certificate of Final Inspection is obtained when construction is completed. This includes new buildings and upgrades to existing facilities.</w:t>
      </w:r>
    </w:p>
    <w:p w14:paraId="494CCB01" w14:textId="2184F0C0" w:rsidR="00B02873" w:rsidRDefault="00B02873" w:rsidP="00635E8C">
      <w:pPr>
        <w:pStyle w:val="Heading3"/>
      </w:pPr>
      <w:r>
        <w:t>Combustible cladding</w:t>
      </w:r>
    </w:p>
    <w:p w14:paraId="2214B6E3" w14:textId="77777777" w:rsidR="00B02873" w:rsidRDefault="00B02873" w:rsidP="00FE198A">
      <w:r>
        <w:t>The department is an occupant of 8 Nicholson Street, East Melbourne where combustible cladding was identified. The building owner embarked on a voluntary remedial program to remove external cladding. The initial program of works was completed in September 2019. Since the completion of the initial works, the building owner has made a further voluntary decision to replace all cladding on the exterior of the building. The north, west and south faces have all been completed, with the completion of the east side expected in late 2022.</w:t>
      </w:r>
    </w:p>
    <w:p w14:paraId="0FB8EDEC" w14:textId="77777777" w:rsidR="00B02873" w:rsidRDefault="00B02873" w:rsidP="00635E8C">
      <w:pPr>
        <w:pStyle w:val="Heading3"/>
      </w:pPr>
      <w:r>
        <w:t xml:space="preserve">Major Works Projects </w:t>
      </w:r>
    </w:p>
    <w:p w14:paraId="448C26D7" w14:textId="77777777" w:rsidR="00B02873" w:rsidRDefault="00B02873" w:rsidP="00635E8C">
      <w:pPr>
        <w:pStyle w:val="Normalbeforebullet"/>
      </w:pPr>
      <w:r>
        <w:t xml:space="preserve">Major works projects (over $50,000) commenced or completed in 2021-22 include: </w:t>
      </w:r>
    </w:p>
    <w:p w14:paraId="4FBAD11C" w14:textId="77777777" w:rsidR="00B02873" w:rsidRPr="006E3272" w:rsidRDefault="00B02873" w:rsidP="006E3272">
      <w:pPr>
        <w:pStyle w:val="Boldheader"/>
        <w:rPr>
          <w:rStyle w:val="Bold"/>
          <w:b/>
          <w:bCs/>
          <w:spacing w:val="-4"/>
        </w:rPr>
      </w:pPr>
      <w:r w:rsidRPr="006E3272">
        <w:rPr>
          <w:rStyle w:val="Bold"/>
          <w:b/>
          <w:bCs/>
          <w:spacing w:val="-4"/>
        </w:rPr>
        <w:t>Projects commenced:</w:t>
      </w:r>
    </w:p>
    <w:p w14:paraId="4CF4F231" w14:textId="77777777" w:rsidR="00B02873" w:rsidRDefault="00B02873" w:rsidP="00B02873">
      <w:pPr>
        <w:pStyle w:val="Bullet1Lists"/>
      </w:pPr>
      <w:r>
        <w:t>Altona concrete works</w:t>
      </w:r>
    </w:p>
    <w:p w14:paraId="6BFC2587" w14:textId="77777777" w:rsidR="00B02873" w:rsidRDefault="00B02873" w:rsidP="00B02873">
      <w:pPr>
        <w:pStyle w:val="Bullet1Lists"/>
      </w:pPr>
      <w:r>
        <w:t>Electric vehicle charging infrastructure installations</w:t>
      </w:r>
    </w:p>
    <w:p w14:paraId="4338A32E" w14:textId="77777777" w:rsidR="00B02873" w:rsidRDefault="00B02873" w:rsidP="006E3272">
      <w:pPr>
        <w:pStyle w:val="Bullet1Listslast"/>
      </w:pPr>
      <w:r>
        <w:t>Heyfield office and depot roof upgrade.</w:t>
      </w:r>
    </w:p>
    <w:p w14:paraId="6ED8EE5B" w14:textId="77777777" w:rsidR="00B02873" w:rsidRPr="006E3272" w:rsidRDefault="00B02873" w:rsidP="006E3272">
      <w:pPr>
        <w:pStyle w:val="Boldheader"/>
        <w:rPr>
          <w:rStyle w:val="Bold"/>
          <w:b/>
          <w:bCs/>
          <w:spacing w:val="-4"/>
        </w:rPr>
      </w:pPr>
      <w:r w:rsidRPr="006E3272">
        <w:rPr>
          <w:rStyle w:val="Bold"/>
          <w:b/>
          <w:bCs/>
          <w:spacing w:val="-4"/>
        </w:rPr>
        <w:t>Project completed:</w:t>
      </w:r>
    </w:p>
    <w:p w14:paraId="133D0050" w14:textId="77777777" w:rsidR="00B02873" w:rsidRDefault="00B02873" w:rsidP="00B02873">
      <w:pPr>
        <w:pStyle w:val="Bullet1Lists"/>
      </w:pPr>
      <w:r>
        <w:t>Chemical shed extension at Beaufort</w:t>
      </w:r>
    </w:p>
    <w:p w14:paraId="2641BC3B" w14:textId="77777777" w:rsidR="00B02873" w:rsidRDefault="00B02873" w:rsidP="00B02873">
      <w:pPr>
        <w:pStyle w:val="Bullet1Lists"/>
      </w:pPr>
      <w:r>
        <w:t>Casterton depot upgrade</w:t>
      </w:r>
    </w:p>
    <w:p w14:paraId="42DEDBA1" w14:textId="77777777" w:rsidR="00B02873" w:rsidRDefault="00B02873" w:rsidP="00B02873">
      <w:pPr>
        <w:pStyle w:val="Bullet1Lists"/>
      </w:pPr>
      <w:r>
        <w:t>Cavendish amenities upgrade</w:t>
      </w:r>
    </w:p>
    <w:p w14:paraId="7A9C922A" w14:textId="77777777" w:rsidR="00B02873" w:rsidRDefault="00B02873" w:rsidP="00B02873">
      <w:pPr>
        <w:pStyle w:val="Bullet1Lists"/>
      </w:pPr>
      <w:r>
        <w:t>Erica shed replacement</w:t>
      </w:r>
    </w:p>
    <w:p w14:paraId="63A05DED" w14:textId="77777777" w:rsidR="00B02873" w:rsidRDefault="00B02873" w:rsidP="00B02873">
      <w:pPr>
        <w:pStyle w:val="Bullet1Lists"/>
      </w:pPr>
      <w:r>
        <w:t>Ovens depot upgrade</w:t>
      </w:r>
    </w:p>
    <w:p w14:paraId="1A4032EE" w14:textId="77777777" w:rsidR="00B02873" w:rsidRDefault="00B02873" w:rsidP="00B02873">
      <w:pPr>
        <w:pStyle w:val="Bullet1Lists"/>
      </w:pPr>
      <w:r>
        <w:t>Marysville office and staff amenities refurbishment</w:t>
      </w:r>
    </w:p>
    <w:p w14:paraId="2BEE822B" w14:textId="77777777" w:rsidR="00B02873" w:rsidRDefault="00B02873" w:rsidP="00B02873">
      <w:pPr>
        <w:pStyle w:val="Bullet1Lists"/>
      </w:pPr>
      <w:r>
        <w:t>Rushworth staff amenities upgrade</w:t>
      </w:r>
    </w:p>
    <w:p w14:paraId="78047DD0" w14:textId="77777777" w:rsidR="00B02873" w:rsidRDefault="00B02873" w:rsidP="00B02873">
      <w:pPr>
        <w:pStyle w:val="Bullet1Lists"/>
      </w:pPr>
      <w:r>
        <w:t>St Arnaud depot upgrade</w:t>
      </w:r>
    </w:p>
    <w:p w14:paraId="5F5B9EBB" w14:textId="77777777" w:rsidR="00B02873" w:rsidRDefault="00B02873" w:rsidP="00B02873">
      <w:pPr>
        <w:pStyle w:val="Bullet1Lists"/>
      </w:pPr>
      <w:r>
        <w:t>Dangerous goods and hazardous substances storage upgrade at Bairnsdale</w:t>
      </w:r>
    </w:p>
    <w:p w14:paraId="58E543AC" w14:textId="77777777" w:rsidR="00B02873" w:rsidRDefault="00B02873" w:rsidP="006E3272">
      <w:pPr>
        <w:pStyle w:val="Bullet1Listslast"/>
      </w:pPr>
      <w:r>
        <w:t>2 Lonsdale Street Melbourne tenancy upgrades.</w:t>
      </w:r>
    </w:p>
    <w:p w14:paraId="6E621238" w14:textId="614F9FF8" w:rsidR="00B02873" w:rsidRDefault="00B02873" w:rsidP="006E3272">
      <w:pPr>
        <w:pStyle w:val="Heading3"/>
      </w:pPr>
      <w:r>
        <w:t xml:space="preserve">Maintenance of buildings in a safe and serviceable condition </w:t>
      </w:r>
    </w:p>
    <w:p w14:paraId="4361EE65" w14:textId="46B8CAC1" w:rsidR="00B02873" w:rsidRDefault="00B02873" w:rsidP="00FE198A">
      <w:r>
        <w:rPr>
          <w:spacing w:val="-4"/>
        </w:rPr>
        <w:t>DTF SSP and DELWP are responsible for maintaining buildings in a safe and serviceable condition and for providing annual essential safety measures reports for the assets, along with condition assessments.</w:t>
      </w:r>
    </w:p>
    <w:p w14:paraId="1F0382DE" w14:textId="77777777" w:rsidR="00B02873" w:rsidRDefault="00B02873" w:rsidP="00FE198A">
      <w:r>
        <w:t>Quality assurance, performance measures and governance are incorporated into the contract with the department’s directly managed outsourced facilities provider, to ensure that contract requirements are met and standards are maintained in accordance with legislative requirements.</w:t>
      </w:r>
    </w:p>
    <w:p w14:paraId="64C040E2" w14:textId="3A4729E7" w:rsidR="00B02873" w:rsidRDefault="00B02873" w:rsidP="00DC65F8">
      <w:pPr>
        <w:pStyle w:val="Heading2Headings"/>
      </w:pPr>
      <w:bookmarkStart w:id="42" w:name="_Ref116976753"/>
      <w:r>
        <w:lastRenderedPageBreak/>
        <w:t xml:space="preserve">Compliance with the </w:t>
      </w:r>
      <w:r w:rsidRPr="00DC65F8">
        <w:rPr>
          <w:i/>
          <w:iCs/>
        </w:rPr>
        <w:t>Caulfield Racecourse Reserve Act 2017</w:t>
      </w:r>
      <w:bookmarkEnd w:id="42"/>
    </w:p>
    <w:p w14:paraId="3E860DD2" w14:textId="77777777" w:rsidR="00B02873" w:rsidRDefault="00B02873" w:rsidP="00FE198A">
      <w:r>
        <w:t xml:space="preserve">The </w:t>
      </w:r>
      <w:r w:rsidRPr="006E3272">
        <w:rPr>
          <w:rStyle w:val="LightItalic"/>
          <w:rFonts w:asciiTheme="minorHAnsi" w:hAnsiTheme="minorHAnsi" w:cstheme="minorHAnsi"/>
        </w:rPr>
        <w:t>Caulfield Racecourse Reserve Act 2017</w:t>
      </w:r>
      <w:r>
        <w:t xml:space="preserve"> became effective in November 2017. On 1 August 2018, pursuant to Section 2(3) of the Act, management was vested in the Caulfield Racecourse Reserve Trust. Trustees were appointed effective 1 August 2018. Section 32 of the Act provides for DELWP to include in its annual report of operations for each financial year, details regarding the use of the Caulfield Racecourse Reserve for the purposes of recreation and for public park purposes during that year.</w:t>
      </w:r>
    </w:p>
    <w:p w14:paraId="37CD0476" w14:textId="10F6AFF2" w:rsidR="00B02873" w:rsidRDefault="00B02873" w:rsidP="00FE198A">
      <w:r>
        <w:t>The Caulfield Racecourse Reserve Land Management Plan outlines long term directions for the use of the reserve for the purposes of racing, recreation and as a public park.</w:t>
      </w:r>
      <w:r w:rsidR="00012C04">
        <w:t xml:space="preserve"> </w:t>
      </w:r>
      <w:r>
        <w:t xml:space="preserve">Work and approvals with Heritage Victoria are in progress to facilitate and secure funding for the first stage of projects outlined in the plan. This includes further public access in the north of the reserve consisting of landscaping, a new mounting yard and administration building. </w:t>
      </w:r>
    </w:p>
    <w:p w14:paraId="4F30EE2B" w14:textId="77777777" w:rsidR="00B02873" w:rsidRDefault="00B02873" w:rsidP="00FE198A">
      <w:r>
        <w:t>Use of the Caulfield Racecourse Reserve for the purposes of recreation and public park purposes over 2021-22 was largely for passive recreation and racing events.</w:t>
      </w:r>
    </w:p>
    <w:p w14:paraId="232DD684" w14:textId="77777777" w:rsidR="00B02873" w:rsidRDefault="00B02873" w:rsidP="00FE198A">
      <w:r>
        <w:t>The reserve is open to the public every day of the year (except race days), from 9:45 am to sunset.</w:t>
      </w:r>
    </w:p>
    <w:p w14:paraId="308B5933" w14:textId="58D088EE" w:rsidR="00B02873" w:rsidRDefault="00B02873" w:rsidP="00DC65F8">
      <w:pPr>
        <w:pStyle w:val="Heading2Headings"/>
      </w:pPr>
      <w:bookmarkStart w:id="43" w:name="_Ref116978619"/>
      <w:r>
        <w:t xml:space="preserve">Compliance with the </w:t>
      </w:r>
      <w:r w:rsidRPr="006E3272">
        <w:rPr>
          <w:i/>
          <w:iCs/>
        </w:rPr>
        <w:t>Heritage Act 2017</w:t>
      </w:r>
      <w:bookmarkEnd w:id="43"/>
    </w:p>
    <w:p w14:paraId="6CE9CBCC" w14:textId="77777777" w:rsidR="00B02873" w:rsidRDefault="00B02873" w:rsidP="006E3272">
      <w:pPr>
        <w:pStyle w:val="Heading3"/>
      </w:pPr>
      <w:r>
        <w:t xml:space="preserve">Guidelines and practices to improve heritage works and activities approvals </w:t>
      </w:r>
    </w:p>
    <w:p w14:paraId="603C3BE1" w14:textId="20CA8665" w:rsidR="00B02873" w:rsidRDefault="00B02873" w:rsidP="00FE198A">
      <w:r>
        <w:rPr>
          <w:spacing w:val="2"/>
        </w:rPr>
        <w:t xml:space="preserve">Section 92(1) of the </w:t>
      </w:r>
      <w:r w:rsidRPr="006E3272">
        <w:rPr>
          <w:rStyle w:val="LightItalic"/>
          <w:rFonts w:asciiTheme="minorHAnsi" w:hAnsiTheme="minorHAnsi" w:cstheme="minorHAnsi"/>
          <w:spacing w:val="2"/>
        </w:rPr>
        <w:t>Heritage Act 2017</w:t>
      </w:r>
      <w:r>
        <w:rPr>
          <w:spacing w:val="2"/>
        </w:rPr>
        <w:t xml:space="preserve"> allows for the Heritage Council, on the recommendation of the Executive Director Heritage Victoria, to determine categories of works or activities that may be undertaken to a registered place or object without a permit. The Incentivising Low Harm Proposals Project, which commenced in 2022, aims to reduce the regulatory burden of the statutory approval process by introducing 13 categories of permit exempt works or activities in accordance with section 92(1) of the Act. To 30 June 2022, seven of the 13 standing exemption categories are complete, and a further four have commenced. The project has also delivered guidelines for solar installations and heritage protection plans to improve the processing of low harm permit applications, and a guideline for subdivision is scheduled for completion by August 2022</w:t>
      </w:r>
      <w:r w:rsidR="006E3272">
        <w:rPr>
          <w:spacing w:val="2"/>
        </w:rPr>
        <w:t>.</w:t>
      </w:r>
    </w:p>
    <w:p w14:paraId="01D220CD" w14:textId="77777777" w:rsidR="00B02873" w:rsidRDefault="00B02873" w:rsidP="006E3272">
      <w:pPr>
        <w:pStyle w:val="Heading3"/>
      </w:pPr>
      <w:r>
        <w:t>Compliance with World Heritage provisions</w:t>
      </w:r>
    </w:p>
    <w:p w14:paraId="754107D3" w14:textId="77777777" w:rsidR="00B02873" w:rsidRDefault="00B02873" w:rsidP="00FE198A">
      <w:r>
        <w:t>The Act requires the preparation of a World Heritage Management Plan for a place included in the Victorian Heritage Register and the World Heritage List and for that plan to be reviewed every seven years. The review of the World Heritage Management Plan for the Royal Exhibition Building and Carlton Gardens commenced in 2020-21 with the review of the Plan’s component parts and continued in 2021-22 with the development of a new draft Overview Site Management Plan. The Overview Site Management Plan is expected to form Part 1 of the World Heritage Management Plan and will be available for public submissions in accordance with section 185 of the Act later in 2022.</w:t>
      </w:r>
    </w:p>
    <w:p w14:paraId="5AD62210" w14:textId="77777777" w:rsidR="00B02873" w:rsidRDefault="00B02873" w:rsidP="006E3272">
      <w:pPr>
        <w:pStyle w:val="Heading3"/>
      </w:pPr>
      <w:r>
        <w:t>Exemptions</w:t>
      </w:r>
    </w:p>
    <w:p w14:paraId="63E5ACAE" w14:textId="77777777" w:rsidR="00B02873" w:rsidRDefault="00B02873" w:rsidP="00FE198A">
      <w:r>
        <w:rPr>
          <w:spacing w:val="2"/>
        </w:rPr>
        <w:t xml:space="preserve">Section 34(4) and 131(5) of the </w:t>
      </w:r>
      <w:r w:rsidRPr="006E3272">
        <w:rPr>
          <w:rStyle w:val="LightItalic"/>
          <w:rFonts w:asciiTheme="minorHAnsi" w:hAnsiTheme="minorHAnsi" w:cstheme="minorHAnsi"/>
          <w:spacing w:val="2"/>
        </w:rPr>
        <w:t>Heritage Act 2017</w:t>
      </w:r>
      <w:r w:rsidRPr="006E3272">
        <w:rPr>
          <w:rFonts w:asciiTheme="minorHAnsi" w:hAnsiTheme="minorHAnsi" w:cstheme="minorHAnsi"/>
          <w:spacing w:val="2"/>
        </w:rPr>
        <w:t xml:space="preserve"> </w:t>
      </w:r>
      <w:r>
        <w:rPr>
          <w:spacing w:val="2"/>
        </w:rPr>
        <w:t xml:space="preserve">requires that details of any exemptions to issue notices of nominations, or notices of recommendation for sites of archaeological value are included in the department’s report of operations. In 2021-22, no exemptions to issue notices were made under s34(4) or s131(5) of the </w:t>
      </w:r>
      <w:r w:rsidRPr="006E3272">
        <w:rPr>
          <w:rStyle w:val="LightItalic"/>
          <w:rFonts w:asciiTheme="minorHAnsi" w:hAnsiTheme="minorHAnsi" w:cstheme="minorHAnsi"/>
          <w:spacing w:val="2"/>
        </w:rPr>
        <w:t>Heritage Act 2017</w:t>
      </w:r>
      <w:r w:rsidRPr="006E3272">
        <w:rPr>
          <w:rFonts w:asciiTheme="minorHAnsi" w:hAnsiTheme="minorHAnsi" w:cstheme="minorHAnsi"/>
          <w:spacing w:val="2"/>
        </w:rPr>
        <w:t>.</w:t>
      </w:r>
    </w:p>
    <w:p w14:paraId="7D1E8C7D" w14:textId="77777777" w:rsidR="00B02873" w:rsidRDefault="00B02873" w:rsidP="00DC65F8">
      <w:pPr>
        <w:pStyle w:val="Heading2Headings"/>
      </w:pPr>
      <w:bookmarkStart w:id="44" w:name="_Ref116978900"/>
      <w:r>
        <w:lastRenderedPageBreak/>
        <w:t xml:space="preserve">Compliance with the </w:t>
      </w:r>
      <w:r w:rsidRPr="00DC65F8">
        <w:rPr>
          <w:i/>
          <w:iCs/>
        </w:rPr>
        <w:t>Marine and Coastal Act 2018</w:t>
      </w:r>
      <w:bookmarkEnd w:id="44"/>
    </w:p>
    <w:p w14:paraId="18008C3A" w14:textId="77777777" w:rsidR="00B02873" w:rsidRDefault="00B02873" w:rsidP="00FE198A">
      <w:r>
        <w:t xml:space="preserve">The </w:t>
      </w:r>
      <w:r w:rsidRPr="006E3272">
        <w:rPr>
          <w:rStyle w:val="LightItalic"/>
          <w:rFonts w:asciiTheme="minorHAnsi" w:hAnsiTheme="minorHAnsi" w:cstheme="minorHAnsi"/>
        </w:rPr>
        <w:t>Marine and Coastal Act 2018</w:t>
      </w:r>
      <w:r w:rsidRPr="00DE1FCE">
        <w:rPr>
          <w:rStyle w:val="LightItalic"/>
          <w:rFonts w:ascii="Arial" w:hAnsi="Arial"/>
        </w:rPr>
        <w:t xml:space="preserve"> </w:t>
      </w:r>
      <w:r>
        <w:t>(the Act) sets objectives and guiding principles for the planning and management of the state’s marine and coastal environments. It establishes an integrated and coordinated whole-of-government approach to work with Traditional Owners, industry and the community to protect and manage our marine and coastal environments.</w:t>
      </w:r>
    </w:p>
    <w:p w14:paraId="68104770" w14:textId="77777777" w:rsidR="00B02873" w:rsidRDefault="00B02873" w:rsidP="00FE198A">
      <w:r>
        <w:t>To achieve the objectives of the Act, DELWP released the Marine and Coastal Strategy 2022 in May 2022. The Strategy consists of six actions to improve marine and coastal management and planning across the state over the next five years. The Strategy was developed with input from other state government departments, local government, peak bodies and community groups. The Strategy will put into practice the Marine and Coastal Policy 2020.</w:t>
      </w:r>
    </w:p>
    <w:p w14:paraId="539180A2" w14:textId="7CDDEB68" w:rsidR="00B02873" w:rsidRDefault="00B02873" w:rsidP="006E3272">
      <w:pPr>
        <w:pStyle w:val="Heading3"/>
      </w:pPr>
      <w:r>
        <w:t>Regional and Strategic Partnerships</w:t>
      </w:r>
    </w:p>
    <w:p w14:paraId="1000A4BD" w14:textId="79D12BEB" w:rsidR="00B02873" w:rsidRDefault="00B02873" w:rsidP="00FE198A">
      <w:r>
        <w:t>Under the Act, the Inverloch Regional and Strategic Partnership was created to address ongoing and future erosion and inundation impacts.</w:t>
      </w:r>
      <w:r w:rsidR="00012C04">
        <w:t xml:space="preserve"> </w:t>
      </w:r>
      <w:r>
        <w:t xml:space="preserve">Stage 1 of the Inverloch Regional and Strategic Partnership’s Cape to Cape Resilience Project was completed in June 2022. This stage produced a comprehensive body of work including new research on coastal processes, detailed coastal hazard mapping, risk and vulnerability assessment, economics and community values, all presented in a series of reports drafted to align with </w:t>
      </w:r>
      <w:r w:rsidRPr="006E3272">
        <w:rPr>
          <w:rStyle w:val="LightItalic"/>
          <w:rFonts w:asciiTheme="minorHAnsi" w:hAnsiTheme="minorHAnsi" w:cstheme="minorHAnsi"/>
        </w:rPr>
        <w:t>Victoria’s Resilient Coast 2100+ Framework and Guidelines</w:t>
      </w:r>
      <w:r w:rsidRPr="006E3272">
        <w:rPr>
          <w:rFonts w:asciiTheme="minorHAnsi" w:hAnsiTheme="minorHAnsi" w:cstheme="minorHAnsi"/>
        </w:rPr>
        <w:t>.</w:t>
      </w:r>
      <w:r>
        <w:t xml:space="preserve"> The significant research dataset created through the work of the Regional and Strategic Partnership will be used in the development of the Cape to Cape Resilience Plan during 2022-23 as part of Stage 2 to enable the partners, community and stakeholders to collaboratively respond to erosion and inundation facing the Inverloch region over the next 80+ years.</w:t>
      </w:r>
      <w:r w:rsidR="00012C04">
        <w:t xml:space="preserve"> </w:t>
      </w:r>
    </w:p>
    <w:p w14:paraId="03BCB0FE" w14:textId="50713C14" w:rsidR="00B02873" w:rsidRDefault="00B02873" w:rsidP="006E3272">
      <w:pPr>
        <w:pStyle w:val="Heading3"/>
      </w:pPr>
      <w:r>
        <w:t>Environmental Management Plans</w:t>
      </w:r>
    </w:p>
    <w:p w14:paraId="78DEBAF0" w14:textId="4AFE54D2" w:rsidR="00B02873" w:rsidRDefault="00B02873" w:rsidP="00FE198A">
      <w:r>
        <w:t xml:space="preserve">Under the Act, DELWP, in collaboration with Melbourne Water and the Environment Protection Authority Victoria, is responsible for implementing the </w:t>
      </w:r>
      <w:r w:rsidRPr="006E3272">
        <w:rPr>
          <w:rStyle w:val="LightItalic"/>
          <w:rFonts w:asciiTheme="minorHAnsi" w:hAnsiTheme="minorHAnsi" w:cstheme="minorHAnsi"/>
        </w:rPr>
        <w:t>Port Phillip Bay Environmental Management Plan 2017-2027</w:t>
      </w:r>
      <w:r w:rsidRPr="006E3272">
        <w:rPr>
          <w:rFonts w:asciiTheme="minorHAnsi" w:hAnsiTheme="minorHAnsi" w:cstheme="minorHAnsi"/>
        </w:rPr>
        <w:t xml:space="preserve"> </w:t>
      </w:r>
      <w:r>
        <w:t>(Port Phillip Bay EMP). The Port Phillip Bay EMP represents the Victorian Government’s ongoing commitment to ensuring that Port Phillip Bay remains healthy and resilient over the coming decade.</w:t>
      </w:r>
      <w:r w:rsidR="00012C04">
        <w:t xml:space="preserve"> </w:t>
      </w:r>
    </w:p>
    <w:p w14:paraId="13B69202" w14:textId="77777777" w:rsidR="00B02873" w:rsidRDefault="00B02873" w:rsidP="00FE198A">
      <w:r>
        <w:t xml:space="preserve">The 2020-21 Port Phillip Bay EMP Annual Report and 2021 Delivery Plan Update is scheduled for release in October 2022. Released in a new interactive format, for the first time this publication will include report cards for stewardship and marine biodiversity. The Delivery Plan update includes an additional 46 new projects bringing the total to 237 projects. These projects will be delivered by key Victorian Government agencies and community stakeholder groups to achieve the EMP’s three goals: improved stewardship of the Bay, improved water quality and thriving marine biodiversity. </w:t>
      </w:r>
    </w:p>
    <w:p w14:paraId="5E0C2447" w14:textId="12B1C3E2" w:rsidR="00B02873" w:rsidRDefault="00B02873" w:rsidP="00234587">
      <w:pPr>
        <w:pStyle w:val="Heading3"/>
      </w:pPr>
      <w:r>
        <w:t>Coastal and Marine Management Plans</w:t>
      </w:r>
    </w:p>
    <w:p w14:paraId="12D8918F" w14:textId="77777777" w:rsidR="00B02873" w:rsidRDefault="00B02873" w:rsidP="00234587">
      <w:pPr>
        <w:pStyle w:val="Normalbeforebullet"/>
      </w:pPr>
      <w:r>
        <w:t>A Coastal and Marine Management Plan is prepared under the Act to establish an agreement between the Victorian Government, the land manager and community about how an area of coastal Victoria will be managed. Victoria currently has eight approved Coastal and Marine Management plans:</w:t>
      </w:r>
    </w:p>
    <w:p w14:paraId="1954E5A8" w14:textId="77777777" w:rsidR="00B02873" w:rsidRDefault="00B02873" w:rsidP="00B02873">
      <w:pPr>
        <w:pStyle w:val="Bullet1Lists"/>
      </w:pPr>
      <w:r>
        <w:t>Barwon Coast Coastal and Marine Management Plan 2020-2025</w:t>
      </w:r>
    </w:p>
    <w:p w14:paraId="68FB152D" w14:textId="77777777" w:rsidR="00B02873" w:rsidRDefault="00B02873" w:rsidP="00B02873">
      <w:pPr>
        <w:pStyle w:val="Bullet1Lists"/>
      </w:pPr>
      <w:r>
        <w:t xml:space="preserve">Bells Beach Surfing Recreation Reserve Coastal and Marine Management Plan 2015-2025 </w:t>
      </w:r>
    </w:p>
    <w:p w14:paraId="03685391" w14:textId="77777777" w:rsidR="00B02873" w:rsidRDefault="00B02873" w:rsidP="00B02873">
      <w:pPr>
        <w:pStyle w:val="Bullet1Lists"/>
      </w:pPr>
      <w:r>
        <w:t>Great Ocean Road Coasts and Parks Authority Coastal and Marine Management Plan 2020-2025</w:t>
      </w:r>
    </w:p>
    <w:p w14:paraId="545A8A96" w14:textId="77777777" w:rsidR="00B02873" w:rsidRDefault="00B02873" w:rsidP="00B02873">
      <w:pPr>
        <w:pStyle w:val="Bullet1Lists"/>
      </w:pPr>
      <w:r>
        <w:t xml:space="preserve">Mount Martha Coastal and Marine Management Plan 2019 </w:t>
      </w:r>
    </w:p>
    <w:p w14:paraId="30837D13" w14:textId="77777777" w:rsidR="00B02873" w:rsidRDefault="00B02873" w:rsidP="00B02873">
      <w:pPr>
        <w:pStyle w:val="Bullet1Lists"/>
      </w:pPr>
      <w:r>
        <w:t xml:space="preserve">Northern Bellarine Coastal and Marine Management Plan 2020-2025 </w:t>
      </w:r>
    </w:p>
    <w:p w14:paraId="3F6220E9" w14:textId="77777777" w:rsidR="00B02873" w:rsidRDefault="00B02873" w:rsidP="00B02873">
      <w:pPr>
        <w:pStyle w:val="Bullet1Lists"/>
      </w:pPr>
      <w:r>
        <w:t xml:space="preserve">Sorrento Foreshore Coastal and Marine Management Plan 2018 </w:t>
      </w:r>
    </w:p>
    <w:p w14:paraId="329570C6" w14:textId="77777777" w:rsidR="00B02873" w:rsidRDefault="00B02873" w:rsidP="00B02873">
      <w:pPr>
        <w:pStyle w:val="Bullet1Lists"/>
      </w:pPr>
      <w:r>
        <w:lastRenderedPageBreak/>
        <w:t xml:space="preserve">Whitecliffs to Camerons Bight Foreshore Reserve Coastal and Marine Management Plan 2019-2024 </w:t>
      </w:r>
    </w:p>
    <w:p w14:paraId="2A142583" w14:textId="77777777" w:rsidR="00B02873" w:rsidRDefault="00B02873" w:rsidP="00234587">
      <w:pPr>
        <w:pStyle w:val="Bullet1Listslast"/>
      </w:pPr>
      <w:r>
        <w:t>Wyndham Coastal and Marine Management Plan 2020-2025.</w:t>
      </w:r>
    </w:p>
    <w:p w14:paraId="61EFD44D" w14:textId="77777777" w:rsidR="00B02873" w:rsidRDefault="00B02873" w:rsidP="00234587">
      <w:pPr>
        <w:pStyle w:val="Heading3"/>
      </w:pPr>
      <w:r>
        <w:t>Consents</w:t>
      </w:r>
    </w:p>
    <w:p w14:paraId="48B07347" w14:textId="77777777" w:rsidR="00B02873" w:rsidRDefault="00B02873" w:rsidP="00234587">
      <w:pPr>
        <w:pStyle w:val="Normalbeforebullet"/>
      </w:pPr>
      <w:r>
        <w:t>All use, development or works on marine and coastal Crown land by any party, including committees of management and local government, requires consent under the Act. There are three DELWP regions that cover the marine and coastal environment: Gippsland, Port Phillip, and Barwon South West. In 2021-22:</w:t>
      </w:r>
    </w:p>
    <w:p w14:paraId="34433473" w14:textId="77777777" w:rsidR="00B02873" w:rsidRDefault="00B02873" w:rsidP="00B02873">
      <w:pPr>
        <w:pStyle w:val="Bullet1Lists"/>
      </w:pPr>
      <w:r>
        <w:t xml:space="preserve">Barwon South West region granted 82 consents </w:t>
      </w:r>
    </w:p>
    <w:p w14:paraId="113FE876" w14:textId="77777777" w:rsidR="00B02873" w:rsidRDefault="00B02873" w:rsidP="00B02873">
      <w:pPr>
        <w:pStyle w:val="Bullet1Lists"/>
      </w:pPr>
      <w:r>
        <w:t>Gippsland region granted 52 consents; and</w:t>
      </w:r>
    </w:p>
    <w:p w14:paraId="5BC5B1AF" w14:textId="77777777" w:rsidR="00B02873" w:rsidRDefault="00B02873" w:rsidP="00234587">
      <w:pPr>
        <w:pStyle w:val="Bullet1Listslast"/>
      </w:pPr>
      <w:r>
        <w:t>Port Phillip region granted 124 consents.</w:t>
      </w:r>
    </w:p>
    <w:p w14:paraId="4A3E76F7" w14:textId="77777777" w:rsidR="00B02873" w:rsidRDefault="00B02873" w:rsidP="00DC65F8">
      <w:pPr>
        <w:pStyle w:val="Heading2Headings"/>
      </w:pPr>
      <w:bookmarkStart w:id="45" w:name="_Ref116978932"/>
      <w:r>
        <w:t xml:space="preserve">Compliance with the </w:t>
      </w:r>
      <w:r w:rsidRPr="00DC65F8">
        <w:rPr>
          <w:i/>
          <w:iCs/>
        </w:rPr>
        <w:t>Melbourne Strategic Assessment (Environment Mitigation Levy) Act 2020</w:t>
      </w:r>
      <w:bookmarkEnd w:id="45"/>
    </w:p>
    <w:p w14:paraId="5966CD40" w14:textId="77777777" w:rsidR="00B02873" w:rsidRDefault="00B02873" w:rsidP="00FE198A">
      <w:r>
        <w:t xml:space="preserve">The </w:t>
      </w:r>
      <w:r w:rsidRPr="00234587">
        <w:rPr>
          <w:rStyle w:val="LightItalic"/>
          <w:rFonts w:asciiTheme="minorHAnsi" w:hAnsiTheme="minorHAnsi" w:cstheme="minorHAnsi"/>
        </w:rPr>
        <w:t>Melbourne Strategic Assessment (Environment Mitigation Levy) Act 2020</w:t>
      </w:r>
      <w:r>
        <w:t xml:space="preserve"> provides a legislative framework for the Melbourne Strategic Assessment program. It imposes a levy to fund mitigation measures for impacts on biodiversity caused by the development of Melbourne’s growth corridors. The levy is paid into the Melbourne Strategic Assessment Fund and goes towards conservation reserves and programs.</w:t>
      </w:r>
    </w:p>
    <w:p w14:paraId="57DD0330" w14:textId="160EE479" w:rsidR="00B02873" w:rsidRDefault="00B02873" w:rsidP="00234587">
      <w:pPr>
        <w:pStyle w:val="Normalbeforebullet"/>
      </w:pPr>
      <w:r>
        <w:t>Details of the income and expenditure of the Melbourne Strategic Assessment Fund and the balance of the fund for the financial year (ending 30 June 2022) are set out in the table below:</w:t>
      </w:r>
    </w:p>
    <w:tbl>
      <w:tblPr>
        <w:tblStyle w:val="TableGrid"/>
        <w:tblW w:w="0" w:type="auto"/>
        <w:tblLayout w:type="fixed"/>
        <w:tblLook w:val="0020" w:firstRow="1" w:lastRow="0" w:firstColumn="0" w:lastColumn="0" w:noHBand="0" w:noVBand="0"/>
      </w:tblPr>
      <w:tblGrid>
        <w:gridCol w:w="4531"/>
        <w:gridCol w:w="1370"/>
      </w:tblGrid>
      <w:tr w:rsidR="00B02873" w:rsidRPr="00B02873" w14:paraId="7A31B9F9" w14:textId="77777777" w:rsidTr="00234587">
        <w:trPr>
          <w:cnfStyle w:val="100000000000" w:firstRow="1" w:lastRow="0" w:firstColumn="0" w:lastColumn="0" w:oddVBand="0" w:evenVBand="0" w:oddHBand="0" w:evenHBand="0" w:firstRowFirstColumn="0" w:firstRowLastColumn="0" w:lastRowFirstColumn="0" w:lastRowLastColumn="0"/>
          <w:trHeight w:val="481"/>
          <w:tblHeader/>
        </w:trPr>
        <w:tc>
          <w:tcPr>
            <w:tcW w:w="4531" w:type="dxa"/>
          </w:tcPr>
          <w:p w14:paraId="54D03AB4" w14:textId="545FB4AC" w:rsidR="00B02873" w:rsidRDefault="00B02873" w:rsidP="00234587">
            <w:pPr>
              <w:pStyle w:val="TableheadingleftTables"/>
            </w:pPr>
            <w:r>
              <w:t>Melbourne Strategic Assessment Fund</w:t>
            </w:r>
          </w:p>
        </w:tc>
        <w:tc>
          <w:tcPr>
            <w:tcW w:w="1370" w:type="dxa"/>
          </w:tcPr>
          <w:p w14:paraId="5368E54E" w14:textId="77777777" w:rsidR="00B02873" w:rsidRDefault="00B02873" w:rsidP="00B32DB2">
            <w:pPr>
              <w:pStyle w:val="TableheadingleftTables"/>
              <w:jc w:val="right"/>
            </w:pPr>
            <w:r>
              <w:t>($ million)</w:t>
            </w:r>
          </w:p>
        </w:tc>
      </w:tr>
      <w:tr w:rsidR="00B02873" w:rsidRPr="00B02873" w14:paraId="40B8C7FA" w14:textId="77777777" w:rsidTr="00234587">
        <w:trPr>
          <w:trHeight w:val="60"/>
        </w:trPr>
        <w:tc>
          <w:tcPr>
            <w:tcW w:w="4531" w:type="dxa"/>
          </w:tcPr>
          <w:p w14:paraId="60B88116" w14:textId="77777777" w:rsidR="00B02873" w:rsidRDefault="00B02873" w:rsidP="00B415A9">
            <w:pPr>
              <w:pStyle w:val="TablebodyleftTables"/>
            </w:pPr>
            <w:r>
              <w:t>Opening Balance</w:t>
            </w:r>
          </w:p>
        </w:tc>
        <w:tc>
          <w:tcPr>
            <w:tcW w:w="1370" w:type="dxa"/>
          </w:tcPr>
          <w:p w14:paraId="213D1E1B" w14:textId="77777777" w:rsidR="00B02873" w:rsidRDefault="00B02873" w:rsidP="00B32DB2">
            <w:pPr>
              <w:pStyle w:val="TablebodyleftTables"/>
              <w:jc w:val="right"/>
            </w:pPr>
            <w:r>
              <w:t>64.30</w:t>
            </w:r>
          </w:p>
        </w:tc>
      </w:tr>
      <w:tr w:rsidR="00B02873" w:rsidRPr="00B02873" w14:paraId="79198BE7" w14:textId="77777777" w:rsidTr="00234587">
        <w:trPr>
          <w:trHeight w:val="60"/>
        </w:trPr>
        <w:tc>
          <w:tcPr>
            <w:tcW w:w="4531" w:type="dxa"/>
          </w:tcPr>
          <w:p w14:paraId="0BDC9751" w14:textId="77777777" w:rsidR="00B02873" w:rsidRDefault="00B02873" w:rsidP="00B415A9">
            <w:pPr>
              <w:pStyle w:val="TablebodyleftTables"/>
            </w:pPr>
            <w:r>
              <w:t>Income</w:t>
            </w:r>
          </w:p>
        </w:tc>
        <w:tc>
          <w:tcPr>
            <w:tcW w:w="1370" w:type="dxa"/>
          </w:tcPr>
          <w:p w14:paraId="28A5BB92" w14:textId="77777777" w:rsidR="00B02873" w:rsidRDefault="00B02873" w:rsidP="00B32DB2">
            <w:pPr>
              <w:pStyle w:val="TablebodyleftTables"/>
              <w:jc w:val="right"/>
            </w:pPr>
            <w:r>
              <w:t>51.70</w:t>
            </w:r>
          </w:p>
        </w:tc>
      </w:tr>
      <w:tr w:rsidR="00B02873" w:rsidRPr="00B02873" w14:paraId="29A0C3A2" w14:textId="77777777" w:rsidTr="00234587">
        <w:trPr>
          <w:trHeight w:val="60"/>
        </w:trPr>
        <w:tc>
          <w:tcPr>
            <w:tcW w:w="4531" w:type="dxa"/>
          </w:tcPr>
          <w:p w14:paraId="64192223" w14:textId="77777777" w:rsidR="00B02873" w:rsidRDefault="00B02873" w:rsidP="00B415A9">
            <w:pPr>
              <w:pStyle w:val="TablebodyleftTables"/>
            </w:pPr>
            <w:r>
              <w:t>Expenditure</w:t>
            </w:r>
          </w:p>
        </w:tc>
        <w:tc>
          <w:tcPr>
            <w:tcW w:w="1370" w:type="dxa"/>
          </w:tcPr>
          <w:p w14:paraId="333F976B" w14:textId="77777777" w:rsidR="00B02873" w:rsidRDefault="00B02873" w:rsidP="00B32DB2">
            <w:pPr>
              <w:pStyle w:val="TablebodyleftTables"/>
              <w:jc w:val="right"/>
            </w:pPr>
            <w:r>
              <w:t>(44.59)</w:t>
            </w:r>
          </w:p>
        </w:tc>
      </w:tr>
      <w:tr w:rsidR="00B02873" w:rsidRPr="00B02873" w14:paraId="2415E02D" w14:textId="77777777" w:rsidTr="00234587">
        <w:trPr>
          <w:trHeight w:val="60"/>
        </w:trPr>
        <w:tc>
          <w:tcPr>
            <w:tcW w:w="4531" w:type="dxa"/>
          </w:tcPr>
          <w:p w14:paraId="177DD693" w14:textId="77777777" w:rsidR="00B02873" w:rsidRDefault="00B02873" w:rsidP="00B415A9">
            <w:pPr>
              <w:pStyle w:val="TablebodyleftTables"/>
            </w:pPr>
            <w:r>
              <w:t>Closing Balance</w:t>
            </w:r>
          </w:p>
        </w:tc>
        <w:tc>
          <w:tcPr>
            <w:tcW w:w="1370" w:type="dxa"/>
          </w:tcPr>
          <w:p w14:paraId="519D8C22" w14:textId="77777777" w:rsidR="00B02873" w:rsidRDefault="00B02873" w:rsidP="00B32DB2">
            <w:pPr>
              <w:pStyle w:val="TablebodyleftTables"/>
              <w:jc w:val="right"/>
            </w:pPr>
            <w:r>
              <w:t>71.41</w:t>
            </w:r>
          </w:p>
        </w:tc>
      </w:tr>
    </w:tbl>
    <w:p w14:paraId="71BFE41A" w14:textId="77777777" w:rsidR="00B02873" w:rsidRDefault="00B02873" w:rsidP="00DC65F8">
      <w:pPr>
        <w:pStyle w:val="Heading2Headings"/>
      </w:pPr>
      <w:bookmarkStart w:id="46" w:name="_Ref116978397"/>
      <w:r>
        <w:t xml:space="preserve">Compliance with the </w:t>
      </w:r>
      <w:r w:rsidRPr="00DC65F8">
        <w:rPr>
          <w:i/>
          <w:iCs/>
        </w:rPr>
        <w:t>Flora and Fauna Guarantee Act 1988</w:t>
      </w:r>
      <w:bookmarkEnd w:id="46"/>
    </w:p>
    <w:p w14:paraId="699EBB4B" w14:textId="40D4611D" w:rsidR="00B02873" w:rsidRDefault="00B02873" w:rsidP="00FE198A">
      <w:r>
        <w:t xml:space="preserve">The </w:t>
      </w:r>
      <w:r w:rsidRPr="00234587">
        <w:rPr>
          <w:rStyle w:val="LightItalic"/>
          <w:rFonts w:asciiTheme="minorHAnsi" w:hAnsiTheme="minorHAnsi" w:cstheme="minorHAnsi"/>
        </w:rPr>
        <w:t>Flora and Fauna Guarantee Act 1988</w:t>
      </w:r>
      <w:r>
        <w:t xml:space="preserve"> (the Act) establishes the legal and administrative structure to enable and promote the conservation of Victoria’s native flora and fauna. The Act, including its objectives, was amended in 2019 to strengthen it and improve its effectiveness. </w:t>
      </w:r>
    </w:p>
    <w:p w14:paraId="09842436" w14:textId="5AD0C234" w:rsidR="00B02873" w:rsidRDefault="00B02873" w:rsidP="00FE198A">
      <w:r>
        <w:t xml:space="preserve">A Biodiversity Strategy must be prepared that outlines the proposals for achieving, the targets for measuring and the framework for monitoring the objectives under section 4 of the Act. </w:t>
      </w:r>
      <w:r w:rsidRPr="001F3551">
        <w:rPr>
          <w:rStyle w:val="LightItalic"/>
          <w:rFonts w:asciiTheme="minorHAnsi" w:hAnsiTheme="minorHAnsi" w:cstheme="minorHAnsi"/>
        </w:rPr>
        <w:t>Protecting Victoria’s Environment</w:t>
      </w:r>
      <w:r w:rsidR="000C45FC" w:rsidRPr="001F3551">
        <w:rPr>
          <w:rStyle w:val="LightItalic"/>
          <w:rFonts w:asciiTheme="minorHAnsi" w:hAnsiTheme="minorHAnsi" w:cstheme="minorHAnsi"/>
        </w:rPr>
        <w:t xml:space="preserve"> – </w:t>
      </w:r>
      <w:r w:rsidRPr="001F3551">
        <w:rPr>
          <w:rStyle w:val="LightItalic"/>
          <w:rFonts w:asciiTheme="minorHAnsi" w:hAnsiTheme="minorHAnsi" w:cstheme="minorHAnsi"/>
        </w:rPr>
        <w:t>Biodiversity 2037</w:t>
      </w:r>
      <w:r w:rsidRPr="001F3551">
        <w:rPr>
          <w:rFonts w:asciiTheme="minorHAnsi" w:hAnsiTheme="minorHAnsi" w:cstheme="minorHAnsi"/>
        </w:rPr>
        <w:t xml:space="preserve"> </w:t>
      </w:r>
      <w:r>
        <w:t xml:space="preserve">is the current Biodiversity Strategy. The most recent assessment on the implementation of Biodiversity 2037 can be found on the </w:t>
      </w:r>
      <w:r w:rsidR="002F4F06">
        <w:t xml:space="preserve">department’s website. </w:t>
      </w:r>
    </w:p>
    <w:p w14:paraId="2D6DD7AD" w14:textId="77777777" w:rsidR="00B02873" w:rsidRDefault="00B02873" w:rsidP="001C29CA">
      <w:pPr>
        <w:pStyle w:val="Normalbeforebullet"/>
      </w:pPr>
      <w:r>
        <w:t xml:space="preserve">In addition, the following DELWP Corporate Plan 2021-25 initiatives contribute toward delivering the objectives of the </w:t>
      </w:r>
      <w:r w:rsidRPr="001C29CA">
        <w:rPr>
          <w:rStyle w:val="LightItalic"/>
          <w:rFonts w:asciiTheme="minorHAnsi" w:hAnsiTheme="minorHAnsi" w:cstheme="minorHAnsi"/>
        </w:rPr>
        <w:t>Flora and Fauna Guarantee Act 1988</w:t>
      </w:r>
      <w:r>
        <w:t>:</w:t>
      </w:r>
    </w:p>
    <w:p w14:paraId="69F7DA31" w14:textId="77777777" w:rsidR="00B02873" w:rsidRDefault="00B02873" w:rsidP="00B02873">
      <w:pPr>
        <w:pStyle w:val="Bullet1Lists"/>
      </w:pPr>
      <w:r>
        <w:t>Port Phillip Bay Environmental Management Plan 2017-2027</w:t>
      </w:r>
    </w:p>
    <w:p w14:paraId="647A7B8A" w14:textId="77777777" w:rsidR="00B02873" w:rsidRDefault="00B02873" w:rsidP="00B02873">
      <w:pPr>
        <w:pStyle w:val="Bullet1Lists"/>
      </w:pPr>
      <w:r>
        <w:t xml:space="preserve">Review of the </w:t>
      </w:r>
      <w:r w:rsidRPr="001C29CA">
        <w:rPr>
          <w:rStyle w:val="LightItalic"/>
          <w:rFonts w:asciiTheme="minorHAnsi" w:hAnsiTheme="minorHAnsi" w:cstheme="minorHAnsi"/>
        </w:rPr>
        <w:t>Wildlife Act 1975</w:t>
      </w:r>
    </w:p>
    <w:p w14:paraId="49E252FF" w14:textId="77777777" w:rsidR="00B02873" w:rsidRDefault="00B02873" w:rsidP="00B02873">
      <w:pPr>
        <w:pStyle w:val="Bullet1Lists"/>
      </w:pPr>
      <w:r>
        <w:t>Faunal emblems program</w:t>
      </w:r>
    </w:p>
    <w:p w14:paraId="0A96CFC4" w14:textId="333458D5" w:rsidR="00B02873" w:rsidRDefault="00B02873" w:rsidP="00B02873">
      <w:pPr>
        <w:pStyle w:val="Bullet1Lists"/>
      </w:pPr>
      <w:r>
        <w:lastRenderedPageBreak/>
        <w:t>Improving the protection of critical habitats for Victoria’s threatened species</w:t>
      </w:r>
    </w:p>
    <w:p w14:paraId="56AD3E7C" w14:textId="77777777" w:rsidR="00B02873" w:rsidRDefault="00B02873" w:rsidP="00B02873">
      <w:pPr>
        <w:pStyle w:val="Bullet1Lists"/>
      </w:pPr>
      <w:r>
        <w:t xml:space="preserve">Biodiversity response planning </w:t>
      </w:r>
    </w:p>
    <w:p w14:paraId="4F43024C" w14:textId="77777777" w:rsidR="00B02873" w:rsidRDefault="00B02873" w:rsidP="00B02873">
      <w:pPr>
        <w:pStyle w:val="Bullet1Lists"/>
      </w:pPr>
      <w:r>
        <w:t>Deer management</w:t>
      </w:r>
    </w:p>
    <w:p w14:paraId="58BC02FC" w14:textId="77777777" w:rsidR="00B02873" w:rsidRDefault="00B02873" w:rsidP="00B02873">
      <w:pPr>
        <w:pStyle w:val="Bullet1Lists"/>
      </w:pPr>
      <w:r>
        <w:t>Bushfire Biodiversity Response and Recovery program</w:t>
      </w:r>
    </w:p>
    <w:p w14:paraId="3FCB7489" w14:textId="77777777" w:rsidR="00B02873" w:rsidRDefault="00B02873" w:rsidP="00B02873">
      <w:pPr>
        <w:pStyle w:val="Bullet1Lists"/>
      </w:pPr>
      <w:r>
        <w:t xml:space="preserve">Biodiversity Community Programs </w:t>
      </w:r>
    </w:p>
    <w:p w14:paraId="7B427053" w14:textId="7A40AE74" w:rsidR="00B02873" w:rsidRDefault="00B02873" w:rsidP="00B02873">
      <w:pPr>
        <w:pStyle w:val="Bullet1Lists"/>
      </w:pPr>
      <w:r>
        <w:t>Nature restoration for carbon storage – BushBank program</w:t>
      </w:r>
    </w:p>
    <w:p w14:paraId="3EDC2813" w14:textId="77777777" w:rsidR="00B02873" w:rsidRDefault="00B02873" w:rsidP="00B02873">
      <w:pPr>
        <w:pStyle w:val="Bullet1Lists"/>
      </w:pPr>
      <w:r>
        <w:t>Office of the Conservation Regulator regulatory functions</w:t>
      </w:r>
    </w:p>
    <w:p w14:paraId="1EFA2790" w14:textId="77777777" w:rsidR="00B02873" w:rsidRDefault="00B02873" w:rsidP="001C29CA">
      <w:pPr>
        <w:pStyle w:val="Bullet1Listslast"/>
      </w:pPr>
      <w:r>
        <w:t>Trust for Nature</w:t>
      </w:r>
    </w:p>
    <w:p w14:paraId="7DCC7DCD" w14:textId="77777777" w:rsidR="00B02873" w:rsidRDefault="00B02873" w:rsidP="00FE198A">
      <w:r>
        <w:t>Progress against DELWP’s corporate plan initiatives is detailed in the Departmental Objectives, Indicators and Outputs section on page 26.</w:t>
      </w:r>
    </w:p>
    <w:p w14:paraId="29030E0C" w14:textId="1E71987F" w:rsidR="00B02873" w:rsidRDefault="00B02873" w:rsidP="00DC65F8">
      <w:pPr>
        <w:pStyle w:val="Heading2Headings"/>
      </w:pPr>
      <w:r>
        <w:t>Compliance with DataVic Access Policy</w:t>
      </w:r>
    </w:p>
    <w:p w14:paraId="753E9D7A" w14:textId="58B5D59E" w:rsidR="00B02873" w:rsidRDefault="00B02873" w:rsidP="00FE198A">
      <w:r>
        <w:t>Consistent with the DataVic Access Policy issued by the Victorian Government in 2012, DELWP made 2,398 datasets available in a variety of formats on the DataVic website in 2021</w:t>
      </w:r>
      <w:r>
        <w:noBreakHyphen/>
        <w:t xml:space="preserve">22. Information included in this Annual Report will also be available at </w:t>
      </w:r>
      <w:hyperlink r:id="rId95" w:history="1">
        <w:r w:rsidRPr="001A4A1A">
          <w:rPr>
            <w:rStyle w:val="Hyperlink"/>
          </w:rPr>
          <w:t>www.data.vic.gov.au</w:t>
        </w:r>
      </w:hyperlink>
      <w:r>
        <w:t xml:space="preserve"> in electronic readable format.</w:t>
      </w:r>
    </w:p>
    <w:p w14:paraId="7E2C3738" w14:textId="43E95644" w:rsidR="00B02873" w:rsidRDefault="00B02873" w:rsidP="00DC65F8">
      <w:pPr>
        <w:pStyle w:val="Heading2Headings"/>
      </w:pPr>
      <w:bookmarkStart w:id="47" w:name="National_Competition_Policy"/>
      <w:r>
        <w:t>National Competition Policy</w:t>
      </w:r>
      <w:bookmarkEnd w:id="47"/>
    </w:p>
    <w:p w14:paraId="014F60C0" w14:textId="77777777" w:rsidR="00B02873" w:rsidRDefault="00B02873" w:rsidP="00780667">
      <w:pPr>
        <w:pStyle w:val="Normalbeforebullet"/>
      </w:pPr>
      <w:r>
        <w:t xml:space="preserve">Under the National Competition Policy (NCP), the guiding legislative principle is that legislation, including future legislative proposals, should not restrict competition unless it can be demonstrated that: </w:t>
      </w:r>
    </w:p>
    <w:p w14:paraId="5D3F4D89" w14:textId="77777777" w:rsidR="00B02873" w:rsidRDefault="00B02873" w:rsidP="00780667">
      <w:pPr>
        <w:pStyle w:val="Bullet1Lists"/>
      </w:pPr>
      <w:r>
        <w:t>the benefits of the restriction to the community as a whole outweigh the costs</w:t>
      </w:r>
    </w:p>
    <w:p w14:paraId="608E6BEB" w14:textId="77777777" w:rsidR="00B02873" w:rsidRDefault="00B02873" w:rsidP="00780667">
      <w:pPr>
        <w:pStyle w:val="Bullet1Listslast"/>
      </w:pPr>
      <w:r>
        <w:t xml:space="preserve">the objectives of the legislation can only be achieved by restricting competition. </w:t>
      </w:r>
    </w:p>
    <w:p w14:paraId="52CEF1EF" w14:textId="77777777" w:rsidR="00B02873" w:rsidRDefault="00B02873" w:rsidP="00FE198A">
      <w:r>
        <w:rPr>
          <w:spacing w:val="-3"/>
        </w:rPr>
        <w:t xml:space="preserve">The department continues to comply with the requirements of the NCP by assessing proposed legislation and regulation against the NCP requirements and including this in Legislative Impact Assessments and Regulatory Impact Statements. </w:t>
      </w:r>
    </w:p>
    <w:p w14:paraId="68243650" w14:textId="699F374E" w:rsidR="00B02873" w:rsidRDefault="00B02873" w:rsidP="00FE198A">
      <w:r>
        <w:t xml:space="preserve">Competitive neutrality requires government businesses to ensure where services compete, or potentially compete with the private sector, any advantage arising solely from their government ownership be removed if it is not in the public interest. Government businesses are required to cost and price these services as if they were privately owned. Competitive neutrality policy supports fair competition between public and private businesses and provides government businesses with a tool to enhance decisions on resource allocation. This policy does not override other policy objectives of government and focuses on efficiency in the provision of service. </w:t>
      </w:r>
    </w:p>
    <w:p w14:paraId="504488C2" w14:textId="77777777" w:rsidR="00B02873" w:rsidRDefault="00B02873" w:rsidP="00FE198A">
      <w:r>
        <w:t>The department is working to ensure Victoria fulfils its requirements on competitive neutrality reporting for technological based businesses against the enhanced principles as required under the Competition Principles Agreement and Competition and Infrastructure Reform Agreement.</w:t>
      </w:r>
    </w:p>
    <w:p w14:paraId="703F5151" w14:textId="1C19ABEA" w:rsidR="00B02873" w:rsidRDefault="00B02873" w:rsidP="00DC65F8">
      <w:pPr>
        <w:pStyle w:val="Heading2Headings"/>
      </w:pPr>
      <w:bookmarkStart w:id="48" w:name="_Ref116978956"/>
      <w:r>
        <w:t xml:space="preserve">Compliance with the </w:t>
      </w:r>
      <w:r w:rsidRPr="00DC65F8">
        <w:rPr>
          <w:i/>
          <w:iCs/>
        </w:rPr>
        <w:t>Planning and Environment Act 1987</w:t>
      </w:r>
      <w:bookmarkEnd w:id="48"/>
    </w:p>
    <w:p w14:paraId="481F7E45" w14:textId="77777777" w:rsidR="00B02873" w:rsidRDefault="00B02873" w:rsidP="00FE198A">
      <w:r>
        <w:t xml:space="preserve">The Growth Areas Infrastructure Contribution (GAIC) program has been designed to address the infrastructure challenges facing new and growing communities in Victoria’s growth areas within the municipalities of Cardinia, Casey, Hume, Melton, Mitchell, Whittlesea and Wyndham. </w:t>
      </w:r>
    </w:p>
    <w:p w14:paraId="7B3C01FE" w14:textId="77777777" w:rsidR="00B02873" w:rsidRDefault="00B02873" w:rsidP="00FE198A">
      <w:r>
        <w:t xml:space="preserve">A GAIC levy is payable by landowners (GAIC Liable Entity (GLE)) developing urban communities on land within growth areas that have been rezoned since 2005, and after undertaking certain </w:t>
      </w:r>
      <w:r>
        <w:lastRenderedPageBreak/>
        <w:t xml:space="preserve">events associated with urban development including the sale of land, sub-dividing land and applying for a building permit. GAIC collects some of the increased value of the land and uses these contributions to fund delivery of state funded infrastructure necessary for the successful development of the land into a new community. Projects are allocated through both a funding round mechanism administered by DELWP and state budget allocations. These allocations are assessed on a project-by-project basis, with funding decisions being directed to projects of the highest priority overall, independent of municipality. </w:t>
      </w:r>
    </w:p>
    <w:p w14:paraId="482560D0" w14:textId="77777777" w:rsidR="00B02873" w:rsidRDefault="00B02873" w:rsidP="00FE198A">
      <w:r>
        <w:t xml:space="preserve">In 2020, the GAIC program was subject to an audit conducted by the Victorian Auditor-General’s Office. This audit highlighted that disconnected funding decision processes limit DELWP’s ability to strategically direct project funding towards greatest benefit and perform financial management of GAIC trusts. The audit report and program evaluation provided a valuable opportunity to clarify the process of allocating funds to give greater confidence that projects meet the program outcomes and address needs. </w:t>
      </w:r>
    </w:p>
    <w:p w14:paraId="5CFFE8FF" w14:textId="77777777" w:rsidR="00B02873" w:rsidRDefault="00B02873" w:rsidP="00FE198A">
      <w:r>
        <w:t xml:space="preserve">In response to this audit, DELWP has commenced work to deliver a series of program improvements, including the development of a strategic pipeline of investments as well as ongoing communications, monitoring and evaluation to provide greater transparency and ensure program outcomes are being met. </w:t>
      </w:r>
    </w:p>
    <w:p w14:paraId="609A6BE1" w14:textId="77777777" w:rsidR="00B02873" w:rsidRDefault="00B02873" w:rsidP="00FE198A">
      <w:r>
        <w:rPr>
          <w:spacing w:val="-4"/>
        </w:rPr>
        <w:t xml:space="preserve">Administrative responsibilities for other aspects of the GAIC program are shared between DELWP, the Department of Treasury and Finance (DTF), the State Revenue Office (SRO) and the Victorian Planning Authority (VPA). The SRO maintains a record of those properties that fall within GAIC areas and is responsible for assessing outstanding GAIC liability and interest, then collecting those GAIC amounts when due. The SRO is reimbursed for its expenses from the Growth Areas Public Transport Fund </w:t>
      </w:r>
      <w:r>
        <w:t>(GAPTF).</w:t>
      </w:r>
    </w:p>
    <w:p w14:paraId="1F299080" w14:textId="77777777" w:rsidR="00B02873" w:rsidRDefault="00B02873" w:rsidP="00FE198A">
      <w:r>
        <w:t>DELWP is responsible for GAIC program delivery, policy, legislation, GAIC reductions and exemptions, and the Hardship Relief Board (HRB) appointments. The VPA is responsible for facilitation and the management of GAIC Work-in-Kind (WIK) agreements, investigating any planning and zoning anomalies that may be raised as they relate to GAIC, and preparing staged payment arrangements (SPA) for landowners or developers. The VPA also provide secretarial support to the HRB and calculates GAIC rates and the excluded building works value threshold, for approval by the Minister for Planning.</w:t>
      </w:r>
    </w:p>
    <w:p w14:paraId="18993859" w14:textId="77777777" w:rsidR="00B02873" w:rsidRDefault="00B02873" w:rsidP="00780667">
      <w:pPr>
        <w:pStyle w:val="Heading3"/>
      </w:pPr>
      <w:r>
        <w:t>Legislative Landscape</w:t>
      </w:r>
    </w:p>
    <w:p w14:paraId="49136A80" w14:textId="77777777" w:rsidR="00B02873" w:rsidRDefault="00B02873" w:rsidP="00FE198A">
      <w:r>
        <w:t xml:space="preserve">GAIC was introduced as Part 9B of the </w:t>
      </w:r>
      <w:r w:rsidRPr="00780667">
        <w:rPr>
          <w:rStyle w:val="LightItalic"/>
          <w:rFonts w:asciiTheme="minorHAnsi" w:hAnsiTheme="minorHAnsi" w:cstheme="minorHAnsi"/>
        </w:rPr>
        <w:t>Planning and Environment Act 1987</w:t>
      </w:r>
      <w:r>
        <w:t xml:space="preserve"> (the Act) in 2010. Under section 201RH of the Act, Part 9B is to be read together with the </w:t>
      </w:r>
      <w:r w:rsidRPr="00780667">
        <w:rPr>
          <w:rStyle w:val="LightItalic"/>
          <w:rFonts w:asciiTheme="minorHAnsi" w:hAnsiTheme="minorHAnsi" w:cstheme="minorHAnsi"/>
        </w:rPr>
        <w:t>Taxation Administration Act 1997</w:t>
      </w:r>
      <w:r w:rsidRPr="00780667">
        <w:rPr>
          <w:rFonts w:asciiTheme="minorHAnsi" w:hAnsiTheme="minorHAnsi" w:cstheme="minorHAnsi"/>
        </w:rPr>
        <w:t>.</w:t>
      </w:r>
      <w:r>
        <w:t xml:space="preserve"> Under the general and supplementary administrative orders issued by the Premier in 2017, the Minister for Planning and the Treasurer are jointly and severally responsible for the administration of GAIC under the provisions of Part 9B of the Act. Under the Act, the Minister for Planning’s role is to authorise projects for funding under both the GAPTF and the Building New Communities Fund (BNCF). The Treasurer’s approval is required for all expenditure from the GAPTF, and for expenditure amounts of $2 million or more from the BNCF.</w:t>
      </w:r>
    </w:p>
    <w:p w14:paraId="08E984DF" w14:textId="77777777" w:rsidR="00B02873" w:rsidRDefault="00B02873" w:rsidP="00FE198A">
      <w:r>
        <w:t xml:space="preserve">Under section 45 of the </w:t>
      </w:r>
      <w:r w:rsidRPr="00780667">
        <w:rPr>
          <w:rStyle w:val="LightItalic"/>
          <w:rFonts w:asciiTheme="minorHAnsi" w:hAnsiTheme="minorHAnsi" w:cstheme="minorHAnsi"/>
        </w:rPr>
        <w:t>Financial Management Act 1994</w:t>
      </w:r>
      <w:r>
        <w:t xml:space="preserve"> and section 201VC of the Act, the VPA and DELWP are required to report annually on the operation of GAIC. GAIC rates for each financial year are adjusted in accordance with section 201SG of the Act (Table 1). GAIC is collected by the SRO, including any interest applicable and any refunds made, then paid into the consolidated fund by section 201SZJ of the Act. Under section 201V (2) of the Act, these funds are periodically drawn down equally into the two special purpose funds, the BNCF and the GAPTF.</w:t>
      </w:r>
    </w:p>
    <w:p w14:paraId="019B26B9" w14:textId="77777777" w:rsidR="00B02873" w:rsidRDefault="00B02873" w:rsidP="00780667">
      <w:pPr>
        <w:pStyle w:val="TabletitleTables"/>
      </w:pPr>
      <w:r>
        <w:lastRenderedPageBreak/>
        <w:t>Table 1: GAIC rates per hectare of contribution area</w:t>
      </w:r>
    </w:p>
    <w:tbl>
      <w:tblPr>
        <w:tblStyle w:val="TableGrid"/>
        <w:tblW w:w="0" w:type="auto"/>
        <w:tblLayout w:type="fixed"/>
        <w:tblLook w:val="0020" w:firstRow="1" w:lastRow="0" w:firstColumn="0" w:lastColumn="0" w:noHBand="0" w:noVBand="0"/>
      </w:tblPr>
      <w:tblGrid>
        <w:gridCol w:w="1696"/>
        <w:gridCol w:w="2268"/>
        <w:gridCol w:w="2127"/>
      </w:tblGrid>
      <w:tr w:rsidR="00B02873" w:rsidRPr="00B02873" w14:paraId="19D9A398" w14:textId="77777777" w:rsidTr="00780667">
        <w:trPr>
          <w:cnfStyle w:val="100000000000" w:firstRow="1" w:lastRow="0" w:firstColumn="0" w:lastColumn="0" w:oddVBand="0" w:evenVBand="0" w:oddHBand="0" w:evenHBand="0" w:firstRowFirstColumn="0" w:firstRowLastColumn="0" w:lastRowFirstColumn="0" w:lastRowLastColumn="0"/>
          <w:trHeight w:val="60"/>
        </w:trPr>
        <w:tc>
          <w:tcPr>
            <w:tcW w:w="1696" w:type="dxa"/>
          </w:tcPr>
          <w:p w14:paraId="3829342A" w14:textId="77777777" w:rsidR="00B02873" w:rsidRDefault="00B02873" w:rsidP="00780667">
            <w:pPr>
              <w:pStyle w:val="TableheadingleftTables"/>
            </w:pPr>
            <w:r>
              <w:t>Land Type</w:t>
            </w:r>
          </w:p>
        </w:tc>
        <w:tc>
          <w:tcPr>
            <w:tcW w:w="2268" w:type="dxa"/>
          </w:tcPr>
          <w:p w14:paraId="1FC30880" w14:textId="77777777" w:rsidR="00B02873" w:rsidRDefault="00B02873" w:rsidP="00603355">
            <w:pPr>
              <w:pStyle w:val="TableheadingleftTables"/>
              <w:jc w:val="right"/>
            </w:pPr>
            <w:r>
              <w:t xml:space="preserve">Year Ended </w:t>
            </w:r>
            <w:r>
              <w:br/>
              <w:t>30 June 2022 ($)</w:t>
            </w:r>
          </w:p>
        </w:tc>
        <w:tc>
          <w:tcPr>
            <w:tcW w:w="2127" w:type="dxa"/>
          </w:tcPr>
          <w:p w14:paraId="1829E241" w14:textId="77777777" w:rsidR="00B02873" w:rsidRDefault="00B02873" w:rsidP="00603355">
            <w:pPr>
              <w:pStyle w:val="TableheadingleftTables"/>
              <w:jc w:val="right"/>
            </w:pPr>
            <w:r>
              <w:t xml:space="preserve">Year Ended </w:t>
            </w:r>
            <w:r>
              <w:br/>
              <w:t>30 June 2021 ($)</w:t>
            </w:r>
          </w:p>
        </w:tc>
      </w:tr>
      <w:tr w:rsidR="00B02873" w:rsidRPr="00B02873" w14:paraId="4FB83723" w14:textId="77777777" w:rsidTr="00780667">
        <w:trPr>
          <w:trHeight w:val="60"/>
        </w:trPr>
        <w:tc>
          <w:tcPr>
            <w:tcW w:w="1696" w:type="dxa"/>
          </w:tcPr>
          <w:p w14:paraId="4D65B8BD" w14:textId="77777777" w:rsidR="00B02873" w:rsidRDefault="00B02873" w:rsidP="00B415A9">
            <w:pPr>
              <w:pStyle w:val="TablebodyleftTables"/>
            </w:pPr>
            <w:r>
              <w:t>A</w:t>
            </w:r>
          </w:p>
        </w:tc>
        <w:tc>
          <w:tcPr>
            <w:tcW w:w="2268" w:type="dxa"/>
          </w:tcPr>
          <w:p w14:paraId="526CFF2E" w14:textId="77777777" w:rsidR="00B02873" w:rsidRDefault="00B02873" w:rsidP="00603355">
            <w:pPr>
              <w:pStyle w:val="TablebodyleftTables"/>
              <w:jc w:val="right"/>
            </w:pPr>
            <w:r>
              <w:t>100,020</w:t>
            </w:r>
          </w:p>
        </w:tc>
        <w:tc>
          <w:tcPr>
            <w:tcW w:w="2127" w:type="dxa"/>
          </w:tcPr>
          <w:p w14:paraId="3A865D5B" w14:textId="77777777" w:rsidR="00B02873" w:rsidRDefault="00B02873" w:rsidP="00603355">
            <w:pPr>
              <w:pStyle w:val="TablebodyleftTables"/>
              <w:jc w:val="right"/>
            </w:pPr>
            <w:r>
              <w:t>99,230</w:t>
            </w:r>
          </w:p>
        </w:tc>
      </w:tr>
      <w:tr w:rsidR="00B02873" w:rsidRPr="00B02873" w14:paraId="7FDF2DC7" w14:textId="77777777" w:rsidTr="00780667">
        <w:trPr>
          <w:trHeight w:val="60"/>
        </w:trPr>
        <w:tc>
          <w:tcPr>
            <w:tcW w:w="1696" w:type="dxa"/>
          </w:tcPr>
          <w:p w14:paraId="692813B4" w14:textId="77777777" w:rsidR="00B02873" w:rsidRDefault="00B02873" w:rsidP="00B415A9">
            <w:pPr>
              <w:pStyle w:val="TablebodyleftTables"/>
            </w:pPr>
            <w:r>
              <w:t>B-1, B-2 &amp; C</w:t>
            </w:r>
          </w:p>
        </w:tc>
        <w:tc>
          <w:tcPr>
            <w:tcW w:w="2268" w:type="dxa"/>
          </w:tcPr>
          <w:p w14:paraId="4188C000" w14:textId="77777777" w:rsidR="00B02873" w:rsidRDefault="00B02873" w:rsidP="00603355">
            <w:pPr>
              <w:pStyle w:val="TablebodyleftTables"/>
              <w:jc w:val="right"/>
            </w:pPr>
            <w:r>
              <w:t>118,810</w:t>
            </w:r>
          </w:p>
        </w:tc>
        <w:tc>
          <w:tcPr>
            <w:tcW w:w="2127" w:type="dxa"/>
          </w:tcPr>
          <w:p w14:paraId="363A9126" w14:textId="77777777" w:rsidR="00B02873" w:rsidRDefault="00B02873" w:rsidP="00603355">
            <w:pPr>
              <w:pStyle w:val="TablebodyleftTables"/>
              <w:jc w:val="right"/>
            </w:pPr>
            <w:r>
              <w:t>117,870</w:t>
            </w:r>
          </w:p>
        </w:tc>
      </w:tr>
    </w:tbl>
    <w:p w14:paraId="2FEC165E" w14:textId="77777777" w:rsidR="00B02873" w:rsidRDefault="00B02873" w:rsidP="00FE198A"/>
    <w:p w14:paraId="4792B14B" w14:textId="77777777" w:rsidR="00B02873" w:rsidRDefault="00B02873" w:rsidP="00D8789E">
      <w:pPr>
        <w:pStyle w:val="TabletitleTables"/>
      </w:pPr>
      <w:r>
        <w:t>Table 2: Land type definitions</w:t>
      </w:r>
    </w:p>
    <w:tbl>
      <w:tblPr>
        <w:tblStyle w:val="TableGrid"/>
        <w:tblW w:w="0" w:type="auto"/>
        <w:tblLayout w:type="fixed"/>
        <w:tblLook w:val="0020" w:firstRow="1" w:lastRow="0" w:firstColumn="0" w:lastColumn="0" w:noHBand="0" w:noVBand="0"/>
      </w:tblPr>
      <w:tblGrid>
        <w:gridCol w:w="1276"/>
        <w:gridCol w:w="8362"/>
      </w:tblGrid>
      <w:tr w:rsidR="00B02873" w:rsidRPr="00D8789E" w14:paraId="403EA155" w14:textId="77777777" w:rsidTr="00D8789E">
        <w:trPr>
          <w:cnfStyle w:val="100000000000" w:firstRow="1" w:lastRow="0" w:firstColumn="0" w:lastColumn="0" w:oddVBand="0" w:evenVBand="0" w:oddHBand="0" w:evenHBand="0" w:firstRowFirstColumn="0" w:firstRowLastColumn="0" w:lastRowFirstColumn="0" w:lastRowLastColumn="0"/>
          <w:trHeight w:val="60"/>
        </w:trPr>
        <w:tc>
          <w:tcPr>
            <w:tcW w:w="1276" w:type="dxa"/>
          </w:tcPr>
          <w:p w14:paraId="61A85DCA" w14:textId="77777777" w:rsidR="00B02873" w:rsidRPr="00D8789E" w:rsidRDefault="00B02873" w:rsidP="00D8789E">
            <w:pPr>
              <w:pStyle w:val="TableheadingleftTables"/>
            </w:pPr>
            <w:r w:rsidRPr="00D8789E">
              <w:t>Land Type</w:t>
            </w:r>
          </w:p>
        </w:tc>
        <w:tc>
          <w:tcPr>
            <w:tcW w:w="8362" w:type="dxa"/>
          </w:tcPr>
          <w:p w14:paraId="1322FC88" w14:textId="77777777" w:rsidR="00B02873" w:rsidRPr="00D8789E" w:rsidRDefault="00B02873" w:rsidP="00D8789E">
            <w:pPr>
              <w:pStyle w:val="TableheadingleftTables"/>
            </w:pPr>
            <w:r w:rsidRPr="00D8789E">
              <w:t>Criteria</w:t>
            </w:r>
          </w:p>
        </w:tc>
      </w:tr>
      <w:tr w:rsidR="00B02873" w:rsidRPr="00B02873" w14:paraId="2B35A16C" w14:textId="77777777" w:rsidTr="00D8789E">
        <w:trPr>
          <w:trHeight w:val="60"/>
        </w:trPr>
        <w:tc>
          <w:tcPr>
            <w:tcW w:w="1276" w:type="dxa"/>
          </w:tcPr>
          <w:p w14:paraId="3DC00EFF" w14:textId="77777777" w:rsidR="00B02873" w:rsidRDefault="00B02873" w:rsidP="00B415A9">
            <w:pPr>
              <w:pStyle w:val="TablebodyleftTables"/>
            </w:pPr>
            <w:r>
              <w:t>A</w:t>
            </w:r>
          </w:p>
        </w:tc>
        <w:tc>
          <w:tcPr>
            <w:tcW w:w="8362" w:type="dxa"/>
          </w:tcPr>
          <w:p w14:paraId="0C0C33AB" w14:textId="77777777" w:rsidR="00B02873" w:rsidRDefault="00B02873" w:rsidP="00D8789E">
            <w:pPr>
              <w:pStyle w:val="TableBulletleftTables"/>
            </w:pPr>
            <w:r>
              <w:t>Brought within an urban growth boundary between 28 November 2005 to 31 December 2006 inclusive</w:t>
            </w:r>
          </w:p>
          <w:p w14:paraId="4B26D13B" w14:textId="77777777" w:rsidR="00B02873" w:rsidRDefault="00B02873" w:rsidP="00D8789E">
            <w:pPr>
              <w:pStyle w:val="TableBulletleftTables"/>
            </w:pPr>
            <w:r>
              <w:t xml:space="preserve">Is within an urban development area (within a growth area and zoned for residential, industrial, or business purposes, or specified development zone) on or after 2 December 2008 </w:t>
            </w:r>
          </w:p>
        </w:tc>
      </w:tr>
      <w:tr w:rsidR="00B02873" w:rsidRPr="00B02873" w14:paraId="0BEC0559" w14:textId="77777777" w:rsidTr="00D8789E">
        <w:trPr>
          <w:trHeight w:val="60"/>
        </w:trPr>
        <w:tc>
          <w:tcPr>
            <w:tcW w:w="1276" w:type="dxa"/>
          </w:tcPr>
          <w:p w14:paraId="437E6FAC" w14:textId="77777777" w:rsidR="00B02873" w:rsidRDefault="00B02873" w:rsidP="00B415A9">
            <w:pPr>
              <w:pStyle w:val="TablebodyleftTables"/>
            </w:pPr>
            <w:r>
              <w:t>B-1</w:t>
            </w:r>
          </w:p>
        </w:tc>
        <w:tc>
          <w:tcPr>
            <w:tcW w:w="8362" w:type="dxa"/>
          </w:tcPr>
          <w:p w14:paraId="648EDF3E" w14:textId="77777777" w:rsidR="00B02873" w:rsidRDefault="00B02873" w:rsidP="00D8789E">
            <w:pPr>
              <w:pStyle w:val="TableBulletleftTables"/>
            </w:pPr>
            <w:r>
              <w:t>Investigation areas 1 to 6 (refer schedule 1 of the Act)</w:t>
            </w:r>
          </w:p>
          <w:p w14:paraId="58172B7B" w14:textId="5F4A9317" w:rsidR="00B02873" w:rsidRDefault="00B02873" w:rsidP="00D8789E">
            <w:pPr>
              <w:pStyle w:val="TableBulletleftTables"/>
            </w:pPr>
            <w:r>
              <w:t>Brought within a growth area, an urban growth boundary and an urban growth zone on or after 2 December 2008</w:t>
            </w:r>
          </w:p>
        </w:tc>
      </w:tr>
      <w:tr w:rsidR="00B02873" w:rsidRPr="00B02873" w14:paraId="57E4F1D3" w14:textId="77777777" w:rsidTr="00D8789E">
        <w:trPr>
          <w:trHeight w:val="60"/>
        </w:trPr>
        <w:tc>
          <w:tcPr>
            <w:tcW w:w="1276" w:type="dxa"/>
          </w:tcPr>
          <w:p w14:paraId="7895DDE0" w14:textId="77777777" w:rsidR="00B02873" w:rsidRDefault="00B02873" w:rsidP="00B415A9">
            <w:pPr>
              <w:pStyle w:val="TablebodyleftTables"/>
            </w:pPr>
            <w:r>
              <w:t>B-2</w:t>
            </w:r>
          </w:p>
        </w:tc>
        <w:tc>
          <w:tcPr>
            <w:tcW w:w="8362" w:type="dxa"/>
          </w:tcPr>
          <w:p w14:paraId="286DE392" w14:textId="77777777" w:rsidR="00B02873" w:rsidRDefault="00B02873" w:rsidP="00D8789E">
            <w:pPr>
              <w:pStyle w:val="TableBulletleftTables"/>
            </w:pPr>
            <w:r>
              <w:t>Investigation area 7 (refer schedule 1 of the Act)</w:t>
            </w:r>
          </w:p>
          <w:p w14:paraId="1AC021FF" w14:textId="4AF9C387" w:rsidR="00B02873" w:rsidRDefault="00B02873" w:rsidP="00D8789E">
            <w:pPr>
              <w:pStyle w:val="TableBulletleftTables"/>
            </w:pPr>
            <w:r>
              <w:t>Brought within a growth area, an urban growth boundary and an urban growth zone on or after 19 May 2009</w:t>
            </w:r>
          </w:p>
        </w:tc>
      </w:tr>
      <w:tr w:rsidR="00B02873" w:rsidRPr="00B02873" w14:paraId="5929F637" w14:textId="77777777" w:rsidTr="00D8789E">
        <w:trPr>
          <w:trHeight w:val="60"/>
        </w:trPr>
        <w:tc>
          <w:tcPr>
            <w:tcW w:w="1276" w:type="dxa"/>
          </w:tcPr>
          <w:p w14:paraId="051E22B8" w14:textId="77777777" w:rsidR="00B02873" w:rsidRDefault="00B02873" w:rsidP="00B415A9">
            <w:pPr>
              <w:pStyle w:val="TablebodyleftTables"/>
            </w:pPr>
            <w:r>
              <w:t>C</w:t>
            </w:r>
          </w:p>
        </w:tc>
        <w:tc>
          <w:tcPr>
            <w:tcW w:w="8362" w:type="dxa"/>
          </w:tcPr>
          <w:p w14:paraId="70269201" w14:textId="77777777" w:rsidR="00B02873" w:rsidRDefault="00B02873" w:rsidP="00D8789E">
            <w:pPr>
              <w:pStyle w:val="TableBulletleftTables"/>
            </w:pPr>
            <w:r>
              <w:t xml:space="preserve">Any land, not being type A, B-1, and B-2, </w:t>
            </w:r>
          </w:p>
          <w:p w14:paraId="12BC342A" w14:textId="77777777" w:rsidR="00B02873" w:rsidRDefault="00B02873" w:rsidP="00D8789E">
            <w:pPr>
              <w:pStyle w:val="TableBulletleftTables"/>
            </w:pPr>
            <w:r>
              <w:t>Brought within a growth area and an urban growth zone on or after 1 July 2010</w:t>
            </w:r>
          </w:p>
        </w:tc>
      </w:tr>
    </w:tbl>
    <w:p w14:paraId="39D77658" w14:textId="77777777" w:rsidR="00B02873" w:rsidRDefault="00B02873" w:rsidP="00D8789E"/>
    <w:p w14:paraId="19E3EA0F" w14:textId="77777777" w:rsidR="00B02873" w:rsidRDefault="00B02873" w:rsidP="00FE198A">
      <w:r>
        <w:t>More information about the collection of GAIC is available on the DELWP, VPA and SRO websites.</w:t>
      </w:r>
    </w:p>
    <w:p w14:paraId="5796FDFD" w14:textId="77777777" w:rsidR="00B02873" w:rsidRDefault="00B02873" w:rsidP="00D8789E">
      <w:pPr>
        <w:pStyle w:val="Heading3"/>
      </w:pPr>
      <w:r>
        <w:t>Financial Summary</w:t>
      </w:r>
    </w:p>
    <w:p w14:paraId="569ACA1F" w14:textId="77777777" w:rsidR="00B02873" w:rsidRDefault="00B02873" w:rsidP="00D8789E">
      <w:pPr>
        <w:rPr>
          <w:b/>
          <w:bCs/>
        </w:rPr>
      </w:pPr>
      <w:r>
        <w:t xml:space="preserve">Since its commencement in 2010, GAIC has collected cash receipts of $1.013 billion in development contributions and earned $20.34 million interest. The Victorian Government has committed $642.74 million from GAIC funds and as at 30 June 2022, payments totalling $580.03 million have been expended on BNCF and GAPTF projects. </w:t>
      </w:r>
    </w:p>
    <w:p w14:paraId="0B48E0BB" w14:textId="77777777" w:rsidR="00B02873" w:rsidRDefault="00B02873" w:rsidP="006F52C9">
      <w:pPr>
        <w:pStyle w:val="Figureheading"/>
      </w:pPr>
      <w:r>
        <w:lastRenderedPageBreak/>
        <w:t xml:space="preserve">Figure 1. Accumulated cash receipts and expenditure as at 30 June 2022 ($ million) </w:t>
      </w:r>
    </w:p>
    <w:p w14:paraId="05E214C5" w14:textId="2172554C" w:rsidR="00B02873" w:rsidRDefault="00D8789E" w:rsidP="00D8789E">
      <w:r>
        <w:rPr>
          <w:noProof/>
        </w:rPr>
        <w:drawing>
          <wp:inline distT="0" distB="0" distL="0" distR="0" wp14:anchorId="3A3F17DB" wp14:editId="60269DED">
            <wp:extent cx="5952756" cy="3112014"/>
            <wp:effectExtent l="0" t="0" r="0" b="0"/>
            <wp:docPr id="10" name="Picture 10" descr="Graph showing accumulated cash receipts, commitments and expenditure from the Growth Areas Infrastructure Contribution fund as at 30 June in each financial year from 2013-14 to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 showing accumulated cash receipts, commitments and expenditure from the Growth Areas Infrastructure Contribution fund as at 30 June in each financial year from 2013-14 to 2021-22."/>
                    <pic:cNvPicPr/>
                  </pic:nvPicPr>
                  <pic:blipFill>
                    <a:blip r:embed="rId96"/>
                    <a:stretch>
                      <a:fillRect/>
                    </a:stretch>
                  </pic:blipFill>
                  <pic:spPr>
                    <a:xfrm>
                      <a:off x="0" y="0"/>
                      <a:ext cx="5952756" cy="3112014"/>
                    </a:xfrm>
                    <a:prstGeom prst="rect">
                      <a:avLst/>
                    </a:prstGeom>
                  </pic:spPr>
                </pic:pic>
              </a:graphicData>
            </a:graphic>
          </wp:inline>
        </w:drawing>
      </w:r>
    </w:p>
    <w:p w14:paraId="4D436AD6" w14:textId="77777777" w:rsidR="00B02873" w:rsidRDefault="00B02873" w:rsidP="00D8789E">
      <w:pPr>
        <w:pStyle w:val="TabletitleTables"/>
      </w:pPr>
      <w:r>
        <w:t>Table 3. Accumulated receipts and expenditure as at 30 June 2022</w:t>
      </w:r>
      <w:r>
        <w:rPr>
          <w:vertAlign w:val="superscript"/>
        </w:rPr>
        <w:t>(i)</w:t>
      </w:r>
    </w:p>
    <w:tbl>
      <w:tblPr>
        <w:tblStyle w:val="TableGrid"/>
        <w:tblW w:w="9954" w:type="dxa"/>
        <w:tblLayout w:type="fixed"/>
        <w:tblLook w:val="0020" w:firstRow="1" w:lastRow="0" w:firstColumn="0" w:lastColumn="0" w:noHBand="0" w:noVBand="0"/>
      </w:tblPr>
      <w:tblGrid>
        <w:gridCol w:w="1376"/>
        <w:gridCol w:w="1377"/>
        <w:gridCol w:w="1495"/>
        <w:gridCol w:w="1536"/>
        <w:gridCol w:w="1276"/>
        <w:gridCol w:w="1377"/>
        <w:gridCol w:w="1517"/>
      </w:tblGrid>
      <w:tr w:rsidR="00B02873" w:rsidRPr="00A77A11" w14:paraId="24A28F8C" w14:textId="77777777" w:rsidTr="00A77A11">
        <w:trPr>
          <w:cnfStyle w:val="100000000000" w:firstRow="1" w:lastRow="0" w:firstColumn="0" w:lastColumn="0" w:oddVBand="0" w:evenVBand="0" w:oddHBand="0" w:evenHBand="0" w:firstRowFirstColumn="0" w:firstRowLastColumn="0" w:lastRowFirstColumn="0" w:lastRowLastColumn="0"/>
          <w:trHeight w:val="60"/>
          <w:tblHeader/>
        </w:trPr>
        <w:tc>
          <w:tcPr>
            <w:tcW w:w="1376" w:type="dxa"/>
          </w:tcPr>
          <w:p w14:paraId="2E666018" w14:textId="77777777" w:rsidR="00B02873" w:rsidRPr="00A77A11" w:rsidRDefault="00B02873" w:rsidP="00A77A11">
            <w:pPr>
              <w:pStyle w:val="TableheadingleftTables"/>
              <w:rPr>
                <w:sz w:val="20"/>
                <w:szCs w:val="20"/>
              </w:rPr>
            </w:pPr>
          </w:p>
        </w:tc>
        <w:tc>
          <w:tcPr>
            <w:tcW w:w="1377" w:type="dxa"/>
          </w:tcPr>
          <w:p w14:paraId="28815615" w14:textId="77777777" w:rsidR="00B02873" w:rsidRPr="00A77A11" w:rsidRDefault="00B02873" w:rsidP="00603355">
            <w:pPr>
              <w:pStyle w:val="TableheadingleftTables"/>
              <w:jc w:val="right"/>
              <w:rPr>
                <w:sz w:val="20"/>
                <w:szCs w:val="20"/>
              </w:rPr>
            </w:pPr>
            <w:r w:rsidRPr="00A77A11">
              <w:rPr>
                <w:sz w:val="20"/>
                <w:szCs w:val="20"/>
              </w:rPr>
              <w:t xml:space="preserve">Accumulated receipts </w:t>
            </w:r>
            <w:r w:rsidRPr="00A77A11">
              <w:rPr>
                <w:sz w:val="20"/>
                <w:szCs w:val="20"/>
              </w:rPr>
              <w:br/>
              <w:t>($m)</w:t>
            </w:r>
          </w:p>
        </w:tc>
        <w:tc>
          <w:tcPr>
            <w:tcW w:w="1495" w:type="dxa"/>
          </w:tcPr>
          <w:p w14:paraId="04D0238C" w14:textId="77777777" w:rsidR="00B02873" w:rsidRPr="00A77A11" w:rsidRDefault="00B02873" w:rsidP="00603355">
            <w:pPr>
              <w:pStyle w:val="TableheadingleftTables"/>
              <w:jc w:val="right"/>
              <w:rPr>
                <w:sz w:val="20"/>
                <w:szCs w:val="20"/>
              </w:rPr>
            </w:pPr>
            <w:r w:rsidRPr="00A77A11">
              <w:rPr>
                <w:sz w:val="20"/>
                <w:szCs w:val="20"/>
              </w:rPr>
              <w:t>Accumulated commitments ($m)</w:t>
            </w:r>
            <w:r w:rsidRPr="00A77A11">
              <w:rPr>
                <w:sz w:val="20"/>
                <w:szCs w:val="20"/>
                <w:vertAlign w:val="superscript"/>
              </w:rPr>
              <w:t>ii</w:t>
            </w:r>
          </w:p>
        </w:tc>
        <w:tc>
          <w:tcPr>
            <w:tcW w:w="1536" w:type="dxa"/>
          </w:tcPr>
          <w:p w14:paraId="3FF06303" w14:textId="77777777" w:rsidR="00B02873" w:rsidRPr="00A77A11" w:rsidRDefault="00B02873" w:rsidP="00603355">
            <w:pPr>
              <w:pStyle w:val="TableheadingleftTables"/>
              <w:jc w:val="right"/>
              <w:rPr>
                <w:sz w:val="20"/>
                <w:szCs w:val="20"/>
              </w:rPr>
            </w:pPr>
            <w:r w:rsidRPr="00A77A11">
              <w:rPr>
                <w:sz w:val="20"/>
                <w:szCs w:val="20"/>
              </w:rPr>
              <w:t xml:space="preserve">Commitments/ receipts </w:t>
            </w:r>
            <w:r w:rsidRPr="00A77A11">
              <w:rPr>
                <w:sz w:val="20"/>
                <w:szCs w:val="20"/>
              </w:rPr>
              <w:br/>
              <w:t>(%)</w:t>
            </w:r>
            <w:r w:rsidRPr="00A77A11">
              <w:rPr>
                <w:sz w:val="20"/>
                <w:szCs w:val="20"/>
                <w:vertAlign w:val="superscript"/>
              </w:rPr>
              <w:t>iii</w:t>
            </w:r>
          </w:p>
        </w:tc>
        <w:tc>
          <w:tcPr>
            <w:tcW w:w="1276" w:type="dxa"/>
          </w:tcPr>
          <w:p w14:paraId="041349ED" w14:textId="77777777" w:rsidR="00B02873" w:rsidRPr="00A77A11" w:rsidRDefault="00B02873" w:rsidP="00603355">
            <w:pPr>
              <w:pStyle w:val="TableheadingleftTables"/>
              <w:jc w:val="right"/>
              <w:rPr>
                <w:sz w:val="20"/>
                <w:szCs w:val="20"/>
              </w:rPr>
            </w:pPr>
            <w:r w:rsidRPr="00A77A11">
              <w:rPr>
                <w:sz w:val="20"/>
                <w:szCs w:val="20"/>
              </w:rPr>
              <w:t>Expenditure ($m)</w:t>
            </w:r>
            <w:r w:rsidRPr="00A77A11">
              <w:rPr>
                <w:sz w:val="20"/>
                <w:szCs w:val="20"/>
                <w:vertAlign w:val="superscript"/>
              </w:rPr>
              <w:t>v</w:t>
            </w:r>
          </w:p>
        </w:tc>
        <w:tc>
          <w:tcPr>
            <w:tcW w:w="1377" w:type="dxa"/>
          </w:tcPr>
          <w:p w14:paraId="7307C8C9" w14:textId="77777777" w:rsidR="00B02873" w:rsidRPr="00A77A11" w:rsidRDefault="00B02873" w:rsidP="00603355">
            <w:pPr>
              <w:pStyle w:val="TableheadingleftTables"/>
              <w:jc w:val="right"/>
              <w:rPr>
                <w:sz w:val="20"/>
                <w:szCs w:val="20"/>
              </w:rPr>
            </w:pPr>
            <w:r w:rsidRPr="00A77A11">
              <w:rPr>
                <w:sz w:val="20"/>
                <w:szCs w:val="20"/>
              </w:rPr>
              <w:t xml:space="preserve">Expenditure/ receipts </w:t>
            </w:r>
            <w:r w:rsidRPr="00A77A11">
              <w:rPr>
                <w:sz w:val="20"/>
                <w:szCs w:val="20"/>
              </w:rPr>
              <w:br/>
              <w:t>(%)</w:t>
            </w:r>
            <w:r w:rsidRPr="00A77A11">
              <w:rPr>
                <w:sz w:val="20"/>
                <w:szCs w:val="20"/>
                <w:vertAlign w:val="superscript"/>
              </w:rPr>
              <w:t>iv</w:t>
            </w:r>
          </w:p>
        </w:tc>
        <w:tc>
          <w:tcPr>
            <w:tcW w:w="1517" w:type="dxa"/>
          </w:tcPr>
          <w:p w14:paraId="0CAEAFFF" w14:textId="77777777" w:rsidR="00B02873" w:rsidRPr="00A77A11" w:rsidRDefault="00B02873" w:rsidP="00603355">
            <w:pPr>
              <w:pStyle w:val="TableheadingleftTables"/>
              <w:jc w:val="right"/>
              <w:rPr>
                <w:sz w:val="20"/>
                <w:szCs w:val="20"/>
              </w:rPr>
            </w:pPr>
            <w:r w:rsidRPr="00A77A11">
              <w:rPr>
                <w:sz w:val="20"/>
                <w:szCs w:val="20"/>
              </w:rPr>
              <w:t>Uncommitted ($m)</w:t>
            </w:r>
            <w:r w:rsidRPr="00A77A11">
              <w:rPr>
                <w:sz w:val="20"/>
                <w:szCs w:val="20"/>
                <w:vertAlign w:val="superscript"/>
              </w:rPr>
              <w:t>vi</w:t>
            </w:r>
          </w:p>
        </w:tc>
      </w:tr>
      <w:tr w:rsidR="00B02873" w:rsidRPr="00A77A11" w14:paraId="0A676CAC" w14:textId="77777777" w:rsidTr="00A77A11">
        <w:trPr>
          <w:trHeight w:val="60"/>
        </w:trPr>
        <w:tc>
          <w:tcPr>
            <w:tcW w:w="1376" w:type="dxa"/>
          </w:tcPr>
          <w:p w14:paraId="0B69B365" w14:textId="77777777" w:rsidR="00B02873" w:rsidRPr="00A77A11" w:rsidRDefault="00B02873" w:rsidP="00B415A9">
            <w:pPr>
              <w:pStyle w:val="TablebodyleftTables"/>
              <w:rPr>
                <w:sz w:val="20"/>
                <w:szCs w:val="20"/>
              </w:rPr>
            </w:pPr>
            <w:r w:rsidRPr="00A77A11">
              <w:rPr>
                <w:sz w:val="20"/>
                <w:szCs w:val="20"/>
              </w:rPr>
              <w:t>30 June 2014</w:t>
            </w:r>
          </w:p>
        </w:tc>
        <w:tc>
          <w:tcPr>
            <w:tcW w:w="1377" w:type="dxa"/>
          </w:tcPr>
          <w:p w14:paraId="7113F2BE" w14:textId="77777777" w:rsidR="00B02873" w:rsidRPr="00A77A11" w:rsidRDefault="00B02873" w:rsidP="00603355">
            <w:pPr>
              <w:pStyle w:val="TablebodyleftTables"/>
              <w:jc w:val="right"/>
              <w:rPr>
                <w:sz w:val="20"/>
                <w:szCs w:val="20"/>
              </w:rPr>
            </w:pPr>
            <w:r w:rsidRPr="00A77A11">
              <w:rPr>
                <w:sz w:val="20"/>
                <w:szCs w:val="20"/>
              </w:rPr>
              <w:t>68.30</w:t>
            </w:r>
          </w:p>
        </w:tc>
        <w:tc>
          <w:tcPr>
            <w:tcW w:w="1495" w:type="dxa"/>
          </w:tcPr>
          <w:p w14:paraId="2554670D" w14:textId="77777777" w:rsidR="00B02873" w:rsidRPr="00A77A11" w:rsidRDefault="00B02873" w:rsidP="00603355">
            <w:pPr>
              <w:pStyle w:val="TablebodyleftTables"/>
              <w:jc w:val="right"/>
              <w:rPr>
                <w:sz w:val="20"/>
                <w:szCs w:val="20"/>
              </w:rPr>
            </w:pPr>
            <w:r w:rsidRPr="00A77A11">
              <w:rPr>
                <w:sz w:val="20"/>
                <w:szCs w:val="20"/>
              </w:rPr>
              <w:t>11.70</w:t>
            </w:r>
          </w:p>
        </w:tc>
        <w:tc>
          <w:tcPr>
            <w:tcW w:w="1536" w:type="dxa"/>
          </w:tcPr>
          <w:p w14:paraId="3202134C" w14:textId="77777777" w:rsidR="00B02873" w:rsidRPr="00A77A11" w:rsidRDefault="00B02873" w:rsidP="00603355">
            <w:pPr>
              <w:pStyle w:val="TablebodyleftTables"/>
              <w:jc w:val="right"/>
              <w:rPr>
                <w:sz w:val="20"/>
                <w:szCs w:val="20"/>
              </w:rPr>
            </w:pPr>
            <w:r w:rsidRPr="00A77A11">
              <w:rPr>
                <w:sz w:val="20"/>
                <w:szCs w:val="20"/>
              </w:rPr>
              <w:t>17</w:t>
            </w:r>
          </w:p>
        </w:tc>
        <w:tc>
          <w:tcPr>
            <w:tcW w:w="1276" w:type="dxa"/>
          </w:tcPr>
          <w:p w14:paraId="14AB1F95" w14:textId="77777777" w:rsidR="00B02873" w:rsidRPr="00A77A11" w:rsidRDefault="00B02873" w:rsidP="00603355">
            <w:pPr>
              <w:pStyle w:val="TablebodyleftTables"/>
              <w:jc w:val="right"/>
              <w:rPr>
                <w:sz w:val="20"/>
                <w:szCs w:val="20"/>
              </w:rPr>
            </w:pPr>
            <w:r w:rsidRPr="00A77A11">
              <w:rPr>
                <w:sz w:val="20"/>
                <w:szCs w:val="20"/>
              </w:rPr>
              <w:t>3.42</w:t>
            </w:r>
          </w:p>
        </w:tc>
        <w:tc>
          <w:tcPr>
            <w:tcW w:w="1377" w:type="dxa"/>
          </w:tcPr>
          <w:p w14:paraId="03E749DC" w14:textId="77777777" w:rsidR="00B02873" w:rsidRPr="00A77A11" w:rsidRDefault="00B02873" w:rsidP="00603355">
            <w:pPr>
              <w:pStyle w:val="TablebodyleftTables"/>
              <w:jc w:val="right"/>
              <w:rPr>
                <w:sz w:val="20"/>
                <w:szCs w:val="20"/>
              </w:rPr>
            </w:pPr>
            <w:r w:rsidRPr="00A77A11">
              <w:rPr>
                <w:sz w:val="20"/>
                <w:szCs w:val="20"/>
              </w:rPr>
              <w:t>5.0</w:t>
            </w:r>
          </w:p>
        </w:tc>
        <w:tc>
          <w:tcPr>
            <w:tcW w:w="1517" w:type="dxa"/>
          </w:tcPr>
          <w:p w14:paraId="5B092F46" w14:textId="77777777" w:rsidR="00B02873" w:rsidRPr="00A77A11" w:rsidRDefault="00B02873" w:rsidP="00603355">
            <w:pPr>
              <w:pStyle w:val="TablebodyleftTables"/>
              <w:jc w:val="right"/>
              <w:rPr>
                <w:sz w:val="20"/>
                <w:szCs w:val="20"/>
              </w:rPr>
            </w:pPr>
            <w:r w:rsidRPr="00A77A11">
              <w:rPr>
                <w:sz w:val="20"/>
                <w:szCs w:val="20"/>
              </w:rPr>
              <w:t>56.60</w:t>
            </w:r>
          </w:p>
        </w:tc>
      </w:tr>
      <w:tr w:rsidR="00B02873" w:rsidRPr="00A77A11" w14:paraId="6FE55F21" w14:textId="77777777" w:rsidTr="00A77A11">
        <w:trPr>
          <w:trHeight w:val="60"/>
        </w:trPr>
        <w:tc>
          <w:tcPr>
            <w:tcW w:w="1376" w:type="dxa"/>
          </w:tcPr>
          <w:p w14:paraId="3CC0A69A" w14:textId="77777777" w:rsidR="00B02873" w:rsidRPr="00A77A11" w:rsidRDefault="00B02873" w:rsidP="00B415A9">
            <w:pPr>
              <w:pStyle w:val="TablebodyleftTables"/>
              <w:rPr>
                <w:sz w:val="20"/>
                <w:szCs w:val="20"/>
              </w:rPr>
            </w:pPr>
            <w:r w:rsidRPr="00A77A11">
              <w:rPr>
                <w:sz w:val="20"/>
                <w:szCs w:val="20"/>
              </w:rPr>
              <w:t>30 June 2015</w:t>
            </w:r>
          </w:p>
        </w:tc>
        <w:tc>
          <w:tcPr>
            <w:tcW w:w="1377" w:type="dxa"/>
          </w:tcPr>
          <w:p w14:paraId="45C42A8D" w14:textId="77777777" w:rsidR="00B02873" w:rsidRPr="00A77A11" w:rsidRDefault="00B02873" w:rsidP="00603355">
            <w:pPr>
              <w:pStyle w:val="TablebodyleftTables"/>
              <w:jc w:val="right"/>
              <w:rPr>
                <w:sz w:val="20"/>
                <w:szCs w:val="20"/>
              </w:rPr>
            </w:pPr>
            <w:r w:rsidRPr="00A77A11">
              <w:rPr>
                <w:sz w:val="20"/>
                <w:szCs w:val="20"/>
              </w:rPr>
              <w:t>108.67</w:t>
            </w:r>
          </w:p>
        </w:tc>
        <w:tc>
          <w:tcPr>
            <w:tcW w:w="1495" w:type="dxa"/>
          </w:tcPr>
          <w:p w14:paraId="11A13D71" w14:textId="77777777" w:rsidR="00B02873" w:rsidRPr="00A77A11" w:rsidRDefault="00B02873" w:rsidP="00603355">
            <w:pPr>
              <w:pStyle w:val="TablebodyleftTables"/>
              <w:jc w:val="right"/>
              <w:rPr>
                <w:sz w:val="20"/>
                <w:szCs w:val="20"/>
              </w:rPr>
            </w:pPr>
            <w:r w:rsidRPr="00A77A11">
              <w:rPr>
                <w:sz w:val="20"/>
                <w:szCs w:val="20"/>
              </w:rPr>
              <w:t>23.66</w:t>
            </w:r>
          </w:p>
        </w:tc>
        <w:tc>
          <w:tcPr>
            <w:tcW w:w="1536" w:type="dxa"/>
          </w:tcPr>
          <w:p w14:paraId="71BEBFD6" w14:textId="77777777" w:rsidR="00B02873" w:rsidRPr="00A77A11" w:rsidRDefault="00B02873" w:rsidP="00603355">
            <w:pPr>
              <w:pStyle w:val="TablebodyleftTables"/>
              <w:jc w:val="right"/>
              <w:rPr>
                <w:sz w:val="20"/>
                <w:szCs w:val="20"/>
              </w:rPr>
            </w:pPr>
            <w:r w:rsidRPr="00A77A11">
              <w:rPr>
                <w:sz w:val="20"/>
                <w:szCs w:val="20"/>
              </w:rPr>
              <w:t>22</w:t>
            </w:r>
          </w:p>
        </w:tc>
        <w:tc>
          <w:tcPr>
            <w:tcW w:w="1276" w:type="dxa"/>
          </w:tcPr>
          <w:p w14:paraId="3DD25FE4" w14:textId="77777777" w:rsidR="00B02873" w:rsidRPr="00A77A11" w:rsidRDefault="00B02873" w:rsidP="00603355">
            <w:pPr>
              <w:pStyle w:val="TablebodyleftTables"/>
              <w:jc w:val="right"/>
              <w:rPr>
                <w:sz w:val="20"/>
                <w:szCs w:val="20"/>
              </w:rPr>
            </w:pPr>
            <w:r w:rsidRPr="00A77A11">
              <w:rPr>
                <w:sz w:val="20"/>
                <w:szCs w:val="20"/>
              </w:rPr>
              <w:t>5.95</w:t>
            </w:r>
          </w:p>
        </w:tc>
        <w:tc>
          <w:tcPr>
            <w:tcW w:w="1377" w:type="dxa"/>
          </w:tcPr>
          <w:p w14:paraId="4AB57E13" w14:textId="77777777" w:rsidR="00B02873" w:rsidRPr="00A77A11" w:rsidRDefault="00B02873" w:rsidP="00603355">
            <w:pPr>
              <w:pStyle w:val="TablebodyleftTables"/>
              <w:jc w:val="right"/>
              <w:rPr>
                <w:sz w:val="20"/>
                <w:szCs w:val="20"/>
              </w:rPr>
            </w:pPr>
            <w:r w:rsidRPr="00A77A11">
              <w:rPr>
                <w:sz w:val="20"/>
                <w:szCs w:val="20"/>
              </w:rPr>
              <w:t>5.5</w:t>
            </w:r>
          </w:p>
        </w:tc>
        <w:tc>
          <w:tcPr>
            <w:tcW w:w="1517" w:type="dxa"/>
          </w:tcPr>
          <w:p w14:paraId="2FB28D59" w14:textId="77777777" w:rsidR="00B02873" w:rsidRPr="00A77A11" w:rsidRDefault="00B02873" w:rsidP="00603355">
            <w:pPr>
              <w:pStyle w:val="TablebodyleftTables"/>
              <w:jc w:val="right"/>
              <w:rPr>
                <w:sz w:val="20"/>
                <w:szCs w:val="20"/>
              </w:rPr>
            </w:pPr>
            <w:r w:rsidRPr="00A77A11">
              <w:rPr>
                <w:sz w:val="20"/>
                <w:szCs w:val="20"/>
              </w:rPr>
              <w:t>85.01</w:t>
            </w:r>
          </w:p>
        </w:tc>
      </w:tr>
      <w:tr w:rsidR="00B02873" w:rsidRPr="00A77A11" w14:paraId="01BAC031" w14:textId="77777777" w:rsidTr="00A77A11">
        <w:trPr>
          <w:trHeight w:val="60"/>
        </w:trPr>
        <w:tc>
          <w:tcPr>
            <w:tcW w:w="1376" w:type="dxa"/>
          </w:tcPr>
          <w:p w14:paraId="4D7F5FFC" w14:textId="77777777" w:rsidR="00B02873" w:rsidRPr="00A77A11" w:rsidRDefault="00B02873" w:rsidP="00B415A9">
            <w:pPr>
              <w:pStyle w:val="TablebodyleftTables"/>
              <w:rPr>
                <w:sz w:val="20"/>
                <w:szCs w:val="20"/>
              </w:rPr>
            </w:pPr>
            <w:r w:rsidRPr="00A77A11">
              <w:rPr>
                <w:sz w:val="20"/>
                <w:szCs w:val="20"/>
              </w:rPr>
              <w:t>30 June 2016</w:t>
            </w:r>
          </w:p>
        </w:tc>
        <w:tc>
          <w:tcPr>
            <w:tcW w:w="1377" w:type="dxa"/>
          </w:tcPr>
          <w:p w14:paraId="2A922F13" w14:textId="77777777" w:rsidR="00B02873" w:rsidRPr="00A77A11" w:rsidRDefault="00B02873" w:rsidP="00603355">
            <w:pPr>
              <w:pStyle w:val="TablebodyleftTables"/>
              <w:jc w:val="right"/>
              <w:rPr>
                <w:sz w:val="20"/>
                <w:szCs w:val="20"/>
              </w:rPr>
            </w:pPr>
            <w:r w:rsidRPr="00A77A11">
              <w:rPr>
                <w:sz w:val="20"/>
                <w:szCs w:val="20"/>
              </w:rPr>
              <w:t>176.01</w:t>
            </w:r>
          </w:p>
        </w:tc>
        <w:tc>
          <w:tcPr>
            <w:tcW w:w="1495" w:type="dxa"/>
          </w:tcPr>
          <w:p w14:paraId="4524AE4A" w14:textId="77777777" w:rsidR="00B02873" w:rsidRPr="00A77A11" w:rsidRDefault="00B02873" w:rsidP="00603355">
            <w:pPr>
              <w:pStyle w:val="TablebodyleftTables"/>
              <w:jc w:val="right"/>
              <w:rPr>
                <w:sz w:val="20"/>
                <w:szCs w:val="20"/>
              </w:rPr>
            </w:pPr>
            <w:r w:rsidRPr="00A77A11">
              <w:rPr>
                <w:sz w:val="20"/>
                <w:szCs w:val="20"/>
              </w:rPr>
              <w:t>24.30</w:t>
            </w:r>
          </w:p>
        </w:tc>
        <w:tc>
          <w:tcPr>
            <w:tcW w:w="1536" w:type="dxa"/>
          </w:tcPr>
          <w:p w14:paraId="2B3F242D" w14:textId="77777777" w:rsidR="00B02873" w:rsidRPr="00A77A11" w:rsidRDefault="00B02873" w:rsidP="00603355">
            <w:pPr>
              <w:pStyle w:val="TablebodyleftTables"/>
              <w:jc w:val="right"/>
              <w:rPr>
                <w:sz w:val="20"/>
                <w:szCs w:val="20"/>
              </w:rPr>
            </w:pPr>
            <w:r w:rsidRPr="00A77A11">
              <w:rPr>
                <w:sz w:val="20"/>
                <w:szCs w:val="20"/>
              </w:rPr>
              <w:t>14</w:t>
            </w:r>
          </w:p>
        </w:tc>
        <w:tc>
          <w:tcPr>
            <w:tcW w:w="1276" w:type="dxa"/>
          </w:tcPr>
          <w:p w14:paraId="305B9D47" w14:textId="77777777" w:rsidR="00B02873" w:rsidRPr="00A77A11" w:rsidRDefault="00B02873" w:rsidP="00603355">
            <w:pPr>
              <w:pStyle w:val="TablebodyleftTables"/>
              <w:jc w:val="right"/>
              <w:rPr>
                <w:sz w:val="20"/>
                <w:szCs w:val="20"/>
              </w:rPr>
            </w:pPr>
            <w:r w:rsidRPr="00A77A11">
              <w:rPr>
                <w:sz w:val="20"/>
                <w:szCs w:val="20"/>
              </w:rPr>
              <w:t>7.59</w:t>
            </w:r>
          </w:p>
        </w:tc>
        <w:tc>
          <w:tcPr>
            <w:tcW w:w="1377" w:type="dxa"/>
          </w:tcPr>
          <w:p w14:paraId="45AD78D8" w14:textId="77777777" w:rsidR="00B02873" w:rsidRPr="00A77A11" w:rsidRDefault="00B02873" w:rsidP="00603355">
            <w:pPr>
              <w:pStyle w:val="TablebodyleftTables"/>
              <w:jc w:val="right"/>
              <w:rPr>
                <w:sz w:val="20"/>
                <w:szCs w:val="20"/>
              </w:rPr>
            </w:pPr>
            <w:r w:rsidRPr="00A77A11">
              <w:rPr>
                <w:sz w:val="20"/>
                <w:szCs w:val="20"/>
              </w:rPr>
              <w:t>4.3</w:t>
            </w:r>
          </w:p>
        </w:tc>
        <w:tc>
          <w:tcPr>
            <w:tcW w:w="1517" w:type="dxa"/>
          </w:tcPr>
          <w:p w14:paraId="2B01DE52" w14:textId="77777777" w:rsidR="00B02873" w:rsidRPr="00A77A11" w:rsidRDefault="00B02873" w:rsidP="00603355">
            <w:pPr>
              <w:pStyle w:val="TablebodyleftTables"/>
              <w:jc w:val="right"/>
              <w:rPr>
                <w:sz w:val="20"/>
                <w:szCs w:val="20"/>
              </w:rPr>
            </w:pPr>
            <w:r w:rsidRPr="00A77A11">
              <w:rPr>
                <w:sz w:val="20"/>
                <w:szCs w:val="20"/>
              </w:rPr>
              <w:t>151.71</w:t>
            </w:r>
          </w:p>
        </w:tc>
      </w:tr>
      <w:tr w:rsidR="00B02873" w:rsidRPr="00A77A11" w14:paraId="0B858C6F" w14:textId="77777777" w:rsidTr="00A77A11">
        <w:trPr>
          <w:trHeight w:val="60"/>
        </w:trPr>
        <w:tc>
          <w:tcPr>
            <w:tcW w:w="1376" w:type="dxa"/>
          </w:tcPr>
          <w:p w14:paraId="746BC774" w14:textId="77777777" w:rsidR="00B02873" w:rsidRPr="00A77A11" w:rsidRDefault="00B02873" w:rsidP="00B415A9">
            <w:pPr>
              <w:pStyle w:val="TablebodyleftTables"/>
              <w:rPr>
                <w:sz w:val="20"/>
                <w:szCs w:val="20"/>
              </w:rPr>
            </w:pPr>
            <w:r w:rsidRPr="00A77A11">
              <w:rPr>
                <w:sz w:val="20"/>
                <w:szCs w:val="20"/>
              </w:rPr>
              <w:t>30 June 2017</w:t>
            </w:r>
          </w:p>
        </w:tc>
        <w:tc>
          <w:tcPr>
            <w:tcW w:w="1377" w:type="dxa"/>
          </w:tcPr>
          <w:p w14:paraId="65CF9B10" w14:textId="77777777" w:rsidR="00B02873" w:rsidRPr="00A77A11" w:rsidRDefault="00B02873" w:rsidP="00603355">
            <w:pPr>
              <w:pStyle w:val="TablebodyleftTables"/>
              <w:jc w:val="right"/>
              <w:rPr>
                <w:sz w:val="20"/>
                <w:szCs w:val="20"/>
              </w:rPr>
            </w:pPr>
            <w:r w:rsidRPr="00A77A11">
              <w:rPr>
                <w:sz w:val="20"/>
                <w:szCs w:val="20"/>
              </w:rPr>
              <w:t>281.54</w:t>
            </w:r>
          </w:p>
        </w:tc>
        <w:tc>
          <w:tcPr>
            <w:tcW w:w="1495" w:type="dxa"/>
          </w:tcPr>
          <w:p w14:paraId="687C9132" w14:textId="77777777" w:rsidR="00B02873" w:rsidRPr="00A77A11" w:rsidRDefault="00B02873" w:rsidP="00603355">
            <w:pPr>
              <w:pStyle w:val="TablebodyleftTables"/>
              <w:jc w:val="right"/>
              <w:rPr>
                <w:sz w:val="20"/>
                <w:szCs w:val="20"/>
              </w:rPr>
            </w:pPr>
            <w:r w:rsidRPr="00A77A11">
              <w:rPr>
                <w:sz w:val="20"/>
                <w:szCs w:val="20"/>
              </w:rPr>
              <w:t>129.65</w:t>
            </w:r>
          </w:p>
        </w:tc>
        <w:tc>
          <w:tcPr>
            <w:tcW w:w="1536" w:type="dxa"/>
          </w:tcPr>
          <w:p w14:paraId="0DDB29F2" w14:textId="77777777" w:rsidR="00B02873" w:rsidRPr="00A77A11" w:rsidRDefault="00B02873" w:rsidP="00603355">
            <w:pPr>
              <w:pStyle w:val="TablebodyleftTables"/>
              <w:jc w:val="right"/>
              <w:rPr>
                <w:sz w:val="20"/>
                <w:szCs w:val="20"/>
              </w:rPr>
            </w:pPr>
            <w:r w:rsidRPr="00A77A11">
              <w:rPr>
                <w:sz w:val="20"/>
                <w:szCs w:val="20"/>
              </w:rPr>
              <w:t>46</w:t>
            </w:r>
          </w:p>
        </w:tc>
        <w:tc>
          <w:tcPr>
            <w:tcW w:w="1276" w:type="dxa"/>
          </w:tcPr>
          <w:p w14:paraId="2BE4E947" w14:textId="77777777" w:rsidR="00B02873" w:rsidRPr="00A77A11" w:rsidRDefault="00B02873" w:rsidP="00603355">
            <w:pPr>
              <w:pStyle w:val="TablebodyleftTables"/>
              <w:jc w:val="right"/>
              <w:rPr>
                <w:sz w:val="20"/>
                <w:szCs w:val="20"/>
              </w:rPr>
            </w:pPr>
            <w:r w:rsidRPr="00A77A11">
              <w:rPr>
                <w:sz w:val="20"/>
                <w:szCs w:val="20"/>
              </w:rPr>
              <w:t>28.28</w:t>
            </w:r>
          </w:p>
        </w:tc>
        <w:tc>
          <w:tcPr>
            <w:tcW w:w="1377" w:type="dxa"/>
          </w:tcPr>
          <w:p w14:paraId="07D623C2" w14:textId="77777777" w:rsidR="00B02873" w:rsidRPr="00A77A11" w:rsidRDefault="00B02873" w:rsidP="00603355">
            <w:pPr>
              <w:pStyle w:val="TablebodyleftTables"/>
              <w:jc w:val="right"/>
              <w:rPr>
                <w:sz w:val="20"/>
                <w:szCs w:val="20"/>
              </w:rPr>
            </w:pPr>
            <w:r w:rsidRPr="00A77A11">
              <w:rPr>
                <w:sz w:val="20"/>
                <w:szCs w:val="20"/>
              </w:rPr>
              <w:t>10.0</w:t>
            </w:r>
          </w:p>
        </w:tc>
        <w:tc>
          <w:tcPr>
            <w:tcW w:w="1517" w:type="dxa"/>
          </w:tcPr>
          <w:p w14:paraId="3D269096" w14:textId="77777777" w:rsidR="00B02873" w:rsidRPr="00A77A11" w:rsidRDefault="00B02873" w:rsidP="00603355">
            <w:pPr>
              <w:pStyle w:val="TablebodyleftTables"/>
              <w:jc w:val="right"/>
              <w:rPr>
                <w:sz w:val="20"/>
                <w:szCs w:val="20"/>
              </w:rPr>
            </w:pPr>
            <w:r w:rsidRPr="00A77A11">
              <w:rPr>
                <w:sz w:val="20"/>
                <w:szCs w:val="20"/>
              </w:rPr>
              <w:t>151.89</w:t>
            </w:r>
          </w:p>
        </w:tc>
      </w:tr>
      <w:tr w:rsidR="00B02873" w:rsidRPr="00A77A11" w14:paraId="00897C61" w14:textId="77777777" w:rsidTr="00A77A11">
        <w:trPr>
          <w:trHeight w:val="60"/>
        </w:trPr>
        <w:tc>
          <w:tcPr>
            <w:tcW w:w="1376" w:type="dxa"/>
          </w:tcPr>
          <w:p w14:paraId="1D692BCF" w14:textId="77777777" w:rsidR="00B02873" w:rsidRPr="00A77A11" w:rsidRDefault="00B02873" w:rsidP="00B415A9">
            <w:pPr>
              <w:pStyle w:val="TablebodyleftTables"/>
              <w:rPr>
                <w:sz w:val="20"/>
                <w:szCs w:val="20"/>
              </w:rPr>
            </w:pPr>
            <w:r w:rsidRPr="00A77A11">
              <w:rPr>
                <w:sz w:val="20"/>
                <w:szCs w:val="20"/>
              </w:rPr>
              <w:t>30 June 2018</w:t>
            </w:r>
          </w:p>
        </w:tc>
        <w:tc>
          <w:tcPr>
            <w:tcW w:w="1377" w:type="dxa"/>
          </w:tcPr>
          <w:p w14:paraId="66C2617D" w14:textId="77777777" w:rsidR="00B02873" w:rsidRPr="00A77A11" w:rsidRDefault="00B02873" w:rsidP="00603355">
            <w:pPr>
              <w:pStyle w:val="TablebodyleftTables"/>
              <w:jc w:val="right"/>
              <w:rPr>
                <w:sz w:val="20"/>
                <w:szCs w:val="20"/>
              </w:rPr>
            </w:pPr>
            <w:r w:rsidRPr="00A77A11">
              <w:rPr>
                <w:sz w:val="20"/>
                <w:szCs w:val="20"/>
              </w:rPr>
              <w:t>393.68</w:t>
            </w:r>
          </w:p>
        </w:tc>
        <w:tc>
          <w:tcPr>
            <w:tcW w:w="1495" w:type="dxa"/>
          </w:tcPr>
          <w:p w14:paraId="4A22E894" w14:textId="77777777" w:rsidR="00B02873" w:rsidRPr="00A77A11" w:rsidRDefault="00B02873" w:rsidP="00603355">
            <w:pPr>
              <w:pStyle w:val="TablebodyleftTables"/>
              <w:jc w:val="right"/>
              <w:rPr>
                <w:sz w:val="20"/>
                <w:szCs w:val="20"/>
              </w:rPr>
            </w:pPr>
            <w:r w:rsidRPr="00A77A11">
              <w:rPr>
                <w:sz w:val="20"/>
                <w:szCs w:val="20"/>
              </w:rPr>
              <w:t xml:space="preserve">375.66 </w:t>
            </w:r>
          </w:p>
        </w:tc>
        <w:tc>
          <w:tcPr>
            <w:tcW w:w="1536" w:type="dxa"/>
          </w:tcPr>
          <w:p w14:paraId="38414C62" w14:textId="77777777" w:rsidR="00B02873" w:rsidRPr="00A77A11" w:rsidRDefault="00B02873" w:rsidP="00603355">
            <w:pPr>
              <w:pStyle w:val="TablebodyleftTables"/>
              <w:jc w:val="right"/>
              <w:rPr>
                <w:sz w:val="20"/>
                <w:szCs w:val="20"/>
              </w:rPr>
            </w:pPr>
            <w:r w:rsidRPr="00A77A11">
              <w:rPr>
                <w:sz w:val="20"/>
                <w:szCs w:val="20"/>
              </w:rPr>
              <w:t>95.4</w:t>
            </w:r>
          </w:p>
        </w:tc>
        <w:tc>
          <w:tcPr>
            <w:tcW w:w="1276" w:type="dxa"/>
          </w:tcPr>
          <w:p w14:paraId="3C1C248B" w14:textId="77777777" w:rsidR="00B02873" w:rsidRPr="00A77A11" w:rsidRDefault="00B02873" w:rsidP="00603355">
            <w:pPr>
              <w:pStyle w:val="TablebodyleftTables"/>
              <w:jc w:val="right"/>
              <w:rPr>
                <w:sz w:val="20"/>
                <w:szCs w:val="20"/>
              </w:rPr>
            </w:pPr>
            <w:r w:rsidRPr="00A77A11">
              <w:rPr>
                <w:sz w:val="20"/>
                <w:szCs w:val="20"/>
              </w:rPr>
              <w:t>107.10</w:t>
            </w:r>
          </w:p>
        </w:tc>
        <w:tc>
          <w:tcPr>
            <w:tcW w:w="1377" w:type="dxa"/>
          </w:tcPr>
          <w:p w14:paraId="1EB2B347" w14:textId="77777777" w:rsidR="00B02873" w:rsidRPr="00A77A11" w:rsidRDefault="00B02873" w:rsidP="00603355">
            <w:pPr>
              <w:pStyle w:val="TablebodyleftTables"/>
              <w:jc w:val="right"/>
              <w:rPr>
                <w:sz w:val="20"/>
                <w:szCs w:val="20"/>
              </w:rPr>
            </w:pPr>
            <w:r w:rsidRPr="00A77A11">
              <w:rPr>
                <w:sz w:val="20"/>
                <w:szCs w:val="20"/>
              </w:rPr>
              <w:t>27.2</w:t>
            </w:r>
          </w:p>
        </w:tc>
        <w:tc>
          <w:tcPr>
            <w:tcW w:w="1517" w:type="dxa"/>
          </w:tcPr>
          <w:p w14:paraId="489468E9" w14:textId="77777777" w:rsidR="00B02873" w:rsidRPr="00A77A11" w:rsidRDefault="00B02873" w:rsidP="00603355">
            <w:pPr>
              <w:pStyle w:val="TablebodyleftTables"/>
              <w:jc w:val="right"/>
              <w:rPr>
                <w:sz w:val="20"/>
                <w:szCs w:val="20"/>
              </w:rPr>
            </w:pPr>
            <w:r w:rsidRPr="00A77A11">
              <w:rPr>
                <w:sz w:val="20"/>
                <w:szCs w:val="20"/>
              </w:rPr>
              <w:t>18.02</w:t>
            </w:r>
          </w:p>
        </w:tc>
      </w:tr>
      <w:tr w:rsidR="00B02873" w:rsidRPr="00A77A11" w14:paraId="0A8E4B2C" w14:textId="77777777" w:rsidTr="00A77A11">
        <w:trPr>
          <w:trHeight w:val="60"/>
        </w:trPr>
        <w:tc>
          <w:tcPr>
            <w:tcW w:w="1376" w:type="dxa"/>
          </w:tcPr>
          <w:p w14:paraId="35753E86" w14:textId="77777777" w:rsidR="00B02873" w:rsidRPr="00A77A11" w:rsidRDefault="00B02873" w:rsidP="00B415A9">
            <w:pPr>
              <w:pStyle w:val="TablebodyleftTables"/>
              <w:rPr>
                <w:sz w:val="20"/>
                <w:szCs w:val="20"/>
              </w:rPr>
            </w:pPr>
            <w:r w:rsidRPr="00A77A11">
              <w:rPr>
                <w:sz w:val="20"/>
                <w:szCs w:val="20"/>
              </w:rPr>
              <w:t>30 June 2019</w:t>
            </w:r>
          </w:p>
        </w:tc>
        <w:tc>
          <w:tcPr>
            <w:tcW w:w="1377" w:type="dxa"/>
          </w:tcPr>
          <w:p w14:paraId="6DEC77BD" w14:textId="77777777" w:rsidR="00B02873" w:rsidRPr="00A77A11" w:rsidRDefault="00B02873" w:rsidP="00603355">
            <w:pPr>
              <w:pStyle w:val="TablebodyleftTables"/>
              <w:jc w:val="right"/>
              <w:rPr>
                <w:sz w:val="20"/>
                <w:szCs w:val="20"/>
              </w:rPr>
            </w:pPr>
            <w:r w:rsidRPr="00A77A11">
              <w:rPr>
                <w:sz w:val="20"/>
                <w:szCs w:val="20"/>
              </w:rPr>
              <w:t>543.77</w:t>
            </w:r>
          </w:p>
        </w:tc>
        <w:tc>
          <w:tcPr>
            <w:tcW w:w="1495" w:type="dxa"/>
          </w:tcPr>
          <w:p w14:paraId="23BA89E5" w14:textId="77777777" w:rsidR="00B02873" w:rsidRPr="00A77A11" w:rsidRDefault="00B02873" w:rsidP="00603355">
            <w:pPr>
              <w:pStyle w:val="TablebodyleftTables"/>
              <w:jc w:val="right"/>
              <w:rPr>
                <w:sz w:val="20"/>
                <w:szCs w:val="20"/>
              </w:rPr>
            </w:pPr>
            <w:r w:rsidRPr="00A77A11">
              <w:rPr>
                <w:sz w:val="20"/>
                <w:szCs w:val="20"/>
              </w:rPr>
              <w:t xml:space="preserve">458.34 </w:t>
            </w:r>
          </w:p>
        </w:tc>
        <w:tc>
          <w:tcPr>
            <w:tcW w:w="1536" w:type="dxa"/>
          </w:tcPr>
          <w:p w14:paraId="4648CFF6" w14:textId="77777777" w:rsidR="00B02873" w:rsidRPr="00A77A11" w:rsidRDefault="00B02873" w:rsidP="00603355">
            <w:pPr>
              <w:pStyle w:val="TablebodyleftTables"/>
              <w:jc w:val="right"/>
              <w:rPr>
                <w:sz w:val="20"/>
                <w:szCs w:val="20"/>
              </w:rPr>
            </w:pPr>
            <w:r w:rsidRPr="00A77A11">
              <w:rPr>
                <w:sz w:val="20"/>
                <w:szCs w:val="20"/>
              </w:rPr>
              <w:t>84</w:t>
            </w:r>
          </w:p>
        </w:tc>
        <w:tc>
          <w:tcPr>
            <w:tcW w:w="1276" w:type="dxa"/>
          </w:tcPr>
          <w:p w14:paraId="725EEBED" w14:textId="77777777" w:rsidR="00B02873" w:rsidRPr="00A77A11" w:rsidRDefault="00B02873" w:rsidP="00603355">
            <w:pPr>
              <w:pStyle w:val="TablebodyleftTables"/>
              <w:jc w:val="right"/>
              <w:rPr>
                <w:sz w:val="20"/>
                <w:szCs w:val="20"/>
              </w:rPr>
            </w:pPr>
            <w:r w:rsidRPr="00A77A11">
              <w:rPr>
                <w:sz w:val="20"/>
                <w:szCs w:val="20"/>
              </w:rPr>
              <w:t>319.72</w:t>
            </w:r>
          </w:p>
        </w:tc>
        <w:tc>
          <w:tcPr>
            <w:tcW w:w="1377" w:type="dxa"/>
          </w:tcPr>
          <w:p w14:paraId="3E8DE1F4" w14:textId="77777777" w:rsidR="00B02873" w:rsidRPr="00A77A11" w:rsidRDefault="00B02873" w:rsidP="00603355">
            <w:pPr>
              <w:pStyle w:val="TablebodyleftTables"/>
              <w:jc w:val="right"/>
              <w:rPr>
                <w:sz w:val="20"/>
                <w:szCs w:val="20"/>
              </w:rPr>
            </w:pPr>
            <w:r w:rsidRPr="00A77A11">
              <w:rPr>
                <w:sz w:val="20"/>
                <w:szCs w:val="20"/>
              </w:rPr>
              <w:t>59</w:t>
            </w:r>
          </w:p>
        </w:tc>
        <w:tc>
          <w:tcPr>
            <w:tcW w:w="1517" w:type="dxa"/>
          </w:tcPr>
          <w:p w14:paraId="6422150C" w14:textId="77777777" w:rsidR="00B02873" w:rsidRPr="00A77A11" w:rsidRDefault="00B02873" w:rsidP="00603355">
            <w:pPr>
              <w:pStyle w:val="TablebodyleftTables"/>
              <w:jc w:val="right"/>
              <w:rPr>
                <w:sz w:val="20"/>
                <w:szCs w:val="20"/>
              </w:rPr>
            </w:pPr>
            <w:r w:rsidRPr="00A77A11">
              <w:rPr>
                <w:sz w:val="20"/>
                <w:szCs w:val="20"/>
              </w:rPr>
              <w:t>85.43</w:t>
            </w:r>
          </w:p>
        </w:tc>
      </w:tr>
      <w:tr w:rsidR="00B02873" w:rsidRPr="00A77A11" w14:paraId="1694E687" w14:textId="77777777" w:rsidTr="00A77A11">
        <w:trPr>
          <w:trHeight w:val="60"/>
        </w:trPr>
        <w:tc>
          <w:tcPr>
            <w:tcW w:w="1376" w:type="dxa"/>
          </w:tcPr>
          <w:p w14:paraId="0FE69A59" w14:textId="77777777" w:rsidR="00B02873" w:rsidRPr="00A77A11" w:rsidRDefault="00B02873" w:rsidP="00B415A9">
            <w:pPr>
              <w:pStyle w:val="TablebodyleftTables"/>
              <w:rPr>
                <w:sz w:val="20"/>
                <w:szCs w:val="20"/>
              </w:rPr>
            </w:pPr>
            <w:r w:rsidRPr="00A77A11">
              <w:rPr>
                <w:sz w:val="20"/>
                <w:szCs w:val="20"/>
              </w:rPr>
              <w:t>30 June 2020</w:t>
            </w:r>
          </w:p>
        </w:tc>
        <w:tc>
          <w:tcPr>
            <w:tcW w:w="1377" w:type="dxa"/>
          </w:tcPr>
          <w:p w14:paraId="1CBC0720" w14:textId="77777777" w:rsidR="00B02873" w:rsidRPr="00A77A11" w:rsidRDefault="00B02873" w:rsidP="00603355">
            <w:pPr>
              <w:pStyle w:val="TablebodyleftTables"/>
              <w:jc w:val="right"/>
              <w:rPr>
                <w:sz w:val="20"/>
                <w:szCs w:val="20"/>
              </w:rPr>
            </w:pPr>
            <w:r w:rsidRPr="00A77A11">
              <w:rPr>
                <w:sz w:val="20"/>
                <w:szCs w:val="20"/>
              </w:rPr>
              <w:t>695.55</w:t>
            </w:r>
          </w:p>
        </w:tc>
        <w:tc>
          <w:tcPr>
            <w:tcW w:w="1495" w:type="dxa"/>
          </w:tcPr>
          <w:p w14:paraId="746A1257" w14:textId="77777777" w:rsidR="00B02873" w:rsidRPr="00A77A11" w:rsidRDefault="00B02873" w:rsidP="00603355">
            <w:pPr>
              <w:pStyle w:val="TablebodyleftTables"/>
              <w:jc w:val="right"/>
              <w:rPr>
                <w:sz w:val="20"/>
                <w:szCs w:val="20"/>
              </w:rPr>
            </w:pPr>
            <w:r w:rsidRPr="00A77A11">
              <w:rPr>
                <w:sz w:val="20"/>
                <w:szCs w:val="20"/>
              </w:rPr>
              <w:t xml:space="preserve">624.87 </w:t>
            </w:r>
          </w:p>
        </w:tc>
        <w:tc>
          <w:tcPr>
            <w:tcW w:w="1536" w:type="dxa"/>
          </w:tcPr>
          <w:p w14:paraId="244E8AE5" w14:textId="77777777" w:rsidR="00B02873" w:rsidRPr="00A77A11" w:rsidRDefault="00B02873" w:rsidP="00603355">
            <w:pPr>
              <w:pStyle w:val="TablebodyleftTables"/>
              <w:jc w:val="right"/>
              <w:rPr>
                <w:sz w:val="20"/>
                <w:szCs w:val="20"/>
              </w:rPr>
            </w:pPr>
            <w:r w:rsidRPr="00A77A11">
              <w:rPr>
                <w:sz w:val="20"/>
                <w:szCs w:val="20"/>
              </w:rPr>
              <w:t>90</w:t>
            </w:r>
          </w:p>
        </w:tc>
        <w:tc>
          <w:tcPr>
            <w:tcW w:w="1276" w:type="dxa"/>
          </w:tcPr>
          <w:p w14:paraId="74332D42" w14:textId="77777777" w:rsidR="00B02873" w:rsidRPr="00A77A11" w:rsidRDefault="00B02873" w:rsidP="00603355">
            <w:pPr>
              <w:pStyle w:val="TablebodyleftTables"/>
              <w:jc w:val="right"/>
              <w:rPr>
                <w:sz w:val="20"/>
                <w:szCs w:val="20"/>
              </w:rPr>
            </w:pPr>
            <w:r w:rsidRPr="00A77A11">
              <w:rPr>
                <w:sz w:val="20"/>
                <w:szCs w:val="20"/>
              </w:rPr>
              <w:t>458.91</w:t>
            </w:r>
          </w:p>
        </w:tc>
        <w:tc>
          <w:tcPr>
            <w:tcW w:w="1377" w:type="dxa"/>
          </w:tcPr>
          <w:p w14:paraId="6A5C3469" w14:textId="77777777" w:rsidR="00B02873" w:rsidRPr="00A77A11" w:rsidRDefault="00B02873" w:rsidP="00603355">
            <w:pPr>
              <w:pStyle w:val="TablebodyleftTables"/>
              <w:jc w:val="right"/>
              <w:rPr>
                <w:sz w:val="20"/>
                <w:szCs w:val="20"/>
              </w:rPr>
            </w:pPr>
            <w:r w:rsidRPr="00A77A11">
              <w:rPr>
                <w:sz w:val="20"/>
                <w:szCs w:val="20"/>
              </w:rPr>
              <w:t>66</w:t>
            </w:r>
          </w:p>
        </w:tc>
        <w:tc>
          <w:tcPr>
            <w:tcW w:w="1517" w:type="dxa"/>
          </w:tcPr>
          <w:p w14:paraId="6E538EA9" w14:textId="77777777" w:rsidR="00B02873" w:rsidRPr="00A77A11" w:rsidRDefault="00B02873" w:rsidP="00603355">
            <w:pPr>
              <w:pStyle w:val="TablebodyleftTables"/>
              <w:jc w:val="right"/>
              <w:rPr>
                <w:sz w:val="20"/>
                <w:szCs w:val="20"/>
              </w:rPr>
            </w:pPr>
            <w:r w:rsidRPr="00A77A11">
              <w:rPr>
                <w:sz w:val="20"/>
                <w:szCs w:val="20"/>
              </w:rPr>
              <w:t>70.68</w:t>
            </w:r>
          </w:p>
        </w:tc>
      </w:tr>
      <w:tr w:rsidR="00B02873" w:rsidRPr="00A77A11" w14:paraId="333A51C9" w14:textId="77777777" w:rsidTr="00A77A11">
        <w:trPr>
          <w:trHeight w:val="60"/>
        </w:trPr>
        <w:tc>
          <w:tcPr>
            <w:tcW w:w="1376" w:type="dxa"/>
          </w:tcPr>
          <w:p w14:paraId="695C89B4" w14:textId="77777777" w:rsidR="00B02873" w:rsidRPr="00A77A11" w:rsidRDefault="00B02873" w:rsidP="00B415A9">
            <w:pPr>
              <w:pStyle w:val="TablebodyleftTables"/>
              <w:rPr>
                <w:sz w:val="20"/>
                <w:szCs w:val="20"/>
              </w:rPr>
            </w:pPr>
            <w:r w:rsidRPr="00A77A11">
              <w:rPr>
                <w:sz w:val="20"/>
                <w:szCs w:val="20"/>
              </w:rPr>
              <w:t>30 June 2021</w:t>
            </w:r>
          </w:p>
        </w:tc>
        <w:tc>
          <w:tcPr>
            <w:tcW w:w="1377" w:type="dxa"/>
          </w:tcPr>
          <w:p w14:paraId="1E1BB53B" w14:textId="77777777" w:rsidR="00B02873" w:rsidRPr="00A77A11" w:rsidRDefault="00B02873" w:rsidP="00603355">
            <w:pPr>
              <w:pStyle w:val="TablebodyleftTables"/>
              <w:jc w:val="right"/>
              <w:rPr>
                <w:sz w:val="20"/>
                <w:szCs w:val="20"/>
              </w:rPr>
            </w:pPr>
            <w:r w:rsidRPr="00A77A11">
              <w:rPr>
                <w:sz w:val="20"/>
                <w:szCs w:val="20"/>
              </w:rPr>
              <w:t>818.26</w:t>
            </w:r>
          </w:p>
        </w:tc>
        <w:tc>
          <w:tcPr>
            <w:tcW w:w="1495" w:type="dxa"/>
          </w:tcPr>
          <w:p w14:paraId="28044F0F" w14:textId="77777777" w:rsidR="00B02873" w:rsidRPr="00A77A11" w:rsidRDefault="00B02873" w:rsidP="00603355">
            <w:pPr>
              <w:pStyle w:val="TablebodyleftTables"/>
              <w:jc w:val="right"/>
              <w:rPr>
                <w:sz w:val="20"/>
                <w:szCs w:val="20"/>
              </w:rPr>
            </w:pPr>
            <w:r w:rsidRPr="00A77A11">
              <w:rPr>
                <w:sz w:val="20"/>
                <w:szCs w:val="20"/>
              </w:rPr>
              <w:t xml:space="preserve">626.99 </w:t>
            </w:r>
          </w:p>
        </w:tc>
        <w:tc>
          <w:tcPr>
            <w:tcW w:w="1536" w:type="dxa"/>
          </w:tcPr>
          <w:p w14:paraId="4859B5E2" w14:textId="77777777" w:rsidR="00B02873" w:rsidRPr="00A77A11" w:rsidRDefault="00B02873" w:rsidP="00603355">
            <w:pPr>
              <w:pStyle w:val="TablebodyleftTables"/>
              <w:jc w:val="right"/>
              <w:rPr>
                <w:sz w:val="20"/>
                <w:szCs w:val="20"/>
              </w:rPr>
            </w:pPr>
            <w:r w:rsidRPr="00A77A11">
              <w:rPr>
                <w:sz w:val="20"/>
                <w:szCs w:val="20"/>
              </w:rPr>
              <w:t>77</w:t>
            </w:r>
          </w:p>
        </w:tc>
        <w:tc>
          <w:tcPr>
            <w:tcW w:w="1276" w:type="dxa"/>
          </w:tcPr>
          <w:p w14:paraId="34A38B39" w14:textId="77777777" w:rsidR="00B02873" w:rsidRPr="00A77A11" w:rsidRDefault="00B02873" w:rsidP="00603355">
            <w:pPr>
              <w:pStyle w:val="TablebodyleftTables"/>
              <w:jc w:val="right"/>
              <w:rPr>
                <w:sz w:val="20"/>
                <w:szCs w:val="20"/>
              </w:rPr>
            </w:pPr>
            <w:r w:rsidRPr="00A77A11">
              <w:rPr>
                <w:sz w:val="20"/>
                <w:szCs w:val="20"/>
              </w:rPr>
              <w:t>509.38</w:t>
            </w:r>
          </w:p>
        </w:tc>
        <w:tc>
          <w:tcPr>
            <w:tcW w:w="1377" w:type="dxa"/>
          </w:tcPr>
          <w:p w14:paraId="0120E7AC" w14:textId="77777777" w:rsidR="00B02873" w:rsidRPr="00A77A11" w:rsidRDefault="00B02873" w:rsidP="00603355">
            <w:pPr>
              <w:pStyle w:val="TablebodyleftTables"/>
              <w:jc w:val="right"/>
              <w:rPr>
                <w:sz w:val="20"/>
                <w:szCs w:val="20"/>
              </w:rPr>
            </w:pPr>
            <w:r w:rsidRPr="00A77A11">
              <w:rPr>
                <w:sz w:val="20"/>
                <w:szCs w:val="20"/>
              </w:rPr>
              <w:t>62</w:t>
            </w:r>
          </w:p>
        </w:tc>
        <w:tc>
          <w:tcPr>
            <w:tcW w:w="1517" w:type="dxa"/>
          </w:tcPr>
          <w:p w14:paraId="66645C6B" w14:textId="77777777" w:rsidR="00B02873" w:rsidRPr="00A77A11" w:rsidRDefault="00B02873" w:rsidP="00603355">
            <w:pPr>
              <w:pStyle w:val="TablebodyleftTables"/>
              <w:jc w:val="right"/>
              <w:rPr>
                <w:sz w:val="20"/>
                <w:szCs w:val="20"/>
              </w:rPr>
            </w:pPr>
            <w:r w:rsidRPr="00A77A11">
              <w:rPr>
                <w:sz w:val="20"/>
                <w:szCs w:val="20"/>
              </w:rPr>
              <w:t>191.27</w:t>
            </w:r>
          </w:p>
        </w:tc>
      </w:tr>
      <w:tr w:rsidR="00B02873" w:rsidRPr="00A77A11" w14:paraId="02A4FBFC" w14:textId="77777777" w:rsidTr="00A77A11">
        <w:trPr>
          <w:trHeight w:val="60"/>
        </w:trPr>
        <w:tc>
          <w:tcPr>
            <w:tcW w:w="1376" w:type="dxa"/>
          </w:tcPr>
          <w:p w14:paraId="5F6053F3" w14:textId="77777777" w:rsidR="00B02873" w:rsidRPr="00A77A11" w:rsidRDefault="00B02873" w:rsidP="00B415A9">
            <w:pPr>
              <w:pStyle w:val="TablebodyleftTables"/>
              <w:rPr>
                <w:sz w:val="20"/>
                <w:szCs w:val="20"/>
              </w:rPr>
            </w:pPr>
            <w:r w:rsidRPr="00A77A11">
              <w:rPr>
                <w:sz w:val="20"/>
                <w:szCs w:val="20"/>
              </w:rPr>
              <w:t>30 June 2022</w:t>
            </w:r>
          </w:p>
        </w:tc>
        <w:tc>
          <w:tcPr>
            <w:tcW w:w="1377" w:type="dxa"/>
          </w:tcPr>
          <w:p w14:paraId="0D817982" w14:textId="77777777" w:rsidR="00B02873" w:rsidRPr="00A77A11" w:rsidRDefault="00B02873" w:rsidP="00603355">
            <w:pPr>
              <w:pStyle w:val="TablebodyleftTables"/>
              <w:jc w:val="right"/>
              <w:rPr>
                <w:sz w:val="20"/>
                <w:szCs w:val="20"/>
              </w:rPr>
            </w:pPr>
            <w:r w:rsidRPr="00A77A11">
              <w:rPr>
                <w:sz w:val="20"/>
                <w:szCs w:val="20"/>
              </w:rPr>
              <w:t>1,013.19</w:t>
            </w:r>
          </w:p>
        </w:tc>
        <w:tc>
          <w:tcPr>
            <w:tcW w:w="1495" w:type="dxa"/>
          </w:tcPr>
          <w:p w14:paraId="3B1F16BE" w14:textId="77777777" w:rsidR="00B02873" w:rsidRPr="00A77A11" w:rsidRDefault="00B02873" w:rsidP="00603355">
            <w:pPr>
              <w:pStyle w:val="TablebodyleftTables"/>
              <w:jc w:val="right"/>
              <w:rPr>
                <w:sz w:val="20"/>
                <w:szCs w:val="20"/>
              </w:rPr>
            </w:pPr>
            <w:r w:rsidRPr="00A77A11">
              <w:rPr>
                <w:sz w:val="20"/>
                <w:szCs w:val="20"/>
              </w:rPr>
              <w:t>642.74</w:t>
            </w:r>
          </w:p>
        </w:tc>
        <w:tc>
          <w:tcPr>
            <w:tcW w:w="1536" w:type="dxa"/>
          </w:tcPr>
          <w:p w14:paraId="32B83870" w14:textId="77777777" w:rsidR="00B02873" w:rsidRPr="00A77A11" w:rsidRDefault="00B02873" w:rsidP="00603355">
            <w:pPr>
              <w:pStyle w:val="TablebodyleftTables"/>
              <w:jc w:val="right"/>
              <w:rPr>
                <w:sz w:val="20"/>
                <w:szCs w:val="20"/>
              </w:rPr>
            </w:pPr>
            <w:r w:rsidRPr="00A77A11">
              <w:rPr>
                <w:sz w:val="20"/>
                <w:szCs w:val="20"/>
              </w:rPr>
              <w:t>63</w:t>
            </w:r>
          </w:p>
        </w:tc>
        <w:tc>
          <w:tcPr>
            <w:tcW w:w="1276" w:type="dxa"/>
          </w:tcPr>
          <w:p w14:paraId="6059EA1E" w14:textId="77777777" w:rsidR="00B02873" w:rsidRPr="00A77A11" w:rsidRDefault="00B02873" w:rsidP="00603355">
            <w:pPr>
              <w:pStyle w:val="TablebodyleftTables"/>
              <w:jc w:val="right"/>
              <w:rPr>
                <w:sz w:val="20"/>
                <w:szCs w:val="20"/>
              </w:rPr>
            </w:pPr>
            <w:r w:rsidRPr="00A77A11">
              <w:rPr>
                <w:sz w:val="20"/>
                <w:szCs w:val="20"/>
              </w:rPr>
              <w:t>580.03</w:t>
            </w:r>
          </w:p>
        </w:tc>
        <w:tc>
          <w:tcPr>
            <w:tcW w:w="1377" w:type="dxa"/>
          </w:tcPr>
          <w:p w14:paraId="74775B09" w14:textId="77777777" w:rsidR="00B02873" w:rsidRPr="00A77A11" w:rsidRDefault="00B02873" w:rsidP="00603355">
            <w:pPr>
              <w:pStyle w:val="TablebodyleftTables"/>
              <w:jc w:val="right"/>
              <w:rPr>
                <w:sz w:val="20"/>
                <w:szCs w:val="20"/>
              </w:rPr>
            </w:pPr>
            <w:r w:rsidRPr="00A77A11">
              <w:rPr>
                <w:sz w:val="20"/>
                <w:szCs w:val="20"/>
              </w:rPr>
              <w:t>57</w:t>
            </w:r>
          </w:p>
        </w:tc>
        <w:tc>
          <w:tcPr>
            <w:tcW w:w="1517" w:type="dxa"/>
          </w:tcPr>
          <w:p w14:paraId="21EC55D1" w14:textId="77777777" w:rsidR="00B02873" w:rsidRPr="00A77A11" w:rsidRDefault="00B02873" w:rsidP="00603355">
            <w:pPr>
              <w:pStyle w:val="TablebodyleftTables"/>
              <w:jc w:val="right"/>
              <w:rPr>
                <w:sz w:val="20"/>
                <w:szCs w:val="20"/>
              </w:rPr>
            </w:pPr>
            <w:r w:rsidRPr="00A77A11">
              <w:rPr>
                <w:sz w:val="20"/>
                <w:szCs w:val="20"/>
              </w:rPr>
              <w:t>370.45</w:t>
            </w:r>
          </w:p>
        </w:tc>
      </w:tr>
    </w:tbl>
    <w:p w14:paraId="20779F43" w14:textId="6A750A34" w:rsidR="00B02873" w:rsidRPr="00A77A11" w:rsidRDefault="00B02873" w:rsidP="00A77A11">
      <w:pPr>
        <w:pStyle w:val="SourceNote"/>
        <w:rPr>
          <w:b/>
          <w:bCs/>
        </w:rPr>
      </w:pPr>
      <w:r w:rsidRPr="00A77A11">
        <w:rPr>
          <w:b/>
          <w:bCs/>
        </w:rPr>
        <w:t>Notes:</w:t>
      </w:r>
    </w:p>
    <w:p w14:paraId="28258503" w14:textId="349C215B" w:rsidR="00B02873" w:rsidRDefault="00B02873" w:rsidP="001128B1">
      <w:pPr>
        <w:pStyle w:val="SourceNotenumbered"/>
        <w:numPr>
          <w:ilvl w:val="0"/>
          <w:numId w:val="73"/>
        </w:numPr>
      </w:pPr>
      <w:r>
        <w:t>This table does not include interest on GAIC funds received since GAIC was established.</w:t>
      </w:r>
    </w:p>
    <w:p w14:paraId="426C9C5B" w14:textId="14E3E30F" w:rsidR="00B02873" w:rsidRDefault="00B02873" w:rsidP="00603355">
      <w:pPr>
        <w:pStyle w:val="SourceNotenumbered"/>
      </w:pPr>
      <w:r>
        <w:t>Accumulated committed funds include expenditure and SRO costs.</w:t>
      </w:r>
    </w:p>
    <w:p w14:paraId="5BB727D9" w14:textId="1FD44402" w:rsidR="00B02873" w:rsidRDefault="00B02873" w:rsidP="00603355">
      <w:pPr>
        <w:pStyle w:val="SourceNotenumbered"/>
      </w:pPr>
      <w:r>
        <w:t>Percentage of committed cash receipts compared to cash receipts.</w:t>
      </w:r>
    </w:p>
    <w:p w14:paraId="1C80930A" w14:textId="478249D3" w:rsidR="00B02873" w:rsidRDefault="00B02873" w:rsidP="00603355">
      <w:pPr>
        <w:pStyle w:val="SourceNotenumbered"/>
      </w:pPr>
      <w:r>
        <w:t>Expenditure includes SRO expenses.</w:t>
      </w:r>
    </w:p>
    <w:p w14:paraId="0B95ACFE" w14:textId="2C1515F6" w:rsidR="00B02873" w:rsidRDefault="00B02873" w:rsidP="00603355">
      <w:pPr>
        <w:pStyle w:val="SourceNotenumbered"/>
      </w:pPr>
      <w:r>
        <w:t>Percentage of expenditure compared to cash receipts.</w:t>
      </w:r>
    </w:p>
    <w:p w14:paraId="081A5542" w14:textId="1E3C3A57" w:rsidR="00B02873" w:rsidRDefault="00B02873" w:rsidP="00603355">
      <w:pPr>
        <w:pStyle w:val="SourceNotenumbered"/>
        <w:spacing w:after="200"/>
        <w:ind w:left="357" w:hanging="357"/>
      </w:pPr>
      <w:r>
        <w:t>Uncommitted funds exclude interest earned from investments in Treasury Corporation of Victoria term deposits. Total interest earned to 30 June 2022 is $20.34 million.</w:t>
      </w:r>
    </w:p>
    <w:p w14:paraId="7545754D" w14:textId="77777777" w:rsidR="00B02873" w:rsidRDefault="00B02873" w:rsidP="00A77A11">
      <w:pPr>
        <w:pStyle w:val="TabletitleTables"/>
      </w:pPr>
      <w:r>
        <w:lastRenderedPageBreak/>
        <w:t>Table 4. Summary of income, approvals and expenditure by growth area</w:t>
      </w:r>
    </w:p>
    <w:tbl>
      <w:tblPr>
        <w:tblStyle w:val="TableGrid"/>
        <w:tblW w:w="9883" w:type="dxa"/>
        <w:tblLayout w:type="fixed"/>
        <w:tblLook w:val="0020" w:firstRow="1" w:lastRow="0" w:firstColumn="0" w:lastColumn="0" w:noHBand="0" w:noVBand="0"/>
      </w:tblPr>
      <w:tblGrid>
        <w:gridCol w:w="1168"/>
        <w:gridCol w:w="1204"/>
        <w:gridCol w:w="1205"/>
        <w:gridCol w:w="1380"/>
        <w:gridCol w:w="1275"/>
        <w:gridCol w:w="1346"/>
        <w:gridCol w:w="1100"/>
        <w:gridCol w:w="1205"/>
      </w:tblGrid>
      <w:tr w:rsidR="00B02873" w:rsidRPr="002B7BE6" w14:paraId="267B795A" w14:textId="77777777" w:rsidTr="002B7BE6">
        <w:trPr>
          <w:cnfStyle w:val="100000000000" w:firstRow="1" w:lastRow="0" w:firstColumn="0" w:lastColumn="0" w:oddVBand="0" w:evenVBand="0" w:oddHBand="0" w:evenHBand="0" w:firstRowFirstColumn="0" w:firstRowLastColumn="0" w:lastRowFirstColumn="0" w:lastRowLastColumn="0"/>
          <w:trHeight w:val="60"/>
        </w:trPr>
        <w:tc>
          <w:tcPr>
            <w:tcW w:w="1168" w:type="dxa"/>
          </w:tcPr>
          <w:p w14:paraId="04B21140" w14:textId="77777777" w:rsidR="00B02873" w:rsidRPr="002B7BE6" w:rsidRDefault="00B02873" w:rsidP="00A77A11">
            <w:pPr>
              <w:pStyle w:val="TableheadingleftTables"/>
              <w:rPr>
                <w:sz w:val="18"/>
              </w:rPr>
            </w:pPr>
            <w:r w:rsidRPr="002B7BE6">
              <w:rPr>
                <w:sz w:val="18"/>
              </w:rPr>
              <w:t>Growth Area</w:t>
            </w:r>
          </w:p>
        </w:tc>
        <w:tc>
          <w:tcPr>
            <w:tcW w:w="1204" w:type="dxa"/>
          </w:tcPr>
          <w:p w14:paraId="3E4C648B" w14:textId="77777777" w:rsidR="00B02873" w:rsidRPr="002B7BE6" w:rsidRDefault="00B02873" w:rsidP="00603355">
            <w:pPr>
              <w:pStyle w:val="TableheadingleftTables"/>
              <w:jc w:val="right"/>
              <w:rPr>
                <w:sz w:val="18"/>
              </w:rPr>
            </w:pPr>
            <w:r w:rsidRPr="002B7BE6">
              <w:rPr>
                <w:sz w:val="18"/>
              </w:rPr>
              <w:t>Income received from 1 July 2010 to 30 June 2021 ($)</w:t>
            </w:r>
          </w:p>
        </w:tc>
        <w:tc>
          <w:tcPr>
            <w:tcW w:w="1205" w:type="dxa"/>
          </w:tcPr>
          <w:p w14:paraId="13BA0D5A" w14:textId="77777777" w:rsidR="00B02873" w:rsidRPr="002B7BE6" w:rsidRDefault="00B02873" w:rsidP="00603355">
            <w:pPr>
              <w:pStyle w:val="TableheadingleftTables"/>
              <w:jc w:val="right"/>
              <w:rPr>
                <w:sz w:val="18"/>
              </w:rPr>
            </w:pPr>
            <w:r w:rsidRPr="002B7BE6">
              <w:rPr>
                <w:sz w:val="18"/>
              </w:rPr>
              <w:t>Income for FY 2021-22 ($)</w:t>
            </w:r>
          </w:p>
        </w:tc>
        <w:tc>
          <w:tcPr>
            <w:tcW w:w="1380" w:type="dxa"/>
          </w:tcPr>
          <w:p w14:paraId="639EFBE7" w14:textId="77777777" w:rsidR="00B02873" w:rsidRPr="002B7BE6" w:rsidRDefault="00B02873" w:rsidP="00603355">
            <w:pPr>
              <w:pStyle w:val="TableheadingleftTables"/>
              <w:jc w:val="right"/>
              <w:rPr>
                <w:sz w:val="18"/>
              </w:rPr>
            </w:pPr>
            <w:r w:rsidRPr="002B7BE6">
              <w:rPr>
                <w:sz w:val="18"/>
              </w:rPr>
              <w:t xml:space="preserve">Total Income received as at 30 June 2022 </w:t>
            </w:r>
            <w:r w:rsidRPr="002B7BE6">
              <w:rPr>
                <w:sz w:val="18"/>
              </w:rPr>
              <w:br/>
              <w:t>($)</w:t>
            </w:r>
          </w:p>
        </w:tc>
        <w:tc>
          <w:tcPr>
            <w:tcW w:w="1275" w:type="dxa"/>
          </w:tcPr>
          <w:p w14:paraId="6532AE53" w14:textId="77777777" w:rsidR="00B02873" w:rsidRPr="002B7BE6" w:rsidRDefault="00B02873" w:rsidP="00603355">
            <w:pPr>
              <w:pStyle w:val="TableheadingleftTables"/>
              <w:jc w:val="right"/>
              <w:rPr>
                <w:sz w:val="18"/>
              </w:rPr>
            </w:pPr>
            <w:r w:rsidRPr="002B7BE6">
              <w:rPr>
                <w:sz w:val="18"/>
              </w:rPr>
              <w:t>Total approved funding by 30 June 2022</w:t>
            </w:r>
            <w:r w:rsidRPr="002B7BE6">
              <w:rPr>
                <w:sz w:val="18"/>
                <w:vertAlign w:val="superscript"/>
              </w:rPr>
              <w:t>a</w:t>
            </w:r>
            <w:r w:rsidRPr="002B7BE6">
              <w:rPr>
                <w:sz w:val="18"/>
              </w:rPr>
              <w:t xml:space="preserve"> </w:t>
            </w:r>
            <w:r w:rsidRPr="002B7BE6">
              <w:rPr>
                <w:sz w:val="18"/>
              </w:rPr>
              <w:br/>
              <w:t>($)</w:t>
            </w:r>
          </w:p>
        </w:tc>
        <w:tc>
          <w:tcPr>
            <w:tcW w:w="1346" w:type="dxa"/>
          </w:tcPr>
          <w:p w14:paraId="64568516" w14:textId="606B94B4" w:rsidR="00B02873" w:rsidRPr="002B7BE6" w:rsidRDefault="00B02873" w:rsidP="00603355">
            <w:pPr>
              <w:pStyle w:val="TableheadingleftTables"/>
              <w:jc w:val="right"/>
              <w:rPr>
                <w:sz w:val="18"/>
              </w:rPr>
            </w:pPr>
            <w:r w:rsidRPr="002B7BE6">
              <w:rPr>
                <w:sz w:val="18"/>
              </w:rPr>
              <w:t xml:space="preserve">Total expenditure as at </w:t>
            </w:r>
            <w:r w:rsidRPr="002B7BE6">
              <w:rPr>
                <w:sz w:val="18"/>
              </w:rPr>
              <w:br/>
              <w:t>30 June 2022</w:t>
            </w:r>
            <w:r w:rsidRPr="002B7BE6">
              <w:rPr>
                <w:sz w:val="18"/>
                <w:vertAlign w:val="superscript"/>
              </w:rPr>
              <w:t>b</w:t>
            </w:r>
            <w:r w:rsidRPr="002B7BE6">
              <w:rPr>
                <w:sz w:val="18"/>
              </w:rPr>
              <w:t xml:space="preserve"> </w:t>
            </w:r>
            <w:r w:rsidRPr="002B7BE6">
              <w:rPr>
                <w:sz w:val="18"/>
              </w:rPr>
              <w:br/>
              <w:t>($)</w:t>
            </w:r>
          </w:p>
        </w:tc>
        <w:tc>
          <w:tcPr>
            <w:tcW w:w="1100" w:type="dxa"/>
          </w:tcPr>
          <w:p w14:paraId="663C7C26" w14:textId="77777777" w:rsidR="00B02873" w:rsidRPr="002B7BE6" w:rsidRDefault="00B02873" w:rsidP="00603355">
            <w:pPr>
              <w:pStyle w:val="TableheadingleftTables"/>
              <w:jc w:val="right"/>
              <w:rPr>
                <w:sz w:val="18"/>
              </w:rPr>
            </w:pPr>
            <w:r w:rsidRPr="002B7BE6">
              <w:rPr>
                <w:sz w:val="18"/>
              </w:rPr>
              <w:t xml:space="preserve">Proportion of Income received </w:t>
            </w:r>
            <w:r w:rsidRPr="002B7BE6">
              <w:rPr>
                <w:sz w:val="18"/>
              </w:rPr>
              <w:br/>
              <w:t>(%)</w:t>
            </w:r>
          </w:p>
        </w:tc>
        <w:tc>
          <w:tcPr>
            <w:tcW w:w="1205" w:type="dxa"/>
          </w:tcPr>
          <w:p w14:paraId="3973B1DF" w14:textId="77777777" w:rsidR="00B02873" w:rsidRPr="002B7BE6" w:rsidRDefault="00B02873" w:rsidP="00603355">
            <w:pPr>
              <w:pStyle w:val="TableheadingleftTables"/>
              <w:jc w:val="right"/>
              <w:rPr>
                <w:sz w:val="18"/>
              </w:rPr>
            </w:pPr>
            <w:r w:rsidRPr="002B7BE6">
              <w:rPr>
                <w:sz w:val="18"/>
              </w:rPr>
              <w:t>Proportion paid as at 30 June 2022</w:t>
            </w:r>
            <w:r w:rsidRPr="002B7BE6">
              <w:rPr>
                <w:sz w:val="18"/>
                <w:vertAlign w:val="superscript"/>
              </w:rPr>
              <w:t>c</w:t>
            </w:r>
            <w:r w:rsidRPr="002B7BE6">
              <w:rPr>
                <w:sz w:val="18"/>
              </w:rPr>
              <w:t xml:space="preserve"> </w:t>
            </w:r>
            <w:r w:rsidRPr="002B7BE6">
              <w:rPr>
                <w:sz w:val="18"/>
              </w:rPr>
              <w:br/>
              <w:t>(%)</w:t>
            </w:r>
          </w:p>
        </w:tc>
      </w:tr>
      <w:tr w:rsidR="00B02873" w:rsidRPr="002B7BE6" w14:paraId="03900F93" w14:textId="77777777" w:rsidTr="002B7BE6">
        <w:trPr>
          <w:trHeight w:val="60"/>
        </w:trPr>
        <w:tc>
          <w:tcPr>
            <w:tcW w:w="1168" w:type="dxa"/>
          </w:tcPr>
          <w:p w14:paraId="69EB3428" w14:textId="77777777" w:rsidR="00B02873" w:rsidRPr="002B7BE6" w:rsidRDefault="00B02873" w:rsidP="00B415A9">
            <w:pPr>
              <w:pStyle w:val="TablebodyleftTables"/>
              <w:rPr>
                <w:sz w:val="18"/>
                <w:szCs w:val="18"/>
              </w:rPr>
            </w:pPr>
            <w:r w:rsidRPr="002B7BE6">
              <w:rPr>
                <w:sz w:val="18"/>
                <w:szCs w:val="18"/>
              </w:rPr>
              <w:t>Cardinia</w:t>
            </w:r>
          </w:p>
        </w:tc>
        <w:tc>
          <w:tcPr>
            <w:tcW w:w="1204" w:type="dxa"/>
          </w:tcPr>
          <w:p w14:paraId="7F3CC0CA" w14:textId="77777777" w:rsidR="00B02873" w:rsidRPr="002B7BE6" w:rsidRDefault="00B02873" w:rsidP="00603355">
            <w:pPr>
              <w:pStyle w:val="TablebodyleftTables"/>
              <w:jc w:val="right"/>
              <w:rPr>
                <w:sz w:val="18"/>
                <w:szCs w:val="18"/>
              </w:rPr>
            </w:pPr>
            <w:r w:rsidRPr="002B7BE6">
              <w:rPr>
                <w:sz w:val="18"/>
                <w:szCs w:val="18"/>
              </w:rPr>
              <w:t xml:space="preserve">8,348,052 </w:t>
            </w:r>
          </w:p>
        </w:tc>
        <w:tc>
          <w:tcPr>
            <w:tcW w:w="1205" w:type="dxa"/>
          </w:tcPr>
          <w:p w14:paraId="58BCF28D" w14:textId="77777777" w:rsidR="00B02873" w:rsidRPr="002B7BE6" w:rsidRDefault="00B02873" w:rsidP="00603355">
            <w:pPr>
              <w:pStyle w:val="TablebodyleftTables"/>
              <w:jc w:val="right"/>
              <w:rPr>
                <w:sz w:val="18"/>
                <w:szCs w:val="18"/>
              </w:rPr>
            </w:pPr>
            <w:r w:rsidRPr="002B7BE6">
              <w:rPr>
                <w:sz w:val="18"/>
                <w:szCs w:val="18"/>
              </w:rPr>
              <w:t xml:space="preserve">0 </w:t>
            </w:r>
          </w:p>
        </w:tc>
        <w:tc>
          <w:tcPr>
            <w:tcW w:w="1380" w:type="dxa"/>
          </w:tcPr>
          <w:p w14:paraId="63B1FE16" w14:textId="77777777" w:rsidR="00B02873" w:rsidRPr="002B7BE6" w:rsidRDefault="00B02873" w:rsidP="00603355">
            <w:pPr>
              <w:pStyle w:val="TablebodyleftTables"/>
              <w:jc w:val="right"/>
              <w:rPr>
                <w:sz w:val="18"/>
                <w:szCs w:val="18"/>
              </w:rPr>
            </w:pPr>
            <w:r w:rsidRPr="002B7BE6">
              <w:rPr>
                <w:sz w:val="18"/>
                <w:szCs w:val="18"/>
              </w:rPr>
              <w:t>8,348,052</w:t>
            </w:r>
          </w:p>
        </w:tc>
        <w:tc>
          <w:tcPr>
            <w:tcW w:w="1275" w:type="dxa"/>
          </w:tcPr>
          <w:p w14:paraId="3E6D7D4A" w14:textId="77777777" w:rsidR="00B02873" w:rsidRPr="002B7BE6" w:rsidRDefault="00B02873" w:rsidP="00603355">
            <w:pPr>
              <w:pStyle w:val="TablebodyleftTables"/>
              <w:jc w:val="right"/>
              <w:rPr>
                <w:sz w:val="18"/>
                <w:szCs w:val="18"/>
              </w:rPr>
            </w:pPr>
            <w:r w:rsidRPr="002B7BE6">
              <w:rPr>
                <w:sz w:val="18"/>
                <w:szCs w:val="18"/>
              </w:rPr>
              <w:t>8,422,657</w:t>
            </w:r>
          </w:p>
        </w:tc>
        <w:tc>
          <w:tcPr>
            <w:tcW w:w="1346" w:type="dxa"/>
          </w:tcPr>
          <w:p w14:paraId="096C5DEC" w14:textId="77777777" w:rsidR="00B02873" w:rsidRPr="002B7BE6" w:rsidRDefault="00B02873" w:rsidP="00603355">
            <w:pPr>
              <w:pStyle w:val="TablebodyleftTables"/>
              <w:jc w:val="right"/>
              <w:rPr>
                <w:sz w:val="18"/>
                <w:szCs w:val="18"/>
              </w:rPr>
            </w:pPr>
            <w:r w:rsidRPr="002B7BE6">
              <w:rPr>
                <w:sz w:val="18"/>
                <w:szCs w:val="18"/>
              </w:rPr>
              <w:t>7,322,657</w:t>
            </w:r>
          </w:p>
        </w:tc>
        <w:tc>
          <w:tcPr>
            <w:tcW w:w="1100" w:type="dxa"/>
          </w:tcPr>
          <w:p w14:paraId="1D5BD8A4" w14:textId="77777777" w:rsidR="00B02873" w:rsidRPr="002B7BE6" w:rsidRDefault="00B02873" w:rsidP="00603355">
            <w:pPr>
              <w:pStyle w:val="TablebodyleftTables"/>
              <w:jc w:val="right"/>
              <w:rPr>
                <w:sz w:val="18"/>
                <w:szCs w:val="18"/>
              </w:rPr>
            </w:pPr>
            <w:r w:rsidRPr="002B7BE6">
              <w:rPr>
                <w:sz w:val="18"/>
                <w:szCs w:val="18"/>
              </w:rPr>
              <w:t>1%</w:t>
            </w:r>
          </w:p>
        </w:tc>
        <w:tc>
          <w:tcPr>
            <w:tcW w:w="1205" w:type="dxa"/>
          </w:tcPr>
          <w:p w14:paraId="6792BE01" w14:textId="77777777" w:rsidR="00B02873" w:rsidRPr="002B7BE6" w:rsidRDefault="00B02873" w:rsidP="00603355">
            <w:pPr>
              <w:pStyle w:val="TablebodyleftTables"/>
              <w:jc w:val="right"/>
              <w:rPr>
                <w:sz w:val="18"/>
                <w:szCs w:val="18"/>
              </w:rPr>
            </w:pPr>
            <w:r w:rsidRPr="002B7BE6">
              <w:rPr>
                <w:sz w:val="18"/>
                <w:szCs w:val="18"/>
              </w:rPr>
              <w:t>1%</w:t>
            </w:r>
          </w:p>
        </w:tc>
      </w:tr>
      <w:tr w:rsidR="00B02873" w:rsidRPr="002B7BE6" w14:paraId="39155666" w14:textId="77777777" w:rsidTr="002B7BE6">
        <w:trPr>
          <w:trHeight w:val="60"/>
        </w:trPr>
        <w:tc>
          <w:tcPr>
            <w:tcW w:w="1168" w:type="dxa"/>
          </w:tcPr>
          <w:p w14:paraId="48B21A66" w14:textId="77777777" w:rsidR="00B02873" w:rsidRPr="002B7BE6" w:rsidRDefault="00B02873" w:rsidP="00B415A9">
            <w:pPr>
              <w:pStyle w:val="TablebodyleftTables"/>
              <w:rPr>
                <w:sz w:val="18"/>
                <w:szCs w:val="18"/>
              </w:rPr>
            </w:pPr>
            <w:r w:rsidRPr="002B7BE6">
              <w:rPr>
                <w:sz w:val="18"/>
                <w:szCs w:val="18"/>
              </w:rPr>
              <w:t>Casey</w:t>
            </w:r>
          </w:p>
        </w:tc>
        <w:tc>
          <w:tcPr>
            <w:tcW w:w="1204" w:type="dxa"/>
          </w:tcPr>
          <w:p w14:paraId="73AB8408" w14:textId="77777777" w:rsidR="00B02873" w:rsidRPr="002B7BE6" w:rsidRDefault="00B02873" w:rsidP="00603355">
            <w:pPr>
              <w:pStyle w:val="TablebodyleftTables"/>
              <w:jc w:val="right"/>
              <w:rPr>
                <w:sz w:val="18"/>
                <w:szCs w:val="18"/>
              </w:rPr>
            </w:pPr>
            <w:r w:rsidRPr="002B7BE6">
              <w:rPr>
                <w:sz w:val="18"/>
                <w:szCs w:val="18"/>
              </w:rPr>
              <w:t xml:space="preserve">198,067,040 </w:t>
            </w:r>
          </w:p>
        </w:tc>
        <w:tc>
          <w:tcPr>
            <w:tcW w:w="1205" w:type="dxa"/>
          </w:tcPr>
          <w:p w14:paraId="15F523F7" w14:textId="77777777" w:rsidR="00B02873" w:rsidRPr="002B7BE6" w:rsidRDefault="00B02873" w:rsidP="00603355">
            <w:pPr>
              <w:pStyle w:val="TablebodyleftTables"/>
              <w:jc w:val="right"/>
              <w:rPr>
                <w:sz w:val="18"/>
                <w:szCs w:val="18"/>
              </w:rPr>
            </w:pPr>
            <w:r w:rsidRPr="002B7BE6">
              <w:rPr>
                <w:sz w:val="18"/>
                <w:szCs w:val="18"/>
              </w:rPr>
              <w:t>44,942,977</w:t>
            </w:r>
          </w:p>
        </w:tc>
        <w:tc>
          <w:tcPr>
            <w:tcW w:w="1380" w:type="dxa"/>
          </w:tcPr>
          <w:p w14:paraId="78717459" w14:textId="77777777" w:rsidR="00B02873" w:rsidRPr="002B7BE6" w:rsidRDefault="00B02873" w:rsidP="00603355">
            <w:pPr>
              <w:pStyle w:val="TablebodyleftTables"/>
              <w:jc w:val="right"/>
              <w:rPr>
                <w:sz w:val="18"/>
                <w:szCs w:val="18"/>
              </w:rPr>
            </w:pPr>
            <w:r w:rsidRPr="002B7BE6">
              <w:rPr>
                <w:sz w:val="18"/>
                <w:szCs w:val="18"/>
              </w:rPr>
              <w:t>243,010,017</w:t>
            </w:r>
          </w:p>
        </w:tc>
        <w:tc>
          <w:tcPr>
            <w:tcW w:w="1275" w:type="dxa"/>
          </w:tcPr>
          <w:p w14:paraId="33896E52" w14:textId="77777777" w:rsidR="00B02873" w:rsidRPr="002B7BE6" w:rsidRDefault="00B02873" w:rsidP="00603355">
            <w:pPr>
              <w:pStyle w:val="TablebodyleftTables"/>
              <w:jc w:val="right"/>
              <w:rPr>
                <w:sz w:val="18"/>
                <w:szCs w:val="18"/>
              </w:rPr>
            </w:pPr>
            <w:r w:rsidRPr="002B7BE6">
              <w:rPr>
                <w:sz w:val="18"/>
                <w:szCs w:val="18"/>
              </w:rPr>
              <w:t>214,868,831</w:t>
            </w:r>
          </w:p>
        </w:tc>
        <w:tc>
          <w:tcPr>
            <w:tcW w:w="1346" w:type="dxa"/>
          </w:tcPr>
          <w:p w14:paraId="3A5A2086" w14:textId="77777777" w:rsidR="00B02873" w:rsidRPr="002B7BE6" w:rsidRDefault="00B02873" w:rsidP="00603355">
            <w:pPr>
              <w:pStyle w:val="TablebodyleftTables"/>
              <w:jc w:val="right"/>
              <w:rPr>
                <w:sz w:val="18"/>
                <w:szCs w:val="18"/>
              </w:rPr>
            </w:pPr>
            <w:r w:rsidRPr="002B7BE6">
              <w:rPr>
                <w:sz w:val="18"/>
                <w:szCs w:val="18"/>
              </w:rPr>
              <w:t>189,498,831</w:t>
            </w:r>
          </w:p>
        </w:tc>
        <w:tc>
          <w:tcPr>
            <w:tcW w:w="1100" w:type="dxa"/>
          </w:tcPr>
          <w:p w14:paraId="2E9E7B43" w14:textId="77777777" w:rsidR="00B02873" w:rsidRPr="002B7BE6" w:rsidRDefault="00B02873" w:rsidP="00603355">
            <w:pPr>
              <w:pStyle w:val="TablebodyleftTables"/>
              <w:jc w:val="right"/>
              <w:rPr>
                <w:sz w:val="18"/>
                <w:szCs w:val="18"/>
              </w:rPr>
            </w:pPr>
            <w:r w:rsidRPr="002B7BE6">
              <w:rPr>
                <w:sz w:val="18"/>
                <w:szCs w:val="18"/>
              </w:rPr>
              <w:t>24%</w:t>
            </w:r>
          </w:p>
        </w:tc>
        <w:tc>
          <w:tcPr>
            <w:tcW w:w="1205" w:type="dxa"/>
          </w:tcPr>
          <w:p w14:paraId="10EB973A" w14:textId="77777777" w:rsidR="00B02873" w:rsidRPr="002B7BE6" w:rsidRDefault="00B02873" w:rsidP="00603355">
            <w:pPr>
              <w:pStyle w:val="TablebodyleftTables"/>
              <w:jc w:val="right"/>
              <w:rPr>
                <w:sz w:val="18"/>
                <w:szCs w:val="18"/>
              </w:rPr>
            </w:pPr>
            <w:r w:rsidRPr="002B7BE6">
              <w:rPr>
                <w:sz w:val="18"/>
                <w:szCs w:val="18"/>
              </w:rPr>
              <w:t>33%</w:t>
            </w:r>
          </w:p>
        </w:tc>
      </w:tr>
      <w:tr w:rsidR="00B02873" w:rsidRPr="002B7BE6" w14:paraId="4D620C8D" w14:textId="77777777" w:rsidTr="002B7BE6">
        <w:trPr>
          <w:trHeight w:val="60"/>
        </w:trPr>
        <w:tc>
          <w:tcPr>
            <w:tcW w:w="1168" w:type="dxa"/>
          </w:tcPr>
          <w:p w14:paraId="02A06817" w14:textId="77777777" w:rsidR="00B02873" w:rsidRPr="002B7BE6" w:rsidRDefault="00B02873" w:rsidP="00B415A9">
            <w:pPr>
              <w:pStyle w:val="TablebodyleftTables"/>
              <w:rPr>
                <w:sz w:val="18"/>
                <w:szCs w:val="18"/>
              </w:rPr>
            </w:pPr>
            <w:r w:rsidRPr="002B7BE6">
              <w:rPr>
                <w:sz w:val="18"/>
                <w:szCs w:val="18"/>
              </w:rPr>
              <w:t>Hume</w:t>
            </w:r>
          </w:p>
        </w:tc>
        <w:tc>
          <w:tcPr>
            <w:tcW w:w="1204" w:type="dxa"/>
          </w:tcPr>
          <w:p w14:paraId="5EC5F672" w14:textId="77777777" w:rsidR="00B02873" w:rsidRPr="002B7BE6" w:rsidRDefault="00B02873" w:rsidP="00603355">
            <w:pPr>
              <w:pStyle w:val="TablebodyleftTables"/>
              <w:jc w:val="right"/>
              <w:rPr>
                <w:sz w:val="18"/>
                <w:szCs w:val="18"/>
              </w:rPr>
            </w:pPr>
            <w:r w:rsidRPr="002B7BE6">
              <w:rPr>
                <w:sz w:val="18"/>
                <w:szCs w:val="18"/>
              </w:rPr>
              <w:t xml:space="preserve">157,203,136 </w:t>
            </w:r>
          </w:p>
        </w:tc>
        <w:tc>
          <w:tcPr>
            <w:tcW w:w="1205" w:type="dxa"/>
          </w:tcPr>
          <w:p w14:paraId="6B8C672E" w14:textId="77777777" w:rsidR="00B02873" w:rsidRPr="002B7BE6" w:rsidRDefault="00B02873" w:rsidP="00603355">
            <w:pPr>
              <w:pStyle w:val="TablebodyleftTables"/>
              <w:jc w:val="right"/>
              <w:rPr>
                <w:sz w:val="18"/>
                <w:szCs w:val="18"/>
              </w:rPr>
            </w:pPr>
            <w:r w:rsidRPr="002B7BE6">
              <w:rPr>
                <w:sz w:val="18"/>
                <w:szCs w:val="18"/>
              </w:rPr>
              <w:t>15,987,679</w:t>
            </w:r>
          </w:p>
        </w:tc>
        <w:tc>
          <w:tcPr>
            <w:tcW w:w="1380" w:type="dxa"/>
          </w:tcPr>
          <w:p w14:paraId="045F328C" w14:textId="77777777" w:rsidR="00B02873" w:rsidRPr="002B7BE6" w:rsidRDefault="00B02873" w:rsidP="00603355">
            <w:pPr>
              <w:pStyle w:val="TablebodyleftTables"/>
              <w:jc w:val="right"/>
              <w:rPr>
                <w:sz w:val="18"/>
                <w:szCs w:val="18"/>
              </w:rPr>
            </w:pPr>
            <w:r w:rsidRPr="002B7BE6">
              <w:rPr>
                <w:sz w:val="18"/>
                <w:szCs w:val="18"/>
              </w:rPr>
              <w:t>173,190,815</w:t>
            </w:r>
          </w:p>
        </w:tc>
        <w:tc>
          <w:tcPr>
            <w:tcW w:w="1275" w:type="dxa"/>
          </w:tcPr>
          <w:p w14:paraId="5322C873" w14:textId="77777777" w:rsidR="00B02873" w:rsidRPr="002B7BE6" w:rsidRDefault="00B02873" w:rsidP="00603355">
            <w:pPr>
              <w:pStyle w:val="TablebodyleftTables"/>
              <w:jc w:val="right"/>
              <w:rPr>
                <w:sz w:val="18"/>
                <w:szCs w:val="18"/>
              </w:rPr>
            </w:pPr>
            <w:r w:rsidRPr="002B7BE6">
              <w:rPr>
                <w:sz w:val="18"/>
                <w:szCs w:val="18"/>
              </w:rPr>
              <w:t>115,128,951</w:t>
            </w:r>
          </w:p>
        </w:tc>
        <w:tc>
          <w:tcPr>
            <w:tcW w:w="1346" w:type="dxa"/>
          </w:tcPr>
          <w:p w14:paraId="7870C854" w14:textId="77777777" w:rsidR="00B02873" w:rsidRPr="002B7BE6" w:rsidRDefault="00B02873" w:rsidP="00603355">
            <w:pPr>
              <w:pStyle w:val="TablebodyleftTables"/>
              <w:jc w:val="right"/>
              <w:rPr>
                <w:sz w:val="18"/>
                <w:szCs w:val="18"/>
              </w:rPr>
            </w:pPr>
            <w:r w:rsidRPr="002B7BE6">
              <w:rPr>
                <w:sz w:val="18"/>
                <w:szCs w:val="18"/>
              </w:rPr>
              <w:t>108,343,951</w:t>
            </w:r>
          </w:p>
        </w:tc>
        <w:tc>
          <w:tcPr>
            <w:tcW w:w="1100" w:type="dxa"/>
          </w:tcPr>
          <w:p w14:paraId="19C23594" w14:textId="77777777" w:rsidR="00B02873" w:rsidRPr="002B7BE6" w:rsidRDefault="00B02873" w:rsidP="00603355">
            <w:pPr>
              <w:pStyle w:val="TablebodyleftTables"/>
              <w:jc w:val="right"/>
              <w:rPr>
                <w:sz w:val="18"/>
                <w:szCs w:val="18"/>
              </w:rPr>
            </w:pPr>
            <w:r w:rsidRPr="002B7BE6">
              <w:rPr>
                <w:sz w:val="18"/>
                <w:szCs w:val="18"/>
              </w:rPr>
              <w:t>17%</w:t>
            </w:r>
          </w:p>
        </w:tc>
        <w:tc>
          <w:tcPr>
            <w:tcW w:w="1205" w:type="dxa"/>
          </w:tcPr>
          <w:p w14:paraId="4A8E3A5E" w14:textId="77777777" w:rsidR="00B02873" w:rsidRPr="002B7BE6" w:rsidRDefault="00B02873" w:rsidP="00603355">
            <w:pPr>
              <w:pStyle w:val="TablebodyleftTables"/>
              <w:jc w:val="right"/>
              <w:rPr>
                <w:sz w:val="18"/>
                <w:szCs w:val="18"/>
              </w:rPr>
            </w:pPr>
            <w:r w:rsidRPr="002B7BE6">
              <w:rPr>
                <w:sz w:val="18"/>
                <w:szCs w:val="18"/>
              </w:rPr>
              <w:t>19%</w:t>
            </w:r>
          </w:p>
        </w:tc>
      </w:tr>
      <w:tr w:rsidR="00B02873" w:rsidRPr="002B7BE6" w14:paraId="2D62F807" w14:textId="77777777" w:rsidTr="002B7BE6">
        <w:trPr>
          <w:trHeight w:val="60"/>
        </w:trPr>
        <w:tc>
          <w:tcPr>
            <w:tcW w:w="1168" w:type="dxa"/>
          </w:tcPr>
          <w:p w14:paraId="45886659" w14:textId="77777777" w:rsidR="00B02873" w:rsidRPr="002B7BE6" w:rsidRDefault="00B02873" w:rsidP="00B415A9">
            <w:pPr>
              <w:pStyle w:val="TablebodyleftTables"/>
              <w:rPr>
                <w:sz w:val="18"/>
                <w:szCs w:val="18"/>
              </w:rPr>
            </w:pPr>
            <w:r w:rsidRPr="002B7BE6">
              <w:rPr>
                <w:sz w:val="18"/>
                <w:szCs w:val="18"/>
              </w:rPr>
              <w:t>Melton</w:t>
            </w:r>
          </w:p>
        </w:tc>
        <w:tc>
          <w:tcPr>
            <w:tcW w:w="1204" w:type="dxa"/>
          </w:tcPr>
          <w:p w14:paraId="1CCB381B" w14:textId="77777777" w:rsidR="00B02873" w:rsidRPr="002B7BE6" w:rsidRDefault="00B02873" w:rsidP="00603355">
            <w:pPr>
              <w:pStyle w:val="TablebodyleftTables"/>
              <w:jc w:val="right"/>
              <w:rPr>
                <w:sz w:val="18"/>
                <w:szCs w:val="18"/>
              </w:rPr>
            </w:pPr>
            <w:r w:rsidRPr="002B7BE6">
              <w:rPr>
                <w:sz w:val="18"/>
                <w:szCs w:val="18"/>
              </w:rPr>
              <w:t xml:space="preserve">198,034,590 </w:t>
            </w:r>
          </w:p>
        </w:tc>
        <w:tc>
          <w:tcPr>
            <w:tcW w:w="1205" w:type="dxa"/>
          </w:tcPr>
          <w:p w14:paraId="3B341A22" w14:textId="77777777" w:rsidR="00B02873" w:rsidRPr="002B7BE6" w:rsidRDefault="00B02873" w:rsidP="00603355">
            <w:pPr>
              <w:pStyle w:val="TablebodyleftTables"/>
              <w:jc w:val="right"/>
              <w:rPr>
                <w:sz w:val="18"/>
                <w:szCs w:val="18"/>
              </w:rPr>
            </w:pPr>
            <w:r w:rsidRPr="002B7BE6">
              <w:rPr>
                <w:sz w:val="18"/>
                <w:szCs w:val="18"/>
              </w:rPr>
              <w:t>78,110,817</w:t>
            </w:r>
          </w:p>
        </w:tc>
        <w:tc>
          <w:tcPr>
            <w:tcW w:w="1380" w:type="dxa"/>
          </w:tcPr>
          <w:p w14:paraId="58DB5847" w14:textId="77777777" w:rsidR="00B02873" w:rsidRPr="002B7BE6" w:rsidRDefault="00B02873" w:rsidP="00603355">
            <w:pPr>
              <w:pStyle w:val="TablebodyleftTables"/>
              <w:jc w:val="right"/>
              <w:rPr>
                <w:sz w:val="18"/>
                <w:szCs w:val="18"/>
              </w:rPr>
            </w:pPr>
            <w:r w:rsidRPr="002B7BE6">
              <w:rPr>
                <w:sz w:val="18"/>
                <w:szCs w:val="18"/>
              </w:rPr>
              <w:t>276,145,407</w:t>
            </w:r>
          </w:p>
        </w:tc>
        <w:tc>
          <w:tcPr>
            <w:tcW w:w="1275" w:type="dxa"/>
          </w:tcPr>
          <w:p w14:paraId="71D67208" w14:textId="77777777" w:rsidR="00B02873" w:rsidRPr="002B7BE6" w:rsidRDefault="00B02873" w:rsidP="00603355">
            <w:pPr>
              <w:pStyle w:val="TablebodyleftTables"/>
              <w:jc w:val="right"/>
              <w:rPr>
                <w:sz w:val="18"/>
                <w:szCs w:val="18"/>
              </w:rPr>
            </w:pPr>
            <w:r w:rsidRPr="002B7BE6">
              <w:rPr>
                <w:sz w:val="18"/>
                <w:szCs w:val="18"/>
              </w:rPr>
              <w:t>125,768,869</w:t>
            </w:r>
          </w:p>
        </w:tc>
        <w:tc>
          <w:tcPr>
            <w:tcW w:w="1346" w:type="dxa"/>
          </w:tcPr>
          <w:p w14:paraId="4AE19FBB" w14:textId="77777777" w:rsidR="00B02873" w:rsidRPr="002B7BE6" w:rsidRDefault="00B02873" w:rsidP="00603355">
            <w:pPr>
              <w:pStyle w:val="TablebodyleftTables"/>
              <w:jc w:val="right"/>
              <w:rPr>
                <w:sz w:val="18"/>
                <w:szCs w:val="18"/>
              </w:rPr>
            </w:pPr>
            <w:r w:rsidRPr="002B7BE6">
              <w:rPr>
                <w:sz w:val="18"/>
                <w:szCs w:val="18"/>
              </w:rPr>
              <w:t>105,168,869</w:t>
            </w:r>
          </w:p>
        </w:tc>
        <w:tc>
          <w:tcPr>
            <w:tcW w:w="1100" w:type="dxa"/>
          </w:tcPr>
          <w:p w14:paraId="4CB9A877" w14:textId="77777777" w:rsidR="00B02873" w:rsidRPr="002B7BE6" w:rsidRDefault="00B02873" w:rsidP="00603355">
            <w:pPr>
              <w:pStyle w:val="TablebodyleftTables"/>
              <w:jc w:val="right"/>
              <w:rPr>
                <w:sz w:val="18"/>
                <w:szCs w:val="18"/>
              </w:rPr>
            </w:pPr>
            <w:r w:rsidRPr="002B7BE6">
              <w:rPr>
                <w:sz w:val="18"/>
                <w:szCs w:val="18"/>
              </w:rPr>
              <w:t>27%</w:t>
            </w:r>
          </w:p>
        </w:tc>
        <w:tc>
          <w:tcPr>
            <w:tcW w:w="1205" w:type="dxa"/>
          </w:tcPr>
          <w:p w14:paraId="0980CDC7" w14:textId="77777777" w:rsidR="00B02873" w:rsidRPr="002B7BE6" w:rsidRDefault="00B02873" w:rsidP="00603355">
            <w:pPr>
              <w:pStyle w:val="TablebodyleftTables"/>
              <w:jc w:val="right"/>
              <w:rPr>
                <w:sz w:val="18"/>
                <w:szCs w:val="18"/>
              </w:rPr>
            </w:pPr>
            <w:r w:rsidRPr="002B7BE6">
              <w:rPr>
                <w:sz w:val="18"/>
                <w:szCs w:val="18"/>
              </w:rPr>
              <w:t>18%</w:t>
            </w:r>
          </w:p>
        </w:tc>
      </w:tr>
      <w:tr w:rsidR="00B02873" w:rsidRPr="002B7BE6" w14:paraId="66AAD014" w14:textId="77777777" w:rsidTr="002B7BE6">
        <w:trPr>
          <w:trHeight w:val="60"/>
        </w:trPr>
        <w:tc>
          <w:tcPr>
            <w:tcW w:w="1168" w:type="dxa"/>
          </w:tcPr>
          <w:p w14:paraId="48D1E8E1" w14:textId="77777777" w:rsidR="00B02873" w:rsidRPr="002B7BE6" w:rsidRDefault="00B02873" w:rsidP="00B415A9">
            <w:pPr>
              <w:pStyle w:val="TablebodyleftTables"/>
              <w:rPr>
                <w:sz w:val="18"/>
                <w:szCs w:val="18"/>
              </w:rPr>
            </w:pPr>
            <w:r w:rsidRPr="002B7BE6">
              <w:rPr>
                <w:sz w:val="18"/>
                <w:szCs w:val="18"/>
              </w:rPr>
              <w:t>Mitchell</w:t>
            </w:r>
          </w:p>
        </w:tc>
        <w:tc>
          <w:tcPr>
            <w:tcW w:w="1204" w:type="dxa"/>
          </w:tcPr>
          <w:p w14:paraId="37DFCC64" w14:textId="77777777" w:rsidR="00B02873" w:rsidRPr="002B7BE6" w:rsidRDefault="00B02873" w:rsidP="00603355">
            <w:pPr>
              <w:pStyle w:val="TablebodyleftTables"/>
              <w:jc w:val="right"/>
              <w:rPr>
                <w:sz w:val="18"/>
                <w:szCs w:val="18"/>
              </w:rPr>
            </w:pPr>
            <w:r w:rsidRPr="002B7BE6">
              <w:rPr>
                <w:sz w:val="18"/>
                <w:szCs w:val="18"/>
              </w:rPr>
              <w:t xml:space="preserve">9,038,281 </w:t>
            </w:r>
          </w:p>
        </w:tc>
        <w:tc>
          <w:tcPr>
            <w:tcW w:w="1205" w:type="dxa"/>
          </w:tcPr>
          <w:p w14:paraId="1FB0EB33" w14:textId="77777777" w:rsidR="00B02873" w:rsidRPr="002B7BE6" w:rsidRDefault="00B02873" w:rsidP="00603355">
            <w:pPr>
              <w:pStyle w:val="TablebodyleftTables"/>
              <w:jc w:val="right"/>
              <w:rPr>
                <w:sz w:val="18"/>
                <w:szCs w:val="18"/>
              </w:rPr>
            </w:pPr>
            <w:r w:rsidRPr="002B7BE6">
              <w:rPr>
                <w:sz w:val="18"/>
                <w:szCs w:val="18"/>
              </w:rPr>
              <w:t>558,774</w:t>
            </w:r>
          </w:p>
        </w:tc>
        <w:tc>
          <w:tcPr>
            <w:tcW w:w="1380" w:type="dxa"/>
          </w:tcPr>
          <w:p w14:paraId="613BD952" w14:textId="77777777" w:rsidR="00B02873" w:rsidRPr="002B7BE6" w:rsidRDefault="00B02873" w:rsidP="00603355">
            <w:pPr>
              <w:pStyle w:val="TablebodyleftTables"/>
              <w:jc w:val="right"/>
              <w:rPr>
                <w:sz w:val="18"/>
                <w:szCs w:val="18"/>
              </w:rPr>
            </w:pPr>
            <w:r w:rsidRPr="002B7BE6">
              <w:rPr>
                <w:sz w:val="18"/>
                <w:szCs w:val="18"/>
              </w:rPr>
              <w:t>9,597,055</w:t>
            </w:r>
          </w:p>
        </w:tc>
        <w:tc>
          <w:tcPr>
            <w:tcW w:w="1275" w:type="dxa"/>
          </w:tcPr>
          <w:p w14:paraId="500CF7CE" w14:textId="77777777" w:rsidR="00B02873" w:rsidRPr="002B7BE6" w:rsidRDefault="00B02873" w:rsidP="00603355">
            <w:pPr>
              <w:pStyle w:val="TablebodyleftTables"/>
              <w:jc w:val="right"/>
              <w:rPr>
                <w:sz w:val="18"/>
                <w:szCs w:val="18"/>
              </w:rPr>
            </w:pPr>
            <w:r w:rsidRPr="002B7BE6">
              <w:rPr>
                <w:sz w:val="18"/>
                <w:szCs w:val="18"/>
              </w:rPr>
              <w:t>6,901,768</w:t>
            </w:r>
          </w:p>
        </w:tc>
        <w:tc>
          <w:tcPr>
            <w:tcW w:w="1346" w:type="dxa"/>
          </w:tcPr>
          <w:p w14:paraId="1C8B6B96" w14:textId="77777777" w:rsidR="00B02873" w:rsidRPr="002B7BE6" w:rsidRDefault="00B02873" w:rsidP="00603355">
            <w:pPr>
              <w:pStyle w:val="TablebodyleftTables"/>
              <w:jc w:val="right"/>
              <w:rPr>
                <w:sz w:val="18"/>
                <w:szCs w:val="18"/>
              </w:rPr>
            </w:pPr>
            <w:r w:rsidRPr="002B7BE6">
              <w:rPr>
                <w:sz w:val="18"/>
                <w:szCs w:val="18"/>
              </w:rPr>
              <w:t>6,901,768</w:t>
            </w:r>
          </w:p>
        </w:tc>
        <w:tc>
          <w:tcPr>
            <w:tcW w:w="1100" w:type="dxa"/>
          </w:tcPr>
          <w:p w14:paraId="2BAB137D" w14:textId="77777777" w:rsidR="00B02873" w:rsidRPr="002B7BE6" w:rsidRDefault="00B02873" w:rsidP="00603355">
            <w:pPr>
              <w:pStyle w:val="TablebodyleftTables"/>
              <w:jc w:val="right"/>
              <w:rPr>
                <w:sz w:val="18"/>
                <w:szCs w:val="18"/>
              </w:rPr>
            </w:pPr>
            <w:r w:rsidRPr="002B7BE6">
              <w:rPr>
                <w:sz w:val="18"/>
                <w:szCs w:val="18"/>
              </w:rPr>
              <w:t>1%</w:t>
            </w:r>
          </w:p>
        </w:tc>
        <w:tc>
          <w:tcPr>
            <w:tcW w:w="1205" w:type="dxa"/>
          </w:tcPr>
          <w:p w14:paraId="5D176C83" w14:textId="77777777" w:rsidR="00B02873" w:rsidRPr="002B7BE6" w:rsidRDefault="00B02873" w:rsidP="00603355">
            <w:pPr>
              <w:pStyle w:val="TablebodyleftTables"/>
              <w:jc w:val="right"/>
              <w:rPr>
                <w:sz w:val="18"/>
                <w:szCs w:val="18"/>
              </w:rPr>
            </w:pPr>
            <w:r w:rsidRPr="002B7BE6">
              <w:rPr>
                <w:sz w:val="18"/>
                <w:szCs w:val="18"/>
              </w:rPr>
              <w:t>1%</w:t>
            </w:r>
          </w:p>
        </w:tc>
      </w:tr>
      <w:tr w:rsidR="00B02873" w:rsidRPr="002B7BE6" w14:paraId="10A3D195" w14:textId="77777777" w:rsidTr="002B7BE6">
        <w:trPr>
          <w:trHeight w:val="60"/>
        </w:trPr>
        <w:tc>
          <w:tcPr>
            <w:tcW w:w="1168" w:type="dxa"/>
          </w:tcPr>
          <w:p w14:paraId="41FD7E16" w14:textId="77777777" w:rsidR="00B02873" w:rsidRPr="002B7BE6" w:rsidRDefault="00B02873" w:rsidP="00B415A9">
            <w:pPr>
              <w:pStyle w:val="TablebodyleftTables"/>
              <w:rPr>
                <w:sz w:val="18"/>
                <w:szCs w:val="18"/>
              </w:rPr>
            </w:pPr>
            <w:r w:rsidRPr="002B7BE6">
              <w:rPr>
                <w:sz w:val="18"/>
                <w:szCs w:val="18"/>
              </w:rPr>
              <w:t>Whittlesea</w:t>
            </w:r>
          </w:p>
        </w:tc>
        <w:tc>
          <w:tcPr>
            <w:tcW w:w="1204" w:type="dxa"/>
          </w:tcPr>
          <w:p w14:paraId="34DADE45" w14:textId="77777777" w:rsidR="00B02873" w:rsidRPr="002B7BE6" w:rsidRDefault="00B02873" w:rsidP="00603355">
            <w:pPr>
              <w:pStyle w:val="TablebodyleftTables"/>
              <w:jc w:val="right"/>
              <w:rPr>
                <w:sz w:val="18"/>
                <w:szCs w:val="18"/>
              </w:rPr>
            </w:pPr>
            <w:r w:rsidRPr="002B7BE6">
              <w:rPr>
                <w:sz w:val="18"/>
                <w:szCs w:val="18"/>
              </w:rPr>
              <w:t xml:space="preserve">38,604,095 </w:t>
            </w:r>
          </w:p>
        </w:tc>
        <w:tc>
          <w:tcPr>
            <w:tcW w:w="1205" w:type="dxa"/>
          </w:tcPr>
          <w:p w14:paraId="4B8DD375" w14:textId="77777777" w:rsidR="00B02873" w:rsidRPr="002B7BE6" w:rsidRDefault="00B02873" w:rsidP="00603355">
            <w:pPr>
              <w:pStyle w:val="TablebodyleftTables"/>
              <w:jc w:val="right"/>
              <w:rPr>
                <w:sz w:val="18"/>
                <w:szCs w:val="18"/>
              </w:rPr>
            </w:pPr>
            <w:r w:rsidRPr="002B7BE6">
              <w:rPr>
                <w:sz w:val="18"/>
                <w:szCs w:val="18"/>
              </w:rPr>
              <w:t>17,181,476</w:t>
            </w:r>
          </w:p>
        </w:tc>
        <w:tc>
          <w:tcPr>
            <w:tcW w:w="1380" w:type="dxa"/>
          </w:tcPr>
          <w:p w14:paraId="1AF619E8" w14:textId="77777777" w:rsidR="00B02873" w:rsidRPr="002B7BE6" w:rsidRDefault="00B02873" w:rsidP="00603355">
            <w:pPr>
              <w:pStyle w:val="TablebodyleftTables"/>
              <w:jc w:val="right"/>
              <w:rPr>
                <w:sz w:val="18"/>
                <w:szCs w:val="18"/>
              </w:rPr>
            </w:pPr>
            <w:r w:rsidRPr="002B7BE6">
              <w:rPr>
                <w:sz w:val="18"/>
                <w:szCs w:val="18"/>
              </w:rPr>
              <w:t>55,785,571</w:t>
            </w:r>
          </w:p>
        </w:tc>
        <w:tc>
          <w:tcPr>
            <w:tcW w:w="1275" w:type="dxa"/>
          </w:tcPr>
          <w:p w14:paraId="6E4C8A0F" w14:textId="77777777" w:rsidR="00B02873" w:rsidRPr="002B7BE6" w:rsidRDefault="00B02873" w:rsidP="00603355">
            <w:pPr>
              <w:pStyle w:val="TablebodyleftTables"/>
              <w:jc w:val="right"/>
              <w:rPr>
                <w:sz w:val="18"/>
                <w:szCs w:val="18"/>
              </w:rPr>
            </w:pPr>
            <w:r w:rsidRPr="002B7BE6">
              <w:rPr>
                <w:sz w:val="18"/>
                <w:szCs w:val="18"/>
              </w:rPr>
              <w:t>68,577,038</w:t>
            </w:r>
          </w:p>
        </w:tc>
        <w:tc>
          <w:tcPr>
            <w:tcW w:w="1346" w:type="dxa"/>
          </w:tcPr>
          <w:p w14:paraId="095944CF" w14:textId="77777777" w:rsidR="00B02873" w:rsidRPr="002B7BE6" w:rsidRDefault="00B02873" w:rsidP="00603355">
            <w:pPr>
              <w:pStyle w:val="TablebodyleftTables"/>
              <w:jc w:val="right"/>
              <w:rPr>
                <w:sz w:val="18"/>
                <w:szCs w:val="18"/>
              </w:rPr>
            </w:pPr>
            <w:r w:rsidRPr="002B7BE6">
              <w:rPr>
                <w:sz w:val="18"/>
                <w:szCs w:val="18"/>
              </w:rPr>
              <w:t>67,737,038</w:t>
            </w:r>
          </w:p>
        </w:tc>
        <w:tc>
          <w:tcPr>
            <w:tcW w:w="1100" w:type="dxa"/>
          </w:tcPr>
          <w:p w14:paraId="40B16748" w14:textId="77777777" w:rsidR="00B02873" w:rsidRPr="002B7BE6" w:rsidRDefault="00B02873" w:rsidP="00603355">
            <w:pPr>
              <w:pStyle w:val="TablebodyleftTables"/>
              <w:jc w:val="right"/>
              <w:rPr>
                <w:sz w:val="18"/>
                <w:szCs w:val="18"/>
              </w:rPr>
            </w:pPr>
            <w:r w:rsidRPr="002B7BE6">
              <w:rPr>
                <w:sz w:val="18"/>
                <w:szCs w:val="18"/>
              </w:rPr>
              <w:t>6%</w:t>
            </w:r>
          </w:p>
        </w:tc>
        <w:tc>
          <w:tcPr>
            <w:tcW w:w="1205" w:type="dxa"/>
          </w:tcPr>
          <w:p w14:paraId="70D403D4" w14:textId="77777777" w:rsidR="00B02873" w:rsidRPr="002B7BE6" w:rsidRDefault="00B02873" w:rsidP="00603355">
            <w:pPr>
              <w:pStyle w:val="TablebodyleftTables"/>
              <w:jc w:val="right"/>
              <w:rPr>
                <w:sz w:val="18"/>
                <w:szCs w:val="18"/>
              </w:rPr>
            </w:pPr>
            <w:r w:rsidRPr="002B7BE6">
              <w:rPr>
                <w:sz w:val="18"/>
                <w:szCs w:val="18"/>
              </w:rPr>
              <w:t>12%</w:t>
            </w:r>
          </w:p>
        </w:tc>
      </w:tr>
      <w:tr w:rsidR="00B02873" w:rsidRPr="002B7BE6" w14:paraId="65BE762E" w14:textId="77777777" w:rsidTr="002B7BE6">
        <w:trPr>
          <w:trHeight w:val="60"/>
        </w:trPr>
        <w:tc>
          <w:tcPr>
            <w:tcW w:w="1168" w:type="dxa"/>
          </w:tcPr>
          <w:p w14:paraId="77ABF474" w14:textId="77777777" w:rsidR="00B02873" w:rsidRPr="002B7BE6" w:rsidRDefault="00B02873" w:rsidP="00B415A9">
            <w:pPr>
              <w:pStyle w:val="TablebodyleftTables"/>
              <w:rPr>
                <w:sz w:val="18"/>
                <w:szCs w:val="18"/>
              </w:rPr>
            </w:pPr>
            <w:r w:rsidRPr="002B7BE6">
              <w:rPr>
                <w:sz w:val="18"/>
                <w:szCs w:val="18"/>
              </w:rPr>
              <w:t>Wyndham</w:t>
            </w:r>
          </w:p>
        </w:tc>
        <w:tc>
          <w:tcPr>
            <w:tcW w:w="1204" w:type="dxa"/>
          </w:tcPr>
          <w:p w14:paraId="1ACDF03E" w14:textId="77777777" w:rsidR="00B02873" w:rsidRPr="002B7BE6" w:rsidRDefault="00B02873" w:rsidP="00603355">
            <w:pPr>
              <w:pStyle w:val="TablebodyleftTables"/>
              <w:jc w:val="right"/>
              <w:rPr>
                <w:sz w:val="18"/>
                <w:szCs w:val="18"/>
              </w:rPr>
            </w:pPr>
            <w:r w:rsidRPr="002B7BE6">
              <w:rPr>
                <w:sz w:val="18"/>
                <w:szCs w:val="18"/>
              </w:rPr>
              <w:t xml:space="preserve">208,968,511 </w:t>
            </w:r>
          </w:p>
        </w:tc>
        <w:tc>
          <w:tcPr>
            <w:tcW w:w="1205" w:type="dxa"/>
          </w:tcPr>
          <w:p w14:paraId="698635CA" w14:textId="77777777" w:rsidR="00B02873" w:rsidRPr="002B7BE6" w:rsidRDefault="00B02873" w:rsidP="00603355">
            <w:pPr>
              <w:pStyle w:val="TablebodyleftTables"/>
              <w:jc w:val="right"/>
              <w:rPr>
                <w:sz w:val="18"/>
                <w:szCs w:val="18"/>
              </w:rPr>
            </w:pPr>
            <w:r w:rsidRPr="002B7BE6">
              <w:rPr>
                <w:sz w:val="18"/>
                <w:szCs w:val="18"/>
              </w:rPr>
              <w:t>38,141,642</w:t>
            </w:r>
          </w:p>
        </w:tc>
        <w:tc>
          <w:tcPr>
            <w:tcW w:w="1380" w:type="dxa"/>
          </w:tcPr>
          <w:p w14:paraId="5CCA7A38" w14:textId="77777777" w:rsidR="00B02873" w:rsidRPr="002B7BE6" w:rsidRDefault="00B02873" w:rsidP="00603355">
            <w:pPr>
              <w:pStyle w:val="TablebodyleftTables"/>
              <w:jc w:val="right"/>
              <w:rPr>
                <w:sz w:val="18"/>
                <w:szCs w:val="18"/>
              </w:rPr>
            </w:pPr>
            <w:r w:rsidRPr="002B7BE6">
              <w:rPr>
                <w:sz w:val="18"/>
                <w:szCs w:val="18"/>
              </w:rPr>
              <w:t>247,110,153</w:t>
            </w:r>
          </w:p>
        </w:tc>
        <w:tc>
          <w:tcPr>
            <w:tcW w:w="1275" w:type="dxa"/>
          </w:tcPr>
          <w:p w14:paraId="5EBFAF80" w14:textId="77777777" w:rsidR="00B02873" w:rsidRPr="002B7BE6" w:rsidRDefault="00B02873" w:rsidP="00603355">
            <w:pPr>
              <w:pStyle w:val="TablebodyleftTables"/>
              <w:jc w:val="right"/>
              <w:rPr>
                <w:sz w:val="18"/>
                <w:szCs w:val="18"/>
              </w:rPr>
            </w:pPr>
            <w:r w:rsidRPr="002B7BE6">
              <w:rPr>
                <w:sz w:val="18"/>
                <w:szCs w:val="18"/>
              </w:rPr>
              <w:t>103,069,286</w:t>
            </w:r>
          </w:p>
        </w:tc>
        <w:tc>
          <w:tcPr>
            <w:tcW w:w="1346" w:type="dxa"/>
          </w:tcPr>
          <w:p w14:paraId="7ABCB6AF" w14:textId="77777777" w:rsidR="00B02873" w:rsidRPr="002B7BE6" w:rsidRDefault="00B02873" w:rsidP="00603355">
            <w:pPr>
              <w:pStyle w:val="TablebodyleftTables"/>
              <w:jc w:val="right"/>
              <w:rPr>
                <w:sz w:val="18"/>
                <w:szCs w:val="18"/>
              </w:rPr>
            </w:pPr>
            <w:r w:rsidRPr="002B7BE6">
              <w:rPr>
                <w:sz w:val="18"/>
                <w:szCs w:val="18"/>
              </w:rPr>
              <w:t>95,053,986</w:t>
            </w:r>
          </w:p>
        </w:tc>
        <w:tc>
          <w:tcPr>
            <w:tcW w:w="1100" w:type="dxa"/>
          </w:tcPr>
          <w:p w14:paraId="34B95B13" w14:textId="77777777" w:rsidR="00B02873" w:rsidRPr="002B7BE6" w:rsidRDefault="00B02873" w:rsidP="00603355">
            <w:pPr>
              <w:pStyle w:val="TablebodyleftTables"/>
              <w:jc w:val="right"/>
              <w:rPr>
                <w:sz w:val="18"/>
                <w:szCs w:val="18"/>
              </w:rPr>
            </w:pPr>
            <w:r w:rsidRPr="002B7BE6">
              <w:rPr>
                <w:sz w:val="18"/>
                <w:szCs w:val="18"/>
              </w:rPr>
              <w:t>24%</w:t>
            </w:r>
          </w:p>
        </w:tc>
        <w:tc>
          <w:tcPr>
            <w:tcW w:w="1205" w:type="dxa"/>
          </w:tcPr>
          <w:p w14:paraId="45E7B959" w14:textId="77777777" w:rsidR="00B02873" w:rsidRPr="002B7BE6" w:rsidRDefault="00B02873" w:rsidP="00603355">
            <w:pPr>
              <w:pStyle w:val="TablebodyleftTables"/>
              <w:jc w:val="right"/>
              <w:rPr>
                <w:sz w:val="18"/>
                <w:szCs w:val="18"/>
              </w:rPr>
            </w:pPr>
            <w:r w:rsidRPr="002B7BE6">
              <w:rPr>
                <w:sz w:val="18"/>
                <w:szCs w:val="18"/>
              </w:rPr>
              <w:t>16%</w:t>
            </w:r>
          </w:p>
        </w:tc>
      </w:tr>
      <w:tr w:rsidR="00B02873" w:rsidRPr="002B7BE6" w14:paraId="4733D9D1" w14:textId="77777777" w:rsidTr="002B7BE6">
        <w:trPr>
          <w:trHeight w:val="60"/>
        </w:trPr>
        <w:tc>
          <w:tcPr>
            <w:tcW w:w="1168" w:type="dxa"/>
          </w:tcPr>
          <w:p w14:paraId="56C89D4C" w14:textId="77777777" w:rsidR="00B02873" w:rsidRPr="002B7BE6" w:rsidRDefault="00B02873" w:rsidP="00B415A9">
            <w:pPr>
              <w:pStyle w:val="TableheadingleftTables"/>
              <w:rPr>
                <w:sz w:val="18"/>
              </w:rPr>
            </w:pPr>
            <w:r w:rsidRPr="002B7BE6">
              <w:rPr>
                <w:sz w:val="18"/>
              </w:rPr>
              <w:t>TOTAL</w:t>
            </w:r>
          </w:p>
        </w:tc>
        <w:tc>
          <w:tcPr>
            <w:tcW w:w="1204" w:type="dxa"/>
          </w:tcPr>
          <w:p w14:paraId="69475D99" w14:textId="77777777" w:rsidR="00B02873" w:rsidRPr="002B7BE6" w:rsidRDefault="00B02873" w:rsidP="00603355">
            <w:pPr>
              <w:pStyle w:val="TablebodyleftTables"/>
              <w:jc w:val="right"/>
              <w:rPr>
                <w:b/>
                <w:bCs/>
                <w:sz w:val="18"/>
                <w:szCs w:val="18"/>
              </w:rPr>
            </w:pPr>
            <w:r w:rsidRPr="002B7BE6">
              <w:rPr>
                <w:b/>
                <w:bCs/>
                <w:sz w:val="18"/>
                <w:szCs w:val="18"/>
              </w:rPr>
              <w:t xml:space="preserve">818,263,705 </w:t>
            </w:r>
          </w:p>
        </w:tc>
        <w:tc>
          <w:tcPr>
            <w:tcW w:w="1205" w:type="dxa"/>
          </w:tcPr>
          <w:p w14:paraId="71DEB37C" w14:textId="77777777" w:rsidR="00B02873" w:rsidRPr="002B7BE6" w:rsidRDefault="00B02873" w:rsidP="00603355">
            <w:pPr>
              <w:pStyle w:val="TablebodyleftTables"/>
              <w:jc w:val="right"/>
              <w:rPr>
                <w:b/>
                <w:bCs/>
                <w:sz w:val="18"/>
                <w:szCs w:val="18"/>
              </w:rPr>
            </w:pPr>
            <w:r w:rsidRPr="002B7BE6">
              <w:rPr>
                <w:b/>
                <w:bCs/>
                <w:sz w:val="18"/>
                <w:szCs w:val="18"/>
              </w:rPr>
              <w:t>194,923,365</w:t>
            </w:r>
          </w:p>
        </w:tc>
        <w:tc>
          <w:tcPr>
            <w:tcW w:w="1380" w:type="dxa"/>
          </w:tcPr>
          <w:p w14:paraId="07989463" w14:textId="77777777" w:rsidR="00B02873" w:rsidRPr="002B7BE6" w:rsidRDefault="00B02873" w:rsidP="00603355">
            <w:pPr>
              <w:pStyle w:val="TablebodyleftTables"/>
              <w:jc w:val="right"/>
              <w:rPr>
                <w:b/>
                <w:bCs/>
                <w:sz w:val="18"/>
                <w:szCs w:val="18"/>
              </w:rPr>
            </w:pPr>
            <w:r w:rsidRPr="002B7BE6">
              <w:rPr>
                <w:b/>
                <w:bCs/>
                <w:sz w:val="18"/>
                <w:szCs w:val="18"/>
              </w:rPr>
              <w:t>1,013,187,068</w:t>
            </w:r>
          </w:p>
        </w:tc>
        <w:tc>
          <w:tcPr>
            <w:tcW w:w="1275" w:type="dxa"/>
          </w:tcPr>
          <w:p w14:paraId="038142A8" w14:textId="77777777" w:rsidR="00B02873" w:rsidRPr="002B7BE6" w:rsidRDefault="00B02873" w:rsidP="00603355">
            <w:pPr>
              <w:pStyle w:val="TablebodyleftTables"/>
              <w:jc w:val="right"/>
              <w:rPr>
                <w:b/>
                <w:bCs/>
                <w:sz w:val="18"/>
                <w:szCs w:val="18"/>
              </w:rPr>
            </w:pPr>
            <w:r w:rsidRPr="002B7BE6">
              <w:rPr>
                <w:b/>
                <w:bCs/>
                <w:sz w:val="18"/>
                <w:szCs w:val="18"/>
              </w:rPr>
              <w:t>642,737,399</w:t>
            </w:r>
          </w:p>
        </w:tc>
        <w:tc>
          <w:tcPr>
            <w:tcW w:w="1346" w:type="dxa"/>
          </w:tcPr>
          <w:p w14:paraId="10E6CC59" w14:textId="77777777" w:rsidR="00B02873" w:rsidRPr="002B7BE6" w:rsidRDefault="00B02873" w:rsidP="00603355">
            <w:pPr>
              <w:pStyle w:val="TablebodyleftTables"/>
              <w:jc w:val="right"/>
              <w:rPr>
                <w:b/>
                <w:bCs/>
                <w:sz w:val="18"/>
                <w:szCs w:val="18"/>
              </w:rPr>
            </w:pPr>
            <w:r w:rsidRPr="002B7BE6">
              <w:rPr>
                <w:b/>
                <w:bCs/>
                <w:sz w:val="18"/>
                <w:szCs w:val="18"/>
              </w:rPr>
              <w:t>580,027,099</w:t>
            </w:r>
          </w:p>
        </w:tc>
        <w:tc>
          <w:tcPr>
            <w:tcW w:w="1100" w:type="dxa"/>
          </w:tcPr>
          <w:p w14:paraId="013A3758" w14:textId="77777777" w:rsidR="00B02873" w:rsidRPr="002B7BE6" w:rsidRDefault="00B02873" w:rsidP="00603355">
            <w:pPr>
              <w:pStyle w:val="TablebodyleftTables"/>
              <w:jc w:val="right"/>
              <w:rPr>
                <w:b/>
                <w:bCs/>
                <w:sz w:val="18"/>
                <w:szCs w:val="18"/>
              </w:rPr>
            </w:pPr>
            <w:r w:rsidRPr="002B7BE6">
              <w:rPr>
                <w:b/>
                <w:bCs/>
                <w:sz w:val="18"/>
                <w:szCs w:val="18"/>
              </w:rPr>
              <w:t>100%</w:t>
            </w:r>
          </w:p>
        </w:tc>
        <w:tc>
          <w:tcPr>
            <w:tcW w:w="1205" w:type="dxa"/>
          </w:tcPr>
          <w:p w14:paraId="3169E99C" w14:textId="77777777" w:rsidR="00B02873" w:rsidRPr="002B7BE6" w:rsidRDefault="00B02873" w:rsidP="00603355">
            <w:pPr>
              <w:pStyle w:val="TablebodyleftTables"/>
              <w:jc w:val="right"/>
              <w:rPr>
                <w:b/>
                <w:bCs/>
                <w:sz w:val="18"/>
                <w:szCs w:val="18"/>
              </w:rPr>
            </w:pPr>
            <w:r w:rsidRPr="002B7BE6">
              <w:rPr>
                <w:b/>
                <w:bCs/>
                <w:sz w:val="18"/>
                <w:szCs w:val="18"/>
              </w:rPr>
              <w:t>100%</w:t>
            </w:r>
          </w:p>
        </w:tc>
      </w:tr>
    </w:tbl>
    <w:p w14:paraId="20218E27" w14:textId="3436867B" w:rsidR="00B02873" w:rsidRDefault="002B7BE6" w:rsidP="002B7BE6">
      <w:pPr>
        <w:pStyle w:val="SourceNote"/>
        <w:tabs>
          <w:tab w:val="left" w:pos="284"/>
        </w:tabs>
        <w:spacing w:after="60"/>
      </w:pPr>
      <w:r>
        <w:t>a.</w:t>
      </w:r>
      <w:r>
        <w:tab/>
      </w:r>
      <w:r w:rsidR="00B02873">
        <w:t>Includes $5.48 million in SRO expenses.</w:t>
      </w:r>
    </w:p>
    <w:p w14:paraId="42573008" w14:textId="20CC1A57" w:rsidR="00B02873" w:rsidRDefault="002B7BE6" w:rsidP="002B7BE6">
      <w:pPr>
        <w:pStyle w:val="SourceNote"/>
        <w:tabs>
          <w:tab w:val="left" w:pos="284"/>
        </w:tabs>
        <w:spacing w:after="60"/>
      </w:pPr>
      <w:r>
        <w:t>b.</w:t>
      </w:r>
      <w:r>
        <w:tab/>
      </w:r>
      <w:r w:rsidR="00B02873">
        <w:t>Includes SRO expenses paid in proportion to GAIC funds received per growth area.</w:t>
      </w:r>
    </w:p>
    <w:p w14:paraId="25DA6FC9" w14:textId="13951B73" w:rsidR="00B02873" w:rsidRDefault="002B7BE6" w:rsidP="002B7BE6">
      <w:pPr>
        <w:pStyle w:val="SourceNote"/>
        <w:tabs>
          <w:tab w:val="left" w:pos="284"/>
        </w:tabs>
      </w:pPr>
      <w:r>
        <w:t>c.</w:t>
      </w:r>
      <w:r>
        <w:tab/>
      </w:r>
      <w:r w:rsidR="00B02873">
        <w:t>Reported under section 201VC(b) of the Act.</w:t>
      </w:r>
    </w:p>
    <w:p w14:paraId="47FF336F" w14:textId="77777777" w:rsidR="00B02873" w:rsidRDefault="00B02873" w:rsidP="002B7BE6">
      <w:pPr>
        <w:pStyle w:val="Heading3"/>
      </w:pPr>
      <w:r>
        <w:t>Contributions from developers</w:t>
      </w:r>
    </w:p>
    <w:p w14:paraId="2464F2C2" w14:textId="77777777" w:rsidR="00B02873" w:rsidRDefault="00B02873" w:rsidP="00FE198A">
      <w:r>
        <w:t>GAIC cash receipts are historically received after GAIC accrual as a result of developers being able to defer their liabilities and enter into a staged payment arrangement (SPA) or Work-In-Kind (WIK) agreement. GAIC cash revenue has increased from $123 million in 2020-21 to $194.92 million in 2021-22. This increase is reflective of the surge in the property market and recovery from the COVID-19 pandemic.</w:t>
      </w:r>
    </w:p>
    <w:p w14:paraId="4FC1B040" w14:textId="77777777" w:rsidR="00B02873" w:rsidRDefault="00B02873" w:rsidP="00FE198A">
      <w:r>
        <w:rPr>
          <w:spacing w:val="-2"/>
        </w:rPr>
        <w:t>SPAs allow the payment of GAIC liability in stages over time as land is developed. Any outstanding liability is subject to interest. The Minister for Planning approves any new GAIC SPA for a GAIC liability of $10 million and over. The VPA Chief Executive Officer (CEO) has delegation to approve a new SPA for a GAIC liability of less than $10 million and an amended SPA. SPAs are amended for change of owner, stage areas, dates, number or order. All SPAs are reviewed by the SRO before approval.</w:t>
      </w:r>
    </w:p>
    <w:p w14:paraId="549374CB" w14:textId="36E229F4" w:rsidR="00B02873" w:rsidRDefault="00B02873" w:rsidP="00E116FE">
      <w:pPr>
        <w:pStyle w:val="TabletitleTables"/>
      </w:pPr>
      <w:r>
        <w:t>Table 5. Summary of GAIC transactions for the 2021-22 financial year</w:t>
      </w:r>
    </w:p>
    <w:tbl>
      <w:tblPr>
        <w:tblStyle w:val="TableGrid"/>
        <w:tblW w:w="0" w:type="auto"/>
        <w:tblLayout w:type="fixed"/>
        <w:tblLook w:val="0020" w:firstRow="1" w:lastRow="0" w:firstColumn="0" w:lastColumn="0" w:noHBand="0" w:noVBand="0"/>
      </w:tblPr>
      <w:tblGrid>
        <w:gridCol w:w="5102"/>
        <w:gridCol w:w="2268"/>
        <w:gridCol w:w="2268"/>
      </w:tblGrid>
      <w:tr w:rsidR="00B02873" w:rsidRPr="00B02873" w14:paraId="1E541586" w14:textId="77777777" w:rsidTr="00E116FE">
        <w:trPr>
          <w:cnfStyle w:val="100000000000" w:firstRow="1" w:lastRow="0" w:firstColumn="0" w:lastColumn="0" w:oddVBand="0" w:evenVBand="0" w:oddHBand="0" w:evenHBand="0" w:firstRowFirstColumn="0" w:firstRowLastColumn="0" w:lastRowFirstColumn="0" w:lastRowLastColumn="0"/>
          <w:trHeight w:val="60"/>
          <w:tblHeader/>
        </w:trPr>
        <w:tc>
          <w:tcPr>
            <w:tcW w:w="5102" w:type="dxa"/>
          </w:tcPr>
          <w:p w14:paraId="37F47F04" w14:textId="77777777" w:rsidR="00B02873" w:rsidRPr="00B02873" w:rsidRDefault="00B02873" w:rsidP="00E116FE">
            <w:pPr>
              <w:pStyle w:val="TableheadingleftTables"/>
            </w:pPr>
          </w:p>
        </w:tc>
        <w:tc>
          <w:tcPr>
            <w:tcW w:w="2268" w:type="dxa"/>
          </w:tcPr>
          <w:p w14:paraId="39B98C2D" w14:textId="77777777" w:rsidR="00B02873" w:rsidRDefault="00B02873" w:rsidP="00603355">
            <w:pPr>
              <w:pStyle w:val="TableheadingleftTables"/>
              <w:jc w:val="right"/>
            </w:pPr>
            <w:r>
              <w:t>2021-22 ($)</w:t>
            </w:r>
          </w:p>
        </w:tc>
        <w:tc>
          <w:tcPr>
            <w:tcW w:w="2268" w:type="dxa"/>
          </w:tcPr>
          <w:p w14:paraId="1E437E61" w14:textId="77777777" w:rsidR="00B02873" w:rsidRDefault="00B02873" w:rsidP="00603355">
            <w:pPr>
              <w:pStyle w:val="TableheadingleftTables"/>
              <w:jc w:val="right"/>
            </w:pPr>
            <w:r>
              <w:t>2020-21 ($)</w:t>
            </w:r>
          </w:p>
        </w:tc>
      </w:tr>
      <w:tr w:rsidR="00B02873" w:rsidRPr="00B02873" w14:paraId="0A1550B9" w14:textId="77777777" w:rsidTr="00E116FE">
        <w:trPr>
          <w:trHeight w:val="60"/>
        </w:trPr>
        <w:tc>
          <w:tcPr>
            <w:tcW w:w="5102" w:type="dxa"/>
          </w:tcPr>
          <w:p w14:paraId="1ACA77B2" w14:textId="77777777" w:rsidR="00B02873" w:rsidRDefault="00B02873" w:rsidP="00B415A9">
            <w:pPr>
              <w:pStyle w:val="TablebodyleftTables"/>
            </w:pPr>
            <w:r>
              <w:t>GAIC payments</w:t>
            </w:r>
            <w:r>
              <w:rPr>
                <w:vertAlign w:val="superscript"/>
              </w:rPr>
              <w:t>a</w:t>
            </w:r>
          </w:p>
        </w:tc>
        <w:tc>
          <w:tcPr>
            <w:tcW w:w="2268" w:type="dxa"/>
          </w:tcPr>
          <w:p w14:paraId="645E9C1D" w14:textId="77777777" w:rsidR="00B02873" w:rsidRDefault="00B02873" w:rsidP="00603355">
            <w:pPr>
              <w:pStyle w:val="TablebodyleftTables"/>
              <w:jc w:val="right"/>
            </w:pPr>
            <w:r>
              <w:t>187,923,479</w:t>
            </w:r>
          </w:p>
        </w:tc>
        <w:tc>
          <w:tcPr>
            <w:tcW w:w="2268" w:type="dxa"/>
          </w:tcPr>
          <w:p w14:paraId="1C97E412" w14:textId="77777777" w:rsidR="00B02873" w:rsidRDefault="00B02873" w:rsidP="00603355">
            <w:pPr>
              <w:pStyle w:val="TablebodyleftTables"/>
              <w:jc w:val="right"/>
            </w:pPr>
            <w:r>
              <w:t>118,847,701</w:t>
            </w:r>
          </w:p>
        </w:tc>
      </w:tr>
      <w:tr w:rsidR="00B02873" w:rsidRPr="00B02873" w14:paraId="60DF30C4" w14:textId="77777777" w:rsidTr="00E116FE">
        <w:trPr>
          <w:trHeight w:val="60"/>
        </w:trPr>
        <w:tc>
          <w:tcPr>
            <w:tcW w:w="5102" w:type="dxa"/>
          </w:tcPr>
          <w:p w14:paraId="6EC675F0" w14:textId="77777777" w:rsidR="00B02873" w:rsidRDefault="00B02873" w:rsidP="00B415A9">
            <w:pPr>
              <w:pStyle w:val="TablebodyleftTables"/>
            </w:pPr>
            <w:r>
              <w:t>Interest received (associated with GAIC payments)</w:t>
            </w:r>
          </w:p>
        </w:tc>
        <w:tc>
          <w:tcPr>
            <w:tcW w:w="2268" w:type="dxa"/>
          </w:tcPr>
          <w:p w14:paraId="4EA762E3" w14:textId="77777777" w:rsidR="00B02873" w:rsidRDefault="00B02873" w:rsidP="00603355">
            <w:pPr>
              <w:pStyle w:val="TablebodyleftTables"/>
              <w:jc w:val="right"/>
            </w:pPr>
            <w:r>
              <w:t>6,999,886</w:t>
            </w:r>
          </w:p>
        </w:tc>
        <w:tc>
          <w:tcPr>
            <w:tcW w:w="2268" w:type="dxa"/>
          </w:tcPr>
          <w:p w14:paraId="06896B1F" w14:textId="77777777" w:rsidR="00B02873" w:rsidRDefault="00B02873" w:rsidP="00603355">
            <w:pPr>
              <w:pStyle w:val="TablebodyleftTables"/>
              <w:jc w:val="right"/>
            </w:pPr>
            <w:r>
              <w:t xml:space="preserve">3,781,201 </w:t>
            </w:r>
          </w:p>
        </w:tc>
      </w:tr>
      <w:tr w:rsidR="00B02873" w:rsidRPr="00B02873" w14:paraId="2BAF9DAF" w14:textId="77777777" w:rsidTr="00E116FE">
        <w:trPr>
          <w:trHeight w:val="60"/>
        </w:trPr>
        <w:tc>
          <w:tcPr>
            <w:tcW w:w="5102" w:type="dxa"/>
          </w:tcPr>
          <w:p w14:paraId="6D5ECB5B" w14:textId="77777777" w:rsidR="00B02873" w:rsidRDefault="00B02873" w:rsidP="00B415A9">
            <w:pPr>
              <w:pStyle w:val="TablebodyleftTables"/>
            </w:pPr>
            <w:r>
              <w:t xml:space="preserve">GAIC refunds </w:t>
            </w:r>
          </w:p>
        </w:tc>
        <w:tc>
          <w:tcPr>
            <w:tcW w:w="2268" w:type="dxa"/>
          </w:tcPr>
          <w:p w14:paraId="68AC616F" w14:textId="621248BE" w:rsidR="00B02873" w:rsidRDefault="00E116FE" w:rsidP="00603355">
            <w:pPr>
              <w:pStyle w:val="TablebodyleftTables"/>
              <w:jc w:val="right"/>
            </w:pPr>
            <w:r>
              <w:t>–</w:t>
            </w:r>
          </w:p>
        </w:tc>
        <w:tc>
          <w:tcPr>
            <w:tcW w:w="2268" w:type="dxa"/>
          </w:tcPr>
          <w:p w14:paraId="3822D76F" w14:textId="6CD7F8FF" w:rsidR="00B02873" w:rsidRDefault="00E116FE" w:rsidP="00603355">
            <w:pPr>
              <w:pStyle w:val="TablebodyleftTables"/>
              <w:jc w:val="right"/>
            </w:pPr>
            <w:r>
              <w:t>–</w:t>
            </w:r>
          </w:p>
        </w:tc>
      </w:tr>
      <w:tr w:rsidR="00B02873" w:rsidRPr="00B02873" w14:paraId="1B69CF18" w14:textId="77777777" w:rsidTr="00E116FE">
        <w:trPr>
          <w:trHeight w:val="60"/>
        </w:trPr>
        <w:tc>
          <w:tcPr>
            <w:tcW w:w="5102" w:type="dxa"/>
          </w:tcPr>
          <w:p w14:paraId="0B410CAF" w14:textId="77777777" w:rsidR="00B02873" w:rsidRDefault="00B02873" w:rsidP="00B415A9">
            <w:pPr>
              <w:pStyle w:val="TablebodyleftTables"/>
            </w:pPr>
            <w:r>
              <w:t>Net cash GAIC receipt</w:t>
            </w:r>
            <w:r>
              <w:rPr>
                <w:vertAlign w:val="superscript"/>
              </w:rPr>
              <w:t>b</w:t>
            </w:r>
          </w:p>
        </w:tc>
        <w:tc>
          <w:tcPr>
            <w:tcW w:w="2268" w:type="dxa"/>
          </w:tcPr>
          <w:p w14:paraId="59903B56" w14:textId="77777777" w:rsidR="00B02873" w:rsidRDefault="00B02873" w:rsidP="00603355">
            <w:pPr>
              <w:pStyle w:val="TablebodyleftTables"/>
              <w:jc w:val="right"/>
            </w:pPr>
            <w:r>
              <w:t>194,923,365</w:t>
            </w:r>
          </w:p>
        </w:tc>
        <w:tc>
          <w:tcPr>
            <w:tcW w:w="2268" w:type="dxa"/>
          </w:tcPr>
          <w:p w14:paraId="0D414111" w14:textId="77777777" w:rsidR="00B02873" w:rsidRDefault="00B02873" w:rsidP="00603355">
            <w:pPr>
              <w:pStyle w:val="TablebodyleftTables"/>
              <w:jc w:val="right"/>
            </w:pPr>
            <w:r>
              <w:t xml:space="preserve">122,628,905 </w:t>
            </w:r>
          </w:p>
        </w:tc>
      </w:tr>
      <w:tr w:rsidR="00B02873" w:rsidRPr="00B02873" w14:paraId="7A305E52" w14:textId="77777777" w:rsidTr="00E116FE">
        <w:trPr>
          <w:trHeight w:val="60"/>
        </w:trPr>
        <w:tc>
          <w:tcPr>
            <w:tcW w:w="5102" w:type="dxa"/>
          </w:tcPr>
          <w:p w14:paraId="453A7BBF" w14:textId="57C6C36F" w:rsidR="00B02873" w:rsidRDefault="00B02873" w:rsidP="00B415A9">
            <w:pPr>
              <w:pStyle w:val="TablebodyleftTables"/>
            </w:pPr>
            <w:r>
              <w:t>WIK fulfilment</w:t>
            </w:r>
            <w:r w:rsidR="000C45FC">
              <w:t xml:space="preserve"> – </w:t>
            </w:r>
            <w:r>
              <w:t>SPA</w:t>
            </w:r>
          </w:p>
        </w:tc>
        <w:tc>
          <w:tcPr>
            <w:tcW w:w="2268" w:type="dxa"/>
          </w:tcPr>
          <w:p w14:paraId="6FAA38C8" w14:textId="77777777" w:rsidR="00B02873" w:rsidRDefault="00B02873" w:rsidP="00603355">
            <w:pPr>
              <w:pStyle w:val="TablebodyleftTables"/>
              <w:jc w:val="right"/>
            </w:pPr>
            <w:r>
              <w:t>4,468,159</w:t>
            </w:r>
          </w:p>
        </w:tc>
        <w:tc>
          <w:tcPr>
            <w:tcW w:w="2268" w:type="dxa"/>
          </w:tcPr>
          <w:p w14:paraId="70514E29" w14:textId="77777777" w:rsidR="00B02873" w:rsidRDefault="00B02873" w:rsidP="00603355">
            <w:pPr>
              <w:pStyle w:val="TablebodyleftTables"/>
              <w:jc w:val="right"/>
            </w:pPr>
            <w:r>
              <w:t xml:space="preserve"> 666,599 </w:t>
            </w:r>
          </w:p>
        </w:tc>
      </w:tr>
      <w:tr w:rsidR="00B02873" w:rsidRPr="00B02873" w14:paraId="2B5F89A9" w14:textId="77777777" w:rsidTr="00E116FE">
        <w:trPr>
          <w:trHeight w:val="60"/>
        </w:trPr>
        <w:tc>
          <w:tcPr>
            <w:tcW w:w="5102" w:type="dxa"/>
          </w:tcPr>
          <w:p w14:paraId="2C9F717E" w14:textId="7DACC79B" w:rsidR="00B02873" w:rsidRDefault="00B02873" w:rsidP="00B415A9">
            <w:pPr>
              <w:pStyle w:val="TablebodyleftTables"/>
            </w:pPr>
            <w:r>
              <w:lastRenderedPageBreak/>
              <w:t>WIK fulfilment</w:t>
            </w:r>
            <w:r w:rsidR="000C45FC">
              <w:t xml:space="preserve"> – </w:t>
            </w:r>
            <w:r>
              <w:t>SPA interest</w:t>
            </w:r>
          </w:p>
        </w:tc>
        <w:tc>
          <w:tcPr>
            <w:tcW w:w="2268" w:type="dxa"/>
          </w:tcPr>
          <w:p w14:paraId="7BD1B26E" w14:textId="77777777" w:rsidR="00B02873" w:rsidRDefault="00B02873" w:rsidP="00603355">
            <w:pPr>
              <w:pStyle w:val="TablebodyleftTables"/>
              <w:jc w:val="right"/>
            </w:pPr>
            <w:r>
              <w:t>107,320</w:t>
            </w:r>
          </w:p>
        </w:tc>
        <w:tc>
          <w:tcPr>
            <w:tcW w:w="2268" w:type="dxa"/>
          </w:tcPr>
          <w:p w14:paraId="36B726FD" w14:textId="77777777" w:rsidR="00B02873" w:rsidRDefault="00B02873" w:rsidP="00603355">
            <w:pPr>
              <w:pStyle w:val="TablebodyleftTables"/>
              <w:jc w:val="right"/>
            </w:pPr>
            <w:r>
              <w:t xml:space="preserve">104,963 </w:t>
            </w:r>
          </w:p>
        </w:tc>
      </w:tr>
      <w:tr w:rsidR="00B02873" w:rsidRPr="00B02873" w14:paraId="4923B099" w14:textId="77777777" w:rsidTr="00E116FE">
        <w:trPr>
          <w:trHeight w:val="409"/>
        </w:trPr>
        <w:tc>
          <w:tcPr>
            <w:tcW w:w="5102" w:type="dxa"/>
          </w:tcPr>
          <w:p w14:paraId="0B30D265" w14:textId="77777777" w:rsidR="00B02873" w:rsidRDefault="00B02873" w:rsidP="00B415A9">
            <w:pPr>
              <w:pStyle w:val="TablebodyleftTables"/>
            </w:pPr>
            <w:r>
              <w:t>WIK fulfilment Full payment</w:t>
            </w:r>
          </w:p>
        </w:tc>
        <w:tc>
          <w:tcPr>
            <w:tcW w:w="2268" w:type="dxa"/>
          </w:tcPr>
          <w:p w14:paraId="6B04106E" w14:textId="06A07DFE" w:rsidR="00B02873" w:rsidRDefault="00E116FE" w:rsidP="00603355">
            <w:pPr>
              <w:pStyle w:val="TablebodyleftTables"/>
              <w:jc w:val="right"/>
            </w:pPr>
            <w:r>
              <w:t>–</w:t>
            </w:r>
          </w:p>
        </w:tc>
        <w:tc>
          <w:tcPr>
            <w:tcW w:w="2268" w:type="dxa"/>
          </w:tcPr>
          <w:p w14:paraId="15F73E74" w14:textId="65899273" w:rsidR="00B02873" w:rsidRDefault="00E116FE" w:rsidP="00603355">
            <w:pPr>
              <w:pStyle w:val="TablebodyleftTables"/>
              <w:jc w:val="right"/>
            </w:pPr>
            <w:r>
              <w:t>–</w:t>
            </w:r>
          </w:p>
        </w:tc>
      </w:tr>
      <w:tr w:rsidR="00B02873" w:rsidRPr="00B02873" w14:paraId="7CB15BE0" w14:textId="77777777" w:rsidTr="00E116FE">
        <w:trPr>
          <w:trHeight w:val="60"/>
        </w:trPr>
        <w:tc>
          <w:tcPr>
            <w:tcW w:w="5102" w:type="dxa"/>
          </w:tcPr>
          <w:p w14:paraId="793AA9DB" w14:textId="77777777" w:rsidR="00B02873" w:rsidRDefault="00B02873" w:rsidP="00B415A9">
            <w:pPr>
              <w:pStyle w:val="TablebodyleftTables"/>
            </w:pPr>
            <w:r>
              <w:t>WIK Suspense</w:t>
            </w:r>
          </w:p>
        </w:tc>
        <w:tc>
          <w:tcPr>
            <w:tcW w:w="2268" w:type="dxa"/>
          </w:tcPr>
          <w:p w14:paraId="5A933350" w14:textId="67417CCF" w:rsidR="00B02873" w:rsidRDefault="00E116FE" w:rsidP="00603355">
            <w:pPr>
              <w:pStyle w:val="TablebodyleftTables"/>
              <w:jc w:val="right"/>
            </w:pPr>
            <w:r>
              <w:t>–</w:t>
            </w:r>
          </w:p>
        </w:tc>
        <w:tc>
          <w:tcPr>
            <w:tcW w:w="2268" w:type="dxa"/>
          </w:tcPr>
          <w:p w14:paraId="5C246E89" w14:textId="445CC67E" w:rsidR="00B02873" w:rsidRDefault="00E116FE" w:rsidP="00603355">
            <w:pPr>
              <w:pStyle w:val="TablebodyleftTables"/>
              <w:jc w:val="right"/>
            </w:pPr>
            <w:r>
              <w:t>–</w:t>
            </w:r>
          </w:p>
        </w:tc>
      </w:tr>
      <w:tr w:rsidR="00B02873" w:rsidRPr="00B02873" w14:paraId="10F2F6FC" w14:textId="77777777" w:rsidTr="00E116FE">
        <w:trPr>
          <w:trHeight w:val="60"/>
        </w:trPr>
        <w:tc>
          <w:tcPr>
            <w:tcW w:w="5102" w:type="dxa"/>
          </w:tcPr>
          <w:p w14:paraId="3B1EA5F9" w14:textId="77777777" w:rsidR="00B02873" w:rsidRDefault="00B02873" w:rsidP="00B415A9">
            <w:pPr>
              <w:pStyle w:val="TableheadingleftTables"/>
            </w:pPr>
            <w:r>
              <w:t>Total GAIC Revenue</w:t>
            </w:r>
          </w:p>
        </w:tc>
        <w:tc>
          <w:tcPr>
            <w:tcW w:w="2268" w:type="dxa"/>
          </w:tcPr>
          <w:p w14:paraId="21D21634" w14:textId="77777777" w:rsidR="00B02873" w:rsidRPr="00E116FE" w:rsidRDefault="00B02873" w:rsidP="00603355">
            <w:pPr>
              <w:pStyle w:val="TablebodyleftTables"/>
              <w:jc w:val="right"/>
              <w:rPr>
                <w:b/>
                <w:bCs/>
              </w:rPr>
            </w:pPr>
            <w:r w:rsidRPr="00E116FE">
              <w:rPr>
                <w:b/>
                <w:bCs/>
              </w:rPr>
              <w:t>199,498,845</w:t>
            </w:r>
          </w:p>
        </w:tc>
        <w:tc>
          <w:tcPr>
            <w:tcW w:w="2268" w:type="dxa"/>
          </w:tcPr>
          <w:p w14:paraId="13AA8D14" w14:textId="77777777" w:rsidR="00B02873" w:rsidRPr="00E116FE" w:rsidRDefault="00B02873" w:rsidP="00603355">
            <w:pPr>
              <w:pStyle w:val="TablebodyleftTables"/>
              <w:jc w:val="right"/>
              <w:rPr>
                <w:b/>
                <w:bCs/>
              </w:rPr>
            </w:pPr>
            <w:r w:rsidRPr="00E116FE">
              <w:rPr>
                <w:b/>
                <w:bCs/>
              </w:rPr>
              <w:t xml:space="preserve">123,400,466 </w:t>
            </w:r>
          </w:p>
        </w:tc>
      </w:tr>
    </w:tbl>
    <w:p w14:paraId="329EF6A7" w14:textId="383E1263" w:rsidR="00B02873" w:rsidRDefault="00E116FE" w:rsidP="00E116FE">
      <w:pPr>
        <w:pStyle w:val="SourceNote"/>
        <w:tabs>
          <w:tab w:val="left" w:pos="284"/>
        </w:tabs>
        <w:spacing w:after="60"/>
        <w:ind w:left="284" w:hanging="284"/>
      </w:pPr>
      <w:r>
        <w:t>a.</w:t>
      </w:r>
      <w:r>
        <w:tab/>
      </w:r>
      <w:r w:rsidR="00B02873">
        <w:t>The GAIC cash receipts are paid into the Consolidated Fund by the SRO, after interest received with the GAIC payments and refunds made within the Fund. It does not include interest received once the monies are in the GAIC Funds, this is reported separately in the table above. GAIC revenue received includes payments that were subsequently refunded and excludes GAIC interest received.</w:t>
      </w:r>
    </w:p>
    <w:p w14:paraId="176944BB" w14:textId="0A04241B" w:rsidR="00B02873" w:rsidRDefault="00E116FE" w:rsidP="00E116FE">
      <w:pPr>
        <w:pStyle w:val="SourceNote"/>
        <w:tabs>
          <w:tab w:val="left" w:pos="284"/>
        </w:tabs>
        <w:ind w:left="284" w:hanging="284"/>
      </w:pPr>
      <w:r>
        <w:t>b.</w:t>
      </w:r>
      <w:r>
        <w:tab/>
      </w:r>
      <w:r w:rsidR="00B02873">
        <w:t>When GAIC is due, the landowner can elect to pay 30 per cent upfront and enter an SPA for the balance of the 70 per cent of their liability. The Minister for Planning, or the CEO of the VPA under delegated authority up to $10 million, approves each SPA. The SRO is responsible for processing approved SPAs.</w:t>
      </w:r>
    </w:p>
    <w:p w14:paraId="586EEFDE" w14:textId="77777777" w:rsidR="00B02873" w:rsidRDefault="00B02873" w:rsidP="00E116FE">
      <w:pPr>
        <w:pStyle w:val="TabletitleTables"/>
      </w:pPr>
      <w:r>
        <w:t>Table 6. GAIC deferrals and future payments for the 2021-22 financial year</w:t>
      </w:r>
    </w:p>
    <w:tbl>
      <w:tblPr>
        <w:tblStyle w:val="TableGrid"/>
        <w:tblW w:w="0" w:type="auto"/>
        <w:tblLayout w:type="fixed"/>
        <w:tblLook w:val="0020" w:firstRow="1" w:lastRow="0" w:firstColumn="0" w:lastColumn="0" w:noHBand="0" w:noVBand="0"/>
      </w:tblPr>
      <w:tblGrid>
        <w:gridCol w:w="3543"/>
        <w:gridCol w:w="3045"/>
        <w:gridCol w:w="3044"/>
      </w:tblGrid>
      <w:tr w:rsidR="00B02873" w:rsidRPr="00B02873" w14:paraId="71280FD5" w14:textId="77777777" w:rsidTr="00E116FE">
        <w:trPr>
          <w:cnfStyle w:val="100000000000" w:firstRow="1" w:lastRow="0" w:firstColumn="0" w:lastColumn="0" w:oddVBand="0" w:evenVBand="0" w:oddHBand="0" w:evenHBand="0" w:firstRowFirstColumn="0" w:firstRowLastColumn="0" w:lastRowFirstColumn="0" w:lastRowLastColumn="0"/>
          <w:trHeight w:val="60"/>
        </w:trPr>
        <w:tc>
          <w:tcPr>
            <w:tcW w:w="3543" w:type="dxa"/>
          </w:tcPr>
          <w:p w14:paraId="32F504F8" w14:textId="77777777" w:rsidR="00B02873" w:rsidRPr="00B02873" w:rsidRDefault="00B02873" w:rsidP="00E116FE">
            <w:pPr>
              <w:pStyle w:val="TableheadingleftTables"/>
            </w:pPr>
          </w:p>
        </w:tc>
        <w:tc>
          <w:tcPr>
            <w:tcW w:w="3045" w:type="dxa"/>
          </w:tcPr>
          <w:p w14:paraId="7CCC7874" w14:textId="6A1C2321" w:rsidR="00B02873" w:rsidRDefault="00B02873" w:rsidP="00603355">
            <w:pPr>
              <w:pStyle w:val="TableheadingleftTables"/>
              <w:jc w:val="right"/>
            </w:pPr>
            <w:r>
              <w:t>Transaction value for 2021-22 ($)</w:t>
            </w:r>
          </w:p>
        </w:tc>
        <w:tc>
          <w:tcPr>
            <w:tcW w:w="3044" w:type="dxa"/>
          </w:tcPr>
          <w:p w14:paraId="4B35FC97" w14:textId="547CA3CB" w:rsidR="00B02873" w:rsidRDefault="00B02873" w:rsidP="00603355">
            <w:pPr>
              <w:pStyle w:val="TableheadingleftTables"/>
              <w:jc w:val="right"/>
            </w:pPr>
            <w:r>
              <w:t>Transaction value for 2020-21 ($)</w:t>
            </w:r>
          </w:p>
        </w:tc>
      </w:tr>
      <w:tr w:rsidR="00B02873" w:rsidRPr="00B02873" w14:paraId="249A070A" w14:textId="77777777" w:rsidTr="00E116FE">
        <w:trPr>
          <w:trHeight w:val="60"/>
        </w:trPr>
        <w:tc>
          <w:tcPr>
            <w:tcW w:w="3543" w:type="dxa"/>
          </w:tcPr>
          <w:p w14:paraId="28F45C8F" w14:textId="77777777" w:rsidR="00B02873" w:rsidRDefault="00B02873" w:rsidP="00B415A9">
            <w:pPr>
              <w:pStyle w:val="TablebodyleftTables"/>
            </w:pPr>
            <w:r>
              <w:t>GAIC deferred</w:t>
            </w:r>
            <w:r>
              <w:rPr>
                <w:vertAlign w:val="superscript"/>
              </w:rPr>
              <w:t>a</w:t>
            </w:r>
          </w:p>
        </w:tc>
        <w:tc>
          <w:tcPr>
            <w:tcW w:w="3045" w:type="dxa"/>
          </w:tcPr>
          <w:p w14:paraId="418FAF4B" w14:textId="77777777" w:rsidR="00B02873" w:rsidRDefault="00B02873" w:rsidP="00603355">
            <w:pPr>
              <w:pStyle w:val="TablebodyleftTables"/>
              <w:jc w:val="right"/>
            </w:pPr>
            <w:r>
              <w:t>145,002,496</w:t>
            </w:r>
          </w:p>
        </w:tc>
        <w:tc>
          <w:tcPr>
            <w:tcW w:w="3044" w:type="dxa"/>
          </w:tcPr>
          <w:p w14:paraId="4044A5D1" w14:textId="77777777" w:rsidR="00B02873" w:rsidRDefault="00B02873" w:rsidP="00603355">
            <w:pPr>
              <w:pStyle w:val="TablebodyleftTables"/>
              <w:jc w:val="right"/>
            </w:pPr>
            <w:r>
              <w:t>56,626,696</w:t>
            </w:r>
          </w:p>
        </w:tc>
      </w:tr>
      <w:tr w:rsidR="00B02873" w:rsidRPr="00B02873" w14:paraId="5C04ADB4" w14:textId="77777777" w:rsidTr="00E116FE">
        <w:trPr>
          <w:trHeight w:val="60"/>
        </w:trPr>
        <w:tc>
          <w:tcPr>
            <w:tcW w:w="3543" w:type="dxa"/>
          </w:tcPr>
          <w:p w14:paraId="440CC261" w14:textId="77777777" w:rsidR="00B02873" w:rsidRDefault="00B02873" w:rsidP="00B415A9">
            <w:pPr>
              <w:pStyle w:val="TablebodyleftTables"/>
            </w:pPr>
            <w:r>
              <w:t>Staged payment arrangements</w:t>
            </w:r>
            <w:r>
              <w:rPr>
                <w:vertAlign w:val="superscript"/>
              </w:rPr>
              <w:t>b</w:t>
            </w:r>
          </w:p>
        </w:tc>
        <w:tc>
          <w:tcPr>
            <w:tcW w:w="3045" w:type="dxa"/>
          </w:tcPr>
          <w:p w14:paraId="3889E279" w14:textId="77777777" w:rsidR="00B02873" w:rsidRDefault="00B02873" w:rsidP="00603355">
            <w:pPr>
              <w:pStyle w:val="TablebodyleftTables"/>
              <w:jc w:val="right"/>
            </w:pPr>
            <w:r>
              <w:t>140,334,781</w:t>
            </w:r>
          </w:p>
        </w:tc>
        <w:tc>
          <w:tcPr>
            <w:tcW w:w="3044" w:type="dxa"/>
          </w:tcPr>
          <w:p w14:paraId="1CC210A1" w14:textId="77777777" w:rsidR="00B02873" w:rsidRDefault="00B02873" w:rsidP="00603355">
            <w:pPr>
              <w:pStyle w:val="TablebodyleftTables"/>
              <w:jc w:val="right"/>
            </w:pPr>
            <w:r>
              <w:t>120,062,827</w:t>
            </w:r>
          </w:p>
        </w:tc>
      </w:tr>
      <w:tr w:rsidR="00B02873" w:rsidRPr="00B02873" w14:paraId="1E23EA52" w14:textId="77777777" w:rsidTr="00E116FE">
        <w:trPr>
          <w:trHeight w:val="60"/>
        </w:trPr>
        <w:tc>
          <w:tcPr>
            <w:tcW w:w="3543" w:type="dxa"/>
          </w:tcPr>
          <w:p w14:paraId="3A88BB97" w14:textId="77777777" w:rsidR="00B02873" w:rsidRDefault="00B02873" w:rsidP="00B415A9">
            <w:pPr>
              <w:pStyle w:val="TablebodyleftTables"/>
            </w:pPr>
            <w:r>
              <w:t>Net staged payments outstanding</w:t>
            </w:r>
            <w:r>
              <w:rPr>
                <w:vertAlign w:val="superscript"/>
              </w:rPr>
              <w:t>c</w:t>
            </w:r>
          </w:p>
        </w:tc>
        <w:tc>
          <w:tcPr>
            <w:tcW w:w="3045" w:type="dxa"/>
          </w:tcPr>
          <w:p w14:paraId="2A916A98" w14:textId="77777777" w:rsidR="00B02873" w:rsidRDefault="00B02873" w:rsidP="00603355">
            <w:pPr>
              <w:pStyle w:val="TablebodyleftTables"/>
              <w:jc w:val="right"/>
            </w:pPr>
            <w:r>
              <w:t>303,905,911</w:t>
            </w:r>
          </w:p>
        </w:tc>
        <w:tc>
          <w:tcPr>
            <w:tcW w:w="3044" w:type="dxa"/>
          </w:tcPr>
          <w:p w14:paraId="27B321C9" w14:textId="77777777" w:rsidR="00B02873" w:rsidRDefault="00B02873" w:rsidP="00603355">
            <w:pPr>
              <w:pStyle w:val="TablebodyleftTables"/>
              <w:jc w:val="right"/>
            </w:pPr>
            <w:r>
              <w:t xml:space="preserve">287,065,388 </w:t>
            </w:r>
          </w:p>
        </w:tc>
      </w:tr>
    </w:tbl>
    <w:p w14:paraId="715C4F72" w14:textId="70724973" w:rsidR="00B02873" w:rsidRDefault="00831390" w:rsidP="00E116FE">
      <w:pPr>
        <w:pStyle w:val="SourceNote"/>
        <w:tabs>
          <w:tab w:val="left" w:pos="284"/>
        </w:tabs>
        <w:spacing w:after="60"/>
        <w:ind w:left="284" w:hanging="284"/>
      </w:pPr>
      <w:r>
        <w:t>a.</w:t>
      </w:r>
      <w:r>
        <w:tab/>
      </w:r>
      <w:r w:rsidR="00B02873" w:rsidRPr="00E116FE">
        <w:t>Deferrals arise from purchase transactions whereby the liable party elects to defer all, or part of their GAIC liability until the next GAIC event. Should the liable party elect to defer part of the liability, then a payment of the non-deferred portion of the total liability is due. The reported total GAIC deferred for the year is the total amount elected to have been deferred during the financial year. Some of those amounts may have subsequently been paid or have been converted into a SPA.</w:t>
      </w:r>
    </w:p>
    <w:p w14:paraId="7D60A9AB" w14:textId="1C30F9D6" w:rsidR="00B02873" w:rsidRDefault="00831390" w:rsidP="00E116FE">
      <w:pPr>
        <w:pStyle w:val="SourceNote"/>
        <w:tabs>
          <w:tab w:val="left" w:pos="284"/>
        </w:tabs>
        <w:spacing w:after="60"/>
        <w:ind w:left="284" w:hanging="284"/>
      </w:pPr>
      <w:r>
        <w:t>b.</w:t>
      </w:r>
      <w:r>
        <w:tab/>
      </w:r>
      <w:r w:rsidR="00B02873">
        <w:t>When GAIC is due, the landowner can seek approval of a SPA. SPAs require the first payment to be a minimum of 30 per cent of the remaining liability to be paid pro-rata by area of each stage. The Minister for Planning, or the CEO of the VPA under delegated authority to no more than $10 million or amendment, approves each SPA. The SRO is responsible for processing approved SPAs.</w:t>
      </w:r>
    </w:p>
    <w:p w14:paraId="0059FCA3" w14:textId="7EF3B6C6" w:rsidR="00B02873" w:rsidRDefault="00831390" w:rsidP="00831390">
      <w:pPr>
        <w:pStyle w:val="SourceNote"/>
        <w:tabs>
          <w:tab w:val="left" w:pos="284"/>
        </w:tabs>
        <w:ind w:left="284" w:hanging="284"/>
      </w:pPr>
      <w:r>
        <w:t>c.</w:t>
      </w:r>
      <w:r>
        <w:tab/>
      </w:r>
      <w:r w:rsidR="00B02873">
        <w:t>The outstanding amounts in relation to an approved SPA, are progressively reduced in accordance with the agreed payment arrangements and increased by applicable interest.</w:t>
      </w:r>
    </w:p>
    <w:p w14:paraId="173DA1E7" w14:textId="77777777" w:rsidR="00B02873" w:rsidRDefault="00B02873" w:rsidP="00831390">
      <w:pPr>
        <w:pStyle w:val="Heading3"/>
      </w:pPr>
      <w:r>
        <w:t>Approvals and allocations</w:t>
      </w:r>
    </w:p>
    <w:p w14:paraId="3278E699" w14:textId="77777777" w:rsidR="00B02873" w:rsidRDefault="00B02873" w:rsidP="00FE198A">
      <w:r>
        <w:t>No additional GAIC funding commitments were made during the 2021-22 financial year.</w:t>
      </w:r>
    </w:p>
    <w:p w14:paraId="63334EF5" w14:textId="77777777" w:rsidR="00B02873" w:rsidRDefault="00B02873" w:rsidP="00831390">
      <w:pPr>
        <w:pStyle w:val="Heading3"/>
      </w:pPr>
      <w:r>
        <w:t>Receipts and Expenditure by Growth Area</w:t>
      </w:r>
    </w:p>
    <w:p w14:paraId="4268F514" w14:textId="77777777" w:rsidR="00B02873" w:rsidRDefault="00B02873" w:rsidP="00831390">
      <w:pPr>
        <w:pStyle w:val="Heading4"/>
      </w:pPr>
      <w:r>
        <w:t>Building New Communities Fund for the year ending 30 June 2022</w:t>
      </w:r>
    </w:p>
    <w:p w14:paraId="4F8EE591" w14:textId="77777777" w:rsidR="00B02873" w:rsidRDefault="00B02873" w:rsidP="00FE198A">
      <w:r>
        <w:t>At 30 June 2022, the BNCF had a total balance of $165.10 million, with existing commitments for projects totalling $43.8 million. These projects will have future outflows to 2022-23. The BNCF has $121.31 million pending future allocation.</w:t>
      </w:r>
    </w:p>
    <w:p w14:paraId="3809DBB2" w14:textId="77777777" w:rsidR="00B02873" w:rsidRDefault="00B02873" w:rsidP="00831390">
      <w:pPr>
        <w:pStyle w:val="TabletitleTables"/>
      </w:pPr>
      <w:r>
        <w:lastRenderedPageBreak/>
        <w:t xml:space="preserve">Table 7. Building New Communities Fund by Growth Area in the 2021-22 financial year </w:t>
      </w:r>
    </w:p>
    <w:tbl>
      <w:tblPr>
        <w:tblStyle w:val="TableGrid"/>
        <w:tblW w:w="10000" w:type="dxa"/>
        <w:tblLayout w:type="fixed"/>
        <w:tblLook w:val="0020" w:firstRow="1" w:lastRow="0" w:firstColumn="0" w:lastColumn="0" w:noHBand="0" w:noVBand="0"/>
      </w:tblPr>
      <w:tblGrid>
        <w:gridCol w:w="1191"/>
        <w:gridCol w:w="1190"/>
        <w:gridCol w:w="1191"/>
        <w:gridCol w:w="1190"/>
        <w:gridCol w:w="1191"/>
        <w:gridCol w:w="1272"/>
        <w:gridCol w:w="1499"/>
        <w:gridCol w:w="1276"/>
      </w:tblGrid>
      <w:tr w:rsidR="00B02873" w:rsidRPr="00831390" w14:paraId="157595EA" w14:textId="77777777" w:rsidTr="00831390">
        <w:trPr>
          <w:cnfStyle w:val="100000000000" w:firstRow="1" w:lastRow="0" w:firstColumn="0" w:lastColumn="0" w:oddVBand="0" w:evenVBand="0" w:oddHBand="0" w:evenHBand="0" w:firstRowFirstColumn="0" w:firstRowLastColumn="0" w:lastRowFirstColumn="0" w:lastRowLastColumn="0"/>
          <w:trHeight w:val="60"/>
        </w:trPr>
        <w:tc>
          <w:tcPr>
            <w:tcW w:w="1191" w:type="dxa"/>
          </w:tcPr>
          <w:p w14:paraId="6D3E0458" w14:textId="77777777" w:rsidR="00B02873" w:rsidRPr="00831390" w:rsidRDefault="00B02873" w:rsidP="00831390">
            <w:pPr>
              <w:pStyle w:val="TableheadingleftTables"/>
              <w:rPr>
                <w:sz w:val="20"/>
                <w:szCs w:val="20"/>
              </w:rPr>
            </w:pPr>
            <w:r w:rsidRPr="00831390">
              <w:rPr>
                <w:sz w:val="20"/>
                <w:szCs w:val="20"/>
              </w:rPr>
              <w:t>Growth Area</w:t>
            </w:r>
          </w:p>
        </w:tc>
        <w:tc>
          <w:tcPr>
            <w:tcW w:w="1190" w:type="dxa"/>
          </w:tcPr>
          <w:p w14:paraId="7F398526" w14:textId="77777777" w:rsidR="00B02873" w:rsidRPr="00831390" w:rsidRDefault="00B02873" w:rsidP="00A269DB">
            <w:pPr>
              <w:pStyle w:val="TableheadingleftTables"/>
              <w:jc w:val="right"/>
              <w:rPr>
                <w:sz w:val="20"/>
                <w:szCs w:val="20"/>
              </w:rPr>
            </w:pPr>
            <w:r w:rsidRPr="00831390">
              <w:rPr>
                <w:sz w:val="20"/>
                <w:szCs w:val="20"/>
              </w:rPr>
              <w:t xml:space="preserve">Opening fund balance as at 1 July 2021 </w:t>
            </w:r>
            <w:r w:rsidRPr="00831390">
              <w:rPr>
                <w:sz w:val="20"/>
                <w:szCs w:val="20"/>
              </w:rPr>
              <w:br/>
              <w:t>($)</w:t>
            </w:r>
          </w:p>
        </w:tc>
        <w:tc>
          <w:tcPr>
            <w:tcW w:w="1191" w:type="dxa"/>
          </w:tcPr>
          <w:p w14:paraId="5CB5F345" w14:textId="77777777" w:rsidR="00B02873" w:rsidRPr="00831390" w:rsidRDefault="00B02873" w:rsidP="00A269DB">
            <w:pPr>
              <w:pStyle w:val="TableheadingleftTables"/>
              <w:jc w:val="right"/>
              <w:rPr>
                <w:sz w:val="20"/>
                <w:szCs w:val="20"/>
              </w:rPr>
            </w:pPr>
            <w:r w:rsidRPr="00831390">
              <w:rPr>
                <w:sz w:val="20"/>
                <w:szCs w:val="20"/>
              </w:rPr>
              <w:t xml:space="preserve">Interest earned for the year to 30 June 2022 </w:t>
            </w:r>
            <w:r w:rsidRPr="00831390">
              <w:rPr>
                <w:sz w:val="20"/>
                <w:szCs w:val="20"/>
              </w:rPr>
              <w:br/>
              <w:t>($)</w:t>
            </w:r>
          </w:p>
        </w:tc>
        <w:tc>
          <w:tcPr>
            <w:tcW w:w="1190" w:type="dxa"/>
          </w:tcPr>
          <w:p w14:paraId="4B4290A2" w14:textId="77777777" w:rsidR="00B02873" w:rsidRPr="00831390" w:rsidRDefault="00B02873" w:rsidP="00A269DB">
            <w:pPr>
              <w:pStyle w:val="TableheadingleftTables"/>
              <w:jc w:val="right"/>
              <w:rPr>
                <w:sz w:val="20"/>
                <w:szCs w:val="20"/>
              </w:rPr>
            </w:pPr>
            <w:r w:rsidRPr="00831390">
              <w:rPr>
                <w:sz w:val="20"/>
                <w:szCs w:val="20"/>
              </w:rPr>
              <w:t>Amount paid into the fund for the year 30 June 2022 ($)</w:t>
            </w:r>
          </w:p>
        </w:tc>
        <w:tc>
          <w:tcPr>
            <w:tcW w:w="1191" w:type="dxa"/>
          </w:tcPr>
          <w:p w14:paraId="53B36646" w14:textId="77777777" w:rsidR="00B02873" w:rsidRPr="00831390" w:rsidRDefault="00B02873" w:rsidP="00A269DB">
            <w:pPr>
              <w:pStyle w:val="TableheadingleftTables"/>
              <w:jc w:val="right"/>
              <w:rPr>
                <w:sz w:val="20"/>
                <w:szCs w:val="20"/>
              </w:rPr>
            </w:pPr>
            <w:r w:rsidRPr="00831390">
              <w:rPr>
                <w:sz w:val="20"/>
                <w:szCs w:val="20"/>
              </w:rPr>
              <w:t xml:space="preserve">Amount paid from the fund for the year to 30 June 2022 </w:t>
            </w:r>
            <w:r w:rsidRPr="00831390">
              <w:rPr>
                <w:sz w:val="20"/>
                <w:szCs w:val="20"/>
              </w:rPr>
              <w:br/>
              <w:t>($)</w:t>
            </w:r>
          </w:p>
        </w:tc>
        <w:tc>
          <w:tcPr>
            <w:tcW w:w="1272" w:type="dxa"/>
          </w:tcPr>
          <w:p w14:paraId="246779F3" w14:textId="77777777" w:rsidR="00B02873" w:rsidRPr="00831390" w:rsidRDefault="00B02873" w:rsidP="00A269DB">
            <w:pPr>
              <w:pStyle w:val="TableheadingleftTables"/>
              <w:jc w:val="right"/>
              <w:rPr>
                <w:sz w:val="20"/>
                <w:szCs w:val="20"/>
              </w:rPr>
            </w:pPr>
            <w:r w:rsidRPr="00831390">
              <w:rPr>
                <w:sz w:val="20"/>
                <w:szCs w:val="20"/>
              </w:rPr>
              <w:t xml:space="preserve">Balance of the fund as at 30 June 2022 </w:t>
            </w:r>
            <w:r w:rsidRPr="00831390">
              <w:rPr>
                <w:sz w:val="20"/>
                <w:szCs w:val="20"/>
              </w:rPr>
              <w:br/>
              <w:t>($)</w:t>
            </w:r>
          </w:p>
        </w:tc>
        <w:tc>
          <w:tcPr>
            <w:tcW w:w="1499" w:type="dxa"/>
          </w:tcPr>
          <w:p w14:paraId="30BE360C" w14:textId="77777777" w:rsidR="00B02873" w:rsidRPr="00831390" w:rsidRDefault="00B02873" w:rsidP="00A269DB">
            <w:pPr>
              <w:pStyle w:val="TableheadingleftTables"/>
              <w:jc w:val="right"/>
              <w:rPr>
                <w:sz w:val="20"/>
                <w:szCs w:val="20"/>
              </w:rPr>
            </w:pPr>
            <w:r w:rsidRPr="00831390">
              <w:rPr>
                <w:sz w:val="20"/>
                <w:szCs w:val="20"/>
              </w:rPr>
              <w:t>Commitments yet to be paid ($)</w:t>
            </w:r>
          </w:p>
        </w:tc>
        <w:tc>
          <w:tcPr>
            <w:tcW w:w="1276" w:type="dxa"/>
          </w:tcPr>
          <w:p w14:paraId="0C2C2AE0" w14:textId="77777777" w:rsidR="00B02873" w:rsidRPr="00831390" w:rsidRDefault="00B02873" w:rsidP="00A269DB">
            <w:pPr>
              <w:pStyle w:val="TableheadingleftTables"/>
              <w:jc w:val="right"/>
              <w:rPr>
                <w:sz w:val="20"/>
                <w:szCs w:val="20"/>
              </w:rPr>
            </w:pPr>
            <w:r w:rsidRPr="00831390">
              <w:rPr>
                <w:sz w:val="20"/>
                <w:szCs w:val="20"/>
              </w:rPr>
              <w:t>Balance yet to be committed ($)</w:t>
            </w:r>
          </w:p>
        </w:tc>
      </w:tr>
      <w:tr w:rsidR="00B02873" w:rsidRPr="00831390" w14:paraId="110428AF" w14:textId="77777777" w:rsidTr="00831390">
        <w:trPr>
          <w:trHeight w:val="60"/>
        </w:trPr>
        <w:tc>
          <w:tcPr>
            <w:tcW w:w="1191" w:type="dxa"/>
          </w:tcPr>
          <w:p w14:paraId="5B04F0DF" w14:textId="77777777" w:rsidR="00B02873" w:rsidRPr="00831390" w:rsidRDefault="00B02873" w:rsidP="00B415A9">
            <w:pPr>
              <w:pStyle w:val="TablebodyleftTables"/>
              <w:rPr>
                <w:sz w:val="20"/>
                <w:szCs w:val="20"/>
              </w:rPr>
            </w:pPr>
            <w:r w:rsidRPr="00831390">
              <w:rPr>
                <w:sz w:val="20"/>
                <w:szCs w:val="20"/>
              </w:rPr>
              <w:t>Cardinia</w:t>
            </w:r>
          </w:p>
        </w:tc>
        <w:tc>
          <w:tcPr>
            <w:tcW w:w="1190" w:type="dxa"/>
          </w:tcPr>
          <w:p w14:paraId="6799840F" w14:textId="77777777" w:rsidR="00B02873" w:rsidRPr="00831390" w:rsidRDefault="00B02873" w:rsidP="00A269DB">
            <w:pPr>
              <w:pStyle w:val="TablebodyleftTables"/>
              <w:jc w:val="right"/>
              <w:rPr>
                <w:sz w:val="20"/>
                <w:szCs w:val="20"/>
              </w:rPr>
            </w:pPr>
            <w:r w:rsidRPr="00831390">
              <w:rPr>
                <w:sz w:val="20"/>
                <w:szCs w:val="20"/>
              </w:rPr>
              <w:t xml:space="preserve">-2,981,252 </w:t>
            </w:r>
          </w:p>
        </w:tc>
        <w:tc>
          <w:tcPr>
            <w:tcW w:w="1191" w:type="dxa"/>
          </w:tcPr>
          <w:p w14:paraId="076C269E" w14:textId="3D94B295" w:rsidR="00B02873" w:rsidRPr="00831390" w:rsidRDefault="00831390" w:rsidP="00A269DB">
            <w:pPr>
              <w:pStyle w:val="TablebodyleftTables"/>
              <w:jc w:val="right"/>
              <w:rPr>
                <w:sz w:val="20"/>
                <w:szCs w:val="20"/>
              </w:rPr>
            </w:pPr>
            <w:r>
              <w:rPr>
                <w:sz w:val="20"/>
                <w:szCs w:val="20"/>
              </w:rPr>
              <w:t>–</w:t>
            </w:r>
          </w:p>
        </w:tc>
        <w:tc>
          <w:tcPr>
            <w:tcW w:w="1190" w:type="dxa"/>
          </w:tcPr>
          <w:p w14:paraId="5B1235D7" w14:textId="41F8255E" w:rsidR="00B02873" w:rsidRPr="00831390" w:rsidRDefault="00831390" w:rsidP="00A269DB">
            <w:pPr>
              <w:pStyle w:val="TablebodyleftTables"/>
              <w:jc w:val="right"/>
              <w:rPr>
                <w:sz w:val="20"/>
                <w:szCs w:val="20"/>
              </w:rPr>
            </w:pPr>
            <w:r>
              <w:rPr>
                <w:sz w:val="20"/>
                <w:szCs w:val="20"/>
              </w:rPr>
              <w:t>–</w:t>
            </w:r>
          </w:p>
        </w:tc>
        <w:tc>
          <w:tcPr>
            <w:tcW w:w="1191" w:type="dxa"/>
          </w:tcPr>
          <w:p w14:paraId="64A86D05" w14:textId="4A0A826F" w:rsidR="00B02873" w:rsidRPr="00831390" w:rsidRDefault="00831390" w:rsidP="00A269DB">
            <w:pPr>
              <w:pStyle w:val="TablebodyleftTables"/>
              <w:jc w:val="right"/>
              <w:rPr>
                <w:sz w:val="20"/>
                <w:szCs w:val="20"/>
              </w:rPr>
            </w:pPr>
            <w:r>
              <w:rPr>
                <w:sz w:val="20"/>
                <w:szCs w:val="20"/>
              </w:rPr>
              <w:t>–</w:t>
            </w:r>
          </w:p>
        </w:tc>
        <w:tc>
          <w:tcPr>
            <w:tcW w:w="1272" w:type="dxa"/>
          </w:tcPr>
          <w:p w14:paraId="2C6B3295" w14:textId="77777777" w:rsidR="00B02873" w:rsidRPr="00831390" w:rsidRDefault="00B02873" w:rsidP="00A269DB">
            <w:pPr>
              <w:pStyle w:val="TablebodyleftTables"/>
              <w:jc w:val="right"/>
              <w:rPr>
                <w:sz w:val="20"/>
                <w:szCs w:val="20"/>
              </w:rPr>
            </w:pPr>
            <w:r w:rsidRPr="00831390">
              <w:rPr>
                <w:sz w:val="20"/>
                <w:szCs w:val="20"/>
              </w:rPr>
              <w:t xml:space="preserve">-2,981,252 </w:t>
            </w:r>
          </w:p>
        </w:tc>
        <w:tc>
          <w:tcPr>
            <w:tcW w:w="1499" w:type="dxa"/>
          </w:tcPr>
          <w:p w14:paraId="278048D6" w14:textId="77777777" w:rsidR="00B02873" w:rsidRPr="00831390" w:rsidRDefault="00B02873" w:rsidP="00A269DB">
            <w:pPr>
              <w:pStyle w:val="TablebodyleftTables"/>
              <w:jc w:val="right"/>
              <w:rPr>
                <w:sz w:val="20"/>
                <w:szCs w:val="20"/>
              </w:rPr>
            </w:pPr>
            <w:r w:rsidRPr="00831390">
              <w:rPr>
                <w:sz w:val="20"/>
                <w:szCs w:val="20"/>
              </w:rPr>
              <w:t xml:space="preserve">1,100,000 </w:t>
            </w:r>
          </w:p>
        </w:tc>
        <w:tc>
          <w:tcPr>
            <w:tcW w:w="1276" w:type="dxa"/>
          </w:tcPr>
          <w:p w14:paraId="7F76F0E3" w14:textId="240A3707" w:rsidR="00B02873" w:rsidRPr="00831390" w:rsidRDefault="00B02873" w:rsidP="00A269DB">
            <w:pPr>
              <w:pStyle w:val="TablebodyleftTables"/>
              <w:jc w:val="right"/>
              <w:rPr>
                <w:sz w:val="20"/>
                <w:szCs w:val="20"/>
              </w:rPr>
            </w:pPr>
            <w:r w:rsidRPr="00831390">
              <w:rPr>
                <w:sz w:val="20"/>
                <w:szCs w:val="20"/>
              </w:rPr>
              <w:t xml:space="preserve">-4,081,252 </w:t>
            </w:r>
          </w:p>
        </w:tc>
      </w:tr>
      <w:tr w:rsidR="00B02873" w:rsidRPr="00831390" w14:paraId="0207ADE8" w14:textId="77777777" w:rsidTr="00831390">
        <w:trPr>
          <w:trHeight w:val="60"/>
        </w:trPr>
        <w:tc>
          <w:tcPr>
            <w:tcW w:w="1191" w:type="dxa"/>
          </w:tcPr>
          <w:p w14:paraId="67996A8F" w14:textId="77777777" w:rsidR="00B02873" w:rsidRPr="00831390" w:rsidRDefault="00B02873" w:rsidP="00B415A9">
            <w:pPr>
              <w:pStyle w:val="TablebodyleftTables"/>
              <w:rPr>
                <w:sz w:val="20"/>
                <w:szCs w:val="20"/>
              </w:rPr>
            </w:pPr>
            <w:r w:rsidRPr="00831390">
              <w:rPr>
                <w:sz w:val="20"/>
                <w:szCs w:val="20"/>
              </w:rPr>
              <w:t>Casey</w:t>
            </w:r>
          </w:p>
        </w:tc>
        <w:tc>
          <w:tcPr>
            <w:tcW w:w="1190" w:type="dxa"/>
          </w:tcPr>
          <w:p w14:paraId="0399D781" w14:textId="77777777" w:rsidR="00B02873" w:rsidRPr="00831390" w:rsidRDefault="00B02873" w:rsidP="00A269DB">
            <w:pPr>
              <w:pStyle w:val="TablebodyleftTables"/>
              <w:jc w:val="right"/>
              <w:rPr>
                <w:sz w:val="20"/>
                <w:szCs w:val="20"/>
              </w:rPr>
            </w:pPr>
            <w:r w:rsidRPr="00831390">
              <w:rPr>
                <w:sz w:val="20"/>
                <w:szCs w:val="20"/>
              </w:rPr>
              <w:t xml:space="preserve">18,849,005 </w:t>
            </w:r>
          </w:p>
        </w:tc>
        <w:tc>
          <w:tcPr>
            <w:tcW w:w="1191" w:type="dxa"/>
          </w:tcPr>
          <w:p w14:paraId="3FED2463" w14:textId="77777777" w:rsidR="00B02873" w:rsidRPr="00831390" w:rsidRDefault="00B02873" w:rsidP="00A269DB">
            <w:pPr>
              <w:pStyle w:val="TablebodyleftTables"/>
              <w:jc w:val="right"/>
              <w:rPr>
                <w:sz w:val="20"/>
                <w:szCs w:val="20"/>
              </w:rPr>
            </w:pPr>
            <w:r w:rsidRPr="00831390">
              <w:rPr>
                <w:sz w:val="20"/>
                <w:szCs w:val="20"/>
              </w:rPr>
              <w:t xml:space="preserve">31,541 </w:t>
            </w:r>
          </w:p>
        </w:tc>
        <w:tc>
          <w:tcPr>
            <w:tcW w:w="1190" w:type="dxa"/>
          </w:tcPr>
          <w:p w14:paraId="0799D078" w14:textId="77777777" w:rsidR="00B02873" w:rsidRPr="00831390" w:rsidRDefault="00B02873" w:rsidP="00A269DB">
            <w:pPr>
              <w:pStyle w:val="TablebodyleftTables"/>
              <w:jc w:val="right"/>
              <w:rPr>
                <w:sz w:val="20"/>
                <w:szCs w:val="20"/>
              </w:rPr>
            </w:pPr>
            <w:r w:rsidRPr="00831390">
              <w:rPr>
                <w:sz w:val="20"/>
                <w:szCs w:val="20"/>
              </w:rPr>
              <w:t xml:space="preserve">22,471,488 </w:t>
            </w:r>
          </w:p>
        </w:tc>
        <w:tc>
          <w:tcPr>
            <w:tcW w:w="1191" w:type="dxa"/>
          </w:tcPr>
          <w:p w14:paraId="32DF51A7" w14:textId="77777777" w:rsidR="00B02873" w:rsidRPr="00831390" w:rsidRDefault="00B02873" w:rsidP="00A269DB">
            <w:pPr>
              <w:pStyle w:val="TablebodyleftTables"/>
              <w:jc w:val="right"/>
              <w:rPr>
                <w:sz w:val="20"/>
                <w:szCs w:val="20"/>
              </w:rPr>
            </w:pPr>
            <w:r w:rsidRPr="00831390">
              <w:rPr>
                <w:sz w:val="20"/>
                <w:szCs w:val="20"/>
              </w:rPr>
              <w:t xml:space="preserve">1,600,000 </w:t>
            </w:r>
          </w:p>
        </w:tc>
        <w:tc>
          <w:tcPr>
            <w:tcW w:w="1272" w:type="dxa"/>
          </w:tcPr>
          <w:p w14:paraId="3C4C4723" w14:textId="77777777" w:rsidR="00B02873" w:rsidRPr="00831390" w:rsidRDefault="00B02873" w:rsidP="00A269DB">
            <w:pPr>
              <w:pStyle w:val="TablebodyleftTables"/>
              <w:jc w:val="right"/>
              <w:rPr>
                <w:sz w:val="20"/>
                <w:szCs w:val="20"/>
              </w:rPr>
            </w:pPr>
            <w:r w:rsidRPr="00831390">
              <w:rPr>
                <w:sz w:val="20"/>
                <w:szCs w:val="20"/>
              </w:rPr>
              <w:t xml:space="preserve">2,054,024 </w:t>
            </w:r>
          </w:p>
        </w:tc>
        <w:tc>
          <w:tcPr>
            <w:tcW w:w="1499" w:type="dxa"/>
          </w:tcPr>
          <w:p w14:paraId="5551F0E4" w14:textId="77777777" w:rsidR="00B02873" w:rsidRPr="00831390" w:rsidRDefault="00B02873" w:rsidP="00A269DB">
            <w:pPr>
              <w:pStyle w:val="TablebodyleftTables"/>
              <w:jc w:val="right"/>
              <w:rPr>
                <w:sz w:val="20"/>
                <w:szCs w:val="20"/>
              </w:rPr>
            </w:pPr>
            <w:r w:rsidRPr="00831390">
              <w:rPr>
                <w:sz w:val="20"/>
                <w:szCs w:val="20"/>
              </w:rPr>
              <w:t xml:space="preserve">13,270,000 </w:t>
            </w:r>
          </w:p>
        </w:tc>
        <w:tc>
          <w:tcPr>
            <w:tcW w:w="1276" w:type="dxa"/>
          </w:tcPr>
          <w:p w14:paraId="4393393D" w14:textId="36EDBE51" w:rsidR="00B02873" w:rsidRPr="00831390" w:rsidRDefault="00B02873" w:rsidP="00A269DB">
            <w:pPr>
              <w:pStyle w:val="TablebodyleftTables"/>
              <w:jc w:val="right"/>
              <w:rPr>
                <w:sz w:val="20"/>
                <w:szCs w:val="20"/>
              </w:rPr>
            </w:pPr>
            <w:r w:rsidRPr="00831390">
              <w:rPr>
                <w:sz w:val="20"/>
                <w:szCs w:val="20"/>
              </w:rPr>
              <w:t xml:space="preserve">11,215,976 </w:t>
            </w:r>
          </w:p>
        </w:tc>
      </w:tr>
      <w:tr w:rsidR="00B02873" w:rsidRPr="00831390" w14:paraId="0119D734" w14:textId="77777777" w:rsidTr="00831390">
        <w:trPr>
          <w:trHeight w:val="60"/>
        </w:trPr>
        <w:tc>
          <w:tcPr>
            <w:tcW w:w="1191" w:type="dxa"/>
          </w:tcPr>
          <w:p w14:paraId="7BA76176" w14:textId="77777777" w:rsidR="00B02873" w:rsidRPr="00831390" w:rsidRDefault="00B02873" w:rsidP="00B415A9">
            <w:pPr>
              <w:pStyle w:val="TablebodyleftTables"/>
              <w:rPr>
                <w:sz w:val="20"/>
                <w:szCs w:val="20"/>
              </w:rPr>
            </w:pPr>
            <w:r w:rsidRPr="00831390">
              <w:rPr>
                <w:sz w:val="20"/>
                <w:szCs w:val="20"/>
              </w:rPr>
              <w:t>Hume</w:t>
            </w:r>
          </w:p>
        </w:tc>
        <w:tc>
          <w:tcPr>
            <w:tcW w:w="1190" w:type="dxa"/>
          </w:tcPr>
          <w:p w14:paraId="5F52F74F" w14:textId="77777777" w:rsidR="00B02873" w:rsidRPr="00831390" w:rsidRDefault="00B02873" w:rsidP="00A269DB">
            <w:pPr>
              <w:pStyle w:val="TablebodyleftTables"/>
              <w:jc w:val="right"/>
              <w:rPr>
                <w:sz w:val="20"/>
                <w:szCs w:val="20"/>
              </w:rPr>
            </w:pPr>
            <w:r w:rsidRPr="00831390">
              <w:rPr>
                <w:sz w:val="20"/>
                <w:szCs w:val="20"/>
              </w:rPr>
              <w:t xml:space="preserve">9,775,357 </w:t>
            </w:r>
          </w:p>
        </w:tc>
        <w:tc>
          <w:tcPr>
            <w:tcW w:w="1191" w:type="dxa"/>
          </w:tcPr>
          <w:p w14:paraId="0CE683D2" w14:textId="77777777" w:rsidR="00B02873" w:rsidRPr="00831390" w:rsidRDefault="00B02873" w:rsidP="00A269DB">
            <w:pPr>
              <w:pStyle w:val="TablebodyleftTables"/>
              <w:jc w:val="right"/>
              <w:rPr>
                <w:sz w:val="20"/>
                <w:szCs w:val="20"/>
              </w:rPr>
            </w:pPr>
            <w:r w:rsidRPr="00831390">
              <w:rPr>
                <w:sz w:val="20"/>
                <w:szCs w:val="20"/>
              </w:rPr>
              <w:t xml:space="preserve">11,220 </w:t>
            </w:r>
          </w:p>
        </w:tc>
        <w:tc>
          <w:tcPr>
            <w:tcW w:w="1190" w:type="dxa"/>
          </w:tcPr>
          <w:p w14:paraId="025BB4E8" w14:textId="77777777" w:rsidR="00B02873" w:rsidRPr="00831390" w:rsidRDefault="00B02873" w:rsidP="00A269DB">
            <w:pPr>
              <w:pStyle w:val="TablebodyleftTables"/>
              <w:jc w:val="right"/>
              <w:rPr>
                <w:sz w:val="20"/>
                <w:szCs w:val="20"/>
              </w:rPr>
            </w:pPr>
            <w:r w:rsidRPr="00831390">
              <w:rPr>
                <w:sz w:val="20"/>
                <w:szCs w:val="20"/>
              </w:rPr>
              <w:t xml:space="preserve">7,993,840 </w:t>
            </w:r>
          </w:p>
        </w:tc>
        <w:tc>
          <w:tcPr>
            <w:tcW w:w="1191" w:type="dxa"/>
          </w:tcPr>
          <w:p w14:paraId="1337E2CE" w14:textId="77777777" w:rsidR="00B02873" w:rsidRPr="00831390" w:rsidRDefault="00B02873" w:rsidP="00A269DB">
            <w:pPr>
              <w:pStyle w:val="TablebodyleftTables"/>
              <w:jc w:val="right"/>
              <w:rPr>
                <w:sz w:val="20"/>
                <w:szCs w:val="20"/>
              </w:rPr>
            </w:pPr>
            <w:r w:rsidRPr="00831390">
              <w:rPr>
                <w:sz w:val="20"/>
                <w:szCs w:val="20"/>
              </w:rPr>
              <w:t xml:space="preserve">925,525 </w:t>
            </w:r>
          </w:p>
        </w:tc>
        <w:tc>
          <w:tcPr>
            <w:tcW w:w="1272" w:type="dxa"/>
          </w:tcPr>
          <w:p w14:paraId="6204A6FE" w14:textId="77777777" w:rsidR="00B02873" w:rsidRPr="00831390" w:rsidRDefault="00B02873" w:rsidP="00A269DB">
            <w:pPr>
              <w:pStyle w:val="TablebodyleftTables"/>
              <w:jc w:val="right"/>
              <w:rPr>
                <w:sz w:val="20"/>
                <w:szCs w:val="20"/>
              </w:rPr>
            </w:pPr>
            <w:r w:rsidRPr="00831390">
              <w:rPr>
                <w:sz w:val="20"/>
                <w:szCs w:val="20"/>
              </w:rPr>
              <w:t xml:space="preserve">16,854,891 </w:t>
            </w:r>
          </w:p>
        </w:tc>
        <w:tc>
          <w:tcPr>
            <w:tcW w:w="1499" w:type="dxa"/>
          </w:tcPr>
          <w:p w14:paraId="67874AEB" w14:textId="77777777" w:rsidR="00B02873" w:rsidRPr="00831390" w:rsidRDefault="00B02873" w:rsidP="00A269DB">
            <w:pPr>
              <w:pStyle w:val="TablebodyleftTables"/>
              <w:jc w:val="right"/>
              <w:rPr>
                <w:sz w:val="20"/>
                <w:szCs w:val="20"/>
              </w:rPr>
            </w:pPr>
            <w:r w:rsidRPr="00831390">
              <w:rPr>
                <w:sz w:val="20"/>
                <w:szCs w:val="20"/>
              </w:rPr>
              <w:t xml:space="preserve">1,785,000 </w:t>
            </w:r>
          </w:p>
        </w:tc>
        <w:tc>
          <w:tcPr>
            <w:tcW w:w="1276" w:type="dxa"/>
          </w:tcPr>
          <w:p w14:paraId="4C5201BF" w14:textId="77777777" w:rsidR="00B02873" w:rsidRPr="00831390" w:rsidRDefault="00B02873" w:rsidP="00A269DB">
            <w:pPr>
              <w:pStyle w:val="TablebodyleftTables"/>
              <w:jc w:val="right"/>
              <w:rPr>
                <w:sz w:val="20"/>
                <w:szCs w:val="20"/>
              </w:rPr>
            </w:pPr>
            <w:r w:rsidRPr="00831390">
              <w:rPr>
                <w:sz w:val="20"/>
                <w:szCs w:val="20"/>
              </w:rPr>
              <w:t xml:space="preserve">15,069,891 </w:t>
            </w:r>
          </w:p>
        </w:tc>
      </w:tr>
      <w:tr w:rsidR="00B02873" w:rsidRPr="00831390" w14:paraId="411D872C" w14:textId="77777777" w:rsidTr="00831390">
        <w:trPr>
          <w:trHeight w:val="60"/>
        </w:trPr>
        <w:tc>
          <w:tcPr>
            <w:tcW w:w="1191" w:type="dxa"/>
          </w:tcPr>
          <w:p w14:paraId="57619F0F" w14:textId="77777777" w:rsidR="00B02873" w:rsidRPr="00831390" w:rsidRDefault="00B02873" w:rsidP="00B415A9">
            <w:pPr>
              <w:pStyle w:val="TablebodyleftTables"/>
              <w:rPr>
                <w:sz w:val="20"/>
                <w:szCs w:val="20"/>
              </w:rPr>
            </w:pPr>
            <w:r w:rsidRPr="00831390">
              <w:rPr>
                <w:sz w:val="20"/>
                <w:szCs w:val="20"/>
              </w:rPr>
              <w:t>Melton</w:t>
            </w:r>
          </w:p>
        </w:tc>
        <w:tc>
          <w:tcPr>
            <w:tcW w:w="1190" w:type="dxa"/>
          </w:tcPr>
          <w:p w14:paraId="571FF2FE" w14:textId="77777777" w:rsidR="00B02873" w:rsidRPr="00831390" w:rsidRDefault="00B02873" w:rsidP="00A269DB">
            <w:pPr>
              <w:pStyle w:val="TablebodyleftTables"/>
              <w:jc w:val="right"/>
              <w:rPr>
                <w:sz w:val="20"/>
                <w:szCs w:val="20"/>
              </w:rPr>
            </w:pPr>
            <w:r w:rsidRPr="00831390">
              <w:rPr>
                <w:sz w:val="20"/>
                <w:szCs w:val="20"/>
              </w:rPr>
              <w:t xml:space="preserve">57,023,084 </w:t>
            </w:r>
          </w:p>
        </w:tc>
        <w:tc>
          <w:tcPr>
            <w:tcW w:w="1191" w:type="dxa"/>
          </w:tcPr>
          <w:p w14:paraId="7FB9D8D4" w14:textId="77777777" w:rsidR="00B02873" w:rsidRPr="00831390" w:rsidRDefault="00B02873" w:rsidP="00A269DB">
            <w:pPr>
              <w:pStyle w:val="TablebodyleftTables"/>
              <w:jc w:val="right"/>
              <w:rPr>
                <w:sz w:val="20"/>
                <w:szCs w:val="20"/>
              </w:rPr>
            </w:pPr>
            <w:r w:rsidRPr="00831390">
              <w:rPr>
                <w:sz w:val="20"/>
                <w:szCs w:val="20"/>
              </w:rPr>
              <w:t xml:space="preserve">54,817 </w:t>
            </w:r>
          </w:p>
        </w:tc>
        <w:tc>
          <w:tcPr>
            <w:tcW w:w="1190" w:type="dxa"/>
          </w:tcPr>
          <w:p w14:paraId="17C04610" w14:textId="77777777" w:rsidR="00B02873" w:rsidRPr="00831390" w:rsidRDefault="00B02873" w:rsidP="00A269DB">
            <w:pPr>
              <w:pStyle w:val="TablebodyleftTables"/>
              <w:jc w:val="right"/>
              <w:rPr>
                <w:sz w:val="20"/>
                <w:szCs w:val="20"/>
              </w:rPr>
            </w:pPr>
            <w:r w:rsidRPr="00831390">
              <w:rPr>
                <w:sz w:val="20"/>
                <w:szCs w:val="20"/>
              </w:rPr>
              <w:t xml:space="preserve">39,055,408 </w:t>
            </w:r>
          </w:p>
        </w:tc>
        <w:tc>
          <w:tcPr>
            <w:tcW w:w="1191" w:type="dxa"/>
          </w:tcPr>
          <w:p w14:paraId="464C8FD4" w14:textId="77777777" w:rsidR="00B02873" w:rsidRPr="00831390" w:rsidRDefault="00B02873" w:rsidP="00A269DB">
            <w:pPr>
              <w:pStyle w:val="TablebodyleftTables"/>
              <w:jc w:val="right"/>
              <w:rPr>
                <w:sz w:val="20"/>
                <w:szCs w:val="20"/>
              </w:rPr>
            </w:pPr>
            <w:r w:rsidRPr="00831390">
              <w:rPr>
                <w:sz w:val="20"/>
                <w:szCs w:val="20"/>
              </w:rPr>
              <w:t xml:space="preserve">1,400,000 </w:t>
            </w:r>
          </w:p>
        </w:tc>
        <w:tc>
          <w:tcPr>
            <w:tcW w:w="1272" w:type="dxa"/>
          </w:tcPr>
          <w:p w14:paraId="0236A4D1" w14:textId="77777777" w:rsidR="00B02873" w:rsidRPr="00831390" w:rsidRDefault="00B02873" w:rsidP="00A269DB">
            <w:pPr>
              <w:pStyle w:val="TablebodyleftTables"/>
              <w:jc w:val="right"/>
              <w:rPr>
                <w:sz w:val="20"/>
                <w:szCs w:val="20"/>
              </w:rPr>
            </w:pPr>
            <w:r w:rsidRPr="00831390">
              <w:rPr>
                <w:sz w:val="20"/>
                <w:szCs w:val="20"/>
              </w:rPr>
              <w:t xml:space="preserve">94,733,310 </w:t>
            </w:r>
          </w:p>
        </w:tc>
        <w:tc>
          <w:tcPr>
            <w:tcW w:w="1499" w:type="dxa"/>
          </w:tcPr>
          <w:p w14:paraId="055D8F84" w14:textId="77777777" w:rsidR="00B02873" w:rsidRPr="00831390" w:rsidRDefault="00B02873" w:rsidP="00A269DB">
            <w:pPr>
              <w:pStyle w:val="TablebodyleftTables"/>
              <w:jc w:val="right"/>
              <w:rPr>
                <w:sz w:val="20"/>
                <w:szCs w:val="20"/>
              </w:rPr>
            </w:pPr>
            <w:r w:rsidRPr="00831390">
              <w:rPr>
                <w:sz w:val="20"/>
                <w:szCs w:val="20"/>
              </w:rPr>
              <w:t xml:space="preserve">20,600,000 </w:t>
            </w:r>
          </w:p>
        </w:tc>
        <w:tc>
          <w:tcPr>
            <w:tcW w:w="1276" w:type="dxa"/>
          </w:tcPr>
          <w:p w14:paraId="71576729" w14:textId="77777777" w:rsidR="00B02873" w:rsidRPr="00831390" w:rsidRDefault="00B02873" w:rsidP="00A269DB">
            <w:pPr>
              <w:pStyle w:val="TablebodyleftTables"/>
              <w:jc w:val="right"/>
              <w:rPr>
                <w:sz w:val="20"/>
                <w:szCs w:val="20"/>
              </w:rPr>
            </w:pPr>
            <w:r w:rsidRPr="00831390">
              <w:rPr>
                <w:sz w:val="20"/>
                <w:szCs w:val="20"/>
              </w:rPr>
              <w:t xml:space="preserve">74,133,310 </w:t>
            </w:r>
          </w:p>
        </w:tc>
      </w:tr>
      <w:tr w:rsidR="00B02873" w:rsidRPr="00831390" w14:paraId="52E61272" w14:textId="77777777" w:rsidTr="00831390">
        <w:trPr>
          <w:trHeight w:val="60"/>
        </w:trPr>
        <w:tc>
          <w:tcPr>
            <w:tcW w:w="1191" w:type="dxa"/>
          </w:tcPr>
          <w:p w14:paraId="24D77449" w14:textId="77777777" w:rsidR="00B02873" w:rsidRPr="00831390" w:rsidRDefault="00B02873" w:rsidP="00B415A9">
            <w:pPr>
              <w:pStyle w:val="TablebodyleftTables"/>
              <w:rPr>
                <w:sz w:val="20"/>
                <w:szCs w:val="20"/>
              </w:rPr>
            </w:pPr>
            <w:r w:rsidRPr="00831390">
              <w:rPr>
                <w:sz w:val="20"/>
                <w:szCs w:val="20"/>
              </w:rPr>
              <w:t>Mitchell</w:t>
            </w:r>
          </w:p>
        </w:tc>
        <w:tc>
          <w:tcPr>
            <w:tcW w:w="1190" w:type="dxa"/>
          </w:tcPr>
          <w:p w14:paraId="7894CB10" w14:textId="77777777" w:rsidR="00B02873" w:rsidRPr="00831390" w:rsidRDefault="00B02873" w:rsidP="00A269DB">
            <w:pPr>
              <w:pStyle w:val="TablebodyleftTables"/>
              <w:jc w:val="right"/>
              <w:rPr>
                <w:sz w:val="20"/>
                <w:szCs w:val="20"/>
              </w:rPr>
            </w:pPr>
            <w:r w:rsidRPr="00831390">
              <w:rPr>
                <w:sz w:val="20"/>
                <w:szCs w:val="20"/>
              </w:rPr>
              <w:t xml:space="preserve">-2,218,674 </w:t>
            </w:r>
          </w:p>
        </w:tc>
        <w:tc>
          <w:tcPr>
            <w:tcW w:w="1191" w:type="dxa"/>
          </w:tcPr>
          <w:p w14:paraId="7F3F2E01" w14:textId="77777777" w:rsidR="00B02873" w:rsidRPr="00831390" w:rsidRDefault="00B02873" w:rsidP="00A269DB">
            <w:pPr>
              <w:pStyle w:val="TablebodyleftTables"/>
              <w:jc w:val="right"/>
              <w:rPr>
                <w:sz w:val="20"/>
                <w:szCs w:val="20"/>
              </w:rPr>
            </w:pPr>
            <w:r w:rsidRPr="00831390">
              <w:rPr>
                <w:sz w:val="20"/>
                <w:szCs w:val="20"/>
              </w:rPr>
              <w:t xml:space="preserve">392 </w:t>
            </w:r>
          </w:p>
        </w:tc>
        <w:tc>
          <w:tcPr>
            <w:tcW w:w="1190" w:type="dxa"/>
          </w:tcPr>
          <w:p w14:paraId="35D4CCAF" w14:textId="77777777" w:rsidR="00B02873" w:rsidRPr="00831390" w:rsidRDefault="00B02873" w:rsidP="00A269DB">
            <w:pPr>
              <w:pStyle w:val="TablebodyleftTables"/>
              <w:jc w:val="right"/>
              <w:rPr>
                <w:sz w:val="20"/>
                <w:szCs w:val="20"/>
              </w:rPr>
            </w:pPr>
            <w:r w:rsidRPr="00831390">
              <w:rPr>
                <w:sz w:val="20"/>
                <w:szCs w:val="20"/>
              </w:rPr>
              <w:t xml:space="preserve">279,387 </w:t>
            </w:r>
          </w:p>
        </w:tc>
        <w:tc>
          <w:tcPr>
            <w:tcW w:w="1191" w:type="dxa"/>
          </w:tcPr>
          <w:p w14:paraId="3FBD13D7" w14:textId="70E79CB3" w:rsidR="00B02873" w:rsidRPr="00831390" w:rsidRDefault="00831390" w:rsidP="00A269DB">
            <w:pPr>
              <w:pStyle w:val="TablebodyleftTables"/>
              <w:jc w:val="right"/>
              <w:rPr>
                <w:sz w:val="20"/>
                <w:szCs w:val="20"/>
              </w:rPr>
            </w:pPr>
            <w:r>
              <w:rPr>
                <w:sz w:val="20"/>
                <w:szCs w:val="20"/>
              </w:rPr>
              <w:t>–</w:t>
            </w:r>
          </w:p>
        </w:tc>
        <w:tc>
          <w:tcPr>
            <w:tcW w:w="1272" w:type="dxa"/>
          </w:tcPr>
          <w:p w14:paraId="53AEF6C5" w14:textId="77777777" w:rsidR="00B02873" w:rsidRPr="00831390" w:rsidRDefault="00B02873" w:rsidP="00A269DB">
            <w:pPr>
              <w:pStyle w:val="TablebodyleftTables"/>
              <w:jc w:val="right"/>
              <w:rPr>
                <w:sz w:val="20"/>
                <w:szCs w:val="20"/>
              </w:rPr>
            </w:pPr>
            <w:r w:rsidRPr="00831390">
              <w:rPr>
                <w:sz w:val="20"/>
                <w:szCs w:val="20"/>
              </w:rPr>
              <w:t xml:space="preserve">-1,938,895 </w:t>
            </w:r>
          </w:p>
        </w:tc>
        <w:tc>
          <w:tcPr>
            <w:tcW w:w="1499" w:type="dxa"/>
          </w:tcPr>
          <w:p w14:paraId="7A3DD155" w14:textId="7B4BBFCE" w:rsidR="00B02873" w:rsidRPr="00831390" w:rsidRDefault="00831390" w:rsidP="00A269DB">
            <w:pPr>
              <w:pStyle w:val="TablebodyleftTables"/>
              <w:jc w:val="right"/>
              <w:rPr>
                <w:sz w:val="20"/>
                <w:szCs w:val="20"/>
              </w:rPr>
            </w:pPr>
            <w:r>
              <w:rPr>
                <w:sz w:val="20"/>
                <w:szCs w:val="20"/>
              </w:rPr>
              <w:t>–</w:t>
            </w:r>
          </w:p>
        </w:tc>
        <w:tc>
          <w:tcPr>
            <w:tcW w:w="1276" w:type="dxa"/>
          </w:tcPr>
          <w:p w14:paraId="3094AE0E" w14:textId="77777777" w:rsidR="00B02873" w:rsidRPr="00831390" w:rsidRDefault="00B02873" w:rsidP="00A269DB">
            <w:pPr>
              <w:pStyle w:val="TablebodyleftTables"/>
              <w:jc w:val="right"/>
              <w:rPr>
                <w:sz w:val="20"/>
                <w:szCs w:val="20"/>
              </w:rPr>
            </w:pPr>
            <w:r w:rsidRPr="00831390">
              <w:rPr>
                <w:sz w:val="20"/>
                <w:szCs w:val="20"/>
              </w:rPr>
              <w:t xml:space="preserve">-1,938,895 </w:t>
            </w:r>
          </w:p>
        </w:tc>
      </w:tr>
      <w:tr w:rsidR="00B02873" w:rsidRPr="00831390" w14:paraId="0AC10A2F" w14:textId="77777777" w:rsidTr="00831390">
        <w:trPr>
          <w:trHeight w:val="60"/>
        </w:trPr>
        <w:tc>
          <w:tcPr>
            <w:tcW w:w="1191" w:type="dxa"/>
          </w:tcPr>
          <w:p w14:paraId="5F5E8491" w14:textId="77777777" w:rsidR="00B02873" w:rsidRPr="00831390" w:rsidRDefault="00B02873" w:rsidP="00B415A9">
            <w:pPr>
              <w:pStyle w:val="TablebodyleftTables"/>
              <w:rPr>
                <w:sz w:val="20"/>
                <w:szCs w:val="20"/>
              </w:rPr>
            </w:pPr>
            <w:r w:rsidRPr="00831390">
              <w:rPr>
                <w:sz w:val="20"/>
                <w:szCs w:val="20"/>
              </w:rPr>
              <w:t>Whittlesea</w:t>
            </w:r>
          </w:p>
        </w:tc>
        <w:tc>
          <w:tcPr>
            <w:tcW w:w="1190" w:type="dxa"/>
          </w:tcPr>
          <w:p w14:paraId="481090C2" w14:textId="77777777" w:rsidR="00B02873" w:rsidRPr="00831390" w:rsidRDefault="00B02873" w:rsidP="00A269DB">
            <w:pPr>
              <w:pStyle w:val="TablebodyleftTables"/>
              <w:jc w:val="right"/>
              <w:rPr>
                <w:sz w:val="20"/>
                <w:szCs w:val="20"/>
              </w:rPr>
            </w:pPr>
            <w:r w:rsidRPr="00831390">
              <w:rPr>
                <w:sz w:val="20"/>
                <w:szCs w:val="20"/>
              </w:rPr>
              <w:t xml:space="preserve">-7,160,020 </w:t>
            </w:r>
          </w:p>
        </w:tc>
        <w:tc>
          <w:tcPr>
            <w:tcW w:w="1191" w:type="dxa"/>
          </w:tcPr>
          <w:p w14:paraId="3E8E3366" w14:textId="77777777" w:rsidR="00B02873" w:rsidRPr="00831390" w:rsidRDefault="00B02873" w:rsidP="00A269DB">
            <w:pPr>
              <w:pStyle w:val="TablebodyleftTables"/>
              <w:jc w:val="right"/>
              <w:rPr>
                <w:sz w:val="20"/>
                <w:szCs w:val="20"/>
              </w:rPr>
            </w:pPr>
            <w:r w:rsidRPr="00831390">
              <w:rPr>
                <w:sz w:val="20"/>
                <w:szCs w:val="20"/>
              </w:rPr>
              <w:t xml:space="preserve">12,058 </w:t>
            </w:r>
          </w:p>
        </w:tc>
        <w:tc>
          <w:tcPr>
            <w:tcW w:w="1190" w:type="dxa"/>
          </w:tcPr>
          <w:p w14:paraId="7056B07C" w14:textId="77777777" w:rsidR="00B02873" w:rsidRPr="00831390" w:rsidRDefault="00B02873" w:rsidP="00A269DB">
            <w:pPr>
              <w:pStyle w:val="TablebodyleftTables"/>
              <w:jc w:val="right"/>
              <w:rPr>
                <w:sz w:val="20"/>
                <w:szCs w:val="20"/>
              </w:rPr>
            </w:pPr>
            <w:r w:rsidRPr="00831390">
              <w:rPr>
                <w:sz w:val="20"/>
                <w:szCs w:val="20"/>
              </w:rPr>
              <w:t xml:space="preserve">8,590,738 </w:t>
            </w:r>
          </w:p>
        </w:tc>
        <w:tc>
          <w:tcPr>
            <w:tcW w:w="1191" w:type="dxa"/>
          </w:tcPr>
          <w:p w14:paraId="48BD7C7B" w14:textId="77777777" w:rsidR="00B02873" w:rsidRPr="00831390" w:rsidRDefault="00B02873" w:rsidP="00A269DB">
            <w:pPr>
              <w:pStyle w:val="TablebodyleftTables"/>
              <w:jc w:val="right"/>
              <w:rPr>
                <w:sz w:val="20"/>
                <w:szCs w:val="20"/>
              </w:rPr>
            </w:pPr>
            <w:r w:rsidRPr="00831390">
              <w:rPr>
                <w:sz w:val="20"/>
                <w:szCs w:val="20"/>
              </w:rPr>
              <w:t xml:space="preserve">11,950,795 </w:t>
            </w:r>
          </w:p>
        </w:tc>
        <w:tc>
          <w:tcPr>
            <w:tcW w:w="1272" w:type="dxa"/>
          </w:tcPr>
          <w:p w14:paraId="285D6934" w14:textId="77777777" w:rsidR="00B02873" w:rsidRPr="00831390" w:rsidRDefault="00B02873" w:rsidP="00A269DB">
            <w:pPr>
              <w:pStyle w:val="TablebodyleftTables"/>
              <w:jc w:val="right"/>
              <w:rPr>
                <w:sz w:val="20"/>
                <w:szCs w:val="20"/>
              </w:rPr>
            </w:pPr>
            <w:r w:rsidRPr="00831390">
              <w:rPr>
                <w:sz w:val="20"/>
                <w:szCs w:val="20"/>
              </w:rPr>
              <w:t xml:space="preserve">-10,508,019 </w:t>
            </w:r>
          </w:p>
        </w:tc>
        <w:tc>
          <w:tcPr>
            <w:tcW w:w="1499" w:type="dxa"/>
          </w:tcPr>
          <w:p w14:paraId="2299C6A9" w14:textId="77777777" w:rsidR="00B02873" w:rsidRPr="00831390" w:rsidRDefault="00B02873" w:rsidP="00A269DB">
            <w:pPr>
              <w:pStyle w:val="TablebodyleftTables"/>
              <w:jc w:val="right"/>
              <w:rPr>
                <w:sz w:val="20"/>
                <w:szCs w:val="20"/>
              </w:rPr>
            </w:pPr>
            <w:r w:rsidRPr="00831390">
              <w:rPr>
                <w:sz w:val="20"/>
                <w:szCs w:val="20"/>
              </w:rPr>
              <w:t xml:space="preserve">840,000 </w:t>
            </w:r>
          </w:p>
        </w:tc>
        <w:tc>
          <w:tcPr>
            <w:tcW w:w="1276" w:type="dxa"/>
          </w:tcPr>
          <w:p w14:paraId="006701E9" w14:textId="77777777" w:rsidR="00B02873" w:rsidRPr="00831390" w:rsidRDefault="00B02873" w:rsidP="00A269DB">
            <w:pPr>
              <w:pStyle w:val="TablebodyleftTables"/>
              <w:jc w:val="right"/>
              <w:rPr>
                <w:sz w:val="20"/>
                <w:szCs w:val="20"/>
              </w:rPr>
            </w:pPr>
            <w:r w:rsidRPr="00831390">
              <w:rPr>
                <w:sz w:val="20"/>
                <w:szCs w:val="20"/>
              </w:rPr>
              <w:t xml:space="preserve">11,348,019 </w:t>
            </w:r>
          </w:p>
        </w:tc>
      </w:tr>
      <w:tr w:rsidR="00B02873" w:rsidRPr="00831390" w14:paraId="312B188F" w14:textId="77777777" w:rsidTr="00831390">
        <w:trPr>
          <w:trHeight w:val="60"/>
        </w:trPr>
        <w:tc>
          <w:tcPr>
            <w:tcW w:w="1191" w:type="dxa"/>
          </w:tcPr>
          <w:p w14:paraId="2AB06BF1" w14:textId="77777777" w:rsidR="00B02873" w:rsidRPr="00831390" w:rsidRDefault="00B02873" w:rsidP="00B415A9">
            <w:pPr>
              <w:pStyle w:val="TablebodyleftTables"/>
              <w:rPr>
                <w:sz w:val="20"/>
                <w:szCs w:val="20"/>
              </w:rPr>
            </w:pPr>
            <w:r w:rsidRPr="00831390">
              <w:rPr>
                <w:sz w:val="20"/>
                <w:szCs w:val="20"/>
              </w:rPr>
              <w:t>Wyndham</w:t>
            </w:r>
          </w:p>
        </w:tc>
        <w:tc>
          <w:tcPr>
            <w:tcW w:w="1190" w:type="dxa"/>
          </w:tcPr>
          <w:p w14:paraId="4D29CD9D" w14:textId="77777777" w:rsidR="00B02873" w:rsidRPr="00831390" w:rsidRDefault="00B02873" w:rsidP="00A269DB">
            <w:pPr>
              <w:pStyle w:val="TablebodyleftTables"/>
              <w:jc w:val="right"/>
              <w:rPr>
                <w:sz w:val="20"/>
                <w:szCs w:val="20"/>
              </w:rPr>
            </w:pPr>
            <w:r w:rsidRPr="00831390">
              <w:rPr>
                <w:sz w:val="20"/>
                <w:szCs w:val="20"/>
              </w:rPr>
              <w:t xml:space="preserve">53,077,294 </w:t>
            </w:r>
          </w:p>
        </w:tc>
        <w:tc>
          <w:tcPr>
            <w:tcW w:w="1191" w:type="dxa"/>
          </w:tcPr>
          <w:p w14:paraId="57C1DF28" w14:textId="77777777" w:rsidR="00B02873" w:rsidRPr="00831390" w:rsidRDefault="00B02873" w:rsidP="00A269DB">
            <w:pPr>
              <w:pStyle w:val="TablebodyleftTables"/>
              <w:jc w:val="right"/>
              <w:rPr>
                <w:sz w:val="20"/>
                <w:szCs w:val="20"/>
              </w:rPr>
            </w:pPr>
            <w:r w:rsidRPr="00831390">
              <w:rPr>
                <w:sz w:val="20"/>
                <w:szCs w:val="20"/>
              </w:rPr>
              <w:t xml:space="preserve">26,767 </w:t>
            </w:r>
          </w:p>
        </w:tc>
        <w:tc>
          <w:tcPr>
            <w:tcW w:w="1190" w:type="dxa"/>
          </w:tcPr>
          <w:p w14:paraId="439ADEE4" w14:textId="77777777" w:rsidR="00B02873" w:rsidRPr="00831390" w:rsidRDefault="00B02873" w:rsidP="00A269DB">
            <w:pPr>
              <w:pStyle w:val="TablebodyleftTables"/>
              <w:jc w:val="right"/>
              <w:rPr>
                <w:sz w:val="20"/>
                <w:szCs w:val="20"/>
              </w:rPr>
            </w:pPr>
            <w:r w:rsidRPr="00831390">
              <w:rPr>
                <w:sz w:val="20"/>
                <w:szCs w:val="20"/>
              </w:rPr>
              <w:t xml:space="preserve">19,070,821 </w:t>
            </w:r>
          </w:p>
        </w:tc>
        <w:tc>
          <w:tcPr>
            <w:tcW w:w="1191" w:type="dxa"/>
          </w:tcPr>
          <w:p w14:paraId="2765B71B" w14:textId="77777777" w:rsidR="00B02873" w:rsidRPr="00831390" w:rsidRDefault="00B02873" w:rsidP="00A269DB">
            <w:pPr>
              <w:pStyle w:val="TablebodyleftTables"/>
              <w:jc w:val="right"/>
              <w:rPr>
                <w:sz w:val="20"/>
                <w:szCs w:val="20"/>
              </w:rPr>
            </w:pPr>
            <w:r w:rsidRPr="00831390">
              <w:rPr>
                <w:sz w:val="20"/>
                <w:szCs w:val="20"/>
              </w:rPr>
              <w:t xml:space="preserve">5,283,900 </w:t>
            </w:r>
          </w:p>
        </w:tc>
        <w:tc>
          <w:tcPr>
            <w:tcW w:w="1272" w:type="dxa"/>
          </w:tcPr>
          <w:p w14:paraId="042E5E54" w14:textId="77777777" w:rsidR="00B02873" w:rsidRPr="00831390" w:rsidRDefault="00B02873" w:rsidP="00A269DB">
            <w:pPr>
              <w:pStyle w:val="TablebodyleftTables"/>
              <w:jc w:val="right"/>
              <w:rPr>
                <w:sz w:val="20"/>
                <w:szCs w:val="20"/>
              </w:rPr>
            </w:pPr>
            <w:r w:rsidRPr="00831390">
              <w:rPr>
                <w:sz w:val="20"/>
                <w:szCs w:val="20"/>
              </w:rPr>
              <w:t xml:space="preserve">66,890,982 </w:t>
            </w:r>
          </w:p>
        </w:tc>
        <w:tc>
          <w:tcPr>
            <w:tcW w:w="1499" w:type="dxa"/>
          </w:tcPr>
          <w:p w14:paraId="01E575FD" w14:textId="77777777" w:rsidR="00B02873" w:rsidRPr="00831390" w:rsidRDefault="00B02873" w:rsidP="00A269DB">
            <w:pPr>
              <w:pStyle w:val="TablebodyleftTables"/>
              <w:jc w:val="right"/>
              <w:rPr>
                <w:sz w:val="20"/>
                <w:szCs w:val="20"/>
              </w:rPr>
            </w:pPr>
            <w:r w:rsidRPr="00831390">
              <w:rPr>
                <w:sz w:val="20"/>
                <w:szCs w:val="20"/>
              </w:rPr>
              <w:t xml:space="preserve">6,200,000 </w:t>
            </w:r>
          </w:p>
        </w:tc>
        <w:tc>
          <w:tcPr>
            <w:tcW w:w="1276" w:type="dxa"/>
          </w:tcPr>
          <w:p w14:paraId="5AEC2A99" w14:textId="77777777" w:rsidR="00B02873" w:rsidRPr="00831390" w:rsidRDefault="00B02873" w:rsidP="00A269DB">
            <w:pPr>
              <w:pStyle w:val="TablebodyleftTables"/>
              <w:jc w:val="right"/>
              <w:rPr>
                <w:sz w:val="20"/>
                <w:szCs w:val="20"/>
              </w:rPr>
            </w:pPr>
            <w:r w:rsidRPr="00831390">
              <w:rPr>
                <w:sz w:val="20"/>
                <w:szCs w:val="20"/>
              </w:rPr>
              <w:t xml:space="preserve">60,690,982 </w:t>
            </w:r>
          </w:p>
        </w:tc>
      </w:tr>
      <w:tr w:rsidR="00B02873" w:rsidRPr="00831390" w14:paraId="4534FA61" w14:textId="77777777" w:rsidTr="00831390">
        <w:trPr>
          <w:trHeight w:val="60"/>
        </w:trPr>
        <w:tc>
          <w:tcPr>
            <w:tcW w:w="1191" w:type="dxa"/>
          </w:tcPr>
          <w:p w14:paraId="5D5A02C9" w14:textId="77777777" w:rsidR="00B02873" w:rsidRPr="00831390" w:rsidRDefault="00B02873" w:rsidP="00B415A9">
            <w:pPr>
              <w:pStyle w:val="TableheadingleftTables"/>
              <w:rPr>
                <w:sz w:val="20"/>
                <w:szCs w:val="20"/>
              </w:rPr>
            </w:pPr>
            <w:r w:rsidRPr="00831390">
              <w:rPr>
                <w:sz w:val="20"/>
                <w:szCs w:val="20"/>
              </w:rPr>
              <w:t>Total</w:t>
            </w:r>
          </w:p>
        </w:tc>
        <w:tc>
          <w:tcPr>
            <w:tcW w:w="1190" w:type="dxa"/>
          </w:tcPr>
          <w:p w14:paraId="6129B4E1" w14:textId="77777777" w:rsidR="00B02873" w:rsidRPr="00831390" w:rsidRDefault="00B02873" w:rsidP="00A269DB">
            <w:pPr>
              <w:pStyle w:val="TablebodyleftTables"/>
              <w:jc w:val="right"/>
              <w:rPr>
                <w:b/>
                <w:bCs/>
                <w:sz w:val="20"/>
                <w:szCs w:val="20"/>
              </w:rPr>
            </w:pPr>
            <w:r w:rsidRPr="00831390">
              <w:rPr>
                <w:b/>
                <w:bCs/>
                <w:sz w:val="20"/>
                <w:szCs w:val="20"/>
              </w:rPr>
              <w:t xml:space="preserve">88,666,784 </w:t>
            </w:r>
          </w:p>
        </w:tc>
        <w:tc>
          <w:tcPr>
            <w:tcW w:w="1191" w:type="dxa"/>
          </w:tcPr>
          <w:p w14:paraId="180D101B" w14:textId="77777777" w:rsidR="00B02873" w:rsidRPr="00831390" w:rsidRDefault="00B02873" w:rsidP="00A269DB">
            <w:pPr>
              <w:pStyle w:val="TablebodyleftTables"/>
              <w:jc w:val="right"/>
              <w:rPr>
                <w:b/>
                <w:bCs/>
                <w:sz w:val="20"/>
                <w:szCs w:val="20"/>
              </w:rPr>
            </w:pPr>
            <w:r w:rsidRPr="00831390">
              <w:rPr>
                <w:b/>
                <w:bCs/>
                <w:sz w:val="20"/>
                <w:szCs w:val="20"/>
              </w:rPr>
              <w:t xml:space="preserve">136,795 </w:t>
            </w:r>
          </w:p>
        </w:tc>
        <w:tc>
          <w:tcPr>
            <w:tcW w:w="1190" w:type="dxa"/>
          </w:tcPr>
          <w:p w14:paraId="482F92A8" w14:textId="3AFBC31C" w:rsidR="00B02873" w:rsidRPr="00831390" w:rsidRDefault="00B02873" w:rsidP="00A269DB">
            <w:pPr>
              <w:pStyle w:val="TablebodyleftTables"/>
              <w:jc w:val="right"/>
              <w:rPr>
                <w:b/>
                <w:bCs/>
                <w:sz w:val="20"/>
                <w:szCs w:val="20"/>
              </w:rPr>
            </w:pPr>
            <w:r w:rsidRPr="00831390">
              <w:rPr>
                <w:b/>
                <w:bCs/>
                <w:sz w:val="20"/>
                <w:szCs w:val="20"/>
              </w:rPr>
              <w:t>97,461,683</w:t>
            </w:r>
          </w:p>
        </w:tc>
        <w:tc>
          <w:tcPr>
            <w:tcW w:w="1191" w:type="dxa"/>
          </w:tcPr>
          <w:p w14:paraId="641A0F5F" w14:textId="77777777" w:rsidR="00B02873" w:rsidRPr="00831390" w:rsidRDefault="00B02873" w:rsidP="00A269DB">
            <w:pPr>
              <w:pStyle w:val="TablebodyleftTables"/>
              <w:jc w:val="right"/>
              <w:rPr>
                <w:b/>
                <w:bCs/>
                <w:sz w:val="20"/>
                <w:szCs w:val="20"/>
              </w:rPr>
            </w:pPr>
            <w:r w:rsidRPr="00831390">
              <w:rPr>
                <w:b/>
                <w:bCs/>
                <w:sz w:val="20"/>
                <w:szCs w:val="20"/>
              </w:rPr>
              <w:t xml:space="preserve">21,160,220 </w:t>
            </w:r>
          </w:p>
        </w:tc>
        <w:tc>
          <w:tcPr>
            <w:tcW w:w="1272" w:type="dxa"/>
          </w:tcPr>
          <w:p w14:paraId="56CC8F45" w14:textId="77777777" w:rsidR="00B02873" w:rsidRPr="00831390" w:rsidRDefault="00B02873" w:rsidP="00A269DB">
            <w:pPr>
              <w:pStyle w:val="TablebodyleftTables"/>
              <w:jc w:val="right"/>
              <w:rPr>
                <w:b/>
                <w:bCs/>
                <w:sz w:val="20"/>
                <w:szCs w:val="20"/>
              </w:rPr>
            </w:pPr>
            <w:r w:rsidRPr="00831390">
              <w:rPr>
                <w:b/>
                <w:bCs/>
                <w:sz w:val="20"/>
                <w:szCs w:val="20"/>
              </w:rPr>
              <w:t xml:space="preserve">165,105,042 </w:t>
            </w:r>
          </w:p>
        </w:tc>
        <w:tc>
          <w:tcPr>
            <w:tcW w:w="1499" w:type="dxa"/>
          </w:tcPr>
          <w:p w14:paraId="00A12928" w14:textId="77777777" w:rsidR="00B02873" w:rsidRPr="00831390" w:rsidRDefault="00B02873" w:rsidP="00A269DB">
            <w:pPr>
              <w:pStyle w:val="TablebodyleftTables"/>
              <w:jc w:val="right"/>
              <w:rPr>
                <w:b/>
                <w:bCs/>
                <w:sz w:val="20"/>
                <w:szCs w:val="20"/>
              </w:rPr>
            </w:pPr>
            <w:r w:rsidRPr="00831390">
              <w:rPr>
                <w:b/>
                <w:bCs/>
                <w:sz w:val="20"/>
                <w:szCs w:val="20"/>
              </w:rPr>
              <w:t xml:space="preserve">43,795,000 </w:t>
            </w:r>
          </w:p>
        </w:tc>
        <w:tc>
          <w:tcPr>
            <w:tcW w:w="1276" w:type="dxa"/>
          </w:tcPr>
          <w:p w14:paraId="41B483E7" w14:textId="77777777" w:rsidR="00B02873" w:rsidRPr="00831390" w:rsidRDefault="00B02873" w:rsidP="00A269DB">
            <w:pPr>
              <w:pStyle w:val="TablebodyleftTables"/>
              <w:jc w:val="right"/>
              <w:rPr>
                <w:b/>
                <w:bCs/>
                <w:sz w:val="20"/>
                <w:szCs w:val="20"/>
              </w:rPr>
            </w:pPr>
            <w:r w:rsidRPr="00831390">
              <w:rPr>
                <w:b/>
                <w:bCs/>
                <w:sz w:val="20"/>
                <w:szCs w:val="20"/>
              </w:rPr>
              <w:t xml:space="preserve">121,310,042 </w:t>
            </w:r>
          </w:p>
        </w:tc>
      </w:tr>
    </w:tbl>
    <w:p w14:paraId="1C7628CB" w14:textId="77777777" w:rsidR="00B02873" w:rsidRDefault="00B02873" w:rsidP="00FE198A"/>
    <w:p w14:paraId="7C07A725" w14:textId="77777777" w:rsidR="00B02873" w:rsidRDefault="00B02873" w:rsidP="00831390">
      <w:pPr>
        <w:pStyle w:val="Heading4"/>
      </w:pPr>
      <w:r>
        <w:t xml:space="preserve">Growth Areas Public Transport Fund for the year ending 30 June 2022 </w:t>
      </w:r>
    </w:p>
    <w:p w14:paraId="4CA42782" w14:textId="77777777" w:rsidR="00B02873" w:rsidRDefault="00B02873" w:rsidP="00FE198A">
      <w:r>
        <w:rPr>
          <w:spacing w:val="-1"/>
        </w:rPr>
        <w:t>At 30 June 2022, the GAPTF had a total balance of $288.56 million, with existing commitments from projects totalling $18.92 million. The GAPTF has $269.65 million pending future allocation.</w:t>
      </w:r>
    </w:p>
    <w:p w14:paraId="508C83D0" w14:textId="77777777" w:rsidR="00B02873" w:rsidRDefault="00B02873" w:rsidP="00831390">
      <w:pPr>
        <w:pStyle w:val="TabletitleTables"/>
      </w:pPr>
      <w:r>
        <w:t>Table 8. GAPTF by Growth Area in the 2021-22 financial year</w:t>
      </w:r>
    </w:p>
    <w:tbl>
      <w:tblPr>
        <w:tblStyle w:val="TableGrid"/>
        <w:tblW w:w="10183" w:type="dxa"/>
        <w:tblLayout w:type="fixed"/>
        <w:tblLook w:val="0020" w:firstRow="1" w:lastRow="0" w:firstColumn="0" w:lastColumn="0" w:noHBand="0" w:noVBand="0"/>
      </w:tblPr>
      <w:tblGrid>
        <w:gridCol w:w="1106"/>
        <w:gridCol w:w="1311"/>
        <w:gridCol w:w="1160"/>
        <w:gridCol w:w="1219"/>
        <w:gridCol w:w="1389"/>
        <w:gridCol w:w="1304"/>
        <w:gridCol w:w="1442"/>
        <w:gridCol w:w="1252"/>
      </w:tblGrid>
      <w:tr w:rsidR="00B02873" w:rsidRPr="007540C3" w14:paraId="462BE4BF" w14:textId="77777777" w:rsidTr="007540C3">
        <w:trPr>
          <w:cnfStyle w:val="100000000000" w:firstRow="1" w:lastRow="0" w:firstColumn="0" w:lastColumn="0" w:oddVBand="0" w:evenVBand="0" w:oddHBand="0" w:evenHBand="0" w:firstRowFirstColumn="0" w:firstRowLastColumn="0" w:lastRowFirstColumn="0" w:lastRowLastColumn="0"/>
          <w:trHeight w:val="60"/>
        </w:trPr>
        <w:tc>
          <w:tcPr>
            <w:tcW w:w="1106" w:type="dxa"/>
          </w:tcPr>
          <w:p w14:paraId="39A99762" w14:textId="77777777" w:rsidR="00B02873" w:rsidRPr="007540C3" w:rsidRDefault="00B02873" w:rsidP="007540C3">
            <w:pPr>
              <w:pStyle w:val="TableheadingleftTables"/>
              <w:rPr>
                <w:sz w:val="20"/>
                <w:szCs w:val="20"/>
              </w:rPr>
            </w:pPr>
            <w:r w:rsidRPr="007540C3">
              <w:rPr>
                <w:sz w:val="20"/>
                <w:szCs w:val="20"/>
              </w:rPr>
              <w:t>Growth Area</w:t>
            </w:r>
          </w:p>
        </w:tc>
        <w:tc>
          <w:tcPr>
            <w:tcW w:w="1311" w:type="dxa"/>
          </w:tcPr>
          <w:p w14:paraId="3A2155C1" w14:textId="77777777" w:rsidR="00B02873" w:rsidRPr="007540C3" w:rsidRDefault="00B02873" w:rsidP="00A269DB">
            <w:pPr>
              <w:pStyle w:val="TableheadingleftTables"/>
              <w:jc w:val="right"/>
              <w:rPr>
                <w:sz w:val="20"/>
                <w:szCs w:val="20"/>
              </w:rPr>
            </w:pPr>
            <w:r w:rsidRPr="007540C3">
              <w:rPr>
                <w:sz w:val="20"/>
                <w:szCs w:val="20"/>
              </w:rPr>
              <w:t xml:space="preserve">Opening fund balance as at 1 July 2021 </w:t>
            </w:r>
            <w:r w:rsidRPr="007540C3">
              <w:rPr>
                <w:sz w:val="20"/>
                <w:szCs w:val="20"/>
              </w:rPr>
              <w:br/>
              <w:t>($)</w:t>
            </w:r>
          </w:p>
        </w:tc>
        <w:tc>
          <w:tcPr>
            <w:tcW w:w="1160" w:type="dxa"/>
          </w:tcPr>
          <w:p w14:paraId="2BE3AE12" w14:textId="77777777" w:rsidR="00B02873" w:rsidRPr="007540C3" w:rsidRDefault="00B02873" w:rsidP="00A269DB">
            <w:pPr>
              <w:pStyle w:val="TableheadingleftTables"/>
              <w:jc w:val="right"/>
              <w:rPr>
                <w:sz w:val="20"/>
                <w:szCs w:val="20"/>
              </w:rPr>
            </w:pPr>
            <w:r w:rsidRPr="007540C3">
              <w:rPr>
                <w:sz w:val="20"/>
                <w:szCs w:val="20"/>
              </w:rPr>
              <w:t xml:space="preserve">Interest earned for the year to 30 June 2022 </w:t>
            </w:r>
            <w:r w:rsidRPr="007540C3">
              <w:rPr>
                <w:sz w:val="20"/>
                <w:szCs w:val="20"/>
              </w:rPr>
              <w:br/>
              <w:t>($)</w:t>
            </w:r>
          </w:p>
        </w:tc>
        <w:tc>
          <w:tcPr>
            <w:tcW w:w="1219" w:type="dxa"/>
          </w:tcPr>
          <w:p w14:paraId="5899C406" w14:textId="77777777" w:rsidR="00B02873" w:rsidRPr="007540C3" w:rsidRDefault="00B02873" w:rsidP="00A269DB">
            <w:pPr>
              <w:pStyle w:val="TableheadingleftTables"/>
              <w:jc w:val="right"/>
              <w:rPr>
                <w:sz w:val="20"/>
                <w:szCs w:val="20"/>
              </w:rPr>
            </w:pPr>
            <w:r w:rsidRPr="007540C3">
              <w:rPr>
                <w:sz w:val="20"/>
                <w:szCs w:val="20"/>
              </w:rPr>
              <w:t>Amount paid into the fund for the year 30 June 2022 ($)</w:t>
            </w:r>
          </w:p>
        </w:tc>
        <w:tc>
          <w:tcPr>
            <w:tcW w:w="1389" w:type="dxa"/>
          </w:tcPr>
          <w:p w14:paraId="1E021211" w14:textId="77777777" w:rsidR="00B02873" w:rsidRPr="007540C3" w:rsidRDefault="00B02873" w:rsidP="00A269DB">
            <w:pPr>
              <w:pStyle w:val="TableheadingleftTables"/>
              <w:jc w:val="right"/>
              <w:rPr>
                <w:sz w:val="20"/>
                <w:szCs w:val="20"/>
              </w:rPr>
            </w:pPr>
            <w:r w:rsidRPr="007540C3">
              <w:rPr>
                <w:sz w:val="20"/>
                <w:szCs w:val="20"/>
              </w:rPr>
              <w:t xml:space="preserve">Amount paid from the fund for the year to 30 June 2022 </w:t>
            </w:r>
            <w:r w:rsidRPr="007540C3">
              <w:rPr>
                <w:sz w:val="20"/>
                <w:szCs w:val="20"/>
              </w:rPr>
              <w:br/>
              <w:t>($)</w:t>
            </w:r>
          </w:p>
        </w:tc>
        <w:tc>
          <w:tcPr>
            <w:tcW w:w="1304" w:type="dxa"/>
          </w:tcPr>
          <w:p w14:paraId="507BE1A1" w14:textId="77777777" w:rsidR="00B02873" w:rsidRPr="007540C3" w:rsidRDefault="00B02873" w:rsidP="00A269DB">
            <w:pPr>
              <w:pStyle w:val="TableheadingleftTables"/>
              <w:jc w:val="right"/>
              <w:rPr>
                <w:sz w:val="20"/>
                <w:szCs w:val="20"/>
              </w:rPr>
            </w:pPr>
            <w:r w:rsidRPr="007540C3">
              <w:rPr>
                <w:sz w:val="20"/>
                <w:szCs w:val="20"/>
              </w:rPr>
              <w:t xml:space="preserve">Balance of the fund as at 30 June 2022 </w:t>
            </w:r>
            <w:r w:rsidRPr="007540C3">
              <w:rPr>
                <w:sz w:val="20"/>
                <w:szCs w:val="20"/>
              </w:rPr>
              <w:br/>
              <w:t>($)</w:t>
            </w:r>
          </w:p>
        </w:tc>
        <w:tc>
          <w:tcPr>
            <w:tcW w:w="1442" w:type="dxa"/>
          </w:tcPr>
          <w:p w14:paraId="3B8BB3F5" w14:textId="77777777" w:rsidR="00B02873" w:rsidRPr="007540C3" w:rsidRDefault="00B02873" w:rsidP="00A269DB">
            <w:pPr>
              <w:pStyle w:val="TableheadingleftTables"/>
              <w:jc w:val="right"/>
              <w:rPr>
                <w:sz w:val="20"/>
                <w:szCs w:val="20"/>
              </w:rPr>
            </w:pPr>
            <w:r w:rsidRPr="007540C3">
              <w:rPr>
                <w:spacing w:val="-6"/>
                <w:sz w:val="20"/>
                <w:szCs w:val="20"/>
              </w:rPr>
              <w:t>Commitments</w:t>
            </w:r>
            <w:r w:rsidRPr="007540C3">
              <w:rPr>
                <w:sz w:val="20"/>
                <w:szCs w:val="20"/>
              </w:rPr>
              <w:t xml:space="preserve"> yet to be paid ($)</w:t>
            </w:r>
          </w:p>
        </w:tc>
        <w:tc>
          <w:tcPr>
            <w:tcW w:w="1252" w:type="dxa"/>
          </w:tcPr>
          <w:p w14:paraId="79838901" w14:textId="77777777" w:rsidR="00B02873" w:rsidRPr="007540C3" w:rsidRDefault="00B02873" w:rsidP="00A269DB">
            <w:pPr>
              <w:pStyle w:val="TableheadingleftTables"/>
              <w:jc w:val="right"/>
              <w:rPr>
                <w:sz w:val="20"/>
                <w:szCs w:val="20"/>
              </w:rPr>
            </w:pPr>
            <w:r w:rsidRPr="007540C3">
              <w:rPr>
                <w:sz w:val="20"/>
                <w:szCs w:val="20"/>
              </w:rPr>
              <w:t>Balance yet to be committed ($)</w:t>
            </w:r>
          </w:p>
        </w:tc>
      </w:tr>
      <w:tr w:rsidR="00B02873" w:rsidRPr="007540C3" w14:paraId="5B47C337" w14:textId="77777777" w:rsidTr="007540C3">
        <w:trPr>
          <w:trHeight w:val="60"/>
        </w:trPr>
        <w:tc>
          <w:tcPr>
            <w:tcW w:w="1106" w:type="dxa"/>
          </w:tcPr>
          <w:p w14:paraId="1CF3571E" w14:textId="77777777" w:rsidR="00B02873" w:rsidRPr="007540C3" w:rsidRDefault="00B02873" w:rsidP="00B415A9">
            <w:pPr>
              <w:pStyle w:val="TablebodyleftTables"/>
              <w:rPr>
                <w:sz w:val="20"/>
                <w:szCs w:val="20"/>
              </w:rPr>
            </w:pPr>
            <w:r w:rsidRPr="007540C3">
              <w:rPr>
                <w:sz w:val="20"/>
                <w:szCs w:val="20"/>
              </w:rPr>
              <w:t>Cardinia</w:t>
            </w:r>
          </w:p>
        </w:tc>
        <w:tc>
          <w:tcPr>
            <w:tcW w:w="1311" w:type="dxa"/>
          </w:tcPr>
          <w:p w14:paraId="3E61EAAC" w14:textId="77777777" w:rsidR="00B02873" w:rsidRPr="007540C3" w:rsidRDefault="00B02873" w:rsidP="00A269DB">
            <w:pPr>
              <w:pStyle w:val="TablebodyleftTables"/>
              <w:jc w:val="right"/>
              <w:rPr>
                <w:sz w:val="20"/>
                <w:szCs w:val="20"/>
              </w:rPr>
            </w:pPr>
            <w:r w:rsidRPr="007540C3">
              <w:rPr>
                <w:sz w:val="20"/>
                <w:szCs w:val="20"/>
              </w:rPr>
              <w:t xml:space="preserve">4,081,294 </w:t>
            </w:r>
          </w:p>
        </w:tc>
        <w:tc>
          <w:tcPr>
            <w:tcW w:w="1160" w:type="dxa"/>
          </w:tcPr>
          <w:p w14:paraId="4D749AFB" w14:textId="1F727784" w:rsidR="00B02873" w:rsidRPr="007540C3" w:rsidRDefault="007540C3" w:rsidP="00A269DB">
            <w:pPr>
              <w:pStyle w:val="TablebodyleftTables"/>
              <w:jc w:val="right"/>
              <w:rPr>
                <w:sz w:val="20"/>
                <w:szCs w:val="20"/>
              </w:rPr>
            </w:pPr>
            <w:r>
              <w:rPr>
                <w:sz w:val="20"/>
                <w:szCs w:val="20"/>
              </w:rPr>
              <w:t>–</w:t>
            </w:r>
          </w:p>
        </w:tc>
        <w:tc>
          <w:tcPr>
            <w:tcW w:w="1219" w:type="dxa"/>
          </w:tcPr>
          <w:p w14:paraId="0D6A6880" w14:textId="3B20BF82" w:rsidR="00B02873" w:rsidRPr="007540C3" w:rsidRDefault="007540C3" w:rsidP="00A269DB">
            <w:pPr>
              <w:pStyle w:val="TablebodyleftTables"/>
              <w:jc w:val="right"/>
              <w:rPr>
                <w:sz w:val="20"/>
                <w:szCs w:val="20"/>
              </w:rPr>
            </w:pPr>
            <w:r>
              <w:rPr>
                <w:sz w:val="20"/>
                <w:szCs w:val="20"/>
              </w:rPr>
              <w:t>–</w:t>
            </w:r>
          </w:p>
        </w:tc>
        <w:tc>
          <w:tcPr>
            <w:tcW w:w="1389" w:type="dxa"/>
          </w:tcPr>
          <w:p w14:paraId="4637BDC2" w14:textId="77777777" w:rsidR="00B02873" w:rsidRPr="007540C3" w:rsidRDefault="00B02873" w:rsidP="00A269DB">
            <w:pPr>
              <w:pStyle w:val="TablebodyleftTables"/>
              <w:jc w:val="right"/>
              <w:rPr>
                <w:sz w:val="20"/>
                <w:szCs w:val="20"/>
              </w:rPr>
            </w:pPr>
            <w:r w:rsidRPr="007540C3">
              <w:rPr>
                <w:sz w:val="20"/>
                <w:szCs w:val="20"/>
              </w:rPr>
              <w:t xml:space="preserve">2,419 </w:t>
            </w:r>
          </w:p>
        </w:tc>
        <w:tc>
          <w:tcPr>
            <w:tcW w:w="1304" w:type="dxa"/>
          </w:tcPr>
          <w:p w14:paraId="63778B59" w14:textId="77777777" w:rsidR="00B02873" w:rsidRPr="007540C3" w:rsidRDefault="00B02873" w:rsidP="00A269DB">
            <w:pPr>
              <w:pStyle w:val="TablebodyleftTables"/>
              <w:jc w:val="right"/>
              <w:rPr>
                <w:sz w:val="20"/>
                <w:szCs w:val="20"/>
              </w:rPr>
            </w:pPr>
            <w:r w:rsidRPr="007540C3">
              <w:rPr>
                <w:sz w:val="20"/>
                <w:szCs w:val="20"/>
              </w:rPr>
              <w:t xml:space="preserve">4,078,875 </w:t>
            </w:r>
          </w:p>
        </w:tc>
        <w:tc>
          <w:tcPr>
            <w:tcW w:w="1442" w:type="dxa"/>
          </w:tcPr>
          <w:p w14:paraId="7C29C74B" w14:textId="2AC122A5" w:rsidR="00B02873" w:rsidRPr="007540C3" w:rsidRDefault="007540C3" w:rsidP="00A269DB">
            <w:pPr>
              <w:pStyle w:val="TablebodyleftTables"/>
              <w:jc w:val="right"/>
              <w:rPr>
                <w:sz w:val="20"/>
                <w:szCs w:val="20"/>
              </w:rPr>
            </w:pPr>
            <w:r>
              <w:rPr>
                <w:sz w:val="20"/>
                <w:szCs w:val="20"/>
              </w:rPr>
              <w:t>–</w:t>
            </w:r>
          </w:p>
        </w:tc>
        <w:tc>
          <w:tcPr>
            <w:tcW w:w="1252" w:type="dxa"/>
          </w:tcPr>
          <w:p w14:paraId="69CF9303" w14:textId="77777777" w:rsidR="00B02873" w:rsidRPr="007540C3" w:rsidRDefault="00B02873" w:rsidP="00A269DB">
            <w:pPr>
              <w:pStyle w:val="TablebodyleftTables"/>
              <w:jc w:val="right"/>
              <w:rPr>
                <w:sz w:val="20"/>
                <w:szCs w:val="20"/>
              </w:rPr>
            </w:pPr>
            <w:r w:rsidRPr="007540C3">
              <w:rPr>
                <w:sz w:val="20"/>
                <w:szCs w:val="20"/>
              </w:rPr>
              <w:t xml:space="preserve">4,078,875 </w:t>
            </w:r>
          </w:p>
        </w:tc>
      </w:tr>
      <w:tr w:rsidR="00B02873" w:rsidRPr="007540C3" w14:paraId="0CEC3107" w14:textId="77777777" w:rsidTr="007540C3">
        <w:trPr>
          <w:trHeight w:val="60"/>
        </w:trPr>
        <w:tc>
          <w:tcPr>
            <w:tcW w:w="1106" w:type="dxa"/>
          </w:tcPr>
          <w:p w14:paraId="6B18E8BF" w14:textId="77777777" w:rsidR="00B02873" w:rsidRPr="007540C3" w:rsidRDefault="00B02873" w:rsidP="00B415A9">
            <w:pPr>
              <w:pStyle w:val="TablebodyleftTables"/>
              <w:rPr>
                <w:sz w:val="20"/>
                <w:szCs w:val="20"/>
              </w:rPr>
            </w:pPr>
            <w:r w:rsidRPr="007540C3">
              <w:rPr>
                <w:sz w:val="20"/>
                <w:szCs w:val="20"/>
              </w:rPr>
              <w:t>Casey</w:t>
            </w:r>
          </w:p>
        </w:tc>
        <w:tc>
          <w:tcPr>
            <w:tcW w:w="1311" w:type="dxa"/>
          </w:tcPr>
          <w:p w14:paraId="35A5EA70" w14:textId="77777777" w:rsidR="00B02873" w:rsidRPr="007540C3" w:rsidRDefault="00B02873" w:rsidP="00A269DB">
            <w:pPr>
              <w:pStyle w:val="TablebodyleftTables"/>
              <w:jc w:val="right"/>
              <w:rPr>
                <w:sz w:val="20"/>
                <w:szCs w:val="20"/>
              </w:rPr>
            </w:pPr>
            <w:r w:rsidRPr="007540C3">
              <w:rPr>
                <w:sz w:val="20"/>
                <w:szCs w:val="20"/>
              </w:rPr>
              <w:t xml:space="preserve">58,670,479 </w:t>
            </w:r>
          </w:p>
        </w:tc>
        <w:tc>
          <w:tcPr>
            <w:tcW w:w="1160" w:type="dxa"/>
          </w:tcPr>
          <w:p w14:paraId="391F98B0" w14:textId="77777777" w:rsidR="00B02873" w:rsidRPr="007540C3" w:rsidRDefault="00B02873" w:rsidP="00A269DB">
            <w:pPr>
              <w:pStyle w:val="TablebodyleftTables"/>
              <w:jc w:val="right"/>
              <w:rPr>
                <w:sz w:val="20"/>
                <w:szCs w:val="20"/>
              </w:rPr>
            </w:pPr>
            <w:r w:rsidRPr="007540C3">
              <w:rPr>
                <w:sz w:val="20"/>
                <w:szCs w:val="20"/>
              </w:rPr>
              <w:t xml:space="preserve">134,991 </w:t>
            </w:r>
          </w:p>
        </w:tc>
        <w:tc>
          <w:tcPr>
            <w:tcW w:w="1219" w:type="dxa"/>
          </w:tcPr>
          <w:p w14:paraId="0C317527" w14:textId="77777777" w:rsidR="00B02873" w:rsidRPr="007540C3" w:rsidRDefault="00B02873" w:rsidP="00A269DB">
            <w:pPr>
              <w:pStyle w:val="TablebodyleftTables"/>
              <w:jc w:val="right"/>
              <w:rPr>
                <w:sz w:val="20"/>
                <w:szCs w:val="20"/>
              </w:rPr>
            </w:pPr>
            <w:r w:rsidRPr="007540C3">
              <w:rPr>
                <w:sz w:val="20"/>
                <w:szCs w:val="20"/>
              </w:rPr>
              <w:t xml:space="preserve">22,471,488 </w:t>
            </w:r>
          </w:p>
        </w:tc>
        <w:tc>
          <w:tcPr>
            <w:tcW w:w="1389" w:type="dxa"/>
          </w:tcPr>
          <w:p w14:paraId="60680B25" w14:textId="77777777" w:rsidR="00B02873" w:rsidRPr="007540C3" w:rsidRDefault="00B02873" w:rsidP="00A269DB">
            <w:pPr>
              <w:pStyle w:val="TablebodyleftTables"/>
              <w:jc w:val="right"/>
              <w:rPr>
                <w:sz w:val="20"/>
                <w:szCs w:val="20"/>
              </w:rPr>
            </w:pPr>
            <w:r w:rsidRPr="007540C3">
              <w:rPr>
                <w:sz w:val="20"/>
                <w:szCs w:val="20"/>
              </w:rPr>
              <w:t xml:space="preserve">22,641,918 </w:t>
            </w:r>
          </w:p>
        </w:tc>
        <w:tc>
          <w:tcPr>
            <w:tcW w:w="1304" w:type="dxa"/>
          </w:tcPr>
          <w:p w14:paraId="12806A34" w14:textId="77777777" w:rsidR="00B02873" w:rsidRPr="007540C3" w:rsidRDefault="00B02873" w:rsidP="00A269DB">
            <w:pPr>
              <w:pStyle w:val="TablebodyleftTables"/>
              <w:jc w:val="right"/>
              <w:rPr>
                <w:sz w:val="20"/>
                <w:szCs w:val="20"/>
              </w:rPr>
            </w:pPr>
            <w:r w:rsidRPr="007540C3">
              <w:rPr>
                <w:sz w:val="20"/>
                <w:szCs w:val="20"/>
              </w:rPr>
              <w:t xml:space="preserve">58,635,041 </w:t>
            </w:r>
          </w:p>
        </w:tc>
        <w:tc>
          <w:tcPr>
            <w:tcW w:w="1442" w:type="dxa"/>
          </w:tcPr>
          <w:p w14:paraId="6377059C" w14:textId="77777777" w:rsidR="00B02873" w:rsidRPr="007540C3" w:rsidRDefault="00B02873" w:rsidP="00A269DB">
            <w:pPr>
              <w:pStyle w:val="TablebodyleftTables"/>
              <w:jc w:val="right"/>
              <w:rPr>
                <w:sz w:val="20"/>
                <w:szCs w:val="20"/>
              </w:rPr>
            </w:pPr>
            <w:r w:rsidRPr="007540C3">
              <w:rPr>
                <w:sz w:val="20"/>
                <w:szCs w:val="20"/>
              </w:rPr>
              <w:t xml:space="preserve">12,100,000 </w:t>
            </w:r>
          </w:p>
        </w:tc>
        <w:tc>
          <w:tcPr>
            <w:tcW w:w="1252" w:type="dxa"/>
          </w:tcPr>
          <w:p w14:paraId="681F1EC4" w14:textId="77777777" w:rsidR="00B02873" w:rsidRPr="007540C3" w:rsidRDefault="00B02873" w:rsidP="00A269DB">
            <w:pPr>
              <w:pStyle w:val="TablebodyleftTables"/>
              <w:jc w:val="right"/>
              <w:rPr>
                <w:sz w:val="20"/>
                <w:szCs w:val="20"/>
              </w:rPr>
            </w:pPr>
            <w:r w:rsidRPr="007540C3">
              <w:rPr>
                <w:sz w:val="20"/>
                <w:szCs w:val="20"/>
              </w:rPr>
              <w:t xml:space="preserve">46,535,041 </w:t>
            </w:r>
          </w:p>
        </w:tc>
      </w:tr>
      <w:tr w:rsidR="00B02873" w:rsidRPr="007540C3" w14:paraId="4CE72109" w14:textId="77777777" w:rsidTr="007540C3">
        <w:trPr>
          <w:trHeight w:val="60"/>
        </w:trPr>
        <w:tc>
          <w:tcPr>
            <w:tcW w:w="1106" w:type="dxa"/>
          </w:tcPr>
          <w:p w14:paraId="5C219BA1" w14:textId="77777777" w:rsidR="00B02873" w:rsidRPr="007540C3" w:rsidRDefault="00B02873" w:rsidP="00B415A9">
            <w:pPr>
              <w:pStyle w:val="TablebodyleftTables"/>
              <w:rPr>
                <w:sz w:val="20"/>
                <w:szCs w:val="20"/>
              </w:rPr>
            </w:pPr>
            <w:r w:rsidRPr="007540C3">
              <w:rPr>
                <w:sz w:val="20"/>
                <w:szCs w:val="20"/>
              </w:rPr>
              <w:t>Hume</w:t>
            </w:r>
          </w:p>
        </w:tc>
        <w:tc>
          <w:tcPr>
            <w:tcW w:w="1311" w:type="dxa"/>
          </w:tcPr>
          <w:p w14:paraId="105C5146" w14:textId="77777777" w:rsidR="00B02873" w:rsidRPr="007540C3" w:rsidRDefault="00B02873" w:rsidP="00A269DB">
            <w:pPr>
              <w:pStyle w:val="TablebodyleftTables"/>
              <w:jc w:val="right"/>
              <w:rPr>
                <w:sz w:val="20"/>
                <w:szCs w:val="20"/>
              </w:rPr>
            </w:pPr>
            <w:r w:rsidRPr="007540C3">
              <w:rPr>
                <w:sz w:val="20"/>
                <w:szCs w:val="20"/>
              </w:rPr>
              <w:t xml:space="preserve">45,715,742 </w:t>
            </w:r>
          </w:p>
        </w:tc>
        <w:tc>
          <w:tcPr>
            <w:tcW w:w="1160" w:type="dxa"/>
          </w:tcPr>
          <w:p w14:paraId="40A69F7B" w14:textId="77777777" w:rsidR="00B02873" w:rsidRPr="007540C3" w:rsidRDefault="00B02873" w:rsidP="00A269DB">
            <w:pPr>
              <w:pStyle w:val="TablebodyleftTables"/>
              <w:jc w:val="right"/>
              <w:rPr>
                <w:sz w:val="20"/>
                <w:szCs w:val="20"/>
              </w:rPr>
            </w:pPr>
            <w:r w:rsidRPr="007540C3">
              <w:rPr>
                <w:sz w:val="20"/>
                <w:szCs w:val="20"/>
              </w:rPr>
              <w:t xml:space="preserve">48,021 </w:t>
            </w:r>
          </w:p>
        </w:tc>
        <w:tc>
          <w:tcPr>
            <w:tcW w:w="1219" w:type="dxa"/>
          </w:tcPr>
          <w:p w14:paraId="5340FC3D" w14:textId="77777777" w:rsidR="00B02873" w:rsidRPr="007540C3" w:rsidRDefault="00B02873" w:rsidP="00A269DB">
            <w:pPr>
              <w:pStyle w:val="TablebodyleftTables"/>
              <w:jc w:val="right"/>
              <w:rPr>
                <w:sz w:val="20"/>
                <w:szCs w:val="20"/>
              </w:rPr>
            </w:pPr>
            <w:r w:rsidRPr="007540C3">
              <w:rPr>
                <w:sz w:val="20"/>
                <w:szCs w:val="20"/>
              </w:rPr>
              <w:t xml:space="preserve">7,993,840 </w:t>
            </w:r>
          </w:p>
        </w:tc>
        <w:tc>
          <w:tcPr>
            <w:tcW w:w="1389" w:type="dxa"/>
          </w:tcPr>
          <w:p w14:paraId="7F197FBB" w14:textId="77777777" w:rsidR="00B02873" w:rsidRPr="007540C3" w:rsidRDefault="00B02873" w:rsidP="00A269DB">
            <w:pPr>
              <w:pStyle w:val="TablebodyleftTables"/>
              <w:jc w:val="right"/>
              <w:rPr>
                <w:sz w:val="20"/>
                <w:szCs w:val="20"/>
              </w:rPr>
            </w:pPr>
            <w:r w:rsidRPr="007540C3">
              <w:rPr>
                <w:sz w:val="20"/>
                <w:szCs w:val="20"/>
              </w:rPr>
              <w:t xml:space="preserve">2,558,786 </w:t>
            </w:r>
          </w:p>
        </w:tc>
        <w:tc>
          <w:tcPr>
            <w:tcW w:w="1304" w:type="dxa"/>
          </w:tcPr>
          <w:p w14:paraId="10462565" w14:textId="77777777" w:rsidR="00B02873" w:rsidRPr="007540C3" w:rsidRDefault="00B02873" w:rsidP="00A269DB">
            <w:pPr>
              <w:pStyle w:val="TablebodyleftTables"/>
              <w:jc w:val="right"/>
              <w:rPr>
                <w:sz w:val="20"/>
                <w:szCs w:val="20"/>
              </w:rPr>
            </w:pPr>
            <w:r w:rsidRPr="007540C3">
              <w:rPr>
                <w:sz w:val="20"/>
                <w:szCs w:val="20"/>
              </w:rPr>
              <w:t xml:space="preserve">51,198,816 </w:t>
            </w:r>
          </w:p>
        </w:tc>
        <w:tc>
          <w:tcPr>
            <w:tcW w:w="1442" w:type="dxa"/>
          </w:tcPr>
          <w:p w14:paraId="6E153BED" w14:textId="77777777" w:rsidR="00B02873" w:rsidRPr="007540C3" w:rsidRDefault="00B02873" w:rsidP="00A269DB">
            <w:pPr>
              <w:pStyle w:val="TablebodyleftTables"/>
              <w:jc w:val="right"/>
              <w:rPr>
                <w:sz w:val="20"/>
                <w:szCs w:val="20"/>
              </w:rPr>
            </w:pPr>
            <w:r w:rsidRPr="007540C3">
              <w:rPr>
                <w:sz w:val="20"/>
                <w:szCs w:val="20"/>
              </w:rPr>
              <w:t xml:space="preserve">5,000,000 </w:t>
            </w:r>
          </w:p>
        </w:tc>
        <w:tc>
          <w:tcPr>
            <w:tcW w:w="1252" w:type="dxa"/>
          </w:tcPr>
          <w:p w14:paraId="3FA8E1B1" w14:textId="77777777" w:rsidR="00B02873" w:rsidRPr="007540C3" w:rsidRDefault="00B02873" w:rsidP="00A269DB">
            <w:pPr>
              <w:pStyle w:val="TablebodyleftTables"/>
              <w:jc w:val="right"/>
              <w:rPr>
                <w:sz w:val="20"/>
                <w:szCs w:val="20"/>
              </w:rPr>
            </w:pPr>
            <w:r w:rsidRPr="007540C3">
              <w:rPr>
                <w:sz w:val="20"/>
                <w:szCs w:val="20"/>
              </w:rPr>
              <w:t xml:space="preserve">46,198,816 </w:t>
            </w:r>
          </w:p>
        </w:tc>
      </w:tr>
      <w:tr w:rsidR="00B02873" w:rsidRPr="007540C3" w14:paraId="4ABCE1DE" w14:textId="77777777" w:rsidTr="007540C3">
        <w:trPr>
          <w:trHeight w:val="60"/>
        </w:trPr>
        <w:tc>
          <w:tcPr>
            <w:tcW w:w="1106" w:type="dxa"/>
          </w:tcPr>
          <w:p w14:paraId="59EB3906" w14:textId="77777777" w:rsidR="00B02873" w:rsidRPr="007540C3" w:rsidRDefault="00B02873" w:rsidP="00B415A9">
            <w:pPr>
              <w:pStyle w:val="TablebodyleftTables"/>
              <w:rPr>
                <w:sz w:val="20"/>
                <w:szCs w:val="20"/>
              </w:rPr>
            </w:pPr>
            <w:r w:rsidRPr="007540C3">
              <w:rPr>
                <w:sz w:val="20"/>
                <w:szCs w:val="20"/>
              </w:rPr>
              <w:t>Melton</w:t>
            </w:r>
          </w:p>
        </w:tc>
        <w:tc>
          <w:tcPr>
            <w:tcW w:w="1311" w:type="dxa"/>
          </w:tcPr>
          <w:p w14:paraId="2FF78475" w14:textId="77777777" w:rsidR="00B02873" w:rsidRPr="007540C3" w:rsidRDefault="00B02873" w:rsidP="00A269DB">
            <w:pPr>
              <w:pStyle w:val="TablebodyleftTables"/>
              <w:jc w:val="right"/>
              <w:rPr>
                <w:sz w:val="20"/>
                <w:szCs w:val="20"/>
              </w:rPr>
            </w:pPr>
            <w:r w:rsidRPr="007540C3">
              <w:rPr>
                <w:sz w:val="20"/>
                <w:szCs w:val="20"/>
              </w:rPr>
              <w:t xml:space="preserve">43,594,048 </w:t>
            </w:r>
          </w:p>
        </w:tc>
        <w:tc>
          <w:tcPr>
            <w:tcW w:w="1160" w:type="dxa"/>
          </w:tcPr>
          <w:p w14:paraId="45A137D9" w14:textId="77777777" w:rsidR="00B02873" w:rsidRPr="007540C3" w:rsidRDefault="00B02873" w:rsidP="00A269DB">
            <w:pPr>
              <w:pStyle w:val="TablebodyleftTables"/>
              <w:jc w:val="right"/>
              <w:rPr>
                <w:sz w:val="20"/>
                <w:szCs w:val="20"/>
              </w:rPr>
            </w:pPr>
            <w:r w:rsidRPr="007540C3">
              <w:rPr>
                <w:sz w:val="20"/>
                <w:szCs w:val="20"/>
              </w:rPr>
              <w:t xml:space="preserve">234,615 </w:t>
            </w:r>
          </w:p>
        </w:tc>
        <w:tc>
          <w:tcPr>
            <w:tcW w:w="1219" w:type="dxa"/>
          </w:tcPr>
          <w:p w14:paraId="54E85446" w14:textId="77777777" w:rsidR="00B02873" w:rsidRPr="007540C3" w:rsidRDefault="00B02873" w:rsidP="00A269DB">
            <w:pPr>
              <w:pStyle w:val="TablebodyleftTables"/>
              <w:jc w:val="right"/>
              <w:rPr>
                <w:sz w:val="20"/>
                <w:szCs w:val="20"/>
              </w:rPr>
            </w:pPr>
            <w:r w:rsidRPr="007540C3">
              <w:rPr>
                <w:sz w:val="20"/>
                <w:szCs w:val="20"/>
              </w:rPr>
              <w:t xml:space="preserve">39,055,408 </w:t>
            </w:r>
          </w:p>
        </w:tc>
        <w:tc>
          <w:tcPr>
            <w:tcW w:w="1389" w:type="dxa"/>
          </w:tcPr>
          <w:p w14:paraId="6FF5F677" w14:textId="77777777" w:rsidR="00B02873" w:rsidRPr="007540C3" w:rsidRDefault="00B02873" w:rsidP="00A269DB">
            <w:pPr>
              <w:pStyle w:val="TablebodyleftTables"/>
              <w:jc w:val="right"/>
              <w:rPr>
                <w:sz w:val="20"/>
                <w:szCs w:val="20"/>
              </w:rPr>
            </w:pPr>
            <w:r w:rsidRPr="007540C3">
              <w:rPr>
                <w:sz w:val="20"/>
                <w:szCs w:val="20"/>
              </w:rPr>
              <w:t xml:space="preserve">2,014,420 </w:t>
            </w:r>
          </w:p>
        </w:tc>
        <w:tc>
          <w:tcPr>
            <w:tcW w:w="1304" w:type="dxa"/>
          </w:tcPr>
          <w:p w14:paraId="49FD28CB" w14:textId="77777777" w:rsidR="00B02873" w:rsidRPr="007540C3" w:rsidRDefault="00B02873" w:rsidP="00A269DB">
            <w:pPr>
              <w:pStyle w:val="TablebodyleftTables"/>
              <w:jc w:val="right"/>
              <w:rPr>
                <w:sz w:val="20"/>
                <w:szCs w:val="20"/>
              </w:rPr>
            </w:pPr>
            <w:r w:rsidRPr="007540C3">
              <w:rPr>
                <w:sz w:val="20"/>
                <w:szCs w:val="20"/>
              </w:rPr>
              <w:t xml:space="preserve">80,869,652 </w:t>
            </w:r>
          </w:p>
        </w:tc>
        <w:tc>
          <w:tcPr>
            <w:tcW w:w="1442" w:type="dxa"/>
          </w:tcPr>
          <w:p w14:paraId="1012CD70" w14:textId="60468A8E" w:rsidR="00B02873" w:rsidRPr="007540C3" w:rsidRDefault="007540C3" w:rsidP="00A269DB">
            <w:pPr>
              <w:pStyle w:val="TablebodyleftTables"/>
              <w:jc w:val="right"/>
              <w:rPr>
                <w:sz w:val="20"/>
                <w:szCs w:val="20"/>
              </w:rPr>
            </w:pPr>
            <w:r>
              <w:rPr>
                <w:sz w:val="20"/>
                <w:szCs w:val="20"/>
              </w:rPr>
              <w:t>–</w:t>
            </w:r>
          </w:p>
        </w:tc>
        <w:tc>
          <w:tcPr>
            <w:tcW w:w="1252" w:type="dxa"/>
          </w:tcPr>
          <w:p w14:paraId="3C60056C" w14:textId="77777777" w:rsidR="00B02873" w:rsidRPr="007540C3" w:rsidRDefault="00B02873" w:rsidP="00A269DB">
            <w:pPr>
              <w:pStyle w:val="TablebodyleftTables"/>
              <w:jc w:val="right"/>
              <w:rPr>
                <w:sz w:val="20"/>
                <w:szCs w:val="20"/>
              </w:rPr>
            </w:pPr>
            <w:r w:rsidRPr="007540C3">
              <w:rPr>
                <w:sz w:val="20"/>
                <w:szCs w:val="20"/>
              </w:rPr>
              <w:t xml:space="preserve">80,869,652 </w:t>
            </w:r>
          </w:p>
        </w:tc>
      </w:tr>
      <w:tr w:rsidR="00B02873" w:rsidRPr="007540C3" w14:paraId="072C2966" w14:textId="77777777" w:rsidTr="007540C3">
        <w:trPr>
          <w:trHeight w:val="60"/>
        </w:trPr>
        <w:tc>
          <w:tcPr>
            <w:tcW w:w="1106" w:type="dxa"/>
          </w:tcPr>
          <w:p w14:paraId="4B31CF20" w14:textId="77777777" w:rsidR="00B02873" w:rsidRPr="007540C3" w:rsidRDefault="00B02873" w:rsidP="00B415A9">
            <w:pPr>
              <w:pStyle w:val="TablebodyleftTables"/>
              <w:rPr>
                <w:sz w:val="20"/>
                <w:szCs w:val="20"/>
              </w:rPr>
            </w:pPr>
            <w:r w:rsidRPr="007540C3">
              <w:rPr>
                <w:sz w:val="20"/>
                <w:szCs w:val="20"/>
              </w:rPr>
              <w:t>Mitchell</w:t>
            </w:r>
          </w:p>
        </w:tc>
        <w:tc>
          <w:tcPr>
            <w:tcW w:w="1311" w:type="dxa"/>
          </w:tcPr>
          <w:p w14:paraId="50E3D16C" w14:textId="77777777" w:rsidR="00B02873" w:rsidRPr="007540C3" w:rsidRDefault="00B02873" w:rsidP="00A269DB">
            <w:pPr>
              <w:pStyle w:val="TablebodyleftTables"/>
              <w:jc w:val="right"/>
              <w:rPr>
                <w:sz w:val="20"/>
                <w:szCs w:val="20"/>
              </w:rPr>
            </w:pPr>
            <w:r w:rsidRPr="007540C3">
              <w:rPr>
                <w:sz w:val="20"/>
                <w:szCs w:val="20"/>
              </w:rPr>
              <w:t xml:space="preserve">4,431,752 </w:t>
            </w:r>
          </w:p>
        </w:tc>
        <w:tc>
          <w:tcPr>
            <w:tcW w:w="1160" w:type="dxa"/>
          </w:tcPr>
          <w:p w14:paraId="4EE5EB0F" w14:textId="77777777" w:rsidR="00B02873" w:rsidRPr="007540C3" w:rsidRDefault="00B02873" w:rsidP="00A269DB">
            <w:pPr>
              <w:pStyle w:val="TablebodyleftTables"/>
              <w:jc w:val="right"/>
              <w:rPr>
                <w:sz w:val="20"/>
                <w:szCs w:val="20"/>
              </w:rPr>
            </w:pPr>
            <w:r w:rsidRPr="007540C3">
              <w:rPr>
                <w:sz w:val="20"/>
                <w:szCs w:val="20"/>
              </w:rPr>
              <w:t xml:space="preserve">1,678 </w:t>
            </w:r>
          </w:p>
        </w:tc>
        <w:tc>
          <w:tcPr>
            <w:tcW w:w="1219" w:type="dxa"/>
          </w:tcPr>
          <w:p w14:paraId="65777B95" w14:textId="77777777" w:rsidR="00B02873" w:rsidRPr="007540C3" w:rsidRDefault="00B02873" w:rsidP="00A269DB">
            <w:pPr>
              <w:pStyle w:val="TablebodyleftTables"/>
              <w:jc w:val="right"/>
              <w:rPr>
                <w:sz w:val="20"/>
                <w:szCs w:val="20"/>
              </w:rPr>
            </w:pPr>
            <w:r w:rsidRPr="007540C3">
              <w:rPr>
                <w:sz w:val="20"/>
                <w:szCs w:val="20"/>
              </w:rPr>
              <w:t xml:space="preserve">279,387 </w:t>
            </w:r>
          </w:p>
        </w:tc>
        <w:tc>
          <w:tcPr>
            <w:tcW w:w="1389" w:type="dxa"/>
          </w:tcPr>
          <w:p w14:paraId="33CCFADE" w14:textId="77777777" w:rsidR="00B02873" w:rsidRPr="007540C3" w:rsidRDefault="00B02873" w:rsidP="00A269DB">
            <w:pPr>
              <w:pStyle w:val="TablebodyleftTables"/>
              <w:jc w:val="right"/>
              <w:rPr>
                <w:sz w:val="20"/>
                <w:szCs w:val="20"/>
              </w:rPr>
            </w:pPr>
            <w:r w:rsidRPr="007540C3">
              <w:rPr>
                <w:sz w:val="20"/>
                <w:szCs w:val="20"/>
              </w:rPr>
              <w:t xml:space="preserve">2,781 </w:t>
            </w:r>
          </w:p>
        </w:tc>
        <w:tc>
          <w:tcPr>
            <w:tcW w:w="1304" w:type="dxa"/>
          </w:tcPr>
          <w:p w14:paraId="59C0D42A" w14:textId="77777777" w:rsidR="00B02873" w:rsidRPr="007540C3" w:rsidRDefault="00B02873" w:rsidP="00A269DB">
            <w:pPr>
              <w:pStyle w:val="TablebodyleftTables"/>
              <w:jc w:val="right"/>
              <w:rPr>
                <w:sz w:val="20"/>
                <w:szCs w:val="20"/>
              </w:rPr>
            </w:pPr>
            <w:r w:rsidRPr="007540C3">
              <w:rPr>
                <w:sz w:val="20"/>
                <w:szCs w:val="20"/>
              </w:rPr>
              <w:t xml:space="preserve">4,710,036 </w:t>
            </w:r>
          </w:p>
        </w:tc>
        <w:tc>
          <w:tcPr>
            <w:tcW w:w="1442" w:type="dxa"/>
          </w:tcPr>
          <w:p w14:paraId="55982DF7" w14:textId="32FBAC23" w:rsidR="00B02873" w:rsidRPr="007540C3" w:rsidRDefault="007540C3" w:rsidP="00A269DB">
            <w:pPr>
              <w:pStyle w:val="TablebodyleftTables"/>
              <w:jc w:val="right"/>
              <w:rPr>
                <w:sz w:val="20"/>
                <w:szCs w:val="20"/>
              </w:rPr>
            </w:pPr>
            <w:r>
              <w:rPr>
                <w:sz w:val="20"/>
                <w:szCs w:val="20"/>
              </w:rPr>
              <w:t>–</w:t>
            </w:r>
          </w:p>
        </w:tc>
        <w:tc>
          <w:tcPr>
            <w:tcW w:w="1252" w:type="dxa"/>
          </w:tcPr>
          <w:p w14:paraId="4A284D59" w14:textId="77777777" w:rsidR="00B02873" w:rsidRPr="007540C3" w:rsidRDefault="00B02873" w:rsidP="00A269DB">
            <w:pPr>
              <w:pStyle w:val="TablebodyleftTables"/>
              <w:jc w:val="right"/>
              <w:rPr>
                <w:sz w:val="20"/>
                <w:szCs w:val="20"/>
              </w:rPr>
            </w:pPr>
            <w:r w:rsidRPr="007540C3">
              <w:rPr>
                <w:sz w:val="20"/>
                <w:szCs w:val="20"/>
              </w:rPr>
              <w:t xml:space="preserve">4,710,036 </w:t>
            </w:r>
          </w:p>
        </w:tc>
      </w:tr>
      <w:tr w:rsidR="00B02873" w:rsidRPr="007540C3" w14:paraId="7B44A161" w14:textId="77777777" w:rsidTr="007540C3">
        <w:trPr>
          <w:trHeight w:val="60"/>
        </w:trPr>
        <w:tc>
          <w:tcPr>
            <w:tcW w:w="1106" w:type="dxa"/>
          </w:tcPr>
          <w:p w14:paraId="443CEE45" w14:textId="77777777" w:rsidR="00B02873" w:rsidRPr="007540C3" w:rsidRDefault="00B02873" w:rsidP="00B415A9">
            <w:pPr>
              <w:pStyle w:val="TablebodyleftTables"/>
              <w:rPr>
                <w:sz w:val="20"/>
                <w:szCs w:val="20"/>
              </w:rPr>
            </w:pPr>
            <w:r w:rsidRPr="007540C3">
              <w:rPr>
                <w:sz w:val="20"/>
                <w:szCs w:val="20"/>
              </w:rPr>
              <w:t>Whittlesea</w:t>
            </w:r>
          </w:p>
        </w:tc>
        <w:tc>
          <w:tcPr>
            <w:tcW w:w="1311" w:type="dxa"/>
          </w:tcPr>
          <w:p w14:paraId="708D9A17" w14:textId="77777777" w:rsidR="00B02873" w:rsidRPr="007540C3" w:rsidRDefault="00B02873" w:rsidP="00A269DB">
            <w:pPr>
              <w:pStyle w:val="TablebodyleftTables"/>
              <w:jc w:val="right"/>
              <w:rPr>
                <w:sz w:val="20"/>
                <w:szCs w:val="20"/>
              </w:rPr>
            </w:pPr>
            <w:r w:rsidRPr="007540C3">
              <w:rPr>
                <w:sz w:val="20"/>
                <w:szCs w:val="20"/>
              </w:rPr>
              <w:t xml:space="preserve">-1,748,727 </w:t>
            </w:r>
          </w:p>
        </w:tc>
        <w:tc>
          <w:tcPr>
            <w:tcW w:w="1160" w:type="dxa"/>
          </w:tcPr>
          <w:p w14:paraId="035D5A12" w14:textId="77777777" w:rsidR="00B02873" w:rsidRPr="007540C3" w:rsidRDefault="00B02873" w:rsidP="00A269DB">
            <w:pPr>
              <w:pStyle w:val="TablebodyleftTables"/>
              <w:jc w:val="right"/>
              <w:rPr>
                <w:sz w:val="20"/>
                <w:szCs w:val="20"/>
              </w:rPr>
            </w:pPr>
            <w:r w:rsidRPr="007540C3">
              <w:rPr>
                <w:sz w:val="20"/>
                <w:szCs w:val="20"/>
              </w:rPr>
              <w:t xml:space="preserve">51,607 </w:t>
            </w:r>
          </w:p>
        </w:tc>
        <w:tc>
          <w:tcPr>
            <w:tcW w:w="1219" w:type="dxa"/>
          </w:tcPr>
          <w:p w14:paraId="2F5525CE" w14:textId="77777777" w:rsidR="00B02873" w:rsidRPr="007540C3" w:rsidRDefault="00B02873" w:rsidP="00A269DB">
            <w:pPr>
              <w:pStyle w:val="TablebodyleftTables"/>
              <w:jc w:val="right"/>
              <w:rPr>
                <w:sz w:val="20"/>
                <w:szCs w:val="20"/>
              </w:rPr>
            </w:pPr>
            <w:r w:rsidRPr="007540C3">
              <w:rPr>
                <w:sz w:val="20"/>
                <w:szCs w:val="20"/>
              </w:rPr>
              <w:t xml:space="preserve">8,590,738 </w:t>
            </w:r>
          </w:p>
        </w:tc>
        <w:tc>
          <w:tcPr>
            <w:tcW w:w="1389" w:type="dxa"/>
          </w:tcPr>
          <w:p w14:paraId="70980B54" w14:textId="77777777" w:rsidR="00B02873" w:rsidRPr="007540C3" w:rsidRDefault="00B02873" w:rsidP="00A269DB">
            <w:pPr>
              <w:pStyle w:val="TablebodyleftTables"/>
              <w:jc w:val="right"/>
              <w:rPr>
                <w:sz w:val="20"/>
                <w:szCs w:val="20"/>
              </w:rPr>
            </w:pPr>
            <w:r w:rsidRPr="007540C3">
              <w:rPr>
                <w:sz w:val="20"/>
                <w:szCs w:val="20"/>
              </w:rPr>
              <w:t xml:space="preserve">4,119,251 </w:t>
            </w:r>
          </w:p>
        </w:tc>
        <w:tc>
          <w:tcPr>
            <w:tcW w:w="1304" w:type="dxa"/>
          </w:tcPr>
          <w:p w14:paraId="13F777E6" w14:textId="77777777" w:rsidR="00B02873" w:rsidRPr="007540C3" w:rsidRDefault="00B02873" w:rsidP="00A269DB">
            <w:pPr>
              <w:pStyle w:val="TablebodyleftTables"/>
              <w:jc w:val="right"/>
              <w:rPr>
                <w:sz w:val="20"/>
                <w:szCs w:val="20"/>
              </w:rPr>
            </w:pPr>
            <w:r w:rsidRPr="007540C3">
              <w:rPr>
                <w:sz w:val="20"/>
                <w:szCs w:val="20"/>
              </w:rPr>
              <w:t xml:space="preserve">2,774,367 </w:t>
            </w:r>
          </w:p>
        </w:tc>
        <w:tc>
          <w:tcPr>
            <w:tcW w:w="1442" w:type="dxa"/>
          </w:tcPr>
          <w:p w14:paraId="17BF7911" w14:textId="67C19033" w:rsidR="00B02873" w:rsidRPr="007540C3" w:rsidRDefault="007540C3" w:rsidP="00A269DB">
            <w:pPr>
              <w:pStyle w:val="TablebodyleftTables"/>
              <w:jc w:val="right"/>
              <w:rPr>
                <w:sz w:val="20"/>
                <w:szCs w:val="20"/>
              </w:rPr>
            </w:pPr>
            <w:r>
              <w:rPr>
                <w:sz w:val="20"/>
                <w:szCs w:val="20"/>
              </w:rPr>
              <w:t>–</w:t>
            </w:r>
          </w:p>
        </w:tc>
        <w:tc>
          <w:tcPr>
            <w:tcW w:w="1252" w:type="dxa"/>
          </w:tcPr>
          <w:p w14:paraId="279431BB" w14:textId="30D69767" w:rsidR="00B02873" w:rsidRPr="007540C3" w:rsidRDefault="00B02873" w:rsidP="00A269DB">
            <w:pPr>
              <w:pStyle w:val="TablebodyleftTables"/>
              <w:jc w:val="right"/>
              <w:rPr>
                <w:sz w:val="20"/>
                <w:szCs w:val="20"/>
              </w:rPr>
            </w:pPr>
            <w:r w:rsidRPr="007540C3">
              <w:rPr>
                <w:sz w:val="20"/>
                <w:szCs w:val="20"/>
              </w:rPr>
              <w:t xml:space="preserve">2,774,367 </w:t>
            </w:r>
          </w:p>
        </w:tc>
      </w:tr>
      <w:tr w:rsidR="00B02873" w:rsidRPr="007540C3" w14:paraId="07DC32F1" w14:textId="77777777" w:rsidTr="007540C3">
        <w:trPr>
          <w:trHeight w:val="60"/>
        </w:trPr>
        <w:tc>
          <w:tcPr>
            <w:tcW w:w="1106" w:type="dxa"/>
          </w:tcPr>
          <w:p w14:paraId="12F00D43" w14:textId="77777777" w:rsidR="00B02873" w:rsidRPr="007540C3" w:rsidRDefault="00B02873" w:rsidP="00B415A9">
            <w:pPr>
              <w:pStyle w:val="TablebodyleftTables"/>
              <w:rPr>
                <w:sz w:val="20"/>
                <w:szCs w:val="20"/>
              </w:rPr>
            </w:pPr>
            <w:r w:rsidRPr="007540C3">
              <w:rPr>
                <w:sz w:val="20"/>
                <w:szCs w:val="20"/>
              </w:rPr>
              <w:t>Wyndham</w:t>
            </w:r>
          </w:p>
        </w:tc>
        <w:tc>
          <w:tcPr>
            <w:tcW w:w="1311" w:type="dxa"/>
          </w:tcPr>
          <w:p w14:paraId="1E39831B" w14:textId="77777777" w:rsidR="00B02873" w:rsidRPr="007540C3" w:rsidRDefault="00B02873" w:rsidP="00A269DB">
            <w:pPr>
              <w:pStyle w:val="TablebodyleftTables"/>
              <w:jc w:val="right"/>
              <w:rPr>
                <w:sz w:val="20"/>
                <w:szCs w:val="20"/>
              </w:rPr>
            </w:pPr>
            <w:r w:rsidRPr="007540C3">
              <w:rPr>
                <w:sz w:val="20"/>
                <w:szCs w:val="20"/>
              </w:rPr>
              <w:t xml:space="preserve">85,259,998 </w:t>
            </w:r>
          </w:p>
        </w:tc>
        <w:tc>
          <w:tcPr>
            <w:tcW w:w="1160" w:type="dxa"/>
          </w:tcPr>
          <w:p w14:paraId="1F676C64" w14:textId="77777777" w:rsidR="00B02873" w:rsidRPr="007540C3" w:rsidRDefault="00B02873" w:rsidP="00A269DB">
            <w:pPr>
              <w:pStyle w:val="TablebodyleftTables"/>
              <w:jc w:val="right"/>
              <w:rPr>
                <w:sz w:val="20"/>
                <w:szCs w:val="20"/>
              </w:rPr>
            </w:pPr>
            <w:r w:rsidRPr="007540C3">
              <w:rPr>
                <w:sz w:val="20"/>
                <w:szCs w:val="20"/>
              </w:rPr>
              <w:t xml:space="preserve">114,563 </w:t>
            </w:r>
          </w:p>
        </w:tc>
        <w:tc>
          <w:tcPr>
            <w:tcW w:w="1219" w:type="dxa"/>
          </w:tcPr>
          <w:p w14:paraId="5DB5FA0A" w14:textId="77777777" w:rsidR="00B02873" w:rsidRPr="007540C3" w:rsidRDefault="00B02873" w:rsidP="00A269DB">
            <w:pPr>
              <w:pStyle w:val="TablebodyleftTables"/>
              <w:jc w:val="right"/>
              <w:rPr>
                <w:sz w:val="20"/>
                <w:szCs w:val="20"/>
              </w:rPr>
            </w:pPr>
            <w:r w:rsidRPr="007540C3">
              <w:rPr>
                <w:sz w:val="20"/>
                <w:szCs w:val="20"/>
              </w:rPr>
              <w:t xml:space="preserve">19,070,821 </w:t>
            </w:r>
          </w:p>
        </w:tc>
        <w:tc>
          <w:tcPr>
            <w:tcW w:w="1389" w:type="dxa"/>
          </w:tcPr>
          <w:p w14:paraId="294636F0" w14:textId="77777777" w:rsidR="00B02873" w:rsidRPr="007540C3" w:rsidRDefault="00B02873" w:rsidP="00A269DB">
            <w:pPr>
              <w:pStyle w:val="TablebodyleftTables"/>
              <w:jc w:val="right"/>
              <w:rPr>
                <w:sz w:val="20"/>
                <w:szCs w:val="20"/>
              </w:rPr>
            </w:pPr>
            <w:r w:rsidRPr="007540C3">
              <w:rPr>
                <w:sz w:val="20"/>
                <w:szCs w:val="20"/>
              </w:rPr>
              <w:t xml:space="preserve">18,148,743 </w:t>
            </w:r>
          </w:p>
        </w:tc>
        <w:tc>
          <w:tcPr>
            <w:tcW w:w="1304" w:type="dxa"/>
          </w:tcPr>
          <w:p w14:paraId="05B65ED9" w14:textId="77777777" w:rsidR="00B02873" w:rsidRPr="007540C3" w:rsidRDefault="00B02873" w:rsidP="00A269DB">
            <w:pPr>
              <w:pStyle w:val="TablebodyleftTables"/>
              <w:jc w:val="right"/>
              <w:rPr>
                <w:sz w:val="20"/>
                <w:szCs w:val="20"/>
              </w:rPr>
            </w:pPr>
            <w:r w:rsidRPr="007540C3">
              <w:rPr>
                <w:sz w:val="20"/>
                <w:szCs w:val="20"/>
              </w:rPr>
              <w:t xml:space="preserve">86,296,639 </w:t>
            </w:r>
          </w:p>
        </w:tc>
        <w:tc>
          <w:tcPr>
            <w:tcW w:w="1442" w:type="dxa"/>
          </w:tcPr>
          <w:p w14:paraId="40614D26" w14:textId="77777777" w:rsidR="00B02873" w:rsidRPr="007540C3" w:rsidRDefault="00B02873" w:rsidP="00A269DB">
            <w:pPr>
              <w:pStyle w:val="TablebodyleftTables"/>
              <w:jc w:val="right"/>
              <w:rPr>
                <w:sz w:val="20"/>
                <w:szCs w:val="20"/>
              </w:rPr>
            </w:pPr>
            <w:r w:rsidRPr="007540C3">
              <w:rPr>
                <w:sz w:val="20"/>
                <w:szCs w:val="20"/>
              </w:rPr>
              <w:t xml:space="preserve">1,815,300 </w:t>
            </w:r>
          </w:p>
        </w:tc>
        <w:tc>
          <w:tcPr>
            <w:tcW w:w="1252" w:type="dxa"/>
          </w:tcPr>
          <w:p w14:paraId="6FD98BFC" w14:textId="77777777" w:rsidR="00B02873" w:rsidRPr="007540C3" w:rsidRDefault="00B02873" w:rsidP="00A269DB">
            <w:pPr>
              <w:pStyle w:val="TablebodyleftTables"/>
              <w:jc w:val="right"/>
              <w:rPr>
                <w:sz w:val="20"/>
                <w:szCs w:val="20"/>
              </w:rPr>
            </w:pPr>
            <w:r w:rsidRPr="007540C3">
              <w:rPr>
                <w:sz w:val="20"/>
                <w:szCs w:val="20"/>
              </w:rPr>
              <w:t xml:space="preserve">84,481,339 </w:t>
            </w:r>
          </w:p>
        </w:tc>
      </w:tr>
      <w:tr w:rsidR="00B02873" w:rsidRPr="007540C3" w14:paraId="6FAFB450" w14:textId="77777777" w:rsidTr="007540C3">
        <w:trPr>
          <w:trHeight w:val="60"/>
        </w:trPr>
        <w:tc>
          <w:tcPr>
            <w:tcW w:w="1106" w:type="dxa"/>
          </w:tcPr>
          <w:p w14:paraId="259B0CB6" w14:textId="77777777" w:rsidR="00B02873" w:rsidRPr="007540C3" w:rsidRDefault="00B02873" w:rsidP="00B415A9">
            <w:pPr>
              <w:pStyle w:val="TableheadingleftTables"/>
              <w:rPr>
                <w:sz w:val="20"/>
                <w:szCs w:val="20"/>
              </w:rPr>
            </w:pPr>
            <w:r w:rsidRPr="007540C3">
              <w:rPr>
                <w:sz w:val="20"/>
                <w:szCs w:val="20"/>
              </w:rPr>
              <w:t>Total</w:t>
            </w:r>
          </w:p>
        </w:tc>
        <w:tc>
          <w:tcPr>
            <w:tcW w:w="1311" w:type="dxa"/>
          </w:tcPr>
          <w:p w14:paraId="48436EB2" w14:textId="77777777" w:rsidR="00B02873" w:rsidRPr="007540C3" w:rsidRDefault="00B02873" w:rsidP="00A269DB">
            <w:pPr>
              <w:pStyle w:val="TablebodyleftTables"/>
              <w:jc w:val="right"/>
              <w:rPr>
                <w:b/>
                <w:bCs/>
                <w:sz w:val="20"/>
                <w:szCs w:val="20"/>
              </w:rPr>
            </w:pPr>
            <w:r w:rsidRPr="007540C3">
              <w:rPr>
                <w:b/>
                <w:bCs/>
                <w:sz w:val="20"/>
                <w:szCs w:val="20"/>
              </w:rPr>
              <w:t xml:space="preserve">240,004,586 </w:t>
            </w:r>
          </w:p>
        </w:tc>
        <w:tc>
          <w:tcPr>
            <w:tcW w:w="1160" w:type="dxa"/>
          </w:tcPr>
          <w:p w14:paraId="5DFA6E91" w14:textId="77777777" w:rsidR="00B02873" w:rsidRPr="007540C3" w:rsidRDefault="00B02873" w:rsidP="00A269DB">
            <w:pPr>
              <w:pStyle w:val="TablebodyleftTables"/>
              <w:jc w:val="right"/>
              <w:rPr>
                <w:b/>
                <w:bCs/>
                <w:sz w:val="20"/>
                <w:szCs w:val="20"/>
              </w:rPr>
            </w:pPr>
            <w:r w:rsidRPr="007540C3">
              <w:rPr>
                <w:b/>
                <w:bCs/>
                <w:sz w:val="20"/>
                <w:szCs w:val="20"/>
              </w:rPr>
              <w:t xml:space="preserve">585,475 </w:t>
            </w:r>
          </w:p>
        </w:tc>
        <w:tc>
          <w:tcPr>
            <w:tcW w:w="1219" w:type="dxa"/>
          </w:tcPr>
          <w:p w14:paraId="6B708A96" w14:textId="77777777" w:rsidR="00B02873" w:rsidRPr="007540C3" w:rsidRDefault="00B02873" w:rsidP="00A269DB">
            <w:pPr>
              <w:pStyle w:val="TablebodyleftTables"/>
              <w:jc w:val="right"/>
              <w:rPr>
                <w:b/>
                <w:bCs/>
                <w:sz w:val="20"/>
                <w:szCs w:val="20"/>
              </w:rPr>
            </w:pPr>
            <w:r w:rsidRPr="007540C3">
              <w:rPr>
                <w:b/>
                <w:bCs/>
                <w:sz w:val="20"/>
                <w:szCs w:val="20"/>
              </w:rPr>
              <w:t xml:space="preserve">97,461,683 </w:t>
            </w:r>
          </w:p>
        </w:tc>
        <w:tc>
          <w:tcPr>
            <w:tcW w:w="1389" w:type="dxa"/>
          </w:tcPr>
          <w:p w14:paraId="57819B7F" w14:textId="77777777" w:rsidR="00B02873" w:rsidRPr="007540C3" w:rsidRDefault="00B02873" w:rsidP="00A269DB">
            <w:pPr>
              <w:pStyle w:val="TablebodyleftTables"/>
              <w:jc w:val="right"/>
              <w:rPr>
                <w:b/>
                <w:bCs/>
                <w:sz w:val="20"/>
                <w:szCs w:val="20"/>
              </w:rPr>
            </w:pPr>
            <w:r w:rsidRPr="007540C3">
              <w:rPr>
                <w:b/>
                <w:bCs/>
                <w:sz w:val="20"/>
                <w:szCs w:val="20"/>
              </w:rPr>
              <w:t xml:space="preserve">49,488,317 </w:t>
            </w:r>
          </w:p>
        </w:tc>
        <w:tc>
          <w:tcPr>
            <w:tcW w:w="1304" w:type="dxa"/>
          </w:tcPr>
          <w:p w14:paraId="22372C7B" w14:textId="77777777" w:rsidR="00B02873" w:rsidRPr="007540C3" w:rsidRDefault="00B02873" w:rsidP="00A269DB">
            <w:pPr>
              <w:pStyle w:val="TablebodyleftTables"/>
              <w:jc w:val="right"/>
              <w:rPr>
                <w:b/>
                <w:bCs/>
                <w:sz w:val="20"/>
                <w:szCs w:val="20"/>
              </w:rPr>
            </w:pPr>
            <w:r w:rsidRPr="007540C3">
              <w:rPr>
                <w:b/>
                <w:bCs/>
                <w:sz w:val="20"/>
                <w:szCs w:val="20"/>
              </w:rPr>
              <w:t xml:space="preserve">288,563,427 </w:t>
            </w:r>
          </w:p>
        </w:tc>
        <w:tc>
          <w:tcPr>
            <w:tcW w:w="1442" w:type="dxa"/>
          </w:tcPr>
          <w:p w14:paraId="39B24041" w14:textId="77777777" w:rsidR="00B02873" w:rsidRPr="007540C3" w:rsidRDefault="00B02873" w:rsidP="00A269DB">
            <w:pPr>
              <w:pStyle w:val="TablebodyleftTables"/>
              <w:jc w:val="right"/>
              <w:rPr>
                <w:b/>
                <w:bCs/>
                <w:sz w:val="20"/>
                <w:szCs w:val="20"/>
              </w:rPr>
            </w:pPr>
            <w:r w:rsidRPr="007540C3">
              <w:rPr>
                <w:b/>
                <w:bCs/>
                <w:sz w:val="20"/>
                <w:szCs w:val="20"/>
              </w:rPr>
              <w:t xml:space="preserve">18,915,300 </w:t>
            </w:r>
          </w:p>
        </w:tc>
        <w:tc>
          <w:tcPr>
            <w:tcW w:w="1252" w:type="dxa"/>
          </w:tcPr>
          <w:p w14:paraId="0657C1BA" w14:textId="77777777" w:rsidR="00B02873" w:rsidRPr="007540C3" w:rsidRDefault="00B02873" w:rsidP="00A269DB">
            <w:pPr>
              <w:pStyle w:val="TablebodyleftTables"/>
              <w:jc w:val="right"/>
              <w:rPr>
                <w:b/>
                <w:bCs/>
                <w:sz w:val="20"/>
                <w:szCs w:val="20"/>
              </w:rPr>
            </w:pPr>
            <w:r w:rsidRPr="007540C3">
              <w:rPr>
                <w:b/>
                <w:bCs/>
                <w:sz w:val="20"/>
                <w:szCs w:val="20"/>
              </w:rPr>
              <w:t xml:space="preserve">269,648,127 </w:t>
            </w:r>
          </w:p>
        </w:tc>
      </w:tr>
    </w:tbl>
    <w:p w14:paraId="42A566A9" w14:textId="77777777" w:rsidR="00B02873" w:rsidRDefault="00B02873" w:rsidP="00FE198A"/>
    <w:p w14:paraId="5E603623" w14:textId="1D538474" w:rsidR="00B02873" w:rsidRDefault="00B02873" w:rsidP="007540C3">
      <w:pPr>
        <w:pStyle w:val="Heading4"/>
      </w:pPr>
      <w:r>
        <w:lastRenderedPageBreak/>
        <w:t>Allocations and Expenditure in the</w:t>
      </w:r>
      <w:r w:rsidR="00012C04">
        <w:t xml:space="preserve"> </w:t>
      </w:r>
      <w:r>
        <w:t xml:space="preserve">2021-22 financial year </w:t>
      </w:r>
    </w:p>
    <w:p w14:paraId="2C09C744" w14:textId="77777777" w:rsidR="00B02873" w:rsidRDefault="00B02873" w:rsidP="00FE198A">
      <w:r>
        <w:t>From 1 July 2021 to 30 June 2022, $70.65 million was spent on approved projects and SRO expenses. The details of these projects are provided in the tables below. Details of projects completed in previous years are published in previous DELWP Annual Reports. Completed projects that have been paid less than the amount they were allocated were under budget. The difference is returned to the GAIC funds to be allocated to future projects.</w:t>
      </w:r>
    </w:p>
    <w:p w14:paraId="0E2E3A6C" w14:textId="77777777" w:rsidR="00B02873" w:rsidRDefault="00B02873" w:rsidP="007540C3">
      <w:pPr>
        <w:pStyle w:val="Heading4"/>
      </w:pPr>
      <w:r>
        <w:t>Cardinia Shire Council</w:t>
      </w:r>
    </w:p>
    <w:p w14:paraId="1E83F5FC" w14:textId="77777777" w:rsidR="00B02873" w:rsidRDefault="00B02873" w:rsidP="007540C3">
      <w:pPr>
        <w:pStyle w:val="TabletitleTables"/>
      </w:pPr>
      <w:r>
        <w:t>Table 9: BNCF-funded projects in Cardinia</w:t>
      </w:r>
    </w:p>
    <w:tbl>
      <w:tblPr>
        <w:tblStyle w:val="TableGrid"/>
        <w:tblW w:w="9819" w:type="dxa"/>
        <w:tblLayout w:type="fixed"/>
        <w:tblLook w:val="0020" w:firstRow="1" w:lastRow="0" w:firstColumn="0" w:lastColumn="0" w:noHBand="0" w:noVBand="0"/>
      </w:tblPr>
      <w:tblGrid>
        <w:gridCol w:w="964"/>
        <w:gridCol w:w="1474"/>
        <w:gridCol w:w="1385"/>
        <w:gridCol w:w="1205"/>
        <w:gridCol w:w="1204"/>
        <w:gridCol w:w="1204"/>
        <w:gridCol w:w="1205"/>
        <w:gridCol w:w="1178"/>
      </w:tblGrid>
      <w:tr w:rsidR="00B02873" w:rsidRPr="00B02873" w14:paraId="61C375A0" w14:textId="77777777" w:rsidTr="00774C84">
        <w:trPr>
          <w:cnfStyle w:val="100000000000" w:firstRow="1" w:lastRow="0" w:firstColumn="0" w:lastColumn="0" w:oddVBand="0" w:evenVBand="0" w:oddHBand="0" w:evenHBand="0" w:firstRowFirstColumn="0" w:firstRowLastColumn="0" w:lastRowFirstColumn="0" w:lastRowLastColumn="0"/>
          <w:trHeight w:val="60"/>
          <w:tblHeader/>
        </w:trPr>
        <w:tc>
          <w:tcPr>
            <w:tcW w:w="964" w:type="dxa"/>
          </w:tcPr>
          <w:p w14:paraId="47809997" w14:textId="77777777" w:rsidR="00B02873" w:rsidRDefault="00B02873" w:rsidP="007540C3">
            <w:pPr>
              <w:pStyle w:val="TableheadingleftTables"/>
            </w:pPr>
            <w:r>
              <w:t>Agency</w:t>
            </w:r>
          </w:p>
        </w:tc>
        <w:tc>
          <w:tcPr>
            <w:tcW w:w="1474" w:type="dxa"/>
          </w:tcPr>
          <w:p w14:paraId="2B9115EA" w14:textId="77777777" w:rsidR="00B02873" w:rsidRDefault="00B02873" w:rsidP="007540C3">
            <w:pPr>
              <w:pStyle w:val="TableheadingleftTables"/>
            </w:pPr>
            <w:r>
              <w:t>Purpose</w:t>
            </w:r>
          </w:p>
        </w:tc>
        <w:tc>
          <w:tcPr>
            <w:tcW w:w="1385" w:type="dxa"/>
          </w:tcPr>
          <w:p w14:paraId="78028699" w14:textId="77777777" w:rsidR="00B02873" w:rsidRDefault="00B02873" w:rsidP="007540C3">
            <w:pPr>
              <w:pStyle w:val="TableheadingleftTables"/>
            </w:pPr>
            <w:r>
              <w:t>Year Announced</w:t>
            </w:r>
          </w:p>
        </w:tc>
        <w:tc>
          <w:tcPr>
            <w:tcW w:w="1205" w:type="dxa"/>
          </w:tcPr>
          <w:p w14:paraId="13F29E8F" w14:textId="77777777" w:rsidR="00B02873" w:rsidRDefault="00B02873" w:rsidP="00603355">
            <w:pPr>
              <w:pStyle w:val="TableheadingleftTables"/>
              <w:jc w:val="right"/>
            </w:pPr>
            <w:r>
              <w:t>Allocated</w:t>
            </w:r>
          </w:p>
        </w:tc>
        <w:tc>
          <w:tcPr>
            <w:tcW w:w="1204" w:type="dxa"/>
          </w:tcPr>
          <w:p w14:paraId="5DB99AE8" w14:textId="77777777" w:rsidR="00B02873" w:rsidRDefault="00B02873" w:rsidP="00603355">
            <w:pPr>
              <w:pStyle w:val="TableheadingleftTables"/>
              <w:jc w:val="right"/>
            </w:pPr>
            <w:r>
              <w:t>Amount paid to 30 June 2021</w:t>
            </w:r>
          </w:p>
        </w:tc>
        <w:tc>
          <w:tcPr>
            <w:tcW w:w="1204" w:type="dxa"/>
          </w:tcPr>
          <w:p w14:paraId="347890A5" w14:textId="77777777" w:rsidR="00B02873" w:rsidRDefault="00B02873" w:rsidP="00603355">
            <w:pPr>
              <w:pStyle w:val="TableheadingleftTables"/>
              <w:jc w:val="right"/>
            </w:pPr>
            <w:r>
              <w:t>Amount paid in 2021-22</w:t>
            </w:r>
          </w:p>
        </w:tc>
        <w:tc>
          <w:tcPr>
            <w:tcW w:w="1205" w:type="dxa"/>
          </w:tcPr>
          <w:p w14:paraId="1051E608" w14:textId="77777777" w:rsidR="00B02873" w:rsidRDefault="00B02873" w:rsidP="00603355">
            <w:pPr>
              <w:pStyle w:val="TableheadingleftTables"/>
              <w:jc w:val="right"/>
            </w:pPr>
            <w:r>
              <w:t>Amount yet to be paid</w:t>
            </w:r>
          </w:p>
        </w:tc>
        <w:tc>
          <w:tcPr>
            <w:tcW w:w="1178" w:type="dxa"/>
          </w:tcPr>
          <w:p w14:paraId="30F27D73" w14:textId="77777777" w:rsidR="00B02873" w:rsidRDefault="00B02873" w:rsidP="007540C3">
            <w:pPr>
              <w:pStyle w:val="TableheadingleftTables"/>
            </w:pPr>
            <w:r>
              <w:t>Status</w:t>
            </w:r>
          </w:p>
        </w:tc>
      </w:tr>
      <w:tr w:rsidR="00B02873" w:rsidRPr="00B02873" w14:paraId="4A9BBF2E" w14:textId="77777777" w:rsidTr="00774C84">
        <w:trPr>
          <w:trHeight w:val="60"/>
        </w:trPr>
        <w:tc>
          <w:tcPr>
            <w:tcW w:w="964" w:type="dxa"/>
          </w:tcPr>
          <w:p w14:paraId="22845497" w14:textId="77777777" w:rsidR="00B02873" w:rsidRDefault="00B02873" w:rsidP="00B415A9">
            <w:pPr>
              <w:pStyle w:val="TablebodyleftTables"/>
            </w:pPr>
            <w:r>
              <w:t>DH</w:t>
            </w:r>
          </w:p>
        </w:tc>
        <w:tc>
          <w:tcPr>
            <w:tcW w:w="1474" w:type="dxa"/>
          </w:tcPr>
          <w:p w14:paraId="49ADFA0C" w14:textId="77777777" w:rsidR="00B02873" w:rsidRDefault="00B02873" w:rsidP="00774C84">
            <w:pPr>
              <w:pStyle w:val="TablebodyleftTables"/>
            </w:pPr>
            <w:r>
              <w:t>Pakenham Ambulance Station</w:t>
            </w:r>
          </w:p>
        </w:tc>
        <w:tc>
          <w:tcPr>
            <w:tcW w:w="1385" w:type="dxa"/>
          </w:tcPr>
          <w:p w14:paraId="325E8C5B" w14:textId="77777777" w:rsidR="00B02873" w:rsidRDefault="00B02873" w:rsidP="00774C84">
            <w:pPr>
              <w:pStyle w:val="TablebodyleftTables"/>
            </w:pPr>
            <w:r>
              <w:t>2016-17</w:t>
            </w:r>
          </w:p>
        </w:tc>
        <w:tc>
          <w:tcPr>
            <w:tcW w:w="1205" w:type="dxa"/>
          </w:tcPr>
          <w:p w14:paraId="703B4B68" w14:textId="77777777" w:rsidR="00B02873" w:rsidRDefault="00B02873" w:rsidP="00603355">
            <w:pPr>
              <w:pStyle w:val="TablebodyleftTables"/>
              <w:jc w:val="right"/>
            </w:pPr>
            <w:r>
              <w:t>1,100,000</w:t>
            </w:r>
          </w:p>
        </w:tc>
        <w:tc>
          <w:tcPr>
            <w:tcW w:w="1204" w:type="dxa"/>
          </w:tcPr>
          <w:p w14:paraId="2DC8D882" w14:textId="2BE2AAEF" w:rsidR="00B02873" w:rsidRDefault="00774C84" w:rsidP="00603355">
            <w:pPr>
              <w:pStyle w:val="TablebodyleftTables"/>
              <w:jc w:val="right"/>
            </w:pPr>
            <w:r>
              <w:t>–</w:t>
            </w:r>
          </w:p>
        </w:tc>
        <w:tc>
          <w:tcPr>
            <w:tcW w:w="1204" w:type="dxa"/>
          </w:tcPr>
          <w:p w14:paraId="0D26B34B" w14:textId="638B85D4" w:rsidR="00B02873" w:rsidRDefault="00774C84" w:rsidP="00603355">
            <w:pPr>
              <w:pStyle w:val="TablebodyleftTables"/>
              <w:jc w:val="right"/>
            </w:pPr>
            <w:r>
              <w:t>–</w:t>
            </w:r>
          </w:p>
        </w:tc>
        <w:tc>
          <w:tcPr>
            <w:tcW w:w="1205" w:type="dxa"/>
          </w:tcPr>
          <w:p w14:paraId="20B90357" w14:textId="77777777" w:rsidR="00B02873" w:rsidRDefault="00B02873" w:rsidP="00603355">
            <w:pPr>
              <w:pStyle w:val="TablebodyleftTables"/>
              <w:jc w:val="right"/>
            </w:pPr>
            <w:r>
              <w:t>1,100,000</w:t>
            </w:r>
          </w:p>
        </w:tc>
        <w:tc>
          <w:tcPr>
            <w:tcW w:w="1178" w:type="dxa"/>
          </w:tcPr>
          <w:p w14:paraId="74C1D1D5" w14:textId="77777777" w:rsidR="00B02873" w:rsidRDefault="00B02873" w:rsidP="00774C84">
            <w:pPr>
              <w:pStyle w:val="TablebodyleftTables"/>
            </w:pPr>
            <w:r>
              <w:t>Active</w:t>
            </w:r>
          </w:p>
        </w:tc>
      </w:tr>
      <w:tr w:rsidR="00B02873" w:rsidRPr="00B02873" w14:paraId="5C4D0B2C" w14:textId="77777777" w:rsidTr="00774C84">
        <w:trPr>
          <w:trHeight w:val="60"/>
        </w:trPr>
        <w:tc>
          <w:tcPr>
            <w:tcW w:w="964" w:type="dxa"/>
          </w:tcPr>
          <w:p w14:paraId="540229A4" w14:textId="77777777" w:rsidR="00B02873" w:rsidRDefault="00B02873" w:rsidP="00B415A9">
            <w:pPr>
              <w:pStyle w:val="TablebodyleftTables"/>
            </w:pPr>
            <w:r>
              <w:t>DJCS</w:t>
            </w:r>
          </w:p>
        </w:tc>
        <w:tc>
          <w:tcPr>
            <w:tcW w:w="1474" w:type="dxa"/>
          </w:tcPr>
          <w:p w14:paraId="720461ED" w14:textId="77777777" w:rsidR="00B02873" w:rsidRDefault="00B02873" w:rsidP="00774C84">
            <w:pPr>
              <w:pStyle w:val="TablebodyleftTables"/>
            </w:pPr>
            <w:r>
              <w:t>Emergency Services facility program for Officer</w:t>
            </w:r>
          </w:p>
        </w:tc>
        <w:tc>
          <w:tcPr>
            <w:tcW w:w="1385" w:type="dxa"/>
          </w:tcPr>
          <w:p w14:paraId="2D2DA9C6" w14:textId="77777777" w:rsidR="00B02873" w:rsidRDefault="00B02873" w:rsidP="00774C84">
            <w:pPr>
              <w:pStyle w:val="TablebodyleftTables"/>
            </w:pPr>
            <w:r>
              <w:t>2019-20 State Budget</w:t>
            </w:r>
          </w:p>
        </w:tc>
        <w:tc>
          <w:tcPr>
            <w:tcW w:w="1205" w:type="dxa"/>
          </w:tcPr>
          <w:p w14:paraId="4BD6E154" w14:textId="77777777" w:rsidR="00B02873" w:rsidRDefault="00B02873" w:rsidP="00603355">
            <w:pPr>
              <w:pStyle w:val="TablebodyleftTables"/>
              <w:jc w:val="right"/>
            </w:pPr>
            <w:r>
              <w:t>1,920,000</w:t>
            </w:r>
          </w:p>
        </w:tc>
        <w:tc>
          <w:tcPr>
            <w:tcW w:w="1204" w:type="dxa"/>
          </w:tcPr>
          <w:p w14:paraId="0D8F2989" w14:textId="77777777" w:rsidR="00B02873" w:rsidRDefault="00B02873" w:rsidP="00603355">
            <w:pPr>
              <w:pStyle w:val="TablebodyleftTables"/>
              <w:jc w:val="right"/>
            </w:pPr>
            <w:r>
              <w:t>1,920,000</w:t>
            </w:r>
          </w:p>
        </w:tc>
        <w:tc>
          <w:tcPr>
            <w:tcW w:w="1204" w:type="dxa"/>
          </w:tcPr>
          <w:p w14:paraId="48393453" w14:textId="10FCC023" w:rsidR="00B02873" w:rsidRDefault="00774C84" w:rsidP="00603355">
            <w:pPr>
              <w:pStyle w:val="TablebodyleftTables"/>
              <w:jc w:val="right"/>
            </w:pPr>
            <w:r>
              <w:t>–</w:t>
            </w:r>
          </w:p>
        </w:tc>
        <w:tc>
          <w:tcPr>
            <w:tcW w:w="1205" w:type="dxa"/>
          </w:tcPr>
          <w:p w14:paraId="55993FE6" w14:textId="24BD1F50" w:rsidR="00B02873" w:rsidRDefault="00774C84" w:rsidP="00603355">
            <w:pPr>
              <w:pStyle w:val="TablebodyleftTables"/>
              <w:jc w:val="right"/>
            </w:pPr>
            <w:r>
              <w:t>–</w:t>
            </w:r>
          </w:p>
        </w:tc>
        <w:tc>
          <w:tcPr>
            <w:tcW w:w="1178" w:type="dxa"/>
          </w:tcPr>
          <w:p w14:paraId="73353C09" w14:textId="77777777" w:rsidR="00B02873" w:rsidRDefault="00B02873" w:rsidP="00774C84">
            <w:pPr>
              <w:pStyle w:val="TablebodyleftTables"/>
            </w:pPr>
            <w:r>
              <w:t>Active</w:t>
            </w:r>
          </w:p>
        </w:tc>
      </w:tr>
      <w:tr w:rsidR="00B02873" w:rsidRPr="00B02873" w14:paraId="0B9F2C47" w14:textId="77777777" w:rsidTr="00774C84">
        <w:trPr>
          <w:trHeight w:val="60"/>
        </w:trPr>
        <w:tc>
          <w:tcPr>
            <w:tcW w:w="964" w:type="dxa"/>
          </w:tcPr>
          <w:p w14:paraId="12B27206" w14:textId="77777777" w:rsidR="00B02873" w:rsidRDefault="00B02873" w:rsidP="00B415A9">
            <w:pPr>
              <w:pStyle w:val="TableheadingleftTables"/>
            </w:pPr>
            <w:r>
              <w:t>Total</w:t>
            </w:r>
          </w:p>
        </w:tc>
        <w:tc>
          <w:tcPr>
            <w:tcW w:w="1474" w:type="dxa"/>
          </w:tcPr>
          <w:p w14:paraId="62CD1E41" w14:textId="77777777" w:rsidR="00B02873" w:rsidRPr="00774C84" w:rsidRDefault="00B02873" w:rsidP="00774C84">
            <w:pPr>
              <w:pStyle w:val="TablebodyleftTables"/>
              <w:rPr>
                <w:b/>
                <w:bCs/>
              </w:rPr>
            </w:pPr>
          </w:p>
        </w:tc>
        <w:tc>
          <w:tcPr>
            <w:tcW w:w="1385" w:type="dxa"/>
          </w:tcPr>
          <w:p w14:paraId="720E87CA" w14:textId="77777777" w:rsidR="00B02873" w:rsidRPr="00774C84" w:rsidRDefault="00B02873" w:rsidP="00774C84">
            <w:pPr>
              <w:pStyle w:val="TablebodyleftTables"/>
              <w:rPr>
                <w:b/>
                <w:bCs/>
              </w:rPr>
            </w:pPr>
          </w:p>
        </w:tc>
        <w:tc>
          <w:tcPr>
            <w:tcW w:w="1205" w:type="dxa"/>
          </w:tcPr>
          <w:p w14:paraId="327C4AF7" w14:textId="77777777" w:rsidR="00B02873" w:rsidRPr="00774C84" w:rsidRDefault="00B02873" w:rsidP="00603355">
            <w:pPr>
              <w:pStyle w:val="TablebodyleftTables"/>
              <w:jc w:val="right"/>
              <w:rPr>
                <w:b/>
                <w:bCs/>
              </w:rPr>
            </w:pPr>
            <w:r w:rsidRPr="00774C84">
              <w:rPr>
                <w:b/>
                <w:bCs/>
              </w:rPr>
              <w:t>3,020,000</w:t>
            </w:r>
          </w:p>
        </w:tc>
        <w:tc>
          <w:tcPr>
            <w:tcW w:w="1204" w:type="dxa"/>
          </w:tcPr>
          <w:p w14:paraId="6554C5DD" w14:textId="77777777" w:rsidR="00B02873" w:rsidRPr="00774C84" w:rsidRDefault="00B02873" w:rsidP="00603355">
            <w:pPr>
              <w:pStyle w:val="TablebodyleftTables"/>
              <w:jc w:val="right"/>
              <w:rPr>
                <w:b/>
                <w:bCs/>
              </w:rPr>
            </w:pPr>
            <w:r w:rsidRPr="00774C84">
              <w:rPr>
                <w:b/>
                <w:bCs/>
              </w:rPr>
              <w:t>1,920,000</w:t>
            </w:r>
          </w:p>
        </w:tc>
        <w:tc>
          <w:tcPr>
            <w:tcW w:w="1204" w:type="dxa"/>
          </w:tcPr>
          <w:p w14:paraId="00378ADA" w14:textId="4131BA8E" w:rsidR="00B02873" w:rsidRPr="00774C84" w:rsidRDefault="00774C84" w:rsidP="00603355">
            <w:pPr>
              <w:pStyle w:val="TablebodyleftTables"/>
              <w:jc w:val="right"/>
              <w:rPr>
                <w:b/>
                <w:bCs/>
              </w:rPr>
            </w:pPr>
            <w:r w:rsidRPr="00774C84">
              <w:rPr>
                <w:b/>
                <w:bCs/>
              </w:rPr>
              <w:t>–</w:t>
            </w:r>
          </w:p>
        </w:tc>
        <w:tc>
          <w:tcPr>
            <w:tcW w:w="1205" w:type="dxa"/>
          </w:tcPr>
          <w:p w14:paraId="6DD67F52" w14:textId="77777777" w:rsidR="00B02873" w:rsidRPr="00774C84" w:rsidRDefault="00B02873" w:rsidP="00603355">
            <w:pPr>
              <w:pStyle w:val="TablebodyleftTables"/>
              <w:jc w:val="right"/>
              <w:rPr>
                <w:b/>
                <w:bCs/>
              </w:rPr>
            </w:pPr>
            <w:r w:rsidRPr="00774C84">
              <w:rPr>
                <w:b/>
                <w:bCs/>
              </w:rPr>
              <w:t>1,100,000</w:t>
            </w:r>
          </w:p>
        </w:tc>
        <w:tc>
          <w:tcPr>
            <w:tcW w:w="1178" w:type="dxa"/>
          </w:tcPr>
          <w:p w14:paraId="58DF5A7C" w14:textId="77777777" w:rsidR="00B02873" w:rsidRPr="00774C84" w:rsidRDefault="00B02873" w:rsidP="00774C84">
            <w:pPr>
              <w:pStyle w:val="TablebodyleftTables"/>
              <w:rPr>
                <w:b/>
                <w:bCs/>
              </w:rPr>
            </w:pPr>
          </w:p>
        </w:tc>
      </w:tr>
    </w:tbl>
    <w:p w14:paraId="7472627A" w14:textId="77777777" w:rsidR="00B02873" w:rsidRDefault="00B02873" w:rsidP="00FE198A"/>
    <w:p w14:paraId="6338D57C" w14:textId="77777777" w:rsidR="00B02873" w:rsidRDefault="00B02873" w:rsidP="00774C84">
      <w:pPr>
        <w:pStyle w:val="TabletitleTables"/>
      </w:pPr>
      <w:r>
        <w:t>Table 10. GAPTF-funded projects in Cardinia</w:t>
      </w:r>
    </w:p>
    <w:tbl>
      <w:tblPr>
        <w:tblStyle w:val="TableGrid"/>
        <w:tblW w:w="9823" w:type="dxa"/>
        <w:tblLayout w:type="fixed"/>
        <w:tblLook w:val="0020" w:firstRow="1" w:lastRow="0" w:firstColumn="0" w:lastColumn="0" w:noHBand="0" w:noVBand="0"/>
      </w:tblPr>
      <w:tblGrid>
        <w:gridCol w:w="964"/>
        <w:gridCol w:w="1474"/>
        <w:gridCol w:w="1385"/>
        <w:gridCol w:w="1200"/>
        <w:gridCol w:w="1200"/>
        <w:gridCol w:w="1200"/>
        <w:gridCol w:w="1200"/>
        <w:gridCol w:w="1200"/>
      </w:tblGrid>
      <w:tr w:rsidR="00B02873" w:rsidRPr="00B02873" w14:paraId="169E6B2F" w14:textId="77777777" w:rsidTr="00774C84">
        <w:trPr>
          <w:cnfStyle w:val="100000000000" w:firstRow="1" w:lastRow="0" w:firstColumn="0" w:lastColumn="0" w:oddVBand="0" w:evenVBand="0" w:oddHBand="0" w:evenHBand="0" w:firstRowFirstColumn="0" w:firstRowLastColumn="0" w:lastRowFirstColumn="0" w:lastRowLastColumn="0"/>
          <w:trHeight w:val="60"/>
        </w:trPr>
        <w:tc>
          <w:tcPr>
            <w:tcW w:w="964" w:type="dxa"/>
          </w:tcPr>
          <w:p w14:paraId="1662D6EF" w14:textId="77777777" w:rsidR="00B02873" w:rsidRDefault="00B02873" w:rsidP="00774C84">
            <w:pPr>
              <w:pStyle w:val="TableheadingleftTables"/>
            </w:pPr>
            <w:r>
              <w:t>Agency</w:t>
            </w:r>
          </w:p>
        </w:tc>
        <w:tc>
          <w:tcPr>
            <w:tcW w:w="1474" w:type="dxa"/>
          </w:tcPr>
          <w:p w14:paraId="68DC3CFA" w14:textId="77777777" w:rsidR="00B02873" w:rsidRDefault="00B02873" w:rsidP="00774C84">
            <w:pPr>
              <w:pStyle w:val="TableheadingleftTables"/>
            </w:pPr>
            <w:r>
              <w:t>Purpose</w:t>
            </w:r>
          </w:p>
        </w:tc>
        <w:tc>
          <w:tcPr>
            <w:tcW w:w="1385" w:type="dxa"/>
          </w:tcPr>
          <w:p w14:paraId="641C3ED3" w14:textId="77777777" w:rsidR="00B02873" w:rsidRDefault="00B02873" w:rsidP="00774C84">
            <w:pPr>
              <w:pStyle w:val="TableheadingleftTables"/>
            </w:pPr>
            <w:r>
              <w:t>Year Announced</w:t>
            </w:r>
          </w:p>
        </w:tc>
        <w:tc>
          <w:tcPr>
            <w:tcW w:w="1200" w:type="dxa"/>
          </w:tcPr>
          <w:p w14:paraId="2AA31618" w14:textId="77777777" w:rsidR="00B02873" w:rsidRDefault="00B02873" w:rsidP="00603355">
            <w:pPr>
              <w:pStyle w:val="TableheadingleftTables"/>
              <w:jc w:val="right"/>
            </w:pPr>
            <w:r>
              <w:t>Allocated</w:t>
            </w:r>
          </w:p>
        </w:tc>
        <w:tc>
          <w:tcPr>
            <w:tcW w:w="1200" w:type="dxa"/>
          </w:tcPr>
          <w:p w14:paraId="4D9370B5" w14:textId="77777777" w:rsidR="00B02873" w:rsidRDefault="00B02873" w:rsidP="00603355">
            <w:pPr>
              <w:pStyle w:val="TableheadingleftTables"/>
              <w:jc w:val="right"/>
            </w:pPr>
            <w:r>
              <w:t>Amount paid to 30 June 2021</w:t>
            </w:r>
          </w:p>
        </w:tc>
        <w:tc>
          <w:tcPr>
            <w:tcW w:w="1200" w:type="dxa"/>
          </w:tcPr>
          <w:p w14:paraId="2C57AF5D" w14:textId="77777777" w:rsidR="00B02873" w:rsidRDefault="00B02873" w:rsidP="00603355">
            <w:pPr>
              <w:pStyle w:val="TableheadingleftTables"/>
              <w:jc w:val="right"/>
            </w:pPr>
            <w:r>
              <w:t>Amount paid in 2021-22</w:t>
            </w:r>
          </w:p>
        </w:tc>
        <w:tc>
          <w:tcPr>
            <w:tcW w:w="1200" w:type="dxa"/>
          </w:tcPr>
          <w:p w14:paraId="3AEF53EF" w14:textId="77777777" w:rsidR="00B02873" w:rsidRDefault="00B02873" w:rsidP="00603355">
            <w:pPr>
              <w:pStyle w:val="TableheadingleftTables"/>
              <w:jc w:val="right"/>
            </w:pPr>
            <w:r>
              <w:t>Amount yet to be paid</w:t>
            </w:r>
          </w:p>
        </w:tc>
        <w:tc>
          <w:tcPr>
            <w:tcW w:w="1200" w:type="dxa"/>
          </w:tcPr>
          <w:p w14:paraId="0A73C6CD" w14:textId="77777777" w:rsidR="00B02873" w:rsidRDefault="00B02873" w:rsidP="00774C84">
            <w:pPr>
              <w:pStyle w:val="TableheadingleftTables"/>
            </w:pPr>
            <w:r>
              <w:t>Status</w:t>
            </w:r>
          </w:p>
        </w:tc>
      </w:tr>
      <w:tr w:rsidR="00B02873" w:rsidRPr="00B02873" w14:paraId="58FD6EA2" w14:textId="77777777" w:rsidTr="00774C84">
        <w:trPr>
          <w:trHeight w:val="60"/>
        </w:trPr>
        <w:tc>
          <w:tcPr>
            <w:tcW w:w="964" w:type="dxa"/>
          </w:tcPr>
          <w:p w14:paraId="5682B334" w14:textId="77777777" w:rsidR="00B02873" w:rsidRDefault="00B02873" w:rsidP="00B415A9">
            <w:pPr>
              <w:pStyle w:val="TablebodyleftTables"/>
            </w:pPr>
            <w:r>
              <w:t>DoT</w:t>
            </w:r>
          </w:p>
        </w:tc>
        <w:tc>
          <w:tcPr>
            <w:tcW w:w="1474" w:type="dxa"/>
          </w:tcPr>
          <w:p w14:paraId="6F21B684" w14:textId="77777777" w:rsidR="00B02873" w:rsidRPr="00774C84" w:rsidRDefault="00B02873" w:rsidP="00774C84">
            <w:pPr>
              <w:pStyle w:val="TablebodyleftTables"/>
            </w:pPr>
            <w:r w:rsidRPr="00774C84">
              <w:t>Pakenham Bus Interchange</w:t>
            </w:r>
          </w:p>
        </w:tc>
        <w:tc>
          <w:tcPr>
            <w:tcW w:w="1385" w:type="dxa"/>
          </w:tcPr>
          <w:p w14:paraId="7B63E3FB" w14:textId="77777777" w:rsidR="00B02873" w:rsidRPr="00774C84" w:rsidRDefault="00B02873" w:rsidP="00774C84">
            <w:pPr>
              <w:pStyle w:val="TablebodyleftTables"/>
            </w:pPr>
            <w:r w:rsidRPr="00774C84">
              <w:t>2017-18</w:t>
            </w:r>
          </w:p>
        </w:tc>
        <w:tc>
          <w:tcPr>
            <w:tcW w:w="1200" w:type="dxa"/>
          </w:tcPr>
          <w:p w14:paraId="422E021B" w14:textId="77777777" w:rsidR="00B02873" w:rsidRPr="00774C84" w:rsidRDefault="00B02873" w:rsidP="00603355">
            <w:pPr>
              <w:pStyle w:val="TablebodyleftTables"/>
              <w:jc w:val="right"/>
            </w:pPr>
            <w:r w:rsidRPr="00774C84">
              <w:t>1,000,000</w:t>
            </w:r>
          </w:p>
        </w:tc>
        <w:tc>
          <w:tcPr>
            <w:tcW w:w="1200" w:type="dxa"/>
          </w:tcPr>
          <w:p w14:paraId="7A138B44" w14:textId="77777777" w:rsidR="00B02873" w:rsidRPr="00774C84" w:rsidRDefault="00B02873" w:rsidP="00603355">
            <w:pPr>
              <w:pStyle w:val="TablebodyleftTables"/>
              <w:jc w:val="right"/>
            </w:pPr>
            <w:r w:rsidRPr="00774C84">
              <w:t>120,000</w:t>
            </w:r>
          </w:p>
        </w:tc>
        <w:tc>
          <w:tcPr>
            <w:tcW w:w="1200" w:type="dxa"/>
          </w:tcPr>
          <w:p w14:paraId="5AD29827" w14:textId="2384C375" w:rsidR="00B02873" w:rsidRPr="00774C84" w:rsidRDefault="00774C84" w:rsidP="00603355">
            <w:pPr>
              <w:pStyle w:val="TablebodyleftTables"/>
              <w:jc w:val="right"/>
            </w:pPr>
            <w:r>
              <w:t>–</w:t>
            </w:r>
          </w:p>
        </w:tc>
        <w:tc>
          <w:tcPr>
            <w:tcW w:w="1200" w:type="dxa"/>
          </w:tcPr>
          <w:p w14:paraId="5C23F219" w14:textId="7AAD4024" w:rsidR="00B02873" w:rsidRPr="00774C84" w:rsidRDefault="00774C84" w:rsidP="00603355">
            <w:pPr>
              <w:pStyle w:val="TablebodyleftTables"/>
              <w:jc w:val="right"/>
            </w:pPr>
            <w:r>
              <w:t>–</w:t>
            </w:r>
          </w:p>
        </w:tc>
        <w:tc>
          <w:tcPr>
            <w:tcW w:w="1200" w:type="dxa"/>
          </w:tcPr>
          <w:p w14:paraId="6A0B926E" w14:textId="77777777" w:rsidR="00B02873" w:rsidRPr="00774C84" w:rsidRDefault="00B02873" w:rsidP="00774C84">
            <w:pPr>
              <w:pStyle w:val="TablebodyleftTables"/>
            </w:pPr>
            <w:r w:rsidRPr="00774C84">
              <w:t>Cancelled</w:t>
            </w:r>
          </w:p>
        </w:tc>
      </w:tr>
      <w:tr w:rsidR="00B02873" w:rsidRPr="00B02873" w14:paraId="598D63CB" w14:textId="77777777" w:rsidTr="00774C84">
        <w:trPr>
          <w:trHeight w:val="60"/>
        </w:trPr>
        <w:tc>
          <w:tcPr>
            <w:tcW w:w="964" w:type="dxa"/>
          </w:tcPr>
          <w:p w14:paraId="0D8A338B" w14:textId="77777777" w:rsidR="00B02873" w:rsidRDefault="00B02873" w:rsidP="00B415A9">
            <w:pPr>
              <w:pStyle w:val="TableheadingleftTables"/>
            </w:pPr>
            <w:r>
              <w:t>Total</w:t>
            </w:r>
          </w:p>
        </w:tc>
        <w:tc>
          <w:tcPr>
            <w:tcW w:w="1474" w:type="dxa"/>
          </w:tcPr>
          <w:p w14:paraId="09E80430" w14:textId="77777777" w:rsidR="00B02873" w:rsidRPr="00774C84" w:rsidRDefault="00B02873" w:rsidP="00774C84">
            <w:pPr>
              <w:pStyle w:val="TablebodyleftTables"/>
              <w:rPr>
                <w:b/>
                <w:bCs/>
              </w:rPr>
            </w:pPr>
          </w:p>
        </w:tc>
        <w:tc>
          <w:tcPr>
            <w:tcW w:w="1385" w:type="dxa"/>
          </w:tcPr>
          <w:p w14:paraId="24F54AC1" w14:textId="77777777" w:rsidR="00B02873" w:rsidRPr="00774C84" w:rsidRDefault="00B02873" w:rsidP="00774C84">
            <w:pPr>
              <w:pStyle w:val="TablebodyleftTables"/>
              <w:rPr>
                <w:b/>
                <w:bCs/>
              </w:rPr>
            </w:pPr>
          </w:p>
        </w:tc>
        <w:tc>
          <w:tcPr>
            <w:tcW w:w="1200" w:type="dxa"/>
          </w:tcPr>
          <w:p w14:paraId="7141931F" w14:textId="77777777" w:rsidR="00B02873" w:rsidRPr="00774C84" w:rsidRDefault="00B02873" w:rsidP="00603355">
            <w:pPr>
              <w:pStyle w:val="TablebodyleftTables"/>
              <w:jc w:val="right"/>
              <w:rPr>
                <w:b/>
                <w:bCs/>
              </w:rPr>
            </w:pPr>
            <w:r w:rsidRPr="00774C84">
              <w:rPr>
                <w:b/>
                <w:bCs/>
              </w:rPr>
              <w:t>1,000,000</w:t>
            </w:r>
          </w:p>
        </w:tc>
        <w:tc>
          <w:tcPr>
            <w:tcW w:w="1200" w:type="dxa"/>
          </w:tcPr>
          <w:p w14:paraId="7BB5F143" w14:textId="77777777" w:rsidR="00B02873" w:rsidRPr="00774C84" w:rsidRDefault="00B02873" w:rsidP="00603355">
            <w:pPr>
              <w:pStyle w:val="TablebodyleftTables"/>
              <w:jc w:val="right"/>
              <w:rPr>
                <w:b/>
                <w:bCs/>
              </w:rPr>
            </w:pPr>
            <w:r w:rsidRPr="00774C84">
              <w:rPr>
                <w:b/>
                <w:bCs/>
              </w:rPr>
              <w:t>120,000</w:t>
            </w:r>
          </w:p>
        </w:tc>
        <w:tc>
          <w:tcPr>
            <w:tcW w:w="1200" w:type="dxa"/>
          </w:tcPr>
          <w:p w14:paraId="0DF591DA" w14:textId="424C912E" w:rsidR="00B02873" w:rsidRPr="00774C84" w:rsidRDefault="00774C84" w:rsidP="00603355">
            <w:pPr>
              <w:pStyle w:val="TablebodyleftTables"/>
              <w:jc w:val="right"/>
              <w:rPr>
                <w:b/>
                <w:bCs/>
              </w:rPr>
            </w:pPr>
            <w:r w:rsidRPr="00774C84">
              <w:rPr>
                <w:b/>
                <w:bCs/>
              </w:rPr>
              <w:t>–</w:t>
            </w:r>
          </w:p>
        </w:tc>
        <w:tc>
          <w:tcPr>
            <w:tcW w:w="1200" w:type="dxa"/>
          </w:tcPr>
          <w:p w14:paraId="20E90B13" w14:textId="7251897C" w:rsidR="00B02873" w:rsidRPr="00774C84" w:rsidRDefault="00774C84" w:rsidP="00603355">
            <w:pPr>
              <w:pStyle w:val="TablebodyleftTables"/>
              <w:jc w:val="right"/>
              <w:rPr>
                <w:b/>
                <w:bCs/>
              </w:rPr>
            </w:pPr>
            <w:r w:rsidRPr="00774C84">
              <w:rPr>
                <w:b/>
                <w:bCs/>
              </w:rPr>
              <w:t>–</w:t>
            </w:r>
          </w:p>
        </w:tc>
        <w:tc>
          <w:tcPr>
            <w:tcW w:w="1200" w:type="dxa"/>
          </w:tcPr>
          <w:p w14:paraId="275A9831" w14:textId="77777777" w:rsidR="00B02873" w:rsidRPr="00774C84" w:rsidRDefault="00B02873" w:rsidP="00774C84">
            <w:pPr>
              <w:pStyle w:val="TablebodyleftTables"/>
              <w:rPr>
                <w:b/>
                <w:bCs/>
              </w:rPr>
            </w:pPr>
          </w:p>
        </w:tc>
      </w:tr>
    </w:tbl>
    <w:p w14:paraId="78C24F2A" w14:textId="77777777" w:rsidR="00B02873" w:rsidRDefault="00B02873" w:rsidP="00774C84">
      <w:pPr>
        <w:pStyle w:val="SourceNote"/>
      </w:pPr>
      <w:r>
        <w:t>* Project cancelled as upgrade works are no longer required due to a new Pakenham Station being built.</w:t>
      </w:r>
    </w:p>
    <w:p w14:paraId="5163FBFD" w14:textId="77777777" w:rsidR="00B02873" w:rsidRDefault="00B02873" w:rsidP="00774C84">
      <w:pPr>
        <w:pStyle w:val="Heading4"/>
      </w:pPr>
      <w:r>
        <w:t>Casey City Council</w:t>
      </w:r>
    </w:p>
    <w:p w14:paraId="03C6EAF6" w14:textId="77777777" w:rsidR="00B02873" w:rsidRDefault="00B02873" w:rsidP="00774C84">
      <w:pPr>
        <w:pStyle w:val="TabletitleTables"/>
      </w:pPr>
      <w:r>
        <w:t>Table 11. BNCF-funded projects in Casey</w:t>
      </w:r>
    </w:p>
    <w:tbl>
      <w:tblPr>
        <w:tblStyle w:val="TableGrid"/>
        <w:tblW w:w="9896" w:type="dxa"/>
        <w:tblLayout w:type="fixed"/>
        <w:tblLook w:val="0020" w:firstRow="1" w:lastRow="0" w:firstColumn="0" w:lastColumn="0" w:noHBand="0" w:noVBand="0"/>
      </w:tblPr>
      <w:tblGrid>
        <w:gridCol w:w="964"/>
        <w:gridCol w:w="1474"/>
        <w:gridCol w:w="1385"/>
        <w:gridCol w:w="1275"/>
        <w:gridCol w:w="1200"/>
        <w:gridCol w:w="1199"/>
        <w:gridCol w:w="1200"/>
        <w:gridCol w:w="1199"/>
      </w:tblGrid>
      <w:tr w:rsidR="00B02873" w:rsidRPr="00222E36" w14:paraId="1877C7AC" w14:textId="77777777" w:rsidTr="00222E36">
        <w:trPr>
          <w:cnfStyle w:val="100000000000" w:firstRow="1" w:lastRow="0" w:firstColumn="0" w:lastColumn="0" w:oddVBand="0" w:evenVBand="0" w:oddHBand="0" w:evenHBand="0" w:firstRowFirstColumn="0" w:firstRowLastColumn="0" w:lastRowFirstColumn="0" w:lastRowLastColumn="0"/>
          <w:trHeight w:val="60"/>
          <w:tblHeader/>
        </w:trPr>
        <w:tc>
          <w:tcPr>
            <w:tcW w:w="964" w:type="dxa"/>
          </w:tcPr>
          <w:p w14:paraId="01308EE0" w14:textId="77777777" w:rsidR="00B02873" w:rsidRPr="00222E36" w:rsidRDefault="00B02873" w:rsidP="00774C84">
            <w:pPr>
              <w:pStyle w:val="TableheadingleftTables"/>
              <w:rPr>
                <w:sz w:val="20"/>
                <w:szCs w:val="16"/>
              </w:rPr>
            </w:pPr>
            <w:r w:rsidRPr="00222E36">
              <w:rPr>
                <w:sz w:val="20"/>
                <w:szCs w:val="16"/>
              </w:rPr>
              <w:t>Agency</w:t>
            </w:r>
          </w:p>
        </w:tc>
        <w:tc>
          <w:tcPr>
            <w:tcW w:w="1474" w:type="dxa"/>
          </w:tcPr>
          <w:p w14:paraId="3EE5E0FF" w14:textId="77777777" w:rsidR="00B02873" w:rsidRPr="00222E36" w:rsidRDefault="00B02873" w:rsidP="00774C84">
            <w:pPr>
              <w:pStyle w:val="TableheadingleftTables"/>
              <w:rPr>
                <w:sz w:val="20"/>
                <w:szCs w:val="16"/>
              </w:rPr>
            </w:pPr>
            <w:r w:rsidRPr="00222E36">
              <w:rPr>
                <w:sz w:val="20"/>
                <w:szCs w:val="16"/>
              </w:rPr>
              <w:t>Purpose</w:t>
            </w:r>
          </w:p>
        </w:tc>
        <w:tc>
          <w:tcPr>
            <w:tcW w:w="1385" w:type="dxa"/>
          </w:tcPr>
          <w:p w14:paraId="13F56444" w14:textId="77777777" w:rsidR="00B02873" w:rsidRPr="00222E36" w:rsidRDefault="00B02873" w:rsidP="00603355">
            <w:pPr>
              <w:pStyle w:val="TableheadingleftTables"/>
              <w:jc w:val="right"/>
              <w:rPr>
                <w:sz w:val="20"/>
                <w:szCs w:val="16"/>
              </w:rPr>
            </w:pPr>
            <w:r w:rsidRPr="00222E36">
              <w:rPr>
                <w:sz w:val="20"/>
                <w:szCs w:val="16"/>
              </w:rPr>
              <w:t>Year Announced</w:t>
            </w:r>
          </w:p>
        </w:tc>
        <w:tc>
          <w:tcPr>
            <w:tcW w:w="1275" w:type="dxa"/>
          </w:tcPr>
          <w:p w14:paraId="48144A89" w14:textId="77777777" w:rsidR="00B02873" w:rsidRPr="00222E36" w:rsidRDefault="00B02873" w:rsidP="00603355">
            <w:pPr>
              <w:pStyle w:val="TableheadingleftTables"/>
              <w:jc w:val="right"/>
              <w:rPr>
                <w:sz w:val="20"/>
                <w:szCs w:val="16"/>
              </w:rPr>
            </w:pPr>
            <w:r w:rsidRPr="00222E36">
              <w:rPr>
                <w:sz w:val="20"/>
                <w:szCs w:val="16"/>
              </w:rPr>
              <w:t>Allocated</w:t>
            </w:r>
          </w:p>
        </w:tc>
        <w:tc>
          <w:tcPr>
            <w:tcW w:w="1200" w:type="dxa"/>
          </w:tcPr>
          <w:p w14:paraId="4D7C4EB3" w14:textId="77777777" w:rsidR="00B02873" w:rsidRPr="00222E36" w:rsidRDefault="00B02873" w:rsidP="00603355">
            <w:pPr>
              <w:pStyle w:val="TableheadingleftTables"/>
              <w:jc w:val="right"/>
              <w:rPr>
                <w:sz w:val="20"/>
                <w:szCs w:val="16"/>
              </w:rPr>
            </w:pPr>
            <w:r w:rsidRPr="00222E36">
              <w:rPr>
                <w:sz w:val="20"/>
                <w:szCs w:val="16"/>
              </w:rPr>
              <w:t>Amount paid to 30 June 2021</w:t>
            </w:r>
          </w:p>
        </w:tc>
        <w:tc>
          <w:tcPr>
            <w:tcW w:w="1199" w:type="dxa"/>
          </w:tcPr>
          <w:p w14:paraId="34E3F634" w14:textId="77777777" w:rsidR="00B02873" w:rsidRPr="00222E36" w:rsidRDefault="00B02873" w:rsidP="00603355">
            <w:pPr>
              <w:pStyle w:val="TableheadingleftTables"/>
              <w:jc w:val="right"/>
              <w:rPr>
                <w:sz w:val="20"/>
                <w:szCs w:val="16"/>
              </w:rPr>
            </w:pPr>
            <w:r w:rsidRPr="00222E36">
              <w:rPr>
                <w:sz w:val="20"/>
                <w:szCs w:val="16"/>
              </w:rPr>
              <w:t>Amount paid in 2021-22</w:t>
            </w:r>
          </w:p>
        </w:tc>
        <w:tc>
          <w:tcPr>
            <w:tcW w:w="1200" w:type="dxa"/>
          </w:tcPr>
          <w:p w14:paraId="2869062E" w14:textId="77777777" w:rsidR="00B02873" w:rsidRPr="00222E36" w:rsidRDefault="00B02873" w:rsidP="00603355">
            <w:pPr>
              <w:pStyle w:val="TableheadingleftTables"/>
              <w:jc w:val="right"/>
              <w:rPr>
                <w:sz w:val="20"/>
                <w:szCs w:val="16"/>
              </w:rPr>
            </w:pPr>
            <w:r w:rsidRPr="00222E36">
              <w:rPr>
                <w:sz w:val="20"/>
                <w:szCs w:val="16"/>
              </w:rPr>
              <w:t>Amount yet to be paid</w:t>
            </w:r>
          </w:p>
        </w:tc>
        <w:tc>
          <w:tcPr>
            <w:tcW w:w="1199" w:type="dxa"/>
          </w:tcPr>
          <w:p w14:paraId="601ECBA8" w14:textId="77777777" w:rsidR="00B02873" w:rsidRPr="00222E36" w:rsidRDefault="00B02873" w:rsidP="00774C84">
            <w:pPr>
              <w:pStyle w:val="TableheadingleftTables"/>
              <w:rPr>
                <w:sz w:val="20"/>
                <w:szCs w:val="16"/>
              </w:rPr>
            </w:pPr>
            <w:r w:rsidRPr="00222E36">
              <w:rPr>
                <w:sz w:val="20"/>
                <w:szCs w:val="16"/>
              </w:rPr>
              <w:t>Status</w:t>
            </w:r>
          </w:p>
        </w:tc>
      </w:tr>
      <w:tr w:rsidR="00B02873" w:rsidRPr="00222E36" w14:paraId="3024E61F" w14:textId="77777777" w:rsidTr="00222E36">
        <w:trPr>
          <w:trHeight w:val="60"/>
        </w:trPr>
        <w:tc>
          <w:tcPr>
            <w:tcW w:w="964" w:type="dxa"/>
          </w:tcPr>
          <w:p w14:paraId="4633CA94" w14:textId="77777777" w:rsidR="00B02873" w:rsidRPr="00222E36" w:rsidRDefault="00B02873" w:rsidP="00222E36">
            <w:pPr>
              <w:pStyle w:val="TablebodyleftTables"/>
              <w:rPr>
                <w:sz w:val="20"/>
              </w:rPr>
            </w:pPr>
            <w:r w:rsidRPr="00222E36">
              <w:rPr>
                <w:sz w:val="20"/>
              </w:rPr>
              <w:t>VicRoads</w:t>
            </w:r>
          </w:p>
        </w:tc>
        <w:tc>
          <w:tcPr>
            <w:tcW w:w="1474" w:type="dxa"/>
          </w:tcPr>
          <w:p w14:paraId="4BEF7957" w14:textId="77777777" w:rsidR="00B02873" w:rsidRPr="00222E36" w:rsidRDefault="00B02873" w:rsidP="00222E36">
            <w:pPr>
              <w:pStyle w:val="TablebodyleftTables"/>
              <w:rPr>
                <w:sz w:val="20"/>
              </w:rPr>
            </w:pPr>
            <w:r w:rsidRPr="00222E36">
              <w:rPr>
                <w:sz w:val="20"/>
              </w:rPr>
              <w:t>Berwick-Cranbourne Rd intersection</w:t>
            </w:r>
          </w:p>
        </w:tc>
        <w:tc>
          <w:tcPr>
            <w:tcW w:w="1385" w:type="dxa"/>
          </w:tcPr>
          <w:p w14:paraId="3D0ED5D3" w14:textId="77777777" w:rsidR="00B02873" w:rsidRPr="00222E36" w:rsidRDefault="00B02873" w:rsidP="00603355">
            <w:pPr>
              <w:pStyle w:val="TablebodyleftTables"/>
              <w:jc w:val="right"/>
              <w:rPr>
                <w:sz w:val="20"/>
              </w:rPr>
            </w:pPr>
            <w:r w:rsidRPr="00222E36">
              <w:rPr>
                <w:sz w:val="20"/>
              </w:rPr>
              <w:t>2018-19</w:t>
            </w:r>
          </w:p>
        </w:tc>
        <w:tc>
          <w:tcPr>
            <w:tcW w:w="1275" w:type="dxa"/>
          </w:tcPr>
          <w:p w14:paraId="7D2DC39C" w14:textId="77777777" w:rsidR="00B02873" w:rsidRPr="00222E36" w:rsidRDefault="00B02873" w:rsidP="00603355">
            <w:pPr>
              <w:pStyle w:val="TablebodyleftTables"/>
              <w:jc w:val="right"/>
              <w:rPr>
                <w:sz w:val="20"/>
              </w:rPr>
            </w:pPr>
            <w:r w:rsidRPr="00222E36">
              <w:rPr>
                <w:sz w:val="20"/>
              </w:rPr>
              <w:t>3,800,000</w:t>
            </w:r>
          </w:p>
        </w:tc>
        <w:tc>
          <w:tcPr>
            <w:tcW w:w="1200" w:type="dxa"/>
          </w:tcPr>
          <w:p w14:paraId="5FB62E35" w14:textId="77777777" w:rsidR="00B02873" w:rsidRPr="00222E36" w:rsidRDefault="00B02873" w:rsidP="00603355">
            <w:pPr>
              <w:pStyle w:val="TablebodyleftTables"/>
              <w:jc w:val="right"/>
              <w:rPr>
                <w:sz w:val="20"/>
              </w:rPr>
            </w:pPr>
            <w:r w:rsidRPr="00222E36">
              <w:rPr>
                <w:sz w:val="20"/>
              </w:rPr>
              <w:t>3,800,000</w:t>
            </w:r>
          </w:p>
        </w:tc>
        <w:tc>
          <w:tcPr>
            <w:tcW w:w="1199" w:type="dxa"/>
          </w:tcPr>
          <w:p w14:paraId="6B178EE1" w14:textId="5A1CD70A" w:rsidR="00B02873" w:rsidRPr="00222E36" w:rsidRDefault="00222E36" w:rsidP="00603355">
            <w:pPr>
              <w:pStyle w:val="TablebodyleftTables"/>
              <w:jc w:val="right"/>
              <w:rPr>
                <w:sz w:val="20"/>
              </w:rPr>
            </w:pPr>
            <w:r w:rsidRPr="00222E36">
              <w:rPr>
                <w:sz w:val="20"/>
              </w:rPr>
              <w:t>–</w:t>
            </w:r>
          </w:p>
        </w:tc>
        <w:tc>
          <w:tcPr>
            <w:tcW w:w="1200" w:type="dxa"/>
          </w:tcPr>
          <w:p w14:paraId="01D12F99" w14:textId="1BCEC522" w:rsidR="00B02873" w:rsidRPr="00222E36" w:rsidRDefault="00222E36" w:rsidP="00603355">
            <w:pPr>
              <w:pStyle w:val="TablebodyleftTables"/>
              <w:jc w:val="right"/>
              <w:rPr>
                <w:sz w:val="20"/>
              </w:rPr>
            </w:pPr>
            <w:r w:rsidRPr="00222E36">
              <w:rPr>
                <w:sz w:val="20"/>
              </w:rPr>
              <w:t>–</w:t>
            </w:r>
          </w:p>
        </w:tc>
        <w:tc>
          <w:tcPr>
            <w:tcW w:w="1199" w:type="dxa"/>
          </w:tcPr>
          <w:p w14:paraId="511BBCC0" w14:textId="77777777" w:rsidR="00B02873" w:rsidRPr="00222E36" w:rsidRDefault="00B02873" w:rsidP="00222E36">
            <w:pPr>
              <w:pStyle w:val="TablebodyleftTables"/>
              <w:rPr>
                <w:sz w:val="20"/>
              </w:rPr>
            </w:pPr>
            <w:r w:rsidRPr="00222E36">
              <w:rPr>
                <w:sz w:val="20"/>
              </w:rPr>
              <w:t>Active</w:t>
            </w:r>
          </w:p>
        </w:tc>
      </w:tr>
      <w:tr w:rsidR="00B02873" w:rsidRPr="00222E36" w14:paraId="097E4AA3" w14:textId="77777777" w:rsidTr="00222E36">
        <w:trPr>
          <w:trHeight w:val="60"/>
        </w:trPr>
        <w:tc>
          <w:tcPr>
            <w:tcW w:w="964" w:type="dxa"/>
          </w:tcPr>
          <w:p w14:paraId="129D11F9" w14:textId="77777777" w:rsidR="00B02873" w:rsidRPr="00222E36" w:rsidRDefault="00B02873" w:rsidP="00222E36">
            <w:pPr>
              <w:pStyle w:val="TablebodyleftTables"/>
              <w:rPr>
                <w:sz w:val="20"/>
              </w:rPr>
            </w:pPr>
            <w:r w:rsidRPr="00222E36">
              <w:rPr>
                <w:sz w:val="20"/>
              </w:rPr>
              <w:t>FRV</w:t>
            </w:r>
          </w:p>
        </w:tc>
        <w:tc>
          <w:tcPr>
            <w:tcW w:w="1474" w:type="dxa"/>
          </w:tcPr>
          <w:p w14:paraId="2EC747B6" w14:textId="77777777" w:rsidR="00B02873" w:rsidRPr="00222E36" w:rsidRDefault="00B02873" w:rsidP="00222E36">
            <w:pPr>
              <w:pStyle w:val="TablebodyleftTables"/>
              <w:rPr>
                <w:sz w:val="20"/>
              </w:rPr>
            </w:pPr>
            <w:r w:rsidRPr="00222E36">
              <w:rPr>
                <w:sz w:val="20"/>
              </w:rPr>
              <w:t>Clyde North Fire Station construction</w:t>
            </w:r>
          </w:p>
        </w:tc>
        <w:tc>
          <w:tcPr>
            <w:tcW w:w="1385" w:type="dxa"/>
          </w:tcPr>
          <w:p w14:paraId="2E16EB2F" w14:textId="77777777" w:rsidR="00B02873" w:rsidRPr="00222E36" w:rsidRDefault="00B02873" w:rsidP="00603355">
            <w:pPr>
              <w:pStyle w:val="TablebodyleftTables"/>
              <w:jc w:val="right"/>
              <w:rPr>
                <w:sz w:val="20"/>
              </w:rPr>
            </w:pPr>
            <w:r w:rsidRPr="00222E36">
              <w:rPr>
                <w:sz w:val="20"/>
              </w:rPr>
              <w:t>2018-19</w:t>
            </w:r>
          </w:p>
        </w:tc>
        <w:tc>
          <w:tcPr>
            <w:tcW w:w="1275" w:type="dxa"/>
          </w:tcPr>
          <w:p w14:paraId="40492A4A" w14:textId="77777777" w:rsidR="00B02873" w:rsidRPr="00222E36" w:rsidRDefault="00B02873" w:rsidP="00603355">
            <w:pPr>
              <w:pStyle w:val="TablebodyleftTables"/>
              <w:jc w:val="right"/>
              <w:rPr>
                <w:sz w:val="20"/>
              </w:rPr>
            </w:pPr>
            <w:r w:rsidRPr="00222E36">
              <w:rPr>
                <w:sz w:val="20"/>
              </w:rPr>
              <w:t>8,520,000</w:t>
            </w:r>
          </w:p>
        </w:tc>
        <w:tc>
          <w:tcPr>
            <w:tcW w:w="1200" w:type="dxa"/>
          </w:tcPr>
          <w:p w14:paraId="51E825E9" w14:textId="2E5A8505" w:rsidR="00B02873" w:rsidRPr="00222E36" w:rsidRDefault="00222E36" w:rsidP="00603355">
            <w:pPr>
              <w:pStyle w:val="TablebodyleftTables"/>
              <w:jc w:val="right"/>
              <w:rPr>
                <w:sz w:val="20"/>
              </w:rPr>
            </w:pPr>
            <w:r w:rsidRPr="00222E36">
              <w:rPr>
                <w:sz w:val="20"/>
              </w:rPr>
              <w:t>–</w:t>
            </w:r>
          </w:p>
        </w:tc>
        <w:tc>
          <w:tcPr>
            <w:tcW w:w="1199" w:type="dxa"/>
          </w:tcPr>
          <w:p w14:paraId="52032AFE" w14:textId="77777777" w:rsidR="00B02873" w:rsidRPr="00222E36" w:rsidRDefault="00B02873" w:rsidP="00603355">
            <w:pPr>
              <w:pStyle w:val="TablebodyleftTables"/>
              <w:jc w:val="right"/>
              <w:rPr>
                <w:sz w:val="20"/>
              </w:rPr>
            </w:pPr>
            <w:r w:rsidRPr="00222E36">
              <w:rPr>
                <w:sz w:val="20"/>
              </w:rPr>
              <w:t>1,050,000</w:t>
            </w:r>
          </w:p>
        </w:tc>
        <w:tc>
          <w:tcPr>
            <w:tcW w:w="1200" w:type="dxa"/>
          </w:tcPr>
          <w:p w14:paraId="5E9539D3" w14:textId="77777777" w:rsidR="00B02873" w:rsidRPr="00222E36" w:rsidRDefault="00B02873" w:rsidP="00603355">
            <w:pPr>
              <w:pStyle w:val="TablebodyleftTables"/>
              <w:jc w:val="right"/>
              <w:rPr>
                <w:sz w:val="20"/>
              </w:rPr>
            </w:pPr>
            <w:r w:rsidRPr="00222E36">
              <w:rPr>
                <w:sz w:val="20"/>
              </w:rPr>
              <w:t>7,470,000</w:t>
            </w:r>
          </w:p>
        </w:tc>
        <w:tc>
          <w:tcPr>
            <w:tcW w:w="1199" w:type="dxa"/>
          </w:tcPr>
          <w:p w14:paraId="1DD82E8B" w14:textId="77777777" w:rsidR="00B02873" w:rsidRPr="00222E36" w:rsidRDefault="00B02873" w:rsidP="00222E36">
            <w:pPr>
              <w:pStyle w:val="TablebodyleftTables"/>
              <w:rPr>
                <w:sz w:val="20"/>
              </w:rPr>
            </w:pPr>
            <w:r w:rsidRPr="00222E36">
              <w:rPr>
                <w:sz w:val="20"/>
              </w:rPr>
              <w:t>Active</w:t>
            </w:r>
          </w:p>
        </w:tc>
      </w:tr>
      <w:tr w:rsidR="00B02873" w:rsidRPr="00222E36" w14:paraId="08D4A7C1" w14:textId="77777777" w:rsidTr="00222E36">
        <w:trPr>
          <w:trHeight w:val="60"/>
        </w:trPr>
        <w:tc>
          <w:tcPr>
            <w:tcW w:w="964" w:type="dxa"/>
          </w:tcPr>
          <w:p w14:paraId="4D021546" w14:textId="77777777" w:rsidR="00B02873" w:rsidRPr="00222E36" w:rsidRDefault="00B02873" w:rsidP="00222E36">
            <w:pPr>
              <w:pStyle w:val="TablebodyleftTables"/>
              <w:rPr>
                <w:sz w:val="20"/>
              </w:rPr>
            </w:pPr>
            <w:r w:rsidRPr="00222E36">
              <w:rPr>
                <w:sz w:val="20"/>
              </w:rPr>
              <w:lastRenderedPageBreak/>
              <w:t>DET</w:t>
            </w:r>
          </w:p>
        </w:tc>
        <w:tc>
          <w:tcPr>
            <w:tcW w:w="1474" w:type="dxa"/>
          </w:tcPr>
          <w:p w14:paraId="63F6F1E6" w14:textId="77777777" w:rsidR="00B02873" w:rsidRPr="00222E36" w:rsidRDefault="00B02873" w:rsidP="00222E36">
            <w:pPr>
              <w:pStyle w:val="TablebodyleftTables"/>
              <w:rPr>
                <w:sz w:val="20"/>
              </w:rPr>
            </w:pPr>
            <w:r w:rsidRPr="00222E36">
              <w:rPr>
                <w:sz w:val="20"/>
              </w:rPr>
              <w:t>Clyde Primary School (improving existing schools</w:t>
            </w:r>
          </w:p>
        </w:tc>
        <w:tc>
          <w:tcPr>
            <w:tcW w:w="1385" w:type="dxa"/>
          </w:tcPr>
          <w:p w14:paraId="13AAEBBC" w14:textId="77777777" w:rsidR="00B02873" w:rsidRPr="00222E36" w:rsidRDefault="00B02873" w:rsidP="00603355">
            <w:pPr>
              <w:pStyle w:val="TablebodyleftTables"/>
              <w:jc w:val="right"/>
              <w:rPr>
                <w:sz w:val="20"/>
              </w:rPr>
            </w:pPr>
            <w:r w:rsidRPr="00222E36">
              <w:rPr>
                <w:sz w:val="20"/>
              </w:rPr>
              <w:t>2019-20 State Budget</w:t>
            </w:r>
          </w:p>
        </w:tc>
        <w:tc>
          <w:tcPr>
            <w:tcW w:w="1275" w:type="dxa"/>
          </w:tcPr>
          <w:p w14:paraId="1F224358" w14:textId="77777777" w:rsidR="00B02873" w:rsidRPr="00222E36" w:rsidRDefault="00B02873" w:rsidP="00603355">
            <w:pPr>
              <w:pStyle w:val="TablebodyleftTables"/>
              <w:jc w:val="right"/>
              <w:rPr>
                <w:sz w:val="20"/>
              </w:rPr>
            </w:pPr>
            <w:r w:rsidRPr="00222E36">
              <w:rPr>
                <w:sz w:val="20"/>
              </w:rPr>
              <w:t>2,280,000</w:t>
            </w:r>
          </w:p>
        </w:tc>
        <w:tc>
          <w:tcPr>
            <w:tcW w:w="1200" w:type="dxa"/>
          </w:tcPr>
          <w:p w14:paraId="007E5BB8" w14:textId="77777777" w:rsidR="00B02873" w:rsidRPr="00222E36" w:rsidRDefault="00B02873" w:rsidP="00603355">
            <w:pPr>
              <w:pStyle w:val="TablebodyleftTables"/>
              <w:jc w:val="right"/>
              <w:rPr>
                <w:sz w:val="20"/>
              </w:rPr>
            </w:pPr>
            <w:r w:rsidRPr="00222E36">
              <w:rPr>
                <w:sz w:val="20"/>
              </w:rPr>
              <w:t>2,280,000</w:t>
            </w:r>
          </w:p>
        </w:tc>
        <w:tc>
          <w:tcPr>
            <w:tcW w:w="1199" w:type="dxa"/>
          </w:tcPr>
          <w:p w14:paraId="0A913FAB" w14:textId="1C57EC2B" w:rsidR="00B02873" w:rsidRPr="00222E36" w:rsidRDefault="00222E36" w:rsidP="00603355">
            <w:pPr>
              <w:pStyle w:val="TablebodyleftTables"/>
              <w:jc w:val="right"/>
              <w:rPr>
                <w:sz w:val="20"/>
              </w:rPr>
            </w:pPr>
            <w:r w:rsidRPr="00222E36">
              <w:rPr>
                <w:sz w:val="20"/>
              </w:rPr>
              <w:t>–</w:t>
            </w:r>
          </w:p>
        </w:tc>
        <w:tc>
          <w:tcPr>
            <w:tcW w:w="1200" w:type="dxa"/>
          </w:tcPr>
          <w:p w14:paraId="014441D7" w14:textId="2F3F83D0" w:rsidR="00B02873" w:rsidRPr="00222E36" w:rsidRDefault="00222E36" w:rsidP="00603355">
            <w:pPr>
              <w:pStyle w:val="TablebodyleftTables"/>
              <w:jc w:val="right"/>
              <w:rPr>
                <w:sz w:val="20"/>
              </w:rPr>
            </w:pPr>
            <w:r w:rsidRPr="00222E36">
              <w:rPr>
                <w:sz w:val="20"/>
              </w:rPr>
              <w:t>–</w:t>
            </w:r>
          </w:p>
        </w:tc>
        <w:tc>
          <w:tcPr>
            <w:tcW w:w="1199" w:type="dxa"/>
          </w:tcPr>
          <w:p w14:paraId="329E955C" w14:textId="77777777" w:rsidR="00B02873" w:rsidRPr="00222E36" w:rsidRDefault="00B02873" w:rsidP="00222E36">
            <w:pPr>
              <w:pStyle w:val="TablebodyleftTables"/>
              <w:rPr>
                <w:sz w:val="20"/>
              </w:rPr>
            </w:pPr>
            <w:r w:rsidRPr="00222E36">
              <w:rPr>
                <w:sz w:val="20"/>
              </w:rPr>
              <w:t>Active</w:t>
            </w:r>
          </w:p>
        </w:tc>
      </w:tr>
      <w:tr w:rsidR="00B02873" w:rsidRPr="00222E36" w14:paraId="6E2D5076" w14:textId="77777777" w:rsidTr="00222E36">
        <w:trPr>
          <w:trHeight w:val="60"/>
        </w:trPr>
        <w:tc>
          <w:tcPr>
            <w:tcW w:w="964" w:type="dxa"/>
          </w:tcPr>
          <w:p w14:paraId="61345CB8" w14:textId="77777777" w:rsidR="00B02873" w:rsidRPr="00222E36" w:rsidRDefault="00B02873" w:rsidP="00222E36">
            <w:pPr>
              <w:pStyle w:val="TablebodyleftTables"/>
              <w:rPr>
                <w:sz w:val="20"/>
              </w:rPr>
            </w:pPr>
            <w:r w:rsidRPr="00222E36">
              <w:rPr>
                <w:sz w:val="20"/>
              </w:rPr>
              <w:t>DET</w:t>
            </w:r>
          </w:p>
        </w:tc>
        <w:tc>
          <w:tcPr>
            <w:tcW w:w="1474" w:type="dxa"/>
          </w:tcPr>
          <w:p w14:paraId="30D5F53B" w14:textId="77777777" w:rsidR="00B02873" w:rsidRPr="00222E36" w:rsidRDefault="00B02873" w:rsidP="00222E36">
            <w:pPr>
              <w:pStyle w:val="TablebodyleftTables"/>
              <w:rPr>
                <w:sz w:val="20"/>
              </w:rPr>
            </w:pPr>
            <w:r w:rsidRPr="00222E36">
              <w:rPr>
                <w:sz w:val="20"/>
              </w:rPr>
              <w:t>Cranbourne Secondary College</w:t>
            </w:r>
          </w:p>
        </w:tc>
        <w:tc>
          <w:tcPr>
            <w:tcW w:w="1385" w:type="dxa"/>
          </w:tcPr>
          <w:p w14:paraId="1B2DB1FA" w14:textId="77777777" w:rsidR="00B02873" w:rsidRPr="00222E36" w:rsidRDefault="00B02873" w:rsidP="00603355">
            <w:pPr>
              <w:pStyle w:val="TablebodyleftTables"/>
              <w:jc w:val="right"/>
              <w:rPr>
                <w:sz w:val="20"/>
              </w:rPr>
            </w:pPr>
            <w:r w:rsidRPr="00222E36">
              <w:rPr>
                <w:sz w:val="20"/>
              </w:rPr>
              <w:t>2019-20 State Budget</w:t>
            </w:r>
          </w:p>
        </w:tc>
        <w:tc>
          <w:tcPr>
            <w:tcW w:w="1275" w:type="dxa"/>
          </w:tcPr>
          <w:p w14:paraId="4311799E" w14:textId="77777777" w:rsidR="00B02873" w:rsidRPr="00222E36" w:rsidRDefault="00B02873" w:rsidP="00603355">
            <w:pPr>
              <w:pStyle w:val="TablebodyleftTables"/>
              <w:jc w:val="right"/>
              <w:rPr>
                <w:sz w:val="20"/>
              </w:rPr>
            </w:pPr>
            <w:r w:rsidRPr="00222E36">
              <w:rPr>
                <w:sz w:val="20"/>
              </w:rPr>
              <w:t>662,000</w:t>
            </w:r>
          </w:p>
        </w:tc>
        <w:tc>
          <w:tcPr>
            <w:tcW w:w="1200" w:type="dxa"/>
          </w:tcPr>
          <w:p w14:paraId="10738C46" w14:textId="77777777" w:rsidR="00B02873" w:rsidRPr="00222E36" w:rsidRDefault="00B02873" w:rsidP="00603355">
            <w:pPr>
              <w:pStyle w:val="TablebodyleftTables"/>
              <w:jc w:val="right"/>
              <w:rPr>
                <w:sz w:val="20"/>
              </w:rPr>
            </w:pPr>
            <w:r w:rsidRPr="00222E36">
              <w:rPr>
                <w:sz w:val="20"/>
              </w:rPr>
              <w:t>662,000</w:t>
            </w:r>
          </w:p>
        </w:tc>
        <w:tc>
          <w:tcPr>
            <w:tcW w:w="1199" w:type="dxa"/>
          </w:tcPr>
          <w:p w14:paraId="3BD92628" w14:textId="135B1B23" w:rsidR="00B02873" w:rsidRPr="00222E36" w:rsidRDefault="00222E36" w:rsidP="00603355">
            <w:pPr>
              <w:pStyle w:val="TablebodyleftTables"/>
              <w:jc w:val="right"/>
              <w:rPr>
                <w:sz w:val="20"/>
              </w:rPr>
            </w:pPr>
            <w:r w:rsidRPr="00222E36">
              <w:rPr>
                <w:sz w:val="20"/>
              </w:rPr>
              <w:t>–</w:t>
            </w:r>
          </w:p>
        </w:tc>
        <w:tc>
          <w:tcPr>
            <w:tcW w:w="1200" w:type="dxa"/>
          </w:tcPr>
          <w:p w14:paraId="1499A660" w14:textId="201438D0" w:rsidR="00B02873" w:rsidRPr="00222E36" w:rsidRDefault="00222E36" w:rsidP="00603355">
            <w:pPr>
              <w:pStyle w:val="TablebodyleftTables"/>
              <w:jc w:val="right"/>
              <w:rPr>
                <w:sz w:val="20"/>
              </w:rPr>
            </w:pPr>
            <w:r w:rsidRPr="00222E36">
              <w:rPr>
                <w:sz w:val="20"/>
              </w:rPr>
              <w:t>–</w:t>
            </w:r>
          </w:p>
        </w:tc>
        <w:tc>
          <w:tcPr>
            <w:tcW w:w="1199" w:type="dxa"/>
          </w:tcPr>
          <w:p w14:paraId="65905C2E" w14:textId="77777777" w:rsidR="00B02873" w:rsidRPr="00222E36" w:rsidRDefault="00B02873" w:rsidP="00222E36">
            <w:pPr>
              <w:pStyle w:val="TablebodyleftTables"/>
              <w:rPr>
                <w:sz w:val="20"/>
              </w:rPr>
            </w:pPr>
            <w:r w:rsidRPr="00222E36">
              <w:rPr>
                <w:sz w:val="20"/>
              </w:rPr>
              <w:t>Complete</w:t>
            </w:r>
          </w:p>
        </w:tc>
      </w:tr>
      <w:tr w:rsidR="00B02873" w:rsidRPr="00222E36" w14:paraId="5551D399" w14:textId="77777777" w:rsidTr="00222E36">
        <w:trPr>
          <w:trHeight w:val="60"/>
        </w:trPr>
        <w:tc>
          <w:tcPr>
            <w:tcW w:w="964" w:type="dxa"/>
          </w:tcPr>
          <w:p w14:paraId="5B74B374" w14:textId="77777777" w:rsidR="00B02873" w:rsidRPr="00222E36" w:rsidRDefault="00B02873" w:rsidP="00222E36">
            <w:pPr>
              <w:pStyle w:val="TablebodyleftTables"/>
              <w:rPr>
                <w:sz w:val="20"/>
              </w:rPr>
            </w:pPr>
            <w:r w:rsidRPr="00222E36">
              <w:rPr>
                <w:sz w:val="20"/>
              </w:rPr>
              <w:t>DJCS</w:t>
            </w:r>
          </w:p>
        </w:tc>
        <w:tc>
          <w:tcPr>
            <w:tcW w:w="1474" w:type="dxa"/>
          </w:tcPr>
          <w:p w14:paraId="27155B42" w14:textId="77777777" w:rsidR="00B02873" w:rsidRPr="00222E36" w:rsidRDefault="00B02873" w:rsidP="00222E36">
            <w:pPr>
              <w:pStyle w:val="TablebodyleftTables"/>
              <w:rPr>
                <w:sz w:val="20"/>
              </w:rPr>
            </w:pPr>
            <w:r w:rsidRPr="00222E36">
              <w:rPr>
                <w:sz w:val="20"/>
              </w:rPr>
              <w:t>Emergency Services facility program for Cranbourne</w:t>
            </w:r>
          </w:p>
        </w:tc>
        <w:tc>
          <w:tcPr>
            <w:tcW w:w="1385" w:type="dxa"/>
          </w:tcPr>
          <w:p w14:paraId="795ABEF3" w14:textId="77777777" w:rsidR="00B02873" w:rsidRPr="00222E36" w:rsidRDefault="00B02873" w:rsidP="00603355">
            <w:pPr>
              <w:pStyle w:val="TablebodyleftTables"/>
              <w:jc w:val="right"/>
              <w:rPr>
                <w:sz w:val="20"/>
              </w:rPr>
            </w:pPr>
            <w:r w:rsidRPr="00222E36">
              <w:rPr>
                <w:sz w:val="20"/>
              </w:rPr>
              <w:t>2019-20 State Budget</w:t>
            </w:r>
          </w:p>
        </w:tc>
        <w:tc>
          <w:tcPr>
            <w:tcW w:w="1275" w:type="dxa"/>
          </w:tcPr>
          <w:p w14:paraId="295C7786" w14:textId="77777777" w:rsidR="00B02873" w:rsidRPr="00222E36" w:rsidRDefault="00B02873" w:rsidP="00603355">
            <w:pPr>
              <w:pStyle w:val="TablebodyleftTables"/>
              <w:jc w:val="right"/>
              <w:rPr>
                <w:sz w:val="20"/>
              </w:rPr>
            </w:pPr>
            <w:r w:rsidRPr="00222E36">
              <w:rPr>
                <w:sz w:val="20"/>
              </w:rPr>
              <w:t>2,130,000</w:t>
            </w:r>
          </w:p>
        </w:tc>
        <w:tc>
          <w:tcPr>
            <w:tcW w:w="1200" w:type="dxa"/>
          </w:tcPr>
          <w:p w14:paraId="5B622446" w14:textId="77777777" w:rsidR="00B02873" w:rsidRPr="00222E36" w:rsidRDefault="00B02873" w:rsidP="00603355">
            <w:pPr>
              <w:pStyle w:val="TablebodyleftTables"/>
              <w:jc w:val="right"/>
              <w:rPr>
                <w:sz w:val="20"/>
              </w:rPr>
            </w:pPr>
            <w:r w:rsidRPr="00222E36">
              <w:rPr>
                <w:sz w:val="20"/>
              </w:rPr>
              <w:t>1,580,000</w:t>
            </w:r>
          </w:p>
        </w:tc>
        <w:tc>
          <w:tcPr>
            <w:tcW w:w="1199" w:type="dxa"/>
          </w:tcPr>
          <w:p w14:paraId="5F166E0A" w14:textId="77777777" w:rsidR="00B02873" w:rsidRPr="00222E36" w:rsidRDefault="00B02873" w:rsidP="00603355">
            <w:pPr>
              <w:pStyle w:val="TablebodyleftTables"/>
              <w:jc w:val="right"/>
              <w:rPr>
                <w:sz w:val="20"/>
              </w:rPr>
            </w:pPr>
            <w:r w:rsidRPr="00222E36">
              <w:rPr>
                <w:sz w:val="20"/>
              </w:rPr>
              <w:t>550,000</w:t>
            </w:r>
          </w:p>
        </w:tc>
        <w:tc>
          <w:tcPr>
            <w:tcW w:w="1200" w:type="dxa"/>
          </w:tcPr>
          <w:p w14:paraId="7A8862F3" w14:textId="379F6188" w:rsidR="00B02873" w:rsidRPr="00222E36" w:rsidRDefault="00222E36" w:rsidP="00603355">
            <w:pPr>
              <w:pStyle w:val="TablebodyleftTables"/>
              <w:jc w:val="right"/>
              <w:rPr>
                <w:sz w:val="20"/>
              </w:rPr>
            </w:pPr>
            <w:r w:rsidRPr="00222E36">
              <w:rPr>
                <w:sz w:val="20"/>
              </w:rPr>
              <w:t>–</w:t>
            </w:r>
          </w:p>
        </w:tc>
        <w:tc>
          <w:tcPr>
            <w:tcW w:w="1199" w:type="dxa"/>
          </w:tcPr>
          <w:p w14:paraId="5D490501" w14:textId="77777777" w:rsidR="00B02873" w:rsidRPr="00222E36" w:rsidRDefault="00B02873" w:rsidP="00222E36">
            <w:pPr>
              <w:pStyle w:val="TablebodyleftTables"/>
              <w:rPr>
                <w:sz w:val="20"/>
              </w:rPr>
            </w:pPr>
            <w:r w:rsidRPr="00222E36">
              <w:rPr>
                <w:sz w:val="20"/>
              </w:rPr>
              <w:t>Active</w:t>
            </w:r>
          </w:p>
        </w:tc>
      </w:tr>
      <w:tr w:rsidR="00B02873" w:rsidRPr="00222E36" w14:paraId="5EFDEA47" w14:textId="77777777" w:rsidTr="00222E36">
        <w:trPr>
          <w:trHeight w:val="60"/>
        </w:trPr>
        <w:tc>
          <w:tcPr>
            <w:tcW w:w="964" w:type="dxa"/>
          </w:tcPr>
          <w:p w14:paraId="3F2F856D" w14:textId="77777777" w:rsidR="00B02873" w:rsidRPr="00222E36" w:rsidRDefault="00B02873" w:rsidP="00222E36">
            <w:pPr>
              <w:pStyle w:val="TablebodyleftTables"/>
              <w:rPr>
                <w:sz w:val="20"/>
              </w:rPr>
            </w:pPr>
            <w:r w:rsidRPr="00222E36">
              <w:rPr>
                <w:sz w:val="20"/>
              </w:rPr>
              <w:t>DJCS</w:t>
            </w:r>
          </w:p>
        </w:tc>
        <w:tc>
          <w:tcPr>
            <w:tcW w:w="1474" w:type="dxa"/>
          </w:tcPr>
          <w:p w14:paraId="1D1E6F35" w14:textId="77777777" w:rsidR="00B02873" w:rsidRPr="00222E36" w:rsidRDefault="00B02873" w:rsidP="00222E36">
            <w:pPr>
              <w:pStyle w:val="TablebodyleftTables"/>
              <w:rPr>
                <w:sz w:val="20"/>
              </w:rPr>
            </w:pPr>
            <w:r w:rsidRPr="00222E36">
              <w:rPr>
                <w:sz w:val="20"/>
              </w:rPr>
              <w:t>Emergency Services facility program for Clyde</w:t>
            </w:r>
          </w:p>
        </w:tc>
        <w:tc>
          <w:tcPr>
            <w:tcW w:w="1385" w:type="dxa"/>
          </w:tcPr>
          <w:p w14:paraId="339CF81B" w14:textId="77777777" w:rsidR="00B02873" w:rsidRPr="00222E36" w:rsidRDefault="00B02873" w:rsidP="00603355">
            <w:pPr>
              <w:pStyle w:val="TablebodyleftTables"/>
              <w:jc w:val="right"/>
              <w:rPr>
                <w:sz w:val="20"/>
              </w:rPr>
            </w:pPr>
            <w:r w:rsidRPr="00222E36">
              <w:rPr>
                <w:sz w:val="20"/>
              </w:rPr>
              <w:t>2019-20 State Budget</w:t>
            </w:r>
          </w:p>
        </w:tc>
        <w:tc>
          <w:tcPr>
            <w:tcW w:w="1275" w:type="dxa"/>
          </w:tcPr>
          <w:p w14:paraId="27E6F1F6" w14:textId="77777777" w:rsidR="00B02873" w:rsidRPr="00222E36" w:rsidRDefault="00B02873" w:rsidP="00603355">
            <w:pPr>
              <w:pStyle w:val="TablebodyleftTables"/>
              <w:jc w:val="right"/>
              <w:rPr>
                <w:sz w:val="20"/>
              </w:rPr>
            </w:pPr>
            <w:r w:rsidRPr="00222E36">
              <w:rPr>
                <w:sz w:val="20"/>
              </w:rPr>
              <w:t>2,410,000</w:t>
            </w:r>
          </w:p>
        </w:tc>
        <w:tc>
          <w:tcPr>
            <w:tcW w:w="1200" w:type="dxa"/>
          </w:tcPr>
          <w:p w14:paraId="61DD2F26" w14:textId="77777777" w:rsidR="00B02873" w:rsidRPr="00222E36" w:rsidRDefault="00B02873" w:rsidP="00603355">
            <w:pPr>
              <w:pStyle w:val="TablebodyleftTables"/>
              <w:jc w:val="right"/>
              <w:rPr>
                <w:sz w:val="20"/>
              </w:rPr>
            </w:pPr>
            <w:r w:rsidRPr="00222E36">
              <w:rPr>
                <w:sz w:val="20"/>
              </w:rPr>
              <w:t>610,000</w:t>
            </w:r>
          </w:p>
        </w:tc>
        <w:tc>
          <w:tcPr>
            <w:tcW w:w="1199" w:type="dxa"/>
          </w:tcPr>
          <w:p w14:paraId="7D66BB43" w14:textId="4D955EC3" w:rsidR="00B02873" w:rsidRPr="00222E36" w:rsidRDefault="00222E36" w:rsidP="00603355">
            <w:pPr>
              <w:pStyle w:val="TablebodyleftTables"/>
              <w:jc w:val="right"/>
              <w:rPr>
                <w:sz w:val="20"/>
              </w:rPr>
            </w:pPr>
            <w:r w:rsidRPr="00222E36">
              <w:rPr>
                <w:sz w:val="20"/>
              </w:rPr>
              <w:t>–</w:t>
            </w:r>
          </w:p>
        </w:tc>
        <w:tc>
          <w:tcPr>
            <w:tcW w:w="1200" w:type="dxa"/>
          </w:tcPr>
          <w:p w14:paraId="692B0035" w14:textId="77777777" w:rsidR="00B02873" w:rsidRPr="00222E36" w:rsidRDefault="00B02873" w:rsidP="00603355">
            <w:pPr>
              <w:pStyle w:val="TablebodyleftTables"/>
              <w:jc w:val="right"/>
              <w:rPr>
                <w:sz w:val="20"/>
              </w:rPr>
            </w:pPr>
            <w:r w:rsidRPr="00222E36">
              <w:rPr>
                <w:sz w:val="20"/>
              </w:rPr>
              <w:t>1,800,000</w:t>
            </w:r>
          </w:p>
        </w:tc>
        <w:tc>
          <w:tcPr>
            <w:tcW w:w="1199" w:type="dxa"/>
          </w:tcPr>
          <w:p w14:paraId="31B3EFA9" w14:textId="77777777" w:rsidR="00B02873" w:rsidRPr="00222E36" w:rsidRDefault="00B02873" w:rsidP="00222E36">
            <w:pPr>
              <w:pStyle w:val="TablebodyleftTables"/>
              <w:rPr>
                <w:sz w:val="20"/>
              </w:rPr>
            </w:pPr>
            <w:r w:rsidRPr="00222E36">
              <w:rPr>
                <w:sz w:val="20"/>
              </w:rPr>
              <w:t>Active</w:t>
            </w:r>
          </w:p>
        </w:tc>
      </w:tr>
      <w:tr w:rsidR="00B02873" w:rsidRPr="007B509E" w14:paraId="614B0AAD" w14:textId="77777777" w:rsidTr="00222E36">
        <w:trPr>
          <w:trHeight w:val="60"/>
        </w:trPr>
        <w:tc>
          <w:tcPr>
            <w:tcW w:w="964" w:type="dxa"/>
          </w:tcPr>
          <w:p w14:paraId="4E11955C" w14:textId="77777777" w:rsidR="00B02873" w:rsidRPr="007B509E" w:rsidRDefault="00B02873" w:rsidP="00222E36">
            <w:pPr>
              <w:pStyle w:val="TablebodyleftTables"/>
              <w:rPr>
                <w:b/>
                <w:bCs/>
                <w:sz w:val="20"/>
              </w:rPr>
            </w:pPr>
            <w:r w:rsidRPr="007B509E">
              <w:rPr>
                <w:b/>
                <w:bCs/>
                <w:sz w:val="20"/>
              </w:rPr>
              <w:t>Total</w:t>
            </w:r>
          </w:p>
        </w:tc>
        <w:tc>
          <w:tcPr>
            <w:tcW w:w="1474" w:type="dxa"/>
          </w:tcPr>
          <w:p w14:paraId="139BD606" w14:textId="77777777" w:rsidR="00B02873" w:rsidRPr="007B509E" w:rsidRDefault="00B02873" w:rsidP="00222E36">
            <w:pPr>
              <w:pStyle w:val="TablebodyleftTables"/>
              <w:rPr>
                <w:rFonts w:cs="Times New Roman"/>
                <w:b/>
                <w:bCs/>
                <w:sz w:val="20"/>
              </w:rPr>
            </w:pPr>
          </w:p>
        </w:tc>
        <w:tc>
          <w:tcPr>
            <w:tcW w:w="1385" w:type="dxa"/>
          </w:tcPr>
          <w:p w14:paraId="5C6E515C" w14:textId="77777777" w:rsidR="00B02873" w:rsidRPr="007B509E" w:rsidRDefault="00B02873" w:rsidP="00603355">
            <w:pPr>
              <w:pStyle w:val="TablebodyleftTables"/>
              <w:jc w:val="right"/>
              <w:rPr>
                <w:rFonts w:cs="Times New Roman"/>
                <w:b/>
                <w:bCs/>
                <w:sz w:val="20"/>
              </w:rPr>
            </w:pPr>
          </w:p>
        </w:tc>
        <w:tc>
          <w:tcPr>
            <w:tcW w:w="1275" w:type="dxa"/>
          </w:tcPr>
          <w:p w14:paraId="0F342492" w14:textId="77777777" w:rsidR="00B02873" w:rsidRPr="007B509E" w:rsidRDefault="00B02873" w:rsidP="00603355">
            <w:pPr>
              <w:pStyle w:val="TablebodyleftTables"/>
              <w:jc w:val="right"/>
              <w:rPr>
                <w:b/>
                <w:bCs/>
                <w:sz w:val="20"/>
              </w:rPr>
            </w:pPr>
            <w:r w:rsidRPr="007B509E">
              <w:rPr>
                <w:b/>
                <w:bCs/>
                <w:sz w:val="20"/>
              </w:rPr>
              <w:t>19,802,000</w:t>
            </w:r>
          </w:p>
        </w:tc>
        <w:tc>
          <w:tcPr>
            <w:tcW w:w="1200" w:type="dxa"/>
          </w:tcPr>
          <w:p w14:paraId="5E6BA8F6" w14:textId="77777777" w:rsidR="00B02873" w:rsidRPr="007B509E" w:rsidRDefault="00B02873" w:rsidP="00603355">
            <w:pPr>
              <w:pStyle w:val="TablebodyleftTables"/>
              <w:jc w:val="right"/>
              <w:rPr>
                <w:b/>
                <w:bCs/>
                <w:sz w:val="20"/>
              </w:rPr>
            </w:pPr>
            <w:r w:rsidRPr="007B509E">
              <w:rPr>
                <w:b/>
                <w:bCs/>
                <w:sz w:val="20"/>
              </w:rPr>
              <w:t>8,932,000</w:t>
            </w:r>
          </w:p>
        </w:tc>
        <w:tc>
          <w:tcPr>
            <w:tcW w:w="1199" w:type="dxa"/>
          </w:tcPr>
          <w:p w14:paraId="633DE0D9" w14:textId="77777777" w:rsidR="00B02873" w:rsidRPr="007B509E" w:rsidRDefault="00B02873" w:rsidP="00603355">
            <w:pPr>
              <w:pStyle w:val="TablebodyleftTables"/>
              <w:jc w:val="right"/>
              <w:rPr>
                <w:b/>
                <w:bCs/>
                <w:sz w:val="20"/>
              </w:rPr>
            </w:pPr>
            <w:r w:rsidRPr="007B509E">
              <w:rPr>
                <w:b/>
                <w:bCs/>
                <w:sz w:val="20"/>
              </w:rPr>
              <w:t>1,600,000</w:t>
            </w:r>
          </w:p>
        </w:tc>
        <w:tc>
          <w:tcPr>
            <w:tcW w:w="1200" w:type="dxa"/>
          </w:tcPr>
          <w:p w14:paraId="57E7CBDB" w14:textId="77777777" w:rsidR="00B02873" w:rsidRPr="007B509E" w:rsidRDefault="00B02873" w:rsidP="00603355">
            <w:pPr>
              <w:pStyle w:val="TablebodyleftTables"/>
              <w:jc w:val="right"/>
              <w:rPr>
                <w:b/>
                <w:bCs/>
                <w:sz w:val="20"/>
              </w:rPr>
            </w:pPr>
            <w:r w:rsidRPr="007B509E">
              <w:rPr>
                <w:b/>
                <w:bCs/>
                <w:sz w:val="20"/>
              </w:rPr>
              <w:t>9,270,000</w:t>
            </w:r>
          </w:p>
        </w:tc>
        <w:tc>
          <w:tcPr>
            <w:tcW w:w="1199" w:type="dxa"/>
          </w:tcPr>
          <w:p w14:paraId="72848764" w14:textId="77777777" w:rsidR="00B02873" w:rsidRPr="007B509E" w:rsidRDefault="00B02873" w:rsidP="00222E36">
            <w:pPr>
              <w:pStyle w:val="TablebodyleftTables"/>
              <w:rPr>
                <w:rFonts w:cs="Times New Roman"/>
                <w:b/>
                <w:bCs/>
                <w:sz w:val="20"/>
              </w:rPr>
            </w:pPr>
          </w:p>
        </w:tc>
      </w:tr>
    </w:tbl>
    <w:p w14:paraId="16E578B9" w14:textId="77777777" w:rsidR="00B02873" w:rsidRDefault="00B02873" w:rsidP="00FE198A"/>
    <w:p w14:paraId="686A33A9" w14:textId="77777777" w:rsidR="00B02873" w:rsidRDefault="00B02873" w:rsidP="000D60C1">
      <w:pPr>
        <w:pStyle w:val="TabletitleTables"/>
      </w:pPr>
      <w:r>
        <w:t>Table 12. GAPTF-funded projects in Casey</w:t>
      </w:r>
    </w:p>
    <w:tbl>
      <w:tblPr>
        <w:tblStyle w:val="TableGrid"/>
        <w:tblW w:w="9918" w:type="dxa"/>
        <w:tblLayout w:type="fixed"/>
        <w:tblLook w:val="0020" w:firstRow="1" w:lastRow="0" w:firstColumn="0" w:lastColumn="0" w:noHBand="0" w:noVBand="0"/>
      </w:tblPr>
      <w:tblGrid>
        <w:gridCol w:w="964"/>
        <w:gridCol w:w="1866"/>
        <w:gridCol w:w="1270"/>
        <w:gridCol w:w="1202"/>
        <w:gridCol w:w="1203"/>
        <w:gridCol w:w="1115"/>
        <w:gridCol w:w="1203"/>
        <w:gridCol w:w="1095"/>
      </w:tblGrid>
      <w:tr w:rsidR="00B02873" w:rsidRPr="000D60C1" w14:paraId="22D1647C" w14:textId="77777777" w:rsidTr="000D60C1">
        <w:trPr>
          <w:cnfStyle w:val="100000000000" w:firstRow="1" w:lastRow="0" w:firstColumn="0" w:lastColumn="0" w:oddVBand="0" w:evenVBand="0" w:oddHBand="0" w:evenHBand="0" w:firstRowFirstColumn="0" w:firstRowLastColumn="0" w:lastRowFirstColumn="0" w:lastRowLastColumn="0"/>
          <w:trHeight w:val="60"/>
          <w:tblHeader/>
        </w:trPr>
        <w:tc>
          <w:tcPr>
            <w:tcW w:w="964" w:type="dxa"/>
          </w:tcPr>
          <w:p w14:paraId="4D4CD281" w14:textId="77777777" w:rsidR="00B02873" w:rsidRPr="000D60C1" w:rsidRDefault="00B02873" w:rsidP="000D60C1">
            <w:pPr>
              <w:pStyle w:val="TableheadingleftTables"/>
              <w:rPr>
                <w:sz w:val="20"/>
                <w:szCs w:val="20"/>
              </w:rPr>
            </w:pPr>
            <w:r w:rsidRPr="000D60C1">
              <w:rPr>
                <w:sz w:val="20"/>
                <w:szCs w:val="20"/>
              </w:rPr>
              <w:t>Agency</w:t>
            </w:r>
          </w:p>
        </w:tc>
        <w:tc>
          <w:tcPr>
            <w:tcW w:w="1866" w:type="dxa"/>
          </w:tcPr>
          <w:p w14:paraId="17347F39" w14:textId="77777777" w:rsidR="00B02873" w:rsidRPr="000D60C1" w:rsidRDefault="00B02873" w:rsidP="000D60C1">
            <w:pPr>
              <w:pStyle w:val="TableheadingleftTables"/>
              <w:rPr>
                <w:sz w:val="20"/>
                <w:szCs w:val="20"/>
              </w:rPr>
            </w:pPr>
            <w:r w:rsidRPr="000D60C1">
              <w:rPr>
                <w:sz w:val="20"/>
                <w:szCs w:val="20"/>
              </w:rPr>
              <w:t>Purpose</w:t>
            </w:r>
          </w:p>
        </w:tc>
        <w:tc>
          <w:tcPr>
            <w:tcW w:w="1270" w:type="dxa"/>
          </w:tcPr>
          <w:p w14:paraId="540177CF" w14:textId="77777777" w:rsidR="00B02873" w:rsidRPr="000D60C1" w:rsidRDefault="00B02873" w:rsidP="00603355">
            <w:pPr>
              <w:pStyle w:val="TableheadingleftTables"/>
              <w:jc w:val="right"/>
              <w:rPr>
                <w:sz w:val="20"/>
                <w:szCs w:val="20"/>
              </w:rPr>
            </w:pPr>
            <w:r w:rsidRPr="000D60C1">
              <w:rPr>
                <w:sz w:val="20"/>
                <w:szCs w:val="20"/>
              </w:rPr>
              <w:t>Year Announced</w:t>
            </w:r>
          </w:p>
        </w:tc>
        <w:tc>
          <w:tcPr>
            <w:tcW w:w="1202" w:type="dxa"/>
          </w:tcPr>
          <w:p w14:paraId="575E32B0" w14:textId="77777777" w:rsidR="00B02873" w:rsidRPr="000D60C1" w:rsidRDefault="00B02873" w:rsidP="00603355">
            <w:pPr>
              <w:pStyle w:val="TableheadingleftTables"/>
              <w:jc w:val="right"/>
              <w:rPr>
                <w:sz w:val="20"/>
                <w:szCs w:val="20"/>
              </w:rPr>
            </w:pPr>
            <w:r w:rsidRPr="000D60C1">
              <w:rPr>
                <w:sz w:val="20"/>
                <w:szCs w:val="20"/>
              </w:rPr>
              <w:t>Allocated</w:t>
            </w:r>
          </w:p>
        </w:tc>
        <w:tc>
          <w:tcPr>
            <w:tcW w:w="1203" w:type="dxa"/>
          </w:tcPr>
          <w:p w14:paraId="53CB78C1" w14:textId="77777777" w:rsidR="00B02873" w:rsidRPr="000D60C1" w:rsidRDefault="00B02873" w:rsidP="00603355">
            <w:pPr>
              <w:pStyle w:val="TableheadingleftTables"/>
              <w:jc w:val="right"/>
              <w:rPr>
                <w:sz w:val="20"/>
                <w:szCs w:val="20"/>
              </w:rPr>
            </w:pPr>
            <w:r w:rsidRPr="000D60C1">
              <w:rPr>
                <w:sz w:val="20"/>
                <w:szCs w:val="20"/>
              </w:rPr>
              <w:t>Amount paid to 30 June 2021</w:t>
            </w:r>
          </w:p>
        </w:tc>
        <w:tc>
          <w:tcPr>
            <w:tcW w:w="1115" w:type="dxa"/>
          </w:tcPr>
          <w:p w14:paraId="3FE476C1" w14:textId="77777777" w:rsidR="00B02873" w:rsidRPr="000D60C1" w:rsidRDefault="00B02873" w:rsidP="00603355">
            <w:pPr>
              <w:pStyle w:val="TableheadingleftTables"/>
              <w:jc w:val="right"/>
              <w:rPr>
                <w:sz w:val="20"/>
                <w:szCs w:val="20"/>
              </w:rPr>
            </w:pPr>
            <w:r w:rsidRPr="000D60C1">
              <w:rPr>
                <w:sz w:val="20"/>
                <w:szCs w:val="20"/>
              </w:rPr>
              <w:t>Amount paid in 2021-22</w:t>
            </w:r>
          </w:p>
        </w:tc>
        <w:tc>
          <w:tcPr>
            <w:tcW w:w="1203" w:type="dxa"/>
          </w:tcPr>
          <w:p w14:paraId="3AACA082" w14:textId="77777777" w:rsidR="00B02873" w:rsidRPr="000D60C1" w:rsidRDefault="00B02873" w:rsidP="00603355">
            <w:pPr>
              <w:pStyle w:val="TableheadingleftTables"/>
              <w:jc w:val="right"/>
              <w:rPr>
                <w:sz w:val="20"/>
                <w:szCs w:val="20"/>
              </w:rPr>
            </w:pPr>
            <w:r w:rsidRPr="000D60C1">
              <w:rPr>
                <w:sz w:val="20"/>
                <w:szCs w:val="20"/>
              </w:rPr>
              <w:t>Amount yet to be paid</w:t>
            </w:r>
          </w:p>
        </w:tc>
        <w:tc>
          <w:tcPr>
            <w:tcW w:w="1095" w:type="dxa"/>
          </w:tcPr>
          <w:p w14:paraId="0B965F44" w14:textId="77777777" w:rsidR="00B02873" w:rsidRPr="000D60C1" w:rsidRDefault="00B02873" w:rsidP="000D60C1">
            <w:pPr>
              <w:pStyle w:val="TableheadingleftTables"/>
              <w:rPr>
                <w:sz w:val="20"/>
                <w:szCs w:val="20"/>
              </w:rPr>
            </w:pPr>
            <w:r w:rsidRPr="000D60C1">
              <w:rPr>
                <w:sz w:val="20"/>
                <w:szCs w:val="20"/>
              </w:rPr>
              <w:t>Status</w:t>
            </w:r>
          </w:p>
        </w:tc>
      </w:tr>
      <w:tr w:rsidR="00B02873" w:rsidRPr="000D60C1" w14:paraId="0BA4BD53" w14:textId="77777777" w:rsidTr="000D60C1">
        <w:trPr>
          <w:trHeight w:val="60"/>
        </w:trPr>
        <w:tc>
          <w:tcPr>
            <w:tcW w:w="964" w:type="dxa"/>
          </w:tcPr>
          <w:p w14:paraId="5608A60A" w14:textId="77777777" w:rsidR="00B02873" w:rsidRPr="000D60C1" w:rsidRDefault="00B02873" w:rsidP="000D60C1">
            <w:pPr>
              <w:pStyle w:val="TablebodyleftTables"/>
              <w:rPr>
                <w:sz w:val="20"/>
                <w:szCs w:val="20"/>
              </w:rPr>
            </w:pPr>
            <w:r w:rsidRPr="000D60C1">
              <w:rPr>
                <w:sz w:val="20"/>
                <w:szCs w:val="20"/>
              </w:rPr>
              <w:t>DoT</w:t>
            </w:r>
          </w:p>
        </w:tc>
        <w:tc>
          <w:tcPr>
            <w:tcW w:w="1866" w:type="dxa"/>
          </w:tcPr>
          <w:p w14:paraId="24D6A1EE" w14:textId="77777777" w:rsidR="00B02873" w:rsidRPr="000D60C1" w:rsidRDefault="00B02873" w:rsidP="000D60C1">
            <w:pPr>
              <w:pStyle w:val="TablebodyleftTables"/>
              <w:rPr>
                <w:sz w:val="20"/>
                <w:szCs w:val="20"/>
              </w:rPr>
            </w:pPr>
            <w:r w:rsidRPr="000D60C1">
              <w:rPr>
                <w:sz w:val="20"/>
                <w:szCs w:val="20"/>
              </w:rPr>
              <w:t>Merinda Park Railway Station</w:t>
            </w:r>
          </w:p>
        </w:tc>
        <w:tc>
          <w:tcPr>
            <w:tcW w:w="1270" w:type="dxa"/>
          </w:tcPr>
          <w:p w14:paraId="590EE833" w14:textId="7FE29003" w:rsidR="00B02873" w:rsidRPr="000D60C1" w:rsidRDefault="00B02873" w:rsidP="00603355">
            <w:pPr>
              <w:pStyle w:val="TablebodyleftTables"/>
              <w:jc w:val="right"/>
              <w:rPr>
                <w:sz w:val="20"/>
                <w:szCs w:val="20"/>
              </w:rPr>
            </w:pPr>
            <w:r w:rsidRPr="000D60C1">
              <w:rPr>
                <w:sz w:val="20"/>
                <w:szCs w:val="20"/>
              </w:rPr>
              <w:t>2016</w:t>
            </w:r>
            <w:r w:rsidR="000D60C1">
              <w:rPr>
                <w:sz w:val="20"/>
                <w:szCs w:val="20"/>
              </w:rPr>
              <w:t>–</w:t>
            </w:r>
            <w:r w:rsidRPr="000D60C1">
              <w:rPr>
                <w:sz w:val="20"/>
                <w:szCs w:val="20"/>
              </w:rPr>
              <w:t>17</w:t>
            </w:r>
          </w:p>
        </w:tc>
        <w:tc>
          <w:tcPr>
            <w:tcW w:w="1202" w:type="dxa"/>
          </w:tcPr>
          <w:p w14:paraId="2BEEC3F8" w14:textId="77777777" w:rsidR="00B02873" w:rsidRPr="000D60C1" w:rsidRDefault="00B02873" w:rsidP="00603355">
            <w:pPr>
              <w:pStyle w:val="TablebodyleftTables"/>
              <w:jc w:val="right"/>
              <w:rPr>
                <w:sz w:val="20"/>
                <w:szCs w:val="20"/>
              </w:rPr>
            </w:pPr>
            <w:r w:rsidRPr="000D60C1">
              <w:rPr>
                <w:sz w:val="20"/>
                <w:szCs w:val="20"/>
              </w:rPr>
              <w:t>9,000,000</w:t>
            </w:r>
          </w:p>
        </w:tc>
        <w:tc>
          <w:tcPr>
            <w:tcW w:w="1203" w:type="dxa"/>
          </w:tcPr>
          <w:p w14:paraId="01E0D9F6" w14:textId="77777777" w:rsidR="00B02873" w:rsidRPr="000D60C1" w:rsidRDefault="00B02873" w:rsidP="00603355">
            <w:pPr>
              <w:pStyle w:val="TablebodyleftTables"/>
              <w:jc w:val="right"/>
              <w:rPr>
                <w:sz w:val="20"/>
                <w:szCs w:val="20"/>
              </w:rPr>
            </w:pPr>
            <w:r w:rsidRPr="000D60C1">
              <w:rPr>
                <w:sz w:val="20"/>
                <w:szCs w:val="20"/>
              </w:rPr>
              <w:t>1,000,000</w:t>
            </w:r>
          </w:p>
        </w:tc>
        <w:tc>
          <w:tcPr>
            <w:tcW w:w="1115" w:type="dxa"/>
          </w:tcPr>
          <w:p w14:paraId="2A16762E" w14:textId="0ACFCAF7" w:rsidR="00B02873" w:rsidRPr="000D60C1" w:rsidRDefault="000D60C1" w:rsidP="00603355">
            <w:pPr>
              <w:pStyle w:val="TablebodyleftTables"/>
              <w:jc w:val="right"/>
              <w:rPr>
                <w:sz w:val="20"/>
                <w:szCs w:val="20"/>
              </w:rPr>
            </w:pPr>
            <w:r>
              <w:rPr>
                <w:sz w:val="20"/>
                <w:szCs w:val="20"/>
              </w:rPr>
              <w:t>–</w:t>
            </w:r>
          </w:p>
        </w:tc>
        <w:tc>
          <w:tcPr>
            <w:tcW w:w="1203" w:type="dxa"/>
          </w:tcPr>
          <w:p w14:paraId="3AC084F3" w14:textId="77777777" w:rsidR="00B02873" w:rsidRPr="000D60C1" w:rsidRDefault="00B02873" w:rsidP="00603355">
            <w:pPr>
              <w:pStyle w:val="TablebodyleftTables"/>
              <w:jc w:val="right"/>
              <w:rPr>
                <w:sz w:val="20"/>
                <w:szCs w:val="20"/>
              </w:rPr>
            </w:pPr>
            <w:r w:rsidRPr="000D60C1">
              <w:rPr>
                <w:sz w:val="20"/>
                <w:szCs w:val="20"/>
              </w:rPr>
              <w:t>8,000,000</w:t>
            </w:r>
          </w:p>
        </w:tc>
        <w:tc>
          <w:tcPr>
            <w:tcW w:w="1095" w:type="dxa"/>
          </w:tcPr>
          <w:p w14:paraId="06B93EA4" w14:textId="77777777" w:rsidR="00B02873" w:rsidRPr="000D60C1" w:rsidRDefault="00B02873" w:rsidP="000D60C1">
            <w:pPr>
              <w:pStyle w:val="TablebodyleftTables"/>
              <w:rPr>
                <w:sz w:val="20"/>
                <w:szCs w:val="20"/>
              </w:rPr>
            </w:pPr>
            <w:r w:rsidRPr="000D60C1">
              <w:rPr>
                <w:sz w:val="20"/>
                <w:szCs w:val="20"/>
              </w:rPr>
              <w:t>Active</w:t>
            </w:r>
          </w:p>
        </w:tc>
      </w:tr>
      <w:tr w:rsidR="00B02873" w:rsidRPr="000D60C1" w14:paraId="1C882EE5" w14:textId="77777777" w:rsidTr="000D60C1">
        <w:trPr>
          <w:trHeight w:val="60"/>
        </w:trPr>
        <w:tc>
          <w:tcPr>
            <w:tcW w:w="964" w:type="dxa"/>
          </w:tcPr>
          <w:p w14:paraId="49FFBEEA" w14:textId="77777777" w:rsidR="00B02873" w:rsidRPr="000D60C1" w:rsidRDefault="00B02873" w:rsidP="000D60C1">
            <w:pPr>
              <w:pStyle w:val="TablebodyleftTables"/>
              <w:rPr>
                <w:sz w:val="20"/>
                <w:szCs w:val="20"/>
              </w:rPr>
            </w:pPr>
            <w:r w:rsidRPr="000D60C1">
              <w:rPr>
                <w:sz w:val="20"/>
                <w:szCs w:val="20"/>
              </w:rPr>
              <w:t>DoT</w:t>
            </w:r>
          </w:p>
        </w:tc>
        <w:tc>
          <w:tcPr>
            <w:tcW w:w="1866" w:type="dxa"/>
          </w:tcPr>
          <w:p w14:paraId="734C05D3" w14:textId="77777777" w:rsidR="00B02873" w:rsidRPr="000D60C1" w:rsidRDefault="00B02873" w:rsidP="000D60C1">
            <w:pPr>
              <w:pStyle w:val="TablebodyleftTables"/>
              <w:rPr>
                <w:sz w:val="20"/>
                <w:szCs w:val="20"/>
              </w:rPr>
            </w:pPr>
            <w:r w:rsidRPr="000D60C1">
              <w:rPr>
                <w:sz w:val="20"/>
                <w:szCs w:val="20"/>
              </w:rPr>
              <w:t>Cranbourne East Railway Station</w:t>
            </w:r>
          </w:p>
        </w:tc>
        <w:tc>
          <w:tcPr>
            <w:tcW w:w="1270" w:type="dxa"/>
          </w:tcPr>
          <w:p w14:paraId="4688624B" w14:textId="799B6C27" w:rsidR="00B02873" w:rsidRPr="000D60C1" w:rsidRDefault="00B02873" w:rsidP="00603355">
            <w:pPr>
              <w:pStyle w:val="TablebodyleftTables"/>
              <w:jc w:val="right"/>
              <w:rPr>
                <w:sz w:val="20"/>
                <w:szCs w:val="20"/>
              </w:rPr>
            </w:pPr>
            <w:r w:rsidRPr="000D60C1">
              <w:rPr>
                <w:sz w:val="20"/>
                <w:szCs w:val="20"/>
              </w:rPr>
              <w:t>2017</w:t>
            </w:r>
            <w:r w:rsidR="000D60C1">
              <w:rPr>
                <w:sz w:val="20"/>
                <w:szCs w:val="20"/>
              </w:rPr>
              <w:t>–</w:t>
            </w:r>
            <w:r w:rsidRPr="000D60C1">
              <w:rPr>
                <w:sz w:val="20"/>
                <w:szCs w:val="20"/>
              </w:rPr>
              <w:t>18</w:t>
            </w:r>
          </w:p>
        </w:tc>
        <w:tc>
          <w:tcPr>
            <w:tcW w:w="1202" w:type="dxa"/>
          </w:tcPr>
          <w:p w14:paraId="792FADC9" w14:textId="77777777" w:rsidR="00B02873" w:rsidRPr="000D60C1" w:rsidRDefault="00B02873" w:rsidP="00603355">
            <w:pPr>
              <w:pStyle w:val="TablebodyleftTables"/>
              <w:jc w:val="right"/>
              <w:rPr>
                <w:sz w:val="20"/>
                <w:szCs w:val="20"/>
              </w:rPr>
            </w:pPr>
            <w:r w:rsidRPr="000D60C1">
              <w:rPr>
                <w:sz w:val="20"/>
                <w:szCs w:val="20"/>
              </w:rPr>
              <w:t>3,000,000</w:t>
            </w:r>
          </w:p>
        </w:tc>
        <w:tc>
          <w:tcPr>
            <w:tcW w:w="1203" w:type="dxa"/>
          </w:tcPr>
          <w:p w14:paraId="352AF05B" w14:textId="77777777" w:rsidR="00B02873" w:rsidRPr="000D60C1" w:rsidRDefault="00B02873" w:rsidP="00603355">
            <w:pPr>
              <w:pStyle w:val="TablebodyleftTables"/>
              <w:jc w:val="right"/>
              <w:rPr>
                <w:sz w:val="20"/>
                <w:szCs w:val="20"/>
              </w:rPr>
            </w:pPr>
            <w:r w:rsidRPr="000D60C1">
              <w:rPr>
                <w:sz w:val="20"/>
                <w:szCs w:val="20"/>
              </w:rPr>
              <w:t>3,000,000</w:t>
            </w:r>
          </w:p>
        </w:tc>
        <w:tc>
          <w:tcPr>
            <w:tcW w:w="1115" w:type="dxa"/>
          </w:tcPr>
          <w:p w14:paraId="4B53A21C" w14:textId="0C00A417" w:rsidR="00B02873" w:rsidRPr="000D60C1" w:rsidRDefault="000D60C1" w:rsidP="00603355">
            <w:pPr>
              <w:pStyle w:val="TablebodyleftTables"/>
              <w:jc w:val="right"/>
              <w:rPr>
                <w:sz w:val="20"/>
                <w:szCs w:val="20"/>
              </w:rPr>
            </w:pPr>
            <w:r>
              <w:rPr>
                <w:sz w:val="20"/>
                <w:szCs w:val="20"/>
              </w:rPr>
              <w:t>–</w:t>
            </w:r>
          </w:p>
        </w:tc>
        <w:tc>
          <w:tcPr>
            <w:tcW w:w="1203" w:type="dxa"/>
          </w:tcPr>
          <w:p w14:paraId="627ED7D9" w14:textId="18B7FF8F" w:rsidR="00B02873" w:rsidRPr="000D60C1" w:rsidRDefault="000D60C1" w:rsidP="00603355">
            <w:pPr>
              <w:pStyle w:val="TablebodyleftTables"/>
              <w:jc w:val="right"/>
              <w:rPr>
                <w:sz w:val="20"/>
                <w:szCs w:val="20"/>
              </w:rPr>
            </w:pPr>
            <w:r>
              <w:rPr>
                <w:sz w:val="20"/>
                <w:szCs w:val="20"/>
              </w:rPr>
              <w:t>–</w:t>
            </w:r>
          </w:p>
        </w:tc>
        <w:tc>
          <w:tcPr>
            <w:tcW w:w="1095" w:type="dxa"/>
          </w:tcPr>
          <w:p w14:paraId="372B8B35" w14:textId="77777777" w:rsidR="00B02873" w:rsidRPr="000D60C1" w:rsidRDefault="00B02873" w:rsidP="000D60C1">
            <w:pPr>
              <w:pStyle w:val="TablebodyleftTables"/>
              <w:rPr>
                <w:sz w:val="20"/>
                <w:szCs w:val="20"/>
              </w:rPr>
            </w:pPr>
            <w:r w:rsidRPr="000D60C1">
              <w:rPr>
                <w:sz w:val="20"/>
                <w:szCs w:val="20"/>
              </w:rPr>
              <w:t>Active</w:t>
            </w:r>
          </w:p>
        </w:tc>
      </w:tr>
      <w:tr w:rsidR="00B02873" w:rsidRPr="000D60C1" w14:paraId="4905D1D2" w14:textId="77777777" w:rsidTr="000D60C1">
        <w:trPr>
          <w:trHeight w:val="60"/>
        </w:trPr>
        <w:tc>
          <w:tcPr>
            <w:tcW w:w="964" w:type="dxa"/>
          </w:tcPr>
          <w:p w14:paraId="2F7BDB56" w14:textId="77777777" w:rsidR="00B02873" w:rsidRPr="000D60C1" w:rsidRDefault="00B02873" w:rsidP="000D60C1">
            <w:pPr>
              <w:pStyle w:val="TablebodyleftTables"/>
              <w:rPr>
                <w:sz w:val="20"/>
                <w:szCs w:val="20"/>
              </w:rPr>
            </w:pPr>
            <w:r w:rsidRPr="000D60C1">
              <w:rPr>
                <w:sz w:val="20"/>
                <w:szCs w:val="20"/>
              </w:rPr>
              <w:t>DoT</w:t>
            </w:r>
          </w:p>
        </w:tc>
        <w:tc>
          <w:tcPr>
            <w:tcW w:w="1866" w:type="dxa"/>
          </w:tcPr>
          <w:p w14:paraId="3D9A4B68" w14:textId="77777777" w:rsidR="00B02873" w:rsidRPr="000D60C1" w:rsidRDefault="00B02873" w:rsidP="000D60C1">
            <w:pPr>
              <w:pStyle w:val="TablebodyleftTables"/>
              <w:rPr>
                <w:sz w:val="20"/>
                <w:szCs w:val="20"/>
              </w:rPr>
            </w:pPr>
            <w:r w:rsidRPr="000D60C1">
              <w:rPr>
                <w:sz w:val="20"/>
                <w:szCs w:val="20"/>
              </w:rPr>
              <w:t>Cranbourne Station car parking and pedestrian amenity upgrade</w:t>
            </w:r>
          </w:p>
        </w:tc>
        <w:tc>
          <w:tcPr>
            <w:tcW w:w="1270" w:type="dxa"/>
          </w:tcPr>
          <w:p w14:paraId="634BB476" w14:textId="0BBE11C2" w:rsidR="00B02873" w:rsidRPr="000D60C1" w:rsidRDefault="00B02873" w:rsidP="00603355">
            <w:pPr>
              <w:pStyle w:val="TablebodyleftTables"/>
              <w:jc w:val="right"/>
              <w:rPr>
                <w:sz w:val="20"/>
                <w:szCs w:val="20"/>
              </w:rPr>
            </w:pPr>
            <w:r w:rsidRPr="000D60C1">
              <w:rPr>
                <w:sz w:val="20"/>
                <w:szCs w:val="20"/>
              </w:rPr>
              <w:t>2018</w:t>
            </w:r>
            <w:r w:rsidR="000D60C1">
              <w:rPr>
                <w:sz w:val="20"/>
                <w:szCs w:val="20"/>
              </w:rPr>
              <w:t>–</w:t>
            </w:r>
            <w:r w:rsidRPr="000D60C1">
              <w:rPr>
                <w:sz w:val="20"/>
                <w:szCs w:val="20"/>
              </w:rPr>
              <w:t>19</w:t>
            </w:r>
          </w:p>
        </w:tc>
        <w:tc>
          <w:tcPr>
            <w:tcW w:w="1202" w:type="dxa"/>
          </w:tcPr>
          <w:p w14:paraId="6A571158" w14:textId="77777777" w:rsidR="00B02873" w:rsidRPr="000D60C1" w:rsidRDefault="00B02873" w:rsidP="00603355">
            <w:pPr>
              <w:pStyle w:val="TablebodyleftTables"/>
              <w:jc w:val="right"/>
              <w:rPr>
                <w:sz w:val="20"/>
                <w:szCs w:val="20"/>
              </w:rPr>
            </w:pPr>
            <w:r w:rsidRPr="000D60C1">
              <w:rPr>
                <w:sz w:val="20"/>
                <w:szCs w:val="20"/>
              </w:rPr>
              <w:t>4,800,000</w:t>
            </w:r>
          </w:p>
        </w:tc>
        <w:tc>
          <w:tcPr>
            <w:tcW w:w="1203" w:type="dxa"/>
          </w:tcPr>
          <w:p w14:paraId="29414E30" w14:textId="694CCAD1" w:rsidR="00B02873" w:rsidRPr="000D60C1" w:rsidRDefault="000D60C1" w:rsidP="00603355">
            <w:pPr>
              <w:pStyle w:val="TablebodyleftTables"/>
              <w:jc w:val="right"/>
              <w:rPr>
                <w:sz w:val="20"/>
                <w:szCs w:val="20"/>
              </w:rPr>
            </w:pPr>
            <w:r>
              <w:rPr>
                <w:sz w:val="20"/>
                <w:szCs w:val="20"/>
              </w:rPr>
              <w:t>–</w:t>
            </w:r>
          </w:p>
        </w:tc>
        <w:tc>
          <w:tcPr>
            <w:tcW w:w="1115" w:type="dxa"/>
          </w:tcPr>
          <w:p w14:paraId="49614C85" w14:textId="77777777" w:rsidR="00B02873" w:rsidRPr="000D60C1" w:rsidRDefault="00B02873" w:rsidP="00603355">
            <w:pPr>
              <w:pStyle w:val="TablebodyleftTables"/>
              <w:jc w:val="right"/>
              <w:rPr>
                <w:sz w:val="20"/>
                <w:szCs w:val="20"/>
              </w:rPr>
            </w:pPr>
            <w:r w:rsidRPr="000D60C1">
              <w:rPr>
                <w:sz w:val="20"/>
                <w:szCs w:val="20"/>
              </w:rPr>
              <w:t>4,800,000</w:t>
            </w:r>
          </w:p>
        </w:tc>
        <w:tc>
          <w:tcPr>
            <w:tcW w:w="1203" w:type="dxa"/>
          </w:tcPr>
          <w:p w14:paraId="34C1764A" w14:textId="1DF8BEE2" w:rsidR="00B02873" w:rsidRPr="000D60C1" w:rsidRDefault="000D60C1" w:rsidP="00603355">
            <w:pPr>
              <w:pStyle w:val="TablebodyleftTables"/>
              <w:jc w:val="right"/>
              <w:rPr>
                <w:sz w:val="20"/>
                <w:szCs w:val="20"/>
              </w:rPr>
            </w:pPr>
            <w:r>
              <w:rPr>
                <w:sz w:val="20"/>
                <w:szCs w:val="20"/>
              </w:rPr>
              <w:t>–</w:t>
            </w:r>
          </w:p>
        </w:tc>
        <w:tc>
          <w:tcPr>
            <w:tcW w:w="1095" w:type="dxa"/>
          </w:tcPr>
          <w:p w14:paraId="7CE3C4E7" w14:textId="77777777" w:rsidR="00B02873" w:rsidRPr="000D60C1" w:rsidRDefault="00B02873" w:rsidP="000D60C1">
            <w:pPr>
              <w:pStyle w:val="TablebodyleftTables"/>
              <w:rPr>
                <w:sz w:val="20"/>
                <w:szCs w:val="20"/>
              </w:rPr>
            </w:pPr>
            <w:r w:rsidRPr="000D60C1">
              <w:rPr>
                <w:sz w:val="20"/>
                <w:szCs w:val="20"/>
              </w:rPr>
              <w:t>Active</w:t>
            </w:r>
          </w:p>
        </w:tc>
      </w:tr>
      <w:tr w:rsidR="00B02873" w:rsidRPr="000D60C1" w14:paraId="4F648A04" w14:textId="77777777" w:rsidTr="000D60C1">
        <w:trPr>
          <w:trHeight w:val="60"/>
        </w:trPr>
        <w:tc>
          <w:tcPr>
            <w:tcW w:w="964" w:type="dxa"/>
          </w:tcPr>
          <w:p w14:paraId="7F4F4186" w14:textId="77777777" w:rsidR="00B02873" w:rsidRPr="000D60C1" w:rsidRDefault="00B02873" w:rsidP="000D60C1">
            <w:pPr>
              <w:pStyle w:val="TablebodyleftTables"/>
              <w:rPr>
                <w:sz w:val="20"/>
                <w:szCs w:val="20"/>
              </w:rPr>
            </w:pPr>
            <w:r w:rsidRPr="000D60C1">
              <w:rPr>
                <w:sz w:val="20"/>
                <w:szCs w:val="20"/>
              </w:rPr>
              <w:t>DoT</w:t>
            </w:r>
          </w:p>
        </w:tc>
        <w:tc>
          <w:tcPr>
            <w:tcW w:w="1866" w:type="dxa"/>
          </w:tcPr>
          <w:p w14:paraId="1E91A286" w14:textId="77777777" w:rsidR="00B02873" w:rsidRPr="000D60C1" w:rsidRDefault="00B02873" w:rsidP="000D60C1">
            <w:pPr>
              <w:pStyle w:val="TablebodyleftTables"/>
              <w:rPr>
                <w:sz w:val="20"/>
                <w:szCs w:val="20"/>
              </w:rPr>
            </w:pPr>
            <w:r w:rsidRPr="000D60C1">
              <w:rPr>
                <w:sz w:val="20"/>
                <w:szCs w:val="20"/>
              </w:rPr>
              <w:t>Cranbourne – 100 new spaces car parks</w:t>
            </w:r>
          </w:p>
        </w:tc>
        <w:tc>
          <w:tcPr>
            <w:tcW w:w="1270" w:type="dxa"/>
          </w:tcPr>
          <w:p w14:paraId="5414B76F" w14:textId="5814C1AA" w:rsidR="00B02873" w:rsidRPr="000D60C1" w:rsidRDefault="00B02873" w:rsidP="00603355">
            <w:pPr>
              <w:pStyle w:val="TablebodyleftTables"/>
              <w:jc w:val="right"/>
              <w:rPr>
                <w:sz w:val="20"/>
                <w:szCs w:val="20"/>
              </w:rPr>
            </w:pPr>
            <w:r w:rsidRPr="000D60C1">
              <w:rPr>
                <w:sz w:val="20"/>
                <w:szCs w:val="20"/>
              </w:rPr>
              <w:t>2019</w:t>
            </w:r>
            <w:r w:rsidR="000D60C1">
              <w:rPr>
                <w:sz w:val="20"/>
                <w:szCs w:val="20"/>
              </w:rPr>
              <w:t>–</w:t>
            </w:r>
            <w:r w:rsidRPr="000D60C1">
              <w:rPr>
                <w:sz w:val="20"/>
                <w:szCs w:val="20"/>
              </w:rPr>
              <w:t>20 State Budget</w:t>
            </w:r>
          </w:p>
        </w:tc>
        <w:tc>
          <w:tcPr>
            <w:tcW w:w="1202" w:type="dxa"/>
          </w:tcPr>
          <w:p w14:paraId="39CE057A" w14:textId="77777777" w:rsidR="00B02873" w:rsidRPr="000D60C1" w:rsidRDefault="00B02873" w:rsidP="00603355">
            <w:pPr>
              <w:pStyle w:val="TablebodyleftTables"/>
              <w:jc w:val="right"/>
              <w:rPr>
                <w:sz w:val="20"/>
                <w:szCs w:val="20"/>
              </w:rPr>
            </w:pPr>
            <w:r w:rsidRPr="000D60C1">
              <w:rPr>
                <w:sz w:val="20"/>
                <w:szCs w:val="20"/>
              </w:rPr>
              <w:t>1,694,000</w:t>
            </w:r>
          </w:p>
        </w:tc>
        <w:tc>
          <w:tcPr>
            <w:tcW w:w="1203" w:type="dxa"/>
          </w:tcPr>
          <w:p w14:paraId="2FB4DF3B" w14:textId="21305A82" w:rsidR="00B02873" w:rsidRPr="000D60C1" w:rsidRDefault="000D60C1" w:rsidP="00603355">
            <w:pPr>
              <w:pStyle w:val="TablebodyleftTables"/>
              <w:jc w:val="right"/>
              <w:rPr>
                <w:sz w:val="20"/>
                <w:szCs w:val="20"/>
              </w:rPr>
            </w:pPr>
            <w:r>
              <w:rPr>
                <w:sz w:val="20"/>
                <w:szCs w:val="20"/>
              </w:rPr>
              <w:t>–</w:t>
            </w:r>
          </w:p>
        </w:tc>
        <w:tc>
          <w:tcPr>
            <w:tcW w:w="1115" w:type="dxa"/>
          </w:tcPr>
          <w:p w14:paraId="48E49FF8" w14:textId="77777777" w:rsidR="00B02873" w:rsidRPr="000D60C1" w:rsidRDefault="00B02873" w:rsidP="00603355">
            <w:pPr>
              <w:pStyle w:val="TablebodyleftTables"/>
              <w:jc w:val="right"/>
              <w:rPr>
                <w:sz w:val="20"/>
                <w:szCs w:val="20"/>
              </w:rPr>
            </w:pPr>
            <w:r w:rsidRPr="000D60C1">
              <w:rPr>
                <w:sz w:val="20"/>
                <w:szCs w:val="20"/>
              </w:rPr>
              <w:t>1,094,000</w:t>
            </w:r>
          </w:p>
        </w:tc>
        <w:tc>
          <w:tcPr>
            <w:tcW w:w="1203" w:type="dxa"/>
          </w:tcPr>
          <w:p w14:paraId="05D9B627" w14:textId="77777777" w:rsidR="00B02873" w:rsidRPr="000D60C1" w:rsidRDefault="00B02873" w:rsidP="00603355">
            <w:pPr>
              <w:pStyle w:val="TablebodyleftTables"/>
              <w:jc w:val="right"/>
              <w:rPr>
                <w:sz w:val="20"/>
                <w:szCs w:val="20"/>
              </w:rPr>
            </w:pPr>
            <w:r w:rsidRPr="000D60C1">
              <w:rPr>
                <w:sz w:val="20"/>
                <w:szCs w:val="20"/>
              </w:rPr>
              <w:t>600,000</w:t>
            </w:r>
          </w:p>
        </w:tc>
        <w:tc>
          <w:tcPr>
            <w:tcW w:w="1095" w:type="dxa"/>
          </w:tcPr>
          <w:p w14:paraId="0C2DAD78" w14:textId="77777777" w:rsidR="00B02873" w:rsidRPr="000D60C1" w:rsidRDefault="00B02873" w:rsidP="000D60C1">
            <w:pPr>
              <w:pStyle w:val="TablebodyleftTables"/>
              <w:rPr>
                <w:sz w:val="20"/>
                <w:szCs w:val="20"/>
              </w:rPr>
            </w:pPr>
            <w:r w:rsidRPr="000D60C1">
              <w:rPr>
                <w:sz w:val="20"/>
                <w:szCs w:val="20"/>
              </w:rPr>
              <w:t>Active</w:t>
            </w:r>
          </w:p>
        </w:tc>
      </w:tr>
      <w:tr w:rsidR="00B02873" w:rsidRPr="000D60C1" w14:paraId="4064CB41" w14:textId="77777777" w:rsidTr="000D60C1">
        <w:trPr>
          <w:trHeight w:val="60"/>
        </w:trPr>
        <w:tc>
          <w:tcPr>
            <w:tcW w:w="964" w:type="dxa"/>
          </w:tcPr>
          <w:p w14:paraId="5F0FA8D9" w14:textId="77777777" w:rsidR="00B02873" w:rsidRPr="000D60C1" w:rsidRDefault="00B02873" w:rsidP="000D60C1">
            <w:pPr>
              <w:pStyle w:val="TablebodyleftTables"/>
              <w:rPr>
                <w:sz w:val="20"/>
                <w:szCs w:val="20"/>
              </w:rPr>
            </w:pPr>
            <w:r w:rsidRPr="000D60C1">
              <w:rPr>
                <w:sz w:val="20"/>
                <w:szCs w:val="20"/>
              </w:rPr>
              <w:t>PTV</w:t>
            </w:r>
          </w:p>
        </w:tc>
        <w:tc>
          <w:tcPr>
            <w:tcW w:w="1866" w:type="dxa"/>
          </w:tcPr>
          <w:p w14:paraId="76CD6E29" w14:textId="77777777" w:rsidR="00B02873" w:rsidRPr="000D60C1" w:rsidRDefault="00B02873" w:rsidP="000D60C1">
            <w:pPr>
              <w:pStyle w:val="TablebodyleftTables"/>
              <w:rPr>
                <w:sz w:val="20"/>
                <w:szCs w:val="20"/>
              </w:rPr>
            </w:pPr>
            <w:r w:rsidRPr="000D60C1">
              <w:rPr>
                <w:sz w:val="20"/>
                <w:szCs w:val="20"/>
              </w:rPr>
              <w:t>Route 889 Clyde North – Berwick bus route</w:t>
            </w:r>
          </w:p>
        </w:tc>
        <w:tc>
          <w:tcPr>
            <w:tcW w:w="1270" w:type="dxa"/>
          </w:tcPr>
          <w:p w14:paraId="42081939" w14:textId="2600B4F3" w:rsidR="00B02873" w:rsidRPr="000D60C1" w:rsidRDefault="00B02873" w:rsidP="00603355">
            <w:pPr>
              <w:pStyle w:val="TablebodyleftTables"/>
              <w:jc w:val="right"/>
              <w:rPr>
                <w:sz w:val="20"/>
                <w:szCs w:val="20"/>
              </w:rPr>
            </w:pPr>
            <w:r w:rsidRPr="000D60C1">
              <w:rPr>
                <w:sz w:val="20"/>
                <w:szCs w:val="20"/>
              </w:rPr>
              <w:t>2018</w:t>
            </w:r>
            <w:r w:rsidR="000D60C1">
              <w:rPr>
                <w:sz w:val="20"/>
                <w:szCs w:val="20"/>
              </w:rPr>
              <w:t>–</w:t>
            </w:r>
            <w:r w:rsidRPr="000D60C1">
              <w:rPr>
                <w:sz w:val="20"/>
                <w:szCs w:val="20"/>
              </w:rPr>
              <w:t>19</w:t>
            </w:r>
          </w:p>
        </w:tc>
        <w:tc>
          <w:tcPr>
            <w:tcW w:w="1202" w:type="dxa"/>
          </w:tcPr>
          <w:p w14:paraId="4BBC8323" w14:textId="77777777" w:rsidR="00B02873" w:rsidRPr="000D60C1" w:rsidRDefault="00B02873" w:rsidP="00603355">
            <w:pPr>
              <w:pStyle w:val="TablebodyleftTables"/>
              <w:jc w:val="right"/>
              <w:rPr>
                <w:sz w:val="20"/>
                <w:szCs w:val="20"/>
              </w:rPr>
            </w:pPr>
            <w:r w:rsidRPr="000D60C1">
              <w:rPr>
                <w:sz w:val="20"/>
                <w:szCs w:val="20"/>
              </w:rPr>
              <w:t>4,300,000</w:t>
            </w:r>
          </w:p>
        </w:tc>
        <w:tc>
          <w:tcPr>
            <w:tcW w:w="1203" w:type="dxa"/>
          </w:tcPr>
          <w:p w14:paraId="19FFB0FB" w14:textId="77777777" w:rsidR="00B02873" w:rsidRPr="000D60C1" w:rsidRDefault="00B02873" w:rsidP="00603355">
            <w:pPr>
              <w:pStyle w:val="TablebodyleftTables"/>
              <w:jc w:val="right"/>
              <w:rPr>
                <w:sz w:val="20"/>
                <w:szCs w:val="20"/>
              </w:rPr>
            </w:pPr>
            <w:r w:rsidRPr="000D60C1">
              <w:rPr>
                <w:sz w:val="20"/>
                <w:szCs w:val="20"/>
              </w:rPr>
              <w:t>3,870,000</w:t>
            </w:r>
          </w:p>
        </w:tc>
        <w:tc>
          <w:tcPr>
            <w:tcW w:w="1115" w:type="dxa"/>
          </w:tcPr>
          <w:p w14:paraId="013549CE" w14:textId="77777777" w:rsidR="00B02873" w:rsidRPr="000D60C1" w:rsidRDefault="00B02873" w:rsidP="00603355">
            <w:pPr>
              <w:pStyle w:val="TablebodyleftTables"/>
              <w:jc w:val="right"/>
              <w:rPr>
                <w:sz w:val="20"/>
                <w:szCs w:val="20"/>
              </w:rPr>
            </w:pPr>
            <w:r w:rsidRPr="000D60C1">
              <w:rPr>
                <w:sz w:val="20"/>
                <w:szCs w:val="20"/>
              </w:rPr>
              <w:t>430,000</w:t>
            </w:r>
          </w:p>
        </w:tc>
        <w:tc>
          <w:tcPr>
            <w:tcW w:w="1203" w:type="dxa"/>
          </w:tcPr>
          <w:p w14:paraId="745D1549" w14:textId="714FD1C9" w:rsidR="00B02873" w:rsidRPr="000D60C1" w:rsidRDefault="000D60C1" w:rsidP="00603355">
            <w:pPr>
              <w:pStyle w:val="TablebodyleftTables"/>
              <w:jc w:val="right"/>
              <w:rPr>
                <w:sz w:val="20"/>
                <w:szCs w:val="20"/>
              </w:rPr>
            </w:pPr>
            <w:r>
              <w:rPr>
                <w:sz w:val="20"/>
                <w:szCs w:val="20"/>
              </w:rPr>
              <w:t>–</w:t>
            </w:r>
          </w:p>
        </w:tc>
        <w:tc>
          <w:tcPr>
            <w:tcW w:w="1095" w:type="dxa"/>
          </w:tcPr>
          <w:p w14:paraId="32068D3A" w14:textId="77777777" w:rsidR="00B02873" w:rsidRPr="000D60C1" w:rsidRDefault="00B02873" w:rsidP="000D60C1">
            <w:pPr>
              <w:pStyle w:val="TablebodyleftTables"/>
              <w:rPr>
                <w:sz w:val="20"/>
                <w:szCs w:val="20"/>
              </w:rPr>
            </w:pPr>
            <w:r w:rsidRPr="000D60C1">
              <w:rPr>
                <w:sz w:val="20"/>
                <w:szCs w:val="20"/>
              </w:rPr>
              <w:t>Complete</w:t>
            </w:r>
          </w:p>
        </w:tc>
      </w:tr>
      <w:tr w:rsidR="00B02873" w:rsidRPr="000D60C1" w14:paraId="4D6EDEB5" w14:textId="77777777" w:rsidTr="000D60C1">
        <w:trPr>
          <w:trHeight w:val="60"/>
        </w:trPr>
        <w:tc>
          <w:tcPr>
            <w:tcW w:w="964" w:type="dxa"/>
          </w:tcPr>
          <w:p w14:paraId="75D646A4" w14:textId="77777777" w:rsidR="00B02873" w:rsidRPr="000D60C1" w:rsidRDefault="00B02873" w:rsidP="000D60C1">
            <w:pPr>
              <w:pStyle w:val="TablebodyleftTables"/>
              <w:rPr>
                <w:sz w:val="20"/>
                <w:szCs w:val="20"/>
              </w:rPr>
            </w:pPr>
            <w:r w:rsidRPr="000D60C1">
              <w:rPr>
                <w:sz w:val="20"/>
                <w:szCs w:val="20"/>
              </w:rPr>
              <w:t>PTV</w:t>
            </w:r>
          </w:p>
        </w:tc>
        <w:tc>
          <w:tcPr>
            <w:tcW w:w="1866" w:type="dxa"/>
          </w:tcPr>
          <w:p w14:paraId="3860ED1A" w14:textId="77777777" w:rsidR="00B02873" w:rsidRPr="000D60C1" w:rsidRDefault="00B02873" w:rsidP="000D60C1">
            <w:pPr>
              <w:pStyle w:val="TablebodyleftTables"/>
              <w:rPr>
                <w:sz w:val="20"/>
                <w:szCs w:val="20"/>
              </w:rPr>
            </w:pPr>
            <w:r w:rsidRPr="000D60C1">
              <w:rPr>
                <w:sz w:val="20"/>
                <w:szCs w:val="20"/>
              </w:rPr>
              <w:t>Route 888 Clyde – Berwick bus route</w:t>
            </w:r>
          </w:p>
        </w:tc>
        <w:tc>
          <w:tcPr>
            <w:tcW w:w="1270" w:type="dxa"/>
          </w:tcPr>
          <w:p w14:paraId="7974CB18" w14:textId="33F2DCCC" w:rsidR="00B02873" w:rsidRPr="000D60C1" w:rsidRDefault="00B02873" w:rsidP="00603355">
            <w:pPr>
              <w:pStyle w:val="TablebodyleftTables"/>
              <w:jc w:val="right"/>
              <w:rPr>
                <w:sz w:val="20"/>
                <w:szCs w:val="20"/>
              </w:rPr>
            </w:pPr>
            <w:r w:rsidRPr="000D60C1">
              <w:rPr>
                <w:sz w:val="20"/>
                <w:szCs w:val="20"/>
              </w:rPr>
              <w:t>2018</w:t>
            </w:r>
            <w:r w:rsidR="000D60C1">
              <w:rPr>
                <w:sz w:val="20"/>
                <w:szCs w:val="20"/>
              </w:rPr>
              <w:t>–</w:t>
            </w:r>
            <w:r w:rsidRPr="000D60C1">
              <w:rPr>
                <w:sz w:val="20"/>
                <w:szCs w:val="20"/>
              </w:rPr>
              <w:t>19</w:t>
            </w:r>
          </w:p>
        </w:tc>
        <w:tc>
          <w:tcPr>
            <w:tcW w:w="1202" w:type="dxa"/>
          </w:tcPr>
          <w:p w14:paraId="10A050F5" w14:textId="77777777" w:rsidR="00B02873" w:rsidRPr="000D60C1" w:rsidRDefault="00B02873" w:rsidP="00603355">
            <w:pPr>
              <w:pStyle w:val="TablebodyleftTables"/>
              <w:jc w:val="right"/>
              <w:rPr>
                <w:sz w:val="20"/>
                <w:szCs w:val="20"/>
              </w:rPr>
            </w:pPr>
            <w:r w:rsidRPr="000D60C1">
              <w:rPr>
                <w:sz w:val="20"/>
                <w:szCs w:val="20"/>
              </w:rPr>
              <w:t>3,700,000</w:t>
            </w:r>
          </w:p>
        </w:tc>
        <w:tc>
          <w:tcPr>
            <w:tcW w:w="1203" w:type="dxa"/>
          </w:tcPr>
          <w:p w14:paraId="714E7695" w14:textId="77777777" w:rsidR="00B02873" w:rsidRPr="000D60C1" w:rsidRDefault="00B02873" w:rsidP="00603355">
            <w:pPr>
              <w:pStyle w:val="TablebodyleftTables"/>
              <w:jc w:val="right"/>
              <w:rPr>
                <w:sz w:val="20"/>
                <w:szCs w:val="20"/>
              </w:rPr>
            </w:pPr>
            <w:r w:rsidRPr="000D60C1">
              <w:rPr>
                <w:sz w:val="20"/>
                <w:szCs w:val="20"/>
              </w:rPr>
              <w:t>3,515,000</w:t>
            </w:r>
          </w:p>
        </w:tc>
        <w:tc>
          <w:tcPr>
            <w:tcW w:w="1115" w:type="dxa"/>
          </w:tcPr>
          <w:p w14:paraId="6A281914" w14:textId="77777777" w:rsidR="00B02873" w:rsidRPr="000D60C1" w:rsidRDefault="00B02873" w:rsidP="00603355">
            <w:pPr>
              <w:pStyle w:val="TablebodyleftTables"/>
              <w:jc w:val="right"/>
              <w:rPr>
                <w:sz w:val="20"/>
                <w:szCs w:val="20"/>
              </w:rPr>
            </w:pPr>
            <w:r w:rsidRPr="000D60C1">
              <w:rPr>
                <w:sz w:val="20"/>
                <w:szCs w:val="20"/>
              </w:rPr>
              <w:t>185,000</w:t>
            </w:r>
          </w:p>
        </w:tc>
        <w:tc>
          <w:tcPr>
            <w:tcW w:w="1203" w:type="dxa"/>
          </w:tcPr>
          <w:p w14:paraId="1F570449" w14:textId="255B7DCE" w:rsidR="00B02873" w:rsidRPr="000D60C1" w:rsidRDefault="000D60C1" w:rsidP="00603355">
            <w:pPr>
              <w:pStyle w:val="TablebodyleftTables"/>
              <w:jc w:val="right"/>
              <w:rPr>
                <w:sz w:val="20"/>
                <w:szCs w:val="20"/>
              </w:rPr>
            </w:pPr>
            <w:r>
              <w:rPr>
                <w:sz w:val="20"/>
                <w:szCs w:val="20"/>
              </w:rPr>
              <w:t>–</w:t>
            </w:r>
          </w:p>
        </w:tc>
        <w:tc>
          <w:tcPr>
            <w:tcW w:w="1095" w:type="dxa"/>
          </w:tcPr>
          <w:p w14:paraId="684C2D33" w14:textId="77777777" w:rsidR="00B02873" w:rsidRPr="000D60C1" w:rsidRDefault="00B02873" w:rsidP="000D60C1">
            <w:pPr>
              <w:pStyle w:val="TablebodyleftTables"/>
              <w:rPr>
                <w:sz w:val="20"/>
                <w:szCs w:val="20"/>
              </w:rPr>
            </w:pPr>
            <w:r w:rsidRPr="000D60C1">
              <w:rPr>
                <w:sz w:val="20"/>
                <w:szCs w:val="20"/>
              </w:rPr>
              <w:t>Complete</w:t>
            </w:r>
          </w:p>
        </w:tc>
      </w:tr>
      <w:tr w:rsidR="00B02873" w:rsidRPr="000D60C1" w14:paraId="3CCB942A" w14:textId="77777777" w:rsidTr="000D60C1">
        <w:trPr>
          <w:trHeight w:val="60"/>
        </w:trPr>
        <w:tc>
          <w:tcPr>
            <w:tcW w:w="964" w:type="dxa"/>
          </w:tcPr>
          <w:p w14:paraId="3162B626" w14:textId="77777777" w:rsidR="00B02873" w:rsidRPr="000D60C1" w:rsidRDefault="00B02873" w:rsidP="000D60C1">
            <w:pPr>
              <w:pStyle w:val="TablebodyleftTables"/>
              <w:rPr>
                <w:sz w:val="20"/>
                <w:szCs w:val="20"/>
              </w:rPr>
            </w:pPr>
            <w:r w:rsidRPr="000D60C1">
              <w:rPr>
                <w:sz w:val="20"/>
                <w:szCs w:val="20"/>
              </w:rPr>
              <w:lastRenderedPageBreak/>
              <w:t>PTV</w:t>
            </w:r>
          </w:p>
        </w:tc>
        <w:tc>
          <w:tcPr>
            <w:tcW w:w="1866" w:type="dxa"/>
          </w:tcPr>
          <w:p w14:paraId="32F294F7" w14:textId="77777777" w:rsidR="00B02873" w:rsidRPr="000D60C1" w:rsidRDefault="00B02873" w:rsidP="000D60C1">
            <w:pPr>
              <w:pStyle w:val="TablebodyleftTables"/>
              <w:rPr>
                <w:sz w:val="20"/>
                <w:szCs w:val="20"/>
              </w:rPr>
            </w:pPr>
            <w:r w:rsidRPr="000D60C1">
              <w:rPr>
                <w:sz w:val="20"/>
                <w:szCs w:val="20"/>
              </w:rPr>
              <w:t>Metro Bus Service Improvements at Cranbourne – Casey</w:t>
            </w:r>
          </w:p>
        </w:tc>
        <w:tc>
          <w:tcPr>
            <w:tcW w:w="1270" w:type="dxa"/>
          </w:tcPr>
          <w:p w14:paraId="1F49944F" w14:textId="18A2309A" w:rsidR="00B02873" w:rsidRPr="000D60C1" w:rsidRDefault="00B02873" w:rsidP="00603355">
            <w:pPr>
              <w:pStyle w:val="TablebodyleftTables"/>
              <w:jc w:val="right"/>
              <w:rPr>
                <w:sz w:val="20"/>
                <w:szCs w:val="20"/>
              </w:rPr>
            </w:pPr>
            <w:r w:rsidRPr="000D60C1">
              <w:rPr>
                <w:sz w:val="20"/>
                <w:szCs w:val="20"/>
              </w:rPr>
              <w:t>2018</w:t>
            </w:r>
            <w:r w:rsidR="000D60C1">
              <w:rPr>
                <w:sz w:val="20"/>
                <w:szCs w:val="20"/>
              </w:rPr>
              <w:t>–</w:t>
            </w:r>
            <w:r w:rsidRPr="000D60C1">
              <w:rPr>
                <w:sz w:val="20"/>
                <w:szCs w:val="20"/>
              </w:rPr>
              <w:t>19 State Budget</w:t>
            </w:r>
          </w:p>
        </w:tc>
        <w:tc>
          <w:tcPr>
            <w:tcW w:w="1202" w:type="dxa"/>
          </w:tcPr>
          <w:p w14:paraId="64CB669A" w14:textId="77777777" w:rsidR="00B02873" w:rsidRPr="000D60C1" w:rsidRDefault="00B02873" w:rsidP="00603355">
            <w:pPr>
              <w:pStyle w:val="TablebodyleftTables"/>
              <w:jc w:val="right"/>
              <w:rPr>
                <w:sz w:val="20"/>
                <w:szCs w:val="20"/>
              </w:rPr>
            </w:pPr>
            <w:r w:rsidRPr="000D60C1">
              <w:rPr>
                <w:sz w:val="20"/>
                <w:szCs w:val="20"/>
              </w:rPr>
              <w:t>2,100,000</w:t>
            </w:r>
          </w:p>
        </w:tc>
        <w:tc>
          <w:tcPr>
            <w:tcW w:w="1203" w:type="dxa"/>
          </w:tcPr>
          <w:p w14:paraId="6A2BFBDB" w14:textId="77777777" w:rsidR="00B02873" w:rsidRPr="000D60C1" w:rsidRDefault="00B02873" w:rsidP="00603355">
            <w:pPr>
              <w:pStyle w:val="TablebodyleftTables"/>
              <w:jc w:val="right"/>
              <w:rPr>
                <w:sz w:val="20"/>
                <w:szCs w:val="20"/>
              </w:rPr>
            </w:pPr>
            <w:r w:rsidRPr="000D60C1">
              <w:rPr>
                <w:sz w:val="20"/>
                <w:szCs w:val="20"/>
              </w:rPr>
              <w:t>2,100,000</w:t>
            </w:r>
          </w:p>
        </w:tc>
        <w:tc>
          <w:tcPr>
            <w:tcW w:w="1115" w:type="dxa"/>
          </w:tcPr>
          <w:p w14:paraId="3469FF90" w14:textId="2E4AFAEE" w:rsidR="00B02873" w:rsidRPr="000D60C1" w:rsidRDefault="000D60C1" w:rsidP="00603355">
            <w:pPr>
              <w:pStyle w:val="TablebodyleftTables"/>
              <w:jc w:val="right"/>
              <w:rPr>
                <w:sz w:val="20"/>
                <w:szCs w:val="20"/>
              </w:rPr>
            </w:pPr>
            <w:r>
              <w:rPr>
                <w:sz w:val="20"/>
                <w:szCs w:val="20"/>
              </w:rPr>
              <w:t>–</w:t>
            </w:r>
          </w:p>
        </w:tc>
        <w:tc>
          <w:tcPr>
            <w:tcW w:w="1203" w:type="dxa"/>
          </w:tcPr>
          <w:p w14:paraId="617E0C94" w14:textId="666D946A" w:rsidR="00B02873" w:rsidRPr="000D60C1" w:rsidRDefault="000D60C1" w:rsidP="00603355">
            <w:pPr>
              <w:pStyle w:val="TablebodyleftTables"/>
              <w:jc w:val="right"/>
              <w:rPr>
                <w:sz w:val="20"/>
                <w:szCs w:val="20"/>
              </w:rPr>
            </w:pPr>
            <w:r>
              <w:rPr>
                <w:sz w:val="20"/>
                <w:szCs w:val="20"/>
              </w:rPr>
              <w:t>–</w:t>
            </w:r>
          </w:p>
        </w:tc>
        <w:tc>
          <w:tcPr>
            <w:tcW w:w="1095" w:type="dxa"/>
          </w:tcPr>
          <w:p w14:paraId="3BB57EBB" w14:textId="77777777" w:rsidR="00B02873" w:rsidRPr="000D60C1" w:rsidRDefault="00B02873" w:rsidP="000D60C1">
            <w:pPr>
              <w:pStyle w:val="TablebodyleftTables"/>
              <w:rPr>
                <w:sz w:val="20"/>
                <w:szCs w:val="20"/>
              </w:rPr>
            </w:pPr>
            <w:r w:rsidRPr="000D60C1">
              <w:rPr>
                <w:sz w:val="20"/>
                <w:szCs w:val="20"/>
              </w:rPr>
              <w:t>Complete</w:t>
            </w:r>
          </w:p>
        </w:tc>
      </w:tr>
      <w:tr w:rsidR="00B02873" w:rsidRPr="000D60C1" w14:paraId="5BBD50E2" w14:textId="77777777" w:rsidTr="000D60C1">
        <w:trPr>
          <w:trHeight w:val="60"/>
        </w:trPr>
        <w:tc>
          <w:tcPr>
            <w:tcW w:w="964" w:type="dxa"/>
          </w:tcPr>
          <w:p w14:paraId="68FFECFE" w14:textId="77777777" w:rsidR="00B02873" w:rsidRPr="000D60C1" w:rsidRDefault="00B02873" w:rsidP="000D60C1">
            <w:pPr>
              <w:pStyle w:val="TablebodyleftTables"/>
              <w:rPr>
                <w:sz w:val="20"/>
                <w:szCs w:val="20"/>
              </w:rPr>
            </w:pPr>
            <w:r w:rsidRPr="000D60C1">
              <w:rPr>
                <w:sz w:val="20"/>
                <w:szCs w:val="20"/>
              </w:rPr>
              <w:t>PTV</w:t>
            </w:r>
          </w:p>
        </w:tc>
        <w:tc>
          <w:tcPr>
            <w:tcW w:w="1866" w:type="dxa"/>
          </w:tcPr>
          <w:p w14:paraId="3D33AF08" w14:textId="77777777" w:rsidR="00B02873" w:rsidRPr="000D60C1" w:rsidRDefault="00B02873" w:rsidP="000D60C1">
            <w:pPr>
              <w:pStyle w:val="TablebodyleftTables"/>
              <w:rPr>
                <w:sz w:val="20"/>
                <w:szCs w:val="20"/>
              </w:rPr>
            </w:pPr>
            <w:r w:rsidRPr="000D60C1">
              <w:rPr>
                <w:sz w:val="20"/>
                <w:szCs w:val="20"/>
              </w:rPr>
              <w:t>Metro Bus Service Improvements at Narre Warren North – Casey</w:t>
            </w:r>
          </w:p>
        </w:tc>
        <w:tc>
          <w:tcPr>
            <w:tcW w:w="1270" w:type="dxa"/>
          </w:tcPr>
          <w:p w14:paraId="02CE88D2" w14:textId="780A3921" w:rsidR="00B02873" w:rsidRPr="000D60C1" w:rsidRDefault="00B02873" w:rsidP="00603355">
            <w:pPr>
              <w:pStyle w:val="TablebodyleftTables"/>
              <w:jc w:val="right"/>
              <w:rPr>
                <w:sz w:val="20"/>
                <w:szCs w:val="20"/>
              </w:rPr>
            </w:pPr>
            <w:r w:rsidRPr="000D60C1">
              <w:rPr>
                <w:sz w:val="20"/>
                <w:szCs w:val="20"/>
              </w:rPr>
              <w:t>2018</w:t>
            </w:r>
            <w:r w:rsidR="000D60C1">
              <w:rPr>
                <w:sz w:val="20"/>
                <w:szCs w:val="20"/>
              </w:rPr>
              <w:t>–</w:t>
            </w:r>
            <w:r w:rsidRPr="000D60C1">
              <w:rPr>
                <w:sz w:val="20"/>
                <w:szCs w:val="20"/>
              </w:rPr>
              <w:t>19 State Budget</w:t>
            </w:r>
          </w:p>
        </w:tc>
        <w:tc>
          <w:tcPr>
            <w:tcW w:w="1202" w:type="dxa"/>
          </w:tcPr>
          <w:p w14:paraId="48639BA2" w14:textId="77777777" w:rsidR="00B02873" w:rsidRPr="000D60C1" w:rsidRDefault="00B02873" w:rsidP="00603355">
            <w:pPr>
              <w:pStyle w:val="TablebodyleftTables"/>
              <w:jc w:val="right"/>
              <w:rPr>
                <w:sz w:val="20"/>
                <w:szCs w:val="20"/>
              </w:rPr>
            </w:pPr>
            <w:r w:rsidRPr="000D60C1">
              <w:rPr>
                <w:sz w:val="20"/>
                <w:szCs w:val="20"/>
              </w:rPr>
              <w:t>1,200,000</w:t>
            </w:r>
          </w:p>
        </w:tc>
        <w:tc>
          <w:tcPr>
            <w:tcW w:w="1203" w:type="dxa"/>
          </w:tcPr>
          <w:p w14:paraId="30566A4D" w14:textId="77777777" w:rsidR="00B02873" w:rsidRPr="000D60C1" w:rsidRDefault="00B02873" w:rsidP="00603355">
            <w:pPr>
              <w:pStyle w:val="TablebodyleftTables"/>
              <w:jc w:val="right"/>
              <w:rPr>
                <w:sz w:val="20"/>
                <w:szCs w:val="20"/>
              </w:rPr>
            </w:pPr>
            <w:r w:rsidRPr="000D60C1">
              <w:rPr>
                <w:sz w:val="20"/>
                <w:szCs w:val="20"/>
              </w:rPr>
              <w:t>1,200,000</w:t>
            </w:r>
          </w:p>
        </w:tc>
        <w:tc>
          <w:tcPr>
            <w:tcW w:w="1115" w:type="dxa"/>
          </w:tcPr>
          <w:p w14:paraId="7E38CB49" w14:textId="6B874CA7" w:rsidR="00B02873" w:rsidRPr="000D60C1" w:rsidRDefault="000D60C1" w:rsidP="00603355">
            <w:pPr>
              <w:pStyle w:val="TablebodyleftTables"/>
              <w:jc w:val="right"/>
              <w:rPr>
                <w:sz w:val="20"/>
                <w:szCs w:val="20"/>
              </w:rPr>
            </w:pPr>
            <w:r>
              <w:rPr>
                <w:sz w:val="20"/>
                <w:szCs w:val="20"/>
              </w:rPr>
              <w:t>–</w:t>
            </w:r>
          </w:p>
        </w:tc>
        <w:tc>
          <w:tcPr>
            <w:tcW w:w="1203" w:type="dxa"/>
          </w:tcPr>
          <w:p w14:paraId="63DB9C04" w14:textId="21A931CB" w:rsidR="00B02873" w:rsidRPr="000D60C1" w:rsidRDefault="000D60C1" w:rsidP="00603355">
            <w:pPr>
              <w:pStyle w:val="TablebodyleftTables"/>
              <w:jc w:val="right"/>
              <w:rPr>
                <w:sz w:val="20"/>
                <w:szCs w:val="20"/>
              </w:rPr>
            </w:pPr>
            <w:r>
              <w:rPr>
                <w:sz w:val="20"/>
                <w:szCs w:val="20"/>
              </w:rPr>
              <w:t>–</w:t>
            </w:r>
          </w:p>
        </w:tc>
        <w:tc>
          <w:tcPr>
            <w:tcW w:w="1095" w:type="dxa"/>
          </w:tcPr>
          <w:p w14:paraId="7AFD1FE3" w14:textId="77777777" w:rsidR="00B02873" w:rsidRPr="000D60C1" w:rsidRDefault="00B02873" w:rsidP="000D60C1">
            <w:pPr>
              <w:pStyle w:val="TablebodyleftTables"/>
              <w:rPr>
                <w:sz w:val="20"/>
                <w:szCs w:val="20"/>
              </w:rPr>
            </w:pPr>
            <w:r w:rsidRPr="000D60C1">
              <w:rPr>
                <w:sz w:val="20"/>
                <w:szCs w:val="20"/>
              </w:rPr>
              <w:t>Active</w:t>
            </w:r>
          </w:p>
        </w:tc>
      </w:tr>
      <w:tr w:rsidR="00B02873" w:rsidRPr="000D60C1" w14:paraId="2F05E53F" w14:textId="77777777" w:rsidTr="000D60C1">
        <w:trPr>
          <w:trHeight w:val="60"/>
        </w:trPr>
        <w:tc>
          <w:tcPr>
            <w:tcW w:w="964" w:type="dxa"/>
          </w:tcPr>
          <w:p w14:paraId="08D4CD0A" w14:textId="77777777" w:rsidR="00B02873" w:rsidRPr="000D60C1" w:rsidRDefault="00B02873" w:rsidP="000D60C1">
            <w:pPr>
              <w:pStyle w:val="TablebodyleftTables"/>
              <w:rPr>
                <w:sz w:val="20"/>
                <w:szCs w:val="20"/>
              </w:rPr>
            </w:pPr>
            <w:r w:rsidRPr="000D60C1">
              <w:rPr>
                <w:sz w:val="20"/>
                <w:szCs w:val="20"/>
              </w:rPr>
              <w:t>DoT</w:t>
            </w:r>
          </w:p>
        </w:tc>
        <w:tc>
          <w:tcPr>
            <w:tcW w:w="1866" w:type="dxa"/>
          </w:tcPr>
          <w:p w14:paraId="66CAB16D" w14:textId="77777777" w:rsidR="00B02873" w:rsidRPr="000D60C1" w:rsidRDefault="00B02873" w:rsidP="000D60C1">
            <w:pPr>
              <w:pStyle w:val="TablebodyleftTables"/>
              <w:rPr>
                <w:sz w:val="20"/>
                <w:szCs w:val="20"/>
              </w:rPr>
            </w:pPr>
            <w:r w:rsidRPr="000D60C1">
              <w:rPr>
                <w:sz w:val="20"/>
                <w:szCs w:val="20"/>
              </w:rPr>
              <w:t>Cranbourne Rail Corridor Duplication Shared User Path</w:t>
            </w:r>
          </w:p>
        </w:tc>
        <w:tc>
          <w:tcPr>
            <w:tcW w:w="1270" w:type="dxa"/>
          </w:tcPr>
          <w:p w14:paraId="090596AA" w14:textId="474CADA5" w:rsidR="00B02873" w:rsidRPr="000D60C1" w:rsidRDefault="00B02873" w:rsidP="00603355">
            <w:pPr>
              <w:pStyle w:val="TablebodyleftTables"/>
              <w:jc w:val="right"/>
              <w:rPr>
                <w:sz w:val="20"/>
                <w:szCs w:val="20"/>
              </w:rPr>
            </w:pPr>
            <w:r w:rsidRPr="000D60C1">
              <w:rPr>
                <w:sz w:val="20"/>
                <w:szCs w:val="20"/>
              </w:rPr>
              <w:t>2019</w:t>
            </w:r>
            <w:r w:rsidR="000D60C1">
              <w:rPr>
                <w:sz w:val="20"/>
                <w:szCs w:val="20"/>
              </w:rPr>
              <w:t>–</w:t>
            </w:r>
            <w:r w:rsidRPr="000D60C1">
              <w:rPr>
                <w:sz w:val="20"/>
                <w:szCs w:val="20"/>
              </w:rPr>
              <w:t>20</w:t>
            </w:r>
          </w:p>
        </w:tc>
        <w:tc>
          <w:tcPr>
            <w:tcW w:w="1202" w:type="dxa"/>
          </w:tcPr>
          <w:p w14:paraId="3671B919" w14:textId="77777777" w:rsidR="00B02873" w:rsidRPr="000D60C1" w:rsidRDefault="00B02873" w:rsidP="00603355">
            <w:pPr>
              <w:pStyle w:val="TablebodyleftTables"/>
              <w:jc w:val="right"/>
              <w:rPr>
                <w:sz w:val="20"/>
                <w:szCs w:val="20"/>
              </w:rPr>
            </w:pPr>
            <w:r w:rsidRPr="000D60C1">
              <w:rPr>
                <w:sz w:val="20"/>
                <w:szCs w:val="20"/>
              </w:rPr>
              <w:t>15,000,000</w:t>
            </w:r>
          </w:p>
        </w:tc>
        <w:tc>
          <w:tcPr>
            <w:tcW w:w="1203" w:type="dxa"/>
          </w:tcPr>
          <w:p w14:paraId="43D6B68B" w14:textId="77777777" w:rsidR="00B02873" w:rsidRPr="000D60C1" w:rsidRDefault="00B02873" w:rsidP="00603355">
            <w:pPr>
              <w:pStyle w:val="TablebodyleftTables"/>
              <w:jc w:val="right"/>
              <w:rPr>
                <w:sz w:val="20"/>
                <w:szCs w:val="20"/>
              </w:rPr>
            </w:pPr>
            <w:r w:rsidRPr="000D60C1">
              <w:rPr>
                <w:sz w:val="20"/>
                <w:szCs w:val="20"/>
              </w:rPr>
              <w:t>13,500,000</w:t>
            </w:r>
          </w:p>
        </w:tc>
        <w:tc>
          <w:tcPr>
            <w:tcW w:w="1115" w:type="dxa"/>
          </w:tcPr>
          <w:p w14:paraId="1F25D0C2" w14:textId="35FD416A" w:rsidR="00B02873" w:rsidRPr="000D60C1" w:rsidRDefault="000D60C1" w:rsidP="00603355">
            <w:pPr>
              <w:pStyle w:val="TablebodyleftTables"/>
              <w:jc w:val="right"/>
              <w:rPr>
                <w:sz w:val="20"/>
                <w:szCs w:val="20"/>
              </w:rPr>
            </w:pPr>
            <w:r>
              <w:rPr>
                <w:sz w:val="20"/>
                <w:szCs w:val="20"/>
              </w:rPr>
              <w:t>–</w:t>
            </w:r>
          </w:p>
        </w:tc>
        <w:tc>
          <w:tcPr>
            <w:tcW w:w="1203" w:type="dxa"/>
          </w:tcPr>
          <w:p w14:paraId="08C6694A" w14:textId="77777777" w:rsidR="00B02873" w:rsidRPr="000D60C1" w:rsidRDefault="00B02873" w:rsidP="00603355">
            <w:pPr>
              <w:pStyle w:val="TablebodyleftTables"/>
              <w:jc w:val="right"/>
              <w:rPr>
                <w:sz w:val="20"/>
                <w:szCs w:val="20"/>
              </w:rPr>
            </w:pPr>
            <w:r w:rsidRPr="000D60C1">
              <w:rPr>
                <w:sz w:val="20"/>
                <w:szCs w:val="20"/>
              </w:rPr>
              <w:t>1,500,000</w:t>
            </w:r>
          </w:p>
        </w:tc>
        <w:tc>
          <w:tcPr>
            <w:tcW w:w="1095" w:type="dxa"/>
          </w:tcPr>
          <w:p w14:paraId="3EC1E1F2" w14:textId="77777777" w:rsidR="00B02873" w:rsidRPr="000D60C1" w:rsidRDefault="00B02873" w:rsidP="000D60C1">
            <w:pPr>
              <w:pStyle w:val="TablebodyleftTables"/>
              <w:rPr>
                <w:sz w:val="20"/>
                <w:szCs w:val="20"/>
              </w:rPr>
            </w:pPr>
            <w:r w:rsidRPr="000D60C1">
              <w:rPr>
                <w:sz w:val="20"/>
                <w:szCs w:val="20"/>
              </w:rPr>
              <w:t>Active</w:t>
            </w:r>
          </w:p>
        </w:tc>
      </w:tr>
      <w:tr w:rsidR="00B02873" w:rsidRPr="000D60C1" w14:paraId="0D493AA0" w14:textId="77777777" w:rsidTr="000D60C1">
        <w:trPr>
          <w:trHeight w:val="60"/>
        </w:trPr>
        <w:tc>
          <w:tcPr>
            <w:tcW w:w="964" w:type="dxa"/>
          </w:tcPr>
          <w:p w14:paraId="10385DAF" w14:textId="77777777" w:rsidR="00B02873" w:rsidRPr="000D60C1" w:rsidRDefault="00B02873" w:rsidP="000D60C1">
            <w:pPr>
              <w:pStyle w:val="TablebodyleftTables"/>
              <w:rPr>
                <w:sz w:val="20"/>
                <w:szCs w:val="20"/>
              </w:rPr>
            </w:pPr>
            <w:r w:rsidRPr="000D60C1">
              <w:rPr>
                <w:sz w:val="20"/>
                <w:szCs w:val="20"/>
              </w:rPr>
              <w:t>DoT</w:t>
            </w:r>
          </w:p>
        </w:tc>
        <w:tc>
          <w:tcPr>
            <w:tcW w:w="1866" w:type="dxa"/>
          </w:tcPr>
          <w:p w14:paraId="5D6EB41A" w14:textId="77777777" w:rsidR="00B02873" w:rsidRPr="000D60C1" w:rsidRDefault="00B02873" w:rsidP="000D60C1">
            <w:pPr>
              <w:pStyle w:val="TablebodyleftTables"/>
              <w:rPr>
                <w:sz w:val="20"/>
                <w:szCs w:val="20"/>
              </w:rPr>
            </w:pPr>
            <w:r w:rsidRPr="000D60C1">
              <w:rPr>
                <w:sz w:val="20"/>
                <w:szCs w:val="20"/>
              </w:rPr>
              <w:t>Extension of 881 Merinda Park to Clyde North bus route</w:t>
            </w:r>
          </w:p>
        </w:tc>
        <w:tc>
          <w:tcPr>
            <w:tcW w:w="1270" w:type="dxa"/>
          </w:tcPr>
          <w:p w14:paraId="7B0025C1" w14:textId="13BD8337" w:rsidR="00B02873" w:rsidRPr="000D60C1" w:rsidRDefault="00B02873" w:rsidP="00603355">
            <w:pPr>
              <w:pStyle w:val="TablebodyleftTables"/>
              <w:jc w:val="right"/>
              <w:rPr>
                <w:sz w:val="20"/>
                <w:szCs w:val="20"/>
              </w:rPr>
            </w:pPr>
            <w:r w:rsidRPr="000D60C1">
              <w:rPr>
                <w:sz w:val="20"/>
                <w:szCs w:val="20"/>
              </w:rPr>
              <w:t>2019</w:t>
            </w:r>
            <w:r w:rsidR="000D60C1">
              <w:rPr>
                <w:sz w:val="20"/>
                <w:szCs w:val="20"/>
              </w:rPr>
              <w:t>–</w:t>
            </w:r>
            <w:r w:rsidRPr="000D60C1">
              <w:rPr>
                <w:sz w:val="20"/>
                <w:szCs w:val="20"/>
              </w:rPr>
              <w:t>20</w:t>
            </w:r>
          </w:p>
        </w:tc>
        <w:tc>
          <w:tcPr>
            <w:tcW w:w="1202" w:type="dxa"/>
          </w:tcPr>
          <w:p w14:paraId="4FB554EC" w14:textId="77777777" w:rsidR="00B02873" w:rsidRPr="000D60C1" w:rsidRDefault="00B02873" w:rsidP="00603355">
            <w:pPr>
              <w:pStyle w:val="TablebodyleftTables"/>
              <w:jc w:val="right"/>
              <w:rPr>
                <w:sz w:val="20"/>
                <w:szCs w:val="20"/>
              </w:rPr>
            </w:pPr>
            <w:r w:rsidRPr="000D60C1">
              <w:rPr>
                <w:sz w:val="20"/>
                <w:szCs w:val="20"/>
              </w:rPr>
              <w:t>10,455,000</w:t>
            </w:r>
          </w:p>
        </w:tc>
        <w:tc>
          <w:tcPr>
            <w:tcW w:w="1203" w:type="dxa"/>
          </w:tcPr>
          <w:p w14:paraId="7A87CCA7" w14:textId="77777777" w:rsidR="00B02873" w:rsidRPr="000D60C1" w:rsidRDefault="00B02873" w:rsidP="00603355">
            <w:pPr>
              <w:pStyle w:val="TablebodyleftTables"/>
              <w:jc w:val="right"/>
              <w:rPr>
                <w:sz w:val="20"/>
                <w:szCs w:val="20"/>
              </w:rPr>
            </w:pPr>
            <w:r w:rsidRPr="000D60C1">
              <w:rPr>
                <w:sz w:val="20"/>
                <w:szCs w:val="20"/>
              </w:rPr>
              <w:t>9,409,500</w:t>
            </w:r>
          </w:p>
        </w:tc>
        <w:tc>
          <w:tcPr>
            <w:tcW w:w="1115" w:type="dxa"/>
          </w:tcPr>
          <w:p w14:paraId="46C32A96" w14:textId="77777777" w:rsidR="00B02873" w:rsidRPr="000D60C1" w:rsidRDefault="00B02873" w:rsidP="00603355">
            <w:pPr>
              <w:pStyle w:val="TablebodyleftTables"/>
              <w:jc w:val="right"/>
              <w:rPr>
                <w:sz w:val="20"/>
                <w:szCs w:val="20"/>
              </w:rPr>
            </w:pPr>
            <w:r w:rsidRPr="000D60C1">
              <w:rPr>
                <w:sz w:val="20"/>
                <w:szCs w:val="20"/>
              </w:rPr>
              <w:t>1,045,500</w:t>
            </w:r>
          </w:p>
        </w:tc>
        <w:tc>
          <w:tcPr>
            <w:tcW w:w="1203" w:type="dxa"/>
          </w:tcPr>
          <w:p w14:paraId="4845A983" w14:textId="34D7789B" w:rsidR="00B02873" w:rsidRPr="000D60C1" w:rsidRDefault="000D60C1" w:rsidP="00603355">
            <w:pPr>
              <w:pStyle w:val="TablebodyleftTables"/>
              <w:jc w:val="right"/>
              <w:rPr>
                <w:sz w:val="20"/>
                <w:szCs w:val="20"/>
              </w:rPr>
            </w:pPr>
            <w:r>
              <w:rPr>
                <w:sz w:val="20"/>
                <w:szCs w:val="20"/>
              </w:rPr>
              <w:t>–</w:t>
            </w:r>
          </w:p>
        </w:tc>
        <w:tc>
          <w:tcPr>
            <w:tcW w:w="1095" w:type="dxa"/>
          </w:tcPr>
          <w:p w14:paraId="3384EB72" w14:textId="77777777" w:rsidR="00B02873" w:rsidRPr="000D60C1" w:rsidRDefault="00B02873" w:rsidP="000D60C1">
            <w:pPr>
              <w:pStyle w:val="TablebodyleftTables"/>
              <w:rPr>
                <w:sz w:val="20"/>
                <w:szCs w:val="20"/>
              </w:rPr>
            </w:pPr>
            <w:r w:rsidRPr="000D60C1">
              <w:rPr>
                <w:sz w:val="20"/>
                <w:szCs w:val="20"/>
              </w:rPr>
              <w:t>Active</w:t>
            </w:r>
          </w:p>
        </w:tc>
      </w:tr>
      <w:tr w:rsidR="00B02873" w:rsidRPr="000D60C1" w14:paraId="04F7DDDC" w14:textId="77777777" w:rsidTr="000D60C1">
        <w:trPr>
          <w:trHeight w:val="60"/>
        </w:trPr>
        <w:tc>
          <w:tcPr>
            <w:tcW w:w="964" w:type="dxa"/>
          </w:tcPr>
          <w:p w14:paraId="4D5AC72B" w14:textId="77777777" w:rsidR="00B02873" w:rsidRPr="000D60C1" w:rsidRDefault="00B02873" w:rsidP="000D60C1">
            <w:pPr>
              <w:pStyle w:val="TablebodyleftTables"/>
              <w:rPr>
                <w:sz w:val="20"/>
                <w:szCs w:val="20"/>
              </w:rPr>
            </w:pPr>
            <w:r w:rsidRPr="000D60C1">
              <w:rPr>
                <w:sz w:val="20"/>
                <w:szCs w:val="20"/>
              </w:rPr>
              <w:t>DoT</w:t>
            </w:r>
          </w:p>
        </w:tc>
        <w:tc>
          <w:tcPr>
            <w:tcW w:w="1866" w:type="dxa"/>
          </w:tcPr>
          <w:p w14:paraId="2E979B8E" w14:textId="77777777" w:rsidR="00B02873" w:rsidRPr="000D60C1" w:rsidRDefault="00B02873" w:rsidP="000D60C1">
            <w:pPr>
              <w:pStyle w:val="TablebodyleftTables"/>
              <w:rPr>
                <w:sz w:val="20"/>
                <w:szCs w:val="20"/>
              </w:rPr>
            </w:pPr>
            <w:r w:rsidRPr="000D60C1">
              <w:rPr>
                <w:sz w:val="20"/>
                <w:szCs w:val="20"/>
              </w:rPr>
              <w:t>Berwick Station Bus Interchange</w:t>
            </w:r>
          </w:p>
        </w:tc>
        <w:tc>
          <w:tcPr>
            <w:tcW w:w="1270" w:type="dxa"/>
          </w:tcPr>
          <w:p w14:paraId="093775C0" w14:textId="6B247CE3" w:rsidR="00B02873" w:rsidRPr="000D60C1" w:rsidRDefault="00B02873" w:rsidP="00603355">
            <w:pPr>
              <w:pStyle w:val="TablebodyleftTables"/>
              <w:jc w:val="right"/>
              <w:rPr>
                <w:sz w:val="20"/>
                <w:szCs w:val="20"/>
              </w:rPr>
            </w:pPr>
            <w:r w:rsidRPr="000D60C1">
              <w:rPr>
                <w:sz w:val="20"/>
                <w:szCs w:val="20"/>
              </w:rPr>
              <w:t>2019</w:t>
            </w:r>
            <w:r w:rsidR="000D60C1">
              <w:rPr>
                <w:sz w:val="20"/>
                <w:szCs w:val="20"/>
              </w:rPr>
              <w:t>–</w:t>
            </w:r>
            <w:r w:rsidRPr="000D60C1">
              <w:rPr>
                <w:sz w:val="20"/>
                <w:szCs w:val="20"/>
              </w:rPr>
              <w:t>20</w:t>
            </w:r>
          </w:p>
        </w:tc>
        <w:tc>
          <w:tcPr>
            <w:tcW w:w="1202" w:type="dxa"/>
          </w:tcPr>
          <w:p w14:paraId="2FACEE17" w14:textId="77777777" w:rsidR="00B02873" w:rsidRPr="000D60C1" w:rsidRDefault="00B02873" w:rsidP="00603355">
            <w:pPr>
              <w:pStyle w:val="TablebodyleftTables"/>
              <w:jc w:val="right"/>
              <w:rPr>
                <w:sz w:val="20"/>
                <w:szCs w:val="20"/>
              </w:rPr>
            </w:pPr>
            <w:r w:rsidRPr="000D60C1">
              <w:rPr>
                <w:sz w:val="20"/>
                <w:szCs w:val="20"/>
              </w:rPr>
              <w:t>20,817,000</w:t>
            </w:r>
          </w:p>
        </w:tc>
        <w:tc>
          <w:tcPr>
            <w:tcW w:w="1203" w:type="dxa"/>
          </w:tcPr>
          <w:p w14:paraId="1836A9B2" w14:textId="77777777" w:rsidR="00B02873" w:rsidRPr="000D60C1" w:rsidRDefault="00B02873" w:rsidP="00603355">
            <w:pPr>
              <w:pStyle w:val="TablebodyleftTables"/>
              <w:jc w:val="right"/>
              <w:rPr>
                <w:sz w:val="20"/>
                <w:szCs w:val="20"/>
              </w:rPr>
            </w:pPr>
            <w:r w:rsidRPr="000D60C1">
              <w:rPr>
                <w:sz w:val="20"/>
                <w:szCs w:val="20"/>
              </w:rPr>
              <w:t>3,800,000</w:t>
            </w:r>
          </w:p>
        </w:tc>
        <w:tc>
          <w:tcPr>
            <w:tcW w:w="1115" w:type="dxa"/>
          </w:tcPr>
          <w:p w14:paraId="0418D421" w14:textId="77777777" w:rsidR="00B02873" w:rsidRPr="000D60C1" w:rsidRDefault="00B02873" w:rsidP="00603355">
            <w:pPr>
              <w:pStyle w:val="TablebodyleftTables"/>
              <w:jc w:val="right"/>
              <w:rPr>
                <w:sz w:val="20"/>
                <w:szCs w:val="20"/>
              </w:rPr>
            </w:pPr>
            <w:r w:rsidRPr="000D60C1">
              <w:rPr>
                <w:sz w:val="20"/>
                <w:szCs w:val="20"/>
              </w:rPr>
              <w:t>15,017,000</w:t>
            </w:r>
          </w:p>
        </w:tc>
        <w:tc>
          <w:tcPr>
            <w:tcW w:w="1203" w:type="dxa"/>
          </w:tcPr>
          <w:p w14:paraId="478EADE2" w14:textId="77777777" w:rsidR="00B02873" w:rsidRPr="000D60C1" w:rsidRDefault="00B02873" w:rsidP="00603355">
            <w:pPr>
              <w:pStyle w:val="TablebodyleftTables"/>
              <w:jc w:val="right"/>
              <w:rPr>
                <w:sz w:val="20"/>
                <w:szCs w:val="20"/>
              </w:rPr>
            </w:pPr>
            <w:r w:rsidRPr="000D60C1">
              <w:rPr>
                <w:sz w:val="20"/>
                <w:szCs w:val="20"/>
              </w:rPr>
              <w:t>2,000,000</w:t>
            </w:r>
          </w:p>
        </w:tc>
        <w:tc>
          <w:tcPr>
            <w:tcW w:w="1095" w:type="dxa"/>
          </w:tcPr>
          <w:p w14:paraId="47B1A446" w14:textId="77777777" w:rsidR="00B02873" w:rsidRPr="000D60C1" w:rsidRDefault="00B02873" w:rsidP="000D60C1">
            <w:pPr>
              <w:pStyle w:val="TablebodyleftTables"/>
              <w:rPr>
                <w:sz w:val="20"/>
                <w:szCs w:val="20"/>
              </w:rPr>
            </w:pPr>
            <w:r w:rsidRPr="000D60C1">
              <w:rPr>
                <w:sz w:val="20"/>
                <w:szCs w:val="20"/>
              </w:rPr>
              <w:t>Active</w:t>
            </w:r>
          </w:p>
        </w:tc>
      </w:tr>
      <w:tr w:rsidR="00B02873" w:rsidRPr="007B509E" w14:paraId="28E43445" w14:textId="77777777" w:rsidTr="000D60C1">
        <w:trPr>
          <w:trHeight w:val="60"/>
        </w:trPr>
        <w:tc>
          <w:tcPr>
            <w:tcW w:w="964" w:type="dxa"/>
          </w:tcPr>
          <w:p w14:paraId="3406FEE3" w14:textId="77777777" w:rsidR="00B02873" w:rsidRPr="007B509E" w:rsidRDefault="00B02873" w:rsidP="000D60C1">
            <w:pPr>
              <w:pStyle w:val="TablebodyleftTables"/>
              <w:rPr>
                <w:b/>
                <w:bCs/>
                <w:sz w:val="20"/>
                <w:szCs w:val="20"/>
              </w:rPr>
            </w:pPr>
            <w:r w:rsidRPr="007B509E">
              <w:rPr>
                <w:b/>
                <w:bCs/>
                <w:sz w:val="20"/>
                <w:szCs w:val="20"/>
              </w:rPr>
              <w:t>Total</w:t>
            </w:r>
          </w:p>
        </w:tc>
        <w:tc>
          <w:tcPr>
            <w:tcW w:w="1866" w:type="dxa"/>
          </w:tcPr>
          <w:p w14:paraId="0B6D2CA0" w14:textId="77777777" w:rsidR="00B02873" w:rsidRPr="007B509E" w:rsidRDefault="00B02873" w:rsidP="000D60C1">
            <w:pPr>
              <w:pStyle w:val="TablebodyleftTables"/>
              <w:rPr>
                <w:rFonts w:cs="Times New Roman"/>
                <w:b/>
                <w:bCs/>
                <w:sz w:val="20"/>
                <w:szCs w:val="20"/>
              </w:rPr>
            </w:pPr>
          </w:p>
        </w:tc>
        <w:tc>
          <w:tcPr>
            <w:tcW w:w="1270" w:type="dxa"/>
          </w:tcPr>
          <w:p w14:paraId="7655A7A6" w14:textId="77777777" w:rsidR="00B02873" w:rsidRPr="007B509E" w:rsidRDefault="00B02873" w:rsidP="00603355">
            <w:pPr>
              <w:pStyle w:val="TablebodyleftTables"/>
              <w:jc w:val="right"/>
              <w:rPr>
                <w:rFonts w:cs="Times New Roman"/>
                <w:b/>
                <w:bCs/>
                <w:sz w:val="20"/>
                <w:szCs w:val="20"/>
              </w:rPr>
            </w:pPr>
          </w:p>
        </w:tc>
        <w:tc>
          <w:tcPr>
            <w:tcW w:w="1202" w:type="dxa"/>
          </w:tcPr>
          <w:p w14:paraId="4F0D8DFB" w14:textId="77777777" w:rsidR="00B02873" w:rsidRPr="007B509E" w:rsidRDefault="00B02873" w:rsidP="00603355">
            <w:pPr>
              <w:pStyle w:val="TablebodyleftTables"/>
              <w:jc w:val="right"/>
              <w:rPr>
                <w:b/>
                <w:bCs/>
                <w:sz w:val="20"/>
                <w:szCs w:val="20"/>
              </w:rPr>
            </w:pPr>
            <w:r w:rsidRPr="007B509E">
              <w:rPr>
                <w:b/>
                <w:bCs/>
                <w:sz w:val="20"/>
                <w:szCs w:val="20"/>
              </w:rPr>
              <w:t>76,066,000</w:t>
            </w:r>
          </w:p>
        </w:tc>
        <w:tc>
          <w:tcPr>
            <w:tcW w:w="1203" w:type="dxa"/>
          </w:tcPr>
          <w:p w14:paraId="560CA7A1" w14:textId="77777777" w:rsidR="00B02873" w:rsidRPr="007B509E" w:rsidRDefault="00B02873" w:rsidP="00603355">
            <w:pPr>
              <w:pStyle w:val="TablebodyleftTables"/>
              <w:jc w:val="right"/>
              <w:rPr>
                <w:b/>
                <w:bCs/>
                <w:sz w:val="20"/>
                <w:szCs w:val="20"/>
              </w:rPr>
            </w:pPr>
            <w:r w:rsidRPr="007B509E">
              <w:rPr>
                <w:b/>
                <w:bCs/>
                <w:sz w:val="20"/>
                <w:szCs w:val="20"/>
              </w:rPr>
              <w:t>41,394,500</w:t>
            </w:r>
          </w:p>
        </w:tc>
        <w:tc>
          <w:tcPr>
            <w:tcW w:w="1115" w:type="dxa"/>
          </w:tcPr>
          <w:p w14:paraId="3E87B656" w14:textId="77777777" w:rsidR="00B02873" w:rsidRPr="007B509E" w:rsidRDefault="00B02873" w:rsidP="00603355">
            <w:pPr>
              <w:pStyle w:val="TablebodyleftTables"/>
              <w:jc w:val="right"/>
              <w:rPr>
                <w:b/>
                <w:bCs/>
                <w:sz w:val="20"/>
                <w:szCs w:val="20"/>
              </w:rPr>
            </w:pPr>
            <w:r w:rsidRPr="007B509E">
              <w:rPr>
                <w:b/>
                <w:bCs/>
                <w:sz w:val="20"/>
                <w:szCs w:val="20"/>
              </w:rPr>
              <w:t>22,571,500</w:t>
            </w:r>
          </w:p>
        </w:tc>
        <w:tc>
          <w:tcPr>
            <w:tcW w:w="1203" w:type="dxa"/>
          </w:tcPr>
          <w:p w14:paraId="776ADBD4" w14:textId="77777777" w:rsidR="00B02873" w:rsidRPr="007B509E" w:rsidRDefault="00B02873" w:rsidP="00603355">
            <w:pPr>
              <w:pStyle w:val="TablebodyleftTables"/>
              <w:jc w:val="right"/>
              <w:rPr>
                <w:b/>
                <w:bCs/>
                <w:sz w:val="20"/>
                <w:szCs w:val="20"/>
              </w:rPr>
            </w:pPr>
            <w:r w:rsidRPr="007B509E">
              <w:rPr>
                <w:b/>
                <w:bCs/>
                <w:sz w:val="20"/>
                <w:szCs w:val="20"/>
              </w:rPr>
              <w:t>12,100,000</w:t>
            </w:r>
          </w:p>
        </w:tc>
        <w:tc>
          <w:tcPr>
            <w:tcW w:w="1095" w:type="dxa"/>
          </w:tcPr>
          <w:p w14:paraId="59804502" w14:textId="77777777" w:rsidR="00B02873" w:rsidRPr="007B509E" w:rsidRDefault="00B02873" w:rsidP="000D60C1">
            <w:pPr>
              <w:pStyle w:val="TablebodyleftTables"/>
              <w:rPr>
                <w:rFonts w:cs="Times New Roman"/>
                <w:b/>
                <w:bCs/>
                <w:sz w:val="20"/>
                <w:szCs w:val="20"/>
              </w:rPr>
            </w:pPr>
          </w:p>
        </w:tc>
      </w:tr>
    </w:tbl>
    <w:p w14:paraId="55B60D09" w14:textId="77777777" w:rsidR="00B02873" w:rsidRDefault="00B02873" w:rsidP="00FE198A"/>
    <w:p w14:paraId="03FBFED8" w14:textId="77777777" w:rsidR="00B02873" w:rsidRDefault="00B02873" w:rsidP="000D60C1">
      <w:pPr>
        <w:pStyle w:val="Heading4"/>
      </w:pPr>
      <w:r>
        <w:t>Hume City Council</w:t>
      </w:r>
    </w:p>
    <w:p w14:paraId="756C626E" w14:textId="77777777" w:rsidR="00B02873" w:rsidRDefault="00B02873" w:rsidP="000D60C1">
      <w:pPr>
        <w:pStyle w:val="TabletitleTables"/>
      </w:pPr>
      <w:r>
        <w:t xml:space="preserve">Table 13. BNCF-funded projects in Hume </w:t>
      </w:r>
    </w:p>
    <w:tbl>
      <w:tblPr>
        <w:tblStyle w:val="TableGrid"/>
        <w:tblW w:w="9918" w:type="dxa"/>
        <w:tblLayout w:type="fixed"/>
        <w:tblLook w:val="0020" w:firstRow="1" w:lastRow="0" w:firstColumn="0" w:lastColumn="0" w:noHBand="0" w:noVBand="0"/>
      </w:tblPr>
      <w:tblGrid>
        <w:gridCol w:w="964"/>
        <w:gridCol w:w="1866"/>
        <w:gridCol w:w="1257"/>
        <w:gridCol w:w="1192"/>
        <w:gridCol w:w="1191"/>
        <w:gridCol w:w="1192"/>
        <w:gridCol w:w="1106"/>
        <w:gridCol w:w="1150"/>
      </w:tblGrid>
      <w:tr w:rsidR="00B02873" w:rsidRPr="00FC6369" w14:paraId="17BC8C23" w14:textId="77777777" w:rsidTr="00FC6369">
        <w:trPr>
          <w:cnfStyle w:val="100000000000" w:firstRow="1" w:lastRow="0" w:firstColumn="0" w:lastColumn="0" w:oddVBand="0" w:evenVBand="0" w:oddHBand="0" w:evenHBand="0" w:firstRowFirstColumn="0" w:firstRowLastColumn="0" w:lastRowFirstColumn="0" w:lastRowLastColumn="0"/>
          <w:trHeight w:val="60"/>
          <w:tblHeader/>
        </w:trPr>
        <w:tc>
          <w:tcPr>
            <w:tcW w:w="964" w:type="dxa"/>
          </w:tcPr>
          <w:p w14:paraId="5A091E7B" w14:textId="77777777" w:rsidR="00B02873" w:rsidRPr="00FC6369" w:rsidRDefault="00B02873" w:rsidP="00FC6369">
            <w:pPr>
              <w:pStyle w:val="TableheadingleftTables"/>
              <w:rPr>
                <w:sz w:val="20"/>
                <w:szCs w:val="16"/>
              </w:rPr>
            </w:pPr>
            <w:r w:rsidRPr="00FC6369">
              <w:rPr>
                <w:sz w:val="20"/>
                <w:szCs w:val="16"/>
              </w:rPr>
              <w:t>Agency</w:t>
            </w:r>
          </w:p>
        </w:tc>
        <w:tc>
          <w:tcPr>
            <w:tcW w:w="1866" w:type="dxa"/>
          </w:tcPr>
          <w:p w14:paraId="2AE32CBA" w14:textId="77777777" w:rsidR="00B02873" w:rsidRPr="00FC6369" w:rsidRDefault="00B02873" w:rsidP="00FC6369">
            <w:pPr>
              <w:pStyle w:val="TableheadingleftTables"/>
              <w:rPr>
                <w:sz w:val="20"/>
                <w:szCs w:val="16"/>
              </w:rPr>
            </w:pPr>
            <w:r w:rsidRPr="00FC6369">
              <w:rPr>
                <w:sz w:val="20"/>
                <w:szCs w:val="16"/>
              </w:rPr>
              <w:t>Purpose</w:t>
            </w:r>
          </w:p>
        </w:tc>
        <w:tc>
          <w:tcPr>
            <w:tcW w:w="1257" w:type="dxa"/>
          </w:tcPr>
          <w:p w14:paraId="68379F74" w14:textId="77777777" w:rsidR="00B02873" w:rsidRPr="00FC6369" w:rsidRDefault="00B02873" w:rsidP="00603355">
            <w:pPr>
              <w:pStyle w:val="TableheadingleftTables"/>
              <w:jc w:val="right"/>
              <w:rPr>
                <w:sz w:val="20"/>
                <w:szCs w:val="16"/>
              </w:rPr>
            </w:pPr>
            <w:r w:rsidRPr="00FC6369">
              <w:rPr>
                <w:sz w:val="20"/>
                <w:szCs w:val="16"/>
              </w:rPr>
              <w:t>Year Announced</w:t>
            </w:r>
          </w:p>
        </w:tc>
        <w:tc>
          <w:tcPr>
            <w:tcW w:w="1192" w:type="dxa"/>
          </w:tcPr>
          <w:p w14:paraId="38ED14B6" w14:textId="77777777" w:rsidR="00B02873" w:rsidRPr="00FC6369" w:rsidRDefault="00B02873" w:rsidP="00603355">
            <w:pPr>
              <w:pStyle w:val="TableheadingleftTables"/>
              <w:jc w:val="right"/>
              <w:rPr>
                <w:sz w:val="20"/>
                <w:szCs w:val="16"/>
              </w:rPr>
            </w:pPr>
            <w:r w:rsidRPr="00FC6369">
              <w:rPr>
                <w:sz w:val="20"/>
                <w:szCs w:val="16"/>
              </w:rPr>
              <w:t>Allocated</w:t>
            </w:r>
          </w:p>
        </w:tc>
        <w:tc>
          <w:tcPr>
            <w:tcW w:w="1191" w:type="dxa"/>
          </w:tcPr>
          <w:p w14:paraId="7A404F59" w14:textId="77777777" w:rsidR="00B02873" w:rsidRPr="00FC6369" w:rsidRDefault="00B02873" w:rsidP="00603355">
            <w:pPr>
              <w:pStyle w:val="TableheadingleftTables"/>
              <w:jc w:val="right"/>
              <w:rPr>
                <w:sz w:val="20"/>
                <w:szCs w:val="16"/>
              </w:rPr>
            </w:pPr>
            <w:r w:rsidRPr="00FC6369">
              <w:rPr>
                <w:sz w:val="20"/>
                <w:szCs w:val="16"/>
              </w:rPr>
              <w:t>Amount paid to 30 June 2021</w:t>
            </w:r>
          </w:p>
        </w:tc>
        <w:tc>
          <w:tcPr>
            <w:tcW w:w="1192" w:type="dxa"/>
          </w:tcPr>
          <w:p w14:paraId="1031033E" w14:textId="77777777" w:rsidR="00B02873" w:rsidRPr="00FC6369" w:rsidRDefault="00B02873" w:rsidP="00603355">
            <w:pPr>
              <w:pStyle w:val="TableheadingleftTables"/>
              <w:jc w:val="right"/>
              <w:rPr>
                <w:sz w:val="20"/>
                <w:szCs w:val="16"/>
              </w:rPr>
            </w:pPr>
            <w:r w:rsidRPr="00FC6369">
              <w:rPr>
                <w:sz w:val="20"/>
                <w:szCs w:val="16"/>
              </w:rPr>
              <w:t>Amount paid in 2021-22</w:t>
            </w:r>
          </w:p>
        </w:tc>
        <w:tc>
          <w:tcPr>
            <w:tcW w:w="1106" w:type="dxa"/>
          </w:tcPr>
          <w:p w14:paraId="43562961" w14:textId="77777777" w:rsidR="00B02873" w:rsidRPr="00FC6369" w:rsidRDefault="00B02873" w:rsidP="00603355">
            <w:pPr>
              <w:pStyle w:val="TableheadingleftTables"/>
              <w:jc w:val="right"/>
              <w:rPr>
                <w:sz w:val="20"/>
                <w:szCs w:val="16"/>
              </w:rPr>
            </w:pPr>
            <w:r w:rsidRPr="00FC6369">
              <w:rPr>
                <w:sz w:val="20"/>
                <w:szCs w:val="16"/>
              </w:rPr>
              <w:t>Amount yet to be paid</w:t>
            </w:r>
          </w:p>
        </w:tc>
        <w:tc>
          <w:tcPr>
            <w:tcW w:w="1150" w:type="dxa"/>
          </w:tcPr>
          <w:p w14:paraId="5B7E4F7E" w14:textId="77777777" w:rsidR="00B02873" w:rsidRPr="00FC6369" w:rsidRDefault="00B02873" w:rsidP="00FC6369">
            <w:pPr>
              <w:pStyle w:val="TableheadingleftTables"/>
              <w:rPr>
                <w:sz w:val="20"/>
                <w:szCs w:val="16"/>
              </w:rPr>
            </w:pPr>
            <w:r w:rsidRPr="00FC6369">
              <w:rPr>
                <w:sz w:val="20"/>
                <w:szCs w:val="16"/>
              </w:rPr>
              <w:t>Status</w:t>
            </w:r>
          </w:p>
        </w:tc>
      </w:tr>
      <w:tr w:rsidR="00B02873" w:rsidRPr="00FC6369" w14:paraId="029542BA" w14:textId="77777777" w:rsidTr="00FC6369">
        <w:trPr>
          <w:trHeight w:val="60"/>
        </w:trPr>
        <w:tc>
          <w:tcPr>
            <w:tcW w:w="964" w:type="dxa"/>
          </w:tcPr>
          <w:p w14:paraId="3758DBC1" w14:textId="77777777" w:rsidR="00B02873" w:rsidRPr="00FC6369" w:rsidRDefault="00B02873" w:rsidP="00FC6369">
            <w:pPr>
              <w:pStyle w:val="TablebodyleftTables"/>
              <w:rPr>
                <w:sz w:val="20"/>
              </w:rPr>
            </w:pPr>
            <w:r w:rsidRPr="00FC6369">
              <w:rPr>
                <w:sz w:val="20"/>
              </w:rPr>
              <w:t>DH</w:t>
            </w:r>
          </w:p>
        </w:tc>
        <w:tc>
          <w:tcPr>
            <w:tcW w:w="1866" w:type="dxa"/>
          </w:tcPr>
          <w:p w14:paraId="66F34810" w14:textId="77777777" w:rsidR="00B02873" w:rsidRPr="00FC6369" w:rsidRDefault="00B02873" w:rsidP="00FC6369">
            <w:pPr>
              <w:pStyle w:val="TablebodyleftTables"/>
              <w:rPr>
                <w:sz w:val="20"/>
              </w:rPr>
            </w:pPr>
            <w:r w:rsidRPr="00FC6369">
              <w:rPr>
                <w:sz w:val="20"/>
              </w:rPr>
              <w:t>Craigieburn Ambulance Station</w:t>
            </w:r>
          </w:p>
        </w:tc>
        <w:tc>
          <w:tcPr>
            <w:tcW w:w="1257" w:type="dxa"/>
          </w:tcPr>
          <w:p w14:paraId="1E207C8F" w14:textId="30AC564E" w:rsidR="00B02873" w:rsidRPr="00FC6369" w:rsidRDefault="00B02873" w:rsidP="00603355">
            <w:pPr>
              <w:pStyle w:val="TablebodyleftTables"/>
              <w:jc w:val="right"/>
              <w:rPr>
                <w:sz w:val="20"/>
              </w:rPr>
            </w:pPr>
            <w:r w:rsidRPr="00FC6369">
              <w:rPr>
                <w:sz w:val="20"/>
              </w:rPr>
              <w:t>2016</w:t>
            </w:r>
            <w:r w:rsidR="00FC6369">
              <w:rPr>
                <w:sz w:val="20"/>
              </w:rPr>
              <w:t>–</w:t>
            </w:r>
            <w:r w:rsidRPr="00FC6369">
              <w:rPr>
                <w:sz w:val="20"/>
              </w:rPr>
              <w:t>17</w:t>
            </w:r>
          </w:p>
        </w:tc>
        <w:tc>
          <w:tcPr>
            <w:tcW w:w="1192" w:type="dxa"/>
          </w:tcPr>
          <w:p w14:paraId="5F573F42" w14:textId="77777777" w:rsidR="00B02873" w:rsidRPr="00FC6369" w:rsidRDefault="00B02873" w:rsidP="00603355">
            <w:pPr>
              <w:pStyle w:val="TablebodyleftTables"/>
              <w:jc w:val="right"/>
              <w:rPr>
                <w:sz w:val="20"/>
              </w:rPr>
            </w:pPr>
            <w:r w:rsidRPr="00FC6369">
              <w:rPr>
                <w:sz w:val="20"/>
              </w:rPr>
              <w:t>1,200,000</w:t>
            </w:r>
          </w:p>
        </w:tc>
        <w:tc>
          <w:tcPr>
            <w:tcW w:w="1191" w:type="dxa"/>
          </w:tcPr>
          <w:p w14:paraId="3122A17E" w14:textId="32B7A9FF" w:rsidR="00B02873" w:rsidRPr="00FC6369" w:rsidRDefault="00FC6369" w:rsidP="00603355">
            <w:pPr>
              <w:pStyle w:val="TablebodyleftTables"/>
              <w:jc w:val="right"/>
              <w:rPr>
                <w:sz w:val="20"/>
              </w:rPr>
            </w:pPr>
            <w:r>
              <w:rPr>
                <w:sz w:val="20"/>
              </w:rPr>
              <w:t>–</w:t>
            </w:r>
          </w:p>
        </w:tc>
        <w:tc>
          <w:tcPr>
            <w:tcW w:w="1192" w:type="dxa"/>
          </w:tcPr>
          <w:p w14:paraId="189A2270" w14:textId="77777777" w:rsidR="00B02873" w:rsidRPr="00FC6369" w:rsidRDefault="00B02873" w:rsidP="00603355">
            <w:pPr>
              <w:pStyle w:val="TablebodyleftTables"/>
              <w:jc w:val="right"/>
              <w:rPr>
                <w:sz w:val="20"/>
              </w:rPr>
            </w:pPr>
            <w:r w:rsidRPr="00FC6369">
              <w:rPr>
                <w:sz w:val="20"/>
              </w:rPr>
              <w:t>1,200,000</w:t>
            </w:r>
          </w:p>
        </w:tc>
        <w:tc>
          <w:tcPr>
            <w:tcW w:w="1106" w:type="dxa"/>
          </w:tcPr>
          <w:p w14:paraId="6C27D6FC" w14:textId="118EC04C" w:rsidR="00B02873" w:rsidRPr="00FC6369" w:rsidRDefault="00FC6369" w:rsidP="00603355">
            <w:pPr>
              <w:pStyle w:val="TablebodyleftTables"/>
              <w:jc w:val="right"/>
              <w:rPr>
                <w:sz w:val="20"/>
              </w:rPr>
            </w:pPr>
            <w:r>
              <w:rPr>
                <w:sz w:val="20"/>
              </w:rPr>
              <w:t>–</w:t>
            </w:r>
          </w:p>
        </w:tc>
        <w:tc>
          <w:tcPr>
            <w:tcW w:w="1150" w:type="dxa"/>
          </w:tcPr>
          <w:p w14:paraId="4F6F7982" w14:textId="77777777" w:rsidR="00B02873" w:rsidRPr="00FC6369" w:rsidRDefault="00B02873" w:rsidP="00FC6369">
            <w:pPr>
              <w:pStyle w:val="TablebodyleftTables"/>
              <w:rPr>
                <w:sz w:val="20"/>
              </w:rPr>
            </w:pPr>
            <w:r w:rsidRPr="00FC6369">
              <w:rPr>
                <w:sz w:val="20"/>
              </w:rPr>
              <w:t>Active</w:t>
            </w:r>
          </w:p>
        </w:tc>
      </w:tr>
      <w:tr w:rsidR="00B02873" w:rsidRPr="00FC6369" w14:paraId="419D02B6" w14:textId="77777777" w:rsidTr="00FC6369">
        <w:trPr>
          <w:trHeight w:val="60"/>
        </w:trPr>
        <w:tc>
          <w:tcPr>
            <w:tcW w:w="964" w:type="dxa"/>
          </w:tcPr>
          <w:p w14:paraId="332D8C86" w14:textId="77777777" w:rsidR="00B02873" w:rsidRPr="00FC6369" w:rsidRDefault="00B02873" w:rsidP="00FC6369">
            <w:pPr>
              <w:pStyle w:val="TablebodyleftTables"/>
              <w:rPr>
                <w:sz w:val="20"/>
              </w:rPr>
            </w:pPr>
            <w:r w:rsidRPr="00FC6369">
              <w:rPr>
                <w:sz w:val="20"/>
              </w:rPr>
              <w:t>DH</w:t>
            </w:r>
          </w:p>
        </w:tc>
        <w:tc>
          <w:tcPr>
            <w:tcW w:w="1866" w:type="dxa"/>
          </w:tcPr>
          <w:p w14:paraId="7574B7F0" w14:textId="77777777" w:rsidR="00B02873" w:rsidRPr="00FC6369" w:rsidRDefault="00B02873" w:rsidP="00FC6369">
            <w:pPr>
              <w:pStyle w:val="TablebodyleftTables"/>
              <w:rPr>
                <w:sz w:val="20"/>
              </w:rPr>
            </w:pPr>
            <w:r w:rsidRPr="00FC6369">
              <w:rPr>
                <w:sz w:val="20"/>
              </w:rPr>
              <w:t>Mickleham Ambulance Station</w:t>
            </w:r>
          </w:p>
        </w:tc>
        <w:tc>
          <w:tcPr>
            <w:tcW w:w="1257" w:type="dxa"/>
          </w:tcPr>
          <w:p w14:paraId="19C15911" w14:textId="7550FEAB" w:rsidR="00B02873" w:rsidRPr="00FC6369" w:rsidRDefault="00B02873" w:rsidP="00603355">
            <w:pPr>
              <w:pStyle w:val="TablebodyleftTables"/>
              <w:jc w:val="right"/>
              <w:rPr>
                <w:sz w:val="20"/>
              </w:rPr>
            </w:pPr>
            <w:r w:rsidRPr="00FC6369">
              <w:rPr>
                <w:sz w:val="20"/>
              </w:rPr>
              <w:t>2017</w:t>
            </w:r>
            <w:r w:rsidR="00FC6369">
              <w:rPr>
                <w:sz w:val="20"/>
              </w:rPr>
              <w:t>–</w:t>
            </w:r>
            <w:r w:rsidRPr="00FC6369">
              <w:rPr>
                <w:sz w:val="20"/>
              </w:rPr>
              <w:t>18</w:t>
            </w:r>
          </w:p>
        </w:tc>
        <w:tc>
          <w:tcPr>
            <w:tcW w:w="1192" w:type="dxa"/>
          </w:tcPr>
          <w:p w14:paraId="2982A3CA" w14:textId="77777777" w:rsidR="00B02873" w:rsidRPr="00FC6369" w:rsidRDefault="00B02873" w:rsidP="00603355">
            <w:pPr>
              <w:pStyle w:val="TablebodyleftTables"/>
              <w:jc w:val="right"/>
              <w:rPr>
                <w:sz w:val="20"/>
              </w:rPr>
            </w:pPr>
            <w:r w:rsidRPr="00FC6369">
              <w:rPr>
                <w:sz w:val="20"/>
              </w:rPr>
              <w:t>1,500,000</w:t>
            </w:r>
          </w:p>
        </w:tc>
        <w:tc>
          <w:tcPr>
            <w:tcW w:w="1191" w:type="dxa"/>
          </w:tcPr>
          <w:p w14:paraId="13D24238" w14:textId="77777777" w:rsidR="00B02873" w:rsidRPr="00FC6369" w:rsidRDefault="00B02873" w:rsidP="00603355">
            <w:pPr>
              <w:pStyle w:val="TablebodyleftTables"/>
              <w:jc w:val="right"/>
              <w:rPr>
                <w:sz w:val="20"/>
              </w:rPr>
            </w:pPr>
            <w:r w:rsidRPr="00FC6369">
              <w:rPr>
                <w:sz w:val="20"/>
              </w:rPr>
              <w:t>1,500,000</w:t>
            </w:r>
          </w:p>
        </w:tc>
        <w:tc>
          <w:tcPr>
            <w:tcW w:w="1192" w:type="dxa"/>
          </w:tcPr>
          <w:p w14:paraId="04431CEA" w14:textId="55013985" w:rsidR="00B02873" w:rsidRPr="00FC6369" w:rsidRDefault="002D6170" w:rsidP="00603355">
            <w:pPr>
              <w:pStyle w:val="TablebodyleftTables"/>
              <w:jc w:val="right"/>
              <w:rPr>
                <w:sz w:val="20"/>
              </w:rPr>
            </w:pPr>
            <w:r>
              <w:rPr>
                <w:sz w:val="20"/>
              </w:rPr>
              <w:t>-</w:t>
            </w:r>
            <w:r w:rsidR="00B02873" w:rsidRPr="00FC6369">
              <w:rPr>
                <w:sz w:val="20"/>
              </w:rPr>
              <w:t>274,475</w:t>
            </w:r>
          </w:p>
        </w:tc>
        <w:tc>
          <w:tcPr>
            <w:tcW w:w="1106" w:type="dxa"/>
          </w:tcPr>
          <w:p w14:paraId="1DB8E3D3" w14:textId="1259985A" w:rsidR="00B02873" w:rsidRPr="00FC6369" w:rsidRDefault="00FC6369" w:rsidP="00603355">
            <w:pPr>
              <w:pStyle w:val="TablebodyleftTables"/>
              <w:jc w:val="right"/>
              <w:rPr>
                <w:sz w:val="20"/>
              </w:rPr>
            </w:pPr>
            <w:r>
              <w:rPr>
                <w:sz w:val="20"/>
              </w:rPr>
              <w:t>–</w:t>
            </w:r>
          </w:p>
        </w:tc>
        <w:tc>
          <w:tcPr>
            <w:tcW w:w="1150" w:type="dxa"/>
          </w:tcPr>
          <w:p w14:paraId="5908CC93" w14:textId="77777777" w:rsidR="00B02873" w:rsidRPr="00FC6369" w:rsidRDefault="00B02873" w:rsidP="00FC6369">
            <w:pPr>
              <w:pStyle w:val="TablebodyleftTables"/>
              <w:rPr>
                <w:sz w:val="20"/>
              </w:rPr>
            </w:pPr>
            <w:r w:rsidRPr="00FC6369">
              <w:rPr>
                <w:sz w:val="20"/>
              </w:rPr>
              <w:t>Complete</w:t>
            </w:r>
          </w:p>
        </w:tc>
      </w:tr>
      <w:tr w:rsidR="00B02873" w:rsidRPr="00FC6369" w14:paraId="45FA1AA7" w14:textId="77777777" w:rsidTr="00FC6369">
        <w:trPr>
          <w:trHeight w:val="60"/>
        </w:trPr>
        <w:tc>
          <w:tcPr>
            <w:tcW w:w="964" w:type="dxa"/>
          </w:tcPr>
          <w:p w14:paraId="3F7DDBC1" w14:textId="77777777" w:rsidR="00B02873" w:rsidRPr="00FC6369" w:rsidRDefault="00B02873" w:rsidP="00FC6369">
            <w:pPr>
              <w:pStyle w:val="TablebodyleftTables"/>
              <w:rPr>
                <w:sz w:val="20"/>
              </w:rPr>
            </w:pPr>
            <w:r w:rsidRPr="00FC6369">
              <w:rPr>
                <w:sz w:val="20"/>
              </w:rPr>
              <w:t>DJCS</w:t>
            </w:r>
          </w:p>
        </w:tc>
        <w:tc>
          <w:tcPr>
            <w:tcW w:w="1866" w:type="dxa"/>
          </w:tcPr>
          <w:p w14:paraId="5A645A92" w14:textId="77777777" w:rsidR="00B02873" w:rsidRPr="00FC6369" w:rsidRDefault="00B02873" w:rsidP="00FC6369">
            <w:pPr>
              <w:pStyle w:val="TablebodyleftTables"/>
              <w:rPr>
                <w:sz w:val="20"/>
              </w:rPr>
            </w:pPr>
            <w:r w:rsidRPr="00FC6369">
              <w:rPr>
                <w:sz w:val="20"/>
              </w:rPr>
              <w:t>Emergency Services facility program for Craigieburn North/Kalkallo</w:t>
            </w:r>
          </w:p>
        </w:tc>
        <w:tc>
          <w:tcPr>
            <w:tcW w:w="1257" w:type="dxa"/>
          </w:tcPr>
          <w:p w14:paraId="56F37C9D" w14:textId="4C61107E" w:rsidR="00B02873" w:rsidRPr="00FC6369" w:rsidRDefault="00B02873" w:rsidP="00603355">
            <w:pPr>
              <w:pStyle w:val="TablebodyleftTables"/>
              <w:jc w:val="right"/>
              <w:rPr>
                <w:sz w:val="20"/>
              </w:rPr>
            </w:pPr>
            <w:r w:rsidRPr="00FC6369">
              <w:rPr>
                <w:sz w:val="20"/>
              </w:rPr>
              <w:t>2019</w:t>
            </w:r>
            <w:r w:rsidR="00FC6369">
              <w:rPr>
                <w:sz w:val="20"/>
              </w:rPr>
              <w:t>–</w:t>
            </w:r>
            <w:r w:rsidRPr="00FC6369">
              <w:rPr>
                <w:sz w:val="20"/>
              </w:rPr>
              <w:t>20 State Budget</w:t>
            </w:r>
          </w:p>
        </w:tc>
        <w:tc>
          <w:tcPr>
            <w:tcW w:w="1192" w:type="dxa"/>
          </w:tcPr>
          <w:p w14:paraId="56006A40" w14:textId="77777777" w:rsidR="00B02873" w:rsidRPr="00FC6369" w:rsidRDefault="00B02873" w:rsidP="00603355">
            <w:pPr>
              <w:pStyle w:val="TablebodyleftTables"/>
              <w:jc w:val="right"/>
              <w:rPr>
                <w:sz w:val="20"/>
              </w:rPr>
            </w:pPr>
            <w:r w:rsidRPr="00FC6369">
              <w:rPr>
                <w:sz w:val="20"/>
              </w:rPr>
              <w:t>1,785,000</w:t>
            </w:r>
          </w:p>
        </w:tc>
        <w:tc>
          <w:tcPr>
            <w:tcW w:w="1191" w:type="dxa"/>
          </w:tcPr>
          <w:p w14:paraId="68F90392" w14:textId="3C927649" w:rsidR="00B02873" w:rsidRPr="00FC6369" w:rsidRDefault="00FC6369" w:rsidP="00603355">
            <w:pPr>
              <w:pStyle w:val="TablebodyleftTables"/>
              <w:jc w:val="right"/>
              <w:rPr>
                <w:sz w:val="20"/>
              </w:rPr>
            </w:pPr>
            <w:r>
              <w:rPr>
                <w:sz w:val="20"/>
              </w:rPr>
              <w:t>–</w:t>
            </w:r>
          </w:p>
        </w:tc>
        <w:tc>
          <w:tcPr>
            <w:tcW w:w="1192" w:type="dxa"/>
          </w:tcPr>
          <w:p w14:paraId="340AEE94" w14:textId="33BB0FE6" w:rsidR="00B02873" w:rsidRPr="00FC6369" w:rsidRDefault="00FC6369" w:rsidP="00603355">
            <w:pPr>
              <w:pStyle w:val="TablebodyleftTables"/>
              <w:jc w:val="right"/>
              <w:rPr>
                <w:sz w:val="20"/>
              </w:rPr>
            </w:pPr>
            <w:r>
              <w:rPr>
                <w:sz w:val="20"/>
              </w:rPr>
              <w:t>–</w:t>
            </w:r>
          </w:p>
        </w:tc>
        <w:tc>
          <w:tcPr>
            <w:tcW w:w="1106" w:type="dxa"/>
          </w:tcPr>
          <w:p w14:paraId="226F64E1" w14:textId="77777777" w:rsidR="00B02873" w:rsidRPr="00FC6369" w:rsidRDefault="00B02873" w:rsidP="00603355">
            <w:pPr>
              <w:pStyle w:val="TablebodyleftTables"/>
              <w:jc w:val="right"/>
              <w:rPr>
                <w:sz w:val="20"/>
              </w:rPr>
            </w:pPr>
            <w:r w:rsidRPr="00FC6369">
              <w:rPr>
                <w:sz w:val="20"/>
              </w:rPr>
              <w:t>1,785,000</w:t>
            </w:r>
          </w:p>
        </w:tc>
        <w:tc>
          <w:tcPr>
            <w:tcW w:w="1150" w:type="dxa"/>
          </w:tcPr>
          <w:p w14:paraId="267DDFA9" w14:textId="77777777" w:rsidR="00B02873" w:rsidRPr="00FC6369" w:rsidRDefault="00B02873" w:rsidP="00FC6369">
            <w:pPr>
              <w:pStyle w:val="TablebodyleftTables"/>
              <w:rPr>
                <w:sz w:val="20"/>
              </w:rPr>
            </w:pPr>
            <w:r w:rsidRPr="00FC6369">
              <w:rPr>
                <w:sz w:val="20"/>
              </w:rPr>
              <w:t>Active</w:t>
            </w:r>
          </w:p>
        </w:tc>
      </w:tr>
      <w:tr w:rsidR="00B02873" w:rsidRPr="007B509E" w14:paraId="187FE2F3" w14:textId="77777777" w:rsidTr="00FC6369">
        <w:trPr>
          <w:trHeight w:val="60"/>
        </w:trPr>
        <w:tc>
          <w:tcPr>
            <w:tcW w:w="964" w:type="dxa"/>
          </w:tcPr>
          <w:p w14:paraId="26DD64B7" w14:textId="77777777" w:rsidR="00B02873" w:rsidRPr="007B509E" w:rsidRDefault="00B02873" w:rsidP="00FC6369">
            <w:pPr>
              <w:pStyle w:val="TablebodyleftTables"/>
              <w:rPr>
                <w:b/>
                <w:bCs/>
                <w:sz w:val="20"/>
              </w:rPr>
            </w:pPr>
            <w:r w:rsidRPr="007B509E">
              <w:rPr>
                <w:b/>
                <w:bCs/>
                <w:sz w:val="20"/>
              </w:rPr>
              <w:t>Total</w:t>
            </w:r>
          </w:p>
        </w:tc>
        <w:tc>
          <w:tcPr>
            <w:tcW w:w="1866" w:type="dxa"/>
          </w:tcPr>
          <w:p w14:paraId="166D977A" w14:textId="77777777" w:rsidR="00B02873" w:rsidRPr="007B509E" w:rsidRDefault="00B02873" w:rsidP="00FC6369">
            <w:pPr>
              <w:pStyle w:val="TablebodyleftTables"/>
              <w:rPr>
                <w:rFonts w:cs="Times New Roman"/>
                <w:b/>
                <w:bCs/>
                <w:sz w:val="20"/>
              </w:rPr>
            </w:pPr>
          </w:p>
        </w:tc>
        <w:tc>
          <w:tcPr>
            <w:tcW w:w="1257" w:type="dxa"/>
          </w:tcPr>
          <w:p w14:paraId="0558D261" w14:textId="77777777" w:rsidR="00B02873" w:rsidRPr="007B509E" w:rsidRDefault="00B02873" w:rsidP="00603355">
            <w:pPr>
              <w:pStyle w:val="TablebodyleftTables"/>
              <w:jc w:val="right"/>
              <w:rPr>
                <w:rFonts w:cs="Times New Roman"/>
                <w:b/>
                <w:bCs/>
                <w:sz w:val="20"/>
              </w:rPr>
            </w:pPr>
          </w:p>
        </w:tc>
        <w:tc>
          <w:tcPr>
            <w:tcW w:w="1192" w:type="dxa"/>
          </w:tcPr>
          <w:p w14:paraId="3B8B8969" w14:textId="77777777" w:rsidR="00B02873" w:rsidRPr="007B509E" w:rsidRDefault="00B02873" w:rsidP="00603355">
            <w:pPr>
              <w:pStyle w:val="TablebodyleftTables"/>
              <w:jc w:val="right"/>
              <w:rPr>
                <w:b/>
                <w:bCs/>
                <w:sz w:val="20"/>
              </w:rPr>
            </w:pPr>
            <w:r w:rsidRPr="007B509E">
              <w:rPr>
                <w:b/>
                <w:bCs/>
                <w:sz w:val="20"/>
              </w:rPr>
              <w:t>3,285,000</w:t>
            </w:r>
          </w:p>
        </w:tc>
        <w:tc>
          <w:tcPr>
            <w:tcW w:w="1191" w:type="dxa"/>
          </w:tcPr>
          <w:p w14:paraId="7323677E" w14:textId="77777777" w:rsidR="00B02873" w:rsidRPr="007B509E" w:rsidRDefault="00B02873" w:rsidP="00603355">
            <w:pPr>
              <w:pStyle w:val="TablebodyleftTables"/>
              <w:jc w:val="right"/>
              <w:rPr>
                <w:b/>
                <w:bCs/>
                <w:sz w:val="20"/>
              </w:rPr>
            </w:pPr>
            <w:r w:rsidRPr="007B509E">
              <w:rPr>
                <w:b/>
                <w:bCs/>
                <w:sz w:val="20"/>
              </w:rPr>
              <w:t>1,500,000</w:t>
            </w:r>
          </w:p>
        </w:tc>
        <w:tc>
          <w:tcPr>
            <w:tcW w:w="1192" w:type="dxa"/>
          </w:tcPr>
          <w:p w14:paraId="3046519F" w14:textId="77777777" w:rsidR="00B02873" w:rsidRPr="007B509E" w:rsidRDefault="00B02873" w:rsidP="00603355">
            <w:pPr>
              <w:pStyle w:val="TablebodyleftTables"/>
              <w:jc w:val="right"/>
              <w:rPr>
                <w:b/>
                <w:bCs/>
                <w:sz w:val="20"/>
              </w:rPr>
            </w:pPr>
            <w:r w:rsidRPr="007B509E">
              <w:rPr>
                <w:b/>
                <w:bCs/>
                <w:sz w:val="20"/>
              </w:rPr>
              <w:t>925,525</w:t>
            </w:r>
          </w:p>
        </w:tc>
        <w:tc>
          <w:tcPr>
            <w:tcW w:w="1106" w:type="dxa"/>
          </w:tcPr>
          <w:p w14:paraId="14B61C8D" w14:textId="77777777" w:rsidR="00B02873" w:rsidRPr="007B509E" w:rsidRDefault="00B02873" w:rsidP="00603355">
            <w:pPr>
              <w:pStyle w:val="TablebodyleftTables"/>
              <w:jc w:val="right"/>
              <w:rPr>
                <w:b/>
                <w:bCs/>
                <w:sz w:val="20"/>
              </w:rPr>
            </w:pPr>
            <w:r w:rsidRPr="007B509E">
              <w:rPr>
                <w:b/>
                <w:bCs/>
                <w:sz w:val="20"/>
              </w:rPr>
              <w:t>1,785,000</w:t>
            </w:r>
          </w:p>
        </w:tc>
        <w:tc>
          <w:tcPr>
            <w:tcW w:w="1150" w:type="dxa"/>
          </w:tcPr>
          <w:p w14:paraId="29721442" w14:textId="77777777" w:rsidR="00B02873" w:rsidRPr="007B509E" w:rsidRDefault="00B02873" w:rsidP="00FC6369">
            <w:pPr>
              <w:pStyle w:val="TablebodyleftTables"/>
              <w:rPr>
                <w:rFonts w:cs="Times New Roman"/>
                <w:b/>
                <w:bCs/>
                <w:sz w:val="20"/>
              </w:rPr>
            </w:pPr>
          </w:p>
        </w:tc>
      </w:tr>
    </w:tbl>
    <w:p w14:paraId="7D3235E0" w14:textId="77777777" w:rsidR="00B02873" w:rsidRDefault="00B02873" w:rsidP="00FE198A"/>
    <w:p w14:paraId="0A49DC06" w14:textId="77777777" w:rsidR="00B02873" w:rsidRDefault="00B02873" w:rsidP="00CB3AE4">
      <w:pPr>
        <w:pStyle w:val="TabletitleTables"/>
      </w:pPr>
      <w:r>
        <w:lastRenderedPageBreak/>
        <w:t>Table 14. GAPTF-funded projects in Hume</w:t>
      </w:r>
    </w:p>
    <w:tbl>
      <w:tblPr>
        <w:tblStyle w:val="TableGrid"/>
        <w:tblW w:w="9895" w:type="dxa"/>
        <w:tblLayout w:type="fixed"/>
        <w:tblLook w:val="0020" w:firstRow="1" w:lastRow="0" w:firstColumn="0" w:lastColumn="0" w:noHBand="0" w:noVBand="0"/>
      </w:tblPr>
      <w:tblGrid>
        <w:gridCol w:w="964"/>
        <w:gridCol w:w="2008"/>
        <w:gridCol w:w="1385"/>
        <w:gridCol w:w="1200"/>
        <w:gridCol w:w="1200"/>
        <w:gridCol w:w="1035"/>
        <w:gridCol w:w="1200"/>
        <w:gridCol w:w="903"/>
      </w:tblGrid>
      <w:tr w:rsidR="00B02873" w:rsidRPr="002D6170" w14:paraId="28AC4ABC" w14:textId="77777777" w:rsidTr="002D6170">
        <w:trPr>
          <w:cnfStyle w:val="100000000000" w:firstRow="1" w:lastRow="0" w:firstColumn="0" w:lastColumn="0" w:oddVBand="0" w:evenVBand="0" w:oddHBand="0" w:evenHBand="0" w:firstRowFirstColumn="0" w:firstRowLastColumn="0" w:lastRowFirstColumn="0" w:lastRowLastColumn="0"/>
          <w:trHeight w:val="60"/>
          <w:tblHeader/>
        </w:trPr>
        <w:tc>
          <w:tcPr>
            <w:tcW w:w="964" w:type="dxa"/>
          </w:tcPr>
          <w:p w14:paraId="4E8A7937" w14:textId="77777777" w:rsidR="00B02873" w:rsidRPr="002D6170" w:rsidRDefault="00B02873" w:rsidP="002D6170">
            <w:pPr>
              <w:pStyle w:val="TableheadingleftTables"/>
              <w:rPr>
                <w:sz w:val="20"/>
                <w:szCs w:val="16"/>
              </w:rPr>
            </w:pPr>
            <w:r w:rsidRPr="002D6170">
              <w:rPr>
                <w:sz w:val="20"/>
                <w:szCs w:val="16"/>
              </w:rPr>
              <w:t>Agency</w:t>
            </w:r>
          </w:p>
        </w:tc>
        <w:tc>
          <w:tcPr>
            <w:tcW w:w="2008" w:type="dxa"/>
          </w:tcPr>
          <w:p w14:paraId="3159252C" w14:textId="77777777" w:rsidR="00B02873" w:rsidRPr="002D6170" w:rsidRDefault="00B02873" w:rsidP="002D6170">
            <w:pPr>
              <w:pStyle w:val="TableheadingleftTables"/>
              <w:rPr>
                <w:sz w:val="20"/>
                <w:szCs w:val="16"/>
              </w:rPr>
            </w:pPr>
            <w:r w:rsidRPr="002D6170">
              <w:rPr>
                <w:sz w:val="20"/>
                <w:szCs w:val="16"/>
              </w:rPr>
              <w:t>Purpose</w:t>
            </w:r>
          </w:p>
        </w:tc>
        <w:tc>
          <w:tcPr>
            <w:tcW w:w="1385" w:type="dxa"/>
          </w:tcPr>
          <w:p w14:paraId="43F3DBEE" w14:textId="77777777" w:rsidR="00B02873" w:rsidRPr="002D6170" w:rsidRDefault="00B02873" w:rsidP="002D6170">
            <w:pPr>
              <w:pStyle w:val="TableheadingleftTables"/>
              <w:rPr>
                <w:sz w:val="20"/>
                <w:szCs w:val="16"/>
              </w:rPr>
            </w:pPr>
            <w:r w:rsidRPr="002D6170">
              <w:rPr>
                <w:sz w:val="20"/>
                <w:szCs w:val="16"/>
              </w:rPr>
              <w:t>Year Announced</w:t>
            </w:r>
          </w:p>
        </w:tc>
        <w:tc>
          <w:tcPr>
            <w:tcW w:w="1200" w:type="dxa"/>
          </w:tcPr>
          <w:p w14:paraId="7D491638" w14:textId="77777777" w:rsidR="00B02873" w:rsidRPr="002D6170" w:rsidRDefault="00B02873" w:rsidP="00603355">
            <w:pPr>
              <w:pStyle w:val="TableheadingleftTables"/>
              <w:jc w:val="right"/>
              <w:rPr>
                <w:sz w:val="20"/>
                <w:szCs w:val="16"/>
              </w:rPr>
            </w:pPr>
            <w:r w:rsidRPr="002D6170">
              <w:rPr>
                <w:sz w:val="20"/>
                <w:szCs w:val="16"/>
              </w:rPr>
              <w:t>Allocated</w:t>
            </w:r>
          </w:p>
        </w:tc>
        <w:tc>
          <w:tcPr>
            <w:tcW w:w="1200" w:type="dxa"/>
          </w:tcPr>
          <w:p w14:paraId="77E65D99" w14:textId="77777777" w:rsidR="00B02873" w:rsidRPr="002D6170" w:rsidRDefault="00B02873" w:rsidP="00603355">
            <w:pPr>
              <w:pStyle w:val="TableheadingleftTables"/>
              <w:jc w:val="right"/>
              <w:rPr>
                <w:sz w:val="20"/>
                <w:szCs w:val="16"/>
              </w:rPr>
            </w:pPr>
            <w:r w:rsidRPr="002D6170">
              <w:rPr>
                <w:sz w:val="20"/>
                <w:szCs w:val="16"/>
              </w:rPr>
              <w:t>Amount paid to 30 June 2021</w:t>
            </w:r>
          </w:p>
        </w:tc>
        <w:tc>
          <w:tcPr>
            <w:tcW w:w="1035" w:type="dxa"/>
          </w:tcPr>
          <w:p w14:paraId="5BA1AF24" w14:textId="77777777" w:rsidR="00B02873" w:rsidRPr="002D6170" w:rsidRDefault="00B02873" w:rsidP="00603355">
            <w:pPr>
              <w:pStyle w:val="TableheadingleftTables"/>
              <w:jc w:val="right"/>
              <w:rPr>
                <w:sz w:val="20"/>
                <w:szCs w:val="16"/>
              </w:rPr>
            </w:pPr>
            <w:r w:rsidRPr="002D6170">
              <w:rPr>
                <w:sz w:val="20"/>
                <w:szCs w:val="16"/>
              </w:rPr>
              <w:t>Amount paid in 2021-22</w:t>
            </w:r>
          </w:p>
        </w:tc>
        <w:tc>
          <w:tcPr>
            <w:tcW w:w="1200" w:type="dxa"/>
          </w:tcPr>
          <w:p w14:paraId="64C8DBF5" w14:textId="77777777" w:rsidR="00B02873" w:rsidRPr="002D6170" w:rsidRDefault="00B02873" w:rsidP="00603355">
            <w:pPr>
              <w:pStyle w:val="TableheadingleftTables"/>
              <w:jc w:val="right"/>
              <w:rPr>
                <w:sz w:val="20"/>
                <w:szCs w:val="16"/>
              </w:rPr>
            </w:pPr>
            <w:r w:rsidRPr="002D6170">
              <w:rPr>
                <w:sz w:val="20"/>
                <w:szCs w:val="16"/>
              </w:rPr>
              <w:t>Amount yet to be paid</w:t>
            </w:r>
          </w:p>
        </w:tc>
        <w:tc>
          <w:tcPr>
            <w:tcW w:w="903" w:type="dxa"/>
          </w:tcPr>
          <w:p w14:paraId="08AB24B8" w14:textId="77777777" w:rsidR="00B02873" w:rsidRPr="002D6170" w:rsidRDefault="00B02873" w:rsidP="002D6170">
            <w:pPr>
              <w:pStyle w:val="TableheadingleftTables"/>
              <w:rPr>
                <w:sz w:val="20"/>
                <w:szCs w:val="16"/>
              </w:rPr>
            </w:pPr>
            <w:r w:rsidRPr="002D6170">
              <w:rPr>
                <w:sz w:val="20"/>
                <w:szCs w:val="16"/>
              </w:rPr>
              <w:t>Status</w:t>
            </w:r>
          </w:p>
        </w:tc>
      </w:tr>
      <w:tr w:rsidR="00B02873" w:rsidRPr="002D6170" w14:paraId="1CBDCBEE" w14:textId="77777777" w:rsidTr="002D6170">
        <w:trPr>
          <w:trHeight w:val="60"/>
        </w:trPr>
        <w:tc>
          <w:tcPr>
            <w:tcW w:w="964" w:type="dxa"/>
          </w:tcPr>
          <w:p w14:paraId="74BBE85C" w14:textId="77777777" w:rsidR="00B02873" w:rsidRPr="002D6170" w:rsidRDefault="00B02873" w:rsidP="002D6170">
            <w:pPr>
              <w:pStyle w:val="TablebodyleftTables"/>
              <w:rPr>
                <w:sz w:val="20"/>
              </w:rPr>
            </w:pPr>
            <w:r w:rsidRPr="002D6170">
              <w:rPr>
                <w:sz w:val="20"/>
              </w:rPr>
              <w:t>DoT</w:t>
            </w:r>
          </w:p>
        </w:tc>
        <w:tc>
          <w:tcPr>
            <w:tcW w:w="2008" w:type="dxa"/>
          </w:tcPr>
          <w:p w14:paraId="67CDF7FF" w14:textId="77777777" w:rsidR="00B02873" w:rsidRPr="002D6170" w:rsidRDefault="00B02873" w:rsidP="002D6170">
            <w:pPr>
              <w:pStyle w:val="TablebodyleftTables"/>
              <w:rPr>
                <w:sz w:val="20"/>
              </w:rPr>
            </w:pPr>
            <w:r w:rsidRPr="002D6170">
              <w:rPr>
                <w:sz w:val="20"/>
              </w:rPr>
              <w:t>Sunbury Station Improvement Works</w:t>
            </w:r>
          </w:p>
        </w:tc>
        <w:tc>
          <w:tcPr>
            <w:tcW w:w="1385" w:type="dxa"/>
          </w:tcPr>
          <w:p w14:paraId="63AFE519" w14:textId="77777777" w:rsidR="00B02873" w:rsidRPr="002D6170" w:rsidRDefault="00B02873" w:rsidP="002D6170">
            <w:pPr>
              <w:pStyle w:val="TablebodyleftTables"/>
              <w:rPr>
                <w:sz w:val="20"/>
              </w:rPr>
            </w:pPr>
            <w:r w:rsidRPr="002D6170">
              <w:rPr>
                <w:sz w:val="20"/>
              </w:rPr>
              <w:t>2018-19</w:t>
            </w:r>
          </w:p>
        </w:tc>
        <w:tc>
          <w:tcPr>
            <w:tcW w:w="1200" w:type="dxa"/>
          </w:tcPr>
          <w:p w14:paraId="6DF4ECC3" w14:textId="77777777" w:rsidR="00B02873" w:rsidRPr="002D6170" w:rsidRDefault="00B02873" w:rsidP="00603355">
            <w:pPr>
              <w:pStyle w:val="TablebodyleftTables"/>
              <w:jc w:val="right"/>
              <w:rPr>
                <w:sz w:val="20"/>
              </w:rPr>
            </w:pPr>
            <w:r w:rsidRPr="002D6170">
              <w:rPr>
                <w:sz w:val="20"/>
              </w:rPr>
              <w:t>7,000,000</w:t>
            </w:r>
          </w:p>
        </w:tc>
        <w:tc>
          <w:tcPr>
            <w:tcW w:w="1200" w:type="dxa"/>
          </w:tcPr>
          <w:p w14:paraId="682BD844" w14:textId="77777777" w:rsidR="00B02873" w:rsidRPr="002D6170" w:rsidRDefault="00B02873" w:rsidP="00603355">
            <w:pPr>
              <w:pStyle w:val="TablebodyleftTables"/>
              <w:jc w:val="right"/>
              <w:rPr>
                <w:sz w:val="20"/>
              </w:rPr>
            </w:pPr>
            <w:r w:rsidRPr="002D6170">
              <w:rPr>
                <w:sz w:val="20"/>
              </w:rPr>
              <w:t>2,000,000</w:t>
            </w:r>
          </w:p>
        </w:tc>
        <w:tc>
          <w:tcPr>
            <w:tcW w:w="1035" w:type="dxa"/>
          </w:tcPr>
          <w:p w14:paraId="7514AA67" w14:textId="7E8586E8" w:rsidR="00B02873" w:rsidRPr="002D6170" w:rsidRDefault="002D6170" w:rsidP="00603355">
            <w:pPr>
              <w:pStyle w:val="TablebodyleftTables"/>
              <w:jc w:val="right"/>
              <w:rPr>
                <w:sz w:val="20"/>
              </w:rPr>
            </w:pPr>
            <w:r>
              <w:rPr>
                <w:sz w:val="20"/>
              </w:rPr>
              <w:t>–</w:t>
            </w:r>
          </w:p>
        </w:tc>
        <w:tc>
          <w:tcPr>
            <w:tcW w:w="1200" w:type="dxa"/>
          </w:tcPr>
          <w:p w14:paraId="34DA1B5E" w14:textId="77777777" w:rsidR="00B02873" w:rsidRPr="002D6170" w:rsidRDefault="00B02873" w:rsidP="00603355">
            <w:pPr>
              <w:pStyle w:val="TablebodyleftTables"/>
              <w:jc w:val="right"/>
              <w:rPr>
                <w:sz w:val="20"/>
              </w:rPr>
            </w:pPr>
            <w:r w:rsidRPr="002D6170">
              <w:rPr>
                <w:sz w:val="20"/>
              </w:rPr>
              <w:t>5,000,000</w:t>
            </w:r>
          </w:p>
        </w:tc>
        <w:tc>
          <w:tcPr>
            <w:tcW w:w="903" w:type="dxa"/>
          </w:tcPr>
          <w:p w14:paraId="2E58B8FF" w14:textId="77777777" w:rsidR="00B02873" w:rsidRPr="002D6170" w:rsidRDefault="00B02873" w:rsidP="002D6170">
            <w:pPr>
              <w:pStyle w:val="TablebodyleftTables"/>
              <w:rPr>
                <w:sz w:val="20"/>
              </w:rPr>
            </w:pPr>
            <w:r w:rsidRPr="002D6170">
              <w:rPr>
                <w:sz w:val="20"/>
              </w:rPr>
              <w:t>Active</w:t>
            </w:r>
          </w:p>
        </w:tc>
      </w:tr>
      <w:tr w:rsidR="00B02873" w:rsidRPr="002D6170" w14:paraId="1D7FF71E" w14:textId="77777777" w:rsidTr="002D6170">
        <w:trPr>
          <w:trHeight w:val="60"/>
        </w:trPr>
        <w:tc>
          <w:tcPr>
            <w:tcW w:w="964" w:type="dxa"/>
          </w:tcPr>
          <w:p w14:paraId="38453344" w14:textId="77777777" w:rsidR="00B02873" w:rsidRPr="002D6170" w:rsidRDefault="00B02873" w:rsidP="002D6170">
            <w:pPr>
              <w:pStyle w:val="TablebodyleftTables"/>
              <w:rPr>
                <w:sz w:val="20"/>
              </w:rPr>
            </w:pPr>
            <w:r w:rsidRPr="002D6170">
              <w:rPr>
                <w:sz w:val="20"/>
              </w:rPr>
              <w:t>DoT</w:t>
            </w:r>
          </w:p>
        </w:tc>
        <w:tc>
          <w:tcPr>
            <w:tcW w:w="2008" w:type="dxa"/>
          </w:tcPr>
          <w:p w14:paraId="51CC8E52" w14:textId="77777777" w:rsidR="00B02873" w:rsidRPr="002D6170" w:rsidRDefault="00B02873" w:rsidP="002D6170">
            <w:pPr>
              <w:pStyle w:val="TablebodyleftTables"/>
              <w:rPr>
                <w:sz w:val="20"/>
              </w:rPr>
            </w:pPr>
            <w:r w:rsidRPr="002D6170">
              <w:rPr>
                <w:sz w:val="20"/>
              </w:rPr>
              <w:t>Parking and amenity improvements – Craigieburn Station</w:t>
            </w:r>
          </w:p>
        </w:tc>
        <w:tc>
          <w:tcPr>
            <w:tcW w:w="1385" w:type="dxa"/>
          </w:tcPr>
          <w:p w14:paraId="2F7CB8BB" w14:textId="77777777" w:rsidR="00B02873" w:rsidRPr="002D6170" w:rsidRDefault="00B02873" w:rsidP="002D6170">
            <w:pPr>
              <w:pStyle w:val="TablebodyleftTables"/>
              <w:rPr>
                <w:sz w:val="20"/>
              </w:rPr>
            </w:pPr>
            <w:r w:rsidRPr="002D6170">
              <w:rPr>
                <w:sz w:val="20"/>
              </w:rPr>
              <w:t>2018-19 State Budget</w:t>
            </w:r>
          </w:p>
        </w:tc>
        <w:tc>
          <w:tcPr>
            <w:tcW w:w="1200" w:type="dxa"/>
          </w:tcPr>
          <w:p w14:paraId="5EC7A8B6" w14:textId="77777777" w:rsidR="00B02873" w:rsidRPr="002D6170" w:rsidRDefault="00B02873" w:rsidP="00603355">
            <w:pPr>
              <w:pStyle w:val="TablebodyleftTables"/>
              <w:jc w:val="right"/>
              <w:rPr>
                <w:sz w:val="20"/>
              </w:rPr>
            </w:pPr>
            <w:r w:rsidRPr="002D6170">
              <w:rPr>
                <w:sz w:val="20"/>
              </w:rPr>
              <w:t>11,000,000</w:t>
            </w:r>
          </w:p>
        </w:tc>
        <w:tc>
          <w:tcPr>
            <w:tcW w:w="1200" w:type="dxa"/>
          </w:tcPr>
          <w:p w14:paraId="2CA03299" w14:textId="77777777" w:rsidR="00B02873" w:rsidRPr="002D6170" w:rsidRDefault="00B02873" w:rsidP="00603355">
            <w:pPr>
              <w:pStyle w:val="TablebodyleftTables"/>
              <w:jc w:val="right"/>
              <w:rPr>
                <w:sz w:val="20"/>
              </w:rPr>
            </w:pPr>
            <w:r w:rsidRPr="002D6170">
              <w:rPr>
                <w:sz w:val="20"/>
              </w:rPr>
              <w:t>11,000,000</w:t>
            </w:r>
          </w:p>
        </w:tc>
        <w:tc>
          <w:tcPr>
            <w:tcW w:w="1035" w:type="dxa"/>
          </w:tcPr>
          <w:p w14:paraId="18C1E150" w14:textId="3B6AF753" w:rsidR="00B02873" w:rsidRPr="002D6170" w:rsidRDefault="002D6170" w:rsidP="00603355">
            <w:pPr>
              <w:pStyle w:val="TablebodyleftTables"/>
              <w:jc w:val="right"/>
              <w:rPr>
                <w:sz w:val="20"/>
              </w:rPr>
            </w:pPr>
            <w:r>
              <w:rPr>
                <w:sz w:val="20"/>
              </w:rPr>
              <w:t>–</w:t>
            </w:r>
          </w:p>
        </w:tc>
        <w:tc>
          <w:tcPr>
            <w:tcW w:w="1200" w:type="dxa"/>
          </w:tcPr>
          <w:p w14:paraId="60ED89B6" w14:textId="03D5C58C" w:rsidR="00B02873" w:rsidRPr="002D6170" w:rsidRDefault="002D6170" w:rsidP="00603355">
            <w:pPr>
              <w:pStyle w:val="TablebodyleftTables"/>
              <w:jc w:val="right"/>
              <w:rPr>
                <w:sz w:val="20"/>
              </w:rPr>
            </w:pPr>
            <w:r>
              <w:rPr>
                <w:sz w:val="20"/>
              </w:rPr>
              <w:t>–</w:t>
            </w:r>
          </w:p>
        </w:tc>
        <w:tc>
          <w:tcPr>
            <w:tcW w:w="903" w:type="dxa"/>
          </w:tcPr>
          <w:p w14:paraId="13C8E82E" w14:textId="77777777" w:rsidR="00B02873" w:rsidRPr="002D6170" w:rsidRDefault="00B02873" w:rsidP="002D6170">
            <w:pPr>
              <w:pStyle w:val="TablebodyleftTables"/>
              <w:rPr>
                <w:sz w:val="20"/>
              </w:rPr>
            </w:pPr>
            <w:r w:rsidRPr="002D6170">
              <w:rPr>
                <w:sz w:val="20"/>
              </w:rPr>
              <w:t>Active</w:t>
            </w:r>
          </w:p>
        </w:tc>
      </w:tr>
      <w:tr w:rsidR="00B02873" w:rsidRPr="002D6170" w14:paraId="66423B66" w14:textId="77777777" w:rsidTr="002D6170">
        <w:trPr>
          <w:trHeight w:val="60"/>
        </w:trPr>
        <w:tc>
          <w:tcPr>
            <w:tcW w:w="964" w:type="dxa"/>
          </w:tcPr>
          <w:p w14:paraId="5137FB89" w14:textId="77777777" w:rsidR="00B02873" w:rsidRPr="002D6170" w:rsidRDefault="00B02873" w:rsidP="002D6170">
            <w:pPr>
              <w:pStyle w:val="TablebodyleftTables"/>
              <w:rPr>
                <w:sz w:val="20"/>
              </w:rPr>
            </w:pPr>
            <w:r w:rsidRPr="002D6170">
              <w:rPr>
                <w:sz w:val="20"/>
              </w:rPr>
              <w:t>DoT</w:t>
            </w:r>
          </w:p>
        </w:tc>
        <w:tc>
          <w:tcPr>
            <w:tcW w:w="2008" w:type="dxa"/>
          </w:tcPr>
          <w:p w14:paraId="6BB9951A" w14:textId="77777777" w:rsidR="00B02873" w:rsidRPr="002D6170" w:rsidRDefault="00B02873" w:rsidP="002D6170">
            <w:pPr>
              <w:pStyle w:val="TablebodyleftTables"/>
              <w:rPr>
                <w:sz w:val="20"/>
              </w:rPr>
            </w:pPr>
            <w:r w:rsidRPr="002D6170">
              <w:rPr>
                <w:sz w:val="20"/>
              </w:rPr>
              <w:t>Parking and amenity improvements – Sunbury Station</w:t>
            </w:r>
          </w:p>
        </w:tc>
        <w:tc>
          <w:tcPr>
            <w:tcW w:w="1385" w:type="dxa"/>
          </w:tcPr>
          <w:p w14:paraId="4999FA95" w14:textId="77777777" w:rsidR="00B02873" w:rsidRPr="002D6170" w:rsidRDefault="00B02873" w:rsidP="002D6170">
            <w:pPr>
              <w:pStyle w:val="TablebodyleftTables"/>
              <w:rPr>
                <w:sz w:val="20"/>
              </w:rPr>
            </w:pPr>
            <w:r w:rsidRPr="002D6170">
              <w:rPr>
                <w:sz w:val="20"/>
              </w:rPr>
              <w:t>2018-19 State Budget</w:t>
            </w:r>
          </w:p>
        </w:tc>
        <w:tc>
          <w:tcPr>
            <w:tcW w:w="1200" w:type="dxa"/>
          </w:tcPr>
          <w:p w14:paraId="332F14F3" w14:textId="77777777" w:rsidR="00B02873" w:rsidRPr="002D6170" w:rsidRDefault="00B02873" w:rsidP="00603355">
            <w:pPr>
              <w:pStyle w:val="TablebodyleftTables"/>
              <w:jc w:val="right"/>
              <w:rPr>
                <w:sz w:val="20"/>
              </w:rPr>
            </w:pPr>
            <w:r w:rsidRPr="002D6170">
              <w:rPr>
                <w:sz w:val="20"/>
              </w:rPr>
              <w:t>3,000,000</w:t>
            </w:r>
          </w:p>
        </w:tc>
        <w:tc>
          <w:tcPr>
            <w:tcW w:w="1200" w:type="dxa"/>
          </w:tcPr>
          <w:p w14:paraId="30437A8E" w14:textId="77777777" w:rsidR="00B02873" w:rsidRPr="002D6170" w:rsidRDefault="00B02873" w:rsidP="00603355">
            <w:pPr>
              <w:pStyle w:val="TablebodyleftTables"/>
              <w:jc w:val="right"/>
              <w:rPr>
                <w:sz w:val="20"/>
              </w:rPr>
            </w:pPr>
            <w:r w:rsidRPr="002D6170">
              <w:rPr>
                <w:sz w:val="20"/>
              </w:rPr>
              <w:t>3,000,000</w:t>
            </w:r>
          </w:p>
        </w:tc>
        <w:tc>
          <w:tcPr>
            <w:tcW w:w="1035" w:type="dxa"/>
          </w:tcPr>
          <w:p w14:paraId="27C16FFB" w14:textId="23F641EE" w:rsidR="00B02873" w:rsidRPr="002D6170" w:rsidRDefault="002D6170" w:rsidP="00603355">
            <w:pPr>
              <w:pStyle w:val="TablebodyleftTables"/>
              <w:jc w:val="right"/>
              <w:rPr>
                <w:sz w:val="20"/>
              </w:rPr>
            </w:pPr>
            <w:r>
              <w:rPr>
                <w:sz w:val="20"/>
              </w:rPr>
              <w:t>–</w:t>
            </w:r>
          </w:p>
        </w:tc>
        <w:tc>
          <w:tcPr>
            <w:tcW w:w="1200" w:type="dxa"/>
          </w:tcPr>
          <w:p w14:paraId="42F1B438" w14:textId="0CC6AFA5" w:rsidR="00B02873" w:rsidRPr="002D6170" w:rsidRDefault="002D6170" w:rsidP="00603355">
            <w:pPr>
              <w:pStyle w:val="TablebodyleftTables"/>
              <w:jc w:val="right"/>
              <w:rPr>
                <w:sz w:val="20"/>
              </w:rPr>
            </w:pPr>
            <w:r>
              <w:rPr>
                <w:sz w:val="20"/>
              </w:rPr>
              <w:t>–</w:t>
            </w:r>
          </w:p>
        </w:tc>
        <w:tc>
          <w:tcPr>
            <w:tcW w:w="903" w:type="dxa"/>
          </w:tcPr>
          <w:p w14:paraId="4D9B9F7C" w14:textId="77777777" w:rsidR="00B02873" w:rsidRPr="002D6170" w:rsidRDefault="00B02873" w:rsidP="002D6170">
            <w:pPr>
              <w:pStyle w:val="TablebodyleftTables"/>
              <w:rPr>
                <w:sz w:val="20"/>
              </w:rPr>
            </w:pPr>
            <w:r w:rsidRPr="002D6170">
              <w:rPr>
                <w:sz w:val="20"/>
              </w:rPr>
              <w:t>Active</w:t>
            </w:r>
          </w:p>
        </w:tc>
      </w:tr>
      <w:tr w:rsidR="00B02873" w:rsidRPr="002D6170" w14:paraId="5EA8E7D5" w14:textId="77777777" w:rsidTr="002D6170">
        <w:trPr>
          <w:trHeight w:val="60"/>
        </w:trPr>
        <w:tc>
          <w:tcPr>
            <w:tcW w:w="964" w:type="dxa"/>
          </w:tcPr>
          <w:p w14:paraId="15EDB2B7" w14:textId="77777777" w:rsidR="00B02873" w:rsidRPr="002D6170" w:rsidRDefault="00B02873" w:rsidP="002D6170">
            <w:pPr>
              <w:pStyle w:val="TablebodyleftTables"/>
              <w:rPr>
                <w:sz w:val="20"/>
              </w:rPr>
            </w:pPr>
            <w:r w:rsidRPr="002D6170">
              <w:rPr>
                <w:sz w:val="20"/>
              </w:rPr>
              <w:t>DoT</w:t>
            </w:r>
          </w:p>
        </w:tc>
        <w:tc>
          <w:tcPr>
            <w:tcW w:w="2008" w:type="dxa"/>
          </w:tcPr>
          <w:p w14:paraId="5AEDD738" w14:textId="77777777" w:rsidR="00B02873" w:rsidRPr="002D6170" w:rsidRDefault="00B02873" w:rsidP="002D6170">
            <w:pPr>
              <w:pStyle w:val="TablebodyleftTables"/>
              <w:rPr>
                <w:sz w:val="20"/>
              </w:rPr>
            </w:pPr>
            <w:r w:rsidRPr="002D6170">
              <w:rPr>
                <w:spacing w:val="-3"/>
                <w:sz w:val="20"/>
              </w:rPr>
              <w:t>Extension of Craigieburn Central Shopping Centre to Craigieburn 528 bus route &amp; Craigieburn North to Craigieburn 529 bus route</w:t>
            </w:r>
          </w:p>
        </w:tc>
        <w:tc>
          <w:tcPr>
            <w:tcW w:w="1385" w:type="dxa"/>
          </w:tcPr>
          <w:p w14:paraId="716656C8" w14:textId="77777777" w:rsidR="00B02873" w:rsidRPr="002D6170" w:rsidRDefault="00B02873" w:rsidP="002D6170">
            <w:pPr>
              <w:pStyle w:val="TablebodyleftTables"/>
              <w:rPr>
                <w:sz w:val="20"/>
              </w:rPr>
            </w:pPr>
            <w:r w:rsidRPr="002D6170">
              <w:rPr>
                <w:sz w:val="20"/>
              </w:rPr>
              <w:t>2019-20</w:t>
            </w:r>
          </w:p>
        </w:tc>
        <w:tc>
          <w:tcPr>
            <w:tcW w:w="1200" w:type="dxa"/>
          </w:tcPr>
          <w:p w14:paraId="7E1C35E2" w14:textId="77777777" w:rsidR="00B02873" w:rsidRPr="002D6170" w:rsidRDefault="00B02873" w:rsidP="00603355">
            <w:pPr>
              <w:pStyle w:val="TablebodyleftTables"/>
              <w:jc w:val="right"/>
              <w:rPr>
                <w:sz w:val="20"/>
              </w:rPr>
            </w:pPr>
            <w:r w:rsidRPr="002D6170">
              <w:rPr>
                <w:sz w:val="20"/>
              </w:rPr>
              <w:t>8,362,000</w:t>
            </w:r>
          </w:p>
        </w:tc>
        <w:tc>
          <w:tcPr>
            <w:tcW w:w="1200" w:type="dxa"/>
          </w:tcPr>
          <w:p w14:paraId="1B4C096D" w14:textId="77777777" w:rsidR="00B02873" w:rsidRPr="002D6170" w:rsidRDefault="00B02873" w:rsidP="00603355">
            <w:pPr>
              <w:pStyle w:val="TablebodyleftTables"/>
              <w:jc w:val="right"/>
              <w:rPr>
                <w:sz w:val="20"/>
              </w:rPr>
            </w:pPr>
            <w:r w:rsidRPr="002D6170">
              <w:rPr>
                <w:sz w:val="20"/>
              </w:rPr>
              <w:t>5,853,400</w:t>
            </w:r>
          </w:p>
        </w:tc>
        <w:tc>
          <w:tcPr>
            <w:tcW w:w="1035" w:type="dxa"/>
          </w:tcPr>
          <w:p w14:paraId="4F126AD8" w14:textId="77777777" w:rsidR="00B02873" w:rsidRPr="002D6170" w:rsidRDefault="00B02873" w:rsidP="00603355">
            <w:pPr>
              <w:pStyle w:val="TablebodyleftTables"/>
              <w:jc w:val="right"/>
              <w:rPr>
                <w:sz w:val="20"/>
              </w:rPr>
            </w:pPr>
            <w:r w:rsidRPr="002D6170">
              <w:rPr>
                <w:sz w:val="20"/>
              </w:rPr>
              <w:t>2,508,600</w:t>
            </w:r>
          </w:p>
        </w:tc>
        <w:tc>
          <w:tcPr>
            <w:tcW w:w="1200" w:type="dxa"/>
          </w:tcPr>
          <w:p w14:paraId="1099CEEB" w14:textId="42DD04D7" w:rsidR="00B02873" w:rsidRPr="002D6170" w:rsidRDefault="002D6170" w:rsidP="00603355">
            <w:pPr>
              <w:pStyle w:val="TablebodyleftTables"/>
              <w:jc w:val="right"/>
              <w:rPr>
                <w:sz w:val="20"/>
              </w:rPr>
            </w:pPr>
            <w:r>
              <w:rPr>
                <w:sz w:val="20"/>
              </w:rPr>
              <w:t>–</w:t>
            </w:r>
          </w:p>
        </w:tc>
        <w:tc>
          <w:tcPr>
            <w:tcW w:w="903" w:type="dxa"/>
          </w:tcPr>
          <w:p w14:paraId="77A3B6CE" w14:textId="77777777" w:rsidR="00B02873" w:rsidRPr="002D6170" w:rsidRDefault="00B02873" w:rsidP="002D6170">
            <w:pPr>
              <w:pStyle w:val="TablebodyleftTables"/>
              <w:rPr>
                <w:sz w:val="20"/>
              </w:rPr>
            </w:pPr>
            <w:r w:rsidRPr="002D6170">
              <w:rPr>
                <w:sz w:val="20"/>
              </w:rPr>
              <w:t>Active</w:t>
            </w:r>
          </w:p>
        </w:tc>
      </w:tr>
      <w:tr w:rsidR="00B02873" w:rsidRPr="007B509E" w14:paraId="42390B00" w14:textId="77777777" w:rsidTr="002D6170">
        <w:trPr>
          <w:trHeight w:val="60"/>
        </w:trPr>
        <w:tc>
          <w:tcPr>
            <w:tcW w:w="964" w:type="dxa"/>
          </w:tcPr>
          <w:p w14:paraId="10D2BEE8" w14:textId="77777777" w:rsidR="00B02873" w:rsidRPr="007B509E" w:rsidRDefault="00B02873" w:rsidP="002D6170">
            <w:pPr>
              <w:pStyle w:val="TablebodyleftTables"/>
              <w:rPr>
                <w:b/>
                <w:bCs/>
                <w:sz w:val="20"/>
              </w:rPr>
            </w:pPr>
            <w:r w:rsidRPr="007B509E">
              <w:rPr>
                <w:b/>
                <w:bCs/>
                <w:sz w:val="20"/>
              </w:rPr>
              <w:t>Total</w:t>
            </w:r>
          </w:p>
        </w:tc>
        <w:tc>
          <w:tcPr>
            <w:tcW w:w="2008" w:type="dxa"/>
          </w:tcPr>
          <w:p w14:paraId="7FF28CAA" w14:textId="77777777" w:rsidR="00B02873" w:rsidRPr="007B509E" w:rsidRDefault="00B02873" w:rsidP="002D6170">
            <w:pPr>
              <w:pStyle w:val="TablebodyleftTables"/>
              <w:rPr>
                <w:rFonts w:cs="Times New Roman"/>
                <w:b/>
                <w:bCs/>
                <w:sz w:val="20"/>
              </w:rPr>
            </w:pPr>
          </w:p>
        </w:tc>
        <w:tc>
          <w:tcPr>
            <w:tcW w:w="1385" w:type="dxa"/>
          </w:tcPr>
          <w:p w14:paraId="170B536A" w14:textId="77777777" w:rsidR="00B02873" w:rsidRPr="007B509E" w:rsidRDefault="00B02873" w:rsidP="002D6170">
            <w:pPr>
              <w:pStyle w:val="TablebodyleftTables"/>
              <w:rPr>
                <w:rFonts w:cs="Times New Roman"/>
                <w:b/>
                <w:bCs/>
                <w:sz w:val="20"/>
              </w:rPr>
            </w:pPr>
          </w:p>
        </w:tc>
        <w:tc>
          <w:tcPr>
            <w:tcW w:w="1200" w:type="dxa"/>
          </w:tcPr>
          <w:p w14:paraId="288BD483" w14:textId="77777777" w:rsidR="00B02873" w:rsidRPr="007B509E" w:rsidRDefault="00B02873" w:rsidP="00603355">
            <w:pPr>
              <w:pStyle w:val="TablebodyleftTables"/>
              <w:jc w:val="right"/>
              <w:rPr>
                <w:b/>
                <w:bCs/>
                <w:sz w:val="20"/>
              </w:rPr>
            </w:pPr>
            <w:r w:rsidRPr="007B509E">
              <w:rPr>
                <w:b/>
                <w:bCs/>
                <w:sz w:val="20"/>
              </w:rPr>
              <w:t>29,632,000</w:t>
            </w:r>
          </w:p>
        </w:tc>
        <w:tc>
          <w:tcPr>
            <w:tcW w:w="1200" w:type="dxa"/>
          </w:tcPr>
          <w:p w14:paraId="1764789D" w14:textId="77777777" w:rsidR="00B02873" w:rsidRPr="007B509E" w:rsidRDefault="00B02873" w:rsidP="00603355">
            <w:pPr>
              <w:pStyle w:val="TablebodyleftTables"/>
              <w:jc w:val="right"/>
              <w:rPr>
                <w:b/>
                <w:bCs/>
                <w:sz w:val="20"/>
              </w:rPr>
            </w:pPr>
            <w:r w:rsidRPr="007B509E">
              <w:rPr>
                <w:b/>
                <w:bCs/>
                <w:sz w:val="20"/>
              </w:rPr>
              <w:t>21,853,400</w:t>
            </w:r>
          </w:p>
        </w:tc>
        <w:tc>
          <w:tcPr>
            <w:tcW w:w="1035" w:type="dxa"/>
          </w:tcPr>
          <w:p w14:paraId="0473DC68" w14:textId="77777777" w:rsidR="00B02873" w:rsidRPr="007B509E" w:rsidRDefault="00B02873" w:rsidP="00603355">
            <w:pPr>
              <w:pStyle w:val="TablebodyleftTables"/>
              <w:jc w:val="right"/>
              <w:rPr>
                <w:b/>
                <w:bCs/>
                <w:sz w:val="20"/>
              </w:rPr>
            </w:pPr>
            <w:r w:rsidRPr="007B509E">
              <w:rPr>
                <w:b/>
                <w:bCs/>
                <w:sz w:val="20"/>
              </w:rPr>
              <w:t>2,508,600</w:t>
            </w:r>
          </w:p>
        </w:tc>
        <w:tc>
          <w:tcPr>
            <w:tcW w:w="1200" w:type="dxa"/>
          </w:tcPr>
          <w:p w14:paraId="6BDB2C30" w14:textId="77777777" w:rsidR="00B02873" w:rsidRPr="007B509E" w:rsidRDefault="00B02873" w:rsidP="00603355">
            <w:pPr>
              <w:pStyle w:val="TablebodyleftTables"/>
              <w:jc w:val="right"/>
              <w:rPr>
                <w:b/>
                <w:bCs/>
                <w:sz w:val="20"/>
              </w:rPr>
            </w:pPr>
            <w:r w:rsidRPr="007B509E">
              <w:rPr>
                <w:b/>
                <w:bCs/>
                <w:sz w:val="20"/>
              </w:rPr>
              <w:t>5,000,000</w:t>
            </w:r>
          </w:p>
        </w:tc>
        <w:tc>
          <w:tcPr>
            <w:tcW w:w="903" w:type="dxa"/>
          </w:tcPr>
          <w:p w14:paraId="523B264C" w14:textId="77777777" w:rsidR="00B02873" w:rsidRPr="007B509E" w:rsidRDefault="00B02873" w:rsidP="002D6170">
            <w:pPr>
              <w:pStyle w:val="TablebodyleftTables"/>
              <w:rPr>
                <w:rFonts w:cs="Times New Roman"/>
                <w:b/>
                <w:bCs/>
                <w:sz w:val="20"/>
              </w:rPr>
            </w:pPr>
          </w:p>
        </w:tc>
      </w:tr>
    </w:tbl>
    <w:p w14:paraId="2167CD3A" w14:textId="77777777" w:rsidR="00B02873" w:rsidRDefault="00B02873" w:rsidP="00FE198A"/>
    <w:p w14:paraId="723B6BA0" w14:textId="77777777" w:rsidR="00B02873" w:rsidRDefault="00B02873" w:rsidP="002D6170">
      <w:pPr>
        <w:pStyle w:val="Heading4"/>
      </w:pPr>
      <w:r>
        <w:t>Melton City Council</w:t>
      </w:r>
    </w:p>
    <w:p w14:paraId="6C9CE05E" w14:textId="77777777" w:rsidR="00B02873" w:rsidRDefault="00B02873" w:rsidP="002D6170">
      <w:pPr>
        <w:pStyle w:val="TabletitleTables"/>
      </w:pPr>
      <w:r>
        <w:t>Table 15: BNCF-funded projects in Melton</w:t>
      </w:r>
    </w:p>
    <w:tbl>
      <w:tblPr>
        <w:tblStyle w:val="TableGrid"/>
        <w:tblW w:w="9918" w:type="dxa"/>
        <w:tblLayout w:type="fixed"/>
        <w:tblLook w:val="0020" w:firstRow="1" w:lastRow="0" w:firstColumn="0" w:lastColumn="0" w:noHBand="0" w:noVBand="0"/>
      </w:tblPr>
      <w:tblGrid>
        <w:gridCol w:w="978"/>
        <w:gridCol w:w="2136"/>
        <w:gridCol w:w="1276"/>
        <w:gridCol w:w="1199"/>
        <w:gridCol w:w="1200"/>
        <w:gridCol w:w="1059"/>
        <w:gridCol w:w="1200"/>
        <w:gridCol w:w="870"/>
      </w:tblGrid>
      <w:tr w:rsidR="00B02873" w:rsidRPr="002D6170" w14:paraId="76149A81" w14:textId="77777777" w:rsidTr="002D6170">
        <w:trPr>
          <w:cnfStyle w:val="100000000000" w:firstRow="1" w:lastRow="0" w:firstColumn="0" w:lastColumn="0" w:oddVBand="0" w:evenVBand="0" w:oddHBand="0" w:evenHBand="0" w:firstRowFirstColumn="0" w:firstRowLastColumn="0" w:lastRowFirstColumn="0" w:lastRowLastColumn="0"/>
          <w:trHeight w:val="60"/>
          <w:tblHeader/>
        </w:trPr>
        <w:tc>
          <w:tcPr>
            <w:tcW w:w="978" w:type="dxa"/>
          </w:tcPr>
          <w:p w14:paraId="5958711B" w14:textId="77777777" w:rsidR="00B02873" w:rsidRPr="002D6170" w:rsidRDefault="00B02873" w:rsidP="002D6170">
            <w:pPr>
              <w:pStyle w:val="TableheadingleftTables"/>
              <w:rPr>
                <w:sz w:val="20"/>
                <w:szCs w:val="16"/>
              </w:rPr>
            </w:pPr>
            <w:r w:rsidRPr="002D6170">
              <w:rPr>
                <w:sz w:val="20"/>
                <w:szCs w:val="16"/>
              </w:rPr>
              <w:t>Agency</w:t>
            </w:r>
          </w:p>
        </w:tc>
        <w:tc>
          <w:tcPr>
            <w:tcW w:w="2136" w:type="dxa"/>
          </w:tcPr>
          <w:p w14:paraId="30F7F57F" w14:textId="77777777" w:rsidR="00B02873" w:rsidRPr="002D6170" w:rsidRDefault="00B02873" w:rsidP="002D6170">
            <w:pPr>
              <w:pStyle w:val="TableheadingleftTables"/>
              <w:rPr>
                <w:sz w:val="20"/>
                <w:szCs w:val="16"/>
              </w:rPr>
            </w:pPr>
            <w:r w:rsidRPr="002D6170">
              <w:rPr>
                <w:sz w:val="20"/>
                <w:szCs w:val="16"/>
              </w:rPr>
              <w:t>Purpose</w:t>
            </w:r>
          </w:p>
        </w:tc>
        <w:tc>
          <w:tcPr>
            <w:tcW w:w="1276" w:type="dxa"/>
          </w:tcPr>
          <w:p w14:paraId="3391D710" w14:textId="77777777" w:rsidR="00B02873" w:rsidRPr="002D6170" w:rsidRDefault="00B02873" w:rsidP="002D6170">
            <w:pPr>
              <w:pStyle w:val="TableheadingleftTables"/>
              <w:rPr>
                <w:sz w:val="20"/>
                <w:szCs w:val="16"/>
              </w:rPr>
            </w:pPr>
            <w:r w:rsidRPr="002D6170">
              <w:rPr>
                <w:sz w:val="20"/>
                <w:szCs w:val="16"/>
              </w:rPr>
              <w:t>Year Announced</w:t>
            </w:r>
          </w:p>
        </w:tc>
        <w:tc>
          <w:tcPr>
            <w:tcW w:w="1199" w:type="dxa"/>
          </w:tcPr>
          <w:p w14:paraId="7CF4570D" w14:textId="77777777" w:rsidR="00B02873" w:rsidRPr="002D6170" w:rsidRDefault="00B02873" w:rsidP="00603355">
            <w:pPr>
              <w:pStyle w:val="TableheadingleftTables"/>
              <w:jc w:val="right"/>
              <w:rPr>
                <w:sz w:val="20"/>
                <w:szCs w:val="16"/>
              </w:rPr>
            </w:pPr>
            <w:r w:rsidRPr="002D6170">
              <w:rPr>
                <w:sz w:val="20"/>
                <w:szCs w:val="16"/>
              </w:rPr>
              <w:t>Allocated</w:t>
            </w:r>
          </w:p>
        </w:tc>
        <w:tc>
          <w:tcPr>
            <w:tcW w:w="1200" w:type="dxa"/>
          </w:tcPr>
          <w:p w14:paraId="44BC908C" w14:textId="77777777" w:rsidR="00B02873" w:rsidRPr="002D6170" w:rsidRDefault="00B02873" w:rsidP="00603355">
            <w:pPr>
              <w:pStyle w:val="TableheadingleftTables"/>
              <w:jc w:val="right"/>
              <w:rPr>
                <w:sz w:val="20"/>
                <w:szCs w:val="16"/>
              </w:rPr>
            </w:pPr>
            <w:r w:rsidRPr="002D6170">
              <w:rPr>
                <w:sz w:val="20"/>
                <w:szCs w:val="16"/>
              </w:rPr>
              <w:t>Amount paid to 30 June 2021</w:t>
            </w:r>
          </w:p>
        </w:tc>
        <w:tc>
          <w:tcPr>
            <w:tcW w:w="1059" w:type="dxa"/>
          </w:tcPr>
          <w:p w14:paraId="11022A65" w14:textId="77777777" w:rsidR="00B02873" w:rsidRPr="002D6170" w:rsidRDefault="00B02873" w:rsidP="00603355">
            <w:pPr>
              <w:pStyle w:val="TableheadingleftTables"/>
              <w:jc w:val="right"/>
              <w:rPr>
                <w:sz w:val="20"/>
                <w:szCs w:val="16"/>
              </w:rPr>
            </w:pPr>
            <w:r w:rsidRPr="002D6170">
              <w:rPr>
                <w:sz w:val="20"/>
                <w:szCs w:val="16"/>
              </w:rPr>
              <w:t>Amount paid in 2021-22</w:t>
            </w:r>
          </w:p>
        </w:tc>
        <w:tc>
          <w:tcPr>
            <w:tcW w:w="1200" w:type="dxa"/>
          </w:tcPr>
          <w:p w14:paraId="1B212EDF" w14:textId="77777777" w:rsidR="00B02873" w:rsidRPr="002D6170" w:rsidRDefault="00B02873" w:rsidP="00603355">
            <w:pPr>
              <w:pStyle w:val="TableheadingleftTables"/>
              <w:jc w:val="right"/>
              <w:rPr>
                <w:sz w:val="20"/>
                <w:szCs w:val="16"/>
              </w:rPr>
            </w:pPr>
            <w:r w:rsidRPr="002D6170">
              <w:rPr>
                <w:sz w:val="20"/>
                <w:szCs w:val="16"/>
              </w:rPr>
              <w:t>Amount yet to be paid</w:t>
            </w:r>
          </w:p>
        </w:tc>
        <w:tc>
          <w:tcPr>
            <w:tcW w:w="870" w:type="dxa"/>
          </w:tcPr>
          <w:p w14:paraId="630FF41B" w14:textId="77777777" w:rsidR="00B02873" w:rsidRPr="002D6170" w:rsidRDefault="00B02873" w:rsidP="002D6170">
            <w:pPr>
              <w:pStyle w:val="TableheadingleftTables"/>
              <w:rPr>
                <w:sz w:val="20"/>
                <w:szCs w:val="16"/>
              </w:rPr>
            </w:pPr>
            <w:r w:rsidRPr="002D6170">
              <w:rPr>
                <w:sz w:val="20"/>
                <w:szCs w:val="16"/>
              </w:rPr>
              <w:t>Status</w:t>
            </w:r>
          </w:p>
        </w:tc>
      </w:tr>
      <w:tr w:rsidR="00B02873" w:rsidRPr="002D6170" w14:paraId="73C07E9E" w14:textId="77777777" w:rsidTr="002D6170">
        <w:trPr>
          <w:trHeight w:val="60"/>
        </w:trPr>
        <w:tc>
          <w:tcPr>
            <w:tcW w:w="978" w:type="dxa"/>
          </w:tcPr>
          <w:p w14:paraId="0F7839E2" w14:textId="77777777" w:rsidR="00B02873" w:rsidRPr="002D6170" w:rsidRDefault="00B02873" w:rsidP="002D6170">
            <w:pPr>
              <w:pStyle w:val="TablebodyleftTables"/>
              <w:rPr>
                <w:sz w:val="20"/>
              </w:rPr>
            </w:pPr>
            <w:r w:rsidRPr="002D6170">
              <w:rPr>
                <w:sz w:val="20"/>
              </w:rPr>
              <w:t>DH</w:t>
            </w:r>
          </w:p>
        </w:tc>
        <w:tc>
          <w:tcPr>
            <w:tcW w:w="2136" w:type="dxa"/>
          </w:tcPr>
          <w:p w14:paraId="12513FB0" w14:textId="77777777" w:rsidR="00B02873" w:rsidRPr="002D6170" w:rsidRDefault="00B02873" w:rsidP="002D6170">
            <w:pPr>
              <w:pStyle w:val="TablebodyleftTables"/>
              <w:rPr>
                <w:sz w:val="20"/>
              </w:rPr>
            </w:pPr>
            <w:r w:rsidRPr="002D6170">
              <w:rPr>
                <w:sz w:val="20"/>
              </w:rPr>
              <w:t>Melton Ambulance Station</w:t>
            </w:r>
          </w:p>
        </w:tc>
        <w:tc>
          <w:tcPr>
            <w:tcW w:w="1276" w:type="dxa"/>
          </w:tcPr>
          <w:p w14:paraId="5204F956" w14:textId="77777777" w:rsidR="00B02873" w:rsidRPr="002D6170" w:rsidRDefault="00B02873" w:rsidP="002D6170">
            <w:pPr>
              <w:pStyle w:val="TablebodyleftTables"/>
              <w:rPr>
                <w:sz w:val="20"/>
              </w:rPr>
            </w:pPr>
            <w:r w:rsidRPr="002D6170">
              <w:rPr>
                <w:sz w:val="20"/>
              </w:rPr>
              <w:t>2016-17</w:t>
            </w:r>
          </w:p>
        </w:tc>
        <w:tc>
          <w:tcPr>
            <w:tcW w:w="1199" w:type="dxa"/>
          </w:tcPr>
          <w:p w14:paraId="23DE2D23" w14:textId="77777777" w:rsidR="00B02873" w:rsidRPr="002D6170" w:rsidRDefault="00B02873" w:rsidP="00603355">
            <w:pPr>
              <w:pStyle w:val="TablebodyleftTables"/>
              <w:jc w:val="right"/>
              <w:rPr>
                <w:sz w:val="20"/>
              </w:rPr>
            </w:pPr>
            <w:r w:rsidRPr="002D6170">
              <w:rPr>
                <w:sz w:val="20"/>
              </w:rPr>
              <w:t>1,200,000</w:t>
            </w:r>
          </w:p>
        </w:tc>
        <w:tc>
          <w:tcPr>
            <w:tcW w:w="1200" w:type="dxa"/>
          </w:tcPr>
          <w:p w14:paraId="1D7669D7" w14:textId="0F07ECB0" w:rsidR="00B02873" w:rsidRPr="002D6170" w:rsidRDefault="002D6170" w:rsidP="00603355">
            <w:pPr>
              <w:pStyle w:val="TablebodyleftTables"/>
              <w:jc w:val="right"/>
              <w:rPr>
                <w:sz w:val="20"/>
              </w:rPr>
            </w:pPr>
            <w:r>
              <w:rPr>
                <w:sz w:val="20"/>
              </w:rPr>
              <w:t>–</w:t>
            </w:r>
          </w:p>
        </w:tc>
        <w:tc>
          <w:tcPr>
            <w:tcW w:w="1059" w:type="dxa"/>
          </w:tcPr>
          <w:p w14:paraId="62C71394" w14:textId="45E8CE8F" w:rsidR="00B02873" w:rsidRPr="002D6170" w:rsidRDefault="002D6170" w:rsidP="00603355">
            <w:pPr>
              <w:pStyle w:val="TablebodyleftTables"/>
              <w:jc w:val="right"/>
              <w:rPr>
                <w:sz w:val="20"/>
              </w:rPr>
            </w:pPr>
            <w:r>
              <w:rPr>
                <w:sz w:val="20"/>
              </w:rPr>
              <w:t>–</w:t>
            </w:r>
          </w:p>
        </w:tc>
        <w:tc>
          <w:tcPr>
            <w:tcW w:w="1200" w:type="dxa"/>
          </w:tcPr>
          <w:p w14:paraId="0A46F0A2" w14:textId="77777777" w:rsidR="00B02873" w:rsidRPr="002D6170" w:rsidRDefault="00B02873" w:rsidP="00603355">
            <w:pPr>
              <w:pStyle w:val="TablebodyleftTables"/>
              <w:jc w:val="right"/>
              <w:rPr>
                <w:sz w:val="20"/>
              </w:rPr>
            </w:pPr>
            <w:r w:rsidRPr="002D6170">
              <w:rPr>
                <w:sz w:val="20"/>
              </w:rPr>
              <w:t>1,200,000</w:t>
            </w:r>
          </w:p>
        </w:tc>
        <w:tc>
          <w:tcPr>
            <w:tcW w:w="870" w:type="dxa"/>
          </w:tcPr>
          <w:p w14:paraId="5E8A1E7D" w14:textId="77777777" w:rsidR="00B02873" w:rsidRPr="002D6170" w:rsidRDefault="00B02873" w:rsidP="002D6170">
            <w:pPr>
              <w:pStyle w:val="TablebodyleftTables"/>
              <w:rPr>
                <w:sz w:val="20"/>
              </w:rPr>
            </w:pPr>
            <w:r w:rsidRPr="002D6170">
              <w:rPr>
                <w:sz w:val="20"/>
              </w:rPr>
              <w:t>Active</w:t>
            </w:r>
          </w:p>
        </w:tc>
      </w:tr>
      <w:tr w:rsidR="00B02873" w:rsidRPr="002D6170" w14:paraId="10BB213F" w14:textId="77777777" w:rsidTr="002D6170">
        <w:trPr>
          <w:trHeight w:val="60"/>
        </w:trPr>
        <w:tc>
          <w:tcPr>
            <w:tcW w:w="978" w:type="dxa"/>
          </w:tcPr>
          <w:p w14:paraId="3AC6721A" w14:textId="77777777" w:rsidR="00B02873" w:rsidRPr="002D6170" w:rsidRDefault="00B02873" w:rsidP="002D6170">
            <w:pPr>
              <w:pStyle w:val="TablebodyleftTables"/>
              <w:rPr>
                <w:sz w:val="20"/>
              </w:rPr>
            </w:pPr>
            <w:r w:rsidRPr="002D6170">
              <w:rPr>
                <w:sz w:val="20"/>
              </w:rPr>
              <w:t>DH</w:t>
            </w:r>
          </w:p>
        </w:tc>
        <w:tc>
          <w:tcPr>
            <w:tcW w:w="2136" w:type="dxa"/>
          </w:tcPr>
          <w:p w14:paraId="6A142F47" w14:textId="77777777" w:rsidR="00B02873" w:rsidRPr="002D6170" w:rsidRDefault="00B02873" w:rsidP="002D6170">
            <w:pPr>
              <w:pStyle w:val="TablebodyleftTables"/>
              <w:rPr>
                <w:sz w:val="20"/>
              </w:rPr>
            </w:pPr>
            <w:r w:rsidRPr="002D6170">
              <w:rPr>
                <w:sz w:val="20"/>
              </w:rPr>
              <w:t>Hillside Ambulance Station</w:t>
            </w:r>
          </w:p>
        </w:tc>
        <w:tc>
          <w:tcPr>
            <w:tcW w:w="1276" w:type="dxa"/>
          </w:tcPr>
          <w:p w14:paraId="23669CD9" w14:textId="77777777" w:rsidR="00B02873" w:rsidRPr="002D6170" w:rsidRDefault="00B02873" w:rsidP="002D6170">
            <w:pPr>
              <w:pStyle w:val="TablebodyleftTables"/>
              <w:rPr>
                <w:sz w:val="20"/>
              </w:rPr>
            </w:pPr>
            <w:r w:rsidRPr="002D6170">
              <w:rPr>
                <w:sz w:val="20"/>
              </w:rPr>
              <w:t>2016-17</w:t>
            </w:r>
          </w:p>
        </w:tc>
        <w:tc>
          <w:tcPr>
            <w:tcW w:w="1199" w:type="dxa"/>
          </w:tcPr>
          <w:p w14:paraId="329BF372" w14:textId="77777777" w:rsidR="00B02873" w:rsidRPr="002D6170" w:rsidRDefault="00B02873" w:rsidP="00603355">
            <w:pPr>
              <w:pStyle w:val="TablebodyleftTables"/>
              <w:jc w:val="right"/>
              <w:rPr>
                <w:sz w:val="20"/>
              </w:rPr>
            </w:pPr>
            <w:r w:rsidRPr="002D6170">
              <w:rPr>
                <w:sz w:val="20"/>
              </w:rPr>
              <w:t>2,000,000</w:t>
            </w:r>
          </w:p>
        </w:tc>
        <w:tc>
          <w:tcPr>
            <w:tcW w:w="1200" w:type="dxa"/>
          </w:tcPr>
          <w:p w14:paraId="23D72240" w14:textId="07635F48" w:rsidR="00B02873" w:rsidRPr="002D6170" w:rsidRDefault="002D6170" w:rsidP="00603355">
            <w:pPr>
              <w:pStyle w:val="TablebodyleftTables"/>
              <w:jc w:val="right"/>
              <w:rPr>
                <w:sz w:val="20"/>
              </w:rPr>
            </w:pPr>
            <w:r>
              <w:rPr>
                <w:sz w:val="20"/>
              </w:rPr>
              <w:t>–</w:t>
            </w:r>
          </w:p>
        </w:tc>
        <w:tc>
          <w:tcPr>
            <w:tcW w:w="1059" w:type="dxa"/>
          </w:tcPr>
          <w:p w14:paraId="0F49AFD2" w14:textId="3905CA59" w:rsidR="00B02873" w:rsidRPr="002D6170" w:rsidRDefault="002D6170" w:rsidP="00603355">
            <w:pPr>
              <w:pStyle w:val="TablebodyleftTables"/>
              <w:jc w:val="right"/>
              <w:rPr>
                <w:sz w:val="20"/>
              </w:rPr>
            </w:pPr>
            <w:r>
              <w:rPr>
                <w:sz w:val="20"/>
              </w:rPr>
              <w:t>–</w:t>
            </w:r>
          </w:p>
        </w:tc>
        <w:tc>
          <w:tcPr>
            <w:tcW w:w="1200" w:type="dxa"/>
          </w:tcPr>
          <w:p w14:paraId="18EAB21B" w14:textId="77777777" w:rsidR="00B02873" w:rsidRPr="002D6170" w:rsidRDefault="00B02873" w:rsidP="00603355">
            <w:pPr>
              <w:pStyle w:val="TablebodyleftTables"/>
              <w:jc w:val="right"/>
              <w:rPr>
                <w:sz w:val="20"/>
              </w:rPr>
            </w:pPr>
            <w:r w:rsidRPr="002D6170">
              <w:rPr>
                <w:sz w:val="20"/>
              </w:rPr>
              <w:t>2,000,000</w:t>
            </w:r>
          </w:p>
        </w:tc>
        <w:tc>
          <w:tcPr>
            <w:tcW w:w="870" w:type="dxa"/>
          </w:tcPr>
          <w:p w14:paraId="7EBF6CBA" w14:textId="77777777" w:rsidR="00B02873" w:rsidRPr="002D6170" w:rsidRDefault="00B02873" w:rsidP="002D6170">
            <w:pPr>
              <w:pStyle w:val="TablebodyleftTables"/>
              <w:rPr>
                <w:sz w:val="20"/>
              </w:rPr>
            </w:pPr>
            <w:r w:rsidRPr="002D6170">
              <w:rPr>
                <w:sz w:val="20"/>
              </w:rPr>
              <w:t>Active</w:t>
            </w:r>
          </w:p>
        </w:tc>
      </w:tr>
      <w:tr w:rsidR="00B02873" w:rsidRPr="002D6170" w14:paraId="279FC5E4" w14:textId="77777777" w:rsidTr="002D6170">
        <w:trPr>
          <w:trHeight w:val="60"/>
        </w:trPr>
        <w:tc>
          <w:tcPr>
            <w:tcW w:w="978" w:type="dxa"/>
          </w:tcPr>
          <w:p w14:paraId="75F72328" w14:textId="77777777" w:rsidR="00B02873" w:rsidRPr="002D6170" w:rsidRDefault="00B02873" w:rsidP="002D6170">
            <w:pPr>
              <w:pStyle w:val="TablebodyleftTables"/>
              <w:rPr>
                <w:sz w:val="20"/>
              </w:rPr>
            </w:pPr>
            <w:r w:rsidRPr="002D6170">
              <w:rPr>
                <w:sz w:val="20"/>
              </w:rPr>
              <w:t>DH</w:t>
            </w:r>
          </w:p>
        </w:tc>
        <w:tc>
          <w:tcPr>
            <w:tcW w:w="2136" w:type="dxa"/>
          </w:tcPr>
          <w:p w14:paraId="250CBB5B" w14:textId="77777777" w:rsidR="00B02873" w:rsidRPr="002D6170" w:rsidRDefault="00B02873" w:rsidP="002D6170">
            <w:pPr>
              <w:pStyle w:val="TablebodyleftTables"/>
              <w:rPr>
                <w:sz w:val="20"/>
              </w:rPr>
            </w:pPr>
            <w:r w:rsidRPr="002D6170">
              <w:rPr>
                <w:sz w:val="20"/>
              </w:rPr>
              <w:t>Melton South Ambulance Station</w:t>
            </w:r>
          </w:p>
        </w:tc>
        <w:tc>
          <w:tcPr>
            <w:tcW w:w="1276" w:type="dxa"/>
          </w:tcPr>
          <w:p w14:paraId="747C556B" w14:textId="77777777" w:rsidR="00B02873" w:rsidRPr="002D6170" w:rsidRDefault="00B02873" w:rsidP="002D6170">
            <w:pPr>
              <w:pStyle w:val="TablebodyleftTables"/>
              <w:rPr>
                <w:sz w:val="20"/>
              </w:rPr>
            </w:pPr>
            <w:r w:rsidRPr="002D6170">
              <w:rPr>
                <w:sz w:val="20"/>
              </w:rPr>
              <w:t>2017-18</w:t>
            </w:r>
          </w:p>
        </w:tc>
        <w:tc>
          <w:tcPr>
            <w:tcW w:w="1199" w:type="dxa"/>
          </w:tcPr>
          <w:p w14:paraId="60E5CF06" w14:textId="77777777" w:rsidR="00B02873" w:rsidRPr="002D6170" w:rsidRDefault="00B02873" w:rsidP="00603355">
            <w:pPr>
              <w:pStyle w:val="TablebodyleftTables"/>
              <w:jc w:val="right"/>
              <w:rPr>
                <w:sz w:val="20"/>
              </w:rPr>
            </w:pPr>
            <w:r w:rsidRPr="002D6170">
              <w:rPr>
                <w:sz w:val="20"/>
              </w:rPr>
              <w:t>3,600,000</w:t>
            </w:r>
          </w:p>
        </w:tc>
        <w:tc>
          <w:tcPr>
            <w:tcW w:w="1200" w:type="dxa"/>
          </w:tcPr>
          <w:p w14:paraId="6B43FB69" w14:textId="77777777" w:rsidR="00B02873" w:rsidRPr="002D6170" w:rsidRDefault="00B02873" w:rsidP="00603355">
            <w:pPr>
              <w:pStyle w:val="TablebodyleftTables"/>
              <w:jc w:val="right"/>
              <w:rPr>
                <w:sz w:val="20"/>
              </w:rPr>
            </w:pPr>
            <w:r w:rsidRPr="002D6170">
              <w:rPr>
                <w:sz w:val="20"/>
              </w:rPr>
              <w:t>1,500,000</w:t>
            </w:r>
          </w:p>
        </w:tc>
        <w:tc>
          <w:tcPr>
            <w:tcW w:w="1059" w:type="dxa"/>
          </w:tcPr>
          <w:p w14:paraId="2A10CA01" w14:textId="77777777" w:rsidR="00B02873" w:rsidRPr="002D6170" w:rsidRDefault="00B02873" w:rsidP="00603355">
            <w:pPr>
              <w:pStyle w:val="TablebodyleftTables"/>
              <w:jc w:val="right"/>
              <w:rPr>
                <w:sz w:val="20"/>
              </w:rPr>
            </w:pPr>
            <w:r w:rsidRPr="002D6170">
              <w:rPr>
                <w:sz w:val="20"/>
              </w:rPr>
              <w:t>1,400,000</w:t>
            </w:r>
          </w:p>
        </w:tc>
        <w:tc>
          <w:tcPr>
            <w:tcW w:w="1200" w:type="dxa"/>
          </w:tcPr>
          <w:p w14:paraId="612260B4" w14:textId="77777777" w:rsidR="00B02873" w:rsidRPr="002D6170" w:rsidRDefault="00B02873" w:rsidP="00603355">
            <w:pPr>
              <w:pStyle w:val="TablebodyleftTables"/>
              <w:jc w:val="right"/>
              <w:rPr>
                <w:sz w:val="20"/>
              </w:rPr>
            </w:pPr>
            <w:r w:rsidRPr="002D6170">
              <w:rPr>
                <w:sz w:val="20"/>
              </w:rPr>
              <w:t>700,000</w:t>
            </w:r>
          </w:p>
        </w:tc>
        <w:tc>
          <w:tcPr>
            <w:tcW w:w="870" w:type="dxa"/>
          </w:tcPr>
          <w:p w14:paraId="7EE4B925" w14:textId="77777777" w:rsidR="00B02873" w:rsidRPr="002D6170" w:rsidRDefault="00B02873" w:rsidP="002D6170">
            <w:pPr>
              <w:pStyle w:val="TablebodyleftTables"/>
              <w:rPr>
                <w:sz w:val="20"/>
              </w:rPr>
            </w:pPr>
            <w:r w:rsidRPr="002D6170">
              <w:rPr>
                <w:sz w:val="20"/>
              </w:rPr>
              <w:t>Active</w:t>
            </w:r>
          </w:p>
        </w:tc>
      </w:tr>
      <w:tr w:rsidR="00B02873" w:rsidRPr="002D6170" w14:paraId="16CE0FA2" w14:textId="77777777" w:rsidTr="002D6170">
        <w:trPr>
          <w:trHeight w:val="60"/>
        </w:trPr>
        <w:tc>
          <w:tcPr>
            <w:tcW w:w="978" w:type="dxa"/>
          </w:tcPr>
          <w:p w14:paraId="377782A3" w14:textId="77777777" w:rsidR="00B02873" w:rsidRPr="002D6170" w:rsidRDefault="00B02873" w:rsidP="002D6170">
            <w:pPr>
              <w:pStyle w:val="TablebodyleftTables"/>
              <w:rPr>
                <w:sz w:val="20"/>
              </w:rPr>
            </w:pPr>
            <w:r w:rsidRPr="002D6170">
              <w:rPr>
                <w:sz w:val="20"/>
              </w:rPr>
              <w:t>DET</w:t>
            </w:r>
          </w:p>
        </w:tc>
        <w:tc>
          <w:tcPr>
            <w:tcW w:w="2136" w:type="dxa"/>
          </w:tcPr>
          <w:p w14:paraId="7EDB73A3" w14:textId="7483825E" w:rsidR="00B02873" w:rsidRPr="002D6170" w:rsidRDefault="00B02873" w:rsidP="002D6170">
            <w:pPr>
              <w:pStyle w:val="TablebodyleftTables"/>
              <w:rPr>
                <w:sz w:val="20"/>
              </w:rPr>
            </w:pPr>
            <w:r w:rsidRPr="002D6170">
              <w:rPr>
                <w:sz w:val="20"/>
              </w:rPr>
              <w:t>Cobblebank (Aintree) 7-12 land acquisition</w:t>
            </w:r>
          </w:p>
        </w:tc>
        <w:tc>
          <w:tcPr>
            <w:tcW w:w="1276" w:type="dxa"/>
          </w:tcPr>
          <w:p w14:paraId="43F03EE8" w14:textId="77777777" w:rsidR="00B02873" w:rsidRPr="002D6170" w:rsidRDefault="00B02873" w:rsidP="002D6170">
            <w:pPr>
              <w:pStyle w:val="TablebodyleftTables"/>
              <w:rPr>
                <w:sz w:val="20"/>
              </w:rPr>
            </w:pPr>
            <w:r w:rsidRPr="002D6170">
              <w:rPr>
                <w:sz w:val="20"/>
              </w:rPr>
              <w:t>2018-19 State Budget</w:t>
            </w:r>
          </w:p>
        </w:tc>
        <w:tc>
          <w:tcPr>
            <w:tcW w:w="1199" w:type="dxa"/>
          </w:tcPr>
          <w:p w14:paraId="72AA2C82" w14:textId="77777777" w:rsidR="00B02873" w:rsidRPr="002D6170" w:rsidRDefault="00B02873" w:rsidP="00603355">
            <w:pPr>
              <w:pStyle w:val="TablebodyleftTables"/>
              <w:jc w:val="right"/>
              <w:rPr>
                <w:sz w:val="20"/>
              </w:rPr>
            </w:pPr>
            <w:r w:rsidRPr="002D6170">
              <w:rPr>
                <w:sz w:val="20"/>
              </w:rPr>
              <w:t>16,200,000</w:t>
            </w:r>
          </w:p>
        </w:tc>
        <w:tc>
          <w:tcPr>
            <w:tcW w:w="1200" w:type="dxa"/>
          </w:tcPr>
          <w:p w14:paraId="057A7C74" w14:textId="77777777" w:rsidR="00B02873" w:rsidRPr="002D6170" w:rsidRDefault="00B02873" w:rsidP="00603355">
            <w:pPr>
              <w:pStyle w:val="TablebodyleftTables"/>
              <w:jc w:val="right"/>
              <w:rPr>
                <w:sz w:val="20"/>
              </w:rPr>
            </w:pPr>
            <w:r w:rsidRPr="002D6170">
              <w:rPr>
                <w:sz w:val="20"/>
              </w:rPr>
              <w:t>16,200,000</w:t>
            </w:r>
          </w:p>
        </w:tc>
        <w:tc>
          <w:tcPr>
            <w:tcW w:w="1059" w:type="dxa"/>
          </w:tcPr>
          <w:p w14:paraId="4705201E" w14:textId="69FD7A83" w:rsidR="00B02873" w:rsidRPr="002D6170" w:rsidRDefault="002D6170" w:rsidP="00603355">
            <w:pPr>
              <w:pStyle w:val="TablebodyleftTables"/>
              <w:jc w:val="right"/>
              <w:rPr>
                <w:sz w:val="20"/>
              </w:rPr>
            </w:pPr>
            <w:r>
              <w:rPr>
                <w:sz w:val="20"/>
              </w:rPr>
              <w:t>–</w:t>
            </w:r>
          </w:p>
        </w:tc>
        <w:tc>
          <w:tcPr>
            <w:tcW w:w="1200" w:type="dxa"/>
          </w:tcPr>
          <w:p w14:paraId="2AADFEA9" w14:textId="66087B42" w:rsidR="00B02873" w:rsidRPr="002D6170" w:rsidRDefault="002D6170" w:rsidP="00603355">
            <w:pPr>
              <w:pStyle w:val="TablebodyleftTables"/>
              <w:jc w:val="right"/>
              <w:rPr>
                <w:sz w:val="20"/>
              </w:rPr>
            </w:pPr>
            <w:r>
              <w:rPr>
                <w:sz w:val="20"/>
              </w:rPr>
              <w:t>–</w:t>
            </w:r>
          </w:p>
        </w:tc>
        <w:tc>
          <w:tcPr>
            <w:tcW w:w="870" w:type="dxa"/>
          </w:tcPr>
          <w:p w14:paraId="700F521D" w14:textId="77777777" w:rsidR="00B02873" w:rsidRPr="002D6170" w:rsidRDefault="00B02873" w:rsidP="002D6170">
            <w:pPr>
              <w:pStyle w:val="TablebodyleftTables"/>
              <w:rPr>
                <w:sz w:val="20"/>
              </w:rPr>
            </w:pPr>
            <w:r w:rsidRPr="002D6170">
              <w:rPr>
                <w:sz w:val="20"/>
              </w:rPr>
              <w:t>Active</w:t>
            </w:r>
          </w:p>
        </w:tc>
      </w:tr>
      <w:tr w:rsidR="00B02873" w:rsidRPr="002D6170" w14:paraId="52F41237" w14:textId="77777777" w:rsidTr="002D6170">
        <w:trPr>
          <w:trHeight w:val="60"/>
        </w:trPr>
        <w:tc>
          <w:tcPr>
            <w:tcW w:w="978" w:type="dxa"/>
          </w:tcPr>
          <w:p w14:paraId="7A3A7F4F" w14:textId="77777777" w:rsidR="00B02873" w:rsidRPr="002D6170" w:rsidRDefault="00B02873" w:rsidP="002D6170">
            <w:pPr>
              <w:pStyle w:val="TablebodyleftTables"/>
              <w:rPr>
                <w:sz w:val="20"/>
              </w:rPr>
            </w:pPr>
            <w:r w:rsidRPr="002D6170">
              <w:rPr>
                <w:sz w:val="20"/>
              </w:rPr>
              <w:t>DET</w:t>
            </w:r>
          </w:p>
        </w:tc>
        <w:tc>
          <w:tcPr>
            <w:tcW w:w="2136" w:type="dxa"/>
          </w:tcPr>
          <w:p w14:paraId="3132E227" w14:textId="77777777" w:rsidR="00B02873" w:rsidRPr="002D6170" w:rsidRDefault="00B02873" w:rsidP="002D6170">
            <w:pPr>
              <w:pStyle w:val="TablebodyleftTables"/>
              <w:rPr>
                <w:sz w:val="20"/>
              </w:rPr>
            </w:pPr>
            <w:r w:rsidRPr="002D6170">
              <w:rPr>
                <w:sz w:val="20"/>
              </w:rPr>
              <w:t>Grasslands P6 land acquisition</w:t>
            </w:r>
          </w:p>
        </w:tc>
        <w:tc>
          <w:tcPr>
            <w:tcW w:w="1276" w:type="dxa"/>
          </w:tcPr>
          <w:p w14:paraId="081AADBD" w14:textId="77777777" w:rsidR="00B02873" w:rsidRPr="002D6170" w:rsidRDefault="00B02873" w:rsidP="002D6170">
            <w:pPr>
              <w:pStyle w:val="TablebodyleftTables"/>
              <w:rPr>
                <w:sz w:val="20"/>
              </w:rPr>
            </w:pPr>
            <w:r w:rsidRPr="002D6170">
              <w:rPr>
                <w:sz w:val="20"/>
              </w:rPr>
              <w:t>2018-19 State Budget</w:t>
            </w:r>
          </w:p>
        </w:tc>
        <w:tc>
          <w:tcPr>
            <w:tcW w:w="1199" w:type="dxa"/>
          </w:tcPr>
          <w:p w14:paraId="0287EEA6" w14:textId="77777777" w:rsidR="00B02873" w:rsidRPr="002D6170" w:rsidRDefault="00B02873" w:rsidP="00603355">
            <w:pPr>
              <w:pStyle w:val="TablebodyleftTables"/>
              <w:jc w:val="right"/>
              <w:rPr>
                <w:sz w:val="20"/>
              </w:rPr>
            </w:pPr>
            <w:r w:rsidRPr="002D6170">
              <w:rPr>
                <w:sz w:val="20"/>
              </w:rPr>
              <w:t>11,300,000</w:t>
            </w:r>
          </w:p>
        </w:tc>
        <w:tc>
          <w:tcPr>
            <w:tcW w:w="1200" w:type="dxa"/>
          </w:tcPr>
          <w:p w14:paraId="33DB189E" w14:textId="77777777" w:rsidR="00B02873" w:rsidRPr="002D6170" w:rsidRDefault="00B02873" w:rsidP="00603355">
            <w:pPr>
              <w:pStyle w:val="TablebodyleftTables"/>
              <w:jc w:val="right"/>
              <w:rPr>
                <w:sz w:val="20"/>
              </w:rPr>
            </w:pPr>
            <w:r w:rsidRPr="002D6170">
              <w:rPr>
                <w:sz w:val="20"/>
              </w:rPr>
              <w:t>11,300,000</w:t>
            </w:r>
          </w:p>
        </w:tc>
        <w:tc>
          <w:tcPr>
            <w:tcW w:w="1059" w:type="dxa"/>
          </w:tcPr>
          <w:p w14:paraId="774C35B9" w14:textId="619120AE" w:rsidR="00B02873" w:rsidRPr="002D6170" w:rsidRDefault="002D6170" w:rsidP="00603355">
            <w:pPr>
              <w:pStyle w:val="TablebodyleftTables"/>
              <w:jc w:val="right"/>
              <w:rPr>
                <w:sz w:val="20"/>
              </w:rPr>
            </w:pPr>
            <w:r>
              <w:rPr>
                <w:sz w:val="20"/>
              </w:rPr>
              <w:t>–</w:t>
            </w:r>
          </w:p>
        </w:tc>
        <w:tc>
          <w:tcPr>
            <w:tcW w:w="1200" w:type="dxa"/>
          </w:tcPr>
          <w:p w14:paraId="41B5E042" w14:textId="50580DDE" w:rsidR="00B02873" w:rsidRPr="002D6170" w:rsidRDefault="002D6170" w:rsidP="00603355">
            <w:pPr>
              <w:pStyle w:val="TablebodyleftTables"/>
              <w:jc w:val="right"/>
              <w:rPr>
                <w:sz w:val="20"/>
              </w:rPr>
            </w:pPr>
            <w:r>
              <w:rPr>
                <w:sz w:val="20"/>
              </w:rPr>
              <w:t>–</w:t>
            </w:r>
          </w:p>
        </w:tc>
        <w:tc>
          <w:tcPr>
            <w:tcW w:w="870" w:type="dxa"/>
          </w:tcPr>
          <w:p w14:paraId="79692D19" w14:textId="77777777" w:rsidR="00B02873" w:rsidRPr="002D6170" w:rsidRDefault="00B02873" w:rsidP="002D6170">
            <w:pPr>
              <w:pStyle w:val="TablebodyleftTables"/>
              <w:rPr>
                <w:sz w:val="20"/>
              </w:rPr>
            </w:pPr>
            <w:r w:rsidRPr="002D6170">
              <w:rPr>
                <w:sz w:val="20"/>
              </w:rPr>
              <w:t>Active</w:t>
            </w:r>
          </w:p>
        </w:tc>
      </w:tr>
      <w:tr w:rsidR="00B02873" w:rsidRPr="002D6170" w14:paraId="1BAB880B" w14:textId="77777777" w:rsidTr="002D6170">
        <w:trPr>
          <w:trHeight w:val="60"/>
        </w:trPr>
        <w:tc>
          <w:tcPr>
            <w:tcW w:w="978" w:type="dxa"/>
          </w:tcPr>
          <w:p w14:paraId="786BA4D0" w14:textId="77777777" w:rsidR="00B02873" w:rsidRPr="002D6170" w:rsidRDefault="00B02873" w:rsidP="002D6170">
            <w:pPr>
              <w:pStyle w:val="TablebodyleftTables"/>
              <w:rPr>
                <w:sz w:val="20"/>
              </w:rPr>
            </w:pPr>
            <w:r w:rsidRPr="002D6170">
              <w:rPr>
                <w:sz w:val="20"/>
              </w:rPr>
              <w:t>DJCS</w:t>
            </w:r>
          </w:p>
        </w:tc>
        <w:tc>
          <w:tcPr>
            <w:tcW w:w="2136" w:type="dxa"/>
          </w:tcPr>
          <w:p w14:paraId="549EC1C9" w14:textId="77777777" w:rsidR="00B02873" w:rsidRPr="002D6170" w:rsidRDefault="00B02873" w:rsidP="002D6170">
            <w:pPr>
              <w:pStyle w:val="TablebodyleftTables"/>
              <w:rPr>
                <w:sz w:val="20"/>
              </w:rPr>
            </w:pPr>
            <w:r w:rsidRPr="002D6170">
              <w:rPr>
                <w:sz w:val="20"/>
              </w:rPr>
              <w:t>Emergency Services facility program for Caroline Springs</w:t>
            </w:r>
          </w:p>
        </w:tc>
        <w:tc>
          <w:tcPr>
            <w:tcW w:w="1276" w:type="dxa"/>
          </w:tcPr>
          <w:p w14:paraId="697D3088" w14:textId="77777777" w:rsidR="00B02873" w:rsidRPr="002D6170" w:rsidRDefault="00B02873" w:rsidP="002D6170">
            <w:pPr>
              <w:pStyle w:val="TablebodyleftTables"/>
              <w:rPr>
                <w:sz w:val="20"/>
              </w:rPr>
            </w:pPr>
            <w:r w:rsidRPr="002D6170">
              <w:rPr>
                <w:sz w:val="20"/>
              </w:rPr>
              <w:t>2019-20 State Budget</w:t>
            </w:r>
          </w:p>
        </w:tc>
        <w:tc>
          <w:tcPr>
            <w:tcW w:w="1199" w:type="dxa"/>
          </w:tcPr>
          <w:p w14:paraId="02BBBC8F" w14:textId="77777777" w:rsidR="00B02873" w:rsidRPr="002D6170" w:rsidRDefault="00B02873" w:rsidP="00603355">
            <w:pPr>
              <w:pStyle w:val="TablebodyleftTables"/>
              <w:jc w:val="right"/>
              <w:rPr>
                <w:sz w:val="20"/>
              </w:rPr>
            </w:pPr>
            <w:r w:rsidRPr="002D6170">
              <w:rPr>
                <w:sz w:val="20"/>
              </w:rPr>
              <w:t>2,900,000</w:t>
            </w:r>
          </w:p>
        </w:tc>
        <w:tc>
          <w:tcPr>
            <w:tcW w:w="1200" w:type="dxa"/>
          </w:tcPr>
          <w:p w14:paraId="773D63AE" w14:textId="77777777" w:rsidR="00B02873" w:rsidRPr="002D6170" w:rsidRDefault="00B02873" w:rsidP="00603355">
            <w:pPr>
              <w:pStyle w:val="TablebodyleftTables"/>
              <w:jc w:val="right"/>
              <w:rPr>
                <w:sz w:val="20"/>
              </w:rPr>
            </w:pPr>
            <w:r w:rsidRPr="002D6170">
              <w:rPr>
                <w:sz w:val="20"/>
              </w:rPr>
              <w:t>2,900,000</w:t>
            </w:r>
          </w:p>
        </w:tc>
        <w:tc>
          <w:tcPr>
            <w:tcW w:w="1059" w:type="dxa"/>
          </w:tcPr>
          <w:p w14:paraId="09261116" w14:textId="422912B9" w:rsidR="00B02873" w:rsidRPr="002D6170" w:rsidRDefault="002D6170" w:rsidP="00603355">
            <w:pPr>
              <w:pStyle w:val="TablebodyleftTables"/>
              <w:jc w:val="right"/>
              <w:rPr>
                <w:sz w:val="20"/>
              </w:rPr>
            </w:pPr>
            <w:r>
              <w:rPr>
                <w:sz w:val="20"/>
              </w:rPr>
              <w:t>–</w:t>
            </w:r>
          </w:p>
        </w:tc>
        <w:tc>
          <w:tcPr>
            <w:tcW w:w="1200" w:type="dxa"/>
          </w:tcPr>
          <w:p w14:paraId="146A41C0" w14:textId="0EFDC8A4" w:rsidR="00B02873" w:rsidRPr="002D6170" w:rsidRDefault="002D6170" w:rsidP="00603355">
            <w:pPr>
              <w:pStyle w:val="TablebodyleftTables"/>
              <w:jc w:val="right"/>
              <w:rPr>
                <w:sz w:val="20"/>
              </w:rPr>
            </w:pPr>
            <w:r>
              <w:rPr>
                <w:sz w:val="20"/>
              </w:rPr>
              <w:t>–</w:t>
            </w:r>
          </w:p>
        </w:tc>
        <w:tc>
          <w:tcPr>
            <w:tcW w:w="870" w:type="dxa"/>
          </w:tcPr>
          <w:p w14:paraId="4B692489" w14:textId="77777777" w:rsidR="00B02873" w:rsidRPr="002D6170" w:rsidRDefault="00B02873" w:rsidP="002D6170">
            <w:pPr>
              <w:pStyle w:val="TablebodyleftTables"/>
              <w:rPr>
                <w:sz w:val="20"/>
              </w:rPr>
            </w:pPr>
            <w:r w:rsidRPr="002D6170">
              <w:rPr>
                <w:sz w:val="20"/>
              </w:rPr>
              <w:t>Active</w:t>
            </w:r>
          </w:p>
        </w:tc>
      </w:tr>
      <w:tr w:rsidR="00B02873" w:rsidRPr="007B509E" w14:paraId="7295DEDF" w14:textId="77777777" w:rsidTr="002D6170">
        <w:trPr>
          <w:trHeight w:val="60"/>
        </w:trPr>
        <w:tc>
          <w:tcPr>
            <w:tcW w:w="978" w:type="dxa"/>
          </w:tcPr>
          <w:p w14:paraId="1E8ED388" w14:textId="77777777" w:rsidR="00B02873" w:rsidRPr="007B509E" w:rsidRDefault="00B02873" w:rsidP="002D6170">
            <w:pPr>
              <w:pStyle w:val="TablebodyleftTables"/>
              <w:rPr>
                <w:b/>
                <w:bCs/>
                <w:sz w:val="20"/>
              </w:rPr>
            </w:pPr>
            <w:r w:rsidRPr="007B509E">
              <w:rPr>
                <w:b/>
                <w:bCs/>
                <w:sz w:val="20"/>
              </w:rPr>
              <w:t>Total</w:t>
            </w:r>
          </w:p>
        </w:tc>
        <w:tc>
          <w:tcPr>
            <w:tcW w:w="2136" w:type="dxa"/>
          </w:tcPr>
          <w:p w14:paraId="6855D176" w14:textId="77777777" w:rsidR="00B02873" w:rsidRPr="007B509E" w:rsidRDefault="00B02873" w:rsidP="002D6170">
            <w:pPr>
              <w:pStyle w:val="TablebodyleftTables"/>
              <w:rPr>
                <w:rFonts w:cs="Times New Roman"/>
                <w:b/>
                <w:bCs/>
                <w:sz w:val="20"/>
              </w:rPr>
            </w:pPr>
          </w:p>
        </w:tc>
        <w:tc>
          <w:tcPr>
            <w:tcW w:w="1276" w:type="dxa"/>
          </w:tcPr>
          <w:p w14:paraId="3F517987" w14:textId="77777777" w:rsidR="00B02873" w:rsidRPr="007B509E" w:rsidRDefault="00B02873" w:rsidP="002D6170">
            <w:pPr>
              <w:pStyle w:val="TablebodyleftTables"/>
              <w:rPr>
                <w:rFonts w:cs="Times New Roman"/>
                <w:b/>
                <w:bCs/>
                <w:sz w:val="20"/>
              </w:rPr>
            </w:pPr>
          </w:p>
        </w:tc>
        <w:tc>
          <w:tcPr>
            <w:tcW w:w="1199" w:type="dxa"/>
          </w:tcPr>
          <w:p w14:paraId="33B00BD5" w14:textId="77777777" w:rsidR="00B02873" w:rsidRPr="007B509E" w:rsidRDefault="00B02873" w:rsidP="00603355">
            <w:pPr>
              <w:pStyle w:val="TablebodyleftTables"/>
              <w:jc w:val="right"/>
              <w:rPr>
                <w:b/>
                <w:bCs/>
                <w:sz w:val="20"/>
              </w:rPr>
            </w:pPr>
            <w:r w:rsidRPr="007B509E">
              <w:rPr>
                <w:b/>
                <w:bCs/>
                <w:sz w:val="20"/>
              </w:rPr>
              <w:t>37,200,000</w:t>
            </w:r>
          </w:p>
        </w:tc>
        <w:tc>
          <w:tcPr>
            <w:tcW w:w="1200" w:type="dxa"/>
          </w:tcPr>
          <w:p w14:paraId="03C2B16A" w14:textId="77777777" w:rsidR="00B02873" w:rsidRPr="007B509E" w:rsidRDefault="00B02873" w:rsidP="00603355">
            <w:pPr>
              <w:pStyle w:val="TablebodyleftTables"/>
              <w:jc w:val="right"/>
              <w:rPr>
                <w:b/>
                <w:bCs/>
                <w:sz w:val="20"/>
              </w:rPr>
            </w:pPr>
            <w:r w:rsidRPr="007B509E">
              <w:rPr>
                <w:b/>
                <w:bCs/>
                <w:sz w:val="20"/>
              </w:rPr>
              <w:t>31,900,000</w:t>
            </w:r>
          </w:p>
        </w:tc>
        <w:tc>
          <w:tcPr>
            <w:tcW w:w="1059" w:type="dxa"/>
          </w:tcPr>
          <w:p w14:paraId="5F1CEA7A" w14:textId="77777777" w:rsidR="00B02873" w:rsidRPr="007B509E" w:rsidRDefault="00B02873" w:rsidP="00603355">
            <w:pPr>
              <w:pStyle w:val="TablebodyleftTables"/>
              <w:jc w:val="right"/>
              <w:rPr>
                <w:b/>
                <w:bCs/>
                <w:sz w:val="20"/>
              </w:rPr>
            </w:pPr>
            <w:r w:rsidRPr="007B509E">
              <w:rPr>
                <w:b/>
                <w:bCs/>
                <w:sz w:val="20"/>
              </w:rPr>
              <w:t>1,400,000</w:t>
            </w:r>
          </w:p>
        </w:tc>
        <w:tc>
          <w:tcPr>
            <w:tcW w:w="1200" w:type="dxa"/>
          </w:tcPr>
          <w:p w14:paraId="735C2249" w14:textId="77777777" w:rsidR="00B02873" w:rsidRPr="007B509E" w:rsidRDefault="00B02873" w:rsidP="00603355">
            <w:pPr>
              <w:pStyle w:val="TablebodyleftTables"/>
              <w:jc w:val="right"/>
              <w:rPr>
                <w:b/>
                <w:bCs/>
                <w:sz w:val="20"/>
              </w:rPr>
            </w:pPr>
            <w:r w:rsidRPr="007B509E">
              <w:rPr>
                <w:b/>
                <w:bCs/>
                <w:sz w:val="20"/>
              </w:rPr>
              <w:t>3,900,000</w:t>
            </w:r>
          </w:p>
        </w:tc>
        <w:tc>
          <w:tcPr>
            <w:tcW w:w="870" w:type="dxa"/>
          </w:tcPr>
          <w:p w14:paraId="309C2DCD" w14:textId="77777777" w:rsidR="00B02873" w:rsidRPr="007B509E" w:rsidRDefault="00B02873" w:rsidP="002D6170">
            <w:pPr>
              <w:pStyle w:val="TablebodyleftTables"/>
              <w:rPr>
                <w:rFonts w:cs="Times New Roman"/>
                <w:b/>
                <w:bCs/>
                <w:sz w:val="20"/>
              </w:rPr>
            </w:pPr>
          </w:p>
        </w:tc>
      </w:tr>
    </w:tbl>
    <w:p w14:paraId="42655294" w14:textId="77777777" w:rsidR="00B02873" w:rsidRDefault="00B02873" w:rsidP="00BE5A09">
      <w:pPr>
        <w:pStyle w:val="TabletitleTables"/>
      </w:pPr>
      <w:r>
        <w:lastRenderedPageBreak/>
        <w:t>Table 16: GAPTF-funded projects in Melton</w:t>
      </w:r>
    </w:p>
    <w:tbl>
      <w:tblPr>
        <w:tblStyle w:val="TableGrid"/>
        <w:tblW w:w="9885" w:type="dxa"/>
        <w:tblLayout w:type="fixed"/>
        <w:tblLook w:val="0020" w:firstRow="1" w:lastRow="0" w:firstColumn="0" w:lastColumn="0" w:noHBand="0" w:noVBand="0"/>
      </w:tblPr>
      <w:tblGrid>
        <w:gridCol w:w="964"/>
        <w:gridCol w:w="1583"/>
        <w:gridCol w:w="1385"/>
        <w:gridCol w:w="1200"/>
        <w:gridCol w:w="1200"/>
        <w:gridCol w:w="1199"/>
        <w:gridCol w:w="1200"/>
        <w:gridCol w:w="1154"/>
      </w:tblGrid>
      <w:tr w:rsidR="00B02873" w:rsidRPr="00BE5A09" w14:paraId="119C0557" w14:textId="77777777" w:rsidTr="00BE5A09">
        <w:trPr>
          <w:cnfStyle w:val="100000000000" w:firstRow="1" w:lastRow="0" w:firstColumn="0" w:lastColumn="0" w:oddVBand="0" w:evenVBand="0" w:oddHBand="0" w:evenHBand="0" w:firstRowFirstColumn="0" w:firstRowLastColumn="0" w:lastRowFirstColumn="0" w:lastRowLastColumn="0"/>
          <w:trHeight w:val="60"/>
          <w:tblHeader/>
        </w:trPr>
        <w:tc>
          <w:tcPr>
            <w:tcW w:w="964" w:type="dxa"/>
          </w:tcPr>
          <w:p w14:paraId="441DD3A1" w14:textId="77777777" w:rsidR="00B02873" w:rsidRPr="00BE5A09" w:rsidRDefault="00B02873" w:rsidP="00BE5A09">
            <w:pPr>
              <w:pStyle w:val="TableheadingleftTables"/>
              <w:rPr>
                <w:sz w:val="20"/>
                <w:szCs w:val="16"/>
              </w:rPr>
            </w:pPr>
            <w:r w:rsidRPr="00BE5A09">
              <w:rPr>
                <w:sz w:val="20"/>
                <w:szCs w:val="16"/>
              </w:rPr>
              <w:t>Agency</w:t>
            </w:r>
          </w:p>
        </w:tc>
        <w:tc>
          <w:tcPr>
            <w:tcW w:w="1583" w:type="dxa"/>
          </w:tcPr>
          <w:p w14:paraId="474C957D" w14:textId="77777777" w:rsidR="00B02873" w:rsidRPr="00BE5A09" w:rsidRDefault="00B02873" w:rsidP="00BE5A09">
            <w:pPr>
              <w:pStyle w:val="TableheadingleftTables"/>
              <w:rPr>
                <w:sz w:val="20"/>
                <w:szCs w:val="16"/>
              </w:rPr>
            </w:pPr>
            <w:r w:rsidRPr="00BE5A09">
              <w:rPr>
                <w:sz w:val="20"/>
                <w:szCs w:val="16"/>
              </w:rPr>
              <w:t>Purpose</w:t>
            </w:r>
          </w:p>
        </w:tc>
        <w:tc>
          <w:tcPr>
            <w:tcW w:w="1385" w:type="dxa"/>
          </w:tcPr>
          <w:p w14:paraId="600FB99F" w14:textId="77777777" w:rsidR="00B02873" w:rsidRPr="00BE5A09" w:rsidRDefault="00B02873" w:rsidP="00BE5A09">
            <w:pPr>
              <w:pStyle w:val="TableheadingleftTables"/>
              <w:rPr>
                <w:sz w:val="20"/>
                <w:szCs w:val="16"/>
              </w:rPr>
            </w:pPr>
            <w:r w:rsidRPr="00BE5A09">
              <w:rPr>
                <w:sz w:val="20"/>
                <w:szCs w:val="16"/>
              </w:rPr>
              <w:t>Year Announced</w:t>
            </w:r>
          </w:p>
        </w:tc>
        <w:tc>
          <w:tcPr>
            <w:tcW w:w="1200" w:type="dxa"/>
          </w:tcPr>
          <w:p w14:paraId="5650E11A" w14:textId="77777777" w:rsidR="00B02873" w:rsidRPr="00BE5A09" w:rsidRDefault="00B02873" w:rsidP="00603355">
            <w:pPr>
              <w:pStyle w:val="TableheadingleftTables"/>
              <w:jc w:val="right"/>
              <w:rPr>
                <w:sz w:val="20"/>
                <w:szCs w:val="16"/>
              </w:rPr>
            </w:pPr>
            <w:r w:rsidRPr="00BE5A09">
              <w:rPr>
                <w:sz w:val="20"/>
                <w:szCs w:val="16"/>
              </w:rPr>
              <w:t>Allocated</w:t>
            </w:r>
          </w:p>
        </w:tc>
        <w:tc>
          <w:tcPr>
            <w:tcW w:w="1200" w:type="dxa"/>
          </w:tcPr>
          <w:p w14:paraId="77D88233" w14:textId="77777777" w:rsidR="00B02873" w:rsidRPr="00BE5A09" w:rsidRDefault="00B02873" w:rsidP="00603355">
            <w:pPr>
              <w:pStyle w:val="TableheadingleftTables"/>
              <w:jc w:val="right"/>
              <w:rPr>
                <w:sz w:val="20"/>
                <w:szCs w:val="16"/>
              </w:rPr>
            </w:pPr>
            <w:r w:rsidRPr="00BE5A09">
              <w:rPr>
                <w:sz w:val="20"/>
                <w:szCs w:val="16"/>
              </w:rPr>
              <w:t>Amount paid to 30 June 2021</w:t>
            </w:r>
          </w:p>
        </w:tc>
        <w:tc>
          <w:tcPr>
            <w:tcW w:w="1199" w:type="dxa"/>
          </w:tcPr>
          <w:p w14:paraId="4807E3F9" w14:textId="77777777" w:rsidR="00B02873" w:rsidRPr="00BE5A09" w:rsidRDefault="00B02873" w:rsidP="00603355">
            <w:pPr>
              <w:pStyle w:val="TableheadingleftTables"/>
              <w:jc w:val="right"/>
              <w:rPr>
                <w:sz w:val="20"/>
                <w:szCs w:val="16"/>
              </w:rPr>
            </w:pPr>
            <w:r w:rsidRPr="00BE5A09">
              <w:rPr>
                <w:sz w:val="20"/>
                <w:szCs w:val="16"/>
              </w:rPr>
              <w:t>Amount paid in 2021-22</w:t>
            </w:r>
          </w:p>
        </w:tc>
        <w:tc>
          <w:tcPr>
            <w:tcW w:w="1200" w:type="dxa"/>
          </w:tcPr>
          <w:p w14:paraId="71C1B4A0" w14:textId="77777777" w:rsidR="00B02873" w:rsidRPr="00BE5A09" w:rsidRDefault="00B02873" w:rsidP="00603355">
            <w:pPr>
              <w:pStyle w:val="TableheadingleftTables"/>
              <w:jc w:val="right"/>
              <w:rPr>
                <w:sz w:val="20"/>
                <w:szCs w:val="16"/>
              </w:rPr>
            </w:pPr>
            <w:r w:rsidRPr="00BE5A09">
              <w:rPr>
                <w:sz w:val="20"/>
                <w:szCs w:val="16"/>
              </w:rPr>
              <w:t>Amount yet to be paid</w:t>
            </w:r>
          </w:p>
        </w:tc>
        <w:tc>
          <w:tcPr>
            <w:tcW w:w="1154" w:type="dxa"/>
          </w:tcPr>
          <w:p w14:paraId="2F3B50EB" w14:textId="77777777" w:rsidR="00B02873" w:rsidRPr="00BE5A09" w:rsidRDefault="00B02873" w:rsidP="00BE5A09">
            <w:pPr>
              <w:pStyle w:val="TableheadingleftTables"/>
              <w:rPr>
                <w:sz w:val="20"/>
                <w:szCs w:val="16"/>
              </w:rPr>
            </w:pPr>
            <w:r w:rsidRPr="00BE5A09">
              <w:rPr>
                <w:sz w:val="20"/>
                <w:szCs w:val="16"/>
              </w:rPr>
              <w:t>Status</w:t>
            </w:r>
          </w:p>
        </w:tc>
      </w:tr>
      <w:tr w:rsidR="00B02873" w:rsidRPr="00BE5A09" w14:paraId="79F0779F" w14:textId="77777777" w:rsidTr="00BE5A09">
        <w:trPr>
          <w:trHeight w:val="60"/>
        </w:trPr>
        <w:tc>
          <w:tcPr>
            <w:tcW w:w="964" w:type="dxa"/>
          </w:tcPr>
          <w:p w14:paraId="29859666" w14:textId="77777777" w:rsidR="00B02873" w:rsidRPr="00BE5A09" w:rsidRDefault="00B02873" w:rsidP="00BE5A09">
            <w:pPr>
              <w:pStyle w:val="TablebodyleftTables"/>
              <w:rPr>
                <w:sz w:val="20"/>
              </w:rPr>
            </w:pPr>
            <w:r w:rsidRPr="00BE5A09">
              <w:rPr>
                <w:sz w:val="20"/>
              </w:rPr>
              <w:t>RPV</w:t>
            </w:r>
          </w:p>
        </w:tc>
        <w:tc>
          <w:tcPr>
            <w:tcW w:w="1583" w:type="dxa"/>
          </w:tcPr>
          <w:p w14:paraId="04E79EF3" w14:textId="77777777" w:rsidR="00B02873" w:rsidRPr="00BE5A09" w:rsidRDefault="00B02873" w:rsidP="00BE5A09">
            <w:pPr>
              <w:pStyle w:val="TablebodyleftTables"/>
              <w:rPr>
                <w:sz w:val="20"/>
              </w:rPr>
            </w:pPr>
            <w:r w:rsidRPr="00BE5A09">
              <w:rPr>
                <w:sz w:val="20"/>
              </w:rPr>
              <w:t>Toolern Railway Station – early works</w:t>
            </w:r>
          </w:p>
        </w:tc>
        <w:tc>
          <w:tcPr>
            <w:tcW w:w="1385" w:type="dxa"/>
          </w:tcPr>
          <w:p w14:paraId="44C9863A" w14:textId="77777777" w:rsidR="00B02873" w:rsidRPr="00BE5A09" w:rsidRDefault="00B02873" w:rsidP="00BE5A09">
            <w:pPr>
              <w:pStyle w:val="TablebodyleftTables"/>
              <w:rPr>
                <w:sz w:val="20"/>
              </w:rPr>
            </w:pPr>
            <w:r w:rsidRPr="00BE5A09">
              <w:rPr>
                <w:sz w:val="20"/>
              </w:rPr>
              <w:t>2016-17</w:t>
            </w:r>
          </w:p>
        </w:tc>
        <w:tc>
          <w:tcPr>
            <w:tcW w:w="1200" w:type="dxa"/>
          </w:tcPr>
          <w:p w14:paraId="022F3085" w14:textId="77777777" w:rsidR="00B02873" w:rsidRPr="00BE5A09" w:rsidRDefault="00B02873" w:rsidP="00603355">
            <w:pPr>
              <w:pStyle w:val="TablebodyleftTables"/>
              <w:jc w:val="right"/>
              <w:rPr>
                <w:sz w:val="20"/>
              </w:rPr>
            </w:pPr>
            <w:r w:rsidRPr="00BE5A09">
              <w:rPr>
                <w:sz w:val="20"/>
              </w:rPr>
              <w:t>6,800,000</w:t>
            </w:r>
          </w:p>
        </w:tc>
        <w:tc>
          <w:tcPr>
            <w:tcW w:w="1200" w:type="dxa"/>
          </w:tcPr>
          <w:p w14:paraId="676522CC" w14:textId="77777777" w:rsidR="00B02873" w:rsidRPr="00BE5A09" w:rsidRDefault="00B02873" w:rsidP="00603355">
            <w:pPr>
              <w:pStyle w:val="TablebodyleftTables"/>
              <w:jc w:val="right"/>
              <w:rPr>
                <w:sz w:val="20"/>
              </w:rPr>
            </w:pPr>
            <w:r w:rsidRPr="00BE5A09">
              <w:rPr>
                <w:sz w:val="20"/>
              </w:rPr>
              <w:t>6,788,358</w:t>
            </w:r>
          </w:p>
        </w:tc>
        <w:tc>
          <w:tcPr>
            <w:tcW w:w="1199" w:type="dxa"/>
          </w:tcPr>
          <w:p w14:paraId="2DF4ED11" w14:textId="4F03B8ED" w:rsidR="00B02873" w:rsidRPr="00BE5A09" w:rsidRDefault="00BE5A09" w:rsidP="00603355">
            <w:pPr>
              <w:pStyle w:val="TablebodyleftTables"/>
              <w:jc w:val="right"/>
              <w:rPr>
                <w:sz w:val="20"/>
              </w:rPr>
            </w:pPr>
            <w:r>
              <w:rPr>
                <w:sz w:val="20"/>
              </w:rPr>
              <w:t>–</w:t>
            </w:r>
          </w:p>
        </w:tc>
        <w:tc>
          <w:tcPr>
            <w:tcW w:w="1200" w:type="dxa"/>
          </w:tcPr>
          <w:p w14:paraId="28376072" w14:textId="669873D0" w:rsidR="00B02873" w:rsidRPr="00BE5A09" w:rsidRDefault="00BE5A09" w:rsidP="00603355">
            <w:pPr>
              <w:pStyle w:val="TablebodyleftTables"/>
              <w:jc w:val="right"/>
              <w:rPr>
                <w:sz w:val="20"/>
              </w:rPr>
            </w:pPr>
            <w:r>
              <w:rPr>
                <w:sz w:val="20"/>
              </w:rPr>
              <w:t>–</w:t>
            </w:r>
          </w:p>
        </w:tc>
        <w:tc>
          <w:tcPr>
            <w:tcW w:w="1154" w:type="dxa"/>
          </w:tcPr>
          <w:p w14:paraId="6F7BC2E3" w14:textId="77777777" w:rsidR="00B02873" w:rsidRPr="00BE5A09" w:rsidRDefault="00B02873" w:rsidP="00BE5A09">
            <w:pPr>
              <w:pStyle w:val="TablebodyleftTables"/>
              <w:rPr>
                <w:sz w:val="20"/>
              </w:rPr>
            </w:pPr>
            <w:r w:rsidRPr="00BE5A09">
              <w:rPr>
                <w:sz w:val="20"/>
              </w:rPr>
              <w:t>Complete</w:t>
            </w:r>
          </w:p>
        </w:tc>
      </w:tr>
      <w:tr w:rsidR="00B02873" w:rsidRPr="00BE5A09" w14:paraId="41123448" w14:textId="77777777" w:rsidTr="00BE5A09">
        <w:trPr>
          <w:trHeight w:val="60"/>
        </w:trPr>
        <w:tc>
          <w:tcPr>
            <w:tcW w:w="964" w:type="dxa"/>
          </w:tcPr>
          <w:p w14:paraId="192A0407" w14:textId="77777777" w:rsidR="00B02873" w:rsidRPr="00BE5A09" w:rsidRDefault="00B02873" w:rsidP="00BE5A09">
            <w:pPr>
              <w:pStyle w:val="TablebodyleftTables"/>
              <w:rPr>
                <w:sz w:val="20"/>
              </w:rPr>
            </w:pPr>
            <w:r w:rsidRPr="00BE5A09">
              <w:rPr>
                <w:sz w:val="20"/>
              </w:rPr>
              <w:t>PTV</w:t>
            </w:r>
          </w:p>
        </w:tc>
        <w:tc>
          <w:tcPr>
            <w:tcW w:w="1583" w:type="dxa"/>
          </w:tcPr>
          <w:p w14:paraId="7BE93E5B" w14:textId="096527C7" w:rsidR="00B02873" w:rsidRPr="00BE5A09" w:rsidRDefault="00B02873" w:rsidP="00BE5A09">
            <w:pPr>
              <w:pStyle w:val="TablebodyleftTables"/>
              <w:rPr>
                <w:sz w:val="20"/>
              </w:rPr>
            </w:pPr>
            <w:r w:rsidRPr="00BE5A09">
              <w:rPr>
                <w:sz w:val="20"/>
              </w:rPr>
              <w:t>Route 454 Cobblebank (Toolern) Station</w:t>
            </w:r>
            <w:r w:rsidR="000C45FC" w:rsidRPr="00BE5A09">
              <w:rPr>
                <w:sz w:val="20"/>
              </w:rPr>
              <w:t xml:space="preserve"> – </w:t>
            </w:r>
            <w:r w:rsidRPr="00BE5A09">
              <w:rPr>
                <w:sz w:val="20"/>
              </w:rPr>
              <w:t>Melton Station bus route</w:t>
            </w:r>
          </w:p>
        </w:tc>
        <w:tc>
          <w:tcPr>
            <w:tcW w:w="1385" w:type="dxa"/>
          </w:tcPr>
          <w:p w14:paraId="3E0A23A4" w14:textId="77777777" w:rsidR="00B02873" w:rsidRPr="00BE5A09" w:rsidRDefault="00B02873" w:rsidP="00BE5A09">
            <w:pPr>
              <w:pStyle w:val="TablebodyleftTables"/>
              <w:rPr>
                <w:sz w:val="20"/>
              </w:rPr>
            </w:pPr>
            <w:r w:rsidRPr="00BE5A09">
              <w:rPr>
                <w:sz w:val="20"/>
              </w:rPr>
              <w:t>2018-19</w:t>
            </w:r>
          </w:p>
        </w:tc>
        <w:tc>
          <w:tcPr>
            <w:tcW w:w="1200" w:type="dxa"/>
          </w:tcPr>
          <w:p w14:paraId="26062AB7" w14:textId="77777777" w:rsidR="00B02873" w:rsidRPr="00BE5A09" w:rsidRDefault="00B02873" w:rsidP="00603355">
            <w:pPr>
              <w:pStyle w:val="TablebodyleftTables"/>
              <w:jc w:val="right"/>
              <w:rPr>
                <w:sz w:val="20"/>
              </w:rPr>
            </w:pPr>
            <w:r w:rsidRPr="00BE5A09">
              <w:rPr>
                <w:sz w:val="20"/>
              </w:rPr>
              <w:t>3,500,000</w:t>
            </w:r>
          </w:p>
        </w:tc>
        <w:tc>
          <w:tcPr>
            <w:tcW w:w="1200" w:type="dxa"/>
          </w:tcPr>
          <w:p w14:paraId="55A163AE" w14:textId="77777777" w:rsidR="00B02873" w:rsidRPr="00BE5A09" w:rsidRDefault="00B02873" w:rsidP="00603355">
            <w:pPr>
              <w:pStyle w:val="TablebodyleftTables"/>
              <w:jc w:val="right"/>
              <w:rPr>
                <w:sz w:val="20"/>
              </w:rPr>
            </w:pPr>
            <w:r w:rsidRPr="00BE5A09">
              <w:rPr>
                <w:sz w:val="20"/>
              </w:rPr>
              <w:t>3,150,000</w:t>
            </w:r>
          </w:p>
        </w:tc>
        <w:tc>
          <w:tcPr>
            <w:tcW w:w="1199" w:type="dxa"/>
          </w:tcPr>
          <w:p w14:paraId="2B79E2B4" w14:textId="77777777" w:rsidR="00B02873" w:rsidRPr="00BE5A09" w:rsidRDefault="00B02873" w:rsidP="00603355">
            <w:pPr>
              <w:pStyle w:val="TablebodyleftTables"/>
              <w:jc w:val="right"/>
              <w:rPr>
                <w:sz w:val="20"/>
              </w:rPr>
            </w:pPr>
            <w:r w:rsidRPr="00BE5A09">
              <w:rPr>
                <w:sz w:val="20"/>
              </w:rPr>
              <w:t>350,000</w:t>
            </w:r>
          </w:p>
        </w:tc>
        <w:tc>
          <w:tcPr>
            <w:tcW w:w="1200" w:type="dxa"/>
          </w:tcPr>
          <w:p w14:paraId="7DFADAB8" w14:textId="7AAC90A9" w:rsidR="00B02873" w:rsidRPr="00BE5A09" w:rsidRDefault="00BE5A09" w:rsidP="00603355">
            <w:pPr>
              <w:pStyle w:val="TablebodyleftTables"/>
              <w:jc w:val="right"/>
              <w:rPr>
                <w:sz w:val="20"/>
              </w:rPr>
            </w:pPr>
            <w:r>
              <w:rPr>
                <w:sz w:val="20"/>
              </w:rPr>
              <w:t>–</w:t>
            </w:r>
          </w:p>
        </w:tc>
        <w:tc>
          <w:tcPr>
            <w:tcW w:w="1154" w:type="dxa"/>
          </w:tcPr>
          <w:p w14:paraId="1BA5C20D" w14:textId="77777777" w:rsidR="00B02873" w:rsidRPr="00BE5A09" w:rsidRDefault="00B02873" w:rsidP="00BE5A09">
            <w:pPr>
              <w:pStyle w:val="TablebodyleftTables"/>
              <w:rPr>
                <w:sz w:val="20"/>
              </w:rPr>
            </w:pPr>
            <w:r w:rsidRPr="00BE5A09">
              <w:rPr>
                <w:sz w:val="20"/>
              </w:rPr>
              <w:t>Complete</w:t>
            </w:r>
          </w:p>
        </w:tc>
      </w:tr>
      <w:tr w:rsidR="00B02873" w:rsidRPr="00BE5A09" w14:paraId="7C45D8CB" w14:textId="77777777" w:rsidTr="00BE5A09">
        <w:trPr>
          <w:trHeight w:val="60"/>
        </w:trPr>
        <w:tc>
          <w:tcPr>
            <w:tcW w:w="964" w:type="dxa"/>
          </w:tcPr>
          <w:p w14:paraId="726C7389" w14:textId="77777777" w:rsidR="00B02873" w:rsidRPr="00BE5A09" w:rsidRDefault="00B02873" w:rsidP="00BE5A09">
            <w:pPr>
              <w:pStyle w:val="TablebodyleftTables"/>
              <w:rPr>
                <w:sz w:val="20"/>
              </w:rPr>
            </w:pPr>
            <w:r w:rsidRPr="00BE5A09">
              <w:rPr>
                <w:sz w:val="20"/>
              </w:rPr>
              <w:t>PTV</w:t>
            </w:r>
          </w:p>
        </w:tc>
        <w:tc>
          <w:tcPr>
            <w:tcW w:w="1583" w:type="dxa"/>
          </w:tcPr>
          <w:p w14:paraId="4599569D" w14:textId="6E49C17D" w:rsidR="00B02873" w:rsidRPr="00BE5A09" w:rsidRDefault="00B02873" w:rsidP="00BE5A09">
            <w:pPr>
              <w:pStyle w:val="TablebodyleftTables"/>
              <w:rPr>
                <w:sz w:val="20"/>
              </w:rPr>
            </w:pPr>
            <w:r w:rsidRPr="00BE5A09">
              <w:rPr>
                <w:sz w:val="20"/>
              </w:rPr>
              <w:t>Route 444 Rockbank</w:t>
            </w:r>
            <w:r w:rsidR="000C45FC" w:rsidRPr="00BE5A09">
              <w:rPr>
                <w:sz w:val="20"/>
              </w:rPr>
              <w:t xml:space="preserve"> – </w:t>
            </w:r>
            <w:r w:rsidRPr="00BE5A09">
              <w:rPr>
                <w:sz w:val="20"/>
              </w:rPr>
              <w:t>Aintree bus route</w:t>
            </w:r>
          </w:p>
        </w:tc>
        <w:tc>
          <w:tcPr>
            <w:tcW w:w="1385" w:type="dxa"/>
          </w:tcPr>
          <w:p w14:paraId="269CAB04" w14:textId="77777777" w:rsidR="00B02873" w:rsidRPr="00BE5A09" w:rsidRDefault="00B02873" w:rsidP="00BE5A09">
            <w:pPr>
              <w:pStyle w:val="TablebodyleftTables"/>
              <w:rPr>
                <w:sz w:val="20"/>
              </w:rPr>
            </w:pPr>
            <w:r w:rsidRPr="00BE5A09">
              <w:rPr>
                <w:sz w:val="20"/>
              </w:rPr>
              <w:t>2018-19</w:t>
            </w:r>
          </w:p>
        </w:tc>
        <w:tc>
          <w:tcPr>
            <w:tcW w:w="1200" w:type="dxa"/>
          </w:tcPr>
          <w:p w14:paraId="63597418" w14:textId="77777777" w:rsidR="00B02873" w:rsidRPr="00BE5A09" w:rsidRDefault="00B02873" w:rsidP="00603355">
            <w:pPr>
              <w:pStyle w:val="TablebodyleftTables"/>
              <w:jc w:val="right"/>
              <w:rPr>
                <w:sz w:val="20"/>
              </w:rPr>
            </w:pPr>
            <w:r w:rsidRPr="00BE5A09">
              <w:rPr>
                <w:sz w:val="20"/>
              </w:rPr>
              <w:t>2,700,000</w:t>
            </w:r>
          </w:p>
        </w:tc>
        <w:tc>
          <w:tcPr>
            <w:tcW w:w="1200" w:type="dxa"/>
          </w:tcPr>
          <w:p w14:paraId="79C7AD08" w14:textId="77777777" w:rsidR="00B02873" w:rsidRPr="00BE5A09" w:rsidRDefault="00B02873" w:rsidP="00603355">
            <w:pPr>
              <w:pStyle w:val="TablebodyleftTables"/>
              <w:jc w:val="right"/>
              <w:rPr>
                <w:sz w:val="20"/>
              </w:rPr>
            </w:pPr>
            <w:r w:rsidRPr="00BE5A09">
              <w:rPr>
                <w:sz w:val="20"/>
              </w:rPr>
              <w:t>2,430,000</w:t>
            </w:r>
          </w:p>
        </w:tc>
        <w:tc>
          <w:tcPr>
            <w:tcW w:w="1199" w:type="dxa"/>
          </w:tcPr>
          <w:p w14:paraId="7C4616D2" w14:textId="77777777" w:rsidR="00B02873" w:rsidRPr="00BE5A09" w:rsidRDefault="00B02873" w:rsidP="00603355">
            <w:pPr>
              <w:pStyle w:val="TablebodyleftTables"/>
              <w:jc w:val="right"/>
              <w:rPr>
                <w:sz w:val="20"/>
              </w:rPr>
            </w:pPr>
            <w:r w:rsidRPr="00BE5A09">
              <w:rPr>
                <w:sz w:val="20"/>
              </w:rPr>
              <w:t>270,000</w:t>
            </w:r>
          </w:p>
        </w:tc>
        <w:tc>
          <w:tcPr>
            <w:tcW w:w="1200" w:type="dxa"/>
          </w:tcPr>
          <w:p w14:paraId="27E66D80" w14:textId="2442308F" w:rsidR="00B02873" w:rsidRPr="00BE5A09" w:rsidRDefault="00BE5A09" w:rsidP="00603355">
            <w:pPr>
              <w:pStyle w:val="TablebodyleftTables"/>
              <w:jc w:val="right"/>
              <w:rPr>
                <w:sz w:val="20"/>
              </w:rPr>
            </w:pPr>
            <w:r>
              <w:rPr>
                <w:sz w:val="20"/>
              </w:rPr>
              <w:t>–</w:t>
            </w:r>
          </w:p>
        </w:tc>
        <w:tc>
          <w:tcPr>
            <w:tcW w:w="1154" w:type="dxa"/>
          </w:tcPr>
          <w:p w14:paraId="4E03A10A" w14:textId="77777777" w:rsidR="00B02873" w:rsidRPr="00BE5A09" w:rsidRDefault="00B02873" w:rsidP="00BE5A09">
            <w:pPr>
              <w:pStyle w:val="TablebodyleftTables"/>
              <w:rPr>
                <w:sz w:val="20"/>
              </w:rPr>
            </w:pPr>
            <w:r w:rsidRPr="00BE5A09">
              <w:rPr>
                <w:sz w:val="20"/>
              </w:rPr>
              <w:t>Complete</w:t>
            </w:r>
          </w:p>
        </w:tc>
      </w:tr>
      <w:tr w:rsidR="00B02873" w:rsidRPr="00BE5A09" w14:paraId="6776BF4F" w14:textId="77777777" w:rsidTr="00BE5A09">
        <w:trPr>
          <w:trHeight w:val="60"/>
        </w:trPr>
        <w:tc>
          <w:tcPr>
            <w:tcW w:w="964" w:type="dxa"/>
          </w:tcPr>
          <w:p w14:paraId="1E9ACD9F" w14:textId="77777777" w:rsidR="00B02873" w:rsidRPr="00BE5A09" w:rsidRDefault="00B02873" w:rsidP="00BE5A09">
            <w:pPr>
              <w:pStyle w:val="TablebodyleftTables"/>
              <w:rPr>
                <w:sz w:val="20"/>
              </w:rPr>
            </w:pPr>
            <w:r w:rsidRPr="00BE5A09">
              <w:rPr>
                <w:sz w:val="20"/>
              </w:rPr>
              <w:t>DoT</w:t>
            </w:r>
          </w:p>
        </w:tc>
        <w:tc>
          <w:tcPr>
            <w:tcW w:w="1583" w:type="dxa"/>
          </w:tcPr>
          <w:p w14:paraId="33CF1990" w14:textId="77777777" w:rsidR="00B02873" w:rsidRPr="00BE5A09" w:rsidRDefault="00B02873" w:rsidP="00BE5A09">
            <w:pPr>
              <w:pStyle w:val="TablebodyleftTables"/>
              <w:rPr>
                <w:sz w:val="20"/>
              </w:rPr>
            </w:pPr>
            <w:r w:rsidRPr="00BE5A09">
              <w:rPr>
                <w:sz w:val="20"/>
              </w:rPr>
              <w:t>425 Melton to Weir Views bus route</w:t>
            </w:r>
          </w:p>
        </w:tc>
        <w:tc>
          <w:tcPr>
            <w:tcW w:w="1385" w:type="dxa"/>
          </w:tcPr>
          <w:p w14:paraId="2B148A1F" w14:textId="77777777" w:rsidR="00B02873" w:rsidRPr="00BE5A09" w:rsidRDefault="00B02873" w:rsidP="00BE5A09">
            <w:pPr>
              <w:pStyle w:val="TablebodyleftTables"/>
              <w:rPr>
                <w:sz w:val="20"/>
              </w:rPr>
            </w:pPr>
            <w:r w:rsidRPr="00BE5A09">
              <w:rPr>
                <w:sz w:val="20"/>
              </w:rPr>
              <w:t>2019-20</w:t>
            </w:r>
          </w:p>
        </w:tc>
        <w:tc>
          <w:tcPr>
            <w:tcW w:w="1200" w:type="dxa"/>
          </w:tcPr>
          <w:p w14:paraId="4E0394D0" w14:textId="77777777" w:rsidR="00B02873" w:rsidRPr="00BE5A09" w:rsidRDefault="00B02873" w:rsidP="00603355">
            <w:pPr>
              <w:pStyle w:val="TablebodyleftTables"/>
              <w:jc w:val="right"/>
              <w:rPr>
                <w:sz w:val="20"/>
              </w:rPr>
            </w:pPr>
            <w:r w:rsidRPr="00BE5A09">
              <w:rPr>
                <w:sz w:val="20"/>
              </w:rPr>
              <w:t>6,572,000</w:t>
            </w:r>
          </w:p>
        </w:tc>
        <w:tc>
          <w:tcPr>
            <w:tcW w:w="1200" w:type="dxa"/>
          </w:tcPr>
          <w:p w14:paraId="7A70C953" w14:textId="77777777" w:rsidR="00B02873" w:rsidRPr="00BE5A09" w:rsidRDefault="00B02873" w:rsidP="00603355">
            <w:pPr>
              <w:pStyle w:val="TablebodyleftTables"/>
              <w:jc w:val="right"/>
              <w:rPr>
                <w:sz w:val="20"/>
              </w:rPr>
            </w:pPr>
            <w:r w:rsidRPr="00BE5A09">
              <w:rPr>
                <w:sz w:val="20"/>
              </w:rPr>
              <w:t>5,257,600</w:t>
            </w:r>
          </w:p>
        </w:tc>
        <w:tc>
          <w:tcPr>
            <w:tcW w:w="1199" w:type="dxa"/>
          </w:tcPr>
          <w:p w14:paraId="53E86638" w14:textId="77777777" w:rsidR="00B02873" w:rsidRPr="00BE5A09" w:rsidRDefault="00B02873" w:rsidP="00603355">
            <w:pPr>
              <w:pStyle w:val="TablebodyleftTables"/>
              <w:jc w:val="right"/>
              <w:rPr>
                <w:sz w:val="20"/>
              </w:rPr>
            </w:pPr>
            <w:r w:rsidRPr="00BE5A09">
              <w:rPr>
                <w:sz w:val="20"/>
              </w:rPr>
              <w:t>1,314,400</w:t>
            </w:r>
          </w:p>
        </w:tc>
        <w:tc>
          <w:tcPr>
            <w:tcW w:w="1200" w:type="dxa"/>
          </w:tcPr>
          <w:p w14:paraId="15A64FEF" w14:textId="07E0996E" w:rsidR="00B02873" w:rsidRPr="00BE5A09" w:rsidRDefault="00BE5A09" w:rsidP="00603355">
            <w:pPr>
              <w:pStyle w:val="TablebodyleftTables"/>
              <w:jc w:val="right"/>
              <w:rPr>
                <w:sz w:val="20"/>
              </w:rPr>
            </w:pPr>
            <w:r>
              <w:rPr>
                <w:sz w:val="20"/>
              </w:rPr>
              <w:t>–</w:t>
            </w:r>
          </w:p>
        </w:tc>
        <w:tc>
          <w:tcPr>
            <w:tcW w:w="1154" w:type="dxa"/>
          </w:tcPr>
          <w:p w14:paraId="28553248" w14:textId="77777777" w:rsidR="00B02873" w:rsidRPr="00BE5A09" w:rsidRDefault="00B02873" w:rsidP="00BE5A09">
            <w:pPr>
              <w:pStyle w:val="TablebodyleftTables"/>
              <w:rPr>
                <w:sz w:val="20"/>
              </w:rPr>
            </w:pPr>
            <w:r w:rsidRPr="00BE5A09">
              <w:rPr>
                <w:sz w:val="20"/>
              </w:rPr>
              <w:t>Active</w:t>
            </w:r>
          </w:p>
        </w:tc>
      </w:tr>
      <w:tr w:rsidR="00B02873" w:rsidRPr="00BE5A09" w14:paraId="6FF56569" w14:textId="77777777" w:rsidTr="00BE5A09">
        <w:trPr>
          <w:trHeight w:val="60"/>
        </w:trPr>
        <w:tc>
          <w:tcPr>
            <w:tcW w:w="964" w:type="dxa"/>
          </w:tcPr>
          <w:p w14:paraId="51961AA8" w14:textId="77777777" w:rsidR="00B02873" w:rsidRPr="00BE5A09" w:rsidRDefault="00B02873" w:rsidP="00BE5A09">
            <w:pPr>
              <w:pStyle w:val="TablebodyleftTables"/>
              <w:rPr>
                <w:sz w:val="20"/>
              </w:rPr>
            </w:pPr>
            <w:r w:rsidRPr="00BE5A09">
              <w:rPr>
                <w:sz w:val="20"/>
              </w:rPr>
              <w:t>DoT</w:t>
            </w:r>
          </w:p>
        </w:tc>
        <w:tc>
          <w:tcPr>
            <w:tcW w:w="1583" w:type="dxa"/>
          </w:tcPr>
          <w:p w14:paraId="06897A86" w14:textId="77777777" w:rsidR="00B02873" w:rsidRPr="00BE5A09" w:rsidRDefault="00B02873" w:rsidP="00BE5A09">
            <w:pPr>
              <w:pStyle w:val="TablebodyleftTables"/>
              <w:rPr>
                <w:sz w:val="20"/>
              </w:rPr>
            </w:pPr>
            <w:r w:rsidRPr="00BE5A09">
              <w:rPr>
                <w:sz w:val="20"/>
              </w:rPr>
              <w:t>Cobblebank Station Future Proofing</w:t>
            </w:r>
          </w:p>
        </w:tc>
        <w:tc>
          <w:tcPr>
            <w:tcW w:w="1385" w:type="dxa"/>
          </w:tcPr>
          <w:p w14:paraId="632E11D6" w14:textId="77777777" w:rsidR="00B02873" w:rsidRPr="00BE5A09" w:rsidRDefault="00B02873" w:rsidP="00BE5A09">
            <w:pPr>
              <w:pStyle w:val="TablebodyleftTables"/>
              <w:rPr>
                <w:sz w:val="20"/>
              </w:rPr>
            </w:pPr>
            <w:r w:rsidRPr="00BE5A09">
              <w:rPr>
                <w:sz w:val="20"/>
              </w:rPr>
              <w:t>2019-20</w:t>
            </w:r>
          </w:p>
        </w:tc>
        <w:tc>
          <w:tcPr>
            <w:tcW w:w="1200" w:type="dxa"/>
          </w:tcPr>
          <w:p w14:paraId="796F308E" w14:textId="77777777" w:rsidR="00B02873" w:rsidRPr="00BE5A09" w:rsidRDefault="00B02873" w:rsidP="00603355">
            <w:pPr>
              <w:pStyle w:val="TablebodyleftTables"/>
              <w:jc w:val="right"/>
              <w:rPr>
                <w:sz w:val="20"/>
              </w:rPr>
            </w:pPr>
            <w:r w:rsidRPr="00BE5A09">
              <w:rPr>
                <w:sz w:val="20"/>
              </w:rPr>
              <w:t>8,500,000</w:t>
            </w:r>
          </w:p>
        </w:tc>
        <w:tc>
          <w:tcPr>
            <w:tcW w:w="1200" w:type="dxa"/>
          </w:tcPr>
          <w:p w14:paraId="39A6B46B" w14:textId="77777777" w:rsidR="00B02873" w:rsidRPr="00BE5A09" w:rsidRDefault="00B02873" w:rsidP="00603355">
            <w:pPr>
              <w:pStyle w:val="TablebodyleftTables"/>
              <w:jc w:val="right"/>
              <w:rPr>
                <w:sz w:val="20"/>
              </w:rPr>
            </w:pPr>
            <w:r w:rsidRPr="00BE5A09">
              <w:rPr>
                <w:sz w:val="20"/>
              </w:rPr>
              <w:t>8,500,000</w:t>
            </w:r>
          </w:p>
        </w:tc>
        <w:tc>
          <w:tcPr>
            <w:tcW w:w="1199" w:type="dxa"/>
          </w:tcPr>
          <w:p w14:paraId="4B643806" w14:textId="600B04C0" w:rsidR="00B02873" w:rsidRPr="00BE5A09" w:rsidRDefault="00BE5A09" w:rsidP="00603355">
            <w:pPr>
              <w:pStyle w:val="TablebodyleftTables"/>
              <w:jc w:val="right"/>
              <w:rPr>
                <w:sz w:val="20"/>
              </w:rPr>
            </w:pPr>
            <w:r>
              <w:rPr>
                <w:sz w:val="20"/>
              </w:rPr>
              <w:t>–</w:t>
            </w:r>
          </w:p>
        </w:tc>
        <w:tc>
          <w:tcPr>
            <w:tcW w:w="1200" w:type="dxa"/>
          </w:tcPr>
          <w:p w14:paraId="5EC61F23" w14:textId="573DA4DF" w:rsidR="00B02873" w:rsidRPr="00BE5A09" w:rsidRDefault="00BE5A09" w:rsidP="00603355">
            <w:pPr>
              <w:pStyle w:val="TablebodyleftTables"/>
              <w:jc w:val="right"/>
              <w:rPr>
                <w:sz w:val="20"/>
              </w:rPr>
            </w:pPr>
            <w:r>
              <w:rPr>
                <w:sz w:val="20"/>
              </w:rPr>
              <w:t>–</w:t>
            </w:r>
          </w:p>
        </w:tc>
        <w:tc>
          <w:tcPr>
            <w:tcW w:w="1154" w:type="dxa"/>
          </w:tcPr>
          <w:p w14:paraId="71A55D33" w14:textId="77777777" w:rsidR="00B02873" w:rsidRPr="00BE5A09" w:rsidRDefault="00B02873" w:rsidP="00BE5A09">
            <w:pPr>
              <w:pStyle w:val="TablebodyleftTables"/>
              <w:rPr>
                <w:sz w:val="20"/>
              </w:rPr>
            </w:pPr>
            <w:r w:rsidRPr="00BE5A09">
              <w:rPr>
                <w:sz w:val="20"/>
              </w:rPr>
              <w:t>Active</w:t>
            </w:r>
          </w:p>
        </w:tc>
      </w:tr>
      <w:tr w:rsidR="00B02873" w:rsidRPr="00BE5A09" w14:paraId="656D5F07" w14:textId="77777777" w:rsidTr="00BE5A09">
        <w:trPr>
          <w:trHeight w:val="60"/>
        </w:trPr>
        <w:tc>
          <w:tcPr>
            <w:tcW w:w="964" w:type="dxa"/>
          </w:tcPr>
          <w:p w14:paraId="34405EF6" w14:textId="77777777" w:rsidR="00B02873" w:rsidRPr="00BE5A09" w:rsidRDefault="00B02873" w:rsidP="00BE5A09">
            <w:pPr>
              <w:pStyle w:val="TablebodyleftTables"/>
              <w:rPr>
                <w:sz w:val="20"/>
              </w:rPr>
            </w:pPr>
            <w:r w:rsidRPr="00BE5A09">
              <w:rPr>
                <w:sz w:val="20"/>
              </w:rPr>
              <w:t>DoT</w:t>
            </w:r>
          </w:p>
        </w:tc>
        <w:tc>
          <w:tcPr>
            <w:tcW w:w="1583" w:type="dxa"/>
          </w:tcPr>
          <w:p w14:paraId="2487D9E9" w14:textId="77777777" w:rsidR="00B02873" w:rsidRPr="00BE5A09" w:rsidRDefault="00B02873" w:rsidP="00BE5A09">
            <w:pPr>
              <w:pStyle w:val="TablebodyleftTables"/>
              <w:rPr>
                <w:sz w:val="20"/>
              </w:rPr>
            </w:pPr>
            <w:r w:rsidRPr="00BE5A09">
              <w:rPr>
                <w:sz w:val="20"/>
              </w:rPr>
              <w:t>Melton Station – 100 new and upgrade car parks</w:t>
            </w:r>
          </w:p>
        </w:tc>
        <w:tc>
          <w:tcPr>
            <w:tcW w:w="1385" w:type="dxa"/>
          </w:tcPr>
          <w:p w14:paraId="0ABF919F" w14:textId="77777777" w:rsidR="00B02873" w:rsidRPr="00BE5A09" w:rsidRDefault="00B02873" w:rsidP="00BE5A09">
            <w:pPr>
              <w:pStyle w:val="TablebodyleftTables"/>
              <w:rPr>
                <w:sz w:val="20"/>
              </w:rPr>
            </w:pPr>
            <w:r w:rsidRPr="00BE5A09">
              <w:rPr>
                <w:sz w:val="20"/>
              </w:rPr>
              <w:t>2019-20 State Budget</w:t>
            </w:r>
          </w:p>
        </w:tc>
        <w:tc>
          <w:tcPr>
            <w:tcW w:w="1200" w:type="dxa"/>
          </w:tcPr>
          <w:p w14:paraId="7242294C" w14:textId="77777777" w:rsidR="00B02873" w:rsidRPr="00BE5A09" w:rsidRDefault="00B02873" w:rsidP="00603355">
            <w:pPr>
              <w:pStyle w:val="TablebodyleftTables"/>
              <w:jc w:val="right"/>
              <w:rPr>
                <w:sz w:val="20"/>
              </w:rPr>
            </w:pPr>
            <w:r w:rsidRPr="00BE5A09">
              <w:rPr>
                <w:sz w:val="20"/>
              </w:rPr>
              <w:t>1,976,000</w:t>
            </w:r>
          </w:p>
        </w:tc>
        <w:tc>
          <w:tcPr>
            <w:tcW w:w="1200" w:type="dxa"/>
          </w:tcPr>
          <w:p w14:paraId="6F372CB6" w14:textId="77777777" w:rsidR="00B02873" w:rsidRPr="00BE5A09" w:rsidRDefault="00B02873" w:rsidP="00603355">
            <w:pPr>
              <w:pStyle w:val="TablebodyleftTables"/>
              <w:jc w:val="right"/>
              <w:rPr>
                <w:sz w:val="20"/>
              </w:rPr>
            </w:pPr>
            <w:r w:rsidRPr="00BE5A09">
              <w:rPr>
                <w:sz w:val="20"/>
              </w:rPr>
              <w:t>1,976,000</w:t>
            </w:r>
          </w:p>
        </w:tc>
        <w:tc>
          <w:tcPr>
            <w:tcW w:w="1199" w:type="dxa"/>
          </w:tcPr>
          <w:p w14:paraId="32BB35BC" w14:textId="33359EE0" w:rsidR="00B02873" w:rsidRPr="00BE5A09" w:rsidRDefault="00BE5A09" w:rsidP="00603355">
            <w:pPr>
              <w:pStyle w:val="TablebodyleftTables"/>
              <w:jc w:val="right"/>
              <w:rPr>
                <w:sz w:val="20"/>
              </w:rPr>
            </w:pPr>
            <w:r>
              <w:rPr>
                <w:sz w:val="20"/>
              </w:rPr>
              <w:t>–</w:t>
            </w:r>
          </w:p>
        </w:tc>
        <w:tc>
          <w:tcPr>
            <w:tcW w:w="1200" w:type="dxa"/>
          </w:tcPr>
          <w:p w14:paraId="53092B43" w14:textId="653BDF1D" w:rsidR="00B02873" w:rsidRPr="00BE5A09" w:rsidRDefault="00BE5A09" w:rsidP="00603355">
            <w:pPr>
              <w:pStyle w:val="TablebodyleftTables"/>
              <w:jc w:val="right"/>
              <w:rPr>
                <w:sz w:val="20"/>
              </w:rPr>
            </w:pPr>
            <w:r>
              <w:rPr>
                <w:sz w:val="20"/>
              </w:rPr>
              <w:t>–</w:t>
            </w:r>
          </w:p>
        </w:tc>
        <w:tc>
          <w:tcPr>
            <w:tcW w:w="1154" w:type="dxa"/>
          </w:tcPr>
          <w:p w14:paraId="21CD8B80" w14:textId="77777777" w:rsidR="00B02873" w:rsidRPr="00BE5A09" w:rsidRDefault="00B02873" w:rsidP="00BE5A09">
            <w:pPr>
              <w:pStyle w:val="TablebodyleftTables"/>
              <w:rPr>
                <w:sz w:val="20"/>
              </w:rPr>
            </w:pPr>
            <w:r w:rsidRPr="00BE5A09">
              <w:rPr>
                <w:sz w:val="20"/>
              </w:rPr>
              <w:t>Complete</w:t>
            </w:r>
          </w:p>
        </w:tc>
      </w:tr>
      <w:tr w:rsidR="00B02873" w:rsidRPr="007B509E" w14:paraId="12065A63" w14:textId="77777777" w:rsidTr="00BE5A09">
        <w:trPr>
          <w:trHeight w:val="60"/>
        </w:trPr>
        <w:tc>
          <w:tcPr>
            <w:tcW w:w="964" w:type="dxa"/>
          </w:tcPr>
          <w:p w14:paraId="2FE36BDB" w14:textId="77777777" w:rsidR="00B02873" w:rsidRPr="007B509E" w:rsidRDefault="00B02873" w:rsidP="00BE5A09">
            <w:pPr>
              <w:pStyle w:val="TablebodyleftTables"/>
              <w:rPr>
                <w:b/>
                <w:bCs/>
                <w:sz w:val="20"/>
              </w:rPr>
            </w:pPr>
            <w:r w:rsidRPr="007B509E">
              <w:rPr>
                <w:b/>
                <w:bCs/>
                <w:sz w:val="20"/>
              </w:rPr>
              <w:t>Total</w:t>
            </w:r>
          </w:p>
        </w:tc>
        <w:tc>
          <w:tcPr>
            <w:tcW w:w="1583" w:type="dxa"/>
          </w:tcPr>
          <w:p w14:paraId="42AD8201" w14:textId="77777777" w:rsidR="00B02873" w:rsidRPr="007B509E" w:rsidRDefault="00B02873" w:rsidP="00BE5A09">
            <w:pPr>
              <w:pStyle w:val="TablebodyleftTables"/>
              <w:rPr>
                <w:rFonts w:cs="Times New Roman"/>
                <w:b/>
                <w:bCs/>
                <w:sz w:val="20"/>
              </w:rPr>
            </w:pPr>
          </w:p>
        </w:tc>
        <w:tc>
          <w:tcPr>
            <w:tcW w:w="1385" w:type="dxa"/>
          </w:tcPr>
          <w:p w14:paraId="15614B37" w14:textId="77777777" w:rsidR="00B02873" w:rsidRPr="007B509E" w:rsidRDefault="00B02873" w:rsidP="00BE5A09">
            <w:pPr>
              <w:pStyle w:val="TablebodyleftTables"/>
              <w:rPr>
                <w:rFonts w:cs="Times New Roman"/>
                <w:b/>
                <w:bCs/>
                <w:sz w:val="20"/>
              </w:rPr>
            </w:pPr>
          </w:p>
        </w:tc>
        <w:tc>
          <w:tcPr>
            <w:tcW w:w="1200" w:type="dxa"/>
          </w:tcPr>
          <w:p w14:paraId="508F3134" w14:textId="77777777" w:rsidR="00B02873" w:rsidRPr="007B509E" w:rsidRDefault="00B02873" w:rsidP="00603355">
            <w:pPr>
              <w:pStyle w:val="TablebodyleftTables"/>
              <w:jc w:val="right"/>
              <w:rPr>
                <w:b/>
                <w:bCs/>
                <w:sz w:val="20"/>
              </w:rPr>
            </w:pPr>
            <w:r w:rsidRPr="007B509E">
              <w:rPr>
                <w:b/>
                <w:bCs/>
                <w:sz w:val="20"/>
              </w:rPr>
              <w:t>30,048,000</w:t>
            </w:r>
          </w:p>
        </w:tc>
        <w:tc>
          <w:tcPr>
            <w:tcW w:w="1200" w:type="dxa"/>
          </w:tcPr>
          <w:p w14:paraId="205F88E2" w14:textId="77777777" w:rsidR="00B02873" w:rsidRPr="007B509E" w:rsidRDefault="00B02873" w:rsidP="00603355">
            <w:pPr>
              <w:pStyle w:val="TablebodyleftTables"/>
              <w:jc w:val="right"/>
              <w:rPr>
                <w:b/>
                <w:bCs/>
                <w:sz w:val="20"/>
              </w:rPr>
            </w:pPr>
            <w:r w:rsidRPr="007B509E">
              <w:rPr>
                <w:b/>
                <w:bCs/>
                <w:sz w:val="20"/>
              </w:rPr>
              <w:t>28,101,958</w:t>
            </w:r>
          </w:p>
        </w:tc>
        <w:tc>
          <w:tcPr>
            <w:tcW w:w="1199" w:type="dxa"/>
          </w:tcPr>
          <w:p w14:paraId="0C131CA6" w14:textId="77777777" w:rsidR="00B02873" w:rsidRPr="007B509E" w:rsidRDefault="00B02873" w:rsidP="00603355">
            <w:pPr>
              <w:pStyle w:val="TablebodyleftTables"/>
              <w:jc w:val="right"/>
              <w:rPr>
                <w:b/>
                <w:bCs/>
                <w:sz w:val="20"/>
              </w:rPr>
            </w:pPr>
            <w:r w:rsidRPr="007B509E">
              <w:rPr>
                <w:b/>
                <w:bCs/>
                <w:sz w:val="20"/>
              </w:rPr>
              <w:t>1,934,400</w:t>
            </w:r>
          </w:p>
        </w:tc>
        <w:tc>
          <w:tcPr>
            <w:tcW w:w="1200" w:type="dxa"/>
          </w:tcPr>
          <w:p w14:paraId="543EB7E9" w14:textId="26A5B439" w:rsidR="00B02873" w:rsidRPr="007B509E" w:rsidRDefault="00BE5A09" w:rsidP="00603355">
            <w:pPr>
              <w:pStyle w:val="TablebodyleftTables"/>
              <w:jc w:val="right"/>
              <w:rPr>
                <w:b/>
                <w:bCs/>
                <w:sz w:val="20"/>
              </w:rPr>
            </w:pPr>
            <w:r w:rsidRPr="007B509E">
              <w:rPr>
                <w:b/>
                <w:bCs/>
                <w:sz w:val="20"/>
              </w:rPr>
              <w:t>–</w:t>
            </w:r>
          </w:p>
        </w:tc>
        <w:tc>
          <w:tcPr>
            <w:tcW w:w="1154" w:type="dxa"/>
          </w:tcPr>
          <w:p w14:paraId="05225AE9" w14:textId="77777777" w:rsidR="00B02873" w:rsidRPr="007B509E" w:rsidRDefault="00B02873" w:rsidP="00BE5A09">
            <w:pPr>
              <w:pStyle w:val="TablebodyleftTables"/>
              <w:rPr>
                <w:rFonts w:cs="Times New Roman"/>
                <w:b/>
                <w:bCs/>
                <w:sz w:val="20"/>
              </w:rPr>
            </w:pPr>
          </w:p>
        </w:tc>
      </w:tr>
    </w:tbl>
    <w:p w14:paraId="18C65538" w14:textId="77777777" w:rsidR="00B02873" w:rsidRDefault="00B02873" w:rsidP="00FE198A"/>
    <w:p w14:paraId="0BC0033D" w14:textId="77777777" w:rsidR="00B02873" w:rsidRDefault="00B02873" w:rsidP="00BE5A09">
      <w:pPr>
        <w:pStyle w:val="Heading4"/>
      </w:pPr>
      <w:r>
        <w:t>Mitchell Shire Council</w:t>
      </w:r>
    </w:p>
    <w:p w14:paraId="6048EFFC" w14:textId="77777777" w:rsidR="00B02873" w:rsidRDefault="00B02873" w:rsidP="00BE5A09">
      <w:pPr>
        <w:pStyle w:val="TabletitleTables"/>
      </w:pPr>
      <w:r>
        <w:t>Table 17: BNCF-funded projects in Mitchell</w:t>
      </w:r>
    </w:p>
    <w:tbl>
      <w:tblPr>
        <w:tblStyle w:val="TableGrid"/>
        <w:tblW w:w="9681" w:type="dxa"/>
        <w:tblLayout w:type="fixed"/>
        <w:tblLook w:val="0020" w:firstRow="1" w:lastRow="0" w:firstColumn="0" w:lastColumn="0" w:noHBand="0" w:noVBand="0"/>
      </w:tblPr>
      <w:tblGrid>
        <w:gridCol w:w="964"/>
        <w:gridCol w:w="1474"/>
        <w:gridCol w:w="1243"/>
        <w:gridCol w:w="1200"/>
        <w:gridCol w:w="1200"/>
        <w:gridCol w:w="1200"/>
        <w:gridCol w:w="1200"/>
        <w:gridCol w:w="1200"/>
      </w:tblGrid>
      <w:tr w:rsidR="00B02873" w:rsidRPr="00A039B2" w14:paraId="0B2102E7" w14:textId="77777777" w:rsidTr="00A039B2">
        <w:trPr>
          <w:cnfStyle w:val="100000000000" w:firstRow="1" w:lastRow="0" w:firstColumn="0" w:lastColumn="0" w:oddVBand="0" w:evenVBand="0" w:oddHBand="0" w:evenHBand="0" w:firstRowFirstColumn="0" w:firstRowLastColumn="0" w:lastRowFirstColumn="0" w:lastRowLastColumn="0"/>
          <w:trHeight w:val="60"/>
          <w:tblHeader/>
        </w:trPr>
        <w:tc>
          <w:tcPr>
            <w:tcW w:w="964" w:type="dxa"/>
          </w:tcPr>
          <w:p w14:paraId="692B728E" w14:textId="77777777" w:rsidR="00B02873" w:rsidRPr="00A039B2" w:rsidRDefault="00B02873" w:rsidP="00A039B2">
            <w:pPr>
              <w:pStyle w:val="TableheadingleftTables"/>
              <w:rPr>
                <w:sz w:val="20"/>
                <w:szCs w:val="16"/>
              </w:rPr>
            </w:pPr>
            <w:r w:rsidRPr="00A039B2">
              <w:rPr>
                <w:sz w:val="20"/>
                <w:szCs w:val="16"/>
              </w:rPr>
              <w:t>Agency</w:t>
            </w:r>
          </w:p>
        </w:tc>
        <w:tc>
          <w:tcPr>
            <w:tcW w:w="1474" w:type="dxa"/>
          </w:tcPr>
          <w:p w14:paraId="42D6B3E3" w14:textId="77777777" w:rsidR="00B02873" w:rsidRPr="00A039B2" w:rsidRDefault="00B02873" w:rsidP="00A039B2">
            <w:pPr>
              <w:pStyle w:val="TableheadingleftTables"/>
              <w:rPr>
                <w:sz w:val="20"/>
                <w:szCs w:val="16"/>
              </w:rPr>
            </w:pPr>
            <w:r w:rsidRPr="00A039B2">
              <w:rPr>
                <w:sz w:val="20"/>
                <w:szCs w:val="16"/>
              </w:rPr>
              <w:t>Purpose</w:t>
            </w:r>
          </w:p>
        </w:tc>
        <w:tc>
          <w:tcPr>
            <w:tcW w:w="1243" w:type="dxa"/>
          </w:tcPr>
          <w:p w14:paraId="41BFE06F" w14:textId="77777777" w:rsidR="00B02873" w:rsidRPr="00A039B2" w:rsidRDefault="00B02873" w:rsidP="00A039B2">
            <w:pPr>
              <w:pStyle w:val="TableheadingleftTables"/>
              <w:rPr>
                <w:sz w:val="20"/>
                <w:szCs w:val="16"/>
              </w:rPr>
            </w:pPr>
            <w:r w:rsidRPr="00A039B2">
              <w:rPr>
                <w:sz w:val="20"/>
                <w:szCs w:val="16"/>
              </w:rPr>
              <w:t>Year Announced</w:t>
            </w:r>
          </w:p>
        </w:tc>
        <w:tc>
          <w:tcPr>
            <w:tcW w:w="1200" w:type="dxa"/>
          </w:tcPr>
          <w:p w14:paraId="7911DB69" w14:textId="77777777" w:rsidR="00B02873" w:rsidRPr="00A039B2" w:rsidRDefault="00B02873" w:rsidP="00603355">
            <w:pPr>
              <w:pStyle w:val="TableheadingleftTables"/>
              <w:jc w:val="right"/>
              <w:rPr>
                <w:sz w:val="20"/>
                <w:szCs w:val="16"/>
              </w:rPr>
            </w:pPr>
            <w:r w:rsidRPr="00A039B2">
              <w:rPr>
                <w:sz w:val="20"/>
                <w:szCs w:val="16"/>
              </w:rPr>
              <w:t>Allocated</w:t>
            </w:r>
          </w:p>
        </w:tc>
        <w:tc>
          <w:tcPr>
            <w:tcW w:w="1200" w:type="dxa"/>
          </w:tcPr>
          <w:p w14:paraId="3D1B4A39" w14:textId="77777777" w:rsidR="00B02873" w:rsidRPr="00A039B2" w:rsidRDefault="00B02873" w:rsidP="00603355">
            <w:pPr>
              <w:pStyle w:val="TableheadingleftTables"/>
              <w:jc w:val="right"/>
              <w:rPr>
                <w:sz w:val="20"/>
                <w:szCs w:val="16"/>
              </w:rPr>
            </w:pPr>
            <w:r w:rsidRPr="00A039B2">
              <w:rPr>
                <w:sz w:val="20"/>
                <w:szCs w:val="16"/>
              </w:rPr>
              <w:t>Amount paid to 30 June 2021</w:t>
            </w:r>
          </w:p>
        </w:tc>
        <w:tc>
          <w:tcPr>
            <w:tcW w:w="1200" w:type="dxa"/>
          </w:tcPr>
          <w:p w14:paraId="5AFB48F1" w14:textId="77777777" w:rsidR="00B02873" w:rsidRPr="00A039B2" w:rsidRDefault="00B02873" w:rsidP="00603355">
            <w:pPr>
              <w:pStyle w:val="TableheadingleftTables"/>
              <w:jc w:val="right"/>
              <w:rPr>
                <w:sz w:val="20"/>
                <w:szCs w:val="16"/>
              </w:rPr>
            </w:pPr>
            <w:r w:rsidRPr="00A039B2">
              <w:rPr>
                <w:sz w:val="20"/>
                <w:szCs w:val="16"/>
              </w:rPr>
              <w:t>Amount paid in 2021-22</w:t>
            </w:r>
          </w:p>
        </w:tc>
        <w:tc>
          <w:tcPr>
            <w:tcW w:w="1200" w:type="dxa"/>
          </w:tcPr>
          <w:p w14:paraId="752A3664" w14:textId="77777777" w:rsidR="00B02873" w:rsidRPr="00A039B2" w:rsidRDefault="00B02873" w:rsidP="00603355">
            <w:pPr>
              <w:pStyle w:val="TableheadingleftTables"/>
              <w:jc w:val="right"/>
              <w:rPr>
                <w:sz w:val="20"/>
                <w:szCs w:val="16"/>
              </w:rPr>
            </w:pPr>
            <w:r w:rsidRPr="00A039B2">
              <w:rPr>
                <w:sz w:val="20"/>
                <w:szCs w:val="16"/>
              </w:rPr>
              <w:t>Amount yet to be paid</w:t>
            </w:r>
          </w:p>
        </w:tc>
        <w:tc>
          <w:tcPr>
            <w:tcW w:w="1200" w:type="dxa"/>
          </w:tcPr>
          <w:p w14:paraId="6F75894B" w14:textId="77777777" w:rsidR="00B02873" w:rsidRPr="00A039B2" w:rsidRDefault="00B02873" w:rsidP="00A039B2">
            <w:pPr>
              <w:pStyle w:val="TableheadingleftTables"/>
              <w:rPr>
                <w:sz w:val="20"/>
                <w:szCs w:val="16"/>
              </w:rPr>
            </w:pPr>
            <w:r w:rsidRPr="00A039B2">
              <w:rPr>
                <w:sz w:val="20"/>
                <w:szCs w:val="16"/>
              </w:rPr>
              <w:t>Status</w:t>
            </w:r>
          </w:p>
        </w:tc>
      </w:tr>
      <w:tr w:rsidR="00B02873" w:rsidRPr="00A039B2" w14:paraId="23F83993" w14:textId="77777777" w:rsidTr="00A039B2">
        <w:trPr>
          <w:trHeight w:val="60"/>
        </w:trPr>
        <w:tc>
          <w:tcPr>
            <w:tcW w:w="964" w:type="dxa"/>
          </w:tcPr>
          <w:p w14:paraId="0C7906C0" w14:textId="77777777" w:rsidR="00B02873" w:rsidRPr="00A039B2" w:rsidRDefault="00B02873" w:rsidP="00A039B2">
            <w:pPr>
              <w:pStyle w:val="TablebodyleftTables"/>
              <w:rPr>
                <w:sz w:val="20"/>
              </w:rPr>
            </w:pPr>
            <w:r w:rsidRPr="00A039B2">
              <w:rPr>
                <w:sz w:val="20"/>
              </w:rPr>
              <w:t>DET</w:t>
            </w:r>
          </w:p>
        </w:tc>
        <w:tc>
          <w:tcPr>
            <w:tcW w:w="1474" w:type="dxa"/>
          </w:tcPr>
          <w:p w14:paraId="1A04BB62" w14:textId="77777777" w:rsidR="00B02873" w:rsidRPr="00A039B2" w:rsidRDefault="00B02873" w:rsidP="00A039B2">
            <w:pPr>
              <w:pStyle w:val="TablebodyleftTables"/>
              <w:rPr>
                <w:sz w:val="20"/>
              </w:rPr>
            </w:pPr>
            <w:r w:rsidRPr="00A039B2">
              <w:rPr>
                <w:sz w:val="20"/>
              </w:rPr>
              <w:t>Beveridge Primary School – New Campus</w:t>
            </w:r>
          </w:p>
        </w:tc>
        <w:tc>
          <w:tcPr>
            <w:tcW w:w="1243" w:type="dxa"/>
          </w:tcPr>
          <w:p w14:paraId="42956AF4" w14:textId="77777777" w:rsidR="00B02873" w:rsidRPr="00A039B2" w:rsidRDefault="00B02873" w:rsidP="00A039B2">
            <w:pPr>
              <w:pStyle w:val="TablebodyleftTables"/>
              <w:rPr>
                <w:sz w:val="20"/>
              </w:rPr>
            </w:pPr>
            <w:r w:rsidRPr="00A039B2">
              <w:rPr>
                <w:sz w:val="20"/>
              </w:rPr>
              <w:t>2019-20 State Budget</w:t>
            </w:r>
          </w:p>
        </w:tc>
        <w:tc>
          <w:tcPr>
            <w:tcW w:w="1200" w:type="dxa"/>
          </w:tcPr>
          <w:p w14:paraId="7934F000" w14:textId="77777777" w:rsidR="00B02873" w:rsidRPr="00A039B2" w:rsidRDefault="00B02873" w:rsidP="00603355">
            <w:pPr>
              <w:pStyle w:val="TablebodyleftTables"/>
              <w:jc w:val="right"/>
              <w:rPr>
                <w:sz w:val="20"/>
              </w:rPr>
            </w:pPr>
            <w:r w:rsidRPr="00A039B2">
              <w:rPr>
                <w:sz w:val="20"/>
              </w:rPr>
              <w:t>2,800,000</w:t>
            </w:r>
          </w:p>
        </w:tc>
        <w:tc>
          <w:tcPr>
            <w:tcW w:w="1200" w:type="dxa"/>
          </w:tcPr>
          <w:p w14:paraId="7EE81646" w14:textId="77777777" w:rsidR="00B02873" w:rsidRPr="00A039B2" w:rsidRDefault="00B02873" w:rsidP="00603355">
            <w:pPr>
              <w:pStyle w:val="TablebodyleftTables"/>
              <w:jc w:val="right"/>
              <w:rPr>
                <w:sz w:val="20"/>
              </w:rPr>
            </w:pPr>
            <w:r w:rsidRPr="00A039B2">
              <w:rPr>
                <w:sz w:val="20"/>
              </w:rPr>
              <w:t>2,800,000</w:t>
            </w:r>
          </w:p>
        </w:tc>
        <w:tc>
          <w:tcPr>
            <w:tcW w:w="1200" w:type="dxa"/>
          </w:tcPr>
          <w:p w14:paraId="28AB7963" w14:textId="62F10CF4" w:rsidR="00B02873" w:rsidRPr="00A039B2" w:rsidRDefault="00A039B2" w:rsidP="00603355">
            <w:pPr>
              <w:pStyle w:val="TablebodyleftTables"/>
              <w:jc w:val="right"/>
              <w:rPr>
                <w:sz w:val="20"/>
              </w:rPr>
            </w:pPr>
            <w:r w:rsidRPr="00A039B2">
              <w:rPr>
                <w:sz w:val="20"/>
              </w:rPr>
              <w:t>–</w:t>
            </w:r>
          </w:p>
        </w:tc>
        <w:tc>
          <w:tcPr>
            <w:tcW w:w="1200" w:type="dxa"/>
          </w:tcPr>
          <w:p w14:paraId="555C8B7A" w14:textId="5F81EE7F" w:rsidR="00B02873" w:rsidRPr="00A039B2" w:rsidRDefault="00A039B2" w:rsidP="00603355">
            <w:pPr>
              <w:pStyle w:val="TablebodyleftTables"/>
              <w:jc w:val="right"/>
              <w:rPr>
                <w:sz w:val="20"/>
              </w:rPr>
            </w:pPr>
            <w:r w:rsidRPr="00A039B2">
              <w:rPr>
                <w:sz w:val="20"/>
              </w:rPr>
              <w:t>–</w:t>
            </w:r>
          </w:p>
        </w:tc>
        <w:tc>
          <w:tcPr>
            <w:tcW w:w="1200" w:type="dxa"/>
          </w:tcPr>
          <w:p w14:paraId="5A5FB038" w14:textId="77777777" w:rsidR="00B02873" w:rsidRPr="00A039B2" w:rsidRDefault="00B02873" w:rsidP="00A039B2">
            <w:pPr>
              <w:pStyle w:val="TablebodyleftTables"/>
              <w:rPr>
                <w:sz w:val="20"/>
              </w:rPr>
            </w:pPr>
            <w:r w:rsidRPr="00A039B2">
              <w:rPr>
                <w:sz w:val="20"/>
              </w:rPr>
              <w:t>Active</w:t>
            </w:r>
          </w:p>
        </w:tc>
      </w:tr>
      <w:tr w:rsidR="00B02873" w:rsidRPr="007B509E" w14:paraId="7A7F31E2" w14:textId="77777777" w:rsidTr="00A039B2">
        <w:trPr>
          <w:trHeight w:val="60"/>
        </w:trPr>
        <w:tc>
          <w:tcPr>
            <w:tcW w:w="964" w:type="dxa"/>
          </w:tcPr>
          <w:p w14:paraId="04C57F18" w14:textId="77777777" w:rsidR="00B02873" w:rsidRPr="007B509E" w:rsidRDefault="00B02873" w:rsidP="00A039B2">
            <w:pPr>
              <w:pStyle w:val="TablebodyleftTables"/>
              <w:rPr>
                <w:sz w:val="20"/>
              </w:rPr>
            </w:pPr>
            <w:r w:rsidRPr="007B509E">
              <w:rPr>
                <w:sz w:val="20"/>
              </w:rPr>
              <w:t>Total</w:t>
            </w:r>
          </w:p>
        </w:tc>
        <w:tc>
          <w:tcPr>
            <w:tcW w:w="1474" w:type="dxa"/>
          </w:tcPr>
          <w:p w14:paraId="27A96229" w14:textId="77777777" w:rsidR="00B02873" w:rsidRPr="007B509E" w:rsidRDefault="00B02873" w:rsidP="00A039B2">
            <w:pPr>
              <w:pStyle w:val="TablebodyleftTables"/>
              <w:rPr>
                <w:rFonts w:cs="Times New Roman"/>
                <w:sz w:val="20"/>
              </w:rPr>
            </w:pPr>
          </w:p>
        </w:tc>
        <w:tc>
          <w:tcPr>
            <w:tcW w:w="1243" w:type="dxa"/>
          </w:tcPr>
          <w:p w14:paraId="28277957" w14:textId="77777777" w:rsidR="00B02873" w:rsidRPr="007B509E" w:rsidRDefault="00B02873" w:rsidP="00A039B2">
            <w:pPr>
              <w:pStyle w:val="TablebodyleftTables"/>
              <w:rPr>
                <w:rFonts w:cs="Times New Roman"/>
                <w:sz w:val="20"/>
              </w:rPr>
            </w:pPr>
          </w:p>
        </w:tc>
        <w:tc>
          <w:tcPr>
            <w:tcW w:w="1200" w:type="dxa"/>
          </w:tcPr>
          <w:p w14:paraId="0D66CC29" w14:textId="77777777" w:rsidR="00B02873" w:rsidRPr="007B509E" w:rsidRDefault="00B02873" w:rsidP="00603355">
            <w:pPr>
              <w:pStyle w:val="TablebodyleftTables"/>
              <w:jc w:val="right"/>
              <w:rPr>
                <w:sz w:val="20"/>
              </w:rPr>
            </w:pPr>
            <w:r w:rsidRPr="007B509E">
              <w:rPr>
                <w:sz w:val="20"/>
              </w:rPr>
              <w:t>2,800,000</w:t>
            </w:r>
          </w:p>
        </w:tc>
        <w:tc>
          <w:tcPr>
            <w:tcW w:w="1200" w:type="dxa"/>
          </w:tcPr>
          <w:p w14:paraId="3BB2F44C" w14:textId="77777777" w:rsidR="00B02873" w:rsidRPr="007B509E" w:rsidRDefault="00B02873" w:rsidP="00603355">
            <w:pPr>
              <w:pStyle w:val="TablebodyleftTables"/>
              <w:jc w:val="right"/>
              <w:rPr>
                <w:sz w:val="20"/>
              </w:rPr>
            </w:pPr>
            <w:r w:rsidRPr="007B509E">
              <w:rPr>
                <w:sz w:val="20"/>
              </w:rPr>
              <w:t>2,800,000</w:t>
            </w:r>
          </w:p>
        </w:tc>
        <w:tc>
          <w:tcPr>
            <w:tcW w:w="1200" w:type="dxa"/>
          </w:tcPr>
          <w:p w14:paraId="5B52D250" w14:textId="4B72FF81" w:rsidR="00B02873" w:rsidRPr="007B509E" w:rsidRDefault="00A039B2" w:rsidP="00603355">
            <w:pPr>
              <w:pStyle w:val="TablebodyleftTables"/>
              <w:jc w:val="right"/>
              <w:rPr>
                <w:sz w:val="20"/>
              </w:rPr>
            </w:pPr>
            <w:r w:rsidRPr="007B509E">
              <w:rPr>
                <w:sz w:val="20"/>
              </w:rPr>
              <w:t>–</w:t>
            </w:r>
          </w:p>
        </w:tc>
        <w:tc>
          <w:tcPr>
            <w:tcW w:w="1200" w:type="dxa"/>
          </w:tcPr>
          <w:p w14:paraId="135B2493" w14:textId="77777777" w:rsidR="00B02873" w:rsidRPr="007B509E" w:rsidRDefault="00B02873" w:rsidP="00603355">
            <w:pPr>
              <w:pStyle w:val="TablebodyleftTables"/>
              <w:jc w:val="right"/>
              <w:rPr>
                <w:rFonts w:cs="Times New Roman"/>
                <w:sz w:val="20"/>
              </w:rPr>
            </w:pPr>
          </w:p>
        </w:tc>
        <w:tc>
          <w:tcPr>
            <w:tcW w:w="1200" w:type="dxa"/>
          </w:tcPr>
          <w:p w14:paraId="2A96E941" w14:textId="77777777" w:rsidR="00B02873" w:rsidRPr="007B509E" w:rsidRDefault="00B02873" w:rsidP="00A039B2">
            <w:pPr>
              <w:pStyle w:val="TablebodyleftTables"/>
              <w:rPr>
                <w:rFonts w:cs="Times New Roman"/>
                <w:sz w:val="20"/>
              </w:rPr>
            </w:pPr>
          </w:p>
        </w:tc>
      </w:tr>
    </w:tbl>
    <w:p w14:paraId="7CA9B20B" w14:textId="77777777" w:rsidR="00B02873" w:rsidRDefault="00B02873" w:rsidP="00FE198A"/>
    <w:p w14:paraId="15205572" w14:textId="77777777" w:rsidR="00B02873" w:rsidRDefault="00B02873" w:rsidP="00A039B2">
      <w:pPr>
        <w:pStyle w:val="Heading4"/>
      </w:pPr>
      <w:r>
        <w:lastRenderedPageBreak/>
        <w:t>Whittlesea City Council</w:t>
      </w:r>
    </w:p>
    <w:p w14:paraId="147ABD39" w14:textId="77777777" w:rsidR="00B02873" w:rsidRDefault="00B02873" w:rsidP="00A039B2">
      <w:pPr>
        <w:pStyle w:val="TabletitleTables"/>
      </w:pPr>
      <w:r>
        <w:t>Table 18: BNCF-funded projects in Whittlesea</w:t>
      </w:r>
    </w:p>
    <w:tbl>
      <w:tblPr>
        <w:tblStyle w:val="TableGrid"/>
        <w:tblW w:w="9744" w:type="dxa"/>
        <w:tblLayout w:type="fixed"/>
        <w:tblLook w:val="0020" w:firstRow="1" w:lastRow="0" w:firstColumn="0" w:lastColumn="0" w:noHBand="0" w:noVBand="0"/>
      </w:tblPr>
      <w:tblGrid>
        <w:gridCol w:w="964"/>
        <w:gridCol w:w="1725"/>
        <w:gridCol w:w="1243"/>
        <w:gridCol w:w="1200"/>
        <w:gridCol w:w="1200"/>
        <w:gridCol w:w="1200"/>
        <w:gridCol w:w="1200"/>
        <w:gridCol w:w="1012"/>
      </w:tblGrid>
      <w:tr w:rsidR="00B02873" w:rsidRPr="001F5F1C" w14:paraId="2232BBBD" w14:textId="77777777" w:rsidTr="001F5F1C">
        <w:trPr>
          <w:cnfStyle w:val="100000000000" w:firstRow="1" w:lastRow="0" w:firstColumn="0" w:lastColumn="0" w:oddVBand="0" w:evenVBand="0" w:oddHBand="0" w:evenHBand="0" w:firstRowFirstColumn="0" w:firstRowLastColumn="0" w:lastRowFirstColumn="0" w:lastRowLastColumn="0"/>
          <w:trHeight w:val="60"/>
          <w:tblHeader/>
        </w:trPr>
        <w:tc>
          <w:tcPr>
            <w:tcW w:w="964" w:type="dxa"/>
          </w:tcPr>
          <w:p w14:paraId="43BA0022" w14:textId="77777777" w:rsidR="00B02873" w:rsidRPr="001F5F1C" w:rsidRDefault="00B02873" w:rsidP="001F5F1C">
            <w:pPr>
              <w:pStyle w:val="TableheadingleftTables"/>
              <w:rPr>
                <w:sz w:val="20"/>
                <w:szCs w:val="16"/>
              </w:rPr>
            </w:pPr>
            <w:r w:rsidRPr="001F5F1C">
              <w:rPr>
                <w:sz w:val="20"/>
                <w:szCs w:val="16"/>
              </w:rPr>
              <w:t>Agency</w:t>
            </w:r>
          </w:p>
        </w:tc>
        <w:tc>
          <w:tcPr>
            <w:tcW w:w="1725" w:type="dxa"/>
          </w:tcPr>
          <w:p w14:paraId="51A3FCAE" w14:textId="77777777" w:rsidR="00B02873" w:rsidRPr="001F5F1C" w:rsidRDefault="00B02873" w:rsidP="001F5F1C">
            <w:pPr>
              <w:pStyle w:val="TableheadingleftTables"/>
              <w:rPr>
                <w:sz w:val="20"/>
                <w:szCs w:val="16"/>
              </w:rPr>
            </w:pPr>
            <w:r w:rsidRPr="001F5F1C">
              <w:rPr>
                <w:sz w:val="20"/>
                <w:szCs w:val="16"/>
              </w:rPr>
              <w:t>Purpose</w:t>
            </w:r>
          </w:p>
        </w:tc>
        <w:tc>
          <w:tcPr>
            <w:tcW w:w="1243" w:type="dxa"/>
          </w:tcPr>
          <w:p w14:paraId="1B21815F" w14:textId="77777777" w:rsidR="00B02873" w:rsidRPr="001F5F1C" w:rsidRDefault="00B02873" w:rsidP="001F5F1C">
            <w:pPr>
              <w:pStyle w:val="TableheadingleftTables"/>
              <w:rPr>
                <w:sz w:val="20"/>
                <w:szCs w:val="16"/>
              </w:rPr>
            </w:pPr>
            <w:r w:rsidRPr="001F5F1C">
              <w:rPr>
                <w:sz w:val="20"/>
                <w:szCs w:val="16"/>
              </w:rPr>
              <w:t>Year Announced</w:t>
            </w:r>
          </w:p>
        </w:tc>
        <w:tc>
          <w:tcPr>
            <w:tcW w:w="1200" w:type="dxa"/>
          </w:tcPr>
          <w:p w14:paraId="6F6CCB09" w14:textId="77777777" w:rsidR="00B02873" w:rsidRPr="001F5F1C" w:rsidRDefault="00B02873" w:rsidP="00603355">
            <w:pPr>
              <w:pStyle w:val="TableheadingleftTables"/>
              <w:jc w:val="right"/>
              <w:rPr>
                <w:sz w:val="20"/>
                <w:szCs w:val="16"/>
              </w:rPr>
            </w:pPr>
            <w:r w:rsidRPr="001F5F1C">
              <w:rPr>
                <w:sz w:val="20"/>
                <w:szCs w:val="16"/>
              </w:rPr>
              <w:t>Allocated</w:t>
            </w:r>
          </w:p>
        </w:tc>
        <w:tc>
          <w:tcPr>
            <w:tcW w:w="1200" w:type="dxa"/>
          </w:tcPr>
          <w:p w14:paraId="3BB61AF2" w14:textId="77777777" w:rsidR="00B02873" w:rsidRPr="001F5F1C" w:rsidRDefault="00B02873" w:rsidP="00603355">
            <w:pPr>
              <w:pStyle w:val="TableheadingleftTables"/>
              <w:jc w:val="right"/>
              <w:rPr>
                <w:sz w:val="20"/>
                <w:szCs w:val="16"/>
              </w:rPr>
            </w:pPr>
            <w:r w:rsidRPr="001F5F1C">
              <w:rPr>
                <w:sz w:val="20"/>
                <w:szCs w:val="16"/>
              </w:rPr>
              <w:t>Amount paid to 30 June 2021</w:t>
            </w:r>
          </w:p>
        </w:tc>
        <w:tc>
          <w:tcPr>
            <w:tcW w:w="1200" w:type="dxa"/>
          </w:tcPr>
          <w:p w14:paraId="5434875C" w14:textId="77777777" w:rsidR="00B02873" w:rsidRPr="001F5F1C" w:rsidRDefault="00B02873" w:rsidP="00603355">
            <w:pPr>
              <w:pStyle w:val="TableheadingleftTables"/>
              <w:jc w:val="right"/>
              <w:rPr>
                <w:sz w:val="20"/>
                <w:szCs w:val="16"/>
              </w:rPr>
            </w:pPr>
            <w:r w:rsidRPr="001F5F1C">
              <w:rPr>
                <w:sz w:val="20"/>
                <w:szCs w:val="16"/>
              </w:rPr>
              <w:t>Amount paid in 2021-22</w:t>
            </w:r>
          </w:p>
        </w:tc>
        <w:tc>
          <w:tcPr>
            <w:tcW w:w="1200" w:type="dxa"/>
          </w:tcPr>
          <w:p w14:paraId="7E39BF44" w14:textId="77777777" w:rsidR="00B02873" w:rsidRPr="001F5F1C" w:rsidRDefault="00B02873" w:rsidP="00603355">
            <w:pPr>
              <w:pStyle w:val="TableheadingleftTables"/>
              <w:jc w:val="right"/>
              <w:rPr>
                <w:sz w:val="20"/>
                <w:szCs w:val="16"/>
              </w:rPr>
            </w:pPr>
            <w:r w:rsidRPr="001F5F1C">
              <w:rPr>
                <w:sz w:val="20"/>
                <w:szCs w:val="16"/>
              </w:rPr>
              <w:t>Amount yet to be paid</w:t>
            </w:r>
          </w:p>
        </w:tc>
        <w:tc>
          <w:tcPr>
            <w:tcW w:w="1012" w:type="dxa"/>
          </w:tcPr>
          <w:p w14:paraId="086B94A9" w14:textId="77777777" w:rsidR="00B02873" w:rsidRPr="001F5F1C" w:rsidRDefault="00B02873" w:rsidP="001F5F1C">
            <w:pPr>
              <w:pStyle w:val="TableheadingleftTables"/>
              <w:rPr>
                <w:sz w:val="20"/>
                <w:szCs w:val="16"/>
              </w:rPr>
            </w:pPr>
            <w:r w:rsidRPr="001F5F1C">
              <w:rPr>
                <w:sz w:val="20"/>
                <w:szCs w:val="16"/>
              </w:rPr>
              <w:t>Status</w:t>
            </w:r>
          </w:p>
        </w:tc>
      </w:tr>
      <w:tr w:rsidR="00B02873" w:rsidRPr="001F5F1C" w14:paraId="43C57388" w14:textId="77777777" w:rsidTr="001F5F1C">
        <w:trPr>
          <w:trHeight w:val="60"/>
        </w:trPr>
        <w:tc>
          <w:tcPr>
            <w:tcW w:w="964" w:type="dxa"/>
          </w:tcPr>
          <w:p w14:paraId="0F58F8D0" w14:textId="77777777" w:rsidR="00B02873" w:rsidRPr="001F5F1C" w:rsidRDefault="00B02873" w:rsidP="001F5F1C">
            <w:pPr>
              <w:pStyle w:val="TablebodyleftTables"/>
              <w:rPr>
                <w:sz w:val="20"/>
              </w:rPr>
            </w:pPr>
            <w:r w:rsidRPr="001F5F1C">
              <w:rPr>
                <w:sz w:val="20"/>
              </w:rPr>
              <w:t>PV</w:t>
            </w:r>
          </w:p>
        </w:tc>
        <w:tc>
          <w:tcPr>
            <w:tcW w:w="1725" w:type="dxa"/>
          </w:tcPr>
          <w:p w14:paraId="634DEB0C" w14:textId="77777777" w:rsidR="00B02873" w:rsidRPr="001F5F1C" w:rsidRDefault="00B02873" w:rsidP="001F5F1C">
            <w:pPr>
              <w:pStyle w:val="TablebodyleftTables"/>
              <w:rPr>
                <w:sz w:val="20"/>
              </w:rPr>
            </w:pPr>
            <w:r w:rsidRPr="001F5F1C">
              <w:rPr>
                <w:sz w:val="20"/>
              </w:rPr>
              <w:t>Merri Creek Marran Baba Parklands</w:t>
            </w:r>
          </w:p>
        </w:tc>
        <w:tc>
          <w:tcPr>
            <w:tcW w:w="1243" w:type="dxa"/>
          </w:tcPr>
          <w:p w14:paraId="3F3F20FF" w14:textId="77777777" w:rsidR="00B02873" w:rsidRPr="001F5F1C" w:rsidRDefault="00B02873" w:rsidP="001F5F1C">
            <w:pPr>
              <w:pStyle w:val="TablebodyleftTables"/>
              <w:rPr>
                <w:sz w:val="20"/>
              </w:rPr>
            </w:pPr>
            <w:r w:rsidRPr="001F5F1C">
              <w:rPr>
                <w:sz w:val="20"/>
              </w:rPr>
              <w:t xml:space="preserve">2017-18 </w:t>
            </w:r>
          </w:p>
        </w:tc>
        <w:tc>
          <w:tcPr>
            <w:tcW w:w="1200" w:type="dxa"/>
          </w:tcPr>
          <w:p w14:paraId="73E1B737" w14:textId="77777777" w:rsidR="00B02873" w:rsidRPr="001F5F1C" w:rsidRDefault="00B02873" w:rsidP="00603355">
            <w:pPr>
              <w:pStyle w:val="TablebodyleftTables"/>
              <w:jc w:val="right"/>
              <w:rPr>
                <w:sz w:val="20"/>
              </w:rPr>
            </w:pPr>
            <w:r w:rsidRPr="001F5F1C">
              <w:rPr>
                <w:sz w:val="20"/>
              </w:rPr>
              <w:t>1,700,000</w:t>
            </w:r>
          </w:p>
        </w:tc>
        <w:tc>
          <w:tcPr>
            <w:tcW w:w="1200" w:type="dxa"/>
          </w:tcPr>
          <w:p w14:paraId="353EBE5B" w14:textId="77777777" w:rsidR="00B02873" w:rsidRPr="001F5F1C" w:rsidRDefault="00B02873" w:rsidP="00603355">
            <w:pPr>
              <w:pStyle w:val="TablebodyleftTables"/>
              <w:jc w:val="right"/>
              <w:rPr>
                <w:sz w:val="20"/>
              </w:rPr>
            </w:pPr>
            <w:r w:rsidRPr="001F5F1C">
              <w:rPr>
                <w:sz w:val="20"/>
              </w:rPr>
              <w:t>1,360,000</w:t>
            </w:r>
          </w:p>
        </w:tc>
        <w:tc>
          <w:tcPr>
            <w:tcW w:w="1200" w:type="dxa"/>
          </w:tcPr>
          <w:p w14:paraId="431968D3" w14:textId="56ED9ECD" w:rsidR="00B02873" w:rsidRPr="001F5F1C" w:rsidRDefault="001F5F1C" w:rsidP="00603355">
            <w:pPr>
              <w:pStyle w:val="TablebodyleftTables"/>
              <w:jc w:val="right"/>
              <w:rPr>
                <w:sz w:val="20"/>
              </w:rPr>
            </w:pPr>
            <w:r>
              <w:rPr>
                <w:sz w:val="20"/>
              </w:rPr>
              <w:t>–</w:t>
            </w:r>
          </w:p>
        </w:tc>
        <w:tc>
          <w:tcPr>
            <w:tcW w:w="1200" w:type="dxa"/>
          </w:tcPr>
          <w:p w14:paraId="40D7303B" w14:textId="77777777" w:rsidR="00B02873" w:rsidRPr="001F5F1C" w:rsidRDefault="00B02873" w:rsidP="00603355">
            <w:pPr>
              <w:pStyle w:val="TablebodyleftTables"/>
              <w:jc w:val="right"/>
              <w:rPr>
                <w:sz w:val="20"/>
              </w:rPr>
            </w:pPr>
            <w:r w:rsidRPr="001F5F1C">
              <w:rPr>
                <w:sz w:val="20"/>
              </w:rPr>
              <w:t>340,000</w:t>
            </w:r>
          </w:p>
        </w:tc>
        <w:tc>
          <w:tcPr>
            <w:tcW w:w="1012" w:type="dxa"/>
          </w:tcPr>
          <w:p w14:paraId="1A622F83" w14:textId="77777777" w:rsidR="00B02873" w:rsidRPr="001F5F1C" w:rsidRDefault="00B02873" w:rsidP="001F5F1C">
            <w:pPr>
              <w:pStyle w:val="TablebodyleftTables"/>
              <w:rPr>
                <w:sz w:val="20"/>
              </w:rPr>
            </w:pPr>
            <w:r w:rsidRPr="001F5F1C">
              <w:rPr>
                <w:sz w:val="20"/>
              </w:rPr>
              <w:t>Active</w:t>
            </w:r>
          </w:p>
        </w:tc>
      </w:tr>
      <w:tr w:rsidR="00B02873" w:rsidRPr="001F5F1C" w14:paraId="3B70C1FE" w14:textId="77777777" w:rsidTr="001F5F1C">
        <w:trPr>
          <w:trHeight w:val="60"/>
        </w:trPr>
        <w:tc>
          <w:tcPr>
            <w:tcW w:w="964" w:type="dxa"/>
          </w:tcPr>
          <w:p w14:paraId="08EDF210" w14:textId="77777777" w:rsidR="00B02873" w:rsidRPr="001F5F1C" w:rsidRDefault="00B02873" w:rsidP="001F5F1C">
            <w:pPr>
              <w:pStyle w:val="TablebodyleftTables"/>
              <w:rPr>
                <w:sz w:val="20"/>
              </w:rPr>
            </w:pPr>
            <w:r w:rsidRPr="001F5F1C">
              <w:rPr>
                <w:sz w:val="20"/>
              </w:rPr>
              <w:t>DET</w:t>
            </w:r>
          </w:p>
        </w:tc>
        <w:tc>
          <w:tcPr>
            <w:tcW w:w="1725" w:type="dxa"/>
          </w:tcPr>
          <w:p w14:paraId="2B6C187F" w14:textId="77777777" w:rsidR="00B02873" w:rsidRPr="001F5F1C" w:rsidRDefault="00B02873" w:rsidP="001F5F1C">
            <w:pPr>
              <w:pStyle w:val="TablebodyleftTables"/>
              <w:rPr>
                <w:sz w:val="20"/>
              </w:rPr>
            </w:pPr>
            <w:r w:rsidRPr="001F5F1C">
              <w:rPr>
                <w:spacing w:val="-2"/>
                <w:sz w:val="20"/>
              </w:rPr>
              <w:t>Edgars Creek Secondary School (Stage 2)</w:t>
            </w:r>
          </w:p>
        </w:tc>
        <w:tc>
          <w:tcPr>
            <w:tcW w:w="1243" w:type="dxa"/>
          </w:tcPr>
          <w:p w14:paraId="6CF47AF4" w14:textId="77777777" w:rsidR="00B02873" w:rsidRPr="001F5F1C" w:rsidRDefault="00B02873" w:rsidP="001F5F1C">
            <w:pPr>
              <w:pStyle w:val="TablebodyleftTables"/>
              <w:rPr>
                <w:sz w:val="20"/>
              </w:rPr>
            </w:pPr>
            <w:r w:rsidRPr="001F5F1C">
              <w:rPr>
                <w:sz w:val="20"/>
              </w:rPr>
              <w:t>2019-20 State Budget</w:t>
            </w:r>
          </w:p>
        </w:tc>
        <w:tc>
          <w:tcPr>
            <w:tcW w:w="1200" w:type="dxa"/>
          </w:tcPr>
          <w:p w14:paraId="7A1DD308" w14:textId="77777777" w:rsidR="00B02873" w:rsidRPr="001F5F1C" w:rsidRDefault="00B02873" w:rsidP="00603355">
            <w:pPr>
              <w:pStyle w:val="TablebodyleftTables"/>
              <w:jc w:val="right"/>
              <w:rPr>
                <w:sz w:val="20"/>
              </w:rPr>
            </w:pPr>
            <w:r w:rsidRPr="001F5F1C">
              <w:rPr>
                <w:sz w:val="20"/>
              </w:rPr>
              <w:t>22,800,000</w:t>
            </w:r>
          </w:p>
        </w:tc>
        <w:tc>
          <w:tcPr>
            <w:tcW w:w="1200" w:type="dxa"/>
          </w:tcPr>
          <w:p w14:paraId="6535C56D" w14:textId="77777777" w:rsidR="00B02873" w:rsidRPr="001F5F1C" w:rsidRDefault="00B02873" w:rsidP="00603355">
            <w:pPr>
              <w:pStyle w:val="TablebodyleftTables"/>
              <w:jc w:val="right"/>
              <w:rPr>
                <w:sz w:val="20"/>
              </w:rPr>
            </w:pPr>
            <w:r w:rsidRPr="001F5F1C">
              <w:rPr>
                <w:sz w:val="20"/>
              </w:rPr>
              <w:t>13,000,000</w:t>
            </w:r>
          </w:p>
        </w:tc>
        <w:tc>
          <w:tcPr>
            <w:tcW w:w="1200" w:type="dxa"/>
          </w:tcPr>
          <w:p w14:paraId="5AE3D99C" w14:textId="77777777" w:rsidR="00B02873" w:rsidRPr="001F5F1C" w:rsidRDefault="00B02873" w:rsidP="00603355">
            <w:pPr>
              <w:pStyle w:val="TablebodyleftTables"/>
              <w:jc w:val="right"/>
              <w:rPr>
                <w:sz w:val="20"/>
              </w:rPr>
            </w:pPr>
            <w:r w:rsidRPr="001F5F1C">
              <w:rPr>
                <w:sz w:val="20"/>
              </w:rPr>
              <w:t>9,300,000</w:t>
            </w:r>
          </w:p>
        </w:tc>
        <w:tc>
          <w:tcPr>
            <w:tcW w:w="1200" w:type="dxa"/>
          </w:tcPr>
          <w:p w14:paraId="72202EE7" w14:textId="77777777" w:rsidR="00B02873" w:rsidRPr="001F5F1C" w:rsidRDefault="00B02873" w:rsidP="00603355">
            <w:pPr>
              <w:pStyle w:val="TablebodyleftTables"/>
              <w:jc w:val="right"/>
              <w:rPr>
                <w:sz w:val="20"/>
              </w:rPr>
            </w:pPr>
            <w:r w:rsidRPr="001F5F1C">
              <w:rPr>
                <w:sz w:val="20"/>
              </w:rPr>
              <w:t>500,000</w:t>
            </w:r>
          </w:p>
        </w:tc>
        <w:tc>
          <w:tcPr>
            <w:tcW w:w="1012" w:type="dxa"/>
          </w:tcPr>
          <w:p w14:paraId="57B45013" w14:textId="77777777" w:rsidR="00B02873" w:rsidRPr="001F5F1C" w:rsidRDefault="00B02873" w:rsidP="001F5F1C">
            <w:pPr>
              <w:pStyle w:val="TablebodyleftTables"/>
              <w:rPr>
                <w:sz w:val="20"/>
              </w:rPr>
            </w:pPr>
            <w:r w:rsidRPr="001F5F1C">
              <w:rPr>
                <w:sz w:val="20"/>
              </w:rPr>
              <w:t>Active</w:t>
            </w:r>
          </w:p>
        </w:tc>
      </w:tr>
      <w:tr w:rsidR="00B02873" w:rsidRPr="001F5F1C" w14:paraId="3F5D41D5" w14:textId="77777777" w:rsidTr="001F5F1C">
        <w:trPr>
          <w:trHeight w:val="60"/>
        </w:trPr>
        <w:tc>
          <w:tcPr>
            <w:tcW w:w="964" w:type="dxa"/>
          </w:tcPr>
          <w:p w14:paraId="6FCF05FC" w14:textId="77777777" w:rsidR="00B02873" w:rsidRPr="001F5F1C" w:rsidRDefault="00B02873" w:rsidP="001F5F1C">
            <w:pPr>
              <w:pStyle w:val="TablebodyleftTables"/>
              <w:rPr>
                <w:sz w:val="20"/>
              </w:rPr>
            </w:pPr>
            <w:r w:rsidRPr="001F5F1C">
              <w:rPr>
                <w:sz w:val="20"/>
              </w:rPr>
              <w:t>Victoria Police</w:t>
            </w:r>
          </w:p>
        </w:tc>
        <w:tc>
          <w:tcPr>
            <w:tcW w:w="1725" w:type="dxa"/>
          </w:tcPr>
          <w:p w14:paraId="74259725" w14:textId="77777777" w:rsidR="00B02873" w:rsidRPr="001F5F1C" w:rsidRDefault="00B02873" w:rsidP="001F5F1C">
            <w:pPr>
              <w:pStyle w:val="TablebodyleftTables"/>
              <w:rPr>
                <w:sz w:val="20"/>
              </w:rPr>
            </w:pPr>
            <w:r w:rsidRPr="001F5F1C">
              <w:rPr>
                <w:sz w:val="20"/>
              </w:rPr>
              <w:t>Wollert Police site</w:t>
            </w:r>
          </w:p>
        </w:tc>
        <w:tc>
          <w:tcPr>
            <w:tcW w:w="1243" w:type="dxa"/>
          </w:tcPr>
          <w:p w14:paraId="6124575B" w14:textId="77777777" w:rsidR="00B02873" w:rsidRPr="001F5F1C" w:rsidRDefault="00B02873" w:rsidP="001F5F1C">
            <w:pPr>
              <w:pStyle w:val="TablebodyleftTables"/>
              <w:rPr>
                <w:sz w:val="20"/>
              </w:rPr>
            </w:pPr>
            <w:r w:rsidRPr="001F5F1C">
              <w:rPr>
                <w:sz w:val="20"/>
              </w:rPr>
              <w:t>2021-22</w:t>
            </w:r>
          </w:p>
        </w:tc>
        <w:tc>
          <w:tcPr>
            <w:tcW w:w="1200" w:type="dxa"/>
          </w:tcPr>
          <w:p w14:paraId="4A383412" w14:textId="77777777" w:rsidR="00B02873" w:rsidRPr="001F5F1C" w:rsidRDefault="00B02873" w:rsidP="00603355">
            <w:pPr>
              <w:pStyle w:val="TablebodyleftTables"/>
              <w:jc w:val="right"/>
              <w:rPr>
                <w:sz w:val="20"/>
              </w:rPr>
            </w:pPr>
            <w:r w:rsidRPr="001F5F1C">
              <w:rPr>
                <w:sz w:val="20"/>
              </w:rPr>
              <w:t>3,200,000</w:t>
            </w:r>
          </w:p>
        </w:tc>
        <w:tc>
          <w:tcPr>
            <w:tcW w:w="1200" w:type="dxa"/>
          </w:tcPr>
          <w:p w14:paraId="69327399" w14:textId="7590E79C" w:rsidR="00B02873" w:rsidRPr="001F5F1C" w:rsidRDefault="001F5F1C" w:rsidP="00603355">
            <w:pPr>
              <w:pStyle w:val="TablebodyleftTables"/>
              <w:jc w:val="right"/>
              <w:rPr>
                <w:sz w:val="20"/>
              </w:rPr>
            </w:pPr>
            <w:r>
              <w:rPr>
                <w:sz w:val="20"/>
              </w:rPr>
              <w:t>–</w:t>
            </w:r>
          </w:p>
        </w:tc>
        <w:tc>
          <w:tcPr>
            <w:tcW w:w="1200" w:type="dxa"/>
          </w:tcPr>
          <w:p w14:paraId="4F89A559" w14:textId="77777777" w:rsidR="00B02873" w:rsidRPr="001F5F1C" w:rsidRDefault="00B02873" w:rsidP="00603355">
            <w:pPr>
              <w:pStyle w:val="TablebodyleftTables"/>
              <w:jc w:val="right"/>
              <w:rPr>
                <w:sz w:val="20"/>
              </w:rPr>
            </w:pPr>
            <w:r w:rsidRPr="001F5F1C">
              <w:rPr>
                <w:sz w:val="20"/>
              </w:rPr>
              <w:t>2,650,795</w:t>
            </w:r>
          </w:p>
        </w:tc>
        <w:tc>
          <w:tcPr>
            <w:tcW w:w="1200" w:type="dxa"/>
          </w:tcPr>
          <w:p w14:paraId="6E992F54" w14:textId="10A326B7" w:rsidR="00B02873" w:rsidRPr="001F5F1C" w:rsidRDefault="001F5F1C" w:rsidP="00603355">
            <w:pPr>
              <w:pStyle w:val="TablebodyleftTables"/>
              <w:jc w:val="right"/>
              <w:rPr>
                <w:sz w:val="20"/>
              </w:rPr>
            </w:pPr>
            <w:r>
              <w:rPr>
                <w:sz w:val="20"/>
              </w:rPr>
              <w:t>–</w:t>
            </w:r>
          </w:p>
        </w:tc>
        <w:tc>
          <w:tcPr>
            <w:tcW w:w="1012" w:type="dxa"/>
          </w:tcPr>
          <w:p w14:paraId="05B9AE38" w14:textId="77777777" w:rsidR="00B02873" w:rsidRPr="001F5F1C" w:rsidRDefault="00B02873" w:rsidP="001F5F1C">
            <w:pPr>
              <w:pStyle w:val="TablebodyleftTables"/>
              <w:rPr>
                <w:sz w:val="20"/>
              </w:rPr>
            </w:pPr>
            <w:r w:rsidRPr="001F5F1C">
              <w:rPr>
                <w:sz w:val="20"/>
              </w:rPr>
              <w:t>Complete</w:t>
            </w:r>
          </w:p>
        </w:tc>
      </w:tr>
      <w:tr w:rsidR="00B02873" w:rsidRPr="007B509E" w14:paraId="6AA9CC3C" w14:textId="77777777" w:rsidTr="001F5F1C">
        <w:trPr>
          <w:trHeight w:val="60"/>
        </w:trPr>
        <w:tc>
          <w:tcPr>
            <w:tcW w:w="964" w:type="dxa"/>
          </w:tcPr>
          <w:p w14:paraId="77B357A6" w14:textId="77777777" w:rsidR="00B02873" w:rsidRPr="007B509E" w:rsidRDefault="00B02873" w:rsidP="001F5F1C">
            <w:pPr>
              <w:pStyle w:val="TablebodyleftTables"/>
              <w:rPr>
                <w:b/>
                <w:bCs/>
                <w:sz w:val="20"/>
              </w:rPr>
            </w:pPr>
            <w:r w:rsidRPr="007B509E">
              <w:rPr>
                <w:b/>
                <w:bCs/>
                <w:sz w:val="20"/>
              </w:rPr>
              <w:t>Total</w:t>
            </w:r>
          </w:p>
        </w:tc>
        <w:tc>
          <w:tcPr>
            <w:tcW w:w="1725" w:type="dxa"/>
          </w:tcPr>
          <w:p w14:paraId="36368240" w14:textId="77777777" w:rsidR="00B02873" w:rsidRPr="007B509E" w:rsidRDefault="00B02873" w:rsidP="001F5F1C">
            <w:pPr>
              <w:pStyle w:val="TablebodyleftTables"/>
              <w:rPr>
                <w:rFonts w:cs="Times New Roman"/>
                <w:b/>
                <w:bCs/>
                <w:sz w:val="20"/>
              </w:rPr>
            </w:pPr>
          </w:p>
        </w:tc>
        <w:tc>
          <w:tcPr>
            <w:tcW w:w="1243" w:type="dxa"/>
          </w:tcPr>
          <w:p w14:paraId="642FB055" w14:textId="77777777" w:rsidR="00B02873" w:rsidRPr="007B509E" w:rsidRDefault="00B02873" w:rsidP="001F5F1C">
            <w:pPr>
              <w:pStyle w:val="TablebodyleftTables"/>
              <w:rPr>
                <w:rFonts w:cs="Times New Roman"/>
                <w:b/>
                <w:bCs/>
                <w:sz w:val="20"/>
              </w:rPr>
            </w:pPr>
          </w:p>
        </w:tc>
        <w:tc>
          <w:tcPr>
            <w:tcW w:w="1200" w:type="dxa"/>
          </w:tcPr>
          <w:p w14:paraId="148C99FA" w14:textId="77777777" w:rsidR="00B02873" w:rsidRPr="007B509E" w:rsidRDefault="00B02873" w:rsidP="00603355">
            <w:pPr>
              <w:pStyle w:val="TablebodyleftTables"/>
              <w:jc w:val="right"/>
              <w:rPr>
                <w:b/>
                <w:bCs/>
                <w:sz w:val="20"/>
              </w:rPr>
            </w:pPr>
            <w:r w:rsidRPr="007B509E">
              <w:rPr>
                <w:b/>
                <w:bCs/>
                <w:sz w:val="20"/>
              </w:rPr>
              <w:t>27,700,000</w:t>
            </w:r>
          </w:p>
        </w:tc>
        <w:tc>
          <w:tcPr>
            <w:tcW w:w="1200" w:type="dxa"/>
          </w:tcPr>
          <w:p w14:paraId="70FBD147" w14:textId="77777777" w:rsidR="00B02873" w:rsidRPr="007B509E" w:rsidRDefault="00B02873" w:rsidP="00603355">
            <w:pPr>
              <w:pStyle w:val="TablebodyleftTables"/>
              <w:jc w:val="right"/>
              <w:rPr>
                <w:b/>
                <w:bCs/>
                <w:sz w:val="20"/>
              </w:rPr>
            </w:pPr>
            <w:r w:rsidRPr="007B509E">
              <w:rPr>
                <w:b/>
                <w:bCs/>
                <w:sz w:val="20"/>
              </w:rPr>
              <w:t>14,360,000</w:t>
            </w:r>
          </w:p>
        </w:tc>
        <w:tc>
          <w:tcPr>
            <w:tcW w:w="1200" w:type="dxa"/>
          </w:tcPr>
          <w:p w14:paraId="0798793F" w14:textId="77777777" w:rsidR="00B02873" w:rsidRPr="007B509E" w:rsidRDefault="00B02873" w:rsidP="00603355">
            <w:pPr>
              <w:pStyle w:val="TablebodyleftTables"/>
              <w:jc w:val="right"/>
              <w:rPr>
                <w:b/>
                <w:bCs/>
                <w:sz w:val="20"/>
              </w:rPr>
            </w:pPr>
            <w:r w:rsidRPr="007B509E">
              <w:rPr>
                <w:b/>
                <w:bCs/>
                <w:sz w:val="20"/>
              </w:rPr>
              <w:t>11,950,795</w:t>
            </w:r>
          </w:p>
        </w:tc>
        <w:tc>
          <w:tcPr>
            <w:tcW w:w="1200" w:type="dxa"/>
          </w:tcPr>
          <w:p w14:paraId="7F702173" w14:textId="77777777" w:rsidR="00B02873" w:rsidRPr="007B509E" w:rsidRDefault="00B02873" w:rsidP="00603355">
            <w:pPr>
              <w:pStyle w:val="TablebodyleftTables"/>
              <w:jc w:val="right"/>
              <w:rPr>
                <w:b/>
                <w:bCs/>
                <w:sz w:val="20"/>
              </w:rPr>
            </w:pPr>
            <w:r w:rsidRPr="007B509E">
              <w:rPr>
                <w:b/>
                <w:bCs/>
                <w:sz w:val="20"/>
              </w:rPr>
              <w:t>840,000</w:t>
            </w:r>
          </w:p>
        </w:tc>
        <w:tc>
          <w:tcPr>
            <w:tcW w:w="1012" w:type="dxa"/>
          </w:tcPr>
          <w:p w14:paraId="0BC0487E" w14:textId="77777777" w:rsidR="00B02873" w:rsidRPr="007B509E" w:rsidRDefault="00B02873" w:rsidP="001F5F1C">
            <w:pPr>
              <w:pStyle w:val="TablebodyleftTables"/>
              <w:rPr>
                <w:rFonts w:cs="Times New Roman"/>
                <w:b/>
                <w:bCs/>
                <w:sz w:val="20"/>
              </w:rPr>
            </w:pPr>
          </w:p>
        </w:tc>
      </w:tr>
    </w:tbl>
    <w:p w14:paraId="0F0CF80F" w14:textId="77777777" w:rsidR="00B02873" w:rsidRDefault="00B02873" w:rsidP="00FE198A"/>
    <w:p w14:paraId="7F951E41" w14:textId="77777777" w:rsidR="00B02873" w:rsidRDefault="00B02873" w:rsidP="001F5F1C">
      <w:pPr>
        <w:pStyle w:val="TabletitleTables"/>
      </w:pPr>
      <w:r>
        <w:t>Table 19: GAPTF-funded projects in Whittlesea</w:t>
      </w:r>
    </w:p>
    <w:tbl>
      <w:tblPr>
        <w:tblStyle w:val="TableGrid"/>
        <w:tblW w:w="9744" w:type="dxa"/>
        <w:tblLayout w:type="fixed"/>
        <w:tblLook w:val="0020" w:firstRow="1" w:lastRow="0" w:firstColumn="0" w:lastColumn="0" w:noHBand="0" w:noVBand="0"/>
      </w:tblPr>
      <w:tblGrid>
        <w:gridCol w:w="964"/>
        <w:gridCol w:w="1725"/>
        <w:gridCol w:w="1243"/>
        <w:gridCol w:w="1200"/>
        <w:gridCol w:w="1200"/>
        <w:gridCol w:w="1200"/>
        <w:gridCol w:w="1200"/>
        <w:gridCol w:w="1012"/>
      </w:tblGrid>
      <w:tr w:rsidR="00B02873" w:rsidRPr="001F5F1C" w14:paraId="1080052B" w14:textId="77777777" w:rsidTr="001F5F1C">
        <w:trPr>
          <w:cnfStyle w:val="100000000000" w:firstRow="1" w:lastRow="0" w:firstColumn="0" w:lastColumn="0" w:oddVBand="0" w:evenVBand="0" w:oddHBand="0" w:evenHBand="0" w:firstRowFirstColumn="0" w:firstRowLastColumn="0" w:lastRowFirstColumn="0" w:lastRowLastColumn="0"/>
          <w:trHeight w:val="60"/>
          <w:tblHeader/>
        </w:trPr>
        <w:tc>
          <w:tcPr>
            <w:tcW w:w="964" w:type="dxa"/>
          </w:tcPr>
          <w:p w14:paraId="16B69668" w14:textId="77777777" w:rsidR="00B02873" w:rsidRPr="001F5F1C" w:rsidRDefault="00B02873" w:rsidP="001F5F1C">
            <w:pPr>
              <w:pStyle w:val="TableheadingleftTables"/>
              <w:rPr>
                <w:sz w:val="18"/>
                <w:szCs w:val="14"/>
              </w:rPr>
            </w:pPr>
            <w:r w:rsidRPr="001F5F1C">
              <w:rPr>
                <w:sz w:val="18"/>
                <w:szCs w:val="14"/>
              </w:rPr>
              <w:t>Agency</w:t>
            </w:r>
          </w:p>
        </w:tc>
        <w:tc>
          <w:tcPr>
            <w:tcW w:w="1725" w:type="dxa"/>
          </w:tcPr>
          <w:p w14:paraId="75B4D1BE" w14:textId="77777777" w:rsidR="00B02873" w:rsidRPr="001F5F1C" w:rsidRDefault="00B02873" w:rsidP="001F5F1C">
            <w:pPr>
              <w:pStyle w:val="TableheadingleftTables"/>
              <w:rPr>
                <w:sz w:val="18"/>
                <w:szCs w:val="14"/>
              </w:rPr>
            </w:pPr>
            <w:r w:rsidRPr="001F5F1C">
              <w:rPr>
                <w:sz w:val="18"/>
                <w:szCs w:val="14"/>
              </w:rPr>
              <w:t>Purpose</w:t>
            </w:r>
          </w:p>
        </w:tc>
        <w:tc>
          <w:tcPr>
            <w:tcW w:w="1243" w:type="dxa"/>
          </w:tcPr>
          <w:p w14:paraId="34DF6E8B" w14:textId="77777777" w:rsidR="00B02873" w:rsidRPr="001F5F1C" w:rsidRDefault="00B02873" w:rsidP="001F5F1C">
            <w:pPr>
              <w:pStyle w:val="TableheadingleftTables"/>
              <w:rPr>
                <w:sz w:val="18"/>
                <w:szCs w:val="14"/>
              </w:rPr>
            </w:pPr>
            <w:r w:rsidRPr="001F5F1C">
              <w:rPr>
                <w:sz w:val="18"/>
                <w:szCs w:val="14"/>
              </w:rPr>
              <w:t>Year Announced</w:t>
            </w:r>
          </w:p>
        </w:tc>
        <w:tc>
          <w:tcPr>
            <w:tcW w:w="1200" w:type="dxa"/>
          </w:tcPr>
          <w:p w14:paraId="7AA0A289" w14:textId="77777777" w:rsidR="00B02873" w:rsidRPr="001F5F1C" w:rsidRDefault="00B02873" w:rsidP="00603355">
            <w:pPr>
              <w:pStyle w:val="TableheadingleftTables"/>
              <w:jc w:val="right"/>
              <w:rPr>
                <w:sz w:val="18"/>
                <w:szCs w:val="14"/>
              </w:rPr>
            </w:pPr>
            <w:r w:rsidRPr="001F5F1C">
              <w:rPr>
                <w:sz w:val="18"/>
                <w:szCs w:val="14"/>
              </w:rPr>
              <w:t>Allocated</w:t>
            </w:r>
          </w:p>
        </w:tc>
        <w:tc>
          <w:tcPr>
            <w:tcW w:w="1200" w:type="dxa"/>
          </w:tcPr>
          <w:p w14:paraId="7F884C04" w14:textId="77777777" w:rsidR="00B02873" w:rsidRPr="001F5F1C" w:rsidRDefault="00B02873" w:rsidP="00603355">
            <w:pPr>
              <w:pStyle w:val="TableheadingleftTables"/>
              <w:jc w:val="right"/>
              <w:rPr>
                <w:sz w:val="18"/>
                <w:szCs w:val="14"/>
              </w:rPr>
            </w:pPr>
            <w:r w:rsidRPr="001F5F1C">
              <w:rPr>
                <w:sz w:val="18"/>
                <w:szCs w:val="14"/>
              </w:rPr>
              <w:t>Amount paid to 30 June 2021</w:t>
            </w:r>
          </w:p>
        </w:tc>
        <w:tc>
          <w:tcPr>
            <w:tcW w:w="1200" w:type="dxa"/>
          </w:tcPr>
          <w:p w14:paraId="2AD9252C" w14:textId="77777777" w:rsidR="00B02873" w:rsidRPr="001F5F1C" w:rsidRDefault="00B02873" w:rsidP="00603355">
            <w:pPr>
              <w:pStyle w:val="TableheadingleftTables"/>
              <w:jc w:val="right"/>
              <w:rPr>
                <w:sz w:val="18"/>
                <w:szCs w:val="14"/>
              </w:rPr>
            </w:pPr>
            <w:r w:rsidRPr="001F5F1C">
              <w:rPr>
                <w:sz w:val="18"/>
                <w:szCs w:val="14"/>
              </w:rPr>
              <w:t>Amount paid in 2021-22</w:t>
            </w:r>
          </w:p>
        </w:tc>
        <w:tc>
          <w:tcPr>
            <w:tcW w:w="1200" w:type="dxa"/>
          </w:tcPr>
          <w:p w14:paraId="6773DC3A" w14:textId="77777777" w:rsidR="00B02873" w:rsidRPr="001F5F1C" w:rsidRDefault="00B02873" w:rsidP="00603355">
            <w:pPr>
              <w:pStyle w:val="TableheadingleftTables"/>
              <w:jc w:val="right"/>
              <w:rPr>
                <w:sz w:val="18"/>
                <w:szCs w:val="14"/>
              </w:rPr>
            </w:pPr>
            <w:r w:rsidRPr="001F5F1C">
              <w:rPr>
                <w:sz w:val="18"/>
                <w:szCs w:val="14"/>
              </w:rPr>
              <w:t>Amount yet to be paid</w:t>
            </w:r>
          </w:p>
        </w:tc>
        <w:tc>
          <w:tcPr>
            <w:tcW w:w="1012" w:type="dxa"/>
          </w:tcPr>
          <w:p w14:paraId="62D495B4" w14:textId="77777777" w:rsidR="00B02873" w:rsidRPr="001F5F1C" w:rsidRDefault="00B02873" w:rsidP="001F5F1C">
            <w:pPr>
              <w:pStyle w:val="TableheadingleftTables"/>
              <w:rPr>
                <w:sz w:val="18"/>
                <w:szCs w:val="14"/>
              </w:rPr>
            </w:pPr>
            <w:r w:rsidRPr="001F5F1C">
              <w:rPr>
                <w:sz w:val="18"/>
                <w:szCs w:val="14"/>
              </w:rPr>
              <w:t>Status</w:t>
            </w:r>
          </w:p>
        </w:tc>
      </w:tr>
      <w:tr w:rsidR="00B02873" w:rsidRPr="001F5F1C" w14:paraId="3DF4E2E4" w14:textId="77777777" w:rsidTr="001F5F1C">
        <w:trPr>
          <w:trHeight w:val="60"/>
        </w:trPr>
        <w:tc>
          <w:tcPr>
            <w:tcW w:w="964" w:type="dxa"/>
          </w:tcPr>
          <w:p w14:paraId="1A52EFE1" w14:textId="77777777" w:rsidR="00B02873" w:rsidRPr="001F5F1C" w:rsidRDefault="00B02873" w:rsidP="001F5F1C">
            <w:pPr>
              <w:pStyle w:val="TablebodyleftTables"/>
              <w:rPr>
                <w:sz w:val="18"/>
                <w:szCs w:val="14"/>
              </w:rPr>
            </w:pPr>
            <w:r w:rsidRPr="001F5F1C">
              <w:rPr>
                <w:sz w:val="18"/>
                <w:szCs w:val="14"/>
              </w:rPr>
              <w:t>DoT</w:t>
            </w:r>
          </w:p>
        </w:tc>
        <w:tc>
          <w:tcPr>
            <w:tcW w:w="1725" w:type="dxa"/>
          </w:tcPr>
          <w:p w14:paraId="7AC9597C" w14:textId="77777777" w:rsidR="00B02873" w:rsidRPr="001F5F1C" w:rsidRDefault="00B02873" w:rsidP="001F5F1C">
            <w:pPr>
              <w:pStyle w:val="TablebodyleftTables"/>
              <w:rPr>
                <w:sz w:val="18"/>
                <w:szCs w:val="14"/>
              </w:rPr>
            </w:pPr>
            <w:r w:rsidRPr="001F5F1C">
              <w:rPr>
                <w:sz w:val="18"/>
                <w:szCs w:val="14"/>
              </w:rPr>
              <w:t>Wollert Rail Corridor</w:t>
            </w:r>
          </w:p>
        </w:tc>
        <w:tc>
          <w:tcPr>
            <w:tcW w:w="1243" w:type="dxa"/>
          </w:tcPr>
          <w:p w14:paraId="197AE695" w14:textId="77777777" w:rsidR="00B02873" w:rsidRPr="001F5F1C" w:rsidRDefault="00B02873" w:rsidP="001F5F1C">
            <w:pPr>
              <w:pStyle w:val="TablebodyleftTables"/>
              <w:rPr>
                <w:sz w:val="18"/>
                <w:szCs w:val="14"/>
              </w:rPr>
            </w:pPr>
            <w:r w:rsidRPr="001F5F1C">
              <w:rPr>
                <w:sz w:val="18"/>
                <w:szCs w:val="14"/>
              </w:rPr>
              <w:t>2017-18</w:t>
            </w:r>
          </w:p>
        </w:tc>
        <w:tc>
          <w:tcPr>
            <w:tcW w:w="1200" w:type="dxa"/>
          </w:tcPr>
          <w:p w14:paraId="1AEC9169" w14:textId="77777777" w:rsidR="00B02873" w:rsidRPr="001F5F1C" w:rsidRDefault="00B02873" w:rsidP="00603355">
            <w:pPr>
              <w:pStyle w:val="TablebodyleftTables"/>
              <w:jc w:val="right"/>
              <w:rPr>
                <w:sz w:val="18"/>
                <w:szCs w:val="14"/>
              </w:rPr>
            </w:pPr>
            <w:r w:rsidRPr="001F5F1C">
              <w:rPr>
                <w:sz w:val="18"/>
                <w:szCs w:val="14"/>
              </w:rPr>
              <w:t>3,800,000</w:t>
            </w:r>
          </w:p>
        </w:tc>
        <w:tc>
          <w:tcPr>
            <w:tcW w:w="1200" w:type="dxa"/>
          </w:tcPr>
          <w:p w14:paraId="0093343A" w14:textId="77777777" w:rsidR="00B02873" w:rsidRPr="001F5F1C" w:rsidRDefault="00B02873" w:rsidP="00603355">
            <w:pPr>
              <w:pStyle w:val="TablebodyleftTables"/>
              <w:jc w:val="right"/>
              <w:rPr>
                <w:sz w:val="18"/>
                <w:szCs w:val="14"/>
              </w:rPr>
            </w:pPr>
            <w:r w:rsidRPr="001F5F1C">
              <w:rPr>
                <w:sz w:val="18"/>
                <w:szCs w:val="14"/>
              </w:rPr>
              <w:t>3,800,000</w:t>
            </w:r>
          </w:p>
        </w:tc>
        <w:tc>
          <w:tcPr>
            <w:tcW w:w="1200" w:type="dxa"/>
          </w:tcPr>
          <w:p w14:paraId="2A4748B3" w14:textId="1EFDCBFC" w:rsidR="00B02873" w:rsidRPr="001F5F1C" w:rsidRDefault="001F5F1C" w:rsidP="00603355">
            <w:pPr>
              <w:pStyle w:val="TablebodyleftTables"/>
              <w:jc w:val="right"/>
              <w:rPr>
                <w:sz w:val="18"/>
                <w:szCs w:val="14"/>
              </w:rPr>
            </w:pPr>
            <w:r>
              <w:rPr>
                <w:sz w:val="18"/>
                <w:szCs w:val="14"/>
              </w:rPr>
              <w:t>–</w:t>
            </w:r>
          </w:p>
        </w:tc>
        <w:tc>
          <w:tcPr>
            <w:tcW w:w="1200" w:type="dxa"/>
          </w:tcPr>
          <w:p w14:paraId="0BBCB447" w14:textId="4ADF8B19" w:rsidR="00B02873" w:rsidRPr="001F5F1C" w:rsidRDefault="001F5F1C" w:rsidP="00603355">
            <w:pPr>
              <w:pStyle w:val="TablebodyleftTables"/>
              <w:jc w:val="right"/>
              <w:rPr>
                <w:sz w:val="18"/>
                <w:szCs w:val="14"/>
              </w:rPr>
            </w:pPr>
            <w:r>
              <w:rPr>
                <w:sz w:val="18"/>
                <w:szCs w:val="14"/>
              </w:rPr>
              <w:t>–</w:t>
            </w:r>
          </w:p>
        </w:tc>
        <w:tc>
          <w:tcPr>
            <w:tcW w:w="1012" w:type="dxa"/>
          </w:tcPr>
          <w:p w14:paraId="615CBE14" w14:textId="77777777" w:rsidR="00B02873" w:rsidRPr="001F5F1C" w:rsidRDefault="00B02873" w:rsidP="001F5F1C">
            <w:pPr>
              <w:pStyle w:val="TablebodyleftTables"/>
              <w:rPr>
                <w:sz w:val="18"/>
                <w:szCs w:val="14"/>
              </w:rPr>
            </w:pPr>
            <w:r w:rsidRPr="001F5F1C">
              <w:rPr>
                <w:sz w:val="18"/>
                <w:szCs w:val="14"/>
              </w:rPr>
              <w:t>Active</w:t>
            </w:r>
          </w:p>
        </w:tc>
      </w:tr>
      <w:tr w:rsidR="00B02873" w:rsidRPr="001F5F1C" w14:paraId="3D69BB5E" w14:textId="77777777" w:rsidTr="001F5F1C">
        <w:trPr>
          <w:trHeight w:val="60"/>
        </w:trPr>
        <w:tc>
          <w:tcPr>
            <w:tcW w:w="964" w:type="dxa"/>
          </w:tcPr>
          <w:p w14:paraId="76B109E9" w14:textId="77777777" w:rsidR="00B02873" w:rsidRPr="001F5F1C" w:rsidRDefault="00B02873" w:rsidP="001F5F1C">
            <w:pPr>
              <w:pStyle w:val="TablebodyleftTables"/>
              <w:rPr>
                <w:sz w:val="18"/>
                <w:szCs w:val="14"/>
              </w:rPr>
            </w:pPr>
            <w:r w:rsidRPr="001F5F1C">
              <w:rPr>
                <w:sz w:val="18"/>
                <w:szCs w:val="14"/>
              </w:rPr>
              <w:t>DoT</w:t>
            </w:r>
          </w:p>
        </w:tc>
        <w:tc>
          <w:tcPr>
            <w:tcW w:w="1725" w:type="dxa"/>
          </w:tcPr>
          <w:p w14:paraId="00D61B9F" w14:textId="77777777" w:rsidR="00B02873" w:rsidRPr="001F5F1C" w:rsidRDefault="00B02873" w:rsidP="001F5F1C">
            <w:pPr>
              <w:pStyle w:val="TablebodyleftTables"/>
              <w:rPr>
                <w:sz w:val="18"/>
                <w:szCs w:val="14"/>
              </w:rPr>
            </w:pPr>
            <w:r w:rsidRPr="001F5F1C">
              <w:rPr>
                <w:sz w:val="18"/>
                <w:szCs w:val="14"/>
              </w:rPr>
              <w:t>Parking and amenity improvements – Epping Station</w:t>
            </w:r>
          </w:p>
        </w:tc>
        <w:tc>
          <w:tcPr>
            <w:tcW w:w="1243" w:type="dxa"/>
          </w:tcPr>
          <w:p w14:paraId="30EE4C7F" w14:textId="77777777" w:rsidR="00B02873" w:rsidRPr="001F5F1C" w:rsidRDefault="00B02873" w:rsidP="001F5F1C">
            <w:pPr>
              <w:pStyle w:val="TablebodyleftTables"/>
              <w:rPr>
                <w:sz w:val="18"/>
                <w:szCs w:val="14"/>
              </w:rPr>
            </w:pPr>
            <w:r w:rsidRPr="001F5F1C">
              <w:rPr>
                <w:sz w:val="18"/>
                <w:szCs w:val="14"/>
              </w:rPr>
              <w:t>2018-19 State Budget</w:t>
            </w:r>
          </w:p>
        </w:tc>
        <w:tc>
          <w:tcPr>
            <w:tcW w:w="1200" w:type="dxa"/>
          </w:tcPr>
          <w:p w14:paraId="40F984A5" w14:textId="77777777" w:rsidR="00B02873" w:rsidRPr="001F5F1C" w:rsidRDefault="00B02873" w:rsidP="00603355">
            <w:pPr>
              <w:pStyle w:val="TablebodyleftTables"/>
              <w:jc w:val="right"/>
              <w:rPr>
                <w:sz w:val="18"/>
                <w:szCs w:val="14"/>
              </w:rPr>
            </w:pPr>
            <w:r w:rsidRPr="001F5F1C">
              <w:rPr>
                <w:sz w:val="18"/>
                <w:szCs w:val="14"/>
              </w:rPr>
              <w:t>1,900,000</w:t>
            </w:r>
          </w:p>
        </w:tc>
        <w:tc>
          <w:tcPr>
            <w:tcW w:w="1200" w:type="dxa"/>
          </w:tcPr>
          <w:p w14:paraId="3F62917C" w14:textId="77777777" w:rsidR="00B02873" w:rsidRPr="001F5F1C" w:rsidRDefault="00B02873" w:rsidP="00603355">
            <w:pPr>
              <w:pStyle w:val="TablebodyleftTables"/>
              <w:jc w:val="right"/>
              <w:rPr>
                <w:sz w:val="18"/>
                <w:szCs w:val="14"/>
              </w:rPr>
            </w:pPr>
            <w:r w:rsidRPr="001F5F1C">
              <w:rPr>
                <w:sz w:val="18"/>
                <w:szCs w:val="14"/>
              </w:rPr>
              <w:t>1,900,000</w:t>
            </w:r>
          </w:p>
        </w:tc>
        <w:tc>
          <w:tcPr>
            <w:tcW w:w="1200" w:type="dxa"/>
          </w:tcPr>
          <w:p w14:paraId="4374149E" w14:textId="459B916B" w:rsidR="00B02873" w:rsidRPr="001F5F1C" w:rsidRDefault="001F5F1C" w:rsidP="00603355">
            <w:pPr>
              <w:pStyle w:val="TablebodyleftTables"/>
              <w:jc w:val="right"/>
              <w:rPr>
                <w:sz w:val="18"/>
                <w:szCs w:val="14"/>
              </w:rPr>
            </w:pPr>
            <w:r>
              <w:rPr>
                <w:sz w:val="18"/>
                <w:szCs w:val="14"/>
              </w:rPr>
              <w:t>–</w:t>
            </w:r>
          </w:p>
        </w:tc>
        <w:tc>
          <w:tcPr>
            <w:tcW w:w="1200" w:type="dxa"/>
          </w:tcPr>
          <w:p w14:paraId="5747D1AE" w14:textId="3CDA881F" w:rsidR="00B02873" w:rsidRPr="001F5F1C" w:rsidRDefault="001F5F1C" w:rsidP="00603355">
            <w:pPr>
              <w:pStyle w:val="TablebodyleftTables"/>
              <w:jc w:val="right"/>
              <w:rPr>
                <w:sz w:val="18"/>
                <w:szCs w:val="14"/>
              </w:rPr>
            </w:pPr>
            <w:r>
              <w:rPr>
                <w:sz w:val="18"/>
                <w:szCs w:val="14"/>
              </w:rPr>
              <w:t>–</w:t>
            </w:r>
          </w:p>
        </w:tc>
        <w:tc>
          <w:tcPr>
            <w:tcW w:w="1012" w:type="dxa"/>
          </w:tcPr>
          <w:p w14:paraId="7943E9B5" w14:textId="77777777" w:rsidR="00B02873" w:rsidRPr="001F5F1C" w:rsidRDefault="00B02873" w:rsidP="001F5F1C">
            <w:pPr>
              <w:pStyle w:val="TablebodyleftTables"/>
              <w:rPr>
                <w:sz w:val="18"/>
                <w:szCs w:val="14"/>
              </w:rPr>
            </w:pPr>
            <w:r w:rsidRPr="001F5F1C">
              <w:rPr>
                <w:sz w:val="18"/>
                <w:szCs w:val="14"/>
              </w:rPr>
              <w:t>Complete</w:t>
            </w:r>
          </w:p>
        </w:tc>
      </w:tr>
      <w:tr w:rsidR="00B02873" w:rsidRPr="001F5F1C" w14:paraId="5D72A140" w14:textId="77777777" w:rsidTr="001F5F1C">
        <w:trPr>
          <w:trHeight w:val="60"/>
        </w:trPr>
        <w:tc>
          <w:tcPr>
            <w:tcW w:w="964" w:type="dxa"/>
          </w:tcPr>
          <w:p w14:paraId="1C45CD4F" w14:textId="77777777" w:rsidR="00B02873" w:rsidRPr="001F5F1C" w:rsidRDefault="00B02873" w:rsidP="001F5F1C">
            <w:pPr>
              <w:pStyle w:val="TablebodyleftTables"/>
              <w:rPr>
                <w:sz w:val="18"/>
                <w:szCs w:val="14"/>
              </w:rPr>
            </w:pPr>
            <w:r w:rsidRPr="001F5F1C">
              <w:rPr>
                <w:sz w:val="18"/>
                <w:szCs w:val="14"/>
              </w:rPr>
              <w:t>DoT</w:t>
            </w:r>
          </w:p>
        </w:tc>
        <w:tc>
          <w:tcPr>
            <w:tcW w:w="1725" w:type="dxa"/>
          </w:tcPr>
          <w:p w14:paraId="3CE2001A" w14:textId="77777777" w:rsidR="00B02873" w:rsidRPr="001F5F1C" w:rsidRDefault="00B02873" w:rsidP="001F5F1C">
            <w:pPr>
              <w:pStyle w:val="TablebodyleftTables"/>
              <w:rPr>
                <w:sz w:val="18"/>
                <w:szCs w:val="14"/>
              </w:rPr>
            </w:pPr>
            <w:r w:rsidRPr="001F5F1C">
              <w:rPr>
                <w:sz w:val="18"/>
                <w:szCs w:val="14"/>
              </w:rPr>
              <w:t>Donnybrook Station Car Park</w:t>
            </w:r>
          </w:p>
        </w:tc>
        <w:tc>
          <w:tcPr>
            <w:tcW w:w="1243" w:type="dxa"/>
          </w:tcPr>
          <w:p w14:paraId="452ACC52" w14:textId="77777777" w:rsidR="00B02873" w:rsidRPr="001F5F1C" w:rsidRDefault="00B02873" w:rsidP="001F5F1C">
            <w:pPr>
              <w:pStyle w:val="TablebodyleftTables"/>
              <w:rPr>
                <w:sz w:val="18"/>
                <w:szCs w:val="14"/>
              </w:rPr>
            </w:pPr>
            <w:r w:rsidRPr="001F5F1C">
              <w:rPr>
                <w:sz w:val="18"/>
                <w:szCs w:val="14"/>
              </w:rPr>
              <w:t>2019-20</w:t>
            </w:r>
          </w:p>
        </w:tc>
        <w:tc>
          <w:tcPr>
            <w:tcW w:w="1200" w:type="dxa"/>
          </w:tcPr>
          <w:p w14:paraId="15ED4EB1" w14:textId="77777777" w:rsidR="00B02873" w:rsidRPr="001F5F1C" w:rsidRDefault="00B02873" w:rsidP="00603355">
            <w:pPr>
              <w:pStyle w:val="TablebodyleftTables"/>
              <w:jc w:val="right"/>
              <w:rPr>
                <w:sz w:val="18"/>
                <w:szCs w:val="14"/>
              </w:rPr>
            </w:pPr>
            <w:r w:rsidRPr="001F5F1C">
              <w:rPr>
                <w:sz w:val="18"/>
                <w:szCs w:val="14"/>
              </w:rPr>
              <w:t>7,790,000</w:t>
            </w:r>
          </w:p>
        </w:tc>
        <w:tc>
          <w:tcPr>
            <w:tcW w:w="1200" w:type="dxa"/>
          </w:tcPr>
          <w:p w14:paraId="4BF09B2A" w14:textId="77777777" w:rsidR="00B02873" w:rsidRPr="001F5F1C" w:rsidRDefault="00B02873" w:rsidP="00603355">
            <w:pPr>
              <w:pStyle w:val="TablebodyleftTables"/>
              <w:jc w:val="right"/>
              <w:rPr>
                <w:sz w:val="18"/>
                <w:szCs w:val="14"/>
              </w:rPr>
            </w:pPr>
            <w:r w:rsidRPr="001F5F1C">
              <w:rPr>
                <w:sz w:val="18"/>
                <w:szCs w:val="14"/>
              </w:rPr>
              <w:t>7,790,000</w:t>
            </w:r>
          </w:p>
        </w:tc>
        <w:tc>
          <w:tcPr>
            <w:tcW w:w="1200" w:type="dxa"/>
          </w:tcPr>
          <w:p w14:paraId="687D834E" w14:textId="566AEE41" w:rsidR="00B02873" w:rsidRPr="001F5F1C" w:rsidRDefault="001F5F1C" w:rsidP="00603355">
            <w:pPr>
              <w:pStyle w:val="TablebodyleftTables"/>
              <w:jc w:val="right"/>
              <w:rPr>
                <w:sz w:val="18"/>
                <w:szCs w:val="14"/>
              </w:rPr>
            </w:pPr>
            <w:r>
              <w:rPr>
                <w:sz w:val="18"/>
                <w:szCs w:val="14"/>
              </w:rPr>
              <w:t>–</w:t>
            </w:r>
          </w:p>
        </w:tc>
        <w:tc>
          <w:tcPr>
            <w:tcW w:w="1200" w:type="dxa"/>
          </w:tcPr>
          <w:p w14:paraId="32233A80" w14:textId="755A1BF8" w:rsidR="00B02873" w:rsidRPr="001F5F1C" w:rsidRDefault="001F5F1C" w:rsidP="00603355">
            <w:pPr>
              <w:pStyle w:val="TablebodyleftTables"/>
              <w:jc w:val="right"/>
              <w:rPr>
                <w:sz w:val="18"/>
                <w:szCs w:val="14"/>
              </w:rPr>
            </w:pPr>
            <w:r>
              <w:rPr>
                <w:sz w:val="18"/>
                <w:szCs w:val="14"/>
              </w:rPr>
              <w:t>–</w:t>
            </w:r>
          </w:p>
        </w:tc>
        <w:tc>
          <w:tcPr>
            <w:tcW w:w="1012" w:type="dxa"/>
          </w:tcPr>
          <w:p w14:paraId="0C882150" w14:textId="77777777" w:rsidR="00B02873" w:rsidRPr="001F5F1C" w:rsidRDefault="00B02873" w:rsidP="001F5F1C">
            <w:pPr>
              <w:pStyle w:val="TablebodyleftTables"/>
              <w:rPr>
                <w:sz w:val="18"/>
                <w:szCs w:val="14"/>
              </w:rPr>
            </w:pPr>
            <w:r w:rsidRPr="001F5F1C">
              <w:rPr>
                <w:sz w:val="18"/>
                <w:szCs w:val="14"/>
              </w:rPr>
              <w:t>Active</w:t>
            </w:r>
          </w:p>
        </w:tc>
      </w:tr>
      <w:tr w:rsidR="00B02873" w:rsidRPr="001F5F1C" w14:paraId="43C60317" w14:textId="77777777" w:rsidTr="001F5F1C">
        <w:trPr>
          <w:trHeight w:val="60"/>
        </w:trPr>
        <w:tc>
          <w:tcPr>
            <w:tcW w:w="964" w:type="dxa"/>
          </w:tcPr>
          <w:p w14:paraId="11A0EE04" w14:textId="77777777" w:rsidR="00B02873" w:rsidRPr="001F5F1C" w:rsidRDefault="00B02873" w:rsidP="001F5F1C">
            <w:pPr>
              <w:pStyle w:val="TablebodyleftTables"/>
              <w:rPr>
                <w:sz w:val="18"/>
                <w:szCs w:val="14"/>
              </w:rPr>
            </w:pPr>
            <w:r w:rsidRPr="001F5F1C">
              <w:rPr>
                <w:sz w:val="18"/>
                <w:szCs w:val="14"/>
              </w:rPr>
              <w:t>DoT</w:t>
            </w:r>
          </w:p>
        </w:tc>
        <w:tc>
          <w:tcPr>
            <w:tcW w:w="1725" w:type="dxa"/>
          </w:tcPr>
          <w:p w14:paraId="65D7DA28" w14:textId="34A4FE70" w:rsidR="00B02873" w:rsidRPr="001F5F1C" w:rsidRDefault="00B02873" w:rsidP="001F5F1C">
            <w:pPr>
              <w:pStyle w:val="TablebodyleftTables"/>
              <w:rPr>
                <w:sz w:val="18"/>
                <w:szCs w:val="14"/>
              </w:rPr>
            </w:pPr>
            <w:r w:rsidRPr="001F5F1C">
              <w:rPr>
                <w:sz w:val="18"/>
                <w:szCs w:val="14"/>
              </w:rPr>
              <w:t>WIK Supplementary Payment</w:t>
            </w:r>
            <w:r w:rsidR="000C45FC" w:rsidRPr="001F5F1C">
              <w:rPr>
                <w:sz w:val="18"/>
                <w:szCs w:val="14"/>
              </w:rPr>
              <w:t xml:space="preserve"> – </w:t>
            </w:r>
            <w:r w:rsidRPr="001F5F1C">
              <w:rPr>
                <w:sz w:val="18"/>
                <w:szCs w:val="14"/>
              </w:rPr>
              <w:t>Wollert Rail Corridor</w:t>
            </w:r>
          </w:p>
        </w:tc>
        <w:tc>
          <w:tcPr>
            <w:tcW w:w="1243" w:type="dxa"/>
          </w:tcPr>
          <w:p w14:paraId="24D90E0B" w14:textId="77777777" w:rsidR="00B02873" w:rsidRPr="001F5F1C" w:rsidRDefault="00B02873" w:rsidP="001F5F1C">
            <w:pPr>
              <w:pStyle w:val="TablebodyleftTables"/>
              <w:rPr>
                <w:sz w:val="18"/>
                <w:szCs w:val="14"/>
              </w:rPr>
            </w:pPr>
            <w:r w:rsidRPr="001F5F1C">
              <w:rPr>
                <w:sz w:val="18"/>
                <w:szCs w:val="14"/>
              </w:rPr>
              <w:t>2021-22</w:t>
            </w:r>
          </w:p>
        </w:tc>
        <w:tc>
          <w:tcPr>
            <w:tcW w:w="1200" w:type="dxa"/>
          </w:tcPr>
          <w:p w14:paraId="35FC89D9" w14:textId="77777777" w:rsidR="00B02873" w:rsidRPr="001F5F1C" w:rsidRDefault="00B02873" w:rsidP="00603355">
            <w:pPr>
              <w:pStyle w:val="TablebodyleftTables"/>
              <w:jc w:val="right"/>
              <w:rPr>
                <w:sz w:val="18"/>
                <w:szCs w:val="14"/>
              </w:rPr>
            </w:pPr>
            <w:r w:rsidRPr="001F5F1C">
              <w:rPr>
                <w:sz w:val="18"/>
                <w:szCs w:val="14"/>
              </w:rPr>
              <w:t>4,103,085</w:t>
            </w:r>
          </w:p>
        </w:tc>
        <w:tc>
          <w:tcPr>
            <w:tcW w:w="1200" w:type="dxa"/>
          </w:tcPr>
          <w:p w14:paraId="3441191B" w14:textId="080F5A69" w:rsidR="00B02873" w:rsidRPr="001F5F1C" w:rsidRDefault="001F5F1C" w:rsidP="00603355">
            <w:pPr>
              <w:pStyle w:val="TablebodyleftTables"/>
              <w:jc w:val="right"/>
              <w:rPr>
                <w:sz w:val="18"/>
                <w:szCs w:val="14"/>
              </w:rPr>
            </w:pPr>
            <w:r>
              <w:rPr>
                <w:sz w:val="18"/>
                <w:szCs w:val="14"/>
              </w:rPr>
              <w:t>–</w:t>
            </w:r>
          </w:p>
        </w:tc>
        <w:tc>
          <w:tcPr>
            <w:tcW w:w="1200" w:type="dxa"/>
          </w:tcPr>
          <w:p w14:paraId="406D0164" w14:textId="77777777" w:rsidR="00B02873" w:rsidRPr="001F5F1C" w:rsidRDefault="00B02873" w:rsidP="00603355">
            <w:pPr>
              <w:pStyle w:val="TablebodyleftTables"/>
              <w:jc w:val="right"/>
              <w:rPr>
                <w:sz w:val="18"/>
                <w:szCs w:val="14"/>
              </w:rPr>
            </w:pPr>
            <w:r w:rsidRPr="001F5F1C">
              <w:rPr>
                <w:sz w:val="18"/>
                <w:szCs w:val="14"/>
              </w:rPr>
              <w:t>4,103,085</w:t>
            </w:r>
          </w:p>
        </w:tc>
        <w:tc>
          <w:tcPr>
            <w:tcW w:w="1200" w:type="dxa"/>
          </w:tcPr>
          <w:p w14:paraId="30DB3857" w14:textId="7249D3CA" w:rsidR="00B02873" w:rsidRPr="001F5F1C" w:rsidRDefault="001F5F1C" w:rsidP="00603355">
            <w:pPr>
              <w:pStyle w:val="TablebodyleftTables"/>
              <w:jc w:val="right"/>
              <w:rPr>
                <w:sz w:val="18"/>
                <w:szCs w:val="14"/>
              </w:rPr>
            </w:pPr>
            <w:r>
              <w:rPr>
                <w:sz w:val="18"/>
                <w:szCs w:val="14"/>
              </w:rPr>
              <w:t>–</w:t>
            </w:r>
          </w:p>
        </w:tc>
        <w:tc>
          <w:tcPr>
            <w:tcW w:w="1012" w:type="dxa"/>
          </w:tcPr>
          <w:p w14:paraId="650D215E" w14:textId="77777777" w:rsidR="00B02873" w:rsidRPr="001F5F1C" w:rsidRDefault="00B02873" w:rsidP="001F5F1C">
            <w:pPr>
              <w:pStyle w:val="TablebodyleftTables"/>
              <w:rPr>
                <w:sz w:val="18"/>
                <w:szCs w:val="14"/>
              </w:rPr>
            </w:pPr>
            <w:r w:rsidRPr="001F5F1C">
              <w:rPr>
                <w:sz w:val="18"/>
                <w:szCs w:val="14"/>
              </w:rPr>
              <w:t>Complete</w:t>
            </w:r>
          </w:p>
        </w:tc>
      </w:tr>
      <w:tr w:rsidR="00B02873" w:rsidRPr="007B509E" w14:paraId="54819BEA" w14:textId="77777777" w:rsidTr="001F5F1C">
        <w:trPr>
          <w:trHeight w:val="60"/>
        </w:trPr>
        <w:tc>
          <w:tcPr>
            <w:tcW w:w="964" w:type="dxa"/>
          </w:tcPr>
          <w:p w14:paraId="1E71716F" w14:textId="77777777" w:rsidR="00B02873" w:rsidRPr="007B509E" w:rsidRDefault="00B02873" w:rsidP="001F5F1C">
            <w:pPr>
              <w:pStyle w:val="TablebodyleftTables"/>
              <w:rPr>
                <w:b/>
                <w:bCs/>
                <w:sz w:val="18"/>
                <w:szCs w:val="14"/>
              </w:rPr>
            </w:pPr>
            <w:r w:rsidRPr="007B509E">
              <w:rPr>
                <w:b/>
                <w:bCs/>
                <w:sz w:val="18"/>
                <w:szCs w:val="14"/>
              </w:rPr>
              <w:t>Total</w:t>
            </w:r>
          </w:p>
        </w:tc>
        <w:tc>
          <w:tcPr>
            <w:tcW w:w="1725" w:type="dxa"/>
          </w:tcPr>
          <w:p w14:paraId="01196E45" w14:textId="77777777" w:rsidR="00B02873" w:rsidRPr="007B509E" w:rsidRDefault="00B02873" w:rsidP="001F5F1C">
            <w:pPr>
              <w:pStyle w:val="TablebodyleftTables"/>
              <w:rPr>
                <w:rFonts w:cs="Times New Roman"/>
                <w:b/>
                <w:bCs/>
                <w:sz w:val="18"/>
                <w:szCs w:val="14"/>
              </w:rPr>
            </w:pPr>
          </w:p>
        </w:tc>
        <w:tc>
          <w:tcPr>
            <w:tcW w:w="1243" w:type="dxa"/>
          </w:tcPr>
          <w:p w14:paraId="47A7F05C" w14:textId="77777777" w:rsidR="00B02873" w:rsidRPr="007B509E" w:rsidRDefault="00B02873" w:rsidP="001F5F1C">
            <w:pPr>
              <w:pStyle w:val="TablebodyleftTables"/>
              <w:rPr>
                <w:rFonts w:cs="Times New Roman"/>
                <w:b/>
                <w:bCs/>
                <w:sz w:val="18"/>
                <w:szCs w:val="14"/>
              </w:rPr>
            </w:pPr>
          </w:p>
        </w:tc>
        <w:tc>
          <w:tcPr>
            <w:tcW w:w="1200" w:type="dxa"/>
          </w:tcPr>
          <w:p w14:paraId="10BCC21B" w14:textId="77777777" w:rsidR="00B02873" w:rsidRPr="007B509E" w:rsidRDefault="00B02873" w:rsidP="00603355">
            <w:pPr>
              <w:pStyle w:val="TablebodyleftTables"/>
              <w:jc w:val="right"/>
              <w:rPr>
                <w:b/>
                <w:bCs/>
                <w:sz w:val="18"/>
                <w:szCs w:val="14"/>
              </w:rPr>
            </w:pPr>
            <w:r w:rsidRPr="007B509E">
              <w:rPr>
                <w:b/>
                <w:bCs/>
                <w:sz w:val="18"/>
                <w:szCs w:val="14"/>
              </w:rPr>
              <w:t>17,593,085</w:t>
            </w:r>
          </w:p>
        </w:tc>
        <w:tc>
          <w:tcPr>
            <w:tcW w:w="1200" w:type="dxa"/>
          </w:tcPr>
          <w:p w14:paraId="346F4C18" w14:textId="77777777" w:rsidR="00B02873" w:rsidRPr="007B509E" w:rsidRDefault="00B02873" w:rsidP="00603355">
            <w:pPr>
              <w:pStyle w:val="TablebodyleftTables"/>
              <w:jc w:val="right"/>
              <w:rPr>
                <w:b/>
                <w:bCs/>
                <w:sz w:val="18"/>
                <w:szCs w:val="14"/>
              </w:rPr>
            </w:pPr>
            <w:r w:rsidRPr="007B509E">
              <w:rPr>
                <w:b/>
                <w:bCs/>
                <w:sz w:val="18"/>
                <w:szCs w:val="14"/>
              </w:rPr>
              <w:t>13,490,000</w:t>
            </w:r>
          </w:p>
        </w:tc>
        <w:tc>
          <w:tcPr>
            <w:tcW w:w="1200" w:type="dxa"/>
          </w:tcPr>
          <w:p w14:paraId="2CC6F6BB" w14:textId="77777777" w:rsidR="00B02873" w:rsidRPr="007B509E" w:rsidRDefault="00B02873" w:rsidP="00603355">
            <w:pPr>
              <w:pStyle w:val="TablebodyleftTables"/>
              <w:jc w:val="right"/>
              <w:rPr>
                <w:b/>
                <w:bCs/>
                <w:sz w:val="18"/>
                <w:szCs w:val="14"/>
              </w:rPr>
            </w:pPr>
            <w:r w:rsidRPr="007B509E">
              <w:rPr>
                <w:b/>
                <w:bCs/>
                <w:sz w:val="18"/>
                <w:szCs w:val="14"/>
              </w:rPr>
              <w:t>4,103,085</w:t>
            </w:r>
          </w:p>
        </w:tc>
        <w:tc>
          <w:tcPr>
            <w:tcW w:w="1200" w:type="dxa"/>
          </w:tcPr>
          <w:p w14:paraId="67F43EBF" w14:textId="1C95D660" w:rsidR="00B02873" w:rsidRPr="007B509E" w:rsidRDefault="001F5F1C" w:rsidP="00603355">
            <w:pPr>
              <w:pStyle w:val="TablebodyleftTables"/>
              <w:jc w:val="right"/>
              <w:rPr>
                <w:b/>
                <w:bCs/>
                <w:sz w:val="18"/>
                <w:szCs w:val="14"/>
              </w:rPr>
            </w:pPr>
            <w:r w:rsidRPr="007B509E">
              <w:rPr>
                <w:b/>
                <w:bCs/>
                <w:sz w:val="18"/>
                <w:szCs w:val="14"/>
              </w:rPr>
              <w:t>–</w:t>
            </w:r>
          </w:p>
        </w:tc>
        <w:tc>
          <w:tcPr>
            <w:tcW w:w="1012" w:type="dxa"/>
          </w:tcPr>
          <w:p w14:paraId="201804EC" w14:textId="77777777" w:rsidR="00B02873" w:rsidRPr="007B509E" w:rsidRDefault="00B02873" w:rsidP="001F5F1C">
            <w:pPr>
              <w:pStyle w:val="TablebodyleftTables"/>
              <w:rPr>
                <w:rFonts w:cs="Times New Roman"/>
                <w:b/>
                <w:bCs/>
                <w:sz w:val="18"/>
                <w:szCs w:val="14"/>
              </w:rPr>
            </w:pPr>
          </w:p>
        </w:tc>
      </w:tr>
    </w:tbl>
    <w:p w14:paraId="0B47331B" w14:textId="77777777" w:rsidR="00B02873" w:rsidRDefault="00B02873" w:rsidP="00FE198A"/>
    <w:p w14:paraId="679BF317" w14:textId="77777777" w:rsidR="00B02873" w:rsidRDefault="00B02873" w:rsidP="001F5F1C">
      <w:pPr>
        <w:pStyle w:val="Heading4"/>
      </w:pPr>
      <w:r>
        <w:lastRenderedPageBreak/>
        <w:t>Wyndham City Council</w:t>
      </w:r>
    </w:p>
    <w:p w14:paraId="64C9B296" w14:textId="77777777" w:rsidR="00B02873" w:rsidRDefault="00B02873" w:rsidP="001F5F1C">
      <w:pPr>
        <w:pStyle w:val="TabletitleTables"/>
      </w:pPr>
      <w:r>
        <w:t>Table 20: BNCF-funded projects in Wyndham</w:t>
      </w:r>
    </w:p>
    <w:tbl>
      <w:tblPr>
        <w:tblStyle w:val="TableGrid"/>
        <w:tblW w:w="9776" w:type="dxa"/>
        <w:tblLayout w:type="fixed"/>
        <w:tblLook w:val="0020" w:firstRow="1" w:lastRow="0" w:firstColumn="0" w:lastColumn="0" w:noHBand="0" w:noVBand="0"/>
      </w:tblPr>
      <w:tblGrid>
        <w:gridCol w:w="964"/>
        <w:gridCol w:w="1725"/>
        <w:gridCol w:w="1275"/>
        <w:gridCol w:w="1200"/>
        <w:gridCol w:w="1200"/>
        <w:gridCol w:w="1200"/>
        <w:gridCol w:w="1200"/>
        <w:gridCol w:w="1012"/>
      </w:tblGrid>
      <w:tr w:rsidR="00B02873" w:rsidRPr="008B3962" w14:paraId="1F568F4A" w14:textId="77777777" w:rsidTr="008B3962">
        <w:trPr>
          <w:cnfStyle w:val="100000000000" w:firstRow="1" w:lastRow="0" w:firstColumn="0" w:lastColumn="0" w:oddVBand="0" w:evenVBand="0" w:oddHBand="0" w:evenHBand="0" w:firstRowFirstColumn="0" w:firstRowLastColumn="0" w:lastRowFirstColumn="0" w:lastRowLastColumn="0"/>
          <w:trHeight w:val="60"/>
          <w:tblHeader/>
        </w:trPr>
        <w:tc>
          <w:tcPr>
            <w:tcW w:w="964" w:type="dxa"/>
          </w:tcPr>
          <w:p w14:paraId="28D520A6" w14:textId="77777777" w:rsidR="00B02873" w:rsidRPr="008B3962" w:rsidRDefault="00B02873" w:rsidP="008B3962">
            <w:pPr>
              <w:pStyle w:val="TableheadingleftTables"/>
              <w:rPr>
                <w:sz w:val="20"/>
                <w:szCs w:val="16"/>
              </w:rPr>
            </w:pPr>
            <w:r w:rsidRPr="008B3962">
              <w:rPr>
                <w:sz w:val="20"/>
                <w:szCs w:val="16"/>
              </w:rPr>
              <w:t>Agency</w:t>
            </w:r>
          </w:p>
        </w:tc>
        <w:tc>
          <w:tcPr>
            <w:tcW w:w="1725" w:type="dxa"/>
          </w:tcPr>
          <w:p w14:paraId="13525953" w14:textId="77777777" w:rsidR="00B02873" w:rsidRPr="008B3962" w:rsidRDefault="00B02873" w:rsidP="008B3962">
            <w:pPr>
              <w:pStyle w:val="TableheadingleftTables"/>
              <w:rPr>
                <w:sz w:val="20"/>
                <w:szCs w:val="16"/>
              </w:rPr>
            </w:pPr>
            <w:r w:rsidRPr="008B3962">
              <w:rPr>
                <w:sz w:val="20"/>
                <w:szCs w:val="16"/>
              </w:rPr>
              <w:t>Purpose</w:t>
            </w:r>
          </w:p>
        </w:tc>
        <w:tc>
          <w:tcPr>
            <w:tcW w:w="1275" w:type="dxa"/>
          </w:tcPr>
          <w:p w14:paraId="59397089" w14:textId="77777777" w:rsidR="00B02873" w:rsidRPr="008B3962" w:rsidRDefault="00B02873" w:rsidP="008B3962">
            <w:pPr>
              <w:pStyle w:val="TableheadingleftTables"/>
              <w:rPr>
                <w:sz w:val="20"/>
                <w:szCs w:val="16"/>
              </w:rPr>
            </w:pPr>
            <w:r w:rsidRPr="008B3962">
              <w:rPr>
                <w:sz w:val="20"/>
                <w:szCs w:val="16"/>
              </w:rPr>
              <w:t>Year Announced</w:t>
            </w:r>
          </w:p>
        </w:tc>
        <w:tc>
          <w:tcPr>
            <w:tcW w:w="1200" w:type="dxa"/>
          </w:tcPr>
          <w:p w14:paraId="0B9F1821" w14:textId="77777777" w:rsidR="00B02873" w:rsidRPr="008B3962" w:rsidRDefault="00B02873" w:rsidP="00603355">
            <w:pPr>
              <w:pStyle w:val="TableheadingleftTables"/>
              <w:jc w:val="right"/>
              <w:rPr>
                <w:sz w:val="20"/>
                <w:szCs w:val="16"/>
              </w:rPr>
            </w:pPr>
            <w:r w:rsidRPr="008B3962">
              <w:rPr>
                <w:sz w:val="20"/>
                <w:szCs w:val="16"/>
              </w:rPr>
              <w:t>Allocated</w:t>
            </w:r>
          </w:p>
        </w:tc>
        <w:tc>
          <w:tcPr>
            <w:tcW w:w="1200" w:type="dxa"/>
          </w:tcPr>
          <w:p w14:paraId="716D7417" w14:textId="77777777" w:rsidR="00B02873" w:rsidRPr="008B3962" w:rsidRDefault="00B02873" w:rsidP="00603355">
            <w:pPr>
              <w:pStyle w:val="TableheadingleftTables"/>
              <w:jc w:val="right"/>
              <w:rPr>
                <w:sz w:val="20"/>
                <w:szCs w:val="16"/>
              </w:rPr>
            </w:pPr>
            <w:r w:rsidRPr="008B3962">
              <w:rPr>
                <w:sz w:val="20"/>
                <w:szCs w:val="16"/>
              </w:rPr>
              <w:t>Amount paid to 30 June 2021</w:t>
            </w:r>
          </w:p>
        </w:tc>
        <w:tc>
          <w:tcPr>
            <w:tcW w:w="1200" w:type="dxa"/>
          </w:tcPr>
          <w:p w14:paraId="0F0B88D9" w14:textId="77777777" w:rsidR="00B02873" w:rsidRPr="008B3962" w:rsidRDefault="00B02873" w:rsidP="00603355">
            <w:pPr>
              <w:pStyle w:val="TableheadingleftTables"/>
              <w:jc w:val="right"/>
              <w:rPr>
                <w:sz w:val="20"/>
                <w:szCs w:val="16"/>
              </w:rPr>
            </w:pPr>
            <w:r w:rsidRPr="008B3962">
              <w:rPr>
                <w:sz w:val="20"/>
                <w:szCs w:val="16"/>
              </w:rPr>
              <w:t>Amount paid in 2021-22</w:t>
            </w:r>
          </w:p>
        </w:tc>
        <w:tc>
          <w:tcPr>
            <w:tcW w:w="1200" w:type="dxa"/>
          </w:tcPr>
          <w:p w14:paraId="488DB54A" w14:textId="77777777" w:rsidR="00B02873" w:rsidRPr="008B3962" w:rsidRDefault="00B02873" w:rsidP="00603355">
            <w:pPr>
              <w:pStyle w:val="TableheadingleftTables"/>
              <w:jc w:val="right"/>
              <w:rPr>
                <w:sz w:val="20"/>
                <w:szCs w:val="16"/>
              </w:rPr>
            </w:pPr>
            <w:r w:rsidRPr="008B3962">
              <w:rPr>
                <w:sz w:val="20"/>
                <w:szCs w:val="16"/>
              </w:rPr>
              <w:t>Amount yet to be paid</w:t>
            </w:r>
          </w:p>
        </w:tc>
        <w:tc>
          <w:tcPr>
            <w:tcW w:w="1012" w:type="dxa"/>
          </w:tcPr>
          <w:p w14:paraId="7F70A428" w14:textId="77777777" w:rsidR="00B02873" w:rsidRPr="008B3962" w:rsidRDefault="00B02873" w:rsidP="008B3962">
            <w:pPr>
              <w:pStyle w:val="TableheadingleftTables"/>
              <w:rPr>
                <w:sz w:val="20"/>
                <w:szCs w:val="16"/>
              </w:rPr>
            </w:pPr>
            <w:r w:rsidRPr="008B3962">
              <w:rPr>
                <w:sz w:val="20"/>
                <w:szCs w:val="16"/>
              </w:rPr>
              <w:t>Status</w:t>
            </w:r>
          </w:p>
        </w:tc>
      </w:tr>
      <w:tr w:rsidR="00B02873" w:rsidRPr="008B3962" w14:paraId="4075C267" w14:textId="77777777" w:rsidTr="008B3962">
        <w:trPr>
          <w:trHeight w:val="60"/>
        </w:trPr>
        <w:tc>
          <w:tcPr>
            <w:tcW w:w="964" w:type="dxa"/>
          </w:tcPr>
          <w:p w14:paraId="56C3CDFE" w14:textId="77777777" w:rsidR="00B02873" w:rsidRPr="008B3962" w:rsidRDefault="00B02873" w:rsidP="008B3962">
            <w:pPr>
              <w:pStyle w:val="TablebodyleftTables"/>
              <w:rPr>
                <w:sz w:val="20"/>
              </w:rPr>
            </w:pPr>
            <w:r w:rsidRPr="008B3962">
              <w:rPr>
                <w:sz w:val="20"/>
              </w:rPr>
              <w:t>DH</w:t>
            </w:r>
          </w:p>
        </w:tc>
        <w:tc>
          <w:tcPr>
            <w:tcW w:w="1725" w:type="dxa"/>
          </w:tcPr>
          <w:p w14:paraId="30C26762" w14:textId="77777777" w:rsidR="00B02873" w:rsidRPr="008B3962" w:rsidRDefault="00B02873" w:rsidP="008B3962">
            <w:pPr>
              <w:pStyle w:val="TablebodyleftTables"/>
              <w:rPr>
                <w:sz w:val="20"/>
              </w:rPr>
            </w:pPr>
            <w:r w:rsidRPr="008B3962">
              <w:rPr>
                <w:sz w:val="20"/>
              </w:rPr>
              <w:t>Werribee Ambulance Station</w:t>
            </w:r>
          </w:p>
        </w:tc>
        <w:tc>
          <w:tcPr>
            <w:tcW w:w="1275" w:type="dxa"/>
          </w:tcPr>
          <w:p w14:paraId="2D04F9D6" w14:textId="77777777" w:rsidR="00B02873" w:rsidRPr="008B3962" w:rsidRDefault="00B02873" w:rsidP="008B3962">
            <w:pPr>
              <w:pStyle w:val="TablebodyleftTables"/>
              <w:rPr>
                <w:sz w:val="20"/>
              </w:rPr>
            </w:pPr>
            <w:r w:rsidRPr="008B3962">
              <w:rPr>
                <w:sz w:val="20"/>
              </w:rPr>
              <w:t>2016-17</w:t>
            </w:r>
          </w:p>
        </w:tc>
        <w:tc>
          <w:tcPr>
            <w:tcW w:w="1200" w:type="dxa"/>
          </w:tcPr>
          <w:p w14:paraId="32F15B6A" w14:textId="77777777" w:rsidR="00B02873" w:rsidRPr="008B3962" w:rsidRDefault="00B02873" w:rsidP="00603355">
            <w:pPr>
              <w:pStyle w:val="TablebodyleftTables"/>
              <w:jc w:val="right"/>
              <w:rPr>
                <w:sz w:val="20"/>
              </w:rPr>
            </w:pPr>
            <w:r w:rsidRPr="008B3962">
              <w:rPr>
                <w:sz w:val="20"/>
              </w:rPr>
              <w:t>1,500,000</w:t>
            </w:r>
          </w:p>
        </w:tc>
        <w:tc>
          <w:tcPr>
            <w:tcW w:w="1200" w:type="dxa"/>
          </w:tcPr>
          <w:p w14:paraId="704CAEB9" w14:textId="37302C2C" w:rsidR="00B02873" w:rsidRPr="008B3962" w:rsidRDefault="00603355" w:rsidP="00603355">
            <w:pPr>
              <w:pStyle w:val="TablebodyleftTables"/>
              <w:jc w:val="right"/>
              <w:rPr>
                <w:sz w:val="20"/>
              </w:rPr>
            </w:pPr>
            <w:r>
              <w:rPr>
                <w:sz w:val="20"/>
              </w:rPr>
              <w:t>–</w:t>
            </w:r>
          </w:p>
        </w:tc>
        <w:tc>
          <w:tcPr>
            <w:tcW w:w="1200" w:type="dxa"/>
          </w:tcPr>
          <w:p w14:paraId="48D7D868" w14:textId="77777777" w:rsidR="00B02873" w:rsidRPr="008B3962" w:rsidRDefault="00B02873" w:rsidP="00603355">
            <w:pPr>
              <w:pStyle w:val="TablebodyleftTables"/>
              <w:jc w:val="right"/>
              <w:rPr>
                <w:sz w:val="20"/>
              </w:rPr>
            </w:pPr>
            <w:r w:rsidRPr="008B3962">
              <w:rPr>
                <w:sz w:val="20"/>
              </w:rPr>
              <w:t>1,283,900</w:t>
            </w:r>
          </w:p>
        </w:tc>
        <w:tc>
          <w:tcPr>
            <w:tcW w:w="1200" w:type="dxa"/>
          </w:tcPr>
          <w:p w14:paraId="1B95E886" w14:textId="0C627410" w:rsidR="00B02873" w:rsidRPr="008B3962" w:rsidRDefault="00603355" w:rsidP="00603355">
            <w:pPr>
              <w:pStyle w:val="TablebodyleftTables"/>
              <w:jc w:val="right"/>
              <w:rPr>
                <w:sz w:val="20"/>
              </w:rPr>
            </w:pPr>
            <w:r>
              <w:rPr>
                <w:sz w:val="20"/>
              </w:rPr>
              <w:t>–</w:t>
            </w:r>
          </w:p>
        </w:tc>
        <w:tc>
          <w:tcPr>
            <w:tcW w:w="1012" w:type="dxa"/>
          </w:tcPr>
          <w:p w14:paraId="61060EE1" w14:textId="77777777" w:rsidR="00B02873" w:rsidRPr="008B3962" w:rsidRDefault="00B02873" w:rsidP="008B3962">
            <w:pPr>
              <w:pStyle w:val="TablebodyleftTables"/>
              <w:rPr>
                <w:sz w:val="20"/>
              </w:rPr>
            </w:pPr>
            <w:r w:rsidRPr="008B3962">
              <w:rPr>
                <w:sz w:val="20"/>
              </w:rPr>
              <w:t>Active</w:t>
            </w:r>
          </w:p>
        </w:tc>
      </w:tr>
      <w:tr w:rsidR="00B02873" w:rsidRPr="008B3962" w14:paraId="12E9DA24" w14:textId="77777777" w:rsidTr="008B3962">
        <w:trPr>
          <w:trHeight w:val="60"/>
        </w:trPr>
        <w:tc>
          <w:tcPr>
            <w:tcW w:w="964" w:type="dxa"/>
          </w:tcPr>
          <w:p w14:paraId="00AFBC25" w14:textId="77777777" w:rsidR="00B02873" w:rsidRPr="008B3962" w:rsidRDefault="00B02873" w:rsidP="008B3962">
            <w:pPr>
              <w:pStyle w:val="TablebodyleftTables"/>
              <w:rPr>
                <w:sz w:val="20"/>
              </w:rPr>
            </w:pPr>
            <w:r w:rsidRPr="008B3962">
              <w:rPr>
                <w:sz w:val="20"/>
              </w:rPr>
              <w:t>DH</w:t>
            </w:r>
          </w:p>
        </w:tc>
        <w:tc>
          <w:tcPr>
            <w:tcW w:w="1725" w:type="dxa"/>
          </w:tcPr>
          <w:p w14:paraId="70D178EF" w14:textId="77777777" w:rsidR="00B02873" w:rsidRPr="008B3962" w:rsidRDefault="00B02873" w:rsidP="008B3962">
            <w:pPr>
              <w:pStyle w:val="TablebodyleftTables"/>
              <w:rPr>
                <w:sz w:val="20"/>
              </w:rPr>
            </w:pPr>
            <w:r w:rsidRPr="008B3962">
              <w:rPr>
                <w:sz w:val="20"/>
              </w:rPr>
              <w:t>Tarneit Ambulance Station</w:t>
            </w:r>
          </w:p>
        </w:tc>
        <w:tc>
          <w:tcPr>
            <w:tcW w:w="1275" w:type="dxa"/>
          </w:tcPr>
          <w:p w14:paraId="2F194A15" w14:textId="77777777" w:rsidR="00B02873" w:rsidRPr="008B3962" w:rsidRDefault="00B02873" w:rsidP="008B3962">
            <w:pPr>
              <w:pStyle w:val="TablebodyleftTables"/>
              <w:rPr>
                <w:sz w:val="20"/>
              </w:rPr>
            </w:pPr>
            <w:r w:rsidRPr="008B3962">
              <w:rPr>
                <w:sz w:val="20"/>
              </w:rPr>
              <w:t>2017-18</w:t>
            </w:r>
          </w:p>
        </w:tc>
        <w:tc>
          <w:tcPr>
            <w:tcW w:w="1200" w:type="dxa"/>
          </w:tcPr>
          <w:p w14:paraId="783BE42A" w14:textId="77777777" w:rsidR="00B02873" w:rsidRPr="008B3962" w:rsidRDefault="00B02873" w:rsidP="00603355">
            <w:pPr>
              <w:pStyle w:val="TablebodyleftTables"/>
              <w:jc w:val="right"/>
              <w:rPr>
                <w:sz w:val="20"/>
              </w:rPr>
            </w:pPr>
            <w:r w:rsidRPr="008B3962">
              <w:rPr>
                <w:sz w:val="20"/>
              </w:rPr>
              <w:t>1,500,000</w:t>
            </w:r>
          </w:p>
        </w:tc>
        <w:tc>
          <w:tcPr>
            <w:tcW w:w="1200" w:type="dxa"/>
          </w:tcPr>
          <w:p w14:paraId="2CAD059D" w14:textId="77777777" w:rsidR="00B02873" w:rsidRPr="008B3962" w:rsidRDefault="00B02873" w:rsidP="00603355">
            <w:pPr>
              <w:pStyle w:val="TablebodyleftTables"/>
              <w:jc w:val="right"/>
              <w:rPr>
                <w:sz w:val="20"/>
              </w:rPr>
            </w:pPr>
            <w:r w:rsidRPr="008B3962">
              <w:rPr>
                <w:sz w:val="20"/>
              </w:rPr>
              <w:t>1,500,000</w:t>
            </w:r>
          </w:p>
        </w:tc>
        <w:tc>
          <w:tcPr>
            <w:tcW w:w="1200" w:type="dxa"/>
          </w:tcPr>
          <w:p w14:paraId="04BD104F" w14:textId="21AE37E5" w:rsidR="00B02873" w:rsidRPr="008B3962" w:rsidRDefault="00603355" w:rsidP="00603355">
            <w:pPr>
              <w:pStyle w:val="TablebodyleftTables"/>
              <w:jc w:val="right"/>
              <w:rPr>
                <w:sz w:val="20"/>
              </w:rPr>
            </w:pPr>
            <w:r>
              <w:rPr>
                <w:sz w:val="20"/>
              </w:rPr>
              <w:t>–</w:t>
            </w:r>
          </w:p>
        </w:tc>
        <w:tc>
          <w:tcPr>
            <w:tcW w:w="1200" w:type="dxa"/>
          </w:tcPr>
          <w:p w14:paraId="642769FC" w14:textId="10A9E41D" w:rsidR="00B02873" w:rsidRPr="008B3962" w:rsidRDefault="00603355" w:rsidP="00603355">
            <w:pPr>
              <w:pStyle w:val="TablebodyleftTables"/>
              <w:jc w:val="right"/>
              <w:rPr>
                <w:sz w:val="20"/>
              </w:rPr>
            </w:pPr>
            <w:r>
              <w:rPr>
                <w:sz w:val="20"/>
              </w:rPr>
              <w:t>–</w:t>
            </w:r>
          </w:p>
        </w:tc>
        <w:tc>
          <w:tcPr>
            <w:tcW w:w="1012" w:type="dxa"/>
          </w:tcPr>
          <w:p w14:paraId="5719C6BB" w14:textId="77777777" w:rsidR="00B02873" w:rsidRPr="008B3962" w:rsidRDefault="00B02873" w:rsidP="008B3962">
            <w:pPr>
              <w:pStyle w:val="TablebodyleftTables"/>
              <w:rPr>
                <w:sz w:val="20"/>
              </w:rPr>
            </w:pPr>
            <w:r w:rsidRPr="008B3962">
              <w:rPr>
                <w:sz w:val="20"/>
              </w:rPr>
              <w:t>Active</w:t>
            </w:r>
          </w:p>
        </w:tc>
      </w:tr>
      <w:tr w:rsidR="00B02873" w:rsidRPr="008B3962" w14:paraId="1B223675" w14:textId="77777777" w:rsidTr="008B3962">
        <w:trPr>
          <w:trHeight w:val="60"/>
        </w:trPr>
        <w:tc>
          <w:tcPr>
            <w:tcW w:w="964" w:type="dxa"/>
          </w:tcPr>
          <w:p w14:paraId="30624144" w14:textId="77777777" w:rsidR="00B02873" w:rsidRPr="008B3962" w:rsidRDefault="00B02873" w:rsidP="008B3962">
            <w:pPr>
              <w:pStyle w:val="TablebodyleftTables"/>
              <w:rPr>
                <w:sz w:val="20"/>
              </w:rPr>
            </w:pPr>
            <w:r w:rsidRPr="008B3962">
              <w:rPr>
                <w:sz w:val="20"/>
              </w:rPr>
              <w:t>CFA</w:t>
            </w:r>
          </w:p>
        </w:tc>
        <w:tc>
          <w:tcPr>
            <w:tcW w:w="1725" w:type="dxa"/>
          </w:tcPr>
          <w:p w14:paraId="446E8B4B" w14:textId="77777777" w:rsidR="00B02873" w:rsidRPr="008B3962" w:rsidRDefault="00B02873" w:rsidP="008B3962">
            <w:pPr>
              <w:pStyle w:val="TablebodyleftTables"/>
              <w:rPr>
                <w:sz w:val="20"/>
              </w:rPr>
            </w:pPr>
            <w:r w:rsidRPr="008B3962">
              <w:rPr>
                <w:sz w:val="20"/>
              </w:rPr>
              <w:t>Wyndham Vale Fire Station</w:t>
            </w:r>
          </w:p>
        </w:tc>
        <w:tc>
          <w:tcPr>
            <w:tcW w:w="1275" w:type="dxa"/>
          </w:tcPr>
          <w:p w14:paraId="5FE2A1EC" w14:textId="77777777" w:rsidR="00B02873" w:rsidRPr="008B3962" w:rsidRDefault="00B02873" w:rsidP="008B3962">
            <w:pPr>
              <w:pStyle w:val="TablebodyleftTables"/>
              <w:rPr>
                <w:sz w:val="20"/>
              </w:rPr>
            </w:pPr>
            <w:r w:rsidRPr="008B3962">
              <w:rPr>
                <w:sz w:val="20"/>
              </w:rPr>
              <w:t>2017-18</w:t>
            </w:r>
          </w:p>
        </w:tc>
        <w:tc>
          <w:tcPr>
            <w:tcW w:w="1200" w:type="dxa"/>
          </w:tcPr>
          <w:p w14:paraId="146AC73C" w14:textId="77777777" w:rsidR="00B02873" w:rsidRPr="008B3962" w:rsidRDefault="00B02873" w:rsidP="00603355">
            <w:pPr>
              <w:pStyle w:val="TablebodyleftTables"/>
              <w:jc w:val="right"/>
              <w:rPr>
                <w:sz w:val="20"/>
              </w:rPr>
            </w:pPr>
            <w:r w:rsidRPr="008B3962">
              <w:rPr>
                <w:sz w:val="20"/>
              </w:rPr>
              <w:t>3,750,000</w:t>
            </w:r>
          </w:p>
        </w:tc>
        <w:tc>
          <w:tcPr>
            <w:tcW w:w="1200" w:type="dxa"/>
          </w:tcPr>
          <w:p w14:paraId="5F69FCDF" w14:textId="177F3C1A" w:rsidR="00B02873" w:rsidRPr="008B3962" w:rsidRDefault="00603355" w:rsidP="00603355">
            <w:pPr>
              <w:pStyle w:val="TablebodyleftTables"/>
              <w:jc w:val="right"/>
              <w:rPr>
                <w:sz w:val="20"/>
              </w:rPr>
            </w:pPr>
            <w:r>
              <w:rPr>
                <w:sz w:val="20"/>
              </w:rPr>
              <w:t>–</w:t>
            </w:r>
          </w:p>
        </w:tc>
        <w:tc>
          <w:tcPr>
            <w:tcW w:w="1200" w:type="dxa"/>
          </w:tcPr>
          <w:p w14:paraId="0016DA12" w14:textId="0BC5F13F" w:rsidR="00B02873" w:rsidRPr="008B3962" w:rsidRDefault="00603355" w:rsidP="00603355">
            <w:pPr>
              <w:pStyle w:val="TablebodyleftTables"/>
              <w:jc w:val="right"/>
              <w:rPr>
                <w:sz w:val="20"/>
              </w:rPr>
            </w:pPr>
            <w:r>
              <w:rPr>
                <w:sz w:val="20"/>
              </w:rPr>
              <w:t>–</w:t>
            </w:r>
          </w:p>
        </w:tc>
        <w:tc>
          <w:tcPr>
            <w:tcW w:w="1200" w:type="dxa"/>
          </w:tcPr>
          <w:p w14:paraId="07B89CF7" w14:textId="77777777" w:rsidR="00B02873" w:rsidRPr="008B3962" w:rsidRDefault="00B02873" w:rsidP="00603355">
            <w:pPr>
              <w:pStyle w:val="TablebodyleftTables"/>
              <w:jc w:val="right"/>
              <w:rPr>
                <w:sz w:val="20"/>
              </w:rPr>
            </w:pPr>
            <w:r w:rsidRPr="008B3962">
              <w:rPr>
                <w:sz w:val="20"/>
              </w:rPr>
              <w:t>3,750,000</w:t>
            </w:r>
          </w:p>
        </w:tc>
        <w:tc>
          <w:tcPr>
            <w:tcW w:w="1012" w:type="dxa"/>
          </w:tcPr>
          <w:p w14:paraId="506A5A97" w14:textId="77777777" w:rsidR="00B02873" w:rsidRPr="008B3962" w:rsidRDefault="00B02873" w:rsidP="008B3962">
            <w:pPr>
              <w:pStyle w:val="TablebodyleftTables"/>
              <w:rPr>
                <w:sz w:val="20"/>
              </w:rPr>
            </w:pPr>
            <w:r w:rsidRPr="008B3962">
              <w:rPr>
                <w:sz w:val="20"/>
              </w:rPr>
              <w:t>Active</w:t>
            </w:r>
          </w:p>
        </w:tc>
      </w:tr>
      <w:tr w:rsidR="00B02873" w:rsidRPr="008B3962" w14:paraId="008B1ACB" w14:textId="77777777" w:rsidTr="008B3962">
        <w:trPr>
          <w:trHeight w:val="60"/>
        </w:trPr>
        <w:tc>
          <w:tcPr>
            <w:tcW w:w="964" w:type="dxa"/>
          </w:tcPr>
          <w:p w14:paraId="0A8FE17A" w14:textId="77777777" w:rsidR="00B02873" w:rsidRPr="008B3962" w:rsidRDefault="00B02873" w:rsidP="008B3962">
            <w:pPr>
              <w:pStyle w:val="TablebodyleftTables"/>
              <w:rPr>
                <w:sz w:val="20"/>
              </w:rPr>
            </w:pPr>
            <w:r w:rsidRPr="008B3962">
              <w:rPr>
                <w:sz w:val="20"/>
              </w:rPr>
              <w:t>CFA</w:t>
            </w:r>
          </w:p>
        </w:tc>
        <w:tc>
          <w:tcPr>
            <w:tcW w:w="1725" w:type="dxa"/>
          </w:tcPr>
          <w:p w14:paraId="4CC9B6EC" w14:textId="77777777" w:rsidR="00B02873" w:rsidRPr="008B3962" w:rsidRDefault="00B02873" w:rsidP="008B3962">
            <w:pPr>
              <w:pStyle w:val="TablebodyleftTables"/>
              <w:rPr>
                <w:sz w:val="20"/>
              </w:rPr>
            </w:pPr>
            <w:r w:rsidRPr="008B3962">
              <w:rPr>
                <w:sz w:val="20"/>
              </w:rPr>
              <w:t>New Truganina Fire Station</w:t>
            </w:r>
          </w:p>
        </w:tc>
        <w:tc>
          <w:tcPr>
            <w:tcW w:w="1275" w:type="dxa"/>
          </w:tcPr>
          <w:p w14:paraId="717B5F03" w14:textId="77777777" w:rsidR="00B02873" w:rsidRPr="008B3962" w:rsidRDefault="00B02873" w:rsidP="008B3962">
            <w:pPr>
              <w:pStyle w:val="TablebodyleftTables"/>
              <w:rPr>
                <w:sz w:val="20"/>
              </w:rPr>
            </w:pPr>
            <w:r w:rsidRPr="008B3962">
              <w:rPr>
                <w:sz w:val="20"/>
              </w:rPr>
              <w:t>2017-18</w:t>
            </w:r>
          </w:p>
        </w:tc>
        <w:tc>
          <w:tcPr>
            <w:tcW w:w="1200" w:type="dxa"/>
          </w:tcPr>
          <w:p w14:paraId="24F8E9C8" w14:textId="77777777" w:rsidR="00B02873" w:rsidRPr="008B3962" w:rsidRDefault="00B02873" w:rsidP="00603355">
            <w:pPr>
              <w:pStyle w:val="TablebodyleftTables"/>
              <w:jc w:val="right"/>
              <w:rPr>
                <w:sz w:val="20"/>
              </w:rPr>
            </w:pPr>
            <w:r w:rsidRPr="008B3962">
              <w:rPr>
                <w:sz w:val="20"/>
              </w:rPr>
              <w:t>3,750,000</w:t>
            </w:r>
          </w:p>
        </w:tc>
        <w:tc>
          <w:tcPr>
            <w:tcW w:w="1200" w:type="dxa"/>
          </w:tcPr>
          <w:p w14:paraId="7C2D6283" w14:textId="77777777" w:rsidR="00B02873" w:rsidRPr="008B3962" w:rsidRDefault="00B02873" w:rsidP="00603355">
            <w:pPr>
              <w:pStyle w:val="TablebodyleftTables"/>
              <w:jc w:val="right"/>
              <w:rPr>
                <w:sz w:val="20"/>
              </w:rPr>
            </w:pPr>
            <w:r w:rsidRPr="008B3962">
              <w:rPr>
                <w:sz w:val="20"/>
              </w:rPr>
              <w:t>1,500,000</w:t>
            </w:r>
          </w:p>
        </w:tc>
        <w:tc>
          <w:tcPr>
            <w:tcW w:w="1200" w:type="dxa"/>
          </w:tcPr>
          <w:p w14:paraId="74293904" w14:textId="6E9B0E83" w:rsidR="00B02873" w:rsidRPr="008B3962" w:rsidRDefault="00603355" w:rsidP="00603355">
            <w:pPr>
              <w:pStyle w:val="TablebodyleftTables"/>
              <w:jc w:val="right"/>
              <w:rPr>
                <w:sz w:val="20"/>
              </w:rPr>
            </w:pPr>
            <w:r>
              <w:rPr>
                <w:sz w:val="20"/>
              </w:rPr>
              <w:t>–</w:t>
            </w:r>
          </w:p>
        </w:tc>
        <w:tc>
          <w:tcPr>
            <w:tcW w:w="1200" w:type="dxa"/>
          </w:tcPr>
          <w:p w14:paraId="6C7D515A" w14:textId="77777777" w:rsidR="00B02873" w:rsidRPr="008B3962" w:rsidRDefault="00B02873" w:rsidP="00603355">
            <w:pPr>
              <w:pStyle w:val="TablebodyleftTables"/>
              <w:jc w:val="right"/>
              <w:rPr>
                <w:sz w:val="20"/>
              </w:rPr>
            </w:pPr>
            <w:r w:rsidRPr="008B3962">
              <w:rPr>
                <w:sz w:val="20"/>
              </w:rPr>
              <w:t>2,250,000</w:t>
            </w:r>
          </w:p>
        </w:tc>
        <w:tc>
          <w:tcPr>
            <w:tcW w:w="1012" w:type="dxa"/>
          </w:tcPr>
          <w:p w14:paraId="1EA6D020" w14:textId="77777777" w:rsidR="00B02873" w:rsidRPr="008B3962" w:rsidRDefault="00B02873" w:rsidP="008B3962">
            <w:pPr>
              <w:pStyle w:val="TablebodyleftTables"/>
              <w:rPr>
                <w:sz w:val="20"/>
              </w:rPr>
            </w:pPr>
            <w:r w:rsidRPr="008B3962">
              <w:rPr>
                <w:sz w:val="20"/>
              </w:rPr>
              <w:t>Active</w:t>
            </w:r>
          </w:p>
        </w:tc>
      </w:tr>
      <w:tr w:rsidR="00B02873" w:rsidRPr="008B3962" w14:paraId="296766AE" w14:textId="77777777" w:rsidTr="008B3962">
        <w:trPr>
          <w:trHeight w:val="60"/>
        </w:trPr>
        <w:tc>
          <w:tcPr>
            <w:tcW w:w="964" w:type="dxa"/>
          </w:tcPr>
          <w:p w14:paraId="738F95F1" w14:textId="77777777" w:rsidR="00B02873" w:rsidRPr="008B3962" w:rsidRDefault="00B02873" w:rsidP="008B3962">
            <w:pPr>
              <w:pStyle w:val="TablebodyleftTables"/>
              <w:rPr>
                <w:sz w:val="20"/>
              </w:rPr>
            </w:pPr>
            <w:r w:rsidRPr="008B3962">
              <w:rPr>
                <w:sz w:val="20"/>
              </w:rPr>
              <w:t>DET</w:t>
            </w:r>
          </w:p>
        </w:tc>
        <w:tc>
          <w:tcPr>
            <w:tcW w:w="1725" w:type="dxa"/>
          </w:tcPr>
          <w:p w14:paraId="6678213B" w14:textId="77777777" w:rsidR="00B02873" w:rsidRPr="008B3962" w:rsidRDefault="00B02873" w:rsidP="008B3962">
            <w:pPr>
              <w:pStyle w:val="TablebodyleftTables"/>
              <w:rPr>
                <w:sz w:val="20"/>
              </w:rPr>
            </w:pPr>
            <w:r w:rsidRPr="008B3962">
              <w:rPr>
                <w:sz w:val="20"/>
              </w:rPr>
              <w:t>Wollahra P6 land acquisition</w:t>
            </w:r>
          </w:p>
        </w:tc>
        <w:tc>
          <w:tcPr>
            <w:tcW w:w="1275" w:type="dxa"/>
          </w:tcPr>
          <w:p w14:paraId="299FC25B" w14:textId="77777777" w:rsidR="00B02873" w:rsidRPr="008B3962" w:rsidRDefault="00B02873" w:rsidP="008B3962">
            <w:pPr>
              <w:pStyle w:val="TablebodyleftTables"/>
              <w:rPr>
                <w:sz w:val="20"/>
              </w:rPr>
            </w:pPr>
            <w:r w:rsidRPr="008B3962">
              <w:rPr>
                <w:sz w:val="20"/>
              </w:rPr>
              <w:t>2018-19 State Budget</w:t>
            </w:r>
          </w:p>
        </w:tc>
        <w:tc>
          <w:tcPr>
            <w:tcW w:w="1200" w:type="dxa"/>
          </w:tcPr>
          <w:p w14:paraId="70EFE271" w14:textId="77777777" w:rsidR="00B02873" w:rsidRPr="008B3962" w:rsidRDefault="00B02873" w:rsidP="00603355">
            <w:pPr>
              <w:pStyle w:val="TablebodyleftTables"/>
              <w:jc w:val="right"/>
              <w:rPr>
                <w:sz w:val="20"/>
              </w:rPr>
            </w:pPr>
            <w:r w:rsidRPr="008B3962">
              <w:rPr>
                <w:sz w:val="20"/>
              </w:rPr>
              <w:t>9,100,000</w:t>
            </w:r>
          </w:p>
        </w:tc>
        <w:tc>
          <w:tcPr>
            <w:tcW w:w="1200" w:type="dxa"/>
          </w:tcPr>
          <w:p w14:paraId="3DCEEA88" w14:textId="77777777" w:rsidR="00B02873" w:rsidRPr="008B3962" w:rsidRDefault="00B02873" w:rsidP="00603355">
            <w:pPr>
              <w:pStyle w:val="TablebodyleftTables"/>
              <w:jc w:val="right"/>
              <w:rPr>
                <w:sz w:val="20"/>
              </w:rPr>
            </w:pPr>
            <w:r w:rsidRPr="008B3962">
              <w:rPr>
                <w:sz w:val="20"/>
              </w:rPr>
              <w:t>9,100,000</w:t>
            </w:r>
          </w:p>
        </w:tc>
        <w:tc>
          <w:tcPr>
            <w:tcW w:w="1200" w:type="dxa"/>
          </w:tcPr>
          <w:p w14:paraId="46084962" w14:textId="0DDDBC81" w:rsidR="00B02873" w:rsidRPr="008B3962" w:rsidRDefault="00603355" w:rsidP="00603355">
            <w:pPr>
              <w:pStyle w:val="TablebodyleftTables"/>
              <w:jc w:val="right"/>
              <w:rPr>
                <w:sz w:val="20"/>
              </w:rPr>
            </w:pPr>
            <w:r>
              <w:rPr>
                <w:sz w:val="20"/>
              </w:rPr>
              <w:t>–</w:t>
            </w:r>
          </w:p>
        </w:tc>
        <w:tc>
          <w:tcPr>
            <w:tcW w:w="1200" w:type="dxa"/>
          </w:tcPr>
          <w:p w14:paraId="46F4169C" w14:textId="119501FF" w:rsidR="00B02873" w:rsidRPr="008B3962" w:rsidRDefault="00603355" w:rsidP="00603355">
            <w:pPr>
              <w:pStyle w:val="TablebodyleftTables"/>
              <w:jc w:val="right"/>
              <w:rPr>
                <w:sz w:val="20"/>
              </w:rPr>
            </w:pPr>
            <w:r>
              <w:rPr>
                <w:sz w:val="20"/>
              </w:rPr>
              <w:t>–</w:t>
            </w:r>
          </w:p>
        </w:tc>
        <w:tc>
          <w:tcPr>
            <w:tcW w:w="1012" w:type="dxa"/>
          </w:tcPr>
          <w:p w14:paraId="1D1428A1" w14:textId="77777777" w:rsidR="00B02873" w:rsidRPr="008B3962" w:rsidRDefault="00B02873" w:rsidP="008B3962">
            <w:pPr>
              <w:pStyle w:val="TablebodyleftTables"/>
              <w:rPr>
                <w:sz w:val="20"/>
              </w:rPr>
            </w:pPr>
            <w:r w:rsidRPr="008B3962">
              <w:rPr>
                <w:sz w:val="20"/>
              </w:rPr>
              <w:t>Active</w:t>
            </w:r>
          </w:p>
        </w:tc>
      </w:tr>
      <w:tr w:rsidR="00B02873" w:rsidRPr="008B3962" w14:paraId="37D51C44" w14:textId="77777777" w:rsidTr="008B3962">
        <w:trPr>
          <w:trHeight w:val="60"/>
        </w:trPr>
        <w:tc>
          <w:tcPr>
            <w:tcW w:w="964" w:type="dxa"/>
          </w:tcPr>
          <w:p w14:paraId="7EDAF1E8" w14:textId="77777777" w:rsidR="00B02873" w:rsidRPr="008B3962" w:rsidRDefault="00B02873" w:rsidP="008B3962">
            <w:pPr>
              <w:pStyle w:val="TablebodyleftTables"/>
              <w:rPr>
                <w:sz w:val="20"/>
              </w:rPr>
            </w:pPr>
            <w:r w:rsidRPr="008B3962">
              <w:rPr>
                <w:sz w:val="20"/>
              </w:rPr>
              <w:t>DELWP</w:t>
            </w:r>
          </w:p>
        </w:tc>
        <w:tc>
          <w:tcPr>
            <w:tcW w:w="1725" w:type="dxa"/>
          </w:tcPr>
          <w:p w14:paraId="307F432C" w14:textId="77777777" w:rsidR="00B02873" w:rsidRPr="008B3962" w:rsidRDefault="00B02873" w:rsidP="008B3962">
            <w:pPr>
              <w:pStyle w:val="TablebodyleftTables"/>
              <w:rPr>
                <w:sz w:val="20"/>
              </w:rPr>
            </w:pPr>
            <w:r w:rsidRPr="008B3962">
              <w:rPr>
                <w:sz w:val="20"/>
              </w:rPr>
              <w:t>Greening the Pipeline – Werribee early works and design</w:t>
            </w:r>
          </w:p>
        </w:tc>
        <w:tc>
          <w:tcPr>
            <w:tcW w:w="1275" w:type="dxa"/>
          </w:tcPr>
          <w:p w14:paraId="1D40CC6C" w14:textId="77777777" w:rsidR="00B02873" w:rsidRPr="008B3962" w:rsidRDefault="00B02873" w:rsidP="008B3962">
            <w:pPr>
              <w:pStyle w:val="TablebodyleftTables"/>
              <w:rPr>
                <w:sz w:val="20"/>
              </w:rPr>
            </w:pPr>
            <w:r w:rsidRPr="008B3962">
              <w:rPr>
                <w:sz w:val="20"/>
              </w:rPr>
              <w:t>2018-19 State Budget</w:t>
            </w:r>
          </w:p>
        </w:tc>
        <w:tc>
          <w:tcPr>
            <w:tcW w:w="1200" w:type="dxa"/>
          </w:tcPr>
          <w:p w14:paraId="59EF121E" w14:textId="77777777" w:rsidR="00B02873" w:rsidRPr="008B3962" w:rsidRDefault="00B02873" w:rsidP="00603355">
            <w:pPr>
              <w:pStyle w:val="TablebodyleftTables"/>
              <w:jc w:val="right"/>
              <w:rPr>
                <w:sz w:val="20"/>
              </w:rPr>
            </w:pPr>
            <w:r w:rsidRPr="008B3962">
              <w:rPr>
                <w:sz w:val="20"/>
              </w:rPr>
              <w:t>1,000,000</w:t>
            </w:r>
          </w:p>
        </w:tc>
        <w:tc>
          <w:tcPr>
            <w:tcW w:w="1200" w:type="dxa"/>
          </w:tcPr>
          <w:p w14:paraId="4396DC4B" w14:textId="77777777" w:rsidR="00B02873" w:rsidRPr="008B3962" w:rsidRDefault="00B02873" w:rsidP="00603355">
            <w:pPr>
              <w:pStyle w:val="TablebodyleftTables"/>
              <w:jc w:val="right"/>
              <w:rPr>
                <w:sz w:val="20"/>
              </w:rPr>
            </w:pPr>
            <w:r w:rsidRPr="008B3962">
              <w:rPr>
                <w:sz w:val="20"/>
              </w:rPr>
              <w:t>1,000,000</w:t>
            </w:r>
          </w:p>
        </w:tc>
        <w:tc>
          <w:tcPr>
            <w:tcW w:w="1200" w:type="dxa"/>
          </w:tcPr>
          <w:p w14:paraId="0D8E0975" w14:textId="1B6E450B" w:rsidR="00B02873" w:rsidRPr="008B3962" w:rsidRDefault="00603355" w:rsidP="00603355">
            <w:pPr>
              <w:pStyle w:val="TablebodyleftTables"/>
              <w:jc w:val="right"/>
              <w:rPr>
                <w:sz w:val="20"/>
              </w:rPr>
            </w:pPr>
            <w:r>
              <w:rPr>
                <w:sz w:val="20"/>
              </w:rPr>
              <w:t>–</w:t>
            </w:r>
          </w:p>
        </w:tc>
        <w:tc>
          <w:tcPr>
            <w:tcW w:w="1200" w:type="dxa"/>
          </w:tcPr>
          <w:p w14:paraId="1D0D89AC" w14:textId="01497084" w:rsidR="00B02873" w:rsidRPr="008B3962" w:rsidRDefault="00603355" w:rsidP="00603355">
            <w:pPr>
              <w:pStyle w:val="TablebodyleftTables"/>
              <w:jc w:val="right"/>
              <w:rPr>
                <w:sz w:val="20"/>
              </w:rPr>
            </w:pPr>
            <w:r>
              <w:rPr>
                <w:sz w:val="20"/>
              </w:rPr>
              <w:t>–</w:t>
            </w:r>
          </w:p>
        </w:tc>
        <w:tc>
          <w:tcPr>
            <w:tcW w:w="1012" w:type="dxa"/>
          </w:tcPr>
          <w:p w14:paraId="2B675FDB" w14:textId="77777777" w:rsidR="00B02873" w:rsidRPr="008B3962" w:rsidRDefault="00B02873" w:rsidP="008B3962">
            <w:pPr>
              <w:pStyle w:val="TablebodyleftTables"/>
              <w:rPr>
                <w:sz w:val="20"/>
              </w:rPr>
            </w:pPr>
            <w:r w:rsidRPr="008B3962">
              <w:rPr>
                <w:sz w:val="20"/>
              </w:rPr>
              <w:t>Complete</w:t>
            </w:r>
          </w:p>
        </w:tc>
      </w:tr>
      <w:tr w:rsidR="00B02873" w:rsidRPr="008B3962" w14:paraId="30A9C73F" w14:textId="77777777" w:rsidTr="008B3962">
        <w:trPr>
          <w:trHeight w:val="60"/>
        </w:trPr>
        <w:tc>
          <w:tcPr>
            <w:tcW w:w="964" w:type="dxa"/>
          </w:tcPr>
          <w:p w14:paraId="05AA3007" w14:textId="77777777" w:rsidR="00B02873" w:rsidRPr="008B3962" w:rsidRDefault="00B02873" w:rsidP="008B3962">
            <w:pPr>
              <w:pStyle w:val="TablebodyleftTables"/>
              <w:rPr>
                <w:sz w:val="20"/>
              </w:rPr>
            </w:pPr>
            <w:r w:rsidRPr="008B3962">
              <w:rPr>
                <w:sz w:val="20"/>
              </w:rPr>
              <w:t>DET</w:t>
            </w:r>
          </w:p>
        </w:tc>
        <w:tc>
          <w:tcPr>
            <w:tcW w:w="1725" w:type="dxa"/>
          </w:tcPr>
          <w:p w14:paraId="6D012F6B" w14:textId="77777777" w:rsidR="00B02873" w:rsidRPr="008B3962" w:rsidRDefault="00B02873" w:rsidP="008B3962">
            <w:pPr>
              <w:pStyle w:val="TablebodyleftTables"/>
              <w:rPr>
                <w:sz w:val="20"/>
              </w:rPr>
            </w:pPr>
            <w:r w:rsidRPr="008B3962">
              <w:rPr>
                <w:sz w:val="20"/>
              </w:rPr>
              <w:t>Davis Creek Primary School</w:t>
            </w:r>
          </w:p>
        </w:tc>
        <w:tc>
          <w:tcPr>
            <w:tcW w:w="1275" w:type="dxa"/>
          </w:tcPr>
          <w:p w14:paraId="61850285" w14:textId="77777777" w:rsidR="00B02873" w:rsidRPr="008B3962" w:rsidRDefault="00B02873" w:rsidP="008B3962">
            <w:pPr>
              <w:pStyle w:val="TablebodyleftTables"/>
              <w:rPr>
                <w:sz w:val="20"/>
              </w:rPr>
            </w:pPr>
            <w:r w:rsidRPr="008B3962">
              <w:rPr>
                <w:spacing w:val="-2"/>
                <w:sz w:val="20"/>
              </w:rPr>
              <w:t>2019-20 State Budget</w:t>
            </w:r>
          </w:p>
        </w:tc>
        <w:tc>
          <w:tcPr>
            <w:tcW w:w="1200" w:type="dxa"/>
          </w:tcPr>
          <w:p w14:paraId="46BEA2D3" w14:textId="77777777" w:rsidR="00B02873" w:rsidRPr="008B3962" w:rsidRDefault="00B02873" w:rsidP="00603355">
            <w:pPr>
              <w:pStyle w:val="TablebodyleftTables"/>
              <w:jc w:val="right"/>
              <w:rPr>
                <w:sz w:val="20"/>
              </w:rPr>
            </w:pPr>
            <w:r w:rsidRPr="008B3962">
              <w:rPr>
                <w:sz w:val="20"/>
              </w:rPr>
              <w:t>2,200,000</w:t>
            </w:r>
          </w:p>
        </w:tc>
        <w:tc>
          <w:tcPr>
            <w:tcW w:w="1200" w:type="dxa"/>
          </w:tcPr>
          <w:p w14:paraId="1A7951D2" w14:textId="77777777" w:rsidR="00B02873" w:rsidRPr="008B3962" w:rsidRDefault="00B02873" w:rsidP="00603355">
            <w:pPr>
              <w:pStyle w:val="TablebodyleftTables"/>
              <w:jc w:val="right"/>
              <w:rPr>
                <w:sz w:val="20"/>
              </w:rPr>
            </w:pPr>
            <w:r w:rsidRPr="008B3962">
              <w:rPr>
                <w:sz w:val="20"/>
              </w:rPr>
              <w:t>2,200,000</w:t>
            </w:r>
          </w:p>
        </w:tc>
        <w:tc>
          <w:tcPr>
            <w:tcW w:w="1200" w:type="dxa"/>
          </w:tcPr>
          <w:p w14:paraId="3B449E9C" w14:textId="1370A208" w:rsidR="00B02873" w:rsidRPr="008B3962" w:rsidRDefault="00603355" w:rsidP="00603355">
            <w:pPr>
              <w:pStyle w:val="TablebodyleftTables"/>
              <w:jc w:val="right"/>
              <w:rPr>
                <w:sz w:val="20"/>
              </w:rPr>
            </w:pPr>
            <w:r>
              <w:rPr>
                <w:sz w:val="20"/>
              </w:rPr>
              <w:t>–</w:t>
            </w:r>
          </w:p>
        </w:tc>
        <w:tc>
          <w:tcPr>
            <w:tcW w:w="1200" w:type="dxa"/>
          </w:tcPr>
          <w:p w14:paraId="52859EC9" w14:textId="4B186175" w:rsidR="00B02873" w:rsidRPr="008B3962" w:rsidRDefault="00603355" w:rsidP="00603355">
            <w:pPr>
              <w:pStyle w:val="TablebodyleftTables"/>
              <w:jc w:val="right"/>
              <w:rPr>
                <w:sz w:val="20"/>
              </w:rPr>
            </w:pPr>
            <w:r>
              <w:rPr>
                <w:sz w:val="20"/>
              </w:rPr>
              <w:t>–</w:t>
            </w:r>
          </w:p>
        </w:tc>
        <w:tc>
          <w:tcPr>
            <w:tcW w:w="1012" w:type="dxa"/>
          </w:tcPr>
          <w:p w14:paraId="6B29763C" w14:textId="77777777" w:rsidR="00B02873" w:rsidRPr="008B3962" w:rsidRDefault="00B02873" w:rsidP="008B3962">
            <w:pPr>
              <w:pStyle w:val="TablebodyleftTables"/>
              <w:rPr>
                <w:sz w:val="20"/>
              </w:rPr>
            </w:pPr>
            <w:r w:rsidRPr="008B3962">
              <w:rPr>
                <w:sz w:val="20"/>
              </w:rPr>
              <w:t>Active</w:t>
            </w:r>
          </w:p>
        </w:tc>
      </w:tr>
      <w:tr w:rsidR="00B02873" w:rsidRPr="008B3962" w14:paraId="19BDCCE5" w14:textId="77777777" w:rsidTr="008B3962">
        <w:trPr>
          <w:trHeight w:val="60"/>
        </w:trPr>
        <w:tc>
          <w:tcPr>
            <w:tcW w:w="964" w:type="dxa"/>
          </w:tcPr>
          <w:p w14:paraId="7C4D81A4" w14:textId="77777777" w:rsidR="00B02873" w:rsidRPr="008B3962" w:rsidRDefault="00B02873" w:rsidP="008B3962">
            <w:pPr>
              <w:pStyle w:val="TablebodyleftTables"/>
              <w:rPr>
                <w:sz w:val="20"/>
              </w:rPr>
            </w:pPr>
            <w:r w:rsidRPr="008B3962">
              <w:rPr>
                <w:sz w:val="20"/>
              </w:rPr>
              <w:t>DET</w:t>
            </w:r>
          </w:p>
        </w:tc>
        <w:tc>
          <w:tcPr>
            <w:tcW w:w="1725" w:type="dxa"/>
          </w:tcPr>
          <w:p w14:paraId="447374E7" w14:textId="77777777" w:rsidR="00B02873" w:rsidRPr="008B3962" w:rsidRDefault="00B02873" w:rsidP="008B3962">
            <w:pPr>
              <w:pStyle w:val="TablebodyleftTables"/>
              <w:rPr>
                <w:sz w:val="20"/>
              </w:rPr>
            </w:pPr>
            <w:r w:rsidRPr="008B3962">
              <w:rPr>
                <w:sz w:val="20"/>
              </w:rPr>
              <w:t>Wyndham, South (River Walk) Primary School</w:t>
            </w:r>
          </w:p>
        </w:tc>
        <w:tc>
          <w:tcPr>
            <w:tcW w:w="1275" w:type="dxa"/>
          </w:tcPr>
          <w:p w14:paraId="1C58935E" w14:textId="77777777" w:rsidR="00B02873" w:rsidRPr="008B3962" w:rsidRDefault="00B02873" w:rsidP="008B3962">
            <w:pPr>
              <w:pStyle w:val="TablebodyleftTables"/>
              <w:rPr>
                <w:sz w:val="20"/>
              </w:rPr>
            </w:pPr>
            <w:r w:rsidRPr="008B3962">
              <w:rPr>
                <w:spacing w:val="-2"/>
                <w:sz w:val="20"/>
              </w:rPr>
              <w:t>2019-20 State Budget</w:t>
            </w:r>
          </w:p>
        </w:tc>
        <w:tc>
          <w:tcPr>
            <w:tcW w:w="1200" w:type="dxa"/>
          </w:tcPr>
          <w:p w14:paraId="0D1A41A3" w14:textId="77777777" w:rsidR="00B02873" w:rsidRPr="008B3962" w:rsidRDefault="00B02873" w:rsidP="00603355">
            <w:pPr>
              <w:pStyle w:val="TablebodyleftTables"/>
              <w:jc w:val="right"/>
              <w:rPr>
                <w:sz w:val="20"/>
              </w:rPr>
            </w:pPr>
            <w:r w:rsidRPr="008B3962">
              <w:rPr>
                <w:sz w:val="20"/>
              </w:rPr>
              <w:t>3,000,000</w:t>
            </w:r>
          </w:p>
        </w:tc>
        <w:tc>
          <w:tcPr>
            <w:tcW w:w="1200" w:type="dxa"/>
          </w:tcPr>
          <w:p w14:paraId="4354BE71" w14:textId="77777777" w:rsidR="00B02873" w:rsidRPr="008B3962" w:rsidRDefault="00B02873" w:rsidP="00603355">
            <w:pPr>
              <w:pStyle w:val="TablebodyleftTables"/>
              <w:jc w:val="right"/>
              <w:rPr>
                <w:sz w:val="20"/>
              </w:rPr>
            </w:pPr>
            <w:r w:rsidRPr="008B3962">
              <w:rPr>
                <w:sz w:val="20"/>
              </w:rPr>
              <w:t>3,000,000</w:t>
            </w:r>
          </w:p>
        </w:tc>
        <w:tc>
          <w:tcPr>
            <w:tcW w:w="1200" w:type="dxa"/>
          </w:tcPr>
          <w:p w14:paraId="251ABFAE" w14:textId="4FAC9F65" w:rsidR="00B02873" w:rsidRPr="008B3962" w:rsidRDefault="00603355" w:rsidP="00603355">
            <w:pPr>
              <w:pStyle w:val="TablebodyleftTables"/>
              <w:jc w:val="right"/>
              <w:rPr>
                <w:sz w:val="20"/>
              </w:rPr>
            </w:pPr>
            <w:r>
              <w:rPr>
                <w:sz w:val="20"/>
              </w:rPr>
              <w:t>–</w:t>
            </w:r>
          </w:p>
        </w:tc>
        <w:tc>
          <w:tcPr>
            <w:tcW w:w="1200" w:type="dxa"/>
          </w:tcPr>
          <w:p w14:paraId="0E384CC2" w14:textId="3CEA5E2E" w:rsidR="00B02873" w:rsidRPr="008B3962" w:rsidRDefault="00603355" w:rsidP="00603355">
            <w:pPr>
              <w:pStyle w:val="TablebodyleftTables"/>
              <w:jc w:val="right"/>
              <w:rPr>
                <w:sz w:val="20"/>
              </w:rPr>
            </w:pPr>
            <w:r>
              <w:rPr>
                <w:sz w:val="20"/>
              </w:rPr>
              <w:t>–</w:t>
            </w:r>
          </w:p>
        </w:tc>
        <w:tc>
          <w:tcPr>
            <w:tcW w:w="1012" w:type="dxa"/>
          </w:tcPr>
          <w:p w14:paraId="20E55A16" w14:textId="77777777" w:rsidR="00B02873" w:rsidRPr="008B3962" w:rsidRDefault="00B02873" w:rsidP="008B3962">
            <w:pPr>
              <w:pStyle w:val="TablebodyleftTables"/>
              <w:rPr>
                <w:sz w:val="20"/>
              </w:rPr>
            </w:pPr>
            <w:r w:rsidRPr="008B3962">
              <w:rPr>
                <w:sz w:val="20"/>
              </w:rPr>
              <w:t>Active</w:t>
            </w:r>
          </w:p>
        </w:tc>
      </w:tr>
      <w:tr w:rsidR="00B02873" w:rsidRPr="008B3962" w14:paraId="10F4B574" w14:textId="77777777" w:rsidTr="008B3962">
        <w:trPr>
          <w:trHeight w:val="60"/>
        </w:trPr>
        <w:tc>
          <w:tcPr>
            <w:tcW w:w="964" w:type="dxa"/>
          </w:tcPr>
          <w:p w14:paraId="216A2AEF" w14:textId="77777777" w:rsidR="00B02873" w:rsidRPr="008B3962" w:rsidRDefault="00B02873" w:rsidP="008B3962">
            <w:pPr>
              <w:pStyle w:val="TablebodyleftTables"/>
              <w:rPr>
                <w:sz w:val="20"/>
              </w:rPr>
            </w:pPr>
            <w:r w:rsidRPr="008B3962">
              <w:rPr>
                <w:sz w:val="20"/>
              </w:rPr>
              <w:t>DET</w:t>
            </w:r>
          </w:p>
        </w:tc>
        <w:tc>
          <w:tcPr>
            <w:tcW w:w="1725" w:type="dxa"/>
          </w:tcPr>
          <w:p w14:paraId="00FDE014" w14:textId="77777777" w:rsidR="00B02873" w:rsidRPr="008B3962" w:rsidRDefault="00B02873" w:rsidP="008B3962">
            <w:pPr>
              <w:pStyle w:val="TablebodyleftTables"/>
              <w:rPr>
                <w:sz w:val="20"/>
              </w:rPr>
            </w:pPr>
            <w:r w:rsidRPr="008B3962">
              <w:rPr>
                <w:sz w:val="20"/>
              </w:rPr>
              <w:t>The Grange P-12 College</w:t>
            </w:r>
          </w:p>
        </w:tc>
        <w:tc>
          <w:tcPr>
            <w:tcW w:w="1275" w:type="dxa"/>
          </w:tcPr>
          <w:p w14:paraId="268A1D29" w14:textId="77777777" w:rsidR="00B02873" w:rsidRPr="008B3962" w:rsidRDefault="00B02873" w:rsidP="008B3962">
            <w:pPr>
              <w:pStyle w:val="TablebodyleftTables"/>
              <w:rPr>
                <w:sz w:val="20"/>
              </w:rPr>
            </w:pPr>
            <w:r w:rsidRPr="008B3962">
              <w:rPr>
                <w:sz w:val="20"/>
              </w:rPr>
              <w:t>2019-20 State Budget</w:t>
            </w:r>
          </w:p>
        </w:tc>
        <w:tc>
          <w:tcPr>
            <w:tcW w:w="1200" w:type="dxa"/>
          </w:tcPr>
          <w:p w14:paraId="1B8D62B9" w14:textId="77777777" w:rsidR="00B02873" w:rsidRPr="008B3962" w:rsidRDefault="00B02873" w:rsidP="00603355">
            <w:pPr>
              <w:pStyle w:val="TablebodyleftTables"/>
              <w:jc w:val="right"/>
              <w:rPr>
                <w:sz w:val="20"/>
              </w:rPr>
            </w:pPr>
            <w:r w:rsidRPr="008B3962">
              <w:rPr>
                <w:sz w:val="20"/>
              </w:rPr>
              <w:t>9,500,000</w:t>
            </w:r>
          </w:p>
        </w:tc>
        <w:tc>
          <w:tcPr>
            <w:tcW w:w="1200" w:type="dxa"/>
          </w:tcPr>
          <w:p w14:paraId="1A11145C" w14:textId="77777777" w:rsidR="00B02873" w:rsidRPr="008B3962" w:rsidRDefault="00B02873" w:rsidP="00603355">
            <w:pPr>
              <w:pStyle w:val="TablebodyleftTables"/>
              <w:jc w:val="right"/>
              <w:rPr>
                <w:sz w:val="20"/>
              </w:rPr>
            </w:pPr>
            <w:r w:rsidRPr="008B3962">
              <w:rPr>
                <w:sz w:val="20"/>
              </w:rPr>
              <w:t>5,500,000</w:t>
            </w:r>
          </w:p>
        </w:tc>
        <w:tc>
          <w:tcPr>
            <w:tcW w:w="1200" w:type="dxa"/>
          </w:tcPr>
          <w:p w14:paraId="1C46D1A6" w14:textId="77777777" w:rsidR="00B02873" w:rsidRPr="008B3962" w:rsidRDefault="00B02873" w:rsidP="00603355">
            <w:pPr>
              <w:pStyle w:val="TablebodyleftTables"/>
              <w:jc w:val="right"/>
              <w:rPr>
                <w:sz w:val="20"/>
              </w:rPr>
            </w:pPr>
            <w:r w:rsidRPr="008B3962">
              <w:rPr>
                <w:sz w:val="20"/>
              </w:rPr>
              <w:t>3,800,000</w:t>
            </w:r>
          </w:p>
        </w:tc>
        <w:tc>
          <w:tcPr>
            <w:tcW w:w="1200" w:type="dxa"/>
          </w:tcPr>
          <w:p w14:paraId="63E57C52" w14:textId="77777777" w:rsidR="00B02873" w:rsidRPr="008B3962" w:rsidRDefault="00B02873" w:rsidP="00603355">
            <w:pPr>
              <w:pStyle w:val="TablebodyleftTables"/>
              <w:jc w:val="right"/>
              <w:rPr>
                <w:sz w:val="20"/>
              </w:rPr>
            </w:pPr>
            <w:r w:rsidRPr="008B3962">
              <w:rPr>
                <w:sz w:val="20"/>
              </w:rPr>
              <w:t>200,000</w:t>
            </w:r>
          </w:p>
        </w:tc>
        <w:tc>
          <w:tcPr>
            <w:tcW w:w="1012" w:type="dxa"/>
          </w:tcPr>
          <w:p w14:paraId="75DF4205" w14:textId="77777777" w:rsidR="00B02873" w:rsidRPr="008B3962" w:rsidRDefault="00B02873" w:rsidP="008B3962">
            <w:pPr>
              <w:pStyle w:val="TablebodyleftTables"/>
              <w:rPr>
                <w:sz w:val="20"/>
              </w:rPr>
            </w:pPr>
            <w:r w:rsidRPr="008B3962">
              <w:rPr>
                <w:sz w:val="20"/>
              </w:rPr>
              <w:t>Active</w:t>
            </w:r>
          </w:p>
        </w:tc>
      </w:tr>
      <w:tr w:rsidR="00B02873" w:rsidRPr="008B3962" w14:paraId="576B2DDC" w14:textId="77777777" w:rsidTr="008B3962">
        <w:trPr>
          <w:trHeight w:val="60"/>
        </w:trPr>
        <w:tc>
          <w:tcPr>
            <w:tcW w:w="964" w:type="dxa"/>
          </w:tcPr>
          <w:p w14:paraId="16E1CB88" w14:textId="77777777" w:rsidR="00B02873" w:rsidRPr="008B3962" w:rsidRDefault="00B02873" w:rsidP="008B3962">
            <w:pPr>
              <w:pStyle w:val="TablebodyleftTables"/>
              <w:rPr>
                <w:sz w:val="20"/>
              </w:rPr>
            </w:pPr>
            <w:r w:rsidRPr="008B3962">
              <w:rPr>
                <w:sz w:val="20"/>
              </w:rPr>
              <w:t>DET</w:t>
            </w:r>
          </w:p>
        </w:tc>
        <w:tc>
          <w:tcPr>
            <w:tcW w:w="1725" w:type="dxa"/>
          </w:tcPr>
          <w:p w14:paraId="6F49D035" w14:textId="77777777" w:rsidR="00B02873" w:rsidRPr="008B3962" w:rsidRDefault="00B02873" w:rsidP="008B3962">
            <w:pPr>
              <w:pStyle w:val="TablebodyleftTables"/>
              <w:rPr>
                <w:sz w:val="20"/>
              </w:rPr>
            </w:pPr>
            <w:r w:rsidRPr="008B3962">
              <w:rPr>
                <w:sz w:val="20"/>
              </w:rPr>
              <w:t>Warringa Park School</w:t>
            </w:r>
          </w:p>
        </w:tc>
        <w:tc>
          <w:tcPr>
            <w:tcW w:w="1275" w:type="dxa"/>
          </w:tcPr>
          <w:p w14:paraId="7DC57D1B" w14:textId="77777777" w:rsidR="00B02873" w:rsidRPr="008B3962" w:rsidRDefault="00B02873" w:rsidP="008B3962">
            <w:pPr>
              <w:pStyle w:val="TablebodyleftTables"/>
              <w:rPr>
                <w:sz w:val="20"/>
              </w:rPr>
            </w:pPr>
            <w:r w:rsidRPr="008B3962">
              <w:rPr>
                <w:sz w:val="20"/>
              </w:rPr>
              <w:t>2019-20 State Budget</w:t>
            </w:r>
          </w:p>
        </w:tc>
        <w:tc>
          <w:tcPr>
            <w:tcW w:w="1200" w:type="dxa"/>
          </w:tcPr>
          <w:p w14:paraId="1C5D7EC1" w14:textId="77777777" w:rsidR="00B02873" w:rsidRPr="008B3962" w:rsidRDefault="00B02873" w:rsidP="00603355">
            <w:pPr>
              <w:pStyle w:val="TablebodyleftTables"/>
              <w:jc w:val="right"/>
              <w:rPr>
                <w:sz w:val="20"/>
              </w:rPr>
            </w:pPr>
            <w:r w:rsidRPr="008B3962">
              <w:rPr>
                <w:sz w:val="20"/>
              </w:rPr>
              <w:t>12,400,000</w:t>
            </w:r>
          </w:p>
        </w:tc>
        <w:tc>
          <w:tcPr>
            <w:tcW w:w="1200" w:type="dxa"/>
          </w:tcPr>
          <w:p w14:paraId="49D47506" w14:textId="77777777" w:rsidR="00B02873" w:rsidRPr="008B3962" w:rsidRDefault="00B02873" w:rsidP="00603355">
            <w:pPr>
              <w:pStyle w:val="TablebodyleftTables"/>
              <w:jc w:val="right"/>
              <w:rPr>
                <w:sz w:val="20"/>
              </w:rPr>
            </w:pPr>
            <w:r w:rsidRPr="008B3962">
              <w:rPr>
                <w:sz w:val="20"/>
              </w:rPr>
              <w:t>12,200,000</w:t>
            </w:r>
          </w:p>
        </w:tc>
        <w:tc>
          <w:tcPr>
            <w:tcW w:w="1200" w:type="dxa"/>
          </w:tcPr>
          <w:p w14:paraId="769A48E2" w14:textId="77777777" w:rsidR="00B02873" w:rsidRPr="008B3962" w:rsidRDefault="00B02873" w:rsidP="00603355">
            <w:pPr>
              <w:pStyle w:val="TablebodyleftTables"/>
              <w:jc w:val="right"/>
              <w:rPr>
                <w:sz w:val="20"/>
              </w:rPr>
            </w:pPr>
            <w:r w:rsidRPr="008B3962">
              <w:rPr>
                <w:sz w:val="20"/>
              </w:rPr>
              <w:t>200,000</w:t>
            </w:r>
          </w:p>
        </w:tc>
        <w:tc>
          <w:tcPr>
            <w:tcW w:w="1200" w:type="dxa"/>
          </w:tcPr>
          <w:p w14:paraId="17EB00E9" w14:textId="5CD7A7CC" w:rsidR="00B02873" w:rsidRPr="008B3962" w:rsidRDefault="00603355" w:rsidP="00603355">
            <w:pPr>
              <w:pStyle w:val="TablebodyleftTables"/>
              <w:jc w:val="right"/>
              <w:rPr>
                <w:sz w:val="20"/>
              </w:rPr>
            </w:pPr>
            <w:r>
              <w:rPr>
                <w:sz w:val="20"/>
              </w:rPr>
              <w:t>–</w:t>
            </w:r>
          </w:p>
        </w:tc>
        <w:tc>
          <w:tcPr>
            <w:tcW w:w="1012" w:type="dxa"/>
          </w:tcPr>
          <w:p w14:paraId="2D8EB965" w14:textId="77777777" w:rsidR="00B02873" w:rsidRPr="008B3962" w:rsidRDefault="00B02873" w:rsidP="008B3962">
            <w:pPr>
              <w:pStyle w:val="TablebodyleftTables"/>
              <w:rPr>
                <w:sz w:val="20"/>
              </w:rPr>
            </w:pPr>
            <w:r w:rsidRPr="008B3962">
              <w:rPr>
                <w:sz w:val="20"/>
              </w:rPr>
              <w:t>Active</w:t>
            </w:r>
          </w:p>
        </w:tc>
      </w:tr>
      <w:tr w:rsidR="00B02873" w:rsidRPr="008B3962" w14:paraId="34A420CA" w14:textId="77777777" w:rsidTr="008B3962">
        <w:trPr>
          <w:trHeight w:val="60"/>
        </w:trPr>
        <w:tc>
          <w:tcPr>
            <w:tcW w:w="964" w:type="dxa"/>
          </w:tcPr>
          <w:p w14:paraId="45CB266A" w14:textId="77777777" w:rsidR="00B02873" w:rsidRPr="008B3962" w:rsidRDefault="00B02873" w:rsidP="008B3962">
            <w:pPr>
              <w:pStyle w:val="TablebodyleftTables"/>
              <w:rPr>
                <w:sz w:val="20"/>
              </w:rPr>
            </w:pPr>
            <w:r w:rsidRPr="008B3962">
              <w:rPr>
                <w:sz w:val="20"/>
              </w:rPr>
              <w:t>DJCS</w:t>
            </w:r>
          </w:p>
        </w:tc>
        <w:tc>
          <w:tcPr>
            <w:tcW w:w="1725" w:type="dxa"/>
          </w:tcPr>
          <w:p w14:paraId="1D8D9404" w14:textId="77777777" w:rsidR="00B02873" w:rsidRPr="008B3962" w:rsidRDefault="00B02873" w:rsidP="008B3962">
            <w:pPr>
              <w:pStyle w:val="TablebodyleftTables"/>
              <w:rPr>
                <w:sz w:val="20"/>
              </w:rPr>
            </w:pPr>
            <w:r w:rsidRPr="008B3962">
              <w:rPr>
                <w:sz w:val="20"/>
              </w:rPr>
              <w:t>Emergency Services facility program for Pt Cook</w:t>
            </w:r>
          </w:p>
        </w:tc>
        <w:tc>
          <w:tcPr>
            <w:tcW w:w="1275" w:type="dxa"/>
          </w:tcPr>
          <w:p w14:paraId="5B741952" w14:textId="77777777" w:rsidR="00B02873" w:rsidRPr="008B3962" w:rsidRDefault="00B02873" w:rsidP="008B3962">
            <w:pPr>
              <w:pStyle w:val="TablebodyleftTables"/>
              <w:rPr>
                <w:sz w:val="20"/>
              </w:rPr>
            </w:pPr>
            <w:r w:rsidRPr="008B3962">
              <w:rPr>
                <w:sz w:val="20"/>
              </w:rPr>
              <w:t>2019-20 State Budget</w:t>
            </w:r>
          </w:p>
        </w:tc>
        <w:tc>
          <w:tcPr>
            <w:tcW w:w="1200" w:type="dxa"/>
          </w:tcPr>
          <w:p w14:paraId="0FFC3DA7" w14:textId="77777777" w:rsidR="00B02873" w:rsidRPr="008B3962" w:rsidRDefault="00B02873" w:rsidP="00603355">
            <w:pPr>
              <w:pStyle w:val="TablebodyleftTables"/>
              <w:jc w:val="right"/>
              <w:rPr>
                <w:sz w:val="20"/>
              </w:rPr>
            </w:pPr>
            <w:r w:rsidRPr="008B3962">
              <w:rPr>
                <w:sz w:val="20"/>
              </w:rPr>
              <w:t>855,000</w:t>
            </w:r>
          </w:p>
        </w:tc>
        <w:tc>
          <w:tcPr>
            <w:tcW w:w="1200" w:type="dxa"/>
          </w:tcPr>
          <w:p w14:paraId="5AD5E17E" w14:textId="77777777" w:rsidR="00B02873" w:rsidRPr="008B3962" w:rsidRDefault="00B02873" w:rsidP="00603355">
            <w:pPr>
              <w:pStyle w:val="TablebodyleftTables"/>
              <w:jc w:val="right"/>
              <w:rPr>
                <w:sz w:val="20"/>
              </w:rPr>
            </w:pPr>
            <w:r w:rsidRPr="008B3962">
              <w:rPr>
                <w:sz w:val="20"/>
              </w:rPr>
              <w:t>855,000</w:t>
            </w:r>
          </w:p>
        </w:tc>
        <w:tc>
          <w:tcPr>
            <w:tcW w:w="1200" w:type="dxa"/>
          </w:tcPr>
          <w:p w14:paraId="5A3896F5" w14:textId="24B7A8F0" w:rsidR="00B02873" w:rsidRPr="008B3962" w:rsidRDefault="00603355" w:rsidP="00603355">
            <w:pPr>
              <w:pStyle w:val="TablebodyleftTables"/>
              <w:jc w:val="right"/>
              <w:rPr>
                <w:sz w:val="20"/>
              </w:rPr>
            </w:pPr>
            <w:r>
              <w:rPr>
                <w:sz w:val="20"/>
              </w:rPr>
              <w:t>–</w:t>
            </w:r>
          </w:p>
        </w:tc>
        <w:tc>
          <w:tcPr>
            <w:tcW w:w="1200" w:type="dxa"/>
          </w:tcPr>
          <w:p w14:paraId="48041C54" w14:textId="79E04331" w:rsidR="00B02873" w:rsidRPr="008B3962" w:rsidRDefault="00603355" w:rsidP="00603355">
            <w:pPr>
              <w:pStyle w:val="TablebodyleftTables"/>
              <w:jc w:val="right"/>
              <w:rPr>
                <w:sz w:val="20"/>
              </w:rPr>
            </w:pPr>
            <w:r>
              <w:rPr>
                <w:sz w:val="20"/>
              </w:rPr>
              <w:t>–</w:t>
            </w:r>
          </w:p>
        </w:tc>
        <w:tc>
          <w:tcPr>
            <w:tcW w:w="1012" w:type="dxa"/>
          </w:tcPr>
          <w:p w14:paraId="60BFAEDC" w14:textId="77777777" w:rsidR="00B02873" w:rsidRPr="008B3962" w:rsidRDefault="00B02873" w:rsidP="008B3962">
            <w:pPr>
              <w:pStyle w:val="TablebodyleftTables"/>
              <w:rPr>
                <w:sz w:val="20"/>
              </w:rPr>
            </w:pPr>
            <w:r w:rsidRPr="008B3962">
              <w:rPr>
                <w:sz w:val="20"/>
              </w:rPr>
              <w:t>Active</w:t>
            </w:r>
          </w:p>
        </w:tc>
      </w:tr>
      <w:tr w:rsidR="00B02873" w:rsidRPr="007B509E" w14:paraId="2237ADAE" w14:textId="77777777" w:rsidTr="008B3962">
        <w:trPr>
          <w:trHeight w:val="60"/>
        </w:trPr>
        <w:tc>
          <w:tcPr>
            <w:tcW w:w="964" w:type="dxa"/>
          </w:tcPr>
          <w:p w14:paraId="178AAA52" w14:textId="77777777" w:rsidR="00B02873" w:rsidRPr="007B509E" w:rsidRDefault="00B02873" w:rsidP="008B3962">
            <w:pPr>
              <w:pStyle w:val="TablebodyleftTables"/>
              <w:rPr>
                <w:b/>
                <w:bCs/>
                <w:sz w:val="20"/>
              </w:rPr>
            </w:pPr>
            <w:r w:rsidRPr="007B509E">
              <w:rPr>
                <w:b/>
                <w:bCs/>
                <w:sz w:val="20"/>
              </w:rPr>
              <w:t>Total</w:t>
            </w:r>
          </w:p>
        </w:tc>
        <w:tc>
          <w:tcPr>
            <w:tcW w:w="1725" w:type="dxa"/>
          </w:tcPr>
          <w:p w14:paraId="3DB4C376" w14:textId="77777777" w:rsidR="00B02873" w:rsidRPr="007B509E" w:rsidRDefault="00B02873" w:rsidP="008B3962">
            <w:pPr>
              <w:pStyle w:val="TablebodyleftTables"/>
              <w:rPr>
                <w:rFonts w:cs="Times New Roman"/>
                <w:b/>
                <w:bCs/>
                <w:sz w:val="20"/>
              </w:rPr>
            </w:pPr>
          </w:p>
        </w:tc>
        <w:tc>
          <w:tcPr>
            <w:tcW w:w="1275" w:type="dxa"/>
          </w:tcPr>
          <w:p w14:paraId="5ABB5E22" w14:textId="77777777" w:rsidR="00B02873" w:rsidRPr="007B509E" w:rsidRDefault="00B02873" w:rsidP="008B3962">
            <w:pPr>
              <w:pStyle w:val="TablebodyleftTables"/>
              <w:rPr>
                <w:rFonts w:cs="Times New Roman"/>
                <w:b/>
                <w:bCs/>
                <w:sz w:val="20"/>
              </w:rPr>
            </w:pPr>
          </w:p>
        </w:tc>
        <w:tc>
          <w:tcPr>
            <w:tcW w:w="1200" w:type="dxa"/>
          </w:tcPr>
          <w:p w14:paraId="61171724" w14:textId="77777777" w:rsidR="00B02873" w:rsidRPr="007B509E" w:rsidRDefault="00B02873" w:rsidP="00603355">
            <w:pPr>
              <w:pStyle w:val="TablebodyleftTables"/>
              <w:jc w:val="right"/>
              <w:rPr>
                <w:b/>
                <w:bCs/>
                <w:sz w:val="20"/>
              </w:rPr>
            </w:pPr>
            <w:r w:rsidRPr="007B509E">
              <w:rPr>
                <w:b/>
                <w:bCs/>
                <w:sz w:val="20"/>
              </w:rPr>
              <w:t>48,555,000</w:t>
            </w:r>
          </w:p>
        </w:tc>
        <w:tc>
          <w:tcPr>
            <w:tcW w:w="1200" w:type="dxa"/>
          </w:tcPr>
          <w:p w14:paraId="4DDFA348" w14:textId="77777777" w:rsidR="00B02873" w:rsidRPr="007B509E" w:rsidRDefault="00B02873" w:rsidP="00603355">
            <w:pPr>
              <w:pStyle w:val="TablebodyleftTables"/>
              <w:jc w:val="right"/>
              <w:rPr>
                <w:b/>
                <w:bCs/>
                <w:sz w:val="20"/>
              </w:rPr>
            </w:pPr>
            <w:r w:rsidRPr="007B509E">
              <w:rPr>
                <w:b/>
                <w:bCs/>
                <w:sz w:val="20"/>
              </w:rPr>
              <w:t>36,855,000</w:t>
            </w:r>
          </w:p>
        </w:tc>
        <w:tc>
          <w:tcPr>
            <w:tcW w:w="1200" w:type="dxa"/>
          </w:tcPr>
          <w:p w14:paraId="1787EDE1" w14:textId="77777777" w:rsidR="00B02873" w:rsidRPr="007B509E" w:rsidRDefault="00B02873" w:rsidP="00603355">
            <w:pPr>
              <w:pStyle w:val="TablebodyleftTables"/>
              <w:jc w:val="right"/>
              <w:rPr>
                <w:b/>
                <w:bCs/>
                <w:sz w:val="20"/>
              </w:rPr>
            </w:pPr>
            <w:r w:rsidRPr="007B509E">
              <w:rPr>
                <w:b/>
                <w:bCs/>
                <w:sz w:val="20"/>
              </w:rPr>
              <w:t>5,283,900</w:t>
            </w:r>
          </w:p>
        </w:tc>
        <w:tc>
          <w:tcPr>
            <w:tcW w:w="1200" w:type="dxa"/>
          </w:tcPr>
          <w:p w14:paraId="54BD99B8" w14:textId="77777777" w:rsidR="00B02873" w:rsidRPr="007B509E" w:rsidRDefault="00B02873" w:rsidP="00603355">
            <w:pPr>
              <w:pStyle w:val="TablebodyleftTables"/>
              <w:jc w:val="right"/>
              <w:rPr>
                <w:b/>
                <w:bCs/>
                <w:sz w:val="20"/>
              </w:rPr>
            </w:pPr>
            <w:r w:rsidRPr="007B509E">
              <w:rPr>
                <w:b/>
                <w:bCs/>
                <w:sz w:val="20"/>
              </w:rPr>
              <w:t>6,200,000</w:t>
            </w:r>
          </w:p>
        </w:tc>
        <w:tc>
          <w:tcPr>
            <w:tcW w:w="1012" w:type="dxa"/>
          </w:tcPr>
          <w:p w14:paraId="08BEFE8A" w14:textId="77777777" w:rsidR="00B02873" w:rsidRPr="007B509E" w:rsidRDefault="00B02873" w:rsidP="008B3962">
            <w:pPr>
              <w:pStyle w:val="TablebodyleftTables"/>
              <w:rPr>
                <w:rFonts w:cs="Times New Roman"/>
                <w:b/>
                <w:bCs/>
                <w:sz w:val="20"/>
              </w:rPr>
            </w:pPr>
          </w:p>
        </w:tc>
      </w:tr>
    </w:tbl>
    <w:p w14:paraId="4D0EB2DE" w14:textId="77777777" w:rsidR="00B02873" w:rsidRDefault="00B02873" w:rsidP="00FE198A"/>
    <w:p w14:paraId="47F0D380" w14:textId="77777777" w:rsidR="00B02873" w:rsidRDefault="00B02873" w:rsidP="008B3962">
      <w:pPr>
        <w:pStyle w:val="TabletitleTables"/>
      </w:pPr>
      <w:r>
        <w:lastRenderedPageBreak/>
        <w:t>Table 21: GAPTF-funded projects in Wyndham</w:t>
      </w:r>
    </w:p>
    <w:tbl>
      <w:tblPr>
        <w:tblStyle w:val="TableGrid"/>
        <w:tblW w:w="9776" w:type="dxa"/>
        <w:tblLayout w:type="fixed"/>
        <w:tblLook w:val="0020" w:firstRow="1" w:lastRow="0" w:firstColumn="0" w:lastColumn="0" w:noHBand="0" w:noVBand="0"/>
      </w:tblPr>
      <w:tblGrid>
        <w:gridCol w:w="964"/>
        <w:gridCol w:w="1725"/>
        <w:gridCol w:w="1243"/>
        <w:gridCol w:w="1200"/>
        <w:gridCol w:w="1200"/>
        <w:gridCol w:w="1200"/>
        <w:gridCol w:w="1200"/>
        <w:gridCol w:w="1044"/>
      </w:tblGrid>
      <w:tr w:rsidR="00B02873" w:rsidRPr="008B3962" w14:paraId="75761E93" w14:textId="77777777" w:rsidTr="008B3962">
        <w:trPr>
          <w:cnfStyle w:val="100000000000" w:firstRow="1" w:lastRow="0" w:firstColumn="0" w:lastColumn="0" w:oddVBand="0" w:evenVBand="0" w:oddHBand="0" w:evenHBand="0" w:firstRowFirstColumn="0" w:firstRowLastColumn="0" w:lastRowFirstColumn="0" w:lastRowLastColumn="0"/>
          <w:trHeight w:val="60"/>
        </w:trPr>
        <w:tc>
          <w:tcPr>
            <w:tcW w:w="964" w:type="dxa"/>
          </w:tcPr>
          <w:p w14:paraId="7CEEC211" w14:textId="77777777" w:rsidR="00B02873" w:rsidRPr="008B3962" w:rsidRDefault="00B02873" w:rsidP="008B3962">
            <w:pPr>
              <w:pStyle w:val="TableheadingleftTables"/>
              <w:rPr>
                <w:sz w:val="20"/>
                <w:szCs w:val="16"/>
              </w:rPr>
            </w:pPr>
            <w:r w:rsidRPr="008B3962">
              <w:rPr>
                <w:sz w:val="20"/>
                <w:szCs w:val="16"/>
              </w:rPr>
              <w:t>Agency</w:t>
            </w:r>
          </w:p>
        </w:tc>
        <w:tc>
          <w:tcPr>
            <w:tcW w:w="1725" w:type="dxa"/>
          </w:tcPr>
          <w:p w14:paraId="6E980DF1" w14:textId="77777777" w:rsidR="00B02873" w:rsidRPr="008B3962" w:rsidRDefault="00B02873" w:rsidP="008B3962">
            <w:pPr>
              <w:pStyle w:val="TableheadingleftTables"/>
              <w:rPr>
                <w:sz w:val="20"/>
                <w:szCs w:val="16"/>
              </w:rPr>
            </w:pPr>
            <w:r w:rsidRPr="008B3962">
              <w:rPr>
                <w:sz w:val="20"/>
                <w:szCs w:val="16"/>
              </w:rPr>
              <w:t>Purpose</w:t>
            </w:r>
          </w:p>
        </w:tc>
        <w:tc>
          <w:tcPr>
            <w:tcW w:w="1243" w:type="dxa"/>
          </w:tcPr>
          <w:p w14:paraId="5A5BDBD9" w14:textId="77777777" w:rsidR="00B02873" w:rsidRPr="008B3962" w:rsidRDefault="00B02873" w:rsidP="008B3962">
            <w:pPr>
              <w:pStyle w:val="TableheadingleftTables"/>
              <w:rPr>
                <w:sz w:val="20"/>
                <w:szCs w:val="16"/>
              </w:rPr>
            </w:pPr>
            <w:r w:rsidRPr="008B3962">
              <w:rPr>
                <w:sz w:val="20"/>
                <w:szCs w:val="16"/>
              </w:rPr>
              <w:t>Year Announced</w:t>
            </w:r>
          </w:p>
        </w:tc>
        <w:tc>
          <w:tcPr>
            <w:tcW w:w="1200" w:type="dxa"/>
          </w:tcPr>
          <w:p w14:paraId="110DF312" w14:textId="77777777" w:rsidR="00B02873" w:rsidRPr="008B3962" w:rsidRDefault="00B02873" w:rsidP="007F02BD">
            <w:pPr>
              <w:pStyle w:val="TableheadingleftTables"/>
              <w:jc w:val="right"/>
              <w:rPr>
                <w:sz w:val="20"/>
                <w:szCs w:val="16"/>
              </w:rPr>
            </w:pPr>
            <w:r w:rsidRPr="008B3962">
              <w:rPr>
                <w:sz w:val="20"/>
                <w:szCs w:val="16"/>
              </w:rPr>
              <w:t>Allocated</w:t>
            </w:r>
          </w:p>
        </w:tc>
        <w:tc>
          <w:tcPr>
            <w:tcW w:w="1200" w:type="dxa"/>
          </w:tcPr>
          <w:p w14:paraId="5F32A7D8" w14:textId="77777777" w:rsidR="00B02873" w:rsidRPr="008B3962" w:rsidRDefault="00B02873" w:rsidP="007F02BD">
            <w:pPr>
              <w:pStyle w:val="TableheadingleftTables"/>
              <w:jc w:val="right"/>
              <w:rPr>
                <w:sz w:val="20"/>
                <w:szCs w:val="16"/>
              </w:rPr>
            </w:pPr>
            <w:r w:rsidRPr="008B3962">
              <w:rPr>
                <w:sz w:val="20"/>
                <w:szCs w:val="16"/>
              </w:rPr>
              <w:t>Amount paid to 30 June 2021</w:t>
            </w:r>
          </w:p>
        </w:tc>
        <w:tc>
          <w:tcPr>
            <w:tcW w:w="1200" w:type="dxa"/>
          </w:tcPr>
          <w:p w14:paraId="355DED0D" w14:textId="77777777" w:rsidR="00B02873" w:rsidRPr="008B3962" w:rsidRDefault="00B02873" w:rsidP="007F02BD">
            <w:pPr>
              <w:pStyle w:val="TableheadingleftTables"/>
              <w:jc w:val="right"/>
              <w:rPr>
                <w:sz w:val="20"/>
                <w:szCs w:val="16"/>
              </w:rPr>
            </w:pPr>
            <w:r w:rsidRPr="008B3962">
              <w:rPr>
                <w:sz w:val="20"/>
                <w:szCs w:val="16"/>
              </w:rPr>
              <w:t>Amount paid in 2021-22</w:t>
            </w:r>
          </w:p>
        </w:tc>
        <w:tc>
          <w:tcPr>
            <w:tcW w:w="1200" w:type="dxa"/>
          </w:tcPr>
          <w:p w14:paraId="6F5BCE8E" w14:textId="77777777" w:rsidR="00B02873" w:rsidRPr="008B3962" w:rsidRDefault="00B02873" w:rsidP="007F02BD">
            <w:pPr>
              <w:pStyle w:val="TableheadingleftTables"/>
              <w:jc w:val="right"/>
              <w:rPr>
                <w:sz w:val="20"/>
                <w:szCs w:val="16"/>
              </w:rPr>
            </w:pPr>
            <w:r w:rsidRPr="008B3962">
              <w:rPr>
                <w:sz w:val="20"/>
                <w:szCs w:val="16"/>
              </w:rPr>
              <w:t>Amount yet to be paid</w:t>
            </w:r>
          </w:p>
        </w:tc>
        <w:tc>
          <w:tcPr>
            <w:tcW w:w="1044" w:type="dxa"/>
          </w:tcPr>
          <w:p w14:paraId="30101EB0" w14:textId="77777777" w:rsidR="00B02873" w:rsidRPr="008B3962" w:rsidRDefault="00B02873" w:rsidP="008B3962">
            <w:pPr>
              <w:pStyle w:val="TableheadingleftTables"/>
              <w:rPr>
                <w:sz w:val="20"/>
                <w:szCs w:val="16"/>
              </w:rPr>
            </w:pPr>
            <w:r w:rsidRPr="008B3962">
              <w:rPr>
                <w:sz w:val="20"/>
                <w:szCs w:val="16"/>
              </w:rPr>
              <w:t>Status</w:t>
            </w:r>
          </w:p>
        </w:tc>
      </w:tr>
      <w:tr w:rsidR="00B02873" w:rsidRPr="008B3962" w14:paraId="04EF62A9" w14:textId="77777777" w:rsidTr="008B3962">
        <w:trPr>
          <w:trHeight w:val="60"/>
        </w:trPr>
        <w:tc>
          <w:tcPr>
            <w:tcW w:w="964" w:type="dxa"/>
          </w:tcPr>
          <w:p w14:paraId="4F7FE909" w14:textId="77777777" w:rsidR="00B02873" w:rsidRPr="008B3962" w:rsidRDefault="00B02873" w:rsidP="008B3962">
            <w:pPr>
              <w:pStyle w:val="TablebodyleftTables"/>
              <w:rPr>
                <w:sz w:val="20"/>
              </w:rPr>
            </w:pPr>
            <w:r w:rsidRPr="008B3962">
              <w:rPr>
                <w:sz w:val="20"/>
              </w:rPr>
              <w:t>PTV</w:t>
            </w:r>
          </w:p>
        </w:tc>
        <w:tc>
          <w:tcPr>
            <w:tcW w:w="1725" w:type="dxa"/>
          </w:tcPr>
          <w:p w14:paraId="791BCD04" w14:textId="7FE30D27" w:rsidR="00B02873" w:rsidRPr="008B3962" w:rsidRDefault="00B02873" w:rsidP="008B3962">
            <w:pPr>
              <w:pStyle w:val="TablebodyleftTables"/>
              <w:rPr>
                <w:sz w:val="20"/>
              </w:rPr>
            </w:pPr>
            <w:r w:rsidRPr="008B3962">
              <w:rPr>
                <w:sz w:val="20"/>
              </w:rPr>
              <w:t>182 Werribee Station</w:t>
            </w:r>
            <w:r w:rsidR="000C45FC" w:rsidRPr="008B3962">
              <w:rPr>
                <w:sz w:val="20"/>
              </w:rPr>
              <w:t xml:space="preserve"> – </w:t>
            </w:r>
            <w:r w:rsidRPr="008B3962">
              <w:rPr>
                <w:sz w:val="20"/>
              </w:rPr>
              <w:t>Tarneit Station bus route</w:t>
            </w:r>
          </w:p>
        </w:tc>
        <w:tc>
          <w:tcPr>
            <w:tcW w:w="1243" w:type="dxa"/>
          </w:tcPr>
          <w:p w14:paraId="3A950EFC" w14:textId="77777777" w:rsidR="00B02873" w:rsidRPr="008B3962" w:rsidRDefault="00B02873" w:rsidP="008B3962">
            <w:pPr>
              <w:pStyle w:val="TablebodyleftTables"/>
              <w:rPr>
                <w:sz w:val="20"/>
              </w:rPr>
            </w:pPr>
            <w:r w:rsidRPr="008B3962">
              <w:rPr>
                <w:sz w:val="20"/>
              </w:rPr>
              <w:t>2018-19</w:t>
            </w:r>
          </w:p>
        </w:tc>
        <w:tc>
          <w:tcPr>
            <w:tcW w:w="1200" w:type="dxa"/>
          </w:tcPr>
          <w:p w14:paraId="036CAF32" w14:textId="77777777" w:rsidR="00B02873" w:rsidRPr="008B3962" w:rsidRDefault="00B02873" w:rsidP="007F02BD">
            <w:pPr>
              <w:pStyle w:val="TablebodyleftTables"/>
              <w:jc w:val="right"/>
              <w:rPr>
                <w:sz w:val="20"/>
              </w:rPr>
            </w:pPr>
            <w:r w:rsidRPr="008B3962">
              <w:rPr>
                <w:sz w:val="20"/>
              </w:rPr>
              <w:t>10,200,000</w:t>
            </w:r>
          </w:p>
        </w:tc>
        <w:tc>
          <w:tcPr>
            <w:tcW w:w="1200" w:type="dxa"/>
          </w:tcPr>
          <w:p w14:paraId="7B89B5E0" w14:textId="77777777" w:rsidR="00B02873" w:rsidRPr="008B3962" w:rsidRDefault="00B02873" w:rsidP="007F02BD">
            <w:pPr>
              <w:pStyle w:val="TablebodyleftTables"/>
              <w:jc w:val="right"/>
              <w:rPr>
                <w:sz w:val="20"/>
              </w:rPr>
            </w:pPr>
            <w:r w:rsidRPr="008B3962">
              <w:rPr>
                <w:sz w:val="20"/>
              </w:rPr>
              <w:t>9,180,000</w:t>
            </w:r>
          </w:p>
        </w:tc>
        <w:tc>
          <w:tcPr>
            <w:tcW w:w="1200" w:type="dxa"/>
          </w:tcPr>
          <w:p w14:paraId="6D1352BA" w14:textId="77777777" w:rsidR="00B02873" w:rsidRPr="008B3962" w:rsidRDefault="00B02873" w:rsidP="007F02BD">
            <w:pPr>
              <w:pStyle w:val="TablebodyleftTables"/>
              <w:jc w:val="right"/>
              <w:rPr>
                <w:sz w:val="20"/>
              </w:rPr>
            </w:pPr>
            <w:r w:rsidRPr="008B3962">
              <w:rPr>
                <w:sz w:val="20"/>
              </w:rPr>
              <w:t>1,020,000</w:t>
            </w:r>
          </w:p>
        </w:tc>
        <w:tc>
          <w:tcPr>
            <w:tcW w:w="1200" w:type="dxa"/>
          </w:tcPr>
          <w:p w14:paraId="19598942" w14:textId="5A071D4B" w:rsidR="00B02873" w:rsidRPr="008B3962" w:rsidRDefault="008B3962" w:rsidP="007F02BD">
            <w:pPr>
              <w:pStyle w:val="TablebodyleftTables"/>
              <w:jc w:val="right"/>
              <w:rPr>
                <w:sz w:val="20"/>
              </w:rPr>
            </w:pPr>
            <w:r>
              <w:rPr>
                <w:sz w:val="20"/>
              </w:rPr>
              <w:t>–</w:t>
            </w:r>
          </w:p>
        </w:tc>
        <w:tc>
          <w:tcPr>
            <w:tcW w:w="1044" w:type="dxa"/>
          </w:tcPr>
          <w:p w14:paraId="1AF35ACE" w14:textId="77777777" w:rsidR="00B02873" w:rsidRPr="008B3962" w:rsidRDefault="00B02873" w:rsidP="008B3962">
            <w:pPr>
              <w:pStyle w:val="TablebodyleftTables"/>
              <w:rPr>
                <w:sz w:val="20"/>
              </w:rPr>
            </w:pPr>
            <w:r w:rsidRPr="008B3962">
              <w:rPr>
                <w:sz w:val="20"/>
              </w:rPr>
              <w:t>Complete</w:t>
            </w:r>
          </w:p>
        </w:tc>
      </w:tr>
      <w:tr w:rsidR="00B02873" w:rsidRPr="008B3962" w14:paraId="53D62C96" w14:textId="77777777" w:rsidTr="008B3962">
        <w:trPr>
          <w:trHeight w:val="60"/>
        </w:trPr>
        <w:tc>
          <w:tcPr>
            <w:tcW w:w="964" w:type="dxa"/>
          </w:tcPr>
          <w:p w14:paraId="6EA8AE5B" w14:textId="77777777" w:rsidR="00B02873" w:rsidRPr="008B3962" w:rsidRDefault="00B02873" w:rsidP="008B3962">
            <w:pPr>
              <w:pStyle w:val="TablebodyleftTables"/>
              <w:rPr>
                <w:sz w:val="20"/>
              </w:rPr>
            </w:pPr>
            <w:r w:rsidRPr="008B3962">
              <w:rPr>
                <w:sz w:val="20"/>
              </w:rPr>
              <w:t>PTV</w:t>
            </w:r>
          </w:p>
        </w:tc>
        <w:tc>
          <w:tcPr>
            <w:tcW w:w="1725" w:type="dxa"/>
          </w:tcPr>
          <w:p w14:paraId="5835C567" w14:textId="7B8E07E9" w:rsidR="00B02873" w:rsidRPr="008B3962" w:rsidRDefault="00B02873" w:rsidP="008B3962">
            <w:pPr>
              <w:pStyle w:val="TablebodyleftTables"/>
              <w:rPr>
                <w:sz w:val="20"/>
              </w:rPr>
            </w:pPr>
            <w:r w:rsidRPr="008B3962">
              <w:rPr>
                <w:sz w:val="20"/>
              </w:rPr>
              <w:t>Route 152 Tarneit Station</w:t>
            </w:r>
            <w:r w:rsidR="000C45FC" w:rsidRPr="008B3962">
              <w:rPr>
                <w:sz w:val="20"/>
              </w:rPr>
              <w:t xml:space="preserve"> – </w:t>
            </w:r>
            <w:r w:rsidRPr="008B3962">
              <w:rPr>
                <w:sz w:val="20"/>
              </w:rPr>
              <w:t>Williams Landing Station bus route</w:t>
            </w:r>
          </w:p>
        </w:tc>
        <w:tc>
          <w:tcPr>
            <w:tcW w:w="1243" w:type="dxa"/>
          </w:tcPr>
          <w:p w14:paraId="21E2F36F" w14:textId="77777777" w:rsidR="00B02873" w:rsidRPr="008B3962" w:rsidRDefault="00B02873" w:rsidP="008B3962">
            <w:pPr>
              <w:pStyle w:val="TablebodyleftTables"/>
              <w:rPr>
                <w:sz w:val="20"/>
              </w:rPr>
            </w:pPr>
            <w:r w:rsidRPr="008B3962">
              <w:rPr>
                <w:sz w:val="20"/>
              </w:rPr>
              <w:t>2018-19</w:t>
            </w:r>
          </w:p>
        </w:tc>
        <w:tc>
          <w:tcPr>
            <w:tcW w:w="1200" w:type="dxa"/>
          </w:tcPr>
          <w:p w14:paraId="1AA1BC33" w14:textId="77777777" w:rsidR="00B02873" w:rsidRPr="008B3962" w:rsidRDefault="00B02873" w:rsidP="007F02BD">
            <w:pPr>
              <w:pStyle w:val="TablebodyleftTables"/>
              <w:jc w:val="right"/>
              <w:rPr>
                <w:sz w:val="20"/>
              </w:rPr>
            </w:pPr>
            <w:r w:rsidRPr="008B3962">
              <w:rPr>
                <w:sz w:val="20"/>
              </w:rPr>
              <w:t>7,200,000</w:t>
            </w:r>
          </w:p>
        </w:tc>
        <w:tc>
          <w:tcPr>
            <w:tcW w:w="1200" w:type="dxa"/>
          </w:tcPr>
          <w:p w14:paraId="49BD9FF5" w14:textId="77777777" w:rsidR="00B02873" w:rsidRPr="008B3962" w:rsidRDefault="00B02873" w:rsidP="007F02BD">
            <w:pPr>
              <w:pStyle w:val="TablebodyleftTables"/>
              <w:jc w:val="right"/>
              <w:rPr>
                <w:sz w:val="20"/>
              </w:rPr>
            </w:pPr>
            <w:r w:rsidRPr="008B3962">
              <w:rPr>
                <w:sz w:val="20"/>
              </w:rPr>
              <w:t>6,480,000</w:t>
            </w:r>
          </w:p>
        </w:tc>
        <w:tc>
          <w:tcPr>
            <w:tcW w:w="1200" w:type="dxa"/>
          </w:tcPr>
          <w:p w14:paraId="0AAE5306" w14:textId="77777777" w:rsidR="00B02873" w:rsidRPr="008B3962" w:rsidRDefault="00B02873" w:rsidP="007F02BD">
            <w:pPr>
              <w:pStyle w:val="TablebodyleftTables"/>
              <w:jc w:val="right"/>
              <w:rPr>
                <w:sz w:val="20"/>
              </w:rPr>
            </w:pPr>
            <w:r w:rsidRPr="008B3962">
              <w:rPr>
                <w:sz w:val="20"/>
              </w:rPr>
              <w:t>720,000</w:t>
            </w:r>
          </w:p>
        </w:tc>
        <w:tc>
          <w:tcPr>
            <w:tcW w:w="1200" w:type="dxa"/>
          </w:tcPr>
          <w:p w14:paraId="5CB3B890" w14:textId="7D8A700E" w:rsidR="00B02873" w:rsidRPr="008B3962" w:rsidRDefault="008B3962" w:rsidP="007F02BD">
            <w:pPr>
              <w:pStyle w:val="TablebodyleftTables"/>
              <w:jc w:val="right"/>
              <w:rPr>
                <w:sz w:val="20"/>
              </w:rPr>
            </w:pPr>
            <w:r>
              <w:rPr>
                <w:sz w:val="20"/>
              </w:rPr>
              <w:t>–</w:t>
            </w:r>
          </w:p>
        </w:tc>
        <w:tc>
          <w:tcPr>
            <w:tcW w:w="1044" w:type="dxa"/>
          </w:tcPr>
          <w:p w14:paraId="75BC4CAB" w14:textId="77777777" w:rsidR="00B02873" w:rsidRPr="008B3962" w:rsidRDefault="00B02873" w:rsidP="008B3962">
            <w:pPr>
              <w:pStyle w:val="TablebodyleftTables"/>
              <w:rPr>
                <w:sz w:val="20"/>
              </w:rPr>
            </w:pPr>
            <w:r w:rsidRPr="008B3962">
              <w:rPr>
                <w:sz w:val="20"/>
              </w:rPr>
              <w:t>Complete</w:t>
            </w:r>
          </w:p>
        </w:tc>
      </w:tr>
      <w:tr w:rsidR="00B02873" w:rsidRPr="008B3962" w14:paraId="18D17E13" w14:textId="77777777" w:rsidTr="008B3962">
        <w:trPr>
          <w:trHeight w:val="60"/>
        </w:trPr>
        <w:tc>
          <w:tcPr>
            <w:tcW w:w="964" w:type="dxa"/>
          </w:tcPr>
          <w:p w14:paraId="5A79690E" w14:textId="77777777" w:rsidR="00B02873" w:rsidRPr="008B3962" w:rsidRDefault="00B02873" w:rsidP="008B3962">
            <w:pPr>
              <w:pStyle w:val="TablebodyleftTables"/>
              <w:rPr>
                <w:sz w:val="20"/>
              </w:rPr>
            </w:pPr>
            <w:r w:rsidRPr="008B3962">
              <w:rPr>
                <w:sz w:val="20"/>
              </w:rPr>
              <w:t>DoT</w:t>
            </w:r>
          </w:p>
        </w:tc>
        <w:tc>
          <w:tcPr>
            <w:tcW w:w="1725" w:type="dxa"/>
          </w:tcPr>
          <w:p w14:paraId="7EC033DF" w14:textId="42F9D2A8" w:rsidR="00B02873" w:rsidRPr="008B3962" w:rsidRDefault="00B02873" w:rsidP="008B3962">
            <w:pPr>
              <w:pStyle w:val="TablebodyleftTables"/>
              <w:rPr>
                <w:sz w:val="20"/>
              </w:rPr>
            </w:pPr>
            <w:r w:rsidRPr="008B3962">
              <w:rPr>
                <w:sz w:val="20"/>
              </w:rPr>
              <w:t>Bus and Cycle Access to Tarneit Station (including additional funding announced in 2021-22)</w:t>
            </w:r>
          </w:p>
        </w:tc>
        <w:tc>
          <w:tcPr>
            <w:tcW w:w="1243" w:type="dxa"/>
          </w:tcPr>
          <w:p w14:paraId="2E92E088" w14:textId="77777777" w:rsidR="00B02873" w:rsidRPr="008B3962" w:rsidRDefault="00B02873" w:rsidP="008B3962">
            <w:pPr>
              <w:pStyle w:val="TablebodyleftTables"/>
              <w:rPr>
                <w:sz w:val="20"/>
              </w:rPr>
            </w:pPr>
            <w:r w:rsidRPr="008B3962">
              <w:rPr>
                <w:sz w:val="20"/>
              </w:rPr>
              <w:t>2019-20</w:t>
            </w:r>
          </w:p>
        </w:tc>
        <w:tc>
          <w:tcPr>
            <w:tcW w:w="1200" w:type="dxa"/>
          </w:tcPr>
          <w:p w14:paraId="53BC983F" w14:textId="77777777" w:rsidR="00B02873" w:rsidRPr="008B3962" w:rsidRDefault="00B02873" w:rsidP="007F02BD">
            <w:pPr>
              <w:pStyle w:val="TablebodyleftTables"/>
              <w:jc w:val="right"/>
              <w:rPr>
                <w:sz w:val="20"/>
              </w:rPr>
            </w:pPr>
            <w:r w:rsidRPr="008B3962">
              <w:rPr>
                <w:sz w:val="20"/>
              </w:rPr>
              <w:t>18,847,000</w:t>
            </w:r>
          </w:p>
        </w:tc>
        <w:tc>
          <w:tcPr>
            <w:tcW w:w="1200" w:type="dxa"/>
          </w:tcPr>
          <w:p w14:paraId="052996BC" w14:textId="77777777" w:rsidR="00B02873" w:rsidRPr="008B3962" w:rsidRDefault="00B02873" w:rsidP="007F02BD">
            <w:pPr>
              <w:pStyle w:val="TablebodyleftTables"/>
              <w:jc w:val="right"/>
              <w:rPr>
                <w:sz w:val="20"/>
              </w:rPr>
            </w:pPr>
            <w:r w:rsidRPr="008B3962">
              <w:rPr>
                <w:sz w:val="20"/>
              </w:rPr>
              <w:t>694,563</w:t>
            </w:r>
          </w:p>
        </w:tc>
        <w:tc>
          <w:tcPr>
            <w:tcW w:w="1200" w:type="dxa"/>
          </w:tcPr>
          <w:p w14:paraId="278868B7" w14:textId="77777777" w:rsidR="00B02873" w:rsidRPr="008B3962" w:rsidRDefault="00B02873" w:rsidP="007F02BD">
            <w:pPr>
              <w:pStyle w:val="TablebodyleftTables"/>
              <w:jc w:val="right"/>
              <w:rPr>
                <w:sz w:val="20"/>
              </w:rPr>
            </w:pPr>
            <w:r w:rsidRPr="008B3962">
              <w:rPr>
                <w:sz w:val="20"/>
              </w:rPr>
              <w:t>16,337,137</w:t>
            </w:r>
          </w:p>
        </w:tc>
        <w:tc>
          <w:tcPr>
            <w:tcW w:w="1200" w:type="dxa"/>
          </w:tcPr>
          <w:p w14:paraId="3725F3B9" w14:textId="77777777" w:rsidR="00B02873" w:rsidRPr="008B3962" w:rsidRDefault="00B02873" w:rsidP="007F02BD">
            <w:pPr>
              <w:pStyle w:val="TablebodyleftTables"/>
              <w:jc w:val="right"/>
              <w:rPr>
                <w:sz w:val="20"/>
              </w:rPr>
            </w:pPr>
            <w:r w:rsidRPr="008B3962">
              <w:rPr>
                <w:sz w:val="20"/>
              </w:rPr>
              <w:t>1,815,300</w:t>
            </w:r>
          </w:p>
        </w:tc>
        <w:tc>
          <w:tcPr>
            <w:tcW w:w="1044" w:type="dxa"/>
          </w:tcPr>
          <w:p w14:paraId="4603BF5F" w14:textId="77777777" w:rsidR="00B02873" w:rsidRPr="008B3962" w:rsidRDefault="00B02873" w:rsidP="008B3962">
            <w:pPr>
              <w:pStyle w:val="TablebodyleftTables"/>
              <w:rPr>
                <w:sz w:val="20"/>
              </w:rPr>
            </w:pPr>
            <w:r w:rsidRPr="008B3962">
              <w:rPr>
                <w:sz w:val="20"/>
              </w:rPr>
              <w:t>Active</w:t>
            </w:r>
          </w:p>
        </w:tc>
      </w:tr>
      <w:tr w:rsidR="00B02873" w:rsidRPr="007B509E" w14:paraId="43E95792" w14:textId="77777777" w:rsidTr="008B3962">
        <w:trPr>
          <w:trHeight w:val="60"/>
        </w:trPr>
        <w:tc>
          <w:tcPr>
            <w:tcW w:w="964" w:type="dxa"/>
          </w:tcPr>
          <w:p w14:paraId="37DE5B38" w14:textId="77777777" w:rsidR="00B02873" w:rsidRPr="007B509E" w:rsidRDefault="00B02873" w:rsidP="008B3962">
            <w:pPr>
              <w:pStyle w:val="TablebodyleftTables"/>
              <w:rPr>
                <w:b/>
                <w:bCs/>
                <w:sz w:val="20"/>
              </w:rPr>
            </w:pPr>
            <w:r w:rsidRPr="007B509E">
              <w:rPr>
                <w:b/>
                <w:bCs/>
                <w:sz w:val="20"/>
              </w:rPr>
              <w:t>Total</w:t>
            </w:r>
          </w:p>
        </w:tc>
        <w:tc>
          <w:tcPr>
            <w:tcW w:w="1725" w:type="dxa"/>
          </w:tcPr>
          <w:p w14:paraId="685E55A6" w14:textId="77777777" w:rsidR="00B02873" w:rsidRPr="007B509E" w:rsidRDefault="00B02873" w:rsidP="008B3962">
            <w:pPr>
              <w:pStyle w:val="TablebodyleftTables"/>
              <w:rPr>
                <w:rFonts w:cs="Times New Roman"/>
                <w:b/>
                <w:bCs/>
                <w:sz w:val="20"/>
              </w:rPr>
            </w:pPr>
          </w:p>
        </w:tc>
        <w:tc>
          <w:tcPr>
            <w:tcW w:w="1243" w:type="dxa"/>
          </w:tcPr>
          <w:p w14:paraId="0608A723" w14:textId="77777777" w:rsidR="00B02873" w:rsidRPr="007B509E" w:rsidRDefault="00B02873" w:rsidP="008B3962">
            <w:pPr>
              <w:pStyle w:val="TablebodyleftTables"/>
              <w:rPr>
                <w:rFonts w:cs="Times New Roman"/>
                <w:b/>
                <w:bCs/>
                <w:sz w:val="20"/>
              </w:rPr>
            </w:pPr>
          </w:p>
        </w:tc>
        <w:tc>
          <w:tcPr>
            <w:tcW w:w="1200" w:type="dxa"/>
          </w:tcPr>
          <w:p w14:paraId="1500976D" w14:textId="77777777" w:rsidR="00B02873" w:rsidRPr="007B509E" w:rsidRDefault="00B02873" w:rsidP="007F02BD">
            <w:pPr>
              <w:pStyle w:val="TablebodyleftTables"/>
              <w:jc w:val="right"/>
              <w:rPr>
                <w:b/>
                <w:bCs/>
                <w:sz w:val="20"/>
              </w:rPr>
            </w:pPr>
            <w:r w:rsidRPr="007B509E">
              <w:rPr>
                <w:b/>
                <w:bCs/>
                <w:sz w:val="20"/>
              </w:rPr>
              <w:t>36,247,000</w:t>
            </w:r>
          </w:p>
        </w:tc>
        <w:tc>
          <w:tcPr>
            <w:tcW w:w="1200" w:type="dxa"/>
          </w:tcPr>
          <w:p w14:paraId="52BDDC6E" w14:textId="77777777" w:rsidR="00B02873" w:rsidRPr="007B509E" w:rsidRDefault="00B02873" w:rsidP="007F02BD">
            <w:pPr>
              <w:pStyle w:val="TablebodyleftTables"/>
              <w:jc w:val="right"/>
              <w:rPr>
                <w:b/>
                <w:bCs/>
                <w:sz w:val="20"/>
              </w:rPr>
            </w:pPr>
            <w:r w:rsidRPr="007B509E">
              <w:rPr>
                <w:b/>
                <w:bCs/>
                <w:sz w:val="20"/>
              </w:rPr>
              <w:t>16,354,563</w:t>
            </w:r>
          </w:p>
        </w:tc>
        <w:tc>
          <w:tcPr>
            <w:tcW w:w="1200" w:type="dxa"/>
          </w:tcPr>
          <w:p w14:paraId="58BE4BC4" w14:textId="77777777" w:rsidR="00B02873" w:rsidRPr="007B509E" w:rsidRDefault="00B02873" w:rsidP="007F02BD">
            <w:pPr>
              <w:pStyle w:val="TablebodyleftTables"/>
              <w:jc w:val="right"/>
              <w:rPr>
                <w:b/>
                <w:bCs/>
                <w:sz w:val="20"/>
              </w:rPr>
            </w:pPr>
            <w:r w:rsidRPr="007B509E">
              <w:rPr>
                <w:b/>
                <w:bCs/>
                <w:sz w:val="20"/>
              </w:rPr>
              <w:t>18,077,137</w:t>
            </w:r>
          </w:p>
        </w:tc>
        <w:tc>
          <w:tcPr>
            <w:tcW w:w="1200" w:type="dxa"/>
          </w:tcPr>
          <w:p w14:paraId="176D75F2" w14:textId="77777777" w:rsidR="00B02873" w:rsidRPr="007B509E" w:rsidRDefault="00B02873" w:rsidP="007F02BD">
            <w:pPr>
              <w:pStyle w:val="TablebodyleftTables"/>
              <w:jc w:val="right"/>
              <w:rPr>
                <w:b/>
                <w:bCs/>
                <w:sz w:val="20"/>
              </w:rPr>
            </w:pPr>
            <w:r w:rsidRPr="007B509E">
              <w:rPr>
                <w:b/>
                <w:bCs/>
                <w:sz w:val="20"/>
              </w:rPr>
              <w:t>1,815,300</w:t>
            </w:r>
          </w:p>
        </w:tc>
        <w:tc>
          <w:tcPr>
            <w:tcW w:w="1044" w:type="dxa"/>
          </w:tcPr>
          <w:p w14:paraId="5D52934A" w14:textId="77777777" w:rsidR="00B02873" w:rsidRPr="007B509E" w:rsidRDefault="00B02873" w:rsidP="008B3962">
            <w:pPr>
              <w:pStyle w:val="TablebodyleftTables"/>
              <w:rPr>
                <w:rFonts w:cs="Times New Roman"/>
                <w:b/>
                <w:bCs/>
                <w:sz w:val="20"/>
              </w:rPr>
            </w:pPr>
          </w:p>
        </w:tc>
      </w:tr>
    </w:tbl>
    <w:p w14:paraId="69D16623" w14:textId="77777777" w:rsidR="00B02873" w:rsidRDefault="00B02873" w:rsidP="00FE198A"/>
    <w:p w14:paraId="21482E59" w14:textId="1DAE8DA7" w:rsidR="00B02873" w:rsidRDefault="00B02873" w:rsidP="008B3962">
      <w:pPr>
        <w:pStyle w:val="Heading3"/>
      </w:pPr>
      <w:r>
        <w:t>Hardship Relief Board</w:t>
      </w:r>
    </w:p>
    <w:p w14:paraId="6926D9CE" w14:textId="051348EF" w:rsidR="00B02873" w:rsidRDefault="00B02873" w:rsidP="00FE198A">
      <w:r>
        <w:t>Persons may in some circumstances apply to the HRB for relief from their GAIC liability. During 2021-22, there were no applications for hardship received or considered by the HRB. DELWP managed the appointment of three board members for a three-year term.</w:t>
      </w:r>
    </w:p>
    <w:p w14:paraId="127EAD00" w14:textId="4FE19A64" w:rsidR="00B02873" w:rsidRDefault="00B02873" w:rsidP="008B3962">
      <w:pPr>
        <w:pStyle w:val="Normalbeforebullet"/>
      </w:pPr>
      <w:r>
        <w:t>Members for the period 1 July 2021 to 30 June 2024 are:</w:t>
      </w:r>
    </w:p>
    <w:p w14:paraId="20BF8177" w14:textId="1CECD68E" w:rsidR="00B02873" w:rsidRDefault="00B02873" w:rsidP="00B02873">
      <w:pPr>
        <w:pStyle w:val="Bullet1Lists"/>
      </w:pPr>
      <w:r>
        <w:t xml:space="preserve">Melissa Harris, DELWP Secretary nominee </w:t>
      </w:r>
    </w:p>
    <w:p w14:paraId="6DD66900" w14:textId="44EFD276" w:rsidR="00B02873" w:rsidRDefault="00B02873" w:rsidP="00B02873">
      <w:pPr>
        <w:pStyle w:val="Bullet1Lists"/>
      </w:pPr>
      <w:r>
        <w:t xml:space="preserve">Craig Findlay, Commissioner nominee </w:t>
      </w:r>
    </w:p>
    <w:p w14:paraId="55871CBC" w14:textId="3F69E0A5" w:rsidR="00B02873" w:rsidRDefault="00B02873" w:rsidP="008B3962">
      <w:pPr>
        <w:pStyle w:val="Bullet1Listslast"/>
      </w:pPr>
      <w:r>
        <w:t>Lily Tell, Chair Governor in Council appointment.</w:t>
      </w:r>
    </w:p>
    <w:p w14:paraId="3B663C54" w14:textId="5BDBE35F" w:rsidR="00B02873" w:rsidRDefault="00B02873" w:rsidP="008B3962">
      <w:pPr>
        <w:pStyle w:val="Heading3"/>
      </w:pPr>
      <w:r>
        <w:t>GAIC Works-In-Kind</w:t>
      </w:r>
    </w:p>
    <w:p w14:paraId="5C2528CC" w14:textId="3D28E030" w:rsidR="00B02873" w:rsidRDefault="00B02873" w:rsidP="00FE198A">
      <w:r>
        <w:t>A WIK agreement with the Minister for Planning may be entered into by a person liable to pay GAIC under which they agree to provide land and/or works (construction of state infrastructure) instead of a cash payment, to meet the GAIC liability in whole or in part. During the year ended 30 June 2022, there were two new WIKs approved.</w:t>
      </w:r>
      <w:r w:rsidR="00012C04">
        <w:t xml:space="preserve"> </w:t>
      </w:r>
      <w:r>
        <w:t>These were the WIK agreement for a supplementary payment for the future Wollert Police Station and for the supplementary payment for the Wollert Rail Corridor. Both WIK agreements are in the Whittlesea growth area and the transfers of land for both projects were completed in 2021-22.</w:t>
      </w:r>
      <w:r w:rsidR="00012C04">
        <w:t xml:space="preserve"> </w:t>
      </w:r>
      <w:r>
        <w:t>Details of current WIK agreements, guidelines and model agreements are available on the VPA website</w:t>
      </w:r>
      <w:r w:rsidR="00012C04">
        <w:t xml:space="preserve"> </w:t>
      </w:r>
      <w:hyperlink r:id="rId97" w:history="1">
        <w:r w:rsidRPr="008B3962">
          <w:rPr>
            <w:rStyle w:val="Hyperlink"/>
          </w:rPr>
          <w:t>www.vpa.vic.gov.au</w:t>
        </w:r>
      </w:hyperlink>
      <w:r>
        <w:t>.</w:t>
      </w:r>
    </w:p>
    <w:p w14:paraId="189B027D" w14:textId="77777777" w:rsidR="00B02873" w:rsidRDefault="00B02873" w:rsidP="00073BE4">
      <w:pPr>
        <w:pStyle w:val="TabletitleTables"/>
      </w:pPr>
      <w:r>
        <w:lastRenderedPageBreak/>
        <w:t xml:space="preserve">Table 22. Current GAIC WIK Agreements </w:t>
      </w:r>
    </w:p>
    <w:tbl>
      <w:tblPr>
        <w:tblStyle w:val="TableGrid"/>
        <w:tblW w:w="10116" w:type="dxa"/>
        <w:tblLayout w:type="fixed"/>
        <w:tblLook w:val="0020" w:firstRow="1" w:lastRow="0" w:firstColumn="0" w:lastColumn="0" w:noHBand="0" w:noVBand="0"/>
      </w:tblPr>
      <w:tblGrid>
        <w:gridCol w:w="988"/>
        <w:gridCol w:w="992"/>
        <w:gridCol w:w="1134"/>
        <w:gridCol w:w="1053"/>
        <w:gridCol w:w="1078"/>
        <w:gridCol w:w="1441"/>
        <w:gridCol w:w="994"/>
        <w:gridCol w:w="1405"/>
        <w:gridCol w:w="1031"/>
      </w:tblGrid>
      <w:tr w:rsidR="00463395" w:rsidRPr="009E1FCA" w14:paraId="4BF55591" w14:textId="77777777" w:rsidTr="007F02BD">
        <w:trPr>
          <w:cnfStyle w:val="100000000000" w:firstRow="1" w:lastRow="0" w:firstColumn="0" w:lastColumn="0" w:oddVBand="0" w:evenVBand="0" w:oddHBand="0" w:evenHBand="0" w:firstRowFirstColumn="0" w:firstRowLastColumn="0" w:lastRowFirstColumn="0" w:lastRowLastColumn="0"/>
          <w:trHeight w:val="60"/>
          <w:tblHeader/>
        </w:trPr>
        <w:tc>
          <w:tcPr>
            <w:tcW w:w="988" w:type="dxa"/>
          </w:tcPr>
          <w:p w14:paraId="0DBB29DD" w14:textId="77777777" w:rsidR="00B02873" w:rsidRPr="009E1FCA" w:rsidRDefault="00B02873" w:rsidP="00073BE4">
            <w:pPr>
              <w:pStyle w:val="TableheadingleftTables"/>
              <w:rPr>
                <w:sz w:val="18"/>
              </w:rPr>
            </w:pPr>
            <w:r w:rsidRPr="009E1FCA">
              <w:rPr>
                <w:sz w:val="18"/>
              </w:rPr>
              <w:t>Receiving agency</w:t>
            </w:r>
          </w:p>
        </w:tc>
        <w:tc>
          <w:tcPr>
            <w:tcW w:w="992" w:type="dxa"/>
          </w:tcPr>
          <w:p w14:paraId="6041BC74" w14:textId="77777777" w:rsidR="00B02873" w:rsidRPr="009E1FCA" w:rsidRDefault="00B02873" w:rsidP="00073BE4">
            <w:pPr>
              <w:pStyle w:val="TableheadingleftTables"/>
              <w:rPr>
                <w:sz w:val="18"/>
              </w:rPr>
            </w:pPr>
            <w:r w:rsidRPr="009E1FCA">
              <w:rPr>
                <w:sz w:val="18"/>
              </w:rPr>
              <w:t>Growth area</w:t>
            </w:r>
          </w:p>
        </w:tc>
        <w:tc>
          <w:tcPr>
            <w:tcW w:w="1134" w:type="dxa"/>
          </w:tcPr>
          <w:p w14:paraId="54E79EAF" w14:textId="77777777" w:rsidR="00B02873" w:rsidRPr="009E1FCA" w:rsidRDefault="00B02873" w:rsidP="00073BE4">
            <w:pPr>
              <w:pStyle w:val="TableheadingleftTables"/>
              <w:rPr>
                <w:sz w:val="18"/>
              </w:rPr>
            </w:pPr>
            <w:r w:rsidRPr="009E1FCA">
              <w:rPr>
                <w:sz w:val="18"/>
              </w:rPr>
              <w:t>Purpose</w:t>
            </w:r>
            <w:r w:rsidRPr="009E1FCA">
              <w:rPr>
                <w:sz w:val="18"/>
                <w:vertAlign w:val="superscript"/>
              </w:rPr>
              <w:t>a</w:t>
            </w:r>
            <w:r w:rsidRPr="009E1FCA">
              <w:rPr>
                <w:sz w:val="18"/>
              </w:rPr>
              <w:t xml:space="preserve"> </w:t>
            </w:r>
          </w:p>
        </w:tc>
        <w:tc>
          <w:tcPr>
            <w:tcW w:w="1053" w:type="dxa"/>
          </w:tcPr>
          <w:p w14:paraId="54BF72AB" w14:textId="77777777" w:rsidR="00B02873" w:rsidRPr="009E1FCA" w:rsidRDefault="00B02873" w:rsidP="00A269DB">
            <w:pPr>
              <w:pStyle w:val="TableheadingleftTables"/>
              <w:jc w:val="right"/>
              <w:rPr>
                <w:sz w:val="18"/>
              </w:rPr>
            </w:pPr>
            <w:r w:rsidRPr="009E1FCA">
              <w:rPr>
                <w:sz w:val="18"/>
              </w:rPr>
              <w:t>Estimated value of agreement</w:t>
            </w:r>
            <w:r w:rsidRPr="009E1FCA">
              <w:rPr>
                <w:sz w:val="18"/>
                <w:vertAlign w:val="superscript"/>
              </w:rPr>
              <w:t>b</w:t>
            </w:r>
            <w:r w:rsidRPr="009E1FCA">
              <w:rPr>
                <w:sz w:val="18"/>
              </w:rPr>
              <w:t xml:space="preserve"> ($)</w:t>
            </w:r>
          </w:p>
        </w:tc>
        <w:tc>
          <w:tcPr>
            <w:tcW w:w="1078" w:type="dxa"/>
          </w:tcPr>
          <w:p w14:paraId="4F9EF4D1" w14:textId="77777777" w:rsidR="00B02873" w:rsidRPr="009E1FCA" w:rsidRDefault="00B02873" w:rsidP="00A269DB">
            <w:pPr>
              <w:pStyle w:val="TableheadingleftTables"/>
              <w:jc w:val="right"/>
              <w:rPr>
                <w:sz w:val="18"/>
              </w:rPr>
            </w:pPr>
            <w:r w:rsidRPr="009E1FCA">
              <w:rPr>
                <w:sz w:val="18"/>
              </w:rPr>
              <w:t xml:space="preserve">GAIC credit to 30 June 2021 </w:t>
            </w:r>
            <w:r w:rsidRPr="009E1FCA">
              <w:rPr>
                <w:sz w:val="18"/>
              </w:rPr>
              <w:br/>
              <w:t>($)</w:t>
            </w:r>
          </w:p>
        </w:tc>
        <w:tc>
          <w:tcPr>
            <w:tcW w:w="1441" w:type="dxa"/>
          </w:tcPr>
          <w:p w14:paraId="2022E8F1" w14:textId="6118646E" w:rsidR="00B02873" w:rsidRPr="009E1FCA" w:rsidRDefault="00B02873" w:rsidP="00A269DB">
            <w:pPr>
              <w:pStyle w:val="TableheadingleftTables"/>
              <w:jc w:val="right"/>
              <w:rPr>
                <w:sz w:val="18"/>
              </w:rPr>
            </w:pPr>
            <w:r w:rsidRPr="009E1FCA">
              <w:rPr>
                <w:spacing w:val="-5"/>
                <w:sz w:val="18"/>
              </w:rPr>
              <w:t xml:space="preserve">Supplementary payments made to 30 June 2021 </w:t>
            </w:r>
            <w:r w:rsidRPr="009E1FCA">
              <w:rPr>
                <w:spacing w:val="-5"/>
                <w:sz w:val="18"/>
              </w:rPr>
              <w:br/>
              <w:t>($)</w:t>
            </w:r>
          </w:p>
        </w:tc>
        <w:tc>
          <w:tcPr>
            <w:tcW w:w="994" w:type="dxa"/>
          </w:tcPr>
          <w:p w14:paraId="764F386B" w14:textId="77777777" w:rsidR="00B02873" w:rsidRPr="009E1FCA" w:rsidRDefault="00B02873" w:rsidP="00A269DB">
            <w:pPr>
              <w:pStyle w:val="TableheadingleftTables"/>
              <w:jc w:val="right"/>
              <w:rPr>
                <w:sz w:val="18"/>
              </w:rPr>
            </w:pPr>
            <w:r w:rsidRPr="009E1FCA">
              <w:rPr>
                <w:sz w:val="18"/>
              </w:rPr>
              <w:t>GAIC credit in year to 30 June 2022</w:t>
            </w:r>
            <w:r w:rsidRPr="009E1FCA">
              <w:rPr>
                <w:sz w:val="18"/>
              </w:rPr>
              <w:br/>
              <w:t>($)</w:t>
            </w:r>
          </w:p>
        </w:tc>
        <w:tc>
          <w:tcPr>
            <w:tcW w:w="1405" w:type="dxa"/>
          </w:tcPr>
          <w:p w14:paraId="58345D07" w14:textId="7C4311D1" w:rsidR="00B02873" w:rsidRPr="009E1FCA" w:rsidRDefault="00B02873" w:rsidP="00A269DB">
            <w:pPr>
              <w:pStyle w:val="TableheadingleftTables"/>
              <w:jc w:val="right"/>
              <w:rPr>
                <w:sz w:val="18"/>
              </w:rPr>
            </w:pPr>
            <w:r w:rsidRPr="009E1FCA">
              <w:rPr>
                <w:spacing w:val="-5"/>
                <w:sz w:val="18"/>
              </w:rPr>
              <w:t xml:space="preserve">Supplementary payments made in year to 30 June 2022 </w:t>
            </w:r>
            <w:r w:rsidRPr="009E1FCA">
              <w:rPr>
                <w:spacing w:val="-5"/>
                <w:sz w:val="18"/>
              </w:rPr>
              <w:br/>
              <w:t>($)</w:t>
            </w:r>
          </w:p>
        </w:tc>
        <w:tc>
          <w:tcPr>
            <w:tcW w:w="1031" w:type="dxa"/>
          </w:tcPr>
          <w:p w14:paraId="6BE1AEA1" w14:textId="77777777" w:rsidR="00B02873" w:rsidRPr="009E1FCA" w:rsidRDefault="00B02873" w:rsidP="00A269DB">
            <w:pPr>
              <w:pStyle w:val="TableheadingleftTables"/>
              <w:jc w:val="right"/>
              <w:rPr>
                <w:sz w:val="18"/>
              </w:rPr>
            </w:pPr>
            <w:r w:rsidRPr="009E1FCA">
              <w:rPr>
                <w:sz w:val="18"/>
              </w:rPr>
              <w:t xml:space="preserve">Value not agreed or amount not paid as at 30 June 2022 </w:t>
            </w:r>
            <w:r w:rsidRPr="009E1FCA">
              <w:rPr>
                <w:sz w:val="18"/>
              </w:rPr>
              <w:br/>
              <w:t>($)</w:t>
            </w:r>
          </w:p>
        </w:tc>
      </w:tr>
      <w:tr w:rsidR="00B02873" w:rsidRPr="009E1FCA" w14:paraId="203C45C0" w14:textId="77777777" w:rsidTr="007F02BD">
        <w:trPr>
          <w:trHeight w:val="60"/>
        </w:trPr>
        <w:tc>
          <w:tcPr>
            <w:tcW w:w="988" w:type="dxa"/>
          </w:tcPr>
          <w:p w14:paraId="1DE077EA" w14:textId="77777777" w:rsidR="00B02873" w:rsidRPr="009E1FCA" w:rsidRDefault="00B02873" w:rsidP="00073BE4">
            <w:pPr>
              <w:pStyle w:val="TablebodyleftTables"/>
              <w:rPr>
                <w:sz w:val="18"/>
                <w:szCs w:val="18"/>
              </w:rPr>
            </w:pPr>
            <w:r w:rsidRPr="009E1FCA">
              <w:rPr>
                <w:sz w:val="18"/>
                <w:szCs w:val="18"/>
              </w:rPr>
              <w:t>DET</w:t>
            </w:r>
          </w:p>
        </w:tc>
        <w:tc>
          <w:tcPr>
            <w:tcW w:w="992" w:type="dxa"/>
          </w:tcPr>
          <w:p w14:paraId="4765167D" w14:textId="77777777" w:rsidR="00B02873" w:rsidRPr="009E1FCA" w:rsidRDefault="00B02873" w:rsidP="00073BE4">
            <w:pPr>
              <w:pStyle w:val="TablebodyleftTables"/>
              <w:rPr>
                <w:sz w:val="18"/>
                <w:szCs w:val="18"/>
              </w:rPr>
            </w:pPr>
            <w:r w:rsidRPr="009E1FCA">
              <w:rPr>
                <w:sz w:val="18"/>
                <w:szCs w:val="18"/>
              </w:rPr>
              <w:t>Hume</w:t>
            </w:r>
          </w:p>
        </w:tc>
        <w:tc>
          <w:tcPr>
            <w:tcW w:w="1134" w:type="dxa"/>
          </w:tcPr>
          <w:p w14:paraId="0C1C8205" w14:textId="77777777" w:rsidR="00B02873" w:rsidRPr="009E1FCA" w:rsidRDefault="00B02873" w:rsidP="00073BE4">
            <w:pPr>
              <w:pStyle w:val="TablebodyleftTables"/>
              <w:rPr>
                <w:sz w:val="18"/>
                <w:szCs w:val="18"/>
              </w:rPr>
            </w:pPr>
            <w:r w:rsidRPr="009E1FCA">
              <w:rPr>
                <w:sz w:val="18"/>
                <w:szCs w:val="18"/>
              </w:rPr>
              <w:t>Merrifield South P6 School land</w:t>
            </w:r>
          </w:p>
        </w:tc>
        <w:tc>
          <w:tcPr>
            <w:tcW w:w="1053" w:type="dxa"/>
          </w:tcPr>
          <w:p w14:paraId="3CB4ADAB" w14:textId="77777777" w:rsidR="00B02873" w:rsidRPr="009E1FCA" w:rsidRDefault="00B02873" w:rsidP="00A269DB">
            <w:pPr>
              <w:pStyle w:val="TablebodyleftTables"/>
              <w:jc w:val="right"/>
              <w:rPr>
                <w:sz w:val="18"/>
                <w:szCs w:val="18"/>
              </w:rPr>
            </w:pPr>
            <w:r w:rsidRPr="009E1FCA">
              <w:rPr>
                <w:sz w:val="18"/>
                <w:szCs w:val="18"/>
              </w:rPr>
              <w:t>7,830,000</w:t>
            </w:r>
          </w:p>
        </w:tc>
        <w:tc>
          <w:tcPr>
            <w:tcW w:w="1078" w:type="dxa"/>
          </w:tcPr>
          <w:p w14:paraId="7A774745" w14:textId="77777777" w:rsidR="00B02873" w:rsidRPr="009E1FCA" w:rsidRDefault="00B02873" w:rsidP="00A269DB">
            <w:pPr>
              <w:pStyle w:val="TablebodyleftTables"/>
              <w:jc w:val="right"/>
              <w:rPr>
                <w:sz w:val="18"/>
                <w:szCs w:val="18"/>
              </w:rPr>
            </w:pPr>
            <w:r w:rsidRPr="009E1FCA">
              <w:rPr>
                <w:sz w:val="18"/>
                <w:szCs w:val="18"/>
              </w:rPr>
              <w:t>3,444,105</w:t>
            </w:r>
          </w:p>
        </w:tc>
        <w:tc>
          <w:tcPr>
            <w:tcW w:w="1441" w:type="dxa"/>
          </w:tcPr>
          <w:p w14:paraId="4CF60D37" w14:textId="77777777" w:rsidR="00B02873" w:rsidRPr="009E1FCA" w:rsidRDefault="00B02873" w:rsidP="00A269DB">
            <w:pPr>
              <w:pStyle w:val="TablebodyleftTables"/>
              <w:jc w:val="right"/>
              <w:rPr>
                <w:sz w:val="18"/>
                <w:szCs w:val="18"/>
              </w:rPr>
            </w:pPr>
            <w:r w:rsidRPr="009E1FCA">
              <w:rPr>
                <w:sz w:val="18"/>
                <w:szCs w:val="18"/>
              </w:rPr>
              <w:t>2,430,000</w:t>
            </w:r>
          </w:p>
        </w:tc>
        <w:tc>
          <w:tcPr>
            <w:tcW w:w="994" w:type="dxa"/>
          </w:tcPr>
          <w:p w14:paraId="1665C73B" w14:textId="10972DB7" w:rsidR="00B02873" w:rsidRPr="009E1FCA" w:rsidRDefault="009E1FCA" w:rsidP="00A269DB">
            <w:pPr>
              <w:pStyle w:val="TablebodyleftTables"/>
              <w:jc w:val="right"/>
              <w:rPr>
                <w:sz w:val="18"/>
                <w:szCs w:val="18"/>
              </w:rPr>
            </w:pPr>
            <w:r w:rsidRPr="009E1FCA">
              <w:rPr>
                <w:sz w:val="18"/>
                <w:szCs w:val="18"/>
              </w:rPr>
              <w:t>–</w:t>
            </w:r>
          </w:p>
        </w:tc>
        <w:tc>
          <w:tcPr>
            <w:tcW w:w="1405" w:type="dxa"/>
          </w:tcPr>
          <w:p w14:paraId="5998EA83" w14:textId="2D2BD49B" w:rsidR="00B02873" w:rsidRPr="009E1FCA" w:rsidRDefault="009E1FCA" w:rsidP="00A269DB">
            <w:pPr>
              <w:pStyle w:val="TablebodyleftTables"/>
              <w:jc w:val="right"/>
              <w:rPr>
                <w:sz w:val="18"/>
                <w:szCs w:val="18"/>
              </w:rPr>
            </w:pPr>
            <w:r w:rsidRPr="009E1FCA">
              <w:rPr>
                <w:sz w:val="18"/>
                <w:szCs w:val="18"/>
              </w:rPr>
              <w:t>–</w:t>
            </w:r>
          </w:p>
        </w:tc>
        <w:tc>
          <w:tcPr>
            <w:tcW w:w="1031" w:type="dxa"/>
          </w:tcPr>
          <w:p w14:paraId="5A6999C0" w14:textId="6C49C580" w:rsidR="00B02873" w:rsidRPr="009E1FCA" w:rsidRDefault="009E1FCA" w:rsidP="00A269DB">
            <w:pPr>
              <w:pStyle w:val="TablebodyleftTables"/>
              <w:jc w:val="right"/>
              <w:rPr>
                <w:sz w:val="18"/>
                <w:szCs w:val="18"/>
              </w:rPr>
            </w:pPr>
            <w:r w:rsidRPr="009E1FCA">
              <w:rPr>
                <w:sz w:val="18"/>
                <w:szCs w:val="18"/>
              </w:rPr>
              <w:t>–</w:t>
            </w:r>
          </w:p>
        </w:tc>
      </w:tr>
      <w:tr w:rsidR="00B02873" w:rsidRPr="009E1FCA" w14:paraId="71EB9054" w14:textId="77777777" w:rsidTr="007F02BD">
        <w:trPr>
          <w:trHeight w:val="60"/>
        </w:trPr>
        <w:tc>
          <w:tcPr>
            <w:tcW w:w="988" w:type="dxa"/>
          </w:tcPr>
          <w:p w14:paraId="434C98E9" w14:textId="77777777" w:rsidR="00B02873" w:rsidRPr="009E1FCA" w:rsidRDefault="00B02873" w:rsidP="00073BE4">
            <w:pPr>
              <w:pStyle w:val="TablebodyleftTables"/>
              <w:rPr>
                <w:sz w:val="18"/>
                <w:szCs w:val="18"/>
              </w:rPr>
            </w:pPr>
            <w:r w:rsidRPr="009E1FCA">
              <w:rPr>
                <w:spacing w:val="-2"/>
                <w:sz w:val="18"/>
                <w:szCs w:val="18"/>
              </w:rPr>
              <w:t>DET</w:t>
            </w:r>
          </w:p>
        </w:tc>
        <w:tc>
          <w:tcPr>
            <w:tcW w:w="992" w:type="dxa"/>
          </w:tcPr>
          <w:p w14:paraId="6C930B64" w14:textId="77777777" w:rsidR="00B02873" w:rsidRPr="009E1FCA" w:rsidRDefault="00B02873" w:rsidP="00073BE4">
            <w:pPr>
              <w:pStyle w:val="TablebodyleftTables"/>
              <w:rPr>
                <w:sz w:val="18"/>
                <w:szCs w:val="18"/>
              </w:rPr>
            </w:pPr>
            <w:r w:rsidRPr="009E1FCA">
              <w:rPr>
                <w:spacing w:val="-4"/>
                <w:sz w:val="18"/>
                <w:szCs w:val="18"/>
              </w:rPr>
              <w:t>Wyndham</w:t>
            </w:r>
          </w:p>
        </w:tc>
        <w:tc>
          <w:tcPr>
            <w:tcW w:w="1134" w:type="dxa"/>
          </w:tcPr>
          <w:p w14:paraId="6028F8FB" w14:textId="77777777" w:rsidR="00B02873" w:rsidRPr="009E1FCA" w:rsidRDefault="00B02873" w:rsidP="00073BE4">
            <w:pPr>
              <w:pStyle w:val="TablebodyleftTables"/>
              <w:rPr>
                <w:sz w:val="18"/>
                <w:szCs w:val="18"/>
              </w:rPr>
            </w:pPr>
            <w:r w:rsidRPr="009E1FCA">
              <w:rPr>
                <w:spacing w:val="-3"/>
                <w:sz w:val="18"/>
                <w:szCs w:val="18"/>
              </w:rPr>
              <w:t>Werribee secondary school land</w:t>
            </w:r>
          </w:p>
        </w:tc>
        <w:tc>
          <w:tcPr>
            <w:tcW w:w="1053" w:type="dxa"/>
          </w:tcPr>
          <w:p w14:paraId="1EE4A68D" w14:textId="77777777" w:rsidR="00B02873" w:rsidRPr="009E1FCA" w:rsidRDefault="00B02873" w:rsidP="00A269DB">
            <w:pPr>
              <w:pStyle w:val="TablebodyleftTables"/>
              <w:jc w:val="right"/>
              <w:rPr>
                <w:sz w:val="18"/>
                <w:szCs w:val="18"/>
              </w:rPr>
            </w:pPr>
            <w:r w:rsidRPr="009E1FCA">
              <w:rPr>
                <w:sz w:val="18"/>
                <w:szCs w:val="18"/>
              </w:rPr>
              <w:t>20,900,000</w:t>
            </w:r>
          </w:p>
        </w:tc>
        <w:tc>
          <w:tcPr>
            <w:tcW w:w="1078" w:type="dxa"/>
          </w:tcPr>
          <w:p w14:paraId="44D6423E" w14:textId="77777777" w:rsidR="00B02873" w:rsidRPr="009E1FCA" w:rsidRDefault="00B02873" w:rsidP="00A269DB">
            <w:pPr>
              <w:pStyle w:val="TablebodyleftTables"/>
              <w:jc w:val="right"/>
              <w:rPr>
                <w:sz w:val="18"/>
                <w:szCs w:val="18"/>
              </w:rPr>
            </w:pPr>
            <w:r w:rsidRPr="009E1FCA">
              <w:rPr>
                <w:sz w:val="18"/>
                <w:szCs w:val="18"/>
              </w:rPr>
              <w:t>16,656,762</w:t>
            </w:r>
          </w:p>
        </w:tc>
        <w:tc>
          <w:tcPr>
            <w:tcW w:w="1441" w:type="dxa"/>
          </w:tcPr>
          <w:p w14:paraId="6AB82840" w14:textId="77777777" w:rsidR="00B02873" w:rsidRPr="009E1FCA" w:rsidRDefault="00B02873" w:rsidP="00A269DB">
            <w:pPr>
              <w:pStyle w:val="TablebodyleftTables"/>
              <w:jc w:val="right"/>
              <w:rPr>
                <w:sz w:val="18"/>
                <w:szCs w:val="18"/>
              </w:rPr>
            </w:pPr>
            <w:r w:rsidRPr="009E1FCA">
              <w:rPr>
                <w:sz w:val="18"/>
                <w:szCs w:val="18"/>
              </w:rPr>
              <w:t>4,243,238</w:t>
            </w:r>
          </w:p>
        </w:tc>
        <w:tc>
          <w:tcPr>
            <w:tcW w:w="994" w:type="dxa"/>
          </w:tcPr>
          <w:p w14:paraId="35ED1663" w14:textId="0CD68D1A" w:rsidR="00B02873" w:rsidRPr="009E1FCA" w:rsidRDefault="009E1FCA" w:rsidP="00A269DB">
            <w:pPr>
              <w:pStyle w:val="TablebodyleftTables"/>
              <w:jc w:val="right"/>
              <w:rPr>
                <w:sz w:val="18"/>
                <w:szCs w:val="18"/>
              </w:rPr>
            </w:pPr>
            <w:r w:rsidRPr="009E1FCA">
              <w:rPr>
                <w:sz w:val="18"/>
                <w:szCs w:val="18"/>
              </w:rPr>
              <w:t>–</w:t>
            </w:r>
          </w:p>
        </w:tc>
        <w:tc>
          <w:tcPr>
            <w:tcW w:w="1405" w:type="dxa"/>
          </w:tcPr>
          <w:p w14:paraId="6380A676" w14:textId="30AE63A1" w:rsidR="00B02873" w:rsidRPr="009E1FCA" w:rsidRDefault="009E1FCA" w:rsidP="00A269DB">
            <w:pPr>
              <w:pStyle w:val="TablebodyleftTables"/>
              <w:jc w:val="right"/>
              <w:rPr>
                <w:sz w:val="18"/>
                <w:szCs w:val="18"/>
              </w:rPr>
            </w:pPr>
            <w:r w:rsidRPr="009E1FCA">
              <w:rPr>
                <w:sz w:val="18"/>
                <w:szCs w:val="18"/>
              </w:rPr>
              <w:t>–</w:t>
            </w:r>
          </w:p>
        </w:tc>
        <w:tc>
          <w:tcPr>
            <w:tcW w:w="1031" w:type="dxa"/>
          </w:tcPr>
          <w:p w14:paraId="597ED62E" w14:textId="2438ED6E" w:rsidR="00B02873" w:rsidRPr="009E1FCA" w:rsidRDefault="009E1FCA" w:rsidP="00A269DB">
            <w:pPr>
              <w:pStyle w:val="TablebodyleftTables"/>
              <w:jc w:val="right"/>
              <w:rPr>
                <w:sz w:val="18"/>
                <w:szCs w:val="18"/>
              </w:rPr>
            </w:pPr>
            <w:r w:rsidRPr="009E1FCA">
              <w:rPr>
                <w:sz w:val="18"/>
                <w:szCs w:val="18"/>
              </w:rPr>
              <w:t>–</w:t>
            </w:r>
          </w:p>
        </w:tc>
      </w:tr>
      <w:tr w:rsidR="00B02873" w:rsidRPr="009E1FCA" w14:paraId="44E879D0" w14:textId="77777777" w:rsidTr="007F02BD">
        <w:trPr>
          <w:trHeight w:val="60"/>
        </w:trPr>
        <w:tc>
          <w:tcPr>
            <w:tcW w:w="988" w:type="dxa"/>
          </w:tcPr>
          <w:p w14:paraId="750CDCC0" w14:textId="77777777" w:rsidR="00B02873" w:rsidRPr="009E1FCA" w:rsidRDefault="00B02873" w:rsidP="00073BE4">
            <w:pPr>
              <w:pStyle w:val="TablebodyleftTables"/>
              <w:rPr>
                <w:sz w:val="18"/>
                <w:szCs w:val="18"/>
              </w:rPr>
            </w:pPr>
            <w:r w:rsidRPr="009E1FCA">
              <w:rPr>
                <w:sz w:val="18"/>
                <w:szCs w:val="18"/>
              </w:rPr>
              <w:t>Victoria Police</w:t>
            </w:r>
          </w:p>
        </w:tc>
        <w:tc>
          <w:tcPr>
            <w:tcW w:w="992" w:type="dxa"/>
          </w:tcPr>
          <w:p w14:paraId="097DA3DF" w14:textId="77777777" w:rsidR="00B02873" w:rsidRPr="009E1FCA" w:rsidRDefault="00B02873" w:rsidP="00073BE4">
            <w:pPr>
              <w:pStyle w:val="TablebodyleftTables"/>
              <w:rPr>
                <w:sz w:val="18"/>
                <w:szCs w:val="18"/>
              </w:rPr>
            </w:pPr>
            <w:r w:rsidRPr="009E1FCA">
              <w:rPr>
                <w:spacing w:val="-4"/>
                <w:sz w:val="18"/>
                <w:szCs w:val="18"/>
              </w:rPr>
              <w:t>Whittlesea</w:t>
            </w:r>
          </w:p>
        </w:tc>
        <w:tc>
          <w:tcPr>
            <w:tcW w:w="1134" w:type="dxa"/>
          </w:tcPr>
          <w:p w14:paraId="340447B4" w14:textId="77777777" w:rsidR="00B02873" w:rsidRPr="009E1FCA" w:rsidRDefault="00B02873" w:rsidP="00073BE4">
            <w:pPr>
              <w:pStyle w:val="TablebodyleftTables"/>
              <w:rPr>
                <w:sz w:val="18"/>
                <w:szCs w:val="18"/>
              </w:rPr>
            </w:pPr>
            <w:r w:rsidRPr="009E1FCA">
              <w:rPr>
                <w:sz w:val="18"/>
                <w:szCs w:val="18"/>
              </w:rPr>
              <w:t>Wollert Police Station</w:t>
            </w:r>
          </w:p>
        </w:tc>
        <w:tc>
          <w:tcPr>
            <w:tcW w:w="1053" w:type="dxa"/>
          </w:tcPr>
          <w:p w14:paraId="233F85E1" w14:textId="77777777" w:rsidR="00B02873" w:rsidRPr="009E1FCA" w:rsidRDefault="00B02873" w:rsidP="00A269DB">
            <w:pPr>
              <w:pStyle w:val="TablebodyleftTables"/>
              <w:jc w:val="right"/>
              <w:rPr>
                <w:sz w:val="18"/>
                <w:szCs w:val="18"/>
              </w:rPr>
            </w:pPr>
            <w:r w:rsidRPr="009E1FCA">
              <w:rPr>
                <w:sz w:val="18"/>
                <w:szCs w:val="18"/>
              </w:rPr>
              <w:t>6,900,780</w:t>
            </w:r>
          </w:p>
        </w:tc>
        <w:tc>
          <w:tcPr>
            <w:tcW w:w="1078" w:type="dxa"/>
          </w:tcPr>
          <w:p w14:paraId="56FFD923" w14:textId="1062E1BF" w:rsidR="00B02873" w:rsidRPr="009E1FCA" w:rsidRDefault="009E1FCA" w:rsidP="00A269DB">
            <w:pPr>
              <w:pStyle w:val="TablebodyleftTables"/>
              <w:jc w:val="right"/>
              <w:rPr>
                <w:sz w:val="18"/>
                <w:szCs w:val="18"/>
              </w:rPr>
            </w:pPr>
            <w:r w:rsidRPr="009E1FCA">
              <w:rPr>
                <w:sz w:val="18"/>
                <w:szCs w:val="18"/>
              </w:rPr>
              <w:t>–</w:t>
            </w:r>
          </w:p>
        </w:tc>
        <w:tc>
          <w:tcPr>
            <w:tcW w:w="1441" w:type="dxa"/>
          </w:tcPr>
          <w:p w14:paraId="3039E9BC" w14:textId="3CF5AB6B" w:rsidR="00B02873" w:rsidRPr="009E1FCA" w:rsidRDefault="009E1FCA" w:rsidP="00A269DB">
            <w:pPr>
              <w:pStyle w:val="TablebodyleftTables"/>
              <w:jc w:val="right"/>
              <w:rPr>
                <w:sz w:val="18"/>
                <w:szCs w:val="18"/>
              </w:rPr>
            </w:pPr>
            <w:r w:rsidRPr="009E1FCA">
              <w:rPr>
                <w:sz w:val="18"/>
                <w:szCs w:val="18"/>
              </w:rPr>
              <w:t>–</w:t>
            </w:r>
          </w:p>
        </w:tc>
        <w:tc>
          <w:tcPr>
            <w:tcW w:w="994" w:type="dxa"/>
          </w:tcPr>
          <w:p w14:paraId="38C898DB" w14:textId="77777777" w:rsidR="00B02873" w:rsidRPr="009E1FCA" w:rsidRDefault="00B02873" w:rsidP="00A269DB">
            <w:pPr>
              <w:pStyle w:val="TablebodyleftTables"/>
              <w:jc w:val="right"/>
              <w:rPr>
                <w:sz w:val="18"/>
                <w:szCs w:val="18"/>
              </w:rPr>
            </w:pPr>
            <w:r w:rsidRPr="009E1FCA">
              <w:rPr>
                <w:sz w:val="18"/>
                <w:szCs w:val="18"/>
              </w:rPr>
              <w:t>4,249,985</w:t>
            </w:r>
          </w:p>
        </w:tc>
        <w:tc>
          <w:tcPr>
            <w:tcW w:w="1405" w:type="dxa"/>
          </w:tcPr>
          <w:p w14:paraId="029CCEF2" w14:textId="77777777" w:rsidR="00B02873" w:rsidRPr="009E1FCA" w:rsidRDefault="00B02873" w:rsidP="00A269DB">
            <w:pPr>
              <w:pStyle w:val="TablebodyleftTables"/>
              <w:jc w:val="right"/>
              <w:rPr>
                <w:sz w:val="18"/>
                <w:szCs w:val="18"/>
              </w:rPr>
            </w:pPr>
            <w:r w:rsidRPr="009E1FCA">
              <w:rPr>
                <w:sz w:val="18"/>
                <w:szCs w:val="18"/>
              </w:rPr>
              <w:t>2,650,795</w:t>
            </w:r>
          </w:p>
        </w:tc>
        <w:tc>
          <w:tcPr>
            <w:tcW w:w="1031" w:type="dxa"/>
          </w:tcPr>
          <w:p w14:paraId="54BBD508" w14:textId="5B185077" w:rsidR="00B02873" w:rsidRPr="009E1FCA" w:rsidRDefault="009E1FCA" w:rsidP="00A269DB">
            <w:pPr>
              <w:pStyle w:val="TablebodyleftTables"/>
              <w:jc w:val="right"/>
              <w:rPr>
                <w:sz w:val="18"/>
                <w:szCs w:val="18"/>
              </w:rPr>
            </w:pPr>
            <w:r w:rsidRPr="009E1FCA">
              <w:rPr>
                <w:sz w:val="18"/>
                <w:szCs w:val="18"/>
              </w:rPr>
              <w:t>–</w:t>
            </w:r>
          </w:p>
        </w:tc>
      </w:tr>
      <w:tr w:rsidR="00B02873" w:rsidRPr="009E1FCA" w14:paraId="69726E2B" w14:textId="77777777" w:rsidTr="007F02BD">
        <w:trPr>
          <w:trHeight w:val="60"/>
        </w:trPr>
        <w:tc>
          <w:tcPr>
            <w:tcW w:w="988" w:type="dxa"/>
          </w:tcPr>
          <w:p w14:paraId="2595EC3E" w14:textId="77777777" w:rsidR="00B02873" w:rsidRPr="009E1FCA" w:rsidRDefault="00B02873" w:rsidP="00073BE4">
            <w:pPr>
              <w:pStyle w:val="TablebodyleftTables"/>
              <w:rPr>
                <w:sz w:val="18"/>
                <w:szCs w:val="18"/>
              </w:rPr>
            </w:pPr>
            <w:r w:rsidRPr="009E1FCA">
              <w:rPr>
                <w:sz w:val="18"/>
                <w:szCs w:val="18"/>
              </w:rPr>
              <w:t>DoT</w:t>
            </w:r>
          </w:p>
        </w:tc>
        <w:tc>
          <w:tcPr>
            <w:tcW w:w="992" w:type="dxa"/>
          </w:tcPr>
          <w:p w14:paraId="0394CB89" w14:textId="77777777" w:rsidR="00B02873" w:rsidRPr="009E1FCA" w:rsidRDefault="00B02873" w:rsidP="00073BE4">
            <w:pPr>
              <w:pStyle w:val="TablebodyleftTables"/>
              <w:rPr>
                <w:sz w:val="18"/>
                <w:szCs w:val="18"/>
              </w:rPr>
            </w:pPr>
            <w:r w:rsidRPr="009E1FCA">
              <w:rPr>
                <w:spacing w:val="-4"/>
                <w:sz w:val="18"/>
                <w:szCs w:val="18"/>
              </w:rPr>
              <w:t>Whittlesea</w:t>
            </w:r>
          </w:p>
        </w:tc>
        <w:tc>
          <w:tcPr>
            <w:tcW w:w="1134" w:type="dxa"/>
          </w:tcPr>
          <w:p w14:paraId="7E510568" w14:textId="77777777" w:rsidR="00B02873" w:rsidRPr="009E1FCA" w:rsidRDefault="00B02873" w:rsidP="00073BE4">
            <w:pPr>
              <w:pStyle w:val="TablebodyleftTables"/>
              <w:rPr>
                <w:sz w:val="18"/>
                <w:szCs w:val="18"/>
              </w:rPr>
            </w:pPr>
            <w:r w:rsidRPr="009E1FCA">
              <w:rPr>
                <w:sz w:val="18"/>
                <w:szCs w:val="18"/>
              </w:rPr>
              <w:t>Wollert Rail Corridor</w:t>
            </w:r>
          </w:p>
        </w:tc>
        <w:tc>
          <w:tcPr>
            <w:tcW w:w="1053" w:type="dxa"/>
          </w:tcPr>
          <w:p w14:paraId="0549614B" w14:textId="77777777" w:rsidR="00B02873" w:rsidRPr="009E1FCA" w:rsidRDefault="00B02873" w:rsidP="00A269DB">
            <w:pPr>
              <w:pStyle w:val="TablebodyleftTables"/>
              <w:jc w:val="right"/>
              <w:rPr>
                <w:sz w:val="18"/>
                <w:szCs w:val="18"/>
              </w:rPr>
            </w:pPr>
            <w:r w:rsidRPr="009E1FCA">
              <w:rPr>
                <w:sz w:val="18"/>
                <w:szCs w:val="18"/>
              </w:rPr>
              <w:t>4,400,000</w:t>
            </w:r>
          </w:p>
        </w:tc>
        <w:tc>
          <w:tcPr>
            <w:tcW w:w="1078" w:type="dxa"/>
          </w:tcPr>
          <w:p w14:paraId="6B262D1F" w14:textId="6FAE6CC7" w:rsidR="00B02873" w:rsidRPr="009E1FCA" w:rsidRDefault="009E1FCA" w:rsidP="00A269DB">
            <w:pPr>
              <w:pStyle w:val="TablebodyleftTables"/>
              <w:jc w:val="right"/>
              <w:rPr>
                <w:sz w:val="18"/>
                <w:szCs w:val="18"/>
              </w:rPr>
            </w:pPr>
            <w:r w:rsidRPr="009E1FCA">
              <w:rPr>
                <w:sz w:val="18"/>
                <w:szCs w:val="18"/>
              </w:rPr>
              <w:t>–</w:t>
            </w:r>
          </w:p>
        </w:tc>
        <w:tc>
          <w:tcPr>
            <w:tcW w:w="1441" w:type="dxa"/>
          </w:tcPr>
          <w:p w14:paraId="329DE4EA" w14:textId="427E45C4" w:rsidR="00B02873" w:rsidRPr="009E1FCA" w:rsidRDefault="009E1FCA" w:rsidP="00A269DB">
            <w:pPr>
              <w:pStyle w:val="TablebodyleftTables"/>
              <w:jc w:val="right"/>
              <w:rPr>
                <w:sz w:val="18"/>
                <w:szCs w:val="18"/>
              </w:rPr>
            </w:pPr>
            <w:r w:rsidRPr="009E1FCA">
              <w:rPr>
                <w:sz w:val="18"/>
                <w:szCs w:val="18"/>
              </w:rPr>
              <w:t>–</w:t>
            </w:r>
          </w:p>
        </w:tc>
        <w:tc>
          <w:tcPr>
            <w:tcW w:w="994" w:type="dxa"/>
          </w:tcPr>
          <w:p w14:paraId="6E63B926" w14:textId="77777777" w:rsidR="00B02873" w:rsidRPr="009E1FCA" w:rsidRDefault="00B02873" w:rsidP="00A269DB">
            <w:pPr>
              <w:pStyle w:val="TablebodyleftTables"/>
              <w:jc w:val="right"/>
              <w:rPr>
                <w:sz w:val="18"/>
                <w:szCs w:val="18"/>
              </w:rPr>
            </w:pPr>
            <w:r w:rsidRPr="009E1FCA">
              <w:rPr>
                <w:sz w:val="18"/>
                <w:szCs w:val="18"/>
              </w:rPr>
              <w:t>325,495</w:t>
            </w:r>
          </w:p>
        </w:tc>
        <w:tc>
          <w:tcPr>
            <w:tcW w:w="1405" w:type="dxa"/>
          </w:tcPr>
          <w:p w14:paraId="02C2E656" w14:textId="77777777" w:rsidR="00B02873" w:rsidRPr="009E1FCA" w:rsidRDefault="00B02873" w:rsidP="00A269DB">
            <w:pPr>
              <w:pStyle w:val="TablebodyleftTables"/>
              <w:jc w:val="right"/>
              <w:rPr>
                <w:sz w:val="18"/>
                <w:szCs w:val="18"/>
              </w:rPr>
            </w:pPr>
            <w:r w:rsidRPr="009E1FCA">
              <w:rPr>
                <w:sz w:val="18"/>
                <w:szCs w:val="18"/>
              </w:rPr>
              <w:t>4,103,085</w:t>
            </w:r>
          </w:p>
        </w:tc>
        <w:tc>
          <w:tcPr>
            <w:tcW w:w="1031" w:type="dxa"/>
          </w:tcPr>
          <w:p w14:paraId="0A0B2AB7" w14:textId="7FF97D17" w:rsidR="00B02873" w:rsidRPr="009E1FCA" w:rsidRDefault="009E1FCA" w:rsidP="00A269DB">
            <w:pPr>
              <w:pStyle w:val="TablebodyleftTables"/>
              <w:jc w:val="right"/>
              <w:rPr>
                <w:sz w:val="18"/>
                <w:szCs w:val="18"/>
              </w:rPr>
            </w:pPr>
            <w:r w:rsidRPr="009E1FCA">
              <w:rPr>
                <w:sz w:val="18"/>
                <w:szCs w:val="18"/>
              </w:rPr>
              <w:t>–</w:t>
            </w:r>
          </w:p>
        </w:tc>
      </w:tr>
      <w:tr w:rsidR="00463395" w:rsidRPr="007B509E" w14:paraId="063D53A4" w14:textId="77777777" w:rsidTr="007F02BD">
        <w:trPr>
          <w:trHeight w:val="60"/>
        </w:trPr>
        <w:tc>
          <w:tcPr>
            <w:tcW w:w="988" w:type="dxa"/>
          </w:tcPr>
          <w:p w14:paraId="65F96796" w14:textId="735643E8" w:rsidR="00B02873" w:rsidRPr="007B509E" w:rsidRDefault="00073BE4" w:rsidP="00073BE4">
            <w:pPr>
              <w:pStyle w:val="TablebodyleftTables"/>
              <w:rPr>
                <w:rFonts w:cs="Times New Roman"/>
                <w:b/>
                <w:bCs/>
                <w:sz w:val="18"/>
                <w:szCs w:val="18"/>
              </w:rPr>
            </w:pPr>
            <w:r w:rsidRPr="007B509E">
              <w:rPr>
                <w:b/>
                <w:bCs/>
                <w:sz w:val="18"/>
                <w:szCs w:val="18"/>
              </w:rPr>
              <w:t>Total</w:t>
            </w:r>
          </w:p>
        </w:tc>
        <w:tc>
          <w:tcPr>
            <w:tcW w:w="992" w:type="dxa"/>
          </w:tcPr>
          <w:p w14:paraId="2C07DFB4" w14:textId="4FBBD138" w:rsidR="00B02873" w:rsidRPr="007B509E" w:rsidRDefault="00B02873" w:rsidP="00073BE4">
            <w:pPr>
              <w:pStyle w:val="TablebodyleftTables"/>
              <w:rPr>
                <w:b/>
                <w:bCs/>
                <w:sz w:val="18"/>
                <w:szCs w:val="18"/>
              </w:rPr>
            </w:pPr>
          </w:p>
        </w:tc>
        <w:tc>
          <w:tcPr>
            <w:tcW w:w="1134" w:type="dxa"/>
          </w:tcPr>
          <w:p w14:paraId="451DB9AF" w14:textId="77777777" w:rsidR="00B02873" w:rsidRPr="007B509E" w:rsidRDefault="00B02873" w:rsidP="00073BE4">
            <w:pPr>
              <w:pStyle w:val="TablebodyleftTables"/>
              <w:rPr>
                <w:rFonts w:cs="Times New Roman"/>
                <w:b/>
                <w:bCs/>
                <w:sz w:val="18"/>
                <w:szCs w:val="18"/>
              </w:rPr>
            </w:pPr>
          </w:p>
        </w:tc>
        <w:tc>
          <w:tcPr>
            <w:tcW w:w="1053" w:type="dxa"/>
          </w:tcPr>
          <w:p w14:paraId="20693861" w14:textId="77777777" w:rsidR="00B02873" w:rsidRPr="007B509E" w:rsidRDefault="00B02873" w:rsidP="00A269DB">
            <w:pPr>
              <w:pStyle w:val="TablebodyleftTables"/>
              <w:jc w:val="right"/>
              <w:rPr>
                <w:b/>
                <w:bCs/>
                <w:sz w:val="18"/>
                <w:szCs w:val="18"/>
              </w:rPr>
            </w:pPr>
            <w:r w:rsidRPr="007B509E">
              <w:rPr>
                <w:b/>
                <w:bCs/>
                <w:sz w:val="18"/>
                <w:szCs w:val="18"/>
              </w:rPr>
              <w:t>40,030,780</w:t>
            </w:r>
          </w:p>
        </w:tc>
        <w:tc>
          <w:tcPr>
            <w:tcW w:w="1078" w:type="dxa"/>
          </w:tcPr>
          <w:p w14:paraId="7FA4B7DA" w14:textId="77777777" w:rsidR="00B02873" w:rsidRPr="007B509E" w:rsidRDefault="00B02873" w:rsidP="00A269DB">
            <w:pPr>
              <w:pStyle w:val="TablebodyleftTables"/>
              <w:jc w:val="right"/>
              <w:rPr>
                <w:b/>
                <w:bCs/>
                <w:sz w:val="18"/>
                <w:szCs w:val="18"/>
              </w:rPr>
            </w:pPr>
            <w:r w:rsidRPr="007B509E">
              <w:rPr>
                <w:b/>
                <w:bCs/>
                <w:sz w:val="18"/>
                <w:szCs w:val="18"/>
              </w:rPr>
              <w:t>20,100,867</w:t>
            </w:r>
          </w:p>
        </w:tc>
        <w:tc>
          <w:tcPr>
            <w:tcW w:w="1441" w:type="dxa"/>
          </w:tcPr>
          <w:p w14:paraId="6D2E257F" w14:textId="77777777" w:rsidR="00B02873" w:rsidRPr="007B509E" w:rsidRDefault="00B02873" w:rsidP="00A269DB">
            <w:pPr>
              <w:pStyle w:val="TablebodyleftTables"/>
              <w:jc w:val="right"/>
              <w:rPr>
                <w:b/>
                <w:bCs/>
                <w:sz w:val="18"/>
                <w:szCs w:val="18"/>
              </w:rPr>
            </w:pPr>
            <w:r w:rsidRPr="007B509E">
              <w:rPr>
                <w:b/>
                <w:bCs/>
                <w:sz w:val="18"/>
                <w:szCs w:val="18"/>
              </w:rPr>
              <w:t>6,673,238</w:t>
            </w:r>
          </w:p>
        </w:tc>
        <w:tc>
          <w:tcPr>
            <w:tcW w:w="994" w:type="dxa"/>
          </w:tcPr>
          <w:p w14:paraId="1E616A5B" w14:textId="77777777" w:rsidR="00B02873" w:rsidRPr="007B509E" w:rsidRDefault="00B02873" w:rsidP="00A269DB">
            <w:pPr>
              <w:pStyle w:val="TablebodyleftTables"/>
              <w:jc w:val="right"/>
              <w:rPr>
                <w:b/>
                <w:bCs/>
                <w:sz w:val="18"/>
                <w:szCs w:val="18"/>
              </w:rPr>
            </w:pPr>
            <w:r w:rsidRPr="007B509E">
              <w:rPr>
                <w:b/>
                <w:bCs/>
                <w:sz w:val="18"/>
                <w:szCs w:val="18"/>
              </w:rPr>
              <w:t>4,575,480</w:t>
            </w:r>
          </w:p>
        </w:tc>
        <w:tc>
          <w:tcPr>
            <w:tcW w:w="1405" w:type="dxa"/>
          </w:tcPr>
          <w:p w14:paraId="1A39EA38" w14:textId="77777777" w:rsidR="00B02873" w:rsidRPr="007B509E" w:rsidRDefault="00B02873" w:rsidP="00A269DB">
            <w:pPr>
              <w:pStyle w:val="TablebodyleftTables"/>
              <w:jc w:val="right"/>
              <w:rPr>
                <w:b/>
                <w:bCs/>
                <w:sz w:val="18"/>
                <w:szCs w:val="18"/>
              </w:rPr>
            </w:pPr>
            <w:r w:rsidRPr="007B509E">
              <w:rPr>
                <w:b/>
                <w:bCs/>
                <w:sz w:val="18"/>
                <w:szCs w:val="18"/>
              </w:rPr>
              <w:t>6,753,880</w:t>
            </w:r>
          </w:p>
        </w:tc>
        <w:tc>
          <w:tcPr>
            <w:tcW w:w="1031" w:type="dxa"/>
          </w:tcPr>
          <w:p w14:paraId="3ADB32EC" w14:textId="77777777" w:rsidR="00B02873" w:rsidRPr="007B509E" w:rsidRDefault="00B02873" w:rsidP="00A269DB">
            <w:pPr>
              <w:pStyle w:val="TablebodyleftTables"/>
              <w:jc w:val="right"/>
              <w:rPr>
                <w:rFonts w:cs="Times New Roman"/>
                <w:b/>
                <w:bCs/>
                <w:sz w:val="18"/>
                <w:szCs w:val="18"/>
              </w:rPr>
            </w:pPr>
          </w:p>
        </w:tc>
      </w:tr>
    </w:tbl>
    <w:p w14:paraId="1993C0A2" w14:textId="5F5B3E3B" w:rsidR="00B02873" w:rsidRDefault="00B02873" w:rsidP="009E1FCA">
      <w:pPr>
        <w:pStyle w:val="SourceNote"/>
        <w:tabs>
          <w:tab w:val="left" w:pos="284"/>
        </w:tabs>
        <w:spacing w:after="60"/>
        <w:ind w:left="284" w:hanging="284"/>
      </w:pPr>
      <w:r>
        <w:t>a</w:t>
      </w:r>
      <w:r>
        <w:tab/>
        <w:t xml:space="preserve">Some WIKs may require a supplementary payment from GAIC funds, with the fund shown in parenthesis (refer to appropriate BNCF or GAPTF projects table above for approved maximum amount, with actual amounts expected to be less). </w:t>
      </w:r>
    </w:p>
    <w:p w14:paraId="5451B5D5" w14:textId="4A6F48A8" w:rsidR="00B02873" w:rsidRDefault="00B02873" w:rsidP="009E1FCA">
      <w:pPr>
        <w:pStyle w:val="SourceNote"/>
        <w:tabs>
          <w:tab w:val="left" w:pos="284"/>
        </w:tabs>
        <w:ind w:left="284" w:hanging="284"/>
      </w:pPr>
      <w:r>
        <w:t>b</w:t>
      </w:r>
      <w:r>
        <w:tab/>
        <w:t xml:space="preserve">Agreed GAIC credit values are determined according to the terms of each WIK at the time an assessment is made and may be used by the GAIC liable entity to meet the whole or part of their GAIC liability. </w:t>
      </w:r>
    </w:p>
    <w:p w14:paraId="5DB981F2" w14:textId="77777777" w:rsidR="00B02873" w:rsidRDefault="00B02873" w:rsidP="00FE198A">
      <w:r>
        <w:t>The total value of WIK agreements completed prior to 30 June 2021 was $26,774,105. Details of these agreements are available in past DELWP Annual Reports.</w:t>
      </w:r>
    </w:p>
    <w:p w14:paraId="30BB0B63" w14:textId="672A2B1A" w:rsidR="00B02873" w:rsidRDefault="00B02873" w:rsidP="00DC65F8">
      <w:pPr>
        <w:pStyle w:val="Heading2Headings"/>
      </w:pPr>
      <w:bookmarkStart w:id="49" w:name="_Ref116979219"/>
      <w:r>
        <w:t>Water Resource Assessment Program</w:t>
      </w:r>
      <w:bookmarkEnd w:id="49"/>
    </w:p>
    <w:p w14:paraId="12B0B314" w14:textId="77777777" w:rsidR="00B02873" w:rsidRDefault="00B02873" w:rsidP="009E1FCA">
      <w:pPr>
        <w:pStyle w:val="Normalbeforebullet"/>
      </w:pPr>
      <w:r>
        <w:t xml:space="preserve">Under Section 22 (1) of the </w:t>
      </w:r>
      <w:r w:rsidRPr="009E1FCA">
        <w:rPr>
          <w:rStyle w:val="LightItalic"/>
          <w:rFonts w:asciiTheme="minorHAnsi" w:hAnsiTheme="minorHAnsi" w:cstheme="minorHAnsi"/>
        </w:rPr>
        <w:t>Water Act 1989</w:t>
      </w:r>
      <w:r>
        <w:t xml:space="preserve"> (the Act), the Minister for Water is required to ensure that a continuous program of assessment of the water resources of the state is undertaken. Under Section 22 (2), the water resources assessment program must provide for the collection, collation, analysis and publication of information about:</w:t>
      </w:r>
    </w:p>
    <w:p w14:paraId="1FD2BF23" w14:textId="77777777" w:rsidR="00B02873" w:rsidRDefault="00B02873" w:rsidP="009E1FCA">
      <w:pPr>
        <w:spacing w:after="60"/>
      </w:pPr>
      <w:r>
        <w:t>(a)</w:t>
      </w:r>
      <w:r>
        <w:tab/>
        <w:t>the availability of water, including surface water and groundwater</w:t>
      </w:r>
    </w:p>
    <w:p w14:paraId="72FB7662" w14:textId="313487F5" w:rsidR="00B02873" w:rsidRDefault="00B02873" w:rsidP="00463395">
      <w:pPr>
        <w:spacing w:after="60"/>
        <w:ind w:left="720"/>
      </w:pPr>
      <w:r>
        <w:rPr>
          <w:spacing w:val="-4"/>
        </w:rPr>
        <w:t>(ab)</w:t>
      </w:r>
      <w:r>
        <w:tab/>
        <w:t>the use of one water source as a substitute for another water source</w:t>
      </w:r>
    </w:p>
    <w:p w14:paraId="33F9712F" w14:textId="77777777" w:rsidR="00B02873" w:rsidRDefault="00B02873" w:rsidP="00463395">
      <w:pPr>
        <w:spacing w:after="60"/>
        <w:ind w:left="720"/>
      </w:pPr>
      <w:r>
        <w:rPr>
          <w:spacing w:val="-4"/>
        </w:rPr>
        <w:t>(ac)</w:t>
      </w:r>
      <w:r>
        <w:tab/>
        <w:t>the environmental water reserve</w:t>
      </w:r>
    </w:p>
    <w:p w14:paraId="0377DAFD" w14:textId="77777777" w:rsidR="00B02873" w:rsidRDefault="00B02873" w:rsidP="009E1FCA">
      <w:pPr>
        <w:spacing w:after="60"/>
      </w:pPr>
      <w:r>
        <w:t xml:space="preserve">(b) </w:t>
      </w:r>
      <w:r>
        <w:tab/>
        <w:t>the disposal of wastewater (including trade waste, sewage and saline water)</w:t>
      </w:r>
    </w:p>
    <w:p w14:paraId="2818D741" w14:textId="77777777" w:rsidR="00B02873" w:rsidRDefault="00B02873" w:rsidP="009E1FCA">
      <w:pPr>
        <w:spacing w:after="60"/>
      </w:pPr>
      <w:r>
        <w:t xml:space="preserve">(c) </w:t>
      </w:r>
      <w:r>
        <w:tab/>
        <w:t>the use and re-use of water resources</w:t>
      </w:r>
    </w:p>
    <w:p w14:paraId="5C06AD0E" w14:textId="77777777" w:rsidR="00B02873" w:rsidRDefault="00B02873" w:rsidP="009E1FCA">
      <w:pPr>
        <w:spacing w:after="60"/>
      </w:pPr>
      <w:r>
        <w:t xml:space="preserve">(d) </w:t>
      </w:r>
      <w:r>
        <w:tab/>
        <w:t>floodwaters</w:t>
      </w:r>
    </w:p>
    <w:p w14:paraId="0729E721" w14:textId="77777777" w:rsidR="00B02873" w:rsidRDefault="00B02873" w:rsidP="009E1FCA">
      <w:pPr>
        <w:spacing w:after="60"/>
      </w:pPr>
      <w:r>
        <w:t xml:space="preserve">(e) </w:t>
      </w:r>
      <w:r>
        <w:tab/>
        <w:t>drainage and waterway management</w:t>
      </w:r>
    </w:p>
    <w:p w14:paraId="6D9485D2" w14:textId="77777777" w:rsidR="00B02873" w:rsidRDefault="00B02873" w:rsidP="009E1FCA">
      <w:pPr>
        <w:spacing w:after="60"/>
      </w:pPr>
      <w:r>
        <w:t xml:space="preserve">(f) </w:t>
      </w:r>
      <w:r>
        <w:tab/>
        <w:t>water quality (including salinity)</w:t>
      </w:r>
    </w:p>
    <w:p w14:paraId="75DEC943" w14:textId="77777777" w:rsidR="00B02873" w:rsidRDefault="00B02873" w:rsidP="009E1FCA">
      <w:pPr>
        <w:spacing w:after="60"/>
      </w:pPr>
      <w:r>
        <w:t xml:space="preserve">(g) </w:t>
      </w:r>
      <w:r>
        <w:tab/>
        <w:t>in-stream uses of water</w:t>
      </w:r>
    </w:p>
    <w:p w14:paraId="7EDC18D4" w14:textId="77777777" w:rsidR="00B02873" w:rsidRDefault="00B02873" w:rsidP="00463395">
      <w:pPr>
        <w:spacing w:after="60"/>
        <w:ind w:left="720"/>
      </w:pPr>
      <w:r>
        <w:rPr>
          <w:spacing w:val="-4"/>
        </w:rPr>
        <w:t>(ga)</w:t>
      </w:r>
      <w:r>
        <w:tab/>
        <w:t>current and historic levels of allocation and use of surface water and groundwater</w:t>
      </w:r>
    </w:p>
    <w:p w14:paraId="5CB18934" w14:textId="47508870" w:rsidR="00B02873" w:rsidRDefault="00B02873" w:rsidP="00463395">
      <w:pPr>
        <w:spacing w:after="60"/>
        <w:ind w:left="720"/>
      </w:pPr>
      <w:r>
        <w:rPr>
          <w:spacing w:val="-4"/>
        </w:rPr>
        <w:t>(gb)</w:t>
      </w:r>
      <w:r>
        <w:tab/>
        <w:t>current and historic condition of waterways and aquifers</w:t>
      </w:r>
    </w:p>
    <w:p w14:paraId="21E98A67" w14:textId="778F00A2" w:rsidR="00B02873" w:rsidRDefault="00B02873" w:rsidP="009E1FCA">
      <w:r>
        <w:t xml:space="preserve">(h) </w:t>
      </w:r>
      <w:r>
        <w:tab/>
        <w:t>anything else that the Minister decides is appropriate.</w:t>
      </w:r>
    </w:p>
    <w:p w14:paraId="176F4439" w14:textId="62F7CCFC" w:rsidR="00B02873" w:rsidRDefault="00B02873" w:rsidP="00FE198A">
      <w:r>
        <w:lastRenderedPageBreak/>
        <w:t xml:space="preserve">Section 26 of the Act requires the Department of Environment, Land, Water and Planning (DELWP) to report annually on these areas. </w:t>
      </w:r>
    </w:p>
    <w:p w14:paraId="2298F808" w14:textId="77777777" w:rsidR="00B02873" w:rsidRDefault="00B02873" w:rsidP="00FE198A">
      <w:r>
        <w:t xml:space="preserve">DELWP provides information on Victoria’s water resources through a range of comprehensive reporting mechanisms, including a weekly update on the state’s water resources published on the DELWP Water and Catchments website, along with more comprehensive information published on the Water Measurement Information System and Victorian </w:t>
      </w:r>
      <w:r w:rsidRPr="00463395">
        <w:rPr>
          <w:rStyle w:val="LightItalic"/>
          <w:rFonts w:asciiTheme="minorHAnsi" w:hAnsiTheme="minorHAnsi" w:cstheme="minorHAnsi"/>
        </w:rPr>
        <w:t>Water Register websites, and in the Victorian Water Accounts</w:t>
      </w:r>
      <w:r w:rsidRPr="00463395">
        <w:rPr>
          <w:rFonts w:asciiTheme="minorHAnsi" w:hAnsiTheme="minorHAnsi" w:cstheme="minorHAnsi"/>
        </w:rPr>
        <w:t xml:space="preserve"> </w:t>
      </w:r>
      <w:r>
        <w:t xml:space="preserve">(VWA). </w:t>
      </w:r>
    </w:p>
    <w:p w14:paraId="616FFCA8" w14:textId="77777777" w:rsidR="00B02873" w:rsidRDefault="00B02873" w:rsidP="00FE198A">
      <w:r>
        <w:t xml:space="preserve">The VWA is an annual statewide summary of Victoria’s water resources. It documents water availability and provides assessments of rainfall, streamflow and groundwater levels, as well as information on water storages and re-use of treated wastewater. Information on water taken for consumptive use, and water set aside for environmental purposes, is provided within the context of the Victorian water allocation framework, which sets out entitlements to water. </w:t>
      </w:r>
    </w:p>
    <w:p w14:paraId="203CAA40" w14:textId="77777777" w:rsidR="00B02873" w:rsidRDefault="00B02873" w:rsidP="00FE198A">
      <w:r>
        <w:t xml:space="preserve">The VWA sources data from the state’s surface water and groundwater monitoring networks, and draws on information from water corporations, DELWP, the Essential Services Commission, the Murray-Darling Basin Authority (MDBA) and catchment management authorities. The VWA is published annually in hard copy and is available online on the </w:t>
      </w:r>
      <w:r w:rsidRPr="00463395">
        <w:rPr>
          <w:rStyle w:val="LightItalic"/>
          <w:rFonts w:asciiTheme="minorHAnsi" w:hAnsiTheme="minorHAnsi" w:cstheme="minorHAnsi"/>
        </w:rPr>
        <w:t>Victorian Water Register</w:t>
      </w:r>
      <w:r>
        <w:t xml:space="preserve"> website, available at </w:t>
      </w:r>
      <w:hyperlink r:id="rId98" w:history="1">
        <w:r w:rsidRPr="00463395">
          <w:rPr>
            <w:rStyle w:val="Hyperlink"/>
          </w:rPr>
          <w:t>www.waterregister.vic.gov.au</w:t>
        </w:r>
      </w:hyperlink>
      <w:r>
        <w:t>.</w:t>
      </w:r>
    </w:p>
    <w:p w14:paraId="525C1E55" w14:textId="30B683D8" w:rsidR="00B02873" w:rsidRDefault="00B02873" w:rsidP="00FE198A">
      <w:r>
        <w:t xml:space="preserve">The </w:t>
      </w:r>
      <w:r w:rsidRPr="00463395">
        <w:rPr>
          <w:rStyle w:val="LightItalic"/>
          <w:rFonts w:asciiTheme="minorHAnsi" w:hAnsiTheme="minorHAnsi" w:cstheme="minorHAnsi"/>
        </w:rPr>
        <w:t>Victorian Water Register</w:t>
      </w:r>
      <w:r>
        <w:t xml:space="preserve"> is a public register of water entitlement ownership in Victoria. It holds water shares that are recorded by the Victorian Water Registrar. It also holds water licences and delivery shares recorded by the rural water corporations. It records and enables seasonal determinations against water shares and provides for the trading and other dealings with water entitlements. The </w:t>
      </w:r>
      <w:r w:rsidRPr="00463395">
        <w:rPr>
          <w:rStyle w:val="LightItalic"/>
          <w:rFonts w:asciiTheme="minorHAnsi" w:hAnsiTheme="minorHAnsi" w:cstheme="minorHAnsi"/>
        </w:rPr>
        <w:t>Victorian Water Register</w:t>
      </w:r>
      <w:r>
        <w:t xml:space="preserve"> captures information on water availability and price, and makes this publicly and freely available via the water register website. The website can also be used to generate statistics and reports on levels of use, directions of trade, and prices paid for water. All water monitoring data collected by DELWP and its partners is made accessible on the </w:t>
      </w:r>
      <w:r w:rsidRPr="00463395">
        <w:rPr>
          <w:rStyle w:val="LightItalic"/>
          <w:rFonts w:asciiTheme="minorHAnsi" w:hAnsiTheme="minorHAnsi" w:cstheme="minorHAnsi"/>
        </w:rPr>
        <w:t>Water Measurement Information System</w:t>
      </w:r>
      <w:r>
        <w:t xml:space="preserve">, available at </w:t>
      </w:r>
      <w:hyperlink r:id="rId99" w:history="1">
        <w:r w:rsidRPr="00463395">
          <w:rPr>
            <w:rStyle w:val="Hyperlink"/>
          </w:rPr>
          <w:t>data.water.vic.gov.au</w:t>
        </w:r>
      </w:hyperlink>
      <w:r>
        <w:t xml:space="preserve">. </w:t>
      </w:r>
    </w:p>
    <w:p w14:paraId="33048EDA" w14:textId="77777777" w:rsidR="00B02873" w:rsidRDefault="00B02873" w:rsidP="00FE198A">
      <w:r>
        <w:t xml:space="preserve">Research through the Victorian Water and Climate Initiative is helping to build an understanding of how the water cycle has been changing over time and the influence of climate change on water resources. The second phase of the research initiative was launched in July 2021. The new research projects expand on the knowledge gained from the previous phase of the research initiative and will improve understanding of current and future water availability. One of the outputs from the program in 2021-22 was the development by the Bureau of Meteorology of a new method for assessing how much influence climate change is having on Victorian rainfall (Rauniyar S.P. and Power S.B., Climate Dynamics, May 2022), which is helping to better understand declines in Victorian cool season rainfall. A key objective of the research program is to ensure it remains user focussed to inform any future iterations of the </w:t>
      </w:r>
      <w:r w:rsidRPr="00463395">
        <w:rPr>
          <w:rStyle w:val="LightItalic"/>
          <w:rFonts w:asciiTheme="minorHAnsi" w:hAnsiTheme="minorHAnsi" w:cstheme="minorHAnsi"/>
        </w:rPr>
        <w:t>Guidelines for Assessing the Impact of Climate Change on Water Availability in Victoria</w:t>
      </w:r>
      <w:r w:rsidRPr="00463395">
        <w:rPr>
          <w:rFonts w:asciiTheme="minorHAnsi" w:hAnsiTheme="minorHAnsi" w:cstheme="minorHAnsi"/>
        </w:rPr>
        <w:t xml:space="preserve"> </w:t>
      </w:r>
      <w:r>
        <w:t xml:space="preserve">and facilitate the application of the best available science for water management in Victoria. </w:t>
      </w:r>
    </w:p>
    <w:p w14:paraId="50E91138" w14:textId="77777777" w:rsidR="00B02873" w:rsidRDefault="00B02873" w:rsidP="00FE198A">
      <w:r>
        <w:t xml:space="preserve">As well as these reporting tools, there are numerous processes in place to collect and provide specific information as required under the </w:t>
      </w:r>
      <w:r w:rsidRPr="00463395">
        <w:rPr>
          <w:rStyle w:val="LightItalic"/>
          <w:rFonts w:asciiTheme="minorHAnsi" w:hAnsiTheme="minorHAnsi" w:cstheme="minorHAnsi"/>
        </w:rPr>
        <w:t>Water Act 1989</w:t>
      </w:r>
      <w:r>
        <w:t>. These are briefly summarised below, with references to sites and resources containing further and more detailed information.</w:t>
      </w:r>
    </w:p>
    <w:p w14:paraId="18466AE3" w14:textId="77777777" w:rsidR="00B02873" w:rsidRDefault="00B02873" w:rsidP="002470E1">
      <w:pPr>
        <w:pStyle w:val="Heading3"/>
      </w:pPr>
      <w:r>
        <w:t xml:space="preserve">a) Availability of water </w:t>
      </w:r>
    </w:p>
    <w:p w14:paraId="607F3C43" w14:textId="77777777" w:rsidR="00B02873" w:rsidRDefault="00B02873" w:rsidP="002470E1">
      <w:pPr>
        <w:pStyle w:val="Heading4"/>
      </w:pPr>
      <w:r>
        <w:t>Surface water</w:t>
      </w:r>
    </w:p>
    <w:p w14:paraId="0C37C038" w14:textId="77777777" w:rsidR="00B02873" w:rsidRDefault="00B02873" w:rsidP="00FE198A">
      <w:r>
        <w:t xml:space="preserve">The state’s surface water resources assessment network includes 942 sites that were monitored in 2021-22 through three regional water monitoring partnerships. These partnerships comprise 52 public and private organisations that procure their monitoring requirements under this program. The partnerships include state government departments, water corporations, catchment management authorities, local councils (with a flood management function), the Bureau of Meteorology and the MDBA. </w:t>
      </w:r>
    </w:p>
    <w:p w14:paraId="51D5CAB5" w14:textId="77777777" w:rsidR="00B02873" w:rsidRDefault="00B02873" w:rsidP="00FE198A">
      <w:r>
        <w:lastRenderedPageBreak/>
        <w:t xml:space="preserve">Surface water monitoring services are procured by DELWP on behalf of the regional water monitoring partnerships to ensure efficiency and statewide consistency in data quality. </w:t>
      </w:r>
    </w:p>
    <w:p w14:paraId="11CE5B99" w14:textId="77777777" w:rsidR="00B02873" w:rsidRDefault="00B02873" w:rsidP="002470E1">
      <w:pPr>
        <w:pStyle w:val="Normalbeforebullet"/>
      </w:pPr>
      <w:r>
        <w:t xml:space="preserve">The program delivers legislative obligations under Section 22 of the </w:t>
      </w:r>
      <w:r w:rsidRPr="002470E1">
        <w:rPr>
          <w:rStyle w:val="LightItalic"/>
          <w:rFonts w:asciiTheme="minorHAnsi" w:hAnsiTheme="minorHAnsi" w:cstheme="minorHAnsi"/>
        </w:rPr>
        <w:t>Water Act 1989</w:t>
      </w:r>
      <w:r>
        <w:t xml:space="preserve"> and Section 126 of the </w:t>
      </w:r>
      <w:r w:rsidRPr="002470E1">
        <w:rPr>
          <w:rStyle w:val="LightItalic"/>
          <w:rFonts w:asciiTheme="minorHAnsi" w:hAnsiTheme="minorHAnsi" w:cstheme="minorHAnsi"/>
        </w:rPr>
        <w:t>Commonwealth Water Act 2007</w:t>
      </w:r>
      <w:r w:rsidRPr="002470E1">
        <w:rPr>
          <w:rFonts w:asciiTheme="minorHAnsi" w:hAnsiTheme="minorHAnsi" w:cstheme="minorHAnsi"/>
        </w:rPr>
        <w:t xml:space="preserve"> </w:t>
      </w:r>
      <w:r>
        <w:t xml:space="preserve">and contributes to a range of business needs across the partnership including: </w:t>
      </w:r>
    </w:p>
    <w:p w14:paraId="349CA7E4" w14:textId="77777777" w:rsidR="00B02873" w:rsidRDefault="00B02873" w:rsidP="00B02873">
      <w:pPr>
        <w:pStyle w:val="Bullet1Lists"/>
      </w:pPr>
      <w:r>
        <w:t>operational decision making</w:t>
      </w:r>
    </w:p>
    <w:p w14:paraId="78E1AF37" w14:textId="77777777" w:rsidR="00B02873" w:rsidRDefault="00B02873" w:rsidP="00B02873">
      <w:pPr>
        <w:pStyle w:val="Bullet1Lists"/>
      </w:pPr>
      <w:r>
        <w:t>compliance reporting</w:t>
      </w:r>
    </w:p>
    <w:p w14:paraId="050BC593" w14:textId="77777777" w:rsidR="00B02873" w:rsidRDefault="00B02873" w:rsidP="00B02873">
      <w:pPr>
        <w:pStyle w:val="Bullet1Lists"/>
      </w:pPr>
      <w:r>
        <w:t>flood warning</w:t>
      </w:r>
    </w:p>
    <w:p w14:paraId="2FA73DCB" w14:textId="77777777" w:rsidR="00B02873" w:rsidRDefault="00B02873" w:rsidP="00B02873">
      <w:pPr>
        <w:pStyle w:val="Bullet1Lists"/>
      </w:pPr>
      <w:r>
        <w:t>statewide policy development for water resources</w:t>
      </w:r>
    </w:p>
    <w:p w14:paraId="3DFA60B9" w14:textId="77777777" w:rsidR="00B02873" w:rsidRDefault="00B02873" w:rsidP="00B02873">
      <w:pPr>
        <w:pStyle w:val="Bullet1Lists"/>
      </w:pPr>
      <w:r>
        <w:t>river health management</w:t>
      </w:r>
    </w:p>
    <w:p w14:paraId="495D7A17" w14:textId="77777777" w:rsidR="00B02873" w:rsidRDefault="00B02873" w:rsidP="002470E1">
      <w:pPr>
        <w:pStyle w:val="Bullet1Listslast"/>
      </w:pPr>
      <w:r>
        <w:t>reporting for the monthly water report, the annual water quality reports and the longer-term water quality trend reports.</w:t>
      </w:r>
    </w:p>
    <w:p w14:paraId="222198E0" w14:textId="77777777" w:rsidR="00B02873" w:rsidRDefault="00B02873" w:rsidP="00FE198A">
      <w:r>
        <w:t xml:space="preserve">All surface water data collected through the partnerships, summary reports on historical longer-term trends of surface water quality and the current status of water quantity are available on the </w:t>
      </w:r>
      <w:r w:rsidRPr="002470E1">
        <w:rPr>
          <w:rStyle w:val="LightItalic"/>
          <w:rFonts w:asciiTheme="minorHAnsi" w:hAnsiTheme="minorHAnsi" w:cstheme="minorHAnsi"/>
        </w:rPr>
        <w:t>Water Measurement Information System</w:t>
      </w:r>
      <w:r>
        <w:t xml:space="preserve"> (</w:t>
      </w:r>
      <w:hyperlink r:id="rId100" w:history="1">
        <w:r w:rsidRPr="002470E1">
          <w:rPr>
            <w:rStyle w:val="Hyperlink"/>
          </w:rPr>
          <w:t>data.water.vic.gov.au</w:t>
        </w:r>
      </w:hyperlink>
      <w:r>
        <w:t xml:space="preserve">) and the </w:t>
      </w:r>
      <w:r w:rsidRPr="002470E1">
        <w:rPr>
          <w:rStyle w:val="LightItalic"/>
          <w:rFonts w:asciiTheme="minorHAnsi" w:hAnsiTheme="minorHAnsi" w:cstheme="minorHAnsi"/>
        </w:rPr>
        <w:t>Monthly Water Report</w:t>
      </w:r>
      <w:r>
        <w:t xml:space="preserve"> on the DELWP Water and Catchments website: </w:t>
      </w:r>
      <w:hyperlink r:id="rId101" w:history="1">
        <w:r w:rsidRPr="002470E1">
          <w:rPr>
            <w:rStyle w:val="Hyperlink"/>
          </w:rPr>
          <w:t>www.water.vic.gov.au/water-reporting/water-resource-reporting</w:t>
        </w:r>
      </w:hyperlink>
    </w:p>
    <w:p w14:paraId="7DF29F04" w14:textId="77777777" w:rsidR="00B02873" w:rsidRDefault="00B02873" w:rsidP="002470E1">
      <w:pPr>
        <w:pStyle w:val="Heading4"/>
      </w:pPr>
      <w:r>
        <w:t>Groundwater</w:t>
      </w:r>
    </w:p>
    <w:p w14:paraId="5FCB4DE5" w14:textId="77777777" w:rsidR="00B02873" w:rsidRDefault="00B02873" w:rsidP="00FE198A">
      <w:r>
        <w:rPr>
          <w:spacing w:val="-3"/>
        </w:rPr>
        <w:t xml:space="preserve">Victoria’s State Observation Bore Network (SOBN) is underpinned by a program that involves monitoring of around 1,504 bores. This monitoring program is jointly managed by DELWP and the rural water corporations. </w:t>
      </w:r>
    </w:p>
    <w:p w14:paraId="15782455" w14:textId="77777777" w:rsidR="00B02873" w:rsidRDefault="00B02873" w:rsidP="00FE198A">
      <w:r>
        <w:t xml:space="preserve">All groundwater data is available via the </w:t>
      </w:r>
      <w:r w:rsidRPr="002470E1">
        <w:rPr>
          <w:rStyle w:val="LightItalic"/>
          <w:rFonts w:asciiTheme="minorHAnsi" w:hAnsiTheme="minorHAnsi" w:cstheme="minorHAnsi"/>
          <w:spacing w:val="-3"/>
        </w:rPr>
        <w:t>Water Measurement Information System</w:t>
      </w:r>
      <w:r>
        <w:t>. Summary reports on historical longer-term trends in groundwater levels across the state are available on the DELWP website (</w:t>
      </w:r>
      <w:hyperlink r:id="rId102" w:history="1">
        <w:r w:rsidRPr="001A4A1A">
          <w:rPr>
            <w:rStyle w:val="Hyperlink"/>
          </w:rPr>
          <w:t>www.water.vic.gov.au</w:t>
        </w:r>
      </w:hyperlink>
      <w:r>
        <w:t xml:space="preserve">). Information on groundwater use and trends is also provided in the annual </w:t>
      </w:r>
      <w:r w:rsidRPr="002470E1">
        <w:rPr>
          <w:rStyle w:val="LightItalic"/>
          <w:rFonts w:asciiTheme="minorHAnsi" w:hAnsiTheme="minorHAnsi" w:cstheme="minorHAnsi"/>
          <w:spacing w:val="-3"/>
        </w:rPr>
        <w:t>Victorian Water Accounts</w:t>
      </w:r>
      <w:r w:rsidRPr="002470E1">
        <w:rPr>
          <w:rFonts w:asciiTheme="minorHAnsi" w:hAnsiTheme="minorHAnsi" w:cstheme="minorHAnsi"/>
        </w:rPr>
        <w:t>.</w:t>
      </w:r>
    </w:p>
    <w:p w14:paraId="3D169810" w14:textId="77777777" w:rsidR="00B02873" w:rsidRDefault="00B02873" w:rsidP="00FE198A">
      <w:r>
        <w:t>Accurate monitoring data is crucial for the sustainable management of groundwater resources and can help resolve management issues, questions or disputes raised by groundwater users.</w:t>
      </w:r>
    </w:p>
    <w:p w14:paraId="26D466B8" w14:textId="77777777" w:rsidR="00B02873" w:rsidRDefault="00B02873" w:rsidP="002470E1">
      <w:pPr>
        <w:pStyle w:val="Heading3"/>
      </w:pPr>
      <w:r>
        <w:t>ab) Use of one water source as a substitute for another water source</w:t>
      </w:r>
    </w:p>
    <w:p w14:paraId="3D757091" w14:textId="77777777" w:rsidR="00B02873" w:rsidRDefault="00B02873" w:rsidP="00FE198A">
      <w:r>
        <w:t xml:space="preserve">Under </w:t>
      </w:r>
      <w:r w:rsidRPr="002470E1">
        <w:rPr>
          <w:rStyle w:val="LightItalic"/>
          <w:rFonts w:asciiTheme="minorHAnsi" w:hAnsiTheme="minorHAnsi" w:cstheme="minorHAnsi"/>
        </w:rPr>
        <w:t>Ministerial Reporting Direction 03</w:t>
      </w:r>
      <w:r>
        <w:t>, water corporations are required to provide information in their annual reports on how they are promoting the integrated and sustainable use of water resources in their region. This includes projects undertaken in line with targets set in the entity’s corporate plan to deliver water recycling, water conservation, sustainable and resilient water services systems and sustainable water strategies. Water corporations’ annual reports are tabled in Parliament and are available on water corporations’ websites.</w:t>
      </w:r>
    </w:p>
    <w:p w14:paraId="5D6C4EB4" w14:textId="60F0E946" w:rsidR="00B02873" w:rsidRDefault="00B02873" w:rsidP="002470E1">
      <w:pPr>
        <w:pStyle w:val="Heading3"/>
      </w:pPr>
      <w:r>
        <w:t>ac) Environmental Water Reserve</w:t>
      </w:r>
    </w:p>
    <w:p w14:paraId="1F143C0A" w14:textId="77777777" w:rsidR="00B02873" w:rsidRDefault="00B02873" w:rsidP="00FE198A">
      <w:r>
        <w:t xml:space="preserve">DELWP oversees the Victorian Environmental Water Program in conjunction with the Victorian Waterway Management Program (see Section e) to maintain or improve the condition of Victoria’s rivers, estuaries and wetlands, through provision and protection of water for the environment. The program is delivering priority actions from the Victorian Government’s Water Plan, </w:t>
      </w:r>
      <w:r w:rsidRPr="002470E1">
        <w:rPr>
          <w:rStyle w:val="LightItalic"/>
          <w:rFonts w:asciiTheme="minorHAnsi" w:hAnsiTheme="minorHAnsi" w:cstheme="minorHAnsi"/>
        </w:rPr>
        <w:t>Water for Victoria</w:t>
      </w:r>
      <w:r w:rsidRPr="002470E1">
        <w:rPr>
          <w:rFonts w:asciiTheme="minorHAnsi" w:hAnsiTheme="minorHAnsi" w:cstheme="minorHAnsi"/>
        </w:rPr>
        <w:t>,</w:t>
      </w:r>
      <w:r>
        <w:t xml:space="preserve"> including responding to climate change, management of environmental water, strengthened monitoring and reporting, partnering with Traditional Owners, clear and transparent environmental water charging arrangements, and strong governance. The program is a partnership between catchment management authorities, the Victorian Environmental Water Holder (VEWH), Traditional Owners, water corporations and other delivery partners. </w:t>
      </w:r>
    </w:p>
    <w:p w14:paraId="66500DA5" w14:textId="77777777" w:rsidR="00B02873" w:rsidRDefault="00B02873" w:rsidP="002470E1">
      <w:pPr>
        <w:pStyle w:val="Normalbeforebullet"/>
      </w:pPr>
      <w:r>
        <w:lastRenderedPageBreak/>
        <w:t xml:space="preserve">The Environmental Water Reserve (EWR) is the legal term for water set aside for the environment under the </w:t>
      </w:r>
      <w:r w:rsidRPr="002470E1">
        <w:rPr>
          <w:rStyle w:val="LightItalic"/>
          <w:rFonts w:asciiTheme="minorHAnsi" w:hAnsiTheme="minorHAnsi" w:cstheme="minorHAnsi"/>
        </w:rPr>
        <w:t>Water Act 1989</w:t>
      </w:r>
      <w:r>
        <w:t xml:space="preserve">. The EWR comprises, or is contributed to, by: </w:t>
      </w:r>
    </w:p>
    <w:p w14:paraId="28284DC2" w14:textId="77777777" w:rsidR="00B02873" w:rsidRDefault="00B02873" w:rsidP="00B02873">
      <w:pPr>
        <w:pStyle w:val="Bullet1Lists"/>
      </w:pPr>
      <w:r>
        <w:t xml:space="preserve">entitlements for the environment that are called either bulk entitlements or environmental entitlements; and </w:t>
      </w:r>
    </w:p>
    <w:p w14:paraId="2D3BC4A6" w14:textId="77777777" w:rsidR="00B02873" w:rsidRDefault="00B02873" w:rsidP="002470E1">
      <w:pPr>
        <w:pStyle w:val="Bullet1Listslast"/>
      </w:pPr>
      <w:r>
        <w:t xml:space="preserve">the operation of caps on licensed consumptive water use (such as sustainable diversion limits or permissible consumptive volumes) and conditions on consumptive bulk entitlements, licences and permits, and as set out in management plans. </w:t>
      </w:r>
    </w:p>
    <w:p w14:paraId="68F3DE7B" w14:textId="77777777" w:rsidR="00B02873" w:rsidRDefault="00B02873" w:rsidP="00FE198A">
      <w:r>
        <w:t xml:space="preserve">In regulated systems, environmental water consists of environmental entitlements, environmental bulk entitlements and various operational conditions on consumptive water use (noting that under some of these conditions, the water is not exclusively for the environment – for example, passing flow requirements). The environmental entitlements and environmental bulk entitlements refer to water usually held in and released from storages. The VEWH holds these entitlements on behalf of the Minister for Water. The VEWH is an independent statutory body responsible for making decisions on the most efficient and effective use of Victoria’s environmental water entitlements. </w:t>
      </w:r>
    </w:p>
    <w:p w14:paraId="6EAB0E24" w14:textId="77777777" w:rsidR="00B02873" w:rsidRPr="002470E1" w:rsidRDefault="00B02873" w:rsidP="00FE198A">
      <w:pPr>
        <w:rPr>
          <w:spacing w:val="-4"/>
        </w:rPr>
      </w:pPr>
      <w:r w:rsidRPr="002470E1">
        <w:rPr>
          <w:spacing w:val="-4"/>
        </w:rPr>
        <w:t>Potential watering actions are documented by VEWH in its annual seasonal watering plan, which is informed by seasonal watering proposals prepared by each of the catchment management authorities and Melbourne Water. The VEWH then commits water to these actions throughout the year via seasonal watering statements, which authorise waterway managers to use environmental water.</w:t>
      </w:r>
    </w:p>
    <w:p w14:paraId="334A65C7" w14:textId="77777777" w:rsidR="00B02873" w:rsidRDefault="00B02873" w:rsidP="00FE198A">
      <w:r>
        <w:t xml:space="preserve">The VEWH is established under Part 3AA of the </w:t>
      </w:r>
      <w:r w:rsidRPr="002470E1">
        <w:rPr>
          <w:rStyle w:val="LightItalic"/>
          <w:rFonts w:asciiTheme="minorHAnsi" w:hAnsiTheme="minorHAnsi" w:cstheme="minorHAnsi"/>
        </w:rPr>
        <w:t>Water Act 1989</w:t>
      </w:r>
      <w:r>
        <w:t xml:space="preserve">. Further details about the VEWH, including its annual report and water holdings, can be found on its website: </w:t>
      </w:r>
      <w:hyperlink r:id="rId103" w:history="1">
        <w:r w:rsidRPr="002470E1">
          <w:rPr>
            <w:rStyle w:val="Hyperlink"/>
          </w:rPr>
          <w:t>www.vewh.vic.gov.au</w:t>
        </w:r>
      </w:hyperlink>
      <w:r>
        <w:t xml:space="preserve">. </w:t>
      </w:r>
    </w:p>
    <w:p w14:paraId="482F4FF2" w14:textId="77777777" w:rsidR="00B02873" w:rsidRDefault="00B02873" w:rsidP="002470E1">
      <w:pPr>
        <w:pStyle w:val="Normalbeforebullet"/>
      </w:pPr>
      <w:r>
        <w:t>At 30 June 2022, the VEWH water holdings comprised 25 entitlements and 107 water shares. During 2021-22, the VEWH worked with catchment management authorities (CMAs) and Melbourne Water to manage this water to meet environmental objectives at 89 river reaches and 81 wetlands, including:</w:t>
      </w:r>
    </w:p>
    <w:p w14:paraId="5A1AC9C9" w14:textId="77777777" w:rsidR="00B02873" w:rsidRDefault="00B02873" w:rsidP="00B02873">
      <w:pPr>
        <w:pStyle w:val="Bullet1Lists"/>
      </w:pPr>
      <w:r>
        <w:rPr>
          <w:rStyle w:val="Bold"/>
        </w:rPr>
        <w:t xml:space="preserve">Gippsland: </w:t>
      </w:r>
      <w:r>
        <w:t xml:space="preserve">Thomson, Macalister and Snowy rivers, and the lower Latrobe wetlands (Sale Common, Dowd Morass and Heart Morass). </w:t>
      </w:r>
    </w:p>
    <w:p w14:paraId="50BBF9D0" w14:textId="77777777" w:rsidR="00B02873" w:rsidRDefault="00B02873" w:rsidP="00B02873">
      <w:pPr>
        <w:pStyle w:val="Bullet1Lists"/>
      </w:pPr>
      <w:r>
        <w:rPr>
          <w:rStyle w:val="Bold"/>
        </w:rPr>
        <w:t>Central Victoria:</w:t>
      </w:r>
      <w:r>
        <w:t xml:space="preserve"> Yarra, Tarago, Maribyrnong, Werribee, Upper Barwon and Moorabool rivers, Pyrites Creek, the lower Barwon wetlands (Hospital Swamps and Reedy Lake) and one wetland in the Yarra system (Annulus Billabong). </w:t>
      </w:r>
    </w:p>
    <w:p w14:paraId="566B7994" w14:textId="77777777" w:rsidR="00B02873" w:rsidRDefault="00B02873" w:rsidP="00B02873">
      <w:pPr>
        <w:pStyle w:val="Bullet1Lists"/>
      </w:pPr>
      <w:r>
        <w:rPr>
          <w:rStyle w:val="Bold"/>
        </w:rPr>
        <w:t xml:space="preserve">Western Victoria: </w:t>
      </w:r>
      <w:r>
        <w:t>Wimmera, MacKenzie and Glenelg rivers and the Burnt and lower Mount William Creeks, as well as 37 wetlands via the Wimmera-Mallee Pipeline.</w:t>
      </w:r>
    </w:p>
    <w:p w14:paraId="7423F482" w14:textId="77777777" w:rsidR="00B02873" w:rsidRDefault="00B02873" w:rsidP="002470E1">
      <w:pPr>
        <w:pStyle w:val="Bullet1Listslast"/>
      </w:pPr>
      <w:r>
        <w:rPr>
          <w:rStyle w:val="Bold"/>
        </w:rPr>
        <w:t>Northern Victoria:</w:t>
      </w:r>
      <w:r>
        <w:t xml:space="preserve"> Goulburn, Broken, Ovens, Campaspe and Loddon Rivers, and the upper and lower Broken Creek, four Living Murray icon sites (Barmah Forest, Hattah Lakes, Lindsay, Mulcra and Wallpolla Islands and Gunbower Forest) and 18 wetlands in the Goulburn, Broken Loddon, central and lower Murray systems.</w:t>
      </w:r>
    </w:p>
    <w:p w14:paraId="226825F3" w14:textId="77777777" w:rsidR="00B02873" w:rsidRDefault="00B02873" w:rsidP="002470E1">
      <w:pPr>
        <w:pStyle w:val="Normalbeforebullet"/>
      </w:pPr>
      <w:r>
        <w:t>Highlights from 2021-22 include:</w:t>
      </w:r>
    </w:p>
    <w:p w14:paraId="1084A589" w14:textId="77777777" w:rsidR="00B02873" w:rsidRDefault="00B02873" w:rsidP="00B02873">
      <w:pPr>
        <w:pStyle w:val="Bullet1Lists"/>
        <w:rPr>
          <w:spacing w:val="-3"/>
        </w:rPr>
      </w:pPr>
      <w:r>
        <w:rPr>
          <w:spacing w:val="-3"/>
        </w:rPr>
        <w:t xml:space="preserve">Delivery of a coordinated spring watering event in the Murray system from Lake Hume and Murray River tributaries to the sea; a joint action by the Commonwealth Environmental Water Holder, VEWH, NSW Department of Planning, Industry and Environment and South Australian Government with the MDBA as manager of The Living Murray. The event focused on outcomes in the Murray River channel and supported outcomes at Barmah Forest and numerous floodplain wetlands in the central and lower Murray region. </w:t>
      </w:r>
    </w:p>
    <w:p w14:paraId="4BCF2C78" w14:textId="77777777" w:rsidR="00B02873" w:rsidRDefault="00B02873" w:rsidP="00B02873">
      <w:pPr>
        <w:pStyle w:val="Bullet1Lists"/>
        <w:rPr>
          <w:spacing w:val="-3"/>
        </w:rPr>
      </w:pPr>
      <w:r>
        <w:rPr>
          <w:spacing w:val="-3"/>
        </w:rPr>
        <w:t xml:space="preserve">Watering of off-stream lagoons, billabongs and wetlands that are connected to the mid-Goulburn River as part of a new flow trial, which provided increased habitat and refuge areas for native fish, plants and animals. </w:t>
      </w:r>
    </w:p>
    <w:p w14:paraId="65E9DE2B" w14:textId="67271389" w:rsidR="00B02873" w:rsidRDefault="00B02873" w:rsidP="002470E1">
      <w:pPr>
        <w:pStyle w:val="Bullet1Listslast"/>
      </w:pPr>
      <w:r>
        <w:t>Socio-economic shared benefits were also supported through the delivery and timing of environmental flows across Victoria, including supporting fishing competitions on the Wimmera River, water skiing events on the Loddon River and kayaking on the Thomson River.</w:t>
      </w:r>
    </w:p>
    <w:p w14:paraId="57FD0B02" w14:textId="491A7FFE" w:rsidR="00B02873" w:rsidRDefault="00B02873" w:rsidP="002470E1">
      <w:pPr>
        <w:pStyle w:val="Normalbeforebullet"/>
      </w:pPr>
      <w:r>
        <w:lastRenderedPageBreak/>
        <w:t>During 2021-22 waterway managers sought opportunities to increase the involvement of Traditional Owners in environmental water planning, management and monitoring.</w:t>
      </w:r>
      <w:r w:rsidR="00012C04">
        <w:t xml:space="preserve"> </w:t>
      </w:r>
      <w:r>
        <w:t xml:space="preserve">Examples of this include: </w:t>
      </w:r>
    </w:p>
    <w:p w14:paraId="219C4171" w14:textId="445266E2" w:rsidR="00B02873" w:rsidRDefault="00B02873" w:rsidP="00B02873">
      <w:pPr>
        <w:pStyle w:val="Bullet1Lists"/>
        <w:rPr>
          <w:spacing w:val="-3"/>
        </w:rPr>
      </w:pPr>
      <w:r>
        <w:rPr>
          <w:spacing w:val="-3"/>
        </w:rPr>
        <w:t>Delivering water for the environment to Annulus Billabong in the Yarra system in spring 2021. These events supported cultural values identified by Traditional Owners, vegetation growth, and provide habitat and feeding conditions for waterbirds.</w:t>
      </w:r>
      <w:r w:rsidR="00012C04">
        <w:rPr>
          <w:spacing w:val="-3"/>
        </w:rPr>
        <w:t xml:space="preserve"> </w:t>
      </w:r>
    </w:p>
    <w:p w14:paraId="02874D3E" w14:textId="00FCC194" w:rsidR="00B02873" w:rsidRDefault="00B02873" w:rsidP="00B02873">
      <w:pPr>
        <w:pStyle w:val="Bullet1Lists"/>
        <w:rPr>
          <w:spacing w:val="-3"/>
        </w:rPr>
      </w:pPr>
      <w:r>
        <w:rPr>
          <w:spacing w:val="-3"/>
        </w:rPr>
        <w:t>Supporting values identified by the Taungurung Land and Waters Council at Horseshoe Lagoon in the Goulburn system.</w:t>
      </w:r>
      <w:r w:rsidR="00012C04">
        <w:rPr>
          <w:spacing w:val="-3"/>
        </w:rPr>
        <w:t xml:space="preserve"> </w:t>
      </w:r>
    </w:p>
    <w:p w14:paraId="1BAAF80D" w14:textId="0163A15E" w:rsidR="00B02873" w:rsidRDefault="00B02873" w:rsidP="002470E1">
      <w:pPr>
        <w:pStyle w:val="Bullet1Listslast"/>
      </w:pPr>
      <w:r>
        <w:t>Supporting the First People of the Millewa Mallee Aboriginal Corporation’s restoration of a site of high cultural significance at Robertson Creek in the lower Mallee.</w:t>
      </w:r>
      <w:r w:rsidR="00012C04">
        <w:t xml:space="preserve"> </w:t>
      </w:r>
    </w:p>
    <w:p w14:paraId="08FACADE" w14:textId="77777777" w:rsidR="00B02873" w:rsidRDefault="00B02873" w:rsidP="00FE198A">
      <w:r>
        <w:t xml:space="preserve">In unregulated rivers, environmental water is protected through conditions on licences and bulk entitlements, caps or through statutory water management plans and non-statutory local management plans. Water corporations are responsible for ensuring that these conditions are met. During 2021-22, environmental water was protected through input into numerous reviews in unregulated systems. </w:t>
      </w:r>
    </w:p>
    <w:p w14:paraId="18455D59" w14:textId="77777777" w:rsidR="00B02873" w:rsidRDefault="00B02873" w:rsidP="002470E1">
      <w:pPr>
        <w:pStyle w:val="Normalbeforebullet"/>
      </w:pPr>
      <w:r>
        <w:t>Other environmental water program highlights from 2021-22 include:</w:t>
      </w:r>
    </w:p>
    <w:p w14:paraId="381AE9BD" w14:textId="77777777" w:rsidR="00B02873" w:rsidRDefault="00B02873" w:rsidP="00B02873">
      <w:pPr>
        <w:pStyle w:val="Bullet1Lists"/>
      </w:pPr>
      <w:r>
        <w:t>Completion of the Koondrook Weir Fishway in the North Central region. The fishway connects 55 kilometres of fish habitat in Gunbower Creek and 530 kilometres of Murray River to allow recolonisation of Gunbower Creek with native fish species, including the iconic Murray cod and golden perch. The project was co-funded by the Victorian Government’s Building Works capital stimulus package 2020 (Waterway Environmental Works) and the VEWH.</w:t>
      </w:r>
    </w:p>
    <w:p w14:paraId="7B85B94B" w14:textId="77777777" w:rsidR="00B02873" w:rsidRDefault="00B02873" w:rsidP="00B02873">
      <w:pPr>
        <w:pStyle w:val="Bullet1Lists"/>
      </w:pPr>
      <w:r>
        <w:t>Implementing Murray-Darling Basin Plan environmental watering obligations (Chapter 8, Environmental Watering Plan) in partnership with the VEWH and CMAs. This included annual reporting and updating Victoria’s Environmental Water Management Plan Guidelines to reflect best-practice waterway management, continue supporting Victoria’s Long-Term Watering Plans, and to provide better guidance on partnering with Traditional Owners.</w:t>
      </w:r>
    </w:p>
    <w:p w14:paraId="542276F1" w14:textId="77777777" w:rsidR="00B02873" w:rsidRDefault="00B02873" w:rsidP="00CE2866">
      <w:pPr>
        <w:pStyle w:val="Bullet1Listslast"/>
      </w:pPr>
      <w:r>
        <w:t xml:space="preserve">Delivery of 85.9 per cent of environmental watering actions at planned sites from a target of 90 per cent. This is a positive outcome. Due to slightly wetter than anticipated conditions in most systems, fewer sites required environmental water. Environmental watering actions at many sites were met in 2021-22 by natural high flows and/or releases from water storages for other purposes. </w:t>
      </w:r>
    </w:p>
    <w:p w14:paraId="4939EFC4" w14:textId="128DB0C4" w:rsidR="00B02873" w:rsidRDefault="00B02873" w:rsidP="00CE2866">
      <w:pPr>
        <w:pStyle w:val="Heading3"/>
      </w:pPr>
      <w:r>
        <w:t>b) Disposal of wastewater (including trade waste, sewage and saline water)</w:t>
      </w:r>
    </w:p>
    <w:p w14:paraId="4EB0017A" w14:textId="77777777" w:rsidR="00B02873" w:rsidRDefault="00B02873" w:rsidP="00FE198A">
      <w:r>
        <w:t>All urban water corporations are required to report on wastewater disposals, as part of the report of operations in their annual reports. The performance report includes indicators related to financial, service delivery and environmental performance. Specific wastewater indicators are prepared for reliability of collection services, quality of disposal and management. The annual reports are tabled in Parliament and available on water corporations’ websites.</w:t>
      </w:r>
    </w:p>
    <w:p w14:paraId="513585E7" w14:textId="77777777" w:rsidR="00B02873" w:rsidRDefault="00B02873" w:rsidP="00CE2866">
      <w:pPr>
        <w:pStyle w:val="Heading3"/>
      </w:pPr>
      <w:r>
        <w:t>c) Use and re-use of water resources</w:t>
      </w:r>
    </w:p>
    <w:p w14:paraId="0D5ECDEE" w14:textId="77777777" w:rsidR="00B02873" w:rsidRDefault="00B02873" w:rsidP="00FE198A">
      <w:r>
        <w:rPr>
          <w:spacing w:val="-3"/>
        </w:rPr>
        <w:t>See section ab) above, ‘The use of one water source as a substitute for another water source’. All urban water corporations are required to report on total use of alternative water sources such as recycled wastewater and stormwater re-use as part of the report of operations in their annual reports. The performance report includes indicators related to environmental performance for effluent re-use and greenhouse gas emissions. The annual reports are tabled in Parliament and available on water corporations’ websites.</w:t>
      </w:r>
    </w:p>
    <w:p w14:paraId="090EE33B" w14:textId="43265E9F" w:rsidR="00B02873" w:rsidRDefault="00B02873" w:rsidP="00CE2866">
      <w:pPr>
        <w:pStyle w:val="Heading3"/>
      </w:pPr>
      <w:r>
        <w:lastRenderedPageBreak/>
        <w:t>d) Floodwaters</w:t>
      </w:r>
    </w:p>
    <w:p w14:paraId="1B2FF1A7" w14:textId="77777777" w:rsidR="00B02873" w:rsidRDefault="00B02873" w:rsidP="00FE198A">
      <w:r>
        <w:t xml:space="preserve">DELWP is the lead agency for the coordination of floodplain management in Victoria. </w:t>
      </w:r>
      <w:r w:rsidRPr="00CE2866">
        <w:rPr>
          <w:rStyle w:val="LightItalic"/>
          <w:rFonts w:asciiTheme="minorHAnsi" w:hAnsiTheme="minorHAnsi" w:cstheme="minorHAnsi"/>
        </w:rPr>
        <w:t>The Victorian Floodplain Management Strategy 2016</w:t>
      </w:r>
      <w:r w:rsidRPr="00CE2866">
        <w:rPr>
          <w:rFonts w:asciiTheme="minorHAnsi" w:hAnsiTheme="minorHAnsi" w:cstheme="minorHAnsi"/>
        </w:rPr>
        <w:t xml:space="preserve"> </w:t>
      </w:r>
      <w:r>
        <w:t>(VFMS) is the principal government policy for continuously building Victoria’s flood risk resilience. Building on lessons learned from flood emergencies in 2010, 2011 and 2012, the strategy clarifies and confirms government and government agency roles and accountabilities. The VFMS supports agencies to deliver their respective accountabilities by specifying clear actions against each Victorian Government policy set out in the strategy. The VFMS includes 56 actions assigned to agencies across the floodplain management sector, including DELWP, local councils, CMAs and the Victorian State Emergency Service (VICSES). These actions are now all complete and/or embedded as part of agencies’ business as usual practice. The strategy will continue to inform consistent decisions and actions for the management of flood-related issues over its ten year term from 2016. A third biennial implementation progress report is due for publishing in 2022.</w:t>
      </w:r>
    </w:p>
    <w:p w14:paraId="19565562" w14:textId="77777777" w:rsidR="00B02873" w:rsidRDefault="00B02873" w:rsidP="00FE198A">
      <w:r>
        <w:t xml:space="preserve">Regional Floodplain Management Strategies (RFMS) are in place for Victoria’s nine rural catchment management regions and delivery of these strategies is being led by CMAs and Melbourne Water in partnership with local councils, VICSES and other agencies. The purpose of the RFMS is to support communities to identify, prioritise and implement mitigation activities, reduce existing flood risks, and manage residual risk. The RFMS have identified more than 400 locally prioritised and led actions for mitigating the effects of flooding for Victorian communities. Work to deliver RFMS implementation plans to 2021-22 has typically included detailed flood studies, flood mitigation works, flood warning system upgrades and planning scheme amendments. </w:t>
      </w:r>
    </w:p>
    <w:p w14:paraId="20164F8B" w14:textId="77777777" w:rsidR="00B02873" w:rsidRDefault="00B02873" w:rsidP="00FE198A">
      <w:r>
        <w:t>In 2021-22 CMAs worked with local government, VICSES and others to prepare the next tranche of competitive funding applications to implement their highest priority actions through the Risk Resilience Grants Program 2021-22 (RRGP). This work included securing a commitment from funding applicants that they will contribute local funding equal to at least one third of the proposed project budget in line with government policy on investing in flood mitigation. The program will receive federal government funding through the National Partnership Agreements on Disaster Risk Reduction and will be administered by Emergency Management Victoria.</w:t>
      </w:r>
    </w:p>
    <w:p w14:paraId="12F65127" w14:textId="77777777" w:rsidR="00B02873" w:rsidRDefault="00B02873" w:rsidP="00FE198A">
      <w:r>
        <w:t xml:space="preserve">FloodZoom is a web-based tool that incorporates current flood spatial data, live rainfall and stream level data to enable clear consequence planning, making it a single source of riverine flood information in Victoria to support flood readiness and response. A significant task for the FloodZoom program is ensuring flood data and intelligence products are continually updated as flood studies are completed and delivered by local councils and CMAs. This work has been a high priority throughout 2021-22, with the ongoing La Niña driven weather patterns leading to several periods of flash and riverine flooding, particularly in Gippsland catchments. </w:t>
      </w:r>
    </w:p>
    <w:p w14:paraId="0E940DDA" w14:textId="77777777" w:rsidR="00B02873" w:rsidRDefault="00B02873" w:rsidP="00FE198A">
      <w:pPr>
        <w:rPr>
          <w:spacing w:val="-4"/>
        </w:rPr>
      </w:pPr>
      <w:r>
        <w:rPr>
          <w:spacing w:val="-1"/>
        </w:rPr>
        <w:t>In addition to its role as a key decision support tool for core emergency functions during flood events, FloodZoom also hosts a planning system module used by CMAs to streamline management of land use planning application referrals and permits, an algal module for reporting blue green algae outbreaks, and dam and risk management modules designed to assist water corporations. Continual improvements to the platform in 2021-22 now sees current flood warnings automatically displayed on the ‘current situation’ dashboard as well as several enhancements to search and data validation functions</w:t>
      </w:r>
      <w:r>
        <w:rPr>
          <w:spacing w:val="-4"/>
        </w:rPr>
        <w:t>.</w:t>
      </w:r>
    </w:p>
    <w:p w14:paraId="60E41F03" w14:textId="7AB6ACC5" w:rsidR="00B02873" w:rsidRDefault="00B02873" w:rsidP="00CE2866">
      <w:pPr>
        <w:pStyle w:val="Heading3"/>
      </w:pPr>
      <w:r>
        <w:t>e) Waterway management and drainage</w:t>
      </w:r>
    </w:p>
    <w:p w14:paraId="2A86A67C" w14:textId="32D4ADE7" w:rsidR="00B02873" w:rsidRDefault="00B02873" w:rsidP="00FE198A">
      <w:r>
        <w:t>DELWP oversees the Victorian Waterway Management Program that aims to maintain or improve the condition of Victoria’s waterways (rivers, estuaries and wetlands). The program is a partnership between state government, Traditional Owners, regional agencies and authorities, other management partners and local communities.</w:t>
      </w:r>
      <w:r w:rsidR="00012C04">
        <w:t xml:space="preserve"> </w:t>
      </w:r>
    </w:p>
    <w:p w14:paraId="0AADA836" w14:textId="4D0F0C68" w:rsidR="00B02873" w:rsidRDefault="00B02873" w:rsidP="00FE198A">
      <w:r>
        <w:lastRenderedPageBreak/>
        <w:t xml:space="preserve">As part of the program, DELWP is responsible for establishing the state policy framework for waterway management. Regional implementation is led by waterway managers from CMAs, and Melbourne Water in the Port Phillip and Westernport region, via the Regional Waterway Strategies. </w:t>
      </w:r>
    </w:p>
    <w:p w14:paraId="431AC5D5" w14:textId="7FF8C1AD" w:rsidR="00B02873" w:rsidRDefault="00B02873" w:rsidP="00CE2866">
      <w:pPr>
        <w:pStyle w:val="Normalbeforebullet"/>
      </w:pPr>
      <w:r>
        <w:t xml:space="preserve">Through </w:t>
      </w:r>
      <w:r w:rsidRPr="00CE2866">
        <w:rPr>
          <w:rStyle w:val="LightItalic"/>
          <w:rFonts w:asciiTheme="minorHAnsi" w:hAnsiTheme="minorHAnsi" w:cstheme="minorHAnsi"/>
        </w:rPr>
        <w:t>Water for Victoria</w:t>
      </w:r>
      <w:r>
        <w:t>, the Victorian Government is investing $248 million over four years (2020-24) to improve the health of waterways and catchments. This includes:</w:t>
      </w:r>
    </w:p>
    <w:p w14:paraId="75244847" w14:textId="77777777" w:rsidR="00B02873" w:rsidRDefault="00B02873" w:rsidP="00B02873">
      <w:pPr>
        <w:pStyle w:val="Bullet1Lists"/>
      </w:pPr>
      <w:r>
        <w:t>significant on-ground works across regional Victoria to implement Regional Waterway Strategies and Regional Catchment Strategies</w:t>
      </w:r>
    </w:p>
    <w:p w14:paraId="0BF5CC13" w14:textId="77777777" w:rsidR="00B02873" w:rsidRDefault="00B02873" w:rsidP="00B02873">
      <w:pPr>
        <w:pStyle w:val="Bullet1Lists"/>
      </w:pPr>
      <w:r>
        <w:t>management of environmental water entitlements and projects</w:t>
      </w:r>
    </w:p>
    <w:p w14:paraId="6FA2A72D" w14:textId="77777777" w:rsidR="00B02873" w:rsidRDefault="00B02873" w:rsidP="00B02873">
      <w:pPr>
        <w:pStyle w:val="Bullet1Lists"/>
      </w:pPr>
      <w:r>
        <w:t>funding to support and improve Ramsar sites (including the Gippsland Lakes)</w:t>
      </w:r>
    </w:p>
    <w:p w14:paraId="4DF464FB" w14:textId="77777777" w:rsidR="00B02873" w:rsidRDefault="00B02873" w:rsidP="00CE2866">
      <w:pPr>
        <w:pStyle w:val="Bullet1Listslast"/>
      </w:pPr>
      <w:r>
        <w:t xml:space="preserve">service delivery to provide advice to the public regarding flood risks and processing of thousands of permits and licenses related to works and developments along waterways. </w:t>
      </w:r>
    </w:p>
    <w:p w14:paraId="33D2BFEF" w14:textId="052B1511" w:rsidR="00B02873" w:rsidRDefault="00B02873" w:rsidP="00CE2866">
      <w:pPr>
        <w:pStyle w:val="Normalbeforebullet"/>
      </w:pPr>
      <w:r>
        <w:t>Funding of approximately $33.8 million provided by the Victorian Government in 2021-22 for improving the health of Victoria’s waterways and catchments has been invested by CMAs according to these agreed programs. The delivery of projects and services through these programs is tracked and reported annually. Over the past 12 months CMAs have:</w:t>
      </w:r>
    </w:p>
    <w:p w14:paraId="371A09FE" w14:textId="77777777" w:rsidR="00B02873" w:rsidRDefault="00B02873" w:rsidP="00B02873">
      <w:pPr>
        <w:pStyle w:val="Bullet1Lists"/>
      </w:pPr>
      <w:r>
        <w:t>completed 6,800 hectares of waterway vegetation works including tree planting, weed control and fencing alongside waterways</w:t>
      </w:r>
    </w:p>
    <w:p w14:paraId="7CFE2AC3" w14:textId="77777777" w:rsidR="00B02873" w:rsidRDefault="00B02873" w:rsidP="00B02873">
      <w:pPr>
        <w:pStyle w:val="Bullet1Lists"/>
      </w:pPr>
      <w:r>
        <w:t>delivered seven out of 10 new Regional Catchment Strategies for regions across Victoria (three pending final review)</w:t>
      </w:r>
    </w:p>
    <w:p w14:paraId="3DBB84B5" w14:textId="60D3F388" w:rsidR="00B02873" w:rsidRDefault="00B02873" w:rsidP="00B02873">
      <w:pPr>
        <w:pStyle w:val="Bullet1Lists"/>
      </w:pPr>
      <w:r>
        <w:t>progressed the renewal of Victoria’s key policy for the management of waterways, the Victorian Waterway Management Strategy (VWMS)</w:t>
      </w:r>
    </w:p>
    <w:p w14:paraId="5DDEF5FC" w14:textId="77777777" w:rsidR="00B02873" w:rsidRDefault="00B02873" w:rsidP="00B02873">
      <w:pPr>
        <w:pStyle w:val="Bullet1Lists"/>
      </w:pPr>
      <w:r>
        <w:t>maintained or improved the environmental condition of approximately 330 river reaches and wetlands</w:t>
      </w:r>
    </w:p>
    <w:p w14:paraId="4D8FA368" w14:textId="3E3297C0" w:rsidR="00B02873" w:rsidRDefault="00B02873" w:rsidP="00B02873">
      <w:pPr>
        <w:pStyle w:val="Bullet1Lists"/>
      </w:pPr>
      <w:r>
        <w:t>commenced a second set of eight new Flagship Waterway projects at priority sites around the state, building on the first set that was launched in 2018 (which are continuing)</w:t>
      </w:r>
    </w:p>
    <w:p w14:paraId="1A7CA4F9" w14:textId="35F47771" w:rsidR="00B02873" w:rsidRDefault="00B02873" w:rsidP="00B02873">
      <w:pPr>
        <w:pStyle w:val="Bullet1Lists"/>
      </w:pPr>
      <w:r>
        <w:t>processed 94 per cent of waterway licenses and permits within statutory timeframes</w:t>
      </w:r>
    </w:p>
    <w:p w14:paraId="3AD1B648" w14:textId="77777777" w:rsidR="00B02873" w:rsidRDefault="00B02873" w:rsidP="00B02873">
      <w:pPr>
        <w:pStyle w:val="Bullet1Lists"/>
      </w:pPr>
      <w:r>
        <w:t>initiated 17 new Catchment stewardship projects working closely with community, sector partners and Traditional Owners</w:t>
      </w:r>
    </w:p>
    <w:p w14:paraId="1A4AA91F" w14:textId="77777777" w:rsidR="00B02873" w:rsidRDefault="00B02873" w:rsidP="00B02873">
      <w:pPr>
        <w:pStyle w:val="Bullet1Lists"/>
      </w:pPr>
      <w:r>
        <w:t>further developed foundations with partners and Landcare networks to complete stewardship plans and assessments for over 700,000 hectares across Victoria</w:t>
      </w:r>
    </w:p>
    <w:p w14:paraId="3D46D03F" w14:textId="77777777" w:rsidR="00B02873" w:rsidRDefault="00B02873" w:rsidP="00B02873">
      <w:pPr>
        <w:pStyle w:val="Bullet1Lists"/>
      </w:pPr>
      <w:r>
        <w:t>continued delivery of major long term statewide monitoring programs in targeted rivers and wetlands to assess and improve the value and success of the program</w:t>
      </w:r>
    </w:p>
    <w:p w14:paraId="60AFCD63" w14:textId="7E9709F5" w:rsidR="00B02873" w:rsidRDefault="00B02873" w:rsidP="00CE2866">
      <w:pPr>
        <w:pStyle w:val="Bullet1Listslast"/>
      </w:pPr>
      <w:r>
        <w:t>continued delivery of a range of citizen science programs that focus on waterway health, including EstuaryWatch and Waterwatch Victoria, school-based programs including River Detectives, and a range of other programs including monitoring frogs, waterbirds and litter.</w:t>
      </w:r>
    </w:p>
    <w:p w14:paraId="53673A43" w14:textId="0365E907" w:rsidR="00B02873" w:rsidRDefault="00B02873" w:rsidP="00CE2866">
      <w:pPr>
        <w:pStyle w:val="Normalbeforebullet"/>
      </w:pPr>
      <w:r>
        <w:t>Highlights from 2021-22 delivery include:</w:t>
      </w:r>
    </w:p>
    <w:p w14:paraId="3A32FA60" w14:textId="77777777" w:rsidR="00B02873" w:rsidRDefault="00B02873" w:rsidP="00B02873">
      <w:pPr>
        <w:pStyle w:val="Bullet1Lists"/>
      </w:pPr>
      <w:r>
        <w:t xml:space="preserve">A key focus for progressing the new Victorian Waterway Management Strategy (VWMS) was undertaking significant Traditional Owner engagement to understand waterway management priorities and to start early conversations. Additionally, a major piece of social research (titled the My Victorian Waterway Survey) was launched in May 2022, with more than 6,000 responses received. </w:t>
      </w:r>
    </w:p>
    <w:p w14:paraId="50BC0D24" w14:textId="77777777" w:rsidR="00B02873" w:rsidRDefault="00B02873" w:rsidP="00B02873">
      <w:pPr>
        <w:pStyle w:val="Bullet1Lists"/>
      </w:pPr>
      <w:r>
        <w:t xml:space="preserve">Highlights at new Flagship Waterway sites included the launch of the Glenelg Hopkins CMA Rivers of Warrnambool project in February 2022. The project will see works to protect and improve habitat along the lower reaches of the Merri and Hopkins rivers and Brucknell Creek. The Mallee CMA Kings Billabong project launched in June 2022. The project will protect and improve around 60 hectares of critical habitat along the Murray River, which is a significant </w:t>
      </w:r>
      <w:r>
        <w:lastRenderedPageBreak/>
        <w:t>home to several locally threatened and internationally recognised species. On the Loddon River at North Central CMA’s Flagship Waterway site, a further 60 hectares of floodplain has been protected and revegetated, adding to the 60 hectares of the previous year. The area provides refuge pools for pygmy perch and other significant species.</w:t>
      </w:r>
    </w:p>
    <w:p w14:paraId="5950F6DE" w14:textId="77777777" w:rsidR="00B02873" w:rsidRDefault="00B02873" w:rsidP="00B02873">
      <w:pPr>
        <w:pStyle w:val="Bullet1Lists"/>
      </w:pPr>
      <w:r>
        <w:t xml:space="preserve">A new series of the popular </w:t>
      </w:r>
      <w:hyperlink r:id="rId104" w:history="1">
        <w:r>
          <w:t>Native Fish Report Cards</w:t>
        </w:r>
      </w:hyperlink>
      <w:r>
        <w:t xml:space="preserve"> were released in late 2021.The Native Fish Report Cards are brief overviews of the health of target fish populations, which present survey summaries from priority rivers and streams. This project is a collaboration between DELWP, including its Arthur Rylah Institute, and the Victorian Fisheries Authority, in partnership with recreational fishing license holders.</w:t>
      </w:r>
    </w:p>
    <w:p w14:paraId="121B85DB" w14:textId="6E9B7A24" w:rsidR="00B02873" w:rsidRDefault="00B02873" w:rsidP="00CE2866">
      <w:pPr>
        <w:pStyle w:val="Bullet1Lists"/>
      </w:pPr>
      <w:r>
        <w:t>West Gippsland CMA released a set of high-quality videos via their YouTube channel in May 2022 related to various elements of the investment in regional catchments and waterways.</w:t>
      </w:r>
      <w:r w:rsidR="00012C04">
        <w:t xml:space="preserve"> </w:t>
      </w:r>
      <w:r>
        <w:t>They provide a range of inspiring snapshots of what this broad program looks like on the ground, and what it means to individuals.</w:t>
      </w:r>
      <w:r w:rsidR="00012C04">
        <w:t xml:space="preserve"> </w:t>
      </w:r>
      <w:r>
        <w:t>They also feature the unsung heroes of our programs – CMA Project Officers.</w:t>
      </w:r>
      <w:r w:rsidR="00012C04">
        <w:t xml:space="preserve"> </w:t>
      </w:r>
      <w:r>
        <w:t xml:space="preserve">See below for links: </w:t>
      </w:r>
    </w:p>
    <w:p w14:paraId="44EAE8EB" w14:textId="3EA34DEA" w:rsidR="00B02873" w:rsidRPr="001A27BB" w:rsidRDefault="002F4F06" w:rsidP="00CE2866">
      <w:pPr>
        <w:pStyle w:val="Bullet2Lists"/>
        <w:rPr>
          <w:rStyle w:val="Hyperlink"/>
        </w:rPr>
      </w:pPr>
      <w:hyperlink r:id="rId105" w:history="1">
        <w:r w:rsidR="00B02873" w:rsidRPr="001A27BB">
          <w:rPr>
            <w:rStyle w:val="Hyperlink"/>
          </w:rPr>
          <w:t>Headwater willow treatment</w:t>
        </w:r>
      </w:hyperlink>
    </w:p>
    <w:p w14:paraId="02F6485B" w14:textId="1F13334A" w:rsidR="00B02873" w:rsidRPr="001A27BB" w:rsidRDefault="002F4F06" w:rsidP="00CE2866">
      <w:pPr>
        <w:pStyle w:val="Bullet2Lists"/>
        <w:rPr>
          <w:rStyle w:val="Hyperlink"/>
        </w:rPr>
      </w:pPr>
      <w:hyperlink r:id="rId106" w:history="1">
        <w:r w:rsidR="00B02873" w:rsidRPr="001A27BB">
          <w:rPr>
            <w:rStyle w:val="Hyperlink"/>
          </w:rPr>
          <w:t>Chain of Ponds (Perry catchment)</w:t>
        </w:r>
      </w:hyperlink>
    </w:p>
    <w:p w14:paraId="3D427B63" w14:textId="6CA55DFA" w:rsidR="00B02873" w:rsidRPr="001A27BB" w:rsidRDefault="002F4F06" w:rsidP="00CE2866">
      <w:pPr>
        <w:pStyle w:val="Bullet2Lists"/>
        <w:rPr>
          <w:rStyle w:val="Hyperlink"/>
        </w:rPr>
      </w:pPr>
      <w:hyperlink r:id="rId107" w:history="1">
        <w:r w:rsidR="00B02873" w:rsidRPr="001A27BB">
          <w:rPr>
            <w:rStyle w:val="Hyperlink"/>
          </w:rPr>
          <w:t>Rainbow Creek flood recovery works</w:t>
        </w:r>
      </w:hyperlink>
    </w:p>
    <w:p w14:paraId="3A8464E0" w14:textId="77777777" w:rsidR="00B02873" w:rsidRPr="001A27BB" w:rsidRDefault="002F4F06" w:rsidP="00CE2866">
      <w:pPr>
        <w:pStyle w:val="Bullet2Lists"/>
        <w:rPr>
          <w:rStyle w:val="Hyperlink"/>
        </w:rPr>
      </w:pPr>
      <w:hyperlink r:id="rId108" w:history="1">
        <w:r w:rsidR="00B02873" w:rsidRPr="001A27BB">
          <w:rPr>
            <w:rStyle w:val="Hyperlink"/>
          </w:rPr>
          <w:t>Thomson River Flagship</w:t>
        </w:r>
      </w:hyperlink>
      <w:r w:rsidR="00B02873" w:rsidRPr="001A27BB">
        <w:rPr>
          <w:rStyle w:val="Hyperlink"/>
        </w:rPr>
        <w:t xml:space="preserve"> </w:t>
      </w:r>
    </w:p>
    <w:p w14:paraId="041EC30A" w14:textId="2B28FC8D" w:rsidR="00B02873" w:rsidRPr="001A27BB" w:rsidRDefault="002F4F06" w:rsidP="00CE2866">
      <w:pPr>
        <w:pStyle w:val="Bullet2Lists"/>
        <w:rPr>
          <w:rStyle w:val="Hyperlink"/>
        </w:rPr>
      </w:pPr>
      <w:hyperlink r:id="rId109" w:history="1">
        <w:r w:rsidR="00B02873" w:rsidRPr="001A27BB">
          <w:rPr>
            <w:rStyle w:val="Hyperlink"/>
          </w:rPr>
          <w:t>Citizen science and monitoring programs</w:t>
        </w:r>
      </w:hyperlink>
    </w:p>
    <w:p w14:paraId="2B2D0C0F" w14:textId="26B5F298" w:rsidR="00B02873" w:rsidRDefault="00B02873" w:rsidP="00B02873">
      <w:pPr>
        <w:pStyle w:val="Bullet1Lists"/>
      </w:pPr>
      <w:r>
        <w:t>West Gippsland CMA has also completed significant landscape scale stewardship planning with sector partners, Traditional Owners and the broader community on over 101,000 hectares covering the whole Powlett River Catchment.</w:t>
      </w:r>
    </w:p>
    <w:p w14:paraId="7A34627A" w14:textId="2D28891C" w:rsidR="00B02873" w:rsidRDefault="00B02873" w:rsidP="00B02873">
      <w:pPr>
        <w:pStyle w:val="Bullet1Lists"/>
      </w:pPr>
      <w:r>
        <w:t xml:space="preserve">Led by East Gippsland CMA, regional partners across the Gippsland Lakes landscape have finalised an integrated program of works for the next two years and presented this to the Gippsland Lakes Coordinating Committee. A new term of the committee was established, and new agency and community representatives appointed. The program will see 30 projects delivered in collaboration with 12 delivery partners, including habitat protection and enhancement, protection of threatened flora and fauna species, mapping and protection of culturally significant areas and improving water quality. In addition, the next round of the Gippsland Lakes Community Grants program closed in June 2022. Approximately $300,000 in grants will provide funds to community groups that support the Lakes allowing them to complete environmental and community projects. </w:t>
      </w:r>
    </w:p>
    <w:p w14:paraId="46B2EA04" w14:textId="77777777" w:rsidR="00B02873" w:rsidRDefault="00B02873" w:rsidP="00B02873">
      <w:pPr>
        <w:pStyle w:val="Bullet1Lists"/>
      </w:pPr>
      <w:r>
        <w:t>Delivery of new projects at all Ramsar sites commenced as planned in January 2022. Highlights included: start of the Sanderling Tracking project at Discovery Bay Ramsar site, which involved tagging of 112 birds; over 3,000 hectares of rabbit and fox control at the Kerang wetlands Ramsar site in North Central CMA.</w:t>
      </w:r>
    </w:p>
    <w:p w14:paraId="58C8737E" w14:textId="115E0D7F" w:rsidR="00B02873" w:rsidRDefault="00B02873" w:rsidP="00CE2866">
      <w:pPr>
        <w:pStyle w:val="Bullet1Listslast"/>
      </w:pPr>
      <w:r>
        <w:t>Goulburn Broken CMA is continuing the Bogies and Beyond project with a public call for ideas to deliver stewardship, which has resulted in over 30 expressions of interest and more than 350 hectares of works being sought by landholders.</w:t>
      </w:r>
      <w:r w:rsidR="00012C04">
        <w:t xml:space="preserve"> </w:t>
      </w:r>
    </w:p>
    <w:p w14:paraId="1D039306" w14:textId="77777777" w:rsidR="00B02873" w:rsidRDefault="00B02873" w:rsidP="00FE198A">
      <w:r>
        <w:rPr>
          <w:spacing w:val="-4"/>
        </w:rPr>
        <w:t xml:space="preserve">More information on these programs and achievements can be found at </w:t>
      </w:r>
      <w:hyperlink r:id="rId110" w:history="1">
        <w:r w:rsidRPr="00CE2866">
          <w:rPr>
            <w:rStyle w:val="Hyperlink"/>
          </w:rPr>
          <w:t>https://water.vic.gov.au/waterways-and-catchments</w:t>
        </w:r>
      </w:hyperlink>
      <w:r>
        <w:rPr>
          <w:spacing w:val="-4"/>
        </w:rPr>
        <w:t xml:space="preserve"> including a report card assessing progress against statewide waterway management targets. The report shows that all ten targets are on track or exceeded at the midpoint for the </w:t>
      </w:r>
      <w:r w:rsidRPr="00CE2866">
        <w:rPr>
          <w:rStyle w:val="LightItalic"/>
          <w:rFonts w:asciiTheme="minorHAnsi" w:hAnsiTheme="minorHAnsi" w:cstheme="minorHAnsi"/>
          <w:spacing w:val="-4"/>
        </w:rPr>
        <w:t>Victorian Waterway Management Strategy</w:t>
      </w:r>
      <w:r>
        <w:rPr>
          <w:spacing w:val="-4"/>
        </w:rPr>
        <w:t xml:space="preserve">. This significant progress demonstrates what can be achieved through sustained investment in waterway health. </w:t>
      </w:r>
    </w:p>
    <w:p w14:paraId="2D2C1663" w14:textId="77777777" w:rsidR="00B02873" w:rsidRDefault="00B02873" w:rsidP="00FE198A">
      <w:pPr>
        <w:rPr>
          <w:spacing w:val="-3"/>
        </w:rPr>
      </w:pPr>
      <w:r>
        <w:t>Major drainage systems in the Melbourne region are the responsibility of Melbourne Water, managed under their Waterways and Drainage Strategy and reported against in the Melbourne Water Annual Report</w:t>
      </w:r>
      <w:r>
        <w:rPr>
          <w:spacing w:val="-3"/>
        </w:rPr>
        <w:t xml:space="preserve">. </w:t>
      </w:r>
    </w:p>
    <w:p w14:paraId="0F639934" w14:textId="77777777" w:rsidR="00B02873" w:rsidRDefault="00B02873" w:rsidP="001A27BB">
      <w:pPr>
        <w:pStyle w:val="Heading3"/>
      </w:pPr>
      <w:r>
        <w:lastRenderedPageBreak/>
        <w:t xml:space="preserve">f) Water quality (including salinity) </w:t>
      </w:r>
    </w:p>
    <w:p w14:paraId="7AF90D12" w14:textId="3133549D" w:rsidR="00B02873" w:rsidRPr="001A27BB" w:rsidRDefault="00B02873" w:rsidP="00FE198A">
      <w:pPr>
        <w:rPr>
          <w:rStyle w:val="LightItalic"/>
          <w:rFonts w:asciiTheme="minorHAnsi" w:hAnsiTheme="minorHAnsi" w:cstheme="minorHAnsi"/>
          <w:i w:val="0"/>
          <w:iCs w:val="0"/>
        </w:rPr>
      </w:pPr>
      <w:r>
        <w:t xml:space="preserve">Water quality monitoring was conducted at 445 partnership sites across the state in 2021-22. A range of water quality parameters are either continuously monitored or sampled at regular intervals from these sites, and cover a range of physical, chemical, nutrient, metal, anion, cation, organic load and algal analyses. Data from the monitoring network is made publicly available through the </w:t>
      </w:r>
      <w:r w:rsidRPr="001A27BB">
        <w:rPr>
          <w:rStyle w:val="LightItalic"/>
          <w:rFonts w:asciiTheme="minorHAnsi" w:hAnsiTheme="minorHAnsi" w:cstheme="minorHAnsi"/>
        </w:rPr>
        <w:t>Water Measurement Information System</w:t>
      </w:r>
      <w:r>
        <w:t xml:space="preserve"> (</w:t>
      </w:r>
      <w:hyperlink r:id="rId111" w:history="1">
        <w:r w:rsidRPr="001A27BB">
          <w:rPr>
            <w:rStyle w:val="Hyperlink"/>
          </w:rPr>
          <w:t>data.water.vic.gov.au</w:t>
        </w:r>
      </w:hyperlink>
      <w:r>
        <w:t>). Water quality across the state is generally good. However, it can vary depending on location, weather conditions, land use and land use practices</w:t>
      </w:r>
      <w:r w:rsidRPr="00DE1FCE">
        <w:rPr>
          <w:rStyle w:val="LightItalic"/>
          <w:rFonts w:ascii="Arial" w:hAnsi="Arial"/>
          <w:i w:val="0"/>
          <w:iCs w:val="0"/>
        </w:rPr>
        <w:t>.</w:t>
      </w:r>
    </w:p>
    <w:p w14:paraId="3F7759AF" w14:textId="77777777" w:rsidR="00B02873" w:rsidRDefault="00B02873" w:rsidP="001A27BB">
      <w:pPr>
        <w:pStyle w:val="Heading3"/>
      </w:pPr>
      <w:r>
        <w:t>g) In-stream uses of water</w:t>
      </w:r>
    </w:p>
    <w:p w14:paraId="60B86903" w14:textId="1941CB1A" w:rsidR="00B02873" w:rsidRDefault="00B02873" w:rsidP="00FE198A">
      <w:r>
        <w:t>Refer to section ac) above, ‘Environmental Water Reserve’, for details regarding the in-stream use of water.</w:t>
      </w:r>
    </w:p>
    <w:p w14:paraId="1DA17B26" w14:textId="287D8B6E" w:rsidR="00B02873" w:rsidRDefault="00B02873" w:rsidP="001A27BB">
      <w:pPr>
        <w:pStyle w:val="Heading3"/>
      </w:pPr>
      <w:r>
        <w:t>ga) Current and historic levels of allocation and use of surface water and groundwater</w:t>
      </w:r>
      <w:r w:rsidR="00012C04">
        <w:t xml:space="preserve"> </w:t>
      </w:r>
    </w:p>
    <w:p w14:paraId="56FE193A" w14:textId="77777777" w:rsidR="00B02873" w:rsidRDefault="00B02873" w:rsidP="00FE198A">
      <w:r>
        <w:rPr>
          <w:spacing w:val="-2"/>
        </w:rPr>
        <w:t xml:space="preserve">The </w:t>
      </w:r>
      <w:r w:rsidRPr="001A27BB">
        <w:rPr>
          <w:rStyle w:val="LightItalic"/>
          <w:rFonts w:asciiTheme="minorHAnsi" w:hAnsiTheme="minorHAnsi" w:cstheme="minorHAnsi"/>
          <w:spacing w:val="-2"/>
        </w:rPr>
        <w:t>Victorian Water Accounts</w:t>
      </w:r>
      <w:r>
        <w:rPr>
          <w:spacing w:val="-2"/>
        </w:rPr>
        <w:t xml:space="preserve"> provides a comprehensive annual overview of the state’s water resources. This includes providing an annual statewide and system picture of water availability and use for each of Victoria’s 29 river basins and 20 groundwater catchments, and for each of the state’s rural and urban distribution systems. </w:t>
      </w:r>
    </w:p>
    <w:p w14:paraId="6D1A974A" w14:textId="2FAF2183" w:rsidR="00B02873" w:rsidRDefault="00B02873" w:rsidP="00FE198A">
      <w:r>
        <w:t xml:space="preserve">The 2020-21 Accounts were released in June 2022 and have been published online as a digital product, available in a hardcopy format, and are also available on the Victorian Water Register website: </w:t>
      </w:r>
      <w:hyperlink r:id="rId112" w:history="1">
        <w:r w:rsidRPr="001A27BB">
          <w:rPr>
            <w:rStyle w:val="Hyperlink"/>
          </w:rPr>
          <w:t>www.waterregister.vic.gov.au</w:t>
        </w:r>
      </w:hyperlink>
      <w:r>
        <w:t xml:space="preserve">. The 2021-22 Accounts are expected to be completed in the first half of 2023. Comprehensive historic information on allocations and water use is also available in Water Accounts and State Water Reports dating back to 2003-04. </w:t>
      </w:r>
    </w:p>
    <w:p w14:paraId="302AEE31" w14:textId="77777777" w:rsidR="00B02873" w:rsidRDefault="00B02873" w:rsidP="00FE198A">
      <w:r>
        <w:t xml:space="preserve">Details of Victoria’s water availability and use in 2021-22 will be provided in the 2021-22 Victorian Water Account. </w:t>
      </w:r>
    </w:p>
    <w:p w14:paraId="7A008E76" w14:textId="77777777" w:rsidR="00B02873" w:rsidRDefault="00B02873" w:rsidP="001A27BB">
      <w:pPr>
        <w:pStyle w:val="Heading4"/>
      </w:pPr>
      <w:r>
        <w:t>Surface water</w:t>
      </w:r>
    </w:p>
    <w:p w14:paraId="02663BB5" w14:textId="7CA2E529" w:rsidR="00B02873" w:rsidRDefault="00B02873" w:rsidP="00FE198A">
      <w:r>
        <w:t>In 2021-22, more rainfall was received in the majority of the state than the previous year. Above average rainfall was received in most of the north, near Cape Otway and over Werribee. Rainfall was above average in the north-east and most of the east.</w:t>
      </w:r>
      <w:r w:rsidR="00012C04">
        <w:t xml:space="preserve"> </w:t>
      </w:r>
      <w:r>
        <w:t xml:space="preserve">Rainfall was below average in the south west and south east. </w:t>
      </w:r>
    </w:p>
    <w:p w14:paraId="270D4587" w14:textId="77777777" w:rsidR="00B02873" w:rsidRDefault="00B02873" w:rsidP="00FE198A">
      <w:r>
        <w:t>All Northern and Southern regulated systems received 100 per cent allocation against high reliability water entitlements in 2021-22. For the first time since 2012-13, all northern Victorian systems received a non-zero opening seasonal allocation. All northern regulated systems reached 100 per cent allocation against high reliability water entitlements by October 2021. In addition, 100 per cent allocation against low reliability water entitlements was received in three northern systems, the Murray, Broken and Bullarook. This is only the second year that a Murray low reliability water share (LRWS) allocation has been made since LRWSs were established in 2007-08. In 2016-17, a 5 per cent Murray LRWS was allocated.</w:t>
      </w:r>
    </w:p>
    <w:p w14:paraId="43311D6B" w14:textId="77777777" w:rsidR="00B02873" w:rsidRDefault="00B02873" w:rsidP="00FE198A">
      <w:r>
        <w:t>The Thomson-Macalister and Werribee regulated systems in the south both received 100 per cent against high reliability entitlements by end December 2020 and 100 per cent against low reliability entitlements by March 2022.</w:t>
      </w:r>
    </w:p>
    <w:p w14:paraId="4E426664" w14:textId="77777777" w:rsidR="00B02873" w:rsidRDefault="00B02873" w:rsidP="00FE198A">
      <w:r>
        <w:t>The Wimmera-Mallee Pipeline Product allocation reached 59 per cent by May 2021.</w:t>
      </w:r>
    </w:p>
    <w:p w14:paraId="645EDFF8" w14:textId="77777777" w:rsidR="00B02873" w:rsidRDefault="00B02873" w:rsidP="00FE198A">
      <w:r>
        <w:t xml:space="preserve">In the Coliban rural system, entitlement holders had access to 100 per cent of their entitlement for the entire year for the eleventh year in a row. </w:t>
      </w:r>
    </w:p>
    <w:p w14:paraId="26C31E89" w14:textId="77777777" w:rsidR="00B02873" w:rsidRDefault="00B02873" w:rsidP="001A27BB">
      <w:pPr>
        <w:pStyle w:val="Heading4"/>
      </w:pPr>
      <w:r>
        <w:lastRenderedPageBreak/>
        <w:t>Groundwater</w:t>
      </w:r>
    </w:p>
    <w:p w14:paraId="267747C3" w14:textId="77777777" w:rsidR="00B02873" w:rsidRDefault="00B02873" w:rsidP="00FE198A">
      <w:r>
        <w:rPr>
          <w:spacing w:val="-4"/>
        </w:rPr>
        <w:t>Seasonal restrictions are announced in accordance with the groundwater management plans developed for Water Supply Protection Areas (WSPAs) and Groundwater Management Areas (GMAs). A restriction may be used to reduce the risks from falling groundwater levels; allow the resource to be shared between all users; or recognise and reduce the social and environmental costs of lowering groundwater levels.</w:t>
      </w:r>
    </w:p>
    <w:p w14:paraId="4908BD16" w14:textId="77777777" w:rsidR="00B02873" w:rsidRDefault="00B02873" w:rsidP="00FE198A">
      <w:r>
        <w:t>In 2021-22, restrictions on groundwater use were in place in the Barnadown, Elmore-Rochester, Bamawn and Echuca Zones in the Lower Campaspe Valley WSPA) (75 per cent), Katunga WSPA (70 per cent), Deutgam WSPA (50 per cent) and the West Wimmera GMA Neuarpur Sub-Zone 1 (80 per cent).</w:t>
      </w:r>
    </w:p>
    <w:p w14:paraId="6F4AC623" w14:textId="4A7BE7B6" w:rsidR="00B02873" w:rsidRDefault="00B02873" w:rsidP="001A27BB">
      <w:pPr>
        <w:pStyle w:val="Heading3"/>
      </w:pPr>
      <w:r>
        <w:t xml:space="preserve">gb) Current and historic condition of waterways and aquifers </w:t>
      </w:r>
    </w:p>
    <w:p w14:paraId="22A0220E" w14:textId="77777777" w:rsidR="00B02873" w:rsidRDefault="00B02873" w:rsidP="00FE198A">
      <w:r>
        <w:rPr>
          <w:spacing w:val="-4"/>
        </w:rPr>
        <w:t xml:space="preserve">DELWP has reviewed and improved Victoria’s existing waterway health monitoring programs to have a greater focus on monitoring the changes that result from management actions – an action in </w:t>
      </w:r>
      <w:r w:rsidRPr="001A27BB">
        <w:rPr>
          <w:rStyle w:val="LightItalic"/>
          <w:rFonts w:asciiTheme="minorHAnsi" w:hAnsiTheme="minorHAnsi" w:cstheme="minorHAnsi"/>
          <w:spacing w:val="-4"/>
        </w:rPr>
        <w:t>Water for Victoria</w:t>
      </w:r>
      <w:r>
        <w:rPr>
          <w:spacing w:val="-4"/>
        </w:rPr>
        <w:t xml:space="preserve">. Management interventions should over time result in improvements to overall waterway resource condition. Statewide condition monitoring programs such as the Index of Stream Condition (ISC) provide information about the overall condition of Victoria’s waterways and guide state policy and regional investment programs. Three previous ISC assessments have been undertaken. A key lesson from these assessments is that changes in resource condition in response to management interventions may take many decades to emerge as the benefits of management interventions accumulate and ecological systems have time to recover. </w:t>
      </w:r>
      <w:r w:rsidRPr="001A27BB">
        <w:rPr>
          <w:rStyle w:val="LightItalic"/>
          <w:rFonts w:asciiTheme="minorHAnsi" w:hAnsiTheme="minorHAnsi" w:cstheme="minorHAnsi"/>
          <w:spacing w:val="-4"/>
        </w:rPr>
        <w:t>Water for Victoria</w:t>
      </w:r>
      <w:r>
        <w:rPr>
          <w:spacing w:val="-4"/>
        </w:rPr>
        <w:t xml:space="preserve"> acknowledges that the full benefits of investments to improve waterway health may not be realised for 30 years or more. Responses to management interventions need to be measured at relevant scales and assessed against specific management targets. As such, the schedule of broad scale condition monitoring of rivers, wetland and estuaries has been revised to occur less frequently.</w:t>
      </w:r>
    </w:p>
    <w:p w14:paraId="744737F1" w14:textId="243B6756" w:rsidR="00B02873" w:rsidRDefault="00B02873" w:rsidP="00FE198A">
      <w:r>
        <w:t xml:space="preserve">The first statewide </w:t>
      </w:r>
      <w:hyperlink r:id="rId113" w:history="1">
        <w:r w:rsidRPr="00773ED7">
          <w:rPr>
            <w:rStyle w:val="Hyperlink"/>
          </w:rPr>
          <w:t>Index of Estuary Condition</w:t>
        </w:r>
      </w:hyperlink>
      <w:r>
        <w:t xml:space="preserve"> assessment was completed and launched on time in September 2021.</w:t>
      </w:r>
      <w:r w:rsidR="00012C04">
        <w:t xml:space="preserve"> </w:t>
      </w:r>
      <w:r>
        <w:t>The extensive data collection and analysis (of the over 100 estuaries of Victoria) took over three years to complete, and provides the most comprehensive assessment ever undertaken of these special places.</w:t>
      </w:r>
      <w:r w:rsidR="00012C04">
        <w:t xml:space="preserve"> </w:t>
      </w:r>
      <w:r>
        <w:t xml:space="preserve">Overall results showed that 13 per cent of estuaries had excellent condition, whereas 30 per cent had poor or very poor condition. Results, maps, fact sheets and interpretation of data is available on DELWP’s Waterways and catchments </w:t>
      </w:r>
      <w:hyperlink r:id="rId114" w:history="1">
        <w:r w:rsidRPr="00773ED7">
          <w:rPr>
            <w:rStyle w:val="Hyperlink"/>
          </w:rPr>
          <w:t>website</w:t>
        </w:r>
      </w:hyperlink>
      <w:r>
        <w:t>.</w:t>
      </w:r>
    </w:p>
    <w:p w14:paraId="6B3A15FA" w14:textId="594912C6" w:rsidR="00B02873" w:rsidRDefault="00B02873" w:rsidP="001A27BB">
      <w:pPr>
        <w:pStyle w:val="Normalbeforebullet"/>
      </w:pPr>
      <w:r>
        <w:t xml:space="preserve">An important milestone was reached in 2021 for the </w:t>
      </w:r>
      <w:hyperlink r:id="rId115" w:history="1">
        <w:r w:rsidRPr="00773ED7">
          <w:rPr>
            <w:rStyle w:val="Hyperlink"/>
          </w:rPr>
          <w:t>Riparian Intervention Monitoring Program</w:t>
        </w:r>
      </w:hyperlink>
      <w:r>
        <w:t>, which has been running since 2014, and monitors 34 intervention and control site pairs across nine CMA regions. Three years after management interventions were implemented, encouraging improvements in riparian condition have been observed at treatment sites including:</w:t>
      </w:r>
    </w:p>
    <w:p w14:paraId="2E6A1AB9" w14:textId="77777777" w:rsidR="00B02873" w:rsidRDefault="00B02873" w:rsidP="00B02873">
      <w:pPr>
        <w:pStyle w:val="Bullet1Lists"/>
      </w:pPr>
      <w:r>
        <w:t>a 41 per cent decrease in bare ground</w:t>
      </w:r>
    </w:p>
    <w:p w14:paraId="378FEB46" w14:textId="77777777" w:rsidR="00B02873" w:rsidRDefault="00B02873" w:rsidP="00B02873">
      <w:pPr>
        <w:pStyle w:val="Bullet1Lists"/>
      </w:pPr>
      <w:r>
        <w:t>a dramatic increase in the density of native woody plants</w:t>
      </w:r>
    </w:p>
    <w:p w14:paraId="27419B85" w14:textId="77777777" w:rsidR="00B02873" w:rsidRDefault="00B02873" w:rsidP="001A27BB">
      <w:pPr>
        <w:pStyle w:val="Bullet1Listslast"/>
      </w:pPr>
      <w:r>
        <w:t>a 76 per cent increase in the number of native plant species.</w:t>
      </w:r>
    </w:p>
    <w:p w14:paraId="1AF814E9" w14:textId="77777777" w:rsidR="00B02873" w:rsidRDefault="00B02873" w:rsidP="00FE198A">
      <w:r>
        <w:rPr>
          <w:spacing w:val="-4"/>
        </w:rPr>
        <w:t xml:space="preserve">The results of the third and most recent ISC assessment were released during 2013 and are available at </w:t>
      </w:r>
      <w:hyperlink r:id="rId116" w:history="1">
        <w:r w:rsidRPr="00773ED7">
          <w:rPr>
            <w:rStyle w:val="Hyperlink"/>
          </w:rPr>
          <w:t>mapshare.vic.gov.au</w:t>
        </w:r>
      </w:hyperlink>
      <w:r>
        <w:rPr>
          <w:spacing w:val="-4"/>
        </w:rPr>
        <w:t xml:space="preserve"> and </w:t>
      </w:r>
      <w:hyperlink r:id="rId117" w:history="1">
        <w:r w:rsidRPr="00773ED7">
          <w:rPr>
            <w:rStyle w:val="Hyperlink"/>
          </w:rPr>
          <w:t>data.vic.gov.au</w:t>
        </w:r>
      </w:hyperlink>
      <w:r>
        <w:rPr>
          <w:spacing w:val="-4"/>
        </w:rPr>
        <w:t xml:space="preserve">. The results from the most recent statewide wetland assessment in 2010 that looked at 827 wetlands are also available at </w:t>
      </w:r>
      <w:hyperlink r:id="rId118" w:history="1">
        <w:r w:rsidRPr="001A27BB">
          <w:rPr>
            <w:rStyle w:val="Hyperlink"/>
          </w:rPr>
          <w:t>mapshare.vic.gov.au</w:t>
        </w:r>
      </w:hyperlink>
      <w:r>
        <w:rPr>
          <w:spacing w:val="-4"/>
        </w:rPr>
        <w:t>. An updated assessment of statewide wetland condition is due for reporting in 2024.</w:t>
      </w:r>
    </w:p>
    <w:p w14:paraId="3A46EF15" w14:textId="77777777" w:rsidR="00B02873" w:rsidRDefault="00B02873" w:rsidP="00FE198A">
      <w:r>
        <w:t>Aquifer condition is monitored through Victoria’s State Observation Bore Network. See section (a) ‘Availability of Water – Groundwater’ for more information.</w:t>
      </w:r>
    </w:p>
    <w:p w14:paraId="4E4EDA8F" w14:textId="14E98385" w:rsidR="00B02873" w:rsidRDefault="00B02873" w:rsidP="00773ED7">
      <w:pPr>
        <w:pStyle w:val="Boldheader"/>
      </w:pPr>
      <w:r>
        <w:t>Long Term Water Resource Assessments</w:t>
      </w:r>
    </w:p>
    <w:p w14:paraId="4223894C" w14:textId="77777777" w:rsidR="00B02873" w:rsidRDefault="00B02873" w:rsidP="00FE198A">
      <w:r>
        <w:t xml:space="preserve">The </w:t>
      </w:r>
      <w:r w:rsidRPr="00773ED7">
        <w:rPr>
          <w:rStyle w:val="LightItalic"/>
          <w:rFonts w:asciiTheme="minorHAnsi" w:hAnsiTheme="minorHAnsi" w:cstheme="minorHAnsi"/>
        </w:rPr>
        <w:t>Water Act 1989</w:t>
      </w:r>
      <w:r>
        <w:t xml:space="preserve"> requires a Long-Term Water Resource Assessment (LTWRA) every 15 years to determine whether water availability has declined or if waterway health has deteriorated for reasons related to changes in flow.</w:t>
      </w:r>
    </w:p>
    <w:p w14:paraId="68571148" w14:textId="77777777" w:rsidR="00B02873" w:rsidRDefault="00B02873" w:rsidP="00FE198A">
      <w:r>
        <w:lastRenderedPageBreak/>
        <w:t>The LTWRA for Southern Victoria was published in March 2020. This is the first comprehensive technical assessment of how surface water and groundwater availability has already changed across southern Victoria, and the first large-scale effort to measure long-term changes in waterway health due to flow.</w:t>
      </w:r>
    </w:p>
    <w:p w14:paraId="6F3EEDD7" w14:textId="77777777" w:rsidR="00B02873" w:rsidRDefault="00B02873" w:rsidP="00FE198A">
      <w:r>
        <w:t xml:space="preserve">The Central and Gippsland Region Sustainable Water Strategy (CGRSWS) will consider and identify actions required in response to the LTWRA, having regard to relevant economic, environmental, social, recreational and Traditional Owner values of water. </w:t>
      </w:r>
    </w:p>
    <w:p w14:paraId="5C374684" w14:textId="62EDD881" w:rsidR="00B02873" w:rsidRDefault="00B02873" w:rsidP="00FE198A">
      <w:r>
        <w:t>In October 2021, the ‘Technical Guide to Figures in Central and Gippsland Region Sustainable Water Strategy Discussion Draft’ was published to accompany the CGRSWS Discussion Draft.</w:t>
      </w:r>
      <w:r w:rsidR="00012C04">
        <w:t xml:space="preserve"> </w:t>
      </w:r>
      <w:r>
        <w:t>The technical guide sets out the data sources and methods used to provide a robust evidence-base for long-term planning.</w:t>
      </w:r>
      <w:r w:rsidR="00012C04">
        <w:t xml:space="preserve"> </w:t>
      </w:r>
      <w:r>
        <w:t>To ensure consistency, water-resource assessment methods applied in the LTWRA have also been applied in the CGRSWS, with refinement, such as extending data sets where new data have become available. The LTWRA for northern Victoria will commence in 2025 and align with the Murray-Darling Basin Plan review scheduled for 2026.</w:t>
      </w:r>
    </w:p>
    <w:p w14:paraId="4F992811" w14:textId="77777777" w:rsidR="00B02873" w:rsidRDefault="00B02873" w:rsidP="00E75CAC">
      <w:pPr>
        <w:pStyle w:val="Boldheader"/>
        <w:rPr>
          <w:rStyle w:val="Bold"/>
          <w:b/>
          <w:bCs/>
        </w:rPr>
      </w:pPr>
      <w:r>
        <w:rPr>
          <w:rStyle w:val="Bold"/>
          <w:b/>
          <w:bCs/>
        </w:rPr>
        <w:t xml:space="preserve">Sustainable Water Strategies </w:t>
      </w:r>
    </w:p>
    <w:p w14:paraId="41A30684" w14:textId="77777777" w:rsidR="00B02873" w:rsidRDefault="00B02873" w:rsidP="00FE198A">
      <w:r>
        <w:t xml:space="preserve">Sustainable Water Strategies (SWSs) are a legislative requirement under Division 1B of the </w:t>
      </w:r>
      <w:r w:rsidRPr="00E75CAC">
        <w:rPr>
          <w:rStyle w:val="LightItalic"/>
          <w:rFonts w:asciiTheme="minorHAnsi" w:hAnsiTheme="minorHAnsi" w:cstheme="minorHAnsi"/>
        </w:rPr>
        <w:t>Water Act 1989</w:t>
      </w:r>
      <w:r w:rsidRPr="00E75CAC">
        <w:rPr>
          <w:rFonts w:asciiTheme="minorHAnsi" w:hAnsiTheme="minorHAnsi" w:cstheme="minorHAnsi"/>
        </w:rPr>
        <w:t xml:space="preserve"> </w:t>
      </w:r>
      <w:r>
        <w:t xml:space="preserve">and fulfil Victoria’s commitment under the National Water Initiative to carry out open, statutory-based water planning. Four SWSs covering the state were produced between 2006 and 2011. These strategies set out long-term plans to secure each region’s water future, identifying and managing threats to the supply and quality of the region’s water resources and identifying ways to improve waterway health. Opportunities for achieving shared benefits, including those related to Aboriginal values of water and recreational values, are also considered. </w:t>
      </w:r>
    </w:p>
    <w:p w14:paraId="263DD6D6" w14:textId="77777777" w:rsidR="00B02873" w:rsidRDefault="00B02873" w:rsidP="00FE198A">
      <w:r w:rsidRPr="00E75CAC">
        <w:rPr>
          <w:rStyle w:val="LightItalic"/>
          <w:rFonts w:asciiTheme="minorHAnsi" w:hAnsiTheme="minorHAnsi" w:cstheme="minorHAnsi"/>
        </w:rPr>
        <w:t>Water for Victoria</w:t>
      </w:r>
      <w:r>
        <w:t xml:space="preserve"> commits to maintaining Victoria’s planning framework, including the role of SWSs. In 2021-22, DELWP continued the preparation of a new CGRSWS.</w:t>
      </w:r>
    </w:p>
    <w:p w14:paraId="2D67A443" w14:textId="77777777" w:rsidR="00B02873" w:rsidRDefault="00B02873" w:rsidP="00FE198A">
      <w:r>
        <w:t>The discussion draft of the CGRSWS was released for public consultation from 8 October 2021 to 10 December 2021. Feedback from the public consultation process was considered by the Consultive Committee and will shape the final Strategy.</w:t>
      </w:r>
    </w:p>
    <w:p w14:paraId="7C1573FB" w14:textId="77777777" w:rsidR="00B02873" w:rsidRDefault="00B02873" w:rsidP="00FE198A">
      <w:r>
        <w:t xml:space="preserve">The CGRSWS has identified policies and actions for a climate-resilient future so that even in a drying climate, there will be enough water for cities and towns, farms, industry, rivers, recreation and tourism, while returning water to Traditional Owners. </w:t>
      </w:r>
    </w:p>
    <w:p w14:paraId="5E0F55A0" w14:textId="77777777" w:rsidR="00B02873" w:rsidRDefault="00B02873" w:rsidP="00FE198A">
      <w:r>
        <w:t>The final CGRSWS is expected to be released later in 2022. Funding of $56.5 million has been allocated from the 2022-23 State Budget to assist with early implementation of the CGRSWS over the next two years.</w:t>
      </w:r>
    </w:p>
    <w:p w14:paraId="0D54B544" w14:textId="77777777" w:rsidR="00B02873" w:rsidRDefault="00B02873" w:rsidP="00FE198A">
      <w:r>
        <w:t xml:space="preserve">More information on the SWSs and further details on the status of each individual SWS action is available on the DELWP website. </w:t>
      </w:r>
    </w:p>
    <w:p w14:paraId="05BAB8E4" w14:textId="77777777" w:rsidR="00B02873" w:rsidRDefault="00B02873" w:rsidP="00D21A73">
      <w:pPr>
        <w:pStyle w:val="Heading2Headings"/>
      </w:pPr>
      <w:bookmarkStart w:id="50" w:name="Additional_information_available"/>
      <w:r>
        <w:t xml:space="preserve">Additional information available </w:t>
      </w:r>
      <w:bookmarkEnd w:id="50"/>
      <w:r>
        <w:t>on request</w:t>
      </w:r>
    </w:p>
    <w:p w14:paraId="6753A55E" w14:textId="77777777" w:rsidR="00B02873" w:rsidRDefault="00B02873" w:rsidP="00FE198A">
      <w:r>
        <w:t xml:space="preserve">In compliance with the requirements of the Standing Directions of the Minister for Finance, details of the items listed below have been retained and are available to Ministers, Members of Parliament and the public on request (subject to the provisions of the </w:t>
      </w:r>
      <w:r w:rsidRPr="004C7746">
        <w:rPr>
          <w:rStyle w:val="LightItalic"/>
          <w:rFonts w:asciiTheme="minorHAnsi" w:hAnsiTheme="minorHAnsi" w:cstheme="minorHAnsi"/>
        </w:rPr>
        <w:t>Freedom of Information Act 1982</w:t>
      </w:r>
      <w:r w:rsidRPr="004C7746">
        <w:rPr>
          <w:rFonts w:asciiTheme="minorHAnsi" w:hAnsiTheme="minorHAnsi" w:cstheme="minorHAnsi"/>
        </w:rPr>
        <w:t>)</w:t>
      </w:r>
      <w:r>
        <w:t>.</w:t>
      </w:r>
    </w:p>
    <w:p w14:paraId="0EFBFD3D" w14:textId="365621AC" w:rsidR="00B02873" w:rsidRDefault="00B02873" w:rsidP="001E0F51">
      <w:pPr>
        <w:pStyle w:val="NumberaLists"/>
      </w:pPr>
      <w:r>
        <w:t>A statement that declarations of pecuniary interests have been duly completed by all</w:t>
      </w:r>
      <w:r w:rsidR="004C7746">
        <w:t xml:space="preserve"> </w:t>
      </w:r>
      <w:r>
        <w:t>relevant officers of the department</w:t>
      </w:r>
    </w:p>
    <w:p w14:paraId="742ECAD3" w14:textId="77777777" w:rsidR="00B02873" w:rsidRDefault="00B02873" w:rsidP="001E0F51">
      <w:pPr>
        <w:pStyle w:val="NumberaLists"/>
      </w:pPr>
      <w:r>
        <w:t>Details of shares held by senior officers as nominee or held beneficially in a statutory authority or subsidiary</w:t>
      </w:r>
    </w:p>
    <w:p w14:paraId="4227ED4C" w14:textId="7AF7C0F9" w:rsidR="00B02873" w:rsidRDefault="00B02873" w:rsidP="001E0F51">
      <w:pPr>
        <w:pStyle w:val="NumberaLists"/>
      </w:pPr>
      <w:r>
        <w:lastRenderedPageBreak/>
        <w:t xml:space="preserve">Details of publications produced by the department about the activities of the department </w:t>
      </w:r>
      <w:r w:rsidR="004C7746">
        <w:t>and where</w:t>
      </w:r>
      <w:r>
        <w:t xml:space="preserve"> they can be obtained</w:t>
      </w:r>
    </w:p>
    <w:p w14:paraId="10C76523" w14:textId="58A3ED53" w:rsidR="00B02873" w:rsidRDefault="00B02873" w:rsidP="001E0F51">
      <w:pPr>
        <w:pStyle w:val="NumberaLists"/>
      </w:pPr>
      <w:r>
        <w:t xml:space="preserve">Details of changes in prices, fees, charges, rates and levies charged by the department for </w:t>
      </w:r>
      <w:r w:rsidR="004C7746">
        <w:t>its services</w:t>
      </w:r>
      <w:r>
        <w:t>, including services that are administered</w:t>
      </w:r>
    </w:p>
    <w:p w14:paraId="4C7FB21A" w14:textId="77777777" w:rsidR="00B02873" w:rsidRDefault="00B02873" w:rsidP="001E0F51">
      <w:pPr>
        <w:pStyle w:val="NumberaLists"/>
      </w:pPr>
      <w:r>
        <w:t>Details of any major external reviews carried out in respect of the operation of the department</w:t>
      </w:r>
    </w:p>
    <w:p w14:paraId="59E066BC" w14:textId="77777777" w:rsidR="00B02873" w:rsidRDefault="00B02873" w:rsidP="001E0F51">
      <w:pPr>
        <w:pStyle w:val="NumberaLists"/>
      </w:pPr>
      <w:r>
        <w:t>Details of any major research and development activities undertaken by the department that are not otherwise covered either in the report of operations or in a document which contains the financial statement and report of operations</w:t>
      </w:r>
    </w:p>
    <w:p w14:paraId="10D22B97" w14:textId="23D47474" w:rsidR="00B02873" w:rsidRDefault="00B02873" w:rsidP="001E0F51">
      <w:pPr>
        <w:pStyle w:val="NumberaLists"/>
      </w:pPr>
      <w:r>
        <w:t>Details of overseas visits undertaken including a summary of the objectives and outcomes of each visit</w:t>
      </w:r>
    </w:p>
    <w:p w14:paraId="69DF0BE8" w14:textId="28843DD0" w:rsidR="00B02873" w:rsidRDefault="00B02873" w:rsidP="001E0F51">
      <w:pPr>
        <w:pStyle w:val="NumberaLists"/>
      </w:pPr>
      <w:r>
        <w:t>Details of major promotional, public relations and marketing activities undertaken by the department to develop community awareness of the services provided by the department</w:t>
      </w:r>
    </w:p>
    <w:p w14:paraId="2CD8AB22" w14:textId="77777777" w:rsidR="00B02873" w:rsidRDefault="00B02873" w:rsidP="001E0F51">
      <w:pPr>
        <w:pStyle w:val="NumberaLists"/>
      </w:pPr>
      <w:r>
        <w:t>Details of assessment and measures undertaken to improve the occupational health and safety of employees, not otherwise detailed in the report of operations</w:t>
      </w:r>
    </w:p>
    <w:p w14:paraId="0F2A07C1" w14:textId="77777777" w:rsidR="00B02873" w:rsidRDefault="00B02873" w:rsidP="001E0F51">
      <w:pPr>
        <w:pStyle w:val="NumberaLists"/>
      </w:pPr>
      <w:r>
        <w:t>General statement on industrial relations within the department and details of time lost through industrial accidents and disputes, which are not otherwise detailed in the report of operations</w:t>
      </w:r>
    </w:p>
    <w:p w14:paraId="5A7826C4" w14:textId="767899CD" w:rsidR="00B02873" w:rsidRDefault="00B02873" w:rsidP="001E0F51">
      <w:pPr>
        <w:pStyle w:val="NumberaLists"/>
      </w:pPr>
      <w:r>
        <w:t>List of major committees sponsored by the department, the purpose of each committee and the extent to which the purposes have been achieved</w:t>
      </w:r>
    </w:p>
    <w:p w14:paraId="4E741B1F" w14:textId="77777777" w:rsidR="00B02873" w:rsidRDefault="00B02873" w:rsidP="001E0F51">
      <w:pPr>
        <w:pStyle w:val="NumberaLists"/>
      </w:pPr>
      <w:r>
        <w:t>Details of all consultancies and contractors including</w:t>
      </w:r>
    </w:p>
    <w:p w14:paraId="57416002" w14:textId="77777777" w:rsidR="00B02873" w:rsidRDefault="00B02873" w:rsidP="001E0F51">
      <w:pPr>
        <w:pStyle w:val="NumberiLists"/>
      </w:pPr>
      <w:r>
        <w:t>consultants/contractors engaged</w:t>
      </w:r>
    </w:p>
    <w:p w14:paraId="020D0E36" w14:textId="77777777" w:rsidR="00B02873" w:rsidRDefault="00B02873" w:rsidP="001E0F51">
      <w:pPr>
        <w:pStyle w:val="NumberiLists"/>
      </w:pPr>
      <w:r>
        <w:t>services provided</w:t>
      </w:r>
    </w:p>
    <w:p w14:paraId="49E6ED28" w14:textId="77777777" w:rsidR="00B02873" w:rsidRDefault="00B02873" w:rsidP="001E0F51">
      <w:pPr>
        <w:pStyle w:val="NumberiLists"/>
      </w:pPr>
      <w:r>
        <w:t>expenditure committed to for each engagement.</w:t>
      </w:r>
    </w:p>
    <w:p w14:paraId="3B24F292" w14:textId="1E218B93" w:rsidR="00B02873" w:rsidRDefault="00B02873" w:rsidP="00FE198A">
      <w:r>
        <w:t xml:space="preserve">The information is available on request from the DELWP Customer Contact Centre on 136 186, via email </w:t>
      </w:r>
      <w:r w:rsidRPr="00F22151">
        <w:rPr>
          <w:rStyle w:val="Hyperlink"/>
        </w:rPr>
        <w:t>customer.service@delwp.vic.gov.au</w:t>
      </w:r>
      <w:r>
        <w:t xml:space="preserve"> or on the internet at </w:t>
      </w:r>
      <w:r w:rsidRPr="00F22151">
        <w:rPr>
          <w:rStyle w:val="Hyperlink"/>
        </w:rPr>
        <w:t>www.delwp.vic.gov.au</w:t>
      </w:r>
      <w:r>
        <w:t>.</w:t>
      </w:r>
    </w:p>
    <w:p w14:paraId="4EEBAD62" w14:textId="77777777" w:rsidR="00B02873" w:rsidRDefault="00B02873" w:rsidP="00FE198A">
      <w:pPr>
        <w:pStyle w:val="Heading1"/>
      </w:pPr>
      <w:bookmarkStart w:id="51" w:name="_Toc117447364"/>
      <w:r>
        <w:t>Financial Statements</w:t>
      </w:r>
      <w:bookmarkEnd w:id="51"/>
    </w:p>
    <w:p w14:paraId="42675CD2" w14:textId="77777777" w:rsidR="00B02873" w:rsidRDefault="00B02873" w:rsidP="00D21A73">
      <w:pPr>
        <w:pStyle w:val="Heading2Headings"/>
      </w:pPr>
      <w:r>
        <w:t>How this report is structured</w:t>
      </w:r>
    </w:p>
    <w:p w14:paraId="1260C46D" w14:textId="77777777" w:rsidR="00B02873" w:rsidRDefault="00B02873" w:rsidP="00FE198A">
      <w:r>
        <w:t>The Department of Environment, Land, Water and Planning (DELWP) has presented its audited general purpose financial statements for the financial year ended 30 June 2022 in the following structure to provide users with the information about the department’s stewardship of resources entrusted to it.</w:t>
      </w:r>
    </w:p>
    <w:p w14:paraId="255C3ECC" w14:textId="77777777" w:rsidR="00B02873" w:rsidRDefault="00B02873" w:rsidP="00E034AA">
      <w:pPr>
        <w:pStyle w:val="Heading2Headings"/>
      </w:pPr>
      <w:r>
        <w:t>Financial Statements 30 June 2022</w:t>
      </w:r>
    </w:p>
    <w:p w14:paraId="5EE1F099" w14:textId="77777777" w:rsidR="00B02873" w:rsidRDefault="00B02873" w:rsidP="008846DC">
      <w:pPr>
        <w:tabs>
          <w:tab w:val="right" w:pos="9638"/>
        </w:tabs>
        <w:spacing w:after="120"/>
      </w:pPr>
      <w:r>
        <w:tab/>
      </w:r>
      <w:r>
        <w:rPr>
          <w:rStyle w:val="Bold"/>
        </w:rPr>
        <w:t>Page</w:t>
      </w:r>
    </w:p>
    <w:p w14:paraId="1CD80B48" w14:textId="12FE2359" w:rsidR="00B02873" w:rsidRDefault="00B02873" w:rsidP="008846DC">
      <w:pPr>
        <w:tabs>
          <w:tab w:val="right" w:pos="9638"/>
        </w:tabs>
        <w:spacing w:after="120"/>
      </w:pPr>
      <w:r>
        <w:t>Accountable Officer’s and Chief Finance Officer’s declaration</w:t>
      </w:r>
      <w:r>
        <w:tab/>
      </w:r>
      <w:r w:rsidR="00AF62CA">
        <w:fldChar w:fldCharType="begin"/>
      </w:r>
      <w:r w:rsidR="00AF62CA">
        <w:instrText xml:space="preserve"> PAGEREF Accountable_Officer \h </w:instrText>
      </w:r>
      <w:r w:rsidR="00AF62CA">
        <w:fldChar w:fldCharType="separate"/>
      </w:r>
      <w:r w:rsidR="00AF62CA">
        <w:rPr>
          <w:noProof/>
        </w:rPr>
        <w:t>223</w:t>
      </w:r>
      <w:r w:rsidR="00AF62CA">
        <w:fldChar w:fldCharType="end"/>
      </w:r>
    </w:p>
    <w:p w14:paraId="273579A3" w14:textId="196965E4" w:rsidR="00B02873" w:rsidRDefault="00B02873" w:rsidP="008846DC">
      <w:pPr>
        <w:tabs>
          <w:tab w:val="right" w:pos="9638"/>
        </w:tabs>
        <w:spacing w:after="120"/>
      </w:pPr>
      <w:r>
        <w:t>Auditor-General’s report</w:t>
      </w:r>
      <w:r>
        <w:tab/>
      </w:r>
      <w:r w:rsidR="003D29A3">
        <w:fldChar w:fldCharType="begin"/>
      </w:r>
      <w:r w:rsidR="003D29A3">
        <w:instrText xml:space="preserve"> PAGEREF Auditor_General_Report \h </w:instrText>
      </w:r>
      <w:r w:rsidR="003D29A3">
        <w:fldChar w:fldCharType="separate"/>
      </w:r>
      <w:r w:rsidR="003D29A3">
        <w:rPr>
          <w:noProof/>
        </w:rPr>
        <w:t>225</w:t>
      </w:r>
      <w:r w:rsidR="003D29A3">
        <w:fldChar w:fldCharType="end"/>
      </w:r>
    </w:p>
    <w:p w14:paraId="498829B2" w14:textId="718E9C85" w:rsidR="00B02873" w:rsidRDefault="00B02873" w:rsidP="008846DC">
      <w:pPr>
        <w:tabs>
          <w:tab w:val="right" w:pos="9638"/>
        </w:tabs>
        <w:spacing w:after="120"/>
      </w:pPr>
      <w:r>
        <w:t>Comprehensive operating statement</w:t>
      </w:r>
      <w:r>
        <w:tab/>
      </w:r>
      <w:r w:rsidR="003D29A3">
        <w:fldChar w:fldCharType="begin"/>
      </w:r>
      <w:r w:rsidR="003D29A3">
        <w:instrText xml:space="preserve"> PAGEREF _Ref117432993 \h </w:instrText>
      </w:r>
      <w:r w:rsidR="003D29A3">
        <w:fldChar w:fldCharType="separate"/>
      </w:r>
      <w:r w:rsidR="003D29A3">
        <w:rPr>
          <w:noProof/>
        </w:rPr>
        <w:t>229</w:t>
      </w:r>
      <w:r w:rsidR="003D29A3">
        <w:fldChar w:fldCharType="end"/>
      </w:r>
    </w:p>
    <w:p w14:paraId="07B47672" w14:textId="101DD76E" w:rsidR="00B02873" w:rsidRDefault="00B02873" w:rsidP="008846DC">
      <w:pPr>
        <w:tabs>
          <w:tab w:val="right" w:pos="9638"/>
        </w:tabs>
        <w:spacing w:after="120"/>
      </w:pPr>
      <w:r>
        <w:t>Balance sheet</w:t>
      </w:r>
      <w:r>
        <w:tab/>
      </w:r>
      <w:r w:rsidR="003D29A3">
        <w:fldChar w:fldCharType="begin"/>
      </w:r>
      <w:r w:rsidR="003D29A3">
        <w:instrText xml:space="preserve"> PAGEREF _Ref117433003 \h </w:instrText>
      </w:r>
      <w:r w:rsidR="003D29A3">
        <w:fldChar w:fldCharType="separate"/>
      </w:r>
      <w:r w:rsidR="003D29A3">
        <w:rPr>
          <w:noProof/>
        </w:rPr>
        <w:t>230</w:t>
      </w:r>
      <w:r w:rsidR="003D29A3">
        <w:fldChar w:fldCharType="end"/>
      </w:r>
    </w:p>
    <w:p w14:paraId="3130B2A8" w14:textId="2E774EC5" w:rsidR="00B02873" w:rsidRDefault="00B02873" w:rsidP="008846DC">
      <w:pPr>
        <w:tabs>
          <w:tab w:val="right" w:pos="9638"/>
        </w:tabs>
        <w:spacing w:after="120"/>
      </w:pPr>
      <w:r>
        <w:t>Statement of changes in equity</w:t>
      </w:r>
      <w:r>
        <w:tab/>
      </w:r>
      <w:r w:rsidR="003D29A3">
        <w:fldChar w:fldCharType="begin"/>
      </w:r>
      <w:r w:rsidR="003D29A3">
        <w:instrText xml:space="preserve"> PAGEREF _Ref117433013 \h </w:instrText>
      </w:r>
      <w:r w:rsidR="003D29A3">
        <w:fldChar w:fldCharType="separate"/>
      </w:r>
      <w:r w:rsidR="003D29A3">
        <w:rPr>
          <w:noProof/>
        </w:rPr>
        <w:t>231</w:t>
      </w:r>
      <w:r w:rsidR="003D29A3">
        <w:fldChar w:fldCharType="end"/>
      </w:r>
    </w:p>
    <w:p w14:paraId="34429632" w14:textId="639FD70C" w:rsidR="00B02873" w:rsidRDefault="00B02873" w:rsidP="008846DC">
      <w:pPr>
        <w:tabs>
          <w:tab w:val="right" w:pos="9638"/>
        </w:tabs>
      </w:pPr>
      <w:r>
        <w:t>Cash flow statement</w:t>
      </w:r>
      <w:r>
        <w:tab/>
      </w:r>
      <w:r w:rsidR="003D29A3">
        <w:fldChar w:fldCharType="begin"/>
      </w:r>
      <w:r w:rsidR="003D29A3">
        <w:instrText xml:space="preserve"> PAGEREF _Ref117433022 \h </w:instrText>
      </w:r>
      <w:r w:rsidR="003D29A3">
        <w:fldChar w:fldCharType="separate"/>
      </w:r>
      <w:r w:rsidR="003D29A3">
        <w:rPr>
          <w:noProof/>
        </w:rPr>
        <w:t>231</w:t>
      </w:r>
      <w:r w:rsidR="003D29A3">
        <w:fldChar w:fldCharType="end"/>
      </w:r>
    </w:p>
    <w:p w14:paraId="7988DAB8" w14:textId="20C00B61" w:rsidR="00B02873" w:rsidRDefault="00B02873" w:rsidP="00D21A73">
      <w:pPr>
        <w:pStyle w:val="Heading2Headings"/>
      </w:pPr>
      <w:r>
        <w:lastRenderedPageBreak/>
        <w:t>Notes to the Financial Statements</w:t>
      </w:r>
    </w:p>
    <w:p w14:paraId="123BCDE4" w14:textId="77777777" w:rsidR="00B02873" w:rsidRDefault="00B02873" w:rsidP="008846DC">
      <w:pPr>
        <w:tabs>
          <w:tab w:val="right" w:pos="9638"/>
        </w:tabs>
        <w:spacing w:after="120"/>
      </w:pPr>
      <w:r>
        <w:tab/>
      </w:r>
      <w:r>
        <w:rPr>
          <w:rStyle w:val="Bold"/>
        </w:rPr>
        <w:t>Page</w:t>
      </w:r>
    </w:p>
    <w:p w14:paraId="1B565FD9" w14:textId="77777777" w:rsidR="00B02873" w:rsidRDefault="00B02873" w:rsidP="00695132">
      <w:pPr>
        <w:tabs>
          <w:tab w:val="right" w:pos="9638"/>
        </w:tabs>
        <w:spacing w:after="120"/>
      </w:pPr>
      <w:r>
        <w:t>Note 1. About this report</w:t>
      </w:r>
    </w:p>
    <w:p w14:paraId="5BA7CE43" w14:textId="2DF3E655" w:rsidR="00B02873" w:rsidRDefault="00B02873" w:rsidP="00695132">
      <w:pPr>
        <w:tabs>
          <w:tab w:val="right" w:pos="9638"/>
        </w:tabs>
      </w:pPr>
      <w:r>
        <w:t xml:space="preserve">The basis on which the financial statements have been prepared and compliance </w:t>
      </w:r>
      <w:r w:rsidR="00695132">
        <w:br/>
      </w:r>
      <w:r>
        <w:t>with</w:t>
      </w:r>
      <w:r w:rsidR="008846DC">
        <w:t> </w:t>
      </w:r>
      <w:r>
        <w:t>reporting regulations.</w:t>
      </w:r>
      <w:r>
        <w:tab/>
      </w:r>
      <w:r w:rsidR="00695132">
        <w:fldChar w:fldCharType="begin"/>
      </w:r>
      <w:r w:rsidR="00695132">
        <w:instrText xml:space="preserve"> PAGEREF Note_1 \h </w:instrText>
      </w:r>
      <w:r w:rsidR="00695132">
        <w:fldChar w:fldCharType="separate"/>
      </w:r>
      <w:r w:rsidR="00695132">
        <w:rPr>
          <w:noProof/>
        </w:rPr>
        <w:t>231</w:t>
      </w:r>
      <w:r w:rsidR="00695132">
        <w:fldChar w:fldCharType="end"/>
      </w:r>
    </w:p>
    <w:p w14:paraId="4FA0D6A7" w14:textId="77777777" w:rsidR="00B02873" w:rsidRDefault="00B02873" w:rsidP="00695132">
      <w:pPr>
        <w:tabs>
          <w:tab w:val="right" w:pos="9638"/>
        </w:tabs>
        <w:spacing w:after="120"/>
      </w:pPr>
      <w:r>
        <w:t>Note 2. Funding delivery of our services</w:t>
      </w:r>
    </w:p>
    <w:p w14:paraId="6857973D" w14:textId="2C52AF34" w:rsidR="00B02873" w:rsidRDefault="00B02873" w:rsidP="00695132">
      <w:pPr>
        <w:tabs>
          <w:tab w:val="right" w:pos="9638"/>
        </w:tabs>
      </w:pPr>
      <w:r>
        <w:t xml:space="preserve">Revenue and income recognised from appropriations, sales of goods and services, </w:t>
      </w:r>
      <w:r w:rsidR="00695132">
        <w:br/>
      </w:r>
      <w:r>
        <w:t>levies,</w:t>
      </w:r>
      <w:r w:rsidR="008846DC">
        <w:t> </w:t>
      </w:r>
      <w:r>
        <w:t>rates , grants and other sources.</w:t>
      </w:r>
      <w:r>
        <w:tab/>
      </w:r>
      <w:r w:rsidR="00695132">
        <w:fldChar w:fldCharType="begin"/>
      </w:r>
      <w:r w:rsidR="00695132">
        <w:instrText xml:space="preserve"> PAGEREF Note_2 \h </w:instrText>
      </w:r>
      <w:r w:rsidR="00695132">
        <w:fldChar w:fldCharType="separate"/>
      </w:r>
      <w:r w:rsidR="00695132">
        <w:rPr>
          <w:noProof/>
        </w:rPr>
        <w:t>233</w:t>
      </w:r>
      <w:r w:rsidR="00695132">
        <w:fldChar w:fldCharType="end"/>
      </w:r>
    </w:p>
    <w:p w14:paraId="0351DF72" w14:textId="77777777" w:rsidR="00B02873" w:rsidRDefault="00B02873" w:rsidP="00695132">
      <w:pPr>
        <w:tabs>
          <w:tab w:val="right" w:pos="9638"/>
        </w:tabs>
        <w:spacing w:after="120"/>
      </w:pPr>
      <w:r>
        <w:t>Note 3. The cost of delivering services</w:t>
      </w:r>
    </w:p>
    <w:p w14:paraId="76F5DB8C" w14:textId="7244F2D0" w:rsidR="00B02873" w:rsidRDefault="00B02873" w:rsidP="00695132">
      <w:pPr>
        <w:tabs>
          <w:tab w:val="right" w:pos="9638"/>
        </w:tabs>
      </w:pPr>
      <w:r>
        <w:t>Operating expenses of the department.</w:t>
      </w:r>
      <w:r>
        <w:tab/>
      </w:r>
      <w:r w:rsidR="00695132">
        <w:fldChar w:fldCharType="begin"/>
      </w:r>
      <w:r w:rsidR="00695132">
        <w:instrText xml:space="preserve"> PAGEREF Note_3 \h </w:instrText>
      </w:r>
      <w:r w:rsidR="00695132">
        <w:fldChar w:fldCharType="separate"/>
      </w:r>
      <w:r w:rsidR="00695132">
        <w:rPr>
          <w:noProof/>
        </w:rPr>
        <w:t>241</w:t>
      </w:r>
      <w:r w:rsidR="00695132">
        <w:fldChar w:fldCharType="end"/>
      </w:r>
    </w:p>
    <w:p w14:paraId="50F48079" w14:textId="77777777" w:rsidR="00B02873" w:rsidRDefault="00B02873" w:rsidP="00695132">
      <w:pPr>
        <w:tabs>
          <w:tab w:val="right" w:pos="9638"/>
        </w:tabs>
        <w:spacing w:after="120"/>
      </w:pPr>
      <w:r>
        <w:t>Note 4. Disaggregated financial information by output</w:t>
      </w:r>
    </w:p>
    <w:p w14:paraId="4EF1810A" w14:textId="05AA8FE3" w:rsidR="00B02873" w:rsidRDefault="00B02873" w:rsidP="00695132">
      <w:pPr>
        <w:tabs>
          <w:tab w:val="right" w:pos="9638"/>
        </w:tabs>
      </w:pPr>
      <w:r>
        <w:t>Department outputs and Administered (non-controlled) items.</w:t>
      </w:r>
      <w:r>
        <w:tab/>
      </w:r>
      <w:r w:rsidR="00695132">
        <w:fldChar w:fldCharType="begin"/>
      </w:r>
      <w:r w:rsidR="00695132">
        <w:instrText xml:space="preserve"> PAGEREF Note_4 \h </w:instrText>
      </w:r>
      <w:r w:rsidR="00695132">
        <w:fldChar w:fldCharType="separate"/>
      </w:r>
      <w:r w:rsidR="00695132">
        <w:rPr>
          <w:noProof/>
        </w:rPr>
        <w:t>247</w:t>
      </w:r>
      <w:r w:rsidR="00695132">
        <w:fldChar w:fldCharType="end"/>
      </w:r>
    </w:p>
    <w:p w14:paraId="21F049BB" w14:textId="77777777" w:rsidR="00B02873" w:rsidRDefault="00B02873" w:rsidP="00695132">
      <w:pPr>
        <w:tabs>
          <w:tab w:val="right" w:pos="9638"/>
        </w:tabs>
        <w:spacing w:after="120"/>
      </w:pPr>
      <w:r>
        <w:t>Note 5. Key assets available to support output delivery</w:t>
      </w:r>
    </w:p>
    <w:p w14:paraId="1A495065" w14:textId="3712E2F8" w:rsidR="00B02873" w:rsidRDefault="00B02873" w:rsidP="00695132">
      <w:pPr>
        <w:tabs>
          <w:tab w:val="right" w:pos="9638"/>
        </w:tabs>
      </w:pPr>
      <w:r>
        <w:t>Property, plant and equipment, intangible assets as well as fair value determination.</w:t>
      </w:r>
      <w:r>
        <w:tab/>
      </w:r>
      <w:r w:rsidR="00695132">
        <w:fldChar w:fldCharType="begin"/>
      </w:r>
      <w:r w:rsidR="00695132">
        <w:instrText xml:space="preserve"> PAGEREF Note_5 \h </w:instrText>
      </w:r>
      <w:r w:rsidR="00695132">
        <w:fldChar w:fldCharType="separate"/>
      </w:r>
      <w:r w:rsidR="00695132">
        <w:rPr>
          <w:noProof/>
        </w:rPr>
        <w:t>281</w:t>
      </w:r>
      <w:r w:rsidR="00695132">
        <w:fldChar w:fldCharType="end"/>
      </w:r>
    </w:p>
    <w:p w14:paraId="099DF4C8" w14:textId="77777777" w:rsidR="00B02873" w:rsidRDefault="00B02873" w:rsidP="00695132">
      <w:pPr>
        <w:tabs>
          <w:tab w:val="right" w:pos="9638"/>
        </w:tabs>
        <w:spacing w:after="120"/>
      </w:pPr>
      <w:r>
        <w:t>Note 6. Other assets and liabilities</w:t>
      </w:r>
    </w:p>
    <w:p w14:paraId="0BC45814" w14:textId="6162A3A9" w:rsidR="00B02873" w:rsidRDefault="00B02873" w:rsidP="00695132">
      <w:pPr>
        <w:tabs>
          <w:tab w:val="right" w:pos="9638"/>
        </w:tabs>
      </w:pPr>
      <w:r>
        <w:t>Other key assets and liabilities arising from the department’s operations.</w:t>
      </w:r>
      <w:r>
        <w:tab/>
      </w:r>
      <w:r w:rsidR="00695132">
        <w:fldChar w:fldCharType="begin"/>
      </w:r>
      <w:r w:rsidR="00695132">
        <w:instrText xml:space="preserve"> PAGEREF Note_6 \h </w:instrText>
      </w:r>
      <w:r w:rsidR="00695132">
        <w:fldChar w:fldCharType="separate"/>
      </w:r>
      <w:r w:rsidR="00695132">
        <w:rPr>
          <w:noProof/>
        </w:rPr>
        <w:t>302</w:t>
      </w:r>
      <w:r w:rsidR="00695132">
        <w:fldChar w:fldCharType="end"/>
      </w:r>
    </w:p>
    <w:p w14:paraId="0673AC52" w14:textId="77777777" w:rsidR="00B02873" w:rsidRDefault="00B02873" w:rsidP="00695132">
      <w:pPr>
        <w:tabs>
          <w:tab w:val="right" w:pos="9638"/>
        </w:tabs>
        <w:spacing w:after="120"/>
      </w:pPr>
      <w:r>
        <w:t>Note 7. How we financed our operations</w:t>
      </w:r>
    </w:p>
    <w:p w14:paraId="1EA669FB" w14:textId="0885D3B7" w:rsidR="00B02873" w:rsidRDefault="00B02873" w:rsidP="00695132">
      <w:pPr>
        <w:tabs>
          <w:tab w:val="right" w:pos="9638"/>
        </w:tabs>
      </w:pPr>
      <w:r>
        <w:t xml:space="preserve">Cash flow information, borrowings, lease liabilities, trust account balances </w:t>
      </w:r>
      <w:r w:rsidR="00695132">
        <w:br/>
      </w:r>
      <w:r>
        <w:t>and commitments.</w:t>
      </w:r>
      <w:r>
        <w:tab/>
      </w:r>
      <w:r w:rsidR="00695132">
        <w:fldChar w:fldCharType="begin"/>
      </w:r>
      <w:r w:rsidR="00695132">
        <w:instrText xml:space="preserve"> PAGEREF Note_7 \h </w:instrText>
      </w:r>
      <w:r w:rsidR="00695132">
        <w:fldChar w:fldCharType="separate"/>
      </w:r>
      <w:r w:rsidR="00695132">
        <w:rPr>
          <w:noProof/>
        </w:rPr>
        <w:t>312</w:t>
      </w:r>
      <w:r w:rsidR="00695132">
        <w:fldChar w:fldCharType="end"/>
      </w:r>
    </w:p>
    <w:p w14:paraId="713C91C1" w14:textId="77777777" w:rsidR="00B02873" w:rsidRDefault="00B02873" w:rsidP="00695132">
      <w:pPr>
        <w:tabs>
          <w:tab w:val="right" w:pos="9638"/>
        </w:tabs>
        <w:spacing w:after="120"/>
      </w:pPr>
      <w:r>
        <w:t>Note 8. Risks, contingencies and valuation uncertainties</w:t>
      </w:r>
    </w:p>
    <w:p w14:paraId="3BB09592" w14:textId="4A129C3C" w:rsidR="00B02873" w:rsidRDefault="00B02873" w:rsidP="00695132">
      <w:pPr>
        <w:tabs>
          <w:tab w:val="right" w:pos="9638"/>
        </w:tabs>
      </w:pPr>
      <w:r>
        <w:t xml:space="preserve">Financial risk management, contingent assets and liabilities as well as </w:t>
      </w:r>
      <w:r w:rsidR="00695132">
        <w:br/>
      </w:r>
      <w:r>
        <w:t>fair value determination.</w:t>
      </w:r>
      <w:r>
        <w:tab/>
      </w:r>
      <w:r w:rsidR="008316E9">
        <w:fldChar w:fldCharType="begin"/>
      </w:r>
      <w:r w:rsidR="008316E9">
        <w:instrText xml:space="preserve"> PAGEREF Note_8 \h </w:instrText>
      </w:r>
      <w:r w:rsidR="008316E9">
        <w:fldChar w:fldCharType="separate"/>
      </w:r>
      <w:r w:rsidR="008316E9">
        <w:rPr>
          <w:noProof/>
        </w:rPr>
        <w:t>325</w:t>
      </w:r>
      <w:r w:rsidR="008316E9">
        <w:fldChar w:fldCharType="end"/>
      </w:r>
    </w:p>
    <w:p w14:paraId="0066D0A5" w14:textId="606E583A" w:rsidR="00B02873" w:rsidRDefault="00B02873" w:rsidP="00695132">
      <w:pPr>
        <w:tabs>
          <w:tab w:val="right" w:pos="9638"/>
        </w:tabs>
      </w:pPr>
      <w:r>
        <w:t>Note 9. Other disclosures</w:t>
      </w:r>
      <w:r>
        <w:tab/>
      </w:r>
      <w:r w:rsidR="008316E9">
        <w:fldChar w:fldCharType="begin"/>
      </w:r>
      <w:r w:rsidR="008316E9">
        <w:instrText xml:space="preserve"> PAGEREF Note_9 \h </w:instrText>
      </w:r>
      <w:r w:rsidR="008316E9">
        <w:fldChar w:fldCharType="separate"/>
      </w:r>
      <w:r w:rsidR="008316E9">
        <w:rPr>
          <w:noProof/>
        </w:rPr>
        <w:t>343</w:t>
      </w:r>
      <w:r w:rsidR="008316E9">
        <w:fldChar w:fldCharType="end"/>
      </w:r>
    </w:p>
    <w:p w14:paraId="4A9A4BD2" w14:textId="77777777" w:rsidR="00920227" w:rsidRPr="00920227" w:rsidRDefault="00920227" w:rsidP="00D21A73">
      <w:pPr>
        <w:pStyle w:val="Heading2Headings"/>
        <w:rPr>
          <w:lang w:val="en-GB"/>
        </w:rPr>
      </w:pPr>
      <w:bookmarkStart w:id="52" w:name="Accountable_Officer"/>
      <w:bookmarkStart w:id="53" w:name="_Ref116978354"/>
      <w:r w:rsidRPr="00920227">
        <w:rPr>
          <w:lang w:val="en-GB"/>
        </w:rPr>
        <w:t>Accountable Officer</w:t>
      </w:r>
      <w:bookmarkEnd w:id="52"/>
      <w:r w:rsidRPr="00920227">
        <w:rPr>
          <w:lang w:val="en-GB"/>
        </w:rPr>
        <w:t>’s and Chief Finance Officer’s declaration</w:t>
      </w:r>
      <w:bookmarkEnd w:id="53"/>
    </w:p>
    <w:p w14:paraId="1C5B95BD" w14:textId="77777777" w:rsidR="00920227" w:rsidRPr="00920227" w:rsidRDefault="00920227" w:rsidP="00920227">
      <w:pPr>
        <w:rPr>
          <w:lang w:val="en-GB"/>
        </w:rPr>
      </w:pPr>
      <w:r w:rsidRPr="00920227">
        <w:rPr>
          <w:lang w:val="en-GB"/>
        </w:rPr>
        <w:t xml:space="preserve">The attached financial statements for the Department of Environment, Land, Water and Planning have been prepared in accordance with Directions 5.2 of the Standing Directions of the Assistant Treasurer under the </w:t>
      </w:r>
      <w:r w:rsidRPr="00920227">
        <w:rPr>
          <w:rFonts w:asciiTheme="minorHAnsi" w:hAnsiTheme="minorHAnsi" w:cstheme="minorHAnsi"/>
          <w:i/>
          <w:iCs/>
          <w:lang w:val="en-GB"/>
        </w:rPr>
        <w:t>Financial Management Act 1994</w:t>
      </w:r>
      <w:r w:rsidRPr="00920227">
        <w:rPr>
          <w:lang w:val="en-GB"/>
        </w:rPr>
        <w:t>, applicable Financial Reporting Directions, Australian Accounting Standards including Interpretations, and other mandatory professional reporting requirements.</w:t>
      </w:r>
    </w:p>
    <w:p w14:paraId="008C21BF" w14:textId="3F9AE307" w:rsidR="00920227" w:rsidRPr="00920227" w:rsidRDefault="00920227" w:rsidP="00920227">
      <w:pPr>
        <w:rPr>
          <w:lang w:val="en-GB"/>
        </w:rPr>
      </w:pPr>
      <w:r w:rsidRPr="00920227">
        <w:rPr>
          <w:lang w:val="en-GB"/>
        </w:rPr>
        <w:t>We further state that, in our opinion, the information set out in the comprehensive operating statement, balance sheet, statement of changes in equity, cash flow statement and accompanying notes, presents fairly the financial transactions during the year ended 30 June 2022 and financial position of the department at 30 June 2022.</w:t>
      </w:r>
    </w:p>
    <w:p w14:paraId="1AF744B3" w14:textId="34046681" w:rsidR="00920227" w:rsidRPr="00920227" w:rsidRDefault="00920227" w:rsidP="00920227">
      <w:pPr>
        <w:rPr>
          <w:lang w:val="en-GB"/>
        </w:rPr>
      </w:pPr>
      <w:r w:rsidRPr="00920227">
        <w:rPr>
          <w:lang w:val="en-GB"/>
        </w:rPr>
        <w:t>At the time of signing, we are not aware of any circumstance which would render any particulars included in the financial statements to be misleading or inaccurate.</w:t>
      </w:r>
    </w:p>
    <w:p w14:paraId="439A70A4" w14:textId="27DD428C" w:rsidR="008846DC" w:rsidRDefault="00920227" w:rsidP="00920227">
      <w:pPr>
        <w:rPr>
          <w:lang w:val="en-GB"/>
        </w:rPr>
      </w:pPr>
      <w:r w:rsidRPr="00920227">
        <w:rPr>
          <w:lang w:val="en-GB"/>
        </w:rPr>
        <w:t>We authorise the attached financial statements for issue on 30 August 2022.</w:t>
      </w:r>
    </w:p>
    <w:p w14:paraId="2D3A948B" w14:textId="77777777" w:rsidR="00920227" w:rsidRPr="00920227" w:rsidRDefault="00920227" w:rsidP="00920227">
      <w:pPr>
        <w:spacing w:after="120"/>
        <w:rPr>
          <w:rFonts w:asciiTheme="minorHAnsi" w:hAnsiTheme="minorHAnsi" w:cstheme="minorHAnsi"/>
          <w:b/>
          <w:bCs/>
          <w:lang w:val="en-GB"/>
        </w:rPr>
      </w:pPr>
      <w:r w:rsidRPr="00920227">
        <w:rPr>
          <w:rFonts w:asciiTheme="minorHAnsi" w:hAnsiTheme="minorHAnsi" w:cstheme="minorHAnsi"/>
          <w:b/>
          <w:bCs/>
          <w:lang w:val="en-GB"/>
        </w:rPr>
        <w:t>John Bradley</w:t>
      </w:r>
    </w:p>
    <w:p w14:paraId="3B615DE1" w14:textId="77777777" w:rsidR="00920227" w:rsidRPr="00920227" w:rsidRDefault="00920227" w:rsidP="00920227">
      <w:pPr>
        <w:spacing w:after="120"/>
        <w:rPr>
          <w:rFonts w:asciiTheme="minorHAnsi" w:hAnsiTheme="minorHAnsi" w:cstheme="minorHAnsi"/>
          <w:lang w:val="en-GB"/>
        </w:rPr>
      </w:pPr>
      <w:r w:rsidRPr="00920227">
        <w:rPr>
          <w:rFonts w:asciiTheme="minorHAnsi" w:hAnsiTheme="minorHAnsi" w:cstheme="minorHAnsi"/>
          <w:lang w:val="en-GB"/>
        </w:rPr>
        <w:t>Secretary</w:t>
      </w:r>
    </w:p>
    <w:p w14:paraId="215B6239" w14:textId="77777777" w:rsidR="00920227" w:rsidRPr="00920227" w:rsidRDefault="00920227" w:rsidP="00920227">
      <w:pPr>
        <w:spacing w:after="120"/>
        <w:rPr>
          <w:rFonts w:asciiTheme="minorHAnsi" w:hAnsiTheme="minorHAnsi" w:cstheme="minorHAnsi"/>
          <w:lang w:val="en-GB"/>
        </w:rPr>
      </w:pPr>
      <w:r w:rsidRPr="00920227">
        <w:rPr>
          <w:rFonts w:asciiTheme="minorHAnsi" w:hAnsiTheme="minorHAnsi" w:cstheme="minorHAnsi"/>
          <w:lang w:val="en-GB"/>
        </w:rPr>
        <w:lastRenderedPageBreak/>
        <w:t xml:space="preserve">Department of Environment, Land, </w:t>
      </w:r>
      <w:r w:rsidRPr="00920227">
        <w:rPr>
          <w:rFonts w:asciiTheme="minorHAnsi" w:hAnsiTheme="minorHAnsi" w:cstheme="minorHAnsi"/>
          <w:lang w:val="en-GB"/>
        </w:rPr>
        <w:br/>
        <w:t>Water and Planning</w:t>
      </w:r>
    </w:p>
    <w:p w14:paraId="49D3E43F" w14:textId="77777777" w:rsidR="00920227" w:rsidRPr="00920227" w:rsidRDefault="00920227" w:rsidP="00920227">
      <w:pPr>
        <w:spacing w:after="120"/>
        <w:rPr>
          <w:rFonts w:asciiTheme="minorHAnsi" w:hAnsiTheme="minorHAnsi" w:cstheme="minorHAnsi"/>
          <w:lang w:val="en-GB"/>
        </w:rPr>
      </w:pPr>
      <w:r w:rsidRPr="00920227">
        <w:rPr>
          <w:rFonts w:asciiTheme="minorHAnsi" w:hAnsiTheme="minorHAnsi" w:cstheme="minorHAnsi"/>
          <w:lang w:val="en-GB"/>
        </w:rPr>
        <w:t>Melbourne</w:t>
      </w:r>
    </w:p>
    <w:p w14:paraId="6E4ECCF9" w14:textId="0F9BFA43" w:rsidR="00920227" w:rsidRDefault="00920227" w:rsidP="00920227">
      <w:pPr>
        <w:rPr>
          <w:rFonts w:asciiTheme="minorHAnsi" w:hAnsiTheme="minorHAnsi" w:cstheme="minorHAnsi"/>
          <w:lang w:val="en-GB"/>
        </w:rPr>
      </w:pPr>
      <w:r w:rsidRPr="00920227">
        <w:rPr>
          <w:rFonts w:asciiTheme="minorHAnsi" w:hAnsiTheme="minorHAnsi" w:cstheme="minorHAnsi"/>
          <w:lang w:val="en-GB"/>
        </w:rPr>
        <w:t>30 August 2022</w:t>
      </w:r>
    </w:p>
    <w:p w14:paraId="6EC77832" w14:textId="77777777" w:rsidR="00920227" w:rsidRPr="00920227" w:rsidRDefault="00920227" w:rsidP="00920227">
      <w:pPr>
        <w:spacing w:after="120"/>
        <w:rPr>
          <w:rFonts w:asciiTheme="minorHAnsi" w:hAnsiTheme="minorHAnsi" w:cstheme="minorHAnsi"/>
          <w:b/>
          <w:bCs/>
          <w:lang w:val="en-GB"/>
        </w:rPr>
      </w:pPr>
      <w:r w:rsidRPr="00920227">
        <w:rPr>
          <w:rFonts w:asciiTheme="minorHAnsi" w:hAnsiTheme="minorHAnsi" w:cstheme="minorHAnsi"/>
          <w:b/>
          <w:bCs/>
          <w:lang w:val="en-GB"/>
        </w:rPr>
        <w:t>Bronwyn Di Carlo</w:t>
      </w:r>
    </w:p>
    <w:p w14:paraId="755B0B33" w14:textId="77777777" w:rsidR="00920227" w:rsidRPr="00920227" w:rsidRDefault="00920227" w:rsidP="00920227">
      <w:pPr>
        <w:spacing w:after="120"/>
        <w:rPr>
          <w:rFonts w:asciiTheme="minorHAnsi" w:hAnsiTheme="minorHAnsi" w:cstheme="minorHAnsi"/>
          <w:lang w:val="en-GB"/>
        </w:rPr>
      </w:pPr>
      <w:r w:rsidRPr="00920227">
        <w:rPr>
          <w:rFonts w:asciiTheme="minorHAnsi" w:hAnsiTheme="minorHAnsi" w:cstheme="minorHAnsi"/>
          <w:lang w:val="en-GB"/>
        </w:rPr>
        <w:t>Executive Director, Finance</w:t>
      </w:r>
    </w:p>
    <w:p w14:paraId="40C9993D" w14:textId="77777777" w:rsidR="00920227" w:rsidRPr="00920227" w:rsidRDefault="00920227" w:rsidP="00920227">
      <w:pPr>
        <w:spacing w:after="120"/>
        <w:rPr>
          <w:rFonts w:asciiTheme="minorHAnsi" w:hAnsiTheme="minorHAnsi" w:cstheme="minorHAnsi"/>
          <w:lang w:val="en-GB"/>
        </w:rPr>
      </w:pPr>
      <w:r w:rsidRPr="00920227">
        <w:rPr>
          <w:rFonts w:asciiTheme="minorHAnsi" w:hAnsiTheme="minorHAnsi" w:cstheme="minorHAnsi"/>
          <w:lang w:val="en-GB"/>
        </w:rPr>
        <w:t>Department of Environment, Land, Water and Planning</w:t>
      </w:r>
    </w:p>
    <w:p w14:paraId="1108A0CA" w14:textId="77777777" w:rsidR="00920227" w:rsidRPr="00920227" w:rsidRDefault="00920227" w:rsidP="00920227">
      <w:pPr>
        <w:spacing w:after="120"/>
        <w:rPr>
          <w:rFonts w:asciiTheme="minorHAnsi" w:hAnsiTheme="minorHAnsi" w:cstheme="minorHAnsi"/>
          <w:lang w:val="en-GB"/>
        </w:rPr>
      </w:pPr>
      <w:r w:rsidRPr="00920227">
        <w:rPr>
          <w:rFonts w:asciiTheme="minorHAnsi" w:hAnsiTheme="minorHAnsi" w:cstheme="minorHAnsi"/>
          <w:lang w:val="en-GB"/>
        </w:rPr>
        <w:t>Melbourne</w:t>
      </w:r>
    </w:p>
    <w:p w14:paraId="6DDC907D" w14:textId="130D20E1" w:rsidR="00920227" w:rsidRPr="00920227" w:rsidRDefault="00920227" w:rsidP="00920227">
      <w:pPr>
        <w:rPr>
          <w:rFonts w:asciiTheme="minorHAnsi" w:hAnsiTheme="minorHAnsi" w:cstheme="minorHAnsi"/>
          <w:lang w:val="en-GB"/>
        </w:rPr>
      </w:pPr>
      <w:r w:rsidRPr="00920227">
        <w:rPr>
          <w:rFonts w:asciiTheme="minorHAnsi" w:hAnsiTheme="minorHAnsi" w:cstheme="minorHAnsi"/>
          <w:lang w:val="en-GB"/>
        </w:rPr>
        <w:t>30 August 2022</w:t>
      </w:r>
    </w:p>
    <w:p w14:paraId="6E887B01" w14:textId="72F559B1" w:rsidR="00920227" w:rsidRDefault="00920227" w:rsidP="00920227">
      <w:bookmarkStart w:id="54" w:name="Auditor_General_Report"/>
      <w:r>
        <w:rPr>
          <w:noProof/>
        </w:rPr>
        <w:lastRenderedPageBreak/>
        <w:drawing>
          <wp:inline distT="0" distB="0" distL="0" distR="0" wp14:anchorId="3226E398" wp14:editId="4A3AF9DB">
            <wp:extent cx="6120130" cy="8590915"/>
            <wp:effectExtent l="0" t="0" r="0" b="635"/>
            <wp:docPr id="11" name="Picture 11" descr="Victorian Auditor-General's Office.&#10;Independent Auditor's Report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Victorian Auditor-General's Office.&#10;Independent Auditor's Report (page 1)"/>
                    <pic:cNvPicPr/>
                  </pic:nvPicPr>
                  <pic:blipFill>
                    <a:blip r:embed="rId119"/>
                    <a:stretch>
                      <a:fillRect/>
                    </a:stretch>
                  </pic:blipFill>
                  <pic:spPr>
                    <a:xfrm>
                      <a:off x="0" y="0"/>
                      <a:ext cx="6120130" cy="8590915"/>
                    </a:xfrm>
                    <a:prstGeom prst="rect">
                      <a:avLst/>
                    </a:prstGeom>
                  </pic:spPr>
                </pic:pic>
              </a:graphicData>
            </a:graphic>
          </wp:inline>
        </w:drawing>
      </w:r>
    </w:p>
    <w:bookmarkEnd w:id="54"/>
    <w:p w14:paraId="497EC22D" w14:textId="1D88AC21" w:rsidR="00920227" w:rsidRDefault="00920227" w:rsidP="00920227">
      <w:r>
        <w:rPr>
          <w:noProof/>
        </w:rPr>
        <w:lastRenderedPageBreak/>
        <w:drawing>
          <wp:inline distT="0" distB="0" distL="0" distR="0" wp14:anchorId="089A964A" wp14:editId="673773A3">
            <wp:extent cx="6120130" cy="8590915"/>
            <wp:effectExtent l="0" t="0" r="0" b="635"/>
            <wp:docPr id="12" name="Picture 12" descr="Victorian Auditor-General's Office.&#10;Independent Auditor's Report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Victorian Auditor-General's Office.&#10;Independent Auditor's Report (page 2)"/>
                    <pic:cNvPicPr/>
                  </pic:nvPicPr>
                  <pic:blipFill>
                    <a:blip r:embed="rId120"/>
                    <a:stretch>
                      <a:fillRect/>
                    </a:stretch>
                  </pic:blipFill>
                  <pic:spPr>
                    <a:xfrm>
                      <a:off x="0" y="0"/>
                      <a:ext cx="6120130" cy="8590915"/>
                    </a:xfrm>
                    <a:prstGeom prst="rect">
                      <a:avLst/>
                    </a:prstGeom>
                  </pic:spPr>
                </pic:pic>
              </a:graphicData>
            </a:graphic>
          </wp:inline>
        </w:drawing>
      </w:r>
    </w:p>
    <w:p w14:paraId="1F402D74" w14:textId="54314DC0" w:rsidR="00920227" w:rsidRDefault="00920227" w:rsidP="00920227">
      <w:r>
        <w:rPr>
          <w:noProof/>
        </w:rPr>
        <w:lastRenderedPageBreak/>
        <w:drawing>
          <wp:inline distT="0" distB="0" distL="0" distR="0" wp14:anchorId="69A4CFAC" wp14:editId="2FEBD99E">
            <wp:extent cx="6120130" cy="8590915"/>
            <wp:effectExtent l="0" t="0" r="0" b="635"/>
            <wp:docPr id="13" name="Picture 13" descr="Victorian Auditor-General's Office.&#10;Independent Auditor's Report (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ctorian Auditor-General's Office.&#10;Independent Auditor's Report (page 3)"/>
                    <pic:cNvPicPr/>
                  </pic:nvPicPr>
                  <pic:blipFill>
                    <a:blip r:embed="rId121"/>
                    <a:stretch>
                      <a:fillRect/>
                    </a:stretch>
                  </pic:blipFill>
                  <pic:spPr>
                    <a:xfrm>
                      <a:off x="0" y="0"/>
                      <a:ext cx="6120130" cy="8590915"/>
                    </a:xfrm>
                    <a:prstGeom prst="rect">
                      <a:avLst/>
                    </a:prstGeom>
                  </pic:spPr>
                </pic:pic>
              </a:graphicData>
            </a:graphic>
          </wp:inline>
        </w:drawing>
      </w:r>
    </w:p>
    <w:p w14:paraId="028098AB" w14:textId="32F15C24" w:rsidR="00920227" w:rsidRDefault="00920227" w:rsidP="00920227">
      <w:r>
        <w:rPr>
          <w:noProof/>
        </w:rPr>
        <w:lastRenderedPageBreak/>
        <w:drawing>
          <wp:inline distT="0" distB="0" distL="0" distR="0" wp14:anchorId="70688D8B" wp14:editId="3E4507EB">
            <wp:extent cx="6120130" cy="8590915"/>
            <wp:effectExtent l="0" t="0" r="0" b="635"/>
            <wp:docPr id="51" name="Picture 51" descr="Victorian Auditor-General's Office.&#10;Independent Auditor's Report (p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Victorian Auditor-General's Office.&#10;Independent Auditor's Report (page 4)"/>
                    <pic:cNvPicPr/>
                  </pic:nvPicPr>
                  <pic:blipFill>
                    <a:blip r:embed="rId122"/>
                    <a:stretch>
                      <a:fillRect/>
                    </a:stretch>
                  </pic:blipFill>
                  <pic:spPr>
                    <a:xfrm>
                      <a:off x="0" y="0"/>
                      <a:ext cx="6120130" cy="8590915"/>
                    </a:xfrm>
                    <a:prstGeom prst="rect">
                      <a:avLst/>
                    </a:prstGeom>
                  </pic:spPr>
                </pic:pic>
              </a:graphicData>
            </a:graphic>
          </wp:inline>
        </w:drawing>
      </w:r>
    </w:p>
    <w:p w14:paraId="245680A9" w14:textId="77777777" w:rsidR="00B02873" w:rsidRDefault="00B02873" w:rsidP="00B03F7F">
      <w:pPr>
        <w:pStyle w:val="Heading3"/>
      </w:pPr>
      <w:bookmarkStart w:id="55" w:name="_Ref117432993"/>
      <w:r>
        <w:lastRenderedPageBreak/>
        <w:t>Comprehensive operating statement for the financial year ended 30 June 2022</w:t>
      </w:r>
      <w:r>
        <w:rPr>
          <w:vertAlign w:val="superscript"/>
        </w:rPr>
        <w:t>(i)</w:t>
      </w:r>
      <w:bookmarkEnd w:id="55"/>
    </w:p>
    <w:tbl>
      <w:tblPr>
        <w:tblStyle w:val="TableGrid"/>
        <w:tblW w:w="9885" w:type="dxa"/>
        <w:tblLayout w:type="fixed"/>
        <w:tblLook w:val="0020" w:firstRow="1" w:lastRow="0" w:firstColumn="0" w:lastColumn="0" w:noHBand="0" w:noVBand="0"/>
      </w:tblPr>
      <w:tblGrid>
        <w:gridCol w:w="6232"/>
        <w:gridCol w:w="1134"/>
        <w:gridCol w:w="1243"/>
        <w:gridCol w:w="1276"/>
      </w:tblGrid>
      <w:tr w:rsidR="00B02873" w:rsidRPr="00AE220F" w14:paraId="3DA559D6" w14:textId="77777777" w:rsidTr="00AE220F">
        <w:trPr>
          <w:cnfStyle w:val="100000000000" w:firstRow="1" w:lastRow="0" w:firstColumn="0" w:lastColumn="0" w:oddVBand="0" w:evenVBand="0" w:oddHBand="0" w:evenHBand="0" w:firstRowFirstColumn="0" w:firstRowLastColumn="0" w:lastRowFirstColumn="0" w:lastRowLastColumn="0"/>
          <w:tblHeader/>
        </w:trPr>
        <w:tc>
          <w:tcPr>
            <w:tcW w:w="6232" w:type="dxa"/>
          </w:tcPr>
          <w:p w14:paraId="25929ED9" w14:textId="77777777" w:rsidR="00B02873" w:rsidRPr="00AE220F" w:rsidRDefault="00B02873" w:rsidP="00AE220F">
            <w:pPr>
              <w:pStyle w:val="TableheadingleftTables"/>
              <w:spacing w:before="20" w:after="20" w:line="240" w:lineRule="auto"/>
              <w:rPr>
                <w:sz w:val="20"/>
                <w:szCs w:val="16"/>
              </w:rPr>
            </w:pPr>
          </w:p>
        </w:tc>
        <w:tc>
          <w:tcPr>
            <w:tcW w:w="1134" w:type="dxa"/>
          </w:tcPr>
          <w:p w14:paraId="04E4C14E" w14:textId="77777777" w:rsidR="00B02873" w:rsidRPr="009B5710" w:rsidRDefault="00B02873" w:rsidP="009B5710">
            <w:pPr>
              <w:pStyle w:val="TableheadingleftFinancialsTables"/>
            </w:pPr>
            <w:r w:rsidRPr="009B5710">
              <w:t>Notes</w:t>
            </w:r>
          </w:p>
        </w:tc>
        <w:tc>
          <w:tcPr>
            <w:tcW w:w="1243" w:type="dxa"/>
          </w:tcPr>
          <w:p w14:paraId="56D871FA" w14:textId="77777777" w:rsidR="00B02873" w:rsidRPr="00AE220F" w:rsidRDefault="00B02873" w:rsidP="00AE220F">
            <w:pPr>
              <w:pStyle w:val="TableheadingleftTables"/>
              <w:spacing w:before="20" w:after="20" w:line="240" w:lineRule="auto"/>
              <w:jc w:val="right"/>
              <w:rPr>
                <w:sz w:val="20"/>
                <w:szCs w:val="16"/>
              </w:rPr>
            </w:pPr>
            <w:r w:rsidRPr="00AE220F">
              <w:rPr>
                <w:sz w:val="20"/>
                <w:szCs w:val="16"/>
              </w:rPr>
              <w:t>2022</w:t>
            </w:r>
            <w:r w:rsidRPr="00AE220F">
              <w:rPr>
                <w:sz w:val="20"/>
                <w:szCs w:val="16"/>
              </w:rPr>
              <w:br/>
              <w:t>$’000</w:t>
            </w:r>
          </w:p>
        </w:tc>
        <w:tc>
          <w:tcPr>
            <w:tcW w:w="1276" w:type="dxa"/>
          </w:tcPr>
          <w:p w14:paraId="489956D7" w14:textId="77777777" w:rsidR="00B02873" w:rsidRPr="00AE220F" w:rsidRDefault="00B02873" w:rsidP="00AE220F">
            <w:pPr>
              <w:pStyle w:val="TableheadingleftTables"/>
              <w:spacing w:before="20" w:after="20" w:line="240" w:lineRule="auto"/>
              <w:jc w:val="right"/>
              <w:rPr>
                <w:sz w:val="20"/>
                <w:szCs w:val="16"/>
              </w:rPr>
            </w:pPr>
            <w:r w:rsidRPr="00AE220F">
              <w:rPr>
                <w:sz w:val="20"/>
                <w:szCs w:val="16"/>
              </w:rPr>
              <w:t>2021</w:t>
            </w:r>
            <w:r w:rsidRPr="00AE220F">
              <w:rPr>
                <w:sz w:val="20"/>
                <w:szCs w:val="16"/>
              </w:rPr>
              <w:br/>
              <w:t>$’000</w:t>
            </w:r>
          </w:p>
        </w:tc>
      </w:tr>
      <w:tr w:rsidR="00B02873" w:rsidRPr="00AE220F" w14:paraId="73532FB1" w14:textId="77777777" w:rsidTr="00AE220F">
        <w:tc>
          <w:tcPr>
            <w:tcW w:w="6232" w:type="dxa"/>
          </w:tcPr>
          <w:p w14:paraId="0B743785" w14:textId="77777777" w:rsidR="00B02873" w:rsidRPr="00AE220F" w:rsidRDefault="00B02873" w:rsidP="00AE220F">
            <w:pPr>
              <w:pStyle w:val="TablebodyleftTables"/>
              <w:spacing w:before="20" w:after="20" w:line="240" w:lineRule="auto"/>
              <w:rPr>
                <w:b/>
                <w:bCs/>
                <w:sz w:val="20"/>
              </w:rPr>
            </w:pPr>
            <w:r w:rsidRPr="00AE220F">
              <w:rPr>
                <w:b/>
                <w:bCs/>
                <w:sz w:val="20"/>
              </w:rPr>
              <w:t>Revenue and income from transactions</w:t>
            </w:r>
          </w:p>
        </w:tc>
        <w:tc>
          <w:tcPr>
            <w:tcW w:w="1134" w:type="dxa"/>
          </w:tcPr>
          <w:p w14:paraId="04829574" w14:textId="77777777" w:rsidR="00B02873" w:rsidRPr="00AE220F" w:rsidRDefault="00B02873" w:rsidP="00AE220F">
            <w:pPr>
              <w:pStyle w:val="TablebodyleftTables"/>
              <w:spacing w:before="20" w:after="20" w:line="240" w:lineRule="auto"/>
              <w:rPr>
                <w:rFonts w:asciiTheme="minorHAnsi" w:hAnsiTheme="minorHAnsi" w:cstheme="minorHAnsi"/>
                <w:b/>
                <w:bCs/>
                <w:sz w:val="20"/>
              </w:rPr>
            </w:pPr>
          </w:p>
        </w:tc>
        <w:tc>
          <w:tcPr>
            <w:tcW w:w="1243" w:type="dxa"/>
          </w:tcPr>
          <w:p w14:paraId="20AC3618" w14:textId="77777777" w:rsidR="00B02873" w:rsidRPr="00AE220F" w:rsidRDefault="00B02873" w:rsidP="00AE220F">
            <w:pPr>
              <w:pStyle w:val="TablebodyleftTables"/>
              <w:spacing w:before="20" w:after="20" w:line="240" w:lineRule="auto"/>
              <w:jc w:val="right"/>
              <w:rPr>
                <w:rFonts w:asciiTheme="minorHAnsi" w:hAnsiTheme="minorHAnsi" w:cstheme="minorHAnsi"/>
                <w:b/>
                <w:bCs/>
                <w:sz w:val="20"/>
              </w:rPr>
            </w:pPr>
          </w:p>
        </w:tc>
        <w:tc>
          <w:tcPr>
            <w:tcW w:w="1276" w:type="dxa"/>
          </w:tcPr>
          <w:p w14:paraId="09A3FDFB" w14:textId="77777777" w:rsidR="00B02873" w:rsidRPr="00AE220F" w:rsidRDefault="00B02873" w:rsidP="00AE220F">
            <w:pPr>
              <w:pStyle w:val="TablebodyleftTables"/>
              <w:spacing w:before="20" w:after="20" w:line="240" w:lineRule="auto"/>
              <w:jc w:val="right"/>
              <w:rPr>
                <w:rFonts w:asciiTheme="minorHAnsi" w:hAnsiTheme="minorHAnsi" w:cstheme="minorHAnsi"/>
                <w:b/>
                <w:bCs/>
                <w:sz w:val="20"/>
              </w:rPr>
            </w:pPr>
          </w:p>
        </w:tc>
      </w:tr>
      <w:tr w:rsidR="00B02873" w:rsidRPr="00AE220F" w14:paraId="3FCA001C" w14:textId="77777777" w:rsidTr="00AE220F">
        <w:tc>
          <w:tcPr>
            <w:tcW w:w="6232" w:type="dxa"/>
          </w:tcPr>
          <w:p w14:paraId="59598B44" w14:textId="77777777" w:rsidR="00B02873" w:rsidRPr="00AE220F" w:rsidRDefault="00B02873" w:rsidP="00AE220F">
            <w:pPr>
              <w:pStyle w:val="TablebodyleftFinancialsTables"/>
            </w:pPr>
            <w:r w:rsidRPr="00AE220F">
              <w:t>Output appropriations</w:t>
            </w:r>
          </w:p>
        </w:tc>
        <w:tc>
          <w:tcPr>
            <w:tcW w:w="1134" w:type="dxa"/>
          </w:tcPr>
          <w:p w14:paraId="5B40942E" w14:textId="77777777" w:rsidR="00B02873" w:rsidRPr="00AE220F" w:rsidRDefault="00B02873" w:rsidP="00AE220F">
            <w:pPr>
              <w:pStyle w:val="TablebodyleftTables"/>
              <w:spacing w:before="20" w:after="20" w:line="240" w:lineRule="auto"/>
              <w:rPr>
                <w:sz w:val="20"/>
              </w:rPr>
            </w:pPr>
            <w:r w:rsidRPr="00AE220F">
              <w:rPr>
                <w:sz w:val="20"/>
              </w:rPr>
              <w:t>2.2, 2.2.1</w:t>
            </w:r>
          </w:p>
        </w:tc>
        <w:tc>
          <w:tcPr>
            <w:tcW w:w="1243" w:type="dxa"/>
          </w:tcPr>
          <w:p w14:paraId="578198CD" w14:textId="77777777" w:rsidR="00B02873" w:rsidRPr="00AE220F" w:rsidRDefault="00B02873" w:rsidP="00AE220F">
            <w:pPr>
              <w:pStyle w:val="TablebodyleftTables"/>
              <w:spacing w:before="20" w:after="20" w:line="240" w:lineRule="auto"/>
              <w:jc w:val="right"/>
              <w:rPr>
                <w:b/>
                <w:bCs/>
                <w:sz w:val="20"/>
              </w:rPr>
            </w:pPr>
            <w:r w:rsidRPr="00AE220F">
              <w:rPr>
                <w:b/>
                <w:bCs/>
                <w:sz w:val="20"/>
              </w:rPr>
              <w:t>2,191,978</w:t>
            </w:r>
          </w:p>
        </w:tc>
        <w:tc>
          <w:tcPr>
            <w:tcW w:w="1276" w:type="dxa"/>
          </w:tcPr>
          <w:p w14:paraId="21CFE67D" w14:textId="77777777" w:rsidR="00B02873" w:rsidRPr="00AE220F" w:rsidRDefault="00B02873" w:rsidP="00AE220F">
            <w:pPr>
              <w:pStyle w:val="TablebodyleftTables"/>
              <w:spacing w:before="20" w:after="20" w:line="240" w:lineRule="auto"/>
              <w:jc w:val="right"/>
              <w:rPr>
                <w:sz w:val="20"/>
              </w:rPr>
            </w:pPr>
            <w:r w:rsidRPr="00AE220F">
              <w:rPr>
                <w:sz w:val="20"/>
              </w:rPr>
              <w:t>2,354,656</w:t>
            </w:r>
          </w:p>
        </w:tc>
      </w:tr>
      <w:tr w:rsidR="00B02873" w:rsidRPr="00AE220F" w14:paraId="6F890422" w14:textId="77777777" w:rsidTr="00AE220F">
        <w:tc>
          <w:tcPr>
            <w:tcW w:w="6232" w:type="dxa"/>
          </w:tcPr>
          <w:p w14:paraId="4372FC93" w14:textId="77777777" w:rsidR="00B02873" w:rsidRPr="00AE220F" w:rsidRDefault="00B02873" w:rsidP="00AE220F">
            <w:pPr>
              <w:pStyle w:val="TablebodyleftTables"/>
              <w:spacing w:before="20" w:after="20" w:line="240" w:lineRule="auto"/>
              <w:rPr>
                <w:sz w:val="20"/>
              </w:rPr>
            </w:pPr>
            <w:r w:rsidRPr="00AE220F">
              <w:rPr>
                <w:sz w:val="20"/>
              </w:rPr>
              <w:t>Special appropriations</w:t>
            </w:r>
          </w:p>
        </w:tc>
        <w:tc>
          <w:tcPr>
            <w:tcW w:w="1134" w:type="dxa"/>
          </w:tcPr>
          <w:p w14:paraId="2D507B67" w14:textId="77777777" w:rsidR="00B02873" w:rsidRPr="00AE220F" w:rsidRDefault="00B02873" w:rsidP="00AE220F">
            <w:pPr>
              <w:pStyle w:val="TablebodyleftTables"/>
              <w:spacing w:before="20" w:after="20" w:line="240" w:lineRule="auto"/>
              <w:rPr>
                <w:sz w:val="20"/>
              </w:rPr>
            </w:pPr>
            <w:r w:rsidRPr="00AE220F">
              <w:rPr>
                <w:sz w:val="20"/>
              </w:rPr>
              <w:t>2.2, 2.2.2</w:t>
            </w:r>
          </w:p>
        </w:tc>
        <w:tc>
          <w:tcPr>
            <w:tcW w:w="1243" w:type="dxa"/>
          </w:tcPr>
          <w:p w14:paraId="039AFCC2" w14:textId="77777777" w:rsidR="00B02873" w:rsidRPr="00AE220F" w:rsidRDefault="00B02873" w:rsidP="00AE220F">
            <w:pPr>
              <w:pStyle w:val="TablebodyleftTables"/>
              <w:spacing w:before="20" w:after="20" w:line="240" w:lineRule="auto"/>
              <w:jc w:val="right"/>
              <w:rPr>
                <w:b/>
                <w:bCs/>
                <w:sz w:val="20"/>
              </w:rPr>
            </w:pPr>
            <w:r w:rsidRPr="00AE220F">
              <w:rPr>
                <w:b/>
                <w:bCs/>
                <w:sz w:val="20"/>
              </w:rPr>
              <w:t>181,720</w:t>
            </w:r>
          </w:p>
        </w:tc>
        <w:tc>
          <w:tcPr>
            <w:tcW w:w="1276" w:type="dxa"/>
          </w:tcPr>
          <w:p w14:paraId="6BDF45E3" w14:textId="77777777" w:rsidR="00B02873" w:rsidRPr="00AE220F" w:rsidRDefault="00B02873" w:rsidP="00AE220F">
            <w:pPr>
              <w:pStyle w:val="TablebodyleftTables"/>
              <w:spacing w:before="20" w:after="20" w:line="240" w:lineRule="auto"/>
              <w:jc w:val="right"/>
              <w:rPr>
                <w:sz w:val="20"/>
              </w:rPr>
            </w:pPr>
            <w:r w:rsidRPr="00AE220F">
              <w:rPr>
                <w:sz w:val="20"/>
              </w:rPr>
              <w:t>122,629</w:t>
            </w:r>
          </w:p>
        </w:tc>
      </w:tr>
      <w:tr w:rsidR="00B02873" w:rsidRPr="00AE220F" w14:paraId="3B2301AB" w14:textId="77777777" w:rsidTr="00AE220F">
        <w:tc>
          <w:tcPr>
            <w:tcW w:w="6232" w:type="dxa"/>
          </w:tcPr>
          <w:p w14:paraId="76707121" w14:textId="77777777" w:rsidR="00B02873" w:rsidRPr="00AE220F" w:rsidRDefault="00B02873" w:rsidP="00AE220F">
            <w:pPr>
              <w:pStyle w:val="TablebodyleftTables"/>
              <w:spacing w:before="20" w:after="20" w:line="240" w:lineRule="auto"/>
              <w:rPr>
                <w:sz w:val="20"/>
              </w:rPr>
            </w:pPr>
            <w:r w:rsidRPr="00AE220F">
              <w:rPr>
                <w:sz w:val="20"/>
              </w:rPr>
              <w:t>Sale of goods and services</w:t>
            </w:r>
          </w:p>
        </w:tc>
        <w:tc>
          <w:tcPr>
            <w:tcW w:w="1134" w:type="dxa"/>
          </w:tcPr>
          <w:p w14:paraId="52B0E4AA" w14:textId="77777777" w:rsidR="00B02873" w:rsidRPr="00AE220F" w:rsidRDefault="00B02873" w:rsidP="00AE220F">
            <w:pPr>
              <w:pStyle w:val="TablebodyleftTables"/>
              <w:spacing w:before="20" w:after="20" w:line="240" w:lineRule="auto"/>
              <w:rPr>
                <w:sz w:val="20"/>
              </w:rPr>
            </w:pPr>
            <w:r w:rsidRPr="00AE220F">
              <w:rPr>
                <w:sz w:val="20"/>
              </w:rPr>
              <w:t>2.3.1</w:t>
            </w:r>
          </w:p>
        </w:tc>
        <w:tc>
          <w:tcPr>
            <w:tcW w:w="1243" w:type="dxa"/>
          </w:tcPr>
          <w:p w14:paraId="67413A54" w14:textId="77777777" w:rsidR="00B02873" w:rsidRPr="00AE220F" w:rsidRDefault="00B02873" w:rsidP="00AE220F">
            <w:pPr>
              <w:pStyle w:val="TablebodyleftTables"/>
              <w:spacing w:before="20" w:after="20" w:line="240" w:lineRule="auto"/>
              <w:jc w:val="right"/>
              <w:rPr>
                <w:b/>
                <w:bCs/>
                <w:sz w:val="20"/>
              </w:rPr>
            </w:pPr>
            <w:r w:rsidRPr="00AE220F">
              <w:rPr>
                <w:b/>
                <w:bCs/>
                <w:sz w:val="20"/>
              </w:rPr>
              <w:t>86,695</w:t>
            </w:r>
          </w:p>
        </w:tc>
        <w:tc>
          <w:tcPr>
            <w:tcW w:w="1276" w:type="dxa"/>
          </w:tcPr>
          <w:p w14:paraId="4C6789EC" w14:textId="77777777" w:rsidR="00B02873" w:rsidRPr="00AE220F" w:rsidRDefault="00B02873" w:rsidP="00AE220F">
            <w:pPr>
              <w:pStyle w:val="TablebodyleftTables"/>
              <w:spacing w:before="20" w:after="20" w:line="240" w:lineRule="auto"/>
              <w:jc w:val="right"/>
              <w:rPr>
                <w:sz w:val="20"/>
              </w:rPr>
            </w:pPr>
            <w:r w:rsidRPr="00AE220F">
              <w:rPr>
                <w:sz w:val="20"/>
              </w:rPr>
              <w:t>89,106</w:t>
            </w:r>
          </w:p>
        </w:tc>
      </w:tr>
      <w:tr w:rsidR="00B02873" w:rsidRPr="00AE220F" w14:paraId="084F82BC" w14:textId="77777777" w:rsidTr="00AE220F">
        <w:tc>
          <w:tcPr>
            <w:tcW w:w="6232" w:type="dxa"/>
          </w:tcPr>
          <w:p w14:paraId="4903DC48" w14:textId="77777777" w:rsidR="00B02873" w:rsidRPr="00AE220F" w:rsidRDefault="00B02873" w:rsidP="00AE220F">
            <w:pPr>
              <w:pStyle w:val="TablebodyleftTables"/>
              <w:spacing w:before="20" w:after="20" w:line="240" w:lineRule="auto"/>
              <w:rPr>
                <w:sz w:val="20"/>
              </w:rPr>
            </w:pPr>
            <w:r w:rsidRPr="00AE220F">
              <w:rPr>
                <w:sz w:val="20"/>
              </w:rPr>
              <w:t>Municipal and Industrial Waste Levy</w:t>
            </w:r>
            <w:r w:rsidRPr="00AE220F">
              <w:rPr>
                <w:sz w:val="20"/>
                <w:vertAlign w:val="superscript"/>
              </w:rPr>
              <w:t>(ii)</w:t>
            </w:r>
          </w:p>
        </w:tc>
        <w:tc>
          <w:tcPr>
            <w:tcW w:w="1134" w:type="dxa"/>
          </w:tcPr>
          <w:p w14:paraId="342683DC" w14:textId="77777777" w:rsidR="00B02873" w:rsidRPr="00AE220F" w:rsidRDefault="00B02873" w:rsidP="00AE220F">
            <w:pPr>
              <w:pStyle w:val="TablebodyleftTables"/>
              <w:spacing w:before="20" w:after="20" w:line="240" w:lineRule="auto"/>
              <w:rPr>
                <w:sz w:val="20"/>
              </w:rPr>
            </w:pPr>
            <w:r w:rsidRPr="00AE220F">
              <w:rPr>
                <w:sz w:val="20"/>
              </w:rPr>
              <w:t>2.3.2</w:t>
            </w:r>
          </w:p>
        </w:tc>
        <w:tc>
          <w:tcPr>
            <w:tcW w:w="1243" w:type="dxa"/>
          </w:tcPr>
          <w:p w14:paraId="449D5042" w14:textId="77777777" w:rsidR="00B02873" w:rsidRPr="00AE220F" w:rsidRDefault="00B02873" w:rsidP="00AE220F">
            <w:pPr>
              <w:pStyle w:val="TablebodyleftTables"/>
              <w:spacing w:before="20" w:after="20" w:line="240" w:lineRule="auto"/>
              <w:jc w:val="right"/>
              <w:rPr>
                <w:b/>
                <w:bCs/>
                <w:sz w:val="20"/>
              </w:rPr>
            </w:pPr>
            <w:r w:rsidRPr="00AE220F">
              <w:rPr>
                <w:b/>
                <w:bCs/>
                <w:sz w:val="20"/>
              </w:rPr>
              <w:t>424,915</w:t>
            </w:r>
          </w:p>
        </w:tc>
        <w:tc>
          <w:tcPr>
            <w:tcW w:w="1276" w:type="dxa"/>
          </w:tcPr>
          <w:p w14:paraId="621CDCCD" w14:textId="77777777" w:rsidR="00B02873" w:rsidRPr="00AE220F" w:rsidRDefault="00B02873" w:rsidP="00AE220F">
            <w:pPr>
              <w:pStyle w:val="TablebodyleftTables"/>
              <w:spacing w:before="20" w:after="20" w:line="240" w:lineRule="auto"/>
              <w:jc w:val="right"/>
              <w:rPr>
                <w:sz w:val="20"/>
              </w:rPr>
            </w:pPr>
            <w:r w:rsidRPr="00AE220F">
              <w:rPr>
                <w:sz w:val="20"/>
              </w:rPr>
              <w:t>256,032</w:t>
            </w:r>
          </w:p>
        </w:tc>
      </w:tr>
      <w:tr w:rsidR="00B02873" w:rsidRPr="00AE220F" w14:paraId="49A8108C" w14:textId="77777777" w:rsidTr="00AE220F">
        <w:tc>
          <w:tcPr>
            <w:tcW w:w="6232" w:type="dxa"/>
          </w:tcPr>
          <w:p w14:paraId="6D572D1A" w14:textId="77777777" w:rsidR="00B02873" w:rsidRPr="00AE220F" w:rsidRDefault="00B02873" w:rsidP="00AE220F">
            <w:pPr>
              <w:pStyle w:val="TablebodyleftTables"/>
              <w:spacing w:before="20" w:after="20" w:line="240" w:lineRule="auto"/>
              <w:rPr>
                <w:sz w:val="20"/>
              </w:rPr>
            </w:pPr>
            <w:r w:rsidRPr="00AE220F">
              <w:rPr>
                <w:sz w:val="20"/>
              </w:rPr>
              <w:t>Metropolitan Parks Improvement Rate</w:t>
            </w:r>
          </w:p>
        </w:tc>
        <w:tc>
          <w:tcPr>
            <w:tcW w:w="1134" w:type="dxa"/>
          </w:tcPr>
          <w:p w14:paraId="446A313C" w14:textId="77777777" w:rsidR="00B02873" w:rsidRPr="00AE220F" w:rsidRDefault="00B02873" w:rsidP="00AE220F">
            <w:pPr>
              <w:pStyle w:val="TablebodyleftTables"/>
              <w:spacing w:before="20" w:after="20" w:line="240" w:lineRule="auto"/>
              <w:rPr>
                <w:sz w:val="20"/>
              </w:rPr>
            </w:pPr>
            <w:r w:rsidRPr="00AE220F">
              <w:rPr>
                <w:sz w:val="20"/>
              </w:rPr>
              <w:t>2.3.3</w:t>
            </w:r>
          </w:p>
        </w:tc>
        <w:tc>
          <w:tcPr>
            <w:tcW w:w="1243" w:type="dxa"/>
          </w:tcPr>
          <w:p w14:paraId="38EFAF20" w14:textId="77777777" w:rsidR="00B02873" w:rsidRPr="00AE220F" w:rsidRDefault="00B02873" w:rsidP="00AE220F">
            <w:pPr>
              <w:pStyle w:val="TablebodyleftTables"/>
              <w:spacing w:before="20" w:after="20" w:line="240" w:lineRule="auto"/>
              <w:jc w:val="right"/>
              <w:rPr>
                <w:b/>
                <w:bCs/>
                <w:sz w:val="20"/>
              </w:rPr>
            </w:pPr>
            <w:r w:rsidRPr="00AE220F">
              <w:rPr>
                <w:b/>
                <w:bCs/>
                <w:sz w:val="20"/>
              </w:rPr>
              <w:t>200,061</w:t>
            </w:r>
          </w:p>
        </w:tc>
        <w:tc>
          <w:tcPr>
            <w:tcW w:w="1276" w:type="dxa"/>
          </w:tcPr>
          <w:p w14:paraId="5E1E40C8" w14:textId="77777777" w:rsidR="00B02873" w:rsidRPr="00AE220F" w:rsidRDefault="00B02873" w:rsidP="00AE220F">
            <w:pPr>
              <w:pStyle w:val="TablebodyleftTables"/>
              <w:spacing w:before="20" w:after="20" w:line="240" w:lineRule="auto"/>
              <w:jc w:val="right"/>
              <w:rPr>
                <w:sz w:val="20"/>
              </w:rPr>
            </w:pPr>
            <w:r w:rsidRPr="00AE220F">
              <w:rPr>
                <w:sz w:val="20"/>
              </w:rPr>
              <w:t>190,679</w:t>
            </w:r>
          </w:p>
        </w:tc>
      </w:tr>
      <w:tr w:rsidR="00B02873" w:rsidRPr="00AE220F" w14:paraId="72798D15" w14:textId="77777777" w:rsidTr="00AE220F">
        <w:tc>
          <w:tcPr>
            <w:tcW w:w="6232" w:type="dxa"/>
          </w:tcPr>
          <w:p w14:paraId="4F8FA72C" w14:textId="77777777" w:rsidR="00B02873" w:rsidRPr="00AE220F" w:rsidRDefault="00B02873" w:rsidP="00AE220F">
            <w:pPr>
              <w:pStyle w:val="TablebodyleftTables"/>
              <w:spacing w:before="20" w:after="20" w:line="240" w:lineRule="auto"/>
              <w:rPr>
                <w:sz w:val="20"/>
              </w:rPr>
            </w:pPr>
            <w:r w:rsidRPr="00AE220F">
              <w:rPr>
                <w:sz w:val="20"/>
              </w:rPr>
              <w:t>Grants</w:t>
            </w:r>
          </w:p>
        </w:tc>
        <w:tc>
          <w:tcPr>
            <w:tcW w:w="1134" w:type="dxa"/>
          </w:tcPr>
          <w:p w14:paraId="550D146E" w14:textId="77777777" w:rsidR="00B02873" w:rsidRPr="00AE220F" w:rsidRDefault="00B02873" w:rsidP="00AE220F">
            <w:pPr>
              <w:pStyle w:val="TablebodyleftTables"/>
              <w:spacing w:before="20" w:after="20" w:line="240" w:lineRule="auto"/>
              <w:rPr>
                <w:sz w:val="20"/>
              </w:rPr>
            </w:pPr>
            <w:r w:rsidRPr="00AE220F">
              <w:rPr>
                <w:sz w:val="20"/>
              </w:rPr>
              <w:t>2.3.4</w:t>
            </w:r>
          </w:p>
        </w:tc>
        <w:tc>
          <w:tcPr>
            <w:tcW w:w="1243" w:type="dxa"/>
          </w:tcPr>
          <w:p w14:paraId="71D5AACE" w14:textId="77777777" w:rsidR="00B02873" w:rsidRPr="00AE220F" w:rsidRDefault="00B02873" w:rsidP="00AE220F">
            <w:pPr>
              <w:pStyle w:val="TablebodyleftTables"/>
              <w:spacing w:before="20" w:after="20" w:line="240" w:lineRule="auto"/>
              <w:jc w:val="right"/>
              <w:rPr>
                <w:b/>
                <w:bCs/>
                <w:sz w:val="20"/>
              </w:rPr>
            </w:pPr>
            <w:r w:rsidRPr="00AE220F">
              <w:rPr>
                <w:b/>
                <w:bCs/>
                <w:sz w:val="20"/>
              </w:rPr>
              <w:t>41,677</w:t>
            </w:r>
          </w:p>
        </w:tc>
        <w:tc>
          <w:tcPr>
            <w:tcW w:w="1276" w:type="dxa"/>
          </w:tcPr>
          <w:p w14:paraId="2D06A1CA" w14:textId="77777777" w:rsidR="00B02873" w:rsidRPr="00AE220F" w:rsidRDefault="00B02873" w:rsidP="00AE220F">
            <w:pPr>
              <w:pStyle w:val="TablebodyleftTables"/>
              <w:spacing w:before="20" w:after="20" w:line="240" w:lineRule="auto"/>
              <w:jc w:val="right"/>
              <w:rPr>
                <w:sz w:val="20"/>
              </w:rPr>
            </w:pPr>
            <w:r w:rsidRPr="00AE220F">
              <w:rPr>
                <w:sz w:val="20"/>
              </w:rPr>
              <w:t>98,227</w:t>
            </w:r>
          </w:p>
        </w:tc>
      </w:tr>
      <w:tr w:rsidR="00B02873" w:rsidRPr="00AE220F" w14:paraId="2DB8A6AD" w14:textId="77777777" w:rsidTr="00AE220F">
        <w:tc>
          <w:tcPr>
            <w:tcW w:w="6232" w:type="dxa"/>
          </w:tcPr>
          <w:p w14:paraId="3C266281" w14:textId="77777777" w:rsidR="00B02873" w:rsidRPr="00AE220F" w:rsidRDefault="00B02873" w:rsidP="00AE220F">
            <w:pPr>
              <w:pStyle w:val="TablebodyleftTables"/>
              <w:spacing w:before="20" w:after="20" w:line="240" w:lineRule="auto"/>
              <w:rPr>
                <w:sz w:val="20"/>
              </w:rPr>
            </w:pPr>
            <w:r w:rsidRPr="00AE220F">
              <w:rPr>
                <w:sz w:val="20"/>
              </w:rPr>
              <w:t>Interest income</w:t>
            </w:r>
          </w:p>
        </w:tc>
        <w:tc>
          <w:tcPr>
            <w:tcW w:w="1134" w:type="dxa"/>
          </w:tcPr>
          <w:p w14:paraId="279DBCB7" w14:textId="77777777" w:rsidR="00B02873" w:rsidRPr="00AE220F" w:rsidRDefault="00B02873" w:rsidP="00AE220F">
            <w:pPr>
              <w:pStyle w:val="TablebodyleftTables"/>
              <w:spacing w:before="20" w:after="20" w:line="240" w:lineRule="auto"/>
              <w:rPr>
                <w:sz w:val="20"/>
              </w:rPr>
            </w:pPr>
            <w:r w:rsidRPr="00AE220F">
              <w:rPr>
                <w:sz w:val="20"/>
              </w:rPr>
              <w:t>7.1.2</w:t>
            </w:r>
          </w:p>
        </w:tc>
        <w:tc>
          <w:tcPr>
            <w:tcW w:w="1243" w:type="dxa"/>
          </w:tcPr>
          <w:p w14:paraId="695D87C1" w14:textId="77777777" w:rsidR="00B02873" w:rsidRPr="00AE220F" w:rsidRDefault="00B02873" w:rsidP="00AE220F">
            <w:pPr>
              <w:pStyle w:val="TablebodyleftTables"/>
              <w:spacing w:before="20" w:after="20" w:line="240" w:lineRule="auto"/>
              <w:jc w:val="right"/>
              <w:rPr>
                <w:b/>
                <w:bCs/>
                <w:sz w:val="20"/>
              </w:rPr>
            </w:pPr>
            <w:r w:rsidRPr="00AE220F">
              <w:rPr>
                <w:b/>
                <w:bCs/>
                <w:sz w:val="20"/>
              </w:rPr>
              <w:t>9,540</w:t>
            </w:r>
          </w:p>
        </w:tc>
        <w:tc>
          <w:tcPr>
            <w:tcW w:w="1276" w:type="dxa"/>
          </w:tcPr>
          <w:p w14:paraId="442DD7B2" w14:textId="77777777" w:rsidR="00B02873" w:rsidRPr="00AE220F" w:rsidRDefault="00B02873" w:rsidP="00AE220F">
            <w:pPr>
              <w:pStyle w:val="TablebodyleftTables"/>
              <w:spacing w:before="20" w:after="20" w:line="240" w:lineRule="auto"/>
              <w:jc w:val="right"/>
              <w:rPr>
                <w:sz w:val="20"/>
              </w:rPr>
            </w:pPr>
            <w:r w:rsidRPr="00AE220F">
              <w:rPr>
                <w:sz w:val="20"/>
              </w:rPr>
              <w:t>8,874</w:t>
            </w:r>
          </w:p>
        </w:tc>
      </w:tr>
      <w:tr w:rsidR="00B02873" w:rsidRPr="00AE220F" w14:paraId="52223DF9" w14:textId="77777777" w:rsidTr="00AE220F">
        <w:tc>
          <w:tcPr>
            <w:tcW w:w="6232" w:type="dxa"/>
          </w:tcPr>
          <w:p w14:paraId="1FDEFA9D" w14:textId="77777777" w:rsidR="00B02873" w:rsidRPr="00AE220F" w:rsidRDefault="00B02873" w:rsidP="00AE220F">
            <w:pPr>
              <w:pStyle w:val="TablebodyleftTables"/>
              <w:spacing w:before="20" w:after="20" w:line="240" w:lineRule="auto"/>
              <w:rPr>
                <w:sz w:val="20"/>
              </w:rPr>
            </w:pPr>
            <w:r w:rsidRPr="00AE220F">
              <w:rPr>
                <w:sz w:val="20"/>
              </w:rPr>
              <w:t>Initial recognition income from financial instruments</w:t>
            </w:r>
          </w:p>
        </w:tc>
        <w:tc>
          <w:tcPr>
            <w:tcW w:w="1134" w:type="dxa"/>
          </w:tcPr>
          <w:p w14:paraId="4841229D" w14:textId="77777777" w:rsidR="00B02873" w:rsidRPr="00AE220F" w:rsidRDefault="00B02873" w:rsidP="00AE220F">
            <w:pPr>
              <w:pStyle w:val="TablebodyleftTables"/>
              <w:spacing w:before="20" w:after="20" w:line="240" w:lineRule="auto"/>
              <w:rPr>
                <w:sz w:val="20"/>
              </w:rPr>
            </w:pPr>
            <w:r w:rsidRPr="00AE220F">
              <w:rPr>
                <w:sz w:val="20"/>
              </w:rPr>
              <w:t>2.3.6</w:t>
            </w:r>
          </w:p>
        </w:tc>
        <w:tc>
          <w:tcPr>
            <w:tcW w:w="1243" w:type="dxa"/>
          </w:tcPr>
          <w:p w14:paraId="05D9C91D" w14:textId="77777777" w:rsidR="00B02873" w:rsidRPr="00AE220F" w:rsidRDefault="00B02873" w:rsidP="00AE220F">
            <w:pPr>
              <w:pStyle w:val="TablebodyleftTables"/>
              <w:spacing w:before="20" w:after="20" w:line="240" w:lineRule="auto"/>
              <w:jc w:val="right"/>
              <w:rPr>
                <w:b/>
                <w:bCs/>
                <w:sz w:val="20"/>
              </w:rPr>
            </w:pPr>
            <w:r w:rsidRPr="00AE220F">
              <w:rPr>
                <w:b/>
                <w:bCs/>
                <w:sz w:val="20"/>
              </w:rPr>
              <w:t>55,245</w:t>
            </w:r>
          </w:p>
        </w:tc>
        <w:tc>
          <w:tcPr>
            <w:tcW w:w="1276" w:type="dxa"/>
          </w:tcPr>
          <w:p w14:paraId="0F051C7A" w14:textId="77777777" w:rsidR="00B02873" w:rsidRPr="00AE220F" w:rsidRDefault="00B02873" w:rsidP="00AE220F">
            <w:pPr>
              <w:pStyle w:val="TablebodyleftTables"/>
              <w:spacing w:before="20" w:after="20" w:line="240" w:lineRule="auto"/>
              <w:jc w:val="right"/>
              <w:rPr>
                <w:sz w:val="20"/>
              </w:rPr>
            </w:pPr>
            <w:r w:rsidRPr="00AE220F">
              <w:rPr>
                <w:sz w:val="20"/>
              </w:rPr>
              <w:t>–</w:t>
            </w:r>
          </w:p>
        </w:tc>
      </w:tr>
      <w:tr w:rsidR="00B02873" w:rsidRPr="00AE220F" w14:paraId="0B19F92D" w14:textId="77777777" w:rsidTr="00AE220F">
        <w:tc>
          <w:tcPr>
            <w:tcW w:w="6232" w:type="dxa"/>
          </w:tcPr>
          <w:p w14:paraId="06B06881" w14:textId="77777777" w:rsidR="00B02873" w:rsidRPr="00AE220F" w:rsidRDefault="00B02873" w:rsidP="00AE220F">
            <w:pPr>
              <w:pStyle w:val="TablebodyleftTables"/>
              <w:spacing w:before="20" w:after="20" w:line="240" w:lineRule="auto"/>
              <w:rPr>
                <w:sz w:val="20"/>
              </w:rPr>
            </w:pPr>
            <w:r w:rsidRPr="00AE220F">
              <w:rPr>
                <w:sz w:val="20"/>
              </w:rPr>
              <w:t>Other income</w:t>
            </w:r>
          </w:p>
        </w:tc>
        <w:tc>
          <w:tcPr>
            <w:tcW w:w="1134" w:type="dxa"/>
          </w:tcPr>
          <w:p w14:paraId="38A5D7AF" w14:textId="77777777" w:rsidR="00B02873" w:rsidRPr="00AE220F" w:rsidRDefault="00B02873" w:rsidP="00AE220F">
            <w:pPr>
              <w:pStyle w:val="TablebodyleftTables"/>
              <w:spacing w:before="20" w:after="20" w:line="240" w:lineRule="auto"/>
              <w:rPr>
                <w:sz w:val="20"/>
              </w:rPr>
            </w:pPr>
            <w:r w:rsidRPr="00AE220F">
              <w:rPr>
                <w:sz w:val="20"/>
              </w:rPr>
              <w:t>2.3.5</w:t>
            </w:r>
          </w:p>
        </w:tc>
        <w:tc>
          <w:tcPr>
            <w:tcW w:w="1243" w:type="dxa"/>
          </w:tcPr>
          <w:p w14:paraId="4D501E9A" w14:textId="77777777" w:rsidR="00B02873" w:rsidRPr="00AE220F" w:rsidRDefault="00B02873" w:rsidP="00AE220F">
            <w:pPr>
              <w:pStyle w:val="TablebodyleftTables"/>
              <w:spacing w:before="20" w:after="20" w:line="240" w:lineRule="auto"/>
              <w:jc w:val="right"/>
              <w:rPr>
                <w:b/>
                <w:bCs/>
                <w:sz w:val="20"/>
              </w:rPr>
            </w:pPr>
            <w:r w:rsidRPr="00AE220F">
              <w:rPr>
                <w:b/>
                <w:bCs/>
                <w:sz w:val="20"/>
              </w:rPr>
              <w:t>54,655</w:t>
            </w:r>
          </w:p>
        </w:tc>
        <w:tc>
          <w:tcPr>
            <w:tcW w:w="1276" w:type="dxa"/>
          </w:tcPr>
          <w:p w14:paraId="15B2E578" w14:textId="77777777" w:rsidR="00B02873" w:rsidRPr="00AE220F" w:rsidRDefault="00B02873" w:rsidP="00AE220F">
            <w:pPr>
              <w:pStyle w:val="TablebodyleftTables"/>
              <w:spacing w:before="20" w:after="20" w:line="240" w:lineRule="auto"/>
              <w:jc w:val="right"/>
              <w:rPr>
                <w:sz w:val="20"/>
              </w:rPr>
            </w:pPr>
            <w:r w:rsidRPr="00AE220F">
              <w:rPr>
                <w:sz w:val="20"/>
              </w:rPr>
              <w:t>37,000</w:t>
            </w:r>
          </w:p>
        </w:tc>
      </w:tr>
      <w:tr w:rsidR="00B02873" w:rsidRPr="00AE220F" w14:paraId="40EE0B33" w14:textId="77777777" w:rsidTr="00AE220F">
        <w:tc>
          <w:tcPr>
            <w:tcW w:w="6232" w:type="dxa"/>
          </w:tcPr>
          <w:p w14:paraId="7E78D8E2" w14:textId="77777777" w:rsidR="00B02873" w:rsidRPr="00AE220F" w:rsidRDefault="00B02873" w:rsidP="00AE220F">
            <w:pPr>
              <w:pStyle w:val="TablebodyleftTables"/>
              <w:spacing w:before="20" w:after="20" w:line="240" w:lineRule="auto"/>
              <w:rPr>
                <w:b/>
                <w:bCs/>
                <w:sz w:val="20"/>
              </w:rPr>
            </w:pPr>
            <w:r w:rsidRPr="00AE220F">
              <w:rPr>
                <w:b/>
                <w:bCs/>
                <w:sz w:val="20"/>
              </w:rPr>
              <w:t>Total revenue and income from transactions</w:t>
            </w:r>
          </w:p>
        </w:tc>
        <w:tc>
          <w:tcPr>
            <w:tcW w:w="1134" w:type="dxa"/>
          </w:tcPr>
          <w:p w14:paraId="7D255660" w14:textId="77777777" w:rsidR="00B02873" w:rsidRPr="00AE220F" w:rsidRDefault="00B02873" w:rsidP="00AE220F">
            <w:pPr>
              <w:pStyle w:val="TablebodyleftTables"/>
              <w:spacing w:before="20" w:after="20" w:line="240" w:lineRule="auto"/>
              <w:rPr>
                <w:rFonts w:ascii="VIC Bold Italic" w:hAnsi="VIC Bold Italic" w:cs="Times New Roman"/>
                <w:sz w:val="20"/>
              </w:rPr>
            </w:pPr>
          </w:p>
        </w:tc>
        <w:tc>
          <w:tcPr>
            <w:tcW w:w="1243" w:type="dxa"/>
          </w:tcPr>
          <w:p w14:paraId="1C6F9FE2" w14:textId="77777777" w:rsidR="00B02873" w:rsidRPr="00AE220F" w:rsidRDefault="00B02873" w:rsidP="00AE220F">
            <w:pPr>
              <w:pStyle w:val="TablebodyleftTables"/>
              <w:spacing w:before="20" w:after="20" w:line="240" w:lineRule="auto"/>
              <w:jc w:val="right"/>
              <w:rPr>
                <w:b/>
                <w:bCs/>
                <w:sz w:val="20"/>
              </w:rPr>
            </w:pPr>
            <w:r w:rsidRPr="00AE220F">
              <w:rPr>
                <w:b/>
                <w:bCs/>
                <w:sz w:val="20"/>
              </w:rPr>
              <w:t>3,246,486</w:t>
            </w:r>
          </w:p>
        </w:tc>
        <w:tc>
          <w:tcPr>
            <w:tcW w:w="1276" w:type="dxa"/>
          </w:tcPr>
          <w:p w14:paraId="01555016" w14:textId="77777777" w:rsidR="00B02873" w:rsidRPr="00AE220F" w:rsidRDefault="00B02873" w:rsidP="00AE220F">
            <w:pPr>
              <w:pStyle w:val="TablebodyleftTables"/>
              <w:spacing w:before="20" w:after="20" w:line="240" w:lineRule="auto"/>
              <w:jc w:val="right"/>
              <w:rPr>
                <w:sz w:val="20"/>
              </w:rPr>
            </w:pPr>
            <w:r w:rsidRPr="00AE220F">
              <w:rPr>
                <w:sz w:val="20"/>
              </w:rPr>
              <w:t>3,157,203</w:t>
            </w:r>
          </w:p>
        </w:tc>
      </w:tr>
      <w:tr w:rsidR="00B02873" w:rsidRPr="00AE220F" w14:paraId="22837075" w14:textId="77777777" w:rsidTr="00AE220F">
        <w:tc>
          <w:tcPr>
            <w:tcW w:w="6232" w:type="dxa"/>
          </w:tcPr>
          <w:p w14:paraId="073067A4" w14:textId="77777777" w:rsidR="00B02873" w:rsidRPr="00AE220F" w:rsidRDefault="00B02873" w:rsidP="00AE220F">
            <w:pPr>
              <w:pStyle w:val="TablebodyleftTables"/>
              <w:spacing w:before="20" w:after="20" w:line="240" w:lineRule="auto"/>
              <w:rPr>
                <w:b/>
                <w:bCs/>
                <w:sz w:val="20"/>
              </w:rPr>
            </w:pPr>
            <w:r w:rsidRPr="00AE220F">
              <w:rPr>
                <w:b/>
                <w:bCs/>
                <w:sz w:val="20"/>
              </w:rPr>
              <w:t>Expenses from transactions</w:t>
            </w:r>
          </w:p>
        </w:tc>
        <w:tc>
          <w:tcPr>
            <w:tcW w:w="1134" w:type="dxa"/>
          </w:tcPr>
          <w:p w14:paraId="6704C1C9" w14:textId="77777777" w:rsidR="00B02873" w:rsidRPr="00AE220F" w:rsidRDefault="00B02873" w:rsidP="00AE220F">
            <w:pPr>
              <w:pStyle w:val="TablebodyleftTables"/>
              <w:spacing w:before="20" w:after="20" w:line="240" w:lineRule="auto"/>
              <w:rPr>
                <w:rFonts w:asciiTheme="minorHAnsi" w:hAnsiTheme="minorHAnsi" w:cstheme="minorHAnsi"/>
                <w:sz w:val="20"/>
              </w:rPr>
            </w:pPr>
          </w:p>
        </w:tc>
        <w:tc>
          <w:tcPr>
            <w:tcW w:w="1243" w:type="dxa"/>
          </w:tcPr>
          <w:p w14:paraId="3C8B399A" w14:textId="77777777" w:rsidR="00B02873" w:rsidRPr="00AE220F" w:rsidRDefault="00B02873" w:rsidP="00AE220F">
            <w:pPr>
              <w:pStyle w:val="TablebodyleftTables"/>
              <w:spacing w:before="20" w:after="20" w:line="240" w:lineRule="auto"/>
              <w:jc w:val="right"/>
              <w:rPr>
                <w:rFonts w:asciiTheme="minorHAnsi" w:hAnsiTheme="minorHAnsi" w:cstheme="minorHAnsi"/>
                <w:b/>
                <w:bCs/>
                <w:sz w:val="20"/>
              </w:rPr>
            </w:pPr>
          </w:p>
        </w:tc>
        <w:tc>
          <w:tcPr>
            <w:tcW w:w="1276" w:type="dxa"/>
          </w:tcPr>
          <w:p w14:paraId="442D8CE8" w14:textId="77777777" w:rsidR="00B02873" w:rsidRPr="00AE220F" w:rsidRDefault="00B02873" w:rsidP="00AE220F">
            <w:pPr>
              <w:pStyle w:val="TablebodyleftTables"/>
              <w:spacing w:before="20" w:after="20" w:line="240" w:lineRule="auto"/>
              <w:jc w:val="right"/>
              <w:rPr>
                <w:rFonts w:asciiTheme="minorHAnsi" w:hAnsiTheme="minorHAnsi" w:cstheme="minorHAnsi"/>
                <w:sz w:val="20"/>
              </w:rPr>
            </w:pPr>
          </w:p>
        </w:tc>
      </w:tr>
      <w:tr w:rsidR="00B02873" w:rsidRPr="00AE220F" w14:paraId="434D10C6" w14:textId="77777777" w:rsidTr="00AE220F">
        <w:tc>
          <w:tcPr>
            <w:tcW w:w="6232" w:type="dxa"/>
          </w:tcPr>
          <w:p w14:paraId="277DF99E" w14:textId="77777777" w:rsidR="00B02873" w:rsidRPr="00AE220F" w:rsidRDefault="00B02873" w:rsidP="00AE220F">
            <w:pPr>
              <w:pStyle w:val="TablebodyleftTables"/>
              <w:spacing w:before="20" w:after="20" w:line="240" w:lineRule="auto"/>
              <w:rPr>
                <w:sz w:val="20"/>
              </w:rPr>
            </w:pPr>
            <w:r w:rsidRPr="00AE220F">
              <w:rPr>
                <w:sz w:val="20"/>
              </w:rPr>
              <w:t>Employee expenses</w:t>
            </w:r>
          </w:p>
        </w:tc>
        <w:tc>
          <w:tcPr>
            <w:tcW w:w="1134" w:type="dxa"/>
          </w:tcPr>
          <w:p w14:paraId="26DDF652" w14:textId="77777777" w:rsidR="00B02873" w:rsidRPr="00AE220F" w:rsidRDefault="00B02873" w:rsidP="00AE220F">
            <w:pPr>
              <w:pStyle w:val="TablebodyleftTables"/>
              <w:spacing w:before="20" w:after="20" w:line="240" w:lineRule="auto"/>
              <w:rPr>
                <w:sz w:val="20"/>
              </w:rPr>
            </w:pPr>
            <w:r w:rsidRPr="00AE220F">
              <w:rPr>
                <w:sz w:val="20"/>
              </w:rPr>
              <w:t>3.1.1</w:t>
            </w:r>
          </w:p>
        </w:tc>
        <w:tc>
          <w:tcPr>
            <w:tcW w:w="1243" w:type="dxa"/>
          </w:tcPr>
          <w:p w14:paraId="2C3F6C0D" w14:textId="77777777" w:rsidR="00B02873" w:rsidRPr="00AE220F" w:rsidRDefault="00B02873" w:rsidP="00AE220F">
            <w:pPr>
              <w:pStyle w:val="TablebodyleftTables"/>
              <w:spacing w:before="20" w:after="20" w:line="240" w:lineRule="auto"/>
              <w:jc w:val="right"/>
              <w:rPr>
                <w:b/>
                <w:bCs/>
                <w:sz w:val="20"/>
              </w:rPr>
            </w:pPr>
            <w:r w:rsidRPr="00AE220F">
              <w:rPr>
                <w:b/>
                <w:bCs/>
                <w:sz w:val="20"/>
              </w:rPr>
              <w:t xml:space="preserve">(708,708) </w:t>
            </w:r>
          </w:p>
        </w:tc>
        <w:tc>
          <w:tcPr>
            <w:tcW w:w="1276" w:type="dxa"/>
          </w:tcPr>
          <w:p w14:paraId="1820F469" w14:textId="77777777" w:rsidR="00B02873" w:rsidRPr="00AE220F" w:rsidRDefault="00B02873" w:rsidP="00AE220F">
            <w:pPr>
              <w:pStyle w:val="TablebodyleftTables"/>
              <w:spacing w:before="20" w:after="20" w:line="240" w:lineRule="auto"/>
              <w:jc w:val="right"/>
              <w:rPr>
                <w:sz w:val="20"/>
              </w:rPr>
            </w:pPr>
            <w:r w:rsidRPr="00AE220F">
              <w:rPr>
                <w:sz w:val="20"/>
              </w:rPr>
              <w:t>(625,869)</w:t>
            </w:r>
          </w:p>
        </w:tc>
      </w:tr>
      <w:tr w:rsidR="00B02873" w:rsidRPr="00AE220F" w14:paraId="2A4D3E86" w14:textId="77777777" w:rsidTr="00AE220F">
        <w:tc>
          <w:tcPr>
            <w:tcW w:w="6232" w:type="dxa"/>
          </w:tcPr>
          <w:p w14:paraId="7E895158" w14:textId="77777777" w:rsidR="00B02873" w:rsidRPr="00AE220F" w:rsidRDefault="00B02873" w:rsidP="00AE220F">
            <w:pPr>
              <w:pStyle w:val="TablebodyleftTables"/>
              <w:spacing w:before="20" w:after="20" w:line="240" w:lineRule="auto"/>
              <w:rPr>
                <w:sz w:val="20"/>
              </w:rPr>
            </w:pPr>
            <w:r w:rsidRPr="00AE220F">
              <w:rPr>
                <w:sz w:val="20"/>
              </w:rPr>
              <w:t>Grants and other transfers</w:t>
            </w:r>
          </w:p>
        </w:tc>
        <w:tc>
          <w:tcPr>
            <w:tcW w:w="1134" w:type="dxa"/>
          </w:tcPr>
          <w:p w14:paraId="75029FDE" w14:textId="77777777" w:rsidR="00B02873" w:rsidRPr="00AE220F" w:rsidRDefault="00B02873" w:rsidP="00AE220F">
            <w:pPr>
              <w:pStyle w:val="TablebodyleftTables"/>
              <w:spacing w:before="20" w:after="20" w:line="240" w:lineRule="auto"/>
              <w:rPr>
                <w:sz w:val="20"/>
              </w:rPr>
            </w:pPr>
            <w:r w:rsidRPr="00AE220F">
              <w:rPr>
                <w:sz w:val="20"/>
              </w:rPr>
              <w:t>3.1.2</w:t>
            </w:r>
          </w:p>
        </w:tc>
        <w:tc>
          <w:tcPr>
            <w:tcW w:w="1243" w:type="dxa"/>
          </w:tcPr>
          <w:p w14:paraId="00BBEE14" w14:textId="77777777" w:rsidR="00B02873" w:rsidRPr="00AE220F" w:rsidRDefault="00B02873" w:rsidP="00AE220F">
            <w:pPr>
              <w:pStyle w:val="TablebodyleftTables"/>
              <w:spacing w:before="20" w:after="20" w:line="240" w:lineRule="auto"/>
              <w:jc w:val="right"/>
              <w:rPr>
                <w:b/>
                <w:bCs/>
                <w:sz w:val="20"/>
              </w:rPr>
            </w:pPr>
            <w:r w:rsidRPr="00AE220F">
              <w:rPr>
                <w:b/>
                <w:bCs/>
                <w:sz w:val="20"/>
              </w:rPr>
              <w:t>(1,485,515)</w:t>
            </w:r>
          </w:p>
        </w:tc>
        <w:tc>
          <w:tcPr>
            <w:tcW w:w="1276" w:type="dxa"/>
          </w:tcPr>
          <w:p w14:paraId="44A9346E" w14:textId="77777777" w:rsidR="00B02873" w:rsidRPr="00AE220F" w:rsidRDefault="00B02873" w:rsidP="00AE220F">
            <w:pPr>
              <w:pStyle w:val="TablebodyleftTables"/>
              <w:spacing w:before="20" w:after="20" w:line="240" w:lineRule="auto"/>
              <w:jc w:val="right"/>
              <w:rPr>
                <w:sz w:val="20"/>
              </w:rPr>
            </w:pPr>
            <w:r w:rsidRPr="00AE220F">
              <w:rPr>
                <w:sz w:val="20"/>
              </w:rPr>
              <w:t>(1,539,599)</w:t>
            </w:r>
          </w:p>
        </w:tc>
      </w:tr>
      <w:tr w:rsidR="00B02873" w:rsidRPr="00AE220F" w14:paraId="49349C3E" w14:textId="77777777" w:rsidTr="00AE220F">
        <w:tc>
          <w:tcPr>
            <w:tcW w:w="6232" w:type="dxa"/>
          </w:tcPr>
          <w:p w14:paraId="70646275" w14:textId="77777777" w:rsidR="00B02873" w:rsidRPr="00AE220F" w:rsidRDefault="00B02873" w:rsidP="00AE220F">
            <w:pPr>
              <w:pStyle w:val="TablebodyleftTables"/>
              <w:spacing w:before="20" w:after="20" w:line="240" w:lineRule="auto"/>
              <w:rPr>
                <w:sz w:val="20"/>
              </w:rPr>
            </w:pPr>
            <w:r w:rsidRPr="00AE220F">
              <w:rPr>
                <w:sz w:val="20"/>
              </w:rPr>
              <w:t>Supplies and services</w:t>
            </w:r>
          </w:p>
        </w:tc>
        <w:tc>
          <w:tcPr>
            <w:tcW w:w="1134" w:type="dxa"/>
          </w:tcPr>
          <w:p w14:paraId="56222328" w14:textId="77777777" w:rsidR="00B02873" w:rsidRPr="00AE220F" w:rsidRDefault="00B02873" w:rsidP="00AE220F">
            <w:pPr>
              <w:pStyle w:val="TablebodyleftTables"/>
              <w:spacing w:before="20" w:after="20" w:line="240" w:lineRule="auto"/>
              <w:rPr>
                <w:sz w:val="20"/>
              </w:rPr>
            </w:pPr>
            <w:r w:rsidRPr="00AE220F">
              <w:rPr>
                <w:sz w:val="20"/>
              </w:rPr>
              <w:t>3.1.4</w:t>
            </w:r>
          </w:p>
        </w:tc>
        <w:tc>
          <w:tcPr>
            <w:tcW w:w="1243" w:type="dxa"/>
          </w:tcPr>
          <w:p w14:paraId="76AB8AB9" w14:textId="77777777" w:rsidR="00B02873" w:rsidRPr="00AE220F" w:rsidRDefault="00B02873" w:rsidP="00AE220F">
            <w:pPr>
              <w:pStyle w:val="TablebodyleftTables"/>
              <w:spacing w:before="20" w:after="20" w:line="240" w:lineRule="auto"/>
              <w:jc w:val="right"/>
              <w:rPr>
                <w:b/>
                <w:bCs/>
                <w:sz w:val="20"/>
              </w:rPr>
            </w:pPr>
            <w:r w:rsidRPr="00AE220F">
              <w:rPr>
                <w:b/>
                <w:bCs/>
                <w:sz w:val="20"/>
              </w:rPr>
              <w:t>(747,295)</w:t>
            </w:r>
          </w:p>
        </w:tc>
        <w:tc>
          <w:tcPr>
            <w:tcW w:w="1276" w:type="dxa"/>
          </w:tcPr>
          <w:p w14:paraId="2DF5C934" w14:textId="77777777" w:rsidR="00B02873" w:rsidRPr="00AE220F" w:rsidRDefault="00B02873" w:rsidP="00AE220F">
            <w:pPr>
              <w:pStyle w:val="TablebodyleftTables"/>
              <w:spacing w:before="20" w:after="20" w:line="240" w:lineRule="auto"/>
              <w:jc w:val="right"/>
              <w:rPr>
                <w:sz w:val="20"/>
              </w:rPr>
            </w:pPr>
            <w:r w:rsidRPr="00AE220F">
              <w:rPr>
                <w:sz w:val="20"/>
              </w:rPr>
              <w:t>(629,312)</w:t>
            </w:r>
          </w:p>
        </w:tc>
      </w:tr>
      <w:tr w:rsidR="00B02873" w:rsidRPr="00AE220F" w14:paraId="436AB822" w14:textId="77777777" w:rsidTr="00AE220F">
        <w:tc>
          <w:tcPr>
            <w:tcW w:w="6232" w:type="dxa"/>
          </w:tcPr>
          <w:p w14:paraId="025AD3E3" w14:textId="77777777" w:rsidR="00B02873" w:rsidRPr="00AE220F" w:rsidRDefault="00B02873" w:rsidP="00AE220F">
            <w:pPr>
              <w:pStyle w:val="TablebodyleftTables"/>
              <w:spacing w:before="20" w:after="20" w:line="240" w:lineRule="auto"/>
              <w:rPr>
                <w:sz w:val="20"/>
              </w:rPr>
            </w:pPr>
            <w:r w:rsidRPr="00AE220F">
              <w:rPr>
                <w:sz w:val="20"/>
              </w:rPr>
              <w:t>Depreciation and amortisation</w:t>
            </w:r>
          </w:p>
        </w:tc>
        <w:tc>
          <w:tcPr>
            <w:tcW w:w="1134" w:type="dxa"/>
          </w:tcPr>
          <w:p w14:paraId="717F6B60" w14:textId="77777777" w:rsidR="00B02873" w:rsidRPr="00AE220F" w:rsidRDefault="00B02873" w:rsidP="00AE220F">
            <w:pPr>
              <w:pStyle w:val="TablebodyleftTables"/>
              <w:spacing w:before="20" w:after="20" w:line="240" w:lineRule="auto"/>
              <w:rPr>
                <w:sz w:val="20"/>
              </w:rPr>
            </w:pPr>
            <w:r w:rsidRPr="00AE220F">
              <w:rPr>
                <w:sz w:val="20"/>
              </w:rPr>
              <w:t>5.1.2</w:t>
            </w:r>
          </w:p>
        </w:tc>
        <w:tc>
          <w:tcPr>
            <w:tcW w:w="1243" w:type="dxa"/>
          </w:tcPr>
          <w:p w14:paraId="40473FC2" w14:textId="77777777" w:rsidR="00B02873" w:rsidRPr="00AE220F" w:rsidRDefault="00B02873" w:rsidP="00AE220F">
            <w:pPr>
              <w:pStyle w:val="TablebodyleftTables"/>
              <w:spacing w:before="20" w:after="20" w:line="240" w:lineRule="auto"/>
              <w:jc w:val="right"/>
              <w:rPr>
                <w:b/>
                <w:bCs/>
                <w:sz w:val="20"/>
              </w:rPr>
            </w:pPr>
            <w:r w:rsidRPr="00AE220F">
              <w:rPr>
                <w:b/>
                <w:bCs/>
                <w:sz w:val="20"/>
              </w:rPr>
              <w:t>(87,658)</w:t>
            </w:r>
          </w:p>
        </w:tc>
        <w:tc>
          <w:tcPr>
            <w:tcW w:w="1276" w:type="dxa"/>
          </w:tcPr>
          <w:p w14:paraId="0865C607" w14:textId="77777777" w:rsidR="00B02873" w:rsidRPr="00AE220F" w:rsidRDefault="00B02873" w:rsidP="00AE220F">
            <w:pPr>
              <w:pStyle w:val="TablebodyleftTables"/>
              <w:spacing w:before="20" w:after="20" w:line="240" w:lineRule="auto"/>
              <w:jc w:val="right"/>
              <w:rPr>
                <w:sz w:val="20"/>
              </w:rPr>
            </w:pPr>
            <w:r w:rsidRPr="00AE220F">
              <w:rPr>
                <w:sz w:val="20"/>
              </w:rPr>
              <w:t>(80,076)</w:t>
            </w:r>
          </w:p>
        </w:tc>
      </w:tr>
      <w:tr w:rsidR="00B02873" w:rsidRPr="00AE220F" w14:paraId="593E0400" w14:textId="77777777" w:rsidTr="00AE220F">
        <w:tc>
          <w:tcPr>
            <w:tcW w:w="6232" w:type="dxa"/>
          </w:tcPr>
          <w:p w14:paraId="7026D607" w14:textId="77777777" w:rsidR="00B02873" w:rsidRPr="00AE220F" w:rsidRDefault="00B02873" w:rsidP="00AE220F">
            <w:pPr>
              <w:pStyle w:val="TablebodyleftTables"/>
              <w:spacing w:before="20" w:after="20" w:line="240" w:lineRule="auto"/>
              <w:rPr>
                <w:sz w:val="20"/>
              </w:rPr>
            </w:pPr>
            <w:r w:rsidRPr="00AE220F">
              <w:rPr>
                <w:sz w:val="20"/>
              </w:rPr>
              <w:t>Capital asset charge</w:t>
            </w:r>
          </w:p>
        </w:tc>
        <w:tc>
          <w:tcPr>
            <w:tcW w:w="1134" w:type="dxa"/>
          </w:tcPr>
          <w:p w14:paraId="1CEDB70B" w14:textId="77777777" w:rsidR="00B02873" w:rsidRPr="00AE220F" w:rsidRDefault="00B02873" w:rsidP="00AE220F">
            <w:pPr>
              <w:pStyle w:val="TablebodyleftTables"/>
              <w:spacing w:before="20" w:after="20" w:line="240" w:lineRule="auto"/>
              <w:rPr>
                <w:sz w:val="20"/>
              </w:rPr>
            </w:pPr>
            <w:r w:rsidRPr="00AE220F">
              <w:rPr>
                <w:sz w:val="20"/>
              </w:rPr>
              <w:t>3.1.3</w:t>
            </w:r>
          </w:p>
        </w:tc>
        <w:tc>
          <w:tcPr>
            <w:tcW w:w="1243" w:type="dxa"/>
          </w:tcPr>
          <w:p w14:paraId="6693D512" w14:textId="1DFEF699" w:rsidR="00B02873" w:rsidRPr="00AE220F" w:rsidRDefault="00B02873" w:rsidP="00AE220F">
            <w:pPr>
              <w:pStyle w:val="TablebodyleftTables"/>
              <w:spacing w:before="20" w:after="20" w:line="240" w:lineRule="auto"/>
              <w:jc w:val="right"/>
              <w:rPr>
                <w:b/>
                <w:bCs/>
                <w:sz w:val="20"/>
              </w:rPr>
            </w:pPr>
            <w:r w:rsidRPr="00AE220F">
              <w:rPr>
                <w:b/>
                <w:bCs/>
                <w:sz w:val="20"/>
              </w:rPr>
              <w:t>–</w:t>
            </w:r>
          </w:p>
        </w:tc>
        <w:tc>
          <w:tcPr>
            <w:tcW w:w="1276" w:type="dxa"/>
          </w:tcPr>
          <w:p w14:paraId="5061F698" w14:textId="77777777" w:rsidR="00B02873" w:rsidRPr="00AE220F" w:rsidRDefault="00B02873" w:rsidP="00AE220F">
            <w:pPr>
              <w:pStyle w:val="TablebodyleftTables"/>
              <w:spacing w:before="20" w:after="20" w:line="240" w:lineRule="auto"/>
              <w:jc w:val="right"/>
              <w:rPr>
                <w:sz w:val="20"/>
              </w:rPr>
            </w:pPr>
            <w:r w:rsidRPr="00AE220F">
              <w:rPr>
                <w:sz w:val="20"/>
              </w:rPr>
              <w:t>(96,066)</w:t>
            </w:r>
          </w:p>
        </w:tc>
      </w:tr>
      <w:tr w:rsidR="00B02873" w:rsidRPr="00AE220F" w14:paraId="589F59B7" w14:textId="77777777" w:rsidTr="00AE220F">
        <w:tc>
          <w:tcPr>
            <w:tcW w:w="6232" w:type="dxa"/>
          </w:tcPr>
          <w:p w14:paraId="3B2C6B96" w14:textId="77777777" w:rsidR="00B02873" w:rsidRPr="00AE220F" w:rsidRDefault="00B02873" w:rsidP="00AE220F">
            <w:pPr>
              <w:pStyle w:val="TablebodyleftTables"/>
              <w:spacing w:before="20" w:after="20" w:line="240" w:lineRule="auto"/>
              <w:rPr>
                <w:sz w:val="20"/>
              </w:rPr>
            </w:pPr>
            <w:r w:rsidRPr="00AE220F">
              <w:rPr>
                <w:sz w:val="20"/>
              </w:rPr>
              <w:t>Initial recognition expense from financial instruments</w:t>
            </w:r>
          </w:p>
        </w:tc>
        <w:tc>
          <w:tcPr>
            <w:tcW w:w="1134" w:type="dxa"/>
          </w:tcPr>
          <w:p w14:paraId="32282F70" w14:textId="77777777" w:rsidR="00B02873" w:rsidRPr="00AE220F" w:rsidRDefault="00B02873" w:rsidP="00AE220F">
            <w:pPr>
              <w:pStyle w:val="TablebodyleftTables"/>
              <w:spacing w:before="20" w:after="20" w:line="240" w:lineRule="auto"/>
              <w:rPr>
                <w:sz w:val="20"/>
              </w:rPr>
            </w:pPr>
            <w:r w:rsidRPr="00AE220F">
              <w:rPr>
                <w:sz w:val="20"/>
              </w:rPr>
              <w:t>3.1.5</w:t>
            </w:r>
          </w:p>
        </w:tc>
        <w:tc>
          <w:tcPr>
            <w:tcW w:w="1243" w:type="dxa"/>
          </w:tcPr>
          <w:p w14:paraId="4AB09C46" w14:textId="155A411D" w:rsidR="00B02873" w:rsidRPr="00AE220F" w:rsidRDefault="00B02873" w:rsidP="00AE220F">
            <w:pPr>
              <w:pStyle w:val="TablebodyleftTables"/>
              <w:spacing w:before="20" w:after="20" w:line="240" w:lineRule="auto"/>
              <w:jc w:val="right"/>
              <w:rPr>
                <w:b/>
                <w:bCs/>
                <w:sz w:val="20"/>
              </w:rPr>
            </w:pPr>
            <w:r w:rsidRPr="00AE220F">
              <w:rPr>
                <w:b/>
                <w:bCs/>
                <w:sz w:val="20"/>
              </w:rPr>
              <w:t>–</w:t>
            </w:r>
          </w:p>
        </w:tc>
        <w:tc>
          <w:tcPr>
            <w:tcW w:w="1276" w:type="dxa"/>
          </w:tcPr>
          <w:p w14:paraId="7468194B" w14:textId="77777777" w:rsidR="00B02873" w:rsidRPr="00AE220F" w:rsidRDefault="00B02873" w:rsidP="00AE220F">
            <w:pPr>
              <w:pStyle w:val="TablebodyleftTables"/>
              <w:spacing w:before="20" w:after="20" w:line="240" w:lineRule="auto"/>
              <w:jc w:val="right"/>
              <w:rPr>
                <w:sz w:val="20"/>
              </w:rPr>
            </w:pPr>
            <w:r w:rsidRPr="00AE220F">
              <w:rPr>
                <w:sz w:val="20"/>
              </w:rPr>
              <w:t>(200,072)</w:t>
            </w:r>
          </w:p>
        </w:tc>
      </w:tr>
      <w:tr w:rsidR="00B02873" w:rsidRPr="00AE220F" w14:paraId="71DDEB2C" w14:textId="77777777" w:rsidTr="00AE220F">
        <w:tc>
          <w:tcPr>
            <w:tcW w:w="6232" w:type="dxa"/>
          </w:tcPr>
          <w:p w14:paraId="7441AAE7" w14:textId="77777777" w:rsidR="00B02873" w:rsidRPr="00AE220F" w:rsidRDefault="00B02873" w:rsidP="00AE220F">
            <w:pPr>
              <w:pStyle w:val="TablebodyleftTables"/>
              <w:spacing w:before="20" w:after="20" w:line="240" w:lineRule="auto"/>
              <w:rPr>
                <w:sz w:val="20"/>
              </w:rPr>
            </w:pPr>
            <w:r w:rsidRPr="00AE220F">
              <w:rPr>
                <w:sz w:val="20"/>
              </w:rPr>
              <w:t>Interest expense</w:t>
            </w:r>
          </w:p>
        </w:tc>
        <w:tc>
          <w:tcPr>
            <w:tcW w:w="1134" w:type="dxa"/>
          </w:tcPr>
          <w:p w14:paraId="16464F90" w14:textId="77777777" w:rsidR="00B02873" w:rsidRPr="00AE220F" w:rsidRDefault="00B02873" w:rsidP="00AE220F">
            <w:pPr>
              <w:pStyle w:val="TablebodyleftTables"/>
              <w:spacing w:before="20" w:after="20" w:line="240" w:lineRule="auto"/>
              <w:rPr>
                <w:sz w:val="20"/>
              </w:rPr>
            </w:pPr>
            <w:r w:rsidRPr="00AE220F">
              <w:rPr>
                <w:sz w:val="20"/>
              </w:rPr>
              <w:t>7.2.2</w:t>
            </w:r>
          </w:p>
        </w:tc>
        <w:tc>
          <w:tcPr>
            <w:tcW w:w="1243" w:type="dxa"/>
          </w:tcPr>
          <w:p w14:paraId="226713AB" w14:textId="77777777" w:rsidR="00B02873" w:rsidRPr="00AE220F" w:rsidRDefault="00B02873" w:rsidP="00AE220F">
            <w:pPr>
              <w:pStyle w:val="TablebodyleftTables"/>
              <w:spacing w:before="20" w:after="20" w:line="240" w:lineRule="auto"/>
              <w:jc w:val="right"/>
              <w:rPr>
                <w:b/>
                <w:bCs/>
                <w:sz w:val="20"/>
              </w:rPr>
            </w:pPr>
            <w:r w:rsidRPr="00AE220F">
              <w:rPr>
                <w:b/>
                <w:bCs/>
                <w:sz w:val="20"/>
              </w:rPr>
              <w:t>(11,401)</w:t>
            </w:r>
          </w:p>
        </w:tc>
        <w:tc>
          <w:tcPr>
            <w:tcW w:w="1276" w:type="dxa"/>
          </w:tcPr>
          <w:p w14:paraId="676A3E1E" w14:textId="77777777" w:rsidR="00B02873" w:rsidRPr="00AE220F" w:rsidRDefault="00B02873" w:rsidP="00AE220F">
            <w:pPr>
              <w:pStyle w:val="TablebodyleftTables"/>
              <w:spacing w:before="20" w:after="20" w:line="240" w:lineRule="auto"/>
              <w:jc w:val="right"/>
              <w:rPr>
                <w:sz w:val="20"/>
              </w:rPr>
            </w:pPr>
            <w:r w:rsidRPr="00AE220F">
              <w:rPr>
                <w:sz w:val="20"/>
              </w:rPr>
              <w:t>(13,022)</w:t>
            </w:r>
          </w:p>
        </w:tc>
      </w:tr>
      <w:tr w:rsidR="00B02873" w:rsidRPr="00AE220F" w14:paraId="0B211844" w14:textId="77777777" w:rsidTr="00AE220F">
        <w:tc>
          <w:tcPr>
            <w:tcW w:w="6232" w:type="dxa"/>
          </w:tcPr>
          <w:p w14:paraId="6993F4DD" w14:textId="77777777" w:rsidR="00B02873" w:rsidRPr="00AE220F" w:rsidRDefault="00B02873" w:rsidP="00AE220F">
            <w:pPr>
              <w:pStyle w:val="TablebodyleftTables"/>
              <w:spacing w:before="20" w:after="20" w:line="240" w:lineRule="auto"/>
              <w:rPr>
                <w:sz w:val="20"/>
              </w:rPr>
            </w:pPr>
            <w:r w:rsidRPr="00AE220F">
              <w:rPr>
                <w:sz w:val="20"/>
              </w:rPr>
              <w:t>Loan repayments transferred to the administered entity</w:t>
            </w:r>
            <w:r w:rsidRPr="00AE220F">
              <w:rPr>
                <w:sz w:val="20"/>
                <w:vertAlign w:val="superscript"/>
              </w:rPr>
              <w:t>(iii)</w:t>
            </w:r>
          </w:p>
        </w:tc>
        <w:tc>
          <w:tcPr>
            <w:tcW w:w="1134" w:type="dxa"/>
          </w:tcPr>
          <w:p w14:paraId="6C25A21E" w14:textId="77777777" w:rsidR="00B02873" w:rsidRPr="00AE220F" w:rsidRDefault="00B02873" w:rsidP="00AE220F">
            <w:pPr>
              <w:pStyle w:val="TablebodyleftTables"/>
              <w:spacing w:before="20" w:after="20" w:line="240" w:lineRule="auto"/>
              <w:rPr>
                <w:rFonts w:ascii="VIC Bold Italic" w:hAnsi="VIC Bold Italic" w:cs="Times New Roman"/>
                <w:sz w:val="20"/>
              </w:rPr>
            </w:pPr>
          </w:p>
        </w:tc>
        <w:tc>
          <w:tcPr>
            <w:tcW w:w="1243" w:type="dxa"/>
          </w:tcPr>
          <w:p w14:paraId="7AC93EF3" w14:textId="77777777" w:rsidR="00B02873" w:rsidRPr="00AE220F" w:rsidRDefault="00B02873" w:rsidP="00AE220F">
            <w:pPr>
              <w:pStyle w:val="TablebodyleftTables"/>
              <w:spacing w:before="20" w:after="20" w:line="240" w:lineRule="auto"/>
              <w:jc w:val="right"/>
              <w:rPr>
                <w:b/>
                <w:bCs/>
                <w:sz w:val="20"/>
              </w:rPr>
            </w:pPr>
            <w:r w:rsidRPr="00AE220F">
              <w:rPr>
                <w:b/>
                <w:bCs/>
                <w:sz w:val="20"/>
              </w:rPr>
              <w:t>(74,250)</w:t>
            </w:r>
          </w:p>
        </w:tc>
        <w:tc>
          <w:tcPr>
            <w:tcW w:w="1276" w:type="dxa"/>
          </w:tcPr>
          <w:p w14:paraId="1580D968" w14:textId="77777777" w:rsidR="00B02873" w:rsidRPr="00AE220F" w:rsidRDefault="00B02873" w:rsidP="00AE220F">
            <w:pPr>
              <w:pStyle w:val="TablebodyleftTables"/>
              <w:spacing w:before="20" w:after="20" w:line="240" w:lineRule="auto"/>
              <w:jc w:val="right"/>
              <w:rPr>
                <w:sz w:val="20"/>
              </w:rPr>
            </w:pPr>
            <w:r w:rsidRPr="00AE220F">
              <w:rPr>
                <w:sz w:val="20"/>
              </w:rPr>
              <w:t>–</w:t>
            </w:r>
          </w:p>
        </w:tc>
      </w:tr>
      <w:tr w:rsidR="00B02873" w:rsidRPr="00AE220F" w14:paraId="302487AB" w14:textId="77777777" w:rsidTr="00AE220F">
        <w:tc>
          <w:tcPr>
            <w:tcW w:w="6232" w:type="dxa"/>
          </w:tcPr>
          <w:p w14:paraId="0FACA5FF" w14:textId="77777777" w:rsidR="00B02873" w:rsidRPr="00AE220F" w:rsidRDefault="00B02873" w:rsidP="00AE220F">
            <w:pPr>
              <w:pStyle w:val="TablebodyleftTables"/>
              <w:spacing w:before="20" w:after="20" w:line="240" w:lineRule="auto"/>
              <w:rPr>
                <w:b/>
                <w:bCs/>
                <w:sz w:val="20"/>
              </w:rPr>
            </w:pPr>
            <w:r w:rsidRPr="00AE220F">
              <w:rPr>
                <w:b/>
                <w:bCs/>
                <w:sz w:val="20"/>
              </w:rPr>
              <w:t>Total expenses from transactions</w:t>
            </w:r>
          </w:p>
        </w:tc>
        <w:tc>
          <w:tcPr>
            <w:tcW w:w="1134" w:type="dxa"/>
          </w:tcPr>
          <w:p w14:paraId="6D68F170" w14:textId="77777777" w:rsidR="00B02873" w:rsidRPr="00AE220F" w:rsidRDefault="00B02873" w:rsidP="00AE220F">
            <w:pPr>
              <w:pStyle w:val="TablebodyleftTables"/>
              <w:spacing w:before="20" w:after="20" w:line="240" w:lineRule="auto"/>
              <w:rPr>
                <w:rFonts w:ascii="VIC Bold Italic" w:hAnsi="VIC Bold Italic" w:cs="Times New Roman"/>
                <w:b/>
                <w:bCs/>
                <w:sz w:val="20"/>
              </w:rPr>
            </w:pPr>
          </w:p>
        </w:tc>
        <w:tc>
          <w:tcPr>
            <w:tcW w:w="1243" w:type="dxa"/>
          </w:tcPr>
          <w:p w14:paraId="6E0352AA" w14:textId="77777777" w:rsidR="00B02873" w:rsidRPr="00AE220F" w:rsidRDefault="00B02873" w:rsidP="00AE220F">
            <w:pPr>
              <w:pStyle w:val="TablebodyleftTables"/>
              <w:spacing w:before="20" w:after="20" w:line="240" w:lineRule="auto"/>
              <w:jc w:val="right"/>
              <w:rPr>
                <w:b/>
                <w:bCs/>
                <w:sz w:val="20"/>
              </w:rPr>
            </w:pPr>
            <w:r w:rsidRPr="00AE220F">
              <w:rPr>
                <w:b/>
                <w:bCs/>
                <w:sz w:val="20"/>
              </w:rPr>
              <w:t>(3,114,827)</w:t>
            </w:r>
          </w:p>
        </w:tc>
        <w:tc>
          <w:tcPr>
            <w:tcW w:w="1276" w:type="dxa"/>
          </w:tcPr>
          <w:p w14:paraId="10874310" w14:textId="77777777" w:rsidR="00B02873" w:rsidRPr="00AE220F" w:rsidRDefault="00B02873" w:rsidP="00AE220F">
            <w:pPr>
              <w:pStyle w:val="TablebodyleftTables"/>
              <w:spacing w:before="20" w:after="20" w:line="240" w:lineRule="auto"/>
              <w:jc w:val="right"/>
              <w:rPr>
                <w:b/>
                <w:bCs/>
                <w:sz w:val="20"/>
              </w:rPr>
            </w:pPr>
            <w:r w:rsidRPr="00AE220F">
              <w:rPr>
                <w:b/>
                <w:bCs/>
                <w:sz w:val="20"/>
              </w:rPr>
              <w:t>(3,184,016)</w:t>
            </w:r>
          </w:p>
        </w:tc>
      </w:tr>
      <w:tr w:rsidR="00B02873" w:rsidRPr="00AE220F" w14:paraId="0A7BCC53" w14:textId="77777777" w:rsidTr="00AE220F">
        <w:tc>
          <w:tcPr>
            <w:tcW w:w="6232" w:type="dxa"/>
          </w:tcPr>
          <w:p w14:paraId="04757035" w14:textId="77777777" w:rsidR="00B02873" w:rsidRPr="00AE220F" w:rsidRDefault="00B02873" w:rsidP="00AE220F">
            <w:pPr>
              <w:pStyle w:val="TablebodyleftTables"/>
              <w:spacing w:before="20" w:after="20" w:line="240" w:lineRule="auto"/>
              <w:rPr>
                <w:b/>
                <w:bCs/>
                <w:sz w:val="20"/>
              </w:rPr>
            </w:pPr>
            <w:r w:rsidRPr="00AE220F">
              <w:rPr>
                <w:b/>
                <w:bCs/>
                <w:sz w:val="20"/>
              </w:rPr>
              <w:t>Net result from transactions (net operating balance)</w:t>
            </w:r>
          </w:p>
        </w:tc>
        <w:tc>
          <w:tcPr>
            <w:tcW w:w="1134" w:type="dxa"/>
          </w:tcPr>
          <w:p w14:paraId="285E66DD" w14:textId="77777777" w:rsidR="00B02873" w:rsidRPr="00AE220F" w:rsidRDefault="00B02873" w:rsidP="00AE220F">
            <w:pPr>
              <w:pStyle w:val="TablebodyleftTables"/>
              <w:spacing w:before="20" w:after="20" w:line="240" w:lineRule="auto"/>
              <w:rPr>
                <w:rFonts w:ascii="VIC Bold Italic" w:hAnsi="VIC Bold Italic" w:cs="Times New Roman"/>
                <w:b/>
                <w:bCs/>
                <w:sz w:val="20"/>
              </w:rPr>
            </w:pPr>
          </w:p>
        </w:tc>
        <w:tc>
          <w:tcPr>
            <w:tcW w:w="1243" w:type="dxa"/>
          </w:tcPr>
          <w:p w14:paraId="489CFC4F" w14:textId="77777777" w:rsidR="00B02873" w:rsidRPr="00AE220F" w:rsidRDefault="00B02873" w:rsidP="00AE220F">
            <w:pPr>
              <w:pStyle w:val="TablebodyleftTables"/>
              <w:spacing w:before="20" w:after="20" w:line="240" w:lineRule="auto"/>
              <w:jc w:val="right"/>
              <w:rPr>
                <w:b/>
                <w:bCs/>
                <w:sz w:val="20"/>
              </w:rPr>
            </w:pPr>
            <w:r w:rsidRPr="00AE220F">
              <w:rPr>
                <w:b/>
                <w:bCs/>
                <w:sz w:val="20"/>
              </w:rPr>
              <w:t>131,659</w:t>
            </w:r>
          </w:p>
        </w:tc>
        <w:tc>
          <w:tcPr>
            <w:tcW w:w="1276" w:type="dxa"/>
          </w:tcPr>
          <w:p w14:paraId="49883C3D" w14:textId="77777777" w:rsidR="00B02873" w:rsidRPr="00AE220F" w:rsidRDefault="00B02873" w:rsidP="00AE220F">
            <w:pPr>
              <w:pStyle w:val="TablebodyleftTables"/>
              <w:spacing w:before="20" w:after="20" w:line="240" w:lineRule="auto"/>
              <w:jc w:val="right"/>
              <w:rPr>
                <w:b/>
                <w:bCs/>
                <w:sz w:val="20"/>
              </w:rPr>
            </w:pPr>
            <w:r w:rsidRPr="00AE220F">
              <w:rPr>
                <w:b/>
                <w:bCs/>
                <w:sz w:val="20"/>
              </w:rPr>
              <w:t>(26,813)</w:t>
            </w:r>
          </w:p>
        </w:tc>
      </w:tr>
      <w:tr w:rsidR="00B02873" w:rsidRPr="00AE220F" w14:paraId="0AB0111C" w14:textId="77777777" w:rsidTr="00AE220F">
        <w:tc>
          <w:tcPr>
            <w:tcW w:w="6232" w:type="dxa"/>
          </w:tcPr>
          <w:p w14:paraId="4A5A4FAA" w14:textId="77777777" w:rsidR="00B02873" w:rsidRPr="00AE220F" w:rsidRDefault="00B02873" w:rsidP="00AE220F">
            <w:pPr>
              <w:pStyle w:val="TablebodyleftTables"/>
              <w:spacing w:before="20" w:after="20" w:line="240" w:lineRule="auto"/>
              <w:rPr>
                <w:b/>
                <w:bCs/>
                <w:sz w:val="20"/>
              </w:rPr>
            </w:pPr>
            <w:r w:rsidRPr="00AE220F">
              <w:rPr>
                <w:b/>
                <w:bCs/>
                <w:sz w:val="20"/>
              </w:rPr>
              <w:t>Other economic flows included in net result</w:t>
            </w:r>
          </w:p>
        </w:tc>
        <w:tc>
          <w:tcPr>
            <w:tcW w:w="1134" w:type="dxa"/>
          </w:tcPr>
          <w:p w14:paraId="05AEF97D" w14:textId="77777777" w:rsidR="00B02873" w:rsidRPr="00AE220F" w:rsidRDefault="00B02873" w:rsidP="00AE220F">
            <w:pPr>
              <w:pStyle w:val="TablebodyleftTables"/>
              <w:spacing w:before="20" w:after="20" w:line="240" w:lineRule="auto"/>
              <w:rPr>
                <w:rFonts w:asciiTheme="minorHAnsi" w:hAnsiTheme="minorHAnsi" w:cstheme="minorHAnsi"/>
                <w:b/>
                <w:bCs/>
                <w:sz w:val="20"/>
              </w:rPr>
            </w:pPr>
          </w:p>
        </w:tc>
        <w:tc>
          <w:tcPr>
            <w:tcW w:w="1243" w:type="dxa"/>
          </w:tcPr>
          <w:p w14:paraId="24A5E3E3" w14:textId="77777777" w:rsidR="00B02873" w:rsidRPr="00AE220F" w:rsidRDefault="00B02873" w:rsidP="00AE220F">
            <w:pPr>
              <w:pStyle w:val="TablebodyleftTables"/>
              <w:spacing w:before="20" w:after="20" w:line="240" w:lineRule="auto"/>
              <w:jc w:val="right"/>
              <w:rPr>
                <w:rFonts w:asciiTheme="minorHAnsi" w:hAnsiTheme="minorHAnsi" w:cstheme="minorHAnsi"/>
                <w:b/>
                <w:bCs/>
                <w:sz w:val="20"/>
              </w:rPr>
            </w:pPr>
          </w:p>
        </w:tc>
        <w:tc>
          <w:tcPr>
            <w:tcW w:w="1276" w:type="dxa"/>
          </w:tcPr>
          <w:p w14:paraId="0B244D24" w14:textId="77777777" w:rsidR="00B02873" w:rsidRPr="00AE220F" w:rsidRDefault="00B02873" w:rsidP="00AE220F">
            <w:pPr>
              <w:pStyle w:val="TablebodyleftTables"/>
              <w:spacing w:before="20" w:after="20" w:line="240" w:lineRule="auto"/>
              <w:jc w:val="right"/>
              <w:rPr>
                <w:rFonts w:asciiTheme="minorHAnsi" w:hAnsiTheme="minorHAnsi" w:cstheme="minorHAnsi"/>
                <w:b/>
                <w:bCs/>
                <w:sz w:val="20"/>
              </w:rPr>
            </w:pPr>
          </w:p>
        </w:tc>
      </w:tr>
      <w:tr w:rsidR="00B02873" w:rsidRPr="00AE220F" w14:paraId="595EFA69" w14:textId="77777777" w:rsidTr="00AE220F">
        <w:tc>
          <w:tcPr>
            <w:tcW w:w="6232" w:type="dxa"/>
          </w:tcPr>
          <w:p w14:paraId="1F8D0709" w14:textId="77777777" w:rsidR="00B02873" w:rsidRPr="00AE220F" w:rsidRDefault="00B02873" w:rsidP="00AE220F">
            <w:pPr>
              <w:pStyle w:val="TablebodyleftTables"/>
              <w:spacing w:before="20" w:after="20" w:line="240" w:lineRule="auto"/>
              <w:rPr>
                <w:sz w:val="20"/>
              </w:rPr>
            </w:pPr>
            <w:r w:rsidRPr="00AE220F">
              <w:rPr>
                <w:sz w:val="20"/>
              </w:rPr>
              <w:t>Net gain on non–financial assets</w:t>
            </w:r>
          </w:p>
        </w:tc>
        <w:tc>
          <w:tcPr>
            <w:tcW w:w="1134" w:type="dxa"/>
          </w:tcPr>
          <w:p w14:paraId="0053B007" w14:textId="77777777" w:rsidR="00B02873" w:rsidRPr="00AE220F" w:rsidRDefault="00B02873" w:rsidP="00AE220F">
            <w:pPr>
              <w:pStyle w:val="TablebodyleftTables"/>
              <w:spacing w:before="20" w:after="20" w:line="240" w:lineRule="auto"/>
              <w:rPr>
                <w:sz w:val="20"/>
              </w:rPr>
            </w:pPr>
            <w:r w:rsidRPr="00AE220F">
              <w:rPr>
                <w:sz w:val="20"/>
              </w:rPr>
              <w:t>9.2</w:t>
            </w:r>
          </w:p>
        </w:tc>
        <w:tc>
          <w:tcPr>
            <w:tcW w:w="1243" w:type="dxa"/>
          </w:tcPr>
          <w:p w14:paraId="2594A229" w14:textId="77777777" w:rsidR="00B02873" w:rsidRPr="00AE220F" w:rsidRDefault="00B02873" w:rsidP="00AE220F">
            <w:pPr>
              <w:pStyle w:val="TablebodyleftTables"/>
              <w:spacing w:before="20" w:after="20" w:line="240" w:lineRule="auto"/>
              <w:jc w:val="right"/>
              <w:rPr>
                <w:b/>
                <w:bCs/>
                <w:sz w:val="20"/>
              </w:rPr>
            </w:pPr>
            <w:r w:rsidRPr="00AE220F">
              <w:rPr>
                <w:b/>
                <w:bCs/>
                <w:sz w:val="20"/>
              </w:rPr>
              <w:t>91,055</w:t>
            </w:r>
          </w:p>
        </w:tc>
        <w:tc>
          <w:tcPr>
            <w:tcW w:w="1276" w:type="dxa"/>
          </w:tcPr>
          <w:p w14:paraId="521DB96A" w14:textId="77777777" w:rsidR="00B02873" w:rsidRPr="00AE220F" w:rsidRDefault="00B02873" w:rsidP="00AE220F">
            <w:pPr>
              <w:pStyle w:val="TablebodyleftTables"/>
              <w:spacing w:before="20" w:after="20" w:line="240" w:lineRule="auto"/>
              <w:jc w:val="right"/>
              <w:rPr>
                <w:sz w:val="20"/>
              </w:rPr>
            </w:pPr>
            <w:r w:rsidRPr="00AE220F">
              <w:rPr>
                <w:sz w:val="20"/>
              </w:rPr>
              <w:t>872,624</w:t>
            </w:r>
          </w:p>
        </w:tc>
      </w:tr>
      <w:tr w:rsidR="00B02873" w:rsidRPr="00AE220F" w14:paraId="2F526014" w14:textId="77777777" w:rsidTr="00AE220F">
        <w:tc>
          <w:tcPr>
            <w:tcW w:w="6232" w:type="dxa"/>
          </w:tcPr>
          <w:p w14:paraId="2BB9855B" w14:textId="77777777" w:rsidR="00B02873" w:rsidRPr="00AE220F" w:rsidRDefault="00B02873" w:rsidP="00AE220F">
            <w:pPr>
              <w:pStyle w:val="TablebodyleftTables"/>
              <w:spacing w:before="20" w:after="20" w:line="240" w:lineRule="auto"/>
              <w:rPr>
                <w:sz w:val="20"/>
              </w:rPr>
            </w:pPr>
            <w:r w:rsidRPr="00AE220F">
              <w:rPr>
                <w:sz w:val="20"/>
              </w:rPr>
              <w:t>Net gain/(loss) on financial instruments</w:t>
            </w:r>
          </w:p>
        </w:tc>
        <w:tc>
          <w:tcPr>
            <w:tcW w:w="1134" w:type="dxa"/>
          </w:tcPr>
          <w:p w14:paraId="073DCD87" w14:textId="77777777" w:rsidR="00B02873" w:rsidRPr="00AE220F" w:rsidRDefault="00B02873" w:rsidP="00AE220F">
            <w:pPr>
              <w:pStyle w:val="TablebodyleftTables"/>
              <w:spacing w:before="20" w:after="20" w:line="240" w:lineRule="auto"/>
              <w:rPr>
                <w:sz w:val="20"/>
              </w:rPr>
            </w:pPr>
            <w:r w:rsidRPr="00AE220F">
              <w:rPr>
                <w:sz w:val="20"/>
              </w:rPr>
              <w:t>9.2</w:t>
            </w:r>
          </w:p>
        </w:tc>
        <w:tc>
          <w:tcPr>
            <w:tcW w:w="1243" w:type="dxa"/>
          </w:tcPr>
          <w:p w14:paraId="690262DF" w14:textId="77777777" w:rsidR="00B02873" w:rsidRPr="00AE220F" w:rsidRDefault="00B02873" w:rsidP="00AE220F">
            <w:pPr>
              <w:pStyle w:val="TablebodyleftTables"/>
              <w:spacing w:before="20" w:after="20" w:line="240" w:lineRule="auto"/>
              <w:jc w:val="right"/>
              <w:rPr>
                <w:b/>
                <w:bCs/>
                <w:sz w:val="20"/>
              </w:rPr>
            </w:pPr>
            <w:r w:rsidRPr="00AE220F">
              <w:rPr>
                <w:b/>
                <w:bCs/>
                <w:sz w:val="20"/>
              </w:rPr>
              <w:t>381,066</w:t>
            </w:r>
          </w:p>
        </w:tc>
        <w:tc>
          <w:tcPr>
            <w:tcW w:w="1276" w:type="dxa"/>
          </w:tcPr>
          <w:p w14:paraId="1B97F302" w14:textId="77777777" w:rsidR="00B02873" w:rsidRPr="00AE220F" w:rsidRDefault="00B02873" w:rsidP="00AE220F">
            <w:pPr>
              <w:pStyle w:val="TablebodyleftTables"/>
              <w:spacing w:before="20" w:after="20" w:line="240" w:lineRule="auto"/>
              <w:jc w:val="right"/>
              <w:rPr>
                <w:sz w:val="20"/>
              </w:rPr>
            </w:pPr>
            <w:r w:rsidRPr="00AE220F">
              <w:rPr>
                <w:sz w:val="20"/>
              </w:rPr>
              <w:t>(88,808)</w:t>
            </w:r>
          </w:p>
        </w:tc>
      </w:tr>
      <w:tr w:rsidR="00B02873" w:rsidRPr="00AE220F" w14:paraId="16C8D529" w14:textId="77777777" w:rsidTr="00AE220F">
        <w:tc>
          <w:tcPr>
            <w:tcW w:w="6232" w:type="dxa"/>
          </w:tcPr>
          <w:p w14:paraId="063CBCA1" w14:textId="77777777" w:rsidR="00B02873" w:rsidRPr="00AE220F" w:rsidRDefault="00B02873" w:rsidP="00AE220F">
            <w:pPr>
              <w:pStyle w:val="TablebodyleftTables"/>
              <w:spacing w:before="20" w:after="20" w:line="240" w:lineRule="auto"/>
              <w:rPr>
                <w:sz w:val="20"/>
              </w:rPr>
            </w:pPr>
            <w:r w:rsidRPr="00AE220F">
              <w:rPr>
                <w:sz w:val="20"/>
              </w:rPr>
              <w:t>Other gains from other economic flows</w:t>
            </w:r>
          </w:p>
        </w:tc>
        <w:tc>
          <w:tcPr>
            <w:tcW w:w="1134" w:type="dxa"/>
          </w:tcPr>
          <w:p w14:paraId="631D2C66" w14:textId="77777777" w:rsidR="00B02873" w:rsidRPr="00AE220F" w:rsidRDefault="00B02873" w:rsidP="00AE220F">
            <w:pPr>
              <w:pStyle w:val="TablebodyleftTables"/>
              <w:spacing w:before="20" w:after="20" w:line="240" w:lineRule="auto"/>
              <w:rPr>
                <w:sz w:val="20"/>
              </w:rPr>
            </w:pPr>
            <w:r w:rsidRPr="00AE220F">
              <w:rPr>
                <w:sz w:val="20"/>
              </w:rPr>
              <w:t>9.2</w:t>
            </w:r>
          </w:p>
        </w:tc>
        <w:tc>
          <w:tcPr>
            <w:tcW w:w="1243" w:type="dxa"/>
          </w:tcPr>
          <w:p w14:paraId="713D42EE" w14:textId="77777777" w:rsidR="00B02873" w:rsidRPr="00AE220F" w:rsidRDefault="00B02873" w:rsidP="00AE220F">
            <w:pPr>
              <w:pStyle w:val="TablebodyleftTables"/>
              <w:spacing w:before="20" w:after="20" w:line="240" w:lineRule="auto"/>
              <w:jc w:val="right"/>
              <w:rPr>
                <w:b/>
                <w:bCs/>
                <w:sz w:val="20"/>
              </w:rPr>
            </w:pPr>
            <w:r w:rsidRPr="00AE220F">
              <w:rPr>
                <w:b/>
                <w:bCs/>
                <w:sz w:val="20"/>
              </w:rPr>
              <w:t>9,806</w:t>
            </w:r>
          </w:p>
        </w:tc>
        <w:tc>
          <w:tcPr>
            <w:tcW w:w="1276" w:type="dxa"/>
          </w:tcPr>
          <w:p w14:paraId="563DAAA8" w14:textId="77777777" w:rsidR="00B02873" w:rsidRPr="00AE220F" w:rsidRDefault="00B02873" w:rsidP="00AE220F">
            <w:pPr>
              <w:pStyle w:val="TablebodyleftTables"/>
              <w:spacing w:before="20" w:after="20" w:line="240" w:lineRule="auto"/>
              <w:jc w:val="right"/>
              <w:rPr>
                <w:sz w:val="20"/>
              </w:rPr>
            </w:pPr>
            <w:r w:rsidRPr="00AE220F">
              <w:rPr>
                <w:sz w:val="20"/>
              </w:rPr>
              <w:t>12,762</w:t>
            </w:r>
          </w:p>
        </w:tc>
      </w:tr>
      <w:tr w:rsidR="00B02873" w:rsidRPr="00AE220F" w14:paraId="70D68C1C" w14:textId="77777777" w:rsidTr="00AE220F">
        <w:tc>
          <w:tcPr>
            <w:tcW w:w="6232" w:type="dxa"/>
          </w:tcPr>
          <w:p w14:paraId="31A64F7A" w14:textId="77777777" w:rsidR="00B02873" w:rsidRPr="00AE220F" w:rsidRDefault="00B02873" w:rsidP="00AE220F">
            <w:pPr>
              <w:pStyle w:val="TablebodyleftTables"/>
              <w:spacing w:before="20" w:after="20" w:line="240" w:lineRule="auto"/>
              <w:rPr>
                <w:rFonts w:asciiTheme="minorHAnsi" w:hAnsiTheme="minorHAnsi" w:cstheme="minorHAnsi"/>
                <w:b/>
                <w:bCs/>
                <w:sz w:val="20"/>
              </w:rPr>
            </w:pPr>
            <w:r w:rsidRPr="00AE220F">
              <w:rPr>
                <w:rFonts w:asciiTheme="minorHAnsi" w:hAnsiTheme="minorHAnsi" w:cstheme="minorHAnsi"/>
                <w:b/>
                <w:bCs/>
                <w:sz w:val="20"/>
              </w:rPr>
              <w:t>Total other economic flows included in net result</w:t>
            </w:r>
          </w:p>
        </w:tc>
        <w:tc>
          <w:tcPr>
            <w:tcW w:w="1134" w:type="dxa"/>
          </w:tcPr>
          <w:p w14:paraId="5443BD08" w14:textId="77777777" w:rsidR="00B02873" w:rsidRPr="00AE220F" w:rsidRDefault="00B02873" w:rsidP="00AE220F">
            <w:pPr>
              <w:pStyle w:val="TablebodyleftTables"/>
              <w:spacing w:before="20" w:after="20" w:line="240" w:lineRule="auto"/>
              <w:rPr>
                <w:rFonts w:asciiTheme="minorHAnsi" w:hAnsiTheme="minorHAnsi" w:cstheme="minorHAnsi"/>
                <w:b/>
                <w:bCs/>
                <w:sz w:val="20"/>
              </w:rPr>
            </w:pPr>
          </w:p>
        </w:tc>
        <w:tc>
          <w:tcPr>
            <w:tcW w:w="1243" w:type="dxa"/>
          </w:tcPr>
          <w:p w14:paraId="45B7C136" w14:textId="77777777" w:rsidR="00B02873" w:rsidRPr="00AE220F" w:rsidRDefault="00B02873" w:rsidP="00AE220F">
            <w:pPr>
              <w:pStyle w:val="TablebodyleftTables"/>
              <w:spacing w:before="20" w:after="20" w:line="240" w:lineRule="auto"/>
              <w:jc w:val="right"/>
              <w:rPr>
                <w:rFonts w:asciiTheme="minorHAnsi" w:hAnsiTheme="minorHAnsi" w:cstheme="minorHAnsi"/>
                <w:b/>
                <w:bCs/>
                <w:sz w:val="20"/>
              </w:rPr>
            </w:pPr>
            <w:r w:rsidRPr="00AE220F">
              <w:rPr>
                <w:rFonts w:asciiTheme="minorHAnsi" w:hAnsiTheme="minorHAnsi" w:cstheme="minorHAnsi"/>
                <w:b/>
                <w:bCs/>
                <w:sz w:val="20"/>
              </w:rPr>
              <w:t>481,927</w:t>
            </w:r>
          </w:p>
        </w:tc>
        <w:tc>
          <w:tcPr>
            <w:tcW w:w="1276" w:type="dxa"/>
          </w:tcPr>
          <w:p w14:paraId="357BFE46" w14:textId="77777777" w:rsidR="00B02873" w:rsidRPr="00AE220F" w:rsidRDefault="00B02873" w:rsidP="00AE220F">
            <w:pPr>
              <w:pStyle w:val="TablebodyleftTables"/>
              <w:spacing w:before="20" w:after="20" w:line="240" w:lineRule="auto"/>
              <w:jc w:val="right"/>
              <w:rPr>
                <w:rFonts w:asciiTheme="minorHAnsi" w:hAnsiTheme="minorHAnsi" w:cstheme="minorHAnsi"/>
                <w:b/>
                <w:bCs/>
                <w:sz w:val="20"/>
              </w:rPr>
            </w:pPr>
            <w:r w:rsidRPr="00AE220F">
              <w:rPr>
                <w:rFonts w:asciiTheme="minorHAnsi" w:hAnsiTheme="minorHAnsi" w:cstheme="minorHAnsi"/>
                <w:b/>
                <w:bCs/>
                <w:sz w:val="20"/>
              </w:rPr>
              <w:t>796,578</w:t>
            </w:r>
          </w:p>
        </w:tc>
      </w:tr>
      <w:tr w:rsidR="00B02873" w:rsidRPr="00AE220F" w14:paraId="078BFA47" w14:textId="77777777" w:rsidTr="00AE220F">
        <w:tc>
          <w:tcPr>
            <w:tcW w:w="6232" w:type="dxa"/>
          </w:tcPr>
          <w:p w14:paraId="71C9EF5A" w14:textId="77777777" w:rsidR="00B02873" w:rsidRPr="00AE220F" w:rsidRDefault="00B02873" w:rsidP="00AE220F">
            <w:pPr>
              <w:pStyle w:val="TablebodyleftTables"/>
              <w:spacing w:before="20" w:after="20" w:line="240" w:lineRule="auto"/>
              <w:rPr>
                <w:rFonts w:asciiTheme="minorHAnsi" w:hAnsiTheme="minorHAnsi" w:cstheme="minorHAnsi"/>
                <w:b/>
                <w:bCs/>
                <w:sz w:val="20"/>
              </w:rPr>
            </w:pPr>
            <w:r w:rsidRPr="00AE220F">
              <w:rPr>
                <w:rFonts w:asciiTheme="minorHAnsi" w:hAnsiTheme="minorHAnsi" w:cstheme="minorHAnsi"/>
                <w:b/>
                <w:bCs/>
                <w:sz w:val="20"/>
              </w:rPr>
              <w:t xml:space="preserve">Net result </w:t>
            </w:r>
          </w:p>
        </w:tc>
        <w:tc>
          <w:tcPr>
            <w:tcW w:w="1134" w:type="dxa"/>
          </w:tcPr>
          <w:p w14:paraId="6AF04029" w14:textId="77777777" w:rsidR="00B02873" w:rsidRPr="00AE220F" w:rsidRDefault="00B02873" w:rsidP="00AE220F">
            <w:pPr>
              <w:pStyle w:val="TablebodyleftTables"/>
              <w:spacing w:before="20" w:after="20" w:line="240" w:lineRule="auto"/>
              <w:rPr>
                <w:rFonts w:asciiTheme="minorHAnsi" w:hAnsiTheme="minorHAnsi" w:cstheme="minorHAnsi"/>
                <w:b/>
                <w:bCs/>
                <w:sz w:val="20"/>
              </w:rPr>
            </w:pPr>
          </w:p>
        </w:tc>
        <w:tc>
          <w:tcPr>
            <w:tcW w:w="1243" w:type="dxa"/>
          </w:tcPr>
          <w:p w14:paraId="1DDA5776" w14:textId="77777777" w:rsidR="00B02873" w:rsidRPr="00AE220F" w:rsidRDefault="00B02873" w:rsidP="00AE220F">
            <w:pPr>
              <w:pStyle w:val="TablebodyleftTables"/>
              <w:spacing w:before="20" w:after="20" w:line="240" w:lineRule="auto"/>
              <w:jc w:val="right"/>
              <w:rPr>
                <w:rFonts w:asciiTheme="minorHAnsi" w:hAnsiTheme="minorHAnsi" w:cstheme="minorHAnsi"/>
                <w:b/>
                <w:bCs/>
                <w:sz w:val="20"/>
              </w:rPr>
            </w:pPr>
            <w:r w:rsidRPr="00AE220F">
              <w:rPr>
                <w:rFonts w:asciiTheme="minorHAnsi" w:hAnsiTheme="minorHAnsi" w:cstheme="minorHAnsi"/>
                <w:b/>
                <w:bCs/>
                <w:sz w:val="20"/>
              </w:rPr>
              <w:t>613,586</w:t>
            </w:r>
          </w:p>
        </w:tc>
        <w:tc>
          <w:tcPr>
            <w:tcW w:w="1276" w:type="dxa"/>
          </w:tcPr>
          <w:p w14:paraId="5C5A195D" w14:textId="77777777" w:rsidR="00B02873" w:rsidRPr="00AE220F" w:rsidRDefault="00B02873" w:rsidP="00AE220F">
            <w:pPr>
              <w:pStyle w:val="TablebodyleftTables"/>
              <w:spacing w:before="20" w:after="20" w:line="240" w:lineRule="auto"/>
              <w:jc w:val="right"/>
              <w:rPr>
                <w:rFonts w:asciiTheme="minorHAnsi" w:hAnsiTheme="minorHAnsi" w:cstheme="minorHAnsi"/>
                <w:b/>
                <w:bCs/>
                <w:sz w:val="20"/>
              </w:rPr>
            </w:pPr>
            <w:r w:rsidRPr="00AE220F">
              <w:rPr>
                <w:rFonts w:asciiTheme="minorHAnsi" w:hAnsiTheme="minorHAnsi" w:cstheme="minorHAnsi"/>
                <w:b/>
                <w:bCs/>
                <w:sz w:val="20"/>
              </w:rPr>
              <w:t>769,765</w:t>
            </w:r>
          </w:p>
        </w:tc>
      </w:tr>
      <w:tr w:rsidR="00B02873" w:rsidRPr="00AE220F" w14:paraId="5D7CFF9B" w14:textId="77777777" w:rsidTr="00AE220F">
        <w:tc>
          <w:tcPr>
            <w:tcW w:w="6232" w:type="dxa"/>
          </w:tcPr>
          <w:p w14:paraId="200D2214" w14:textId="77777777" w:rsidR="00B02873" w:rsidRPr="00AE220F" w:rsidRDefault="00B02873" w:rsidP="00AE220F">
            <w:pPr>
              <w:pStyle w:val="TablebodyleftTables"/>
              <w:spacing w:before="20" w:after="20" w:line="240" w:lineRule="auto"/>
              <w:rPr>
                <w:rFonts w:asciiTheme="minorHAnsi" w:hAnsiTheme="minorHAnsi" w:cstheme="minorHAnsi"/>
                <w:b/>
                <w:bCs/>
                <w:sz w:val="20"/>
              </w:rPr>
            </w:pPr>
            <w:r w:rsidRPr="00AE220F">
              <w:rPr>
                <w:rFonts w:asciiTheme="minorHAnsi" w:hAnsiTheme="minorHAnsi" w:cstheme="minorHAnsi"/>
                <w:b/>
                <w:bCs/>
                <w:sz w:val="20"/>
              </w:rPr>
              <w:t>Other economic flows – other comprehensive income</w:t>
            </w:r>
          </w:p>
        </w:tc>
        <w:tc>
          <w:tcPr>
            <w:tcW w:w="1134" w:type="dxa"/>
          </w:tcPr>
          <w:p w14:paraId="32E11A28" w14:textId="77777777" w:rsidR="00B02873" w:rsidRPr="00AE220F" w:rsidRDefault="00B02873" w:rsidP="00AE220F">
            <w:pPr>
              <w:pStyle w:val="TablebodyleftTables"/>
              <w:spacing w:before="20" w:after="20" w:line="240" w:lineRule="auto"/>
              <w:rPr>
                <w:rFonts w:asciiTheme="minorHAnsi" w:hAnsiTheme="minorHAnsi" w:cstheme="minorHAnsi"/>
                <w:b/>
                <w:bCs/>
                <w:sz w:val="20"/>
              </w:rPr>
            </w:pPr>
          </w:p>
        </w:tc>
        <w:tc>
          <w:tcPr>
            <w:tcW w:w="1243" w:type="dxa"/>
          </w:tcPr>
          <w:p w14:paraId="00B52F8D" w14:textId="77777777" w:rsidR="00B02873" w:rsidRPr="00AE220F" w:rsidRDefault="00B02873" w:rsidP="00AE220F">
            <w:pPr>
              <w:pStyle w:val="TablebodyleftTables"/>
              <w:spacing w:before="20" w:after="20" w:line="240" w:lineRule="auto"/>
              <w:jc w:val="right"/>
              <w:rPr>
                <w:rFonts w:asciiTheme="minorHAnsi" w:hAnsiTheme="minorHAnsi" w:cstheme="minorHAnsi"/>
                <w:b/>
                <w:bCs/>
                <w:sz w:val="20"/>
              </w:rPr>
            </w:pPr>
          </w:p>
        </w:tc>
        <w:tc>
          <w:tcPr>
            <w:tcW w:w="1276" w:type="dxa"/>
          </w:tcPr>
          <w:p w14:paraId="41EDDE7C" w14:textId="77777777" w:rsidR="00B02873" w:rsidRPr="00AE220F" w:rsidRDefault="00B02873" w:rsidP="00AE220F">
            <w:pPr>
              <w:pStyle w:val="TablebodyleftTables"/>
              <w:spacing w:before="20" w:after="20" w:line="240" w:lineRule="auto"/>
              <w:jc w:val="right"/>
              <w:rPr>
                <w:rFonts w:asciiTheme="minorHAnsi" w:hAnsiTheme="minorHAnsi" w:cstheme="minorHAnsi"/>
                <w:b/>
                <w:bCs/>
                <w:sz w:val="20"/>
              </w:rPr>
            </w:pPr>
          </w:p>
        </w:tc>
      </w:tr>
      <w:tr w:rsidR="00B02873" w:rsidRPr="00AE220F" w14:paraId="3F777D2F" w14:textId="77777777" w:rsidTr="00AE220F">
        <w:tc>
          <w:tcPr>
            <w:tcW w:w="6232" w:type="dxa"/>
          </w:tcPr>
          <w:p w14:paraId="1F66CA55" w14:textId="77777777" w:rsidR="00B02873" w:rsidRPr="00AE220F" w:rsidRDefault="00B02873" w:rsidP="00AE220F">
            <w:pPr>
              <w:pStyle w:val="TablebodyleftTables"/>
              <w:spacing w:before="20" w:after="20" w:line="240" w:lineRule="auto"/>
              <w:rPr>
                <w:rFonts w:asciiTheme="minorHAnsi" w:hAnsiTheme="minorHAnsi" w:cstheme="minorHAnsi"/>
                <w:b/>
                <w:bCs/>
                <w:sz w:val="20"/>
              </w:rPr>
            </w:pPr>
            <w:r w:rsidRPr="00AE220F">
              <w:rPr>
                <w:rFonts w:asciiTheme="minorHAnsi" w:hAnsiTheme="minorHAnsi" w:cstheme="minorHAnsi"/>
                <w:b/>
                <w:bCs/>
                <w:sz w:val="20"/>
              </w:rPr>
              <w:t>Items that will not be classified to net result</w:t>
            </w:r>
          </w:p>
        </w:tc>
        <w:tc>
          <w:tcPr>
            <w:tcW w:w="1134" w:type="dxa"/>
          </w:tcPr>
          <w:p w14:paraId="456CDD5E" w14:textId="77777777" w:rsidR="00B02873" w:rsidRPr="00AE220F" w:rsidRDefault="00B02873" w:rsidP="00AE220F">
            <w:pPr>
              <w:pStyle w:val="TablebodyleftTables"/>
              <w:spacing w:before="20" w:after="20" w:line="240" w:lineRule="auto"/>
              <w:rPr>
                <w:rFonts w:asciiTheme="minorHAnsi" w:hAnsiTheme="minorHAnsi" w:cstheme="minorHAnsi"/>
                <w:b/>
                <w:bCs/>
                <w:sz w:val="20"/>
              </w:rPr>
            </w:pPr>
          </w:p>
        </w:tc>
        <w:tc>
          <w:tcPr>
            <w:tcW w:w="1243" w:type="dxa"/>
          </w:tcPr>
          <w:p w14:paraId="7C754BB7" w14:textId="77777777" w:rsidR="00B02873" w:rsidRPr="00AE220F" w:rsidRDefault="00B02873" w:rsidP="00AE220F">
            <w:pPr>
              <w:pStyle w:val="TablebodyleftTables"/>
              <w:spacing w:before="20" w:after="20" w:line="240" w:lineRule="auto"/>
              <w:jc w:val="right"/>
              <w:rPr>
                <w:rFonts w:asciiTheme="minorHAnsi" w:hAnsiTheme="minorHAnsi" w:cstheme="minorHAnsi"/>
                <w:b/>
                <w:bCs/>
                <w:sz w:val="20"/>
              </w:rPr>
            </w:pPr>
          </w:p>
        </w:tc>
        <w:tc>
          <w:tcPr>
            <w:tcW w:w="1276" w:type="dxa"/>
          </w:tcPr>
          <w:p w14:paraId="3AE6B340" w14:textId="77777777" w:rsidR="00B02873" w:rsidRPr="00AE220F" w:rsidRDefault="00B02873" w:rsidP="00AE220F">
            <w:pPr>
              <w:pStyle w:val="TablebodyleftTables"/>
              <w:spacing w:before="20" w:after="20" w:line="240" w:lineRule="auto"/>
              <w:jc w:val="right"/>
              <w:rPr>
                <w:rFonts w:asciiTheme="minorHAnsi" w:hAnsiTheme="minorHAnsi" w:cstheme="minorHAnsi"/>
                <w:b/>
                <w:bCs/>
                <w:sz w:val="20"/>
              </w:rPr>
            </w:pPr>
          </w:p>
        </w:tc>
      </w:tr>
      <w:tr w:rsidR="00B02873" w:rsidRPr="00AE220F" w14:paraId="0CF2CBF0" w14:textId="77777777" w:rsidTr="00AE220F">
        <w:tc>
          <w:tcPr>
            <w:tcW w:w="6232" w:type="dxa"/>
          </w:tcPr>
          <w:p w14:paraId="660A533B" w14:textId="77777777" w:rsidR="00B02873" w:rsidRPr="00AE220F" w:rsidRDefault="00B02873" w:rsidP="00AE220F">
            <w:pPr>
              <w:pStyle w:val="TablebodyleftTables"/>
              <w:spacing w:before="20" w:after="20" w:line="240" w:lineRule="auto"/>
              <w:rPr>
                <w:rFonts w:asciiTheme="minorHAnsi" w:hAnsiTheme="minorHAnsi" w:cstheme="minorHAnsi"/>
                <w:sz w:val="20"/>
              </w:rPr>
            </w:pPr>
            <w:r w:rsidRPr="00AE220F">
              <w:rPr>
                <w:rFonts w:asciiTheme="minorHAnsi" w:hAnsiTheme="minorHAnsi" w:cstheme="minorHAnsi"/>
                <w:sz w:val="20"/>
              </w:rPr>
              <w:t>Net change in physical asset revaluation surplus</w:t>
            </w:r>
          </w:p>
        </w:tc>
        <w:tc>
          <w:tcPr>
            <w:tcW w:w="1134" w:type="dxa"/>
          </w:tcPr>
          <w:p w14:paraId="3527F280" w14:textId="77777777" w:rsidR="00B02873" w:rsidRPr="00AE220F" w:rsidRDefault="00B02873" w:rsidP="00AE220F">
            <w:pPr>
              <w:pStyle w:val="TablebodyleftTables"/>
              <w:spacing w:before="20" w:after="20" w:line="240" w:lineRule="auto"/>
              <w:rPr>
                <w:rFonts w:asciiTheme="minorHAnsi" w:hAnsiTheme="minorHAnsi" w:cstheme="minorHAnsi"/>
                <w:sz w:val="20"/>
              </w:rPr>
            </w:pPr>
            <w:r w:rsidRPr="00AE220F">
              <w:rPr>
                <w:rFonts w:asciiTheme="minorHAnsi" w:hAnsiTheme="minorHAnsi" w:cstheme="minorHAnsi"/>
                <w:sz w:val="20"/>
              </w:rPr>
              <w:t>9.3.1</w:t>
            </w:r>
          </w:p>
        </w:tc>
        <w:tc>
          <w:tcPr>
            <w:tcW w:w="1243" w:type="dxa"/>
          </w:tcPr>
          <w:p w14:paraId="588ED9D6" w14:textId="77777777" w:rsidR="00B02873" w:rsidRPr="00AE220F" w:rsidRDefault="00B02873" w:rsidP="00AE220F">
            <w:pPr>
              <w:pStyle w:val="TablebodyleftTables"/>
              <w:spacing w:before="20" w:after="20" w:line="240" w:lineRule="auto"/>
              <w:jc w:val="right"/>
              <w:rPr>
                <w:rFonts w:asciiTheme="minorHAnsi" w:hAnsiTheme="minorHAnsi" w:cstheme="minorHAnsi"/>
                <w:b/>
                <w:bCs/>
                <w:sz w:val="20"/>
              </w:rPr>
            </w:pPr>
            <w:r w:rsidRPr="00AE220F">
              <w:rPr>
                <w:rFonts w:asciiTheme="minorHAnsi" w:hAnsiTheme="minorHAnsi" w:cstheme="minorHAnsi"/>
                <w:b/>
                <w:bCs/>
                <w:sz w:val="20"/>
              </w:rPr>
              <w:t>1,050,979</w:t>
            </w:r>
          </w:p>
        </w:tc>
        <w:tc>
          <w:tcPr>
            <w:tcW w:w="1276" w:type="dxa"/>
          </w:tcPr>
          <w:p w14:paraId="7B47CF90" w14:textId="77777777" w:rsidR="00B02873" w:rsidRPr="00AE220F" w:rsidRDefault="00B02873" w:rsidP="00AE220F">
            <w:pPr>
              <w:pStyle w:val="TablebodyleftTables"/>
              <w:spacing w:before="20" w:after="20" w:line="240" w:lineRule="auto"/>
              <w:jc w:val="right"/>
              <w:rPr>
                <w:rFonts w:asciiTheme="minorHAnsi" w:hAnsiTheme="minorHAnsi" w:cstheme="minorHAnsi"/>
                <w:sz w:val="20"/>
              </w:rPr>
            </w:pPr>
            <w:r w:rsidRPr="00AE220F">
              <w:rPr>
                <w:rFonts w:asciiTheme="minorHAnsi" w:hAnsiTheme="minorHAnsi" w:cstheme="minorHAnsi"/>
                <w:sz w:val="20"/>
              </w:rPr>
              <w:t>702,045</w:t>
            </w:r>
          </w:p>
        </w:tc>
      </w:tr>
      <w:tr w:rsidR="00B02873" w:rsidRPr="00AE220F" w14:paraId="012EB46E" w14:textId="77777777" w:rsidTr="00AE220F">
        <w:tc>
          <w:tcPr>
            <w:tcW w:w="6232" w:type="dxa"/>
          </w:tcPr>
          <w:p w14:paraId="59867D25" w14:textId="77777777" w:rsidR="00B02873" w:rsidRPr="00AE220F" w:rsidRDefault="00B02873" w:rsidP="00AE220F">
            <w:pPr>
              <w:pStyle w:val="TablebodyleftTables"/>
              <w:spacing w:before="20" w:after="20" w:line="240" w:lineRule="auto"/>
              <w:rPr>
                <w:rFonts w:asciiTheme="minorHAnsi" w:hAnsiTheme="minorHAnsi" w:cstheme="minorHAnsi"/>
                <w:b/>
                <w:bCs/>
                <w:sz w:val="20"/>
              </w:rPr>
            </w:pPr>
            <w:r w:rsidRPr="00AE220F">
              <w:rPr>
                <w:rFonts w:asciiTheme="minorHAnsi" w:hAnsiTheme="minorHAnsi" w:cstheme="minorHAnsi"/>
                <w:b/>
                <w:bCs/>
                <w:sz w:val="20"/>
              </w:rPr>
              <w:t>Total other economic flows – other comprehensive income</w:t>
            </w:r>
          </w:p>
        </w:tc>
        <w:tc>
          <w:tcPr>
            <w:tcW w:w="1134" w:type="dxa"/>
          </w:tcPr>
          <w:p w14:paraId="177BCECF" w14:textId="77777777" w:rsidR="00B02873" w:rsidRPr="00AE220F" w:rsidRDefault="00B02873" w:rsidP="00AE220F">
            <w:pPr>
              <w:pStyle w:val="TablebodyleftTables"/>
              <w:spacing w:before="20" w:after="20" w:line="240" w:lineRule="auto"/>
              <w:rPr>
                <w:rFonts w:asciiTheme="minorHAnsi" w:hAnsiTheme="minorHAnsi" w:cstheme="minorHAnsi"/>
                <w:b/>
                <w:bCs/>
                <w:sz w:val="20"/>
              </w:rPr>
            </w:pPr>
          </w:p>
        </w:tc>
        <w:tc>
          <w:tcPr>
            <w:tcW w:w="1243" w:type="dxa"/>
          </w:tcPr>
          <w:p w14:paraId="03B990ED" w14:textId="77777777" w:rsidR="00B02873" w:rsidRPr="00AE220F" w:rsidRDefault="00B02873" w:rsidP="00AE220F">
            <w:pPr>
              <w:pStyle w:val="TablebodyleftTables"/>
              <w:spacing w:before="20" w:after="20" w:line="240" w:lineRule="auto"/>
              <w:jc w:val="right"/>
              <w:rPr>
                <w:rFonts w:asciiTheme="minorHAnsi" w:hAnsiTheme="minorHAnsi" w:cstheme="minorHAnsi"/>
                <w:b/>
                <w:bCs/>
                <w:sz w:val="20"/>
              </w:rPr>
            </w:pPr>
            <w:r w:rsidRPr="00AE220F">
              <w:rPr>
                <w:rFonts w:asciiTheme="minorHAnsi" w:hAnsiTheme="minorHAnsi" w:cstheme="minorHAnsi"/>
                <w:b/>
                <w:bCs/>
                <w:sz w:val="20"/>
              </w:rPr>
              <w:t>1,050,979</w:t>
            </w:r>
          </w:p>
        </w:tc>
        <w:tc>
          <w:tcPr>
            <w:tcW w:w="1276" w:type="dxa"/>
          </w:tcPr>
          <w:p w14:paraId="00F990A5" w14:textId="77777777" w:rsidR="00B02873" w:rsidRPr="00AE220F" w:rsidRDefault="00B02873" w:rsidP="00AE220F">
            <w:pPr>
              <w:pStyle w:val="TablebodyleftTables"/>
              <w:spacing w:before="20" w:after="20" w:line="240" w:lineRule="auto"/>
              <w:jc w:val="right"/>
              <w:rPr>
                <w:rFonts w:asciiTheme="minorHAnsi" w:hAnsiTheme="minorHAnsi" w:cstheme="minorHAnsi"/>
                <w:b/>
                <w:bCs/>
                <w:sz w:val="20"/>
              </w:rPr>
            </w:pPr>
            <w:r w:rsidRPr="00AE220F">
              <w:rPr>
                <w:rFonts w:asciiTheme="minorHAnsi" w:hAnsiTheme="minorHAnsi" w:cstheme="minorHAnsi"/>
                <w:b/>
                <w:bCs/>
                <w:sz w:val="20"/>
              </w:rPr>
              <w:t>702,045</w:t>
            </w:r>
          </w:p>
        </w:tc>
      </w:tr>
      <w:tr w:rsidR="00B02873" w:rsidRPr="00AE220F" w14:paraId="757DB7DF" w14:textId="77777777" w:rsidTr="00AE220F">
        <w:tc>
          <w:tcPr>
            <w:tcW w:w="6232" w:type="dxa"/>
          </w:tcPr>
          <w:p w14:paraId="77CC930F" w14:textId="77777777" w:rsidR="00B02873" w:rsidRPr="00AE220F" w:rsidRDefault="00B02873" w:rsidP="00AE220F">
            <w:pPr>
              <w:pStyle w:val="TablebodyleftTables"/>
              <w:spacing w:before="20" w:after="20" w:line="240" w:lineRule="auto"/>
              <w:rPr>
                <w:rFonts w:asciiTheme="minorHAnsi" w:hAnsiTheme="minorHAnsi" w:cstheme="minorHAnsi"/>
                <w:b/>
                <w:bCs/>
                <w:sz w:val="20"/>
              </w:rPr>
            </w:pPr>
            <w:r w:rsidRPr="00AE220F">
              <w:rPr>
                <w:rFonts w:asciiTheme="minorHAnsi" w:hAnsiTheme="minorHAnsi" w:cstheme="minorHAnsi"/>
                <w:b/>
                <w:bCs/>
                <w:sz w:val="20"/>
              </w:rPr>
              <w:t xml:space="preserve">Comprehensive result </w:t>
            </w:r>
          </w:p>
        </w:tc>
        <w:tc>
          <w:tcPr>
            <w:tcW w:w="1134" w:type="dxa"/>
          </w:tcPr>
          <w:p w14:paraId="7E32AD80" w14:textId="77777777" w:rsidR="00B02873" w:rsidRPr="00AE220F" w:rsidRDefault="00B02873" w:rsidP="00AE220F">
            <w:pPr>
              <w:pStyle w:val="TablebodyleftTables"/>
              <w:spacing w:before="20" w:after="20" w:line="240" w:lineRule="auto"/>
              <w:rPr>
                <w:rFonts w:asciiTheme="minorHAnsi" w:hAnsiTheme="minorHAnsi" w:cstheme="minorHAnsi"/>
                <w:b/>
                <w:bCs/>
                <w:sz w:val="20"/>
              </w:rPr>
            </w:pPr>
          </w:p>
        </w:tc>
        <w:tc>
          <w:tcPr>
            <w:tcW w:w="1243" w:type="dxa"/>
          </w:tcPr>
          <w:p w14:paraId="7937138A" w14:textId="77777777" w:rsidR="00B02873" w:rsidRPr="00AE220F" w:rsidRDefault="00B02873" w:rsidP="00AE220F">
            <w:pPr>
              <w:pStyle w:val="TablebodyleftTables"/>
              <w:spacing w:before="20" w:after="20" w:line="240" w:lineRule="auto"/>
              <w:jc w:val="right"/>
              <w:rPr>
                <w:rFonts w:asciiTheme="minorHAnsi" w:hAnsiTheme="minorHAnsi" w:cstheme="minorHAnsi"/>
                <w:b/>
                <w:bCs/>
                <w:sz w:val="20"/>
              </w:rPr>
            </w:pPr>
            <w:r w:rsidRPr="00AE220F">
              <w:rPr>
                <w:rFonts w:asciiTheme="minorHAnsi" w:hAnsiTheme="minorHAnsi" w:cstheme="minorHAnsi"/>
                <w:b/>
                <w:bCs/>
                <w:sz w:val="20"/>
              </w:rPr>
              <w:t>1,664,565</w:t>
            </w:r>
          </w:p>
        </w:tc>
        <w:tc>
          <w:tcPr>
            <w:tcW w:w="1276" w:type="dxa"/>
          </w:tcPr>
          <w:p w14:paraId="50F581B4" w14:textId="77777777" w:rsidR="00B02873" w:rsidRPr="00AE220F" w:rsidRDefault="00B02873" w:rsidP="00AE220F">
            <w:pPr>
              <w:pStyle w:val="TablebodyleftTables"/>
              <w:spacing w:before="20" w:after="20" w:line="240" w:lineRule="auto"/>
              <w:jc w:val="right"/>
              <w:rPr>
                <w:rFonts w:asciiTheme="minorHAnsi" w:hAnsiTheme="minorHAnsi" w:cstheme="minorHAnsi"/>
                <w:b/>
                <w:bCs/>
                <w:sz w:val="20"/>
              </w:rPr>
            </w:pPr>
            <w:r w:rsidRPr="00AE220F">
              <w:rPr>
                <w:rFonts w:asciiTheme="minorHAnsi" w:hAnsiTheme="minorHAnsi" w:cstheme="minorHAnsi"/>
                <w:b/>
                <w:bCs/>
                <w:sz w:val="20"/>
              </w:rPr>
              <w:t>1,471,810</w:t>
            </w:r>
          </w:p>
        </w:tc>
      </w:tr>
    </w:tbl>
    <w:p w14:paraId="7303CBE9" w14:textId="77777777" w:rsidR="00B02873" w:rsidRDefault="00B02873" w:rsidP="00FE198A"/>
    <w:p w14:paraId="73B2AB0B" w14:textId="77777777" w:rsidR="00B02873" w:rsidRDefault="00B02873" w:rsidP="00FE198A">
      <w:r>
        <w:lastRenderedPageBreak/>
        <w:t>The comprehensive operating statement should be read in conjunction with the accompanying notes to the financial statements.</w:t>
      </w:r>
    </w:p>
    <w:p w14:paraId="2858B983" w14:textId="77777777" w:rsidR="00B02873" w:rsidRPr="00187DC7" w:rsidRDefault="00B02873" w:rsidP="00AA7C60">
      <w:pPr>
        <w:pStyle w:val="SourceNote"/>
        <w:spacing w:after="120"/>
        <w:rPr>
          <w:b/>
          <w:bCs/>
        </w:rPr>
      </w:pPr>
      <w:r w:rsidRPr="00187DC7">
        <w:rPr>
          <w:b/>
          <w:bCs/>
        </w:rPr>
        <w:t>Note:</w:t>
      </w:r>
    </w:p>
    <w:p w14:paraId="6ED19B72" w14:textId="4EAA2AC3" w:rsidR="00B02873" w:rsidRDefault="00B02873" w:rsidP="001128B1">
      <w:pPr>
        <w:pStyle w:val="SourceNotenumbered"/>
        <w:numPr>
          <w:ilvl w:val="0"/>
          <w:numId w:val="74"/>
        </w:numPr>
      </w:pPr>
      <w:r>
        <w:t xml:space="preserve">This format is aligned to </w:t>
      </w:r>
      <w:r w:rsidRPr="008316E9">
        <w:rPr>
          <w:rStyle w:val="LightItalic"/>
          <w:rFonts w:asciiTheme="minorHAnsi" w:hAnsiTheme="minorHAnsi" w:cstheme="minorHAnsi"/>
        </w:rPr>
        <w:t>AASB 1049 Whole of Government and General Government Sector Financial Reporting</w:t>
      </w:r>
      <w:r>
        <w:t>.</w:t>
      </w:r>
    </w:p>
    <w:p w14:paraId="7A4561D7" w14:textId="028C4F80" w:rsidR="00B02873" w:rsidRDefault="00B02873" w:rsidP="008316E9">
      <w:pPr>
        <w:pStyle w:val="SourceNotenumbered"/>
      </w:pPr>
      <w:r>
        <w:t xml:space="preserve">From 1 July 2021, as a result of the </w:t>
      </w:r>
      <w:r w:rsidRPr="00AA7C60">
        <w:rPr>
          <w:rStyle w:val="LightItalic"/>
          <w:rFonts w:asciiTheme="minorHAnsi" w:hAnsiTheme="minorHAnsi" w:cstheme="minorHAnsi"/>
        </w:rPr>
        <w:t>Environment Protection Act 1970</w:t>
      </w:r>
      <w:r>
        <w:t xml:space="preserve"> being repealed and superseded by the </w:t>
      </w:r>
      <w:r w:rsidRPr="00AA7C60">
        <w:rPr>
          <w:rStyle w:val="LightItalic"/>
          <w:rFonts w:asciiTheme="minorHAnsi" w:hAnsiTheme="minorHAnsi" w:cstheme="minorHAnsi"/>
        </w:rPr>
        <w:t>Environment Protection Act 2017</w:t>
      </w:r>
      <w:r w:rsidRPr="00AA7C60">
        <w:t>,</w:t>
      </w:r>
      <w:r>
        <w:t xml:space="preserve"> the Municipal and Industrial Waste Levy replaced the Municipal and Industrial Landfill Levy.</w:t>
      </w:r>
    </w:p>
    <w:p w14:paraId="52C77801" w14:textId="239AE14C" w:rsidR="00B02873" w:rsidRDefault="00B02873" w:rsidP="008316E9">
      <w:pPr>
        <w:pStyle w:val="SourceNotenumbered"/>
      </w:pPr>
      <w:r>
        <w:t xml:space="preserve">Relates to the transfer of customer loan repayments under the Solar Victoria scheme to the administered entity to be remitted to the Department of Treasury and Finance. </w:t>
      </w:r>
    </w:p>
    <w:p w14:paraId="4953A4CA" w14:textId="77777777" w:rsidR="00B02873" w:rsidRDefault="00B02873" w:rsidP="00AE220F">
      <w:pPr>
        <w:pStyle w:val="Heading3"/>
        <w:rPr>
          <w:vertAlign w:val="superscript"/>
        </w:rPr>
      </w:pPr>
      <w:bookmarkStart w:id="56" w:name="_Ref117433003"/>
      <w:r>
        <w:t>Balance sheet as at 30 June 2022</w:t>
      </w:r>
      <w:r>
        <w:rPr>
          <w:vertAlign w:val="superscript"/>
        </w:rPr>
        <w:t>(i)</w:t>
      </w:r>
      <w:bookmarkEnd w:id="56"/>
    </w:p>
    <w:tbl>
      <w:tblPr>
        <w:tblStyle w:val="TableGrid"/>
        <w:tblW w:w="9747" w:type="dxa"/>
        <w:tblLayout w:type="fixed"/>
        <w:tblCellMar>
          <w:top w:w="51" w:type="dxa"/>
          <w:bottom w:w="51" w:type="dxa"/>
        </w:tblCellMar>
        <w:tblLook w:val="0020" w:firstRow="1" w:lastRow="0" w:firstColumn="0" w:lastColumn="0" w:noHBand="0" w:noVBand="0"/>
      </w:tblPr>
      <w:tblGrid>
        <w:gridCol w:w="6066"/>
        <w:gridCol w:w="1300"/>
        <w:gridCol w:w="1190"/>
        <w:gridCol w:w="1191"/>
      </w:tblGrid>
      <w:tr w:rsidR="00B02873" w:rsidRPr="00092A34" w14:paraId="4DF9F56D" w14:textId="77777777" w:rsidTr="00AA7C60">
        <w:trPr>
          <w:cnfStyle w:val="100000000000" w:firstRow="1" w:lastRow="0" w:firstColumn="0" w:lastColumn="0" w:oddVBand="0" w:evenVBand="0" w:oddHBand="0" w:evenHBand="0" w:firstRowFirstColumn="0" w:firstRowLastColumn="0" w:lastRowFirstColumn="0" w:lastRowLastColumn="0"/>
          <w:tblHeader/>
        </w:trPr>
        <w:tc>
          <w:tcPr>
            <w:tcW w:w="6066" w:type="dxa"/>
          </w:tcPr>
          <w:p w14:paraId="28E5BED6" w14:textId="77777777" w:rsidR="00B02873" w:rsidRPr="00092A34" w:rsidRDefault="00B02873" w:rsidP="009B5710">
            <w:pPr>
              <w:pStyle w:val="TableheadingleftFinancialsTables"/>
            </w:pPr>
          </w:p>
        </w:tc>
        <w:tc>
          <w:tcPr>
            <w:tcW w:w="1300" w:type="dxa"/>
          </w:tcPr>
          <w:p w14:paraId="10D6EF56" w14:textId="77777777" w:rsidR="00B02873" w:rsidRPr="00092A34" w:rsidRDefault="00B02873" w:rsidP="009B5710">
            <w:pPr>
              <w:pStyle w:val="TableheadingleftFinancialsTables"/>
            </w:pPr>
            <w:r w:rsidRPr="00092A34">
              <w:t>Notes</w:t>
            </w:r>
          </w:p>
        </w:tc>
        <w:tc>
          <w:tcPr>
            <w:tcW w:w="1190" w:type="dxa"/>
          </w:tcPr>
          <w:p w14:paraId="20A876AF" w14:textId="77777777" w:rsidR="00B02873" w:rsidRPr="00092A34" w:rsidRDefault="00B02873" w:rsidP="009B5710">
            <w:pPr>
              <w:pStyle w:val="TableheadingleftFinancialsTables"/>
            </w:pPr>
            <w:r w:rsidRPr="00092A34">
              <w:t>2022</w:t>
            </w:r>
            <w:r w:rsidRPr="00092A34">
              <w:br/>
              <w:t>$’000</w:t>
            </w:r>
          </w:p>
        </w:tc>
        <w:tc>
          <w:tcPr>
            <w:tcW w:w="1191" w:type="dxa"/>
          </w:tcPr>
          <w:p w14:paraId="79DDD324" w14:textId="77777777" w:rsidR="00B02873" w:rsidRPr="00092A34" w:rsidRDefault="00B02873" w:rsidP="009B5710">
            <w:pPr>
              <w:pStyle w:val="TableheadingleftFinancialsTables"/>
            </w:pPr>
            <w:r w:rsidRPr="00092A34">
              <w:t>2021</w:t>
            </w:r>
            <w:r w:rsidRPr="00092A34">
              <w:br/>
              <w:t>$’000</w:t>
            </w:r>
          </w:p>
        </w:tc>
      </w:tr>
      <w:tr w:rsidR="00B02873" w:rsidRPr="00092A34" w14:paraId="1B3A2BF0" w14:textId="77777777" w:rsidTr="00AA7C60">
        <w:tc>
          <w:tcPr>
            <w:tcW w:w="6066" w:type="dxa"/>
          </w:tcPr>
          <w:p w14:paraId="09493F6D" w14:textId="77777777" w:rsidR="00B02873" w:rsidRPr="00092A34" w:rsidRDefault="00B02873" w:rsidP="00092A34">
            <w:pPr>
              <w:pStyle w:val="TablebodyleftFinancialsTables"/>
              <w:rPr>
                <w:rFonts w:asciiTheme="minorHAnsi" w:hAnsiTheme="minorHAnsi" w:cstheme="minorHAnsi"/>
                <w:b/>
                <w:bCs/>
              </w:rPr>
            </w:pPr>
            <w:r w:rsidRPr="00092A34">
              <w:rPr>
                <w:rFonts w:asciiTheme="minorHAnsi" w:hAnsiTheme="minorHAnsi" w:cstheme="minorHAnsi"/>
                <w:b/>
                <w:bCs/>
              </w:rPr>
              <w:t>Assets</w:t>
            </w:r>
          </w:p>
        </w:tc>
        <w:tc>
          <w:tcPr>
            <w:tcW w:w="1300" w:type="dxa"/>
          </w:tcPr>
          <w:p w14:paraId="5A12F07E" w14:textId="77777777" w:rsidR="00B02873" w:rsidRPr="00092A34" w:rsidRDefault="00B02873" w:rsidP="00092A34">
            <w:pPr>
              <w:pStyle w:val="TablebodyleftFinancialsTables"/>
              <w:rPr>
                <w:rFonts w:asciiTheme="minorHAnsi" w:hAnsiTheme="minorHAnsi" w:cstheme="minorHAnsi"/>
                <w:b/>
                <w:bCs/>
              </w:rPr>
            </w:pPr>
          </w:p>
        </w:tc>
        <w:tc>
          <w:tcPr>
            <w:tcW w:w="1190" w:type="dxa"/>
          </w:tcPr>
          <w:p w14:paraId="23A0FEF2" w14:textId="77777777" w:rsidR="00B02873" w:rsidRPr="00092A34" w:rsidRDefault="00B02873" w:rsidP="00092A34">
            <w:pPr>
              <w:pStyle w:val="TablebodyleftFinancialsTables"/>
              <w:jc w:val="right"/>
              <w:rPr>
                <w:rFonts w:asciiTheme="minorHAnsi" w:hAnsiTheme="minorHAnsi" w:cstheme="minorHAnsi"/>
                <w:b/>
                <w:bCs/>
              </w:rPr>
            </w:pPr>
          </w:p>
        </w:tc>
        <w:tc>
          <w:tcPr>
            <w:tcW w:w="1191" w:type="dxa"/>
          </w:tcPr>
          <w:p w14:paraId="72615657" w14:textId="77777777" w:rsidR="00B02873" w:rsidRPr="00092A34" w:rsidRDefault="00B02873" w:rsidP="00092A34">
            <w:pPr>
              <w:pStyle w:val="TablebodyleftFinancialsTables"/>
              <w:jc w:val="right"/>
              <w:rPr>
                <w:rFonts w:asciiTheme="minorHAnsi" w:hAnsiTheme="minorHAnsi" w:cstheme="minorHAnsi"/>
                <w:b/>
                <w:bCs/>
              </w:rPr>
            </w:pPr>
          </w:p>
        </w:tc>
      </w:tr>
      <w:tr w:rsidR="00B02873" w:rsidRPr="00092A34" w14:paraId="0EC611D1" w14:textId="77777777" w:rsidTr="00AA7C60">
        <w:tc>
          <w:tcPr>
            <w:tcW w:w="6066" w:type="dxa"/>
          </w:tcPr>
          <w:p w14:paraId="21B4520F" w14:textId="77777777" w:rsidR="00B02873" w:rsidRPr="00092A34" w:rsidRDefault="00B02873" w:rsidP="00092A34">
            <w:pPr>
              <w:pStyle w:val="TablebodyleftFinancialsTables"/>
              <w:rPr>
                <w:rFonts w:asciiTheme="minorHAnsi" w:hAnsiTheme="minorHAnsi" w:cstheme="minorHAnsi"/>
                <w:b/>
                <w:bCs/>
              </w:rPr>
            </w:pPr>
            <w:r w:rsidRPr="00092A34">
              <w:rPr>
                <w:rFonts w:asciiTheme="minorHAnsi" w:hAnsiTheme="minorHAnsi" w:cstheme="minorHAnsi"/>
                <w:b/>
                <w:bCs/>
              </w:rPr>
              <w:t>Financial assets</w:t>
            </w:r>
          </w:p>
        </w:tc>
        <w:tc>
          <w:tcPr>
            <w:tcW w:w="1300" w:type="dxa"/>
          </w:tcPr>
          <w:p w14:paraId="1DBCC1F3" w14:textId="77777777" w:rsidR="00B02873" w:rsidRPr="00092A34" w:rsidRDefault="00B02873" w:rsidP="00092A34">
            <w:pPr>
              <w:pStyle w:val="TablebodyleftFinancialsTables"/>
              <w:rPr>
                <w:rFonts w:asciiTheme="minorHAnsi" w:hAnsiTheme="minorHAnsi" w:cstheme="minorHAnsi"/>
                <w:b/>
                <w:bCs/>
              </w:rPr>
            </w:pPr>
          </w:p>
        </w:tc>
        <w:tc>
          <w:tcPr>
            <w:tcW w:w="1190" w:type="dxa"/>
          </w:tcPr>
          <w:p w14:paraId="6D69391A" w14:textId="77777777" w:rsidR="00B02873" w:rsidRPr="00092A34" w:rsidRDefault="00B02873" w:rsidP="00092A34">
            <w:pPr>
              <w:pStyle w:val="TablebodyleftFinancialsTables"/>
              <w:jc w:val="right"/>
              <w:rPr>
                <w:rFonts w:asciiTheme="minorHAnsi" w:hAnsiTheme="minorHAnsi" w:cstheme="minorHAnsi"/>
                <w:b/>
                <w:bCs/>
              </w:rPr>
            </w:pPr>
          </w:p>
        </w:tc>
        <w:tc>
          <w:tcPr>
            <w:tcW w:w="1191" w:type="dxa"/>
          </w:tcPr>
          <w:p w14:paraId="78C092A1" w14:textId="77777777" w:rsidR="00B02873" w:rsidRPr="00092A34" w:rsidRDefault="00B02873" w:rsidP="00092A34">
            <w:pPr>
              <w:pStyle w:val="TablebodyleftFinancialsTables"/>
              <w:jc w:val="right"/>
              <w:rPr>
                <w:rFonts w:asciiTheme="minorHAnsi" w:hAnsiTheme="minorHAnsi" w:cstheme="minorHAnsi"/>
                <w:b/>
                <w:bCs/>
              </w:rPr>
            </w:pPr>
          </w:p>
        </w:tc>
      </w:tr>
      <w:tr w:rsidR="00B02873" w:rsidRPr="00092A34" w14:paraId="297B894D" w14:textId="77777777" w:rsidTr="00AA7C60">
        <w:tc>
          <w:tcPr>
            <w:tcW w:w="6066" w:type="dxa"/>
          </w:tcPr>
          <w:p w14:paraId="5FA644FB" w14:textId="77777777" w:rsidR="00B02873" w:rsidRPr="00092A34" w:rsidRDefault="00B02873" w:rsidP="00092A34">
            <w:pPr>
              <w:pStyle w:val="TablebodyleftFinancialsTables"/>
              <w:rPr>
                <w:rFonts w:asciiTheme="minorHAnsi" w:hAnsiTheme="minorHAnsi" w:cstheme="minorHAnsi"/>
              </w:rPr>
            </w:pPr>
            <w:r w:rsidRPr="00092A34">
              <w:rPr>
                <w:rFonts w:asciiTheme="minorHAnsi" w:hAnsiTheme="minorHAnsi" w:cstheme="minorHAnsi"/>
              </w:rPr>
              <w:t>Cash and cash deposits</w:t>
            </w:r>
          </w:p>
        </w:tc>
        <w:tc>
          <w:tcPr>
            <w:tcW w:w="1300" w:type="dxa"/>
          </w:tcPr>
          <w:p w14:paraId="08B14B05" w14:textId="77777777" w:rsidR="00B02873" w:rsidRPr="00092A34" w:rsidRDefault="00B02873" w:rsidP="00092A34">
            <w:pPr>
              <w:pStyle w:val="TablebodyleftFinancialsTables"/>
              <w:rPr>
                <w:rFonts w:asciiTheme="minorHAnsi" w:hAnsiTheme="minorHAnsi" w:cstheme="minorHAnsi"/>
              </w:rPr>
            </w:pPr>
            <w:r w:rsidRPr="00092A34">
              <w:rPr>
                <w:rFonts w:asciiTheme="minorHAnsi" w:hAnsiTheme="minorHAnsi" w:cstheme="minorHAnsi"/>
              </w:rPr>
              <w:t>7.1</w:t>
            </w:r>
          </w:p>
        </w:tc>
        <w:tc>
          <w:tcPr>
            <w:tcW w:w="1190" w:type="dxa"/>
          </w:tcPr>
          <w:p w14:paraId="1497BFA2" w14:textId="77777777" w:rsidR="00B02873" w:rsidRPr="00092A34" w:rsidRDefault="00B02873" w:rsidP="00092A34">
            <w:pPr>
              <w:pStyle w:val="TablebodyleftFinancialsTables"/>
              <w:jc w:val="right"/>
              <w:rPr>
                <w:rFonts w:asciiTheme="minorHAnsi" w:hAnsiTheme="minorHAnsi" w:cstheme="minorHAnsi"/>
                <w:b/>
                <w:bCs/>
              </w:rPr>
            </w:pPr>
            <w:r w:rsidRPr="00092A34">
              <w:rPr>
                <w:rFonts w:asciiTheme="minorHAnsi" w:hAnsiTheme="minorHAnsi" w:cstheme="minorHAnsi"/>
                <w:b/>
                <w:bCs/>
              </w:rPr>
              <w:t>1,281,536</w:t>
            </w:r>
          </w:p>
        </w:tc>
        <w:tc>
          <w:tcPr>
            <w:tcW w:w="1191" w:type="dxa"/>
          </w:tcPr>
          <w:p w14:paraId="1C9F61E7" w14:textId="77777777" w:rsidR="00B02873" w:rsidRPr="00092A34" w:rsidRDefault="00B02873" w:rsidP="00092A34">
            <w:pPr>
              <w:pStyle w:val="TablebodyleftFinancialsTables"/>
              <w:jc w:val="right"/>
              <w:rPr>
                <w:rFonts w:asciiTheme="minorHAnsi" w:hAnsiTheme="minorHAnsi" w:cstheme="minorHAnsi"/>
              </w:rPr>
            </w:pPr>
            <w:r w:rsidRPr="00092A34">
              <w:rPr>
                <w:rFonts w:asciiTheme="minorHAnsi" w:hAnsiTheme="minorHAnsi" w:cstheme="minorHAnsi"/>
              </w:rPr>
              <w:t>1,242,681</w:t>
            </w:r>
          </w:p>
        </w:tc>
      </w:tr>
      <w:tr w:rsidR="00B02873" w:rsidRPr="00092A34" w14:paraId="373F4B28" w14:textId="77777777" w:rsidTr="00AA7C60">
        <w:tc>
          <w:tcPr>
            <w:tcW w:w="6066" w:type="dxa"/>
          </w:tcPr>
          <w:p w14:paraId="034F1329" w14:textId="77777777" w:rsidR="00B02873" w:rsidRPr="00092A34" w:rsidRDefault="00B02873" w:rsidP="00092A34">
            <w:pPr>
              <w:pStyle w:val="TablebodyleftFinancialsTables"/>
              <w:rPr>
                <w:rFonts w:asciiTheme="minorHAnsi" w:hAnsiTheme="minorHAnsi" w:cstheme="minorHAnsi"/>
              </w:rPr>
            </w:pPr>
            <w:r w:rsidRPr="00092A34">
              <w:rPr>
                <w:rFonts w:asciiTheme="minorHAnsi" w:hAnsiTheme="minorHAnsi" w:cstheme="minorHAnsi"/>
              </w:rPr>
              <w:t>Receivables</w:t>
            </w:r>
          </w:p>
        </w:tc>
        <w:tc>
          <w:tcPr>
            <w:tcW w:w="1300" w:type="dxa"/>
          </w:tcPr>
          <w:p w14:paraId="0B9ECA9D" w14:textId="77777777" w:rsidR="00B02873" w:rsidRPr="00092A34" w:rsidRDefault="00B02873" w:rsidP="00092A34">
            <w:pPr>
              <w:pStyle w:val="TablebodyleftFinancialsTables"/>
              <w:rPr>
                <w:rFonts w:asciiTheme="minorHAnsi" w:hAnsiTheme="minorHAnsi" w:cstheme="minorHAnsi"/>
              </w:rPr>
            </w:pPr>
            <w:r w:rsidRPr="00092A34">
              <w:rPr>
                <w:rFonts w:asciiTheme="minorHAnsi" w:hAnsiTheme="minorHAnsi" w:cstheme="minorHAnsi"/>
              </w:rPr>
              <w:t>6.1</w:t>
            </w:r>
          </w:p>
        </w:tc>
        <w:tc>
          <w:tcPr>
            <w:tcW w:w="1190" w:type="dxa"/>
          </w:tcPr>
          <w:p w14:paraId="65CF9DC9" w14:textId="77777777" w:rsidR="00B02873" w:rsidRPr="00092A34" w:rsidRDefault="00B02873" w:rsidP="00092A34">
            <w:pPr>
              <w:pStyle w:val="TablebodyleftFinancialsTables"/>
              <w:jc w:val="right"/>
              <w:rPr>
                <w:rFonts w:asciiTheme="minorHAnsi" w:hAnsiTheme="minorHAnsi" w:cstheme="minorHAnsi"/>
                <w:b/>
                <w:bCs/>
              </w:rPr>
            </w:pPr>
            <w:r w:rsidRPr="00092A34">
              <w:rPr>
                <w:rFonts w:asciiTheme="minorHAnsi" w:hAnsiTheme="minorHAnsi" w:cstheme="minorHAnsi"/>
                <w:b/>
                <w:bCs/>
              </w:rPr>
              <w:t>1,104,847</w:t>
            </w:r>
          </w:p>
        </w:tc>
        <w:tc>
          <w:tcPr>
            <w:tcW w:w="1191" w:type="dxa"/>
          </w:tcPr>
          <w:p w14:paraId="68E5140E" w14:textId="77777777" w:rsidR="00B02873" w:rsidRPr="00092A34" w:rsidRDefault="00B02873" w:rsidP="00092A34">
            <w:pPr>
              <w:pStyle w:val="TablebodyleftFinancialsTables"/>
              <w:jc w:val="right"/>
              <w:rPr>
                <w:rFonts w:asciiTheme="minorHAnsi" w:hAnsiTheme="minorHAnsi" w:cstheme="minorHAnsi"/>
              </w:rPr>
            </w:pPr>
            <w:r w:rsidRPr="00092A34">
              <w:rPr>
                <w:rFonts w:asciiTheme="minorHAnsi" w:hAnsiTheme="minorHAnsi" w:cstheme="minorHAnsi"/>
              </w:rPr>
              <w:t>911,782</w:t>
            </w:r>
          </w:p>
        </w:tc>
      </w:tr>
      <w:tr w:rsidR="00B02873" w:rsidRPr="00092A34" w14:paraId="4D286B27" w14:textId="77777777" w:rsidTr="00AA7C60">
        <w:tc>
          <w:tcPr>
            <w:tcW w:w="6066" w:type="dxa"/>
          </w:tcPr>
          <w:p w14:paraId="123310DB" w14:textId="77777777" w:rsidR="00B02873" w:rsidRPr="00092A34" w:rsidRDefault="00B02873" w:rsidP="00092A34">
            <w:pPr>
              <w:pStyle w:val="TablebodyleftFinancialsTables"/>
              <w:rPr>
                <w:rFonts w:asciiTheme="minorHAnsi" w:hAnsiTheme="minorHAnsi" w:cstheme="minorHAnsi"/>
              </w:rPr>
            </w:pPr>
            <w:r w:rsidRPr="00092A34">
              <w:rPr>
                <w:rFonts w:asciiTheme="minorHAnsi" w:hAnsiTheme="minorHAnsi" w:cstheme="minorHAnsi"/>
              </w:rPr>
              <w:t>Derivative financial instruments</w:t>
            </w:r>
          </w:p>
        </w:tc>
        <w:tc>
          <w:tcPr>
            <w:tcW w:w="1300" w:type="dxa"/>
          </w:tcPr>
          <w:p w14:paraId="4C1A546F" w14:textId="77777777" w:rsidR="00B02873" w:rsidRPr="00092A34" w:rsidRDefault="00B02873" w:rsidP="00092A34">
            <w:pPr>
              <w:pStyle w:val="TablebodyleftFinancialsTables"/>
              <w:rPr>
                <w:rFonts w:asciiTheme="minorHAnsi" w:hAnsiTheme="minorHAnsi" w:cstheme="minorHAnsi"/>
              </w:rPr>
            </w:pPr>
            <w:r w:rsidRPr="00092A34">
              <w:rPr>
                <w:rFonts w:asciiTheme="minorHAnsi" w:hAnsiTheme="minorHAnsi" w:cstheme="minorHAnsi"/>
              </w:rPr>
              <w:t>6.2</w:t>
            </w:r>
          </w:p>
        </w:tc>
        <w:tc>
          <w:tcPr>
            <w:tcW w:w="1190" w:type="dxa"/>
          </w:tcPr>
          <w:p w14:paraId="29260CFA" w14:textId="77777777" w:rsidR="00B02873" w:rsidRPr="00092A34" w:rsidRDefault="00B02873" w:rsidP="00092A34">
            <w:pPr>
              <w:pStyle w:val="TablebodyleftFinancialsTables"/>
              <w:jc w:val="right"/>
              <w:rPr>
                <w:rFonts w:asciiTheme="minorHAnsi" w:hAnsiTheme="minorHAnsi" w:cstheme="minorHAnsi"/>
                <w:b/>
                <w:bCs/>
              </w:rPr>
            </w:pPr>
            <w:r w:rsidRPr="00092A34">
              <w:rPr>
                <w:rFonts w:asciiTheme="minorHAnsi" w:hAnsiTheme="minorHAnsi" w:cstheme="minorHAnsi"/>
                <w:b/>
                <w:bCs/>
              </w:rPr>
              <w:t>429,933</w:t>
            </w:r>
          </w:p>
        </w:tc>
        <w:tc>
          <w:tcPr>
            <w:tcW w:w="1191" w:type="dxa"/>
          </w:tcPr>
          <w:p w14:paraId="33CCA6D1" w14:textId="77777777" w:rsidR="00B02873" w:rsidRPr="00092A34" w:rsidRDefault="00B02873" w:rsidP="00092A34">
            <w:pPr>
              <w:pStyle w:val="TablebodyleftFinancialsTables"/>
              <w:jc w:val="right"/>
              <w:rPr>
                <w:rFonts w:asciiTheme="minorHAnsi" w:hAnsiTheme="minorHAnsi" w:cstheme="minorHAnsi"/>
              </w:rPr>
            </w:pPr>
            <w:r w:rsidRPr="00092A34">
              <w:rPr>
                <w:rFonts w:asciiTheme="minorHAnsi" w:hAnsiTheme="minorHAnsi" w:cstheme="minorHAnsi"/>
              </w:rPr>
              <w:t>80,669</w:t>
            </w:r>
          </w:p>
        </w:tc>
      </w:tr>
      <w:tr w:rsidR="00B02873" w:rsidRPr="00092A34" w14:paraId="66968892" w14:textId="77777777" w:rsidTr="00AA7C60">
        <w:tc>
          <w:tcPr>
            <w:tcW w:w="6066" w:type="dxa"/>
          </w:tcPr>
          <w:p w14:paraId="22A39F18" w14:textId="77777777" w:rsidR="00B02873" w:rsidRPr="00092A34" w:rsidRDefault="00B02873" w:rsidP="00092A34">
            <w:pPr>
              <w:pStyle w:val="TablebodyleftFinancialsTables"/>
              <w:rPr>
                <w:rFonts w:asciiTheme="minorHAnsi" w:hAnsiTheme="minorHAnsi" w:cstheme="minorHAnsi"/>
                <w:b/>
                <w:bCs/>
              </w:rPr>
            </w:pPr>
            <w:r w:rsidRPr="00092A34">
              <w:rPr>
                <w:rFonts w:asciiTheme="minorHAnsi" w:hAnsiTheme="minorHAnsi" w:cstheme="minorHAnsi"/>
                <w:b/>
                <w:bCs/>
              </w:rPr>
              <w:t>Total financial assets</w:t>
            </w:r>
          </w:p>
        </w:tc>
        <w:tc>
          <w:tcPr>
            <w:tcW w:w="1300" w:type="dxa"/>
          </w:tcPr>
          <w:p w14:paraId="7A1B3315" w14:textId="77777777" w:rsidR="00B02873" w:rsidRPr="00092A34" w:rsidRDefault="00B02873" w:rsidP="00092A34">
            <w:pPr>
              <w:pStyle w:val="TablebodyleftFinancialsTables"/>
              <w:rPr>
                <w:rFonts w:asciiTheme="minorHAnsi" w:hAnsiTheme="minorHAnsi" w:cstheme="minorHAnsi"/>
                <w:b/>
                <w:bCs/>
              </w:rPr>
            </w:pPr>
          </w:p>
        </w:tc>
        <w:tc>
          <w:tcPr>
            <w:tcW w:w="1190" w:type="dxa"/>
          </w:tcPr>
          <w:p w14:paraId="0083A4E5" w14:textId="77777777" w:rsidR="00B02873" w:rsidRPr="00092A34" w:rsidRDefault="00B02873" w:rsidP="00092A34">
            <w:pPr>
              <w:pStyle w:val="TablebodyleftFinancialsTables"/>
              <w:jc w:val="right"/>
              <w:rPr>
                <w:rFonts w:asciiTheme="minorHAnsi" w:hAnsiTheme="minorHAnsi" w:cstheme="minorHAnsi"/>
                <w:b/>
                <w:bCs/>
              </w:rPr>
            </w:pPr>
            <w:r w:rsidRPr="00092A34">
              <w:rPr>
                <w:rFonts w:asciiTheme="minorHAnsi" w:hAnsiTheme="minorHAnsi" w:cstheme="minorHAnsi"/>
                <w:b/>
                <w:bCs/>
              </w:rPr>
              <w:t>2,816,316</w:t>
            </w:r>
          </w:p>
        </w:tc>
        <w:tc>
          <w:tcPr>
            <w:tcW w:w="1191" w:type="dxa"/>
          </w:tcPr>
          <w:p w14:paraId="555986D5" w14:textId="77777777" w:rsidR="00B02873" w:rsidRPr="00092A34" w:rsidRDefault="00B02873" w:rsidP="00092A34">
            <w:pPr>
              <w:pStyle w:val="TablebodyleftFinancialsTables"/>
              <w:jc w:val="right"/>
              <w:rPr>
                <w:rFonts w:asciiTheme="minorHAnsi" w:hAnsiTheme="minorHAnsi" w:cstheme="minorHAnsi"/>
                <w:b/>
                <w:bCs/>
              </w:rPr>
            </w:pPr>
            <w:r w:rsidRPr="00092A34">
              <w:rPr>
                <w:rFonts w:asciiTheme="minorHAnsi" w:hAnsiTheme="minorHAnsi" w:cstheme="minorHAnsi"/>
                <w:b/>
                <w:bCs/>
              </w:rPr>
              <w:t>2,235,132</w:t>
            </w:r>
          </w:p>
        </w:tc>
      </w:tr>
      <w:tr w:rsidR="00B02873" w:rsidRPr="00092A34" w14:paraId="6B4AF3A3" w14:textId="77777777" w:rsidTr="00AA7C60">
        <w:tc>
          <w:tcPr>
            <w:tcW w:w="6066" w:type="dxa"/>
          </w:tcPr>
          <w:p w14:paraId="3802439F" w14:textId="77777777" w:rsidR="00B02873" w:rsidRPr="00092A34" w:rsidRDefault="00B02873" w:rsidP="00092A34">
            <w:pPr>
              <w:pStyle w:val="TablebodyleftFinancialsTables"/>
              <w:rPr>
                <w:rFonts w:asciiTheme="minorHAnsi" w:hAnsiTheme="minorHAnsi" w:cstheme="minorHAnsi"/>
                <w:b/>
                <w:bCs/>
              </w:rPr>
            </w:pPr>
            <w:r w:rsidRPr="00092A34">
              <w:rPr>
                <w:rFonts w:asciiTheme="minorHAnsi" w:hAnsiTheme="minorHAnsi" w:cstheme="minorHAnsi"/>
                <w:b/>
                <w:bCs/>
              </w:rPr>
              <w:t>Non-financial assets</w:t>
            </w:r>
          </w:p>
        </w:tc>
        <w:tc>
          <w:tcPr>
            <w:tcW w:w="1300" w:type="dxa"/>
          </w:tcPr>
          <w:p w14:paraId="49E90AE5" w14:textId="77777777" w:rsidR="00B02873" w:rsidRPr="00092A34" w:rsidRDefault="00B02873" w:rsidP="00092A34">
            <w:pPr>
              <w:pStyle w:val="TablebodyleftFinancialsTables"/>
              <w:rPr>
                <w:rFonts w:asciiTheme="minorHAnsi" w:hAnsiTheme="minorHAnsi" w:cstheme="minorHAnsi"/>
                <w:b/>
                <w:bCs/>
              </w:rPr>
            </w:pPr>
          </w:p>
        </w:tc>
        <w:tc>
          <w:tcPr>
            <w:tcW w:w="1190" w:type="dxa"/>
          </w:tcPr>
          <w:p w14:paraId="0C53CEC2" w14:textId="77777777" w:rsidR="00B02873" w:rsidRPr="00092A34" w:rsidRDefault="00B02873" w:rsidP="00092A34">
            <w:pPr>
              <w:pStyle w:val="TablebodyleftFinancialsTables"/>
              <w:jc w:val="right"/>
              <w:rPr>
                <w:rFonts w:asciiTheme="minorHAnsi" w:hAnsiTheme="minorHAnsi" w:cstheme="minorHAnsi"/>
                <w:b/>
                <w:bCs/>
              </w:rPr>
            </w:pPr>
          </w:p>
        </w:tc>
        <w:tc>
          <w:tcPr>
            <w:tcW w:w="1191" w:type="dxa"/>
          </w:tcPr>
          <w:p w14:paraId="062F9A9C" w14:textId="77777777" w:rsidR="00B02873" w:rsidRPr="00092A34" w:rsidRDefault="00B02873" w:rsidP="00092A34">
            <w:pPr>
              <w:pStyle w:val="TablebodyleftFinancialsTables"/>
              <w:jc w:val="right"/>
              <w:rPr>
                <w:rFonts w:asciiTheme="minorHAnsi" w:hAnsiTheme="minorHAnsi" w:cstheme="minorHAnsi"/>
                <w:b/>
                <w:bCs/>
              </w:rPr>
            </w:pPr>
          </w:p>
        </w:tc>
      </w:tr>
      <w:tr w:rsidR="00B02873" w:rsidRPr="00092A34" w14:paraId="46CA507F" w14:textId="77777777" w:rsidTr="00AA7C60">
        <w:tc>
          <w:tcPr>
            <w:tcW w:w="6066" w:type="dxa"/>
          </w:tcPr>
          <w:p w14:paraId="3571B16C" w14:textId="77777777" w:rsidR="00B02873" w:rsidRPr="00092A34" w:rsidRDefault="00B02873" w:rsidP="00092A34">
            <w:pPr>
              <w:pStyle w:val="TablebodyleftFinancialsTables"/>
              <w:rPr>
                <w:rFonts w:asciiTheme="minorHAnsi" w:hAnsiTheme="minorHAnsi" w:cstheme="minorHAnsi"/>
              </w:rPr>
            </w:pPr>
            <w:r w:rsidRPr="00092A34">
              <w:rPr>
                <w:rFonts w:asciiTheme="minorHAnsi" w:hAnsiTheme="minorHAnsi" w:cstheme="minorHAnsi"/>
              </w:rPr>
              <w:t>Inventories</w:t>
            </w:r>
          </w:p>
        </w:tc>
        <w:tc>
          <w:tcPr>
            <w:tcW w:w="1300" w:type="dxa"/>
          </w:tcPr>
          <w:p w14:paraId="65B043CA" w14:textId="77777777" w:rsidR="00B02873" w:rsidRPr="00092A34" w:rsidRDefault="00B02873" w:rsidP="00092A34">
            <w:pPr>
              <w:pStyle w:val="TablebodyleftFinancialsTables"/>
              <w:rPr>
                <w:rFonts w:asciiTheme="minorHAnsi" w:hAnsiTheme="minorHAnsi" w:cstheme="minorHAnsi"/>
              </w:rPr>
            </w:pPr>
            <w:r w:rsidRPr="00092A34">
              <w:rPr>
                <w:rFonts w:asciiTheme="minorHAnsi" w:hAnsiTheme="minorHAnsi" w:cstheme="minorHAnsi"/>
              </w:rPr>
              <w:t>6.5</w:t>
            </w:r>
          </w:p>
        </w:tc>
        <w:tc>
          <w:tcPr>
            <w:tcW w:w="1190" w:type="dxa"/>
          </w:tcPr>
          <w:p w14:paraId="36258821" w14:textId="77777777" w:rsidR="00B02873" w:rsidRPr="00092A34" w:rsidRDefault="00B02873" w:rsidP="00092A34">
            <w:pPr>
              <w:pStyle w:val="TablebodyleftFinancialsTables"/>
              <w:jc w:val="right"/>
              <w:rPr>
                <w:rFonts w:asciiTheme="minorHAnsi" w:hAnsiTheme="minorHAnsi" w:cstheme="minorHAnsi"/>
                <w:b/>
                <w:bCs/>
              </w:rPr>
            </w:pPr>
            <w:r w:rsidRPr="00092A34">
              <w:rPr>
                <w:rFonts w:asciiTheme="minorHAnsi" w:hAnsiTheme="minorHAnsi" w:cstheme="minorHAnsi"/>
                <w:b/>
                <w:bCs/>
              </w:rPr>
              <w:t>22,058</w:t>
            </w:r>
          </w:p>
        </w:tc>
        <w:tc>
          <w:tcPr>
            <w:tcW w:w="1191" w:type="dxa"/>
          </w:tcPr>
          <w:p w14:paraId="58E43B78" w14:textId="77777777" w:rsidR="00B02873" w:rsidRPr="00092A34" w:rsidRDefault="00B02873" w:rsidP="00092A34">
            <w:pPr>
              <w:pStyle w:val="TablebodyleftFinancialsTables"/>
              <w:jc w:val="right"/>
              <w:rPr>
                <w:rFonts w:asciiTheme="minorHAnsi" w:hAnsiTheme="minorHAnsi" w:cstheme="minorHAnsi"/>
              </w:rPr>
            </w:pPr>
            <w:r w:rsidRPr="00092A34">
              <w:rPr>
                <w:rFonts w:asciiTheme="minorHAnsi" w:hAnsiTheme="minorHAnsi" w:cstheme="minorHAnsi"/>
              </w:rPr>
              <w:t>24,575</w:t>
            </w:r>
          </w:p>
        </w:tc>
      </w:tr>
      <w:tr w:rsidR="00B02873" w:rsidRPr="00092A34" w14:paraId="2BA0E7B4" w14:textId="77777777" w:rsidTr="00AA7C60">
        <w:tc>
          <w:tcPr>
            <w:tcW w:w="6066" w:type="dxa"/>
          </w:tcPr>
          <w:p w14:paraId="5A7EF32C" w14:textId="77777777" w:rsidR="00B02873" w:rsidRPr="00092A34" w:rsidRDefault="00B02873" w:rsidP="00092A34">
            <w:pPr>
              <w:pStyle w:val="TablebodyleftFinancialsTables"/>
              <w:rPr>
                <w:rFonts w:asciiTheme="minorHAnsi" w:hAnsiTheme="minorHAnsi" w:cstheme="minorHAnsi"/>
              </w:rPr>
            </w:pPr>
            <w:r w:rsidRPr="00092A34">
              <w:rPr>
                <w:rFonts w:asciiTheme="minorHAnsi" w:hAnsiTheme="minorHAnsi" w:cstheme="minorHAnsi"/>
              </w:rPr>
              <w:t>Non-financial physical assets classified as held for sale</w:t>
            </w:r>
          </w:p>
        </w:tc>
        <w:tc>
          <w:tcPr>
            <w:tcW w:w="1300" w:type="dxa"/>
          </w:tcPr>
          <w:p w14:paraId="5343D36C" w14:textId="77777777" w:rsidR="00B02873" w:rsidRPr="00092A34" w:rsidRDefault="00B02873" w:rsidP="00092A34">
            <w:pPr>
              <w:pStyle w:val="TablebodyleftFinancialsTables"/>
              <w:rPr>
                <w:rFonts w:asciiTheme="minorHAnsi" w:hAnsiTheme="minorHAnsi" w:cstheme="minorHAnsi"/>
              </w:rPr>
            </w:pPr>
            <w:r w:rsidRPr="00092A34">
              <w:rPr>
                <w:rFonts w:asciiTheme="minorHAnsi" w:hAnsiTheme="minorHAnsi" w:cstheme="minorHAnsi"/>
              </w:rPr>
              <w:t>5.2</w:t>
            </w:r>
          </w:p>
        </w:tc>
        <w:tc>
          <w:tcPr>
            <w:tcW w:w="1190" w:type="dxa"/>
          </w:tcPr>
          <w:p w14:paraId="6C12BA69" w14:textId="77777777" w:rsidR="00B02873" w:rsidRPr="00092A34" w:rsidRDefault="00B02873" w:rsidP="00092A34">
            <w:pPr>
              <w:pStyle w:val="TablebodyleftFinancialsTables"/>
              <w:jc w:val="right"/>
              <w:rPr>
                <w:rFonts w:asciiTheme="minorHAnsi" w:hAnsiTheme="minorHAnsi" w:cstheme="minorHAnsi"/>
                <w:b/>
                <w:bCs/>
              </w:rPr>
            </w:pPr>
            <w:r w:rsidRPr="00092A34">
              <w:rPr>
                <w:rFonts w:asciiTheme="minorHAnsi" w:hAnsiTheme="minorHAnsi" w:cstheme="minorHAnsi"/>
                <w:b/>
                <w:bCs/>
              </w:rPr>
              <w:t>10,206</w:t>
            </w:r>
          </w:p>
        </w:tc>
        <w:tc>
          <w:tcPr>
            <w:tcW w:w="1191" w:type="dxa"/>
          </w:tcPr>
          <w:p w14:paraId="258648BB" w14:textId="77777777" w:rsidR="00B02873" w:rsidRPr="00092A34" w:rsidRDefault="00B02873" w:rsidP="00092A34">
            <w:pPr>
              <w:pStyle w:val="TablebodyleftFinancialsTables"/>
              <w:jc w:val="right"/>
              <w:rPr>
                <w:rFonts w:asciiTheme="minorHAnsi" w:hAnsiTheme="minorHAnsi" w:cstheme="minorHAnsi"/>
              </w:rPr>
            </w:pPr>
            <w:r w:rsidRPr="00092A34">
              <w:rPr>
                <w:rFonts w:asciiTheme="minorHAnsi" w:hAnsiTheme="minorHAnsi" w:cstheme="minorHAnsi"/>
              </w:rPr>
              <w:t>10,974</w:t>
            </w:r>
          </w:p>
        </w:tc>
      </w:tr>
      <w:tr w:rsidR="00B02873" w:rsidRPr="00092A34" w14:paraId="06C1B35B" w14:textId="77777777" w:rsidTr="00AA7C60">
        <w:tc>
          <w:tcPr>
            <w:tcW w:w="6066" w:type="dxa"/>
          </w:tcPr>
          <w:p w14:paraId="56E5BFF4" w14:textId="77777777" w:rsidR="00B02873" w:rsidRPr="00092A34" w:rsidRDefault="00B02873" w:rsidP="00092A34">
            <w:pPr>
              <w:pStyle w:val="TablebodyleftFinancialsTables"/>
              <w:rPr>
                <w:rFonts w:asciiTheme="minorHAnsi" w:hAnsiTheme="minorHAnsi" w:cstheme="minorHAnsi"/>
              </w:rPr>
            </w:pPr>
            <w:r w:rsidRPr="00092A34">
              <w:rPr>
                <w:rFonts w:asciiTheme="minorHAnsi" w:hAnsiTheme="minorHAnsi" w:cstheme="minorHAnsi"/>
              </w:rPr>
              <w:t>Property, plant and equipment</w:t>
            </w:r>
          </w:p>
        </w:tc>
        <w:tc>
          <w:tcPr>
            <w:tcW w:w="1300" w:type="dxa"/>
          </w:tcPr>
          <w:p w14:paraId="4701CC21" w14:textId="77777777" w:rsidR="00B02873" w:rsidRPr="00092A34" w:rsidRDefault="00B02873" w:rsidP="00092A34">
            <w:pPr>
              <w:pStyle w:val="TablebodyleftFinancialsTables"/>
              <w:rPr>
                <w:rFonts w:asciiTheme="minorHAnsi" w:hAnsiTheme="minorHAnsi" w:cstheme="minorHAnsi"/>
              </w:rPr>
            </w:pPr>
            <w:r w:rsidRPr="00092A34">
              <w:rPr>
                <w:rFonts w:asciiTheme="minorHAnsi" w:hAnsiTheme="minorHAnsi" w:cstheme="minorHAnsi"/>
              </w:rPr>
              <w:t>5.1</w:t>
            </w:r>
          </w:p>
        </w:tc>
        <w:tc>
          <w:tcPr>
            <w:tcW w:w="1190" w:type="dxa"/>
          </w:tcPr>
          <w:p w14:paraId="2B00FBAF" w14:textId="77777777" w:rsidR="00B02873" w:rsidRPr="00092A34" w:rsidRDefault="00B02873" w:rsidP="00092A34">
            <w:pPr>
              <w:pStyle w:val="TablebodyleftFinancialsTables"/>
              <w:jc w:val="right"/>
              <w:rPr>
                <w:rFonts w:asciiTheme="minorHAnsi" w:hAnsiTheme="minorHAnsi" w:cstheme="minorHAnsi"/>
                <w:b/>
                <w:bCs/>
              </w:rPr>
            </w:pPr>
            <w:r w:rsidRPr="00092A34">
              <w:rPr>
                <w:rFonts w:asciiTheme="minorHAnsi" w:hAnsiTheme="minorHAnsi" w:cstheme="minorHAnsi"/>
                <w:b/>
                <w:bCs/>
              </w:rPr>
              <w:t>9,251,912</w:t>
            </w:r>
          </w:p>
        </w:tc>
        <w:tc>
          <w:tcPr>
            <w:tcW w:w="1191" w:type="dxa"/>
          </w:tcPr>
          <w:p w14:paraId="5FC43F6A" w14:textId="77777777" w:rsidR="00B02873" w:rsidRPr="00092A34" w:rsidRDefault="00B02873" w:rsidP="00092A34">
            <w:pPr>
              <w:pStyle w:val="TablebodyleftFinancialsTables"/>
              <w:jc w:val="right"/>
              <w:rPr>
                <w:rFonts w:asciiTheme="minorHAnsi" w:hAnsiTheme="minorHAnsi" w:cstheme="minorHAnsi"/>
              </w:rPr>
            </w:pPr>
            <w:r w:rsidRPr="00092A34">
              <w:rPr>
                <w:rFonts w:asciiTheme="minorHAnsi" w:hAnsiTheme="minorHAnsi" w:cstheme="minorHAnsi"/>
              </w:rPr>
              <w:t>7,991,729</w:t>
            </w:r>
          </w:p>
        </w:tc>
      </w:tr>
      <w:tr w:rsidR="00B02873" w:rsidRPr="00092A34" w14:paraId="39C79E6B" w14:textId="77777777" w:rsidTr="00AA7C60">
        <w:tc>
          <w:tcPr>
            <w:tcW w:w="6066" w:type="dxa"/>
          </w:tcPr>
          <w:p w14:paraId="500A6879" w14:textId="77777777" w:rsidR="00B02873" w:rsidRPr="00092A34" w:rsidRDefault="00B02873" w:rsidP="00092A34">
            <w:pPr>
              <w:pStyle w:val="TablebodyleftFinancialsTables"/>
              <w:rPr>
                <w:rFonts w:asciiTheme="minorHAnsi" w:hAnsiTheme="minorHAnsi" w:cstheme="minorHAnsi"/>
              </w:rPr>
            </w:pPr>
            <w:r w:rsidRPr="00092A34">
              <w:rPr>
                <w:rFonts w:asciiTheme="minorHAnsi" w:hAnsiTheme="minorHAnsi" w:cstheme="minorHAnsi"/>
              </w:rPr>
              <w:t>Intangible assets</w:t>
            </w:r>
          </w:p>
        </w:tc>
        <w:tc>
          <w:tcPr>
            <w:tcW w:w="1300" w:type="dxa"/>
          </w:tcPr>
          <w:p w14:paraId="3A56CF8F" w14:textId="77777777" w:rsidR="00B02873" w:rsidRPr="00092A34" w:rsidRDefault="00B02873" w:rsidP="00092A34">
            <w:pPr>
              <w:pStyle w:val="TablebodyleftFinancialsTables"/>
              <w:rPr>
                <w:rFonts w:asciiTheme="minorHAnsi" w:hAnsiTheme="minorHAnsi" w:cstheme="minorHAnsi"/>
              </w:rPr>
            </w:pPr>
            <w:r w:rsidRPr="00092A34">
              <w:rPr>
                <w:rFonts w:asciiTheme="minorHAnsi" w:hAnsiTheme="minorHAnsi" w:cstheme="minorHAnsi"/>
              </w:rPr>
              <w:t>5.3</w:t>
            </w:r>
          </w:p>
        </w:tc>
        <w:tc>
          <w:tcPr>
            <w:tcW w:w="1190" w:type="dxa"/>
          </w:tcPr>
          <w:p w14:paraId="2F65867A" w14:textId="77777777" w:rsidR="00B02873" w:rsidRPr="00092A34" w:rsidRDefault="00B02873" w:rsidP="00092A34">
            <w:pPr>
              <w:pStyle w:val="TablebodyleftFinancialsTables"/>
              <w:jc w:val="right"/>
              <w:rPr>
                <w:rFonts w:asciiTheme="minorHAnsi" w:hAnsiTheme="minorHAnsi" w:cstheme="minorHAnsi"/>
                <w:b/>
                <w:bCs/>
              </w:rPr>
            </w:pPr>
            <w:r w:rsidRPr="00092A34">
              <w:rPr>
                <w:rFonts w:asciiTheme="minorHAnsi" w:hAnsiTheme="minorHAnsi" w:cstheme="minorHAnsi"/>
                <w:b/>
                <w:bCs/>
              </w:rPr>
              <w:t>46,000</w:t>
            </w:r>
          </w:p>
        </w:tc>
        <w:tc>
          <w:tcPr>
            <w:tcW w:w="1191" w:type="dxa"/>
          </w:tcPr>
          <w:p w14:paraId="64E4D4E1" w14:textId="77777777" w:rsidR="00B02873" w:rsidRPr="00092A34" w:rsidRDefault="00B02873" w:rsidP="00092A34">
            <w:pPr>
              <w:pStyle w:val="TablebodyleftFinancialsTables"/>
              <w:jc w:val="right"/>
              <w:rPr>
                <w:rFonts w:asciiTheme="minorHAnsi" w:hAnsiTheme="minorHAnsi" w:cstheme="minorHAnsi"/>
              </w:rPr>
            </w:pPr>
            <w:r w:rsidRPr="00092A34">
              <w:rPr>
                <w:rFonts w:asciiTheme="minorHAnsi" w:hAnsiTheme="minorHAnsi" w:cstheme="minorHAnsi"/>
              </w:rPr>
              <w:t>39,853</w:t>
            </w:r>
          </w:p>
        </w:tc>
      </w:tr>
      <w:tr w:rsidR="00B02873" w:rsidRPr="00092A34" w14:paraId="0AB4F5FC" w14:textId="77777777" w:rsidTr="00AA7C60">
        <w:tc>
          <w:tcPr>
            <w:tcW w:w="6066" w:type="dxa"/>
          </w:tcPr>
          <w:p w14:paraId="3A15512D" w14:textId="77777777" w:rsidR="00B02873" w:rsidRPr="00092A34" w:rsidRDefault="00B02873" w:rsidP="00092A34">
            <w:pPr>
              <w:pStyle w:val="TablebodyleftFinancialsTables"/>
              <w:rPr>
                <w:rFonts w:asciiTheme="minorHAnsi" w:hAnsiTheme="minorHAnsi" w:cstheme="minorHAnsi"/>
              </w:rPr>
            </w:pPr>
            <w:r w:rsidRPr="00092A34">
              <w:rPr>
                <w:rFonts w:asciiTheme="minorHAnsi" w:hAnsiTheme="minorHAnsi" w:cstheme="minorHAnsi"/>
              </w:rPr>
              <w:t>Prepayments</w:t>
            </w:r>
          </w:p>
        </w:tc>
        <w:tc>
          <w:tcPr>
            <w:tcW w:w="1300" w:type="dxa"/>
          </w:tcPr>
          <w:p w14:paraId="5ED8112C" w14:textId="77777777" w:rsidR="00B02873" w:rsidRPr="00092A34" w:rsidRDefault="00B02873" w:rsidP="00092A34">
            <w:pPr>
              <w:pStyle w:val="TablebodyleftFinancialsTables"/>
              <w:rPr>
                <w:rFonts w:asciiTheme="minorHAnsi" w:hAnsiTheme="minorHAnsi" w:cstheme="minorHAnsi"/>
              </w:rPr>
            </w:pPr>
            <w:r w:rsidRPr="00092A34">
              <w:rPr>
                <w:rFonts w:asciiTheme="minorHAnsi" w:hAnsiTheme="minorHAnsi" w:cstheme="minorHAnsi"/>
              </w:rPr>
              <w:t>6.4</w:t>
            </w:r>
          </w:p>
        </w:tc>
        <w:tc>
          <w:tcPr>
            <w:tcW w:w="1190" w:type="dxa"/>
          </w:tcPr>
          <w:p w14:paraId="2217BF6B" w14:textId="77777777" w:rsidR="00B02873" w:rsidRPr="00092A34" w:rsidRDefault="00B02873" w:rsidP="00092A34">
            <w:pPr>
              <w:pStyle w:val="TablebodyleftFinancialsTables"/>
              <w:jc w:val="right"/>
              <w:rPr>
                <w:rFonts w:asciiTheme="minorHAnsi" w:hAnsiTheme="minorHAnsi" w:cstheme="minorHAnsi"/>
                <w:b/>
                <w:bCs/>
              </w:rPr>
            </w:pPr>
            <w:r w:rsidRPr="00092A34">
              <w:rPr>
                <w:rFonts w:asciiTheme="minorHAnsi" w:hAnsiTheme="minorHAnsi" w:cstheme="minorHAnsi"/>
                <w:b/>
                <w:bCs/>
              </w:rPr>
              <w:t>63,663</w:t>
            </w:r>
          </w:p>
        </w:tc>
        <w:tc>
          <w:tcPr>
            <w:tcW w:w="1191" w:type="dxa"/>
          </w:tcPr>
          <w:p w14:paraId="04173E12" w14:textId="77777777" w:rsidR="00B02873" w:rsidRPr="00092A34" w:rsidRDefault="00B02873" w:rsidP="00092A34">
            <w:pPr>
              <w:pStyle w:val="TablebodyleftFinancialsTables"/>
              <w:jc w:val="right"/>
              <w:rPr>
                <w:rFonts w:asciiTheme="minorHAnsi" w:hAnsiTheme="minorHAnsi" w:cstheme="minorHAnsi"/>
              </w:rPr>
            </w:pPr>
            <w:r w:rsidRPr="00092A34">
              <w:rPr>
                <w:rFonts w:asciiTheme="minorHAnsi" w:hAnsiTheme="minorHAnsi" w:cstheme="minorHAnsi"/>
              </w:rPr>
              <w:t>42,459</w:t>
            </w:r>
          </w:p>
        </w:tc>
      </w:tr>
      <w:tr w:rsidR="00B02873" w:rsidRPr="00092A34" w14:paraId="30062744" w14:textId="77777777" w:rsidTr="00AA7C60">
        <w:tc>
          <w:tcPr>
            <w:tcW w:w="6066" w:type="dxa"/>
          </w:tcPr>
          <w:p w14:paraId="5B4D75EC" w14:textId="77777777" w:rsidR="00B02873" w:rsidRPr="00092A34" w:rsidRDefault="00B02873" w:rsidP="00092A34">
            <w:pPr>
              <w:pStyle w:val="TablebodyleftFinancialsTables"/>
              <w:rPr>
                <w:rFonts w:asciiTheme="minorHAnsi" w:hAnsiTheme="minorHAnsi" w:cstheme="minorHAnsi"/>
                <w:b/>
                <w:bCs/>
              </w:rPr>
            </w:pPr>
            <w:r w:rsidRPr="00092A34">
              <w:rPr>
                <w:rFonts w:asciiTheme="minorHAnsi" w:hAnsiTheme="minorHAnsi" w:cstheme="minorHAnsi"/>
                <w:b/>
                <w:bCs/>
              </w:rPr>
              <w:t>Total non-financial assets</w:t>
            </w:r>
          </w:p>
        </w:tc>
        <w:tc>
          <w:tcPr>
            <w:tcW w:w="1300" w:type="dxa"/>
          </w:tcPr>
          <w:p w14:paraId="45B1D379" w14:textId="77777777" w:rsidR="00B02873" w:rsidRPr="00092A34" w:rsidRDefault="00B02873" w:rsidP="00092A34">
            <w:pPr>
              <w:pStyle w:val="TablebodyleftFinancialsTables"/>
              <w:rPr>
                <w:rFonts w:asciiTheme="minorHAnsi" w:hAnsiTheme="minorHAnsi" w:cstheme="minorHAnsi"/>
              </w:rPr>
            </w:pPr>
          </w:p>
        </w:tc>
        <w:tc>
          <w:tcPr>
            <w:tcW w:w="1190" w:type="dxa"/>
          </w:tcPr>
          <w:p w14:paraId="520AA2A5" w14:textId="77777777" w:rsidR="00B02873" w:rsidRPr="00092A34" w:rsidRDefault="00B02873" w:rsidP="00092A34">
            <w:pPr>
              <w:pStyle w:val="TablebodyleftFinancialsTables"/>
              <w:jc w:val="right"/>
              <w:rPr>
                <w:rFonts w:asciiTheme="minorHAnsi" w:hAnsiTheme="minorHAnsi" w:cstheme="minorHAnsi"/>
                <w:b/>
                <w:bCs/>
              </w:rPr>
            </w:pPr>
            <w:r w:rsidRPr="00092A34">
              <w:rPr>
                <w:rFonts w:asciiTheme="minorHAnsi" w:hAnsiTheme="minorHAnsi" w:cstheme="minorHAnsi"/>
                <w:b/>
                <w:bCs/>
              </w:rPr>
              <w:t>9,393,839</w:t>
            </w:r>
          </w:p>
        </w:tc>
        <w:tc>
          <w:tcPr>
            <w:tcW w:w="1191" w:type="dxa"/>
          </w:tcPr>
          <w:p w14:paraId="7D0E7E09" w14:textId="77777777" w:rsidR="00B02873" w:rsidRPr="00092A34" w:rsidRDefault="00B02873" w:rsidP="00092A34">
            <w:pPr>
              <w:pStyle w:val="TablebodyleftFinancialsTables"/>
              <w:jc w:val="right"/>
              <w:rPr>
                <w:rFonts w:asciiTheme="minorHAnsi" w:hAnsiTheme="minorHAnsi" w:cstheme="minorHAnsi"/>
              </w:rPr>
            </w:pPr>
            <w:r w:rsidRPr="00092A34">
              <w:rPr>
                <w:rFonts w:asciiTheme="minorHAnsi" w:hAnsiTheme="minorHAnsi" w:cstheme="minorHAnsi"/>
              </w:rPr>
              <w:t>8,109,590</w:t>
            </w:r>
          </w:p>
        </w:tc>
      </w:tr>
      <w:tr w:rsidR="00B02873" w:rsidRPr="00092A34" w14:paraId="3C1ACD98" w14:textId="77777777" w:rsidTr="00AA7C60">
        <w:tc>
          <w:tcPr>
            <w:tcW w:w="6066" w:type="dxa"/>
          </w:tcPr>
          <w:p w14:paraId="771D2940" w14:textId="77777777" w:rsidR="00B02873" w:rsidRPr="00092A34" w:rsidRDefault="00B02873" w:rsidP="00092A34">
            <w:pPr>
              <w:pStyle w:val="TablebodyleftFinancialsTables"/>
              <w:rPr>
                <w:rFonts w:asciiTheme="minorHAnsi" w:hAnsiTheme="minorHAnsi" w:cstheme="minorHAnsi"/>
                <w:b/>
                <w:bCs/>
              </w:rPr>
            </w:pPr>
            <w:r w:rsidRPr="00092A34">
              <w:rPr>
                <w:rFonts w:asciiTheme="minorHAnsi" w:hAnsiTheme="minorHAnsi" w:cstheme="minorHAnsi"/>
                <w:b/>
                <w:bCs/>
              </w:rPr>
              <w:t>Total assets</w:t>
            </w:r>
          </w:p>
        </w:tc>
        <w:tc>
          <w:tcPr>
            <w:tcW w:w="1300" w:type="dxa"/>
          </w:tcPr>
          <w:p w14:paraId="34C47C61" w14:textId="77777777" w:rsidR="00B02873" w:rsidRPr="00092A34" w:rsidRDefault="00B02873" w:rsidP="00092A34">
            <w:pPr>
              <w:pStyle w:val="TablebodyleftFinancialsTables"/>
              <w:rPr>
                <w:rFonts w:asciiTheme="minorHAnsi" w:hAnsiTheme="minorHAnsi" w:cstheme="minorHAnsi"/>
              </w:rPr>
            </w:pPr>
          </w:p>
        </w:tc>
        <w:tc>
          <w:tcPr>
            <w:tcW w:w="1190" w:type="dxa"/>
          </w:tcPr>
          <w:p w14:paraId="70E46017" w14:textId="77777777" w:rsidR="00B02873" w:rsidRPr="00092A34" w:rsidRDefault="00B02873" w:rsidP="00092A34">
            <w:pPr>
              <w:pStyle w:val="TablebodyleftFinancialsTables"/>
              <w:jc w:val="right"/>
              <w:rPr>
                <w:rFonts w:asciiTheme="minorHAnsi" w:hAnsiTheme="minorHAnsi" w:cstheme="minorHAnsi"/>
                <w:b/>
                <w:bCs/>
              </w:rPr>
            </w:pPr>
            <w:r w:rsidRPr="00092A34">
              <w:rPr>
                <w:rFonts w:asciiTheme="minorHAnsi" w:hAnsiTheme="minorHAnsi" w:cstheme="minorHAnsi"/>
                <w:b/>
                <w:bCs/>
              </w:rPr>
              <w:t>12,210,155</w:t>
            </w:r>
          </w:p>
        </w:tc>
        <w:tc>
          <w:tcPr>
            <w:tcW w:w="1191" w:type="dxa"/>
          </w:tcPr>
          <w:p w14:paraId="04473DCE" w14:textId="77777777" w:rsidR="00B02873" w:rsidRPr="00092A34" w:rsidRDefault="00B02873" w:rsidP="00092A34">
            <w:pPr>
              <w:pStyle w:val="TablebodyleftFinancialsTables"/>
              <w:jc w:val="right"/>
              <w:rPr>
                <w:rFonts w:asciiTheme="minorHAnsi" w:hAnsiTheme="minorHAnsi" w:cstheme="minorHAnsi"/>
              </w:rPr>
            </w:pPr>
            <w:r w:rsidRPr="00092A34">
              <w:rPr>
                <w:rFonts w:asciiTheme="minorHAnsi" w:hAnsiTheme="minorHAnsi" w:cstheme="minorHAnsi"/>
              </w:rPr>
              <w:t>10,344,722</w:t>
            </w:r>
          </w:p>
        </w:tc>
      </w:tr>
      <w:tr w:rsidR="00B02873" w:rsidRPr="00092A34" w14:paraId="33C84D21" w14:textId="77777777" w:rsidTr="00AA7C60">
        <w:tc>
          <w:tcPr>
            <w:tcW w:w="6066" w:type="dxa"/>
          </w:tcPr>
          <w:p w14:paraId="6B4E1E2D" w14:textId="77777777" w:rsidR="00B02873" w:rsidRPr="00092A34" w:rsidRDefault="00B02873" w:rsidP="00092A34">
            <w:pPr>
              <w:pStyle w:val="TablebodyleftFinancialsTables"/>
              <w:rPr>
                <w:rFonts w:asciiTheme="minorHAnsi" w:hAnsiTheme="minorHAnsi" w:cstheme="minorHAnsi"/>
                <w:b/>
                <w:bCs/>
              </w:rPr>
            </w:pPr>
            <w:r w:rsidRPr="00092A34">
              <w:rPr>
                <w:rFonts w:asciiTheme="minorHAnsi" w:hAnsiTheme="minorHAnsi" w:cstheme="minorHAnsi"/>
                <w:b/>
                <w:bCs/>
              </w:rPr>
              <w:t>Liabilities</w:t>
            </w:r>
          </w:p>
        </w:tc>
        <w:tc>
          <w:tcPr>
            <w:tcW w:w="1300" w:type="dxa"/>
          </w:tcPr>
          <w:p w14:paraId="2EE89C02" w14:textId="77777777" w:rsidR="00B02873" w:rsidRPr="00092A34" w:rsidRDefault="00B02873" w:rsidP="00092A34">
            <w:pPr>
              <w:pStyle w:val="TablebodyleftFinancialsTables"/>
              <w:rPr>
                <w:rFonts w:asciiTheme="minorHAnsi" w:hAnsiTheme="minorHAnsi" w:cstheme="minorHAnsi"/>
              </w:rPr>
            </w:pPr>
          </w:p>
        </w:tc>
        <w:tc>
          <w:tcPr>
            <w:tcW w:w="1190" w:type="dxa"/>
          </w:tcPr>
          <w:p w14:paraId="2CB5D5B7" w14:textId="77777777" w:rsidR="00B02873" w:rsidRPr="00092A34" w:rsidRDefault="00B02873" w:rsidP="00092A34">
            <w:pPr>
              <w:pStyle w:val="TablebodyleftFinancialsTables"/>
              <w:jc w:val="right"/>
              <w:rPr>
                <w:rFonts w:asciiTheme="minorHAnsi" w:hAnsiTheme="minorHAnsi" w:cstheme="minorHAnsi"/>
                <w:b/>
                <w:bCs/>
              </w:rPr>
            </w:pPr>
          </w:p>
        </w:tc>
        <w:tc>
          <w:tcPr>
            <w:tcW w:w="1191" w:type="dxa"/>
          </w:tcPr>
          <w:p w14:paraId="56D490EA" w14:textId="77777777" w:rsidR="00B02873" w:rsidRPr="00092A34" w:rsidRDefault="00B02873" w:rsidP="00092A34">
            <w:pPr>
              <w:pStyle w:val="TablebodyleftFinancialsTables"/>
              <w:jc w:val="right"/>
              <w:rPr>
                <w:rFonts w:asciiTheme="minorHAnsi" w:hAnsiTheme="minorHAnsi" w:cstheme="minorHAnsi"/>
              </w:rPr>
            </w:pPr>
          </w:p>
        </w:tc>
      </w:tr>
      <w:tr w:rsidR="00B02873" w:rsidRPr="00092A34" w14:paraId="72E79111" w14:textId="77777777" w:rsidTr="00AA7C60">
        <w:tc>
          <w:tcPr>
            <w:tcW w:w="6066" w:type="dxa"/>
          </w:tcPr>
          <w:p w14:paraId="2643C8F3" w14:textId="77777777" w:rsidR="00B02873" w:rsidRPr="00092A34" w:rsidRDefault="00B02873" w:rsidP="00092A34">
            <w:pPr>
              <w:pStyle w:val="TablebodyleftFinancialsTables"/>
              <w:rPr>
                <w:rFonts w:asciiTheme="minorHAnsi" w:hAnsiTheme="minorHAnsi" w:cstheme="minorHAnsi"/>
              </w:rPr>
            </w:pPr>
            <w:r w:rsidRPr="00092A34">
              <w:rPr>
                <w:rFonts w:asciiTheme="minorHAnsi" w:hAnsiTheme="minorHAnsi" w:cstheme="minorHAnsi"/>
              </w:rPr>
              <w:t>Payables</w:t>
            </w:r>
          </w:p>
        </w:tc>
        <w:tc>
          <w:tcPr>
            <w:tcW w:w="1300" w:type="dxa"/>
          </w:tcPr>
          <w:p w14:paraId="1180E394" w14:textId="77777777" w:rsidR="00B02873" w:rsidRPr="00092A34" w:rsidRDefault="00B02873" w:rsidP="00092A34">
            <w:pPr>
              <w:pStyle w:val="TablebodyleftFinancialsTables"/>
              <w:rPr>
                <w:rFonts w:asciiTheme="minorHAnsi" w:hAnsiTheme="minorHAnsi" w:cstheme="minorHAnsi"/>
              </w:rPr>
            </w:pPr>
            <w:r w:rsidRPr="00092A34">
              <w:rPr>
                <w:rFonts w:asciiTheme="minorHAnsi" w:hAnsiTheme="minorHAnsi" w:cstheme="minorHAnsi"/>
              </w:rPr>
              <w:t>6.3</w:t>
            </w:r>
          </w:p>
        </w:tc>
        <w:tc>
          <w:tcPr>
            <w:tcW w:w="1190" w:type="dxa"/>
          </w:tcPr>
          <w:p w14:paraId="18A75B51" w14:textId="77777777" w:rsidR="00B02873" w:rsidRPr="00092A34" w:rsidRDefault="00B02873" w:rsidP="00092A34">
            <w:pPr>
              <w:pStyle w:val="TablebodyleftFinancialsTables"/>
              <w:jc w:val="right"/>
              <w:rPr>
                <w:rFonts w:asciiTheme="minorHAnsi" w:hAnsiTheme="minorHAnsi" w:cstheme="minorHAnsi"/>
                <w:b/>
                <w:bCs/>
              </w:rPr>
            </w:pPr>
            <w:r w:rsidRPr="00092A34">
              <w:rPr>
                <w:rFonts w:asciiTheme="minorHAnsi" w:hAnsiTheme="minorHAnsi" w:cstheme="minorHAnsi"/>
                <w:b/>
                <w:bCs/>
              </w:rPr>
              <w:t>260,315</w:t>
            </w:r>
          </w:p>
        </w:tc>
        <w:tc>
          <w:tcPr>
            <w:tcW w:w="1191" w:type="dxa"/>
          </w:tcPr>
          <w:p w14:paraId="6766EEE4" w14:textId="77777777" w:rsidR="00B02873" w:rsidRPr="00092A34" w:rsidRDefault="00B02873" w:rsidP="00092A34">
            <w:pPr>
              <w:pStyle w:val="TablebodyleftFinancialsTables"/>
              <w:jc w:val="right"/>
              <w:rPr>
                <w:rFonts w:asciiTheme="minorHAnsi" w:hAnsiTheme="minorHAnsi" w:cstheme="minorHAnsi"/>
              </w:rPr>
            </w:pPr>
            <w:r w:rsidRPr="00092A34">
              <w:rPr>
                <w:rFonts w:asciiTheme="minorHAnsi" w:hAnsiTheme="minorHAnsi" w:cstheme="minorHAnsi"/>
              </w:rPr>
              <w:t>260,674</w:t>
            </w:r>
          </w:p>
        </w:tc>
      </w:tr>
      <w:tr w:rsidR="00B02873" w:rsidRPr="00092A34" w14:paraId="19B48E8B" w14:textId="77777777" w:rsidTr="00AA7C60">
        <w:tc>
          <w:tcPr>
            <w:tcW w:w="6066" w:type="dxa"/>
          </w:tcPr>
          <w:p w14:paraId="38B53D20" w14:textId="77777777" w:rsidR="00B02873" w:rsidRPr="00092A34" w:rsidRDefault="00B02873" w:rsidP="00092A34">
            <w:pPr>
              <w:pStyle w:val="TablebodyleftFinancialsTables"/>
              <w:rPr>
                <w:rFonts w:asciiTheme="minorHAnsi" w:hAnsiTheme="minorHAnsi" w:cstheme="minorHAnsi"/>
              </w:rPr>
            </w:pPr>
            <w:r w:rsidRPr="00092A34">
              <w:rPr>
                <w:rFonts w:asciiTheme="minorHAnsi" w:hAnsiTheme="minorHAnsi" w:cstheme="minorHAnsi"/>
              </w:rPr>
              <w:t>Other financial liabilities</w:t>
            </w:r>
          </w:p>
        </w:tc>
        <w:tc>
          <w:tcPr>
            <w:tcW w:w="1300" w:type="dxa"/>
          </w:tcPr>
          <w:p w14:paraId="1BF6C985" w14:textId="77777777" w:rsidR="00B02873" w:rsidRPr="00092A34" w:rsidRDefault="00B02873" w:rsidP="00092A34">
            <w:pPr>
              <w:pStyle w:val="TablebodyleftFinancialsTables"/>
              <w:rPr>
                <w:rFonts w:asciiTheme="minorHAnsi" w:hAnsiTheme="minorHAnsi" w:cstheme="minorHAnsi"/>
              </w:rPr>
            </w:pPr>
            <w:r w:rsidRPr="00092A34">
              <w:rPr>
                <w:rFonts w:asciiTheme="minorHAnsi" w:hAnsiTheme="minorHAnsi" w:cstheme="minorHAnsi"/>
              </w:rPr>
              <w:t>6.7</w:t>
            </w:r>
          </w:p>
        </w:tc>
        <w:tc>
          <w:tcPr>
            <w:tcW w:w="1190" w:type="dxa"/>
          </w:tcPr>
          <w:p w14:paraId="659DC570" w14:textId="77777777" w:rsidR="00B02873" w:rsidRPr="00092A34" w:rsidRDefault="00B02873" w:rsidP="00092A34">
            <w:pPr>
              <w:pStyle w:val="TablebodyleftFinancialsTables"/>
              <w:jc w:val="right"/>
              <w:rPr>
                <w:rFonts w:asciiTheme="minorHAnsi" w:hAnsiTheme="minorHAnsi" w:cstheme="minorHAnsi"/>
                <w:b/>
                <w:bCs/>
              </w:rPr>
            </w:pPr>
            <w:r w:rsidRPr="00092A34">
              <w:rPr>
                <w:rFonts w:asciiTheme="minorHAnsi" w:hAnsiTheme="minorHAnsi" w:cstheme="minorHAnsi"/>
                <w:b/>
                <w:bCs/>
              </w:rPr>
              <w:t>204,383</w:t>
            </w:r>
          </w:p>
        </w:tc>
        <w:tc>
          <w:tcPr>
            <w:tcW w:w="1191" w:type="dxa"/>
          </w:tcPr>
          <w:p w14:paraId="70AC3685" w14:textId="77777777" w:rsidR="00B02873" w:rsidRPr="00092A34" w:rsidRDefault="00B02873" w:rsidP="00092A34">
            <w:pPr>
              <w:pStyle w:val="TablebodyleftFinancialsTables"/>
              <w:jc w:val="right"/>
              <w:rPr>
                <w:rFonts w:asciiTheme="minorHAnsi" w:hAnsiTheme="minorHAnsi" w:cstheme="minorHAnsi"/>
              </w:rPr>
            </w:pPr>
            <w:r w:rsidRPr="00092A34">
              <w:rPr>
                <w:rFonts w:asciiTheme="minorHAnsi" w:hAnsiTheme="minorHAnsi" w:cstheme="minorHAnsi"/>
              </w:rPr>
              <w:t>201,146</w:t>
            </w:r>
          </w:p>
        </w:tc>
      </w:tr>
      <w:tr w:rsidR="00B02873" w:rsidRPr="00092A34" w14:paraId="38247559" w14:textId="77777777" w:rsidTr="00AA7C60">
        <w:tc>
          <w:tcPr>
            <w:tcW w:w="6066" w:type="dxa"/>
          </w:tcPr>
          <w:p w14:paraId="3ECD38A6" w14:textId="77777777" w:rsidR="00B02873" w:rsidRPr="00092A34" w:rsidRDefault="00B02873" w:rsidP="00092A34">
            <w:pPr>
              <w:pStyle w:val="TablebodyleftFinancialsTables"/>
              <w:rPr>
                <w:rFonts w:asciiTheme="minorHAnsi" w:hAnsiTheme="minorHAnsi" w:cstheme="minorHAnsi"/>
              </w:rPr>
            </w:pPr>
            <w:r w:rsidRPr="00092A34">
              <w:rPr>
                <w:rFonts w:asciiTheme="minorHAnsi" w:hAnsiTheme="minorHAnsi" w:cstheme="minorHAnsi"/>
              </w:rPr>
              <w:t>Borrowings</w:t>
            </w:r>
          </w:p>
        </w:tc>
        <w:tc>
          <w:tcPr>
            <w:tcW w:w="1300" w:type="dxa"/>
          </w:tcPr>
          <w:p w14:paraId="6202FD16" w14:textId="77777777" w:rsidR="00B02873" w:rsidRPr="00092A34" w:rsidRDefault="00B02873" w:rsidP="00092A34">
            <w:pPr>
              <w:pStyle w:val="TablebodyleftFinancialsTables"/>
              <w:rPr>
                <w:rFonts w:asciiTheme="minorHAnsi" w:hAnsiTheme="minorHAnsi" w:cstheme="minorHAnsi"/>
              </w:rPr>
            </w:pPr>
            <w:r w:rsidRPr="00092A34">
              <w:rPr>
                <w:rFonts w:asciiTheme="minorHAnsi" w:hAnsiTheme="minorHAnsi" w:cstheme="minorHAnsi"/>
              </w:rPr>
              <w:t>7.2</w:t>
            </w:r>
          </w:p>
        </w:tc>
        <w:tc>
          <w:tcPr>
            <w:tcW w:w="1190" w:type="dxa"/>
          </w:tcPr>
          <w:p w14:paraId="27B42B75" w14:textId="77777777" w:rsidR="00B02873" w:rsidRPr="00092A34" w:rsidRDefault="00B02873" w:rsidP="00092A34">
            <w:pPr>
              <w:pStyle w:val="TablebodyleftFinancialsTables"/>
              <w:jc w:val="right"/>
              <w:rPr>
                <w:rFonts w:asciiTheme="minorHAnsi" w:hAnsiTheme="minorHAnsi" w:cstheme="minorHAnsi"/>
                <w:b/>
                <w:bCs/>
              </w:rPr>
            </w:pPr>
            <w:r w:rsidRPr="00092A34">
              <w:rPr>
                <w:rFonts w:asciiTheme="minorHAnsi" w:hAnsiTheme="minorHAnsi" w:cstheme="minorHAnsi"/>
                <w:b/>
                <w:bCs/>
              </w:rPr>
              <w:t>49,664</w:t>
            </w:r>
          </w:p>
        </w:tc>
        <w:tc>
          <w:tcPr>
            <w:tcW w:w="1191" w:type="dxa"/>
          </w:tcPr>
          <w:p w14:paraId="45F3E1A6" w14:textId="77777777" w:rsidR="00B02873" w:rsidRPr="00092A34" w:rsidRDefault="00B02873" w:rsidP="00092A34">
            <w:pPr>
              <w:pStyle w:val="TablebodyleftFinancialsTables"/>
              <w:jc w:val="right"/>
              <w:rPr>
                <w:rFonts w:asciiTheme="minorHAnsi" w:hAnsiTheme="minorHAnsi" w:cstheme="minorHAnsi"/>
              </w:rPr>
            </w:pPr>
            <w:r w:rsidRPr="00092A34">
              <w:rPr>
                <w:rFonts w:asciiTheme="minorHAnsi" w:hAnsiTheme="minorHAnsi" w:cstheme="minorHAnsi"/>
              </w:rPr>
              <w:t>50,812</w:t>
            </w:r>
          </w:p>
        </w:tc>
      </w:tr>
      <w:tr w:rsidR="00B02873" w:rsidRPr="00092A34" w14:paraId="352D2881" w14:textId="77777777" w:rsidTr="00AA7C60">
        <w:tc>
          <w:tcPr>
            <w:tcW w:w="6066" w:type="dxa"/>
          </w:tcPr>
          <w:p w14:paraId="69B69B37" w14:textId="77777777" w:rsidR="00B02873" w:rsidRPr="00092A34" w:rsidRDefault="00B02873" w:rsidP="00092A34">
            <w:pPr>
              <w:pStyle w:val="TablebodyleftFinancialsTables"/>
              <w:rPr>
                <w:rFonts w:asciiTheme="minorHAnsi" w:hAnsiTheme="minorHAnsi" w:cstheme="minorHAnsi"/>
              </w:rPr>
            </w:pPr>
            <w:r w:rsidRPr="00092A34">
              <w:rPr>
                <w:rFonts w:asciiTheme="minorHAnsi" w:hAnsiTheme="minorHAnsi" w:cstheme="minorHAnsi"/>
              </w:rPr>
              <w:t>Provisions</w:t>
            </w:r>
          </w:p>
        </w:tc>
        <w:tc>
          <w:tcPr>
            <w:tcW w:w="1300" w:type="dxa"/>
          </w:tcPr>
          <w:p w14:paraId="1D6D7C8D" w14:textId="77777777" w:rsidR="00B02873" w:rsidRPr="00092A34" w:rsidRDefault="00B02873" w:rsidP="00092A34">
            <w:pPr>
              <w:pStyle w:val="TablebodyleftFinancialsTables"/>
              <w:rPr>
                <w:rFonts w:asciiTheme="minorHAnsi" w:hAnsiTheme="minorHAnsi" w:cstheme="minorHAnsi"/>
              </w:rPr>
            </w:pPr>
            <w:r w:rsidRPr="00092A34">
              <w:rPr>
                <w:rFonts w:asciiTheme="minorHAnsi" w:hAnsiTheme="minorHAnsi" w:cstheme="minorHAnsi"/>
              </w:rPr>
              <w:t>3.1.1 (a), 6.6</w:t>
            </w:r>
          </w:p>
        </w:tc>
        <w:tc>
          <w:tcPr>
            <w:tcW w:w="1190" w:type="dxa"/>
          </w:tcPr>
          <w:p w14:paraId="0C4FF276" w14:textId="77777777" w:rsidR="00B02873" w:rsidRPr="00092A34" w:rsidRDefault="00B02873" w:rsidP="00092A34">
            <w:pPr>
              <w:pStyle w:val="TablebodyleftFinancialsTables"/>
              <w:jc w:val="right"/>
              <w:rPr>
                <w:rFonts w:asciiTheme="minorHAnsi" w:hAnsiTheme="minorHAnsi" w:cstheme="minorHAnsi"/>
                <w:b/>
                <w:bCs/>
              </w:rPr>
            </w:pPr>
            <w:r w:rsidRPr="00092A34">
              <w:rPr>
                <w:rFonts w:asciiTheme="minorHAnsi" w:hAnsiTheme="minorHAnsi" w:cstheme="minorHAnsi"/>
                <w:b/>
                <w:bCs/>
              </w:rPr>
              <w:t>371,636</w:t>
            </w:r>
          </w:p>
        </w:tc>
        <w:tc>
          <w:tcPr>
            <w:tcW w:w="1191" w:type="dxa"/>
          </w:tcPr>
          <w:p w14:paraId="7215460C" w14:textId="77777777" w:rsidR="00B02873" w:rsidRPr="00092A34" w:rsidRDefault="00B02873" w:rsidP="00092A34">
            <w:pPr>
              <w:pStyle w:val="TablebodyleftFinancialsTables"/>
              <w:jc w:val="right"/>
              <w:rPr>
                <w:rFonts w:asciiTheme="minorHAnsi" w:hAnsiTheme="minorHAnsi" w:cstheme="minorHAnsi"/>
              </w:rPr>
            </w:pPr>
            <w:r w:rsidRPr="00092A34">
              <w:rPr>
                <w:rFonts w:asciiTheme="minorHAnsi" w:hAnsiTheme="minorHAnsi" w:cstheme="minorHAnsi"/>
              </w:rPr>
              <w:t>220,736</w:t>
            </w:r>
          </w:p>
        </w:tc>
      </w:tr>
      <w:tr w:rsidR="00B02873" w:rsidRPr="00092A34" w14:paraId="12199E9B" w14:textId="77777777" w:rsidTr="00AA7C60">
        <w:tc>
          <w:tcPr>
            <w:tcW w:w="6066" w:type="dxa"/>
          </w:tcPr>
          <w:p w14:paraId="2077B74E" w14:textId="77777777" w:rsidR="00B02873" w:rsidRPr="00092A34" w:rsidRDefault="00B02873" w:rsidP="00092A34">
            <w:pPr>
              <w:pStyle w:val="TablebodyleftFinancialsTables"/>
              <w:rPr>
                <w:rFonts w:asciiTheme="minorHAnsi" w:hAnsiTheme="minorHAnsi" w:cstheme="minorHAnsi"/>
              </w:rPr>
            </w:pPr>
            <w:r w:rsidRPr="00092A34">
              <w:rPr>
                <w:rFonts w:asciiTheme="minorHAnsi" w:hAnsiTheme="minorHAnsi" w:cstheme="minorHAnsi"/>
              </w:rPr>
              <w:t xml:space="preserve">Derivative financial instruments </w:t>
            </w:r>
          </w:p>
        </w:tc>
        <w:tc>
          <w:tcPr>
            <w:tcW w:w="1300" w:type="dxa"/>
          </w:tcPr>
          <w:p w14:paraId="2BBFE808" w14:textId="77777777" w:rsidR="00B02873" w:rsidRPr="00092A34" w:rsidRDefault="00B02873" w:rsidP="00092A34">
            <w:pPr>
              <w:pStyle w:val="TablebodyleftFinancialsTables"/>
              <w:rPr>
                <w:rFonts w:asciiTheme="minorHAnsi" w:hAnsiTheme="minorHAnsi" w:cstheme="minorHAnsi"/>
              </w:rPr>
            </w:pPr>
            <w:r w:rsidRPr="00092A34">
              <w:rPr>
                <w:rFonts w:asciiTheme="minorHAnsi" w:hAnsiTheme="minorHAnsi" w:cstheme="minorHAnsi"/>
              </w:rPr>
              <w:t>6.2</w:t>
            </w:r>
          </w:p>
        </w:tc>
        <w:tc>
          <w:tcPr>
            <w:tcW w:w="1190" w:type="dxa"/>
          </w:tcPr>
          <w:p w14:paraId="7C353353" w14:textId="2E153E4D" w:rsidR="00B02873" w:rsidRPr="00092A34" w:rsidRDefault="00B02873" w:rsidP="00092A34">
            <w:pPr>
              <w:pStyle w:val="TablebodyleftFinancialsTables"/>
              <w:jc w:val="right"/>
              <w:rPr>
                <w:rFonts w:asciiTheme="minorHAnsi" w:hAnsiTheme="minorHAnsi" w:cstheme="minorHAnsi"/>
                <w:b/>
                <w:bCs/>
              </w:rPr>
            </w:pPr>
            <w:r w:rsidRPr="00092A34">
              <w:rPr>
                <w:rFonts w:asciiTheme="minorHAnsi" w:hAnsiTheme="minorHAnsi" w:cstheme="minorHAnsi"/>
                <w:b/>
                <w:bCs/>
              </w:rPr>
              <w:t>–</w:t>
            </w:r>
          </w:p>
        </w:tc>
        <w:tc>
          <w:tcPr>
            <w:tcW w:w="1191" w:type="dxa"/>
          </w:tcPr>
          <w:p w14:paraId="1FFEEEBD" w14:textId="77777777" w:rsidR="00B02873" w:rsidRPr="00092A34" w:rsidRDefault="00B02873" w:rsidP="00092A34">
            <w:pPr>
              <w:pStyle w:val="TablebodyleftFinancialsTables"/>
              <w:jc w:val="right"/>
              <w:rPr>
                <w:rFonts w:asciiTheme="minorHAnsi" w:hAnsiTheme="minorHAnsi" w:cstheme="minorHAnsi"/>
              </w:rPr>
            </w:pPr>
            <w:r w:rsidRPr="00092A34">
              <w:rPr>
                <w:rFonts w:asciiTheme="minorHAnsi" w:hAnsiTheme="minorHAnsi" w:cstheme="minorHAnsi"/>
              </w:rPr>
              <w:t>1,931</w:t>
            </w:r>
          </w:p>
        </w:tc>
      </w:tr>
      <w:tr w:rsidR="00B02873" w:rsidRPr="00092A34" w14:paraId="1EEE3843" w14:textId="77777777" w:rsidTr="00AA7C60">
        <w:tc>
          <w:tcPr>
            <w:tcW w:w="6066" w:type="dxa"/>
          </w:tcPr>
          <w:p w14:paraId="7BE660E5" w14:textId="77777777" w:rsidR="00B02873" w:rsidRPr="00092A34" w:rsidRDefault="00B02873" w:rsidP="00092A34">
            <w:pPr>
              <w:pStyle w:val="TablebodyleftFinancialsTables"/>
              <w:rPr>
                <w:rFonts w:asciiTheme="minorHAnsi" w:hAnsiTheme="minorHAnsi" w:cstheme="minorHAnsi"/>
              </w:rPr>
            </w:pPr>
            <w:r w:rsidRPr="00092A34">
              <w:rPr>
                <w:rFonts w:asciiTheme="minorHAnsi" w:hAnsiTheme="minorHAnsi" w:cstheme="minorHAnsi"/>
              </w:rPr>
              <w:t xml:space="preserve">Other liabilities </w:t>
            </w:r>
          </w:p>
        </w:tc>
        <w:tc>
          <w:tcPr>
            <w:tcW w:w="1300" w:type="dxa"/>
          </w:tcPr>
          <w:p w14:paraId="5020210F" w14:textId="77777777" w:rsidR="00B02873" w:rsidRPr="00092A34" w:rsidRDefault="00B02873" w:rsidP="00092A34">
            <w:pPr>
              <w:pStyle w:val="TablebodyleftFinancialsTables"/>
              <w:rPr>
                <w:rFonts w:asciiTheme="minorHAnsi" w:hAnsiTheme="minorHAnsi" w:cstheme="minorHAnsi"/>
              </w:rPr>
            </w:pPr>
          </w:p>
        </w:tc>
        <w:tc>
          <w:tcPr>
            <w:tcW w:w="1190" w:type="dxa"/>
          </w:tcPr>
          <w:p w14:paraId="7BA11DA1" w14:textId="77777777" w:rsidR="00B02873" w:rsidRPr="00092A34" w:rsidRDefault="00B02873" w:rsidP="00092A34">
            <w:pPr>
              <w:pStyle w:val="TablebodyleftFinancialsTables"/>
              <w:jc w:val="right"/>
              <w:rPr>
                <w:rFonts w:asciiTheme="minorHAnsi" w:hAnsiTheme="minorHAnsi" w:cstheme="minorHAnsi"/>
                <w:b/>
                <w:bCs/>
              </w:rPr>
            </w:pPr>
            <w:r w:rsidRPr="00092A34">
              <w:rPr>
                <w:rFonts w:asciiTheme="minorHAnsi" w:hAnsiTheme="minorHAnsi" w:cstheme="minorHAnsi"/>
                <w:b/>
                <w:bCs/>
              </w:rPr>
              <w:t>8,129</w:t>
            </w:r>
          </w:p>
        </w:tc>
        <w:tc>
          <w:tcPr>
            <w:tcW w:w="1191" w:type="dxa"/>
          </w:tcPr>
          <w:p w14:paraId="6EFA99E1" w14:textId="77777777" w:rsidR="00B02873" w:rsidRPr="00092A34" w:rsidRDefault="00B02873" w:rsidP="00092A34">
            <w:pPr>
              <w:pStyle w:val="TablebodyleftFinancialsTables"/>
              <w:jc w:val="right"/>
              <w:rPr>
                <w:rFonts w:asciiTheme="minorHAnsi" w:hAnsiTheme="minorHAnsi" w:cstheme="minorHAnsi"/>
              </w:rPr>
            </w:pPr>
            <w:r w:rsidRPr="00092A34">
              <w:rPr>
                <w:rFonts w:asciiTheme="minorHAnsi" w:hAnsiTheme="minorHAnsi" w:cstheme="minorHAnsi"/>
              </w:rPr>
              <w:t>5,694</w:t>
            </w:r>
          </w:p>
        </w:tc>
      </w:tr>
      <w:tr w:rsidR="00B02873" w:rsidRPr="00092A34" w14:paraId="75A8E14E" w14:textId="77777777" w:rsidTr="00AA7C60">
        <w:tc>
          <w:tcPr>
            <w:tcW w:w="6066" w:type="dxa"/>
          </w:tcPr>
          <w:p w14:paraId="33F12EFE" w14:textId="77777777" w:rsidR="00B02873" w:rsidRPr="00AA7C60" w:rsidRDefault="00B02873" w:rsidP="00092A34">
            <w:pPr>
              <w:pStyle w:val="TablebodyleftFinancialsTables"/>
              <w:rPr>
                <w:rFonts w:asciiTheme="minorHAnsi" w:hAnsiTheme="minorHAnsi" w:cstheme="minorHAnsi"/>
                <w:b/>
                <w:bCs/>
              </w:rPr>
            </w:pPr>
            <w:r w:rsidRPr="00AA7C60">
              <w:rPr>
                <w:rFonts w:asciiTheme="minorHAnsi" w:hAnsiTheme="minorHAnsi" w:cstheme="minorHAnsi"/>
                <w:b/>
                <w:bCs/>
              </w:rPr>
              <w:t>Total liabilities</w:t>
            </w:r>
          </w:p>
        </w:tc>
        <w:tc>
          <w:tcPr>
            <w:tcW w:w="1300" w:type="dxa"/>
          </w:tcPr>
          <w:p w14:paraId="46A49925" w14:textId="77777777" w:rsidR="00B02873" w:rsidRPr="00092A34" w:rsidRDefault="00B02873" w:rsidP="00092A34">
            <w:pPr>
              <w:pStyle w:val="TablebodyleftFinancialsTables"/>
              <w:rPr>
                <w:rFonts w:asciiTheme="minorHAnsi" w:hAnsiTheme="minorHAnsi" w:cstheme="minorHAnsi"/>
              </w:rPr>
            </w:pPr>
          </w:p>
        </w:tc>
        <w:tc>
          <w:tcPr>
            <w:tcW w:w="1190" w:type="dxa"/>
          </w:tcPr>
          <w:p w14:paraId="3393F63C" w14:textId="77777777" w:rsidR="00B02873" w:rsidRPr="00092A34" w:rsidRDefault="00B02873" w:rsidP="00092A34">
            <w:pPr>
              <w:pStyle w:val="TablebodyleftFinancialsTables"/>
              <w:jc w:val="right"/>
              <w:rPr>
                <w:rFonts w:asciiTheme="minorHAnsi" w:hAnsiTheme="minorHAnsi" w:cstheme="minorHAnsi"/>
                <w:b/>
                <w:bCs/>
              </w:rPr>
            </w:pPr>
            <w:r w:rsidRPr="00092A34">
              <w:rPr>
                <w:rFonts w:asciiTheme="minorHAnsi" w:hAnsiTheme="minorHAnsi" w:cstheme="minorHAnsi"/>
                <w:b/>
                <w:bCs/>
              </w:rPr>
              <w:t>894,127</w:t>
            </w:r>
          </w:p>
        </w:tc>
        <w:tc>
          <w:tcPr>
            <w:tcW w:w="1191" w:type="dxa"/>
          </w:tcPr>
          <w:p w14:paraId="4E5A34D0" w14:textId="77777777" w:rsidR="00B02873" w:rsidRPr="00092A34" w:rsidRDefault="00B02873" w:rsidP="00092A34">
            <w:pPr>
              <w:pStyle w:val="TablebodyleftFinancialsTables"/>
              <w:jc w:val="right"/>
              <w:rPr>
                <w:rFonts w:asciiTheme="minorHAnsi" w:hAnsiTheme="minorHAnsi" w:cstheme="minorHAnsi"/>
              </w:rPr>
            </w:pPr>
            <w:r w:rsidRPr="00092A34">
              <w:rPr>
                <w:rFonts w:asciiTheme="minorHAnsi" w:hAnsiTheme="minorHAnsi" w:cstheme="minorHAnsi"/>
              </w:rPr>
              <w:t>740,993</w:t>
            </w:r>
          </w:p>
        </w:tc>
      </w:tr>
      <w:tr w:rsidR="00B02873" w:rsidRPr="00092A34" w14:paraId="0AE07DC4" w14:textId="77777777" w:rsidTr="00AA7C60">
        <w:tc>
          <w:tcPr>
            <w:tcW w:w="6066" w:type="dxa"/>
          </w:tcPr>
          <w:p w14:paraId="6AD8740E" w14:textId="77777777" w:rsidR="00B02873" w:rsidRPr="00AA7C60" w:rsidRDefault="00B02873" w:rsidP="00092A34">
            <w:pPr>
              <w:pStyle w:val="TablebodyleftFinancialsTables"/>
              <w:rPr>
                <w:rFonts w:asciiTheme="minorHAnsi" w:hAnsiTheme="minorHAnsi" w:cstheme="minorHAnsi"/>
                <w:b/>
                <w:bCs/>
              </w:rPr>
            </w:pPr>
            <w:r w:rsidRPr="00AA7C60">
              <w:rPr>
                <w:rFonts w:asciiTheme="minorHAnsi" w:hAnsiTheme="minorHAnsi" w:cstheme="minorHAnsi"/>
                <w:b/>
                <w:bCs/>
              </w:rPr>
              <w:t>Net assets</w:t>
            </w:r>
          </w:p>
        </w:tc>
        <w:tc>
          <w:tcPr>
            <w:tcW w:w="1300" w:type="dxa"/>
          </w:tcPr>
          <w:p w14:paraId="0CE92DB5" w14:textId="77777777" w:rsidR="00B02873" w:rsidRPr="00092A34" w:rsidRDefault="00B02873" w:rsidP="00092A34">
            <w:pPr>
              <w:pStyle w:val="TablebodyleftFinancialsTables"/>
              <w:rPr>
                <w:rFonts w:asciiTheme="minorHAnsi" w:hAnsiTheme="minorHAnsi" w:cstheme="minorHAnsi"/>
              </w:rPr>
            </w:pPr>
          </w:p>
        </w:tc>
        <w:tc>
          <w:tcPr>
            <w:tcW w:w="1190" w:type="dxa"/>
          </w:tcPr>
          <w:p w14:paraId="688B2C87" w14:textId="77777777" w:rsidR="00B02873" w:rsidRPr="00092A34" w:rsidRDefault="00B02873" w:rsidP="00092A34">
            <w:pPr>
              <w:pStyle w:val="TablebodyleftFinancialsTables"/>
              <w:jc w:val="right"/>
              <w:rPr>
                <w:rFonts w:asciiTheme="minorHAnsi" w:hAnsiTheme="minorHAnsi" w:cstheme="minorHAnsi"/>
                <w:b/>
                <w:bCs/>
              </w:rPr>
            </w:pPr>
            <w:r w:rsidRPr="00092A34">
              <w:rPr>
                <w:rFonts w:asciiTheme="minorHAnsi" w:hAnsiTheme="minorHAnsi" w:cstheme="minorHAnsi"/>
                <w:b/>
                <w:bCs/>
              </w:rPr>
              <w:t>11,316,028</w:t>
            </w:r>
          </w:p>
        </w:tc>
        <w:tc>
          <w:tcPr>
            <w:tcW w:w="1191" w:type="dxa"/>
          </w:tcPr>
          <w:p w14:paraId="3E382497" w14:textId="77777777" w:rsidR="00B02873" w:rsidRPr="00092A34" w:rsidRDefault="00B02873" w:rsidP="00092A34">
            <w:pPr>
              <w:pStyle w:val="TablebodyleftFinancialsTables"/>
              <w:jc w:val="right"/>
              <w:rPr>
                <w:rFonts w:asciiTheme="minorHAnsi" w:hAnsiTheme="minorHAnsi" w:cstheme="minorHAnsi"/>
              </w:rPr>
            </w:pPr>
            <w:r w:rsidRPr="00092A34">
              <w:rPr>
                <w:rFonts w:asciiTheme="minorHAnsi" w:hAnsiTheme="minorHAnsi" w:cstheme="minorHAnsi"/>
              </w:rPr>
              <w:t>9,603,729</w:t>
            </w:r>
          </w:p>
        </w:tc>
      </w:tr>
      <w:tr w:rsidR="00B02873" w:rsidRPr="00092A34" w14:paraId="1CBFB6F1" w14:textId="77777777" w:rsidTr="00AA7C60">
        <w:tc>
          <w:tcPr>
            <w:tcW w:w="6066" w:type="dxa"/>
          </w:tcPr>
          <w:p w14:paraId="61457190" w14:textId="77777777" w:rsidR="00B02873" w:rsidRPr="00AA7C60" w:rsidRDefault="00B02873" w:rsidP="00092A34">
            <w:pPr>
              <w:pStyle w:val="TablebodyleftFinancialsTables"/>
              <w:rPr>
                <w:rFonts w:asciiTheme="minorHAnsi" w:hAnsiTheme="minorHAnsi" w:cstheme="minorHAnsi"/>
                <w:b/>
                <w:bCs/>
              </w:rPr>
            </w:pPr>
            <w:r w:rsidRPr="00AA7C60">
              <w:rPr>
                <w:rFonts w:asciiTheme="minorHAnsi" w:hAnsiTheme="minorHAnsi" w:cstheme="minorHAnsi"/>
                <w:b/>
                <w:bCs/>
              </w:rPr>
              <w:t>Equity</w:t>
            </w:r>
          </w:p>
        </w:tc>
        <w:tc>
          <w:tcPr>
            <w:tcW w:w="1300" w:type="dxa"/>
          </w:tcPr>
          <w:p w14:paraId="40228558" w14:textId="77777777" w:rsidR="00B02873" w:rsidRPr="00092A34" w:rsidRDefault="00B02873" w:rsidP="00092A34">
            <w:pPr>
              <w:pStyle w:val="TablebodyleftFinancialsTables"/>
              <w:rPr>
                <w:rFonts w:asciiTheme="minorHAnsi" w:hAnsiTheme="minorHAnsi" w:cstheme="minorHAnsi"/>
              </w:rPr>
            </w:pPr>
          </w:p>
        </w:tc>
        <w:tc>
          <w:tcPr>
            <w:tcW w:w="1190" w:type="dxa"/>
          </w:tcPr>
          <w:p w14:paraId="07624741" w14:textId="77777777" w:rsidR="00B02873" w:rsidRPr="00092A34" w:rsidRDefault="00B02873" w:rsidP="00092A34">
            <w:pPr>
              <w:pStyle w:val="TablebodyleftFinancialsTables"/>
              <w:jc w:val="right"/>
              <w:rPr>
                <w:rFonts w:asciiTheme="minorHAnsi" w:hAnsiTheme="minorHAnsi" w:cstheme="minorHAnsi"/>
                <w:b/>
                <w:bCs/>
              </w:rPr>
            </w:pPr>
          </w:p>
        </w:tc>
        <w:tc>
          <w:tcPr>
            <w:tcW w:w="1191" w:type="dxa"/>
          </w:tcPr>
          <w:p w14:paraId="60544AA0" w14:textId="77777777" w:rsidR="00B02873" w:rsidRPr="00092A34" w:rsidRDefault="00B02873" w:rsidP="00092A34">
            <w:pPr>
              <w:pStyle w:val="TablebodyleftFinancialsTables"/>
              <w:jc w:val="right"/>
              <w:rPr>
                <w:rFonts w:asciiTheme="minorHAnsi" w:hAnsiTheme="minorHAnsi" w:cstheme="minorHAnsi"/>
              </w:rPr>
            </w:pPr>
          </w:p>
        </w:tc>
      </w:tr>
      <w:tr w:rsidR="00B02873" w:rsidRPr="00092A34" w14:paraId="59FEACC1" w14:textId="77777777" w:rsidTr="00AA7C60">
        <w:tc>
          <w:tcPr>
            <w:tcW w:w="6066" w:type="dxa"/>
          </w:tcPr>
          <w:p w14:paraId="01D9F4BA" w14:textId="77777777" w:rsidR="00B02873" w:rsidRPr="00092A34" w:rsidRDefault="00B02873" w:rsidP="00092A34">
            <w:pPr>
              <w:pStyle w:val="TablebodyleftFinancialsTables"/>
              <w:rPr>
                <w:rFonts w:asciiTheme="minorHAnsi" w:hAnsiTheme="minorHAnsi" w:cstheme="minorHAnsi"/>
              </w:rPr>
            </w:pPr>
            <w:r w:rsidRPr="00092A34">
              <w:rPr>
                <w:rFonts w:asciiTheme="minorHAnsi" w:hAnsiTheme="minorHAnsi" w:cstheme="minorHAnsi"/>
              </w:rPr>
              <w:t>Accumulated surplus</w:t>
            </w:r>
          </w:p>
        </w:tc>
        <w:tc>
          <w:tcPr>
            <w:tcW w:w="1300" w:type="dxa"/>
          </w:tcPr>
          <w:p w14:paraId="218E2763" w14:textId="77777777" w:rsidR="00B02873" w:rsidRPr="00092A34" w:rsidRDefault="00B02873" w:rsidP="00092A34">
            <w:pPr>
              <w:pStyle w:val="TablebodyleftFinancialsTables"/>
              <w:rPr>
                <w:rFonts w:asciiTheme="minorHAnsi" w:hAnsiTheme="minorHAnsi" w:cstheme="minorHAnsi"/>
              </w:rPr>
            </w:pPr>
          </w:p>
        </w:tc>
        <w:tc>
          <w:tcPr>
            <w:tcW w:w="1190" w:type="dxa"/>
          </w:tcPr>
          <w:p w14:paraId="6589D410" w14:textId="77777777" w:rsidR="00B02873" w:rsidRPr="00092A34" w:rsidRDefault="00B02873" w:rsidP="00092A34">
            <w:pPr>
              <w:pStyle w:val="TablebodyleftFinancialsTables"/>
              <w:jc w:val="right"/>
              <w:rPr>
                <w:rFonts w:asciiTheme="minorHAnsi" w:hAnsiTheme="minorHAnsi" w:cstheme="minorHAnsi"/>
                <w:b/>
                <w:bCs/>
              </w:rPr>
            </w:pPr>
            <w:r w:rsidRPr="00092A34">
              <w:rPr>
                <w:rFonts w:asciiTheme="minorHAnsi" w:hAnsiTheme="minorHAnsi" w:cstheme="minorHAnsi"/>
                <w:b/>
                <w:bCs/>
              </w:rPr>
              <w:t>4,508,735</w:t>
            </w:r>
          </w:p>
        </w:tc>
        <w:tc>
          <w:tcPr>
            <w:tcW w:w="1191" w:type="dxa"/>
          </w:tcPr>
          <w:p w14:paraId="73994526" w14:textId="77777777" w:rsidR="00B02873" w:rsidRPr="00092A34" w:rsidRDefault="00B02873" w:rsidP="00092A34">
            <w:pPr>
              <w:pStyle w:val="TablebodyleftFinancialsTables"/>
              <w:jc w:val="right"/>
              <w:rPr>
                <w:rFonts w:asciiTheme="minorHAnsi" w:hAnsiTheme="minorHAnsi" w:cstheme="minorHAnsi"/>
              </w:rPr>
            </w:pPr>
            <w:r w:rsidRPr="00092A34">
              <w:rPr>
                <w:rFonts w:asciiTheme="minorHAnsi" w:hAnsiTheme="minorHAnsi" w:cstheme="minorHAnsi"/>
              </w:rPr>
              <w:t>3,895,149</w:t>
            </w:r>
          </w:p>
        </w:tc>
      </w:tr>
      <w:tr w:rsidR="00B02873" w:rsidRPr="00092A34" w14:paraId="61660561" w14:textId="77777777" w:rsidTr="00AA7C60">
        <w:tc>
          <w:tcPr>
            <w:tcW w:w="6066" w:type="dxa"/>
          </w:tcPr>
          <w:p w14:paraId="1A363BF6" w14:textId="77777777" w:rsidR="00B02873" w:rsidRPr="00092A34" w:rsidRDefault="00B02873" w:rsidP="00092A34">
            <w:pPr>
              <w:pStyle w:val="TablebodyleftFinancialsTables"/>
              <w:rPr>
                <w:rFonts w:asciiTheme="minorHAnsi" w:hAnsiTheme="minorHAnsi" w:cstheme="minorHAnsi"/>
              </w:rPr>
            </w:pPr>
            <w:r w:rsidRPr="00092A34">
              <w:rPr>
                <w:rFonts w:asciiTheme="minorHAnsi" w:hAnsiTheme="minorHAnsi" w:cstheme="minorHAnsi"/>
              </w:rPr>
              <w:t>Physical asset revaluation surplus</w:t>
            </w:r>
          </w:p>
        </w:tc>
        <w:tc>
          <w:tcPr>
            <w:tcW w:w="1300" w:type="dxa"/>
          </w:tcPr>
          <w:p w14:paraId="2DA709A9" w14:textId="77777777" w:rsidR="00B02873" w:rsidRPr="00092A34" w:rsidRDefault="00B02873" w:rsidP="00092A34">
            <w:pPr>
              <w:pStyle w:val="TablebodyleftFinancialsTables"/>
              <w:rPr>
                <w:rFonts w:asciiTheme="minorHAnsi" w:hAnsiTheme="minorHAnsi" w:cstheme="minorHAnsi"/>
              </w:rPr>
            </w:pPr>
            <w:r w:rsidRPr="00092A34">
              <w:rPr>
                <w:rFonts w:asciiTheme="minorHAnsi" w:hAnsiTheme="minorHAnsi" w:cstheme="minorHAnsi"/>
              </w:rPr>
              <w:t>9.3.1</w:t>
            </w:r>
          </w:p>
        </w:tc>
        <w:tc>
          <w:tcPr>
            <w:tcW w:w="1190" w:type="dxa"/>
          </w:tcPr>
          <w:p w14:paraId="7C2A6232" w14:textId="77777777" w:rsidR="00B02873" w:rsidRPr="00092A34" w:rsidRDefault="00B02873" w:rsidP="00092A34">
            <w:pPr>
              <w:pStyle w:val="TablebodyleftFinancialsTables"/>
              <w:jc w:val="right"/>
              <w:rPr>
                <w:rFonts w:asciiTheme="minorHAnsi" w:hAnsiTheme="minorHAnsi" w:cstheme="minorHAnsi"/>
                <w:b/>
                <w:bCs/>
              </w:rPr>
            </w:pPr>
            <w:r w:rsidRPr="00092A34">
              <w:rPr>
                <w:rFonts w:asciiTheme="minorHAnsi" w:hAnsiTheme="minorHAnsi" w:cstheme="minorHAnsi"/>
                <w:b/>
                <w:bCs/>
              </w:rPr>
              <w:t>6,615,663</w:t>
            </w:r>
          </w:p>
        </w:tc>
        <w:tc>
          <w:tcPr>
            <w:tcW w:w="1191" w:type="dxa"/>
          </w:tcPr>
          <w:p w14:paraId="01061526" w14:textId="77777777" w:rsidR="00B02873" w:rsidRPr="00092A34" w:rsidRDefault="00B02873" w:rsidP="00092A34">
            <w:pPr>
              <w:pStyle w:val="TablebodyleftFinancialsTables"/>
              <w:jc w:val="right"/>
              <w:rPr>
                <w:rFonts w:asciiTheme="minorHAnsi" w:hAnsiTheme="minorHAnsi" w:cstheme="minorHAnsi"/>
              </w:rPr>
            </w:pPr>
            <w:r w:rsidRPr="00092A34">
              <w:rPr>
                <w:rFonts w:asciiTheme="minorHAnsi" w:hAnsiTheme="minorHAnsi" w:cstheme="minorHAnsi"/>
              </w:rPr>
              <w:t>5,564,684</w:t>
            </w:r>
          </w:p>
        </w:tc>
      </w:tr>
      <w:tr w:rsidR="00B02873" w:rsidRPr="00092A34" w14:paraId="162D71CF" w14:textId="77777777" w:rsidTr="00AA7C60">
        <w:tc>
          <w:tcPr>
            <w:tcW w:w="6066" w:type="dxa"/>
          </w:tcPr>
          <w:p w14:paraId="21E94B62" w14:textId="77777777" w:rsidR="00B02873" w:rsidRPr="00092A34" w:rsidRDefault="00B02873" w:rsidP="00092A34">
            <w:pPr>
              <w:pStyle w:val="TablebodyleftFinancialsTables"/>
              <w:rPr>
                <w:rFonts w:asciiTheme="minorHAnsi" w:hAnsiTheme="minorHAnsi" w:cstheme="minorHAnsi"/>
              </w:rPr>
            </w:pPr>
            <w:r w:rsidRPr="00092A34">
              <w:rPr>
                <w:rFonts w:asciiTheme="minorHAnsi" w:hAnsiTheme="minorHAnsi" w:cstheme="minorHAnsi"/>
              </w:rPr>
              <w:t>Contributed capital</w:t>
            </w:r>
          </w:p>
        </w:tc>
        <w:tc>
          <w:tcPr>
            <w:tcW w:w="1300" w:type="dxa"/>
          </w:tcPr>
          <w:p w14:paraId="0DFDB82F" w14:textId="77777777" w:rsidR="00B02873" w:rsidRPr="00092A34" w:rsidRDefault="00B02873" w:rsidP="00092A34">
            <w:pPr>
              <w:pStyle w:val="TablebodyleftFinancialsTables"/>
              <w:rPr>
                <w:rFonts w:asciiTheme="minorHAnsi" w:hAnsiTheme="minorHAnsi" w:cstheme="minorHAnsi"/>
              </w:rPr>
            </w:pPr>
          </w:p>
        </w:tc>
        <w:tc>
          <w:tcPr>
            <w:tcW w:w="1190" w:type="dxa"/>
          </w:tcPr>
          <w:p w14:paraId="598FA4C9" w14:textId="77777777" w:rsidR="00B02873" w:rsidRPr="00092A34" w:rsidRDefault="00B02873" w:rsidP="00092A34">
            <w:pPr>
              <w:pStyle w:val="TablebodyleftFinancialsTables"/>
              <w:jc w:val="right"/>
              <w:rPr>
                <w:rFonts w:asciiTheme="minorHAnsi" w:hAnsiTheme="minorHAnsi" w:cstheme="minorHAnsi"/>
                <w:b/>
                <w:bCs/>
              </w:rPr>
            </w:pPr>
            <w:r w:rsidRPr="00092A34">
              <w:rPr>
                <w:rFonts w:asciiTheme="minorHAnsi" w:hAnsiTheme="minorHAnsi" w:cstheme="minorHAnsi"/>
                <w:b/>
                <w:bCs/>
              </w:rPr>
              <w:t>191,630</w:t>
            </w:r>
          </w:p>
        </w:tc>
        <w:tc>
          <w:tcPr>
            <w:tcW w:w="1191" w:type="dxa"/>
          </w:tcPr>
          <w:p w14:paraId="76B19852" w14:textId="77777777" w:rsidR="00B02873" w:rsidRPr="00092A34" w:rsidRDefault="00B02873" w:rsidP="00092A34">
            <w:pPr>
              <w:pStyle w:val="TablebodyleftFinancialsTables"/>
              <w:jc w:val="right"/>
              <w:rPr>
                <w:rFonts w:asciiTheme="minorHAnsi" w:hAnsiTheme="minorHAnsi" w:cstheme="minorHAnsi"/>
              </w:rPr>
            </w:pPr>
            <w:r w:rsidRPr="00092A34">
              <w:rPr>
                <w:rFonts w:asciiTheme="minorHAnsi" w:hAnsiTheme="minorHAnsi" w:cstheme="minorHAnsi"/>
              </w:rPr>
              <w:t>143,896</w:t>
            </w:r>
          </w:p>
        </w:tc>
      </w:tr>
      <w:tr w:rsidR="00B02873" w:rsidRPr="00092A34" w14:paraId="19F038BC" w14:textId="77777777" w:rsidTr="00AA7C60">
        <w:tc>
          <w:tcPr>
            <w:tcW w:w="6066" w:type="dxa"/>
          </w:tcPr>
          <w:p w14:paraId="6873DAF4" w14:textId="77777777" w:rsidR="00B02873" w:rsidRPr="00AA7C60" w:rsidRDefault="00B02873" w:rsidP="00092A34">
            <w:pPr>
              <w:pStyle w:val="TablebodyleftFinancialsTables"/>
              <w:rPr>
                <w:rFonts w:asciiTheme="minorHAnsi" w:hAnsiTheme="minorHAnsi" w:cstheme="minorHAnsi"/>
                <w:b/>
                <w:bCs/>
              </w:rPr>
            </w:pPr>
            <w:r w:rsidRPr="00AA7C60">
              <w:rPr>
                <w:rFonts w:asciiTheme="minorHAnsi" w:hAnsiTheme="minorHAnsi" w:cstheme="minorHAnsi"/>
                <w:b/>
                <w:bCs/>
              </w:rPr>
              <w:t>Net worth</w:t>
            </w:r>
          </w:p>
        </w:tc>
        <w:tc>
          <w:tcPr>
            <w:tcW w:w="1300" w:type="dxa"/>
          </w:tcPr>
          <w:p w14:paraId="3FA3AACB" w14:textId="77777777" w:rsidR="00B02873" w:rsidRPr="00092A34" w:rsidRDefault="00B02873" w:rsidP="00092A34">
            <w:pPr>
              <w:pStyle w:val="TablebodyleftFinancialsTables"/>
              <w:rPr>
                <w:rFonts w:asciiTheme="minorHAnsi" w:hAnsiTheme="minorHAnsi" w:cstheme="minorHAnsi"/>
              </w:rPr>
            </w:pPr>
          </w:p>
        </w:tc>
        <w:tc>
          <w:tcPr>
            <w:tcW w:w="1190" w:type="dxa"/>
          </w:tcPr>
          <w:p w14:paraId="04DBF3A8" w14:textId="0F5C570F" w:rsidR="00B02873" w:rsidRPr="00092A34" w:rsidRDefault="00B02873" w:rsidP="00092A34">
            <w:pPr>
              <w:pStyle w:val="TablebodyleftFinancialsTables"/>
              <w:jc w:val="right"/>
              <w:rPr>
                <w:rFonts w:asciiTheme="minorHAnsi" w:hAnsiTheme="minorHAnsi" w:cstheme="minorHAnsi"/>
                <w:b/>
                <w:bCs/>
              </w:rPr>
            </w:pPr>
            <w:r w:rsidRPr="00092A34">
              <w:rPr>
                <w:rFonts w:asciiTheme="minorHAnsi" w:hAnsiTheme="minorHAnsi" w:cstheme="minorHAnsi"/>
                <w:b/>
                <w:bCs/>
              </w:rPr>
              <w:t>11,316,028</w:t>
            </w:r>
            <w:r w:rsidR="00012C04" w:rsidRPr="00092A34">
              <w:rPr>
                <w:rFonts w:asciiTheme="minorHAnsi" w:hAnsiTheme="minorHAnsi" w:cstheme="minorHAnsi"/>
                <w:b/>
                <w:bCs/>
              </w:rPr>
              <w:t xml:space="preserve">                                                                     </w:t>
            </w:r>
            <w:r w:rsidRPr="00092A34">
              <w:rPr>
                <w:rFonts w:asciiTheme="minorHAnsi" w:hAnsiTheme="minorHAnsi" w:cstheme="minorHAnsi"/>
                <w:b/>
                <w:bCs/>
              </w:rPr>
              <w:t xml:space="preserve"> </w:t>
            </w:r>
          </w:p>
        </w:tc>
        <w:tc>
          <w:tcPr>
            <w:tcW w:w="1191" w:type="dxa"/>
          </w:tcPr>
          <w:p w14:paraId="051F3992" w14:textId="4EEBF03F" w:rsidR="00B02873" w:rsidRPr="00092A34" w:rsidRDefault="00B02873" w:rsidP="00092A34">
            <w:pPr>
              <w:pStyle w:val="TablebodyleftFinancialsTables"/>
              <w:jc w:val="right"/>
              <w:rPr>
                <w:rFonts w:asciiTheme="minorHAnsi" w:hAnsiTheme="minorHAnsi" w:cstheme="minorHAnsi"/>
              </w:rPr>
            </w:pPr>
            <w:r w:rsidRPr="00092A34">
              <w:rPr>
                <w:rFonts w:asciiTheme="minorHAnsi" w:hAnsiTheme="minorHAnsi" w:cstheme="minorHAnsi"/>
              </w:rPr>
              <w:t>9,603,729</w:t>
            </w:r>
            <w:r w:rsidR="00012C04" w:rsidRPr="00092A34">
              <w:rPr>
                <w:rFonts w:asciiTheme="minorHAnsi" w:hAnsiTheme="minorHAnsi" w:cstheme="minorHAnsi"/>
              </w:rPr>
              <w:t xml:space="preserve"> </w:t>
            </w:r>
          </w:p>
        </w:tc>
      </w:tr>
    </w:tbl>
    <w:p w14:paraId="09A41202" w14:textId="77777777" w:rsidR="00B02873" w:rsidRDefault="00B02873" w:rsidP="00FE198A">
      <w:r>
        <w:t>The balance sheet should be read in conjunction with the notes to the financial statements.</w:t>
      </w:r>
    </w:p>
    <w:p w14:paraId="76539DC1" w14:textId="77777777" w:rsidR="00B02873" w:rsidRPr="00AA7C60" w:rsidRDefault="00B02873" w:rsidP="00AA7C60">
      <w:pPr>
        <w:pStyle w:val="SourceNote"/>
        <w:spacing w:after="120"/>
        <w:rPr>
          <w:b/>
          <w:bCs/>
        </w:rPr>
      </w:pPr>
      <w:r w:rsidRPr="00AA7C60">
        <w:rPr>
          <w:b/>
          <w:bCs/>
        </w:rPr>
        <w:lastRenderedPageBreak/>
        <w:t>Note:</w:t>
      </w:r>
    </w:p>
    <w:p w14:paraId="00D7FCD0" w14:textId="28598B3E" w:rsidR="00B02873" w:rsidRDefault="00B02873" w:rsidP="008316E9">
      <w:pPr>
        <w:pStyle w:val="SourceNotenumbered"/>
        <w:numPr>
          <w:ilvl w:val="0"/>
          <w:numId w:val="22"/>
        </w:numPr>
        <w:spacing w:after="200"/>
        <w:ind w:left="357" w:hanging="357"/>
      </w:pPr>
      <w:r>
        <w:t xml:space="preserve">This format is aligned to </w:t>
      </w:r>
      <w:r w:rsidRPr="009B5710">
        <w:t xml:space="preserve">AASB 1049 </w:t>
      </w:r>
      <w:r w:rsidRPr="009B5710">
        <w:rPr>
          <w:rStyle w:val="LightItalic"/>
          <w:rFonts w:asciiTheme="minorHAnsi" w:hAnsiTheme="minorHAnsi" w:cstheme="minorHAnsi"/>
        </w:rPr>
        <w:t>Whole of Government and General Government Sector Financial Reporting</w:t>
      </w:r>
      <w:r>
        <w:t>.</w:t>
      </w:r>
    </w:p>
    <w:p w14:paraId="790A693D" w14:textId="77777777" w:rsidR="00B02873" w:rsidRDefault="00B02873" w:rsidP="009B5710">
      <w:pPr>
        <w:pStyle w:val="Heading3"/>
      </w:pPr>
      <w:bookmarkStart w:id="57" w:name="_Ref117433013"/>
      <w:r>
        <w:t>Statement of changes in equity for the financial year ended 30 June 2022</w:t>
      </w:r>
      <w:r>
        <w:rPr>
          <w:vertAlign w:val="superscript"/>
        </w:rPr>
        <w:t>(i)</w:t>
      </w:r>
      <w:bookmarkEnd w:id="57"/>
    </w:p>
    <w:tbl>
      <w:tblPr>
        <w:tblStyle w:val="TableGrid"/>
        <w:tblW w:w="9858" w:type="dxa"/>
        <w:tblLayout w:type="fixed"/>
        <w:tblLook w:val="0020" w:firstRow="1" w:lastRow="0" w:firstColumn="0" w:lastColumn="0" w:noHBand="0" w:noVBand="0"/>
      </w:tblPr>
      <w:tblGrid>
        <w:gridCol w:w="3823"/>
        <w:gridCol w:w="1021"/>
        <w:gridCol w:w="1385"/>
        <w:gridCol w:w="1191"/>
        <w:gridCol w:w="1304"/>
        <w:gridCol w:w="1134"/>
      </w:tblGrid>
      <w:tr w:rsidR="00B02873" w:rsidRPr="00B02873" w14:paraId="21DF14AA" w14:textId="77777777" w:rsidTr="009B5710">
        <w:trPr>
          <w:cnfStyle w:val="100000000000" w:firstRow="1" w:lastRow="0" w:firstColumn="0" w:lastColumn="0" w:oddVBand="0" w:evenVBand="0" w:oddHBand="0" w:evenHBand="0" w:firstRowFirstColumn="0" w:firstRowLastColumn="0" w:lastRowFirstColumn="0" w:lastRowLastColumn="0"/>
          <w:trHeight w:val="60"/>
          <w:tblHeader/>
        </w:trPr>
        <w:tc>
          <w:tcPr>
            <w:tcW w:w="3823" w:type="dxa"/>
          </w:tcPr>
          <w:p w14:paraId="1F743369" w14:textId="77777777" w:rsidR="00B02873" w:rsidRPr="00B02873" w:rsidRDefault="00B02873" w:rsidP="009B5710">
            <w:pPr>
              <w:pStyle w:val="TableheadingleftFinancialsTables"/>
            </w:pPr>
          </w:p>
        </w:tc>
        <w:tc>
          <w:tcPr>
            <w:tcW w:w="1021" w:type="dxa"/>
          </w:tcPr>
          <w:p w14:paraId="47E517E3" w14:textId="77777777" w:rsidR="00B02873" w:rsidRDefault="00B02873" w:rsidP="009B5710">
            <w:pPr>
              <w:pStyle w:val="TableheadingleftFinancialsTables"/>
            </w:pPr>
            <w:r>
              <w:t>Notes</w:t>
            </w:r>
          </w:p>
        </w:tc>
        <w:tc>
          <w:tcPr>
            <w:tcW w:w="1385" w:type="dxa"/>
          </w:tcPr>
          <w:p w14:paraId="3AD24A03" w14:textId="77777777" w:rsidR="00B02873" w:rsidRDefault="00B02873" w:rsidP="009B5710">
            <w:pPr>
              <w:pStyle w:val="TableheadingleftFinancialsTables"/>
              <w:jc w:val="right"/>
            </w:pPr>
            <w:r>
              <w:t>Accumulated surplus/ (deficit)</w:t>
            </w:r>
            <w:r>
              <w:br/>
              <w:t>$’000</w:t>
            </w:r>
          </w:p>
        </w:tc>
        <w:tc>
          <w:tcPr>
            <w:tcW w:w="1191" w:type="dxa"/>
          </w:tcPr>
          <w:p w14:paraId="306E3A2B" w14:textId="77777777" w:rsidR="00B02873" w:rsidRDefault="00B02873" w:rsidP="009B5710">
            <w:pPr>
              <w:pStyle w:val="TableheadingleftFinancialsTables"/>
              <w:jc w:val="right"/>
            </w:pPr>
            <w:r>
              <w:t>Physical asset revaluation surplus</w:t>
            </w:r>
            <w:r>
              <w:br/>
              <w:t>$’000</w:t>
            </w:r>
          </w:p>
        </w:tc>
        <w:tc>
          <w:tcPr>
            <w:tcW w:w="1304" w:type="dxa"/>
          </w:tcPr>
          <w:p w14:paraId="0FBA5EBD" w14:textId="77777777" w:rsidR="00B02873" w:rsidRDefault="00B02873" w:rsidP="009B5710">
            <w:pPr>
              <w:pStyle w:val="TableheadingleftFinancialsTables"/>
              <w:jc w:val="right"/>
            </w:pPr>
            <w:r>
              <w:rPr>
                <w:spacing w:val="-4"/>
              </w:rPr>
              <w:t>Contributed capital</w:t>
            </w:r>
            <w:r>
              <w:rPr>
                <w:spacing w:val="-4"/>
              </w:rPr>
              <w:br/>
              <w:t>$’000</w:t>
            </w:r>
          </w:p>
        </w:tc>
        <w:tc>
          <w:tcPr>
            <w:tcW w:w="1134" w:type="dxa"/>
          </w:tcPr>
          <w:p w14:paraId="7BD12756" w14:textId="77777777" w:rsidR="00B02873" w:rsidRDefault="00B02873" w:rsidP="009B5710">
            <w:pPr>
              <w:pStyle w:val="TableheadingleftFinancialsTables"/>
              <w:jc w:val="right"/>
            </w:pPr>
            <w:r>
              <w:t>Total</w:t>
            </w:r>
            <w:r>
              <w:br/>
              <w:t>$’000</w:t>
            </w:r>
          </w:p>
        </w:tc>
      </w:tr>
      <w:tr w:rsidR="00B02873" w:rsidRPr="009B5710" w14:paraId="3DF01BAF" w14:textId="77777777" w:rsidTr="009B5710">
        <w:trPr>
          <w:trHeight w:val="60"/>
        </w:trPr>
        <w:tc>
          <w:tcPr>
            <w:tcW w:w="3823" w:type="dxa"/>
          </w:tcPr>
          <w:p w14:paraId="06289281" w14:textId="77777777" w:rsidR="00B02873" w:rsidRPr="009B5710" w:rsidRDefault="00B02873" w:rsidP="009B5710">
            <w:pPr>
              <w:pStyle w:val="TablebodyleftFinancialsTables"/>
              <w:rPr>
                <w:rFonts w:asciiTheme="minorHAnsi" w:hAnsiTheme="minorHAnsi" w:cstheme="minorHAnsi"/>
                <w:b/>
                <w:bCs/>
              </w:rPr>
            </w:pPr>
            <w:r w:rsidRPr="009B5710">
              <w:rPr>
                <w:rFonts w:asciiTheme="minorHAnsi" w:hAnsiTheme="minorHAnsi" w:cstheme="minorHAnsi"/>
                <w:b/>
                <w:bCs/>
              </w:rPr>
              <w:t>Balance at 1 July 2020</w:t>
            </w:r>
          </w:p>
        </w:tc>
        <w:tc>
          <w:tcPr>
            <w:tcW w:w="1021" w:type="dxa"/>
          </w:tcPr>
          <w:p w14:paraId="5D89230C" w14:textId="77777777" w:rsidR="00B02873" w:rsidRPr="009B5710" w:rsidRDefault="00B02873" w:rsidP="009B5710">
            <w:pPr>
              <w:pStyle w:val="TablebodyleftFinancialsTables"/>
              <w:rPr>
                <w:rFonts w:asciiTheme="minorHAnsi" w:hAnsiTheme="minorHAnsi" w:cstheme="minorHAnsi"/>
                <w:b/>
                <w:bCs/>
              </w:rPr>
            </w:pPr>
          </w:p>
        </w:tc>
        <w:tc>
          <w:tcPr>
            <w:tcW w:w="1385" w:type="dxa"/>
          </w:tcPr>
          <w:p w14:paraId="7112686F" w14:textId="77777777" w:rsidR="00B02873" w:rsidRPr="009B5710" w:rsidRDefault="00B02873" w:rsidP="009B5710">
            <w:pPr>
              <w:pStyle w:val="TablebodyleftFinancialsTables"/>
              <w:jc w:val="right"/>
              <w:rPr>
                <w:rFonts w:asciiTheme="minorHAnsi" w:hAnsiTheme="minorHAnsi" w:cstheme="minorHAnsi"/>
                <w:b/>
                <w:bCs/>
              </w:rPr>
            </w:pPr>
            <w:r w:rsidRPr="009B5710">
              <w:rPr>
                <w:rFonts w:asciiTheme="minorHAnsi" w:hAnsiTheme="minorHAnsi" w:cstheme="minorHAnsi"/>
                <w:b/>
                <w:bCs/>
              </w:rPr>
              <w:t>3,125,384</w:t>
            </w:r>
          </w:p>
        </w:tc>
        <w:tc>
          <w:tcPr>
            <w:tcW w:w="1191" w:type="dxa"/>
          </w:tcPr>
          <w:p w14:paraId="6A3D6BCC" w14:textId="77777777" w:rsidR="00B02873" w:rsidRPr="009B5710" w:rsidRDefault="00B02873" w:rsidP="009B5710">
            <w:pPr>
              <w:pStyle w:val="TablebodyleftFinancialsTables"/>
              <w:jc w:val="right"/>
              <w:rPr>
                <w:rFonts w:asciiTheme="minorHAnsi" w:hAnsiTheme="minorHAnsi" w:cstheme="minorHAnsi"/>
                <w:b/>
                <w:bCs/>
              </w:rPr>
            </w:pPr>
            <w:r w:rsidRPr="009B5710">
              <w:rPr>
                <w:rFonts w:asciiTheme="minorHAnsi" w:hAnsiTheme="minorHAnsi" w:cstheme="minorHAnsi"/>
                <w:b/>
                <w:bCs/>
              </w:rPr>
              <w:t>4,862,639</w:t>
            </w:r>
          </w:p>
        </w:tc>
        <w:tc>
          <w:tcPr>
            <w:tcW w:w="1304" w:type="dxa"/>
          </w:tcPr>
          <w:p w14:paraId="515D6C84" w14:textId="77777777" w:rsidR="00B02873" w:rsidRPr="009B5710" w:rsidRDefault="00B02873" w:rsidP="009B5710">
            <w:pPr>
              <w:pStyle w:val="TablebodyleftFinancialsTables"/>
              <w:jc w:val="right"/>
              <w:rPr>
                <w:rFonts w:asciiTheme="minorHAnsi" w:hAnsiTheme="minorHAnsi" w:cstheme="minorHAnsi"/>
                <w:b/>
                <w:bCs/>
              </w:rPr>
            </w:pPr>
            <w:r w:rsidRPr="009B5710">
              <w:rPr>
                <w:rFonts w:asciiTheme="minorHAnsi" w:hAnsiTheme="minorHAnsi" w:cstheme="minorHAnsi"/>
                <w:b/>
                <w:bCs/>
              </w:rPr>
              <w:t>68,925</w:t>
            </w:r>
          </w:p>
        </w:tc>
        <w:tc>
          <w:tcPr>
            <w:tcW w:w="1134" w:type="dxa"/>
          </w:tcPr>
          <w:p w14:paraId="0818E404" w14:textId="77777777" w:rsidR="00B02873" w:rsidRPr="009B5710" w:rsidRDefault="00B02873" w:rsidP="009B5710">
            <w:pPr>
              <w:pStyle w:val="TablebodyleftFinancialsTables"/>
              <w:jc w:val="right"/>
              <w:rPr>
                <w:rFonts w:asciiTheme="minorHAnsi" w:hAnsiTheme="minorHAnsi" w:cstheme="minorHAnsi"/>
                <w:b/>
                <w:bCs/>
              </w:rPr>
            </w:pPr>
            <w:r w:rsidRPr="009B5710">
              <w:rPr>
                <w:rFonts w:asciiTheme="minorHAnsi" w:hAnsiTheme="minorHAnsi" w:cstheme="minorHAnsi"/>
                <w:b/>
                <w:bCs/>
              </w:rPr>
              <w:t>8,056,948</w:t>
            </w:r>
          </w:p>
        </w:tc>
      </w:tr>
      <w:tr w:rsidR="00B02873" w:rsidRPr="009B5710" w14:paraId="17830A51" w14:textId="77777777" w:rsidTr="009B5710">
        <w:trPr>
          <w:trHeight w:val="60"/>
        </w:trPr>
        <w:tc>
          <w:tcPr>
            <w:tcW w:w="3823" w:type="dxa"/>
          </w:tcPr>
          <w:p w14:paraId="3F62E530" w14:textId="77777777" w:rsidR="00B02873" w:rsidRPr="009B5710" w:rsidRDefault="00B02873" w:rsidP="009B5710">
            <w:pPr>
              <w:pStyle w:val="TablebodyleftFinancialsTables"/>
              <w:rPr>
                <w:rFonts w:asciiTheme="minorHAnsi" w:hAnsiTheme="minorHAnsi" w:cstheme="minorHAnsi"/>
              </w:rPr>
            </w:pPr>
            <w:r w:rsidRPr="009B5710">
              <w:rPr>
                <w:rFonts w:asciiTheme="minorHAnsi" w:hAnsiTheme="minorHAnsi" w:cstheme="minorHAnsi"/>
              </w:rPr>
              <w:t xml:space="preserve">Net result for the year </w:t>
            </w:r>
          </w:p>
        </w:tc>
        <w:tc>
          <w:tcPr>
            <w:tcW w:w="1021" w:type="dxa"/>
          </w:tcPr>
          <w:p w14:paraId="4FFF2965" w14:textId="77777777" w:rsidR="00B02873" w:rsidRPr="009B5710" w:rsidRDefault="00B02873" w:rsidP="009B5710">
            <w:pPr>
              <w:pStyle w:val="TablebodyleftFinancialsTables"/>
              <w:rPr>
                <w:rFonts w:asciiTheme="minorHAnsi" w:hAnsiTheme="minorHAnsi" w:cstheme="minorHAnsi"/>
              </w:rPr>
            </w:pPr>
          </w:p>
        </w:tc>
        <w:tc>
          <w:tcPr>
            <w:tcW w:w="1385" w:type="dxa"/>
          </w:tcPr>
          <w:p w14:paraId="0AE3E20F" w14:textId="77777777" w:rsidR="00B02873" w:rsidRPr="009B5710" w:rsidRDefault="00B02873" w:rsidP="009B5710">
            <w:pPr>
              <w:pStyle w:val="TablebodyleftFinancialsTables"/>
              <w:jc w:val="right"/>
              <w:rPr>
                <w:rFonts w:asciiTheme="minorHAnsi" w:hAnsiTheme="minorHAnsi" w:cstheme="minorHAnsi"/>
              </w:rPr>
            </w:pPr>
            <w:r w:rsidRPr="009B5710">
              <w:rPr>
                <w:rFonts w:asciiTheme="minorHAnsi" w:hAnsiTheme="minorHAnsi" w:cstheme="minorHAnsi"/>
              </w:rPr>
              <w:t>769,765</w:t>
            </w:r>
          </w:p>
        </w:tc>
        <w:tc>
          <w:tcPr>
            <w:tcW w:w="1191" w:type="dxa"/>
          </w:tcPr>
          <w:p w14:paraId="63640F2C" w14:textId="77777777" w:rsidR="00B02873" w:rsidRPr="009B5710" w:rsidRDefault="00B02873" w:rsidP="009B5710">
            <w:pPr>
              <w:pStyle w:val="TablebodyleftFinancialsTables"/>
              <w:jc w:val="right"/>
              <w:rPr>
                <w:rFonts w:asciiTheme="minorHAnsi" w:hAnsiTheme="minorHAnsi" w:cstheme="minorHAnsi"/>
              </w:rPr>
            </w:pPr>
            <w:r w:rsidRPr="009B5710">
              <w:rPr>
                <w:rFonts w:asciiTheme="minorHAnsi" w:hAnsiTheme="minorHAnsi" w:cstheme="minorHAnsi"/>
              </w:rPr>
              <w:t>–</w:t>
            </w:r>
          </w:p>
        </w:tc>
        <w:tc>
          <w:tcPr>
            <w:tcW w:w="1304" w:type="dxa"/>
          </w:tcPr>
          <w:p w14:paraId="10A6EDE5" w14:textId="77777777" w:rsidR="00B02873" w:rsidRPr="009B5710" w:rsidRDefault="00B02873" w:rsidP="009B5710">
            <w:pPr>
              <w:pStyle w:val="TablebodyleftFinancialsTables"/>
              <w:jc w:val="right"/>
              <w:rPr>
                <w:rFonts w:asciiTheme="minorHAnsi" w:hAnsiTheme="minorHAnsi" w:cstheme="minorHAnsi"/>
              </w:rPr>
            </w:pPr>
            <w:r w:rsidRPr="009B5710">
              <w:rPr>
                <w:rFonts w:asciiTheme="minorHAnsi" w:hAnsiTheme="minorHAnsi" w:cstheme="minorHAnsi"/>
              </w:rPr>
              <w:t>–</w:t>
            </w:r>
          </w:p>
        </w:tc>
        <w:tc>
          <w:tcPr>
            <w:tcW w:w="1134" w:type="dxa"/>
          </w:tcPr>
          <w:p w14:paraId="6F0114AC" w14:textId="77777777" w:rsidR="00B02873" w:rsidRPr="009B5710" w:rsidRDefault="00B02873" w:rsidP="009B5710">
            <w:pPr>
              <w:pStyle w:val="TablebodyleftFinancialsTables"/>
              <w:jc w:val="right"/>
              <w:rPr>
                <w:rFonts w:asciiTheme="minorHAnsi" w:hAnsiTheme="minorHAnsi" w:cstheme="minorHAnsi"/>
              </w:rPr>
            </w:pPr>
            <w:r w:rsidRPr="009B5710">
              <w:rPr>
                <w:rFonts w:asciiTheme="minorHAnsi" w:hAnsiTheme="minorHAnsi" w:cstheme="minorHAnsi"/>
              </w:rPr>
              <w:t>769,765</w:t>
            </w:r>
          </w:p>
        </w:tc>
      </w:tr>
      <w:tr w:rsidR="00B02873" w:rsidRPr="009B5710" w14:paraId="3ED77DB0" w14:textId="77777777" w:rsidTr="009B5710">
        <w:trPr>
          <w:trHeight w:val="60"/>
        </w:trPr>
        <w:tc>
          <w:tcPr>
            <w:tcW w:w="3823" w:type="dxa"/>
          </w:tcPr>
          <w:p w14:paraId="192F7469" w14:textId="77777777" w:rsidR="00B02873" w:rsidRPr="009B5710" w:rsidRDefault="00B02873" w:rsidP="009B5710">
            <w:pPr>
              <w:pStyle w:val="TablebodyleftFinancialsTables"/>
              <w:rPr>
                <w:rFonts w:asciiTheme="minorHAnsi" w:hAnsiTheme="minorHAnsi" w:cstheme="minorHAnsi"/>
              </w:rPr>
            </w:pPr>
            <w:r w:rsidRPr="009B5710">
              <w:rPr>
                <w:rFonts w:asciiTheme="minorHAnsi" w:hAnsiTheme="minorHAnsi" w:cstheme="minorHAnsi"/>
              </w:rPr>
              <w:t xml:space="preserve">Other comprehensive income for the year </w:t>
            </w:r>
          </w:p>
        </w:tc>
        <w:tc>
          <w:tcPr>
            <w:tcW w:w="1021" w:type="dxa"/>
          </w:tcPr>
          <w:p w14:paraId="4C918F59" w14:textId="77777777" w:rsidR="00B02873" w:rsidRPr="009B5710" w:rsidRDefault="00B02873" w:rsidP="009B5710">
            <w:pPr>
              <w:pStyle w:val="TablebodyleftFinancialsTables"/>
              <w:rPr>
                <w:rFonts w:asciiTheme="minorHAnsi" w:hAnsiTheme="minorHAnsi" w:cstheme="minorHAnsi"/>
              </w:rPr>
            </w:pPr>
            <w:r w:rsidRPr="009B5710">
              <w:rPr>
                <w:rFonts w:asciiTheme="minorHAnsi" w:hAnsiTheme="minorHAnsi" w:cstheme="minorHAnsi"/>
              </w:rPr>
              <w:t>9.3.1</w:t>
            </w:r>
          </w:p>
        </w:tc>
        <w:tc>
          <w:tcPr>
            <w:tcW w:w="1385" w:type="dxa"/>
          </w:tcPr>
          <w:p w14:paraId="073533CF" w14:textId="77777777" w:rsidR="00B02873" w:rsidRPr="009B5710" w:rsidRDefault="00B02873" w:rsidP="009B5710">
            <w:pPr>
              <w:pStyle w:val="TablebodyleftFinancialsTables"/>
              <w:jc w:val="right"/>
              <w:rPr>
                <w:rFonts w:asciiTheme="minorHAnsi" w:hAnsiTheme="minorHAnsi" w:cstheme="minorHAnsi"/>
              </w:rPr>
            </w:pPr>
            <w:r w:rsidRPr="009B5710">
              <w:rPr>
                <w:rFonts w:asciiTheme="minorHAnsi" w:hAnsiTheme="minorHAnsi" w:cstheme="minorHAnsi"/>
              </w:rPr>
              <w:t>–</w:t>
            </w:r>
          </w:p>
        </w:tc>
        <w:tc>
          <w:tcPr>
            <w:tcW w:w="1191" w:type="dxa"/>
          </w:tcPr>
          <w:p w14:paraId="1F1143F3" w14:textId="77777777" w:rsidR="00B02873" w:rsidRPr="009B5710" w:rsidRDefault="00B02873" w:rsidP="009B5710">
            <w:pPr>
              <w:pStyle w:val="TablebodyleftFinancialsTables"/>
              <w:jc w:val="right"/>
              <w:rPr>
                <w:rFonts w:asciiTheme="minorHAnsi" w:hAnsiTheme="minorHAnsi" w:cstheme="minorHAnsi"/>
              </w:rPr>
            </w:pPr>
            <w:r w:rsidRPr="009B5710">
              <w:rPr>
                <w:rFonts w:asciiTheme="minorHAnsi" w:hAnsiTheme="minorHAnsi" w:cstheme="minorHAnsi"/>
              </w:rPr>
              <w:t>702,045</w:t>
            </w:r>
          </w:p>
        </w:tc>
        <w:tc>
          <w:tcPr>
            <w:tcW w:w="1304" w:type="dxa"/>
          </w:tcPr>
          <w:p w14:paraId="74687A25" w14:textId="77777777" w:rsidR="00B02873" w:rsidRPr="009B5710" w:rsidRDefault="00B02873" w:rsidP="009B5710">
            <w:pPr>
              <w:pStyle w:val="TablebodyleftFinancialsTables"/>
              <w:jc w:val="right"/>
              <w:rPr>
                <w:rFonts w:asciiTheme="minorHAnsi" w:hAnsiTheme="minorHAnsi" w:cstheme="minorHAnsi"/>
              </w:rPr>
            </w:pPr>
            <w:r w:rsidRPr="009B5710">
              <w:rPr>
                <w:rFonts w:asciiTheme="minorHAnsi" w:hAnsiTheme="minorHAnsi" w:cstheme="minorHAnsi"/>
              </w:rPr>
              <w:t>–</w:t>
            </w:r>
          </w:p>
        </w:tc>
        <w:tc>
          <w:tcPr>
            <w:tcW w:w="1134" w:type="dxa"/>
          </w:tcPr>
          <w:p w14:paraId="6722D879" w14:textId="77777777" w:rsidR="00B02873" w:rsidRPr="009B5710" w:rsidRDefault="00B02873" w:rsidP="009B5710">
            <w:pPr>
              <w:pStyle w:val="TablebodyleftFinancialsTables"/>
              <w:jc w:val="right"/>
              <w:rPr>
                <w:rFonts w:asciiTheme="minorHAnsi" w:hAnsiTheme="minorHAnsi" w:cstheme="minorHAnsi"/>
              </w:rPr>
            </w:pPr>
            <w:r w:rsidRPr="009B5710">
              <w:rPr>
                <w:rFonts w:asciiTheme="minorHAnsi" w:hAnsiTheme="minorHAnsi" w:cstheme="minorHAnsi"/>
              </w:rPr>
              <w:t>702,045</w:t>
            </w:r>
          </w:p>
        </w:tc>
      </w:tr>
      <w:tr w:rsidR="00B02873" w:rsidRPr="009B5710" w14:paraId="4E5AF290" w14:textId="77777777" w:rsidTr="009B5710">
        <w:trPr>
          <w:trHeight w:val="60"/>
        </w:trPr>
        <w:tc>
          <w:tcPr>
            <w:tcW w:w="3823" w:type="dxa"/>
          </w:tcPr>
          <w:p w14:paraId="6BFD99B5" w14:textId="77777777" w:rsidR="00B02873" w:rsidRPr="009B5710" w:rsidRDefault="00B02873" w:rsidP="009B5710">
            <w:pPr>
              <w:pStyle w:val="TablebodyleftFinancialsTables"/>
              <w:rPr>
                <w:rFonts w:asciiTheme="minorHAnsi" w:hAnsiTheme="minorHAnsi" w:cstheme="minorHAnsi"/>
              </w:rPr>
            </w:pPr>
            <w:r w:rsidRPr="009B5710">
              <w:rPr>
                <w:rFonts w:asciiTheme="minorHAnsi" w:hAnsiTheme="minorHAnsi" w:cstheme="minorHAnsi"/>
              </w:rPr>
              <w:t>Additions to Net Asset Base</w:t>
            </w:r>
          </w:p>
        </w:tc>
        <w:tc>
          <w:tcPr>
            <w:tcW w:w="1021" w:type="dxa"/>
          </w:tcPr>
          <w:p w14:paraId="7AFEAD9C" w14:textId="77777777" w:rsidR="00B02873" w:rsidRPr="009B5710" w:rsidRDefault="00B02873" w:rsidP="009B5710">
            <w:pPr>
              <w:pStyle w:val="TablebodyleftFinancialsTables"/>
              <w:rPr>
                <w:rFonts w:asciiTheme="minorHAnsi" w:hAnsiTheme="minorHAnsi" w:cstheme="minorHAnsi"/>
              </w:rPr>
            </w:pPr>
            <w:r w:rsidRPr="009B5710">
              <w:rPr>
                <w:rFonts w:asciiTheme="minorHAnsi" w:hAnsiTheme="minorHAnsi" w:cstheme="minorHAnsi"/>
              </w:rPr>
              <w:t>2.2.1</w:t>
            </w:r>
          </w:p>
        </w:tc>
        <w:tc>
          <w:tcPr>
            <w:tcW w:w="1385" w:type="dxa"/>
          </w:tcPr>
          <w:p w14:paraId="1757396D" w14:textId="77777777" w:rsidR="00B02873" w:rsidRPr="009B5710" w:rsidRDefault="00B02873" w:rsidP="009B5710">
            <w:pPr>
              <w:pStyle w:val="TablebodyleftFinancialsTables"/>
              <w:jc w:val="right"/>
              <w:rPr>
                <w:rFonts w:asciiTheme="minorHAnsi" w:hAnsiTheme="minorHAnsi" w:cstheme="minorHAnsi"/>
              </w:rPr>
            </w:pPr>
            <w:r w:rsidRPr="009B5710">
              <w:rPr>
                <w:rFonts w:asciiTheme="minorHAnsi" w:hAnsiTheme="minorHAnsi" w:cstheme="minorHAnsi"/>
              </w:rPr>
              <w:t>–</w:t>
            </w:r>
          </w:p>
        </w:tc>
        <w:tc>
          <w:tcPr>
            <w:tcW w:w="1191" w:type="dxa"/>
          </w:tcPr>
          <w:p w14:paraId="0842D8E7" w14:textId="77777777" w:rsidR="00B02873" w:rsidRPr="009B5710" w:rsidRDefault="00B02873" w:rsidP="009B5710">
            <w:pPr>
              <w:pStyle w:val="TablebodyleftFinancialsTables"/>
              <w:jc w:val="right"/>
              <w:rPr>
                <w:rFonts w:asciiTheme="minorHAnsi" w:hAnsiTheme="minorHAnsi" w:cstheme="minorHAnsi"/>
              </w:rPr>
            </w:pPr>
            <w:r w:rsidRPr="009B5710">
              <w:rPr>
                <w:rFonts w:asciiTheme="minorHAnsi" w:hAnsiTheme="minorHAnsi" w:cstheme="minorHAnsi"/>
              </w:rPr>
              <w:t>–</w:t>
            </w:r>
          </w:p>
        </w:tc>
        <w:tc>
          <w:tcPr>
            <w:tcW w:w="1304" w:type="dxa"/>
          </w:tcPr>
          <w:p w14:paraId="0787C247" w14:textId="77777777" w:rsidR="00B02873" w:rsidRPr="009B5710" w:rsidRDefault="00B02873" w:rsidP="009B5710">
            <w:pPr>
              <w:pStyle w:val="TablebodyleftFinancialsTables"/>
              <w:jc w:val="right"/>
              <w:rPr>
                <w:rFonts w:asciiTheme="minorHAnsi" w:hAnsiTheme="minorHAnsi" w:cstheme="minorHAnsi"/>
              </w:rPr>
            </w:pPr>
            <w:r w:rsidRPr="009B5710">
              <w:rPr>
                <w:rFonts w:asciiTheme="minorHAnsi" w:hAnsiTheme="minorHAnsi" w:cstheme="minorHAnsi"/>
              </w:rPr>
              <w:t>166,222</w:t>
            </w:r>
          </w:p>
        </w:tc>
        <w:tc>
          <w:tcPr>
            <w:tcW w:w="1134" w:type="dxa"/>
          </w:tcPr>
          <w:p w14:paraId="7E34E5A5" w14:textId="77777777" w:rsidR="00B02873" w:rsidRPr="009B5710" w:rsidRDefault="00B02873" w:rsidP="009B5710">
            <w:pPr>
              <w:pStyle w:val="TablebodyleftFinancialsTables"/>
              <w:jc w:val="right"/>
              <w:rPr>
                <w:rFonts w:asciiTheme="minorHAnsi" w:hAnsiTheme="minorHAnsi" w:cstheme="minorHAnsi"/>
              </w:rPr>
            </w:pPr>
            <w:r w:rsidRPr="009B5710">
              <w:rPr>
                <w:rFonts w:asciiTheme="minorHAnsi" w:hAnsiTheme="minorHAnsi" w:cstheme="minorHAnsi"/>
              </w:rPr>
              <w:t>166,222</w:t>
            </w:r>
          </w:p>
        </w:tc>
      </w:tr>
      <w:tr w:rsidR="00B02873" w:rsidRPr="009B5710" w14:paraId="52AF4249" w14:textId="77777777" w:rsidTr="009B5710">
        <w:trPr>
          <w:trHeight w:val="60"/>
        </w:trPr>
        <w:tc>
          <w:tcPr>
            <w:tcW w:w="3823" w:type="dxa"/>
          </w:tcPr>
          <w:p w14:paraId="12184F77" w14:textId="77777777" w:rsidR="00B02873" w:rsidRPr="009B5710" w:rsidRDefault="00B02873" w:rsidP="009B5710">
            <w:pPr>
              <w:pStyle w:val="TablebodyleftFinancialsTables"/>
              <w:rPr>
                <w:rFonts w:asciiTheme="minorHAnsi" w:hAnsiTheme="minorHAnsi" w:cstheme="minorHAnsi"/>
              </w:rPr>
            </w:pPr>
            <w:r w:rsidRPr="009B5710">
              <w:rPr>
                <w:rFonts w:asciiTheme="minorHAnsi" w:hAnsiTheme="minorHAnsi" w:cstheme="minorHAnsi"/>
              </w:rPr>
              <w:t>Capital contributions of assets</w:t>
            </w:r>
            <w:r w:rsidRPr="009B5710">
              <w:rPr>
                <w:rFonts w:asciiTheme="minorHAnsi" w:hAnsiTheme="minorHAnsi" w:cstheme="minorHAnsi"/>
                <w:vertAlign w:val="superscript"/>
              </w:rPr>
              <w:t>(ii)</w:t>
            </w:r>
            <w:r w:rsidRPr="009B5710">
              <w:rPr>
                <w:rFonts w:asciiTheme="minorHAnsi" w:hAnsiTheme="minorHAnsi" w:cstheme="minorHAnsi"/>
              </w:rPr>
              <w:t xml:space="preserve"> </w:t>
            </w:r>
          </w:p>
        </w:tc>
        <w:tc>
          <w:tcPr>
            <w:tcW w:w="1021" w:type="dxa"/>
          </w:tcPr>
          <w:p w14:paraId="49AD30D7" w14:textId="77777777" w:rsidR="00B02873" w:rsidRPr="009B5710" w:rsidRDefault="00B02873" w:rsidP="009B5710">
            <w:pPr>
              <w:pStyle w:val="TablebodyleftFinancialsTables"/>
              <w:rPr>
                <w:rFonts w:asciiTheme="minorHAnsi" w:hAnsiTheme="minorHAnsi" w:cstheme="minorHAnsi"/>
              </w:rPr>
            </w:pPr>
            <w:r w:rsidRPr="009B5710">
              <w:rPr>
                <w:rFonts w:asciiTheme="minorHAnsi" w:hAnsiTheme="minorHAnsi" w:cstheme="minorHAnsi"/>
              </w:rPr>
              <w:t xml:space="preserve"> </w:t>
            </w:r>
          </w:p>
        </w:tc>
        <w:tc>
          <w:tcPr>
            <w:tcW w:w="1385" w:type="dxa"/>
          </w:tcPr>
          <w:p w14:paraId="1437932E" w14:textId="77777777" w:rsidR="00B02873" w:rsidRPr="009B5710" w:rsidRDefault="00B02873" w:rsidP="009B5710">
            <w:pPr>
              <w:pStyle w:val="TablebodyleftFinancialsTables"/>
              <w:jc w:val="right"/>
              <w:rPr>
                <w:rFonts w:asciiTheme="minorHAnsi" w:hAnsiTheme="minorHAnsi" w:cstheme="minorHAnsi"/>
              </w:rPr>
            </w:pPr>
            <w:r w:rsidRPr="009B5710">
              <w:rPr>
                <w:rFonts w:asciiTheme="minorHAnsi" w:hAnsiTheme="minorHAnsi" w:cstheme="minorHAnsi"/>
              </w:rPr>
              <w:t>–</w:t>
            </w:r>
          </w:p>
        </w:tc>
        <w:tc>
          <w:tcPr>
            <w:tcW w:w="1191" w:type="dxa"/>
          </w:tcPr>
          <w:p w14:paraId="331614D8" w14:textId="77777777" w:rsidR="00B02873" w:rsidRPr="009B5710" w:rsidRDefault="00B02873" w:rsidP="009B5710">
            <w:pPr>
              <w:pStyle w:val="TablebodyleftFinancialsTables"/>
              <w:jc w:val="right"/>
              <w:rPr>
                <w:rFonts w:asciiTheme="minorHAnsi" w:hAnsiTheme="minorHAnsi" w:cstheme="minorHAnsi"/>
              </w:rPr>
            </w:pPr>
            <w:r w:rsidRPr="009B5710">
              <w:rPr>
                <w:rFonts w:asciiTheme="minorHAnsi" w:hAnsiTheme="minorHAnsi" w:cstheme="minorHAnsi"/>
              </w:rPr>
              <w:t>–</w:t>
            </w:r>
          </w:p>
        </w:tc>
        <w:tc>
          <w:tcPr>
            <w:tcW w:w="1304" w:type="dxa"/>
          </w:tcPr>
          <w:p w14:paraId="712A60BB" w14:textId="77777777" w:rsidR="00B02873" w:rsidRPr="009B5710" w:rsidRDefault="00B02873" w:rsidP="009B5710">
            <w:pPr>
              <w:pStyle w:val="TablebodyleftFinancialsTables"/>
              <w:jc w:val="right"/>
              <w:rPr>
                <w:rFonts w:asciiTheme="minorHAnsi" w:hAnsiTheme="minorHAnsi" w:cstheme="minorHAnsi"/>
              </w:rPr>
            </w:pPr>
            <w:r w:rsidRPr="009B5710">
              <w:rPr>
                <w:rFonts w:asciiTheme="minorHAnsi" w:hAnsiTheme="minorHAnsi" w:cstheme="minorHAnsi"/>
              </w:rPr>
              <w:t>(11,760)</w:t>
            </w:r>
          </w:p>
        </w:tc>
        <w:tc>
          <w:tcPr>
            <w:tcW w:w="1134" w:type="dxa"/>
          </w:tcPr>
          <w:p w14:paraId="01CDE3F8" w14:textId="77777777" w:rsidR="00B02873" w:rsidRPr="009B5710" w:rsidRDefault="00B02873" w:rsidP="009B5710">
            <w:pPr>
              <w:pStyle w:val="TablebodyleftFinancialsTables"/>
              <w:jc w:val="right"/>
              <w:rPr>
                <w:rFonts w:asciiTheme="minorHAnsi" w:hAnsiTheme="minorHAnsi" w:cstheme="minorHAnsi"/>
              </w:rPr>
            </w:pPr>
            <w:r w:rsidRPr="009B5710">
              <w:rPr>
                <w:rFonts w:asciiTheme="minorHAnsi" w:hAnsiTheme="minorHAnsi" w:cstheme="minorHAnsi"/>
              </w:rPr>
              <w:t>(11,760)</w:t>
            </w:r>
          </w:p>
        </w:tc>
      </w:tr>
      <w:tr w:rsidR="00B02873" w:rsidRPr="009B5710" w14:paraId="301C966C" w14:textId="77777777" w:rsidTr="009B5710">
        <w:trPr>
          <w:trHeight w:val="60"/>
        </w:trPr>
        <w:tc>
          <w:tcPr>
            <w:tcW w:w="3823" w:type="dxa"/>
          </w:tcPr>
          <w:p w14:paraId="288ED645" w14:textId="1A44A633" w:rsidR="00B02873" w:rsidRPr="009B5710" w:rsidRDefault="00B02873" w:rsidP="009B5710">
            <w:pPr>
              <w:pStyle w:val="TablebodyleftFinancialsTables"/>
              <w:rPr>
                <w:rFonts w:asciiTheme="minorHAnsi" w:hAnsiTheme="minorHAnsi" w:cstheme="minorHAnsi"/>
              </w:rPr>
            </w:pPr>
            <w:r w:rsidRPr="009B5710">
              <w:rPr>
                <w:rFonts w:asciiTheme="minorHAnsi" w:hAnsiTheme="minorHAnsi" w:cstheme="minorHAnsi"/>
              </w:rPr>
              <w:t>Capital contributions transferred to portfolio entities</w:t>
            </w:r>
          </w:p>
        </w:tc>
        <w:tc>
          <w:tcPr>
            <w:tcW w:w="1021" w:type="dxa"/>
          </w:tcPr>
          <w:p w14:paraId="0ABEE731" w14:textId="77777777" w:rsidR="00B02873" w:rsidRPr="009B5710" w:rsidRDefault="00B02873" w:rsidP="009B5710">
            <w:pPr>
              <w:pStyle w:val="TablebodyleftFinancialsTables"/>
              <w:rPr>
                <w:rFonts w:asciiTheme="minorHAnsi" w:hAnsiTheme="minorHAnsi" w:cstheme="minorHAnsi"/>
              </w:rPr>
            </w:pPr>
            <w:r w:rsidRPr="009B5710">
              <w:rPr>
                <w:rFonts w:asciiTheme="minorHAnsi" w:hAnsiTheme="minorHAnsi" w:cstheme="minorHAnsi"/>
              </w:rPr>
              <w:t>9.3.2</w:t>
            </w:r>
          </w:p>
        </w:tc>
        <w:tc>
          <w:tcPr>
            <w:tcW w:w="1385" w:type="dxa"/>
          </w:tcPr>
          <w:p w14:paraId="58B7F946" w14:textId="77777777" w:rsidR="00B02873" w:rsidRPr="009B5710" w:rsidRDefault="00B02873" w:rsidP="009B5710">
            <w:pPr>
              <w:pStyle w:val="TablebodyleftFinancialsTables"/>
              <w:jc w:val="right"/>
              <w:rPr>
                <w:rFonts w:asciiTheme="minorHAnsi" w:hAnsiTheme="minorHAnsi" w:cstheme="minorHAnsi"/>
              </w:rPr>
            </w:pPr>
            <w:r w:rsidRPr="009B5710">
              <w:rPr>
                <w:rFonts w:asciiTheme="minorHAnsi" w:hAnsiTheme="minorHAnsi" w:cstheme="minorHAnsi"/>
              </w:rPr>
              <w:t>–</w:t>
            </w:r>
          </w:p>
        </w:tc>
        <w:tc>
          <w:tcPr>
            <w:tcW w:w="1191" w:type="dxa"/>
          </w:tcPr>
          <w:p w14:paraId="24E2CE4B" w14:textId="77777777" w:rsidR="00B02873" w:rsidRPr="009B5710" w:rsidRDefault="00B02873" w:rsidP="009B5710">
            <w:pPr>
              <w:pStyle w:val="TablebodyleftFinancialsTables"/>
              <w:jc w:val="right"/>
              <w:rPr>
                <w:rFonts w:asciiTheme="minorHAnsi" w:hAnsiTheme="minorHAnsi" w:cstheme="minorHAnsi"/>
              </w:rPr>
            </w:pPr>
            <w:r w:rsidRPr="009B5710">
              <w:rPr>
                <w:rFonts w:asciiTheme="minorHAnsi" w:hAnsiTheme="minorHAnsi" w:cstheme="minorHAnsi"/>
              </w:rPr>
              <w:t>–</w:t>
            </w:r>
          </w:p>
        </w:tc>
        <w:tc>
          <w:tcPr>
            <w:tcW w:w="1304" w:type="dxa"/>
          </w:tcPr>
          <w:p w14:paraId="2C10E13F" w14:textId="77777777" w:rsidR="00B02873" w:rsidRPr="009B5710" w:rsidRDefault="00B02873" w:rsidP="009B5710">
            <w:pPr>
              <w:pStyle w:val="TablebodyleftFinancialsTables"/>
              <w:jc w:val="right"/>
              <w:rPr>
                <w:rFonts w:asciiTheme="minorHAnsi" w:hAnsiTheme="minorHAnsi" w:cstheme="minorHAnsi"/>
              </w:rPr>
            </w:pPr>
            <w:r w:rsidRPr="009B5710">
              <w:rPr>
                <w:rFonts w:asciiTheme="minorHAnsi" w:hAnsiTheme="minorHAnsi" w:cstheme="minorHAnsi"/>
              </w:rPr>
              <w:t>(74,582)</w:t>
            </w:r>
          </w:p>
        </w:tc>
        <w:tc>
          <w:tcPr>
            <w:tcW w:w="1134" w:type="dxa"/>
          </w:tcPr>
          <w:p w14:paraId="1E9E0B1A" w14:textId="77777777" w:rsidR="00B02873" w:rsidRPr="009B5710" w:rsidRDefault="00B02873" w:rsidP="009B5710">
            <w:pPr>
              <w:pStyle w:val="TablebodyleftFinancialsTables"/>
              <w:jc w:val="right"/>
              <w:rPr>
                <w:rFonts w:asciiTheme="minorHAnsi" w:hAnsiTheme="minorHAnsi" w:cstheme="minorHAnsi"/>
              </w:rPr>
            </w:pPr>
            <w:r w:rsidRPr="009B5710">
              <w:rPr>
                <w:rFonts w:asciiTheme="minorHAnsi" w:hAnsiTheme="minorHAnsi" w:cstheme="minorHAnsi"/>
              </w:rPr>
              <w:t>(74,582)</w:t>
            </w:r>
          </w:p>
        </w:tc>
      </w:tr>
      <w:tr w:rsidR="00B02873" w:rsidRPr="009B5710" w14:paraId="03F6B520" w14:textId="77777777" w:rsidTr="009B5710">
        <w:trPr>
          <w:trHeight w:val="60"/>
        </w:trPr>
        <w:tc>
          <w:tcPr>
            <w:tcW w:w="3823" w:type="dxa"/>
          </w:tcPr>
          <w:p w14:paraId="53C38CFE" w14:textId="56A8B7C3" w:rsidR="00B02873" w:rsidRPr="009B5710" w:rsidRDefault="00B02873" w:rsidP="009B5710">
            <w:pPr>
              <w:pStyle w:val="TablebodyleftFinancialsTables"/>
              <w:rPr>
                <w:rFonts w:asciiTheme="minorHAnsi" w:hAnsiTheme="minorHAnsi" w:cstheme="minorHAnsi"/>
              </w:rPr>
            </w:pPr>
            <w:r w:rsidRPr="009B5710">
              <w:rPr>
                <w:rFonts w:asciiTheme="minorHAnsi" w:hAnsiTheme="minorHAnsi" w:cstheme="minorHAnsi"/>
              </w:rPr>
              <w:t>Administrative restructure – net assets transferred</w:t>
            </w:r>
          </w:p>
        </w:tc>
        <w:tc>
          <w:tcPr>
            <w:tcW w:w="1021" w:type="dxa"/>
          </w:tcPr>
          <w:p w14:paraId="1004CB5C" w14:textId="77777777" w:rsidR="00B02873" w:rsidRPr="009B5710" w:rsidRDefault="00B02873" w:rsidP="009B5710">
            <w:pPr>
              <w:pStyle w:val="TablebodyleftFinancialsTables"/>
              <w:rPr>
                <w:rFonts w:asciiTheme="minorHAnsi" w:hAnsiTheme="minorHAnsi" w:cstheme="minorHAnsi"/>
              </w:rPr>
            </w:pPr>
          </w:p>
        </w:tc>
        <w:tc>
          <w:tcPr>
            <w:tcW w:w="1385" w:type="dxa"/>
          </w:tcPr>
          <w:p w14:paraId="22FA4F28" w14:textId="77777777" w:rsidR="00B02873" w:rsidRPr="009B5710" w:rsidRDefault="00B02873" w:rsidP="009B5710">
            <w:pPr>
              <w:pStyle w:val="TablebodyleftFinancialsTables"/>
              <w:jc w:val="right"/>
              <w:rPr>
                <w:rFonts w:asciiTheme="minorHAnsi" w:hAnsiTheme="minorHAnsi" w:cstheme="minorHAnsi"/>
              </w:rPr>
            </w:pPr>
            <w:r w:rsidRPr="009B5710">
              <w:rPr>
                <w:rFonts w:asciiTheme="minorHAnsi" w:hAnsiTheme="minorHAnsi" w:cstheme="minorHAnsi"/>
              </w:rPr>
              <w:t>–</w:t>
            </w:r>
          </w:p>
        </w:tc>
        <w:tc>
          <w:tcPr>
            <w:tcW w:w="1191" w:type="dxa"/>
          </w:tcPr>
          <w:p w14:paraId="77BB76FD" w14:textId="77777777" w:rsidR="00B02873" w:rsidRPr="009B5710" w:rsidRDefault="00B02873" w:rsidP="009B5710">
            <w:pPr>
              <w:pStyle w:val="TablebodyleftFinancialsTables"/>
              <w:jc w:val="right"/>
              <w:rPr>
                <w:rFonts w:asciiTheme="minorHAnsi" w:hAnsiTheme="minorHAnsi" w:cstheme="minorHAnsi"/>
              </w:rPr>
            </w:pPr>
            <w:r w:rsidRPr="009B5710">
              <w:rPr>
                <w:rFonts w:asciiTheme="minorHAnsi" w:hAnsiTheme="minorHAnsi" w:cstheme="minorHAnsi"/>
              </w:rPr>
              <w:t>–</w:t>
            </w:r>
          </w:p>
        </w:tc>
        <w:tc>
          <w:tcPr>
            <w:tcW w:w="1304" w:type="dxa"/>
          </w:tcPr>
          <w:p w14:paraId="6DD0B05C" w14:textId="77777777" w:rsidR="00B02873" w:rsidRPr="009B5710" w:rsidRDefault="00B02873" w:rsidP="009B5710">
            <w:pPr>
              <w:pStyle w:val="TablebodyleftFinancialsTables"/>
              <w:jc w:val="right"/>
              <w:rPr>
                <w:rFonts w:asciiTheme="minorHAnsi" w:hAnsiTheme="minorHAnsi" w:cstheme="minorHAnsi"/>
              </w:rPr>
            </w:pPr>
            <w:r w:rsidRPr="009B5710">
              <w:rPr>
                <w:rFonts w:asciiTheme="minorHAnsi" w:hAnsiTheme="minorHAnsi" w:cstheme="minorHAnsi"/>
              </w:rPr>
              <w:t>(4,909)</w:t>
            </w:r>
          </w:p>
        </w:tc>
        <w:tc>
          <w:tcPr>
            <w:tcW w:w="1134" w:type="dxa"/>
          </w:tcPr>
          <w:p w14:paraId="7A0A9B5A" w14:textId="77777777" w:rsidR="00B02873" w:rsidRPr="009B5710" w:rsidRDefault="00B02873" w:rsidP="009B5710">
            <w:pPr>
              <w:pStyle w:val="TablebodyleftFinancialsTables"/>
              <w:jc w:val="right"/>
              <w:rPr>
                <w:rFonts w:asciiTheme="minorHAnsi" w:hAnsiTheme="minorHAnsi" w:cstheme="minorHAnsi"/>
              </w:rPr>
            </w:pPr>
            <w:r w:rsidRPr="009B5710">
              <w:rPr>
                <w:rFonts w:asciiTheme="minorHAnsi" w:hAnsiTheme="minorHAnsi" w:cstheme="minorHAnsi"/>
              </w:rPr>
              <w:t>(4,909)</w:t>
            </w:r>
          </w:p>
        </w:tc>
      </w:tr>
      <w:tr w:rsidR="00B02873" w:rsidRPr="009B5710" w14:paraId="779248CD" w14:textId="77777777" w:rsidTr="009B5710">
        <w:trPr>
          <w:trHeight w:val="60"/>
        </w:trPr>
        <w:tc>
          <w:tcPr>
            <w:tcW w:w="3823" w:type="dxa"/>
          </w:tcPr>
          <w:p w14:paraId="2A8F2F9E" w14:textId="77777777" w:rsidR="00B02873" w:rsidRPr="009B5710" w:rsidRDefault="00B02873" w:rsidP="009B5710">
            <w:pPr>
              <w:pStyle w:val="TablebodyleftFinancialsTables"/>
              <w:rPr>
                <w:rFonts w:asciiTheme="minorHAnsi" w:hAnsiTheme="minorHAnsi" w:cstheme="minorHAnsi"/>
                <w:b/>
                <w:bCs/>
              </w:rPr>
            </w:pPr>
            <w:r w:rsidRPr="009B5710">
              <w:rPr>
                <w:rFonts w:asciiTheme="minorHAnsi" w:hAnsiTheme="minorHAnsi" w:cstheme="minorHAnsi"/>
                <w:b/>
                <w:bCs/>
              </w:rPr>
              <w:t>Balance at 30 June 2021</w:t>
            </w:r>
          </w:p>
        </w:tc>
        <w:tc>
          <w:tcPr>
            <w:tcW w:w="1021" w:type="dxa"/>
          </w:tcPr>
          <w:p w14:paraId="52229391" w14:textId="77777777" w:rsidR="00B02873" w:rsidRPr="009B5710" w:rsidRDefault="00B02873" w:rsidP="009B5710">
            <w:pPr>
              <w:pStyle w:val="TablebodyleftFinancialsTables"/>
              <w:rPr>
                <w:rFonts w:asciiTheme="minorHAnsi" w:hAnsiTheme="minorHAnsi" w:cstheme="minorHAnsi"/>
                <w:b/>
                <w:bCs/>
              </w:rPr>
            </w:pPr>
          </w:p>
        </w:tc>
        <w:tc>
          <w:tcPr>
            <w:tcW w:w="1385" w:type="dxa"/>
          </w:tcPr>
          <w:p w14:paraId="13841358" w14:textId="77777777" w:rsidR="00B02873" w:rsidRPr="009B5710" w:rsidRDefault="00B02873" w:rsidP="009B5710">
            <w:pPr>
              <w:pStyle w:val="TablebodyleftFinancialsTables"/>
              <w:jc w:val="right"/>
              <w:rPr>
                <w:rFonts w:asciiTheme="minorHAnsi" w:hAnsiTheme="minorHAnsi" w:cstheme="minorHAnsi"/>
                <w:b/>
                <w:bCs/>
              </w:rPr>
            </w:pPr>
            <w:r w:rsidRPr="009B5710">
              <w:rPr>
                <w:rFonts w:asciiTheme="minorHAnsi" w:hAnsiTheme="minorHAnsi" w:cstheme="minorHAnsi"/>
                <w:b/>
                <w:bCs/>
              </w:rPr>
              <w:t>3,895,149</w:t>
            </w:r>
          </w:p>
        </w:tc>
        <w:tc>
          <w:tcPr>
            <w:tcW w:w="1191" w:type="dxa"/>
          </w:tcPr>
          <w:p w14:paraId="4CE6DF80" w14:textId="77777777" w:rsidR="00B02873" w:rsidRPr="009B5710" w:rsidRDefault="00B02873" w:rsidP="009B5710">
            <w:pPr>
              <w:pStyle w:val="TablebodyleftFinancialsTables"/>
              <w:jc w:val="right"/>
              <w:rPr>
                <w:rFonts w:asciiTheme="minorHAnsi" w:hAnsiTheme="minorHAnsi" w:cstheme="minorHAnsi"/>
                <w:b/>
                <w:bCs/>
              </w:rPr>
            </w:pPr>
            <w:r w:rsidRPr="009B5710">
              <w:rPr>
                <w:rFonts w:asciiTheme="minorHAnsi" w:hAnsiTheme="minorHAnsi" w:cstheme="minorHAnsi"/>
                <w:b/>
                <w:bCs/>
              </w:rPr>
              <w:t>5,564,684</w:t>
            </w:r>
          </w:p>
        </w:tc>
        <w:tc>
          <w:tcPr>
            <w:tcW w:w="1304" w:type="dxa"/>
          </w:tcPr>
          <w:p w14:paraId="501904BF" w14:textId="77777777" w:rsidR="00B02873" w:rsidRPr="009B5710" w:rsidRDefault="00B02873" w:rsidP="009B5710">
            <w:pPr>
              <w:pStyle w:val="TablebodyleftFinancialsTables"/>
              <w:jc w:val="right"/>
              <w:rPr>
                <w:rFonts w:asciiTheme="minorHAnsi" w:hAnsiTheme="minorHAnsi" w:cstheme="minorHAnsi"/>
                <w:b/>
                <w:bCs/>
              </w:rPr>
            </w:pPr>
            <w:r w:rsidRPr="009B5710">
              <w:rPr>
                <w:rFonts w:asciiTheme="minorHAnsi" w:hAnsiTheme="minorHAnsi" w:cstheme="minorHAnsi"/>
                <w:b/>
                <w:bCs/>
              </w:rPr>
              <w:t>143,896</w:t>
            </w:r>
          </w:p>
        </w:tc>
        <w:tc>
          <w:tcPr>
            <w:tcW w:w="1134" w:type="dxa"/>
          </w:tcPr>
          <w:p w14:paraId="6AD7E5A8" w14:textId="77777777" w:rsidR="00B02873" w:rsidRPr="009B5710" w:rsidRDefault="00B02873" w:rsidP="009B5710">
            <w:pPr>
              <w:pStyle w:val="TablebodyleftFinancialsTables"/>
              <w:jc w:val="right"/>
              <w:rPr>
                <w:rFonts w:asciiTheme="minorHAnsi" w:hAnsiTheme="minorHAnsi" w:cstheme="minorHAnsi"/>
                <w:b/>
                <w:bCs/>
              </w:rPr>
            </w:pPr>
            <w:r w:rsidRPr="009B5710">
              <w:rPr>
                <w:rFonts w:asciiTheme="minorHAnsi" w:hAnsiTheme="minorHAnsi" w:cstheme="minorHAnsi"/>
                <w:b/>
                <w:bCs/>
              </w:rPr>
              <w:t>9,603,729</w:t>
            </w:r>
          </w:p>
        </w:tc>
      </w:tr>
      <w:tr w:rsidR="00B02873" w:rsidRPr="009B5710" w14:paraId="75FE3F74" w14:textId="77777777" w:rsidTr="009B5710">
        <w:trPr>
          <w:trHeight w:val="60"/>
        </w:trPr>
        <w:tc>
          <w:tcPr>
            <w:tcW w:w="3823" w:type="dxa"/>
          </w:tcPr>
          <w:p w14:paraId="41FFDA88" w14:textId="77777777" w:rsidR="00B02873" w:rsidRPr="009B5710" w:rsidRDefault="00B02873" w:rsidP="009B5710">
            <w:pPr>
              <w:pStyle w:val="TablebodyleftFinancialsTables"/>
              <w:rPr>
                <w:rFonts w:asciiTheme="minorHAnsi" w:hAnsiTheme="minorHAnsi" w:cstheme="minorHAnsi"/>
                <w:b/>
                <w:bCs/>
              </w:rPr>
            </w:pPr>
            <w:r w:rsidRPr="009B5710">
              <w:rPr>
                <w:rFonts w:asciiTheme="minorHAnsi" w:hAnsiTheme="minorHAnsi" w:cstheme="minorHAnsi"/>
                <w:b/>
                <w:bCs/>
              </w:rPr>
              <w:t>Balance at 1 July 2021</w:t>
            </w:r>
          </w:p>
        </w:tc>
        <w:tc>
          <w:tcPr>
            <w:tcW w:w="1021" w:type="dxa"/>
          </w:tcPr>
          <w:p w14:paraId="0F6F6934" w14:textId="77777777" w:rsidR="00B02873" w:rsidRPr="009B5710" w:rsidRDefault="00B02873" w:rsidP="009B5710">
            <w:pPr>
              <w:pStyle w:val="TablebodyleftFinancialsTables"/>
              <w:rPr>
                <w:rFonts w:asciiTheme="minorHAnsi" w:hAnsiTheme="minorHAnsi" w:cstheme="minorHAnsi"/>
                <w:b/>
                <w:bCs/>
              </w:rPr>
            </w:pPr>
          </w:p>
        </w:tc>
        <w:tc>
          <w:tcPr>
            <w:tcW w:w="1385" w:type="dxa"/>
          </w:tcPr>
          <w:p w14:paraId="4023A28B" w14:textId="77777777" w:rsidR="00B02873" w:rsidRPr="009B5710" w:rsidRDefault="00B02873" w:rsidP="009B5710">
            <w:pPr>
              <w:pStyle w:val="TablebodyleftFinancialsTables"/>
              <w:jc w:val="right"/>
              <w:rPr>
                <w:rFonts w:asciiTheme="minorHAnsi" w:hAnsiTheme="minorHAnsi" w:cstheme="minorHAnsi"/>
                <w:b/>
                <w:bCs/>
              </w:rPr>
            </w:pPr>
            <w:r w:rsidRPr="009B5710">
              <w:rPr>
                <w:rFonts w:asciiTheme="minorHAnsi" w:hAnsiTheme="minorHAnsi" w:cstheme="minorHAnsi"/>
                <w:b/>
                <w:bCs/>
              </w:rPr>
              <w:t>3,895,149</w:t>
            </w:r>
          </w:p>
        </w:tc>
        <w:tc>
          <w:tcPr>
            <w:tcW w:w="1191" w:type="dxa"/>
          </w:tcPr>
          <w:p w14:paraId="321F803E" w14:textId="77777777" w:rsidR="00B02873" w:rsidRPr="009B5710" w:rsidRDefault="00B02873" w:rsidP="009B5710">
            <w:pPr>
              <w:pStyle w:val="TablebodyleftFinancialsTables"/>
              <w:jc w:val="right"/>
              <w:rPr>
                <w:rFonts w:asciiTheme="minorHAnsi" w:hAnsiTheme="minorHAnsi" w:cstheme="minorHAnsi"/>
                <w:b/>
                <w:bCs/>
              </w:rPr>
            </w:pPr>
            <w:r w:rsidRPr="009B5710">
              <w:rPr>
                <w:rFonts w:asciiTheme="minorHAnsi" w:hAnsiTheme="minorHAnsi" w:cstheme="minorHAnsi"/>
                <w:b/>
                <w:bCs/>
              </w:rPr>
              <w:t>5,564,684</w:t>
            </w:r>
          </w:p>
        </w:tc>
        <w:tc>
          <w:tcPr>
            <w:tcW w:w="1304" w:type="dxa"/>
          </w:tcPr>
          <w:p w14:paraId="7D87AAE1" w14:textId="77777777" w:rsidR="00B02873" w:rsidRPr="009B5710" w:rsidRDefault="00B02873" w:rsidP="009B5710">
            <w:pPr>
              <w:pStyle w:val="TablebodyleftFinancialsTables"/>
              <w:jc w:val="right"/>
              <w:rPr>
                <w:rFonts w:asciiTheme="minorHAnsi" w:hAnsiTheme="minorHAnsi" w:cstheme="minorHAnsi"/>
                <w:b/>
                <w:bCs/>
              </w:rPr>
            </w:pPr>
            <w:r w:rsidRPr="009B5710">
              <w:rPr>
                <w:rFonts w:asciiTheme="minorHAnsi" w:hAnsiTheme="minorHAnsi" w:cstheme="minorHAnsi"/>
                <w:b/>
                <w:bCs/>
              </w:rPr>
              <w:t>143,896</w:t>
            </w:r>
          </w:p>
        </w:tc>
        <w:tc>
          <w:tcPr>
            <w:tcW w:w="1134" w:type="dxa"/>
          </w:tcPr>
          <w:p w14:paraId="58B36A34" w14:textId="77777777" w:rsidR="00B02873" w:rsidRPr="009B5710" w:rsidRDefault="00B02873" w:rsidP="009B5710">
            <w:pPr>
              <w:pStyle w:val="TablebodyleftFinancialsTables"/>
              <w:jc w:val="right"/>
              <w:rPr>
                <w:rFonts w:asciiTheme="minorHAnsi" w:hAnsiTheme="minorHAnsi" w:cstheme="minorHAnsi"/>
                <w:b/>
                <w:bCs/>
              </w:rPr>
            </w:pPr>
            <w:r w:rsidRPr="009B5710">
              <w:rPr>
                <w:rFonts w:asciiTheme="minorHAnsi" w:hAnsiTheme="minorHAnsi" w:cstheme="minorHAnsi"/>
                <w:b/>
                <w:bCs/>
              </w:rPr>
              <w:t>9,603,729</w:t>
            </w:r>
          </w:p>
        </w:tc>
      </w:tr>
      <w:tr w:rsidR="00B02873" w:rsidRPr="009B5710" w14:paraId="0871F860" w14:textId="77777777" w:rsidTr="009B5710">
        <w:trPr>
          <w:trHeight w:val="60"/>
        </w:trPr>
        <w:tc>
          <w:tcPr>
            <w:tcW w:w="3823" w:type="dxa"/>
          </w:tcPr>
          <w:p w14:paraId="35D53AEE" w14:textId="77777777" w:rsidR="00B02873" w:rsidRPr="009B5710" w:rsidRDefault="00B02873" w:rsidP="009B5710">
            <w:pPr>
              <w:pStyle w:val="TablebodyleftFinancialsTables"/>
              <w:rPr>
                <w:rFonts w:asciiTheme="minorHAnsi" w:hAnsiTheme="minorHAnsi" w:cstheme="minorHAnsi"/>
              </w:rPr>
            </w:pPr>
            <w:r w:rsidRPr="009B5710">
              <w:rPr>
                <w:rFonts w:asciiTheme="minorHAnsi" w:hAnsiTheme="minorHAnsi" w:cstheme="minorHAnsi"/>
              </w:rPr>
              <w:t>Net result for the year</w:t>
            </w:r>
          </w:p>
        </w:tc>
        <w:tc>
          <w:tcPr>
            <w:tcW w:w="1021" w:type="dxa"/>
          </w:tcPr>
          <w:p w14:paraId="5042849E" w14:textId="77777777" w:rsidR="00B02873" w:rsidRPr="009B5710" w:rsidRDefault="00B02873" w:rsidP="009B5710">
            <w:pPr>
              <w:pStyle w:val="TablebodyleftFinancialsTables"/>
              <w:rPr>
                <w:rFonts w:asciiTheme="minorHAnsi" w:hAnsiTheme="minorHAnsi" w:cstheme="minorHAnsi"/>
              </w:rPr>
            </w:pPr>
          </w:p>
        </w:tc>
        <w:tc>
          <w:tcPr>
            <w:tcW w:w="1385" w:type="dxa"/>
          </w:tcPr>
          <w:p w14:paraId="22E6782B" w14:textId="77777777" w:rsidR="00B02873" w:rsidRPr="009B5710" w:rsidRDefault="00B02873" w:rsidP="009B5710">
            <w:pPr>
              <w:pStyle w:val="TablebodyleftFinancialsTables"/>
              <w:jc w:val="right"/>
              <w:rPr>
                <w:rFonts w:asciiTheme="minorHAnsi" w:hAnsiTheme="minorHAnsi" w:cstheme="minorHAnsi"/>
              </w:rPr>
            </w:pPr>
            <w:r w:rsidRPr="009B5710">
              <w:rPr>
                <w:rFonts w:asciiTheme="minorHAnsi" w:hAnsiTheme="minorHAnsi" w:cstheme="minorHAnsi"/>
              </w:rPr>
              <w:t>613,586</w:t>
            </w:r>
          </w:p>
        </w:tc>
        <w:tc>
          <w:tcPr>
            <w:tcW w:w="1191" w:type="dxa"/>
          </w:tcPr>
          <w:p w14:paraId="7E9CCA22" w14:textId="77777777" w:rsidR="00B02873" w:rsidRPr="009B5710" w:rsidRDefault="00B02873" w:rsidP="009B5710">
            <w:pPr>
              <w:pStyle w:val="TablebodyleftFinancialsTables"/>
              <w:jc w:val="right"/>
              <w:rPr>
                <w:rFonts w:asciiTheme="minorHAnsi" w:hAnsiTheme="minorHAnsi" w:cstheme="minorHAnsi"/>
              </w:rPr>
            </w:pPr>
            <w:r w:rsidRPr="009B5710">
              <w:rPr>
                <w:rFonts w:asciiTheme="minorHAnsi" w:hAnsiTheme="minorHAnsi" w:cstheme="minorHAnsi"/>
              </w:rPr>
              <w:t>–</w:t>
            </w:r>
          </w:p>
        </w:tc>
        <w:tc>
          <w:tcPr>
            <w:tcW w:w="1304" w:type="dxa"/>
          </w:tcPr>
          <w:p w14:paraId="60036340" w14:textId="77777777" w:rsidR="00B02873" w:rsidRPr="009B5710" w:rsidRDefault="00B02873" w:rsidP="009B5710">
            <w:pPr>
              <w:pStyle w:val="TablebodyleftFinancialsTables"/>
              <w:jc w:val="right"/>
              <w:rPr>
                <w:rFonts w:asciiTheme="minorHAnsi" w:hAnsiTheme="minorHAnsi" w:cstheme="minorHAnsi"/>
              </w:rPr>
            </w:pPr>
            <w:r w:rsidRPr="009B5710">
              <w:rPr>
                <w:rFonts w:asciiTheme="minorHAnsi" w:hAnsiTheme="minorHAnsi" w:cstheme="minorHAnsi"/>
              </w:rPr>
              <w:t>–</w:t>
            </w:r>
          </w:p>
        </w:tc>
        <w:tc>
          <w:tcPr>
            <w:tcW w:w="1134" w:type="dxa"/>
          </w:tcPr>
          <w:p w14:paraId="7D03737A" w14:textId="77777777" w:rsidR="00B02873" w:rsidRPr="009B5710" w:rsidRDefault="00B02873" w:rsidP="009B5710">
            <w:pPr>
              <w:pStyle w:val="TablebodyleftFinancialsTables"/>
              <w:jc w:val="right"/>
              <w:rPr>
                <w:rFonts w:asciiTheme="minorHAnsi" w:hAnsiTheme="minorHAnsi" w:cstheme="minorHAnsi"/>
              </w:rPr>
            </w:pPr>
            <w:r w:rsidRPr="009B5710">
              <w:rPr>
                <w:rFonts w:asciiTheme="minorHAnsi" w:hAnsiTheme="minorHAnsi" w:cstheme="minorHAnsi"/>
              </w:rPr>
              <w:t xml:space="preserve">613,586 </w:t>
            </w:r>
          </w:p>
        </w:tc>
      </w:tr>
      <w:tr w:rsidR="00B02873" w:rsidRPr="009B5710" w14:paraId="53539478" w14:textId="77777777" w:rsidTr="009B5710">
        <w:trPr>
          <w:trHeight w:val="60"/>
        </w:trPr>
        <w:tc>
          <w:tcPr>
            <w:tcW w:w="3823" w:type="dxa"/>
          </w:tcPr>
          <w:p w14:paraId="17522177" w14:textId="59182CCE" w:rsidR="00B02873" w:rsidRPr="009B5710" w:rsidRDefault="00B02873" w:rsidP="009B5710">
            <w:pPr>
              <w:pStyle w:val="TablebodyleftFinancialsTables"/>
              <w:rPr>
                <w:rFonts w:asciiTheme="minorHAnsi" w:hAnsiTheme="minorHAnsi" w:cstheme="minorHAnsi"/>
              </w:rPr>
            </w:pPr>
            <w:r w:rsidRPr="009B5710">
              <w:rPr>
                <w:rFonts w:asciiTheme="minorHAnsi" w:hAnsiTheme="minorHAnsi" w:cstheme="minorHAnsi"/>
              </w:rPr>
              <w:t>Other comprehensive income for the year</w:t>
            </w:r>
          </w:p>
        </w:tc>
        <w:tc>
          <w:tcPr>
            <w:tcW w:w="1021" w:type="dxa"/>
          </w:tcPr>
          <w:p w14:paraId="44DA9A9C" w14:textId="77777777" w:rsidR="00B02873" w:rsidRPr="009B5710" w:rsidRDefault="00B02873" w:rsidP="009B5710">
            <w:pPr>
              <w:pStyle w:val="TablebodyleftFinancialsTables"/>
              <w:rPr>
                <w:rFonts w:asciiTheme="minorHAnsi" w:hAnsiTheme="minorHAnsi" w:cstheme="minorHAnsi"/>
              </w:rPr>
            </w:pPr>
            <w:r w:rsidRPr="009B5710">
              <w:rPr>
                <w:rFonts w:asciiTheme="minorHAnsi" w:hAnsiTheme="minorHAnsi" w:cstheme="minorHAnsi"/>
              </w:rPr>
              <w:t>9.3.1</w:t>
            </w:r>
          </w:p>
        </w:tc>
        <w:tc>
          <w:tcPr>
            <w:tcW w:w="1385" w:type="dxa"/>
          </w:tcPr>
          <w:p w14:paraId="116A3E59" w14:textId="77777777" w:rsidR="00B02873" w:rsidRPr="009B5710" w:rsidRDefault="00B02873" w:rsidP="009B5710">
            <w:pPr>
              <w:pStyle w:val="TablebodyleftFinancialsTables"/>
              <w:jc w:val="right"/>
              <w:rPr>
                <w:rFonts w:asciiTheme="minorHAnsi" w:hAnsiTheme="minorHAnsi" w:cstheme="minorHAnsi"/>
              </w:rPr>
            </w:pPr>
            <w:r w:rsidRPr="009B5710">
              <w:rPr>
                <w:rFonts w:asciiTheme="minorHAnsi" w:hAnsiTheme="minorHAnsi" w:cstheme="minorHAnsi"/>
              </w:rPr>
              <w:t>–</w:t>
            </w:r>
          </w:p>
        </w:tc>
        <w:tc>
          <w:tcPr>
            <w:tcW w:w="1191" w:type="dxa"/>
          </w:tcPr>
          <w:p w14:paraId="33E6907C" w14:textId="77777777" w:rsidR="00B02873" w:rsidRPr="009B5710" w:rsidRDefault="00B02873" w:rsidP="009B5710">
            <w:pPr>
              <w:pStyle w:val="TablebodyleftFinancialsTables"/>
              <w:jc w:val="right"/>
              <w:rPr>
                <w:rFonts w:asciiTheme="minorHAnsi" w:hAnsiTheme="minorHAnsi" w:cstheme="minorHAnsi"/>
              </w:rPr>
            </w:pPr>
            <w:r w:rsidRPr="009B5710">
              <w:rPr>
                <w:rFonts w:asciiTheme="minorHAnsi" w:hAnsiTheme="minorHAnsi" w:cstheme="minorHAnsi"/>
              </w:rPr>
              <w:t>1,050,979</w:t>
            </w:r>
          </w:p>
        </w:tc>
        <w:tc>
          <w:tcPr>
            <w:tcW w:w="1304" w:type="dxa"/>
          </w:tcPr>
          <w:p w14:paraId="2F41A8B5" w14:textId="77777777" w:rsidR="00B02873" w:rsidRPr="009B5710" w:rsidRDefault="00B02873" w:rsidP="009B5710">
            <w:pPr>
              <w:pStyle w:val="TablebodyleftFinancialsTables"/>
              <w:jc w:val="right"/>
              <w:rPr>
                <w:rFonts w:asciiTheme="minorHAnsi" w:hAnsiTheme="minorHAnsi" w:cstheme="minorHAnsi"/>
              </w:rPr>
            </w:pPr>
            <w:r w:rsidRPr="009B5710">
              <w:rPr>
                <w:rFonts w:asciiTheme="minorHAnsi" w:hAnsiTheme="minorHAnsi" w:cstheme="minorHAnsi"/>
              </w:rPr>
              <w:t>–</w:t>
            </w:r>
          </w:p>
        </w:tc>
        <w:tc>
          <w:tcPr>
            <w:tcW w:w="1134" w:type="dxa"/>
          </w:tcPr>
          <w:p w14:paraId="04F2026C" w14:textId="77777777" w:rsidR="00B02873" w:rsidRPr="009B5710" w:rsidRDefault="00B02873" w:rsidP="009B5710">
            <w:pPr>
              <w:pStyle w:val="TablebodyleftFinancialsTables"/>
              <w:jc w:val="right"/>
              <w:rPr>
                <w:rFonts w:asciiTheme="minorHAnsi" w:hAnsiTheme="minorHAnsi" w:cstheme="minorHAnsi"/>
              </w:rPr>
            </w:pPr>
            <w:r w:rsidRPr="009B5710">
              <w:rPr>
                <w:rFonts w:asciiTheme="minorHAnsi" w:hAnsiTheme="minorHAnsi" w:cstheme="minorHAnsi"/>
              </w:rPr>
              <w:t>1,050,979</w:t>
            </w:r>
          </w:p>
        </w:tc>
      </w:tr>
      <w:tr w:rsidR="00B02873" w:rsidRPr="009B5710" w14:paraId="3D6BE4CB" w14:textId="77777777" w:rsidTr="009B5710">
        <w:trPr>
          <w:trHeight w:val="60"/>
        </w:trPr>
        <w:tc>
          <w:tcPr>
            <w:tcW w:w="3823" w:type="dxa"/>
          </w:tcPr>
          <w:p w14:paraId="48739204" w14:textId="77777777" w:rsidR="00B02873" w:rsidRPr="009B5710" w:rsidRDefault="00B02873" w:rsidP="009B5710">
            <w:pPr>
              <w:pStyle w:val="TablebodyleftFinancialsTables"/>
              <w:rPr>
                <w:rFonts w:asciiTheme="minorHAnsi" w:hAnsiTheme="minorHAnsi" w:cstheme="minorHAnsi"/>
              </w:rPr>
            </w:pPr>
            <w:r w:rsidRPr="009B5710">
              <w:rPr>
                <w:rFonts w:asciiTheme="minorHAnsi" w:hAnsiTheme="minorHAnsi" w:cstheme="minorHAnsi"/>
              </w:rPr>
              <w:t>Additions to Net Asset Base</w:t>
            </w:r>
          </w:p>
        </w:tc>
        <w:tc>
          <w:tcPr>
            <w:tcW w:w="1021" w:type="dxa"/>
          </w:tcPr>
          <w:p w14:paraId="14B575CD" w14:textId="77777777" w:rsidR="00B02873" w:rsidRPr="009B5710" w:rsidRDefault="00B02873" w:rsidP="009B5710">
            <w:pPr>
              <w:pStyle w:val="TablebodyleftFinancialsTables"/>
              <w:rPr>
                <w:rFonts w:asciiTheme="minorHAnsi" w:hAnsiTheme="minorHAnsi" w:cstheme="minorHAnsi"/>
              </w:rPr>
            </w:pPr>
            <w:r w:rsidRPr="009B5710">
              <w:rPr>
                <w:rFonts w:asciiTheme="minorHAnsi" w:hAnsiTheme="minorHAnsi" w:cstheme="minorHAnsi"/>
              </w:rPr>
              <w:t>2.2.1</w:t>
            </w:r>
          </w:p>
        </w:tc>
        <w:tc>
          <w:tcPr>
            <w:tcW w:w="1385" w:type="dxa"/>
          </w:tcPr>
          <w:p w14:paraId="107504DB" w14:textId="77777777" w:rsidR="00B02873" w:rsidRPr="009B5710" w:rsidRDefault="00B02873" w:rsidP="009B5710">
            <w:pPr>
              <w:pStyle w:val="TablebodyleftFinancialsTables"/>
              <w:jc w:val="right"/>
              <w:rPr>
                <w:rFonts w:asciiTheme="minorHAnsi" w:hAnsiTheme="minorHAnsi" w:cstheme="minorHAnsi"/>
              </w:rPr>
            </w:pPr>
            <w:r w:rsidRPr="009B5710">
              <w:rPr>
                <w:rFonts w:asciiTheme="minorHAnsi" w:hAnsiTheme="minorHAnsi" w:cstheme="minorHAnsi"/>
              </w:rPr>
              <w:t>–</w:t>
            </w:r>
          </w:p>
        </w:tc>
        <w:tc>
          <w:tcPr>
            <w:tcW w:w="1191" w:type="dxa"/>
          </w:tcPr>
          <w:p w14:paraId="7447EEB1" w14:textId="77777777" w:rsidR="00B02873" w:rsidRPr="009B5710" w:rsidRDefault="00B02873" w:rsidP="009B5710">
            <w:pPr>
              <w:pStyle w:val="TablebodyleftFinancialsTables"/>
              <w:jc w:val="right"/>
              <w:rPr>
                <w:rFonts w:asciiTheme="minorHAnsi" w:hAnsiTheme="minorHAnsi" w:cstheme="minorHAnsi"/>
              </w:rPr>
            </w:pPr>
            <w:r w:rsidRPr="009B5710">
              <w:rPr>
                <w:rFonts w:asciiTheme="minorHAnsi" w:hAnsiTheme="minorHAnsi" w:cstheme="minorHAnsi"/>
              </w:rPr>
              <w:t>–</w:t>
            </w:r>
          </w:p>
        </w:tc>
        <w:tc>
          <w:tcPr>
            <w:tcW w:w="1304" w:type="dxa"/>
          </w:tcPr>
          <w:p w14:paraId="069CF1CB" w14:textId="77777777" w:rsidR="00B02873" w:rsidRPr="009B5710" w:rsidRDefault="00B02873" w:rsidP="009B5710">
            <w:pPr>
              <w:pStyle w:val="TablebodyleftFinancialsTables"/>
              <w:jc w:val="right"/>
              <w:rPr>
                <w:rFonts w:asciiTheme="minorHAnsi" w:hAnsiTheme="minorHAnsi" w:cstheme="minorHAnsi"/>
              </w:rPr>
            </w:pPr>
            <w:r w:rsidRPr="009B5710">
              <w:rPr>
                <w:rFonts w:asciiTheme="minorHAnsi" w:hAnsiTheme="minorHAnsi" w:cstheme="minorHAnsi"/>
              </w:rPr>
              <w:t>244,492</w:t>
            </w:r>
          </w:p>
        </w:tc>
        <w:tc>
          <w:tcPr>
            <w:tcW w:w="1134" w:type="dxa"/>
          </w:tcPr>
          <w:p w14:paraId="4DF4A507" w14:textId="77777777" w:rsidR="00B02873" w:rsidRPr="009B5710" w:rsidRDefault="00B02873" w:rsidP="009B5710">
            <w:pPr>
              <w:pStyle w:val="TablebodyleftFinancialsTables"/>
              <w:jc w:val="right"/>
              <w:rPr>
                <w:rFonts w:asciiTheme="minorHAnsi" w:hAnsiTheme="minorHAnsi" w:cstheme="minorHAnsi"/>
              </w:rPr>
            </w:pPr>
            <w:r w:rsidRPr="009B5710">
              <w:rPr>
                <w:rFonts w:asciiTheme="minorHAnsi" w:hAnsiTheme="minorHAnsi" w:cstheme="minorHAnsi"/>
              </w:rPr>
              <w:t xml:space="preserve"> 244,492</w:t>
            </w:r>
          </w:p>
        </w:tc>
      </w:tr>
      <w:tr w:rsidR="00B02873" w:rsidRPr="009B5710" w14:paraId="0A35FFAF" w14:textId="77777777" w:rsidTr="009B5710">
        <w:trPr>
          <w:trHeight w:val="60"/>
        </w:trPr>
        <w:tc>
          <w:tcPr>
            <w:tcW w:w="3823" w:type="dxa"/>
          </w:tcPr>
          <w:p w14:paraId="6F35251F" w14:textId="77777777" w:rsidR="00B02873" w:rsidRPr="009B5710" w:rsidRDefault="00B02873" w:rsidP="009B5710">
            <w:pPr>
              <w:pStyle w:val="TablebodyleftFinancialsTables"/>
              <w:rPr>
                <w:rFonts w:asciiTheme="minorHAnsi" w:hAnsiTheme="minorHAnsi" w:cstheme="minorHAnsi"/>
              </w:rPr>
            </w:pPr>
            <w:r w:rsidRPr="009B5710">
              <w:rPr>
                <w:rFonts w:asciiTheme="minorHAnsi" w:hAnsiTheme="minorHAnsi" w:cstheme="minorHAnsi"/>
              </w:rPr>
              <w:t>Capital contributions of assets</w:t>
            </w:r>
            <w:r w:rsidRPr="009B5710">
              <w:rPr>
                <w:rFonts w:asciiTheme="minorHAnsi" w:hAnsiTheme="minorHAnsi" w:cstheme="minorHAnsi"/>
                <w:vertAlign w:val="superscript"/>
              </w:rPr>
              <w:t>(ii)</w:t>
            </w:r>
            <w:r w:rsidRPr="009B5710">
              <w:rPr>
                <w:rFonts w:asciiTheme="minorHAnsi" w:hAnsiTheme="minorHAnsi" w:cstheme="minorHAnsi"/>
              </w:rPr>
              <w:t xml:space="preserve"> </w:t>
            </w:r>
          </w:p>
        </w:tc>
        <w:tc>
          <w:tcPr>
            <w:tcW w:w="1021" w:type="dxa"/>
          </w:tcPr>
          <w:p w14:paraId="64DE0D3F" w14:textId="77777777" w:rsidR="00B02873" w:rsidRPr="009B5710" w:rsidRDefault="00B02873" w:rsidP="009B5710">
            <w:pPr>
              <w:pStyle w:val="TablebodyleftFinancialsTables"/>
              <w:rPr>
                <w:rFonts w:asciiTheme="minorHAnsi" w:hAnsiTheme="minorHAnsi" w:cstheme="minorHAnsi"/>
              </w:rPr>
            </w:pPr>
          </w:p>
        </w:tc>
        <w:tc>
          <w:tcPr>
            <w:tcW w:w="1385" w:type="dxa"/>
          </w:tcPr>
          <w:p w14:paraId="35AF14CF" w14:textId="77777777" w:rsidR="00B02873" w:rsidRPr="009B5710" w:rsidRDefault="00B02873" w:rsidP="009B5710">
            <w:pPr>
              <w:pStyle w:val="TablebodyleftFinancialsTables"/>
              <w:jc w:val="right"/>
              <w:rPr>
                <w:rFonts w:asciiTheme="minorHAnsi" w:hAnsiTheme="minorHAnsi" w:cstheme="minorHAnsi"/>
              </w:rPr>
            </w:pPr>
            <w:r w:rsidRPr="009B5710">
              <w:rPr>
                <w:rFonts w:asciiTheme="minorHAnsi" w:hAnsiTheme="minorHAnsi" w:cstheme="minorHAnsi"/>
              </w:rPr>
              <w:t>–</w:t>
            </w:r>
          </w:p>
        </w:tc>
        <w:tc>
          <w:tcPr>
            <w:tcW w:w="1191" w:type="dxa"/>
          </w:tcPr>
          <w:p w14:paraId="18BE2AC2" w14:textId="77777777" w:rsidR="00B02873" w:rsidRPr="009B5710" w:rsidRDefault="00B02873" w:rsidP="009B5710">
            <w:pPr>
              <w:pStyle w:val="TablebodyleftFinancialsTables"/>
              <w:jc w:val="right"/>
              <w:rPr>
                <w:rFonts w:asciiTheme="minorHAnsi" w:hAnsiTheme="minorHAnsi" w:cstheme="minorHAnsi"/>
              </w:rPr>
            </w:pPr>
            <w:r w:rsidRPr="009B5710">
              <w:rPr>
                <w:rFonts w:asciiTheme="minorHAnsi" w:hAnsiTheme="minorHAnsi" w:cstheme="minorHAnsi"/>
              </w:rPr>
              <w:t>–</w:t>
            </w:r>
          </w:p>
        </w:tc>
        <w:tc>
          <w:tcPr>
            <w:tcW w:w="1304" w:type="dxa"/>
          </w:tcPr>
          <w:p w14:paraId="527B1AFC" w14:textId="77777777" w:rsidR="00B02873" w:rsidRPr="009B5710" w:rsidRDefault="00B02873" w:rsidP="009B5710">
            <w:pPr>
              <w:pStyle w:val="TablebodyleftFinancialsTables"/>
              <w:jc w:val="right"/>
              <w:rPr>
                <w:rFonts w:asciiTheme="minorHAnsi" w:hAnsiTheme="minorHAnsi" w:cstheme="minorHAnsi"/>
              </w:rPr>
            </w:pPr>
            <w:r w:rsidRPr="009B5710">
              <w:rPr>
                <w:rFonts w:asciiTheme="minorHAnsi" w:hAnsiTheme="minorHAnsi" w:cstheme="minorHAnsi"/>
              </w:rPr>
              <w:t>(89,108)</w:t>
            </w:r>
          </w:p>
        </w:tc>
        <w:tc>
          <w:tcPr>
            <w:tcW w:w="1134" w:type="dxa"/>
          </w:tcPr>
          <w:p w14:paraId="57C70C76" w14:textId="77777777" w:rsidR="00B02873" w:rsidRPr="009B5710" w:rsidRDefault="00B02873" w:rsidP="009B5710">
            <w:pPr>
              <w:pStyle w:val="TablebodyleftFinancialsTables"/>
              <w:jc w:val="right"/>
              <w:rPr>
                <w:rFonts w:asciiTheme="minorHAnsi" w:hAnsiTheme="minorHAnsi" w:cstheme="minorHAnsi"/>
              </w:rPr>
            </w:pPr>
            <w:r w:rsidRPr="009B5710">
              <w:rPr>
                <w:rFonts w:asciiTheme="minorHAnsi" w:hAnsiTheme="minorHAnsi" w:cstheme="minorHAnsi"/>
              </w:rPr>
              <w:t>(89,108)</w:t>
            </w:r>
          </w:p>
        </w:tc>
      </w:tr>
      <w:tr w:rsidR="00B02873" w:rsidRPr="009B5710" w14:paraId="377AF792" w14:textId="77777777" w:rsidTr="009B5710">
        <w:trPr>
          <w:trHeight w:val="60"/>
        </w:trPr>
        <w:tc>
          <w:tcPr>
            <w:tcW w:w="3823" w:type="dxa"/>
          </w:tcPr>
          <w:p w14:paraId="549E96DE" w14:textId="0F7BC516" w:rsidR="00B02873" w:rsidRPr="009B5710" w:rsidRDefault="00B02873" w:rsidP="009B5710">
            <w:pPr>
              <w:pStyle w:val="TablebodyleftFinancialsTables"/>
              <w:rPr>
                <w:rFonts w:asciiTheme="minorHAnsi" w:hAnsiTheme="minorHAnsi" w:cstheme="minorHAnsi"/>
              </w:rPr>
            </w:pPr>
            <w:r w:rsidRPr="009B5710">
              <w:rPr>
                <w:rFonts w:asciiTheme="minorHAnsi" w:hAnsiTheme="minorHAnsi" w:cstheme="minorHAnsi"/>
              </w:rPr>
              <w:t>Capital contributions transferred to portfolio entities</w:t>
            </w:r>
          </w:p>
        </w:tc>
        <w:tc>
          <w:tcPr>
            <w:tcW w:w="1021" w:type="dxa"/>
          </w:tcPr>
          <w:p w14:paraId="630EA8A0" w14:textId="77777777" w:rsidR="00B02873" w:rsidRPr="009B5710" w:rsidRDefault="00B02873" w:rsidP="009B5710">
            <w:pPr>
              <w:pStyle w:val="TablebodyleftFinancialsTables"/>
              <w:rPr>
                <w:rFonts w:asciiTheme="minorHAnsi" w:hAnsiTheme="minorHAnsi" w:cstheme="minorHAnsi"/>
              </w:rPr>
            </w:pPr>
            <w:r w:rsidRPr="009B5710">
              <w:rPr>
                <w:rFonts w:asciiTheme="minorHAnsi" w:hAnsiTheme="minorHAnsi" w:cstheme="minorHAnsi"/>
              </w:rPr>
              <w:t>9.3.2</w:t>
            </w:r>
          </w:p>
        </w:tc>
        <w:tc>
          <w:tcPr>
            <w:tcW w:w="1385" w:type="dxa"/>
          </w:tcPr>
          <w:p w14:paraId="4467E422" w14:textId="77777777" w:rsidR="00B02873" w:rsidRPr="009B5710" w:rsidRDefault="00B02873" w:rsidP="009B5710">
            <w:pPr>
              <w:pStyle w:val="TablebodyleftFinancialsTables"/>
              <w:jc w:val="right"/>
              <w:rPr>
                <w:rFonts w:asciiTheme="minorHAnsi" w:hAnsiTheme="minorHAnsi" w:cstheme="minorHAnsi"/>
              </w:rPr>
            </w:pPr>
            <w:r w:rsidRPr="009B5710">
              <w:rPr>
                <w:rFonts w:asciiTheme="minorHAnsi" w:hAnsiTheme="minorHAnsi" w:cstheme="minorHAnsi"/>
              </w:rPr>
              <w:t>–</w:t>
            </w:r>
          </w:p>
        </w:tc>
        <w:tc>
          <w:tcPr>
            <w:tcW w:w="1191" w:type="dxa"/>
          </w:tcPr>
          <w:p w14:paraId="60A7B64E" w14:textId="77777777" w:rsidR="00B02873" w:rsidRPr="009B5710" w:rsidRDefault="00B02873" w:rsidP="009B5710">
            <w:pPr>
              <w:pStyle w:val="TablebodyleftFinancialsTables"/>
              <w:jc w:val="right"/>
              <w:rPr>
                <w:rFonts w:asciiTheme="minorHAnsi" w:hAnsiTheme="minorHAnsi" w:cstheme="minorHAnsi"/>
              </w:rPr>
            </w:pPr>
            <w:r w:rsidRPr="009B5710">
              <w:rPr>
                <w:rFonts w:asciiTheme="minorHAnsi" w:hAnsiTheme="minorHAnsi" w:cstheme="minorHAnsi"/>
              </w:rPr>
              <w:t>–</w:t>
            </w:r>
          </w:p>
        </w:tc>
        <w:tc>
          <w:tcPr>
            <w:tcW w:w="1304" w:type="dxa"/>
          </w:tcPr>
          <w:p w14:paraId="1D09B2E4" w14:textId="77777777" w:rsidR="00B02873" w:rsidRPr="009B5710" w:rsidRDefault="00B02873" w:rsidP="009B5710">
            <w:pPr>
              <w:pStyle w:val="TablebodyleftFinancialsTables"/>
              <w:jc w:val="right"/>
              <w:rPr>
                <w:rFonts w:asciiTheme="minorHAnsi" w:hAnsiTheme="minorHAnsi" w:cstheme="minorHAnsi"/>
              </w:rPr>
            </w:pPr>
            <w:r w:rsidRPr="009B5710">
              <w:rPr>
                <w:rFonts w:asciiTheme="minorHAnsi" w:hAnsiTheme="minorHAnsi" w:cstheme="minorHAnsi"/>
              </w:rPr>
              <w:t>(107,650)</w:t>
            </w:r>
          </w:p>
        </w:tc>
        <w:tc>
          <w:tcPr>
            <w:tcW w:w="1134" w:type="dxa"/>
          </w:tcPr>
          <w:p w14:paraId="1820A587" w14:textId="77777777" w:rsidR="00B02873" w:rsidRPr="009B5710" w:rsidRDefault="00B02873" w:rsidP="009B5710">
            <w:pPr>
              <w:pStyle w:val="TablebodyleftFinancialsTables"/>
              <w:jc w:val="right"/>
              <w:rPr>
                <w:rFonts w:asciiTheme="minorHAnsi" w:hAnsiTheme="minorHAnsi" w:cstheme="minorHAnsi"/>
              </w:rPr>
            </w:pPr>
            <w:r w:rsidRPr="009B5710">
              <w:rPr>
                <w:rFonts w:asciiTheme="minorHAnsi" w:hAnsiTheme="minorHAnsi" w:cstheme="minorHAnsi"/>
              </w:rPr>
              <w:t>(107,650)</w:t>
            </w:r>
          </w:p>
        </w:tc>
      </w:tr>
      <w:tr w:rsidR="00B02873" w:rsidRPr="009B5710" w14:paraId="002662C9" w14:textId="77777777" w:rsidTr="009B5710">
        <w:trPr>
          <w:trHeight w:val="60"/>
        </w:trPr>
        <w:tc>
          <w:tcPr>
            <w:tcW w:w="3823" w:type="dxa"/>
          </w:tcPr>
          <w:p w14:paraId="0378797B" w14:textId="77777777" w:rsidR="00B02873" w:rsidRPr="009B5710" w:rsidRDefault="00B02873" w:rsidP="009B5710">
            <w:pPr>
              <w:pStyle w:val="TablebodyleftFinancialsTables"/>
              <w:rPr>
                <w:rFonts w:asciiTheme="minorHAnsi" w:hAnsiTheme="minorHAnsi" w:cstheme="minorHAnsi"/>
                <w:b/>
                <w:bCs/>
              </w:rPr>
            </w:pPr>
            <w:r w:rsidRPr="009B5710">
              <w:rPr>
                <w:rFonts w:asciiTheme="minorHAnsi" w:hAnsiTheme="minorHAnsi" w:cstheme="minorHAnsi"/>
                <w:b/>
                <w:bCs/>
              </w:rPr>
              <w:t>Balance at 30 June 2022</w:t>
            </w:r>
          </w:p>
        </w:tc>
        <w:tc>
          <w:tcPr>
            <w:tcW w:w="1021" w:type="dxa"/>
          </w:tcPr>
          <w:p w14:paraId="3FD90434" w14:textId="77777777" w:rsidR="00B02873" w:rsidRPr="009B5710" w:rsidRDefault="00B02873" w:rsidP="009B5710">
            <w:pPr>
              <w:pStyle w:val="TablebodyleftFinancialsTables"/>
              <w:rPr>
                <w:rFonts w:asciiTheme="minorHAnsi" w:hAnsiTheme="minorHAnsi" w:cstheme="minorHAnsi"/>
                <w:b/>
                <w:bCs/>
              </w:rPr>
            </w:pPr>
          </w:p>
        </w:tc>
        <w:tc>
          <w:tcPr>
            <w:tcW w:w="1385" w:type="dxa"/>
          </w:tcPr>
          <w:p w14:paraId="0383124A" w14:textId="77777777" w:rsidR="00B02873" w:rsidRPr="009B5710" w:rsidRDefault="00B02873" w:rsidP="009B5710">
            <w:pPr>
              <w:pStyle w:val="TablebodyleftFinancialsTables"/>
              <w:jc w:val="right"/>
              <w:rPr>
                <w:rFonts w:asciiTheme="minorHAnsi" w:hAnsiTheme="minorHAnsi" w:cstheme="minorHAnsi"/>
                <w:b/>
                <w:bCs/>
              </w:rPr>
            </w:pPr>
            <w:r w:rsidRPr="009B5710">
              <w:rPr>
                <w:rFonts w:asciiTheme="minorHAnsi" w:hAnsiTheme="minorHAnsi" w:cstheme="minorHAnsi"/>
                <w:b/>
                <w:bCs/>
              </w:rPr>
              <w:t>4,508,735</w:t>
            </w:r>
          </w:p>
        </w:tc>
        <w:tc>
          <w:tcPr>
            <w:tcW w:w="1191" w:type="dxa"/>
          </w:tcPr>
          <w:p w14:paraId="56615ABA" w14:textId="77777777" w:rsidR="00B02873" w:rsidRPr="009B5710" w:rsidRDefault="00B02873" w:rsidP="009B5710">
            <w:pPr>
              <w:pStyle w:val="TablebodyleftFinancialsTables"/>
              <w:jc w:val="right"/>
              <w:rPr>
                <w:rFonts w:asciiTheme="minorHAnsi" w:hAnsiTheme="minorHAnsi" w:cstheme="minorHAnsi"/>
                <w:b/>
                <w:bCs/>
              </w:rPr>
            </w:pPr>
            <w:r w:rsidRPr="009B5710">
              <w:rPr>
                <w:rFonts w:asciiTheme="minorHAnsi" w:hAnsiTheme="minorHAnsi" w:cstheme="minorHAnsi"/>
                <w:b/>
                <w:bCs/>
              </w:rPr>
              <w:t>6,615,663</w:t>
            </w:r>
          </w:p>
        </w:tc>
        <w:tc>
          <w:tcPr>
            <w:tcW w:w="1304" w:type="dxa"/>
          </w:tcPr>
          <w:p w14:paraId="6FE27419" w14:textId="77777777" w:rsidR="00B02873" w:rsidRPr="009B5710" w:rsidRDefault="00B02873" w:rsidP="009B5710">
            <w:pPr>
              <w:pStyle w:val="TablebodyleftFinancialsTables"/>
              <w:jc w:val="right"/>
              <w:rPr>
                <w:rFonts w:asciiTheme="minorHAnsi" w:hAnsiTheme="minorHAnsi" w:cstheme="minorHAnsi"/>
                <w:b/>
                <w:bCs/>
              </w:rPr>
            </w:pPr>
            <w:r w:rsidRPr="009B5710">
              <w:rPr>
                <w:rFonts w:asciiTheme="minorHAnsi" w:hAnsiTheme="minorHAnsi" w:cstheme="minorHAnsi"/>
                <w:b/>
                <w:bCs/>
              </w:rPr>
              <w:t>191,630</w:t>
            </w:r>
          </w:p>
        </w:tc>
        <w:tc>
          <w:tcPr>
            <w:tcW w:w="1134" w:type="dxa"/>
          </w:tcPr>
          <w:p w14:paraId="5D8CDDD0" w14:textId="77777777" w:rsidR="00B02873" w:rsidRPr="009B5710" w:rsidRDefault="00B02873" w:rsidP="009B5710">
            <w:pPr>
              <w:pStyle w:val="TablebodyleftFinancialsTables"/>
              <w:jc w:val="right"/>
              <w:rPr>
                <w:rFonts w:asciiTheme="minorHAnsi" w:hAnsiTheme="minorHAnsi" w:cstheme="minorHAnsi"/>
                <w:b/>
                <w:bCs/>
              </w:rPr>
            </w:pPr>
            <w:r w:rsidRPr="009B5710">
              <w:rPr>
                <w:rFonts w:asciiTheme="minorHAnsi" w:hAnsiTheme="minorHAnsi" w:cstheme="minorHAnsi"/>
                <w:b/>
                <w:bCs/>
              </w:rPr>
              <w:t>11,316,028</w:t>
            </w:r>
          </w:p>
        </w:tc>
      </w:tr>
    </w:tbl>
    <w:p w14:paraId="5BA873E9" w14:textId="77777777" w:rsidR="00B02873" w:rsidRDefault="00B02873" w:rsidP="00FE198A"/>
    <w:p w14:paraId="6873A901" w14:textId="77777777" w:rsidR="00B02873" w:rsidRDefault="00B02873" w:rsidP="00FE198A">
      <w:r>
        <w:t>The statement of changes in equity should be read in conjunction with the notes to the financial statements.</w:t>
      </w:r>
    </w:p>
    <w:p w14:paraId="38278127" w14:textId="77777777" w:rsidR="00B02873" w:rsidRPr="009B5710" w:rsidRDefault="00B02873" w:rsidP="009B5710">
      <w:pPr>
        <w:pStyle w:val="SourceNote"/>
        <w:spacing w:after="120"/>
        <w:rPr>
          <w:b/>
          <w:bCs/>
        </w:rPr>
      </w:pPr>
      <w:r w:rsidRPr="009B5710">
        <w:rPr>
          <w:b/>
          <w:bCs/>
        </w:rPr>
        <w:t>Note:</w:t>
      </w:r>
    </w:p>
    <w:p w14:paraId="5E927D53" w14:textId="77777777" w:rsidR="00B02873" w:rsidRPr="009B5710" w:rsidRDefault="00B02873" w:rsidP="001128B1">
      <w:pPr>
        <w:pStyle w:val="SourceNotenumbered"/>
        <w:numPr>
          <w:ilvl w:val="0"/>
          <w:numId w:val="75"/>
        </w:numPr>
      </w:pPr>
      <w:r w:rsidRPr="009B5710">
        <w:t xml:space="preserve">This format is aligned to </w:t>
      </w:r>
      <w:r w:rsidRPr="008316E9">
        <w:rPr>
          <w:rStyle w:val="LightItalic"/>
          <w:rFonts w:asciiTheme="minorHAnsi" w:hAnsiTheme="minorHAnsi" w:cstheme="minorHAnsi"/>
        </w:rPr>
        <w:t>AASB 1049 Whole of Government and General Government Sector Financial Reporting</w:t>
      </w:r>
      <w:r w:rsidRPr="009B5710">
        <w:t>.</w:t>
      </w:r>
    </w:p>
    <w:p w14:paraId="34DEAFEC" w14:textId="366DB397" w:rsidR="00B02873" w:rsidRPr="009B5710" w:rsidRDefault="00B02873" w:rsidP="008316E9">
      <w:pPr>
        <w:pStyle w:val="SourceNotenumbered"/>
        <w:spacing w:after="200"/>
        <w:ind w:left="357" w:hanging="357"/>
      </w:pPr>
      <w:r w:rsidRPr="009B5710">
        <w:t xml:space="preserve">The movement relates to asset transfers to and from the department and transfer of gain and loss on disposal of assets to the administered entity. Refer to Note 5.1.1 </w:t>
      </w:r>
      <w:r w:rsidRPr="009B5710">
        <w:rPr>
          <w:rStyle w:val="LightItalic"/>
          <w:rFonts w:asciiTheme="minorHAnsi" w:hAnsiTheme="minorHAnsi" w:cstheme="minorHAnsi"/>
        </w:rPr>
        <w:t>Reconciliation of movements in carrying values</w:t>
      </w:r>
      <w:r w:rsidRPr="009B5710">
        <w:t>.</w:t>
      </w:r>
      <w:r w:rsidR="00012C04" w:rsidRPr="009B5710">
        <w:t xml:space="preserve"> </w:t>
      </w:r>
    </w:p>
    <w:p w14:paraId="5E0FB13F" w14:textId="77777777" w:rsidR="00B02873" w:rsidRDefault="00B02873" w:rsidP="00570727">
      <w:pPr>
        <w:pStyle w:val="Heading3"/>
      </w:pPr>
      <w:bookmarkStart w:id="58" w:name="_Ref117433022"/>
      <w:r>
        <w:t>Cash flow statement for the financial year ended 30 June 2022</w:t>
      </w:r>
      <w:r>
        <w:rPr>
          <w:vertAlign w:val="superscript"/>
        </w:rPr>
        <w:t>(i)</w:t>
      </w:r>
      <w:bookmarkEnd w:id="58"/>
    </w:p>
    <w:tbl>
      <w:tblPr>
        <w:tblStyle w:val="TableGrid"/>
        <w:tblW w:w="0" w:type="auto"/>
        <w:tblLayout w:type="fixed"/>
        <w:tblLook w:val="0020" w:firstRow="1" w:lastRow="0" w:firstColumn="0" w:lastColumn="0" w:noHBand="0" w:noVBand="0"/>
      </w:tblPr>
      <w:tblGrid>
        <w:gridCol w:w="6477"/>
        <w:gridCol w:w="794"/>
        <w:gridCol w:w="1190"/>
        <w:gridCol w:w="1191"/>
      </w:tblGrid>
      <w:tr w:rsidR="00B02873" w:rsidRPr="00570727" w14:paraId="76A41CB8" w14:textId="77777777" w:rsidTr="00570727">
        <w:trPr>
          <w:cnfStyle w:val="100000000000" w:firstRow="1" w:lastRow="0" w:firstColumn="0" w:lastColumn="0" w:oddVBand="0" w:evenVBand="0" w:oddHBand="0" w:evenHBand="0" w:firstRowFirstColumn="0" w:firstRowLastColumn="0" w:lastRowFirstColumn="0" w:lastRowLastColumn="0"/>
          <w:trHeight w:val="60"/>
          <w:tblHeader/>
        </w:trPr>
        <w:tc>
          <w:tcPr>
            <w:tcW w:w="6477" w:type="dxa"/>
          </w:tcPr>
          <w:p w14:paraId="1B0FA6CA" w14:textId="77777777" w:rsidR="00B02873" w:rsidRPr="00570727" w:rsidRDefault="00B02873" w:rsidP="00570727">
            <w:pPr>
              <w:pStyle w:val="TableheadingleftFinancialsTables"/>
              <w:rPr>
                <w:rFonts w:asciiTheme="minorHAnsi" w:hAnsiTheme="minorHAnsi" w:cstheme="minorHAnsi"/>
              </w:rPr>
            </w:pPr>
          </w:p>
        </w:tc>
        <w:tc>
          <w:tcPr>
            <w:tcW w:w="794" w:type="dxa"/>
          </w:tcPr>
          <w:p w14:paraId="427E523F" w14:textId="77777777" w:rsidR="00B02873" w:rsidRPr="00570727" w:rsidRDefault="00B02873" w:rsidP="00570727">
            <w:pPr>
              <w:pStyle w:val="TableheadingleftFinancialsTables"/>
              <w:rPr>
                <w:rFonts w:asciiTheme="minorHAnsi" w:hAnsiTheme="minorHAnsi" w:cstheme="minorHAnsi"/>
              </w:rPr>
            </w:pPr>
            <w:r w:rsidRPr="00570727">
              <w:rPr>
                <w:rFonts w:asciiTheme="minorHAnsi" w:hAnsiTheme="minorHAnsi" w:cstheme="minorHAnsi"/>
              </w:rPr>
              <w:t>Notes</w:t>
            </w:r>
          </w:p>
        </w:tc>
        <w:tc>
          <w:tcPr>
            <w:tcW w:w="1190" w:type="dxa"/>
          </w:tcPr>
          <w:p w14:paraId="032623F1" w14:textId="77777777" w:rsidR="00B02873" w:rsidRPr="00570727" w:rsidRDefault="00B02873" w:rsidP="00570727">
            <w:pPr>
              <w:pStyle w:val="TableheadingleftFinancialsTables"/>
              <w:jc w:val="right"/>
              <w:rPr>
                <w:rFonts w:asciiTheme="minorHAnsi" w:hAnsiTheme="minorHAnsi" w:cstheme="minorHAnsi"/>
              </w:rPr>
            </w:pPr>
            <w:r w:rsidRPr="00570727">
              <w:rPr>
                <w:rFonts w:asciiTheme="minorHAnsi" w:hAnsiTheme="minorHAnsi" w:cstheme="minorHAnsi"/>
              </w:rPr>
              <w:t>2022</w:t>
            </w:r>
            <w:r w:rsidRPr="00570727">
              <w:rPr>
                <w:rFonts w:asciiTheme="minorHAnsi" w:hAnsiTheme="minorHAnsi" w:cstheme="minorHAnsi"/>
              </w:rPr>
              <w:br/>
              <w:t>$’000</w:t>
            </w:r>
          </w:p>
        </w:tc>
        <w:tc>
          <w:tcPr>
            <w:tcW w:w="1191" w:type="dxa"/>
          </w:tcPr>
          <w:p w14:paraId="693D7AFD" w14:textId="77777777" w:rsidR="00B02873" w:rsidRPr="00570727" w:rsidRDefault="00B02873" w:rsidP="00570727">
            <w:pPr>
              <w:pStyle w:val="TableheadingleftFinancialsTables"/>
              <w:jc w:val="right"/>
              <w:rPr>
                <w:rFonts w:asciiTheme="minorHAnsi" w:hAnsiTheme="minorHAnsi" w:cstheme="minorHAnsi"/>
              </w:rPr>
            </w:pPr>
            <w:r w:rsidRPr="00570727">
              <w:rPr>
                <w:rFonts w:asciiTheme="minorHAnsi" w:hAnsiTheme="minorHAnsi" w:cstheme="minorHAnsi"/>
              </w:rPr>
              <w:t>2021</w:t>
            </w:r>
            <w:r w:rsidRPr="00570727">
              <w:rPr>
                <w:rFonts w:asciiTheme="minorHAnsi" w:hAnsiTheme="minorHAnsi" w:cstheme="minorHAnsi"/>
              </w:rPr>
              <w:br/>
              <w:t>$’000</w:t>
            </w:r>
          </w:p>
        </w:tc>
      </w:tr>
      <w:tr w:rsidR="00B02873" w:rsidRPr="00570727" w14:paraId="025E4CBF" w14:textId="77777777" w:rsidTr="00570727">
        <w:trPr>
          <w:trHeight w:val="60"/>
        </w:trPr>
        <w:tc>
          <w:tcPr>
            <w:tcW w:w="6477" w:type="dxa"/>
          </w:tcPr>
          <w:p w14:paraId="10EEA367" w14:textId="77777777" w:rsidR="00B02873" w:rsidRPr="00570727" w:rsidRDefault="00B02873" w:rsidP="00570727">
            <w:pPr>
              <w:pStyle w:val="TablebodyleftFinancialsTables"/>
              <w:keepNext/>
              <w:rPr>
                <w:rFonts w:asciiTheme="minorHAnsi" w:hAnsiTheme="minorHAnsi" w:cstheme="minorHAnsi"/>
                <w:b/>
                <w:bCs/>
              </w:rPr>
            </w:pPr>
            <w:r w:rsidRPr="00570727">
              <w:rPr>
                <w:rFonts w:asciiTheme="minorHAnsi" w:hAnsiTheme="minorHAnsi" w:cstheme="minorHAnsi"/>
                <w:b/>
                <w:bCs/>
              </w:rPr>
              <w:t>Cash flows from operating activities</w:t>
            </w:r>
          </w:p>
        </w:tc>
        <w:tc>
          <w:tcPr>
            <w:tcW w:w="794" w:type="dxa"/>
          </w:tcPr>
          <w:p w14:paraId="2DFF50E7" w14:textId="77777777" w:rsidR="00B02873" w:rsidRPr="00570727" w:rsidRDefault="00B02873" w:rsidP="00570727">
            <w:pPr>
              <w:pStyle w:val="TablebodyleftFinancialsTables"/>
              <w:rPr>
                <w:rFonts w:asciiTheme="minorHAnsi" w:hAnsiTheme="minorHAnsi" w:cstheme="minorHAnsi"/>
              </w:rPr>
            </w:pPr>
          </w:p>
        </w:tc>
        <w:tc>
          <w:tcPr>
            <w:tcW w:w="1190" w:type="dxa"/>
          </w:tcPr>
          <w:p w14:paraId="36CF8762" w14:textId="77777777" w:rsidR="00B02873" w:rsidRPr="00570727" w:rsidRDefault="00B02873" w:rsidP="00570727">
            <w:pPr>
              <w:pStyle w:val="TablebodyleftFinancialsTables"/>
              <w:jc w:val="right"/>
              <w:rPr>
                <w:rFonts w:asciiTheme="minorHAnsi" w:hAnsiTheme="minorHAnsi" w:cstheme="minorHAnsi"/>
                <w:b/>
                <w:bCs/>
              </w:rPr>
            </w:pPr>
          </w:p>
        </w:tc>
        <w:tc>
          <w:tcPr>
            <w:tcW w:w="1191" w:type="dxa"/>
          </w:tcPr>
          <w:p w14:paraId="52898FCB" w14:textId="77777777" w:rsidR="00B02873" w:rsidRPr="00570727" w:rsidRDefault="00B02873" w:rsidP="00570727">
            <w:pPr>
              <w:pStyle w:val="TablebodyleftFinancialsTables"/>
              <w:jc w:val="right"/>
              <w:rPr>
                <w:rFonts w:asciiTheme="minorHAnsi" w:hAnsiTheme="minorHAnsi" w:cstheme="minorHAnsi"/>
              </w:rPr>
            </w:pPr>
          </w:p>
        </w:tc>
      </w:tr>
      <w:tr w:rsidR="00B02873" w:rsidRPr="00570727" w14:paraId="0C443408" w14:textId="77777777" w:rsidTr="00570727">
        <w:trPr>
          <w:trHeight w:val="60"/>
        </w:trPr>
        <w:tc>
          <w:tcPr>
            <w:tcW w:w="6477" w:type="dxa"/>
          </w:tcPr>
          <w:p w14:paraId="76B2E15F" w14:textId="77777777" w:rsidR="00B02873" w:rsidRPr="00570727" w:rsidRDefault="00B02873" w:rsidP="00570727">
            <w:pPr>
              <w:pStyle w:val="TablebodyleftFinancialsTables"/>
              <w:keepNext/>
              <w:rPr>
                <w:rFonts w:asciiTheme="minorHAnsi" w:hAnsiTheme="minorHAnsi" w:cstheme="minorHAnsi"/>
                <w:b/>
                <w:bCs/>
              </w:rPr>
            </w:pPr>
            <w:r w:rsidRPr="00570727">
              <w:rPr>
                <w:rFonts w:asciiTheme="minorHAnsi" w:hAnsiTheme="minorHAnsi" w:cstheme="minorHAnsi"/>
                <w:b/>
                <w:bCs/>
              </w:rPr>
              <w:t>Receipts</w:t>
            </w:r>
          </w:p>
        </w:tc>
        <w:tc>
          <w:tcPr>
            <w:tcW w:w="794" w:type="dxa"/>
          </w:tcPr>
          <w:p w14:paraId="477CFD3D" w14:textId="77777777" w:rsidR="00B02873" w:rsidRPr="00570727" w:rsidRDefault="00B02873" w:rsidP="00570727">
            <w:pPr>
              <w:pStyle w:val="TablebodyleftFinancialsTables"/>
              <w:rPr>
                <w:rFonts w:asciiTheme="minorHAnsi" w:hAnsiTheme="minorHAnsi" w:cstheme="minorHAnsi"/>
              </w:rPr>
            </w:pPr>
          </w:p>
        </w:tc>
        <w:tc>
          <w:tcPr>
            <w:tcW w:w="1190" w:type="dxa"/>
          </w:tcPr>
          <w:p w14:paraId="210BE427" w14:textId="77777777" w:rsidR="00B02873" w:rsidRPr="00570727" w:rsidRDefault="00B02873" w:rsidP="00570727">
            <w:pPr>
              <w:pStyle w:val="TablebodyleftFinancialsTables"/>
              <w:jc w:val="right"/>
              <w:rPr>
                <w:rFonts w:asciiTheme="minorHAnsi" w:hAnsiTheme="minorHAnsi" w:cstheme="minorHAnsi"/>
                <w:b/>
                <w:bCs/>
              </w:rPr>
            </w:pPr>
          </w:p>
        </w:tc>
        <w:tc>
          <w:tcPr>
            <w:tcW w:w="1191" w:type="dxa"/>
          </w:tcPr>
          <w:p w14:paraId="603C8196" w14:textId="77777777" w:rsidR="00B02873" w:rsidRPr="00570727" w:rsidRDefault="00B02873" w:rsidP="00570727">
            <w:pPr>
              <w:pStyle w:val="TablebodyleftFinancialsTables"/>
              <w:jc w:val="right"/>
              <w:rPr>
                <w:rFonts w:asciiTheme="minorHAnsi" w:hAnsiTheme="minorHAnsi" w:cstheme="minorHAnsi"/>
              </w:rPr>
            </w:pPr>
          </w:p>
        </w:tc>
      </w:tr>
      <w:tr w:rsidR="00B02873" w:rsidRPr="00570727" w14:paraId="17DF7568" w14:textId="77777777" w:rsidTr="00570727">
        <w:trPr>
          <w:trHeight w:val="60"/>
        </w:trPr>
        <w:tc>
          <w:tcPr>
            <w:tcW w:w="6477" w:type="dxa"/>
          </w:tcPr>
          <w:p w14:paraId="2F8CD6E5" w14:textId="77777777" w:rsidR="00B02873" w:rsidRPr="00570727" w:rsidRDefault="00B02873" w:rsidP="00570727">
            <w:pPr>
              <w:pStyle w:val="TablebodyleftFinancialsTables"/>
              <w:rPr>
                <w:rFonts w:asciiTheme="minorHAnsi" w:hAnsiTheme="minorHAnsi" w:cstheme="minorHAnsi"/>
              </w:rPr>
            </w:pPr>
            <w:r w:rsidRPr="00570727">
              <w:rPr>
                <w:rFonts w:asciiTheme="minorHAnsi" w:hAnsiTheme="minorHAnsi" w:cstheme="minorHAnsi"/>
              </w:rPr>
              <w:t>Receipts from government</w:t>
            </w:r>
          </w:p>
        </w:tc>
        <w:tc>
          <w:tcPr>
            <w:tcW w:w="794" w:type="dxa"/>
          </w:tcPr>
          <w:p w14:paraId="491CEDAD" w14:textId="77777777" w:rsidR="00B02873" w:rsidRPr="00570727" w:rsidRDefault="00B02873" w:rsidP="00570727">
            <w:pPr>
              <w:pStyle w:val="TablebodyleftFinancialsTables"/>
              <w:rPr>
                <w:rFonts w:asciiTheme="minorHAnsi" w:hAnsiTheme="minorHAnsi" w:cstheme="minorHAnsi"/>
              </w:rPr>
            </w:pPr>
          </w:p>
        </w:tc>
        <w:tc>
          <w:tcPr>
            <w:tcW w:w="1190" w:type="dxa"/>
          </w:tcPr>
          <w:p w14:paraId="75D6E18F" w14:textId="77777777" w:rsidR="00B02873" w:rsidRPr="00570727" w:rsidRDefault="00B02873" w:rsidP="00570727">
            <w:pPr>
              <w:pStyle w:val="TablebodyleftFinancialsTables"/>
              <w:jc w:val="right"/>
              <w:rPr>
                <w:rFonts w:asciiTheme="minorHAnsi" w:hAnsiTheme="minorHAnsi" w:cstheme="minorHAnsi"/>
                <w:b/>
                <w:bCs/>
              </w:rPr>
            </w:pPr>
            <w:r w:rsidRPr="00570727">
              <w:rPr>
                <w:rFonts w:asciiTheme="minorHAnsi" w:hAnsiTheme="minorHAnsi" w:cstheme="minorHAnsi"/>
                <w:b/>
                <w:bCs/>
              </w:rPr>
              <w:t>2,381,439</w:t>
            </w:r>
          </w:p>
        </w:tc>
        <w:tc>
          <w:tcPr>
            <w:tcW w:w="1191" w:type="dxa"/>
          </w:tcPr>
          <w:p w14:paraId="4F981160" w14:textId="77777777" w:rsidR="00B02873" w:rsidRPr="00570727" w:rsidRDefault="00B02873" w:rsidP="00570727">
            <w:pPr>
              <w:pStyle w:val="TablebodyleftFinancialsTables"/>
              <w:jc w:val="right"/>
              <w:rPr>
                <w:rFonts w:asciiTheme="minorHAnsi" w:hAnsiTheme="minorHAnsi" w:cstheme="minorHAnsi"/>
              </w:rPr>
            </w:pPr>
            <w:r w:rsidRPr="00570727">
              <w:rPr>
                <w:rFonts w:asciiTheme="minorHAnsi" w:hAnsiTheme="minorHAnsi" w:cstheme="minorHAnsi"/>
              </w:rPr>
              <w:t>2,289,246</w:t>
            </w:r>
          </w:p>
        </w:tc>
      </w:tr>
      <w:tr w:rsidR="00B02873" w:rsidRPr="00570727" w14:paraId="66CC66B7" w14:textId="77777777" w:rsidTr="00570727">
        <w:trPr>
          <w:trHeight w:val="60"/>
        </w:trPr>
        <w:tc>
          <w:tcPr>
            <w:tcW w:w="6477" w:type="dxa"/>
          </w:tcPr>
          <w:p w14:paraId="72A7CEFA" w14:textId="77777777" w:rsidR="00B02873" w:rsidRPr="00570727" w:rsidRDefault="00B02873" w:rsidP="00570727">
            <w:pPr>
              <w:pStyle w:val="TablebodyleftFinancialsTables"/>
              <w:rPr>
                <w:rFonts w:asciiTheme="minorHAnsi" w:hAnsiTheme="minorHAnsi" w:cstheme="minorHAnsi"/>
              </w:rPr>
            </w:pPr>
            <w:r w:rsidRPr="00570727">
              <w:rPr>
                <w:rFonts w:asciiTheme="minorHAnsi" w:hAnsiTheme="minorHAnsi" w:cstheme="minorHAnsi"/>
              </w:rPr>
              <w:t>Receipts from other entities</w:t>
            </w:r>
          </w:p>
        </w:tc>
        <w:tc>
          <w:tcPr>
            <w:tcW w:w="794" w:type="dxa"/>
          </w:tcPr>
          <w:p w14:paraId="2ABC2F81" w14:textId="77777777" w:rsidR="00B02873" w:rsidRPr="00570727" w:rsidRDefault="00B02873" w:rsidP="00570727">
            <w:pPr>
              <w:pStyle w:val="TablebodyleftFinancialsTables"/>
              <w:rPr>
                <w:rFonts w:asciiTheme="minorHAnsi" w:hAnsiTheme="minorHAnsi" w:cstheme="minorHAnsi"/>
              </w:rPr>
            </w:pPr>
          </w:p>
        </w:tc>
        <w:tc>
          <w:tcPr>
            <w:tcW w:w="1190" w:type="dxa"/>
          </w:tcPr>
          <w:p w14:paraId="107723E2" w14:textId="77777777" w:rsidR="00B02873" w:rsidRPr="00570727" w:rsidRDefault="00B02873" w:rsidP="00570727">
            <w:pPr>
              <w:pStyle w:val="TablebodyleftFinancialsTables"/>
              <w:jc w:val="right"/>
              <w:rPr>
                <w:rFonts w:asciiTheme="minorHAnsi" w:hAnsiTheme="minorHAnsi" w:cstheme="minorHAnsi"/>
                <w:b/>
                <w:bCs/>
              </w:rPr>
            </w:pPr>
            <w:r w:rsidRPr="00570727">
              <w:rPr>
                <w:rFonts w:asciiTheme="minorHAnsi" w:hAnsiTheme="minorHAnsi" w:cstheme="minorHAnsi"/>
                <w:b/>
                <w:bCs/>
              </w:rPr>
              <w:t>496,966</w:t>
            </w:r>
          </w:p>
        </w:tc>
        <w:tc>
          <w:tcPr>
            <w:tcW w:w="1191" w:type="dxa"/>
          </w:tcPr>
          <w:p w14:paraId="45A85B89" w14:textId="77777777" w:rsidR="00B02873" w:rsidRPr="00570727" w:rsidRDefault="00B02873" w:rsidP="00570727">
            <w:pPr>
              <w:pStyle w:val="TablebodyleftFinancialsTables"/>
              <w:jc w:val="right"/>
              <w:rPr>
                <w:rFonts w:asciiTheme="minorHAnsi" w:hAnsiTheme="minorHAnsi" w:cstheme="minorHAnsi"/>
              </w:rPr>
            </w:pPr>
            <w:r w:rsidRPr="00570727">
              <w:rPr>
                <w:rFonts w:asciiTheme="minorHAnsi" w:hAnsiTheme="minorHAnsi" w:cstheme="minorHAnsi"/>
              </w:rPr>
              <w:t>407,099</w:t>
            </w:r>
          </w:p>
        </w:tc>
      </w:tr>
      <w:tr w:rsidR="00B02873" w:rsidRPr="00570727" w14:paraId="7CA045D9" w14:textId="77777777" w:rsidTr="00570727">
        <w:trPr>
          <w:trHeight w:val="60"/>
        </w:trPr>
        <w:tc>
          <w:tcPr>
            <w:tcW w:w="6477" w:type="dxa"/>
          </w:tcPr>
          <w:p w14:paraId="4A8D736A" w14:textId="77777777" w:rsidR="00B02873" w:rsidRPr="00570727" w:rsidRDefault="00B02873" w:rsidP="00570727">
            <w:pPr>
              <w:pStyle w:val="TablebodyleftFinancialsTables"/>
              <w:rPr>
                <w:rFonts w:asciiTheme="minorHAnsi" w:hAnsiTheme="minorHAnsi" w:cstheme="minorHAnsi"/>
              </w:rPr>
            </w:pPr>
            <w:r w:rsidRPr="00570727">
              <w:rPr>
                <w:rFonts w:asciiTheme="minorHAnsi" w:hAnsiTheme="minorHAnsi" w:cstheme="minorHAnsi"/>
                <w:spacing w:val="-5"/>
              </w:rPr>
              <w:lastRenderedPageBreak/>
              <w:t>Goods and Services Tax recovered from the Australian Tax Office (ATO)</w:t>
            </w:r>
            <w:r w:rsidRPr="00570727">
              <w:rPr>
                <w:rFonts w:asciiTheme="minorHAnsi" w:hAnsiTheme="minorHAnsi" w:cstheme="minorHAnsi"/>
                <w:spacing w:val="-5"/>
                <w:vertAlign w:val="superscript"/>
              </w:rPr>
              <w:t>(ii)</w:t>
            </w:r>
          </w:p>
        </w:tc>
        <w:tc>
          <w:tcPr>
            <w:tcW w:w="794" w:type="dxa"/>
          </w:tcPr>
          <w:p w14:paraId="2F9189CB" w14:textId="77777777" w:rsidR="00B02873" w:rsidRPr="00570727" w:rsidRDefault="00B02873" w:rsidP="00570727">
            <w:pPr>
              <w:pStyle w:val="TablebodyleftFinancialsTables"/>
              <w:rPr>
                <w:rFonts w:asciiTheme="minorHAnsi" w:hAnsiTheme="minorHAnsi" w:cstheme="minorHAnsi"/>
              </w:rPr>
            </w:pPr>
          </w:p>
        </w:tc>
        <w:tc>
          <w:tcPr>
            <w:tcW w:w="1190" w:type="dxa"/>
          </w:tcPr>
          <w:p w14:paraId="7D5FF3E1" w14:textId="77777777" w:rsidR="00B02873" w:rsidRPr="00570727" w:rsidRDefault="00B02873" w:rsidP="00570727">
            <w:pPr>
              <w:pStyle w:val="TablebodyleftFinancialsTables"/>
              <w:jc w:val="right"/>
              <w:rPr>
                <w:rFonts w:asciiTheme="minorHAnsi" w:hAnsiTheme="minorHAnsi" w:cstheme="minorHAnsi"/>
                <w:b/>
                <w:bCs/>
              </w:rPr>
            </w:pPr>
            <w:r w:rsidRPr="00570727">
              <w:rPr>
                <w:rFonts w:asciiTheme="minorHAnsi" w:hAnsiTheme="minorHAnsi" w:cstheme="minorHAnsi"/>
                <w:b/>
                <w:bCs/>
              </w:rPr>
              <w:t>79,958</w:t>
            </w:r>
          </w:p>
        </w:tc>
        <w:tc>
          <w:tcPr>
            <w:tcW w:w="1191" w:type="dxa"/>
          </w:tcPr>
          <w:p w14:paraId="651BF559" w14:textId="77777777" w:rsidR="00B02873" w:rsidRPr="00570727" w:rsidRDefault="00B02873" w:rsidP="00570727">
            <w:pPr>
              <w:pStyle w:val="TablebodyleftFinancialsTables"/>
              <w:jc w:val="right"/>
              <w:rPr>
                <w:rFonts w:asciiTheme="minorHAnsi" w:hAnsiTheme="minorHAnsi" w:cstheme="minorHAnsi"/>
              </w:rPr>
            </w:pPr>
            <w:r w:rsidRPr="00570727">
              <w:rPr>
                <w:rFonts w:asciiTheme="minorHAnsi" w:hAnsiTheme="minorHAnsi" w:cstheme="minorHAnsi"/>
              </w:rPr>
              <w:t>71,783</w:t>
            </w:r>
          </w:p>
        </w:tc>
      </w:tr>
      <w:tr w:rsidR="00B02873" w:rsidRPr="00570727" w14:paraId="0E868D53" w14:textId="77777777" w:rsidTr="00570727">
        <w:trPr>
          <w:trHeight w:val="60"/>
        </w:trPr>
        <w:tc>
          <w:tcPr>
            <w:tcW w:w="6477" w:type="dxa"/>
          </w:tcPr>
          <w:p w14:paraId="2BA492F7" w14:textId="77777777" w:rsidR="00B02873" w:rsidRPr="00570727" w:rsidRDefault="00B02873" w:rsidP="00570727">
            <w:pPr>
              <w:pStyle w:val="TablebodyleftFinancialsTables"/>
              <w:rPr>
                <w:rFonts w:asciiTheme="minorHAnsi" w:hAnsiTheme="minorHAnsi" w:cstheme="minorHAnsi"/>
              </w:rPr>
            </w:pPr>
            <w:r w:rsidRPr="00570727">
              <w:rPr>
                <w:rFonts w:asciiTheme="minorHAnsi" w:hAnsiTheme="minorHAnsi" w:cstheme="minorHAnsi"/>
              </w:rPr>
              <w:t>Derivative settlements</w:t>
            </w:r>
          </w:p>
        </w:tc>
        <w:tc>
          <w:tcPr>
            <w:tcW w:w="794" w:type="dxa"/>
          </w:tcPr>
          <w:p w14:paraId="63A6CE64" w14:textId="77777777" w:rsidR="00B02873" w:rsidRPr="00570727" w:rsidRDefault="00B02873" w:rsidP="00570727">
            <w:pPr>
              <w:pStyle w:val="TablebodyleftFinancialsTables"/>
              <w:rPr>
                <w:rFonts w:asciiTheme="minorHAnsi" w:hAnsiTheme="minorHAnsi" w:cstheme="minorHAnsi"/>
              </w:rPr>
            </w:pPr>
          </w:p>
        </w:tc>
        <w:tc>
          <w:tcPr>
            <w:tcW w:w="1190" w:type="dxa"/>
          </w:tcPr>
          <w:p w14:paraId="1148C92B" w14:textId="77777777" w:rsidR="00B02873" w:rsidRPr="00570727" w:rsidRDefault="00B02873" w:rsidP="00570727">
            <w:pPr>
              <w:pStyle w:val="TablebodyleftFinancialsTables"/>
              <w:jc w:val="right"/>
              <w:rPr>
                <w:rFonts w:asciiTheme="minorHAnsi" w:hAnsiTheme="minorHAnsi" w:cstheme="minorHAnsi"/>
                <w:b/>
                <w:bCs/>
              </w:rPr>
            </w:pPr>
            <w:r w:rsidRPr="00570727">
              <w:rPr>
                <w:rFonts w:asciiTheme="minorHAnsi" w:hAnsiTheme="minorHAnsi" w:cstheme="minorHAnsi"/>
                <w:b/>
                <w:bCs/>
              </w:rPr>
              <w:t>92,375</w:t>
            </w:r>
          </w:p>
        </w:tc>
        <w:tc>
          <w:tcPr>
            <w:tcW w:w="1191" w:type="dxa"/>
          </w:tcPr>
          <w:p w14:paraId="305A2D3F" w14:textId="77777777" w:rsidR="00B02873" w:rsidRPr="00570727" w:rsidRDefault="00B02873" w:rsidP="00570727">
            <w:pPr>
              <w:pStyle w:val="TablebodyleftFinancialsTables"/>
              <w:jc w:val="right"/>
              <w:rPr>
                <w:rFonts w:asciiTheme="minorHAnsi" w:hAnsiTheme="minorHAnsi" w:cstheme="minorHAnsi"/>
              </w:rPr>
            </w:pPr>
            <w:r w:rsidRPr="00570727">
              <w:rPr>
                <w:rFonts w:asciiTheme="minorHAnsi" w:hAnsiTheme="minorHAnsi" w:cstheme="minorHAnsi"/>
              </w:rPr>
              <w:t>–</w:t>
            </w:r>
          </w:p>
        </w:tc>
      </w:tr>
      <w:tr w:rsidR="00B02873" w:rsidRPr="00570727" w14:paraId="2339FB2D" w14:textId="77777777" w:rsidTr="00570727">
        <w:trPr>
          <w:trHeight w:val="60"/>
        </w:trPr>
        <w:tc>
          <w:tcPr>
            <w:tcW w:w="6477" w:type="dxa"/>
          </w:tcPr>
          <w:p w14:paraId="5AE86EE9" w14:textId="77777777" w:rsidR="00B02873" w:rsidRPr="00570727" w:rsidRDefault="00B02873" w:rsidP="00570727">
            <w:pPr>
              <w:pStyle w:val="TablebodyleftFinancialsTables"/>
              <w:rPr>
                <w:rFonts w:asciiTheme="minorHAnsi" w:hAnsiTheme="minorHAnsi" w:cstheme="minorHAnsi"/>
              </w:rPr>
            </w:pPr>
            <w:r w:rsidRPr="00570727">
              <w:rPr>
                <w:rFonts w:asciiTheme="minorHAnsi" w:hAnsiTheme="minorHAnsi" w:cstheme="minorHAnsi"/>
              </w:rPr>
              <w:t>Interest received</w:t>
            </w:r>
          </w:p>
        </w:tc>
        <w:tc>
          <w:tcPr>
            <w:tcW w:w="794" w:type="dxa"/>
          </w:tcPr>
          <w:p w14:paraId="21F3BE9B" w14:textId="77777777" w:rsidR="00B02873" w:rsidRPr="00570727" w:rsidRDefault="00B02873" w:rsidP="00570727">
            <w:pPr>
              <w:pStyle w:val="TablebodyleftFinancialsTables"/>
              <w:rPr>
                <w:rFonts w:asciiTheme="minorHAnsi" w:hAnsiTheme="minorHAnsi" w:cstheme="minorHAnsi"/>
              </w:rPr>
            </w:pPr>
          </w:p>
        </w:tc>
        <w:tc>
          <w:tcPr>
            <w:tcW w:w="1190" w:type="dxa"/>
          </w:tcPr>
          <w:p w14:paraId="1EE4119C" w14:textId="77777777" w:rsidR="00B02873" w:rsidRPr="00570727" w:rsidRDefault="00B02873" w:rsidP="00570727">
            <w:pPr>
              <w:pStyle w:val="TablebodyleftFinancialsTables"/>
              <w:jc w:val="right"/>
              <w:rPr>
                <w:rFonts w:asciiTheme="minorHAnsi" w:hAnsiTheme="minorHAnsi" w:cstheme="minorHAnsi"/>
                <w:b/>
                <w:bCs/>
              </w:rPr>
            </w:pPr>
            <w:r w:rsidRPr="00570727">
              <w:rPr>
                <w:rFonts w:asciiTheme="minorHAnsi" w:hAnsiTheme="minorHAnsi" w:cstheme="minorHAnsi"/>
                <w:b/>
                <w:bCs/>
              </w:rPr>
              <w:t>9,555</w:t>
            </w:r>
          </w:p>
        </w:tc>
        <w:tc>
          <w:tcPr>
            <w:tcW w:w="1191" w:type="dxa"/>
          </w:tcPr>
          <w:p w14:paraId="2E844439" w14:textId="77777777" w:rsidR="00B02873" w:rsidRPr="00570727" w:rsidRDefault="00B02873" w:rsidP="00570727">
            <w:pPr>
              <w:pStyle w:val="TablebodyleftFinancialsTables"/>
              <w:jc w:val="right"/>
              <w:rPr>
                <w:rFonts w:asciiTheme="minorHAnsi" w:hAnsiTheme="minorHAnsi" w:cstheme="minorHAnsi"/>
              </w:rPr>
            </w:pPr>
            <w:r w:rsidRPr="00570727">
              <w:rPr>
                <w:rFonts w:asciiTheme="minorHAnsi" w:hAnsiTheme="minorHAnsi" w:cstheme="minorHAnsi"/>
              </w:rPr>
              <w:t>13,487</w:t>
            </w:r>
          </w:p>
        </w:tc>
      </w:tr>
      <w:tr w:rsidR="00B02873" w:rsidRPr="00570727" w14:paraId="062F8397" w14:textId="77777777" w:rsidTr="00570727">
        <w:trPr>
          <w:trHeight w:val="60"/>
        </w:trPr>
        <w:tc>
          <w:tcPr>
            <w:tcW w:w="6477" w:type="dxa"/>
          </w:tcPr>
          <w:p w14:paraId="0265B73B" w14:textId="77777777" w:rsidR="00B02873" w:rsidRPr="00570727" w:rsidRDefault="00B02873" w:rsidP="00570727">
            <w:pPr>
              <w:pStyle w:val="TablebodyleftFinancialsTables"/>
              <w:rPr>
                <w:rFonts w:asciiTheme="minorHAnsi" w:hAnsiTheme="minorHAnsi" w:cstheme="minorHAnsi"/>
                <w:b/>
                <w:bCs/>
              </w:rPr>
            </w:pPr>
            <w:r w:rsidRPr="00570727">
              <w:rPr>
                <w:rFonts w:asciiTheme="minorHAnsi" w:hAnsiTheme="minorHAnsi" w:cstheme="minorHAnsi"/>
                <w:b/>
                <w:bCs/>
              </w:rPr>
              <w:t>Total receipts</w:t>
            </w:r>
          </w:p>
        </w:tc>
        <w:tc>
          <w:tcPr>
            <w:tcW w:w="794" w:type="dxa"/>
          </w:tcPr>
          <w:p w14:paraId="133309A9" w14:textId="77777777" w:rsidR="00B02873" w:rsidRPr="00570727" w:rsidRDefault="00B02873" w:rsidP="00570727">
            <w:pPr>
              <w:pStyle w:val="TablebodyleftFinancialsTables"/>
              <w:rPr>
                <w:rFonts w:asciiTheme="minorHAnsi" w:hAnsiTheme="minorHAnsi" w:cstheme="minorHAnsi"/>
              </w:rPr>
            </w:pPr>
          </w:p>
        </w:tc>
        <w:tc>
          <w:tcPr>
            <w:tcW w:w="1190" w:type="dxa"/>
          </w:tcPr>
          <w:p w14:paraId="280646DB" w14:textId="77777777" w:rsidR="00B02873" w:rsidRPr="00570727" w:rsidRDefault="00B02873" w:rsidP="00570727">
            <w:pPr>
              <w:pStyle w:val="TablebodyleftFinancialsTables"/>
              <w:jc w:val="right"/>
              <w:rPr>
                <w:rFonts w:asciiTheme="minorHAnsi" w:hAnsiTheme="minorHAnsi" w:cstheme="minorHAnsi"/>
                <w:b/>
                <w:bCs/>
              </w:rPr>
            </w:pPr>
            <w:r w:rsidRPr="00570727">
              <w:rPr>
                <w:rFonts w:asciiTheme="minorHAnsi" w:hAnsiTheme="minorHAnsi" w:cstheme="minorHAnsi"/>
                <w:b/>
                <w:bCs/>
              </w:rPr>
              <w:t>3,060,293</w:t>
            </w:r>
          </w:p>
        </w:tc>
        <w:tc>
          <w:tcPr>
            <w:tcW w:w="1191" w:type="dxa"/>
          </w:tcPr>
          <w:p w14:paraId="13D8FB5B" w14:textId="77777777" w:rsidR="00B02873" w:rsidRPr="00570727" w:rsidRDefault="00B02873" w:rsidP="00570727">
            <w:pPr>
              <w:pStyle w:val="TablebodyleftFinancialsTables"/>
              <w:jc w:val="right"/>
              <w:rPr>
                <w:rFonts w:asciiTheme="minorHAnsi" w:hAnsiTheme="minorHAnsi" w:cstheme="minorHAnsi"/>
              </w:rPr>
            </w:pPr>
            <w:r w:rsidRPr="00570727">
              <w:rPr>
                <w:rFonts w:asciiTheme="minorHAnsi" w:hAnsiTheme="minorHAnsi" w:cstheme="minorHAnsi"/>
              </w:rPr>
              <w:t>2,781,615</w:t>
            </w:r>
          </w:p>
        </w:tc>
      </w:tr>
      <w:tr w:rsidR="00B02873" w:rsidRPr="00570727" w14:paraId="2F266545" w14:textId="77777777" w:rsidTr="00570727">
        <w:trPr>
          <w:trHeight w:val="60"/>
        </w:trPr>
        <w:tc>
          <w:tcPr>
            <w:tcW w:w="6477" w:type="dxa"/>
          </w:tcPr>
          <w:p w14:paraId="67D7EDCD" w14:textId="77777777" w:rsidR="00B02873" w:rsidRPr="00570727" w:rsidRDefault="00B02873" w:rsidP="00570727">
            <w:pPr>
              <w:pStyle w:val="TablebodyleftFinancialsTables"/>
              <w:rPr>
                <w:rFonts w:asciiTheme="minorHAnsi" w:hAnsiTheme="minorHAnsi" w:cstheme="minorHAnsi"/>
                <w:b/>
                <w:bCs/>
              </w:rPr>
            </w:pPr>
            <w:r w:rsidRPr="00570727">
              <w:rPr>
                <w:rFonts w:asciiTheme="minorHAnsi" w:hAnsiTheme="minorHAnsi" w:cstheme="minorHAnsi"/>
                <w:b/>
                <w:bCs/>
              </w:rPr>
              <w:t>Payments</w:t>
            </w:r>
          </w:p>
        </w:tc>
        <w:tc>
          <w:tcPr>
            <w:tcW w:w="794" w:type="dxa"/>
          </w:tcPr>
          <w:p w14:paraId="61CAC948" w14:textId="77777777" w:rsidR="00B02873" w:rsidRPr="00570727" w:rsidRDefault="00B02873" w:rsidP="00570727">
            <w:pPr>
              <w:pStyle w:val="TablebodyleftFinancialsTables"/>
              <w:rPr>
                <w:rFonts w:asciiTheme="minorHAnsi" w:hAnsiTheme="minorHAnsi" w:cstheme="minorHAnsi"/>
              </w:rPr>
            </w:pPr>
          </w:p>
        </w:tc>
        <w:tc>
          <w:tcPr>
            <w:tcW w:w="1190" w:type="dxa"/>
          </w:tcPr>
          <w:p w14:paraId="3B98BA01" w14:textId="77777777" w:rsidR="00B02873" w:rsidRPr="00570727" w:rsidRDefault="00B02873" w:rsidP="00570727">
            <w:pPr>
              <w:pStyle w:val="TablebodyleftFinancialsTables"/>
              <w:jc w:val="right"/>
              <w:rPr>
                <w:rFonts w:asciiTheme="minorHAnsi" w:hAnsiTheme="minorHAnsi" w:cstheme="minorHAnsi"/>
                <w:b/>
                <w:bCs/>
              </w:rPr>
            </w:pPr>
          </w:p>
        </w:tc>
        <w:tc>
          <w:tcPr>
            <w:tcW w:w="1191" w:type="dxa"/>
          </w:tcPr>
          <w:p w14:paraId="6D2492F3" w14:textId="77777777" w:rsidR="00B02873" w:rsidRPr="00570727" w:rsidRDefault="00B02873" w:rsidP="00570727">
            <w:pPr>
              <w:pStyle w:val="TablebodyleftFinancialsTables"/>
              <w:jc w:val="right"/>
              <w:rPr>
                <w:rFonts w:asciiTheme="minorHAnsi" w:hAnsiTheme="minorHAnsi" w:cstheme="minorHAnsi"/>
              </w:rPr>
            </w:pPr>
          </w:p>
        </w:tc>
      </w:tr>
      <w:tr w:rsidR="00B02873" w:rsidRPr="00570727" w14:paraId="1B8FE4CD" w14:textId="77777777" w:rsidTr="00570727">
        <w:trPr>
          <w:trHeight w:val="60"/>
        </w:trPr>
        <w:tc>
          <w:tcPr>
            <w:tcW w:w="6477" w:type="dxa"/>
          </w:tcPr>
          <w:p w14:paraId="6F07DE9B" w14:textId="77777777" w:rsidR="00B02873" w:rsidRPr="00570727" w:rsidRDefault="00B02873" w:rsidP="00570727">
            <w:pPr>
              <w:pStyle w:val="TablebodyleftFinancialsTables"/>
              <w:rPr>
                <w:rFonts w:asciiTheme="minorHAnsi" w:hAnsiTheme="minorHAnsi" w:cstheme="minorHAnsi"/>
              </w:rPr>
            </w:pPr>
            <w:r w:rsidRPr="00570727">
              <w:rPr>
                <w:rFonts w:asciiTheme="minorHAnsi" w:hAnsiTheme="minorHAnsi" w:cstheme="minorHAnsi"/>
              </w:rPr>
              <w:t>Payments of grants and other transfers</w:t>
            </w:r>
          </w:p>
        </w:tc>
        <w:tc>
          <w:tcPr>
            <w:tcW w:w="794" w:type="dxa"/>
          </w:tcPr>
          <w:p w14:paraId="1BF3D8A5" w14:textId="77777777" w:rsidR="00B02873" w:rsidRPr="00570727" w:rsidRDefault="00B02873" w:rsidP="00570727">
            <w:pPr>
              <w:pStyle w:val="TablebodyleftFinancialsTables"/>
              <w:rPr>
                <w:rFonts w:asciiTheme="minorHAnsi" w:hAnsiTheme="minorHAnsi" w:cstheme="minorHAnsi"/>
              </w:rPr>
            </w:pPr>
          </w:p>
        </w:tc>
        <w:tc>
          <w:tcPr>
            <w:tcW w:w="1190" w:type="dxa"/>
          </w:tcPr>
          <w:p w14:paraId="74CB00FD" w14:textId="77777777" w:rsidR="00B02873" w:rsidRPr="00570727" w:rsidRDefault="00B02873" w:rsidP="00570727">
            <w:pPr>
              <w:pStyle w:val="TablebodyleftFinancialsTables"/>
              <w:jc w:val="right"/>
              <w:rPr>
                <w:rFonts w:asciiTheme="minorHAnsi" w:hAnsiTheme="minorHAnsi" w:cstheme="minorHAnsi"/>
                <w:b/>
                <w:bCs/>
              </w:rPr>
            </w:pPr>
            <w:r w:rsidRPr="00570727">
              <w:rPr>
                <w:rFonts w:asciiTheme="minorHAnsi" w:hAnsiTheme="minorHAnsi" w:cstheme="minorHAnsi"/>
                <w:b/>
                <w:bCs/>
              </w:rPr>
              <w:t>(1,524,771)</w:t>
            </w:r>
          </w:p>
        </w:tc>
        <w:tc>
          <w:tcPr>
            <w:tcW w:w="1191" w:type="dxa"/>
          </w:tcPr>
          <w:p w14:paraId="2AF1DBF4" w14:textId="77777777" w:rsidR="00B02873" w:rsidRPr="00570727" w:rsidRDefault="00B02873" w:rsidP="00570727">
            <w:pPr>
              <w:pStyle w:val="TablebodyleftFinancialsTables"/>
              <w:jc w:val="right"/>
              <w:rPr>
                <w:rFonts w:asciiTheme="minorHAnsi" w:hAnsiTheme="minorHAnsi" w:cstheme="minorHAnsi"/>
              </w:rPr>
            </w:pPr>
            <w:r w:rsidRPr="00570727">
              <w:rPr>
                <w:rFonts w:asciiTheme="minorHAnsi" w:hAnsiTheme="minorHAnsi" w:cstheme="minorHAnsi"/>
              </w:rPr>
              <w:t>(1,466,900)</w:t>
            </w:r>
          </w:p>
        </w:tc>
      </w:tr>
      <w:tr w:rsidR="00B02873" w:rsidRPr="00570727" w14:paraId="497F6776" w14:textId="77777777" w:rsidTr="00570727">
        <w:trPr>
          <w:trHeight w:val="60"/>
        </w:trPr>
        <w:tc>
          <w:tcPr>
            <w:tcW w:w="6477" w:type="dxa"/>
          </w:tcPr>
          <w:p w14:paraId="7A49590C" w14:textId="77777777" w:rsidR="00B02873" w:rsidRPr="00570727" w:rsidRDefault="00B02873" w:rsidP="00570727">
            <w:pPr>
              <w:pStyle w:val="TablebodyleftFinancialsTables"/>
              <w:rPr>
                <w:rFonts w:asciiTheme="minorHAnsi" w:hAnsiTheme="minorHAnsi" w:cstheme="minorHAnsi"/>
              </w:rPr>
            </w:pPr>
            <w:r w:rsidRPr="00570727">
              <w:rPr>
                <w:rFonts w:asciiTheme="minorHAnsi" w:hAnsiTheme="minorHAnsi" w:cstheme="minorHAnsi"/>
              </w:rPr>
              <w:t>Payments to suppliers and employees</w:t>
            </w:r>
          </w:p>
        </w:tc>
        <w:tc>
          <w:tcPr>
            <w:tcW w:w="794" w:type="dxa"/>
          </w:tcPr>
          <w:p w14:paraId="6AEA139F" w14:textId="77777777" w:rsidR="00B02873" w:rsidRPr="00570727" w:rsidRDefault="00B02873" w:rsidP="00570727">
            <w:pPr>
              <w:pStyle w:val="TablebodyleftFinancialsTables"/>
              <w:rPr>
                <w:rFonts w:asciiTheme="minorHAnsi" w:hAnsiTheme="minorHAnsi" w:cstheme="minorHAnsi"/>
              </w:rPr>
            </w:pPr>
          </w:p>
        </w:tc>
        <w:tc>
          <w:tcPr>
            <w:tcW w:w="1190" w:type="dxa"/>
          </w:tcPr>
          <w:p w14:paraId="30FFBB1D" w14:textId="77777777" w:rsidR="00B02873" w:rsidRPr="00570727" w:rsidRDefault="00B02873" w:rsidP="00570727">
            <w:pPr>
              <w:pStyle w:val="TablebodyleftFinancialsTables"/>
              <w:jc w:val="right"/>
              <w:rPr>
                <w:rFonts w:asciiTheme="minorHAnsi" w:hAnsiTheme="minorHAnsi" w:cstheme="minorHAnsi"/>
                <w:b/>
                <w:bCs/>
              </w:rPr>
            </w:pPr>
            <w:r w:rsidRPr="00570727">
              <w:rPr>
                <w:rFonts w:asciiTheme="minorHAnsi" w:hAnsiTheme="minorHAnsi" w:cstheme="minorHAnsi"/>
                <w:b/>
                <w:bCs/>
              </w:rPr>
              <w:t>(1,293,686)</w:t>
            </w:r>
          </w:p>
        </w:tc>
        <w:tc>
          <w:tcPr>
            <w:tcW w:w="1191" w:type="dxa"/>
          </w:tcPr>
          <w:p w14:paraId="5DBA2738" w14:textId="77777777" w:rsidR="00B02873" w:rsidRPr="00570727" w:rsidRDefault="00B02873" w:rsidP="00570727">
            <w:pPr>
              <w:pStyle w:val="TablebodyleftFinancialsTables"/>
              <w:jc w:val="right"/>
              <w:rPr>
                <w:rFonts w:asciiTheme="minorHAnsi" w:hAnsiTheme="minorHAnsi" w:cstheme="minorHAnsi"/>
              </w:rPr>
            </w:pPr>
            <w:r w:rsidRPr="00570727">
              <w:rPr>
                <w:rFonts w:asciiTheme="minorHAnsi" w:hAnsiTheme="minorHAnsi" w:cstheme="minorHAnsi"/>
              </w:rPr>
              <w:t>(1,236,366)</w:t>
            </w:r>
          </w:p>
        </w:tc>
      </w:tr>
      <w:tr w:rsidR="00B02873" w:rsidRPr="00570727" w14:paraId="6550D6AB" w14:textId="77777777" w:rsidTr="00570727">
        <w:trPr>
          <w:trHeight w:val="60"/>
        </w:trPr>
        <w:tc>
          <w:tcPr>
            <w:tcW w:w="6477" w:type="dxa"/>
          </w:tcPr>
          <w:p w14:paraId="37B0E4B9" w14:textId="77777777" w:rsidR="00B02873" w:rsidRPr="00570727" w:rsidRDefault="00B02873" w:rsidP="00570727">
            <w:pPr>
              <w:pStyle w:val="TablebodyleftFinancialsTables"/>
              <w:rPr>
                <w:rFonts w:asciiTheme="minorHAnsi" w:hAnsiTheme="minorHAnsi" w:cstheme="minorHAnsi"/>
              </w:rPr>
            </w:pPr>
            <w:r w:rsidRPr="00570727">
              <w:rPr>
                <w:rFonts w:asciiTheme="minorHAnsi" w:hAnsiTheme="minorHAnsi" w:cstheme="minorHAnsi"/>
              </w:rPr>
              <w:t>Capital asset charge payments</w:t>
            </w:r>
          </w:p>
        </w:tc>
        <w:tc>
          <w:tcPr>
            <w:tcW w:w="794" w:type="dxa"/>
          </w:tcPr>
          <w:p w14:paraId="1843524B" w14:textId="77777777" w:rsidR="00B02873" w:rsidRPr="00570727" w:rsidRDefault="00B02873" w:rsidP="00570727">
            <w:pPr>
              <w:pStyle w:val="TablebodyleftFinancialsTables"/>
              <w:rPr>
                <w:rFonts w:asciiTheme="minorHAnsi" w:hAnsiTheme="minorHAnsi" w:cstheme="minorHAnsi"/>
              </w:rPr>
            </w:pPr>
            <w:r w:rsidRPr="00570727">
              <w:rPr>
                <w:rFonts w:asciiTheme="minorHAnsi" w:hAnsiTheme="minorHAnsi" w:cstheme="minorHAnsi"/>
              </w:rPr>
              <w:t>3.1.3</w:t>
            </w:r>
          </w:p>
        </w:tc>
        <w:tc>
          <w:tcPr>
            <w:tcW w:w="1190" w:type="dxa"/>
          </w:tcPr>
          <w:p w14:paraId="69B8CCDA" w14:textId="0CD5C898" w:rsidR="00B02873" w:rsidRPr="00570727" w:rsidRDefault="00012C04" w:rsidP="00570727">
            <w:pPr>
              <w:pStyle w:val="TablebodyleftFinancialsTables"/>
              <w:jc w:val="right"/>
              <w:rPr>
                <w:rFonts w:asciiTheme="minorHAnsi" w:hAnsiTheme="minorHAnsi" w:cstheme="minorHAnsi"/>
                <w:b/>
                <w:bCs/>
              </w:rPr>
            </w:pPr>
            <w:r w:rsidRPr="00570727">
              <w:rPr>
                <w:rFonts w:asciiTheme="minorHAnsi" w:hAnsiTheme="minorHAnsi" w:cstheme="minorHAnsi"/>
                <w:b/>
                <w:bCs/>
              </w:rPr>
              <w:t xml:space="preserve"> </w:t>
            </w:r>
            <w:r w:rsidR="00B02873" w:rsidRPr="00570727">
              <w:rPr>
                <w:rFonts w:asciiTheme="minorHAnsi" w:hAnsiTheme="minorHAnsi" w:cstheme="minorHAnsi"/>
                <w:b/>
                <w:bCs/>
              </w:rPr>
              <w:t xml:space="preserve"> –</w:t>
            </w:r>
          </w:p>
        </w:tc>
        <w:tc>
          <w:tcPr>
            <w:tcW w:w="1191" w:type="dxa"/>
          </w:tcPr>
          <w:p w14:paraId="7197BD94" w14:textId="77777777" w:rsidR="00B02873" w:rsidRPr="00570727" w:rsidRDefault="00B02873" w:rsidP="00570727">
            <w:pPr>
              <w:pStyle w:val="TablebodyleftFinancialsTables"/>
              <w:jc w:val="right"/>
              <w:rPr>
                <w:rFonts w:asciiTheme="minorHAnsi" w:hAnsiTheme="minorHAnsi" w:cstheme="minorHAnsi"/>
              </w:rPr>
            </w:pPr>
            <w:r w:rsidRPr="00570727">
              <w:rPr>
                <w:rFonts w:asciiTheme="minorHAnsi" w:hAnsiTheme="minorHAnsi" w:cstheme="minorHAnsi"/>
              </w:rPr>
              <w:t>(96,066)</w:t>
            </w:r>
          </w:p>
        </w:tc>
      </w:tr>
      <w:tr w:rsidR="00B02873" w:rsidRPr="00570727" w14:paraId="00A8E459" w14:textId="77777777" w:rsidTr="00570727">
        <w:trPr>
          <w:trHeight w:val="60"/>
        </w:trPr>
        <w:tc>
          <w:tcPr>
            <w:tcW w:w="6477" w:type="dxa"/>
          </w:tcPr>
          <w:p w14:paraId="69483A5B" w14:textId="77777777" w:rsidR="00B02873" w:rsidRPr="00570727" w:rsidRDefault="00B02873" w:rsidP="00570727">
            <w:pPr>
              <w:pStyle w:val="TablebodyleftFinancialsTables"/>
              <w:rPr>
                <w:rFonts w:asciiTheme="minorHAnsi" w:hAnsiTheme="minorHAnsi" w:cstheme="minorHAnsi"/>
              </w:rPr>
            </w:pPr>
            <w:r w:rsidRPr="00570727">
              <w:rPr>
                <w:rFonts w:asciiTheme="minorHAnsi" w:hAnsiTheme="minorHAnsi" w:cstheme="minorHAnsi"/>
              </w:rPr>
              <w:t>Derivative settlements</w:t>
            </w:r>
          </w:p>
        </w:tc>
        <w:tc>
          <w:tcPr>
            <w:tcW w:w="794" w:type="dxa"/>
          </w:tcPr>
          <w:p w14:paraId="12F3A5E7" w14:textId="77777777" w:rsidR="00B02873" w:rsidRPr="00570727" w:rsidRDefault="00B02873" w:rsidP="00570727">
            <w:pPr>
              <w:pStyle w:val="TablebodyleftFinancialsTables"/>
              <w:rPr>
                <w:rFonts w:asciiTheme="minorHAnsi" w:hAnsiTheme="minorHAnsi" w:cstheme="minorHAnsi"/>
              </w:rPr>
            </w:pPr>
          </w:p>
        </w:tc>
        <w:tc>
          <w:tcPr>
            <w:tcW w:w="1190" w:type="dxa"/>
          </w:tcPr>
          <w:p w14:paraId="28305786" w14:textId="77777777" w:rsidR="00B02873" w:rsidRPr="00570727" w:rsidRDefault="00B02873" w:rsidP="00570727">
            <w:pPr>
              <w:pStyle w:val="TablebodyleftFinancialsTables"/>
              <w:jc w:val="right"/>
              <w:rPr>
                <w:rFonts w:asciiTheme="minorHAnsi" w:hAnsiTheme="minorHAnsi" w:cstheme="minorHAnsi"/>
                <w:b/>
                <w:bCs/>
              </w:rPr>
            </w:pPr>
            <w:r w:rsidRPr="00570727">
              <w:rPr>
                <w:rFonts w:asciiTheme="minorHAnsi" w:hAnsiTheme="minorHAnsi" w:cstheme="minorHAnsi"/>
                <w:b/>
                <w:bCs/>
              </w:rPr>
              <w:t>(14,704)</w:t>
            </w:r>
          </w:p>
        </w:tc>
        <w:tc>
          <w:tcPr>
            <w:tcW w:w="1191" w:type="dxa"/>
          </w:tcPr>
          <w:p w14:paraId="619A89E4" w14:textId="77777777" w:rsidR="00B02873" w:rsidRPr="00570727" w:rsidRDefault="00B02873" w:rsidP="00570727">
            <w:pPr>
              <w:pStyle w:val="TablebodyleftFinancialsTables"/>
              <w:jc w:val="right"/>
              <w:rPr>
                <w:rFonts w:asciiTheme="minorHAnsi" w:hAnsiTheme="minorHAnsi" w:cstheme="minorHAnsi"/>
              </w:rPr>
            </w:pPr>
            <w:r w:rsidRPr="00570727">
              <w:rPr>
                <w:rFonts w:asciiTheme="minorHAnsi" w:hAnsiTheme="minorHAnsi" w:cstheme="minorHAnsi"/>
              </w:rPr>
              <w:t>(938)</w:t>
            </w:r>
          </w:p>
        </w:tc>
      </w:tr>
      <w:tr w:rsidR="00B02873" w:rsidRPr="00570727" w14:paraId="013C9048" w14:textId="77777777" w:rsidTr="00570727">
        <w:trPr>
          <w:trHeight w:val="60"/>
        </w:trPr>
        <w:tc>
          <w:tcPr>
            <w:tcW w:w="6477" w:type="dxa"/>
          </w:tcPr>
          <w:p w14:paraId="6A4CC8C0" w14:textId="77777777" w:rsidR="00B02873" w:rsidRPr="00570727" w:rsidRDefault="00B02873" w:rsidP="00570727">
            <w:pPr>
              <w:pStyle w:val="TablebodyleftFinancialsTables"/>
              <w:rPr>
                <w:rFonts w:asciiTheme="minorHAnsi" w:hAnsiTheme="minorHAnsi" w:cstheme="minorHAnsi"/>
              </w:rPr>
            </w:pPr>
            <w:r w:rsidRPr="00570727">
              <w:rPr>
                <w:rFonts w:asciiTheme="minorHAnsi" w:hAnsiTheme="minorHAnsi" w:cstheme="minorHAnsi"/>
              </w:rPr>
              <w:t>Interest and other costs of finance paid</w:t>
            </w:r>
          </w:p>
        </w:tc>
        <w:tc>
          <w:tcPr>
            <w:tcW w:w="794" w:type="dxa"/>
          </w:tcPr>
          <w:p w14:paraId="1EBE6437" w14:textId="77777777" w:rsidR="00B02873" w:rsidRPr="00570727" w:rsidRDefault="00B02873" w:rsidP="00570727">
            <w:pPr>
              <w:pStyle w:val="TablebodyleftFinancialsTables"/>
              <w:rPr>
                <w:rFonts w:asciiTheme="minorHAnsi" w:hAnsiTheme="minorHAnsi" w:cstheme="minorHAnsi"/>
              </w:rPr>
            </w:pPr>
          </w:p>
        </w:tc>
        <w:tc>
          <w:tcPr>
            <w:tcW w:w="1190" w:type="dxa"/>
          </w:tcPr>
          <w:p w14:paraId="09175798" w14:textId="77777777" w:rsidR="00B02873" w:rsidRPr="00570727" w:rsidRDefault="00B02873" w:rsidP="00570727">
            <w:pPr>
              <w:pStyle w:val="TablebodyleftFinancialsTables"/>
              <w:jc w:val="right"/>
              <w:rPr>
                <w:rFonts w:asciiTheme="minorHAnsi" w:hAnsiTheme="minorHAnsi" w:cstheme="minorHAnsi"/>
                <w:b/>
                <w:bCs/>
              </w:rPr>
            </w:pPr>
            <w:r w:rsidRPr="00570727">
              <w:rPr>
                <w:rFonts w:asciiTheme="minorHAnsi" w:hAnsiTheme="minorHAnsi" w:cstheme="minorHAnsi"/>
                <w:b/>
                <w:bCs/>
              </w:rPr>
              <w:t>(11,654)</w:t>
            </w:r>
          </w:p>
        </w:tc>
        <w:tc>
          <w:tcPr>
            <w:tcW w:w="1191" w:type="dxa"/>
          </w:tcPr>
          <w:p w14:paraId="5F880BE1" w14:textId="77777777" w:rsidR="00B02873" w:rsidRPr="00570727" w:rsidRDefault="00B02873" w:rsidP="00570727">
            <w:pPr>
              <w:pStyle w:val="TablebodyleftFinancialsTables"/>
              <w:jc w:val="right"/>
              <w:rPr>
                <w:rFonts w:asciiTheme="minorHAnsi" w:hAnsiTheme="minorHAnsi" w:cstheme="minorHAnsi"/>
              </w:rPr>
            </w:pPr>
            <w:r w:rsidRPr="00570727">
              <w:rPr>
                <w:rFonts w:asciiTheme="minorHAnsi" w:hAnsiTheme="minorHAnsi" w:cstheme="minorHAnsi"/>
              </w:rPr>
              <w:t>(13,023)</w:t>
            </w:r>
          </w:p>
        </w:tc>
      </w:tr>
      <w:tr w:rsidR="00B02873" w:rsidRPr="00570727" w14:paraId="52D1F0A6" w14:textId="77777777" w:rsidTr="00570727">
        <w:trPr>
          <w:trHeight w:val="60"/>
        </w:trPr>
        <w:tc>
          <w:tcPr>
            <w:tcW w:w="6477" w:type="dxa"/>
          </w:tcPr>
          <w:p w14:paraId="0B77CFF5" w14:textId="77777777" w:rsidR="00B02873" w:rsidRPr="00570727" w:rsidRDefault="00B02873" w:rsidP="00570727">
            <w:pPr>
              <w:pStyle w:val="TablebodyleftFinancialsTables"/>
              <w:rPr>
                <w:rFonts w:asciiTheme="minorHAnsi" w:hAnsiTheme="minorHAnsi" w:cstheme="minorHAnsi"/>
                <w:b/>
                <w:bCs/>
              </w:rPr>
            </w:pPr>
            <w:r w:rsidRPr="00570727">
              <w:rPr>
                <w:rFonts w:asciiTheme="minorHAnsi" w:hAnsiTheme="minorHAnsi" w:cstheme="minorHAnsi"/>
                <w:b/>
                <w:bCs/>
              </w:rPr>
              <w:t>Total payments</w:t>
            </w:r>
          </w:p>
        </w:tc>
        <w:tc>
          <w:tcPr>
            <w:tcW w:w="794" w:type="dxa"/>
          </w:tcPr>
          <w:p w14:paraId="0E71AD85" w14:textId="77777777" w:rsidR="00B02873" w:rsidRPr="00570727" w:rsidRDefault="00B02873" w:rsidP="00570727">
            <w:pPr>
              <w:pStyle w:val="TablebodyleftFinancialsTables"/>
              <w:rPr>
                <w:rFonts w:asciiTheme="minorHAnsi" w:hAnsiTheme="minorHAnsi" w:cstheme="minorHAnsi"/>
              </w:rPr>
            </w:pPr>
          </w:p>
        </w:tc>
        <w:tc>
          <w:tcPr>
            <w:tcW w:w="1190" w:type="dxa"/>
          </w:tcPr>
          <w:p w14:paraId="3A1A792F" w14:textId="77777777" w:rsidR="00B02873" w:rsidRPr="00570727" w:rsidRDefault="00B02873" w:rsidP="00570727">
            <w:pPr>
              <w:pStyle w:val="TablebodyleftFinancialsTables"/>
              <w:jc w:val="right"/>
              <w:rPr>
                <w:rFonts w:asciiTheme="minorHAnsi" w:hAnsiTheme="minorHAnsi" w:cstheme="minorHAnsi"/>
                <w:b/>
                <w:bCs/>
              </w:rPr>
            </w:pPr>
            <w:r w:rsidRPr="00570727">
              <w:rPr>
                <w:rFonts w:asciiTheme="minorHAnsi" w:hAnsiTheme="minorHAnsi" w:cstheme="minorHAnsi"/>
                <w:b/>
                <w:bCs/>
              </w:rPr>
              <w:t>(2,844,815)</w:t>
            </w:r>
          </w:p>
        </w:tc>
        <w:tc>
          <w:tcPr>
            <w:tcW w:w="1191" w:type="dxa"/>
          </w:tcPr>
          <w:p w14:paraId="24A7C233" w14:textId="77777777" w:rsidR="00B02873" w:rsidRPr="00570727" w:rsidRDefault="00B02873" w:rsidP="00570727">
            <w:pPr>
              <w:pStyle w:val="TablebodyleftFinancialsTables"/>
              <w:jc w:val="right"/>
              <w:rPr>
                <w:rFonts w:asciiTheme="minorHAnsi" w:hAnsiTheme="minorHAnsi" w:cstheme="minorHAnsi"/>
              </w:rPr>
            </w:pPr>
            <w:r w:rsidRPr="00570727">
              <w:rPr>
                <w:rFonts w:asciiTheme="minorHAnsi" w:hAnsiTheme="minorHAnsi" w:cstheme="minorHAnsi"/>
              </w:rPr>
              <w:t>(2,813,293)</w:t>
            </w:r>
          </w:p>
        </w:tc>
      </w:tr>
      <w:tr w:rsidR="00B02873" w:rsidRPr="00570727" w14:paraId="48E300AA" w14:textId="77777777" w:rsidTr="00570727">
        <w:trPr>
          <w:trHeight w:val="60"/>
        </w:trPr>
        <w:tc>
          <w:tcPr>
            <w:tcW w:w="6477" w:type="dxa"/>
          </w:tcPr>
          <w:p w14:paraId="5B09ED24" w14:textId="77777777" w:rsidR="00B02873" w:rsidRPr="00570727" w:rsidRDefault="00B02873" w:rsidP="00570727">
            <w:pPr>
              <w:pStyle w:val="TablebodyleftFinancialsTables"/>
              <w:rPr>
                <w:rFonts w:asciiTheme="minorHAnsi" w:hAnsiTheme="minorHAnsi" w:cstheme="minorHAnsi"/>
                <w:b/>
                <w:bCs/>
              </w:rPr>
            </w:pPr>
            <w:r w:rsidRPr="00570727">
              <w:rPr>
                <w:rFonts w:asciiTheme="minorHAnsi" w:hAnsiTheme="minorHAnsi" w:cstheme="minorHAnsi"/>
                <w:b/>
                <w:bCs/>
              </w:rPr>
              <w:t>Net cash flows from/(used in) operating activities</w:t>
            </w:r>
          </w:p>
        </w:tc>
        <w:tc>
          <w:tcPr>
            <w:tcW w:w="794" w:type="dxa"/>
          </w:tcPr>
          <w:p w14:paraId="26DB59F1" w14:textId="77777777" w:rsidR="00B02873" w:rsidRPr="00570727" w:rsidRDefault="00B02873" w:rsidP="00570727">
            <w:pPr>
              <w:pStyle w:val="TablebodyleftFinancialsTables"/>
              <w:rPr>
                <w:rFonts w:asciiTheme="minorHAnsi" w:hAnsiTheme="minorHAnsi" w:cstheme="minorHAnsi"/>
              </w:rPr>
            </w:pPr>
            <w:r w:rsidRPr="00570727">
              <w:rPr>
                <w:rFonts w:asciiTheme="minorHAnsi" w:hAnsiTheme="minorHAnsi" w:cstheme="minorHAnsi"/>
              </w:rPr>
              <w:t>7.1.1</w:t>
            </w:r>
          </w:p>
        </w:tc>
        <w:tc>
          <w:tcPr>
            <w:tcW w:w="1190" w:type="dxa"/>
          </w:tcPr>
          <w:p w14:paraId="4816408D" w14:textId="77777777" w:rsidR="00B02873" w:rsidRPr="00570727" w:rsidRDefault="00B02873" w:rsidP="00570727">
            <w:pPr>
              <w:pStyle w:val="TablebodyleftFinancialsTables"/>
              <w:jc w:val="right"/>
              <w:rPr>
                <w:rFonts w:asciiTheme="minorHAnsi" w:hAnsiTheme="minorHAnsi" w:cstheme="minorHAnsi"/>
                <w:b/>
                <w:bCs/>
              </w:rPr>
            </w:pPr>
            <w:r w:rsidRPr="00570727">
              <w:rPr>
                <w:rFonts w:asciiTheme="minorHAnsi" w:hAnsiTheme="minorHAnsi" w:cstheme="minorHAnsi"/>
                <w:b/>
                <w:bCs/>
              </w:rPr>
              <w:t>215,478</w:t>
            </w:r>
          </w:p>
        </w:tc>
        <w:tc>
          <w:tcPr>
            <w:tcW w:w="1191" w:type="dxa"/>
          </w:tcPr>
          <w:p w14:paraId="18B73E70" w14:textId="77777777" w:rsidR="00B02873" w:rsidRPr="00570727" w:rsidRDefault="00B02873" w:rsidP="00570727">
            <w:pPr>
              <w:pStyle w:val="TablebodyleftFinancialsTables"/>
              <w:jc w:val="right"/>
              <w:rPr>
                <w:rFonts w:asciiTheme="minorHAnsi" w:hAnsiTheme="minorHAnsi" w:cstheme="minorHAnsi"/>
              </w:rPr>
            </w:pPr>
            <w:r w:rsidRPr="00570727">
              <w:rPr>
                <w:rFonts w:asciiTheme="minorHAnsi" w:hAnsiTheme="minorHAnsi" w:cstheme="minorHAnsi"/>
              </w:rPr>
              <w:t>(31,678)</w:t>
            </w:r>
          </w:p>
        </w:tc>
      </w:tr>
      <w:tr w:rsidR="00B02873" w:rsidRPr="00570727" w14:paraId="07AA93C3" w14:textId="77777777" w:rsidTr="00570727">
        <w:trPr>
          <w:trHeight w:val="60"/>
        </w:trPr>
        <w:tc>
          <w:tcPr>
            <w:tcW w:w="6477" w:type="dxa"/>
          </w:tcPr>
          <w:p w14:paraId="479D5984" w14:textId="77777777" w:rsidR="00B02873" w:rsidRPr="00570727" w:rsidRDefault="00B02873" w:rsidP="00570727">
            <w:pPr>
              <w:pStyle w:val="TablebodyleftFinancialsTables"/>
              <w:rPr>
                <w:rFonts w:asciiTheme="minorHAnsi" w:hAnsiTheme="minorHAnsi" w:cstheme="minorHAnsi"/>
                <w:b/>
                <w:bCs/>
              </w:rPr>
            </w:pPr>
            <w:r w:rsidRPr="00570727">
              <w:rPr>
                <w:rFonts w:asciiTheme="minorHAnsi" w:hAnsiTheme="minorHAnsi" w:cstheme="minorHAnsi"/>
                <w:b/>
                <w:bCs/>
              </w:rPr>
              <w:t>Cash flows from investing activities</w:t>
            </w:r>
          </w:p>
        </w:tc>
        <w:tc>
          <w:tcPr>
            <w:tcW w:w="794" w:type="dxa"/>
          </w:tcPr>
          <w:p w14:paraId="7A7FFC09" w14:textId="77777777" w:rsidR="00B02873" w:rsidRPr="00570727" w:rsidRDefault="00B02873" w:rsidP="00570727">
            <w:pPr>
              <w:pStyle w:val="TablebodyleftFinancialsTables"/>
              <w:rPr>
                <w:rFonts w:asciiTheme="minorHAnsi" w:hAnsiTheme="minorHAnsi" w:cstheme="minorHAnsi"/>
              </w:rPr>
            </w:pPr>
          </w:p>
        </w:tc>
        <w:tc>
          <w:tcPr>
            <w:tcW w:w="1190" w:type="dxa"/>
          </w:tcPr>
          <w:p w14:paraId="1AF4D25E" w14:textId="77777777" w:rsidR="00B02873" w:rsidRPr="00570727" w:rsidRDefault="00B02873" w:rsidP="00570727">
            <w:pPr>
              <w:pStyle w:val="TablebodyleftFinancialsTables"/>
              <w:jc w:val="right"/>
              <w:rPr>
                <w:rFonts w:asciiTheme="minorHAnsi" w:hAnsiTheme="minorHAnsi" w:cstheme="minorHAnsi"/>
                <w:b/>
                <w:bCs/>
              </w:rPr>
            </w:pPr>
          </w:p>
        </w:tc>
        <w:tc>
          <w:tcPr>
            <w:tcW w:w="1191" w:type="dxa"/>
          </w:tcPr>
          <w:p w14:paraId="3D37259C" w14:textId="77777777" w:rsidR="00B02873" w:rsidRPr="00570727" w:rsidRDefault="00B02873" w:rsidP="00570727">
            <w:pPr>
              <w:pStyle w:val="TablebodyleftFinancialsTables"/>
              <w:jc w:val="right"/>
              <w:rPr>
                <w:rFonts w:asciiTheme="minorHAnsi" w:hAnsiTheme="minorHAnsi" w:cstheme="minorHAnsi"/>
              </w:rPr>
            </w:pPr>
          </w:p>
        </w:tc>
      </w:tr>
      <w:tr w:rsidR="00B02873" w:rsidRPr="00570727" w14:paraId="7BBA17F0" w14:textId="77777777" w:rsidTr="00570727">
        <w:trPr>
          <w:trHeight w:val="60"/>
        </w:trPr>
        <w:tc>
          <w:tcPr>
            <w:tcW w:w="6477" w:type="dxa"/>
          </w:tcPr>
          <w:p w14:paraId="35F35B42" w14:textId="77777777" w:rsidR="00B02873" w:rsidRPr="00570727" w:rsidRDefault="00B02873" w:rsidP="00570727">
            <w:pPr>
              <w:pStyle w:val="TablebodyleftFinancialsTables"/>
              <w:rPr>
                <w:rFonts w:asciiTheme="minorHAnsi" w:hAnsiTheme="minorHAnsi" w:cstheme="minorHAnsi"/>
              </w:rPr>
            </w:pPr>
            <w:r w:rsidRPr="00570727">
              <w:rPr>
                <w:rFonts w:asciiTheme="minorHAnsi" w:hAnsiTheme="minorHAnsi" w:cstheme="minorHAnsi"/>
              </w:rPr>
              <w:t>Purchases of non-financial assets</w:t>
            </w:r>
          </w:p>
        </w:tc>
        <w:tc>
          <w:tcPr>
            <w:tcW w:w="794" w:type="dxa"/>
          </w:tcPr>
          <w:p w14:paraId="5400CE63" w14:textId="77777777" w:rsidR="00B02873" w:rsidRPr="00570727" w:rsidRDefault="00B02873" w:rsidP="00570727">
            <w:pPr>
              <w:pStyle w:val="TablebodyleftFinancialsTables"/>
              <w:rPr>
                <w:rFonts w:asciiTheme="minorHAnsi" w:hAnsiTheme="minorHAnsi" w:cstheme="minorHAnsi"/>
              </w:rPr>
            </w:pPr>
          </w:p>
        </w:tc>
        <w:tc>
          <w:tcPr>
            <w:tcW w:w="1190" w:type="dxa"/>
          </w:tcPr>
          <w:p w14:paraId="3DFA9CE2" w14:textId="77777777" w:rsidR="00B02873" w:rsidRPr="00570727" w:rsidRDefault="00B02873" w:rsidP="00570727">
            <w:pPr>
              <w:pStyle w:val="TablebodyleftFinancialsTables"/>
              <w:jc w:val="right"/>
              <w:rPr>
                <w:rFonts w:asciiTheme="minorHAnsi" w:hAnsiTheme="minorHAnsi" w:cstheme="minorHAnsi"/>
                <w:b/>
                <w:bCs/>
              </w:rPr>
            </w:pPr>
            <w:r w:rsidRPr="00570727">
              <w:rPr>
                <w:rFonts w:asciiTheme="minorHAnsi" w:hAnsiTheme="minorHAnsi" w:cstheme="minorHAnsi"/>
                <w:b/>
                <w:bCs/>
              </w:rPr>
              <w:t>(310,647)</w:t>
            </w:r>
          </w:p>
        </w:tc>
        <w:tc>
          <w:tcPr>
            <w:tcW w:w="1191" w:type="dxa"/>
          </w:tcPr>
          <w:p w14:paraId="526159AD" w14:textId="77777777" w:rsidR="00B02873" w:rsidRPr="00570727" w:rsidRDefault="00B02873" w:rsidP="00570727">
            <w:pPr>
              <w:pStyle w:val="TablebodyleftFinancialsTables"/>
              <w:jc w:val="right"/>
              <w:rPr>
                <w:rFonts w:asciiTheme="minorHAnsi" w:hAnsiTheme="minorHAnsi" w:cstheme="minorHAnsi"/>
              </w:rPr>
            </w:pPr>
            <w:r w:rsidRPr="00570727">
              <w:rPr>
                <w:rFonts w:asciiTheme="minorHAnsi" w:hAnsiTheme="minorHAnsi" w:cstheme="minorHAnsi"/>
              </w:rPr>
              <w:t>(47,656)</w:t>
            </w:r>
          </w:p>
        </w:tc>
      </w:tr>
      <w:tr w:rsidR="00B02873" w:rsidRPr="00570727" w14:paraId="72A9855C" w14:textId="77777777" w:rsidTr="00570727">
        <w:trPr>
          <w:trHeight w:val="60"/>
        </w:trPr>
        <w:tc>
          <w:tcPr>
            <w:tcW w:w="6477" w:type="dxa"/>
          </w:tcPr>
          <w:p w14:paraId="2D354714" w14:textId="77777777" w:rsidR="00B02873" w:rsidRPr="00570727" w:rsidRDefault="00B02873" w:rsidP="00570727">
            <w:pPr>
              <w:pStyle w:val="TablebodyleftFinancialsTables"/>
              <w:rPr>
                <w:rFonts w:asciiTheme="minorHAnsi" w:hAnsiTheme="minorHAnsi" w:cstheme="minorHAnsi"/>
              </w:rPr>
            </w:pPr>
            <w:r w:rsidRPr="00570727">
              <w:rPr>
                <w:rFonts w:asciiTheme="minorHAnsi" w:hAnsiTheme="minorHAnsi" w:cstheme="minorHAnsi"/>
              </w:rPr>
              <w:t>Sales of non-financial assets</w:t>
            </w:r>
          </w:p>
        </w:tc>
        <w:tc>
          <w:tcPr>
            <w:tcW w:w="794" w:type="dxa"/>
          </w:tcPr>
          <w:p w14:paraId="6FF48B87" w14:textId="77777777" w:rsidR="00B02873" w:rsidRPr="00570727" w:rsidRDefault="00B02873" w:rsidP="00570727">
            <w:pPr>
              <w:pStyle w:val="TablebodyleftFinancialsTables"/>
              <w:rPr>
                <w:rFonts w:asciiTheme="minorHAnsi" w:hAnsiTheme="minorHAnsi" w:cstheme="minorHAnsi"/>
              </w:rPr>
            </w:pPr>
          </w:p>
        </w:tc>
        <w:tc>
          <w:tcPr>
            <w:tcW w:w="1190" w:type="dxa"/>
          </w:tcPr>
          <w:p w14:paraId="13999BE7" w14:textId="77777777" w:rsidR="00B02873" w:rsidRPr="00570727" w:rsidRDefault="00B02873" w:rsidP="00570727">
            <w:pPr>
              <w:pStyle w:val="TablebodyleftFinancialsTables"/>
              <w:jc w:val="right"/>
              <w:rPr>
                <w:rFonts w:asciiTheme="minorHAnsi" w:hAnsiTheme="minorHAnsi" w:cstheme="minorHAnsi"/>
                <w:b/>
                <w:bCs/>
              </w:rPr>
            </w:pPr>
            <w:r w:rsidRPr="00570727">
              <w:rPr>
                <w:rFonts w:asciiTheme="minorHAnsi" w:hAnsiTheme="minorHAnsi" w:cstheme="minorHAnsi"/>
                <w:b/>
                <w:bCs/>
              </w:rPr>
              <w:t>22,935</w:t>
            </w:r>
          </w:p>
        </w:tc>
        <w:tc>
          <w:tcPr>
            <w:tcW w:w="1191" w:type="dxa"/>
          </w:tcPr>
          <w:p w14:paraId="06FEA917" w14:textId="77777777" w:rsidR="00B02873" w:rsidRPr="00570727" w:rsidRDefault="00B02873" w:rsidP="00570727">
            <w:pPr>
              <w:pStyle w:val="TablebodyleftFinancialsTables"/>
              <w:jc w:val="right"/>
              <w:rPr>
                <w:rFonts w:asciiTheme="minorHAnsi" w:hAnsiTheme="minorHAnsi" w:cstheme="minorHAnsi"/>
              </w:rPr>
            </w:pPr>
            <w:r w:rsidRPr="00570727">
              <w:rPr>
                <w:rFonts w:asciiTheme="minorHAnsi" w:hAnsiTheme="minorHAnsi" w:cstheme="minorHAnsi"/>
              </w:rPr>
              <w:t>15,474</w:t>
            </w:r>
          </w:p>
        </w:tc>
      </w:tr>
      <w:tr w:rsidR="00B02873" w:rsidRPr="00570727" w14:paraId="44758E1F" w14:textId="77777777" w:rsidTr="00570727">
        <w:trPr>
          <w:trHeight w:val="60"/>
        </w:trPr>
        <w:tc>
          <w:tcPr>
            <w:tcW w:w="6477" w:type="dxa"/>
          </w:tcPr>
          <w:p w14:paraId="6C6E087D" w14:textId="77777777" w:rsidR="00B02873" w:rsidRPr="00570727" w:rsidRDefault="00B02873" w:rsidP="00570727">
            <w:pPr>
              <w:pStyle w:val="TablebodyleftFinancialsTables"/>
              <w:rPr>
                <w:rFonts w:asciiTheme="minorHAnsi" w:hAnsiTheme="minorHAnsi" w:cstheme="minorHAnsi"/>
                <w:b/>
                <w:bCs/>
              </w:rPr>
            </w:pPr>
            <w:r w:rsidRPr="00570727">
              <w:rPr>
                <w:rFonts w:asciiTheme="minorHAnsi" w:hAnsiTheme="minorHAnsi" w:cstheme="minorHAnsi"/>
                <w:b/>
                <w:bCs/>
              </w:rPr>
              <w:t>Net cash flows from/(used in) investing activities</w:t>
            </w:r>
          </w:p>
        </w:tc>
        <w:tc>
          <w:tcPr>
            <w:tcW w:w="794" w:type="dxa"/>
          </w:tcPr>
          <w:p w14:paraId="54489D2B" w14:textId="77777777" w:rsidR="00B02873" w:rsidRPr="00570727" w:rsidRDefault="00B02873" w:rsidP="00570727">
            <w:pPr>
              <w:pStyle w:val="TablebodyleftFinancialsTables"/>
              <w:rPr>
                <w:rFonts w:asciiTheme="minorHAnsi" w:hAnsiTheme="minorHAnsi" w:cstheme="minorHAnsi"/>
              </w:rPr>
            </w:pPr>
          </w:p>
        </w:tc>
        <w:tc>
          <w:tcPr>
            <w:tcW w:w="1190" w:type="dxa"/>
          </w:tcPr>
          <w:p w14:paraId="00C25AE8" w14:textId="77777777" w:rsidR="00B02873" w:rsidRPr="00570727" w:rsidRDefault="00B02873" w:rsidP="00570727">
            <w:pPr>
              <w:pStyle w:val="TablebodyleftFinancialsTables"/>
              <w:jc w:val="right"/>
              <w:rPr>
                <w:rFonts w:asciiTheme="minorHAnsi" w:hAnsiTheme="minorHAnsi" w:cstheme="minorHAnsi"/>
                <w:b/>
                <w:bCs/>
              </w:rPr>
            </w:pPr>
            <w:r w:rsidRPr="00570727">
              <w:rPr>
                <w:rFonts w:asciiTheme="minorHAnsi" w:hAnsiTheme="minorHAnsi" w:cstheme="minorHAnsi"/>
                <w:b/>
                <w:bCs/>
              </w:rPr>
              <w:t>(287,712)</w:t>
            </w:r>
          </w:p>
        </w:tc>
        <w:tc>
          <w:tcPr>
            <w:tcW w:w="1191" w:type="dxa"/>
          </w:tcPr>
          <w:p w14:paraId="3B26396B" w14:textId="77777777" w:rsidR="00B02873" w:rsidRPr="00570727" w:rsidRDefault="00B02873" w:rsidP="00570727">
            <w:pPr>
              <w:pStyle w:val="TablebodyleftFinancialsTables"/>
              <w:jc w:val="right"/>
              <w:rPr>
                <w:rFonts w:asciiTheme="minorHAnsi" w:hAnsiTheme="minorHAnsi" w:cstheme="minorHAnsi"/>
              </w:rPr>
            </w:pPr>
            <w:r w:rsidRPr="00570727">
              <w:rPr>
                <w:rFonts w:asciiTheme="minorHAnsi" w:hAnsiTheme="minorHAnsi" w:cstheme="minorHAnsi"/>
              </w:rPr>
              <w:t>(32,182)</w:t>
            </w:r>
          </w:p>
        </w:tc>
      </w:tr>
      <w:tr w:rsidR="00B02873" w:rsidRPr="00570727" w14:paraId="0CE327B7" w14:textId="77777777" w:rsidTr="00570727">
        <w:trPr>
          <w:trHeight w:val="60"/>
        </w:trPr>
        <w:tc>
          <w:tcPr>
            <w:tcW w:w="6477" w:type="dxa"/>
          </w:tcPr>
          <w:p w14:paraId="6CDA0ECE" w14:textId="77777777" w:rsidR="00B02873" w:rsidRPr="00570727" w:rsidRDefault="00B02873" w:rsidP="00570727">
            <w:pPr>
              <w:pStyle w:val="TablebodyleftFinancialsTables"/>
              <w:rPr>
                <w:rFonts w:asciiTheme="minorHAnsi" w:hAnsiTheme="minorHAnsi" w:cstheme="minorHAnsi"/>
                <w:b/>
                <w:bCs/>
              </w:rPr>
            </w:pPr>
            <w:r w:rsidRPr="00570727">
              <w:rPr>
                <w:rFonts w:asciiTheme="minorHAnsi" w:hAnsiTheme="minorHAnsi" w:cstheme="minorHAnsi"/>
                <w:b/>
                <w:bCs/>
              </w:rPr>
              <w:t>Cash flows from financing activities</w:t>
            </w:r>
          </w:p>
        </w:tc>
        <w:tc>
          <w:tcPr>
            <w:tcW w:w="794" w:type="dxa"/>
          </w:tcPr>
          <w:p w14:paraId="0476E2FC" w14:textId="77777777" w:rsidR="00B02873" w:rsidRPr="00570727" w:rsidRDefault="00B02873" w:rsidP="00570727">
            <w:pPr>
              <w:pStyle w:val="TablebodyleftFinancialsTables"/>
              <w:rPr>
                <w:rFonts w:asciiTheme="minorHAnsi" w:hAnsiTheme="minorHAnsi" w:cstheme="minorHAnsi"/>
              </w:rPr>
            </w:pPr>
          </w:p>
        </w:tc>
        <w:tc>
          <w:tcPr>
            <w:tcW w:w="1190" w:type="dxa"/>
          </w:tcPr>
          <w:p w14:paraId="5FEE919F" w14:textId="77777777" w:rsidR="00B02873" w:rsidRPr="00570727" w:rsidRDefault="00B02873" w:rsidP="00570727">
            <w:pPr>
              <w:pStyle w:val="TablebodyleftFinancialsTables"/>
              <w:jc w:val="right"/>
              <w:rPr>
                <w:rFonts w:asciiTheme="minorHAnsi" w:hAnsiTheme="minorHAnsi" w:cstheme="minorHAnsi"/>
                <w:b/>
                <w:bCs/>
              </w:rPr>
            </w:pPr>
          </w:p>
        </w:tc>
        <w:tc>
          <w:tcPr>
            <w:tcW w:w="1191" w:type="dxa"/>
          </w:tcPr>
          <w:p w14:paraId="5E5563D1" w14:textId="77777777" w:rsidR="00B02873" w:rsidRPr="00570727" w:rsidRDefault="00B02873" w:rsidP="00570727">
            <w:pPr>
              <w:pStyle w:val="TablebodyleftFinancialsTables"/>
              <w:jc w:val="right"/>
              <w:rPr>
                <w:rFonts w:asciiTheme="minorHAnsi" w:hAnsiTheme="minorHAnsi" w:cstheme="minorHAnsi"/>
              </w:rPr>
            </w:pPr>
          </w:p>
        </w:tc>
      </w:tr>
      <w:tr w:rsidR="00B02873" w:rsidRPr="00570727" w14:paraId="2A78207F" w14:textId="77777777" w:rsidTr="00570727">
        <w:trPr>
          <w:trHeight w:val="60"/>
        </w:trPr>
        <w:tc>
          <w:tcPr>
            <w:tcW w:w="6477" w:type="dxa"/>
          </w:tcPr>
          <w:p w14:paraId="01774258" w14:textId="5C4CB0F7" w:rsidR="00B02873" w:rsidRPr="00570727" w:rsidRDefault="00B02873" w:rsidP="00570727">
            <w:pPr>
              <w:pStyle w:val="TablebodyleftFinancialsTables"/>
              <w:rPr>
                <w:rFonts w:asciiTheme="minorHAnsi" w:hAnsiTheme="minorHAnsi" w:cstheme="minorHAnsi"/>
              </w:rPr>
            </w:pPr>
            <w:r w:rsidRPr="00570727">
              <w:rPr>
                <w:rFonts w:asciiTheme="minorHAnsi" w:hAnsiTheme="minorHAnsi" w:cstheme="minorHAnsi"/>
                <w:spacing w:val="-3"/>
              </w:rPr>
              <w:t>Cash from activity transferred (out) – Machinery of Government</w:t>
            </w:r>
            <w:r w:rsidR="00012C04" w:rsidRPr="00570727">
              <w:rPr>
                <w:rFonts w:asciiTheme="minorHAnsi" w:hAnsiTheme="minorHAnsi" w:cstheme="minorHAnsi"/>
                <w:spacing w:val="-3"/>
              </w:rPr>
              <w:t xml:space="preserve"> </w:t>
            </w:r>
            <w:r w:rsidRPr="00570727">
              <w:rPr>
                <w:rFonts w:asciiTheme="minorHAnsi" w:hAnsiTheme="minorHAnsi" w:cstheme="minorHAnsi"/>
                <w:spacing w:val="-3"/>
              </w:rPr>
              <w:t>changes</w:t>
            </w:r>
          </w:p>
        </w:tc>
        <w:tc>
          <w:tcPr>
            <w:tcW w:w="794" w:type="dxa"/>
          </w:tcPr>
          <w:p w14:paraId="5738D98C" w14:textId="77777777" w:rsidR="00B02873" w:rsidRPr="00570727" w:rsidRDefault="00B02873" w:rsidP="00570727">
            <w:pPr>
              <w:pStyle w:val="TablebodyleftFinancialsTables"/>
              <w:rPr>
                <w:rFonts w:asciiTheme="minorHAnsi" w:hAnsiTheme="minorHAnsi" w:cstheme="minorHAnsi"/>
              </w:rPr>
            </w:pPr>
          </w:p>
        </w:tc>
        <w:tc>
          <w:tcPr>
            <w:tcW w:w="1190" w:type="dxa"/>
          </w:tcPr>
          <w:p w14:paraId="3AFEB6D0" w14:textId="0A84D21C" w:rsidR="00B02873" w:rsidRPr="00570727" w:rsidRDefault="00B02873" w:rsidP="00570727">
            <w:pPr>
              <w:pStyle w:val="TablebodyleftFinancialsTables"/>
              <w:jc w:val="right"/>
              <w:rPr>
                <w:rFonts w:asciiTheme="minorHAnsi" w:hAnsiTheme="minorHAnsi" w:cstheme="minorHAnsi"/>
                <w:b/>
                <w:bCs/>
              </w:rPr>
            </w:pPr>
            <w:r w:rsidRPr="00570727">
              <w:rPr>
                <w:rFonts w:asciiTheme="minorHAnsi" w:hAnsiTheme="minorHAnsi" w:cstheme="minorHAnsi"/>
                <w:b/>
                <w:bCs/>
              </w:rPr>
              <w:t>–</w:t>
            </w:r>
          </w:p>
        </w:tc>
        <w:tc>
          <w:tcPr>
            <w:tcW w:w="1191" w:type="dxa"/>
          </w:tcPr>
          <w:p w14:paraId="58B81E88" w14:textId="77777777" w:rsidR="00B02873" w:rsidRPr="00570727" w:rsidRDefault="00B02873" w:rsidP="00570727">
            <w:pPr>
              <w:pStyle w:val="TablebodyleftFinancialsTables"/>
              <w:jc w:val="right"/>
              <w:rPr>
                <w:rFonts w:asciiTheme="minorHAnsi" w:hAnsiTheme="minorHAnsi" w:cstheme="minorHAnsi"/>
              </w:rPr>
            </w:pPr>
            <w:r w:rsidRPr="00570727">
              <w:rPr>
                <w:rFonts w:asciiTheme="minorHAnsi" w:hAnsiTheme="minorHAnsi" w:cstheme="minorHAnsi"/>
              </w:rPr>
              <w:t>(4,761)</w:t>
            </w:r>
          </w:p>
        </w:tc>
      </w:tr>
      <w:tr w:rsidR="00B02873" w:rsidRPr="00570727" w14:paraId="2AD06344" w14:textId="77777777" w:rsidTr="00570727">
        <w:trPr>
          <w:trHeight w:val="60"/>
        </w:trPr>
        <w:tc>
          <w:tcPr>
            <w:tcW w:w="6477" w:type="dxa"/>
          </w:tcPr>
          <w:p w14:paraId="5D8380DA" w14:textId="77777777" w:rsidR="00B02873" w:rsidRPr="00570727" w:rsidRDefault="00B02873" w:rsidP="00570727">
            <w:pPr>
              <w:pStyle w:val="TablebodyleftFinancialsTables"/>
              <w:rPr>
                <w:rFonts w:asciiTheme="minorHAnsi" w:hAnsiTheme="minorHAnsi" w:cstheme="minorHAnsi"/>
              </w:rPr>
            </w:pPr>
            <w:r w:rsidRPr="00570727">
              <w:rPr>
                <w:rFonts w:asciiTheme="minorHAnsi" w:hAnsiTheme="minorHAnsi" w:cstheme="minorHAnsi"/>
              </w:rPr>
              <w:t>Owner contributions by state government</w:t>
            </w:r>
          </w:p>
        </w:tc>
        <w:tc>
          <w:tcPr>
            <w:tcW w:w="794" w:type="dxa"/>
          </w:tcPr>
          <w:p w14:paraId="18F3076F" w14:textId="77777777" w:rsidR="00B02873" w:rsidRPr="00570727" w:rsidRDefault="00B02873" w:rsidP="00570727">
            <w:pPr>
              <w:pStyle w:val="TablebodyleftFinancialsTables"/>
              <w:rPr>
                <w:rFonts w:asciiTheme="minorHAnsi" w:hAnsiTheme="minorHAnsi" w:cstheme="minorHAnsi"/>
              </w:rPr>
            </w:pPr>
            <w:r w:rsidRPr="00570727">
              <w:rPr>
                <w:rFonts w:asciiTheme="minorHAnsi" w:hAnsiTheme="minorHAnsi" w:cstheme="minorHAnsi"/>
              </w:rPr>
              <w:t>2.2.1</w:t>
            </w:r>
          </w:p>
        </w:tc>
        <w:tc>
          <w:tcPr>
            <w:tcW w:w="1190" w:type="dxa"/>
          </w:tcPr>
          <w:p w14:paraId="3E70F7CE" w14:textId="77777777" w:rsidR="00B02873" w:rsidRPr="00570727" w:rsidRDefault="00B02873" w:rsidP="00570727">
            <w:pPr>
              <w:pStyle w:val="TablebodyleftFinancialsTables"/>
              <w:jc w:val="right"/>
              <w:rPr>
                <w:rFonts w:asciiTheme="minorHAnsi" w:hAnsiTheme="minorHAnsi" w:cstheme="minorHAnsi"/>
                <w:b/>
                <w:bCs/>
              </w:rPr>
            </w:pPr>
            <w:r w:rsidRPr="00570727">
              <w:rPr>
                <w:rFonts w:asciiTheme="minorHAnsi" w:hAnsiTheme="minorHAnsi" w:cstheme="minorHAnsi"/>
                <w:b/>
                <w:bCs/>
              </w:rPr>
              <w:t>244,492</w:t>
            </w:r>
          </w:p>
        </w:tc>
        <w:tc>
          <w:tcPr>
            <w:tcW w:w="1191" w:type="dxa"/>
          </w:tcPr>
          <w:p w14:paraId="0EDF6272" w14:textId="77777777" w:rsidR="00B02873" w:rsidRPr="00570727" w:rsidRDefault="00B02873" w:rsidP="00570727">
            <w:pPr>
              <w:pStyle w:val="TablebodyleftFinancialsTables"/>
              <w:jc w:val="right"/>
              <w:rPr>
                <w:rFonts w:asciiTheme="minorHAnsi" w:hAnsiTheme="minorHAnsi" w:cstheme="minorHAnsi"/>
              </w:rPr>
            </w:pPr>
            <w:r w:rsidRPr="00570727">
              <w:rPr>
                <w:rFonts w:asciiTheme="minorHAnsi" w:hAnsiTheme="minorHAnsi" w:cstheme="minorHAnsi"/>
              </w:rPr>
              <w:t>166,222</w:t>
            </w:r>
          </w:p>
        </w:tc>
      </w:tr>
      <w:tr w:rsidR="00B02873" w:rsidRPr="00570727" w14:paraId="0DDE409E" w14:textId="77777777" w:rsidTr="00570727">
        <w:trPr>
          <w:trHeight w:val="60"/>
        </w:trPr>
        <w:tc>
          <w:tcPr>
            <w:tcW w:w="6477" w:type="dxa"/>
          </w:tcPr>
          <w:p w14:paraId="177CF5DB" w14:textId="77777777" w:rsidR="00B02873" w:rsidRPr="00570727" w:rsidRDefault="00B02873" w:rsidP="00570727">
            <w:pPr>
              <w:pStyle w:val="TablebodyleftFinancialsTables"/>
              <w:rPr>
                <w:rFonts w:asciiTheme="minorHAnsi" w:hAnsiTheme="minorHAnsi" w:cstheme="minorHAnsi"/>
              </w:rPr>
            </w:pPr>
            <w:r w:rsidRPr="00570727">
              <w:rPr>
                <w:rFonts w:asciiTheme="minorHAnsi" w:hAnsiTheme="minorHAnsi" w:cstheme="minorHAnsi"/>
              </w:rPr>
              <w:t>Capital contributions transferred to portfolio entities</w:t>
            </w:r>
          </w:p>
        </w:tc>
        <w:tc>
          <w:tcPr>
            <w:tcW w:w="794" w:type="dxa"/>
          </w:tcPr>
          <w:p w14:paraId="2FF09758" w14:textId="77777777" w:rsidR="00B02873" w:rsidRPr="00570727" w:rsidRDefault="00B02873" w:rsidP="00570727">
            <w:pPr>
              <w:pStyle w:val="TablebodyleftFinancialsTables"/>
              <w:rPr>
                <w:rFonts w:asciiTheme="minorHAnsi" w:hAnsiTheme="minorHAnsi" w:cstheme="minorHAnsi"/>
              </w:rPr>
            </w:pPr>
            <w:r w:rsidRPr="00570727">
              <w:rPr>
                <w:rFonts w:asciiTheme="minorHAnsi" w:hAnsiTheme="minorHAnsi" w:cstheme="minorHAnsi"/>
              </w:rPr>
              <w:t>9.3.2</w:t>
            </w:r>
          </w:p>
        </w:tc>
        <w:tc>
          <w:tcPr>
            <w:tcW w:w="1190" w:type="dxa"/>
          </w:tcPr>
          <w:p w14:paraId="3BEADB11" w14:textId="77777777" w:rsidR="00B02873" w:rsidRPr="00570727" w:rsidRDefault="00B02873" w:rsidP="00570727">
            <w:pPr>
              <w:pStyle w:val="TablebodyleftFinancialsTables"/>
              <w:jc w:val="right"/>
              <w:rPr>
                <w:rFonts w:asciiTheme="minorHAnsi" w:hAnsiTheme="minorHAnsi" w:cstheme="minorHAnsi"/>
                <w:b/>
                <w:bCs/>
              </w:rPr>
            </w:pPr>
            <w:r w:rsidRPr="00570727">
              <w:rPr>
                <w:rFonts w:asciiTheme="minorHAnsi" w:hAnsiTheme="minorHAnsi" w:cstheme="minorHAnsi"/>
                <w:b/>
                <w:bCs/>
              </w:rPr>
              <w:t>(107,650)</w:t>
            </w:r>
          </w:p>
        </w:tc>
        <w:tc>
          <w:tcPr>
            <w:tcW w:w="1191" w:type="dxa"/>
          </w:tcPr>
          <w:p w14:paraId="3BE2FBAF" w14:textId="77777777" w:rsidR="00B02873" w:rsidRPr="00570727" w:rsidRDefault="00B02873" w:rsidP="00570727">
            <w:pPr>
              <w:pStyle w:val="TablebodyleftFinancialsTables"/>
              <w:jc w:val="right"/>
              <w:rPr>
                <w:rFonts w:asciiTheme="minorHAnsi" w:hAnsiTheme="minorHAnsi" w:cstheme="minorHAnsi"/>
              </w:rPr>
            </w:pPr>
            <w:r w:rsidRPr="00570727">
              <w:rPr>
                <w:rFonts w:asciiTheme="minorHAnsi" w:hAnsiTheme="minorHAnsi" w:cstheme="minorHAnsi"/>
              </w:rPr>
              <w:t>(74,582)</w:t>
            </w:r>
          </w:p>
        </w:tc>
      </w:tr>
      <w:tr w:rsidR="00B02873" w:rsidRPr="00570727" w14:paraId="315B0362" w14:textId="77777777" w:rsidTr="00570727">
        <w:trPr>
          <w:trHeight w:val="60"/>
        </w:trPr>
        <w:tc>
          <w:tcPr>
            <w:tcW w:w="6477" w:type="dxa"/>
          </w:tcPr>
          <w:p w14:paraId="2261B149" w14:textId="77777777" w:rsidR="00B02873" w:rsidRPr="00570727" w:rsidRDefault="00B02873" w:rsidP="00570727">
            <w:pPr>
              <w:pStyle w:val="TablebodyleftFinancialsTables"/>
              <w:rPr>
                <w:rFonts w:asciiTheme="minorHAnsi" w:hAnsiTheme="minorHAnsi" w:cstheme="minorHAnsi"/>
              </w:rPr>
            </w:pPr>
            <w:r w:rsidRPr="00570727">
              <w:rPr>
                <w:rFonts w:asciiTheme="minorHAnsi" w:hAnsiTheme="minorHAnsi" w:cstheme="minorHAnsi"/>
              </w:rPr>
              <w:t>Repayments of principal portion of lease liabilities</w:t>
            </w:r>
          </w:p>
        </w:tc>
        <w:tc>
          <w:tcPr>
            <w:tcW w:w="794" w:type="dxa"/>
          </w:tcPr>
          <w:p w14:paraId="18DB06BA" w14:textId="77777777" w:rsidR="00B02873" w:rsidRPr="00570727" w:rsidRDefault="00B02873" w:rsidP="00570727">
            <w:pPr>
              <w:pStyle w:val="TablebodyleftFinancialsTables"/>
              <w:rPr>
                <w:rFonts w:asciiTheme="minorHAnsi" w:hAnsiTheme="minorHAnsi" w:cstheme="minorHAnsi"/>
              </w:rPr>
            </w:pPr>
          </w:p>
        </w:tc>
        <w:tc>
          <w:tcPr>
            <w:tcW w:w="1190" w:type="dxa"/>
          </w:tcPr>
          <w:p w14:paraId="259DD2CE" w14:textId="77777777" w:rsidR="00B02873" w:rsidRPr="00570727" w:rsidRDefault="00B02873" w:rsidP="00570727">
            <w:pPr>
              <w:pStyle w:val="TablebodyleftFinancialsTables"/>
              <w:jc w:val="right"/>
              <w:rPr>
                <w:rFonts w:asciiTheme="minorHAnsi" w:hAnsiTheme="minorHAnsi" w:cstheme="minorHAnsi"/>
                <w:b/>
                <w:bCs/>
              </w:rPr>
            </w:pPr>
            <w:r w:rsidRPr="00570727">
              <w:rPr>
                <w:rFonts w:asciiTheme="minorHAnsi" w:hAnsiTheme="minorHAnsi" w:cstheme="minorHAnsi"/>
                <w:b/>
                <w:bCs/>
              </w:rPr>
              <w:t>(11,451)</w:t>
            </w:r>
          </w:p>
        </w:tc>
        <w:tc>
          <w:tcPr>
            <w:tcW w:w="1191" w:type="dxa"/>
          </w:tcPr>
          <w:p w14:paraId="32ACFC62" w14:textId="77777777" w:rsidR="00B02873" w:rsidRPr="00570727" w:rsidRDefault="00B02873" w:rsidP="00570727">
            <w:pPr>
              <w:pStyle w:val="TablebodyleftFinancialsTables"/>
              <w:jc w:val="right"/>
              <w:rPr>
                <w:rFonts w:asciiTheme="minorHAnsi" w:hAnsiTheme="minorHAnsi" w:cstheme="minorHAnsi"/>
              </w:rPr>
            </w:pPr>
            <w:r w:rsidRPr="00570727">
              <w:rPr>
                <w:rFonts w:asciiTheme="minorHAnsi" w:hAnsiTheme="minorHAnsi" w:cstheme="minorHAnsi"/>
              </w:rPr>
              <w:t>(33,778)</w:t>
            </w:r>
          </w:p>
        </w:tc>
      </w:tr>
      <w:tr w:rsidR="00B02873" w:rsidRPr="00570727" w14:paraId="0DF6CE2B" w14:textId="77777777" w:rsidTr="00570727">
        <w:trPr>
          <w:trHeight w:val="60"/>
        </w:trPr>
        <w:tc>
          <w:tcPr>
            <w:tcW w:w="6477" w:type="dxa"/>
          </w:tcPr>
          <w:p w14:paraId="0B9DA0E5" w14:textId="77777777" w:rsidR="00B02873" w:rsidRPr="00570727" w:rsidRDefault="00B02873" w:rsidP="00570727">
            <w:pPr>
              <w:pStyle w:val="TablebodyleftFinancialsTables"/>
              <w:rPr>
                <w:rFonts w:asciiTheme="minorHAnsi" w:hAnsiTheme="minorHAnsi" w:cstheme="minorHAnsi"/>
              </w:rPr>
            </w:pPr>
            <w:r w:rsidRPr="00570727">
              <w:rPr>
                <w:rFonts w:asciiTheme="minorHAnsi" w:hAnsiTheme="minorHAnsi" w:cstheme="minorHAnsi"/>
              </w:rPr>
              <w:t>Proceeds from/(repayments of) advances</w:t>
            </w:r>
          </w:p>
        </w:tc>
        <w:tc>
          <w:tcPr>
            <w:tcW w:w="794" w:type="dxa"/>
          </w:tcPr>
          <w:p w14:paraId="39321FF3" w14:textId="77777777" w:rsidR="00B02873" w:rsidRPr="00570727" w:rsidRDefault="00B02873" w:rsidP="00570727">
            <w:pPr>
              <w:pStyle w:val="TablebodyleftFinancialsTables"/>
              <w:rPr>
                <w:rFonts w:asciiTheme="minorHAnsi" w:hAnsiTheme="minorHAnsi" w:cstheme="minorHAnsi"/>
              </w:rPr>
            </w:pPr>
          </w:p>
        </w:tc>
        <w:tc>
          <w:tcPr>
            <w:tcW w:w="1190" w:type="dxa"/>
          </w:tcPr>
          <w:p w14:paraId="53006DF1" w14:textId="77777777" w:rsidR="00B02873" w:rsidRPr="00570727" w:rsidRDefault="00B02873" w:rsidP="00570727">
            <w:pPr>
              <w:pStyle w:val="TablebodyleftFinancialsTables"/>
              <w:jc w:val="right"/>
              <w:rPr>
                <w:rFonts w:asciiTheme="minorHAnsi" w:hAnsiTheme="minorHAnsi" w:cstheme="minorHAnsi"/>
                <w:b/>
                <w:bCs/>
              </w:rPr>
            </w:pPr>
            <w:r w:rsidRPr="00570727">
              <w:rPr>
                <w:rFonts w:asciiTheme="minorHAnsi" w:hAnsiTheme="minorHAnsi" w:cstheme="minorHAnsi"/>
                <w:b/>
                <w:bCs/>
              </w:rPr>
              <w:t>(14,302)</w:t>
            </w:r>
          </w:p>
        </w:tc>
        <w:tc>
          <w:tcPr>
            <w:tcW w:w="1191" w:type="dxa"/>
          </w:tcPr>
          <w:p w14:paraId="52868706" w14:textId="77777777" w:rsidR="00B02873" w:rsidRPr="00570727" w:rsidRDefault="00B02873" w:rsidP="00570727">
            <w:pPr>
              <w:pStyle w:val="TablebodyleftFinancialsTables"/>
              <w:jc w:val="right"/>
              <w:rPr>
                <w:rFonts w:asciiTheme="minorHAnsi" w:hAnsiTheme="minorHAnsi" w:cstheme="minorHAnsi"/>
              </w:rPr>
            </w:pPr>
            <w:r w:rsidRPr="00570727">
              <w:rPr>
                <w:rFonts w:asciiTheme="minorHAnsi" w:hAnsiTheme="minorHAnsi" w:cstheme="minorHAnsi"/>
              </w:rPr>
              <w:t>9,335</w:t>
            </w:r>
          </w:p>
        </w:tc>
      </w:tr>
      <w:tr w:rsidR="00B02873" w:rsidRPr="00570727" w14:paraId="2B1A8EB5" w14:textId="77777777" w:rsidTr="00570727">
        <w:trPr>
          <w:trHeight w:val="60"/>
        </w:trPr>
        <w:tc>
          <w:tcPr>
            <w:tcW w:w="6477" w:type="dxa"/>
          </w:tcPr>
          <w:p w14:paraId="50500B0E" w14:textId="77777777" w:rsidR="00B02873" w:rsidRPr="00570727" w:rsidRDefault="00B02873" w:rsidP="00570727">
            <w:pPr>
              <w:pStyle w:val="TablebodyleftFinancialsTables"/>
              <w:rPr>
                <w:rFonts w:asciiTheme="minorHAnsi" w:hAnsiTheme="minorHAnsi" w:cstheme="minorHAnsi"/>
                <w:b/>
                <w:bCs/>
              </w:rPr>
            </w:pPr>
            <w:r w:rsidRPr="00570727">
              <w:rPr>
                <w:rFonts w:asciiTheme="minorHAnsi" w:hAnsiTheme="minorHAnsi" w:cstheme="minorHAnsi"/>
                <w:b/>
                <w:bCs/>
              </w:rPr>
              <w:t>Net cash flows from/(used in) financing activities</w:t>
            </w:r>
          </w:p>
        </w:tc>
        <w:tc>
          <w:tcPr>
            <w:tcW w:w="794" w:type="dxa"/>
          </w:tcPr>
          <w:p w14:paraId="29C50436" w14:textId="77777777" w:rsidR="00B02873" w:rsidRPr="00570727" w:rsidRDefault="00B02873" w:rsidP="00570727">
            <w:pPr>
              <w:pStyle w:val="TablebodyleftFinancialsTables"/>
              <w:rPr>
                <w:rFonts w:asciiTheme="minorHAnsi" w:hAnsiTheme="minorHAnsi" w:cstheme="minorHAnsi"/>
              </w:rPr>
            </w:pPr>
          </w:p>
        </w:tc>
        <w:tc>
          <w:tcPr>
            <w:tcW w:w="1190" w:type="dxa"/>
          </w:tcPr>
          <w:p w14:paraId="063F4338" w14:textId="77777777" w:rsidR="00B02873" w:rsidRPr="00570727" w:rsidRDefault="00B02873" w:rsidP="00570727">
            <w:pPr>
              <w:pStyle w:val="TablebodyleftFinancialsTables"/>
              <w:jc w:val="right"/>
              <w:rPr>
                <w:rFonts w:asciiTheme="minorHAnsi" w:hAnsiTheme="minorHAnsi" w:cstheme="minorHAnsi"/>
                <w:b/>
                <w:bCs/>
              </w:rPr>
            </w:pPr>
            <w:r w:rsidRPr="00570727">
              <w:rPr>
                <w:rFonts w:asciiTheme="minorHAnsi" w:hAnsiTheme="minorHAnsi" w:cstheme="minorHAnsi"/>
                <w:b/>
                <w:bCs/>
              </w:rPr>
              <w:t>111,089</w:t>
            </w:r>
          </w:p>
        </w:tc>
        <w:tc>
          <w:tcPr>
            <w:tcW w:w="1191" w:type="dxa"/>
          </w:tcPr>
          <w:p w14:paraId="44026647" w14:textId="77777777" w:rsidR="00B02873" w:rsidRPr="00570727" w:rsidRDefault="00B02873" w:rsidP="00570727">
            <w:pPr>
              <w:pStyle w:val="TablebodyleftFinancialsTables"/>
              <w:jc w:val="right"/>
              <w:rPr>
                <w:rFonts w:asciiTheme="minorHAnsi" w:hAnsiTheme="minorHAnsi" w:cstheme="minorHAnsi"/>
              </w:rPr>
            </w:pPr>
            <w:r w:rsidRPr="00570727">
              <w:rPr>
                <w:rFonts w:asciiTheme="minorHAnsi" w:hAnsiTheme="minorHAnsi" w:cstheme="minorHAnsi"/>
              </w:rPr>
              <w:t>62,436</w:t>
            </w:r>
          </w:p>
        </w:tc>
      </w:tr>
      <w:tr w:rsidR="00B02873" w:rsidRPr="00570727" w14:paraId="65F6E925" w14:textId="77777777" w:rsidTr="00570727">
        <w:trPr>
          <w:trHeight w:val="60"/>
        </w:trPr>
        <w:tc>
          <w:tcPr>
            <w:tcW w:w="6477" w:type="dxa"/>
          </w:tcPr>
          <w:p w14:paraId="34E17239" w14:textId="77777777" w:rsidR="00B02873" w:rsidRPr="00570727" w:rsidRDefault="00B02873" w:rsidP="00570727">
            <w:pPr>
              <w:pStyle w:val="TablebodyleftFinancialsTables"/>
              <w:rPr>
                <w:rFonts w:asciiTheme="minorHAnsi" w:hAnsiTheme="minorHAnsi" w:cstheme="minorHAnsi"/>
                <w:b/>
                <w:bCs/>
              </w:rPr>
            </w:pPr>
            <w:r w:rsidRPr="00570727">
              <w:rPr>
                <w:rFonts w:asciiTheme="minorHAnsi" w:hAnsiTheme="minorHAnsi" w:cstheme="minorHAnsi"/>
                <w:b/>
                <w:bCs/>
              </w:rPr>
              <w:t>Net increase/(decrease) in cash and cash equivalents</w:t>
            </w:r>
          </w:p>
        </w:tc>
        <w:tc>
          <w:tcPr>
            <w:tcW w:w="794" w:type="dxa"/>
          </w:tcPr>
          <w:p w14:paraId="47E7BE96" w14:textId="77777777" w:rsidR="00B02873" w:rsidRPr="00570727" w:rsidRDefault="00B02873" w:rsidP="00570727">
            <w:pPr>
              <w:pStyle w:val="TablebodyleftFinancialsTables"/>
              <w:rPr>
                <w:rFonts w:asciiTheme="minorHAnsi" w:hAnsiTheme="minorHAnsi" w:cstheme="minorHAnsi"/>
              </w:rPr>
            </w:pPr>
          </w:p>
        </w:tc>
        <w:tc>
          <w:tcPr>
            <w:tcW w:w="1190" w:type="dxa"/>
          </w:tcPr>
          <w:p w14:paraId="20875E14" w14:textId="77777777" w:rsidR="00B02873" w:rsidRPr="00570727" w:rsidRDefault="00B02873" w:rsidP="00570727">
            <w:pPr>
              <w:pStyle w:val="TablebodyleftFinancialsTables"/>
              <w:jc w:val="right"/>
              <w:rPr>
                <w:rFonts w:asciiTheme="minorHAnsi" w:hAnsiTheme="minorHAnsi" w:cstheme="minorHAnsi"/>
                <w:b/>
                <w:bCs/>
              </w:rPr>
            </w:pPr>
            <w:r w:rsidRPr="00570727">
              <w:rPr>
                <w:rFonts w:asciiTheme="minorHAnsi" w:hAnsiTheme="minorHAnsi" w:cstheme="minorHAnsi"/>
                <w:b/>
                <w:bCs/>
              </w:rPr>
              <w:t>38,855</w:t>
            </w:r>
          </w:p>
        </w:tc>
        <w:tc>
          <w:tcPr>
            <w:tcW w:w="1191" w:type="dxa"/>
          </w:tcPr>
          <w:p w14:paraId="0430FA17" w14:textId="77777777" w:rsidR="00B02873" w:rsidRPr="00570727" w:rsidRDefault="00B02873" w:rsidP="00570727">
            <w:pPr>
              <w:pStyle w:val="TablebodyleftFinancialsTables"/>
              <w:jc w:val="right"/>
              <w:rPr>
                <w:rFonts w:asciiTheme="minorHAnsi" w:hAnsiTheme="minorHAnsi" w:cstheme="minorHAnsi"/>
              </w:rPr>
            </w:pPr>
            <w:r w:rsidRPr="00570727">
              <w:rPr>
                <w:rFonts w:asciiTheme="minorHAnsi" w:hAnsiTheme="minorHAnsi" w:cstheme="minorHAnsi"/>
              </w:rPr>
              <w:t>(1,424)</w:t>
            </w:r>
          </w:p>
        </w:tc>
      </w:tr>
      <w:tr w:rsidR="00B02873" w:rsidRPr="00570727" w14:paraId="3A7A979C" w14:textId="77777777" w:rsidTr="00570727">
        <w:trPr>
          <w:trHeight w:val="60"/>
        </w:trPr>
        <w:tc>
          <w:tcPr>
            <w:tcW w:w="6477" w:type="dxa"/>
          </w:tcPr>
          <w:p w14:paraId="4C5B1166" w14:textId="77777777" w:rsidR="00B02873" w:rsidRPr="00570727" w:rsidRDefault="00B02873" w:rsidP="00570727">
            <w:pPr>
              <w:pStyle w:val="TablebodyleftFinancialsTables"/>
              <w:rPr>
                <w:rFonts w:asciiTheme="minorHAnsi" w:hAnsiTheme="minorHAnsi" w:cstheme="minorHAnsi"/>
              </w:rPr>
            </w:pPr>
            <w:r w:rsidRPr="00570727">
              <w:rPr>
                <w:rFonts w:asciiTheme="minorHAnsi" w:hAnsiTheme="minorHAnsi" w:cstheme="minorHAnsi"/>
              </w:rPr>
              <w:t>Cash and cash equivalents at the beginning of the financial year</w:t>
            </w:r>
          </w:p>
        </w:tc>
        <w:tc>
          <w:tcPr>
            <w:tcW w:w="794" w:type="dxa"/>
          </w:tcPr>
          <w:p w14:paraId="5CB7518A" w14:textId="77777777" w:rsidR="00B02873" w:rsidRPr="00570727" w:rsidRDefault="00B02873" w:rsidP="00570727">
            <w:pPr>
              <w:pStyle w:val="TablebodyleftFinancialsTables"/>
              <w:rPr>
                <w:rFonts w:asciiTheme="minorHAnsi" w:hAnsiTheme="minorHAnsi" w:cstheme="minorHAnsi"/>
              </w:rPr>
            </w:pPr>
          </w:p>
        </w:tc>
        <w:tc>
          <w:tcPr>
            <w:tcW w:w="1190" w:type="dxa"/>
          </w:tcPr>
          <w:p w14:paraId="7FC01304" w14:textId="77777777" w:rsidR="00B02873" w:rsidRPr="00570727" w:rsidRDefault="00B02873" w:rsidP="00570727">
            <w:pPr>
              <w:pStyle w:val="TablebodyleftFinancialsTables"/>
              <w:jc w:val="right"/>
              <w:rPr>
                <w:rFonts w:asciiTheme="minorHAnsi" w:hAnsiTheme="minorHAnsi" w:cstheme="minorHAnsi"/>
                <w:b/>
                <w:bCs/>
              </w:rPr>
            </w:pPr>
            <w:r w:rsidRPr="00570727">
              <w:rPr>
                <w:rFonts w:asciiTheme="minorHAnsi" w:hAnsiTheme="minorHAnsi" w:cstheme="minorHAnsi"/>
                <w:b/>
                <w:bCs/>
              </w:rPr>
              <w:t>1,242,681</w:t>
            </w:r>
          </w:p>
        </w:tc>
        <w:tc>
          <w:tcPr>
            <w:tcW w:w="1191" w:type="dxa"/>
          </w:tcPr>
          <w:p w14:paraId="06A67246" w14:textId="77777777" w:rsidR="00B02873" w:rsidRPr="00570727" w:rsidRDefault="00B02873" w:rsidP="00570727">
            <w:pPr>
              <w:pStyle w:val="TablebodyleftFinancialsTables"/>
              <w:jc w:val="right"/>
              <w:rPr>
                <w:rFonts w:asciiTheme="minorHAnsi" w:hAnsiTheme="minorHAnsi" w:cstheme="minorHAnsi"/>
              </w:rPr>
            </w:pPr>
            <w:r w:rsidRPr="00570727">
              <w:rPr>
                <w:rFonts w:asciiTheme="minorHAnsi" w:hAnsiTheme="minorHAnsi" w:cstheme="minorHAnsi"/>
              </w:rPr>
              <w:t>1,244,105</w:t>
            </w:r>
          </w:p>
        </w:tc>
      </w:tr>
      <w:tr w:rsidR="00B02873" w:rsidRPr="00570727" w14:paraId="4ABC3DE7" w14:textId="77777777" w:rsidTr="00570727">
        <w:trPr>
          <w:trHeight w:val="60"/>
        </w:trPr>
        <w:tc>
          <w:tcPr>
            <w:tcW w:w="6477" w:type="dxa"/>
          </w:tcPr>
          <w:p w14:paraId="0C170DA6" w14:textId="77777777" w:rsidR="00B02873" w:rsidRPr="00570727" w:rsidRDefault="00B02873" w:rsidP="00570727">
            <w:pPr>
              <w:pStyle w:val="TablebodyleftFinancialsTables"/>
              <w:rPr>
                <w:rFonts w:asciiTheme="minorHAnsi" w:hAnsiTheme="minorHAnsi" w:cstheme="minorHAnsi"/>
                <w:b/>
                <w:bCs/>
              </w:rPr>
            </w:pPr>
            <w:r w:rsidRPr="00570727">
              <w:rPr>
                <w:rFonts w:asciiTheme="minorHAnsi" w:hAnsiTheme="minorHAnsi" w:cstheme="minorHAnsi"/>
                <w:b/>
                <w:bCs/>
              </w:rPr>
              <w:t>Cash and cash equivalents at the end of the financial year</w:t>
            </w:r>
          </w:p>
        </w:tc>
        <w:tc>
          <w:tcPr>
            <w:tcW w:w="794" w:type="dxa"/>
          </w:tcPr>
          <w:p w14:paraId="6B7341D7" w14:textId="77777777" w:rsidR="00B02873" w:rsidRPr="00570727" w:rsidRDefault="00B02873" w:rsidP="00570727">
            <w:pPr>
              <w:pStyle w:val="TablebodyleftFinancialsTables"/>
              <w:rPr>
                <w:rFonts w:asciiTheme="minorHAnsi" w:hAnsiTheme="minorHAnsi" w:cstheme="minorHAnsi"/>
              </w:rPr>
            </w:pPr>
            <w:r w:rsidRPr="00570727">
              <w:rPr>
                <w:rFonts w:asciiTheme="minorHAnsi" w:hAnsiTheme="minorHAnsi" w:cstheme="minorHAnsi"/>
              </w:rPr>
              <w:t>7.1</w:t>
            </w:r>
          </w:p>
        </w:tc>
        <w:tc>
          <w:tcPr>
            <w:tcW w:w="1190" w:type="dxa"/>
          </w:tcPr>
          <w:p w14:paraId="3FB1B936" w14:textId="77777777" w:rsidR="00B02873" w:rsidRPr="00570727" w:rsidRDefault="00B02873" w:rsidP="00570727">
            <w:pPr>
              <w:pStyle w:val="TablebodyleftFinancialsTables"/>
              <w:jc w:val="right"/>
              <w:rPr>
                <w:rFonts w:asciiTheme="minorHAnsi" w:hAnsiTheme="minorHAnsi" w:cstheme="minorHAnsi"/>
                <w:b/>
                <w:bCs/>
              </w:rPr>
            </w:pPr>
            <w:r w:rsidRPr="00570727">
              <w:rPr>
                <w:rFonts w:asciiTheme="minorHAnsi" w:hAnsiTheme="minorHAnsi" w:cstheme="minorHAnsi"/>
                <w:b/>
                <w:bCs/>
              </w:rPr>
              <w:t>1,281,536</w:t>
            </w:r>
          </w:p>
        </w:tc>
        <w:tc>
          <w:tcPr>
            <w:tcW w:w="1191" w:type="dxa"/>
          </w:tcPr>
          <w:p w14:paraId="201B19DF" w14:textId="77777777" w:rsidR="00B02873" w:rsidRPr="00570727" w:rsidRDefault="00B02873" w:rsidP="00570727">
            <w:pPr>
              <w:pStyle w:val="TablebodyleftFinancialsTables"/>
              <w:jc w:val="right"/>
              <w:rPr>
                <w:rFonts w:asciiTheme="minorHAnsi" w:hAnsiTheme="minorHAnsi" w:cstheme="minorHAnsi"/>
              </w:rPr>
            </w:pPr>
            <w:r w:rsidRPr="00570727">
              <w:rPr>
                <w:rFonts w:asciiTheme="minorHAnsi" w:hAnsiTheme="minorHAnsi" w:cstheme="minorHAnsi"/>
              </w:rPr>
              <w:t>1,242,681</w:t>
            </w:r>
          </w:p>
        </w:tc>
      </w:tr>
    </w:tbl>
    <w:p w14:paraId="329FA21B" w14:textId="77777777" w:rsidR="00B02873" w:rsidRDefault="00B02873" w:rsidP="00FE198A"/>
    <w:p w14:paraId="311AC1D2" w14:textId="77777777" w:rsidR="00B02873" w:rsidRDefault="00B02873" w:rsidP="00FE198A">
      <w:r>
        <w:t>The cash flow statement should be read in conjunction with the notes to the financial statements.</w:t>
      </w:r>
    </w:p>
    <w:p w14:paraId="6A8A7139" w14:textId="77777777" w:rsidR="00B02873" w:rsidRPr="00570727" w:rsidRDefault="00B02873" w:rsidP="00570727">
      <w:pPr>
        <w:pStyle w:val="SourceNote"/>
        <w:spacing w:after="120"/>
        <w:rPr>
          <w:b/>
          <w:bCs/>
        </w:rPr>
      </w:pPr>
      <w:r w:rsidRPr="00570727">
        <w:rPr>
          <w:b/>
          <w:bCs/>
        </w:rPr>
        <w:t>Note:</w:t>
      </w:r>
    </w:p>
    <w:p w14:paraId="5C26930A" w14:textId="140450A4" w:rsidR="00B02873" w:rsidRPr="008316E9" w:rsidRDefault="00B02873" w:rsidP="001128B1">
      <w:pPr>
        <w:pStyle w:val="SourceNotenumbered"/>
        <w:numPr>
          <w:ilvl w:val="0"/>
          <w:numId w:val="76"/>
        </w:numPr>
      </w:pPr>
      <w:r w:rsidRPr="008316E9">
        <w:t xml:space="preserve">This format is aligned to </w:t>
      </w:r>
      <w:r w:rsidRPr="008316E9">
        <w:rPr>
          <w:rStyle w:val="LightItalic"/>
          <w:rFonts w:asciiTheme="minorHAnsi" w:hAnsiTheme="minorHAnsi" w:cstheme="minorHAnsi"/>
        </w:rPr>
        <w:t>AASB 1049 Whole of Government and General Government Sector Financial Reporting</w:t>
      </w:r>
      <w:r w:rsidRPr="008316E9">
        <w:t>.</w:t>
      </w:r>
    </w:p>
    <w:p w14:paraId="4EE3BFB9" w14:textId="5A82D303" w:rsidR="00B02873" w:rsidRDefault="00B02873" w:rsidP="008316E9">
      <w:pPr>
        <w:pStyle w:val="SourceNotenumbered"/>
      </w:pPr>
      <w:r>
        <w:t>Goods and Services Tax recovered from the ATO is presented on a net basis.</w:t>
      </w:r>
    </w:p>
    <w:p w14:paraId="123EF4ED" w14:textId="77777777" w:rsidR="00B02873" w:rsidRDefault="00B02873" w:rsidP="00D21A73">
      <w:pPr>
        <w:pStyle w:val="Heading2Headings"/>
      </w:pPr>
      <w:bookmarkStart w:id="59" w:name="Note_1"/>
      <w:r>
        <w:lastRenderedPageBreak/>
        <w:t>Note 1. About this report</w:t>
      </w:r>
      <w:bookmarkEnd w:id="59"/>
    </w:p>
    <w:p w14:paraId="1446DDF9" w14:textId="0C6A31CA" w:rsidR="00B02873" w:rsidRDefault="00B02873" w:rsidP="00570727">
      <w:pPr>
        <w:keepNext/>
        <w:keepLines/>
      </w:pPr>
      <w:r>
        <w:t>The Department of Environment, Land, Water and Planning (the department) is a government department of the State of Victoria, established on 1 January 2015 after Machinery of Government changes were implemented by the Victorian government. It is an administrative agency acting</w:t>
      </w:r>
      <w:r w:rsidR="00A269DB">
        <w:t xml:space="preserve"> </w:t>
      </w:r>
      <w:r>
        <w:t>on behalf of the Crown.</w:t>
      </w:r>
    </w:p>
    <w:p w14:paraId="7DBE63EF" w14:textId="77777777" w:rsidR="00B02873" w:rsidRDefault="00B02873" w:rsidP="001A6CBD">
      <w:pPr>
        <w:pStyle w:val="Normalbeforebullet"/>
      </w:pPr>
      <w:r>
        <w:t>Its principal address is:</w:t>
      </w:r>
    </w:p>
    <w:p w14:paraId="0C0CB6CC" w14:textId="65F6708A" w:rsidR="00B02873" w:rsidRDefault="00B02873" w:rsidP="008316E9">
      <w:pPr>
        <w:pStyle w:val="Normalbeforebullet"/>
        <w:spacing w:after="0"/>
      </w:pPr>
      <w:r>
        <w:t>Department of Environment, Land, Water and Planning</w:t>
      </w:r>
    </w:p>
    <w:p w14:paraId="5ECD6408" w14:textId="77777777" w:rsidR="00B02873" w:rsidRDefault="00B02873" w:rsidP="008316E9">
      <w:pPr>
        <w:pStyle w:val="Normalbeforebullet"/>
        <w:spacing w:after="0"/>
      </w:pPr>
      <w:r>
        <w:t>8 Nicholson Street</w:t>
      </w:r>
    </w:p>
    <w:p w14:paraId="08838264" w14:textId="77777777" w:rsidR="00B02873" w:rsidRDefault="00B02873" w:rsidP="00570727">
      <w:r>
        <w:t>East Melbourne Victoria 3002</w:t>
      </w:r>
    </w:p>
    <w:p w14:paraId="382DF6FE" w14:textId="77777777" w:rsidR="00B02873" w:rsidRDefault="00B02873" w:rsidP="00FE198A">
      <w:r>
        <w:t>A description of the nature of the department’s operations and its principal activities is included in the Report of Operations, which does not form part of these financial statements.</w:t>
      </w:r>
    </w:p>
    <w:p w14:paraId="56693EBF" w14:textId="77777777" w:rsidR="00B02873" w:rsidRDefault="00B02873" w:rsidP="001A6CBD">
      <w:pPr>
        <w:pStyle w:val="Heading3"/>
      </w:pPr>
      <w:r>
        <w:t>Basis of preparation</w:t>
      </w:r>
    </w:p>
    <w:p w14:paraId="1E990260" w14:textId="77777777" w:rsidR="00B02873" w:rsidRDefault="00B02873" w:rsidP="00FE198A">
      <w:r>
        <w:t xml:space="preserve">These financial statements are in Australian dollars and prepared using the historical cost convention unless a different measurement basis is specifically disclosed in the note associated with the item measured on a different basis. </w:t>
      </w:r>
    </w:p>
    <w:p w14:paraId="6EFCE04F" w14:textId="77777777" w:rsidR="00B02873" w:rsidRDefault="00B02873" w:rsidP="00FE198A">
      <w:r>
        <w:t>The accrual basis of accounting has been applied in the preparation of these financial statements whereby assets, liabilities, equity, income and expenses are recognised in the reporting period to which they relate, regardless of when cash is received or paid.</w:t>
      </w:r>
    </w:p>
    <w:p w14:paraId="763622D1" w14:textId="77777777" w:rsidR="00B02873" w:rsidRDefault="00B02873" w:rsidP="00FE198A">
      <w:r>
        <w:t xml:space="preserve">Consistent with the requirements of AASB 1004 </w:t>
      </w:r>
      <w:r w:rsidRPr="001A6CBD">
        <w:rPr>
          <w:rStyle w:val="LightItalic"/>
          <w:rFonts w:asciiTheme="minorHAnsi" w:hAnsiTheme="minorHAnsi" w:cstheme="minorHAnsi"/>
        </w:rPr>
        <w:t>Contributions</w:t>
      </w:r>
      <w:r>
        <w:t>, contributions by owners (that is, contributed capital and its repayment) are treated as equity transactions and, therefore, do not form part of the income and expenses of the department.</w:t>
      </w:r>
    </w:p>
    <w:p w14:paraId="15E2B054" w14:textId="77777777" w:rsidR="00B02873" w:rsidRDefault="00B02873" w:rsidP="00FE198A">
      <w:r>
        <w:rPr>
          <w:spacing w:val="-2"/>
        </w:rPr>
        <w:t xml:space="preserve">Additions to net assets which have been designated as contributions by owners are recognised as contributed capital. Other transfers that are in the nature of contributions to or distributions by owners have also been designated as contributions by owners. </w:t>
      </w:r>
    </w:p>
    <w:p w14:paraId="3493387E" w14:textId="77777777" w:rsidR="00B02873" w:rsidRDefault="00B02873" w:rsidP="00FE198A">
      <w:r>
        <w:t>Transfers of net assets arising from administrative restructurings are treated as distributions to or contributions by owners. Transfers of net liabilities arising from administrative restructurings are treated as distributions to owners.</w:t>
      </w:r>
    </w:p>
    <w:p w14:paraId="0EEB1989" w14:textId="77777777" w:rsidR="00B02873" w:rsidRDefault="00B02873" w:rsidP="00FE198A">
      <w:r>
        <w:t>Judgements, estimates and assumptions are required to be made about the carrying values of assets and liabilities that are not readily apparent from other sources. The estimates and associated assumptions are based on professional judgements derived from historical experience and various other factors that are believed to be reasonable under the circumstances. Actual results may differ from these estimates.</w:t>
      </w:r>
    </w:p>
    <w:p w14:paraId="6C3F557D" w14:textId="01E8F7C1" w:rsidR="00B02873" w:rsidRDefault="00B02873" w:rsidP="00FE198A">
      <w:r>
        <w:t>Revisions to accounting estimates are recognised in the period in which the estimate is revised and also in future periods that are affected by the revision. Judgements and assumptions made by management in the application of Australian Accounting Standards (AASs) that have significant effects on the financial statements and estimates relate to:</w:t>
      </w:r>
    </w:p>
    <w:p w14:paraId="54BF8981" w14:textId="77777777" w:rsidR="00B02873" w:rsidRDefault="00B02873" w:rsidP="00B02873">
      <w:pPr>
        <w:pStyle w:val="Bullet1Lists"/>
      </w:pPr>
      <w:r>
        <w:t xml:space="preserve">the type of joint arrangement in which the department had an interest during the reporting period (refer to Note 4.2 </w:t>
      </w:r>
      <w:r w:rsidRPr="001A6CBD">
        <w:rPr>
          <w:rStyle w:val="LightItalic"/>
          <w:rFonts w:asciiTheme="minorHAnsi" w:hAnsiTheme="minorHAnsi" w:cstheme="minorHAnsi"/>
        </w:rPr>
        <w:t>Administered (non-controlled) items</w:t>
      </w:r>
      <w:r w:rsidRPr="001A6CBD">
        <w:rPr>
          <w:rFonts w:asciiTheme="minorHAnsi" w:hAnsiTheme="minorHAnsi" w:cstheme="minorHAnsi"/>
        </w:rPr>
        <w:t xml:space="preserve"> </w:t>
      </w:r>
      <w:r>
        <w:t xml:space="preserve">and Note 4.2.3 </w:t>
      </w:r>
      <w:r w:rsidRPr="001A6CBD">
        <w:rPr>
          <w:rStyle w:val="LightItalic"/>
          <w:rFonts w:asciiTheme="minorHAnsi" w:hAnsiTheme="minorHAnsi" w:cstheme="minorHAnsi"/>
        </w:rPr>
        <w:t>Administered investments in joint operation)</w:t>
      </w:r>
    </w:p>
    <w:p w14:paraId="530B05AF" w14:textId="77777777" w:rsidR="00B02873" w:rsidRDefault="00B02873" w:rsidP="00B02873">
      <w:pPr>
        <w:pStyle w:val="Bullet1Lists"/>
      </w:pPr>
      <w:r>
        <w:t xml:space="preserve">the recognition and measurement of the service concession intangible assets associated with the commercialisation of land titles and registry function (refer to Note 4.2 </w:t>
      </w:r>
      <w:r w:rsidRPr="001A6CBD">
        <w:rPr>
          <w:rStyle w:val="LightItalic"/>
          <w:rFonts w:asciiTheme="minorHAnsi" w:hAnsiTheme="minorHAnsi" w:cstheme="minorHAnsi"/>
        </w:rPr>
        <w:t>Administered (non-controlled) items</w:t>
      </w:r>
      <w:r>
        <w:t xml:space="preserve"> and Note 4.2.4 </w:t>
      </w:r>
      <w:r w:rsidRPr="001A6CBD">
        <w:rPr>
          <w:rStyle w:val="LightItalic"/>
          <w:rFonts w:asciiTheme="minorHAnsi" w:hAnsiTheme="minorHAnsi" w:cstheme="minorHAnsi"/>
        </w:rPr>
        <w:t>Commercialisation of land titles and registry functions of Land Use Victoria</w:t>
      </w:r>
      <w:r w:rsidRPr="001A6CBD">
        <w:rPr>
          <w:rFonts w:asciiTheme="minorHAnsi" w:hAnsiTheme="minorHAnsi" w:cstheme="minorHAnsi"/>
        </w:rPr>
        <w:t>.</w:t>
      </w:r>
    </w:p>
    <w:p w14:paraId="68E5F306" w14:textId="77777777" w:rsidR="00B02873" w:rsidRDefault="00B02873" w:rsidP="00B02873">
      <w:pPr>
        <w:pStyle w:val="Bullet1Lists"/>
      </w:pPr>
      <w:r>
        <w:t xml:space="preserve">the recognition and measurement of the Victorian Desalination Project (refer to Note 4.2 </w:t>
      </w:r>
      <w:r w:rsidRPr="001A6CBD">
        <w:rPr>
          <w:rStyle w:val="LightItalic"/>
          <w:rFonts w:asciiTheme="minorHAnsi" w:hAnsiTheme="minorHAnsi" w:cstheme="minorHAnsi"/>
        </w:rPr>
        <w:t>Administered (non-controlled) items</w:t>
      </w:r>
      <w:r>
        <w:t xml:space="preserve"> and Note 4.2.5 </w:t>
      </w:r>
      <w:r w:rsidRPr="001A6CBD">
        <w:rPr>
          <w:rStyle w:val="LightItalic"/>
          <w:rFonts w:asciiTheme="minorHAnsi" w:hAnsiTheme="minorHAnsi" w:cstheme="minorHAnsi"/>
        </w:rPr>
        <w:t>Victorian Desalination Project</w:t>
      </w:r>
      <w:r>
        <w:t>.</w:t>
      </w:r>
    </w:p>
    <w:p w14:paraId="58A90EF6" w14:textId="77777777" w:rsidR="00B02873" w:rsidRDefault="00B02873" w:rsidP="00B02873">
      <w:pPr>
        <w:pStyle w:val="Bullet1Lists"/>
      </w:pPr>
      <w:r>
        <w:lastRenderedPageBreak/>
        <w:t xml:space="preserve">the fair value of land, buildings, infrastructure, plant and equipment (refer to Note 5.1.3 </w:t>
      </w:r>
      <w:r w:rsidRPr="001A6CBD">
        <w:rPr>
          <w:rStyle w:val="LightItalic"/>
          <w:rFonts w:asciiTheme="minorHAnsi" w:hAnsiTheme="minorHAnsi" w:cstheme="minorHAnsi"/>
        </w:rPr>
        <w:t>Fair value determination</w:t>
      </w:r>
      <w:r>
        <w:t>)</w:t>
      </w:r>
    </w:p>
    <w:p w14:paraId="68AFCEC7" w14:textId="7816AAD1" w:rsidR="00B02873" w:rsidRDefault="00B02873" w:rsidP="00B02873">
      <w:pPr>
        <w:pStyle w:val="Bullet1Lists"/>
      </w:pPr>
      <w:r>
        <w:t xml:space="preserve">the impairment of non-financial assets (refer to Note 5.1.2 </w:t>
      </w:r>
      <w:r w:rsidRPr="001A6CBD">
        <w:rPr>
          <w:rStyle w:val="LightItalic"/>
          <w:rFonts w:asciiTheme="minorHAnsi" w:hAnsiTheme="minorHAnsi" w:cstheme="minorHAnsi"/>
        </w:rPr>
        <w:t>Depreciation, amortisation and impairment</w:t>
      </w:r>
      <w:r>
        <w:t>)</w:t>
      </w:r>
    </w:p>
    <w:p w14:paraId="3B9C9936" w14:textId="77777777" w:rsidR="00B02873" w:rsidRDefault="00B02873" w:rsidP="00B02873">
      <w:pPr>
        <w:pStyle w:val="Bullet1Lists"/>
      </w:pPr>
      <w:r>
        <w:t>the estimated useful lives over which non-financial assets are depreciated</w:t>
      </w:r>
    </w:p>
    <w:p w14:paraId="01AE7C32" w14:textId="77777777" w:rsidR="00B02873" w:rsidRDefault="00B02873" w:rsidP="00B02873">
      <w:pPr>
        <w:pStyle w:val="Bullet1Lists"/>
      </w:pPr>
      <w:r>
        <w:t xml:space="preserve">the estimation of amounts required to be provisioned or disclosed as contingent liabilities (refer to Note 4.2 </w:t>
      </w:r>
      <w:r w:rsidRPr="001A6CBD">
        <w:rPr>
          <w:rStyle w:val="LightItalic"/>
          <w:rFonts w:asciiTheme="minorHAnsi" w:hAnsiTheme="minorHAnsi" w:cstheme="minorHAnsi"/>
        </w:rPr>
        <w:t>Administered (non-controlled) items</w:t>
      </w:r>
      <w:r>
        <w:t xml:space="preserve"> and 8.2 </w:t>
      </w:r>
      <w:r w:rsidRPr="001A6CBD">
        <w:rPr>
          <w:rStyle w:val="LightItalic"/>
          <w:rFonts w:asciiTheme="minorHAnsi" w:hAnsiTheme="minorHAnsi" w:cstheme="minorHAnsi"/>
        </w:rPr>
        <w:t>Contingent assets and contingent liabilities</w:t>
      </w:r>
      <w:r>
        <w:t>)</w:t>
      </w:r>
    </w:p>
    <w:p w14:paraId="1DDF39E5" w14:textId="065B2CB1" w:rsidR="00B02873" w:rsidRDefault="00B02873" w:rsidP="00B02873">
      <w:pPr>
        <w:pStyle w:val="Bullet1Lists"/>
      </w:pPr>
      <w:r>
        <w:t xml:space="preserve">assumptions for employee benefit provisions based on likely tenure of existing staff, patterns of leave claims, future salary movements and future discount rates (refer to Note 3.1.1 (a) </w:t>
      </w:r>
      <w:r w:rsidRPr="001A6CBD">
        <w:rPr>
          <w:rStyle w:val="LightItalic"/>
          <w:rFonts w:asciiTheme="minorHAnsi" w:hAnsiTheme="minorHAnsi" w:cstheme="minorHAnsi"/>
        </w:rPr>
        <w:t>Employee benefits in the balance sheet</w:t>
      </w:r>
      <w:r>
        <w:t>).</w:t>
      </w:r>
    </w:p>
    <w:p w14:paraId="17BCD4B9" w14:textId="77777777" w:rsidR="00B02873" w:rsidRDefault="00B02873" w:rsidP="00B02873">
      <w:pPr>
        <w:pStyle w:val="Bullet1Lists"/>
      </w:pPr>
      <w:r>
        <w:t xml:space="preserve">the estimation of contractual receivables recoverability (refer to Note 6.1 </w:t>
      </w:r>
      <w:r w:rsidRPr="001A6CBD">
        <w:rPr>
          <w:rStyle w:val="LightItalic"/>
          <w:rFonts w:asciiTheme="minorHAnsi" w:hAnsiTheme="minorHAnsi" w:cstheme="minorHAnsi"/>
        </w:rPr>
        <w:t>Receivables</w:t>
      </w:r>
      <w:r>
        <w:t>)</w:t>
      </w:r>
    </w:p>
    <w:p w14:paraId="42396F1C" w14:textId="77777777" w:rsidR="00B02873" w:rsidRDefault="00B02873" w:rsidP="00B02873">
      <w:pPr>
        <w:pStyle w:val="Bullet1Lists"/>
      </w:pPr>
      <w:r>
        <w:t xml:space="preserve">the estimation of the fair value of derivative financial instruments (refer to Note 6.2 </w:t>
      </w:r>
      <w:r w:rsidRPr="001A6CBD">
        <w:rPr>
          <w:rStyle w:val="LightItalic"/>
          <w:rFonts w:asciiTheme="minorHAnsi" w:hAnsiTheme="minorHAnsi" w:cstheme="minorHAnsi"/>
        </w:rPr>
        <w:t>Derivative financial instrument</w:t>
      </w:r>
      <w:r w:rsidRPr="00733FB9">
        <w:rPr>
          <w:i/>
          <w:iCs/>
        </w:rPr>
        <w:t>s</w:t>
      </w:r>
      <w:r>
        <w:t xml:space="preserve">, Note 2.3.6 </w:t>
      </w:r>
      <w:r w:rsidRPr="00733FB9">
        <w:rPr>
          <w:rStyle w:val="LightItalic"/>
          <w:rFonts w:asciiTheme="minorHAnsi" w:hAnsiTheme="minorHAnsi" w:cstheme="minorHAnsi"/>
        </w:rPr>
        <w:t>Initial recognition income from financial instruments</w:t>
      </w:r>
      <w:r>
        <w:t xml:space="preserve"> and Note 9.2 </w:t>
      </w:r>
      <w:r w:rsidRPr="00733FB9">
        <w:rPr>
          <w:rStyle w:val="LightItalic"/>
          <w:rFonts w:asciiTheme="minorHAnsi" w:hAnsiTheme="minorHAnsi" w:cstheme="minorHAnsi"/>
        </w:rPr>
        <w:t>Other economic flows included in net result</w:t>
      </w:r>
      <w:r>
        <w:t>)</w:t>
      </w:r>
    </w:p>
    <w:p w14:paraId="30685DF7" w14:textId="77777777" w:rsidR="00B02873" w:rsidRDefault="00B02873" w:rsidP="00733FB9">
      <w:pPr>
        <w:pStyle w:val="Bullet1Listslast"/>
      </w:pPr>
      <w:r>
        <w:t xml:space="preserve">the recognition of grant revenue (refer to Note 2 </w:t>
      </w:r>
      <w:r w:rsidRPr="00733FB9">
        <w:rPr>
          <w:rStyle w:val="LightItalic"/>
          <w:rFonts w:asciiTheme="minorHAnsi" w:hAnsiTheme="minorHAnsi" w:cstheme="minorHAnsi"/>
        </w:rPr>
        <w:t>Funding delivery of our services</w:t>
      </w:r>
      <w:r>
        <w:t>)</w:t>
      </w:r>
    </w:p>
    <w:p w14:paraId="2EE98993" w14:textId="6CC45AB8" w:rsidR="00B02873" w:rsidRDefault="00B02873" w:rsidP="00FE198A">
      <w:r>
        <w:t xml:space="preserve">These financial statements cover the department as an individual reporting entity and include all the controlled activities of the department. </w:t>
      </w:r>
    </w:p>
    <w:p w14:paraId="504F92C2" w14:textId="77777777" w:rsidR="00B02873" w:rsidRDefault="00B02873" w:rsidP="00FE198A">
      <w:r>
        <w:t xml:space="preserve">Consolidated financial statements have not been prepared as the department does not control any other entities under AASB 10 </w:t>
      </w:r>
      <w:r w:rsidRPr="00733FB9">
        <w:rPr>
          <w:rStyle w:val="LightItalic"/>
          <w:rFonts w:asciiTheme="minorHAnsi" w:hAnsiTheme="minorHAnsi" w:cstheme="minorHAnsi"/>
        </w:rPr>
        <w:t>Consolidated Financial Statements</w:t>
      </w:r>
      <w:r>
        <w:t>.</w:t>
      </w:r>
    </w:p>
    <w:p w14:paraId="17BE0BD3" w14:textId="77777777" w:rsidR="00B02873" w:rsidRDefault="00B02873" w:rsidP="00FE198A">
      <w:r>
        <w:t xml:space="preserve">There are no administrative offices of the department that require inclusion in this report. </w:t>
      </w:r>
    </w:p>
    <w:p w14:paraId="70D84DFA" w14:textId="77777777" w:rsidR="00B02873" w:rsidRDefault="00B02873" w:rsidP="00FE198A">
      <w:r>
        <w:t xml:space="preserve">All amounts in the financial statements have been rounded to the nearest $1,000 unless otherwise stated. </w:t>
      </w:r>
    </w:p>
    <w:p w14:paraId="35347618" w14:textId="77777777" w:rsidR="00B02873" w:rsidRDefault="00B02873" w:rsidP="00733FB9">
      <w:pPr>
        <w:pStyle w:val="Heading3"/>
      </w:pPr>
      <w:bookmarkStart w:id="60" w:name="Compliance_Information"/>
      <w:r>
        <w:t>Compliance information</w:t>
      </w:r>
      <w:bookmarkEnd w:id="60"/>
    </w:p>
    <w:p w14:paraId="38A33D60" w14:textId="77777777" w:rsidR="00B02873" w:rsidRDefault="00B02873" w:rsidP="00FE198A">
      <w:r>
        <w:t xml:space="preserve">These general-purpose financial statements have been prepared in accordance with the </w:t>
      </w:r>
      <w:r w:rsidRPr="00733FB9">
        <w:rPr>
          <w:rStyle w:val="LightItalic"/>
          <w:rFonts w:asciiTheme="minorHAnsi" w:hAnsiTheme="minorHAnsi" w:cstheme="minorHAnsi"/>
        </w:rPr>
        <w:t>Financial Management Act 1994</w:t>
      </w:r>
      <w:r w:rsidRPr="00733FB9">
        <w:rPr>
          <w:rFonts w:asciiTheme="minorHAnsi" w:hAnsiTheme="minorHAnsi" w:cstheme="minorHAnsi"/>
        </w:rPr>
        <w:t xml:space="preserve"> </w:t>
      </w:r>
      <w:r>
        <w:t xml:space="preserve">(FMA) and applicable Australian Accounting Standards (AAS) which include Interpretations, issued by the Australian Accounting Standards Board (AASB). In particular, they are presented in a manner consistent with the requirements of AASB 1049 </w:t>
      </w:r>
      <w:r w:rsidRPr="00733FB9">
        <w:rPr>
          <w:rStyle w:val="LightItalic"/>
          <w:rFonts w:asciiTheme="minorHAnsi" w:hAnsiTheme="minorHAnsi" w:cstheme="minorHAnsi"/>
        </w:rPr>
        <w:t>Whole of Government and General Government Sector Financial Reporting</w:t>
      </w:r>
      <w:r>
        <w:t>.</w:t>
      </w:r>
    </w:p>
    <w:p w14:paraId="697670BA" w14:textId="77777777" w:rsidR="00B02873" w:rsidRDefault="00B02873" w:rsidP="00FE198A">
      <w:r>
        <w:t>Where appropriate, those AAS paragraphs applicable to not-for-profit entities have been applied. Accounting policies are selected and applied in a manner which ensures that the resulting financial information satisfies the concepts of relevance and reliability, thereby ensuring that the substance of the underlying transactions or other events is reported.</w:t>
      </w:r>
    </w:p>
    <w:p w14:paraId="7FCF7C23" w14:textId="19DE2423" w:rsidR="00B02873" w:rsidRDefault="00B02873" w:rsidP="00FE198A">
      <w:r>
        <w:t xml:space="preserve">To gain a better understanding of the terminology used in these financial statements, please refer to Note 9.12 </w:t>
      </w:r>
      <w:r w:rsidRPr="00733FB9">
        <w:rPr>
          <w:rStyle w:val="LightItalic"/>
          <w:rFonts w:asciiTheme="minorHAnsi" w:hAnsiTheme="minorHAnsi" w:cstheme="minorHAnsi"/>
        </w:rPr>
        <w:t>Glossary of technical terms</w:t>
      </w:r>
      <w:r w:rsidRPr="00733FB9">
        <w:rPr>
          <w:rFonts w:asciiTheme="minorHAnsi" w:hAnsiTheme="minorHAnsi" w:cstheme="minorHAnsi"/>
        </w:rPr>
        <w:t>.</w:t>
      </w:r>
    </w:p>
    <w:p w14:paraId="55DA527C" w14:textId="77777777" w:rsidR="00B02873" w:rsidRDefault="00B02873" w:rsidP="00733FB9">
      <w:pPr>
        <w:pStyle w:val="Heading3"/>
      </w:pPr>
      <w:r>
        <w:t>Coronavirus (COVID-19) pandemic and the impact on the financial statement</w:t>
      </w:r>
    </w:p>
    <w:p w14:paraId="339B3DFB" w14:textId="77777777" w:rsidR="00B02873" w:rsidRDefault="00B02873" w:rsidP="00FE198A">
      <w:r>
        <w:t>In 2020 and 2021 the Victorian government introduced restrictions across Victoria to slow the spread of COVID-19 by reducing the number of people leaving their homes and moving around Victoria. This has had an impact on the operating and economic environment for the department and a number of policies and directions were introduced to assist, such as providing rent relief to lessees, establishing remote working environments for employees, and managing the distribution of funds for portfolio agencies and key stakeholders.</w:t>
      </w:r>
    </w:p>
    <w:p w14:paraId="65A5A557" w14:textId="054D8970" w:rsidR="00B02873" w:rsidRDefault="00B02873" w:rsidP="00FE198A">
      <w:r>
        <w:lastRenderedPageBreak/>
        <w:t xml:space="preserve">Management have considered the impacts of COVID-19 on the judgements and assumptions applied to accounting policies and estimates used in the measurement of assets and liabilities. The impacts and assessments have been considered on assets and liabilities which are detailed in Note 5.1.4 </w:t>
      </w:r>
      <w:r w:rsidRPr="00733FB9">
        <w:rPr>
          <w:rStyle w:val="LightItalic"/>
          <w:rFonts w:asciiTheme="minorHAnsi" w:hAnsiTheme="minorHAnsi" w:cstheme="minorHAnsi"/>
        </w:rPr>
        <w:t>Fair value determination</w:t>
      </w:r>
      <w:r>
        <w:t xml:space="preserve">, Note 5.1.3 </w:t>
      </w:r>
      <w:r w:rsidRPr="00733FB9">
        <w:rPr>
          <w:rStyle w:val="LightItalic"/>
          <w:rFonts w:asciiTheme="minorHAnsi" w:hAnsiTheme="minorHAnsi" w:cstheme="minorHAnsi"/>
        </w:rPr>
        <w:t>Depreciation, amortisation and impairment</w:t>
      </w:r>
      <w:r w:rsidRPr="00733FB9">
        <w:rPr>
          <w:rFonts w:asciiTheme="minorHAnsi" w:hAnsiTheme="minorHAnsi" w:cstheme="minorHAnsi"/>
        </w:rPr>
        <w:t>,</w:t>
      </w:r>
      <w:r>
        <w:t xml:space="preserve"> Note 6.1 </w:t>
      </w:r>
      <w:r w:rsidRPr="00733FB9">
        <w:rPr>
          <w:rStyle w:val="LightItalic"/>
          <w:rFonts w:asciiTheme="minorHAnsi" w:hAnsiTheme="minorHAnsi" w:cstheme="minorHAnsi"/>
        </w:rPr>
        <w:t>Receivables</w:t>
      </w:r>
      <w:r>
        <w:t xml:space="preserve">, Note 6.2 </w:t>
      </w:r>
      <w:r w:rsidRPr="00733FB9">
        <w:rPr>
          <w:rStyle w:val="LightItalic"/>
          <w:rFonts w:asciiTheme="minorHAnsi" w:hAnsiTheme="minorHAnsi" w:cstheme="minorHAnsi"/>
        </w:rPr>
        <w:t>Derivative financial instruments</w:t>
      </w:r>
      <w:r>
        <w:t xml:space="preserve">, Note 8.1 </w:t>
      </w:r>
      <w:r w:rsidRPr="00733FB9">
        <w:rPr>
          <w:rStyle w:val="LightItalic"/>
          <w:rFonts w:asciiTheme="minorHAnsi" w:hAnsiTheme="minorHAnsi" w:cstheme="minorHAnsi"/>
        </w:rPr>
        <w:t>Financial instruments specific disclosures</w:t>
      </w:r>
      <w:r>
        <w:t xml:space="preserve">, Note 8.2 </w:t>
      </w:r>
      <w:r w:rsidRPr="00733FB9">
        <w:rPr>
          <w:rStyle w:val="LightItalic"/>
          <w:rFonts w:asciiTheme="minorHAnsi" w:hAnsiTheme="minorHAnsi" w:cstheme="minorHAnsi"/>
        </w:rPr>
        <w:t>Contingent assets and liabilities</w:t>
      </w:r>
      <w:r>
        <w:t xml:space="preserve"> and Note 8.3 </w:t>
      </w:r>
      <w:r w:rsidRPr="00733FB9">
        <w:rPr>
          <w:rStyle w:val="LightItalic"/>
          <w:rFonts w:asciiTheme="minorHAnsi" w:hAnsiTheme="minorHAnsi" w:cstheme="minorHAnsi"/>
        </w:rPr>
        <w:t>Fair value determination</w:t>
      </w:r>
      <w:r w:rsidRPr="00733FB9">
        <w:rPr>
          <w:rFonts w:asciiTheme="minorHAnsi" w:hAnsiTheme="minorHAnsi" w:cstheme="minorHAnsi"/>
        </w:rPr>
        <w:t>.</w:t>
      </w:r>
    </w:p>
    <w:p w14:paraId="1EC4EEAC" w14:textId="77777777" w:rsidR="00B02873" w:rsidRDefault="00B02873" w:rsidP="00FE198A">
      <w:r>
        <w:t xml:space="preserve">Additional financial impacts have been considered on revenue and expense items in line with the government’s announcements and department policies. The department received additional funding during the year under the Building Works package to stimulate the state’s economy and recover from the COVID-19 pandemic. The delivery of a number of initiatives has been affected by the COVID-19 pandemic and their funding was re-cashflowed across the forward estimates Refer to Note 2.2.1(a). </w:t>
      </w:r>
    </w:p>
    <w:p w14:paraId="0404FDD3" w14:textId="4ACAEF39" w:rsidR="00B02873" w:rsidRDefault="00B02873" w:rsidP="00FE198A">
      <w:r>
        <w:t xml:space="preserve">The rent relief policy will have an impact on the revenue collected on Crown land leases and licences within Note 4.2.1 </w:t>
      </w:r>
      <w:r w:rsidRPr="00733FB9">
        <w:rPr>
          <w:rStyle w:val="LightItalic"/>
          <w:rFonts w:asciiTheme="minorHAnsi" w:hAnsiTheme="minorHAnsi" w:cstheme="minorHAnsi"/>
        </w:rPr>
        <w:t>Administered income and expenses</w:t>
      </w:r>
      <w:r>
        <w:t>.</w:t>
      </w:r>
    </w:p>
    <w:p w14:paraId="4E8A4A1D" w14:textId="1D09BDD4" w:rsidR="00B02873" w:rsidRDefault="00B02873" w:rsidP="00FE198A">
      <w:r>
        <w:t xml:space="preserve">Some of the department’s portfolio agencies have experienced reduced revenue due to the COVID-19 pandemic. The department received additional funding to provide these agencies with financial support grants, which are reported within Note 3.1.2 </w:t>
      </w:r>
      <w:r w:rsidRPr="00733FB9">
        <w:rPr>
          <w:rStyle w:val="LightItalic"/>
          <w:rFonts w:asciiTheme="minorHAnsi" w:hAnsiTheme="minorHAnsi" w:cstheme="minorHAnsi"/>
        </w:rPr>
        <w:t>Grants and other transfers.</w:t>
      </w:r>
    </w:p>
    <w:p w14:paraId="2A4A18CC" w14:textId="77777777" w:rsidR="00B02873" w:rsidRDefault="00B02873" w:rsidP="00D21A73">
      <w:pPr>
        <w:pStyle w:val="Heading2Headings"/>
      </w:pPr>
      <w:bookmarkStart w:id="61" w:name="Note_2"/>
      <w:r>
        <w:t>Note 2. Funding delivery of our services</w:t>
      </w:r>
      <w:bookmarkEnd w:id="61"/>
    </w:p>
    <w:p w14:paraId="77A610EA" w14:textId="77777777" w:rsidR="00B02873" w:rsidRDefault="00B02873" w:rsidP="00733FB9">
      <w:pPr>
        <w:pStyle w:val="Heading3"/>
      </w:pPr>
      <w:r>
        <w:t>Introduction</w:t>
      </w:r>
    </w:p>
    <w:p w14:paraId="38E3D3CC" w14:textId="1C9AA9C7" w:rsidR="00B02873" w:rsidRDefault="00B02873" w:rsidP="00FE198A">
      <w:r>
        <w:t>The department’s purpose is to shape and support liveable, inclusive and sustainable communities, and thriving natural environments across Victoria by: listening, working alongside and partnering with the community in everything we do; leveraging the connectivity between our portfolios to respond to the impacts of climate change in a productive, collaborative and coordinated way. We maximise opportunities for attracting investment and jobs through supporting the development of new, low-carbon industries; and protecting, enhancing and strengthening our State’s liveability, protecting our natural environment, infrastructure and heritage for future generations.</w:t>
      </w:r>
    </w:p>
    <w:p w14:paraId="17411D71" w14:textId="77777777" w:rsidR="00B02873" w:rsidRDefault="00B02873" w:rsidP="00FE198A">
      <w:r>
        <w:t xml:space="preserve">The department contributes to the Victorian government’s commitment to a stronger, fairer, better Victoria by supporting our natural and built environment, to ensure economic growth, liveable, sustainable and inclusive communities that are resilient to the impacts of climate change. </w:t>
      </w:r>
    </w:p>
    <w:p w14:paraId="381333D8" w14:textId="77777777" w:rsidR="00B02873" w:rsidRDefault="00B02873" w:rsidP="00FE198A">
      <w:r>
        <w:t>To enable the department to fulfil its purpose and provide outputs as described in Note 4, it receives income (predominantly accrual based parliamentary appropriations). The department also receives fees for various goods and services, levies and parks charges.</w:t>
      </w:r>
    </w:p>
    <w:p w14:paraId="53B8BD5C" w14:textId="77777777" w:rsidR="00B02873" w:rsidRDefault="00B02873" w:rsidP="00733FB9">
      <w:pPr>
        <w:pStyle w:val="Heading4"/>
      </w:pPr>
      <w:r>
        <w:t>Significant judgement: Grants revenue</w:t>
      </w:r>
    </w:p>
    <w:p w14:paraId="71454EBB" w14:textId="77777777" w:rsidR="00B02873" w:rsidRDefault="00B02873" w:rsidP="00FE198A">
      <w:r>
        <w:t>The department has made judgement on the recognition of grant revenue as income of not-for-profit entities where they do not contain sufficiently specific performance obligations. Income from grants that are enforceable and with sufficiently specific performance obligations and accounted for as revenue from contracts with customers is recognised when the department satisfies the performance obligation.</w:t>
      </w:r>
    </w:p>
    <w:p w14:paraId="0AEA53BF" w14:textId="77777777" w:rsidR="00B02873" w:rsidRDefault="00B02873" w:rsidP="00733FB9">
      <w:pPr>
        <w:pStyle w:val="Heading3"/>
      </w:pPr>
      <w:r>
        <w:t>Structure</w:t>
      </w:r>
    </w:p>
    <w:p w14:paraId="5A9B8AF2" w14:textId="77777777" w:rsidR="00B02873" w:rsidRDefault="00B02873" w:rsidP="001A6BD7">
      <w:pPr>
        <w:tabs>
          <w:tab w:val="left" w:pos="567"/>
          <w:tab w:val="left" w:pos="1134"/>
        </w:tabs>
        <w:spacing w:after="120"/>
      </w:pPr>
      <w:r>
        <w:t>2.1</w:t>
      </w:r>
      <w:r>
        <w:tab/>
        <w:t>Summary of revenue and income that funds the delivery of our services</w:t>
      </w:r>
    </w:p>
    <w:p w14:paraId="1C2E4779" w14:textId="77777777" w:rsidR="00B02873" w:rsidRDefault="00B02873" w:rsidP="001A6BD7">
      <w:pPr>
        <w:tabs>
          <w:tab w:val="left" w:pos="567"/>
          <w:tab w:val="left" w:pos="1134"/>
        </w:tabs>
        <w:spacing w:after="120"/>
      </w:pPr>
      <w:r>
        <w:t>2.2</w:t>
      </w:r>
      <w:r>
        <w:tab/>
        <w:t>Appropriations</w:t>
      </w:r>
    </w:p>
    <w:p w14:paraId="3678B377" w14:textId="77777777" w:rsidR="00B02873" w:rsidRDefault="00B02873" w:rsidP="001A6BD7">
      <w:pPr>
        <w:tabs>
          <w:tab w:val="left" w:pos="567"/>
          <w:tab w:val="left" w:pos="1134"/>
        </w:tabs>
        <w:spacing w:after="120"/>
        <w:ind w:left="567"/>
      </w:pPr>
      <w:r>
        <w:t>2.2.1</w:t>
      </w:r>
      <w:r>
        <w:tab/>
        <w:t xml:space="preserve">Summary of compliance with annual parliamentary appropriations </w:t>
      </w:r>
    </w:p>
    <w:p w14:paraId="4F89B326" w14:textId="117EE0DF" w:rsidR="00B02873" w:rsidRDefault="00B02873" w:rsidP="001A6BD7">
      <w:pPr>
        <w:tabs>
          <w:tab w:val="left" w:pos="567"/>
          <w:tab w:val="left" w:pos="1134"/>
        </w:tabs>
        <w:spacing w:after="120"/>
        <w:ind w:left="567"/>
      </w:pPr>
      <w:r>
        <w:t>2.2.2</w:t>
      </w:r>
      <w:r>
        <w:tab/>
        <w:t>Summary of compliance with special appropriations</w:t>
      </w:r>
    </w:p>
    <w:p w14:paraId="70AA8741" w14:textId="4B859185" w:rsidR="00B02873" w:rsidRDefault="00B02873" w:rsidP="001A6BD7">
      <w:pPr>
        <w:tabs>
          <w:tab w:val="left" w:pos="567"/>
          <w:tab w:val="left" w:pos="1134"/>
        </w:tabs>
        <w:spacing w:after="120"/>
        <w:ind w:left="567"/>
      </w:pPr>
      <w:r>
        <w:lastRenderedPageBreak/>
        <w:t>2.2.3</w:t>
      </w:r>
      <w:r>
        <w:tab/>
        <w:t xml:space="preserve">Annotated income agreements </w:t>
      </w:r>
    </w:p>
    <w:p w14:paraId="5913A945" w14:textId="77777777" w:rsidR="00B02873" w:rsidRDefault="00B02873" w:rsidP="001A6BD7">
      <w:pPr>
        <w:tabs>
          <w:tab w:val="left" w:pos="567"/>
          <w:tab w:val="left" w:pos="1134"/>
        </w:tabs>
        <w:spacing w:after="120"/>
      </w:pPr>
      <w:r>
        <w:t>2.3</w:t>
      </w:r>
      <w:r>
        <w:tab/>
        <w:t>Income from transactions</w:t>
      </w:r>
    </w:p>
    <w:p w14:paraId="6251A231" w14:textId="77777777" w:rsidR="00B02873" w:rsidRDefault="00B02873" w:rsidP="001A6BD7">
      <w:pPr>
        <w:tabs>
          <w:tab w:val="left" w:pos="567"/>
          <w:tab w:val="left" w:pos="1134"/>
        </w:tabs>
        <w:spacing w:after="120"/>
        <w:ind w:left="567"/>
      </w:pPr>
      <w:r>
        <w:t>2.3.1</w:t>
      </w:r>
      <w:r>
        <w:tab/>
        <w:t>Sale of goods and services</w:t>
      </w:r>
    </w:p>
    <w:p w14:paraId="70C821BE" w14:textId="6ACE9C09" w:rsidR="00B02873" w:rsidRDefault="00B02873" w:rsidP="001A6BD7">
      <w:pPr>
        <w:tabs>
          <w:tab w:val="left" w:pos="567"/>
          <w:tab w:val="left" w:pos="1134"/>
        </w:tabs>
        <w:spacing w:after="120"/>
        <w:ind w:left="567"/>
      </w:pPr>
      <w:r>
        <w:t>2.3.2</w:t>
      </w:r>
      <w:r>
        <w:tab/>
        <w:t>Municipal and Industrial Waste Levy</w:t>
      </w:r>
    </w:p>
    <w:p w14:paraId="48C35E19" w14:textId="1344ED59" w:rsidR="00B02873" w:rsidRDefault="00B02873" w:rsidP="001A6BD7">
      <w:pPr>
        <w:tabs>
          <w:tab w:val="left" w:pos="567"/>
          <w:tab w:val="left" w:pos="1134"/>
        </w:tabs>
        <w:spacing w:after="120"/>
        <w:ind w:left="567"/>
      </w:pPr>
      <w:r>
        <w:t>2.3.3</w:t>
      </w:r>
      <w:r>
        <w:tab/>
        <w:t>Metropolitan Parks Improvement Rate</w:t>
      </w:r>
    </w:p>
    <w:p w14:paraId="09FDCA77" w14:textId="56522E58" w:rsidR="00B02873" w:rsidRDefault="00B02873" w:rsidP="001A6BD7">
      <w:pPr>
        <w:tabs>
          <w:tab w:val="left" w:pos="567"/>
          <w:tab w:val="left" w:pos="1134"/>
        </w:tabs>
        <w:spacing w:after="120"/>
        <w:ind w:left="567"/>
      </w:pPr>
      <w:r>
        <w:t>2.3.4</w:t>
      </w:r>
      <w:r>
        <w:tab/>
        <w:t>Grants</w:t>
      </w:r>
    </w:p>
    <w:p w14:paraId="684CE17D" w14:textId="29C8DCF5" w:rsidR="00B02873" w:rsidRDefault="00B02873" w:rsidP="001A6BD7">
      <w:pPr>
        <w:tabs>
          <w:tab w:val="left" w:pos="567"/>
          <w:tab w:val="left" w:pos="1134"/>
        </w:tabs>
        <w:spacing w:after="120"/>
        <w:ind w:left="567"/>
      </w:pPr>
      <w:r>
        <w:t>2.3.5</w:t>
      </w:r>
      <w:r>
        <w:tab/>
        <w:t>Other income</w:t>
      </w:r>
    </w:p>
    <w:p w14:paraId="68736355" w14:textId="19D16791" w:rsidR="00B02873" w:rsidRDefault="00B02873" w:rsidP="001A6BD7">
      <w:pPr>
        <w:tabs>
          <w:tab w:val="left" w:pos="567"/>
          <w:tab w:val="left" w:pos="1134"/>
        </w:tabs>
        <w:ind w:left="567"/>
      </w:pPr>
      <w:r>
        <w:t>2.3.6</w:t>
      </w:r>
      <w:r>
        <w:tab/>
        <w:t xml:space="preserve">Initial recognition income from financial instruments </w:t>
      </w:r>
    </w:p>
    <w:p w14:paraId="508FB032" w14:textId="77777777" w:rsidR="00B02873" w:rsidRDefault="00B02873" w:rsidP="001A6BD7">
      <w:pPr>
        <w:pStyle w:val="Heading3"/>
      </w:pPr>
      <w:r>
        <w:t>2.1 Summary of revenue and income that funds the delivery of our services</w:t>
      </w:r>
    </w:p>
    <w:p w14:paraId="33674515" w14:textId="77777777" w:rsidR="00B02873" w:rsidRDefault="00B02873" w:rsidP="00FE198A">
      <w:r>
        <w:rPr>
          <w:spacing w:val="-2"/>
        </w:rPr>
        <w:t>Revenue and income that fund delivery of the department’s services are accounted for consistently with the requirements of the relevant accounting standards disclosed in the following notes.</w:t>
      </w:r>
    </w:p>
    <w:p w14:paraId="1BD20515" w14:textId="69401D04" w:rsidR="00B02873" w:rsidRDefault="00B02873" w:rsidP="001A6BD7">
      <w:pPr>
        <w:pStyle w:val="Heading3"/>
      </w:pPr>
      <w:r>
        <w:t>2.2 Appropriations</w:t>
      </w:r>
    </w:p>
    <w:p w14:paraId="6319B0EC" w14:textId="1EEE2034" w:rsidR="00B02873" w:rsidRPr="001A6BD7" w:rsidRDefault="00B02873" w:rsidP="00FE198A">
      <w:pPr>
        <w:rPr>
          <w:rStyle w:val="LightItalic"/>
          <w:rFonts w:asciiTheme="minorHAnsi" w:hAnsiTheme="minorHAnsi" w:cstheme="minorHAnsi"/>
        </w:rPr>
      </w:pPr>
      <w:r>
        <w:t xml:space="preserve">Once annual Parliamentary appropriations are applied by the Treasurer, they become controlled by the department and are recognised as income when applied for the purposes defined under the relevant </w:t>
      </w:r>
      <w:r w:rsidRPr="001A6BD7">
        <w:rPr>
          <w:rStyle w:val="LightItalic"/>
          <w:rFonts w:asciiTheme="minorHAnsi" w:hAnsiTheme="minorHAnsi" w:cstheme="minorHAnsi"/>
        </w:rPr>
        <w:t>Appropriations Act.</w:t>
      </w:r>
    </w:p>
    <w:p w14:paraId="3BBDAF20" w14:textId="77777777" w:rsidR="00B02873" w:rsidRDefault="00B02873" w:rsidP="001A6BD7">
      <w:pPr>
        <w:pStyle w:val="Heading4"/>
      </w:pPr>
      <w:r>
        <w:t>Output appropriations</w:t>
      </w:r>
    </w:p>
    <w:p w14:paraId="76F42894" w14:textId="1301AE5C" w:rsidR="00B02873" w:rsidRDefault="00B02873" w:rsidP="00FE198A">
      <w:r>
        <w:t>Income from the outputs the department provides to the government is recognised when those outputs have been delivered and the relevant minister has certified delivery of those outputs in accordance with specified performance criteria.</w:t>
      </w:r>
    </w:p>
    <w:p w14:paraId="0FC59A53" w14:textId="77777777" w:rsidR="00B02873" w:rsidRPr="001A6BD7" w:rsidRDefault="00B02873" w:rsidP="00FE198A">
      <w:pPr>
        <w:rPr>
          <w:rStyle w:val="LightItalic"/>
          <w:rFonts w:asciiTheme="minorHAnsi" w:hAnsiTheme="minorHAnsi" w:cstheme="minorHAnsi"/>
        </w:rPr>
      </w:pPr>
      <w:r>
        <w:rPr>
          <w:spacing w:val="-4"/>
        </w:rPr>
        <w:t xml:space="preserve">The department has access to various parliamentary appropriations income under the </w:t>
      </w:r>
      <w:r w:rsidRPr="001A6BD7">
        <w:rPr>
          <w:rStyle w:val="LightItalic"/>
          <w:rFonts w:asciiTheme="minorHAnsi" w:hAnsiTheme="minorHAnsi" w:cstheme="minorHAnsi"/>
          <w:spacing w:val="-4"/>
        </w:rPr>
        <w:t>Appropriation Act</w:t>
      </w:r>
      <w:r w:rsidRPr="001A6BD7">
        <w:rPr>
          <w:rFonts w:asciiTheme="minorHAnsi" w:hAnsiTheme="minorHAnsi" w:cstheme="minorHAnsi"/>
          <w:spacing w:val="-4"/>
        </w:rPr>
        <w:t>,</w:t>
      </w:r>
      <w:r>
        <w:rPr>
          <w:spacing w:val="-4"/>
        </w:rPr>
        <w:t xml:space="preserve"> the </w:t>
      </w:r>
      <w:r w:rsidRPr="001A6BD7">
        <w:rPr>
          <w:rStyle w:val="LightItalic"/>
          <w:rFonts w:asciiTheme="minorHAnsi" w:hAnsiTheme="minorHAnsi" w:cstheme="minorHAnsi"/>
          <w:spacing w:val="-4"/>
        </w:rPr>
        <w:t>Administrative Arrangements Act 1983</w:t>
      </w:r>
      <w:r>
        <w:rPr>
          <w:spacing w:val="-4"/>
        </w:rPr>
        <w:t xml:space="preserve"> and under sections of the FMA (sections 29: Appropriation of certain revenue and asset proceeds, 30: Transfer between items of departmental appropriation, and 32: Unused Appropriation). Details of the various parliamentary appropriations received by the department for the year are outlined in Note 2.2.1 </w:t>
      </w:r>
      <w:r w:rsidRPr="001A6BD7">
        <w:rPr>
          <w:rStyle w:val="LightItalic"/>
          <w:rFonts w:asciiTheme="minorHAnsi" w:hAnsiTheme="minorHAnsi" w:cstheme="minorHAnsi"/>
          <w:spacing w:val="-4"/>
        </w:rPr>
        <w:t>Summary of compliance with annual parliamentary appropriations.</w:t>
      </w:r>
    </w:p>
    <w:p w14:paraId="0BFBA86B" w14:textId="77777777" w:rsidR="00202C3F" w:rsidRDefault="00202C3F" w:rsidP="001A6BD7">
      <w:pPr>
        <w:pStyle w:val="Heading4"/>
        <w:sectPr w:rsidR="00202C3F" w:rsidSect="000C0438">
          <w:pgSz w:w="11906" w:h="16838" w:code="9"/>
          <w:pgMar w:top="1134" w:right="1134" w:bottom="1134" w:left="1134" w:header="720" w:footer="720" w:gutter="0"/>
          <w:cols w:space="720"/>
          <w:noEndnote/>
        </w:sectPr>
      </w:pPr>
    </w:p>
    <w:p w14:paraId="2ABE0CA3" w14:textId="4D7B3DB8" w:rsidR="00B02873" w:rsidRDefault="00B02873" w:rsidP="001A6BD7">
      <w:pPr>
        <w:pStyle w:val="Heading4"/>
      </w:pPr>
      <w:r>
        <w:lastRenderedPageBreak/>
        <w:t>Special appropriations</w:t>
      </w:r>
    </w:p>
    <w:p w14:paraId="57F7A2AE" w14:textId="77777777" w:rsidR="00B02873" w:rsidRDefault="00B02873" w:rsidP="00FE198A">
      <w:r>
        <w:t xml:space="preserve">Under section 28 of the FMA, income is recognised when the amount appropriated for that purpose is due and payable by the department. </w:t>
      </w:r>
    </w:p>
    <w:p w14:paraId="5228C267" w14:textId="77777777" w:rsidR="00B02873" w:rsidRDefault="00B02873" w:rsidP="001A6BD7">
      <w:pPr>
        <w:pStyle w:val="Heading3"/>
      </w:pPr>
      <w:bookmarkStart w:id="62" w:name="_Ref116975711"/>
      <w:r>
        <w:t>2.2.1 Summary of compliance with annual parliamentary appropriations</w:t>
      </w:r>
      <w:bookmarkEnd w:id="62"/>
    </w:p>
    <w:p w14:paraId="00B6D76B" w14:textId="09872C16" w:rsidR="00B02873" w:rsidRDefault="00B02873" w:rsidP="00FE198A">
      <w:r>
        <w:t>The following table discloses the details of the various parliamentary appropriations received by the department for the year.</w:t>
      </w:r>
      <w:r w:rsidR="00012C04">
        <w:t xml:space="preserve"> </w:t>
      </w:r>
      <w:r>
        <w:t>In accordance with accrual output-based management procedures ‘provision for outputs’ and ‘additions to net assets’ is disclosed as ‘controlled’ activities of the department.</w:t>
      </w:r>
      <w:r w:rsidR="00012C04">
        <w:t xml:space="preserve"> </w:t>
      </w:r>
      <w:r>
        <w:t>Administered transactions are those that are undertaken on behalf of the state over which the department has no control or discretion.</w:t>
      </w:r>
    </w:p>
    <w:tbl>
      <w:tblPr>
        <w:tblStyle w:val="TableGrid"/>
        <w:tblW w:w="15086" w:type="dxa"/>
        <w:tblLayout w:type="fixed"/>
        <w:tblCellMar>
          <w:top w:w="45" w:type="dxa"/>
          <w:bottom w:w="45" w:type="dxa"/>
        </w:tblCellMar>
        <w:tblLook w:val="0020" w:firstRow="1" w:lastRow="0" w:firstColumn="0" w:lastColumn="0" w:noHBand="0" w:noVBand="0"/>
      </w:tblPr>
      <w:tblGrid>
        <w:gridCol w:w="4248"/>
        <w:gridCol w:w="1305"/>
        <w:gridCol w:w="1304"/>
        <w:gridCol w:w="1189"/>
        <w:gridCol w:w="1204"/>
        <w:gridCol w:w="1155"/>
        <w:gridCol w:w="1182"/>
        <w:gridCol w:w="1299"/>
        <w:gridCol w:w="1305"/>
        <w:gridCol w:w="895"/>
      </w:tblGrid>
      <w:tr w:rsidR="00B02873" w:rsidRPr="00202C3F" w14:paraId="70C89B28" w14:textId="77777777" w:rsidTr="002C7839">
        <w:trPr>
          <w:cnfStyle w:val="100000000000" w:firstRow="1" w:lastRow="0" w:firstColumn="0" w:lastColumn="0" w:oddVBand="0" w:evenVBand="0" w:oddHBand="0" w:evenHBand="0" w:firstRowFirstColumn="0" w:firstRowLastColumn="0" w:lastRowFirstColumn="0" w:lastRowLastColumn="0"/>
        </w:trPr>
        <w:tc>
          <w:tcPr>
            <w:tcW w:w="4248" w:type="dxa"/>
          </w:tcPr>
          <w:p w14:paraId="163ABDF9" w14:textId="77777777" w:rsidR="00B02873" w:rsidRPr="00202C3F" w:rsidRDefault="00B02873" w:rsidP="00202C3F">
            <w:pPr>
              <w:pStyle w:val="TableheadingleftFinancialsTables"/>
              <w:rPr>
                <w:rFonts w:asciiTheme="minorHAnsi" w:hAnsiTheme="minorHAnsi" w:cstheme="minorHAnsi"/>
                <w:sz w:val="18"/>
                <w:szCs w:val="18"/>
              </w:rPr>
            </w:pPr>
          </w:p>
        </w:tc>
        <w:tc>
          <w:tcPr>
            <w:tcW w:w="1305" w:type="dxa"/>
          </w:tcPr>
          <w:p w14:paraId="6696A8F6" w14:textId="6C19D9AF" w:rsidR="00B02873" w:rsidRPr="00202C3F" w:rsidRDefault="00202C3F" w:rsidP="0012319F">
            <w:pPr>
              <w:pStyle w:val="TableheadingleftFinancialsTables"/>
              <w:jc w:val="right"/>
              <w:rPr>
                <w:rFonts w:asciiTheme="minorHAnsi" w:hAnsiTheme="minorHAnsi" w:cstheme="minorHAnsi"/>
                <w:sz w:val="18"/>
                <w:szCs w:val="18"/>
              </w:rPr>
            </w:pPr>
            <w:r w:rsidRPr="00202C3F">
              <w:rPr>
                <w:rFonts w:asciiTheme="minorHAnsi" w:hAnsiTheme="minorHAnsi" w:cstheme="minorHAnsi"/>
                <w:sz w:val="18"/>
                <w:szCs w:val="18"/>
              </w:rPr>
              <w:t xml:space="preserve">Appropriation Act </w:t>
            </w:r>
            <w:r w:rsidR="00B02873" w:rsidRPr="00202C3F">
              <w:rPr>
                <w:rFonts w:asciiTheme="minorHAnsi" w:hAnsiTheme="minorHAnsi" w:cstheme="minorHAnsi"/>
                <w:sz w:val="18"/>
                <w:szCs w:val="18"/>
              </w:rPr>
              <w:t>Annual appropriation</w:t>
            </w:r>
            <w:r w:rsidR="00B02873" w:rsidRPr="00202C3F">
              <w:rPr>
                <w:rFonts w:asciiTheme="minorHAnsi" w:hAnsiTheme="minorHAnsi" w:cstheme="minorHAnsi"/>
                <w:sz w:val="18"/>
                <w:szCs w:val="18"/>
              </w:rPr>
              <w:br/>
              <w:t>$’000</w:t>
            </w:r>
          </w:p>
        </w:tc>
        <w:tc>
          <w:tcPr>
            <w:tcW w:w="1304" w:type="dxa"/>
          </w:tcPr>
          <w:p w14:paraId="3CDCC55A" w14:textId="07822F70" w:rsidR="00B02873" w:rsidRPr="00202C3F" w:rsidRDefault="00202C3F" w:rsidP="0012319F">
            <w:pPr>
              <w:pStyle w:val="TableheadingleftFinancialsTables"/>
              <w:jc w:val="right"/>
              <w:rPr>
                <w:rFonts w:asciiTheme="minorHAnsi" w:hAnsiTheme="minorHAnsi" w:cstheme="minorHAnsi"/>
                <w:sz w:val="18"/>
                <w:szCs w:val="18"/>
              </w:rPr>
            </w:pPr>
            <w:r w:rsidRPr="00202C3F">
              <w:rPr>
                <w:rFonts w:asciiTheme="minorHAnsi" w:hAnsiTheme="minorHAnsi" w:cstheme="minorHAnsi"/>
                <w:sz w:val="18"/>
                <w:szCs w:val="18"/>
              </w:rPr>
              <w:t xml:space="preserve">Appropriation Act </w:t>
            </w:r>
            <w:r w:rsidR="00B02873" w:rsidRPr="00202C3F">
              <w:rPr>
                <w:rFonts w:asciiTheme="minorHAnsi" w:hAnsiTheme="minorHAnsi" w:cstheme="minorHAnsi"/>
                <w:sz w:val="18"/>
                <w:szCs w:val="18"/>
              </w:rPr>
              <w:t>Advance from Treasurer</w:t>
            </w:r>
            <w:r w:rsidR="00B02873" w:rsidRPr="00202C3F">
              <w:rPr>
                <w:rFonts w:asciiTheme="minorHAnsi" w:hAnsiTheme="minorHAnsi" w:cstheme="minorHAnsi"/>
                <w:sz w:val="18"/>
                <w:szCs w:val="18"/>
              </w:rPr>
              <w:br/>
              <w:t>$’000</w:t>
            </w:r>
          </w:p>
        </w:tc>
        <w:tc>
          <w:tcPr>
            <w:tcW w:w="1189" w:type="dxa"/>
          </w:tcPr>
          <w:p w14:paraId="7C8BDB51" w14:textId="474F4E8C" w:rsidR="00B02873" w:rsidRPr="00202C3F" w:rsidRDefault="00202C3F" w:rsidP="0012319F">
            <w:pPr>
              <w:pStyle w:val="TableheadingleftFinancialsTables"/>
              <w:jc w:val="right"/>
              <w:rPr>
                <w:rFonts w:asciiTheme="minorHAnsi" w:hAnsiTheme="minorHAnsi" w:cstheme="minorHAnsi"/>
                <w:sz w:val="18"/>
                <w:szCs w:val="18"/>
              </w:rPr>
            </w:pPr>
            <w:r w:rsidRPr="00202C3F">
              <w:rPr>
                <w:rFonts w:asciiTheme="minorHAnsi" w:hAnsiTheme="minorHAnsi" w:cstheme="minorHAnsi"/>
                <w:spacing w:val="-6"/>
                <w:sz w:val="18"/>
                <w:szCs w:val="18"/>
              </w:rPr>
              <w:t>Financial Management Act 1994</w:t>
            </w:r>
            <w:r w:rsidR="002C7839">
              <w:rPr>
                <w:rFonts w:asciiTheme="minorHAnsi" w:hAnsiTheme="minorHAnsi" w:cstheme="minorHAnsi"/>
                <w:spacing w:val="-6"/>
                <w:sz w:val="18"/>
                <w:szCs w:val="18"/>
              </w:rPr>
              <w:t xml:space="preserve"> </w:t>
            </w:r>
            <w:r w:rsidR="00B02873" w:rsidRPr="00202C3F">
              <w:rPr>
                <w:rFonts w:asciiTheme="minorHAnsi" w:hAnsiTheme="minorHAnsi" w:cstheme="minorHAnsi"/>
                <w:sz w:val="18"/>
                <w:szCs w:val="18"/>
              </w:rPr>
              <w:t>Section 29</w:t>
            </w:r>
            <w:r w:rsidR="00B02873" w:rsidRPr="00202C3F">
              <w:rPr>
                <w:rFonts w:asciiTheme="minorHAnsi" w:hAnsiTheme="minorHAnsi" w:cstheme="minorHAnsi"/>
                <w:sz w:val="18"/>
                <w:szCs w:val="18"/>
              </w:rPr>
              <w:br/>
              <w:t>$’000</w:t>
            </w:r>
          </w:p>
        </w:tc>
        <w:tc>
          <w:tcPr>
            <w:tcW w:w="1204" w:type="dxa"/>
          </w:tcPr>
          <w:p w14:paraId="1C69B986" w14:textId="325C623F" w:rsidR="00B02873" w:rsidRPr="00202C3F" w:rsidRDefault="00202C3F" w:rsidP="0012319F">
            <w:pPr>
              <w:pStyle w:val="TableheadingleftFinancialsTables"/>
              <w:jc w:val="right"/>
              <w:rPr>
                <w:rFonts w:asciiTheme="minorHAnsi" w:hAnsiTheme="minorHAnsi" w:cstheme="minorHAnsi"/>
                <w:sz w:val="18"/>
                <w:szCs w:val="18"/>
              </w:rPr>
            </w:pPr>
            <w:r w:rsidRPr="00202C3F">
              <w:rPr>
                <w:rFonts w:asciiTheme="minorHAnsi" w:hAnsiTheme="minorHAnsi" w:cstheme="minorHAnsi"/>
                <w:spacing w:val="-6"/>
                <w:sz w:val="18"/>
                <w:szCs w:val="18"/>
              </w:rPr>
              <w:t>Financial Management Act 1994</w:t>
            </w:r>
            <w:r w:rsidR="002C7839">
              <w:rPr>
                <w:rFonts w:asciiTheme="minorHAnsi" w:hAnsiTheme="minorHAnsi" w:cstheme="minorHAnsi"/>
                <w:spacing w:val="-6"/>
                <w:sz w:val="18"/>
                <w:szCs w:val="18"/>
              </w:rPr>
              <w:t xml:space="preserve"> </w:t>
            </w:r>
            <w:r w:rsidR="00B02873" w:rsidRPr="00202C3F">
              <w:rPr>
                <w:rFonts w:asciiTheme="minorHAnsi" w:hAnsiTheme="minorHAnsi" w:cstheme="minorHAnsi"/>
                <w:sz w:val="18"/>
                <w:szCs w:val="18"/>
              </w:rPr>
              <w:t>Section 30</w:t>
            </w:r>
            <w:r w:rsidR="00B02873" w:rsidRPr="00202C3F">
              <w:rPr>
                <w:rFonts w:asciiTheme="minorHAnsi" w:hAnsiTheme="minorHAnsi" w:cstheme="minorHAnsi"/>
                <w:sz w:val="18"/>
                <w:szCs w:val="18"/>
                <w:vertAlign w:val="superscript"/>
              </w:rPr>
              <w:t>(iv)</w:t>
            </w:r>
            <w:r w:rsidR="00B02873" w:rsidRPr="00202C3F">
              <w:rPr>
                <w:rFonts w:asciiTheme="minorHAnsi" w:hAnsiTheme="minorHAnsi" w:cstheme="minorHAnsi"/>
                <w:sz w:val="18"/>
                <w:szCs w:val="18"/>
              </w:rPr>
              <w:br/>
              <w:t>$’000</w:t>
            </w:r>
          </w:p>
        </w:tc>
        <w:tc>
          <w:tcPr>
            <w:tcW w:w="1155" w:type="dxa"/>
          </w:tcPr>
          <w:p w14:paraId="1EFF1057" w14:textId="1D31DA03" w:rsidR="00B02873" w:rsidRPr="00202C3F" w:rsidRDefault="00202C3F" w:rsidP="0012319F">
            <w:pPr>
              <w:pStyle w:val="TableheadingleftFinancialsTables"/>
              <w:jc w:val="right"/>
              <w:rPr>
                <w:rFonts w:asciiTheme="minorHAnsi" w:hAnsiTheme="minorHAnsi" w:cstheme="minorHAnsi"/>
                <w:sz w:val="18"/>
                <w:szCs w:val="18"/>
              </w:rPr>
            </w:pPr>
            <w:r w:rsidRPr="00202C3F">
              <w:rPr>
                <w:rFonts w:asciiTheme="minorHAnsi" w:hAnsiTheme="minorHAnsi" w:cstheme="minorHAnsi"/>
                <w:spacing w:val="-6"/>
                <w:sz w:val="18"/>
                <w:szCs w:val="18"/>
              </w:rPr>
              <w:t>Financial Management Act 1994</w:t>
            </w:r>
            <w:r w:rsidR="002C7839">
              <w:rPr>
                <w:rFonts w:asciiTheme="minorHAnsi" w:hAnsiTheme="minorHAnsi" w:cstheme="minorHAnsi"/>
                <w:spacing w:val="-6"/>
                <w:sz w:val="18"/>
                <w:szCs w:val="18"/>
              </w:rPr>
              <w:t xml:space="preserve"> </w:t>
            </w:r>
            <w:r w:rsidR="00B02873" w:rsidRPr="00202C3F">
              <w:rPr>
                <w:rFonts w:asciiTheme="minorHAnsi" w:hAnsiTheme="minorHAnsi" w:cstheme="minorHAnsi"/>
                <w:sz w:val="18"/>
                <w:szCs w:val="18"/>
              </w:rPr>
              <w:t>Section 32</w:t>
            </w:r>
            <w:r w:rsidR="00B02873" w:rsidRPr="00202C3F">
              <w:rPr>
                <w:rFonts w:asciiTheme="minorHAnsi" w:hAnsiTheme="minorHAnsi" w:cstheme="minorHAnsi"/>
                <w:sz w:val="18"/>
                <w:szCs w:val="18"/>
              </w:rPr>
              <w:br/>
              <w:t>$’000</w:t>
            </w:r>
          </w:p>
        </w:tc>
        <w:tc>
          <w:tcPr>
            <w:tcW w:w="1182" w:type="dxa"/>
          </w:tcPr>
          <w:p w14:paraId="3A229819" w14:textId="1C8577BD" w:rsidR="00B02873" w:rsidRPr="00202C3F" w:rsidRDefault="002C7839" w:rsidP="0012319F">
            <w:pPr>
              <w:pStyle w:val="TableheadingleftFinancialsTables"/>
              <w:jc w:val="right"/>
              <w:rPr>
                <w:rFonts w:asciiTheme="minorHAnsi" w:hAnsiTheme="minorHAnsi" w:cstheme="minorHAnsi"/>
                <w:sz w:val="18"/>
                <w:szCs w:val="18"/>
              </w:rPr>
            </w:pPr>
            <w:r w:rsidRPr="00202C3F">
              <w:rPr>
                <w:rFonts w:asciiTheme="minorHAnsi" w:hAnsiTheme="minorHAnsi" w:cstheme="minorHAnsi"/>
                <w:spacing w:val="-6"/>
                <w:sz w:val="18"/>
                <w:szCs w:val="18"/>
              </w:rPr>
              <w:t>Financial Management Act 1994</w:t>
            </w:r>
            <w:r>
              <w:rPr>
                <w:rFonts w:asciiTheme="minorHAnsi" w:hAnsiTheme="minorHAnsi" w:cstheme="minorHAnsi"/>
                <w:spacing w:val="-6"/>
                <w:sz w:val="18"/>
                <w:szCs w:val="18"/>
              </w:rPr>
              <w:t xml:space="preserve"> </w:t>
            </w:r>
            <w:r w:rsidR="00B02873" w:rsidRPr="00202C3F">
              <w:rPr>
                <w:rFonts w:asciiTheme="minorHAnsi" w:hAnsiTheme="minorHAnsi" w:cstheme="minorHAnsi"/>
                <w:sz w:val="18"/>
                <w:szCs w:val="18"/>
              </w:rPr>
              <w:t>Section 35</w:t>
            </w:r>
            <w:r w:rsidR="00B02873" w:rsidRPr="00202C3F">
              <w:rPr>
                <w:rFonts w:asciiTheme="minorHAnsi" w:hAnsiTheme="minorHAnsi" w:cstheme="minorHAnsi"/>
                <w:sz w:val="18"/>
                <w:szCs w:val="18"/>
              </w:rPr>
              <w:br/>
              <w:t>$’000</w:t>
            </w:r>
          </w:p>
        </w:tc>
        <w:tc>
          <w:tcPr>
            <w:tcW w:w="1299" w:type="dxa"/>
          </w:tcPr>
          <w:p w14:paraId="5C31BD4A" w14:textId="77777777" w:rsidR="00B02873" w:rsidRPr="00202C3F" w:rsidRDefault="00B02873" w:rsidP="0012319F">
            <w:pPr>
              <w:pStyle w:val="TableheadingleftFinancialsTables"/>
              <w:jc w:val="right"/>
              <w:rPr>
                <w:rFonts w:asciiTheme="minorHAnsi" w:hAnsiTheme="minorHAnsi" w:cstheme="minorHAnsi"/>
                <w:sz w:val="18"/>
                <w:szCs w:val="18"/>
              </w:rPr>
            </w:pPr>
            <w:r w:rsidRPr="00202C3F">
              <w:rPr>
                <w:rFonts w:asciiTheme="minorHAnsi" w:hAnsiTheme="minorHAnsi" w:cstheme="minorHAnsi"/>
                <w:sz w:val="18"/>
                <w:szCs w:val="18"/>
              </w:rPr>
              <w:t>Total parliamentary authority</w:t>
            </w:r>
            <w:r w:rsidRPr="00202C3F">
              <w:rPr>
                <w:rFonts w:asciiTheme="minorHAnsi" w:hAnsiTheme="minorHAnsi" w:cstheme="minorHAnsi"/>
                <w:sz w:val="18"/>
                <w:szCs w:val="18"/>
              </w:rPr>
              <w:br/>
              <w:t>$’000</w:t>
            </w:r>
          </w:p>
        </w:tc>
        <w:tc>
          <w:tcPr>
            <w:tcW w:w="1305" w:type="dxa"/>
          </w:tcPr>
          <w:p w14:paraId="7B37A149" w14:textId="77777777" w:rsidR="00B02873" w:rsidRPr="00202C3F" w:rsidRDefault="00B02873" w:rsidP="0012319F">
            <w:pPr>
              <w:pStyle w:val="TableheadingleftFinancialsTables"/>
              <w:jc w:val="right"/>
              <w:rPr>
                <w:rFonts w:asciiTheme="minorHAnsi" w:hAnsiTheme="minorHAnsi" w:cstheme="minorHAnsi"/>
                <w:sz w:val="18"/>
                <w:szCs w:val="18"/>
              </w:rPr>
            </w:pPr>
            <w:r w:rsidRPr="00202C3F">
              <w:rPr>
                <w:rFonts w:asciiTheme="minorHAnsi" w:hAnsiTheme="minorHAnsi" w:cstheme="minorHAnsi"/>
                <w:sz w:val="18"/>
                <w:szCs w:val="18"/>
              </w:rPr>
              <w:t>Appropriation applied</w:t>
            </w:r>
            <w:r w:rsidRPr="00202C3F">
              <w:rPr>
                <w:rFonts w:asciiTheme="minorHAnsi" w:hAnsiTheme="minorHAnsi" w:cstheme="minorHAnsi"/>
                <w:sz w:val="18"/>
                <w:szCs w:val="18"/>
              </w:rPr>
              <w:br/>
              <w:t>$’000</w:t>
            </w:r>
          </w:p>
        </w:tc>
        <w:tc>
          <w:tcPr>
            <w:tcW w:w="895" w:type="dxa"/>
          </w:tcPr>
          <w:p w14:paraId="203372D2" w14:textId="77777777" w:rsidR="00B02873" w:rsidRPr="00202C3F" w:rsidRDefault="00B02873" w:rsidP="0012319F">
            <w:pPr>
              <w:pStyle w:val="TableheadingleftFinancialsTables"/>
              <w:jc w:val="right"/>
              <w:rPr>
                <w:rFonts w:asciiTheme="minorHAnsi" w:hAnsiTheme="minorHAnsi" w:cstheme="minorHAnsi"/>
                <w:sz w:val="18"/>
                <w:szCs w:val="18"/>
              </w:rPr>
            </w:pPr>
            <w:r w:rsidRPr="00202C3F">
              <w:rPr>
                <w:rFonts w:asciiTheme="minorHAnsi" w:hAnsiTheme="minorHAnsi" w:cstheme="minorHAnsi"/>
                <w:sz w:val="18"/>
                <w:szCs w:val="18"/>
              </w:rPr>
              <w:t>Variance</w:t>
            </w:r>
            <w:r w:rsidRPr="00202C3F">
              <w:rPr>
                <w:rFonts w:asciiTheme="minorHAnsi" w:hAnsiTheme="minorHAnsi" w:cstheme="minorHAnsi"/>
                <w:sz w:val="18"/>
                <w:szCs w:val="18"/>
              </w:rPr>
              <w:br/>
              <w:t>$’000</w:t>
            </w:r>
          </w:p>
        </w:tc>
      </w:tr>
      <w:tr w:rsidR="002C7839" w:rsidRPr="00202C3F" w14:paraId="34D0A65D" w14:textId="77777777" w:rsidTr="002C7839">
        <w:tc>
          <w:tcPr>
            <w:tcW w:w="4248" w:type="dxa"/>
          </w:tcPr>
          <w:p w14:paraId="5AF54890" w14:textId="77777777" w:rsidR="00B02873" w:rsidRPr="0012319F" w:rsidRDefault="00B02873" w:rsidP="00202C3F">
            <w:pPr>
              <w:pStyle w:val="TablebodyleftFinancialsTables"/>
              <w:rPr>
                <w:rFonts w:asciiTheme="minorHAnsi" w:hAnsiTheme="minorHAnsi" w:cstheme="minorHAnsi"/>
                <w:b/>
                <w:bCs/>
                <w:sz w:val="18"/>
                <w:szCs w:val="18"/>
              </w:rPr>
            </w:pPr>
            <w:r w:rsidRPr="0012319F">
              <w:rPr>
                <w:rFonts w:asciiTheme="minorHAnsi" w:hAnsiTheme="minorHAnsi" w:cstheme="minorHAnsi"/>
                <w:b/>
                <w:bCs/>
                <w:sz w:val="18"/>
                <w:szCs w:val="18"/>
              </w:rPr>
              <w:t>2022</w:t>
            </w:r>
          </w:p>
        </w:tc>
        <w:tc>
          <w:tcPr>
            <w:tcW w:w="1305" w:type="dxa"/>
          </w:tcPr>
          <w:p w14:paraId="0EEDA00C" w14:textId="77777777" w:rsidR="00B02873" w:rsidRPr="00202C3F" w:rsidRDefault="00B02873" w:rsidP="0012319F">
            <w:pPr>
              <w:pStyle w:val="TablebodyleftFinancialsTables"/>
              <w:jc w:val="right"/>
              <w:rPr>
                <w:rFonts w:asciiTheme="minorHAnsi" w:hAnsiTheme="minorHAnsi" w:cstheme="minorHAnsi"/>
                <w:sz w:val="18"/>
                <w:szCs w:val="18"/>
              </w:rPr>
            </w:pPr>
          </w:p>
        </w:tc>
        <w:tc>
          <w:tcPr>
            <w:tcW w:w="1304" w:type="dxa"/>
          </w:tcPr>
          <w:p w14:paraId="4D2196C5" w14:textId="77777777" w:rsidR="00B02873" w:rsidRPr="00202C3F" w:rsidRDefault="00B02873" w:rsidP="0012319F">
            <w:pPr>
              <w:pStyle w:val="TablebodyleftFinancialsTables"/>
              <w:jc w:val="right"/>
              <w:rPr>
                <w:rFonts w:asciiTheme="minorHAnsi" w:hAnsiTheme="minorHAnsi" w:cstheme="minorHAnsi"/>
                <w:sz w:val="18"/>
                <w:szCs w:val="18"/>
              </w:rPr>
            </w:pPr>
          </w:p>
        </w:tc>
        <w:tc>
          <w:tcPr>
            <w:tcW w:w="1189" w:type="dxa"/>
          </w:tcPr>
          <w:p w14:paraId="1CA1D611" w14:textId="77777777" w:rsidR="00B02873" w:rsidRPr="00202C3F" w:rsidRDefault="00B02873" w:rsidP="0012319F">
            <w:pPr>
              <w:pStyle w:val="TablebodyleftFinancialsTables"/>
              <w:jc w:val="right"/>
              <w:rPr>
                <w:rFonts w:asciiTheme="minorHAnsi" w:hAnsiTheme="minorHAnsi" w:cstheme="minorHAnsi"/>
                <w:sz w:val="18"/>
                <w:szCs w:val="18"/>
              </w:rPr>
            </w:pPr>
          </w:p>
        </w:tc>
        <w:tc>
          <w:tcPr>
            <w:tcW w:w="1204" w:type="dxa"/>
          </w:tcPr>
          <w:p w14:paraId="079DFD21" w14:textId="77777777" w:rsidR="00B02873" w:rsidRPr="00202C3F" w:rsidRDefault="00B02873" w:rsidP="0012319F">
            <w:pPr>
              <w:pStyle w:val="TablebodyleftFinancialsTables"/>
              <w:jc w:val="right"/>
              <w:rPr>
                <w:rFonts w:asciiTheme="minorHAnsi" w:hAnsiTheme="minorHAnsi" w:cstheme="minorHAnsi"/>
                <w:sz w:val="18"/>
                <w:szCs w:val="18"/>
              </w:rPr>
            </w:pPr>
          </w:p>
        </w:tc>
        <w:tc>
          <w:tcPr>
            <w:tcW w:w="1155" w:type="dxa"/>
          </w:tcPr>
          <w:p w14:paraId="5304A23F" w14:textId="77777777" w:rsidR="00B02873" w:rsidRPr="00202C3F" w:rsidRDefault="00B02873" w:rsidP="0012319F">
            <w:pPr>
              <w:pStyle w:val="TablebodyleftFinancialsTables"/>
              <w:jc w:val="right"/>
              <w:rPr>
                <w:rFonts w:asciiTheme="minorHAnsi" w:hAnsiTheme="minorHAnsi" w:cstheme="minorHAnsi"/>
                <w:sz w:val="18"/>
                <w:szCs w:val="18"/>
              </w:rPr>
            </w:pPr>
          </w:p>
        </w:tc>
        <w:tc>
          <w:tcPr>
            <w:tcW w:w="1182" w:type="dxa"/>
          </w:tcPr>
          <w:p w14:paraId="73D11AC2" w14:textId="77777777" w:rsidR="00B02873" w:rsidRPr="00202C3F" w:rsidRDefault="00B02873" w:rsidP="0012319F">
            <w:pPr>
              <w:pStyle w:val="TablebodyleftFinancialsTables"/>
              <w:jc w:val="right"/>
              <w:rPr>
                <w:rFonts w:asciiTheme="minorHAnsi" w:hAnsiTheme="minorHAnsi" w:cstheme="minorHAnsi"/>
                <w:sz w:val="18"/>
                <w:szCs w:val="18"/>
              </w:rPr>
            </w:pPr>
          </w:p>
        </w:tc>
        <w:tc>
          <w:tcPr>
            <w:tcW w:w="1299" w:type="dxa"/>
          </w:tcPr>
          <w:p w14:paraId="37FC7671" w14:textId="77777777" w:rsidR="00B02873" w:rsidRPr="00202C3F" w:rsidRDefault="00B02873" w:rsidP="0012319F">
            <w:pPr>
              <w:pStyle w:val="TablebodyleftFinancialsTables"/>
              <w:jc w:val="right"/>
              <w:rPr>
                <w:rFonts w:asciiTheme="minorHAnsi" w:hAnsiTheme="minorHAnsi" w:cstheme="minorHAnsi"/>
                <w:sz w:val="18"/>
                <w:szCs w:val="18"/>
              </w:rPr>
            </w:pPr>
          </w:p>
        </w:tc>
        <w:tc>
          <w:tcPr>
            <w:tcW w:w="1305" w:type="dxa"/>
          </w:tcPr>
          <w:p w14:paraId="6B58B187" w14:textId="77777777" w:rsidR="00B02873" w:rsidRPr="00202C3F" w:rsidRDefault="00B02873" w:rsidP="0012319F">
            <w:pPr>
              <w:pStyle w:val="TablebodyleftFinancialsTables"/>
              <w:jc w:val="right"/>
              <w:rPr>
                <w:rFonts w:asciiTheme="minorHAnsi" w:hAnsiTheme="minorHAnsi" w:cstheme="minorHAnsi"/>
                <w:sz w:val="18"/>
                <w:szCs w:val="18"/>
              </w:rPr>
            </w:pPr>
          </w:p>
        </w:tc>
        <w:tc>
          <w:tcPr>
            <w:tcW w:w="895" w:type="dxa"/>
          </w:tcPr>
          <w:p w14:paraId="449F7823" w14:textId="77777777" w:rsidR="00B02873" w:rsidRPr="00202C3F" w:rsidRDefault="00B02873" w:rsidP="0012319F">
            <w:pPr>
              <w:pStyle w:val="TablebodyleftFinancialsTables"/>
              <w:jc w:val="right"/>
              <w:rPr>
                <w:rFonts w:asciiTheme="minorHAnsi" w:hAnsiTheme="minorHAnsi" w:cstheme="minorHAnsi"/>
                <w:sz w:val="18"/>
                <w:szCs w:val="18"/>
              </w:rPr>
            </w:pPr>
          </w:p>
        </w:tc>
      </w:tr>
      <w:tr w:rsidR="002C7839" w:rsidRPr="00202C3F" w14:paraId="14BCCECE" w14:textId="77777777" w:rsidTr="002C7839">
        <w:tc>
          <w:tcPr>
            <w:tcW w:w="4248" w:type="dxa"/>
          </w:tcPr>
          <w:p w14:paraId="438B1AD9" w14:textId="77777777" w:rsidR="00B02873" w:rsidRPr="0012319F" w:rsidRDefault="00B02873" w:rsidP="00202C3F">
            <w:pPr>
              <w:pStyle w:val="TablebodyleftFinancialsTables"/>
              <w:rPr>
                <w:rFonts w:asciiTheme="minorHAnsi" w:hAnsiTheme="minorHAnsi" w:cstheme="minorHAnsi"/>
                <w:b/>
                <w:bCs/>
                <w:sz w:val="18"/>
                <w:szCs w:val="18"/>
              </w:rPr>
            </w:pPr>
            <w:r w:rsidRPr="0012319F">
              <w:rPr>
                <w:rFonts w:asciiTheme="minorHAnsi" w:hAnsiTheme="minorHAnsi" w:cstheme="minorHAnsi"/>
                <w:b/>
                <w:bCs/>
                <w:sz w:val="18"/>
                <w:szCs w:val="18"/>
              </w:rPr>
              <w:t>Controlled</w:t>
            </w:r>
          </w:p>
        </w:tc>
        <w:tc>
          <w:tcPr>
            <w:tcW w:w="1305" w:type="dxa"/>
          </w:tcPr>
          <w:p w14:paraId="4A91C13C" w14:textId="77777777" w:rsidR="00B02873" w:rsidRPr="00202C3F" w:rsidRDefault="00B02873" w:rsidP="0012319F">
            <w:pPr>
              <w:pStyle w:val="TablebodyleftFinancialsTables"/>
              <w:jc w:val="right"/>
              <w:rPr>
                <w:rFonts w:asciiTheme="minorHAnsi" w:hAnsiTheme="minorHAnsi" w:cstheme="minorHAnsi"/>
                <w:sz w:val="18"/>
                <w:szCs w:val="18"/>
              </w:rPr>
            </w:pPr>
          </w:p>
        </w:tc>
        <w:tc>
          <w:tcPr>
            <w:tcW w:w="1304" w:type="dxa"/>
          </w:tcPr>
          <w:p w14:paraId="54AF02CC" w14:textId="77777777" w:rsidR="00B02873" w:rsidRPr="00202C3F" w:rsidRDefault="00B02873" w:rsidP="0012319F">
            <w:pPr>
              <w:pStyle w:val="TablebodyleftFinancialsTables"/>
              <w:jc w:val="right"/>
              <w:rPr>
                <w:rFonts w:asciiTheme="minorHAnsi" w:hAnsiTheme="minorHAnsi" w:cstheme="minorHAnsi"/>
                <w:sz w:val="18"/>
                <w:szCs w:val="18"/>
              </w:rPr>
            </w:pPr>
          </w:p>
        </w:tc>
        <w:tc>
          <w:tcPr>
            <w:tcW w:w="1189" w:type="dxa"/>
          </w:tcPr>
          <w:p w14:paraId="590B2A71" w14:textId="77777777" w:rsidR="00B02873" w:rsidRPr="00202C3F" w:rsidRDefault="00B02873" w:rsidP="0012319F">
            <w:pPr>
              <w:pStyle w:val="TablebodyleftFinancialsTables"/>
              <w:jc w:val="right"/>
              <w:rPr>
                <w:rFonts w:asciiTheme="minorHAnsi" w:hAnsiTheme="minorHAnsi" w:cstheme="minorHAnsi"/>
                <w:sz w:val="18"/>
                <w:szCs w:val="18"/>
              </w:rPr>
            </w:pPr>
          </w:p>
        </w:tc>
        <w:tc>
          <w:tcPr>
            <w:tcW w:w="1204" w:type="dxa"/>
          </w:tcPr>
          <w:p w14:paraId="1C682531" w14:textId="77777777" w:rsidR="00B02873" w:rsidRPr="00202C3F" w:rsidRDefault="00B02873" w:rsidP="0012319F">
            <w:pPr>
              <w:pStyle w:val="TablebodyleftFinancialsTables"/>
              <w:jc w:val="right"/>
              <w:rPr>
                <w:rFonts w:asciiTheme="minorHAnsi" w:hAnsiTheme="minorHAnsi" w:cstheme="minorHAnsi"/>
                <w:sz w:val="18"/>
                <w:szCs w:val="18"/>
              </w:rPr>
            </w:pPr>
          </w:p>
        </w:tc>
        <w:tc>
          <w:tcPr>
            <w:tcW w:w="1155" w:type="dxa"/>
          </w:tcPr>
          <w:p w14:paraId="6267911B" w14:textId="77777777" w:rsidR="00B02873" w:rsidRPr="00202C3F" w:rsidRDefault="00B02873" w:rsidP="0012319F">
            <w:pPr>
              <w:pStyle w:val="TablebodyleftFinancialsTables"/>
              <w:jc w:val="right"/>
              <w:rPr>
                <w:rFonts w:asciiTheme="minorHAnsi" w:hAnsiTheme="minorHAnsi" w:cstheme="minorHAnsi"/>
                <w:sz w:val="18"/>
                <w:szCs w:val="18"/>
              </w:rPr>
            </w:pPr>
          </w:p>
        </w:tc>
        <w:tc>
          <w:tcPr>
            <w:tcW w:w="1182" w:type="dxa"/>
          </w:tcPr>
          <w:p w14:paraId="3A369D83" w14:textId="77777777" w:rsidR="00B02873" w:rsidRPr="00202C3F" w:rsidRDefault="00B02873" w:rsidP="0012319F">
            <w:pPr>
              <w:pStyle w:val="TablebodyleftFinancialsTables"/>
              <w:jc w:val="right"/>
              <w:rPr>
                <w:rFonts w:asciiTheme="minorHAnsi" w:hAnsiTheme="minorHAnsi" w:cstheme="minorHAnsi"/>
                <w:sz w:val="18"/>
                <w:szCs w:val="18"/>
              </w:rPr>
            </w:pPr>
          </w:p>
        </w:tc>
        <w:tc>
          <w:tcPr>
            <w:tcW w:w="1299" w:type="dxa"/>
          </w:tcPr>
          <w:p w14:paraId="5C458939" w14:textId="77777777" w:rsidR="00B02873" w:rsidRPr="00202C3F" w:rsidRDefault="00B02873" w:rsidP="0012319F">
            <w:pPr>
              <w:pStyle w:val="TablebodyleftFinancialsTables"/>
              <w:jc w:val="right"/>
              <w:rPr>
                <w:rFonts w:asciiTheme="minorHAnsi" w:hAnsiTheme="minorHAnsi" w:cstheme="minorHAnsi"/>
                <w:sz w:val="18"/>
                <w:szCs w:val="18"/>
              </w:rPr>
            </w:pPr>
          </w:p>
        </w:tc>
        <w:tc>
          <w:tcPr>
            <w:tcW w:w="1305" w:type="dxa"/>
          </w:tcPr>
          <w:p w14:paraId="72AE395A" w14:textId="77777777" w:rsidR="00B02873" w:rsidRPr="00202C3F" w:rsidRDefault="00B02873" w:rsidP="0012319F">
            <w:pPr>
              <w:pStyle w:val="TablebodyleftFinancialsTables"/>
              <w:jc w:val="right"/>
              <w:rPr>
                <w:rFonts w:asciiTheme="minorHAnsi" w:hAnsiTheme="minorHAnsi" w:cstheme="minorHAnsi"/>
                <w:sz w:val="18"/>
                <w:szCs w:val="18"/>
              </w:rPr>
            </w:pPr>
          </w:p>
        </w:tc>
        <w:tc>
          <w:tcPr>
            <w:tcW w:w="895" w:type="dxa"/>
          </w:tcPr>
          <w:p w14:paraId="20DB363F" w14:textId="77777777" w:rsidR="00B02873" w:rsidRPr="00202C3F" w:rsidRDefault="00B02873" w:rsidP="0012319F">
            <w:pPr>
              <w:pStyle w:val="TablebodyleftFinancialsTables"/>
              <w:jc w:val="right"/>
              <w:rPr>
                <w:rFonts w:asciiTheme="minorHAnsi" w:hAnsiTheme="minorHAnsi" w:cstheme="minorHAnsi"/>
                <w:sz w:val="18"/>
                <w:szCs w:val="18"/>
              </w:rPr>
            </w:pPr>
          </w:p>
        </w:tc>
      </w:tr>
      <w:tr w:rsidR="00B02873" w:rsidRPr="00202C3F" w14:paraId="25F8DCF1" w14:textId="77777777" w:rsidTr="002C7839">
        <w:tc>
          <w:tcPr>
            <w:tcW w:w="4248" w:type="dxa"/>
          </w:tcPr>
          <w:p w14:paraId="2A5665FE" w14:textId="77777777" w:rsidR="00B02873" w:rsidRPr="00202C3F" w:rsidRDefault="00B02873" w:rsidP="00202C3F">
            <w:pPr>
              <w:pStyle w:val="TablebodyleftFinancialsTables"/>
              <w:rPr>
                <w:rFonts w:asciiTheme="minorHAnsi" w:hAnsiTheme="minorHAnsi" w:cstheme="minorHAnsi"/>
                <w:sz w:val="18"/>
                <w:szCs w:val="18"/>
              </w:rPr>
            </w:pPr>
            <w:r w:rsidRPr="00202C3F">
              <w:rPr>
                <w:rFonts w:asciiTheme="minorHAnsi" w:hAnsiTheme="minorHAnsi" w:cstheme="minorHAnsi"/>
                <w:sz w:val="18"/>
                <w:szCs w:val="18"/>
              </w:rPr>
              <w:t xml:space="preserve">Provision of outputs </w:t>
            </w:r>
            <w:r w:rsidRPr="00202C3F">
              <w:rPr>
                <w:rFonts w:asciiTheme="minorHAnsi" w:hAnsiTheme="minorHAnsi" w:cstheme="minorHAnsi"/>
                <w:sz w:val="18"/>
                <w:szCs w:val="18"/>
                <w:vertAlign w:val="superscript"/>
              </w:rPr>
              <w:t>(i)</w:t>
            </w:r>
          </w:p>
        </w:tc>
        <w:tc>
          <w:tcPr>
            <w:tcW w:w="1305" w:type="dxa"/>
          </w:tcPr>
          <w:p w14:paraId="4F937ABE" w14:textId="77777777" w:rsidR="00B02873" w:rsidRPr="0012319F" w:rsidRDefault="00B02873" w:rsidP="0012319F">
            <w:pPr>
              <w:pStyle w:val="TablebodyleftFinancialsTables"/>
              <w:jc w:val="right"/>
              <w:rPr>
                <w:rFonts w:asciiTheme="minorHAnsi" w:hAnsiTheme="minorHAnsi" w:cstheme="minorHAnsi"/>
                <w:b/>
                <w:bCs/>
                <w:sz w:val="18"/>
                <w:szCs w:val="18"/>
              </w:rPr>
            </w:pPr>
            <w:r w:rsidRPr="0012319F">
              <w:rPr>
                <w:rFonts w:asciiTheme="minorHAnsi" w:hAnsiTheme="minorHAnsi" w:cstheme="minorHAnsi"/>
                <w:b/>
                <w:bCs/>
                <w:sz w:val="18"/>
                <w:szCs w:val="18"/>
              </w:rPr>
              <w:t>1,879,359</w:t>
            </w:r>
          </w:p>
        </w:tc>
        <w:tc>
          <w:tcPr>
            <w:tcW w:w="1304" w:type="dxa"/>
          </w:tcPr>
          <w:p w14:paraId="67D8B113" w14:textId="77777777" w:rsidR="00B02873" w:rsidRPr="0012319F" w:rsidRDefault="00B02873" w:rsidP="0012319F">
            <w:pPr>
              <w:pStyle w:val="TablebodyleftFinancialsTables"/>
              <w:jc w:val="right"/>
              <w:rPr>
                <w:rFonts w:asciiTheme="minorHAnsi" w:hAnsiTheme="minorHAnsi" w:cstheme="minorHAnsi"/>
                <w:b/>
                <w:bCs/>
                <w:sz w:val="18"/>
                <w:szCs w:val="18"/>
              </w:rPr>
            </w:pPr>
            <w:r w:rsidRPr="0012319F">
              <w:rPr>
                <w:rFonts w:asciiTheme="minorHAnsi" w:hAnsiTheme="minorHAnsi" w:cstheme="minorHAnsi"/>
                <w:b/>
                <w:bCs/>
                <w:sz w:val="18"/>
                <w:szCs w:val="18"/>
              </w:rPr>
              <w:t>101,579</w:t>
            </w:r>
          </w:p>
        </w:tc>
        <w:tc>
          <w:tcPr>
            <w:tcW w:w="1189" w:type="dxa"/>
          </w:tcPr>
          <w:p w14:paraId="7F0E0EE0" w14:textId="77777777" w:rsidR="00B02873" w:rsidRPr="0012319F" w:rsidRDefault="00B02873" w:rsidP="0012319F">
            <w:pPr>
              <w:pStyle w:val="TablebodyleftFinancialsTables"/>
              <w:jc w:val="right"/>
              <w:rPr>
                <w:rFonts w:asciiTheme="minorHAnsi" w:hAnsiTheme="minorHAnsi" w:cstheme="minorHAnsi"/>
                <w:b/>
                <w:bCs/>
                <w:sz w:val="18"/>
                <w:szCs w:val="18"/>
              </w:rPr>
            </w:pPr>
            <w:r w:rsidRPr="0012319F">
              <w:rPr>
                <w:rFonts w:asciiTheme="minorHAnsi" w:hAnsiTheme="minorHAnsi" w:cstheme="minorHAnsi"/>
                <w:b/>
                <w:bCs/>
                <w:sz w:val="18"/>
                <w:szCs w:val="18"/>
              </w:rPr>
              <w:t>250,018</w:t>
            </w:r>
          </w:p>
        </w:tc>
        <w:tc>
          <w:tcPr>
            <w:tcW w:w="1204" w:type="dxa"/>
          </w:tcPr>
          <w:p w14:paraId="595D9392" w14:textId="77777777" w:rsidR="00B02873" w:rsidRPr="0012319F" w:rsidRDefault="00B02873" w:rsidP="0012319F">
            <w:pPr>
              <w:pStyle w:val="TablebodyleftFinancialsTables"/>
              <w:jc w:val="right"/>
              <w:rPr>
                <w:rFonts w:asciiTheme="minorHAnsi" w:hAnsiTheme="minorHAnsi" w:cstheme="minorHAnsi"/>
                <w:b/>
                <w:bCs/>
                <w:sz w:val="18"/>
                <w:szCs w:val="18"/>
              </w:rPr>
            </w:pPr>
            <w:r w:rsidRPr="0012319F">
              <w:rPr>
                <w:rFonts w:asciiTheme="minorHAnsi" w:hAnsiTheme="minorHAnsi" w:cstheme="minorHAnsi"/>
                <w:b/>
                <w:bCs/>
                <w:sz w:val="18"/>
                <w:szCs w:val="18"/>
              </w:rPr>
              <w:t>16,482</w:t>
            </w:r>
          </w:p>
        </w:tc>
        <w:tc>
          <w:tcPr>
            <w:tcW w:w="1155" w:type="dxa"/>
          </w:tcPr>
          <w:p w14:paraId="75F32CF7" w14:textId="77777777" w:rsidR="00B02873" w:rsidRPr="0012319F" w:rsidRDefault="00B02873" w:rsidP="0012319F">
            <w:pPr>
              <w:pStyle w:val="TablebodyleftFinancialsTables"/>
              <w:jc w:val="right"/>
              <w:rPr>
                <w:rFonts w:asciiTheme="minorHAnsi" w:hAnsiTheme="minorHAnsi" w:cstheme="minorHAnsi"/>
                <w:b/>
                <w:bCs/>
                <w:sz w:val="18"/>
                <w:szCs w:val="18"/>
              </w:rPr>
            </w:pPr>
            <w:r w:rsidRPr="0012319F">
              <w:rPr>
                <w:rFonts w:asciiTheme="minorHAnsi" w:hAnsiTheme="minorHAnsi" w:cstheme="minorHAnsi"/>
                <w:b/>
                <w:bCs/>
                <w:sz w:val="18"/>
                <w:szCs w:val="18"/>
              </w:rPr>
              <w:t>50,676</w:t>
            </w:r>
          </w:p>
        </w:tc>
        <w:tc>
          <w:tcPr>
            <w:tcW w:w="1182" w:type="dxa"/>
          </w:tcPr>
          <w:p w14:paraId="0D10F346" w14:textId="77777777" w:rsidR="00B02873" w:rsidRPr="0012319F" w:rsidRDefault="00B02873" w:rsidP="0012319F">
            <w:pPr>
              <w:pStyle w:val="TablebodyleftFinancialsTables"/>
              <w:jc w:val="right"/>
              <w:rPr>
                <w:rFonts w:asciiTheme="minorHAnsi" w:hAnsiTheme="minorHAnsi" w:cstheme="minorHAnsi"/>
                <w:b/>
                <w:bCs/>
                <w:sz w:val="18"/>
                <w:szCs w:val="18"/>
              </w:rPr>
            </w:pPr>
            <w:r w:rsidRPr="0012319F">
              <w:rPr>
                <w:rFonts w:asciiTheme="minorHAnsi" w:hAnsiTheme="minorHAnsi" w:cstheme="minorHAnsi"/>
                <w:b/>
                <w:bCs/>
                <w:sz w:val="18"/>
                <w:szCs w:val="18"/>
              </w:rPr>
              <w:t>–</w:t>
            </w:r>
          </w:p>
        </w:tc>
        <w:tc>
          <w:tcPr>
            <w:tcW w:w="1299" w:type="dxa"/>
          </w:tcPr>
          <w:p w14:paraId="5E517B80" w14:textId="77777777" w:rsidR="00B02873" w:rsidRPr="0012319F" w:rsidRDefault="00B02873" w:rsidP="0012319F">
            <w:pPr>
              <w:pStyle w:val="TablebodyleftFinancialsTables"/>
              <w:jc w:val="right"/>
              <w:rPr>
                <w:rFonts w:asciiTheme="minorHAnsi" w:hAnsiTheme="minorHAnsi" w:cstheme="minorHAnsi"/>
                <w:b/>
                <w:bCs/>
                <w:sz w:val="18"/>
                <w:szCs w:val="18"/>
              </w:rPr>
            </w:pPr>
            <w:r w:rsidRPr="0012319F">
              <w:rPr>
                <w:rFonts w:asciiTheme="minorHAnsi" w:hAnsiTheme="minorHAnsi" w:cstheme="minorHAnsi"/>
                <w:b/>
                <w:bCs/>
                <w:sz w:val="18"/>
                <w:szCs w:val="18"/>
              </w:rPr>
              <w:t>2,298,114</w:t>
            </w:r>
          </w:p>
        </w:tc>
        <w:tc>
          <w:tcPr>
            <w:tcW w:w="1305" w:type="dxa"/>
          </w:tcPr>
          <w:p w14:paraId="76FBCABE" w14:textId="77777777" w:rsidR="00B02873" w:rsidRPr="0012319F" w:rsidRDefault="00B02873" w:rsidP="0012319F">
            <w:pPr>
              <w:pStyle w:val="TablebodyleftFinancialsTables"/>
              <w:jc w:val="right"/>
              <w:rPr>
                <w:rFonts w:asciiTheme="minorHAnsi" w:hAnsiTheme="minorHAnsi" w:cstheme="minorHAnsi"/>
                <w:b/>
                <w:bCs/>
                <w:sz w:val="18"/>
                <w:szCs w:val="18"/>
              </w:rPr>
            </w:pPr>
            <w:r w:rsidRPr="0012319F">
              <w:rPr>
                <w:rFonts w:asciiTheme="minorHAnsi" w:hAnsiTheme="minorHAnsi" w:cstheme="minorHAnsi"/>
                <w:b/>
                <w:bCs/>
                <w:sz w:val="18"/>
                <w:szCs w:val="18"/>
              </w:rPr>
              <w:t>2,191,978</w:t>
            </w:r>
          </w:p>
        </w:tc>
        <w:tc>
          <w:tcPr>
            <w:tcW w:w="895" w:type="dxa"/>
          </w:tcPr>
          <w:p w14:paraId="349DD4C8" w14:textId="77777777" w:rsidR="00B02873" w:rsidRPr="0012319F" w:rsidRDefault="00B02873" w:rsidP="0012319F">
            <w:pPr>
              <w:pStyle w:val="TablebodyleftFinancialsTables"/>
              <w:jc w:val="right"/>
              <w:rPr>
                <w:rFonts w:asciiTheme="minorHAnsi" w:hAnsiTheme="minorHAnsi" w:cstheme="minorHAnsi"/>
                <w:b/>
                <w:bCs/>
                <w:sz w:val="18"/>
                <w:szCs w:val="18"/>
              </w:rPr>
            </w:pPr>
            <w:r w:rsidRPr="0012319F">
              <w:rPr>
                <w:rFonts w:asciiTheme="minorHAnsi" w:hAnsiTheme="minorHAnsi" w:cstheme="minorHAnsi"/>
                <w:b/>
                <w:bCs/>
                <w:sz w:val="18"/>
                <w:szCs w:val="18"/>
              </w:rPr>
              <w:t>106,136</w:t>
            </w:r>
          </w:p>
        </w:tc>
      </w:tr>
      <w:tr w:rsidR="00B02873" w:rsidRPr="00202C3F" w14:paraId="7E9E01B9" w14:textId="77777777" w:rsidTr="002C7839">
        <w:tc>
          <w:tcPr>
            <w:tcW w:w="4248" w:type="dxa"/>
          </w:tcPr>
          <w:p w14:paraId="5740CCAF" w14:textId="77777777" w:rsidR="00B02873" w:rsidRPr="00202C3F" w:rsidRDefault="00B02873" w:rsidP="00202C3F">
            <w:pPr>
              <w:pStyle w:val="TablebodyleftFinancialsTables"/>
              <w:rPr>
                <w:rFonts w:asciiTheme="minorHAnsi" w:hAnsiTheme="minorHAnsi" w:cstheme="minorHAnsi"/>
                <w:sz w:val="18"/>
                <w:szCs w:val="18"/>
              </w:rPr>
            </w:pPr>
            <w:r w:rsidRPr="00202C3F">
              <w:rPr>
                <w:rFonts w:asciiTheme="minorHAnsi" w:hAnsiTheme="minorHAnsi" w:cstheme="minorHAnsi"/>
                <w:spacing w:val="-1"/>
                <w:sz w:val="18"/>
                <w:szCs w:val="18"/>
              </w:rPr>
              <w:t xml:space="preserve">Additions to net assets base (ATNAB) </w:t>
            </w:r>
            <w:r w:rsidRPr="00202C3F">
              <w:rPr>
                <w:rFonts w:asciiTheme="minorHAnsi" w:hAnsiTheme="minorHAnsi" w:cstheme="minorHAnsi"/>
                <w:spacing w:val="-1"/>
                <w:sz w:val="18"/>
                <w:szCs w:val="18"/>
                <w:vertAlign w:val="superscript"/>
              </w:rPr>
              <w:t>(ii)</w:t>
            </w:r>
          </w:p>
        </w:tc>
        <w:tc>
          <w:tcPr>
            <w:tcW w:w="1305" w:type="dxa"/>
          </w:tcPr>
          <w:p w14:paraId="6BF94C2F" w14:textId="77777777" w:rsidR="00B02873" w:rsidRPr="0012319F" w:rsidRDefault="00B02873" w:rsidP="0012319F">
            <w:pPr>
              <w:pStyle w:val="TablebodyleftFinancialsTables"/>
              <w:jc w:val="right"/>
              <w:rPr>
                <w:rFonts w:asciiTheme="minorHAnsi" w:hAnsiTheme="minorHAnsi" w:cstheme="minorHAnsi"/>
                <w:b/>
                <w:bCs/>
                <w:sz w:val="18"/>
                <w:szCs w:val="18"/>
              </w:rPr>
            </w:pPr>
            <w:r w:rsidRPr="0012319F">
              <w:rPr>
                <w:rFonts w:asciiTheme="minorHAnsi" w:hAnsiTheme="minorHAnsi" w:cstheme="minorHAnsi"/>
                <w:b/>
                <w:bCs/>
                <w:sz w:val="18"/>
                <w:szCs w:val="18"/>
              </w:rPr>
              <w:t>238,475</w:t>
            </w:r>
          </w:p>
        </w:tc>
        <w:tc>
          <w:tcPr>
            <w:tcW w:w="1304" w:type="dxa"/>
          </w:tcPr>
          <w:p w14:paraId="55EC9584" w14:textId="77777777" w:rsidR="00B02873" w:rsidRPr="0012319F" w:rsidRDefault="00B02873" w:rsidP="0012319F">
            <w:pPr>
              <w:pStyle w:val="TablebodyleftFinancialsTables"/>
              <w:jc w:val="right"/>
              <w:rPr>
                <w:rFonts w:asciiTheme="minorHAnsi" w:hAnsiTheme="minorHAnsi" w:cstheme="minorHAnsi"/>
                <w:b/>
                <w:bCs/>
                <w:sz w:val="18"/>
                <w:szCs w:val="18"/>
              </w:rPr>
            </w:pPr>
            <w:r w:rsidRPr="0012319F">
              <w:rPr>
                <w:rFonts w:asciiTheme="minorHAnsi" w:hAnsiTheme="minorHAnsi" w:cstheme="minorHAnsi"/>
                <w:b/>
                <w:bCs/>
                <w:sz w:val="18"/>
                <w:szCs w:val="18"/>
              </w:rPr>
              <w:t>–</w:t>
            </w:r>
          </w:p>
        </w:tc>
        <w:tc>
          <w:tcPr>
            <w:tcW w:w="1189" w:type="dxa"/>
          </w:tcPr>
          <w:p w14:paraId="7030DF43" w14:textId="77777777" w:rsidR="00B02873" w:rsidRPr="0012319F" w:rsidRDefault="00B02873" w:rsidP="0012319F">
            <w:pPr>
              <w:pStyle w:val="TablebodyleftFinancialsTables"/>
              <w:jc w:val="right"/>
              <w:rPr>
                <w:rFonts w:asciiTheme="minorHAnsi" w:hAnsiTheme="minorHAnsi" w:cstheme="minorHAnsi"/>
                <w:b/>
                <w:bCs/>
                <w:sz w:val="18"/>
                <w:szCs w:val="18"/>
              </w:rPr>
            </w:pPr>
            <w:r w:rsidRPr="0012319F">
              <w:rPr>
                <w:rFonts w:asciiTheme="minorHAnsi" w:hAnsiTheme="minorHAnsi" w:cstheme="minorHAnsi"/>
                <w:b/>
                <w:bCs/>
                <w:sz w:val="18"/>
                <w:szCs w:val="18"/>
              </w:rPr>
              <w:t>48,500</w:t>
            </w:r>
          </w:p>
        </w:tc>
        <w:tc>
          <w:tcPr>
            <w:tcW w:w="1204" w:type="dxa"/>
          </w:tcPr>
          <w:p w14:paraId="1DF20647" w14:textId="77777777" w:rsidR="00B02873" w:rsidRPr="0012319F" w:rsidRDefault="00B02873" w:rsidP="0012319F">
            <w:pPr>
              <w:pStyle w:val="TablebodyleftFinancialsTables"/>
              <w:jc w:val="right"/>
              <w:rPr>
                <w:rFonts w:asciiTheme="minorHAnsi" w:hAnsiTheme="minorHAnsi" w:cstheme="minorHAnsi"/>
                <w:b/>
                <w:bCs/>
                <w:sz w:val="18"/>
                <w:szCs w:val="18"/>
              </w:rPr>
            </w:pPr>
            <w:r w:rsidRPr="0012319F">
              <w:rPr>
                <w:rFonts w:asciiTheme="minorHAnsi" w:hAnsiTheme="minorHAnsi" w:cstheme="minorHAnsi"/>
                <w:b/>
                <w:bCs/>
                <w:sz w:val="18"/>
                <w:szCs w:val="18"/>
              </w:rPr>
              <w:t>(27,150)</w:t>
            </w:r>
          </w:p>
        </w:tc>
        <w:tc>
          <w:tcPr>
            <w:tcW w:w="1155" w:type="dxa"/>
          </w:tcPr>
          <w:p w14:paraId="68E78BDC" w14:textId="77777777" w:rsidR="00B02873" w:rsidRPr="0012319F" w:rsidRDefault="00B02873" w:rsidP="0012319F">
            <w:pPr>
              <w:pStyle w:val="TablebodyleftFinancialsTables"/>
              <w:jc w:val="right"/>
              <w:rPr>
                <w:rFonts w:asciiTheme="minorHAnsi" w:hAnsiTheme="minorHAnsi" w:cstheme="minorHAnsi"/>
                <w:b/>
                <w:bCs/>
                <w:sz w:val="18"/>
                <w:szCs w:val="18"/>
              </w:rPr>
            </w:pPr>
            <w:r w:rsidRPr="0012319F">
              <w:rPr>
                <w:rFonts w:asciiTheme="minorHAnsi" w:hAnsiTheme="minorHAnsi" w:cstheme="minorHAnsi"/>
                <w:b/>
                <w:bCs/>
                <w:sz w:val="18"/>
                <w:szCs w:val="18"/>
              </w:rPr>
              <w:t>2,446</w:t>
            </w:r>
          </w:p>
        </w:tc>
        <w:tc>
          <w:tcPr>
            <w:tcW w:w="1182" w:type="dxa"/>
          </w:tcPr>
          <w:p w14:paraId="15ED6E5C" w14:textId="77777777" w:rsidR="00B02873" w:rsidRPr="0012319F" w:rsidRDefault="00B02873" w:rsidP="0012319F">
            <w:pPr>
              <w:pStyle w:val="TablebodyleftFinancialsTables"/>
              <w:jc w:val="right"/>
              <w:rPr>
                <w:rFonts w:asciiTheme="minorHAnsi" w:hAnsiTheme="minorHAnsi" w:cstheme="minorHAnsi"/>
                <w:b/>
                <w:bCs/>
                <w:sz w:val="18"/>
                <w:szCs w:val="18"/>
              </w:rPr>
            </w:pPr>
            <w:r w:rsidRPr="0012319F">
              <w:rPr>
                <w:rFonts w:asciiTheme="minorHAnsi" w:hAnsiTheme="minorHAnsi" w:cstheme="minorHAnsi"/>
                <w:b/>
                <w:bCs/>
                <w:sz w:val="18"/>
                <w:szCs w:val="18"/>
              </w:rPr>
              <w:t>–</w:t>
            </w:r>
          </w:p>
        </w:tc>
        <w:tc>
          <w:tcPr>
            <w:tcW w:w="1299" w:type="dxa"/>
          </w:tcPr>
          <w:p w14:paraId="50AF876D" w14:textId="77777777" w:rsidR="00B02873" w:rsidRPr="0012319F" w:rsidRDefault="00B02873" w:rsidP="0012319F">
            <w:pPr>
              <w:pStyle w:val="TablebodyleftFinancialsTables"/>
              <w:jc w:val="right"/>
              <w:rPr>
                <w:rFonts w:asciiTheme="minorHAnsi" w:hAnsiTheme="minorHAnsi" w:cstheme="minorHAnsi"/>
                <w:b/>
                <w:bCs/>
                <w:sz w:val="18"/>
                <w:szCs w:val="18"/>
              </w:rPr>
            </w:pPr>
            <w:r w:rsidRPr="0012319F">
              <w:rPr>
                <w:rFonts w:asciiTheme="minorHAnsi" w:hAnsiTheme="minorHAnsi" w:cstheme="minorHAnsi"/>
                <w:b/>
                <w:bCs/>
                <w:sz w:val="18"/>
                <w:szCs w:val="18"/>
              </w:rPr>
              <w:t>262,271</w:t>
            </w:r>
          </w:p>
        </w:tc>
        <w:tc>
          <w:tcPr>
            <w:tcW w:w="1305" w:type="dxa"/>
          </w:tcPr>
          <w:p w14:paraId="78EB4FCA" w14:textId="77777777" w:rsidR="00B02873" w:rsidRPr="0012319F" w:rsidRDefault="00B02873" w:rsidP="0012319F">
            <w:pPr>
              <w:pStyle w:val="TablebodyleftFinancialsTables"/>
              <w:jc w:val="right"/>
              <w:rPr>
                <w:rFonts w:asciiTheme="minorHAnsi" w:hAnsiTheme="minorHAnsi" w:cstheme="minorHAnsi"/>
                <w:b/>
                <w:bCs/>
                <w:sz w:val="18"/>
                <w:szCs w:val="18"/>
              </w:rPr>
            </w:pPr>
            <w:r w:rsidRPr="0012319F">
              <w:rPr>
                <w:rFonts w:asciiTheme="minorHAnsi" w:hAnsiTheme="minorHAnsi" w:cstheme="minorHAnsi"/>
                <w:b/>
                <w:bCs/>
                <w:sz w:val="18"/>
                <w:szCs w:val="18"/>
              </w:rPr>
              <w:t>244,492</w:t>
            </w:r>
          </w:p>
        </w:tc>
        <w:tc>
          <w:tcPr>
            <w:tcW w:w="895" w:type="dxa"/>
          </w:tcPr>
          <w:p w14:paraId="7660E780" w14:textId="77777777" w:rsidR="00B02873" w:rsidRPr="0012319F" w:rsidRDefault="00B02873" w:rsidP="0012319F">
            <w:pPr>
              <w:pStyle w:val="TablebodyleftFinancialsTables"/>
              <w:jc w:val="right"/>
              <w:rPr>
                <w:rFonts w:asciiTheme="minorHAnsi" w:hAnsiTheme="minorHAnsi" w:cstheme="minorHAnsi"/>
                <w:b/>
                <w:bCs/>
                <w:sz w:val="18"/>
                <w:szCs w:val="18"/>
              </w:rPr>
            </w:pPr>
            <w:r w:rsidRPr="0012319F">
              <w:rPr>
                <w:rFonts w:asciiTheme="minorHAnsi" w:hAnsiTheme="minorHAnsi" w:cstheme="minorHAnsi"/>
                <w:b/>
                <w:bCs/>
                <w:sz w:val="18"/>
                <w:szCs w:val="18"/>
              </w:rPr>
              <w:t>17,779</w:t>
            </w:r>
          </w:p>
        </w:tc>
      </w:tr>
      <w:tr w:rsidR="002C7839" w:rsidRPr="00202C3F" w14:paraId="73E33D52" w14:textId="77777777" w:rsidTr="002C7839">
        <w:tc>
          <w:tcPr>
            <w:tcW w:w="4248" w:type="dxa"/>
          </w:tcPr>
          <w:p w14:paraId="0EB50986" w14:textId="77777777" w:rsidR="00B02873" w:rsidRPr="0012319F" w:rsidRDefault="00B02873" w:rsidP="00202C3F">
            <w:pPr>
              <w:pStyle w:val="TablebodyleftFinancialsTables"/>
              <w:rPr>
                <w:rFonts w:asciiTheme="minorHAnsi" w:hAnsiTheme="minorHAnsi" w:cstheme="minorHAnsi"/>
                <w:b/>
                <w:bCs/>
                <w:sz w:val="18"/>
                <w:szCs w:val="18"/>
              </w:rPr>
            </w:pPr>
            <w:r w:rsidRPr="0012319F">
              <w:rPr>
                <w:rFonts w:asciiTheme="minorHAnsi" w:hAnsiTheme="minorHAnsi" w:cstheme="minorHAnsi"/>
                <w:b/>
                <w:bCs/>
                <w:sz w:val="18"/>
                <w:szCs w:val="18"/>
              </w:rPr>
              <w:t>Administered</w:t>
            </w:r>
          </w:p>
        </w:tc>
        <w:tc>
          <w:tcPr>
            <w:tcW w:w="1305" w:type="dxa"/>
          </w:tcPr>
          <w:p w14:paraId="523B2222" w14:textId="77777777" w:rsidR="00B02873" w:rsidRPr="0012319F" w:rsidRDefault="00B02873" w:rsidP="0012319F">
            <w:pPr>
              <w:pStyle w:val="TablebodyleftFinancialsTables"/>
              <w:jc w:val="right"/>
              <w:rPr>
                <w:rFonts w:asciiTheme="minorHAnsi" w:hAnsiTheme="minorHAnsi" w:cstheme="minorHAnsi"/>
                <w:b/>
                <w:bCs/>
                <w:sz w:val="18"/>
                <w:szCs w:val="18"/>
              </w:rPr>
            </w:pPr>
          </w:p>
        </w:tc>
        <w:tc>
          <w:tcPr>
            <w:tcW w:w="1304" w:type="dxa"/>
          </w:tcPr>
          <w:p w14:paraId="419964FE" w14:textId="77777777" w:rsidR="00B02873" w:rsidRPr="0012319F" w:rsidRDefault="00B02873" w:rsidP="0012319F">
            <w:pPr>
              <w:pStyle w:val="TablebodyleftFinancialsTables"/>
              <w:jc w:val="right"/>
              <w:rPr>
                <w:rFonts w:asciiTheme="minorHAnsi" w:hAnsiTheme="minorHAnsi" w:cstheme="minorHAnsi"/>
                <w:b/>
                <w:bCs/>
                <w:sz w:val="18"/>
                <w:szCs w:val="18"/>
              </w:rPr>
            </w:pPr>
          </w:p>
        </w:tc>
        <w:tc>
          <w:tcPr>
            <w:tcW w:w="1189" w:type="dxa"/>
          </w:tcPr>
          <w:p w14:paraId="34C43AAB" w14:textId="77777777" w:rsidR="00B02873" w:rsidRPr="0012319F" w:rsidRDefault="00B02873" w:rsidP="0012319F">
            <w:pPr>
              <w:pStyle w:val="TablebodyleftFinancialsTables"/>
              <w:jc w:val="right"/>
              <w:rPr>
                <w:rFonts w:asciiTheme="minorHAnsi" w:hAnsiTheme="minorHAnsi" w:cstheme="minorHAnsi"/>
                <w:b/>
                <w:bCs/>
                <w:sz w:val="18"/>
                <w:szCs w:val="18"/>
              </w:rPr>
            </w:pPr>
          </w:p>
        </w:tc>
        <w:tc>
          <w:tcPr>
            <w:tcW w:w="1204" w:type="dxa"/>
          </w:tcPr>
          <w:p w14:paraId="670B7627" w14:textId="77777777" w:rsidR="00B02873" w:rsidRPr="0012319F" w:rsidRDefault="00B02873" w:rsidP="0012319F">
            <w:pPr>
              <w:pStyle w:val="TablebodyleftFinancialsTables"/>
              <w:jc w:val="right"/>
              <w:rPr>
                <w:rFonts w:asciiTheme="minorHAnsi" w:hAnsiTheme="minorHAnsi" w:cstheme="minorHAnsi"/>
                <w:b/>
                <w:bCs/>
                <w:sz w:val="18"/>
                <w:szCs w:val="18"/>
              </w:rPr>
            </w:pPr>
          </w:p>
        </w:tc>
        <w:tc>
          <w:tcPr>
            <w:tcW w:w="1155" w:type="dxa"/>
          </w:tcPr>
          <w:p w14:paraId="3DC0B3AC" w14:textId="77777777" w:rsidR="00B02873" w:rsidRPr="0012319F" w:rsidRDefault="00B02873" w:rsidP="0012319F">
            <w:pPr>
              <w:pStyle w:val="TablebodyleftFinancialsTables"/>
              <w:jc w:val="right"/>
              <w:rPr>
                <w:rFonts w:asciiTheme="minorHAnsi" w:hAnsiTheme="minorHAnsi" w:cstheme="minorHAnsi"/>
                <w:b/>
                <w:bCs/>
                <w:sz w:val="18"/>
                <w:szCs w:val="18"/>
              </w:rPr>
            </w:pPr>
          </w:p>
        </w:tc>
        <w:tc>
          <w:tcPr>
            <w:tcW w:w="1182" w:type="dxa"/>
          </w:tcPr>
          <w:p w14:paraId="24B9B0D7" w14:textId="77777777" w:rsidR="00B02873" w:rsidRPr="0012319F" w:rsidRDefault="00B02873" w:rsidP="0012319F">
            <w:pPr>
              <w:pStyle w:val="TablebodyleftFinancialsTables"/>
              <w:jc w:val="right"/>
              <w:rPr>
                <w:rFonts w:asciiTheme="minorHAnsi" w:hAnsiTheme="minorHAnsi" w:cstheme="minorHAnsi"/>
                <w:b/>
                <w:bCs/>
                <w:sz w:val="18"/>
                <w:szCs w:val="18"/>
              </w:rPr>
            </w:pPr>
          </w:p>
        </w:tc>
        <w:tc>
          <w:tcPr>
            <w:tcW w:w="1299" w:type="dxa"/>
          </w:tcPr>
          <w:p w14:paraId="02C1FC67" w14:textId="77777777" w:rsidR="00B02873" w:rsidRPr="0012319F" w:rsidRDefault="00B02873" w:rsidP="0012319F">
            <w:pPr>
              <w:pStyle w:val="TablebodyleftFinancialsTables"/>
              <w:jc w:val="right"/>
              <w:rPr>
                <w:rFonts w:asciiTheme="minorHAnsi" w:hAnsiTheme="minorHAnsi" w:cstheme="minorHAnsi"/>
                <w:b/>
                <w:bCs/>
                <w:sz w:val="18"/>
                <w:szCs w:val="18"/>
              </w:rPr>
            </w:pPr>
          </w:p>
        </w:tc>
        <w:tc>
          <w:tcPr>
            <w:tcW w:w="1305" w:type="dxa"/>
          </w:tcPr>
          <w:p w14:paraId="66FCBC27" w14:textId="77777777" w:rsidR="00B02873" w:rsidRPr="0012319F" w:rsidRDefault="00B02873" w:rsidP="0012319F">
            <w:pPr>
              <w:pStyle w:val="TablebodyleftFinancialsTables"/>
              <w:jc w:val="right"/>
              <w:rPr>
                <w:rFonts w:asciiTheme="minorHAnsi" w:hAnsiTheme="minorHAnsi" w:cstheme="minorHAnsi"/>
                <w:b/>
                <w:bCs/>
                <w:sz w:val="18"/>
                <w:szCs w:val="18"/>
              </w:rPr>
            </w:pPr>
          </w:p>
        </w:tc>
        <w:tc>
          <w:tcPr>
            <w:tcW w:w="895" w:type="dxa"/>
          </w:tcPr>
          <w:p w14:paraId="08CB21FB" w14:textId="77777777" w:rsidR="00B02873" w:rsidRPr="0012319F" w:rsidRDefault="00B02873" w:rsidP="0012319F">
            <w:pPr>
              <w:pStyle w:val="TablebodyleftFinancialsTables"/>
              <w:jc w:val="right"/>
              <w:rPr>
                <w:rFonts w:asciiTheme="minorHAnsi" w:hAnsiTheme="minorHAnsi" w:cstheme="minorHAnsi"/>
                <w:b/>
                <w:bCs/>
                <w:sz w:val="18"/>
                <w:szCs w:val="18"/>
              </w:rPr>
            </w:pPr>
          </w:p>
        </w:tc>
      </w:tr>
      <w:tr w:rsidR="00B02873" w:rsidRPr="00202C3F" w14:paraId="1E4B6126" w14:textId="77777777" w:rsidTr="002C7839">
        <w:tc>
          <w:tcPr>
            <w:tcW w:w="4248" w:type="dxa"/>
          </w:tcPr>
          <w:p w14:paraId="6FB47A42" w14:textId="77777777" w:rsidR="00B02873" w:rsidRPr="00202C3F" w:rsidRDefault="00B02873" w:rsidP="00202C3F">
            <w:pPr>
              <w:pStyle w:val="TablebodyleftFinancialsTables"/>
              <w:rPr>
                <w:rFonts w:asciiTheme="minorHAnsi" w:hAnsiTheme="minorHAnsi" w:cstheme="minorHAnsi"/>
                <w:sz w:val="18"/>
                <w:szCs w:val="18"/>
              </w:rPr>
            </w:pPr>
            <w:r w:rsidRPr="00202C3F">
              <w:rPr>
                <w:rFonts w:asciiTheme="minorHAnsi" w:hAnsiTheme="minorHAnsi" w:cstheme="minorHAnsi"/>
                <w:sz w:val="18"/>
                <w:szCs w:val="18"/>
              </w:rPr>
              <w:t xml:space="preserve">Payments made on behalf of the state (POBOS) </w:t>
            </w:r>
            <w:r w:rsidRPr="00202C3F">
              <w:rPr>
                <w:rFonts w:asciiTheme="minorHAnsi" w:hAnsiTheme="minorHAnsi" w:cstheme="minorHAnsi"/>
                <w:sz w:val="18"/>
                <w:szCs w:val="18"/>
                <w:vertAlign w:val="superscript"/>
              </w:rPr>
              <w:t>(iii)</w:t>
            </w:r>
          </w:p>
        </w:tc>
        <w:tc>
          <w:tcPr>
            <w:tcW w:w="1305" w:type="dxa"/>
          </w:tcPr>
          <w:p w14:paraId="79C31F66" w14:textId="77777777" w:rsidR="00B02873" w:rsidRPr="0012319F" w:rsidRDefault="00B02873" w:rsidP="0012319F">
            <w:pPr>
              <w:pStyle w:val="TablebodyleftFinancialsTables"/>
              <w:jc w:val="right"/>
              <w:rPr>
                <w:rFonts w:asciiTheme="minorHAnsi" w:hAnsiTheme="minorHAnsi" w:cstheme="minorHAnsi"/>
                <w:b/>
                <w:bCs/>
                <w:sz w:val="18"/>
                <w:szCs w:val="18"/>
              </w:rPr>
            </w:pPr>
            <w:r w:rsidRPr="0012319F">
              <w:rPr>
                <w:rFonts w:asciiTheme="minorHAnsi" w:hAnsiTheme="minorHAnsi" w:cstheme="minorHAnsi"/>
                <w:b/>
                <w:bCs/>
                <w:sz w:val="18"/>
                <w:szCs w:val="18"/>
              </w:rPr>
              <w:t>662,426</w:t>
            </w:r>
          </w:p>
        </w:tc>
        <w:tc>
          <w:tcPr>
            <w:tcW w:w="1304" w:type="dxa"/>
          </w:tcPr>
          <w:p w14:paraId="4D987BC6" w14:textId="77777777" w:rsidR="00B02873" w:rsidRPr="0012319F" w:rsidRDefault="00B02873" w:rsidP="0012319F">
            <w:pPr>
              <w:pStyle w:val="TablebodyleftFinancialsTables"/>
              <w:jc w:val="right"/>
              <w:rPr>
                <w:rFonts w:asciiTheme="minorHAnsi" w:hAnsiTheme="minorHAnsi" w:cstheme="minorHAnsi"/>
                <w:b/>
                <w:bCs/>
                <w:sz w:val="18"/>
                <w:szCs w:val="18"/>
              </w:rPr>
            </w:pPr>
            <w:r w:rsidRPr="0012319F">
              <w:rPr>
                <w:rFonts w:asciiTheme="minorHAnsi" w:hAnsiTheme="minorHAnsi" w:cstheme="minorHAnsi"/>
                <w:b/>
                <w:bCs/>
                <w:sz w:val="18"/>
                <w:szCs w:val="18"/>
              </w:rPr>
              <w:t>–</w:t>
            </w:r>
          </w:p>
        </w:tc>
        <w:tc>
          <w:tcPr>
            <w:tcW w:w="1189" w:type="dxa"/>
          </w:tcPr>
          <w:p w14:paraId="6DD12E2C" w14:textId="77777777" w:rsidR="00B02873" w:rsidRPr="0012319F" w:rsidRDefault="00B02873" w:rsidP="0012319F">
            <w:pPr>
              <w:pStyle w:val="TablebodyleftFinancialsTables"/>
              <w:jc w:val="right"/>
              <w:rPr>
                <w:rFonts w:asciiTheme="minorHAnsi" w:hAnsiTheme="minorHAnsi" w:cstheme="minorHAnsi"/>
                <w:b/>
                <w:bCs/>
                <w:sz w:val="18"/>
                <w:szCs w:val="18"/>
              </w:rPr>
            </w:pPr>
            <w:r w:rsidRPr="0012319F">
              <w:rPr>
                <w:rFonts w:asciiTheme="minorHAnsi" w:hAnsiTheme="minorHAnsi" w:cstheme="minorHAnsi"/>
                <w:b/>
                <w:bCs/>
                <w:sz w:val="18"/>
                <w:szCs w:val="18"/>
              </w:rPr>
              <w:t>–</w:t>
            </w:r>
          </w:p>
        </w:tc>
        <w:tc>
          <w:tcPr>
            <w:tcW w:w="1204" w:type="dxa"/>
          </w:tcPr>
          <w:p w14:paraId="0CE5469F" w14:textId="77777777" w:rsidR="00B02873" w:rsidRPr="0012319F" w:rsidRDefault="00B02873" w:rsidP="0012319F">
            <w:pPr>
              <w:pStyle w:val="TablebodyleftFinancialsTables"/>
              <w:jc w:val="right"/>
              <w:rPr>
                <w:rFonts w:asciiTheme="minorHAnsi" w:hAnsiTheme="minorHAnsi" w:cstheme="minorHAnsi"/>
                <w:b/>
                <w:bCs/>
                <w:sz w:val="18"/>
                <w:szCs w:val="18"/>
              </w:rPr>
            </w:pPr>
            <w:r w:rsidRPr="0012319F">
              <w:rPr>
                <w:rFonts w:asciiTheme="minorHAnsi" w:hAnsiTheme="minorHAnsi" w:cstheme="minorHAnsi"/>
                <w:b/>
                <w:bCs/>
                <w:sz w:val="18"/>
                <w:szCs w:val="18"/>
              </w:rPr>
              <w:t>2,542</w:t>
            </w:r>
          </w:p>
        </w:tc>
        <w:tc>
          <w:tcPr>
            <w:tcW w:w="1155" w:type="dxa"/>
          </w:tcPr>
          <w:p w14:paraId="52D30652" w14:textId="77777777" w:rsidR="00B02873" w:rsidRPr="0012319F" w:rsidRDefault="00B02873" w:rsidP="0012319F">
            <w:pPr>
              <w:pStyle w:val="TablebodyleftFinancialsTables"/>
              <w:jc w:val="right"/>
              <w:rPr>
                <w:rFonts w:asciiTheme="minorHAnsi" w:hAnsiTheme="minorHAnsi" w:cstheme="minorHAnsi"/>
                <w:b/>
                <w:bCs/>
                <w:sz w:val="18"/>
                <w:szCs w:val="18"/>
              </w:rPr>
            </w:pPr>
            <w:r w:rsidRPr="0012319F">
              <w:rPr>
                <w:rFonts w:asciiTheme="minorHAnsi" w:hAnsiTheme="minorHAnsi" w:cstheme="minorHAnsi"/>
                <w:b/>
                <w:bCs/>
                <w:sz w:val="18"/>
                <w:szCs w:val="18"/>
              </w:rPr>
              <w:t>–</w:t>
            </w:r>
          </w:p>
        </w:tc>
        <w:tc>
          <w:tcPr>
            <w:tcW w:w="1182" w:type="dxa"/>
          </w:tcPr>
          <w:p w14:paraId="04A6595A" w14:textId="77777777" w:rsidR="00B02873" w:rsidRPr="0012319F" w:rsidRDefault="00B02873" w:rsidP="0012319F">
            <w:pPr>
              <w:pStyle w:val="TablebodyleftFinancialsTables"/>
              <w:jc w:val="right"/>
              <w:rPr>
                <w:rFonts w:asciiTheme="minorHAnsi" w:hAnsiTheme="minorHAnsi" w:cstheme="minorHAnsi"/>
                <w:b/>
                <w:bCs/>
                <w:sz w:val="18"/>
                <w:szCs w:val="18"/>
              </w:rPr>
            </w:pPr>
            <w:r w:rsidRPr="0012319F">
              <w:rPr>
                <w:rFonts w:asciiTheme="minorHAnsi" w:hAnsiTheme="minorHAnsi" w:cstheme="minorHAnsi"/>
                <w:b/>
                <w:bCs/>
                <w:sz w:val="18"/>
                <w:szCs w:val="18"/>
              </w:rPr>
              <w:t>–</w:t>
            </w:r>
          </w:p>
        </w:tc>
        <w:tc>
          <w:tcPr>
            <w:tcW w:w="1299" w:type="dxa"/>
          </w:tcPr>
          <w:p w14:paraId="7CBE71D6" w14:textId="77777777" w:rsidR="00B02873" w:rsidRPr="0012319F" w:rsidRDefault="00B02873" w:rsidP="0012319F">
            <w:pPr>
              <w:pStyle w:val="TablebodyleftFinancialsTables"/>
              <w:jc w:val="right"/>
              <w:rPr>
                <w:rFonts w:asciiTheme="minorHAnsi" w:hAnsiTheme="minorHAnsi" w:cstheme="minorHAnsi"/>
                <w:b/>
                <w:bCs/>
                <w:sz w:val="18"/>
                <w:szCs w:val="18"/>
              </w:rPr>
            </w:pPr>
            <w:r w:rsidRPr="0012319F">
              <w:rPr>
                <w:rFonts w:asciiTheme="minorHAnsi" w:hAnsiTheme="minorHAnsi" w:cstheme="minorHAnsi"/>
                <w:b/>
                <w:bCs/>
                <w:sz w:val="18"/>
                <w:szCs w:val="18"/>
              </w:rPr>
              <w:t>664,968</w:t>
            </w:r>
          </w:p>
        </w:tc>
        <w:tc>
          <w:tcPr>
            <w:tcW w:w="1305" w:type="dxa"/>
          </w:tcPr>
          <w:p w14:paraId="31221C06" w14:textId="77777777" w:rsidR="00B02873" w:rsidRPr="0012319F" w:rsidRDefault="00B02873" w:rsidP="0012319F">
            <w:pPr>
              <w:pStyle w:val="TablebodyleftFinancialsTables"/>
              <w:jc w:val="right"/>
              <w:rPr>
                <w:rFonts w:asciiTheme="minorHAnsi" w:hAnsiTheme="minorHAnsi" w:cstheme="minorHAnsi"/>
                <w:b/>
                <w:bCs/>
                <w:sz w:val="18"/>
                <w:szCs w:val="18"/>
              </w:rPr>
            </w:pPr>
            <w:r w:rsidRPr="0012319F">
              <w:rPr>
                <w:rFonts w:asciiTheme="minorHAnsi" w:hAnsiTheme="minorHAnsi" w:cstheme="minorHAnsi"/>
                <w:b/>
                <w:bCs/>
                <w:sz w:val="18"/>
                <w:szCs w:val="18"/>
              </w:rPr>
              <w:t>648,174</w:t>
            </w:r>
          </w:p>
        </w:tc>
        <w:tc>
          <w:tcPr>
            <w:tcW w:w="895" w:type="dxa"/>
          </w:tcPr>
          <w:p w14:paraId="0499E0A2" w14:textId="77777777" w:rsidR="00B02873" w:rsidRPr="0012319F" w:rsidRDefault="00B02873" w:rsidP="0012319F">
            <w:pPr>
              <w:pStyle w:val="TablebodyleftFinancialsTables"/>
              <w:jc w:val="right"/>
              <w:rPr>
                <w:rFonts w:asciiTheme="minorHAnsi" w:hAnsiTheme="minorHAnsi" w:cstheme="minorHAnsi"/>
                <w:b/>
                <w:bCs/>
                <w:sz w:val="18"/>
                <w:szCs w:val="18"/>
              </w:rPr>
            </w:pPr>
            <w:r w:rsidRPr="0012319F">
              <w:rPr>
                <w:rFonts w:asciiTheme="minorHAnsi" w:hAnsiTheme="minorHAnsi" w:cstheme="minorHAnsi"/>
                <w:b/>
                <w:bCs/>
                <w:sz w:val="18"/>
                <w:szCs w:val="18"/>
              </w:rPr>
              <w:t>16,794</w:t>
            </w:r>
          </w:p>
        </w:tc>
      </w:tr>
      <w:tr w:rsidR="00B02873" w:rsidRPr="00202C3F" w14:paraId="56A83249" w14:textId="77777777" w:rsidTr="002C7839">
        <w:tc>
          <w:tcPr>
            <w:tcW w:w="4248" w:type="dxa"/>
          </w:tcPr>
          <w:p w14:paraId="4CDAAE6B" w14:textId="77777777" w:rsidR="00B02873" w:rsidRPr="00202C3F" w:rsidRDefault="00B02873" w:rsidP="00202C3F">
            <w:pPr>
              <w:pStyle w:val="TablebodyleftFinancialsTables"/>
              <w:rPr>
                <w:rFonts w:asciiTheme="minorHAnsi" w:hAnsiTheme="minorHAnsi" w:cstheme="minorHAnsi"/>
                <w:sz w:val="18"/>
                <w:szCs w:val="18"/>
              </w:rPr>
            </w:pPr>
            <w:r w:rsidRPr="00202C3F">
              <w:rPr>
                <w:rFonts w:asciiTheme="minorHAnsi" w:hAnsiTheme="minorHAnsi" w:cstheme="minorHAnsi"/>
                <w:sz w:val="18"/>
                <w:szCs w:val="18"/>
              </w:rPr>
              <w:t xml:space="preserve">POBOS – state contribution under the </w:t>
            </w:r>
            <w:r w:rsidRPr="00202C3F">
              <w:rPr>
                <w:rStyle w:val="LightItalic"/>
                <w:rFonts w:asciiTheme="minorHAnsi" w:hAnsiTheme="minorHAnsi" w:cstheme="minorHAnsi"/>
                <w:sz w:val="18"/>
                <w:szCs w:val="18"/>
              </w:rPr>
              <w:t>Murray Darling Basin Act 1993</w:t>
            </w:r>
          </w:p>
        </w:tc>
        <w:tc>
          <w:tcPr>
            <w:tcW w:w="1305" w:type="dxa"/>
          </w:tcPr>
          <w:p w14:paraId="7C6220E0" w14:textId="77777777" w:rsidR="00B02873" w:rsidRPr="0012319F" w:rsidRDefault="00B02873" w:rsidP="0012319F">
            <w:pPr>
              <w:pStyle w:val="TablebodyleftFinancialsTables"/>
              <w:jc w:val="right"/>
              <w:rPr>
                <w:rFonts w:asciiTheme="minorHAnsi" w:hAnsiTheme="minorHAnsi" w:cstheme="minorHAnsi"/>
                <w:b/>
                <w:bCs/>
                <w:sz w:val="18"/>
                <w:szCs w:val="18"/>
              </w:rPr>
            </w:pPr>
            <w:r w:rsidRPr="0012319F">
              <w:rPr>
                <w:rFonts w:asciiTheme="minorHAnsi" w:hAnsiTheme="minorHAnsi" w:cstheme="minorHAnsi"/>
                <w:b/>
                <w:bCs/>
                <w:sz w:val="18"/>
                <w:szCs w:val="18"/>
              </w:rPr>
              <w:t>21,800</w:t>
            </w:r>
          </w:p>
        </w:tc>
        <w:tc>
          <w:tcPr>
            <w:tcW w:w="1304" w:type="dxa"/>
          </w:tcPr>
          <w:p w14:paraId="5B9421B1" w14:textId="77777777" w:rsidR="00B02873" w:rsidRPr="0012319F" w:rsidRDefault="00B02873" w:rsidP="0012319F">
            <w:pPr>
              <w:pStyle w:val="TablebodyleftFinancialsTables"/>
              <w:jc w:val="right"/>
              <w:rPr>
                <w:rFonts w:asciiTheme="minorHAnsi" w:hAnsiTheme="minorHAnsi" w:cstheme="minorHAnsi"/>
                <w:b/>
                <w:bCs/>
                <w:sz w:val="18"/>
                <w:szCs w:val="18"/>
              </w:rPr>
            </w:pPr>
            <w:r w:rsidRPr="0012319F">
              <w:rPr>
                <w:rFonts w:asciiTheme="minorHAnsi" w:hAnsiTheme="minorHAnsi" w:cstheme="minorHAnsi"/>
                <w:b/>
                <w:bCs/>
                <w:sz w:val="18"/>
                <w:szCs w:val="18"/>
              </w:rPr>
              <w:t>–</w:t>
            </w:r>
          </w:p>
        </w:tc>
        <w:tc>
          <w:tcPr>
            <w:tcW w:w="1189" w:type="dxa"/>
          </w:tcPr>
          <w:p w14:paraId="5CDD67EE" w14:textId="77777777" w:rsidR="00B02873" w:rsidRPr="0012319F" w:rsidRDefault="00B02873" w:rsidP="0012319F">
            <w:pPr>
              <w:pStyle w:val="TablebodyleftFinancialsTables"/>
              <w:jc w:val="right"/>
              <w:rPr>
                <w:rFonts w:asciiTheme="minorHAnsi" w:hAnsiTheme="minorHAnsi" w:cstheme="minorHAnsi"/>
                <w:b/>
                <w:bCs/>
                <w:sz w:val="18"/>
                <w:szCs w:val="18"/>
              </w:rPr>
            </w:pPr>
            <w:r w:rsidRPr="0012319F">
              <w:rPr>
                <w:rFonts w:asciiTheme="minorHAnsi" w:hAnsiTheme="minorHAnsi" w:cstheme="minorHAnsi"/>
                <w:b/>
                <w:bCs/>
                <w:sz w:val="18"/>
                <w:szCs w:val="18"/>
              </w:rPr>
              <w:t>–</w:t>
            </w:r>
          </w:p>
        </w:tc>
        <w:tc>
          <w:tcPr>
            <w:tcW w:w="1204" w:type="dxa"/>
          </w:tcPr>
          <w:p w14:paraId="34E8ED21" w14:textId="77777777" w:rsidR="00B02873" w:rsidRPr="0012319F" w:rsidRDefault="00B02873" w:rsidP="0012319F">
            <w:pPr>
              <w:pStyle w:val="TablebodyleftFinancialsTables"/>
              <w:jc w:val="right"/>
              <w:rPr>
                <w:rFonts w:asciiTheme="minorHAnsi" w:hAnsiTheme="minorHAnsi" w:cstheme="minorHAnsi"/>
                <w:b/>
                <w:bCs/>
                <w:sz w:val="18"/>
                <w:szCs w:val="18"/>
              </w:rPr>
            </w:pPr>
            <w:r w:rsidRPr="0012319F">
              <w:rPr>
                <w:rFonts w:asciiTheme="minorHAnsi" w:hAnsiTheme="minorHAnsi" w:cstheme="minorHAnsi"/>
                <w:b/>
                <w:bCs/>
                <w:sz w:val="18"/>
                <w:szCs w:val="18"/>
              </w:rPr>
              <w:t>8,126</w:t>
            </w:r>
          </w:p>
        </w:tc>
        <w:tc>
          <w:tcPr>
            <w:tcW w:w="1155" w:type="dxa"/>
          </w:tcPr>
          <w:p w14:paraId="66DDD265" w14:textId="77777777" w:rsidR="00B02873" w:rsidRPr="0012319F" w:rsidRDefault="00B02873" w:rsidP="0012319F">
            <w:pPr>
              <w:pStyle w:val="TablebodyleftFinancialsTables"/>
              <w:jc w:val="right"/>
              <w:rPr>
                <w:rFonts w:asciiTheme="minorHAnsi" w:hAnsiTheme="minorHAnsi" w:cstheme="minorHAnsi"/>
                <w:b/>
                <w:bCs/>
                <w:sz w:val="18"/>
                <w:szCs w:val="18"/>
              </w:rPr>
            </w:pPr>
            <w:r w:rsidRPr="0012319F">
              <w:rPr>
                <w:rFonts w:asciiTheme="minorHAnsi" w:hAnsiTheme="minorHAnsi" w:cstheme="minorHAnsi"/>
                <w:b/>
                <w:bCs/>
                <w:sz w:val="18"/>
                <w:szCs w:val="18"/>
              </w:rPr>
              <w:t>–</w:t>
            </w:r>
          </w:p>
        </w:tc>
        <w:tc>
          <w:tcPr>
            <w:tcW w:w="1182" w:type="dxa"/>
          </w:tcPr>
          <w:p w14:paraId="66DD4A80" w14:textId="77777777" w:rsidR="00B02873" w:rsidRPr="0012319F" w:rsidRDefault="00B02873" w:rsidP="0012319F">
            <w:pPr>
              <w:pStyle w:val="TablebodyleftFinancialsTables"/>
              <w:jc w:val="right"/>
              <w:rPr>
                <w:rFonts w:asciiTheme="minorHAnsi" w:hAnsiTheme="minorHAnsi" w:cstheme="minorHAnsi"/>
                <w:b/>
                <w:bCs/>
                <w:sz w:val="18"/>
                <w:szCs w:val="18"/>
              </w:rPr>
            </w:pPr>
            <w:r w:rsidRPr="0012319F">
              <w:rPr>
                <w:rFonts w:asciiTheme="minorHAnsi" w:hAnsiTheme="minorHAnsi" w:cstheme="minorHAnsi"/>
                <w:b/>
                <w:bCs/>
                <w:sz w:val="18"/>
                <w:szCs w:val="18"/>
              </w:rPr>
              <w:t>–</w:t>
            </w:r>
          </w:p>
        </w:tc>
        <w:tc>
          <w:tcPr>
            <w:tcW w:w="1299" w:type="dxa"/>
          </w:tcPr>
          <w:p w14:paraId="527FFA39" w14:textId="77777777" w:rsidR="00B02873" w:rsidRPr="0012319F" w:rsidRDefault="00B02873" w:rsidP="0012319F">
            <w:pPr>
              <w:pStyle w:val="TablebodyleftFinancialsTables"/>
              <w:jc w:val="right"/>
              <w:rPr>
                <w:rFonts w:asciiTheme="minorHAnsi" w:hAnsiTheme="minorHAnsi" w:cstheme="minorHAnsi"/>
                <w:b/>
                <w:bCs/>
                <w:sz w:val="18"/>
                <w:szCs w:val="18"/>
              </w:rPr>
            </w:pPr>
            <w:r w:rsidRPr="0012319F">
              <w:rPr>
                <w:rFonts w:asciiTheme="minorHAnsi" w:hAnsiTheme="minorHAnsi" w:cstheme="minorHAnsi"/>
                <w:b/>
                <w:bCs/>
                <w:sz w:val="18"/>
                <w:szCs w:val="18"/>
              </w:rPr>
              <w:t>29,926</w:t>
            </w:r>
          </w:p>
        </w:tc>
        <w:tc>
          <w:tcPr>
            <w:tcW w:w="1305" w:type="dxa"/>
          </w:tcPr>
          <w:p w14:paraId="12AF41DD" w14:textId="77777777" w:rsidR="00B02873" w:rsidRPr="0012319F" w:rsidRDefault="00B02873" w:rsidP="0012319F">
            <w:pPr>
              <w:pStyle w:val="TablebodyleftFinancialsTables"/>
              <w:jc w:val="right"/>
              <w:rPr>
                <w:rFonts w:asciiTheme="minorHAnsi" w:hAnsiTheme="minorHAnsi" w:cstheme="minorHAnsi"/>
                <w:b/>
                <w:bCs/>
                <w:sz w:val="18"/>
                <w:szCs w:val="18"/>
              </w:rPr>
            </w:pPr>
            <w:r w:rsidRPr="0012319F">
              <w:rPr>
                <w:rFonts w:asciiTheme="minorHAnsi" w:hAnsiTheme="minorHAnsi" w:cstheme="minorHAnsi"/>
                <w:b/>
                <w:bCs/>
                <w:sz w:val="18"/>
                <w:szCs w:val="18"/>
              </w:rPr>
              <w:t>29,926</w:t>
            </w:r>
          </w:p>
        </w:tc>
        <w:tc>
          <w:tcPr>
            <w:tcW w:w="895" w:type="dxa"/>
          </w:tcPr>
          <w:p w14:paraId="687E7700" w14:textId="77777777" w:rsidR="00B02873" w:rsidRPr="0012319F" w:rsidRDefault="00B02873" w:rsidP="0012319F">
            <w:pPr>
              <w:pStyle w:val="TablebodyleftFinancialsTables"/>
              <w:jc w:val="right"/>
              <w:rPr>
                <w:rFonts w:asciiTheme="minorHAnsi" w:hAnsiTheme="minorHAnsi" w:cstheme="minorHAnsi"/>
                <w:b/>
                <w:bCs/>
                <w:sz w:val="18"/>
                <w:szCs w:val="18"/>
              </w:rPr>
            </w:pPr>
            <w:r w:rsidRPr="0012319F">
              <w:rPr>
                <w:rFonts w:asciiTheme="minorHAnsi" w:hAnsiTheme="minorHAnsi" w:cstheme="minorHAnsi"/>
                <w:b/>
                <w:bCs/>
                <w:sz w:val="18"/>
                <w:szCs w:val="18"/>
              </w:rPr>
              <w:t>–</w:t>
            </w:r>
          </w:p>
        </w:tc>
      </w:tr>
      <w:tr w:rsidR="00B02873" w:rsidRPr="00202C3F" w14:paraId="340C7903" w14:textId="77777777" w:rsidTr="002C7839">
        <w:tc>
          <w:tcPr>
            <w:tcW w:w="4248" w:type="dxa"/>
          </w:tcPr>
          <w:p w14:paraId="0D9DFAF5" w14:textId="77777777" w:rsidR="00B02873" w:rsidRPr="0012319F" w:rsidRDefault="00B02873" w:rsidP="00202C3F">
            <w:pPr>
              <w:pStyle w:val="TablebodyleftFinancialsTables"/>
              <w:rPr>
                <w:rFonts w:asciiTheme="minorHAnsi" w:hAnsiTheme="minorHAnsi" w:cstheme="minorHAnsi"/>
                <w:b/>
                <w:bCs/>
                <w:sz w:val="18"/>
                <w:szCs w:val="18"/>
              </w:rPr>
            </w:pPr>
            <w:r w:rsidRPr="0012319F">
              <w:rPr>
                <w:rFonts w:asciiTheme="minorHAnsi" w:hAnsiTheme="minorHAnsi" w:cstheme="minorHAnsi"/>
                <w:b/>
                <w:bCs/>
                <w:sz w:val="18"/>
                <w:szCs w:val="18"/>
              </w:rPr>
              <w:t>Total</w:t>
            </w:r>
          </w:p>
        </w:tc>
        <w:tc>
          <w:tcPr>
            <w:tcW w:w="1305" w:type="dxa"/>
          </w:tcPr>
          <w:p w14:paraId="00B133B8" w14:textId="77777777" w:rsidR="00B02873" w:rsidRPr="0012319F" w:rsidRDefault="00B02873" w:rsidP="0012319F">
            <w:pPr>
              <w:pStyle w:val="TablebodyleftFinancialsTables"/>
              <w:jc w:val="right"/>
              <w:rPr>
                <w:rFonts w:asciiTheme="minorHAnsi" w:hAnsiTheme="minorHAnsi" w:cstheme="minorHAnsi"/>
                <w:b/>
                <w:bCs/>
                <w:sz w:val="18"/>
                <w:szCs w:val="18"/>
              </w:rPr>
            </w:pPr>
            <w:r w:rsidRPr="0012319F">
              <w:rPr>
                <w:rFonts w:asciiTheme="minorHAnsi" w:hAnsiTheme="minorHAnsi" w:cstheme="minorHAnsi"/>
                <w:b/>
                <w:bCs/>
                <w:sz w:val="18"/>
                <w:szCs w:val="18"/>
              </w:rPr>
              <w:t>2,802,060</w:t>
            </w:r>
          </w:p>
        </w:tc>
        <w:tc>
          <w:tcPr>
            <w:tcW w:w="1304" w:type="dxa"/>
          </w:tcPr>
          <w:p w14:paraId="2919BB7D" w14:textId="77777777" w:rsidR="00B02873" w:rsidRPr="0012319F" w:rsidRDefault="00B02873" w:rsidP="0012319F">
            <w:pPr>
              <w:pStyle w:val="TablebodyleftFinancialsTables"/>
              <w:jc w:val="right"/>
              <w:rPr>
                <w:rFonts w:asciiTheme="minorHAnsi" w:hAnsiTheme="minorHAnsi" w:cstheme="minorHAnsi"/>
                <w:b/>
                <w:bCs/>
                <w:sz w:val="18"/>
                <w:szCs w:val="18"/>
              </w:rPr>
            </w:pPr>
            <w:r w:rsidRPr="0012319F">
              <w:rPr>
                <w:rFonts w:asciiTheme="minorHAnsi" w:hAnsiTheme="minorHAnsi" w:cstheme="minorHAnsi"/>
                <w:b/>
                <w:bCs/>
                <w:sz w:val="18"/>
                <w:szCs w:val="18"/>
              </w:rPr>
              <w:t>101,579</w:t>
            </w:r>
          </w:p>
        </w:tc>
        <w:tc>
          <w:tcPr>
            <w:tcW w:w="1189" w:type="dxa"/>
          </w:tcPr>
          <w:p w14:paraId="5B3A733E" w14:textId="77777777" w:rsidR="00B02873" w:rsidRPr="0012319F" w:rsidRDefault="00B02873" w:rsidP="0012319F">
            <w:pPr>
              <w:pStyle w:val="TablebodyleftFinancialsTables"/>
              <w:jc w:val="right"/>
              <w:rPr>
                <w:rFonts w:asciiTheme="minorHAnsi" w:hAnsiTheme="minorHAnsi" w:cstheme="minorHAnsi"/>
                <w:b/>
                <w:bCs/>
                <w:sz w:val="18"/>
                <w:szCs w:val="18"/>
              </w:rPr>
            </w:pPr>
            <w:r w:rsidRPr="0012319F">
              <w:rPr>
                <w:rFonts w:asciiTheme="minorHAnsi" w:hAnsiTheme="minorHAnsi" w:cstheme="minorHAnsi"/>
                <w:b/>
                <w:bCs/>
                <w:sz w:val="18"/>
                <w:szCs w:val="18"/>
              </w:rPr>
              <w:t>298,518</w:t>
            </w:r>
          </w:p>
        </w:tc>
        <w:tc>
          <w:tcPr>
            <w:tcW w:w="1204" w:type="dxa"/>
          </w:tcPr>
          <w:p w14:paraId="6C63E5C7" w14:textId="77777777" w:rsidR="00B02873" w:rsidRPr="0012319F" w:rsidRDefault="00B02873" w:rsidP="0012319F">
            <w:pPr>
              <w:pStyle w:val="TablebodyleftFinancialsTables"/>
              <w:jc w:val="right"/>
              <w:rPr>
                <w:rFonts w:asciiTheme="minorHAnsi" w:hAnsiTheme="minorHAnsi" w:cstheme="minorHAnsi"/>
                <w:b/>
                <w:bCs/>
                <w:sz w:val="18"/>
                <w:szCs w:val="18"/>
              </w:rPr>
            </w:pPr>
            <w:r w:rsidRPr="0012319F">
              <w:rPr>
                <w:rFonts w:asciiTheme="minorHAnsi" w:hAnsiTheme="minorHAnsi" w:cstheme="minorHAnsi"/>
                <w:b/>
                <w:bCs/>
                <w:sz w:val="18"/>
                <w:szCs w:val="18"/>
              </w:rPr>
              <w:t>–</w:t>
            </w:r>
          </w:p>
        </w:tc>
        <w:tc>
          <w:tcPr>
            <w:tcW w:w="1155" w:type="dxa"/>
          </w:tcPr>
          <w:p w14:paraId="4F72FA21" w14:textId="77777777" w:rsidR="00B02873" w:rsidRPr="0012319F" w:rsidRDefault="00B02873" w:rsidP="0012319F">
            <w:pPr>
              <w:pStyle w:val="TablebodyleftFinancialsTables"/>
              <w:jc w:val="right"/>
              <w:rPr>
                <w:rFonts w:asciiTheme="minorHAnsi" w:hAnsiTheme="minorHAnsi" w:cstheme="minorHAnsi"/>
                <w:b/>
                <w:bCs/>
                <w:sz w:val="18"/>
                <w:szCs w:val="18"/>
              </w:rPr>
            </w:pPr>
            <w:r w:rsidRPr="0012319F">
              <w:rPr>
                <w:rFonts w:asciiTheme="minorHAnsi" w:hAnsiTheme="minorHAnsi" w:cstheme="minorHAnsi"/>
                <w:b/>
                <w:bCs/>
                <w:sz w:val="18"/>
                <w:szCs w:val="18"/>
              </w:rPr>
              <w:t>53,122</w:t>
            </w:r>
          </w:p>
        </w:tc>
        <w:tc>
          <w:tcPr>
            <w:tcW w:w="1182" w:type="dxa"/>
          </w:tcPr>
          <w:p w14:paraId="08F2A121" w14:textId="77777777" w:rsidR="00B02873" w:rsidRPr="0012319F" w:rsidRDefault="00B02873" w:rsidP="0012319F">
            <w:pPr>
              <w:pStyle w:val="TablebodyleftFinancialsTables"/>
              <w:jc w:val="right"/>
              <w:rPr>
                <w:rFonts w:asciiTheme="minorHAnsi" w:hAnsiTheme="minorHAnsi" w:cstheme="minorHAnsi"/>
                <w:b/>
                <w:bCs/>
                <w:sz w:val="18"/>
                <w:szCs w:val="18"/>
              </w:rPr>
            </w:pPr>
            <w:r w:rsidRPr="0012319F">
              <w:rPr>
                <w:rFonts w:asciiTheme="minorHAnsi" w:hAnsiTheme="minorHAnsi" w:cstheme="minorHAnsi"/>
                <w:b/>
                <w:bCs/>
                <w:sz w:val="18"/>
                <w:szCs w:val="18"/>
              </w:rPr>
              <w:t>–</w:t>
            </w:r>
          </w:p>
        </w:tc>
        <w:tc>
          <w:tcPr>
            <w:tcW w:w="1299" w:type="dxa"/>
          </w:tcPr>
          <w:p w14:paraId="5F1C19FF" w14:textId="77777777" w:rsidR="00B02873" w:rsidRPr="0012319F" w:rsidRDefault="00B02873" w:rsidP="0012319F">
            <w:pPr>
              <w:pStyle w:val="TablebodyleftFinancialsTables"/>
              <w:jc w:val="right"/>
              <w:rPr>
                <w:rFonts w:asciiTheme="minorHAnsi" w:hAnsiTheme="minorHAnsi" w:cstheme="minorHAnsi"/>
                <w:b/>
                <w:bCs/>
                <w:sz w:val="18"/>
                <w:szCs w:val="18"/>
              </w:rPr>
            </w:pPr>
            <w:r w:rsidRPr="0012319F">
              <w:rPr>
                <w:rFonts w:asciiTheme="minorHAnsi" w:hAnsiTheme="minorHAnsi" w:cstheme="minorHAnsi"/>
                <w:b/>
                <w:bCs/>
                <w:sz w:val="18"/>
                <w:szCs w:val="18"/>
              </w:rPr>
              <w:t>3,255,279</w:t>
            </w:r>
          </w:p>
        </w:tc>
        <w:tc>
          <w:tcPr>
            <w:tcW w:w="1305" w:type="dxa"/>
          </w:tcPr>
          <w:p w14:paraId="541E2F84" w14:textId="77777777" w:rsidR="00B02873" w:rsidRPr="0012319F" w:rsidRDefault="00B02873" w:rsidP="0012319F">
            <w:pPr>
              <w:pStyle w:val="TablebodyleftFinancialsTables"/>
              <w:jc w:val="right"/>
              <w:rPr>
                <w:rFonts w:asciiTheme="minorHAnsi" w:hAnsiTheme="minorHAnsi" w:cstheme="minorHAnsi"/>
                <w:b/>
                <w:bCs/>
                <w:sz w:val="18"/>
                <w:szCs w:val="18"/>
              </w:rPr>
            </w:pPr>
            <w:r w:rsidRPr="0012319F">
              <w:rPr>
                <w:rFonts w:asciiTheme="minorHAnsi" w:hAnsiTheme="minorHAnsi" w:cstheme="minorHAnsi"/>
                <w:b/>
                <w:bCs/>
                <w:sz w:val="18"/>
                <w:szCs w:val="18"/>
              </w:rPr>
              <w:t>3,114,570</w:t>
            </w:r>
          </w:p>
        </w:tc>
        <w:tc>
          <w:tcPr>
            <w:tcW w:w="895" w:type="dxa"/>
          </w:tcPr>
          <w:p w14:paraId="2511B9AA" w14:textId="77777777" w:rsidR="00B02873" w:rsidRPr="0012319F" w:rsidRDefault="00B02873" w:rsidP="0012319F">
            <w:pPr>
              <w:pStyle w:val="TablebodyleftFinancialsTables"/>
              <w:jc w:val="right"/>
              <w:rPr>
                <w:rFonts w:asciiTheme="minorHAnsi" w:hAnsiTheme="minorHAnsi" w:cstheme="minorHAnsi"/>
                <w:b/>
                <w:bCs/>
                <w:sz w:val="18"/>
                <w:szCs w:val="18"/>
              </w:rPr>
            </w:pPr>
            <w:r w:rsidRPr="0012319F">
              <w:rPr>
                <w:rFonts w:asciiTheme="minorHAnsi" w:hAnsiTheme="minorHAnsi" w:cstheme="minorHAnsi"/>
                <w:b/>
                <w:bCs/>
                <w:sz w:val="18"/>
                <w:szCs w:val="18"/>
              </w:rPr>
              <w:t>140,709</w:t>
            </w:r>
          </w:p>
        </w:tc>
      </w:tr>
      <w:tr w:rsidR="002C7839" w:rsidRPr="00202C3F" w14:paraId="380CD049" w14:textId="77777777" w:rsidTr="002C7839">
        <w:tc>
          <w:tcPr>
            <w:tcW w:w="4248" w:type="dxa"/>
          </w:tcPr>
          <w:p w14:paraId="5D8B4227" w14:textId="77777777" w:rsidR="00B02873" w:rsidRPr="0012319F" w:rsidRDefault="00B02873" w:rsidP="00202C3F">
            <w:pPr>
              <w:pStyle w:val="TablebodyleftFinancialsTables"/>
              <w:rPr>
                <w:rFonts w:asciiTheme="minorHAnsi" w:hAnsiTheme="minorHAnsi" w:cstheme="minorHAnsi"/>
                <w:b/>
                <w:bCs/>
                <w:sz w:val="18"/>
                <w:szCs w:val="18"/>
              </w:rPr>
            </w:pPr>
            <w:r w:rsidRPr="0012319F">
              <w:rPr>
                <w:rFonts w:asciiTheme="minorHAnsi" w:hAnsiTheme="minorHAnsi" w:cstheme="minorHAnsi"/>
                <w:b/>
                <w:bCs/>
                <w:sz w:val="18"/>
                <w:szCs w:val="18"/>
              </w:rPr>
              <w:t>2021</w:t>
            </w:r>
          </w:p>
        </w:tc>
        <w:tc>
          <w:tcPr>
            <w:tcW w:w="1305" w:type="dxa"/>
          </w:tcPr>
          <w:p w14:paraId="4275B8BF" w14:textId="77777777" w:rsidR="00B02873" w:rsidRPr="00202C3F" w:rsidRDefault="00B02873" w:rsidP="0012319F">
            <w:pPr>
              <w:pStyle w:val="TablebodyleftFinancialsTables"/>
              <w:jc w:val="right"/>
              <w:rPr>
                <w:rFonts w:asciiTheme="minorHAnsi" w:hAnsiTheme="minorHAnsi" w:cstheme="minorHAnsi"/>
                <w:sz w:val="18"/>
                <w:szCs w:val="18"/>
              </w:rPr>
            </w:pPr>
          </w:p>
        </w:tc>
        <w:tc>
          <w:tcPr>
            <w:tcW w:w="1304" w:type="dxa"/>
          </w:tcPr>
          <w:p w14:paraId="393D446A" w14:textId="77777777" w:rsidR="00B02873" w:rsidRPr="00202C3F" w:rsidRDefault="00B02873" w:rsidP="0012319F">
            <w:pPr>
              <w:pStyle w:val="TablebodyleftFinancialsTables"/>
              <w:jc w:val="right"/>
              <w:rPr>
                <w:rFonts w:asciiTheme="minorHAnsi" w:hAnsiTheme="minorHAnsi" w:cstheme="minorHAnsi"/>
                <w:sz w:val="18"/>
                <w:szCs w:val="18"/>
              </w:rPr>
            </w:pPr>
          </w:p>
        </w:tc>
        <w:tc>
          <w:tcPr>
            <w:tcW w:w="1189" w:type="dxa"/>
          </w:tcPr>
          <w:p w14:paraId="7E7665DA" w14:textId="77777777" w:rsidR="00B02873" w:rsidRPr="00202C3F" w:rsidRDefault="00B02873" w:rsidP="0012319F">
            <w:pPr>
              <w:pStyle w:val="TablebodyleftFinancialsTables"/>
              <w:jc w:val="right"/>
              <w:rPr>
                <w:rFonts w:asciiTheme="minorHAnsi" w:hAnsiTheme="minorHAnsi" w:cstheme="minorHAnsi"/>
                <w:sz w:val="18"/>
                <w:szCs w:val="18"/>
              </w:rPr>
            </w:pPr>
          </w:p>
        </w:tc>
        <w:tc>
          <w:tcPr>
            <w:tcW w:w="1204" w:type="dxa"/>
          </w:tcPr>
          <w:p w14:paraId="1F2E6A1D" w14:textId="77777777" w:rsidR="00B02873" w:rsidRPr="00202C3F" w:rsidRDefault="00B02873" w:rsidP="0012319F">
            <w:pPr>
              <w:pStyle w:val="TablebodyleftFinancialsTables"/>
              <w:jc w:val="right"/>
              <w:rPr>
                <w:rFonts w:asciiTheme="minorHAnsi" w:hAnsiTheme="minorHAnsi" w:cstheme="minorHAnsi"/>
                <w:sz w:val="18"/>
                <w:szCs w:val="18"/>
              </w:rPr>
            </w:pPr>
          </w:p>
        </w:tc>
        <w:tc>
          <w:tcPr>
            <w:tcW w:w="1155" w:type="dxa"/>
          </w:tcPr>
          <w:p w14:paraId="52A98F35" w14:textId="77777777" w:rsidR="00B02873" w:rsidRPr="00202C3F" w:rsidRDefault="00B02873" w:rsidP="0012319F">
            <w:pPr>
              <w:pStyle w:val="TablebodyleftFinancialsTables"/>
              <w:jc w:val="right"/>
              <w:rPr>
                <w:rFonts w:asciiTheme="minorHAnsi" w:hAnsiTheme="minorHAnsi" w:cstheme="minorHAnsi"/>
                <w:sz w:val="18"/>
                <w:szCs w:val="18"/>
              </w:rPr>
            </w:pPr>
          </w:p>
        </w:tc>
        <w:tc>
          <w:tcPr>
            <w:tcW w:w="1182" w:type="dxa"/>
          </w:tcPr>
          <w:p w14:paraId="4DE7D8B1" w14:textId="77777777" w:rsidR="00B02873" w:rsidRPr="00202C3F" w:rsidRDefault="00B02873" w:rsidP="0012319F">
            <w:pPr>
              <w:pStyle w:val="TablebodyleftFinancialsTables"/>
              <w:jc w:val="right"/>
              <w:rPr>
                <w:rFonts w:asciiTheme="minorHAnsi" w:hAnsiTheme="minorHAnsi" w:cstheme="minorHAnsi"/>
                <w:sz w:val="18"/>
                <w:szCs w:val="18"/>
              </w:rPr>
            </w:pPr>
          </w:p>
        </w:tc>
        <w:tc>
          <w:tcPr>
            <w:tcW w:w="1299" w:type="dxa"/>
          </w:tcPr>
          <w:p w14:paraId="5270E27B" w14:textId="77777777" w:rsidR="00B02873" w:rsidRPr="00202C3F" w:rsidRDefault="00B02873" w:rsidP="0012319F">
            <w:pPr>
              <w:pStyle w:val="TablebodyleftFinancialsTables"/>
              <w:jc w:val="right"/>
              <w:rPr>
                <w:rFonts w:asciiTheme="minorHAnsi" w:hAnsiTheme="minorHAnsi" w:cstheme="minorHAnsi"/>
                <w:sz w:val="18"/>
                <w:szCs w:val="18"/>
              </w:rPr>
            </w:pPr>
          </w:p>
        </w:tc>
        <w:tc>
          <w:tcPr>
            <w:tcW w:w="1305" w:type="dxa"/>
          </w:tcPr>
          <w:p w14:paraId="4FAD5CE7" w14:textId="77777777" w:rsidR="00B02873" w:rsidRPr="00202C3F" w:rsidRDefault="00B02873" w:rsidP="0012319F">
            <w:pPr>
              <w:pStyle w:val="TablebodyleftFinancialsTables"/>
              <w:jc w:val="right"/>
              <w:rPr>
                <w:rFonts w:asciiTheme="minorHAnsi" w:hAnsiTheme="minorHAnsi" w:cstheme="minorHAnsi"/>
                <w:sz w:val="18"/>
                <w:szCs w:val="18"/>
              </w:rPr>
            </w:pPr>
          </w:p>
        </w:tc>
        <w:tc>
          <w:tcPr>
            <w:tcW w:w="895" w:type="dxa"/>
          </w:tcPr>
          <w:p w14:paraId="48D1EA0D" w14:textId="77777777" w:rsidR="00B02873" w:rsidRPr="00202C3F" w:rsidRDefault="00B02873" w:rsidP="0012319F">
            <w:pPr>
              <w:pStyle w:val="TablebodyleftFinancialsTables"/>
              <w:jc w:val="right"/>
              <w:rPr>
                <w:rFonts w:asciiTheme="minorHAnsi" w:hAnsiTheme="minorHAnsi" w:cstheme="minorHAnsi"/>
                <w:sz w:val="18"/>
                <w:szCs w:val="18"/>
              </w:rPr>
            </w:pPr>
          </w:p>
        </w:tc>
      </w:tr>
      <w:tr w:rsidR="002C7839" w:rsidRPr="00202C3F" w14:paraId="7458201C" w14:textId="77777777" w:rsidTr="002C7839">
        <w:tc>
          <w:tcPr>
            <w:tcW w:w="4248" w:type="dxa"/>
          </w:tcPr>
          <w:p w14:paraId="5E9F5902" w14:textId="77777777" w:rsidR="00B02873" w:rsidRPr="0012319F" w:rsidRDefault="00B02873" w:rsidP="00202C3F">
            <w:pPr>
              <w:pStyle w:val="TablebodyleftFinancialsTables"/>
              <w:rPr>
                <w:rFonts w:asciiTheme="minorHAnsi" w:hAnsiTheme="minorHAnsi" w:cstheme="minorHAnsi"/>
                <w:b/>
                <w:bCs/>
                <w:sz w:val="18"/>
                <w:szCs w:val="18"/>
              </w:rPr>
            </w:pPr>
            <w:r w:rsidRPr="0012319F">
              <w:rPr>
                <w:rFonts w:asciiTheme="minorHAnsi" w:hAnsiTheme="minorHAnsi" w:cstheme="minorHAnsi"/>
                <w:b/>
                <w:bCs/>
                <w:sz w:val="18"/>
                <w:szCs w:val="18"/>
              </w:rPr>
              <w:t>Controlled</w:t>
            </w:r>
          </w:p>
        </w:tc>
        <w:tc>
          <w:tcPr>
            <w:tcW w:w="1305" w:type="dxa"/>
          </w:tcPr>
          <w:p w14:paraId="22268F6C" w14:textId="77777777" w:rsidR="00B02873" w:rsidRPr="00202C3F" w:rsidRDefault="00B02873" w:rsidP="0012319F">
            <w:pPr>
              <w:pStyle w:val="TablebodyleftFinancialsTables"/>
              <w:jc w:val="right"/>
              <w:rPr>
                <w:rFonts w:asciiTheme="minorHAnsi" w:hAnsiTheme="minorHAnsi" w:cstheme="minorHAnsi"/>
                <w:sz w:val="18"/>
                <w:szCs w:val="18"/>
              </w:rPr>
            </w:pPr>
          </w:p>
        </w:tc>
        <w:tc>
          <w:tcPr>
            <w:tcW w:w="1304" w:type="dxa"/>
          </w:tcPr>
          <w:p w14:paraId="3C58F914" w14:textId="77777777" w:rsidR="00B02873" w:rsidRPr="00202C3F" w:rsidRDefault="00B02873" w:rsidP="0012319F">
            <w:pPr>
              <w:pStyle w:val="TablebodyleftFinancialsTables"/>
              <w:jc w:val="right"/>
              <w:rPr>
                <w:rFonts w:asciiTheme="minorHAnsi" w:hAnsiTheme="minorHAnsi" w:cstheme="minorHAnsi"/>
                <w:sz w:val="18"/>
                <w:szCs w:val="18"/>
              </w:rPr>
            </w:pPr>
          </w:p>
        </w:tc>
        <w:tc>
          <w:tcPr>
            <w:tcW w:w="1189" w:type="dxa"/>
          </w:tcPr>
          <w:p w14:paraId="3C583BBF" w14:textId="77777777" w:rsidR="00B02873" w:rsidRPr="00202C3F" w:rsidRDefault="00B02873" w:rsidP="0012319F">
            <w:pPr>
              <w:pStyle w:val="TablebodyleftFinancialsTables"/>
              <w:jc w:val="right"/>
              <w:rPr>
                <w:rFonts w:asciiTheme="minorHAnsi" w:hAnsiTheme="minorHAnsi" w:cstheme="minorHAnsi"/>
                <w:sz w:val="18"/>
                <w:szCs w:val="18"/>
              </w:rPr>
            </w:pPr>
          </w:p>
        </w:tc>
        <w:tc>
          <w:tcPr>
            <w:tcW w:w="1204" w:type="dxa"/>
          </w:tcPr>
          <w:p w14:paraId="1FF8F32B" w14:textId="77777777" w:rsidR="00B02873" w:rsidRPr="00202C3F" w:rsidRDefault="00B02873" w:rsidP="0012319F">
            <w:pPr>
              <w:pStyle w:val="TablebodyleftFinancialsTables"/>
              <w:jc w:val="right"/>
              <w:rPr>
                <w:rFonts w:asciiTheme="minorHAnsi" w:hAnsiTheme="minorHAnsi" w:cstheme="minorHAnsi"/>
                <w:sz w:val="18"/>
                <w:szCs w:val="18"/>
              </w:rPr>
            </w:pPr>
          </w:p>
        </w:tc>
        <w:tc>
          <w:tcPr>
            <w:tcW w:w="1155" w:type="dxa"/>
          </w:tcPr>
          <w:p w14:paraId="2C9577DD" w14:textId="77777777" w:rsidR="00B02873" w:rsidRPr="00202C3F" w:rsidRDefault="00B02873" w:rsidP="0012319F">
            <w:pPr>
              <w:pStyle w:val="TablebodyleftFinancialsTables"/>
              <w:jc w:val="right"/>
              <w:rPr>
                <w:rFonts w:asciiTheme="minorHAnsi" w:hAnsiTheme="minorHAnsi" w:cstheme="minorHAnsi"/>
                <w:sz w:val="18"/>
                <w:szCs w:val="18"/>
              </w:rPr>
            </w:pPr>
          </w:p>
        </w:tc>
        <w:tc>
          <w:tcPr>
            <w:tcW w:w="1182" w:type="dxa"/>
          </w:tcPr>
          <w:p w14:paraId="7D241872" w14:textId="77777777" w:rsidR="00B02873" w:rsidRPr="00202C3F" w:rsidRDefault="00B02873" w:rsidP="0012319F">
            <w:pPr>
              <w:pStyle w:val="TablebodyleftFinancialsTables"/>
              <w:jc w:val="right"/>
              <w:rPr>
                <w:rFonts w:asciiTheme="minorHAnsi" w:hAnsiTheme="minorHAnsi" w:cstheme="minorHAnsi"/>
                <w:sz w:val="18"/>
                <w:szCs w:val="18"/>
              </w:rPr>
            </w:pPr>
          </w:p>
        </w:tc>
        <w:tc>
          <w:tcPr>
            <w:tcW w:w="1299" w:type="dxa"/>
          </w:tcPr>
          <w:p w14:paraId="6CCAD256" w14:textId="77777777" w:rsidR="00B02873" w:rsidRPr="00202C3F" w:rsidRDefault="00B02873" w:rsidP="0012319F">
            <w:pPr>
              <w:pStyle w:val="TablebodyleftFinancialsTables"/>
              <w:jc w:val="right"/>
              <w:rPr>
                <w:rFonts w:asciiTheme="minorHAnsi" w:hAnsiTheme="minorHAnsi" w:cstheme="minorHAnsi"/>
                <w:sz w:val="18"/>
                <w:szCs w:val="18"/>
              </w:rPr>
            </w:pPr>
          </w:p>
        </w:tc>
        <w:tc>
          <w:tcPr>
            <w:tcW w:w="1305" w:type="dxa"/>
          </w:tcPr>
          <w:p w14:paraId="3BF41013" w14:textId="77777777" w:rsidR="00B02873" w:rsidRPr="00202C3F" w:rsidRDefault="00B02873" w:rsidP="0012319F">
            <w:pPr>
              <w:pStyle w:val="TablebodyleftFinancialsTables"/>
              <w:jc w:val="right"/>
              <w:rPr>
                <w:rFonts w:asciiTheme="minorHAnsi" w:hAnsiTheme="minorHAnsi" w:cstheme="minorHAnsi"/>
                <w:sz w:val="18"/>
                <w:szCs w:val="18"/>
              </w:rPr>
            </w:pPr>
          </w:p>
        </w:tc>
        <w:tc>
          <w:tcPr>
            <w:tcW w:w="895" w:type="dxa"/>
          </w:tcPr>
          <w:p w14:paraId="1D1972DC" w14:textId="77777777" w:rsidR="00B02873" w:rsidRPr="00202C3F" w:rsidRDefault="00B02873" w:rsidP="0012319F">
            <w:pPr>
              <w:pStyle w:val="TablebodyleftFinancialsTables"/>
              <w:jc w:val="right"/>
              <w:rPr>
                <w:rFonts w:asciiTheme="minorHAnsi" w:hAnsiTheme="minorHAnsi" w:cstheme="minorHAnsi"/>
                <w:sz w:val="18"/>
                <w:szCs w:val="18"/>
              </w:rPr>
            </w:pPr>
          </w:p>
        </w:tc>
      </w:tr>
      <w:tr w:rsidR="00B02873" w:rsidRPr="00202C3F" w14:paraId="795EFBBB" w14:textId="77777777" w:rsidTr="002C7839">
        <w:tc>
          <w:tcPr>
            <w:tcW w:w="4248" w:type="dxa"/>
          </w:tcPr>
          <w:p w14:paraId="73D4C93B" w14:textId="77777777" w:rsidR="00B02873" w:rsidRPr="00202C3F" w:rsidRDefault="00B02873" w:rsidP="00202C3F">
            <w:pPr>
              <w:pStyle w:val="TablebodyleftFinancialsTables"/>
              <w:rPr>
                <w:rFonts w:asciiTheme="minorHAnsi" w:hAnsiTheme="minorHAnsi" w:cstheme="minorHAnsi"/>
                <w:sz w:val="18"/>
                <w:szCs w:val="18"/>
              </w:rPr>
            </w:pPr>
            <w:r w:rsidRPr="00202C3F">
              <w:rPr>
                <w:rFonts w:asciiTheme="minorHAnsi" w:hAnsiTheme="minorHAnsi" w:cstheme="minorHAnsi"/>
                <w:sz w:val="18"/>
                <w:szCs w:val="18"/>
              </w:rPr>
              <w:t>Provision of outputs</w:t>
            </w:r>
          </w:p>
        </w:tc>
        <w:tc>
          <w:tcPr>
            <w:tcW w:w="1305" w:type="dxa"/>
          </w:tcPr>
          <w:p w14:paraId="4538CE66" w14:textId="77777777" w:rsidR="00B02873" w:rsidRPr="00202C3F" w:rsidRDefault="00B02873" w:rsidP="0012319F">
            <w:pPr>
              <w:pStyle w:val="TablebodyleftFinancialsTables"/>
              <w:jc w:val="right"/>
              <w:rPr>
                <w:rFonts w:asciiTheme="minorHAnsi" w:hAnsiTheme="minorHAnsi" w:cstheme="minorHAnsi"/>
                <w:sz w:val="18"/>
                <w:szCs w:val="18"/>
              </w:rPr>
            </w:pPr>
            <w:r w:rsidRPr="00202C3F">
              <w:rPr>
                <w:rFonts w:asciiTheme="minorHAnsi" w:hAnsiTheme="minorHAnsi" w:cstheme="minorHAnsi"/>
                <w:sz w:val="18"/>
                <w:szCs w:val="18"/>
              </w:rPr>
              <w:t>2,092,086</w:t>
            </w:r>
          </w:p>
        </w:tc>
        <w:tc>
          <w:tcPr>
            <w:tcW w:w="1304" w:type="dxa"/>
          </w:tcPr>
          <w:p w14:paraId="2F530389" w14:textId="77777777" w:rsidR="00B02873" w:rsidRPr="00202C3F" w:rsidRDefault="00B02873" w:rsidP="0012319F">
            <w:pPr>
              <w:pStyle w:val="TablebodyleftFinancialsTables"/>
              <w:jc w:val="right"/>
              <w:rPr>
                <w:rFonts w:asciiTheme="minorHAnsi" w:hAnsiTheme="minorHAnsi" w:cstheme="minorHAnsi"/>
                <w:sz w:val="18"/>
                <w:szCs w:val="18"/>
              </w:rPr>
            </w:pPr>
            <w:r w:rsidRPr="00202C3F">
              <w:rPr>
                <w:rFonts w:asciiTheme="minorHAnsi" w:hAnsiTheme="minorHAnsi" w:cstheme="minorHAnsi"/>
                <w:sz w:val="18"/>
                <w:szCs w:val="18"/>
              </w:rPr>
              <w:t>118,325</w:t>
            </w:r>
          </w:p>
        </w:tc>
        <w:tc>
          <w:tcPr>
            <w:tcW w:w="1189" w:type="dxa"/>
          </w:tcPr>
          <w:p w14:paraId="1EBB6880" w14:textId="77777777" w:rsidR="00B02873" w:rsidRPr="00202C3F" w:rsidRDefault="00B02873" w:rsidP="0012319F">
            <w:pPr>
              <w:pStyle w:val="TablebodyleftFinancialsTables"/>
              <w:jc w:val="right"/>
              <w:rPr>
                <w:rFonts w:asciiTheme="minorHAnsi" w:hAnsiTheme="minorHAnsi" w:cstheme="minorHAnsi"/>
                <w:sz w:val="18"/>
                <w:szCs w:val="18"/>
              </w:rPr>
            </w:pPr>
            <w:r w:rsidRPr="00202C3F">
              <w:rPr>
                <w:rFonts w:asciiTheme="minorHAnsi" w:hAnsiTheme="minorHAnsi" w:cstheme="minorHAnsi"/>
                <w:sz w:val="18"/>
                <w:szCs w:val="18"/>
              </w:rPr>
              <w:t>192,239</w:t>
            </w:r>
          </w:p>
        </w:tc>
        <w:tc>
          <w:tcPr>
            <w:tcW w:w="1204" w:type="dxa"/>
          </w:tcPr>
          <w:p w14:paraId="16A4C627" w14:textId="77777777" w:rsidR="00B02873" w:rsidRPr="00202C3F" w:rsidRDefault="00B02873" w:rsidP="0012319F">
            <w:pPr>
              <w:pStyle w:val="TablebodyleftFinancialsTables"/>
              <w:jc w:val="right"/>
              <w:rPr>
                <w:rFonts w:asciiTheme="minorHAnsi" w:hAnsiTheme="minorHAnsi" w:cstheme="minorHAnsi"/>
                <w:sz w:val="18"/>
                <w:szCs w:val="18"/>
              </w:rPr>
            </w:pPr>
            <w:r w:rsidRPr="00202C3F">
              <w:rPr>
                <w:rFonts w:asciiTheme="minorHAnsi" w:hAnsiTheme="minorHAnsi" w:cstheme="minorHAnsi"/>
                <w:sz w:val="18"/>
                <w:szCs w:val="18"/>
              </w:rPr>
              <w:t>45,761</w:t>
            </w:r>
          </w:p>
        </w:tc>
        <w:tc>
          <w:tcPr>
            <w:tcW w:w="1155" w:type="dxa"/>
          </w:tcPr>
          <w:p w14:paraId="4A527CDE" w14:textId="77777777" w:rsidR="00B02873" w:rsidRPr="00202C3F" w:rsidRDefault="00B02873" w:rsidP="0012319F">
            <w:pPr>
              <w:pStyle w:val="TablebodyleftFinancialsTables"/>
              <w:jc w:val="right"/>
              <w:rPr>
                <w:rFonts w:asciiTheme="minorHAnsi" w:hAnsiTheme="minorHAnsi" w:cstheme="minorHAnsi"/>
                <w:sz w:val="18"/>
                <w:szCs w:val="18"/>
              </w:rPr>
            </w:pPr>
            <w:r w:rsidRPr="00202C3F">
              <w:rPr>
                <w:rFonts w:asciiTheme="minorHAnsi" w:hAnsiTheme="minorHAnsi" w:cstheme="minorHAnsi"/>
                <w:sz w:val="18"/>
                <w:szCs w:val="18"/>
              </w:rPr>
              <w:t>16,305</w:t>
            </w:r>
          </w:p>
        </w:tc>
        <w:tc>
          <w:tcPr>
            <w:tcW w:w="1182" w:type="dxa"/>
          </w:tcPr>
          <w:p w14:paraId="598D1B0D" w14:textId="77777777" w:rsidR="00B02873" w:rsidRPr="00202C3F" w:rsidRDefault="00B02873" w:rsidP="0012319F">
            <w:pPr>
              <w:pStyle w:val="TablebodyleftFinancialsTables"/>
              <w:jc w:val="right"/>
              <w:rPr>
                <w:rFonts w:asciiTheme="minorHAnsi" w:hAnsiTheme="minorHAnsi" w:cstheme="minorHAnsi"/>
                <w:sz w:val="18"/>
                <w:szCs w:val="18"/>
              </w:rPr>
            </w:pPr>
            <w:r w:rsidRPr="00202C3F">
              <w:rPr>
                <w:rFonts w:asciiTheme="minorHAnsi" w:hAnsiTheme="minorHAnsi" w:cstheme="minorHAnsi"/>
                <w:sz w:val="18"/>
                <w:szCs w:val="18"/>
              </w:rPr>
              <w:t>–</w:t>
            </w:r>
          </w:p>
        </w:tc>
        <w:tc>
          <w:tcPr>
            <w:tcW w:w="1299" w:type="dxa"/>
          </w:tcPr>
          <w:p w14:paraId="1553A9BA" w14:textId="77777777" w:rsidR="00B02873" w:rsidRPr="00202C3F" w:rsidRDefault="00B02873" w:rsidP="0012319F">
            <w:pPr>
              <w:pStyle w:val="TablebodyleftFinancialsTables"/>
              <w:jc w:val="right"/>
              <w:rPr>
                <w:rFonts w:asciiTheme="minorHAnsi" w:hAnsiTheme="minorHAnsi" w:cstheme="minorHAnsi"/>
                <w:sz w:val="18"/>
                <w:szCs w:val="18"/>
              </w:rPr>
            </w:pPr>
            <w:r w:rsidRPr="00202C3F">
              <w:rPr>
                <w:rFonts w:asciiTheme="minorHAnsi" w:hAnsiTheme="minorHAnsi" w:cstheme="minorHAnsi"/>
                <w:sz w:val="18"/>
                <w:szCs w:val="18"/>
              </w:rPr>
              <w:t>2,464,716</w:t>
            </w:r>
          </w:p>
        </w:tc>
        <w:tc>
          <w:tcPr>
            <w:tcW w:w="1305" w:type="dxa"/>
          </w:tcPr>
          <w:p w14:paraId="45A2FC8B" w14:textId="77777777" w:rsidR="00B02873" w:rsidRPr="00202C3F" w:rsidRDefault="00B02873" w:rsidP="0012319F">
            <w:pPr>
              <w:pStyle w:val="TablebodyleftFinancialsTables"/>
              <w:jc w:val="right"/>
              <w:rPr>
                <w:rFonts w:asciiTheme="minorHAnsi" w:hAnsiTheme="minorHAnsi" w:cstheme="minorHAnsi"/>
                <w:sz w:val="18"/>
                <w:szCs w:val="18"/>
              </w:rPr>
            </w:pPr>
            <w:r w:rsidRPr="00202C3F">
              <w:rPr>
                <w:rFonts w:asciiTheme="minorHAnsi" w:hAnsiTheme="minorHAnsi" w:cstheme="minorHAnsi"/>
                <w:sz w:val="18"/>
                <w:szCs w:val="18"/>
              </w:rPr>
              <w:t>2,354,656</w:t>
            </w:r>
          </w:p>
        </w:tc>
        <w:tc>
          <w:tcPr>
            <w:tcW w:w="895" w:type="dxa"/>
          </w:tcPr>
          <w:p w14:paraId="18BF2E46" w14:textId="77777777" w:rsidR="00B02873" w:rsidRPr="00202C3F" w:rsidRDefault="00B02873" w:rsidP="0012319F">
            <w:pPr>
              <w:pStyle w:val="TablebodyleftFinancialsTables"/>
              <w:jc w:val="right"/>
              <w:rPr>
                <w:rFonts w:asciiTheme="minorHAnsi" w:hAnsiTheme="minorHAnsi" w:cstheme="minorHAnsi"/>
                <w:sz w:val="18"/>
                <w:szCs w:val="18"/>
              </w:rPr>
            </w:pPr>
            <w:r w:rsidRPr="00202C3F">
              <w:rPr>
                <w:rFonts w:asciiTheme="minorHAnsi" w:hAnsiTheme="minorHAnsi" w:cstheme="minorHAnsi"/>
                <w:sz w:val="18"/>
                <w:szCs w:val="18"/>
              </w:rPr>
              <w:t>110,060</w:t>
            </w:r>
          </w:p>
        </w:tc>
      </w:tr>
      <w:tr w:rsidR="00B02873" w:rsidRPr="00202C3F" w14:paraId="7CD2B927" w14:textId="77777777" w:rsidTr="002C7839">
        <w:tc>
          <w:tcPr>
            <w:tcW w:w="4248" w:type="dxa"/>
          </w:tcPr>
          <w:p w14:paraId="4BEC4000" w14:textId="77777777" w:rsidR="00B02873" w:rsidRPr="00202C3F" w:rsidRDefault="00B02873" w:rsidP="00202C3F">
            <w:pPr>
              <w:pStyle w:val="TablebodyleftFinancialsTables"/>
              <w:rPr>
                <w:rFonts w:asciiTheme="minorHAnsi" w:hAnsiTheme="minorHAnsi" w:cstheme="minorHAnsi"/>
                <w:sz w:val="18"/>
                <w:szCs w:val="18"/>
              </w:rPr>
            </w:pPr>
            <w:r w:rsidRPr="00202C3F">
              <w:rPr>
                <w:rFonts w:asciiTheme="minorHAnsi" w:hAnsiTheme="minorHAnsi" w:cstheme="minorHAnsi"/>
                <w:sz w:val="18"/>
                <w:szCs w:val="18"/>
              </w:rPr>
              <w:t>ATNAB</w:t>
            </w:r>
          </w:p>
        </w:tc>
        <w:tc>
          <w:tcPr>
            <w:tcW w:w="1305" w:type="dxa"/>
          </w:tcPr>
          <w:p w14:paraId="41601EA2" w14:textId="77777777" w:rsidR="00B02873" w:rsidRPr="00202C3F" w:rsidRDefault="00B02873" w:rsidP="0012319F">
            <w:pPr>
              <w:pStyle w:val="TablebodyleftFinancialsTables"/>
              <w:jc w:val="right"/>
              <w:rPr>
                <w:rFonts w:asciiTheme="minorHAnsi" w:hAnsiTheme="minorHAnsi" w:cstheme="minorHAnsi"/>
                <w:sz w:val="18"/>
                <w:szCs w:val="18"/>
              </w:rPr>
            </w:pPr>
            <w:r w:rsidRPr="00202C3F">
              <w:rPr>
                <w:rFonts w:asciiTheme="minorHAnsi" w:hAnsiTheme="minorHAnsi" w:cstheme="minorHAnsi"/>
                <w:sz w:val="18"/>
                <w:szCs w:val="18"/>
              </w:rPr>
              <w:t>271,863</w:t>
            </w:r>
          </w:p>
        </w:tc>
        <w:tc>
          <w:tcPr>
            <w:tcW w:w="1304" w:type="dxa"/>
          </w:tcPr>
          <w:p w14:paraId="1F841681" w14:textId="77777777" w:rsidR="00B02873" w:rsidRPr="00202C3F" w:rsidRDefault="00B02873" w:rsidP="0012319F">
            <w:pPr>
              <w:pStyle w:val="TablebodyleftFinancialsTables"/>
              <w:jc w:val="right"/>
              <w:rPr>
                <w:rFonts w:asciiTheme="minorHAnsi" w:hAnsiTheme="minorHAnsi" w:cstheme="minorHAnsi"/>
                <w:sz w:val="18"/>
                <w:szCs w:val="18"/>
              </w:rPr>
            </w:pPr>
            <w:r w:rsidRPr="00202C3F">
              <w:rPr>
                <w:rFonts w:asciiTheme="minorHAnsi" w:hAnsiTheme="minorHAnsi" w:cstheme="minorHAnsi"/>
                <w:sz w:val="18"/>
                <w:szCs w:val="18"/>
              </w:rPr>
              <w:t>341</w:t>
            </w:r>
          </w:p>
        </w:tc>
        <w:tc>
          <w:tcPr>
            <w:tcW w:w="1189" w:type="dxa"/>
          </w:tcPr>
          <w:p w14:paraId="29600AB0" w14:textId="77777777" w:rsidR="00B02873" w:rsidRPr="00202C3F" w:rsidRDefault="00B02873" w:rsidP="0012319F">
            <w:pPr>
              <w:pStyle w:val="TablebodyleftFinancialsTables"/>
              <w:jc w:val="right"/>
              <w:rPr>
                <w:rFonts w:asciiTheme="minorHAnsi" w:hAnsiTheme="minorHAnsi" w:cstheme="minorHAnsi"/>
                <w:sz w:val="18"/>
                <w:szCs w:val="18"/>
              </w:rPr>
            </w:pPr>
            <w:r w:rsidRPr="00202C3F">
              <w:rPr>
                <w:rFonts w:asciiTheme="minorHAnsi" w:hAnsiTheme="minorHAnsi" w:cstheme="minorHAnsi"/>
                <w:sz w:val="18"/>
                <w:szCs w:val="18"/>
              </w:rPr>
              <w:t>45,000</w:t>
            </w:r>
          </w:p>
        </w:tc>
        <w:tc>
          <w:tcPr>
            <w:tcW w:w="1204" w:type="dxa"/>
          </w:tcPr>
          <w:p w14:paraId="6486C1C6" w14:textId="77777777" w:rsidR="00B02873" w:rsidRPr="00202C3F" w:rsidRDefault="00B02873" w:rsidP="0012319F">
            <w:pPr>
              <w:pStyle w:val="TablebodyleftFinancialsTables"/>
              <w:jc w:val="right"/>
              <w:rPr>
                <w:rFonts w:asciiTheme="minorHAnsi" w:hAnsiTheme="minorHAnsi" w:cstheme="minorHAnsi"/>
                <w:sz w:val="18"/>
                <w:szCs w:val="18"/>
              </w:rPr>
            </w:pPr>
            <w:r w:rsidRPr="00202C3F">
              <w:rPr>
                <w:rFonts w:asciiTheme="minorHAnsi" w:hAnsiTheme="minorHAnsi" w:cstheme="minorHAnsi"/>
                <w:sz w:val="18"/>
                <w:szCs w:val="18"/>
              </w:rPr>
              <w:t>(45,761)</w:t>
            </w:r>
          </w:p>
        </w:tc>
        <w:tc>
          <w:tcPr>
            <w:tcW w:w="1155" w:type="dxa"/>
          </w:tcPr>
          <w:p w14:paraId="20C4BFD8" w14:textId="77777777" w:rsidR="00B02873" w:rsidRPr="00202C3F" w:rsidRDefault="00B02873" w:rsidP="0012319F">
            <w:pPr>
              <w:pStyle w:val="TablebodyleftFinancialsTables"/>
              <w:jc w:val="right"/>
              <w:rPr>
                <w:rFonts w:asciiTheme="minorHAnsi" w:hAnsiTheme="minorHAnsi" w:cstheme="minorHAnsi"/>
                <w:sz w:val="18"/>
                <w:szCs w:val="18"/>
              </w:rPr>
            </w:pPr>
            <w:r w:rsidRPr="00202C3F">
              <w:rPr>
                <w:rFonts w:asciiTheme="minorHAnsi" w:hAnsiTheme="minorHAnsi" w:cstheme="minorHAnsi"/>
                <w:sz w:val="18"/>
                <w:szCs w:val="18"/>
              </w:rPr>
              <w:t>2,000</w:t>
            </w:r>
          </w:p>
        </w:tc>
        <w:tc>
          <w:tcPr>
            <w:tcW w:w="1182" w:type="dxa"/>
          </w:tcPr>
          <w:p w14:paraId="37007F10" w14:textId="77777777" w:rsidR="00B02873" w:rsidRPr="00202C3F" w:rsidRDefault="00B02873" w:rsidP="0012319F">
            <w:pPr>
              <w:pStyle w:val="TablebodyleftFinancialsTables"/>
              <w:jc w:val="right"/>
              <w:rPr>
                <w:rFonts w:asciiTheme="minorHAnsi" w:hAnsiTheme="minorHAnsi" w:cstheme="minorHAnsi"/>
                <w:sz w:val="18"/>
                <w:szCs w:val="18"/>
              </w:rPr>
            </w:pPr>
            <w:r w:rsidRPr="00202C3F">
              <w:rPr>
                <w:rFonts w:asciiTheme="minorHAnsi" w:hAnsiTheme="minorHAnsi" w:cstheme="minorHAnsi"/>
                <w:sz w:val="18"/>
                <w:szCs w:val="18"/>
              </w:rPr>
              <w:t>–</w:t>
            </w:r>
          </w:p>
        </w:tc>
        <w:tc>
          <w:tcPr>
            <w:tcW w:w="1299" w:type="dxa"/>
          </w:tcPr>
          <w:p w14:paraId="29174821" w14:textId="77777777" w:rsidR="00B02873" w:rsidRPr="00202C3F" w:rsidRDefault="00B02873" w:rsidP="0012319F">
            <w:pPr>
              <w:pStyle w:val="TablebodyleftFinancialsTables"/>
              <w:jc w:val="right"/>
              <w:rPr>
                <w:rFonts w:asciiTheme="minorHAnsi" w:hAnsiTheme="minorHAnsi" w:cstheme="minorHAnsi"/>
                <w:sz w:val="18"/>
                <w:szCs w:val="18"/>
              </w:rPr>
            </w:pPr>
            <w:r w:rsidRPr="00202C3F">
              <w:rPr>
                <w:rFonts w:asciiTheme="minorHAnsi" w:hAnsiTheme="minorHAnsi" w:cstheme="minorHAnsi"/>
                <w:sz w:val="18"/>
                <w:szCs w:val="18"/>
              </w:rPr>
              <w:t>273,443</w:t>
            </w:r>
          </w:p>
        </w:tc>
        <w:tc>
          <w:tcPr>
            <w:tcW w:w="1305" w:type="dxa"/>
          </w:tcPr>
          <w:p w14:paraId="7D36E01E" w14:textId="77777777" w:rsidR="00B02873" w:rsidRPr="00202C3F" w:rsidRDefault="00B02873" w:rsidP="0012319F">
            <w:pPr>
              <w:pStyle w:val="TablebodyleftFinancialsTables"/>
              <w:jc w:val="right"/>
              <w:rPr>
                <w:rFonts w:asciiTheme="minorHAnsi" w:hAnsiTheme="minorHAnsi" w:cstheme="minorHAnsi"/>
                <w:sz w:val="18"/>
                <w:szCs w:val="18"/>
              </w:rPr>
            </w:pPr>
            <w:r w:rsidRPr="00202C3F">
              <w:rPr>
                <w:rFonts w:asciiTheme="minorHAnsi" w:hAnsiTheme="minorHAnsi" w:cstheme="minorHAnsi"/>
                <w:sz w:val="18"/>
                <w:szCs w:val="18"/>
              </w:rPr>
              <w:t>166,222</w:t>
            </w:r>
          </w:p>
        </w:tc>
        <w:tc>
          <w:tcPr>
            <w:tcW w:w="895" w:type="dxa"/>
          </w:tcPr>
          <w:p w14:paraId="3D40DFB3" w14:textId="77777777" w:rsidR="00B02873" w:rsidRPr="00202C3F" w:rsidRDefault="00B02873" w:rsidP="0012319F">
            <w:pPr>
              <w:pStyle w:val="TablebodyleftFinancialsTables"/>
              <w:jc w:val="right"/>
              <w:rPr>
                <w:rFonts w:asciiTheme="minorHAnsi" w:hAnsiTheme="minorHAnsi" w:cstheme="minorHAnsi"/>
                <w:sz w:val="18"/>
                <w:szCs w:val="18"/>
              </w:rPr>
            </w:pPr>
            <w:r w:rsidRPr="00202C3F">
              <w:rPr>
                <w:rFonts w:asciiTheme="minorHAnsi" w:hAnsiTheme="minorHAnsi" w:cstheme="minorHAnsi"/>
                <w:sz w:val="18"/>
                <w:szCs w:val="18"/>
              </w:rPr>
              <w:t>107,221</w:t>
            </w:r>
          </w:p>
        </w:tc>
      </w:tr>
      <w:tr w:rsidR="002C7839" w:rsidRPr="00202C3F" w14:paraId="080234E1" w14:textId="77777777" w:rsidTr="002C7839">
        <w:tc>
          <w:tcPr>
            <w:tcW w:w="4248" w:type="dxa"/>
          </w:tcPr>
          <w:p w14:paraId="3B161949" w14:textId="77777777" w:rsidR="00B02873" w:rsidRPr="0012319F" w:rsidRDefault="00B02873" w:rsidP="00202C3F">
            <w:pPr>
              <w:pStyle w:val="TablebodyleftFinancialsTables"/>
              <w:rPr>
                <w:rFonts w:asciiTheme="minorHAnsi" w:hAnsiTheme="minorHAnsi" w:cstheme="minorHAnsi"/>
                <w:b/>
                <w:bCs/>
                <w:sz w:val="18"/>
                <w:szCs w:val="18"/>
              </w:rPr>
            </w:pPr>
            <w:r w:rsidRPr="0012319F">
              <w:rPr>
                <w:rFonts w:asciiTheme="minorHAnsi" w:hAnsiTheme="minorHAnsi" w:cstheme="minorHAnsi"/>
                <w:b/>
                <w:bCs/>
                <w:sz w:val="18"/>
                <w:szCs w:val="18"/>
              </w:rPr>
              <w:t>Administered</w:t>
            </w:r>
          </w:p>
        </w:tc>
        <w:tc>
          <w:tcPr>
            <w:tcW w:w="1305" w:type="dxa"/>
          </w:tcPr>
          <w:p w14:paraId="59D4D2C5" w14:textId="77777777" w:rsidR="00B02873" w:rsidRPr="00202C3F" w:rsidRDefault="00B02873" w:rsidP="0012319F">
            <w:pPr>
              <w:pStyle w:val="TablebodyleftFinancialsTables"/>
              <w:jc w:val="right"/>
              <w:rPr>
                <w:rFonts w:asciiTheme="minorHAnsi" w:hAnsiTheme="minorHAnsi" w:cstheme="minorHAnsi"/>
                <w:sz w:val="18"/>
                <w:szCs w:val="18"/>
              </w:rPr>
            </w:pPr>
          </w:p>
        </w:tc>
        <w:tc>
          <w:tcPr>
            <w:tcW w:w="1304" w:type="dxa"/>
          </w:tcPr>
          <w:p w14:paraId="54A6B3D2" w14:textId="77777777" w:rsidR="00B02873" w:rsidRPr="00202C3F" w:rsidRDefault="00B02873" w:rsidP="0012319F">
            <w:pPr>
              <w:pStyle w:val="TablebodyleftFinancialsTables"/>
              <w:jc w:val="right"/>
              <w:rPr>
                <w:rFonts w:asciiTheme="minorHAnsi" w:hAnsiTheme="minorHAnsi" w:cstheme="minorHAnsi"/>
                <w:sz w:val="18"/>
                <w:szCs w:val="18"/>
              </w:rPr>
            </w:pPr>
          </w:p>
        </w:tc>
        <w:tc>
          <w:tcPr>
            <w:tcW w:w="1189" w:type="dxa"/>
          </w:tcPr>
          <w:p w14:paraId="1A4D5A7B" w14:textId="77777777" w:rsidR="00B02873" w:rsidRPr="00202C3F" w:rsidRDefault="00B02873" w:rsidP="0012319F">
            <w:pPr>
              <w:pStyle w:val="TablebodyleftFinancialsTables"/>
              <w:jc w:val="right"/>
              <w:rPr>
                <w:rFonts w:asciiTheme="minorHAnsi" w:hAnsiTheme="minorHAnsi" w:cstheme="minorHAnsi"/>
                <w:sz w:val="18"/>
                <w:szCs w:val="18"/>
              </w:rPr>
            </w:pPr>
          </w:p>
        </w:tc>
        <w:tc>
          <w:tcPr>
            <w:tcW w:w="1204" w:type="dxa"/>
          </w:tcPr>
          <w:p w14:paraId="2494D656" w14:textId="77777777" w:rsidR="00B02873" w:rsidRPr="00202C3F" w:rsidRDefault="00B02873" w:rsidP="0012319F">
            <w:pPr>
              <w:pStyle w:val="TablebodyleftFinancialsTables"/>
              <w:jc w:val="right"/>
              <w:rPr>
                <w:rFonts w:asciiTheme="minorHAnsi" w:hAnsiTheme="minorHAnsi" w:cstheme="minorHAnsi"/>
                <w:sz w:val="18"/>
                <w:szCs w:val="18"/>
              </w:rPr>
            </w:pPr>
          </w:p>
        </w:tc>
        <w:tc>
          <w:tcPr>
            <w:tcW w:w="1155" w:type="dxa"/>
          </w:tcPr>
          <w:p w14:paraId="7CEF56D0" w14:textId="77777777" w:rsidR="00B02873" w:rsidRPr="00202C3F" w:rsidRDefault="00B02873" w:rsidP="0012319F">
            <w:pPr>
              <w:pStyle w:val="TablebodyleftFinancialsTables"/>
              <w:jc w:val="right"/>
              <w:rPr>
                <w:rFonts w:asciiTheme="minorHAnsi" w:hAnsiTheme="minorHAnsi" w:cstheme="minorHAnsi"/>
                <w:sz w:val="18"/>
                <w:szCs w:val="18"/>
              </w:rPr>
            </w:pPr>
          </w:p>
        </w:tc>
        <w:tc>
          <w:tcPr>
            <w:tcW w:w="1182" w:type="dxa"/>
          </w:tcPr>
          <w:p w14:paraId="04E264E6" w14:textId="77777777" w:rsidR="00B02873" w:rsidRPr="00202C3F" w:rsidRDefault="00B02873" w:rsidP="0012319F">
            <w:pPr>
              <w:pStyle w:val="TablebodyleftFinancialsTables"/>
              <w:jc w:val="right"/>
              <w:rPr>
                <w:rFonts w:asciiTheme="minorHAnsi" w:hAnsiTheme="minorHAnsi" w:cstheme="minorHAnsi"/>
                <w:sz w:val="18"/>
                <w:szCs w:val="18"/>
              </w:rPr>
            </w:pPr>
          </w:p>
        </w:tc>
        <w:tc>
          <w:tcPr>
            <w:tcW w:w="1299" w:type="dxa"/>
          </w:tcPr>
          <w:p w14:paraId="7C457E6D" w14:textId="77777777" w:rsidR="00B02873" w:rsidRPr="00202C3F" w:rsidRDefault="00B02873" w:rsidP="0012319F">
            <w:pPr>
              <w:pStyle w:val="TablebodyleftFinancialsTables"/>
              <w:jc w:val="right"/>
              <w:rPr>
                <w:rFonts w:asciiTheme="minorHAnsi" w:hAnsiTheme="minorHAnsi" w:cstheme="minorHAnsi"/>
                <w:sz w:val="18"/>
                <w:szCs w:val="18"/>
              </w:rPr>
            </w:pPr>
          </w:p>
        </w:tc>
        <w:tc>
          <w:tcPr>
            <w:tcW w:w="1305" w:type="dxa"/>
          </w:tcPr>
          <w:p w14:paraId="1110289E" w14:textId="77777777" w:rsidR="00B02873" w:rsidRPr="00202C3F" w:rsidRDefault="00B02873" w:rsidP="0012319F">
            <w:pPr>
              <w:pStyle w:val="TablebodyleftFinancialsTables"/>
              <w:jc w:val="right"/>
              <w:rPr>
                <w:rFonts w:asciiTheme="minorHAnsi" w:hAnsiTheme="minorHAnsi" w:cstheme="minorHAnsi"/>
                <w:sz w:val="18"/>
                <w:szCs w:val="18"/>
              </w:rPr>
            </w:pPr>
          </w:p>
        </w:tc>
        <w:tc>
          <w:tcPr>
            <w:tcW w:w="895" w:type="dxa"/>
          </w:tcPr>
          <w:p w14:paraId="33F2E32E" w14:textId="77777777" w:rsidR="00B02873" w:rsidRPr="00202C3F" w:rsidRDefault="00B02873" w:rsidP="0012319F">
            <w:pPr>
              <w:pStyle w:val="TablebodyleftFinancialsTables"/>
              <w:jc w:val="right"/>
              <w:rPr>
                <w:rFonts w:asciiTheme="minorHAnsi" w:hAnsiTheme="minorHAnsi" w:cstheme="minorHAnsi"/>
                <w:sz w:val="18"/>
                <w:szCs w:val="18"/>
              </w:rPr>
            </w:pPr>
          </w:p>
        </w:tc>
      </w:tr>
      <w:tr w:rsidR="00B02873" w:rsidRPr="00202C3F" w14:paraId="478F6228" w14:textId="77777777" w:rsidTr="002C7839">
        <w:tc>
          <w:tcPr>
            <w:tcW w:w="4248" w:type="dxa"/>
          </w:tcPr>
          <w:p w14:paraId="57B3550F" w14:textId="77777777" w:rsidR="00B02873" w:rsidRPr="00202C3F" w:rsidRDefault="00B02873" w:rsidP="00202C3F">
            <w:pPr>
              <w:pStyle w:val="TablebodyleftFinancialsTables"/>
              <w:rPr>
                <w:rFonts w:asciiTheme="minorHAnsi" w:hAnsiTheme="minorHAnsi" w:cstheme="minorHAnsi"/>
                <w:sz w:val="18"/>
                <w:szCs w:val="18"/>
              </w:rPr>
            </w:pPr>
            <w:r w:rsidRPr="00202C3F">
              <w:rPr>
                <w:rFonts w:asciiTheme="minorHAnsi" w:hAnsiTheme="minorHAnsi" w:cstheme="minorHAnsi"/>
                <w:sz w:val="18"/>
                <w:szCs w:val="18"/>
              </w:rPr>
              <w:t>POBOS</w:t>
            </w:r>
          </w:p>
        </w:tc>
        <w:tc>
          <w:tcPr>
            <w:tcW w:w="1305" w:type="dxa"/>
          </w:tcPr>
          <w:p w14:paraId="15D2F891" w14:textId="77777777" w:rsidR="00B02873" w:rsidRPr="00202C3F" w:rsidRDefault="00B02873" w:rsidP="0012319F">
            <w:pPr>
              <w:pStyle w:val="TablebodyleftFinancialsTables"/>
              <w:jc w:val="right"/>
              <w:rPr>
                <w:rFonts w:asciiTheme="minorHAnsi" w:hAnsiTheme="minorHAnsi" w:cstheme="minorHAnsi"/>
                <w:sz w:val="18"/>
                <w:szCs w:val="18"/>
              </w:rPr>
            </w:pPr>
            <w:r w:rsidRPr="00202C3F">
              <w:rPr>
                <w:rFonts w:asciiTheme="minorHAnsi" w:hAnsiTheme="minorHAnsi" w:cstheme="minorHAnsi"/>
                <w:sz w:val="18"/>
                <w:szCs w:val="18"/>
              </w:rPr>
              <w:t>663,336</w:t>
            </w:r>
          </w:p>
        </w:tc>
        <w:tc>
          <w:tcPr>
            <w:tcW w:w="1304" w:type="dxa"/>
          </w:tcPr>
          <w:p w14:paraId="59969D87" w14:textId="77777777" w:rsidR="00B02873" w:rsidRPr="00202C3F" w:rsidRDefault="00B02873" w:rsidP="0012319F">
            <w:pPr>
              <w:pStyle w:val="TablebodyleftFinancialsTables"/>
              <w:jc w:val="right"/>
              <w:rPr>
                <w:rFonts w:asciiTheme="minorHAnsi" w:hAnsiTheme="minorHAnsi" w:cstheme="minorHAnsi"/>
                <w:sz w:val="18"/>
                <w:szCs w:val="18"/>
              </w:rPr>
            </w:pPr>
            <w:r w:rsidRPr="00202C3F">
              <w:rPr>
                <w:rFonts w:asciiTheme="minorHAnsi" w:hAnsiTheme="minorHAnsi" w:cstheme="minorHAnsi"/>
                <w:sz w:val="18"/>
                <w:szCs w:val="18"/>
              </w:rPr>
              <w:t>–</w:t>
            </w:r>
          </w:p>
        </w:tc>
        <w:tc>
          <w:tcPr>
            <w:tcW w:w="1189" w:type="dxa"/>
          </w:tcPr>
          <w:p w14:paraId="02262F7F" w14:textId="77777777" w:rsidR="00B02873" w:rsidRPr="00202C3F" w:rsidRDefault="00B02873" w:rsidP="0012319F">
            <w:pPr>
              <w:pStyle w:val="TablebodyleftFinancialsTables"/>
              <w:jc w:val="right"/>
              <w:rPr>
                <w:rFonts w:asciiTheme="minorHAnsi" w:hAnsiTheme="minorHAnsi" w:cstheme="minorHAnsi"/>
                <w:sz w:val="18"/>
                <w:szCs w:val="18"/>
              </w:rPr>
            </w:pPr>
            <w:r w:rsidRPr="00202C3F">
              <w:rPr>
                <w:rFonts w:asciiTheme="minorHAnsi" w:hAnsiTheme="minorHAnsi" w:cstheme="minorHAnsi"/>
                <w:sz w:val="18"/>
                <w:szCs w:val="18"/>
              </w:rPr>
              <w:t>–</w:t>
            </w:r>
          </w:p>
        </w:tc>
        <w:tc>
          <w:tcPr>
            <w:tcW w:w="1204" w:type="dxa"/>
          </w:tcPr>
          <w:p w14:paraId="0DF8BA63" w14:textId="77777777" w:rsidR="00B02873" w:rsidRPr="00202C3F" w:rsidRDefault="00B02873" w:rsidP="0012319F">
            <w:pPr>
              <w:pStyle w:val="TablebodyleftFinancialsTables"/>
              <w:jc w:val="right"/>
              <w:rPr>
                <w:rFonts w:asciiTheme="minorHAnsi" w:hAnsiTheme="minorHAnsi" w:cstheme="minorHAnsi"/>
                <w:sz w:val="18"/>
                <w:szCs w:val="18"/>
              </w:rPr>
            </w:pPr>
            <w:r w:rsidRPr="00202C3F">
              <w:rPr>
                <w:rFonts w:asciiTheme="minorHAnsi" w:hAnsiTheme="minorHAnsi" w:cstheme="minorHAnsi"/>
                <w:sz w:val="18"/>
                <w:szCs w:val="18"/>
              </w:rPr>
              <w:t>–</w:t>
            </w:r>
          </w:p>
        </w:tc>
        <w:tc>
          <w:tcPr>
            <w:tcW w:w="1155" w:type="dxa"/>
          </w:tcPr>
          <w:p w14:paraId="1A1311A1" w14:textId="77777777" w:rsidR="00B02873" w:rsidRPr="00202C3F" w:rsidRDefault="00B02873" w:rsidP="0012319F">
            <w:pPr>
              <w:pStyle w:val="TablebodyleftFinancialsTables"/>
              <w:jc w:val="right"/>
              <w:rPr>
                <w:rFonts w:asciiTheme="minorHAnsi" w:hAnsiTheme="minorHAnsi" w:cstheme="minorHAnsi"/>
                <w:sz w:val="18"/>
                <w:szCs w:val="18"/>
              </w:rPr>
            </w:pPr>
            <w:r w:rsidRPr="00202C3F">
              <w:rPr>
                <w:rFonts w:asciiTheme="minorHAnsi" w:hAnsiTheme="minorHAnsi" w:cstheme="minorHAnsi"/>
                <w:sz w:val="18"/>
                <w:szCs w:val="18"/>
              </w:rPr>
              <w:t>–</w:t>
            </w:r>
          </w:p>
        </w:tc>
        <w:tc>
          <w:tcPr>
            <w:tcW w:w="1182" w:type="dxa"/>
          </w:tcPr>
          <w:p w14:paraId="689817AA" w14:textId="77777777" w:rsidR="00B02873" w:rsidRPr="00202C3F" w:rsidRDefault="00B02873" w:rsidP="0012319F">
            <w:pPr>
              <w:pStyle w:val="TablebodyleftFinancialsTables"/>
              <w:jc w:val="right"/>
              <w:rPr>
                <w:rFonts w:asciiTheme="minorHAnsi" w:hAnsiTheme="minorHAnsi" w:cstheme="minorHAnsi"/>
                <w:sz w:val="18"/>
                <w:szCs w:val="18"/>
              </w:rPr>
            </w:pPr>
            <w:r w:rsidRPr="00202C3F">
              <w:rPr>
                <w:rFonts w:asciiTheme="minorHAnsi" w:hAnsiTheme="minorHAnsi" w:cstheme="minorHAnsi"/>
                <w:sz w:val="18"/>
                <w:szCs w:val="18"/>
              </w:rPr>
              <w:t>–</w:t>
            </w:r>
          </w:p>
        </w:tc>
        <w:tc>
          <w:tcPr>
            <w:tcW w:w="1299" w:type="dxa"/>
          </w:tcPr>
          <w:p w14:paraId="2DD0CE38" w14:textId="77777777" w:rsidR="00B02873" w:rsidRPr="00202C3F" w:rsidRDefault="00B02873" w:rsidP="0012319F">
            <w:pPr>
              <w:pStyle w:val="TablebodyleftFinancialsTables"/>
              <w:jc w:val="right"/>
              <w:rPr>
                <w:rFonts w:asciiTheme="minorHAnsi" w:hAnsiTheme="minorHAnsi" w:cstheme="minorHAnsi"/>
                <w:sz w:val="18"/>
                <w:szCs w:val="18"/>
              </w:rPr>
            </w:pPr>
            <w:r w:rsidRPr="00202C3F">
              <w:rPr>
                <w:rFonts w:asciiTheme="minorHAnsi" w:hAnsiTheme="minorHAnsi" w:cstheme="minorHAnsi"/>
                <w:sz w:val="18"/>
                <w:szCs w:val="18"/>
              </w:rPr>
              <w:t>663,336</w:t>
            </w:r>
          </w:p>
        </w:tc>
        <w:tc>
          <w:tcPr>
            <w:tcW w:w="1305" w:type="dxa"/>
          </w:tcPr>
          <w:p w14:paraId="3E83FEAE" w14:textId="77777777" w:rsidR="00B02873" w:rsidRPr="00202C3F" w:rsidRDefault="00B02873" w:rsidP="0012319F">
            <w:pPr>
              <w:pStyle w:val="TablebodyleftFinancialsTables"/>
              <w:jc w:val="right"/>
              <w:rPr>
                <w:rFonts w:asciiTheme="minorHAnsi" w:hAnsiTheme="minorHAnsi" w:cstheme="minorHAnsi"/>
                <w:sz w:val="18"/>
                <w:szCs w:val="18"/>
              </w:rPr>
            </w:pPr>
            <w:r w:rsidRPr="00202C3F">
              <w:rPr>
                <w:rFonts w:asciiTheme="minorHAnsi" w:hAnsiTheme="minorHAnsi" w:cstheme="minorHAnsi"/>
                <w:sz w:val="18"/>
                <w:szCs w:val="18"/>
              </w:rPr>
              <w:t>661,322</w:t>
            </w:r>
          </w:p>
        </w:tc>
        <w:tc>
          <w:tcPr>
            <w:tcW w:w="895" w:type="dxa"/>
          </w:tcPr>
          <w:p w14:paraId="68CE25DC" w14:textId="77777777" w:rsidR="00B02873" w:rsidRPr="00202C3F" w:rsidRDefault="00B02873" w:rsidP="0012319F">
            <w:pPr>
              <w:pStyle w:val="TablebodyleftFinancialsTables"/>
              <w:jc w:val="right"/>
              <w:rPr>
                <w:rFonts w:asciiTheme="minorHAnsi" w:hAnsiTheme="minorHAnsi" w:cstheme="minorHAnsi"/>
                <w:sz w:val="18"/>
                <w:szCs w:val="18"/>
              </w:rPr>
            </w:pPr>
            <w:r w:rsidRPr="00202C3F">
              <w:rPr>
                <w:rFonts w:asciiTheme="minorHAnsi" w:hAnsiTheme="minorHAnsi" w:cstheme="minorHAnsi"/>
                <w:sz w:val="18"/>
                <w:szCs w:val="18"/>
              </w:rPr>
              <w:t>2,014</w:t>
            </w:r>
          </w:p>
        </w:tc>
      </w:tr>
      <w:tr w:rsidR="00B02873" w:rsidRPr="00202C3F" w14:paraId="2132B17A" w14:textId="77777777" w:rsidTr="002C7839">
        <w:tc>
          <w:tcPr>
            <w:tcW w:w="4248" w:type="dxa"/>
          </w:tcPr>
          <w:p w14:paraId="62B56E53" w14:textId="77777777" w:rsidR="00B02873" w:rsidRPr="00202C3F" w:rsidRDefault="00B02873" w:rsidP="00202C3F">
            <w:pPr>
              <w:pStyle w:val="TablebodyleftFinancialsTables"/>
              <w:rPr>
                <w:rFonts w:asciiTheme="minorHAnsi" w:hAnsiTheme="minorHAnsi" w:cstheme="minorHAnsi"/>
                <w:sz w:val="18"/>
                <w:szCs w:val="18"/>
              </w:rPr>
            </w:pPr>
            <w:r w:rsidRPr="00202C3F">
              <w:rPr>
                <w:rFonts w:asciiTheme="minorHAnsi" w:hAnsiTheme="minorHAnsi" w:cstheme="minorHAnsi"/>
                <w:sz w:val="18"/>
                <w:szCs w:val="18"/>
              </w:rPr>
              <w:t xml:space="preserve">POBOS – state contribution under the </w:t>
            </w:r>
            <w:r w:rsidRPr="00202C3F">
              <w:rPr>
                <w:rStyle w:val="LightItalic"/>
                <w:rFonts w:asciiTheme="minorHAnsi" w:hAnsiTheme="minorHAnsi" w:cstheme="minorHAnsi"/>
                <w:sz w:val="18"/>
                <w:szCs w:val="18"/>
              </w:rPr>
              <w:t>Murray Darling Basin Act 1993</w:t>
            </w:r>
          </w:p>
        </w:tc>
        <w:tc>
          <w:tcPr>
            <w:tcW w:w="1305" w:type="dxa"/>
          </w:tcPr>
          <w:p w14:paraId="65563F2A" w14:textId="77777777" w:rsidR="00B02873" w:rsidRPr="00202C3F" w:rsidRDefault="00B02873" w:rsidP="0012319F">
            <w:pPr>
              <w:pStyle w:val="TablebodyleftFinancialsTables"/>
              <w:jc w:val="right"/>
              <w:rPr>
                <w:rFonts w:asciiTheme="minorHAnsi" w:hAnsiTheme="minorHAnsi" w:cstheme="minorHAnsi"/>
                <w:sz w:val="18"/>
                <w:szCs w:val="18"/>
              </w:rPr>
            </w:pPr>
            <w:r w:rsidRPr="00202C3F">
              <w:rPr>
                <w:rFonts w:asciiTheme="minorHAnsi" w:hAnsiTheme="minorHAnsi" w:cstheme="minorHAnsi"/>
                <w:sz w:val="18"/>
                <w:szCs w:val="18"/>
              </w:rPr>
              <w:t>21,800</w:t>
            </w:r>
          </w:p>
        </w:tc>
        <w:tc>
          <w:tcPr>
            <w:tcW w:w="1304" w:type="dxa"/>
          </w:tcPr>
          <w:p w14:paraId="38C2265E" w14:textId="77777777" w:rsidR="00B02873" w:rsidRPr="00202C3F" w:rsidRDefault="00B02873" w:rsidP="0012319F">
            <w:pPr>
              <w:pStyle w:val="TablebodyleftFinancialsTables"/>
              <w:jc w:val="right"/>
              <w:rPr>
                <w:rFonts w:asciiTheme="minorHAnsi" w:hAnsiTheme="minorHAnsi" w:cstheme="minorHAnsi"/>
                <w:sz w:val="18"/>
                <w:szCs w:val="18"/>
              </w:rPr>
            </w:pPr>
            <w:r w:rsidRPr="00202C3F">
              <w:rPr>
                <w:rFonts w:asciiTheme="minorHAnsi" w:hAnsiTheme="minorHAnsi" w:cstheme="minorHAnsi"/>
                <w:sz w:val="18"/>
                <w:szCs w:val="18"/>
              </w:rPr>
              <w:t>–</w:t>
            </w:r>
          </w:p>
        </w:tc>
        <w:tc>
          <w:tcPr>
            <w:tcW w:w="1189" w:type="dxa"/>
          </w:tcPr>
          <w:p w14:paraId="0B46C482" w14:textId="77777777" w:rsidR="00B02873" w:rsidRPr="00202C3F" w:rsidRDefault="00B02873" w:rsidP="0012319F">
            <w:pPr>
              <w:pStyle w:val="TablebodyleftFinancialsTables"/>
              <w:jc w:val="right"/>
              <w:rPr>
                <w:rFonts w:asciiTheme="minorHAnsi" w:hAnsiTheme="minorHAnsi" w:cstheme="minorHAnsi"/>
                <w:sz w:val="18"/>
                <w:szCs w:val="18"/>
              </w:rPr>
            </w:pPr>
            <w:r w:rsidRPr="00202C3F">
              <w:rPr>
                <w:rFonts w:asciiTheme="minorHAnsi" w:hAnsiTheme="minorHAnsi" w:cstheme="minorHAnsi"/>
                <w:sz w:val="18"/>
                <w:szCs w:val="18"/>
              </w:rPr>
              <w:t>–</w:t>
            </w:r>
          </w:p>
        </w:tc>
        <w:tc>
          <w:tcPr>
            <w:tcW w:w="1204" w:type="dxa"/>
          </w:tcPr>
          <w:p w14:paraId="34ED7955" w14:textId="77777777" w:rsidR="00B02873" w:rsidRPr="00202C3F" w:rsidRDefault="00B02873" w:rsidP="0012319F">
            <w:pPr>
              <w:pStyle w:val="TablebodyleftFinancialsTables"/>
              <w:jc w:val="right"/>
              <w:rPr>
                <w:rFonts w:asciiTheme="minorHAnsi" w:hAnsiTheme="minorHAnsi" w:cstheme="minorHAnsi"/>
                <w:sz w:val="18"/>
                <w:szCs w:val="18"/>
              </w:rPr>
            </w:pPr>
            <w:r w:rsidRPr="00202C3F">
              <w:rPr>
                <w:rFonts w:asciiTheme="minorHAnsi" w:hAnsiTheme="minorHAnsi" w:cstheme="minorHAnsi"/>
                <w:sz w:val="18"/>
                <w:szCs w:val="18"/>
              </w:rPr>
              <w:t>–</w:t>
            </w:r>
          </w:p>
        </w:tc>
        <w:tc>
          <w:tcPr>
            <w:tcW w:w="1155" w:type="dxa"/>
          </w:tcPr>
          <w:p w14:paraId="15547E02" w14:textId="77777777" w:rsidR="00B02873" w:rsidRPr="00202C3F" w:rsidRDefault="00B02873" w:rsidP="0012319F">
            <w:pPr>
              <w:pStyle w:val="TablebodyleftFinancialsTables"/>
              <w:jc w:val="right"/>
              <w:rPr>
                <w:rFonts w:asciiTheme="minorHAnsi" w:hAnsiTheme="minorHAnsi" w:cstheme="minorHAnsi"/>
                <w:sz w:val="18"/>
                <w:szCs w:val="18"/>
              </w:rPr>
            </w:pPr>
            <w:r w:rsidRPr="00202C3F">
              <w:rPr>
                <w:rFonts w:asciiTheme="minorHAnsi" w:hAnsiTheme="minorHAnsi" w:cstheme="minorHAnsi"/>
                <w:sz w:val="18"/>
                <w:szCs w:val="18"/>
              </w:rPr>
              <w:t>–</w:t>
            </w:r>
          </w:p>
        </w:tc>
        <w:tc>
          <w:tcPr>
            <w:tcW w:w="1182" w:type="dxa"/>
          </w:tcPr>
          <w:p w14:paraId="6572DB2E" w14:textId="77777777" w:rsidR="00B02873" w:rsidRPr="00202C3F" w:rsidRDefault="00B02873" w:rsidP="0012319F">
            <w:pPr>
              <w:pStyle w:val="TablebodyleftFinancialsTables"/>
              <w:jc w:val="right"/>
              <w:rPr>
                <w:rFonts w:asciiTheme="minorHAnsi" w:hAnsiTheme="minorHAnsi" w:cstheme="minorHAnsi"/>
                <w:sz w:val="18"/>
                <w:szCs w:val="18"/>
              </w:rPr>
            </w:pPr>
            <w:r w:rsidRPr="00202C3F">
              <w:rPr>
                <w:rFonts w:asciiTheme="minorHAnsi" w:hAnsiTheme="minorHAnsi" w:cstheme="minorHAnsi"/>
                <w:sz w:val="18"/>
                <w:szCs w:val="18"/>
              </w:rPr>
              <w:t>–</w:t>
            </w:r>
          </w:p>
        </w:tc>
        <w:tc>
          <w:tcPr>
            <w:tcW w:w="1299" w:type="dxa"/>
          </w:tcPr>
          <w:p w14:paraId="024F665B" w14:textId="77777777" w:rsidR="00B02873" w:rsidRPr="00202C3F" w:rsidRDefault="00B02873" w:rsidP="0012319F">
            <w:pPr>
              <w:pStyle w:val="TablebodyleftFinancialsTables"/>
              <w:jc w:val="right"/>
              <w:rPr>
                <w:rFonts w:asciiTheme="minorHAnsi" w:hAnsiTheme="minorHAnsi" w:cstheme="minorHAnsi"/>
                <w:sz w:val="18"/>
                <w:szCs w:val="18"/>
              </w:rPr>
            </w:pPr>
            <w:r w:rsidRPr="00202C3F">
              <w:rPr>
                <w:rFonts w:asciiTheme="minorHAnsi" w:hAnsiTheme="minorHAnsi" w:cstheme="minorHAnsi"/>
                <w:sz w:val="18"/>
                <w:szCs w:val="18"/>
              </w:rPr>
              <w:t>21,800</w:t>
            </w:r>
          </w:p>
        </w:tc>
        <w:tc>
          <w:tcPr>
            <w:tcW w:w="1305" w:type="dxa"/>
          </w:tcPr>
          <w:p w14:paraId="3B166117" w14:textId="77777777" w:rsidR="00B02873" w:rsidRPr="00202C3F" w:rsidRDefault="00B02873" w:rsidP="0012319F">
            <w:pPr>
              <w:pStyle w:val="TablebodyleftFinancialsTables"/>
              <w:jc w:val="right"/>
              <w:rPr>
                <w:rFonts w:asciiTheme="minorHAnsi" w:hAnsiTheme="minorHAnsi" w:cstheme="minorHAnsi"/>
                <w:sz w:val="18"/>
                <w:szCs w:val="18"/>
              </w:rPr>
            </w:pPr>
            <w:r w:rsidRPr="00202C3F">
              <w:rPr>
                <w:rFonts w:asciiTheme="minorHAnsi" w:hAnsiTheme="minorHAnsi" w:cstheme="minorHAnsi"/>
                <w:sz w:val="18"/>
                <w:szCs w:val="18"/>
              </w:rPr>
              <w:t>21,800</w:t>
            </w:r>
          </w:p>
        </w:tc>
        <w:tc>
          <w:tcPr>
            <w:tcW w:w="895" w:type="dxa"/>
          </w:tcPr>
          <w:p w14:paraId="64977364" w14:textId="77777777" w:rsidR="00B02873" w:rsidRPr="00202C3F" w:rsidRDefault="00B02873" w:rsidP="0012319F">
            <w:pPr>
              <w:pStyle w:val="TablebodyleftFinancialsTables"/>
              <w:jc w:val="right"/>
              <w:rPr>
                <w:rFonts w:asciiTheme="minorHAnsi" w:hAnsiTheme="minorHAnsi" w:cstheme="minorHAnsi"/>
                <w:sz w:val="18"/>
                <w:szCs w:val="18"/>
              </w:rPr>
            </w:pPr>
            <w:r w:rsidRPr="00202C3F">
              <w:rPr>
                <w:rFonts w:asciiTheme="minorHAnsi" w:hAnsiTheme="minorHAnsi" w:cstheme="minorHAnsi"/>
                <w:sz w:val="18"/>
                <w:szCs w:val="18"/>
              </w:rPr>
              <w:t>–</w:t>
            </w:r>
          </w:p>
        </w:tc>
      </w:tr>
      <w:tr w:rsidR="00B02873" w:rsidRPr="00202C3F" w14:paraId="1C15E08C" w14:textId="77777777" w:rsidTr="002C7839">
        <w:tc>
          <w:tcPr>
            <w:tcW w:w="4248" w:type="dxa"/>
          </w:tcPr>
          <w:p w14:paraId="30CF493F" w14:textId="77777777" w:rsidR="00B02873" w:rsidRPr="0012319F" w:rsidRDefault="00B02873" w:rsidP="00202C3F">
            <w:pPr>
              <w:pStyle w:val="TablebodyleftFinancialsTables"/>
              <w:rPr>
                <w:rFonts w:asciiTheme="minorHAnsi" w:hAnsiTheme="minorHAnsi" w:cstheme="minorHAnsi"/>
                <w:b/>
                <w:bCs/>
                <w:sz w:val="18"/>
                <w:szCs w:val="18"/>
              </w:rPr>
            </w:pPr>
            <w:r w:rsidRPr="0012319F">
              <w:rPr>
                <w:rFonts w:asciiTheme="minorHAnsi" w:hAnsiTheme="minorHAnsi" w:cstheme="minorHAnsi"/>
                <w:b/>
                <w:bCs/>
                <w:sz w:val="18"/>
                <w:szCs w:val="18"/>
              </w:rPr>
              <w:t>Total</w:t>
            </w:r>
          </w:p>
        </w:tc>
        <w:tc>
          <w:tcPr>
            <w:tcW w:w="1305" w:type="dxa"/>
          </w:tcPr>
          <w:p w14:paraId="1B39CB02" w14:textId="77777777" w:rsidR="00B02873" w:rsidRPr="00202C3F" w:rsidRDefault="00B02873" w:rsidP="0012319F">
            <w:pPr>
              <w:pStyle w:val="TablebodyleftFinancialsTables"/>
              <w:jc w:val="right"/>
              <w:rPr>
                <w:rFonts w:asciiTheme="minorHAnsi" w:hAnsiTheme="minorHAnsi" w:cstheme="minorHAnsi"/>
                <w:sz w:val="18"/>
                <w:szCs w:val="18"/>
              </w:rPr>
            </w:pPr>
            <w:r w:rsidRPr="00202C3F">
              <w:rPr>
                <w:rFonts w:asciiTheme="minorHAnsi" w:hAnsiTheme="minorHAnsi" w:cstheme="minorHAnsi"/>
                <w:sz w:val="18"/>
                <w:szCs w:val="18"/>
              </w:rPr>
              <w:t>3,049,085</w:t>
            </w:r>
          </w:p>
        </w:tc>
        <w:tc>
          <w:tcPr>
            <w:tcW w:w="1304" w:type="dxa"/>
          </w:tcPr>
          <w:p w14:paraId="132DCC65" w14:textId="77777777" w:rsidR="00B02873" w:rsidRPr="00202C3F" w:rsidRDefault="00B02873" w:rsidP="0012319F">
            <w:pPr>
              <w:pStyle w:val="TablebodyleftFinancialsTables"/>
              <w:jc w:val="right"/>
              <w:rPr>
                <w:rFonts w:asciiTheme="minorHAnsi" w:hAnsiTheme="minorHAnsi" w:cstheme="minorHAnsi"/>
                <w:sz w:val="18"/>
                <w:szCs w:val="18"/>
              </w:rPr>
            </w:pPr>
            <w:r w:rsidRPr="00202C3F">
              <w:rPr>
                <w:rFonts w:asciiTheme="minorHAnsi" w:hAnsiTheme="minorHAnsi" w:cstheme="minorHAnsi"/>
                <w:sz w:val="18"/>
                <w:szCs w:val="18"/>
              </w:rPr>
              <w:t>118,666</w:t>
            </w:r>
          </w:p>
        </w:tc>
        <w:tc>
          <w:tcPr>
            <w:tcW w:w="1189" w:type="dxa"/>
          </w:tcPr>
          <w:p w14:paraId="5F06E8CD" w14:textId="77777777" w:rsidR="00B02873" w:rsidRPr="00202C3F" w:rsidRDefault="00B02873" w:rsidP="0012319F">
            <w:pPr>
              <w:pStyle w:val="TablebodyleftFinancialsTables"/>
              <w:jc w:val="right"/>
              <w:rPr>
                <w:rFonts w:asciiTheme="minorHAnsi" w:hAnsiTheme="minorHAnsi" w:cstheme="minorHAnsi"/>
                <w:sz w:val="18"/>
                <w:szCs w:val="18"/>
              </w:rPr>
            </w:pPr>
            <w:r w:rsidRPr="00202C3F">
              <w:rPr>
                <w:rFonts w:asciiTheme="minorHAnsi" w:hAnsiTheme="minorHAnsi" w:cstheme="minorHAnsi"/>
                <w:sz w:val="18"/>
                <w:szCs w:val="18"/>
              </w:rPr>
              <w:t>237,239</w:t>
            </w:r>
          </w:p>
        </w:tc>
        <w:tc>
          <w:tcPr>
            <w:tcW w:w="1204" w:type="dxa"/>
          </w:tcPr>
          <w:p w14:paraId="271DDD76" w14:textId="77777777" w:rsidR="00B02873" w:rsidRPr="00202C3F" w:rsidRDefault="00B02873" w:rsidP="0012319F">
            <w:pPr>
              <w:pStyle w:val="TablebodyleftFinancialsTables"/>
              <w:jc w:val="right"/>
              <w:rPr>
                <w:rFonts w:asciiTheme="minorHAnsi" w:hAnsiTheme="minorHAnsi" w:cstheme="minorHAnsi"/>
                <w:sz w:val="18"/>
                <w:szCs w:val="18"/>
              </w:rPr>
            </w:pPr>
            <w:r w:rsidRPr="00202C3F">
              <w:rPr>
                <w:rFonts w:asciiTheme="minorHAnsi" w:hAnsiTheme="minorHAnsi" w:cstheme="minorHAnsi"/>
                <w:sz w:val="18"/>
                <w:szCs w:val="18"/>
              </w:rPr>
              <w:t>–</w:t>
            </w:r>
          </w:p>
        </w:tc>
        <w:tc>
          <w:tcPr>
            <w:tcW w:w="1155" w:type="dxa"/>
          </w:tcPr>
          <w:p w14:paraId="3FC5BB4E" w14:textId="77777777" w:rsidR="00B02873" w:rsidRPr="00202C3F" w:rsidRDefault="00B02873" w:rsidP="0012319F">
            <w:pPr>
              <w:pStyle w:val="TablebodyleftFinancialsTables"/>
              <w:jc w:val="right"/>
              <w:rPr>
                <w:rFonts w:asciiTheme="minorHAnsi" w:hAnsiTheme="minorHAnsi" w:cstheme="minorHAnsi"/>
                <w:sz w:val="18"/>
                <w:szCs w:val="18"/>
              </w:rPr>
            </w:pPr>
            <w:r w:rsidRPr="00202C3F">
              <w:rPr>
                <w:rFonts w:asciiTheme="minorHAnsi" w:hAnsiTheme="minorHAnsi" w:cstheme="minorHAnsi"/>
                <w:sz w:val="18"/>
                <w:szCs w:val="18"/>
              </w:rPr>
              <w:t>18,305</w:t>
            </w:r>
          </w:p>
        </w:tc>
        <w:tc>
          <w:tcPr>
            <w:tcW w:w="1182" w:type="dxa"/>
          </w:tcPr>
          <w:p w14:paraId="1FAF6519" w14:textId="77777777" w:rsidR="00B02873" w:rsidRPr="00202C3F" w:rsidRDefault="00B02873" w:rsidP="0012319F">
            <w:pPr>
              <w:pStyle w:val="TablebodyleftFinancialsTables"/>
              <w:jc w:val="right"/>
              <w:rPr>
                <w:rFonts w:asciiTheme="minorHAnsi" w:hAnsiTheme="minorHAnsi" w:cstheme="minorHAnsi"/>
                <w:sz w:val="18"/>
                <w:szCs w:val="18"/>
              </w:rPr>
            </w:pPr>
            <w:r w:rsidRPr="00202C3F">
              <w:rPr>
                <w:rFonts w:asciiTheme="minorHAnsi" w:hAnsiTheme="minorHAnsi" w:cstheme="minorHAnsi"/>
                <w:sz w:val="18"/>
                <w:szCs w:val="18"/>
              </w:rPr>
              <w:t>–</w:t>
            </w:r>
          </w:p>
        </w:tc>
        <w:tc>
          <w:tcPr>
            <w:tcW w:w="1299" w:type="dxa"/>
          </w:tcPr>
          <w:p w14:paraId="26C627AE" w14:textId="77777777" w:rsidR="00B02873" w:rsidRPr="00202C3F" w:rsidRDefault="00B02873" w:rsidP="0012319F">
            <w:pPr>
              <w:pStyle w:val="TablebodyleftFinancialsTables"/>
              <w:jc w:val="right"/>
              <w:rPr>
                <w:rFonts w:asciiTheme="minorHAnsi" w:hAnsiTheme="minorHAnsi" w:cstheme="minorHAnsi"/>
                <w:sz w:val="18"/>
                <w:szCs w:val="18"/>
              </w:rPr>
            </w:pPr>
            <w:r w:rsidRPr="00202C3F">
              <w:rPr>
                <w:rFonts w:asciiTheme="minorHAnsi" w:hAnsiTheme="minorHAnsi" w:cstheme="minorHAnsi"/>
                <w:sz w:val="18"/>
                <w:szCs w:val="18"/>
              </w:rPr>
              <w:t>3,423,295</w:t>
            </w:r>
          </w:p>
        </w:tc>
        <w:tc>
          <w:tcPr>
            <w:tcW w:w="1305" w:type="dxa"/>
          </w:tcPr>
          <w:p w14:paraId="1AED0F83" w14:textId="77777777" w:rsidR="00B02873" w:rsidRPr="00202C3F" w:rsidRDefault="00B02873" w:rsidP="0012319F">
            <w:pPr>
              <w:pStyle w:val="TablebodyleftFinancialsTables"/>
              <w:jc w:val="right"/>
              <w:rPr>
                <w:rFonts w:asciiTheme="minorHAnsi" w:hAnsiTheme="minorHAnsi" w:cstheme="minorHAnsi"/>
                <w:sz w:val="18"/>
                <w:szCs w:val="18"/>
              </w:rPr>
            </w:pPr>
            <w:r w:rsidRPr="00202C3F">
              <w:rPr>
                <w:rFonts w:asciiTheme="minorHAnsi" w:hAnsiTheme="minorHAnsi" w:cstheme="minorHAnsi"/>
                <w:sz w:val="18"/>
                <w:szCs w:val="18"/>
              </w:rPr>
              <w:t>3,204,000</w:t>
            </w:r>
          </w:p>
        </w:tc>
        <w:tc>
          <w:tcPr>
            <w:tcW w:w="895" w:type="dxa"/>
          </w:tcPr>
          <w:p w14:paraId="1378CB24" w14:textId="77777777" w:rsidR="00B02873" w:rsidRPr="00202C3F" w:rsidRDefault="00B02873" w:rsidP="0012319F">
            <w:pPr>
              <w:pStyle w:val="TablebodyleftFinancialsTables"/>
              <w:jc w:val="right"/>
              <w:rPr>
                <w:rFonts w:asciiTheme="minorHAnsi" w:hAnsiTheme="minorHAnsi" w:cstheme="minorHAnsi"/>
                <w:sz w:val="18"/>
                <w:szCs w:val="18"/>
              </w:rPr>
            </w:pPr>
            <w:r w:rsidRPr="00202C3F">
              <w:rPr>
                <w:rFonts w:asciiTheme="minorHAnsi" w:hAnsiTheme="minorHAnsi" w:cstheme="minorHAnsi"/>
                <w:sz w:val="18"/>
                <w:szCs w:val="18"/>
              </w:rPr>
              <w:t>219,295</w:t>
            </w:r>
          </w:p>
        </w:tc>
      </w:tr>
    </w:tbl>
    <w:p w14:paraId="4533AEF1" w14:textId="77777777" w:rsidR="00202C3F" w:rsidRPr="007B509E" w:rsidRDefault="00202C3F" w:rsidP="00B02873">
      <w:pPr>
        <w:pStyle w:val="Heading4Headings"/>
        <w:rPr>
          <w:rFonts w:ascii="Arial" w:hAnsi="Arial" w:cs="VIC SemiBold Italic"/>
        </w:rPr>
        <w:sectPr w:rsidR="00202C3F" w:rsidRPr="007B509E" w:rsidSect="00202C3F">
          <w:pgSz w:w="16838" w:h="11906" w:orient="landscape" w:code="9"/>
          <w:pgMar w:top="1134" w:right="1134" w:bottom="1134" w:left="1134" w:header="720" w:footer="720" w:gutter="0"/>
          <w:cols w:space="720"/>
          <w:noEndnote/>
          <w:docGrid w:linePitch="299"/>
        </w:sectPr>
      </w:pPr>
    </w:p>
    <w:p w14:paraId="50D0F9B4" w14:textId="5078CBEA" w:rsidR="00B02873" w:rsidRDefault="00B02873" w:rsidP="0012319F">
      <w:pPr>
        <w:pStyle w:val="Heading4"/>
      </w:pPr>
      <w:r>
        <w:lastRenderedPageBreak/>
        <w:t>(a) Variance analysis</w:t>
      </w:r>
    </w:p>
    <w:p w14:paraId="7C085FE7" w14:textId="77777777" w:rsidR="00B02873" w:rsidRPr="0012319F" w:rsidRDefault="00B02873" w:rsidP="0012319F">
      <w:pPr>
        <w:pStyle w:val="Heading5"/>
      </w:pPr>
      <w:r w:rsidRPr="0012319F">
        <w:t>(i) Provision of outputs</w:t>
      </w:r>
    </w:p>
    <w:p w14:paraId="6854283D" w14:textId="0C0945BD" w:rsidR="00B02873" w:rsidRDefault="00B02873" w:rsidP="00411D44">
      <w:pPr>
        <w:pStyle w:val="Normalbeforebullet"/>
      </w:pPr>
      <w:r>
        <w:t>The 2022 variance predominately relates to the recashflow of funding available in 2021-22 for use in future years for the Energy Innovation Fund ($27.8 million) to align with an Expenditure Review Committee decision and the following programs which experienced delays due to disruption to supply chains, COVIDSafe settings and/or adverse weather events:</w:t>
      </w:r>
    </w:p>
    <w:p w14:paraId="7F9887CB" w14:textId="77777777" w:rsidR="00B02873" w:rsidRDefault="00B02873" w:rsidP="00B02873">
      <w:pPr>
        <w:pStyle w:val="Bullet1Lists"/>
      </w:pPr>
      <w:r>
        <w:t xml:space="preserve">Energy Efficiency Upgrades for Homes Program ($44.2 million), </w:t>
      </w:r>
    </w:p>
    <w:p w14:paraId="199E7C92" w14:textId="2EE5F8D2" w:rsidR="00B02873" w:rsidRDefault="00B02873" w:rsidP="00B02873">
      <w:pPr>
        <w:pStyle w:val="Bullet1Lists"/>
      </w:pPr>
      <w:r>
        <w:t>Bushfire Biodiversity Recovery</w:t>
      </w:r>
      <w:r w:rsidR="000C45FC">
        <w:t xml:space="preserve"> – </w:t>
      </w:r>
      <w:r>
        <w:t xml:space="preserve">Supporting economic growth ($8.0 million), </w:t>
      </w:r>
    </w:p>
    <w:p w14:paraId="701DB066" w14:textId="77777777" w:rsidR="00B02873" w:rsidRDefault="00B02873" w:rsidP="00B02873">
      <w:pPr>
        <w:pStyle w:val="Bullet1Lists"/>
      </w:pPr>
      <w:r>
        <w:t xml:space="preserve">Strategic Fuel breaks to respond to Climate Change ($9.5 million), </w:t>
      </w:r>
    </w:p>
    <w:p w14:paraId="3E051E35" w14:textId="5907DAF8" w:rsidR="00B02873" w:rsidRDefault="00B02873" w:rsidP="00B02873">
      <w:pPr>
        <w:pStyle w:val="Bullet1Lists"/>
      </w:pPr>
      <w:r>
        <w:t>Solar Victoria Virtual Power Plant rephase</w:t>
      </w:r>
      <w:r w:rsidR="00411D44">
        <w:t xml:space="preserve"> </w:t>
      </w:r>
      <w:r>
        <w:t xml:space="preserve">($7.5 million), </w:t>
      </w:r>
    </w:p>
    <w:p w14:paraId="6564B97C" w14:textId="77777777" w:rsidR="00B02873" w:rsidRDefault="00B02873" w:rsidP="00B02873">
      <w:pPr>
        <w:pStyle w:val="Bullet1Lists"/>
      </w:pPr>
      <w:r>
        <w:t xml:space="preserve">Accelerating Adoption of Zero Emission Vehicles ($4.7 million), and </w:t>
      </w:r>
    </w:p>
    <w:p w14:paraId="642CA8E7" w14:textId="77777777" w:rsidR="00B02873" w:rsidRDefault="00B02873" w:rsidP="00411D44">
      <w:pPr>
        <w:pStyle w:val="Bullet1Listslast"/>
      </w:pPr>
      <w:r>
        <w:t>Victorian Forestry Plan ($4.2 million).</w:t>
      </w:r>
    </w:p>
    <w:p w14:paraId="2058A479" w14:textId="77777777" w:rsidR="00B02873" w:rsidRDefault="00B02873" w:rsidP="00411D44">
      <w:pPr>
        <w:pStyle w:val="Heading5"/>
      </w:pPr>
      <w:r>
        <w:t>(ii) Additions to net assets base (ATNAB)</w:t>
      </w:r>
    </w:p>
    <w:p w14:paraId="03AA87C8" w14:textId="77777777" w:rsidR="00B02873" w:rsidRDefault="00B02873" w:rsidP="00FE198A">
      <w:r>
        <w:t xml:space="preserve">The 2022 variance primarily relates to the carryover of funding to 2022-23 for the department’s Strategic Asset Management plan which experienced delivery delays due to COVID-19 restrictions, supply and labour shortages. </w:t>
      </w:r>
    </w:p>
    <w:p w14:paraId="4027C49F" w14:textId="77777777" w:rsidR="00B02873" w:rsidRDefault="00B02873" w:rsidP="00411D44">
      <w:pPr>
        <w:pStyle w:val="Heading5"/>
      </w:pPr>
      <w:r>
        <w:t>(iii) Payments made on behalf of the state (POBOS)</w:t>
      </w:r>
    </w:p>
    <w:p w14:paraId="50AECDBE" w14:textId="1D683736" w:rsidR="00B02873" w:rsidRDefault="00B02873" w:rsidP="00FE198A">
      <w:r>
        <w:t>The 2022 variances primarily relates to the following the recashflow of funding available in 2021-22 for use in future years for the Victorian Desalination Project. It is anticipated that all banked Renewable Energy Certificates accumulated from prior years will be fully utilised by 2024-25, therefore increasing costs to meet future water orders from 2025-26 onwards.</w:t>
      </w:r>
    </w:p>
    <w:p w14:paraId="5D17E4E3" w14:textId="77777777" w:rsidR="00B02873" w:rsidRDefault="00B02873" w:rsidP="00411D44">
      <w:pPr>
        <w:pStyle w:val="Heading5"/>
      </w:pPr>
      <w:r>
        <w:t>(iv) Section 30</w:t>
      </w:r>
    </w:p>
    <w:p w14:paraId="78B4C3C2" w14:textId="77777777" w:rsidR="00B02873" w:rsidRDefault="00B02873" w:rsidP="00FE198A">
      <w:r>
        <w:t xml:space="preserve">The transfer between capital and output expenditure, pursuant to section 30 of the </w:t>
      </w:r>
      <w:r w:rsidRPr="00411D44">
        <w:rPr>
          <w:rStyle w:val="LightItalic"/>
          <w:rFonts w:asciiTheme="minorHAnsi" w:hAnsiTheme="minorHAnsi" w:cstheme="minorHAnsi"/>
        </w:rPr>
        <w:t>Financial Management Act 1994</w:t>
      </w:r>
      <w:r>
        <w:t>, predominantly relates to the following:</w:t>
      </w:r>
    </w:p>
    <w:p w14:paraId="49C6EDE0" w14:textId="77777777" w:rsidR="00B02873" w:rsidRDefault="00B02873" w:rsidP="00B02873">
      <w:pPr>
        <w:pStyle w:val="Bullet1Lists"/>
      </w:pPr>
      <w:r>
        <w:t>Higher depreciation expenditure associated with the revaluation of assets ($8.5 million).</w:t>
      </w:r>
    </w:p>
    <w:p w14:paraId="6FA082B6" w14:textId="5E9548DB" w:rsidR="00B02873" w:rsidRDefault="00B02873" w:rsidP="00411D44">
      <w:pPr>
        <w:pStyle w:val="Bullet1Listslast"/>
      </w:pPr>
      <w:r>
        <w:t>Great Ocean Road Management Reforms and Coastal Trail to enable a grant to be provided to Great Ocean Road Coast and Parks Authority under a funding agreement ($11.8 million).</w:t>
      </w:r>
    </w:p>
    <w:p w14:paraId="7BC3863C" w14:textId="22B7A219" w:rsidR="00B02873" w:rsidRDefault="00B02873" w:rsidP="00FE198A">
      <w:r>
        <w:t xml:space="preserve">The transfer between output and State contributions under the </w:t>
      </w:r>
      <w:r w:rsidRPr="00C00328">
        <w:rPr>
          <w:rStyle w:val="LightItalic"/>
          <w:rFonts w:asciiTheme="minorHAnsi" w:hAnsiTheme="minorHAnsi" w:cstheme="minorHAnsi"/>
        </w:rPr>
        <w:t>Murray Darling Basin Act 1993</w:t>
      </w:r>
      <w:r>
        <w:t xml:space="preserve"> ($6.9 million) was to ensure the appropriate level of resources to continue the Murray Darling Basin Authority program in line with the Government’s commitment.</w:t>
      </w:r>
    </w:p>
    <w:p w14:paraId="79F140DE" w14:textId="77777777" w:rsidR="00B02873" w:rsidRDefault="00B02873" w:rsidP="00C00328">
      <w:pPr>
        <w:pStyle w:val="Heading4"/>
      </w:pPr>
      <w:r>
        <w:t>2.2.2 Summary of compliance with special appropriations</w:t>
      </w:r>
    </w:p>
    <w:tbl>
      <w:tblPr>
        <w:tblStyle w:val="TableGrid"/>
        <w:tblW w:w="9634" w:type="dxa"/>
        <w:tblLayout w:type="fixed"/>
        <w:tblLook w:val="0020" w:firstRow="1" w:lastRow="0" w:firstColumn="0" w:lastColumn="0" w:noHBand="0" w:noVBand="0"/>
      </w:tblPr>
      <w:tblGrid>
        <w:gridCol w:w="3685"/>
        <w:gridCol w:w="2831"/>
        <w:gridCol w:w="1559"/>
        <w:gridCol w:w="1559"/>
      </w:tblGrid>
      <w:tr w:rsidR="00B02873" w:rsidRPr="00C00328" w14:paraId="06E93488" w14:textId="77777777" w:rsidTr="00C00328">
        <w:trPr>
          <w:cnfStyle w:val="100000000000" w:firstRow="1" w:lastRow="0" w:firstColumn="0" w:lastColumn="0" w:oddVBand="0" w:evenVBand="0" w:oddHBand="0" w:evenHBand="0" w:firstRowFirstColumn="0" w:firstRowLastColumn="0" w:lastRowFirstColumn="0" w:lastRowLastColumn="0"/>
          <w:trHeight w:val="60"/>
        </w:trPr>
        <w:tc>
          <w:tcPr>
            <w:tcW w:w="3685" w:type="dxa"/>
          </w:tcPr>
          <w:p w14:paraId="5BF0FC3A" w14:textId="77777777" w:rsidR="00B02873" w:rsidRPr="00C00328" w:rsidRDefault="00B02873" w:rsidP="00C00328">
            <w:pPr>
              <w:pStyle w:val="TableheadingleftFinancialsTables"/>
              <w:rPr>
                <w:rFonts w:asciiTheme="minorHAnsi" w:hAnsiTheme="minorHAnsi" w:cstheme="minorHAnsi"/>
              </w:rPr>
            </w:pPr>
            <w:r w:rsidRPr="00C00328">
              <w:rPr>
                <w:rFonts w:asciiTheme="minorHAnsi" w:hAnsiTheme="minorHAnsi" w:cstheme="minorHAnsi"/>
              </w:rPr>
              <w:t>Authority</w:t>
            </w:r>
          </w:p>
        </w:tc>
        <w:tc>
          <w:tcPr>
            <w:tcW w:w="2831" w:type="dxa"/>
          </w:tcPr>
          <w:p w14:paraId="4709164F" w14:textId="77777777" w:rsidR="00B02873" w:rsidRPr="00C00328" w:rsidRDefault="00B02873" w:rsidP="00C00328">
            <w:pPr>
              <w:pStyle w:val="TableheadingleftFinancialsTables"/>
              <w:rPr>
                <w:rFonts w:asciiTheme="minorHAnsi" w:hAnsiTheme="minorHAnsi" w:cstheme="minorHAnsi"/>
              </w:rPr>
            </w:pPr>
            <w:r w:rsidRPr="00C00328">
              <w:rPr>
                <w:rFonts w:asciiTheme="minorHAnsi" w:hAnsiTheme="minorHAnsi" w:cstheme="minorHAnsi"/>
              </w:rPr>
              <w:t>Purpose</w:t>
            </w:r>
          </w:p>
        </w:tc>
        <w:tc>
          <w:tcPr>
            <w:tcW w:w="1559" w:type="dxa"/>
          </w:tcPr>
          <w:p w14:paraId="42A9BB5A" w14:textId="5F2C9725" w:rsidR="00B02873" w:rsidRPr="00C00328" w:rsidRDefault="00C00328" w:rsidP="00C00328">
            <w:pPr>
              <w:pStyle w:val="TableheadingleftFinancialsTables"/>
              <w:jc w:val="right"/>
              <w:rPr>
                <w:rFonts w:asciiTheme="minorHAnsi" w:hAnsiTheme="minorHAnsi" w:cstheme="minorHAnsi"/>
              </w:rPr>
            </w:pPr>
            <w:r w:rsidRPr="00C00328">
              <w:rPr>
                <w:rFonts w:asciiTheme="minorHAnsi" w:hAnsiTheme="minorHAnsi" w:cstheme="minorHAnsi"/>
              </w:rPr>
              <w:t xml:space="preserve">Appropriation Applied </w:t>
            </w:r>
            <w:r w:rsidR="00B02873" w:rsidRPr="00C00328">
              <w:rPr>
                <w:rFonts w:asciiTheme="minorHAnsi" w:hAnsiTheme="minorHAnsi" w:cstheme="minorHAnsi"/>
              </w:rPr>
              <w:t>2022</w:t>
            </w:r>
            <w:r w:rsidR="00B02873" w:rsidRPr="00C00328">
              <w:rPr>
                <w:rFonts w:asciiTheme="minorHAnsi" w:hAnsiTheme="minorHAnsi" w:cstheme="minorHAnsi"/>
              </w:rPr>
              <w:br/>
              <w:t>$’000</w:t>
            </w:r>
          </w:p>
        </w:tc>
        <w:tc>
          <w:tcPr>
            <w:tcW w:w="1559" w:type="dxa"/>
          </w:tcPr>
          <w:p w14:paraId="04853FB2" w14:textId="5468B15B" w:rsidR="00B02873" w:rsidRPr="00C00328" w:rsidRDefault="00C00328" w:rsidP="00C00328">
            <w:pPr>
              <w:pStyle w:val="TableheadingleftFinancialsTables"/>
              <w:jc w:val="right"/>
              <w:rPr>
                <w:rFonts w:asciiTheme="minorHAnsi" w:hAnsiTheme="minorHAnsi" w:cstheme="minorHAnsi"/>
              </w:rPr>
            </w:pPr>
            <w:r w:rsidRPr="00C00328">
              <w:rPr>
                <w:rFonts w:asciiTheme="minorHAnsi" w:hAnsiTheme="minorHAnsi" w:cstheme="minorHAnsi"/>
              </w:rPr>
              <w:t xml:space="preserve">Appropriation Applied </w:t>
            </w:r>
            <w:r w:rsidR="00B02873" w:rsidRPr="00C00328">
              <w:rPr>
                <w:rFonts w:asciiTheme="minorHAnsi" w:hAnsiTheme="minorHAnsi" w:cstheme="minorHAnsi"/>
              </w:rPr>
              <w:t>2021</w:t>
            </w:r>
            <w:r w:rsidR="00B02873" w:rsidRPr="00C00328">
              <w:rPr>
                <w:rFonts w:asciiTheme="minorHAnsi" w:hAnsiTheme="minorHAnsi" w:cstheme="minorHAnsi"/>
              </w:rPr>
              <w:br/>
              <w:t>$’000</w:t>
            </w:r>
          </w:p>
        </w:tc>
      </w:tr>
      <w:tr w:rsidR="00B02873" w:rsidRPr="00C00328" w14:paraId="31309694" w14:textId="77777777" w:rsidTr="00C00328">
        <w:trPr>
          <w:trHeight w:val="60"/>
        </w:trPr>
        <w:tc>
          <w:tcPr>
            <w:tcW w:w="3685" w:type="dxa"/>
          </w:tcPr>
          <w:p w14:paraId="3B9106F8" w14:textId="77777777" w:rsidR="00B02873" w:rsidRPr="00C00328" w:rsidRDefault="00B02873" w:rsidP="00C00328">
            <w:pPr>
              <w:pStyle w:val="TablebodyleftFinancialsTables"/>
              <w:rPr>
                <w:rFonts w:asciiTheme="minorHAnsi" w:hAnsiTheme="minorHAnsi" w:cstheme="minorHAnsi"/>
              </w:rPr>
            </w:pPr>
            <w:r w:rsidRPr="00C00328">
              <w:rPr>
                <w:rFonts w:asciiTheme="minorHAnsi" w:hAnsiTheme="minorHAnsi" w:cstheme="minorHAnsi"/>
              </w:rPr>
              <w:t>Output special appropriations</w:t>
            </w:r>
          </w:p>
        </w:tc>
        <w:tc>
          <w:tcPr>
            <w:tcW w:w="2831" w:type="dxa"/>
          </w:tcPr>
          <w:p w14:paraId="45C52F76" w14:textId="77777777" w:rsidR="00B02873" w:rsidRPr="00C00328" w:rsidRDefault="00B02873" w:rsidP="00C00328">
            <w:pPr>
              <w:pStyle w:val="TablebodyleftFinancialsTables"/>
              <w:rPr>
                <w:rFonts w:asciiTheme="minorHAnsi" w:hAnsiTheme="minorHAnsi" w:cstheme="minorHAnsi"/>
              </w:rPr>
            </w:pPr>
          </w:p>
        </w:tc>
        <w:tc>
          <w:tcPr>
            <w:tcW w:w="1559" w:type="dxa"/>
          </w:tcPr>
          <w:p w14:paraId="38BA93C4" w14:textId="77777777" w:rsidR="00B02873" w:rsidRPr="00C00328" w:rsidRDefault="00B02873" w:rsidP="00C00328">
            <w:pPr>
              <w:pStyle w:val="TablebodyleftFinancialsTables"/>
              <w:jc w:val="right"/>
              <w:rPr>
                <w:rFonts w:asciiTheme="minorHAnsi" w:hAnsiTheme="minorHAnsi" w:cstheme="minorHAnsi"/>
                <w:b/>
                <w:bCs/>
              </w:rPr>
            </w:pPr>
          </w:p>
        </w:tc>
        <w:tc>
          <w:tcPr>
            <w:tcW w:w="1559" w:type="dxa"/>
          </w:tcPr>
          <w:p w14:paraId="68C38E22" w14:textId="77777777" w:rsidR="00B02873" w:rsidRPr="00C00328" w:rsidRDefault="00B02873" w:rsidP="00C00328">
            <w:pPr>
              <w:pStyle w:val="TablebodyleftFinancialsTables"/>
              <w:jc w:val="right"/>
              <w:rPr>
                <w:rFonts w:asciiTheme="minorHAnsi" w:hAnsiTheme="minorHAnsi" w:cstheme="minorHAnsi"/>
              </w:rPr>
            </w:pPr>
          </w:p>
        </w:tc>
      </w:tr>
      <w:tr w:rsidR="00B02873" w:rsidRPr="00C00328" w14:paraId="5A4E3467" w14:textId="77777777" w:rsidTr="00C00328">
        <w:trPr>
          <w:trHeight w:val="60"/>
        </w:trPr>
        <w:tc>
          <w:tcPr>
            <w:tcW w:w="3685" w:type="dxa"/>
          </w:tcPr>
          <w:p w14:paraId="300D78A5" w14:textId="55CF1974" w:rsidR="00B02873" w:rsidRPr="00C00328" w:rsidRDefault="00B02873" w:rsidP="00C00328">
            <w:pPr>
              <w:pStyle w:val="TablebodyleftFinancialsTables"/>
              <w:rPr>
                <w:rFonts w:asciiTheme="minorHAnsi" w:hAnsiTheme="minorHAnsi" w:cstheme="minorHAnsi"/>
              </w:rPr>
            </w:pPr>
            <w:r w:rsidRPr="00C00328">
              <w:rPr>
                <w:rFonts w:asciiTheme="minorHAnsi" w:hAnsiTheme="minorHAnsi" w:cstheme="minorHAnsi"/>
              </w:rPr>
              <w:t xml:space="preserve">Section 201V of the Planning and Environmental Act 1987 </w:t>
            </w:r>
          </w:p>
        </w:tc>
        <w:tc>
          <w:tcPr>
            <w:tcW w:w="2831" w:type="dxa"/>
          </w:tcPr>
          <w:p w14:paraId="0FDA135B" w14:textId="77777777" w:rsidR="00B02873" w:rsidRPr="00C00328" w:rsidRDefault="00B02873" w:rsidP="00C00328">
            <w:pPr>
              <w:pStyle w:val="TablebodyleftFinancialsTables"/>
              <w:rPr>
                <w:rFonts w:asciiTheme="minorHAnsi" w:hAnsiTheme="minorHAnsi" w:cstheme="minorHAnsi"/>
              </w:rPr>
            </w:pPr>
            <w:r w:rsidRPr="00C00328">
              <w:rPr>
                <w:rFonts w:asciiTheme="minorHAnsi" w:hAnsiTheme="minorHAnsi" w:cstheme="minorHAnsi"/>
              </w:rPr>
              <w:t>Growth Area Infrastructure Contributions</w:t>
            </w:r>
          </w:p>
        </w:tc>
        <w:tc>
          <w:tcPr>
            <w:tcW w:w="1559" w:type="dxa"/>
          </w:tcPr>
          <w:p w14:paraId="3C25537D" w14:textId="77777777" w:rsidR="00B02873" w:rsidRPr="00C00328" w:rsidRDefault="00B02873" w:rsidP="00C00328">
            <w:pPr>
              <w:pStyle w:val="TablebodyleftFinancialsTables"/>
              <w:jc w:val="right"/>
              <w:rPr>
                <w:rFonts w:asciiTheme="minorHAnsi" w:hAnsiTheme="minorHAnsi" w:cstheme="minorHAnsi"/>
                <w:b/>
                <w:bCs/>
              </w:rPr>
            </w:pPr>
            <w:r w:rsidRPr="00C00328">
              <w:rPr>
                <w:rFonts w:asciiTheme="minorHAnsi" w:hAnsiTheme="minorHAnsi" w:cstheme="minorHAnsi"/>
                <w:b/>
                <w:bCs/>
              </w:rPr>
              <w:t>181,720</w:t>
            </w:r>
          </w:p>
        </w:tc>
        <w:tc>
          <w:tcPr>
            <w:tcW w:w="1559" w:type="dxa"/>
          </w:tcPr>
          <w:p w14:paraId="7F00BC8C" w14:textId="77777777" w:rsidR="00B02873" w:rsidRPr="00C00328" w:rsidRDefault="00B02873" w:rsidP="00C00328">
            <w:pPr>
              <w:pStyle w:val="TablebodyleftFinancialsTables"/>
              <w:jc w:val="right"/>
              <w:rPr>
                <w:rFonts w:asciiTheme="minorHAnsi" w:hAnsiTheme="minorHAnsi" w:cstheme="minorHAnsi"/>
              </w:rPr>
            </w:pPr>
            <w:r w:rsidRPr="00C00328">
              <w:rPr>
                <w:rFonts w:asciiTheme="minorHAnsi" w:hAnsiTheme="minorHAnsi" w:cstheme="minorHAnsi"/>
              </w:rPr>
              <w:t>122,629</w:t>
            </w:r>
          </w:p>
        </w:tc>
      </w:tr>
      <w:tr w:rsidR="00B02873" w:rsidRPr="00C00328" w14:paraId="72AE19D9" w14:textId="77777777" w:rsidTr="00C00328">
        <w:trPr>
          <w:trHeight w:val="60"/>
        </w:trPr>
        <w:tc>
          <w:tcPr>
            <w:tcW w:w="3685" w:type="dxa"/>
          </w:tcPr>
          <w:p w14:paraId="053D42D7" w14:textId="77777777" w:rsidR="00B02873" w:rsidRPr="00C00328" w:rsidRDefault="00B02873" w:rsidP="00C00328">
            <w:pPr>
              <w:pStyle w:val="TablebodyleftFinancialsTables"/>
              <w:rPr>
                <w:rFonts w:asciiTheme="minorHAnsi" w:hAnsiTheme="minorHAnsi" w:cstheme="minorHAnsi"/>
                <w:b/>
                <w:bCs/>
              </w:rPr>
            </w:pPr>
            <w:r w:rsidRPr="00C00328">
              <w:rPr>
                <w:rFonts w:asciiTheme="minorHAnsi" w:hAnsiTheme="minorHAnsi" w:cstheme="minorHAnsi"/>
                <w:b/>
                <w:bCs/>
              </w:rPr>
              <w:t>Total special appropriations</w:t>
            </w:r>
          </w:p>
        </w:tc>
        <w:tc>
          <w:tcPr>
            <w:tcW w:w="2831" w:type="dxa"/>
          </w:tcPr>
          <w:p w14:paraId="1A39E968" w14:textId="77777777" w:rsidR="00B02873" w:rsidRPr="00C00328" w:rsidRDefault="00B02873" w:rsidP="00C00328">
            <w:pPr>
              <w:pStyle w:val="TablebodyleftFinancialsTables"/>
              <w:rPr>
                <w:rFonts w:asciiTheme="minorHAnsi" w:hAnsiTheme="minorHAnsi" w:cstheme="minorHAnsi"/>
              </w:rPr>
            </w:pPr>
          </w:p>
        </w:tc>
        <w:tc>
          <w:tcPr>
            <w:tcW w:w="1559" w:type="dxa"/>
          </w:tcPr>
          <w:p w14:paraId="3ABBF035" w14:textId="77777777" w:rsidR="00B02873" w:rsidRPr="00C00328" w:rsidRDefault="00B02873" w:rsidP="00C00328">
            <w:pPr>
              <w:pStyle w:val="TablebodyleftFinancialsTables"/>
              <w:jc w:val="right"/>
              <w:rPr>
                <w:rFonts w:asciiTheme="minorHAnsi" w:hAnsiTheme="minorHAnsi" w:cstheme="minorHAnsi"/>
                <w:b/>
                <w:bCs/>
              </w:rPr>
            </w:pPr>
            <w:r w:rsidRPr="00C00328">
              <w:rPr>
                <w:rFonts w:asciiTheme="minorHAnsi" w:hAnsiTheme="minorHAnsi" w:cstheme="minorHAnsi"/>
                <w:b/>
                <w:bCs/>
              </w:rPr>
              <w:t>181,720</w:t>
            </w:r>
          </w:p>
        </w:tc>
        <w:tc>
          <w:tcPr>
            <w:tcW w:w="1559" w:type="dxa"/>
          </w:tcPr>
          <w:p w14:paraId="56FAE849" w14:textId="77777777" w:rsidR="00B02873" w:rsidRPr="00C00328" w:rsidRDefault="00B02873" w:rsidP="00C00328">
            <w:pPr>
              <w:pStyle w:val="TablebodyleftFinancialsTables"/>
              <w:jc w:val="right"/>
              <w:rPr>
                <w:rFonts w:asciiTheme="minorHAnsi" w:hAnsiTheme="minorHAnsi" w:cstheme="minorHAnsi"/>
              </w:rPr>
            </w:pPr>
            <w:r w:rsidRPr="00C00328">
              <w:rPr>
                <w:rFonts w:asciiTheme="minorHAnsi" w:hAnsiTheme="minorHAnsi" w:cstheme="minorHAnsi"/>
              </w:rPr>
              <w:t>122,629</w:t>
            </w:r>
          </w:p>
        </w:tc>
      </w:tr>
    </w:tbl>
    <w:p w14:paraId="1C22982A" w14:textId="77777777" w:rsidR="00B02873" w:rsidRDefault="00B02873" w:rsidP="00FE198A"/>
    <w:p w14:paraId="76344052" w14:textId="77777777" w:rsidR="00B02873" w:rsidRDefault="00B02873" w:rsidP="00C00328">
      <w:pPr>
        <w:pStyle w:val="Heading4"/>
      </w:pPr>
      <w:r>
        <w:lastRenderedPageBreak/>
        <w:t xml:space="preserve">2.2.3 Annotated Income agreements </w:t>
      </w:r>
    </w:p>
    <w:p w14:paraId="4D948B6A" w14:textId="14989B54" w:rsidR="00B02873" w:rsidRDefault="00B02873" w:rsidP="00FE198A">
      <w:r>
        <w:t xml:space="preserve">The department is permitted under section 29 of the </w:t>
      </w:r>
      <w:r w:rsidRPr="00C00328">
        <w:rPr>
          <w:rStyle w:val="LightItalic"/>
          <w:rFonts w:asciiTheme="minorHAnsi" w:hAnsiTheme="minorHAnsi" w:cstheme="minorHAnsi"/>
        </w:rPr>
        <w:t>Financial Management Act 1994</w:t>
      </w:r>
      <w:r>
        <w:t xml:space="preserve"> (FMA) to have certain income annotated to the annual appropriation. The income which forms part of a section 29 agreement is recognised by the department as an administered item and the receipts paid into the consolidated fund. If a section 29 agreement is in place, the relevant appropriation item will be increased by the equivalent amount at the point of income recognition.</w:t>
      </w:r>
    </w:p>
    <w:p w14:paraId="56B544A3" w14:textId="77777777" w:rsidR="00B02873" w:rsidRDefault="00B02873" w:rsidP="00FE198A">
      <w:r>
        <w:t>The following is a listing of the FMA section 29 annotated income agreements approved by the Treasurer:</w:t>
      </w:r>
    </w:p>
    <w:tbl>
      <w:tblPr>
        <w:tblStyle w:val="TableGrid"/>
        <w:tblW w:w="0" w:type="auto"/>
        <w:tblLayout w:type="fixed"/>
        <w:tblLook w:val="0020" w:firstRow="1" w:lastRow="0" w:firstColumn="0" w:lastColumn="0" w:noHBand="0" w:noVBand="0"/>
      </w:tblPr>
      <w:tblGrid>
        <w:gridCol w:w="6690"/>
        <w:gridCol w:w="680"/>
        <w:gridCol w:w="1134"/>
        <w:gridCol w:w="1134"/>
      </w:tblGrid>
      <w:tr w:rsidR="00B02873" w:rsidRPr="00B02873" w14:paraId="3F322318" w14:textId="77777777" w:rsidTr="003F1E53">
        <w:trPr>
          <w:cnfStyle w:val="100000000000" w:firstRow="1" w:lastRow="0" w:firstColumn="0" w:lastColumn="0" w:oddVBand="0" w:evenVBand="0" w:oddHBand="0" w:evenHBand="0" w:firstRowFirstColumn="0" w:firstRowLastColumn="0" w:lastRowFirstColumn="0" w:lastRowLastColumn="0"/>
          <w:trHeight w:val="60"/>
          <w:tblHeader/>
        </w:trPr>
        <w:tc>
          <w:tcPr>
            <w:tcW w:w="6690" w:type="dxa"/>
          </w:tcPr>
          <w:p w14:paraId="031706F9" w14:textId="77777777" w:rsidR="00B02873" w:rsidRPr="003F1E53" w:rsidRDefault="00B02873" w:rsidP="003F1E53">
            <w:pPr>
              <w:pStyle w:val="TableheadingleftFinancialsTables"/>
              <w:rPr>
                <w:rFonts w:asciiTheme="minorHAnsi" w:hAnsiTheme="minorHAnsi" w:cstheme="minorHAnsi"/>
              </w:rPr>
            </w:pPr>
          </w:p>
        </w:tc>
        <w:tc>
          <w:tcPr>
            <w:tcW w:w="680" w:type="dxa"/>
          </w:tcPr>
          <w:p w14:paraId="25732532" w14:textId="77777777" w:rsidR="00B02873" w:rsidRPr="003F1E53" w:rsidRDefault="00B02873" w:rsidP="003F1E53">
            <w:pPr>
              <w:pStyle w:val="TableheadingleftFinancialsTables"/>
              <w:rPr>
                <w:rFonts w:asciiTheme="minorHAnsi" w:hAnsiTheme="minorHAnsi" w:cstheme="minorHAnsi"/>
              </w:rPr>
            </w:pPr>
            <w:r w:rsidRPr="003F1E53">
              <w:rPr>
                <w:rFonts w:asciiTheme="minorHAnsi" w:hAnsiTheme="minorHAnsi" w:cstheme="minorHAnsi"/>
              </w:rPr>
              <w:t xml:space="preserve">Note </w:t>
            </w:r>
          </w:p>
        </w:tc>
        <w:tc>
          <w:tcPr>
            <w:tcW w:w="1134" w:type="dxa"/>
          </w:tcPr>
          <w:p w14:paraId="4D66C57C" w14:textId="77777777" w:rsidR="00B02873" w:rsidRPr="003F1E53" w:rsidRDefault="00B02873" w:rsidP="003F1E53">
            <w:pPr>
              <w:pStyle w:val="TableheadingleftFinancialsTables"/>
              <w:jc w:val="right"/>
              <w:rPr>
                <w:rFonts w:asciiTheme="minorHAnsi" w:hAnsiTheme="minorHAnsi" w:cstheme="minorHAnsi"/>
              </w:rPr>
            </w:pPr>
            <w:r w:rsidRPr="003F1E53">
              <w:rPr>
                <w:rFonts w:asciiTheme="minorHAnsi" w:hAnsiTheme="minorHAnsi" w:cstheme="minorHAnsi"/>
              </w:rPr>
              <w:t>2022</w:t>
            </w:r>
            <w:r w:rsidRPr="003F1E53">
              <w:rPr>
                <w:rFonts w:asciiTheme="minorHAnsi" w:hAnsiTheme="minorHAnsi" w:cstheme="minorHAnsi"/>
              </w:rPr>
              <w:br/>
              <w:t>$’000</w:t>
            </w:r>
          </w:p>
        </w:tc>
        <w:tc>
          <w:tcPr>
            <w:tcW w:w="1134" w:type="dxa"/>
          </w:tcPr>
          <w:p w14:paraId="7AB2FA1D" w14:textId="77777777" w:rsidR="00B02873" w:rsidRPr="003F1E53" w:rsidRDefault="00B02873" w:rsidP="003F1E53">
            <w:pPr>
              <w:pStyle w:val="TableheadingleftFinancialsTables"/>
              <w:jc w:val="right"/>
              <w:rPr>
                <w:rFonts w:asciiTheme="minorHAnsi" w:hAnsiTheme="minorHAnsi" w:cstheme="minorHAnsi"/>
              </w:rPr>
            </w:pPr>
            <w:r w:rsidRPr="003F1E53">
              <w:rPr>
                <w:rFonts w:asciiTheme="minorHAnsi" w:hAnsiTheme="minorHAnsi" w:cstheme="minorHAnsi"/>
              </w:rPr>
              <w:t>2021</w:t>
            </w:r>
            <w:r w:rsidRPr="003F1E53">
              <w:rPr>
                <w:rFonts w:asciiTheme="minorHAnsi" w:hAnsiTheme="minorHAnsi" w:cstheme="minorHAnsi"/>
              </w:rPr>
              <w:br/>
              <w:t>$’000</w:t>
            </w:r>
          </w:p>
        </w:tc>
      </w:tr>
      <w:tr w:rsidR="00B02873" w:rsidRPr="003F1E53" w14:paraId="6F41BD13" w14:textId="77777777" w:rsidTr="002F6A34">
        <w:trPr>
          <w:trHeight w:val="60"/>
        </w:trPr>
        <w:tc>
          <w:tcPr>
            <w:tcW w:w="6690" w:type="dxa"/>
          </w:tcPr>
          <w:p w14:paraId="0179339A" w14:textId="77777777" w:rsidR="00B02873" w:rsidRPr="003F1E53" w:rsidRDefault="00B02873" w:rsidP="003F1E53">
            <w:pPr>
              <w:pStyle w:val="TablebodyleftFinancialsTables"/>
              <w:rPr>
                <w:rFonts w:asciiTheme="minorHAnsi" w:hAnsiTheme="minorHAnsi" w:cstheme="minorHAnsi"/>
                <w:b/>
                <w:bCs/>
              </w:rPr>
            </w:pPr>
            <w:r w:rsidRPr="003F1E53">
              <w:rPr>
                <w:rFonts w:asciiTheme="minorHAnsi" w:hAnsiTheme="minorHAnsi" w:cstheme="minorHAnsi"/>
                <w:b/>
                <w:bCs/>
              </w:rPr>
              <w:t>Commonwealth specific purpose payments – output</w:t>
            </w:r>
          </w:p>
        </w:tc>
        <w:tc>
          <w:tcPr>
            <w:tcW w:w="680" w:type="dxa"/>
          </w:tcPr>
          <w:p w14:paraId="21BD534B" w14:textId="77777777" w:rsidR="00B02873" w:rsidRPr="003F1E53" w:rsidRDefault="00B02873" w:rsidP="003F1E53">
            <w:pPr>
              <w:pStyle w:val="TablebodyleftFinancialsTables"/>
              <w:rPr>
                <w:rFonts w:asciiTheme="minorHAnsi" w:hAnsiTheme="minorHAnsi" w:cstheme="minorHAnsi"/>
                <w:b/>
                <w:bCs/>
              </w:rPr>
            </w:pPr>
          </w:p>
        </w:tc>
        <w:tc>
          <w:tcPr>
            <w:tcW w:w="1134" w:type="dxa"/>
          </w:tcPr>
          <w:p w14:paraId="77312E80" w14:textId="77777777" w:rsidR="00B02873" w:rsidRPr="003F1E53" w:rsidRDefault="00B02873" w:rsidP="003F1E53">
            <w:pPr>
              <w:pStyle w:val="TablebodyleftFinancialsTables"/>
              <w:jc w:val="right"/>
              <w:rPr>
                <w:rFonts w:asciiTheme="minorHAnsi" w:hAnsiTheme="minorHAnsi" w:cstheme="minorHAnsi"/>
                <w:b/>
                <w:bCs/>
              </w:rPr>
            </w:pPr>
          </w:p>
        </w:tc>
        <w:tc>
          <w:tcPr>
            <w:tcW w:w="1134" w:type="dxa"/>
          </w:tcPr>
          <w:p w14:paraId="34D1CA11" w14:textId="77777777" w:rsidR="00B02873" w:rsidRPr="003F1E53" w:rsidRDefault="00B02873" w:rsidP="003F1E53">
            <w:pPr>
              <w:pStyle w:val="TablebodyleftFinancialsTables"/>
              <w:jc w:val="right"/>
              <w:rPr>
                <w:rFonts w:asciiTheme="minorHAnsi" w:hAnsiTheme="minorHAnsi" w:cstheme="minorHAnsi"/>
                <w:b/>
                <w:bCs/>
              </w:rPr>
            </w:pPr>
          </w:p>
        </w:tc>
      </w:tr>
      <w:tr w:rsidR="00B02873" w:rsidRPr="00B02873" w14:paraId="588AE85E" w14:textId="77777777" w:rsidTr="002F6A34">
        <w:trPr>
          <w:trHeight w:val="60"/>
        </w:trPr>
        <w:tc>
          <w:tcPr>
            <w:tcW w:w="6690" w:type="dxa"/>
          </w:tcPr>
          <w:p w14:paraId="47FF6602" w14:textId="77777777" w:rsidR="00B02873" w:rsidRPr="003F1E53" w:rsidRDefault="00B02873" w:rsidP="003F1E53">
            <w:pPr>
              <w:pStyle w:val="TablebodyleftFinancialsTables"/>
              <w:rPr>
                <w:rFonts w:asciiTheme="minorHAnsi" w:hAnsiTheme="minorHAnsi" w:cstheme="minorHAnsi"/>
              </w:rPr>
            </w:pPr>
            <w:r w:rsidRPr="003F1E53">
              <w:rPr>
                <w:rFonts w:asciiTheme="minorHAnsi" w:hAnsiTheme="minorHAnsi" w:cstheme="minorHAnsi"/>
              </w:rPr>
              <w:t>BushBroker</w:t>
            </w:r>
          </w:p>
        </w:tc>
        <w:tc>
          <w:tcPr>
            <w:tcW w:w="680" w:type="dxa"/>
          </w:tcPr>
          <w:p w14:paraId="2BF927FB" w14:textId="77777777" w:rsidR="00B02873" w:rsidRPr="003F1E53" w:rsidRDefault="00B02873" w:rsidP="003F1E53">
            <w:pPr>
              <w:pStyle w:val="TablebodyleftFinancialsTables"/>
              <w:rPr>
                <w:rFonts w:asciiTheme="minorHAnsi" w:hAnsiTheme="minorHAnsi" w:cstheme="minorHAnsi"/>
              </w:rPr>
            </w:pPr>
          </w:p>
        </w:tc>
        <w:tc>
          <w:tcPr>
            <w:tcW w:w="1134" w:type="dxa"/>
          </w:tcPr>
          <w:p w14:paraId="107F8614" w14:textId="77777777" w:rsidR="00B02873" w:rsidRPr="003F1E53" w:rsidRDefault="00B02873" w:rsidP="003F1E53">
            <w:pPr>
              <w:pStyle w:val="TablebodyleftFinancialsTables"/>
              <w:jc w:val="right"/>
              <w:rPr>
                <w:rFonts w:asciiTheme="minorHAnsi" w:hAnsiTheme="minorHAnsi" w:cstheme="minorHAnsi"/>
                <w:b/>
                <w:bCs/>
              </w:rPr>
            </w:pPr>
            <w:r w:rsidRPr="003F1E53">
              <w:rPr>
                <w:rFonts w:asciiTheme="minorHAnsi" w:hAnsiTheme="minorHAnsi" w:cstheme="minorHAnsi"/>
                <w:b/>
                <w:bCs/>
              </w:rPr>
              <w:t>422</w:t>
            </w:r>
          </w:p>
        </w:tc>
        <w:tc>
          <w:tcPr>
            <w:tcW w:w="1134" w:type="dxa"/>
          </w:tcPr>
          <w:p w14:paraId="07476218" w14:textId="77777777" w:rsidR="00B02873" w:rsidRPr="003F1E53" w:rsidRDefault="00B02873" w:rsidP="003F1E53">
            <w:pPr>
              <w:pStyle w:val="TablebodyleftFinancialsTables"/>
              <w:jc w:val="right"/>
              <w:rPr>
                <w:rFonts w:asciiTheme="minorHAnsi" w:hAnsiTheme="minorHAnsi" w:cstheme="minorHAnsi"/>
              </w:rPr>
            </w:pPr>
            <w:r w:rsidRPr="003F1E53">
              <w:rPr>
                <w:rFonts w:asciiTheme="minorHAnsi" w:hAnsiTheme="minorHAnsi" w:cstheme="minorHAnsi"/>
              </w:rPr>
              <w:t>187</w:t>
            </w:r>
          </w:p>
        </w:tc>
      </w:tr>
      <w:tr w:rsidR="00B02873" w:rsidRPr="00B02873" w14:paraId="32915D95" w14:textId="77777777" w:rsidTr="002F6A34">
        <w:trPr>
          <w:trHeight w:val="60"/>
        </w:trPr>
        <w:tc>
          <w:tcPr>
            <w:tcW w:w="6690" w:type="dxa"/>
          </w:tcPr>
          <w:p w14:paraId="64013A15" w14:textId="2D1412CC" w:rsidR="00B02873" w:rsidRPr="003F1E53" w:rsidRDefault="00B02873" w:rsidP="003F1E53">
            <w:pPr>
              <w:pStyle w:val="TablebodyleftFinancialsTables"/>
              <w:rPr>
                <w:rFonts w:asciiTheme="minorHAnsi" w:hAnsiTheme="minorHAnsi" w:cstheme="minorHAnsi"/>
              </w:rPr>
            </w:pPr>
            <w:r w:rsidRPr="003F1E53">
              <w:rPr>
                <w:rFonts w:asciiTheme="minorHAnsi" w:hAnsiTheme="minorHAnsi" w:cstheme="minorHAnsi"/>
              </w:rPr>
              <w:t>Cleaning Up The Yarra</w:t>
            </w:r>
            <w:r w:rsidR="000C45FC" w:rsidRPr="003F1E53">
              <w:rPr>
                <w:rFonts w:asciiTheme="minorHAnsi" w:hAnsiTheme="minorHAnsi" w:cstheme="minorHAnsi"/>
              </w:rPr>
              <w:t xml:space="preserve"> – </w:t>
            </w:r>
            <w:r w:rsidRPr="003F1E53">
              <w:rPr>
                <w:rFonts w:asciiTheme="minorHAnsi" w:hAnsiTheme="minorHAnsi" w:cstheme="minorHAnsi"/>
              </w:rPr>
              <w:t>Installation of Litter Traps</w:t>
            </w:r>
          </w:p>
        </w:tc>
        <w:tc>
          <w:tcPr>
            <w:tcW w:w="680" w:type="dxa"/>
          </w:tcPr>
          <w:p w14:paraId="1E1E32F7" w14:textId="77777777" w:rsidR="00B02873" w:rsidRPr="003F1E53" w:rsidRDefault="00B02873" w:rsidP="003F1E53">
            <w:pPr>
              <w:pStyle w:val="TablebodyleftFinancialsTables"/>
              <w:rPr>
                <w:rFonts w:asciiTheme="minorHAnsi" w:hAnsiTheme="minorHAnsi" w:cstheme="minorHAnsi"/>
              </w:rPr>
            </w:pPr>
          </w:p>
        </w:tc>
        <w:tc>
          <w:tcPr>
            <w:tcW w:w="1134" w:type="dxa"/>
          </w:tcPr>
          <w:p w14:paraId="0795E076" w14:textId="77777777" w:rsidR="00B02873" w:rsidRPr="003F1E53" w:rsidRDefault="00B02873" w:rsidP="003F1E53">
            <w:pPr>
              <w:pStyle w:val="TablebodyleftFinancialsTables"/>
              <w:jc w:val="right"/>
              <w:rPr>
                <w:rFonts w:asciiTheme="minorHAnsi" w:hAnsiTheme="minorHAnsi" w:cstheme="minorHAnsi"/>
                <w:b/>
                <w:bCs/>
              </w:rPr>
            </w:pPr>
            <w:r w:rsidRPr="003F1E53">
              <w:rPr>
                <w:rFonts w:asciiTheme="minorHAnsi" w:hAnsiTheme="minorHAnsi" w:cstheme="minorHAnsi"/>
                <w:b/>
                <w:bCs/>
              </w:rPr>
              <w:t>150</w:t>
            </w:r>
          </w:p>
        </w:tc>
        <w:tc>
          <w:tcPr>
            <w:tcW w:w="1134" w:type="dxa"/>
          </w:tcPr>
          <w:p w14:paraId="1BD0C139" w14:textId="77777777" w:rsidR="00B02873" w:rsidRPr="003F1E53" w:rsidRDefault="00B02873" w:rsidP="003F1E53">
            <w:pPr>
              <w:pStyle w:val="TablebodyleftFinancialsTables"/>
              <w:jc w:val="right"/>
              <w:rPr>
                <w:rFonts w:asciiTheme="minorHAnsi" w:hAnsiTheme="minorHAnsi" w:cstheme="minorHAnsi"/>
              </w:rPr>
            </w:pPr>
            <w:r w:rsidRPr="003F1E53">
              <w:rPr>
                <w:rFonts w:asciiTheme="minorHAnsi" w:hAnsiTheme="minorHAnsi" w:cstheme="minorHAnsi"/>
              </w:rPr>
              <w:t>–</w:t>
            </w:r>
          </w:p>
        </w:tc>
      </w:tr>
      <w:tr w:rsidR="00B02873" w:rsidRPr="00B02873" w14:paraId="629E4085" w14:textId="77777777" w:rsidTr="002F6A34">
        <w:trPr>
          <w:trHeight w:val="60"/>
        </w:trPr>
        <w:tc>
          <w:tcPr>
            <w:tcW w:w="6690" w:type="dxa"/>
          </w:tcPr>
          <w:p w14:paraId="0DBFE79C" w14:textId="77777777" w:rsidR="00B02873" w:rsidRPr="003F1E53" w:rsidRDefault="00B02873" w:rsidP="003F1E53">
            <w:pPr>
              <w:pStyle w:val="TablebodyleftFinancialsTables"/>
              <w:rPr>
                <w:rFonts w:asciiTheme="minorHAnsi" w:hAnsiTheme="minorHAnsi" w:cstheme="minorHAnsi"/>
              </w:rPr>
            </w:pPr>
            <w:r w:rsidRPr="003F1E53">
              <w:rPr>
                <w:rFonts w:asciiTheme="minorHAnsi" w:hAnsiTheme="minorHAnsi" w:cstheme="minorHAnsi"/>
              </w:rPr>
              <w:t xml:space="preserve">Consumer Data Right </w:t>
            </w:r>
          </w:p>
        </w:tc>
        <w:tc>
          <w:tcPr>
            <w:tcW w:w="680" w:type="dxa"/>
          </w:tcPr>
          <w:p w14:paraId="16251448" w14:textId="77777777" w:rsidR="00B02873" w:rsidRPr="003F1E53" w:rsidRDefault="00B02873" w:rsidP="003F1E53">
            <w:pPr>
              <w:pStyle w:val="TablebodyleftFinancialsTables"/>
              <w:rPr>
                <w:rFonts w:asciiTheme="minorHAnsi" w:hAnsiTheme="minorHAnsi" w:cstheme="minorHAnsi"/>
              </w:rPr>
            </w:pPr>
          </w:p>
        </w:tc>
        <w:tc>
          <w:tcPr>
            <w:tcW w:w="1134" w:type="dxa"/>
          </w:tcPr>
          <w:p w14:paraId="2787C202" w14:textId="77777777" w:rsidR="00B02873" w:rsidRPr="003F1E53" w:rsidRDefault="00B02873" w:rsidP="003F1E53">
            <w:pPr>
              <w:pStyle w:val="TablebodyleftFinancialsTables"/>
              <w:jc w:val="right"/>
              <w:rPr>
                <w:rFonts w:asciiTheme="minorHAnsi" w:hAnsiTheme="minorHAnsi" w:cstheme="minorHAnsi"/>
                <w:b/>
                <w:bCs/>
              </w:rPr>
            </w:pPr>
            <w:r w:rsidRPr="003F1E53">
              <w:rPr>
                <w:rFonts w:asciiTheme="minorHAnsi" w:hAnsiTheme="minorHAnsi" w:cstheme="minorHAnsi"/>
                <w:b/>
                <w:bCs/>
              </w:rPr>
              <w:t>984</w:t>
            </w:r>
          </w:p>
        </w:tc>
        <w:tc>
          <w:tcPr>
            <w:tcW w:w="1134" w:type="dxa"/>
          </w:tcPr>
          <w:p w14:paraId="1E2A94E1" w14:textId="77777777" w:rsidR="00B02873" w:rsidRPr="003F1E53" w:rsidRDefault="00B02873" w:rsidP="003F1E53">
            <w:pPr>
              <w:pStyle w:val="TablebodyleftFinancialsTables"/>
              <w:jc w:val="right"/>
              <w:rPr>
                <w:rFonts w:asciiTheme="minorHAnsi" w:hAnsiTheme="minorHAnsi" w:cstheme="minorHAnsi"/>
              </w:rPr>
            </w:pPr>
            <w:r w:rsidRPr="003F1E53">
              <w:rPr>
                <w:rFonts w:asciiTheme="minorHAnsi" w:hAnsiTheme="minorHAnsi" w:cstheme="minorHAnsi"/>
              </w:rPr>
              <w:t>–</w:t>
            </w:r>
          </w:p>
        </w:tc>
      </w:tr>
      <w:tr w:rsidR="00B02873" w:rsidRPr="00B02873" w14:paraId="37226E50" w14:textId="77777777" w:rsidTr="002F6A34">
        <w:trPr>
          <w:trHeight w:val="60"/>
        </w:trPr>
        <w:tc>
          <w:tcPr>
            <w:tcW w:w="6690" w:type="dxa"/>
          </w:tcPr>
          <w:p w14:paraId="6C1E24C7" w14:textId="77777777" w:rsidR="00B02873" w:rsidRPr="003F1E53" w:rsidRDefault="00B02873" w:rsidP="003F1E53">
            <w:pPr>
              <w:pStyle w:val="TablebodyleftFinancialsTables"/>
              <w:rPr>
                <w:rFonts w:asciiTheme="minorHAnsi" w:hAnsiTheme="minorHAnsi" w:cstheme="minorHAnsi"/>
              </w:rPr>
            </w:pPr>
            <w:r w:rsidRPr="003F1E53">
              <w:rPr>
                <w:rFonts w:asciiTheme="minorHAnsi" w:hAnsiTheme="minorHAnsi" w:cstheme="minorHAnsi"/>
              </w:rPr>
              <w:t>COVID-19 National and World Heritage Projects</w:t>
            </w:r>
          </w:p>
        </w:tc>
        <w:tc>
          <w:tcPr>
            <w:tcW w:w="680" w:type="dxa"/>
          </w:tcPr>
          <w:p w14:paraId="5B75C6CD" w14:textId="77777777" w:rsidR="00B02873" w:rsidRPr="003F1E53" w:rsidRDefault="00B02873" w:rsidP="003F1E53">
            <w:pPr>
              <w:pStyle w:val="TablebodyleftFinancialsTables"/>
              <w:rPr>
                <w:rFonts w:asciiTheme="minorHAnsi" w:hAnsiTheme="minorHAnsi" w:cstheme="minorHAnsi"/>
              </w:rPr>
            </w:pPr>
          </w:p>
        </w:tc>
        <w:tc>
          <w:tcPr>
            <w:tcW w:w="1134" w:type="dxa"/>
          </w:tcPr>
          <w:p w14:paraId="50587E83" w14:textId="77777777" w:rsidR="00B02873" w:rsidRPr="003F1E53" w:rsidRDefault="00B02873" w:rsidP="003F1E53">
            <w:pPr>
              <w:pStyle w:val="TablebodyleftFinancialsTables"/>
              <w:jc w:val="right"/>
              <w:rPr>
                <w:rFonts w:asciiTheme="minorHAnsi" w:hAnsiTheme="minorHAnsi" w:cstheme="minorHAnsi"/>
                <w:b/>
                <w:bCs/>
              </w:rPr>
            </w:pPr>
            <w:r w:rsidRPr="003F1E53">
              <w:rPr>
                <w:rFonts w:asciiTheme="minorHAnsi" w:hAnsiTheme="minorHAnsi" w:cstheme="minorHAnsi"/>
                <w:b/>
                <w:bCs/>
              </w:rPr>
              <w:t>–</w:t>
            </w:r>
          </w:p>
        </w:tc>
        <w:tc>
          <w:tcPr>
            <w:tcW w:w="1134" w:type="dxa"/>
          </w:tcPr>
          <w:p w14:paraId="6DFA51D6" w14:textId="77777777" w:rsidR="00B02873" w:rsidRPr="003F1E53" w:rsidRDefault="00B02873" w:rsidP="003F1E53">
            <w:pPr>
              <w:pStyle w:val="TablebodyleftFinancialsTables"/>
              <w:jc w:val="right"/>
              <w:rPr>
                <w:rFonts w:asciiTheme="minorHAnsi" w:hAnsiTheme="minorHAnsi" w:cstheme="minorHAnsi"/>
              </w:rPr>
            </w:pPr>
            <w:r w:rsidRPr="003F1E53">
              <w:rPr>
                <w:rFonts w:asciiTheme="minorHAnsi" w:hAnsiTheme="minorHAnsi" w:cstheme="minorHAnsi"/>
              </w:rPr>
              <w:t>3,437</w:t>
            </w:r>
          </w:p>
        </w:tc>
      </w:tr>
      <w:tr w:rsidR="00B02873" w:rsidRPr="00B02873" w14:paraId="35F4052F" w14:textId="77777777" w:rsidTr="002F6A34">
        <w:trPr>
          <w:trHeight w:val="60"/>
        </w:trPr>
        <w:tc>
          <w:tcPr>
            <w:tcW w:w="6690" w:type="dxa"/>
          </w:tcPr>
          <w:p w14:paraId="3EEEB85F" w14:textId="0CE5BF7C" w:rsidR="00B02873" w:rsidRPr="003F1E53" w:rsidRDefault="00B02873" w:rsidP="003F1E53">
            <w:pPr>
              <w:pStyle w:val="TablebodyleftFinancialsTables"/>
              <w:rPr>
                <w:rFonts w:asciiTheme="minorHAnsi" w:hAnsiTheme="minorHAnsi" w:cstheme="minorHAnsi"/>
              </w:rPr>
            </w:pPr>
            <w:r w:rsidRPr="003F1E53">
              <w:rPr>
                <w:rFonts w:asciiTheme="minorHAnsi" w:hAnsiTheme="minorHAnsi" w:cstheme="minorHAnsi"/>
              </w:rPr>
              <w:t>Goulburn-Murray Water</w:t>
            </w:r>
            <w:r w:rsidR="000C45FC" w:rsidRPr="003F1E53">
              <w:rPr>
                <w:rFonts w:asciiTheme="minorHAnsi" w:hAnsiTheme="minorHAnsi" w:cstheme="minorHAnsi"/>
              </w:rPr>
              <w:t xml:space="preserve"> – </w:t>
            </w:r>
            <w:r w:rsidRPr="003F1E53">
              <w:rPr>
                <w:rFonts w:asciiTheme="minorHAnsi" w:hAnsiTheme="minorHAnsi" w:cstheme="minorHAnsi"/>
              </w:rPr>
              <w:t>Water Efficiency Project</w:t>
            </w:r>
          </w:p>
        </w:tc>
        <w:tc>
          <w:tcPr>
            <w:tcW w:w="680" w:type="dxa"/>
          </w:tcPr>
          <w:p w14:paraId="6723EF06" w14:textId="77777777" w:rsidR="00B02873" w:rsidRPr="003F1E53" w:rsidRDefault="00B02873" w:rsidP="003F1E53">
            <w:pPr>
              <w:pStyle w:val="TablebodyleftFinancialsTables"/>
              <w:rPr>
                <w:rFonts w:asciiTheme="minorHAnsi" w:hAnsiTheme="minorHAnsi" w:cstheme="minorHAnsi"/>
              </w:rPr>
            </w:pPr>
          </w:p>
        </w:tc>
        <w:tc>
          <w:tcPr>
            <w:tcW w:w="1134" w:type="dxa"/>
          </w:tcPr>
          <w:p w14:paraId="6895A333" w14:textId="77777777" w:rsidR="00B02873" w:rsidRPr="003F1E53" w:rsidRDefault="00B02873" w:rsidP="003F1E53">
            <w:pPr>
              <w:pStyle w:val="TablebodyleftFinancialsTables"/>
              <w:jc w:val="right"/>
              <w:rPr>
                <w:rFonts w:asciiTheme="minorHAnsi" w:hAnsiTheme="minorHAnsi" w:cstheme="minorHAnsi"/>
                <w:b/>
                <w:bCs/>
              </w:rPr>
            </w:pPr>
            <w:r w:rsidRPr="003F1E53">
              <w:rPr>
                <w:rFonts w:asciiTheme="minorHAnsi" w:hAnsiTheme="minorHAnsi" w:cstheme="minorHAnsi"/>
                <w:b/>
                <w:bCs/>
              </w:rPr>
              <w:t>28,000</w:t>
            </w:r>
          </w:p>
        </w:tc>
        <w:tc>
          <w:tcPr>
            <w:tcW w:w="1134" w:type="dxa"/>
          </w:tcPr>
          <w:p w14:paraId="4FA2DC8E" w14:textId="77777777" w:rsidR="00B02873" w:rsidRPr="003F1E53" w:rsidRDefault="00B02873" w:rsidP="003F1E53">
            <w:pPr>
              <w:pStyle w:val="TablebodyleftFinancialsTables"/>
              <w:jc w:val="right"/>
              <w:rPr>
                <w:rFonts w:asciiTheme="minorHAnsi" w:hAnsiTheme="minorHAnsi" w:cstheme="minorHAnsi"/>
              </w:rPr>
            </w:pPr>
            <w:r w:rsidRPr="003F1E53">
              <w:rPr>
                <w:rFonts w:asciiTheme="minorHAnsi" w:hAnsiTheme="minorHAnsi" w:cstheme="minorHAnsi"/>
              </w:rPr>
              <w:t>17,000</w:t>
            </w:r>
          </w:p>
        </w:tc>
      </w:tr>
      <w:tr w:rsidR="00B02873" w:rsidRPr="00B02873" w14:paraId="29941919" w14:textId="77777777" w:rsidTr="002F6A34">
        <w:trPr>
          <w:trHeight w:val="60"/>
        </w:trPr>
        <w:tc>
          <w:tcPr>
            <w:tcW w:w="6690" w:type="dxa"/>
          </w:tcPr>
          <w:p w14:paraId="6D77AE7E" w14:textId="77777777" w:rsidR="00B02873" w:rsidRPr="003F1E53" w:rsidRDefault="00B02873" w:rsidP="003F1E53">
            <w:pPr>
              <w:pStyle w:val="TablebodyleftFinancialsTables"/>
              <w:rPr>
                <w:rFonts w:asciiTheme="minorHAnsi" w:hAnsiTheme="minorHAnsi" w:cstheme="minorHAnsi"/>
              </w:rPr>
            </w:pPr>
            <w:r w:rsidRPr="003F1E53">
              <w:rPr>
                <w:rFonts w:asciiTheme="minorHAnsi" w:hAnsiTheme="minorHAnsi" w:cstheme="minorHAnsi"/>
              </w:rPr>
              <w:t>Lindenow Water Security</w:t>
            </w:r>
          </w:p>
        </w:tc>
        <w:tc>
          <w:tcPr>
            <w:tcW w:w="680" w:type="dxa"/>
          </w:tcPr>
          <w:p w14:paraId="236E107C" w14:textId="77777777" w:rsidR="00B02873" w:rsidRPr="003F1E53" w:rsidRDefault="00B02873" w:rsidP="003F1E53">
            <w:pPr>
              <w:pStyle w:val="TablebodyleftFinancialsTables"/>
              <w:rPr>
                <w:rFonts w:asciiTheme="minorHAnsi" w:hAnsiTheme="minorHAnsi" w:cstheme="minorHAnsi"/>
              </w:rPr>
            </w:pPr>
          </w:p>
        </w:tc>
        <w:tc>
          <w:tcPr>
            <w:tcW w:w="1134" w:type="dxa"/>
          </w:tcPr>
          <w:p w14:paraId="507B3080" w14:textId="77777777" w:rsidR="00B02873" w:rsidRPr="003F1E53" w:rsidRDefault="00B02873" w:rsidP="003F1E53">
            <w:pPr>
              <w:pStyle w:val="TablebodyleftFinancialsTables"/>
              <w:jc w:val="right"/>
              <w:rPr>
                <w:rFonts w:asciiTheme="minorHAnsi" w:hAnsiTheme="minorHAnsi" w:cstheme="minorHAnsi"/>
                <w:b/>
                <w:bCs/>
              </w:rPr>
            </w:pPr>
            <w:r w:rsidRPr="003F1E53">
              <w:rPr>
                <w:rFonts w:asciiTheme="minorHAnsi" w:hAnsiTheme="minorHAnsi" w:cstheme="minorHAnsi"/>
                <w:b/>
                <w:bCs/>
              </w:rPr>
              <w:t>929</w:t>
            </w:r>
          </w:p>
        </w:tc>
        <w:tc>
          <w:tcPr>
            <w:tcW w:w="1134" w:type="dxa"/>
          </w:tcPr>
          <w:p w14:paraId="210074F8" w14:textId="77777777" w:rsidR="00B02873" w:rsidRPr="003F1E53" w:rsidRDefault="00B02873" w:rsidP="003F1E53">
            <w:pPr>
              <w:pStyle w:val="TablebodyleftFinancialsTables"/>
              <w:jc w:val="right"/>
              <w:rPr>
                <w:rFonts w:asciiTheme="minorHAnsi" w:hAnsiTheme="minorHAnsi" w:cstheme="minorHAnsi"/>
              </w:rPr>
            </w:pPr>
            <w:r w:rsidRPr="003F1E53">
              <w:rPr>
                <w:rFonts w:asciiTheme="minorHAnsi" w:hAnsiTheme="minorHAnsi" w:cstheme="minorHAnsi"/>
              </w:rPr>
              <w:t>7,430</w:t>
            </w:r>
          </w:p>
        </w:tc>
      </w:tr>
      <w:tr w:rsidR="00B02873" w:rsidRPr="00B02873" w14:paraId="7D32B1DD" w14:textId="77777777" w:rsidTr="002F6A34">
        <w:trPr>
          <w:trHeight w:val="60"/>
        </w:trPr>
        <w:tc>
          <w:tcPr>
            <w:tcW w:w="6690" w:type="dxa"/>
          </w:tcPr>
          <w:p w14:paraId="3193A71B" w14:textId="77777777" w:rsidR="00B02873" w:rsidRPr="003F1E53" w:rsidRDefault="00B02873" w:rsidP="003F1E53">
            <w:pPr>
              <w:pStyle w:val="TablebodyleftFinancialsTables"/>
              <w:rPr>
                <w:rFonts w:asciiTheme="minorHAnsi" w:hAnsiTheme="minorHAnsi" w:cstheme="minorHAnsi"/>
              </w:rPr>
            </w:pPr>
            <w:r w:rsidRPr="003F1E53">
              <w:rPr>
                <w:rFonts w:asciiTheme="minorHAnsi" w:hAnsiTheme="minorHAnsi" w:cstheme="minorHAnsi"/>
              </w:rPr>
              <w:t>Miscellaneous Industry Contributions</w:t>
            </w:r>
          </w:p>
        </w:tc>
        <w:tc>
          <w:tcPr>
            <w:tcW w:w="680" w:type="dxa"/>
          </w:tcPr>
          <w:p w14:paraId="087E742E" w14:textId="77777777" w:rsidR="00B02873" w:rsidRPr="003F1E53" w:rsidRDefault="00B02873" w:rsidP="003F1E53">
            <w:pPr>
              <w:pStyle w:val="TablebodyleftFinancialsTables"/>
              <w:rPr>
                <w:rFonts w:asciiTheme="minorHAnsi" w:hAnsiTheme="minorHAnsi" w:cstheme="minorHAnsi"/>
              </w:rPr>
            </w:pPr>
          </w:p>
        </w:tc>
        <w:tc>
          <w:tcPr>
            <w:tcW w:w="1134" w:type="dxa"/>
          </w:tcPr>
          <w:p w14:paraId="763BB31E" w14:textId="77777777" w:rsidR="00B02873" w:rsidRPr="003F1E53" w:rsidRDefault="00B02873" w:rsidP="003F1E53">
            <w:pPr>
              <w:pStyle w:val="TablebodyleftFinancialsTables"/>
              <w:jc w:val="right"/>
              <w:rPr>
                <w:rFonts w:asciiTheme="minorHAnsi" w:hAnsiTheme="minorHAnsi" w:cstheme="minorHAnsi"/>
                <w:b/>
                <w:bCs/>
              </w:rPr>
            </w:pPr>
            <w:r w:rsidRPr="003F1E53">
              <w:rPr>
                <w:rFonts w:asciiTheme="minorHAnsi" w:hAnsiTheme="minorHAnsi" w:cstheme="minorHAnsi"/>
                <w:b/>
                <w:bCs/>
              </w:rPr>
              <w:t>34</w:t>
            </w:r>
          </w:p>
        </w:tc>
        <w:tc>
          <w:tcPr>
            <w:tcW w:w="1134" w:type="dxa"/>
          </w:tcPr>
          <w:p w14:paraId="6B537EC1" w14:textId="77777777" w:rsidR="00B02873" w:rsidRPr="003F1E53" w:rsidRDefault="00B02873" w:rsidP="003F1E53">
            <w:pPr>
              <w:pStyle w:val="TablebodyleftFinancialsTables"/>
              <w:jc w:val="right"/>
              <w:rPr>
                <w:rFonts w:asciiTheme="minorHAnsi" w:hAnsiTheme="minorHAnsi" w:cstheme="minorHAnsi"/>
              </w:rPr>
            </w:pPr>
            <w:r w:rsidRPr="003F1E53">
              <w:rPr>
                <w:rFonts w:asciiTheme="minorHAnsi" w:hAnsiTheme="minorHAnsi" w:cstheme="minorHAnsi"/>
              </w:rPr>
              <w:t>221</w:t>
            </w:r>
          </w:p>
        </w:tc>
      </w:tr>
      <w:tr w:rsidR="00B02873" w:rsidRPr="00B02873" w14:paraId="1BD41C22" w14:textId="77777777" w:rsidTr="002F6A34">
        <w:trPr>
          <w:trHeight w:val="60"/>
        </w:trPr>
        <w:tc>
          <w:tcPr>
            <w:tcW w:w="6690" w:type="dxa"/>
          </w:tcPr>
          <w:p w14:paraId="1CDE5FF3" w14:textId="77777777" w:rsidR="00B02873" w:rsidRPr="003F1E53" w:rsidRDefault="00B02873" w:rsidP="003F1E53">
            <w:pPr>
              <w:pStyle w:val="TablebodyleftFinancialsTables"/>
              <w:rPr>
                <w:rFonts w:asciiTheme="minorHAnsi" w:hAnsiTheme="minorHAnsi" w:cstheme="minorHAnsi"/>
              </w:rPr>
            </w:pPr>
            <w:r w:rsidRPr="003F1E53">
              <w:rPr>
                <w:rFonts w:asciiTheme="minorHAnsi" w:hAnsiTheme="minorHAnsi" w:cstheme="minorHAnsi"/>
              </w:rPr>
              <w:t>Murray Darling Basin Plan Implementation</w:t>
            </w:r>
          </w:p>
        </w:tc>
        <w:tc>
          <w:tcPr>
            <w:tcW w:w="680" w:type="dxa"/>
          </w:tcPr>
          <w:p w14:paraId="1A13C013" w14:textId="77777777" w:rsidR="00B02873" w:rsidRPr="003F1E53" w:rsidRDefault="00B02873" w:rsidP="003F1E53">
            <w:pPr>
              <w:pStyle w:val="TablebodyleftFinancialsTables"/>
              <w:rPr>
                <w:rFonts w:asciiTheme="minorHAnsi" w:hAnsiTheme="minorHAnsi" w:cstheme="minorHAnsi"/>
              </w:rPr>
            </w:pPr>
          </w:p>
        </w:tc>
        <w:tc>
          <w:tcPr>
            <w:tcW w:w="1134" w:type="dxa"/>
          </w:tcPr>
          <w:p w14:paraId="02BC67BB" w14:textId="77777777" w:rsidR="00B02873" w:rsidRPr="003F1E53" w:rsidRDefault="00B02873" w:rsidP="003F1E53">
            <w:pPr>
              <w:pStyle w:val="TablebodyleftFinancialsTables"/>
              <w:jc w:val="right"/>
              <w:rPr>
                <w:rFonts w:asciiTheme="minorHAnsi" w:hAnsiTheme="minorHAnsi" w:cstheme="minorHAnsi"/>
                <w:b/>
                <w:bCs/>
              </w:rPr>
            </w:pPr>
            <w:r w:rsidRPr="003F1E53">
              <w:rPr>
                <w:rFonts w:asciiTheme="minorHAnsi" w:hAnsiTheme="minorHAnsi" w:cstheme="minorHAnsi"/>
                <w:b/>
                <w:bCs/>
              </w:rPr>
              <w:t>6,380</w:t>
            </w:r>
          </w:p>
        </w:tc>
        <w:tc>
          <w:tcPr>
            <w:tcW w:w="1134" w:type="dxa"/>
          </w:tcPr>
          <w:p w14:paraId="10E427B6" w14:textId="77777777" w:rsidR="00B02873" w:rsidRPr="003F1E53" w:rsidRDefault="00B02873" w:rsidP="003F1E53">
            <w:pPr>
              <w:pStyle w:val="TablebodyleftFinancialsTables"/>
              <w:jc w:val="right"/>
              <w:rPr>
                <w:rFonts w:asciiTheme="minorHAnsi" w:hAnsiTheme="minorHAnsi" w:cstheme="minorHAnsi"/>
              </w:rPr>
            </w:pPr>
            <w:r w:rsidRPr="003F1E53">
              <w:rPr>
                <w:rFonts w:asciiTheme="minorHAnsi" w:hAnsiTheme="minorHAnsi" w:cstheme="minorHAnsi"/>
              </w:rPr>
              <w:t>1,700</w:t>
            </w:r>
          </w:p>
        </w:tc>
      </w:tr>
      <w:tr w:rsidR="00B02873" w:rsidRPr="00B02873" w14:paraId="60B03393" w14:textId="77777777" w:rsidTr="002F6A34">
        <w:trPr>
          <w:trHeight w:val="60"/>
        </w:trPr>
        <w:tc>
          <w:tcPr>
            <w:tcW w:w="6690" w:type="dxa"/>
          </w:tcPr>
          <w:p w14:paraId="3347F282" w14:textId="77777777" w:rsidR="00B02873" w:rsidRPr="003F1E53" w:rsidRDefault="00B02873" w:rsidP="003F1E53">
            <w:pPr>
              <w:pStyle w:val="TablebodyleftFinancialsTables"/>
              <w:rPr>
                <w:rFonts w:asciiTheme="minorHAnsi" w:hAnsiTheme="minorHAnsi" w:cstheme="minorHAnsi"/>
              </w:rPr>
            </w:pPr>
            <w:r w:rsidRPr="003F1E53">
              <w:rPr>
                <w:rFonts w:asciiTheme="minorHAnsi" w:hAnsiTheme="minorHAnsi" w:cstheme="minorHAnsi"/>
              </w:rPr>
              <w:t>National Energy Productivity Measure</w:t>
            </w:r>
          </w:p>
        </w:tc>
        <w:tc>
          <w:tcPr>
            <w:tcW w:w="680" w:type="dxa"/>
          </w:tcPr>
          <w:p w14:paraId="6A2F3ADE" w14:textId="77777777" w:rsidR="00B02873" w:rsidRPr="003F1E53" w:rsidRDefault="00B02873" w:rsidP="003F1E53">
            <w:pPr>
              <w:pStyle w:val="TablebodyleftFinancialsTables"/>
              <w:rPr>
                <w:rFonts w:asciiTheme="minorHAnsi" w:hAnsiTheme="minorHAnsi" w:cstheme="minorHAnsi"/>
              </w:rPr>
            </w:pPr>
          </w:p>
        </w:tc>
        <w:tc>
          <w:tcPr>
            <w:tcW w:w="1134" w:type="dxa"/>
          </w:tcPr>
          <w:p w14:paraId="30F24817" w14:textId="77777777" w:rsidR="00B02873" w:rsidRPr="003F1E53" w:rsidRDefault="00B02873" w:rsidP="003F1E53">
            <w:pPr>
              <w:pStyle w:val="TablebodyleftFinancialsTables"/>
              <w:jc w:val="right"/>
              <w:rPr>
                <w:rFonts w:asciiTheme="minorHAnsi" w:hAnsiTheme="minorHAnsi" w:cstheme="minorHAnsi"/>
                <w:b/>
                <w:bCs/>
              </w:rPr>
            </w:pPr>
            <w:r w:rsidRPr="003F1E53">
              <w:rPr>
                <w:rFonts w:asciiTheme="minorHAnsi" w:hAnsiTheme="minorHAnsi" w:cstheme="minorHAnsi"/>
                <w:b/>
                <w:bCs/>
              </w:rPr>
              <w:t>940</w:t>
            </w:r>
          </w:p>
        </w:tc>
        <w:tc>
          <w:tcPr>
            <w:tcW w:w="1134" w:type="dxa"/>
          </w:tcPr>
          <w:p w14:paraId="59C47458" w14:textId="77777777" w:rsidR="00B02873" w:rsidRPr="003F1E53" w:rsidRDefault="00B02873" w:rsidP="003F1E53">
            <w:pPr>
              <w:pStyle w:val="TablebodyleftFinancialsTables"/>
              <w:jc w:val="right"/>
              <w:rPr>
                <w:rFonts w:asciiTheme="minorHAnsi" w:hAnsiTheme="minorHAnsi" w:cstheme="minorHAnsi"/>
              </w:rPr>
            </w:pPr>
            <w:r w:rsidRPr="003F1E53">
              <w:rPr>
                <w:rFonts w:asciiTheme="minorHAnsi" w:hAnsiTheme="minorHAnsi" w:cstheme="minorHAnsi"/>
              </w:rPr>
              <w:t>698</w:t>
            </w:r>
          </w:p>
        </w:tc>
      </w:tr>
      <w:tr w:rsidR="00B02873" w:rsidRPr="00B02873" w14:paraId="3A8E8170" w14:textId="77777777" w:rsidTr="002F6A34">
        <w:trPr>
          <w:trHeight w:val="60"/>
        </w:trPr>
        <w:tc>
          <w:tcPr>
            <w:tcW w:w="6690" w:type="dxa"/>
          </w:tcPr>
          <w:p w14:paraId="62B785E9" w14:textId="77777777" w:rsidR="00B02873" w:rsidRPr="003F1E53" w:rsidRDefault="00B02873" w:rsidP="003F1E53">
            <w:pPr>
              <w:pStyle w:val="TablebodyleftFinancialsTables"/>
              <w:rPr>
                <w:rFonts w:asciiTheme="minorHAnsi" w:hAnsiTheme="minorHAnsi" w:cstheme="minorHAnsi"/>
              </w:rPr>
            </w:pPr>
            <w:r w:rsidRPr="003F1E53">
              <w:rPr>
                <w:rFonts w:asciiTheme="minorHAnsi" w:hAnsiTheme="minorHAnsi" w:cstheme="minorHAnsi"/>
              </w:rPr>
              <w:t>National Water Grid</w:t>
            </w:r>
          </w:p>
        </w:tc>
        <w:tc>
          <w:tcPr>
            <w:tcW w:w="680" w:type="dxa"/>
          </w:tcPr>
          <w:p w14:paraId="359930FC" w14:textId="77777777" w:rsidR="00B02873" w:rsidRPr="003F1E53" w:rsidRDefault="00B02873" w:rsidP="003F1E53">
            <w:pPr>
              <w:pStyle w:val="TablebodyleftFinancialsTables"/>
              <w:rPr>
                <w:rFonts w:asciiTheme="minorHAnsi" w:hAnsiTheme="minorHAnsi" w:cstheme="minorHAnsi"/>
              </w:rPr>
            </w:pPr>
          </w:p>
        </w:tc>
        <w:tc>
          <w:tcPr>
            <w:tcW w:w="1134" w:type="dxa"/>
          </w:tcPr>
          <w:p w14:paraId="50F8F841" w14:textId="77777777" w:rsidR="00B02873" w:rsidRPr="003F1E53" w:rsidRDefault="00B02873" w:rsidP="003F1E53">
            <w:pPr>
              <w:pStyle w:val="TablebodyleftFinancialsTables"/>
              <w:jc w:val="right"/>
              <w:rPr>
                <w:rFonts w:asciiTheme="minorHAnsi" w:hAnsiTheme="minorHAnsi" w:cstheme="minorHAnsi"/>
                <w:b/>
                <w:bCs/>
              </w:rPr>
            </w:pPr>
            <w:r w:rsidRPr="003F1E53">
              <w:rPr>
                <w:rFonts w:asciiTheme="minorHAnsi" w:hAnsiTheme="minorHAnsi" w:cstheme="minorHAnsi"/>
                <w:b/>
                <w:bCs/>
              </w:rPr>
              <w:t>1,470</w:t>
            </w:r>
          </w:p>
        </w:tc>
        <w:tc>
          <w:tcPr>
            <w:tcW w:w="1134" w:type="dxa"/>
          </w:tcPr>
          <w:p w14:paraId="7A58C51A" w14:textId="77777777" w:rsidR="00B02873" w:rsidRPr="003F1E53" w:rsidRDefault="00B02873" w:rsidP="003F1E53">
            <w:pPr>
              <w:pStyle w:val="TablebodyleftFinancialsTables"/>
              <w:jc w:val="right"/>
              <w:rPr>
                <w:rFonts w:asciiTheme="minorHAnsi" w:hAnsiTheme="minorHAnsi" w:cstheme="minorHAnsi"/>
              </w:rPr>
            </w:pPr>
            <w:r w:rsidRPr="003F1E53">
              <w:rPr>
                <w:rFonts w:asciiTheme="minorHAnsi" w:hAnsiTheme="minorHAnsi" w:cstheme="minorHAnsi"/>
              </w:rPr>
              <w:t>–</w:t>
            </w:r>
          </w:p>
        </w:tc>
      </w:tr>
      <w:tr w:rsidR="00B02873" w:rsidRPr="00B02873" w14:paraId="3D5C2E95" w14:textId="77777777" w:rsidTr="002F6A34">
        <w:trPr>
          <w:trHeight w:val="60"/>
        </w:trPr>
        <w:tc>
          <w:tcPr>
            <w:tcW w:w="6690" w:type="dxa"/>
          </w:tcPr>
          <w:p w14:paraId="08087D6F" w14:textId="77777777" w:rsidR="00B02873" w:rsidRPr="003F1E53" w:rsidRDefault="00B02873" w:rsidP="003F1E53">
            <w:pPr>
              <w:pStyle w:val="TablebodyleftFinancialsTables"/>
              <w:rPr>
                <w:rFonts w:asciiTheme="minorHAnsi" w:hAnsiTheme="minorHAnsi" w:cstheme="minorHAnsi"/>
              </w:rPr>
            </w:pPr>
            <w:r w:rsidRPr="003F1E53">
              <w:rPr>
                <w:rFonts w:asciiTheme="minorHAnsi" w:hAnsiTheme="minorHAnsi" w:cstheme="minorHAnsi"/>
              </w:rPr>
              <w:t>Recycling Infrastructure</w:t>
            </w:r>
          </w:p>
        </w:tc>
        <w:tc>
          <w:tcPr>
            <w:tcW w:w="680" w:type="dxa"/>
          </w:tcPr>
          <w:p w14:paraId="48C0B356" w14:textId="77777777" w:rsidR="00B02873" w:rsidRPr="003F1E53" w:rsidRDefault="00B02873" w:rsidP="003F1E53">
            <w:pPr>
              <w:pStyle w:val="TablebodyleftFinancialsTables"/>
              <w:rPr>
                <w:rFonts w:asciiTheme="minorHAnsi" w:hAnsiTheme="minorHAnsi" w:cstheme="minorHAnsi"/>
              </w:rPr>
            </w:pPr>
          </w:p>
        </w:tc>
        <w:tc>
          <w:tcPr>
            <w:tcW w:w="1134" w:type="dxa"/>
          </w:tcPr>
          <w:p w14:paraId="23ACC3EF" w14:textId="77777777" w:rsidR="00B02873" w:rsidRPr="003F1E53" w:rsidRDefault="00B02873" w:rsidP="003F1E53">
            <w:pPr>
              <w:pStyle w:val="TablebodyleftFinancialsTables"/>
              <w:jc w:val="right"/>
              <w:rPr>
                <w:rFonts w:asciiTheme="minorHAnsi" w:hAnsiTheme="minorHAnsi" w:cstheme="minorHAnsi"/>
                <w:b/>
                <w:bCs/>
              </w:rPr>
            </w:pPr>
            <w:r w:rsidRPr="003F1E53">
              <w:rPr>
                <w:rFonts w:asciiTheme="minorHAnsi" w:hAnsiTheme="minorHAnsi" w:cstheme="minorHAnsi"/>
                <w:b/>
                <w:bCs/>
              </w:rPr>
              <w:t>6,816</w:t>
            </w:r>
          </w:p>
        </w:tc>
        <w:tc>
          <w:tcPr>
            <w:tcW w:w="1134" w:type="dxa"/>
          </w:tcPr>
          <w:p w14:paraId="35E56B8F" w14:textId="77777777" w:rsidR="00B02873" w:rsidRPr="003F1E53" w:rsidRDefault="00B02873" w:rsidP="003F1E53">
            <w:pPr>
              <w:pStyle w:val="TablebodyleftFinancialsTables"/>
              <w:jc w:val="right"/>
              <w:rPr>
                <w:rFonts w:asciiTheme="minorHAnsi" w:hAnsiTheme="minorHAnsi" w:cstheme="minorHAnsi"/>
              </w:rPr>
            </w:pPr>
            <w:r w:rsidRPr="003F1E53">
              <w:rPr>
                <w:rFonts w:asciiTheme="minorHAnsi" w:hAnsiTheme="minorHAnsi" w:cstheme="minorHAnsi"/>
              </w:rPr>
              <w:t>–</w:t>
            </w:r>
          </w:p>
        </w:tc>
      </w:tr>
      <w:tr w:rsidR="00B02873" w:rsidRPr="00B02873" w14:paraId="68FF6448" w14:textId="77777777" w:rsidTr="002F6A34">
        <w:trPr>
          <w:trHeight w:val="60"/>
        </w:trPr>
        <w:tc>
          <w:tcPr>
            <w:tcW w:w="6690" w:type="dxa"/>
          </w:tcPr>
          <w:p w14:paraId="1473D79C" w14:textId="77777777" w:rsidR="00B02873" w:rsidRPr="003F1E53" w:rsidRDefault="00B02873" w:rsidP="003F1E53">
            <w:pPr>
              <w:pStyle w:val="TablebodyleftFinancialsTables"/>
              <w:rPr>
                <w:rFonts w:asciiTheme="minorHAnsi" w:hAnsiTheme="minorHAnsi" w:cstheme="minorHAnsi"/>
              </w:rPr>
            </w:pPr>
            <w:r w:rsidRPr="003F1E53">
              <w:rPr>
                <w:rFonts w:asciiTheme="minorHAnsi" w:hAnsiTheme="minorHAnsi" w:cstheme="minorHAnsi"/>
              </w:rPr>
              <w:t>Regional fund for wildlife and habitat bushfire recovery</w:t>
            </w:r>
          </w:p>
        </w:tc>
        <w:tc>
          <w:tcPr>
            <w:tcW w:w="680" w:type="dxa"/>
          </w:tcPr>
          <w:p w14:paraId="3B23281B" w14:textId="77777777" w:rsidR="00B02873" w:rsidRPr="003F1E53" w:rsidRDefault="00B02873" w:rsidP="003F1E53">
            <w:pPr>
              <w:pStyle w:val="TablebodyleftFinancialsTables"/>
              <w:rPr>
                <w:rFonts w:asciiTheme="minorHAnsi" w:hAnsiTheme="minorHAnsi" w:cstheme="minorHAnsi"/>
              </w:rPr>
            </w:pPr>
          </w:p>
        </w:tc>
        <w:tc>
          <w:tcPr>
            <w:tcW w:w="1134" w:type="dxa"/>
          </w:tcPr>
          <w:p w14:paraId="4EC662A2" w14:textId="77777777" w:rsidR="00B02873" w:rsidRPr="003F1E53" w:rsidRDefault="00B02873" w:rsidP="003F1E53">
            <w:pPr>
              <w:pStyle w:val="TablebodyleftFinancialsTables"/>
              <w:jc w:val="right"/>
              <w:rPr>
                <w:rFonts w:asciiTheme="minorHAnsi" w:hAnsiTheme="minorHAnsi" w:cstheme="minorHAnsi"/>
                <w:b/>
                <w:bCs/>
              </w:rPr>
            </w:pPr>
            <w:r w:rsidRPr="003F1E53">
              <w:rPr>
                <w:rFonts w:asciiTheme="minorHAnsi" w:hAnsiTheme="minorHAnsi" w:cstheme="minorHAnsi"/>
                <w:b/>
                <w:bCs/>
              </w:rPr>
              <w:t>6,641</w:t>
            </w:r>
          </w:p>
        </w:tc>
        <w:tc>
          <w:tcPr>
            <w:tcW w:w="1134" w:type="dxa"/>
          </w:tcPr>
          <w:p w14:paraId="2BC2BDFD" w14:textId="77777777" w:rsidR="00B02873" w:rsidRPr="003F1E53" w:rsidRDefault="00B02873" w:rsidP="003F1E53">
            <w:pPr>
              <w:pStyle w:val="TablebodyleftFinancialsTables"/>
              <w:jc w:val="right"/>
              <w:rPr>
                <w:rFonts w:asciiTheme="minorHAnsi" w:hAnsiTheme="minorHAnsi" w:cstheme="minorHAnsi"/>
              </w:rPr>
            </w:pPr>
            <w:r w:rsidRPr="003F1E53">
              <w:rPr>
                <w:rFonts w:asciiTheme="minorHAnsi" w:hAnsiTheme="minorHAnsi" w:cstheme="minorHAnsi"/>
              </w:rPr>
              <w:t>3,419</w:t>
            </w:r>
          </w:p>
        </w:tc>
      </w:tr>
      <w:tr w:rsidR="00B02873" w:rsidRPr="00B02873" w14:paraId="5B0D1A53" w14:textId="77777777" w:rsidTr="002F6A34">
        <w:trPr>
          <w:trHeight w:val="60"/>
        </w:trPr>
        <w:tc>
          <w:tcPr>
            <w:tcW w:w="6690" w:type="dxa"/>
          </w:tcPr>
          <w:p w14:paraId="28B7020A" w14:textId="77777777" w:rsidR="00B02873" w:rsidRPr="003F1E53" w:rsidRDefault="00B02873" w:rsidP="003F1E53">
            <w:pPr>
              <w:pStyle w:val="TablebodyleftFinancialsTables"/>
              <w:rPr>
                <w:rFonts w:asciiTheme="minorHAnsi" w:hAnsiTheme="minorHAnsi" w:cstheme="minorHAnsi"/>
              </w:rPr>
            </w:pPr>
            <w:r w:rsidRPr="003F1E53">
              <w:rPr>
                <w:rFonts w:asciiTheme="minorHAnsi" w:hAnsiTheme="minorHAnsi" w:cstheme="minorHAnsi"/>
              </w:rPr>
              <w:t>Sustainable Rural Water Use and Infrastructure Program</w:t>
            </w:r>
          </w:p>
        </w:tc>
        <w:tc>
          <w:tcPr>
            <w:tcW w:w="680" w:type="dxa"/>
          </w:tcPr>
          <w:p w14:paraId="0FD5F1FB" w14:textId="77777777" w:rsidR="00B02873" w:rsidRPr="003F1E53" w:rsidRDefault="00B02873" w:rsidP="003F1E53">
            <w:pPr>
              <w:pStyle w:val="TablebodyleftFinancialsTables"/>
              <w:rPr>
                <w:rFonts w:asciiTheme="minorHAnsi" w:hAnsiTheme="minorHAnsi" w:cstheme="minorHAnsi"/>
              </w:rPr>
            </w:pPr>
          </w:p>
        </w:tc>
        <w:tc>
          <w:tcPr>
            <w:tcW w:w="1134" w:type="dxa"/>
          </w:tcPr>
          <w:p w14:paraId="1DB0F471" w14:textId="77777777" w:rsidR="00B02873" w:rsidRPr="003F1E53" w:rsidRDefault="00B02873" w:rsidP="003F1E53">
            <w:pPr>
              <w:pStyle w:val="TablebodyleftFinancialsTables"/>
              <w:jc w:val="right"/>
              <w:rPr>
                <w:rFonts w:asciiTheme="minorHAnsi" w:hAnsiTheme="minorHAnsi" w:cstheme="minorHAnsi"/>
                <w:b/>
                <w:bCs/>
              </w:rPr>
            </w:pPr>
            <w:r w:rsidRPr="003F1E53">
              <w:rPr>
                <w:rFonts w:asciiTheme="minorHAnsi" w:hAnsiTheme="minorHAnsi" w:cstheme="minorHAnsi"/>
                <w:b/>
                <w:bCs/>
              </w:rPr>
              <w:t xml:space="preserve"> 28,962</w:t>
            </w:r>
          </w:p>
        </w:tc>
        <w:tc>
          <w:tcPr>
            <w:tcW w:w="1134" w:type="dxa"/>
          </w:tcPr>
          <w:p w14:paraId="289E46C1" w14:textId="77777777" w:rsidR="00B02873" w:rsidRPr="003F1E53" w:rsidRDefault="00B02873" w:rsidP="003F1E53">
            <w:pPr>
              <w:pStyle w:val="TablebodyleftFinancialsTables"/>
              <w:jc w:val="right"/>
              <w:rPr>
                <w:rFonts w:asciiTheme="minorHAnsi" w:hAnsiTheme="minorHAnsi" w:cstheme="minorHAnsi"/>
              </w:rPr>
            </w:pPr>
            <w:r w:rsidRPr="003F1E53">
              <w:rPr>
                <w:rFonts w:asciiTheme="minorHAnsi" w:hAnsiTheme="minorHAnsi" w:cstheme="minorHAnsi"/>
              </w:rPr>
              <w:t>16,298</w:t>
            </w:r>
          </w:p>
        </w:tc>
      </w:tr>
      <w:tr w:rsidR="00B02873" w:rsidRPr="00B02873" w14:paraId="65F6DBE4" w14:textId="77777777" w:rsidTr="002F6A34">
        <w:trPr>
          <w:trHeight w:val="60"/>
        </w:trPr>
        <w:tc>
          <w:tcPr>
            <w:tcW w:w="6690" w:type="dxa"/>
          </w:tcPr>
          <w:p w14:paraId="20B7D58B" w14:textId="77777777" w:rsidR="00B02873" w:rsidRPr="003F1E53" w:rsidRDefault="00B02873" w:rsidP="003F1E53">
            <w:pPr>
              <w:pStyle w:val="TablebodyleftFinancialsTables"/>
              <w:rPr>
                <w:rFonts w:asciiTheme="minorHAnsi" w:hAnsiTheme="minorHAnsi" w:cstheme="minorHAnsi"/>
              </w:rPr>
            </w:pPr>
            <w:r w:rsidRPr="003F1E53">
              <w:rPr>
                <w:rFonts w:asciiTheme="minorHAnsi" w:hAnsiTheme="minorHAnsi" w:cstheme="minorHAnsi"/>
              </w:rPr>
              <w:t xml:space="preserve">National Flood Mitigation Infrastructure Program </w:t>
            </w:r>
          </w:p>
        </w:tc>
        <w:tc>
          <w:tcPr>
            <w:tcW w:w="680" w:type="dxa"/>
          </w:tcPr>
          <w:p w14:paraId="478804D8" w14:textId="77777777" w:rsidR="00B02873" w:rsidRPr="003F1E53" w:rsidRDefault="00B02873" w:rsidP="003F1E53">
            <w:pPr>
              <w:pStyle w:val="TablebodyleftFinancialsTables"/>
              <w:rPr>
                <w:rFonts w:asciiTheme="minorHAnsi" w:hAnsiTheme="minorHAnsi" w:cstheme="minorHAnsi"/>
              </w:rPr>
            </w:pPr>
          </w:p>
        </w:tc>
        <w:tc>
          <w:tcPr>
            <w:tcW w:w="1134" w:type="dxa"/>
          </w:tcPr>
          <w:p w14:paraId="482EBA05" w14:textId="77777777" w:rsidR="00B02873" w:rsidRPr="003F1E53" w:rsidRDefault="00B02873" w:rsidP="003F1E53">
            <w:pPr>
              <w:pStyle w:val="TablebodyleftFinancialsTables"/>
              <w:jc w:val="right"/>
              <w:rPr>
                <w:rFonts w:asciiTheme="minorHAnsi" w:hAnsiTheme="minorHAnsi" w:cstheme="minorHAnsi"/>
                <w:b/>
                <w:bCs/>
              </w:rPr>
            </w:pPr>
            <w:r w:rsidRPr="003F1E53">
              <w:rPr>
                <w:rFonts w:asciiTheme="minorHAnsi" w:hAnsiTheme="minorHAnsi" w:cstheme="minorHAnsi"/>
                <w:b/>
                <w:bCs/>
              </w:rPr>
              <w:t>6,917</w:t>
            </w:r>
          </w:p>
        </w:tc>
        <w:tc>
          <w:tcPr>
            <w:tcW w:w="1134" w:type="dxa"/>
          </w:tcPr>
          <w:p w14:paraId="43A32CB4" w14:textId="77777777" w:rsidR="00B02873" w:rsidRPr="003F1E53" w:rsidRDefault="00B02873" w:rsidP="003F1E53">
            <w:pPr>
              <w:pStyle w:val="TablebodyleftFinancialsTables"/>
              <w:jc w:val="right"/>
              <w:rPr>
                <w:rFonts w:asciiTheme="minorHAnsi" w:hAnsiTheme="minorHAnsi" w:cstheme="minorHAnsi"/>
              </w:rPr>
            </w:pPr>
            <w:r w:rsidRPr="003F1E53">
              <w:rPr>
                <w:rFonts w:asciiTheme="minorHAnsi" w:hAnsiTheme="minorHAnsi" w:cstheme="minorHAnsi"/>
              </w:rPr>
              <w:t>–</w:t>
            </w:r>
          </w:p>
        </w:tc>
      </w:tr>
      <w:tr w:rsidR="00B02873" w:rsidRPr="00B02873" w14:paraId="23A54DD1" w14:textId="77777777" w:rsidTr="002F6A34">
        <w:trPr>
          <w:trHeight w:val="60"/>
        </w:trPr>
        <w:tc>
          <w:tcPr>
            <w:tcW w:w="6690" w:type="dxa"/>
          </w:tcPr>
          <w:p w14:paraId="4A5EA640" w14:textId="57B11B14" w:rsidR="00B02873" w:rsidRPr="003F1E53" w:rsidRDefault="00B02873" w:rsidP="003F1E53">
            <w:pPr>
              <w:pStyle w:val="TablebodyleftFinancialsTables"/>
              <w:rPr>
                <w:rFonts w:asciiTheme="minorHAnsi" w:hAnsiTheme="minorHAnsi" w:cstheme="minorHAnsi"/>
              </w:rPr>
            </w:pPr>
            <w:r w:rsidRPr="003F1E53">
              <w:rPr>
                <w:rFonts w:asciiTheme="minorHAnsi" w:hAnsiTheme="minorHAnsi" w:cstheme="minorHAnsi"/>
              </w:rPr>
              <w:t>National Water Infrastructure Development Fund</w:t>
            </w:r>
            <w:r w:rsidR="000C45FC" w:rsidRPr="003F1E53">
              <w:rPr>
                <w:rFonts w:asciiTheme="minorHAnsi" w:hAnsiTheme="minorHAnsi" w:cstheme="minorHAnsi"/>
              </w:rPr>
              <w:t xml:space="preserve"> – </w:t>
            </w:r>
            <w:r w:rsidRPr="003F1E53">
              <w:rPr>
                <w:rFonts w:asciiTheme="minorHAnsi" w:hAnsiTheme="minorHAnsi" w:cstheme="minorHAnsi"/>
              </w:rPr>
              <w:t>Feasibility Studies</w:t>
            </w:r>
          </w:p>
        </w:tc>
        <w:tc>
          <w:tcPr>
            <w:tcW w:w="680" w:type="dxa"/>
          </w:tcPr>
          <w:p w14:paraId="2C1CB8B9" w14:textId="77777777" w:rsidR="00B02873" w:rsidRPr="003F1E53" w:rsidRDefault="00B02873" w:rsidP="003F1E53">
            <w:pPr>
              <w:pStyle w:val="TablebodyleftFinancialsTables"/>
              <w:rPr>
                <w:rFonts w:asciiTheme="minorHAnsi" w:hAnsiTheme="minorHAnsi" w:cstheme="minorHAnsi"/>
              </w:rPr>
            </w:pPr>
          </w:p>
        </w:tc>
        <w:tc>
          <w:tcPr>
            <w:tcW w:w="1134" w:type="dxa"/>
          </w:tcPr>
          <w:p w14:paraId="64E75205" w14:textId="77777777" w:rsidR="00B02873" w:rsidRPr="003F1E53" w:rsidRDefault="00B02873" w:rsidP="003F1E53">
            <w:pPr>
              <w:pStyle w:val="TablebodyleftFinancialsTables"/>
              <w:jc w:val="right"/>
              <w:rPr>
                <w:rFonts w:asciiTheme="minorHAnsi" w:hAnsiTheme="minorHAnsi" w:cstheme="minorHAnsi"/>
                <w:b/>
                <w:bCs/>
              </w:rPr>
            </w:pPr>
            <w:r w:rsidRPr="003F1E53">
              <w:rPr>
                <w:rFonts w:asciiTheme="minorHAnsi" w:hAnsiTheme="minorHAnsi" w:cstheme="minorHAnsi"/>
                <w:b/>
                <w:bCs/>
              </w:rPr>
              <w:t>–</w:t>
            </w:r>
          </w:p>
        </w:tc>
        <w:tc>
          <w:tcPr>
            <w:tcW w:w="1134" w:type="dxa"/>
          </w:tcPr>
          <w:p w14:paraId="1942683B" w14:textId="77777777" w:rsidR="00B02873" w:rsidRPr="003F1E53" w:rsidRDefault="00B02873" w:rsidP="003F1E53">
            <w:pPr>
              <w:pStyle w:val="TablebodyleftFinancialsTables"/>
              <w:jc w:val="right"/>
              <w:rPr>
                <w:rFonts w:asciiTheme="minorHAnsi" w:hAnsiTheme="minorHAnsi" w:cstheme="minorHAnsi"/>
              </w:rPr>
            </w:pPr>
            <w:r w:rsidRPr="003F1E53">
              <w:rPr>
                <w:rFonts w:asciiTheme="minorHAnsi" w:hAnsiTheme="minorHAnsi" w:cstheme="minorHAnsi"/>
              </w:rPr>
              <w:t>100</w:t>
            </w:r>
          </w:p>
        </w:tc>
      </w:tr>
      <w:tr w:rsidR="00B02873" w:rsidRPr="00B02873" w14:paraId="0E810D14" w14:textId="77777777" w:rsidTr="002F6A34">
        <w:trPr>
          <w:trHeight w:val="60"/>
        </w:trPr>
        <w:tc>
          <w:tcPr>
            <w:tcW w:w="6690" w:type="dxa"/>
          </w:tcPr>
          <w:p w14:paraId="17A70F1D" w14:textId="77777777" w:rsidR="00B02873" w:rsidRPr="003F1E53" w:rsidRDefault="00B02873" w:rsidP="003F1E53">
            <w:pPr>
              <w:pStyle w:val="TablebodyleftFinancialsTables"/>
              <w:rPr>
                <w:rFonts w:asciiTheme="minorHAnsi" w:hAnsiTheme="minorHAnsi" w:cstheme="minorHAnsi"/>
                <w:b/>
                <w:bCs/>
              </w:rPr>
            </w:pPr>
            <w:r w:rsidRPr="003F1E53">
              <w:rPr>
                <w:rFonts w:asciiTheme="minorHAnsi" w:hAnsiTheme="minorHAnsi" w:cstheme="minorHAnsi"/>
                <w:b/>
                <w:bCs/>
              </w:rPr>
              <w:t>Total Commonwealth specific purpose payments – output</w:t>
            </w:r>
          </w:p>
        </w:tc>
        <w:tc>
          <w:tcPr>
            <w:tcW w:w="680" w:type="dxa"/>
          </w:tcPr>
          <w:p w14:paraId="7EFB8A3F" w14:textId="77777777" w:rsidR="00B02873" w:rsidRPr="003F1E53" w:rsidRDefault="00B02873" w:rsidP="003F1E53">
            <w:pPr>
              <w:pStyle w:val="TablebodyleftFinancialsTables"/>
              <w:rPr>
                <w:rFonts w:asciiTheme="minorHAnsi" w:hAnsiTheme="minorHAnsi" w:cstheme="minorHAnsi"/>
              </w:rPr>
            </w:pPr>
          </w:p>
        </w:tc>
        <w:tc>
          <w:tcPr>
            <w:tcW w:w="1134" w:type="dxa"/>
          </w:tcPr>
          <w:p w14:paraId="12F3945E" w14:textId="77777777" w:rsidR="00B02873" w:rsidRPr="003F1E53" w:rsidRDefault="00B02873" w:rsidP="003F1E53">
            <w:pPr>
              <w:pStyle w:val="TablebodyleftFinancialsTables"/>
              <w:jc w:val="right"/>
              <w:rPr>
                <w:rFonts w:asciiTheme="minorHAnsi" w:hAnsiTheme="minorHAnsi" w:cstheme="minorHAnsi"/>
                <w:b/>
                <w:bCs/>
              </w:rPr>
            </w:pPr>
            <w:r w:rsidRPr="003F1E53">
              <w:rPr>
                <w:rFonts w:asciiTheme="minorHAnsi" w:hAnsiTheme="minorHAnsi" w:cstheme="minorHAnsi"/>
                <w:b/>
                <w:bCs/>
              </w:rPr>
              <w:t>88,645</w:t>
            </w:r>
          </w:p>
        </w:tc>
        <w:tc>
          <w:tcPr>
            <w:tcW w:w="1134" w:type="dxa"/>
          </w:tcPr>
          <w:p w14:paraId="258F88D5" w14:textId="77777777" w:rsidR="00B02873" w:rsidRPr="003F1E53" w:rsidRDefault="00B02873" w:rsidP="003F1E53">
            <w:pPr>
              <w:pStyle w:val="TablebodyleftFinancialsTables"/>
              <w:jc w:val="right"/>
              <w:rPr>
                <w:rFonts w:asciiTheme="minorHAnsi" w:hAnsiTheme="minorHAnsi" w:cstheme="minorHAnsi"/>
              </w:rPr>
            </w:pPr>
            <w:r w:rsidRPr="003F1E53">
              <w:rPr>
                <w:rFonts w:asciiTheme="minorHAnsi" w:hAnsiTheme="minorHAnsi" w:cstheme="minorHAnsi"/>
              </w:rPr>
              <w:t>50,490</w:t>
            </w:r>
          </w:p>
        </w:tc>
      </w:tr>
      <w:tr w:rsidR="00B02873" w:rsidRPr="00B02873" w14:paraId="48D9D2FC" w14:textId="77777777" w:rsidTr="002F6A34">
        <w:trPr>
          <w:trHeight w:val="60"/>
        </w:trPr>
        <w:tc>
          <w:tcPr>
            <w:tcW w:w="6690" w:type="dxa"/>
          </w:tcPr>
          <w:p w14:paraId="07DF6680" w14:textId="77777777" w:rsidR="00B02873" w:rsidRPr="003F1E53" w:rsidRDefault="00B02873" w:rsidP="003F1E53">
            <w:pPr>
              <w:pStyle w:val="TablebodyleftFinancialsTables"/>
              <w:rPr>
                <w:rFonts w:asciiTheme="minorHAnsi" w:hAnsiTheme="minorHAnsi" w:cstheme="minorHAnsi"/>
                <w:b/>
                <w:bCs/>
              </w:rPr>
            </w:pPr>
            <w:r w:rsidRPr="003F1E53">
              <w:rPr>
                <w:rFonts w:asciiTheme="minorHAnsi" w:hAnsiTheme="minorHAnsi" w:cstheme="minorHAnsi"/>
                <w:b/>
                <w:bCs/>
              </w:rPr>
              <w:t>Commonwealth specific purpose payments – capital</w:t>
            </w:r>
          </w:p>
        </w:tc>
        <w:tc>
          <w:tcPr>
            <w:tcW w:w="680" w:type="dxa"/>
          </w:tcPr>
          <w:p w14:paraId="206BF2C0" w14:textId="77777777" w:rsidR="00B02873" w:rsidRPr="003F1E53" w:rsidRDefault="00B02873" w:rsidP="003F1E53">
            <w:pPr>
              <w:pStyle w:val="TablebodyleftFinancialsTables"/>
              <w:rPr>
                <w:rFonts w:asciiTheme="minorHAnsi" w:hAnsiTheme="minorHAnsi" w:cstheme="minorHAnsi"/>
              </w:rPr>
            </w:pPr>
          </w:p>
        </w:tc>
        <w:tc>
          <w:tcPr>
            <w:tcW w:w="1134" w:type="dxa"/>
          </w:tcPr>
          <w:p w14:paraId="684C76B4" w14:textId="77777777" w:rsidR="00B02873" w:rsidRPr="003F1E53" w:rsidRDefault="00B02873" w:rsidP="003F1E53">
            <w:pPr>
              <w:pStyle w:val="TablebodyleftFinancialsTables"/>
              <w:jc w:val="right"/>
              <w:rPr>
                <w:rFonts w:asciiTheme="minorHAnsi" w:hAnsiTheme="minorHAnsi" w:cstheme="minorHAnsi"/>
                <w:b/>
                <w:bCs/>
              </w:rPr>
            </w:pPr>
          </w:p>
        </w:tc>
        <w:tc>
          <w:tcPr>
            <w:tcW w:w="1134" w:type="dxa"/>
          </w:tcPr>
          <w:p w14:paraId="5872D81E" w14:textId="77777777" w:rsidR="00B02873" w:rsidRPr="003F1E53" w:rsidRDefault="00B02873" w:rsidP="003F1E53">
            <w:pPr>
              <w:pStyle w:val="TablebodyleftFinancialsTables"/>
              <w:jc w:val="right"/>
              <w:rPr>
                <w:rFonts w:asciiTheme="minorHAnsi" w:hAnsiTheme="minorHAnsi" w:cstheme="minorHAnsi"/>
              </w:rPr>
            </w:pPr>
          </w:p>
        </w:tc>
      </w:tr>
      <w:tr w:rsidR="00B02873" w:rsidRPr="00B02873" w14:paraId="1DBED72C" w14:textId="77777777" w:rsidTr="002F6A34">
        <w:trPr>
          <w:trHeight w:val="60"/>
        </w:trPr>
        <w:tc>
          <w:tcPr>
            <w:tcW w:w="6690" w:type="dxa"/>
          </w:tcPr>
          <w:p w14:paraId="677FF073" w14:textId="0A39A328" w:rsidR="00B02873" w:rsidRPr="003F1E53" w:rsidRDefault="00B02873" w:rsidP="003F1E53">
            <w:pPr>
              <w:pStyle w:val="TablebodyleftFinancialsTables"/>
              <w:rPr>
                <w:rFonts w:asciiTheme="minorHAnsi" w:hAnsiTheme="minorHAnsi" w:cstheme="minorHAnsi"/>
              </w:rPr>
            </w:pPr>
            <w:r w:rsidRPr="003F1E53">
              <w:rPr>
                <w:rFonts w:asciiTheme="minorHAnsi" w:hAnsiTheme="minorHAnsi" w:cstheme="minorHAnsi"/>
              </w:rPr>
              <w:t>Goulburn-Murray Water</w:t>
            </w:r>
            <w:r w:rsidR="000C45FC" w:rsidRPr="003F1E53">
              <w:rPr>
                <w:rFonts w:asciiTheme="minorHAnsi" w:hAnsiTheme="minorHAnsi" w:cstheme="minorHAnsi"/>
              </w:rPr>
              <w:t xml:space="preserve"> – </w:t>
            </w:r>
            <w:r w:rsidRPr="003F1E53">
              <w:rPr>
                <w:rFonts w:asciiTheme="minorHAnsi" w:hAnsiTheme="minorHAnsi" w:cstheme="minorHAnsi"/>
              </w:rPr>
              <w:t>Water Efficiency Project</w:t>
            </w:r>
          </w:p>
        </w:tc>
        <w:tc>
          <w:tcPr>
            <w:tcW w:w="680" w:type="dxa"/>
          </w:tcPr>
          <w:p w14:paraId="323862FD" w14:textId="77777777" w:rsidR="00B02873" w:rsidRPr="003F1E53" w:rsidRDefault="00B02873" w:rsidP="003F1E53">
            <w:pPr>
              <w:pStyle w:val="TablebodyleftFinancialsTables"/>
              <w:rPr>
                <w:rFonts w:asciiTheme="minorHAnsi" w:hAnsiTheme="minorHAnsi" w:cstheme="minorHAnsi"/>
              </w:rPr>
            </w:pPr>
          </w:p>
        </w:tc>
        <w:tc>
          <w:tcPr>
            <w:tcW w:w="1134" w:type="dxa"/>
          </w:tcPr>
          <w:p w14:paraId="383A5D60" w14:textId="77777777" w:rsidR="00B02873" w:rsidRPr="003F1E53" w:rsidRDefault="00B02873" w:rsidP="003F1E53">
            <w:pPr>
              <w:pStyle w:val="TablebodyleftFinancialsTables"/>
              <w:jc w:val="right"/>
              <w:rPr>
                <w:rFonts w:asciiTheme="minorHAnsi" w:hAnsiTheme="minorHAnsi" w:cstheme="minorHAnsi"/>
                <w:b/>
                <w:bCs/>
              </w:rPr>
            </w:pPr>
            <w:r w:rsidRPr="003F1E53">
              <w:rPr>
                <w:rFonts w:asciiTheme="minorHAnsi" w:hAnsiTheme="minorHAnsi" w:cstheme="minorHAnsi"/>
                <w:b/>
                <w:bCs/>
              </w:rPr>
              <w:t>34,000</w:t>
            </w:r>
          </w:p>
        </w:tc>
        <w:tc>
          <w:tcPr>
            <w:tcW w:w="1134" w:type="dxa"/>
          </w:tcPr>
          <w:p w14:paraId="321D0112" w14:textId="77777777" w:rsidR="00B02873" w:rsidRPr="003F1E53" w:rsidRDefault="00B02873" w:rsidP="003F1E53">
            <w:pPr>
              <w:pStyle w:val="TablebodyleftFinancialsTables"/>
              <w:jc w:val="right"/>
              <w:rPr>
                <w:rFonts w:asciiTheme="minorHAnsi" w:hAnsiTheme="minorHAnsi" w:cstheme="minorHAnsi"/>
              </w:rPr>
            </w:pPr>
            <w:r w:rsidRPr="003F1E53">
              <w:rPr>
                <w:rFonts w:asciiTheme="minorHAnsi" w:hAnsiTheme="minorHAnsi" w:cstheme="minorHAnsi"/>
              </w:rPr>
              <w:t>18,000</w:t>
            </w:r>
          </w:p>
        </w:tc>
      </w:tr>
      <w:tr w:rsidR="00B02873" w:rsidRPr="00B02873" w14:paraId="225C9D6A" w14:textId="77777777" w:rsidTr="002F6A34">
        <w:trPr>
          <w:trHeight w:val="60"/>
        </w:trPr>
        <w:tc>
          <w:tcPr>
            <w:tcW w:w="6690" w:type="dxa"/>
          </w:tcPr>
          <w:p w14:paraId="3D517F56" w14:textId="77777777" w:rsidR="00B02873" w:rsidRPr="003F1E53" w:rsidRDefault="00B02873" w:rsidP="003F1E53">
            <w:pPr>
              <w:pStyle w:val="TablebodyleftFinancialsTables"/>
              <w:rPr>
                <w:rFonts w:asciiTheme="minorHAnsi" w:hAnsiTheme="minorHAnsi" w:cstheme="minorHAnsi"/>
              </w:rPr>
            </w:pPr>
            <w:r w:rsidRPr="003F1E53">
              <w:rPr>
                <w:rFonts w:asciiTheme="minorHAnsi" w:hAnsiTheme="minorHAnsi" w:cstheme="minorHAnsi"/>
              </w:rPr>
              <w:t xml:space="preserve">National Partnership Agreement for the National Water Infrastructure Development Fund </w:t>
            </w:r>
          </w:p>
        </w:tc>
        <w:tc>
          <w:tcPr>
            <w:tcW w:w="680" w:type="dxa"/>
          </w:tcPr>
          <w:p w14:paraId="7A8EE399" w14:textId="77777777" w:rsidR="00B02873" w:rsidRPr="003F1E53" w:rsidRDefault="00B02873" w:rsidP="003F1E53">
            <w:pPr>
              <w:pStyle w:val="TablebodyleftFinancialsTables"/>
              <w:rPr>
                <w:rFonts w:asciiTheme="minorHAnsi" w:hAnsiTheme="minorHAnsi" w:cstheme="minorHAnsi"/>
              </w:rPr>
            </w:pPr>
          </w:p>
        </w:tc>
        <w:tc>
          <w:tcPr>
            <w:tcW w:w="1134" w:type="dxa"/>
          </w:tcPr>
          <w:p w14:paraId="56BE7139" w14:textId="77777777" w:rsidR="00B02873" w:rsidRPr="003F1E53" w:rsidRDefault="00B02873" w:rsidP="003F1E53">
            <w:pPr>
              <w:pStyle w:val="TablebodyleftFinancialsTables"/>
              <w:jc w:val="right"/>
              <w:rPr>
                <w:rFonts w:asciiTheme="minorHAnsi" w:hAnsiTheme="minorHAnsi" w:cstheme="minorHAnsi"/>
                <w:b/>
                <w:bCs/>
              </w:rPr>
            </w:pPr>
            <w:r w:rsidRPr="003F1E53">
              <w:rPr>
                <w:rFonts w:asciiTheme="minorHAnsi" w:hAnsiTheme="minorHAnsi" w:cstheme="minorHAnsi"/>
                <w:b/>
                <w:bCs/>
              </w:rPr>
              <w:t>9,000</w:t>
            </w:r>
          </w:p>
        </w:tc>
        <w:tc>
          <w:tcPr>
            <w:tcW w:w="1134" w:type="dxa"/>
          </w:tcPr>
          <w:p w14:paraId="630A6F4C" w14:textId="77777777" w:rsidR="00B02873" w:rsidRPr="003F1E53" w:rsidRDefault="00B02873" w:rsidP="003F1E53">
            <w:pPr>
              <w:pStyle w:val="TablebodyleftFinancialsTables"/>
              <w:jc w:val="right"/>
              <w:rPr>
                <w:rFonts w:asciiTheme="minorHAnsi" w:hAnsiTheme="minorHAnsi" w:cstheme="minorHAnsi"/>
              </w:rPr>
            </w:pPr>
            <w:r w:rsidRPr="003F1E53">
              <w:rPr>
                <w:rFonts w:asciiTheme="minorHAnsi" w:hAnsiTheme="minorHAnsi" w:cstheme="minorHAnsi"/>
              </w:rPr>
              <w:t>27,000</w:t>
            </w:r>
          </w:p>
        </w:tc>
      </w:tr>
      <w:tr w:rsidR="00B02873" w:rsidRPr="00B02873" w14:paraId="75675A48" w14:textId="77777777" w:rsidTr="002F6A34">
        <w:trPr>
          <w:trHeight w:val="60"/>
        </w:trPr>
        <w:tc>
          <w:tcPr>
            <w:tcW w:w="6690" w:type="dxa"/>
          </w:tcPr>
          <w:p w14:paraId="560FA713" w14:textId="77777777" w:rsidR="00B02873" w:rsidRPr="003F1E53" w:rsidRDefault="00B02873" w:rsidP="003F1E53">
            <w:pPr>
              <w:pStyle w:val="TablebodyleftFinancialsTables"/>
              <w:rPr>
                <w:rFonts w:asciiTheme="minorHAnsi" w:hAnsiTheme="minorHAnsi" w:cstheme="minorHAnsi"/>
              </w:rPr>
            </w:pPr>
            <w:r w:rsidRPr="003F1E53">
              <w:rPr>
                <w:rFonts w:asciiTheme="minorHAnsi" w:hAnsiTheme="minorHAnsi" w:cstheme="minorHAnsi"/>
              </w:rPr>
              <w:t xml:space="preserve">National Water Grid </w:t>
            </w:r>
          </w:p>
        </w:tc>
        <w:tc>
          <w:tcPr>
            <w:tcW w:w="680" w:type="dxa"/>
          </w:tcPr>
          <w:p w14:paraId="31896D41" w14:textId="77777777" w:rsidR="00B02873" w:rsidRPr="003F1E53" w:rsidRDefault="00B02873" w:rsidP="003F1E53">
            <w:pPr>
              <w:pStyle w:val="TablebodyleftFinancialsTables"/>
              <w:rPr>
                <w:rFonts w:asciiTheme="minorHAnsi" w:hAnsiTheme="minorHAnsi" w:cstheme="minorHAnsi"/>
              </w:rPr>
            </w:pPr>
          </w:p>
        </w:tc>
        <w:tc>
          <w:tcPr>
            <w:tcW w:w="1134" w:type="dxa"/>
          </w:tcPr>
          <w:p w14:paraId="003118EE" w14:textId="77777777" w:rsidR="00B02873" w:rsidRPr="003F1E53" w:rsidRDefault="00B02873" w:rsidP="003F1E53">
            <w:pPr>
              <w:pStyle w:val="TablebodyleftFinancialsTables"/>
              <w:jc w:val="right"/>
              <w:rPr>
                <w:rFonts w:asciiTheme="minorHAnsi" w:hAnsiTheme="minorHAnsi" w:cstheme="minorHAnsi"/>
                <w:b/>
                <w:bCs/>
              </w:rPr>
            </w:pPr>
            <w:r w:rsidRPr="003F1E53">
              <w:rPr>
                <w:rFonts w:asciiTheme="minorHAnsi" w:hAnsiTheme="minorHAnsi" w:cstheme="minorHAnsi"/>
                <w:b/>
                <w:bCs/>
              </w:rPr>
              <w:t>5,500</w:t>
            </w:r>
          </w:p>
        </w:tc>
        <w:tc>
          <w:tcPr>
            <w:tcW w:w="1134" w:type="dxa"/>
          </w:tcPr>
          <w:p w14:paraId="76960C6B" w14:textId="77777777" w:rsidR="00B02873" w:rsidRPr="003F1E53" w:rsidRDefault="00B02873" w:rsidP="003F1E53">
            <w:pPr>
              <w:pStyle w:val="TablebodyleftFinancialsTables"/>
              <w:jc w:val="right"/>
              <w:rPr>
                <w:rFonts w:asciiTheme="minorHAnsi" w:hAnsiTheme="minorHAnsi" w:cstheme="minorHAnsi"/>
              </w:rPr>
            </w:pPr>
            <w:r w:rsidRPr="003F1E53">
              <w:rPr>
                <w:rFonts w:asciiTheme="minorHAnsi" w:hAnsiTheme="minorHAnsi" w:cstheme="minorHAnsi"/>
              </w:rPr>
              <w:t>–</w:t>
            </w:r>
          </w:p>
        </w:tc>
      </w:tr>
      <w:tr w:rsidR="00B02873" w:rsidRPr="00B02873" w14:paraId="4B41877C" w14:textId="77777777" w:rsidTr="002F6A34">
        <w:trPr>
          <w:trHeight w:val="60"/>
        </w:trPr>
        <w:tc>
          <w:tcPr>
            <w:tcW w:w="6690" w:type="dxa"/>
          </w:tcPr>
          <w:p w14:paraId="18FF7CA9" w14:textId="77777777" w:rsidR="00B02873" w:rsidRPr="003F1E53" w:rsidRDefault="00B02873" w:rsidP="003F1E53">
            <w:pPr>
              <w:pStyle w:val="TablebodyleftFinancialsTables"/>
              <w:rPr>
                <w:rFonts w:asciiTheme="minorHAnsi" w:hAnsiTheme="minorHAnsi" w:cstheme="minorHAnsi"/>
                <w:b/>
                <w:bCs/>
              </w:rPr>
            </w:pPr>
            <w:r w:rsidRPr="003F1E53">
              <w:rPr>
                <w:rFonts w:asciiTheme="minorHAnsi" w:hAnsiTheme="minorHAnsi" w:cstheme="minorHAnsi"/>
                <w:b/>
                <w:bCs/>
              </w:rPr>
              <w:t>Total Commonwealth specific purpose payments – capital</w:t>
            </w:r>
          </w:p>
        </w:tc>
        <w:tc>
          <w:tcPr>
            <w:tcW w:w="680" w:type="dxa"/>
          </w:tcPr>
          <w:p w14:paraId="1C5E26A7" w14:textId="77777777" w:rsidR="00B02873" w:rsidRPr="003F1E53" w:rsidRDefault="00B02873" w:rsidP="003F1E53">
            <w:pPr>
              <w:pStyle w:val="TablebodyleftFinancialsTables"/>
              <w:rPr>
                <w:rFonts w:asciiTheme="minorHAnsi" w:hAnsiTheme="minorHAnsi" w:cstheme="minorHAnsi"/>
              </w:rPr>
            </w:pPr>
          </w:p>
        </w:tc>
        <w:tc>
          <w:tcPr>
            <w:tcW w:w="1134" w:type="dxa"/>
          </w:tcPr>
          <w:p w14:paraId="62FDA48A" w14:textId="77777777" w:rsidR="00B02873" w:rsidRPr="003F1E53" w:rsidRDefault="00B02873" w:rsidP="003F1E53">
            <w:pPr>
              <w:pStyle w:val="TablebodyleftFinancialsTables"/>
              <w:jc w:val="right"/>
              <w:rPr>
                <w:rFonts w:asciiTheme="minorHAnsi" w:hAnsiTheme="minorHAnsi" w:cstheme="minorHAnsi"/>
                <w:b/>
                <w:bCs/>
              </w:rPr>
            </w:pPr>
            <w:r w:rsidRPr="003F1E53">
              <w:rPr>
                <w:rFonts w:asciiTheme="minorHAnsi" w:hAnsiTheme="minorHAnsi" w:cstheme="minorHAnsi"/>
                <w:b/>
                <w:bCs/>
              </w:rPr>
              <w:t>48,500</w:t>
            </w:r>
          </w:p>
        </w:tc>
        <w:tc>
          <w:tcPr>
            <w:tcW w:w="1134" w:type="dxa"/>
          </w:tcPr>
          <w:p w14:paraId="379E3419" w14:textId="77777777" w:rsidR="00B02873" w:rsidRPr="003F1E53" w:rsidRDefault="00B02873" w:rsidP="003F1E53">
            <w:pPr>
              <w:pStyle w:val="TablebodyleftFinancialsTables"/>
              <w:jc w:val="right"/>
              <w:rPr>
                <w:rFonts w:asciiTheme="minorHAnsi" w:hAnsiTheme="minorHAnsi" w:cstheme="minorHAnsi"/>
              </w:rPr>
            </w:pPr>
            <w:r w:rsidRPr="003F1E53">
              <w:rPr>
                <w:rFonts w:asciiTheme="minorHAnsi" w:hAnsiTheme="minorHAnsi" w:cstheme="minorHAnsi"/>
              </w:rPr>
              <w:t>45,000</w:t>
            </w:r>
          </w:p>
        </w:tc>
      </w:tr>
      <w:tr w:rsidR="00B02873" w:rsidRPr="00B02873" w14:paraId="5574C54C" w14:textId="77777777" w:rsidTr="002F6A34">
        <w:trPr>
          <w:trHeight w:val="60"/>
        </w:trPr>
        <w:tc>
          <w:tcPr>
            <w:tcW w:w="6690" w:type="dxa"/>
          </w:tcPr>
          <w:p w14:paraId="2BF7892C" w14:textId="77777777" w:rsidR="00B02873" w:rsidRPr="003F1E53" w:rsidRDefault="00B02873" w:rsidP="003F1E53">
            <w:pPr>
              <w:pStyle w:val="TablebodyleftFinancialsTables"/>
              <w:rPr>
                <w:rFonts w:asciiTheme="minorHAnsi" w:hAnsiTheme="minorHAnsi" w:cstheme="minorHAnsi"/>
                <w:b/>
                <w:bCs/>
              </w:rPr>
            </w:pPr>
            <w:r w:rsidRPr="003F1E53">
              <w:rPr>
                <w:rFonts w:asciiTheme="minorHAnsi" w:hAnsiTheme="minorHAnsi" w:cstheme="minorHAnsi"/>
                <w:b/>
                <w:bCs/>
              </w:rPr>
              <w:t>User charges or sales of goods and services</w:t>
            </w:r>
          </w:p>
        </w:tc>
        <w:tc>
          <w:tcPr>
            <w:tcW w:w="680" w:type="dxa"/>
          </w:tcPr>
          <w:p w14:paraId="525630C1" w14:textId="77777777" w:rsidR="00B02873" w:rsidRPr="003F1E53" w:rsidRDefault="00B02873" w:rsidP="003F1E53">
            <w:pPr>
              <w:pStyle w:val="TablebodyleftFinancialsTables"/>
              <w:rPr>
                <w:rFonts w:asciiTheme="minorHAnsi" w:hAnsiTheme="minorHAnsi" w:cstheme="minorHAnsi"/>
              </w:rPr>
            </w:pPr>
          </w:p>
        </w:tc>
        <w:tc>
          <w:tcPr>
            <w:tcW w:w="1134" w:type="dxa"/>
          </w:tcPr>
          <w:p w14:paraId="4F9938CD" w14:textId="77777777" w:rsidR="00B02873" w:rsidRPr="003F1E53" w:rsidRDefault="00B02873" w:rsidP="003F1E53">
            <w:pPr>
              <w:pStyle w:val="TablebodyleftFinancialsTables"/>
              <w:jc w:val="right"/>
              <w:rPr>
                <w:rFonts w:asciiTheme="minorHAnsi" w:hAnsiTheme="minorHAnsi" w:cstheme="minorHAnsi"/>
                <w:b/>
                <w:bCs/>
              </w:rPr>
            </w:pPr>
          </w:p>
        </w:tc>
        <w:tc>
          <w:tcPr>
            <w:tcW w:w="1134" w:type="dxa"/>
          </w:tcPr>
          <w:p w14:paraId="4424DE66" w14:textId="77777777" w:rsidR="00B02873" w:rsidRPr="003F1E53" w:rsidRDefault="00B02873" w:rsidP="003F1E53">
            <w:pPr>
              <w:pStyle w:val="TablebodyleftFinancialsTables"/>
              <w:jc w:val="right"/>
              <w:rPr>
                <w:rFonts w:asciiTheme="minorHAnsi" w:hAnsiTheme="minorHAnsi" w:cstheme="minorHAnsi"/>
              </w:rPr>
            </w:pPr>
          </w:p>
        </w:tc>
      </w:tr>
      <w:tr w:rsidR="00B02873" w:rsidRPr="00B02873" w14:paraId="49C1FB64" w14:textId="77777777" w:rsidTr="002F6A34">
        <w:trPr>
          <w:trHeight w:val="60"/>
        </w:trPr>
        <w:tc>
          <w:tcPr>
            <w:tcW w:w="6690" w:type="dxa"/>
          </w:tcPr>
          <w:p w14:paraId="7BC1D111" w14:textId="77777777" w:rsidR="00B02873" w:rsidRPr="003F1E53" w:rsidRDefault="00B02873" w:rsidP="003F1E53">
            <w:pPr>
              <w:pStyle w:val="TablebodyleftFinancialsTables"/>
              <w:rPr>
                <w:rFonts w:asciiTheme="minorHAnsi" w:hAnsiTheme="minorHAnsi" w:cstheme="minorHAnsi"/>
              </w:rPr>
            </w:pPr>
            <w:r w:rsidRPr="003F1E53">
              <w:rPr>
                <w:rFonts w:asciiTheme="minorHAnsi" w:hAnsiTheme="minorHAnsi" w:cstheme="minorHAnsi"/>
              </w:rPr>
              <w:t>Bushfire recovery for four fauna species in East Gippsland</w:t>
            </w:r>
          </w:p>
        </w:tc>
        <w:tc>
          <w:tcPr>
            <w:tcW w:w="680" w:type="dxa"/>
          </w:tcPr>
          <w:p w14:paraId="557E7EEC" w14:textId="77777777" w:rsidR="00B02873" w:rsidRPr="003F1E53" w:rsidRDefault="00B02873" w:rsidP="003F1E53">
            <w:pPr>
              <w:pStyle w:val="TablebodyleftFinancialsTables"/>
              <w:rPr>
                <w:rFonts w:asciiTheme="minorHAnsi" w:hAnsiTheme="minorHAnsi" w:cstheme="minorHAnsi"/>
              </w:rPr>
            </w:pPr>
          </w:p>
        </w:tc>
        <w:tc>
          <w:tcPr>
            <w:tcW w:w="1134" w:type="dxa"/>
          </w:tcPr>
          <w:p w14:paraId="70D8066A" w14:textId="77777777" w:rsidR="00B02873" w:rsidRPr="003F1E53" w:rsidRDefault="00B02873" w:rsidP="003F1E53">
            <w:pPr>
              <w:pStyle w:val="TablebodyleftFinancialsTables"/>
              <w:jc w:val="right"/>
              <w:rPr>
                <w:rFonts w:asciiTheme="minorHAnsi" w:hAnsiTheme="minorHAnsi" w:cstheme="minorHAnsi"/>
                <w:b/>
                <w:bCs/>
              </w:rPr>
            </w:pPr>
            <w:r w:rsidRPr="003F1E53">
              <w:rPr>
                <w:rFonts w:asciiTheme="minorHAnsi" w:hAnsiTheme="minorHAnsi" w:cstheme="minorHAnsi"/>
                <w:b/>
                <w:bCs/>
              </w:rPr>
              <w:t>555</w:t>
            </w:r>
          </w:p>
        </w:tc>
        <w:tc>
          <w:tcPr>
            <w:tcW w:w="1134" w:type="dxa"/>
          </w:tcPr>
          <w:p w14:paraId="2A7AF2D1" w14:textId="77777777" w:rsidR="00B02873" w:rsidRPr="003F1E53" w:rsidRDefault="00B02873" w:rsidP="003F1E53">
            <w:pPr>
              <w:pStyle w:val="TablebodyleftFinancialsTables"/>
              <w:jc w:val="right"/>
              <w:rPr>
                <w:rFonts w:asciiTheme="minorHAnsi" w:hAnsiTheme="minorHAnsi" w:cstheme="minorHAnsi"/>
              </w:rPr>
            </w:pPr>
            <w:r w:rsidRPr="003F1E53">
              <w:rPr>
                <w:rFonts w:asciiTheme="minorHAnsi" w:hAnsiTheme="minorHAnsi" w:cstheme="minorHAnsi"/>
              </w:rPr>
              <w:t>–</w:t>
            </w:r>
          </w:p>
        </w:tc>
      </w:tr>
      <w:tr w:rsidR="00B02873" w:rsidRPr="00B02873" w14:paraId="30A20C78" w14:textId="77777777" w:rsidTr="002F6A34">
        <w:trPr>
          <w:trHeight w:val="60"/>
        </w:trPr>
        <w:tc>
          <w:tcPr>
            <w:tcW w:w="6690" w:type="dxa"/>
          </w:tcPr>
          <w:p w14:paraId="31D5FF66" w14:textId="77777777" w:rsidR="00B02873" w:rsidRPr="003F1E53" w:rsidRDefault="00B02873" w:rsidP="003F1E53">
            <w:pPr>
              <w:pStyle w:val="TablebodyleftFinancialsTables"/>
              <w:rPr>
                <w:rFonts w:asciiTheme="minorHAnsi" w:hAnsiTheme="minorHAnsi" w:cstheme="minorHAnsi"/>
              </w:rPr>
            </w:pPr>
            <w:r w:rsidRPr="003F1E53">
              <w:rPr>
                <w:rFonts w:asciiTheme="minorHAnsi" w:hAnsiTheme="minorHAnsi" w:cstheme="minorHAnsi"/>
              </w:rPr>
              <w:t>Land Registration Services</w:t>
            </w:r>
          </w:p>
        </w:tc>
        <w:tc>
          <w:tcPr>
            <w:tcW w:w="680" w:type="dxa"/>
          </w:tcPr>
          <w:p w14:paraId="79B3BE3F" w14:textId="77777777" w:rsidR="00B02873" w:rsidRPr="003F1E53" w:rsidRDefault="00B02873" w:rsidP="003F1E53">
            <w:pPr>
              <w:pStyle w:val="TablebodyleftFinancialsTables"/>
              <w:rPr>
                <w:rFonts w:asciiTheme="minorHAnsi" w:hAnsiTheme="minorHAnsi" w:cstheme="minorHAnsi"/>
              </w:rPr>
            </w:pPr>
          </w:p>
        </w:tc>
        <w:tc>
          <w:tcPr>
            <w:tcW w:w="1134" w:type="dxa"/>
          </w:tcPr>
          <w:p w14:paraId="7F96810D" w14:textId="77777777" w:rsidR="00B02873" w:rsidRPr="003F1E53" w:rsidRDefault="00B02873" w:rsidP="003F1E53">
            <w:pPr>
              <w:pStyle w:val="TablebodyleftFinancialsTables"/>
              <w:jc w:val="right"/>
              <w:rPr>
                <w:rFonts w:asciiTheme="minorHAnsi" w:hAnsiTheme="minorHAnsi" w:cstheme="minorHAnsi"/>
                <w:b/>
                <w:bCs/>
              </w:rPr>
            </w:pPr>
            <w:r w:rsidRPr="003F1E53">
              <w:rPr>
                <w:rFonts w:asciiTheme="minorHAnsi" w:hAnsiTheme="minorHAnsi" w:cstheme="minorHAnsi"/>
                <w:b/>
                <w:bCs/>
              </w:rPr>
              <w:t>19,496</w:t>
            </w:r>
          </w:p>
        </w:tc>
        <w:tc>
          <w:tcPr>
            <w:tcW w:w="1134" w:type="dxa"/>
          </w:tcPr>
          <w:p w14:paraId="4BE1CDD4" w14:textId="77777777" w:rsidR="00B02873" w:rsidRPr="003F1E53" w:rsidRDefault="00B02873" w:rsidP="003F1E53">
            <w:pPr>
              <w:pStyle w:val="TablebodyleftFinancialsTables"/>
              <w:jc w:val="right"/>
              <w:rPr>
                <w:rFonts w:asciiTheme="minorHAnsi" w:hAnsiTheme="minorHAnsi" w:cstheme="minorHAnsi"/>
              </w:rPr>
            </w:pPr>
            <w:r w:rsidRPr="003F1E53">
              <w:rPr>
                <w:rFonts w:asciiTheme="minorHAnsi" w:hAnsiTheme="minorHAnsi" w:cstheme="minorHAnsi"/>
              </w:rPr>
              <w:t>21,860</w:t>
            </w:r>
          </w:p>
        </w:tc>
      </w:tr>
      <w:tr w:rsidR="00B02873" w:rsidRPr="00B02873" w14:paraId="421324F9" w14:textId="77777777" w:rsidTr="002F6A34">
        <w:trPr>
          <w:trHeight w:val="60"/>
        </w:trPr>
        <w:tc>
          <w:tcPr>
            <w:tcW w:w="6690" w:type="dxa"/>
          </w:tcPr>
          <w:p w14:paraId="53C511E3" w14:textId="77777777" w:rsidR="00B02873" w:rsidRPr="003F1E53" w:rsidRDefault="00B02873" w:rsidP="003F1E53">
            <w:pPr>
              <w:pStyle w:val="TablebodyleftFinancialsTables"/>
              <w:rPr>
                <w:rFonts w:asciiTheme="minorHAnsi" w:hAnsiTheme="minorHAnsi" w:cstheme="minorHAnsi"/>
              </w:rPr>
            </w:pPr>
            <w:r w:rsidRPr="003F1E53">
              <w:rPr>
                <w:rFonts w:asciiTheme="minorHAnsi" w:hAnsiTheme="minorHAnsi" w:cstheme="minorHAnsi"/>
              </w:rPr>
              <w:t>Land Use Victoria – Land Registry Commercialisation</w:t>
            </w:r>
          </w:p>
        </w:tc>
        <w:tc>
          <w:tcPr>
            <w:tcW w:w="680" w:type="dxa"/>
          </w:tcPr>
          <w:p w14:paraId="4A4C1771" w14:textId="77777777" w:rsidR="00B02873" w:rsidRPr="003F1E53" w:rsidRDefault="00B02873" w:rsidP="003F1E53">
            <w:pPr>
              <w:pStyle w:val="TablebodyleftFinancialsTables"/>
              <w:rPr>
                <w:rFonts w:asciiTheme="minorHAnsi" w:hAnsiTheme="minorHAnsi" w:cstheme="minorHAnsi"/>
              </w:rPr>
            </w:pPr>
          </w:p>
        </w:tc>
        <w:tc>
          <w:tcPr>
            <w:tcW w:w="1134" w:type="dxa"/>
          </w:tcPr>
          <w:p w14:paraId="642C2C0E" w14:textId="77777777" w:rsidR="00B02873" w:rsidRPr="003F1E53" w:rsidRDefault="00B02873" w:rsidP="003F1E53">
            <w:pPr>
              <w:pStyle w:val="TablebodyleftFinancialsTables"/>
              <w:jc w:val="right"/>
              <w:rPr>
                <w:rFonts w:asciiTheme="minorHAnsi" w:hAnsiTheme="minorHAnsi" w:cstheme="minorHAnsi"/>
                <w:b/>
                <w:bCs/>
              </w:rPr>
            </w:pPr>
            <w:r w:rsidRPr="003F1E53">
              <w:rPr>
                <w:rFonts w:asciiTheme="minorHAnsi" w:hAnsiTheme="minorHAnsi" w:cstheme="minorHAnsi"/>
                <w:b/>
                <w:bCs/>
              </w:rPr>
              <w:t>138,504</w:t>
            </w:r>
          </w:p>
        </w:tc>
        <w:tc>
          <w:tcPr>
            <w:tcW w:w="1134" w:type="dxa"/>
          </w:tcPr>
          <w:p w14:paraId="0DA30568" w14:textId="77777777" w:rsidR="00B02873" w:rsidRPr="003F1E53" w:rsidRDefault="00B02873" w:rsidP="003F1E53">
            <w:pPr>
              <w:pStyle w:val="TablebodyleftFinancialsTables"/>
              <w:jc w:val="right"/>
              <w:rPr>
                <w:rFonts w:asciiTheme="minorHAnsi" w:hAnsiTheme="minorHAnsi" w:cstheme="minorHAnsi"/>
              </w:rPr>
            </w:pPr>
            <w:r w:rsidRPr="003F1E53">
              <w:rPr>
                <w:rFonts w:asciiTheme="minorHAnsi" w:hAnsiTheme="minorHAnsi" w:cstheme="minorHAnsi"/>
              </w:rPr>
              <w:t>118,527</w:t>
            </w:r>
          </w:p>
        </w:tc>
      </w:tr>
      <w:tr w:rsidR="00B02873" w:rsidRPr="00B02873" w14:paraId="1C4F1BBB" w14:textId="77777777" w:rsidTr="002F6A34">
        <w:trPr>
          <w:trHeight w:val="60"/>
        </w:trPr>
        <w:tc>
          <w:tcPr>
            <w:tcW w:w="6690" w:type="dxa"/>
          </w:tcPr>
          <w:p w14:paraId="737E3527" w14:textId="77777777" w:rsidR="00B02873" w:rsidRPr="003F1E53" w:rsidRDefault="00B02873" w:rsidP="003F1E53">
            <w:pPr>
              <w:pStyle w:val="TablebodyleftFinancialsTables"/>
              <w:rPr>
                <w:rFonts w:asciiTheme="minorHAnsi" w:hAnsiTheme="minorHAnsi" w:cstheme="minorHAnsi"/>
              </w:rPr>
            </w:pPr>
            <w:r w:rsidRPr="003F1E53">
              <w:rPr>
                <w:rFonts w:asciiTheme="minorHAnsi" w:hAnsiTheme="minorHAnsi" w:cstheme="minorHAnsi"/>
              </w:rPr>
              <w:t>Mapping</w:t>
            </w:r>
          </w:p>
        </w:tc>
        <w:tc>
          <w:tcPr>
            <w:tcW w:w="680" w:type="dxa"/>
          </w:tcPr>
          <w:p w14:paraId="4BCA0B0F" w14:textId="77777777" w:rsidR="00B02873" w:rsidRPr="003F1E53" w:rsidRDefault="00B02873" w:rsidP="003F1E53">
            <w:pPr>
              <w:pStyle w:val="TablebodyleftFinancialsTables"/>
              <w:rPr>
                <w:rFonts w:asciiTheme="minorHAnsi" w:hAnsiTheme="minorHAnsi" w:cstheme="minorHAnsi"/>
              </w:rPr>
            </w:pPr>
          </w:p>
        </w:tc>
        <w:tc>
          <w:tcPr>
            <w:tcW w:w="1134" w:type="dxa"/>
          </w:tcPr>
          <w:p w14:paraId="21171BE3" w14:textId="77777777" w:rsidR="00B02873" w:rsidRPr="003F1E53" w:rsidRDefault="00B02873" w:rsidP="003F1E53">
            <w:pPr>
              <w:pStyle w:val="TablebodyleftFinancialsTables"/>
              <w:jc w:val="right"/>
              <w:rPr>
                <w:rFonts w:asciiTheme="minorHAnsi" w:hAnsiTheme="minorHAnsi" w:cstheme="minorHAnsi"/>
                <w:b/>
                <w:bCs/>
              </w:rPr>
            </w:pPr>
            <w:r w:rsidRPr="003F1E53">
              <w:rPr>
                <w:rFonts w:asciiTheme="minorHAnsi" w:hAnsiTheme="minorHAnsi" w:cstheme="minorHAnsi"/>
                <w:b/>
                <w:bCs/>
              </w:rPr>
              <w:t xml:space="preserve"> 154</w:t>
            </w:r>
          </w:p>
        </w:tc>
        <w:tc>
          <w:tcPr>
            <w:tcW w:w="1134" w:type="dxa"/>
          </w:tcPr>
          <w:p w14:paraId="0E959A5A" w14:textId="77777777" w:rsidR="00B02873" w:rsidRPr="003F1E53" w:rsidRDefault="00B02873" w:rsidP="003F1E53">
            <w:pPr>
              <w:pStyle w:val="TablebodyleftFinancialsTables"/>
              <w:jc w:val="right"/>
              <w:rPr>
                <w:rFonts w:asciiTheme="minorHAnsi" w:hAnsiTheme="minorHAnsi" w:cstheme="minorHAnsi"/>
              </w:rPr>
            </w:pPr>
            <w:r w:rsidRPr="003F1E53">
              <w:rPr>
                <w:rFonts w:asciiTheme="minorHAnsi" w:hAnsiTheme="minorHAnsi" w:cstheme="minorHAnsi"/>
              </w:rPr>
              <w:t>232</w:t>
            </w:r>
          </w:p>
        </w:tc>
      </w:tr>
      <w:tr w:rsidR="00B02873" w:rsidRPr="00B02873" w14:paraId="43446DC9" w14:textId="77777777" w:rsidTr="002F6A34">
        <w:trPr>
          <w:trHeight w:val="60"/>
        </w:trPr>
        <w:tc>
          <w:tcPr>
            <w:tcW w:w="6690" w:type="dxa"/>
          </w:tcPr>
          <w:p w14:paraId="21E78EC8" w14:textId="77777777" w:rsidR="00B02873" w:rsidRPr="003F1E53" w:rsidRDefault="00B02873" w:rsidP="003F1E53">
            <w:pPr>
              <w:pStyle w:val="TablebodyleftFinancialsTables"/>
              <w:rPr>
                <w:rFonts w:asciiTheme="minorHAnsi" w:hAnsiTheme="minorHAnsi" w:cstheme="minorHAnsi"/>
              </w:rPr>
            </w:pPr>
            <w:r w:rsidRPr="003F1E53">
              <w:rPr>
                <w:rFonts w:asciiTheme="minorHAnsi" w:hAnsiTheme="minorHAnsi" w:cstheme="minorHAnsi"/>
              </w:rPr>
              <w:t>Miscellaneous Industry Contributions</w:t>
            </w:r>
          </w:p>
        </w:tc>
        <w:tc>
          <w:tcPr>
            <w:tcW w:w="680" w:type="dxa"/>
          </w:tcPr>
          <w:p w14:paraId="4B5D4AD3" w14:textId="77777777" w:rsidR="00B02873" w:rsidRPr="003F1E53" w:rsidRDefault="00B02873" w:rsidP="003F1E53">
            <w:pPr>
              <w:pStyle w:val="TablebodyleftFinancialsTables"/>
              <w:rPr>
                <w:rFonts w:asciiTheme="minorHAnsi" w:hAnsiTheme="minorHAnsi" w:cstheme="minorHAnsi"/>
              </w:rPr>
            </w:pPr>
          </w:p>
        </w:tc>
        <w:tc>
          <w:tcPr>
            <w:tcW w:w="1134" w:type="dxa"/>
          </w:tcPr>
          <w:p w14:paraId="550C5505" w14:textId="77777777" w:rsidR="00B02873" w:rsidRPr="003F1E53" w:rsidRDefault="00B02873" w:rsidP="003F1E53">
            <w:pPr>
              <w:pStyle w:val="TablebodyleftFinancialsTables"/>
              <w:jc w:val="right"/>
              <w:rPr>
                <w:rFonts w:asciiTheme="minorHAnsi" w:hAnsiTheme="minorHAnsi" w:cstheme="minorHAnsi"/>
                <w:b/>
                <w:bCs/>
              </w:rPr>
            </w:pPr>
            <w:r w:rsidRPr="003F1E53">
              <w:rPr>
                <w:rFonts w:asciiTheme="minorHAnsi" w:hAnsiTheme="minorHAnsi" w:cstheme="minorHAnsi"/>
                <w:b/>
                <w:bCs/>
              </w:rPr>
              <w:t>240</w:t>
            </w:r>
          </w:p>
        </w:tc>
        <w:tc>
          <w:tcPr>
            <w:tcW w:w="1134" w:type="dxa"/>
          </w:tcPr>
          <w:p w14:paraId="55268EE3" w14:textId="77777777" w:rsidR="00B02873" w:rsidRPr="003F1E53" w:rsidRDefault="00B02873" w:rsidP="003F1E53">
            <w:pPr>
              <w:pStyle w:val="TablebodyleftFinancialsTables"/>
              <w:jc w:val="right"/>
              <w:rPr>
                <w:rFonts w:asciiTheme="minorHAnsi" w:hAnsiTheme="minorHAnsi" w:cstheme="minorHAnsi"/>
              </w:rPr>
            </w:pPr>
            <w:r w:rsidRPr="003F1E53">
              <w:rPr>
                <w:rFonts w:asciiTheme="minorHAnsi" w:hAnsiTheme="minorHAnsi" w:cstheme="minorHAnsi"/>
              </w:rPr>
              <w:t>273</w:t>
            </w:r>
          </w:p>
        </w:tc>
      </w:tr>
      <w:tr w:rsidR="00B02873" w:rsidRPr="00B02873" w14:paraId="2968435A" w14:textId="77777777" w:rsidTr="002F6A34">
        <w:trPr>
          <w:trHeight w:val="60"/>
        </w:trPr>
        <w:tc>
          <w:tcPr>
            <w:tcW w:w="6690" w:type="dxa"/>
          </w:tcPr>
          <w:p w14:paraId="33349143" w14:textId="77777777" w:rsidR="00B02873" w:rsidRPr="003F1E53" w:rsidRDefault="00B02873" w:rsidP="003F1E53">
            <w:pPr>
              <w:pStyle w:val="TablebodyleftFinancialsTables"/>
              <w:rPr>
                <w:rFonts w:asciiTheme="minorHAnsi" w:hAnsiTheme="minorHAnsi" w:cstheme="minorHAnsi"/>
              </w:rPr>
            </w:pPr>
            <w:r w:rsidRPr="003F1E53">
              <w:rPr>
                <w:rFonts w:asciiTheme="minorHAnsi" w:hAnsiTheme="minorHAnsi" w:cstheme="minorHAnsi"/>
              </w:rPr>
              <w:lastRenderedPageBreak/>
              <w:t>Multi-regional species coordination</w:t>
            </w:r>
          </w:p>
        </w:tc>
        <w:tc>
          <w:tcPr>
            <w:tcW w:w="680" w:type="dxa"/>
          </w:tcPr>
          <w:p w14:paraId="02B577A2" w14:textId="77777777" w:rsidR="00B02873" w:rsidRPr="003F1E53" w:rsidRDefault="00B02873" w:rsidP="003F1E53">
            <w:pPr>
              <w:pStyle w:val="TablebodyleftFinancialsTables"/>
              <w:rPr>
                <w:rFonts w:asciiTheme="minorHAnsi" w:hAnsiTheme="minorHAnsi" w:cstheme="minorHAnsi"/>
              </w:rPr>
            </w:pPr>
          </w:p>
        </w:tc>
        <w:tc>
          <w:tcPr>
            <w:tcW w:w="1134" w:type="dxa"/>
          </w:tcPr>
          <w:p w14:paraId="06BB2F7D" w14:textId="77777777" w:rsidR="00B02873" w:rsidRPr="003F1E53" w:rsidRDefault="00B02873" w:rsidP="003F1E53">
            <w:pPr>
              <w:pStyle w:val="TablebodyleftFinancialsTables"/>
              <w:jc w:val="right"/>
              <w:rPr>
                <w:rFonts w:asciiTheme="minorHAnsi" w:hAnsiTheme="minorHAnsi" w:cstheme="minorHAnsi"/>
                <w:b/>
                <w:bCs/>
              </w:rPr>
            </w:pPr>
            <w:r w:rsidRPr="003F1E53">
              <w:rPr>
                <w:rFonts w:asciiTheme="minorHAnsi" w:hAnsiTheme="minorHAnsi" w:cstheme="minorHAnsi"/>
                <w:b/>
                <w:bCs/>
              </w:rPr>
              <w:t>626</w:t>
            </w:r>
          </w:p>
        </w:tc>
        <w:tc>
          <w:tcPr>
            <w:tcW w:w="1134" w:type="dxa"/>
          </w:tcPr>
          <w:p w14:paraId="56197347" w14:textId="77777777" w:rsidR="00B02873" w:rsidRPr="003F1E53" w:rsidRDefault="00B02873" w:rsidP="003F1E53">
            <w:pPr>
              <w:pStyle w:val="TablebodyleftFinancialsTables"/>
              <w:jc w:val="right"/>
              <w:rPr>
                <w:rFonts w:asciiTheme="minorHAnsi" w:hAnsiTheme="minorHAnsi" w:cstheme="minorHAnsi"/>
              </w:rPr>
            </w:pPr>
            <w:r w:rsidRPr="003F1E53">
              <w:rPr>
                <w:rFonts w:asciiTheme="minorHAnsi" w:hAnsiTheme="minorHAnsi" w:cstheme="minorHAnsi"/>
              </w:rPr>
              <w:t>–</w:t>
            </w:r>
          </w:p>
        </w:tc>
      </w:tr>
      <w:tr w:rsidR="00B02873" w:rsidRPr="00B02873" w14:paraId="7312EC71" w14:textId="77777777" w:rsidTr="002F6A34">
        <w:trPr>
          <w:trHeight w:val="60"/>
        </w:trPr>
        <w:tc>
          <w:tcPr>
            <w:tcW w:w="6690" w:type="dxa"/>
          </w:tcPr>
          <w:p w14:paraId="1FEC92B6" w14:textId="77777777" w:rsidR="00B02873" w:rsidRPr="003F1E53" w:rsidRDefault="00B02873" w:rsidP="003F1E53">
            <w:pPr>
              <w:pStyle w:val="TablebodyleftFinancialsTables"/>
              <w:rPr>
                <w:rFonts w:asciiTheme="minorHAnsi" w:hAnsiTheme="minorHAnsi" w:cstheme="minorHAnsi"/>
              </w:rPr>
            </w:pPr>
            <w:r w:rsidRPr="003F1E53">
              <w:rPr>
                <w:rFonts w:asciiTheme="minorHAnsi" w:hAnsiTheme="minorHAnsi" w:cstheme="minorHAnsi"/>
              </w:rPr>
              <w:t>Revenue retained on behalf of the Environmental Protection Authority</w:t>
            </w:r>
          </w:p>
        </w:tc>
        <w:tc>
          <w:tcPr>
            <w:tcW w:w="680" w:type="dxa"/>
          </w:tcPr>
          <w:p w14:paraId="51C520BD" w14:textId="77777777" w:rsidR="00B02873" w:rsidRPr="003F1E53" w:rsidRDefault="00B02873" w:rsidP="003F1E53">
            <w:pPr>
              <w:pStyle w:val="TablebodyleftFinancialsTables"/>
              <w:rPr>
                <w:rFonts w:asciiTheme="minorHAnsi" w:hAnsiTheme="minorHAnsi" w:cstheme="minorHAnsi"/>
              </w:rPr>
            </w:pPr>
          </w:p>
        </w:tc>
        <w:tc>
          <w:tcPr>
            <w:tcW w:w="1134" w:type="dxa"/>
          </w:tcPr>
          <w:p w14:paraId="1285DD96" w14:textId="77777777" w:rsidR="00B02873" w:rsidRPr="003F1E53" w:rsidRDefault="00B02873" w:rsidP="003F1E53">
            <w:pPr>
              <w:pStyle w:val="TablebodyleftFinancialsTables"/>
              <w:jc w:val="right"/>
              <w:rPr>
                <w:rFonts w:asciiTheme="minorHAnsi" w:hAnsiTheme="minorHAnsi" w:cstheme="minorHAnsi"/>
                <w:b/>
                <w:bCs/>
              </w:rPr>
            </w:pPr>
            <w:r w:rsidRPr="003F1E53">
              <w:rPr>
                <w:rFonts w:asciiTheme="minorHAnsi" w:hAnsiTheme="minorHAnsi" w:cstheme="minorHAnsi"/>
                <w:b/>
                <w:bCs/>
              </w:rPr>
              <w:t>1,344</w:t>
            </w:r>
          </w:p>
        </w:tc>
        <w:tc>
          <w:tcPr>
            <w:tcW w:w="1134" w:type="dxa"/>
          </w:tcPr>
          <w:p w14:paraId="34927EB0" w14:textId="77777777" w:rsidR="00B02873" w:rsidRPr="003F1E53" w:rsidRDefault="00B02873" w:rsidP="003F1E53">
            <w:pPr>
              <w:pStyle w:val="TablebodyleftFinancialsTables"/>
              <w:jc w:val="right"/>
              <w:rPr>
                <w:rFonts w:asciiTheme="minorHAnsi" w:hAnsiTheme="minorHAnsi" w:cstheme="minorHAnsi"/>
              </w:rPr>
            </w:pPr>
            <w:r w:rsidRPr="003F1E53">
              <w:rPr>
                <w:rFonts w:asciiTheme="minorHAnsi" w:hAnsiTheme="minorHAnsi" w:cstheme="minorHAnsi"/>
              </w:rPr>
              <w:t>492</w:t>
            </w:r>
          </w:p>
        </w:tc>
      </w:tr>
      <w:tr w:rsidR="00B02873" w:rsidRPr="00B02873" w14:paraId="42FB7660" w14:textId="77777777" w:rsidTr="002F6A34">
        <w:trPr>
          <w:trHeight w:val="60"/>
        </w:trPr>
        <w:tc>
          <w:tcPr>
            <w:tcW w:w="6690" w:type="dxa"/>
          </w:tcPr>
          <w:p w14:paraId="3805A855" w14:textId="77777777" w:rsidR="00B02873" w:rsidRPr="003F1E53" w:rsidRDefault="00B02873" w:rsidP="003F1E53">
            <w:pPr>
              <w:pStyle w:val="TablebodyleftFinancialsTables"/>
              <w:rPr>
                <w:rFonts w:asciiTheme="minorHAnsi" w:hAnsiTheme="minorHAnsi" w:cstheme="minorHAnsi"/>
              </w:rPr>
            </w:pPr>
            <w:r w:rsidRPr="003F1E53">
              <w:rPr>
                <w:rFonts w:asciiTheme="minorHAnsi" w:hAnsiTheme="minorHAnsi" w:cstheme="minorHAnsi"/>
              </w:rPr>
              <w:t>Water Register – Planning</w:t>
            </w:r>
          </w:p>
        </w:tc>
        <w:tc>
          <w:tcPr>
            <w:tcW w:w="680" w:type="dxa"/>
          </w:tcPr>
          <w:p w14:paraId="4C179354" w14:textId="77777777" w:rsidR="00B02873" w:rsidRPr="003F1E53" w:rsidRDefault="00B02873" w:rsidP="003F1E53">
            <w:pPr>
              <w:pStyle w:val="TablebodyleftFinancialsTables"/>
              <w:rPr>
                <w:rFonts w:asciiTheme="minorHAnsi" w:hAnsiTheme="minorHAnsi" w:cstheme="minorHAnsi"/>
              </w:rPr>
            </w:pPr>
          </w:p>
        </w:tc>
        <w:tc>
          <w:tcPr>
            <w:tcW w:w="1134" w:type="dxa"/>
          </w:tcPr>
          <w:p w14:paraId="3F7BDE2C" w14:textId="77777777" w:rsidR="00B02873" w:rsidRPr="003F1E53" w:rsidRDefault="00B02873" w:rsidP="003F1E53">
            <w:pPr>
              <w:pStyle w:val="TablebodyleftFinancialsTables"/>
              <w:jc w:val="right"/>
              <w:rPr>
                <w:rFonts w:asciiTheme="minorHAnsi" w:hAnsiTheme="minorHAnsi" w:cstheme="minorHAnsi"/>
                <w:b/>
                <w:bCs/>
              </w:rPr>
            </w:pPr>
            <w:r w:rsidRPr="003F1E53">
              <w:rPr>
                <w:rFonts w:asciiTheme="minorHAnsi" w:hAnsiTheme="minorHAnsi" w:cstheme="minorHAnsi"/>
                <w:b/>
                <w:bCs/>
              </w:rPr>
              <w:t xml:space="preserve"> 454</w:t>
            </w:r>
          </w:p>
        </w:tc>
        <w:tc>
          <w:tcPr>
            <w:tcW w:w="1134" w:type="dxa"/>
          </w:tcPr>
          <w:p w14:paraId="0E0723F7" w14:textId="77777777" w:rsidR="00B02873" w:rsidRPr="003F1E53" w:rsidRDefault="00B02873" w:rsidP="003F1E53">
            <w:pPr>
              <w:pStyle w:val="TablebodyleftFinancialsTables"/>
              <w:jc w:val="right"/>
              <w:rPr>
                <w:rFonts w:asciiTheme="minorHAnsi" w:hAnsiTheme="minorHAnsi" w:cstheme="minorHAnsi"/>
              </w:rPr>
            </w:pPr>
            <w:r w:rsidRPr="003F1E53">
              <w:rPr>
                <w:rFonts w:asciiTheme="minorHAnsi" w:hAnsiTheme="minorHAnsi" w:cstheme="minorHAnsi"/>
              </w:rPr>
              <w:t>365</w:t>
            </w:r>
          </w:p>
        </w:tc>
      </w:tr>
      <w:tr w:rsidR="00B02873" w:rsidRPr="00B02873" w14:paraId="35A064E0" w14:textId="77777777" w:rsidTr="002F6A34">
        <w:trPr>
          <w:trHeight w:val="60"/>
        </w:trPr>
        <w:tc>
          <w:tcPr>
            <w:tcW w:w="6690" w:type="dxa"/>
          </w:tcPr>
          <w:p w14:paraId="43F90AD4" w14:textId="77777777" w:rsidR="00B02873" w:rsidRPr="003F1E53" w:rsidRDefault="00B02873" w:rsidP="003F1E53">
            <w:pPr>
              <w:pStyle w:val="TablebodyleftFinancialsTables"/>
              <w:rPr>
                <w:rFonts w:asciiTheme="minorHAnsi" w:hAnsiTheme="minorHAnsi" w:cstheme="minorHAnsi"/>
                <w:b/>
                <w:bCs/>
              </w:rPr>
            </w:pPr>
            <w:r w:rsidRPr="003F1E53">
              <w:rPr>
                <w:rFonts w:asciiTheme="minorHAnsi" w:hAnsiTheme="minorHAnsi" w:cstheme="minorHAnsi"/>
                <w:b/>
                <w:bCs/>
              </w:rPr>
              <w:t>Total user charges or sales of goods and services</w:t>
            </w:r>
          </w:p>
        </w:tc>
        <w:tc>
          <w:tcPr>
            <w:tcW w:w="680" w:type="dxa"/>
          </w:tcPr>
          <w:p w14:paraId="44214B92" w14:textId="77777777" w:rsidR="00B02873" w:rsidRPr="003F1E53" w:rsidRDefault="00B02873" w:rsidP="003F1E53">
            <w:pPr>
              <w:pStyle w:val="TablebodyleftFinancialsTables"/>
              <w:rPr>
                <w:rFonts w:asciiTheme="minorHAnsi" w:hAnsiTheme="minorHAnsi" w:cstheme="minorHAnsi"/>
              </w:rPr>
            </w:pPr>
          </w:p>
        </w:tc>
        <w:tc>
          <w:tcPr>
            <w:tcW w:w="1134" w:type="dxa"/>
          </w:tcPr>
          <w:p w14:paraId="4C5CF0BD" w14:textId="77777777" w:rsidR="00B02873" w:rsidRPr="003F1E53" w:rsidRDefault="00B02873" w:rsidP="003F1E53">
            <w:pPr>
              <w:pStyle w:val="TablebodyleftFinancialsTables"/>
              <w:jc w:val="right"/>
              <w:rPr>
                <w:rFonts w:asciiTheme="minorHAnsi" w:hAnsiTheme="minorHAnsi" w:cstheme="minorHAnsi"/>
                <w:b/>
                <w:bCs/>
              </w:rPr>
            </w:pPr>
            <w:r w:rsidRPr="003F1E53">
              <w:rPr>
                <w:rFonts w:asciiTheme="minorHAnsi" w:hAnsiTheme="minorHAnsi" w:cstheme="minorHAnsi"/>
                <w:b/>
                <w:bCs/>
              </w:rPr>
              <w:t>161,373</w:t>
            </w:r>
          </w:p>
        </w:tc>
        <w:tc>
          <w:tcPr>
            <w:tcW w:w="1134" w:type="dxa"/>
          </w:tcPr>
          <w:p w14:paraId="248C4E31" w14:textId="77777777" w:rsidR="00B02873" w:rsidRPr="003F1E53" w:rsidRDefault="00B02873" w:rsidP="003F1E53">
            <w:pPr>
              <w:pStyle w:val="TablebodyleftFinancialsTables"/>
              <w:jc w:val="right"/>
              <w:rPr>
                <w:rFonts w:asciiTheme="minorHAnsi" w:hAnsiTheme="minorHAnsi" w:cstheme="minorHAnsi"/>
              </w:rPr>
            </w:pPr>
            <w:r w:rsidRPr="003F1E53">
              <w:rPr>
                <w:rFonts w:asciiTheme="minorHAnsi" w:hAnsiTheme="minorHAnsi" w:cstheme="minorHAnsi"/>
              </w:rPr>
              <w:t>141,749</w:t>
            </w:r>
          </w:p>
        </w:tc>
      </w:tr>
      <w:tr w:rsidR="00B02873" w:rsidRPr="00B02873" w14:paraId="02B4B340" w14:textId="77777777" w:rsidTr="002F6A34">
        <w:trPr>
          <w:trHeight w:val="60"/>
        </w:trPr>
        <w:tc>
          <w:tcPr>
            <w:tcW w:w="6690" w:type="dxa"/>
          </w:tcPr>
          <w:p w14:paraId="654AAC41" w14:textId="77777777" w:rsidR="00B02873" w:rsidRPr="003F1E53" w:rsidRDefault="00B02873" w:rsidP="003F1E53">
            <w:pPr>
              <w:pStyle w:val="TablebodyleftFinancialsTables"/>
              <w:rPr>
                <w:rFonts w:asciiTheme="minorHAnsi" w:hAnsiTheme="minorHAnsi" w:cstheme="minorHAnsi"/>
                <w:b/>
                <w:bCs/>
              </w:rPr>
            </w:pPr>
            <w:r w:rsidRPr="003F1E53">
              <w:rPr>
                <w:rFonts w:asciiTheme="minorHAnsi" w:hAnsiTheme="minorHAnsi" w:cstheme="minorHAnsi"/>
                <w:b/>
                <w:bCs/>
              </w:rPr>
              <w:t>Total annotated income agreements</w:t>
            </w:r>
          </w:p>
        </w:tc>
        <w:tc>
          <w:tcPr>
            <w:tcW w:w="680" w:type="dxa"/>
          </w:tcPr>
          <w:p w14:paraId="7CBF335E" w14:textId="77777777" w:rsidR="00B02873" w:rsidRPr="003F1E53" w:rsidRDefault="00B02873" w:rsidP="003F1E53">
            <w:pPr>
              <w:pStyle w:val="TablebodyleftFinancialsTables"/>
              <w:rPr>
                <w:rFonts w:asciiTheme="minorHAnsi" w:hAnsiTheme="minorHAnsi" w:cstheme="minorHAnsi"/>
              </w:rPr>
            </w:pPr>
            <w:r w:rsidRPr="003F1E53">
              <w:rPr>
                <w:rFonts w:asciiTheme="minorHAnsi" w:hAnsiTheme="minorHAnsi" w:cstheme="minorHAnsi"/>
              </w:rPr>
              <w:t>2.2.1</w:t>
            </w:r>
          </w:p>
        </w:tc>
        <w:tc>
          <w:tcPr>
            <w:tcW w:w="1134" w:type="dxa"/>
          </w:tcPr>
          <w:p w14:paraId="4E22A3B8" w14:textId="77777777" w:rsidR="00B02873" w:rsidRPr="003F1E53" w:rsidRDefault="00B02873" w:rsidP="003F1E53">
            <w:pPr>
              <w:pStyle w:val="TablebodyleftFinancialsTables"/>
              <w:jc w:val="right"/>
              <w:rPr>
                <w:rFonts w:asciiTheme="minorHAnsi" w:hAnsiTheme="minorHAnsi" w:cstheme="minorHAnsi"/>
                <w:b/>
                <w:bCs/>
              </w:rPr>
            </w:pPr>
            <w:r w:rsidRPr="003F1E53">
              <w:rPr>
                <w:rFonts w:asciiTheme="minorHAnsi" w:hAnsiTheme="minorHAnsi" w:cstheme="minorHAnsi"/>
                <w:b/>
                <w:bCs/>
              </w:rPr>
              <w:t>298,518</w:t>
            </w:r>
          </w:p>
        </w:tc>
        <w:tc>
          <w:tcPr>
            <w:tcW w:w="1134" w:type="dxa"/>
          </w:tcPr>
          <w:p w14:paraId="21EFAC60" w14:textId="77777777" w:rsidR="00B02873" w:rsidRPr="003F1E53" w:rsidRDefault="00B02873" w:rsidP="003F1E53">
            <w:pPr>
              <w:pStyle w:val="TablebodyleftFinancialsTables"/>
              <w:jc w:val="right"/>
              <w:rPr>
                <w:rFonts w:asciiTheme="minorHAnsi" w:hAnsiTheme="minorHAnsi" w:cstheme="minorHAnsi"/>
              </w:rPr>
            </w:pPr>
            <w:r w:rsidRPr="003F1E53">
              <w:rPr>
                <w:rFonts w:asciiTheme="minorHAnsi" w:hAnsiTheme="minorHAnsi" w:cstheme="minorHAnsi"/>
              </w:rPr>
              <w:t>237,239</w:t>
            </w:r>
          </w:p>
        </w:tc>
      </w:tr>
    </w:tbl>
    <w:p w14:paraId="694D3F97" w14:textId="77777777" w:rsidR="00B02873" w:rsidRDefault="00B02873" w:rsidP="00FE198A"/>
    <w:p w14:paraId="538D7D8A" w14:textId="77777777" w:rsidR="00B02873" w:rsidRDefault="00B02873" w:rsidP="003F1E53">
      <w:pPr>
        <w:pStyle w:val="Heading3"/>
      </w:pPr>
      <w:r>
        <w:t xml:space="preserve">2.3 Income from transactions </w:t>
      </w:r>
    </w:p>
    <w:p w14:paraId="7616075F" w14:textId="77777777" w:rsidR="00B02873" w:rsidRDefault="00B02873" w:rsidP="003F1E53">
      <w:pPr>
        <w:pStyle w:val="Heading4"/>
      </w:pPr>
      <w:r>
        <w:t>2.3.1 Sale of goods and services</w:t>
      </w:r>
    </w:p>
    <w:tbl>
      <w:tblPr>
        <w:tblStyle w:val="TableGrid"/>
        <w:tblW w:w="0" w:type="auto"/>
        <w:tblLayout w:type="fixed"/>
        <w:tblLook w:val="0020" w:firstRow="1" w:lastRow="0" w:firstColumn="0" w:lastColumn="0" w:noHBand="0" w:noVBand="0"/>
      </w:tblPr>
      <w:tblGrid>
        <w:gridCol w:w="7257"/>
        <w:gridCol w:w="1190"/>
        <w:gridCol w:w="1191"/>
      </w:tblGrid>
      <w:tr w:rsidR="00B02873" w:rsidRPr="00B02873" w14:paraId="7BF42E33" w14:textId="77777777" w:rsidTr="003F1E53">
        <w:trPr>
          <w:cnfStyle w:val="100000000000" w:firstRow="1" w:lastRow="0" w:firstColumn="0" w:lastColumn="0" w:oddVBand="0" w:evenVBand="0" w:oddHBand="0" w:evenHBand="0" w:firstRowFirstColumn="0" w:firstRowLastColumn="0" w:lastRowFirstColumn="0" w:lastRowLastColumn="0"/>
          <w:trHeight w:val="60"/>
        </w:trPr>
        <w:tc>
          <w:tcPr>
            <w:tcW w:w="7257" w:type="dxa"/>
          </w:tcPr>
          <w:p w14:paraId="4625CB76" w14:textId="77777777" w:rsidR="00B02873" w:rsidRPr="00B02873" w:rsidRDefault="00B02873" w:rsidP="003F1E53">
            <w:pPr>
              <w:pStyle w:val="TableheadingleftFinancialsTables"/>
            </w:pPr>
          </w:p>
        </w:tc>
        <w:tc>
          <w:tcPr>
            <w:tcW w:w="1190" w:type="dxa"/>
          </w:tcPr>
          <w:p w14:paraId="32FB42C3" w14:textId="77777777" w:rsidR="00B02873" w:rsidRPr="003F1E53" w:rsidRDefault="00B02873" w:rsidP="003F1E53">
            <w:pPr>
              <w:pStyle w:val="TableheadingleftFinancialsTables"/>
              <w:jc w:val="right"/>
            </w:pPr>
            <w:r w:rsidRPr="003F1E53">
              <w:t>2022</w:t>
            </w:r>
            <w:r w:rsidRPr="003F1E53">
              <w:br/>
              <w:t>$’000</w:t>
            </w:r>
          </w:p>
        </w:tc>
        <w:tc>
          <w:tcPr>
            <w:tcW w:w="1191" w:type="dxa"/>
          </w:tcPr>
          <w:p w14:paraId="6C3D04F5" w14:textId="77777777" w:rsidR="00B02873" w:rsidRDefault="00B02873" w:rsidP="003F1E53">
            <w:pPr>
              <w:pStyle w:val="TableheadingleftFinancialsTables"/>
              <w:jc w:val="right"/>
            </w:pPr>
            <w:r>
              <w:t>2021</w:t>
            </w:r>
            <w:r>
              <w:br/>
              <w:t>$’000</w:t>
            </w:r>
          </w:p>
        </w:tc>
      </w:tr>
      <w:tr w:rsidR="00B02873" w:rsidRPr="00B02873" w14:paraId="03E248F9" w14:textId="77777777" w:rsidTr="003F1E53">
        <w:trPr>
          <w:trHeight w:val="60"/>
        </w:trPr>
        <w:tc>
          <w:tcPr>
            <w:tcW w:w="7257" w:type="dxa"/>
          </w:tcPr>
          <w:p w14:paraId="619D5CD3" w14:textId="77777777" w:rsidR="00B02873" w:rsidRPr="003F1E53" w:rsidRDefault="00B02873" w:rsidP="003F1E53">
            <w:pPr>
              <w:pStyle w:val="TablebodyleftFinancialsTables"/>
              <w:rPr>
                <w:b/>
                <w:bCs/>
              </w:rPr>
            </w:pPr>
            <w:r w:rsidRPr="003F1E53">
              <w:rPr>
                <w:b/>
                <w:bCs/>
              </w:rPr>
              <w:t>Sale of goods and services</w:t>
            </w:r>
          </w:p>
        </w:tc>
        <w:tc>
          <w:tcPr>
            <w:tcW w:w="1190" w:type="dxa"/>
          </w:tcPr>
          <w:p w14:paraId="6CFF060F" w14:textId="77777777" w:rsidR="00B02873" w:rsidRPr="003F1E53" w:rsidRDefault="00B02873" w:rsidP="003F1E53">
            <w:pPr>
              <w:pStyle w:val="TablebodyleftFinancialsTables"/>
              <w:jc w:val="right"/>
              <w:rPr>
                <w:rFonts w:ascii="VIC Bold Italic" w:hAnsi="VIC Bold Italic" w:cs="Times New Roman"/>
                <w:b/>
                <w:bCs/>
              </w:rPr>
            </w:pPr>
          </w:p>
        </w:tc>
        <w:tc>
          <w:tcPr>
            <w:tcW w:w="1191" w:type="dxa"/>
          </w:tcPr>
          <w:p w14:paraId="0E984D83" w14:textId="77777777" w:rsidR="00B02873" w:rsidRPr="00B02873" w:rsidRDefault="00B02873" w:rsidP="003F1E53">
            <w:pPr>
              <w:pStyle w:val="TablebodyleftFinancialsTables"/>
              <w:jc w:val="right"/>
              <w:rPr>
                <w:rFonts w:ascii="VIC Bold Italic" w:hAnsi="VIC Bold Italic" w:cs="Times New Roman"/>
              </w:rPr>
            </w:pPr>
          </w:p>
        </w:tc>
      </w:tr>
      <w:tr w:rsidR="00B02873" w:rsidRPr="00B02873" w14:paraId="7965AC7B" w14:textId="77777777" w:rsidTr="003F1E53">
        <w:trPr>
          <w:trHeight w:val="60"/>
        </w:trPr>
        <w:tc>
          <w:tcPr>
            <w:tcW w:w="7257" w:type="dxa"/>
          </w:tcPr>
          <w:p w14:paraId="1B163CA5" w14:textId="77777777" w:rsidR="00B02873" w:rsidRDefault="00B02873" w:rsidP="003F1E53">
            <w:pPr>
              <w:pStyle w:val="TablebodyleftFinancialsTables"/>
            </w:pPr>
            <w:r>
              <w:t xml:space="preserve">Regulatory fees </w:t>
            </w:r>
          </w:p>
        </w:tc>
        <w:tc>
          <w:tcPr>
            <w:tcW w:w="1190" w:type="dxa"/>
          </w:tcPr>
          <w:p w14:paraId="3F2144A8" w14:textId="77777777" w:rsidR="00B02873" w:rsidRPr="003F1E53" w:rsidRDefault="00B02873" w:rsidP="003F1E53">
            <w:pPr>
              <w:pStyle w:val="TablebodyleftFinancialsTables"/>
              <w:jc w:val="right"/>
              <w:rPr>
                <w:b/>
                <w:bCs/>
              </w:rPr>
            </w:pPr>
            <w:r w:rsidRPr="003F1E53">
              <w:rPr>
                <w:b/>
                <w:bCs/>
              </w:rPr>
              <w:t>108</w:t>
            </w:r>
          </w:p>
        </w:tc>
        <w:tc>
          <w:tcPr>
            <w:tcW w:w="1191" w:type="dxa"/>
          </w:tcPr>
          <w:p w14:paraId="7A53BC24" w14:textId="77777777" w:rsidR="00B02873" w:rsidRDefault="00B02873" w:rsidP="003F1E53">
            <w:pPr>
              <w:pStyle w:val="TablebodyleftFinancialsTables"/>
              <w:jc w:val="right"/>
            </w:pPr>
            <w:r>
              <w:t>94</w:t>
            </w:r>
          </w:p>
        </w:tc>
      </w:tr>
      <w:tr w:rsidR="00B02873" w:rsidRPr="00B02873" w14:paraId="7D0AE4F4" w14:textId="77777777" w:rsidTr="003F1E53">
        <w:trPr>
          <w:trHeight w:val="60"/>
        </w:trPr>
        <w:tc>
          <w:tcPr>
            <w:tcW w:w="7257" w:type="dxa"/>
          </w:tcPr>
          <w:p w14:paraId="4C96F12E" w14:textId="77777777" w:rsidR="00B02873" w:rsidRDefault="00B02873" w:rsidP="003F1E53">
            <w:pPr>
              <w:pStyle w:val="TablebodyleftFinancialsTables"/>
            </w:pPr>
            <w:r>
              <w:t xml:space="preserve">Rendering of services </w:t>
            </w:r>
          </w:p>
        </w:tc>
        <w:tc>
          <w:tcPr>
            <w:tcW w:w="1190" w:type="dxa"/>
          </w:tcPr>
          <w:p w14:paraId="55AF4D59" w14:textId="77777777" w:rsidR="00B02873" w:rsidRPr="003F1E53" w:rsidRDefault="00B02873" w:rsidP="003F1E53">
            <w:pPr>
              <w:pStyle w:val="TablebodyleftFinancialsTables"/>
              <w:jc w:val="right"/>
              <w:rPr>
                <w:b/>
                <w:bCs/>
              </w:rPr>
            </w:pPr>
            <w:r w:rsidRPr="003F1E53">
              <w:rPr>
                <w:b/>
                <w:bCs/>
              </w:rPr>
              <w:t>86,193</w:t>
            </w:r>
          </w:p>
        </w:tc>
        <w:tc>
          <w:tcPr>
            <w:tcW w:w="1191" w:type="dxa"/>
          </w:tcPr>
          <w:p w14:paraId="41372ECA" w14:textId="77777777" w:rsidR="00B02873" w:rsidRDefault="00B02873" w:rsidP="003F1E53">
            <w:pPr>
              <w:pStyle w:val="TablebodyleftFinancialsTables"/>
              <w:jc w:val="right"/>
            </w:pPr>
            <w:r>
              <w:t>88,148</w:t>
            </w:r>
          </w:p>
        </w:tc>
      </w:tr>
      <w:tr w:rsidR="00B02873" w:rsidRPr="00B02873" w14:paraId="1D86FCB9" w14:textId="77777777" w:rsidTr="003F1E53">
        <w:trPr>
          <w:trHeight w:val="60"/>
        </w:trPr>
        <w:tc>
          <w:tcPr>
            <w:tcW w:w="7257" w:type="dxa"/>
          </w:tcPr>
          <w:p w14:paraId="25FE6239" w14:textId="77777777" w:rsidR="00B02873" w:rsidRDefault="00B02873" w:rsidP="003F1E53">
            <w:pPr>
              <w:pStyle w:val="TablebodyleftFinancialsTables"/>
            </w:pPr>
            <w:r>
              <w:t>Sales of goods and livestock</w:t>
            </w:r>
          </w:p>
        </w:tc>
        <w:tc>
          <w:tcPr>
            <w:tcW w:w="1190" w:type="dxa"/>
          </w:tcPr>
          <w:p w14:paraId="2B0AE8AB" w14:textId="77777777" w:rsidR="00B02873" w:rsidRPr="003F1E53" w:rsidRDefault="00B02873" w:rsidP="003F1E53">
            <w:pPr>
              <w:pStyle w:val="TablebodyleftFinancialsTables"/>
              <w:jc w:val="right"/>
              <w:rPr>
                <w:b/>
                <w:bCs/>
              </w:rPr>
            </w:pPr>
            <w:r w:rsidRPr="003F1E53">
              <w:rPr>
                <w:b/>
                <w:bCs/>
              </w:rPr>
              <w:t xml:space="preserve"> 394</w:t>
            </w:r>
          </w:p>
        </w:tc>
        <w:tc>
          <w:tcPr>
            <w:tcW w:w="1191" w:type="dxa"/>
          </w:tcPr>
          <w:p w14:paraId="5C8CB84B" w14:textId="77777777" w:rsidR="00B02873" w:rsidRDefault="00B02873" w:rsidP="003F1E53">
            <w:pPr>
              <w:pStyle w:val="TablebodyleftFinancialsTables"/>
              <w:jc w:val="right"/>
            </w:pPr>
            <w:r>
              <w:t xml:space="preserve"> 864</w:t>
            </w:r>
          </w:p>
        </w:tc>
      </w:tr>
      <w:tr w:rsidR="00B02873" w:rsidRPr="00B02873" w14:paraId="39C876D1" w14:textId="77777777" w:rsidTr="003F1E53">
        <w:trPr>
          <w:trHeight w:val="60"/>
        </w:trPr>
        <w:tc>
          <w:tcPr>
            <w:tcW w:w="7257" w:type="dxa"/>
          </w:tcPr>
          <w:p w14:paraId="5E9A1920" w14:textId="77777777" w:rsidR="00B02873" w:rsidRPr="003F1E53" w:rsidRDefault="00B02873" w:rsidP="003F1E53">
            <w:pPr>
              <w:pStyle w:val="TablebodyleftFinancialsTables"/>
              <w:rPr>
                <w:b/>
                <w:bCs/>
              </w:rPr>
            </w:pPr>
            <w:r w:rsidRPr="003F1E53">
              <w:rPr>
                <w:b/>
                <w:bCs/>
              </w:rPr>
              <w:t>Total sale of goods and services</w:t>
            </w:r>
          </w:p>
        </w:tc>
        <w:tc>
          <w:tcPr>
            <w:tcW w:w="1190" w:type="dxa"/>
          </w:tcPr>
          <w:p w14:paraId="58C2CB3F" w14:textId="77777777" w:rsidR="00B02873" w:rsidRPr="003F1E53" w:rsidRDefault="00B02873" w:rsidP="003F1E53">
            <w:pPr>
              <w:pStyle w:val="TablebodyleftFinancialsTables"/>
              <w:jc w:val="right"/>
              <w:rPr>
                <w:b/>
                <w:bCs/>
              </w:rPr>
            </w:pPr>
            <w:r w:rsidRPr="003F1E53">
              <w:rPr>
                <w:b/>
                <w:bCs/>
              </w:rPr>
              <w:t>86,695</w:t>
            </w:r>
          </w:p>
        </w:tc>
        <w:tc>
          <w:tcPr>
            <w:tcW w:w="1191" w:type="dxa"/>
          </w:tcPr>
          <w:p w14:paraId="43FC1BEF" w14:textId="77777777" w:rsidR="00B02873" w:rsidRDefault="00B02873" w:rsidP="003F1E53">
            <w:pPr>
              <w:pStyle w:val="TablebodyleftFinancialsTables"/>
              <w:jc w:val="right"/>
            </w:pPr>
            <w:r>
              <w:t>89,106</w:t>
            </w:r>
          </w:p>
        </w:tc>
      </w:tr>
    </w:tbl>
    <w:p w14:paraId="5A830558" w14:textId="77777777" w:rsidR="00B02873" w:rsidRDefault="00B02873" w:rsidP="00FE198A"/>
    <w:p w14:paraId="6F70DD81" w14:textId="77777777" w:rsidR="00B02873" w:rsidRDefault="00B02873" w:rsidP="00FE198A">
      <w:pPr>
        <w:rPr>
          <w:spacing w:val="-2"/>
        </w:rPr>
      </w:pPr>
      <w:r>
        <w:rPr>
          <w:spacing w:val="-2"/>
        </w:rPr>
        <w:t>The sale of goods and services included in the table above are transaction that the department has determined to be classified as revenue from contracts with customers in accordance with AASB 15.</w:t>
      </w:r>
    </w:p>
    <w:p w14:paraId="57EE8437" w14:textId="77777777" w:rsidR="00B02873" w:rsidRDefault="00B02873" w:rsidP="003F1E53">
      <w:pPr>
        <w:pStyle w:val="Boldheader"/>
      </w:pPr>
      <w:r>
        <w:t>Performance obligations and revenue recognition policies</w:t>
      </w:r>
    </w:p>
    <w:p w14:paraId="7453109D" w14:textId="77777777" w:rsidR="00B02873" w:rsidRDefault="00B02873" w:rsidP="00272B52">
      <w:pPr>
        <w:pStyle w:val="Normalbeforebullet"/>
      </w:pPr>
      <w:r>
        <w:t>Revenue is measured based on the consideration specified in the contract with the customer. The department recognises revenue when it transfers control of a good or service to the customer, i.e. when, or as, the performance obligations for the sale of goods and services to the customer are satisfied.</w:t>
      </w:r>
    </w:p>
    <w:p w14:paraId="31B140AF" w14:textId="77777777" w:rsidR="00B02873" w:rsidRDefault="00B02873" w:rsidP="00B02873">
      <w:pPr>
        <w:pStyle w:val="Bullet1Lists"/>
      </w:pPr>
      <w:r>
        <w:t xml:space="preserve">The goods and services provided by the department are mainly valuation, environmental impact assessment, and transaction processing services. </w:t>
      </w:r>
    </w:p>
    <w:p w14:paraId="780B57E8" w14:textId="347E857A" w:rsidR="00B02873" w:rsidRDefault="00B02873" w:rsidP="00272B52">
      <w:pPr>
        <w:pStyle w:val="Bullet1Listslast"/>
      </w:pPr>
      <w:r>
        <w:t xml:space="preserve">Revenue from the rendering of these services is recognised at a point in time when the performance obligation is satisfied when the service is completed; which is generally at the end of the contracts when the services have been delivered and/or the valuation report has been issued. </w:t>
      </w:r>
    </w:p>
    <w:p w14:paraId="6638536B" w14:textId="74D370FC" w:rsidR="00B02873" w:rsidRDefault="00B02873" w:rsidP="00FE198A">
      <w:r>
        <w:rPr>
          <w:spacing w:val="-1"/>
        </w:rPr>
        <w:t xml:space="preserve">For contracts that permit the customer to return an item, revenue is recognised to the extent it is highly probable that a significant cumulative reversal will not occur. Therefore, the amount of revenue recognised is adjusted for the expected returns, which are estimated based on the historical data. The right to recover the returned goods asset is measured at the former carrying amount of the inventory less any expected costs to recover goods. The department has assessed that there is no refund liability or right to recover returned goods for the financial year. </w:t>
      </w:r>
    </w:p>
    <w:p w14:paraId="19E51EB1" w14:textId="77777777" w:rsidR="00B02873" w:rsidRDefault="00B02873" w:rsidP="00FE198A">
      <w:r>
        <w:t>The department’s sale of goods and services are made with a short credit term, there is no financing element present. There has been no change in the recognition of revenue from the sale of goods as a result of the adoption of AASB 15.</w:t>
      </w:r>
    </w:p>
    <w:p w14:paraId="05D73895" w14:textId="6EA26150" w:rsidR="00B02873" w:rsidRDefault="00B02873" w:rsidP="00FE198A">
      <w:r>
        <w:t xml:space="preserve">Consideration received in advance of recognising the associated revenue from the customer is recorded as contract liabilities under other liabilities. Where the performance obligations are </w:t>
      </w:r>
      <w:r>
        <w:lastRenderedPageBreak/>
        <w:t>satisfied but not yet billed, a contract asset is recorded. As the department generally invoice on or shortly after meeting the performance obligations, there is no contract asset balance at 30 June 2022.</w:t>
      </w:r>
    </w:p>
    <w:p w14:paraId="2CA25C29" w14:textId="77777777" w:rsidR="00B02873" w:rsidRDefault="00B02873" w:rsidP="00272B52">
      <w:pPr>
        <w:pStyle w:val="Heading3"/>
      </w:pPr>
      <w:r>
        <w:t>Income recognised under AASB 1058</w:t>
      </w:r>
    </w:p>
    <w:p w14:paraId="6BB654ED" w14:textId="77777777" w:rsidR="00B02873" w:rsidRDefault="00B02873" w:rsidP="00272B52">
      <w:pPr>
        <w:pStyle w:val="Heading4"/>
      </w:pPr>
      <w:r>
        <w:t>2.3.2 Municipal and Industrial Waste Levy</w:t>
      </w:r>
    </w:p>
    <w:p w14:paraId="4CE5059A" w14:textId="77777777" w:rsidR="00B02873" w:rsidRDefault="00B02873" w:rsidP="00FE198A">
      <w:r>
        <w:t>The department has determined that the Municipal and Industrial Waste Levy is recognised under AASB 1058 as the income received is not linked to specific performance obligations.</w:t>
      </w:r>
    </w:p>
    <w:p w14:paraId="0914C861" w14:textId="77777777" w:rsidR="00B02873" w:rsidRDefault="00B02873" w:rsidP="00FE198A">
      <w:r>
        <w:t xml:space="preserve">The department is entitled to receive (through Environmental Protection Authority as its collecting agent) the levy amounts at the end of the period during which the levy applies under the </w:t>
      </w:r>
      <w:r w:rsidRPr="00272B52">
        <w:rPr>
          <w:rStyle w:val="LightItalic"/>
          <w:rFonts w:asciiTheme="minorHAnsi" w:hAnsiTheme="minorHAnsi" w:cstheme="minorHAnsi"/>
        </w:rPr>
        <w:t>Environment Protection Act 2017</w:t>
      </w:r>
      <w:r w:rsidRPr="00272B52">
        <w:rPr>
          <w:rFonts w:asciiTheme="minorHAnsi" w:hAnsiTheme="minorHAnsi" w:cstheme="minorHAnsi"/>
        </w:rPr>
        <w:t>.</w:t>
      </w:r>
      <w:r>
        <w:t xml:space="preserve"> </w:t>
      </w:r>
    </w:p>
    <w:p w14:paraId="7D57E622" w14:textId="77777777" w:rsidR="00B02873" w:rsidRDefault="00B02873" w:rsidP="00FE198A">
      <w:r>
        <w:t>The department recognises income at the time when the levy amounts become receivable from the Environmental Protection Authority. In the current financial year, a total amount of $424.915 million (2021: $256.032 million) has been recognised as income from the Municipal and Industrial Waste Levy.</w:t>
      </w:r>
    </w:p>
    <w:p w14:paraId="3024AFB2" w14:textId="5B6CA961" w:rsidR="00B02873" w:rsidRDefault="00B02873" w:rsidP="00FE198A">
      <w:r>
        <w:t xml:space="preserve">The levy was previously known as the Municipal and Industrial Landfill Levy. The </w:t>
      </w:r>
      <w:r w:rsidRPr="00272B52">
        <w:rPr>
          <w:rStyle w:val="LightItalic"/>
          <w:rFonts w:asciiTheme="minorHAnsi" w:hAnsiTheme="minorHAnsi" w:cstheme="minorHAnsi"/>
        </w:rPr>
        <w:t>Environment Protection Act 1970</w:t>
      </w:r>
      <w:r w:rsidRPr="00272B52">
        <w:rPr>
          <w:rFonts w:asciiTheme="minorHAnsi" w:hAnsiTheme="minorHAnsi" w:cstheme="minorHAnsi"/>
        </w:rPr>
        <w:t xml:space="preserve"> </w:t>
      </w:r>
      <w:r>
        <w:t xml:space="preserve">was repealed and superseded by the </w:t>
      </w:r>
      <w:r w:rsidRPr="00272B52">
        <w:rPr>
          <w:rStyle w:val="LightItalic"/>
          <w:rFonts w:asciiTheme="minorHAnsi" w:hAnsiTheme="minorHAnsi" w:cstheme="minorHAnsi"/>
        </w:rPr>
        <w:t>Environment Protection Act 2017</w:t>
      </w:r>
      <w:r w:rsidR="00272B52">
        <w:rPr>
          <w:rFonts w:asciiTheme="minorHAnsi" w:hAnsiTheme="minorHAnsi" w:cstheme="minorHAnsi"/>
        </w:rPr>
        <w:t>.</w:t>
      </w:r>
    </w:p>
    <w:p w14:paraId="0A75178F" w14:textId="4BD974BE" w:rsidR="00B02873" w:rsidRPr="002D47D3" w:rsidRDefault="00B02873" w:rsidP="00FE198A">
      <w:r>
        <w:t xml:space="preserve">From 1 July 2021, as a result of the </w:t>
      </w:r>
      <w:r w:rsidRPr="002D47D3">
        <w:rPr>
          <w:rStyle w:val="LightItalic"/>
          <w:rFonts w:asciiTheme="minorHAnsi" w:hAnsiTheme="minorHAnsi" w:cstheme="minorHAnsi"/>
        </w:rPr>
        <w:t>Environment Protection Act 1970</w:t>
      </w:r>
      <w:r>
        <w:t xml:space="preserve"> being repealed and superseded by the </w:t>
      </w:r>
      <w:r w:rsidRPr="002D47D3">
        <w:rPr>
          <w:rStyle w:val="LightItalic"/>
          <w:rFonts w:asciiTheme="minorHAnsi" w:hAnsiTheme="minorHAnsi" w:cstheme="minorHAnsi"/>
        </w:rPr>
        <w:t>Environment Protection Act 2017</w:t>
      </w:r>
      <w:r>
        <w:t>, the Municipal and Industrial Waste Levy replaced the Municipal and Industrial Landfill Levy.</w:t>
      </w:r>
    </w:p>
    <w:p w14:paraId="49157EE6" w14:textId="77777777" w:rsidR="00B02873" w:rsidRDefault="00B02873" w:rsidP="002D47D3">
      <w:pPr>
        <w:pStyle w:val="Heading4"/>
      </w:pPr>
      <w:r>
        <w:t>2.3.3 Metropolitan Parks Improvement Rate</w:t>
      </w:r>
    </w:p>
    <w:p w14:paraId="58B20F00" w14:textId="77777777" w:rsidR="00B02873" w:rsidRDefault="00B02873" w:rsidP="00FE198A">
      <w:pPr>
        <w:rPr>
          <w:spacing w:val="-2"/>
        </w:rPr>
      </w:pPr>
      <w:r>
        <w:rPr>
          <w:spacing w:val="-2"/>
        </w:rPr>
        <w:t xml:space="preserve">The Metropolitan Parks Improvement Rate, commonly known as the ‘parks charge’, is an annual levy on all commercial and residential properties in the Melbourne and metropolitan areas. The parks charge is billed and collected by the three metropolitan retail water corporations and is paid directly into the Parks and Reserves Trust Account controlled by the department on behalf of the Minister for Environment and Climate Action. </w:t>
      </w:r>
    </w:p>
    <w:p w14:paraId="41F65DD9" w14:textId="77777777" w:rsidR="00B02873" w:rsidRDefault="00B02873" w:rsidP="00FE198A">
      <w:pPr>
        <w:rPr>
          <w:spacing w:val="-2"/>
        </w:rPr>
      </w:pPr>
      <w:r>
        <w:rPr>
          <w:spacing w:val="-2"/>
        </w:rPr>
        <w:t xml:space="preserve">The </w:t>
      </w:r>
      <w:r w:rsidRPr="002D47D3">
        <w:rPr>
          <w:rStyle w:val="LightItalic"/>
          <w:rFonts w:asciiTheme="minorHAnsi" w:hAnsiTheme="minorHAnsi" w:cstheme="minorHAnsi"/>
          <w:spacing w:val="-2"/>
        </w:rPr>
        <w:t>Water Industry Act 1994</w:t>
      </w:r>
      <w:r>
        <w:rPr>
          <w:spacing w:val="-2"/>
        </w:rPr>
        <w:t xml:space="preserve"> determines how the parks charge is to be levied. For 2021-22 the minimum charge was levied at the rate of $80.20 (2021: $79.02) and the rate in the dollar of Net Annual Value was 0.478 cents (2021: 0.471 cents). </w:t>
      </w:r>
    </w:p>
    <w:p w14:paraId="237B286C" w14:textId="77777777" w:rsidR="00B02873" w:rsidRDefault="00B02873" w:rsidP="00FE198A">
      <w:pPr>
        <w:rPr>
          <w:spacing w:val="-2"/>
        </w:rPr>
      </w:pPr>
      <w:r>
        <w:rPr>
          <w:spacing w:val="-2"/>
        </w:rPr>
        <w:t xml:space="preserve">The department recognises income when the annual levy is received under AASB 1058 as the income has been earned under arrangements that are either not enforceable and/or linked to sufficiently specific performance obligations. </w:t>
      </w:r>
    </w:p>
    <w:p w14:paraId="46CA81DD" w14:textId="77777777" w:rsidR="00B02873" w:rsidRDefault="00B02873" w:rsidP="00FE198A">
      <w:pPr>
        <w:rPr>
          <w:spacing w:val="-2"/>
        </w:rPr>
      </w:pPr>
      <w:r>
        <w:rPr>
          <w:spacing w:val="-2"/>
        </w:rPr>
        <w:t xml:space="preserve">In accordance with the </w:t>
      </w:r>
      <w:r w:rsidRPr="002D47D3">
        <w:rPr>
          <w:rStyle w:val="LightItalic"/>
          <w:rFonts w:asciiTheme="minorHAnsi" w:hAnsiTheme="minorHAnsi" w:cstheme="minorHAnsi"/>
          <w:spacing w:val="-2"/>
        </w:rPr>
        <w:t>Water Industry Act 1994</w:t>
      </w:r>
      <w:r>
        <w:rPr>
          <w:spacing w:val="-2"/>
        </w:rPr>
        <w:t xml:space="preserve">, the Metropolitan Parks Improvement Rate of $200.061 million (2021: $190.679 million) is recognised as income. </w:t>
      </w:r>
    </w:p>
    <w:p w14:paraId="61E4D1D3" w14:textId="77777777" w:rsidR="00B02873" w:rsidRDefault="00B02873" w:rsidP="002D47D3">
      <w:pPr>
        <w:pStyle w:val="Normalbeforebullet"/>
        <w:rPr>
          <w:spacing w:val="-2"/>
        </w:rPr>
      </w:pPr>
      <w:r>
        <w:t xml:space="preserve">The </w:t>
      </w:r>
      <w:r w:rsidRPr="002D47D3">
        <w:rPr>
          <w:rStyle w:val="LightItalic"/>
          <w:rFonts w:asciiTheme="minorHAnsi" w:hAnsiTheme="minorHAnsi" w:cstheme="minorHAnsi"/>
        </w:rPr>
        <w:t>Water Industry Act 1994</w:t>
      </w:r>
      <w:r>
        <w:t xml:space="preserve"> requires that money collected be spent on controlling, developing and managing open space, parks, waterways and bays within the metropolitan area. During the 2021-22 financial year, a total of $195.074 million was disbursed from the trust (in 2020-21, $159.229 million was disbursed for the full financial year) for the following activities: </w:t>
      </w:r>
    </w:p>
    <w:p w14:paraId="225283FD" w14:textId="77777777" w:rsidR="00B02873" w:rsidRDefault="00B02873" w:rsidP="00B02873">
      <w:pPr>
        <w:pStyle w:val="Bullet1Lists"/>
      </w:pPr>
      <w:r>
        <w:rPr>
          <w:spacing w:val="-4"/>
        </w:rPr>
        <w:t>Park management services in the metropolitan area including the management of bays, maintenance and construction of park assets. These include National and State parks, Zoological parks, State gardens and the Shrine of Remembrance</w:t>
      </w:r>
    </w:p>
    <w:p w14:paraId="529E4FCF" w14:textId="77777777" w:rsidR="00B02873" w:rsidRDefault="00B02873" w:rsidP="00B02873">
      <w:pPr>
        <w:pStyle w:val="Bullet1Lists"/>
      </w:pPr>
      <w:r>
        <w:t>Purchase of public open space for conservation, recreation, leisure or tourism</w:t>
      </w:r>
    </w:p>
    <w:p w14:paraId="1E689C4E" w14:textId="77777777" w:rsidR="00B02873" w:rsidRDefault="00B02873" w:rsidP="002D47D3">
      <w:pPr>
        <w:pStyle w:val="Bullet1Listslast"/>
      </w:pPr>
      <w:r>
        <w:t xml:space="preserve">Management and maintenance of public beaches and renourishment works. </w:t>
      </w:r>
    </w:p>
    <w:p w14:paraId="2E412997" w14:textId="5B4A76F2" w:rsidR="00B02873" w:rsidRDefault="00B02873" w:rsidP="00FE198A">
      <w:r>
        <w:rPr>
          <w:spacing w:val="-2"/>
        </w:rPr>
        <w:t xml:space="preserve">The disbursements is disclosed in Note 3.1.2 </w:t>
      </w:r>
      <w:r w:rsidRPr="002D47D3">
        <w:rPr>
          <w:rStyle w:val="LightItalic"/>
          <w:rFonts w:asciiTheme="minorHAnsi" w:hAnsiTheme="minorHAnsi" w:cstheme="minorHAnsi"/>
          <w:spacing w:val="-2"/>
        </w:rPr>
        <w:t>Grants and other transfers</w:t>
      </w:r>
      <w:r w:rsidRPr="002D47D3">
        <w:rPr>
          <w:rFonts w:asciiTheme="minorHAnsi" w:hAnsiTheme="minorHAnsi" w:cstheme="minorHAnsi"/>
        </w:rPr>
        <w:t>.</w:t>
      </w:r>
    </w:p>
    <w:p w14:paraId="3A64D193" w14:textId="77777777" w:rsidR="00B02873" w:rsidRDefault="00B02873" w:rsidP="00565E49">
      <w:pPr>
        <w:pStyle w:val="Heading4"/>
      </w:pPr>
      <w:r>
        <w:lastRenderedPageBreak/>
        <w:t>2.3.4 Grants</w:t>
      </w:r>
    </w:p>
    <w:tbl>
      <w:tblPr>
        <w:tblStyle w:val="TableGrid"/>
        <w:tblW w:w="0" w:type="auto"/>
        <w:tblLayout w:type="fixed"/>
        <w:tblLook w:val="0020" w:firstRow="1" w:lastRow="0" w:firstColumn="0" w:lastColumn="0" w:noHBand="0" w:noVBand="0"/>
      </w:tblPr>
      <w:tblGrid>
        <w:gridCol w:w="3681"/>
        <w:gridCol w:w="1377"/>
        <w:gridCol w:w="1375"/>
      </w:tblGrid>
      <w:tr w:rsidR="00B02873" w:rsidRPr="00B02873" w14:paraId="67F8C8B0" w14:textId="77777777" w:rsidTr="009B3AE1">
        <w:trPr>
          <w:cnfStyle w:val="100000000000" w:firstRow="1" w:lastRow="0" w:firstColumn="0" w:lastColumn="0" w:oddVBand="0" w:evenVBand="0" w:oddHBand="0" w:evenHBand="0" w:firstRowFirstColumn="0" w:firstRowLastColumn="0" w:lastRowFirstColumn="0" w:lastRowLastColumn="0"/>
          <w:trHeight w:val="60"/>
        </w:trPr>
        <w:tc>
          <w:tcPr>
            <w:tcW w:w="3681" w:type="dxa"/>
          </w:tcPr>
          <w:p w14:paraId="48C8D06A" w14:textId="77777777" w:rsidR="00B02873" w:rsidRPr="00B02873" w:rsidRDefault="00B02873" w:rsidP="00565E49">
            <w:pPr>
              <w:pStyle w:val="TableheadingleftFinancialsTables"/>
            </w:pPr>
          </w:p>
        </w:tc>
        <w:tc>
          <w:tcPr>
            <w:tcW w:w="1377" w:type="dxa"/>
          </w:tcPr>
          <w:p w14:paraId="5AF04E72" w14:textId="77777777" w:rsidR="00B02873" w:rsidRPr="00565E49" w:rsidRDefault="00B02873" w:rsidP="00565E49">
            <w:pPr>
              <w:pStyle w:val="TableheadingleftFinancialsTables"/>
              <w:jc w:val="right"/>
              <w:rPr>
                <w:b w:val="0"/>
                <w:bCs w:val="0"/>
              </w:rPr>
            </w:pPr>
            <w:r w:rsidRPr="00565E49">
              <w:rPr>
                <w:b w:val="0"/>
                <w:bCs w:val="0"/>
              </w:rPr>
              <w:t>2022</w:t>
            </w:r>
            <w:r w:rsidRPr="00565E49">
              <w:rPr>
                <w:b w:val="0"/>
                <w:bCs w:val="0"/>
              </w:rPr>
              <w:br/>
              <w:t>$’000</w:t>
            </w:r>
          </w:p>
        </w:tc>
        <w:tc>
          <w:tcPr>
            <w:tcW w:w="1375" w:type="dxa"/>
          </w:tcPr>
          <w:p w14:paraId="4FFE4062" w14:textId="77777777" w:rsidR="00B02873" w:rsidRDefault="00B02873" w:rsidP="00565E49">
            <w:pPr>
              <w:pStyle w:val="TableheadingleftFinancialsTables"/>
              <w:jc w:val="right"/>
            </w:pPr>
            <w:r>
              <w:t>2021</w:t>
            </w:r>
            <w:r>
              <w:br/>
              <w:t>$’000</w:t>
            </w:r>
          </w:p>
        </w:tc>
      </w:tr>
      <w:tr w:rsidR="00B02873" w:rsidRPr="00B02873" w14:paraId="57D4D143" w14:textId="77777777" w:rsidTr="009B3AE1">
        <w:trPr>
          <w:trHeight w:val="60"/>
        </w:trPr>
        <w:tc>
          <w:tcPr>
            <w:tcW w:w="3681" w:type="dxa"/>
          </w:tcPr>
          <w:p w14:paraId="4E380704" w14:textId="77777777" w:rsidR="00B02873" w:rsidRPr="00565E49" w:rsidRDefault="00B02873" w:rsidP="00565E49">
            <w:pPr>
              <w:pStyle w:val="TablebodyleftFinancialsTables"/>
              <w:rPr>
                <w:b/>
                <w:bCs/>
              </w:rPr>
            </w:pPr>
            <w:r w:rsidRPr="00565E49">
              <w:rPr>
                <w:b/>
                <w:bCs/>
              </w:rPr>
              <w:t>Grants</w:t>
            </w:r>
          </w:p>
        </w:tc>
        <w:tc>
          <w:tcPr>
            <w:tcW w:w="1377" w:type="dxa"/>
          </w:tcPr>
          <w:p w14:paraId="567200B0" w14:textId="77777777" w:rsidR="00B02873" w:rsidRPr="00565E49" w:rsidRDefault="00B02873" w:rsidP="00565E49">
            <w:pPr>
              <w:pStyle w:val="TablebodyleftFinancialsTables"/>
              <w:jc w:val="right"/>
              <w:rPr>
                <w:rFonts w:ascii="VIC Bold Italic" w:hAnsi="VIC Bold Italic" w:cs="Times New Roman"/>
              </w:rPr>
            </w:pPr>
          </w:p>
        </w:tc>
        <w:tc>
          <w:tcPr>
            <w:tcW w:w="1375" w:type="dxa"/>
          </w:tcPr>
          <w:p w14:paraId="6E9150C7" w14:textId="77777777" w:rsidR="00B02873" w:rsidRPr="00B02873" w:rsidRDefault="00B02873" w:rsidP="00565E49">
            <w:pPr>
              <w:pStyle w:val="TablebodyleftFinancialsTables"/>
              <w:jc w:val="right"/>
              <w:rPr>
                <w:rFonts w:ascii="VIC Bold Italic" w:hAnsi="VIC Bold Italic" w:cs="Times New Roman"/>
              </w:rPr>
            </w:pPr>
          </w:p>
        </w:tc>
      </w:tr>
      <w:tr w:rsidR="009B3AE1" w:rsidRPr="00B02873" w14:paraId="507CC196" w14:textId="77777777" w:rsidTr="00D1621F">
        <w:trPr>
          <w:trHeight w:val="60"/>
        </w:trPr>
        <w:tc>
          <w:tcPr>
            <w:tcW w:w="3681" w:type="dxa"/>
          </w:tcPr>
          <w:p w14:paraId="5E3DCCE1" w14:textId="3FDE187D" w:rsidR="009B3AE1" w:rsidRDefault="009B3AE1" w:rsidP="00D1621F">
            <w:pPr>
              <w:pStyle w:val="TablebodyleftFinancialsTables"/>
            </w:pPr>
            <w:r w:rsidRPr="00565E49">
              <w:rPr>
                <w:b/>
                <w:bCs/>
              </w:rPr>
              <w:t>Income recognised under AASB 1058:</w:t>
            </w:r>
          </w:p>
        </w:tc>
        <w:tc>
          <w:tcPr>
            <w:tcW w:w="1377" w:type="dxa"/>
          </w:tcPr>
          <w:p w14:paraId="03E9BE5D" w14:textId="77777777" w:rsidR="009B3AE1" w:rsidRPr="00565E49" w:rsidRDefault="009B3AE1" w:rsidP="00D1621F">
            <w:pPr>
              <w:pStyle w:val="TablebodyleftFinancialsTables"/>
              <w:jc w:val="right"/>
            </w:pPr>
          </w:p>
        </w:tc>
        <w:tc>
          <w:tcPr>
            <w:tcW w:w="1375" w:type="dxa"/>
          </w:tcPr>
          <w:p w14:paraId="3938BB78" w14:textId="77777777" w:rsidR="009B3AE1" w:rsidRDefault="009B3AE1" w:rsidP="00D1621F">
            <w:pPr>
              <w:pStyle w:val="TablebodyleftFinancialsTables"/>
              <w:jc w:val="right"/>
            </w:pPr>
          </w:p>
        </w:tc>
      </w:tr>
      <w:tr w:rsidR="00B02873" w:rsidRPr="00B02873" w14:paraId="4B66B5C6" w14:textId="77777777" w:rsidTr="009B3AE1">
        <w:trPr>
          <w:trHeight w:val="60"/>
        </w:trPr>
        <w:tc>
          <w:tcPr>
            <w:tcW w:w="3681" w:type="dxa"/>
          </w:tcPr>
          <w:p w14:paraId="78AC3B55" w14:textId="77777777" w:rsidR="00B02873" w:rsidRDefault="00B02873" w:rsidP="00565E49">
            <w:pPr>
              <w:pStyle w:val="TablebodyleftFinancialsTables"/>
            </w:pPr>
            <w:r>
              <w:t xml:space="preserve">Specific purpose grants </w:t>
            </w:r>
          </w:p>
        </w:tc>
        <w:tc>
          <w:tcPr>
            <w:tcW w:w="1377" w:type="dxa"/>
          </w:tcPr>
          <w:p w14:paraId="026D22B8" w14:textId="77777777" w:rsidR="00B02873" w:rsidRPr="00565E49" w:rsidRDefault="00B02873" w:rsidP="00565E49">
            <w:pPr>
              <w:pStyle w:val="TablebodyleftFinancialsTables"/>
              <w:jc w:val="right"/>
            </w:pPr>
            <w:r w:rsidRPr="00565E49">
              <w:t>38,553</w:t>
            </w:r>
          </w:p>
        </w:tc>
        <w:tc>
          <w:tcPr>
            <w:tcW w:w="1375" w:type="dxa"/>
          </w:tcPr>
          <w:p w14:paraId="2FD9A39E" w14:textId="77777777" w:rsidR="00B02873" w:rsidRDefault="00B02873" w:rsidP="00565E49">
            <w:pPr>
              <w:pStyle w:val="TablebodyleftFinancialsTables"/>
              <w:jc w:val="right"/>
            </w:pPr>
            <w:r>
              <w:t>95,155</w:t>
            </w:r>
          </w:p>
        </w:tc>
      </w:tr>
      <w:tr w:rsidR="00B02873" w:rsidRPr="00B02873" w14:paraId="2B65470E" w14:textId="77777777" w:rsidTr="009B3AE1">
        <w:trPr>
          <w:trHeight w:val="60"/>
        </w:trPr>
        <w:tc>
          <w:tcPr>
            <w:tcW w:w="3681" w:type="dxa"/>
          </w:tcPr>
          <w:p w14:paraId="3E584173" w14:textId="77777777" w:rsidR="00B02873" w:rsidRDefault="00B02873" w:rsidP="00565E49">
            <w:pPr>
              <w:pStyle w:val="TablebodyleftFinancialsTables"/>
            </w:pPr>
            <w:r>
              <w:t>General purpose grants</w:t>
            </w:r>
          </w:p>
        </w:tc>
        <w:tc>
          <w:tcPr>
            <w:tcW w:w="1377" w:type="dxa"/>
          </w:tcPr>
          <w:p w14:paraId="5AD3AE6B" w14:textId="77777777" w:rsidR="00B02873" w:rsidRPr="00565E49" w:rsidRDefault="00B02873" w:rsidP="00565E49">
            <w:pPr>
              <w:pStyle w:val="TablebodyleftFinancialsTables"/>
              <w:jc w:val="right"/>
            </w:pPr>
            <w:r w:rsidRPr="00565E49">
              <w:t>3,124</w:t>
            </w:r>
          </w:p>
        </w:tc>
        <w:tc>
          <w:tcPr>
            <w:tcW w:w="1375" w:type="dxa"/>
          </w:tcPr>
          <w:p w14:paraId="05D73051" w14:textId="77777777" w:rsidR="00B02873" w:rsidRDefault="00B02873" w:rsidP="00565E49">
            <w:pPr>
              <w:pStyle w:val="TablebodyleftFinancialsTables"/>
              <w:jc w:val="right"/>
            </w:pPr>
            <w:r>
              <w:t>3,072</w:t>
            </w:r>
          </w:p>
        </w:tc>
      </w:tr>
      <w:tr w:rsidR="00B02873" w:rsidRPr="00B02873" w14:paraId="532BD12D" w14:textId="77777777" w:rsidTr="009B3AE1">
        <w:trPr>
          <w:trHeight w:val="60"/>
        </w:trPr>
        <w:tc>
          <w:tcPr>
            <w:tcW w:w="3681" w:type="dxa"/>
          </w:tcPr>
          <w:p w14:paraId="67639D54" w14:textId="77777777" w:rsidR="00B02873" w:rsidRPr="00565E49" w:rsidRDefault="00B02873" w:rsidP="00565E49">
            <w:pPr>
              <w:pStyle w:val="TablebodyleftFinancialsTables"/>
              <w:rPr>
                <w:b/>
                <w:bCs/>
              </w:rPr>
            </w:pPr>
            <w:r w:rsidRPr="00565E49">
              <w:rPr>
                <w:b/>
                <w:bCs/>
              </w:rPr>
              <w:t>Total grants</w:t>
            </w:r>
          </w:p>
        </w:tc>
        <w:tc>
          <w:tcPr>
            <w:tcW w:w="1377" w:type="dxa"/>
          </w:tcPr>
          <w:p w14:paraId="73979706" w14:textId="77777777" w:rsidR="00B02873" w:rsidRPr="00565E49" w:rsidRDefault="00B02873" w:rsidP="00565E49">
            <w:pPr>
              <w:pStyle w:val="TablebodyleftFinancialsTables"/>
              <w:jc w:val="right"/>
            </w:pPr>
            <w:r w:rsidRPr="00565E49">
              <w:t>41,677</w:t>
            </w:r>
          </w:p>
        </w:tc>
        <w:tc>
          <w:tcPr>
            <w:tcW w:w="1375" w:type="dxa"/>
          </w:tcPr>
          <w:p w14:paraId="1989B685" w14:textId="77777777" w:rsidR="00B02873" w:rsidRDefault="00B02873" w:rsidP="00565E49">
            <w:pPr>
              <w:pStyle w:val="TablebodyleftFinancialsTables"/>
              <w:jc w:val="right"/>
            </w:pPr>
            <w:r>
              <w:t>98,227</w:t>
            </w:r>
          </w:p>
        </w:tc>
      </w:tr>
    </w:tbl>
    <w:p w14:paraId="5304826A" w14:textId="77777777" w:rsidR="00B02873" w:rsidRDefault="00B02873" w:rsidP="001F6880">
      <w:pPr>
        <w:spacing w:after="0"/>
      </w:pPr>
    </w:p>
    <w:p w14:paraId="6F0BF8E4" w14:textId="77777777" w:rsidR="00B02873" w:rsidRDefault="00B02873" w:rsidP="00FE198A">
      <w:pPr>
        <w:rPr>
          <w:spacing w:val="-2"/>
        </w:rPr>
      </w:pPr>
      <w:r>
        <w:rPr>
          <w:spacing w:val="-2"/>
        </w:rPr>
        <w:t>The department has determined that the grant income included in the table above is recognised under AASB 1058, given that the income has been earned under arrangements that are either not enforceable and/or linked to sufficiently specific performance obligations.</w:t>
      </w:r>
    </w:p>
    <w:p w14:paraId="3958419C" w14:textId="07A9AE51" w:rsidR="00B02873" w:rsidRDefault="00B02873" w:rsidP="00565E49">
      <w:pPr>
        <w:pStyle w:val="Normalbeforebullet"/>
      </w:pPr>
      <w:r>
        <w:t xml:space="preserve">Income from grants without any sufficiently specific performance obligations, or that are not enforceable, is recognised when the department has an unconditional right to receive cash which usually coincides with receipt of cash. On initial recognition of the asset, the department recognises any related contributions by owners, increases in liabilities, decreases in assets, and revenue (‘related amounts’) in accordance with other Australian Accounting Standards. Related amounts may take the form of: </w:t>
      </w:r>
    </w:p>
    <w:p w14:paraId="09D9BE0A" w14:textId="1390FFDE" w:rsidR="00B02873" w:rsidRDefault="00B02873" w:rsidP="00B02873">
      <w:pPr>
        <w:pStyle w:val="Bullet1Lists"/>
      </w:pPr>
      <w:r>
        <w:t>contributions by owners, in accordance with AASB 1004;</w:t>
      </w:r>
    </w:p>
    <w:p w14:paraId="015C3A3D" w14:textId="77777777" w:rsidR="00B02873" w:rsidRDefault="00B02873" w:rsidP="00B02873">
      <w:pPr>
        <w:pStyle w:val="Bullet1Lists"/>
      </w:pPr>
      <w:r>
        <w:rPr>
          <w:spacing w:val="-4"/>
        </w:rPr>
        <w:t>revenue or a contract liability arising from a contract with a customer, in accordance with AASB 15;</w:t>
      </w:r>
    </w:p>
    <w:p w14:paraId="4A32D6E7" w14:textId="3CB4A218" w:rsidR="00B02873" w:rsidRDefault="00B02873" w:rsidP="00B02873">
      <w:pPr>
        <w:pStyle w:val="Bullet1Lists"/>
      </w:pPr>
      <w:r>
        <w:t>a lease liability in accordance with AASB 16;</w:t>
      </w:r>
    </w:p>
    <w:p w14:paraId="1B6B4439" w14:textId="78BB4044" w:rsidR="00B02873" w:rsidRDefault="00B02873" w:rsidP="00B02873">
      <w:pPr>
        <w:pStyle w:val="Bullet1Lists"/>
      </w:pPr>
      <w:r>
        <w:t>a financial instrument, in accordance with AASB 9;</w:t>
      </w:r>
    </w:p>
    <w:p w14:paraId="7D24F7A6" w14:textId="77777777" w:rsidR="00B02873" w:rsidRDefault="00B02873" w:rsidP="00565E49">
      <w:pPr>
        <w:pStyle w:val="Bullet1Listslast"/>
      </w:pPr>
      <w:r>
        <w:t xml:space="preserve">a provision, in accordance with AASB 137 </w:t>
      </w:r>
      <w:r w:rsidRPr="00565E49">
        <w:rPr>
          <w:rStyle w:val="LightItalic"/>
          <w:rFonts w:asciiTheme="minorHAnsi" w:hAnsiTheme="minorHAnsi" w:cstheme="minorHAnsi"/>
        </w:rPr>
        <w:t>Provisions, Contingent Liabilities and Contingent Assets</w:t>
      </w:r>
      <w:r>
        <w:t>.</w:t>
      </w:r>
    </w:p>
    <w:p w14:paraId="0E3D9D4F" w14:textId="77777777" w:rsidR="00B02873" w:rsidRDefault="00B02873" w:rsidP="00FE198A">
      <w:r>
        <w:rPr>
          <w:spacing w:val="-2"/>
        </w:rPr>
        <w:t xml:space="preserve">Income received for specific purpose grants for on-passing is recognised simultaneously as the funds are immediately on passed to the relevant recipient entities on behalf of the Commonwealth government. </w:t>
      </w:r>
    </w:p>
    <w:p w14:paraId="6CC898DE" w14:textId="66B28F7D" w:rsidR="00B02873" w:rsidRDefault="00B02873" w:rsidP="00FE198A">
      <w:r>
        <w:t>Specific purpose grants of the department are funding obtained for development, capital construction and operation of specific projects. The grant arrangements have been assessed and there are no specific performance obligations for the department. As a result, the department recognise income when the grant is received.</w:t>
      </w:r>
    </w:p>
    <w:p w14:paraId="669D6D30" w14:textId="77777777" w:rsidR="00B02873" w:rsidRPr="00546E03" w:rsidRDefault="00B02873" w:rsidP="00FE198A">
      <w:r>
        <w:t xml:space="preserve">The department’s general purpose grant arrangements do not have sufficient specific performance obligation. Therefore, income is recognised when the grant is received by the department. </w:t>
      </w:r>
    </w:p>
    <w:p w14:paraId="4072C40C" w14:textId="77777777" w:rsidR="00B02873" w:rsidRDefault="00B02873" w:rsidP="00565E49">
      <w:pPr>
        <w:pStyle w:val="Heading4"/>
      </w:pPr>
      <w:r>
        <w:t>2.3.5 Other income</w:t>
      </w:r>
    </w:p>
    <w:tbl>
      <w:tblPr>
        <w:tblStyle w:val="TableGrid"/>
        <w:tblW w:w="9638" w:type="dxa"/>
        <w:tblLayout w:type="fixed"/>
        <w:tblLook w:val="0020" w:firstRow="1" w:lastRow="0" w:firstColumn="0" w:lastColumn="0" w:noHBand="0" w:noVBand="0"/>
      </w:tblPr>
      <w:tblGrid>
        <w:gridCol w:w="7225"/>
        <w:gridCol w:w="1206"/>
        <w:gridCol w:w="1207"/>
      </w:tblGrid>
      <w:tr w:rsidR="00B02873" w:rsidRPr="00B02873" w14:paraId="2CC9B21E" w14:textId="77777777" w:rsidTr="001F6880">
        <w:trPr>
          <w:cnfStyle w:val="100000000000" w:firstRow="1" w:lastRow="0" w:firstColumn="0" w:lastColumn="0" w:oddVBand="0" w:evenVBand="0" w:oddHBand="0" w:evenHBand="0" w:firstRowFirstColumn="0" w:firstRowLastColumn="0" w:lastRowFirstColumn="0" w:lastRowLastColumn="0"/>
          <w:tblHeader/>
        </w:trPr>
        <w:tc>
          <w:tcPr>
            <w:tcW w:w="7225" w:type="dxa"/>
          </w:tcPr>
          <w:p w14:paraId="0DD7D2A2" w14:textId="77777777" w:rsidR="00B02873" w:rsidRPr="00B02873" w:rsidRDefault="00B02873" w:rsidP="001F6880">
            <w:pPr>
              <w:pStyle w:val="TableheadingleftFinancialsTables"/>
            </w:pPr>
          </w:p>
        </w:tc>
        <w:tc>
          <w:tcPr>
            <w:tcW w:w="1206" w:type="dxa"/>
          </w:tcPr>
          <w:p w14:paraId="2BB85543" w14:textId="77777777" w:rsidR="00B02873" w:rsidRPr="001F6880" w:rsidRDefault="00B02873" w:rsidP="001F6880">
            <w:pPr>
              <w:pStyle w:val="TableheadingleftFinancialsTables"/>
              <w:jc w:val="right"/>
            </w:pPr>
            <w:r w:rsidRPr="001F6880">
              <w:t xml:space="preserve">2022 </w:t>
            </w:r>
            <w:r w:rsidRPr="001F6880">
              <w:br/>
              <w:t>$’000</w:t>
            </w:r>
          </w:p>
        </w:tc>
        <w:tc>
          <w:tcPr>
            <w:tcW w:w="1207" w:type="dxa"/>
          </w:tcPr>
          <w:p w14:paraId="59ABBEF5" w14:textId="77777777" w:rsidR="00B02873" w:rsidRDefault="00B02873" w:rsidP="001F6880">
            <w:pPr>
              <w:pStyle w:val="TableheadingleftFinancialsTables"/>
              <w:jc w:val="right"/>
            </w:pPr>
            <w:r>
              <w:t>2021</w:t>
            </w:r>
            <w:r>
              <w:br/>
              <w:t>$’000</w:t>
            </w:r>
          </w:p>
        </w:tc>
      </w:tr>
      <w:tr w:rsidR="001F6880" w:rsidRPr="00B02873" w14:paraId="63C004AB" w14:textId="77777777" w:rsidTr="001F6880">
        <w:tc>
          <w:tcPr>
            <w:tcW w:w="7225" w:type="dxa"/>
          </w:tcPr>
          <w:p w14:paraId="5F7D615F" w14:textId="77777777" w:rsidR="001F6880" w:rsidRPr="001F6880" w:rsidRDefault="001F6880" w:rsidP="001F6880">
            <w:pPr>
              <w:pStyle w:val="TablebodyleftFinancialsTables"/>
              <w:rPr>
                <w:b/>
                <w:bCs/>
              </w:rPr>
            </w:pPr>
            <w:r w:rsidRPr="001F6880">
              <w:rPr>
                <w:b/>
                <w:bCs/>
              </w:rPr>
              <w:t>Other income</w:t>
            </w:r>
          </w:p>
        </w:tc>
        <w:tc>
          <w:tcPr>
            <w:tcW w:w="1206" w:type="dxa"/>
          </w:tcPr>
          <w:p w14:paraId="680D6555" w14:textId="77777777" w:rsidR="001F6880" w:rsidRPr="001F6880" w:rsidRDefault="001F6880" w:rsidP="001F6880">
            <w:pPr>
              <w:pStyle w:val="TablebodyleftFinancialsTables"/>
              <w:jc w:val="right"/>
              <w:rPr>
                <w:b/>
                <w:bCs/>
              </w:rPr>
            </w:pPr>
          </w:p>
        </w:tc>
        <w:tc>
          <w:tcPr>
            <w:tcW w:w="1207" w:type="dxa"/>
          </w:tcPr>
          <w:p w14:paraId="50C2FF11" w14:textId="4B6792F3" w:rsidR="001F6880" w:rsidRDefault="001F6880" w:rsidP="001F6880">
            <w:pPr>
              <w:pStyle w:val="TablebodyleftFinancialsTables"/>
              <w:jc w:val="right"/>
            </w:pPr>
          </w:p>
        </w:tc>
      </w:tr>
      <w:tr w:rsidR="00B02873" w:rsidRPr="00B02873" w14:paraId="55CB7B90" w14:textId="77777777" w:rsidTr="001F6880">
        <w:tc>
          <w:tcPr>
            <w:tcW w:w="7225" w:type="dxa"/>
          </w:tcPr>
          <w:p w14:paraId="587FF7A0" w14:textId="77777777" w:rsidR="00B02873" w:rsidRDefault="00B02873" w:rsidP="001F6880">
            <w:pPr>
              <w:pStyle w:val="TablebodyleftFinancialsTables"/>
            </w:pPr>
            <w:r>
              <w:t>Land leases and licences</w:t>
            </w:r>
          </w:p>
        </w:tc>
        <w:tc>
          <w:tcPr>
            <w:tcW w:w="1206" w:type="dxa"/>
          </w:tcPr>
          <w:p w14:paraId="404B975B" w14:textId="77777777" w:rsidR="00B02873" w:rsidRPr="001F6880" w:rsidRDefault="00B02873" w:rsidP="001F6880">
            <w:pPr>
              <w:pStyle w:val="TablebodyleftFinancialsTables"/>
              <w:jc w:val="right"/>
              <w:rPr>
                <w:b/>
                <w:bCs/>
              </w:rPr>
            </w:pPr>
            <w:r w:rsidRPr="001F6880">
              <w:rPr>
                <w:b/>
                <w:bCs/>
              </w:rPr>
              <w:t>427</w:t>
            </w:r>
          </w:p>
        </w:tc>
        <w:tc>
          <w:tcPr>
            <w:tcW w:w="1207" w:type="dxa"/>
          </w:tcPr>
          <w:p w14:paraId="2EFA5CEB" w14:textId="77777777" w:rsidR="00B02873" w:rsidRDefault="00B02873" w:rsidP="001F6880">
            <w:pPr>
              <w:pStyle w:val="TablebodyleftFinancialsTables"/>
              <w:jc w:val="right"/>
            </w:pPr>
            <w:r>
              <w:t>491</w:t>
            </w:r>
          </w:p>
        </w:tc>
      </w:tr>
      <w:tr w:rsidR="00B02873" w:rsidRPr="00B02873" w14:paraId="4AC69F9C" w14:textId="77777777" w:rsidTr="001F6880">
        <w:tc>
          <w:tcPr>
            <w:tcW w:w="7225" w:type="dxa"/>
          </w:tcPr>
          <w:p w14:paraId="7A501522" w14:textId="77777777" w:rsidR="00B02873" w:rsidRDefault="00B02873" w:rsidP="001F6880">
            <w:pPr>
              <w:pStyle w:val="TablebodyleftFinancialsTables"/>
            </w:pPr>
            <w:r>
              <w:t xml:space="preserve">Insurance settlements </w:t>
            </w:r>
          </w:p>
        </w:tc>
        <w:tc>
          <w:tcPr>
            <w:tcW w:w="1206" w:type="dxa"/>
          </w:tcPr>
          <w:p w14:paraId="6D47A0AD" w14:textId="77777777" w:rsidR="00B02873" w:rsidRPr="001F6880" w:rsidRDefault="00B02873" w:rsidP="001F6880">
            <w:pPr>
              <w:pStyle w:val="TablebodyleftFinancialsTables"/>
              <w:jc w:val="right"/>
              <w:rPr>
                <w:b/>
                <w:bCs/>
              </w:rPr>
            </w:pPr>
            <w:r w:rsidRPr="001F6880">
              <w:rPr>
                <w:b/>
                <w:bCs/>
              </w:rPr>
              <w:t>714</w:t>
            </w:r>
          </w:p>
        </w:tc>
        <w:tc>
          <w:tcPr>
            <w:tcW w:w="1207" w:type="dxa"/>
          </w:tcPr>
          <w:p w14:paraId="6FEBF944" w14:textId="77777777" w:rsidR="00B02873" w:rsidRDefault="00B02873" w:rsidP="001F6880">
            <w:pPr>
              <w:pStyle w:val="TablebodyleftFinancialsTables"/>
              <w:jc w:val="right"/>
            </w:pPr>
            <w:r>
              <w:t>10,365</w:t>
            </w:r>
          </w:p>
        </w:tc>
      </w:tr>
      <w:tr w:rsidR="00B02873" w:rsidRPr="00B02873" w14:paraId="60C7BE4F" w14:textId="77777777" w:rsidTr="001F6880">
        <w:tc>
          <w:tcPr>
            <w:tcW w:w="7225" w:type="dxa"/>
          </w:tcPr>
          <w:p w14:paraId="40E611E4" w14:textId="77777777" w:rsidR="00B02873" w:rsidRDefault="00B02873" w:rsidP="001F6880">
            <w:pPr>
              <w:pStyle w:val="TablebodyleftFinancialsTables"/>
            </w:pPr>
            <w:r>
              <w:t>Other miscellaneous income</w:t>
            </w:r>
          </w:p>
        </w:tc>
        <w:tc>
          <w:tcPr>
            <w:tcW w:w="1206" w:type="dxa"/>
          </w:tcPr>
          <w:p w14:paraId="55493916" w14:textId="77777777" w:rsidR="00B02873" w:rsidRPr="001F6880" w:rsidRDefault="00B02873" w:rsidP="001F6880">
            <w:pPr>
              <w:pStyle w:val="TablebodyleftFinancialsTables"/>
              <w:jc w:val="right"/>
              <w:rPr>
                <w:b/>
                <w:bCs/>
              </w:rPr>
            </w:pPr>
            <w:r w:rsidRPr="001F6880">
              <w:rPr>
                <w:b/>
                <w:bCs/>
              </w:rPr>
              <w:t>53,514</w:t>
            </w:r>
          </w:p>
        </w:tc>
        <w:tc>
          <w:tcPr>
            <w:tcW w:w="1207" w:type="dxa"/>
          </w:tcPr>
          <w:p w14:paraId="751FD1FD" w14:textId="77777777" w:rsidR="00B02873" w:rsidRDefault="00B02873" w:rsidP="001F6880">
            <w:pPr>
              <w:pStyle w:val="TablebodyleftFinancialsTables"/>
              <w:jc w:val="right"/>
            </w:pPr>
            <w:r>
              <w:t>26,144</w:t>
            </w:r>
          </w:p>
        </w:tc>
      </w:tr>
      <w:tr w:rsidR="00B02873" w:rsidRPr="00B02873" w14:paraId="2331213D" w14:textId="77777777" w:rsidTr="001F6880">
        <w:tc>
          <w:tcPr>
            <w:tcW w:w="7225" w:type="dxa"/>
          </w:tcPr>
          <w:p w14:paraId="69DCD003" w14:textId="77777777" w:rsidR="00B02873" w:rsidRPr="001F6880" w:rsidRDefault="00B02873" w:rsidP="001F6880">
            <w:pPr>
              <w:pStyle w:val="TablebodyleftFinancialsTables"/>
              <w:rPr>
                <w:b/>
                <w:bCs/>
              </w:rPr>
            </w:pPr>
            <w:r w:rsidRPr="001F6880">
              <w:rPr>
                <w:b/>
                <w:bCs/>
              </w:rPr>
              <w:t>Total other income</w:t>
            </w:r>
          </w:p>
        </w:tc>
        <w:tc>
          <w:tcPr>
            <w:tcW w:w="1206" w:type="dxa"/>
          </w:tcPr>
          <w:p w14:paraId="5724F1D5" w14:textId="77777777" w:rsidR="00B02873" w:rsidRPr="001F6880" w:rsidRDefault="00B02873" w:rsidP="001F6880">
            <w:pPr>
              <w:pStyle w:val="TablebodyleftFinancialsTables"/>
              <w:jc w:val="right"/>
              <w:rPr>
                <w:b/>
                <w:bCs/>
              </w:rPr>
            </w:pPr>
            <w:r w:rsidRPr="001F6880">
              <w:rPr>
                <w:b/>
                <w:bCs/>
              </w:rPr>
              <w:t>54,655</w:t>
            </w:r>
          </w:p>
        </w:tc>
        <w:tc>
          <w:tcPr>
            <w:tcW w:w="1207" w:type="dxa"/>
          </w:tcPr>
          <w:p w14:paraId="3F5E640D" w14:textId="77777777" w:rsidR="00B02873" w:rsidRDefault="00B02873" w:rsidP="001F6880">
            <w:pPr>
              <w:pStyle w:val="TablebodyleftFinancialsTables"/>
              <w:jc w:val="right"/>
            </w:pPr>
            <w:r>
              <w:t>37,000</w:t>
            </w:r>
          </w:p>
        </w:tc>
      </w:tr>
    </w:tbl>
    <w:p w14:paraId="2ED4E4D2" w14:textId="77777777" w:rsidR="00B02873" w:rsidRDefault="00B02873" w:rsidP="00FE198A"/>
    <w:p w14:paraId="385B26F4" w14:textId="56DBADFE" w:rsidR="00B02873" w:rsidRDefault="00B02873" w:rsidP="001F6880">
      <w:pPr>
        <w:pStyle w:val="Heading4"/>
      </w:pPr>
      <w:r>
        <w:lastRenderedPageBreak/>
        <w:t>2.3.6 Initial recognition income from financial instruments</w:t>
      </w:r>
    </w:p>
    <w:tbl>
      <w:tblPr>
        <w:tblStyle w:val="TableGrid"/>
        <w:tblW w:w="9638" w:type="dxa"/>
        <w:tblLayout w:type="fixed"/>
        <w:tblLook w:val="0020" w:firstRow="1" w:lastRow="0" w:firstColumn="0" w:lastColumn="0" w:noHBand="0" w:noVBand="0"/>
      </w:tblPr>
      <w:tblGrid>
        <w:gridCol w:w="7225"/>
        <w:gridCol w:w="1217"/>
        <w:gridCol w:w="1196"/>
      </w:tblGrid>
      <w:tr w:rsidR="00B02873" w:rsidRPr="00B02873" w14:paraId="049EF7B4" w14:textId="77777777" w:rsidTr="009B3AE1">
        <w:trPr>
          <w:cnfStyle w:val="100000000000" w:firstRow="1" w:lastRow="0" w:firstColumn="0" w:lastColumn="0" w:oddVBand="0" w:evenVBand="0" w:oddHBand="0" w:evenHBand="0" w:firstRowFirstColumn="0" w:firstRowLastColumn="0" w:lastRowFirstColumn="0" w:lastRowLastColumn="0"/>
        </w:trPr>
        <w:tc>
          <w:tcPr>
            <w:tcW w:w="7225" w:type="dxa"/>
          </w:tcPr>
          <w:p w14:paraId="1BF2303D" w14:textId="77777777" w:rsidR="00B02873" w:rsidRPr="00B02873" w:rsidRDefault="00B02873" w:rsidP="001F6880">
            <w:pPr>
              <w:pStyle w:val="TableheadingleftFinancialsTables"/>
            </w:pPr>
          </w:p>
        </w:tc>
        <w:tc>
          <w:tcPr>
            <w:tcW w:w="1217" w:type="dxa"/>
          </w:tcPr>
          <w:p w14:paraId="35316695" w14:textId="77777777" w:rsidR="00B02873" w:rsidRPr="001F6880" w:rsidRDefault="00B02873" w:rsidP="001F6880">
            <w:pPr>
              <w:pStyle w:val="TableheadingleftFinancialsTables"/>
              <w:jc w:val="right"/>
            </w:pPr>
            <w:r w:rsidRPr="001F6880">
              <w:t>2022</w:t>
            </w:r>
            <w:r w:rsidRPr="001F6880">
              <w:br/>
              <w:t>$’000</w:t>
            </w:r>
          </w:p>
        </w:tc>
        <w:tc>
          <w:tcPr>
            <w:tcW w:w="1196" w:type="dxa"/>
          </w:tcPr>
          <w:p w14:paraId="4339347A" w14:textId="77777777" w:rsidR="00B02873" w:rsidRDefault="00B02873" w:rsidP="001F6880">
            <w:pPr>
              <w:pStyle w:val="TableheadingleftFinancialsTables"/>
              <w:jc w:val="right"/>
            </w:pPr>
            <w:r>
              <w:t>2021</w:t>
            </w:r>
            <w:r>
              <w:br/>
              <w:t>$’000</w:t>
            </w:r>
          </w:p>
        </w:tc>
      </w:tr>
      <w:tr w:rsidR="001F6880" w:rsidRPr="00B02873" w14:paraId="20BDD32B" w14:textId="77777777" w:rsidTr="009B3AE1">
        <w:tc>
          <w:tcPr>
            <w:tcW w:w="7225" w:type="dxa"/>
          </w:tcPr>
          <w:p w14:paraId="6E55FFC6" w14:textId="77777777" w:rsidR="001F6880" w:rsidRPr="001F6880" w:rsidRDefault="001F6880" w:rsidP="001F6880">
            <w:pPr>
              <w:pStyle w:val="TablebodyleftFinancialsTables"/>
              <w:rPr>
                <w:b/>
                <w:bCs/>
              </w:rPr>
            </w:pPr>
            <w:r w:rsidRPr="001F6880">
              <w:rPr>
                <w:b/>
                <w:bCs/>
              </w:rPr>
              <w:t xml:space="preserve">Initial recognition income from financial instruments </w:t>
            </w:r>
          </w:p>
        </w:tc>
        <w:tc>
          <w:tcPr>
            <w:tcW w:w="1217" w:type="dxa"/>
          </w:tcPr>
          <w:p w14:paraId="7442367A" w14:textId="77777777" w:rsidR="001F6880" w:rsidRPr="001F6880" w:rsidRDefault="001F6880" w:rsidP="001F6880">
            <w:pPr>
              <w:pStyle w:val="TablebodyleftFinancialsTables"/>
              <w:jc w:val="right"/>
              <w:rPr>
                <w:b/>
                <w:bCs/>
              </w:rPr>
            </w:pPr>
          </w:p>
        </w:tc>
        <w:tc>
          <w:tcPr>
            <w:tcW w:w="1196" w:type="dxa"/>
          </w:tcPr>
          <w:p w14:paraId="61915D86" w14:textId="4AA67151" w:rsidR="001F6880" w:rsidRDefault="001F6880" w:rsidP="001F6880">
            <w:pPr>
              <w:pStyle w:val="TablebodyleftFinancialsTables"/>
              <w:jc w:val="right"/>
            </w:pPr>
          </w:p>
        </w:tc>
      </w:tr>
      <w:tr w:rsidR="00B02873" w:rsidRPr="00B02873" w14:paraId="69041470" w14:textId="77777777" w:rsidTr="009B3AE1">
        <w:tc>
          <w:tcPr>
            <w:tcW w:w="7225" w:type="dxa"/>
          </w:tcPr>
          <w:p w14:paraId="2D5AEB45" w14:textId="77777777" w:rsidR="00B02873" w:rsidRDefault="00B02873" w:rsidP="001F6880">
            <w:pPr>
              <w:pStyle w:val="TablebodyleftFinancialsTables"/>
            </w:pPr>
            <w:r>
              <w:t>Initial recognition income from financial instruments</w:t>
            </w:r>
          </w:p>
        </w:tc>
        <w:tc>
          <w:tcPr>
            <w:tcW w:w="1217" w:type="dxa"/>
          </w:tcPr>
          <w:p w14:paraId="140076F5" w14:textId="77777777" w:rsidR="00B02873" w:rsidRPr="001F6880" w:rsidRDefault="00B02873" w:rsidP="001F6880">
            <w:pPr>
              <w:pStyle w:val="TablebodyleftFinancialsTables"/>
              <w:jc w:val="right"/>
              <w:rPr>
                <w:b/>
                <w:bCs/>
              </w:rPr>
            </w:pPr>
            <w:r w:rsidRPr="001F6880">
              <w:rPr>
                <w:b/>
                <w:bCs/>
              </w:rPr>
              <w:t>55,245</w:t>
            </w:r>
          </w:p>
        </w:tc>
        <w:tc>
          <w:tcPr>
            <w:tcW w:w="1196" w:type="dxa"/>
          </w:tcPr>
          <w:p w14:paraId="70E05404" w14:textId="77777777" w:rsidR="00B02873" w:rsidRDefault="00B02873" w:rsidP="001F6880">
            <w:pPr>
              <w:pStyle w:val="TablebodyleftFinancialsTables"/>
              <w:jc w:val="right"/>
            </w:pPr>
            <w:r>
              <w:t>–</w:t>
            </w:r>
          </w:p>
        </w:tc>
      </w:tr>
      <w:tr w:rsidR="00B02873" w:rsidRPr="00B02873" w14:paraId="1E57A278" w14:textId="77777777" w:rsidTr="009B3AE1">
        <w:tc>
          <w:tcPr>
            <w:tcW w:w="7225" w:type="dxa"/>
          </w:tcPr>
          <w:p w14:paraId="5C90F79C" w14:textId="77777777" w:rsidR="00B02873" w:rsidRPr="001F6880" w:rsidRDefault="00B02873" w:rsidP="001F6880">
            <w:pPr>
              <w:pStyle w:val="TablebodyleftFinancialsTables"/>
              <w:rPr>
                <w:b/>
                <w:bCs/>
              </w:rPr>
            </w:pPr>
            <w:r w:rsidRPr="001F6880">
              <w:rPr>
                <w:b/>
                <w:bCs/>
              </w:rPr>
              <w:t>Total initial recognition income from financial instruments</w:t>
            </w:r>
          </w:p>
        </w:tc>
        <w:tc>
          <w:tcPr>
            <w:tcW w:w="1217" w:type="dxa"/>
          </w:tcPr>
          <w:p w14:paraId="4077FD3B" w14:textId="77777777" w:rsidR="00B02873" w:rsidRPr="001F6880" w:rsidRDefault="00B02873" w:rsidP="001F6880">
            <w:pPr>
              <w:pStyle w:val="TablebodyleftFinancialsTables"/>
              <w:jc w:val="right"/>
              <w:rPr>
                <w:b/>
                <w:bCs/>
              </w:rPr>
            </w:pPr>
            <w:r w:rsidRPr="001F6880">
              <w:rPr>
                <w:b/>
                <w:bCs/>
              </w:rPr>
              <w:t>55,245</w:t>
            </w:r>
          </w:p>
        </w:tc>
        <w:tc>
          <w:tcPr>
            <w:tcW w:w="1196" w:type="dxa"/>
          </w:tcPr>
          <w:p w14:paraId="563A86F1" w14:textId="77777777" w:rsidR="00B02873" w:rsidRDefault="00B02873" w:rsidP="001F6880">
            <w:pPr>
              <w:pStyle w:val="TablebodyleftFinancialsTables"/>
              <w:jc w:val="right"/>
            </w:pPr>
            <w:r>
              <w:t>–</w:t>
            </w:r>
          </w:p>
        </w:tc>
      </w:tr>
    </w:tbl>
    <w:p w14:paraId="2300A40C" w14:textId="77777777" w:rsidR="00B02873" w:rsidRDefault="00B02873" w:rsidP="00FE198A"/>
    <w:p w14:paraId="6AA21AA7" w14:textId="6CAE5F1E" w:rsidR="00B02873" w:rsidRDefault="00B02873" w:rsidP="00FE198A">
      <w:pPr>
        <w:rPr>
          <w:spacing w:val="-4"/>
        </w:rPr>
      </w:pPr>
      <w:r>
        <w:rPr>
          <w:spacing w:val="-4"/>
        </w:rPr>
        <w:t xml:space="preserve">The initial recognition income from financial instruments relates to the department’s contracts to support contracts designed to bring forward investment in renewable energy generation to support the achievement of Victoria’s renewable energy targets. </w:t>
      </w:r>
    </w:p>
    <w:p w14:paraId="67E55EA5" w14:textId="77777777" w:rsidR="00B02873" w:rsidRDefault="00B02873" w:rsidP="00FE198A">
      <w:pPr>
        <w:rPr>
          <w:spacing w:val="-4"/>
        </w:rPr>
      </w:pPr>
      <w:r>
        <w:rPr>
          <w:spacing w:val="-4"/>
        </w:rPr>
        <w:t>The financial instruments were initially recognised at fair value on the date on which all contractual obligations under Conditions Precedent are met or the commercial operation commences. The income recognised represents the fair value of the expected future settlements at the initial recognition.</w:t>
      </w:r>
    </w:p>
    <w:p w14:paraId="656CC1F2" w14:textId="7883FD01" w:rsidR="00B02873" w:rsidRDefault="00B02873" w:rsidP="00FE198A">
      <w:pPr>
        <w:rPr>
          <w:spacing w:val="-4"/>
        </w:rPr>
      </w:pPr>
      <w:r>
        <w:rPr>
          <w:spacing w:val="-4"/>
        </w:rPr>
        <w:t>Initial recognition of off-market instruments may be delayed until such point in time when the Department is able to reliably estimate the fair value for those derivatives for which unobservable data inputs are used as part of the valuation techniques.</w:t>
      </w:r>
    </w:p>
    <w:p w14:paraId="1859513C" w14:textId="77777777" w:rsidR="00B02873" w:rsidRDefault="00B02873" w:rsidP="00FE198A">
      <w:r>
        <w:rPr>
          <w:spacing w:val="-4"/>
        </w:rPr>
        <w:t>The department’s policy in managing the risks inherent in these arrangements is disclosed in Note 6.2</w:t>
      </w:r>
      <w:r>
        <w:t xml:space="preserve">. </w:t>
      </w:r>
    </w:p>
    <w:p w14:paraId="358E28FD" w14:textId="77777777" w:rsidR="00B02873" w:rsidRDefault="00B02873" w:rsidP="00D21A73">
      <w:pPr>
        <w:pStyle w:val="Heading2Headings"/>
      </w:pPr>
      <w:bookmarkStart w:id="63" w:name="Note_3"/>
      <w:r>
        <w:t>Note 3</w:t>
      </w:r>
      <w:bookmarkEnd w:id="63"/>
      <w:r>
        <w:t>. The cost of delivering services</w:t>
      </w:r>
    </w:p>
    <w:p w14:paraId="29C7429C" w14:textId="77777777" w:rsidR="00B02873" w:rsidRDefault="00B02873" w:rsidP="001F6880">
      <w:pPr>
        <w:pStyle w:val="Heading3"/>
      </w:pPr>
      <w:r>
        <w:t>Introduction</w:t>
      </w:r>
    </w:p>
    <w:p w14:paraId="5C532633" w14:textId="51979F3B" w:rsidR="00B02873" w:rsidRDefault="00B02873" w:rsidP="00FE198A">
      <w:r>
        <w:t>This section provides an account of the expenses incurred by the department in delivering services and outputs.</w:t>
      </w:r>
      <w:r w:rsidR="00012C04">
        <w:t xml:space="preserve"> </w:t>
      </w:r>
      <w:r>
        <w:t>In Note 2, the funds that enable the provision of services were disclosed and in this note the cost associated with provision of services are recorded. Note 4 discloses aggregated information in relation to the income and expenses by output.</w:t>
      </w:r>
    </w:p>
    <w:p w14:paraId="37217D9D" w14:textId="77777777" w:rsidR="00B02873" w:rsidRDefault="00B02873" w:rsidP="001F6880">
      <w:pPr>
        <w:pStyle w:val="Heading3"/>
      </w:pPr>
      <w:r>
        <w:t xml:space="preserve">Structure </w:t>
      </w:r>
    </w:p>
    <w:p w14:paraId="1ADCC395" w14:textId="348FCDEB" w:rsidR="00B02873" w:rsidRDefault="00B02873" w:rsidP="005C11BD">
      <w:pPr>
        <w:tabs>
          <w:tab w:val="left" w:pos="567"/>
          <w:tab w:val="left" w:pos="1134"/>
        </w:tabs>
      </w:pPr>
      <w:r>
        <w:t>3.1</w:t>
      </w:r>
      <w:r>
        <w:tab/>
        <w:t>Expenses incurred in delivering of services</w:t>
      </w:r>
    </w:p>
    <w:p w14:paraId="2247F2EA" w14:textId="0BDB9048" w:rsidR="00B02873" w:rsidRDefault="00B02873" w:rsidP="005C11BD">
      <w:pPr>
        <w:tabs>
          <w:tab w:val="left" w:pos="567"/>
          <w:tab w:val="left" w:pos="1134"/>
        </w:tabs>
        <w:ind w:left="567"/>
      </w:pPr>
      <w:r>
        <w:t>3.1.1</w:t>
      </w:r>
      <w:r>
        <w:tab/>
        <w:t>Employee benefits in the comprehensive operating statement</w:t>
      </w:r>
    </w:p>
    <w:p w14:paraId="3D3EAEEF" w14:textId="77777777" w:rsidR="00B02873" w:rsidRDefault="00B02873" w:rsidP="005C11BD">
      <w:pPr>
        <w:tabs>
          <w:tab w:val="left" w:pos="567"/>
          <w:tab w:val="left" w:pos="1134"/>
        </w:tabs>
        <w:ind w:left="567"/>
      </w:pPr>
      <w:r>
        <w:t>3.1.2</w:t>
      </w:r>
      <w:r>
        <w:tab/>
        <w:t>Grants and other transfers</w:t>
      </w:r>
    </w:p>
    <w:p w14:paraId="28C9DBF2" w14:textId="77777777" w:rsidR="00B02873" w:rsidRDefault="00B02873" w:rsidP="005C11BD">
      <w:pPr>
        <w:tabs>
          <w:tab w:val="left" w:pos="567"/>
          <w:tab w:val="left" w:pos="1134"/>
        </w:tabs>
        <w:ind w:left="567"/>
      </w:pPr>
      <w:r>
        <w:t>3.1.3</w:t>
      </w:r>
      <w:r>
        <w:tab/>
        <w:t>Capital asset charge</w:t>
      </w:r>
    </w:p>
    <w:p w14:paraId="63079393" w14:textId="77777777" w:rsidR="00B02873" w:rsidRDefault="00B02873" w:rsidP="005C11BD">
      <w:pPr>
        <w:tabs>
          <w:tab w:val="left" w:pos="567"/>
          <w:tab w:val="left" w:pos="1134"/>
        </w:tabs>
        <w:ind w:left="567"/>
      </w:pPr>
      <w:r>
        <w:t>3.1.4</w:t>
      </w:r>
      <w:r>
        <w:tab/>
        <w:t>Supplies and services</w:t>
      </w:r>
    </w:p>
    <w:p w14:paraId="34B5653D" w14:textId="77777777" w:rsidR="00B02873" w:rsidRDefault="00B02873" w:rsidP="005C11BD">
      <w:pPr>
        <w:tabs>
          <w:tab w:val="left" w:pos="567"/>
          <w:tab w:val="left" w:pos="1134"/>
        </w:tabs>
        <w:ind w:left="567"/>
      </w:pPr>
      <w:r>
        <w:t>3.1.5</w:t>
      </w:r>
      <w:r>
        <w:tab/>
        <w:t>Initial recognition expense from financial instruments</w:t>
      </w:r>
    </w:p>
    <w:p w14:paraId="2DF9B226" w14:textId="77777777" w:rsidR="00B02873" w:rsidRDefault="00B02873" w:rsidP="005C11BD">
      <w:pPr>
        <w:pStyle w:val="Heading3"/>
      </w:pPr>
      <w:r>
        <w:t>3.1 Expenses incurred in delivering of services</w:t>
      </w:r>
    </w:p>
    <w:p w14:paraId="5F341F3D" w14:textId="77777777" w:rsidR="00B02873" w:rsidRDefault="00B02873" w:rsidP="005C11BD">
      <w:pPr>
        <w:pStyle w:val="Heading4"/>
      </w:pPr>
      <w:bookmarkStart w:id="64" w:name="_Ref116976046"/>
      <w:r>
        <w:t>3.1.1 Employee benefits in the comprehensive operating statement</w:t>
      </w:r>
      <w:bookmarkEnd w:id="64"/>
    </w:p>
    <w:tbl>
      <w:tblPr>
        <w:tblStyle w:val="TableGrid"/>
        <w:tblW w:w="0" w:type="auto"/>
        <w:tblLayout w:type="fixed"/>
        <w:tblLook w:val="0020" w:firstRow="1" w:lastRow="0" w:firstColumn="0" w:lastColumn="0" w:noHBand="0" w:noVBand="0"/>
      </w:tblPr>
      <w:tblGrid>
        <w:gridCol w:w="7257"/>
        <w:gridCol w:w="1190"/>
        <w:gridCol w:w="1191"/>
      </w:tblGrid>
      <w:tr w:rsidR="00B02873" w:rsidRPr="005C11BD" w14:paraId="1CD3B1D2" w14:textId="77777777" w:rsidTr="005C11BD">
        <w:trPr>
          <w:cnfStyle w:val="100000000000" w:firstRow="1" w:lastRow="0" w:firstColumn="0" w:lastColumn="0" w:oddVBand="0" w:evenVBand="0" w:oddHBand="0" w:evenHBand="0" w:firstRowFirstColumn="0" w:firstRowLastColumn="0" w:lastRowFirstColumn="0" w:lastRowLastColumn="0"/>
          <w:trHeight w:val="60"/>
          <w:tblHeader/>
        </w:trPr>
        <w:tc>
          <w:tcPr>
            <w:tcW w:w="7257" w:type="dxa"/>
          </w:tcPr>
          <w:p w14:paraId="6D9F5347" w14:textId="77777777" w:rsidR="00B02873" w:rsidRPr="005C11BD" w:rsidRDefault="00B02873" w:rsidP="005C11BD">
            <w:pPr>
              <w:pStyle w:val="TableheadingleftFinancialsTables"/>
              <w:rPr>
                <w:rFonts w:cs="Arial"/>
              </w:rPr>
            </w:pPr>
          </w:p>
        </w:tc>
        <w:tc>
          <w:tcPr>
            <w:tcW w:w="1190" w:type="dxa"/>
          </w:tcPr>
          <w:p w14:paraId="144ACF1F" w14:textId="77777777" w:rsidR="00B02873" w:rsidRPr="005C11BD" w:rsidRDefault="00B02873" w:rsidP="005C11BD">
            <w:pPr>
              <w:pStyle w:val="TableheadingleftFinancialsTables"/>
              <w:jc w:val="right"/>
              <w:rPr>
                <w:rFonts w:cs="Arial"/>
              </w:rPr>
            </w:pPr>
            <w:r w:rsidRPr="005C11BD">
              <w:rPr>
                <w:rFonts w:cs="Arial"/>
              </w:rPr>
              <w:t>2022</w:t>
            </w:r>
            <w:r w:rsidRPr="005C11BD">
              <w:rPr>
                <w:rFonts w:cs="Arial"/>
              </w:rPr>
              <w:br/>
              <w:t>$’000</w:t>
            </w:r>
          </w:p>
        </w:tc>
        <w:tc>
          <w:tcPr>
            <w:tcW w:w="1191" w:type="dxa"/>
          </w:tcPr>
          <w:p w14:paraId="14F88359" w14:textId="77777777" w:rsidR="00B02873" w:rsidRPr="005C11BD" w:rsidRDefault="00B02873" w:rsidP="005C11BD">
            <w:pPr>
              <w:pStyle w:val="TableheadingleftFinancialsTables"/>
              <w:jc w:val="right"/>
              <w:rPr>
                <w:rFonts w:cs="Arial"/>
              </w:rPr>
            </w:pPr>
            <w:r w:rsidRPr="005C11BD">
              <w:rPr>
                <w:rFonts w:cs="Arial"/>
              </w:rPr>
              <w:t>2021</w:t>
            </w:r>
            <w:r w:rsidRPr="005C11BD">
              <w:rPr>
                <w:rFonts w:cs="Arial"/>
              </w:rPr>
              <w:br/>
              <w:t>$’000</w:t>
            </w:r>
          </w:p>
        </w:tc>
      </w:tr>
      <w:tr w:rsidR="00B02873" w:rsidRPr="005C11BD" w14:paraId="18CCE7D5" w14:textId="77777777" w:rsidTr="005C11BD">
        <w:trPr>
          <w:trHeight w:val="60"/>
        </w:trPr>
        <w:tc>
          <w:tcPr>
            <w:tcW w:w="7257" w:type="dxa"/>
          </w:tcPr>
          <w:p w14:paraId="00597985" w14:textId="77777777" w:rsidR="00B02873" w:rsidRPr="005C11BD" w:rsidRDefault="00B02873" w:rsidP="005C11BD">
            <w:pPr>
              <w:pStyle w:val="TablebodyleftFinancialsTables"/>
              <w:rPr>
                <w:rFonts w:cs="Arial"/>
                <w:b/>
                <w:bCs/>
              </w:rPr>
            </w:pPr>
            <w:r w:rsidRPr="005C11BD">
              <w:rPr>
                <w:rFonts w:cs="Arial"/>
                <w:b/>
                <w:bCs/>
              </w:rPr>
              <w:t>Employee expenses</w:t>
            </w:r>
          </w:p>
        </w:tc>
        <w:tc>
          <w:tcPr>
            <w:tcW w:w="1190" w:type="dxa"/>
          </w:tcPr>
          <w:p w14:paraId="03978796" w14:textId="77777777" w:rsidR="00B02873" w:rsidRPr="005C11BD" w:rsidRDefault="00B02873" w:rsidP="005C11BD">
            <w:pPr>
              <w:pStyle w:val="TablebodyleftFinancialsTables"/>
              <w:jc w:val="right"/>
              <w:rPr>
                <w:rFonts w:cs="Arial"/>
                <w:b/>
                <w:bCs/>
              </w:rPr>
            </w:pPr>
          </w:p>
        </w:tc>
        <w:tc>
          <w:tcPr>
            <w:tcW w:w="1191" w:type="dxa"/>
          </w:tcPr>
          <w:p w14:paraId="673935AC" w14:textId="77777777" w:rsidR="00B02873" w:rsidRPr="005C11BD" w:rsidRDefault="00B02873" w:rsidP="005C11BD">
            <w:pPr>
              <w:pStyle w:val="TablebodyleftFinancialsTables"/>
              <w:jc w:val="right"/>
              <w:rPr>
                <w:rFonts w:cs="Arial"/>
              </w:rPr>
            </w:pPr>
          </w:p>
        </w:tc>
      </w:tr>
      <w:tr w:rsidR="00B02873" w:rsidRPr="005C11BD" w14:paraId="72FD1444" w14:textId="77777777" w:rsidTr="005C11BD">
        <w:trPr>
          <w:trHeight w:val="60"/>
        </w:trPr>
        <w:tc>
          <w:tcPr>
            <w:tcW w:w="7257" w:type="dxa"/>
          </w:tcPr>
          <w:p w14:paraId="07E689A2" w14:textId="77777777" w:rsidR="00B02873" w:rsidRPr="005C11BD" w:rsidRDefault="00B02873" w:rsidP="005C11BD">
            <w:pPr>
              <w:pStyle w:val="TablebodyleftFinancialsTables"/>
              <w:rPr>
                <w:rFonts w:cs="Arial"/>
              </w:rPr>
            </w:pPr>
            <w:r w:rsidRPr="005C11BD">
              <w:rPr>
                <w:rFonts w:cs="Arial"/>
              </w:rPr>
              <w:t>Salaries and wages</w:t>
            </w:r>
          </w:p>
        </w:tc>
        <w:tc>
          <w:tcPr>
            <w:tcW w:w="1190" w:type="dxa"/>
          </w:tcPr>
          <w:p w14:paraId="323AC89F" w14:textId="77777777" w:rsidR="00B02873" w:rsidRPr="005C11BD" w:rsidRDefault="00B02873" w:rsidP="005C11BD">
            <w:pPr>
              <w:pStyle w:val="TablebodyleftFinancialsTables"/>
              <w:jc w:val="right"/>
              <w:rPr>
                <w:rFonts w:cs="Arial"/>
                <w:b/>
                <w:bCs/>
              </w:rPr>
            </w:pPr>
            <w:r w:rsidRPr="005C11BD">
              <w:rPr>
                <w:rFonts w:cs="Arial"/>
                <w:b/>
                <w:bCs/>
              </w:rPr>
              <w:t>(510,074)</w:t>
            </w:r>
          </w:p>
        </w:tc>
        <w:tc>
          <w:tcPr>
            <w:tcW w:w="1191" w:type="dxa"/>
          </w:tcPr>
          <w:p w14:paraId="142F3B27" w14:textId="77777777" w:rsidR="00B02873" w:rsidRPr="005C11BD" w:rsidRDefault="00B02873" w:rsidP="005C11BD">
            <w:pPr>
              <w:pStyle w:val="TablebodyleftFinancialsTables"/>
              <w:jc w:val="right"/>
              <w:rPr>
                <w:rFonts w:cs="Arial"/>
              </w:rPr>
            </w:pPr>
            <w:r w:rsidRPr="005C11BD">
              <w:rPr>
                <w:rFonts w:cs="Arial"/>
              </w:rPr>
              <w:t>(462,330)</w:t>
            </w:r>
          </w:p>
        </w:tc>
      </w:tr>
      <w:tr w:rsidR="00B02873" w:rsidRPr="005C11BD" w14:paraId="43B7EA8C" w14:textId="77777777" w:rsidTr="005C11BD">
        <w:trPr>
          <w:trHeight w:val="60"/>
        </w:trPr>
        <w:tc>
          <w:tcPr>
            <w:tcW w:w="7257" w:type="dxa"/>
          </w:tcPr>
          <w:p w14:paraId="71FF7162" w14:textId="77777777" w:rsidR="00B02873" w:rsidRPr="005C11BD" w:rsidRDefault="00B02873" w:rsidP="005C11BD">
            <w:pPr>
              <w:pStyle w:val="TablebodyleftFinancialsTables"/>
              <w:rPr>
                <w:rFonts w:cs="Arial"/>
              </w:rPr>
            </w:pPr>
            <w:r w:rsidRPr="005C11BD">
              <w:rPr>
                <w:rFonts w:cs="Arial"/>
              </w:rPr>
              <w:t>Defined contribution superannuation expense</w:t>
            </w:r>
          </w:p>
        </w:tc>
        <w:tc>
          <w:tcPr>
            <w:tcW w:w="1190" w:type="dxa"/>
          </w:tcPr>
          <w:p w14:paraId="6FADA007" w14:textId="77777777" w:rsidR="00B02873" w:rsidRPr="005C11BD" w:rsidRDefault="00B02873" w:rsidP="005C11BD">
            <w:pPr>
              <w:pStyle w:val="TablebodyleftFinancialsTables"/>
              <w:jc w:val="right"/>
              <w:rPr>
                <w:rFonts w:cs="Arial"/>
                <w:b/>
                <w:bCs/>
              </w:rPr>
            </w:pPr>
            <w:r w:rsidRPr="005C11BD">
              <w:rPr>
                <w:rFonts w:cs="Arial"/>
                <w:b/>
                <w:bCs/>
              </w:rPr>
              <w:t>(56,668)</w:t>
            </w:r>
          </w:p>
        </w:tc>
        <w:tc>
          <w:tcPr>
            <w:tcW w:w="1191" w:type="dxa"/>
          </w:tcPr>
          <w:p w14:paraId="72E12E3E" w14:textId="77777777" w:rsidR="00B02873" w:rsidRPr="005C11BD" w:rsidRDefault="00B02873" w:rsidP="005C11BD">
            <w:pPr>
              <w:pStyle w:val="TablebodyleftFinancialsTables"/>
              <w:jc w:val="right"/>
              <w:rPr>
                <w:rFonts w:cs="Arial"/>
              </w:rPr>
            </w:pPr>
            <w:r w:rsidRPr="005C11BD">
              <w:rPr>
                <w:rFonts w:cs="Arial"/>
              </w:rPr>
              <w:t>(49,991)</w:t>
            </w:r>
          </w:p>
        </w:tc>
      </w:tr>
      <w:tr w:rsidR="00B02873" w:rsidRPr="005C11BD" w14:paraId="2F6B1E86" w14:textId="77777777" w:rsidTr="005C11BD">
        <w:trPr>
          <w:trHeight w:val="60"/>
        </w:trPr>
        <w:tc>
          <w:tcPr>
            <w:tcW w:w="7257" w:type="dxa"/>
          </w:tcPr>
          <w:p w14:paraId="01ADD79A" w14:textId="77777777" w:rsidR="00B02873" w:rsidRPr="005C11BD" w:rsidRDefault="00B02873" w:rsidP="005C11BD">
            <w:pPr>
              <w:pStyle w:val="TablebodyleftFinancialsTables"/>
              <w:rPr>
                <w:rFonts w:cs="Arial"/>
              </w:rPr>
            </w:pPr>
            <w:r w:rsidRPr="005C11BD">
              <w:rPr>
                <w:rFonts w:cs="Arial"/>
              </w:rPr>
              <w:lastRenderedPageBreak/>
              <w:t>Defined benefit superannuation expense</w:t>
            </w:r>
          </w:p>
        </w:tc>
        <w:tc>
          <w:tcPr>
            <w:tcW w:w="1190" w:type="dxa"/>
          </w:tcPr>
          <w:p w14:paraId="0534E127" w14:textId="77777777" w:rsidR="00B02873" w:rsidRPr="005C11BD" w:rsidRDefault="00B02873" w:rsidP="005C11BD">
            <w:pPr>
              <w:pStyle w:val="TablebodyleftFinancialsTables"/>
              <w:jc w:val="right"/>
              <w:rPr>
                <w:rFonts w:cs="Arial"/>
                <w:b/>
                <w:bCs/>
              </w:rPr>
            </w:pPr>
            <w:r w:rsidRPr="005C11BD">
              <w:rPr>
                <w:rFonts w:cs="Arial"/>
                <w:b/>
                <w:bCs/>
              </w:rPr>
              <w:t>(3,959)</w:t>
            </w:r>
          </w:p>
        </w:tc>
        <w:tc>
          <w:tcPr>
            <w:tcW w:w="1191" w:type="dxa"/>
          </w:tcPr>
          <w:p w14:paraId="58AE3D1B" w14:textId="77777777" w:rsidR="00B02873" w:rsidRPr="005C11BD" w:rsidRDefault="00B02873" w:rsidP="005C11BD">
            <w:pPr>
              <w:pStyle w:val="TablebodyleftFinancialsTables"/>
              <w:jc w:val="right"/>
              <w:rPr>
                <w:rFonts w:cs="Arial"/>
              </w:rPr>
            </w:pPr>
            <w:r w:rsidRPr="005C11BD">
              <w:rPr>
                <w:rFonts w:cs="Arial"/>
              </w:rPr>
              <w:t>(4,492)</w:t>
            </w:r>
          </w:p>
        </w:tc>
      </w:tr>
      <w:tr w:rsidR="00B02873" w:rsidRPr="005C11BD" w14:paraId="4C81AF73" w14:textId="77777777" w:rsidTr="005C11BD">
        <w:trPr>
          <w:trHeight w:val="60"/>
        </w:trPr>
        <w:tc>
          <w:tcPr>
            <w:tcW w:w="7257" w:type="dxa"/>
          </w:tcPr>
          <w:p w14:paraId="3B7ED08C" w14:textId="77777777" w:rsidR="00B02873" w:rsidRPr="005C11BD" w:rsidRDefault="00B02873" w:rsidP="005C11BD">
            <w:pPr>
              <w:pStyle w:val="TablebodyleftFinancialsTables"/>
              <w:rPr>
                <w:rFonts w:cs="Arial"/>
              </w:rPr>
            </w:pPr>
            <w:r w:rsidRPr="005C11BD">
              <w:rPr>
                <w:rFonts w:cs="Arial"/>
              </w:rPr>
              <w:t>Termination benefits</w:t>
            </w:r>
          </w:p>
        </w:tc>
        <w:tc>
          <w:tcPr>
            <w:tcW w:w="1190" w:type="dxa"/>
          </w:tcPr>
          <w:p w14:paraId="0B136AD9" w14:textId="77777777" w:rsidR="00B02873" w:rsidRPr="005C11BD" w:rsidRDefault="00B02873" w:rsidP="005C11BD">
            <w:pPr>
              <w:pStyle w:val="TablebodyleftFinancialsTables"/>
              <w:jc w:val="right"/>
              <w:rPr>
                <w:rFonts w:cs="Arial"/>
                <w:b/>
                <w:bCs/>
              </w:rPr>
            </w:pPr>
            <w:r w:rsidRPr="005C11BD">
              <w:rPr>
                <w:rFonts w:cs="Arial"/>
                <w:b/>
                <w:bCs/>
              </w:rPr>
              <w:t>(9,853)</w:t>
            </w:r>
          </w:p>
        </w:tc>
        <w:tc>
          <w:tcPr>
            <w:tcW w:w="1191" w:type="dxa"/>
          </w:tcPr>
          <w:p w14:paraId="02F6AE19" w14:textId="77777777" w:rsidR="00B02873" w:rsidRPr="005C11BD" w:rsidRDefault="00B02873" w:rsidP="005C11BD">
            <w:pPr>
              <w:pStyle w:val="TablebodyleftFinancialsTables"/>
              <w:jc w:val="right"/>
              <w:rPr>
                <w:rFonts w:cs="Arial"/>
              </w:rPr>
            </w:pPr>
            <w:r w:rsidRPr="005C11BD">
              <w:rPr>
                <w:rFonts w:cs="Arial"/>
              </w:rPr>
              <w:t>(344)</w:t>
            </w:r>
          </w:p>
        </w:tc>
      </w:tr>
      <w:tr w:rsidR="00B02873" w:rsidRPr="005C11BD" w14:paraId="229ED6D4" w14:textId="77777777" w:rsidTr="005C11BD">
        <w:trPr>
          <w:trHeight w:val="60"/>
        </w:trPr>
        <w:tc>
          <w:tcPr>
            <w:tcW w:w="7257" w:type="dxa"/>
          </w:tcPr>
          <w:p w14:paraId="2634BBBA" w14:textId="77777777" w:rsidR="00B02873" w:rsidRPr="005C11BD" w:rsidRDefault="00B02873" w:rsidP="005C11BD">
            <w:pPr>
              <w:pStyle w:val="TablebodyleftFinancialsTables"/>
              <w:rPr>
                <w:rFonts w:cs="Arial"/>
              </w:rPr>
            </w:pPr>
            <w:r w:rsidRPr="005C11BD">
              <w:rPr>
                <w:rFonts w:cs="Arial"/>
              </w:rPr>
              <w:t>Leave expenses (annual leave and long service leave)</w:t>
            </w:r>
          </w:p>
        </w:tc>
        <w:tc>
          <w:tcPr>
            <w:tcW w:w="1190" w:type="dxa"/>
          </w:tcPr>
          <w:p w14:paraId="50129D18" w14:textId="77777777" w:rsidR="00B02873" w:rsidRPr="005C11BD" w:rsidRDefault="00B02873" w:rsidP="005C11BD">
            <w:pPr>
              <w:pStyle w:val="TablebodyleftFinancialsTables"/>
              <w:jc w:val="right"/>
              <w:rPr>
                <w:rFonts w:cs="Arial"/>
                <w:b/>
                <w:bCs/>
              </w:rPr>
            </w:pPr>
            <w:r w:rsidRPr="005C11BD">
              <w:rPr>
                <w:rFonts w:cs="Arial"/>
                <w:b/>
                <w:bCs/>
              </w:rPr>
              <w:t>(89,817)</w:t>
            </w:r>
          </w:p>
        </w:tc>
        <w:tc>
          <w:tcPr>
            <w:tcW w:w="1191" w:type="dxa"/>
          </w:tcPr>
          <w:p w14:paraId="75218957" w14:textId="77777777" w:rsidR="00B02873" w:rsidRPr="005C11BD" w:rsidRDefault="00B02873" w:rsidP="005C11BD">
            <w:pPr>
              <w:pStyle w:val="TablebodyleftFinancialsTables"/>
              <w:jc w:val="right"/>
              <w:rPr>
                <w:rFonts w:cs="Arial"/>
              </w:rPr>
            </w:pPr>
            <w:r w:rsidRPr="005C11BD">
              <w:rPr>
                <w:rFonts w:cs="Arial"/>
              </w:rPr>
              <w:t>(70,615)</w:t>
            </w:r>
          </w:p>
        </w:tc>
      </w:tr>
      <w:tr w:rsidR="00B02873" w:rsidRPr="005C11BD" w14:paraId="3E631395" w14:textId="77777777" w:rsidTr="005C11BD">
        <w:trPr>
          <w:trHeight w:val="60"/>
        </w:trPr>
        <w:tc>
          <w:tcPr>
            <w:tcW w:w="7257" w:type="dxa"/>
          </w:tcPr>
          <w:p w14:paraId="42A43F2F" w14:textId="77777777" w:rsidR="00B02873" w:rsidRPr="005C11BD" w:rsidRDefault="00B02873" w:rsidP="005C11BD">
            <w:pPr>
              <w:pStyle w:val="TablebodyleftFinancialsTables"/>
              <w:rPr>
                <w:rFonts w:cs="Arial"/>
              </w:rPr>
            </w:pPr>
            <w:r w:rsidRPr="005C11BD">
              <w:rPr>
                <w:rFonts w:cs="Arial"/>
              </w:rPr>
              <w:t>Other on-costs (fringe benefits tax, payroll tax and WorkCover levy)</w:t>
            </w:r>
          </w:p>
        </w:tc>
        <w:tc>
          <w:tcPr>
            <w:tcW w:w="1190" w:type="dxa"/>
          </w:tcPr>
          <w:p w14:paraId="3218C272" w14:textId="77777777" w:rsidR="00B02873" w:rsidRPr="005C11BD" w:rsidRDefault="00B02873" w:rsidP="005C11BD">
            <w:pPr>
              <w:pStyle w:val="TablebodyleftFinancialsTables"/>
              <w:jc w:val="right"/>
              <w:rPr>
                <w:rFonts w:cs="Arial"/>
                <w:b/>
                <w:bCs/>
              </w:rPr>
            </w:pPr>
            <w:r w:rsidRPr="005C11BD">
              <w:rPr>
                <w:rFonts w:cs="Arial"/>
                <w:b/>
                <w:bCs/>
              </w:rPr>
              <w:t>(38,337)</w:t>
            </w:r>
          </w:p>
        </w:tc>
        <w:tc>
          <w:tcPr>
            <w:tcW w:w="1191" w:type="dxa"/>
          </w:tcPr>
          <w:p w14:paraId="7AE8571E" w14:textId="77777777" w:rsidR="00B02873" w:rsidRPr="005C11BD" w:rsidRDefault="00B02873" w:rsidP="005C11BD">
            <w:pPr>
              <w:pStyle w:val="TablebodyleftFinancialsTables"/>
              <w:jc w:val="right"/>
              <w:rPr>
                <w:rFonts w:cs="Arial"/>
              </w:rPr>
            </w:pPr>
            <w:r w:rsidRPr="005C11BD">
              <w:rPr>
                <w:rFonts w:cs="Arial"/>
              </w:rPr>
              <w:t>(38,097)</w:t>
            </w:r>
          </w:p>
        </w:tc>
      </w:tr>
      <w:tr w:rsidR="00B02873" w:rsidRPr="005C11BD" w14:paraId="6E59A2A3" w14:textId="77777777" w:rsidTr="005C11BD">
        <w:trPr>
          <w:trHeight w:val="60"/>
        </w:trPr>
        <w:tc>
          <w:tcPr>
            <w:tcW w:w="7257" w:type="dxa"/>
          </w:tcPr>
          <w:p w14:paraId="79F3145E" w14:textId="77777777" w:rsidR="00B02873" w:rsidRPr="005C11BD" w:rsidRDefault="00B02873" w:rsidP="005C11BD">
            <w:pPr>
              <w:pStyle w:val="TablebodyleftFinancialsTables"/>
              <w:rPr>
                <w:rFonts w:cs="Arial"/>
                <w:b/>
                <w:bCs/>
              </w:rPr>
            </w:pPr>
            <w:r w:rsidRPr="005C11BD">
              <w:rPr>
                <w:rFonts w:cs="Arial"/>
                <w:b/>
                <w:bCs/>
              </w:rPr>
              <w:t>Total employee expenses</w:t>
            </w:r>
          </w:p>
        </w:tc>
        <w:tc>
          <w:tcPr>
            <w:tcW w:w="1190" w:type="dxa"/>
          </w:tcPr>
          <w:p w14:paraId="7D6140CC" w14:textId="77777777" w:rsidR="00B02873" w:rsidRPr="005C11BD" w:rsidRDefault="00B02873" w:rsidP="005C11BD">
            <w:pPr>
              <w:pStyle w:val="TablebodyleftFinancialsTables"/>
              <w:jc w:val="right"/>
              <w:rPr>
                <w:rFonts w:cs="Arial"/>
                <w:b/>
                <w:bCs/>
              </w:rPr>
            </w:pPr>
            <w:r w:rsidRPr="005C11BD">
              <w:rPr>
                <w:rFonts w:cs="Arial"/>
                <w:b/>
                <w:bCs/>
              </w:rPr>
              <w:t>(708,708)</w:t>
            </w:r>
          </w:p>
        </w:tc>
        <w:tc>
          <w:tcPr>
            <w:tcW w:w="1191" w:type="dxa"/>
          </w:tcPr>
          <w:p w14:paraId="16FFCC9F" w14:textId="77777777" w:rsidR="00B02873" w:rsidRPr="005C11BD" w:rsidRDefault="00B02873" w:rsidP="005C11BD">
            <w:pPr>
              <w:pStyle w:val="TablebodyleftFinancialsTables"/>
              <w:jc w:val="right"/>
              <w:rPr>
                <w:rFonts w:cs="Arial"/>
              </w:rPr>
            </w:pPr>
            <w:r w:rsidRPr="005C11BD">
              <w:rPr>
                <w:rFonts w:cs="Arial"/>
              </w:rPr>
              <w:t>(625,869)</w:t>
            </w:r>
          </w:p>
        </w:tc>
      </w:tr>
    </w:tbl>
    <w:p w14:paraId="7FC12DDD" w14:textId="77777777" w:rsidR="00B02873" w:rsidRDefault="00B02873" w:rsidP="00FE198A"/>
    <w:p w14:paraId="310971CB" w14:textId="77777777" w:rsidR="00B02873" w:rsidRDefault="00B02873" w:rsidP="00FE198A">
      <w:r>
        <w:t>Employee expenses include all costs relating to employment including salaries and wages, fringe benefits tax, leave entitlements, termination payments, defined benefit superannuation plans, defined contribution superannuation plans and WorkCover premiums.</w:t>
      </w:r>
    </w:p>
    <w:p w14:paraId="525F51FC" w14:textId="77777777" w:rsidR="00B02873" w:rsidRDefault="00B02873" w:rsidP="00FE198A">
      <w:r>
        <w:t>The amount recognised in the comprehensive operating statement in relation to superannuation is employer contributions for members of both defined benefit and defined contribution superannuation plans that are paid or payable during the reporting period. The department does not recognise any defined benefit liabilities because it has no legal or constructive obligation to pay future benefits relating to its employees. Instead, the Department of Treasury and Finance (DTF) discloses in its annual financial statements the net defined benefit cost related to the members of these plans as an administered liability (on behalf of the state as the sponsoring employer).</w:t>
      </w:r>
    </w:p>
    <w:p w14:paraId="2DD91733" w14:textId="00B185A8" w:rsidR="00B02873" w:rsidRDefault="00B02873" w:rsidP="00FE198A">
      <w:r>
        <w:t xml:space="preserve">Termination benefits are payable when employment is terminated before normal retirement date, or when an employee accepts an offer of benefits in exchange for the termination of employment. The department recognises termination benefits when it is demonstrably committed to either terminating the employment of current employees according to a detailed formal plan without the possibility of withdrawal or providing termination benefits as a result of an offer made to encourage voluntary redundancy. </w:t>
      </w:r>
    </w:p>
    <w:p w14:paraId="7C5BD385" w14:textId="77777777" w:rsidR="00B02873" w:rsidRDefault="00B02873" w:rsidP="005C11BD">
      <w:pPr>
        <w:pStyle w:val="Heading5"/>
      </w:pPr>
      <w:r>
        <w:t>3.1.1 (a) Employee benefits in the balance sheet</w:t>
      </w:r>
    </w:p>
    <w:p w14:paraId="69CE86E8" w14:textId="2BE82816" w:rsidR="00B02873" w:rsidRDefault="00B02873" w:rsidP="00FE198A">
      <w:r>
        <w:t>Provision is made for benefits accruing to employees in respect of wages and salaries, annual leave, fatigue management leave (previously earned emergency recreational leave) and long service leave (LSL) for services rendered to the reporting date and recorded as an expense during the period the services are delivered.</w:t>
      </w:r>
    </w:p>
    <w:tbl>
      <w:tblPr>
        <w:tblStyle w:val="TableGrid"/>
        <w:tblW w:w="0" w:type="auto"/>
        <w:tblLayout w:type="fixed"/>
        <w:tblLook w:val="0020" w:firstRow="1" w:lastRow="0" w:firstColumn="0" w:lastColumn="0" w:noHBand="0" w:noVBand="0"/>
      </w:tblPr>
      <w:tblGrid>
        <w:gridCol w:w="7257"/>
        <w:gridCol w:w="1190"/>
        <w:gridCol w:w="1191"/>
      </w:tblGrid>
      <w:tr w:rsidR="00B02873" w:rsidRPr="005C11BD" w14:paraId="7EC0D652" w14:textId="77777777" w:rsidTr="005C11BD">
        <w:trPr>
          <w:cnfStyle w:val="100000000000" w:firstRow="1" w:lastRow="0" w:firstColumn="0" w:lastColumn="0" w:oddVBand="0" w:evenVBand="0" w:oddHBand="0" w:evenHBand="0" w:firstRowFirstColumn="0" w:firstRowLastColumn="0" w:lastRowFirstColumn="0" w:lastRowLastColumn="0"/>
          <w:tblHeader/>
        </w:trPr>
        <w:tc>
          <w:tcPr>
            <w:tcW w:w="7257" w:type="dxa"/>
          </w:tcPr>
          <w:p w14:paraId="331A5A35" w14:textId="77777777" w:rsidR="00B02873" w:rsidRPr="005C11BD" w:rsidRDefault="00B02873" w:rsidP="005C11BD">
            <w:pPr>
              <w:pStyle w:val="TableheadingleftFinancialsTables"/>
              <w:rPr>
                <w:rFonts w:asciiTheme="minorHAnsi" w:hAnsiTheme="minorHAnsi" w:cstheme="minorHAnsi"/>
              </w:rPr>
            </w:pPr>
          </w:p>
        </w:tc>
        <w:tc>
          <w:tcPr>
            <w:tcW w:w="1190" w:type="dxa"/>
          </w:tcPr>
          <w:p w14:paraId="15037AA0" w14:textId="77777777" w:rsidR="00B02873" w:rsidRPr="005C11BD" w:rsidRDefault="00B02873" w:rsidP="005C11BD">
            <w:pPr>
              <w:pStyle w:val="TableheadingleftFinancialsTables"/>
              <w:jc w:val="right"/>
              <w:rPr>
                <w:rFonts w:asciiTheme="minorHAnsi" w:hAnsiTheme="minorHAnsi" w:cstheme="minorHAnsi"/>
              </w:rPr>
            </w:pPr>
            <w:r w:rsidRPr="005C11BD">
              <w:rPr>
                <w:rFonts w:asciiTheme="minorHAnsi" w:hAnsiTheme="minorHAnsi" w:cstheme="minorHAnsi"/>
              </w:rPr>
              <w:t>2022</w:t>
            </w:r>
            <w:r w:rsidRPr="005C11BD">
              <w:rPr>
                <w:rFonts w:asciiTheme="minorHAnsi" w:hAnsiTheme="minorHAnsi" w:cstheme="minorHAnsi"/>
              </w:rPr>
              <w:br/>
              <w:t>$’000</w:t>
            </w:r>
          </w:p>
        </w:tc>
        <w:tc>
          <w:tcPr>
            <w:tcW w:w="1191" w:type="dxa"/>
          </w:tcPr>
          <w:p w14:paraId="4183F7A9" w14:textId="77777777" w:rsidR="00B02873" w:rsidRPr="005C11BD" w:rsidRDefault="00B02873" w:rsidP="005C11BD">
            <w:pPr>
              <w:pStyle w:val="TableheadingleftFinancialsTables"/>
              <w:jc w:val="right"/>
              <w:rPr>
                <w:rFonts w:asciiTheme="minorHAnsi" w:hAnsiTheme="minorHAnsi" w:cstheme="minorHAnsi"/>
              </w:rPr>
            </w:pPr>
            <w:r w:rsidRPr="005C11BD">
              <w:rPr>
                <w:rFonts w:asciiTheme="minorHAnsi" w:hAnsiTheme="minorHAnsi" w:cstheme="minorHAnsi"/>
              </w:rPr>
              <w:t>2021</w:t>
            </w:r>
            <w:r w:rsidRPr="005C11BD">
              <w:rPr>
                <w:rFonts w:asciiTheme="minorHAnsi" w:hAnsiTheme="minorHAnsi" w:cstheme="minorHAnsi"/>
              </w:rPr>
              <w:br/>
              <w:t>$’000</w:t>
            </w:r>
          </w:p>
        </w:tc>
      </w:tr>
      <w:tr w:rsidR="00B02873" w:rsidRPr="005C11BD" w14:paraId="3CDF6462" w14:textId="77777777" w:rsidTr="005C11BD">
        <w:tc>
          <w:tcPr>
            <w:tcW w:w="7257" w:type="dxa"/>
          </w:tcPr>
          <w:p w14:paraId="46EB1661" w14:textId="77777777" w:rsidR="00B02873" w:rsidRPr="00D93683" w:rsidRDefault="00B02873" w:rsidP="005C11BD">
            <w:pPr>
              <w:pStyle w:val="TablebodyleftFinancialsTables"/>
              <w:rPr>
                <w:rFonts w:asciiTheme="minorHAnsi" w:hAnsiTheme="minorHAnsi" w:cstheme="minorHAnsi"/>
                <w:b/>
                <w:bCs/>
              </w:rPr>
            </w:pPr>
            <w:r w:rsidRPr="00D93683">
              <w:rPr>
                <w:rFonts w:asciiTheme="minorHAnsi" w:hAnsiTheme="minorHAnsi" w:cstheme="minorHAnsi"/>
                <w:b/>
                <w:bCs/>
              </w:rPr>
              <w:t xml:space="preserve">Current provision for employee benefits </w:t>
            </w:r>
          </w:p>
        </w:tc>
        <w:tc>
          <w:tcPr>
            <w:tcW w:w="1190" w:type="dxa"/>
          </w:tcPr>
          <w:p w14:paraId="43C65431" w14:textId="77777777" w:rsidR="00B02873" w:rsidRPr="005C11BD" w:rsidRDefault="00B02873" w:rsidP="005C11BD">
            <w:pPr>
              <w:pStyle w:val="TablebodyleftFinancialsTables"/>
              <w:jc w:val="right"/>
              <w:rPr>
                <w:rFonts w:asciiTheme="minorHAnsi" w:hAnsiTheme="minorHAnsi" w:cstheme="minorHAnsi"/>
                <w:b/>
                <w:bCs/>
              </w:rPr>
            </w:pPr>
          </w:p>
        </w:tc>
        <w:tc>
          <w:tcPr>
            <w:tcW w:w="1191" w:type="dxa"/>
          </w:tcPr>
          <w:p w14:paraId="2A98A42F" w14:textId="77777777" w:rsidR="00B02873" w:rsidRPr="005C11BD" w:rsidRDefault="00B02873" w:rsidP="005C11BD">
            <w:pPr>
              <w:pStyle w:val="TablebodyleftFinancialsTables"/>
              <w:jc w:val="right"/>
              <w:rPr>
                <w:rFonts w:asciiTheme="minorHAnsi" w:hAnsiTheme="minorHAnsi" w:cstheme="minorHAnsi"/>
              </w:rPr>
            </w:pPr>
          </w:p>
        </w:tc>
      </w:tr>
      <w:tr w:rsidR="00B02873" w:rsidRPr="005C11BD" w14:paraId="2685A8A2" w14:textId="77777777" w:rsidTr="005C11BD">
        <w:tc>
          <w:tcPr>
            <w:tcW w:w="7257" w:type="dxa"/>
          </w:tcPr>
          <w:p w14:paraId="611ADE1D" w14:textId="77777777" w:rsidR="00B02873" w:rsidRPr="00D93683" w:rsidRDefault="00B02873" w:rsidP="005C11BD">
            <w:pPr>
              <w:pStyle w:val="TablebodyleftFinancialsTables"/>
              <w:rPr>
                <w:rFonts w:asciiTheme="minorHAnsi" w:hAnsiTheme="minorHAnsi" w:cstheme="minorHAnsi"/>
                <w:b/>
                <w:bCs/>
              </w:rPr>
            </w:pPr>
            <w:r w:rsidRPr="00D93683">
              <w:rPr>
                <w:rFonts w:asciiTheme="minorHAnsi" w:hAnsiTheme="minorHAnsi" w:cstheme="minorHAnsi"/>
                <w:b/>
                <w:bCs/>
              </w:rPr>
              <w:t>Annual leave</w:t>
            </w:r>
            <w:r w:rsidRPr="00D93683">
              <w:rPr>
                <w:rFonts w:asciiTheme="minorHAnsi" w:hAnsiTheme="minorHAnsi" w:cstheme="minorHAnsi"/>
                <w:b/>
                <w:bCs/>
                <w:vertAlign w:val="superscript"/>
              </w:rPr>
              <w:t xml:space="preserve">(i) </w:t>
            </w:r>
          </w:p>
        </w:tc>
        <w:tc>
          <w:tcPr>
            <w:tcW w:w="1190" w:type="dxa"/>
          </w:tcPr>
          <w:p w14:paraId="5EC7E88F" w14:textId="77777777" w:rsidR="00B02873" w:rsidRPr="005C11BD" w:rsidRDefault="00B02873" w:rsidP="005C11BD">
            <w:pPr>
              <w:pStyle w:val="TablebodyleftFinancialsTables"/>
              <w:jc w:val="right"/>
              <w:rPr>
                <w:rFonts w:asciiTheme="minorHAnsi" w:hAnsiTheme="minorHAnsi" w:cstheme="minorHAnsi"/>
                <w:b/>
                <w:bCs/>
              </w:rPr>
            </w:pPr>
          </w:p>
        </w:tc>
        <w:tc>
          <w:tcPr>
            <w:tcW w:w="1191" w:type="dxa"/>
          </w:tcPr>
          <w:p w14:paraId="3631909D" w14:textId="77777777" w:rsidR="00B02873" w:rsidRPr="005C11BD" w:rsidRDefault="00B02873" w:rsidP="005C11BD">
            <w:pPr>
              <w:pStyle w:val="TablebodyleftFinancialsTables"/>
              <w:jc w:val="right"/>
              <w:rPr>
                <w:rFonts w:asciiTheme="minorHAnsi" w:hAnsiTheme="minorHAnsi" w:cstheme="minorHAnsi"/>
              </w:rPr>
            </w:pPr>
          </w:p>
        </w:tc>
      </w:tr>
      <w:tr w:rsidR="00B02873" w:rsidRPr="005C11BD" w14:paraId="108A2ADB" w14:textId="77777777" w:rsidTr="005C11BD">
        <w:tc>
          <w:tcPr>
            <w:tcW w:w="7257" w:type="dxa"/>
          </w:tcPr>
          <w:p w14:paraId="70A32145" w14:textId="77777777" w:rsidR="00B02873" w:rsidRPr="005C11BD" w:rsidRDefault="00B02873" w:rsidP="005C11BD">
            <w:pPr>
              <w:pStyle w:val="TablebodyleftFinancialsTables"/>
              <w:rPr>
                <w:rFonts w:asciiTheme="minorHAnsi" w:hAnsiTheme="minorHAnsi" w:cstheme="minorHAnsi"/>
              </w:rPr>
            </w:pPr>
            <w:r w:rsidRPr="005C11BD">
              <w:rPr>
                <w:rFonts w:asciiTheme="minorHAnsi" w:hAnsiTheme="minorHAnsi" w:cstheme="minorHAnsi"/>
              </w:rPr>
              <w:t xml:space="preserve">Unconditional and expected to settle within 12 months </w:t>
            </w:r>
          </w:p>
        </w:tc>
        <w:tc>
          <w:tcPr>
            <w:tcW w:w="1190" w:type="dxa"/>
          </w:tcPr>
          <w:p w14:paraId="3D404CC7" w14:textId="77777777" w:rsidR="00B02873" w:rsidRPr="005C11BD" w:rsidRDefault="00B02873" w:rsidP="005C11BD">
            <w:pPr>
              <w:pStyle w:val="TablebodyleftFinancialsTables"/>
              <w:jc w:val="right"/>
              <w:rPr>
                <w:rFonts w:asciiTheme="minorHAnsi" w:hAnsiTheme="minorHAnsi" w:cstheme="minorHAnsi"/>
                <w:b/>
                <w:bCs/>
              </w:rPr>
            </w:pPr>
            <w:r w:rsidRPr="005C11BD">
              <w:rPr>
                <w:rFonts w:asciiTheme="minorHAnsi" w:hAnsiTheme="minorHAnsi" w:cstheme="minorHAnsi"/>
                <w:b/>
                <w:bCs/>
              </w:rPr>
              <w:t>46,801</w:t>
            </w:r>
          </w:p>
        </w:tc>
        <w:tc>
          <w:tcPr>
            <w:tcW w:w="1191" w:type="dxa"/>
          </w:tcPr>
          <w:p w14:paraId="66CE39BE" w14:textId="77777777" w:rsidR="00B02873" w:rsidRPr="005C11BD" w:rsidRDefault="00B02873" w:rsidP="005C11BD">
            <w:pPr>
              <w:pStyle w:val="TablebodyleftFinancialsTables"/>
              <w:jc w:val="right"/>
              <w:rPr>
                <w:rFonts w:asciiTheme="minorHAnsi" w:hAnsiTheme="minorHAnsi" w:cstheme="minorHAnsi"/>
              </w:rPr>
            </w:pPr>
            <w:r w:rsidRPr="005C11BD">
              <w:rPr>
                <w:rFonts w:asciiTheme="minorHAnsi" w:hAnsiTheme="minorHAnsi" w:cstheme="minorHAnsi"/>
              </w:rPr>
              <w:t>50,075</w:t>
            </w:r>
          </w:p>
        </w:tc>
      </w:tr>
      <w:tr w:rsidR="00B02873" w:rsidRPr="005C11BD" w14:paraId="63B78671" w14:textId="77777777" w:rsidTr="005C11BD">
        <w:tc>
          <w:tcPr>
            <w:tcW w:w="7257" w:type="dxa"/>
          </w:tcPr>
          <w:p w14:paraId="1F9ADE90" w14:textId="77777777" w:rsidR="00B02873" w:rsidRPr="005C11BD" w:rsidRDefault="00B02873" w:rsidP="005C11BD">
            <w:pPr>
              <w:pStyle w:val="TablebodyleftFinancialsTables"/>
              <w:rPr>
                <w:rFonts w:asciiTheme="minorHAnsi" w:hAnsiTheme="minorHAnsi" w:cstheme="minorHAnsi"/>
              </w:rPr>
            </w:pPr>
            <w:r w:rsidRPr="005C11BD">
              <w:rPr>
                <w:rFonts w:asciiTheme="minorHAnsi" w:hAnsiTheme="minorHAnsi" w:cstheme="minorHAnsi"/>
              </w:rPr>
              <w:t>Unconditional and expected to settle after 12 months</w:t>
            </w:r>
            <w:r w:rsidRPr="005C11BD">
              <w:rPr>
                <w:rFonts w:asciiTheme="minorHAnsi" w:hAnsiTheme="minorHAnsi" w:cstheme="minorHAnsi"/>
                <w:vertAlign w:val="superscript"/>
              </w:rPr>
              <w:t>(ii)</w:t>
            </w:r>
          </w:p>
        </w:tc>
        <w:tc>
          <w:tcPr>
            <w:tcW w:w="1190" w:type="dxa"/>
          </w:tcPr>
          <w:p w14:paraId="13590D56" w14:textId="77777777" w:rsidR="00B02873" w:rsidRPr="005C11BD" w:rsidRDefault="00B02873" w:rsidP="005C11BD">
            <w:pPr>
              <w:pStyle w:val="TablebodyleftFinancialsTables"/>
              <w:jc w:val="right"/>
              <w:rPr>
                <w:rFonts w:asciiTheme="minorHAnsi" w:hAnsiTheme="minorHAnsi" w:cstheme="minorHAnsi"/>
                <w:b/>
                <w:bCs/>
              </w:rPr>
            </w:pPr>
            <w:r w:rsidRPr="005C11BD">
              <w:rPr>
                <w:rFonts w:asciiTheme="minorHAnsi" w:hAnsiTheme="minorHAnsi" w:cstheme="minorHAnsi"/>
                <w:b/>
                <w:bCs/>
              </w:rPr>
              <w:t>8,587</w:t>
            </w:r>
          </w:p>
        </w:tc>
        <w:tc>
          <w:tcPr>
            <w:tcW w:w="1191" w:type="dxa"/>
          </w:tcPr>
          <w:p w14:paraId="5A61599B" w14:textId="77777777" w:rsidR="00B02873" w:rsidRPr="005C11BD" w:rsidRDefault="00B02873" w:rsidP="005C11BD">
            <w:pPr>
              <w:pStyle w:val="TablebodyleftFinancialsTables"/>
              <w:jc w:val="right"/>
              <w:rPr>
                <w:rFonts w:asciiTheme="minorHAnsi" w:hAnsiTheme="minorHAnsi" w:cstheme="minorHAnsi"/>
              </w:rPr>
            </w:pPr>
            <w:r w:rsidRPr="005C11BD">
              <w:rPr>
                <w:rFonts w:asciiTheme="minorHAnsi" w:hAnsiTheme="minorHAnsi" w:cstheme="minorHAnsi"/>
              </w:rPr>
              <w:t>1,102</w:t>
            </w:r>
          </w:p>
        </w:tc>
      </w:tr>
      <w:tr w:rsidR="00B02873" w:rsidRPr="005C11BD" w14:paraId="3BC86200" w14:textId="77777777" w:rsidTr="005C11BD">
        <w:tc>
          <w:tcPr>
            <w:tcW w:w="7257" w:type="dxa"/>
          </w:tcPr>
          <w:p w14:paraId="12AD95EA" w14:textId="77777777" w:rsidR="00B02873" w:rsidRPr="00D93683" w:rsidRDefault="00B02873" w:rsidP="005C11BD">
            <w:pPr>
              <w:pStyle w:val="TablebodyleftFinancialsTables"/>
              <w:rPr>
                <w:rFonts w:asciiTheme="minorHAnsi" w:hAnsiTheme="minorHAnsi" w:cstheme="minorHAnsi"/>
                <w:b/>
                <w:bCs/>
              </w:rPr>
            </w:pPr>
            <w:r w:rsidRPr="00D93683">
              <w:rPr>
                <w:rFonts w:asciiTheme="minorHAnsi" w:hAnsiTheme="minorHAnsi" w:cstheme="minorHAnsi"/>
                <w:b/>
                <w:bCs/>
              </w:rPr>
              <w:t xml:space="preserve">Long service leave </w:t>
            </w:r>
            <w:r w:rsidRPr="00D93683">
              <w:rPr>
                <w:rFonts w:asciiTheme="minorHAnsi" w:hAnsiTheme="minorHAnsi" w:cstheme="minorHAnsi"/>
                <w:b/>
                <w:bCs/>
                <w:vertAlign w:val="superscript"/>
              </w:rPr>
              <w:t>(i)(iii)</w:t>
            </w:r>
          </w:p>
        </w:tc>
        <w:tc>
          <w:tcPr>
            <w:tcW w:w="1190" w:type="dxa"/>
          </w:tcPr>
          <w:p w14:paraId="285CE4F6" w14:textId="77777777" w:rsidR="00B02873" w:rsidRPr="005C11BD" w:rsidRDefault="00B02873" w:rsidP="005C11BD">
            <w:pPr>
              <w:pStyle w:val="TablebodyleftFinancialsTables"/>
              <w:jc w:val="right"/>
              <w:rPr>
                <w:rFonts w:asciiTheme="minorHAnsi" w:hAnsiTheme="minorHAnsi" w:cstheme="minorHAnsi"/>
                <w:b/>
                <w:bCs/>
              </w:rPr>
            </w:pPr>
          </w:p>
        </w:tc>
        <w:tc>
          <w:tcPr>
            <w:tcW w:w="1191" w:type="dxa"/>
          </w:tcPr>
          <w:p w14:paraId="0EC878A1" w14:textId="77777777" w:rsidR="00B02873" w:rsidRPr="005C11BD" w:rsidRDefault="00B02873" w:rsidP="005C11BD">
            <w:pPr>
              <w:pStyle w:val="TablebodyleftFinancialsTables"/>
              <w:jc w:val="right"/>
              <w:rPr>
                <w:rFonts w:asciiTheme="minorHAnsi" w:hAnsiTheme="minorHAnsi" w:cstheme="minorHAnsi"/>
              </w:rPr>
            </w:pPr>
          </w:p>
        </w:tc>
      </w:tr>
      <w:tr w:rsidR="00B02873" w:rsidRPr="005C11BD" w14:paraId="4334F046" w14:textId="77777777" w:rsidTr="005C11BD">
        <w:tc>
          <w:tcPr>
            <w:tcW w:w="7257" w:type="dxa"/>
          </w:tcPr>
          <w:p w14:paraId="1164659B" w14:textId="77777777" w:rsidR="00B02873" w:rsidRPr="005C11BD" w:rsidRDefault="00B02873" w:rsidP="005C11BD">
            <w:pPr>
              <w:pStyle w:val="TablebodyleftFinancialsTables"/>
              <w:rPr>
                <w:rFonts w:asciiTheme="minorHAnsi" w:hAnsiTheme="minorHAnsi" w:cstheme="minorHAnsi"/>
              </w:rPr>
            </w:pPr>
            <w:r w:rsidRPr="005C11BD">
              <w:rPr>
                <w:rFonts w:asciiTheme="minorHAnsi" w:hAnsiTheme="minorHAnsi" w:cstheme="minorHAnsi"/>
              </w:rPr>
              <w:t xml:space="preserve">Unconditional and expected to settle within 12 months </w:t>
            </w:r>
          </w:p>
        </w:tc>
        <w:tc>
          <w:tcPr>
            <w:tcW w:w="1190" w:type="dxa"/>
          </w:tcPr>
          <w:p w14:paraId="539AA959" w14:textId="77777777" w:rsidR="00B02873" w:rsidRPr="005C11BD" w:rsidRDefault="00B02873" w:rsidP="005C11BD">
            <w:pPr>
              <w:pStyle w:val="TablebodyleftFinancialsTables"/>
              <w:jc w:val="right"/>
              <w:rPr>
                <w:rFonts w:asciiTheme="minorHAnsi" w:hAnsiTheme="minorHAnsi" w:cstheme="minorHAnsi"/>
                <w:b/>
                <w:bCs/>
              </w:rPr>
            </w:pPr>
            <w:r w:rsidRPr="005C11BD">
              <w:rPr>
                <w:rFonts w:asciiTheme="minorHAnsi" w:hAnsiTheme="minorHAnsi" w:cstheme="minorHAnsi"/>
                <w:b/>
                <w:bCs/>
              </w:rPr>
              <w:t>8,471</w:t>
            </w:r>
          </w:p>
        </w:tc>
        <w:tc>
          <w:tcPr>
            <w:tcW w:w="1191" w:type="dxa"/>
          </w:tcPr>
          <w:p w14:paraId="6F5FA474" w14:textId="77777777" w:rsidR="00B02873" w:rsidRPr="005C11BD" w:rsidRDefault="00B02873" w:rsidP="005C11BD">
            <w:pPr>
              <w:pStyle w:val="TablebodyleftFinancialsTables"/>
              <w:jc w:val="right"/>
              <w:rPr>
                <w:rFonts w:asciiTheme="minorHAnsi" w:hAnsiTheme="minorHAnsi" w:cstheme="minorHAnsi"/>
              </w:rPr>
            </w:pPr>
            <w:r w:rsidRPr="005C11BD">
              <w:rPr>
                <w:rFonts w:asciiTheme="minorHAnsi" w:hAnsiTheme="minorHAnsi" w:cstheme="minorHAnsi"/>
              </w:rPr>
              <w:t>9,316</w:t>
            </w:r>
          </w:p>
        </w:tc>
      </w:tr>
      <w:tr w:rsidR="00B02873" w:rsidRPr="005C11BD" w14:paraId="7263500E" w14:textId="77777777" w:rsidTr="005C11BD">
        <w:tc>
          <w:tcPr>
            <w:tcW w:w="7257" w:type="dxa"/>
          </w:tcPr>
          <w:p w14:paraId="60F28A44" w14:textId="77777777" w:rsidR="00B02873" w:rsidRPr="005C11BD" w:rsidRDefault="00B02873" w:rsidP="005C11BD">
            <w:pPr>
              <w:pStyle w:val="TablebodyleftFinancialsTables"/>
              <w:rPr>
                <w:rFonts w:asciiTheme="minorHAnsi" w:hAnsiTheme="minorHAnsi" w:cstheme="minorHAnsi"/>
              </w:rPr>
            </w:pPr>
            <w:r w:rsidRPr="005C11BD">
              <w:rPr>
                <w:rFonts w:asciiTheme="minorHAnsi" w:hAnsiTheme="minorHAnsi" w:cstheme="minorHAnsi"/>
              </w:rPr>
              <w:t>Unconditional and expected to settle after 12 months</w:t>
            </w:r>
            <w:r w:rsidRPr="005C11BD">
              <w:rPr>
                <w:rFonts w:asciiTheme="minorHAnsi" w:hAnsiTheme="minorHAnsi" w:cstheme="minorHAnsi"/>
                <w:vertAlign w:val="superscript"/>
              </w:rPr>
              <w:t>(ii)</w:t>
            </w:r>
          </w:p>
        </w:tc>
        <w:tc>
          <w:tcPr>
            <w:tcW w:w="1190" w:type="dxa"/>
          </w:tcPr>
          <w:p w14:paraId="53AF2E90" w14:textId="77777777" w:rsidR="00B02873" w:rsidRPr="005C11BD" w:rsidRDefault="00B02873" w:rsidP="005C11BD">
            <w:pPr>
              <w:pStyle w:val="TablebodyleftFinancialsTables"/>
              <w:jc w:val="right"/>
              <w:rPr>
                <w:rFonts w:asciiTheme="minorHAnsi" w:hAnsiTheme="minorHAnsi" w:cstheme="minorHAnsi"/>
                <w:b/>
                <w:bCs/>
              </w:rPr>
            </w:pPr>
            <w:r w:rsidRPr="005C11BD">
              <w:rPr>
                <w:rFonts w:asciiTheme="minorHAnsi" w:hAnsiTheme="minorHAnsi" w:cstheme="minorHAnsi"/>
                <w:b/>
                <w:bCs/>
              </w:rPr>
              <w:t>76,636</w:t>
            </w:r>
          </w:p>
        </w:tc>
        <w:tc>
          <w:tcPr>
            <w:tcW w:w="1191" w:type="dxa"/>
          </w:tcPr>
          <w:p w14:paraId="029A3EAE" w14:textId="77777777" w:rsidR="00B02873" w:rsidRPr="005C11BD" w:rsidRDefault="00B02873" w:rsidP="005C11BD">
            <w:pPr>
              <w:pStyle w:val="TablebodyleftFinancialsTables"/>
              <w:jc w:val="right"/>
              <w:rPr>
                <w:rFonts w:asciiTheme="minorHAnsi" w:hAnsiTheme="minorHAnsi" w:cstheme="minorHAnsi"/>
              </w:rPr>
            </w:pPr>
            <w:r w:rsidRPr="005C11BD">
              <w:rPr>
                <w:rFonts w:asciiTheme="minorHAnsi" w:hAnsiTheme="minorHAnsi" w:cstheme="minorHAnsi"/>
              </w:rPr>
              <w:t>72,958</w:t>
            </w:r>
          </w:p>
        </w:tc>
      </w:tr>
      <w:tr w:rsidR="00B02873" w:rsidRPr="005C11BD" w14:paraId="4DF7926C" w14:textId="77777777" w:rsidTr="005C11BD">
        <w:tc>
          <w:tcPr>
            <w:tcW w:w="7257" w:type="dxa"/>
          </w:tcPr>
          <w:p w14:paraId="670327CA" w14:textId="77777777" w:rsidR="00B02873" w:rsidRPr="00D93683" w:rsidRDefault="00B02873" w:rsidP="005C11BD">
            <w:pPr>
              <w:pStyle w:val="TablebodyleftFinancialsTables"/>
              <w:rPr>
                <w:rFonts w:asciiTheme="minorHAnsi" w:hAnsiTheme="minorHAnsi" w:cstheme="minorHAnsi"/>
                <w:b/>
                <w:bCs/>
              </w:rPr>
            </w:pPr>
            <w:r w:rsidRPr="00D93683">
              <w:rPr>
                <w:rFonts w:asciiTheme="minorHAnsi" w:hAnsiTheme="minorHAnsi" w:cstheme="minorHAnsi"/>
                <w:b/>
                <w:bCs/>
              </w:rPr>
              <w:t>Fatigue management leave</w:t>
            </w:r>
            <w:r w:rsidRPr="00D93683">
              <w:rPr>
                <w:rFonts w:asciiTheme="minorHAnsi" w:hAnsiTheme="minorHAnsi" w:cstheme="minorHAnsi"/>
                <w:b/>
                <w:bCs/>
                <w:vertAlign w:val="superscript"/>
              </w:rPr>
              <w:t>(i)</w:t>
            </w:r>
            <w:r w:rsidRPr="00D93683">
              <w:rPr>
                <w:rFonts w:asciiTheme="minorHAnsi" w:hAnsiTheme="minorHAnsi" w:cstheme="minorHAnsi"/>
                <w:b/>
                <w:bCs/>
              </w:rPr>
              <w:t xml:space="preserve"> </w:t>
            </w:r>
          </w:p>
        </w:tc>
        <w:tc>
          <w:tcPr>
            <w:tcW w:w="1190" w:type="dxa"/>
          </w:tcPr>
          <w:p w14:paraId="7F1A6724" w14:textId="77777777" w:rsidR="00B02873" w:rsidRPr="005C11BD" w:rsidRDefault="00B02873" w:rsidP="005C11BD">
            <w:pPr>
              <w:pStyle w:val="TablebodyleftFinancialsTables"/>
              <w:jc w:val="right"/>
              <w:rPr>
                <w:rFonts w:asciiTheme="minorHAnsi" w:hAnsiTheme="minorHAnsi" w:cstheme="minorHAnsi"/>
                <w:b/>
                <w:bCs/>
              </w:rPr>
            </w:pPr>
          </w:p>
        </w:tc>
        <w:tc>
          <w:tcPr>
            <w:tcW w:w="1191" w:type="dxa"/>
          </w:tcPr>
          <w:p w14:paraId="32F3CC76" w14:textId="77777777" w:rsidR="00B02873" w:rsidRPr="005C11BD" w:rsidRDefault="00B02873" w:rsidP="005C11BD">
            <w:pPr>
              <w:pStyle w:val="TablebodyleftFinancialsTables"/>
              <w:jc w:val="right"/>
              <w:rPr>
                <w:rFonts w:asciiTheme="minorHAnsi" w:hAnsiTheme="minorHAnsi" w:cstheme="minorHAnsi"/>
              </w:rPr>
            </w:pPr>
          </w:p>
        </w:tc>
      </w:tr>
      <w:tr w:rsidR="00B02873" w:rsidRPr="005C11BD" w14:paraId="02995370" w14:textId="77777777" w:rsidTr="005C11BD">
        <w:tc>
          <w:tcPr>
            <w:tcW w:w="7257" w:type="dxa"/>
          </w:tcPr>
          <w:p w14:paraId="2DB924FC" w14:textId="77777777" w:rsidR="00B02873" w:rsidRPr="005C11BD" w:rsidRDefault="00B02873" w:rsidP="005C11BD">
            <w:pPr>
              <w:pStyle w:val="TablebodyleftFinancialsTables"/>
              <w:rPr>
                <w:rFonts w:asciiTheme="minorHAnsi" w:hAnsiTheme="minorHAnsi" w:cstheme="minorHAnsi"/>
              </w:rPr>
            </w:pPr>
            <w:r w:rsidRPr="005C11BD">
              <w:rPr>
                <w:rFonts w:asciiTheme="minorHAnsi" w:hAnsiTheme="minorHAnsi" w:cstheme="minorHAnsi"/>
              </w:rPr>
              <w:t>Unconditional and expected to settle within 12 months</w:t>
            </w:r>
          </w:p>
        </w:tc>
        <w:tc>
          <w:tcPr>
            <w:tcW w:w="1190" w:type="dxa"/>
          </w:tcPr>
          <w:p w14:paraId="32CC92AB" w14:textId="77777777" w:rsidR="00B02873" w:rsidRPr="005C11BD" w:rsidRDefault="00B02873" w:rsidP="005C11BD">
            <w:pPr>
              <w:pStyle w:val="TablebodyleftFinancialsTables"/>
              <w:jc w:val="right"/>
              <w:rPr>
                <w:rFonts w:asciiTheme="minorHAnsi" w:hAnsiTheme="minorHAnsi" w:cstheme="minorHAnsi"/>
                <w:b/>
                <w:bCs/>
              </w:rPr>
            </w:pPr>
            <w:r w:rsidRPr="005C11BD">
              <w:rPr>
                <w:rFonts w:asciiTheme="minorHAnsi" w:hAnsiTheme="minorHAnsi" w:cstheme="minorHAnsi"/>
                <w:b/>
                <w:bCs/>
              </w:rPr>
              <w:t>1,484</w:t>
            </w:r>
          </w:p>
        </w:tc>
        <w:tc>
          <w:tcPr>
            <w:tcW w:w="1191" w:type="dxa"/>
          </w:tcPr>
          <w:p w14:paraId="6D2369A8" w14:textId="77777777" w:rsidR="00B02873" w:rsidRPr="005C11BD" w:rsidRDefault="00B02873" w:rsidP="005C11BD">
            <w:pPr>
              <w:pStyle w:val="TablebodyleftFinancialsTables"/>
              <w:jc w:val="right"/>
              <w:rPr>
                <w:rFonts w:asciiTheme="minorHAnsi" w:hAnsiTheme="minorHAnsi" w:cstheme="minorHAnsi"/>
              </w:rPr>
            </w:pPr>
            <w:r w:rsidRPr="005C11BD">
              <w:rPr>
                <w:rFonts w:asciiTheme="minorHAnsi" w:hAnsiTheme="minorHAnsi" w:cstheme="minorHAnsi"/>
              </w:rPr>
              <w:t>1,893</w:t>
            </w:r>
          </w:p>
        </w:tc>
      </w:tr>
      <w:tr w:rsidR="00B02873" w:rsidRPr="005C11BD" w14:paraId="65E2D415" w14:textId="77777777" w:rsidTr="005C11BD">
        <w:tc>
          <w:tcPr>
            <w:tcW w:w="7257" w:type="dxa"/>
          </w:tcPr>
          <w:p w14:paraId="4F229779" w14:textId="77777777" w:rsidR="00B02873" w:rsidRPr="00D93683" w:rsidRDefault="00B02873" w:rsidP="005C11BD">
            <w:pPr>
              <w:pStyle w:val="TablebodyleftFinancialsTables"/>
              <w:rPr>
                <w:rFonts w:asciiTheme="minorHAnsi" w:hAnsiTheme="minorHAnsi" w:cstheme="minorHAnsi"/>
                <w:b/>
                <w:bCs/>
              </w:rPr>
            </w:pPr>
            <w:r w:rsidRPr="00D93683">
              <w:rPr>
                <w:rFonts w:asciiTheme="minorHAnsi" w:hAnsiTheme="minorHAnsi" w:cstheme="minorHAnsi"/>
                <w:b/>
                <w:bCs/>
              </w:rPr>
              <w:t>Total current provision for employee benefits</w:t>
            </w:r>
          </w:p>
        </w:tc>
        <w:tc>
          <w:tcPr>
            <w:tcW w:w="1190" w:type="dxa"/>
          </w:tcPr>
          <w:p w14:paraId="7D19E81A" w14:textId="77777777" w:rsidR="00B02873" w:rsidRPr="005C11BD" w:rsidRDefault="00B02873" w:rsidP="005C11BD">
            <w:pPr>
              <w:pStyle w:val="TablebodyleftFinancialsTables"/>
              <w:jc w:val="right"/>
              <w:rPr>
                <w:rFonts w:asciiTheme="minorHAnsi" w:hAnsiTheme="minorHAnsi" w:cstheme="minorHAnsi"/>
                <w:b/>
                <w:bCs/>
              </w:rPr>
            </w:pPr>
            <w:r w:rsidRPr="005C11BD">
              <w:rPr>
                <w:rFonts w:asciiTheme="minorHAnsi" w:hAnsiTheme="minorHAnsi" w:cstheme="minorHAnsi"/>
                <w:b/>
                <w:bCs/>
              </w:rPr>
              <w:t>141,979</w:t>
            </w:r>
          </w:p>
        </w:tc>
        <w:tc>
          <w:tcPr>
            <w:tcW w:w="1191" w:type="dxa"/>
          </w:tcPr>
          <w:p w14:paraId="65EA3AE8" w14:textId="77777777" w:rsidR="00B02873" w:rsidRPr="005C11BD" w:rsidRDefault="00B02873" w:rsidP="005C11BD">
            <w:pPr>
              <w:pStyle w:val="TablebodyleftFinancialsTables"/>
              <w:jc w:val="right"/>
              <w:rPr>
                <w:rFonts w:asciiTheme="minorHAnsi" w:hAnsiTheme="minorHAnsi" w:cstheme="minorHAnsi"/>
              </w:rPr>
            </w:pPr>
            <w:r w:rsidRPr="005C11BD">
              <w:rPr>
                <w:rFonts w:asciiTheme="minorHAnsi" w:hAnsiTheme="minorHAnsi" w:cstheme="minorHAnsi"/>
              </w:rPr>
              <w:t>135,344</w:t>
            </w:r>
          </w:p>
        </w:tc>
      </w:tr>
      <w:tr w:rsidR="00B02873" w:rsidRPr="005C11BD" w14:paraId="6C36621F" w14:textId="77777777" w:rsidTr="005C11BD">
        <w:tc>
          <w:tcPr>
            <w:tcW w:w="7257" w:type="dxa"/>
          </w:tcPr>
          <w:p w14:paraId="49EF28DB" w14:textId="77777777" w:rsidR="00B02873" w:rsidRPr="00D93683" w:rsidRDefault="00B02873" w:rsidP="00D93683">
            <w:pPr>
              <w:pStyle w:val="TablebodyleftFinancialsTables"/>
              <w:keepNext/>
              <w:rPr>
                <w:rFonts w:asciiTheme="minorHAnsi" w:hAnsiTheme="minorHAnsi" w:cstheme="minorHAnsi"/>
                <w:b/>
                <w:bCs/>
              </w:rPr>
            </w:pPr>
            <w:r w:rsidRPr="00D93683">
              <w:rPr>
                <w:rFonts w:asciiTheme="minorHAnsi" w:hAnsiTheme="minorHAnsi" w:cstheme="minorHAnsi"/>
                <w:b/>
                <w:bCs/>
              </w:rPr>
              <w:lastRenderedPageBreak/>
              <w:t>Provisions for on-costs:</w:t>
            </w:r>
          </w:p>
        </w:tc>
        <w:tc>
          <w:tcPr>
            <w:tcW w:w="1190" w:type="dxa"/>
          </w:tcPr>
          <w:p w14:paraId="76FF43BB" w14:textId="77777777" w:rsidR="00B02873" w:rsidRPr="005C11BD" w:rsidRDefault="00B02873" w:rsidP="00D93683">
            <w:pPr>
              <w:pStyle w:val="TablebodyleftFinancialsTables"/>
              <w:keepNext/>
              <w:jc w:val="right"/>
              <w:rPr>
                <w:rFonts w:asciiTheme="minorHAnsi" w:hAnsiTheme="minorHAnsi" w:cstheme="minorHAnsi"/>
                <w:b/>
                <w:bCs/>
              </w:rPr>
            </w:pPr>
          </w:p>
        </w:tc>
        <w:tc>
          <w:tcPr>
            <w:tcW w:w="1191" w:type="dxa"/>
          </w:tcPr>
          <w:p w14:paraId="39D64589" w14:textId="77777777" w:rsidR="00B02873" w:rsidRPr="005C11BD" w:rsidRDefault="00B02873" w:rsidP="00D93683">
            <w:pPr>
              <w:pStyle w:val="TablebodyleftFinancialsTables"/>
              <w:keepNext/>
              <w:jc w:val="right"/>
              <w:rPr>
                <w:rFonts w:asciiTheme="minorHAnsi" w:hAnsiTheme="minorHAnsi" w:cstheme="minorHAnsi"/>
              </w:rPr>
            </w:pPr>
          </w:p>
        </w:tc>
      </w:tr>
      <w:tr w:rsidR="00B02873" w:rsidRPr="005C11BD" w14:paraId="4CBB4288" w14:textId="77777777" w:rsidTr="005C11BD">
        <w:tc>
          <w:tcPr>
            <w:tcW w:w="7257" w:type="dxa"/>
          </w:tcPr>
          <w:p w14:paraId="7D5F38CB" w14:textId="77777777" w:rsidR="00B02873" w:rsidRPr="005C11BD" w:rsidRDefault="00B02873" w:rsidP="005C11BD">
            <w:pPr>
              <w:pStyle w:val="TablebodyleftFinancialsTables"/>
              <w:rPr>
                <w:rFonts w:asciiTheme="minorHAnsi" w:hAnsiTheme="minorHAnsi" w:cstheme="minorHAnsi"/>
              </w:rPr>
            </w:pPr>
            <w:r w:rsidRPr="005C11BD">
              <w:rPr>
                <w:rFonts w:asciiTheme="minorHAnsi" w:hAnsiTheme="minorHAnsi" w:cstheme="minorHAnsi"/>
              </w:rPr>
              <w:t xml:space="preserve">Unconditional and expected to settle within 12 months </w:t>
            </w:r>
          </w:p>
        </w:tc>
        <w:tc>
          <w:tcPr>
            <w:tcW w:w="1190" w:type="dxa"/>
          </w:tcPr>
          <w:p w14:paraId="4912B590" w14:textId="77777777" w:rsidR="00B02873" w:rsidRPr="005C11BD" w:rsidRDefault="00B02873" w:rsidP="005C11BD">
            <w:pPr>
              <w:pStyle w:val="TablebodyleftFinancialsTables"/>
              <w:jc w:val="right"/>
              <w:rPr>
                <w:rFonts w:asciiTheme="minorHAnsi" w:hAnsiTheme="minorHAnsi" w:cstheme="minorHAnsi"/>
                <w:b/>
                <w:bCs/>
              </w:rPr>
            </w:pPr>
            <w:r w:rsidRPr="005C11BD">
              <w:rPr>
                <w:rFonts w:asciiTheme="minorHAnsi" w:hAnsiTheme="minorHAnsi" w:cstheme="minorHAnsi"/>
                <w:b/>
                <w:bCs/>
              </w:rPr>
              <w:t>9,484</w:t>
            </w:r>
          </w:p>
        </w:tc>
        <w:tc>
          <w:tcPr>
            <w:tcW w:w="1191" w:type="dxa"/>
          </w:tcPr>
          <w:p w14:paraId="6DCC2BDA" w14:textId="77777777" w:rsidR="00B02873" w:rsidRPr="005C11BD" w:rsidRDefault="00B02873" w:rsidP="005C11BD">
            <w:pPr>
              <w:pStyle w:val="TablebodyleftFinancialsTables"/>
              <w:jc w:val="right"/>
              <w:rPr>
                <w:rFonts w:asciiTheme="minorHAnsi" w:hAnsiTheme="minorHAnsi" w:cstheme="minorHAnsi"/>
              </w:rPr>
            </w:pPr>
            <w:r w:rsidRPr="005C11BD">
              <w:rPr>
                <w:rFonts w:asciiTheme="minorHAnsi" w:hAnsiTheme="minorHAnsi" w:cstheme="minorHAnsi"/>
              </w:rPr>
              <w:t>9,289</w:t>
            </w:r>
          </w:p>
        </w:tc>
      </w:tr>
      <w:tr w:rsidR="00B02873" w:rsidRPr="005C11BD" w14:paraId="7E8B60A1" w14:textId="77777777" w:rsidTr="005C11BD">
        <w:tc>
          <w:tcPr>
            <w:tcW w:w="7257" w:type="dxa"/>
          </w:tcPr>
          <w:p w14:paraId="46F42A75" w14:textId="77777777" w:rsidR="00B02873" w:rsidRPr="005C11BD" w:rsidRDefault="00B02873" w:rsidP="005C11BD">
            <w:pPr>
              <w:pStyle w:val="TablebodyleftFinancialsTables"/>
              <w:rPr>
                <w:rFonts w:asciiTheme="minorHAnsi" w:hAnsiTheme="minorHAnsi" w:cstheme="minorHAnsi"/>
              </w:rPr>
            </w:pPr>
            <w:r w:rsidRPr="005C11BD">
              <w:rPr>
                <w:rFonts w:asciiTheme="minorHAnsi" w:hAnsiTheme="minorHAnsi" w:cstheme="minorHAnsi"/>
              </w:rPr>
              <w:t>Unconditional and expected to settle after 12 months</w:t>
            </w:r>
            <w:r w:rsidRPr="005C11BD">
              <w:rPr>
                <w:rFonts w:asciiTheme="minorHAnsi" w:hAnsiTheme="minorHAnsi" w:cstheme="minorHAnsi"/>
                <w:vertAlign w:val="superscript"/>
              </w:rPr>
              <w:t>(ii)</w:t>
            </w:r>
          </w:p>
        </w:tc>
        <w:tc>
          <w:tcPr>
            <w:tcW w:w="1190" w:type="dxa"/>
          </w:tcPr>
          <w:p w14:paraId="200D962F" w14:textId="77777777" w:rsidR="00B02873" w:rsidRPr="005C11BD" w:rsidRDefault="00B02873" w:rsidP="005C11BD">
            <w:pPr>
              <w:pStyle w:val="TablebodyleftFinancialsTables"/>
              <w:jc w:val="right"/>
              <w:rPr>
                <w:rFonts w:asciiTheme="minorHAnsi" w:hAnsiTheme="minorHAnsi" w:cstheme="minorHAnsi"/>
                <w:b/>
                <w:bCs/>
              </w:rPr>
            </w:pPr>
            <w:r w:rsidRPr="005C11BD">
              <w:rPr>
                <w:rFonts w:asciiTheme="minorHAnsi" w:hAnsiTheme="minorHAnsi" w:cstheme="minorHAnsi"/>
                <w:b/>
                <w:bCs/>
              </w:rPr>
              <w:t>15,071</w:t>
            </w:r>
          </w:p>
        </w:tc>
        <w:tc>
          <w:tcPr>
            <w:tcW w:w="1191" w:type="dxa"/>
          </w:tcPr>
          <w:p w14:paraId="44474E15" w14:textId="77777777" w:rsidR="00B02873" w:rsidRPr="005C11BD" w:rsidRDefault="00B02873" w:rsidP="005C11BD">
            <w:pPr>
              <w:pStyle w:val="TablebodyleftFinancialsTables"/>
              <w:jc w:val="right"/>
              <w:rPr>
                <w:rFonts w:asciiTheme="minorHAnsi" w:hAnsiTheme="minorHAnsi" w:cstheme="minorHAnsi"/>
              </w:rPr>
            </w:pPr>
            <w:r w:rsidRPr="005C11BD">
              <w:rPr>
                <w:rFonts w:asciiTheme="minorHAnsi" w:hAnsiTheme="minorHAnsi" w:cstheme="minorHAnsi"/>
              </w:rPr>
              <w:t>11,936</w:t>
            </w:r>
          </w:p>
        </w:tc>
      </w:tr>
      <w:tr w:rsidR="00B02873" w:rsidRPr="005C11BD" w14:paraId="745C2189" w14:textId="77777777" w:rsidTr="005C11BD">
        <w:tc>
          <w:tcPr>
            <w:tcW w:w="7257" w:type="dxa"/>
          </w:tcPr>
          <w:p w14:paraId="4406FAFF" w14:textId="77777777" w:rsidR="00B02873" w:rsidRPr="00D93683" w:rsidRDefault="00B02873" w:rsidP="005C11BD">
            <w:pPr>
              <w:pStyle w:val="TablebodyleftFinancialsTables"/>
              <w:rPr>
                <w:rFonts w:asciiTheme="minorHAnsi" w:hAnsiTheme="minorHAnsi" w:cstheme="minorHAnsi"/>
                <w:b/>
                <w:bCs/>
              </w:rPr>
            </w:pPr>
            <w:r w:rsidRPr="00D93683">
              <w:rPr>
                <w:rFonts w:asciiTheme="minorHAnsi" w:hAnsiTheme="minorHAnsi" w:cstheme="minorHAnsi"/>
                <w:b/>
                <w:bCs/>
              </w:rPr>
              <w:t>Total provisions for on-costs</w:t>
            </w:r>
          </w:p>
        </w:tc>
        <w:tc>
          <w:tcPr>
            <w:tcW w:w="1190" w:type="dxa"/>
          </w:tcPr>
          <w:p w14:paraId="5AD7E1E0" w14:textId="77777777" w:rsidR="00B02873" w:rsidRPr="005C11BD" w:rsidRDefault="00B02873" w:rsidP="005C11BD">
            <w:pPr>
              <w:pStyle w:val="TablebodyleftFinancialsTables"/>
              <w:jc w:val="right"/>
              <w:rPr>
                <w:rFonts w:asciiTheme="minorHAnsi" w:hAnsiTheme="minorHAnsi" w:cstheme="minorHAnsi"/>
                <w:b/>
                <w:bCs/>
              </w:rPr>
            </w:pPr>
            <w:r w:rsidRPr="005C11BD">
              <w:rPr>
                <w:rFonts w:asciiTheme="minorHAnsi" w:hAnsiTheme="minorHAnsi" w:cstheme="minorHAnsi"/>
                <w:b/>
                <w:bCs/>
              </w:rPr>
              <w:t>24,555</w:t>
            </w:r>
          </w:p>
        </w:tc>
        <w:tc>
          <w:tcPr>
            <w:tcW w:w="1191" w:type="dxa"/>
          </w:tcPr>
          <w:p w14:paraId="27013507" w14:textId="77777777" w:rsidR="00B02873" w:rsidRPr="005C11BD" w:rsidRDefault="00B02873" w:rsidP="005C11BD">
            <w:pPr>
              <w:pStyle w:val="TablebodyleftFinancialsTables"/>
              <w:jc w:val="right"/>
              <w:rPr>
                <w:rFonts w:asciiTheme="minorHAnsi" w:hAnsiTheme="minorHAnsi" w:cstheme="minorHAnsi"/>
              </w:rPr>
            </w:pPr>
            <w:r w:rsidRPr="005C11BD">
              <w:rPr>
                <w:rFonts w:asciiTheme="minorHAnsi" w:hAnsiTheme="minorHAnsi" w:cstheme="minorHAnsi"/>
              </w:rPr>
              <w:t>21,225</w:t>
            </w:r>
          </w:p>
        </w:tc>
      </w:tr>
      <w:tr w:rsidR="00B02873" w:rsidRPr="005C11BD" w14:paraId="7BA74512" w14:textId="77777777" w:rsidTr="005C11BD">
        <w:tc>
          <w:tcPr>
            <w:tcW w:w="7257" w:type="dxa"/>
          </w:tcPr>
          <w:p w14:paraId="0D7F765D" w14:textId="77777777" w:rsidR="00B02873" w:rsidRPr="00D93683" w:rsidRDefault="00B02873" w:rsidP="005C11BD">
            <w:pPr>
              <w:pStyle w:val="TablebodyleftFinancialsTables"/>
              <w:rPr>
                <w:rFonts w:asciiTheme="minorHAnsi" w:hAnsiTheme="minorHAnsi" w:cstheme="minorHAnsi"/>
                <w:b/>
                <w:bCs/>
              </w:rPr>
            </w:pPr>
            <w:r w:rsidRPr="00D93683">
              <w:rPr>
                <w:rFonts w:asciiTheme="minorHAnsi" w:hAnsiTheme="minorHAnsi" w:cstheme="minorHAnsi"/>
                <w:b/>
                <w:bCs/>
              </w:rPr>
              <w:t>Total current provisions for employee benefits</w:t>
            </w:r>
          </w:p>
        </w:tc>
        <w:tc>
          <w:tcPr>
            <w:tcW w:w="1190" w:type="dxa"/>
          </w:tcPr>
          <w:p w14:paraId="6DEC8F58" w14:textId="77777777" w:rsidR="00B02873" w:rsidRPr="005C11BD" w:rsidRDefault="00B02873" w:rsidP="005C11BD">
            <w:pPr>
              <w:pStyle w:val="TablebodyleftFinancialsTables"/>
              <w:jc w:val="right"/>
              <w:rPr>
                <w:rFonts w:asciiTheme="minorHAnsi" w:hAnsiTheme="minorHAnsi" w:cstheme="minorHAnsi"/>
                <w:b/>
                <w:bCs/>
              </w:rPr>
            </w:pPr>
            <w:r w:rsidRPr="005C11BD">
              <w:rPr>
                <w:rFonts w:asciiTheme="minorHAnsi" w:hAnsiTheme="minorHAnsi" w:cstheme="minorHAnsi"/>
                <w:b/>
                <w:bCs/>
              </w:rPr>
              <w:t>166,534</w:t>
            </w:r>
          </w:p>
        </w:tc>
        <w:tc>
          <w:tcPr>
            <w:tcW w:w="1191" w:type="dxa"/>
          </w:tcPr>
          <w:p w14:paraId="274420B3" w14:textId="77777777" w:rsidR="00B02873" w:rsidRPr="005C11BD" w:rsidRDefault="00B02873" w:rsidP="005C11BD">
            <w:pPr>
              <w:pStyle w:val="TablebodyleftFinancialsTables"/>
              <w:jc w:val="right"/>
              <w:rPr>
                <w:rFonts w:asciiTheme="minorHAnsi" w:hAnsiTheme="minorHAnsi" w:cstheme="minorHAnsi"/>
              </w:rPr>
            </w:pPr>
            <w:r w:rsidRPr="005C11BD">
              <w:rPr>
                <w:rFonts w:asciiTheme="minorHAnsi" w:hAnsiTheme="minorHAnsi" w:cstheme="minorHAnsi"/>
              </w:rPr>
              <w:t>156,569</w:t>
            </w:r>
          </w:p>
        </w:tc>
      </w:tr>
      <w:tr w:rsidR="00B02873" w:rsidRPr="005C11BD" w14:paraId="69CCB758" w14:textId="77777777" w:rsidTr="005C11BD">
        <w:tc>
          <w:tcPr>
            <w:tcW w:w="7257" w:type="dxa"/>
          </w:tcPr>
          <w:p w14:paraId="5B11BFC5" w14:textId="77777777" w:rsidR="00B02873" w:rsidRPr="00D93683" w:rsidRDefault="00B02873" w:rsidP="005C11BD">
            <w:pPr>
              <w:pStyle w:val="TablebodyleftFinancialsTables"/>
              <w:rPr>
                <w:rFonts w:asciiTheme="minorHAnsi" w:hAnsiTheme="minorHAnsi" w:cstheme="minorHAnsi"/>
                <w:b/>
                <w:bCs/>
              </w:rPr>
            </w:pPr>
            <w:r w:rsidRPr="00D93683">
              <w:rPr>
                <w:rFonts w:asciiTheme="minorHAnsi" w:hAnsiTheme="minorHAnsi" w:cstheme="minorHAnsi"/>
                <w:b/>
                <w:bCs/>
              </w:rPr>
              <w:t>Non-current provisions for employee benefits</w:t>
            </w:r>
          </w:p>
        </w:tc>
        <w:tc>
          <w:tcPr>
            <w:tcW w:w="1190" w:type="dxa"/>
          </w:tcPr>
          <w:p w14:paraId="52F6C8B3" w14:textId="77777777" w:rsidR="00B02873" w:rsidRPr="005C11BD" w:rsidRDefault="00B02873" w:rsidP="005C11BD">
            <w:pPr>
              <w:pStyle w:val="TablebodyleftFinancialsTables"/>
              <w:jc w:val="right"/>
              <w:rPr>
                <w:rFonts w:asciiTheme="minorHAnsi" w:hAnsiTheme="minorHAnsi" w:cstheme="minorHAnsi"/>
                <w:b/>
                <w:bCs/>
              </w:rPr>
            </w:pPr>
          </w:p>
        </w:tc>
        <w:tc>
          <w:tcPr>
            <w:tcW w:w="1191" w:type="dxa"/>
          </w:tcPr>
          <w:p w14:paraId="607E5697" w14:textId="77777777" w:rsidR="00B02873" w:rsidRPr="005C11BD" w:rsidRDefault="00B02873" w:rsidP="005C11BD">
            <w:pPr>
              <w:pStyle w:val="TablebodyleftFinancialsTables"/>
              <w:jc w:val="right"/>
              <w:rPr>
                <w:rFonts w:asciiTheme="minorHAnsi" w:hAnsiTheme="minorHAnsi" w:cstheme="minorHAnsi"/>
              </w:rPr>
            </w:pPr>
          </w:p>
        </w:tc>
      </w:tr>
      <w:tr w:rsidR="00B02873" w:rsidRPr="005C11BD" w14:paraId="06BA7140" w14:textId="77777777" w:rsidTr="005C11BD">
        <w:tc>
          <w:tcPr>
            <w:tcW w:w="7257" w:type="dxa"/>
          </w:tcPr>
          <w:p w14:paraId="6DA298A9" w14:textId="77777777" w:rsidR="00B02873" w:rsidRPr="005C11BD" w:rsidRDefault="00B02873" w:rsidP="005C11BD">
            <w:pPr>
              <w:pStyle w:val="TablebodyleftFinancialsTables"/>
              <w:rPr>
                <w:rFonts w:asciiTheme="minorHAnsi" w:hAnsiTheme="minorHAnsi" w:cstheme="minorHAnsi"/>
              </w:rPr>
            </w:pPr>
            <w:r w:rsidRPr="005C11BD">
              <w:rPr>
                <w:rFonts w:asciiTheme="minorHAnsi" w:hAnsiTheme="minorHAnsi" w:cstheme="minorHAnsi"/>
              </w:rPr>
              <w:t>Employee benefits</w:t>
            </w:r>
            <w:r w:rsidRPr="005C11BD">
              <w:rPr>
                <w:rFonts w:asciiTheme="minorHAnsi" w:hAnsiTheme="minorHAnsi" w:cstheme="minorHAnsi"/>
                <w:vertAlign w:val="superscript"/>
              </w:rPr>
              <w:t xml:space="preserve">(i)(ii) </w:t>
            </w:r>
          </w:p>
        </w:tc>
        <w:tc>
          <w:tcPr>
            <w:tcW w:w="1190" w:type="dxa"/>
          </w:tcPr>
          <w:p w14:paraId="11C7889A" w14:textId="77777777" w:rsidR="00B02873" w:rsidRPr="005C11BD" w:rsidRDefault="00B02873" w:rsidP="005C11BD">
            <w:pPr>
              <w:pStyle w:val="TablebodyleftFinancialsTables"/>
              <w:jc w:val="right"/>
              <w:rPr>
                <w:rFonts w:asciiTheme="minorHAnsi" w:hAnsiTheme="minorHAnsi" w:cstheme="minorHAnsi"/>
                <w:b/>
                <w:bCs/>
              </w:rPr>
            </w:pPr>
            <w:r w:rsidRPr="005C11BD">
              <w:rPr>
                <w:rFonts w:asciiTheme="minorHAnsi" w:hAnsiTheme="minorHAnsi" w:cstheme="minorHAnsi"/>
                <w:b/>
                <w:bCs/>
              </w:rPr>
              <w:t>22,437</w:t>
            </w:r>
          </w:p>
        </w:tc>
        <w:tc>
          <w:tcPr>
            <w:tcW w:w="1191" w:type="dxa"/>
          </w:tcPr>
          <w:p w14:paraId="2ED04381" w14:textId="77777777" w:rsidR="00B02873" w:rsidRPr="005C11BD" w:rsidRDefault="00B02873" w:rsidP="005C11BD">
            <w:pPr>
              <w:pStyle w:val="TablebodyleftFinancialsTables"/>
              <w:jc w:val="right"/>
              <w:rPr>
                <w:rFonts w:asciiTheme="minorHAnsi" w:hAnsiTheme="minorHAnsi" w:cstheme="minorHAnsi"/>
              </w:rPr>
            </w:pPr>
            <w:r w:rsidRPr="005C11BD">
              <w:rPr>
                <w:rFonts w:asciiTheme="minorHAnsi" w:hAnsiTheme="minorHAnsi" w:cstheme="minorHAnsi"/>
              </w:rPr>
              <w:t>17,382</w:t>
            </w:r>
          </w:p>
        </w:tc>
      </w:tr>
      <w:tr w:rsidR="00B02873" w:rsidRPr="005C11BD" w14:paraId="096136FE" w14:textId="77777777" w:rsidTr="005C11BD">
        <w:tc>
          <w:tcPr>
            <w:tcW w:w="7257" w:type="dxa"/>
          </w:tcPr>
          <w:p w14:paraId="39975F5F" w14:textId="77777777" w:rsidR="00B02873" w:rsidRPr="005C11BD" w:rsidRDefault="00B02873" w:rsidP="005C11BD">
            <w:pPr>
              <w:pStyle w:val="TablebodyleftFinancialsTables"/>
              <w:rPr>
                <w:rFonts w:asciiTheme="minorHAnsi" w:hAnsiTheme="minorHAnsi" w:cstheme="minorHAnsi"/>
              </w:rPr>
            </w:pPr>
            <w:r w:rsidRPr="005C11BD">
              <w:rPr>
                <w:rFonts w:asciiTheme="minorHAnsi" w:hAnsiTheme="minorHAnsi" w:cstheme="minorHAnsi"/>
              </w:rPr>
              <w:t>On-costs</w:t>
            </w:r>
            <w:r w:rsidRPr="005C11BD">
              <w:rPr>
                <w:rFonts w:asciiTheme="minorHAnsi" w:hAnsiTheme="minorHAnsi" w:cstheme="minorHAnsi"/>
                <w:vertAlign w:val="superscript"/>
              </w:rPr>
              <w:t xml:space="preserve">(ii) </w:t>
            </w:r>
          </w:p>
        </w:tc>
        <w:tc>
          <w:tcPr>
            <w:tcW w:w="1190" w:type="dxa"/>
          </w:tcPr>
          <w:p w14:paraId="7F327F0C" w14:textId="77777777" w:rsidR="00B02873" w:rsidRPr="005C11BD" w:rsidRDefault="00B02873" w:rsidP="005C11BD">
            <w:pPr>
              <w:pStyle w:val="TablebodyleftFinancialsTables"/>
              <w:jc w:val="right"/>
              <w:rPr>
                <w:rFonts w:asciiTheme="minorHAnsi" w:hAnsiTheme="minorHAnsi" w:cstheme="minorHAnsi"/>
                <w:b/>
                <w:bCs/>
              </w:rPr>
            </w:pPr>
            <w:r w:rsidRPr="005C11BD">
              <w:rPr>
                <w:rFonts w:asciiTheme="minorHAnsi" w:hAnsiTheme="minorHAnsi" w:cstheme="minorHAnsi"/>
                <w:b/>
                <w:bCs/>
              </w:rPr>
              <w:t>3,984</w:t>
            </w:r>
          </w:p>
        </w:tc>
        <w:tc>
          <w:tcPr>
            <w:tcW w:w="1191" w:type="dxa"/>
          </w:tcPr>
          <w:p w14:paraId="4F40F0C3" w14:textId="77777777" w:rsidR="00B02873" w:rsidRPr="005C11BD" w:rsidRDefault="00B02873" w:rsidP="005C11BD">
            <w:pPr>
              <w:pStyle w:val="TablebodyleftFinancialsTables"/>
              <w:jc w:val="right"/>
              <w:rPr>
                <w:rFonts w:asciiTheme="minorHAnsi" w:hAnsiTheme="minorHAnsi" w:cstheme="minorHAnsi"/>
              </w:rPr>
            </w:pPr>
            <w:r w:rsidRPr="005C11BD">
              <w:rPr>
                <w:rFonts w:asciiTheme="minorHAnsi" w:hAnsiTheme="minorHAnsi" w:cstheme="minorHAnsi"/>
              </w:rPr>
              <w:t>2,803</w:t>
            </w:r>
          </w:p>
        </w:tc>
      </w:tr>
      <w:tr w:rsidR="00B02873" w:rsidRPr="005C11BD" w14:paraId="5D4F6322" w14:textId="77777777" w:rsidTr="005C11BD">
        <w:tc>
          <w:tcPr>
            <w:tcW w:w="7257" w:type="dxa"/>
          </w:tcPr>
          <w:p w14:paraId="7187730E" w14:textId="77777777" w:rsidR="00B02873" w:rsidRPr="00D93683" w:rsidRDefault="00B02873" w:rsidP="005C11BD">
            <w:pPr>
              <w:pStyle w:val="TablebodyleftFinancialsTables"/>
              <w:rPr>
                <w:rFonts w:asciiTheme="minorHAnsi" w:hAnsiTheme="minorHAnsi" w:cstheme="minorHAnsi"/>
                <w:b/>
                <w:bCs/>
              </w:rPr>
            </w:pPr>
            <w:r w:rsidRPr="00D93683">
              <w:rPr>
                <w:rFonts w:asciiTheme="minorHAnsi" w:hAnsiTheme="minorHAnsi" w:cstheme="minorHAnsi"/>
                <w:b/>
                <w:bCs/>
              </w:rPr>
              <w:t>Total non-current provisions for employee benefits</w:t>
            </w:r>
          </w:p>
        </w:tc>
        <w:tc>
          <w:tcPr>
            <w:tcW w:w="1190" w:type="dxa"/>
          </w:tcPr>
          <w:p w14:paraId="7455D68B" w14:textId="77777777" w:rsidR="00B02873" w:rsidRPr="005C11BD" w:rsidRDefault="00B02873" w:rsidP="005C11BD">
            <w:pPr>
              <w:pStyle w:val="TablebodyleftFinancialsTables"/>
              <w:jc w:val="right"/>
              <w:rPr>
                <w:rFonts w:asciiTheme="minorHAnsi" w:hAnsiTheme="minorHAnsi" w:cstheme="minorHAnsi"/>
                <w:b/>
                <w:bCs/>
              </w:rPr>
            </w:pPr>
            <w:r w:rsidRPr="005C11BD">
              <w:rPr>
                <w:rFonts w:asciiTheme="minorHAnsi" w:hAnsiTheme="minorHAnsi" w:cstheme="minorHAnsi"/>
                <w:b/>
                <w:bCs/>
              </w:rPr>
              <w:t>26,421</w:t>
            </w:r>
          </w:p>
        </w:tc>
        <w:tc>
          <w:tcPr>
            <w:tcW w:w="1191" w:type="dxa"/>
          </w:tcPr>
          <w:p w14:paraId="1C149972" w14:textId="77777777" w:rsidR="00B02873" w:rsidRPr="005C11BD" w:rsidRDefault="00B02873" w:rsidP="005C11BD">
            <w:pPr>
              <w:pStyle w:val="TablebodyleftFinancialsTables"/>
              <w:jc w:val="right"/>
              <w:rPr>
                <w:rFonts w:asciiTheme="minorHAnsi" w:hAnsiTheme="minorHAnsi" w:cstheme="minorHAnsi"/>
              </w:rPr>
            </w:pPr>
            <w:r w:rsidRPr="005C11BD">
              <w:rPr>
                <w:rFonts w:asciiTheme="minorHAnsi" w:hAnsiTheme="minorHAnsi" w:cstheme="minorHAnsi"/>
              </w:rPr>
              <w:t>20,185</w:t>
            </w:r>
          </w:p>
        </w:tc>
      </w:tr>
      <w:tr w:rsidR="00B02873" w:rsidRPr="005C11BD" w14:paraId="1B6195AC" w14:textId="77777777" w:rsidTr="005C11BD">
        <w:tc>
          <w:tcPr>
            <w:tcW w:w="7257" w:type="dxa"/>
          </w:tcPr>
          <w:p w14:paraId="499AFC72" w14:textId="77777777" w:rsidR="00B02873" w:rsidRPr="00D93683" w:rsidRDefault="00B02873" w:rsidP="005C11BD">
            <w:pPr>
              <w:pStyle w:val="TablebodyleftFinancialsTables"/>
              <w:rPr>
                <w:rFonts w:asciiTheme="minorHAnsi" w:hAnsiTheme="minorHAnsi" w:cstheme="minorHAnsi"/>
                <w:b/>
                <w:bCs/>
              </w:rPr>
            </w:pPr>
            <w:r w:rsidRPr="00D93683">
              <w:rPr>
                <w:rFonts w:asciiTheme="minorHAnsi" w:hAnsiTheme="minorHAnsi" w:cstheme="minorHAnsi"/>
                <w:b/>
                <w:bCs/>
              </w:rPr>
              <w:t>Total provisions for employee benefits</w:t>
            </w:r>
          </w:p>
        </w:tc>
        <w:tc>
          <w:tcPr>
            <w:tcW w:w="1190" w:type="dxa"/>
          </w:tcPr>
          <w:p w14:paraId="59D38D3C" w14:textId="77777777" w:rsidR="00B02873" w:rsidRPr="005C11BD" w:rsidRDefault="00B02873" w:rsidP="005C11BD">
            <w:pPr>
              <w:pStyle w:val="TablebodyleftFinancialsTables"/>
              <w:jc w:val="right"/>
              <w:rPr>
                <w:rFonts w:asciiTheme="minorHAnsi" w:hAnsiTheme="minorHAnsi" w:cstheme="minorHAnsi"/>
                <w:b/>
                <w:bCs/>
              </w:rPr>
            </w:pPr>
            <w:r w:rsidRPr="005C11BD">
              <w:rPr>
                <w:rFonts w:asciiTheme="minorHAnsi" w:hAnsiTheme="minorHAnsi" w:cstheme="minorHAnsi"/>
                <w:b/>
                <w:bCs/>
              </w:rPr>
              <w:t>192,955</w:t>
            </w:r>
          </w:p>
        </w:tc>
        <w:tc>
          <w:tcPr>
            <w:tcW w:w="1191" w:type="dxa"/>
          </w:tcPr>
          <w:p w14:paraId="23DE1F40" w14:textId="77777777" w:rsidR="00B02873" w:rsidRPr="005C11BD" w:rsidRDefault="00B02873" w:rsidP="005C11BD">
            <w:pPr>
              <w:pStyle w:val="TablebodyleftFinancialsTables"/>
              <w:jc w:val="right"/>
              <w:rPr>
                <w:rFonts w:asciiTheme="minorHAnsi" w:hAnsiTheme="minorHAnsi" w:cstheme="minorHAnsi"/>
              </w:rPr>
            </w:pPr>
            <w:r w:rsidRPr="005C11BD">
              <w:rPr>
                <w:rFonts w:asciiTheme="minorHAnsi" w:hAnsiTheme="minorHAnsi" w:cstheme="minorHAnsi"/>
              </w:rPr>
              <w:t>176,754</w:t>
            </w:r>
          </w:p>
        </w:tc>
      </w:tr>
    </w:tbl>
    <w:p w14:paraId="63FCFE52" w14:textId="77777777" w:rsidR="00B02873" w:rsidRPr="00D93683" w:rsidRDefault="00B02873" w:rsidP="00D93683">
      <w:pPr>
        <w:pStyle w:val="SourceNote"/>
        <w:spacing w:after="120"/>
        <w:rPr>
          <w:b/>
          <w:bCs/>
        </w:rPr>
      </w:pPr>
      <w:r w:rsidRPr="00D93683">
        <w:rPr>
          <w:b/>
          <w:bCs/>
        </w:rPr>
        <w:t>Note:</w:t>
      </w:r>
    </w:p>
    <w:p w14:paraId="7BB585B9" w14:textId="4C663A91" w:rsidR="00B02873" w:rsidRDefault="00B02873" w:rsidP="001128B1">
      <w:pPr>
        <w:pStyle w:val="SourceNotenumbered"/>
        <w:numPr>
          <w:ilvl w:val="0"/>
          <w:numId w:val="77"/>
        </w:numPr>
      </w:pPr>
      <w:r>
        <w:t>Provisions for employee benefits consist of amounts for annual leave, LSL and fatigue management leave accrued by employees, not including on-costs.</w:t>
      </w:r>
    </w:p>
    <w:p w14:paraId="7DD806A9" w14:textId="77777777" w:rsidR="00B02873" w:rsidRDefault="00B02873" w:rsidP="00000C5B">
      <w:pPr>
        <w:pStyle w:val="SourceNotenumbered"/>
        <w:spacing w:after="200"/>
        <w:ind w:left="357" w:hanging="357"/>
        <w:rPr>
          <w:sz w:val="18"/>
          <w:szCs w:val="18"/>
        </w:rPr>
      </w:pPr>
      <w:r>
        <w:t>The amounts disclosed are discounted to present values.</w:t>
      </w:r>
    </w:p>
    <w:p w14:paraId="6384765B" w14:textId="08E1B548" w:rsidR="00B02873" w:rsidRDefault="00B02873" w:rsidP="00D93683">
      <w:pPr>
        <w:pStyle w:val="Heading3"/>
      </w:pPr>
      <w:r>
        <w:t>Reconciliation of movement in on-cost provision</w:t>
      </w:r>
    </w:p>
    <w:tbl>
      <w:tblPr>
        <w:tblStyle w:val="TableGrid"/>
        <w:tblW w:w="0" w:type="auto"/>
        <w:tblLayout w:type="fixed"/>
        <w:tblLook w:val="0020" w:firstRow="1" w:lastRow="0" w:firstColumn="0" w:lastColumn="0" w:noHBand="0" w:noVBand="0"/>
      </w:tblPr>
      <w:tblGrid>
        <w:gridCol w:w="8447"/>
        <w:gridCol w:w="1191"/>
      </w:tblGrid>
      <w:tr w:rsidR="00B02873" w:rsidRPr="00B02873" w14:paraId="49ADB710" w14:textId="77777777" w:rsidTr="00D93683">
        <w:trPr>
          <w:cnfStyle w:val="100000000000" w:firstRow="1" w:lastRow="0" w:firstColumn="0" w:lastColumn="0" w:oddVBand="0" w:evenVBand="0" w:oddHBand="0" w:evenHBand="0" w:firstRowFirstColumn="0" w:firstRowLastColumn="0" w:lastRowFirstColumn="0" w:lastRowLastColumn="0"/>
          <w:trHeight w:val="60"/>
          <w:tblHeader/>
        </w:trPr>
        <w:tc>
          <w:tcPr>
            <w:tcW w:w="8447" w:type="dxa"/>
          </w:tcPr>
          <w:p w14:paraId="6BBD6FBA" w14:textId="77777777" w:rsidR="00B02873" w:rsidRPr="00B02873" w:rsidRDefault="00B02873" w:rsidP="00D93683">
            <w:pPr>
              <w:pStyle w:val="TableheadingleftFinancialsTables"/>
            </w:pPr>
          </w:p>
        </w:tc>
        <w:tc>
          <w:tcPr>
            <w:tcW w:w="1191" w:type="dxa"/>
          </w:tcPr>
          <w:p w14:paraId="5D741746" w14:textId="77777777" w:rsidR="00B02873" w:rsidRPr="00D93683" w:rsidRDefault="00B02873" w:rsidP="00D93683">
            <w:pPr>
              <w:pStyle w:val="TableheadingleftFinancialsTables"/>
              <w:jc w:val="right"/>
            </w:pPr>
            <w:r w:rsidRPr="00D93683">
              <w:t>2022</w:t>
            </w:r>
            <w:r w:rsidRPr="00D93683">
              <w:br/>
              <w:t>$’000</w:t>
            </w:r>
          </w:p>
        </w:tc>
      </w:tr>
      <w:tr w:rsidR="00B02873" w:rsidRPr="00B02873" w14:paraId="77CAABEC" w14:textId="77777777" w:rsidTr="00D93683">
        <w:trPr>
          <w:trHeight w:val="60"/>
        </w:trPr>
        <w:tc>
          <w:tcPr>
            <w:tcW w:w="8447" w:type="dxa"/>
          </w:tcPr>
          <w:p w14:paraId="2854CA77" w14:textId="77777777" w:rsidR="00B02873" w:rsidRPr="00D93683" w:rsidRDefault="00B02873" w:rsidP="00D93683">
            <w:pPr>
              <w:pStyle w:val="TablebodyleftFinancialsTables"/>
              <w:rPr>
                <w:b/>
                <w:bCs/>
              </w:rPr>
            </w:pPr>
            <w:r w:rsidRPr="00D93683">
              <w:rPr>
                <w:b/>
                <w:bCs/>
              </w:rPr>
              <w:t>Opening balance</w:t>
            </w:r>
          </w:p>
        </w:tc>
        <w:tc>
          <w:tcPr>
            <w:tcW w:w="1191" w:type="dxa"/>
          </w:tcPr>
          <w:p w14:paraId="57E7EF0D" w14:textId="77777777" w:rsidR="00B02873" w:rsidRPr="00D93683" w:rsidRDefault="00B02873" w:rsidP="00D93683">
            <w:pPr>
              <w:pStyle w:val="TablebodyleftFinancialsTables"/>
              <w:jc w:val="right"/>
              <w:rPr>
                <w:b/>
                <w:bCs/>
              </w:rPr>
            </w:pPr>
            <w:r w:rsidRPr="00D93683">
              <w:rPr>
                <w:b/>
                <w:bCs/>
              </w:rPr>
              <w:t>24,028</w:t>
            </w:r>
          </w:p>
        </w:tc>
      </w:tr>
      <w:tr w:rsidR="00B02873" w:rsidRPr="00B02873" w14:paraId="5DAD6ABD" w14:textId="77777777" w:rsidTr="00D93683">
        <w:trPr>
          <w:trHeight w:val="60"/>
        </w:trPr>
        <w:tc>
          <w:tcPr>
            <w:tcW w:w="8447" w:type="dxa"/>
          </w:tcPr>
          <w:p w14:paraId="353273A6" w14:textId="77777777" w:rsidR="00B02873" w:rsidRDefault="00B02873" w:rsidP="00D93683">
            <w:pPr>
              <w:pStyle w:val="TablebodyleftFinancialsTables"/>
            </w:pPr>
            <w:r>
              <w:t>Additional provisions recognised</w:t>
            </w:r>
          </w:p>
        </w:tc>
        <w:tc>
          <w:tcPr>
            <w:tcW w:w="1191" w:type="dxa"/>
          </w:tcPr>
          <w:p w14:paraId="6B8B64F8" w14:textId="77777777" w:rsidR="00B02873" w:rsidRPr="00D93683" w:rsidRDefault="00B02873" w:rsidP="00D93683">
            <w:pPr>
              <w:pStyle w:val="TablebodyleftFinancialsTables"/>
              <w:jc w:val="right"/>
              <w:rPr>
                <w:b/>
                <w:bCs/>
              </w:rPr>
            </w:pPr>
            <w:r w:rsidRPr="00D93683">
              <w:rPr>
                <w:b/>
                <w:bCs/>
              </w:rPr>
              <w:t>12,489</w:t>
            </w:r>
          </w:p>
        </w:tc>
      </w:tr>
      <w:tr w:rsidR="00B02873" w:rsidRPr="00B02873" w14:paraId="5D9F21F1" w14:textId="77777777" w:rsidTr="00D93683">
        <w:trPr>
          <w:trHeight w:val="60"/>
        </w:trPr>
        <w:tc>
          <w:tcPr>
            <w:tcW w:w="8447" w:type="dxa"/>
          </w:tcPr>
          <w:p w14:paraId="60E4BD2F" w14:textId="77777777" w:rsidR="00B02873" w:rsidRDefault="00B02873" w:rsidP="00D93683">
            <w:pPr>
              <w:pStyle w:val="TablebodyleftFinancialsTables"/>
            </w:pPr>
            <w:r>
              <w:t>Reductions arising from payments/other sacrifices of future economic benefits</w:t>
            </w:r>
          </w:p>
        </w:tc>
        <w:tc>
          <w:tcPr>
            <w:tcW w:w="1191" w:type="dxa"/>
          </w:tcPr>
          <w:p w14:paraId="423A9CD3" w14:textId="77777777" w:rsidR="00B02873" w:rsidRPr="00D93683" w:rsidRDefault="00B02873" w:rsidP="00D93683">
            <w:pPr>
              <w:pStyle w:val="TablebodyleftFinancialsTables"/>
              <w:jc w:val="right"/>
              <w:rPr>
                <w:b/>
                <w:bCs/>
              </w:rPr>
            </w:pPr>
            <w:r w:rsidRPr="00D93683">
              <w:rPr>
                <w:b/>
                <w:bCs/>
              </w:rPr>
              <w:t>(9,572)</w:t>
            </w:r>
          </w:p>
        </w:tc>
      </w:tr>
      <w:tr w:rsidR="00B02873" w:rsidRPr="00B02873" w14:paraId="0A82BB2C" w14:textId="77777777" w:rsidTr="00D93683">
        <w:trPr>
          <w:trHeight w:val="60"/>
        </w:trPr>
        <w:tc>
          <w:tcPr>
            <w:tcW w:w="8447" w:type="dxa"/>
          </w:tcPr>
          <w:p w14:paraId="3CE60BD8" w14:textId="77777777" w:rsidR="00B02873" w:rsidRDefault="00B02873" w:rsidP="00D93683">
            <w:pPr>
              <w:pStyle w:val="TablebodyleftFinancialsTables"/>
            </w:pPr>
            <w:r>
              <w:t>Unwind of discount and effect of changes in the discount rate</w:t>
            </w:r>
          </w:p>
        </w:tc>
        <w:tc>
          <w:tcPr>
            <w:tcW w:w="1191" w:type="dxa"/>
          </w:tcPr>
          <w:p w14:paraId="60612985" w14:textId="77777777" w:rsidR="00B02873" w:rsidRPr="00D93683" w:rsidRDefault="00B02873" w:rsidP="00D93683">
            <w:pPr>
              <w:pStyle w:val="TablebodyleftFinancialsTables"/>
              <w:jc w:val="right"/>
              <w:rPr>
                <w:b/>
                <w:bCs/>
              </w:rPr>
            </w:pPr>
            <w:r w:rsidRPr="00D93683">
              <w:rPr>
                <w:b/>
                <w:bCs/>
              </w:rPr>
              <w:t>1,594</w:t>
            </w:r>
          </w:p>
        </w:tc>
      </w:tr>
      <w:tr w:rsidR="00B02873" w:rsidRPr="00B02873" w14:paraId="22B8734D" w14:textId="77777777" w:rsidTr="00D93683">
        <w:trPr>
          <w:trHeight w:val="60"/>
        </w:trPr>
        <w:tc>
          <w:tcPr>
            <w:tcW w:w="8447" w:type="dxa"/>
          </w:tcPr>
          <w:p w14:paraId="54533105" w14:textId="77777777" w:rsidR="00B02873" w:rsidRPr="00D93683" w:rsidRDefault="00B02873" w:rsidP="00D93683">
            <w:pPr>
              <w:pStyle w:val="TablebodyleftFinancialsTables"/>
              <w:rPr>
                <w:b/>
                <w:bCs/>
              </w:rPr>
            </w:pPr>
            <w:r w:rsidRPr="00D93683">
              <w:rPr>
                <w:b/>
                <w:bCs/>
              </w:rPr>
              <w:t>Closing balance</w:t>
            </w:r>
          </w:p>
        </w:tc>
        <w:tc>
          <w:tcPr>
            <w:tcW w:w="1191" w:type="dxa"/>
          </w:tcPr>
          <w:p w14:paraId="168C62D6" w14:textId="77777777" w:rsidR="00B02873" w:rsidRPr="00D93683" w:rsidRDefault="00B02873" w:rsidP="00D93683">
            <w:pPr>
              <w:pStyle w:val="TablebodyleftFinancialsTables"/>
              <w:jc w:val="right"/>
              <w:rPr>
                <w:b/>
                <w:bCs/>
              </w:rPr>
            </w:pPr>
            <w:r w:rsidRPr="00D93683">
              <w:rPr>
                <w:b/>
                <w:bCs/>
              </w:rPr>
              <w:t>28,539</w:t>
            </w:r>
          </w:p>
        </w:tc>
      </w:tr>
      <w:tr w:rsidR="00B02873" w:rsidRPr="00B02873" w14:paraId="1D36CE0A" w14:textId="77777777" w:rsidTr="00D93683">
        <w:trPr>
          <w:trHeight w:val="60"/>
        </w:trPr>
        <w:tc>
          <w:tcPr>
            <w:tcW w:w="8447" w:type="dxa"/>
          </w:tcPr>
          <w:p w14:paraId="192C165C" w14:textId="77777777" w:rsidR="00B02873" w:rsidRDefault="00B02873" w:rsidP="00D93683">
            <w:pPr>
              <w:pStyle w:val="TablebodyleftFinancialsTables"/>
            </w:pPr>
            <w:r>
              <w:t xml:space="preserve">Current </w:t>
            </w:r>
          </w:p>
        </w:tc>
        <w:tc>
          <w:tcPr>
            <w:tcW w:w="1191" w:type="dxa"/>
          </w:tcPr>
          <w:p w14:paraId="4B62828A" w14:textId="77777777" w:rsidR="00B02873" w:rsidRPr="00D93683" w:rsidRDefault="00B02873" w:rsidP="00D93683">
            <w:pPr>
              <w:pStyle w:val="TablebodyleftFinancialsTables"/>
              <w:jc w:val="right"/>
              <w:rPr>
                <w:b/>
                <w:bCs/>
              </w:rPr>
            </w:pPr>
            <w:r w:rsidRPr="00D93683">
              <w:rPr>
                <w:b/>
                <w:bCs/>
              </w:rPr>
              <w:t>24,555</w:t>
            </w:r>
          </w:p>
        </w:tc>
      </w:tr>
      <w:tr w:rsidR="00B02873" w:rsidRPr="00B02873" w14:paraId="4F02FE1C" w14:textId="77777777" w:rsidTr="00D93683">
        <w:trPr>
          <w:trHeight w:val="60"/>
        </w:trPr>
        <w:tc>
          <w:tcPr>
            <w:tcW w:w="8447" w:type="dxa"/>
          </w:tcPr>
          <w:p w14:paraId="5A8B0A4E" w14:textId="77777777" w:rsidR="00B02873" w:rsidRDefault="00B02873" w:rsidP="00D93683">
            <w:pPr>
              <w:pStyle w:val="TablebodyleftFinancialsTables"/>
            </w:pPr>
            <w:r>
              <w:t xml:space="preserve">Non-current </w:t>
            </w:r>
          </w:p>
        </w:tc>
        <w:tc>
          <w:tcPr>
            <w:tcW w:w="1191" w:type="dxa"/>
          </w:tcPr>
          <w:p w14:paraId="231746C7" w14:textId="77777777" w:rsidR="00B02873" w:rsidRPr="00D93683" w:rsidRDefault="00B02873" w:rsidP="00D93683">
            <w:pPr>
              <w:pStyle w:val="TablebodyleftFinancialsTables"/>
              <w:jc w:val="right"/>
              <w:rPr>
                <w:b/>
                <w:bCs/>
              </w:rPr>
            </w:pPr>
            <w:r w:rsidRPr="00D93683">
              <w:rPr>
                <w:b/>
                <w:bCs/>
              </w:rPr>
              <w:t>3,984</w:t>
            </w:r>
          </w:p>
        </w:tc>
      </w:tr>
      <w:tr w:rsidR="00B02873" w:rsidRPr="00B02873" w14:paraId="1E30226F" w14:textId="77777777" w:rsidTr="00D93683">
        <w:trPr>
          <w:trHeight w:val="60"/>
        </w:trPr>
        <w:tc>
          <w:tcPr>
            <w:tcW w:w="8447" w:type="dxa"/>
          </w:tcPr>
          <w:p w14:paraId="40DB4C64" w14:textId="77777777" w:rsidR="00B02873" w:rsidRPr="00D93683" w:rsidRDefault="00B02873" w:rsidP="00D93683">
            <w:pPr>
              <w:pStyle w:val="TablebodyleftFinancialsTables"/>
              <w:rPr>
                <w:b/>
                <w:bCs/>
              </w:rPr>
            </w:pPr>
            <w:r w:rsidRPr="00D93683">
              <w:rPr>
                <w:b/>
                <w:bCs/>
              </w:rPr>
              <w:t>Total provision for on-cost</w:t>
            </w:r>
          </w:p>
        </w:tc>
        <w:tc>
          <w:tcPr>
            <w:tcW w:w="1191" w:type="dxa"/>
          </w:tcPr>
          <w:p w14:paraId="380E7876" w14:textId="77777777" w:rsidR="00B02873" w:rsidRPr="00D93683" w:rsidRDefault="00B02873" w:rsidP="00D93683">
            <w:pPr>
              <w:pStyle w:val="TablebodyleftFinancialsTables"/>
              <w:jc w:val="right"/>
              <w:rPr>
                <w:b/>
                <w:bCs/>
              </w:rPr>
            </w:pPr>
            <w:r w:rsidRPr="00D93683">
              <w:rPr>
                <w:b/>
                <w:bCs/>
              </w:rPr>
              <w:t>28,539</w:t>
            </w:r>
          </w:p>
        </w:tc>
      </w:tr>
    </w:tbl>
    <w:p w14:paraId="37A5AE74" w14:textId="77777777" w:rsidR="00B02873" w:rsidRDefault="00B02873" w:rsidP="00FE198A"/>
    <w:p w14:paraId="6A225F78" w14:textId="77F73E38" w:rsidR="00B02873" w:rsidRDefault="00B02873" w:rsidP="00D93683">
      <w:pPr>
        <w:pStyle w:val="Heading4"/>
      </w:pPr>
      <w:r>
        <w:t>Salaries and wages, annual leave and sick leave</w:t>
      </w:r>
    </w:p>
    <w:p w14:paraId="43B57BCD" w14:textId="77777777" w:rsidR="00B02873" w:rsidRDefault="00B02873" w:rsidP="00FE198A">
      <w:r>
        <w:rPr>
          <w:spacing w:val="-2"/>
        </w:rPr>
        <w:t xml:space="preserve">Liabilities for salaries and wages (including non-monetary benefits, annual leave and on-costs) are recognised as part of the employee benefit provisions as current liabilities, because the department does not have an unconditional right to defer settlements of these liabilities. </w:t>
      </w:r>
    </w:p>
    <w:p w14:paraId="245B2EF5" w14:textId="77777777" w:rsidR="00B02873" w:rsidRDefault="00B02873" w:rsidP="00FE198A">
      <w:r>
        <w:t>The liability for salaries and wages are recognised in the balance sheet at remuneration rates which are current at the reporting date. As the department expects the liabilities to be wholly settled within 12 months of reporting date, they are measured at undiscounted amounts.</w:t>
      </w:r>
    </w:p>
    <w:p w14:paraId="59252B6B" w14:textId="77777777" w:rsidR="00B02873" w:rsidRDefault="00B02873" w:rsidP="00D93683">
      <w:pPr>
        <w:pStyle w:val="Normalbeforebullet"/>
      </w:pPr>
      <w:r>
        <w:t xml:space="preserve">Depending on the expectation of the timing of settlement, liabilities for wages and salaries, and annual leave are measured at: </w:t>
      </w:r>
    </w:p>
    <w:p w14:paraId="01FF8D7A" w14:textId="631AD6B0" w:rsidR="00B02873" w:rsidRDefault="00B02873" w:rsidP="00B02873">
      <w:pPr>
        <w:pStyle w:val="Bullet1Lists"/>
      </w:pPr>
      <w:r>
        <w:t>undiscounted value – if the department expects to wholly settle within 12 months</w:t>
      </w:r>
    </w:p>
    <w:p w14:paraId="43E3407C" w14:textId="77777777" w:rsidR="00B02873" w:rsidRDefault="00B02873" w:rsidP="00D93683">
      <w:pPr>
        <w:pStyle w:val="Bullet1Listslast"/>
      </w:pPr>
      <w:r>
        <w:t xml:space="preserve">present value – if the department does not expect to wholly settle within 12 months. </w:t>
      </w:r>
    </w:p>
    <w:p w14:paraId="002DB39D" w14:textId="77777777" w:rsidR="00B02873" w:rsidRDefault="00B02873" w:rsidP="00FE198A">
      <w:r>
        <w:rPr>
          <w:spacing w:val="-2"/>
        </w:rPr>
        <w:lastRenderedPageBreak/>
        <w:t>No provision has been made for sick leave as all sick leave is non-vesting and it is not considered probable that the average sick leave taken in the future will be greater than the benefits accrued in the future. As sick leave is non-vesting, an expense is recognised in the statement of comprehensive income as it is taken.</w:t>
      </w:r>
    </w:p>
    <w:p w14:paraId="74503AFD" w14:textId="77777777" w:rsidR="00B02873" w:rsidRDefault="00B02873" w:rsidP="00FE198A">
      <w:r>
        <w:t>Employment on-costs such as payroll tax, workers compensation and superannuation are not employee benefits. They is disclosed separately as a component of the provision for employee benefits when the employment to which they relate has occurred.</w:t>
      </w:r>
    </w:p>
    <w:p w14:paraId="44F3FB84" w14:textId="77777777" w:rsidR="00B02873" w:rsidRDefault="00B02873" w:rsidP="00D93683">
      <w:pPr>
        <w:pStyle w:val="Heading4"/>
      </w:pPr>
      <w:r>
        <w:t>Fatigue management leave</w:t>
      </w:r>
    </w:p>
    <w:p w14:paraId="5F04C5B4" w14:textId="77777777" w:rsidR="00B02873" w:rsidRDefault="00B02873" w:rsidP="00FE198A">
      <w:r>
        <w:rPr>
          <w:spacing w:val="-2"/>
        </w:rPr>
        <w:t xml:space="preserve">Fatigue Management Leave (FML) is provided to staff for the management of long-term fatigue that can result from extended involvement in emergency management over a 12-month period. </w:t>
      </w:r>
    </w:p>
    <w:p w14:paraId="5521608F" w14:textId="43D5328D" w:rsidR="00B02873" w:rsidRDefault="00B02873" w:rsidP="00FE198A">
      <w:r>
        <w:t>FML is accrued based on overtime and standby performed outside of normal hours when the Emergency Provision in Appendix 6 of the VPS Agreement 2020 or Section II of the Field Staff Services and Wild Dog Controller Agreement 2021 have been enacted.</w:t>
      </w:r>
      <w:r w:rsidR="00012C04">
        <w:t xml:space="preserve"> </w:t>
      </w:r>
      <w:r>
        <w:t>FML is calculated over a 12-month period being, from 1 September to 31 August.</w:t>
      </w:r>
      <w:r w:rsidR="00012C04">
        <w:t xml:space="preserve"> </w:t>
      </w:r>
      <w:r>
        <w:t>Any entitlement must be accrued and used within each 12-month period. Leave entitlements that have been accrued and yet to be taken are paid out to staff upon termination if the staff leaves prior to the end of the FML period each year (31 August).</w:t>
      </w:r>
    </w:p>
    <w:p w14:paraId="7C822370" w14:textId="77777777" w:rsidR="00B02873" w:rsidRDefault="00B02873" w:rsidP="00FE198A">
      <w:r>
        <w:t>Provisions are recognised as current liabilities (undiscounted) for unpaid fatigue management leave at reporting date.</w:t>
      </w:r>
    </w:p>
    <w:p w14:paraId="2796898F" w14:textId="77777777" w:rsidR="00B02873" w:rsidRDefault="00B02873" w:rsidP="00D93683">
      <w:pPr>
        <w:pStyle w:val="Heading4"/>
      </w:pPr>
      <w:r>
        <w:t>Long service leave</w:t>
      </w:r>
    </w:p>
    <w:p w14:paraId="5527EED1" w14:textId="17AB10F5" w:rsidR="00B02873" w:rsidRDefault="00B02873" w:rsidP="00FE198A">
      <w:r>
        <w:rPr>
          <w:spacing w:val="-2"/>
        </w:rPr>
        <w:t>Unconditional long service leave (LSL) is disclosed as a current liability, even where the department does not expect to settle the liability within 12 months, because it will not have the unconditional right to defer the settlement of the entitlement should an employee take leave within 12 months.</w:t>
      </w:r>
    </w:p>
    <w:p w14:paraId="7801A6C8" w14:textId="77777777" w:rsidR="00B02873" w:rsidRDefault="00B02873" w:rsidP="00D93683">
      <w:pPr>
        <w:pStyle w:val="Normalbeforebullet"/>
      </w:pPr>
      <w:r>
        <w:t>The components of this current LSL liability are measured at:</w:t>
      </w:r>
    </w:p>
    <w:p w14:paraId="72684535" w14:textId="18B63384" w:rsidR="00B02873" w:rsidRDefault="00B02873" w:rsidP="00B02873">
      <w:pPr>
        <w:pStyle w:val="Bullet1Lists"/>
      </w:pPr>
      <w:r>
        <w:t>undiscounted value – if the department expects to wholly settle within 12 months</w:t>
      </w:r>
    </w:p>
    <w:p w14:paraId="2533FA84" w14:textId="77777777" w:rsidR="00B02873" w:rsidRDefault="00B02873" w:rsidP="00D93683">
      <w:pPr>
        <w:pStyle w:val="Bullet1Listslast"/>
      </w:pPr>
      <w:r>
        <w:t>present value – if the department does not expect to wholly settle within 12 months.</w:t>
      </w:r>
    </w:p>
    <w:p w14:paraId="561E61F5" w14:textId="77777777" w:rsidR="00B02873" w:rsidRDefault="00B02873" w:rsidP="00FE198A">
      <w:r>
        <w:rPr>
          <w:spacing w:val="-2"/>
        </w:rPr>
        <w:t>Conditional LSL is disclosed as a non-current liability. There is an unconditional right to defer the settlement of the entitlement until the employee has completed the requisite years of service. This non-current LSL liability is measured at present value.</w:t>
      </w:r>
    </w:p>
    <w:p w14:paraId="66A0E332" w14:textId="20E2FE63" w:rsidR="00B02873" w:rsidRPr="00546E03" w:rsidRDefault="00B02873" w:rsidP="00FE198A">
      <w:r>
        <w:t xml:space="preserve">The department has used the DTF 2008 Long Service Leave Model to calculate the present value of the LSL provision and also to split the provision between “settle within 12 months” and “settle after 12 months” for the current financial year. Any gain or loss following revaluation of the present value of non-current LSL liability is recognised as a transaction, except to the extent that a gain or loss arises due to changes in bond interest rates for which it is then recognised as an ‘other economic flow’ in net result (refer to Note 9.2 </w:t>
      </w:r>
      <w:r w:rsidRPr="00D93683">
        <w:rPr>
          <w:rStyle w:val="LightItalic"/>
          <w:rFonts w:asciiTheme="minorHAnsi" w:hAnsiTheme="minorHAnsi" w:cstheme="minorHAnsi"/>
        </w:rPr>
        <w:t>Other economic flows included in net result</w:t>
      </w:r>
      <w:r>
        <w:t>).</w:t>
      </w:r>
    </w:p>
    <w:p w14:paraId="4538E448" w14:textId="77777777" w:rsidR="00B02873" w:rsidRDefault="00B02873" w:rsidP="00D93683">
      <w:pPr>
        <w:pStyle w:val="Heading5"/>
      </w:pPr>
      <w:r>
        <w:t>3.1.1 (b) Superannuation contributions</w:t>
      </w:r>
    </w:p>
    <w:p w14:paraId="329A864F" w14:textId="77777777" w:rsidR="00B02873" w:rsidRDefault="00B02873" w:rsidP="00FE198A">
      <w:r>
        <w:t>The amount recognised in the comprehensive operating statement in relation to superannuation is the employer contributions for members of both defined benefit and defined contribution superannuation plans that are paid or payable during the reporting period. The defined benefit plan provides benefits based on years of service and final average salary.</w:t>
      </w:r>
    </w:p>
    <w:p w14:paraId="6D1F4A9B" w14:textId="07F274AC" w:rsidR="00B02873" w:rsidRDefault="00B02873" w:rsidP="0052309F">
      <w:pPr>
        <w:pStyle w:val="Normalbeforebullet"/>
      </w:pPr>
      <w:r>
        <w:lastRenderedPageBreak/>
        <w:t>The name, details and amounts expensed in relation to the major employee superannuation funds and contributions made by the department are listed in the below table as follows:</w:t>
      </w:r>
    </w:p>
    <w:tbl>
      <w:tblPr>
        <w:tblStyle w:val="TableGrid"/>
        <w:tblW w:w="9638" w:type="dxa"/>
        <w:tblLayout w:type="fixed"/>
        <w:tblLook w:val="0020" w:firstRow="1" w:lastRow="0" w:firstColumn="0" w:lastColumn="0" w:noHBand="0" w:noVBand="0"/>
      </w:tblPr>
      <w:tblGrid>
        <w:gridCol w:w="4248"/>
        <w:gridCol w:w="1347"/>
        <w:gridCol w:w="1348"/>
        <w:gridCol w:w="1347"/>
        <w:gridCol w:w="1348"/>
      </w:tblGrid>
      <w:tr w:rsidR="00B02873" w:rsidRPr="00A3564B" w14:paraId="47997694" w14:textId="77777777" w:rsidTr="00A3564B">
        <w:trPr>
          <w:cnfStyle w:val="100000000000" w:firstRow="1" w:lastRow="0" w:firstColumn="0" w:lastColumn="0" w:oddVBand="0" w:evenVBand="0" w:oddHBand="0" w:evenHBand="0" w:firstRowFirstColumn="0" w:firstRowLastColumn="0" w:lastRowFirstColumn="0" w:lastRowLastColumn="0"/>
          <w:trHeight w:val="60"/>
          <w:tblHeader/>
        </w:trPr>
        <w:tc>
          <w:tcPr>
            <w:tcW w:w="4248" w:type="dxa"/>
          </w:tcPr>
          <w:p w14:paraId="7E5E4DB8" w14:textId="77777777" w:rsidR="00B02873" w:rsidRPr="00A3564B" w:rsidRDefault="00B02873" w:rsidP="009A12B2">
            <w:pPr>
              <w:pStyle w:val="TableheadingleftFinancialsTables"/>
              <w:rPr>
                <w:rFonts w:asciiTheme="minorHAnsi" w:hAnsiTheme="minorHAnsi" w:cstheme="minorHAnsi"/>
              </w:rPr>
            </w:pPr>
          </w:p>
        </w:tc>
        <w:tc>
          <w:tcPr>
            <w:tcW w:w="1347" w:type="dxa"/>
          </w:tcPr>
          <w:p w14:paraId="02D89A96" w14:textId="4D3F5062" w:rsidR="00B02873" w:rsidRPr="00A3564B" w:rsidRDefault="009A12B2" w:rsidP="00A3564B">
            <w:pPr>
              <w:pStyle w:val="TableheadingleftFinancialsTables"/>
              <w:jc w:val="right"/>
              <w:rPr>
                <w:rFonts w:asciiTheme="minorHAnsi" w:hAnsiTheme="minorHAnsi" w:cstheme="minorHAnsi"/>
              </w:rPr>
            </w:pPr>
            <w:r w:rsidRPr="00A3564B">
              <w:rPr>
                <w:rFonts w:asciiTheme="minorHAnsi" w:hAnsiTheme="minorHAnsi" w:cstheme="minorHAnsi"/>
              </w:rPr>
              <w:t xml:space="preserve">Paid contribution for the year </w:t>
            </w:r>
            <w:r w:rsidR="00B02873" w:rsidRPr="00A3564B">
              <w:rPr>
                <w:rFonts w:asciiTheme="minorHAnsi" w:hAnsiTheme="minorHAnsi" w:cstheme="minorHAnsi"/>
              </w:rPr>
              <w:t>2022</w:t>
            </w:r>
            <w:r w:rsidR="00B02873" w:rsidRPr="00A3564B">
              <w:rPr>
                <w:rFonts w:asciiTheme="minorHAnsi" w:hAnsiTheme="minorHAnsi" w:cstheme="minorHAnsi"/>
              </w:rPr>
              <w:br/>
              <w:t>$’000</w:t>
            </w:r>
          </w:p>
        </w:tc>
        <w:tc>
          <w:tcPr>
            <w:tcW w:w="1348" w:type="dxa"/>
          </w:tcPr>
          <w:p w14:paraId="4AAF2104" w14:textId="10FB94F3" w:rsidR="00B02873" w:rsidRPr="00A3564B" w:rsidRDefault="009A12B2" w:rsidP="00A3564B">
            <w:pPr>
              <w:pStyle w:val="TableheadingleftFinancialsTables"/>
              <w:jc w:val="right"/>
              <w:rPr>
                <w:rFonts w:asciiTheme="minorHAnsi" w:hAnsiTheme="minorHAnsi" w:cstheme="minorHAnsi"/>
              </w:rPr>
            </w:pPr>
            <w:r w:rsidRPr="00A3564B">
              <w:rPr>
                <w:rFonts w:asciiTheme="minorHAnsi" w:hAnsiTheme="minorHAnsi" w:cstheme="minorHAnsi"/>
              </w:rPr>
              <w:t xml:space="preserve">Paid contribution for the year </w:t>
            </w:r>
            <w:r w:rsidR="00B02873" w:rsidRPr="00A3564B">
              <w:rPr>
                <w:rFonts w:asciiTheme="minorHAnsi" w:hAnsiTheme="minorHAnsi" w:cstheme="minorHAnsi"/>
              </w:rPr>
              <w:t>2021</w:t>
            </w:r>
            <w:r w:rsidR="00B02873" w:rsidRPr="00A3564B">
              <w:rPr>
                <w:rFonts w:asciiTheme="minorHAnsi" w:hAnsiTheme="minorHAnsi" w:cstheme="minorHAnsi"/>
              </w:rPr>
              <w:br/>
              <w:t>$’000</w:t>
            </w:r>
          </w:p>
        </w:tc>
        <w:tc>
          <w:tcPr>
            <w:tcW w:w="1347" w:type="dxa"/>
          </w:tcPr>
          <w:p w14:paraId="3B927CF5" w14:textId="3EA27227" w:rsidR="00B02873" w:rsidRPr="00A3564B" w:rsidRDefault="009A12B2" w:rsidP="00A3564B">
            <w:pPr>
              <w:pStyle w:val="TableheadingleftFinancialsTables"/>
              <w:jc w:val="right"/>
              <w:rPr>
                <w:rFonts w:asciiTheme="minorHAnsi" w:hAnsiTheme="minorHAnsi" w:cstheme="minorHAnsi"/>
              </w:rPr>
            </w:pPr>
            <w:r w:rsidRPr="00A3564B">
              <w:rPr>
                <w:rFonts w:asciiTheme="minorHAnsi" w:hAnsiTheme="minorHAnsi" w:cstheme="minorHAnsi"/>
              </w:rPr>
              <w:t xml:space="preserve">Contribution outstanding at year end </w:t>
            </w:r>
            <w:r w:rsidR="00B02873" w:rsidRPr="00A3564B">
              <w:rPr>
                <w:rFonts w:asciiTheme="minorHAnsi" w:hAnsiTheme="minorHAnsi" w:cstheme="minorHAnsi"/>
              </w:rPr>
              <w:t>2022</w:t>
            </w:r>
            <w:r w:rsidR="00B02873" w:rsidRPr="00A3564B">
              <w:rPr>
                <w:rFonts w:asciiTheme="minorHAnsi" w:hAnsiTheme="minorHAnsi" w:cstheme="minorHAnsi"/>
              </w:rPr>
              <w:br/>
              <w:t>$’000</w:t>
            </w:r>
          </w:p>
        </w:tc>
        <w:tc>
          <w:tcPr>
            <w:tcW w:w="1348" w:type="dxa"/>
          </w:tcPr>
          <w:p w14:paraId="7DD0A010" w14:textId="73589F30" w:rsidR="00B02873" w:rsidRPr="00A3564B" w:rsidRDefault="009A12B2" w:rsidP="00A3564B">
            <w:pPr>
              <w:pStyle w:val="TableheadingleftFinancialsTables"/>
              <w:jc w:val="right"/>
              <w:rPr>
                <w:rFonts w:asciiTheme="minorHAnsi" w:hAnsiTheme="minorHAnsi" w:cstheme="minorHAnsi"/>
              </w:rPr>
            </w:pPr>
            <w:r w:rsidRPr="00A3564B">
              <w:rPr>
                <w:rFonts w:asciiTheme="minorHAnsi" w:hAnsiTheme="minorHAnsi" w:cstheme="minorHAnsi"/>
              </w:rPr>
              <w:t xml:space="preserve">Contribution outstanding at year end </w:t>
            </w:r>
            <w:r w:rsidR="00B02873" w:rsidRPr="00A3564B">
              <w:rPr>
                <w:rFonts w:asciiTheme="minorHAnsi" w:hAnsiTheme="minorHAnsi" w:cstheme="minorHAnsi"/>
              </w:rPr>
              <w:t>2021</w:t>
            </w:r>
            <w:r w:rsidR="00B02873" w:rsidRPr="00A3564B">
              <w:rPr>
                <w:rFonts w:asciiTheme="minorHAnsi" w:hAnsiTheme="minorHAnsi" w:cstheme="minorHAnsi"/>
              </w:rPr>
              <w:br/>
              <w:t>$’000</w:t>
            </w:r>
          </w:p>
        </w:tc>
      </w:tr>
      <w:tr w:rsidR="00B02873" w:rsidRPr="00A3564B" w14:paraId="747C01B9" w14:textId="77777777" w:rsidTr="00A3564B">
        <w:trPr>
          <w:trHeight w:val="330"/>
        </w:trPr>
        <w:tc>
          <w:tcPr>
            <w:tcW w:w="4248" w:type="dxa"/>
          </w:tcPr>
          <w:p w14:paraId="6566F3D7" w14:textId="77777777" w:rsidR="00B02873" w:rsidRPr="00A3564B" w:rsidRDefault="00B02873" w:rsidP="009A12B2">
            <w:pPr>
              <w:pStyle w:val="TablebodyleftFinancialsTables"/>
              <w:rPr>
                <w:rFonts w:asciiTheme="minorHAnsi" w:hAnsiTheme="minorHAnsi" w:cstheme="minorHAnsi"/>
                <w:b/>
                <w:bCs/>
              </w:rPr>
            </w:pPr>
            <w:r w:rsidRPr="00A3564B">
              <w:rPr>
                <w:rFonts w:asciiTheme="minorHAnsi" w:hAnsiTheme="minorHAnsi" w:cstheme="minorHAnsi"/>
                <w:b/>
                <w:bCs/>
              </w:rPr>
              <w:t>Fund</w:t>
            </w:r>
          </w:p>
        </w:tc>
        <w:tc>
          <w:tcPr>
            <w:tcW w:w="1347" w:type="dxa"/>
          </w:tcPr>
          <w:p w14:paraId="39A56469" w14:textId="77777777" w:rsidR="00B02873" w:rsidRPr="00A3564B" w:rsidRDefault="00B02873" w:rsidP="00A3564B">
            <w:pPr>
              <w:pStyle w:val="TablebodyleftFinancialsTables"/>
              <w:jc w:val="right"/>
              <w:rPr>
                <w:rFonts w:asciiTheme="minorHAnsi" w:hAnsiTheme="minorHAnsi" w:cstheme="minorHAnsi"/>
                <w:b/>
                <w:bCs/>
              </w:rPr>
            </w:pPr>
          </w:p>
        </w:tc>
        <w:tc>
          <w:tcPr>
            <w:tcW w:w="1348" w:type="dxa"/>
          </w:tcPr>
          <w:p w14:paraId="1909D9CD" w14:textId="77777777" w:rsidR="00B02873" w:rsidRPr="00A3564B" w:rsidRDefault="00B02873" w:rsidP="00A3564B">
            <w:pPr>
              <w:pStyle w:val="TablebodyleftFinancialsTables"/>
              <w:jc w:val="right"/>
              <w:rPr>
                <w:rFonts w:asciiTheme="minorHAnsi" w:hAnsiTheme="minorHAnsi" w:cstheme="minorHAnsi"/>
                <w:b/>
                <w:bCs/>
              </w:rPr>
            </w:pPr>
          </w:p>
        </w:tc>
        <w:tc>
          <w:tcPr>
            <w:tcW w:w="1347" w:type="dxa"/>
          </w:tcPr>
          <w:p w14:paraId="29F55628" w14:textId="77777777" w:rsidR="00B02873" w:rsidRPr="00A3564B" w:rsidRDefault="00B02873" w:rsidP="00A3564B">
            <w:pPr>
              <w:pStyle w:val="TablebodyleftFinancialsTables"/>
              <w:jc w:val="right"/>
              <w:rPr>
                <w:rFonts w:asciiTheme="minorHAnsi" w:hAnsiTheme="minorHAnsi" w:cstheme="minorHAnsi"/>
                <w:b/>
                <w:bCs/>
              </w:rPr>
            </w:pPr>
          </w:p>
        </w:tc>
        <w:tc>
          <w:tcPr>
            <w:tcW w:w="1348" w:type="dxa"/>
          </w:tcPr>
          <w:p w14:paraId="43F6F75A" w14:textId="77777777" w:rsidR="00B02873" w:rsidRPr="00A3564B" w:rsidRDefault="00B02873" w:rsidP="00A3564B">
            <w:pPr>
              <w:pStyle w:val="TablebodyleftFinancialsTables"/>
              <w:jc w:val="right"/>
              <w:rPr>
                <w:rFonts w:asciiTheme="minorHAnsi" w:hAnsiTheme="minorHAnsi" w:cstheme="minorHAnsi"/>
                <w:b/>
                <w:bCs/>
              </w:rPr>
            </w:pPr>
          </w:p>
        </w:tc>
      </w:tr>
      <w:tr w:rsidR="00B02873" w:rsidRPr="00A3564B" w14:paraId="36E38567" w14:textId="77777777" w:rsidTr="00A3564B">
        <w:trPr>
          <w:trHeight w:val="60"/>
        </w:trPr>
        <w:tc>
          <w:tcPr>
            <w:tcW w:w="4248" w:type="dxa"/>
          </w:tcPr>
          <w:p w14:paraId="545B01BA" w14:textId="77777777" w:rsidR="00B02873" w:rsidRPr="00A3564B" w:rsidRDefault="00B02873" w:rsidP="009A12B2">
            <w:pPr>
              <w:pStyle w:val="TablebodyleftFinancialsTables"/>
              <w:rPr>
                <w:rFonts w:asciiTheme="minorHAnsi" w:hAnsiTheme="minorHAnsi" w:cstheme="minorHAnsi"/>
                <w:b/>
                <w:bCs/>
              </w:rPr>
            </w:pPr>
            <w:r w:rsidRPr="00A3564B">
              <w:rPr>
                <w:rFonts w:asciiTheme="minorHAnsi" w:hAnsiTheme="minorHAnsi" w:cstheme="minorHAnsi"/>
                <w:b/>
                <w:bCs/>
              </w:rPr>
              <w:t>Defined benefit plans</w:t>
            </w:r>
            <w:r w:rsidRPr="00A3564B">
              <w:rPr>
                <w:rFonts w:asciiTheme="minorHAnsi" w:hAnsiTheme="minorHAnsi" w:cstheme="minorHAnsi"/>
                <w:b/>
                <w:bCs/>
                <w:vertAlign w:val="superscript"/>
              </w:rPr>
              <w:t>(i)</w:t>
            </w:r>
          </w:p>
        </w:tc>
        <w:tc>
          <w:tcPr>
            <w:tcW w:w="1347" w:type="dxa"/>
          </w:tcPr>
          <w:p w14:paraId="425E2F96" w14:textId="77777777" w:rsidR="00B02873" w:rsidRPr="00A3564B" w:rsidRDefault="00B02873" w:rsidP="00A3564B">
            <w:pPr>
              <w:pStyle w:val="TablebodyleftFinancialsTables"/>
              <w:jc w:val="right"/>
              <w:rPr>
                <w:rFonts w:asciiTheme="minorHAnsi" w:hAnsiTheme="minorHAnsi" w:cstheme="minorHAnsi"/>
                <w:b/>
                <w:bCs/>
              </w:rPr>
            </w:pPr>
          </w:p>
        </w:tc>
        <w:tc>
          <w:tcPr>
            <w:tcW w:w="1348" w:type="dxa"/>
          </w:tcPr>
          <w:p w14:paraId="3254605D" w14:textId="77777777" w:rsidR="00B02873" w:rsidRPr="00A3564B" w:rsidRDefault="00B02873" w:rsidP="00A3564B">
            <w:pPr>
              <w:pStyle w:val="TablebodyleftFinancialsTables"/>
              <w:jc w:val="right"/>
              <w:rPr>
                <w:rFonts w:asciiTheme="minorHAnsi" w:hAnsiTheme="minorHAnsi" w:cstheme="minorHAnsi"/>
                <w:b/>
                <w:bCs/>
              </w:rPr>
            </w:pPr>
          </w:p>
        </w:tc>
        <w:tc>
          <w:tcPr>
            <w:tcW w:w="1347" w:type="dxa"/>
          </w:tcPr>
          <w:p w14:paraId="6A01A593" w14:textId="77777777" w:rsidR="00B02873" w:rsidRPr="00A3564B" w:rsidRDefault="00B02873" w:rsidP="00A3564B">
            <w:pPr>
              <w:pStyle w:val="TablebodyleftFinancialsTables"/>
              <w:jc w:val="right"/>
              <w:rPr>
                <w:rFonts w:asciiTheme="minorHAnsi" w:hAnsiTheme="minorHAnsi" w:cstheme="minorHAnsi"/>
                <w:b/>
                <w:bCs/>
              </w:rPr>
            </w:pPr>
          </w:p>
        </w:tc>
        <w:tc>
          <w:tcPr>
            <w:tcW w:w="1348" w:type="dxa"/>
          </w:tcPr>
          <w:p w14:paraId="5C39F7C7" w14:textId="77777777" w:rsidR="00B02873" w:rsidRPr="00A3564B" w:rsidRDefault="00B02873" w:rsidP="00A3564B">
            <w:pPr>
              <w:pStyle w:val="TablebodyleftFinancialsTables"/>
              <w:jc w:val="right"/>
              <w:rPr>
                <w:rFonts w:asciiTheme="minorHAnsi" w:hAnsiTheme="minorHAnsi" w:cstheme="minorHAnsi"/>
                <w:b/>
                <w:bCs/>
              </w:rPr>
            </w:pPr>
          </w:p>
        </w:tc>
      </w:tr>
      <w:tr w:rsidR="00B02873" w:rsidRPr="00A3564B" w14:paraId="353CF8F8" w14:textId="77777777" w:rsidTr="00A3564B">
        <w:trPr>
          <w:trHeight w:val="60"/>
        </w:trPr>
        <w:tc>
          <w:tcPr>
            <w:tcW w:w="4248" w:type="dxa"/>
          </w:tcPr>
          <w:p w14:paraId="5181A0C6" w14:textId="77777777" w:rsidR="00B02873" w:rsidRPr="00A3564B" w:rsidRDefault="00B02873" w:rsidP="009A12B2">
            <w:pPr>
              <w:pStyle w:val="TablebodyleftFinancialsTables"/>
              <w:rPr>
                <w:rFonts w:asciiTheme="minorHAnsi" w:hAnsiTheme="minorHAnsi" w:cstheme="minorHAnsi"/>
              </w:rPr>
            </w:pPr>
            <w:r w:rsidRPr="00A3564B">
              <w:rPr>
                <w:rFonts w:asciiTheme="minorHAnsi" w:hAnsiTheme="minorHAnsi" w:cstheme="minorHAnsi"/>
              </w:rPr>
              <w:t>Emergency Services Superannuation Scheme</w:t>
            </w:r>
          </w:p>
        </w:tc>
        <w:tc>
          <w:tcPr>
            <w:tcW w:w="1347" w:type="dxa"/>
          </w:tcPr>
          <w:p w14:paraId="7501BC65" w14:textId="77777777" w:rsidR="00B02873" w:rsidRPr="00A3564B" w:rsidRDefault="00B02873" w:rsidP="00A3564B">
            <w:pPr>
              <w:pStyle w:val="TablebodyleftFinancialsTables"/>
              <w:jc w:val="right"/>
              <w:rPr>
                <w:rFonts w:asciiTheme="minorHAnsi" w:hAnsiTheme="minorHAnsi" w:cstheme="minorHAnsi"/>
                <w:b/>
                <w:bCs/>
              </w:rPr>
            </w:pPr>
            <w:r w:rsidRPr="00A3564B">
              <w:rPr>
                <w:rFonts w:asciiTheme="minorHAnsi" w:hAnsiTheme="minorHAnsi" w:cstheme="minorHAnsi"/>
                <w:b/>
                <w:bCs/>
              </w:rPr>
              <w:t>3,764</w:t>
            </w:r>
          </w:p>
        </w:tc>
        <w:tc>
          <w:tcPr>
            <w:tcW w:w="1348" w:type="dxa"/>
          </w:tcPr>
          <w:p w14:paraId="5EA5612E" w14:textId="77777777" w:rsidR="00B02873" w:rsidRPr="00A3564B" w:rsidRDefault="00B02873" w:rsidP="00A3564B">
            <w:pPr>
              <w:pStyle w:val="TablebodyleftFinancialsTables"/>
              <w:jc w:val="right"/>
              <w:rPr>
                <w:rFonts w:asciiTheme="minorHAnsi" w:hAnsiTheme="minorHAnsi" w:cstheme="minorHAnsi"/>
              </w:rPr>
            </w:pPr>
            <w:r w:rsidRPr="00A3564B">
              <w:rPr>
                <w:rFonts w:asciiTheme="minorHAnsi" w:hAnsiTheme="minorHAnsi" w:cstheme="minorHAnsi"/>
              </w:rPr>
              <w:t>4,303</w:t>
            </w:r>
          </w:p>
        </w:tc>
        <w:tc>
          <w:tcPr>
            <w:tcW w:w="1347" w:type="dxa"/>
          </w:tcPr>
          <w:p w14:paraId="098E1089" w14:textId="77777777" w:rsidR="00B02873" w:rsidRPr="00A3564B" w:rsidRDefault="00B02873" w:rsidP="00A3564B">
            <w:pPr>
              <w:pStyle w:val="TablebodyleftFinancialsTables"/>
              <w:jc w:val="right"/>
              <w:rPr>
                <w:rFonts w:asciiTheme="minorHAnsi" w:hAnsiTheme="minorHAnsi" w:cstheme="minorHAnsi"/>
                <w:b/>
                <w:bCs/>
              </w:rPr>
            </w:pPr>
            <w:r w:rsidRPr="00A3564B">
              <w:rPr>
                <w:rFonts w:asciiTheme="minorHAnsi" w:hAnsiTheme="minorHAnsi" w:cstheme="minorHAnsi"/>
                <w:b/>
                <w:bCs/>
              </w:rPr>
              <w:t>129</w:t>
            </w:r>
          </w:p>
        </w:tc>
        <w:tc>
          <w:tcPr>
            <w:tcW w:w="1348" w:type="dxa"/>
          </w:tcPr>
          <w:p w14:paraId="2A1CFDAF" w14:textId="77777777" w:rsidR="00B02873" w:rsidRPr="00A3564B" w:rsidRDefault="00B02873" w:rsidP="00A3564B">
            <w:pPr>
              <w:pStyle w:val="TablebodyleftFinancialsTables"/>
              <w:jc w:val="right"/>
              <w:rPr>
                <w:rFonts w:asciiTheme="minorHAnsi" w:hAnsiTheme="minorHAnsi" w:cstheme="minorHAnsi"/>
              </w:rPr>
            </w:pPr>
            <w:r w:rsidRPr="00A3564B">
              <w:rPr>
                <w:rFonts w:asciiTheme="minorHAnsi" w:hAnsiTheme="minorHAnsi" w:cstheme="minorHAnsi"/>
              </w:rPr>
              <w:t>123</w:t>
            </w:r>
          </w:p>
        </w:tc>
      </w:tr>
      <w:tr w:rsidR="00B02873" w:rsidRPr="00A3564B" w14:paraId="6C87576F" w14:textId="77777777" w:rsidTr="00A3564B">
        <w:trPr>
          <w:trHeight w:val="60"/>
        </w:trPr>
        <w:tc>
          <w:tcPr>
            <w:tcW w:w="4248" w:type="dxa"/>
          </w:tcPr>
          <w:p w14:paraId="7F280620" w14:textId="77777777" w:rsidR="00B02873" w:rsidRPr="00A3564B" w:rsidRDefault="00B02873" w:rsidP="009A12B2">
            <w:pPr>
              <w:pStyle w:val="TablebodyleftFinancialsTables"/>
              <w:rPr>
                <w:rFonts w:asciiTheme="minorHAnsi" w:hAnsiTheme="minorHAnsi" w:cstheme="minorHAnsi"/>
              </w:rPr>
            </w:pPr>
            <w:r w:rsidRPr="00A3564B">
              <w:rPr>
                <w:rFonts w:asciiTheme="minorHAnsi" w:hAnsiTheme="minorHAnsi" w:cstheme="minorHAnsi"/>
              </w:rPr>
              <w:t>Other</w:t>
            </w:r>
          </w:p>
        </w:tc>
        <w:tc>
          <w:tcPr>
            <w:tcW w:w="1347" w:type="dxa"/>
          </w:tcPr>
          <w:p w14:paraId="3D7FF721" w14:textId="77777777" w:rsidR="00B02873" w:rsidRPr="00A3564B" w:rsidRDefault="00B02873" w:rsidP="00A3564B">
            <w:pPr>
              <w:pStyle w:val="TablebodyleftFinancialsTables"/>
              <w:jc w:val="right"/>
              <w:rPr>
                <w:rFonts w:asciiTheme="minorHAnsi" w:hAnsiTheme="minorHAnsi" w:cstheme="minorHAnsi"/>
                <w:b/>
                <w:bCs/>
              </w:rPr>
            </w:pPr>
            <w:r w:rsidRPr="00A3564B">
              <w:rPr>
                <w:rFonts w:asciiTheme="minorHAnsi" w:hAnsiTheme="minorHAnsi" w:cstheme="minorHAnsi"/>
                <w:b/>
                <w:bCs/>
              </w:rPr>
              <w:t>64</w:t>
            </w:r>
          </w:p>
        </w:tc>
        <w:tc>
          <w:tcPr>
            <w:tcW w:w="1348" w:type="dxa"/>
          </w:tcPr>
          <w:p w14:paraId="7138906A" w14:textId="77777777" w:rsidR="00B02873" w:rsidRPr="00A3564B" w:rsidRDefault="00B02873" w:rsidP="00A3564B">
            <w:pPr>
              <w:pStyle w:val="TablebodyleftFinancialsTables"/>
              <w:jc w:val="right"/>
              <w:rPr>
                <w:rFonts w:asciiTheme="minorHAnsi" w:hAnsiTheme="minorHAnsi" w:cstheme="minorHAnsi"/>
              </w:rPr>
            </w:pPr>
            <w:r w:rsidRPr="00A3564B">
              <w:rPr>
                <w:rFonts w:asciiTheme="minorHAnsi" w:hAnsiTheme="minorHAnsi" w:cstheme="minorHAnsi"/>
              </w:rPr>
              <w:t>64</w:t>
            </w:r>
          </w:p>
        </w:tc>
        <w:tc>
          <w:tcPr>
            <w:tcW w:w="1347" w:type="dxa"/>
          </w:tcPr>
          <w:p w14:paraId="22093423" w14:textId="77777777" w:rsidR="00B02873" w:rsidRPr="00A3564B" w:rsidRDefault="00B02873" w:rsidP="00A3564B">
            <w:pPr>
              <w:pStyle w:val="TablebodyleftFinancialsTables"/>
              <w:jc w:val="right"/>
              <w:rPr>
                <w:rFonts w:asciiTheme="minorHAnsi" w:hAnsiTheme="minorHAnsi" w:cstheme="minorHAnsi"/>
                <w:b/>
                <w:bCs/>
              </w:rPr>
            </w:pPr>
            <w:r w:rsidRPr="00A3564B">
              <w:rPr>
                <w:rFonts w:asciiTheme="minorHAnsi" w:hAnsiTheme="minorHAnsi" w:cstheme="minorHAnsi"/>
                <w:b/>
                <w:bCs/>
              </w:rPr>
              <w:t>2</w:t>
            </w:r>
          </w:p>
        </w:tc>
        <w:tc>
          <w:tcPr>
            <w:tcW w:w="1348" w:type="dxa"/>
          </w:tcPr>
          <w:p w14:paraId="5621DF7B" w14:textId="77777777" w:rsidR="00B02873" w:rsidRPr="00A3564B" w:rsidRDefault="00B02873" w:rsidP="00A3564B">
            <w:pPr>
              <w:pStyle w:val="TablebodyleftFinancialsTables"/>
              <w:jc w:val="right"/>
              <w:rPr>
                <w:rFonts w:asciiTheme="minorHAnsi" w:hAnsiTheme="minorHAnsi" w:cstheme="minorHAnsi"/>
              </w:rPr>
            </w:pPr>
            <w:r w:rsidRPr="00A3564B">
              <w:rPr>
                <w:rFonts w:asciiTheme="minorHAnsi" w:hAnsiTheme="minorHAnsi" w:cstheme="minorHAnsi"/>
              </w:rPr>
              <w:t>2</w:t>
            </w:r>
          </w:p>
        </w:tc>
      </w:tr>
      <w:tr w:rsidR="00B02873" w:rsidRPr="00A3564B" w14:paraId="2F887869" w14:textId="77777777" w:rsidTr="00A3564B">
        <w:trPr>
          <w:trHeight w:val="60"/>
        </w:trPr>
        <w:tc>
          <w:tcPr>
            <w:tcW w:w="4248" w:type="dxa"/>
          </w:tcPr>
          <w:p w14:paraId="1F3230CB" w14:textId="77777777" w:rsidR="00B02873" w:rsidRPr="00A3564B" w:rsidRDefault="00B02873" w:rsidP="009A12B2">
            <w:pPr>
              <w:pStyle w:val="TablebodyleftFinancialsTables"/>
              <w:rPr>
                <w:rFonts w:asciiTheme="minorHAnsi" w:hAnsiTheme="minorHAnsi" w:cstheme="minorHAnsi"/>
                <w:b/>
                <w:bCs/>
              </w:rPr>
            </w:pPr>
            <w:r w:rsidRPr="00A3564B">
              <w:rPr>
                <w:rFonts w:asciiTheme="minorHAnsi" w:hAnsiTheme="minorHAnsi" w:cstheme="minorHAnsi"/>
                <w:b/>
                <w:bCs/>
              </w:rPr>
              <w:t>Defined contribution plans</w:t>
            </w:r>
          </w:p>
        </w:tc>
        <w:tc>
          <w:tcPr>
            <w:tcW w:w="1347" w:type="dxa"/>
          </w:tcPr>
          <w:p w14:paraId="63868BC6" w14:textId="77777777" w:rsidR="00B02873" w:rsidRPr="00A3564B" w:rsidRDefault="00B02873" w:rsidP="00A3564B">
            <w:pPr>
              <w:pStyle w:val="TablebodyleftFinancialsTables"/>
              <w:jc w:val="right"/>
              <w:rPr>
                <w:rFonts w:asciiTheme="minorHAnsi" w:hAnsiTheme="minorHAnsi" w:cstheme="minorHAnsi"/>
                <w:b/>
                <w:bCs/>
              </w:rPr>
            </w:pPr>
          </w:p>
        </w:tc>
        <w:tc>
          <w:tcPr>
            <w:tcW w:w="1348" w:type="dxa"/>
          </w:tcPr>
          <w:p w14:paraId="3BAD1554" w14:textId="77777777" w:rsidR="00B02873" w:rsidRPr="00A3564B" w:rsidRDefault="00B02873" w:rsidP="00A3564B">
            <w:pPr>
              <w:pStyle w:val="TablebodyleftFinancialsTables"/>
              <w:jc w:val="right"/>
              <w:rPr>
                <w:rFonts w:asciiTheme="minorHAnsi" w:hAnsiTheme="minorHAnsi" w:cstheme="minorHAnsi"/>
                <w:b/>
                <w:bCs/>
              </w:rPr>
            </w:pPr>
          </w:p>
        </w:tc>
        <w:tc>
          <w:tcPr>
            <w:tcW w:w="1347" w:type="dxa"/>
          </w:tcPr>
          <w:p w14:paraId="7A180EA7" w14:textId="77777777" w:rsidR="00B02873" w:rsidRPr="00A3564B" w:rsidRDefault="00B02873" w:rsidP="00A3564B">
            <w:pPr>
              <w:pStyle w:val="TablebodyleftFinancialsTables"/>
              <w:jc w:val="right"/>
              <w:rPr>
                <w:rFonts w:asciiTheme="minorHAnsi" w:hAnsiTheme="minorHAnsi" w:cstheme="minorHAnsi"/>
                <w:b/>
                <w:bCs/>
              </w:rPr>
            </w:pPr>
          </w:p>
        </w:tc>
        <w:tc>
          <w:tcPr>
            <w:tcW w:w="1348" w:type="dxa"/>
          </w:tcPr>
          <w:p w14:paraId="07F72664" w14:textId="77777777" w:rsidR="00B02873" w:rsidRPr="00A3564B" w:rsidRDefault="00B02873" w:rsidP="00A3564B">
            <w:pPr>
              <w:pStyle w:val="TablebodyleftFinancialsTables"/>
              <w:jc w:val="right"/>
              <w:rPr>
                <w:rFonts w:asciiTheme="minorHAnsi" w:hAnsiTheme="minorHAnsi" w:cstheme="minorHAnsi"/>
                <w:b/>
                <w:bCs/>
              </w:rPr>
            </w:pPr>
          </w:p>
        </w:tc>
      </w:tr>
      <w:tr w:rsidR="00B02873" w:rsidRPr="00A3564B" w14:paraId="1C8EA665" w14:textId="77777777" w:rsidTr="00A3564B">
        <w:trPr>
          <w:trHeight w:val="60"/>
        </w:trPr>
        <w:tc>
          <w:tcPr>
            <w:tcW w:w="4248" w:type="dxa"/>
          </w:tcPr>
          <w:p w14:paraId="218022D2" w14:textId="77777777" w:rsidR="00B02873" w:rsidRPr="00A3564B" w:rsidRDefault="00B02873" w:rsidP="009A12B2">
            <w:pPr>
              <w:pStyle w:val="TablebodyleftFinancialsTables"/>
              <w:rPr>
                <w:rFonts w:asciiTheme="minorHAnsi" w:hAnsiTheme="minorHAnsi" w:cstheme="minorHAnsi"/>
              </w:rPr>
            </w:pPr>
            <w:r w:rsidRPr="00A3564B">
              <w:rPr>
                <w:rFonts w:asciiTheme="minorHAnsi" w:hAnsiTheme="minorHAnsi" w:cstheme="minorHAnsi"/>
              </w:rPr>
              <w:t>Victorian Superannuation Fund – Vic Super Scheme</w:t>
            </w:r>
          </w:p>
        </w:tc>
        <w:tc>
          <w:tcPr>
            <w:tcW w:w="1347" w:type="dxa"/>
          </w:tcPr>
          <w:p w14:paraId="4BC4A17D" w14:textId="77777777" w:rsidR="00B02873" w:rsidRPr="00A3564B" w:rsidRDefault="00B02873" w:rsidP="00A3564B">
            <w:pPr>
              <w:pStyle w:val="TablebodyleftFinancialsTables"/>
              <w:jc w:val="right"/>
              <w:rPr>
                <w:rFonts w:asciiTheme="minorHAnsi" w:hAnsiTheme="minorHAnsi" w:cstheme="minorHAnsi"/>
                <w:b/>
                <w:bCs/>
              </w:rPr>
            </w:pPr>
            <w:r w:rsidRPr="00A3564B">
              <w:rPr>
                <w:rFonts w:asciiTheme="minorHAnsi" w:hAnsiTheme="minorHAnsi" w:cstheme="minorHAnsi"/>
                <w:b/>
                <w:bCs/>
              </w:rPr>
              <w:t>28,236</w:t>
            </w:r>
          </w:p>
        </w:tc>
        <w:tc>
          <w:tcPr>
            <w:tcW w:w="1348" w:type="dxa"/>
          </w:tcPr>
          <w:p w14:paraId="51741206" w14:textId="77777777" w:rsidR="00B02873" w:rsidRPr="00A3564B" w:rsidRDefault="00B02873" w:rsidP="00A3564B">
            <w:pPr>
              <w:pStyle w:val="TablebodyleftFinancialsTables"/>
              <w:jc w:val="right"/>
              <w:rPr>
                <w:rFonts w:asciiTheme="minorHAnsi" w:hAnsiTheme="minorHAnsi" w:cstheme="minorHAnsi"/>
              </w:rPr>
            </w:pPr>
            <w:r w:rsidRPr="00A3564B">
              <w:rPr>
                <w:rFonts w:asciiTheme="minorHAnsi" w:hAnsiTheme="minorHAnsi" w:cstheme="minorHAnsi"/>
              </w:rPr>
              <w:t>27,252</w:t>
            </w:r>
          </w:p>
        </w:tc>
        <w:tc>
          <w:tcPr>
            <w:tcW w:w="1347" w:type="dxa"/>
          </w:tcPr>
          <w:p w14:paraId="6CE4534F" w14:textId="77777777" w:rsidR="00B02873" w:rsidRPr="00A3564B" w:rsidRDefault="00B02873" w:rsidP="00A3564B">
            <w:pPr>
              <w:pStyle w:val="TablebodyleftFinancialsTables"/>
              <w:jc w:val="right"/>
              <w:rPr>
                <w:rFonts w:asciiTheme="minorHAnsi" w:hAnsiTheme="minorHAnsi" w:cstheme="minorHAnsi"/>
                <w:b/>
                <w:bCs/>
              </w:rPr>
            </w:pPr>
            <w:r w:rsidRPr="00A3564B">
              <w:rPr>
                <w:rFonts w:asciiTheme="minorHAnsi" w:hAnsiTheme="minorHAnsi" w:cstheme="minorHAnsi"/>
                <w:b/>
                <w:bCs/>
              </w:rPr>
              <w:t>941</w:t>
            </w:r>
          </w:p>
        </w:tc>
        <w:tc>
          <w:tcPr>
            <w:tcW w:w="1348" w:type="dxa"/>
          </w:tcPr>
          <w:p w14:paraId="0E5CE375" w14:textId="77777777" w:rsidR="00B02873" w:rsidRPr="00A3564B" w:rsidRDefault="00B02873" w:rsidP="00A3564B">
            <w:pPr>
              <w:pStyle w:val="TablebodyleftFinancialsTables"/>
              <w:jc w:val="right"/>
              <w:rPr>
                <w:rFonts w:asciiTheme="minorHAnsi" w:hAnsiTheme="minorHAnsi" w:cstheme="minorHAnsi"/>
              </w:rPr>
            </w:pPr>
            <w:r w:rsidRPr="00A3564B">
              <w:rPr>
                <w:rFonts w:asciiTheme="minorHAnsi" w:hAnsiTheme="minorHAnsi" w:cstheme="minorHAnsi"/>
              </w:rPr>
              <w:t>850</w:t>
            </w:r>
          </w:p>
        </w:tc>
      </w:tr>
      <w:tr w:rsidR="00B02873" w:rsidRPr="00A3564B" w14:paraId="21FA38AE" w14:textId="77777777" w:rsidTr="00A3564B">
        <w:trPr>
          <w:trHeight w:val="60"/>
        </w:trPr>
        <w:tc>
          <w:tcPr>
            <w:tcW w:w="4248" w:type="dxa"/>
          </w:tcPr>
          <w:p w14:paraId="27922E96" w14:textId="77777777" w:rsidR="00B02873" w:rsidRPr="00A3564B" w:rsidRDefault="00B02873" w:rsidP="009A12B2">
            <w:pPr>
              <w:pStyle w:val="TablebodyleftFinancialsTables"/>
              <w:rPr>
                <w:rFonts w:asciiTheme="minorHAnsi" w:hAnsiTheme="minorHAnsi" w:cstheme="minorHAnsi"/>
              </w:rPr>
            </w:pPr>
            <w:r w:rsidRPr="00A3564B">
              <w:rPr>
                <w:rFonts w:asciiTheme="minorHAnsi" w:hAnsiTheme="minorHAnsi" w:cstheme="minorHAnsi"/>
              </w:rPr>
              <w:t xml:space="preserve">Various other </w:t>
            </w:r>
          </w:p>
        </w:tc>
        <w:tc>
          <w:tcPr>
            <w:tcW w:w="1347" w:type="dxa"/>
          </w:tcPr>
          <w:p w14:paraId="2E11E551" w14:textId="77777777" w:rsidR="00B02873" w:rsidRPr="00A3564B" w:rsidRDefault="00B02873" w:rsidP="00A3564B">
            <w:pPr>
              <w:pStyle w:val="TablebodyleftFinancialsTables"/>
              <w:jc w:val="right"/>
              <w:rPr>
                <w:rFonts w:asciiTheme="minorHAnsi" w:hAnsiTheme="minorHAnsi" w:cstheme="minorHAnsi"/>
                <w:b/>
                <w:bCs/>
              </w:rPr>
            </w:pPr>
            <w:r w:rsidRPr="00A3564B">
              <w:rPr>
                <w:rFonts w:asciiTheme="minorHAnsi" w:hAnsiTheme="minorHAnsi" w:cstheme="minorHAnsi"/>
                <w:b/>
                <w:bCs/>
              </w:rPr>
              <w:t>26,550</w:t>
            </w:r>
          </w:p>
        </w:tc>
        <w:tc>
          <w:tcPr>
            <w:tcW w:w="1348" w:type="dxa"/>
          </w:tcPr>
          <w:p w14:paraId="7F97306F" w14:textId="77777777" w:rsidR="00B02873" w:rsidRPr="00A3564B" w:rsidRDefault="00B02873" w:rsidP="00A3564B">
            <w:pPr>
              <w:pStyle w:val="TablebodyleftFinancialsTables"/>
              <w:jc w:val="right"/>
              <w:rPr>
                <w:rFonts w:asciiTheme="minorHAnsi" w:hAnsiTheme="minorHAnsi" w:cstheme="minorHAnsi"/>
              </w:rPr>
            </w:pPr>
            <w:r w:rsidRPr="00A3564B">
              <w:rPr>
                <w:rFonts w:asciiTheme="minorHAnsi" w:hAnsiTheme="minorHAnsi" w:cstheme="minorHAnsi"/>
              </w:rPr>
              <w:t>21,163</w:t>
            </w:r>
          </w:p>
        </w:tc>
        <w:tc>
          <w:tcPr>
            <w:tcW w:w="1347" w:type="dxa"/>
          </w:tcPr>
          <w:p w14:paraId="662A149F" w14:textId="77777777" w:rsidR="00B02873" w:rsidRPr="00A3564B" w:rsidRDefault="00B02873" w:rsidP="00A3564B">
            <w:pPr>
              <w:pStyle w:val="TablebodyleftFinancialsTables"/>
              <w:jc w:val="right"/>
              <w:rPr>
                <w:rFonts w:asciiTheme="minorHAnsi" w:hAnsiTheme="minorHAnsi" w:cstheme="minorHAnsi"/>
                <w:b/>
                <w:bCs/>
              </w:rPr>
            </w:pPr>
            <w:r w:rsidRPr="00A3564B">
              <w:rPr>
                <w:rFonts w:asciiTheme="minorHAnsi" w:hAnsiTheme="minorHAnsi" w:cstheme="minorHAnsi"/>
                <w:b/>
                <w:bCs/>
              </w:rPr>
              <w:t>941</w:t>
            </w:r>
          </w:p>
        </w:tc>
        <w:tc>
          <w:tcPr>
            <w:tcW w:w="1348" w:type="dxa"/>
          </w:tcPr>
          <w:p w14:paraId="7766132A" w14:textId="77777777" w:rsidR="00B02873" w:rsidRPr="00A3564B" w:rsidRDefault="00B02873" w:rsidP="00A3564B">
            <w:pPr>
              <w:pStyle w:val="TablebodyleftFinancialsTables"/>
              <w:jc w:val="right"/>
              <w:rPr>
                <w:rFonts w:asciiTheme="minorHAnsi" w:hAnsiTheme="minorHAnsi" w:cstheme="minorHAnsi"/>
              </w:rPr>
            </w:pPr>
            <w:r w:rsidRPr="00A3564B">
              <w:rPr>
                <w:rFonts w:asciiTheme="minorHAnsi" w:hAnsiTheme="minorHAnsi" w:cstheme="minorHAnsi"/>
              </w:rPr>
              <w:t>726</w:t>
            </w:r>
          </w:p>
        </w:tc>
      </w:tr>
      <w:tr w:rsidR="00B02873" w:rsidRPr="00A3564B" w14:paraId="6C5D124A" w14:textId="77777777" w:rsidTr="00A3564B">
        <w:trPr>
          <w:trHeight w:val="60"/>
        </w:trPr>
        <w:tc>
          <w:tcPr>
            <w:tcW w:w="4248" w:type="dxa"/>
          </w:tcPr>
          <w:p w14:paraId="175D3FF5" w14:textId="77777777" w:rsidR="00B02873" w:rsidRPr="00A3564B" w:rsidRDefault="00B02873" w:rsidP="009A12B2">
            <w:pPr>
              <w:pStyle w:val="TablebodyleftFinancialsTables"/>
              <w:rPr>
                <w:rFonts w:asciiTheme="minorHAnsi" w:hAnsiTheme="minorHAnsi" w:cstheme="minorHAnsi"/>
                <w:b/>
                <w:bCs/>
              </w:rPr>
            </w:pPr>
            <w:r w:rsidRPr="00A3564B">
              <w:rPr>
                <w:rFonts w:asciiTheme="minorHAnsi" w:hAnsiTheme="minorHAnsi" w:cstheme="minorHAnsi"/>
                <w:b/>
                <w:bCs/>
              </w:rPr>
              <w:t>Total superannuation contributions</w:t>
            </w:r>
          </w:p>
        </w:tc>
        <w:tc>
          <w:tcPr>
            <w:tcW w:w="1347" w:type="dxa"/>
          </w:tcPr>
          <w:p w14:paraId="6F6B5E30" w14:textId="77777777" w:rsidR="00B02873" w:rsidRPr="00A3564B" w:rsidRDefault="00B02873" w:rsidP="00A3564B">
            <w:pPr>
              <w:pStyle w:val="TablebodyleftFinancialsTables"/>
              <w:jc w:val="right"/>
              <w:rPr>
                <w:rFonts w:asciiTheme="minorHAnsi" w:hAnsiTheme="minorHAnsi" w:cstheme="minorHAnsi"/>
                <w:b/>
                <w:bCs/>
              </w:rPr>
            </w:pPr>
            <w:r w:rsidRPr="00A3564B">
              <w:rPr>
                <w:rFonts w:asciiTheme="minorHAnsi" w:hAnsiTheme="minorHAnsi" w:cstheme="minorHAnsi"/>
                <w:b/>
                <w:bCs/>
              </w:rPr>
              <w:t>58,614</w:t>
            </w:r>
          </w:p>
        </w:tc>
        <w:tc>
          <w:tcPr>
            <w:tcW w:w="1348" w:type="dxa"/>
          </w:tcPr>
          <w:p w14:paraId="05093C85" w14:textId="77777777" w:rsidR="00B02873" w:rsidRPr="00A3564B" w:rsidRDefault="00B02873" w:rsidP="00A3564B">
            <w:pPr>
              <w:pStyle w:val="TablebodyleftFinancialsTables"/>
              <w:jc w:val="right"/>
              <w:rPr>
                <w:rFonts w:asciiTheme="minorHAnsi" w:hAnsiTheme="minorHAnsi" w:cstheme="minorHAnsi"/>
              </w:rPr>
            </w:pPr>
            <w:r w:rsidRPr="00A3564B">
              <w:rPr>
                <w:rFonts w:asciiTheme="minorHAnsi" w:hAnsiTheme="minorHAnsi" w:cstheme="minorHAnsi"/>
              </w:rPr>
              <w:t>52,782</w:t>
            </w:r>
          </w:p>
        </w:tc>
        <w:tc>
          <w:tcPr>
            <w:tcW w:w="1347" w:type="dxa"/>
          </w:tcPr>
          <w:p w14:paraId="4E636F24" w14:textId="77777777" w:rsidR="00B02873" w:rsidRPr="00A3564B" w:rsidRDefault="00B02873" w:rsidP="00A3564B">
            <w:pPr>
              <w:pStyle w:val="TablebodyleftFinancialsTables"/>
              <w:jc w:val="right"/>
              <w:rPr>
                <w:rFonts w:asciiTheme="minorHAnsi" w:hAnsiTheme="minorHAnsi" w:cstheme="minorHAnsi"/>
                <w:b/>
                <w:bCs/>
              </w:rPr>
            </w:pPr>
            <w:r w:rsidRPr="00A3564B">
              <w:rPr>
                <w:rFonts w:asciiTheme="minorHAnsi" w:hAnsiTheme="minorHAnsi" w:cstheme="minorHAnsi"/>
                <w:b/>
                <w:bCs/>
              </w:rPr>
              <w:t>2,013</w:t>
            </w:r>
          </w:p>
        </w:tc>
        <w:tc>
          <w:tcPr>
            <w:tcW w:w="1348" w:type="dxa"/>
          </w:tcPr>
          <w:p w14:paraId="57AB9417" w14:textId="77777777" w:rsidR="00B02873" w:rsidRPr="00A3564B" w:rsidRDefault="00B02873" w:rsidP="00A3564B">
            <w:pPr>
              <w:pStyle w:val="TablebodyleftFinancialsTables"/>
              <w:jc w:val="right"/>
              <w:rPr>
                <w:rFonts w:asciiTheme="minorHAnsi" w:hAnsiTheme="minorHAnsi" w:cstheme="minorHAnsi"/>
              </w:rPr>
            </w:pPr>
            <w:r w:rsidRPr="00A3564B">
              <w:rPr>
                <w:rFonts w:asciiTheme="minorHAnsi" w:hAnsiTheme="minorHAnsi" w:cstheme="minorHAnsi"/>
              </w:rPr>
              <w:t>1,701</w:t>
            </w:r>
          </w:p>
        </w:tc>
      </w:tr>
    </w:tbl>
    <w:p w14:paraId="3EDCC338" w14:textId="77777777" w:rsidR="00B02873" w:rsidRPr="00A3564B" w:rsidRDefault="00B02873" w:rsidP="00101848">
      <w:pPr>
        <w:pStyle w:val="SourceNote"/>
        <w:spacing w:after="120"/>
        <w:rPr>
          <w:b/>
          <w:bCs/>
        </w:rPr>
      </w:pPr>
      <w:r w:rsidRPr="00A3564B">
        <w:rPr>
          <w:b/>
          <w:bCs/>
        </w:rPr>
        <w:t>Note:</w:t>
      </w:r>
    </w:p>
    <w:p w14:paraId="363A21FF" w14:textId="071A1210" w:rsidR="00B02873" w:rsidRDefault="00B02873" w:rsidP="001128B1">
      <w:pPr>
        <w:pStyle w:val="SourceNotenumbered"/>
        <w:numPr>
          <w:ilvl w:val="0"/>
          <w:numId w:val="23"/>
        </w:numPr>
        <w:spacing w:after="200"/>
        <w:ind w:left="357" w:hanging="357"/>
      </w:pPr>
      <w:r>
        <w:t>The bases for determining the level of contributions is determined by the various actuaries of the defined benefit superannuation plans.</w:t>
      </w:r>
    </w:p>
    <w:p w14:paraId="6F3707A1" w14:textId="0E33B1AE" w:rsidR="00B02873" w:rsidRDefault="00B02873" w:rsidP="00A3564B">
      <w:pPr>
        <w:pStyle w:val="Heading4"/>
      </w:pPr>
      <w:r>
        <w:t>3.1.2 Grants and other transfers</w:t>
      </w:r>
    </w:p>
    <w:tbl>
      <w:tblPr>
        <w:tblStyle w:val="TableGrid"/>
        <w:tblW w:w="0" w:type="auto"/>
        <w:tblLayout w:type="fixed"/>
        <w:tblLook w:val="0020" w:firstRow="1" w:lastRow="0" w:firstColumn="0" w:lastColumn="0" w:noHBand="0" w:noVBand="0"/>
      </w:tblPr>
      <w:tblGrid>
        <w:gridCol w:w="7257"/>
        <w:gridCol w:w="1190"/>
        <w:gridCol w:w="1191"/>
      </w:tblGrid>
      <w:tr w:rsidR="00B02873" w:rsidRPr="0077493F" w14:paraId="69F0C684" w14:textId="77777777" w:rsidTr="00A3564B">
        <w:trPr>
          <w:cnfStyle w:val="100000000000" w:firstRow="1" w:lastRow="0" w:firstColumn="0" w:lastColumn="0" w:oddVBand="0" w:evenVBand="0" w:oddHBand="0" w:evenHBand="0" w:firstRowFirstColumn="0" w:firstRowLastColumn="0" w:lastRowFirstColumn="0" w:lastRowLastColumn="0"/>
          <w:trHeight w:val="60"/>
          <w:tblHeader/>
        </w:trPr>
        <w:tc>
          <w:tcPr>
            <w:tcW w:w="7257" w:type="dxa"/>
          </w:tcPr>
          <w:p w14:paraId="2D2C9D15" w14:textId="77777777" w:rsidR="00B02873" w:rsidRPr="0077493F" w:rsidRDefault="00B02873" w:rsidP="00A3564B">
            <w:pPr>
              <w:pStyle w:val="TableheadingleftFinancialsTables"/>
              <w:rPr>
                <w:rFonts w:cs="Arial"/>
              </w:rPr>
            </w:pPr>
          </w:p>
        </w:tc>
        <w:tc>
          <w:tcPr>
            <w:tcW w:w="1190" w:type="dxa"/>
          </w:tcPr>
          <w:p w14:paraId="2392F031" w14:textId="77777777" w:rsidR="00B02873" w:rsidRPr="0077493F" w:rsidRDefault="00B02873" w:rsidP="0077493F">
            <w:pPr>
              <w:pStyle w:val="TableheadingleftFinancialsTables"/>
              <w:jc w:val="right"/>
              <w:rPr>
                <w:rFonts w:cs="Arial"/>
              </w:rPr>
            </w:pPr>
            <w:r w:rsidRPr="0077493F">
              <w:rPr>
                <w:rFonts w:cs="Arial"/>
              </w:rPr>
              <w:t>2022</w:t>
            </w:r>
            <w:r w:rsidRPr="0077493F">
              <w:rPr>
                <w:rFonts w:cs="Arial"/>
              </w:rPr>
              <w:br/>
              <w:t>$’000</w:t>
            </w:r>
          </w:p>
        </w:tc>
        <w:tc>
          <w:tcPr>
            <w:tcW w:w="1191" w:type="dxa"/>
          </w:tcPr>
          <w:p w14:paraId="57155F2B" w14:textId="77777777" w:rsidR="00B02873" w:rsidRPr="0077493F" w:rsidRDefault="00B02873" w:rsidP="0077493F">
            <w:pPr>
              <w:pStyle w:val="TableheadingleftFinancialsTables"/>
              <w:jc w:val="right"/>
              <w:rPr>
                <w:rFonts w:cs="Arial"/>
              </w:rPr>
            </w:pPr>
            <w:r w:rsidRPr="0077493F">
              <w:rPr>
                <w:rFonts w:cs="Arial"/>
              </w:rPr>
              <w:t>2021</w:t>
            </w:r>
            <w:r w:rsidRPr="0077493F">
              <w:rPr>
                <w:rFonts w:cs="Arial"/>
              </w:rPr>
              <w:br/>
              <w:t>$’000</w:t>
            </w:r>
          </w:p>
        </w:tc>
      </w:tr>
      <w:tr w:rsidR="00B02873" w:rsidRPr="0077493F" w14:paraId="5C252A12" w14:textId="77777777" w:rsidTr="00A3564B">
        <w:trPr>
          <w:trHeight w:val="60"/>
        </w:trPr>
        <w:tc>
          <w:tcPr>
            <w:tcW w:w="7257" w:type="dxa"/>
          </w:tcPr>
          <w:p w14:paraId="54FCA43F" w14:textId="77777777" w:rsidR="00B02873" w:rsidRPr="0077493F" w:rsidRDefault="00B02873" w:rsidP="0077493F">
            <w:pPr>
              <w:pStyle w:val="TablebodyleftFinancialsTables"/>
              <w:rPr>
                <w:rFonts w:cs="Arial"/>
                <w:b/>
                <w:bCs/>
              </w:rPr>
            </w:pPr>
            <w:r w:rsidRPr="0077493F">
              <w:rPr>
                <w:rFonts w:cs="Arial"/>
                <w:b/>
                <w:bCs/>
              </w:rPr>
              <w:t>Grants and other transfers</w:t>
            </w:r>
          </w:p>
        </w:tc>
        <w:tc>
          <w:tcPr>
            <w:tcW w:w="1190" w:type="dxa"/>
          </w:tcPr>
          <w:p w14:paraId="7B35ED1C" w14:textId="77777777" w:rsidR="00B02873" w:rsidRPr="0077493F" w:rsidRDefault="00B02873" w:rsidP="0077493F">
            <w:pPr>
              <w:pStyle w:val="TablebodyleftFinancialsTables"/>
              <w:jc w:val="right"/>
              <w:rPr>
                <w:rFonts w:cs="Arial"/>
                <w:b/>
                <w:bCs/>
              </w:rPr>
            </w:pPr>
          </w:p>
        </w:tc>
        <w:tc>
          <w:tcPr>
            <w:tcW w:w="1191" w:type="dxa"/>
          </w:tcPr>
          <w:p w14:paraId="5ED63E69" w14:textId="77777777" w:rsidR="00B02873" w:rsidRPr="0077493F" w:rsidRDefault="00B02873" w:rsidP="0077493F">
            <w:pPr>
              <w:pStyle w:val="TablebodyleftFinancialsTables"/>
              <w:jc w:val="right"/>
              <w:rPr>
                <w:rFonts w:cs="Arial"/>
                <w:b/>
                <w:bCs/>
              </w:rPr>
            </w:pPr>
          </w:p>
        </w:tc>
      </w:tr>
      <w:tr w:rsidR="00B02873" w:rsidRPr="0077493F" w14:paraId="4480B4CE" w14:textId="77777777" w:rsidTr="00A3564B">
        <w:trPr>
          <w:trHeight w:val="60"/>
        </w:trPr>
        <w:tc>
          <w:tcPr>
            <w:tcW w:w="7257" w:type="dxa"/>
          </w:tcPr>
          <w:p w14:paraId="18CBCBE8" w14:textId="77777777" w:rsidR="00B02873" w:rsidRPr="0077493F" w:rsidRDefault="00B02873" w:rsidP="0077493F">
            <w:pPr>
              <w:pStyle w:val="TablebodyleftFinancialsTables"/>
              <w:rPr>
                <w:rFonts w:cs="Arial"/>
              </w:rPr>
            </w:pPr>
            <w:r w:rsidRPr="0077493F">
              <w:rPr>
                <w:rFonts w:cs="Arial"/>
              </w:rPr>
              <w:t>Grants to portfolio agencies (other than catchment management authorities)</w:t>
            </w:r>
          </w:p>
        </w:tc>
        <w:tc>
          <w:tcPr>
            <w:tcW w:w="1190" w:type="dxa"/>
          </w:tcPr>
          <w:p w14:paraId="5D5A552D" w14:textId="77777777" w:rsidR="00B02873" w:rsidRPr="0077493F" w:rsidRDefault="00B02873" w:rsidP="0077493F">
            <w:pPr>
              <w:pStyle w:val="TablebodyleftFinancialsTables"/>
              <w:jc w:val="right"/>
              <w:rPr>
                <w:rFonts w:cs="Arial"/>
                <w:b/>
                <w:bCs/>
              </w:rPr>
            </w:pPr>
            <w:r w:rsidRPr="0077493F">
              <w:rPr>
                <w:rFonts w:cs="Arial"/>
                <w:b/>
                <w:bCs/>
              </w:rPr>
              <w:t>(801,023)</w:t>
            </w:r>
          </w:p>
        </w:tc>
        <w:tc>
          <w:tcPr>
            <w:tcW w:w="1191" w:type="dxa"/>
          </w:tcPr>
          <w:p w14:paraId="6D828DA4" w14:textId="77777777" w:rsidR="00B02873" w:rsidRPr="0077493F" w:rsidRDefault="00B02873" w:rsidP="0077493F">
            <w:pPr>
              <w:pStyle w:val="TablebodyleftFinancialsTables"/>
              <w:jc w:val="right"/>
              <w:rPr>
                <w:rFonts w:cs="Arial"/>
              </w:rPr>
            </w:pPr>
            <w:r w:rsidRPr="0077493F">
              <w:rPr>
                <w:rFonts w:cs="Arial"/>
              </w:rPr>
              <w:t>(814,409)</w:t>
            </w:r>
          </w:p>
        </w:tc>
      </w:tr>
      <w:tr w:rsidR="00B02873" w:rsidRPr="0077493F" w14:paraId="571F101A" w14:textId="77777777" w:rsidTr="00A3564B">
        <w:trPr>
          <w:trHeight w:val="60"/>
        </w:trPr>
        <w:tc>
          <w:tcPr>
            <w:tcW w:w="7257" w:type="dxa"/>
          </w:tcPr>
          <w:p w14:paraId="18A50FCA" w14:textId="77777777" w:rsidR="00B02873" w:rsidRPr="0077493F" w:rsidRDefault="00B02873" w:rsidP="0077493F">
            <w:pPr>
              <w:pStyle w:val="TablebodyleftFinancialsTables"/>
              <w:rPr>
                <w:rFonts w:cs="Arial"/>
              </w:rPr>
            </w:pPr>
            <w:r w:rsidRPr="0077493F">
              <w:rPr>
                <w:rFonts w:cs="Arial"/>
              </w:rPr>
              <w:t>Grants to catchment management authorities</w:t>
            </w:r>
          </w:p>
        </w:tc>
        <w:tc>
          <w:tcPr>
            <w:tcW w:w="1190" w:type="dxa"/>
          </w:tcPr>
          <w:p w14:paraId="0F5B80C4" w14:textId="77777777" w:rsidR="00B02873" w:rsidRPr="0077493F" w:rsidRDefault="00B02873" w:rsidP="0077493F">
            <w:pPr>
              <w:pStyle w:val="TablebodyleftFinancialsTables"/>
              <w:jc w:val="right"/>
              <w:rPr>
                <w:rFonts w:cs="Arial"/>
                <w:b/>
                <w:bCs/>
              </w:rPr>
            </w:pPr>
            <w:r w:rsidRPr="0077493F">
              <w:rPr>
                <w:rFonts w:cs="Arial"/>
                <w:b/>
                <w:bCs/>
              </w:rPr>
              <w:t>(100,839)</w:t>
            </w:r>
          </w:p>
        </w:tc>
        <w:tc>
          <w:tcPr>
            <w:tcW w:w="1191" w:type="dxa"/>
          </w:tcPr>
          <w:p w14:paraId="4467A483" w14:textId="77777777" w:rsidR="00B02873" w:rsidRPr="0077493F" w:rsidRDefault="00B02873" w:rsidP="0077493F">
            <w:pPr>
              <w:pStyle w:val="TablebodyleftFinancialsTables"/>
              <w:jc w:val="right"/>
              <w:rPr>
                <w:rFonts w:cs="Arial"/>
              </w:rPr>
            </w:pPr>
            <w:r w:rsidRPr="0077493F">
              <w:rPr>
                <w:rFonts w:cs="Arial"/>
              </w:rPr>
              <w:t>(83,467)</w:t>
            </w:r>
          </w:p>
        </w:tc>
      </w:tr>
      <w:tr w:rsidR="00B02873" w:rsidRPr="0077493F" w14:paraId="704CBBD2" w14:textId="77777777" w:rsidTr="00A3564B">
        <w:trPr>
          <w:trHeight w:val="60"/>
        </w:trPr>
        <w:tc>
          <w:tcPr>
            <w:tcW w:w="7257" w:type="dxa"/>
          </w:tcPr>
          <w:p w14:paraId="5DB99F78" w14:textId="77777777" w:rsidR="00B02873" w:rsidRPr="0077493F" w:rsidRDefault="00B02873" w:rsidP="0077493F">
            <w:pPr>
              <w:pStyle w:val="TablebodyleftFinancialsTables"/>
              <w:rPr>
                <w:rFonts w:cs="Arial"/>
              </w:rPr>
            </w:pPr>
            <w:r w:rsidRPr="0077493F">
              <w:rPr>
                <w:rFonts w:cs="Arial"/>
              </w:rPr>
              <w:t>Grants to non-portfolio agencies</w:t>
            </w:r>
          </w:p>
        </w:tc>
        <w:tc>
          <w:tcPr>
            <w:tcW w:w="1190" w:type="dxa"/>
          </w:tcPr>
          <w:p w14:paraId="35279942" w14:textId="77777777" w:rsidR="00B02873" w:rsidRPr="0077493F" w:rsidRDefault="00B02873" w:rsidP="0077493F">
            <w:pPr>
              <w:pStyle w:val="TablebodyleftFinancialsTables"/>
              <w:jc w:val="right"/>
              <w:rPr>
                <w:rFonts w:cs="Arial"/>
                <w:b/>
                <w:bCs/>
              </w:rPr>
            </w:pPr>
            <w:r w:rsidRPr="0077493F">
              <w:rPr>
                <w:rFonts w:cs="Arial"/>
                <w:b/>
                <w:bCs/>
              </w:rPr>
              <w:t>(185,806)</w:t>
            </w:r>
          </w:p>
        </w:tc>
        <w:tc>
          <w:tcPr>
            <w:tcW w:w="1191" w:type="dxa"/>
          </w:tcPr>
          <w:p w14:paraId="4B2F4A93" w14:textId="77777777" w:rsidR="00B02873" w:rsidRPr="0077493F" w:rsidRDefault="00B02873" w:rsidP="0077493F">
            <w:pPr>
              <w:pStyle w:val="TablebodyleftFinancialsTables"/>
              <w:jc w:val="right"/>
              <w:rPr>
                <w:rFonts w:cs="Arial"/>
              </w:rPr>
            </w:pPr>
            <w:r w:rsidRPr="0077493F">
              <w:rPr>
                <w:rFonts w:cs="Arial"/>
              </w:rPr>
              <w:t>(226,291)</w:t>
            </w:r>
          </w:p>
        </w:tc>
      </w:tr>
      <w:tr w:rsidR="00B02873" w:rsidRPr="0077493F" w14:paraId="6660C6AC" w14:textId="77777777" w:rsidTr="00A3564B">
        <w:trPr>
          <w:trHeight w:val="60"/>
        </w:trPr>
        <w:tc>
          <w:tcPr>
            <w:tcW w:w="7257" w:type="dxa"/>
          </w:tcPr>
          <w:p w14:paraId="4ACE6000" w14:textId="77777777" w:rsidR="00B02873" w:rsidRPr="0077493F" w:rsidRDefault="00B02873" w:rsidP="0077493F">
            <w:pPr>
              <w:pStyle w:val="TablebodyleftFinancialsTables"/>
              <w:rPr>
                <w:rFonts w:cs="Arial"/>
              </w:rPr>
            </w:pPr>
            <w:r w:rsidRPr="0077493F">
              <w:rPr>
                <w:rFonts w:cs="Arial"/>
              </w:rPr>
              <w:t>Grants to the Commonwealth, other state, territory and local governments</w:t>
            </w:r>
          </w:p>
        </w:tc>
        <w:tc>
          <w:tcPr>
            <w:tcW w:w="1190" w:type="dxa"/>
          </w:tcPr>
          <w:p w14:paraId="6A45AB73" w14:textId="77777777" w:rsidR="00B02873" w:rsidRPr="0077493F" w:rsidRDefault="00B02873" w:rsidP="0077493F">
            <w:pPr>
              <w:pStyle w:val="TablebodyleftFinancialsTables"/>
              <w:jc w:val="right"/>
              <w:rPr>
                <w:rFonts w:cs="Arial"/>
                <w:b/>
                <w:bCs/>
              </w:rPr>
            </w:pPr>
            <w:r w:rsidRPr="0077493F">
              <w:rPr>
                <w:rFonts w:cs="Arial"/>
                <w:b/>
                <w:bCs/>
              </w:rPr>
              <w:t>(61,720)</w:t>
            </w:r>
          </w:p>
        </w:tc>
        <w:tc>
          <w:tcPr>
            <w:tcW w:w="1191" w:type="dxa"/>
          </w:tcPr>
          <w:p w14:paraId="0DCF579C" w14:textId="77777777" w:rsidR="00B02873" w:rsidRPr="0077493F" w:rsidRDefault="00B02873" w:rsidP="0077493F">
            <w:pPr>
              <w:pStyle w:val="TablebodyleftFinancialsTables"/>
              <w:jc w:val="right"/>
              <w:rPr>
                <w:rFonts w:cs="Arial"/>
              </w:rPr>
            </w:pPr>
            <w:r w:rsidRPr="0077493F">
              <w:rPr>
                <w:rFonts w:cs="Arial"/>
              </w:rPr>
              <w:t>(54,080)</w:t>
            </w:r>
          </w:p>
        </w:tc>
      </w:tr>
      <w:tr w:rsidR="00B02873" w:rsidRPr="0077493F" w14:paraId="44C3C096" w14:textId="77777777" w:rsidTr="00A3564B">
        <w:trPr>
          <w:trHeight w:val="60"/>
        </w:trPr>
        <w:tc>
          <w:tcPr>
            <w:tcW w:w="7257" w:type="dxa"/>
          </w:tcPr>
          <w:p w14:paraId="29B2ADDF" w14:textId="77777777" w:rsidR="00B02873" w:rsidRPr="0077493F" w:rsidRDefault="00B02873" w:rsidP="0077493F">
            <w:pPr>
              <w:pStyle w:val="TablebodyleftFinancialsTables"/>
              <w:rPr>
                <w:rFonts w:cs="Arial"/>
              </w:rPr>
            </w:pPr>
            <w:r w:rsidRPr="0077493F">
              <w:rPr>
                <w:rFonts w:cs="Arial"/>
              </w:rPr>
              <w:t>Grants to private individuals, businesses and non-profit organisations</w:t>
            </w:r>
          </w:p>
        </w:tc>
        <w:tc>
          <w:tcPr>
            <w:tcW w:w="1190" w:type="dxa"/>
          </w:tcPr>
          <w:p w14:paraId="46C50161" w14:textId="77777777" w:rsidR="00B02873" w:rsidRPr="0077493F" w:rsidRDefault="00B02873" w:rsidP="0077493F">
            <w:pPr>
              <w:pStyle w:val="TablebodyleftFinancialsTables"/>
              <w:jc w:val="right"/>
              <w:rPr>
                <w:rFonts w:cs="Arial"/>
                <w:b/>
                <w:bCs/>
              </w:rPr>
            </w:pPr>
            <w:r w:rsidRPr="0077493F">
              <w:rPr>
                <w:rFonts w:cs="Arial"/>
                <w:b/>
                <w:bCs/>
              </w:rPr>
              <w:t>(330,245)</w:t>
            </w:r>
          </w:p>
        </w:tc>
        <w:tc>
          <w:tcPr>
            <w:tcW w:w="1191" w:type="dxa"/>
          </w:tcPr>
          <w:p w14:paraId="0ED2B704" w14:textId="77777777" w:rsidR="00B02873" w:rsidRPr="0077493F" w:rsidRDefault="00B02873" w:rsidP="0077493F">
            <w:pPr>
              <w:pStyle w:val="TablebodyleftFinancialsTables"/>
              <w:jc w:val="right"/>
              <w:rPr>
                <w:rFonts w:cs="Arial"/>
              </w:rPr>
            </w:pPr>
            <w:r w:rsidRPr="0077493F">
              <w:rPr>
                <w:rFonts w:cs="Arial"/>
              </w:rPr>
              <w:t>(360,255)</w:t>
            </w:r>
          </w:p>
        </w:tc>
      </w:tr>
      <w:tr w:rsidR="00B02873" w:rsidRPr="0077493F" w14:paraId="44C8D7FE" w14:textId="77777777" w:rsidTr="00A3564B">
        <w:trPr>
          <w:trHeight w:val="60"/>
        </w:trPr>
        <w:tc>
          <w:tcPr>
            <w:tcW w:w="7257" w:type="dxa"/>
          </w:tcPr>
          <w:p w14:paraId="24C013CF" w14:textId="77777777" w:rsidR="00B02873" w:rsidRPr="0077493F" w:rsidRDefault="00B02873" w:rsidP="0077493F">
            <w:pPr>
              <w:pStyle w:val="TablebodyleftFinancialsTables"/>
              <w:rPr>
                <w:rFonts w:cs="Arial"/>
              </w:rPr>
            </w:pPr>
            <w:r w:rsidRPr="0077493F">
              <w:rPr>
                <w:rFonts w:cs="Arial"/>
              </w:rPr>
              <w:t>Other grants and transfers</w:t>
            </w:r>
          </w:p>
        </w:tc>
        <w:tc>
          <w:tcPr>
            <w:tcW w:w="1190" w:type="dxa"/>
          </w:tcPr>
          <w:p w14:paraId="77C4B374" w14:textId="77777777" w:rsidR="00B02873" w:rsidRPr="0077493F" w:rsidRDefault="00B02873" w:rsidP="0077493F">
            <w:pPr>
              <w:pStyle w:val="TablebodyleftFinancialsTables"/>
              <w:jc w:val="right"/>
              <w:rPr>
                <w:rFonts w:cs="Arial"/>
                <w:b/>
                <w:bCs/>
              </w:rPr>
            </w:pPr>
            <w:r w:rsidRPr="0077493F">
              <w:rPr>
                <w:rFonts w:cs="Arial"/>
                <w:b/>
                <w:bCs/>
              </w:rPr>
              <w:t>(5,882)</w:t>
            </w:r>
          </w:p>
        </w:tc>
        <w:tc>
          <w:tcPr>
            <w:tcW w:w="1191" w:type="dxa"/>
          </w:tcPr>
          <w:p w14:paraId="50255F60" w14:textId="77777777" w:rsidR="00B02873" w:rsidRPr="0077493F" w:rsidRDefault="00B02873" w:rsidP="0077493F">
            <w:pPr>
              <w:pStyle w:val="TablebodyleftFinancialsTables"/>
              <w:jc w:val="right"/>
              <w:rPr>
                <w:rFonts w:cs="Arial"/>
              </w:rPr>
            </w:pPr>
            <w:r w:rsidRPr="0077493F">
              <w:rPr>
                <w:rFonts w:cs="Arial"/>
              </w:rPr>
              <w:t xml:space="preserve"> (1,097)</w:t>
            </w:r>
          </w:p>
        </w:tc>
      </w:tr>
      <w:tr w:rsidR="00B02873" w:rsidRPr="0077493F" w14:paraId="6B4C07A7" w14:textId="77777777" w:rsidTr="00A3564B">
        <w:trPr>
          <w:trHeight w:val="60"/>
        </w:trPr>
        <w:tc>
          <w:tcPr>
            <w:tcW w:w="7257" w:type="dxa"/>
          </w:tcPr>
          <w:p w14:paraId="6812F740" w14:textId="77777777" w:rsidR="00B02873" w:rsidRPr="0077493F" w:rsidRDefault="00B02873" w:rsidP="0077493F">
            <w:pPr>
              <w:pStyle w:val="TablebodyleftFinancialsTables"/>
              <w:rPr>
                <w:rFonts w:cs="Arial"/>
                <w:b/>
                <w:bCs/>
              </w:rPr>
            </w:pPr>
            <w:r w:rsidRPr="0077493F">
              <w:rPr>
                <w:rFonts w:cs="Arial"/>
                <w:b/>
                <w:bCs/>
              </w:rPr>
              <w:t>Total grants and other transfers</w:t>
            </w:r>
          </w:p>
        </w:tc>
        <w:tc>
          <w:tcPr>
            <w:tcW w:w="1190" w:type="dxa"/>
          </w:tcPr>
          <w:p w14:paraId="3AA43322" w14:textId="77777777" w:rsidR="00B02873" w:rsidRPr="0077493F" w:rsidRDefault="00B02873" w:rsidP="0077493F">
            <w:pPr>
              <w:pStyle w:val="TablebodyleftFinancialsTables"/>
              <w:jc w:val="right"/>
              <w:rPr>
                <w:rFonts w:cs="Arial"/>
                <w:b/>
                <w:bCs/>
              </w:rPr>
            </w:pPr>
            <w:r w:rsidRPr="0077493F">
              <w:rPr>
                <w:rFonts w:cs="Arial"/>
                <w:b/>
                <w:bCs/>
              </w:rPr>
              <w:t>(1,485,515)</w:t>
            </w:r>
          </w:p>
        </w:tc>
        <w:tc>
          <w:tcPr>
            <w:tcW w:w="1191" w:type="dxa"/>
          </w:tcPr>
          <w:p w14:paraId="484A73DF" w14:textId="77777777" w:rsidR="00B02873" w:rsidRPr="0077493F" w:rsidRDefault="00B02873" w:rsidP="0077493F">
            <w:pPr>
              <w:pStyle w:val="TablebodyleftFinancialsTables"/>
              <w:jc w:val="right"/>
              <w:rPr>
                <w:rFonts w:cs="Arial"/>
              </w:rPr>
            </w:pPr>
            <w:r w:rsidRPr="0077493F">
              <w:rPr>
                <w:rFonts w:cs="Arial"/>
              </w:rPr>
              <w:t>(1,539,599)</w:t>
            </w:r>
          </w:p>
        </w:tc>
      </w:tr>
    </w:tbl>
    <w:p w14:paraId="5ECE831C" w14:textId="77777777" w:rsidR="00B02873" w:rsidRDefault="00B02873" w:rsidP="00FE198A"/>
    <w:p w14:paraId="3388A350" w14:textId="012181D7" w:rsidR="00B02873" w:rsidRDefault="00B02873" w:rsidP="0077493F">
      <w:r>
        <w:t xml:space="preserve">Grants and other transfers are contributions of the department’s resources to another party for specific or general purposes where there is no expectation that the amount will be repaid in equal value (either by money, goods or services). </w:t>
      </w:r>
    </w:p>
    <w:p w14:paraId="1BEDFB3F" w14:textId="7D7EBEC3" w:rsidR="00B02873" w:rsidRDefault="00B02873" w:rsidP="0077493F">
      <w:r>
        <w:t xml:space="preserve">Grants can either be operating or capital in nature. Grants that are capital in nature are treated as contributed capital transfers and recognised in equity. </w:t>
      </w:r>
    </w:p>
    <w:p w14:paraId="13CC68CC" w14:textId="02693EBF" w:rsidR="00B02873" w:rsidRDefault="00B02873" w:rsidP="0077493F">
      <w:r>
        <w:t>Grant expenses are recognised in the reporting period in which they are paid or payable. Grants can take the form of money, assets, goods, services or forgiveness of liabilities.</w:t>
      </w:r>
      <w:r w:rsidR="00012C04">
        <w:t xml:space="preserve"> </w:t>
      </w:r>
    </w:p>
    <w:p w14:paraId="23DD0379" w14:textId="77777777" w:rsidR="00B02873" w:rsidRDefault="00B02873" w:rsidP="0077493F">
      <w:r>
        <w:t xml:space="preserve">The department provided financial support grants to some portfolio agencies during the COVID-19 pandemic in line with whole-of-government directions. </w:t>
      </w:r>
    </w:p>
    <w:p w14:paraId="70DAF69F" w14:textId="77777777" w:rsidR="00B02873" w:rsidRDefault="00B02873" w:rsidP="0077493F">
      <w:pPr>
        <w:pStyle w:val="Heading4"/>
      </w:pPr>
      <w:r>
        <w:lastRenderedPageBreak/>
        <w:t xml:space="preserve">3.1.3 Capital asset </w:t>
      </w:r>
      <w:r w:rsidRPr="0077493F">
        <w:t>charge</w:t>
      </w:r>
    </w:p>
    <w:p w14:paraId="1B341E69" w14:textId="76DB0FE7" w:rsidR="00B02873" w:rsidRDefault="00B02873" w:rsidP="00FE198A">
      <w:r>
        <w:t xml:space="preserve">A capital asset charge (CAC) was a charge levied on the budgeted written-down value of controlled non-current physical assets in a department’s balance sheet. In previous years, CAC had been used to demonstrate the opportunity cost of utilising government assets. </w:t>
      </w:r>
    </w:p>
    <w:p w14:paraId="397F644F" w14:textId="47A1DE14" w:rsidR="00B02873" w:rsidRDefault="00B02873" w:rsidP="00FE198A">
      <w:r>
        <w:t>It should be noted that the capital asset charge policy was discontinued in 2021-22 (2021: $96.066 million) and also reflected in the 2021-22 Budget. While the inclusion of CAC was previously reflected in output cost, it did not reflect a net distribution of funds from the department because the department was funded from the budget for its CAC expense, and the department then immediately paid the same amount back into the Consolidated Fund.</w:t>
      </w:r>
    </w:p>
    <w:p w14:paraId="6737ED15" w14:textId="77777777" w:rsidR="00B02873" w:rsidRDefault="00B02873" w:rsidP="0077493F">
      <w:pPr>
        <w:pStyle w:val="Heading4"/>
      </w:pPr>
      <w:r>
        <w:t>3.1.4 Supplies and services</w:t>
      </w:r>
    </w:p>
    <w:tbl>
      <w:tblPr>
        <w:tblStyle w:val="TableGrid"/>
        <w:tblW w:w="0" w:type="auto"/>
        <w:tblLayout w:type="fixed"/>
        <w:tblLook w:val="0020" w:firstRow="1" w:lastRow="0" w:firstColumn="0" w:lastColumn="0" w:noHBand="0" w:noVBand="0"/>
      </w:tblPr>
      <w:tblGrid>
        <w:gridCol w:w="7257"/>
        <w:gridCol w:w="1190"/>
        <w:gridCol w:w="1191"/>
      </w:tblGrid>
      <w:tr w:rsidR="00B02873" w:rsidRPr="00B02873" w14:paraId="1A7C36F2" w14:textId="77777777" w:rsidTr="0077493F">
        <w:trPr>
          <w:cnfStyle w:val="100000000000" w:firstRow="1" w:lastRow="0" w:firstColumn="0" w:lastColumn="0" w:oddVBand="0" w:evenVBand="0" w:oddHBand="0" w:evenHBand="0" w:firstRowFirstColumn="0" w:firstRowLastColumn="0" w:lastRowFirstColumn="0" w:lastRowLastColumn="0"/>
          <w:trHeight w:val="60"/>
          <w:tblHeader/>
        </w:trPr>
        <w:tc>
          <w:tcPr>
            <w:tcW w:w="7257" w:type="dxa"/>
          </w:tcPr>
          <w:p w14:paraId="678F3C48" w14:textId="77777777" w:rsidR="00B02873" w:rsidRPr="00B02873" w:rsidRDefault="00B02873" w:rsidP="0077493F">
            <w:pPr>
              <w:pStyle w:val="TableheadingleftFinancialsTables"/>
            </w:pPr>
          </w:p>
        </w:tc>
        <w:tc>
          <w:tcPr>
            <w:tcW w:w="1190" w:type="dxa"/>
          </w:tcPr>
          <w:p w14:paraId="7D088772" w14:textId="77777777" w:rsidR="00B02873" w:rsidRPr="0077493F" w:rsidRDefault="00B02873" w:rsidP="0077493F">
            <w:pPr>
              <w:pStyle w:val="TableheadingleftFinancialsTables"/>
              <w:jc w:val="right"/>
            </w:pPr>
            <w:r w:rsidRPr="0077493F">
              <w:t>2022</w:t>
            </w:r>
            <w:r w:rsidRPr="0077493F">
              <w:br/>
              <w:t>$’000</w:t>
            </w:r>
          </w:p>
        </w:tc>
        <w:tc>
          <w:tcPr>
            <w:tcW w:w="1191" w:type="dxa"/>
          </w:tcPr>
          <w:p w14:paraId="4B4112D4" w14:textId="77777777" w:rsidR="00B02873" w:rsidRDefault="00B02873" w:rsidP="0077493F">
            <w:pPr>
              <w:pStyle w:val="TableheadingleftFinancialsTables"/>
              <w:jc w:val="right"/>
            </w:pPr>
            <w:r>
              <w:t>2021</w:t>
            </w:r>
            <w:r>
              <w:br/>
              <w:t>$’000</w:t>
            </w:r>
          </w:p>
        </w:tc>
      </w:tr>
      <w:tr w:rsidR="00B02873" w:rsidRPr="0077493F" w14:paraId="231FEFDD" w14:textId="77777777" w:rsidTr="0077493F">
        <w:trPr>
          <w:trHeight w:val="60"/>
        </w:trPr>
        <w:tc>
          <w:tcPr>
            <w:tcW w:w="7257" w:type="dxa"/>
          </w:tcPr>
          <w:p w14:paraId="2A5492EB" w14:textId="77777777" w:rsidR="00B02873" w:rsidRPr="0077493F" w:rsidRDefault="00B02873" w:rsidP="0077493F">
            <w:pPr>
              <w:pStyle w:val="TablebodyleftFinancialsTables"/>
              <w:rPr>
                <w:rFonts w:asciiTheme="minorHAnsi" w:hAnsiTheme="minorHAnsi" w:cstheme="minorHAnsi"/>
                <w:b/>
                <w:bCs/>
              </w:rPr>
            </w:pPr>
            <w:r w:rsidRPr="0077493F">
              <w:rPr>
                <w:rFonts w:asciiTheme="minorHAnsi" w:hAnsiTheme="minorHAnsi" w:cstheme="minorHAnsi"/>
                <w:b/>
                <w:bCs/>
              </w:rPr>
              <w:t>Supplies and services</w:t>
            </w:r>
          </w:p>
        </w:tc>
        <w:tc>
          <w:tcPr>
            <w:tcW w:w="1190" w:type="dxa"/>
          </w:tcPr>
          <w:p w14:paraId="09951345" w14:textId="77777777" w:rsidR="00B02873" w:rsidRPr="0077493F" w:rsidRDefault="00B02873" w:rsidP="0077493F">
            <w:pPr>
              <w:pStyle w:val="TablebodyleftFinancialsTables"/>
              <w:jc w:val="right"/>
              <w:rPr>
                <w:rFonts w:asciiTheme="minorHAnsi" w:hAnsiTheme="minorHAnsi" w:cstheme="minorHAnsi"/>
                <w:b/>
                <w:bCs/>
              </w:rPr>
            </w:pPr>
          </w:p>
        </w:tc>
        <w:tc>
          <w:tcPr>
            <w:tcW w:w="1191" w:type="dxa"/>
          </w:tcPr>
          <w:p w14:paraId="37110600" w14:textId="77777777" w:rsidR="00B02873" w:rsidRPr="0077493F" w:rsidRDefault="00B02873" w:rsidP="0077493F">
            <w:pPr>
              <w:pStyle w:val="TablebodyleftFinancialsTables"/>
              <w:jc w:val="right"/>
              <w:rPr>
                <w:rFonts w:asciiTheme="minorHAnsi" w:hAnsiTheme="minorHAnsi" w:cstheme="minorHAnsi"/>
                <w:b/>
                <w:bCs/>
              </w:rPr>
            </w:pPr>
          </w:p>
        </w:tc>
      </w:tr>
      <w:tr w:rsidR="00B02873" w:rsidRPr="0077493F" w14:paraId="75F50025" w14:textId="77777777" w:rsidTr="0077493F">
        <w:trPr>
          <w:trHeight w:val="60"/>
        </w:trPr>
        <w:tc>
          <w:tcPr>
            <w:tcW w:w="7257" w:type="dxa"/>
          </w:tcPr>
          <w:p w14:paraId="1B41BE2A" w14:textId="77777777" w:rsidR="00B02873" w:rsidRPr="0077493F" w:rsidRDefault="00B02873" w:rsidP="0077493F">
            <w:pPr>
              <w:pStyle w:val="TablebodyleftFinancialsTables"/>
              <w:rPr>
                <w:rFonts w:asciiTheme="minorHAnsi" w:hAnsiTheme="minorHAnsi" w:cstheme="minorHAnsi"/>
              </w:rPr>
            </w:pPr>
            <w:r w:rsidRPr="0077493F">
              <w:rPr>
                <w:rFonts w:asciiTheme="minorHAnsi" w:hAnsiTheme="minorHAnsi" w:cstheme="minorHAnsi"/>
              </w:rPr>
              <w:t>Community awareness and publicity</w:t>
            </w:r>
          </w:p>
        </w:tc>
        <w:tc>
          <w:tcPr>
            <w:tcW w:w="1190" w:type="dxa"/>
          </w:tcPr>
          <w:p w14:paraId="442912AC" w14:textId="77777777" w:rsidR="00B02873" w:rsidRPr="0077493F" w:rsidRDefault="00B02873" w:rsidP="0077493F">
            <w:pPr>
              <w:pStyle w:val="TablebodyleftFinancialsTables"/>
              <w:jc w:val="right"/>
              <w:rPr>
                <w:rFonts w:asciiTheme="minorHAnsi" w:hAnsiTheme="minorHAnsi" w:cstheme="minorHAnsi"/>
                <w:b/>
                <w:bCs/>
              </w:rPr>
            </w:pPr>
            <w:r w:rsidRPr="0077493F">
              <w:rPr>
                <w:rFonts w:asciiTheme="minorHAnsi" w:hAnsiTheme="minorHAnsi" w:cstheme="minorHAnsi"/>
                <w:b/>
                <w:bCs/>
              </w:rPr>
              <w:t>(6,927)</w:t>
            </w:r>
          </w:p>
        </w:tc>
        <w:tc>
          <w:tcPr>
            <w:tcW w:w="1191" w:type="dxa"/>
          </w:tcPr>
          <w:p w14:paraId="76BE19E9" w14:textId="77777777" w:rsidR="00B02873" w:rsidRPr="0077493F" w:rsidRDefault="00B02873" w:rsidP="0077493F">
            <w:pPr>
              <w:pStyle w:val="TablebodyleftFinancialsTables"/>
              <w:jc w:val="right"/>
              <w:rPr>
                <w:rFonts w:asciiTheme="minorHAnsi" w:hAnsiTheme="minorHAnsi" w:cstheme="minorHAnsi"/>
              </w:rPr>
            </w:pPr>
            <w:r w:rsidRPr="0077493F">
              <w:rPr>
                <w:rFonts w:asciiTheme="minorHAnsi" w:hAnsiTheme="minorHAnsi" w:cstheme="minorHAnsi"/>
              </w:rPr>
              <w:t>(6,890)</w:t>
            </w:r>
          </w:p>
        </w:tc>
      </w:tr>
      <w:tr w:rsidR="00B02873" w:rsidRPr="0077493F" w14:paraId="4BFF956D" w14:textId="77777777" w:rsidTr="0077493F">
        <w:trPr>
          <w:trHeight w:val="60"/>
        </w:trPr>
        <w:tc>
          <w:tcPr>
            <w:tcW w:w="7257" w:type="dxa"/>
          </w:tcPr>
          <w:p w14:paraId="53137910" w14:textId="77777777" w:rsidR="00B02873" w:rsidRPr="0077493F" w:rsidRDefault="00B02873" w:rsidP="0077493F">
            <w:pPr>
              <w:pStyle w:val="TablebodyleftFinancialsTables"/>
              <w:rPr>
                <w:rFonts w:asciiTheme="minorHAnsi" w:hAnsiTheme="minorHAnsi" w:cstheme="minorHAnsi"/>
              </w:rPr>
            </w:pPr>
            <w:r w:rsidRPr="0077493F">
              <w:rPr>
                <w:rFonts w:asciiTheme="minorHAnsi" w:hAnsiTheme="minorHAnsi" w:cstheme="minorHAnsi"/>
              </w:rPr>
              <w:t>Contract and professional services</w:t>
            </w:r>
          </w:p>
        </w:tc>
        <w:tc>
          <w:tcPr>
            <w:tcW w:w="1190" w:type="dxa"/>
          </w:tcPr>
          <w:p w14:paraId="2D182AC3" w14:textId="77777777" w:rsidR="00B02873" w:rsidRPr="0077493F" w:rsidRDefault="00B02873" w:rsidP="0077493F">
            <w:pPr>
              <w:pStyle w:val="TablebodyleftFinancialsTables"/>
              <w:jc w:val="right"/>
              <w:rPr>
                <w:rFonts w:asciiTheme="minorHAnsi" w:hAnsiTheme="minorHAnsi" w:cstheme="minorHAnsi"/>
                <w:b/>
                <w:bCs/>
              </w:rPr>
            </w:pPr>
            <w:r w:rsidRPr="0077493F">
              <w:rPr>
                <w:rFonts w:asciiTheme="minorHAnsi" w:hAnsiTheme="minorHAnsi" w:cstheme="minorHAnsi"/>
                <w:b/>
                <w:bCs/>
              </w:rPr>
              <w:t>(431,080)</w:t>
            </w:r>
          </w:p>
        </w:tc>
        <w:tc>
          <w:tcPr>
            <w:tcW w:w="1191" w:type="dxa"/>
          </w:tcPr>
          <w:p w14:paraId="132D4D6A" w14:textId="77777777" w:rsidR="00B02873" w:rsidRPr="0077493F" w:rsidRDefault="00B02873" w:rsidP="0077493F">
            <w:pPr>
              <w:pStyle w:val="TablebodyleftFinancialsTables"/>
              <w:jc w:val="right"/>
              <w:rPr>
                <w:rFonts w:asciiTheme="minorHAnsi" w:hAnsiTheme="minorHAnsi" w:cstheme="minorHAnsi"/>
              </w:rPr>
            </w:pPr>
            <w:r w:rsidRPr="0077493F">
              <w:rPr>
                <w:rFonts w:asciiTheme="minorHAnsi" w:hAnsiTheme="minorHAnsi" w:cstheme="minorHAnsi"/>
              </w:rPr>
              <w:t>(394,084)</w:t>
            </w:r>
          </w:p>
        </w:tc>
      </w:tr>
      <w:tr w:rsidR="00B02873" w:rsidRPr="0077493F" w14:paraId="3607C82B" w14:textId="77777777" w:rsidTr="0077493F">
        <w:trPr>
          <w:trHeight w:val="60"/>
        </w:trPr>
        <w:tc>
          <w:tcPr>
            <w:tcW w:w="7257" w:type="dxa"/>
          </w:tcPr>
          <w:p w14:paraId="27146019" w14:textId="77777777" w:rsidR="00B02873" w:rsidRPr="0077493F" w:rsidRDefault="00B02873" w:rsidP="0077493F">
            <w:pPr>
              <w:pStyle w:val="TablebodyleftFinancialsTables"/>
              <w:rPr>
                <w:rFonts w:asciiTheme="minorHAnsi" w:hAnsiTheme="minorHAnsi" w:cstheme="minorHAnsi"/>
              </w:rPr>
            </w:pPr>
            <w:r w:rsidRPr="0077493F">
              <w:rPr>
                <w:rFonts w:asciiTheme="minorHAnsi" w:hAnsiTheme="minorHAnsi" w:cstheme="minorHAnsi"/>
              </w:rPr>
              <w:t xml:space="preserve">Equipment maintenance and hire </w:t>
            </w:r>
          </w:p>
        </w:tc>
        <w:tc>
          <w:tcPr>
            <w:tcW w:w="1190" w:type="dxa"/>
          </w:tcPr>
          <w:p w14:paraId="53B76F54" w14:textId="77777777" w:rsidR="00B02873" w:rsidRPr="0077493F" w:rsidRDefault="00B02873" w:rsidP="0077493F">
            <w:pPr>
              <w:pStyle w:val="TablebodyleftFinancialsTables"/>
              <w:jc w:val="right"/>
              <w:rPr>
                <w:rFonts w:asciiTheme="minorHAnsi" w:hAnsiTheme="minorHAnsi" w:cstheme="minorHAnsi"/>
                <w:b/>
                <w:bCs/>
              </w:rPr>
            </w:pPr>
            <w:r w:rsidRPr="0077493F">
              <w:rPr>
                <w:rFonts w:asciiTheme="minorHAnsi" w:hAnsiTheme="minorHAnsi" w:cstheme="minorHAnsi"/>
                <w:b/>
                <w:bCs/>
              </w:rPr>
              <w:t>(55,397)</w:t>
            </w:r>
          </w:p>
        </w:tc>
        <w:tc>
          <w:tcPr>
            <w:tcW w:w="1191" w:type="dxa"/>
          </w:tcPr>
          <w:p w14:paraId="3F36D7F6" w14:textId="77777777" w:rsidR="00B02873" w:rsidRPr="0077493F" w:rsidRDefault="00B02873" w:rsidP="0077493F">
            <w:pPr>
              <w:pStyle w:val="TablebodyleftFinancialsTables"/>
              <w:jc w:val="right"/>
              <w:rPr>
                <w:rFonts w:asciiTheme="minorHAnsi" w:hAnsiTheme="minorHAnsi" w:cstheme="minorHAnsi"/>
              </w:rPr>
            </w:pPr>
            <w:r w:rsidRPr="0077493F">
              <w:rPr>
                <w:rFonts w:asciiTheme="minorHAnsi" w:hAnsiTheme="minorHAnsi" w:cstheme="minorHAnsi"/>
              </w:rPr>
              <w:t>(39,160)</w:t>
            </w:r>
          </w:p>
        </w:tc>
      </w:tr>
      <w:tr w:rsidR="00B02873" w:rsidRPr="0077493F" w14:paraId="43398386" w14:textId="77777777" w:rsidTr="0077493F">
        <w:trPr>
          <w:trHeight w:val="60"/>
        </w:trPr>
        <w:tc>
          <w:tcPr>
            <w:tcW w:w="7257" w:type="dxa"/>
          </w:tcPr>
          <w:p w14:paraId="6396DE41" w14:textId="77777777" w:rsidR="00B02873" w:rsidRPr="0077493F" w:rsidRDefault="00B02873" w:rsidP="0077493F">
            <w:pPr>
              <w:pStyle w:val="TablebodyleftFinancialsTables"/>
              <w:rPr>
                <w:rFonts w:asciiTheme="minorHAnsi" w:hAnsiTheme="minorHAnsi" w:cstheme="minorHAnsi"/>
              </w:rPr>
            </w:pPr>
            <w:r w:rsidRPr="0077493F">
              <w:rPr>
                <w:rFonts w:asciiTheme="minorHAnsi" w:hAnsiTheme="minorHAnsi" w:cstheme="minorHAnsi"/>
              </w:rPr>
              <w:t>Cost of goods sold/provided</w:t>
            </w:r>
          </w:p>
        </w:tc>
        <w:tc>
          <w:tcPr>
            <w:tcW w:w="1190" w:type="dxa"/>
          </w:tcPr>
          <w:p w14:paraId="2DD94C24" w14:textId="77777777" w:rsidR="00B02873" w:rsidRPr="0077493F" w:rsidRDefault="00B02873" w:rsidP="0077493F">
            <w:pPr>
              <w:pStyle w:val="TablebodyleftFinancialsTables"/>
              <w:jc w:val="right"/>
              <w:rPr>
                <w:rFonts w:asciiTheme="minorHAnsi" w:hAnsiTheme="minorHAnsi" w:cstheme="minorHAnsi"/>
                <w:b/>
                <w:bCs/>
              </w:rPr>
            </w:pPr>
            <w:r w:rsidRPr="0077493F">
              <w:rPr>
                <w:rFonts w:asciiTheme="minorHAnsi" w:hAnsiTheme="minorHAnsi" w:cstheme="minorHAnsi"/>
                <w:b/>
                <w:bCs/>
              </w:rPr>
              <w:t>(5,902)</w:t>
            </w:r>
          </w:p>
        </w:tc>
        <w:tc>
          <w:tcPr>
            <w:tcW w:w="1191" w:type="dxa"/>
          </w:tcPr>
          <w:p w14:paraId="044AC378" w14:textId="77777777" w:rsidR="00B02873" w:rsidRPr="0077493F" w:rsidRDefault="00B02873" w:rsidP="0077493F">
            <w:pPr>
              <w:pStyle w:val="TablebodyleftFinancialsTables"/>
              <w:jc w:val="right"/>
              <w:rPr>
                <w:rFonts w:asciiTheme="minorHAnsi" w:hAnsiTheme="minorHAnsi" w:cstheme="minorHAnsi"/>
              </w:rPr>
            </w:pPr>
            <w:r w:rsidRPr="0077493F">
              <w:rPr>
                <w:rFonts w:asciiTheme="minorHAnsi" w:hAnsiTheme="minorHAnsi" w:cstheme="minorHAnsi"/>
              </w:rPr>
              <w:t>(6,734)</w:t>
            </w:r>
          </w:p>
        </w:tc>
      </w:tr>
      <w:tr w:rsidR="00B02873" w:rsidRPr="0077493F" w14:paraId="411F66D9" w14:textId="77777777" w:rsidTr="0077493F">
        <w:trPr>
          <w:trHeight w:val="60"/>
        </w:trPr>
        <w:tc>
          <w:tcPr>
            <w:tcW w:w="7257" w:type="dxa"/>
          </w:tcPr>
          <w:p w14:paraId="1077769C" w14:textId="77777777" w:rsidR="00B02873" w:rsidRPr="0077493F" w:rsidRDefault="00B02873" w:rsidP="0077493F">
            <w:pPr>
              <w:pStyle w:val="TablebodyleftFinancialsTables"/>
              <w:rPr>
                <w:rFonts w:asciiTheme="minorHAnsi" w:hAnsiTheme="minorHAnsi" w:cstheme="minorHAnsi"/>
              </w:rPr>
            </w:pPr>
            <w:r w:rsidRPr="0077493F">
              <w:rPr>
                <w:rFonts w:asciiTheme="minorHAnsi" w:hAnsiTheme="minorHAnsi" w:cstheme="minorHAnsi"/>
              </w:rPr>
              <w:t>Statutory fees, learning and development costs and general expenses</w:t>
            </w:r>
          </w:p>
        </w:tc>
        <w:tc>
          <w:tcPr>
            <w:tcW w:w="1190" w:type="dxa"/>
          </w:tcPr>
          <w:p w14:paraId="520E0AB9" w14:textId="77777777" w:rsidR="00B02873" w:rsidRPr="0077493F" w:rsidRDefault="00B02873" w:rsidP="0077493F">
            <w:pPr>
              <w:pStyle w:val="TablebodyleftFinancialsTables"/>
              <w:jc w:val="right"/>
              <w:rPr>
                <w:rFonts w:asciiTheme="minorHAnsi" w:hAnsiTheme="minorHAnsi" w:cstheme="minorHAnsi"/>
                <w:b/>
                <w:bCs/>
              </w:rPr>
            </w:pPr>
            <w:r w:rsidRPr="0077493F">
              <w:rPr>
                <w:rFonts w:asciiTheme="minorHAnsi" w:hAnsiTheme="minorHAnsi" w:cstheme="minorHAnsi"/>
                <w:b/>
                <w:bCs/>
              </w:rPr>
              <w:t>(19,606)</w:t>
            </w:r>
          </w:p>
        </w:tc>
        <w:tc>
          <w:tcPr>
            <w:tcW w:w="1191" w:type="dxa"/>
          </w:tcPr>
          <w:p w14:paraId="7FBE430E" w14:textId="77777777" w:rsidR="00B02873" w:rsidRPr="0077493F" w:rsidRDefault="00B02873" w:rsidP="0077493F">
            <w:pPr>
              <w:pStyle w:val="TablebodyleftFinancialsTables"/>
              <w:jc w:val="right"/>
              <w:rPr>
                <w:rFonts w:asciiTheme="minorHAnsi" w:hAnsiTheme="minorHAnsi" w:cstheme="minorHAnsi"/>
              </w:rPr>
            </w:pPr>
            <w:r w:rsidRPr="0077493F">
              <w:rPr>
                <w:rFonts w:asciiTheme="minorHAnsi" w:hAnsiTheme="minorHAnsi" w:cstheme="minorHAnsi"/>
              </w:rPr>
              <w:t>(31,039)</w:t>
            </w:r>
          </w:p>
        </w:tc>
      </w:tr>
      <w:tr w:rsidR="00B02873" w:rsidRPr="0077493F" w14:paraId="4F8F10D2" w14:textId="77777777" w:rsidTr="0077493F">
        <w:trPr>
          <w:trHeight w:val="60"/>
        </w:trPr>
        <w:tc>
          <w:tcPr>
            <w:tcW w:w="7257" w:type="dxa"/>
          </w:tcPr>
          <w:p w14:paraId="6CB968EC" w14:textId="77777777" w:rsidR="00B02873" w:rsidRPr="0077493F" w:rsidRDefault="00B02873" w:rsidP="0077493F">
            <w:pPr>
              <w:pStyle w:val="TablebodyleftFinancialsTables"/>
              <w:rPr>
                <w:rFonts w:asciiTheme="minorHAnsi" w:hAnsiTheme="minorHAnsi" w:cstheme="minorHAnsi"/>
              </w:rPr>
            </w:pPr>
            <w:r w:rsidRPr="0077493F">
              <w:rPr>
                <w:rFonts w:asciiTheme="minorHAnsi" w:hAnsiTheme="minorHAnsi" w:cstheme="minorHAnsi"/>
              </w:rPr>
              <w:t>Insurance expenses</w:t>
            </w:r>
          </w:p>
        </w:tc>
        <w:tc>
          <w:tcPr>
            <w:tcW w:w="1190" w:type="dxa"/>
          </w:tcPr>
          <w:p w14:paraId="1FFB1AA0" w14:textId="77777777" w:rsidR="00B02873" w:rsidRPr="0077493F" w:rsidRDefault="00B02873" w:rsidP="0077493F">
            <w:pPr>
              <w:pStyle w:val="TablebodyleftFinancialsTables"/>
              <w:jc w:val="right"/>
              <w:rPr>
                <w:rFonts w:asciiTheme="minorHAnsi" w:hAnsiTheme="minorHAnsi" w:cstheme="minorHAnsi"/>
                <w:b/>
                <w:bCs/>
              </w:rPr>
            </w:pPr>
            <w:r w:rsidRPr="0077493F">
              <w:rPr>
                <w:rFonts w:asciiTheme="minorHAnsi" w:hAnsiTheme="minorHAnsi" w:cstheme="minorHAnsi"/>
                <w:b/>
                <w:bCs/>
              </w:rPr>
              <w:t>(19,727)</w:t>
            </w:r>
          </w:p>
        </w:tc>
        <w:tc>
          <w:tcPr>
            <w:tcW w:w="1191" w:type="dxa"/>
          </w:tcPr>
          <w:p w14:paraId="7F392D62" w14:textId="77777777" w:rsidR="00B02873" w:rsidRPr="0077493F" w:rsidRDefault="00B02873" w:rsidP="0077493F">
            <w:pPr>
              <w:pStyle w:val="TablebodyleftFinancialsTables"/>
              <w:jc w:val="right"/>
              <w:rPr>
                <w:rFonts w:asciiTheme="minorHAnsi" w:hAnsiTheme="minorHAnsi" w:cstheme="minorHAnsi"/>
              </w:rPr>
            </w:pPr>
            <w:r w:rsidRPr="0077493F">
              <w:rPr>
                <w:rFonts w:asciiTheme="minorHAnsi" w:hAnsiTheme="minorHAnsi" w:cstheme="minorHAnsi"/>
              </w:rPr>
              <w:t>(16,232)</w:t>
            </w:r>
          </w:p>
        </w:tc>
      </w:tr>
      <w:tr w:rsidR="00B02873" w:rsidRPr="0077493F" w14:paraId="3D3805C4" w14:textId="77777777" w:rsidTr="0077493F">
        <w:trPr>
          <w:trHeight w:val="60"/>
        </w:trPr>
        <w:tc>
          <w:tcPr>
            <w:tcW w:w="7257" w:type="dxa"/>
          </w:tcPr>
          <w:p w14:paraId="3E852AD2" w14:textId="77777777" w:rsidR="00B02873" w:rsidRPr="0077493F" w:rsidRDefault="00B02873" w:rsidP="0077493F">
            <w:pPr>
              <w:pStyle w:val="TablebodyleftFinancialsTables"/>
              <w:rPr>
                <w:rFonts w:asciiTheme="minorHAnsi" w:hAnsiTheme="minorHAnsi" w:cstheme="minorHAnsi"/>
              </w:rPr>
            </w:pPr>
            <w:r w:rsidRPr="0077493F">
              <w:rPr>
                <w:rFonts w:asciiTheme="minorHAnsi" w:hAnsiTheme="minorHAnsi" w:cstheme="minorHAnsi"/>
              </w:rPr>
              <w:t>IT costs</w:t>
            </w:r>
          </w:p>
        </w:tc>
        <w:tc>
          <w:tcPr>
            <w:tcW w:w="1190" w:type="dxa"/>
          </w:tcPr>
          <w:p w14:paraId="15C88EA9" w14:textId="77777777" w:rsidR="00B02873" w:rsidRPr="0077493F" w:rsidRDefault="00B02873" w:rsidP="0077493F">
            <w:pPr>
              <w:pStyle w:val="TablebodyleftFinancialsTables"/>
              <w:jc w:val="right"/>
              <w:rPr>
                <w:rFonts w:asciiTheme="minorHAnsi" w:hAnsiTheme="minorHAnsi" w:cstheme="minorHAnsi"/>
                <w:b/>
                <w:bCs/>
              </w:rPr>
            </w:pPr>
            <w:r w:rsidRPr="0077493F">
              <w:rPr>
                <w:rFonts w:asciiTheme="minorHAnsi" w:hAnsiTheme="minorHAnsi" w:cstheme="minorHAnsi"/>
                <w:b/>
                <w:bCs/>
              </w:rPr>
              <w:t>(36,998)</w:t>
            </w:r>
          </w:p>
        </w:tc>
        <w:tc>
          <w:tcPr>
            <w:tcW w:w="1191" w:type="dxa"/>
          </w:tcPr>
          <w:p w14:paraId="4A15B11A" w14:textId="77777777" w:rsidR="00B02873" w:rsidRPr="0077493F" w:rsidRDefault="00B02873" w:rsidP="0077493F">
            <w:pPr>
              <w:pStyle w:val="TablebodyleftFinancialsTables"/>
              <w:jc w:val="right"/>
              <w:rPr>
                <w:rFonts w:asciiTheme="minorHAnsi" w:hAnsiTheme="minorHAnsi" w:cstheme="minorHAnsi"/>
              </w:rPr>
            </w:pPr>
            <w:r w:rsidRPr="0077493F">
              <w:rPr>
                <w:rFonts w:asciiTheme="minorHAnsi" w:hAnsiTheme="minorHAnsi" w:cstheme="minorHAnsi"/>
              </w:rPr>
              <w:t>(40,904)</w:t>
            </w:r>
          </w:p>
        </w:tc>
      </w:tr>
      <w:tr w:rsidR="00B02873" w:rsidRPr="0077493F" w14:paraId="6CFE8431" w14:textId="77777777" w:rsidTr="0077493F">
        <w:trPr>
          <w:trHeight w:val="60"/>
        </w:trPr>
        <w:tc>
          <w:tcPr>
            <w:tcW w:w="7257" w:type="dxa"/>
          </w:tcPr>
          <w:p w14:paraId="29420972" w14:textId="77777777" w:rsidR="00B02873" w:rsidRPr="0077493F" w:rsidRDefault="00B02873" w:rsidP="0077493F">
            <w:pPr>
              <w:pStyle w:val="TablebodyleftFinancialsTables"/>
              <w:rPr>
                <w:rFonts w:asciiTheme="minorHAnsi" w:hAnsiTheme="minorHAnsi" w:cstheme="minorHAnsi"/>
              </w:rPr>
            </w:pPr>
            <w:r w:rsidRPr="0077493F">
              <w:rPr>
                <w:rFonts w:asciiTheme="minorHAnsi" w:hAnsiTheme="minorHAnsi" w:cstheme="minorHAnsi"/>
              </w:rPr>
              <w:t>Other operating expenses</w:t>
            </w:r>
          </w:p>
        </w:tc>
        <w:tc>
          <w:tcPr>
            <w:tcW w:w="1190" w:type="dxa"/>
          </w:tcPr>
          <w:p w14:paraId="65711AB3" w14:textId="77777777" w:rsidR="00B02873" w:rsidRPr="0077493F" w:rsidRDefault="00B02873" w:rsidP="0077493F">
            <w:pPr>
              <w:pStyle w:val="TablebodyleftFinancialsTables"/>
              <w:jc w:val="right"/>
              <w:rPr>
                <w:rFonts w:asciiTheme="minorHAnsi" w:hAnsiTheme="minorHAnsi" w:cstheme="minorHAnsi"/>
                <w:b/>
                <w:bCs/>
              </w:rPr>
            </w:pPr>
            <w:r w:rsidRPr="0077493F">
              <w:rPr>
                <w:rFonts w:asciiTheme="minorHAnsi" w:hAnsiTheme="minorHAnsi" w:cstheme="minorHAnsi"/>
                <w:b/>
                <w:bCs/>
              </w:rPr>
              <w:t>(88,093)</w:t>
            </w:r>
          </w:p>
        </w:tc>
        <w:tc>
          <w:tcPr>
            <w:tcW w:w="1191" w:type="dxa"/>
          </w:tcPr>
          <w:p w14:paraId="3F1A3F63" w14:textId="77777777" w:rsidR="00B02873" w:rsidRPr="0077493F" w:rsidRDefault="00B02873" w:rsidP="0077493F">
            <w:pPr>
              <w:pStyle w:val="TablebodyleftFinancialsTables"/>
              <w:jc w:val="right"/>
              <w:rPr>
                <w:rFonts w:asciiTheme="minorHAnsi" w:hAnsiTheme="minorHAnsi" w:cstheme="minorHAnsi"/>
              </w:rPr>
            </w:pPr>
            <w:r w:rsidRPr="0077493F">
              <w:rPr>
                <w:rFonts w:asciiTheme="minorHAnsi" w:hAnsiTheme="minorHAnsi" w:cstheme="minorHAnsi"/>
              </w:rPr>
              <w:t>(11,587)</w:t>
            </w:r>
          </w:p>
        </w:tc>
      </w:tr>
      <w:tr w:rsidR="00B02873" w:rsidRPr="0077493F" w14:paraId="7BC047AE" w14:textId="77777777" w:rsidTr="0077493F">
        <w:trPr>
          <w:trHeight w:val="60"/>
        </w:trPr>
        <w:tc>
          <w:tcPr>
            <w:tcW w:w="7257" w:type="dxa"/>
          </w:tcPr>
          <w:p w14:paraId="7B2233B9" w14:textId="77777777" w:rsidR="00B02873" w:rsidRPr="0077493F" w:rsidRDefault="00B02873" w:rsidP="0077493F">
            <w:pPr>
              <w:pStyle w:val="TablebodyleftFinancialsTables"/>
              <w:rPr>
                <w:rFonts w:asciiTheme="minorHAnsi" w:hAnsiTheme="minorHAnsi" w:cstheme="minorHAnsi"/>
              </w:rPr>
            </w:pPr>
            <w:r w:rsidRPr="0077493F">
              <w:rPr>
                <w:rFonts w:asciiTheme="minorHAnsi" w:hAnsiTheme="minorHAnsi" w:cstheme="minorHAnsi"/>
              </w:rPr>
              <w:t>Motor vehicle costs</w:t>
            </w:r>
          </w:p>
        </w:tc>
        <w:tc>
          <w:tcPr>
            <w:tcW w:w="1190" w:type="dxa"/>
          </w:tcPr>
          <w:p w14:paraId="6A273E02" w14:textId="77777777" w:rsidR="00B02873" w:rsidRPr="0077493F" w:rsidRDefault="00B02873" w:rsidP="0077493F">
            <w:pPr>
              <w:pStyle w:val="TablebodyleftFinancialsTables"/>
              <w:jc w:val="right"/>
              <w:rPr>
                <w:rFonts w:asciiTheme="minorHAnsi" w:hAnsiTheme="minorHAnsi" w:cstheme="minorHAnsi"/>
                <w:b/>
                <w:bCs/>
              </w:rPr>
            </w:pPr>
            <w:r w:rsidRPr="0077493F">
              <w:rPr>
                <w:rFonts w:asciiTheme="minorHAnsi" w:hAnsiTheme="minorHAnsi" w:cstheme="minorHAnsi"/>
                <w:b/>
                <w:bCs/>
              </w:rPr>
              <w:t>(15,400)</w:t>
            </w:r>
          </w:p>
        </w:tc>
        <w:tc>
          <w:tcPr>
            <w:tcW w:w="1191" w:type="dxa"/>
          </w:tcPr>
          <w:p w14:paraId="7E82D207" w14:textId="77777777" w:rsidR="00B02873" w:rsidRPr="0077493F" w:rsidRDefault="00B02873" w:rsidP="0077493F">
            <w:pPr>
              <w:pStyle w:val="TablebodyleftFinancialsTables"/>
              <w:jc w:val="right"/>
              <w:rPr>
                <w:rFonts w:asciiTheme="minorHAnsi" w:hAnsiTheme="minorHAnsi" w:cstheme="minorHAnsi"/>
              </w:rPr>
            </w:pPr>
            <w:r w:rsidRPr="0077493F">
              <w:rPr>
                <w:rFonts w:asciiTheme="minorHAnsi" w:hAnsiTheme="minorHAnsi" w:cstheme="minorHAnsi"/>
              </w:rPr>
              <w:t>(13,556)</w:t>
            </w:r>
          </w:p>
        </w:tc>
      </w:tr>
      <w:tr w:rsidR="00B02873" w:rsidRPr="0077493F" w14:paraId="6B37EAC2" w14:textId="77777777" w:rsidTr="0077493F">
        <w:trPr>
          <w:trHeight w:val="60"/>
        </w:trPr>
        <w:tc>
          <w:tcPr>
            <w:tcW w:w="7257" w:type="dxa"/>
          </w:tcPr>
          <w:p w14:paraId="1A8AE935" w14:textId="77777777" w:rsidR="00B02873" w:rsidRPr="0077493F" w:rsidRDefault="00B02873" w:rsidP="0077493F">
            <w:pPr>
              <w:pStyle w:val="TablebodyleftFinancialsTables"/>
              <w:rPr>
                <w:rFonts w:asciiTheme="minorHAnsi" w:hAnsiTheme="minorHAnsi" w:cstheme="minorHAnsi"/>
              </w:rPr>
            </w:pPr>
            <w:r w:rsidRPr="0077493F">
              <w:rPr>
                <w:rFonts w:asciiTheme="minorHAnsi" w:hAnsiTheme="minorHAnsi" w:cstheme="minorHAnsi"/>
              </w:rPr>
              <w:t>Office and accommodation</w:t>
            </w:r>
          </w:p>
        </w:tc>
        <w:tc>
          <w:tcPr>
            <w:tcW w:w="1190" w:type="dxa"/>
          </w:tcPr>
          <w:p w14:paraId="5E2147A1" w14:textId="77777777" w:rsidR="00B02873" w:rsidRPr="0077493F" w:rsidRDefault="00B02873" w:rsidP="0077493F">
            <w:pPr>
              <w:pStyle w:val="TablebodyleftFinancialsTables"/>
              <w:jc w:val="right"/>
              <w:rPr>
                <w:rFonts w:asciiTheme="minorHAnsi" w:hAnsiTheme="minorHAnsi" w:cstheme="minorHAnsi"/>
                <w:b/>
                <w:bCs/>
              </w:rPr>
            </w:pPr>
            <w:r w:rsidRPr="0077493F">
              <w:rPr>
                <w:rFonts w:asciiTheme="minorHAnsi" w:hAnsiTheme="minorHAnsi" w:cstheme="minorHAnsi"/>
                <w:b/>
                <w:bCs/>
              </w:rPr>
              <w:t>(44,049)</w:t>
            </w:r>
          </w:p>
        </w:tc>
        <w:tc>
          <w:tcPr>
            <w:tcW w:w="1191" w:type="dxa"/>
          </w:tcPr>
          <w:p w14:paraId="3DC5E03A" w14:textId="77777777" w:rsidR="00B02873" w:rsidRPr="0077493F" w:rsidRDefault="00B02873" w:rsidP="0077493F">
            <w:pPr>
              <w:pStyle w:val="TablebodyleftFinancialsTables"/>
              <w:jc w:val="right"/>
              <w:rPr>
                <w:rFonts w:asciiTheme="minorHAnsi" w:hAnsiTheme="minorHAnsi" w:cstheme="minorHAnsi"/>
              </w:rPr>
            </w:pPr>
            <w:r w:rsidRPr="0077493F">
              <w:rPr>
                <w:rFonts w:asciiTheme="minorHAnsi" w:hAnsiTheme="minorHAnsi" w:cstheme="minorHAnsi"/>
              </w:rPr>
              <w:t>(44,296)</w:t>
            </w:r>
          </w:p>
        </w:tc>
      </w:tr>
      <w:tr w:rsidR="00B02873" w:rsidRPr="0077493F" w14:paraId="44DD272F" w14:textId="77777777" w:rsidTr="0077493F">
        <w:trPr>
          <w:trHeight w:val="60"/>
        </w:trPr>
        <w:tc>
          <w:tcPr>
            <w:tcW w:w="7257" w:type="dxa"/>
          </w:tcPr>
          <w:p w14:paraId="5B35FE93" w14:textId="77777777" w:rsidR="00B02873" w:rsidRPr="0077493F" w:rsidRDefault="00B02873" w:rsidP="0077493F">
            <w:pPr>
              <w:pStyle w:val="TablebodyleftFinancialsTables"/>
              <w:rPr>
                <w:rFonts w:asciiTheme="minorHAnsi" w:hAnsiTheme="minorHAnsi" w:cstheme="minorHAnsi"/>
              </w:rPr>
            </w:pPr>
            <w:r w:rsidRPr="0077493F">
              <w:rPr>
                <w:rFonts w:asciiTheme="minorHAnsi" w:hAnsiTheme="minorHAnsi" w:cstheme="minorHAnsi"/>
              </w:rPr>
              <w:t>Payments for shared services</w:t>
            </w:r>
          </w:p>
        </w:tc>
        <w:tc>
          <w:tcPr>
            <w:tcW w:w="1190" w:type="dxa"/>
          </w:tcPr>
          <w:p w14:paraId="41742F09" w14:textId="77777777" w:rsidR="00B02873" w:rsidRPr="0077493F" w:rsidRDefault="00B02873" w:rsidP="0077493F">
            <w:pPr>
              <w:pStyle w:val="TablebodyleftFinancialsTables"/>
              <w:jc w:val="right"/>
              <w:rPr>
                <w:rFonts w:asciiTheme="minorHAnsi" w:hAnsiTheme="minorHAnsi" w:cstheme="minorHAnsi"/>
                <w:b/>
                <w:bCs/>
              </w:rPr>
            </w:pPr>
            <w:r w:rsidRPr="0077493F">
              <w:rPr>
                <w:rFonts w:asciiTheme="minorHAnsi" w:hAnsiTheme="minorHAnsi" w:cstheme="minorHAnsi"/>
                <w:b/>
                <w:bCs/>
              </w:rPr>
              <w:t>(10,125)</w:t>
            </w:r>
          </w:p>
        </w:tc>
        <w:tc>
          <w:tcPr>
            <w:tcW w:w="1191" w:type="dxa"/>
          </w:tcPr>
          <w:p w14:paraId="213D39BF" w14:textId="77777777" w:rsidR="00B02873" w:rsidRPr="0077493F" w:rsidRDefault="00B02873" w:rsidP="0077493F">
            <w:pPr>
              <w:pStyle w:val="TablebodyleftFinancialsTables"/>
              <w:jc w:val="right"/>
              <w:rPr>
                <w:rFonts w:asciiTheme="minorHAnsi" w:hAnsiTheme="minorHAnsi" w:cstheme="minorHAnsi"/>
              </w:rPr>
            </w:pPr>
            <w:r w:rsidRPr="0077493F">
              <w:rPr>
                <w:rFonts w:asciiTheme="minorHAnsi" w:hAnsiTheme="minorHAnsi" w:cstheme="minorHAnsi"/>
              </w:rPr>
              <w:t>(8,219)</w:t>
            </w:r>
          </w:p>
        </w:tc>
      </w:tr>
      <w:tr w:rsidR="00B02873" w:rsidRPr="0077493F" w14:paraId="3BB42D3C" w14:textId="77777777" w:rsidTr="0077493F">
        <w:trPr>
          <w:trHeight w:val="60"/>
        </w:trPr>
        <w:tc>
          <w:tcPr>
            <w:tcW w:w="7257" w:type="dxa"/>
          </w:tcPr>
          <w:p w14:paraId="733504E5" w14:textId="77777777" w:rsidR="00B02873" w:rsidRPr="0077493F" w:rsidRDefault="00B02873" w:rsidP="0077493F">
            <w:pPr>
              <w:pStyle w:val="TablebodyleftFinancialsTables"/>
              <w:rPr>
                <w:rFonts w:asciiTheme="minorHAnsi" w:hAnsiTheme="minorHAnsi" w:cstheme="minorHAnsi"/>
              </w:rPr>
            </w:pPr>
            <w:r w:rsidRPr="0077493F">
              <w:rPr>
                <w:rFonts w:asciiTheme="minorHAnsi" w:hAnsiTheme="minorHAnsi" w:cstheme="minorHAnsi"/>
              </w:rPr>
              <w:t>Postage and telephone</w:t>
            </w:r>
          </w:p>
        </w:tc>
        <w:tc>
          <w:tcPr>
            <w:tcW w:w="1190" w:type="dxa"/>
          </w:tcPr>
          <w:p w14:paraId="5409C8B1" w14:textId="77777777" w:rsidR="00B02873" w:rsidRPr="0077493F" w:rsidRDefault="00B02873" w:rsidP="0077493F">
            <w:pPr>
              <w:pStyle w:val="TablebodyleftFinancialsTables"/>
              <w:jc w:val="right"/>
              <w:rPr>
                <w:rFonts w:asciiTheme="minorHAnsi" w:hAnsiTheme="minorHAnsi" w:cstheme="minorHAnsi"/>
                <w:b/>
                <w:bCs/>
              </w:rPr>
            </w:pPr>
            <w:r w:rsidRPr="0077493F">
              <w:rPr>
                <w:rFonts w:asciiTheme="minorHAnsi" w:hAnsiTheme="minorHAnsi" w:cstheme="minorHAnsi"/>
                <w:b/>
                <w:bCs/>
              </w:rPr>
              <w:t>(13,544)</w:t>
            </w:r>
          </w:p>
        </w:tc>
        <w:tc>
          <w:tcPr>
            <w:tcW w:w="1191" w:type="dxa"/>
          </w:tcPr>
          <w:p w14:paraId="1664FFC0" w14:textId="77777777" w:rsidR="00B02873" w:rsidRPr="0077493F" w:rsidRDefault="00B02873" w:rsidP="0077493F">
            <w:pPr>
              <w:pStyle w:val="TablebodyleftFinancialsTables"/>
              <w:jc w:val="right"/>
              <w:rPr>
                <w:rFonts w:asciiTheme="minorHAnsi" w:hAnsiTheme="minorHAnsi" w:cstheme="minorHAnsi"/>
              </w:rPr>
            </w:pPr>
            <w:r w:rsidRPr="0077493F">
              <w:rPr>
                <w:rFonts w:asciiTheme="minorHAnsi" w:hAnsiTheme="minorHAnsi" w:cstheme="minorHAnsi"/>
              </w:rPr>
              <w:t>(15,961)</w:t>
            </w:r>
          </w:p>
        </w:tc>
      </w:tr>
      <w:tr w:rsidR="00B02873" w:rsidRPr="0077493F" w14:paraId="4A99A8D0" w14:textId="77777777" w:rsidTr="0077493F">
        <w:trPr>
          <w:trHeight w:val="60"/>
        </w:trPr>
        <w:tc>
          <w:tcPr>
            <w:tcW w:w="7257" w:type="dxa"/>
          </w:tcPr>
          <w:p w14:paraId="0A383164" w14:textId="77777777" w:rsidR="00B02873" w:rsidRPr="0077493F" w:rsidRDefault="00B02873" w:rsidP="0077493F">
            <w:pPr>
              <w:pStyle w:val="TablebodyleftFinancialsTables"/>
              <w:rPr>
                <w:rFonts w:asciiTheme="minorHAnsi" w:hAnsiTheme="minorHAnsi" w:cstheme="minorHAnsi"/>
              </w:rPr>
            </w:pPr>
            <w:r w:rsidRPr="0077493F">
              <w:rPr>
                <w:rFonts w:asciiTheme="minorHAnsi" w:hAnsiTheme="minorHAnsi" w:cstheme="minorHAnsi"/>
              </w:rPr>
              <w:t>Short-term lease expense</w:t>
            </w:r>
          </w:p>
        </w:tc>
        <w:tc>
          <w:tcPr>
            <w:tcW w:w="1190" w:type="dxa"/>
          </w:tcPr>
          <w:p w14:paraId="28CB6D98" w14:textId="77777777" w:rsidR="00B02873" w:rsidRPr="0077493F" w:rsidRDefault="00B02873" w:rsidP="0077493F">
            <w:pPr>
              <w:pStyle w:val="TablebodyleftFinancialsTables"/>
              <w:jc w:val="right"/>
              <w:rPr>
                <w:rFonts w:asciiTheme="minorHAnsi" w:hAnsiTheme="minorHAnsi" w:cstheme="minorHAnsi"/>
                <w:b/>
                <w:bCs/>
              </w:rPr>
            </w:pPr>
            <w:r w:rsidRPr="0077493F">
              <w:rPr>
                <w:rFonts w:asciiTheme="minorHAnsi" w:hAnsiTheme="minorHAnsi" w:cstheme="minorHAnsi"/>
                <w:b/>
                <w:bCs/>
              </w:rPr>
              <w:t>(447)</w:t>
            </w:r>
          </w:p>
        </w:tc>
        <w:tc>
          <w:tcPr>
            <w:tcW w:w="1191" w:type="dxa"/>
          </w:tcPr>
          <w:p w14:paraId="1F3836C3" w14:textId="77777777" w:rsidR="00B02873" w:rsidRPr="0077493F" w:rsidRDefault="00B02873" w:rsidP="0077493F">
            <w:pPr>
              <w:pStyle w:val="TablebodyleftFinancialsTables"/>
              <w:jc w:val="right"/>
              <w:rPr>
                <w:rFonts w:asciiTheme="minorHAnsi" w:hAnsiTheme="minorHAnsi" w:cstheme="minorHAnsi"/>
              </w:rPr>
            </w:pPr>
            <w:r w:rsidRPr="0077493F">
              <w:rPr>
                <w:rFonts w:asciiTheme="minorHAnsi" w:hAnsiTheme="minorHAnsi" w:cstheme="minorHAnsi"/>
              </w:rPr>
              <w:t>(287)</w:t>
            </w:r>
          </w:p>
        </w:tc>
      </w:tr>
      <w:tr w:rsidR="00B02873" w:rsidRPr="0077493F" w14:paraId="62AB3902" w14:textId="77777777" w:rsidTr="0077493F">
        <w:trPr>
          <w:trHeight w:val="60"/>
        </w:trPr>
        <w:tc>
          <w:tcPr>
            <w:tcW w:w="7257" w:type="dxa"/>
          </w:tcPr>
          <w:p w14:paraId="03EE0277" w14:textId="77777777" w:rsidR="00B02873" w:rsidRPr="0077493F" w:rsidRDefault="00B02873" w:rsidP="0077493F">
            <w:pPr>
              <w:pStyle w:val="TablebodyleftFinancialsTables"/>
              <w:rPr>
                <w:rFonts w:asciiTheme="minorHAnsi" w:hAnsiTheme="minorHAnsi" w:cstheme="minorHAnsi"/>
              </w:rPr>
            </w:pPr>
            <w:r w:rsidRPr="0077493F">
              <w:rPr>
                <w:rFonts w:asciiTheme="minorHAnsi" w:hAnsiTheme="minorHAnsi" w:cstheme="minorHAnsi"/>
              </w:rPr>
              <w:t>Settlement of litigation</w:t>
            </w:r>
          </w:p>
        </w:tc>
        <w:tc>
          <w:tcPr>
            <w:tcW w:w="1190" w:type="dxa"/>
          </w:tcPr>
          <w:p w14:paraId="5CE14CF8" w14:textId="77777777" w:rsidR="00B02873" w:rsidRPr="0077493F" w:rsidRDefault="00B02873" w:rsidP="0077493F">
            <w:pPr>
              <w:pStyle w:val="TablebodyleftFinancialsTables"/>
              <w:jc w:val="right"/>
              <w:rPr>
                <w:rFonts w:asciiTheme="minorHAnsi" w:hAnsiTheme="minorHAnsi" w:cstheme="minorHAnsi"/>
                <w:b/>
                <w:bCs/>
              </w:rPr>
            </w:pPr>
            <w:r w:rsidRPr="0077493F">
              <w:rPr>
                <w:rFonts w:asciiTheme="minorHAnsi" w:hAnsiTheme="minorHAnsi" w:cstheme="minorHAnsi"/>
                <w:b/>
                <w:bCs/>
              </w:rPr>
              <w:t>–</w:t>
            </w:r>
          </w:p>
        </w:tc>
        <w:tc>
          <w:tcPr>
            <w:tcW w:w="1191" w:type="dxa"/>
          </w:tcPr>
          <w:p w14:paraId="4A52B9B5" w14:textId="77777777" w:rsidR="00B02873" w:rsidRPr="0077493F" w:rsidRDefault="00B02873" w:rsidP="0077493F">
            <w:pPr>
              <w:pStyle w:val="TablebodyleftFinancialsTables"/>
              <w:jc w:val="right"/>
              <w:rPr>
                <w:rFonts w:asciiTheme="minorHAnsi" w:hAnsiTheme="minorHAnsi" w:cstheme="minorHAnsi"/>
              </w:rPr>
            </w:pPr>
            <w:r w:rsidRPr="0077493F">
              <w:rPr>
                <w:rFonts w:asciiTheme="minorHAnsi" w:hAnsiTheme="minorHAnsi" w:cstheme="minorHAnsi"/>
              </w:rPr>
              <w:t>(363)</w:t>
            </w:r>
          </w:p>
        </w:tc>
      </w:tr>
      <w:tr w:rsidR="00B02873" w:rsidRPr="0077493F" w14:paraId="06297116" w14:textId="77777777" w:rsidTr="0077493F">
        <w:trPr>
          <w:trHeight w:val="60"/>
        </w:trPr>
        <w:tc>
          <w:tcPr>
            <w:tcW w:w="7257" w:type="dxa"/>
          </w:tcPr>
          <w:p w14:paraId="5DB6DCEA" w14:textId="77777777" w:rsidR="00B02873" w:rsidRPr="0077493F" w:rsidRDefault="00B02873" w:rsidP="0077493F">
            <w:pPr>
              <w:pStyle w:val="TablebodyleftFinancialsTables"/>
              <w:rPr>
                <w:rFonts w:asciiTheme="minorHAnsi" w:hAnsiTheme="minorHAnsi" w:cstheme="minorHAnsi"/>
                <w:b/>
                <w:bCs/>
              </w:rPr>
            </w:pPr>
            <w:r w:rsidRPr="0077493F">
              <w:rPr>
                <w:rFonts w:asciiTheme="minorHAnsi" w:hAnsiTheme="minorHAnsi" w:cstheme="minorHAnsi"/>
                <w:b/>
                <w:bCs/>
              </w:rPr>
              <w:t>Total supplies and services</w:t>
            </w:r>
          </w:p>
        </w:tc>
        <w:tc>
          <w:tcPr>
            <w:tcW w:w="1190" w:type="dxa"/>
          </w:tcPr>
          <w:p w14:paraId="4B45D905" w14:textId="77777777" w:rsidR="00B02873" w:rsidRPr="0077493F" w:rsidRDefault="00B02873" w:rsidP="0077493F">
            <w:pPr>
              <w:pStyle w:val="TablebodyleftFinancialsTables"/>
              <w:jc w:val="right"/>
              <w:rPr>
                <w:rFonts w:asciiTheme="minorHAnsi" w:hAnsiTheme="minorHAnsi" w:cstheme="minorHAnsi"/>
                <w:b/>
                <w:bCs/>
              </w:rPr>
            </w:pPr>
            <w:r w:rsidRPr="0077493F">
              <w:rPr>
                <w:rFonts w:asciiTheme="minorHAnsi" w:hAnsiTheme="minorHAnsi" w:cstheme="minorHAnsi"/>
                <w:b/>
                <w:bCs/>
              </w:rPr>
              <w:t>(747,295)</w:t>
            </w:r>
          </w:p>
        </w:tc>
        <w:tc>
          <w:tcPr>
            <w:tcW w:w="1191" w:type="dxa"/>
          </w:tcPr>
          <w:p w14:paraId="51A370C1" w14:textId="77777777" w:rsidR="00B02873" w:rsidRPr="0077493F" w:rsidRDefault="00B02873" w:rsidP="0077493F">
            <w:pPr>
              <w:pStyle w:val="TablebodyleftFinancialsTables"/>
              <w:jc w:val="right"/>
              <w:rPr>
                <w:rFonts w:asciiTheme="minorHAnsi" w:hAnsiTheme="minorHAnsi" w:cstheme="minorHAnsi"/>
              </w:rPr>
            </w:pPr>
            <w:r w:rsidRPr="0077493F">
              <w:rPr>
                <w:rFonts w:asciiTheme="minorHAnsi" w:hAnsiTheme="minorHAnsi" w:cstheme="minorHAnsi"/>
              </w:rPr>
              <w:t>(629,312)</w:t>
            </w:r>
          </w:p>
        </w:tc>
      </w:tr>
    </w:tbl>
    <w:p w14:paraId="7EE40BB7" w14:textId="77777777" w:rsidR="00B02873" w:rsidRDefault="00B02873" w:rsidP="00FE198A"/>
    <w:p w14:paraId="0DA26A90" w14:textId="4250BB33" w:rsidR="00B02873" w:rsidRDefault="00B02873" w:rsidP="00FE198A">
      <w:r>
        <w:t xml:space="preserve">Supplies and services generally represent the day-to-day running costs that are incurred in the normal operations of the department. Supplies and services are recognised as an expense in the reporting period in which they are incurred. </w:t>
      </w:r>
    </w:p>
    <w:p w14:paraId="2ADECC30" w14:textId="77777777" w:rsidR="00B02873" w:rsidRDefault="00B02873" w:rsidP="0077493F">
      <w:pPr>
        <w:pStyle w:val="Normalbeforebullet"/>
      </w:pPr>
      <w:r>
        <w:t>The following lease payments are expensed on a straight-line basis.</w:t>
      </w:r>
    </w:p>
    <w:p w14:paraId="404C17EB" w14:textId="77777777" w:rsidR="00B02873" w:rsidRDefault="00B02873" w:rsidP="00B02873">
      <w:pPr>
        <w:pStyle w:val="Bullet1Lists"/>
      </w:pPr>
      <w:r>
        <w:t>Short-term leases – leases with a term less than 12 months; and</w:t>
      </w:r>
    </w:p>
    <w:p w14:paraId="423E5AFA" w14:textId="2E2A62A7" w:rsidR="00B02873" w:rsidRDefault="00B02873" w:rsidP="00AE226B">
      <w:pPr>
        <w:pStyle w:val="Bullet1Listslast"/>
      </w:pPr>
      <w:r>
        <w:t>Low value leases – leases with the underlying asset’s fair value (when new, regardless of the age of the asset being leased) is no more than $10,000.</w:t>
      </w:r>
    </w:p>
    <w:p w14:paraId="6D350308" w14:textId="77777777" w:rsidR="00B02873" w:rsidRDefault="00B02873" w:rsidP="00FE198A">
      <w:r>
        <w:t xml:space="preserve">Variable lease payments are not included in the measurement of the lease liability (i.e. variable lease payments that do not depend on an index or a rate, initially measured using the index or rate as at the commencement date). These payments are recognised in the period in which the event or condition that triggers those payments occur. </w:t>
      </w:r>
    </w:p>
    <w:p w14:paraId="25C23E6C" w14:textId="77777777" w:rsidR="00B02873" w:rsidRDefault="00B02873" w:rsidP="00B82012">
      <w:pPr>
        <w:pStyle w:val="Heading4"/>
      </w:pPr>
      <w:r>
        <w:lastRenderedPageBreak/>
        <w:t>3.1.5 Initial recognition expense from financial instruments</w:t>
      </w:r>
    </w:p>
    <w:tbl>
      <w:tblPr>
        <w:tblStyle w:val="TableGrid"/>
        <w:tblW w:w="0" w:type="auto"/>
        <w:tblLayout w:type="fixed"/>
        <w:tblLook w:val="0020" w:firstRow="1" w:lastRow="0" w:firstColumn="0" w:lastColumn="0" w:noHBand="0" w:noVBand="0"/>
      </w:tblPr>
      <w:tblGrid>
        <w:gridCol w:w="7257"/>
        <w:gridCol w:w="1190"/>
        <w:gridCol w:w="1191"/>
      </w:tblGrid>
      <w:tr w:rsidR="00B02873" w:rsidRPr="00B02873" w14:paraId="0A8D2633" w14:textId="77777777" w:rsidTr="00B82012">
        <w:trPr>
          <w:cnfStyle w:val="100000000000" w:firstRow="1" w:lastRow="0" w:firstColumn="0" w:lastColumn="0" w:oddVBand="0" w:evenVBand="0" w:oddHBand="0" w:evenHBand="0" w:firstRowFirstColumn="0" w:firstRowLastColumn="0" w:lastRowFirstColumn="0" w:lastRowLastColumn="0"/>
          <w:trHeight w:val="60"/>
        </w:trPr>
        <w:tc>
          <w:tcPr>
            <w:tcW w:w="7257" w:type="dxa"/>
          </w:tcPr>
          <w:p w14:paraId="27E17A18" w14:textId="77777777" w:rsidR="00B02873" w:rsidRPr="00B02873" w:rsidRDefault="00B02873" w:rsidP="00B82012">
            <w:pPr>
              <w:pStyle w:val="TableheadingleftFinancialsTables"/>
            </w:pPr>
          </w:p>
        </w:tc>
        <w:tc>
          <w:tcPr>
            <w:tcW w:w="1190" w:type="dxa"/>
          </w:tcPr>
          <w:p w14:paraId="1015C1CA" w14:textId="77777777" w:rsidR="00B02873" w:rsidRDefault="00B02873" w:rsidP="00B82012">
            <w:pPr>
              <w:pStyle w:val="TableheadingleftFinancialsTables"/>
              <w:jc w:val="right"/>
            </w:pPr>
            <w:r>
              <w:t>2022</w:t>
            </w:r>
            <w:r>
              <w:br/>
              <w:t>$’000</w:t>
            </w:r>
          </w:p>
        </w:tc>
        <w:tc>
          <w:tcPr>
            <w:tcW w:w="1191" w:type="dxa"/>
          </w:tcPr>
          <w:p w14:paraId="2DB81868" w14:textId="77777777" w:rsidR="00B02873" w:rsidRDefault="00B02873" w:rsidP="00B82012">
            <w:pPr>
              <w:pStyle w:val="TableheadingleftFinancialsTables"/>
              <w:jc w:val="right"/>
            </w:pPr>
            <w:r>
              <w:t>2021</w:t>
            </w:r>
            <w:r>
              <w:br/>
              <w:t>$’000</w:t>
            </w:r>
          </w:p>
        </w:tc>
      </w:tr>
      <w:tr w:rsidR="00B02873" w:rsidRPr="00B82012" w14:paraId="35F2A47F" w14:textId="77777777" w:rsidTr="00B82012">
        <w:trPr>
          <w:trHeight w:val="60"/>
        </w:trPr>
        <w:tc>
          <w:tcPr>
            <w:tcW w:w="7257" w:type="dxa"/>
          </w:tcPr>
          <w:p w14:paraId="63FF32E4" w14:textId="77777777" w:rsidR="00B02873" w:rsidRPr="00B82012" w:rsidRDefault="00B02873" w:rsidP="00B82012">
            <w:pPr>
              <w:pStyle w:val="TablebodyleftFinancialsTables"/>
              <w:rPr>
                <w:rFonts w:asciiTheme="minorHAnsi" w:hAnsiTheme="minorHAnsi" w:cstheme="minorHAnsi"/>
                <w:b/>
                <w:bCs/>
              </w:rPr>
            </w:pPr>
            <w:r w:rsidRPr="00B82012">
              <w:rPr>
                <w:rFonts w:asciiTheme="minorHAnsi" w:hAnsiTheme="minorHAnsi" w:cstheme="minorHAnsi"/>
                <w:b/>
                <w:bCs/>
              </w:rPr>
              <w:t xml:space="preserve">Initial recognition expense from financial instruments </w:t>
            </w:r>
          </w:p>
        </w:tc>
        <w:tc>
          <w:tcPr>
            <w:tcW w:w="1190" w:type="dxa"/>
          </w:tcPr>
          <w:p w14:paraId="50502FCA" w14:textId="77777777" w:rsidR="00B02873" w:rsidRPr="00B82012" w:rsidRDefault="00B02873" w:rsidP="00B82012">
            <w:pPr>
              <w:pStyle w:val="TablebodyleftFinancialsTables"/>
              <w:jc w:val="right"/>
              <w:rPr>
                <w:rFonts w:asciiTheme="minorHAnsi" w:hAnsiTheme="minorHAnsi" w:cstheme="minorHAnsi"/>
              </w:rPr>
            </w:pPr>
          </w:p>
        </w:tc>
        <w:tc>
          <w:tcPr>
            <w:tcW w:w="1191" w:type="dxa"/>
          </w:tcPr>
          <w:p w14:paraId="2F4645DB" w14:textId="77777777" w:rsidR="00B02873" w:rsidRPr="00B82012" w:rsidRDefault="00B02873" w:rsidP="00B82012">
            <w:pPr>
              <w:pStyle w:val="TablebodyleftFinancialsTables"/>
              <w:jc w:val="right"/>
              <w:rPr>
                <w:rFonts w:asciiTheme="minorHAnsi" w:hAnsiTheme="minorHAnsi" w:cstheme="minorHAnsi"/>
              </w:rPr>
            </w:pPr>
          </w:p>
        </w:tc>
      </w:tr>
      <w:tr w:rsidR="00B02873" w:rsidRPr="00B82012" w14:paraId="62A0C943" w14:textId="77777777" w:rsidTr="00B82012">
        <w:trPr>
          <w:trHeight w:val="60"/>
        </w:trPr>
        <w:tc>
          <w:tcPr>
            <w:tcW w:w="7257" w:type="dxa"/>
          </w:tcPr>
          <w:p w14:paraId="389D6FFB" w14:textId="77777777" w:rsidR="00B02873" w:rsidRPr="00B82012" w:rsidRDefault="00B02873" w:rsidP="00B82012">
            <w:pPr>
              <w:pStyle w:val="TablebodyleftFinancialsTables"/>
              <w:rPr>
                <w:rFonts w:asciiTheme="minorHAnsi" w:hAnsiTheme="minorHAnsi" w:cstheme="minorHAnsi"/>
              </w:rPr>
            </w:pPr>
            <w:r w:rsidRPr="00B82012">
              <w:rPr>
                <w:rFonts w:asciiTheme="minorHAnsi" w:hAnsiTheme="minorHAnsi" w:cstheme="minorHAnsi"/>
              </w:rPr>
              <w:t>Initial recognition expense from financial instruments</w:t>
            </w:r>
          </w:p>
        </w:tc>
        <w:tc>
          <w:tcPr>
            <w:tcW w:w="1190" w:type="dxa"/>
          </w:tcPr>
          <w:p w14:paraId="0ADDD3D7" w14:textId="77777777" w:rsidR="00B02873" w:rsidRPr="00B82012" w:rsidRDefault="00B02873" w:rsidP="00B82012">
            <w:pPr>
              <w:pStyle w:val="TablebodyleftFinancialsTables"/>
              <w:jc w:val="right"/>
              <w:rPr>
                <w:rFonts w:asciiTheme="minorHAnsi" w:hAnsiTheme="minorHAnsi" w:cstheme="minorHAnsi"/>
              </w:rPr>
            </w:pPr>
            <w:r w:rsidRPr="00B82012">
              <w:rPr>
                <w:rFonts w:asciiTheme="minorHAnsi" w:hAnsiTheme="minorHAnsi" w:cstheme="minorHAnsi"/>
              </w:rPr>
              <w:t>–</w:t>
            </w:r>
          </w:p>
        </w:tc>
        <w:tc>
          <w:tcPr>
            <w:tcW w:w="1191" w:type="dxa"/>
          </w:tcPr>
          <w:p w14:paraId="7B14A8E8" w14:textId="77777777" w:rsidR="00B02873" w:rsidRPr="00B82012" w:rsidRDefault="00B02873" w:rsidP="00B82012">
            <w:pPr>
              <w:pStyle w:val="TablebodyleftFinancialsTables"/>
              <w:jc w:val="right"/>
              <w:rPr>
                <w:rFonts w:asciiTheme="minorHAnsi" w:hAnsiTheme="minorHAnsi" w:cstheme="minorHAnsi"/>
              </w:rPr>
            </w:pPr>
            <w:r w:rsidRPr="00B82012">
              <w:rPr>
                <w:rFonts w:asciiTheme="minorHAnsi" w:hAnsiTheme="minorHAnsi" w:cstheme="minorHAnsi"/>
              </w:rPr>
              <w:t>(200,072)</w:t>
            </w:r>
          </w:p>
        </w:tc>
      </w:tr>
      <w:tr w:rsidR="00B02873" w:rsidRPr="00B82012" w14:paraId="285CF724" w14:textId="77777777" w:rsidTr="00B82012">
        <w:trPr>
          <w:trHeight w:val="60"/>
        </w:trPr>
        <w:tc>
          <w:tcPr>
            <w:tcW w:w="7257" w:type="dxa"/>
          </w:tcPr>
          <w:p w14:paraId="4D55E847" w14:textId="77777777" w:rsidR="00B02873" w:rsidRPr="00B82012" w:rsidRDefault="00B02873" w:rsidP="00B82012">
            <w:pPr>
              <w:pStyle w:val="TablebodyleftFinancialsTables"/>
              <w:rPr>
                <w:rFonts w:asciiTheme="minorHAnsi" w:hAnsiTheme="minorHAnsi" w:cstheme="minorHAnsi"/>
                <w:b/>
                <w:bCs/>
              </w:rPr>
            </w:pPr>
            <w:r w:rsidRPr="00B82012">
              <w:rPr>
                <w:rFonts w:asciiTheme="minorHAnsi" w:hAnsiTheme="minorHAnsi" w:cstheme="minorHAnsi"/>
                <w:b/>
                <w:bCs/>
              </w:rPr>
              <w:t>Total initial recognition expense from financial instruments</w:t>
            </w:r>
          </w:p>
        </w:tc>
        <w:tc>
          <w:tcPr>
            <w:tcW w:w="1190" w:type="dxa"/>
          </w:tcPr>
          <w:p w14:paraId="73BCDCEF" w14:textId="77777777" w:rsidR="00B02873" w:rsidRPr="00B82012" w:rsidRDefault="00B02873" w:rsidP="00B82012">
            <w:pPr>
              <w:pStyle w:val="TablebodyleftFinancialsTables"/>
              <w:jc w:val="right"/>
              <w:rPr>
                <w:rFonts w:asciiTheme="minorHAnsi" w:hAnsiTheme="minorHAnsi" w:cstheme="minorHAnsi"/>
              </w:rPr>
            </w:pPr>
            <w:r w:rsidRPr="00B82012">
              <w:rPr>
                <w:rFonts w:asciiTheme="minorHAnsi" w:hAnsiTheme="minorHAnsi" w:cstheme="minorHAnsi"/>
              </w:rPr>
              <w:t>–</w:t>
            </w:r>
          </w:p>
        </w:tc>
        <w:tc>
          <w:tcPr>
            <w:tcW w:w="1191" w:type="dxa"/>
          </w:tcPr>
          <w:p w14:paraId="2F74A14E" w14:textId="77777777" w:rsidR="00B02873" w:rsidRPr="00B82012" w:rsidRDefault="00B02873" w:rsidP="00B82012">
            <w:pPr>
              <w:pStyle w:val="TablebodyleftFinancialsTables"/>
              <w:jc w:val="right"/>
              <w:rPr>
                <w:rFonts w:asciiTheme="minorHAnsi" w:hAnsiTheme="minorHAnsi" w:cstheme="minorHAnsi"/>
              </w:rPr>
            </w:pPr>
            <w:r w:rsidRPr="00B82012">
              <w:rPr>
                <w:rFonts w:asciiTheme="minorHAnsi" w:hAnsiTheme="minorHAnsi" w:cstheme="minorHAnsi"/>
              </w:rPr>
              <w:t>(200,072)</w:t>
            </w:r>
          </w:p>
        </w:tc>
      </w:tr>
    </w:tbl>
    <w:p w14:paraId="1181F6B3" w14:textId="77777777" w:rsidR="00B02873" w:rsidRDefault="00B02873" w:rsidP="00FE198A"/>
    <w:p w14:paraId="41E1E39B" w14:textId="77777777" w:rsidR="00B02873" w:rsidRDefault="00B02873" w:rsidP="00FE198A">
      <w:r>
        <w:t>The 2021 initial recognition expense from financial instruments relates to support to secure Victoria’s energy supply and support for the transition to renewable energy generation.</w:t>
      </w:r>
    </w:p>
    <w:p w14:paraId="11E57C17" w14:textId="70D1C3BA" w:rsidR="00B02873" w:rsidRDefault="00B02873" w:rsidP="00FE198A">
      <w:r>
        <w:t xml:space="preserve">The financial instruments are recognised on the date on which DELWP entered into these contracts and the instruments are measured at amortised cost. </w:t>
      </w:r>
    </w:p>
    <w:p w14:paraId="2BD63C79" w14:textId="77777777" w:rsidR="00B02873" w:rsidRDefault="00B02873" w:rsidP="00FE198A">
      <w:r>
        <w:t>The department’s policy in managing the risks inherent in these arrangements is disclosed in Note 8.1.3.</w:t>
      </w:r>
    </w:p>
    <w:p w14:paraId="54DAB7AF" w14:textId="77777777" w:rsidR="00B02873" w:rsidRDefault="00B02873" w:rsidP="00D21A73">
      <w:pPr>
        <w:pStyle w:val="Heading2Headings"/>
      </w:pPr>
      <w:bookmarkStart w:id="65" w:name="Note_4"/>
      <w:r>
        <w:t>Note 4</w:t>
      </w:r>
      <w:bookmarkEnd w:id="65"/>
      <w:r>
        <w:t>. Disaggregated financial information by output</w:t>
      </w:r>
    </w:p>
    <w:p w14:paraId="65C5AA96" w14:textId="77777777" w:rsidR="00B02873" w:rsidRDefault="00B02873" w:rsidP="00B82012">
      <w:pPr>
        <w:pStyle w:val="Heading3"/>
      </w:pPr>
      <w:r>
        <w:t>Introduction</w:t>
      </w:r>
    </w:p>
    <w:p w14:paraId="6B2E198D" w14:textId="77777777" w:rsidR="00B02873" w:rsidRDefault="00B02873" w:rsidP="00FE198A">
      <w:r>
        <w:t xml:space="preserve">The department is predominately funded by accrual based parliamentary appropriations for the provision of outputs. This section provides a description of the departmental outputs performed during the year ended 30 June 2022 along with the objectives of those outputs. </w:t>
      </w:r>
    </w:p>
    <w:p w14:paraId="629726FD" w14:textId="77777777" w:rsidR="00B02873" w:rsidRDefault="00B02873" w:rsidP="00FE198A">
      <w:r>
        <w:t>This section disaggregates revenue and income that enables the delivery of service (described in Note 2) by output and records the allocation of expenses incurred (described in Note 3) also by output.</w:t>
      </w:r>
    </w:p>
    <w:p w14:paraId="5BBF9FFC" w14:textId="3A4EB20E" w:rsidR="00B02873" w:rsidRDefault="00B02873" w:rsidP="00FE198A">
      <w:r>
        <w:t>The aggregation in this section also provides information on controlled and administered items in connection with these outputs.</w:t>
      </w:r>
    </w:p>
    <w:p w14:paraId="61696BD9" w14:textId="77777777" w:rsidR="00B02873" w:rsidRDefault="00B02873" w:rsidP="00B82012">
      <w:pPr>
        <w:pStyle w:val="Heading3"/>
      </w:pPr>
      <w:r>
        <w:t>Significant judgement: Controlled and administered items</w:t>
      </w:r>
    </w:p>
    <w:p w14:paraId="245B53DA" w14:textId="77777777" w:rsidR="00B02873" w:rsidRDefault="00B02873" w:rsidP="00FE198A">
      <w:r>
        <w:t xml:space="preserve">The distinction between controlled and administered items is drawn on whether the department has the ability to deploy the resources in question for its own benefit (controlled items) or whether it does so on behalf of the state (administered). The department remains accountable for transactions involving administered items, but it does not recognise these items in its primary financial statements. </w:t>
      </w:r>
    </w:p>
    <w:p w14:paraId="5EAC9AE0" w14:textId="77777777" w:rsidR="00B02873" w:rsidRDefault="00B02873" w:rsidP="00FE198A">
      <w:r>
        <w:t>The department is administering the desalination project arrangement and Land Use Victoria commercialisation on behalf of the state and therefore recognises the associated income, expenses, assets, liabilities and off balance sheet disclosures as administered items.</w:t>
      </w:r>
    </w:p>
    <w:p w14:paraId="1EBE648F" w14:textId="781183BF" w:rsidR="00B02873" w:rsidRDefault="00B02873" w:rsidP="00FE198A">
      <w:r>
        <w:t>Other administered items include fees from land title transactions, environmental contributions from Victorian water businesses, the state’s share of the Murray-Darling Basin Authority’s jointly controlled assets, proceeds from the sale of administered surplus land and buildings, and grants provided by the Commonwealth to assist the state government in meeting general or specific delivery obligations.</w:t>
      </w:r>
    </w:p>
    <w:p w14:paraId="09248BFB" w14:textId="77777777" w:rsidR="00B02873" w:rsidRDefault="00B02873" w:rsidP="00FE198A">
      <w:pPr>
        <w:rPr>
          <w:sz w:val="16"/>
          <w:szCs w:val="16"/>
        </w:rPr>
      </w:pPr>
      <w:r>
        <w:t>Judgement is required in allocating income and expenses to specific outputs, including judgements made in making allocations for shared services expenses and corporate costs such as insurance expenses. Allocation of expenses are made on a percentage basis in line with the delivery of the output.</w:t>
      </w:r>
    </w:p>
    <w:p w14:paraId="5A1AE157" w14:textId="77777777" w:rsidR="00B02873" w:rsidRDefault="00B02873" w:rsidP="00B82012">
      <w:pPr>
        <w:pStyle w:val="Heading3"/>
      </w:pPr>
      <w:r>
        <w:lastRenderedPageBreak/>
        <w:t>Structure</w:t>
      </w:r>
    </w:p>
    <w:p w14:paraId="5443B98B" w14:textId="77777777" w:rsidR="00B02873" w:rsidRDefault="00B02873" w:rsidP="00B82012">
      <w:pPr>
        <w:spacing w:after="120"/>
      </w:pPr>
      <w:r>
        <w:t>4.1</w:t>
      </w:r>
      <w:r>
        <w:tab/>
        <w:t xml:space="preserve">Departmental outputs </w:t>
      </w:r>
    </w:p>
    <w:p w14:paraId="4531FBC3" w14:textId="77777777" w:rsidR="00B02873" w:rsidRDefault="00B02873" w:rsidP="00B82012">
      <w:pPr>
        <w:spacing w:after="120"/>
        <w:ind w:left="720"/>
      </w:pPr>
      <w:r>
        <w:t>4.1.1</w:t>
      </w:r>
      <w:r>
        <w:tab/>
        <w:t>Description and objectives</w:t>
      </w:r>
    </w:p>
    <w:p w14:paraId="299441C1" w14:textId="692C3FC6" w:rsidR="00B02873" w:rsidRDefault="00B02873" w:rsidP="00B82012">
      <w:pPr>
        <w:spacing w:after="120"/>
        <w:ind w:left="720"/>
      </w:pPr>
      <w:r>
        <w:t>4.1.2</w:t>
      </w:r>
      <w:r>
        <w:tab/>
        <w:t>Departmental Outputs</w:t>
      </w:r>
      <w:r w:rsidR="000C45FC">
        <w:t xml:space="preserve"> – </w:t>
      </w:r>
      <w:r>
        <w:t xml:space="preserve">Controlled comprehensive operating statement </w:t>
      </w:r>
    </w:p>
    <w:p w14:paraId="37AB61C1" w14:textId="0E3E1E52" w:rsidR="00B02873" w:rsidRDefault="00B02873" w:rsidP="00B82012">
      <w:pPr>
        <w:ind w:left="720"/>
      </w:pPr>
      <w:r>
        <w:t>4.1.3</w:t>
      </w:r>
      <w:r>
        <w:tab/>
        <w:t>Departmental Outputs</w:t>
      </w:r>
      <w:r w:rsidR="000C45FC">
        <w:t xml:space="preserve"> – </w:t>
      </w:r>
      <w:r>
        <w:t>Controlled assets and liabilities</w:t>
      </w:r>
    </w:p>
    <w:p w14:paraId="44D1FE62" w14:textId="77777777" w:rsidR="00B02873" w:rsidRDefault="00B02873" w:rsidP="00B82012">
      <w:pPr>
        <w:spacing w:after="120"/>
      </w:pPr>
      <w:r>
        <w:t>4.2</w:t>
      </w:r>
      <w:r>
        <w:tab/>
        <w:t>Administered (non-controlled) items</w:t>
      </w:r>
    </w:p>
    <w:p w14:paraId="4718C434" w14:textId="77777777" w:rsidR="00B02873" w:rsidRDefault="00B02873" w:rsidP="00B82012">
      <w:pPr>
        <w:spacing w:after="120"/>
        <w:ind w:left="720"/>
      </w:pPr>
      <w:r>
        <w:t>4.2.1</w:t>
      </w:r>
      <w:r>
        <w:tab/>
        <w:t>Administered income and expenses</w:t>
      </w:r>
    </w:p>
    <w:p w14:paraId="1C2BC720" w14:textId="77777777" w:rsidR="00B02873" w:rsidRDefault="00B02873" w:rsidP="00B82012">
      <w:pPr>
        <w:spacing w:after="120"/>
        <w:ind w:left="720"/>
      </w:pPr>
      <w:r>
        <w:t>4.2.2</w:t>
      </w:r>
      <w:r>
        <w:tab/>
        <w:t>Administered assets and liabilities</w:t>
      </w:r>
    </w:p>
    <w:p w14:paraId="5682CDFF" w14:textId="77777777" w:rsidR="00B02873" w:rsidRDefault="00B02873" w:rsidP="00B82012">
      <w:pPr>
        <w:spacing w:after="120"/>
        <w:ind w:left="720"/>
      </w:pPr>
      <w:r>
        <w:t>4.2.3</w:t>
      </w:r>
      <w:r>
        <w:tab/>
        <w:t>Administered investment in joint operation</w:t>
      </w:r>
    </w:p>
    <w:p w14:paraId="73259264" w14:textId="77777777" w:rsidR="00B02873" w:rsidRDefault="00B02873" w:rsidP="00B82012">
      <w:pPr>
        <w:spacing w:after="120"/>
        <w:ind w:left="720"/>
      </w:pPr>
      <w:r>
        <w:t>4.2.4</w:t>
      </w:r>
      <w:r>
        <w:tab/>
        <w:t xml:space="preserve">Commercialisation of land titles and registry functions of Land Use Victoria </w:t>
      </w:r>
    </w:p>
    <w:p w14:paraId="036DEF9B" w14:textId="77777777" w:rsidR="00B02873" w:rsidRDefault="00B02873" w:rsidP="00B82012">
      <w:pPr>
        <w:ind w:left="720"/>
      </w:pPr>
      <w:r>
        <w:t>4.2.5</w:t>
      </w:r>
      <w:r>
        <w:tab/>
        <w:t>Victorian Desalination Project</w:t>
      </w:r>
    </w:p>
    <w:p w14:paraId="795A62FB" w14:textId="77777777" w:rsidR="00B02873" w:rsidRDefault="00B02873" w:rsidP="00B82012">
      <w:pPr>
        <w:pStyle w:val="Heading3"/>
      </w:pPr>
      <w:r>
        <w:t>4.1 Departmental outputs</w:t>
      </w:r>
    </w:p>
    <w:p w14:paraId="1B94281A" w14:textId="77777777" w:rsidR="00B02873" w:rsidRDefault="00B02873" w:rsidP="00B82012">
      <w:pPr>
        <w:pStyle w:val="Heading4"/>
      </w:pPr>
      <w:r>
        <w:t>4.1.1 Description and objectives</w:t>
      </w:r>
    </w:p>
    <w:p w14:paraId="1DD33D19" w14:textId="77777777" w:rsidR="00B02873" w:rsidRDefault="00B02873" w:rsidP="00FE198A">
      <w:r>
        <w:rPr>
          <w:spacing w:val="-1"/>
        </w:rPr>
        <w:t>A description of the seven departmental outputs performed during the year ended 30 June 2022, and the objectives of these outputs, is summarised below.</w:t>
      </w:r>
    </w:p>
    <w:p w14:paraId="4BDB9EC7" w14:textId="7E902706" w:rsidR="00B02873" w:rsidRPr="00B82012" w:rsidRDefault="00B02873" w:rsidP="00B82012">
      <w:pPr>
        <w:pStyle w:val="Heading5"/>
      </w:pPr>
      <w:r w:rsidRPr="00B82012">
        <w:t xml:space="preserve">Net zero emission, climate-ready economy and community </w:t>
      </w:r>
    </w:p>
    <w:p w14:paraId="4367290F" w14:textId="7B361965" w:rsidR="00B02873" w:rsidRDefault="00B02873" w:rsidP="00B82012">
      <w:pPr>
        <w:pStyle w:val="Boldheader"/>
      </w:pPr>
      <w:r>
        <w:t>Objective</w:t>
      </w:r>
    </w:p>
    <w:p w14:paraId="679F0C73" w14:textId="77777777" w:rsidR="00B02873" w:rsidRDefault="00B02873" w:rsidP="00FE198A">
      <w:r>
        <w:t xml:space="preserve">This objective leads the government’s response to climate change, in line with the </w:t>
      </w:r>
      <w:r w:rsidRPr="00B82012">
        <w:rPr>
          <w:rStyle w:val="LightItalic"/>
          <w:rFonts w:asciiTheme="minorHAnsi" w:hAnsiTheme="minorHAnsi" w:cstheme="minorHAnsi"/>
        </w:rPr>
        <w:t>Climate Change Act 2017</w:t>
      </w:r>
      <w:r>
        <w:t xml:space="preserve">. The government’s response includes reducing greenhouse gas emissions, adapting to the impacts of a climate change, and supporting the economic and social transition to a net-zero emissions and climate resilient future. </w:t>
      </w:r>
    </w:p>
    <w:p w14:paraId="5BAD761C" w14:textId="27BFFEC2" w:rsidR="00B02873" w:rsidRDefault="00B02873" w:rsidP="00B82012">
      <w:pPr>
        <w:pStyle w:val="Boldheader"/>
      </w:pPr>
      <w:r>
        <w:t>Climate Change</w:t>
      </w:r>
      <w:r w:rsidR="00012C04">
        <w:t xml:space="preserve"> </w:t>
      </w:r>
    </w:p>
    <w:p w14:paraId="28990450" w14:textId="77777777" w:rsidR="00B02873" w:rsidRDefault="00B02873" w:rsidP="00FE198A">
      <w:r>
        <w:t>This output leads the development and implementation of strategic, whole of government climate change policy and programs that contribute to Victoria’s 2050 target of net-zero emissions and build the state’s resilience to climate change.</w:t>
      </w:r>
    </w:p>
    <w:p w14:paraId="1147395F" w14:textId="77777777" w:rsidR="00B02873" w:rsidRDefault="00B02873" w:rsidP="00B82012">
      <w:pPr>
        <w:pStyle w:val="Heading5"/>
      </w:pPr>
      <w:r>
        <w:t>A safe and quality built environment</w:t>
      </w:r>
    </w:p>
    <w:p w14:paraId="7470AFD9" w14:textId="77777777" w:rsidR="00B02873" w:rsidRDefault="00B02873" w:rsidP="00B82012">
      <w:pPr>
        <w:pStyle w:val="Boldheader"/>
      </w:pPr>
      <w:r>
        <w:t xml:space="preserve">Objective </w:t>
      </w:r>
    </w:p>
    <w:p w14:paraId="22171CD5" w14:textId="1D6E5568" w:rsidR="00B02873" w:rsidRDefault="00B02873" w:rsidP="00FE198A">
      <w:r>
        <w:t xml:space="preserve">This objective plans for the future growth and transformation of Victoria’s cities and regions </w:t>
      </w:r>
      <w:r w:rsidR="00A269DB">
        <w:t xml:space="preserve"> </w:t>
      </w:r>
      <w:r>
        <w:t xml:space="preserve">and provides leadership and advice on heritage protection and the built environment. </w:t>
      </w:r>
    </w:p>
    <w:p w14:paraId="6BB9DABD" w14:textId="77777777" w:rsidR="00B02873" w:rsidRDefault="00B02873" w:rsidP="00B82012">
      <w:pPr>
        <w:pStyle w:val="Boldheader"/>
      </w:pPr>
      <w:r>
        <w:t xml:space="preserve">Planning, Building and Heritage </w:t>
      </w:r>
    </w:p>
    <w:p w14:paraId="540969D0" w14:textId="77777777" w:rsidR="00B02873" w:rsidRDefault="00B02873" w:rsidP="00FE198A">
      <w:r>
        <w:t xml:space="preserve">This output delivers programs to address the future growth and transformation of cities and regions through strategic and integrated land use planning; urban development, design and renewal; land supply; heritage conservation and management and regulatory reform. </w:t>
      </w:r>
    </w:p>
    <w:p w14:paraId="082D32CC" w14:textId="77777777" w:rsidR="00B02873" w:rsidRDefault="00B02873" w:rsidP="00CB18D7">
      <w:pPr>
        <w:pStyle w:val="Heading5"/>
      </w:pPr>
      <w:r>
        <w:t xml:space="preserve">Healthy, resilient and biodiverse environment </w:t>
      </w:r>
    </w:p>
    <w:p w14:paraId="4902749B" w14:textId="77777777" w:rsidR="00B02873" w:rsidRDefault="00B02873" w:rsidP="00CB18D7">
      <w:pPr>
        <w:pStyle w:val="Boldheader"/>
      </w:pPr>
      <w:r>
        <w:t>Objective</w:t>
      </w:r>
    </w:p>
    <w:p w14:paraId="7E40367F" w14:textId="77777777" w:rsidR="00B02873" w:rsidRDefault="00B02873" w:rsidP="00FE198A">
      <w:r>
        <w:rPr>
          <w:spacing w:val="-1"/>
        </w:rPr>
        <w:t xml:space="preserve">This objective leads the development and implementation of strategic regulation and investment in environmental and natural resource programs across Victoria. </w:t>
      </w:r>
    </w:p>
    <w:p w14:paraId="00779E53" w14:textId="28134570" w:rsidR="00B02873" w:rsidRDefault="00B02873" w:rsidP="00CB18D7">
      <w:pPr>
        <w:pStyle w:val="Boldheader"/>
      </w:pPr>
      <w:r>
        <w:lastRenderedPageBreak/>
        <w:t>Environment and Biodiversity</w:t>
      </w:r>
      <w:r w:rsidR="00012C04">
        <w:t xml:space="preserve"> </w:t>
      </w:r>
    </w:p>
    <w:p w14:paraId="0801971E" w14:textId="6E1395C6" w:rsidR="00B02873" w:rsidRDefault="00B02873" w:rsidP="00FE198A">
      <w:r>
        <w:rPr>
          <w:spacing w:val="-1"/>
        </w:rPr>
        <w:t xml:space="preserve">This output develops and implements environmental policy and delivers investment, regulatory and research functions. </w:t>
      </w:r>
    </w:p>
    <w:p w14:paraId="400F1FE2" w14:textId="77777777" w:rsidR="00B02873" w:rsidRDefault="00B02873" w:rsidP="00CB18D7">
      <w:pPr>
        <w:pStyle w:val="Boldheader"/>
      </w:pPr>
      <w:r>
        <w:t>Waste and Recycling</w:t>
      </w:r>
    </w:p>
    <w:p w14:paraId="1F46F91B" w14:textId="0065AFB0" w:rsidR="00B02873" w:rsidRDefault="00B02873" w:rsidP="00FE198A">
      <w:r>
        <w:rPr>
          <w:spacing w:val="-1"/>
        </w:rPr>
        <w:t>This output delivers investment into reducing waste, transforming recycling services and increasing value from recycled materials. These activities support industry, innovation, research and development and clean technologies to create new markets and business opportunities for recycled materials.</w:t>
      </w:r>
    </w:p>
    <w:p w14:paraId="00CF546F" w14:textId="77777777" w:rsidR="00B02873" w:rsidRDefault="00B02873" w:rsidP="00CB18D7">
      <w:pPr>
        <w:pStyle w:val="Boldheader"/>
      </w:pPr>
      <w:r>
        <w:t>Statutory Activities and Environmental Protection</w:t>
      </w:r>
    </w:p>
    <w:p w14:paraId="2CE6CEB6" w14:textId="77777777" w:rsidR="00B02873" w:rsidRDefault="00B02873" w:rsidP="00FE198A">
      <w:r>
        <w:rPr>
          <w:spacing w:val="-1"/>
        </w:rPr>
        <w:t>This output protects the environment and people by preventing and reducing harm from pollution and waste through better regulation, conducting research and gathering intelligence to inform compliance and enforcement activities, collaboration and provision of advice.</w:t>
      </w:r>
    </w:p>
    <w:p w14:paraId="2D94F24A" w14:textId="5811B5FF" w:rsidR="00B02873" w:rsidRDefault="00B02873" w:rsidP="00CB18D7">
      <w:pPr>
        <w:pStyle w:val="Heading5"/>
      </w:pPr>
      <w:r>
        <w:t>Productive and effective land management</w:t>
      </w:r>
    </w:p>
    <w:p w14:paraId="461FBB84" w14:textId="77777777" w:rsidR="00B02873" w:rsidRDefault="00B02873" w:rsidP="00CB18D7">
      <w:pPr>
        <w:pStyle w:val="Boldheader"/>
      </w:pPr>
      <w:r>
        <w:t>Objective</w:t>
      </w:r>
    </w:p>
    <w:p w14:paraId="4A6982BE" w14:textId="77777777" w:rsidR="00B02873" w:rsidRDefault="00B02873" w:rsidP="00FE198A">
      <w:r>
        <w:rPr>
          <w:spacing w:val="-1"/>
        </w:rPr>
        <w:t xml:space="preserve">This objective delivers effective management and governance of Victoria’s public land to protect its social, economic and environmental values and maximise its use by all Victorians. </w:t>
      </w:r>
    </w:p>
    <w:p w14:paraId="4CC995A1" w14:textId="02B62540" w:rsidR="00B02873" w:rsidRDefault="00B02873" w:rsidP="00CB18D7">
      <w:pPr>
        <w:pStyle w:val="Boldheader"/>
      </w:pPr>
      <w:r>
        <w:t>Land Use Victoria</w:t>
      </w:r>
      <w:r w:rsidR="00012C04">
        <w:t xml:space="preserve"> </w:t>
      </w:r>
    </w:p>
    <w:p w14:paraId="6C7E1CD3" w14:textId="77777777" w:rsidR="00B02873" w:rsidRDefault="00B02873" w:rsidP="00FE198A">
      <w:r>
        <w:rPr>
          <w:spacing w:val="-1"/>
        </w:rPr>
        <w:t>This output delivers high quality and authoritative land administration and property information services, including the registration of land titles under the Torrens system, survey, valuation. and land information services. Land Use Victoria also incorporates the state’s foundational spatial data services and government land policies</w:t>
      </w:r>
    </w:p>
    <w:p w14:paraId="3D24B49A" w14:textId="5DBA4C9F" w:rsidR="00B02873" w:rsidRDefault="00B02873" w:rsidP="00CB18D7">
      <w:pPr>
        <w:pStyle w:val="Boldheader"/>
      </w:pPr>
      <w:r>
        <w:t>Management of Public Land and Forests</w:t>
      </w:r>
    </w:p>
    <w:p w14:paraId="44314BCA" w14:textId="77777777" w:rsidR="00B02873" w:rsidRDefault="00B02873" w:rsidP="00FE198A">
      <w:r>
        <w:rPr>
          <w:spacing w:val="-1"/>
        </w:rPr>
        <w:t>This output provides stewardship of Victoria’s forests, coasts and Crown land reserves, to ensure that natural, built and historic assets are managed responsibly.</w:t>
      </w:r>
    </w:p>
    <w:p w14:paraId="3235680A" w14:textId="4F1A5238" w:rsidR="00B02873" w:rsidRDefault="00B02873" w:rsidP="00CB18D7">
      <w:pPr>
        <w:pStyle w:val="Boldheader"/>
      </w:pPr>
      <w:r>
        <w:t>Parks Victoria</w:t>
      </w:r>
    </w:p>
    <w:p w14:paraId="45E51170" w14:textId="77777777" w:rsidR="00B02873" w:rsidRDefault="00B02873" w:rsidP="00FE198A">
      <w:r>
        <w:rPr>
          <w:spacing w:val="-1"/>
        </w:rPr>
        <w:t>This output manages the development and protection of Victoria’s natural, cultural and community assets for safe enjoyment and sustainable use by all Victorians.</w:t>
      </w:r>
    </w:p>
    <w:p w14:paraId="7FDACC4D" w14:textId="77777777" w:rsidR="00B02873" w:rsidRDefault="00B02873" w:rsidP="00CB18D7">
      <w:pPr>
        <w:pStyle w:val="Heading5"/>
      </w:pPr>
      <w:r>
        <w:t xml:space="preserve">Safe and sustainable water resources </w:t>
      </w:r>
    </w:p>
    <w:p w14:paraId="07DCA548" w14:textId="77777777" w:rsidR="00B02873" w:rsidRDefault="00B02873" w:rsidP="00CB18D7">
      <w:pPr>
        <w:pStyle w:val="Boldheader"/>
      </w:pPr>
      <w:r>
        <w:t xml:space="preserve">Objective </w:t>
      </w:r>
    </w:p>
    <w:p w14:paraId="36BD5FA6" w14:textId="2C0B82B4" w:rsidR="00B02873" w:rsidRDefault="00B02873" w:rsidP="00FE198A">
      <w:r>
        <w:t xml:space="preserve">This objective increases the efficiency of supply and use of water in cities and towns and improves environmental conditions of waterways to ensure Victoria has safe and sustainable water resources to meet future urban, rural and environmental needs. </w:t>
      </w:r>
    </w:p>
    <w:p w14:paraId="1A0B2864" w14:textId="77777777" w:rsidR="00B02873" w:rsidRDefault="00B02873" w:rsidP="00CB18D7">
      <w:pPr>
        <w:pStyle w:val="Boldheader"/>
      </w:pPr>
      <w:r>
        <w:t xml:space="preserve">Effective Water Management and Supply </w:t>
      </w:r>
    </w:p>
    <w:p w14:paraId="391949F0" w14:textId="77777777" w:rsidR="00B02873" w:rsidRDefault="00B02873" w:rsidP="00FE198A">
      <w:r>
        <w:t xml:space="preserve">This output develops policies, provides strategic advice and oversees regulatory systems and institutional arrangements to effectively manage Victoria’s water resources. </w:t>
      </w:r>
    </w:p>
    <w:p w14:paraId="1A364C37" w14:textId="71AEFB73" w:rsidR="00B02873" w:rsidRDefault="00B02873" w:rsidP="00CB18D7">
      <w:pPr>
        <w:pStyle w:val="Heading5"/>
      </w:pPr>
      <w:r>
        <w:lastRenderedPageBreak/>
        <w:t xml:space="preserve">Reduced impact of major bushfires and other emergencies on people, property and the environment </w:t>
      </w:r>
    </w:p>
    <w:p w14:paraId="30168D28" w14:textId="2DB1A0B0" w:rsidR="00B02873" w:rsidRDefault="00B02873" w:rsidP="00CB18D7">
      <w:pPr>
        <w:pStyle w:val="Boldheader"/>
      </w:pPr>
      <w:r>
        <w:t>Objective</w:t>
      </w:r>
    </w:p>
    <w:p w14:paraId="6C3213B1" w14:textId="77777777" w:rsidR="00B02873" w:rsidRDefault="00B02873" w:rsidP="00FE198A">
      <w:r>
        <w:t>This objective delivers an integrated approach to reducing the risk of bushfires and other emergencies to protect people, property and the environment.</w:t>
      </w:r>
    </w:p>
    <w:p w14:paraId="582A572C" w14:textId="6DDC0B7D" w:rsidR="00B02873" w:rsidRDefault="00B02873" w:rsidP="00CB18D7">
      <w:pPr>
        <w:pStyle w:val="Boldheader"/>
      </w:pPr>
      <w:r>
        <w:t>Fire and Emergency Management</w:t>
      </w:r>
    </w:p>
    <w:p w14:paraId="6B5F2626" w14:textId="61B1D469" w:rsidR="00B02873" w:rsidRDefault="00B02873" w:rsidP="00FE198A">
      <w:r>
        <w:t>This output plans and delivers integrated bushfire management and the provision of emergency response. Through this output, the department works with land and fire managers to plan and deliver bushfire management across public and private land; involves local communities in decision making, drawing on local values and insights to promote resilience; invests in science and partnerships to build knowledge of the relationship between fire and the environment to better manage risk; monitors and assesses the impact and effectiveness of fire management operations; ensures its workforce is effectively trained and prepared; and maintains a strategic road network to facilitate fire and emergency-related activities and provide access for the community, timber and tourism industries.</w:t>
      </w:r>
    </w:p>
    <w:p w14:paraId="3C47609D" w14:textId="77777777" w:rsidR="00B02873" w:rsidRDefault="00B02873" w:rsidP="00CB18D7">
      <w:pPr>
        <w:pStyle w:val="Heading5"/>
      </w:pPr>
      <w:r>
        <w:t>Reliable, sustainable and affordable energy services</w:t>
      </w:r>
    </w:p>
    <w:p w14:paraId="19523497" w14:textId="77777777" w:rsidR="00B02873" w:rsidRDefault="00B02873" w:rsidP="00CB18D7">
      <w:pPr>
        <w:pStyle w:val="Boldheader"/>
      </w:pPr>
      <w:r>
        <w:t xml:space="preserve">Objective </w:t>
      </w:r>
    </w:p>
    <w:p w14:paraId="01B83843" w14:textId="591AA295" w:rsidR="00B02873" w:rsidRDefault="00B02873" w:rsidP="00FE198A">
      <w:r>
        <w:rPr>
          <w:spacing w:val="-1"/>
        </w:rPr>
        <w:t xml:space="preserve">This objective delivers programs on renewable energy, improving energy efficiency and productivity. It also provides policy advice to government on the delivery of reliable, sustainable and affordable energy services to households and business consumers. </w:t>
      </w:r>
    </w:p>
    <w:p w14:paraId="135306AF" w14:textId="77777777" w:rsidR="00B02873" w:rsidRDefault="00B02873" w:rsidP="00CB18D7">
      <w:pPr>
        <w:pStyle w:val="Boldheader"/>
      </w:pPr>
      <w:r>
        <w:t xml:space="preserve">Energy </w:t>
      </w:r>
    </w:p>
    <w:p w14:paraId="73341EB9" w14:textId="24B37313" w:rsidR="00B02873" w:rsidRDefault="00B02873" w:rsidP="00FE198A">
      <w:r>
        <w:rPr>
          <w:spacing w:val="-1"/>
        </w:rPr>
        <w:t>This output delivers state-based energy programs, including renewable energy development, energy efficiency and affordability improvements, and facilitation of new investment.</w:t>
      </w:r>
      <w:r w:rsidR="00012C04">
        <w:rPr>
          <w:spacing w:val="-1"/>
        </w:rPr>
        <w:t xml:space="preserve"> </w:t>
      </w:r>
    </w:p>
    <w:p w14:paraId="318B8410" w14:textId="77777777" w:rsidR="00B02873" w:rsidRDefault="00B02873" w:rsidP="00CB18D7">
      <w:pPr>
        <w:pStyle w:val="Boldheader"/>
      </w:pPr>
      <w:r>
        <w:t xml:space="preserve">Solar Homes </w:t>
      </w:r>
    </w:p>
    <w:p w14:paraId="5056202B" w14:textId="77777777" w:rsidR="00B02873" w:rsidRDefault="00B02873" w:rsidP="00FE198A">
      <w:r>
        <w:rPr>
          <w:spacing w:val="-1"/>
        </w:rPr>
        <w:t xml:space="preserve">This output will over ten years, provide 778,500 households with either solar panel energy systems, solar hot water systems, or battery storage for homes with existing solar energy systems. Solar panels rebates for small businesses and financial subsidies to vulnerable and low-income households to upgrade heating and install high-efficiency reverse cycle air conditioners are also provided. </w:t>
      </w:r>
    </w:p>
    <w:p w14:paraId="131D00F8" w14:textId="77777777" w:rsidR="00B02873" w:rsidRDefault="00B02873" w:rsidP="00CB18D7">
      <w:pPr>
        <w:pStyle w:val="Heading5"/>
      </w:pPr>
      <w:r>
        <w:t>Changes in outputs</w:t>
      </w:r>
    </w:p>
    <w:p w14:paraId="5ABADA6C" w14:textId="59F64F28" w:rsidR="00B02873" w:rsidRDefault="00B02873" w:rsidP="00FE198A">
      <w:r>
        <w:rPr>
          <w:spacing w:val="-1"/>
        </w:rPr>
        <w:t>There were no changes to outputs during the 2021-22 financial year.</w:t>
      </w:r>
      <w:r w:rsidR="00012C04">
        <w:rPr>
          <w:spacing w:val="-1"/>
        </w:rPr>
        <w:t xml:space="preserve"> </w:t>
      </w:r>
    </w:p>
    <w:p w14:paraId="4D5A4124" w14:textId="126E5788" w:rsidR="00B02873" w:rsidRDefault="00B02873" w:rsidP="00CB18D7">
      <w:pPr>
        <w:pStyle w:val="Heading4"/>
      </w:pPr>
      <w:r>
        <w:t>4.1.2 Departmental Outputs</w:t>
      </w:r>
      <w:r w:rsidR="000C45FC">
        <w:t xml:space="preserve"> – </w:t>
      </w:r>
      <w:r>
        <w:t>Controlled comprehensive operating statement</w:t>
      </w:r>
    </w:p>
    <w:tbl>
      <w:tblPr>
        <w:tblStyle w:val="TableGrid"/>
        <w:tblW w:w="9918" w:type="dxa"/>
        <w:tblLayout w:type="fixed"/>
        <w:tblLook w:val="0020" w:firstRow="1" w:lastRow="0" w:firstColumn="0" w:lastColumn="0" w:noHBand="0" w:noVBand="0"/>
      </w:tblPr>
      <w:tblGrid>
        <w:gridCol w:w="2551"/>
        <w:gridCol w:w="988"/>
        <w:gridCol w:w="988"/>
        <w:gridCol w:w="1280"/>
        <w:gridCol w:w="1276"/>
        <w:gridCol w:w="1417"/>
        <w:gridCol w:w="1418"/>
      </w:tblGrid>
      <w:tr w:rsidR="00B02873" w:rsidRPr="00663288" w14:paraId="512375E1" w14:textId="77777777" w:rsidTr="009B3AE1">
        <w:trPr>
          <w:cnfStyle w:val="100000000000" w:firstRow="1" w:lastRow="0" w:firstColumn="0" w:lastColumn="0" w:oddVBand="0" w:evenVBand="0" w:oddHBand="0" w:evenHBand="0" w:firstRowFirstColumn="0" w:firstRowLastColumn="0" w:lastRowFirstColumn="0" w:lastRowLastColumn="0"/>
          <w:trHeight w:val="60"/>
          <w:tblHeader/>
        </w:trPr>
        <w:tc>
          <w:tcPr>
            <w:tcW w:w="2551" w:type="dxa"/>
          </w:tcPr>
          <w:p w14:paraId="5012099D" w14:textId="77777777" w:rsidR="00B02873" w:rsidRPr="00663288" w:rsidRDefault="00B02873" w:rsidP="00B96D7F">
            <w:pPr>
              <w:pStyle w:val="TableheadingleftFinancialsTables"/>
              <w:rPr>
                <w:rFonts w:asciiTheme="minorHAnsi" w:hAnsiTheme="minorHAnsi" w:cstheme="minorHAnsi"/>
                <w:sz w:val="18"/>
                <w:szCs w:val="18"/>
              </w:rPr>
            </w:pPr>
          </w:p>
        </w:tc>
        <w:tc>
          <w:tcPr>
            <w:tcW w:w="988" w:type="dxa"/>
          </w:tcPr>
          <w:p w14:paraId="5F0799BC" w14:textId="3DBA3ED3" w:rsidR="00B02873" w:rsidRPr="00946796" w:rsidRDefault="00B96D7F" w:rsidP="00946796">
            <w:pPr>
              <w:pStyle w:val="TableheadingleftFinancialsTables"/>
              <w:jc w:val="right"/>
              <w:rPr>
                <w:rFonts w:asciiTheme="minorHAnsi" w:hAnsiTheme="minorHAnsi" w:cstheme="minorHAnsi"/>
                <w:sz w:val="18"/>
                <w:szCs w:val="18"/>
              </w:rPr>
            </w:pPr>
            <w:r w:rsidRPr="00946796">
              <w:rPr>
                <w:rFonts w:asciiTheme="minorHAnsi" w:hAnsiTheme="minorHAnsi" w:cstheme="minorHAnsi"/>
                <w:sz w:val="18"/>
                <w:szCs w:val="18"/>
              </w:rPr>
              <w:t>Planning, Building and Heritage</w:t>
            </w:r>
            <w:r w:rsidRPr="00946796">
              <w:rPr>
                <w:rFonts w:asciiTheme="minorHAnsi" w:hAnsiTheme="minorHAnsi" w:cstheme="minorHAnsi"/>
                <w:sz w:val="18"/>
                <w:szCs w:val="18"/>
                <w:vertAlign w:val="superscript"/>
              </w:rPr>
              <w:t>(i)</w:t>
            </w:r>
            <w:r w:rsidR="00663288" w:rsidRPr="00946796">
              <w:rPr>
                <w:rFonts w:asciiTheme="minorHAnsi" w:hAnsiTheme="minorHAnsi" w:cstheme="minorHAnsi"/>
                <w:sz w:val="18"/>
                <w:szCs w:val="18"/>
                <w:vertAlign w:val="superscript"/>
              </w:rPr>
              <w:t xml:space="preserve"> </w:t>
            </w:r>
            <w:r w:rsidR="00B02873" w:rsidRPr="00946796">
              <w:rPr>
                <w:rFonts w:asciiTheme="minorHAnsi" w:hAnsiTheme="minorHAnsi" w:cstheme="minorHAnsi"/>
                <w:sz w:val="18"/>
                <w:szCs w:val="18"/>
              </w:rPr>
              <w:t>2022</w:t>
            </w:r>
            <w:r w:rsidR="00B02873" w:rsidRPr="00946796">
              <w:rPr>
                <w:rFonts w:asciiTheme="minorHAnsi" w:hAnsiTheme="minorHAnsi" w:cstheme="minorHAnsi"/>
                <w:sz w:val="18"/>
                <w:szCs w:val="18"/>
              </w:rPr>
              <w:br/>
              <w:t>$’000</w:t>
            </w:r>
          </w:p>
        </w:tc>
        <w:tc>
          <w:tcPr>
            <w:tcW w:w="988" w:type="dxa"/>
          </w:tcPr>
          <w:p w14:paraId="41A1A8FF" w14:textId="7BA6EB02" w:rsidR="00B02873" w:rsidRPr="00663288" w:rsidRDefault="00B96D7F" w:rsidP="00946796">
            <w:pPr>
              <w:pStyle w:val="TableheadingleftFinancialsTables"/>
              <w:jc w:val="right"/>
              <w:rPr>
                <w:rFonts w:asciiTheme="minorHAnsi" w:hAnsiTheme="minorHAnsi" w:cstheme="minorHAnsi"/>
                <w:sz w:val="18"/>
                <w:szCs w:val="18"/>
              </w:rPr>
            </w:pPr>
            <w:r w:rsidRPr="00663288">
              <w:rPr>
                <w:rFonts w:asciiTheme="minorHAnsi" w:hAnsiTheme="minorHAnsi" w:cstheme="minorHAnsi"/>
                <w:sz w:val="18"/>
                <w:szCs w:val="18"/>
              </w:rPr>
              <w:t>Planning, Building and Heritage</w:t>
            </w:r>
            <w:r w:rsidRPr="00663288">
              <w:rPr>
                <w:rFonts w:asciiTheme="minorHAnsi" w:hAnsiTheme="minorHAnsi" w:cstheme="minorHAnsi"/>
                <w:sz w:val="18"/>
                <w:szCs w:val="18"/>
                <w:vertAlign w:val="superscript"/>
              </w:rPr>
              <w:t>(i)</w:t>
            </w:r>
            <w:r w:rsidR="00B02873" w:rsidRPr="00663288">
              <w:rPr>
                <w:rFonts w:asciiTheme="minorHAnsi" w:hAnsiTheme="minorHAnsi" w:cstheme="minorHAnsi"/>
                <w:sz w:val="18"/>
                <w:szCs w:val="18"/>
              </w:rPr>
              <w:t xml:space="preserve"> 2021</w:t>
            </w:r>
            <w:r w:rsidR="00B02873" w:rsidRPr="00663288">
              <w:rPr>
                <w:rFonts w:asciiTheme="minorHAnsi" w:hAnsiTheme="minorHAnsi" w:cstheme="minorHAnsi"/>
                <w:sz w:val="18"/>
                <w:szCs w:val="18"/>
              </w:rPr>
              <w:br/>
              <w:t>$’000</w:t>
            </w:r>
          </w:p>
        </w:tc>
        <w:tc>
          <w:tcPr>
            <w:tcW w:w="1280" w:type="dxa"/>
          </w:tcPr>
          <w:p w14:paraId="71DD2775" w14:textId="4D798964" w:rsidR="00B02873" w:rsidRPr="00946796" w:rsidRDefault="00B96D7F" w:rsidP="00946796">
            <w:pPr>
              <w:pStyle w:val="TableheadingleftFinancialsTables"/>
              <w:jc w:val="right"/>
              <w:rPr>
                <w:rFonts w:asciiTheme="minorHAnsi" w:hAnsiTheme="minorHAnsi" w:cstheme="minorHAnsi"/>
                <w:sz w:val="18"/>
                <w:szCs w:val="18"/>
              </w:rPr>
            </w:pPr>
            <w:r w:rsidRPr="00946796">
              <w:rPr>
                <w:rFonts w:asciiTheme="minorHAnsi" w:hAnsiTheme="minorHAnsi" w:cstheme="minorHAnsi"/>
                <w:sz w:val="18"/>
                <w:szCs w:val="18"/>
              </w:rPr>
              <w:t>Environment and Biodiversity</w:t>
            </w:r>
            <w:r w:rsidRPr="00946796">
              <w:rPr>
                <w:rFonts w:asciiTheme="minorHAnsi" w:hAnsiTheme="minorHAnsi" w:cstheme="minorHAnsi"/>
                <w:sz w:val="18"/>
                <w:szCs w:val="18"/>
                <w:vertAlign w:val="superscript"/>
              </w:rPr>
              <w:t xml:space="preserve">(i) </w:t>
            </w:r>
            <w:r w:rsidR="00B02873" w:rsidRPr="00946796">
              <w:rPr>
                <w:rFonts w:asciiTheme="minorHAnsi" w:hAnsiTheme="minorHAnsi" w:cstheme="minorHAnsi"/>
                <w:sz w:val="18"/>
                <w:szCs w:val="18"/>
              </w:rPr>
              <w:t xml:space="preserve">2022 </w:t>
            </w:r>
            <w:r w:rsidR="00B02873" w:rsidRPr="00946796">
              <w:rPr>
                <w:rFonts w:asciiTheme="minorHAnsi" w:hAnsiTheme="minorHAnsi" w:cstheme="minorHAnsi"/>
                <w:sz w:val="18"/>
                <w:szCs w:val="18"/>
              </w:rPr>
              <w:br/>
              <w:t>$’000</w:t>
            </w:r>
          </w:p>
        </w:tc>
        <w:tc>
          <w:tcPr>
            <w:tcW w:w="1276" w:type="dxa"/>
          </w:tcPr>
          <w:p w14:paraId="4C3FB820" w14:textId="1D0EC4C5" w:rsidR="00B02873" w:rsidRPr="00663288" w:rsidRDefault="00B96D7F" w:rsidP="00946796">
            <w:pPr>
              <w:pStyle w:val="TableheadingleftFinancialsTables"/>
              <w:jc w:val="right"/>
              <w:rPr>
                <w:rFonts w:asciiTheme="minorHAnsi" w:hAnsiTheme="minorHAnsi" w:cstheme="minorHAnsi"/>
                <w:sz w:val="18"/>
                <w:szCs w:val="18"/>
              </w:rPr>
            </w:pPr>
            <w:r w:rsidRPr="00663288">
              <w:rPr>
                <w:rFonts w:asciiTheme="minorHAnsi" w:hAnsiTheme="minorHAnsi" w:cstheme="minorHAnsi"/>
                <w:sz w:val="18"/>
                <w:szCs w:val="18"/>
              </w:rPr>
              <w:t>Environment and Biodiversity</w:t>
            </w:r>
            <w:r w:rsidRPr="00663288">
              <w:rPr>
                <w:rFonts w:asciiTheme="minorHAnsi" w:hAnsiTheme="minorHAnsi" w:cstheme="minorHAnsi"/>
                <w:sz w:val="18"/>
                <w:szCs w:val="18"/>
                <w:vertAlign w:val="superscript"/>
              </w:rPr>
              <w:t>(i)</w:t>
            </w:r>
            <w:r w:rsidR="00B02873" w:rsidRPr="00663288">
              <w:rPr>
                <w:rFonts w:asciiTheme="minorHAnsi" w:hAnsiTheme="minorHAnsi" w:cstheme="minorHAnsi"/>
                <w:sz w:val="18"/>
                <w:szCs w:val="18"/>
              </w:rPr>
              <w:t xml:space="preserve"> 2021 </w:t>
            </w:r>
            <w:r w:rsidR="00B02873" w:rsidRPr="00663288">
              <w:rPr>
                <w:rFonts w:asciiTheme="minorHAnsi" w:hAnsiTheme="minorHAnsi" w:cstheme="minorHAnsi"/>
                <w:sz w:val="18"/>
                <w:szCs w:val="18"/>
              </w:rPr>
              <w:br/>
              <w:t>$’000</w:t>
            </w:r>
          </w:p>
        </w:tc>
        <w:tc>
          <w:tcPr>
            <w:tcW w:w="1417" w:type="dxa"/>
          </w:tcPr>
          <w:p w14:paraId="438790F2" w14:textId="4A989240" w:rsidR="00B02873" w:rsidRPr="00946796" w:rsidRDefault="00B96D7F" w:rsidP="00946796">
            <w:pPr>
              <w:pStyle w:val="TableheadingleftFinancialsTables"/>
              <w:jc w:val="right"/>
              <w:rPr>
                <w:rFonts w:asciiTheme="minorHAnsi" w:hAnsiTheme="minorHAnsi" w:cstheme="minorHAnsi"/>
                <w:sz w:val="18"/>
                <w:szCs w:val="18"/>
              </w:rPr>
            </w:pPr>
            <w:r w:rsidRPr="00946796">
              <w:rPr>
                <w:rFonts w:asciiTheme="minorHAnsi" w:hAnsiTheme="minorHAnsi" w:cstheme="minorHAnsi"/>
                <w:sz w:val="18"/>
                <w:szCs w:val="18"/>
              </w:rPr>
              <w:t>Statutory Activities and Environmental Protection</w:t>
            </w:r>
            <w:r w:rsidRPr="00946796">
              <w:rPr>
                <w:rFonts w:asciiTheme="minorHAnsi" w:hAnsiTheme="minorHAnsi" w:cstheme="minorHAnsi"/>
                <w:sz w:val="18"/>
                <w:szCs w:val="18"/>
                <w:vertAlign w:val="superscript"/>
              </w:rPr>
              <w:t xml:space="preserve">(i)(ii) </w:t>
            </w:r>
            <w:r w:rsidR="00B02873" w:rsidRPr="00946796">
              <w:rPr>
                <w:rFonts w:asciiTheme="minorHAnsi" w:hAnsiTheme="minorHAnsi" w:cstheme="minorHAnsi"/>
                <w:sz w:val="18"/>
                <w:szCs w:val="18"/>
              </w:rPr>
              <w:t xml:space="preserve">2022 </w:t>
            </w:r>
            <w:r w:rsidR="00B02873" w:rsidRPr="00946796">
              <w:rPr>
                <w:rFonts w:asciiTheme="minorHAnsi" w:hAnsiTheme="minorHAnsi" w:cstheme="minorHAnsi"/>
                <w:sz w:val="18"/>
                <w:szCs w:val="18"/>
              </w:rPr>
              <w:br/>
              <w:t>$’000</w:t>
            </w:r>
          </w:p>
        </w:tc>
        <w:tc>
          <w:tcPr>
            <w:tcW w:w="1418" w:type="dxa"/>
          </w:tcPr>
          <w:p w14:paraId="42D06E47" w14:textId="37DA519B" w:rsidR="00B02873" w:rsidRPr="00663288" w:rsidRDefault="00B96D7F" w:rsidP="00946796">
            <w:pPr>
              <w:pStyle w:val="TableheadingleftFinancialsTables"/>
              <w:jc w:val="right"/>
              <w:rPr>
                <w:rFonts w:asciiTheme="minorHAnsi" w:hAnsiTheme="minorHAnsi" w:cstheme="minorHAnsi"/>
                <w:sz w:val="18"/>
                <w:szCs w:val="18"/>
              </w:rPr>
            </w:pPr>
            <w:r w:rsidRPr="00663288">
              <w:rPr>
                <w:rFonts w:asciiTheme="minorHAnsi" w:hAnsiTheme="minorHAnsi" w:cstheme="minorHAnsi"/>
                <w:sz w:val="18"/>
                <w:szCs w:val="18"/>
              </w:rPr>
              <w:t>Statutory Activities and Environmental Protection</w:t>
            </w:r>
            <w:r w:rsidRPr="00663288">
              <w:rPr>
                <w:rFonts w:asciiTheme="minorHAnsi" w:hAnsiTheme="minorHAnsi" w:cstheme="minorHAnsi"/>
                <w:sz w:val="18"/>
                <w:szCs w:val="18"/>
                <w:vertAlign w:val="superscript"/>
              </w:rPr>
              <w:t>(i)(ii)</w:t>
            </w:r>
            <w:r w:rsidR="00B02873" w:rsidRPr="00663288">
              <w:rPr>
                <w:rFonts w:asciiTheme="minorHAnsi" w:hAnsiTheme="minorHAnsi" w:cstheme="minorHAnsi"/>
                <w:sz w:val="18"/>
                <w:szCs w:val="18"/>
              </w:rPr>
              <w:t xml:space="preserve"> 2021 </w:t>
            </w:r>
            <w:r w:rsidR="00B02873" w:rsidRPr="00663288">
              <w:rPr>
                <w:rFonts w:asciiTheme="minorHAnsi" w:hAnsiTheme="minorHAnsi" w:cstheme="minorHAnsi"/>
                <w:sz w:val="18"/>
                <w:szCs w:val="18"/>
              </w:rPr>
              <w:br/>
              <w:t>$’000</w:t>
            </w:r>
          </w:p>
        </w:tc>
      </w:tr>
      <w:tr w:rsidR="00B02873" w:rsidRPr="00663288" w14:paraId="0B1C1B65" w14:textId="77777777" w:rsidTr="009B3AE1">
        <w:trPr>
          <w:trHeight w:val="60"/>
        </w:trPr>
        <w:tc>
          <w:tcPr>
            <w:tcW w:w="2551" w:type="dxa"/>
          </w:tcPr>
          <w:p w14:paraId="586E1BA4" w14:textId="292BD568" w:rsidR="00B02873" w:rsidRPr="00663288" w:rsidRDefault="00B02873" w:rsidP="00B96D7F">
            <w:pPr>
              <w:pStyle w:val="TablebodyleftFinancialsTables"/>
              <w:rPr>
                <w:rFonts w:asciiTheme="minorHAnsi" w:hAnsiTheme="minorHAnsi" w:cstheme="minorHAnsi"/>
                <w:b/>
                <w:bCs/>
                <w:sz w:val="18"/>
                <w:szCs w:val="18"/>
              </w:rPr>
            </w:pPr>
            <w:r w:rsidRPr="00663288">
              <w:rPr>
                <w:rFonts w:asciiTheme="minorHAnsi" w:hAnsiTheme="minorHAnsi" w:cstheme="minorHAnsi"/>
                <w:b/>
                <w:bCs/>
                <w:sz w:val="18"/>
                <w:szCs w:val="18"/>
              </w:rPr>
              <w:t>Revenue and income from transactions</w:t>
            </w:r>
          </w:p>
        </w:tc>
        <w:tc>
          <w:tcPr>
            <w:tcW w:w="988" w:type="dxa"/>
          </w:tcPr>
          <w:p w14:paraId="132759CB" w14:textId="77777777" w:rsidR="00B02873" w:rsidRPr="00946796" w:rsidRDefault="00B02873" w:rsidP="00946796">
            <w:pPr>
              <w:pStyle w:val="TablebodyleftFinancialsTables"/>
              <w:jc w:val="right"/>
              <w:rPr>
                <w:rFonts w:asciiTheme="minorHAnsi" w:hAnsiTheme="minorHAnsi" w:cstheme="minorHAnsi"/>
                <w:b/>
                <w:bCs/>
                <w:sz w:val="18"/>
                <w:szCs w:val="18"/>
              </w:rPr>
            </w:pPr>
          </w:p>
        </w:tc>
        <w:tc>
          <w:tcPr>
            <w:tcW w:w="988" w:type="dxa"/>
          </w:tcPr>
          <w:p w14:paraId="67AC73D8" w14:textId="77777777" w:rsidR="00B02873" w:rsidRPr="00663288" w:rsidRDefault="00B02873" w:rsidP="00946796">
            <w:pPr>
              <w:pStyle w:val="TablebodyleftFinancialsTables"/>
              <w:jc w:val="right"/>
              <w:rPr>
                <w:rFonts w:asciiTheme="minorHAnsi" w:hAnsiTheme="minorHAnsi" w:cstheme="minorHAnsi"/>
                <w:b/>
                <w:bCs/>
                <w:sz w:val="18"/>
                <w:szCs w:val="18"/>
              </w:rPr>
            </w:pPr>
          </w:p>
        </w:tc>
        <w:tc>
          <w:tcPr>
            <w:tcW w:w="1280" w:type="dxa"/>
          </w:tcPr>
          <w:p w14:paraId="5DE52106" w14:textId="77777777" w:rsidR="00B02873" w:rsidRPr="00946796" w:rsidRDefault="00B02873" w:rsidP="00946796">
            <w:pPr>
              <w:pStyle w:val="TablebodyleftFinancialsTables"/>
              <w:jc w:val="right"/>
              <w:rPr>
                <w:rFonts w:asciiTheme="minorHAnsi" w:hAnsiTheme="minorHAnsi" w:cstheme="minorHAnsi"/>
                <w:b/>
                <w:bCs/>
                <w:sz w:val="18"/>
                <w:szCs w:val="18"/>
              </w:rPr>
            </w:pPr>
          </w:p>
        </w:tc>
        <w:tc>
          <w:tcPr>
            <w:tcW w:w="1276" w:type="dxa"/>
          </w:tcPr>
          <w:p w14:paraId="3A30D12D" w14:textId="77777777" w:rsidR="00B02873" w:rsidRPr="00663288" w:rsidRDefault="00B02873" w:rsidP="00946796">
            <w:pPr>
              <w:pStyle w:val="TablebodyleftFinancialsTables"/>
              <w:jc w:val="right"/>
              <w:rPr>
                <w:rFonts w:asciiTheme="minorHAnsi" w:hAnsiTheme="minorHAnsi" w:cstheme="minorHAnsi"/>
                <w:b/>
                <w:bCs/>
                <w:sz w:val="18"/>
                <w:szCs w:val="18"/>
              </w:rPr>
            </w:pPr>
          </w:p>
        </w:tc>
        <w:tc>
          <w:tcPr>
            <w:tcW w:w="1417" w:type="dxa"/>
          </w:tcPr>
          <w:p w14:paraId="7DD577B2" w14:textId="77777777" w:rsidR="00B02873" w:rsidRPr="00946796" w:rsidRDefault="00B02873" w:rsidP="00946796">
            <w:pPr>
              <w:pStyle w:val="TablebodyleftFinancialsTables"/>
              <w:jc w:val="right"/>
              <w:rPr>
                <w:rFonts w:asciiTheme="minorHAnsi" w:hAnsiTheme="minorHAnsi" w:cstheme="minorHAnsi"/>
                <w:b/>
                <w:bCs/>
                <w:sz w:val="18"/>
                <w:szCs w:val="18"/>
              </w:rPr>
            </w:pPr>
          </w:p>
        </w:tc>
        <w:tc>
          <w:tcPr>
            <w:tcW w:w="1418" w:type="dxa"/>
          </w:tcPr>
          <w:p w14:paraId="015DEB64" w14:textId="77777777" w:rsidR="00B02873" w:rsidRPr="00663288" w:rsidRDefault="00B02873" w:rsidP="00946796">
            <w:pPr>
              <w:pStyle w:val="TablebodyleftFinancialsTables"/>
              <w:jc w:val="right"/>
              <w:rPr>
                <w:rFonts w:asciiTheme="minorHAnsi" w:hAnsiTheme="minorHAnsi" w:cstheme="minorHAnsi"/>
                <w:b/>
                <w:bCs/>
                <w:sz w:val="18"/>
                <w:szCs w:val="18"/>
              </w:rPr>
            </w:pPr>
          </w:p>
        </w:tc>
      </w:tr>
      <w:tr w:rsidR="00B02873" w:rsidRPr="00663288" w14:paraId="353B50C9" w14:textId="77777777" w:rsidTr="009B3AE1">
        <w:trPr>
          <w:trHeight w:val="60"/>
        </w:trPr>
        <w:tc>
          <w:tcPr>
            <w:tcW w:w="2551" w:type="dxa"/>
          </w:tcPr>
          <w:p w14:paraId="5053B0C8" w14:textId="77777777" w:rsidR="00B02873" w:rsidRPr="00663288" w:rsidRDefault="00B02873" w:rsidP="00B96D7F">
            <w:pPr>
              <w:pStyle w:val="TablebodyleftFinancialsTables"/>
              <w:rPr>
                <w:rFonts w:asciiTheme="minorHAnsi" w:hAnsiTheme="minorHAnsi" w:cstheme="minorHAnsi"/>
                <w:sz w:val="18"/>
                <w:szCs w:val="18"/>
              </w:rPr>
            </w:pPr>
            <w:r w:rsidRPr="00663288">
              <w:rPr>
                <w:rFonts w:asciiTheme="minorHAnsi" w:hAnsiTheme="minorHAnsi" w:cstheme="minorHAnsi"/>
                <w:sz w:val="18"/>
                <w:szCs w:val="18"/>
              </w:rPr>
              <w:t>Output appropriations</w:t>
            </w:r>
          </w:p>
        </w:tc>
        <w:tc>
          <w:tcPr>
            <w:tcW w:w="988" w:type="dxa"/>
          </w:tcPr>
          <w:p w14:paraId="35B1CBC0" w14:textId="77777777" w:rsidR="00B02873" w:rsidRPr="00946796" w:rsidRDefault="00B02873" w:rsidP="00946796">
            <w:pPr>
              <w:pStyle w:val="TablebodyleftFinancialsTables"/>
              <w:jc w:val="right"/>
              <w:rPr>
                <w:rFonts w:asciiTheme="minorHAnsi" w:hAnsiTheme="minorHAnsi" w:cstheme="minorHAnsi"/>
                <w:b/>
                <w:bCs/>
                <w:sz w:val="18"/>
                <w:szCs w:val="18"/>
              </w:rPr>
            </w:pPr>
            <w:r w:rsidRPr="00946796">
              <w:rPr>
                <w:rFonts w:asciiTheme="minorHAnsi" w:hAnsiTheme="minorHAnsi" w:cstheme="minorHAnsi"/>
                <w:b/>
                <w:bCs/>
                <w:sz w:val="18"/>
                <w:szCs w:val="18"/>
              </w:rPr>
              <w:t>254,243</w:t>
            </w:r>
          </w:p>
        </w:tc>
        <w:tc>
          <w:tcPr>
            <w:tcW w:w="988" w:type="dxa"/>
          </w:tcPr>
          <w:p w14:paraId="00E253E1" w14:textId="77777777" w:rsidR="00B02873" w:rsidRPr="00663288" w:rsidRDefault="00B02873" w:rsidP="00946796">
            <w:pPr>
              <w:pStyle w:val="TablebodyleftFinancialsTables"/>
              <w:jc w:val="right"/>
              <w:rPr>
                <w:rFonts w:asciiTheme="minorHAnsi" w:hAnsiTheme="minorHAnsi" w:cstheme="minorHAnsi"/>
                <w:sz w:val="18"/>
                <w:szCs w:val="18"/>
              </w:rPr>
            </w:pPr>
            <w:r w:rsidRPr="00663288">
              <w:rPr>
                <w:rFonts w:asciiTheme="minorHAnsi" w:hAnsiTheme="minorHAnsi" w:cstheme="minorHAnsi"/>
                <w:sz w:val="18"/>
                <w:szCs w:val="18"/>
              </w:rPr>
              <w:t>292,126</w:t>
            </w:r>
          </w:p>
        </w:tc>
        <w:tc>
          <w:tcPr>
            <w:tcW w:w="1280" w:type="dxa"/>
          </w:tcPr>
          <w:p w14:paraId="05B88B06" w14:textId="77777777" w:rsidR="00B02873" w:rsidRPr="00946796" w:rsidRDefault="00B02873" w:rsidP="00946796">
            <w:pPr>
              <w:pStyle w:val="TablebodyleftFinancialsTables"/>
              <w:jc w:val="right"/>
              <w:rPr>
                <w:rFonts w:asciiTheme="minorHAnsi" w:hAnsiTheme="minorHAnsi" w:cstheme="minorHAnsi"/>
                <w:b/>
                <w:bCs/>
                <w:sz w:val="18"/>
                <w:szCs w:val="18"/>
              </w:rPr>
            </w:pPr>
            <w:r w:rsidRPr="00946796">
              <w:rPr>
                <w:rFonts w:asciiTheme="minorHAnsi" w:hAnsiTheme="minorHAnsi" w:cstheme="minorHAnsi"/>
                <w:b/>
                <w:bCs/>
                <w:sz w:val="18"/>
                <w:szCs w:val="18"/>
              </w:rPr>
              <w:t>184,112</w:t>
            </w:r>
          </w:p>
        </w:tc>
        <w:tc>
          <w:tcPr>
            <w:tcW w:w="1276" w:type="dxa"/>
          </w:tcPr>
          <w:p w14:paraId="13BA2612" w14:textId="77777777" w:rsidR="00B02873" w:rsidRPr="00663288" w:rsidRDefault="00B02873" w:rsidP="00946796">
            <w:pPr>
              <w:pStyle w:val="TablebodyleftFinancialsTables"/>
              <w:jc w:val="right"/>
              <w:rPr>
                <w:rFonts w:asciiTheme="minorHAnsi" w:hAnsiTheme="minorHAnsi" w:cstheme="minorHAnsi"/>
                <w:sz w:val="18"/>
                <w:szCs w:val="18"/>
              </w:rPr>
            </w:pPr>
            <w:r w:rsidRPr="00663288">
              <w:rPr>
                <w:rFonts w:asciiTheme="minorHAnsi" w:hAnsiTheme="minorHAnsi" w:cstheme="minorHAnsi"/>
                <w:sz w:val="18"/>
                <w:szCs w:val="18"/>
              </w:rPr>
              <w:t>82,042</w:t>
            </w:r>
          </w:p>
        </w:tc>
        <w:tc>
          <w:tcPr>
            <w:tcW w:w="1417" w:type="dxa"/>
          </w:tcPr>
          <w:p w14:paraId="67534B0C" w14:textId="77777777" w:rsidR="00B02873" w:rsidRPr="00946796" w:rsidRDefault="00B02873" w:rsidP="00946796">
            <w:pPr>
              <w:pStyle w:val="TablebodyleftFinancialsTables"/>
              <w:jc w:val="right"/>
              <w:rPr>
                <w:rFonts w:asciiTheme="minorHAnsi" w:hAnsiTheme="minorHAnsi" w:cstheme="minorHAnsi"/>
                <w:b/>
                <w:bCs/>
                <w:sz w:val="18"/>
                <w:szCs w:val="18"/>
              </w:rPr>
            </w:pPr>
            <w:r w:rsidRPr="00946796">
              <w:rPr>
                <w:rFonts w:asciiTheme="minorHAnsi" w:hAnsiTheme="minorHAnsi" w:cstheme="minorHAnsi"/>
                <w:b/>
                <w:bCs/>
                <w:sz w:val="18"/>
                <w:szCs w:val="18"/>
              </w:rPr>
              <w:t>1,019</w:t>
            </w:r>
          </w:p>
        </w:tc>
        <w:tc>
          <w:tcPr>
            <w:tcW w:w="1418" w:type="dxa"/>
          </w:tcPr>
          <w:p w14:paraId="01730960" w14:textId="77777777" w:rsidR="00B02873" w:rsidRPr="00663288" w:rsidRDefault="00B02873" w:rsidP="00946796">
            <w:pPr>
              <w:pStyle w:val="TablebodyleftFinancialsTables"/>
              <w:jc w:val="right"/>
              <w:rPr>
                <w:rFonts w:asciiTheme="minorHAnsi" w:hAnsiTheme="minorHAnsi" w:cstheme="minorHAnsi"/>
                <w:sz w:val="18"/>
                <w:szCs w:val="18"/>
              </w:rPr>
            </w:pPr>
            <w:r w:rsidRPr="00663288">
              <w:rPr>
                <w:rFonts w:asciiTheme="minorHAnsi" w:hAnsiTheme="minorHAnsi" w:cstheme="minorHAnsi"/>
                <w:sz w:val="18"/>
                <w:szCs w:val="18"/>
              </w:rPr>
              <w:t>852</w:t>
            </w:r>
          </w:p>
        </w:tc>
      </w:tr>
      <w:tr w:rsidR="00B02873" w:rsidRPr="00663288" w14:paraId="54E366E1" w14:textId="77777777" w:rsidTr="009B3AE1">
        <w:trPr>
          <w:trHeight w:val="60"/>
        </w:trPr>
        <w:tc>
          <w:tcPr>
            <w:tcW w:w="2551" w:type="dxa"/>
          </w:tcPr>
          <w:p w14:paraId="3F970F9B" w14:textId="77777777" w:rsidR="00B02873" w:rsidRPr="00663288" w:rsidRDefault="00B02873" w:rsidP="00B96D7F">
            <w:pPr>
              <w:pStyle w:val="TablebodyleftFinancialsTables"/>
              <w:rPr>
                <w:rFonts w:asciiTheme="minorHAnsi" w:hAnsiTheme="minorHAnsi" w:cstheme="minorHAnsi"/>
                <w:sz w:val="18"/>
                <w:szCs w:val="18"/>
              </w:rPr>
            </w:pPr>
            <w:r w:rsidRPr="00663288">
              <w:rPr>
                <w:rFonts w:asciiTheme="minorHAnsi" w:hAnsiTheme="minorHAnsi" w:cstheme="minorHAnsi"/>
                <w:sz w:val="18"/>
                <w:szCs w:val="18"/>
              </w:rPr>
              <w:t>Special appropriations</w:t>
            </w:r>
          </w:p>
        </w:tc>
        <w:tc>
          <w:tcPr>
            <w:tcW w:w="988" w:type="dxa"/>
          </w:tcPr>
          <w:p w14:paraId="213E7175" w14:textId="77777777" w:rsidR="00B02873" w:rsidRPr="00946796" w:rsidRDefault="00B02873" w:rsidP="00946796">
            <w:pPr>
              <w:pStyle w:val="TablebodyleftFinancialsTables"/>
              <w:jc w:val="right"/>
              <w:rPr>
                <w:rFonts w:asciiTheme="minorHAnsi" w:hAnsiTheme="minorHAnsi" w:cstheme="minorHAnsi"/>
                <w:b/>
                <w:bCs/>
                <w:sz w:val="18"/>
                <w:szCs w:val="18"/>
              </w:rPr>
            </w:pPr>
            <w:r w:rsidRPr="00946796">
              <w:rPr>
                <w:rFonts w:asciiTheme="minorHAnsi" w:hAnsiTheme="minorHAnsi" w:cstheme="minorHAnsi"/>
                <w:b/>
                <w:bCs/>
                <w:sz w:val="18"/>
                <w:szCs w:val="18"/>
              </w:rPr>
              <w:t>181,720</w:t>
            </w:r>
          </w:p>
        </w:tc>
        <w:tc>
          <w:tcPr>
            <w:tcW w:w="988" w:type="dxa"/>
          </w:tcPr>
          <w:p w14:paraId="739363E0" w14:textId="77777777" w:rsidR="00B02873" w:rsidRPr="00663288" w:rsidRDefault="00B02873" w:rsidP="00946796">
            <w:pPr>
              <w:pStyle w:val="TablebodyleftFinancialsTables"/>
              <w:jc w:val="right"/>
              <w:rPr>
                <w:rFonts w:asciiTheme="minorHAnsi" w:hAnsiTheme="minorHAnsi" w:cstheme="minorHAnsi"/>
                <w:sz w:val="18"/>
                <w:szCs w:val="18"/>
              </w:rPr>
            </w:pPr>
            <w:r w:rsidRPr="00663288">
              <w:rPr>
                <w:rFonts w:asciiTheme="minorHAnsi" w:hAnsiTheme="minorHAnsi" w:cstheme="minorHAnsi"/>
                <w:sz w:val="18"/>
                <w:szCs w:val="18"/>
              </w:rPr>
              <w:t>122,629</w:t>
            </w:r>
          </w:p>
        </w:tc>
        <w:tc>
          <w:tcPr>
            <w:tcW w:w="1280" w:type="dxa"/>
          </w:tcPr>
          <w:p w14:paraId="786B886D" w14:textId="77777777" w:rsidR="00B02873" w:rsidRPr="00946796" w:rsidRDefault="00B02873" w:rsidP="00946796">
            <w:pPr>
              <w:pStyle w:val="TablebodyleftFinancialsTables"/>
              <w:jc w:val="right"/>
              <w:rPr>
                <w:rFonts w:asciiTheme="minorHAnsi" w:hAnsiTheme="minorHAnsi" w:cstheme="minorHAnsi"/>
                <w:b/>
                <w:bCs/>
                <w:sz w:val="18"/>
                <w:szCs w:val="18"/>
              </w:rPr>
            </w:pPr>
            <w:r w:rsidRPr="00946796">
              <w:rPr>
                <w:rFonts w:asciiTheme="minorHAnsi" w:hAnsiTheme="minorHAnsi" w:cstheme="minorHAnsi"/>
                <w:b/>
                <w:bCs/>
                <w:sz w:val="18"/>
                <w:szCs w:val="18"/>
              </w:rPr>
              <w:t>–</w:t>
            </w:r>
          </w:p>
        </w:tc>
        <w:tc>
          <w:tcPr>
            <w:tcW w:w="1276" w:type="dxa"/>
          </w:tcPr>
          <w:p w14:paraId="505DA7C5" w14:textId="77777777" w:rsidR="00B02873" w:rsidRPr="00663288" w:rsidRDefault="00B02873" w:rsidP="00946796">
            <w:pPr>
              <w:pStyle w:val="TablebodyleftFinancialsTables"/>
              <w:jc w:val="right"/>
              <w:rPr>
                <w:rFonts w:asciiTheme="minorHAnsi" w:hAnsiTheme="minorHAnsi" w:cstheme="minorHAnsi"/>
                <w:sz w:val="18"/>
                <w:szCs w:val="18"/>
              </w:rPr>
            </w:pPr>
            <w:r w:rsidRPr="00663288">
              <w:rPr>
                <w:rFonts w:asciiTheme="minorHAnsi" w:hAnsiTheme="minorHAnsi" w:cstheme="minorHAnsi"/>
                <w:sz w:val="18"/>
                <w:szCs w:val="18"/>
              </w:rPr>
              <w:t>–</w:t>
            </w:r>
          </w:p>
        </w:tc>
        <w:tc>
          <w:tcPr>
            <w:tcW w:w="1417" w:type="dxa"/>
          </w:tcPr>
          <w:p w14:paraId="33FA193E" w14:textId="77777777" w:rsidR="00B02873" w:rsidRPr="00946796" w:rsidRDefault="00B02873" w:rsidP="00946796">
            <w:pPr>
              <w:pStyle w:val="TablebodyleftFinancialsTables"/>
              <w:jc w:val="right"/>
              <w:rPr>
                <w:rFonts w:asciiTheme="minorHAnsi" w:hAnsiTheme="minorHAnsi" w:cstheme="minorHAnsi"/>
                <w:b/>
                <w:bCs/>
                <w:sz w:val="18"/>
                <w:szCs w:val="18"/>
              </w:rPr>
            </w:pPr>
            <w:r w:rsidRPr="00946796">
              <w:rPr>
                <w:rFonts w:asciiTheme="minorHAnsi" w:hAnsiTheme="minorHAnsi" w:cstheme="minorHAnsi"/>
                <w:b/>
                <w:bCs/>
                <w:sz w:val="18"/>
                <w:szCs w:val="18"/>
              </w:rPr>
              <w:t>–</w:t>
            </w:r>
          </w:p>
        </w:tc>
        <w:tc>
          <w:tcPr>
            <w:tcW w:w="1418" w:type="dxa"/>
          </w:tcPr>
          <w:p w14:paraId="1CA72FD9" w14:textId="2B1911E6" w:rsidR="00B02873" w:rsidRPr="00663288" w:rsidRDefault="00012C04" w:rsidP="00946796">
            <w:pPr>
              <w:pStyle w:val="TablebodyleftFinancialsTables"/>
              <w:jc w:val="right"/>
              <w:rPr>
                <w:rFonts w:asciiTheme="minorHAnsi" w:hAnsiTheme="minorHAnsi" w:cstheme="minorHAnsi"/>
                <w:sz w:val="18"/>
                <w:szCs w:val="18"/>
              </w:rPr>
            </w:pPr>
            <w:r w:rsidRPr="00663288">
              <w:rPr>
                <w:rFonts w:asciiTheme="minorHAnsi" w:hAnsiTheme="minorHAnsi" w:cstheme="minorHAnsi"/>
                <w:sz w:val="18"/>
                <w:szCs w:val="18"/>
              </w:rPr>
              <w:t xml:space="preserve"> </w:t>
            </w:r>
            <w:r w:rsidR="00B02873" w:rsidRPr="00663288">
              <w:rPr>
                <w:rFonts w:asciiTheme="minorHAnsi" w:hAnsiTheme="minorHAnsi" w:cstheme="minorHAnsi"/>
                <w:sz w:val="18"/>
                <w:szCs w:val="18"/>
              </w:rPr>
              <w:t xml:space="preserve"> –</w:t>
            </w:r>
          </w:p>
        </w:tc>
      </w:tr>
      <w:tr w:rsidR="00B02873" w:rsidRPr="00663288" w14:paraId="5D891EB5" w14:textId="77777777" w:rsidTr="009B3AE1">
        <w:trPr>
          <w:trHeight w:val="60"/>
        </w:trPr>
        <w:tc>
          <w:tcPr>
            <w:tcW w:w="2551" w:type="dxa"/>
          </w:tcPr>
          <w:p w14:paraId="32EEB7C8" w14:textId="77777777" w:rsidR="00B02873" w:rsidRPr="00663288" w:rsidRDefault="00B02873" w:rsidP="00B96D7F">
            <w:pPr>
              <w:pStyle w:val="TablebodyleftFinancialsTables"/>
              <w:rPr>
                <w:rFonts w:asciiTheme="minorHAnsi" w:hAnsiTheme="minorHAnsi" w:cstheme="minorHAnsi"/>
                <w:sz w:val="18"/>
                <w:szCs w:val="18"/>
              </w:rPr>
            </w:pPr>
            <w:r w:rsidRPr="00663288">
              <w:rPr>
                <w:rFonts w:asciiTheme="minorHAnsi" w:hAnsiTheme="minorHAnsi" w:cstheme="minorHAnsi"/>
                <w:sz w:val="18"/>
                <w:szCs w:val="18"/>
              </w:rPr>
              <w:t>Sale of goods and services</w:t>
            </w:r>
          </w:p>
        </w:tc>
        <w:tc>
          <w:tcPr>
            <w:tcW w:w="988" w:type="dxa"/>
          </w:tcPr>
          <w:p w14:paraId="0B0D38AB" w14:textId="77777777" w:rsidR="00B02873" w:rsidRPr="00946796" w:rsidRDefault="00B02873" w:rsidP="00946796">
            <w:pPr>
              <w:pStyle w:val="TablebodyleftFinancialsTables"/>
              <w:jc w:val="right"/>
              <w:rPr>
                <w:rFonts w:asciiTheme="minorHAnsi" w:hAnsiTheme="minorHAnsi" w:cstheme="minorHAnsi"/>
                <w:b/>
                <w:bCs/>
                <w:sz w:val="18"/>
                <w:szCs w:val="18"/>
              </w:rPr>
            </w:pPr>
            <w:r w:rsidRPr="00946796">
              <w:rPr>
                <w:rFonts w:asciiTheme="minorHAnsi" w:hAnsiTheme="minorHAnsi" w:cstheme="minorHAnsi"/>
                <w:b/>
                <w:bCs/>
                <w:sz w:val="18"/>
                <w:szCs w:val="18"/>
              </w:rPr>
              <w:t>12</w:t>
            </w:r>
          </w:p>
        </w:tc>
        <w:tc>
          <w:tcPr>
            <w:tcW w:w="988" w:type="dxa"/>
          </w:tcPr>
          <w:p w14:paraId="1543B6C4" w14:textId="77777777" w:rsidR="00B02873" w:rsidRPr="00663288" w:rsidRDefault="00B02873" w:rsidP="00946796">
            <w:pPr>
              <w:pStyle w:val="TablebodyleftFinancialsTables"/>
              <w:jc w:val="right"/>
              <w:rPr>
                <w:rFonts w:asciiTheme="minorHAnsi" w:hAnsiTheme="minorHAnsi" w:cstheme="minorHAnsi"/>
                <w:sz w:val="18"/>
                <w:szCs w:val="18"/>
              </w:rPr>
            </w:pPr>
            <w:r w:rsidRPr="00663288">
              <w:rPr>
                <w:rFonts w:asciiTheme="minorHAnsi" w:hAnsiTheme="minorHAnsi" w:cstheme="minorHAnsi"/>
                <w:sz w:val="18"/>
                <w:szCs w:val="18"/>
              </w:rPr>
              <w:t xml:space="preserve"> 89</w:t>
            </w:r>
          </w:p>
        </w:tc>
        <w:tc>
          <w:tcPr>
            <w:tcW w:w="1280" w:type="dxa"/>
          </w:tcPr>
          <w:p w14:paraId="61C72AFC" w14:textId="77777777" w:rsidR="00B02873" w:rsidRPr="00946796" w:rsidRDefault="00B02873" w:rsidP="00946796">
            <w:pPr>
              <w:pStyle w:val="TablebodyleftFinancialsTables"/>
              <w:jc w:val="right"/>
              <w:rPr>
                <w:rFonts w:asciiTheme="minorHAnsi" w:hAnsiTheme="minorHAnsi" w:cstheme="minorHAnsi"/>
                <w:b/>
                <w:bCs/>
                <w:sz w:val="18"/>
                <w:szCs w:val="18"/>
              </w:rPr>
            </w:pPr>
            <w:r w:rsidRPr="00946796">
              <w:rPr>
                <w:rFonts w:asciiTheme="minorHAnsi" w:hAnsiTheme="minorHAnsi" w:cstheme="minorHAnsi"/>
                <w:b/>
                <w:bCs/>
                <w:sz w:val="18"/>
                <w:szCs w:val="18"/>
              </w:rPr>
              <w:t>20,149</w:t>
            </w:r>
          </w:p>
        </w:tc>
        <w:tc>
          <w:tcPr>
            <w:tcW w:w="1276" w:type="dxa"/>
          </w:tcPr>
          <w:p w14:paraId="30C8DEB6" w14:textId="77777777" w:rsidR="00B02873" w:rsidRPr="00663288" w:rsidRDefault="00B02873" w:rsidP="00946796">
            <w:pPr>
              <w:pStyle w:val="TablebodyleftFinancialsTables"/>
              <w:jc w:val="right"/>
              <w:rPr>
                <w:rFonts w:asciiTheme="minorHAnsi" w:hAnsiTheme="minorHAnsi" w:cstheme="minorHAnsi"/>
                <w:sz w:val="18"/>
                <w:szCs w:val="18"/>
              </w:rPr>
            </w:pPr>
            <w:r w:rsidRPr="00663288">
              <w:rPr>
                <w:rFonts w:asciiTheme="minorHAnsi" w:hAnsiTheme="minorHAnsi" w:cstheme="minorHAnsi"/>
                <w:sz w:val="18"/>
                <w:szCs w:val="18"/>
              </w:rPr>
              <w:t>26,853</w:t>
            </w:r>
          </w:p>
        </w:tc>
        <w:tc>
          <w:tcPr>
            <w:tcW w:w="1417" w:type="dxa"/>
          </w:tcPr>
          <w:p w14:paraId="2514CBCD" w14:textId="04A8473E" w:rsidR="00B02873" w:rsidRPr="00946796" w:rsidRDefault="00012C04" w:rsidP="00946796">
            <w:pPr>
              <w:pStyle w:val="TablebodyleftFinancialsTables"/>
              <w:jc w:val="right"/>
              <w:rPr>
                <w:rFonts w:asciiTheme="minorHAnsi" w:hAnsiTheme="minorHAnsi" w:cstheme="minorHAnsi"/>
                <w:b/>
                <w:bCs/>
                <w:sz w:val="18"/>
                <w:szCs w:val="18"/>
              </w:rPr>
            </w:pPr>
            <w:r w:rsidRPr="00946796">
              <w:rPr>
                <w:rFonts w:asciiTheme="minorHAnsi" w:hAnsiTheme="minorHAnsi" w:cstheme="minorHAnsi"/>
                <w:b/>
                <w:bCs/>
                <w:sz w:val="18"/>
                <w:szCs w:val="18"/>
              </w:rPr>
              <w:t xml:space="preserve"> </w:t>
            </w:r>
            <w:r w:rsidR="00B02873" w:rsidRPr="00946796">
              <w:rPr>
                <w:rFonts w:asciiTheme="minorHAnsi" w:hAnsiTheme="minorHAnsi" w:cstheme="minorHAnsi"/>
                <w:b/>
                <w:bCs/>
                <w:sz w:val="18"/>
                <w:szCs w:val="18"/>
              </w:rPr>
              <w:t xml:space="preserve"> 10</w:t>
            </w:r>
          </w:p>
        </w:tc>
        <w:tc>
          <w:tcPr>
            <w:tcW w:w="1418" w:type="dxa"/>
          </w:tcPr>
          <w:p w14:paraId="29DB4F97" w14:textId="77777777" w:rsidR="00B02873" w:rsidRPr="00663288" w:rsidRDefault="00B02873" w:rsidP="00946796">
            <w:pPr>
              <w:pStyle w:val="TablebodyleftFinancialsTables"/>
              <w:jc w:val="right"/>
              <w:rPr>
                <w:rFonts w:asciiTheme="minorHAnsi" w:hAnsiTheme="minorHAnsi" w:cstheme="minorHAnsi"/>
                <w:sz w:val="18"/>
                <w:szCs w:val="18"/>
              </w:rPr>
            </w:pPr>
            <w:r w:rsidRPr="00663288">
              <w:rPr>
                <w:rFonts w:asciiTheme="minorHAnsi" w:hAnsiTheme="minorHAnsi" w:cstheme="minorHAnsi"/>
                <w:sz w:val="18"/>
                <w:szCs w:val="18"/>
              </w:rPr>
              <w:t>–</w:t>
            </w:r>
          </w:p>
        </w:tc>
      </w:tr>
      <w:tr w:rsidR="00B02873" w:rsidRPr="00663288" w14:paraId="37344415" w14:textId="77777777" w:rsidTr="009B3AE1">
        <w:trPr>
          <w:trHeight w:val="60"/>
        </w:trPr>
        <w:tc>
          <w:tcPr>
            <w:tcW w:w="2551" w:type="dxa"/>
          </w:tcPr>
          <w:p w14:paraId="706BF133" w14:textId="77777777" w:rsidR="00B02873" w:rsidRPr="00663288" w:rsidRDefault="00B02873" w:rsidP="00B96D7F">
            <w:pPr>
              <w:pStyle w:val="TablebodyleftFinancialsTables"/>
              <w:rPr>
                <w:rFonts w:asciiTheme="minorHAnsi" w:hAnsiTheme="minorHAnsi" w:cstheme="minorHAnsi"/>
                <w:sz w:val="18"/>
                <w:szCs w:val="18"/>
              </w:rPr>
            </w:pPr>
            <w:r w:rsidRPr="00663288">
              <w:rPr>
                <w:rFonts w:asciiTheme="minorHAnsi" w:hAnsiTheme="minorHAnsi" w:cstheme="minorHAnsi"/>
                <w:sz w:val="18"/>
                <w:szCs w:val="18"/>
              </w:rPr>
              <w:lastRenderedPageBreak/>
              <w:t>Municipal and Industrial Waste Levy</w:t>
            </w:r>
          </w:p>
        </w:tc>
        <w:tc>
          <w:tcPr>
            <w:tcW w:w="988" w:type="dxa"/>
          </w:tcPr>
          <w:p w14:paraId="78111D7F" w14:textId="77777777" w:rsidR="00B02873" w:rsidRPr="00946796" w:rsidRDefault="00B02873" w:rsidP="00946796">
            <w:pPr>
              <w:pStyle w:val="TablebodyleftFinancialsTables"/>
              <w:jc w:val="right"/>
              <w:rPr>
                <w:rFonts w:asciiTheme="minorHAnsi" w:hAnsiTheme="minorHAnsi" w:cstheme="minorHAnsi"/>
                <w:b/>
                <w:bCs/>
                <w:sz w:val="18"/>
                <w:szCs w:val="18"/>
              </w:rPr>
            </w:pPr>
            <w:r w:rsidRPr="00946796">
              <w:rPr>
                <w:rFonts w:asciiTheme="minorHAnsi" w:hAnsiTheme="minorHAnsi" w:cstheme="minorHAnsi"/>
                <w:b/>
                <w:bCs/>
                <w:sz w:val="18"/>
                <w:szCs w:val="18"/>
              </w:rPr>
              <w:t>–</w:t>
            </w:r>
          </w:p>
        </w:tc>
        <w:tc>
          <w:tcPr>
            <w:tcW w:w="988" w:type="dxa"/>
          </w:tcPr>
          <w:p w14:paraId="43A58799" w14:textId="77777777" w:rsidR="00B02873" w:rsidRPr="00663288" w:rsidRDefault="00B02873" w:rsidP="00946796">
            <w:pPr>
              <w:pStyle w:val="TablebodyleftFinancialsTables"/>
              <w:jc w:val="right"/>
              <w:rPr>
                <w:rFonts w:asciiTheme="minorHAnsi" w:hAnsiTheme="minorHAnsi" w:cstheme="minorHAnsi"/>
                <w:sz w:val="18"/>
                <w:szCs w:val="18"/>
              </w:rPr>
            </w:pPr>
            <w:r w:rsidRPr="00663288">
              <w:rPr>
                <w:rFonts w:asciiTheme="minorHAnsi" w:hAnsiTheme="minorHAnsi" w:cstheme="minorHAnsi"/>
                <w:sz w:val="18"/>
                <w:szCs w:val="18"/>
              </w:rPr>
              <w:t>–</w:t>
            </w:r>
          </w:p>
        </w:tc>
        <w:tc>
          <w:tcPr>
            <w:tcW w:w="1280" w:type="dxa"/>
          </w:tcPr>
          <w:p w14:paraId="404FD92A" w14:textId="77777777" w:rsidR="00B02873" w:rsidRPr="00946796" w:rsidRDefault="00B02873" w:rsidP="00946796">
            <w:pPr>
              <w:pStyle w:val="TablebodyleftFinancialsTables"/>
              <w:jc w:val="right"/>
              <w:rPr>
                <w:rFonts w:asciiTheme="minorHAnsi" w:hAnsiTheme="minorHAnsi" w:cstheme="minorHAnsi"/>
                <w:b/>
                <w:bCs/>
                <w:sz w:val="18"/>
                <w:szCs w:val="18"/>
              </w:rPr>
            </w:pPr>
            <w:r w:rsidRPr="00946796">
              <w:rPr>
                <w:rFonts w:asciiTheme="minorHAnsi" w:hAnsiTheme="minorHAnsi" w:cstheme="minorHAnsi"/>
                <w:b/>
                <w:bCs/>
                <w:sz w:val="18"/>
                <w:szCs w:val="18"/>
              </w:rPr>
              <w:t>–</w:t>
            </w:r>
          </w:p>
        </w:tc>
        <w:tc>
          <w:tcPr>
            <w:tcW w:w="1276" w:type="dxa"/>
          </w:tcPr>
          <w:p w14:paraId="524AFF44" w14:textId="77777777" w:rsidR="00B02873" w:rsidRPr="00663288" w:rsidRDefault="00B02873" w:rsidP="00946796">
            <w:pPr>
              <w:pStyle w:val="TablebodyleftFinancialsTables"/>
              <w:jc w:val="right"/>
              <w:rPr>
                <w:rFonts w:asciiTheme="minorHAnsi" w:hAnsiTheme="minorHAnsi" w:cstheme="minorHAnsi"/>
                <w:sz w:val="18"/>
                <w:szCs w:val="18"/>
              </w:rPr>
            </w:pPr>
            <w:r w:rsidRPr="00663288">
              <w:rPr>
                <w:rFonts w:asciiTheme="minorHAnsi" w:hAnsiTheme="minorHAnsi" w:cstheme="minorHAnsi"/>
                <w:sz w:val="18"/>
                <w:szCs w:val="18"/>
              </w:rPr>
              <w:t>–</w:t>
            </w:r>
          </w:p>
        </w:tc>
        <w:tc>
          <w:tcPr>
            <w:tcW w:w="1417" w:type="dxa"/>
          </w:tcPr>
          <w:p w14:paraId="222FB9D5" w14:textId="77777777" w:rsidR="00B02873" w:rsidRPr="00946796" w:rsidRDefault="00B02873" w:rsidP="00946796">
            <w:pPr>
              <w:pStyle w:val="TablebodyleftFinancialsTables"/>
              <w:jc w:val="right"/>
              <w:rPr>
                <w:rFonts w:asciiTheme="minorHAnsi" w:hAnsiTheme="minorHAnsi" w:cstheme="minorHAnsi"/>
                <w:b/>
                <w:bCs/>
                <w:sz w:val="18"/>
                <w:szCs w:val="18"/>
              </w:rPr>
            </w:pPr>
            <w:r w:rsidRPr="00946796">
              <w:rPr>
                <w:rFonts w:asciiTheme="minorHAnsi" w:hAnsiTheme="minorHAnsi" w:cstheme="minorHAnsi"/>
                <w:b/>
                <w:bCs/>
                <w:sz w:val="18"/>
                <w:szCs w:val="18"/>
              </w:rPr>
              <w:t>424,915</w:t>
            </w:r>
          </w:p>
        </w:tc>
        <w:tc>
          <w:tcPr>
            <w:tcW w:w="1418" w:type="dxa"/>
          </w:tcPr>
          <w:p w14:paraId="1BF8E9F6" w14:textId="77777777" w:rsidR="00B02873" w:rsidRPr="00663288" w:rsidRDefault="00B02873" w:rsidP="00946796">
            <w:pPr>
              <w:pStyle w:val="TablebodyleftFinancialsTables"/>
              <w:jc w:val="right"/>
              <w:rPr>
                <w:rFonts w:asciiTheme="minorHAnsi" w:hAnsiTheme="minorHAnsi" w:cstheme="minorHAnsi"/>
                <w:sz w:val="18"/>
                <w:szCs w:val="18"/>
              </w:rPr>
            </w:pPr>
            <w:r w:rsidRPr="00663288">
              <w:rPr>
                <w:rFonts w:asciiTheme="minorHAnsi" w:hAnsiTheme="minorHAnsi" w:cstheme="minorHAnsi"/>
                <w:sz w:val="18"/>
                <w:szCs w:val="18"/>
              </w:rPr>
              <w:t>256,032</w:t>
            </w:r>
          </w:p>
        </w:tc>
      </w:tr>
      <w:tr w:rsidR="00B02873" w:rsidRPr="00663288" w14:paraId="77636900" w14:textId="77777777" w:rsidTr="009B3AE1">
        <w:trPr>
          <w:trHeight w:val="60"/>
        </w:trPr>
        <w:tc>
          <w:tcPr>
            <w:tcW w:w="2551" w:type="dxa"/>
          </w:tcPr>
          <w:p w14:paraId="6B249891" w14:textId="77777777" w:rsidR="00B02873" w:rsidRPr="00663288" w:rsidRDefault="00B02873" w:rsidP="00B96D7F">
            <w:pPr>
              <w:pStyle w:val="TablebodyleftFinancialsTables"/>
              <w:rPr>
                <w:rFonts w:asciiTheme="minorHAnsi" w:hAnsiTheme="minorHAnsi" w:cstheme="minorHAnsi"/>
                <w:sz w:val="18"/>
                <w:szCs w:val="18"/>
              </w:rPr>
            </w:pPr>
            <w:r w:rsidRPr="00663288">
              <w:rPr>
                <w:rFonts w:asciiTheme="minorHAnsi" w:hAnsiTheme="minorHAnsi" w:cstheme="minorHAnsi"/>
                <w:sz w:val="18"/>
                <w:szCs w:val="18"/>
              </w:rPr>
              <w:t>Metropolitan Parks Improvement Rate</w:t>
            </w:r>
          </w:p>
        </w:tc>
        <w:tc>
          <w:tcPr>
            <w:tcW w:w="988" w:type="dxa"/>
          </w:tcPr>
          <w:p w14:paraId="75FDE2B1" w14:textId="14CFC516" w:rsidR="00B02873" w:rsidRPr="00946796" w:rsidRDefault="00012C04" w:rsidP="00946796">
            <w:pPr>
              <w:pStyle w:val="TablebodyleftFinancialsTables"/>
              <w:jc w:val="right"/>
              <w:rPr>
                <w:rFonts w:asciiTheme="minorHAnsi" w:hAnsiTheme="minorHAnsi" w:cstheme="minorHAnsi"/>
                <w:b/>
                <w:bCs/>
                <w:sz w:val="18"/>
                <w:szCs w:val="18"/>
              </w:rPr>
            </w:pPr>
            <w:r w:rsidRPr="00946796">
              <w:rPr>
                <w:rFonts w:asciiTheme="minorHAnsi" w:hAnsiTheme="minorHAnsi" w:cstheme="minorHAnsi"/>
                <w:b/>
                <w:bCs/>
                <w:sz w:val="18"/>
                <w:szCs w:val="18"/>
              </w:rPr>
              <w:t xml:space="preserve"> </w:t>
            </w:r>
            <w:r w:rsidR="00B02873" w:rsidRPr="00946796">
              <w:rPr>
                <w:rFonts w:asciiTheme="minorHAnsi" w:hAnsiTheme="minorHAnsi" w:cstheme="minorHAnsi"/>
                <w:b/>
                <w:bCs/>
                <w:sz w:val="18"/>
                <w:szCs w:val="18"/>
              </w:rPr>
              <w:t>–</w:t>
            </w:r>
          </w:p>
        </w:tc>
        <w:tc>
          <w:tcPr>
            <w:tcW w:w="988" w:type="dxa"/>
          </w:tcPr>
          <w:p w14:paraId="27EE8F6C" w14:textId="0888C42E" w:rsidR="00B02873" w:rsidRPr="00663288" w:rsidRDefault="00012C04" w:rsidP="00946796">
            <w:pPr>
              <w:pStyle w:val="TablebodyleftFinancialsTables"/>
              <w:jc w:val="right"/>
              <w:rPr>
                <w:rFonts w:asciiTheme="minorHAnsi" w:hAnsiTheme="minorHAnsi" w:cstheme="minorHAnsi"/>
                <w:sz w:val="18"/>
                <w:szCs w:val="18"/>
              </w:rPr>
            </w:pPr>
            <w:r w:rsidRPr="00663288">
              <w:rPr>
                <w:rFonts w:asciiTheme="minorHAnsi" w:hAnsiTheme="minorHAnsi" w:cstheme="minorHAnsi"/>
                <w:sz w:val="18"/>
                <w:szCs w:val="18"/>
              </w:rPr>
              <w:t xml:space="preserve"> </w:t>
            </w:r>
            <w:r w:rsidR="00B02873" w:rsidRPr="00663288">
              <w:rPr>
                <w:rFonts w:asciiTheme="minorHAnsi" w:hAnsiTheme="minorHAnsi" w:cstheme="minorHAnsi"/>
                <w:sz w:val="18"/>
                <w:szCs w:val="18"/>
              </w:rPr>
              <w:t xml:space="preserve"> –</w:t>
            </w:r>
          </w:p>
        </w:tc>
        <w:tc>
          <w:tcPr>
            <w:tcW w:w="1280" w:type="dxa"/>
          </w:tcPr>
          <w:p w14:paraId="0600E41A" w14:textId="77777777" w:rsidR="00B02873" w:rsidRPr="00946796" w:rsidRDefault="00B02873" w:rsidP="00946796">
            <w:pPr>
              <w:pStyle w:val="TablebodyleftFinancialsTables"/>
              <w:jc w:val="right"/>
              <w:rPr>
                <w:rFonts w:asciiTheme="minorHAnsi" w:hAnsiTheme="minorHAnsi" w:cstheme="minorHAnsi"/>
                <w:b/>
                <w:bCs/>
                <w:sz w:val="18"/>
                <w:szCs w:val="18"/>
              </w:rPr>
            </w:pPr>
            <w:r w:rsidRPr="00946796">
              <w:rPr>
                <w:rFonts w:asciiTheme="minorHAnsi" w:hAnsiTheme="minorHAnsi" w:cstheme="minorHAnsi"/>
                <w:b/>
                <w:bCs/>
                <w:sz w:val="18"/>
                <w:szCs w:val="18"/>
              </w:rPr>
              <w:t>–</w:t>
            </w:r>
          </w:p>
        </w:tc>
        <w:tc>
          <w:tcPr>
            <w:tcW w:w="1276" w:type="dxa"/>
          </w:tcPr>
          <w:p w14:paraId="6B3B5FF5" w14:textId="77777777" w:rsidR="00B02873" w:rsidRPr="00663288" w:rsidRDefault="00B02873" w:rsidP="00946796">
            <w:pPr>
              <w:pStyle w:val="TablebodyleftFinancialsTables"/>
              <w:jc w:val="right"/>
              <w:rPr>
                <w:rFonts w:asciiTheme="minorHAnsi" w:hAnsiTheme="minorHAnsi" w:cstheme="minorHAnsi"/>
                <w:sz w:val="18"/>
                <w:szCs w:val="18"/>
              </w:rPr>
            </w:pPr>
            <w:r w:rsidRPr="00663288">
              <w:rPr>
                <w:rFonts w:asciiTheme="minorHAnsi" w:hAnsiTheme="minorHAnsi" w:cstheme="minorHAnsi"/>
                <w:sz w:val="18"/>
                <w:szCs w:val="18"/>
              </w:rPr>
              <w:t>–</w:t>
            </w:r>
          </w:p>
        </w:tc>
        <w:tc>
          <w:tcPr>
            <w:tcW w:w="1417" w:type="dxa"/>
          </w:tcPr>
          <w:p w14:paraId="5FDD21C7" w14:textId="77777777" w:rsidR="00B02873" w:rsidRPr="00946796" w:rsidRDefault="00B02873" w:rsidP="00946796">
            <w:pPr>
              <w:pStyle w:val="TablebodyleftFinancialsTables"/>
              <w:jc w:val="right"/>
              <w:rPr>
                <w:rFonts w:asciiTheme="minorHAnsi" w:hAnsiTheme="minorHAnsi" w:cstheme="minorHAnsi"/>
                <w:b/>
                <w:bCs/>
                <w:sz w:val="18"/>
                <w:szCs w:val="18"/>
              </w:rPr>
            </w:pPr>
            <w:r w:rsidRPr="00946796">
              <w:rPr>
                <w:rFonts w:asciiTheme="minorHAnsi" w:hAnsiTheme="minorHAnsi" w:cstheme="minorHAnsi"/>
                <w:b/>
                <w:bCs/>
                <w:sz w:val="18"/>
                <w:szCs w:val="18"/>
              </w:rPr>
              <w:t>–</w:t>
            </w:r>
          </w:p>
        </w:tc>
        <w:tc>
          <w:tcPr>
            <w:tcW w:w="1418" w:type="dxa"/>
          </w:tcPr>
          <w:p w14:paraId="4165BF29" w14:textId="77777777" w:rsidR="00B02873" w:rsidRPr="00663288" w:rsidRDefault="00B02873" w:rsidP="00946796">
            <w:pPr>
              <w:pStyle w:val="TablebodyleftFinancialsTables"/>
              <w:jc w:val="right"/>
              <w:rPr>
                <w:rFonts w:asciiTheme="minorHAnsi" w:hAnsiTheme="minorHAnsi" w:cstheme="minorHAnsi"/>
                <w:sz w:val="18"/>
                <w:szCs w:val="18"/>
              </w:rPr>
            </w:pPr>
            <w:r w:rsidRPr="00663288">
              <w:rPr>
                <w:rFonts w:asciiTheme="minorHAnsi" w:hAnsiTheme="minorHAnsi" w:cstheme="minorHAnsi"/>
                <w:sz w:val="18"/>
                <w:szCs w:val="18"/>
              </w:rPr>
              <w:t>–</w:t>
            </w:r>
          </w:p>
        </w:tc>
      </w:tr>
      <w:tr w:rsidR="00B02873" w:rsidRPr="00663288" w14:paraId="55F1FE67" w14:textId="77777777" w:rsidTr="009B3AE1">
        <w:trPr>
          <w:trHeight w:val="60"/>
        </w:trPr>
        <w:tc>
          <w:tcPr>
            <w:tcW w:w="2551" w:type="dxa"/>
          </w:tcPr>
          <w:p w14:paraId="3BC00E6D" w14:textId="77777777" w:rsidR="00B02873" w:rsidRPr="00663288" w:rsidRDefault="00B02873" w:rsidP="00B96D7F">
            <w:pPr>
              <w:pStyle w:val="TablebodyleftFinancialsTables"/>
              <w:rPr>
                <w:rFonts w:asciiTheme="minorHAnsi" w:hAnsiTheme="minorHAnsi" w:cstheme="minorHAnsi"/>
                <w:sz w:val="18"/>
                <w:szCs w:val="18"/>
              </w:rPr>
            </w:pPr>
            <w:r w:rsidRPr="00663288">
              <w:rPr>
                <w:rFonts w:asciiTheme="minorHAnsi" w:hAnsiTheme="minorHAnsi" w:cstheme="minorHAnsi"/>
                <w:sz w:val="18"/>
                <w:szCs w:val="18"/>
              </w:rPr>
              <w:t>Grants</w:t>
            </w:r>
          </w:p>
        </w:tc>
        <w:tc>
          <w:tcPr>
            <w:tcW w:w="988" w:type="dxa"/>
          </w:tcPr>
          <w:p w14:paraId="51F634F4" w14:textId="77777777" w:rsidR="00B02873" w:rsidRPr="00946796" w:rsidRDefault="00B02873" w:rsidP="00946796">
            <w:pPr>
              <w:pStyle w:val="TablebodyleftFinancialsTables"/>
              <w:jc w:val="right"/>
              <w:rPr>
                <w:rFonts w:asciiTheme="minorHAnsi" w:hAnsiTheme="minorHAnsi" w:cstheme="minorHAnsi"/>
                <w:b/>
                <w:bCs/>
                <w:sz w:val="18"/>
                <w:szCs w:val="18"/>
              </w:rPr>
            </w:pPr>
            <w:r w:rsidRPr="00946796">
              <w:rPr>
                <w:rFonts w:asciiTheme="minorHAnsi" w:hAnsiTheme="minorHAnsi" w:cstheme="minorHAnsi"/>
                <w:b/>
                <w:bCs/>
                <w:sz w:val="18"/>
                <w:szCs w:val="18"/>
              </w:rPr>
              <w:t>11,370</w:t>
            </w:r>
          </w:p>
        </w:tc>
        <w:tc>
          <w:tcPr>
            <w:tcW w:w="988" w:type="dxa"/>
          </w:tcPr>
          <w:p w14:paraId="6D5A47CF" w14:textId="77777777" w:rsidR="00B02873" w:rsidRPr="00663288" w:rsidRDefault="00B02873" w:rsidP="00946796">
            <w:pPr>
              <w:pStyle w:val="TablebodyleftFinancialsTables"/>
              <w:jc w:val="right"/>
              <w:rPr>
                <w:rFonts w:asciiTheme="minorHAnsi" w:hAnsiTheme="minorHAnsi" w:cstheme="minorHAnsi"/>
                <w:sz w:val="18"/>
                <w:szCs w:val="18"/>
              </w:rPr>
            </w:pPr>
            <w:r w:rsidRPr="00663288">
              <w:rPr>
                <w:rFonts w:asciiTheme="minorHAnsi" w:hAnsiTheme="minorHAnsi" w:cstheme="minorHAnsi"/>
                <w:sz w:val="18"/>
                <w:szCs w:val="18"/>
              </w:rPr>
              <w:t>16,045</w:t>
            </w:r>
          </w:p>
        </w:tc>
        <w:tc>
          <w:tcPr>
            <w:tcW w:w="1280" w:type="dxa"/>
          </w:tcPr>
          <w:p w14:paraId="3B81C1DE" w14:textId="77777777" w:rsidR="00B02873" w:rsidRPr="00946796" w:rsidRDefault="00B02873" w:rsidP="00946796">
            <w:pPr>
              <w:pStyle w:val="TablebodyleftFinancialsTables"/>
              <w:jc w:val="right"/>
              <w:rPr>
                <w:rFonts w:asciiTheme="minorHAnsi" w:hAnsiTheme="minorHAnsi" w:cstheme="minorHAnsi"/>
                <w:b/>
                <w:bCs/>
                <w:sz w:val="18"/>
                <w:szCs w:val="18"/>
              </w:rPr>
            </w:pPr>
            <w:r w:rsidRPr="00946796">
              <w:rPr>
                <w:rFonts w:asciiTheme="minorHAnsi" w:hAnsiTheme="minorHAnsi" w:cstheme="minorHAnsi"/>
                <w:b/>
                <w:bCs/>
                <w:sz w:val="18"/>
                <w:szCs w:val="18"/>
              </w:rPr>
              <w:t>4,309</w:t>
            </w:r>
          </w:p>
        </w:tc>
        <w:tc>
          <w:tcPr>
            <w:tcW w:w="1276" w:type="dxa"/>
          </w:tcPr>
          <w:p w14:paraId="7BF72A40" w14:textId="77777777" w:rsidR="00B02873" w:rsidRPr="00663288" w:rsidRDefault="00B02873" w:rsidP="00946796">
            <w:pPr>
              <w:pStyle w:val="TablebodyleftFinancialsTables"/>
              <w:jc w:val="right"/>
              <w:rPr>
                <w:rFonts w:asciiTheme="minorHAnsi" w:hAnsiTheme="minorHAnsi" w:cstheme="minorHAnsi"/>
                <w:sz w:val="18"/>
                <w:szCs w:val="18"/>
              </w:rPr>
            </w:pPr>
            <w:r w:rsidRPr="00663288">
              <w:rPr>
                <w:rFonts w:asciiTheme="minorHAnsi" w:hAnsiTheme="minorHAnsi" w:cstheme="minorHAnsi"/>
                <w:sz w:val="18"/>
                <w:szCs w:val="18"/>
              </w:rPr>
              <w:t>6,390</w:t>
            </w:r>
          </w:p>
        </w:tc>
        <w:tc>
          <w:tcPr>
            <w:tcW w:w="1417" w:type="dxa"/>
          </w:tcPr>
          <w:p w14:paraId="541CD9D3" w14:textId="77777777" w:rsidR="00B02873" w:rsidRPr="00946796" w:rsidRDefault="00B02873" w:rsidP="00946796">
            <w:pPr>
              <w:pStyle w:val="TablebodyleftFinancialsTables"/>
              <w:jc w:val="right"/>
              <w:rPr>
                <w:rFonts w:asciiTheme="minorHAnsi" w:hAnsiTheme="minorHAnsi" w:cstheme="minorHAnsi"/>
                <w:b/>
                <w:bCs/>
                <w:sz w:val="18"/>
                <w:szCs w:val="18"/>
              </w:rPr>
            </w:pPr>
            <w:r w:rsidRPr="00946796">
              <w:rPr>
                <w:rFonts w:asciiTheme="minorHAnsi" w:hAnsiTheme="minorHAnsi" w:cstheme="minorHAnsi"/>
                <w:b/>
                <w:bCs/>
                <w:sz w:val="18"/>
                <w:szCs w:val="18"/>
              </w:rPr>
              <w:t>–</w:t>
            </w:r>
          </w:p>
        </w:tc>
        <w:tc>
          <w:tcPr>
            <w:tcW w:w="1418" w:type="dxa"/>
          </w:tcPr>
          <w:p w14:paraId="71DD682A" w14:textId="77777777" w:rsidR="00B02873" w:rsidRPr="00663288" w:rsidRDefault="00B02873" w:rsidP="00946796">
            <w:pPr>
              <w:pStyle w:val="TablebodyleftFinancialsTables"/>
              <w:jc w:val="right"/>
              <w:rPr>
                <w:rFonts w:asciiTheme="minorHAnsi" w:hAnsiTheme="minorHAnsi" w:cstheme="minorHAnsi"/>
                <w:sz w:val="18"/>
                <w:szCs w:val="18"/>
              </w:rPr>
            </w:pPr>
            <w:r w:rsidRPr="00663288">
              <w:rPr>
                <w:rFonts w:asciiTheme="minorHAnsi" w:hAnsiTheme="minorHAnsi" w:cstheme="minorHAnsi"/>
                <w:sz w:val="18"/>
                <w:szCs w:val="18"/>
              </w:rPr>
              <w:t>–</w:t>
            </w:r>
          </w:p>
        </w:tc>
      </w:tr>
      <w:tr w:rsidR="00B02873" w:rsidRPr="00663288" w14:paraId="21E76E09" w14:textId="77777777" w:rsidTr="009B3AE1">
        <w:trPr>
          <w:trHeight w:val="60"/>
        </w:trPr>
        <w:tc>
          <w:tcPr>
            <w:tcW w:w="2551" w:type="dxa"/>
          </w:tcPr>
          <w:p w14:paraId="3FB9AC08" w14:textId="77777777" w:rsidR="00B02873" w:rsidRPr="00663288" w:rsidRDefault="00B02873" w:rsidP="00B96D7F">
            <w:pPr>
              <w:pStyle w:val="TablebodyleftFinancialsTables"/>
              <w:rPr>
                <w:rFonts w:asciiTheme="minorHAnsi" w:hAnsiTheme="minorHAnsi" w:cstheme="minorHAnsi"/>
                <w:sz w:val="18"/>
                <w:szCs w:val="18"/>
              </w:rPr>
            </w:pPr>
            <w:r w:rsidRPr="00663288">
              <w:rPr>
                <w:rFonts w:asciiTheme="minorHAnsi" w:hAnsiTheme="minorHAnsi" w:cstheme="minorHAnsi"/>
                <w:sz w:val="18"/>
                <w:szCs w:val="18"/>
              </w:rPr>
              <w:t>Interest income</w:t>
            </w:r>
          </w:p>
        </w:tc>
        <w:tc>
          <w:tcPr>
            <w:tcW w:w="988" w:type="dxa"/>
          </w:tcPr>
          <w:p w14:paraId="510976FD" w14:textId="77777777" w:rsidR="00B02873" w:rsidRPr="00946796" w:rsidRDefault="00B02873" w:rsidP="00946796">
            <w:pPr>
              <w:pStyle w:val="TablebodyleftFinancialsTables"/>
              <w:jc w:val="right"/>
              <w:rPr>
                <w:rFonts w:asciiTheme="minorHAnsi" w:hAnsiTheme="minorHAnsi" w:cstheme="minorHAnsi"/>
                <w:b/>
                <w:bCs/>
                <w:sz w:val="18"/>
                <w:szCs w:val="18"/>
              </w:rPr>
            </w:pPr>
            <w:r w:rsidRPr="00946796">
              <w:rPr>
                <w:rFonts w:asciiTheme="minorHAnsi" w:hAnsiTheme="minorHAnsi" w:cstheme="minorHAnsi"/>
                <w:b/>
                <w:bCs/>
                <w:sz w:val="18"/>
                <w:szCs w:val="18"/>
              </w:rPr>
              <w:t xml:space="preserve"> 722</w:t>
            </w:r>
          </w:p>
        </w:tc>
        <w:tc>
          <w:tcPr>
            <w:tcW w:w="988" w:type="dxa"/>
          </w:tcPr>
          <w:p w14:paraId="732697B5" w14:textId="77777777" w:rsidR="00B02873" w:rsidRPr="00663288" w:rsidRDefault="00B02873" w:rsidP="00946796">
            <w:pPr>
              <w:pStyle w:val="TablebodyleftFinancialsTables"/>
              <w:jc w:val="right"/>
              <w:rPr>
                <w:rFonts w:asciiTheme="minorHAnsi" w:hAnsiTheme="minorHAnsi" w:cstheme="minorHAnsi"/>
                <w:sz w:val="18"/>
                <w:szCs w:val="18"/>
              </w:rPr>
            </w:pPr>
            <w:r w:rsidRPr="00663288">
              <w:rPr>
                <w:rFonts w:asciiTheme="minorHAnsi" w:hAnsiTheme="minorHAnsi" w:cstheme="minorHAnsi"/>
                <w:sz w:val="18"/>
                <w:szCs w:val="18"/>
              </w:rPr>
              <w:t>739</w:t>
            </w:r>
          </w:p>
        </w:tc>
        <w:tc>
          <w:tcPr>
            <w:tcW w:w="1280" w:type="dxa"/>
          </w:tcPr>
          <w:p w14:paraId="2A96E5C1" w14:textId="77777777" w:rsidR="00B02873" w:rsidRPr="00946796" w:rsidRDefault="00B02873" w:rsidP="00946796">
            <w:pPr>
              <w:pStyle w:val="TablebodyleftFinancialsTables"/>
              <w:jc w:val="right"/>
              <w:rPr>
                <w:rFonts w:asciiTheme="minorHAnsi" w:hAnsiTheme="minorHAnsi" w:cstheme="minorHAnsi"/>
                <w:b/>
                <w:bCs/>
                <w:sz w:val="18"/>
                <w:szCs w:val="18"/>
              </w:rPr>
            </w:pPr>
            <w:r w:rsidRPr="00946796">
              <w:rPr>
                <w:rFonts w:asciiTheme="minorHAnsi" w:hAnsiTheme="minorHAnsi" w:cstheme="minorHAnsi"/>
                <w:b/>
                <w:bCs/>
                <w:sz w:val="18"/>
                <w:szCs w:val="18"/>
              </w:rPr>
              <w:t>–</w:t>
            </w:r>
          </w:p>
        </w:tc>
        <w:tc>
          <w:tcPr>
            <w:tcW w:w="1276" w:type="dxa"/>
          </w:tcPr>
          <w:p w14:paraId="79F8DF46" w14:textId="77777777" w:rsidR="00B02873" w:rsidRPr="00663288" w:rsidRDefault="00B02873" w:rsidP="00946796">
            <w:pPr>
              <w:pStyle w:val="TablebodyleftFinancialsTables"/>
              <w:jc w:val="right"/>
              <w:rPr>
                <w:rFonts w:asciiTheme="minorHAnsi" w:hAnsiTheme="minorHAnsi" w:cstheme="minorHAnsi"/>
                <w:sz w:val="18"/>
                <w:szCs w:val="18"/>
              </w:rPr>
            </w:pPr>
            <w:r w:rsidRPr="00663288">
              <w:rPr>
                <w:rFonts w:asciiTheme="minorHAnsi" w:hAnsiTheme="minorHAnsi" w:cstheme="minorHAnsi"/>
                <w:sz w:val="18"/>
                <w:szCs w:val="18"/>
              </w:rPr>
              <w:t>90</w:t>
            </w:r>
          </w:p>
        </w:tc>
        <w:tc>
          <w:tcPr>
            <w:tcW w:w="1417" w:type="dxa"/>
          </w:tcPr>
          <w:p w14:paraId="5B9A692E" w14:textId="77777777" w:rsidR="00B02873" w:rsidRPr="00946796" w:rsidRDefault="00B02873" w:rsidP="00946796">
            <w:pPr>
              <w:pStyle w:val="TablebodyleftFinancialsTables"/>
              <w:jc w:val="right"/>
              <w:rPr>
                <w:rFonts w:asciiTheme="minorHAnsi" w:hAnsiTheme="minorHAnsi" w:cstheme="minorHAnsi"/>
                <w:b/>
                <w:bCs/>
                <w:sz w:val="18"/>
                <w:szCs w:val="18"/>
              </w:rPr>
            </w:pPr>
            <w:r w:rsidRPr="00946796">
              <w:rPr>
                <w:rFonts w:asciiTheme="minorHAnsi" w:hAnsiTheme="minorHAnsi" w:cstheme="minorHAnsi"/>
                <w:b/>
                <w:bCs/>
                <w:sz w:val="18"/>
                <w:szCs w:val="18"/>
              </w:rPr>
              <w:t>265</w:t>
            </w:r>
          </w:p>
        </w:tc>
        <w:tc>
          <w:tcPr>
            <w:tcW w:w="1418" w:type="dxa"/>
          </w:tcPr>
          <w:p w14:paraId="4DC1E127" w14:textId="77777777" w:rsidR="00B02873" w:rsidRPr="00663288" w:rsidRDefault="00B02873" w:rsidP="00946796">
            <w:pPr>
              <w:pStyle w:val="TablebodyleftFinancialsTables"/>
              <w:jc w:val="right"/>
              <w:rPr>
                <w:rFonts w:asciiTheme="minorHAnsi" w:hAnsiTheme="minorHAnsi" w:cstheme="minorHAnsi"/>
                <w:sz w:val="18"/>
                <w:szCs w:val="18"/>
              </w:rPr>
            </w:pPr>
            <w:r w:rsidRPr="00663288">
              <w:rPr>
                <w:rFonts w:asciiTheme="minorHAnsi" w:hAnsiTheme="minorHAnsi" w:cstheme="minorHAnsi"/>
                <w:sz w:val="18"/>
                <w:szCs w:val="18"/>
              </w:rPr>
              <w:t>1,125</w:t>
            </w:r>
          </w:p>
        </w:tc>
      </w:tr>
      <w:tr w:rsidR="00B02873" w:rsidRPr="00663288" w14:paraId="1F3B9950" w14:textId="77777777" w:rsidTr="009B3AE1">
        <w:trPr>
          <w:trHeight w:val="60"/>
        </w:trPr>
        <w:tc>
          <w:tcPr>
            <w:tcW w:w="2551" w:type="dxa"/>
          </w:tcPr>
          <w:p w14:paraId="46751314" w14:textId="77777777" w:rsidR="00B02873" w:rsidRPr="00663288" w:rsidRDefault="00B02873" w:rsidP="00B96D7F">
            <w:pPr>
              <w:pStyle w:val="TablebodyleftFinancialsTables"/>
              <w:rPr>
                <w:rFonts w:asciiTheme="minorHAnsi" w:hAnsiTheme="minorHAnsi" w:cstheme="minorHAnsi"/>
                <w:sz w:val="18"/>
                <w:szCs w:val="18"/>
              </w:rPr>
            </w:pPr>
            <w:r w:rsidRPr="00663288">
              <w:rPr>
                <w:rFonts w:asciiTheme="minorHAnsi" w:hAnsiTheme="minorHAnsi" w:cstheme="minorHAnsi"/>
                <w:sz w:val="18"/>
                <w:szCs w:val="18"/>
              </w:rPr>
              <w:t>Initial recognition income from financial instruments</w:t>
            </w:r>
          </w:p>
        </w:tc>
        <w:tc>
          <w:tcPr>
            <w:tcW w:w="988" w:type="dxa"/>
          </w:tcPr>
          <w:p w14:paraId="1469CEDE" w14:textId="77777777" w:rsidR="00B02873" w:rsidRPr="00946796" w:rsidRDefault="00B02873" w:rsidP="00946796">
            <w:pPr>
              <w:pStyle w:val="TablebodyleftFinancialsTables"/>
              <w:jc w:val="right"/>
              <w:rPr>
                <w:rFonts w:asciiTheme="minorHAnsi" w:hAnsiTheme="minorHAnsi" w:cstheme="minorHAnsi"/>
                <w:b/>
                <w:bCs/>
                <w:sz w:val="18"/>
                <w:szCs w:val="18"/>
              </w:rPr>
            </w:pPr>
            <w:r w:rsidRPr="00946796">
              <w:rPr>
                <w:rFonts w:asciiTheme="minorHAnsi" w:hAnsiTheme="minorHAnsi" w:cstheme="minorHAnsi"/>
                <w:b/>
                <w:bCs/>
                <w:sz w:val="18"/>
                <w:szCs w:val="18"/>
              </w:rPr>
              <w:t>–</w:t>
            </w:r>
          </w:p>
        </w:tc>
        <w:tc>
          <w:tcPr>
            <w:tcW w:w="988" w:type="dxa"/>
          </w:tcPr>
          <w:p w14:paraId="3A31E401" w14:textId="77777777" w:rsidR="00B02873" w:rsidRPr="00663288" w:rsidRDefault="00B02873" w:rsidP="00946796">
            <w:pPr>
              <w:pStyle w:val="TablebodyleftFinancialsTables"/>
              <w:jc w:val="right"/>
              <w:rPr>
                <w:rFonts w:asciiTheme="minorHAnsi" w:hAnsiTheme="minorHAnsi" w:cstheme="minorHAnsi"/>
                <w:sz w:val="18"/>
                <w:szCs w:val="18"/>
              </w:rPr>
            </w:pPr>
            <w:r w:rsidRPr="00663288">
              <w:rPr>
                <w:rFonts w:asciiTheme="minorHAnsi" w:hAnsiTheme="minorHAnsi" w:cstheme="minorHAnsi"/>
                <w:sz w:val="18"/>
                <w:szCs w:val="18"/>
              </w:rPr>
              <w:t>–</w:t>
            </w:r>
          </w:p>
        </w:tc>
        <w:tc>
          <w:tcPr>
            <w:tcW w:w="1280" w:type="dxa"/>
          </w:tcPr>
          <w:p w14:paraId="2704CD89" w14:textId="77777777" w:rsidR="00B02873" w:rsidRPr="00946796" w:rsidRDefault="00B02873" w:rsidP="00946796">
            <w:pPr>
              <w:pStyle w:val="TablebodyleftFinancialsTables"/>
              <w:jc w:val="right"/>
              <w:rPr>
                <w:rFonts w:asciiTheme="minorHAnsi" w:hAnsiTheme="minorHAnsi" w:cstheme="minorHAnsi"/>
                <w:b/>
                <w:bCs/>
                <w:sz w:val="18"/>
                <w:szCs w:val="18"/>
              </w:rPr>
            </w:pPr>
            <w:r w:rsidRPr="00946796">
              <w:rPr>
                <w:rFonts w:asciiTheme="minorHAnsi" w:hAnsiTheme="minorHAnsi" w:cstheme="minorHAnsi"/>
                <w:b/>
                <w:bCs/>
                <w:sz w:val="18"/>
                <w:szCs w:val="18"/>
              </w:rPr>
              <w:t>–</w:t>
            </w:r>
          </w:p>
        </w:tc>
        <w:tc>
          <w:tcPr>
            <w:tcW w:w="1276" w:type="dxa"/>
          </w:tcPr>
          <w:p w14:paraId="7E4DCC12" w14:textId="77777777" w:rsidR="00B02873" w:rsidRPr="00663288" w:rsidRDefault="00B02873" w:rsidP="00946796">
            <w:pPr>
              <w:pStyle w:val="TablebodyleftFinancialsTables"/>
              <w:jc w:val="right"/>
              <w:rPr>
                <w:rFonts w:asciiTheme="minorHAnsi" w:hAnsiTheme="minorHAnsi" w:cstheme="minorHAnsi"/>
                <w:sz w:val="18"/>
                <w:szCs w:val="18"/>
              </w:rPr>
            </w:pPr>
            <w:r w:rsidRPr="00663288">
              <w:rPr>
                <w:rFonts w:asciiTheme="minorHAnsi" w:hAnsiTheme="minorHAnsi" w:cstheme="minorHAnsi"/>
                <w:sz w:val="18"/>
                <w:szCs w:val="18"/>
              </w:rPr>
              <w:t>–</w:t>
            </w:r>
          </w:p>
        </w:tc>
        <w:tc>
          <w:tcPr>
            <w:tcW w:w="1417" w:type="dxa"/>
          </w:tcPr>
          <w:p w14:paraId="099ABD70" w14:textId="77777777" w:rsidR="00B02873" w:rsidRPr="00946796" w:rsidRDefault="00B02873" w:rsidP="00946796">
            <w:pPr>
              <w:pStyle w:val="TablebodyleftFinancialsTables"/>
              <w:jc w:val="right"/>
              <w:rPr>
                <w:rFonts w:asciiTheme="minorHAnsi" w:hAnsiTheme="minorHAnsi" w:cstheme="minorHAnsi"/>
                <w:b/>
                <w:bCs/>
                <w:sz w:val="18"/>
                <w:szCs w:val="18"/>
              </w:rPr>
            </w:pPr>
            <w:r w:rsidRPr="00946796">
              <w:rPr>
                <w:rFonts w:asciiTheme="minorHAnsi" w:hAnsiTheme="minorHAnsi" w:cstheme="minorHAnsi"/>
                <w:b/>
                <w:bCs/>
                <w:sz w:val="18"/>
                <w:szCs w:val="18"/>
              </w:rPr>
              <w:t>–</w:t>
            </w:r>
          </w:p>
        </w:tc>
        <w:tc>
          <w:tcPr>
            <w:tcW w:w="1418" w:type="dxa"/>
          </w:tcPr>
          <w:p w14:paraId="10621E93" w14:textId="77777777" w:rsidR="00B02873" w:rsidRPr="00663288" w:rsidRDefault="00B02873" w:rsidP="00946796">
            <w:pPr>
              <w:pStyle w:val="TablebodyleftFinancialsTables"/>
              <w:jc w:val="right"/>
              <w:rPr>
                <w:rFonts w:asciiTheme="minorHAnsi" w:hAnsiTheme="minorHAnsi" w:cstheme="minorHAnsi"/>
                <w:sz w:val="18"/>
                <w:szCs w:val="18"/>
              </w:rPr>
            </w:pPr>
            <w:r w:rsidRPr="00663288">
              <w:rPr>
                <w:rFonts w:asciiTheme="minorHAnsi" w:hAnsiTheme="minorHAnsi" w:cstheme="minorHAnsi"/>
                <w:sz w:val="18"/>
                <w:szCs w:val="18"/>
              </w:rPr>
              <w:t>–</w:t>
            </w:r>
          </w:p>
        </w:tc>
      </w:tr>
      <w:tr w:rsidR="00B02873" w:rsidRPr="00663288" w14:paraId="72DB206B" w14:textId="77777777" w:rsidTr="009B3AE1">
        <w:trPr>
          <w:trHeight w:val="60"/>
        </w:trPr>
        <w:tc>
          <w:tcPr>
            <w:tcW w:w="2551" w:type="dxa"/>
          </w:tcPr>
          <w:p w14:paraId="4C755679" w14:textId="77777777" w:rsidR="00B02873" w:rsidRPr="00663288" w:rsidRDefault="00B02873" w:rsidP="00B96D7F">
            <w:pPr>
              <w:pStyle w:val="TablebodyleftFinancialsTables"/>
              <w:rPr>
                <w:rFonts w:asciiTheme="minorHAnsi" w:hAnsiTheme="minorHAnsi" w:cstheme="minorHAnsi"/>
                <w:sz w:val="18"/>
                <w:szCs w:val="18"/>
              </w:rPr>
            </w:pPr>
            <w:r w:rsidRPr="00663288">
              <w:rPr>
                <w:rFonts w:asciiTheme="minorHAnsi" w:hAnsiTheme="minorHAnsi" w:cstheme="minorHAnsi"/>
                <w:sz w:val="18"/>
                <w:szCs w:val="18"/>
              </w:rPr>
              <w:t>Other income and transfers</w:t>
            </w:r>
          </w:p>
        </w:tc>
        <w:tc>
          <w:tcPr>
            <w:tcW w:w="988" w:type="dxa"/>
          </w:tcPr>
          <w:p w14:paraId="4C833394" w14:textId="7CCFF78D" w:rsidR="00B02873" w:rsidRPr="00946796" w:rsidRDefault="00B02873" w:rsidP="00946796">
            <w:pPr>
              <w:pStyle w:val="TablebodyleftFinancialsTables"/>
              <w:jc w:val="right"/>
              <w:rPr>
                <w:rFonts w:asciiTheme="minorHAnsi" w:hAnsiTheme="minorHAnsi" w:cstheme="minorHAnsi"/>
                <w:b/>
                <w:bCs/>
                <w:sz w:val="18"/>
                <w:szCs w:val="18"/>
              </w:rPr>
            </w:pPr>
            <w:r w:rsidRPr="00946796">
              <w:rPr>
                <w:rFonts w:asciiTheme="minorHAnsi" w:hAnsiTheme="minorHAnsi" w:cstheme="minorHAnsi"/>
                <w:b/>
                <w:bCs/>
                <w:sz w:val="18"/>
                <w:szCs w:val="18"/>
              </w:rPr>
              <w:t>(238)</w:t>
            </w:r>
          </w:p>
        </w:tc>
        <w:tc>
          <w:tcPr>
            <w:tcW w:w="988" w:type="dxa"/>
          </w:tcPr>
          <w:p w14:paraId="605E8383" w14:textId="77777777" w:rsidR="00B02873" w:rsidRPr="00663288" w:rsidRDefault="00B02873" w:rsidP="00946796">
            <w:pPr>
              <w:pStyle w:val="TablebodyleftFinancialsTables"/>
              <w:jc w:val="right"/>
              <w:rPr>
                <w:rFonts w:asciiTheme="minorHAnsi" w:hAnsiTheme="minorHAnsi" w:cstheme="minorHAnsi"/>
                <w:sz w:val="18"/>
                <w:szCs w:val="18"/>
              </w:rPr>
            </w:pPr>
            <w:r w:rsidRPr="00663288">
              <w:rPr>
                <w:rFonts w:asciiTheme="minorHAnsi" w:hAnsiTheme="minorHAnsi" w:cstheme="minorHAnsi"/>
                <w:sz w:val="18"/>
                <w:szCs w:val="18"/>
              </w:rPr>
              <w:t>2,316</w:t>
            </w:r>
          </w:p>
        </w:tc>
        <w:tc>
          <w:tcPr>
            <w:tcW w:w="1280" w:type="dxa"/>
          </w:tcPr>
          <w:p w14:paraId="24E8351F" w14:textId="77777777" w:rsidR="00B02873" w:rsidRPr="00946796" w:rsidRDefault="00B02873" w:rsidP="00946796">
            <w:pPr>
              <w:pStyle w:val="TablebodyleftFinancialsTables"/>
              <w:jc w:val="right"/>
              <w:rPr>
                <w:rFonts w:asciiTheme="minorHAnsi" w:hAnsiTheme="minorHAnsi" w:cstheme="minorHAnsi"/>
                <w:b/>
                <w:bCs/>
                <w:sz w:val="18"/>
                <w:szCs w:val="18"/>
              </w:rPr>
            </w:pPr>
            <w:r w:rsidRPr="00946796">
              <w:rPr>
                <w:rFonts w:asciiTheme="minorHAnsi" w:hAnsiTheme="minorHAnsi" w:cstheme="minorHAnsi"/>
                <w:b/>
                <w:bCs/>
                <w:sz w:val="18"/>
                <w:szCs w:val="18"/>
              </w:rPr>
              <w:t>188,358</w:t>
            </w:r>
          </w:p>
        </w:tc>
        <w:tc>
          <w:tcPr>
            <w:tcW w:w="1276" w:type="dxa"/>
          </w:tcPr>
          <w:p w14:paraId="7B4ABBC0" w14:textId="77777777" w:rsidR="00B02873" w:rsidRPr="00663288" w:rsidRDefault="00B02873" w:rsidP="00946796">
            <w:pPr>
              <w:pStyle w:val="TablebodyleftFinancialsTables"/>
              <w:jc w:val="right"/>
              <w:rPr>
                <w:rFonts w:asciiTheme="minorHAnsi" w:hAnsiTheme="minorHAnsi" w:cstheme="minorHAnsi"/>
                <w:sz w:val="18"/>
                <w:szCs w:val="18"/>
              </w:rPr>
            </w:pPr>
            <w:r w:rsidRPr="00663288">
              <w:rPr>
                <w:rFonts w:asciiTheme="minorHAnsi" w:hAnsiTheme="minorHAnsi" w:cstheme="minorHAnsi"/>
                <w:sz w:val="18"/>
                <w:szCs w:val="18"/>
              </w:rPr>
              <w:t>47,544</w:t>
            </w:r>
          </w:p>
        </w:tc>
        <w:tc>
          <w:tcPr>
            <w:tcW w:w="1417" w:type="dxa"/>
          </w:tcPr>
          <w:p w14:paraId="7D11BE9D" w14:textId="77777777" w:rsidR="00B02873" w:rsidRPr="00946796" w:rsidRDefault="00B02873" w:rsidP="00946796">
            <w:pPr>
              <w:pStyle w:val="TablebodyleftFinancialsTables"/>
              <w:jc w:val="right"/>
              <w:rPr>
                <w:rFonts w:asciiTheme="minorHAnsi" w:hAnsiTheme="minorHAnsi" w:cstheme="minorHAnsi"/>
                <w:b/>
                <w:bCs/>
                <w:sz w:val="18"/>
                <w:szCs w:val="18"/>
              </w:rPr>
            </w:pPr>
            <w:r w:rsidRPr="00946796">
              <w:rPr>
                <w:rFonts w:asciiTheme="minorHAnsi" w:hAnsiTheme="minorHAnsi" w:cstheme="minorHAnsi"/>
                <w:b/>
                <w:bCs/>
                <w:sz w:val="18"/>
                <w:szCs w:val="18"/>
              </w:rPr>
              <w:t>(385,879)</w:t>
            </w:r>
          </w:p>
        </w:tc>
        <w:tc>
          <w:tcPr>
            <w:tcW w:w="1418" w:type="dxa"/>
          </w:tcPr>
          <w:p w14:paraId="2CCA95A2" w14:textId="77777777" w:rsidR="00B02873" w:rsidRPr="00663288" w:rsidRDefault="00B02873" w:rsidP="00946796">
            <w:pPr>
              <w:pStyle w:val="TablebodyleftFinancialsTables"/>
              <w:jc w:val="right"/>
              <w:rPr>
                <w:rFonts w:asciiTheme="minorHAnsi" w:hAnsiTheme="minorHAnsi" w:cstheme="minorHAnsi"/>
                <w:sz w:val="18"/>
                <w:szCs w:val="18"/>
              </w:rPr>
            </w:pPr>
            <w:r w:rsidRPr="00663288">
              <w:rPr>
                <w:rFonts w:asciiTheme="minorHAnsi" w:hAnsiTheme="minorHAnsi" w:cstheme="minorHAnsi"/>
                <w:sz w:val="18"/>
                <w:szCs w:val="18"/>
              </w:rPr>
              <w:t>(62,543)</w:t>
            </w:r>
          </w:p>
        </w:tc>
      </w:tr>
      <w:tr w:rsidR="00B02873" w:rsidRPr="00663288" w14:paraId="23F05ED1" w14:textId="77777777" w:rsidTr="009B3AE1">
        <w:trPr>
          <w:trHeight w:val="60"/>
        </w:trPr>
        <w:tc>
          <w:tcPr>
            <w:tcW w:w="2551" w:type="dxa"/>
          </w:tcPr>
          <w:p w14:paraId="5B77AE64" w14:textId="20E8FD9E" w:rsidR="00B02873" w:rsidRPr="00946796" w:rsidRDefault="00B02873" w:rsidP="00B96D7F">
            <w:pPr>
              <w:pStyle w:val="TablebodyleftFinancialsTables"/>
              <w:rPr>
                <w:rFonts w:asciiTheme="minorHAnsi" w:hAnsiTheme="minorHAnsi" w:cstheme="minorHAnsi"/>
                <w:b/>
                <w:bCs/>
                <w:sz w:val="18"/>
                <w:szCs w:val="18"/>
              </w:rPr>
            </w:pPr>
            <w:r w:rsidRPr="00946796">
              <w:rPr>
                <w:rFonts w:asciiTheme="minorHAnsi" w:hAnsiTheme="minorHAnsi" w:cstheme="minorHAnsi"/>
                <w:b/>
                <w:bCs/>
                <w:sz w:val="18"/>
                <w:szCs w:val="18"/>
              </w:rPr>
              <w:t>Total revenue and income from transactions</w:t>
            </w:r>
          </w:p>
        </w:tc>
        <w:tc>
          <w:tcPr>
            <w:tcW w:w="988" w:type="dxa"/>
          </w:tcPr>
          <w:p w14:paraId="196A268B" w14:textId="77777777" w:rsidR="00B02873" w:rsidRPr="00946796" w:rsidRDefault="00B02873" w:rsidP="00946796">
            <w:pPr>
              <w:pStyle w:val="TablebodyleftFinancialsTables"/>
              <w:jc w:val="right"/>
              <w:rPr>
                <w:rFonts w:asciiTheme="minorHAnsi" w:hAnsiTheme="minorHAnsi" w:cstheme="minorHAnsi"/>
                <w:b/>
                <w:bCs/>
                <w:sz w:val="18"/>
                <w:szCs w:val="18"/>
              </w:rPr>
            </w:pPr>
            <w:r w:rsidRPr="00946796">
              <w:rPr>
                <w:rFonts w:asciiTheme="minorHAnsi" w:hAnsiTheme="minorHAnsi" w:cstheme="minorHAnsi"/>
                <w:b/>
                <w:bCs/>
                <w:sz w:val="18"/>
                <w:szCs w:val="18"/>
              </w:rPr>
              <w:t>447,829</w:t>
            </w:r>
          </w:p>
        </w:tc>
        <w:tc>
          <w:tcPr>
            <w:tcW w:w="988" w:type="dxa"/>
          </w:tcPr>
          <w:p w14:paraId="185571C6" w14:textId="77777777" w:rsidR="00B02873" w:rsidRPr="00663288" w:rsidRDefault="00B02873" w:rsidP="00946796">
            <w:pPr>
              <w:pStyle w:val="TablebodyleftFinancialsTables"/>
              <w:jc w:val="right"/>
              <w:rPr>
                <w:rFonts w:asciiTheme="minorHAnsi" w:hAnsiTheme="minorHAnsi" w:cstheme="minorHAnsi"/>
                <w:sz w:val="18"/>
                <w:szCs w:val="18"/>
              </w:rPr>
            </w:pPr>
            <w:r w:rsidRPr="00663288">
              <w:rPr>
                <w:rFonts w:asciiTheme="minorHAnsi" w:hAnsiTheme="minorHAnsi" w:cstheme="minorHAnsi"/>
                <w:sz w:val="18"/>
                <w:szCs w:val="18"/>
              </w:rPr>
              <w:t>433,944</w:t>
            </w:r>
          </w:p>
        </w:tc>
        <w:tc>
          <w:tcPr>
            <w:tcW w:w="1280" w:type="dxa"/>
          </w:tcPr>
          <w:p w14:paraId="20FA7327" w14:textId="77777777" w:rsidR="00B02873" w:rsidRPr="00946796" w:rsidRDefault="00B02873" w:rsidP="00946796">
            <w:pPr>
              <w:pStyle w:val="TablebodyleftFinancialsTables"/>
              <w:jc w:val="right"/>
              <w:rPr>
                <w:rFonts w:asciiTheme="minorHAnsi" w:hAnsiTheme="minorHAnsi" w:cstheme="minorHAnsi"/>
                <w:b/>
                <w:bCs/>
                <w:sz w:val="18"/>
                <w:szCs w:val="18"/>
              </w:rPr>
            </w:pPr>
            <w:r w:rsidRPr="00946796">
              <w:rPr>
                <w:rFonts w:asciiTheme="minorHAnsi" w:hAnsiTheme="minorHAnsi" w:cstheme="minorHAnsi"/>
                <w:b/>
                <w:bCs/>
                <w:sz w:val="18"/>
                <w:szCs w:val="18"/>
              </w:rPr>
              <w:t>396,928</w:t>
            </w:r>
          </w:p>
        </w:tc>
        <w:tc>
          <w:tcPr>
            <w:tcW w:w="1276" w:type="dxa"/>
          </w:tcPr>
          <w:p w14:paraId="432057D0" w14:textId="77777777" w:rsidR="00B02873" w:rsidRPr="00663288" w:rsidRDefault="00B02873" w:rsidP="00946796">
            <w:pPr>
              <w:pStyle w:val="TablebodyleftFinancialsTables"/>
              <w:jc w:val="right"/>
              <w:rPr>
                <w:rFonts w:asciiTheme="minorHAnsi" w:hAnsiTheme="minorHAnsi" w:cstheme="minorHAnsi"/>
                <w:sz w:val="18"/>
                <w:szCs w:val="18"/>
              </w:rPr>
            </w:pPr>
            <w:r w:rsidRPr="00663288">
              <w:rPr>
                <w:rFonts w:asciiTheme="minorHAnsi" w:hAnsiTheme="minorHAnsi" w:cstheme="minorHAnsi"/>
                <w:sz w:val="18"/>
                <w:szCs w:val="18"/>
              </w:rPr>
              <w:t>162,919</w:t>
            </w:r>
          </w:p>
        </w:tc>
        <w:tc>
          <w:tcPr>
            <w:tcW w:w="1417" w:type="dxa"/>
          </w:tcPr>
          <w:p w14:paraId="4AD5ACB0" w14:textId="77777777" w:rsidR="00B02873" w:rsidRPr="00946796" w:rsidRDefault="00B02873" w:rsidP="00946796">
            <w:pPr>
              <w:pStyle w:val="TablebodyleftFinancialsTables"/>
              <w:jc w:val="right"/>
              <w:rPr>
                <w:rFonts w:asciiTheme="minorHAnsi" w:hAnsiTheme="minorHAnsi" w:cstheme="minorHAnsi"/>
                <w:b/>
                <w:bCs/>
                <w:sz w:val="18"/>
                <w:szCs w:val="18"/>
              </w:rPr>
            </w:pPr>
            <w:r w:rsidRPr="00946796">
              <w:rPr>
                <w:rFonts w:asciiTheme="minorHAnsi" w:hAnsiTheme="minorHAnsi" w:cstheme="minorHAnsi"/>
                <w:b/>
                <w:bCs/>
                <w:sz w:val="18"/>
                <w:szCs w:val="18"/>
              </w:rPr>
              <w:t>40,330</w:t>
            </w:r>
          </w:p>
        </w:tc>
        <w:tc>
          <w:tcPr>
            <w:tcW w:w="1418" w:type="dxa"/>
          </w:tcPr>
          <w:p w14:paraId="024ECBE2" w14:textId="77777777" w:rsidR="00B02873" w:rsidRPr="00663288" w:rsidRDefault="00B02873" w:rsidP="00946796">
            <w:pPr>
              <w:pStyle w:val="TablebodyleftFinancialsTables"/>
              <w:jc w:val="right"/>
              <w:rPr>
                <w:rFonts w:asciiTheme="minorHAnsi" w:hAnsiTheme="minorHAnsi" w:cstheme="minorHAnsi"/>
                <w:sz w:val="18"/>
                <w:szCs w:val="18"/>
              </w:rPr>
            </w:pPr>
            <w:r w:rsidRPr="00663288">
              <w:rPr>
                <w:rFonts w:asciiTheme="minorHAnsi" w:hAnsiTheme="minorHAnsi" w:cstheme="minorHAnsi"/>
                <w:sz w:val="18"/>
                <w:szCs w:val="18"/>
              </w:rPr>
              <w:t>195,466</w:t>
            </w:r>
          </w:p>
        </w:tc>
      </w:tr>
      <w:tr w:rsidR="009B3AE1" w:rsidRPr="00663288" w14:paraId="3F8F1263" w14:textId="77777777" w:rsidTr="009B3AE1">
        <w:trPr>
          <w:trHeight w:val="60"/>
        </w:trPr>
        <w:tc>
          <w:tcPr>
            <w:tcW w:w="2551" w:type="dxa"/>
          </w:tcPr>
          <w:p w14:paraId="5B35ECC6" w14:textId="2DC1D2DF" w:rsidR="009B3AE1" w:rsidRPr="009B3AE1" w:rsidRDefault="009B3AE1" w:rsidP="00D02437">
            <w:pPr>
              <w:pStyle w:val="TablebodyleftFinancialsTables"/>
              <w:rPr>
                <w:rFonts w:asciiTheme="minorHAnsi" w:hAnsiTheme="minorHAnsi" w:cstheme="minorHAnsi"/>
                <w:b/>
                <w:bCs/>
                <w:sz w:val="18"/>
                <w:szCs w:val="18"/>
              </w:rPr>
            </w:pPr>
            <w:r w:rsidRPr="009B3AE1">
              <w:rPr>
                <w:b/>
                <w:bCs/>
              </w:rPr>
              <w:t>Expenses from transactions</w:t>
            </w:r>
          </w:p>
        </w:tc>
        <w:tc>
          <w:tcPr>
            <w:tcW w:w="988" w:type="dxa"/>
          </w:tcPr>
          <w:p w14:paraId="3EC94883" w14:textId="77777777" w:rsidR="009B3AE1" w:rsidRPr="00946796" w:rsidRDefault="009B3AE1" w:rsidP="00D02437">
            <w:pPr>
              <w:pStyle w:val="TablebodyleftFinancialsTables"/>
              <w:jc w:val="right"/>
              <w:rPr>
                <w:rFonts w:asciiTheme="minorHAnsi" w:hAnsiTheme="minorHAnsi" w:cstheme="minorHAnsi"/>
                <w:b/>
                <w:bCs/>
                <w:sz w:val="18"/>
                <w:szCs w:val="18"/>
              </w:rPr>
            </w:pPr>
          </w:p>
        </w:tc>
        <w:tc>
          <w:tcPr>
            <w:tcW w:w="988" w:type="dxa"/>
          </w:tcPr>
          <w:p w14:paraId="4AEFA899" w14:textId="77777777" w:rsidR="009B3AE1" w:rsidRPr="00663288" w:rsidRDefault="009B3AE1" w:rsidP="00D02437">
            <w:pPr>
              <w:pStyle w:val="TablebodyleftFinancialsTables"/>
              <w:jc w:val="right"/>
              <w:rPr>
                <w:rFonts w:asciiTheme="minorHAnsi" w:hAnsiTheme="minorHAnsi" w:cstheme="minorHAnsi"/>
                <w:sz w:val="18"/>
                <w:szCs w:val="18"/>
              </w:rPr>
            </w:pPr>
          </w:p>
        </w:tc>
        <w:tc>
          <w:tcPr>
            <w:tcW w:w="1280" w:type="dxa"/>
          </w:tcPr>
          <w:p w14:paraId="6723DBB5" w14:textId="77777777" w:rsidR="009B3AE1" w:rsidRPr="00946796" w:rsidRDefault="009B3AE1" w:rsidP="00D02437">
            <w:pPr>
              <w:pStyle w:val="TablebodyleftFinancialsTables"/>
              <w:jc w:val="right"/>
              <w:rPr>
                <w:rFonts w:asciiTheme="minorHAnsi" w:hAnsiTheme="minorHAnsi" w:cstheme="minorHAnsi"/>
                <w:b/>
                <w:bCs/>
                <w:sz w:val="18"/>
                <w:szCs w:val="18"/>
              </w:rPr>
            </w:pPr>
          </w:p>
        </w:tc>
        <w:tc>
          <w:tcPr>
            <w:tcW w:w="1276" w:type="dxa"/>
          </w:tcPr>
          <w:p w14:paraId="65B09EB2" w14:textId="77777777" w:rsidR="009B3AE1" w:rsidRPr="00663288" w:rsidRDefault="009B3AE1" w:rsidP="00D02437">
            <w:pPr>
              <w:pStyle w:val="TablebodyleftFinancialsTables"/>
              <w:jc w:val="right"/>
              <w:rPr>
                <w:rFonts w:asciiTheme="minorHAnsi" w:hAnsiTheme="minorHAnsi" w:cstheme="minorHAnsi"/>
                <w:sz w:val="18"/>
                <w:szCs w:val="18"/>
              </w:rPr>
            </w:pPr>
          </w:p>
        </w:tc>
        <w:tc>
          <w:tcPr>
            <w:tcW w:w="1417" w:type="dxa"/>
          </w:tcPr>
          <w:p w14:paraId="43C4FABD" w14:textId="77777777" w:rsidR="009B3AE1" w:rsidRPr="00946796" w:rsidRDefault="009B3AE1" w:rsidP="00D02437">
            <w:pPr>
              <w:pStyle w:val="TablebodyleftFinancialsTables"/>
              <w:jc w:val="right"/>
              <w:rPr>
                <w:rFonts w:asciiTheme="minorHAnsi" w:hAnsiTheme="minorHAnsi" w:cstheme="minorHAnsi"/>
                <w:b/>
                <w:bCs/>
                <w:sz w:val="18"/>
                <w:szCs w:val="18"/>
              </w:rPr>
            </w:pPr>
          </w:p>
        </w:tc>
        <w:tc>
          <w:tcPr>
            <w:tcW w:w="1418" w:type="dxa"/>
          </w:tcPr>
          <w:p w14:paraId="76D409F6" w14:textId="77777777" w:rsidR="009B3AE1" w:rsidRPr="00663288" w:rsidRDefault="009B3AE1" w:rsidP="00D02437">
            <w:pPr>
              <w:pStyle w:val="TablebodyleftFinancialsTables"/>
              <w:jc w:val="right"/>
              <w:rPr>
                <w:rFonts w:asciiTheme="minorHAnsi" w:hAnsiTheme="minorHAnsi" w:cstheme="minorHAnsi"/>
                <w:sz w:val="18"/>
                <w:szCs w:val="18"/>
              </w:rPr>
            </w:pPr>
          </w:p>
        </w:tc>
      </w:tr>
      <w:tr w:rsidR="00B02873" w:rsidRPr="00663288" w14:paraId="2A1476A4" w14:textId="77777777" w:rsidTr="009B3AE1">
        <w:trPr>
          <w:trHeight w:val="60"/>
        </w:trPr>
        <w:tc>
          <w:tcPr>
            <w:tcW w:w="2551" w:type="dxa"/>
          </w:tcPr>
          <w:p w14:paraId="18E46D51" w14:textId="77777777" w:rsidR="00B02873" w:rsidRPr="00663288" w:rsidRDefault="00B02873" w:rsidP="00B96D7F">
            <w:pPr>
              <w:pStyle w:val="TablebodyleftFinancialsTables"/>
              <w:rPr>
                <w:rFonts w:asciiTheme="minorHAnsi" w:hAnsiTheme="minorHAnsi" w:cstheme="minorHAnsi"/>
                <w:sz w:val="18"/>
                <w:szCs w:val="18"/>
              </w:rPr>
            </w:pPr>
            <w:r w:rsidRPr="00663288">
              <w:rPr>
                <w:rFonts w:asciiTheme="minorHAnsi" w:hAnsiTheme="minorHAnsi" w:cstheme="minorHAnsi"/>
                <w:sz w:val="18"/>
                <w:szCs w:val="18"/>
              </w:rPr>
              <w:t>Employee expenses</w:t>
            </w:r>
          </w:p>
        </w:tc>
        <w:tc>
          <w:tcPr>
            <w:tcW w:w="988" w:type="dxa"/>
          </w:tcPr>
          <w:p w14:paraId="0E427812" w14:textId="77777777" w:rsidR="00B02873" w:rsidRPr="00946796" w:rsidRDefault="00B02873" w:rsidP="00946796">
            <w:pPr>
              <w:pStyle w:val="TablebodyleftFinancialsTables"/>
              <w:jc w:val="right"/>
              <w:rPr>
                <w:rFonts w:asciiTheme="minorHAnsi" w:hAnsiTheme="minorHAnsi" w:cstheme="minorHAnsi"/>
                <w:b/>
                <w:bCs/>
                <w:sz w:val="18"/>
                <w:szCs w:val="18"/>
              </w:rPr>
            </w:pPr>
            <w:r w:rsidRPr="00946796">
              <w:rPr>
                <w:rFonts w:asciiTheme="minorHAnsi" w:hAnsiTheme="minorHAnsi" w:cstheme="minorHAnsi"/>
                <w:b/>
                <w:bCs/>
                <w:sz w:val="18"/>
                <w:szCs w:val="18"/>
              </w:rPr>
              <w:t>(86,077)</w:t>
            </w:r>
          </w:p>
        </w:tc>
        <w:tc>
          <w:tcPr>
            <w:tcW w:w="988" w:type="dxa"/>
          </w:tcPr>
          <w:p w14:paraId="2705147F" w14:textId="77777777" w:rsidR="00B02873" w:rsidRPr="00663288" w:rsidRDefault="00B02873" w:rsidP="00946796">
            <w:pPr>
              <w:pStyle w:val="TablebodyleftFinancialsTables"/>
              <w:jc w:val="right"/>
              <w:rPr>
                <w:rFonts w:asciiTheme="minorHAnsi" w:hAnsiTheme="minorHAnsi" w:cstheme="minorHAnsi"/>
                <w:sz w:val="18"/>
                <w:szCs w:val="18"/>
              </w:rPr>
            </w:pPr>
            <w:r w:rsidRPr="00663288">
              <w:rPr>
                <w:rFonts w:asciiTheme="minorHAnsi" w:hAnsiTheme="minorHAnsi" w:cstheme="minorHAnsi"/>
                <w:sz w:val="18"/>
                <w:szCs w:val="18"/>
              </w:rPr>
              <w:t>(70,041)</w:t>
            </w:r>
          </w:p>
        </w:tc>
        <w:tc>
          <w:tcPr>
            <w:tcW w:w="1280" w:type="dxa"/>
          </w:tcPr>
          <w:p w14:paraId="08F00A55" w14:textId="77777777" w:rsidR="00B02873" w:rsidRPr="00946796" w:rsidRDefault="00B02873" w:rsidP="00946796">
            <w:pPr>
              <w:pStyle w:val="TablebodyleftFinancialsTables"/>
              <w:jc w:val="right"/>
              <w:rPr>
                <w:rFonts w:asciiTheme="minorHAnsi" w:hAnsiTheme="minorHAnsi" w:cstheme="minorHAnsi"/>
                <w:b/>
                <w:bCs/>
                <w:sz w:val="18"/>
                <w:szCs w:val="18"/>
              </w:rPr>
            </w:pPr>
            <w:r w:rsidRPr="00946796">
              <w:rPr>
                <w:rFonts w:asciiTheme="minorHAnsi" w:hAnsiTheme="minorHAnsi" w:cstheme="minorHAnsi"/>
                <w:b/>
                <w:bCs/>
                <w:sz w:val="18"/>
                <w:szCs w:val="18"/>
              </w:rPr>
              <w:t>(63,353)</w:t>
            </w:r>
          </w:p>
        </w:tc>
        <w:tc>
          <w:tcPr>
            <w:tcW w:w="1276" w:type="dxa"/>
          </w:tcPr>
          <w:p w14:paraId="7BC90936" w14:textId="77777777" w:rsidR="00B02873" w:rsidRPr="00663288" w:rsidRDefault="00B02873" w:rsidP="00946796">
            <w:pPr>
              <w:pStyle w:val="TablebodyleftFinancialsTables"/>
              <w:jc w:val="right"/>
              <w:rPr>
                <w:rFonts w:asciiTheme="minorHAnsi" w:hAnsiTheme="minorHAnsi" w:cstheme="minorHAnsi"/>
                <w:sz w:val="18"/>
                <w:szCs w:val="18"/>
              </w:rPr>
            </w:pPr>
            <w:r w:rsidRPr="00663288">
              <w:rPr>
                <w:rFonts w:asciiTheme="minorHAnsi" w:hAnsiTheme="minorHAnsi" w:cstheme="minorHAnsi"/>
                <w:sz w:val="18"/>
                <w:szCs w:val="18"/>
              </w:rPr>
              <w:t>(58,286)</w:t>
            </w:r>
          </w:p>
        </w:tc>
        <w:tc>
          <w:tcPr>
            <w:tcW w:w="1417" w:type="dxa"/>
          </w:tcPr>
          <w:p w14:paraId="6A734E82" w14:textId="77777777" w:rsidR="00B02873" w:rsidRPr="00946796" w:rsidRDefault="00B02873" w:rsidP="00946796">
            <w:pPr>
              <w:pStyle w:val="TablebodyleftFinancialsTables"/>
              <w:jc w:val="right"/>
              <w:rPr>
                <w:rFonts w:asciiTheme="minorHAnsi" w:hAnsiTheme="minorHAnsi" w:cstheme="minorHAnsi"/>
                <w:b/>
                <w:bCs/>
                <w:sz w:val="18"/>
                <w:szCs w:val="18"/>
              </w:rPr>
            </w:pPr>
            <w:r w:rsidRPr="00946796">
              <w:rPr>
                <w:rFonts w:asciiTheme="minorHAnsi" w:hAnsiTheme="minorHAnsi" w:cstheme="minorHAnsi"/>
                <w:b/>
                <w:bCs/>
                <w:sz w:val="18"/>
                <w:szCs w:val="18"/>
              </w:rPr>
              <w:t>(843)</w:t>
            </w:r>
          </w:p>
        </w:tc>
        <w:tc>
          <w:tcPr>
            <w:tcW w:w="1418" w:type="dxa"/>
          </w:tcPr>
          <w:p w14:paraId="6497AEA9" w14:textId="77777777" w:rsidR="00B02873" w:rsidRPr="00663288" w:rsidRDefault="00B02873" w:rsidP="00946796">
            <w:pPr>
              <w:pStyle w:val="TablebodyleftFinancialsTables"/>
              <w:jc w:val="right"/>
              <w:rPr>
                <w:rFonts w:asciiTheme="minorHAnsi" w:hAnsiTheme="minorHAnsi" w:cstheme="minorHAnsi"/>
                <w:sz w:val="18"/>
                <w:szCs w:val="18"/>
              </w:rPr>
            </w:pPr>
            <w:r w:rsidRPr="00663288">
              <w:rPr>
                <w:rFonts w:asciiTheme="minorHAnsi" w:hAnsiTheme="minorHAnsi" w:cstheme="minorHAnsi"/>
                <w:sz w:val="18"/>
                <w:szCs w:val="18"/>
              </w:rPr>
              <w:t>(1,036)</w:t>
            </w:r>
          </w:p>
        </w:tc>
      </w:tr>
      <w:tr w:rsidR="00B02873" w:rsidRPr="00663288" w14:paraId="02704ACD" w14:textId="77777777" w:rsidTr="009B3AE1">
        <w:trPr>
          <w:trHeight w:val="60"/>
        </w:trPr>
        <w:tc>
          <w:tcPr>
            <w:tcW w:w="2551" w:type="dxa"/>
          </w:tcPr>
          <w:p w14:paraId="6E1844F9" w14:textId="77777777" w:rsidR="00B02873" w:rsidRPr="00663288" w:rsidRDefault="00B02873" w:rsidP="00B96D7F">
            <w:pPr>
              <w:pStyle w:val="TablebodyleftFinancialsTables"/>
              <w:rPr>
                <w:rFonts w:asciiTheme="minorHAnsi" w:hAnsiTheme="minorHAnsi" w:cstheme="minorHAnsi"/>
                <w:sz w:val="18"/>
                <w:szCs w:val="18"/>
              </w:rPr>
            </w:pPr>
            <w:r w:rsidRPr="00663288">
              <w:rPr>
                <w:rFonts w:asciiTheme="minorHAnsi" w:hAnsiTheme="minorHAnsi" w:cstheme="minorHAnsi"/>
                <w:sz w:val="18"/>
                <w:szCs w:val="18"/>
              </w:rPr>
              <w:t>Grants and other transfers</w:t>
            </w:r>
          </w:p>
        </w:tc>
        <w:tc>
          <w:tcPr>
            <w:tcW w:w="988" w:type="dxa"/>
          </w:tcPr>
          <w:p w14:paraId="341AE4AA" w14:textId="77777777" w:rsidR="00B02873" w:rsidRPr="00946796" w:rsidRDefault="00B02873" w:rsidP="00946796">
            <w:pPr>
              <w:pStyle w:val="TablebodyleftFinancialsTables"/>
              <w:jc w:val="right"/>
              <w:rPr>
                <w:rFonts w:asciiTheme="minorHAnsi" w:hAnsiTheme="minorHAnsi" w:cstheme="minorHAnsi"/>
                <w:b/>
                <w:bCs/>
                <w:sz w:val="18"/>
                <w:szCs w:val="18"/>
              </w:rPr>
            </w:pPr>
            <w:r w:rsidRPr="00946796">
              <w:rPr>
                <w:rFonts w:asciiTheme="minorHAnsi" w:hAnsiTheme="minorHAnsi" w:cstheme="minorHAnsi"/>
                <w:b/>
                <w:bCs/>
                <w:sz w:val="18"/>
                <w:szCs w:val="18"/>
              </w:rPr>
              <w:t>(203,939)</w:t>
            </w:r>
          </w:p>
        </w:tc>
        <w:tc>
          <w:tcPr>
            <w:tcW w:w="988" w:type="dxa"/>
          </w:tcPr>
          <w:p w14:paraId="06C3304B" w14:textId="77777777" w:rsidR="00B02873" w:rsidRPr="00663288" w:rsidRDefault="00B02873" w:rsidP="00946796">
            <w:pPr>
              <w:pStyle w:val="TablebodyleftFinancialsTables"/>
              <w:jc w:val="right"/>
              <w:rPr>
                <w:rFonts w:asciiTheme="minorHAnsi" w:hAnsiTheme="minorHAnsi" w:cstheme="minorHAnsi"/>
                <w:sz w:val="18"/>
                <w:szCs w:val="18"/>
              </w:rPr>
            </w:pPr>
            <w:r w:rsidRPr="00663288">
              <w:rPr>
                <w:rFonts w:asciiTheme="minorHAnsi" w:hAnsiTheme="minorHAnsi" w:cstheme="minorHAnsi"/>
                <w:sz w:val="18"/>
                <w:szCs w:val="18"/>
              </w:rPr>
              <w:t>(217,183)</w:t>
            </w:r>
          </w:p>
        </w:tc>
        <w:tc>
          <w:tcPr>
            <w:tcW w:w="1280" w:type="dxa"/>
          </w:tcPr>
          <w:p w14:paraId="09205B41" w14:textId="77777777" w:rsidR="00B02873" w:rsidRPr="00946796" w:rsidRDefault="00B02873" w:rsidP="00946796">
            <w:pPr>
              <w:pStyle w:val="TablebodyleftFinancialsTables"/>
              <w:jc w:val="right"/>
              <w:rPr>
                <w:rFonts w:asciiTheme="minorHAnsi" w:hAnsiTheme="minorHAnsi" w:cstheme="minorHAnsi"/>
                <w:b/>
                <w:bCs/>
                <w:sz w:val="18"/>
                <w:szCs w:val="18"/>
              </w:rPr>
            </w:pPr>
            <w:r w:rsidRPr="00946796">
              <w:rPr>
                <w:rFonts w:asciiTheme="minorHAnsi" w:hAnsiTheme="minorHAnsi" w:cstheme="minorHAnsi"/>
                <w:b/>
                <w:bCs/>
                <w:sz w:val="18"/>
                <w:szCs w:val="18"/>
              </w:rPr>
              <w:t>(112,363)</w:t>
            </w:r>
          </w:p>
        </w:tc>
        <w:tc>
          <w:tcPr>
            <w:tcW w:w="1276" w:type="dxa"/>
          </w:tcPr>
          <w:p w14:paraId="39599452" w14:textId="77777777" w:rsidR="00B02873" w:rsidRPr="00663288" w:rsidRDefault="00B02873" w:rsidP="00946796">
            <w:pPr>
              <w:pStyle w:val="TablebodyleftFinancialsTables"/>
              <w:jc w:val="right"/>
              <w:rPr>
                <w:rFonts w:asciiTheme="minorHAnsi" w:hAnsiTheme="minorHAnsi" w:cstheme="minorHAnsi"/>
                <w:sz w:val="18"/>
                <w:szCs w:val="18"/>
              </w:rPr>
            </w:pPr>
            <w:r w:rsidRPr="00663288">
              <w:rPr>
                <w:rFonts w:asciiTheme="minorHAnsi" w:hAnsiTheme="minorHAnsi" w:cstheme="minorHAnsi"/>
                <w:sz w:val="18"/>
                <w:szCs w:val="18"/>
              </w:rPr>
              <w:t>(93,428)</w:t>
            </w:r>
          </w:p>
        </w:tc>
        <w:tc>
          <w:tcPr>
            <w:tcW w:w="1417" w:type="dxa"/>
          </w:tcPr>
          <w:p w14:paraId="3C9BE11C" w14:textId="77777777" w:rsidR="00B02873" w:rsidRPr="00946796" w:rsidRDefault="00B02873" w:rsidP="00946796">
            <w:pPr>
              <w:pStyle w:val="TablebodyleftFinancialsTables"/>
              <w:jc w:val="right"/>
              <w:rPr>
                <w:rFonts w:asciiTheme="minorHAnsi" w:hAnsiTheme="minorHAnsi" w:cstheme="minorHAnsi"/>
                <w:b/>
                <w:bCs/>
                <w:sz w:val="18"/>
                <w:szCs w:val="18"/>
              </w:rPr>
            </w:pPr>
            <w:r w:rsidRPr="00946796">
              <w:rPr>
                <w:rFonts w:asciiTheme="minorHAnsi" w:hAnsiTheme="minorHAnsi" w:cstheme="minorHAnsi"/>
                <w:b/>
                <w:bCs/>
                <w:sz w:val="18"/>
                <w:szCs w:val="18"/>
              </w:rPr>
              <w:t>(206,923)</w:t>
            </w:r>
          </w:p>
        </w:tc>
        <w:tc>
          <w:tcPr>
            <w:tcW w:w="1418" w:type="dxa"/>
          </w:tcPr>
          <w:p w14:paraId="4317C869" w14:textId="77777777" w:rsidR="00B02873" w:rsidRPr="00663288" w:rsidRDefault="00B02873" w:rsidP="00946796">
            <w:pPr>
              <w:pStyle w:val="TablebodyleftFinancialsTables"/>
              <w:jc w:val="right"/>
              <w:rPr>
                <w:rFonts w:asciiTheme="minorHAnsi" w:hAnsiTheme="minorHAnsi" w:cstheme="minorHAnsi"/>
                <w:sz w:val="18"/>
                <w:szCs w:val="18"/>
              </w:rPr>
            </w:pPr>
            <w:r w:rsidRPr="00663288">
              <w:rPr>
                <w:rFonts w:asciiTheme="minorHAnsi" w:hAnsiTheme="minorHAnsi" w:cstheme="minorHAnsi"/>
                <w:sz w:val="18"/>
                <w:szCs w:val="18"/>
              </w:rPr>
              <w:t>(270,859)</w:t>
            </w:r>
          </w:p>
        </w:tc>
      </w:tr>
      <w:tr w:rsidR="00B02873" w:rsidRPr="00663288" w14:paraId="617BCA5A" w14:textId="77777777" w:rsidTr="009B3AE1">
        <w:trPr>
          <w:trHeight w:val="60"/>
        </w:trPr>
        <w:tc>
          <w:tcPr>
            <w:tcW w:w="2551" w:type="dxa"/>
          </w:tcPr>
          <w:p w14:paraId="28F2481B" w14:textId="77777777" w:rsidR="00B02873" w:rsidRPr="00663288" w:rsidRDefault="00B02873" w:rsidP="00B96D7F">
            <w:pPr>
              <w:pStyle w:val="TablebodyleftFinancialsTables"/>
              <w:rPr>
                <w:rFonts w:asciiTheme="minorHAnsi" w:hAnsiTheme="minorHAnsi" w:cstheme="minorHAnsi"/>
                <w:sz w:val="18"/>
                <w:szCs w:val="18"/>
              </w:rPr>
            </w:pPr>
            <w:r w:rsidRPr="00663288">
              <w:rPr>
                <w:rFonts w:asciiTheme="minorHAnsi" w:hAnsiTheme="minorHAnsi" w:cstheme="minorHAnsi"/>
                <w:sz w:val="18"/>
                <w:szCs w:val="18"/>
              </w:rPr>
              <w:t>Supplies and services</w:t>
            </w:r>
          </w:p>
        </w:tc>
        <w:tc>
          <w:tcPr>
            <w:tcW w:w="988" w:type="dxa"/>
          </w:tcPr>
          <w:p w14:paraId="71C4FF09" w14:textId="77777777" w:rsidR="00B02873" w:rsidRPr="00946796" w:rsidRDefault="00B02873" w:rsidP="00946796">
            <w:pPr>
              <w:pStyle w:val="TablebodyleftFinancialsTables"/>
              <w:jc w:val="right"/>
              <w:rPr>
                <w:rFonts w:asciiTheme="minorHAnsi" w:hAnsiTheme="minorHAnsi" w:cstheme="minorHAnsi"/>
                <w:b/>
                <w:bCs/>
                <w:sz w:val="18"/>
                <w:szCs w:val="18"/>
              </w:rPr>
            </w:pPr>
            <w:r w:rsidRPr="00946796">
              <w:rPr>
                <w:rFonts w:asciiTheme="minorHAnsi" w:hAnsiTheme="minorHAnsi" w:cstheme="minorHAnsi"/>
                <w:b/>
                <w:bCs/>
                <w:sz w:val="18"/>
                <w:szCs w:val="18"/>
              </w:rPr>
              <w:t>(47,741)</w:t>
            </w:r>
          </w:p>
        </w:tc>
        <w:tc>
          <w:tcPr>
            <w:tcW w:w="988" w:type="dxa"/>
          </w:tcPr>
          <w:p w14:paraId="2D78FB33" w14:textId="77777777" w:rsidR="00B02873" w:rsidRPr="00663288" w:rsidRDefault="00B02873" w:rsidP="00946796">
            <w:pPr>
              <w:pStyle w:val="TablebodyleftFinancialsTables"/>
              <w:jc w:val="right"/>
              <w:rPr>
                <w:rFonts w:asciiTheme="minorHAnsi" w:hAnsiTheme="minorHAnsi" w:cstheme="minorHAnsi"/>
                <w:sz w:val="18"/>
                <w:szCs w:val="18"/>
              </w:rPr>
            </w:pPr>
            <w:r w:rsidRPr="00663288">
              <w:rPr>
                <w:rFonts w:asciiTheme="minorHAnsi" w:hAnsiTheme="minorHAnsi" w:cstheme="minorHAnsi"/>
                <w:sz w:val="18"/>
                <w:szCs w:val="18"/>
              </w:rPr>
              <w:t>(44,014)</w:t>
            </w:r>
          </w:p>
        </w:tc>
        <w:tc>
          <w:tcPr>
            <w:tcW w:w="1280" w:type="dxa"/>
          </w:tcPr>
          <w:p w14:paraId="1549A1FB" w14:textId="77777777" w:rsidR="00B02873" w:rsidRPr="00946796" w:rsidRDefault="00B02873" w:rsidP="00946796">
            <w:pPr>
              <w:pStyle w:val="TablebodyleftFinancialsTables"/>
              <w:jc w:val="right"/>
              <w:rPr>
                <w:rFonts w:asciiTheme="minorHAnsi" w:hAnsiTheme="minorHAnsi" w:cstheme="minorHAnsi"/>
                <w:b/>
                <w:bCs/>
                <w:sz w:val="18"/>
                <w:szCs w:val="18"/>
              </w:rPr>
            </w:pPr>
            <w:r w:rsidRPr="00946796">
              <w:rPr>
                <w:rFonts w:asciiTheme="minorHAnsi" w:hAnsiTheme="minorHAnsi" w:cstheme="minorHAnsi"/>
                <w:b/>
                <w:bCs/>
                <w:sz w:val="18"/>
                <w:szCs w:val="18"/>
              </w:rPr>
              <w:t>(94,468)</w:t>
            </w:r>
          </w:p>
        </w:tc>
        <w:tc>
          <w:tcPr>
            <w:tcW w:w="1276" w:type="dxa"/>
          </w:tcPr>
          <w:p w14:paraId="44D7D47A" w14:textId="77777777" w:rsidR="00B02873" w:rsidRPr="00663288" w:rsidRDefault="00B02873" w:rsidP="00946796">
            <w:pPr>
              <w:pStyle w:val="TablebodyleftFinancialsTables"/>
              <w:jc w:val="right"/>
              <w:rPr>
                <w:rFonts w:asciiTheme="minorHAnsi" w:hAnsiTheme="minorHAnsi" w:cstheme="minorHAnsi"/>
                <w:sz w:val="18"/>
                <w:szCs w:val="18"/>
              </w:rPr>
            </w:pPr>
            <w:r w:rsidRPr="00663288">
              <w:rPr>
                <w:rFonts w:asciiTheme="minorHAnsi" w:hAnsiTheme="minorHAnsi" w:cstheme="minorHAnsi"/>
                <w:sz w:val="18"/>
                <w:szCs w:val="18"/>
              </w:rPr>
              <w:t>(28,093)</w:t>
            </w:r>
          </w:p>
        </w:tc>
        <w:tc>
          <w:tcPr>
            <w:tcW w:w="1417" w:type="dxa"/>
          </w:tcPr>
          <w:p w14:paraId="26FF324D" w14:textId="77777777" w:rsidR="00B02873" w:rsidRPr="00946796" w:rsidRDefault="00B02873" w:rsidP="00946796">
            <w:pPr>
              <w:pStyle w:val="TablebodyleftFinancialsTables"/>
              <w:jc w:val="right"/>
              <w:rPr>
                <w:rFonts w:asciiTheme="minorHAnsi" w:hAnsiTheme="minorHAnsi" w:cstheme="minorHAnsi"/>
                <w:b/>
                <w:bCs/>
                <w:sz w:val="18"/>
                <w:szCs w:val="18"/>
              </w:rPr>
            </w:pPr>
            <w:r w:rsidRPr="00946796">
              <w:rPr>
                <w:rFonts w:asciiTheme="minorHAnsi" w:hAnsiTheme="minorHAnsi" w:cstheme="minorHAnsi"/>
                <w:b/>
                <w:bCs/>
                <w:sz w:val="18"/>
                <w:szCs w:val="18"/>
              </w:rPr>
              <w:t>(1,558)</w:t>
            </w:r>
          </w:p>
        </w:tc>
        <w:tc>
          <w:tcPr>
            <w:tcW w:w="1418" w:type="dxa"/>
          </w:tcPr>
          <w:p w14:paraId="27396F9E" w14:textId="77777777" w:rsidR="00B02873" w:rsidRPr="00663288" w:rsidRDefault="00B02873" w:rsidP="00946796">
            <w:pPr>
              <w:pStyle w:val="TablebodyleftFinancialsTables"/>
              <w:jc w:val="right"/>
              <w:rPr>
                <w:rFonts w:asciiTheme="minorHAnsi" w:hAnsiTheme="minorHAnsi" w:cstheme="minorHAnsi"/>
                <w:sz w:val="18"/>
                <w:szCs w:val="18"/>
              </w:rPr>
            </w:pPr>
            <w:r w:rsidRPr="00663288">
              <w:rPr>
                <w:rFonts w:asciiTheme="minorHAnsi" w:hAnsiTheme="minorHAnsi" w:cstheme="minorHAnsi"/>
                <w:sz w:val="18"/>
                <w:szCs w:val="18"/>
              </w:rPr>
              <w:t>(1,391)</w:t>
            </w:r>
          </w:p>
        </w:tc>
      </w:tr>
      <w:tr w:rsidR="00B02873" w:rsidRPr="00663288" w14:paraId="2AC7369F" w14:textId="77777777" w:rsidTr="009B3AE1">
        <w:trPr>
          <w:trHeight w:val="60"/>
        </w:trPr>
        <w:tc>
          <w:tcPr>
            <w:tcW w:w="2551" w:type="dxa"/>
          </w:tcPr>
          <w:p w14:paraId="650EC33F" w14:textId="77777777" w:rsidR="00B02873" w:rsidRPr="00663288" w:rsidRDefault="00B02873" w:rsidP="00B96D7F">
            <w:pPr>
              <w:pStyle w:val="TablebodyleftFinancialsTables"/>
              <w:rPr>
                <w:rFonts w:asciiTheme="minorHAnsi" w:hAnsiTheme="minorHAnsi" w:cstheme="minorHAnsi"/>
                <w:sz w:val="18"/>
                <w:szCs w:val="18"/>
              </w:rPr>
            </w:pPr>
            <w:r w:rsidRPr="00663288">
              <w:rPr>
                <w:rFonts w:asciiTheme="minorHAnsi" w:hAnsiTheme="minorHAnsi" w:cstheme="minorHAnsi"/>
                <w:sz w:val="18"/>
                <w:szCs w:val="18"/>
              </w:rPr>
              <w:t>Depreciation and amortisation</w:t>
            </w:r>
          </w:p>
        </w:tc>
        <w:tc>
          <w:tcPr>
            <w:tcW w:w="988" w:type="dxa"/>
          </w:tcPr>
          <w:p w14:paraId="02653EF4" w14:textId="77777777" w:rsidR="00B02873" w:rsidRPr="00946796" w:rsidRDefault="00B02873" w:rsidP="00946796">
            <w:pPr>
              <w:pStyle w:val="TablebodyleftFinancialsTables"/>
              <w:jc w:val="right"/>
              <w:rPr>
                <w:rFonts w:asciiTheme="minorHAnsi" w:hAnsiTheme="minorHAnsi" w:cstheme="minorHAnsi"/>
                <w:b/>
                <w:bCs/>
                <w:sz w:val="18"/>
                <w:szCs w:val="18"/>
              </w:rPr>
            </w:pPr>
            <w:r w:rsidRPr="00946796">
              <w:rPr>
                <w:rFonts w:asciiTheme="minorHAnsi" w:hAnsiTheme="minorHAnsi" w:cstheme="minorHAnsi"/>
                <w:b/>
                <w:bCs/>
                <w:sz w:val="18"/>
                <w:szCs w:val="18"/>
              </w:rPr>
              <w:t>(3,970)</w:t>
            </w:r>
          </w:p>
        </w:tc>
        <w:tc>
          <w:tcPr>
            <w:tcW w:w="988" w:type="dxa"/>
          </w:tcPr>
          <w:p w14:paraId="012CBBCF" w14:textId="77777777" w:rsidR="00B02873" w:rsidRPr="00663288" w:rsidRDefault="00B02873" w:rsidP="00946796">
            <w:pPr>
              <w:pStyle w:val="TablebodyleftFinancialsTables"/>
              <w:jc w:val="right"/>
              <w:rPr>
                <w:rFonts w:asciiTheme="minorHAnsi" w:hAnsiTheme="minorHAnsi" w:cstheme="minorHAnsi"/>
                <w:sz w:val="18"/>
                <w:szCs w:val="18"/>
              </w:rPr>
            </w:pPr>
            <w:r w:rsidRPr="00663288">
              <w:rPr>
                <w:rFonts w:asciiTheme="minorHAnsi" w:hAnsiTheme="minorHAnsi" w:cstheme="minorHAnsi"/>
                <w:sz w:val="18"/>
                <w:szCs w:val="18"/>
              </w:rPr>
              <w:t>(3,419)</w:t>
            </w:r>
          </w:p>
        </w:tc>
        <w:tc>
          <w:tcPr>
            <w:tcW w:w="1280" w:type="dxa"/>
          </w:tcPr>
          <w:p w14:paraId="2C2DAB47" w14:textId="77777777" w:rsidR="00B02873" w:rsidRPr="00946796" w:rsidRDefault="00B02873" w:rsidP="00946796">
            <w:pPr>
              <w:pStyle w:val="TablebodyleftFinancialsTables"/>
              <w:jc w:val="right"/>
              <w:rPr>
                <w:rFonts w:asciiTheme="minorHAnsi" w:hAnsiTheme="minorHAnsi" w:cstheme="minorHAnsi"/>
                <w:b/>
                <w:bCs/>
                <w:sz w:val="18"/>
                <w:szCs w:val="18"/>
              </w:rPr>
            </w:pPr>
            <w:r w:rsidRPr="00946796">
              <w:rPr>
                <w:rFonts w:asciiTheme="minorHAnsi" w:hAnsiTheme="minorHAnsi" w:cstheme="minorHAnsi"/>
                <w:b/>
                <w:bCs/>
                <w:sz w:val="18"/>
                <w:szCs w:val="18"/>
              </w:rPr>
              <w:t>(2,836)</w:t>
            </w:r>
          </w:p>
        </w:tc>
        <w:tc>
          <w:tcPr>
            <w:tcW w:w="1276" w:type="dxa"/>
          </w:tcPr>
          <w:p w14:paraId="6F107A4E" w14:textId="77777777" w:rsidR="00B02873" w:rsidRPr="00663288" w:rsidRDefault="00B02873" w:rsidP="00946796">
            <w:pPr>
              <w:pStyle w:val="TablebodyleftFinancialsTables"/>
              <w:jc w:val="right"/>
              <w:rPr>
                <w:rFonts w:asciiTheme="minorHAnsi" w:hAnsiTheme="minorHAnsi" w:cstheme="minorHAnsi"/>
                <w:sz w:val="18"/>
                <w:szCs w:val="18"/>
              </w:rPr>
            </w:pPr>
            <w:r w:rsidRPr="00663288">
              <w:rPr>
                <w:rFonts w:asciiTheme="minorHAnsi" w:hAnsiTheme="minorHAnsi" w:cstheme="minorHAnsi"/>
                <w:sz w:val="18"/>
                <w:szCs w:val="18"/>
              </w:rPr>
              <w:t>(3,033)</w:t>
            </w:r>
          </w:p>
        </w:tc>
        <w:tc>
          <w:tcPr>
            <w:tcW w:w="1417" w:type="dxa"/>
          </w:tcPr>
          <w:p w14:paraId="6631063F" w14:textId="77777777" w:rsidR="00B02873" w:rsidRPr="00946796" w:rsidRDefault="00B02873" w:rsidP="00946796">
            <w:pPr>
              <w:pStyle w:val="TablebodyleftFinancialsTables"/>
              <w:jc w:val="right"/>
              <w:rPr>
                <w:rFonts w:asciiTheme="minorHAnsi" w:hAnsiTheme="minorHAnsi" w:cstheme="minorHAnsi"/>
                <w:b/>
                <w:bCs/>
                <w:sz w:val="18"/>
                <w:szCs w:val="18"/>
              </w:rPr>
            </w:pPr>
            <w:r w:rsidRPr="00946796">
              <w:rPr>
                <w:rFonts w:asciiTheme="minorHAnsi" w:hAnsiTheme="minorHAnsi" w:cstheme="minorHAnsi"/>
                <w:b/>
                <w:bCs/>
                <w:sz w:val="18"/>
                <w:szCs w:val="18"/>
              </w:rPr>
              <w:t>–</w:t>
            </w:r>
          </w:p>
        </w:tc>
        <w:tc>
          <w:tcPr>
            <w:tcW w:w="1418" w:type="dxa"/>
          </w:tcPr>
          <w:p w14:paraId="01C98385" w14:textId="77777777" w:rsidR="00B02873" w:rsidRPr="00663288" w:rsidRDefault="00B02873" w:rsidP="00946796">
            <w:pPr>
              <w:pStyle w:val="TablebodyleftFinancialsTables"/>
              <w:jc w:val="right"/>
              <w:rPr>
                <w:rFonts w:asciiTheme="minorHAnsi" w:hAnsiTheme="minorHAnsi" w:cstheme="minorHAnsi"/>
                <w:sz w:val="18"/>
                <w:szCs w:val="18"/>
              </w:rPr>
            </w:pPr>
            <w:r w:rsidRPr="00663288">
              <w:rPr>
                <w:rFonts w:asciiTheme="minorHAnsi" w:hAnsiTheme="minorHAnsi" w:cstheme="minorHAnsi"/>
                <w:sz w:val="18"/>
                <w:szCs w:val="18"/>
              </w:rPr>
              <w:t>–</w:t>
            </w:r>
          </w:p>
        </w:tc>
      </w:tr>
      <w:tr w:rsidR="00B02873" w:rsidRPr="00663288" w14:paraId="18302B87" w14:textId="77777777" w:rsidTr="009B3AE1">
        <w:trPr>
          <w:trHeight w:val="60"/>
        </w:trPr>
        <w:tc>
          <w:tcPr>
            <w:tcW w:w="2551" w:type="dxa"/>
          </w:tcPr>
          <w:p w14:paraId="3787392C" w14:textId="77777777" w:rsidR="00B02873" w:rsidRPr="00663288" w:rsidRDefault="00B02873" w:rsidP="00B96D7F">
            <w:pPr>
              <w:pStyle w:val="TablebodyleftFinancialsTables"/>
              <w:rPr>
                <w:rFonts w:asciiTheme="minorHAnsi" w:hAnsiTheme="minorHAnsi" w:cstheme="minorHAnsi"/>
                <w:sz w:val="18"/>
                <w:szCs w:val="18"/>
              </w:rPr>
            </w:pPr>
            <w:r w:rsidRPr="00663288">
              <w:rPr>
                <w:rFonts w:asciiTheme="minorHAnsi" w:hAnsiTheme="minorHAnsi" w:cstheme="minorHAnsi"/>
                <w:sz w:val="18"/>
                <w:szCs w:val="18"/>
              </w:rPr>
              <w:t>Capital asset charge</w:t>
            </w:r>
          </w:p>
        </w:tc>
        <w:tc>
          <w:tcPr>
            <w:tcW w:w="988" w:type="dxa"/>
          </w:tcPr>
          <w:p w14:paraId="59A91B6F" w14:textId="77777777" w:rsidR="00B02873" w:rsidRPr="00946796" w:rsidRDefault="00B02873" w:rsidP="00946796">
            <w:pPr>
              <w:pStyle w:val="TablebodyleftFinancialsTables"/>
              <w:jc w:val="right"/>
              <w:rPr>
                <w:rFonts w:asciiTheme="minorHAnsi" w:hAnsiTheme="minorHAnsi" w:cstheme="minorHAnsi"/>
                <w:b/>
                <w:bCs/>
                <w:sz w:val="18"/>
                <w:szCs w:val="18"/>
              </w:rPr>
            </w:pPr>
            <w:r w:rsidRPr="00946796">
              <w:rPr>
                <w:rFonts w:asciiTheme="minorHAnsi" w:hAnsiTheme="minorHAnsi" w:cstheme="minorHAnsi"/>
                <w:b/>
                <w:bCs/>
                <w:sz w:val="18"/>
                <w:szCs w:val="18"/>
              </w:rPr>
              <w:t>–</w:t>
            </w:r>
          </w:p>
        </w:tc>
        <w:tc>
          <w:tcPr>
            <w:tcW w:w="988" w:type="dxa"/>
          </w:tcPr>
          <w:p w14:paraId="478E51FB" w14:textId="77777777" w:rsidR="00B02873" w:rsidRPr="00663288" w:rsidRDefault="00B02873" w:rsidP="00946796">
            <w:pPr>
              <w:pStyle w:val="TablebodyleftFinancialsTables"/>
              <w:jc w:val="right"/>
              <w:rPr>
                <w:rFonts w:asciiTheme="minorHAnsi" w:hAnsiTheme="minorHAnsi" w:cstheme="minorHAnsi"/>
                <w:sz w:val="18"/>
                <w:szCs w:val="18"/>
              </w:rPr>
            </w:pPr>
            <w:r w:rsidRPr="00663288">
              <w:rPr>
                <w:rFonts w:asciiTheme="minorHAnsi" w:hAnsiTheme="minorHAnsi" w:cstheme="minorHAnsi"/>
                <w:sz w:val="18"/>
                <w:szCs w:val="18"/>
              </w:rPr>
              <w:t>(16,188)</w:t>
            </w:r>
          </w:p>
        </w:tc>
        <w:tc>
          <w:tcPr>
            <w:tcW w:w="1280" w:type="dxa"/>
          </w:tcPr>
          <w:p w14:paraId="39EBF029" w14:textId="77777777" w:rsidR="00B02873" w:rsidRPr="00946796" w:rsidRDefault="00B02873" w:rsidP="00946796">
            <w:pPr>
              <w:pStyle w:val="TablebodyleftFinancialsTables"/>
              <w:jc w:val="right"/>
              <w:rPr>
                <w:rFonts w:asciiTheme="minorHAnsi" w:hAnsiTheme="minorHAnsi" w:cstheme="minorHAnsi"/>
                <w:b/>
                <w:bCs/>
                <w:sz w:val="18"/>
                <w:szCs w:val="18"/>
              </w:rPr>
            </w:pPr>
            <w:r w:rsidRPr="00946796">
              <w:rPr>
                <w:rFonts w:asciiTheme="minorHAnsi" w:hAnsiTheme="minorHAnsi" w:cstheme="minorHAnsi"/>
                <w:b/>
                <w:bCs/>
                <w:sz w:val="18"/>
                <w:szCs w:val="18"/>
              </w:rPr>
              <w:t>–</w:t>
            </w:r>
          </w:p>
        </w:tc>
        <w:tc>
          <w:tcPr>
            <w:tcW w:w="1276" w:type="dxa"/>
          </w:tcPr>
          <w:p w14:paraId="2B6936E7" w14:textId="77777777" w:rsidR="00B02873" w:rsidRPr="00663288" w:rsidRDefault="00B02873" w:rsidP="00946796">
            <w:pPr>
              <w:pStyle w:val="TablebodyleftFinancialsTables"/>
              <w:jc w:val="right"/>
              <w:rPr>
                <w:rFonts w:asciiTheme="minorHAnsi" w:hAnsiTheme="minorHAnsi" w:cstheme="minorHAnsi"/>
                <w:sz w:val="18"/>
                <w:szCs w:val="18"/>
              </w:rPr>
            </w:pPr>
            <w:r w:rsidRPr="00663288">
              <w:rPr>
                <w:rFonts w:asciiTheme="minorHAnsi" w:hAnsiTheme="minorHAnsi" w:cstheme="minorHAnsi"/>
                <w:sz w:val="18"/>
                <w:szCs w:val="18"/>
              </w:rPr>
              <w:t>(3,136)</w:t>
            </w:r>
          </w:p>
        </w:tc>
        <w:tc>
          <w:tcPr>
            <w:tcW w:w="1417" w:type="dxa"/>
          </w:tcPr>
          <w:p w14:paraId="7E6C05DE" w14:textId="77777777" w:rsidR="00B02873" w:rsidRPr="00946796" w:rsidRDefault="00B02873" w:rsidP="00946796">
            <w:pPr>
              <w:pStyle w:val="TablebodyleftFinancialsTables"/>
              <w:jc w:val="right"/>
              <w:rPr>
                <w:rFonts w:asciiTheme="minorHAnsi" w:hAnsiTheme="minorHAnsi" w:cstheme="minorHAnsi"/>
                <w:b/>
                <w:bCs/>
                <w:sz w:val="18"/>
                <w:szCs w:val="18"/>
              </w:rPr>
            </w:pPr>
            <w:r w:rsidRPr="00946796">
              <w:rPr>
                <w:rFonts w:asciiTheme="minorHAnsi" w:hAnsiTheme="minorHAnsi" w:cstheme="minorHAnsi"/>
                <w:b/>
                <w:bCs/>
                <w:sz w:val="18"/>
                <w:szCs w:val="18"/>
              </w:rPr>
              <w:t>–</w:t>
            </w:r>
          </w:p>
        </w:tc>
        <w:tc>
          <w:tcPr>
            <w:tcW w:w="1418" w:type="dxa"/>
          </w:tcPr>
          <w:p w14:paraId="112A2092" w14:textId="77777777" w:rsidR="00B02873" w:rsidRPr="00663288" w:rsidRDefault="00B02873" w:rsidP="00946796">
            <w:pPr>
              <w:pStyle w:val="TablebodyleftFinancialsTables"/>
              <w:jc w:val="right"/>
              <w:rPr>
                <w:rFonts w:asciiTheme="minorHAnsi" w:hAnsiTheme="minorHAnsi" w:cstheme="minorHAnsi"/>
                <w:sz w:val="18"/>
                <w:szCs w:val="18"/>
              </w:rPr>
            </w:pPr>
            <w:r w:rsidRPr="00663288">
              <w:rPr>
                <w:rFonts w:asciiTheme="minorHAnsi" w:hAnsiTheme="minorHAnsi" w:cstheme="minorHAnsi"/>
                <w:sz w:val="18"/>
                <w:szCs w:val="18"/>
              </w:rPr>
              <w:t>–</w:t>
            </w:r>
          </w:p>
        </w:tc>
      </w:tr>
      <w:tr w:rsidR="00B02873" w:rsidRPr="00663288" w14:paraId="230653A6" w14:textId="77777777" w:rsidTr="009B3AE1">
        <w:trPr>
          <w:trHeight w:val="60"/>
        </w:trPr>
        <w:tc>
          <w:tcPr>
            <w:tcW w:w="2551" w:type="dxa"/>
          </w:tcPr>
          <w:p w14:paraId="0B028D26" w14:textId="77777777" w:rsidR="00B02873" w:rsidRPr="00663288" w:rsidRDefault="00B02873" w:rsidP="00B96D7F">
            <w:pPr>
              <w:pStyle w:val="TablebodyleftFinancialsTables"/>
              <w:rPr>
                <w:rFonts w:asciiTheme="minorHAnsi" w:hAnsiTheme="minorHAnsi" w:cstheme="minorHAnsi"/>
                <w:sz w:val="18"/>
                <w:szCs w:val="18"/>
              </w:rPr>
            </w:pPr>
            <w:r w:rsidRPr="00663288">
              <w:rPr>
                <w:rFonts w:asciiTheme="minorHAnsi" w:hAnsiTheme="minorHAnsi" w:cstheme="minorHAnsi"/>
                <w:sz w:val="18"/>
                <w:szCs w:val="18"/>
              </w:rPr>
              <w:t>Initial recognition expense from financial instruments</w:t>
            </w:r>
          </w:p>
        </w:tc>
        <w:tc>
          <w:tcPr>
            <w:tcW w:w="988" w:type="dxa"/>
          </w:tcPr>
          <w:p w14:paraId="7BED99A2" w14:textId="77777777" w:rsidR="00B02873" w:rsidRPr="00946796" w:rsidRDefault="00B02873" w:rsidP="00946796">
            <w:pPr>
              <w:pStyle w:val="TablebodyleftFinancialsTables"/>
              <w:jc w:val="right"/>
              <w:rPr>
                <w:rFonts w:asciiTheme="minorHAnsi" w:hAnsiTheme="minorHAnsi" w:cstheme="minorHAnsi"/>
                <w:b/>
                <w:bCs/>
                <w:sz w:val="18"/>
                <w:szCs w:val="18"/>
              </w:rPr>
            </w:pPr>
            <w:r w:rsidRPr="00946796">
              <w:rPr>
                <w:rFonts w:asciiTheme="minorHAnsi" w:hAnsiTheme="minorHAnsi" w:cstheme="minorHAnsi"/>
                <w:b/>
                <w:bCs/>
                <w:sz w:val="18"/>
                <w:szCs w:val="18"/>
              </w:rPr>
              <w:t>–</w:t>
            </w:r>
          </w:p>
        </w:tc>
        <w:tc>
          <w:tcPr>
            <w:tcW w:w="988" w:type="dxa"/>
          </w:tcPr>
          <w:p w14:paraId="652BC9D8" w14:textId="77777777" w:rsidR="00B02873" w:rsidRPr="00663288" w:rsidRDefault="00B02873" w:rsidP="00946796">
            <w:pPr>
              <w:pStyle w:val="TablebodyleftFinancialsTables"/>
              <w:jc w:val="right"/>
              <w:rPr>
                <w:rFonts w:asciiTheme="minorHAnsi" w:hAnsiTheme="minorHAnsi" w:cstheme="minorHAnsi"/>
                <w:sz w:val="18"/>
                <w:szCs w:val="18"/>
              </w:rPr>
            </w:pPr>
            <w:r w:rsidRPr="00663288">
              <w:rPr>
                <w:rFonts w:asciiTheme="minorHAnsi" w:hAnsiTheme="minorHAnsi" w:cstheme="minorHAnsi"/>
                <w:sz w:val="18"/>
                <w:szCs w:val="18"/>
              </w:rPr>
              <w:t>–</w:t>
            </w:r>
          </w:p>
        </w:tc>
        <w:tc>
          <w:tcPr>
            <w:tcW w:w="1280" w:type="dxa"/>
          </w:tcPr>
          <w:p w14:paraId="5BEB562F" w14:textId="77777777" w:rsidR="00B02873" w:rsidRPr="00946796" w:rsidRDefault="00B02873" w:rsidP="00946796">
            <w:pPr>
              <w:pStyle w:val="TablebodyleftFinancialsTables"/>
              <w:jc w:val="right"/>
              <w:rPr>
                <w:rFonts w:asciiTheme="minorHAnsi" w:hAnsiTheme="minorHAnsi" w:cstheme="minorHAnsi"/>
                <w:b/>
                <w:bCs/>
                <w:sz w:val="18"/>
                <w:szCs w:val="18"/>
              </w:rPr>
            </w:pPr>
            <w:r w:rsidRPr="00946796">
              <w:rPr>
                <w:rFonts w:asciiTheme="minorHAnsi" w:hAnsiTheme="minorHAnsi" w:cstheme="minorHAnsi"/>
                <w:b/>
                <w:bCs/>
                <w:sz w:val="18"/>
                <w:szCs w:val="18"/>
              </w:rPr>
              <w:t>–</w:t>
            </w:r>
          </w:p>
        </w:tc>
        <w:tc>
          <w:tcPr>
            <w:tcW w:w="1276" w:type="dxa"/>
          </w:tcPr>
          <w:p w14:paraId="6E56266F" w14:textId="77777777" w:rsidR="00B02873" w:rsidRPr="00663288" w:rsidRDefault="00B02873" w:rsidP="00946796">
            <w:pPr>
              <w:pStyle w:val="TablebodyleftFinancialsTables"/>
              <w:jc w:val="right"/>
              <w:rPr>
                <w:rFonts w:asciiTheme="minorHAnsi" w:hAnsiTheme="minorHAnsi" w:cstheme="minorHAnsi"/>
                <w:sz w:val="18"/>
                <w:szCs w:val="18"/>
              </w:rPr>
            </w:pPr>
            <w:r w:rsidRPr="00663288">
              <w:rPr>
                <w:rFonts w:asciiTheme="minorHAnsi" w:hAnsiTheme="minorHAnsi" w:cstheme="minorHAnsi"/>
                <w:sz w:val="18"/>
                <w:szCs w:val="18"/>
              </w:rPr>
              <w:t>–</w:t>
            </w:r>
          </w:p>
        </w:tc>
        <w:tc>
          <w:tcPr>
            <w:tcW w:w="1417" w:type="dxa"/>
          </w:tcPr>
          <w:p w14:paraId="7A0D5699" w14:textId="77777777" w:rsidR="00B02873" w:rsidRPr="00946796" w:rsidRDefault="00B02873" w:rsidP="00946796">
            <w:pPr>
              <w:pStyle w:val="TablebodyleftFinancialsTables"/>
              <w:jc w:val="right"/>
              <w:rPr>
                <w:rFonts w:asciiTheme="minorHAnsi" w:hAnsiTheme="minorHAnsi" w:cstheme="minorHAnsi"/>
                <w:b/>
                <w:bCs/>
                <w:sz w:val="18"/>
                <w:szCs w:val="18"/>
              </w:rPr>
            </w:pPr>
            <w:r w:rsidRPr="00946796">
              <w:rPr>
                <w:rFonts w:asciiTheme="minorHAnsi" w:hAnsiTheme="minorHAnsi" w:cstheme="minorHAnsi"/>
                <w:b/>
                <w:bCs/>
                <w:sz w:val="18"/>
                <w:szCs w:val="18"/>
              </w:rPr>
              <w:t>–</w:t>
            </w:r>
          </w:p>
        </w:tc>
        <w:tc>
          <w:tcPr>
            <w:tcW w:w="1418" w:type="dxa"/>
          </w:tcPr>
          <w:p w14:paraId="6CC02989" w14:textId="77777777" w:rsidR="00B02873" w:rsidRPr="00663288" w:rsidRDefault="00B02873" w:rsidP="00946796">
            <w:pPr>
              <w:pStyle w:val="TablebodyleftFinancialsTables"/>
              <w:jc w:val="right"/>
              <w:rPr>
                <w:rFonts w:asciiTheme="minorHAnsi" w:hAnsiTheme="minorHAnsi" w:cstheme="minorHAnsi"/>
                <w:sz w:val="18"/>
                <w:szCs w:val="18"/>
              </w:rPr>
            </w:pPr>
            <w:r w:rsidRPr="00663288">
              <w:rPr>
                <w:rFonts w:asciiTheme="minorHAnsi" w:hAnsiTheme="minorHAnsi" w:cstheme="minorHAnsi"/>
                <w:sz w:val="18"/>
                <w:szCs w:val="18"/>
              </w:rPr>
              <w:t>–</w:t>
            </w:r>
          </w:p>
        </w:tc>
      </w:tr>
      <w:tr w:rsidR="00B02873" w:rsidRPr="00663288" w14:paraId="0B00AA48" w14:textId="77777777" w:rsidTr="009B3AE1">
        <w:trPr>
          <w:trHeight w:val="60"/>
        </w:trPr>
        <w:tc>
          <w:tcPr>
            <w:tcW w:w="2551" w:type="dxa"/>
          </w:tcPr>
          <w:p w14:paraId="44C3C9EA" w14:textId="77777777" w:rsidR="00B02873" w:rsidRPr="00663288" w:rsidRDefault="00B02873" w:rsidP="00B96D7F">
            <w:pPr>
              <w:pStyle w:val="TablebodyleftFinancialsTables"/>
              <w:rPr>
                <w:rFonts w:asciiTheme="minorHAnsi" w:hAnsiTheme="minorHAnsi" w:cstheme="minorHAnsi"/>
                <w:sz w:val="18"/>
                <w:szCs w:val="18"/>
              </w:rPr>
            </w:pPr>
            <w:r w:rsidRPr="00663288">
              <w:rPr>
                <w:rFonts w:asciiTheme="minorHAnsi" w:hAnsiTheme="minorHAnsi" w:cstheme="minorHAnsi"/>
                <w:sz w:val="18"/>
                <w:szCs w:val="18"/>
              </w:rPr>
              <w:t>Interest expense</w:t>
            </w:r>
          </w:p>
        </w:tc>
        <w:tc>
          <w:tcPr>
            <w:tcW w:w="988" w:type="dxa"/>
          </w:tcPr>
          <w:p w14:paraId="26260235" w14:textId="77777777" w:rsidR="00B02873" w:rsidRPr="00946796" w:rsidRDefault="00B02873" w:rsidP="00946796">
            <w:pPr>
              <w:pStyle w:val="TablebodyleftFinancialsTables"/>
              <w:jc w:val="right"/>
              <w:rPr>
                <w:rFonts w:asciiTheme="minorHAnsi" w:hAnsiTheme="minorHAnsi" w:cstheme="minorHAnsi"/>
                <w:b/>
                <w:bCs/>
                <w:sz w:val="18"/>
                <w:szCs w:val="18"/>
              </w:rPr>
            </w:pPr>
            <w:r w:rsidRPr="00946796">
              <w:rPr>
                <w:rFonts w:asciiTheme="minorHAnsi" w:hAnsiTheme="minorHAnsi" w:cstheme="minorHAnsi"/>
                <w:b/>
                <w:bCs/>
                <w:sz w:val="18"/>
                <w:szCs w:val="18"/>
              </w:rPr>
              <w:t>26</w:t>
            </w:r>
          </w:p>
        </w:tc>
        <w:tc>
          <w:tcPr>
            <w:tcW w:w="988" w:type="dxa"/>
          </w:tcPr>
          <w:p w14:paraId="1B2F69D2" w14:textId="77777777" w:rsidR="00B02873" w:rsidRPr="00663288" w:rsidRDefault="00B02873" w:rsidP="00946796">
            <w:pPr>
              <w:pStyle w:val="TablebodyleftFinancialsTables"/>
              <w:jc w:val="right"/>
              <w:rPr>
                <w:rFonts w:asciiTheme="minorHAnsi" w:hAnsiTheme="minorHAnsi" w:cstheme="minorHAnsi"/>
                <w:sz w:val="18"/>
                <w:szCs w:val="18"/>
              </w:rPr>
            </w:pPr>
            <w:r w:rsidRPr="00663288">
              <w:rPr>
                <w:rFonts w:asciiTheme="minorHAnsi" w:hAnsiTheme="minorHAnsi" w:cstheme="minorHAnsi"/>
                <w:sz w:val="18"/>
                <w:szCs w:val="18"/>
              </w:rPr>
              <w:t>(15)</w:t>
            </w:r>
          </w:p>
        </w:tc>
        <w:tc>
          <w:tcPr>
            <w:tcW w:w="1280" w:type="dxa"/>
          </w:tcPr>
          <w:p w14:paraId="04FB6A78" w14:textId="77777777" w:rsidR="00B02873" w:rsidRPr="00946796" w:rsidRDefault="00B02873" w:rsidP="00946796">
            <w:pPr>
              <w:pStyle w:val="TablebodyleftFinancialsTables"/>
              <w:jc w:val="right"/>
              <w:rPr>
                <w:rFonts w:asciiTheme="minorHAnsi" w:hAnsiTheme="minorHAnsi" w:cstheme="minorHAnsi"/>
                <w:b/>
                <w:bCs/>
                <w:sz w:val="18"/>
                <w:szCs w:val="18"/>
              </w:rPr>
            </w:pPr>
            <w:r w:rsidRPr="00946796">
              <w:rPr>
                <w:rFonts w:asciiTheme="minorHAnsi" w:hAnsiTheme="minorHAnsi" w:cstheme="minorHAnsi"/>
                <w:b/>
                <w:bCs/>
                <w:sz w:val="18"/>
                <w:szCs w:val="18"/>
              </w:rPr>
              <w:t>(56)</w:t>
            </w:r>
          </w:p>
        </w:tc>
        <w:tc>
          <w:tcPr>
            <w:tcW w:w="1276" w:type="dxa"/>
          </w:tcPr>
          <w:p w14:paraId="3C303484" w14:textId="77777777" w:rsidR="00B02873" w:rsidRPr="00663288" w:rsidRDefault="00B02873" w:rsidP="00946796">
            <w:pPr>
              <w:pStyle w:val="TablebodyleftFinancialsTables"/>
              <w:jc w:val="right"/>
              <w:rPr>
                <w:rFonts w:asciiTheme="minorHAnsi" w:hAnsiTheme="minorHAnsi" w:cstheme="minorHAnsi"/>
                <w:sz w:val="18"/>
                <w:szCs w:val="18"/>
              </w:rPr>
            </w:pPr>
            <w:r w:rsidRPr="00663288">
              <w:rPr>
                <w:rFonts w:asciiTheme="minorHAnsi" w:hAnsiTheme="minorHAnsi" w:cstheme="minorHAnsi"/>
                <w:sz w:val="18"/>
                <w:szCs w:val="18"/>
              </w:rPr>
              <w:t>(100)</w:t>
            </w:r>
          </w:p>
        </w:tc>
        <w:tc>
          <w:tcPr>
            <w:tcW w:w="1417" w:type="dxa"/>
          </w:tcPr>
          <w:p w14:paraId="205B8B44" w14:textId="77777777" w:rsidR="00B02873" w:rsidRPr="00946796" w:rsidRDefault="00B02873" w:rsidP="00946796">
            <w:pPr>
              <w:pStyle w:val="TablebodyleftFinancialsTables"/>
              <w:jc w:val="right"/>
              <w:rPr>
                <w:rFonts w:asciiTheme="minorHAnsi" w:hAnsiTheme="minorHAnsi" w:cstheme="minorHAnsi"/>
                <w:b/>
                <w:bCs/>
                <w:sz w:val="18"/>
                <w:szCs w:val="18"/>
              </w:rPr>
            </w:pPr>
            <w:r w:rsidRPr="00946796">
              <w:rPr>
                <w:rFonts w:asciiTheme="minorHAnsi" w:hAnsiTheme="minorHAnsi" w:cstheme="minorHAnsi"/>
                <w:b/>
                <w:bCs/>
                <w:sz w:val="18"/>
                <w:szCs w:val="18"/>
              </w:rPr>
              <w:t>–</w:t>
            </w:r>
          </w:p>
        </w:tc>
        <w:tc>
          <w:tcPr>
            <w:tcW w:w="1418" w:type="dxa"/>
          </w:tcPr>
          <w:p w14:paraId="72FA64F9" w14:textId="77777777" w:rsidR="00B02873" w:rsidRPr="00663288" w:rsidRDefault="00B02873" w:rsidP="00946796">
            <w:pPr>
              <w:pStyle w:val="TablebodyleftFinancialsTables"/>
              <w:jc w:val="right"/>
              <w:rPr>
                <w:rFonts w:asciiTheme="minorHAnsi" w:hAnsiTheme="minorHAnsi" w:cstheme="minorHAnsi"/>
                <w:sz w:val="18"/>
                <w:szCs w:val="18"/>
              </w:rPr>
            </w:pPr>
            <w:r w:rsidRPr="00663288">
              <w:rPr>
                <w:rFonts w:asciiTheme="minorHAnsi" w:hAnsiTheme="minorHAnsi" w:cstheme="minorHAnsi"/>
                <w:sz w:val="18"/>
                <w:szCs w:val="18"/>
              </w:rPr>
              <w:t>–</w:t>
            </w:r>
          </w:p>
        </w:tc>
      </w:tr>
      <w:tr w:rsidR="00B02873" w:rsidRPr="00663288" w14:paraId="53789764" w14:textId="77777777" w:rsidTr="009B3AE1">
        <w:trPr>
          <w:trHeight w:val="60"/>
        </w:trPr>
        <w:tc>
          <w:tcPr>
            <w:tcW w:w="2551" w:type="dxa"/>
          </w:tcPr>
          <w:p w14:paraId="33914F85" w14:textId="77777777" w:rsidR="00B02873" w:rsidRPr="00663288" w:rsidRDefault="00B02873" w:rsidP="00B96D7F">
            <w:pPr>
              <w:pStyle w:val="TablebodyleftFinancialsTables"/>
              <w:rPr>
                <w:rFonts w:asciiTheme="minorHAnsi" w:hAnsiTheme="minorHAnsi" w:cstheme="minorHAnsi"/>
                <w:sz w:val="18"/>
                <w:szCs w:val="18"/>
              </w:rPr>
            </w:pPr>
            <w:r w:rsidRPr="00663288">
              <w:rPr>
                <w:rFonts w:asciiTheme="minorHAnsi" w:hAnsiTheme="minorHAnsi" w:cstheme="minorHAnsi"/>
                <w:sz w:val="18"/>
                <w:szCs w:val="18"/>
              </w:rPr>
              <w:t>Loan repayments transferred to the administered entity</w:t>
            </w:r>
          </w:p>
        </w:tc>
        <w:tc>
          <w:tcPr>
            <w:tcW w:w="988" w:type="dxa"/>
          </w:tcPr>
          <w:p w14:paraId="68A4601B" w14:textId="77777777" w:rsidR="00B02873" w:rsidRPr="00946796" w:rsidRDefault="00B02873" w:rsidP="00946796">
            <w:pPr>
              <w:pStyle w:val="TablebodyleftFinancialsTables"/>
              <w:jc w:val="right"/>
              <w:rPr>
                <w:rFonts w:asciiTheme="minorHAnsi" w:hAnsiTheme="minorHAnsi" w:cstheme="minorHAnsi"/>
                <w:b/>
                <w:bCs/>
                <w:sz w:val="18"/>
                <w:szCs w:val="18"/>
              </w:rPr>
            </w:pPr>
            <w:r w:rsidRPr="00946796">
              <w:rPr>
                <w:rFonts w:asciiTheme="minorHAnsi" w:hAnsiTheme="minorHAnsi" w:cstheme="minorHAnsi"/>
                <w:b/>
                <w:bCs/>
                <w:sz w:val="18"/>
                <w:szCs w:val="18"/>
              </w:rPr>
              <w:t>–</w:t>
            </w:r>
          </w:p>
        </w:tc>
        <w:tc>
          <w:tcPr>
            <w:tcW w:w="988" w:type="dxa"/>
          </w:tcPr>
          <w:p w14:paraId="0507CDE5" w14:textId="77777777" w:rsidR="00B02873" w:rsidRPr="00663288" w:rsidRDefault="00B02873" w:rsidP="00946796">
            <w:pPr>
              <w:pStyle w:val="TablebodyleftFinancialsTables"/>
              <w:jc w:val="right"/>
              <w:rPr>
                <w:rFonts w:asciiTheme="minorHAnsi" w:hAnsiTheme="minorHAnsi" w:cstheme="minorHAnsi"/>
                <w:sz w:val="18"/>
                <w:szCs w:val="18"/>
              </w:rPr>
            </w:pPr>
            <w:r w:rsidRPr="00663288">
              <w:rPr>
                <w:rFonts w:asciiTheme="minorHAnsi" w:hAnsiTheme="minorHAnsi" w:cstheme="minorHAnsi"/>
                <w:sz w:val="18"/>
                <w:szCs w:val="18"/>
              </w:rPr>
              <w:t>–</w:t>
            </w:r>
          </w:p>
        </w:tc>
        <w:tc>
          <w:tcPr>
            <w:tcW w:w="1280" w:type="dxa"/>
          </w:tcPr>
          <w:p w14:paraId="177274C1" w14:textId="77777777" w:rsidR="00B02873" w:rsidRPr="00946796" w:rsidRDefault="00B02873" w:rsidP="00946796">
            <w:pPr>
              <w:pStyle w:val="TablebodyleftFinancialsTables"/>
              <w:jc w:val="right"/>
              <w:rPr>
                <w:rFonts w:asciiTheme="minorHAnsi" w:hAnsiTheme="minorHAnsi" w:cstheme="minorHAnsi"/>
                <w:b/>
                <w:bCs/>
                <w:sz w:val="18"/>
                <w:szCs w:val="18"/>
              </w:rPr>
            </w:pPr>
            <w:r w:rsidRPr="00946796">
              <w:rPr>
                <w:rFonts w:asciiTheme="minorHAnsi" w:hAnsiTheme="minorHAnsi" w:cstheme="minorHAnsi"/>
                <w:b/>
                <w:bCs/>
                <w:sz w:val="18"/>
                <w:szCs w:val="18"/>
              </w:rPr>
              <w:t>–</w:t>
            </w:r>
          </w:p>
        </w:tc>
        <w:tc>
          <w:tcPr>
            <w:tcW w:w="1276" w:type="dxa"/>
          </w:tcPr>
          <w:p w14:paraId="1CF5CA2F" w14:textId="77777777" w:rsidR="00B02873" w:rsidRPr="00663288" w:rsidRDefault="00B02873" w:rsidP="00946796">
            <w:pPr>
              <w:pStyle w:val="TablebodyleftFinancialsTables"/>
              <w:jc w:val="right"/>
              <w:rPr>
                <w:rFonts w:asciiTheme="minorHAnsi" w:hAnsiTheme="minorHAnsi" w:cstheme="minorHAnsi"/>
                <w:sz w:val="18"/>
                <w:szCs w:val="18"/>
              </w:rPr>
            </w:pPr>
            <w:r w:rsidRPr="00663288">
              <w:rPr>
                <w:rFonts w:asciiTheme="minorHAnsi" w:hAnsiTheme="minorHAnsi" w:cstheme="minorHAnsi"/>
                <w:sz w:val="18"/>
                <w:szCs w:val="18"/>
              </w:rPr>
              <w:t>–</w:t>
            </w:r>
          </w:p>
        </w:tc>
        <w:tc>
          <w:tcPr>
            <w:tcW w:w="1417" w:type="dxa"/>
          </w:tcPr>
          <w:p w14:paraId="1C5A3E26" w14:textId="77777777" w:rsidR="00B02873" w:rsidRPr="00946796" w:rsidRDefault="00B02873" w:rsidP="00946796">
            <w:pPr>
              <w:pStyle w:val="TablebodyleftFinancialsTables"/>
              <w:jc w:val="right"/>
              <w:rPr>
                <w:rFonts w:asciiTheme="minorHAnsi" w:hAnsiTheme="minorHAnsi" w:cstheme="minorHAnsi"/>
                <w:b/>
                <w:bCs/>
                <w:sz w:val="18"/>
                <w:szCs w:val="18"/>
              </w:rPr>
            </w:pPr>
            <w:r w:rsidRPr="00946796">
              <w:rPr>
                <w:rFonts w:asciiTheme="minorHAnsi" w:hAnsiTheme="minorHAnsi" w:cstheme="minorHAnsi"/>
                <w:b/>
                <w:bCs/>
                <w:sz w:val="18"/>
                <w:szCs w:val="18"/>
              </w:rPr>
              <w:t>–</w:t>
            </w:r>
          </w:p>
        </w:tc>
        <w:tc>
          <w:tcPr>
            <w:tcW w:w="1418" w:type="dxa"/>
          </w:tcPr>
          <w:p w14:paraId="4D0EFFCF" w14:textId="77777777" w:rsidR="00B02873" w:rsidRPr="00663288" w:rsidRDefault="00B02873" w:rsidP="00946796">
            <w:pPr>
              <w:pStyle w:val="TablebodyleftFinancialsTables"/>
              <w:jc w:val="right"/>
              <w:rPr>
                <w:rFonts w:asciiTheme="minorHAnsi" w:hAnsiTheme="minorHAnsi" w:cstheme="minorHAnsi"/>
                <w:sz w:val="18"/>
                <w:szCs w:val="18"/>
              </w:rPr>
            </w:pPr>
            <w:r w:rsidRPr="00663288">
              <w:rPr>
                <w:rFonts w:asciiTheme="minorHAnsi" w:hAnsiTheme="minorHAnsi" w:cstheme="minorHAnsi"/>
                <w:sz w:val="18"/>
                <w:szCs w:val="18"/>
              </w:rPr>
              <w:t>–</w:t>
            </w:r>
          </w:p>
        </w:tc>
      </w:tr>
      <w:tr w:rsidR="00B02873" w:rsidRPr="00663288" w14:paraId="2572D119" w14:textId="77777777" w:rsidTr="009B3AE1">
        <w:trPr>
          <w:trHeight w:val="60"/>
        </w:trPr>
        <w:tc>
          <w:tcPr>
            <w:tcW w:w="2551" w:type="dxa"/>
          </w:tcPr>
          <w:p w14:paraId="5454C672" w14:textId="77777777" w:rsidR="00B02873" w:rsidRPr="00946796" w:rsidRDefault="00B02873" w:rsidP="00B96D7F">
            <w:pPr>
              <w:pStyle w:val="TablebodyleftFinancialsTables"/>
              <w:rPr>
                <w:rFonts w:asciiTheme="minorHAnsi" w:hAnsiTheme="minorHAnsi" w:cstheme="minorHAnsi"/>
                <w:b/>
                <w:bCs/>
                <w:sz w:val="18"/>
                <w:szCs w:val="18"/>
              </w:rPr>
            </w:pPr>
            <w:r w:rsidRPr="00946796">
              <w:rPr>
                <w:rFonts w:asciiTheme="minorHAnsi" w:hAnsiTheme="minorHAnsi" w:cstheme="minorHAnsi"/>
                <w:b/>
                <w:bCs/>
                <w:sz w:val="18"/>
                <w:szCs w:val="18"/>
              </w:rPr>
              <w:t>Total expenses from transactions</w:t>
            </w:r>
          </w:p>
        </w:tc>
        <w:tc>
          <w:tcPr>
            <w:tcW w:w="988" w:type="dxa"/>
          </w:tcPr>
          <w:p w14:paraId="534DEB90" w14:textId="584B0C09" w:rsidR="00B02873" w:rsidRPr="00946796" w:rsidRDefault="00B02873" w:rsidP="00946796">
            <w:pPr>
              <w:pStyle w:val="TablebodyleftFinancialsTables"/>
              <w:jc w:val="right"/>
              <w:rPr>
                <w:rFonts w:asciiTheme="minorHAnsi" w:hAnsiTheme="minorHAnsi" w:cstheme="minorHAnsi"/>
                <w:b/>
                <w:bCs/>
                <w:sz w:val="18"/>
                <w:szCs w:val="18"/>
              </w:rPr>
            </w:pPr>
            <w:r w:rsidRPr="00946796">
              <w:rPr>
                <w:rFonts w:asciiTheme="minorHAnsi" w:hAnsiTheme="minorHAnsi" w:cstheme="minorHAnsi"/>
                <w:b/>
                <w:bCs/>
                <w:sz w:val="18"/>
                <w:szCs w:val="18"/>
              </w:rPr>
              <w:t>(341,701)</w:t>
            </w:r>
          </w:p>
        </w:tc>
        <w:tc>
          <w:tcPr>
            <w:tcW w:w="988" w:type="dxa"/>
          </w:tcPr>
          <w:p w14:paraId="6F52DF95" w14:textId="77777777" w:rsidR="00B02873" w:rsidRPr="00663288" w:rsidRDefault="00B02873" w:rsidP="00946796">
            <w:pPr>
              <w:pStyle w:val="TablebodyleftFinancialsTables"/>
              <w:jc w:val="right"/>
              <w:rPr>
                <w:rFonts w:asciiTheme="minorHAnsi" w:hAnsiTheme="minorHAnsi" w:cstheme="minorHAnsi"/>
                <w:sz w:val="18"/>
                <w:szCs w:val="18"/>
              </w:rPr>
            </w:pPr>
            <w:r w:rsidRPr="00663288">
              <w:rPr>
                <w:rFonts w:asciiTheme="minorHAnsi" w:hAnsiTheme="minorHAnsi" w:cstheme="minorHAnsi"/>
                <w:sz w:val="18"/>
                <w:szCs w:val="18"/>
              </w:rPr>
              <w:t>(350,860)</w:t>
            </w:r>
          </w:p>
        </w:tc>
        <w:tc>
          <w:tcPr>
            <w:tcW w:w="1280" w:type="dxa"/>
          </w:tcPr>
          <w:p w14:paraId="59584306" w14:textId="18220F5D" w:rsidR="00B02873" w:rsidRPr="00946796" w:rsidRDefault="00B02873" w:rsidP="00946796">
            <w:pPr>
              <w:pStyle w:val="TablebodyleftFinancialsTables"/>
              <w:jc w:val="right"/>
              <w:rPr>
                <w:rFonts w:asciiTheme="minorHAnsi" w:hAnsiTheme="minorHAnsi" w:cstheme="minorHAnsi"/>
                <w:b/>
                <w:bCs/>
                <w:sz w:val="18"/>
                <w:szCs w:val="18"/>
              </w:rPr>
            </w:pPr>
            <w:r w:rsidRPr="00946796">
              <w:rPr>
                <w:rFonts w:asciiTheme="minorHAnsi" w:hAnsiTheme="minorHAnsi" w:cstheme="minorHAnsi"/>
                <w:b/>
                <w:bCs/>
                <w:sz w:val="18"/>
                <w:szCs w:val="18"/>
              </w:rPr>
              <w:t>(273,076)</w:t>
            </w:r>
            <w:r w:rsidR="00012C04" w:rsidRPr="00946796">
              <w:rPr>
                <w:rFonts w:asciiTheme="minorHAnsi" w:hAnsiTheme="minorHAnsi" w:cstheme="minorHAnsi"/>
                <w:b/>
                <w:bCs/>
                <w:sz w:val="18"/>
                <w:szCs w:val="18"/>
              </w:rPr>
              <w:t xml:space="preserve"> </w:t>
            </w:r>
            <w:r w:rsidRPr="00946796">
              <w:rPr>
                <w:rFonts w:asciiTheme="minorHAnsi" w:hAnsiTheme="minorHAnsi" w:cstheme="minorHAnsi"/>
                <w:b/>
                <w:bCs/>
                <w:sz w:val="18"/>
                <w:szCs w:val="18"/>
              </w:rPr>
              <w:t xml:space="preserve"> </w:t>
            </w:r>
          </w:p>
        </w:tc>
        <w:tc>
          <w:tcPr>
            <w:tcW w:w="1276" w:type="dxa"/>
          </w:tcPr>
          <w:p w14:paraId="2A102C9A" w14:textId="77777777" w:rsidR="00B02873" w:rsidRPr="00663288" w:rsidRDefault="00B02873" w:rsidP="00946796">
            <w:pPr>
              <w:pStyle w:val="TablebodyleftFinancialsTables"/>
              <w:jc w:val="right"/>
              <w:rPr>
                <w:rFonts w:asciiTheme="minorHAnsi" w:hAnsiTheme="minorHAnsi" w:cstheme="minorHAnsi"/>
                <w:sz w:val="18"/>
                <w:szCs w:val="18"/>
              </w:rPr>
            </w:pPr>
            <w:r w:rsidRPr="00663288">
              <w:rPr>
                <w:rFonts w:asciiTheme="minorHAnsi" w:hAnsiTheme="minorHAnsi" w:cstheme="minorHAnsi"/>
                <w:sz w:val="18"/>
                <w:szCs w:val="18"/>
              </w:rPr>
              <w:t>(186,076)</w:t>
            </w:r>
          </w:p>
        </w:tc>
        <w:tc>
          <w:tcPr>
            <w:tcW w:w="1417" w:type="dxa"/>
          </w:tcPr>
          <w:p w14:paraId="498BC73E" w14:textId="77777777" w:rsidR="00B02873" w:rsidRPr="00946796" w:rsidRDefault="00B02873" w:rsidP="00946796">
            <w:pPr>
              <w:pStyle w:val="TablebodyleftFinancialsTables"/>
              <w:jc w:val="right"/>
              <w:rPr>
                <w:rFonts w:asciiTheme="minorHAnsi" w:hAnsiTheme="minorHAnsi" w:cstheme="minorHAnsi"/>
                <w:b/>
                <w:bCs/>
                <w:sz w:val="18"/>
                <w:szCs w:val="18"/>
              </w:rPr>
            </w:pPr>
            <w:r w:rsidRPr="00946796">
              <w:rPr>
                <w:rFonts w:asciiTheme="minorHAnsi" w:hAnsiTheme="minorHAnsi" w:cstheme="minorHAnsi"/>
                <w:b/>
                <w:bCs/>
                <w:sz w:val="18"/>
                <w:szCs w:val="18"/>
              </w:rPr>
              <w:t>(209,324)</w:t>
            </w:r>
          </w:p>
        </w:tc>
        <w:tc>
          <w:tcPr>
            <w:tcW w:w="1418" w:type="dxa"/>
          </w:tcPr>
          <w:p w14:paraId="12677150" w14:textId="77777777" w:rsidR="00B02873" w:rsidRPr="00663288" w:rsidRDefault="00B02873" w:rsidP="00946796">
            <w:pPr>
              <w:pStyle w:val="TablebodyleftFinancialsTables"/>
              <w:jc w:val="right"/>
              <w:rPr>
                <w:rFonts w:asciiTheme="minorHAnsi" w:hAnsiTheme="minorHAnsi" w:cstheme="minorHAnsi"/>
                <w:sz w:val="18"/>
                <w:szCs w:val="18"/>
              </w:rPr>
            </w:pPr>
            <w:r w:rsidRPr="00663288">
              <w:rPr>
                <w:rFonts w:asciiTheme="minorHAnsi" w:hAnsiTheme="minorHAnsi" w:cstheme="minorHAnsi"/>
                <w:sz w:val="18"/>
                <w:szCs w:val="18"/>
              </w:rPr>
              <w:t>(273,286)</w:t>
            </w:r>
          </w:p>
        </w:tc>
      </w:tr>
      <w:tr w:rsidR="00B02873" w:rsidRPr="00663288" w14:paraId="437468B0" w14:textId="77777777" w:rsidTr="009B3AE1">
        <w:trPr>
          <w:trHeight w:val="60"/>
        </w:trPr>
        <w:tc>
          <w:tcPr>
            <w:tcW w:w="2551" w:type="dxa"/>
          </w:tcPr>
          <w:p w14:paraId="40CC670D" w14:textId="77777777" w:rsidR="00B02873" w:rsidRPr="00946796" w:rsidRDefault="00B02873" w:rsidP="00B96D7F">
            <w:pPr>
              <w:pStyle w:val="TablebodyleftFinancialsTables"/>
              <w:rPr>
                <w:rFonts w:asciiTheme="minorHAnsi" w:hAnsiTheme="minorHAnsi" w:cstheme="minorHAnsi"/>
                <w:b/>
                <w:bCs/>
                <w:sz w:val="18"/>
                <w:szCs w:val="18"/>
              </w:rPr>
            </w:pPr>
            <w:r w:rsidRPr="00946796">
              <w:rPr>
                <w:rFonts w:asciiTheme="minorHAnsi" w:hAnsiTheme="minorHAnsi" w:cstheme="minorHAnsi"/>
                <w:b/>
                <w:bCs/>
                <w:sz w:val="18"/>
                <w:szCs w:val="18"/>
              </w:rPr>
              <w:t>Net result from transactions (net operating balance)</w:t>
            </w:r>
          </w:p>
        </w:tc>
        <w:tc>
          <w:tcPr>
            <w:tcW w:w="988" w:type="dxa"/>
          </w:tcPr>
          <w:p w14:paraId="7C9A35AF" w14:textId="77777777" w:rsidR="00B02873" w:rsidRPr="00946796" w:rsidRDefault="00B02873" w:rsidP="00946796">
            <w:pPr>
              <w:pStyle w:val="TablebodyleftFinancialsTables"/>
              <w:jc w:val="right"/>
              <w:rPr>
                <w:rFonts w:asciiTheme="minorHAnsi" w:hAnsiTheme="minorHAnsi" w:cstheme="minorHAnsi"/>
                <w:b/>
                <w:bCs/>
                <w:sz w:val="18"/>
                <w:szCs w:val="18"/>
              </w:rPr>
            </w:pPr>
            <w:r w:rsidRPr="00946796">
              <w:rPr>
                <w:rFonts w:asciiTheme="minorHAnsi" w:hAnsiTheme="minorHAnsi" w:cstheme="minorHAnsi"/>
                <w:b/>
                <w:bCs/>
                <w:sz w:val="18"/>
                <w:szCs w:val="18"/>
              </w:rPr>
              <w:t>106,128</w:t>
            </w:r>
          </w:p>
        </w:tc>
        <w:tc>
          <w:tcPr>
            <w:tcW w:w="988" w:type="dxa"/>
          </w:tcPr>
          <w:p w14:paraId="430A8438" w14:textId="77777777" w:rsidR="00B02873" w:rsidRPr="00663288" w:rsidRDefault="00B02873" w:rsidP="00946796">
            <w:pPr>
              <w:pStyle w:val="TablebodyleftFinancialsTables"/>
              <w:jc w:val="right"/>
              <w:rPr>
                <w:rFonts w:asciiTheme="minorHAnsi" w:hAnsiTheme="minorHAnsi" w:cstheme="minorHAnsi"/>
                <w:sz w:val="18"/>
                <w:szCs w:val="18"/>
              </w:rPr>
            </w:pPr>
            <w:r w:rsidRPr="00663288">
              <w:rPr>
                <w:rFonts w:asciiTheme="minorHAnsi" w:hAnsiTheme="minorHAnsi" w:cstheme="minorHAnsi"/>
                <w:sz w:val="18"/>
                <w:szCs w:val="18"/>
              </w:rPr>
              <w:t>83,084</w:t>
            </w:r>
          </w:p>
        </w:tc>
        <w:tc>
          <w:tcPr>
            <w:tcW w:w="1280" w:type="dxa"/>
          </w:tcPr>
          <w:p w14:paraId="057F25C0" w14:textId="77777777" w:rsidR="00B02873" w:rsidRPr="00946796" w:rsidRDefault="00B02873" w:rsidP="00946796">
            <w:pPr>
              <w:pStyle w:val="TablebodyleftFinancialsTables"/>
              <w:jc w:val="right"/>
              <w:rPr>
                <w:rFonts w:asciiTheme="minorHAnsi" w:hAnsiTheme="minorHAnsi" w:cstheme="minorHAnsi"/>
                <w:b/>
                <w:bCs/>
                <w:sz w:val="18"/>
                <w:szCs w:val="18"/>
              </w:rPr>
            </w:pPr>
            <w:r w:rsidRPr="00946796">
              <w:rPr>
                <w:rFonts w:asciiTheme="minorHAnsi" w:hAnsiTheme="minorHAnsi" w:cstheme="minorHAnsi"/>
                <w:b/>
                <w:bCs/>
                <w:sz w:val="18"/>
                <w:szCs w:val="18"/>
              </w:rPr>
              <w:t>123,852</w:t>
            </w:r>
          </w:p>
        </w:tc>
        <w:tc>
          <w:tcPr>
            <w:tcW w:w="1276" w:type="dxa"/>
          </w:tcPr>
          <w:p w14:paraId="79D7DC36" w14:textId="77777777" w:rsidR="00B02873" w:rsidRPr="00663288" w:rsidRDefault="00B02873" w:rsidP="00946796">
            <w:pPr>
              <w:pStyle w:val="TablebodyleftFinancialsTables"/>
              <w:jc w:val="right"/>
              <w:rPr>
                <w:rFonts w:asciiTheme="minorHAnsi" w:hAnsiTheme="minorHAnsi" w:cstheme="minorHAnsi"/>
                <w:sz w:val="18"/>
                <w:szCs w:val="18"/>
              </w:rPr>
            </w:pPr>
            <w:r w:rsidRPr="00663288">
              <w:rPr>
                <w:rFonts w:asciiTheme="minorHAnsi" w:hAnsiTheme="minorHAnsi" w:cstheme="minorHAnsi"/>
                <w:sz w:val="18"/>
                <w:szCs w:val="18"/>
              </w:rPr>
              <w:t>(23,157)</w:t>
            </w:r>
          </w:p>
        </w:tc>
        <w:tc>
          <w:tcPr>
            <w:tcW w:w="1417" w:type="dxa"/>
          </w:tcPr>
          <w:p w14:paraId="6927FCED" w14:textId="77777777" w:rsidR="00B02873" w:rsidRPr="00946796" w:rsidRDefault="00B02873" w:rsidP="00946796">
            <w:pPr>
              <w:pStyle w:val="TablebodyleftFinancialsTables"/>
              <w:jc w:val="right"/>
              <w:rPr>
                <w:rFonts w:asciiTheme="minorHAnsi" w:hAnsiTheme="minorHAnsi" w:cstheme="minorHAnsi"/>
                <w:b/>
                <w:bCs/>
                <w:sz w:val="18"/>
                <w:szCs w:val="18"/>
              </w:rPr>
            </w:pPr>
            <w:r w:rsidRPr="00946796">
              <w:rPr>
                <w:rFonts w:asciiTheme="minorHAnsi" w:hAnsiTheme="minorHAnsi" w:cstheme="minorHAnsi"/>
                <w:b/>
                <w:bCs/>
                <w:sz w:val="18"/>
                <w:szCs w:val="18"/>
              </w:rPr>
              <w:t>(168,994)</w:t>
            </w:r>
          </w:p>
        </w:tc>
        <w:tc>
          <w:tcPr>
            <w:tcW w:w="1418" w:type="dxa"/>
          </w:tcPr>
          <w:p w14:paraId="3E1EECEF" w14:textId="77777777" w:rsidR="00B02873" w:rsidRPr="00663288" w:rsidRDefault="00B02873" w:rsidP="00946796">
            <w:pPr>
              <w:pStyle w:val="TablebodyleftFinancialsTables"/>
              <w:jc w:val="right"/>
              <w:rPr>
                <w:rFonts w:asciiTheme="minorHAnsi" w:hAnsiTheme="minorHAnsi" w:cstheme="minorHAnsi"/>
                <w:sz w:val="18"/>
                <w:szCs w:val="18"/>
              </w:rPr>
            </w:pPr>
            <w:r w:rsidRPr="00663288">
              <w:rPr>
                <w:rFonts w:asciiTheme="minorHAnsi" w:hAnsiTheme="minorHAnsi" w:cstheme="minorHAnsi"/>
                <w:sz w:val="18"/>
                <w:szCs w:val="18"/>
              </w:rPr>
              <w:t>(77,820)</w:t>
            </w:r>
          </w:p>
        </w:tc>
      </w:tr>
      <w:tr w:rsidR="00B02873" w:rsidRPr="00663288" w14:paraId="69C501E1" w14:textId="77777777" w:rsidTr="009B3AE1">
        <w:trPr>
          <w:trHeight w:val="60"/>
        </w:trPr>
        <w:tc>
          <w:tcPr>
            <w:tcW w:w="2551" w:type="dxa"/>
          </w:tcPr>
          <w:p w14:paraId="63E0F5F0" w14:textId="77777777" w:rsidR="00B02873" w:rsidRPr="00946796" w:rsidRDefault="00B02873" w:rsidP="00B96D7F">
            <w:pPr>
              <w:pStyle w:val="TablebodyleftFinancialsTables"/>
              <w:rPr>
                <w:rFonts w:asciiTheme="minorHAnsi" w:hAnsiTheme="minorHAnsi" w:cstheme="minorHAnsi"/>
                <w:b/>
                <w:bCs/>
                <w:sz w:val="18"/>
                <w:szCs w:val="18"/>
              </w:rPr>
            </w:pPr>
            <w:r w:rsidRPr="00946796">
              <w:rPr>
                <w:rFonts w:asciiTheme="minorHAnsi" w:hAnsiTheme="minorHAnsi" w:cstheme="minorHAnsi"/>
                <w:b/>
                <w:bCs/>
                <w:sz w:val="18"/>
                <w:szCs w:val="18"/>
              </w:rPr>
              <w:t>Other economic flows included in net result</w:t>
            </w:r>
          </w:p>
        </w:tc>
        <w:tc>
          <w:tcPr>
            <w:tcW w:w="988" w:type="dxa"/>
          </w:tcPr>
          <w:p w14:paraId="4847D566" w14:textId="77777777" w:rsidR="00B02873" w:rsidRPr="00946796" w:rsidRDefault="00B02873" w:rsidP="00946796">
            <w:pPr>
              <w:pStyle w:val="TablebodyleftFinancialsTables"/>
              <w:jc w:val="right"/>
              <w:rPr>
                <w:rFonts w:asciiTheme="minorHAnsi" w:hAnsiTheme="minorHAnsi" w:cstheme="minorHAnsi"/>
                <w:b/>
                <w:bCs/>
                <w:sz w:val="18"/>
                <w:szCs w:val="18"/>
              </w:rPr>
            </w:pPr>
          </w:p>
        </w:tc>
        <w:tc>
          <w:tcPr>
            <w:tcW w:w="988" w:type="dxa"/>
          </w:tcPr>
          <w:p w14:paraId="06D28266" w14:textId="77777777" w:rsidR="00B02873" w:rsidRPr="00663288" w:rsidRDefault="00B02873" w:rsidP="00946796">
            <w:pPr>
              <w:pStyle w:val="TablebodyleftFinancialsTables"/>
              <w:jc w:val="right"/>
              <w:rPr>
                <w:rFonts w:asciiTheme="minorHAnsi" w:hAnsiTheme="minorHAnsi" w:cstheme="minorHAnsi"/>
                <w:sz w:val="18"/>
                <w:szCs w:val="18"/>
              </w:rPr>
            </w:pPr>
          </w:p>
        </w:tc>
        <w:tc>
          <w:tcPr>
            <w:tcW w:w="1280" w:type="dxa"/>
          </w:tcPr>
          <w:p w14:paraId="54E13C73" w14:textId="77777777" w:rsidR="00B02873" w:rsidRPr="00946796" w:rsidRDefault="00B02873" w:rsidP="00946796">
            <w:pPr>
              <w:pStyle w:val="TablebodyleftFinancialsTables"/>
              <w:jc w:val="right"/>
              <w:rPr>
                <w:rFonts w:asciiTheme="minorHAnsi" w:hAnsiTheme="minorHAnsi" w:cstheme="minorHAnsi"/>
                <w:b/>
                <w:bCs/>
                <w:sz w:val="18"/>
                <w:szCs w:val="18"/>
              </w:rPr>
            </w:pPr>
          </w:p>
        </w:tc>
        <w:tc>
          <w:tcPr>
            <w:tcW w:w="1276" w:type="dxa"/>
          </w:tcPr>
          <w:p w14:paraId="5FD8E6DC" w14:textId="77777777" w:rsidR="00B02873" w:rsidRPr="00663288" w:rsidRDefault="00B02873" w:rsidP="00946796">
            <w:pPr>
              <w:pStyle w:val="TablebodyleftFinancialsTables"/>
              <w:jc w:val="right"/>
              <w:rPr>
                <w:rFonts w:asciiTheme="minorHAnsi" w:hAnsiTheme="minorHAnsi" w:cstheme="minorHAnsi"/>
                <w:sz w:val="18"/>
                <w:szCs w:val="18"/>
              </w:rPr>
            </w:pPr>
          </w:p>
        </w:tc>
        <w:tc>
          <w:tcPr>
            <w:tcW w:w="1417" w:type="dxa"/>
          </w:tcPr>
          <w:p w14:paraId="1F1D7305" w14:textId="77777777" w:rsidR="00B02873" w:rsidRPr="00946796" w:rsidRDefault="00B02873" w:rsidP="00946796">
            <w:pPr>
              <w:pStyle w:val="TablebodyleftFinancialsTables"/>
              <w:jc w:val="right"/>
              <w:rPr>
                <w:rFonts w:asciiTheme="minorHAnsi" w:hAnsiTheme="minorHAnsi" w:cstheme="minorHAnsi"/>
                <w:b/>
                <w:bCs/>
                <w:sz w:val="18"/>
                <w:szCs w:val="18"/>
              </w:rPr>
            </w:pPr>
          </w:p>
        </w:tc>
        <w:tc>
          <w:tcPr>
            <w:tcW w:w="1418" w:type="dxa"/>
          </w:tcPr>
          <w:p w14:paraId="47D24C46" w14:textId="77777777" w:rsidR="00B02873" w:rsidRPr="00663288" w:rsidRDefault="00B02873" w:rsidP="00946796">
            <w:pPr>
              <w:pStyle w:val="TablebodyleftFinancialsTables"/>
              <w:jc w:val="right"/>
              <w:rPr>
                <w:rFonts w:asciiTheme="minorHAnsi" w:hAnsiTheme="minorHAnsi" w:cstheme="minorHAnsi"/>
                <w:sz w:val="18"/>
                <w:szCs w:val="18"/>
              </w:rPr>
            </w:pPr>
          </w:p>
        </w:tc>
      </w:tr>
      <w:tr w:rsidR="00B02873" w:rsidRPr="00663288" w14:paraId="1CEA0566" w14:textId="77777777" w:rsidTr="009B3AE1">
        <w:trPr>
          <w:trHeight w:val="60"/>
        </w:trPr>
        <w:tc>
          <w:tcPr>
            <w:tcW w:w="2551" w:type="dxa"/>
          </w:tcPr>
          <w:p w14:paraId="45E5F685" w14:textId="52199BC5" w:rsidR="00B02873" w:rsidRPr="00663288" w:rsidRDefault="00B02873" w:rsidP="00B96D7F">
            <w:pPr>
              <w:pStyle w:val="TablebodyleftFinancialsTables"/>
              <w:rPr>
                <w:rFonts w:asciiTheme="minorHAnsi" w:hAnsiTheme="minorHAnsi" w:cstheme="minorHAnsi"/>
                <w:sz w:val="18"/>
                <w:szCs w:val="18"/>
              </w:rPr>
            </w:pPr>
            <w:r w:rsidRPr="00663288">
              <w:rPr>
                <w:rFonts w:asciiTheme="minorHAnsi" w:hAnsiTheme="minorHAnsi" w:cstheme="minorHAnsi"/>
                <w:sz w:val="18"/>
                <w:szCs w:val="18"/>
              </w:rPr>
              <w:t>Net gain/(loss) on non-financial assets</w:t>
            </w:r>
          </w:p>
        </w:tc>
        <w:tc>
          <w:tcPr>
            <w:tcW w:w="988" w:type="dxa"/>
          </w:tcPr>
          <w:p w14:paraId="222F27BB" w14:textId="77777777" w:rsidR="00B02873" w:rsidRPr="00946796" w:rsidRDefault="00B02873" w:rsidP="00946796">
            <w:pPr>
              <w:pStyle w:val="TablebodyleftFinancialsTables"/>
              <w:jc w:val="right"/>
              <w:rPr>
                <w:rFonts w:asciiTheme="minorHAnsi" w:hAnsiTheme="minorHAnsi" w:cstheme="minorHAnsi"/>
                <w:b/>
                <w:bCs/>
                <w:sz w:val="18"/>
                <w:szCs w:val="18"/>
              </w:rPr>
            </w:pPr>
            <w:r w:rsidRPr="00946796">
              <w:rPr>
                <w:rFonts w:asciiTheme="minorHAnsi" w:hAnsiTheme="minorHAnsi" w:cstheme="minorHAnsi"/>
                <w:b/>
                <w:bCs/>
                <w:sz w:val="18"/>
                <w:szCs w:val="18"/>
              </w:rPr>
              <w:t>(3,921)</w:t>
            </w:r>
          </w:p>
        </w:tc>
        <w:tc>
          <w:tcPr>
            <w:tcW w:w="988" w:type="dxa"/>
          </w:tcPr>
          <w:p w14:paraId="0613FB7E" w14:textId="77777777" w:rsidR="00B02873" w:rsidRPr="00663288" w:rsidRDefault="00B02873" w:rsidP="00946796">
            <w:pPr>
              <w:pStyle w:val="TablebodyleftFinancialsTables"/>
              <w:jc w:val="right"/>
              <w:rPr>
                <w:rFonts w:asciiTheme="minorHAnsi" w:hAnsiTheme="minorHAnsi" w:cstheme="minorHAnsi"/>
                <w:sz w:val="18"/>
                <w:szCs w:val="18"/>
              </w:rPr>
            </w:pPr>
            <w:r w:rsidRPr="00663288">
              <w:rPr>
                <w:rFonts w:asciiTheme="minorHAnsi" w:hAnsiTheme="minorHAnsi" w:cstheme="minorHAnsi"/>
                <w:sz w:val="18"/>
                <w:szCs w:val="18"/>
              </w:rPr>
              <w:t>(6)</w:t>
            </w:r>
          </w:p>
        </w:tc>
        <w:tc>
          <w:tcPr>
            <w:tcW w:w="1280" w:type="dxa"/>
          </w:tcPr>
          <w:p w14:paraId="47A3B9FC" w14:textId="77777777" w:rsidR="00B02873" w:rsidRPr="00946796" w:rsidRDefault="00B02873" w:rsidP="00946796">
            <w:pPr>
              <w:pStyle w:val="TablebodyleftFinancialsTables"/>
              <w:jc w:val="right"/>
              <w:rPr>
                <w:rFonts w:asciiTheme="minorHAnsi" w:hAnsiTheme="minorHAnsi" w:cstheme="minorHAnsi"/>
                <w:b/>
                <w:bCs/>
                <w:sz w:val="18"/>
                <w:szCs w:val="18"/>
              </w:rPr>
            </w:pPr>
            <w:r w:rsidRPr="00946796">
              <w:rPr>
                <w:rFonts w:asciiTheme="minorHAnsi" w:hAnsiTheme="minorHAnsi" w:cstheme="minorHAnsi"/>
                <w:b/>
                <w:bCs/>
                <w:sz w:val="18"/>
                <w:szCs w:val="18"/>
              </w:rPr>
              <w:t xml:space="preserve"> 164</w:t>
            </w:r>
          </w:p>
        </w:tc>
        <w:tc>
          <w:tcPr>
            <w:tcW w:w="1276" w:type="dxa"/>
          </w:tcPr>
          <w:p w14:paraId="6F22CEA3" w14:textId="77777777" w:rsidR="00B02873" w:rsidRPr="00663288" w:rsidRDefault="00B02873" w:rsidP="00946796">
            <w:pPr>
              <w:pStyle w:val="TablebodyleftFinancialsTables"/>
              <w:jc w:val="right"/>
              <w:rPr>
                <w:rFonts w:asciiTheme="minorHAnsi" w:hAnsiTheme="minorHAnsi" w:cstheme="minorHAnsi"/>
                <w:sz w:val="18"/>
                <w:szCs w:val="18"/>
              </w:rPr>
            </w:pPr>
            <w:r w:rsidRPr="00663288">
              <w:rPr>
                <w:rFonts w:asciiTheme="minorHAnsi" w:hAnsiTheme="minorHAnsi" w:cstheme="minorHAnsi"/>
                <w:sz w:val="18"/>
                <w:szCs w:val="18"/>
              </w:rPr>
              <w:t>127</w:t>
            </w:r>
          </w:p>
        </w:tc>
        <w:tc>
          <w:tcPr>
            <w:tcW w:w="1417" w:type="dxa"/>
          </w:tcPr>
          <w:p w14:paraId="255E381B" w14:textId="77777777" w:rsidR="00B02873" w:rsidRPr="00946796" w:rsidRDefault="00B02873" w:rsidP="00946796">
            <w:pPr>
              <w:pStyle w:val="TablebodyleftFinancialsTables"/>
              <w:jc w:val="right"/>
              <w:rPr>
                <w:rFonts w:asciiTheme="minorHAnsi" w:hAnsiTheme="minorHAnsi" w:cstheme="minorHAnsi"/>
                <w:b/>
                <w:bCs/>
                <w:sz w:val="18"/>
                <w:szCs w:val="18"/>
              </w:rPr>
            </w:pPr>
            <w:r w:rsidRPr="00946796">
              <w:rPr>
                <w:rFonts w:asciiTheme="minorHAnsi" w:hAnsiTheme="minorHAnsi" w:cstheme="minorHAnsi"/>
                <w:b/>
                <w:bCs/>
                <w:sz w:val="18"/>
                <w:szCs w:val="18"/>
              </w:rPr>
              <w:t>–</w:t>
            </w:r>
          </w:p>
        </w:tc>
        <w:tc>
          <w:tcPr>
            <w:tcW w:w="1418" w:type="dxa"/>
          </w:tcPr>
          <w:p w14:paraId="2A9B2513" w14:textId="77777777" w:rsidR="00B02873" w:rsidRPr="00663288" w:rsidRDefault="00B02873" w:rsidP="00946796">
            <w:pPr>
              <w:pStyle w:val="TablebodyleftFinancialsTables"/>
              <w:jc w:val="right"/>
              <w:rPr>
                <w:rFonts w:asciiTheme="minorHAnsi" w:hAnsiTheme="minorHAnsi" w:cstheme="minorHAnsi"/>
                <w:sz w:val="18"/>
                <w:szCs w:val="18"/>
              </w:rPr>
            </w:pPr>
            <w:r w:rsidRPr="00663288">
              <w:rPr>
                <w:rFonts w:asciiTheme="minorHAnsi" w:hAnsiTheme="minorHAnsi" w:cstheme="minorHAnsi"/>
                <w:sz w:val="18"/>
                <w:szCs w:val="18"/>
              </w:rPr>
              <w:t>–</w:t>
            </w:r>
          </w:p>
        </w:tc>
      </w:tr>
      <w:tr w:rsidR="00B02873" w:rsidRPr="00663288" w14:paraId="1622A347" w14:textId="77777777" w:rsidTr="009B3AE1">
        <w:trPr>
          <w:trHeight w:val="60"/>
        </w:trPr>
        <w:tc>
          <w:tcPr>
            <w:tcW w:w="2551" w:type="dxa"/>
          </w:tcPr>
          <w:p w14:paraId="58DDD612" w14:textId="77777777" w:rsidR="00B02873" w:rsidRPr="00663288" w:rsidRDefault="00B02873" w:rsidP="00B96D7F">
            <w:pPr>
              <w:pStyle w:val="TablebodyleftFinancialsTables"/>
              <w:rPr>
                <w:rFonts w:asciiTheme="minorHAnsi" w:hAnsiTheme="minorHAnsi" w:cstheme="minorHAnsi"/>
                <w:sz w:val="18"/>
                <w:szCs w:val="18"/>
              </w:rPr>
            </w:pPr>
            <w:r w:rsidRPr="00663288">
              <w:rPr>
                <w:rFonts w:asciiTheme="minorHAnsi" w:hAnsiTheme="minorHAnsi" w:cstheme="minorHAnsi"/>
                <w:sz w:val="18"/>
                <w:szCs w:val="18"/>
              </w:rPr>
              <w:t xml:space="preserve">Net gain/(loss) on financial instruments </w:t>
            </w:r>
          </w:p>
        </w:tc>
        <w:tc>
          <w:tcPr>
            <w:tcW w:w="988" w:type="dxa"/>
          </w:tcPr>
          <w:p w14:paraId="516A5D56" w14:textId="77777777" w:rsidR="00B02873" w:rsidRPr="00946796" w:rsidRDefault="00B02873" w:rsidP="00946796">
            <w:pPr>
              <w:pStyle w:val="TablebodyleftFinancialsTables"/>
              <w:jc w:val="right"/>
              <w:rPr>
                <w:rFonts w:asciiTheme="minorHAnsi" w:hAnsiTheme="minorHAnsi" w:cstheme="minorHAnsi"/>
                <w:b/>
                <w:bCs/>
                <w:sz w:val="18"/>
                <w:szCs w:val="18"/>
              </w:rPr>
            </w:pPr>
            <w:r w:rsidRPr="00946796">
              <w:rPr>
                <w:rFonts w:asciiTheme="minorHAnsi" w:hAnsiTheme="minorHAnsi" w:cstheme="minorHAnsi"/>
                <w:b/>
                <w:bCs/>
                <w:sz w:val="18"/>
                <w:szCs w:val="18"/>
              </w:rPr>
              <w:t>8</w:t>
            </w:r>
          </w:p>
        </w:tc>
        <w:tc>
          <w:tcPr>
            <w:tcW w:w="988" w:type="dxa"/>
          </w:tcPr>
          <w:p w14:paraId="788B7C30" w14:textId="77777777" w:rsidR="00B02873" w:rsidRPr="00663288" w:rsidRDefault="00B02873" w:rsidP="00946796">
            <w:pPr>
              <w:pStyle w:val="TablebodyleftFinancialsTables"/>
              <w:jc w:val="right"/>
              <w:rPr>
                <w:rFonts w:asciiTheme="minorHAnsi" w:hAnsiTheme="minorHAnsi" w:cstheme="minorHAnsi"/>
                <w:sz w:val="18"/>
                <w:szCs w:val="18"/>
              </w:rPr>
            </w:pPr>
            <w:r w:rsidRPr="00663288">
              <w:rPr>
                <w:rFonts w:asciiTheme="minorHAnsi" w:hAnsiTheme="minorHAnsi" w:cstheme="minorHAnsi"/>
                <w:sz w:val="18"/>
                <w:szCs w:val="18"/>
              </w:rPr>
              <w:t>(53)</w:t>
            </w:r>
          </w:p>
        </w:tc>
        <w:tc>
          <w:tcPr>
            <w:tcW w:w="1280" w:type="dxa"/>
          </w:tcPr>
          <w:p w14:paraId="1A283660" w14:textId="77777777" w:rsidR="00B02873" w:rsidRPr="00946796" w:rsidRDefault="00B02873" w:rsidP="00946796">
            <w:pPr>
              <w:pStyle w:val="TablebodyleftFinancialsTables"/>
              <w:jc w:val="right"/>
              <w:rPr>
                <w:rFonts w:asciiTheme="minorHAnsi" w:hAnsiTheme="minorHAnsi" w:cstheme="minorHAnsi"/>
                <w:b/>
                <w:bCs/>
                <w:sz w:val="18"/>
                <w:szCs w:val="18"/>
              </w:rPr>
            </w:pPr>
            <w:r w:rsidRPr="00946796">
              <w:rPr>
                <w:rFonts w:asciiTheme="minorHAnsi" w:hAnsiTheme="minorHAnsi" w:cstheme="minorHAnsi"/>
                <w:b/>
                <w:bCs/>
                <w:sz w:val="18"/>
                <w:szCs w:val="18"/>
              </w:rPr>
              <w:t>4</w:t>
            </w:r>
          </w:p>
        </w:tc>
        <w:tc>
          <w:tcPr>
            <w:tcW w:w="1276" w:type="dxa"/>
          </w:tcPr>
          <w:p w14:paraId="13BABAF3" w14:textId="77777777" w:rsidR="00B02873" w:rsidRPr="00663288" w:rsidRDefault="00B02873" w:rsidP="00946796">
            <w:pPr>
              <w:pStyle w:val="TablebodyleftFinancialsTables"/>
              <w:jc w:val="right"/>
              <w:rPr>
                <w:rFonts w:asciiTheme="minorHAnsi" w:hAnsiTheme="minorHAnsi" w:cstheme="minorHAnsi"/>
                <w:sz w:val="18"/>
                <w:szCs w:val="18"/>
              </w:rPr>
            </w:pPr>
            <w:r w:rsidRPr="00663288">
              <w:rPr>
                <w:rFonts w:asciiTheme="minorHAnsi" w:hAnsiTheme="minorHAnsi" w:cstheme="minorHAnsi"/>
                <w:sz w:val="18"/>
                <w:szCs w:val="18"/>
              </w:rPr>
              <w:t>(45)</w:t>
            </w:r>
          </w:p>
        </w:tc>
        <w:tc>
          <w:tcPr>
            <w:tcW w:w="1417" w:type="dxa"/>
          </w:tcPr>
          <w:p w14:paraId="7DA2A6FC" w14:textId="77777777" w:rsidR="00B02873" w:rsidRPr="00946796" w:rsidRDefault="00B02873" w:rsidP="00946796">
            <w:pPr>
              <w:pStyle w:val="TablebodyleftFinancialsTables"/>
              <w:jc w:val="right"/>
              <w:rPr>
                <w:rFonts w:asciiTheme="minorHAnsi" w:hAnsiTheme="minorHAnsi" w:cstheme="minorHAnsi"/>
                <w:b/>
                <w:bCs/>
                <w:sz w:val="18"/>
                <w:szCs w:val="18"/>
              </w:rPr>
            </w:pPr>
            <w:r w:rsidRPr="00946796">
              <w:rPr>
                <w:rFonts w:asciiTheme="minorHAnsi" w:hAnsiTheme="minorHAnsi" w:cstheme="minorHAnsi"/>
                <w:b/>
                <w:bCs/>
                <w:sz w:val="18"/>
                <w:szCs w:val="18"/>
              </w:rPr>
              <w:t>–</w:t>
            </w:r>
          </w:p>
        </w:tc>
        <w:tc>
          <w:tcPr>
            <w:tcW w:w="1418" w:type="dxa"/>
          </w:tcPr>
          <w:p w14:paraId="63ECFFEA" w14:textId="77777777" w:rsidR="00B02873" w:rsidRPr="00663288" w:rsidRDefault="00B02873" w:rsidP="00946796">
            <w:pPr>
              <w:pStyle w:val="TablebodyleftFinancialsTables"/>
              <w:jc w:val="right"/>
              <w:rPr>
                <w:rFonts w:asciiTheme="minorHAnsi" w:hAnsiTheme="minorHAnsi" w:cstheme="minorHAnsi"/>
                <w:sz w:val="18"/>
                <w:szCs w:val="18"/>
              </w:rPr>
            </w:pPr>
            <w:r w:rsidRPr="00663288">
              <w:rPr>
                <w:rFonts w:asciiTheme="minorHAnsi" w:hAnsiTheme="minorHAnsi" w:cstheme="minorHAnsi"/>
                <w:sz w:val="18"/>
                <w:szCs w:val="18"/>
              </w:rPr>
              <w:t>–</w:t>
            </w:r>
          </w:p>
        </w:tc>
      </w:tr>
      <w:tr w:rsidR="00B02873" w:rsidRPr="00663288" w14:paraId="5FA9B6EC" w14:textId="77777777" w:rsidTr="009B3AE1">
        <w:trPr>
          <w:trHeight w:val="60"/>
        </w:trPr>
        <w:tc>
          <w:tcPr>
            <w:tcW w:w="2551" w:type="dxa"/>
          </w:tcPr>
          <w:p w14:paraId="49DEAA84" w14:textId="77777777" w:rsidR="00B02873" w:rsidRPr="00663288" w:rsidRDefault="00B02873" w:rsidP="00B96D7F">
            <w:pPr>
              <w:pStyle w:val="TablebodyleftFinancialsTables"/>
              <w:rPr>
                <w:rFonts w:asciiTheme="minorHAnsi" w:hAnsiTheme="minorHAnsi" w:cstheme="minorHAnsi"/>
                <w:sz w:val="18"/>
                <w:szCs w:val="18"/>
              </w:rPr>
            </w:pPr>
            <w:r w:rsidRPr="00663288">
              <w:rPr>
                <w:rFonts w:asciiTheme="minorHAnsi" w:hAnsiTheme="minorHAnsi" w:cstheme="minorHAnsi"/>
                <w:sz w:val="18"/>
                <w:szCs w:val="18"/>
              </w:rPr>
              <w:t>Other gains from other economic flows</w:t>
            </w:r>
          </w:p>
        </w:tc>
        <w:tc>
          <w:tcPr>
            <w:tcW w:w="988" w:type="dxa"/>
          </w:tcPr>
          <w:p w14:paraId="7E406DFB" w14:textId="77777777" w:rsidR="00B02873" w:rsidRPr="00946796" w:rsidRDefault="00B02873" w:rsidP="00946796">
            <w:pPr>
              <w:pStyle w:val="TablebodyleftFinancialsTables"/>
              <w:jc w:val="right"/>
              <w:rPr>
                <w:rFonts w:asciiTheme="minorHAnsi" w:hAnsiTheme="minorHAnsi" w:cstheme="minorHAnsi"/>
                <w:b/>
                <w:bCs/>
                <w:sz w:val="18"/>
                <w:szCs w:val="18"/>
              </w:rPr>
            </w:pPr>
            <w:r w:rsidRPr="00946796">
              <w:rPr>
                <w:rFonts w:asciiTheme="minorHAnsi" w:hAnsiTheme="minorHAnsi" w:cstheme="minorHAnsi"/>
                <w:b/>
                <w:bCs/>
                <w:sz w:val="18"/>
                <w:szCs w:val="18"/>
              </w:rPr>
              <w:t>1,324</w:t>
            </w:r>
          </w:p>
        </w:tc>
        <w:tc>
          <w:tcPr>
            <w:tcW w:w="988" w:type="dxa"/>
          </w:tcPr>
          <w:p w14:paraId="08C822D5" w14:textId="77777777" w:rsidR="00B02873" w:rsidRPr="00663288" w:rsidRDefault="00B02873" w:rsidP="00946796">
            <w:pPr>
              <w:pStyle w:val="TablebodyleftFinancialsTables"/>
              <w:jc w:val="right"/>
              <w:rPr>
                <w:rFonts w:asciiTheme="minorHAnsi" w:hAnsiTheme="minorHAnsi" w:cstheme="minorHAnsi"/>
                <w:sz w:val="18"/>
                <w:szCs w:val="18"/>
              </w:rPr>
            </w:pPr>
            <w:r w:rsidRPr="00663288">
              <w:rPr>
                <w:rFonts w:asciiTheme="minorHAnsi" w:hAnsiTheme="minorHAnsi" w:cstheme="minorHAnsi"/>
                <w:sz w:val="18"/>
                <w:szCs w:val="18"/>
              </w:rPr>
              <w:t>1,404</w:t>
            </w:r>
          </w:p>
        </w:tc>
        <w:tc>
          <w:tcPr>
            <w:tcW w:w="1280" w:type="dxa"/>
          </w:tcPr>
          <w:p w14:paraId="00ED078B" w14:textId="77777777" w:rsidR="00B02873" w:rsidRPr="00946796" w:rsidRDefault="00B02873" w:rsidP="00946796">
            <w:pPr>
              <w:pStyle w:val="TablebodyleftFinancialsTables"/>
              <w:jc w:val="right"/>
              <w:rPr>
                <w:rFonts w:asciiTheme="minorHAnsi" w:hAnsiTheme="minorHAnsi" w:cstheme="minorHAnsi"/>
                <w:b/>
                <w:bCs/>
                <w:sz w:val="18"/>
                <w:szCs w:val="18"/>
              </w:rPr>
            </w:pPr>
            <w:r w:rsidRPr="00946796">
              <w:rPr>
                <w:rFonts w:asciiTheme="minorHAnsi" w:hAnsiTheme="minorHAnsi" w:cstheme="minorHAnsi"/>
                <w:b/>
                <w:bCs/>
                <w:sz w:val="18"/>
                <w:szCs w:val="18"/>
              </w:rPr>
              <w:t>686</w:t>
            </w:r>
          </w:p>
        </w:tc>
        <w:tc>
          <w:tcPr>
            <w:tcW w:w="1276" w:type="dxa"/>
          </w:tcPr>
          <w:p w14:paraId="204721E3" w14:textId="77777777" w:rsidR="00B02873" w:rsidRPr="00663288" w:rsidRDefault="00B02873" w:rsidP="00946796">
            <w:pPr>
              <w:pStyle w:val="TablebodyleftFinancialsTables"/>
              <w:jc w:val="right"/>
              <w:rPr>
                <w:rFonts w:asciiTheme="minorHAnsi" w:hAnsiTheme="minorHAnsi" w:cstheme="minorHAnsi"/>
                <w:sz w:val="18"/>
                <w:szCs w:val="18"/>
              </w:rPr>
            </w:pPr>
            <w:r w:rsidRPr="00663288">
              <w:rPr>
                <w:rFonts w:asciiTheme="minorHAnsi" w:hAnsiTheme="minorHAnsi" w:cstheme="minorHAnsi"/>
                <w:sz w:val="18"/>
                <w:szCs w:val="18"/>
              </w:rPr>
              <w:t>1,021</w:t>
            </w:r>
          </w:p>
        </w:tc>
        <w:tc>
          <w:tcPr>
            <w:tcW w:w="1417" w:type="dxa"/>
          </w:tcPr>
          <w:p w14:paraId="63EBB264" w14:textId="77777777" w:rsidR="00B02873" w:rsidRPr="00946796" w:rsidRDefault="00B02873" w:rsidP="00946796">
            <w:pPr>
              <w:pStyle w:val="TablebodyleftFinancialsTables"/>
              <w:jc w:val="right"/>
              <w:rPr>
                <w:rFonts w:asciiTheme="minorHAnsi" w:hAnsiTheme="minorHAnsi" w:cstheme="minorHAnsi"/>
                <w:b/>
                <w:bCs/>
                <w:sz w:val="18"/>
                <w:szCs w:val="18"/>
              </w:rPr>
            </w:pPr>
            <w:r w:rsidRPr="00946796">
              <w:rPr>
                <w:rFonts w:asciiTheme="minorHAnsi" w:hAnsiTheme="minorHAnsi" w:cstheme="minorHAnsi"/>
                <w:b/>
                <w:bCs/>
                <w:sz w:val="18"/>
                <w:szCs w:val="18"/>
              </w:rPr>
              <w:t>–</w:t>
            </w:r>
          </w:p>
        </w:tc>
        <w:tc>
          <w:tcPr>
            <w:tcW w:w="1418" w:type="dxa"/>
          </w:tcPr>
          <w:p w14:paraId="6427A31F" w14:textId="77777777" w:rsidR="00B02873" w:rsidRPr="00663288" w:rsidRDefault="00B02873" w:rsidP="00946796">
            <w:pPr>
              <w:pStyle w:val="TablebodyleftFinancialsTables"/>
              <w:jc w:val="right"/>
              <w:rPr>
                <w:rFonts w:asciiTheme="minorHAnsi" w:hAnsiTheme="minorHAnsi" w:cstheme="minorHAnsi"/>
                <w:sz w:val="18"/>
                <w:szCs w:val="18"/>
              </w:rPr>
            </w:pPr>
            <w:r w:rsidRPr="00663288">
              <w:rPr>
                <w:rFonts w:asciiTheme="minorHAnsi" w:hAnsiTheme="minorHAnsi" w:cstheme="minorHAnsi"/>
                <w:sz w:val="18"/>
                <w:szCs w:val="18"/>
              </w:rPr>
              <w:t>–</w:t>
            </w:r>
          </w:p>
        </w:tc>
      </w:tr>
      <w:tr w:rsidR="00B02873" w:rsidRPr="00663288" w14:paraId="4A741A8D" w14:textId="77777777" w:rsidTr="009B3AE1">
        <w:trPr>
          <w:trHeight w:val="532"/>
        </w:trPr>
        <w:tc>
          <w:tcPr>
            <w:tcW w:w="2551" w:type="dxa"/>
          </w:tcPr>
          <w:p w14:paraId="0CDB73B3" w14:textId="77777777" w:rsidR="00B02873" w:rsidRPr="00946796" w:rsidRDefault="00B02873" w:rsidP="00B96D7F">
            <w:pPr>
              <w:pStyle w:val="TablebodyleftFinancialsTables"/>
              <w:rPr>
                <w:rFonts w:asciiTheme="minorHAnsi" w:hAnsiTheme="minorHAnsi" w:cstheme="minorHAnsi"/>
                <w:b/>
                <w:bCs/>
                <w:sz w:val="18"/>
                <w:szCs w:val="18"/>
              </w:rPr>
            </w:pPr>
            <w:r w:rsidRPr="00946796">
              <w:rPr>
                <w:rFonts w:asciiTheme="minorHAnsi" w:hAnsiTheme="minorHAnsi" w:cstheme="minorHAnsi"/>
                <w:b/>
                <w:bCs/>
                <w:sz w:val="18"/>
                <w:szCs w:val="18"/>
              </w:rPr>
              <w:t>Total other economic flows included in net result</w:t>
            </w:r>
          </w:p>
        </w:tc>
        <w:tc>
          <w:tcPr>
            <w:tcW w:w="988" w:type="dxa"/>
          </w:tcPr>
          <w:p w14:paraId="59F24615" w14:textId="77777777" w:rsidR="00B02873" w:rsidRPr="00946796" w:rsidRDefault="00B02873" w:rsidP="00946796">
            <w:pPr>
              <w:pStyle w:val="TablebodyleftFinancialsTables"/>
              <w:jc w:val="right"/>
              <w:rPr>
                <w:rFonts w:asciiTheme="minorHAnsi" w:hAnsiTheme="minorHAnsi" w:cstheme="minorHAnsi"/>
                <w:b/>
                <w:bCs/>
                <w:sz w:val="18"/>
                <w:szCs w:val="18"/>
              </w:rPr>
            </w:pPr>
            <w:r w:rsidRPr="00946796">
              <w:rPr>
                <w:rFonts w:asciiTheme="minorHAnsi" w:hAnsiTheme="minorHAnsi" w:cstheme="minorHAnsi"/>
                <w:b/>
                <w:bCs/>
                <w:sz w:val="18"/>
                <w:szCs w:val="18"/>
              </w:rPr>
              <w:t>(2,589)</w:t>
            </w:r>
          </w:p>
        </w:tc>
        <w:tc>
          <w:tcPr>
            <w:tcW w:w="988" w:type="dxa"/>
          </w:tcPr>
          <w:p w14:paraId="3E778C57" w14:textId="77777777" w:rsidR="00B02873" w:rsidRPr="00663288" w:rsidRDefault="00B02873" w:rsidP="00946796">
            <w:pPr>
              <w:pStyle w:val="TablebodyleftFinancialsTables"/>
              <w:jc w:val="right"/>
              <w:rPr>
                <w:rFonts w:asciiTheme="minorHAnsi" w:hAnsiTheme="minorHAnsi" w:cstheme="minorHAnsi"/>
                <w:sz w:val="18"/>
                <w:szCs w:val="18"/>
              </w:rPr>
            </w:pPr>
            <w:r w:rsidRPr="00663288">
              <w:rPr>
                <w:rFonts w:asciiTheme="minorHAnsi" w:hAnsiTheme="minorHAnsi" w:cstheme="minorHAnsi"/>
                <w:sz w:val="18"/>
                <w:szCs w:val="18"/>
              </w:rPr>
              <w:t>1,345</w:t>
            </w:r>
          </w:p>
        </w:tc>
        <w:tc>
          <w:tcPr>
            <w:tcW w:w="1280" w:type="dxa"/>
          </w:tcPr>
          <w:p w14:paraId="0B4FB0FD" w14:textId="77777777" w:rsidR="00B02873" w:rsidRPr="00946796" w:rsidRDefault="00B02873" w:rsidP="00946796">
            <w:pPr>
              <w:pStyle w:val="TablebodyleftFinancialsTables"/>
              <w:jc w:val="right"/>
              <w:rPr>
                <w:rFonts w:asciiTheme="minorHAnsi" w:hAnsiTheme="minorHAnsi" w:cstheme="minorHAnsi"/>
                <w:b/>
                <w:bCs/>
                <w:sz w:val="18"/>
                <w:szCs w:val="18"/>
              </w:rPr>
            </w:pPr>
            <w:r w:rsidRPr="00946796">
              <w:rPr>
                <w:rFonts w:asciiTheme="minorHAnsi" w:hAnsiTheme="minorHAnsi" w:cstheme="minorHAnsi"/>
                <w:b/>
                <w:bCs/>
                <w:sz w:val="18"/>
                <w:szCs w:val="18"/>
              </w:rPr>
              <w:t xml:space="preserve"> 854</w:t>
            </w:r>
          </w:p>
        </w:tc>
        <w:tc>
          <w:tcPr>
            <w:tcW w:w="1276" w:type="dxa"/>
          </w:tcPr>
          <w:p w14:paraId="0B45830D" w14:textId="77777777" w:rsidR="00B02873" w:rsidRPr="00663288" w:rsidRDefault="00B02873" w:rsidP="00946796">
            <w:pPr>
              <w:pStyle w:val="TablebodyleftFinancialsTables"/>
              <w:jc w:val="right"/>
              <w:rPr>
                <w:rFonts w:asciiTheme="minorHAnsi" w:hAnsiTheme="minorHAnsi" w:cstheme="minorHAnsi"/>
                <w:sz w:val="18"/>
                <w:szCs w:val="18"/>
              </w:rPr>
            </w:pPr>
            <w:r w:rsidRPr="00663288">
              <w:rPr>
                <w:rFonts w:asciiTheme="minorHAnsi" w:hAnsiTheme="minorHAnsi" w:cstheme="minorHAnsi"/>
                <w:sz w:val="18"/>
                <w:szCs w:val="18"/>
              </w:rPr>
              <w:t>1,103</w:t>
            </w:r>
          </w:p>
        </w:tc>
        <w:tc>
          <w:tcPr>
            <w:tcW w:w="1417" w:type="dxa"/>
          </w:tcPr>
          <w:p w14:paraId="04C1327D" w14:textId="77777777" w:rsidR="00B02873" w:rsidRPr="00946796" w:rsidRDefault="00B02873" w:rsidP="00946796">
            <w:pPr>
              <w:pStyle w:val="TablebodyleftFinancialsTables"/>
              <w:jc w:val="right"/>
              <w:rPr>
                <w:rFonts w:asciiTheme="minorHAnsi" w:hAnsiTheme="minorHAnsi" w:cstheme="minorHAnsi"/>
                <w:b/>
                <w:bCs/>
                <w:sz w:val="18"/>
                <w:szCs w:val="18"/>
              </w:rPr>
            </w:pPr>
            <w:r w:rsidRPr="00946796">
              <w:rPr>
                <w:rFonts w:asciiTheme="minorHAnsi" w:hAnsiTheme="minorHAnsi" w:cstheme="minorHAnsi"/>
                <w:b/>
                <w:bCs/>
                <w:sz w:val="18"/>
                <w:szCs w:val="18"/>
              </w:rPr>
              <w:t>–</w:t>
            </w:r>
          </w:p>
        </w:tc>
        <w:tc>
          <w:tcPr>
            <w:tcW w:w="1418" w:type="dxa"/>
          </w:tcPr>
          <w:p w14:paraId="02BA91B2" w14:textId="34C34C1A" w:rsidR="00B02873" w:rsidRPr="00663288" w:rsidRDefault="00012C04" w:rsidP="00946796">
            <w:pPr>
              <w:pStyle w:val="TablebodyleftFinancialsTables"/>
              <w:jc w:val="right"/>
              <w:rPr>
                <w:rFonts w:asciiTheme="minorHAnsi" w:hAnsiTheme="minorHAnsi" w:cstheme="minorHAnsi"/>
                <w:sz w:val="18"/>
                <w:szCs w:val="18"/>
              </w:rPr>
            </w:pPr>
            <w:r w:rsidRPr="00663288">
              <w:rPr>
                <w:rFonts w:asciiTheme="minorHAnsi" w:hAnsiTheme="minorHAnsi" w:cstheme="minorHAnsi"/>
                <w:sz w:val="18"/>
                <w:szCs w:val="18"/>
              </w:rPr>
              <w:t xml:space="preserve"> </w:t>
            </w:r>
            <w:r w:rsidR="00B02873" w:rsidRPr="00663288">
              <w:rPr>
                <w:rFonts w:asciiTheme="minorHAnsi" w:hAnsiTheme="minorHAnsi" w:cstheme="minorHAnsi"/>
                <w:sz w:val="18"/>
                <w:szCs w:val="18"/>
              </w:rPr>
              <w:t xml:space="preserve"> –</w:t>
            </w:r>
          </w:p>
        </w:tc>
      </w:tr>
      <w:tr w:rsidR="00B02873" w:rsidRPr="00663288" w14:paraId="3C78854C" w14:textId="77777777" w:rsidTr="009B3AE1">
        <w:trPr>
          <w:trHeight w:val="60"/>
        </w:trPr>
        <w:tc>
          <w:tcPr>
            <w:tcW w:w="2551" w:type="dxa"/>
          </w:tcPr>
          <w:p w14:paraId="632B789A" w14:textId="77777777" w:rsidR="00B02873" w:rsidRPr="00946796" w:rsidRDefault="00B02873" w:rsidP="00B96D7F">
            <w:pPr>
              <w:pStyle w:val="TablebodyleftFinancialsTables"/>
              <w:rPr>
                <w:rFonts w:asciiTheme="minorHAnsi" w:hAnsiTheme="minorHAnsi" w:cstheme="minorHAnsi"/>
                <w:b/>
                <w:bCs/>
                <w:sz w:val="18"/>
                <w:szCs w:val="18"/>
              </w:rPr>
            </w:pPr>
            <w:r w:rsidRPr="00946796">
              <w:rPr>
                <w:rFonts w:asciiTheme="minorHAnsi" w:hAnsiTheme="minorHAnsi" w:cstheme="minorHAnsi"/>
                <w:b/>
                <w:bCs/>
                <w:sz w:val="18"/>
                <w:szCs w:val="18"/>
              </w:rPr>
              <w:t xml:space="preserve">Net result </w:t>
            </w:r>
          </w:p>
        </w:tc>
        <w:tc>
          <w:tcPr>
            <w:tcW w:w="988" w:type="dxa"/>
          </w:tcPr>
          <w:p w14:paraId="15BE9393" w14:textId="77777777" w:rsidR="00B02873" w:rsidRPr="00946796" w:rsidRDefault="00B02873" w:rsidP="00946796">
            <w:pPr>
              <w:pStyle w:val="TablebodyleftFinancialsTables"/>
              <w:jc w:val="right"/>
              <w:rPr>
                <w:rFonts w:asciiTheme="minorHAnsi" w:hAnsiTheme="minorHAnsi" w:cstheme="minorHAnsi"/>
                <w:b/>
                <w:bCs/>
                <w:sz w:val="18"/>
                <w:szCs w:val="18"/>
              </w:rPr>
            </w:pPr>
            <w:r w:rsidRPr="00946796">
              <w:rPr>
                <w:rFonts w:asciiTheme="minorHAnsi" w:hAnsiTheme="minorHAnsi" w:cstheme="minorHAnsi"/>
                <w:b/>
                <w:bCs/>
                <w:sz w:val="18"/>
                <w:szCs w:val="18"/>
              </w:rPr>
              <w:t>103,539</w:t>
            </w:r>
          </w:p>
        </w:tc>
        <w:tc>
          <w:tcPr>
            <w:tcW w:w="988" w:type="dxa"/>
          </w:tcPr>
          <w:p w14:paraId="4B3029E5" w14:textId="77777777" w:rsidR="00B02873" w:rsidRPr="00663288" w:rsidRDefault="00B02873" w:rsidP="00946796">
            <w:pPr>
              <w:pStyle w:val="TablebodyleftFinancialsTables"/>
              <w:jc w:val="right"/>
              <w:rPr>
                <w:rFonts w:asciiTheme="minorHAnsi" w:hAnsiTheme="minorHAnsi" w:cstheme="minorHAnsi"/>
                <w:sz w:val="18"/>
                <w:szCs w:val="18"/>
              </w:rPr>
            </w:pPr>
            <w:r w:rsidRPr="00663288">
              <w:rPr>
                <w:rFonts w:asciiTheme="minorHAnsi" w:hAnsiTheme="minorHAnsi" w:cstheme="minorHAnsi"/>
                <w:sz w:val="18"/>
                <w:szCs w:val="18"/>
              </w:rPr>
              <w:t>84,429</w:t>
            </w:r>
          </w:p>
        </w:tc>
        <w:tc>
          <w:tcPr>
            <w:tcW w:w="1280" w:type="dxa"/>
          </w:tcPr>
          <w:p w14:paraId="11C41893" w14:textId="77777777" w:rsidR="00B02873" w:rsidRPr="00946796" w:rsidRDefault="00B02873" w:rsidP="00946796">
            <w:pPr>
              <w:pStyle w:val="TablebodyleftFinancialsTables"/>
              <w:jc w:val="right"/>
              <w:rPr>
                <w:rFonts w:asciiTheme="minorHAnsi" w:hAnsiTheme="minorHAnsi" w:cstheme="minorHAnsi"/>
                <w:b/>
                <w:bCs/>
                <w:sz w:val="18"/>
                <w:szCs w:val="18"/>
              </w:rPr>
            </w:pPr>
            <w:r w:rsidRPr="00946796">
              <w:rPr>
                <w:rFonts w:asciiTheme="minorHAnsi" w:hAnsiTheme="minorHAnsi" w:cstheme="minorHAnsi"/>
                <w:b/>
                <w:bCs/>
                <w:sz w:val="18"/>
                <w:szCs w:val="18"/>
              </w:rPr>
              <w:t>124,706</w:t>
            </w:r>
          </w:p>
        </w:tc>
        <w:tc>
          <w:tcPr>
            <w:tcW w:w="1276" w:type="dxa"/>
          </w:tcPr>
          <w:p w14:paraId="2AEF85D6" w14:textId="77777777" w:rsidR="00B02873" w:rsidRPr="00663288" w:rsidRDefault="00B02873" w:rsidP="00946796">
            <w:pPr>
              <w:pStyle w:val="TablebodyleftFinancialsTables"/>
              <w:jc w:val="right"/>
              <w:rPr>
                <w:rFonts w:asciiTheme="minorHAnsi" w:hAnsiTheme="minorHAnsi" w:cstheme="minorHAnsi"/>
                <w:sz w:val="18"/>
                <w:szCs w:val="18"/>
              </w:rPr>
            </w:pPr>
            <w:r w:rsidRPr="00663288">
              <w:rPr>
                <w:rFonts w:asciiTheme="minorHAnsi" w:hAnsiTheme="minorHAnsi" w:cstheme="minorHAnsi"/>
                <w:sz w:val="18"/>
                <w:szCs w:val="18"/>
              </w:rPr>
              <w:t>(22,054)</w:t>
            </w:r>
          </w:p>
        </w:tc>
        <w:tc>
          <w:tcPr>
            <w:tcW w:w="1417" w:type="dxa"/>
          </w:tcPr>
          <w:p w14:paraId="41EE32B1" w14:textId="77777777" w:rsidR="00B02873" w:rsidRPr="00946796" w:rsidRDefault="00B02873" w:rsidP="00946796">
            <w:pPr>
              <w:pStyle w:val="TablebodyleftFinancialsTables"/>
              <w:jc w:val="right"/>
              <w:rPr>
                <w:rFonts w:asciiTheme="minorHAnsi" w:hAnsiTheme="minorHAnsi" w:cstheme="minorHAnsi"/>
                <w:b/>
                <w:bCs/>
                <w:sz w:val="18"/>
                <w:szCs w:val="18"/>
              </w:rPr>
            </w:pPr>
            <w:r w:rsidRPr="00946796">
              <w:rPr>
                <w:rFonts w:asciiTheme="minorHAnsi" w:hAnsiTheme="minorHAnsi" w:cstheme="minorHAnsi"/>
                <w:b/>
                <w:bCs/>
                <w:sz w:val="18"/>
                <w:szCs w:val="18"/>
              </w:rPr>
              <w:t>(168,994)</w:t>
            </w:r>
          </w:p>
        </w:tc>
        <w:tc>
          <w:tcPr>
            <w:tcW w:w="1418" w:type="dxa"/>
          </w:tcPr>
          <w:p w14:paraId="6A1B82DF" w14:textId="77777777" w:rsidR="00B02873" w:rsidRPr="00663288" w:rsidRDefault="00B02873" w:rsidP="00946796">
            <w:pPr>
              <w:pStyle w:val="TablebodyleftFinancialsTables"/>
              <w:jc w:val="right"/>
              <w:rPr>
                <w:rFonts w:asciiTheme="minorHAnsi" w:hAnsiTheme="minorHAnsi" w:cstheme="minorHAnsi"/>
                <w:sz w:val="18"/>
                <w:szCs w:val="18"/>
              </w:rPr>
            </w:pPr>
            <w:r w:rsidRPr="00663288">
              <w:rPr>
                <w:rFonts w:asciiTheme="minorHAnsi" w:hAnsiTheme="minorHAnsi" w:cstheme="minorHAnsi"/>
                <w:sz w:val="18"/>
                <w:szCs w:val="18"/>
              </w:rPr>
              <w:t>(77,820)</w:t>
            </w:r>
          </w:p>
        </w:tc>
      </w:tr>
      <w:tr w:rsidR="00B02873" w:rsidRPr="00663288" w14:paraId="06865AF1" w14:textId="77777777" w:rsidTr="009B3AE1">
        <w:trPr>
          <w:trHeight w:val="60"/>
        </w:trPr>
        <w:tc>
          <w:tcPr>
            <w:tcW w:w="2551" w:type="dxa"/>
          </w:tcPr>
          <w:p w14:paraId="769E77BE" w14:textId="3B79C0FD" w:rsidR="00B02873" w:rsidRPr="00946796" w:rsidRDefault="00B02873" w:rsidP="00B96D7F">
            <w:pPr>
              <w:pStyle w:val="TablebodyleftFinancialsTables"/>
              <w:rPr>
                <w:rFonts w:asciiTheme="minorHAnsi" w:hAnsiTheme="minorHAnsi" w:cstheme="minorHAnsi"/>
                <w:b/>
                <w:bCs/>
                <w:sz w:val="18"/>
                <w:szCs w:val="18"/>
              </w:rPr>
            </w:pPr>
            <w:r w:rsidRPr="00946796">
              <w:rPr>
                <w:rFonts w:asciiTheme="minorHAnsi" w:hAnsiTheme="minorHAnsi" w:cstheme="minorHAnsi"/>
                <w:b/>
                <w:bCs/>
                <w:sz w:val="18"/>
                <w:szCs w:val="18"/>
              </w:rPr>
              <w:t>Other economic flows – other comprehensive income</w:t>
            </w:r>
          </w:p>
        </w:tc>
        <w:tc>
          <w:tcPr>
            <w:tcW w:w="988" w:type="dxa"/>
          </w:tcPr>
          <w:p w14:paraId="3864AAA3" w14:textId="77777777" w:rsidR="00B02873" w:rsidRPr="00946796" w:rsidRDefault="00B02873" w:rsidP="00946796">
            <w:pPr>
              <w:pStyle w:val="TablebodyleftFinancialsTables"/>
              <w:jc w:val="right"/>
              <w:rPr>
                <w:rFonts w:asciiTheme="minorHAnsi" w:hAnsiTheme="minorHAnsi" w:cstheme="minorHAnsi"/>
                <w:b/>
                <w:bCs/>
                <w:sz w:val="18"/>
                <w:szCs w:val="18"/>
              </w:rPr>
            </w:pPr>
          </w:p>
        </w:tc>
        <w:tc>
          <w:tcPr>
            <w:tcW w:w="988" w:type="dxa"/>
          </w:tcPr>
          <w:p w14:paraId="08F2F760" w14:textId="77777777" w:rsidR="00B02873" w:rsidRPr="00663288" w:rsidRDefault="00B02873" w:rsidP="00946796">
            <w:pPr>
              <w:pStyle w:val="TablebodyleftFinancialsTables"/>
              <w:jc w:val="right"/>
              <w:rPr>
                <w:rFonts w:asciiTheme="minorHAnsi" w:hAnsiTheme="minorHAnsi" w:cstheme="minorHAnsi"/>
                <w:sz w:val="18"/>
                <w:szCs w:val="18"/>
              </w:rPr>
            </w:pPr>
          </w:p>
        </w:tc>
        <w:tc>
          <w:tcPr>
            <w:tcW w:w="1280" w:type="dxa"/>
          </w:tcPr>
          <w:p w14:paraId="6C08CE47" w14:textId="77777777" w:rsidR="00B02873" w:rsidRPr="00946796" w:rsidRDefault="00B02873" w:rsidP="00946796">
            <w:pPr>
              <w:pStyle w:val="TablebodyleftFinancialsTables"/>
              <w:jc w:val="right"/>
              <w:rPr>
                <w:rFonts w:asciiTheme="minorHAnsi" w:hAnsiTheme="minorHAnsi" w:cstheme="minorHAnsi"/>
                <w:b/>
                <w:bCs/>
                <w:sz w:val="18"/>
                <w:szCs w:val="18"/>
              </w:rPr>
            </w:pPr>
          </w:p>
        </w:tc>
        <w:tc>
          <w:tcPr>
            <w:tcW w:w="1276" w:type="dxa"/>
          </w:tcPr>
          <w:p w14:paraId="28DE60AC" w14:textId="77777777" w:rsidR="00B02873" w:rsidRPr="00663288" w:rsidRDefault="00B02873" w:rsidP="00946796">
            <w:pPr>
              <w:pStyle w:val="TablebodyleftFinancialsTables"/>
              <w:jc w:val="right"/>
              <w:rPr>
                <w:rFonts w:asciiTheme="minorHAnsi" w:hAnsiTheme="minorHAnsi" w:cstheme="minorHAnsi"/>
                <w:sz w:val="18"/>
                <w:szCs w:val="18"/>
              </w:rPr>
            </w:pPr>
          </w:p>
        </w:tc>
        <w:tc>
          <w:tcPr>
            <w:tcW w:w="1417" w:type="dxa"/>
          </w:tcPr>
          <w:p w14:paraId="762F6918" w14:textId="77777777" w:rsidR="00B02873" w:rsidRPr="00946796" w:rsidRDefault="00B02873" w:rsidP="00946796">
            <w:pPr>
              <w:pStyle w:val="TablebodyleftFinancialsTables"/>
              <w:jc w:val="right"/>
              <w:rPr>
                <w:rFonts w:asciiTheme="minorHAnsi" w:hAnsiTheme="minorHAnsi" w:cstheme="minorHAnsi"/>
                <w:b/>
                <w:bCs/>
                <w:sz w:val="18"/>
                <w:szCs w:val="18"/>
              </w:rPr>
            </w:pPr>
          </w:p>
        </w:tc>
        <w:tc>
          <w:tcPr>
            <w:tcW w:w="1418" w:type="dxa"/>
          </w:tcPr>
          <w:p w14:paraId="13DFA9EB" w14:textId="77777777" w:rsidR="00B02873" w:rsidRPr="00663288" w:rsidRDefault="00B02873" w:rsidP="00946796">
            <w:pPr>
              <w:pStyle w:val="TablebodyleftFinancialsTables"/>
              <w:jc w:val="right"/>
              <w:rPr>
                <w:rFonts w:asciiTheme="minorHAnsi" w:hAnsiTheme="minorHAnsi" w:cstheme="minorHAnsi"/>
                <w:sz w:val="18"/>
                <w:szCs w:val="18"/>
              </w:rPr>
            </w:pPr>
          </w:p>
        </w:tc>
      </w:tr>
      <w:tr w:rsidR="00B02873" w:rsidRPr="00663288" w14:paraId="436E30E2" w14:textId="77777777" w:rsidTr="009B3AE1">
        <w:trPr>
          <w:trHeight w:val="60"/>
        </w:trPr>
        <w:tc>
          <w:tcPr>
            <w:tcW w:w="2551" w:type="dxa"/>
          </w:tcPr>
          <w:p w14:paraId="6B5B765C" w14:textId="77777777" w:rsidR="00B02873" w:rsidRPr="00946796" w:rsidRDefault="00B02873" w:rsidP="00B96D7F">
            <w:pPr>
              <w:pStyle w:val="TablebodyleftFinancialsTables"/>
              <w:rPr>
                <w:rFonts w:asciiTheme="minorHAnsi" w:hAnsiTheme="minorHAnsi" w:cstheme="minorHAnsi"/>
                <w:b/>
                <w:bCs/>
                <w:sz w:val="18"/>
                <w:szCs w:val="18"/>
              </w:rPr>
            </w:pPr>
            <w:r w:rsidRPr="00946796">
              <w:rPr>
                <w:rFonts w:asciiTheme="minorHAnsi" w:hAnsiTheme="minorHAnsi" w:cstheme="minorHAnsi"/>
                <w:b/>
                <w:bCs/>
                <w:sz w:val="18"/>
                <w:szCs w:val="18"/>
              </w:rPr>
              <w:lastRenderedPageBreak/>
              <w:t>Items that will not be classified to net result</w:t>
            </w:r>
          </w:p>
        </w:tc>
        <w:tc>
          <w:tcPr>
            <w:tcW w:w="988" w:type="dxa"/>
          </w:tcPr>
          <w:p w14:paraId="2ED8AB12" w14:textId="77777777" w:rsidR="00B02873" w:rsidRPr="00946796" w:rsidRDefault="00B02873" w:rsidP="00946796">
            <w:pPr>
              <w:pStyle w:val="TablebodyleftFinancialsTables"/>
              <w:jc w:val="right"/>
              <w:rPr>
                <w:rFonts w:asciiTheme="minorHAnsi" w:hAnsiTheme="minorHAnsi" w:cstheme="minorHAnsi"/>
                <w:b/>
                <w:bCs/>
                <w:sz w:val="18"/>
                <w:szCs w:val="18"/>
              </w:rPr>
            </w:pPr>
          </w:p>
        </w:tc>
        <w:tc>
          <w:tcPr>
            <w:tcW w:w="988" w:type="dxa"/>
          </w:tcPr>
          <w:p w14:paraId="4927B0EC" w14:textId="77777777" w:rsidR="00B02873" w:rsidRPr="00663288" w:rsidRDefault="00B02873" w:rsidP="00946796">
            <w:pPr>
              <w:pStyle w:val="TablebodyleftFinancialsTables"/>
              <w:jc w:val="right"/>
              <w:rPr>
                <w:rFonts w:asciiTheme="minorHAnsi" w:hAnsiTheme="minorHAnsi" w:cstheme="minorHAnsi"/>
                <w:sz w:val="18"/>
                <w:szCs w:val="18"/>
              </w:rPr>
            </w:pPr>
          </w:p>
        </w:tc>
        <w:tc>
          <w:tcPr>
            <w:tcW w:w="1280" w:type="dxa"/>
          </w:tcPr>
          <w:p w14:paraId="12BB3058" w14:textId="77777777" w:rsidR="00B02873" w:rsidRPr="00946796" w:rsidRDefault="00B02873" w:rsidP="00946796">
            <w:pPr>
              <w:pStyle w:val="TablebodyleftFinancialsTables"/>
              <w:jc w:val="right"/>
              <w:rPr>
                <w:rFonts w:asciiTheme="minorHAnsi" w:hAnsiTheme="minorHAnsi" w:cstheme="minorHAnsi"/>
                <w:b/>
                <w:bCs/>
                <w:sz w:val="18"/>
                <w:szCs w:val="18"/>
              </w:rPr>
            </w:pPr>
          </w:p>
        </w:tc>
        <w:tc>
          <w:tcPr>
            <w:tcW w:w="1276" w:type="dxa"/>
          </w:tcPr>
          <w:p w14:paraId="323A54F2" w14:textId="77777777" w:rsidR="00B02873" w:rsidRPr="00663288" w:rsidRDefault="00B02873" w:rsidP="00946796">
            <w:pPr>
              <w:pStyle w:val="TablebodyleftFinancialsTables"/>
              <w:jc w:val="right"/>
              <w:rPr>
                <w:rFonts w:asciiTheme="minorHAnsi" w:hAnsiTheme="minorHAnsi" w:cstheme="minorHAnsi"/>
                <w:sz w:val="18"/>
                <w:szCs w:val="18"/>
              </w:rPr>
            </w:pPr>
          </w:p>
        </w:tc>
        <w:tc>
          <w:tcPr>
            <w:tcW w:w="1417" w:type="dxa"/>
          </w:tcPr>
          <w:p w14:paraId="02D98B81" w14:textId="77777777" w:rsidR="00B02873" w:rsidRPr="00946796" w:rsidRDefault="00B02873" w:rsidP="00946796">
            <w:pPr>
              <w:pStyle w:val="TablebodyleftFinancialsTables"/>
              <w:jc w:val="right"/>
              <w:rPr>
                <w:rFonts w:asciiTheme="minorHAnsi" w:hAnsiTheme="minorHAnsi" w:cstheme="minorHAnsi"/>
                <w:b/>
                <w:bCs/>
                <w:sz w:val="18"/>
                <w:szCs w:val="18"/>
              </w:rPr>
            </w:pPr>
          </w:p>
        </w:tc>
        <w:tc>
          <w:tcPr>
            <w:tcW w:w="1418" w:type="dxa"/>
          </w:tcPr>
          <w:p w14:paraId="6EC98131" w14:textId="77777777" w:rsidR="00B02873" w:rsidRPr="00663288" w:rsidRDefault="00B02873" w:rsidP="00946796">
            <w:pPr>
              <w:pStyle w:val="TablebodyleftFinancialsTables"/>
              <w:jc w:val="right"/>
              <w:rPr>
                <w:rFonts w:asciiTheme="minorHAnsi" w:hAnsiTheme="minorHAnsi" w:cstheme="minorHAnsi"/>
                <w:sz w:val="18"/>
                <w:szCs w:val="18"/>
              </w:rPr>
            </w:pPr>
          </w:p>
        </w:tc>
      </w:tr>
      <w:tr w:rsidR="00B02873" w:rsidRPr="00663288" w14:paraId="09B7C5B6" w14:textId="77777777" w:rsidTr="009B3AE1">
        <w:trPr>
          <w:trHeight w:val="60"/>
        </w:trPr>
        <w:tc>
          <w:tcPr>
            <w:tcW w:w="2551" w:type="dxa"/>
          </w:tcPr>
          <w:p w14:paraId="75563739" w14:textId="77777777" w:rsidR="00B02873" w:rsidRPr="00663288" w:rsidRDefault="00B02873" w:rsidP="00B96D7F">
            <w:pPr>
              <w:pStyle w:val="TablebodyleftFinancialsTables"/>
              <w:rPr>
                <w:rFonts w:asciiTheme="minorHAnsi" w:hAnsiTheme="minorHAnsi" w:cstheme="minorHAnsi"/>
                <w:sz w:val="18"/>
                <w:szCs w:val="18"/>
              </w:rPr>
            </w:pPr>
            <w:r w:rsidRPr="00663288">
              <w:rPr>
                <w:rFonts w:asciiTheme="minorHAnsi" w:hAnsiTheme="minorHAnsi" w:cstheme="minorHAnsi"/>
                <w:sz w:val="18"/>
                <w:szCs w:val="18"/>
              </w:rPr>
              <w:t>Changes in physical asset revaluation surplus</w:t>
            </w:r>
          </w:p>
        </w:tc>
        <w:tc>
          <w:tcPr>
            <w:tcW w:w="988" w:type="dxa"/>
          </w:tcPr>
          <w:p w14:paraId="07917FD8" w14:textId="77777777" w:rsidR="00B02873" w:rsidRPr="00946796" w:rsidRDefault="00B02873" w:rsidP="00946796">
            <w:pPr>
              <w:pStyle w:val="TablebodyleftFinancialsTables"/>
              <w:jc w:val="right"/>
              <w:rPr>
                <w:rFonts w:asciiTheme="minorHAnsi" w:hAnsiTheme="minorHAnsi" w:cstheme="minorHAnsi"/>
                <w:b/>
                <w:bCs/>
                <w:sz w:val="18"/>
                <w:szCs w:val="18"/>
              </w:rPr>
            </w:pPr>
            <w:r w:rsidRPr="00946796">
              <w:rPr>
                <w:rFonts w:asciiTheme="minorHAnsi" w:hAnsiTheme="minorHAnsi" w:cstheme="minorHAnsi"/>
                <w:b/>
                <w:bCs/>
                <w:sz w:val="18"/>
                <w:szCs w:val="18"/>
              </w:rPr>
              <w:t>–</w:t>
            </w:r>
          </w:p>
        </w:tc>
        <w:tc>
          <w:tcPr>
            <w:tcW w:w="988" w:type="dxa"/>
          </w:tcPr>
          <w:p w14:paraId="73E237F0" w14:textId="77777777" w:rsidR="00B02873" w:rsidRPr="00663288" w:rsidRDefault="00B02873" w:rsidP="00946796">
            <w:pPr>
              <w:pStyle w:val="TablebodyleftFinancialsTables"/>
              <w:jc w:val="right"/>
              <w:rPr>
                <w:rFonts w:asciiTheme="minorHAnsi" w:hAnsiTheme="minorHAnsi" w:cstheme="minorHAnsi"/>
                <w:sz w:val="18"/>
                <w:szCs w:val="18"/>
              </w:rPr>
            </w:pPr>
            <w:r w:rsidRPr="00663288">
              <w:rPr>
                <w:rFonts w:asciiTheme="minorHAnsi" w:hAnsiTheme="minorHAnsi" w:cstheme="minorHAnsi"/>
                <w:sz w:val="18"/>
                <w:szCs w:val="18"/>
              </w:rPr>
              <w:t>–</w:t>
            </w:r>
          </w:p>
        </w:tc>
        <w:tc>
          <w:tcPr>
            <w:tcW w:w="1280" w:type="dxa"/>
          </w:tcPr>
          <w:p w14:paraId="4888F46A" w14:textId="77777777" w:rsidR="00B02873" w:rsidRPr="00946796" w:rsidRDefault="00B02873" w:rsidP="00946796">
            <w:pPr>
              <w:pStyle w:val="TablebodyleftFinancialsTables"/>
              <w:jc w:val="right"/>
              <w:rPr>
                <w:rFonts w:asciiTheme="minorHAnsi" w:hAnsiTheme="minorHAnsi" w:cstheme="minorHAnsi"/>
                <w:b/>
                <w:bCs/>
                <w:sz w:val="18"/>
                <w:szCs w:val="18"/>
              </w:rPr>
            </w:pPr>
            <w:r w:rsidRPr="00946796">
              <w:rPr>
                <w:rFonts w:asciiTheme="minorHAnsi" w:hAnsiTheme="minorHAnsi" w:cstheme="minorHAnsi"/>
                <w:b/>
                <w:bCs/>
                <w:sz w:val="18"/>
                <w:szCs w:val="18"/>
              </w:rPr>
              <w:t>–</w:t>
            </w:r>
          </w:p>
        </w:tc>
        <w:tc>
          <w:tcPr>
            <w:tcW w:w="1276" w:type="dxa"/>
          </w:tcPr>
          <w:p w14:paraId="491554A8" w14:textId="77777777" w:rsidR="00B02873" w:rsidRPr="00663288" w:rsidRDefault="00B02873" w:rsidP="00946796">
            <w:pPr>
              <w:pStyle w:val="TablebodyleftFinancialsTables"/>
              <w:jc w:val="right"/>
              <w:rPr>
                <w:rFonts w:asciiTheme="minorHAnsi" w:hAnsiTheme="minorHAnsi" w:cstheme="minorHAnsi"/>
                <w:sz w:val="18"/>
                <w:szCs w:val="18"/>
              </w:rPr>
            </w:pPr>
            <w:r w:rsidRPr="00663288">
              <w:rPr>
                <w:rFonts w:asciiTheme="minorHAnsi" w:hAnsiTheme="minorHAnsi" w:cstheme="minorHAnsi"/>
                <w:sz w:val="18"/>
                <w:szCs w:val="18"/>
              </w:rPr>
              <w:t>–</w:t>
            </w:r>
          </w:p>
        </w:tc>
        <w:tc>
          <w:tcPr>
            <w:tcW w:w="1417" w:type="dxa"/>
          </w:tcPr>
          <w:p w14:paraId="525D9C2E" w14:textId="77777777" w:rsidR="00B02873" w:rsidRPr="00946796" w:rsidRDefault="00B02873" w:rsidP="00946796">
            <w:pPr>
              <w:pStyle w:val="TablebodyleftFinancialsTables"/>
              <w:jc w:val="right"/>
              <w:rPr>
                <w:rFonts w:asciiTheme="minorHAnsi" w:hAnsiTheme="minorHAnsi" w:cstheme="minorHAnsi"/>
                <w:b/>
                <w:bCs/>
                <w:sz w:val="18"/>
                <w:szCs w:val="18"/>
              </w:rPr>
            </w:pPr>
            <w:r w:rsidRPr="00946796">
              <w:rPr>
                <w:rFonts w:asciiTheme="minorHAnsi" w:hAnsiTheme="minorHAnsi" w:cstheme="minorHAnsi"/>
                <w:b/>
                <w:bCs/>
                <w:sz w:val="18"/>
                <w:szCs w:val="18"/>
              </w:rPr>
              <w:t>–</w:t>
            </w:r>
          </w:p>
        </w:tc>
        <w:tc>
          <w:tcPr>
            <w:tcW w:w="1418" w:type="dxa"/>
          </w:tcPr>
          <w:p w14:paraId="6C3D60CF" w14:textId="77777777" w:rsidR="00B02873" w:rsidRPr="00663288" w:rsidRDefault="00B02873" w:rsidP="00946796">
            <w:pPr>
              <w:pStyle w:val="TablebodyleftFinancialsTables"/>
              <w:jc w:val="right"/>
              <w:rPr>
                <w:rFonts w:asciiTheme="minorHAnsi" w:hAnsiTheme="minorHAnsi" w:cstheme="minorHAnsi"/>
                <w:sz w:val="18"/>
                <w:szCs w:val="18"/>
              </w:rPr>
            </w:pPr>
            <w:r w:rsidRPr="00663288">
              <w:rPr>
                <w:rFonts w:asciiTheme="minorHAnsi" w:hAnsiTheme="minorHAnsi" w:cstheme="minorHAnsi"/>
                <w:sz w:val="18"/>
                <w:szCs w:val="18"/>
              </w:rPr>
              <w:t>–</w:t>
            </w:r>
          </w:p>
        </w:tc>
      </w:tr>
      <w:tr w:rsidR="00B02873" w:rsidRPr="00663288" w14:paraId="2C903DCC" w14:textId="77777777" w:rsidTr="009B3AE1">
        <w:trPr>
          <w:trHeight w:val="60"/>
        </w:trPr>
        <w:tc>
          <w:tcPr>
            <w:tcW w:w="2551" w:type="dxa"/>
          </w:tcPr>
          <w:p w14:paraId="6A2888CB" w14:textId="77777777" w:rsidR="00B02873" w:rsidRPr="00946796" w:rsidRDefault="00B02873" w:rsidP="00B96D7F">
            <w:pPr>
              <w:pStyle w:val="TablebodyleftFinancialsTables"/>
              <w:rPr>
                <w:rFonts w:asciiTheme="minorHAnsi" w:hAnsiTheme="minorHAnsi" w:cstheme="minorHAnsi"/>
                <w:b/>
                <w:bCs/>
                <w:sz w:val="18"/>
                <w:szCs w:val="18"/>
              </w:rPr>
            </w:pPr>
            <w:r w:rsidRPr="00946796">
              <w:rPr>
                <w:rFonts w:asciiTheme="minorHAnsi" w:hAnsiTheme="minorHAnsi" w:cstheme="minorHAnsi"/>
                <w:b/>
                <w:bCs/>
                <w:sz w:val="18"/>
                <w:szCs w:val="18"/>
              </w:rPr>
              <w:t>Total other economic flows – other comprehensive income</w:t>
            </w:r>
          </w:p>
        </w:tc>
        <w:tc>
          <w:tcPr>
            <w:tcW w:w="988" w:type="dxa"/>
          </w:tcPr>
          <w:p w14:paraId="3014BDFF" w14:textId="77777777" w:rsidR="00B02873" w:rsidRPr="00946796" w:rsidRDefault="00B02873" w:rsidP="00946796">
            <w:pPr>
              <w:pStyle w:val="TablebodyleftFinancialsTables"/>
              <w:jc w:val="right"/>
              <w:rPr>
                <w:rFonts w:asciiTheme="minorHAnsi" w:hAnsiTheme="minorHAnsi" w:cstheme="minorHAnsi"/>
                <w:b/>
                <w:bCs/>
                <w:sz w:val="18"/>
                <w:szCs w:val="18"/>
              </w:rPr>
            </w:pPr>
            <w:r w:rsidRPr="00946796">
              <w:rPr>
                <w:rFonts w:asciiTheme="minorHAnsi" w:hAnsiTheme="minorHAnsi" w:cstheme="minorHAnsi"/>
                <w:b/>
                <w:bCs/>
                <w:sz w:val="18"/>
                <w:szCs w:val="18"/>
              </w:rPr>
              <w:t>–</w:t>
            </w:r>
          </w:p>
        </w:tc>
        <w:tc>
          <w:tcPr>
            <w:tcW w:w="988" w:type="dxa"/>
          </w:tcPr>
          <w:p w14:paraId="26C9A8D8" w14:textId="48ED7D61" w:rsidR="00B02873" w:rsidRPr="00663288" w:rsidRDefault="00B02873" w:rsidP="00946796">
            <w:pPr>
              <w:pStyle w:val="TablebodyleftFinancialsTables"/>
              <w:jc w:val="right"/>
              <w:rPr>
                <w:rFonts w:asciiTheme="minorHAnsi" w:hAnsiTheme="minorHAnsi" w:cstheme="minorHAnsi"/>
                <w:sz w:val="18"/>
                <w:szCs w:val="18"/>
              </w:rPr>
            </w:pPr>
            <w:r w:rsidRPr="00663288">
              <w:rPr>
                <w:rFonts w:asciiTheme="minorHAnsi" w:hAnsiTheme="minorHAnsi" w:cstheme="minorHAnsi"/>
                <w:sz w:val="18"/>
                <w:szCs w:val="18"/>
              </w:rPr>
              <w:t>–</w:t>
            </w:r>
          </w:p>
        </w:tc>
        <w:tc>
          <w:tcPr>
            <w:tcW w:w="1280" w:type="dxa"/>
          </w:tcPr>
          <w:p w14:paraId="215F2BB4" w14:textId="77777777" w:rsidR="00B02873" w:rsidRPr="00946796" w:rsidRDefault="00B02873" w:rsidP="00946796">
            <w:pPr>
              <w:pStyle w:val="TablebodyleftFinancialsTables"/>
              <w:jc w:val="right"/>
              <w:rPr>
                <w:rFonts w:asciiTheme="minorHAnsi" w:hAnsiTheme="minorHAnsi" w:cstheme="minorHAnsi"/>
                <w:b/>
                <w:bCs/>
                <w:sz w:val="18"/>
                <w:szCs w:val="18"/>
              </w:rPr>
            </w:pPr>
            <w:r w:rsidRPr="00946796">
              <w:rPr>
                <w:rFonts w:asciiTheme="minorHAnsi" w:hAnsiTheme="minorHAnsi" w:cstheme="minorHAnsi"/>
                <w:b/>
                <w:bCs/>
                <w:sz w:val="18"/>
                <w:szCs w:val="18"/>
              </w:rPr>
              <w:t>–</w:t>
            </w:r>
          </w:p>
        </w:tc>
        <w:tc>
          <w:tcPr>
            <w:tcW w:w="1276" w:type="dxa"/>
          </w:tcPr>
          <w:p w14:paraId="5B1C6BEF" w14:textId="59EFD96A" w:rsidR="00B02873" w:rsidRPr="00663288" w:rsidRDefault="00B02873" w:rsidP="00946796">
            <w:pPr>
              <w:pStyle w:val="TablebodyleftFinancialsTables"/>
              <w:jc w:val="right"/>
              <w:rPr>
                <w:rFonts w:asciiTheme="minorHAnsi" w:hAnsiTheme="minorHAnsi" w:cstheme="minorHAnsi"/>
                <w:sz w:val="18"/>
                <w:szCs w:val="18"/>
              </w:rPr>
            </w:pPr>
            <w:r w:rsidRPr="00663288">
              <w:rPr>
                <w:rFonts w:asciiTheme="minorHAnsi" w:hAnsiTheme="minorHAnsi" w:cstheme="minorHAnsi"/>
                <w:sz w:val="18"/>
                <w:szCs w:val="18"/>
              </w:rPr>
              <w:t>–</w:t>
            </w:r>
          </w:p>
        </w:tc>
        <w:tc>
          <w:tcPr>
            <w:tcW w:w="1417" w:type="dxa"/>
          </w:tcPr>
          <w:p w14:paraId="6C659DF7" w14:textId="617495EA" w:rsidR="00B02873" w:rsidRPr="00946796" w:rsidRDefault="00B02873" w:rsidP="00946796">
            <w:pPr>
              <w:pStyle w:val="TablebodyleftFinancialsTables"/>
              <w:jc w:val="right"/>
              <w:rPr>
                <w:rFonts w:asciiTheme="minorHAnsi" w:hAnsiTheme="minorHAnsi" w:cstheme="minorHAnsi"/>
                <w:b/>
                <w:bCs/>
                <w:sz w:val="18"/>
                <w:szCs w:val="18"/>
              </w:rPr>
            </w:pPr>
            <w:r w:rsidRPr="00946796">
              <w:rPr>
                <w:rFonts w:asciiTheme="minorHAnsi" w:hAnsiTheme="minorHAnsi" w:cstheme="minorHAnsi"/>
                <w:b/>
                <w:bCs/>
                <w:sz w:val="18"/>
                <w:szCs w:val="18"/>
              </w:rPr>
              <w:t>–</w:t>
            </w:r>
          </w:p>
        </w:tc>
        <w:tc>
          <w:tcPr>
            <w:tcW w:w="1418" w:type="dxa"/>
          </w:tcPr>
          <w:p w14:paraId="116A0D63" w14:textId="50A82D1D" w:rsidR="00B02873" w:rsidRPr="00663288" w:rsidRDefault="00B02873" w:rsidP="00946796">
            <w:pPr>
              <w:pStyle w:val="TablebodyleftFinancialsTables"/>
              <w:jc w:val="right"/>
              <w:rPr>
                <w:rFonts w:asciiTheme="minorHAnsi" w:hAnsiTheme="minorHAnsi" w:cstheme="minorHAnsi"/>
                <w:sz w:val="18"/>
                <w:szCs w:val="18"/>
              </w:rPr>
            </w:pPr>
            <w:r w:rsidRPr="00663288">
              <w:rPr>
                <w:rFonts w:asciiTheme="minorHAnsi" w:hAnsiTheme="minorHAnsi" w:cstheme="minorHAnsi"/>
                <w:sz w:val="18"/>
                <w:szCs w:val="18"/>
              </w:rPr>
              <w:t>–</w:t>
            </w:r>
          </w:p>
        </w:tc>
      </w:tr>
      <w:tr w:rsidR="00B02873" w:rsidRPr="00663288" w14:paraId="0E9D3E2E" w14:textId="77777777" w:rsidTr="009B3AE1">
        <w:trPr>
          <w:trHeight w:val="60"/>
        </w:trPr>
        <w:tc>
          <w:tcPr>
            <w:tcW w:w="2551" w:type="dxa"/>
          </w:tcPr>
          <w:p w14:paraId="349F82BE" w14:textId="77777777" w:rsidR="00B02873" w:rsidRPr="00946796" w:rsidRDefault="00B02873" w:rsidP="00B96D7F">
            <w:pPr>
              <w:pStyle w:val="TablebodyleftFinancialsTables"/>
              <w:rPr>
                <w:rFonts w:asciiTheme="minorHAnsi" w:hAnsiTheme="minorHAnsi" w:cstheme="minorHAnsi"/>
                <w:b/>
                <w:bCs/>
                <w:sz w:val="18"/>
                <w:szCs w:val="18"/>
              </w:rPr>
            </w:pPr>
            <w:r w:rsidRPr="00946796">
              <w:rPr>
                <w:rFonts w:asciiTheme="minorHAnsi" w:hAnsiTheme="minorHAnsi" w:cstheme="minorHAnsi"/>
                <w:b/>
                <w:bCs/>
                <w:sz w:val="18"/>
                <w:szCs w:val="18"/>
              </w:rPr>
              <w:t xml:space="preserve">Comprehensive result </w:t>
            </w:r>
          </w:p>
        </w:tc>
        <w:tc>
          <w:tcPr>
            <w:tcW w:w="988" w:type="dxa"/>
          </w:tcPr>
          <w:p w14:paraId="66677F60" w14:textId="77777777" w:rsidR="00B02873" w:rsidRPr="00946796" w:rsidRDefault="00B02873" w:rsidP="00946796">
            <w:pPr>
              <w:pStyle w:val="TablebodyleftFinancialsTables"/>
              <w:jc w:val="right"/>
              <w:rPr>
                <w:rFonts w:asciiTheme="minorHAnsi" w:hAnsiTheme="minorHAnsi" w:cstheme="minorHAnsi"/>
                <w:b/>
                <w:bCs/>
                <w:sz w:val="18"/>
                <w:szCs w:val="18"/>
              </w:rPr>
            </w:pPr>
            <w:r w:rsidRPr="00946796">
              <w:rPr>
                <w:rFonts w:asciiTheme="minorHAnsi" w:hAnsiTheme="minorHAnsi" w:cstheme="minorHAnsi"/>
                <w:b/>
                <w:bCs/>
                <w:sz w:val="18"/>
                <w:szCs w:val="18"/>
              </w:rPr>
              <w:t>103,539</w:t>
            </w:r>
          </w:p>
        </w:tc>
        <w:tc>
          <w:tcPr>
            <w:tcW w:w="988" w:type="dxa"/>
          </w:tcPr>
          <w:p w14:paraId="2B8E633D" w14:textId="77777777" w:rsidR="00B02873" w:rsidRPr="00663288" w:rsidRDefault="00B02873" w:rsidP="00946796">
            <w:pPr>
              <w:pStyle w:val="TablebodyleftFinancialsTables"/>
              <w:jc w:val="right"/>
              <w:rPr>
                <w:rFonts w:asciiTheme="minorHAnsi" w:hAnsiTheme="minorHAnsi" w:cstheme="minorHAnsi"/>
                <w:sz w:val="18"/>
                <w:szCs w:val="18"/>
              </w:rPr>
            </w:pPr>
            <w:r w:rsidRPr="00663288">
              <w:rPr>
                <w:rFonts w:asciiTheme="minorHAnsi" w:hAnsiTheme="minorHAnsi" w:cstheme="minorHAnsi"/>
                <w:sz w:val="18"/>
                <w:szCs w:val="18"/>
              </w:rPr>
              <w:t>84,429</w:t>
            </w:r>
          </w:p>
        </w:tc>
        <w:tc>
          <w:tcPr>
            <w:tcW w:w="1280" w:type="dxa"/>
          </w:tcPr>
          <w:p w14:paraId="1081DB14" w14:textId="77777777" w:rsidR="00B02873" w:rsidRPr="00946796" w:rsidRDefault="00B02873" w:rsidP="00946796">
            <w:pPr>
              <w:pStyle w:val="TablebodyleftFinancialsTables"/>
              <w:jc w:val="right"/>
              <w:rPr>
                <w:rFonts w:asciiTheme="minorHAnsi" w:hAnsiTheme="minorHAnsi" w:cstheme="minorHAnsi"/>
                <w:b/>
                <w:bCs/>
                <w:sz w:val="18"/>
                <w:szCs w:val="18"/>
              </w:rPr>
            </w:pPr>
            <w:r w:rsidRPr="00946796">
              <w:rPr>
                <w:rFonts w:asciiTheme="minorHAnsi" w:hAnsiTheme="minorHAnsi" w:cstheme="minorHAnsi"/>
                <w:b/>
                <w:bCs/>
                <w:sz w:val="18"/>
                <w:szCs w:val="18"/>
              </w:rPr>
              <w:t>124,706</w:t>
            </w:r>
          </w:p>
        </w:tc>
        <w:tc>
          <w:tcPr>
            <w:tcW w:w="1276" w:type="dxa"/>
          </w:tcPr>
          <w:p w14:paraId="60BE3F6B" w14:textId="77777777" w:rsidR="00B02873" w:rsidRPr="00663288" w:rsidRDefault="00B02873" w:rsidP="00946796">
            <w:pPr>
              <w:pStyle w:val="TablebodyleftFinancialsTables"/>
              <w:jc w:val="right"/>
              <w:rPr>
                <w:rFonts w:asciiTheme="minorHAnsi" w:hAnsiTheme="minorHAnsi" w:cstheme="minorHAnsi"/>
                <w:sz w:val="18"/>
                <w:szCs w:val="18"/>
              </w:rPr>
            </w:pPr>
            <w:r w:rsidRPr="00663288">
              <w:rPr>
                <w:rFonts w:asciiTheme="minorHAnsi" w:hAnsiTheme="minorHAnsi" w:cstheme="minorHAnsi"/>
                <w:sz w:val="18"/>
                <w:szCs w:val="18"/>
              </w:rPr>
              <w:t>(22,054)</w:t>
            </w:r>
          </w:p>
        </w:tc>
        <w:tc>
          <w:tcPr>
            <w:tcW w:w="1417" w:type="dxa"/>
          </w:tcPr>
          <w:p w14:paraId="7D93CBB3" w14:textId="77777777" w:rsidR="00B02873" w:rsidRPr="00946796" w:rsidRDefault="00B02873" w:rsidP="00946796">
            <w:pPr>
              <w:pStyle w:val="TablebodyleftFinancialsTables"/>
              <w:jc w:val="right"/>
              <w:rPr>
                <w:rFonts w:asciiTheme="minorHAnsi" w:hAnsiTheme="minorHAnsi" w:cstheme="minorHAnsi"/>
                <w:b/>
                <w:bCs/>
                <w:sz w:val="18"/>
                <w:szCs w:val="18"/>
              </w:rPr>
            </w:pPr>
            <w:r w:rsidRPr="00946796">
              <w:rPr>
                <w:rFonts w:asciiTheme="minorHAnsi" w:hAnsiTheme="minorHAnsi" w:cstheme="minorHAnsi"/>
                <w:b/>
                <w:bCs/>
                <w:sz w:val="18"/>
                <w:szCs w:val="18"/>
              </w:rPr>
              <w:t>(168,994)</w:t>
            </w:r>
          </w:p>
        </w:tc>
        <w:tc>
          <w:tcPr>
            <w:tcW w:w="1418" w:type="dxa"/>
          </w:tcPr>
          <w:p w14:paraId="29FA9E72" w14:textId="77777777" w:rsidR="00B02873" w:rsidRPr="00663288" w:rsidRDefault="00B02873" w:rsidP="00946796">
            <w:pPr>
              <w:pStyle w:val="TablebodyleftFinancialsTables"/>
              <w:jc w:val="right"/>
              <w:rPr>
                <w:rFonts w:asciiTheme="minorHAnsi" w:hAnsiTheme="minorHAnsi" w:cstheme="minorHAnsi"/>
                <w:sz w:val="18"/>
                <w:szCs w:val="18"/>
              </w:rPr>
            </w:pPr>
            <w:r w:rsidRPr="00663288">
              <w:rPr>
                <w:rFonts w:asciiTheme="minorHAnsi" w:hAnsiTheme="minorHAnsi" w:cstheme="minorHAnsi"/>
                <w:sz w:val="18"/>
                <w:szCs w:val="18"/>
              </w:rPr>
              <w:t>(77,820)</w:t>
            </w:r>
          </w:p>
        </w:tc>
      </w:tr>
    </w:tbl>
    <w:p w14:paraId="2B151396" w14:textId="77777777" w:rsidR="00B02873" w:rsidRPr="00101848" w:rsidRDefault="00B02873" w:rsidP="00101848">
      <w:pPr>
        <w:pStyle w:val="SourceNote"/>
        <w:spacing w:after="120"/>
        <w:rPr>
          <w:b/>
          <w:bCs/>
        </w:rPr>
      </w:pPr>
      <w:r w:rsidRPr="00101848">
        <w:rPr>
          <w:b/>
          <w:bCs/>
        </w:rPr>
        <w:t>Note:</w:t>
      </w:r>
    </w:p>
    <w:p w14:paraId="629D2F6A" w14:textId="5ED79C15" w:rsidR="00B02873" w:rsidRDefault="00B02873" w:rsidP="001128B1">
      <w:pPr>
        <w:pStyle w:val="SourceNotenumbered"/>
        <w:numPr>
          <w:ilvl w:val="0"/>
          <w:numId w:val="78"/>
        </w:numPr>
      </w:pPr>
      <w:r>
        <w:t>Information about the objectives of these departmental outputs is located in the Report of Operations under the ‘Operational and budgetary objectives and performance against objectives’ section.</w:t>
      </w:r>
    </w:p>
    <w:p w14:paraId="4330F21D" w14:textId="108BB6B6" w:rsidR="00B02873" w:rsidRDefault="00B02873" w:rsidP="00BD1F1E">
      <w:pPr>
        <w:pStyle w:val="SourceNotenumbered"/>
        <w:spacing w:after="200"/>
        <w:ind w:left="357" w:hanging="357"/>
      </w:pPr>
      <w:r>
        <w:t>The Sustainability Fund Trust Account and the Municipal and Industrial Waste Levy within the Statutory Activities and Environmental Protection Output makes transfer payments to fund onground works to other DELWP Outputs.</w:t>
      </w:r>
    </w:p>
    <w:p w14:paraId="47C51EFF" w14:textId="1AE5E0C9" w:rsidR="00B02873" w:rsidRDefault="00B02873" w:rsidP="00946796">
      <w:pPr>
        <w:pStyle w:val="Heading4"/>
      </w:pPr>
      <w:r>
        <w:t>4.1.2 Departmental Outputs</w:t>
      </w:r>
      <w:r w:rsidR="000C45FC">
        <w:t xml:space="preserve"> – </w:t>
      </w:r>
      <w:r>
        <w:t>Controlled comprehensive operating statement (continued)</w:t>
      </w:r>
    </w:p>
    <w:tbl>
      <w:tblPr>
        <w:tblStyle w:val="TableGrid"/>
        <w:tblW w:w="9776" w:type="dxa"/>
        <w:tblLayout w:type="fixed"/>
        <w:tblLook w:val="0020" w:firstRow="1" w:lastRow="0" w:firstColumn="0" w:lastColumn="0" w:noHBand="0" w:noVBand="0"/>
      </w:tblPr>
      <w:tblGrid>
        <w:gridCol w:w="2494"/>
        <w:gridCol w:w="1045"/>
        <w:gridCol w:w="1134"/>
        <w:gridCol w:w="1276"/>
        <w:gridCol w:w="1276"/>
        <w:gridCol w:w="1222"/>
        <w:gridCol w:w="1329"/>
      </w:tblGrid>
      <w:tr w:rsidR="00B02873" w:rsidRPr="00EA5C92" w14:paraId="325BA6C1" w14:textId="77777777" w:rsidTr="00EA5C92">
        <w:trPr>
          <w:cnfStyle w:val="100000000000" w:firstRow="1" w:lastRow="0" w:firstColumn="0" w:lastColumn="0" w:oddVBand="0" w:evenVBand="0" w:oddHBand="0" w:evenHBand="0" w:firstRowFirstColumn="0" w:firstRowLastColumn="0" w:lastRowFirstColumn="0" w:lastRowLastColumn="0"/>
          <w:trHeight w:val="60"/>
          <w:tblHeader/>
        </w:trPr>
        <w:tc>
          <w:tcPr>
            <w:tcW w:w="2494" w:type="dxa"/>
          </w:tcPr>
          <w:p w14:paraId="66D71306" w14:textId="77777777" w:rsidR="00B02873" w:rsidRPr="00EA5C92" w:rsidRDefault="00B02873" w:rsidP="00101848">
            <w:pPr>
              <w:pStyle w:val="TableheadingleftFinancialsTables"/>
              <w:rPr>
                <w:rFonts w:asciiTheme="minorHAnsi" w:hAnsiTheme="minorHAnsi" w:cstheme="minorHAnsi"/>
                <w:sz w:val="18"/>
                <w:szCs w:val="18"/>
              </w:rPr>
            </w:pPr>
          </w:p>
        </w:tc>
        <w:tc>
          <w:tcPr>
            <w:tcW w:w="1045" w:type="dxa"/>
          </w:tcPr>
          <w:p w14:paraId="6401C596" w14:textId="4958450C" w:rsidR="00B02873" w:rsidRPr="00EA5C92" w:rsidRDefault="00101848" w:rsidP="00EA5C92">
            <w:pPr>
              <w:pStyle w:val="TableheadingleftFinancialsTables"/>
              <w:jc w:val="right"/>
              <w:rPr>
                <w:rFonts w:asciiTheme="minorHAnsi" w:hAnsiTheme="minorHAnsi" w:cstheme="minorHAnsi"/>
                <w:sz w:val="18"/>
                <w:szCs w:val="18"/>
              </w:rPr>
            </w:pPr>
            <w:r w:rsidRPr="00EA5C92">
              <w:rPr>
                <w:rFonts w:asciiTheme="minorHAnsi" w:hAnsiTheme="minorHAnsi" w:cstheme="minorHAnsi"/>
                <w:sz w:val="18"/>
                <w:szCs w:val="18"/>
              </w:rPr>
              <w:t>Land Use Victoria</w:t>
            </w:r>
            <w:r w:rsidRPr="00EA5C92">
              <w:rPr>
                <w:rFonts w:asciiTheme="minorHAnsi" w:hAnsiTheme="minorHAnsi" w:cstheme="minorHAnsi"/>
                <w:sz w:val="18"/>
                <w:szCs w:val="18"/>
                <w:vertAlign w:val="superscript"/>
              </w:rPr>
              <w:t xml:space="preserve">(i) </w:t>
            </w:r>
            <w:r w:rsidR="00B02873" w:rsidRPr="00EA5C92">
              <w:rPr>
                <w:rFonts w:asciiTheme="minorHAnsi" w:hAnsiTheme="minorHAnsi" w:cstheme="minorHAnsi"/>
                <w:sz w:val="18"/>
                <w:szCs w:val="18"/>
              </w:rPr>
              <w:t>2022</w:t>
            </w:r>
            <w:r w:rsidR="00B02873" w:rsidRPr="00EA5C92">
              <w:rPr>
                <w:rFonts w:asciiTheme="minorHAnsi" w:hAnsiTheme="minorHAnsi" w:cstheme="minorHAnsi"/>
                <w:sz w:val="18"/>
                <w:szCs w:val="18"/>
              </w:rPr>
              <w:br/>
              <w:t>$’000</w:t>
            </w:r>
          </w:p>
        </w:tc>
        <w:tc>
          <w:tcPr>
            <w:tcW w:w="1134" w:type="dxa"/>
          </w:tcPr>
          <w:p w14:paraId="330607B9" w14:textId="4A28D0E2" w:rsidR="00B02873" w:rsidRPr="00EA5C92" w:rsidRDefault="00101848" w:rsidP="00EA5C92">
            <w:pPr>
              <w:pStyle w:val="TableheadingleftFinancialsTables"/>
              <w:jc w:val="right"/>
              <w:rPr>
                <w:rFonts w:asciiTheme="minorHAnsi" w:hAnsiTheme="minorHAnsi" w:cstheme="minorHAnsi"/>
                <w:sz w:val="18"/>
                <w:szCs w:val="18"/>
              </w:rPr>
            </w:pPr>
            <w:r w:rsidRPr="00EA5C92">
              <w:rPr>
                <w:rFonts w:asciiTheme="minorHAnsi" w:hAnsiTheme="minorHAnsi" w:cstheme="minorHAnsi"/>
                <w:sz w:val="18"/>
                <w:szCs w:val="18"/>
              </w:rPr>
              <w:t>Land Use Victoria</w:t>
            </w:r>
            <w:r w:rsidRPr="00EA5C92">
              <w:rPr>
                <w:rFonts w:asciiTheme="minorHAnsi" w:hAnsiTheme="minorHAnsi" w:cstheme="minorHAnsi"/>
                <w:sz w:val="18"/>
                <w:szCs w:val="18"/>
                <w:vertAlign w:val="superscript"/>
              </w:rPr>
              <w:t>(i)</w:t>
            </w:r>
            <w:r w:rsidR="00B02873" w:rsidRPr="00EA5C92">
              <w:rPr>
                <w:rFonts w:asciiTheme="minorHAnsi" w:hAnsiTheme="minorHAnsi" w:cstheme="minorHAnsi"/>
                <w:sz w:val="18"/>
                <w:szCs w:val="18"/>
              </w:rPr>
              <w:t xml:space="preserve"> 2021</w:t>
            </w:r>
            <w:r w:rsidR="00B02873" w:rsidRPr="00EA5C92">
              <w:rPr>
                <w:rFonts w:asciiTheme="minorHAnsi" w:hAnsiTheme="minorHAnsi" w:cstheme="minorHAnsi"/>
                <w:sz w:val="18"/>
                <w:szCs w:val="18"/>
              </w:rPr>
              <w:br/>
              <w:t>$’000</w:t>
            </w:r>
          </w:p>
        </w:tc>
        <w:tc>
          <w:tcPr>
            <w:tcW w:w="1276" w:type="dxa"/>
          </w:tcPr>
          <w:p w14:paraId="09632432" w14:textId="26F1B5F5" w:rsidR="00B02873" w:rsidRPr="00EA5C92" w:rsidRDefault="00101848" w:rsidP="00EA5C92">
            <w:pPr>
              <w:pStyle w:val="TableheadingleftFinancialsTables"/>
              <w:jc w:val="right"/>
              <w:rPr>
                <w:rFonts w:asciiTheme="minorHAnsi" w:hAnsiTheme="minorHAnsi" w:cstheme="minorHAnsi"/>
                <w:sz w:val="18"/>
                <w:szCs w:val="18"/>
              </w:rPr>
            </w:pPr>
            <w:r w:rsidRPr="00EA5C92">
              <w:rPr>
                <w:rFonts w:asciiTheme="minorHAnsi" w:hAnsiTheme="minorHAnsi" w:cstheme="minorHAnsi"/>
                <w:sz w:val="18"/>
                <w:szCs w:val="18"/>
              </w:rPr>
              <w:t>Management of Public Land and Forests</w:t>
            </w:r>
            <w:r w:rsidRPr="00EA5C92">
              <w:rPr>
                <w:rFonts w:asciiTheme="minorHAnsi" w:hAnsiTheme="minorHAnsi" w:cstheme="minorHAnsi"/>
                <w:sz w:val="18"/>
                <w:szCs w:val="18"/>
                <w:vertAlign w:val="superscript"/>
              </w:rPr>
              <w:t>(i)(ii)</w:t>
            </w:r>
            <w:r w:rsidR="00EA5C92" w:rsidRPr="00EA5C92">
              <w:rPr>
                <w:rFonts w:asciiTheme="minorHAnsi" w:hAnsiTheme="minorHAnsi" w:cstheme="minorHAnsi"/>
                <w:sz w:val="18"/>
                <w:szCs w:val="18"/>
                <w:vertAlign w:val="superscript"/>
              </w:rPr>
              <w:t xml:space="preserve"> </w:t>
            </w:r>
            <w:r w:rsidR="00B02873" w:rsidRPr="00EA5C92">
              <w:rPr>
                <w:rFonts w:asciiTheme="minorHAnsi" w:hAnsiTheme="minorHAnsi" w:cstheme="minorHAnsi"/>
                <w:sz w:val="18"/>
                <w:szCs w:val="18"/>
              </w:rPr>
              <w:t xml:space="preserve">2022 </w:t>
            </w:r>
            <w:r w:rsidR="00B02873" w:rsidRPr="00EA5C92">
              <w:rPr>
                <w:rFonts w:asciiTheme="minorHAnsi" w:hAnsiTheme="minorHAnsi" w:cstheme="minorHAnsi"/>
                <w:sz w:val="18"/>
                <w:szCs w:val="18"/>
              </w:rPr>
              <w:br/>
              <w:t>$’000</w:t>
            </w:r>
          </w:p>
        </w:tc>
        <w:tc>
          <w:tcPr>
            <w:tcW w:w="1276" w:type="dxa"/>
          </w:tcPr>
          <w:p w14:paraId="3B70396D" w14:textId="7DE6962A" w:rsidR="00B02873" w:rsidRPr="00EA5C92" w:rsidRDefault="00101848" w:rsidP="00EA5C92">
            <w:pPr>
              <w:pStyle w:val="TableheadingleftFinancialsTables"/>
              <w:jc w:val="right"/>
              <w:rPr>
                <w:rFonts w:asciiTheme="minorHAnsi" w:hAnsiTheme="minorHAnsi" w:cstheme="minorHAnsi"/>
                <w:sz w:val="18"/>
                <w:szCs w:val="18"/>
              </w:rPr>
            </w:pPr>
            <w:r w:rsidRPr="00EA5C92">
              <w:rPr>
                <w:rFonts w:asciiTheme="minorHAnsi" w:hAnsiTheme="minorHAnsi" w:cstheme="minorHAnsi"/>
                <w:sz w:val="18"/>
                <w:szCs w:val="18"/>
              </w:rPr>
              <w:t>Management of Public Land and Forests</w:t>
            </w:r>
            <w:r w:rsidRPr="00EA5C92">
              <w:rPr>
                <w:rFonts w:asciiTheme="minorHAnsi" w:hAnsiTheme="minorHAnsi" w:cstheme="minorHAnsi"/>
                <w:sz w:val="18"/>
                <w:szCs w:val="18"/>
                <w:vertAlign w:val="superscript"/>
              </w:rPr>
              <w:t>(i)(ii)</w:t>
            </w:r>
            <w:r w:rsidR="00B02873" w:rsidRPr="00EA5C92">
              <w:rPr>
                <w:rFonts w:asciiTheme="minorHAnsi" w:hAnsiTheme="minorHAnsi" w:cstheme="minorHAnsi"/>
                <w:sz w:val="18"/>
                <w:szCs w:val="18"/>
              </w:rPr>
              <w:t xml:space="preserve"> 2021 </w:t>
            </w:r>
            <w:r w:rsidR="00B02873" w:rsidRPr="00EA5C92">
              <w:rPr>
                <w:rFonts w:asciiTheme="minorHAnsi" w:hAnsiTheme="minorHAnsi" w:cstheme="minorHAnsi"/>
                <w:sz w:val="18"/>
                <w:szCs w:val="18"/>
              </w:rPr>
              <w:br/>
              <w:t>$’000</w:t>
            </w:r>
          </w:p>
        </w:tc>
        <w:tc>
          <w:tcPr>
            <w:tcW w:w="1222" w:type="dxa"/>
          </w:tcPr>
          <w:p w14:paraId="5B57EB54" w14:textId="3FDDBA94" w:rsidR="00B02873" w:rsidRPr="00EA5C92" w:rsidRDefault="00101848" w:rsidP="00EA5C92">
            <w:pPr>
              <w:pStyle w:val="TableheadingleftFinancialsTables"/>
              <w:jc w:val="right"/>
              <w:rPr>
                <w:rFonts w:asciiTheme="minorHAnsi" w:hAnsiTheme="minorHAnsi" w:cstheme="minorHAnsi"/>
                <w:sz w:val="18"/>
                <w:szCs w:val="18"/>
              </w:rPr>
            </w:pPr>
            <w:r w:rsidRPr="00EA5C92">
              <w:rPr>
                <w:rFonts w:asciiTheme="minorHAnsi" w:hAnsiTheme="minorHAnsi" w:cstheme="minorHAnsi"/>
                <w:sz w:val="18"/>
                <w:szCs w:val="18"/>
              </w:rPr>
              <w:t>Effective Water Management and Supply</w:t>
            </w:r>
            <w:r w:rsidRPr="00EA5C92">
              <w:rPr>
                <w:rFonts w:asciiTheme="minorHAnsi" w:hAnsiTheme="minorHAnsi" w:cstheme="minorHAnsi"/>
                <w:sz w:val="18"/>
                <w:szCs w:val="18"/>
                <w:vertAlign w:val="superscript"/>
              </w:rPr>
              <w:t>(i)</w:t>
            </w:r>
            <w:r w:rsidRPr="00EA5C92">
              <w:rPr>
                <w:rFonts w:asciiTheme="minorHAnsi" w:hAnsiTheme="minorHAnsi" w:cstheme="minorHAnsi"/>
                <w:sz w:val="18"/>
                <w:szCs w:val="18"/>
              </w:rPr>
              <w:t xml:space="preserve"> </w:t>
            </w:r>
            <w:r w:rsidR="00B02873" w:rsidRPr="00EA5C92">
              <w:rPr>
                <w:rFonts w:asciiTheme="minorHAnsi" w:hAnsiTheme="minorHAnsi" w:cstheme="minorHAnsi"/>
                <w:sz w:val="18"/>
                <w:szCs w:val="18"/>
              </w:rPr>
              <w:t xml:space="preserve">2022 </w:t>
            </w:r>
            <w:r w:rsidR="00B02873" w:rsidRPr="00EA5C92">
              <w:rPr>
                <w:rFonts w:asciiTheme="minorHAnsi" w:hAnsiTheme="minorHAnsi" w:cstheme="minorHAnsi"/>
                <w:sz w:val="18"/>
                <w:szCs w:val="18"/>
              </w:rPr>
              <w:br/>
              <w:t>$’000</w:t>
            </w:r>
          </w:p>
        </w:tc>
        <w:tc>
          <w:tcPr>
            <w:tcW w:w="1329" w:type="dxa"/>
          </w:tcPr>
          <w:p w14:paraId="56EBE276" w14:textId="58A10080" w:rsidR="00B02873" w:rsidRPr="00EA5C92" w:rsidRDefault="00101848" w:rsidP="00EA5C92">
            <w:pPr>
              <w:pStyle w:val="TableheadingleftFinancialsTables"/>
              <w:jc w:val="right"/>
              <w:rPr>
                <w:rFonts w:asciiTheme="minorHAnsi" w:hAnsiTheme="minorHAnsi" w:cstheme="minorHAnsi"/>
                <w:sz w:val="18"/>
                <w:szCs w:val="18"/>
              </w:rPr>
            </w:pPr>
            <w:r w:rsidRPr="00EA5C92">
              <w:rPr>
                <w:rFonts w:asciiTheme="minorHAnsi" w:hAnsiTheme="minorHAnsi" w:cstheme="minorHAnsi"/>
                <w:sz w:val="18"/>
                <w:szCs w:val="18"/>
              </w:rPr>
              <w:t>Effective Water Management and Supply</w:t>
            </w:r>
            <w:r w:rsidRPr="00EA5C92">
              <w:rPr>
                <w:rFonts w:asciiTheme="minorHAnsi" w:hAnsiTheme="minorHAnsi" w:cstheme="minorHAnsi"/>
                <w:sz w:val="18"/>
                <w:szCs w:val="18"/>
                <w:vertAlign w:val="superscript"/>
              </w:rPr>
              <w:t>(i)</w:t>
            </w:r>
            <w:r w:rsidR="00B02873" w:rsidRPr="00EA5C92">
              <w:rPr>
                <w:rFonts w:asciiTheme="minorHAnsi" w:hAnsiTheme="minorHAnsi" w:cstheme="minorHAnsi"/>
                <w:sz w:val="18"/>
                <w:szCs w:val="18"/>
              </w:rPr>
              <w:t xml:space="preserve"> 2021 </w:t>
            </w:r>
            <w:r w:rsidR="00B02873" w:rsidRPr="00EA5C92">
              <w:rPr>
                <w:rFonts w:asciiTheme="minorHAnsi" w:hAnsiTheme="minorHAnsi" w:cstheme="minorHAnsi"/>
                <w:sz w:val="18"/>
                <w:szCs w:val="18"/>
              </w:rPr>
              <w:br/>
              <w:t>$’000</w:t>
            </w:r>
          </w:p>
        </w:tc>
      </w:tr>
      <w:tr w:rsidR="00B02873" w:rsidRPr="00EA5C92" w14:paraId="009B00CD" w14:textId="77777777" w:rsidTr="00EA5C92">
        <w:trPr>
          <w:trHeight w:val="60"/>
        </w:trPr>
        <w:tc>
          <w:tcPr>
            <w:tcW w:w="2494" w:type="dxa"/>
          </w:tcPr>
          <w:p w14:paraId="01190472" w14:textId="1D805857" w:rsidR="00B02873" w:rsidRPr="00EA5C92" w:rsidRDefault="00B02873" w:rsidP="00EA5C92">
            <w:pPr>
              <w:pStyle w:val="TablebodyleftFinancialsTables"/>
              <w:rPr>
                <w:rFonts w:asciiTheme="minorHAnsi" w:hAnsiTheme="minorHAnsi" w:cstheme="minorHAnsi"/>
                <w:b/>
                <w:bCs/>
                <w:sz w:val="18"/>
                <w:szCs w:val="18"/>
              </w:rPr>
            </w:pPr>
            <w:r w:rsidRPr="00EA5C92">
              <w:rPr>
                <w:rFonts w:asciiTheme="minorHAnsi" w:hAnsiTheme="minorHAnsi" w:cstheme="minorHAnsi"/>
                <w:b/>
                <w:bCs/>
                <w:sz w:val="18"/>
                <w:szCs w:val="18"/>
              </w:rPr>
              <w:t xml:space="preserve">Revenue and income from transactions </w:t>
            </w:r>
          </w:p>
        </w:tc>
        <w:tc>
          <w:tcPr>
            <w:tcW w:w="1045" w:type="dxa"/>
          </w:tcPr>
          <w:p w14:paraId="37CC4415" w14:textId="77777777" w:rsidR="00B02873" w:rsidRPr="00EA5C92" w:rsidRDefault="00B02873" w:rsidP="00EA5C92">
            <w:pPr>
              <w:pStyle w:val="TablebodyleftFinancialsTables"/>
              <w:jc w:val="right"/>
              <w:rPr>
                <w:rFonts w:asciiTheme="minorHAnsi" w:hAnsiTheme="minorHAnsi" w:cstheme="minorHAnsi"/>
                <w:b/>
                <w:bCs/>
                <w:sz w:val="18"/>
                <w:szCs w:val="18"/>
              </w:rPr>
            </w:pPr>
          </w:p>
        </w:tc>
        <w:tc>
          <w:tcPr>
            <w:tcW w:w="1134" w:type="dxa"/>
          </w:tcPr>
          <w:p w14:paraId="325CBC16" w14:textId="77777777" w:rsidR="00B02873" w:rsidRPr="00EA5C92" w:rsidRDefault="00B02873" w:rsidP="00EA5C92">
            <w:pPr>
              <w:pStyle w:val="TablebodyleftFinancialsTables"/>
              <w:jc w:val="right"/>
              <w:rPr>
                <w:rFonts w:asciiTheme="minorHAnsi" w:hAnsiTheme="minorHAnsi" w:cstheme="minorHAnsi"/>
                <w:b/>
                <w:bCs/>
                <w:sz w:val="18"/>
                <w:szCs w:val="18"/>
              </w:rPr>
            </w:pPr>
          </w:p>
        </w:tc>
        <w:tc>
          <w:tcPr>
            <w:tcW w:w="1276" w:type="dxa"/>
          </w:tcPr>
          <w:p w14:paraId="2AA870DC" w14:textId="77777777" w:rsidR="00B02873" w:rsidRPr="00EA5C92" w:rsidRDefault="00B02873" w:rsidP="00EA5C92">
            <w:pPr>
              <w:pStyle w:val="TablebodyleftFinancialsTables"/>
              <w:jc w:val="right"/>
              <w:rPr>
                <w:rFonts w:asciiTheme="minorHAnsi" w:hAnsiTheme="minorHAnsi" w:cstheme="minorHAnsi"/>
                <w:b/>
                <w:bCs/>
                <w:sz w:val="18"/>
                <w:szCs w:val="18"/>
              </w:rPr>
            </w:pPr>
          </w:p>
        </w:tc>
        <w:tc>
          <w:tcPr>
            <w:tcW w:w="1276" w:type="dxa"/>
          </w:tcPr>
          <w:p w14:paraId="1AFE6BBC" w14:textId="77777777" w:rsidR="00B02873" w:rsidRPr="00EA5C92" w:rsidRDefault="00B02873" w:rsidP="00EA5C92">
            <w:pPr>
              <w:pStyle w:val="TablebodyleftFinancialsTables"/>
              <w:jc w:val="right"/>
              <w:rPr>
                <w:rFonts w:asciiTheme="minorHAnsi" w:hAnsiTheme="minorHAnsi" w:cstheme="minorHAnsi"/>
                <w:b/>
                <w:bCs/>
                <w:sz w:val="18"/>
                <w:szCs w:val="18"/>
              </w:rPr>
            </w:pPr>
          </w:p>
        </w:tc>
        <w:tc>
          <w:tcPr>
            <w:tcW w:w="1222" w:type="dxa"/>
          </w:tcPr>
          <w:p w14:paraId="2D77CD89" w14:textId="77777777" w:rsidR="00B02873" w:rsidRPr="00EA5C92" w:rsidRDefault="00B02873" w:rsidP="00EA5C92">
            <w:pPr>
              <w:pStyle w:val="TablebodyleftFinancialsTables"/>
              <w:jc w:val="right"/>
              <w:rPr>
                <w:rFonts w:asciiTheme="minorHAnsi" w:hAnsiTheme="minorHAnsi" w:cstheme="minorHAnsi"/>
                <w:b/>
                <w:bCs/>
                <w:sz w:val="18"/>
                <w:szCs w:val="18"/>
              </w:rPr>
            </w:pPr>
          </w:p>
        </w:tc>
        <w:tc>
          <w:tcPr>
            <w:tcW w:w="1329" w:type="dxa"/>
          </w:tcPr>
          <w:p w14:paraId="6814CA1F" w14:textId="77777777" w:rsidR="00B02873" w:rsidRPr="00EA5C92" w:rsidRDefault="00B02873" w:rsidP="00EA5C92">
            <w:pPr>
              <w:pStyle w:val="TablebodyleftFinancialsTables"/>
              <w:jc w:val="right"/>
              <w:rPr>
                <w:rFonts w:asciiTheme="minorHAnsi" w:hAnsiTheme="minorHAnsi" w:cstheme="minorHAnsi"/>
                <w:b/>
                <w:bCs/>
                <w:sz w:val="18"/>
                <w:szCs w:val="18"/>
              </w:rPr>
            </w:pPr>
          </w:p>
        </w:tc>
      </w:tr>
      <w:tr w:rsidR="00B02873" w:rsidRPr="00EA5C92" w14:paraId="6C07F6F1" w14:textId="77777777" w:rsidTr="00EA5C92">
        <w:trPr>
          <w:trHeight w:val="60"/>
        </w:trPr>
        <w:tc>
          <w:tcPr>
            <w:tcW w:w="2494" w:type="dxa"/>
          </w:tcPr>
          <w:p w14:paraId="557A5D69" w14:textId="77777777" w:rsidR="00B02873" w:rsidRPr="00EA5C92" w:rsidRDefault="00B02873" w:rsidP="00EA5C92">
            <w:pPr>
              <w:pStyle w:val="TablebodyleftFinancialsTables"/>
              <w:rPr>
                <w:rFonts w:asciiTheme="minorHAnsi" w:hAnsiTheme="minorHAnsi" w:cstheme="minorHAnsi"/>
                <w:sz w:val="18"/>
                <w:szCs w:val="18"/>
              </w:rPr>
            </w:pPr>
            <w:r w:rsidRPr="00EA5C92">
              <w:rPr>
                <w:rFonts w:asciiTheme="minorHAnsi" w:hAnsiTheme="minorHAnsi" w:cstheme="minorHAnsi"/>
                <w:sz w:val="18"/>
                <w:szCs w:val="18"/>
              </w:rPr>
              <w:t>Output appropriations</w:t>
            </w:r>
          </w:p>
        </w:tc>
        <w:tc>
          <w:tcPr>
            <w:tcW w:w="1045" w:type="dxa"/>
          </w:tcPr>
          <w:p w14:paraId="525E740A" w14:textId="77777777" w:rsidR="00B02873" w:rsidRPr="00EA5C92" w:rsidRDefault="00B02873" w:rsidP="00EA5C92">
            <w:pPr>
              <w:pStyle w:val="TablebodyleftFinancialsTables"/>
              <w:jc w:val="right"/>
              <w:rPr>
                <w:rFonts w:asciiTheme="minorHAnsi" w:hAnsiTheme="minorHAnsi" w:cstheme="minorHAnsi"/>
                <w:b/>
                <w:bCs/>
                <w:sz w:val="18"/>
                <w:szCs w:val="18"/>
              </w:rPr>
            </w:pPr>
            <w:r w:rsidRPr="00EA5C92">
              <w:rPr>
                <w:rFonts w:asciiTheme="minorHAnsi" w:hAnsiTheme="minorHAnsi" w:cstheme="minorHAnsi"/>
                <w:b/>
                <w:bCs/>
                <w:sz w:val="18"/>
                <w:szCs w:val="18"/>
              </w:rPr>
              <w:t>228,578</w:t>
            </w:r>
          </w:p>
        </w:tc>
        <w:tc>
          <w:tcPr>
            <w:tcW w:w="1134" w:type="dxa"/>
          </w:tcPr>
          <w:p w14:paraId="0C968258" w14:textId="77777777" w:rsidR="00B02873" w:rsidRPr="00EA5C92" w:rsidRDefault="00B02873" w:rsidP="00EA5C92">
            <w:pPr>
              <w:pStyle w:val="TablebodyleftFinancialsTables"/>
              <w:jc w:val="right"/>
              <w:rPr>
                <w:rFonts w:asciiTheme="minorHAnsi" w:hAnsiTheme="minorHAnsi" w:cstheme="minorHAnsi"/>
                <w:sz w:val="18"/>
                <w:szCs w:val="18"/>
              </w:rPr>
            </w:pPr>
            <w:r w:rsidRPr="00EA5C92">
              <w:rPr>
                <w:rFonts w:asciiTheme="minorHAnsi" w:hAnsiTheme="minorHAnsi" w:cstheme="minorHAnsi"/>
                <w:sz w:val="18"/>
                <w:szCs w:val="18"/>
              </w:rPr>
              <w:t>209,995</w:t>
            </w:r>
          </w:p>
        </w:tc>
        <w:tc>
          <w:tcPr>
            <w:tcW w:w="1276" w:type="dxa"/>
          </w:tcPr>
          <w:p w14:paraId="0513343A" w14:textId="77777777" w:rsidR="00B02873" w:rsidRPr="00EA5C92" w:rsidRDefault="00B02873" w:rsidP="00EA5C92">
            <w:pPr>
              <w:pStyle w:val="TablebodyleftFinancialsTables"/>
              <w:jc w:val="right"/>
              <w:rPr>
                <w:rFonts w:asciiTheme="minorHAnsi" w:hAnsiTheme="minorHAnsi" w:cstheme="minorHAnsi"/>
                <w:b/>
                <w:bCs/>
                <w:sz w:val="18"/>
                <w:szCs w:val="18"/>
              </w:rPr>
            </w:pPr>
            <w:r w:rsidRPr="00EA5C92">
              <w:rPr>
                <w:rFonts w:asciiTheme="minorHAnsi" w:hAnsiTheme="minorHAnsi" w:cstheme="minorHAnsi"/>
                <w:b/>
                <w:bCs/>
                <w:sz w:val="18"/>
                <w:szCs w:val="18"/>
              </w:rPr>
              <w:t>294,619</w:t>
            </w:r>
          </w:p>
        </w:tc>
        <w:tc>
          <w:tcPr>
            <w:tcW w:w="1276" w:type="dxa"/>
          </w:tcPr>
          <w:p w14:paraId="4CC748C5" w14:textId="77777777" w:rsidR="00B02873" w:rsidRPr="00EA5C92" w:rsidRDefault="00B02873" w:rsidP="00EA5C92">
            <w:pPr>
              <w:pStyle w:val="TablebodyleftFinancialsTables"/>
              <w:jc w:val="right"/>
              <w:rPr>
                <w:rFonts w:asciiTheme="minorHAnsi" w:hAnsiTheme="minorHAnsi" w:cstheme="minorHAnsi"/>
                <w:sz w:val="18"/>
                <w:szCs w:val="18"/>
              </w:rPr>
            </w:pPr>
            <w:r w:rsidRPr="00EA5C92">
              <w:rPr>
                <w:rFonts w:asciiTheme="minorHAnsi" w:hAnsiTheme="minorHAnsi" w:cstheme="minorHAnsi"/>
                <w:sz w:val="18"/>
                <w:szCs w:val="18"/>
              </w:rPr>
              <w:t>247,011</w:t>
            </w:r>
          </w:p>
        </w:tc>
        <w:tc>
          <w:tcPr>
            <w:tcW w:w="1222" w:type="dxa"/>
          </w:tcPr>
          <w:p w14:paraId="143F9425" w14:textId="77777777" w:rsidR="00B02873" w:rsidRPr="00EA5C92" w:rsidRDefault="00B02873" w:rsidP="00EA5C92">
            <w:pPr>
              <w:pStyle w:val="TablebodyleftFinancialsTables"/>
              <w:jc w:val="right"/>
              <w:rPr>
                <w:rFonts w:asciiTheme="minorHAnsi" w:hAnsiTheme="minorHAnsi" w:cstheme="minorHAnsi"/>
                <w:b/>
                <w:bCs/>
                <w:sz w:val="18"/>
                <w:szCs w:val="18"/>
              </w:rPr>
            </w:pPr>
            <w:r w:rsidRPr="00EA5C92">
              <w:rPr>
                <w:rFonts w:asciiTheme="minorHAnsi" w:hAnsiTheme="minorHAnsi" w:cstheme="minorHAnsi"/>
                <w:b/>
                <w:bCs/>
                <w:sz w:val="18"/>
                <w:szCs w:val="18"/>
              </w:rPr>
              <w:t>319,877</w:t>
            </w:r>
          </w:p>
        </w:tc>
        <w:tc>
          <w:tcPr>
            <w:tcW w:w="1329" w:type="dxa"/>
          </w:tcPr>
          <w:p w14:paraId="66231C77" w14:textId="77777777" w:rsidR="00B02873" w:rsidRPr="00EA5C92" w:rsidRDefault="00B02873" w:rsidP="00EA5C92">
            <w:pPr>
              <w:pStyle w:val="TablebodyleftFinancialsTables"/>
              <w:jc w:val="right"/>
              <w:rPr>
                <w:rFonts w:asciiTheme="minorHAnsi" w:hAnsiTheme="minorHAnsi" w:cstheme="minorHAnsi"/>
                <w:sz w:val="18"/>
                <w:szCs w:val="18"/>
              </w:rPr>
            </w:pPr>
            <w:r w:rsidRPr="00EA5C92">
              <w:rPr>
                <w:rFonts w:asciiTheme="minorHAnsi" w:hAnsiTheme="minorHAnsi" w:cstheme="minorHAnsi"/>
                <w:sz w:val="18"/>
                <w:szCs w:val="18"/>
              </w:rPr>
              <w:t>274,424</w:t>
            </w:r>
          </w:p>
        </w:tc>
      </w:tr>
      <w:tr w:rsidR="00B02873" w:rsidRPr="00EA5C92" w14:paraId="417DD696" w14:textId="77777777" w:rsidTr="00EA5C92">
        <w:trPr>
          <w:trHeight w:val="60"/>
        </w:trPr>
        <w:tc>
          <w:tcPr>
            <w:tcW w:w="2494" w:type="dxa"/>
          </w:tcPr>
          <w:p w14:paraId="0899631B" w14:textId="77777777" w:rsidR="00B02873" w:rsidRPr="00EA5C92" w:rsidRDefault="00B02873" w:rsidP="00EA5C92">
            <w:pPr>
              <w:pStyle w:val="TablebodyleftFinancialsTables"/>
              <w:rPr>
                <w:rFonts w:asciiTheme="minorHAnsi" w:hAnsiTheme="minorHAnsi" w:cstheme="minorHAnsi"/>
                <w:sz w:val="18"/>
                <w:szCs w:val="18"/>
              </w:rPr>
            </w:pPr>
            <w:r w:rsidRPr="00EA5C92">
              <w:rPr>
                <w:rFonts w:asciiTheme="minorHAnsi" w:hAnsiTheme="minorHAnsi" w:cstheme="minorHAnsi"/>
                <w:sz w:val="18"/>
                <w:szCs w:val="18"/>
              </w:rPr>
              <w:t>Special appropriations</w:t>
            </w:r>
          </w:p>
        </w:tc>
        <w:tc>
          <w:tcPr>
            <w:tcW w:w="1045" w:type="dxa"/>
          </w:tcPr>
          <w:p w14:paraId="7F7BB77B" w14:textId="77777777" w:rsidR="00B02873" w:rsidRPr="00EA5C92" w:rsidRDefault="00B02873" w:rsidP="00EA5C92">
            <w:pPr>
              <w:pStyle w:val="TablebodyleftFinancialsTables"/>
              <w:jc w:val="right"/>
              <w:rPr>
                <w:rFonts w:asciiTheme="minorHAnsi" w:hAnsiTheme="minorHAnsi" w:cstheme="minorHAnsi"/>
                <w:b/>
                <w:bCs/>
                <w:sz w:val="18"/>
                <w:szCs w:val="18"/>
              </w:rPr>
            </w:pPr>
            <w:r w:rsidRPr="00EA5C92">
              <w:rPr>
                <w:rFonts w:asciiTheme="minorHAnsi" w:hAnsiTheme="minorHAnsi" w:cstheme="minorHAnsi"/>
                <w:b/>
                <w:bCs/>
                <w:sz w:val="18"/>
                <w:szCs w:val="18"/>
              </w:rPr>
              <w:t>–</w:t>
            </w:r>
          </w:p>
        </w:tc>
        <w:tc>
          <w:tcPr>
            <w:tcW w:w="1134" w:type="dxa"/>
          </w:tcPr>
          <w:p w14:paraId="483ADE1F" w14:textId="6F9B64EC" w:rsidR="00B02873" w:rsidRPr="00EA5C92" w:rsidRDefault="00B02873" w:rsidP="00EA5C92">
            <w:pPr>
              <w:pStyle w:val="TablebodyleftFinancialsTables"/>
              <w:jc w:val="right"/>
              <w:rPr>
                <w:rFonts w:asciiTheme="minorHAnsi" w:hAnsiTheme="minorHAnsi" w:cstheme="minorHAnsi"/>
                <w:sz w:val="18"/>
                <w:szCs w:val="18"/>
              </w:rPr>
            </w:pPr>
            <w:r w:rsidRPr="00EA5C92">
              <w:rPr>
                <w:rFonts w:asciiTheme="minorHAnsi" w:hAnsiTheme="minorHAnsi" w:cstheme="minorHAnsi"/>
                <w:sz w:val="18"/>
                <w:szCs w:val="18"/>
              </w:rPr>
              <w:t>–</w:t>
            </w:r>
          </w:p>
        </w:tc>
        <w:tc>
          <w:tcPr>
            <w:tcW w:w="1276" w:type="dxa"/>
          </w:tcPr>
          <w:p w14:paraId="15682F98" w14:textId="77777777" w:rsidR="00B02873" w:rsidRPr="00EA5C92" w:rsidRDefault="00B02873" w:rsidP="00EA5C92">
            <w:pPr>
              <w:pStyle w:val="TablebodyleftFinancialsTables"/>
              <w:jc w:val="right"/>
              <w:rPr>
                <w:rFonts w:asciiTheme="minorHAnsi" w:hAnsiTheme="minorHAnsi" w:cstheme="minorHAnsi"/>
                <w:b/>
                <w:bCs/>
                <w:sz w:val="18"/>
                <w:szCs w:val="18"/>
              </w:rPr>
            </w:pPr>
            <w:r w:rsidRPr="00EA5C92">
              <w:rPr>
                <w:rFonts w:asciiTheme="minorHAnsi" w:hAnsiTheme="minorHAnsi" w:cstheme="minorHAnsi"/>
                <w:b/>
                <w:bCs/>
                <w:sz w:val="18"/>
                <w:szCs w:val="18"/>
              </w:rPr>
              <w:t>–</w:t>
            </w:r>
          </w:p>
        </w:tc>
        <w:tc>
          <w:tcPr>
            <w:tcW w:w="1276" w:type="dxa"/>
          </w:tcPr>
          <w:p w14:paraId="58F69603" w14:textId="77777777" w:rsidR="00B02873" w:rsidRPr="00EA5C92" w:rsidRDefault="00B02873" w:rsidP="00EA5C92">
            <w:pPr>
              <w:pStyle w:val="TablebodyleftFinancialsTables"/>
              <w:jc w:val="right"/>
              <w:rPr>
                <w:rFonts w:asciiTheme="minorHAnsi" w:hAnsiTheme="minorHAnsi" w:cstheme="minorHAnsi"/>
                <w:sz w:val="18"/>
                <w:szCs w:val="18"/>
              </w:rPr>
            </w:pPr>
            <w:r w:rsidRPr="00EA5C92">
              <w:rPr>
                <w:rFonts w:asciiTheme="minorHAnsi" w:hAnsiTheme="minorHAnsi" w:cstheme="minorHAnsi"/>
                <w:sz w:val="18"/>
                <w:szCs w:val="18"/>
              </w:rPr>
              <w:t>–</w:t>
            </w:r>
          </w:p>
        </w:tc>
        <w:tc>
          <w:tcPr>
            <w:tcW w:w="1222" w:type="dxa"/>
          </w:tcPr>
          <w:p w14:paraId="06E5C8FC" w14:textId="77777777" w:rsidR="00B02873" w:rsidRPr="00EA5C92" w:rsidRDefault="00B02873" w:rsidP="00EA5C92">
            <w:pPr>
              <w:pStyle w:val="TablebodyleftFinancialsTables"/>
              <w:jc w:val="right"/>
              <w:rPr>
                <w:rFonts w:asciiTheme="minorHAnsi" w:hAnsiTheme="minorHAnsi" w:cstheme="minorHAnsi"/>
                <w:b/>
                <w:bCs/>
                <w:sz w:val="18"/>
                <w:szCs w:val="18"/>
              </w:rPr>
            </w:pPr>
            <w:r w:rsidRPr="00EA5C92">
              <w:rPr>
                <w:rFonts w:asciiTheme="minorHAnsi" w:hAnsiTheme="minorHAnsi" w:cstheme="minorHAnsi"/>
                <w:b/>
                <w:bCs/>
                <w:sz w:val="18"/>
                <w:szCs w:val="18"/>
              </w:rPr>
              <w:t>–</w:t>
            </w:r>
          </w:p>
        </w:tc>
        <w:tc>
          <w:tcPr>
            <w:tcW w:w="1329" w:type="dxa"/>
          </w:tcPr>
          <w:p w14:paraId="385C217F" w14:textId="77777777" w:rsidR="00B02873" w:rsidRPr="00EA5C92" w:rsidRDefault="00B02873" w:rsidP="00EA5C92">
            <w:pPr>
              <w:pStyle w:val="TablebodyleftFinancialsTables"/>
              <w:jc w:val="right"/>
              <w:rPr>
                <w:rFonts w:asciiTheme="minorHAnsi" w:hAnsiTheme="minorHAnsi" w:cstheme="minorHAnsi"/>
                <w:sz w:val="18"/>
                <w:szCs w:val="18"/>
              </w:rPr>
            </w:pPr>
            <w:r w:rsidRPr="00EA5C92">
              <w:rPr>
                <w:rFonts w:asciiTheme="minorHAnsi" w:hAnsiTheme="minorHAnsi" w:cstheme="minorHAnsi"/>
                <w:sz w:val="18"/>
                <w:szCs w:val="18"/>
              </w:rPr>
              <w:t>–</w:t>
            </w:r>
          </w:p>
        </w:tc>
      </w:tr>
      <w:tr w:rsidR="00B02873" w:rsidRPr="00EA5C92" w14:paraId="330D62BB" w14:textId="77777777" w:rsidTr="00EA5C92">
        <w:trPr>
          <w:trHeight w:val="60"/>
        </w:trPr>
        <w:tc>
          <w:tcPr>
            <w:tcW w:w="2494" w:type="dxa"/>
          </w:tcPr>
          <w:p w14:paraId="139DFCFB" w14:textId="77777777" w:rsidR="00B02873" w:rsidRPr="00EA5C92" w:rsidRDefault="00B02873" w:rsidP="00EA5C92">
            <w:pPr>
              <w:pStyle w:val="TablebodyleftFinancialsTables"/>
              <w:rPr>
                <w:rFonts w:asciiTheme="minorHAnsi" w:hAnsiTheme="minorHAnsi" w:cstheme="minorHAnsi"/>
                <w:sz w:val="18"/>
                <w:szCs w:val="18"/>
              </w:rPr>
            </w:pPr>
            <w:r w:rsidRPr="00EA5C92">
              <w:rPr>
                <w:rFonts w:asciiTheme="minorHAnsi" w:hAnsiTheme="minorHAnsi" w:cstheme="minorHAnsi"/>
                <w:sz w:val="18"/>
                <w:szCs w:val="18"/>
              </w:rPr>
              <w:t>Sale of goods and services</w:t>
            </w:r>
          </w:p>
        </w:tc>
        <w:tc>
          <w:tcPr>
            <w:tcW w:w="1045" w:type="dxa"/>
          </w:tcPr>
          <w:p w14:paraId="2EFEDD69" w14:textId="1DD967C9" w:rsidR="00B02873" w:rsidRPr="00EA5C92" w:rsidRDefault="00B02873" w:rsidP="00EA5C92">
            <w:pPr>
              <w:pStyle w:val="TablebodyleftFinancialsTables"/>
              <w:jc w:val="right"/>
              <w:rPr>
                <w:rFonts w:asciiTheme="minorHAnsi" w:hAnsiTheme="minorHAnsi" w:cstheme="minorHAnsi"/>
                <w:b/>
                <w:bCs/>
                <w:sz w:val="18"/>
                <w:szCs w:val="18"/>
              </w:rPr>
            </w:pPr>
            <w:r w:rsidRPr="00EA5C92">
              <w:rPr>
                <w:rFonts w:asciiTheme="minorHAnsi" w:hAnsiTheme="minorHAnsi" w:cstheme="minorHAnsi"/>
                <w:b/>
                <w:bCs/>
                <w:sz w:val="18"/>
                <w:szCs w:val="18"/>
              </w:rPr>
              <w:t>44,557</w:t>
            </w:r>
          </w:p>
        </w:tc>
        <w:tc>
          <w:tcPr>
            <w:tcW w:w="1134" w:type="dxa"/>
          </w:tcPr>
          <w:p w14:paraId="0280CFC7" w14:textId="77777777" w:rsidR="00B02873" w:rsidRPr="00EA5C92" w:rsidRDefault="00B02873" w:rsidP="00EA5C92">
            <w:pPr>
              <w:pStyle w:val="TablebodyleftFinancialsTables"/>
              <w:jc w:val="right"/>
              <w:rPr>
                <w:rFonts w:asciiTheme="minorHAnsi" w:hAnsiTheme="minorHAnsi" w:cstheme="minorHAnsi"/>
                <w:sz w:val="18"/>
                <w:szCs w:val="18"/>
              </w:rPr>
            </w:pPr>
            <w:r w:rsidRPr="00EA5C92">
              <w:rPr>
                <w:rFonts w:asciiTheme="minorHAnsi" w:hAnsiTheme="minorHAnsi" w:cstheme="minorHAnsi"/>
                <w:sz w:val="18"/>
                <w:szCs w:val="18"/>
              </w:rPr>
              <w:t>39,915</w:t>
            </w:r>
          </w:p>
        </w:tc>
        <w:tc>
          <w:tcPr>
            <w:tcW w:w="1276" w:type="dxa"/>
          </w:tcPr>
          <w:p w14:paraId="22AFB579" w14:textId="77777777" w:rsidR="00B02873" w:rsidRPr="00EA5C92" w:rsidRDefault="00B02873" w:rsidP="00EA5C92">
            <w:pPr>
              <w:pStyle w:val="TablebodyleftFinancialsTables"/>
              <w:jc w:val="right"/>
              <w:rPr>
                <w:rFonts w:asciiTheme="minorHAnsi" w:hAnsiTheme="minorHAnsi" w:cstheme="minorHAnsi"/>
                <w:b/>
                <w:bCs/>
                <w:sz w:val="18"/>
                <w:szCs w:val="18"/>
              </w:rPr>
            </w:pPr>
            <w:r w:rsidRPr="00EA5C92">
              <w:rPr>
                <w:rFonts w:asciiTheme="minorHAnsi" w:hAnsiTheme="minorHAnsi" w:cstheme="minorHAnsi"/>
                <w:b/>
                <w:bCs/>
                <w:sz w:val="18"/>
                <w:szCs w:val="18"/>
              </w:rPr>
              <w:t>971</w:t>
            </w:r>
          </w:p>
        </w:tc>
        <w:tc>
          <w:tcPr>
            <w:tcW w:w="1276" w:type="dxa"/>
          </w:tcPr>
          <w:p w14:paraId="49D1B4EE" w14:textId="77777777" w:rsidR="00B02873" w:rsidRPr="00EA5C92" w:rsidRDefault="00B02873" w:rsidP="00EA5C92">
            <w:pPr>
              <w:pStyle w:val="TablebodyleftFinancialsTables"/>
              <w:jc w:val="right"/>
              <w:rPr>
                <w:rFonts w:asciiTheme="minorHAnsi" w:hAnsiTheme="minorHAnsi" w:cstheme="minorHAnsi"/>
                <w:sz w:val="18"/>
                <w:szCs w:val="18"/>
              </w:rPr>
            </w:pPr>
            <w:r w:rsidRPr="00EA5C92">
              <w:rPr>
                <w:rFonts w:asciiTheme="minorHAnsi" w:hAnsiTheme="minorHAnsi" w:cstheme="minorHAnsi"/>
                <w:sz w:val="18"/>
                <w:szCs w:val="18"/>
              </w:rPr>
              <w:t>2,480</w:t>
            </w:r>
          </w:p>
        </w:tc>
        <w:tc>
          <w:tcPr>
            <w:tcW w:w="1222" w:type="dxa"/>
          </w:tcPr>
          <w:p w14:paraId="0D16F45E" w14:textId="77777777" w:rsidR="00B02873" w:rsidRPr="00EA5C92" w:rsidRDefault="00B02873" w:rsidP="00EA5C92">
            <w:pPr>
              <w:pStyle w:val="TablebodyleftFinancialsTables"/>
              <w:jc w:val="right"/>
              <w:rPr>
                <w:rFonts w:asciiTheme="minorHAnsi" w:hAnsiTheme="minorHAnsi" w:cstheme="minorHAnsi"/>
                <w:b/>
                <w:bCs/>
                <w:sz w:val="18"/>
                <w:szCs w:val="18"/>
              </w:rPr>
            </w:pPr>
            <w:r w:rsidRPr="00EA5C92">
              <w:rPr>
                <w:rFonts w:asciiTheme="minorHAnsi" w:hAnsiTheme="minorHAnsi" w:cstheme="minorHAnsi"/>
                <w:b/>
                <w:bCs/>
                <w:sz w:val="18"/>
                <w:szCs w:val="18"/>
              </w:rPr>
              <w:t>10,213</w:t>
            </w:r>
          </w:p>
        </w:tc>
        <w:tc>
          <w:tcPr>
            <w:tcW w:w="1329" w:type="dxa"/>
          </w:tcPr>
          <w:p w14:paraId="44A96ED3" w14:textId="77777777" w:rsidR="00B02873" w:rsidRPr="00EA5C92" w:rsidRDefault="00B02873" w:rsidP="00EA5C92">
            <w:pPr>
              <w:pStyle w:val="TablebodyleftFinancialsTables"/>
              <w:jc w:val="right"/>
              <w:rPr>
                <w:rFonts w:asciiTheme="minorHAnsi" w:hAnsiTheme="minorHAnsi" w:cstheme="minorHAnsi"/>
                <w:sz w:val="18"/>
                <w:szCs w:val="18"/>
              </w:rPr>
            </w:pPr>
            <w:r w:rsidRPr="00EA5C92">
              <w:rPr>
                <w:rFonts w:asciiTheme="minorHAnsi" w:hAnsiTheme="minorHAnsi" w:cstheme="minorHAnsi"/>
                <w:sz w:val="18"/>
                <w:szCs w:val="18"/>
              </w:rPr>
              <w:t>14,235</w:t>
            </w:r>
          </w:p>
        </w:tc>
      </w:tr>
      <w:tr w:rsidR="00B02873" w:rsidRPr="00EA5C92" w14:paraId="198CA369" w14:textId="77777777" w:rsidTr="00EA5C92">
        <w:trPr>
          <w:trHeight w:val="60"/>
        </w:trPr>
        <w:tc>
          <w:tcPr>
            <w:tcW w:w="2494" w:type="dxa"/>
          </w:tcPr>
          <w:p w14:paraId="23915DC0" w14:textId="77777777" w:rsidR="00B02873" w:rsidRPr="00EA5C92" w:rsidRDefault="00B02873" w:rsidP="00EA5C92">
            <w:pPr>
              <w:pStyle w:val="TablebodyleftFinancialsTables"/>
              <w:rPr>
                <w:rFonts w:asciiTheme="minorHAnsi" w:hAnsiTheme="minorHAnsi" w:cstheme="minorHAnsi"/>
                <w:sz w:val="18"/>
                <w:szCs w:val="18"/>
              </w:rPr>
            </w:pPr>
            <w:r w:rsidRPr="00EA5C92">
              <w:rPr>
                <w:rFonts w:asciiTheme="minorHAnsi" w:hAnsiTheme="minorHAnsi" w:cstheme="minorHAnsi"/>
                <w:sz w:val="18"/>
                <w:szCs w:val="18"/>
              </w:rPr>
              <w:t>Municipal and Industrial Landfill Levy</w:t>
            </w:r>
          </w:p>
        </w:tc>
        <w:tc>
          <w:tcPr>
            <w:tcW w:w="1045" w:type="dxa"/>
          </w:tcPr>
          <w:p w14:paraId="1AC662F9" w14:textId="77777777" w:rsidR="00B02873" w:rsidRPr="00EA5C92" w:rsidRDefault="00B02873" w:rsidP="00EA5C92">
            <w:pPr>
              <w:pStyle w:val="TablebodyleftFinancialsTables"/>
              <w:jc w:val="right"/>
              <w:rPr>
                <w:rFonts w:asciiTheme="minorHAnsi" w:hAnsiTheme="minorHAnsi" w:cstheme="minorHAnsi"/>
                <w:b/>
                <w:bCs/>
                <w:sz w:val="18"/>
                <w:szCs w:val="18"/>
              </w:rPr>
            </w:pPr>
            <w:r w:rsidRPr="00EA5C92">
              <w:rPr>
                <w:rFonts w:asciiTheme="minorHAnsi" w:hAnsiTheme="minorHAnsi" w:cstheme="minorHAnsi"/>
                <w:b/>
                <w:bCs/>
                <w:sz w:val="18"/>
                <w:szCs w:val="18"/>
              </w:rPr>
              <w:t>–</w:t>
            </w:r>
          </w:p>
        </w:tc>
        <w:tc>
          <w:tcPr>
            <w:tcW w:w="1134" w:type="dxa"/>
          </w:tcPr>
          <w:p w14:paraId="47CFA43A" w14:textId="77777777" w:rsidR="00B02873" w:rsidRPr="00EA5C92" w:rsidRDefault="00B02873" w:rsidP="00EA5C92">
            <w:pPr>
              <w:pStyle w:val="TablebodyleftFinancialsTables"/>
              <w:jc w:val="right"/>
              <w:rPr>
                <w:rFonts w:asciiTheme="minorHAnsi" w:hAnsiTheme="minorHAnsi" w:cstheme="minorHAnsi"/>
                <w:sz w:val="18"/>
                <w:szCs w:val="18"/>
              </w:rPr>
            </w:pPr>
            <w:r w:rsidRPr="00EA5C92">
              <w:rPr>
                <w:rFonts w:asciiTheme="minorHAnsi" w:hAnsiTheme="minorHAnsi" w:cstheme="minorHAnsi"/>
                <w:sz w:val="18"/>
                <w:szCs w:val="18"/>
              </w:rPr>
              <w:t>–</w:t>
            </w:r>
          </w:p>
        </w:tc>
        <w:tc>
          <w:tcPr>
            <w:tcW w:w="1276" w:type="dxa"/>
          </w:tcPr>
          <w:p w14:paraId="03DC20A3" w14:textId="77777777" w:rsidR="00B02873" w:rsidRPr="00EA5C92" w:rsidRDefault="00B02873" w:rsidP="00EA5C92">
            <w:pPr>
              <w:pStyle w:val="TablebodyleftFinancialsTables"/>
              <w:jc w:val="right"/>
              <w:rPr>
                <w:rFonts w:asciiTheme="minorHAnsi" w:hAnsiTheme="minorHAnsi" w:cstheme="minorHAnsi"/>
                <w:b/>
                <w:bCs/>
                <w:sz w:val="18"/>
                <w:szCs w:val="18"/>
              </w:rPr>
            </w:pPr>
            <w:r w:rsidRPr="00EA5C92">
              <w:rPr>
                <w:rFonts w:asciiTheme="minorHAnsi" w:hAnsiTheme="minorHAnsi" w:cstheme="minorHAnsi"/>
                <w:b/>
                <w:bCs/>
                <w:sz w:val="18"/>
                <w:szCs w:val="18"/>
              </w:rPr>
              <w:t>–</w:t>
            </w:r>
          </w:p>
        </w:tc>
        <w:tc>
          <w:tcPr>
            <w:tcW w:w="1276" w:type="dxa"/>
          </w:tcPr>
          <w:p w14:paraId="2EDCBF58" w14:textId="77777777" w:rsidR="00B02873" w:rsidRPr="00EA5C92" w:rsidRDefault="00B02873" w:rsidP="00EA5C92">
            <w:pPr>
              <w:pStyle w:val="TablebodyleftFinancialsTables"/>
              <w:jc w:val="right"/>
              <w:rPr>
                <w:rFonts w:asciiTheme="minorHAnsi" w:hAnsiTheme="minorHAnsi" w:cstheme="minorHAnsi"/>
                <w:sz w:val="18"/>
                <w:szCs w:val="18"/>
              </w:rPr>
            </w:pPr>
            <w:r w:rsidRPr="00EA5C92">
              <w:rPr>
                <w:rFonts w:asciiTheme="minorHAnsi" w:hAnsiTheme="minorHAnsi" w:cstheme="minorHAnsi"/>
                <w:sz w:val="18"/>
                <w:szCs w:val="18"/>
              </w:rPr>
              <w:t>–</w:t>
            </w:r>
          </w:p>
        </w:tc>
        <w:tc>
          <w:tcPr>
            <w:tcW w:w="1222" w:type="dxa"/>
          </w:tcPr>
          <w:p w14:paraId="65A55A4C" w14:textId="77777777" w:rsidR="00B02873" w:rsidRPr="00EA5C92" w:rsidRDefault="00B02873" w:rsidP="00EA5C92">
            <w:pPr>
              <w:pStyle w:val="TablebodyleftFinancialsTables"/>
              <w:jc w:val="right"/>
              <w:rPr>
                <w:rFonts w:asciiTheme="minorHAnsi" w:hAnsiTheme="minorHAnsi" w:cstheme="minorHAnsi"/>
                <w:b/>
                <w:bCs/>
                <w:sz w:val="18"/>
                <w:szCs w:val="18"/>
              </w:rPr>
            </w:pPr>
            <w:r w:rsidRPr="00EA5C92">
              <w:rPr>
                <w:rFonts w:asciiTheme="minorHAnsi" w:hAnsiTheme="minorHAnsi" w:cstheme="minorHAnsi"/>
                <w:b/>
                <w:bCs/>
                <w:sz w:val="18"/>
                <w:szCs w:val="18"/>
              </w:rPr>
              <w:t>–</w:t>
            </w:r>
          </w:p>
        </w:tc>
        <w:tc>
          <w:tcPr>
            <w:tcW w:w="1329" w:type="dxa"/>
          </w:tcPr>
          <w:p w14:paraId="138612D1" w14:textId="77777777" w:rsidR="00B02873" w:rsidRPr="00EA5C92" w:rsidRDefault="00B02873" w:rsidP="00EA5C92">
            <w:pPr>
              <w:pStyle w:val="TablebodyleftFinancialsTables"/>
              <w:jc w:val="right"/>
              <w:rPr>
                <w:rFonts w:asciiTheme="minorHAnsi" w:hAnsiTheme="minorHAnsi" w:cstheme="minorHAnsi"/>
                <w:sz w:val="18"/>
                <w:szCs w:val="18"/>
              </w:rPr>
            </w:pPr>
            <w:r w:rsidRPr="00EA5C92">
              <w:rPr>
                <w:rFonts w:asciiTheme="minorHAnsi" w:hAnsiTheme="minorHAnsi" w:cstheme="minorHAnsi"/>
                <w:sz w:val="18"/>
                <w:szCs w:val="18"/>
              </w:rPr>
              <w:t>–</w:t>
            </w:r>
          </w:p>
        </w:tc>
      </w:tr>
      <w:tr w:rsidR="00B02873" w:rsidRPr="00EA5C92" w14:paraId="55228839" w14:textId="77777777" w:rsidTr="00EA5C92">
        <w:trPr>
          <w:trHeight w:val="60"/>
        </w:trPr>
        <w:tc>
          <w:tcPr>
            <w:tcW w:w="2494" w:type="dxa"/>
          </w:tcPr>
          <w:p w14:paraId="4365B18F" w14:textId="77777777" w:rsidR="00B02873" w:rsidRPr="00EA5C92" w:rsidRDefault="00B02873" w:rsidP="00EA5C92">
            <w:pPr>
              <w:pStyle w:val="TablebodyleftFinancialsTables"/>
              <w:rPr>
                <w:rFonts w:asciiTheme="minorHAnsi" w:hAnsiTheme="minorHAnsi" w:cstheme="minorHAnsi"/>
                <w:sz w:val="18"/>
                <w:szCs w:val="18"/>
              </w:rPr>
            </w:pPr>
            <w:r w:rsidRPr="00EA5C92">
              <w:rPr>
                <w:rFonts w:asciiTheme="minorHAnsi" w:hAnsiTheme="minorHAnsi" w:cstheme="minorHAnsi"/>
                <w:sz w:val="18"/>
                <w:szCs w:val="18"/>
              </w:rPr>
              <w:t>Metropolitan Parks Improvement Rate</w:t>
            </w:r>
          </w:p>
        </w:tc>
        <w:tc>
          <w:tcPr>
            <w:tcW w:w="1045" w:type="dxa"/>
          </w:tcPr>
          <w:p w14:paraId="2F59A08E" w14:textId="77777777" w:rsidR="00B02873" w:rsidRPr="00EA5C92" w:rsidRDefault="00B02873" w:rsidP="00EA5C92">
            <w:pPr>
              <w:pStyle w:val="TablebodyleftFinancialsTables"/>
              <w:jc w:val="right"/>
              <w:rPr>
                <w:rFonts w:asciiTheme="minorHAnsi" w:hAnsiTheme="minorHAnsi" w:cstheme="minorHAnsi"/>
                <w:b/>
                <w:bCs/>
                <w:sz w:val="18"/>
                <w:szCs w:val="18"/>
              </w:rPr>
            </w:pPr>
            <w:r w:rsidRPr="00EA5C92">
              <w:rPr>
                <w:rFonts w:asciiTheme="minorHAnsi" w:hAnsiTheme="minorHAnsi" w:cstheme="minorHAnsi"/>
                <w:b/>
                <w:bCs/>
                <w:sz w:val="18"/>
                <w:szCs w:val="18"/>
              </w:rPr>
              <w:t>–</w:t>
            </w:r>
          </w:p>
        </w:tc>
        <w:tc>
          <w:tcPr>
            <w:tcW w:w="1134" w:type="dxa"/>
          </w:tcPr>
          <w:p w14:paraId="1C7126C1" w14:textId="283D7C41" w:rsidR="00B02873" w:rsidRPr="00EA5C92" w:rsidRDefault="00012C04" w:rsidP="00EA5C92">
            <w:pPr>
              <w:pStyle w:val="TablebodyleftFinancialsTables"/>
              <w:jc w:val="right"/>
              <w:rPr>
                <w:rFonts w:asciiTheme="minorHAnsi" w:hAnsiTheme="minorHAnsi" w:cstheme="minorHAnsi"/>
                <w:sz w:val="18"/>
                <w:szCs w:val="18"/>
              </w:rPr>
            </w:pPr>
            <w:r w:rsidRPr="00EA5C92">
              <w:rPr>
                <w:rFonts w:asciiTheme="minorHAnsi" w:hAnsiTheme="minorHAnsi" w:cstheme="minorHAnsi"/>
                <w:sz w:val="18"/>
                <w:szCs w:val="18"/>
              </w:rPr>
              <w:t xml:space="preserve"> </w:t>
            </w:r>
            <w:r w:rsidR="00B02873" w:rsidRPr="00EA5C92">
              <w:rPr>
                <w:rFonts w:asciiTheme="minorHAnsi" w:hAnsiTheme="minorHAnsi" w:cstheme="minorHAnsi"/>
                <w:sz w:val="18"/>
                <w:szCs w:val="18"/>
              </w:rPr>
              <w:t xml:space="preserve"> –</w:t>
            </w:r>
          </w:p>
        </w:tc>
        <w:tc>
          <w:tcPr>
            <w:tcW w:w="1276" w:type="dxa"/>
          </w:tcPr>
          <w:p w14:paraId="3BE8724F" w14:textId="77777777" w:rsidR="00B02873" w:rsidRPr="00EA5C92" w:rsidRDefault="00B02873" w:rsidP="00EA5C92">
            <w:pPr>
              <w:pStyle w:val="TablebodyleftFinancialsTables"/>
              <w:jc w:val="right"/>
              <w:rPr>
                <w:rFonts w:asciiTheme="minorHAnsi" w:hAnsiTheme="minorHAnsi" w:cstheme="minorHAnsi"/>
                <w:b/>
                <w:bCs/>
                <w:sz w:val="18"/>
                <w:szCs w:val="18"/>
              </w:rPr>
            </w:pPr>
            <w:r w:rsidRPr="00EA5C92">
              <w:rPr>
                <w:rFonts w:asciiTheme="minorHAnsi" w:hAnsiTheme="minorHAnsi" w:cstheme="minorHAnsi"/>
                <w:b/>
                <w:bCs/>
                <w:sz w:val="18"/>
                <w:szCs w:val="18"/>
              </w:rPr>
              <w:t>101,814</w:t>
            </w:r>
          </w:p>
        </w:tc>
        <w:tc>
          <w:tcPr>
            <w:tcW w:w="1276" w:type="dxa"/>
          </w:tcPr>
          <w:p w14:paraId="5F762361" w14:textId="77777777" w:rsidR="00B02873" w:rsidRPr="00EA5C92" w:rsidRDefault="00B02873" w:rsidP="00EA5C92">
            <w:pPr>
              <w:pStyle w:val="TablebodyleftFinancialsTables"/>
              <w:jc w:val="right"/>
              <w:rPr>
                <w:rFonts w:asciiTheme="minorHAnsi" w:hAnsiTheme="minorHAnsi" w:cstheme="minorHAnsi"/>
                <w:sz w:val="18"/>
                <w:szCs w:val="18"/>
              </w:rPr>
            </w:pPr>
            <w:r w:rsidRPr="00EA5C92">
              <w:rPr>
                <w:rFonts w:asciiTheme="minorHAnsi" w:hAnsiTheme="minorHAnsi" w:cstheme="minorHAnsi"/>
                <w:sz w:val="18"/>
                <w:szCs w:val="18"/>
              </w:rPr>
              <w:t>190,679</w:t>
            </w:r>
          </w:p>
        </w:tc>
        <w:tc>
          <w:tcPr>
            <w:tcW w:w="1222" w:type="dxa"/>
          </w:tcPr>
          <w:p w14:paraId="5238228B" w14:textId="77777777" w:rsidR="00B02873" w:rsidRPr="00EA5C92" w:rsidRDefault="00B02873" w:rsidP="00EA5C92">
            <w:pPr>
              <w:pStyle w:val="TablebodyleftFinancialsTables"/>
              <w:jc w:val="right"/>
              <w:rPr>
                <w:rFonts w:asciiTheme="minorHAnsi" w:hAnsiTheme="minorHAnsi" w:cstheme="minorHAnsi"/>
                <w:b/>
                <w:bCs/>
                <w:sz w:val="18"/>
                <w:szCs w:val="18"/>
              </w:rPr>
            </w:pPr>
            <w:r w:rsidRPr="00EA5C92">
              <w:rPr>
                <w:rFonts w:asciiTheme="minorHAnsi" w:hAnsiTheme="minorHAnsi" w:cstheme="minorHAnsi"/>
                <w:b/>
                <w:bCs/>
                <w:sz w:val="18"/>
                <w:szCs w:val="18"/>
              </w:rPr>
              <w:t>–</w:t>
            </w:r>
          </w:p>
        </w:tc>
        <w:tc>
          <w:tcPr>
            <w:tcW w:w="1329" w:type="dxa"/>
          </w:tcPr>
          <w:p w14:paraId="4E921453" w14:textId="77777777" w:rsidR="00B02873" w:rsidRPr="00EA5C92" w:rsidRDefault="00B02873" w:rsidP="00EA5C92">
            <w:pPr>
              <w:pStyle w:val="TablebodyleftFinancialsTables"/>
              <w:jc w:val="right"/>
              <w:rPr>
                <w:rFonts w:asciiTheme="minorHAnsi" w:hAnsiTheme="minorHAnsi" w:cstheme="minorHAnsi"/>
                <w:sz w:val="18"/>
                <w:szCs w:val="18"/>
              </w:rPr>
            </w:pPr>
            <w:r w:rsidRPr="00EA5C92">
              <w:rPr>
                <w:rFonts w:asciiTheme="minorHAnsi" w:hAnsiTheme="minorHAnsi" w:cstheme="minorHAnsi"/>
                <w:sz w:val="18"/>
                <w:szCs w:val="18"/>
              </w:rPr>
              <w:t>–</w:t>
            </w:r>
          </w:p>
        </w:tc>
      </w:tr>
      <w:tr w:rsidR="00B02873" w:rsidRPr="00EA5C92" w14:paraId="75DE6A4D" w14:textId="77777777" w:rsidTr="00EA5C92">
        <w:trPr>
          <w:trHeight w:val="60"/>
        </w:trPr>
        <w:tc>
          <w:tcPr>
            <w:tcW w:w="2494" w:type="dxa"/>
          </w:tcPr>
          <w:p w14:paraId="28D0C4E8" w14:textId="77777777" w:rsidR="00B02873" w:rsidRPr="00EA5C92" w:rsidRDefault="00B02873" w:rsidP="00EA5C92">
            <w:pPr>
              <w:pStyle w:val="TablebodyleftFinancialsTables"/>
              <w:rPr>
                <w:rFonts w:asciiTheme="minorHAnsi" w:hAnsiTheme="minorHAnsi" w:cstheme="minorHAnsi"/>
                <w:sz w:val="18"/>
                <w:szCs w:val="18"/>
              </w:rPr>
            </w:pPr>
            <w:r w:rsidRPr="00EA5C92">
              <w:rPr>
                <w:rFonts w:asciiTheme="minorHAnsi" w:hAnsiTheme="minorHAnsi" w:cstheme="minorHAnsi"/>
                <w:sz w:val="18"/>
                <w:szCs w:val="18"/>
              </w:rPr>
              <w:t>Grants</w:t>
            </w:r>
          </w:p>
        </w:tc>
        <w:tc>
          <w:tcPr>
            <w:tcW w:w="1045" w:type="dxa"/>
          </w:tcPr>
          <w:p w14:paraId="6C1EB5B8" w14:textId="77777777" w:rsidR="00B02873" w:rsidRPr="00EA5C92" w:rsidRDefault="00B02873" w:rsidP="00EA5C92">
            <w:pPr>
              <w:pStyle w:val="TablebodyleftFinancialsTables"/>
              <w:jc w:val="right"/>
              <w:rPr>
                <w:rFonts w:asciiTheme="minorHAnsi" w:hAnsiTheme="minorHAnsi" w:cstheme="minorHAnsi"/>
                <w:b/>
                <w:bCs/>
                <w:sz w:val="18"/>
                <w:szCs w:val="18"/>
              </w:rPr>
            </w:pPr>
            <w:r w:rsidRPr="00EA5C92">
              <w:rPr>
                <w:rFonts w:asciiTheme="minorHAnsi" w:hAnsiTheme="minorHAnsi" w:cstheme="minorHAnsi"/>
                <w:b/>
                <w:bCs/>
                <w:sz w:val="18"/>
                <w:szCs w:val="18"/>
              </w:rPr>
              <w:t>5</w:t>
            </w:r>
          </w:p>
        </w:tc>
        <w:tc>
          <w:tcPr>
            <w:tcW w:w="1134" w:type="dxa"/>
          </w:tcPr>
          <w:p w14:paraId="712E51F2" w14:textId="77777777" w:rsidR="00B02873" w:rsidRPr="00EA5C92" w:rsidRDefault="00B02873" w:rsidP="00EA5C92">
            <w:pPr>
              <w:pStyle w:val="TablebodyleftFinancialsTables"/>
              <w:jc w:val="right"/>
              <w:rPr>
                <w:rFonts w:asciiTheme="minorHAnsi" w:hAnsiTheme="minorHAnsi" w:cstheme="minorHAnsi"/>
                <w:sz w:val="18"/>
                <w:szCs w:val="18"/>
              </w:rPr>
            </w:pPr>
            <w:r w:rsidRPr="00EA5C92">
              <w:rPr>
                <w:rFonts w:asciiTheme="minorHAnsi" w:hAnsiTheme="minorHAnsi" w:cstheme="minorHAnsi"/>
                <w:sz w:val="18"/>
                <w:szCs w:val="18"/>
              </w:rPr>
              <w:t>195</w:t>
            </w:r>
          </w:p>
        </w:tc>
        <w:tc>
          <w:tcPr>
            <w:tcW w:w="1276" w:type="dxa"/>
          </w:tcPr>
          <w:p w14:paraId="190AA5BB" w14:textId="77777777" w:rsidR="00B02873" w:rsidRPr="00EA5C92" w:rsidRDefault="00B02873" w:rsidP="00EA5C92">
            <w:pPr>
              <w:pStyle w:val="TablebodyleftFinancialsTables"/>
              <w:jc w:val="right"/>
              <w:rPr>
                <w:rFonts w:asciiTheme="minorHAnsi" w:hAnsiTheme="minorHAnsi" w:cstheme="minorHAnsi"/>
                <w:b/>
                <w:bCs/>
                <w:sz w:val="18"/>
                <w:szCs w:val="18"/>
              </w:rPr>
            </w:pPr>
            <w:r w:rsidRPr="00EA5C92">
              <w:rPr>
                <w:rFonts w:asciiTheme="minorHAnsi" w:hAnsiTheme="minorHAnsi" w:cstheme="minorHAnsi"/>
                <w:b/>
                <w:bCs/>
                <w:sz w:val="18"/>
                <w:szCs w:val="18"/>
              </w:rPr>
              <w:t>1,816</w:t>
            </w:r>
          </w:p>
        </w:tc>
        <w:tc>
          <w:tcPr>
            <w:tcW w:w="1276" w:type="dxa"/>
          </w:tcPr>
          <w:p w14:paraId="4884B14D" w14:textId="77777777" w:rsidR="00B02873" w:rsidRPr="00EA5C92" w:rsidRDefault="00B02873" w:rsidP="00EA5C92">
            <w:pPr>
              <w:pStyle w:val="TablebodyleftFinancialsTables"/>
              <w:jc w:val="right"/>
              <w:rPr>
                <w:rFonts w:asciiTheme="minorHAnsi" w:hAnsiTheme="minorHAnsi" w:cstheme="minorHAnsi"/>
                <w:sz w:val="18"/>
                <w:szCs w:val="18"/>
              </w:rPr>
            </w:pPr>
            <w:r w:rsidRPr="00EA5C92">
              <w:rPr>
                <w:rFonts w:asciiTheme="minorHAnsi" w:hAnsiTheme="minorHAnsi" w:cstheme="minorHAnsi"/>
                <w:sz w:val="18"/>
                <w:szCs w:val="18"/>
              </w:rPr>
              <w:t>19,904</w:t>
            </w:r>
          </w:p>
        </w:tc>
        <w:tc>
          <w:tcPr>
            <w:tcW w:w="1222" w:type="dxa"/>
          </w:tcPr>
          <w:p w14:paraId="2592C3EC" w14:textId="77777777" w:rsidR="00B02873" w:rsidRPr="00EA5C92" w:rsidRDefault="00B02873" w:rsidP="00EA5C92">
            <w:pPr>
              <w:pStyle w:val="TablebodyleftFinancialsTables"/>
              <w:jc w:val="right"/>
              <w:rPr>
                <w:rFonts w:asciiTheme="minorHAnsi" w:hAnsiTheme="minorHAnsi" w:cstheme="minorHAnsi"/>
                <w:b/>
                <w:bCs/>
                <w:sz w:val="18"/>
                <w:szCs w:val="18"/>
              </w:rPr>
            </w:pPr>
            <w:r w:rsidRPr="00EA5C92">
              <w:rPr>
                <w:rFonts w:asciiTheme="minorHAnsi" w:hAnsiTheme="minorHAnsi" w:cstheme="minorHAnsi"/>
                <w:b/>
                <w:bCs/>
                <w:sz w:val="18"/>
                <w:szCs w:val="18"/>
              </w:rPr>
              <w:t>6,662</w:t>
            </w:r>
          </w:p>
        </w:tc>
        <w:tc>
          <w:tcPr>
            <w:tcW w:w="1329" w:type="dxa"/>
          </w:tcPr>
          <w:p w14:paraId="0A72EC43" w14:textId="77777777" w:rsidR="00B02873" w:rsidRPr="00EA5C92" w:rsidRDefault="00B02873" w:rsidP="00EA5C92">
            <w:pPr>
              <w:pStyle w:val="TablebodyleftFinancialsTables"/>
              <w:jc w:val="right"/>
              <w:rPr>
                <w:rFonts w:asciiTheme="minorHAnsi" w:hAnsiTheme="minorHAnsi" w:cstheme="minorHAnsi"/>
                <w:sz w:val="18"/>
                <w:szCs w:val="18"/>
              </w:rPr>
            </w:pPr>
            <w:r w:rsidRPr="00EA5C92">
              <w:rPr>
                <w:rFonts w:asciiTheme="minorHAnsi" w:hAnsiTheme="minorHAnsi" w:cstheme="minorHAnsi"/>
                <w:sz w:val="18"/>
                <w:szCs w:val="18"/>
              </w:rPr>
              <w:t>24,937</w:t>
            </w:r>
          </w:p>
        </w:tc>
      </w:tr>
      <w:tr w:rsidR="00B02873" w:rsidRPr="00EA5C92" w14:paraId="08B1135A" w14:textId="77777777" w:rsidTr="00EA5C92">
        <w:trPr>
          <w:trHeight w:val="60"/>
        </w:trPr>
        <w:tc>
          <w:tcPr>
            <w:tcW w:w="2494" w:type="dxa"/>
          </w:tcPr>
          <w:p w14:paraId="70A1135E" w14:textId="77777777" w:rsidR="00B02873" w:rsidRPr="00EA5C92" w:rsidRDefault="00B02873" w:rsidP="00EA5C92">
            <w:pPr>
              <w:pStyle w:val="TablebodyleftFinancialsTables"/>
              <w:rPr>
                <w:rFonts w:asciiTheme="minorHAnsi" w:hAnsiTheme="minorHAnsi" w:cstheme="minorHAnsi"/>
                <w:sz w:val="18"/>
                <w:szCs w:val="18"/>
              </w:rPr>
            </w:pPr>
            <w:r w:rsidRPr="00EA5C92">
              <w:rPr>
                <w:rFonts w:asciiTheme="minorHAnsi" w:hAnsiTheme="minorHAnsi" w:cstheme="minorHAnsi"/>
                <w:sz w:val="18"/>
                <w:szCs w:val="18"/>
              </w:rPr>
              <w:t>Interest income</w:t>
            </w:r>
          </w:p>
        </w:tc>
        <w:tc>
          <w:tcPr>
            <w:tcW w:w="1045" w:type="dxa"/>
          </w:tcPr>
          <w:p w14:paraId="6E70DFAD" w14:textId="77777777" w:rsidR="00B02873" w:rsidRPr="00EA5C92" w:rsidRDefault="00B02873" w:rsidP="00EA5C92">
            <w:pPr>
              <w:pStyle w:val="TablebodyleftFinancialsTables"/>
              <w:jc w:val="right"/>
              <w:rPr>
                <w:rFonts w:asciiTheme="minorHAnsi" w:hAnsiTheme="minorHAnsi" w:cstheme="minorHAnsi"/>
                <w:b/>
                <w:bCs/>
                <w:sz w:val="18"/>
                <w:szCs w:val="18"/>
              </w:rPr>
            </w:pPr>
            <w:r w:rsidRPr="00EA5C92">
              <w:rPr>
                <w:rFonts w:asciiTheme="minorHAnsi" w:hAnsiTheme="minorHAnsi" w:cstheme="minorHAnsi"/>
                <w:b/>
                <w:bCs/>
                <w:sz w:val="18"/>
                <w:szCs w:val="18"/>
              </w:rPr>
              <w:t>–</w:t>
            </w:r>
          </w:p>
        </w:tc>
        <w:tc>
          <w:tcPr>
            <w:tcW w:w="1134" w:type="dxa"/>
          </w:tcPr>
          <w:p w14:paraId="7B41EAA7" w14:textId="7FA05EDB" w:rsidR="00B02873" w:rsidRPr="00EA5C92" w:rsidRDefault="00B02873" w:rsidP="00EA5C92">
            <w:pPr>
              <w:pStyle w:val="TablebodyleftFinancialsTables"/>
              <w:jc w:val="right"/>
              <w:rPr>
                <w:rFonts w:asciiTheme="minorHAnsi" w:hAnsiTheme="minorHAnsi" w:cstheme="minorHAnsi"/>
                <w:sz w:val="18"/>
                <w:szCs w:val="18"/>
              </w:rPr>
            </w:pPr>
            <w:r w:rsidRPr="00EA5C92">
              <w:rPr>
                <w:rFonts w:asciiTheme="minorHAnsi" w:hAnsiTheme="minorHAnsi" w:cstheme="minorHAnsi"/>
                <w:sz w:val="18"/>
                <w:szCs w:val="18"/>
              </w:rPr>
              <w:t>34</w:t>
            </w:r>
          </w:p>
        </w:tc>
        <w:tc>
          <w:tcPr>
            <w:tcW w:w="1276" w:type="dxa"/>
          </w:tcPr>
          <w:p w14:paraId="2AD3FDC8" w14:textId="1F43A9F5" w:rsidR="00B02873" w:rsidRPr="00EA5C92" w:rsidRDefault="00012C04" w:rsidP="00EA5C92">
            <w:pPr>
              <w:pStyle w:val="TablebodyleftFinancialsTables"/>
              <w:jc w:val="right"/>
              <w:rPr>
                <w:rFonts w:asciiTheme="minorHAnsi" w:hAnsiTheme="minorHAnsi" w:cstheme="minorHAnsi"/>
                <w:b/>
                <w:bCs/>
                <w:sz w:val="18"/>
                <w:szCs w:val="18"/>
              </w:rPr>
            </w:pPr>
            <w:r w:rsidRPr="00EA5C92">
              <w:rPr>
                <w:rFonts w:asciiTheme="minorHAnsi" w:hAnsiTheme="minorHAnsi" w:cstheme="minorHAnsi"/>
                <w:b/>
                <w:bCs/>
                <w:sz w:val="18"/>
                <w:szCs w:val="18"/>
              </w:rPr>
              <w:t xml:space="preserve"> </w:t>
            </w:r>
            <w:r w:rsidR="00B02873" w:rsidRPr="00EA5C92">
              <w:rPr>
                <w:rFonts w:asciiTheme="minorHAnsi" w:hAnsiTheme="minorHAnsi" w:cstheme="minorHAnsi"/>
                <w:b/>
                <w:bCs/>
                <w:sz w:val="18"/>
                <w:szCs w:val="18"/>
              </w:rPr>
              <w:t xml:space="preserve">513 </w:t>
            </w:r>
          </w:p>
        </w:tc>
        <w:tc>
          <w:tcPr>
            <w:tcW w:w="1276" w:type="dxa"/>
          </w:tcPr>
          <w:p w14:paraId="21BBB7E7" w14:textId="77777777" w:rsidR="00B02873" w:rsidRPr="00EA5C92" w:rsidRDefault="00B02873" w:rsidP="00EA5C92">
            <w:pPr>
              <w:pStyle w:val="TablebodyleftFinancialsTables"/>
              <w:jc w:val="right"/>
              <w:rPr>
                <w:rFonts w:asciiTheme="minorHAnsi" w:hAnsiTheme="minorHAnsi" w:cstheme="minorHAnsi"/>
                <w:sz w:val="18"/>
                <w:szCs w:val="18"/>
              </w:rPr>
            </w:pPr>
            <w:r w:rsidRPr="00EA5C92">
              <w:rPr>
                <w:rFonts w:asciiTheme="minorHAnsi" w:hAnsiTheme="minorHAnsi" w:cstheme="minorHAnsi"/>
                <w:sz w:val="18"/>
                <w:szCs w:val="18"/>
              </w:rPr>
              <w:t>761</w:t>
            </w:r>
          </w:p>
        </w:tc>
        <w:tc>
          <w:tcPr>
            <w:tcW w:w="1222" w:type="dxa"/>
          </w:tcPr>
          <w:p w14:paraId="398ACF04" w14:textId="77777777" w:rsidR="00B02873" w:rsidRPr="00EA5C92" w:rsidRDefault="00B02873" w:rsidP="00EA5C92">
            <w:pPr>
              <w:pStyle w:val="TablebodyleftFinancialsTables"/>
              <w:jc w:val="right"/>
              <w:rPr>
                <w:rFonts w:asciiTheme="minorHAnsi" w:hAnsiTheme="minorHAnsi" w:cstheme="minorHAnsi"/>
                <w:b/>
                <w:bCs/>
                <w:sz w:val="18"/>
                <w:szCs w:val="18"/>
              </w:rPr>
            </w:pPr>
            <w:r w:rsidRPr="00EA5C92">
              <w:rPr>
                <w:rFonts w:asciiTheme="minorHAnsi" w:hAnsiTheme="minorHAnsi" w:cstheme="minorHAnsi"/>
                <w:b/>
                <w:bCs/>
                <w:sz w:val="18"/>
                <w:szCs w:val="18"/>
              </w:rPr>
              <w:t>72</w:t>
            </w:r>
          </w:p>
        </w:tc>
        <w:tc>
          <w:tcPr>
            <w:tcW w:w="1329" w:type="dxa"/>
          </w:tcPr>
          <w:p w14:paraId="1D34ABD7" w14:textId="77777777" w:rsidR="00B02873" w:rsidRPr="00EA5C92" w:rsidRDefault="00B02873" w:rsidP="00EA5C92">
            <w:pPr>
              <w:pStyle w:val="TablebodyleftFinancialsTables"/>
              <w:jc w:val="right"/>
              <w:rPr>
                <w:rFonts w:asciiTheme="minorHAnsi" w:hAnsiTheme="minorHAnsi" w:cstheme="minorHAnsi"/>
                <w:sz w:val="18"/>
                <w:szCs w:val="18"/>
              </w:rPr>
            </w:pPr>
            <w:r w:rsidRPr="00EA5C92">
              <w:rPr>
                <w:rFonts w:asciiTheme="minorHAnsi" w:hAnsiTheme="minorHAnsi" w:cstheme="minorHAnsi"/>
                <w:sz w:val="18"/>
                <w:szCs w:val="18"/>
              </w:rPr>
              <w:t>169</w:t>
            </w:r>
          </w:p>
        </w:tc>
      </w:tr>
      <w:tr w:rsidR="00B02873" w:rsidRPr="00EA5C92" w14:paraId="21922A7B" w14:textId="77777777" w:rsidTr="00EA5C92">
        <w:trPr>
          <w:trHeight w:val="60"/>
        </w:trPr>
        <w:tc>
          <w:tcPr>
            <w:tcW w:w="2494" w:type="dxa"/>
          </w:tcPr>
          <w:p w14:paraId="0C4018AC" w14:textId="77777777" w:rsidR="00B02873" w:rsidRPr="00EA5C92" w:rsidRDefault="00B02873" w:rsidP="00EA5C92">
            <w:pPr>
              <w:pStyle w:val="TablebodyleftFinancialsTables"/>
              <w:rPr>
                <w:rFonts w:asciiTheme="minorHAnsi" w:hAnsiTheme="minorHAnsi" w:cstheme="minorHAnsi"/>
                <w:sz w:val="18"/>
                <w:szCs w:val="18"/>
              </w:rPr>
            </w:pPr>
            <w:r w:rsidRPr="00EA5C92">
              <w:rPr>
                <w:rFonts w:asciiTheme="minorHAnsi" w:hAnsiTheme="minorHAnsi" w:cstheme="minorHAnsi"/>
                <w:sz w:val="18"/>
                <w:szCs w:val="18"/>
              </w:rPr>
              <w:t>Initial recognition income from financial instruments</w:t>
            </w:r>
          </w:p>
        </w:tc>
        <w:tc>
          <w:tcPr>
            <w:tcW w:w="1045" w:type="dxa"/>
          </w:tcPr>
          <w:p w14:paraId="11FF4213" w14:textId="77777777" w:rsidR="00B02873" w:rsidRPr="00EA5C92" w:rsidRDefault="00B02873" w:rsidP="00EA5C92">
            <w:pPr>
              <w:pStyle w:val="TablebodyleftFinancialsTables"/>
              <w:jc w:val="right"/>
              <w:rPr>
                <w:rFonts w:asciiTheme="minorHAnsi" w:hAnsiTheme="minorHAnsi" w:cstheme="minorHAnsi"/>
                <w:b/>
                <w:bCs/>
                <w:sz w:val="18"/>
                <w:szCs w:val="18"/>
              </w:rPr>
            </w:pPr>
            <w:r w:rsidRPr="00EA5C92">
              <w:rPr>
                <w:rFonts w:asciiTheme="minorHAnsi" w:hAnsiTheme="minorHAnsi" w:cstheme="minorHAnsi"/>
                <w:b/>
                <w:bCs/>
                <w:sz w:val="18"/>
                <w:szCs w:val="18"/>
              </w:rPr>
              <w:t>–</w:t>
            </w:r>
          </w:p>
        </w:tc>
        <w:tc>
          <w:tcPr>
            <w:tcW w:w="1134" w:type="dxa"/>
          </w:tcPr>
          <w:p w14:paraId="0896803D" w14:textId="77777777" w:rsidR="00B02873" w:rsidRPr="00EA5C92" w:rsidRDefault="00B02873" w:rsidP="00EA5C92">
            <w:pPr>
              <w:pStyle w:val="TablebodyleftFinancialsTables"/>
              <w:jc w:val="right"/>
              <w:rPr>
                <w:rFonts w:asciiTheme="minorHAnsi" w:hAnsiTheme="minorHAnsi" w:cstheme="minorHAnsi"/>
                <w:sz w:val="18"/>
                <w:szCs w:val="18"/>
              </w:rPr>
            </w:pPr>
            <w:r w:rsidRPr="00EA5C92">
              <w:rPr>
                <w:rFonts w:asciiTheme="minorHAnsi" w:hAnsiTheme="minorHAnsi" w:cstheme="minorHAnsi"/>
                <w:sz w:val="18"/>
                <w:szCs w:val="18"/>
              </w:rPr>
              <w:t>–</w:t>
            </w:r>
          </w:p>
        </w:tc>
        <w:tc>
          <w:tcPr>
            <w:tcW w:w="1276" w:type="dxa"/>
          </w:tcPr>
          <w:p w14:paraId="10C25385" w14:textId="77777777" w:rsidR="00B02873" w:rsidRPr="00EA5C92" w:rsidRDefault="00B02873" w:rsidP="00EA5C92">
            <w:pPr>
              <w:pStyle w:val="TablebodyleftFinancialsTables"/>
              <w:jc w:val="right"/>
              <w:rPr>
                <w:rFonts w:asciiTheme="minorHAnsi" w:hAnsiTheme="minorHAnsi" w:cstheme="minorHAnsi"/>
                <w:b/>
                <w:bCs/>
                <w:sz w:val="18"/>
                <w:szCs w:val="18"/>
              </w:rPr>
            </w:pPr>
            <w:r w:rsidRPr="00EA5C92">
              <w:rPr>
                <w:rFonts w:asciiTheme="minorHAnsi" w:hAnsiTheme="minorHAnsi" w:cstheme="minorHAnsi"/>
                <w:b/>
                <w:bCs/>
                <w:sz w:val="18"/>
                <w:szCs w:val="18"/>
              </w:rPr>
              <w:t>–</w:t>
            </w:r>
          </w:p>
        </w:tc>
        <w:tc>
          <w:tcPr>
            <w:tcW w:w="1276" w:type="dxa"/>
          </w:tcPr>
          <w:p w14:paraId="0A0AC101" w14:textId="77777777" w:rsidR="00B02873" w:rsidRPr="00EA5C92" w:rsidRDefault="00B02873" w:rsidP="00EA5C92">
            <w:pPr>
              <w:pStyle w:val="TablebodyleftFinancialsTables"/>
              <w:jc w:val="right"/>
              <w:rPr>
                <w:rFonts w:asciiTheme="minorHAnsi" w:hAnsiTheme="minorHAnsi" w:cstheme="minorHAnsi"/>
                <w:sz w:val="18"/>
                <w:szCs w:val="18"/>
              </w:rPr>
            </w:pPr>
            <w:r w:rsidRPr="00EA5C92">
              <w:rPr>
                <w:rFonts w:asciiTheme="minorHAnsi" w:hAnsiTheme="minorHAnsi" w:cstheme="minorHAnsi"/>
                <w:sz w:val="18"/>
                <w:szCs w:val="18"/>
              </w:rPr>
              <w:t>–</w:t>
            </w:r>
          </w:p>
        </w:tc>
        <w:tc>
          <w:tcPr>
            <w:tcW w:w="1222" w:type="dxa"/>
          </w:tcPr>
          <w:p w14:paraId="599AF2DE" w14:textId="77777777" w:rsidR="00B02873" w:rsidRPr="00EA5C92" w:rsidRDefault="00B02873" w:rsidP="00EA5C92">
            <w:pPr>
              <w:pStyle w:val="TablebodyleftFinancialsTables"/>
              <w:jc w:val="right"/>
              <w:rPr>
                <w:rFonts w:asciiTheme="minorHAnsi" w:hAnsiTheme="minorHAnsi" w:cstheme="minorHAnsi"/>
                <w:b/>
                <w:bCs/>
                <w:sz w:val="18"/>
                <w:szCs w:val="18"/>
              </w:rPr>
            </w:pPr>
            <w:r w:rsidRPr="00EA5C92">
              <w:rPr>
                <w:rFonts w:asciiTheme="minorHAnsi" w:hAnsiTheme="minorHAnsi" w:cstheme="minorHAnsi"/>
                <w:b/>
                <w:bCs/>
                <w:sz w:val="18"/>
                <w:szCs w:val="18"/>
              </w:rPr>
              <w:t>–</w:t>
            </w:r>
          </w:p>
        </w:tc>
        <w:tc>
          <w:tcPr>
            <w:tcW w:w="1329" w:type="dxa"/>
          </w:tcPr>
          <w:p w14:paraId="28640EA2" w14:textId="77777777" w:rsidR="00B02873" w:rsidRPr="00EA5C92" w:rsidRDefault="00B02873" w:rsidP="00EA5C92">
            <w:pPr>
              <w:pStyle w:val="TablebodyleftFinancialsTables"/>
              <w:jc w:val="right"/>
              <w:rPr>
                <w:rFonts w:asciiTheme="minorHAnsi" w:hAnsiTheme="minorHAnsi" w:cstheme="minorHAnsi"/>
                <w:sz w:val="18"/>
                <w:szCs w:val="18"/>
              </w:rPr>
            </w:pPr>
            <w:r w:rsidRPr="00EA5C92">
              <w:rPr>
                <w:rFonts w:asciiTheme="minorHAnsi" w:hAnsiTheme="minorHAnsi" w:cstheme="minorHAnsi"/>
                <w:sz w:val="18"/>
                <w:szCs w:val="18"/>
              </w:rPr>
              <w:t>–</w:t>
            </w:r>
          </w:p>
        </w:tc>
      </w:tr>
      <w:tr w:rsidR="00B02873" w:rsidRPr="00EA5C92" w14:paraId="5E32C0CD" w14:textId="77777777" w:rsidTr="00EA5C92">
        <w:trPr>
          <w:trHeight w:val="60"/>
        </w:trPr>
        <w:tc>
          <w:tcPr>
            <w:tcW w:w="2494" w:type="dxa"/>
          </w:tcPr>
          <w:p w14:paraId="7F746B0D" w14:textId="77777777" w:rsidR="00B02873" w:rsidRPr="00EA5C92" w:rsidRDefault="00B02873" w:rsidP="00EA5C92">
            <w:pPr>
              <w:pStyle w:val="TablebodyleftFinancialsTables"/>
              <w:rPr>
                <w:rFonts w:asciiTheme="minorHAnsi" w:hAnsiTheme="minorHAnsi" w:cstheme="minorHAnsi"/>
                <w:sz w:val="18"/>
                <w:szCs w:val="18"/>
              </w:rPr>
            </w:pPr>
            <w:r w:rsidRPr="00EA5C92">
              <w:rPr>
                <w:rFonts w:asciiTheme="minorHAnsi" w:hAnsiTheme="minorHAnsi" w:cstheme="minorHAnsi"/>
                <w:sz w:val="18"/>
                <w:szCs w:val="18"/>
              </w:rPr>
              <w:t>Other income and transfers</w:t>
            </w:r>
          </w:p>
        </w:tc>
        <w:tc>
          <w:tcPr>
            <w:tcW w:w="1045" w:type="dxa"/>
          </w:tcPr>
          <w:p w14:paraId="303BBEAB" w14:textId="1E8E6333" w:rsidR="00B02873" w:rsidRPr="00EA5C92" w:rsidRDefault="00B02873" w:rsidP="00EA5C92">
            <w:pPr>
              <w:pStyle w:val="TablebodyleftFinancialsTables"/>
              <w:jc w:val="right"/>
              <w:rPr>
                <w:rFonts w:asciiTheme="minorHAnsi" w:hAnsiTheme="minorHAnsi" w:cstheme="minorHAnsi"/>
                <w:b/>
                <w:bCs/>
                <w:sz w:val="18"/>
                <w:szCs w:val="18"/>
              </w:rPr>
            </w:pPr>
            <w:r w:rsidRPr="00EA5C92">
              <w:rPr>
                <w:rFonts w:asciiTheme="minorHAnsi" w:hAnsiTheme="minorHAnsi" w:cstheme="minorHAnsi"/>
                <w:b/>
                <w:bCs/>
                <w:sz w:val="18"/>
                <w:szCs w:val="18"/>
              </w:rPr>
              <w:t>2,219</w:t>
            </w:r>
          </w:p>
        </w:tc>
        <w:tc>
          <w:tcPr>
            <w:tcW w:w="1134" w:type="dxa"/>
          </w:tcPr>
          <w:p w14:paraId="7F0E8427" w14:textId="722CB678" w:rsidR="00B02873" w:rsidRPr="00EA5C92" w:rsidRDefault="00B02873" w:rsidP="00EA5C92">
            <w:pPr>
              <w:pStyle w:val="TablebodyleftFinancialsTables"/>
              <w:jc w:val="right"/>
              <w:rPr>
                <w:rFonts w:asciiTheme="minorHAnsi" w:hAnsiTheme="minorHAnsi" w:cstheme="minorHAnsi"/>
                <w:sz w:val="18"/>
                <w:szCs w:val="18"/>
              </w:rPr>
            </w:pPr>
            <w:r w:rsidRPr="00EA5C92">
              <w:rPr>
                <w:rFonts w:asciiTheme="minorHAnsi" w:hAnsiTheme="minorHAnsi" w:cstheme="minorHAnsi"/>
                <w:sz w:val="18"/>
                <w:szCs w:val="18"/>
              </w:rPr>
              <w:t>(6,927)</w:t>
            </w:r>
          </w:p>
        </w:tc>
        <w:tc>
          <w:tcPr>
            <w:tcW w:w="1276" w:type="dxa"/>
          </w:tcPr>
          <w:p w14:paraId="6AF0CACB" w14:textId="77777777" w:rsidR="00B02873" w:rsidRPr="00EA5C92" w:rsidRDefault="00B02873" w:rsidP="00EA5C92">
            <w:pPr>
              <w:pStyle w:val="TablebodyleftFinancialsTables"/>
              <w:jc w:val="right"/>
              <w:rPr>
                <w:rFonts w:asciiTheme="minorHAnsi" w:hAnsiTheme="minorHAnsi" w:cstheme="minorHAnsi"/>
                <w:b/>
                <w:bCs/>
                <w:sz w:val="18"/>
                <w:szCs w:val="18"/>
              </w:rPr>
            </w:pPr>
            <w:r w:rsidRPr="00EA5C92">
              <w:rPr>
                <w:rFonts w:asciiTheme="minorHAnsi" w:hAnsiTheme="minorHAnsi" w:cstheme="minorHAnsi"/>
                <w:b/>
                <w:bCs/>
                <w:sz w:val="18"/>
                <w:szCs w:val="18"/>
              </w:rPr>
              <w:t>120,518</w:t>
            </w:r>
          </w:p>
        </w:tc>
        <w:tc>
          <w:tcPr>
            <w:tcW w:w="1276" w:type="dxa"/>
          </w:tcPr>
          <w:p w14:paraId="32A0CD0D" w14:textId="77777777" w:rsidR="00B02873" w:rsidRPr="00EA5C92" w:rsidRDefault="00B02873" w:rsidP="00EA5C92">
            <w:pPr>
              <w:pStyle w:val="TablebodyleftFinancialsTables"/>
              <w:jc w:val="right"/>
              <w:rPr>
                <w:rFonts w:asciiTheme="minorHAnsi" w:hAnsiTheme="minorHAnsi" w:cstheme="minorHAnsi"/>
                <w:sz w:val="18"/>
                <w:szCs w:val="18"/>
              </w:rPr>
            </w:pPr>
            <w:r w:rsidRPr="00EA5C92">
              <w:rPr>
                <w:rFonts w:asciiTheme="minorHAnsi" w:hAnsiTheme="minorHAnsi" w:cstheme="minorHAnsi"/>
                <w:sz w:val="18"/>
                <w:szCs w:val="18"/>
              </w:rPr>
              <w:t>4,240</w:t>
            </w:r>
          </w:p>
        </w:tc>
        <w:tc>
          <w:tcPr>
            <w:tcW w:w="1222" w:type="dxa"/>
          </w:tcPr>
          <w:p w14:paraId="5DE73693" w14:textId="77777777" w:rsidR="00B02873" w:rsidRPr="00EA5C92" w:rsidRDefault="00B02873" w:rsidP="00EA5C92">
            <w:pPr>
              <w:pStyle w:val="TablebodyleftFinancialsTables"/>
              <w:jc w:val="right"/>
              <w:rPr>
                <w:rFonts w:asciiTheme="minorHAnsi" w:hAnsiTheme="minorHAnsi" w:cstheme="minorHAnsi"/>
                <w:b/>
                <w:bCs/>
                <w:sz w:val="18"/>
                <w:szCs w:val="18"/>
              </w:rPr>
            </w:pPr>
            <w:r w:rsidRPr="00EA5C92">
              <w:rPr>
                <w:rFonts w:asciiTheme="minorHAnsi" w:hAnsiTheme="minorHAnsi" w:cstheme="minorHAnsi"/>
                <w:b/>
                <w:bCs/>
                <w:sz w:val="18"/>
                <w:szCs w:val="18"/>
              </w:rPr>
              <w:t>(5,010)</w:t>
            </w:r>
          </w:p>
        </w:tc>
        <w:tc>
          <w:tcPr>
            <w:tcW w:w="1329" w:type="dxa"/>
          </w:tcPr>
          <w:p w14:paraId="0A2590DA" w14:textId="77777777" w:rsidR="00B02873" w:rsidRPr="00EA5C92" w:rsidRDefault="00B02873" w:rsidP="00EA5C92">
            <w:pPr>
              <w:pStyle w:val="TablebodyleftFinancialsTables"/>
              <w:jc w:val="right"/>
              <w:rPr>
                <w:rFonts w:asciiTheme="minorHAnsi" w:hAnsiTheme="minorHAnsi" w:cstheme="minorHAnsi"/>
                <w:sz w:val="18"/>
                <w:szCs w:val="18"/>
              </w:rPr>
            </w:pPr>
            <w:r w:rsidRPr="00EA5C92">
              <w:rPr>
                <w:rFonts w:asciiTheme="minorHAnsi" w:hAnsiTheme="minorHAnsi" w:cstheme="minorHAnsi"/>
                <w:sz w:val="18"/>
                <w:szCs w:val="18"/>
              </w:rPr>
              <w:t>5,171</w:t>
            </w:r>
          </w:p>
        </w:tc>
      </w:tr>
      <w:tr w:rsidR="00B02873" w:rsidRPr="00EA5C92" w14:paraId="767BB3C3" w14:textId="77777777" w:rsidTr="00EA5C92">
        <w:trPr>
          <w:trHeight w:val="60"/>
        </w:trPr>
        <w:tc>
          <w:tcPr>
            <w:tcW w:w="2494" w:type="dxa"/>
          </w:tcPr>
          <w:p w14:paraId="5C1B6EDC" w14:textId="77777777" w:rsidR="00B02873" w:rsidRPr="00EA5C92" w:rsidRDefault="00B02873" w:rsidP="00EA5C92">
            <w:pPr>
              <w:pStyle w:val="TablebodyleftFinancialsTables"/>
              <w:rPr>
                <w:rFonts w:asciiTheme="minorHAnsi" w:hAnsiTheme="minorHAnsi" w:cstheme="minorHAnsi"/>
                <w:b/>
                <w:bCs/>
                <w:sz w:val="18"/>
                <w:szCs w:val="18"/>
              </w:rPr>
            </w:pPr>
            <w:r w:rsidRPr="00EA5C92">
              <w:rPr>
                <w:rFonts w:asciiTheme="minorHAnsi" w:hAnsiTheme="minorHAnsi" w:cstheme="minorHAnsi"/>
                <w:b/>
                <w:bCs/>
                <w:sz w:val="18"/>
                <w:szCs w:val="18"/>
              </w:rPr>
              <w:t>Total revenue and income from transactions</w:t>
            </w:r>
          </w:p>
        </w:tc>
        <w:tc>
          <w:tcPr>
            <w:tcW w:w="1045" w:type="dxa"/>
          </w:tcPr>
          <w:p w14:paraId="2378C777" w14:textId="77777777" w:rsidR="00B02873" w:rsidRPr="00EA5C92" w:rsidRDefault="00B02873" w:rsidP="00EA5C92">
            <w:pPr>
              <w:pStyle w:val="TablebodyleftFinancialsTables"/>
              <w:jc w:val="right"/>
              <w:rPr>
                <w:rFonts w:asciiTheme="minorHAnsi" w:hAnsiTheme="minorHAnsi" w:cstheme="minorHAnsi"/>
                <w:b/>
                <w:bCs/>
                <w:sz w:val="18"/>
                <w:szCs w:val="18"/>
              </w:rPr>
            </w:pPr>
            <w:r w:rsidRPr="00EA5C92">
              <w:rPr>
                <w:rFonts w:asciiTheme="minorHAnsi" w:hAnsiTheme="minorHAnsi" w:cstheme="minorHAnsi"/>
                <w:b/>
                <w:bCs/>
                <w:sz w:val="18"/>
                <w:szCs w:val="18"/>
              </w:rPr>
              <w:t>275,359</w:t>
            </w:r>
          </w:p>
        </w:tc>
        <w:tc>
          <w:tcPr>
            <w:tcW w:w="1134" w:type="dxa"/>
          </w:tcPr>
          <w:p w14:paraId="6B88D607" w14:textId="77777777" w:rsidR="00B02873" w:rsidRPr="0008483D" w:rsidRDefault="00B02873" w:rsidP="00EA5C92">
            <w:pPr>
              <w:pStyle w:val="TablebodyleftFinancialsTables"/>
              <w:jc w:val="right"/>
              <w:rPr>
                <w:rFonts w:asciiTheme="minorHAnsi" w:hAnsiTheme="minorHAnsi" w:cstheme="minorHAnsi"/>
                <w:sz w:val="18"/>
                <w:szCs w:val="18"/>
              </w:rPr>
            </w:pPr>
            <w:r w:rsidRPr="0008483D">
              <w:rPr>
                <w:rFonts w:asciiTheme="minorHAnsi" w:hAnsiTheme="minorHAnsi" w:cstheme="minorHAnsi"/>
                <w:sz w:val="18"/>
                <w:szCs w:val="18"/>
              </w:rPr>
              <w:t>243,212</w:t>
            </w:r>
          </w:p>
        </w:tc>
        <w:tc>
          <w:tcPr>
            <w:tcW w:w="1276" w:type="dxa"/>
          </w:tcPr>
          <w:p w14:paraId="7B87B46A" w14:textId="77777777" w:rsidR="00B02873" w:rsidRPr="00EA5C92" w:rsidRDefault="00B02873" w:rsidP="00EA5C92">
            <w:pPr>
              <w:pStyle w:val="TablebodyleftFinancialsTables"/>
              <w:jc w:val="right"/>
              <w:rPr>
                <w:rFonts w:asciiTheme="minorHAnsi" w:hAnsiTheme="minorHAnsi" w:cstheme="minorHAnsi"/>
                <w:b/>
                <w:bCs/>
                <w:sz w:val="18"/>
                <w:szCs w:val="18"/>
              </w:rPr>
            </w:pPr>
            <w:r w:rsidRPr="00EA5C92">
              <w:rPr>
                <w:rFonts w:asciiTheme="minorHAnsi" w:hAnsiTheme="minorHAnsi" w:cstheme="minorHAnsi"/>
                <w:b/>
                <w:bCs/>
                <w:sz w:val="18"/>
                <w:szCs w:val="18"/>
              </w:rPr>
              <w:t>520,251</w:t>
            </w:r>
          </w:p>
        </w:tc>
        <w:tc>
          <w:tcPr>
            <w:tcW w:w="1276" w:type="dxa"/>
          </w:tcPr>
          <w:p w14:paraId="202139AD" w14:textId="77777777" w:rsidR="00B02873" w:rsidRPr="0008483D" w:rsidRDefault="00B02873" w:rsidP="00EA5C92">
            <w:pPr>
              <w:pStyle w:val="TablebodyleftFinancialsTables"/>
              <w:jc w:val="right"/>
              <w:rPr>
                <w:rFonts w:asciiTheme="minorHAnsi" w:hAnsiTheme="minorHAnsi" w:cstheme="minorHAnsi"/>
                <w:sz w:val="18"/>
                <w:szCs w:val="18"/>
              </w:rPr>
            </w:pPr>
            <w:r w:rsidRPr="0008483D">
              <w:rPr>
                <w:rFonts w:asciiTheme="minorHAnsi" w:hAnsiTheme="minorHAnsi" w:cstheme="minorHAnsi"/>
                <w:sz w:val="18"/>
                <w:szCs w:val="18"/>
              </w:rPr>
              <w:t>465,075</w:t>
            </w:r>
          </w:p>
        </w:tc>
        <w:tc>
          <w:tcPr>
            <w:tcW w:w="1222" w:type="dxa"/>
          </w:tcPr>
          <w:p w14:paraId="35AE5C5E" w14:textId="77777777" w:rsidR="00B02873" w:rsidRPr="00EA5C92" w:rsidRDefault="00B02873" w:rsidP="00EA5C92">
            <w:pPr>
              <w:pStyle w:val="TablebodyleftFinancialsTables"/>
              <w:jc w:val="right"/>
              <w:rPr>
                <w:rFonts w:asciiTheme="minorHAnsi" w:hAnsiTheme="minorHAnsi" w:cstheme="minorHAnsi"/>
                <w:b/>
                <w:bCs/>
                <w:sz w:val="18"/>
                <w:szCs w:val="18"/>
              </w:rPr>
            </w:pPr>
            <w:r w:rsidRPr="00EA5C92">
              <w:rPr>
                <w:rFonts w:asciiTheme="minorHAnsi" w:hAnsiTheme="minorHAnsi" w:cstheme="minorHAnsi"/>
                <w:b/>
                <w:bCs/>
                <w:sz w:val="18"/>
                <w:szCs w:val="18"/>
              </w:rPr>
              <w:t>331,814</w:t>
            </w:r>
          </w:p>
        </w:tc>
        <w:tc>
          <w:tcPr>
            <w:tcW w:w="1329" w:type="dxa"/>
          </w:tcPr>
          <w:p w14:paraId="7D1A56AA" w14:textId="77777777" w:rsidR="00B02873" w:rsidRPr="0008483D" w:rsidRDefault="00B02873" w:rsidP="00EA5C92">
            <w:pPr>
              <w:pStyle w:val="TablebodyleftFinancialsTables"/>
              <w:jc w:val="right"/>
              <w:rPr>
                <w:rFonts w:asciiTheme="minorHAnsi" w:hAnsiTheme="minorHAnsi" w:cstheme="minorHAnsi"/>
                <w:sz w:val="18"/>
                <w:szCs w:val="18"/>
              </w:rPr>
            </w:pPr>
            <w:r w:rsidRPr="0008483D">
              <w:rPr>
                <w:rFonts w:asciiTheme="minorHAnsi" w:hAnsiTheme="minorHAnsi" w:cstheme="minorHAnsi"/>
                <w:sz w:val="18"/>
                <w:szCs w:val="18"/>
              </w:rPr>
              <w:t>318,936</w:t>
            </w:r>
          </w:p>
        </w:tc>
      </w:tr>
      <w:tr w:rsidR="00B02873" w:rsidRPr="00EA5C92" w14:paraId="784B74E3" w14:textId="77777777" w:rsidTr="00EA5C92">
        <w:trPr>
          <w:trHeight w:val="60"/>
        </w:trPr>
        <w:tc>
          <w:tcPr>
            <w:tcW w:w="2494" w:type="dxa"/>
          </w:tcPr>
          <w:p w14:paraId="02AC315C" w14:textId="77777777" w:rsidR="00B02873" w:rsidRPr="00EA5C92" w:rsidRDefault="00B02873" w:rsidP="00EA5C92">
            <w:pPr>
              <w:pStyle w:val="TablebodyleftFinancialsTables"/>
              <w:rPr>
                <w:rFonts w:asciiTheme="minorHAnsi" w:hAnsiTheme="minorHAnsi" w:cstheme="minorHAnsi"/>
                <w:b/>
                <w:bCs/>
                <w:sz w:val="18"/>
                <w:szCs w:val="18"/>
              </w:rPr>
            </w:pPr>
            <w:r w:rsidRPr="00EA5C92">
              <w:rPr>
                <w:rFonts w:asciiTheme="minorHAnsi" w:hAnsiTheme="minorHAnsi" w:cstheme="minorHAnsi"/>
                <w:b/>
                <w:bCs/>
                <w:sz w:val="18"/>
                <w:szCs w:val="18"/>
              </w:rPr>
              <w:t>Expenses from transactions</w:t>
            </w:r>
          </w:p>
        </w:tc>
        <w:tc>
          <w:tcPr>
            <w:tcW w:w="1045" w:type="dxa"/>
          </w:tcPr>
          <w:p w14:paraId="22EE5118" w14:textId="52E2F1AD" w:rsidR="00B02873" w:rsidRPr="00EA5C92" w:rsidRDefault="00012C04" w:rsidP="00EA5C92">
            <w:pPr>
              <w:pStyle w:val="TablebodyleftFinancialsTables"/>
              <w:jc w:val="right"/>
              <w:rPr>
                <w:rFonts w:asciiTheme="minorHAnsi" w:hAnsiTheme="minorHAnsi" w:cstheme="minorHAnsi"/>
                <w:b/>
                <w:bCs/>
                <w:sz w:val="18"/>
                <w:szCs w:val="18"/>
              </w:rPr>
            </w:pPr>
            <w:r w:rsidRPr="00EA5C92">
              <w:rPr>
                <w:rFonts w:asciiTheme="minorHAnsi" w:hAnsiTheme="minorHAnsi" w:cstheme="minorHAnsi"/>
                <w:b/>
                <w:bCs/>
                <w:sz w:val="18"/>
                <w:szCs w:val="18"/>
              </w:rPr>
              <w:t xml:space="preserve"> </w:t>
            </w:r>
            <w:r w:rsidR="00B02873" w:rsidRPr="00EA5C92">
              <w:rPr>
                <w:rFonts w:asciiTheme="minorHAnsi" w:hAnsiTheme="minorHAnsi" w:cstheme="minorHAnsi"/>
                <w:b/>
                <w:bCs/>
                <w:sz w:val="18"/>
                <w:szCs w:val="18"/>
              </w:rPr>
              <w:t xml:space="preserve"> </w:t>
            </w:r>
          </w:p>
        </w:tc>
        <w:tc>
          <w:tcPr>
            <w:tcW w:w="1134" w:type="dxa"/>
          </w:tcPr>
          <w:p w14:paraId="2BA9C1D1" w14:textId="77777777" w:rsidR="00B02873" w:rsidRPr="00EA5C92" w:rsidRDefault="00B02873" w:rsidP="00EA5C92">
            <w:pPr>
              <w:pStyle w:val="TablebodyleftFinancialsTables"/>
              <w:jc w:val="right"/>
              <w:rPr>
                <w:rFonts w:asciiTheme="minorHAnsi" w:hAnsiTheme="minorHAnsi" w:cstheme="minorHAnsi"/>
                <w:b/>
                <w:bCs/>
                <w:sz w:val="18"/>
                <w:szCs w:val="18"/>
              </w:rPr>
            </w:pPr>
          </w:p>
        </w:tc>
        <w:tc>
          <w:tcPr>
            <w:tcW w:w="1276" w:type="dxa"/>
          </w:tcPr>
          <w:p w14:paraId="2A7D2CF8" w14:textId="77777777" w:rsidR="00B02873" w:rsidRPr="00EA5C92" w:rsidRDefault="00B02873" w:rsidP="00EA5C92">
            <w:pPr>
              <w:pStyle w:val="TablebodyleftFinancialsTables"/>
              <w:jc w:val="right"/>
              <w:rPr>
                <w:rFonts w:asciiTheme="minorHAnsi" w:hAnsiTheme="minorHAnsi" w:cstheme="minorHAnsi"/>
                <w:b/>
                <w:bCs/>
                <w:sz w:val="18"/>
                <w:szCs w:val="18"/>
              </w:rPr>
            </w:pPr>
          </w:p>
        </w:tc>
        <w:tc>
          <w:tcPr>
            <w:tcW w:w="1276" w:type="dxa"/>
          </w:tcPr>
          <w:p w14:paraId="1F32E8DB" w14:textId="77777777" w:rsidR="00B02873" w:rsidRPr="00EA5C92" w:rsidRDefault="00B02873" w:rsidP="00EA5C92">
            <w:pPr>
              <w:pStyle w:val="TablebodyleftFinancialsTables"/>
              <w:jc w:val="right"/>
              <w:rPr>
                <w:rFonts w:asciiTheme="minorHAnsi" w:hAnsiTheme="minorHAnsi" w:cstheme="minorHAnsi"/>
                <w:b/>
                <w:bCs/>
                <w:sz w:val="18"/>
                <w:szCs w:val="18"/>
              </w:rPr>
            </w:pPr>
          </w:p>
        </w:tc>
        <w:tc>
          <w:tcPr>
            <w:tcW w:w="1222" w:type="dxa"/>
          </w:tcPr>
          <w:p w14:paraId="7F1BED53" w14:textId="77777777" w:rsidR="00B02873" w:rsidRPr="00EA5C92" w:rsidRDefault="00B02873" w:rsidP="00EA5C92">
            <w:pPr>
              <w:pStyle w:val="TablebodyleftFinancialsTables"/>
              <w:jc w:val="right"/>
              <w:rPr>
                <w:rFonts w:asciiTheme="minorHAnsi" w:hAnsiTheme="minorHAnsi" w:cstheme="minorHAnsi"/>
                <w:b/>
                <w:bCs/>
                <w:sz w:val="18"/>
                <w:szCs w:val="18"/>
              </w:rPr>
            </w:pPr>
          </w:p>
        </w:tc>
        <w:tc>
          <w:tcPr>
            <w:tcW w:w="1329" w:type="dxa"/>
          </w:tcPr>
          <w:p w14:paraId="6D6C8C33" w14:textId="77777777" w:rsidR="00B02873" w:rsidRPr="00EA5C92" w:rsidRDefault="00B02873" w:rsidP="00EA5C92">
            <w:pPr>
              <w:pStyle w:val="TablebodyleftFinancialsTables"/>
              <w:jc w:val="right"/>
              <w:rPr>
                <w:rFonts w:asciiTheme="minorHAnsi" w:hAnsiTheme="minorHAnsi" w:cstheme="minorHAnsi"/>
                <w:b/>
                <w:bCs/>
                <w:sz w:val="18"/>
                <w:szCs w:val="18"/>
              </w:rPr>
            </w:pPr>
          </w:p>
        </w:tc>
      </w:tr>
      <w:tr w:rsidR="00B02873" w:rsidRPr="00EA5C92" w14:paraId="667101BC" w14:textId="77777777" w:rsidTr="00EA5C92">
        <w:trPr>
          <w:trHeight w:val="60"/>
        </w:trPr>
        <w:tc>
          <w:tcPr>
            <w:tcW w:w="2494" w:type="dxa"/>
          </w:tcPr>
          <w:p w14:paraId="01D02C1E" w14:textId="77777777" w:rsidR="00B02873" w:rsidRPr="00EA5C92" w:rsidRDefault="00B02873" w:rsidP="00EA5C92">
            <w:pPr>
              <w:pStyle w:val="TablebodyleftFinancialsTables"/>
              <w:rPr>
                <w:rFonts w:asciiTheme="minorHAnsi" w:hAnsiTheme="minorHAnsi" w:cstheme="minorHAnsi"/>
                <w:sz w:val="18"/>
                <w:szCs w:val="18"/>
              </w:rPr>
            </w:pPr>
            <w:r w:rsidRPr="00EA5C92">
              <w:rPr>
                <w:rFonts w:asciiTheme="minorHAnsi" w:hAnsiTheme="minorHAnsi" w:cstheme="minorHAnsi"/>
                <w:sz w:val="18"/>
                <w:szCs w:val="18"/>
              </w:rPr>
              <w:t>Employee expenses</w:t>
            </w:r>
          </w:p>
        </w:tc>
        <w:tc>
          <w:tcPr>
            <w:tcW w:w="1045" w:type="dxa"/>
          </w:tcPr>
          <w:p w14:paraId="2A3933EC" w14:textId="77777777" w:rsidR="00B02873" w:rsidRPr="00EA5C92" w:rsidRDefault="00B02873" w:rsidP="00EA5C92">
            <w:pPr>
              <w:pStyle w:val="TablebodyleftFinancialsTables"/>
              <w:jc w:val="right"/>
              <w:rPr>
                <w:rFonts w:asciiTheme="minorHAnsi" w:hAnsiTheme="minorHAnsi" w:cstheme="minorHAnsi"/>
                <w:b/>
                <w:bCs/>
                <w:sz w:val="18"/>
                <w:szCs w:val="18"/>
              </w:rPr>
            </w:pPr>
            <w:r w:rsidRPr="00EA5C92">
              <w:rPr>
                <w:rFonts w:asciiTheme="minorHAnsi" w:hAnsiTheme="minorHAnsi" w:cstheme="minorHAnsi"/>
                <w:b/>
                <w:bCs/>
                <w:sz w:val="18"/>
                <w:szCs w:val="18"/>
              </w:rPr>
              <w:t>(65,565)</w:t>
            </w:r>
          </w:p>
        </w:tc>
        <w:tc>
          <w:tcPr>
            <w:tcW w:w="1134" w:type="dxa"/>
          </w:tcPr>
          <w:p w14:paraId="6F89A0FA" w14:textId="77777777" w:rsidR="00B02873" w:rsidRPr="00EA5C92" w:rsidRDefault="00B02873" w:rsidP="00EA5C92">
            <w:pPr>
              <w:pStyle w:val="TablebodyleftFinancialsTables"/>
              <w:jc w:val="right"/>
              <w:rPr>
                <w:rFonts w:asciiTheme="minorHAnsi" w:hAnsiTheme="minorHAnsi" w:cstheme="minorHAnsi"/>
                <w:sz w:val="18"/>
                <w:szCs w:val="18"/>
              </w:rPr>
            </w:pPr>
            <w:r w:rsidRPr="00EA5C92">
              <w:rPr>
                <w:rFonts w:asciiTheme="minorHAnsi" w:hAnsiTheme="minorHAnsi" w:cstheme="minorHAnsi"/>
                <w:sz w:val="18"/>
                <w:szCs w:val="18"/>
              </w:rPr>
              <w:t>(61,228)</w:t>
            </w:r>
          </w:p>
        </w:tc>
        <w:tc>
          <w:tcPr>
            <w:tcW w:w="1276" w:type="dxa"/>
          </w:tcPr>
          <w:p w14:paraId="0DF1892A" w14:textId="77777777" w:rsidR="00B02873" w:rsidRPr="00EA5C92" w:rsidRDefault="00B02873" w:rsidP="00EA5C92">
            <w:pPr>
              <w:pStyle w:val="TablebodyleftFinancialsTables"/>
              <w:jc w:val="right"/>
              <w:rPr>
                <w:rFonts w:asciiTheme="minorHAnsi" w:hAnsiTheme="minorHAnsi" w:cstheme="minorHAnsi"/>
                <w:b/>
                <w:bCs/>
                <w:sz w:val="18"/>
                <w:szCs w:val="18"/>
              </w:rPr>
            </w:pPr>
            <w:r w:rsidRPr="00EA5C92">
              <w:rPr>
                <w:rFonts w:asciiTheme="minorHAnsi" w:hAnsiTheme="minorHAnsi" w:cstheme="minorHAnsi"/>
                <w:b/>
                <w:bCs/>
                <w:sz w:val="18"/>
                <w:szCs w:val="18"/>
              </w:rPr>
              <w:t>(91,445)</w:t>
            </w:r>
          </w:p>
        </w:tc>
        <w:tc>
          <w:tcPr>
            <w:tcW w:w="1276" w:type="dxa"/>
          </w:tcPr>
          <w:p w14:paraId="0627CAEE" w14:textId="77777777" w:rsidR="00B02873" w:rsidRPr="00EA5C92" w:rsidRDefault="00B02873" w:rsidP="00EA5C92">
            <w:pPr>
              <w:pStyle w:val="TablebodyleftFinancialsTables"/>
              <w:jc w:val="right"/>
              <w:rPr>
                <w:rFonts w:asciiTheme="minorHAnsi" w:hAnsiTheme="minorHAnsi" w:cstheme="minorHAnsi"/>
                <w:sz w:val="18"/>
                <w:szCs w:val="18"/>
              </w:rPr>
            </w:pPr>
            <w:r w:rsidRPr="00EA5C92">
              <w:rPr>
                <w:rFonts w:asciiTheme="minorHAnsi" w:hAnsiTheme="minorHAnsi" w:cstheme="minorHAnsi"/>
                <w:sz w:val="18"/>
                <w:szCs w:val="18"/>
              </w:rPr>
              <w:t>(72,927)</w:t>
            </w:r>
          </w:p>
        </w:tc>
        <w:tc>
          <w:tcPr>
            <w:tcW w:w="1222" w:type="dxa"/>
          </w:tcPr>
          <w:p w14:paraId="3FA0C88E" w14:textId="77777777" w:rsidR="00B02873" w:rsidRPr="00EA5C92" w:rsidRDefault="00B02873" w:rsidP="00EA5C92">
            <w:pPr>
              <w:pStyle w:val="TablebodyleftFinancialsTables"/>
              <w:jc w:val="right"/>
              <w:rPr>
                <w:rFonts w:asciiTheme="minorHAnsi" w:hAnsiTheme="minorHAnsi" w:cstheme="minorHAnsi"/>
                <w:b/>
                <w:bCs/>
                <w:sz w:val="18"/>
                <w:szCs w:val="18"/>
              </w:rPr>
            </w:pPr>
            <w:r w:rsidRPr="00EA5C92">
              <w:rPr>
                <w:rFonts w:asciiTheme="minorHAnsi" w:hAnsiTheme="minorHAnsi" w:cstheme="minorHAnsi"/>
                <w:b/>
                <w:bCs/>
                <w:sz w:val="18"/>
                <w:szCs w:val="18"/>
              </w:rPr>
              <w:t>(64,840)</w:t>
            </w:r>
          </w:p>
        </w:tc>
        <w:tc>
          <w:tcPr>
            <w:tcW w:w="1329" w:type="dxa"/>
          </w:tcPr>
          <w:p w14:paraId="163ABCFD" w14:textId="77777777" w:rsidR="00B02873" w:rsidRPr="00EA5C92" w:rsidRDefault="00B02873" w:rsidP="00EA5C92">
            <w:pPr>
              <w:pStyle w:val="TablebodyleftFinancialsTables"/>
              <w:jc w:val="right"/>
              <w:rPr>
                <w:rFonts w:asciiTheme="minorHAnsi" w:hAnsiTheme="minorHAnsi" w:cstheme="minorHAnsi"/>
                <w:sz w:val="18"/>
                <w:szCs w:val="18"/>
              </w:rPr>
            </w:pPr>
            <w:r w:rsidRPr="00EA5C92">
              <w:rPr>
                <w:rFonts w:asciiTheme="minorHAnsi" w:hAnsiTheme="minorHAnsi" w:cstheme="minorHAnsi"/>
                <w:sz w:val="18"/>
                <w:szCs w:val="18"/>
              </w:rPr>
              <w:t>(61,968)</w:t>
            </w:r>
          </w:p>
        </w:tc>
      </w:tr>
      <w:tr w:rsidR="00B02873" w:rsidRPr="00EA5C92" w14:paraId="2E53CFFB" w14:textId="77777777" w:rsidTr="00EA5C92">
        <w:trPr>
          <w:trHeight w:val="60"/>
        </w:trPr>
        <w:tc>
          <w:tcPr>
            <w:tcW w:w="2494" w:type="dxa"/>
          </w:tcPr>
          <w:p w14:paraId="185C829C" w14:textId="77777777" w:rsidR="00B02873" w:rsidRPr="00EA5C92" w:rsidRDefault="00B02873" w:rsidP="00EA5C92">
            <w:pPr>
              <w:pStyle w:val="TablebodyleftFinancialsTables"/>
              <w:rPr>
                <w:rFonts w:asciiTheme="minorHAnsi" w:hAnsiTheme="minorHAnsi" w:cstheme="minorHAnsi"/>
                <w:sz w:val="18"/>
                <w:szCs w:val="18"/>
              </w:rPr>
            </w:pPr>
            <w:r w:rsidRPr="00EA5C92">
              <w:rPr>
                <w:rFonts w:asciiTheme="minorHAnsi" w:hAnsiTheme="minorHAnsi" w:cstheme="minorHAnsi"/>
                <w:sz w:val="18"/>
                <w:szCs w:val="18"/>
              </w:rPr>
              <w:t>Grants and other transfers</w:t>
            </w:r>
          </w:p>
        </w:tc>
        <w:tc>
          <w:tcPr>
            <w:tcW w:w="1045" w:type="dxa"/>
          </w:tcPr>
          <w:p w14:paraId="300B5112" w14:textId="77777777" w:rsidR="00B02873" w:rsidRPr="00EA5C92" w:rsidRDefault="00B02873" w:rsidP="00EA5C92">
            <w:pPr>
              <w:pStyle w:val="TablebodyleftFinancialsTables"/>
              <w:jc w:val="right"/>
              <w:rPr>
                <w:rFonts w:asciiTheme="minorHAnsi" w:hAnsiTheme="minorHAnsi" w:cstheme="minorHAnsi"/>
                <w:b/>
                <w:bCs/>
                <w:sz w:val="18"/>
                <w:szCs w:val="18"/>
              </w:rPr>
            </w:pPr>
            <w:r w:rsidRPr="00EA5C92">
              <w:rPr>
                <w:rFonts w:asciiTheme="minorHAnsi" w:hAnsiTheme="minorHAnsi" w:cstheme="minorHAnsi"/>
                <w:b/>
                <w:bCs/>
                <w:sz w:val="18"/>
                <w:szCs w:val="18"/>
              </w:rPr>
              <w:t>(1,729)</w:t>
            </w:r>
          </w:p>
        </w:tc>
        <w:tc>
          <w:tcPr>
            <w:tcW w:w="1134" w:type="dxa"/>
          </w:tcPr>
          <w:p w14:paraId="3D31F46F" w14:textId="77777777" w:rsidR="00B02873" w:rsidRPr="00EA5C92" w:rsidRDefault="00B02873" w:rsidP="00EA5C92">
            <w:pPr>
              <w:pStyle w:val="TablebodyleftFinancialsTables"/>
              <w:jc w:val="right"/>
              <w:rPr>
                <w:rFonts w:asciiTheme="minorHAnsi" w:hAnsiTheme="minorHAnsi" w:cstheme="minorHAnsi"/>
                <w:sz w:val="18"/>
                <w:szCs w:val="18"/>
              </w:rPr>
            </w:pPr>
            <w:r w:rsidRPr="00EA5C92">
              <w:rPr>
                <w:rFonts w:asciiTheme="minorHAnsi" w:hAnsiTheme="minorHAnsi" w:cstheme="minorHAnsi"/>
                <w:sz w:val="18"/>
                <w:szCs w:val="18"/>
              </w:rPr>
              <w:t>(346)</w:t>
            </w:r>
          </w:p>
        </w:tc>
        <w:tc>
          <w:tcPr>
            <w:tcW w:w="1276" w:type="dxa"/>
          </w:tcPr>
          <w:p w14:paraId="407B1872" w14:textId="77777777" w:rsidR="00B02873" w:rsidRPr="00EA5C92" w:rsidRDefault="00B02873" w:rsidP="00EA5C92">
            <w:pPr>
              <w:pStyle w:val="TablebodyleftFinancialsTables"/>
              <w:jc w:val="right"/>
              <w:rPr>
                <w:rFonts w:asciiTheme="minorHAnsi" w:hAnsiTheme="minorHAnsi" w:cstheme="minorHAnsi"/>
                <w:b/>
                <w:bCs/>
                <w:sz w:val="18"/>
                <w:szCs w:val="18"/>
              </w:rPr>
            </w:pPr>
            <w:r w:rsidRPr="00EA5C92">
              <w:rPr>
                <w:rFonts w:asciiTheme="minorHAnsi" w:hAnsiTheme="minorHAnsi" w:cstheme="minorHAnsi"/>
                <w:b/>
                <w:bCs/>
                <w:sz w:val="18"/>
                <w:szCs w:val="18"/>
              </w:rPr>
              <w:t>(232,287)</w:t>
            </w:r>
          </w:p>
        </w:tc>
        <w:tc>
          <w:tcPr>
            <w:tcW w:w="1276" w:type="dxa"/>
          </w:tcPr>
          <w:p w14:paraId="4D65AA40" w14:textId="77777777" w:rsidR="00B02873" w:rsidRPr="00EA5C92" w:rsidRDefault="00B02873" w:rsidP="00EA5C92">
            <w:pPr>
              <w:pStyle w:val="TablebodyleftFinancialsTables"/>
              <w:jc w:val="right"/>
              <w:rPr>
                <w:rFonts w:asciiTheme="minorHAnsi" w:hAnsiTheme="minorHAnsi" w:cstheme="minorHAnsi"/>
                <w:sz w:val="18"/>
                <w:szCs w:val="18"/>
              </w:rPr>
            </w:pPr>
            <w:r w:rsidRPr="00EA5C92">
              <w:rPr>
                <w:rFonts w:asciiTheme="minorHAnsi" w:hAnsiTheme="minorHAnsi" w:cstheme="minorHAnsi"/>
                <w:sz w:val="18"/>
                <w:szCs w:val="18"/>
              </w:rPr>
              <w:t>(191,194)</w:t>
            </w:r>
          </w:p>
        </w:tc>
        <w:tc>
          <w:tcPr>
            <w:tcW w:w="1222" w:type="dxa"/>
          </w:tcPr>
          <w:p w14:paraId="5041351D" w14:textId="77777777" w:rsidR="00B02873" w:rsidRPr="00EA5C92" w:rsidRDefault="00B02873" w:rsidP="00EA5C92">
            <w:pPr>
              <w:pStyle w:val="TablebodyleftFinancialsTables"/>
              <w:jc w:val="right"/>
              <w:rPr>
                <w:rFonts w:asciiTheme="minorHAnsi" w:hAnsiTheme="minorHAnsi" w:cstheme="minorHAnsi"/>
                <w:b/>
                <w:bCs/>
                <w:sz w:val="18"/>
                <w:szCs w:val="18"/>
              </w:rPr>
            </w:pPr>
            <w:r w:rsidRPr="00EA5C92">
              <w:rPr>
                <w:rFonts w:asciiTheme="minorHAnsi" w:hAnsiTheme="minorHAnsi" w:cstheme="minorHAnsi"/>
                <w:b/>
                <w:bCs/>
                <w:sz w:val="18"/>
                <w:szCs w:val="18"/>
              </w:rPr>
              <w:t>(213,282)</w:t>
            </w:r>
          </w:p>
        </w:tc>
        <w:tc>
          <w:tcPr>
            <w:tcW w:w="1329" w:type="dxa"/>
          </w:tcPr>
          <w:p w14:paraId="709F6788" w14:textId="77777777" w:rsidR="00B02873" w:rsidRPr="00EA5C92" w:rsidRDefault="00B02873" w:rsidP="00EA5C92">
            <w:pPr>
              <w:pStyle w:val="TablebodyleftFinancialsTables"/>
              <w:jc w:val="right"/>
              <w:rPr>
                <w:rFonts w:asciiTheme="minorHAnsi" w:hAnsiTheme="minorHAnsi" w:cstheme="minorHAnsi"/>
                <w:sz w:val="18"/>
                <w:szCs w:val="18"/>
              </w:rPr>
            </w:pPr>
            <w:r w:rsidRPr="00EA5C92">
              <w:rPr>
                <w:rFonts w:asciiTheme="minorHAnsi" w:hAnsiTheme="minorHAnsi" w:cstheme="minorHAnsi"/>
                <w:sz w:val="18"/>
                <w:szCs w:val="18"/>
              </w:rPr>
              <w:t>(195,461)</w:t>
            </w:r>
          </w:p>
        </w:tc>
      </w:tr>
      <w:tr w:rsidR="00B02873" w:rsidRPr="00EA5C92" w14:paraId="13F27770" w14:textId="77777777" w:rsidTr="00EA5C92">
        <w:trPr>
          <w:trHeight w:val="60"/>
        </w:trPr>
        <w:tc>
          <w:tcPr>
            <w:tcW w:w="2494" w:type="dxa"/>
          </w:tcPr>
          <w:p w14:paraId="605EA886" w14:textId="77777777" w:rsidR="00B02873" w:rsidRPr="00EA5C92" w:rsidRDefault="00B02873" w:rsidP="00EA5C92">
            <w:pPr>
              <w:pStyle w:val="TablebodyleftFinancialsTables"/>
              <w:rPr>
                <w:rFonts w:asciiTheme="minorHAnsi" w:hAnsiTheme="minorHAnsi" w:cstheme="minorHAnsi"/>
                <w:sz w:val="18"/>
                <w:szCs w:val="18"/>
              </w:rPr>
            </w:pPr>
            <w:r w:rsidRPr="00EA5C92">
              <w:rPr>
                <w:rFonts w:asciiTheme="minorHAnsi" w:hAnsiTheme="minorHAnsi" w:cstheme="minorHAnsi"/>
                <w:sz w:val="18"/>
                <w:szCs w:val="18"/>
              </w:rPr>
              <w:t>Supplies and services</w:t>
            </w:r>
          </w:p>
        </w:tc>
        <w:tc>
          <w:tcPr>
            <w:tcW w:w="1045" w:type="dxa"/>
          </w:tcPr>
          <w:p w14:paraId="2A73FC71" w14:textId="77777777" w:rsidR="00B02873" w:rsidRPr="00EA5C92" w:rsidRDefault="00B02873" w:rsidP="00EA5C92">
            <w:pPr>
              <w:pStyle w:val="TablebodyleftFinancialsTables"/>
              <w:jc w:val="right"/>
              <w:rPr>
                <w:rFonts w:asciiTheme="minorHAnsi" w:hAnsiTheme="minorHAnsi" w:cstheme="minorHAnsi"/>
                <w:b/>
                <w:bCs/>
                <w:sz w:val="18"/>
                <w:szCs w:val="18"/>
              </w:rPr>
            </w:pPr>
            <w:r w:rsidRPr="00EA5C92">
              <w:rPr>
                <w:rFonts w:asciiTheme="minorHAnsi" w:hAnsiTheme="minorHAnsi" w:cstheme="minorHAnsi"/>
                <w:b/>
                <w:bCs/>
                <w:sz w:val="18"/>
                <w:szCs w:val="18"/>
              </w:rPr>
              <w:t>(217,465)</w:t>
            </w:r>
          </w:p>
        </w:tc>
        <w:tc>
          <w:tcPr>
            <w:tcW w:w="1134" w:type="dxa"/>
          </w:tcPr>
          <w:p w14:paraId="3EA833C6" w14:textId="77777777" w:rsidR="00B02873" w:rsidRPr="00EA5C92" w:rsidRDefault="00B02873" w:rsidP="00EA5C92">
            <w:pPr>
              <w:pStyle w:val="TablebodyleftFinancialsTables"/>
              <w:jc w:val="right"/>
              <w:rPr>
                <w:rFonts w:asciiTheme="minorHAnsi" w:hAnsiTheme="minorHAnsi" w:cstheme="minorHAnsi"/>
                <w:sz w:val="18"/>
                <w:szCs w:val="18"/>
              </w:rPr>
            </w:pPr>
            <w:r w:rsidRPr="00EA5C92">
              <w:rPr>
                <w:rFonts w:asciiTheme="minorHAnsi" w:hAnsiTheme="minorHAnsi" w:cstheme="minorHAnsi"/>
                <w:sz w:val="18"/>
                <w:szCs w:val="18"/>
              </w:rPr>
              <w:t>(185,458)</w:t>
            </w:r>
          </w:p>
        </w:tc>
        <w:tc>
          <w:tcPr>
            <w:tcW w:w="1276" w:type="dxa"/>
          </w:tcPr>
          <w:p w14:paraId="55D6F9A9" w14:textId="77777777" w:rsidR="00B02873" w:rsidRPr="00EA5C92" w:rsidRDefault="00B02873" w:rsidP="00EA5C92">
            <w:pPr>
              <w:pStyle w:val="TablebodyleftFinancialsTables"/>
              <w:jc w:val="right"/>
              <w:rPr>
                <w:rFonts w:asciiTheme="minorHAnsi" w:hAnsiTheme="minorHAnsi" w:cstheme="minorHAnsi"/>
                <w:b/>
                <w:bCs/>
                <w:sz w:val="18"/>
                <w:szCs w:val="18"/>
              </w:rPr>
            </w:pPr>
            <w:r w:rsidRPr="00EA5C92">
              <w:rPr>
                <w:rFonts w:asciiTheme="minorHAnsi" w:hAnsiTheme="minorHAnsi" w:cstheme="minorHAnsi"/>
                <w:b/>
                <w:bCs/>
                <w:sz w:val="18"/>
                <w:szCs w:val="18"/>
              </w:rPr>
              <w:t>(103,070)</w:t>
            </w:r>
          </w:p>
        </w:tc>
        <w:tc>
          <w:tcPr>
            <w:tcW w:w="1276" w:type="dxa"/>
          </w:tcPr>
          <w:p w14:paraId="3334B438" w14:textId="77777777" w:rsidR="00B02873" w:rsidRPr="00EA5C92" w:rsidRDefault="00B02873" w:rsidP="00EA5C92">
            <w:pPr>
              <w:pStyle w:val="TablebodyleftFinancialsTables"/>
              <w:jc w:val="right"/>
              <w:rPr>
                <w:rFonts w:asciiTheme="minorHAnsi" w:hAnsiTheme="minorHAnsi" w:cstheme="minorHAnsi"/>
                <w:sz w:val="18"/>
                <w:szCs w:val="18"/>
              </w:rPr>
            </w:pPr>
            <w:r w:rsidRPr="00EA5C92">
              <w:rPr>
                <w:rFonts w:asciiTheme="minorHAnsi" w:hAnsiTheme="minorHAnsi" w:cstheme="minorHAnsi"/>
                <w:sz w:val="18"/>
                <w:szCs w:val="18"/>
              </w:rPr>
              <w:t>(60,848)</w:t>
            </w:r>
          </w:p>
        </w:tc>
        <w:tc>
          <w:tcPr>
            <w:tcW w:w="1222" w:type="dxa"/>
          </w:tcPr>
          <w:p w14:paraId="07F28A6F" w14:textId="77777777" w:rsidR="00B02873" w:rsidRPr="00EA5C92" w:rsidRDefault="00B02873" w:rsidP="00EA5C92">
            <w:pPr>
              <w:pStyle w:val="TablebodyleftFinancialsTables"/>
              <w:jc w:val="right"/>
              <w:rPr>
                <w:rFonts w:asciiTheme="minorHAnsi" w:hAnsiTheme="minorHAnsi" w:cstheme="minorHAnsi"/>
                <w:b/>
                <w:bCs/>
                <w:sz w:val="18"/>
                <w:szCs w:val="18"/>
              </w:rPr>
            </w:pPr>
            <w:r w:rsidRPr="00EA5C92">
              <w:rPr>
                <w:rFonts w:asciiTheme="minorHAnsi" w:hAnsiTheme="minorHAnsi" w:cstheme="minorHAnsi"/>
                <w:b/>
                <w:bCs/>
                <w:sz w:val="18"/>
                <w:szCs w:val="18"/>
              </w:rPr>
              <w:t>(55,213)</w:t>
            </w:r>
          </w:p>
        </w:tc>
        <w:tc>
          <w:tcPr>
            <w:tcW w:w="1329" w:type="dxa"/>
          </w:tcPr>
          <w:p w14:paraId="7EB57FBD" w14:textId="77777777" w:rsidR="00B02873" w:rsidRPr="00EA5C92" w:rsidRDefault="00B02873" w:rsidP="00EA5C92">
            <w:pPr>
              <w:pStyle w:val="TablebodyleftFinancialsTables"/>
              <w:jc w:val="right"/>
              <w:rPr>
                <w:rFonts w:asciiTheme="minorHAnsi" w:hAnsiTheme="minorHAnsi" w:cstheme="minorHAnsi"/>
                <w:sz w:val="18"/>
                <w:szCs w:val="18"/>
              </w:rPr>
            </w:pPr>
            <w:r w:rsidRPr="00EA5C92">
              <w:rPr>
                <w:rFonts w:asciiTheme="minorHAnsi" w:hAnsiTheme="minorHAnsi" w:cstheme="minorHAnsi"/>
                <w:sz w:val="18"/>
                <w:szCs w:val="18"/>
              </w:rPr>
              <w:t>(67,570)</w:t>
            </w:r>
          </w:p>
        </w:tc>
      </w:tr>
      <w:tr w:rsidR="00B02873" w:rsidRPr="00EA5C92" w14:paraId="496D362B" w14:textId="77777777" w:rsidTr="00EA5C92">
        <w:trPr>
          <w:trHeight w:val="60"/>
        </w:trPr>
        <w:tc>
          <w:tcPr>
            <w:tcW w:w="2494" w:type="dxa"/>
          </w:tcPr>
          <w:p w14:paraId="57DCCE3D" w14:textId="77777777" w:rsidR="00B02873" w:rsidRPr="00EA5C92" w:rsidRDefault="00B02873" w:rsidP="00EA5C92">
            <w:pPr>
              <w:pStyle w:val="TablebodyleftFinancialsTables"/>
              <w:rPr>
                <w:rFonts w:asciiTheme="minorHAnsi" w:hAnsiTheme="minorHAnsi" w:cstheme="minorHAnsi"/>
                <w:sz w:val="18"/>
                <w:szCs w:val="18"/>
              </w:rPr>
            </w:pPr>
            <w:r w:rsidRPr="00EA5C92">
              <w:rPr>
                <w:rFonts w:asciiTheme="minorHAnsi" w:hAnsiTheme="minorHAnsi" w:cstheme="minorHAnsi"/>
                <w:sz w:val="18"/>
                <w:szCs w:val="18"/>
              </w:rPr>
              <w:t>Depreciation and amortisation</w:t>
            </w:r>
          </w:p>
        </w:tc>
        <w:tc>
          <w:tcPr>
            <w:tcW w:w="1045" w:type="dxa"/>
          </w:tcPr>
          <w:p w14:paraId="4CE0F019" w14:textId="77777777" w:rsidR="00B02873" w:rsidRPr="00EA5C92" w:rsidRDefault="00B02873" w:rsidP="00EA5C92">
            <w:pPr>
              <w:pStyle w:val="TablebodyleftFinancialsTables"/>
              <w:jc w:val="right"/>
              <w:rPr>
                <w:rFonts w:asciiTheme="minorHAnsi" w:hAnsiTheme="minorHAnsi" w:cstheme="minorHAnsi"/>
                <w:b/>
                <w:bCs/>
                <w:sz w:val="18"/>
                <w:szCs w:val="18"/>
              </w:rPr>
            </w:pPr>
            <w:r w:rsidRPr="00EA5C92">
              <w:rPr>
                <w:rFonts w:asciiTheme="minorHAnsi" w:hAnsiTheme="minorHAnsi" w:cstheme="minorHAnsi"/>
                <w:b/>
                <w:bCs/>
                <w:sz w:val="18"/>
                <w:szCs w:val="18"/>
              </w:rPr>
              <w:t>(2,290)</w:t>
            </w:r>
          </w:p>
        </w:tc>
        <w:tc>
          <w:tcPr>
            <w:tcW w:w="1134" w:type="dxa"/>
          </w:tcPr>
          <w:p w14:paraId="6C67C52C" w14:textId="77777777" w:rsidR="00B02873" w:rsidRPr="00EA5C92" w:rsidRDefault="00B02873" w:rsidP="00EA5C92">
            <w:pPr>
              <w:pStyle w:val="TablebodyleftFinancialsTables"/>
              <w:jc w:val="right"/>
              <w:rPr>
                <w:rFonts w:asciiTheme="minorHAnsi" w:hAnsiTheme="minorHAnsi" w:cstheme="minorHAnsi"/>
                <w:sz w:val="18"/>
                <w:szCs w:val="18"/>
              </w:rPr>
            </w:pPr>
            <w:r w:rsidRPr="00EA5C92">
              <w:rPr>
                <w:rFonts w:asciiTheme="minorHAnsi" w:hAnsiTheme="minorHAnsi" w:cstheme="minorHAnsi"/>
                <w:sz w:val="18"/>
                <w:szCs w:val="18"/>
              </w:rPr>
              <w:t>(2,619)</w:t>
            </w:r>
          </w:p>
        </w:tc>
        <w:tc>
          <w:tcPr>
            <w:tcW w:w="1276" w:type="dxa"/>
          </w:tcPr>
          <w:p w14:paraId="64041DDF" w14:textId="77777777" w:rsidR="00B02873" w:rsidRPr="00EA5C92" w:rsidRDefault="00B02873" w:rsidP="00EA5C92">
            <w:pPr>
              <w:pStyle w:val="TablebodyleftFinancialsTables"/>
              <w:jc w:val="right"/>
              <w:rPr>
                <w:rFonts w:asciiTheme="minorHAnsi" w:hAnsiTheme="minorHAnsi" w:cstheme="minorHAnsi"/>
                <w:b/>
                <w:bCs/>
                <w:sz w:val="18"/>
                <w:szCs w:val="18"/>
              </w:rPr>
            </w:pPr>
            <w:r w:rsidRPr="00EA5C92">
              <w:rPr>
                <w:rFonts w:asciiTheme="minorHAnsi" w:hAnsiTheme="minorHAnsi" w:cstheme="minorHAnsi"/>
                <w:b/>
                <w:bCs/>
                <w:sz w:val="18"/>
                <w:szCs w:val="18"/>
              </w:rPr>
              <w:t>(11,143)</w:t>
            </w:r>
          </w:p>
        </w:tc>
        <w:tc>
          <w:tcPr>
            <w:tcW w:w="1276" w:type="dxa"/>
          </w:tcPr>
          <w:p w14:paraId="0CFADBA4" w14:textId="77777777" w:rsidR="00B02873" w:rsidRPr="00EA5C92" w:rsidRDefault="00B02873" w:rsidP="00EA5C92">
            <w:pPr>
              <w:pStyle w:val="TablebodyleftFinancialsTables"/>
              <w:jc w:val="right"/>
              <w:rPr>
                <w:rFonts w:asciiTheme="minorHAnsi" w:hAnsiTheme="minorHAnsi" w:cstheme="minorHAnsi"/>
                <w:sz w:val="18"/>
                <w:szCs w:val="18"/>
              </w:rPr>
            </w:pPr>
            <w:r w:rsidRPr="00EA5C92">
              <w:rPr>
                <w:rFonts w:asciiTheme="minorHAnsi" w:hAnsiTheme="minorHAnsi" w:cstheme="minorHAnsi"/>
                <w:sz w:val="18"/>
                <w:szCs w:val="18"/>
              </w:rPr>
              <w:t>(11,634)</w:t>
            </w:r>
          </w:p>
        </w:tc>
        <w:tc>
          <w:tcPr>
            <w:tcW w:w="1222" w:type="dxa"/>
          </w:tcPr>
          <w:p w14:paraId="0EC8DE13" w14:textId="77777777" w:rsidR="00B02873" w:rsidRPr="00EA5C92" w:rsidRDefault="00B02873" w:rsidP="00EA5C92">
            <w:pPr>
              <w:pStyle w:val="TablebodyleftFinancialsTables"/>
              <w:jc w:val="right"/>
              <w:rPr>
                <w:rFonts w:asciiTheme="minorHAnsi" w:hAnsiTheme="minorHAnsi" w:cstheme="minorHAnsi"/>
                <w:b/>
                <w:bCs/>
                <w:sz w:val="18"/>
                <w:szCs w:val="18"/>
              </w:rPr>
            </w:pPr>
            <w:r w:rsidRPr="00EA5C92">
              <w:rPr>
                <w:rFonts w:asciiTheme="minorHAnsi" w:hAnsiTheme="minorHAnsi" w:cstheme="minorHAnsi"/>
                <w:b/>
                <w:bCs/>
                <w:sz w:val="18"/>
                <w:szCs w:val="18"/>
              </w:rPr>
              <w:t>(10,160)</w:t>
            </w:r>
          </w:p>
        </w:tc>
        <w:tc>
          <w:tcPr>
            <w:tcW w:w="1329" w:type="dxa"/>
          </w:tcPr>
          <w:p w14:paraId="4AFC3AEB" w14:textId="77777777" w:rsidR="00B02873" w:rsidRPr="00EA5C92" w:rsidRDefault="00B02873" w:rsidP="00EA5C92">
            <w:pPr>
              <w:pStyle w:val="TablebodyleftFinancialsTables"/>
              <w:jc w:val="right"/>
              <w:rPr>
                <w:rFonts w:asciiTheme="minorHAnsi" w:hAnsiTheme="minorHAnsi" w:cstheme="minorHAnsi"/>
                <w:sz w:val="18"/>
                <w:szCs w:val="18"/>
              </w:rPr>
            </w:pPr>
            <w:r w:rsidRPr="00EA5C92">
              <w:rPr>
                <w:rFonts w:asciiTheme="minorHAnsi" w:hAnsiTheme="minorHAnsi" w:cstheme="minorHAnsi"/>
                <w:sz w:val="18"/>
                <w:szCs w:val="18"/>
              </w:rPr>
              <w:t>(4,280)</w:t>
            </w:r>
          </w:p>
        </w:tc>
      </w:tr>
      <w:tr w:rsidR="00B02873" w:rsidRPr="00EA5C92" w14:paraId="1DC51A0D" w14:textId="77777777" w:rsidTr="00EA5C92">
        <w:trPr>
          <w:trHeight w:val="60"/>
        </w:trPr>
        <w:tc>
          <w:tcPr>
            <w:tcW w:w="2494" w:type="dxa"/>
          </w:tcPr>
          <w:p w14:paraId="7DC3DF91" w14:textId="77777777" w:rsidR="00B02873" w:rsidRPr="00EA5C92" w:rsidRDefault="00B02873" w:rsidP="00EA5C92">
            <w:pPr>
              <w:pStyle w:val="TablebodyleftFinancialsTables"/>
              <w:rPr>
                <w:rFonts w:asciiTheme="minorHAnsi" w:hAnsiTheme="minorHAnsi" w:cstheme="minorHAnsi"/>
                <w:sz w:val="18"/>
                <w:szCs w:val="18"/>
              </w:rPr>
            </w:pPr>
            <w:r w:rsidRPr="00EA5C92">
              <w:rPr>
                <w:rFonts w:asciiTheme="minorHAnsi" w:hAnsiTheme="minorHAnsi" w:cstheme="minorHAnsi"/>
                <w:sz w:val="18"/>
                <w:szCs w:val="18"/>
              </w:rPr>
              <w:lastRenderedPageBreak/>
              <w:t>Capital asset charge</w:t>
            </w:r>
          </w:p>
        </w:tc>
        <w:tc>
          <w:tcPr>
            <w:tcW w:w="1045" w:type="dxa"/>
          </w:tcPr>
          <w:p w14:paraId="5E64B69C" w14:textId="77777777" w:rsidR="00B02873" w:rsidRPr="00EA5C92" w:rsidRDefault="00B02873" w:rsidP="00EA5C92">
            <w:pPr>
              <w:pStyle w:val="TablebodyleftFinancialsTables"/>
              <w:jc w:val="right"/>
              <w:rPr>
                <w:rFonts w:asciiTheme="minorHAnsi" w:hAnsiTheme="minorHAnsi" w:cstheme="minorHAnsi"/>
                <w:b/>
                <w:bCs/>
                <w:sz w:val="18"/>
                <w:szCs w:val="18"/>
              </w:rPr>
            </w:pPr>
            <w:r w:rsidRPr="00EA5C92">
              <w:rPr>
                <w:rFonts w:asciiTheme="minorHAnsi" w:hAnsiTheme="minorHAnsi" w:cstheme="minorHAnsi"/>
                <w:b/>
                <w:bCs/>
                <w:sz w:val="18"/>
                <w:szCs w:val="18"/>
              </w:rPr>
              <w:t>–</w:t>
            </w:r>
          </w:p>
        </w:tc>
        <w:tc>
          <w:tcPr>
            <w:tcW w:w="1134" w:type="dxa"/>
          </w:tcPr>
          <w:p w14:paraId="58BE5F1A" w14:textId="77777777" w:rsidR="00B02873" w:rsidRPr="00EA5C92" w:rsidRDefault="00B02873" w:rsidP="00EA5C92">
            <w:pPr>
              <w:pStyle w:val="TablebodyleftFinancialsTables"/>
              <w:jc w:val="right"/>
              <w:rPr>
                <w:rFonts w:asciiTheme="minorHAnsi" w:hAnsiTheme="minorHAnsi" w:cstheme="minorHAnsi"/>
                <w:sz w:val="18"/>
                <w:szCs w:val="18"/>
              </w:rPr>
            </w:pPr>
            <w:r w:rsidRPr="00EA5C92">
              <w:rPr>
                <w:rFonts w:asciiTheme="minorHAnsi" w:hAnsiTheme="minorHAnsi" w:cstheme="minorHAnsi"/>
                <w:sz w:val="18"/>
                <w:szCs w:val="18"/>
              </w:rPr>
              <w:t>(906)</w:t>
            </w:r>
          </w:p>
        </w:tc>
        <w:tc>
          <w:tcPr>
            <w:tcW w:w="1276" w:type="dxa"/>
          </w:tcPr>
          <w:p w14:paraId="1A535FE2" w14:textId="77777777" w:rsidR="00B02873" w:rsidRPr="00EA5C92" w:rsidRDefault="00B02873" w:rsidP="00EA5C92">
            <w:pPr>
              <w:pStyle w:val="TablebodyleftFinancialsTables"/>
              <w:jc w:val="right"/>
              <w:rPr>
                <w:rFonts w:asciiTheme="minorHAnsi" w:hAnsiTheme="minorHAnsi" w:cstheme="minorHAnsi"/>
                <w:b/>
                <w:bCs/>
                <w:sz w:val="18"/>
                <w:szCs w:val="18"/>
              </w:rPr>
            </w:pPr>
            <w:r w:rsidRPr="00EA5C92">
              <w:rPr>
                <w:rFonts w:asciiTheme="minorHAnsi" w:hAnsiTheme="minorHAnsi" w:cstheme="minorHAnsi"/>
                <w:b/>
                <w:bCs/>
                <w:sz w:val="18"/>
                <w:szCs w:val="18"/>
              </w:rPr>
              <w:t>–</w:t>
            </w:r>
          </w:p>
        </w:tc>
        <w:tc>
          <w:tcPr>
            <w:tcW w:w="1276" w:type="dxa"/>
          </w:tcPr>
          <w:p w14:paraId="0B92291C" w14:textId="77777777" w:rsidR="00B02873" w:rsidRPr="00EA5C92" w:rsidRDefault="00B02873" w:rsidP="00EA5C92">
            <w:pPr>
              <w:pStyle w:val="TablebodyleftFinancialsTables"/>
              <w:jc w:val="right"/>
              <w:rPr>
                <w:rFonts w:asciiTheme="minorHAnsi" w:hAnsiTheme="minorHAnsi" w:cstheme="minorHAnsi"/>
                <w:sz w:val="18"/>
                <w:szCs w:val="18"/>
              </w:rPr>
            </w:pPr>
            <w:r w:rsidRPr="00EA5C92">
              <w:rPr>
                <w:rFonts w:asciiTheme="minorHAnsi" w:hAnsiTheme="minorHAnsi" w:cstheme="minorHAnsi"/>
                <w:sz w:val="18"/>
                <w:szCs w:val="18"/>
              </w:rPr>
              <w:t>(19,148)</w:t>
            </w:r>
          </w:p>
        </w:tc>
        <w:tc>
          <w:tcPr>
            <w:tcW w:w="1222" w:type="dxa"/>
          </w:tcPr>
          <w:p w14:paraId="013FE002" w14:textId="77777777" w:rsidR="00B02873" w:rsidRPr="00EA5C92" w:rsidRDefault="00B02873" w:rsidP="00EA5C92">
            <w:pPr>
              <w:pStyle w:val="TablebodyleftFinancialsTables"/>
              <w:jc w:val="right"/>
              <w:rPr>
                <w:rFonts w:asciiTheme="minorHAnsi" w:hAnsiTheme="minorHAnsi" w:cstheme="minorHAnsi"/>
                <w:b/>
                <w:bCs/>
                <w:sz w:val="18"/>
                <w:szCs w:val="18"/>
              </w:rPr>
            </w:pPr>
            <w:r w:rsidRPr="00EA5C92">
              <w:rPr>
                <w:rFonts w:asciiTheme="minorHAnsi" w:hAnsiTheme="minorHAnsi" w:cstheme="minorHAnsi"/>
                <w:b/>
                <w:bCs/>
                <w:sz w:val="18"/>
                <w:szCs w:val="18"/>
              </w:rPr>
              <w:t>–</w:t>
            </w:r>
          </w:p>
        </w:tc>
        <w:tc>
          <w:tcPr>
            <w:tcW w:w="1329" w:type="dxa"/>
          </w:tcPr>
          <w:p w14:paraId="0A814F1F" w14:textId="77777777" w:rsidR="00B02873" w:rsidRPr="00EA5C92" w:rsidRDefault="00B02873" w:rsidP="00EA5C92">
            <w:pPr>
              <w:pStyle w:val="TablebodyleftFinancialsTables"/>
              <w:jc w:val="right"/>
              <w:rPr>
                <w:rFonts w:asciiTheme="minorHAnsi" w:hAnsiTheme="minorHAnsi" w:cstheme="minorHAnsi"/>
                <w:sz w:val="18"/>
                <w:szCs w:val="18"/>
              </w:rPr>
            </w:pPr>
            <w:r w:rsidRPr="00EA5C92">
              <w:rPr>
                <w:rFonts w:asciiTheme="minorHAnsi" w:hAnsiTheme="minorHAnsi" w:cstheme="minorHAnsi"/>
                <w:sz w:val="18"/>
                <w:szCs w:val="18"/>
              </w:rPr>
              <w:t>(2,186)</w:t>
            </w:r>
          </w:p>
        </w:tc>
      </w:tr>
      <w:tr w:rsidR="00B02873" w:rsidRPr="00EA5C92" w14:paraId="47F8B75A" w14:textId="77777777" w:rsidTr="00EA5C92">
        <w:trPr>
          <w:trHeight w:val="60"/>
        </w:trPr>
        <w:tc>
          <w:tcPr>
            <w:tcW w:w="2494" w:type="dxa"/>
          </w:tcPr>
          <w:p w14:paraId="2D853622" w14:textId="2B2D1C8C" w:rsidR="00B02873" w:rsidRPr="00EA5C92" w:rsidRDefault="00B02873" w:rsidP="00EA5C92">
            <w:pPr>
              <w:pStyle w:val="TablebodyleftFinancialsTables"/>
              <w:rPr>
                <w:rFonts w:asciiTheme="minorHAnsi" w:hAnsiTheme="minorHAnsi" w:cstheme="minorHAnsi"/>
                <w:sz w:val="18"/>
                <w:szCs w:val="18"/>
              </w:rPr>
            </w:pPr>
            <w:r w:rsidRPr="00EA5C92">
              <w:rPr>
                <w:rFonts w:asciiTheme="minorHAnsi" w:hAnsiTheme="minorHAnsi" w:cstheme="minorHAnsi"/>
                <w:sz w:val="18"/>
                <w:szCs w:val="18"/>
              </w:rPr>
              <w:t>Initial recognition expense from</w:t>
            </w:r>
            <w:r w:rsidR="00012C04" w:rsidRPr="00EA5C92">
              <w:rPr>
                <w:rFonts w:asciiTheme="minorHAnsi" w:hAnsiTheme="minorHAnsi" w:cstheme="minorHAnsi"/>
                <w:sz w:val="18"/>
                <w:szCs w:val="18"/>
              </w:rPr>
              <w:t xml:space="preserve"> </w:t>
            </w:r>
            <w:r w:rsidRPr="00EA5C92">
              <w:rPr>
                <w:rFonts w:asciiTheme="minorHAnsi" w:hAnsiTheme="minorHAnsi" w:cstheme="minorHAnsi"/>
                <w:sz w:val="18"/>
                <w:szCs w:val="18"/>
              </w:rPr>
              <w:t>financial instruments</w:t>
            </w:r>
          </w:p>
        </w:tc>
        <w:tc>
          <w:tcPr>
            <w:tcW w:w="1045" w:type="dxa"/>
          </w:tcPr>
          <w:p w14:paraId="6A7A8A88" w14:textId="77777777" w:rsidR="00B02873" w:rsidRPr="00EA5C92" w:rsidRDefault="00B02873" w:rsidP="00EA5C92">
            <w:pPr>
              <w:pStyle w:val="TablebodyleftFinancialsTables"/>
              <w:jc w:val="right"/>
              <w:rPr>
                <w:rFonts w:asciiTheme="minorHAnsi" w:hAnsiTheme="minorHAnsi" w:cstheme="minorHAnsi"/>
                <w:b/>
                <w:bCs/>
                <w:sz w:val="18"/>
                <w:szCs w:val="18"/>
              </w:rPr>
            </w:pPr>
            <w:r w:rsidRPr="00EA5C92">
              <w:rPr>
                <w:rFonts w:asciiTheme="minorHAnsi" w:hAnsiTheme="minorHAnsi" w:cstheme="minorHAnsi"/>
                <w:b/>
                <w:bCs/>
                <w:sz w:val="18"/>
                <w:szCs w:val="18"/>
              </w:rPr>
              <w:t>–</w:t>
            </w:r>
          </w:p>
        </w:tc>
        <w:tc>
          <w:tcPr>
            <w:tcW w:w="1134" w:type="dxa"/>
          </w:tcPr>
          <w:p w14:paraId="7A21733C" w14:textId="77777777" w:rsidR="00B02873" w:rsidRPr="00EA5C92" w:rsidRDefault="00B02873" w:rsidP="00EA5C92">
            <w:pPr>
              <w:pStyle w:val="TablebodyleftFinancialsTables"/>
              <w:jc w:val="right"/>
              <w:rPr>
                <w:rFonts w:asciiTheme="minorHAnsi" w:hAnsiTheme="minorHAnsi" w:cstheme="minorHAnsi"/>
                <w:sz w:val="18"/>
                <w:szCs w:val="18"/>
              </w:rPr>
            </w:pPr>
            <w:r w:rsidRPr="00EA5C92">
              <w:rPr>
                <w:rFonts w:asciiTheme="minorHAnsi" w:hAnsiTheme="minorHAnsi" w:cstheme="minorHAnsi"/>
                <w:sz w:val="18"/>
                <w:szCs w:val="18"/>
              </w:rPr>
              <w:t>–</w:t>
            </w:r>
          </w:p>
        </w:tc>
        <w:tc>
          <w:tcPr>
            <w:tcW w:w="1276" w:type="dxa"/>
          </w:tcPr>
          <w:p w14:paraId="704EB5A3" w14:textId="77777777" w:rsidR="00B02873" w:rsidRPr="00EA5C92" w:rsidRDefault="00B02873" w:rsidP="00EA5C92">
            <w:pPr>
              <w:pStyle w:val="TablebodyleftFinancialsTables"/>
              <w:jc w:val="right"/>
              <w:rPr>
                <w:rFonts w:asciiTheme="minorHAnsi" w:hAnsiTheme="minorHAnsi" w:cstheme="minorHAnsi"/>
                <w:b/>
                <w:bCs/>
                <w:sz w:val="18"/>
                <w:szCs w:val="18"/>
              </w:rPr>
            </w:pPr>
            <w:r w:rsidRPr="00EA5C92">
              <w:rPr>
                <w:rFonts w:asciiTheme="minorHAnsi" w:hAnsiTheme="minorHAnsi" w:cstheme="minorHAnsi"/>
                <w:b/>
                <w:bCs/>
                <w:sz w:val="18"/>
                <w:szCs w:val="18"/>
              </w:rPr>
              <w:t>–</w:t>
            </w:r>
          </w:p>
        </w:tc>
        <w:tc>
          <w:tcPr>
            <w:tcW w:w="1276" w:type="dxa"/>
          </w:tcPr>
          <w:p w14:paraId="169B1D56" w14:textId="77777777" w:rsidR="00B02873" w:rsidRPr="00EA5C92" w:rsidRDefault="00B02873" w:rsidP="00EA5C92">
            <w:pPr>
              <w:pStyle w:val="TablebodyleftFinancialsTables"/>
              <w:jc w:val="right"/>
              <w:rPr>
                <w:rFonts w:asciiTheme="minorHAnsi" w:hAnsiTheme="minorHAnsi" w:cstheme="minorHAnsi"/>
                <w:sz w:val="18"/>
                <w:szCs w:val="18"/>
              </w:rPr>
            </w:pPr>
            <w:r w:rsidRPr="00EA5C92">
              <w:rPr>
                <w:rFonts w:asciiTheme="minorHAnsi" w:hAnsiTheme="minorHAnsi" w:cstheme="minorHAnsi"/>
                <w:sz w:val="18"/>
                <w:szCs w:val="18"/>
              </w:rPr>
              <w:t>–</w:t>
            </w:r>
          </w:p>
        </w:tc>
        <w:tc>
          <w:tcPr>
            <w:tcW w:w="1222" w:type="dxa"/>
          </w:tcPr>
          <w:p w14:paraId="57C12E1A" w14:textId="77777777" w:rsidR="00B02873" w:rsidRPr="00EA5C92" w:rsidRDefault="00B02873" w:rsidP="00EA5C92">
            <w:pPr>
              <w:pStyle w:val="TablebodyleftFinancialsTables"/>
              <w:jc w:val="right"/>
              <w:rPr>
                <w:rFonts w:asciiTheme="minorHAnsi" w:hAnsiTheme="minorHAnsi" w:cstheme="minorHAnsi"/>
                <w:b/>
                <w:bCs/>
                <w:sz w:val="18"/>
                <w:szCs w:val="18"/>
              </w:rPr>
            </w:pPr>
            <w:r w:rsidRPr="00EA5C92">
              <w:rPr>
                <w:rFonts w:asciiTheme="minorHAnsi" w:hAnsiTheme="minorHAnsi" w:cstheme="minorHAnsi"/>
                <w:b/>
                <w:bCs/>
                <w:sz w:val="18"/>
                <w:szCs w:val="18"/>
              </w:rPr>
              <w:t>–</w:t>
            </w:r>
          </w:p>
        </w:tc>
        <w:tc>
          <w:tcPr>
            <w:tcW w:w="1329" w:type="dxa"/>
          </w:tcPr>
          <w:p w14:paraId="29128EB0" w14:textId="77777777" w:rsidR="00B02873" w:rsidRPr="00EA5C92" w:rsidRDefault="00B02873" w:rsidP="00EA5C92">
            <w:pPr>
              <w:pStyle w:val="TablebodyleftFinancialsTables"/>
              <w:jc w:val="right"/>
              <w:rPr>
                <w:rFonts w:asciiTheme="minorHAnsi" w:hAnsiTheme="minorHAnsi" w:cstheme="minorHAnsi"/>
                <w:sz w:val="18"/>
                <w:szCs w:val="18"/>
              </w:rPr>
            </w:pPr>
            <w:r w:rsidRPr="00EA5C92">
              <w:rPr>
                <w:rFonts w:asciiTheme="minorHAnsi" w:hAnsiTheme="minorHAnsi" w:cstheme="minorHAnsi"/>
                <w:sz w:val="18"/>
                <w:szCs w:val="18"/>
              </w:rPr>
              <w:t>–</w:t>
            </w:r>
          </w:p>
        </w:tc>
      </w:tr>
      <w:tr w:rsidR="00B02873" w:rsidRPr="00EA5C92" w14:paraId="2E28B2EB" w14:textId="77777777" w:rsidTr="00EA5C92">
        <w:trPr>
          <w:trHeight w:val="60"/>
        </w:trPr>
        <w:tc>
          <w:tcPr>
            <w:tcW w:w="2494" w:type="dxa"/>
          </w:tcPr>
          <w:p w14:paraId="2B9EC120" w14:textId="77777777" w:rsidR="00B02873" w:rsidRPr="00EA5C92" w:rsidRDefault="00B02873" w:rsidP="00EA5C92">
            <w:pPr>
              <w:pStyle w:val="TablebodyleftFinancialsTables"/>
              <w:rPr>
                <w:rFonts w:asciiTheme="minorHAnsi" w:hAnsiTheme="minorHAnsi" w:cstheme="minorHAnsi"/>
                <w:sz w:val="18"/>
                <w:szCs w:val="18"/>
              </w:rPr>
            </w:pPr>
            <w:r w:rsidRPr="00EA5C92">
              <w:rPr>
                <w:rFonts w:asciiTheme="minorHAnsi" w:hAnsiTheme="minorHAnsi" w:cstheme="minorHAnsi"/>
                <w:sz w:val="18"/>
                <w:szCs w:val="18"/>
              </w:rPr>
              <w:t>Interest expense</w:t>
            </w:r>
          </w:p>
        </w:tc>
        <w:tc>
          <w:tcPr>
            <w:tcW w:w="1045" w:type="dxa"/>
          </w:tcPr>
          <w:p w14:paraId="0463C2C5" w14:textId="77777777" w:rsidR="00B02873" w:rsidRPr="00EA5C92" w:rsidRDefault="00B02873" w:rsidP="00EA5C92">
            <w:pPr>
              <w:pStyle w:val="TablebodyleftFinancialsTables"/>
              <w:jc w:val="right"/>
              <w:rPr>
                <w:rFonts w:asciiTheme="minorHAnsi" w:hAnsiTheme="minorHAnsi" w:cstheme="minorHAnsi"/>
                <w:b/>
                <w:bCs/>
                <w:sz w:val="18"/>
                <w:szCs w:val="18"/>
              </w:rPr>
            </w:pPr>
            <w:r w:rsidRPr="00EA5C92">
              <w:rPr>
                <w:rFonts w:asciiTheme="minorHAnsi" w:hAnsiTheme="minorHAnsi" w:cstheme="minorHAnsi"/>
                <w:b/>
                <w:bCs/>
                <w:sz w:val="18"/>
                <w:szCs w:val="18"/>
              </w:rPr>
              <w:t>(13)</w:t>
            </w:r>
          </w:p>
        </w:tc>
        <w:tc>
          <w:tcPr>
            <w:tcW w:w="1134" w:type="dxa"/>
          </w:tcPr>
          <w:p w14:paraId="0233A064" w14:textId="77777777" w:rsidR="00B02873" w:rsidRPr="00EA5C92" w:rsidRDefault="00B02873" w:rsidP="00EA5C92">
            <w:pPr>
              <w:pStyle w:val="TablebodyleftFinancialsTables"/>
              <w:jc w:val="right"/>
              <w:rPr>
                <w:rFonts w:asciiTheme="minorHAnsi" w:hAnsiTheme="minorHAnsi" w:cstheme="minorHAnsi"/>
                <w:sz w:val="18"/>
                <w:szCs w:val="18"/>
              </w:rPr>
            </w:pPr>
            <w:r w:rsidRPr="00EA5C92">
              <w:rPr>
                <w:rFonts w:asciiTheme="minorHAnsi" w:hAnsiTheme="minorHAnsi" w:cstheme="minorHAnsi"/>
                <w:sz w:val="18"/>
                <w:szCs w:val="18"/>
              </w:rPr>
              <w:t xml:space="preserve"> (19)</w:t>
            </w:r>
          </w:p>
        </w:tc>
        <w:tc>
          <w:tcPr>
            <w:tcW w:w="1276" w:type="dxa"/>
          </w:tcPr>
          <w:p w14:paraId="119CBEE0" w14:textId="77777777" w:rsidR="00B02873" w:rsidRPr="00EA5C92" w:rsidRDefault="00B02873" w:rsidP="00EA5C92">
            <w:pPr>
              <w:pStyle w:val="TablebodyleftFinancialsTables"/>
              <w:jc w:val="right"/>
              <w:rPr>
                <w:rFonts w:asciiTheme="minorHAnsi" w:hAnsiTheme="minorHAnsi" w:cstheme="minorHAnsi"/>
                <w:b/>
                <w:bCs/>
                <w:sz w:val="18"/>
                <w:szCs w:val="18"/>
              </w:rPr>
            </w:pPr>
            <w:r w:rsidRPr="00EA5C92">
              <w:rPr>
                <w:rFonts w:asciiTheme="minorHAnsi" w:hAnsiTheme="minorHAnsi" w:cstheme="minorHAnsi"/>
                <w:b/>
                <w:bCs/>
                <w:sz w:val="18"/>
                <w:szCs w:val="18"/>
              </w:rPr>
              <w:t>(14)</w:t>
            </w:r>
          </w:p>
        </w:tc>
        <w:tc>
          <w:tcPr>
            <w:tcW w:w="1276" w:type="dxa"/>
          </w:tcPr>
          <w:p w14:paraId="455340BD" w14:textId="77777777" w:rsidR="00B02873" w:rsidRPr="00EA5C92" w:rsidRDefault="00B02873" w:rsidP="00EA5C92">
            <w:pPr>
              <w:pStyle w:val="TablebodyleftFinancialsTables"/>
              <w:jc w:val="right"/>
              <w:rPr>
                <w:rFonts w:asciiTheme="minorHAnsi" w:hAnsiTheme="minorHAnsi" w:cstheme="minorHAnsi"/>
                <w:sz w:val="18"/>
                <w:szCs w:val="18"/>
              </w:rPr>
            </w:pPr>
            <w:r w:rsidRPr="00EA5C92">
              <w:rPr>
                <w:rFonts w:asciiTheme="minorHAnsi" w:hAnsiTheme="minorHAnsi" w:cstheme="minorHAnsi"/>
                <w:sz w:val="18"/>
                <w:szCs w:val="18"/>
              </w:rPr>
              <w:t>(57)</w:t>
            </w:r>
          </w:p>
        </w:tc>
        <w:tc>
          <w:tcPr>
            <w:tcW w:w="1222" w:type="dxa"/>
          </w:tcPr>
          <w:p w14:paraId="25E76755" w14:textId="77777777" w:rsidR="00B02873" w:rsidRPr="00EA5C92" w:rsidRDefault="00B02873" w:rsidP="00EA5C92">
            <w:pPr>
              <w:pStyle w:val="TablebodyleftFinancialsTables"/>
              <w:jc w:val="right"/>
              <w:rPr>
                <w:rFonts w:asciiTheme="minorHAnsi" w:hAnsiTheme="minorHAnsi" w:cstheme="minorHAnsi"/>
                <w:b/>
                <w:bCs/>
                <w:sz w:val="18"/>
                <w:szCs w:val="18"/>
              </w:rPr>
            </w:pPr>
            <w:r w:rsidRPr="00EA5C92">
              <w:rPr>
                <w:rFonts w:asciiTheme="minorHAnsi" w:hAnsiTheme="minorHAnsi" w:cstheme="minorHAnsi"/>
                <w:b/>
                <w:bCs/>
                <w:sz w:val="18"/>
                <w:szCs w:val="18"/>
              </w:rPr>
              <w:t>24</w:t>
            </w:r>
          </w:p>
        </w:tc>
        <w:tc>
          <w:tcPr>
            <w:tcW w:w="1329" w:type="dxa"/>
          </w:tcPr>
          <w:p w14:paraId="3973E519" w14:textId="77777777" w:rsidR="00B02873" w:rsidRPr="00EA5C92" w:rsidRDefault="00B02873" w:rsidP="00EA5C92">
            <w:pPr>
              <w:pStyle w:val="TablebodyleftFinancialsTables"/>
              <w:jc w:val="right"/>
              <w:rPr>
                <w:rFonts w:asciiTheme="minorHAnsi" w:hAnsiTheme="minorHAnsi" w:cstheme="minorHAnsi"/>
                <w:sz w:val="18"/>
                <w:szCs w:val="18"/>
              </w:rPr>
            </w:pPr>
            <w:r w:rsidRPr="00EA5C92">
              <w:rPr>
                <w:rFonts w:asciiTheme="minorHAnsi" w:hAnsiTheme="minorHAnsi" w:cstheme="minorHAnsi"/>
                <w:sz w:val="18"/>
                <w:szCs w:val="18"/>
              </w:rPr>
              <w:t>(13)</w:t>
            </w:r>
          </w:p>
        </w:tc>
      </w:tr>
      <w:tr w:rsidR="00B02873" w:rsidRPr="00EA5C92" w14:paraId="6FB54DE9" w14:textId="77777777" w:rsidTr="00EA5C92">
        <w:trPr>
          <w:trHeight w:val="60"/>
        </w:trPr>
        <w:tc>
          <w:tcPr>
            <w:tcW w:w="2494" w:type="dxa"/>
          </w:tcPr>
          <w:p w14:paraId="6A64BC1B" w14:textId="77777777" w:rsidR="00B02873" w:rsidRPr="00EA5C92" w:rsidRDefault="00B02873" w:rsidP="00EA5C92">
            <w:pPr>
              <w:pStyle w:val="TablebodyleftFinancialsTables"/>
              <w:rPr>
                <w:rFonts w:asciiTheme="minorHAnsi" w:hAnsiTheme="minorHAnsi" w:cstheme="minorHAnsi"/>
                <w:sz w:val="18"/>
                <w:szCs w:val="18"/>
              </w:rPr>
            </w:pPr>
            <w:r w:rsidRPr="00EA5C92">
              <w:rPr>
                <w:rFonts w:asciiTheme="minorHAnsi" w:hAnsiTheme="minorHAnsi" w:cstheme="minorHAnsi"/>
                <w:sz w:val="18"/>
                <w:szCs w:val="18"/>
              </w:rPr>
              <w:t>Loan repayments transferred to the administered entity</w:t>
            </w:r>
          </w:p>
        </w:tc>
        <w:tc>
          <w:tcPr>
            <w:tcW w:w="1045" w:type="dxa"/>
          </w:tcPr>
          <w:p w14:paraId="359156BD" w14:textId="77777777" w:rsidR="00B02873" w:rsidRPr="00EA5C92" w:rsidRDefault="00B02873" w:rsidP="00EA5C92">
            <w:pPr>
              <w:pStyle w:val="TablebodyleftFinancialsTables"/>
              <w:jc w:val="right"/>
              <w:rPr>
                <w:rFonts w:asciiTheme="minorHAnsi" w:hAnsiTheme="minorHAnsi" w:cstheme="minorHAnsi"/>
                <w:b/>
                <w:bCs/>
                <w:sz w:val="18"/>
                <w:szCs w:val="18"/>
              </w:rPr>
            </w:pPr>
            <w:r w:rsidRPr="00EA5C92">
              <w:rPr>
                <w:rFonts w:asciiTheme="minorHAnsi" w:hAnsiTheme="minorHAnsi" w:cstheme="minorHAnsi"/>
                <w:b/>
                <w:bCs/>
                <w:sz w:val="18"/>
                <w:szCs w:val="18"/>
              </w:rPr>
              <w:t>–</w:t>
            </w:r>
          </w:p>
        </w:tc>
        <w:tc>
          <w:tcPr>
            <w:tcW w:w="1134" w:type="dxa"/>
          </w:tcPr>
          <w:p w14:paraId="23B95EF6" w14:textId="77777777" w:rsidR="00B02873" w:rsidRPr="00EA5C92" w:rsidRDefault="00B02873" w:rsidP="00EA5C92">
            <w:pPr>
              <w:pStyle w:val="TablebodyleftFinancialsTables"/>
              <w:jc w:val="right"/>
              <w:rPr>
                <w:rFonts w:asciiTheme="minorHAnsi" w:hAnsiTheme="minorHAnsi" w:cstheme="minorHAnsi"/>
                <w:sz w:val="18"/>
                <w:szCs w:val="18"/>
              </w:rPr>
            </w:pPr>
            <w:r w:rsidRPr="00EA5C92">
              <w:rPr>
                <w:rFonts w:asciiTheme="minorHAnsi" w:hAnsiTheme="minorHAnsi" w:cstheme="minorHAnsi"/>
                <w:sz w:val="18"/>
                <w:szCs w:val="18"/>
              </w:rPr>
              <w:t>–</w:t>
            </w:r>
          </w:p>
        </w:tc>
        <w:tc>
          <w:tcPr>
            <w:tcW w:w="1276" w:type="dxa"/>
          </w:tcPr>
          <w:p w14:paraId="197CD617" w14:textId="77777777" w:rsidR="00B02873" w:rsidRPr="00EA5C92" w:rsidRDefault="00B02873" w:rsidP="00EA5C92">
            <w:pPr>
              <w:pStyle w:val="TablebodyleftFinancialsTables"/>
              <w:jc w:val="right"/>
              <w:rPr>
                <w:rFonts w:asciiTheme="minorHAnsi" w:hAnsiTheme="minorHAnsi" w:cstheme="minorHAnsi"/>
                <w:b/>
                <w:bCs/>
                <w:sz w:val="18"/>
                <w:szCs w:val="18"/>
              </w:rPr>
            </w:pPr>
            <w:r w:rsidRPr="00EA5C92">
              <w:rPr>
                <w:rFonts w:asciiTheme="minorHAnsi" w:hAnsiTheme="minorHAnsi" w:cstheme="minorHAnsi"/>
                <w:b/>
                <w:bCs/>
                <w:sz w:val="18"/>
                <w:szCs w:val="18"/>
              </w:rPr>
              <w:t>–</w:t>
            </w:r>
          </w:p>
        </w:tc>
        <w:tc>
          <w:tcPr>
            <w:tcW w:w="1276" w:type="dxa"/>
          </w:tcPr>
          <w:p w14:paraId="652DF836" w14:textId="77777777" w:rsidR="00B02873" w:rsidRPr="00EA5C92" w:rsidRDefault="00B02873" w:rsidP="00EA5C92">
            <w:pPr>
              <w:pStyle w:val="TablebodyleftFinancialsTables"/>
              <w:jc w:val="right"/>
              <w:rPr>
                <w:rFonts w:asciiTheme="minorHAnsi" w:hAnsiTheme="minorHAnsi" w:cstheme="minorHAnsi"/>
                <w:sz w:val="18"/>
                <w:szCs w:val="18"/>
              </w:rPr>
            </w:pPr>
            <w:r w:rsidRPr="00EA5C92">
              <w:rPr>
                <w:rFonts w:asciiTheme="minorHAnsi" w:hAnsiTheme="minorHAnsi" w:cstheme="minorHAnsi"/>
                <w:sz w:val="18"/>
                <w:szCs w:val="18"/>
              </w:rPr>
              <w:t>–</w:t>
            </w:r>
          </w:p>
        </w:tc>
        <w:tc>
          <w:tcPr>
            <w:tcW w:w="1222" w:type="dxa"/>
          </w:tcPr>
          <w:p w14:paraId="2F9810E0" w14:textId="77777777" w:rsidR="00B02873" w:rsidRPr="00EA5C92" w:rsidRDefault="00B02873" w:rsidP="00EA5C92">
            <w:pPr>
              <w:pStyle w:val="TablebodyleftFinancialsTables"/>
              <w:jc w:val="right"/>
              <w:rPr>
                <w:rFonts w:asciiTheme="minorHAnsi" w:hAnsiTheme="minorHAnsi" w:cstheme="minorHAnsi"/>
                <w:b/>
                <w:bCs/>
                <w:sz w:val="18"/>
                <w:szCs w:val="18"/>
              </w:rPr>
            </w:pPr>
            <w:r w:rsidRPr="00EA5C92">
              <w:rPr>
                <w:rFonts w:asciiTheme="minorHAnsi" w:hAnsiTheme="minorHAnsi" w:cstheme="minorHAnsi"/>
                <w:b/>
                <w:bCs/>
                <w:sz w:val="18"/>
                <w:szCs w:val="18"/>
              </w:rPr>
              <w:t>–</w:t>
            </w:r>
          </w:p>
        </w:tc>
        <w:tc>
          <w:tcPr>
            <w:tcW w:w="1329" w:type="dxa"/>
          </w:tcPr>
          <w:p w14:paraId="77CC325F" w14:textId="77777777" w:rsidR="00B02873" w:rsidRPr="00EA5C92" w:rsidRDefault="00B02873" w:rsidP="00EA5C92">
            <w:pPr>
              <w:pStyle w:val="TablebodyleftFinancialsTables"/>
              <w:jc w:val="right"/>
              <w:rPr>
                <w:rFonts w:asciiTheme="minorHAnsi" w:hAnsiTheme="minorHAnsi" w:cstheme="minorHAnsi"/>
                <w:sz w:val="18"/>
                <w:szCs w:val="18"/>
              </w:rPr>
            </w:pPr>
            <w:r w:rsidRPr="00EA5C92">
              <w:rPr>
                <w:rFonts w:asciiTheme="minorHAnsi" w:hAnsiTheme="minorHAnsi" w:cstheme="minorHAnsi"/>
                <w:sz w:val="18"/>
                <w:szCs w:val="18"/>
              </w:rPr>
              <w:t>–</w:t>
            </w:r>
          </w:p>
        </w:tc>
      </w:tr>
      <w:tr w:rsidR="00B02873" w:rsidRPr="00EA5C92" w14:paraId="17616697" w14:textId="77777777" w:rsidTr="00EA5C92">
        <w:trPr>
          <w:trHeight w:val="60"/>
        </w:trPr>
        <w:tc>
          <w:tcPr>
            <w:tcW w:w="2494" w:type="dxa"/>
          </w:tcPr>
          <w:p w14:paraId="197AD6F6" w14:textId="77777777" w:rsidR="00B02873" w:rsidRPr="0008483D" w:rsidRDefault="00B02873" w:rsidP="00EA5C92">
            <w:pPr>
              <w:pStyle w:val="TablebodyleftFinancialsTables"/>
              <w:rPr>
                <w:rFonts w:asciiTheme="minorHAnsi" w:hAnsiTheme="minorHAnsi" w:cstheme="minorHAnsi"/>
                <w:b/>
                <w:bCs/>
                <w:sz w:val="18"/>
                <w:szCs w:val="18"/>
              </w:rPr>
            </w:pPr>
            <w:r w:rsidRPr="0008483D">
              <w:rPr>
                <w:rFonts w:asciiTheme="minorHAnsi" w:hAnsiTheme="minorHAnsi" w:cstheme="minorHAnsi"/>
                <w:b/>
                <w:bCs/>
                <w:sz w:val="18"/>
                <w:szCs w:val="18"/>
              </w:rPr>
              <w:t>Total expenses from transactions</w:t>
            </w:r>
          </w:p>
        </w:tc>
        <w:tc>
          <w:tcPr>
            <w:tcW w:w="1045" w:type="dxa"/>
          </w:tcPr>
          <w:p w14:paraId="189563D3" w14:textId="234FFE7A" w:rsidR="00B02873" w:rsidRPr="00EA5C92" w:rsidRDefault="00B02873" w:rsidP="00EA5C92">
            <w:pPr>
              <w:pStyle w:val="TablebodyleftFinancialsTables"/>
              <w:jc w:val="right"/>
              <w:rPr>
                <w:rFonts w:asciiTheme="minorHAnsi" w:hAnsiTheme="minorHAnsi" w:cstheme="minorHAnsi"/>
                <w:b/>
                <w:bCs/>
                <w:sz w:val="18"/>
                <w:szCs w:val="18"/>
              </w:rPr>
            </w:pPr>
            <w:r w:rsidRPr="00EA5C92">
              <w:rPr>
                <w:rFonts w:asciiTheme="minorHAnsi" w:hAnsiTheme="minorHAnsi" w:cstheme="minorHAnsi"/>
                <w:b/>
                <w:bCs/>
                <w:sz w:val="18"/>
                <w:szCs w:val="18"/>
              </w:rPr>
              <w:t xml:space="preserve">(287,062) </w:t>
            </w:r>
          </w:p>
        </w:tc>
        <w:tc>
          <w:tcPr>
            <w:tcW w:w="1134" w:type="dxa"/>
          </w:tcPr>
          <w:p w14:paraId="362361EE" w14:textId="77777777" w:rsidR="00B02873" w:rsidRPr="00EA5C92" w:rsidRDefault="00B02873" w:rsidP="00EA5C92">
            <w:pPr>
              <w:pStyle w:val="TablebodyleftFinancialsTables"/>
              <w:jc w:val="right"/>
              <w:rPr>
                <w:rFonts w:asciiTheme="minorHAnsi" w:hAnsiTheme="minorHAnsi" w:cstheme="minorHAnsi"/>
                <w:sz w:val="18"/>
                <w:szCs w:val="18"/>
              </w:rPr>
            </w:pPr>
            <w:r w:rsidRPr="00EA5C92">
              <w:rPr>
                <w:rFonts w:asciiTheme="minorHAnsi" w:hAnsiTheme="minorHAnsi" w:cstheme="minorHAnsi"/>
                <w:sz w:val="18"/>
                <w:szCs w:val="18"/>
              </w:rPr>
              <w:t>(250,576)</w:t>
            </w:r>
          </w:p>
        </w:tc>
        <w:tc>
          <w:tcPr>
            <w:tcW w:w="1276" w:type="dxa"/>
          </w:tcPr>
          <w:p w14:paraId="0670BDDB" w14:textId="5FD22B4D" w:rsidR="00B02873" w:rsidRPr="00EA5C92" w:rsidRDefault="00B02873" w:rsidP="00EA5C92">
            <w:pPr>
              <w:pStyle w:val="TablebodyleftFinancialsTables"/>
              <w:jc w:val="right"/>
              <w:rPr>
                <w:rFonts w:asciiTheme="minorHAnsi" w:hAnsiTheme="minorHAnsi" w:cstheme="minorHAnsi"/>
                <w:b/>
                <w:bCs/>
                <w:sz w:val="18"/>
                <w:szCs w:val="18"/>
              </w:rPr>
            </w:pPr>
            <w:r w:rsidRPr="00EA5C92">
              <w:rPr>
                <w:rFonts w:asciiTheme="minorHAnsi" w:hAnsiTheme="minorHAnsi" w:cstheme="minorHAnsi"/>
                <w:b/>
                <w:bCs/>
                <w:sz w:val="18"/>
                <w:szCs w:val="18"/>
              </w:rPr>
              <w:t>(437,959)</w:t>
            </w:r>
          </w:p>
        </w:tc>
        <w:tc>
          <w:tcPr>
            <w:tcW w:w="1276" w:type="dxa"/>
          </w:tcPr>
          <w:p w14:paraId="2E303E98" w14:textId="77777777" w:rsidR="00B02873" w:rsidRPr="00EA5C92" w:rsidRDefault="00B02873" w:rsidP="00EA5C92">
            <w:pPr>
              <w:pStyle w:val="TablebodyleftFinancialsTables"/>
              <w:jc w:val="right"/>
              <w:rPr>
                <w:rFonts w:asciiTheme="minorHAnsi" w:hAnsiTheme="minorHAnsi" w:cstheme="minorHAnsi"/>
                <w:sz w:val="18"/>
                <w:szCs w:val="18"/>
              </w:rPr>
            </w:pPr>
            <w:r w:rsidRPr="00EA5C92">
              <w:rPr>
                <w:rFonts w:asciiTheme="minorHAnsi" w:hAnsiTheme="minorHAnsi" w:cstheme="minorHAnsi"/>
                <w:sz w:val="18"/>
                <w:szCs w:val="18"/>
              </w:rPr>
              <w:t>(355,808)</w:t>
            </w:r>
          </w:p>
        </w:tc>
        <w:tc>
          <w:tcPr>
            <w:tcW w:w="1222" w:type="dxa"/>
          </w:tcPr>
          <w:p w14:paraId="0BDE245D" w14:textId="4EE240AC" w:rsidR="00B02873" w:rsidRPr="00EA5C92" w:rsidRDefault="00B02873" w:rsidP="00EA5C92">
            <w:pPr>
              <w:pStyle w:val="TablebodyleftFinancialsTables"/>
              <w:jc w:val="right"/>
              <w:rPr>
                <w:rFonts w:asciiTheme="minorHAnsi" w:hAnsiTheme="minorHAnsi" w:cstheme="minorHAnsi"/>
                <w:b/>
                <w:bCs/>
                <w:sz w:val="18"/>
                <w:szCs w:val="18"/>
              </w:rPr>
            </w:pPr>
            <w:r w:rsidRPr="00EA5C92">
              <w:rPr>
                <w:rFonts w:asciiTheme="minorHAnsi" w:hAnsiTheme="minorHAnsi" w:cstheme="minorHAnsi"/>
                <w:b/>
                <w:bCs/>
                <w:sz w:val="18"/>
                <w:szCs w:val="18"/>
              </w:rPr>
              <w:t xml:space="preserve">(343,471) </w:t>
            </w:r>
          </w:p>
        </w:tc>
        <w:tc>
          <w:tcPr>
            <w:tcW w:w="1329" w:type="dxa"/>
          </w:tcPr>
          <w:p w14:paraId="6425C0C6" w14:textId="77777777" w:rsidR="00B02873" w:rsidRPr="00EA5C92" w:rsidRDefault="00B02873" w:rsidP="00EA5C92">
            <w:pPr>
              <w:pStyle w:val="TablebodyleftFinancialsTables"/>
              <w:jc w:val="right"/>
              <w:rPr>
                <w:rFonts w:asciiTheme="minorHAnsi" w:hAnsiTheme="minorHAnsi" w:cstheme="minorHAnsi"/>
                <w:sz w:val="18"/>
                <w:szCs w:val="18"/>
              </w:rPr>
            </w:pPr>
            <w:r w:rsidRPr="00EA5C92">
              <w:rPr>
                <w:rFonts w:asciiTheme="minorHAnsi" w:hAnsiTheme="minorHAnsi" w:cstheme="minorHAnsi"/>
                <w:sz w:val="18"/>
                <w:szCs w:val="18"/>
              </w:rPr>
              <w:t>(331,478)</w:t>
            </w:r>
          </w:p>
        </w:tc>
      </w:tr>
      <w:tr w:rsidR="00B02873" w:rsidRPr="00EA5C92" w14:paraId="008408C6" w14:textId="77777777" w:rsidTr="00EA5C92">
        <w:trPr>
          <w:trHeight w:val="60"/>
        </w:trPr>
        <w:tc>
          <w:tcPr>
            <w:tcW w:w="2494" w:type="dxa"/>
          </w:tcPr>
          <w:p w14:paraId="0EA96F99" w14:textId="632447AF" w:rsidR="00B02873" w:rsidRPr="0008483D" w:rsidRDefault="00B02873" w:rsidP="00EA5C92">
            <w:pPr>
              <w:pStyle w:val="TablebodyleftFinancialsTables"/>
              <w:rPr>
                <w:rFonts w:asciiTheme="minorHAnsi" w:hAnsiTheme="minorHAnsi" w:cstheme="minorHAnsi"/>
                <w:b/>
                <w:bCs/>
                <w:sz w:val="18"/>
                <w:szCs w:val="18"/>
              </w:rPr>
            </w:pPr>
            <w:r w:rsidRPr="0008483D">
              <w:rPr>
                <w:rFonts w:asciiTheme="minorHAnsi" w:hAnsiTheme="minorHAnsi" w:cstheme="minorHAnsi"/>
                <w:b/>
                <w:bCs/>
                <w:sz w:val="18"/>
                <w:szCs w:val="18"/>
              </w:rPr>
              <w:t>Net result from transactions (net operating balance)</w:t>
            </w:r>
            <w:r w:rsidR="00012C04" w:rsidRPr="0008483D">
              <w:rPr>
                <w:rFonts w:asciiTheme="minorHAnsi" w:hAnsiTheme="minorHAnsi" w:cstheme="minorHAnsi"/>
                <w:b/>
                <w:bCs/>
                <w:sz w:val="18"/>
                <w:szCs w:val="18"/>
              </w:rPr>
              <w:t xml:space="preserve"> </w:t>
            </w:r>
          </w:p>
        </w:tc>
        <w:tc>
          <w:tcPr>
            <w:tcW w:w="1045" w:type="dxa"/>
          </w:tcPr>
          <w:p w14:paraId="152AF1AA" w14:textId="77777777" w:rsidR="00B02873" w:rsidRPr="00EA5C92" w:rsidRDefault="00B02873" w:rsidP="00EA5C92">
            <w:pPr>
              <w:pStyle w:val="TablebodyleftFinancialsTables"/>
              <w:jc w:val="right"/>
              <w:rPr>
                <w:rFonts w:asciiTheme="minorHAnsi" w:hAnsiTheme="minorHAnsi" w:cstheme="minorHAnsi"/>
                <w:b/>
                <w:bCs/>
                <w:sz w:val="18"/>
                <w:szCs w:val="18"/>
              </w:rPr>
            </w:pPr>
            <w:r w:rsidRPr="00EA5C92">
              <w:rPr>
                <w:rFonts w:asciiTheme="minorHAnsi" w:hAnsiTheme="minorHAnsi" w:cstheme="minorHAnsi"/>
                <w:b/>
                <w:bCs/>
                <w:sz w:val="18"/>
                <w:szCs w:val="18"/>
              </w:rPr>
              <w:t>(11,703)</w:t>
            </w:r>
          </w:p>
        </w:tc>
        <w:tc>
          <w:tcPr>
            <w:tcW w:w="1134" w:type="dxa"/>
          </w:tcPr>
          <w:p w14:paraId="2B85B943" w14:textId="77777777" w:rsidR="00B02873" w:rsidRPr="00EA5C92" w:rsidRDefault="00B02873" w:rsidP="00EA5C92">
            <w:pPr>
              <w:pStyle w:val="TablebodyleftFinancialsTables"/>
              <w:jc w:val="right"/>
              <w:rPr>
                <w:rFonts w:asciiTheme="minorHAnsi" w:hAnsiTheme="minorHAnsi" w:cstheme="minorHAnsi"/>
                <w:sz w:val="18"/>
                <w:szCs w:val="18"/>
              </w:rPr>
            </w:pPr>
            <w:r w:rsidRPr="00EA5C92">
              <w:rPr>
                <w:rFonts w:asciiTheme="minorHAnsi" w:hAnsiTheme="minorHAnsi" w:cstheme="minorHAnsi"/>
                <w:sz w:val="18"/>
                <w:szCs w:val="18"/>
              </w:rPr>
              <w:t>(7,364)</w:t>
            </w:r>
          </w:p>
        </w:tc>
        <w:tc>
          <w:tcPr>
            <w:tcW w:w="1276" w:type="dxa"/>
          </w:tcPr>
          <w:p w14:paraId="44210326" w14:textId="77777777" w:rsidR="00B02873" w:rsidRPr="00EA5C92" w:rsidRDefault="00B02873" w:rsidP="00EA5C92">
            <w:pPr>
              <w:pStyle w:val="TablebodyleftFinancialsTables"/>
              <w:jc w:val="right"/>
              <w:rPr>
                <w:rFonts w:asciiTheme="minorHAnsi" w:hAnsiTheme="minorHAnsi" w:cstheme="minorHAnsi"/>
                <w:b/>
                <w:bCs/>
                <w:sz w:val="18"/>
                <w:szCs w:val="18"/>
              </w:rPr>
            </w:pPr>
            <w:r w:rsidRPr="00EA5C92">
              <w:rPr>
                <w:rFonts w:asciiTheme="minorHAnsi" w:hAnsiTheme="minorHAnsi" w:cstheme="minorHAnsi"/>
                <w:b/>
                <w:bCs/>
                <w:sz w:val="18"/>
                <w:szCs w:val="18"/>
              </w:rPr>
              <w:t>82,292</w:t>
            </w:r>
          </w:p>
        </w:tc>
        <w:tc>
          <w:tcPr>
            <w:tcW w:w="1276" w:type="dxa"/>
          </w:tcPr>
          <w:p w14:paraId="4182B168" w14:textId="77777777" w:rsidR="00B02873" w:rsidRPr="00EA5C92" w:rsidRDefault="00B02873" w:rsidP="00EA5C92">
            <w:pPr>
              <w:pStyle w:val="TablebodyleftFinancialsTables"/>
              <w:jc w:val="right"/>
              <w:rPr>
                <w:rFonts w:asciiTheme="minorHAnsi" w:hAnsiTheme="minorHAnsi" w:cstheme="minorHAnsi"/>
                <w:sz w:val="18"/>
                <w:szCs w:val="18"/>
              </w:rPr>
            </w:pPr>
            <w:r w:rsidRPr="00EA5C92">
              <w:rPr>
                <w:rFonts w:asciiTheme="minorHAnsi" w:hAnsiTheme="minorHAnsi" w:cstheme="minorHAnsi"/>
                <w:sz w:val="18"/>
                <w:szCs w:val="18"/>
              </w:rPr>
              <w:t>109,267</w:t>
            </w:r>
          </w:p>
        </w:tc>
        <w:tc>
          <w:tcPr>
            <w:tcW w:w="1222" w:type="dxa"/>
          </w:tcPr>
          <w:p w14:paraId="4DDCAC23" w14:textId="77777777" w:rsidR="00B02873" w:rsidRPr="00EA5C92" w:rsidRDefault="00B02873" w:rsidP="00EA5C92">
            <w:pPr>
              <w:pStyle w:val="TablebodyleftFinancialsTables"/>
              <w:jc w:val="right"/>
              <w:rPr>
                <w:rFonts w:asciiTheme="minorHAnsi" w:hAnsiTheme="minorHAnsi" w:cstheme="minorHAnsi"/>
                <w:b/>
                <w:bCs/>
                <w:sz w:val="18"/>
                <w:szCs w:val="18"/>
              </w:rPr>
            </w:pPr>
            <w:r w:rsidRPr="00EA5C92">
              <w:rPr>
                <w:rFonts w:asciiTheme="minorHAnsi" w:hAnsiTheme="minorHAnsi" w:cstheme="minorHAnsi"/>
                <w:b/>
                <w:bCs/>
                <w:sz w:val="18"/>
                <w:szCs w:val="18"/>
              </w:rPr>
              <w:t>(11,657)</w:t>
            </w:r>
          </w:p>
        </w:tc>
        <w:tc>
          <w:tcPr>
            <w:tcW w:w="1329" w:type="dxa"/>
          </w:tcPr>
          <w:p w14:paraId="25C48DE3" w14:textId="77777777" w:rsidR="00B02873" w:rsidRPr="00EA5C92" w:rsidRDefault="00B02873" w:rsidP="00EA5C92">
            <w:pPr>
              <w:pStyle w:val="TablebodyleftFinancialsTables"/>
              <w:jc w:val="right"/>
              <w:rPr>
                <w:rFonts w:asciiTheme="minorHAnsi" w:hAnsiTheme="minorHAnsi" w:cstheme="minorHAnsi"/>
                <w:sz w:val="18"/>
                <w:szCs w:val="18"/>
              </w:rPr>
            </w:pPr>
            <w:r w:rsidRPr="00EA5C92">
              <w:rPr>
                <w:rFonts w:asciiTheme="minorHAnsi" w:hAnsiTheme="minorHAnsi" w:cstheme="minorHAnsi"/>
                <w:sz w:val="18"/>
                <w:szCs w:val="18"/>
              </w:rPr>
              <w:t>(12,542)</w:t>
            </w:r>
          </w:p>
        </w:tc>
      </w:tr>
      <w:tr w:rsidR="00B02873" w:rsidRPr="00EA5C92" w14:paraId="0F9D1464" w14:textId="77777777" w:rsidTr="00EA5C92">
        <w:trPr>
          <w:trHeight w:val="60"/>
        </w:trPr>
        <w:tc>
          <w:tcPr>
            <w:tcW w:w="2494" w:type="dxa"/>
          </w:tcPr>
          <w:p w14:paraId="64513618" w14:textId="77777777" w:rsidR="00B02873" w:rsidRPr="0008483D" w:rsidRDefault="00B02873" w:rsidP="00EA5C92">
            <w:pPr>
              <w:pStyle w:val="TablebodyleftFinancialsTables"/>
              <w:rPr>
                <w:rFonts w:asciiTheme="minorHAnsi" w:hAnsiTheme="minorHAnsi" w:cstheme="minorHAnsi"/>
                <w:b/>
                <w:bCs/>
                <w:sz w:val="18"/>
                <w:szCs w:val="18"/>
              </w:rPr>
            </w:pPr>
            <w:r w:rsidRPr="0008483D">
              <w:rPr>
                <w:rFonts w:asciiTheme="minorHAnsi" w:hAnsiTheme="minorHAnsi" w:cstheme="minorHAnsi"/>
                <w:b/>
                <w:bCs/>
                <w:sz w:val="18"/>
                <w:szCs w:val="18"/>
              </w:rPr>
              <w:t>Other economic flows included in net result</w:t>
            </w:r>
          </w:p>
        </w:tc>
        <w:tc>
          <w:tcPr>
            <w:tcW w:w="1045" w:type="dxa"/>
          </w:tcPr>
          <w:p w14:paraId="1A953055" w14:textId="77777777" w:rsidR="00B02873" w:rsidRPr="00EA5C92" w:rsidRDefault="00B02873" w:rsidP="00EA5C92">
            <w:pPr>
              <w:pStyle w:val="TablebodyleftFinancialsTables"/>
              <w:jc w:val="right"/>
              <w:rPr>
                <w:rFonts w:asciiTheme="minorHAnsi" w:hAnsiTheme="minorHAnsi" w:cstheme="minorHAnsi"/>
                <w:b/>
                <w:bCs/>
                <w:sz w:val="18"/>
                <w:szCs w:val="18"/>
              </w:rPr>
            </w:pPr>
          </w:p>
        </w:tc>
        <w:tc>
          <w:tcPr>
            <w:tcW w:w="1134" w:type="dxa"/>
          </w:tcPr>
          <w:p w14:paraId="686BE440" w14:textId="77777777" w:rsidR="00B02873" w:rsidRPr="00EA5C92" w:rsidRDefault="00B02873" w:rsidP="00EA5C92">
            <w:pPr>
              <w:pStyle w:val="TablebodyleftFinancialsTables"/>
              <w:jc w:val="right"/>
              <w:rPr>
                <w:rFonts w:asciiTheme="minorHAnsi" w:hAnsiTheme="minorHAnsi" w:cstheme="minorHAnsi"/>
                <w:sz w:val="18"/>
                <w:szCs w:val="18"/>
              </w:rPr>
            </w:pPr>
          </w:p>
        </w:tc>
        <w:tc>
          <w:tcPr>
            <w:tcW w:w="1276" w:type="dxa"/>
          </w:tcPr>
          <w:p w14:paraId="0E204E02" w14:textId="77777777" w:rsidR="00B02873" w:rsidRPr="00EA5C92" w:rsidRDefault="00B02873" w:rsidP="00EA5C92">
            <w:pPr>
              <w:pStyle w:val="TablebodyleftFinancialsTables"/>
              <w:jc w:val="right"/>
              <w:rPr>
                <w:rFonts w:asciiTheme="minorHAnsi" w:hAnsiTheme="minorHAnsi" w:cstheme="minorHAnsi"/>
                <w:b/>
                <w:bCs/>
                <w:sz w:val="18"/>
                <w:szCs w:val="18"/>
              </w:rPr>
            </w:pPr>
          </w:p>
        </w:tc>
        <w:tc>
          <w:tcPr>
            <w:tcW w:w="1276" w:type="dxa"/>
          </w:tcPr>
          <w:p w14:paraId="085D65A4" w14:textId="77777777" w:rsidR="00B02873" w:rsidRPr="00EA5C92" w:rsidRDefault="00B02873" w:rsidP="00EA5C92">
            <w:pPr>
              <w:pStyle w:val="TablebodyleftFinancialsTables"/>
              <w:jc w:val="right"/>
              <w:rPr>
                <w:rFonts w:asciiTheme="minorHAnsi" w:hAnsiTheme="minorHAnsi" w:cstheme="minorHAnsi"/>
                <w:sz w:val="18"/>
                <w:szCs w:val="18"/>
              </w:rPr>
            </w:pPr>
          </w:p>
        </w:tc>
        <w:tc>
          <w:tcPr>
            <w:tcW w:w="1222" w:type="dxa"/>
          </w:tcPr>
          <w:p w14:paraId="0210FFED" w14:textId="77777777" w:rsidR="00B02873" w:rsidRPr="00EA5C92" w:rsidRDefault="00B02873" w:rsidP="00EA5C92">
            <w:pPr>
              <w:pStyle w:val="TablebodyleftFinancialsTables"/>
              <w:jc w:val="right"/>
              <w:rPr>
                <w:rFonts w:asciiTheme="minorHAnsi" w:hAnsiTheme="minorHAnsi" w:cstheme="minorHAnsi"/>
                <w:b/>
                <w:bCs/>
                <w:sz w:val="18"/>
                <w:szCs w:val="18"/>
              </w:rPr>
            </w:pPr>
          </w:p>
        </w:tc>
        <w:tc>
          <w:tcPr>
            <w:tcW w:w="1329" w:type="dxa"/>
          </w:tcPr>
          <w:p w14:paraId="6136D52D" w14:textId="77777777" w:rsidR="00B02873" w:rsidRPr="00EA5C92" w:rsidRDefault="00B02873" w:rsidP="00EA5C92">
            <w:pPr>
              <w:pStyle w:val="TablebodyleftFinancialsTables"/>
              <w:jc w:val="right"/>
              <w:rPr>
                <w:rFonts w:asciiTheme="minorHAnsi" w:hAnsiTheme="minorHAnsi" w:cstheme="minorHAnsi"/>
                <w:sz w:val="18"/>
                <w:szCs w:val="18"/>
              </w:rPr>
            </w:pPr>
          </w:p>
        </w:tc>
      </w:tr>
      <w:tr w:rsidR="00B02873" w:rsidRPr="00EA5C92" w14:paraId="333A339E" w14:textId="77777777" w:rsidTr="00EA5C92">
        <w:trPr>
          <w:trHeight w:val="60"/>
        </w:trPr>
        <w:tc>
          <w:tcPr>
            <w:tcW w:w="2494" w:type="dxa"/>
          </w:tcPr>
          <w:p w14:paraId="1824002B" w14:textId="3FA4C355" w:rsidR="00B02873" w:rsidRPr="00EA5C92" w:rsidRDefault="00B02873" w:rsidP="00EA5C92">
            <w:pPr>
              <w:pStyle w:val="TablebodyleftFinancialsTables"/>
              <w:rPr>
                <w:rFonts w:asciiTheme="minorHAnsi" w:hAnsiTheme="minorHAnsi" w:cstheme="minorHAnsi"/>
                <w:sz w:val="18"/>
                <w:szCs w:val="18"/>
              </w:rPr>
            </w:pPr>
            <w:r w:rsidRPr="00EA5C92">
              <w:rPr>
                <w:rFonts w:asciiTheme="minorHAnsi" w:hAnsiTheme="minorHAnsi" w:cstheme="minorHAnsi"/>
                <w:sz w:val="18"/>
                <w:szCs w:val="18"/>
              </w:rPr>
              <w:t xml:space="preserve">Net gain/(loss) on </w:t>
            </w:r>
            <w:r w:rsidR="00A269DB">
              <w:rPr>
                <w:rFonts w:asciiTheme="minorHAnsi" w:hAnsiTheme="minorHAnsi" w:cstheme="minorHAnsi"/>
                <w:sz w:val="18"/>
                <w:szCs w:val="18"/>
              </w:rPr>
              <w:t xml:space="preserve"> </w:t>
            </w:r>
            <w:r w:rsidRPr="00EA5C92">
              <w:rPr>
                <w:rFonts w:asciiTheme="minorHAnsi" w:hAnsiTheme="minorHAnsi" w:cstheme="minorHAnsi"/>
                <w:sz w:val="18"/>
                <w:szCs w:val="18"/>
              </w:rPr>
              <w:t>non-financial assets</w:t>
            </w:r>
          </w:p>
        </w:tc>
        <w:tc>
          <w:tcPr>
            <w:tcW w:w="1045" w:type="dxa"/>
          </w:tcPr>
          <w:p w14:paraId="3827422B" w14:textId="1A940193" w:rsidR="00B02873" w:rsidRPr="00EA5C92" w:rsidRDefault="00B02873" w:rsidP="00EA5C92">
            <w:pPr>
              <w:pStyle w:val="TablebodyleftFinancialsTables"/>
              <w:jc w:val="right"/>
              <w:rPr>
                <w:rFonts w:asciiTheme="minorHAnsi" w:hAnsiTheme="minorHAnsi" w:cstheme="minorHAnsi"/>
                <w:b/>
                <w:bCs/>
                <w:sz w:val="18"/>
                <w:szCs w:val="18"/>
              </w:rPr>
            </w:pPr>
            <w:r w:rsidRPr="00EA5C92">
              <w:rPr>
                <w:rFonts w:asciiTheme="minorHAnsi" w:hAnsiTheme="minorHAnsi" w:cstheme="minorHAnsi"/>
                <w:b/>
                <w:bCs/>
                <w:sz w:val="18"/>
                <w:szCs w:val="18"/>
              </w:rPr>
              <w:t>60</w:t>
            </w:r>
          </w:p>
        </w:tc>
        <w:tc>
          <w:tcPr>
            <w:tcW w:w="1134" w:type="dxa"/>
          </w:tcPr>
          <w:p w14:paraId="55224F93" w14:textId="77777777" w:rsidR="00B02873" w:rsidRPr="00EA5C92" w:rsidRDefault="00B02873" w:rsidP="00EA5C92">
            <w:pPr>
              <w:pStyle w:val="TablebodyleftFinancialsTables"/>
              <w:jc w:val="right"/>
              <w:rPr>
                <w:rFonts w:asciiTheme="minorHAnsi" w:hAnsiTheme="minorHAnsi" w:cstheme="minorHAnsi"/>
                <w:sz w:val="18"/>
                <w:szCs w:val="18"/>
              </w:rPr>
            </w:pPr>
            <w:r w:rsidRPr="00EA5C92">
              <w:rPr>
                <w:rFonts w:asciiTheme="minorHAnsi" w:hAnsiTheme="minorHAnsi" w:cstheme="minorHAnsi"/>
                <w:sz w:val="18"/>
                <w:szCs w:val="18"/>
              </w:rPr>
              <w:t>141</w:t>
            </w:r>
          </w:p>
        </w:tc>
        <w:tc>
          <w:tcPr>
            <w:tcW w:w="1276" w:type="dxa"/>
          </w:tcPr>
          <w:p w14:paraId="2053A015" w14:textId="77777777" w:rsidR="00B02873" w:rsidRPr="00EA5C92" w:rsidRDefault="00B02873" w:rsidP="00EA5C92">
            <w:pPr>
              <w:pStyle w:val="TablebodyleftFinancialsTables"/>
              <w:jc w:val="right"/>
              <w:rPr>
                <w:rFonts w:asciiTheme="minorHAnsi" w:hAnsiTheme="minorHAnsi" w:cstheme="minorHAnsi"/>
                <w:b/>
                <w:bCs/>
                <w:sz w:val="18"/>
                <w:szCs w:val="18"/>
              </w:rPr>
            </w:pPr>
            <w:r w:rsidRPr="00EA5C92">
              <w:rPr>
                <w:rFonts w:asciiTheme="minorHAnsi" w:hAnsiTheme="minorHAnsi" w:cstheme="minorHAnsi"/>
                <w:b/>
                <w:bCs/>
                <w:sz w:val="18"/>
                <w:szCs w:val="18"/>
              </w:rPr>
              <w:t>99,387</w:t>
            </w:r>
          </w:p>
        </w:tc>
        <w:tc>
          <w:tcPr>
            <w:tcW w:w="1276" w:type="dxa"/>
          </w:tcPr>
          <w:p w14:paraId="43310BC3" w14:textId="77777777" w:rsidR="00B02873" w:rsidRPr="00EA5C92" w:rsidRDefault="00B02873" w:rsidP="00EA5C92">
            <w:pPr>
              <w:pStyle w:val="TablebodyleftFinancialsTables"/>
              <w:jc w:val="right"/>
              <w:rPr>
                <w:rFonts w:asciiTheme="minorHAnsi" w:hAnsiTheme="minorHAnsi" w:cstheme="minorHAnsi"/>
                <w:sz w:val="18"/>
                <w:szCs w:val="18"/>
              </w:rPr>
            </w:pPr>
            <w:r w:rsidRPr="00EA5C92">
              <w:rPr>
                <w:rFonts w:asciiTheme="minorHAnsi" w:hAnsiTheme="minorHAnsi" w:cstheme="minorHAnsi"/>
                <w:sz w:val="18"/>
                <w:szCs w:val="18"/>
              </w:rPr>
              <w:t>632,741</w:t>
            </w:r>
          </w:p>
        </w:tc>
        <w:tc>
          <w:tcPr>
            <w:tcW w:w="1222" w:type="dxa"/>
          </w:tcPr>
          <w:p w14:paraId="4B9D1247" w14:textId="77777777" w:rsidR="00B02873" w:rsidRPr="00EA5C92" w:rsidRDefault="00B02873" w:rsidP="00EA5C92">
            <w:pPr>
              <w:pStyle w:val="TablebodyleftFinancialsTables"/>
              <w:jc w:val="right"/>
              <w:rPr>
                <w:rFonts w:asciiTheme="minorHAnsi" w:hAnsiTheme="minorHAnsi" w:cstheme="minorHAnsi"/>
                <w:b/>
                <w:bCs/>
                <w:sz w:val="18"/>
                <w:szCs w:val="18"/>
              </w:rPr>
            </w:pPr>
            <w:r w:rsidRPr="00EA5C92">
              <w:rPr>
                <w:rFonts w:asciiTheme="minorHAnsi" w:hAnsiTheme="minorHAnsi" w:cstheme="minorHAnsi"/>
                <w:b/>
                <w:bCs/>
                <w:sz w:val="18"/>
                <w:szCs w:val="18"/>
              </w:rPr>
              <w:t>(72)</w:t>
            </w:r>
          </w:p>
        </w:tc>
        <w:tc>
          <w:tcPr>
            <w:tcW w:w="1329" w:type="dxa"/>
          </w:tcPr>
          <w:p w14:paraId="63D310D9" w14:textId="77777777" w:rsidR="00B02873" w:rsidRPr="00EA5C92" w:rsidRDefault="00B02873" w:rsidP="00EA5C92">
            <w:pPr>
              <w:pStyle w:val="TablebodyleftFinancialsTables"/>
              <w:jc w:val="right"/>
              <w:rPr>
                <w:rFonts w:asciiTheme="minorHAnsi" w:hAnsiTheme="minorHAnsi" w:cstheme="minorHAnsi"/>
                <w:sz w:val="18"/>
                <w:szCs w:val="18"/>
              </w:rPr>
            </w:pPr>
            <w:r w:rsidRPr="00EA5C92">
              <w:rPr>
                <w:rFonts w:asciiTheme="minorHAnsi" w:hAnsiTheme="minorHAnsi" w:cstheme="minorHAnsi"/>
                <w:sz w:val="18"/>
                <w:szCs w:val="18"/>
              </w:rPr>
              <w:t>(14)</w:t>
            </w:r>
          </w:p>
        </w:tc>
      </w:tr>
      <w:tr w:rsidR="00B02873" w:rsidRPr="00EA5C92" w14:paraId="12C27D68" w14:textId="77777777" w:rsidTr="00EA5C92">
        <w:trPr>
          <w:trHeight w:val="60"/>
        </w:trPr>
        <w:tc>
          <w:tcPr>
            <w:tcW w:w="2494" w:type="dxa"/>
          </w:tcPr>
          <w:p w14:paraId="5ADB059F" w14:textId="77777777" w:rsidR="00B02873" w:rsidRPr="00EA5C92" w:rsidRDefault="00B02873" w:rsidP="00EA5C92">
            <w:pPr>
              <w:pStyle w:val="TablebodyleftFinancialsTables"/>
              <w:rPr>
                <w:rFonts w:asciiTheme="minorHAnsi" w:hAnsiTheme="minorHAnsi" w:cstheme="minorHAnsi"/>
                <w:sz w:val="18"/>
                <w:szCs w:val="18"/>
              </w:rPr>
            </w:pPr>
            <w:r w:rsidRPr="00EA5C92">
              <w:rPr>
                <w:rFonts w:asciiTheme="minorHAnsi" w:hAnsiTheme="minorHAnsi" w:cstheme="minorHAnsi"/>
                <w:sz w:val="18"/>
                <w:szCs w:val="18"/>
              </w:rPr>
              <w:t xml:space="preserve">Net gain/(loss) on financial instruments </w:t>
            </w:r>
          </w:p>
        </w:tc>
        <w:tc>
          <w:tcPr>
            <w:tcW w:w="1045" w:type="dxa"/>
          </w:tcPr>
          <w:p w14:paraId="1F737AB5" w14:textId="77777777" w:rsidR="00B02873" w:rsidRPr="00EA5C92" w:rsidRDefault="00B02873" w:rsidP="00EA5C92">
            <w:pPr>
              <w:pStyle w:val="TablebodyleftFinancialsTables"/>
              <w:jc w:val="right"/>
              <w:rPr>
                <w:rFonts w:asciiTheme="minorHAnsi" w:hAnsiTheme="minorHAnsi" w:cstheme="minorHAnsi"/>
                <w:b/>
                <w:bCs/>
                <w:sz w:val="18"/>
                <w:szCs w:val="18"/>
              </w:rPr>
            </w:pPr>
            <w:r w:rsidRPr="00EA5C92">
              <w:rPr>
                <w:rFonts w:asciiTheme="minorHAnsi" w:hAnsiTheme="minorHAnsi" w:cstheme="minorHAnsi"/>
                <w:b/>
                <w:bCs/>
                <w:sz w:val="18"/>
                <w:szCs w:val="18"/>
              </w:rPr>
              <w:t>3</w:t>
            </w:r>
          </w:p>
        </w:tc>
        <w:tc>
          <w:tcPr>
            <w:tcW w:w="1134" w:type="dxa"/>
          </w:tcPr>
          <w:p w14:paraId="2C373258" w14:textId="77777777" w:rsidR="00B02873" w:rsidRPr="00EA5C92" w:rsidRDefault="00B02873" w:rsidP="00EA5C92">
            <w:pPr>
              <w:pStyle w:val="TablebodyleftFinancialsTables"/>
              <w:jc w:val="right"/>
              <w:rPr>
                <w:rFonts w:asciiTheme="minorHAnsi" w:hAnsiTheme="minorHAnsi" w:cstheme="minorHAnsi"/>
                <w:sz w:val="18"/>
                <w:szCs w:val="18"/>
              </w:rPr>
            </w:pPr>
            <w:r w:rsidRPr="00EA5C92">
              <w:rPr>
                <w:rFonts w:asciiTheme="minorHAnsi" w:hAnsiTheme="minorHAnsi" w:cstheme="minorHAnsi"/>
                <w:sz w:val="18"/>
                <w:szCs w:val="18"/>
              </w:rPr>
              <w:t>(20)</w:t>
            </w:r>
          </w:p>
        </w:tc>
        <w:tc>
          <w:tcPr>
            <w:tcW w:w="1276" w:type="dxa"/>
          </w:tcPr>
          <w:p w14:paraId="5C932379" w14:textId="77777777" w:rsidR="00B02873" w:rsidRPr="00EA5C92" w:rsidRDefault="00B02873" w:rsidP="00EA5C92">
            <w:pPr>
              <w:pStyle w:val="TablebodyleftFinancialsTables"/>
              <w:jc w:val="right"/>
              <w:rPr>
                <w:rFonts w:asciiTheme="minorHAnsi" w:hAnsiTheme="minorHAnsi" w:cstheme="minorHAnsi"/>
                <w:b/>
                <w:bCs/>
                <w:sz w:val="18"/>
                <w:szCs w:val="18"/>
              </w:rPr>
            </w:pPr>
            <w:r w:rsidRPr="00EA5C92">
              <w:rPr>
                <w:rFonts w:asciiTheme="minorHAnsi" w:hAnsiTheme="minorHAnsi" w:cstheme="minorHAnsi"/>
                <w:b/>
                <w:bCs/>
                <w:sz w:val="18"/>
                <w:szCs w:val="18"/>
              </w:rPr>
              <w:t>7</w:t>
            </w:r>
          </w:p>
        </w:tc>
        <w:tc>
          <w:tcPr>
            <w:tcW w:w="1276" w:type="dxa"/>
          </w:tcPr>
          <w:p w14:paraId="13C4BA11" w14:textId="77777777" w:rsidR="00B02873" w:rsidRPr="00EA5C92" w:rsidRDefault="00B02873" w:rsidP="00EA5C92">
            <w:pPr>
              <w:pStyle w:val="TablebodyleftFinancialsTables"/>
              <w:jc w:val="right"/>
              <w:rPr>
                <w:rFonts w:asciiTheme="minorHAnsi" w:hAnsiTheme="minorHAnsi" w:cstheme="minorHAnsi"/>
                <w:sz w:val="18"/>
                <w:szCs w:val="18"/>
              </w:rPr>
            </w:pPr>
            <w:r w:rsidRPr="00EA5C92">
              <w:rPr>
                <w:rFonts w:asciiTheme="minorHAnsi" w:hAnsiTheme="minorHAnsi" w:cstheme="minorHAnsi"/>
                <w:sz w:val="18"/>
                <w:szCs w:val="18"/>
              </w:rPr>
              <w:t>(60)</w:t>
            </w:r>
          </w:p>
        </w:tc>
        <w:tc>
          <w:tcPr>
            <w:tcW w:w="1222" w:type="dxa"/>
          </w:tcPr>
          <w:p w14:paraId="7D22E13C" w14:textId="77777777" w:rsidR="00B02873" w:rsidRPr="00EA5C92" w:rsidRDefault="00B02873" w:rsidP="00EA5C92">
            <w:pPr>
              <w:pStyle w:val="TablebodyleftFinancialsTables"/>
              <w:jc w:val="right"/>
              <w:rPr>
                <w:rFonts w:asciiTheme="minorHAnsi" w:hAnsiTheme="minorHAnsi" w:cstheme="minorHAnsi"/>
                <w:b/>
                <w:bCs/>
                <w:sz w:val="18"/>
                <w:szCs w:val="18"/>
              </w:rPr>
            </w:pPr>
            <w:r w:rsidRPr="00EA5C92">
              <w:rPr>
                <w:rFonts w:asciiTheme="minorHAnsi" w:hAnsiTheme="minorHAnsi" w:cstheme="minorHAnsi"/>
                <w:b/>
                <w:bCs/>
                <w:sz w:val="18"/>
                <w:szCs w:val="18"/>
              </w:rPr>
              <w:t>8</w:t>
            </w:r>
          </w:p>
        </w:tc>
        <w:tc>
          <w:tcPr>
            <w:tcW w:w="1329" w:type="dxa"/>
          </w:tcPr>
          <w:p w14:paraId="3E27AA71" w14:textId="77777777" w:rsidR="00B02873" w:rsidRPr="00EA5C92" w:rsidRDefault="00B02873" w:rsidP="00EA5C92">
            <w:pPr>
              <w:pStyle w:val="TablebodyleftFinancialsTables"/>
              <w:jc w:val="right"/>
              <w:rPr>
                <w:rFonts w:asciiTheme="minorHAnsi" w:hAnsiTheme="minorHAnsi" w:cstheme="minorHAnsi"/>
                <w:sz w:val="18"/>
                <w:szCs w:val="18"/>
              </w:rPr>
            </w:pPr>
            <w:r w:rsidRPr="00EA5C92">
              <w:rPr>
                <w:rFonts w:asciiTheme="minorHAnsi" w:hAnsiTheme="minorHAnsi" w:cstheme="minorHAnsi"/>
                <w:sz w:val="18"/>
                <w:szCs w:val="18"/>
              </w:rPr>
              <w:t>(97)</w:t>
            </w:r>
          </w:p>
        </w:tc>
      </w:tr>
      <w:tr w:rsidR="00B02873" w:rsidRPr="00EA5C92" w14:paraId="2389CA14" w14:textId="77777777" w:rsidTr="00EA5C92">
        <w:trPr>
          <w:trHeight w:val="60"/>
        </w:trPr>
        <w:tc>
          <w:tcPr>
            <w:tcW w:w="2494" w:type="dxa"/>
          </w:tcPr>
          <w:p w14:paraId="4A51B5C7" w14:textId="77777777" w:rsidR="00B02873" w:rsidRPr="00EA5C92" w:rsidRDefault="00B02873" w:rsidP="00EA5C92">
            <w:pPr>
              <w:pStyle w:val="TablebodyleftFinancialsTables"/>
              <w:rPr>
                <w:rFonts w:asciiTheme="minorHAnsi" w:hAnsiTheme="minorHAnsi" w:cstheme="minorHAnsi"/>
                <w:sz w:val="18"/>
                <w:szCs w:val="18"/>
              </w:rPr>
            </w:pPr>
            <w:r w:rsidRPr="00EA5C92">
              <w:rPr>
                <w:rFonts w:asciiTheme="minorHAnsi" w:hAnsiTheme="minorHAnsi" w:cstheme="minorHAnsi"/>
                <w:sz w:val="18"/>
                <w:szCs w:val="18"/>
              </w:rPr>
              <w:t>Other gains from other economic flows</w:t>
            </w:r>
          </w:p>
        </w:tc>
        <w:tc>
          <w:tcPr>
            <w:tcW w:w="1045" w:type="dxa"/>
          </w:tcPr>
          <w:p w14:paraId="3BB77992" w14:textId="0CECD232" w:rsidR="00B02873" w:rsidRPr="00EA5C92" w:rsidRDefault="00B02873" w:rsidP="00EA5C92">
            <w:pPr>
              <w:pStyle w:val="TablebodyleftFinancialsTables"/>
              <w:jc w:val="right"/>
              <w:rPr>
                <w:rFonts w:asciiTheme="minorHAnsi" w:hAnsiTheme="minorHAnsi" w:cstheme="minorHAnsi"/>
                <w:b/>
                <w:bCs/>
                <w:sz w:val="18"/>
                <w:szCs w:val="18"/>
              </w:rPr>
            </w:pPr>
            <w:r w:rsidRPr="00EA5C92">
              <w:rPr>
                <w:rFonts w:asciiTheme="minorHAnsi" w:hAnsiTheme="minorHAnsi" w:cstheme="minorHAnsi"/>
                <w:b/>
                <w:bCs/>
                <w:sz w:val="18"/>
                <w:szCs w:val="18"/>
              </w:rPr>
              <w:t>441</w:t>
            </w:r>
          </w:p>
        </w:tc>
        <w:tc>
          <w:tcPr>
            <w:tcW w:w="1134" w:type="dxa"/>
          </w:tcPr>
          <w:p w14:paraId="08BFAD8F" w14:textId="03B4E2D3" w:rsidR="00B02873" w:rsidRPr="00EA5C92" w:rsidRDefault="00012C04" w:rsidP="00EA5C92">
            <w:pPr>
              <w:pStyle w:val="TablebodyleftFinancialsTables"/>
              <w:jc w:val="right"/>
              <w:rPr>
                <w:rFonts w:asciiTheme="minorHAnsi" w:hAnsiTheme="minorHAnsi" w:cstheme="minorHAnsi"/>
                <w:sz w:val="18"/>
                <w:szCs w:val="18"/>
              </w:rPr>
            </w:pPr>
            <w:r w:rsidRPr="00EA5C92">
              <w:rPr>
                <w:rFonts w:asciiTheme="minorHAnsi" w:hAnsiTheme="minorHAnsi" w:cstheme="minorHAnsi"/>
                <w:sz w:val="18"/>
                <w:szCs w:val="18"/>
              </w:rPr>
              <w:t xml:space="preserve"> </w:t>
            </w:r>
            <w:r w:rsidR="00B02873" w:rsidRPr="00EA5C92">
              <w:rPr>
                <w:rFonts w:asciiTheme="minorHAnsi" w:hAnsiTheme="minorHAnsi" w:cstheme="minorHAnsi"/>
                <w:sz w:val="18"/>
                <w:szCs w:val="18"/>
              </w:rPr>
              <w:t>383</w:t>
            </w:r>
          </w:p>
        </w:tc>
        <w:tc>
          <w:tcPr>
            <w:tcW w:w="1276" w:type="dxa"/>
          </w:tcPr>
          <w:p w14:paraId="3C72006B" w14:textId="77777777" w:rsidR="00B02873" w:rsidRPr="00EA5C92" w:rsidRDefault="00B02873" w:rsidP="00EA5C92">
            <w:pPr>
              <w:pStyle w:val="TablebodyleftFinancialsTables"/>
              <w:jc w:val="right"/>
              <w:rPr>
                <w:rFonts w:asciiTheme="minorHAnsi" w:hAnsiTheme="minorHAnsi" w:cstheme="minorHAnsi"/>
                <w:b/>
                <w:bCs/>
                <w:sz w:val="18"/>
                <w:szCs w:val="18"/>
              </w:rPr>
            </w:pPr>
            <w:r w:rsidRPr="00EA5C92">
              <w:rPr>
                <w:rFonts w:asciiTheme="minorHAnsi" w:hAnsiTheme="minorHAnsi" w:cstheme="minorHAnsi"/>
                <w:b/>
                <w:bCs/>
                <w:sz w:val="18"/>
                <w:szCs w:val="18"/>
              </w:rPr>
              <w:t>1,128</w:t>
            </w:r>
          </w:p>
        </w:tc>
        <w:tc>
          <w:tcPr>
            <w:tcW w:w="1276" w:type="dxa"/>
          </w:tcPr>
          <w:p w14:paraId="7C86EEEC" w14:textId="77777777" w:rsidR="00B02873" w:rsidRPr="00EA5C92" w:rsidRDefault="00B02873" w:rsidP="00EA5C92">
            <w:pPr>
              <w:pStyle w:val="TablebodyleftFinancialsTables"/>
              <w:jc w:val="right"/>
              <w:rPr>
                <w:rFonts w:asciiTheme="minorHAnsi" w:hAnsiTheme="minorHAnsi" w:cstheme="minorHAnsi"/>
                <w:sz w:val="18"/>
                <w:szCs w:val="18"/>
              </w:rPr>
            </w:pPr>
            <w:r w:rsidRPr="00EA5C92">
              <w:rPr>
                <w:rFonts w:asciiTheme="minorHAnsi" w:hAnsiTheme="minorHAnsi" w:cstheme="minorHAnsi"/>
                <w:sz w:val="18"/>
                <w:szCs w:val="18"/>
              </w:rPr>
              <w:t>1,914</w:t>
            </w:r>
          </w:p>
        </w:tc>
        <w:tc>
          <w:tcPr>
            <w:tcW w:w="1222" w:type="dxa"/>
          </w:tcPr>
          <w:p w14:paraId="5F88BCB5" w14:textId="00AA60CB" w:rsidR="00B02873" w:rsidRPr="00EA5C92" w:rsidRDefault="00B02873" w:rsidP="00EA5C92">
            <w:pPr>
              <w:pStyle w:val="TablebodyleftFinancialsTables"/>
              <w:jc w:val="right"/>
              <w:rPr>
                <w:rFonts w:asciiTheme="minorHAnsi" w:hAnsiTheme="minorHAnsi" w:cstheme="minorHAnsi"/>
                <w:b/>
                <w:bCs/>
                <w:sz w:val="18"/>
                <w:szCs w:val="18"/>
              </w:rPr>
            </w:pPr>
            <w:r w:rsidRPr="00EA5C92">
              <w:rPr>
                <w:rFonts w:asciiTheme="minorHAnsi" w:hAnsiTheme="minorHAnsi" w:cstheme="minorHAnsi"/>
                <w:b/>
                <w:bCs/>
                <w:sz w:val="18"/>
                <w:szCs w:val="18"/>
              </w:rPr>
              <w:t>1,275</w:t>
            </w:r>
          </w:p>
        </w:tc>
        <w:tc>
          <w:tcPr>
            <w:tcW w:w="1329" w:type="dxa"/>
          </w:tcPr>
          <w:p w14:paraId="1BBC5807" w14:textId="77777777" w:rsidR="00B02873" w:rsidRPr="00EA5C92" w:rsidRDefault="00B02873" w:rsidP="00EA5C92">
            <w:pPr>
              <w:pStyle w:val="TablebodyleftFinancialsTables"/>
              <w:jc w:val="right"/>
              <w:rPr>
                <w:rFonts w:asciiTheme="minorHAnsi" w:hAnsiTheme="minorHAnsi" w:cstheme="minorHAnsi"/>
                <w:sz w:val="18"/>
                <w:szCs w:val="18"/>
              </w:rPr>
            </w:pPr>
            <w:r w:rsidRPr="00EA5C92">
              <w:rPr>
                <w:rFonts w:asciiTheme="minorHAnsi" w:hAnsiTheme="minorHAnsi" w:cstheme="minorHAnsi"/>
                <w:sz w:val="18"/>
                <w:szCs w:val="18"/>
              </w:rPr>
              <w:t>1,914</w:t>
            </w:r>
          </w:p>
        </w:tc>
      </w:tr>
      <w:tr w:rsidR="00B02873" w:rsidRPr="00EA5C92" w14:paraId="0FE992A9" w14:textId="77777777" w:rsidTr="00EA5C92">
        <w:trPr>
          <w:trHeight w:val="60"/>
        </w:trPr>
        <w:tc>
          <w:tcPr>
            <w:tcW w:w="2494" w:type="dxa"/>
          </w:tcPr>
          <w:p w14:paraId="781A2A51" w14:textId="77777777" w:rsidR="00B02873" w:rsidRPr="0008483D" w:rsidRDefault="00B02873" w:rsidP="00EA5C92">
            <w:pPr>
              <w:pStyle w:val="TablebodyleftFinancialsTables"/>
              <w:rPr>
                <w:rFonts w:asciiTheme="minorHAnsi" w:hAnsiTheme="minorHAnsi" w:cstheme="minorHAnsi"/>
                <w:b/>
                <w:bCs/>
                <w:sz w:val="18"/>
                <w:szCs w:val="18"/>
              </w:rPr>
            </w:pPr>
            <w:r w:rsidRPr="0008483D">
              <w:rPr>
                <w:rFonts w:asciiTheme="minorHAnsi" w:hAnsiTheme="minorHAnsi" w:cstheme="minorHAnsi"/>
                <w:b/>
                <w:bCs/>
                <w:sz w:val="18"/>
                <w:szCs w:val="18"/>
              </w:rPr>
              <w:t>Total other economic flows included in net result</w:t>
            </w:r>
          </w:p>
        </w:tc>
        <w:tc>
          <w:tcPr>
            <w:tcW w:w="1045" w:type="dxa"/>
          </w:tcPr>
          <w:p w14:paraId="1ED66974" w14:textId="744873EB" w:rsidR="00B02873" w:rsidRPr="00EA5C92" w:rsidRDefault="00B02873" w:rsidP="00EA5C92">
            <w:pPr>
              <w:pStyle w:val="TablebodyleftFinancialsTables"/>
              <w:jc w:val="right"/>
              <w:rPr>
                <w:rFonts w:asciiTheme="minorHAnsi" w:hAnsiTheme="minorHAnsi" w:cstheme="minorHAnsi"/>
                <w:b/>
                <w:bCs/>
                <w:sz w:val="18"/>
                <w:szCs w:val="18"/>
              </w:rPr>
            </w:pPr>
            <w:r w:rsidRPr="00EA5C92">
              <w:rPr>
                <w:rFonts w:asciiTheme="minorHAnsi" w:hAnsiTheme="minorHAnsi" w:cstheme="minorHAnsi"/>
                <w:b/>
                <w:bCs/>
                <w:sz w:val="18"/>
                <w:szCs w:val="18"/>
              </w:rPr>
              <w:t>504</w:t>
            </w:r>
          </w:p>
        </w:tc>
        <w:tc>
          <w:tcPr>
            <w:tcW w:w="1134" w:type="dxa"/>
          </w:tcPr>
          <w:p w14:paraId="22983CB7" w14:textId="77777777" w:rsidR="00B02873" w:rsidRPr="00EA5C92" w:rsidRDefault="00B02873" w:rsidP="00EA5C92">
            <w:pPr>
              <w:pStyle w:val="TablebodyleftFinancialsTables"/>
              <w:jc w:val="right"/>
              <w:rPr>
                <w:rFonts w:asciiTheme="minorHAnsi" w:hAnsiTheme="minorHAnsi" w:cstheme="minorHAnsi"/>
                <w:sz w:val="18"/>
                <w:szCs w:val="18"/>
              </w:rPr>
            </w:pPr>
            <w:r w:rsidRPr="00EA5C92">
              <w:rPr>
                <w:rFonts w:asciiTheme="minorHAnsi" w:hAnsiTheme="minorHAnsi" w:cstheme="minorHAnsi"/>
                <w:sz w:val="18"/>
                <w:szCs w:val="18"/>
              </w:rPr>
              <w:t>504</w:t>
            </w:r>
          </w:p>
        </w:tc>
        <w:tc>
          <w:tcPr>
            <w:tcW w:w="1276" w:type="dxa"/>
          </w:tcPr>
          <w:p w14:paraId="455E0D73" w14:textId="77777777" w:rsidR="00B02873" w:rsidRPr="00EA5C92" w:rsidRDefault="00B02873" w:rsidP="00EA5C92">
            <w:pPr>
              <w:pStyle w:val="TablebodyleftFinancialsTables"/>
              <w:jc w:val="right"/>
              <w:rPr>
                <w:rFonts w:asciiTheme="minorHAnsi" w:hAnsiTheme="minorHAnsi" w:cstheme="minorHAnsi"/>
                <w:b/>
                <w:bCs/>
                <w:sz w:val="18"/>
                <w:szCs w:val="18"/>
              </w:rPr>
            </w:pPr>
            <w:r w:rsidRPr="00EA5C92">
              <w:rPr>
                <w:rFonts w:asciiTheme="minorHAnsi" w:hAnsiTheme="minorHAnsi" w:cstheme="minorHAnsi"/>
                <w:b/>
                <w:bCs/>
                <w:sz w:val="18"/>
                <w:szCs w:val="18"/>
              </w:rPr>
              <w:t>100,522</w:t>
            </w:r>
          </w:p>
        </w:tc>
        <w:tc>
          <w:tcPr>
            <w:tcW w:w="1276" w:type="dxa"/>
          </w:tcPr>
          <w:p w14:paraId="4436CDDE" w14:textId="77777777" w:rsidR="00B02873" w:rsidRPr="00EA5C92" w:rsidRDefault="00B02873" w:rsidP="00EA5C92">
            <w:pPr>
              <w:pStyle w:val="TablebodyleftFinancialsTables"/>
              <w:jc w:val="right"/>
              <w:rPr>
                <w:rFonts w:asciiTheme="minorHAnsi" w:hAnsiTheme="minorHAnsi" w:cstheme="minorHAnsi"/>
                <w:sz w:val="18"/>
                <w:szCs w:val="18"/>
              </w:rPr>
            </w:pPr>
            <w:r w:rsidRPr="00EA5C92">
              <w:rPr>
                <w:rFonts w:asciiTheme="minorHAnsi" w:hAnsiTheme="minorHAnsi" w:cstheme="minorHAnsi"/>
                <w:sz w:val="18"/>
                <w:szCs w:val="18"/>
              </w:rPr>
              <w:t>634,595</w:t>
            </w:r>
          </w:p>
        </w:tc>
        <w:tc>
          <w:tcPr>
            <w:tcW w:w="1222" w:type="dxa"/>
          </w:tcPr>
          <w:p w14:paraId="0584965E" w14:textId="77777777" w:rsidR="00B02873" w:rsidRPr="00EA5C92" w:rsidRDefault="00B02873" w:rsidP="00EA5C92">
            <w:pPr>
              <w:pStyle w:val="TablebodyleftFinancialsTables"/>
              <w:jc w:val="right"/>
              <w:rPr>
                <w:rFonts w:asciiTheme="minorHAnsi" w:hAnsiTheme="minorHAnsi" w:cstheme="minorHAnsi"/>
                <w:b/>
                <w:bCs/>
                <w:sz w:val="18"/>
                <w:szCs w:val="18"/>
              </w:rPr>
            </w:pPr>
            <w:r w:rsidRPr="00EA5C92">
              <w:rPr>
                <w:rFonts w:asciiTheme="minorHAnsi" w:hAnsiTheme="minorHAnsi" w:cstheme="minorHAnsi"/>
                <w:b/>
                <w:bCs/>
                <w:sz w:val="18"/>
                <w:szCs w:val="18"/>
              </w:rPr>
              <w:t>1,211</w:t>
            </w:r>
          </w:p>
        </w:tc>
        <w:tc>
          <w:tcPr>
            <w:tcW w:w="1329" w:type="dxa"/>
          </w:tcPr>
          <w:p w14:paraId="4A894A06" w14:textId="77777777" w:rsidR="00B02873" w:rsidRPr="00EA5C92" w:rsidRDefault="00B02873" w:rsidP="00EA5C92">
            <w:pPr>
              <w:pStyle w:val="TablebodyleftFinancialsTables"/>
              <w:jc w:val="right"/>
              <w:rPr>
                <w:rFonts w:asciiTheme="minorHAnsi" w:hAnsiTheme="minorHAnsi" w:cstheme="minorHAnsi"/>
                <w:sz w:val="18"/>
                <w:szCs w:val="18"/>
              </w:rPr>
            </w:pPr>
            <w:r w:rsidRPr="00EA5C92">
              <w:rPr>
                <w:rFonts w:asciiTheme="minorHAnsi" w:hAnsiTheme="minorHAnsi" w:cstheme="minorHAnsi"/>
                <w:sz w:val="18"/>
                <w:szCs w:val="18"/>
              </w:rPr>
              <w:t>1,803</w:t>
            </w:r>
          </w:p>
        </w:tc>
      </w:tr>
      <w:tr w:rsidR="00B02873" w:rsidRPr="00EA5C92" w14:paraId="03A7B463" w14:textId="77777777" w:rsidTr="00EA5C92">
        <w:trPr>
          <w:trHeight w:val="60"/>
        </w:trPr>
        <w:tc>
          <w:tcPr>
            <w:tcW w:w="2494" w:type="dxa"/>
          </w:tcPr>
          <w:p w14:paraId="0EAC2601" w14:textId="77777777" w:rsidR="00B02873" w:rsidRPr="0008483D" w:rsidRDefault="00B02873" w:rsidP="00EA5C92">
            <w:pPr>
              <w:pStyle w:val="TablebodyleftFinancialsTables"/>
              <w:rPr>
                <w:rFonts w:asciiTheme="minorHAnsi" w:hAnsiTheme="minorHAnsi" w:cstheme="minorHAnsi"/>
                <w:b/>
                <w:bCs/>
                <w:sz w:val="18"/>
                <w:szCs w:val="18"/>
              </w:rPr>
            </w:pPr>
            <w:r w:rsidRPr="0008483D">
              <w:rPr>
                <w:rFonts w:asciiTheme="minorHAnsi" w:hAnsiTheme="minorHAnsi" w:cstheme="minorHAnsi"/>
                <w:b/>
                <w:bCs/>
                <w:sz w:val="18"/>
                <w:szCs w:val="18"/>
              </w:rPr>
              <w:t xml:space="preserve">Net result </w:t>
            </w:r>
          </w:p>
        </w:tc>
        <w:tc>
          <w:tcPr>
            <w:tcW w:w="1045" w:type="dxa"/>
          </w:tcPr>
          <w:p w14:paraId="7D3AA836" w14:textId="77777777" w:rsidR="00B02873" w:rsidRPr="00EA5C92" w:rsidRDefault="00B02873" w:rsidP="00EA5C92">
            <w:pPr>
              <w:pStyle w:val="TablebodyleftFinancialsTables"/>
              <w:jc w:val="right"/>
              <w:rPr>
                <w:rFonts w:asciiTheme="minorHAnsi" w:hAnsiTheme="minorHAnsi" w:cstheme="minorHAnsi"/>
                <w:b/>
                <w:bCs/>
                <w:sz w:val="18"/>
                <w:szCs w:val="18"/>
              </w:rPr>
            </w:pPr>
            <w:r w:rsidRPr="00EA5C92">
              <w:rPr>
                <w:rFonts w:asciiTheme="minorHAnsi" w:hAnsiTheme="minorHAnsi" w:cstheme="minorHAnsi"/>
                <w:b/>
                <w:bCs/>
                <w:sz w:val="18"/>
                <w:szCs w:val="18"/>
              </w:rPr>
              <w:t>(11,199)</w:t>
            </w:r>
          </w:p>
        </w:tc>
        <w:tc>
          <w:tcPr>
            <w:tcW w:w="1134" w:type="dxa"/>
          </w:tcPr>
          <w:p w14:paraId="4E541421" w14:textId="77777777" w:rsidR="00B02873" w:rsidRPr="00EA5C92" w:rsidRDefault="00B02873" w:rsidP="00EA5C92">
            <w:pPr>
              <w:pStyle w:val="TablebodyleftFinancialsTables"/>
              <w:jc w:val="right"/>
              <w:rPr>
                <w:rFonts w:asciiTheme="minorHAnsi" w:hAnsiTheme="minorHAnsi" w:cstheme="minorHAnsi"/>
                <w:sz w:val="18"/>
                <w:szCs w:val="18"/>
              </w:rPr>
            </w:pPr>
            <w:r w:rsidRPr="00EA5C92">
              <w:rPr>
                <w:rFonts w:asciiTheme="minorHAnsi" w:hAnsiTheme="minorHAnsi" w:cstheme="minorHAnsi"/>
                <w:sz w:val="18"/>
                <w:szCs w:val="18"/>
              </w:rPr>
              <w:t>(6,860)</w:t>
            </w:r>
          </w:p>
        </w:tc>
        <w:tc>
          <w:tcPr>
            <w:tcW w:w="1276" w:type="dxa"/>
          </w:tcPr>
          <w:p w14:paraId="0A952137" w14:textId="77777777" w:rsidR="00B02873" w:rsidRPr="00EA5C92" w:rsidRDefault="00B02873" w:rsidP="00EA5C92">
            <w:pPr>
              <w:pStyle w:val="TablebodyleftFinancialsTables"/>
              <w:jc w:val="right"/>
              <w:rPr>
                <w:rFonts w:asciiTheme="minorHAnsi" w:hAnsiTheme="minorHAnsi" w:cstheme="minorHAnsi"/>
                <w:b/>
                <w:bCs/>
                <w:sz w:val="18"/>
                <w:szCs w:val="18"/>
              </w:rPr>
            </w:pPr>
            <w:r w:rsidRPr="00EA5C92">
              <w:rPr>
                <w:rFonts w:asciiTheme="minorHAnsi" w:hAnsiTheme="minorHAnsi" w:cstheme="minorHAnsi"/>
                <w:b/>
                <w:bCs/>
                <w:sz w:val="18"/>
                <w:szCs w:val="18"/>
              </w:rPr>
              <w:t>182,814</w:t>
            </w:r>
          </w:p>
        </w:tc>
        <w:tc>
          <w:tcPr>
            <w:tcW w:w="1276" w:type="dxa"/>
          </w:tcPr>
          <w:p w14:paraId="1627EBB0" w14:textId="77777777" w:rsidR="00B02873" w:rsidRPr="00EA5C92" w:rsidRDefault="00B02873" w:rsidP="00EA5C92">
            <w:pPr>
              <w:pStyle w:val="TablebodyleftFinancialsTables"/>
              <w:jc w:val="right"/>
              <w:rPr>
                <w:rFonts w:asciiTheme="minorHAnsi" w:hAnsiTheme="minorHAnsi" w:cstheme="minorHAnsi"/>
                <w:sz w:val="18"/>
                <w:szCs w:val="18"/>
              </w:rPr>
            </w:pPr>
            <w:r w:rsidRPr="00EA5C92">
              <w:rPr>
                <w:rFonts w:asciiTheme="minorHAnsi" w:hAnsiTheme="minorHAnsi" w:cstheme="minorHAnsi"/>
                <w:sz w:val="18"/>
                <w:szCs w:val="18"/>
              </w:rPr>
              <w:t>743,862</w:t>
            </w:r>
          </w:p>
        </w:tc>
        <w:tc>
          <w:tcPr>
            <w:tcW w:w="1222" w:type="dxa"/>
          </w:tcPr>
          <w:p w14:paraId="148974F7" w14:textId="77777777" w:rsidR="00B02873" w:rsidRPr="00EA5C92" w:rsidRDefault="00B02873" w:rsidP="00EA5C92">
            <w:pPr>
              <w:pStyle w:val="TablebodyleftFinancialsTables"/>
              <w:jc w:val="right"/>
              <w:rPr>
                <w:rFonts w:asciiTheme="minorHAnsi" w:hAnsiTheme="minorHAnsi" w:cstheme="minorHAnsi"/>
                <w:b/>
                <w:bCs/>
                <w:sz w:val="18"/>
                <w:szCs w:val="18"/>
              </w:rPr>
            </w:pPr>
            <w:r w:rsidRPr="00EA5C92">
              <w:rPr>
                <w:rFonts w:asciiTheme="minorHAnsi" w:hAnsiTheme="minorHAnsi" w:cstheme="minorHAnsi"/>
                <w:b/>
                <w:bCs/>
                <w:sz w:val="18"/>
                <w:szCs w:val="18"/>
              </w:rPr>
              <w:t>(10,446)</w:t>
            </w:r>
          </w:p>
        </w:tc>
        <w:tc>
          <w:tcPr>
            <w:tcW w:w="1329" w:type="dxa"/>
          </w:tcPr>
          <w:p w14:paraId="7858D9C8" w14:textId="77777777" w:rsidR="00B02873" w:rsidRPr="00EA5C92" w:rsidRDefault="00B02873" w:rsidP="00EA5C92">
            <w:pPr>
              <w:pStyle w:val="TablebodyleftFinancialsTables"/>
              <w:jc w:val="right"/>
              <w:rPr>
                <w:rFonts w:asciiTheme="minorHAnsi" w:hAnsiTheme="minorHAnsi" w:cstheme="minorHAnsi"/>
                <w:sz w:val="18"/>
                <w:szCs w:val="18"/>
              </w:rPr>
            </w:pPr>
            <w:r w:rsidRPr="00EA5C92">
              <w:rPr>
                <w:rFonts w:asciiTheme="minorHAnsi" w:hAnsiTheme="minorHAnsi" w:cstheme="minorHAnsi"/>
                <w:sz w:val="18"/>
                <w:szCs w:val="18"/>
              </w:rPr>
              <w:t>(10,739)</w:t>
            </w:r>
          </w:p>
        </w:tc>
      </w:tr>
      <w:tr w:rsidR="00B02873" w:rsidRPr="00EA5C92" w14:paraId="756F5584" w14:textId="77777777" w:rsidTr="00EA5C92">
        <w:trPr>
          <w:trHeight w:val="60"/>
        </w:trPr>
        <w:tc>
          <w:tcPr>
            <w:tcW w:w="2494" w:type="dxa"/>
          </w:tcPr>
          <w:p w14:paraId="53BFEEA3" w14:textId="77777777" w:rsidR="00B02873" w:rsidRPr="0008483D" w:rsidRDefault="00B02873" w:rsidP="00EA5C92">
            <w:pPr>
              <w:pStyle w:val="TablebodyleftFinancialsTables"/>
              <w:rPr>
                <w:rFonts w:asciiTheme="minorHAnsi" w:hAnsiTheme="minorHAnsi" w:cstheme="minorHAnsi"/>
                <w:b/>
                <w:bCs/>
                <w:sz w:val="18"/>
                <w:szCs w:val="18"/>
              </w:rPr>
            </w:pPr>
            <w:r w:rsidRPr="0008483D">
              <w:rPr>
                <w:rFonts w:asciiTheme="minorHAnsi" w:hAnsiTheme="minorHAnsi" w:cstheme="minorHAnsi"/>
                <w:b/>
                <w:bCs/>
                <w:sz w:val="18"/>
                <w:szCs w:val="18"/>
              </w:rPr>
              <w:t>Other economic flows – other comprehensive income</w:t>
            </w:r>
          </w:p>
        </w:tc>
        <w:tc>
          <w:tcPr>
            <w:tcW w:w="1045" w:type="dxa"/>
          </w:tcPr>
          <w:p w14:paraId="0532D7A8" w14:textId="77777777" w:rsidR="00B02873" w:rsidRPr="00EA5C92" w:rsidRDefault="00B02873" w:rsidP="00EA5C92">
            <w:pPr>
              <w:pStyle w:val="TablebodyleftFinancialsTables"/>
              <w:jc w:val="right"/>
              <w:rPr>
                <w:rFonts w:asciiTheme="minorHAnsi" w:hAnsiTheme="minorHAnsi" w:cstheme="minorHAnsi"/>
                <w:b/>
                <w:bCs/>
                <w:sz w:val="18"/>
                <w:szCs w:val="18"/>
              </w:rPr>
            </w:pPr>
          </w:p>
        </w:tc>
        <w:tc>
          <w:tcPr>
            <w:tcW w:w="1134" w:type="dxa"/>
          </w:tcPr>
          <w:p w14:paraId="0A8805DA" w14:textId="77777777" w:rsidR="00B02873" w:rsidRPr="00EA5C92" w:rsidRDefault="00B02873" w:rsidP="00EA5C92">
            <w:pPr>
              <w:pStyle w:val="TablebodyleftFinancialsTables"/>
              <w:jc w:val="right"/>
              <w:rPr>
                <w:rFonts w:asciiTheme="minorHAnsi" w:hAnsiTheme="minorHAnsi" w:cstheme="minorHAnsi"/>
                <w:sz w:val="18"/>
                <w:szCs w:val="18"/>
              </w:rPr>
            </w:pPr>
          </w:p>
        </w:tc>
        <w:tc>
          <w:tcPr>
            <w:tcW w:w="1276" w:type="dxa"/>
          </w:tcPr>
          <w:p w14:paraId="1F552A0E" w14:textId="77777777" w:rsidR="00B02873" w:rsidRPr="00EA5C92" w:rsidRDefault="00B02873" w:rsidP="00EA5C92">
            <w:pPr>
              <w:pStyle w:val="TablebodyleftFinancialsTables"/>
              <w:jc w:val="right"/>
              <w:rPr>
                <w:rFonts w:asciiTheme="minorHAnsi" w:hAnsiTheme="minorHAnsi" w:cstheme="minorHAnsi"/>
                <w:b/>
                <w:bCs/>
                <w:sz w:val="18"/>
                <w:szCs w:val="18"/>
              </w:rPr>
            </w:pPr>
          </w:p>
        </w:tc>
        <w:tc>
          <w:tcPr>
            <w:tcW w:w="1276" w:type="dxa"/>
          </w:tcPr>
          <w:p w14:paraId="213B14DC" w14:textId="77777777" w:rsidR="00B02873" w:rsidRPr="00EA5C92" w:rsidRDefault="00B02873" w:rsidP="00EA5C92">
            <w:pPr>
              <w:pStyle w:val="TablebodyleftFinancialsTables"/>
              <w:jc w:val="right"/>
              <w:rPr>
                <w:rFonts w:asciiTheme="minorHAnsi" w:hAnsiTheme="minorHAnsi" w:cstheme="minorHAnsi"/>
                <w:sz w:val="18"/>
                <w:szCs w:val="18"/>
              </w:rPr>
            </w:pPr>
          </w:p>
        </w:tc>
        <w:tc>
          <w:tcPr>
            <w:tcW w:w="1222" w:type="dxa"/>
          </w:tcPr>
          <w:p w14:paraId="729BF11E" w14:textId="77777777" w:rsidR="00B02873" w:rsidRPr="00EA5C92" w:rsidRDefault="00B02873" w:rsidP="00EA5C92">
            <w:pPr>
              <w:pStyle w:val="TablebodyleftFinancialsTables"/>
              <w:jc w:val="right"/>
              <w:rPr>
                <w:rFonts w:asciiTheme="minorHAnsi" w:hAnsiTheme="minorHAnsi" w:cstheme="minorHAnsi"/>
                <w:b/>
                <w:bCs/>
                <w:sz w:val="18"/>
                <w:szCs w:val="18"/>
              </w:rPr>
            </w:pPr>
          </w:p>
        </w:tc>
        <w:tc>
          <w:tcPr>
            <w:tcW w:w="1329" w:type="dxa"/>
          </w:tcPr>
          <w:p w14:paraId="637E0AC0" w14:textId="77777777" w:rsidR="00B02873" w:rsidRPr="00EA5C92" w:rsidRDefault="00B02873" w:rsidP="00EA5C92">
            <w:pPr>
              <w:pStyle w:val="TablebodyleftFinancialsTables"/>
              <w:jc w:val="right"/>
              <w:rPr>
                <w:rFonts w:asciiTheme="minorHAnsi" w:hAnsiTheme="minorHAnsi" w:cstheme="minorHAnsi"/>
                <w:sz w:val="18"/>
                <w:szCs w:val="18"/>
              </w:rPr>
            </w:pPr>
          </w:p>
        </w:tc>
      </w:tr>
      <w:tr w:rsidR="00B02873" w:rsidRPr="00EA5C92" w14:paraId="0F63127C" w14:textId="77777777" w:rsidTr="00EA5C92">
        <w:trPr>
          <w:trHeight w:val="60"/>
        </w:trPr>
        <w:tc>
          <w:tcPr>
            <w:tcW w:w="2494" w:type="dxa"/>
          </w:tcPr>
          <w:p w14:paraId="4B30AD20" w14:textId="77777777" w:rsidR="00B02873" w:rsidRPr="0008483D" w:rsidRDefault="00B02873" w:rsidP="00EA5C92">
            <w:pPr>
              <w:pStyle w:val="TablebodyleftFinancialsTables"/>
              <w:rPr>
                <w:rFonts w:asciiTheme="minorHAnsi" w:hAnsiTheme="minorHAnsi" w:cstheme="minorHAnsi"/>
                <w:b/>
                <w:bCs/>
                <w:sz w:val="18"/>
                <w:szCs w:val="18"/>
              </w:rPr>
            </w:pPr>
            <w:r w:rsidRPr="0008483D">
              <w:rPr>
                <w:rFonts w:asciiTheme="minorHAnsi" w:hAnsiTheme="minorHAnsi" w:cstheme="minorHAnsi"/>
                <w:b/>
                <w:bCs/>
                <w:sz w:val="18"/>
                <w:szCs w:val="18"/>
              </w:rPr>
              <w:t>Items that will not be classified to net result</w:t>
            </w:r>
          </w:p>
        </w:tc>
        <w:tc>
          <w:tcPr>
            <w:tcW w:w="1045" w:type="dxa"/>
          </w:tcPr>
          <w:p w14:paraId="256E8E5A" w14:textId="77777777" w:rsidR="00B02873" w:rsidRPr="00EA5C92" w:rsidRDefault="00B02873" w:rsidP="00EA5C92">
            <w:pPr>
              <w:pStyle w:val="TablebodyleftFinancialsTables"/>
              <w:jc w:val="right"/>
              <w:rPr>
                <w:rFonts w:asciiTheme="minorHAnsi" w:hAnsiTheme="minorHAnsi" w:cstheme="minorHAnsi"/>
                <w:b/>
                <w:bCs/>
                <w:sz w:val="18"/>
                <w:szCs w:val="18"/>
              </w:rPr>
            </w:pPr>
          </w:p>
        </w:tc>
        <w:tc>
          <w:tcPr>
            <w:tcW w:w="1134" w:type="dxa"/>
          </w:tcPr>
          <w:p w14:paraId="1D57D17D" w14:textId="77777777" w:rsidR="00B02873" w:rsidRPr="00EA5C92" w:rsidRDefault="00B02873" w:rsidP="00EA5C92">
            <w:pPr>
              <w:pStyle w:val="TablebodyleftFinancialsTables"/>
              <w:jc w:val="right"/>
              <w:rPr>
                <w:rFonts w:asciiTheme="minorHAnsi" w:hAnsiTheme="minorHAnsi" w:cstheme="minorHAnsi"/>
                <w:sz w:val="18"/>
                <w:szCs w:val="18"/>
              </w:rPr>
            </w:pPr>
          </w:p>
        </w:tc>
        <w:tc>
          <w:tcPr>
            <w:tcW w:w="1276" w:type="dxa"/>
          </w:tcPr>
          <w:p w14:paraId="4D0C6421" w14:textId="77777777" w:rsidR="00B02873" w:rsidRPr="00EA5C92" w:rsidRDefault="00B02873" w:rsidP="00EA5C92">
            <w:pPr>
              <w:pStyle w:val="TablebodyleftFinancialsTables"/>
              <w:jc w:val="right"/>
              <w:rPr>
                <w:rFonts w:asciiTheme="minorHAnsi" w:hAnsiTheme="minorHAnsi" w:cstheme="minorHAnsi"/>
                <w:b/>
                <w:bCs/>
                <w:sz w:val="18"/>
                <w:szCs w:val="18"/>
              </w:rPr>
            </w:pPr>
          </w:p>
        </w:tc>
        <w:tc>
          <w:tcPr>
            <w:tcW w:w="1276" w:type="dxa"/>
          </w:tcPr>
          <w:p w14:paraId="6F6A16E9" w14:textId="77777777" w:rsidR="00B02873" w:rsidRPr="00EA5C92" w:rsidRDefault="00B02873" w:rsidP="00EA5C92">
            <w:pPr>
              <w:pStyle w:val="TablebodyleftFinancialsTables"/>
              <w:jc w:val="right"/>
              <w:rPr>
                <w:rFonts w:asciiTheme="minorHAnsi" w:hAnsiTheme="minorHAnsi" w:cstheme="minorHAnsi"/>
                <w:sz w:val="18"/>
                <w:szCs w:val="18"/>
              </w:rPr>
            </w:pPr>
          </w:p>
        </w:tc>
        <w:tc>
          <w:tcPr>
            <w:tcW w:w="1222" w:type="dxa"/>
          </w:tcPr>
          <w:p w14:paraId="53FDC914" w14:textId="77777777" w:rsidR="00B02873" w:rsidRPr="00EA5C92" w:rsidRDefault="00B02873" w:rsidP="00EA5C92">
            <w:pPr>
              <w:pStyle w:val="TablebodyleftFinancialsTables"/>
              <w:jc w:val="right"/>
              <w:rPr>
                <w:rFonts w:asciiTheme="minorHAnsi" w:hAnsiTheme="minorHAnsi" w:cstheme="minorHAnsi"/>
                <w:b/>
                <w:bCs/>
                <w:sz w:val="18"/>
                <w:szCs w:val="18"/>
              </w:rPr>
            </w:pPr>
          </w:p>
        </w:tc>
        <w:tc>
          <w:tcPr>
            <w:tcW w:w="1329" w:type="dxa"/>
          </w:tcPr>
          <w:p w14:paraId="4A17D56A" w14:textId="77777777" w:rsidR="00B02873" w:rsidRPr="00EA5C92" w:rsidRDefault="00B02873" w:rsidP="00EA5C92">
            <w:pPr>
              <w:pStyle w:val="TablebodyleftFinancialsTables"/>
              <w:jc w:val="right"/>
              <w:rPr>
                <w:rFonts w:asciiTheme="minorHAnsi" w:hAnsiTheme="minorHAnsi" w:cstheme="minorHAnsi"/>
                <w:sz w:val="18"/>
                <w:szCs w:val="18"/>
              </w:rPr>
            </w:pPr>
          </w:p>
        </w:tc>
      </w:tr>
      <w:tr w:rsidR="00B02873" w:rsidRPr="00EA5C92" w14:paraId="58BF7279" w14:textId="77777777" w:rsidTr="00EA5C92">
        <w:trPr>
          <w:trHeight w:val="60"/>
        </w:trPr>
        <w:tc>
          <w:tcPr>
            <w:tcW w:w="2494" w:type="dxa"/>
          </w:tcPr>
          <w:p w14:paraId="66C8E3C1" w14:textId="77777777" w:rsidR="00B02873" w:rsidRPr="00EA5C92" w:rsidRDefault="00B02873" w:rsidP="00EA5C92">
            <w:pPr>
              <w:pStyle w:val="TablebodyleftFinancialsTables"/>
              <w:rPr>
                <w:rFonts w:asciiTheme="minorHAnsi" w:hAnsiTheme="minorHAnsi" w:cstheme="minorHAnsi"/>
                <w:sz w:val="18"/>
                <w:szCs w:val="18"/>
              </w:rPr>
            </w:pPr>
            <w:r w:rsidRPr="00EA5C92">
              <w:rPr>
                <w:rFonts w:asciiTheme="minorHAnsi" w:hAnsiTheme="minorHAnsi" w:cstheme="minorHAnsi"/>
                <w:sz w:val="18"/>
                <w:szCs w:val="18"/>
              </w:rPr>
              <w:t>Changes in physical asset revaluation surplus</w:t>
            </w:r>
          </w:p>
        </w:tc>
        <w:tc>
          <w:tcPr>
            <w:tcW w:w="1045" w:type="dxa"/>
          </w:tcPr>
          <w:p w14:paraId="43D6529B" w14:textId="77777777" w:rsidR="00B02873" w:rsidRPr="00EA5C92" w:rsidRDefault="00B02873" w:rsidP="00EA5C92">
            <w:pPr>
              <w:pStyle w:val="TablebodyleftFinancialsTables"/>
              <w:jc w:val="right"/>
              <w:rPr>
                <w:rFonts w:asciiTheme="minorHAnsi" w:hAnsiTheme="minorHAnsi" w:cstheme="minorHAnsi"/>
                <w:b/>
                <w:bCs/>
                <w:sz w:val="18"/>
                <w:szCs w:val="18"/>
              </w:rPr>
            </w:pPr>
            <w:r w:rsidRPr="00EA5C92">
              <w:rPr>
                <w:rFonts w:asciiTheme="minorHAnsi" w:hAnsiTheme="minorHAnsi" w:cstheme="minorHAnsi"/>
                <w:b/>
                <w:bCs/>
                <w:sz w:val="18"/>
                <w:szCs w:val="18"/>
              </w:rPr>
              <w:t>–</w:t>
            </w:r>
          </w:p>
        </w:tc>
        <w:tc>
          <w:tcPr>
            <w:tcW w:w="1134" w:type="dxa"/>
          </w:tcPr>
          <w:p w14:paraId="102BE8F1" w14:textId="77777777" w:rsidR="00B02873" w:rsidRPr="00EA5C92" w:rsidRDefault="00B02873" w:rsidP="00EA5C92">
            <w:pPr>
              <w:pStyle w:val="TablebodyleftFinancialsTables"/>
              <w:jc w:val="right"/>
              <w:rPr>
                <w:rFonts w:asciiTheme="minorHAnsi" w:hAnsiTheme="minorHAnsi" w:cstheme="minorHAnsi"/>
                <w:sz w:val="18"/>
                <w:szCs w:val="18"/>
              </w:rPr>
            </w:pPr>
            <w:r w:rsidRPr="00EA5C92">
              <w:rPr>
                <w:rFonts w:asciiTheme="minorHAnsi" w:hAnsiTheme="minorHAnsi" w:cstheme="minorHAnsi"/>
                <w:sz w:val="18"/>
                <w:szCs w:val="18"/>
              </w:rPr>
              <w:t>–</w:t>
            </w:r>
          </w:p>
        </w:tc>
        <w:tc>
          <w:tcPr>
            <w:tcW w:w="1276" w:type="dxa"/>
          </w:tcPr>
          <w:p w14:paraId="7F9416DA" w14:textId="77777777" w:rsidR="00B02873" w:rsidRPr="00EA5C92" w:rsidRDefault="00B02873" w:rsidP="00EA5C92">
            <w:pPr>
              <w:pStyle w:val="TablebodyleftFinancialsTables"/>
              <w:jc w:val="right"/>
              <w:rPr>
                <w:rFonts w:asciiTheme="minorHAnsi" w:hAnsiTheme="minorHAnsi" w:cstheme="minorHAnsi"/>
                <w:b/>
                <w:bCs/>
                <w:sz w:val="18"/>
                <w:szCs w:val="18"/>
              </w:rPr>
            </w:pPr>
            <w:r w:rsidRPr="00EA5C92">
              <w:rPr>
                <w:rFonts w:asciiTheme="minorHAnsi" w:hAnsiTheme="minorHAnsi" w:cstheme="minorHAnsi"/>
                <w:b/>
                <w:bCs/>
                <w:sz w:val="18"/>
                <w:szCs w:val="18"/>
              </w:rPr>
              <w:t>1,050,979</w:t>
            </w:r>
          </w:p>
        </w:tc>
        <w:tc>
          <w:tcPr>
            <w:tcW w:w="1276" w:type="dxa"/>
          </w:tcPr>
          <w:p w14:paraId="6F3D96F6" w14:textId="77777777" w:rsidR="00B02873" w:rsidRPr="00EA5C92" w:rsidRDefault="00B02873" w:rsidP="00EA5C92">
            <w:pPr>
              <w:pStyle w:val="TablebodyleftFinancialsTables"/>
              <w:jc w:val="right"/>
              <w:rPr>
                <w:rFonts w:asciiTheme="minorHAnsi" w:hAnsiTheme="minorHAnsi" w:cstheme="minorHAnsi"/>
                <w:sz w:val="18"/>
                <w:szCs w:val="18"/>
              </w:rPr>
            </w:pPr>
            <w:r w:rsidRPr="00EA5C92">
              <w:rPr>
                <w:rFonts w:asciiTheme="minorHAnsi" w:hAnsiTheme="minorHAnsi" w:cstheme="minorHAnsi"/>
                <w:sz w:val="18"/>
                <w:szCs w:val="18"/>
              </w:rPr>
              <w:t>702,045</w:t>
            </w:r>
          </w:p>
        </w:tc>
        <w:tc>
          <w:tcPr>
            <w:tcW w:w="1222" w:type="dxa"/>
          </w:tcPr>
          <w:p w14:paraId="28D55F9E" w14:textId="77777777" w:rsidR="00B02873" w:rsidRPr="00EA5C92" w:rsidRDefault="00B02873" w:rsidP="00EA5C92">
            <w:pPr>
              <w:pStyle w:val="TablebodyleftFinancialsTables"/>
              <w:jc w:val="right"/>
              <w:rPr>
                <w:rFonts w:asciiTheme="minorHAnsi" w:hAnsiTheme="minorHAnsi" w:cstheme="minorHAnsi"/>
                <w:b/>
                <w:bCs/>
                <w:sz w:val="18"/>
                <w:szCs w:val="18"/>
              </w:rPr>
            </w:pPr>
            <w:r w:rsidRPr="00EA5C92">
              <w:rPr>
                <w:rFonts w:asciiTheme="minorHAnsi" w:hAnsiTheme="minorHAnsi" w:cstheme="minorHAnsi"/>
                <w:b/>
                <w:bCs/>
                <w:sz w:val="18"/>
                <w:szCs w:val="18"/>
              </w:rPr>
              <w:t>–</w:t>
            </w:r>
          </w:p>
        </w:tc>
        <w:tc>
          <w:tcPr>
            <w:tcW w:w="1329" w:type="dxa"/>
          </w:tcPr>
          <w:p w14:paraId="1CC1FACE" w14:textId="77777777" w:rsidR="00B02873" w:rsidRPr="00EA5C92" w:rsidRDefault="00B02873" w:rsidP="00EA5C92">
            <w:pPr>
              <w:pStyle w:val="TablebodyleftFinancialsTables"/>
              <w:jc w:val="right"/>
              <w:rPr>
                <w:rFonts w:asciiTheme="minorHAnsi" w:hAnsiTheme="minorHAnsi" w:cstheme="minorHAnsi"/>
                <w:sz w:val="18"/>
                <w:szCs w:val="18"/>
              </w:rPr>
            </w:pPr>
            <w:r w:rsidRPr="00EA5C92">
              <w:rPr>
                <w:rFonts w:asciiTheme="minorHAnsi" w:hAnsiTheme="minorHAnsi" w:cstheme="minorHAnsi"/>
                <w:sz w:val="18"/>
                <w:szCs w:val="18"/>
              </w:rPr>
              <w:t>–</w:t>
            </w:r>
          </w:p>
        </w:tc>
      </w:tr>
      <w:tr w:rsidR="00B02873" w:rsidRPr="00EA5C92" w14:paraId="47720287" w14:textId="77777777" w:rsidTr="00EA5C92">
        <w:trPr>
          <w:trHeight w:val="60"/>
        </w:trPr>
        <w:tc>
          <w:tcPr>
            <w:tcW w:w="2494" w:type="dxa"/>
          </w:tcPr>
          <w:p w14:paraId="43976A4B" w14:textId="77777777" w:rsidR="00B02873" w:rsidRPr="0008483D" w:rsidRDefault="00B02873" w:rsidP="00EA5C92">
            <w:pPr>
              <w:pStyle w:val="TablebodyleftFinancialsTables"/>
              <w:rPr>
                <w:rFonts w:asciiTheme="minorHAnsi" w:hAnsiTheme="minorHAnsi" w:cstheme="minorHAnsi"/>
                <w:b/>
                <w:bCs/>
                <w:sz w:val="18"/>
                <w:szCs w:val="18"/>
              </w:rPr>
            </w:pPr>
            <w:r w:rsidRPr="0008483D">
              <w:rPr>
                <w:rFonts w:asciiTheme="minorHAnsi" w:hAnsiTheme="minorHAnsi" w:cstheme="minorHAnsi"/>
                <w:b/>
                <w:bCs/>
                <w:sz w:val="18"/>
                <w:szCs w:val="18"/>
              </w:rPr>
              <w:t>Total other economic flows – other comprehensive income</w:t>
            </w:r>
          </w:p>
        </w:tc>
        <w:tc>
          <w:tcPr>
            <w:tcW w:w="1045" w:type="dxa"/>
          </w:tcPr>
          <w:p w14:paraId="22D58D06" w14:textId="77777777" w:rsidR="00B02873" w:rsidRPr="00EA5C92" w:rsidRDefault="00B02873" w:rsidP="00EA5C92">
            <w:pPr>
              <w:pStyle w:val="TablebodyleftFinancialsTables"/>
              <w:jc w:val="right"/>
              <w:rPr>
                <w:rFonts w:asciiTheme="minorHAnsi" w:hAnsiTheme="minorHAnsi" w:cstheme="minorHAnsi"/>
                <w:b/>
                <w:bCs/>
                <w:sz w:val="18"/>
                <w:szCs w:val="18"/>
              </w:rPr>
            </w:pPr>
            <w:r w:rsidRPr="00EA5C92">
              <w:rPr>
                <w:rFonts w:asciiTheme="minorHAnsi" w:hAnsiTheme="minorHAnsi" w:cstheme="minorHAnsi"/>
                <w:b/>
                <w:bCs/>
                <w:sz w:val="18"/>
                <w:szCs w:val="18"/>
              </w:rPr>
              <w:t>–</w:t>
            </w:r>
          </w:p>
        </w:tc>
        <w:tc>
          <w:tcPr>
            <w:tcW w:w="1134" w:type="dxa"/>
          </w:tcPr>
          <w:p w14:paraId="758FE77C" w14:textId="77777777" w:rsidR="00B02873" w:rsidRPr="00EA5C92" w:rsidRDefault="00B02873" w:rsidP="00EA5C92">
            <w:pPr>
              <w:pStyle w:val="TablebodyleftFinancialsTables"/>
              <w:jc w:val="right"/>
              <w:rPr>
                <w:rFonts w:asciiTheme="minorHAnsi" w:hAnsiTheme="minorHAnsi" w:cstheme="minorHAnsi"/>
                <w:sz w:val="18"/>
                <w:szCs w:val="18"/>
              </w:rPr>
            </w:pPr>
            <w:r w:rsidRPr="00EA5C92">
              <w:rPr>
                <w:rFonts w:asciiTheme="minorHAnsi" w:hAnsiTheme="minorHAnsi" w:cstheme="minorHAnsi"/>
                <w:sz w:val="18"/>
                <w:szCs w:val="18"/>
              </w:rPr>
              <w:t xml:space="preserve"> –</w:t>
            </w:r>
          </w:p>
        </w:tc>
        <w:tc>
          <w:tcPr>
            <w:tcW w:w="1276" w:type="dxa"/>
          </w:tcPr>
          <w:p w14:paraId="2CB064C1" w14:textId="77777777" w:rsidR="00B02873" w:rsidRPr="00EA5C92" w:rsidRDefault="00B02873" w:rsidP="00EA5C92">
            <w:pPr>
              <w:pStyle w:val="TablebodyleftFinancialsTables"/>
              <w:jc w:val="right"/>
              <w:rPr>
                <w:rFonts w:asciiTheme="minorHAnsi" w:hAnsiTheme="minorHAnsi" w:cstheme="minorHAnsi"/>
                <w:b/>
                <w:bCs/>
                <w:sz w:val="18"/>
                <w:szCs w:val="18"/>
              </w:rPr>
            </w:pPr>
            <w:r w:rsidRPr="00EA5C92">
              <w:rPr>
                <w:rFonts w:asciiTheme="minorHAnsi" w:hAnsiTheme="minorHAnsi" w:cstheme="minorHAnsi"/>
                <w:b/>
                <w:bCs/>
                <w:sz w:val="18"/>
                <w:szCs w:val="18"/>
              </w:rPr>
              <w:t>1,050,979</w:t>
            </w:r>
          </w:p>
        </w:tc>
        <w:tc>
          <w:tcPr>
            <w:tcW w:w="1276" w:type="dxa"/>
          </w:tcPr>
          <w:p w14:paraId="0615F863" w14:textId="77777777" w:rsidR="00B02873" w:rsidRPr="00EA5C92" w:rsidRDefault="00B02873" w:rsidP="00EA5C92">
            <w:pPr>
              <w:pStyle w:val="TablebodyleftFinancialsTables"/>
              <w:jc w:val="right"/>
              <w:rPr>
                <w:rFonts w:asciiTheme="minorHAnsi" w:hAnsiTheme="minorHAnsi" w:cstheme="minorHAnsi"/>
                <w:sz w:val="18"/>
                <w:szCs w:val="18"/>
              </w:rPr>
            </w:pPr>
            <w:r w:rsidRPr="00EA5C92">
              <w:rPr>
                <w:rFonts w:asciiTheme="minorHAnsi" w:hAnsiTheme="minorHAnsi" w:cstheme="minorHAnsi"/>
                <w:sz w:val="18"/>
                <w:szCs w:val="18"/>
              </w:rPr>
              <w:t>702,045</w:t>
            </w:r>
          </w:p>
        </w:tc>
        <w:tc>
          <w:tcPr>
            <w:tcW w:w="1222" w:type="dxa"/>
          </w:tcPr>
          <w:p w14:paraId="13E6B141" w14:textId="77777777" w:rsidR="00B02873" w:rsidRPr="00EA5C92" w:rsidRDefault="00B02873" w:rsidP="00EA5C92">
            <w:pPr>
              <w:pStyle w:val="TablebodyleftFinancialsTables"/>
              <w:jc w:val="right"/>
              <w:rPr>
                <w:rFonts w:asciiTheme="minorHAnsi" w:hAnsiTheme="minorHAnsi" w:cstheme="minorHAnsi"/>
                <w:b/>
                <w:bCs/>
                <w:sz w:val="18"/>
                <w:szCs w:val="18"/>
              </w:rPr>
            </w:pPr>
            <w:r w:rsidRPr="00EA5C92">
              <w:rPr>
                <w:rFonts w:asciiTheme="minorHAnsi" w:hAnsiTheme="minorHAnsi" w:cstheme="minorHAnsi"/>
                <w:b/>
                <w:bCs/>
                <w:sz w:val="18"/>
                <w:szCs w:val="18"/>
              </w:rPr>
              <w:t>–</w:t>
            </w:r>
          </w:p>
        </w:tc>
        <w:tc>
          <w:tcPr>
            <w:tcW w:w="1329" w:type="dxa"/>
          </w:tcPr>
          <w:p w14:paraId="142AC270" w14:textId="77777777" w:rsidR="00B02873" w:rsidRPr="00EA5C92" w:rsidRDefault="00B02873" w:rsidP="00EA5C92">
            <w:pPr>
              <w:pStyle w:val="TablebodyleftFinancialsTables"/>
              <w:jc w:val="right"/>
              <w:rPr>
                <w:rFonts w:asciiTheme="minorHAnsi" w:hAnsiTheme="minorHAnsi" w:cstheme="minorHAnsi"/>
                <w:sz w:val="18"/>
                <w:szCs w:val="18"/>
              </w:rPr>
            </w:pPr>
            <w:r w:rsidRPr="00EA5C92">
              <w:rPr>
                <w:rFonts w:asciiTheme="minorHAnsi" w:hAnsiTheme="minorHAnsi" w:cstheme="minorHAnsi"/>
                <w:sz w:val="18"/>
                <w:szCs w:val="18"/>
              </w:rPr>
              <w:t xml:space="preserve"> –</w:t>
            </w:r>
          </w:p>
        </w:tc>
      </w:tr>
      <w:tr w:rsidR="00B02873" w:rsidRPr="00EA5C92" w14:paraId="73B0A75D" w14:textId="77777777" w:rsidTr="00EA5C92">
        <w:trPr>
          <w:trHeight w:val="60"/>
        </w:trPr>
        <w:tc>
          <w:tcPr>
            <w:tcW w:w="2494" w:type="dxa"/>
          </w:tcPr>
          <w:p w14:paraId="7BD7C596" w14:textId="77777777" w:rsidR="00B02873" w:rsidRPr="0008483D" w:rsidRDefault="00B02873" w:rsidP="00EA5C92">
            <w:pPr>
              <w:pStyle w:val="TablebodyleftFinancialsTables"/>
              <w:rPr>
                <w:rFonts w:asciiTheme="minorHAnsi" w:hAnsiTheme="minorHAnsi" w:cstheme="minorHAnsi"/>
                <w:b/>
                <w:bCs/>
                <w:sz w:val="18"/>
                <w:szCs w:val="18"/>
              </w:rPr>
            </w:pPr>
            <w:r w:rsidRPr="0008483D">
              <w:rPr>
                <w:rFonts w:asciiTheme="minorHAnsi" w:hAnsiTheme="minorHAnsi" w:cstheme="minorHAnsi"/>
                <w:b/>
                <w:bCs/>
                <w:sz w:val="18"/>
                <w:szCs w:val="18"/>
              </w:rPr>
              <w:t xml:space="preserve">Comprehensive result </w:t>
            </w:r>
          </w:p>
        </w:tc>
        <w:tc>
          <w:tcPr>
            <w:tcW w:w="1045" w:type="dxa"/>
          </w:tcPr>
          <w:p w14:paraId="1FC415D0" w14:textId="77777777" w:rsidR="00B02873" w:rsidRPr="00EA5C92" w:rsidRDefault="00B02873" w:rsidP="00EA5C92">
            <w:pPr>
              <w:pStyle w:val="TablebodyleftFinancialsTables"/>
              <w:jc w:val="right"/>
              <w:rPr>
                <w:rFonts w:asciiTheme="minorHAnsi" w:hAnsiTheme="minorHAnsi" w:cstheme="minorHAnsi"/>
                <w:b/>
                <w:bCs/>
                <w:sz w:val="18"/>
                <w:szCs w:val="18"/>
              </w:rPr>
            </w:pPr>
            <w:r w:rsidRPr="00EA5C92">
              <w:rPr>
                <w:rFonts w:asciiTheme="minorHAnsi" w:hAnsiTheme="minorHAnsi" w:cstheme="minorHAnsi"/>
                <w:b/>
                <w:bCs/>
                <w:sz w:val="18"/>
                <w:szCs w:val="18"/>
              </w:rPr>
              <w:t>(11,199)</w:t>
            </w:r>
          </w:p>
        </w:tc>
        <w:tc>
          <w:tcPr>
            <w:tcW w:w="1134" w:type="dxa"/>
          </w:tcPr>
          <w:p w14:paraId="40858C07" w14:textId="77777777" w:rsidR="00B02873" w:rsidRPr="00EA5C92" w:rsidRDefault="00B02873" w:rsidP="00EA5C92">
            <w:pPr>
              <w:pStyle w:val="TablebodyleftFinancialsTables"/>
              <w:jc w:val="right"/>
              <w:rPr>
                <w:rFonts w:asciiTheme="minorHAnsi" w:hAnsiTheme="minorHAnsi" w:cstheme="minorHAnsi"/>
                <w:sz w:val="18"/>
                <w:szCs w:val="18"/>
              </w:rPr>
            </w:pPr>
            <w:r w:rsidRPr="00EA5C92">
              <w:rPr>
                <w:rFonts w:asciiTheme="minorHAnsi" w:hAnsiTheme="minorHAnsi" w:cstheme="minorHAnsi"/>
                <w:sz w:val="18"/>
                <w:szCs w:val="18"/>
              </w:rPr>
              <w:t>(6,860)</w:t>
            </w:r>
          </w:p>
        </w:tc>
        <w:tc>
          <w:tcPr>
            <w:tcW w:w="1276" w:type="dxa"/>
          </w:tcPr>
          <w:p w14:paraId="5E59BC9C" w14:textId="77777777" w:rsidR="00B02873" w:rsidRPr="00EA5C92" w:rsidRDefault="00B02873" w:rsidP="00EA5C92">
            <w:pPr>
              <w:pStyle w:val="TablebodyleftFinancialsTables"/>
              <w:jc w:val="right"/>
              <w:rPr>
                <w:rFonts w:asciiTheme="minorHAnsi" w:hAnsiTheme="minorHAnsi" w:cstheme="minorHAnsi"/>
                <w:b/>
                <w:bCs/>
                <w:sz w:val="18"/>
                <w:szCs w:val="18"/>
              </w:rPr>
            </w:pPr>
            <w:r w:rsidRPr="00EA5C92">
              <w:rPr>
                <w:rFonts w:asciiTheme="minorHAnsi" w:hAnsiTheme="minorHAnsi" w:cstheme="minorHAnsi"/>
                <w:b/>
                <w:bCs/>
                <w:sz w:val="18"/>
                <w:szCs w:val="18"/>
              </w:rPr>
              <w:t>1,233,793</w:t>
            </w:r>
          </w:p>
        </w:tc>
        <w:tc>
          <w:tcPr>
            <w:tcW w:w="1276" w:type="dxa"/>
          </w:tcPr>
          <w:p w14:paraId="33A5A53C" w14:textId="77777777" w:rsidR="00B02873" w:rsidRPr="00EA5C92" w:rsidRDefault="00B02873" w:rsidP="00EA5C92">
            <w:pPr>
              <w:pStyle w:val="TablebodyleftFinancialsTables"/>
              <w:jc w:val="right"/>
              <w:rPr>
                <w:rFonts w:asciiTheme="minorHAnsi" w:hAnsiTheme="minorHAnsi" w:cstheme="minorHAnsi"/>
                <w:sz w:val="18"/>
                <w:szCs w:val="18"/>
              </w:rPr>
            </w:pPr>
            <w:r w:rsidRPr="00EA5C92">
              <w:rPr>
                <w:rFonts w:asciiTheme="minorHAnsi" w:hAnsiTheme="minorHAnsi" w:cstheme="minorHAnsi"/>
                <w:sz w:val="18"/>
                <w:szCs w:val="18"/>
              </w:rPr>
              <w:t>1,445,907</w:t>
            </w:r>
          </w:p>
        </w:tc>
        <w:tc>
          <w:tcPr>
            <w:tcW w:w="1222" w:type="dxa"/>
          </w:tcPr>
          <w:p w14:paraId="74C0AC3C" w14:textId="77777777" w:rsidR="00B02873" w:rsidRPr="00EA5C92" w:rsidRDefault="00B02873" w:rsidP="00EA5C92">
            <w:pPr>
              <w:pStyle w:val="TablebodyleftFinancialsTables"/>
              <w:jc w:val="right"/>
              <w:rPr>
                <w:rFonts w:asciiTheme="minorHAnsi" w:hAnsiTheme="minorHAnsi" w:cstheme="minorHAnsi"/>
                <w:b/>
                <w:bCs/>
                <w:sz w:val="18"/>
                <w:szCs w:val="18"/>
              </w:rPr>
            </w:pPr>
            <w:r w:rsidRPr="00EA5C92">
              <w:rPr>
                <w:rFonts w:asciiTheme="minorHAnsi" w:hAnsiTheme="minorHAnsi" w:cstheme="minorHAnsi"/>
                <w:b/>
                <w:bCs/>
                <w:sz w:val="18"/>
                <w:szCs w:val="18"/>
              </w:rPr>
              <w:t>(10,446)</w:t>
            </w:r>
          </w:p>
        </w:tc>
        <w:tc>
          <w:tcPr>
            <w:tcW w:w="1329" w:type="dxa"/>
          </w:tcPr>
          <w:p w14:paraId="1E9C77E7" w14:textId="77777777" w:rsidR="00B02873" w:rsidRPr="00EA5C92" w:rsidRDefault="00B02873" w:rsidP="00EA5C92">
            <w:pPr>
              <w:pStyle w:val="TablebodyleftFinancialsTables"/>
              <w:jc w:val="right"/>
              <w:rPr>
                <w:rFonts w:asciiTheme="minorHAnsi" w:hAnsiTheme="minorHAnsi" w:cstheme="minorHAnsi"/>
                <w:sz w:val="18"/>
                <w:szCs w:val="18"/>
              </w:rPr>
            </w:pPr>
            <w:r w:rsidRPr="00EA5C92">
              <w:rPr>
                <w:rFonts w:asciiTheme="minorHAnsi" w:hAnsiTheme="minorHAnsi" w:cstheme="minorHAnsi"/>
                <w:sz w:val="18"/>
                <w:szCs w:val="18"/>
              </w:rPr>
              <w:t>(10,739)</w:t>
            </w:r>
          </w:p>
        </w:tc>
      </w:tr>
    </w:tbl>
    <w:p w14:paraId="4E7941F6" w14:textId="77777777" w:rsidR="00B02873" w:rsidRPr="0008483D" w:rsidRDefault="00B02873" w:rsidP="0008483D">
      <w:pPr>
        <w:pStyle w:val="SourceNote"/>
        <w:spacing w:after="120"/>
        <w:rPr>
          <w:b/>
          <w:bCs/>
        </w:rPr>
      </w:pPr>
      <w:r w:rsidRPr="0008483D">
        <w:rPr>
          <w:b/>
          <w:bCs/>
        </w:rPr>
        <w:t>Note:</w:t>
      </w:r>
    </w:p>
    <w:p w14:paraId="1CE46A50" w14:textId="7BB89C6C" w:rsidR="00B02873" w:rsidRDefault="00B02873" w:rsidP="001128B1">
      <w:pPr>
        <w:pStyle w:val="SourceNotenumbered"/>
        <w:numPr>
          <w:ilvl w:val="0"/>
          <w:numId w:val="79"/>
        </w:numPr>
      </w:pPr>
      <w:r>
        <w:t>Information about the objectives of these departmental outputs is located in the Report of Operations under the ‘Operational and budgetary objectives and performance against objectives’ section.</w:t>
      </w:r>
    </w:p>
    <w:p w14:paraId="01CF40C7" w14:textId="0193CDE2" w:rsidR="00B02873" w:rsidRDefault="00B02873" w:rsidP="00BD1F1E">
      <w:pPr>
        <w:pStyle w:val="SourceNotenumbered"/>
        <w:spacing w:after="200"/>
        <w:ind w:left="357" w:hanging="357"/>
      </w:pPr>
      <w:r>
        <w:t>In 2021 the Parks Victoria Output recorded an operating loss and negative cash and cash deposits due to grant payments to Parks Victoria from the Parks and Reserve Trust Account (PRTA) being incurred against the Parks Victoria Output while the Metropolitan Parks Improvement Rate was recorded under the Management of Public Land and Forests Output. In 2022, a transfer of cash and cash deposits from the Management of Public Land and Forests Output to the PV Output was processed to return the PV Output cash and cash deposits balance to surplus.</w:t>
      </w:r>
    </w:p>
    <w:p w14:paraId="06F4D13D" w14:textId="1E4E1226" w:rsidR="00B02873" w:rsidRDefault="00B02873" w:rsidP="0008483D">
      <w:pPr>
        <w:pStyle w:val="Heading4"/>
      </w:pPr>
      <w:r>
        <w:lastRenderedPageBreak/>
        <w:t>4.1.2 Departmental Outputs</w:t>
      </w:r>
      <w:r w:rsidR="000C45FC">
        <w:t xml:space="preserve"> – </w:t>
      </w:r>
      <w:r>
        <w:t>Controlled comprehensive operating statement (continued)</w:t>
      </w:r>
    </w:p>
    <w:tbl>
      <w:tblPr>
        <w:tblStyle w:val="TableGrid"/>
        <w:tblW w:w="9638" w:type="dxa"/>
        <w:tblLayout w:type="fixed"/>
        <w:tblLook w:val="0020" w:firstRow="1" w:lastRow="0" w:firstColumn="0" w:lastColumn="0" w:noHBand="0" w:noVBand="0"/>
      </w:tblPr>
      <w:tblGrid>
        <w:gridCol w:w="2608"/>
        <w:gridCol w:w="1077"/>
        <w:gridCol w:w="1191"/>
        <w:gridCol w:w="1190"/>
        <w:gridCol w:w="1191"/>
        <w:gridCol w:w="1190"/>
        <w:gridCol w:w="1191"/>
      </w:tblGrid>
      <w:tr w:rsidR="00B02873" w:rsidRPr="00B02873" w14:paraId="228C8FD7" w14:textId="77777777" w:rsidTr="00CB7F3B">
        <w:trPr>
          <w:cnfStyle w:val="100000000000" w:firstRow="1" w:lastRow="0" w:firstColumn="0" w:lastColumn="0" w:oddVBand="0" w:evenVBand="0" w:oddHBand="0" w:evenHBand="0" w:firstRowFirstColumn="0" w:firstRowLastColumn="0" w:lastRowFirstColumn="0" w:lastRowLastColumn="0"/>
          <w:trHeight w:val="60"/>
          <w:tblHeader/>
        </w:trPr>
        <w:tc>
          <w:tcPr>
            <w:tcW w:w="2608" w:type="dxa"/>
          </w:tcPr>
          <w:p w14:paraId="29481D9B" w14:textId="77777777" w:rsidR="00B02873" w:rsidRPr="00B02873" w:rsidRDefault="00B02873" w:rsidP="0008483D">
            <w:pPr>
              <w:pStyle w:val="TableheadingleftFinancialsTables"/>
            </w:pPr>
          </w:p>
        </w:tc>
        <w:tc>
          <w:tcPr>
            <w:tcW w:w="1077" w:type="dxa"/>
          </w:tcPr>
          <w:p w14:paraId="4EA48552" w14:textId="3CD9D5A4" w:rsidR="00B02873" w:rsidRPr="0008483D" w:rsidRDefault="0008483D" w:rsidP="0008483D">
            <w:pPr>
              <w:pStyle w:val="TableheadingleftFinancialsTables"/>
              <w:jc w:val="right"/>
            </w:pPr>
            <w:r w:rsidRPr="0008483D">
              <w:t>Climate Change</w:t>
            </w:r>
            <w:r w:rsidRPr="0008483D">
              <w:rPr>
                <w:vertAlign w:val="superscript"/>
              </w:rPr>
              <w:t xml:space="preserve">(i) </w:t>
            </w:r>
            <w:r w:rsidR="00B02873" w:rsidRPr="0008483D">
              <w:t>2022</w:t>
            </w:r>
            <w:r w:rsidR="00B02873" w:rsidRPr="0008483D">
              <w:br/>
              <w:t>$’000</w:t>
            </w:r>
          </w:p>
        </w:tc>
        <w:tc>
          <w:tcPr>
            <w:tcW w:w="1191" w:type="dxa"/>
          </w:tcPr>
          <w:p w14:paraId="189B759B" w14:textId="49B32E75" w:rsidR="00B02873" w:rsidRDefault="0008483D" w:rsidP="0008483D">
            <w:pPr>
              <w:pStyle w:val="TableheadingleftFinancialsTables"/>
              <w:jc w:val="right"/>
            </w:pPr>
            <w:r>
              <w:t>Climate Change</w:t>
            </w:r>
            <w:r>
              <w:rPr>
                <w:vertAlign w:val="superscript"/>
              </w:rPr>
              <w:t xml:space="preserve">(i) </w:t>
            </w:r>
            <w:r w:rsidR="00B02873">
              <w:t>2021</w:t>
            </w:r>
            <w:r w:rsidR="00B02873">
              <w:br/>
              <w:t>$’000</w:t>
            </w:r>
          </w:p>
        </w:tc>
        <w:tc>
          <w:tcPr>
            <w:tcW w:w="1190" w:type="dxa"/>
          </w:tcPr>
          <w:p w14:paraId="1EFB747B" w14:textId="04BC9F9A" w:rsidR="00B02873" w:rsidRPr="0008483D" w:rsidRDefault="0008483D" w:rsidP="0008483D">
            <w:pPr>
              <w:pStyle w:val="TableheadingleftFinancialsTables"/>
              <w:jc w:val="right"/>
            </w:pPr>
            <w:r w:rsidRPr="0008483D">
              <w:t>Solar Homes</w:t>
            </w:r>
            <w:r w:rsidRPr="0008483D">
              <w:rPr>
                <w:vertAlign w:val="superscript"/>
              </w:rPr>
              <w:t xml:space="preserve">(i) </w:t>
            </w:r>
            <w:r w:rsidR="00B02873" w:rsidRPr="0008483D">
              <w:t>2022</w:t>
            </w:r>
            <w:r w:rsidR="00B02873" w:rsidRPr="0008483D">
              <w:br/>
              <w:t>$’000</w:t>
            </w:r>
          </w:p>
        </w:tc>
        <w:tc>
          <w:tcPr>
            <w:tcW w:w="1191" w:type="dxa"/>
          </w:tcPr>
          <w:p w14:paraId="2FB05CDD" w14:textId="03C3F428" w:rsidR="00B02873" w:rsidRDefault="0008483D" w:rsidP="0008483D">
            <w:pPr>
              <w:pStyle w:val="TableheadingleftFinancialsTables"/>
              <w:jc w:val="right"/>
            </w:pPr>
            <w:r>
              <w:t>Solar Homes</w:t>
            </w:r>
            <w:r>
              <w:rPr>
                <w:vertAlign w:val="superscript"/>
              </w:rPr>
              <w:t xml:space="preserve">(i) </w:t>
            </w:r>
            <w:r w:rsidR="00B02873">
              <w:t>2021</w:t>
            </w:r>
            <w:r w:rsidR="00B02873">
              <w:br/>
              <w:t>$’000</w:t>
            </w:r>
          </w:p>
        </w:tc>
        <w:tc>
          <w:tcPr>
            <w:tcW w:w="1190" w:type="dxa"/>
          </w:tcPr>
          <w:p w14:paraId="1BE75D62" w14:textId="0BF2F2BC" w:rsidR="00B02873" w:rsidRPr="0008483D" w:rsidRDefault="0008483D" w:rsidP="0008483D">
            <w:pPr>
              <w:pStyle w:val="TableheadingleftFinancialsTables"/>
              <w:jc w:val="right"/>
            </w:pPr>
            <w:r w:rsidRPr="0008483D">
              <w:t>Parks Victoria</w:t>
            </w:r>
            <w:r w:rsidRPr="0008483D">
              <w:rPr>
                <w:vertAlign w:val="superscript"/>
              </w:rPr>
              <w:t xml:space="preserve">(i) (ii) </w:t>
            </w:r>
            <w:r w:rsidR="00B02873" w:rsidRPr="0008483D">
              <w:t>2022</w:t>
            </w:r>
            <w:r w:rsidR="00B02873" w:rsidRPr="0008483D">
              <w:br/>
              <w:t>$’000</w:t>
            </w:r>
          </w:p>
        </w:tc>
        <w:tc>
          <w:tcPr>
            <w:tcW w:w="1191" w:type="dxa"/>
          </w:tcPr>
          <w:p w14:paraId="15F63CF0" w14:textId="258179C4" w:rsidR="00B02873" w:rsidRDefault="0008483D" w:rsidP="0008483D">
            <w:pPr>
              <w:pStyle w:val="TableheadingleftFinancialsTables"/>
              <w:jc w:val="right"/>
            </w:pPr>
            <w:r>
              <w:t>Parks Victoria</w:t>
            </w:r>
            <w:r>
              <w:rPr>
                <w:vertAlign w:val="superscript"/>
              </w:rPr>
              <w:t xml:space="preserve">(i) (ii) </w:t>
            </w:r>
            <w:r w:rsidR="00B02873">
              <w:t xml:space="preserve">2021 </w:t>
            </w:r>
            <w:r w:rsidR="00B02873">
              <w:br/>
              <w:t>$’000</w:t>
            </w:r>
          </w:p>
        </w:tc>
      </w:tr>
      <w:tr w:rsidR="00B02873" w:rsidRPr="00B02873" w14:paraId="7D887168" w14:textId="77777777" w:rsidTr="0008483D">
        <w:trPr>
          <w:trHeight w:val="60"/>
        </w:trPr>
        <w:tc>
          <w:tcPr>
            <w:tcW w:w="2608" w:type="dxa"/>
          </w:tcPr>
          <w:p w14:paraId="0576FDFB" w14:textId="59ED581B" w:rsidR="00B02873" w:rsidRPr="0008483D" w:rsidRDefault="00B02873" w:rsidP="0008483D">
            <w:pPr>
              <w:pStyle w:val="TablebodyleftFinancialsTables"/>
              <w:rPr>
                <w:b/>
                <w:bCs/>
              </w:rPr>
            </w:pPr>
            <w:r w:rsidRPr="0008483D">
              <w:rPr>
                <w:b/>
                <w:bCs/>
              </w:rPr>
              <w:t xml:space="preserve">Revenue and income from transactions </w:t>
            </w:r>
          </w:p>
        </w:tc>
        <w:tc>
          <w:tcPr>
            <w:tcW w:w="1077" w:type="dxa"/>
          </w:tcPr>
          <w:p w14:paraId="40FA359D" w14:textId="77777777" w:rsidR="00B02873" w:rsidRPr="0008483D" w:rsidRDefault="00B02873" w:rsidP="0008483D">
            <w:pPr>
              <w:pStyle w:val="TablebodyleftFinancialsTables"/>
              <w:jc w:val="right"/>
              <w:rPr>
                <w:rFonts w:ascii="VIC Bold Italic" w:hAnsi="VIC Bold Italic" w:cs="Times New Roman"/>
                <w:b/>
                <w:bCs/>
              </w:rPr>
            </w:pPr>
          </w:p>
        </w:tc>
        <w:tc>
          <w:tcPr>
            <w:tcW w:w="1191" w:type="dxa"/>
          </w:tcPr>
          <w:p w14:paraId="59E7A10C" w14:textId="77777777" w:rsidR="00B02873" w:rsidRPr="00B02873" w:rsidRDefault="00B02873" w:rsidP="0008483D">
            <w:pPr>
              <w:pStyle w:val="TablebodyleftFinancialsTables"/>
              <w:jc w:val="right"/>
              <w:rPr>
                <w:rFonts w:ascii="VIC Bold Italic" w:hAnsi="VIC Bold Italic" w:cs="Times New Roman"/>
              </w:rPr>
            </w:pPr>
          </w:p>
        </w:tc>
        <w:tc>
          <w:tcPr>
            <w:tcW w:w="1190" w:type="dxa"/>
          </w:tcPr>
          <w:p w14:paraId="261A4179" w14:textId="77777777" w:rsidR="00B02873" w:rsidRPr="0008483D" w:rsidRDefault="00B02873" w:rsidP="0008483D">
            <w:pPr>
              <w:pStyle w:val="TablebodyleftFinancialsTables"/>
              <w:jc w:val="right"/>
              <w:rPr>
                <w:rFonts w:ascii="VIC Bold Italic" w:hAnsi="VIC Bold Italic" w:cs="Times New Roman"/>
                <w:b/>
                <w:bCs/>
              </w:rPr>
            </w:pPr>
          </w:p>
        </w:tc>
        <w:tc>
          <w:tcPr>
            <w:tcW w:w="1191" w:type="dxa"/>
          </w:tcPr>
          <w:p w14:paraId="584E78F3" w14:textId="77777777" w:rsidR="00B02873" w:rsidRPr="00B02873" w:rsidRDefault="00B02873" w:rsidP="0008483D">
            <w:pPr>
              <w:pStyle w:val="TablebodyleftFinancialsTables"/>
              <w:jc w:val="right"/>
              <w:rPr>
                <w:rFonts w:ascii="VIC Bold Italic" w:hAnsi="VIC Bold Italic" w:cs="Times New Roman"/>
              </w:rPr>
            </w:pPr>
          </w:p>
        </w:tc>
        <w:tc>
          <w:tcPr>
            <w:tcW w:w="1190" w:type="dxa"/>
          </w:tcPr>
          <w:p w14:paraId="5582F2BE" w14:textId="77777777" w:rsidR="00B02873" w:rsidRPr="0008483D" w:rsidRDefault="00B02873" w:rsidP="0008483D">
            <w:pPr>
              <w:pStyle w:val="TablebodyleftFinancialsTables"/>
              <w:jc w:val="right"/>
              <w:rPr>
                <w:rFonts w:ascii="VIC Bold Italic" w:hAnsi="VIC Bold Italic" w:cs="Times New Roman"/>
                <w:b/>
                <w:bCs/>
              </w:rPr>
            </w:pPr>
          </w:p>
        </w:tc>
        <w:tc>
          <w:tcPr>
            <w:tcW w:w="1191" w:type="dxa"/>
          </w:tcPr>
          <w:p w14:paraId="1BA75584" w14:textId="77777777" w:rsidR="00B02873" w:rsidRPr="00B02873" w:rsidRDefault="00B02873" w:rsidP="0008483D">
            <w:pPr>
              <w:pStyle w:val="TablebodyleftFinancialsTables"/>
              <w:jc w:val="right"/>
              <w:rPr>
                <w:rFonts w:ascii="VIC Bold Italic" w:hAnsi="VIC Bold Italic" w:cs="Times New Roman"/>
              </w:rPr>
            </w:pPr>
          </w:p>
        </w:tc>
      </w:tr>
      <w:tr w:rsidR="00B02873" w:rsidRPr="00B02873" w14:paraId="4732D036" w14:textId="77777777" w:rsidTr="0008483D">
        <w:trPr>
          <w:trHeight w:val="60"/>
        </w:trPr>
        <w:tc>
          <w:tcPr>
            <w:tcW w:w="2608" w:type="dxa"/>
          </w:tcPr>
          <w:p w14:paraId="7673956B" w14:textId="77777777" w:rsidR="00B02873" w:rsidRDefault="00B02873" w:rsidP="0008483D">
            <w:pPr>
              <w:pStyle w:val="TablebodyleftFinancialsTables"/>
            </w:pPr>
            <w:r>
              <w:t>Output appropriations</w:t>
            </w:r>
          </w:p>
        </w:tc>
        <w:tc>
          <w:tcPr>
            <w:tcW w:w="1077" w:type="dxa"/>
          </w:tcPr>
          <w:p w14:paraId="4B3826C7" w14:textId="77777777" w:rsidR="00B02873" w:rsidRPr="0008483D" w:rsidRDefault="00B02873" w:rsidP="0008483D">
            <w:pPr>
              <w:pStyle w:val="TablebodyleftFinancialsTables"/>
              <w:jc w:val="right"/>
              <w:rPr>
                <w:b/>
                <w:bCs/>
              </w:rPr>
            </w:pPr>
            <w:r w:rsidRPr="0008483D">
              <w:rPr>
                <w:b/>
                <w:bCs/>
              </w:rPr>
              <w:t>21,974</w:t>
            </w:r>
          </w:p>
        </w:tc>
        <w:tc>
          <w:tcPr>
            <w:tcW w:w="1191" w:type="dxa"/>
          </w:tcPr>
          <w:p w14:paraId="44347257" w14:textId="77777777" w:rsidR="00B02873" w:rsidRDefault="00B02873" w:rsidP="0008483D">
            <w:pPr>
              <w:pStyle w:val="TablebodyleftFinancialsTables"/>
              <w:jc w:val="right"/>
            </w:pPr>
            <w:r>
              <w:t>17,699</w:t>
            </w:r>
          </w:p>
        </w:tc>
        <w:tc>
          <w:tcPr>
            <w:tcW w:w="1190" w:type="dxa"/>
          </w:tcPr>
          <w:p w14:paraId="2B13497A" w14:textId="77777777" w:rsidR="00B02873" w:rsidRPr="0008483D" w:rsidRDefault="00B02873" w:rsidP="0008483D">
            <w:pPr>
              <w:pStyle w:val="TablebodyleftFinancialsTables"/>
              <w:jc w:val="right"/>
              <w:rPr>
                <w:b/>
                <w:bCs/>
              </w:rPr>
            </w:pPr>
            <w:r w:rsidRPr="0008483D">
              <w:rPr>
                <w:b/>
                <w:bCs/>
              </w:rPr>
              <w:t>178,137</w:t>
            </w:r>
          </w:p>
        </w:tc>
        <w:tc>
          <w:tcPr>
            <w:tcW w:w="1191" w:type="dxa"/>
          </w:tcPr>
          <w:p w14:paraId="1DF686F1" w14:textId="77777777" w:rsidR="00B02873" w:rsidRDefault="00B02873" w:rsidP="0008483D">
            <w:pPr>
              <w:pStyle w:val="TablebodyleftFinancialsTables"/>
              <w:jc w:val="right"/>
            </w:pPr>
            <w:r>
              <w:t>222,181</w:t>
            </w:r>
          </w:p>
        </w:tc>
        <w:tc>
          <w:tcPr>
            <w:tcW w:w="1190" w:type="dxa"/>
          </w:tcPr>
          <w:p w14:paraId="15A3992E" w14:textId="77777777" w:rsidR="00B02873" w:rsidRPr="0008483D" w:rsidRDefault="00B02873" w:rsidP="0008483D">
            <w:pPr>
              <w:pStyle w:val="TablebodyleftFinancialsTables"/>
              <w:jc w:val="right"/>
              <w:rPr>
                <w:b/>
                <w:bCs/>
              </w:rPr>
            </w:pPr>
            <w:r w:rsidRPr="0008483D">
              <w:rPr>
                <w:b/>
                <w:bCs/>
              </w:rPr>
              <w:t>56,638</w:t>
            </w:r>
          </w:p>
        </w:tc>
        <w:tc>
          <w:tcPr>
            <w:tcW w:w="1191" w:type="dxa"/>
          </w:tcPr>
          <w:p w14:paraId="40383415" w14:textId="77777777" w:rsidR="00B02873" w:rsidRDefault="00B02873" w:rsidP="0008483D">
            <w:pPr>
              <w:pStyle w:val="TablebodyleftFinancialsTables"/>
              <w:jc w:val="right"/>
            </w:pPr>
            <w:r>
              <w:t>55,367</w:t>
            </w:r>
          </w:p>
        </w:tc>
      </w:tr>
      <w:tr w:rsidR="00B02873" w:rsidRPr="00B02873" w14:paraId="3AB4CABE" w14:textId="77777777" w:rsidTr="0008483D">
        <w:trPr>
          <w:trHeight w:val="60"/>
        </w:trPr>
        <w:tc>
          <w:tcPr>
            <w:tcW w:w="2608" w:type="dxa"/>
          </w:tcPr>
          <w:p w14:paraId="036A8582" w14:textId="77777777" w:rsidR="00B02873" w:rsidRDefault="00B02873" w:rsidP="0008483D">
            <w:pPr>
              <w:pStyle w:val="TablebodyleftFinancialsTables"/>
            </w:pPr>
            <w:r>
              <w:t>Special appropriations</w:t>
            </w:r>
          </w:p>
        </w:tc>
        <w:tc>
          <w:tcPr>
            <w:tcW w:w="1077" w:type="dxa"/>
          </w:tcPr>
          <w:p w14:paraId="28907032" w14:textId="77777777" w:rsidR="00B02873" w:rsidRPr="0008483D" w:rsidRDefault="00B02873" w:rsidP="0008483D">
            <w:pPr>
              <w:pStyle w:val="TablebodyleftFinancialsTables"/>
              <w:jc w:val="right"/>
              <w:rPr>
                <w:b/>
                <w:bCs/>
              </w:rPr>
            </w:pPr>
            <w:r w:rsidRPr="0008483D">
              <w:rPr>
                <w:b/>
                <w:bCs/>
              </w:rPr>
              <w:t>–</w:t>
            </w:r>
          </w:p>
        </w:tc>
        <w:tc>
          <w:tcPr>
            <w:tcW w:w="1191" w:type="dxa"/>
          </w:tcPr>
          <w:p w14:paraId="482CE8D5" w14:textId="77777777" w:rsidR="00B02873" w:rsidRDefault="00B02873" w:rsidP="0008483D">
            <w:pPr>
              <w:pStyle w:val="TablebodyleftFinancialsTables"/>
              <w:jc w:val="right"/>
            </w:pPr>
            <w:r>
              <w:t>–</w:t>
            </w:r>
          </w:p>
        </w:tc>
        <w:tc>
          <w:tcPr>
            <w:tcW w:w="1190" w:type="dxa"/>
          </w:tcPr>
          <w:p w14:paraId="7DED15D5" w14:textId="77777777" w:rsidR="00B02873" w:rsidRPr="0008483D" w:rsidRDefault="00B02873" w:rsidP="0008483D">
            <w:pPr>
              <w:pStyle w:val="TablebodyleftFinancialsTables"/>
              <w:jc w:val="right"/>
              <w:rPr>
                <w:b/>
                <w:bCs/>
              </w:rPr>
            </w:pPr>
            <w:r w:rsidRPr="0008483D">
              <w:rPr>
                <w:b/>
                <w:bCs/>
              </w:rPr>
              <w:t>–</w:t>
            </w:r>
          </w:p>
        </w:tc>
        <w:tc>
          <w:tcPr>
            <w:tcW w:w="1191" w:type="dxa"/>
          </w:tcPr>
          <w:p w14:paraId="0B6B8026" w14:textId="77777777" w:rsidR="00B02873" w:rsidRDefault="00B02873" w:rsidP="0008483D">
            <w:pPr>
              <w:pStyle w:val="TablebodyleftFinancialsTables"/>
              <w:jc w:val="right"/>
            </w:pPr>
            <w:r>
              <w:t>–</w:t>
            </w:r>
          </w:p>
        </w:tc>
        <w:tc>
          <w:tcPr>
            <w:tcW w:w="1190" w:type="dxa"/>
          </w:tcPr>
          <w:p w14:paraId="361FD758" w14:textId="77777777" w:rsidR="00B02873" w:rsidRPr="0008483D" w:rsidRDefault="00B02873" w:rsidP="0008483D">
            <w:pPr>
              <w:pStyle w:val="TablebodyleftFinancialsTables"/>
              <w:jc w:val="right"/>
              <w:rPr>
                <w:b/>
                <w:bCs/>
              </w:rPr>
            </w:pPr>
            <w:r w:rsidRPr="0008483D">
              <w:rPr>
                <w:b/>
                <w:bCs/>
              </w:rPr>
              <w:t>–</w:t>
            </w:r>
          </w:p>
        </w:tc>
        <w:tc>
          <w:tcPr>
            <w:tcW w:w="1191" w:type="dxa"/>
          </w:tcPr>
          <w:p w14:paraId="7E9524E1" w14:textId="77777777" w:rsidR="00B02873" w:rsidRDefault="00B02873" w:rsidP="0008483D">
            <w:pPr>
              <w:pStyle w:val="TablebodyleftFinancialsTables"/>
              <w:jc w:val="right"/>
            </w:pPr>
            <w:r>
              <w:t>–</w:t>
            </w:r>
          </w:p>
        </w:tc>
      </w:tr>
      <w:tr w:rsidR="00B02873" w:rsidRPr="00B02873" w14:paraId="2F23190A" w14:textId="77777777" w:rsidTr="0008483D">
        <w:trPr>
          <w:trHeight w:val="60"/>
        </w:trPr>
        <w:tc>
          <w:tcPr>
            <w:tcW w:w="2608" w:type="dxa"/>
          </w:tcPr>
          <w:p w14:paraId="44D2B05E" w14:textId="77777777" w:rsidR="00B02873" w:rsidRDefault="00B02873" w:rsidP="0008483D">
            <w:pPr>
              <w:pStyle w:val="TablebodyleftFinancialsTables"/>
            </w:pPr>
            <w:r>
              <w:t>Sale of goods and services</w:t>
            </w:r>
          </w:p>
        </w:tc>
        <w:tc>
          <w:tcPr>
            <w:tcW w:w="1077" w:type="dxa"/>
          </w:tcPr>
          <w:p w14:paraId="61C4DBB7" w14:textId="2042AAE8" w:rsidR="00B02873" w:rsidRPr="0008483D" w:rsidRDefault="00B02873" w:rsidP="0008483D">
            <w:pPr>
              <w:pStyle w:val="TablebodyleftFinancialsTables"/>
              <w:jc w:val="right"/>
              <w:rPr>
                <w:b/>
                <w:bCs/>
              </w:rPr>
            </w:pPr>
            <w:r w:rsidRPr="0008483D">
              <w:rPr>
                <w:b/>
                <w:bCs/>
              </w:rPr>
              <w:t>648</w:t>
            </w:r>
          </w:p>
        </w:tc>
        <w:tc>
          <w:tcPr>
            <w:tcW w:w="1191" w:type="dxa"/>
          </w:tcPr>
          <w:p w14:paraId="582DE5F4" w14:textId="77777777" w:rsidR="00B02873" w:rsidRDefault="00B02873" w:rsidP="0008483D">
            <w:pPr>
              <w:pStyle w:val="TablebodyleftFinancialsTables"/>
              <w:jc w:val="right"/>
            </w:pPr>
            <w:r>
              <w:t>209</w:t>
            </w:r>
          </w:p>
        </w:tc>
        <w:tc>
          <w:tcPr>
            <w:tcW w:w="1190" w:type="dxa"/>
          </w:tcPr>
          <w:p w14:paraId="73DB9FBF" w14:textId="77777777" w:rsidR="00B02873" w:rsidRPr="0008483D" w:rsidRDefault="00B02873" w:rsidP="0008483D">
            <w:pPr>
              <w:pStyle w:val="TablebodyleftFinancialsTables"/>
              <w:jc w:val="right"/>
              <w:rPr>
                <w:b/>
                <w:bCs/>
              </w:rPr>
            </w:pPr>
            <w:r w:rsidRPr="0008483D">
              <w:rPr>
                <w:b/>
                <w:bCs/>
              </w:rPr>
              <w:t>9</w:t>
            </w:r>
          </w:p>
        </w:tc>
        <w:tc>
          <w:tcPr>
            <w:tcW w:w="1191" w:type="dxa"/>
          </w:tcPr>
          <w:p w14:paraId="4B8C67FC" w14:textId="77777777" w:rsidR="00B02873" w:rsidRDefault="00B02873" w:rsidP="0008483D">
            <w:pPr>
              <w:pStyle w:val="TablebodyleftFinancialsTables"/>
              <w:jc w:val="right"/>
            </w:pPr>
            <w:r>
              <w:t>81</w:t>
            </w:r>
          </w:p>
        </w:tc>
        <w:tc>
          <w:tcPr>
            <w:tcW w:w="1190" w:type="dxa"/>
          </w:tcPr>
          <w:p w14:paraId="647E034A" w14:textId="77777777" w:rsidR="00B02873" w:rsidRPr="0008483D" w:rsidRDefault="00B02873" w:rsidP="0008483D">
            <w:pPr>
              <w:pStyle w:val="TablebodyleftFinancialsTables"/>
              <w:jc w:val="right"/>
              <w:rPr>
                <w:b/>
                <w:bCs/>
              </w:rPr>
            </w:pPr>
            <w:r w:rsidRPr="0008483D">
              <w:rPr>
                <w:b/>
                <w:bCs/>
              </w:rPr>
              <w:t>4</w:t>
            </w:r>
          </w:p>
        </w:tc>
        <w:tc>
          <w:tcPr>
            <w:tcW w:w="1191" w:type="dxa"/>
          </w:tcPr>
          <w:p w14:paraId="5151186E" w14:textId="77777777" w:rsidR="00B02873" w:rsidRDefault="00B02873" w:rsidP="0008483D">
            <w:pPr>
              <w:pStyle w:val="TablebodyleftFinancialsTables"/>
              <w:jc w:val="right"/>
            </w:pPr>
            <w:r>
              <w:t>24</w:t>
            </w:r>
          </w:p>
        </w:tc>
      </w:tr>
      <w:tr w:rsidR="00B02873" w:rsidRPr="00B02873" w14:paraId="431BBCD2" w14:textId="77777777" w:rsidTr="0008483D">
        <w:trPr>
          <w:trHeight w:val="60"/>
        </w:trPr>
        <w:tc>
          <w:tcPr>
            <w:tcW w:w="2608" w:type="dxa"/>
          </w:tcPr>
          <w:p w14:paraId="70846FBE" w14:textId="77777777" w:rsidR="00B02873" w:rsidRDefault="00B02873" w:rsidP="0008483D">
            <w:pPr>
              <w:pStyle w:val="TablebodyleftFinancialsTables"/>
            </w:pPr>
            <w:r>
              <w:t>Municipal and Industrial Waste Levy</w:t>
            </w:r>
          </w:p>
        </w:tc>
        <w:tc>
          <w:tcPr>
            <w:tcW w:w="1077" w:type="dxa"/>
          </w:tcPr>
          <w:p w14:paraId="23BFC76F" w14:textId="77777777" w:rsidR="00B02873" w:rsidRPr="0008483D" w:rsidRDefault="00B02873" w:rsidP="0008483D">
            <w:pPr>
              <w:pStyle w:val="TablebodyleftFinancialsTables"/>
              <w:jc w:val="right"/>
              <w:rPr>
                <w:b/>
                <w:bCs/>
              </w:rPr>
            </w:pPr>
            <w:r w:rsidRPr="0008483D">
              <w:rPr>
                <w:b/>
                <w:bCs/>
              </w:rPr>
              <w:t>–</w:t>
            </w:r>
          </w:p>
        </w:tc>
        <w:tc>
          <w:tcPr>
            <w:tcW w:w="1191" w:type="dxa"/>
          </w:tcPr>
          <w:p w14:paraId="0F52A719" w14:textId="77777777" w:rsidR="00B02873" w:rsidRDefault="00B02873" w:rsidP="0008483D">
            <w:pPr>
              <w:pStyle w:val="TablebodyleftFinancialsTables"/>
              <w:jc w:val="right"/>
            </w:pPr>
            <w:r>
              <w:t>–</w:t>
            </w:r>
          </w:p>
        </w:tc>
        <w:tc>
          <w:tcPr>
            <w:tcW w:w="1190" w:type="dxa"/>
          </w:tcPr>
          <w:p w14:paraId="70E11F47" w14:textId="77777777" w:rsidR="00B02873" w:rsidRPr="0008483D" w:rsidRDefault="00B02873" w:rsidP="0008483D">
            <w:pPr>
              <w:pStyle w:val="TablebodyleftFinancialsTables"/>
              <w:jc w:val="right"/>
              <w:rPr>
                <w:b/>
                <w:bCs/>
              </w:rPr>
            </w:pPr>
            <w:r w:rsidRPr="0008483D">
              <w:rPr>
                <w:b/>
                <w:bCs/>
              </w:rPr>
              <w:t>–</w:t>
            </w:r>
          </w:p>
        </w:tc>
        <w:tc>
          <w:tcPr>
            <w:tcW w:w="1191" w:type="dxa"/>
          </w:tcPr>
          <w:p w14:paraId="0779E5A6" w14:textId="77777777" w:rsidR="00B02873" w:rsidRDefault="00B02873" w:rsidP="0008483D">
            <w:pPr>
              <w:pStyle w:val="TablebodyleftFinancialsTables"/>
              <w:jc w:val="right"/>
            </w:pPr>
            <w:r>
              <w:t>–</w:t>
            </w:r>
          </w:p>
        </w:tc>
        <w:tc>
          <w:tcPr>
            <w:tcW w:w="1190" w:type="dxa"/>
          </w:tcPr>
          <w:p w14:paraId="6A6BD8B6" w14:textId="77777777" w:rsidR="00B02873" w:rsidRPr="0008483D" w:rsidRDefault="00B02873" w:rsidP="0008483D">
            <w:pPr>
              <w:pStyle w:val="TablebodyleftFinancialsTables"/>
              <w:jc w:val="right"/>
              <w:rPr>
                <w:b/>
                <w:bCs/>
              </w:rPr>
            </w:pPr>
            <w:r w:rsidRPr="0008483D">
              <w:rPr>
                <w:b/>
                <w:bCs/>
              </w:rPr>
              <w:t>–</w:t>
            </w:r>
          </w:p>
        </w:tc>
        <w:tc>
          <w:tcPr>
            <w:tcW w:w="1191" w:type="dxa"/>
          </w:tcPr>
          <w:p w14:paraId="46659BED" w14:textId="77777777" w:rsidR="00B02873" w:rsidRDefault="00B02873" w:rsidP="0008483D">
            <w:pPr>
              <w:pStyle w:val="TablebodyleftFinancialsTables"/>
              <w:jc w:val="right"/>
            </w:pPr>
            <w:r>
              <w:t>–</w:t>
            </w:r>
          </w:p>
        </w:tc>
      </w:tr>
      <w:tr w:rsidR="00B02873" w:rsidRPr="00B02873" w14:paraId="58BB5480" w14:textId="77777777" w:rsidTr="0008483D">
        <w:trPr>
          <w:trHeight w:val="60"/>
        </w:trPr>
        <w:tc>
          <w:tcPr>
            <w:tcW w:w="2608" w:type="dxa"/>
          </w:tcPr>
          <w:p w14:paraId="1A27A972" w14:textId="77777777" w:rsidR="00B02873" w:rsidRDefault="00B02873" w:rsidP="0008483D">
            <w:pPr>
              <w:pStyle w:val="TablebodyleftFinancialsTables"/>
            </w:pPr>
            <w:r>
              <w:t>Metropolitan Parks Improvement Rate</w:t>
            </w:r>
          </w:p>
        </w:tc>
        <w:tc>
          <w:tcPr>
            <w:tcW w:w="1077" w:type="dxa"/>
          </w:tcPr>
          <w:p w14:paraId="7E9C3621" w14:textId="77777777" w:rsidR="00B02873" w:rsidRPr="0008483D" w:rsidRDefault="00B02873" w:rsidP="0008483D">
            <w:pPr>
              <w:pStyle w:val="TablebodyleftFinancialsTables"/>
              <w:jc w:val="right"/>
              <w:rPr>
                <w:b/>
                <w:bCs/>
              </w:rPr>
            </w:pPr>
            <w:r w:rsidRPr="0008483D">
              <w:rPr>
                <w:b/>
                <w:bCs/>
              </w:rPr>
              <w:t>–</w:t>
            </w:r>
          </w:p>
        </w:tc>
        <w:tc>
          <w:tcPr>
            <w:tcW w:w="1191" w:type="dxa"/>
          </w:tcPr>
          <w:p w14:paraId="49D58746" w14:textId="77777777" w:rsidR="00B02873" w:rsidRDefault="00B02873" w:rsidP="0008483D">
            <w:pPr>
              <w:pStyle w:val="TablebodyleftFinancialsTables"/>
              <w:jc w:val="right"/>
            </w:pPr>
            <w:r>
              <w:t>–</w:t>
            </w:r>
          </w:p>
        </w:tc>
        <w:tc>
          <w:tcPr>
            <w:tcW w:w="1190" w:type="dxa"/>
          </w:tcPr>
          <w:p w14:paraId="1FB368DD" w14:textId="77777777" w:rsidR="00B02873" w:rsidRPr="0008483D" w:rsidRDefault="00B02873" w:rsidP="0008483D">
            <w:pPr>
              <w:pStyle w:val="TablebodyleftFinancialsTables"/>
              <w:jc w:val="right"/>
              <w:rPr>
                <w:b/>
                <w:bCs/>
              </w:rPr>
            </w:pPr>
            <w:r w:rsidRPr="0008483D">
              <w:rPr>
                <w:b/>
                <w:bCs/>
              </w:rPr>
              <w:t>–</w:t>
            </w:r>
          </w:p>
        </w:tc>
        <w:tc>
          <w:tcPr>
            <w:tcW w:w="1191" w:type="dxa"/>
          </w:tcPr>
          <w:p w14:paraId="40CAB75C" w14:textId="77777777" w:rsidR="00B02873" w:rsidRDefault="00B02873" w:rsidP="0008483D">
            <w:pPr>
              <w:pStyle w:val="TablebodyleftFinancialsTables"/>
              <w:jc w:val="right"/>
            </w:pPr>
            <w:r>
              <w:t>–</w:t>
            </w:r>
          </w:p>
        </w:tc>
        <w:tc>
          <w:tcPr>
            <w:tcW w:w="1190" w:type="dxa"/>
          </w:tcPr>
          <w:p w14:paraId="3BE90C6E" w14:textId="77777777" w:rsidR="00B02873" w:rsidRPr="0008483D" w:rsidRDefault="00B02873" w:rsidP="0008483D">
            <w:pPr>
              <w:pStyle w:val="TablebodyleftFinancialsTables"/>
              <w:jc w:val="right"/>
              <w:rPr>
                <w:b/>
                <w:bCs/>
              </w:rPr>
            </w:pPr>
            <w:r w:rsidRPr="0008483D">
              <w:rPr>
                <w:b/>
                <w:bCs/>
              </w:rPr>
              <w:t>98,247</w:t>
            </w:r>
          </w:p>
        </w:tc>
        <w:tc>
          <w:tcPr>
            <w:tcW w:w="1191" w:type="dxa"/>
          </w:tcPr>
          <w:p w14:paraId="768EA0CA" w14:textId="77777777" w:rsidR="00B02873" w:rsidRDefault="00B02873" w:rsidP="0008483D">
            <w:pPr>
              <w:pStyle w:val="TablebodyleftFinancialsTables"/>
              <w:jc w:val="right"/>
            </w:pPr>
            <w:r>
              <w:t>–</w:t>
            </w:r>
          </w:p>
        </w:tc>
      </w:tr>
      <w:tr w:rsidR="00B02873" w:rsidRPr="00B02873" w14:paraId="6D153AC7" w14:textId="77777777" w:rsidTr="0008483D">
        <w:trPr>
          <w:trHeight w:val="60"/>
        </w:trPr>
        <w:tc>
          <w:tcPr>
            <w:tcW w:w="2608" w:type="dxa"/>
          </w:tcPr>
          <w:p w14:paraId="25A59ABA" w14:textId="77777777" w:rsidR="00B02873" w:rsidRDefault="00B02873" w:rsidP="0008483D">
            <w:pPr>
              <w:pStyle w:val="TablebodyleftFinancialsTables"/>
            </w:pPr>
            <w:r>
              <w:t>Grants</w:t>
            </w:r>
          </w:p>
        </w:tc>
        <w:tc>
          <w:tcPr>
            <w:tcW w:w="1077" w:type="dxa"/>
          </w:tcPr>
          <w:p w14:paraId="5D2D9E72" w14:textId="77777777" w:rsidR="00B02873" w:rsidRPr="0008483D" w:rsidRDefault="00B02873" w:rsidP="0008483D">
            <w:pPr>
              <w:pStyle w:val="TablebodyleftFinancialsTables"/>
              <w:jc w:val="right"/>
              <w:rPr>
                <w:b/>
                <w:bCs/>
              </w:rPr>
            </w:pPr>
            <w:r w:rsidRPr="0008483D">
              <w:rPr>
                <w:b/>
                <w:bCs/>
              </w:rPr>
              <w:t>333</w:t>
            </w:r>
          </w:p>
        </w:tc>
        <w:tc>
          <w:tcPr>
            <w:tcW w:w="1191" w:type="dxa"/>
          </w:tcPr>
          <w:p w14:paraId="3A246331" w14:textId="77777777" w:rsidR="00B02873" w:rsidRDefault="00B02873" w:rsidP="0008483D">
            <w:pPr>
              <w:pStyle w:val="TablebodyleftFinancialsTables"/>
              <w:jc w:val="right"/>
            </w:pPr>
            <w:r>
              <w:t>261</w:t>
            </w:r>
          </w:p>
        </w:tc>
        <w:tc>
          <w:tcPr>
            <w:tcW w:w="1190" w:type="dxa"/>
          </w:tcPr>
          <w:p w14:paraId="20FE183C" w14:textId="77777777" w:rsidR="00B02873" w:rsidRPr="0008483D" w:rsidRDefault="00B02873" w:rsidP="0008483D">
            <w:pPr>
              <w:pStyle w:val="TablebodyleftFinancialsTables"/>
              <w:jc w:val="right"/>
              <w:rPr>
                <w:b/>
                <w:bCs/>
              </w:rPr>
            </w:pPr>
            <w:r w:rsidRPr="0008483D">
              <w:rPr>
                <w:b/>
                <w:bCs/>
              </w:rPr>
              <w:t>10</w:t>
            </w:r>
          </w:p>
        </w:tc>
        <w:tc>
          <w:tcPr>
            <w:tcW w:w="1191" w:type="dxa"/>
          </w:tcPr>
          <w:p w14:paraId="4EF46992" w14:textId="77777777" w:rsidR="00B02873" w:rsidRDefault="00B02873" w:rsidP="0008483D">
            <w:pPr>
              <w:pStyle w:val="TablebodyleftFinancialsTables"/>
              <w:jc w:val="right"/>
            </w:pPr>
            <w:r>
              <w:t>651</w:t>
            </w:r>
          </w:p>
        </w:tc>
        <w:tc>
          <w:tcPr>
            <w:tcW w:w="1190" w:type="dxa"/>
          </w:tcPr>
          <w:p w14:paraId="1182F396" w14:textId="77777777" w:rsidR="00B02873" w:rsidRPr="0008483D" w:rsidRDefault="00B02873" w:rsidP="0008483D">
            <w:pPr>
              <w:pStyle w:val="TablebodyleftFinancialsTables"/>
              <w:jc w:val="right"/>
              <w:rPr>
                <w:b/>
                <w:bCs/>
              </w:rPr>
            </w:pPr>
            <w:r w:rsidRPr="0008483D">
              <w:rPr>
                <w:b/>
                <w:bCs/>
              </w:rPr>
              <w:t>5</w:t>
            </w:r>
          </w:p>
        </w:tc>
        <w:tc>
          <w:tcPr>
            <w:tcW w:w="1191" w:type="dxa"/>
          </w:tcPr>
          <w:p w14:paraId="67C78A65" w14:textId="77777777" w:rsidR="00B02873" w:rsidRDefault="00B02873" w:rsidP="0008483D">
            <w:pPr>
              <w:pStyle w:val="TablebodyleftFinancialsTables"/>
              <w:jc w:val="right"/>
            </w:pPr>
            <w:r>
              <w:t>195</w:t>
            </w:r>
          </w:p>
        </w:tc>
      </w:tr>
      <w:tr w:rsidR="00B02873" w:rsidRPr="00B02873" w14:paraId="4B40E1E4" w14:textId="77777777" w:rsidTr="0008483D">
        <w:trPr>
          <w:trHeight w:val="60"/>
        </w:trPr>
        <w:tc>
          <w:tcPr>
            <w:tcW w:w="2608" w:type="dxa"/>
          </w:tcPr>
          <w:p w14:paraId="627CC852" w14:textId="77777777" w:rsidR="00B02873" w:rsidRDefault="00B02873" w:rsidP="0008483D">
            <w:pPr>
              <w:pStyle w:val="TablebodyleftFinancialsTables"/>
            </w:pPr>
            <w:r>
              <w:t>Interest income</w:t>
            </w:r>
          </w:p>
        </w:tc>
        <w:tc>
          <w:tcPr>
            <w:tcW w:w="1077" w:type="dxa"/>
          </w:tcPr>
          <w:p w14:paraId="681DDE82" w14:textId="77777777" w:rsidR="00B02873" w:rsidRPr="0008483D" w:rsidRDefault="00B02873" w:rsidP="0008483D">
            <w:pPr>
              <w:pStyle w:val="TablebodyleftFinancialsTables"/>
              <w:jc w:val="right"/>
              <w:rPr>
                <w:b/>
                <w:bCs/>
              </w:rPr>
            </w:pPr>
            <w:r w:rsidRPr="0008483D">
              <w:rPr>
                <w:b/>
                <w:bCs/>
              </w:rPr>
              <w:t>–</w:t>
            </w:r>
          </w:p>
        </w:tc>
        <w:tc>
          <w:tcPr>
            <w:tcW w:w="1191" w:type="dxa"/>
          </w:tcPr>
          <w:p w14:paraId="5CEE1092" w14:textId="77777777" w:rsidR="00B02873" w:rsidRDefault="00B02873" w:rsidP="0008483D">
            <w:pPr>
              <w:pStyle w:val="TablebodyleftFinancialsTables"/>
              <w:jc w:val="right"/>
            </w:pPr>
            <w:r>
              <w:t>45</w:t>
            </w:r>
          </w:p>
        </w:tc>
        <w:tc>
          <w:tcPr>
            <w:tcW w:w="1190" w:type="dxa"/>
          </w:tcPr>
          <w:p w14:paraId="33FE87BB" w14:textId="77777777" w:rsidR="00B02873" w:rsidRPr="0008483D" w:rsidRDefault="00B02873" w:rsidP="0008483D">
            <w:pPr>
              <w:pStyle w:val="TablebodyleftFinancialsTables"/>
              <w:jc w:val="right"/>
              <w:rPr>
                <w:b/>
                <w:bCs/>
              </w:rPr>
            </w:pPr>
            <w:r w:rsidRPr="0008483D">
              <w:rPr>
                <w:b/>
                <w:bCs/>
              </w:rPr>
              <w:t>7,790</w:t>
            </w:r>
          </w:p>
        </w:tc>
        <w:tc>
          <w:tcPr>
            <w:tcW w:w="1191" w:type="dxa"/>
          </w:tcPr>
          <w:p w14:paraId="46A9F0D7" w14:textId="77777777" w:rsidR="00B02873" w:rsidRDefault="00B02873" w:rsidP="0008483D">
            <w:pPr>
              <w:pStyle w:val="TablebodyleftFinancialsTables"/>
              <w:jc w:val="right"/>
            </w:pPr>
            <w:r>
              <w:t>5,347</w:t>
            </w:r>
          </w:p>
        </w:tc>
        <w:tc>
          <w:tcPr>
            <w:tcW w:w="1190" w:type="dxa"/>
          </w:tcPr>
          <w:p w14:paraId="00895521" w14:textId="77777777" w:rsidR="00B02873" w:rsidRPr="0008483D" w:rsidRDefault="00B02873" w:rsidP="0008483D">
            <w:pPr>
              <w:pStyle w:val="TablebodyleftFinancialsTables"/>
              <w:jc w:val="right"/>
              <w:rPr>
                <w:b/>
                <w:bCs/>
              </w:rPr>
            </w:pPr>
            <w:r w:rsidRPr="0008483D">
              <w:rPr>
                <w:b/>
                <w:bCs/>
              </w:rPr>
              <w:t>–</w:t>
            </w:r>
          </w:p>
        </w:tc>
        <w:tc>
          <w:tcPr>
            <w:tcW w:w="1191" w:type="dxa"/>
          </w:tcPr>
          <w:p w14:paraId="2F93917B" w14:textId="77777777" w:rsidR="00B02873" w:rsidRDefault="00B02873" w:rsidP="0008483D">
            <w:pPr>
              <w:pStyle w:val="TablebodyleftFinancialsTables"/>
              <w:jc w:val="right"/>
            </w:pPr>
            <w:r>
              <w:t>34</w:t>
            </w:r>
          </w:p>
        </w:tc>
      </w:tr>
      <w:tr w:rsidR="00B02873" w:rsidRPr="00B02873" w14:paraId="2A33482E" w14:textId="77777777" w:rsidTr="0008483D">
        <w:trPr>
          <w:trHeight w:val="60"/>
        </w:trPr>
        <w:tc>
          <w:tcPr>
            <w:tcW w:w="2608" w:type="dxa"/>
          </w:tcPr>
          <w:p w14:paraId="1326D4BD" w14:textId="77777777" w:rsidR="00B02873" w:rsidRDefault="00B02873" w:rsidP="0008483D">
            <w:pPr>
              <w:pStyle w:val="TablebodyleftFinancialsTables"/>
            </w:pPr>
            <w:r>
              <w:t>Initial recognition expense from financial instruments</w:t>
            </w:r>
          </w:p>
        </w:tc>
        <w:tc>
          <w:tcPr>
            <w:tcW w:w="1077" w:type="dxa"/>
          </w:tcPr>
          <w:p w14:paraId="53BC1DD7" w14:textId="77777777" w:rsidR="00B02873" w:rsidRPr="0008483D" w:rsidRDefault="00B02873" w:rsidP="0008483D">
            <w:pPr>
              <w:pStyle w:val="TablebodyleftFinancialsTables"/>
              <w:jc w:val="right"/>
              <w:rPr>
                <w:b/>
                <w:bCs/>
              </w:rPr>
            </w:pPr>
            <w:r w:rsidRPr="0008483D">
              <w:rPr>
                <w:b/>
                <w:bCs/>
              </w:rPr>
              <w:t>–</w:t>
            </w:r>
          </w:p>
        </w:tc>
        <w:tc>
          <w:tcPr>
            <w:tcW w:w="1191" w:type="dxa"/>
          </w:tcPr>
          <w:p w14:paraId="72D1B05F" w14:textId="77777777" w:rsidR="00B02873" w:rsidRDefault="00B02873" w:rsidP="0008483D">
            <w:pPr>
              <w:pStyle w:val="TablebodyleftFinancialsTables"/>
              <w:jc w:val="right"/>
            </w:pPr>
            <w:r>
              <w:t>–</w:t>
            </w:r>
          </w:p>
        </w:tc>
        <w:tc>
          <w:tcPr>
            <w:tcW w:w="1190" w:type="dxa"/>
          </w:tcPr>
          <w:p w14:paraId="71682299" w14:textId="77777777" w:rsidR="00B02873" w:rsidRPr="0008483D" w:rsidRDefault="00B02873" w:rsidP="0008483D">
            <w:pPr>
              <w:pStyle w:val="TablebodyleftFinancialsTables"/>
              <w:jc w:val="right"/>
              <w:rPr>
                <w:b/>
                <w:bCs/>
              </w:rPr>
            </w:pPr>
            <w:r w:rsidRPr="0008483D">
              <w:rPr>
                <w:b/>
                <w:bCs/>
              </w:rPr>
              <w:t>–</w:t>
            </w:r>
          </w:p>
        </w:tc>
        <w:tc>
          <w:tcPr>
            <w:tcW w:w="1191" w:type="dxa"/>
          </w:tcPr>
          <w:p w14:paraId="43042B9D" w14:textId="77777777" w:rsidR="00B02873" w:rsidRDefault="00B02873" w:rsidP="0008483D">
            <w:pPr>
              <w:pStyle w:val="TablebodyleftFinancialsTables"/>
              <w:jc w:val="right"/>
            </w:pPr>
            <w:r>
              <w:t>–</w:t>
            </w:r>
          </w:p>
        </w:tc>
        <w:tc>
          <w:tcPr>
            <w:tcW w:w="1190" w:type="dxa"/>
          </w:tcPr>
          <w:p w14:paraId="1209EC65" w14:textId="77777777" w:rsidR="00B02873" w:rsidRPr="0008483D" w:rsidRDefault="00B02873" w:rsidP="0008483D">
            <w:pPr>
              <w:pStyle w:val="TablebodyleftFinancialsTables"/>
              <w:jc w:val="right"/>
              <w:rPr>
                <w:b/>
                <w:bCs/>
              </w:rPr>
            </w:pPr>
            <w:r w:rsidRPr="0008483D">
              <w:rPr>
                <w:b/>
                <w:bCs/>
              </w:rPr>
              <w:t>–</w:t>
            </w:r>
          </w:p>
        </w:tc>
        <w:tc>
          <w:tcPr>
            <w:tcW w:w="1191" w:type="dxa"/>
          </w:tcPr>
          <w:p w14:paraId="21BEA7AC" w14:textId="77777777" w:rsidR="00B02873" w:rsidRDefault="00B02873" w:rsidP="0008483D">
            <w:pPr>
              <w:pStyle w:val="TablebodyleftFinancialsTables"/>
              <w:jc w:val="right"/>
            </w:pPr>
            <w:r>
              <w:t>–</w:t>
            </w:r>
          </w:p>
        </w:tc>
      </w:tr>
      <w:tr w:rsidR="00B02873" w:rsidRPr="00B02873" w14:paraId="7D7B57FB" w14:textId="77777777" w:rsidTr="0008483D">
        <w:trPr>
          <w:trHeight w:val="60"/>
        </w:trPr>
        <w:tc>
          <w:tcPr>
            <w:tcW w:w="2608" w:type="dxa"/>
          </w:tcPr>
          <w:p w14:paraId="0C64C642" w14:textId="77777777" w:rsidR="00B02873" w:rsidRDefault="00B02873" w:rsidP="0008483D">
            <w:pPr>
              <w:pStyle w:val="TablebodyleftFinancialsTables"/>
            </w:pPr>
            <w:r>
              <w:t>Other income and transfers</w:t>
            </w:r>
          </w:p>
        </w:tc>
        <w:tc>
          <w:tcPr>
            <w:tcW w:w="1077" w:type="dxa"/>
          </w:tcPr>
          <w:p w14:paraId="111698A3" w14:textId="6BE836BF" w:rsidR="00B02873" w:rsidRPr="0008483D" w:rsidRDefault="00B02873" w:rsidP="0008483D">
            <w:pPr>
              <w:pStyle w:val="TablebodyleftFinancialsTables"/>
              <w:jc w:val="right"/>
              <w:rPr>
                <w:b/>
                <w:bCs/>
              </w:rPr>
            </w:pPr>
            <w:r w:rsidRPr="0008483D">
              <w:rPr>
                <w:b/>
                <w:bCs/>
              </w:rPr>
              <w:t>16,265</w:t>
            </w:r>
          </w:p>
        </w:tc>
        <w:tc>
          <w:tcPr>
            <w:tcW w:w="1191" w:type="dxa"/>
          </w:tcPr>
          <w:p w14:paraId="2AEA63B5" w14:textId="77777777" w:rsidR="00B02873" w:rsidRDefault="00B02873" w:rsidP="0008483D">
            <w:pPr>
              <w:pStyle w:val="TablebodyleftFinancialsTables"/>
              <w:jc w:val="right"/>
            </w:pPr>
            <w:r>
              <w:t>6,189</w:t>
            </w:r>
          </w:p>
        </w:tc>
        <w:tc>
          <w:tcPr>
            <w:tcW w:w="1190" w:type="dxa"/>
          </w:tcPr>
          <w:p w14:paraId="7CFFDCF5" w14:textId="77777777" w:rsidR="00B02873" w:rsidRPr="0008483D" w:rsidRDefault="00B02873" w:rsidP="0008483D">
            <w:pPr>
              <w:pStyle w:val="TablebodyleftFinancialsTables"/>
              <w:jc w:val="right"/>
              <w:rPr>
                <w:b/>
                <w:bCs/>
              </w:rPr>
            </w:pPr>
            <w:r w:rsidRPr="0008483D">
              <w:rPr>
                <w:b/>
                <w:bCs/>
              </w:rPr>
              <w:t xml:space="preserve">(449) </w:t>
            </w:r>
          </w:p>
        </w:tc>
        <w:tc>
          <w:tcPr>
            <w:tcW w:w="1191" w:type="dxa"/>
          </w:tcPr>
          <w:p w14:paraId="7ECCAAC5" w14:textId="77777777" w:rsidR="00B02873" w:rsidRDefault="00B02873" w:rsidP="0008483D">
            <w:pPr>
              <w:pStyle w:val="TablebodyleftFinancialsTables"/>
              <w:jc w:val="right"/>
            </w:pPr>
            <w:r>
              <w:t>1,870</w:t>
            </w:r>
          </w:p>
        </w:tc>
        <w:tc>
          <w:tcPr>
            <w:tcW w:w="1190" w:type="dxa"/>
          </w:tcPr>
          <w:p w14:paraId="0CC04CDE" w14:textId="77777777" w:rsidR="00B02873" w:rsidRPr="0008483D" w:rsidRDefault="00B02873" w:rsidP="0008483D">
            <w:pPr>
              <w:pStyle w:val="TablebodyleftFinancialsTables"/>
              <w:jc w:val="right"/>
              <w:rPr>
                <w:b/>
                <w:bCs/>
              </w:rPr>
            </w:pPr>
            <w:r w:rsidRPr="0008483D">
              <w:rPr>
                <w:b/>
                <w:bCs/>
              </w:rPr>
              <w:t>17,719</w:t>
            </w:r>
          </w:p>
        </w:tc>
        <w:tc>
          <w:tcPr>
            <w:tcW w:w="1191" w:type="dxa"/>
          </w:tcPr>
          <w:p w14:paraId="48519985" w14:textId="77777777" w:rsidR="00B02873" w:rsidRDefault="00B02873" w:rsidP="0008483D">
            <w:pPr>
              <w:pStyle w:val="TablebodyleftFinancialsTables"/>
              <w:jc w:val="right"/>
            </w:pPr>
            <w:r>
              <w:t>1,416</w:t>
            </w:r>
          </w:p>
        </w:tc>
      </w:tr>
      <w:tr w:rsidR="00B02873" w:rsidRPr="00B02873" w14:paraId="66805529" w14:textId="77777777" w:rsidTr="0008483D">
        <w:trPr>
          <w:trHeight w:val="60"/>
        </w:trPr>
        <w:tc>
          <w:tcPr>
            <w:tcW w:w="2608" w:type="dxa"/>
          </w:tcPr>
          <w:p w14:paraId="7FEB421F" w14:textId="4B2848C0" w:rsidR="00B02873" w:rsidRPr="00CB7F3B" w:rsidRDefault="00B02873" w:rsidP="0008483D">
            <w:pPr>
              <w:pStyle w:val="TablebodyleftFinancialsTables"/>
              <w:rPr>
                <w:b/>
                <w:bCs/>
              </w:rPr>
            </w:pPr>
            <w:r w:rsidRPr="00CB7F3B">
              <w:rPr>
                <w:b/>
                <w:bCs/>
              </w:rPr>
              <w:t>Total revenue and income from transactions</w:t>
            </w:r>
          </w:p>
        </w:tc>
        <w:tc>
          <w:tcPr>
            <w:tcW w:w="1077" w:type="dxa"/>
          </w:tcPr>
          <w:p w14:paraId="7F54AEE5" w14:textId="77777777" w:rsidR="00B02873" w:rsidRPr="00CB7F3B" w:rsidRDefault="00B02873" w:rsidP="0008483D">
            <w:pPr>
              <w:pStyle w:val="TablebodyleftFinancialsTables"/>
              <w:jc w:val="right"/>
              <w:rPr>
                <w:b/>
                <w:bCs/>
              </w:rPr>
            </w:pPr>
            <w:r w:rsidRPr="00CB7F3B">
              <w:rPr>
                <w:b/>
                <w:bCs/>
              </w:rPr>
              <w:t>39,220</w:t>
            </w:r>
          </w:p>
        </w:tc>
        <w:tc>
          <w:tcPr>
            <w:tcW w:w="1191" w:type="dxa"/>
          </w:tcPr>
          <w:p w14:paraId="6EC68F55" w14:textId="77777777" w:rsidR="00B02873" w:rsidRPr="00CB7F3B" w:rsidRDefault="00B02873" w:rsidP="0008483D">
            <w:pPr>
              <w:pStyle w:val="TablebodyleftFinancialsTables"/>
              <w:jc w:val="right"/>
              <w:rPr>
                <w:b/>
                <w:bCs/>
              </w:rPr>
            </w:pPr>
            <w:r w:rsidRPr="00CB7F3B">
              <w:rPr>
                <w:b/>
                <w:bCs/>
              </w:rPr>
              <w:t>24,403</w:t>
            </w:r>
          </w:p>
        </w:tc>
        <w:tc>
          <w:tcPr>
            <w:tcW w:w="1190" w:type="dxa"/>
          </w:tcPr>
          <w:p w14:paraId="5275B1BB" w14:textId="77777777" w:rsidR="00B02873" w:rsidRPr="00CB7F3B" w:rsidRDefault="00B02873" w:rsidP="0008483D">
            <w:pPr>
              <w:pStyle w:val="TablebodyleftFinancialsTables"/>
              <w:jc w:val="right"/>
              <w:rPr>
                <w:b/>
                <w:bCs/>
              </w:rPr>
            </w:pPr>
            <w:r w:rsidRPr="00CB7F3B">
              <w:rPr>
                <w:b/>
                <w:bCs/>
              </w:rPr>
              <w:t>185,497</w:t>
            </w:r>
          </w:p>
        </w:tc>
        <w:tc>
          <w:tcPr>
            <w:tcW w:w="1191" w:type="dxa"/>
          </w:tcPr>
          <w:p w14:paraId="08302489" w14:textId="77777777" w:rsidR="00B02873" w:rsidRPr="00CB7F3B" w:rsidRDefault="00B02873" w:rsidP="0008483D">
            <w:pPr>
              <w:pStyle w:val="TablebodyleftFinancialsTables"/>
              <w:jc w:val="right"/>
              <w:rPr>
                <w:b/>
                <w:bCs/>
              </w:rPr>
            </w:pPr>
            <w:r w:rsidRPr="00CB7F3B">
              <w:rPr>
                <w:b/>
                <w:bCs/>
              </w:rPr>
              <w:t>230,130</w:t>
            </w:r>
          </w:p>
        </w:tc>
        <w:tc>
          <w:tcPr>
            <w:tcW w:w="1190" w:type="dxa"/>
          </w:tcPr>
          <w:p w14:paraId="39F647D4" w14:textId="77777777" w:rsidR="00B02873" w:rsidRPr="00CB7F3B" w:rsidRDefault="00B02873" w:rsidP="0008483D">
            <w:pPr>
              <w:pStyle w:val="TablebodyleftFinancialsTables"/>
              <w:jc w:val="right"/>
              <w:rPr>
                <w:b/>
                <w:bCs/>
              </w:rPr>
            </w:pPr>
            <w:r w:rsidRPr="00CB7F3B">
              <w:rPr>
                <w:b/>
                <w:bCs/>
              </w:rPr>
              <w:t>172,613</w:t>
            </w:r>
          </w:p>
        </w:tc>
        <w:tc>
          <w:tcPr>
            <w:tcW w:w="1191" w:type="dxa"/>
          </w:tcPr>
          <w:p w14:paraId="382E625D" w14:textId="77777777" w:rsidR="00B02873" w:rsidRPr="00CB7F3B" w:rsidRDefault="00B02873" w:rsidP="0008483D">
            <w:pPr>
              <w:pStyle w:val="TablebodyleftFinancialsTables"/>
              <w:jc w:val="right"/>
              <w:rPr>
                <w:b/>
                <w:bCs/>
              </w:rPr>
            </w:pPr>
            <w:r w:rsidRPr="00CB7F3B">
              <w:rPr>
                <w:b/>
                <w:bCs/>
              </w:rPr>
              <w:t>57,036</w:t>
            </w:r>
          </w:p>
        </w:tc>
      </w:tr>
      <w:tr w:rsidR="009B3AE1" w:rsidRPr="00B02873" w14:paraId="45CA5BF1" w14:textId="77777777" w:rsidTr="00B44A2A">
        <w:trPr>
          <w:trHeight w:val="60"/>
        </w:trPr>
        <w:tc>
          <w:tcPr>
            <w:tcW w:w="2608" w:type="dxa"/>
          </w:tcPr>
          <w:p w14:paraId="73C02043" w14:textId="0A686B35" w:rsidR="009B3AE1" w:rsidRDefault="009B3AE1" w:rsidP="00B44A2A">
            <w:pPr>
              <w:pStyle w:val="TablebodyleftFinancialsTables"/>
            </w:pPr>
            <w:r w:rsidRPr="00CB7F3B">
              <w:rPr>
                <w:b/>
                <w:bCs/>
              </w:rPr>
              <w:t>Expenses from transactions</w:t>
            </w:r>
          </w:p>
        </w:tc>
        <w:tc>
          <w:tcPr>
            <w:tcW w:w="1077" w:type="dxa"/>
          </w:tcPr>
          <w:p w14:paraId="2CA29CFC" w14:textId="77777777" w:rsidR="009B3AE1" w:rsidRPr="0008483D" w:rsidRDefault="009B3AE1" w:rsidP="00B44A2A">
            <w:pPr>
              <w:pStyle w:val="TablebodyleftFinancialsTables"/>
              <w:jc w:val="right"/>
              <w:rPr>
                <w:b/>
                <w:bCs/>
              </w:rPr>
            </w:pPr>
          </w:p>
        </w:tc>
        <w:tc>
          <w:tcPr>
            <w:tcW w:w="1191" w:type="dxa"/>
          </w:tcPr>
          <w:p w14:paraId="756D2DF6" w14:textId="77777777" w:rsidR="009B3AE1" w:rsidRDefault="009B3AE1" w:rsidP="00B44A2A">
            <w:pPr>
              <w:pStyle w:val="TablebodyleftFinancialsTables"/>
              <w:jc w:val="right"/>
            </w:pPr>
          </w:p>
        </w:tc>
        <w:tc>
          <w:tcPr>
            <w:tcW w:w="1190" w:type="dxa"/>
          </w:tcPr>
          <w:p w14:paraId="78891BF8" w14:textId="77777777" w:rsidR="009B3AE1" w:rsidRPr="0008483D" w:rsidRDefault="009B3AE1" w:rsidP="00B44A2A">
            <w:pPr>
              <w:pStyle w:val="TablebodyleftFinancialsTables"/>
              <w:jc w:val="right"/>
              <w:rPr>
                <w:b/>
                <w:bCs/>
              </w:rPr>
            </w:pPr>
          </w:p>
        </w:tc>
        <w:tc>
          <w:tcPr>
            <w:tcW w:w="1191" w:type="dxa"/>
          </w:tcPr>
          <w:p w14:paraId="3F02DE9F" w14:textId="77777777" w:rsidR="009B3AE1" w:rsidRDefault="009B3AE1" w:rsidP="00B44A2A">
            <w:pPr>
              <w:pStyle w:val="TablebodyleftFinancialsTables"/>
              <w:jc w:val="right"/>
            </w:pPr>
          </w:p>
        </w:tc>
        <w:tc>
          <w:tcPr>
            <w:tcW w:w="1190" w:type="dxa"/>
          </w:tcPr>
          <w:p w14:paraId="6C235865" w14:textId="77777777" w:rsidR="009B3AE1" w:rsidRPr="0008483D" w:rsidRDefault="009B3AE1" w:rsidP="00B44A2A">
            <w:pPr>
              <w:pStyle w:val="TablebodyleftFinancialsTables"/>
              <w:jc w:val="right"/>
              <w:rPr>
                <w:b/>
                <w:bCs/>
              </w:rPr>
            </w:pPr>
          </w:p>
        </w:tc>
        <w:tc>
          <w:tcPr>
            <w:tcW w:w="1191" w:type="dxa"/>
          </w:tcPr>
          <w:p w14:paraId="23030458" w14:textId="77777777" w:rsidR="009B3AE1" w:rsidRDefault="009B3AE1" w:rsidP="00B44A2A">
            <w:pPr>
              <w:pStyle w:val="TablebodyleftFinancialsTables"/>
              <w:jc w:val="right"/>
            </w:pPr>
          </w:p>
        </w:tc>
      </w:tr>
      <w:tr w:rsidR="00B02873" w:rsidRPr="00B02873" w14:paraId="3A3BAD6E" w14:textId="77777777" w:rsidTr="0008483D">
        <w:trPr>
          <w:trHeight w:val="60"/>
        </w:trPr>
        <w:tc>
          <w:tcPr>
            <w:tcW w:w="2608" w:type="dxa"/>
          </w:tcPr>
          <w:p w14:paraId="44DBB697" w14:textId="77777777" w:rsidR="00B02873" w:rsidRDefault="00B02873" w:rsidP="0008483D">
            <w:pPr>
              <w:pStyle w:val="TablebodyleftFinancialsTables"/>
            </w:pPr>
            <w:r>
              <w:t>Employee expenses</w:t>
            </w:r>
          </w:p>
        </w:tc>
        <w:tc>
          <w:tcPr>
            <w:tcW w:w="1077" w:type="dxa"/>
          </w:tcPr>
          <w:p w14:paraId="3BF8A62F" w14:textId="77777777" w:rsidR="00B02873" w:rsidRPr="0008483D" w:rsidRDefault="00B02873" w:rsidP="0008483D">
            <w:pPr>
              <w:pStyle w:val="TablebodyleftFinancialsTables"/>
              <w:jc w:val="right"/>
              <w:rPr>
                <w:b/>
                <w:bCs/>
              </w:rPr>
            </w:pPr>
            <w:r w:rsidRPr="0008483D">
              <w:rPr>
                <w:b/>
                <w:bCs/>
              </w:rPr>
              <w:t>(15,306)</w:t>
            </w:r>
          </w:p>
        </w:tc>
        <w:tc>
          <w:tcPr>
            <w:tcW w:w="1191" w:type="dxa"/>
          </w:tcPr>
          <w:p w14:paraId="4D0C1F0F" w14:textId="77777777" w:rsidR="00B02873" w:rsidRDefault="00B02873" w:rsidP="0008483D">
            <w:pPr>
              <w:pStyle w:val="TablebodyleftFinancialsTables"/>
              <w:jc w:val="right"/>
            </w:pPr>
            <w:r>
              <w:t>(15,252)</w:t>
            </w:r>
          </w:p>
        </w:tc>
        <w:tc>
          <w:tcPr>
            <w:tcW w:w="1190" w:type="dxa"/>
          </w:tcPr>
          <w:p w14:paraId="65104EF3" w14:textId="77777777" w:rsidR="00B02873" w:rsidRPr="0008483D" w:rsidRDefault="00B02873" w:rsidP="0008483D">
            <w:pPr>
              <w:pStyle w:val="TablebodyleftFinancialsTables"/>
              <w:jc w:val="right"/>
              <w:rPr>
                <w:b/>
                <w:bCs/>
              </w:rPr>
            </w:pPr>
            <w:r w:rsidRPr="0008483D">
              <w:rPr>
                <w:b/>
                <w:bCs/>
              </w:rPr>
              <w:t xml:space="preserve">(37,672) </w:t>
            </w:r>
          </w:p>
        </w:tc>
        <w:tc>
          <w:tcPr>
            <w:tcW w:w="1191" w:type="dxa"/>
          </w:tcPr>
          <w:p w14:paraId="3DB1AB93" w14:textId="77777777" w:rsidR="00B02873" w:rsidRDefault="00B02873" w:rsidP="0008483D">
            <w:pPr>
              <w:pStyle w:val="TablebodyleftFinancialsTables"/>
              <w:jc w:val="right"/>
            </w:pPr>
            <w:r>
              <w:t>(29,250)</w:t>
            </w:r>
          </w:p>
        </w:tc>
        <w:tc>
          <w:tcPr>
            <w:tcW w:w="1190" w:type="dxa"/>
          </w:tcPr>
          <w:p w14:paraId="6410046F" w14:textId="77777777" w:rsidR="00B02873" w:rsidRPr="0008483D" w:rsidRDefault="00B02873" w:rsidP="0008483D">
            <w:pPr>
              <w:pStyle w:val="TablebodyleftFinancialsTables"/>
              <w:jc w:val="right"/>
              <w:rPr>
                <w:b/>
                <w:bCs/>
              </w:rPr>
            </w:pPr>
            <w:r w:rsidRPr="0008483D">
              <w:rPr>
                <w:b/>
                <w:bCs/>
              </w:rPr>
              <w:t>(7,567)</w:t>
            </w:r>
          </w:p>
        </w:tc>
        <w:tc>
          <w:tcPr>
            <w:tcW w:w="1191" w:type="dxa"/>
          </w:tcPr>
          <w:p w14:paraId="558714F4" w14:textId="77777777" w:rsidR="00B02873" w:rsidRDefault="00B02873" w:rsidP="0008483D">
            <w:pPr>
              <w:pStyle w:val="TablebodyleftFinancialsTables"/>
              <w:jc w:val="right"/>
            </w:pPr>
            <w:r>
              <w:t>(3,735)</w:t>
            </w:r>
          </w:p>
        </w:tc>
      </w:tr>
      <w:tr w:rsidR="00B02873" w:rsidRPr="00B02873" w14:paraId="24C606D1" w14:textId="77777777" w:rsidTr="0008483D">
        <w:trPr>
          <w:trHeight w:val="60"/>
        </w:trPr>
        <w:tc>
          <w:tcPr>
            <w:tcW w:w="2608" w:type="dxa"/>
          </w:tcPr>
          <w:p w14:paraId="1E79382B" w14:textId="77777777" w:rsidR="00B02873" w:rsidRDefault="00B02873" w:rsidP="0008483D">
            <w:pPr>
              <w:pStyle w:val="TablebodyleftFinancialsTables"/>
            </w:pPr>
            <w:r>
              <w:t>Grants and other transfers</w:t>
            </w:r>
          </w:p>
        </w:tc>
        <w:tc>
          <w:tcPr>
            <w:tcW w:w="1077" w:type="dxa"/>
          </w:tcPr>
          <w:p w14:paraId="2B6C8FFB" w14:textId="77777777" w:rsidR="00B02873" w:rsidRPr="0008483D" w:rsidRDefault="00B02873" w:rsidP="0008483D">
            <w:pPr>
              <w:pStyle w:val="TablebodyleftFinancialsTables"/>
              <w:jc w:val="right"/>
              <w:rPr>
                <w:b/>
                <w:bCs/>
              </w:rPr>
            </w:pPr>
            <w:r w:rsidRPr="0008483D">
              <w:rPr>
                <w:b/>
                <w:bCs/>
              </w:rPr>
              <w:t>(10,995)</w:t>
            </w:r>
          </w:p>
        </w:tc>
        <w:tc>
          <w:tcPr>
            <w:tcW w:w="1191" w:type="dxa"/>
          </w:tcPr>
          <w:p w14:paraId="7EDC5929" w14:textId="77777777" w:rsidR="00B02873" w:rsidRDefault="00B02873" w:rsidP="0008483D">
            <w:pPr>
              <w:pStyle w:val="TablebodyleftFinancialsTables"/>
              <w:jc w:val="right"/>
            </w:pPr>
            <w:r>
              <w:t>(6,013)</w:t>
            </w:r>
          </w:p>
        </w:tc>
        <w:tc>
          <w:tcPr>
            <w:tcW w:w="1190" w:type="dxa"/>
          </w:tcPr>
          <w:p w14:paraId="665576F3" w14:textId="77777777" w:rsidR="00B02873" w:rsidRPr="0008483D" w:rsidRDefault="00B02873" w:rsidP="0008483D">
            <w:pPr>
              <w:pStyle w:val="TablebodyleftFinancialsTables"/>
              <w:jc w:val="right"/>
              <w:rPr>
                <w:b/>
                <w:bCs/>
              </w:rPr>
            </w:pPr>
            <w:r w:rsidRPr="0008483D">
              <w:rPr>
                <w:b/>
                <w:bCs/>
              </w:rPr>
              <w:t>(118,062)</w:t>
            </w:r>
          </w:p>
        </w:tc>
        <w:tc>
          <w:tcPr>
            <w:tcW w:w="1191" w:type="dxa"/>
          </w:tcPr>
          <w:p w14:paraId="77C12842" w14:textId="77777777" w:rsidR="00B02873" w:rsidRDefault="00B02873" w:rsidP="0008483D">
            <w:pPr>
              <w:pStyle w:val="TablebodyleftFinancialsTables"/>
              <w:jc w:val="right"/>
            </w:pPr>
            <w:r>
              <w:t>(171,657)</w:t>
            </w:r>
          </w:p>
        </w:tc>
        <w:tc>
          <w:tcPr>
            <w:tcW w:w="1190" w:type="dxa"/>
          </w:tcPr>
          <w:p w14:paraId="48325FF7" w14:textId="77777777" w:rsidR="00B02873" w:rsidRPr="0008483D" w:rsidRDefault="00B02873" w:rsidP="0008483D">
            <w:pPr>
              <w:pStyle w:val="TablebodyleftFinancialsTables"/>
              <w:jc w:val="right"/>
              <w:rPr>
                <w:b/>
                <w:bCs/>
              </w:rPr>
            </w:pPr>
            <w:r w:rsidRPr="0008483D">
              <w:rPr>
                <w:b/>
                <w:bCs/>
              </w:rPr>
              <w:t>(156,965)</w:t>
            </w:r>
          </w:p>
        </w:tc>
        <w:tc>
          <w:tcPr>
            <w:tcW w:w="1191" w:type="dxa"/>
          </w:tcPr>
          <w:p w14:paraId="4F986776" w14:textId="77777777" w:rsidR="00B02873" w:rsidRDefault="00B02873" w:rsidP="0008483D">
            <w:pPr>
              <w:pStyle w:val="TablebodyleftFinancialsTables"/>
              <w:jc w:val="right"/>
            </w:pPr>
            <w:r>
              <w:t>(161,982)</w:t>
            </w:r>
          </w:p>
        </w:tc>
      </w:tr>
      <w:tr w:rsidR="00B02873" w:rsidRPr="00B02873" w14:paraId="7D9FA7B3" w14:textId="77777777" w:rsidTr="0008483D">
        <w:trPr>
          <w:trHeight w:val="60"/>
        </w:trPr>
        <w:tc>
          <w:tcPr>
            <w:tcW w:w="2608" w:type="dxa"/>
          </w:tcPr>
          <w:p w14:paraId="5C003772" w14:textId="77777777" w:rsidR="00B02873" w:rsidRDefault="00B02873" w:rsidP="0008483D">
            <w:pPr>
              <w:pStyle w:val="TablebodyleftFinancialsTables"/>
            </w:pPr>
            <w:r>
              <w:t>Supplies and services</w:t>
            </w:r>
          </w:p>
        </w:tc>
        <w:tc>
          <w:tcPr>
            <w:tcW w:w="1077" w:type="dxa"/>
          </w:tcPr>
          <w:p w14:paraId="0F5C011C" w14:textId="77777777" w:rsidR="00B02873" w:rsidRPr="0008483D" w:rsidRDefault="00B02873" w:rsidP="0008483D">
            <w:pPr>
              <w:pStyle w:val="TablebodyleftFinancialsTables"/>
              <w:jc w:val="right"/>
              <w:rPr>
                <w:b/>
                <w:bCs/>
              </w:rPr>
            </w:pPr>
            <w:r w:rsidRPr="0008483D">
              <w:rPr>
                <w:b/>
                <w:bCs/>
              </w:rPr>
              <w:t>(12,459)</w:t>
            </w:r>
          </w:p>
        </w:tc>
        <w:tc>
          <w:tcPr>
            <w:tcW w:w="1191" w:type="dxa"/>
          </w:tcPr>
          <w:p w14:paraId="57A349D7" w14:textId="77777777" w:rsidR="00B02873" w:rsidRDefault="00B02873" w:rsidP="0008483D">
            <w:pPr>
              <w:pStyle w:val="TablebodyleftFinancialsTables"/>
              <w:jc w:val="right"/>
            </w:pPr>
            <w:r>
              <w:t>(13,894)</w:t>
            </w:r>
          </w:p>
        </w:tc>
        <w:tc>
          <w:tcPr>
            <w:tcW w:w="1190" w:type="dxa"/>
          </w:tcPr>
          <w:p w14:paraId="2E549F90" w14:textId="77777777" w:rsidR="00B02873" w:rsidRPr="0008483D" w:rsidRDefault="00B02873" w:rsidP="0008483D">
            <w:pPr>
              <w:pStyle w:val="TablebodyleftFinancialsTables"/>
              <w:jc w:val="right"/>
              <w:rPr>
                <w:b/>
                <w:bCs/>
              </w:rPr>
            </w:pPr>
            <w:r w:rsidRPr="0008483D">
              <w:rPr>
                <w:b/>
                <w:bCs/>
              </w:rPr>
              <w:t>(24,066)</w:t>
            </w:r>
          </w:p>
        </w:tc>
        <w:tc>
          <w:tcPr>
            <w:tcW w:w="1191" w:type="dxa"/>
          </w:tcPr>
          <w:p w14:paraId="7F7A24B6" w14:textId="77777777" w:rsidR="00B02873" w:rsidRDefault="00B02873" w:rsidP="0008483D">
            <w:pPr>
              <w:pStyle w:val="TablebodyleftFinancialsTables"/>
              <w:jc w:val="right"/>
            </w:pPr>
            <w:r>
              <w:t>(21,991)</w:t>
            </w:r>
          </w:p>
        </w:tc>
        <w:tc>
          <w:tcPr>
            <w:tcW w:w="1190" w:type="dxa"/>
          </w:tcPr>
          <w:p w14:paraId="0BDF4C50" w14:textId="77777777" w:rsidR="00B02873" w:rsidRPr="0008483D" w:rsidRDefault="00B02873" w:rsidP="0008483D">
            <w:pPr>
              <w:pStyle w:val="TablebodyleftFinancialsTables"/>
              <w:jc w:val="right"/>
              <w:rPr>
                <w:b/>
                <w:bCs/>
              </w:rPr>
            </w:pPr>
            <w:r w:rsidRPr="0008483D">
              <w:rPr>
                <w:b/>
                <w:bCs/>
              </w:rPr>
              <w:t>(5,384)</w:t>
            </w:r>
          </w:p>
        </w:tc>
        <w:tc>
          <w:tcPr>
            <w:tcW w:w="1191" w:type="dxa"/>
          </w:tcPr>
          <w:p w14:paraId="107F45A6" w14:textId="77777777" w:rsidR="00B02873" w:rsidRDefault="00B02873" w:rsidP="0008483D">
            <w:pPr>
              <w:pStyle w:val="TablebodyleftFinancialsTables"/>
              <w:jc w:val="right"/>
            </w:pPr>
            <w:r>
              <w:t>433</w:t>
            </w:r>
          </w:p>
        </w:tc>
      </w:tr>
      <w:tr w:rsidR="00B02873" w:rsidRPr="00B02873" w14:paraId="244502C1" w14:textId="77777777" w:rsidTr="0008483D">
        <w:trPr>
          <w:trHeight w:val="60"/>
        </w:trPr>
        <w:tc>
          <w:tcPr>
            <w:tcW w:w="2608" w:type="dxa"/>
          </w:tcPr>
          <w:p w14:paraId="70F17948" w14:textId="77777777" w:rsidR="00B02873" w:rsidRDefault="00B02873" w:rsidP="0008483D">
            <w:pPr>
              <w:pStyle w:val="TablebodyleftFinancialsTables"/>
            </w:pPr>
            <w:r>
              <w:t>Depreciation and amortisation</w:t>
            </w:r>
          </w:p>
        </w:tc>
        <w:tc>
          <w:tcPr>
            <w:tcW w:w="1077" w:type="dxa"/>
          </w:tcPr>
          <w:p w14:paraId="7AC6B7B6" w14:textId="77777777" w:rsidR="00B02873" w:rsidRPr="0008483D" w:rsidRDefault="00B02873" w:rsidP="0008483D">
            <w:pPr>
              <w:pStyle w:val="TablebodyleftFinancialsTables"/>
              <w:jc w:val="right"/>
              <w:rPr>
                <w:b/>
                <w:bCs/>
              </w:rPr>
            </w:pPr>
            <w:r w:rsidRPr="0008483D">
              <w:rPr>
                <w:b/>
                <w:bCs/>
              </w:rPr>
              <w:t>(335)</w:t>
            </w:r>
          </w:p>
        </w:tc>
        <w:tc>
          <w:tcPr>
            <w:tcW w:w="1191" w:type="dxa"/>
          </w:tcPr>
          <w:p w14:paraId="3482CB5C" w14:textId="77777777" w:rsidR="00B02873" w:rsidRDefault="00B02873" w:rsidP="0008483D">
            <w:pPr>
              <w:pStyle w:val="TablebodyleftFinancialsTables"/>
              <w:jc w:val="right"/>
            </w:pPr>
            <w:r>
              <w:t>(357)</w:t>
            </w:r>
          </w:p>
        </w:tc>
        <w:tc>
          <w:tcPr>
            <w:tcW w:w="1190" w:type="dxa"/>
          </w:tcPr>
          <w:p w14:paraId="18C06735" w14:textId="77777777" w:rsidR="00B02873" w:rsidRPr="0008483D" w:rsidRDefault="00B02873" w:rsidP="0008483D">
            <w:pPr>
              <w:pStyle w:val="TablebodyleftFinancialsTables"/>
              <w:jc w:val="right"/>
              <w:rPr>
                <w:b/>
                <w:bCs/>
              </w:rPr>
            </w:pPr>
            <w:r w:rsidRPr="0008483D">
              <w:rPr>
                <w:b/>
                <w:bCs/>
              </w:rPr>
              <w:t>(1,107)</w:t>
            </w:r>
          </w:p>
        </w:tc>
        <w:tc>
          <w:tcPr>
            <w:tcW w:w="1191" w:type="dxa"/>
          </w:tcPr>
          <w:p w14:paraId="28442D7A" w14:textId="77777777" w:rsidR="00B02873" w:rsidRDefault="00B02873" w:rsidP="0008483D">
            <w:pPr>
              <w:pStyle w:val="TablebodyleftFinancialsTables"/>
              <w:jc w:val="right"/>
            </w:pPr>
            <w:r>
              <w:t>(1,249)</w:t>
            </w:r>
          </w:p>
        </w:tc>
        <w:tc>
          <w:tcPr>
            <w:tcW w:w="1190" w:type="dxa"/>
          </w:tcPr>
          <w:p w14:paraId="5A917743" w14:textId="77777777" w:rsidR="00B02873" w:rsidRPr="0008483D" w:rsidRDefault="00B02873" w:rsidP="0008483D">
            <w:pPr>
              <w:pStyle w:val="TablebodyleftFinancialsTables"/>
              <w:jc w:val="right"/>
              <w:rPr>
                <w:b/>
                <w:bCs/>
              </w:rPr>
            </w:pPr>
            <w:r w:rsidRPr="0008483D">
              <w:rPr>
                <w:b/>
                <w:bCs/>
              </w:rPr>
              <w:t>(545)</w:t>
            </w:r>
          </w:p>
        </w:tc>
        <w:tc>
          <w:tcPr>
            <w:tcW w:w="1191" w:type="dxa"/>
          </w:tcPr>
          <w:p w14:paraId="19992C4B" w14:textId="77777777" w:rsidR="00B02873" w:rsidRDefault="00B02873" w:rsidP="0008483D">
            <w:pPr>
              <w:pStyle w:val="TablebodyleftFinancialsTables"/>
              <w:jc w:val="right"/>
            </w:pPr>
            <w:r>
              <w:t>(262)</w:t>
            </w:r>
          </w:p>
        </w:tc>
      </w:tr>
      <w:tr w:rsidR="00B02873" w:rsidRPr="00B02873" w14:paraId="166CF59D" w14:textId="77777777" w:rsidTr="0008483D">
        <w:trPr>
          <w:trHeight w:val="60"/>
        </w:trPr>
        <w:tc>
          <w:tcPr>
            <w:tcW w:w="2608" w:type="dxa"/>
          </w:tcPr>
          <w:p w14:paraId="068760DC" w14:textId="77777777" w:rsidR="00B02873" w:rsidRDefault="00B02873" w:rsidP="0008483D">
            <w:pPr>
              <w:pStyle w:val="TablebodyleftFinancialsTables"/>
            </w:pPr>
            <w:r>
              <w:t>Capital asset charge</w:t>
            </w:r>
          </w:p>
        </w:tc>
        <w:tc>
          <w:tcPr>
            <w:tcW w:w="1077" w:type="dxa"/>
          </w:tcPr>
          <w:p w14:paraId="129B9AFC" w14:textId="77777777" w:rsidR="00B02873" w:rsidRPr="0008483D" w:rsidRDefault="00B02873" w:rsidP="0008483D">
            <w:pPr>
              <w:pStyle w:val="TablebodyleftFinancialsTables"/>
              <w:jc w:val="right"/>
              <w:rPr>
                <w:b/>
                <w:bCs/>
              </w:rPr>
            </w:pPr>
            <w:r w:rsidRPr="0008483D">
              <w:rPr>
                <w:b/>
                <w:bCs/>
              </w:rPr>
              <w:t>–</w:t>
            </w:r>
          </w:p>
        </w:tc>
        <w:tc>
          <w:tcPr>
            <w:tcW w:w="1191" w:type="dxa"/>
          </w:tcPr>
          <w:p w14:paraId="76957ED3" w14:textId="77777777" w:rsidR="00B02873" w:rsidRDefault="00B02873" w:rsidP="0008483D">
            <w:pPr>
              <w:pStyle w:val="TablebodyleftFinancialsTables"/>
              <w:jc w:val="right"/>
            </w:pPr>
            <w:r>
              <w:t>(168)</w:t>
            </w:r>
          </w:p>
        </w:tc>
        <w:tc>
          <w:tcPr>
            <w:tcW w:w="1190" w:type="dxa"/>
          </w:tcPr>
          <w:p w14:paraId="602F5737" w14:textId="77777777" w:rsidR="00B02873" w:rsidRPr="0008483D" w:rsidRDefault="00B02873" w:rsidP="0008483D">
            <w:pPr>
              <w:pStyle w:val="TablebodyleftFinancialsTables"/>
              <w:jc w:val="right"/>
              <w:rPr>
                <w:b/>
                <w:bCs/>
              </w:rPr>
            </w:pPr>
            <w:r w:rsidRPr="0008483D">
              <w:rPr>
                <w:b/>
                <w:bCs/>
              </w:rPr>
              <w:t>–</w:t>
            </w:r>
          </w:p>
        </w:tc>
        <w:tc>
          <w:tcPr>
            <w:tcW w:w="1191" w:type="dxa"/>
          </w:tcPr>
          <w:p w14:paraId="1331CED9" w14:textId="77777777" w:rsidR="00B02873" w:rsidRDefault="00B02873" w:rsidP="0008483D">
            <w:pPr>
              <w:pStyle w:val="TablebodyleftFinancialsTables"/>
              <w:jc w:val="right"/>
            </w:pPr>
            <w:r>
              <w:t>(420)</w:t>
            </w:r>
          </w:p>
        </w:tc>
        <w:tc>
          <w:tcPr>
            <w:tcW w:w="1190" w:type="dxa"/>
          </w:tcPr>
          <w:p w14:paraId="78D90397" w14:textId="77777777" w:rsidR="00B02873" w:rsidRPr="0008483D" w:rsidRDefault="00B02873" w:rsidP="0008483D">
            <w:pPr>
              <w:pStyle w:val="TablebodyleftFinancialsTables"/>
              <w:jc w:val="right"/>
              <w:rPr>
                <w:b/>
                <w:bCs/>
              </w:rPr>
            </w:pPr>
            <w:r w:rsidRPr="0008483D">
              <w:rPr>
                <w:b/>
                <w:bCs/>
              </w:rPr>
              <w:t>–</w:t>
            </w:r>
          </w:p>
        </w:tc>
        <w:tc>
          <w:tcPr>
            <w:tcW w:w="1191" w:type="dxa"/>
          </w:tcPr>
          <w:p w14:paraId="386BB0DE" w14:textId="77777777" w:rsidR="00B02873" w:rsidRDefault="00B02873" w:rsidP="0008483D">
            <w:pPr>
              <w:pStyle w:val="TablebodyleftFinancialsTables"/>
              <w:jc w:val="right"/>
            </w:pPr>
            <w:r>
              <w:t>(126)</w:t>
            </w:r>
          </w:p>
        </w:tc>
      </w:tr>
      <w:tr w:rsidR="00B02873" w:rsidRPr="00B02873" w14:paraId="5782011B" w14:textId="77777777" w:rsidTr="0008483D">
        <w:trPr>
          <w:trHeight w:val="60"/>
        </w:trPr>
        <w:tc>
          <w:tcPr>
            <w:tcW w:w="2608" w:type="dxa"/>
          </w:tcPr>
          <w:p w14:paraId="6D174E04" w14:textId="77777777" w:rsidR="00B02873" w:rsidRDefault="00B02873" w:rsidP="0008483D">
            <w:pPr>
              <w:pStyle w:val="TablebodyleftFinancialsTables"/>
            </w:pPr>
            <w:r>
              <w:t>Initial recognition expense from financial instruments</w:t>
            </w:r>
          </w:p>
        </w:tc>
        <w:tc>
          <w:tcPr>
            <w:tcW w:w="1077" w:type="dxa"/>
          </w:tcPr>
          <w:p w14:paraId="3218E252" w14:textId="77777777" w:rsidR="00B02873" w:rsidRPr="0008483D" w:rsidRDefault="00B02873" w:rsidP="0008483D">
            <w:pPr>
              <w:pStyle w:val="TablebodyleftFinancialsTables"/>
              <w:jc w:val="right"/>
              <w:rPr>
                <w:b/>
                <w:bCs/>
              </w:rPr>
            </w:pPr>
            <w:r w:rsidRPr="0008483D">
              <w:rPr>
                <w:b/>
                <w:bCs/>
              </w:rPr>
              <w:t>–</w:t>
            </w:r>
          </w:p>
        </w:tc>
        <w:tc>
          <w:tcPr>
            <w:tcW w:w="1191" w:type="dxa"/>
          </w:tcPr>
          <w:p w14:paraId="7FAF28CB" w14:textId="77777777" w:rsidR="00B02873" w:rsidRDefault="00B02873" w:rsidP="0008483D">
            <w:pPr>
              <w:pStyle w:val="TablebodyleftFinancialsTables"/>
              <w:jc w:val="right"/>
            </w:pPr>
            <w:r>
              <w:t>–</w:t>
            </w:r>
          </w:p>
        </w:tc>
        <w:tc>
          <w:tcPr>
            <w:tcW w:w="1190" w:type="dxa"/>
          </w:tcPr>
          <w:p w14:paraId="7DBCFF1C" w14:textId="77777777" w:rsidR="00B02873" w:rsidRPr="0008483D" w:rsidRDefault="00B02873" w:rsidP="0008483D">
            <w:pPr>
              <w:pStyle w:val="TablebodyleftFinancialsTables"/>
              <w:jc w:val="right"/>
              <w:rPr>
                <w:b/>
                <w:bCs/>
              </w:rPr>
            </w:pPr>
            <w:r w:rsidRPr="0008483D">
              <w:rPr>
                <w:b/>
                <w:bCs/>
              </w:rPr>
              <w:t>–</w:t>
            </w:r>
          </w:p>
        </w:tc>
        <w:tc>
          <w:tcPr>
            <w:tcW w:w="1191" w:type="dxa"/>
          </w:tcPr>
          <w:p w14:paraId="5693CFAE" w14:textId="77777777" w:rsidR="00B02873" w:rsidRDefault="00B02873" w:rsidP="0008483D">
            <w:pPr>
              <w:pStyle w:val="TablebodyleftFinancialsTables"/>
              <w:jc w:val="right"/>
            </w:pPr>
            <w:r>
              <w:t>–</w:t>
            </w:r>
          </w:p>
        </w:tc>
        <w:tc>
          <w:tcPr>
            <w:tcW w:w="1190" w:type="dxa"/>
          </w:tcPr>
          <w:p w14:paraId="7F931F72" w14:textId="77777777" w:rsidR="00B02873" w:rsidRPr="0008483D" w:rsidRDefault="00B02873" w:rsidP="0008483D">
            <w:pPr>
              <w:pStyle w:val="TablebodyleftFinancialsTables"/>
              <w:jc w:val="right"/>
              <w:rPr>
                <w:b/>
                <w:bCs/>
              </w:rPr>
            </w:pPr>
            <w:r w:rsidRPr="0008483D">
              <w:rPr>
                <w:b/>
                <w:bCs/>
              </w:rPr>
              <w:t>–</w:t>
            </w:r>
          </w:p>
        </w:tc>
        <w:tc>
          <w:tcPr>
            <w:tcW w:w="1191" w:type="dxa"/>
          </w:tcPr>
          <w:p w14:paraId="4A2A656E" w14:textId="77777777" w:rsidR="00B02873" w:rsidRDefault="00B02873" w:rsidP="0008483D">
            <w:pPr>
              <w:pStyle w:val="TablebodyleftFinancialsTables"/>
              <w:jc w:val="right"/>
            </w:pPr>
            <w:r>
              <w:t>–</w:t>
            </w:r>
          </w:p>
        </w:tc>
      </w:tr>
      <w:tr w:rsidR="00B02873" w:rsidRPr="00B02873" w14:paraId="213ECAB8" w14:textId="77777777" w:rsidTr="0008483D">
        <w:trPr>
          <w:trHeight w:val="60"/>
        </w:trPr>
        <w:tc>
          <w:tcPr>
            <w:tcW w:w="2608" w:type="dxa"/>
          </w:tcPr>
          <w:p w14:paraId="317141F9" w14:textId="77777777" w:rsidR="00B02873" w:rsidRDefault="00B02873" w:rsidP="0008483D">
            <w:pPr>
              <w:pStyle w:val="TablebodyleftFinancialsTables"/>
            </w:pPr>
            <w:r>
              <w:t>Interest expense</w:t>
            </w:r>
          </w:p>
        </w:tc>
        <w:tc>
          <w:tcPr>
            <w:tcW w:w="1077" w:type="dxa"/>
          </w:tcPr>
          <w:p w14:paraId="60FCCD24" w14:textId="77777777" w:rsidR="00B02873" w:rsidRPr="0008483D" w:rsidRDefault="00B02873" w:rsidP="0008483D">
            <w:pPr>
              <w:pStyle w:val="TablebodyleftFinancialsTables"/>
              <w:jc w:val="right"/>
              <w:rPr>
                <w:b/>
                <w:bCs/>
              </w:rPr>
            </w:pPr>
            <w:r w:rsidRPr="0008483D">
              <w:rPr>
                <w:b/>
                <w:bCs/>
              </w:rPr>
              <w:t>7</w:t>
            </w:r>
          </w:p>
        </w:tc>
        <w:tc>
          <w:tcPr>
            <w:tcW w:w="1191" w:type="dxa"/>
          </w:tcPr>
          <w:p w14:paraId="5D56B631" w14:textId="77777777" w:rsidR="00B02873" w:rsidRDefault="00B02873" w:rsidP="0008483D">
            <w:pPr>
              <w:pStyle w:val="TablebodyleftFinancialsTables"/>
              <w:jc w:val="right"/>
            </w:pPr>
            <w:r>
              <w:t>(3)</w:t>
            </w:r>
          </w:p>
        </w:tc>
        <w:tc>
          <w:tcPr>
            <w:tcW w:w="1190" w:type="dxa"/>
          </w:tcPr>
          <w:p w14:paraId="62986704" w14:textId="77777777" w:rsidR="00B02873" w:rsidRPr="0008483D" w:rsidRDefault="00B02873" w:rsidP="0008483D">
            <w:pPr>
              <w:pStyle w:val="TablebodyleftFinancialsTables"/>
              <w:jc w:val="right"/>
              <w:rPr>
                <w:b/>
                <w:bCs/>
              </w:rPr>
            </w:pPr>
            <w:r w:rsidRPr="0008483D">
              <w:rPr>
                <w:b/>
                <w:bCs/>
              </w:rPr>
              <w:t>(6,548)</w:t>
            </w:r>
          </w:p>
        </w:tc>
        <w:tc>
          <w:tcPr>
            <w:tcW w:w="1191" w:type="dxa"/>
          </w:tcPr>
          <w:p w14:paraId="0BB4EFE7" w14:textId="77777777" w:rsidR="00B02873" w:rsidRDefault="00B02873" w:rsidP="0008483D">
            <w:pPr>
              <w:pStyle w:val="TablebodyleftFinancialsTables"/>
              <w:jc w:val="right"/>
            </w:pPr>
            <w:r>
              <w:t>(10,334)</w:t>
            </w:r>
          </w:p>
        </w:tc>
        <w:tc>
          <w:tcPr>
            <w:tcW w:w="1190" w:type="dxa"/>
          </w:tcPr>
          <w:p w14:paraId="37643687" w14:textId="77777777" w:rsidR="00B02873" w:rsidRPr="0008483D" w:rsidRDefault="00B02873" w:rsidP="0008483D">
            <w:pPr>
              <w:pStyle w:val="TablebodyleftFinancialsTables"/>
              <w:jc w:val="right"/>
              <w:rPr>
                <w:b/>
                <w:bCs/>
              </w:rPr>
            </w:pPr>
            <w:r w:rsidRPr="0008483D">
              <w:rPr>
                <w:b/>
                <w:bCs/>
              </w:rPr>
              <w:t>11</w:t>
            </w:r>
          </w:p>
        </w:tc>
        <w:tc>
          <w:tcPr>
            <w:tcW w:w="1191" w:type="dxa"/>
          </w:tcPr>
          <w:p w14:paraId="1A8CA912" w14:textId="77777777" w:rsidR="00B02873" w:rsidRDefault="00B02873" w:rsidP="0008483D">
            <w:pPr>
              <w:pStyle w:val="TablebodyleftFinancialsTables"/>
              <w:jc w:val="right"/>
            </w:pPr>
            <w:r>
              <w:t>(2)</w:t>
            </w:r>
          </w:p>
        </w:tc>
      </w:tr>
      <w:tr w:rsidR="00B02873" w:rsidRPr="00B02873" w14:paraId="38A65A5C" w14:textId="77777777" w:rsidTr="0008483D">
        <w:trPr>
          <w:trHeight w:val="60"/>
        </w:trPr>
        <w:tc>
          <w:tcPr>
            <w:tcW w:w="2608" w:type="dxa"/>
          </w:tcPr>
          <w:p w14:paraId="00F3AAA5" w14:textId="77777777" w:rsidR="00B02873" w:rsidRDefault="00B02873" w:rsidP="0008483D">
            <w:pPr>
              <w:pStyle w:val="TablebodyleftFinancialsTables"/>
            </w:pPr>
            <w:r>
              <w:t>Loan repayments transferred to the administered entity</w:t>
            </w:r>
          </w:p>
        </w:tc>
        <w:tc>
          <w:tcPr>
            <w:tcW w:w="1077" w:type="dxa"/>
          </w:tcPr>
          <w:p w14:paraId="1EE63F74" w14:textId="77777777" w:rsidR="00B02873" w:rsidRPr="0008483D" w:rsidRDefault="00B02873" w:rsidP="0008483D">
            <w:pPr>
              <w:pStyle w:val="TablebodyleftFinancialsTables"/>
              <w:jc w:val="right"/>
              <w:rPr>
                <w:b/>
                <w:bCs/>
              </w:rPr>
            </w:pPr>
            <w:r w:rsidRPr="0008483D">
              <w:rPr>
                <w:b/>
                <w:bCs/>
              </w:rPr>
              <w:t>–</w:t>
            </w:r>
          </w:p>
        </w:tc>
        <w:tc>
          <w:tcPr>
            <w:tcW w:w="1191" w:type="dxa"/>
          </w:tcPr>
          <w:p w14:paraId="021D11DF" w14:textId="77777777" w:rsidR="00B02873" w:rsidRDefault="00B02873" w:rsidP="0008483D">
            <w:pPr>
              <w:pStyle w:val="TablebodyleftFinancialsTables"/>
              <w:jc w:val="right"/>
            </w:pPr>
            <w:r>
              <w:t>–</w:t>
            </w:r>
          </w:p>
        </w:tc>
        <w:tc>
          <w:tcPr>
            <w:tcW w:w="1190" w:type="dxa"/>
          </w:tcPr>
          <w:p w14:paraId="304356FE" w14:textId="77777777" w:rsidR="00B02873" w:rsidRPr="0008483D" w:rsidRDefault="00B02873" w:rsidP="0008483D">
            <w:pPr>
              <w:pStyle w:val="TablebodyleftFinancialsTables"/>
              <w:jc w:val="right"/>
              <w:rPr>
                <w:b/>
                <w:bCs/>
              </w:rPr>
            </w:pPr>
            <w:r w:rsidRPr="0008483D">
              <w:rPr>
                <w:b/>
                <w:bCs/>
              </w:rPr>
              <w:t>(74,250)</w:t>
            </w:r>
          </w:p>
        </w:tc>
        <w:tc>
          <w:tcPr>
            <w:tcW w:w="1191" w:type="dxa"/>
          </w:tcPr>
          <w:p w14:paraId="226D083C" w14:textId="77777777" w:rsidR="00B02873" w:rsidRDefault="00B02873" w:rsidP="0008483D">
            <w:pPr>
              <w:pStyle w:val="TablebodyleftFinancialsTables"/>
              <w:jc w:val="right"/>
            </w:pPr>
            <w:r>
              <w:t>–</w:t>
            </w:r>
          </w:p>
        </w:tc>
        <w:tc>
          <w:tcPr>
            <w:tcW w:w="1190" w:type="dxa"/>
          </w:tcPr>
          <w:p w14:paraId="4BE1B03D" w14:textId="77777777" w:rsidR="00B02873" w:rsidRPr="0008483D" w:rsidRDefault="00B02873" w:rsidP="0008483D">
            <w:pPr>
              <w:pStyle w:val="TablebodyleftFinancialsTables"/>
              <w:jc w:val="right"/>
              <w:rPr>
                <w:b/>
                <w:bCs/>
              </w:rPr>
            </w:pPr>
            <w:r w:rsidRPr="0008483D">
              <w:rPr>
                <w:b/>
                <w:bCs/>
              </w:rPr>
              <w:t>–</w:t>
            </w:r>
          </w:p>
        </w:tc>
        <w:tc>
          <w:tcPr>
            <w:tcW w:w="1191" w:type="dxa"/>
          </w:tcPr>
          <w:p w14:paraId="2C32EC77" w14:textId="77777777" w:rsidR="00B02873" w:rsidRDefault="00B02873" w:rsidP="0008483D">
            <w:pPr>
              <w:pStyle w:val="TablebodyleftFinancialsTables"/>
              <w:jc w:val="right"/>
            </w:pPr>
            <w:r>
              <w:t>–</w:t>
            </w:r>
          </w:p>
        </w:tc>
      </w:tr>
      <w:tr w:rsidR="00B02873" w:rsidRPr="00B02873" w14:paraId="27611DD5" w14:textId="77777777" w:rsidTr="0008483D">
        <w:trPr>
          <w:trHeight w:val="60"/>
        </w:trPr>
        <w:tc>
          <w:tcPr>
            <w:tcW w:w="2608" w:type="dxa"/>
          </w:tcPr>
          <w:p w14:paraId="60E5600D" w14:textId="77777777" w:rsidR="00B02873" w:rsidRPr="00CB7F3B" w:rsidRDefault="00B02873" w:rsidP="0008483D">
            <w:pPr>
              <w:pStyle w:val="TablebodyleftFinancialsTables"/>
              <w:rPr>
                <w:b/>
                <w:bCs/>
              </w:rPr>
            </w:pPr>
            <w:r w:rsidRPr="00CB7F3B">
              <w:rPr>
                <w:b/>
                <w:bCs/>
              </w:rPr>
              <w:t>Total expenses from transactions</w:t>
            </w:r>
          </w:p>
        </w:tc>
        <w:tc>
          <w:tcPr>
            <w:tcW w:w="1077" w:type="dxa"/>
          </w:tcPr>
          <w:p w14:paraId="5AA2AA63" w14:textId="77777777" w:rsidR="00B02873" w:rsidRPr="0008483D" w:rsidRDefault="00B02873" w:rsidP="0008483D">
            <w:pPr>
              <w:pStyle w:val="TablebodyleftFinancialsTables"/>
              <w:jc w:val="right"/>
              <w:rPr>
                <w:b/>
                <w:bCs/>
              </w:rPr>
            </w:pPr>
            <w:r w:rsidRPr="0008483D">
              <w:rPr>
                <w:b/>
                <w:bCs/>
              </w:rPr>
              <w:t>(39,088)</w:t>
            </w:r>
          </w:p>
        </w:tc>
        <w:tc>
          <w:tcPr>
            <w:tcW w:w="1191" w:type="dxa"/>
          </w:tcPr>
          <w:p w14:paraId="2D6F85BC" w14:textId="77777777" w:rsidR="00B02873" w:rsidRDefault="00B02873" w:rsidP="0008483D">
            <w:pPr>
              <w:pStyle w:val="TablebodyleftFinancialsTables"/>
              <w:jc w:val="right"/>
            </w:pPr>
            <w:r>
              <w:t>(35,687)</w:t>
            </w:r>
          </w:p>
        </w:tc>
        <w:tc>
          <w:tcPr>
            <w:tcW w:w="1190" w:type="dxa"/>
          </w:tcPr>
          <w:p w14:paraId="2A6A5B1C" w14:textId="77777777" w:rsidR="00B02873" w:rsidRPr="0008483D" w:rsidRDefault="00B02873" w:rsidP="0008483D">
            <w:pPr>
              <w:pStyle w:val="TablebodyleftFinancialsTables"/>
              <w:jc w:val="right"/>
              <w:rPr>
                <w:b/>
                <w:bCs/>
              </w:rPr>
            </w:pPr>
            <w:r w:rsidRPr="0008483D">
              <w:rPr>
                <w:b/>
                <w:bCs/>
              </w:rPr>
              <w:t>(261,705)</w:t>
            </w:r>
          </w:p>
        </w:tc>
        <w:tc>
          <w:tcPr>
            <w:tcW w:w="1191" w:type="dxa"/>
          </w:tcPr>
          <w:p w14:paraId="4D360488" w14:textId="77777777" w:rsidR="00B02873" w:rsidRDefault="00B02873" w:rsidP="0008483D">
            <w:pPr>
              <w:pStyle w:val="TablebodyleftFinancialsTables"/>
              <w:jc w:val="right"/>
            </w:pPr>
            <w:r>
              <w:t>(234,901)</w:t>
            </w:r>
          </w:p>
        </w:tc>
        <w:tc>
          <w:tcPr>
            <w:tcW w:w="1190" w:type="dxa"/>
          </w:tcPr>
          <w:p w14:paraId="2C58BA90" w14:textId="77777777" w:rsidR="00B02873" w:rsidRPr="0008483D" w:rsidRDefault="00B02873" w:rsidP="0008483D">
            <w:pPr>
              <w:pStyle w:val="TablebodyleftFinancialsTables"/>
              <w:jc w:val="right"/>
              <w:rPr>
                <w:b/>
                <w:bCs/>
              </w:rPr>
            </w:pPr>
            <w:r w:rsidRPr="0008483D">
              <w:rPr>
                <w:b/>
                <w:bCs/>
              </w:rPr>
              <w:t>(170,450)</w:t>
            </w:r>
          </w:p>
        </w:tc>
        <w:tc>
          <w:tcPr>
            <w:tcW w:w="1191" w:type="dxa"/>
          </w:tcPr>
          <w:p w14:paraId="62F9E207" w14:textId="77777777" w:rsidR="00B02873" w:rsidRDefault="00B02873" w:rsidP="0008483D">
            <w:pPr>
              <w:pStyle w:val="TablebodyleftFinancialsTables"/>
              <w:jc w:val="right"/>
            </w:pPr>
            <w:r>
              <w:t>(165,674)</w:t>
            </w:r>
          </w:p>
        </w:tc>
      </w:tr>
      <w:tr w:rsidR="00B02873" w:rsidRPr="00B02873" w14:paraId="710D789A" w14:textId="77777777" w:rsidTr="0008483D">
        <w:trPr>
          <w:trHeight w:val="60"/>
        </w:trPr>
        <w:tc>
          <w:tcPr>
            <w:tcW w:w="2608" w:type="dxa"/>
          </w:tcPr>
          <w:p w14:paraId="53C22E73" w14:textId="77777777" w:rsidR="00B02873" w:rsidRPr="00CB7F3B" w:rsidRDefault="00B02873" w:rsidP="0008483D">
            <w:pPr>
              <w:pStyle w:val="TablebodyleftFinancialsTables"/>
              <w:rPr>
                <w:b/>
                <w:bCs/>
              </w:rPr>
            </w:pPr>
            <w:r w:rsidRPr="00CB7F3B">
              <w:rPr>
                <w:b/>
                <w:bCs/>
              </w:rPr>
              <w:t xml:space="preserve">Net result from transactions (net operating balance) </w:t>
            </w:r>
          </w:p>
        </w:tc>
        <w:tc>
          <w:tcPr>
            <w:tcW w:w="1077" w:type="dxa"/>
          </w:tcPr>
          <w:p w14:paraId="5B7CC2D9" w14:textId="5746D49C" w:rsidR="00B02873" w:rsidRPr="0008483D" w:rsidRDefault="00B02873" w:rsidP="0008483D">
            <w:pPr>
              <w:pStyle w:val="TablebodyleftFinancialsTables"/>
              <w:jc w:val="right"/>
              <w:rPr>
                <w:b/>
                <w:bCs/>
              </w:rPr>
            </w:pPr>
            <w:r w:rsidRPr="0008483D">
              <w:rPr>
                <w:b/>
                <w:bCs/>
              </w:rPr>
              <w:t>132</w:t>
            </w:r>
            <w:r w:rsidR="00012C04" w:rsidRPr="0008483D">
              <w:rPr>
                <w:b/>
                <w:bCs/>
              </w:rPr>
              <w:t xml:space="preserve"> </w:t>
            </w:r>
          </w:p>
        </w:tc>
        <w:tc>
          <w:tcPr>
            <w:tcW w:w="1191" w:type="dxa"/>
          </w:tcPr>
          <w:p w14:paraId="5C4BED33" w14:textId="77777777" w:rsidR="00B02873" w:rsidRDefault="00B02873" w:rsidP="0008483D">
            <w:pPr>
              <w:pStyle w:val="TablebodyleftFinancialsTables"/>
              <w:jc w:val="right"/>
            </w:pPr>
            <w:r>
              <w:t>(11,284)</w:t>
            </w:r>
          </w:p>
        </w:tc>
        <w:tc>
          <w:tcPr>
            <w:tcW w:w="1190" w:type="dxa"/>
          </w:tcPr>
          <w:p w14:paraId="67D7ACB8" w14:textId="74A85297" w:rsidR="00B02873" w:rsidRPr="0008483D" w:rsidRDefault="00B02873" w:rsidP="0008483D">
            <w:pPr>
              <w:pStyle w:val="TablebodyleftFinancialsTables"/>
              <w:jc w:val="right"/>
              <w:rPr>
                <w:b/>
                <w:bCs/>
              </w:rPr>
            </w:pPr>
            <w:r w:rsidRPr="0008483D">
              <w:rPr>
                <w:b/>
                <w:bCs/>
              </w:rPr>
              <w:t>(76,208)</w:t>
            </w:r>
            <w:r w:rsidR="00012C04" w:rsidRPr="0008483D">
              <w:rPr>
                <w:b/>
                <w:bCs/>
              </w:rPr>
              <w:t xml:space="preserve"> </w:t>
            </w:r>
            <w:r w:rsidRPr="0008483D">
              <w:rPr>
                <w:b/>
                <w:bCs/>
              </w:rPr>
              <w:t xml:space="preserve"> </w:t>
            </w:r>
          </w:p>
        </w:tc>
        <w:tc>
          <w:tcPr>
            <w:tcW w:w="1191" w:type="dxa"/>
          </w:tcPr>
          <w:p w14:paraId="5809FDF6" w14:textId="77777777" w:rsidR="00B02873" w:rsidRDefault="00B02873" w:rsidP="0008483D">
            <w:pPr>
              <w:pStyle w:val="TablebodyleftFinancialsTables"/>
              <w:jc w:val="right"/>
            </w:pPr>
            <w:r>
              <w:t>(4,771)</w:t>
            </w:r>
          </w:p>
        </w:tc>
        <w:tc>
          <w:tcPr>
            <w:tcW w:w="1190" w:type="dxa"/>
          </w:tcPr>
          <w:p w14:paraId="1260AE85" w14:textId="4C7C1171" w:rsidR="00B02873" w:rsidRPr="0008483D" w:rsidRDefault="00B02873" w:rsidP="0008483D">
            <w:pPr>
              <w:pStyle w:val="TablebodyleftFinancialsTables"/>
              <w:jc w:val="right"/>
              <w:rPr>
                <w:b/>
                <w:bCs/>
              </w:rPr>
            </w:pPr>
            <w:r w:rsidRPr="0008483D">
              <w:rPr>
                <w:b/>
                <w:bCs/>
              </w:rPr>
              <w:t xml:space="preserve"> 2,163</w:t>
            </w:r>
            <w:r w:rsidR="00012C04" w:rsidRPr="0008483D">
              <w:rPr>
                <w:b/>
                <w:bCs/>
              </w:rPr>
              <w:t xml:space="preserve"> </w:t>
            </w:r>
          </w:p>
        </w:tc>
        <w:tc>
          <w:tcPr>
            <w:tcW w:w="1191" w:type="dxa"/>
          </w:tcPr>
          <w:p w14:paraId="2213EA3A" w14:textId="77777777" w:rsidR="00B02873" w:rsidRDefault="00B02873" w:rsidP="0008483D">
            <w:pPr>
              <w:pStyle w:val="TablebodyleftFinancialsTables"/>
              <w:jc w:val="right"/>
            </w:pPr>
            <w:r>
              <w:t>(108,638)</w:t>
            </w:r>
          </w:p>
        </w:tc>
      </w:tr>
      <w:tr w:rsidR="00B02873" w:rsidRPr="00B02873" w14:paraId="5B3377E7" w14:textId="77777777" w:rsidTr="0008483D">
        <w:trPr>
          <w:trHeight w:val="60"/>
        </w:trPr>
        <w:tc>
          <w:tcPr>
            <w:tcW w:w="2608" w:type="dxa"/>
          </w:tcPr>
          <w:p w14:paraId="2CD89B5D" w14:textId="77777777" w:rsidR="00B02873" w:rsidRPr="00CB7F3B" w:rsidRDefault="00B02873" w:rsidP="0008483D">
            <w:pPr>
              <w:pStyle w:val="TablebodyleftFinancialsTables"/>
              <w:rPr>
                <w:b/>
                <w:bCs/>
              </w:rPr>
            </w:pPr>
            <w:r w:rsidRPr="00CB7F3B">
              <w:rPr>
                <w:b/>
                <w:bCs/>
              </w:rPr>
              <w:t>Other economic flows included in net result</w:t>
            </w:r>
          </w:p>
        </w:tc>
        <w:tc>
          <w:tcPr>
            <w:tcW w:w="1077" w:type="dxa"/>
          </w:tcPr>
          <w:p w14:paraId="0CCD1C86" w14:textId="77777777" w:rsidR="00B02873" w:rsidRPr="0008483D" w:rsidRDefault="00B02873" w:rsidP="0008483D">
            <w:pPr>
              <w:pStyle w:val="TablebodyleftFinancialsTables"/>
              <w:jc w:val="right"/>
              <w:rPr>
                <w:rFonts w:ascii="VIC Bold Italic" w:hAnsi="VIC Bold Italic" w:cs="Times New Roman"/>
                <w:b/>
                <w:bCs/>
              </w:rPr>
            </w:pPr>
          </w:p>
        </w:tc>
        <w:tc>
          <w:tcPr>
            <w:tcW w:w="1191" w:type="dxa"/>
          </w:tcPr>
          <w:p w14:paraId="33CBFD13" w14:textId="77777777" w:rsidR="00B02873" w:rsidRPr="00B02873" w:rsidRDefault="00B02873" w:rsidP="0008483D">
            <w:pPr>
              <w:pStyle w:val="TablebodyleftFinancialsTables"/>
              <w:jc w:val="right"/>
              <w:rPr>
                <w:rFonts w:ascii="VIC Bold Italic" w:hAnsi="VIC Bold Italic" w:cs="Times New Roman"/>
              </w:rPr>
            </w:pPr>
          </w:p>
        </w:tc>
        <w:tc>
          <w:tcPr>
            <w:tcW w:w="1190" w:type="dxa"/>
          </w:tcPr>
          <w:p w14:paraId="33B884D0" w14:textId="77777777" w:rsidR="00B02873" w:rsidRPr="0008483D" w:rsidRDefault="00B02873" w:rsidP="0008483D">
            <w:pPr>
              <w:pStyle w:val="TablebodyleftFinancialsTables"/>
              <w:jc w:val="right"/>
              <w:rPr>
                <w:rFonts w:ascii="VIC Bold Italic" w:hAnsi="VIC Bold Italic" w:cs="Times New Roman"/>
                <w:b/>
                <w:bCs/>
              </w:rPr>
            </w:pPr>
          </w:p>
        </w:tc>
        <w:tc>
          <w:tcPr>
            <w:tcW w:w="1191" w:type="dxa"/>
          </w:tcPr>
          <w:p w14:paraId="48CC0145" w14:textId="77777777" w:rsidR="00B02873" w:rsidRPr="00B02873" w:rsidRDefault="00B02873" w:rsidP="0008483D">
            <w:pPr>
              <w:pStyle w:val="TablebodyleftFinancialsTables"/>
              <w:jc w:val="right"/>
              <w:rPr>
                <w:rFonts w:ascii="VIC Bold Italic" w:hAnsi="VIC Bold Italic" w:cs="Times New Roman"/>
              </w:rPr>
            </w:pPr>
          </w:p>
        </w:tc>
        <w:tc>
          <w:tcPr>
            <w:tcW w:w="1190" w:type="dxa"/>
          </w:tcPr>
          <w:p w14:paraId="55598882" w14:textId="77777777" w:rsidR="00B02873" w:rsidRPr="0008483D" w:rsidRDefault="00B02873" w:rsidP="0008483D">
            <w:pPr>
              <w:pStyle w:val="TablebodyleftFinancialsTables"/>
              <w:jc w:val="right"/>
              <w:rPr>
                <w:rFonts w:ascii="VIC Bold Italic" w:hAnsi="VIC Bold Italic" w:cs="Times New Roman"/>
                <w:b/>
                <w:bCs/>
              </w:rPr>
            </w:pPr>
          </w:p>
        </w:tc>
        <w:tc>
          <w:tcPr>
            <w:tcW w:w="1191" w:type="dxa"/>
          </w:tcPr>
          <w:p w14:paraId="66D6D843" w14:textId="77777777" w:rsidR="00B02873" w:rsidRPr="00B02873" w:rsidRDefault="00B02873" w:rsidP="0008483D">
            <w:pPr>
              <w:pStyle w:val="TablebodyleftFinancialsTables"/>
              <w:jc w:val="right"/>
              <w:rPr>
                <w:rFonts w:ascii="VIC Bold Italic" w:hAnsi="VIC Bold Italic" w:cs="Times New Roman"/>
              </w:rPr>
            </w:pPr>
          </w:p>
        </w:tc>
      </w:tr>
      <w:tr w:rsidR="00B02873" w:rsidRPr="00B02873" w14:paraId="73638E6B" w14:textId="77777777" w:rsidTr="0008483D">
        <w:trPr>
          <w:trHeight w:val="60"/>
        </w:trPr>
        <w:tc>
          <w:tcPr>
            <w:tcW w:w="2608" w:type="dxa"/>
          </w:tcPr>
          <w:p w14:paraId="608BB288" w14:textId="16AE4267" w:rsidR="00B02873" w:rsidRDefault="00B02873" w:rsidP="0008483D">
            <w:pPr>
              <w:pStyle w:val="TablebodyleftFinancialsTables"/>
            </w:pPr>
            <w:r>
              <w:t>Net gain/(loss) on non-financial assets</w:t>
            </w:r>
          </w:p>
        </w:tc>
        <w:tc>
          <w:tcPr>
            <w:tcW w:w="1077" w:type="dxa"/>
          </w:tcPr>
          <w:p w14:paraId="6A4CEE89" w14:textId="4689271C" w:rsidR="00B02873" w:rsidRPr="0008483D" w:rsidRDefault="00B02873" w:rsidP="0008483D">
            <w:pPr>
              <w:pStyle w:val="TablebodyleftFinancialsTables"/>
              <w:jc w:val="right"/>
              <w:rPr>
                <w:b/>
                <w:bCs/>
              </w:rPr>
            </w:pPr>
            <w:r w:rsidRPr="0008483D">
              <w:rPr>
                <w:b/>
                <w:bCs/>
              </w:rPr>
              <w:t>1</w:t>
            </w:r>
          </w:p>
        </w:tc>
        <w:tc>
          <w:tcPr>
            <w:tcW w:w="1191" w:type="dxa"/>
          </w:tcPr>
          <w:p w14:paraId="2467E386" w14:textId="77777777" w:rsidR="00B02873" w:rsidRDefault="00B02873" w:rsidP="0008483D">
            <w:pPr>
              <w:pStyle w:val="TablebodyleftFinancialsTables"/>
              <w:jc w:val="right"/>
            </w:pPr>
            <w:r>
              <w:t>(16)</w:t>
            </w:r>
          </w:p>
        </w:tc>
        <w:tc>
          <w:tcPr>
            <w:tcW w:w="1190" w:type="dxa"/>
          </w:tcPr>
          <w:p w14:paraId="409058C8" w14:textId="77777777" w:rsidR="00B02873" w:rsidRPr="0008483D" w:rsidRDefault="00B02873" w:rsidP="0008483D">
            <w:pPr>
              <w:pStyle w:val="TablebodyleftFinancialsTables"/>
              <w:jc w:val="right"/>
              <w:rPr>
                <w:b/>
                <w:bCs/>
              </w:rPr>
            </w:pPr>
            <w:r w:rsidRPr="0008483D">
              <w:rPr>
                <w:b/>
                <w:bCs/>
              </w:rPr>
              <w:t>(87)</w:t>
            </w:r>
          </w:p>
        </w:tc>
        <w:tc>
          <w:tcPr>
            <w:tcW w:w="1191" w:type="dxa"/>
          </w:tcPr>
          <w:p w14:paraId="7CAAC6F8" w14:textId="77777777" w:rsidR="00B02873" w:rsidRDefault="00B02873" w:rsidP="0008483D">
            <w:pPr>
              <w:pStyle w:val="TablebodyleftFinancialsTables"/>
              <w:jc w:val="right"/>
            </w:pPr>
            <w:r>
              <w:t>(40)</w:t>
            </w:r>
          </w:p>
        </w:tc>
        <w:tc>
          <w:tcPr>
            <w:tcW w:w="1190" w:type="dxa"/>
          </w:tcPr>
          <w:p w14:paraId="3EA021E3" w14:textId="77777777" w:rsidR="00B02873" w:rsidRPr="0008483D" w:rsidRDefault="00B02873" w:rsidP="0008483D">
            <w:pPr>
              <w:pStyle w:val="TablebodyleftFinancialsTables"/>
              <w:jc w:val="right"/>
              <w:rPr>
                <w:b/>
                <w:bCs/>
              </w:rPr>
            </w:pPr>
            <w:r w:rsidRPr="0008483D">
              <w:rPr>
                <w:b/>
                <w:bCs/>
              </w:rPr>
              <w:t>(52)</w:t>
            </w:r>
          </w:p>
        </w:tc>
        <w:tc>
          <w:tcPr>
            <w:tcW w:w="1191" w:type="dxa"/>
          </w:tcPr>
          <w:p w14:paraId="2040DCCE" w14:textId="77777777" w:rsidR="00B02873" w:rsidRDefault="00B02873" w:rsidP="0008483D">
            <w:pPr>
              <w:pStyle w:val="TablebodyleftFinancialsTables"/>
              <w:jc w:val="right"/>
            </w:pPr>
            <w:r>
              <w:t>(12)</w:t>
            </w:r>
          </w:p>
        </w:tc>
      </w:tr>
      <w:tr w:rsidR="00B02873" w:rsidRPr="00B02873" w14:paraId="0066C3A2" w14:textId="77777777" w:rsidTr="0008483D">
        <w:trPr>
          <w:trHeight w:val="60"/>
        </w:trPr>
        <w:tc>
          <w:tcPr>
            <w:tcW w:w="2608" w:type="dxa"/>
          </w:tcPr>
          <w:p w14:paraId="4D5B98EE" w14:textId="77777777" w:rsidR="00B02873" w:rsidRDefault="00B02873" w:rsidP="0008483D">
            <w:pPr>
              <w:pStyle w:val="TablebodyleftFinancialsTables"/>
            </w:pPr>
            <w:r>
              <w:lastRenderedPageBreak/>
              <w:t xml:space="preserve">Net gain/(loss) on financial instruments </w:t>
            </w:r>
          </w:p>
        </w:tc>
        <w:tc>
          <w:tcPr>
            <w:tcW w:w="1077" w:type="dxa"/>
          </w:tcPr>
          <w:p w14:paraId="4E06B841" w14:textId="77777777" w:rsidR="00B02873" w:rsidRPr="0008483D" w:rsidRDefault="00B02873" w:rsidP="0008483D">
            <w:pPr>
              <w:pStyle w:val="TablebodyleftFinancialsTables"/>
              <w:jc w:val="right"/>
              <w:rPr>
                <w:b/>
                <w:bCs/>
              </w:rPr>
            </w:pPr>
            <w:r w:rsidRPr="0008483D">
              <w:rPr>
                <w:b/>
                <w:bCs/>
              </w:rPr>
              <w:t>2</w:t>
            </w:r>
          </w:p>
        </w:tc>
        <w:tc>
          <w:tcPr>
            <w:tcW w:w="1191" w:type="dxa"/>
          </w:tcPr>
          <w:p w14:paraId="72D76EA0" w14:textId="77777777" w:rsidR="00B02873" w:rsidRDefault="00B02873" w:rsidP="0008483D">
            <w:pPr>
              <w:pStyle w:val="TablebodyleftFinancialsTables"/>
              <w:jc w:val="right"/>
            </w:pPr>
            <w:r>
              <w:t>(26)</w:t>
            </w:r>
          </w:p>
        </w:tc>
        <w:tc>
          <w:tcPr>
            <w:tcW w:w="1190" w:type="dxa"/>
          </w:tcPr>
          <w:p w14:paraId="4DBBE83C" w14:textId="77777777" w:rsidR="00B02873" w:rsidRPr="0008483D" w:rsidRDefault="00B02873" w:rsidP="0008483D">
            <w:pPr>
              <w:pStyle w:val="TablebodyleftFinancialsTables"/>
              <w:jc w:val="right"/>
              <w:rPr>
                <w:b/>
                <w:bCs/>
              </w:rPr>
            </w:pPr>
            <w:r w:rsidRPr="0008483D">
              <w:rPr>
                <w:b/>
                <w:bCs/>
              </w:rPr>
              <w:t>(730)</w:t>
            </w:r>
          </w:p>
        </w:tc>
        <w:tc>
          <w:tcPr>
            <w:tcW w:w="1191" w:type="dxa"/>
          </w:tcPr>
          <w:p w14:paraId="3CC9263B" w14:textId="77777777" w:rsidR="00B02873" w:rsidRDefault="00B02873" w:rsidP="0008483D">
            <w:pPr>
              <w:pStyle w:val="TablebodyleftFinancialsTables"/>
              <w:jc w:val="right"/>
            </w:pPr>
            <w:r>
              <w:t>(774)</w:t>
            </w:r>
          </w:p>
        </w:tc>
        <w:tc>
          <w:tcPr>
            <w:tcW w:w="1190" w:type="dxa"/>
          </w:tcPr>
          <w:p w14:paraId="0BCC7682" w14:textId="77777777" w:rsidR="00B02873" w:rsidRPr="0008483D" w:rsidRDefault="00B02873" w:rsidP="0008483D">
            <w:pPr>
              <w:pStyle w:val="TablebodyleftFinancialsTables"/>
              <w:jc w:val="right"/>
              <w:rPr>
                <w:b/>
                <w:bCs/>
              </w:rPr>
            </w:pPr>
            <w:r w:rsidRPr="0008483D">
              <w:rPr>
                <w:b/>
                <w:bCs/>
              </w:rPr>
              <w:t>3</w:t>
            </w:r>
          </w:p>
        </w:tc>
        <w:tc>
          <w:tcPr>
            <w:tcW w:w="1191" w:type="dxa"/>
          </w:tcPr>
          <w:p w14:paraId="3DEB213C" w14:textId="77777777" w:rsidR="00B02873" w:rsidRDefault="00B02873" w:rsidP="0008483D">
            <w:pPr>
              <w:pStyle w:val="TablebodyleftFinancialsTables"/>
              <w:jc w:val="right"/>
            </w:pPr>
            <w:r>
              <w:t>(20)</w:t>
            </w:r>
          </w:p>
        </w:tc>
      </w:tr>
      <w:tr w:rsidR="00B02873" w:rsidRPr="00B02873" w14:paraId="19915A01" w14:textId="77777777" w:rsidTr="0008483D">
        <w:trPr>
          <w:trHeight w:val="60"/>
        </w:trPr>
        <w:tc>
          <w:tcPr>
            <w:tcW w:w="2608" w:type="dxa"/>
          </w:tcPr>
          <w:p w14:paraId="016BC03F" w14:textId="77777777" w:rsidR="00B02873" w:rsidRDefault="00B02873" w:rsidP="0008483D">
            <w:pPr>
              <w:pStyle w:val="TablebodyleftFinancialsTables"/>
            </w:pPr>
            <w:r>
              <w:t>Other gains from other economic flows</w:t>
            </w:r>
          </w:p>
        </w:tc>
        <w:tc>
          <w:tcPr>
            <w:tcW w:w="1077" w:type="dxa"/>
          </w:tcPr>
          <w:p w14:paraId="1DBAF2AD" w14:textId="38645DF2" w:rsidR="00B02873" w:rsidRPr="0008483D" w:rsidRDefault="00012C04" w:rsidP="0008483D">
            <w:pPr>
              <w:pStyle w:val="TablebodyleftFinancialsTables"/>
              <w:jc w:val="right"/>
              <w:rPr>
                <w:b/>
                <w:bCs/>
              </w:rPr>
            </w:pPr>
            <w:r w:rsidRPr="0008483D">
              <w:rPr>
                <w:b/>
                <w:bCs/>
              </w:rPr>
              <w:t xml:space="preserve"> </w:t>
            </w:r>
            <w:r w:rsidR="00B02873" w:rsidRPr="0008483D">
              <w:rPr>
                <w:b/>
                <w:bCs/>
              </w:rPr>
              <w:t xml:space="preserve"> 294</w:t>
            </w:r>
          </w:p>
        </w:tc>
        <w:tc>
          <w:tcPr>
            <w:tcW w:w="1191" w:type="dxa"/>
          </w:tcPr>
          <w:p w14:paraId="27FCAB22" w14:textId="77777777" w:rsidR="00B02873" w:rsidRDefault="00B02873" w:rsidP="0008483D">
            <w:pPr>
              <w:pStyle w:val="TablebodyleftFinancialsTables"/>
              <w:jc w:val="right"/>
            </w:pPr>
            <w:r>
              <w:t>510</w:t>
            </w:r>
          </w:p>
        </w:tc>
        <w:tc>
          <w:tcPr>
            <w:tcW w:w="1190" w:type="dxa"/>
          </w:tcPr>
          <w:p w14:paraId="233DECB4" w14:textId="77777777" w:rsidR="00B02873" w:rsidRPr="0008483D" w:rsidRDefault="00B02873" w:rsidP="0008483D">
            <w:pPr>
              <w:pStyle w:val="TablebodyleftFinancialsTables"/>
              <w:jc w:val="right"/>
              <w:rPr>
                <w:b/>
                <w:bCs/>
              </w:rPr>
            </w:pPr>
            <w:r w:rsidRPr="0008483D">
              <w:rPr>
                <w:b/>
                <w:bCs/>
              </w:rPr>
              <w:t>981</w:t>
            </w:r>
          </w:p>
        </w:tc>
        <w:tc>
          <w:tcPr>
            <w:tcW w:w="1191" w:type="dxa"/>
          </w:tcPr>
          <w:p w14:paraId="19AE7575" w14:textId="77777777" w:rsidR="00B02873" w:rsidRDefault="00B02873" w:rsidP="0008483D">
            <w:pPr>
              <w:pStyle w:val="TablebodyleftFinancialsTables"/>
              <w:jc w:val="right"/>
            </w:pPr>
            <w:r>
              <w:t>1,277</w:t>
            </w:r>
          </w:p>
        </w:tc>
        <w:tc>
          <w:tcPr>
            <w:tcW w:w="1190" w:type="dxa"/>
          </w:tcPr>
          <w:p w14:paraId="54DCC898" w14:textId="077D9A88" w:rsidR="00B02873" w:rsidRPr="0008483D" w:rsidRDefault="00012C04" w:rsidP="0008483D">
            <w:pPr>
              <w:pStyle w:val="TablebodyleftFinancialsTables"/>
              <w:jc w:val="right"/>
              <w:rPr>
                <w:b/>
                <w:bCs/>
              </w:rPr>
            </w:pPr>
            <w:r w:rsidRPr="0008483D">
              <w:rPr>
                <w:b/>
                <w:bCs/>
              </w:rPr>
              <w:t xml:space="preserve"> </w:t>
            </w:r>
            <w:r w:rsidR="00B02873" w:rsidRPr="0008483D">
              <w:rPr>
                <w:b/>
                <w:bCs/>
              </w:rPr>
              <w:t xml:space="preserve"> 490</w:t>
            </w:r>
          </w:p>
        </w:tc>
        <w:tc>
          <w:tcPr>
            <w:tcW w:w="1191" w:type="dxa"/>
          </w:tcPr>
          <w:p w14:paraId="350846D0" w14:textId="77777777" w:rsidR="00B02873" w:rsidRDefault="00B02873" w:rsidP="0008483D">
            <w:pPr>
              <w:pStyle w:val="TablebodyleftFinancialsTables"/>
              <w:jc w:val="right"/>
            </w:pPr>
            <w:r>
              <w:t>383</w:t>
            </w:r>
          </w:p>
        </w:tc>
      </w:tr>
      <w:tr w:rsidR="00B02873" w:rsidRPr="00B02873" w14:paraId="217A78A1" w14:textId="77777777" w:rsidTr="0008483D">
        <w:trPr>
          <w:trHeight w:val="60"/>
        </w:trPr>
        <w:tc>
          <w:tcPr>
            <w:tcW w:w="2608" w:type="dxa"/>
          </w:tcPr>
          <w:p w14:paraId="783693EE" w14:textId="77777777" w:rsidR="00B02873" w:rsidRPr="00CB7F3B" w:rsidRDefault="00B02873" w:rsidP="0008483D">
            <w:pPr>
              <w:pStyle w:val="TablebodyleftFinancialsTables"/>
              <w:rPr>
                <w:b/>
                <w:bCs/>
              </w:rPr>
            </w:pPr>
            <w:r w:rsidRPr="00CB7F3B">
              <w:rPr>
                <w:b/>
                <w:bCs/>
              </w:rPr>
              <w:t>Total other economic flows included in net result</w:t>
            </w:r>
          </w:p>
        </w:tc>
        <w:tc>
          <w:tcPr>
            <w:tcW w:w="1077" w:type="dxa"/>
          </w:tcPr>
          <w:p w14:paraId="60D5FACF" w14:textId="77777777" w:rsidR="00B02873" w:rsidRPr="0008483D" w:rsidRDefault="00B02873" w:rsidP="0008483D">
            <w:pPr>
              <w:pStyle w:val="TablebodyleftFinancialsTables"/>
              <w:jc w:val="right"/>
              <w:rPr>
                <w:b/>
                <w:bCs/>
              </w:rPr>
            </w:pPr>
            <w:r w:rsidRPr="0008483D">
              <w:rPr>
                <w:b/>
                <w:bCs/>
              </w:rPr>
              <w:t>297</w:t>
            </w:r>
          </w:p>
        </w:tc>
        <w:tc>
          <w:tcPr>
            <w:tcW w:w="1191" w:type="dxa"/>
          </w:tcPr>
          <w:p w14:paraId="0C03C007" w14:textId="77777777" w:rsidR="00B02873" w:rsidRDefault="00B02873" w:rsidP="0008483D">
            <w:pPr>
              <w:pStyle w:val="TablebodyleftFinancialsTables"/>
              <w:jc w:val="right"/>
            </w:pPr>
            <w:r>
              <w:t xml:space="preserve"> 468</w:t>
            </w:r>
          </w:p>
        </w:tc>
        <w:tc>
          <w:tcPr>
            <w:tcW w:w="1190" w:type="dxa"/>
          </w:tcPr>
          <w:p w14:paraId="06EA8471" w14:textId="77777777" w:rsidR="00B02873" w:rsidRPr="0008483D" w:rsidRDefault="00B02873" w:rsidP="0008483D">
            <w:pPr>
              <w:pStyle w:val="TablebodyleftFinancialsTables"/>
              <w:jc w:val="right"/>
              <w:rPr>
                <w:b/>
                <w:bCs/>
              </w:rPr>
            </w:pPr>
            <w:r w:rsidRPr="0008483D">
              <w:rPr>
                <w:b/>
                <w:bCs/>
              </w:rPr>
              <w:t xml:space="preserve"> 164</w:t>
            </w:r>
          </w:p>
        </w:tc>
        <w:tc>
          <w:tcPr>
            <w:tcW w:w="1191" w:type="dxa"/>
          </w:tcPr>
          <w:p w14:paraId="6DE7A9DB" w14:textId="77777777" w:rsidR="00B02873" w:rsidRDefault="00B02873" w:rsidP="0008483D">
            <w:pPr>
              <w:pStyle w:val="TablebodyleftFinancialsTables"/>
              <w:jc w:val="right"/>
            </w:pPr>
            <w:r>
              <w:t xml:space="preserve"> 463</w:t>
            </w:r>
          </w:p>
        </w:tc>
        <w:tc>
          <w:tcPr>
            <w:tcW w:w="1190" w:type="dxa"/>
          </w:tcPr>
          <w:p w14:paraId="6B6C2959" w14:textId="77777777" w:rsidR="00B02873" w:rsidRPr="0008483D" w:rsidRDefault="00B02873" w:rsidP="0008483D">
            <w:pPr>
              <w:pStyle w:val="TablebodyleftFinancialsTables"/>
              <w:jc w:val="right"/>
              <w:rPr>
                <w:b/>
                <w:bCs/>
              </w:rPr>
            </w:pPr>
            <w:r w:rsidRPr="0008483D">
              <w:rPr>
                <w:b/>
                <w:bCs/>
              </w:rPr>
              <w:t>441</w:t>
            </w:r>
          </w:p>
        </w:tc>
        <w:tc>
          <w:tcPr>
            <w:tcW w:w="1191" w:type="dxa"/>
          </w:tcPr>
          <w:p w14:paraId="2F7B1FAA" w14:textId="77777777" w:rsidR="00B02873" w:rsidRDefault="00B02873" w:rsidP="0008483D">
            <w:pPr>
              <w:pStyle w:val="TablebodyleftFinancialsTables"/>
              <w:jc w:val="right"/>
            </w:pPr>
            <w:r>
              <w:t xml:space="preserve"> 351</w:t>
            </w:r>
          </w:p>
        </w:tc>
      </w:tr>
      <w:tr w:rsidR="00B02873" w:rsidRPr="00B02873" w14:paraId="04A4C66D" w14:textId="77777777" w:rsidTr="0008483D">
        <w:trPr>
          <w:trHeight w:val="60"/>
        </w:trPr>
        <w:tc>
          <w:tcPr>
            <w:tcW w:w="2608" w:type="dxa"/>
          </w:tcPr>
          <w:p w14:paraId="727270FB" w14:textId="77777777" w:rsidR="00B02873" w:rsidRPr="00CB7F3B" w:rsidRDefault="00B02873" w:rsidP="0008483D">
            <w:pPr>
              <w:pStyle w:val="TablebodyleftFinancialsTables"/>
              <w:rPr>
                <w:b/>
                <w:bCs/>
              </w:rPr>
            </w:pPr>
            <w:r w:rsidRPr="00CB7F3B">
              <w:rPr>
                <w:b/>
                <w:bCs/>
              </w:rPr>
              <w:t xml:space="preserve">Net result </w:t>
            </w:r>
          </w:p>
        </w:tc>
        <w:tc>
          <w:tcPr>
            <w:tcW w:w="1077" w:type="dxa"/>
          </w:tcPr>
          <w:p w14:paraId="2B654BBD" w14:textId="77777777" w:rsidR="00B02873" w:rsidRPr="0008483D" w:rsidRDefault="00B02873" w:rsidP="0008483D">
            <w:pPr>
              <w:pStyle w:val="TablebodyleftFinancialsTables"/>
              <w:jc w:val="right"/>
              <w:rPr>
                <w:b/>
                <w:bCs/>
              </w:rPr>
            </w:pPr>
            <w:r w:rsidRPr="0008483D">
              <w:rPr>
                <w:b/>
                <w:bCs/>
              </w:rPr>
              <w:t>429</w:t>
            </w:r>
          </w:p>
        </w:tc>
        <w:tc>
          <w:tcPr>
            <w:tcW w:w="1191" w:type="dxa"/>
          </w:tcPr>
          <w:p w14:paraId="6817638E" w14:textId="77777777" w:rsidR="00B02873" w:rsidRDefault="00B02873" w:rsidP="0008483D">
            <w:pPr>
              <w:pStyle w:val="TablebodyleftFinancialsTables"/>
              <w:jc w:val="right"/>
            </w:pPr>
            <w:r>
              <w:t>(10,816)</w:t>
            </w:r>
          </w:p>
        </w:tc>
        <w:tc>
          <w:tcPr>
            <w:tcW w:w="1190" w:type="dxa"/>
          </w:tcPr>
          <w:p w14:paraId="64532CE1" w14:textId="77777777" w:rsidR="00B02873" w:rsidRPr="0008483D" w:rsidRDefault="00B02873" w:rsidP="0008483D">
            <w:pPr>
              <w:pStyle w:val="TablebodyleftFinancialsTables"/>
              <w:jc w:val="right"/>
              <w:rPr>
                <w:b/>
                <w:bCs/>
              </w:rPr>
            </w:pPr>
            <w:r w:rsidRPr="0008483D">
              <w:rPr>
                <w:b/>
                <w:bCs/>
              </w:rPr>
              <w:t>(76,044)</w:t>
            </w:r>
          </w:p>
        </w:tc>
        <w:tc>
          <w:tcPr>
            <w:tcW w:w="1191" w:type="dxa"/>
          </w:tcPr>
          <w:p w14:paraId="65ED9BF6" w14:textId="77777777" w:rsidR="00B02873" w:rsidRDefault="00B02873" w:rsidP="0008483D">
            <w:pPr>
              <w:pStyle w:val="TablebodyleftFinancialsTables"/>
              <w:jc w:val="right"/>
            </w:pPr>
            <w:r>
              <w:t>(4,308)</w:t>
            </w:r>
          </w:p>
        </w:tc>
        <w:tc>
          <w:tcPr>
            <w:tcW w:w="1190" w:type="dxa"/>
          </w:tcPr>
          <w:p w14:paraId="67851F9B" w14:textId="77777777" w:rsidR="00B02873" w:rsidRPr="0008483D" w:rsidRDefault="00B02873" w:rsidP="0008483D">
            <w:pPr>
              <w:pStyle w:val="TablebodyleftFinancialsTables"/>
              <w:jc w:val="right"/>
              <w:rPr>
                <w:b/>
                <w:bCs/>
              </w:rPr>
            </w:pPr>
            <w:r w:rsidRPr="0008483D">
              <w:rPr>
                <w:b/>
                <w:bCs/>
              </w:rPr>
              <w:t>2,604</w:t>
            </w:r>
          </w:p>
        </w:tc>
        <w:tc>
          <w:tcPr>
            <w:tcW w:w="1191" w:type="dxa"/>
          </w:tcPr>
          <w:p w14:paraId="791A6515" w14:textId="77777777" w:rsidR="00B02873" w:rsidRDefault="00B02873" w:rsidP="0008483D">
            <w:pPr>
              <w:pStyle w:val="TablebodyleftFinancialsTables"/>
              <w:jc w:val="right"/>
            </w:pPr>
            <w:r>
              <w:t>(108,287)</w:t>
            </w:r>
          </w:p>
        </w:tc>
      </w:tr>
      <w:tr w:rsidR="00B02873" w:rsidRPr="00B02873" w14:paraId="128E02A9" w14:textId="77777777" w:rsidTr="0008483D">
        <w:trPr>
          <w:trHeight w:val="60"/>
        </w:trPr>
        <w:tc>
          <w:tcPr>
            <w:tcW w:w="2608" w:type="dxa"/>
          </w:tcPr>
          <w:p w14:paraId="405CF760" w14:textId="77777777" w:rsidR="00B02873" w:rsidRPr="00CB7F3B" w:rsidRDefault="00B02873" w:rsidP="0008483D">
            <w:pPr>
              <w:pStyle w:val="TablebodyleftFinancialsTables"/>
              <w:rPr>
                <w:b/>
                <w:bCs/>
              </w:rPr>
            </w:pPr>
            <w:r w:rsidRPr="00CB7F3B">
              <w:rPr>
                <w:b/>
                <w:bCs/>
              </w:rPr>
              <w:t>Other economic flows – other comprehensive income</w:t>
            </w:r>
          </w:p>
        </w:tc>
        <w:tc>
          <w:tcPr>
            <w:tcW w:w="1077" w:type="dxa"/>
          </w:tcPr>
          <w:p w14:paraId="498AE50E" w14:textId="77777777" w:rsidR="00B02873" w:rsidRPr="0008483D" w:rsidRDefault="00B02873" w:rsidP="0008483D">
            <w:pPr>
              <w:pStyle w:val="TablebodyleftFinancialsTables"/>
              <w:jc w:val="right"/>
              <w:rPr>
                <w:rFonts w:ascii="VIC Bold Italic" w:hAnsi="VIC Bold Italic" w:cs="Times New Roman"/>
                <w:b/>
                <w:bCs/>
              </w:rPr>
            </w:pPr>
          </w:p>
        </w:tc>
        <w:tc>
          <w:tcPr>
            <w:tcW w:w="1191" w:type="dxa"/>
          </w:tcPr>
          <w:p w14:paraId="7082395A" w14:textId="77777777" w:rsidR="00B02873" w:rsidRPr="00B02873" w:rsidRDefault="00B02873" w:rsidP="0008483D">
            <w:pPr>
              <w:pStyle w:val="TablebodyleftFinancialsTables"/>
              <w:jc w:val="right"/>
              <w:rPr>
                <w:rFonts w:ascii="VIC Bold Italic" w:hAnsi="VIC Bold Italic" w:cs="Times New Roman"/>
              </w:rPr>
            </w:pPr>
          </w:p>
        </w:tc>
        <w:tc>
          <w:tcPr>
            <w:tcW w:w="1190" w:type="dxa"/>
          </w:tcPr>
          <w:p w14:paraId="4EDF27C8" w14:textId="77777777" w:rsidR="00B02873" w:rsidRPr="0008483D" w:rsidRDefault="00B02873" w:rsidP="0008483D">
            <w:pPr>
              <w:pStyle w:val="TablebodyleftFinancialsTables"/>
              <w:jc w:val="right"/>
              <w:rPr>
                <w:rFonts w:ascii="VIC Bold Italic" w:hAnsi="VIC Bold Italic" w:cs="Times New Roman"/>
                <w:b/>
                <w:bCs/>
              </w:rPr>
            </w:pPr>
          </w:p>
        </w:tc>
        <w:tc>
          <w:tcPr>
            <w:tcW w:w="1191" w:type="dxa"/>
          </w:tcPr>
          <w:p w14:paraId="620607AF" w14:textId="77777777" w:rsidR="00B02873" w:rsidRPr="00B02873" w:rsidRDefault="00B02873" w:rsidP="0008483D">
            <w:pPr>
              <w:pStyle w:val="TablebodyleftFinancialsTables"/>
              <w:jc w:val="right"/>
              <w:rPr>
                <w:rFonts w:ascii="VIC Bold Italic" w:hAnsi="VIC Bold Italic" w:cs="Times New Roman"/>
              </w:rPr>
            </w:pPr>
          </w:p>
        </w:tc>
        <w:tc>
          <w:tcPr>
            <w:tcW w:w="1190" w:type="dxa"/>
          </w:tcPr>
          <w:p w14:paraId="1C61B139" w14:textId="77777777" w:rsidR="00B02873" w:rsidRPr="0008483D" w:rsidRDefault="00B02873" w:rsidP="0008483D">
            <w:pPr>
              <w:pStyle w:val="TablebodyleftFinancialsTables"/>
              <w:jc w:val="right"/>
              <w:rPr>
                <w:rFonts w:ascii="VIC Bold Italic" w:hAnsi="VIC Bold Italic" w:cs="Times New Roman"/>
                <w:b/>
                <w:bCs/>
              </w:rPr>
            </w:pPr>
          </w:p>
        </w:tc>
        <w:tc>
          <w:tcPr>
            <w:tcW w:w="1191" w:type="dxa"/>
          </w:tcPr>
          <w:p w14:paraId="6AD899B7" w14:textId="77777777" w:rsidR="00B02873" w:rsidRPr="00B02873" w:rsidRDefault="00B02873" w:rsidP="0008483D">
            <w:pPr>
              <w:pStyle w:val="TablebodyleftFinancialsTables"/>
              <w:jc w:val="right"/>
              <w:rPr>
                <w:rFonts w:ascii="VIC Bold Italic" w:hAnsi="VIC Bold Italic" w:cs="Times New Roman"/>
              </w:rPr>
            </w:pPr>
          </w:p>
        </w:tc>
      </w:tr>
      <w:tr w:rsidR="00B02873" w:rsidRPr="00B02873" w14:paraId="7F20ACBD" w14:textId="77777777" w:rsidTr="0008483D">
        <w:trPr>
          <w:trHeight w:val="60"/>
        </w:trPr>
        <w:tc>
          <w:tcPr>
            <w:tcW w:w="2608" w:type="dxa"/>
          </w:tcPr>
          <w:p w14:paraId="6D08C690" w14:textId="77777777" w:rsidR="00B02873" w:rsidRPr="00CB7F3B" w:rsidRDefault="00B02873" w:rsidP="0008483D">
            <w:pPr>
              <w:pStyle w:val="TablebodyleftFinancialsTables"/>
              <w:rPr>
                <w:b/>
                <w:bCs/>
              </w:rPr>
            </w:pPr>
            <w:r w:rsidRPr="00CB7F3B">
              <w:rPr>
                <w:b/>
                <w:bCs/>
              </w:rPr>
              <w:t>Items that will not be classified to net result</w:t>
            </w:r>
          </w:p>
        </w:tc>
        <w:tc>
          <w:tcPr>
            <w:tcW w:w="1077" w:type="dxa"/>
          </w:tcPr>
          <w:p w14:paraId="04B672DC" w14:textId="77777777" w:rsidR="00B02873" w:rsidRPr="0008483D" w:rsidRDefault="00B02873" w:rsidP="0008483D">
            <w:pPr>
              <w:pStyle w:val="TablebodyleftFinancialsTables"/>
              <w:jc w:val="right"/>
              <w:rPr>
                <w:rFonts w:ascii="VIC Bold Italic" w:hAnsi="VIC Bold Italic" w:cs="Times New Roman"/>
                <w:b/>
                <w:bCs/>
              </w:rPr>
            </w:pPr>
          </w:p>
        </w:tc>
        <w:tc>
          <w:tcPr>
            <w:tcW w:w="1191" w:type="dxa"/>
          </w:tcPr>
          <w:p w14:paraId="66610ECD" w14:textId="77777777" w:rsidR="00B02873" w:rsidRPr="00B02873" w:rsidRDefault="00B02873" w:rsidP="0008483D">
            <w:pPr>
              <w:pStyle w:val="TablebodyleftFinancialsTables"/>
              <w:jc w:val="right"/>
              <w:rPr>
                <w:rFonts w:ascii="VIC Bold Italic" w:hAnsi="VIC Bold Italic" w:cs="Times New Roman"/>
              </w:rPr>
            </w:pPr>
          </w:p>
        </w:tc>
        <w:tc>
          <w:tcPr>
            <w:tcW w:w="1190" w:type="dxa"/>
          </w:tcPr>
          <w:p w14:paraId="3481C71C" w14:textId="77777777" w:rsidR="00B02873" w:rsidRPr="0008483D" w:rsidRDefault="00B02873" w:rsidP="0008483D">
            <w:pPr>
              <w:pStyle w:val="TablebodyleftFinancialsTables"/>
              <w:jc w:val="right"/>
              <w:rPr>
                <w:rFonts w:ascii="VIC Bold Italic" w:hAnsi="VIC Bold Italic" w:cs="Times New Roman"/>
                <w:b/>
                <w:bCs/>
              </w:rPr>
            </w:pPr>
          </w:p>
        </w:tc>
        <w:tc>
          <w:tcPr>
            <w:tcW w:w="1191" w:type="dxa"/>
          </w:tcPr>
          <w:p w14:paraId="71C04194" w14:textId="77777777" w:rsidR="00B02873" w:rsidRPr="00B02873" w:rsidRDefault="00B02873" w:rsidP="0008483D">
            <w:pPr>
              <w:pStyle w:val="TablebodyleftFinancialsTables"/>
              <w:jc w:val="right"/>
              <w:rPr>
                <w:rFonts w:ascii="VIC Bold Italic" w:hAnsi="VIC Bold Italic" w:cs="Times New Roman"/>
              </w:rPr>
            </w:pPr>
          </w:p>
        </w:tc>
        <w:tc>
          <w:tcPr>
            <w:tcW w:w="1190" w:type="dxa"/>
          </w:tcPr>
          <w:p w14:paraId="77A0C4BF" w14:textId="77777777" w:rsidR="00B02873" w:rsidRPr="0008483D" w:rsidRDefault="00B02873" w:rsidP="0008483D">
            <w:pPr>
              <w:pStyle w:val="TablebodyleftFinancialsTables"/>
              <w:jc w:val="right"/>
              <w:rPr>
                <w:rFonts w:ascii="VIC Bold Italic" w:hAnsi="VIC Bold Italic" w:cs="Times New Roman"/>
                <w:b/>
                <w:bCs/>
              </w:rPr>
            </w:pPr>
          </w:p>
        </w:tc>
        <w:tc>
          <w:tcPr>
            <w:tcW w:w="1191" w:type="dxa"/>
          </w:tcPr>
          <w:p w14:paraId="6DA8C87F" w14:textId="77777777" w:rsidR="00B02873" w:rsidRPr="00B02873" w:rsidRDefault="00B02873" w:rsidP="0008483D">
            <w:pPr>
              <w:pStyle w:val="TablebodyleftFinancialsTables"/>
              <w:jc w:val="right"/>
              <w:rPr>
                <w:rFonts w:ascii="VIC Bold Italic" w:hAnsi="VIC Bold Italic" w:cs="Times New Roman"/>
              </w:rPr>
            </w:pPr>
          </w:p>
        </w:tc>
      </w:tr>
      <w:tr w:rsidR="00B02873" w:rsidRPr="00B02873" w14:paraId="025E49CC" w14:textId="77777777" w:rsidTr="0008483D">
        <w:trPr>
          <w:trHeight w:val="60"/>
        </w:trPr>
        <w:tc>
          <w:tcPr>
            <w:tcW w:w="2608" w:type="dxa"/>
          </w:tcPr>
          <w:p w14:paraId="238FD190" w14:textId="77777777" w:rsidR="00B02873" w:rsidRDefault="00B02873" w:rsidP="0008483D">
            <w:pPr>
              <w:pStyle w:val="TablebodyleftFinancialsTables"/>
            </w:pPr>
            <w:r>
              <w:t>Changes in physical asset revaluation surplus</w:t>
            </w:r>
          </w:p>
        </w:tc>
        <w:tc>
          <w:tcPr>
            <w:tcW w:w="1077" w:type="dxa"/>
          </w:tcPr>
          <w:p w14:paraId="5F674160" w14:textId="77777777" w:rsidR="00B02873" w:rsidRPr="0008483D" w:rsidRDefault="00B02873" w:rsidP="0008483D">
            <w:pPr>
              <w:pStyle w:val="TablebodyleftFinancialsTables"/>
              <w:jc w:val="right"/>
              <w:rPr>
                <w:b/>
                <w:bCs/>
              </w:rPr>
            </w:pPr>
            <w:r w:rsidRPr="0008483D">
              <w:rPr>
                <w:b/>
                <w:bCs/>
              </w:rPr>
              <w:t>–</w:t>
            </w:r>
          </w:p>
        </w:tc>
        <w:tc>
          <w:tcPr>
            <w:tcW w:w="1191" w:type="dxa"/>
          </w:tcPr>
          <w:p w14:paraId="1743E555" w14:textId="77777777" w:rsidR="00B02873" w:rsidRDefault="00B02873" w:rsidP="0008483D">
            <w:pPr>
              <w:pStyle w:val="TablebodyleftFinancialsTables"/>
              <w:jc w:val="right"/>
            </w:pPr>
            <w:r>
              <w:t>–</w:t>
            </w:r>
          </w:p>
        </w:tc>
        <w:tc>
          <w:tcPr>
            <w:tcW w:w="1190" w:type="dxa"/>
          </w:tcPr>
          <w:p w14:paraId="22C19F1C" w14:textId="77777777" w:rsidR="00B02873" w:rsidRPr="0008483D" w:rsidRDefault="00B02873" w:rsidP="0008483D">
            <w:pPr>
              <w:pStyle w:val="TablebodyleftFinancialsTables"/>
              <w:jc w:val="right"/>
              <w:rPr>
                <w:b/>
                <w:bCs/>
              </w:rPr>
            </w:pPr>
            <w:r w:rsidRPr="0008483D">
              <w:rPr>
                <w:b/>
                <w:bCs/>
              </w:rPr>
              <w:t>–</w:t>
            </w:r>
          </w:p>
        </w:tc>
        <w:tc>
          <w:tcPr>
            <w:tcW w:w="1191" w:type="dxa"/>
          </w:tcPr>
          <w:p w14:paraId="7901B59B" w14:textId="77777777" w:rsidR="00B02873" w:rsidRDefault="00B02873" w:rsidP="0008483D">
            <w:pPr>
              <w:pStyle w:val="TablebodyleftFinancialsTables"/>
              <w:jc w:val="right"/>
            </w:pPr>
            <w:r>
              <w:t>–</w:t>
            </w:r>
          </w:p>
        </w:tc>
        <w:tc>
          <w:tcPr>
            <w:tcW w:w="1190" w:type="dxa"/>
          </w:tcPr>
          <w:p w14:paraId="51A1039A" w14:textId="77777777" w:rsidR="00B02873" w:rsidRPr="0008483D" w:rsidRDefault="00B02873" w:rsidP="0008483D">
            <w:pPr>
              <w:pStyle w:val="TablebodyleftFinancialsTables"/>
              <w:jc w:val="right"/>
              <w:rPr>
                <w:b/>
                <w:bCs/>
              </w:rPr>
            </w:pPr>
            <w:r w:rsidRPr="0008483D">
              <w:rPr>
                <w:b/>
                <w:bCs/>
              </w:rPr>
              <w:t>–</w:t>
            </w:r>
          </w:p>
        </w:tc>
        <w:tc>
          <w:tcPr>
            <w:tcW w:w="1191" w:type="dxa"/>
          </w:tcPr>
          <w:p w14:paraId="2914145F" w14:textId="77777777" w:rsidR="00B02873" w:rsidRDefault="00B02873" w:rsidP="0008483D">
            <w:pPr>
              <w:pStyle w:val="TablebodyleftFinancialsTables"/>
              <w:jc w:val="right"/>
            </w:pPr>
            <w:r>
              <w:t>–</w:t>
            </w:r>
          </w:p>
        </w:tc>
      </w:tr>
      <w:tr w:rsidR="00B02873" w:rsidRPr="00B02873" w14:paraId="7056455E" w14:textId="77777777" w:rsidTr="0008483D">
        <w:trPr>
          <w:trHeight w:val="60"/>
        </w:trPr>
        <w:tc>
          <w:tcPr>
            <w:tcW w:w="2608" w:type="dxa"/>
          </w:tcPr>
          <w:p w14:paraId="7641BCF2" w14:textId="77777777" w:rsidR="00B02873" w:rsidRPr="00CB7F3B" w:rsidRDefault="00B02873" w:rsidP="0008483D">
            <w:pPr>
              <w:pStyle w:val="TablebodyleftFinancialsTables"/>
              <w:rPr>
                <w:b/>
                <w:bCs/>
              </w:rPr>
            </w:pPr>
            <w:r w:rsidRPr="00CB7F3B">
              <w:rPr>
                <w:b/>
                <w:bCs/>
              </w:rPr>
              <w:t>Total other economic flows – other comprehensive income</w:t>
            </w:r>
          </w:p>
        </w:tc>
        <w:tc>
          <w:tcPr>
            <w:tcW w:w="1077" w:type="dxa"/>
          </w:tcPr>
          <w:p w14:paraId="52FA85B4" w14:textId="77777777" w:rsidR="00B02873" w:rsidRPr="0008483D" w:rsidRDefault="00B02873" w:rsidP="0008483D">
            <w:pPr>
              <w:pStyle w:val="TablebodyleftFinancialsTables"/>
              <w:jc w:val="right"/>
              <w:rPr>
                <w:b/>
                <w:bCs/>
              </w:rPr>
            </w:pPr>
            <w:r w:rsidRPr="0008483D">
              <w:rPr>
                <w:b/>
                <w:bCs/>
              </w:rPr>
              <w:t>–</w:t>
            </w:r>
          </w:p>
        </w:tc>
        <w:tc>
          <w:tcPr>
            <w:tcW w:w="1191" w:type="dxa"/>
          </w:tcPr>
          <w:p w14:paraId="6FE8299F" w14:textId="77777777" w:rsidR="00B02873" w:rsidRDefault="00B02873" w:rsidP="0008483D">
            <w:pPr>
              <w:pStyle w:val="TablebodyleftFinancialsTables"/>
              <w:jc w:val="right"/>
            </w:pPr>
            <w:r>
              <w:t xml:space="preserve"> –</w:t>
            </w:r>
          </w:p>
        </w:tc>
        <w:tc>
          <w:tcPr>
            <w:tcW w:w="1190" w:type="dxa"/>
          </w:tcPr>
          <w:p w14:paraId="3891B3CB" w14:textId="77777777" w:rsidR="00B02873" w:rsidRPr="0008483D" w:rsidRDefault="00B02873" w:rsidP="0008483D">
            <w:pPr>
              <w:pStyle w:val="TablebodyleftFinancialsTables"/>
              <w:jc w:val="right"/>
              <w:rPr>
                <w:b/>
                <w:bCs/>
              </w:rPr>
            </w:pPr>
            <w:r w:rsidRPr="0008483D">
              <w:rPr>
                <w:b/>
                <w:bCs/>
              </w:rPr>
              <w:t>–</w:t>
            </w:r>
          </w:p>
        </w:tc>
        <w:tc>
          <w:tcPr>
            <w:tcW w:w="1191" w:type="dxa"/>
          </w:tcPr>
          <w:p w14:paraId="48AB567A" w14:textId="77777777" w:rsidR="00B02873" w:rsidRDefault="00B02873" w:rsidP="0008483D">
            <w:pPr>
              <w:pStyle w:val="TablebodyleftFinancialsTables"/>
              <w:jc w:val="right"/>
            </w:pPr>
            <w:r>
              <w:t xml:space="preserve"> –</w:t>
            </w:r>
          </w:p>
        </w:tc>
        <w:tc>
          <w:tcPr>
            <w:tcW w:w="1190" w:type="dxa"/>
          </w:tcPr>
          <w:p w14:paraId="70215717" w14:textId="77777777" w:rsidR="00B02873" w:rsidRPr="0008483D" w:rsidRDefault="00B02873" w:rsidP="0008483D">
            <w:pPr>
              <w:pStyle w:val="TablebodyleftFinancialsTables"/>
              <w:jc w:val="right"/>
              <w:rPr>
                <w:b/>
                <w:bCs/>
              </w:rPr>
            </w:pPr>
            <w:r w:rsidRPr="0008483D">
              <w:rPr>
                <w:b/>
                <w:bCs/>
              </w:rPr>
              <w:t>–</w:t>
            </w:r>
          </w:p>
        </w:tc>
        <w:tc>
          <w:tcPr>
            <w:tcW w:w="1191" w:type="dxa"/>
          </w:tcPr>
          <w:p w14:paraId="4A170637" w14:textId="77777777" w:rsidR="00B02873" w:rsidRDefault="00B02873" w:rsidP="0008483D">
            <w:pPr>
              <w:pStyle w:val="TablebodyleftFinancialsTables"/>
              <w:jc w:val="right"/>
            </w:pPr>
            <w:r>
              <w:t xml:space="preserve"> –</w:t>
            </w:r>
          </w:p>
        </w:tc>
      </w:tr>
      <w:tr w:rsidR="00B02873" w:rsidRPr="00B02873" w14:paraId="010A7ADD" w14:textId="77777777" w:rsidTr="0008483D">
        <w:trPr>
          <w:trHeight w:val="60"/>
        </w:trPr>
        <w:tc>
          <w:tcPr>
            <w:tcW w:w="2608" w:type="dxa"/>
          </w:tcPr>
          <w:p w14:paraId="38B01BBD" w14:textId="77777777" w:rsidR="00B02873" w:rsidRPr="00CB7F3B" w:rsidRDefault="00B02873" w:rsidP="0008483D">
            <w:pPr>
              <w:pStyle w:val="TablebodyleftFinancialsTables"/>
              <w:rPr>
                <w:b/>
                <w:bCs/>
              </w:rPr>
            </w:pPr>
            <w:r w:rsidRPr="00CB7F3B">
              <w:rPr>
                <w:b/>
                <w:bCs/>
              </w:rPr>
              <w:t xml:space="preserve">Comprehensive result </w:t>
            </w:r>
          </w:p>
        </w:tc>
        <w:tc>
          <w:tcPr>
            <w:tcW w:w="1077" w:type="dxa"/>
          </w:tcPr>
          <w:p w14:paraId="5724ED69" w14:textId="36362C1B" w:rsidR="00B02873" w:rsidRPr="0008483D" w:rsidRDefault="00B02873" w:rsidP="0008483D">
            <w:pPr>
              <w:pStyle w:val="TablebodyleftFinancialsTables"/>
              <w:jc w:val="right"/>
              <w:rPr>
                <w:b/>
                <w:bCs/>
              </w:rPr>
            </w:pPr>
            <w:r w:rsidRPr="0008483D">
              <w:rPr>
                <w:b/>
                <w:bCs/>
              </w:rPr>
              <w:t>429</w:t>
            </w:r>
          </w:p>
        </w:tc>
        <w:tc>
          <w:tcPr>
            <w:tcW w:w="1191" w:type="dxa"/>
          </w:tcPr>
          <w:p w14:paraId="3EB4C77C" w14:textId="77777777" w:rsidR="00B02873" w:rsidRDefault="00B02873" w:rsidP="0008483D">
            <w:pPr>
              <w:pStyle w:val="TablebodyleftFinancialsTables"/>
              <w:jc w:val="right"/>
            </w:pPr>
            <w:r>
              <w:t>(10,816)</w:t>
            </w:r>
          </w:p>
        </w:tc>
        <w:tc>
          <w:tcPr>
            <w:tcW w:w="1190" w:type="dxa"/>
          </w:tcPr>
          <w:p w14:paraId="3855C0EE" w14:textId="77777777" w:rsidR="00B02873" w:rsidRPr="0008483D" w:rsidRDefault="00B02873" w:rsidP="0008483D">
            <w:pPr>
              <w:pStyle w:val="TablebodyleftFinancialsTables"/>
              <w:jc w:val="right"/>
              <w:rPr>
                <w:b/>
                <w:bCs/>
              </w:rPr>
            </w:pPr>
            <w:r w:rsidRPr="0008483D">
              <w:rPr>
                <w:b/>
                <w:bCs/>
              </w:rPr>
              <w:t>(76,044)</w:t>
            </w:r>
          </w:p>
        </w:tc>
        <w:tc>
          <w:tcPr>
            <w:tcW w:w="1191" w:type="dxa"/>
          </w:tcPr>
          <w:p w14:paraId="4CD73EFB" w14:textId="77777777" w:rsidR="00B02873" w:rsidRDefault="00B02873" w:rsidP="0008483D">
            <w:pPr>
              <w:pStyle w:val="TablebodyleftFinancialsTables"/>
              <w:jc w:val="right"/>
            </w:pPr>
            <w:r>
              <w:t xml:space="preserve"> (4,308)</w:t>
            </w:r>
          </w:p>
        </w:tc>
        <w:tc>
          <w:tcPr>
            <w:tcW w:w="1190" w:type="dxa"/>
          </w:tcPr>
          <w:p w14:paraId="7897F8D3" w14:textId="77777777" w:rsidR="00B02873" w:rsidRPr="0008483D" w:rsidRDefault="00B02873" w:rsidP="0008483D">
            <w:pPr>
              <w:pStyle w:val="TablebodyleftFinancialsTables"/>
              <w:jc w:val="right"/>
              <w:rPr>
                <w:b/>
                <w:bCs/>
              </w:rPr>
            </w:pPr>
            <w:r w:rsidRPr="0008483D">
              <w:rPr>
                <w:b/>
                <w:bCs/>
              </w:rPr>
              <w:t>2,604</w:t>
            </w:r>
          </w:p>
        </w:tc>
        <w:tc>
          <w:tcPr>
            <w:tcW w:w="1191" w:type="dxa"/>
          </w:tcPr>
          <w:p w14:paraId="7931A817" w14:textId="77777777" w:rsidR="00B02873" w:rsidRDefault="00B02873" w:rsidP="0008483D">
            <w:pPr>
              <w:pStyle w:val="TablebodyleftFinancialsTables"/>
              <w:jc w:val="right"/>
            </w:pPr>
            <w:r>
              <w:t>(108,287)</w:t>
            </w:r>
          </w:p>
        </w:tc>
      </w:tr>
    </w:tbl>
    <w:p w14:paraId="5857E196" w14:textId="77777777" w:rsidR="00B02873" w:rsidRPr="00CB7F3B" w:rsidRDefault="00B02873" w:rsidP="00CB7F3B">
      <w:pPr>
        <w:pStyle w:val="SourceNote"/>
        <w:spacing w:after="120"/>
        <w:rPr>
          <w:b/>
          <w:bCs/>
        </w:rPr>
      </w:pPr>
      <w:r w:rsidRPr="00CB7F3B">
        <w:rPr>
          <w:b/>
          <w:bCs/>
        </w:rPr>
        <w:t>Note:</w:t>
      </w:r>
    </w:p>
    <w:p w14:paraId="3E760E99" w14:textId="3504AB2A" w:rsidR="00B02873" w:rsidRDefault="00B02873" w:rsidP="001128B1">
      <w:pPr>
        <w:pStyle w:val="SourceNotenumbered"/>
        <w:numPr>
          <w:ilvl w:val="0"/>
          <w:numId w:val="24"/>
        </w:numPr>
        <w:spacing w:after="200"/>
        <w:ind w:left="357" w:hanging="357"/>
      </w:pPr>
      <w:r>
        <w:t>Information about the objectives of these departmental outputs is located in the Report of Operations under the ‘Operational and budgetary objectives and performance against objectives’ section.</w:t>
      </w:r>
    </w:p>
    <w:p w14:paraId="521AD04F" w14:textId="124F8943" w:rsidR="00B02873" w:rsidRDefault="00B02873" w:rsidP="00B02873">
      <w:r>
        <w:t xml:space="preserve">In 2021, the Parks Victoria (PV) Output recorded an operating loss and negative cash and cash deposits due to grant payments to PV from the Parks and Reserve Trust Account being incurred against the PV Output while the Metropolitan Parks Improvement Rate was recorded under the Management of Public Land and Forests Output. In 2022, a transfer of cash and cash deposits from the Management of Public Land and Forests Output to the PV Output was processed to return the PV Output cash and cash deposits balance to surplus. </w:t>
      </w:r>
    </w:p>
    <w:p w14:paraId="0FD6BFCF" w14:textId="10DD8B4E" w:rsidR="00B02873" w:rsidRDefault="00B02873" w:rsidP="00CB7F3B">
      <w:pPr>
        <w:pStyle w:val="Heading4"/>
      </w:pPr>
      <w:r>
        <w:t>4.1.2 Departmental Outputs</w:t>
      </w:r>
      <w:r w:rsidR="000C45FC">
        <w:t xml:space="preserve"> – </w:t>
      </w:r>
      <w:r>
        <w:t>Controlled compre</w:t>
      </w:r>
      <w:r w:rsidR="008B1B33">
        <w:t>8</w:t>
      </w:r>
      <w:r>
        <w:t>hensive operating statement (continued)</w:t>
      </w:r>
    </w:p>
    <w:tbl>
      <w:tblPr>
        <w:tblStyle w:val="TableGrid"/>
        <w:tblW w:w="10386" w:type="dxa"/>
        <w:tblLayout w:type="fixed"/>
        <w:tblLook w:val="0020" w:firstRow="1" w:lastRow="0" w:firstColumn="0" w:lastColumn="0" w:noHBand="0" w:noVBand="0"/>
      </w:tblPr>
      <w:tblGrid>
        <w:gridCol w:w="2122"/>
        <w:gridCol w:w="1275"/>
        <w:gridCol w:w="1276"/>
        <w:gridCol w:w="851"/>
        <w:gridCol w:w="850"/>
        <w:gridCol w:w="1026"/>
        <w:gridCol w:w="1042"/>
        <w:gridCol w:w="980"/>
        <w:gridCol w:w="964"/>
      </w:tblGrid>
      <w:tr w:rsidR="00B02873" w:rsidRPr="008B1B33" w14:paraId="12F00623" w14:textId="77777777" w:rsidTr="00615EFA">
        <w:trPr>
          <w:cnfStyle w:val="100000000000" w:firstRow="1" w:lastRow="0" w:firstColumn="0" w:lastColumn="0" w:oddVBand="0" w:evenVBand="0" w:oddHBand="0" w:evenHBand="0" w:firstRowFirstColumn="0" w:firstRowLastColumn="0" w:lastRowFirstColumn="0" w:lastRowLastColumn="0"/>
          <w:trHeight w:val="60"/>
          <w:tblHeader/>
        </w:trPr>
        <w:tc>
          <w:tcPr>
            <w:tcW w:w="2122" w:type="dxa"/>
          </w:tcPr>
          <w:p w14:paraId="5969DB28" w14:textId="77777777" w:rsidR="00B02873" w:rsidRPr="008B1B33" w:rsidRDefault="00B02873" w:rsidP="00CB7F3B">
            <w:pPr>
              <w:pStyle w:val="TableheadingleftFinancialsTables"/>
              <w:rPr>
                <w:rFonts w:asciiTheme="minorHAnsi" w:hAnsiTheme="minorHAnsi" w:cstheme="minorHAnsi"/>
                <w:sz w:val="17"/>
                <w:szCs w:val="17"/>
              </w:rPr>
            </w:pPr>
          </w:p>
        </w:tc>
        <w:tc>
          <w:tcPr>
            <w:tcW w:w="1275" w:type="dxa"/>
          </w:tcPr>
          <w:p w14:paraId="4D097335" w14:textId="7F17AE9F" w:rsidR="00B02873" w:rsidRPr="008B1B33" w:rsidRDefault="00CB7F3B" w:rsidP="008B1B33">
            <w:pPr>
              <w:pStyle w:val="TableheadingleftFinancialsTables"/>
              <w:jc w:val="right"/>
              <w:rPr>
                <w:rFonts w:asciiTheme="minorHAnsi" w:hAnsiTheme="minorHAnsi" w:cstheme="minorHAnsi"/>
                <w:sz w:val="17"/>
                <w:szCs w:val="17"/>
              </w:rPr>
            </w:pPr>
            <w:r w:rsidRPr="008B1B33">
              <w:rPr>
                <w:rFonts w:asciiTheme="minorHAnsi" w:hAnsiTheme="minorHAnsi" w:cstheme="minorHAnsi"/>
                <w:sz w:val="17"/>
                <w:szCs w:val="17"/>
              </w:rPr>
              <w:t>Fire and Emergency Management</w:t>
            </w:r>
            <w:r w:rsidRPr="008B1B33">
              <w:rPr>
                <w:rFonts w:asciiTheme="minorHAnsi" w:hAnsiTheme="minorHAnsi" w:cstheme="minorHAnsi"/>
                <w:sz w:val="17"/>
                <w:szCs w:val="17"/>
                <w:vertAlign w:val="superscript"/>
              </w:rPr>
              <w:t xml:space="preserve">(i) </w:t>
            </w:r>
            <w:r w:rsidR="00B02873" w:rsidRPr="008B1B33">
              <w:rPr>
                <w:rFonts w:asciiTheme="minorHAnsi" w:hAnsiTheme="minorHAnsi" w:cstheme="minorHAnsi"/>
                <w:sz w:val="17"/>
                <w:szCs w:val="17"/>
              </w:rPr>
              <w:t>2022</w:t>
            </w:r>
            <w:r w:rsidR="00B02873" w:rsidRPr="008B1B33">
              <w:rPr>
                <w:rFonts w:asciiTheme="minorHAnsi" w:hAnsiTheme="minorHAnsi" w:cstheme="minorHAnsi"/>
                <w:sz w:val="17"/>
                <w:szCs w:val="17"/>
              </w:rPr>
              <w:br/>
              <w:t>$’000</w:t>
            </w:r>
          </w:p>
        </w:tc>
        <w:tc>
          <w:tcPr>
            <w:tcW w:w="1276" w:type="dxa"/>
          </w:tcPr>
          <w:p w14:paraId="7E95A4BF" w14:textId="41BC516E" w:rsidR="00B02873" w:rsidRPr="008B1B33" w:rsidRDefault="00CB7F3B" w:rsidP="008B1B33">
            <w:pPr>
              <w:pStyle w:val="TableheadingleftFinancialsTables"/>
              <w:jc w:val="right"/>
              <w:rPr>
                <w:rFonts w:asciiTheme="minorHAnsi" w:hAnsiTheme="minorHAnsi" w:cstheme="minorHAnsi"/>
                <w:sz w:val="17"/>
                <w:szCs w:val="17"/>
              </w:rPr>
            </w:pPr>
            <w:r w:rsidRPr="008B1B33">
              <w:rPr>
                <w:rFonts w:asciiTheme="minorHAnsi" w:hAnsiTheme="minorHAnsi" w:cstheme="minorHAnsi"/>
                <w:sz w:val="17"/>
                <w:szCs w:val="17"/>
              </w:rPr>
              <w:t>Fire and Emergency Management</w:t>
            </w:r>
            <w:r w:rsidRPr="008B1B33">
              <w:rPr>
                <w:rFonts w:asciiTheme="minorHAnsi" w:hAnsiTheme="minorHAnsi" w:cstheme="minorHAnsi"/>
                <w:sz w:val="17"/>
                <w:szCs w:val="17"/>
                <w:vertAlign w:val="superscript"/>
              </w:rPr>
              <w:t xml:space="preserve">(i) </w:t>
            </w:r>
            <w:r w:rsidR="00B02873" w:rsidRPr="008B1B33">
              <w:rPr>
                <w:rFonts w:asciiTheme="minorHAnsi" w:hAnsiTheme="minorHAnsi" w:cstheme="minorHAnsi"/>
                <w:sz w:val="17"/>
                <w:szCs w:val="17"/>
              </w:rPr>
              <w:t>2021</w:t>
            </w:r>
            <w:r w:rsidR="00B02873" w:rsidRPr="008B1B33">
              <w:rPr>
                <w:rFonts w:asciiTheme="minorHAnsi" w:hAnsiTheme="minorHAnsi" w:cstheme="minorHAnsi"/>
                <w:sz w:val="17"/>
                <w:szCs w:val="17"/>
              </w:rPr>
              <w:br/>
              <w:t>$’000</w:t>
            </w:r>
          </w:p>
        </w:tc>
        <w:tc>
          <w:tcPr>
            <w:tcW w:w="851" w:type="dxa"/>
          </w:tcPr>
          <w:p w14:paraId="4DDE3430" w14:textId="2090BB0C" w:rsidR="00B02873" w:rsidRPr="008B1B33" w:rsidRDefault="00CB7F3B" w:rsidP="008B1B33">
            <w:pPr>
              <w:pStyle w:val="TableheadingleftFinancialsTables"/>
              <w:jc w:val="right"/>
              <w:rPr>
                <w:rFonts w:asciiTheme="minorHAnsi" w:hAnsiTheme="minorHAnsi" w:cstheme="minorHAnsi"/>
                <w:sz w:val="17"/>
                <w:szCs w:val="17"/>
              </w:rPr>
            </w:pPr>
            <w:r w:rsidRPr="008B1B33">
              <w:rPr>
                <w:rFonts w:asciiTheme="minorHAnsi" w:hAnsiTheme="minorHAnsi" w:cstheme="minorHAnsi"/>
                <w:sz w:val="17"/>
                <w:szCs w:val="17"/>
              </w:rPr>
              <w:t>Energy</w:t>
            </w:r>
            <w:r w:rsidRPr="008B1B33">
              <w:rPr>
                <w:rFonts w:asciiTheme="minorHAnsi" w:hAnsiTheme="minorHAnsi" w:cstheme="minorHAnsi"/>
                <w:sz w:val="17"/>
                <w:szCs w:val="17"/>
                <w:vertAlign w:val="superscript"/>
              </w:rPr>
              <w:t xml:space="preserve">(i) </w:t>
            </w:r>
            <w:r w:rsidR="00B02873" w:rsidRPr="008B1B33">
              <w:rPr>
                <w:rFonts w:asciiTheme="minorHAnsi" w:hAnsiTheme="minorHAnsi" w:cstheme="minorHAnsi"/>
                <w:sz w:val="17"/>
                <w:szCs w:val="17"/>
              </w:rPr>
              <w:t>2022</w:t>
            </w:r>
            <w:r w:rsidR="00B02873" w:rsidRPr="008B1B33">
              <w:rPr>
                <w:rFonts w:asciiTheme="minorHAnsi" w:hAnsiTheme="minorHAnsi" w:cstheme="minorHAnsi"/>
                <w:sz w:val="17"/>
                <w:szCs w:val="17"/>
              </w:rPr>
              <w:br/>
              <w:t>$’000</w:t>
            </w:r>
          </w:p>
        </w:tc>
        <w:tc>
          <w:tcPr>
            <w:tcW w:w="850" w:type="dxa"/>
          </w:tcPr>
          <w:p w14:paraId="6084F891" w14:textId="72040DC2" w:rsidR="00B02873" w:rsidRPr="008B1B33" w:rsidRDefault="00CB7F3B" w:rsidP="008B1B33">
            <w:pPr>
              <w:pStyle w:val="TableheadingleftFinancialsTables"/>
              <w:jc w:val="right"/>
              <w:rPr>
                <w:rFonts w:asciiTheme="minorHAnsi" w:hAnsiTheme="minorHAnsi" w:cstheme="minorHAnsi"/>
                <w:sz w:val="17"/>
                <w:szCs w:val="17"/>
              </w:rPr>
            </w:pPr>
            <w:r w:rsidRPr="008B1B33">
              <w:rPr>
                <w:rFonts w:asciiTheme="minorHAnsi" w:hAnsiTheme="minorHAnsi" w:cstheme="minorHAnsi"/>
                <w:sz w:val="17"/>
                <w:szCs w:val="17"/>
              </w:rPr>
              <w:t>Energy</w:t>
            </w:r>
            <w:r w:rsidRPr="008B1B33">
              <w:rPr>
                <w:rFonts w:asciiTheme="minorHAnsi" w:hAnsiTheme="minorHAnsi" w:cstheme="minorHAnsi"/>
                <w:sz w:val="17"/>
                <w:szCs w:val="17"/>
                <w:vertAlign w:val="superscript"/>
              </w:rPr>
              <w:t xml:space="preserve">(i) </w:t>
            </w:r>
            <w:r w:rsidR="00B02873" w:rsidRPr="008B1B33">
              <w:rPr>
                <w:rFonts w:asciiTheme="minorHAnsi" w:hAnsiTheme="minorHAnsi" w:cstheme="minorHAnsi"/>
                <w:sz w:val="17"/>
                <w:szCs w:val="17"/>
              </w:rPr>
              <w:t>2021</w:t>
            </w:r>
            <w:r w:rsidR="00B02873" w:rsidRPr="008B1B33">
              <w:rPr>
                <w:rFonts w:asciiTheme="minorHAnsi" w:hAnsiTheme="minorHAnsi" w:cstheme="minorHAnsi"/>
                <w:sz w:val="17"/>
                <w:szCs w:val="17"/>
              </w:rPr>
              <w:br/>
              <w:t>$’000</w:t>
            </w:r>
          </w:p>
        </w:tc>
        <w:tc>
          <w:tcPr>
            <w:tcW w:w="1026" w:type="dxa"/>
          </w:tcPr>
          <w:p w14:paraId="6840B86D" w14:textId="6224245A" w:rsidR="00B02873" w:rsidRPr="008B1B33" w:rsidRDefault="00CB7F3B" w:rsidP="008B1B33">
            <w:pPr>
              <w:pStyle w:val="TableheadingleftFinancialsTables"/>
              <w:jc w:val="right"/>
              <w:rPr>
                <w:rFonts w:asciiTheme="minorHAnsi" w:hAnsiTheme="minorHAnsi" w:cstheme="minorHAnsi"/>
                <w:sz w:val="17"/>
                <w:szCs w:val="17"/>
              </w:rPr>
            </w:pPr>
            <w:r w:rsidRPr="008B1B33">
              <w:rPr>
                <w:rFonts w:asciiTheme="minorHAnsi" w:hAnsiTheme="minorHAnsi" w:cstheme="minorHAnsi"/>
                <w:sz w:val="17"/>
                <w:szCs w:val="17"/>
              </w:rPr>
              <w:t>Waste and Recycling</w:t>
            </w:r>
            <w:r w:rsidRPr="008B1B33">
              <w:rPr>
                <w:rFonts w:asciiTheme="minorHAnsi" w:hAnsiTheme="minorHAnsi" w:cstheme="minorHAnsi"/>
                <w:sz w:val="17"/>
                <w:szCs w:val="17"/>
                <w:vertAlign w:val="superscript"/>
              </w:rPr>
              <w:t>(i)</w:t>
            </w:r>
            <w:r w:rsidRPr="008B1B33">
              <w:rPr>
                <w:rFonts w:asciiTheme="minorHAnsi" w:hAnsiTheme="minorHAnsi" w:cstheme="minorHAnsi"/>
                <w:sz w:val="17"/>
                <w:szCs w:val="17"/>
              </w:rPr>
              <w:t xml:space="preserve"> </w:t>
            </w:r>
            <w:r w:rsidR="00B02873" w:rsidRPr="008B1B33">
              <w:rPr>
                <w:rFonts w:asciiTheme="minorHAnsi" w:hAnsiTheme="minorHAnsi" w:cstheme="minorHAnsi"/>
                <w:sz w:val="17"/>
                <w:szCs w:val="17"/>
              </w:rPr>
              <w:t xml:space="preserve">2022 </w:t>
            </w:r>
            <w:r w:rsidR="00B02873" w:rsidRPr="008B1B33">
              <w:rPr>
                <w:rFonts w:asciiTheme="minorHAnsi" w:hAnsiTheme="minorHAnsi" w:cstheme="minorHAnsi"/>
                <w:sz w:val="17"/>
                <w:szCs w:val="17"/>
              </w:rPr>
              <w:br/>
              <w:t>$’000</w:t>
            </w:r>
          </w:p>
        </w:tc>
        <w:tc>
          <w:tcPr>
            <w:tcW w:w="1042" w:type="dxa"/>
          </w:tcPr>
          <w:p w14:paraId="15F02111" w14:textId="303F0B50" w:rsidR="00B02873" w:rsidRPr="008B1B33" w:rsidRDefault="00CB7F3B" w:rsidP="008B1B33">
            <w:pPr>
              <w:pStyle w:val="TableheadingleftFinancialsTables"/>
              <w:jc w:val="right"/>
              <w:rPr>
                <w:rFonts w:asciiTheme="minorHAnsi" w:hAnsiTheme="minorHAnsi" w:cstheme="minorHAnsi"/>
                <w:sz w:val="17"/>
                <w:szCs w:val="17"/>
              </w:rPr>
            </w:pPr>
            <w:r w:rsidRPr="008B1B33">
              <w:rPr>
                <w:rFonts w:asciiTheme="minorHAnsi" w:hAnsiTheme="minorHAnsi" w:cstheme="minorHAnsi"/>
                <w:sz w:val="17"/>
                <w:szCs w:val="17"/>
              </w:rPr>
              <w:t>Waste and Recycling</w:t>
            </w:r>
            <w:r w:rsidRPr="008B1B33">
              <w:rPr>
                <w:rFonts w:asciiTheme="minorHAnsi" w:hAnsiTheme="minorHAnsi" w:cstheme="minorHAnsi"/>
                <w:sz w:val="17"/>
                <w:szCs w:val="17"/>
                <w:vertAlign w:val="superscript"/>
              </w:rPr>
              <w:t>(i)</w:t>
            </w:r>
            <w:r w:rsidRPr="008B1B33">
              <w:rPr>
                <w:rFonts w:asciiTheme="minorHAnsi" w:hAnsiTheme="minorHAnsi" w:cstheme="minorHAnsi"/>
                <w:sz w:val="17"/>
                <w:szCs w:val="17"/>
              </w:rPr>
              <w:t xml:space="preserve"> </w:t>
            </w:r>
            <w:r w:rsidR="00B02873" w:rsidRPr="008B1B33">
              <w:rPr>
                <w:rFonts w:asciiTheme="minorHAnsi" w:hAnsiTheme="minorHAnsi" w:cstheme="minorHAnsi"/>
                <w:sz w:val="17"/>
                <w:szCs w:val="17"/>
              </w:rPr>
              <w:t xml:space="preserve">2021 </w:t>
            </w:r>
            <w:r w:rsidR="00B02873" w:rsidRPr="008B1B33">
              <w:rPr>
                <w:rFonts w:asciiTheme="minorHAnsi" w:hAnsiTheme="minorHAnsi" w:cstheme="minorHAnsi"/>
                <w:sz w:val="17"/>
                <w:szCs w:val="17"/>
              </w:rPr>
              <w:br/>
              <w:t>$’000</w:t>
            </w:r>
          </w:p>
        </w:tc>
        <w:tc>
          <w:tcPr>
            <w:tcW w:w="980" w:type="dxa"/>
          </w:tcPr>
          <w:p w14:paraId="38313921" w14:textId="094471C1" w:rsidR="00B02873" w:rsidRPr="008B1B33" w:rsidRDefault="00CB7F3B" w:rsidP="008B1B33">
            <w:pPr>
              <w:pStyle w:val="TableheadingleftFinancialsTables"/>
              <w:jc w:val="right"/>
              <w:rPr>
                <w:rFonts w:asciiTheme="minorHAnsi" w:hAnsiTheme="minorHAnsi" w:cstheme="minorHAnsi"/>
                <w:sz w:val="17"/>
                <w:szCs w:val="17"/>
              </w:rPr>
            </w:pPr>
            <w:r w:rsidRPr="008B1B33">
              <w:rPr>
                <w:rFonts w:asciiTheme="minorHAnsi" w:hAnsiTheme="minorHAnsi" w:cstheme="minorHAnsi"/>
                <w:sz w:val="17"/>
                <w:szCs w:val="17"/>
              </w:rPr>
              <w:t xml:space="preserve">Total </w:t>
            </w:r>
            <w:r w:rsidR="00B02873" w:rsidRPr="008B1B33">
              <w:rPr>
                <w:rFonts w:asciiTheme="minorHAnsi" w:hAnsiTheme="minorHAnsi" w:cstheme="minorHAnsi"/>
                <w:sz w:val="17"/>
                <w:szCs w:val="17"/>
              </w:rPr>
              <w:t xml:space="preserve">2022 </w:t>
            </w:r>
            <w:r w:rsidR="00B02873" w:rsidRPr="008B1B33">
              <w:rPr>
                <w:rFonts w:asciiTheme="minorHAnsi" w:hAnsiTheme="minorHAnsi" w:cstheme="minorHAnsi"/>
                <w:sz w:val="17"/>
                <w:szCs w:val="17"/>
              </w:rPr>
              <w:br/>
              <w:t>$’000</w:t>
            </w:r>
          </w:p>
        </w:tc>
        <w:tc>
          <w:tcPr>
            <w:tcW w:w="964" w:type="dxa"/>
          </w:tcPr>
          <w:p w14:paraId="53698A6B" w14:textId="14954783" w:rsidR="00B02873" w:rsidRPr="008B1B33" w:rsidRDefault="00CB7F3B" w:rsidP="008B1B33">
            <w:pPr>
              <w:pStyle w:val="TableheadingleftFinancialsTables"/>
              <w:jc w:val="right"/>
              <w:rPr>
                <w:rFonts w:asciiTheme="minorHAnsi" w:hAnsiTheme="minorHAnsi" w:cstheme="minorHAnsi"/>
                <w:sz w:val="17"/>
                <w:szCs w:val="17"/>
              </w:rPr>
            </w:pPr>
            <w:r w:rsidRPr="008B1B33">
              <w:rPr>
                <w:rFonts w:asciiTheme="minorHAnsi" w:hAnsiTheme="minorHAnsi" w:cstheme="minorHAnsi"/>
                <w:sz w:val="17"/>
                <w:szCs w:val="17"/>
              </w:rPr>
              <w:t xml:space="preserve">Total </w:t>
            </w:r>
            <w:r w:rsidR="00B02873" w:rsidRPr="008B1B33">
              <w:rPr>
                <w:rFonts w:asciiTheme="minorHAnsi" w:hAnsiTheme="minorHAnsi" w:cstheme="minorHAnsi"/>
                <w:sz w:val="17"/>
                <w:szCs w:val="17"/>
              </w:rPr>
              <w:t xml:space="preserve">2021 </w:t>
            </w:r>
            <w:r w:rsidR="00B02873" w:rsidRPr="008B1B33">
              <w:rPr>
                <w:rFonts w:asciiTheme="minorHAnsi" w:hAnsiTheme="minorHAnsi" w:cstheme="minorHAnsi"/>
                <w:sz w:val="17"/>
                <w:szCs w:val="17"/>
              </w:rPr>
              <w:br/>
              <w:t>$’000</w:t>
            </w:r>
          </w:p>
        </w:tc>
      </w:tr>
      <w:tr w:rsidR="00615EFA" w:rsidRPr="008B1B33" w14:paraId="446D969A" w14:textId="77777777" w:rsidTr="00615EFA">
        <w:trPr>
          <w:trHeight w:val="60"/>
        </w:trPr>
        <w:tc>
          <w:tcPr>
            <w:tcW w:w="2122" w:type="dxa"/>
          </w:tcPr>
          <w:p w14:paraId="1D282956" w14:textId="77777777" w:rsidR="00B02873" w:rsidRPr="008B1B33" w:rsidRDefault="00B02873" w:rsidP="008B1B33">
            <w:pPr>
              <w:pStyle w:val="TablebodyleftFinancialsTables"/>
              <w:rPr>
                <w:rFonts w:asciiTheme="minorHAnsi" w:hAnsiTheme="minorHAnsi" w:cstheme="minorHAnsi"/>
                <w:b/>
                <w:bCs/>
                <w:sz w:val="17"/>
                <w:szCs w:val="17"/>
              </w:rPr>
            </w:pPr>
            <w:r w:rsidRPr="008B1B33">
              <w:rPr>
                <w:rFonts w:asciiTheme="minorHAnsi" w:hAnsiTheme="minorHAnsi" w:cstheme="minorHAnsi"/>
                <w:b/>
                <w:bCs/>
                <w:sz w:val="17"/>
                <w:szCs w:val="17"/>
              </w:rPr>
              <w:t>Revenue and income from transactions</w:t>
            </w:r>
          </w:p>
        </w:tc>
        <w:tc>
          <w:tcPr>
            <w:tcW w:w="1275" w:type="dxa"/>
          </w:tcPr>
          <w:p w14:paraId="28C679B2" w14:textId="77777777" w:rsidR="00B02873" w:rsidRPr="008B1B33" w:rsidRDefault="00B02873" w:rsidP="008B1B33">
            <w:pPr>
              <w:pStyle w:val="TablebodyleftFinancialsTables"/>
              <w:jc w:val="right"/>
              <w:rPr>
                <w:rFonts w:asciiTheme="minorHAnsi" w:hAnsiTheme="minorHAnsi" w:cstheme="minorHAnsi"/>
                <w:b/>
                <w:bCs/>
                <w:sz w:val="17"/>
                <w:szCs w:val="17"/>
              </w:rPr>
            </w:pPr>
          </w:p>
        </w:tc>
        <w:tc>
          <w:tcPr>
            <w:tcW w:w="1276" w:type="dxa"/>
          </w:tcPr>
          <w:p w14:paraId="61377701" w14:textId="77777777" w:rsidR="00B02873" w:rsidRPr="008B1B33" w:rsidRDefault="00B02873" w:rsidP="008B1B33">
            <w:pPr>
              <w:pStyle w:val="TablebodyleftFinancialsTables"/>
              <w:jc w:val="right"/>
              <w:rPr>
                <w:rFonts w:asciiTheme="minorHAnsi" w:hAnsiTheme="minorHAnsi" w:cstheme="minorHAnsi"/>
                <w:b/>
                <w:bCs/>
                <w:sz w:val="17"/>
                <w:szCs w:val="17"/>
              </w:rPr>
            </w:pPr>
          </w:p>
        </w:tc>
        <w:tc>
          <w:tcPr>
            <w:tcW w:w="851" w:type="dxa"/>
          </w:tcPr>
          <w:p w14:paraId="27DD5D4C" w14:textId="77777777" w:rsidR="00B02873" w:rsidRPr="008B1B33" w:rsidRDefault="00B02873" w:rsidP="008B1B33">
            <w:pPr>
              <w:pStyle w:val="TablebodyleftFinancialsTables"/>
              <w:jc w:val="right"/>
              <w:rPr>
                <w:rFonts w:asciiTheme="minorHAnsi" w:hAnsiTheme="minorHAnsi" w:cstheme="minorHAnsi"/>
                <w:b/>
                <w:bCs/>
                <w:sz w:val="17"/>
                <w:szCs w:val="17"/>
              </w:rPr>
            </w:pPr>
          </w:p>
        </w:tc>
        <w:tc>
          <w:tcPr>
            <w:tcW w:w="850" w:type="dxa"/>
          </w:tcPr>
          <w:p w14:paraId="7250F0B7" w14:textId="77777777" w:rsidR="00B02873" w:rsidRPr="008B1B33" w:rsidRDefault="00B02873" w:rsidP="008B1B33">
            <w:pPr>
              <w:pStyle w:val="TablebodyleftFinancialsTables"/>
              <w:jc w:val="right"/>
              <w:rPr>
                <w:rFonts w:asciiTheme="minorHAnsi" w:hAnsiTheme="minorHAnsi" w:cstheme="minorHAnsi"/>
                <w:b/>
                <w:bCs/>
                <w:sz w:val="17"/>
                <w:szCs w:val="17"/>
              </w:rPr>
            </w:pPr>
          </w:p>
        </w:tc>
        <w:tc>
          <w:tcPr>
            <w:tcW w:w="1026" w:type="dxa"/>
          </w:tcPr>
          <w:p w14:paraId="262FA0F5" w14:textId="77777777" w:rsidR="00B02873" w:rsidRPr="008B1B33" w:rsidRDefault="00B02873" w:rsidP="008B1B33">
            <w:pPr>
              <w:pStyle w:val="TablebodyleftFinancialsTables"/>
              <w:jc w:val="right"/>
              <w:rPr>
                <w:rFonts w:asciiTheme="minorHAnsi" w:hAnsiTheme="minorHAnsi" w:cstheme="minorHAnsi"/>
                <w:b/>
                <w:bCs/>
                <w:sz w:val="17"/>
                <w:szCs w:val="17"/>
              </w:rPr>
            </w:pPr>
          </w:p>
        </w:tc>
        <w:tc>
          <w:tcPr>
            <w:tcW w:w="1042" w:type="dxa"/>
          </w:tcPr>
          <w:p w14:paraId="0C3E8FE1" w14:textId="77777777" w:rsidR="00B02873" w:rsidRPr="008B1B33" w:rsidRDefault="00B02873" w:rsidP="008B1B33">
            <w:pPr>
              <w:pStyle w:val="TablebodyleftFinancialsTables"/>
              <w:jc w:val="right"/>
              <w:rPr>
                <w:rFonts w:asciiTheme="minorHAnsi" w:hAnsiTheme="minorHAnsi" w:cstheme="minorHAnsi"/>
                <w:b/>
                <w:bCs/>
                <w:sz w:val="17"/>
                <w:szCs w:val="17"/>
              </w:rPr>
            </w:pPr>
          </w:p>
        </w:tc>
        <w:tc>
          <w:tcPr>
            <w:tcW w:w="980" w:type="dxa"/>
          </w:tcPr>
          <w:p w14:paraId="5722590B" w14:textId="77777777" w:rsidR="00B02873" w:rsidRPr="008B1B33" w:rsidRDefault="00B02873" w:rsidP="008B1B33">
            <w:pPr>
              <w:pStyle w:val="TablebodyleftFinancialsTables"/>
              <w:jc w:val="right"/>
              <w:rPr>
                <w:rFonts w:asciiTheme="minorHAnsi" w:hAnsiTheme="minorHAnsi" w:cstheme="minorHAnsi"/>
                <w:b/>
                <w:bCs/>
                <w:sz w:val="17"/>
                <w:szCs w:val="17"/>
              </w:rPr>
            </w:pPr>
          </w:p>
        </w:tc>
        <w:tc>
          <w:tcPr>
            <w:tcW w:w="964" w:type="dxa"/>
          </w:tcPr>
          <w:p w14:paraId="5BBEDE93" w14:textId="77777777" w:rsidR="00B02873" w:rsidRPr="008B1B33" w:rsidRDefault="00B02873" w:rsidP="008B1B33">
            <w:pPr>
              <w:pStyle w:val="TablebodyleftFinancialsTables"/>
              <w:jc w:val="right"/>
              <w:rPr>
                <w:rFonts w:asciiTheme="minorHAnsi" w:hAnsiTheme="minorHAnsi" w:cstheme="minorHAnsi"/>
                <w:b/>
                <w:bCs/>
                <w:sz w:val="17"/>
                <w:szCs w:val="17"/>
              </w:rPr>
            </w:pPr>
          </w:p>
        </w:tc>
      </w:tr>
      <w:tr w:rsidR="00B02873" w:rsidRPr="008B1B33" w14:paraId="67DDE386" w14:textId="77777777" w:rsidTr="00615EFA">
        <w:trPr>
          <w:trHeight w:val="60"/>
        </w:trPr>
        <w:tc>
          <w:tcPr>
            <w:tcW w:w="2122" w:type="dxa"/>
          </w:tcPr>
          <w:p w14:paraId="3B376CAF" w14:textId="77777777" w:rsidR="00B02873" w:rsidRPr="008B1B33" w:rsidRDefault="00B02873" w:rsidP="008B1B33">
            <w:pPr>
              <w:pStyle w:val="TablebodyleftFinancialsTables"/>
              <w:rPr>
                <w:rFonts w:asciiTheme="minorHAnsi" w:hAnsiTheme="minorHAnsi" w:cstheme="minorHAnsi"/>
                <w:sz w:val="17"/>
                <w:szCs w:val="17"/>
              </w:rPr>
            </w:pPr>
            <w:r w:rsidRPr="008B1B33">
              <w:rPr>
                <w:rFonts w:asciiTheme="minorHAnsi" w:hAnsiTheme="minorHAnsi" w:cstheme="minorHAnsi"/>
                <w:sz w:val="17"/>
                <w:szCs w:val="17"/>
              </w:rPr>
              <w:t>Output appropriations</w:t>
            </w:r>
          </w:p>
        </w:tc>
        <w:tc>
          <w:tcPr>
            <w:tcW w:w="1275" w:type="dxa"/>
          </w:tcPr>
          <w:p w14:paraId="58514E23"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409,885</w:t>
            </w:r>
          </w:p>
        </w:tc>
        <w:tc>
          <w:tcPr>
            <w:tcW w:w="1276" w:type="dxa"/>
          </w:tcPr>
          <w:p w14:paraId="422F8961"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474,389</w:t>
            </w:r>
          </w:p>
        </w:tc>
        <w:tc>
          <w:tcPr>
            <w:tcW w:w="851" w:type="dxa"/>
          </w:tcPr>
          <w:p w14:paraId="34B620F6"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225,284</w:t>
            </w:r>
          </w:p>
        </w:tc>
        <w:tc>
          <w:tcPr>
            <w:tcW w:w="850" w:type="dxa"/>
          </w:tcPr>
          <w:p w14:paraId="4A1B4539"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472,801</w:t>
            </w:r>
          </w:p>
        </w:tc>
        <w:tc>
          <w:tcPr>
            <w:tcW w:w="1026" w:type="dxa"/>
          </w:tcPr>
          <w:p w14:paraId="133B7CF8"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17,612</w:t>
            </w:r>
          </w:p>
        </w:tc>
        <w:tc>
          <w:tcPr>
            <w:tcW w:w="1042" w:type="dxa"/>
          </w:tcPr>
          <w:p w14:paraId="6C35E0BA"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5,769</w:t>
            </w:r>
          </w:p>
        </w:tc>
        <w:tc>
          <w:tcPr>
            <w:tcW w:w="980" w:type="dxa"/>
          </w:tcPr>
          <w:p w14:paraId="69FB26F8"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2,191,978</w:t>
            </w:r>
          </w:p>
        </w:tc>
        <w:tc>
          <w:tcPr>
            <w:tcW w:w="964" w:type="dxa"/>
          </w:tcPr>
          <w:p w14:paraId="6312EB68"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2,354,656</w:t>
            </w:r>
          </w:p>
        </w:tc>
      </w:tr>
      <w:tr w:rsidR="00615EFA" w:rsidRPr="008B1B33" w14:paraId="115E55FC" w14:textId="77777777" w:rsidTr="00615EFA">
        <w:trPr>
          <w:trHeight w:val="60"/>
        </w:trPr>
        <w:tc>
          <w:tcPr>
            <w:tcW w:w="2122" w:type="dxa"/>
          </w:tcPr>
          <w:p w14:paraId="466E775A" w14:textId="77777777" w:rsidR="00B02873" w:rsidRPr="008B1B33" w:rsidRDefault="00B02873" w:rsidP="008B1B33">
            <w:pPr>
              <w:pStyle w:val="TablebodyleftFinancialsTables"/>
              <w:rPr>
                <w:rFonts w:asciiTheme="minorHAnsi" w:hAnsiTheme="minorHAnsi" w:cstheme="minorHAnsi"/>
                <w:sz w:val="17"/>
                <w:szCs w:val="17"/>
              </w:rPr>
            </w:pPr>
            <w:r w:rsidRPr="008B1B33">
              <w:rPr>
                <w:rFonts w:asciiTheme="minorHAnsi" w:hAnsiTheme="minorHAnsi" w:cstheme="minorHAnsi"/>
                <w:sz w:val="17"/>
                <w:szCs w:val="17"/>
              </w:rPr>
              <w:t>Special appropriations</w:t>
            </w:r>
          </w:p>
        </w:tc>
        <w:tc>
          <w:tcPr>
            <w:tcW w:w="1275" w:type="dxa"/>
          </w:tcPr>
          <w:p w14:paraId="16E59236"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w:t>
            </w:r>
          </w:p>
        </w:tc>
        <w:tc>
          <w:tcPr>
            <w:tcW w:w="1276" w:type="dxa"/>
          </w:tcPr>
          <w:p w14:paraId="0026E548"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w:t>
            </w:r>
          </w:p>
        </w:tc>
        <w:tc>
          <w:tcPr>
            <w:tcW w:w="851" w:type="dxa"/>
          </w:tcPr>
          <w:p w14:paraId="6F36AF74"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w:t>
            </w:r>
          </w:p>
        </w:tc>
        <w:tc>
          <w:tcPr>
            <w:tcW w:w="850" w:type="dxa"/>
          </w:tcPr>
          <w:p w14:paraId="1FF5ED1B"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w:t>
            </w:r>
          </w:p>
        </w:tc>
        <w:tc>
          <w:tcPr>
            <w:tcW w:w="1026" w:type="dxa"/>
          </w:tcPr>
          <w:p w14:paraId="3895DF54"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w:t>
            </w:r>
          </w:p>
        </w:tc>
        <w:tc>
          <w:tcPr>
            <w:tcW w:w="1042" w:type="dxa"/>
          </w:tcPr>
          <w:p w14:paraId="68A56E08"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w:t>
            </w:r>
          </w:p>
        </w:tc>
        <w:tc>
          <w:tcPr>
            <w:tcW w:w="980" w:type="dxa"/>
          </w:tcPr>
          <w:p w14:paraId="2D7B24EA"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181,720</w:t>
            </w:r>
          </w:p>
        </w:tc>
        <w:tc>
          <w:tcPr>
            <w:tcW w:w="964" w:type="dxa"/>
          </w:tcPr>
          <w:p w14:paraId="6843F015"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122,629</w:t>
            </w:r>
          </w:p>
        </w:tc>
      </w:tr>
      <w:tr w:rsidR="00B02873" w:rsidRPr="008B1B33" w14:paraId="615CE4A7" w14:textId="77777777" w:rsidTr="00615EFA">
        <w:trPr>
          <w:trHeight w:val="60"/>
        </w:trPr>
        <w:tc>
          <w:tcPr>
            <w:tcW w:w="2122" w:type="dxa"/>
          </w:tcPr>
          <w:p w14:paraId="6B155DCA" w14:textId="77777777" w:rsidR="00B02873" w:rsidRPr="008B1B33" w:rsidRDefault="00B02873" w:rsidP="008B1B33">
            <w:pPr>
              <w:pStyle w:val="TablebodyleftFinancialsTables"/>
              <w:rPr>
                <w:rFonts w:asciiTheme="minorHAnsi" w:hAnsiTheme="minorHAnsi" w:cstheme="minorHAnsi"/>
                <w:sz w:val="17"/>
                <w:szCs w:val="17"/>
              </w:rPr>
            </w:pPr>
            <w:r w:rsidRPr="008B1B33">
              <w:rPr>
                <w:rFonts w:asciiTheme="minorHAnsi" w:hAnsiTheme="minorHAnsi" w:cstheme="minorHAnsi"/>
                <w:sz w:val="17"/>
                <w:szCs w:val="17"/>
              </w:rPr>
              <w:t>Sale of goods and services</w:t>
            </w:r>
          </w:p>
        </w:tc>
        <w:tc>
          <w:tcPr>
            <w:tcW w:w="1275" w:type="dxa"/>
          </w:tcPr>
          <w:p w14:paraId="2DBC05E5"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10,032</w:t>
            </w:r>
          </w:p>
        </w:tc>
        <w:tc>
          <w:tcPr>
            <w:tcW w:w="1276" w:type="dxa"/>
          </w:tcPr>
          <w:p w14:paraId="213AF13E"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5,115</w:t>
            </w:r>
          </w:p>
        </w:tc>
        <w:tc>
          <w:tcPr>
            <w:tcW w:w="851" w:type="dxa"/>
          </w:tcPr>
          <w:p w14:paraId="6D45A333"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88</w:t>
            </w:r>
          </w:p>
        </w:tc>
        <w:tc>
          <w:tcPr>
            <w:tcW w:w="850" w:type="dxa"/>
          </w:tcPr>
          <w:p w14:paraId="2392C6E7"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89</w:t>
            </w:r>
          </w:p>
        </w:tc>
        <w:tc>
          <w:tcPr>
            <w:tcW w:w="1026" w:type="dxa"/>
          </w:tcPr>
          <w:p w14:paraId="50E54AA2"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2</w:t>
            </w:r>
          </w:p>
        </w:tc>
        <w:tc>
          <w:tcPr>
            <w:tcW w:w="1042" w:type="dxa"/>
          </w:tcPr>
          <w:p w14:paraId="076D03F8"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16</w:t>
            </w:r>
          </w:p>
        </w:tc>
        <w:tc>
          <w:tcPr>
            <w:tcW w:w="980" w:type="dxa"/>
          </w:tcPr>
          <w:p w14:paraId="7C3DEFC5"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86,695</w:t>
            </w:r>
          </w:p>
        </w:tc>
        <w:tc>
          <w:tcPr>
            <w:tcW w:w="964" w:type="dxa"/>
          </w:tcPr>
          <w:p w14:paraId="6F245EFC"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89,106</w:t>
            </w:r>
          </w:p>
        </w:tc>
      </w:tr>
      <w:tr w:rsidR="00615EFA" w:rsidRPr="008B1B33" w14:paraId="41D892A5" w14:textId="77777777" w:rsidTr="00615EFA">
        <w:trPr>
          <w:trHeight w:val="60"/>
        </w:trPr>
        <w:tc>
          <w:tcPr>
            <w:tcW w:w="2122" w:type="dxa"/>
          </w:tcPr>
          <w:p w14:paraId="43BCC54B" w14:textId="77777777" w:rsidR="00B02873" w:rsidRPr="008B1B33" w:rsidRDefault="00B02873" w:rsidP="008B1B33">
            <w:pPr>
              <w:pStyle w:val="TablebodyleftFinancialsTables"/>
              <w:rPr>
                <w:rFonts w:asciiTheme="minorHAnsi" w:hAnsiTheme="minorHAnsi" w:cstheme="minorHAnsi"/>
                <w:sz w:val="17"/>
                <w:szCs w:val="17"/>
              </w:rPr>
            </w:pPr>
            <w:r w:rsidRPr="008B1B33">
              <w:rPr>
                <w:rFonts w:asciiTheme="minorHAnsi" w:hAnsiTheme="minorHAnsi" w:cstheme="minorHAnsi"/>
                <w:sz w:val="17"/>
                <w:szCs w:val="17"/>
              </w:rPr>
              <w:t>Municipal and Industrial Waste Levy</w:t>
            </w:r>
          </w:p>
        </w:tc>
        <w:tc>
          <w:tcPr>
            <w:tcW w:w="1275" w:type="dxa"/>
          </w:tcPr>
          <w:p w14:paraId="3BE993EE"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w:t>
            </w:r>
          </w:p>
        </w:tc>
        <w:tc>
          <w:tcPr>
            <w:tcW w:w="1276" w:type="dxa"/>
          </w:tcPr>
          <w:p w14:paraId="0ADCE875"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w:t>
            </w:r>
          </w:p>
        </w:tc>
        <w:tc>
          <w:tcPr>
            <w:tcW w:w="851" w:type="dxa"/>
          </w:tcPr>
          <w:p w14:paraId="57CE7F8F"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w:t>
            </w:r>
          </w:p>
        </w:tc>
        <w:tc>
          <w:tcPr>
            <w:tcW w:w="850" w:type="dxa"/>
          </w:tcPr>
          <w:p w14:paraId="28006D7D"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w:t>
            </w:r>
          </w:p>
        </w:tc>
        <w:tc>
          <w:tcPr>
            <w:tcW w:w="1026" w:type="dxa"/>
          </w:tcPr>
          <w:p w14:paraId="33751466"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w:t>
            </w:r>
          </w:p>
        </w:tc>
        <w:tc>
          <w:tcPr>
            <w:tcW w:w="1042" w:type="dxa"/>
          </w:tcPr>
          <w:p w14:paraId="2D9C6B8A"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w:t>
            </w:r>
          </w:p>
        </w:tc>
        <w:tc>
          <w:tcPr>
            <w:tcW w:w="980" w:type="dxa"/>
          </w:tcPr>
          <w:p w14:paraId="64D668D8"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424,915</w:t>
            </w:r>
          </w:p>
        </w:tc>
        <w:tc>
          <w:tcPr>
            <w:tcW w:w="964" w:type="dxa"/>
          </w:tcPr>
          <w:p w14:paraId="10810CE6"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256,032</w:t>
            </w:r>
          </w:p>
        </w:tc>
      </w:tr>
      <w:tr w:rsidR="00B02873" w:rsidRPr="008B1B33" w14:paraId="1EDB4F4A" w14:textId="77777777" w:rsidTr="00615EFA">
        <w:trPr>
          <w:trHeight w:val="60"/>
        </w:trPr>
        <w:tc>
          <w:tcPr>
            <w:tcW w:w="2122" w:type="dxa"/>
          </w:tcPr>
          <w:p w14:paraId="2C7E9B89" w14:textId="77777777" w:rsidR="00B02873" w:rsidRPr="008B1B33" w:rsidRDefault="00B02873" w:rsidP="008B1B33">
            <w:pPr>
              <w:pStyle w:val="TablebodyleftFinancialsTables"/>
              <w:rPr>
                <w:rFonts w:asciiTheme="minorHAnsi" w:hAnsiTheme="minorHAnsi" w:cstheme="minorHAnsi"/>
                <w:sz w:val="17"/>
                <w:szCs w:val="17"/>
              </w:rPr>
            </w:pPr>
            <w:r w:rsidRPr="008B1B33">
              <w:rPr>
                <w:rFonts w:asciiTheme="minorHAnsi" w:hAnsiTheme="minorHAnsi" w:cstheme="minorHAnsi"/>
                <w:sz w:val="17"/>
                <w:szCs w:val="17"/>
              </w:rPr>
              <w:t>Metropolitan Parks Improvement Rate</w:t>
            </w:r>
          </w:p>
        </w:tc>
        <w:tc>
          <w:tcPr>
            <w:tcW w:w="1275" w:type="dxa"/>
          </w:tcPr>
          <w:p w14:paraId="10219736"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w:t>
            </w:r>
          </w:p>
        </w:tc>
        <w:tc>
          <w:tcPr>
            <w:tcW w:w="1276" w:type="dxa"/>
          </w:tcPr>
          <w:p w14:paraId="73B2AE2F" w14:textId="62D3CE41" w:rsidR="00B02873" w:rsidRPr="008B1B33" w:rsidRDefault="00012C04"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 xml:space="preserve"> </w:t>
            </w:r>
            <w:r w:rsidR="00B02873" w:rsidRPr="008B1B33">
              <w:rPr>
                <w:rFonts w:asciiTheme="minorHAnsi" w:hAnsiTheme="minorHAnsi" w:cstheme="minorHAnsi"/>
                <w:sz w:val="17"/>
                <w:szCs w:val="17"/>
              </w:rPr>
              <w:t xml:space="preserve"> –</w:t>
            </w:r>
          </w:p>
        </w:tc>
        <w:tc>
          <w:tcPr>
            <w:tcW w:w="851" w:type="dxa"/>
          </w:tcPr>
          <w:p w14:paraId="28D12A6D" w14:textId="76B54616" w:rsidR="00B02873" w:rsidRPr="008B1B33" w:rsidRDefault="00012C04"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 xml:space="preserve"> </w:t>
            </w:r>
            <w:r w:rsidR="00B02873" w:rsidRPr="008B1B33">
              <w:rPr>
                <w:rFonts w:asciiTheme="minorHAnsi" w:hAnsiTheme="minorHAnsi" w:cstheme="minorHAnsi"/>
                <w:b/>
                <w:bCs/>
                <w:sz w:val="17"/>
                <w:szCs w:val="17"/>
              </w:rPr>
              <w:t>–</w:t>
            </w:r>
          </w:p>
        </w:tc>
        <w:tc>
          <w:tcPr>
            <w:tcW w:w="850" w:type="dxa"/>
          </w:tcPr>
          <w:p w14:paraId="7B555A0E" w14:textId="1AE0093A" w:rsidR="00B02873" w:rsidRPr="008B1B33" w:rsidRDefault="00012C04"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 xml:space="preserve"> </w:t>
            </w:r>
            <w:r w:rsidR="00B02873" w:rsidRPr="008B1B33">
              <w:rPr>
                <w:rFonts w:asciiTheme="minorHAnsi" w:hAnsiTheme="minorHAnsi" w:cstheme="minorHAnsi"/>
                <w:sz w:val="17"/>
                <w:szCs w:val="17"/>
              </w:rPr>
              <w:t xml:space="preserve"> –</w:t>
            </w:r>
          </w:p>
        </w:tc>
        <w:tc>
          <w:tcPr>
            <w:tcW w:w="1026" w:type="dxa"/>
          </w:tcPr>
          <w:p w14:paraId="146CCFB6"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w:t>
            </w:r>
          </w:p>
        </w:tc>
        <w:tc>
          <w:tcPr>
            <w:tcW w:w="1042" w:type="dxa"/>
          </w:tcPr>
          <w:p w14:paraId="2D694013"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w:t>
            </w:r>
          </w:p>
        </w:tc>
        <w:tc>
          <w:tcPr>
            <w:tcW w:w="980" w:type="dxa"/>
          </w:tcPr>
          <w:p w14:paraId="39CBF344"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200,061</w:t>
            </w:r>
          </w:p>
        </w:tc>
        <w:tc>
          <w:tcPr>
            <w:tcW w:w="964" w:type="dxa"/>
          </w:tcPr>
          <w:p w14:paraId="604053CA"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190,679</w:t>
            </w:r>
          </w:p>
        </w:tc>
      </w:tr>
      <w:tr w:rsidR="00615EFA" w:rsidRPr="008B1B33" w14:paraId="0E9EAEDA" w14:textId="77777777" w:rsidTr="00615EFA">
        <w:trPr>
          <w:trHeight w:val="60"/>
        </w:trPr>
        <w:tc>
          <w:tcPr>
            <w:tcW w:w="2122" w:type="dxa"/>
          </w:tcPr>
          <w:p w14:paraId="5E7D9ABB" w14:textId="77777777" w:rsidR="00B02873" w:rsidRPr="008B1B33" w:rsidRDefault="00B02873" w:rsidP="008B1B33">
            <w:pPr>
              <w:pStyle w:val="TablebodyleftFinancialsTables"/>
              <w:rPr>
                <w:rFonts w:asciiTheme="minorHAnsi" w:hAnsiTheme="minorHAnsi" w:cstheme="minorHAnsi"/>
                <w:sz w:val="17"/>
                <w:szCs w:val="17"/>
              </w:rPr>
            </w:pPr>
            <w:r w:rsidRPr="008B1B33">
              <w:rPr>
                <w:rFonts w:asciiTheme="minorHAnsi" w:hAnsiTheme="minorHAnsi" w:cstheme="minorHAnsi"/>
                <w:sz w:val="17"/>
                <w:szCs w:val="17"/>
              </w:rPr>
              <w:t>Grants</w:t>
            </w:r>
          </w:p>
        </w:tc>
        <w:tc>
          <w:tcPr>
            <w:tcW w:w="1275" w:type="dxa"/>
          </w:tcPr>
          <w:p w14:paraId="13A5D167"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17,154</w:t>
            </w:r>
          </w:p>
        </w:tc>
        <w:tc>
          <w:tcPr>
            <w:tcW w:w="1276" w:type="dxa"/>
          </w:tcPr>
          <w:p w14:paraId="5B5F0B3F"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28,651</w:t>
            </w:r>
          </w:p>
        </w:tc>
        <w:tc>
          <w:tcPr>
            <w:tcW w:w="851" w:type="dxa"/>
          </w:tcPr>
          <w:p w14:paraId="683F5DE1"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10</w:t>
            </w:r>
          </w:p>
        </w:tc>
        <w:tc>
          <w:tcPr>
            <w:tcW w:w="850" w:type="dxa"/>
          </w:tcPr>
          <w:p w14:paraId="62017374"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868</w:t>
            </w:r>
          </w:p>
        </w:tc>
        <w:tc>
          <w:tcPr>
            <w:tcW w:w="1026" w:type="dxa"/>
          </w:tcPr>
          <w:p w14:paraId="6CB70680"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3</w:t>
            </w:r>
          </w:p>
        </w:tc>
        <w:tc>
          <w:tcPr>
            <w:tcW w:w="1042" w:type="dxa"/>
          </w:tcPr>
          <w:p w14:paraId="448142C7"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130</w:t>
            </w:r>
          </w:p>
        </w:tc>
        <w:tc>
          <w:tcPr>
            <w:tcW w:w="980" w:type="dxa"/>
          </w:tcPr>
          <w:p w14:paraId="2DEBA3E3"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41,677</w:t>
            </w:r>
          </w:p>
        </w:tc>
        <w:tc>
          <w:tcPr>
            <w:tcW w:w="964" w:type="dxa"/>
          </w:tcPr>
          <w:p w14:paraId="43FAFBE7"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98,227</w:t>
            </w:r>
          </w:p>
        </w:tc>
      </w:tr>
      <w:tr w:rsidR="00B02873" w:rsidRPr="008B1B33" w14:paraId="0081B067" w14:textId="77777777" w:rsidTr="00615EFA">
        <w:trPr>
          <w:trHeight w:val="60"/>
        </w:trPr>
        <w:tc>
          <w:tcPr>
            <w:tcW w:w="2122" w:type="dxa"/>
          </w:tcPr>
          <w:p w14:paraId="78A6A42E" w14:textId="77777777" w:rsidR="00B02873" w:rsidRPr="008B1B33" w:rsidRDefault="00B02873" w:rsidP="008B1B33">
            <w:pPr>
              <w:pStyle w:val="TablebodyleftFinancialsTables"/>
              <w:rPr>
                <w:rFonts w:asciiTheme="minorHAnsi" w:hAnsiTheme="minorHAnsi" w:cstheme="minorHAnsi"/>
                <w:sz w:val="17"/>
                <w:szCs w:val="17"/>
              </w:rPr>
            </w:pPr>
            <w:r w:rsidRPr="008B1B33">
              <w:rPr>
                <w:rFonts w:asciiTheme="minorHAnsi" w:hAnsiTheme="minorHAnsi" w:cstheme="minorHAnsi"/>
                <w:sz w:val="17"/>
                <w:szCs w:val="17"/>
              </w:rPr>
              <w:lastRenderedPageBreak/>
              <w:t>Interest income</w:t>
            </w:r>
          </w:p>
        </w:tc>
        <w:tc>
          <w:tcPr>
            <w:tcW w:w="1275" w:type="dxa"/>
          </w:tcPr>
          <w:p w14:paraId="2BF56163"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69</w:t>
            </w:r>
          </w:p>
        </w:tc>
        <w:tc>
          <w:tcPr>
            <w:tcW w:w="1276" w:type="dxa"/>
          </w:tcPr>
          <w:p w14:paraId="7FA5E35C"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273</w:t>
            </w:r>
          </w:p>
        </w:tc>
        <w:tc>
          <w:tcPr>
            <w:tcW w:w="851" w:type="dxa"/>
          </w:tcPr>
          <w:p w14:paraId="1A103CCE"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109</w:t>
            </w:r>
          </w:p>
        </w:tc>
        <w:tc>
          <w:tcPr>
            <w:tcW w:w="850" w:type="dxa"/>
          </w:tcPr>
          <w:p w14:paraId="7BF97264"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234</w:t>
            </w:r>
          </w:p>
        </w:tc>
        <w:tc>
          <w:tcPr>
            <w:tcW w:w="1026" w:type="dxa"/>
          </w:tcPr>
          <w:p w14:paraId="2BA65214"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w:t>
            </w:r>
          </w:p>
        </w:tc>
        <w:tc>
          <w:tcPr>
            <w:tcW w:w="1042" w:type="dxa"/>
          </w:tcPr>
          <w:p w14:paraId="26A78489"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23</w:t>
            </w:r>
          </w:p>
        </w:tc>
        <w:tc>
          <w:tcPr>
            <w:tcW w:w="980" w:type="dxa"/>
          </w:tcPr>
          <w:p w14:paraId="03944940"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9,540</w:t>
            </w:r>
          </w:p>
        </w:tc>
        <w:tc>
          <w:tcPr>
            <w:tcW w:w="964" w:type="dxa"/>
          </w:tcPr>
          <w:p w14:paraId="6ACAC8AE"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8,874</w:t>
            </w:r>
          </w:p>
        </w:tc>
      </w:tr>
      <w:tr w:rsidR="00615EFA" w:rsidRPr="008B1B33" w14:paraId="5369E7E7" w14:textId="77777777" w:rsidTr="00615EFA">
        <w:trPr>
          <w:trHeight w:val="60"/>
        </w:trPr>
        <w:tc>
          <w:tcPr>
            <w:tcW w:w="2122" w:type="dxa"/>
          </w:tcPr>
          <w:p w14:paraId="0A591632" w14:textId="77777777" w:rsidR="00B02873" w:rsidRPr="008B1B33" w:rsidRDefault="00B02873" w:rsidP="008B1B33">
            <w:pPr>
              <w:pStyle w:val="TablebodyleftFinancialsTables"/>
              <w:rPr>
                <w:rFonts w:asciiTheme="minorHAnsi" w:hAnsiTheme="minorHAnsi" w:cstheme="minorHAnsi"/>
                <w:sz w:val="17"/>
                <w:szCs w:val="17"/>
              </w:rPr>
            </w:pPr>
            <w:r w:rsidRPr="008B1B33">
              <w:rPr>
                <w:rFonts w:asciiTheme="minorHAnsi" w:hAnsiTheme="minorHAnsi" w:cstheme="minorHAnsi"/>
                <w:sz w:val="17"/>
                <w:szCs w:val="17"/>
              </w:rPr>
              <w:t>Initial recognition expense from financial instruments</w:t>
            </w:r>
          </w:p>
        </w:tc>
        <w:tc>
          <w:tcPr>
            <w:tcW w:w="1275" w:type="dxa"/>
          </w:tcPr>
          <w:p w14:paraId="16B5272D"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w:t>
            </w:r>
          </w:p>
        </w:tc>
        <w:tc>
          <w:tcPr>
            <w:tcW w:w="1276" w:type="dxa"/>
          </w:tcPr>
          <w:p w14:paraId="3EACB25E" w14:textId="28BD9EC0"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w:t>
            </w:r>
          </w:p>
        </w:tc>
        <w:tc>
          <w:tcPr>
            <w:tcW w:w="851" w:type="dxa"/>
          </w:tcPr>
          <w:p w14:paraId="02438726"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55,245</w:t>
            </w:r>
          </w:p>
        </w:tc>
        <w:tc>
          <w:tcPr>
            <w:tcW w:w="850" w:type="dxa"/>
          </w:tcPr>
          <w:p w14:paraId="73A46111" w14:textId="005566B5"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w:t>
            </w:r>
          </w:p>
        </w:tc>
        <w:tc>
          <w:tcPr>
            <w:tcW w:w="1026" w:type="dxa"/>
          </w:tcPr>
          <w:p w14:paraId="042CC616"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w:t>
            </w:r>
          </w:p>
        </w:tc>
        <w:tc>
          <w:tcPr>
            <w:tcW w:w="1042" w:type="dxa"/>
          </w:tcPr>
          <w:p w14:paraId="44B7FC9A"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w:t>
            </w:r>
          </w:p>
        </w:tc>
        <w:tc>
          <w:tcPr>
            <w:tcW w:w="980" w:type="dxa"/>
          </w:tcPr>
          <w:p w14:paraId="61628C24"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55,245</w:t>
            </w:r>
          </w:p>
        </w:tc>
        <w:tc>
          <w:tcPr>
            <w:tcW w:w="964" w:type="dxa"/>
          </w:tcPr>
          <w:p w14:paraId="1CA72602" w14:textId="2C1484FD"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w:t>
            </w:r>
          </w:p>
        </w:tc>
      </w:tr>
      <w:tr w:rsidR="00B02873" w:rsidRPr="008B1B33" w14:paraId="39DDD874" w14:textId="77777777" w:rsidTr="00615EFA">
        <w:trPr>
          <w:trHeight w:val="60"/>
        </w:trPr>
        <w:tc>
          <w:tcPr>
            <w:tcW w:w="2122" w:type="dxa"/>
          </w:tcPr>
          <w:p w14:paraId="20F26635" w14:textId="0BF75F32" w:rsidR="00B02873" w:rsidRPr="008B1B33" w:rsidRDefault="00B02873" w:rsidP="008B1B33">
            <w:pPr>
              <w:pStyle w:val="TablebodyleftFinancialsTables"/>
              <w:rPr>
                <w:rFonts w:asciiTheme="minorHAnsi" w:hAnsiTheme="minorHAnsi" w:cstheme="minorHAnsi"/>
                <w:sz w:val="17"/>
                <w:szCs w:val="17"/>
              </w:rPr>
            </w:pPr>
            <w:r w:rsidRPr="008B1B33">
              <w:rPr>
                <w:rFonts w:asciiTheme="minorHAnsi" w:hAnsiTheme="minorHAnsi" w:cstheme="minorHAnsi"/>
                <w:sz w:val="17"/>
                <w:szCs w:val="17"/>
              </w:rPr>
              <w:t>Other income and transfers</w:t>
            </w:r>
          </w:p>
        </w:tc>
        <w:tc>
          <w:tcPr>
            <w:tcW w:w="1275" w:type="dxa"/>
          </w:tcPr>
          <w:p w14:paraId="0E47B834" w14:textId="57E44BD6"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10,729</w:t>
            </w:r>
          </w:p>
        </w:tc>
        <w:tc>
          <w:tcPr>
            <w:tcW w:w="1276" w:type="dxa"/>
          </w:tcPr>
          <w:p w14:paraId="70725829"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2,854</w:t>
            </w:r>
          </w:p>
        </w:tc>
        <w:tc>
          <w:tcPr>
            <w:tcW w:w="851" w:type="dxa"/>
          </w:tcPr>
          <w:p w14:paraId="6DAD22B7" w14:textId="4C6B1866"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37,696</w:t>
            </w:r>
          </w:p>
        </w:tc>
        <w:tc>
          <w:tcPr>
            <w:tcW w:w="850" w:type="dxa"/>
          </w:tcPr>
          <w:p w14:paraId="2619B035"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13,748</w:t>
            </w:r>
          </w:p>
        </w:tc>
        <w:tc>
          <w:tcPr>
            <w:tcW w:w="1026" w:type="dxa"/>
          </w:tcPr>
          <w:p w14:paraId="4289A01E"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52,727</w:t>
            </w:r>
          </w:p>
        </w:tc>
        <w:tc>
          <w:tcPr>
            <w:tcW w:w="1042" w:type="dxa"/>
          </w:tcPr>
          <w:p w14:paraId="34D087F3"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21,122</w:t>
            </w:r>
          </w:p>
        </w:tc>
        <w:tc>
          <w:tcPr>
            <w:tcW w:w="980" w:type="dxa"/>
          </w:tcPr>
          <w:p w14:paraId="3EFC4214"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54,655</w:t>
            </w:r>
          </w:p>
        </w:tc>
        <w:tc>
          <w:tcPr>
            <w:tcW w:w="964" w:type="dxa"/>
          </w:tcPr>
          <w:p w14:paraId="6E7FDA12"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37,000</w:t>
            </w:r>
          </w:p>
        </w:tc>
      </w:tr>
      <w:tr w:rsidR="00B02873" w:rsidRPr="008B1B33" w14:paraId="628D3E3C" w14:textId="77777777" w:rsidTr="00615EFA">
        <w:trPr>
          <w:trHeight w:val="60"/>
        </w:trPr>
        <w:tc>
          <w:tcPr>
            <w:tcW w:w="2122" w:type="dxa"/>
          </w:tcPr>
          <w:p w14:paraId="0EC5B3FC" w14:textId="77777777" w:rsidR="00B02873" w:rsidRPr="008B1B33" w:rsidRDefault="00B02873" w:rsidP="008B1B33">
            <w:pPr>
              <w:pStyle w:val="TablebodyleftFinancialsTables"/>
              <w:rPr>
                <w:rFonts w:asciiTheme="minorHAnsi" w:hAnsiTheme="minorHAnsi" w:cstheme="minorHAnsi"/>
                <w:b/>
                <w:bCs/>
                <w:sz w:val="17"/>
                <w:szCs w:val="17"/>
              </w:rPr>
            </w:pPr>
            <w:r w:rsidRPr="008B1B33">
              <w:rPr>
                <w:rFonts w:asciiTheme="minorHAnsi" w:hAnsiTheme="minorHAnsi" w:cstheme="minorHAnsi"/>
                <w:b/>
                <w:bCs/>
                <w:sz w:val="17"/>
                <w:szCs w:val="17"/>
              </w:rPr>
              <w:t>Total revenue and income from transactions</w:t>
            </w:r>
          </w:p>
        </w:tc>
        <w:tc>
          <w:tcPr>
            <w:tcW w:w="1275" w:type="dxa"/>
          </w:tcPr>
          <w:p w14:paraId="519675DB"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447,869</w:t>
            </w:r>
          </w:p>
        </w:tc>
        <w:tc>
          <w:tcPr>
            <w:tcW w:w="1276" w:type="dxa"/>
          </w:tcPr>
          <w:p w14:paraId="14342BF3"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511,282</w:t>
            </w:r>
          </w:p>
        </w:tc>
        <w:tc>
          <w:tcPr>
            <w:tcW w:w="851" w:type="dxa"/>
          </w:tcPr>
          <w:p w14:paraId="3086D781"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318,432</w:t>
            </w:r>
          </w:p>
        </w:tc>
        <w:tc>
          <w:tcPr>
            <w:tcW w:w="850" w:type="dxa"/>
          </w:tcPr>
          <w:p w14:paraId="40063B9E"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487,740</w:t>
            </w:r>
          </w:p>
        </w:tc>
        <w:tc>
          <w:tcPr>
            <w:tcW w:w="1026" w:type="dxa"/>
          </w:tcPr>
          <w:p w14:paraId="4A29E860"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70,344</w:t>
            </w:r>
          </w:p>
        </w:tc>
        <w:tc>
          <w:tcPr>
            <w:tcW w:w="1042" w:type="dxa"/>
          </w:tcPr>
          <w:p w14:paraId="44C48BC2"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27,060</w:t>
            </w:r>
          </w:p>
        </w:tc>
        <w:tc>
          <w:tcPr>
            <w:tcW w:w="980" w:type="dxa"/>
          </w:tcPr>
          <w:p w14:paraId="433265FF"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pacing w:val="-8"/>
                <w:sz w:val="17"/>
                <w:szCs w:val="17"/>
              </w:rPr>
              <w:t>3,246,486</w:t>
            </w:r>
          </w:p>
        </w:tc>
        <w:tc>
          <w:tcPr>
            <w:tcW w:w="964" w:type="dxa"/>
          </w:tcPr>
          <w:p w14:paraId="7F7FBD47"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3,157,203</w:t>
            </w:r>
          </w:p>
        </w:tc>
      </w:tr>
      <w:tr w:rsidR="00615EFA" w:rsidRPr="008B1B33" w14:paraId="064A072C" w14:textId="77777777" w:rsidTr="00615EFA">
        <w:trPr>
          <w:trHeight w:val="60"/>
        </w:trPr>
        <w:tc>
          <w:tcPr>
            <w:tcW w:w="2122" w:type="dxa"/>
          </w:tcPr>
          <w:p w14:paraId="5F995DEF" w14:textId="77777777" w:rsidR="00B02873" w:rsidRPr="008B1B33" w:rsidRDefault="00B02873" w:rsidP="008B1B33">
            <w:pPr>
              <w:pStyle w:val="TablebodyleftFinancialsTables"/>
              <w:rPr>
                <w:rFonts w:asciiTheme="minorHAnsi" w:hAnsiTheme="minorHAnsi" w:cstheme="minorHAnsi"/>
                <w:b/>
                <w:bCs/>
                <w:sz w:val="17"/>
                <w:szCs w:val="17"/>
              </w:rPr>
            </w:pPr>
            <w:r w:rsidRPr="008B1B33">
              <w:rPr>
                <w:rFonts w:asciiTheme="minorHAnsi" w:hAnsiTheme="minorHAnsi" w:cstheme="minorHAnsi"/>
                <w:b/>
                <w:bCs/>
                <w:sz w:val="17"/>
                <w:szCs w:val="17"/>
              </w:rPr>
              <w:t>Expenses from transactions</w:t>
            </w:r>
          </w:p>
        </w:tc>
        <w:tc>
          <w:tcPr>
            <w:tcW w:w="1275" w:type="dxa"/>
          </w:tcPr>
          <w:p w14:paraId="19B5875F" w14:textId="77777777" w:rsidR="00B02873" w:rsidRPr="008B1B33" w:rsidRDefault="00B02873" w:rsidP="008B1B33">
            <w:pPr>
              <w:pStyle w:val="TablebodyleftFinancialsTables"/>
              <w:jc w:val="right"/>
              <w:rPr>
                <w:rFonts w:asciiTheme="minorHAnsi" w:hAnsiTheme="minorHAnsi" w:cstheme="minorHAnsi"/>
                <w:b/>
                <w:bCs/>
                <w:sz w:val="17"/>
                <w:szCs w:val="17"/>
              </w:rPr>
            </w:pPr>
          </w:p>
        </w:tc>
        <w:tc>
          <w:tcPr>
            <w:tcW w:w="1276" w:type="dxa"/>
          </w:tcPr>
          <w:p w14:paraId="6417106A" w14:textId="77777777" w:rsidR="00B02873" w:rsidRPr="008B1B33" w:rsidRDefault="00B02873" w:rsidP="008B1B33">
            <w:pPr>
              <w:pStyle w:val="TablebodyleftFinancialsTables"/>
              <w:jc w:val="right"/>
              <w:rPr>
                <w:rFonts w:asciiTheme="minorHAnsi" w:hAnsiTheme="minorHAnsi" w:cstheme="minorHAnsi"/>
                <w:b/>
                <w:bCs/>
                <w:sz w:val="17"/>
                <w:szCs w:val="17"/>
              </w:rPr>
            </w:pPr>
          </w:p>
        </w:tc>
        <w:tc>
          <w:tcPr>
            <w:tcW w:w="851" w:type="dxa"/>
          </w:tcPr>
          <w:p w14:paraId="63DDA898" w14:textId="77777777" w:rsidR="00B02873" w:rsidRPr="008B1B33" w:rsidRDefault="00B02873" w:rsidP="008B1B33">
            <w:pPr>
              <w:pStyle w:val="TablebodyleftFinancialsTables"/>
              <w:jc w:val="right"/>
              <w:rPr>
                <w:rFonts w:asciiTheme="minorHAnsi" w:hAnsiTheme="minorHAnsi" w:cstheme="minorHAnsi"/>
                <w:b/>
                <w:bCs/>
                <w:sz w:val="17"/>
                <w:szCs w:val="17"/>
              </w:rPr>
            </w:pPr>
          </w:p>
        </w:tc>
        <w:tc>
          <w:tcPr>
            <w:tcW w:w="850" w:type="dxa"/>
          </w:tcPr>
          <w:p w14:paraId="4999B33F" w14:textId="77777777" w:rsidR="00B02873" w:rsidRPr="008B1B33" w:rsidRDefault="00B02873" w:rsidP="008B1B33">
            <w:pPr>
              <w:pStyle w:val="TablebodyleftFinancialsTables"/>
              <w:jc w:val="right"/>
              <w:rPr>
                <w:rFonts w:asciiTheme="minorHAnsi" w:hAnsiTheme="minorHAnsi" w:cstheme="minorHAnsi"/>
                <w:b/>
                <w:bCs/>
                <w:sz w:val="17"/>
                <w:szCs w:val="17"/>
              </w:rPr>
            </w:pPr>
          </w:p>
        </w:tc>
        <w:tc>
          <w:tcPr>
            <w:tcW w:w="1026" w:type="dxa"/>
          </w:tcPr>
          <w:p w14:paraId="287E6489" w14:textId="77777777" w:rsidR="00B02873" w:rsidRPr="008B1B33" w:rsidRDefault="00B02873" w:rsidP="008B1B33">
            <w:pPr>
              <w:pStyle w:val="TablebodyleftFinancialsTables"/>
              <w:jc w:val="right"/>
              <w:rPr>
                <w:rFonts w:asciiTheme="minorHAnsi" w:hAnsiTheme="minorHAnsi" w:cstheme="minorHAnsi"/>
                <w:b/>
                <w:bCs/>
                <w:sz w:val="17"/>
                <w:szCs w:val="17"/>
              </w:rPr>
            </w:pPr>
          </w:p>
        </w:tc>
        <w:tc>
          <w:tcPr>
            <w:tcW w:w="1042" w:type="dxa"/>
          </w:tcPr>
          <w:p w14:paraId="13E39DC9" w14:textId="77777777" w:rsidR="00B02873" w:rsidRPr="008B1B33" w:rsidRDefault="00B02873" w:rsidP="008B1B33">
            <w:pPr>
              <w:pStyle w:val="TablebodyleftFinancialsTables"/>
              <w:jc w:val="right"/>
              <w:rPr>
                <w:rFonts w:asciiTheme="minorHAnsi" w:hAnsiTheme="minorHAnsi" w:cstheme="minorHAnsi"/>
                <w:b/>
                <w:bCs/>
                <w:sz w:val="17"/>
                <w:szCs w:val="17"/>
              </w:rPr>
            </w:pPr>
          </w:p>
        </w:tc>
        <w:tc>
          <w:tcPr>
            <w:tcW w:w="980" w:type="dxa"/>
          </w:tcPr>
          <w:p w14:paraId="1E28DC79" w14:textId="77777777" w:rsidR="00B02873" w:rsidRPr="008B1B33" w:rsidRDefault="00B02873" w:rsidP="008B1B33">
            <w:pPr>
              <w:pStyle w:val="TablebodyleftFinancialsTables"/>
              <w:jc w:val="right"/>
              <w:rPr>
                <w:rFonts w:asciiTheme="minorHAnsi" w:hAnsiTheme="minorHAnsi" w:cstheme="minorHAnsi"/>
                <w:b/>
                <w:bCs/>
                <w:sz w:val="17"/>
                <w:szCs w:val="17"/>
              </w:rPr>
            </w:pPr>
          </w:p>
        </w:tc>
        <w:tc>
          <w:tcPr>
            <w:tcW w:w="964" w:type="dxa"/>
          </w:tcPr>
          <w:p w14:paraId="209EC721" w14:textId="77777777" w:rsidR="00B02873" w:rsidRPr="008B1B33" w:rsidRDefault="00B02873" w:rsidP="008B1B33">
            <w:pPr>
              <w:pStyle w:val="TablebodyleftFinancialsTables"/>
              <w:jc w:val="right"/>
              <w:rPr>
                <w:rFonts w:asciiTheme="minorHAnsi" w:hAnsiTheme="minorHAnsi" w:cstheme="minorHAnsi"/>
                <w:b/>
                <w:bCs/>
                <w:sz w:val="17"/>
                <w:szCs w:val="17"/>
              </w:rPr>
            </w:pPr>
          </w:p>
        </w:tc>
      </w:tr>
      <w:tr w:rsidR="00615EFA" w:rsidRPr="008B1B33" w14:paraId="5DA63981" w14:textId="77777777" w:rsidTr="00615EFA">
        <w:trPr>
          <w:trHeight w:val="60"/>
        </w:trPr>
        <w:tc>
          <w:tcPr>
            <w:tcW w:w="2122" w:type="dxa"/>
          </w:tcPr>
          <w:p w14:paraId="6101CFB7" w14:textId="77777777" w:rsidR="00B02873" w:rsidRPr="008B1B33" w:rsidRDefault="00B02873" w:rsidP="008B1B33">
            <w:pPr>
              <w:pStyle w:val="TablebodyleftFinancialsTables"/>
              <w:rPr>
                <w:rFonts w:asciiTheme="minorHAnsi" w:hAnsiTheme="minorHAnsi" w:cstheme="minorHAnsi"/>
                <w:sz w:val="17"/>
                <w:szCs w:val="17"/>
              </w:rPr>
            </w:pPr>
            <w:r w:rsidRPr="008B1B33">
              <w:rPr>
                <w:rFonts w:asciiTheme="minorHAnsi" w:hAnsiTheme="minorHAnsi" w:cstheme="minorHAnsi"/>
                <w:sz w:val="17"/>
                <w:szCs w:val="17"/>
              </w:rPr>
              <w:t>Employee expenses</w:t>
            </w:r>
          </w:p>
        </w:tc>
        <w:tc>
          <w:tcPr>
            <w:tcW w:w="1275" w:type="dxa"/>
          </w:tcPr>
          <w:p w14:paraId="1D8A8A2E"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pacing w:val="-8"/>
                <w:sz w:val="17"/>
                <w:szCs w:val="17"/>
              </w:rPr>
              <w:t>(202,099)</w:t>
            </w:r>
          </w:p>
        </w:tc>
        <w:tc>
          <w:tcPr>
            <w:tcW w:w="1276" w:type="dxa"/>
          </w:tcPr>
          <w:p w14:paraId="66E3D35C"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(194,849)</w:t>
            </w:r>
          </w:p>
        </w:tc>
        <w:tc>
          <w:tcPr>
            <w:tcW w:w="851" w:type="dxa"/>
          </w:tcPr>
          <w:p w14:paraId="4D3069A8"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(59,423)</w:t>
            </w:r>
          </w:p>
        </w:tc>
        <w:tc>
          <w:tcPr>
            <w:tcW w:w="850" w:type="dxa"/>
          </w:tcPr>
          <w:p w14:paraId="555227D3"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(46,735)</w:t>
            </w:r>
          </w:p>
        </w:tc>
        <w:tc>
          <w:tcPr>
            <w:tcW w:w="1026" w:type="dxa"/>
          </w:tcPr>
          <w:p w14:paraId="4BCEA2AB"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(14,518)</w:t>
            </w:r>
          </w:p>
        </w:tc>
        <w:tc>
          <w:tcPr>
            <w:tcW w:w="1042" w:type="dxa"/>
          </w:tcPr>
          <w:p w14:paraId="51434BDE"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(10,562)</w:t>
            </w:r>
          </w:p>
        </w:tc>
        <w:tc>
          <w:tcPr>
            <w:tcW w:w="980" w:type="dxa"/>
          </w:tcPr>
          <w:p w14:paraId="1DC26402"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(708,708)</w:t>
            </w:r>
          </w:p>
        </w:tc>
        <w:tc>
          <w:tcPr>
            <w:tcW w:w="964" w:type="dxa"/>
          </w:tcPr>
          <w:p w14:paraId="45836AD5"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(625,869)</w:t>
            </w:r>
          </w:p>
        </w:tc>
      </w:tr>
      <w:tr w:rsidR="00B02873" w:rsidRPr="008B1B33" w14:paraId="18DE0A36" w14:textId="77777777" w:rsidTr="00615EFA">
        <w:trPr>
          <w:trHeight w:val="60"/>
        </w:trPr>
        <w:tc>
          <w:tcPr>
            <w:tcW w:w="2122" w:type="dxa"/>
          </w:tcPr>
          <w:p w14:paraId="4CF8F8AF" w14:textId="77777777" w:rsidR="00B02873" w:rsidRPr="008B1B33" w:rsidRDefault="00B02873" w:rsidP="008B1B33">
            <w:pPr>
              <w:pStyle w:val="TablebodyleftFinancialsTables"/>
              <w:rPr>
                <w:rFonts w:asciiTheme="minorHAnsi" w:hAnsiTheme="minorHAnsi" w:cstheme="minorHAnsi"/>
                <w:sz w:val="17"/>
                <w:szCs w:val="17"/>
              </w:rPr>
            </w:pPr>
            <w:r w:rsidRPr="008B1B33">
              <w:rPr>
                <w:rFonts w:asciiTheme="minorHAnsi" w:hAnsiTheme="minorHAnsi" w:cstheme="minorHAnsi"/>
                <w:sz w:val="17"/>
                <w:szCs w:val="17"/>
              </w:rPr>
              <w:t>Grants and other transfers</w:t>
            </w:r>
          </w:p>
        </w:tc>
        <w:tc>
          <w:tcPr>
            <w:tcW w:w="1275" w:type="dxa"/>
          </w:tcPr>
          <w:p w14:paraId="06691DDB"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(55,858)</w:t>
            </w:r>
          </w:p>
        </w:tc>
        <w:tc>
          <w:tcPr>
            <w:tcW w:w="1276" w:type="dxa"/>
          </w:tcPr>
          <w:p w14:paraId="09AB0A97"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(71,458)</w:t>
            </w:r>
          </w:p>
        </w:tc>
        <w:tc>
          <w:tcPr>
            <w:tcW w:w="851" w:type="dxa"/>
          </w:tcPr>
          <w:p w14:paraId="01C206E5"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(145,187)</w:t>
            </w:r>
          </w:p>
        </w:tc>
        <w:tc>
          <w:tcPr>
            <w:tcW w:w="850" w:type="dxa"/>
          </w:tcPr>
          <w:p w14:paraId="0B8F2FF9"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(151,485)</w:t>
            </w:r>
          </w:p>
        </w:tc>
        <w:tc>
          <w:tcPr>
            <w:tcW w:w="1026" w:type="dxa"/>
          </w:tcPr>
          <w:p w14:paraId="0F302074"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(27,925)</w:t>
            </w:r>
          </w:p>
        </w:tc>
        <w:tc>
          <w:tcPr>
            <w:tcW w:w="1042" w:type="dxa"/>
          </w:tcPr>
          <w:p w14:paraId="4459C711"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(8,533)</w:t>
            </w:r>
          </w:p>
        </w:tc>
        <w:tc>
          <w:tcPr>
            <w:tcW w:w="980" w:type="dxa"/>
          </w:tcPr>
          <w:p w14:paraId="4336A5F7"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pacing w:val="-8"/>
                <w:sz w:val="17"/>
                <w:szCs w:val="17"/>
              </w:rPr>
              <w:t>(1,485,515)</w:t>
            </w:r>
          </w:p>
        </w:tc>
        <w:tc>
          <w:tcPr>
            <w:tcW w:w="964" w:type="dxa"/>
          </w:tcPr>
          <w:p w14:paraId="2289BB2A"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(1,539,599)</w:t>
            </w:r>
          </w:p>
        </w:tc>
      </w:tr>
      <w:tr w:rsidR="00615EFA" w:rsidRPr="008B1B33" w14:paraId="742B5F47" w14:textId="77777777" w:rsidTr="00615EFA">
        <w:trPr>
          <w:trHeight w:val="60"/>
        </w:trPr>
        <w:tc>
          <w:tcPr>
            <w:tcW w:w="2122" w:type="dxa"/>
          </w:tcPr>
          <w:p w14:paraId="193A65D4" w14:textId="77777777" w:rsidR="00B02873" w:rsidRPr="008B1B33" w:rsidRDefault="00B02873" w:rsidP="008B1B33">
            <w:pPr>
              <w:pStyle w:val="TablebodyleftFinancialsTables"/>
              <w:rPr>
                <w:rFonts w:asciiTheme="minorHAnsi" w:hAnsiTheme="minorHAnsi" w:cstheme="minorHAnsi"/>
                <w:sz w:val="17"/>
                <w:szCs w:val="17"/>
              </w:rPr>
            </w:pPr>
            <w:r w:rsidRPr="008B1B33">
              <w:rPr>
                <w:rFonts w:asciiTheme="minorHAnsi" w:hAnsiTheme="minorHAnsi" w:cstheme="minorHAnsi"/>
                <w:sz w:val="17"/>
                <w:szCs w:val="17"/>
              </w:rPr>
              <w:t>Supplies and services</w:t>
            </w:r>
          </w:p>
        </w:tc>
        <w:tc>
          <w:tcPr>
            <w:tcW w:w="1275" w:type="dxa"/>
          </w:tcPr>
          <w:p w14:paraId="70612FEF"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(119,636)</w:t>
            </w:r>
          </w:p>
        </w:tc>
        <w:tc>
          <w:tcPr>
            <w:tcW w:w="1276" w:type="dxa"/>
          </w:tcPr>
          <w:p w14:paraId="5B78CD52"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(144,514)</w:t>
            </w:r>
          </w:p>
        </w:tc>
        <w:tc>
          <w:tcPr>
            <w:tcW w:w="851" w:type="dxa"/>
          </w:tcPr>
          <w:p w14:paraId="4469B967"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(57,279)</w:t>
            </w:r>
          </w:p>
        </w:tc>
        <w:tc>
          <w:tcPr>
            <w:tcW w:w="850" w:type="dxa"/>
          </w:tcPr>
          <w:p w14:paraId="26FA6C80"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(56,299)</w:t>
            </w:r>
          </w:p>
        </w:tc>
        <w:tc>
          <w:tcPr>
            <w:tcW w:w="1026" w:type="dxa"/>
          </w:tcPr>
          <w:p w14:paraId="70213A4C"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(8,956)</w:t>
            </w:r>
          </w:p>
        </w:tc>
        <w:tc>
          <w:tcPr>
            <w:tcW w:w="1042" w:type="dxa"/>
          </w:tcPr>
          <w:p w14:paraId="45C6609B"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(5,673)</w:t>
            </w:r>
          </w:p>
        </w:tc>
        <w:tc>
          <w:tcPr>
            <w:tcW w:w="980" w:type="dxa"/>
          </w:tcPr>
          <w:p w14:paraId="667502D5"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(747,295)</w:t>
            </w:r>
          </w:p>
        </w:tc>
        <w:tc>
          <w:tcPr>
            <w:tcW w:w="964" w:type="dxa"/>
          </w:tcPr>
          <w:p w14:paraId="31FA8E21"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(629,312)</w:t>
            </w:r>
          </w:p>
        </w:tc>
      </w:tr>
      <w:tr w:rsidR="00B02873" w:rsidRPr="008B1B33" w14:paraId="20A524C9" w14:textId="77777777" w:rsidTr="00615EFA">
        <w:trPr>
          <w:trHeight w:val="60"/>
        </w:trPr>
        <w:tc>
          <w:tcPr>
            <w:tcW w:w="2122" w:type="dxa"/>
          </w:tcPr>
          <w:p w14:paraId="3EF31816" w14:textId="77777777" w:rsidR="00B02873" w:rsidRPr="008B1B33" w:rsidRDefault="00B02873" w:rsidP="008B1B33">
            <w:pPr>
              <w:pStyle w:val="TablebodyleftFinancialsTables"/>
              <w:rPr>
                <w:rFonts w:asciiTheme="minorHAnsi" w:hAnsiTheme="minorHAnsi" w:cstheme="minorHAnsi"/>
                <w:sz w:val="17"/>
                <w:szCs w:val="17"/>
              </w:rPr>
            </w:pPr>
            <w:r w:rsidRPr="008B1B33">
              <w:rPr>
                <w:rFonts w:asciiTheme="minorHAnsi" w:hAnsiTheme="minorHAnsi" w:cstheme="minorHAnsi"/>
                <w:sz w:val="17"/>
                <w:szCs w:val="17"/>
              </w:rPr>
              <w:t>Depreciation and amortisation</w:t>
            </w:r>
          </w:p>
        </w:tc>
        <w:tc>
          <w:tcPr>
            <w:tcW w:w="1275" w:type="dxa"/>
          </w:tcPr>
          <w:p w14:paraId="0EEFD00C"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(53,894)</w:t>
            </w:r>
          </w:p>
        </w:tc>
        <w:tc>
          <w:tcPr>
            <w:tcW w:w="1276" w:type="dxa"/>
          </w:tcPr>
          <w:p w14:paraId="210D1DD9"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(52,080)</w:t>
            </w:r>
          </w:p>
        </w:tc>
        <w:tc>
          <w:tcPr>
            <w:tcW w:w="851" w:type="dxa"/>
          </w:tcPr>
          <w:p w14:paraId="0F3EDE3C"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(1,099)</w:t>
            </w:r>
          </w:p>
        </w:tc>
        <w:tc>
          <w:tcPr>
            <w:tcW w:w="850" w:type="dxa"/>
          </w:tcPr>
          <w:p w14:paraId="79E05373"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(964)</w:t>
            </w:r>
          </w:p>
        </w:tc>
        <w:tc>
          <w:tcPr>
            <w:tcW w:w="1026" w:type="dxa"/>
          </w:tcPr>
          <w:p w14:paraId="2DEE50B3"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(279)</w:t>
            </w:r>
          </w:p>
        </w:tc>
        <w:tc>
          <w:tcPr>
            <w:tcW w:w="1042" w:type="dxa"/>
          </w:tcPr>
          <w:p w14:paraId="2A9AA87D"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(179)</w:t>
            </w:r>
          </w:p>
        </w:tc>
        <w:tc>
          <w:tcPr>
            <w:tcW w:w="980" w:type="dxa"/>
          </w:tcPr>
          <w:p w14:paraId="0A3E8580"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(87,658)</w:t>
            </w:r>
          </w:p>
        </w:tc>
        <w:tc>
          <w:tcPr>
            <w:tcW w:w="964" w:type="dxa"/>
          </w:tcPr>
          <w:p w14:paraId="1B943AEC"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(80,076)</w:t>
            </w:r>
          </w:p>
        </w:tc>
      </w:tr>
      <w:tr w:rsidR="00615EFA" w:rsidRPr="008B1B33" w14:paraId="3E79EEB9" w14:textId="77777777" w:rsidTr="00615EFA">
        <w:trPr>
          <w:trHeight w:val="60"/>
        </w:trPr>
        <w:tc>
          <w:tcPr>
            <w:tcW w:w="2122" w:type="dxa"/>
          </w:tcPr>
          <w:p w14:paraId="7A80FD92" w14:textId="77777777" w:rsidR="00B02873" w:rsidRPr="008B1B33" w:rsidRDefault="00B02873" w:rsidP="008B1B33">
            <w:pPr>
              <w:pStyle w:val="TablebodyleftFinancialsTables"/>
              <w:rPr>
                <w:rFonts w:asciiTheme="minorHAnsi" w:hAnsiTheme="minorHAnsi" w:cstheme="minorHAnsi"/>
                <w:sz w:val="17"/>
                <w:szCs w:val="17"/>
              </w:rPr>
            </w:pPr>
            <w:r w:rsidRPr="008B1B33">
              <w:rPr>
                <w:rFonts w:asciiTheme="minorHAnsi" w:hAnsiTheme="minorHAnsi" w:cstheme="minorHAnsi"/>
                <w:sz w:val="17"/>
                <w:szCs w:val="17"/>
              </w:rPr>
              <w:t>Capital asset charge</w:t>
            </w:r>
          </w:p>
        </w:tc>
        <w:tc>
          <w:tcPr>
            <w:tcW w:w="1275" w:type="dxa"/>
          </w:tcPr>
          <w:p w14:paraId="418CBFFA"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w:t>
            </w:r>
          </w:p>
        </w:tc>
        <w:tc>
          <w:tcPr>
            <w:tcW w:w="1276" w:type="dxa"/>
          </w:tcPr>
          <w:p w14:paraId="4FADB010"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(53,242)</w:t>
            </w:r>
          </w:p>
        </w:tc>
        <w:tc>
          <w:tcPr>
            <w:tcW w:w="851" w:type="dxa"/>
          </w:tcPr>
          <w:p w14:paraId="55483246"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w:t>
            </w:r>
          </w:p>
        </w:tc>
        <w:tc>
          <w:tcPr>
            <w:tcW w:w="850" w:type="dxa"/>
          </w:tcPr>
          <w:p w14:paraId="4DBD86D0"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(462)</w:t>
            </w:r>
          </w:p>
        </w:tc>
        <w:tc>
          <w:tcPr>
            <w:tcW w:w="1026" w:type="dxa"/>
          </w:tcPr>
          <w:p w14:paraId="7AE9BC2A"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w:t>
            </w:r>
          </w:p>
        </w:tc>
        <w:tc>
          <w:tcPr>
            <w:tcW w:w="1042" w:type="dxa"/>
          </w:tcPr>
          <w:p w14:paraId="73E498F5"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(84)</w:t>
            </w:r>
          </w:p>
        </w:tc>
        <w:tc>
          <w:tcPr>
            <w:tcW w:w="980" w:type="dxa"/>
          </w:tcPr>
          <w:p w14:paraId="23CCD908"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w:t>
            </w:r>
          </w:p>
        </w:tc>
        <w:tc>
          <w:tcPr>
            <w:tcW w:w="964" w:type="dxa"/>
          </w:tcPr>
          <w:p w14:paraId="04AEBC49"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(96,066)</w:t>
            </w:r>
          </w:p>
        </w:tc>
      </w:tr>
      <w:tr w:rsidR="00B02873" w:rsidRPr="008B1B33" w14:paraId="697A9E10" w14:textId="77777777" w:rsidTr="00615EFA">
        <w:trPr>
          <w:trHeight w:val="60"/>
        </w:trPr>
        <w:tc>
          <w:tcPr>
            <w:tcW w:w="2122" w:type="dxa"/>
          </w:tcPr>
          <w:p w14:paraId="66C7FD81" w14:textId="77777777" w:rsidR="00B02873" w:rsidRPr="008B1B33" w:rsidRDefault="00B02873" w:rsidP="008B1B33">
            <w:pPr>
              <w:pStyle w:val="TablebodyleftFinancialsTables"/>
              <w:rPr>
                <w:rFonts w:asciiTheme="minorHAnsi" w:hAnsiTheme="minorHAnsi" w:cstheme="minorHAnsi"/>
                <w:sz w:val="17"/>
                <w:szCs w:val="17"/>
              </w:rPr>
            </w:pPr>
            <w:r w:rsidRPr="008B1B33">
              <w:rPr>
                <w:rFonts w:asciiTheme="minorHAnsi" w:hAnsiTheme="minorHAnsi" w:cstheme="minorHAnsi"/>
                <w:sz w:val="17"/>
                <w:szCs w:val="17"/>
              </w:rPr>
              <w:t>Initial recognition expense from financial instruments</w:t>
            </w:r>
          </w:p>
        </w:tc>
        <w:tc>
          <w:tcPr>
            <w:tcW w:w="1275" w:type="dxa"/>
          </w:tcPr>
          <w:p w14:paraId="215536F3"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w:t>
            </w:r>
          </w:p>
        </w:tc>
        <w:tc>
          <w:tcPr>
            <w:tcW w:w="1276" w:type="dxa"/>
          </w:tcPr>
          <w:p w14:paraId="5D29D022"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w:t>
            </w:r>
          </w:p>
        </w:tc>
        <w:tc>
          <w:tcPr>
            <w:tcW w:w="851" w:type="dxa"/>
          </w:tcPr>
          <w:p w14:paraId="2822899C"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w:t>
            </w:r>
          </w:p>
        </w:tc>
        <w:tc>
          <w:tcPr>
            <w:tcW w:w="850" w:type="dxa"/>
          </w:tcPr>
          <w:p w14:paraId="5005F6AB"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(200,072)</w:t>
            </w:r>
          </w:p>
        </w:tc>
        <w:tc>
          <w:tcPr>
            <w:tcW w:w="1026" w:type="dxa"/>
          </w:tcPr>
          <w:p w14:paraId="0FD4E587"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w:t>
            </w:r>
          </w:p>
        </w:tc>
        <w:tc>
          <w:tcPr>
            <w:tcW w:w="1042" w:type="dxa"/>
          </w:tcPr>
          <w:p w14:paraId="757612A1"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w:t>
            </w:r>
          </w:p>
        </w:tc>
        <w:tc>
          <w:tcPr>
            <w:tcW w:w="980" w:type="dxa"/>
          </w:tcPr>
          <w:p w14:paraId="4DB5993B"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w:t>
            </w:r>
          </w:p>
        </w:tc>
        <w:tc>
          <w:tcPr>
            <w:tcW w:w="964" w:type="dxa"/>
          </w:tcPr>
          <w:p w14:paraId="4AC45841"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(200,072)</w:t>
            </w:r>
          </w:p>
        </w:tc>
      </w:tr>
      <w:tr w:rsidR="00615EFA" w:rsidRPr="008B1B33" w14:paraId="6624C9C4" w14:textId="77777777" w:rsidTr="00615EFA">
        <w:trPr>
          <w:trHeight w:val="60"/>
        </w:trPr>
        <w:tc>
          <w:tcPr>
            <w:tcW w:w="2122" w:type="dxa"/>
          </w:tcPr>
          <w:p w14:paraId="200EAD99" w14:textId="77777777" w:rsidR="00B02873" w:rsidRPr="008B1B33" w:rsidRDefault="00B02873" w:rsidP="008B1B33">
            <w:pPr>
              <w:pStyle w:val="TablebodyleftFinancialsTables"/>
              <w:rPr>
                <w:rFonts w:asciiTheme="minorHAnsi" w:hAnsiTheme="minorHAnsi" w:cstheme="minorHAnsi"/>
                <w:sz w:val="17"/>
                <w:szCs w:val="17"/>
              </w:rPr>
            </w:pPr>
            <w:r w:rsidRPr="008B1B33">
              <w:rPr>
                <w:rFonts w:asciiTheme="minorHAnsi" w:hAnsiTheme="minorHAnsi" w:cstheme="minorHAnsi"/>
                <w:sz w:val="17"/>
                <w:szCs w:val="17"/>
              </w:rPr>
              <w:t>Interest expense</w:t>
            </w:r>
          </w:p>
        </w:tc>
        <w:tc>
          <w:tcPr>
            <w:tcW w:w="1275" w:type="dxa"/>
          </w:tcPr>
          <w:p w14:paraId="6E267BA1"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(1,159)</w:t>
            </w:r>
          </w:p>
        </w:tc>
        <w:tc>
          <w:tcPr>
            <w:tcW w:w="1276" w:type="dxa"/>
          </w:tcPr>
          <w:p w14:paraId="5561C067"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(1,317)</w:t>
            </w:r>
          </w:p>
        </w:tc>
        <w:tc>
          <w:tcPr>
            <w:tcW w:w="851" w:type="dxa"/>
          </w:tcPr>
          <w:p w14:paraId="221F256F"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(3,684)</w:t>
            </w:r>
          </w:p>
        </w:tc>
        <w:tc>
          <w:tcPr>
            <w:tcW w:w="850" w:type="dxa"/>
          </w:tcPr>
          <w:p w14:paraId="1FEBCA06"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(1,161)</w:t>
            </w:r>
          </w:p>
        </w:tc>
        <w:tc>
          <w:tcPr>
            <w:tcW w:w="1026" w:type="dxa"/>
          </w:tcPr>
          <w:p w14:paraId="33B21296"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5</w:t>
            </w:r>
          </w:p>
        </w:tc>
        <w:tc>
          <w:tcPr>
            <w:tcW w:w="1042" w:type="dxa"/>
          </w:tcPr>
          <w:p w14:paraId="517FC621"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(1)</w:t>
            </w:r>
          </w:p>
        </w:tc>
        <w:tc>
          <w:tcPr>
            <w:tcW w:w="980" w:type="dxa"/>
          </w:tcPr>
          <w:p w14:paraId="2DE0BE53"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(11,401)</w:t>
            </w:r>
          </w:p>
        </w:tc>
        <w:tc>
          <w:tcPr>
            <w:tcW w:w="964" w:type="dxa"/>
          </w:tcPr>
          <w:p w14:paraId="21F243EE"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(13,022)</w:t>
            </w:r>
          </w:p>
        </w:tc>
      </w:tr>
      <w:tr w:rsidR="00B02873" w:rsidRPr="008B1B33" w14:paraId="721A3BE3" w14:textId="77777777" w:rsidTr="00615EFA">
        <w:trPr>
          <w:trHeight w:val="60"/>
        </w:trPr>
        <w:tc>
          <w:tcPr>
            <w:tcW w:w="2122" w:type="dxa"/>
          </w:tcPr>
          <w:p w14:paraId="2C5D48E9" w14:textId="77777777" w:rsidR="00B02873" w:rsidRPr="008B1B33" w:rsidRDefault="00B02873" w:rsidP="008B1B33">
            <w:pPr>
              <w:pStyle w:val="TablebodyleftFinancialsTables"/>
              <w:rPr>
                <w:rFonts w:asciiTheme="minorHAnsi" w:hAnsiTheme="minorHAnsi" w:cstheme="minorHAnsi"/>
                <w:sz w:val="17"/>
                <w:szCs w:val="17"/>
              </w:rPr>
            </w:pPr>
            <w:r w:rsidRPr="008B1B33">
              <w:rPr>
                <w:rFonts w:asciiTheme="minorHAnsi" w:hAnsiTheme="minorHAnsi" w:cstheme="minorHAnsi"/>
                <w:sz w:val="17"/>
                <w:szCs w:val="17"/>
              </w:rPr>
              <w:t>Loan repayments transferred to the administered entity</w:t>
            </w:r>
          </w:p>
        </w:tc>
        <w:tc>
          <w:tcPr>
            <w:tcW w:w="1275" w:type="dxa"/>
          </w:tcPr>
          <w:p w14:paraId="11C2CAEB"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w:t>
            </w:r>
          </w:p>
        </w:tc>
        <w:tc>
          <w:tcPr>
            <w:tcW w:w="1276" w:type="dxa"/>
          </w:tcPr>
          <w:p w14:paraId="78EF5CA7"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w:t>
            </w:r>
          </w:p>
        </w:tc>
        <w:tc>
          <w:tcPr>
            <w:tcW w:w="851" w:type="dxa"/>
          </w:tcPr>
          <w:p w14:paraId="11C27738"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w:t>
            </w:r>
          </w:p>
        </w:tc>
        <w:tc>
          <w:tcPr>
            <w:tcW w:w="850" w:type="dxa"/>
          </w:tcPr>
          <w:p w14:paraId="6C645F41"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w:t>
            </w:r>
          </w:p>
        </w:tc>
        <w:tc>
          <w:tcPr>
            <w:tcW w:w="1026" w:type="dxa"/>
          </w:tcPr>
          <w:p w14:paraId="61A73E7E"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w:t>
            </w:r>
          </w:p>
        </w:tc>
        <w:tc>
          <w:tcPr>
            <w:tcW w:w="1042" w:type="dxa"/>
          </w:tcPr>
          <w:p w14:paraId="6815479B"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w:t>
            </w:r>
          </w:p>
        </w:tc>
        <w:tc>
          <w:tcPr>
            <w:tcW w:w="980" w:type="dxa"/>
          </w:tcPr>
          <w:p w14:paraId="1368EB5D"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(74,250)</w:t>
            </w:r>
          </w:p>
        </w:tc>
        <w:tc>
          <w:tcPr>
            <w:tcW w:w="964" w:type="dxa"/>
          </w:tcPr>
          <w:p w14:paraId="3B1A1166"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w:t>
            </w:r>
          </w:p>
        </w:tc>
      </w:tr>
      <w:tr w:rsidR="00B02873" w:rsidRPr="008B1B33" w14:paraId="4232CCDE" w14:textId="77777777" w:rsidTr="00615EFA">
        <w:trPr>
          <w:trHeight w:val="60"/>
        </w:trPr>
        <w:tc>
          <w:tcPr>
            <w:tcW w:w="2122" w:type="dxa"/>
          </w:tcPr>
          <w:p w14:paraId="73785864" w14:textId="77777777" w:rsidR="00B02873" w:rsidRPr="008B1B33" w:rsidRDefault="00B02873" w:rsidP="008B1B33">
            <w:pPr>
              <w:pStyle w:val="TablebodyleftFinancialsTables"/>
              <w:rPr>
                <w:rFonts w:asciiTheme="minorHAnsi" w:hAnsiTheme="minorHAnsi" w:cstheme="minorHAnsi"/>
                <w:b/>
                <w:bCs/>
                <w:sz w:val="17"/>
                <w:szCs w:val="17"/>
              </w:rPr>
            </w:pPr>
            <w:r w:rsidRPr="008B1B33">
              <w:rPr>
                <w:rFonts w:asciiTheme="minorHAnsi" w:hAnsiTheme="minorHAnsi" w:cstheme="minorHAnsi"/>
                <w:b/>
                <w:bCs/>
                <w:sz w:val="17"/>
                <w:szCs w:val="17"/>
              </w:rPr>
              <w:t>Total expenses from transactions</w:t>
            </w:r>
          </w:p>
        </w:tc>
        <w:tc>
          <w:tcPr>
            <w:tcW w:w="1275" w:type="dxa"/>
          </w:tcPr>
          <w:p w14:paraId="6AE3E7F1"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(432,646)</w:t>
            </w:r>
          </w:p>
        </w:tc>
        <w:tc>
          <w:tcPr>
            <w:tcW w:w="1276" w:type="dxa"/>
          </w:tcPr>
          <w:p w14:paraId="4445ECE1"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(517,460)</w:t>
            </w:r>
          </w:p>
        </w:tc>
        <w:tc>
          <w:tcPr>
            <w:tcW w:w="851" w:type="dxa"/>
          </w:tcPr>
          <w:p w14:paraId="499D55F8"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(266,672)</w:t>
            </w:r>
          </w:p>
        </w:tc>
        <w:tc>
          <w:tcPr>
            <w:tcW w:w="850" w:type="dxa"/>
          </w:tcPr>
          <w:p w14:paraId="33F7E9F4"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(457,178)</w:t>
            </w:r>
          </w:p>
        </w:tc>
        <w:tc>
          <w:tcPr>
            <w:tcW w:w="1026" w:type="dxa"/>
          </w:tcPr>
          <w:p w14:paraId="48D70DD5"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(51,673)</w:t>
            </w:r>
          </w:p>
        </w:tc>
        <w:tc>
          <w:tcPr>
            <w:tcW w:w="1042" w:type="dxa"/>
          </w:tcPr>
          <w:p w14:paraId="7D3A7632"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(25,032)</w:t>
            </w:r>
          </w:p>
        </w:tc>
        <w:tc>
          <w:tcPr>
            <w:tcW w:w="980" w:type="dxa"/>
          </w:tcPr>
          <w:p w14:paraId="46D569DA"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pacing w:val="-8"/>
                <w:sz w:val="17"/>
                <w:szCs w:val="17"/>
              </w:rPr>
              <w:t>(3,114,827)</w:t>
            </w:r>
          </w:p>
        </w:tc>
        <w:tc>
          <w:tcPr>
            <w:tcW w:w="964" w:type="dxa"/>
          </w:tcPr>
          <w:p w14:paraId="044ABC9F"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(3,184,016)</w:t>
            </w:r>
          </w:p>
        </w:tc>
      </w:tr>
      <w:tr w:rsidR="00B02873" w:rsidRPr="008B1B33" w14:paraId="1982DA33" w14:textId="77777777" w:rsidTr="00615EFA">
        <w:trPr>
          <w:trHeight w:val="60"/>
        </w:trPr>
        <w:tc>
          <w:tcPr>
            <w:tcW w:w="2122" w:type="dxa"/>
          </w:tcPr>
          <w:p w14:paraId="31EA47D3" w14:textId="77777777" w:rsidR="00B02873" w:rsidRPr="008B1B33" w:rsidRDefault="00B02873" w:rsidP="008B1B33">
            <w:pPr>
              <w:pStyle w:val="TablebodyleftFinancialsTables"/>
              <w:rPr>
                <w:rFonts w:asciiTheme="minorHAnsi" w:hAnsiTheme="minorHAnsi" w:cstheme="minorHAnsi"/>
                <w:b/>
                <w:bCs/>
                <w:sz w:val="17"/>
                <w:szCs w:val="17"/>
              </w:rPr>
            </w:pPr>
            <w:r w:rsidRPr="008B1B33">
              <w:rPr>
                <w:rFonts w:asciiTheme="minorHAnsi" w:hAnsiTheme="minorHAnsi" w:cstheme="minorHAnsi"/>
                <w:b/>
                <w:bCs/>
                <w:sz w:val="17"/>
                <w:szCs w:val="17"/>
              </w:rPr>
              <w:t>Net result from transactions (net operating balance)</w:t>
            </w:r>
          </w:p>
        </w:tc>
        <w:tc>
          <w:tcPr>
            <w:tcW w:w="1275" w:type="dxa"/>
          </w:tcPr>
          <w:p w14:paraId="03D24811" w14:textId="7E58C970"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15,223</w:t>
            </w:r>
            <w:r w:rsidR="00012C04" w:rsidRPr="008B1B33">
              <w:rPr>
                <w:rFonts w:asciiTheme="minorHAnsi" w:hAnsiTheme="minorHAnsi" w:cstheme="minorHAnsi"/>
                <w:b/>
                <w:bCs/>
                <w:sz w:val="17"/>
                <w:szCs w:val="17"/>
              </w:rPr>
              <w:t xml:space="preserve"> </w:t>
            </w:r>
            <w:r w:rsidRPr="008B1B33">
              <w:rPr>
                <w:rFonts w:asciiTheme="minorHAnsi" w:hAnsiTheme="minorHAnsi" w:cstheme="minorHAnsi"/>
                <w:b/>
                <w:bCs/>
                <w:sz w:val="17"/>
                <w:szCs w:val="17"/>
              </w:rPr>
              <w:t xml:space="preserve"> </w:t>
            </w:r>
          </w:p>
        </w:tc>
        <w:tc>
          <w:tcPr>
            <w:tcW w:w="1276" w:type="dxa"/>
          </w:tcPr>
          <w:p w14:paraId="3523628F"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(6,178)</w:t>
            </w:r>
          </w:p>
        </w:tc>
        <w:tc>
          <w:tcPr>
            <w:tcW w:w="851" w:type="dxa"/>
          </w:tcPr>
          <w:p w14:paraId="2988CC23" w14:textId="180AB2BC" w:rsidR="00B02873" w:rsidRPr="008B1B33" w:rsidRDefault="00012C04"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 xml:space="preserve"> </w:t>
            </w:r>
            <w:r w:rsidR="00B02873" w:rsidRPr="008B1B33">
              <w:rPr>
                <w:rFonts w:asciiTheme="minorHAnsi" w:hAnsiTheme="minorHAnsi" w:cstheme="minorHAnsi"/>
                <w:b/>
                <w:bCs/>
                <w:sz w:val="17"/>
                <w:szCs w:val="17"/>
              </w:rPr>
              <w:t xml:space="preserve">51,760 </w:t>
            </w:r>
          </w:p>
        </w:tc>
        <w:tc>
          <w:tcPr>
            <w:tcW w:w="850" w:type="dxa"/>
          </w:tcPr>
          <w:p w14:paraId="000C196F"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30,562</w:t>
            </w:r>
          </w:p>
        </w:tc>
        <w:tc>
          <w:tcPr>
            <w:tcW w:w="1026" w:type="dxa"/>
          </w:tcPr>
          <w:p w14:paraId="6B386C12" w14:textId="1CD0AF68" w:rsidR="00B02873" w:rsidRPr="008B1B33" w:rsidRDefault="00012C04"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 xml:space="preserve"> </w:t>
            </w:r>
            <w:r w:rsidR="00B02873" w:rsidRPr="008B1B33">
              <w:rPr>
                <w:rFonts w:asciiTheme="minorHAnsi" w:hAnsiTheme="minorHAnsi" w:cstheme="minorHAnsi"/>
                <w:b/>
                <w:bCs/>
                <w:sz w:val="17"/>
                <w:szCs w:val="17"/>
              </w:rPr>
              <w:t>18,671</w:t>
            </w:r>
          </w:p>
        </w:tc>
        <w:tc>
          <w:tcPr>
            <w:tcW w:w="1042" w:type="dxa"/>
          </w:tcPr>
          <w:p w14:paraId="6E96E9F2"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2,028</w:t>
            </w:r>
          </w:p>
        </w:tc>
        <w:tc>
          <w:tcPr>
            <w:tcW w:w="980" w:type="dxa"/>
          </w:tcPr>
          <w:p w14:paraId="2E99D6AF" w14:textId="4393D9FF"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 xml:space="preserve">131,659 </w:t>
            </w:r>
          </w:p>
        </w:tc>
        <w:tc>
          <w:tcPr>
            <w:tcW w:w="964" w:type="dxa"/>
          </w:tcPr>
          <w:p w14:paraId="5ECDD575"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(26,813)</w:t>
            </w:r>
          </w:p>
        </w:tc>
      </w:tr>
      <w:tr w:rsidR="00615EFA" w:rsidRPr="008B1B33" w14:paraId="0B1EFCCF" w14:textId="77777777" w:rsidTr="00615EFA">
        <w:trPr>
          <w:trHeight w:val="60"/>
        </w:trPr>
        <w:tc>
          <w:tcPr>
            <w:tcW w:w="2122" w:type="dxa"/>
          </w:tcPr>
          <w:p w14:paraId="4BF99132" w14:textId="77777777" w:rsidR="00B02873" w:rsidRPr="00615EFA" w:rsidRDefault="00B02873" w:rsidP="008B1B33">
            <w:pPr>
              <w:pStyle w:val="TablebodyleftFinancialsTables"/>
              <w:rPr>
                <w:rFonts w:asciiTheme="minorHAnsi" w:hAnsiTheme="minorHAnsi" w:cstheme="minorHAnsi"/>
                <w:b/>
                <w:bCs/>
                <w:sz w:val="17"/>
                <w:szCs w:val="17"/>
              </w:rPr>
            </w:pPr>
            <w:r w:rsidRPr="00615EFA">
              <w:rPr>
                <w:rFonts w:asciiTheme="minorHAnsi" w:hAnsiTheme="minorHAnsi" w:cstheme="minorHAnsi"/>
                <w:b/>
                <w:bCs/>
                <w:sz w:val="17"/>
                <w:szCs w:val="17"/>
              </w:rPr>
              <w:t>Other economic flows included in net result</w:t>
            </w:r>
          </w:p>
        </w:tc>
        <w:tc>
          <w:tcPr>
            <w:tcW w:w="1275" w:type="dxa"/>
          </w:tcPr>
          <w:p w14:paraId="40440D9F" w14:textId="77777777" w:rsidR="00B02873" w:rsidRPr="008B1B33" w:rsidRDefault="00B02873" w:rsidP="008B1B33">
            <w:pPr>
              <w:pStyle w:val="TablebodyleftFinancialsTables"/>
              <w:jc w:val="right"/>
              <w:rPr>
                <w:rFonts w:asciiTheme="minorHAnsi" w:hAnsiTheme="minorHAnsi" w:cstheme="minorHAnsi"/>
                <w:b/>
                <w:bCs/>
                <w:sz w:val="17"/>
                <w:szCs w:val="17"/>
              </w:rPr>
            </w:pPr>
          </w:p>
        </w:tc>
        <w:tc>
          <w:tcPr>
            <w:tcW w:w="1276" w:type="dxa"/>
          </w:tcPr>
          <w:p w14:paraId="0DCB5A2B" w14:textId="77777777" w:rsidR="00B02873" w:rsidRPr="008B1B33" w:rsidRDefault="00B02873" w:rsidP="008B1B33">
            <w:pPr>
              <w:pStyle w:val="TablebodyleftFinancialsTables"/>
              <w:jc w:val="right"/>
              <w:rPr>
                <w:rFonts w:asciiTheme="minorHAnsi" w:hAnsiTheme="minorHAnsi" w:cstheme="minorHAnsi"/>
                <w:sz w:val="17"/>
                <w:szCs w:val="17"/>
              </w:rPr>
            </w:pPr>
          </w:p>
        </w:tc>
        <w:tc>
          <w:tcPr>
            <w:tcW w:w="851" w:type="dxa"/>
          </w:tcPr>
          <w:p w14:paraId="4D4EC916" w14:textId="77777777" w:rsidR="00B02873" w:rsidRPr="008B1B33" w:rsidRDefault="00B02873" w:rsidP="008B1B33">
            <w:pPr>
              <w:pStyle w:val="TablebodyleftFinancialsTables"/>
              <w:jc w:val="right"/>
              <w:rPr>
                <w:rFonts w:asciiTheme="minorHAnsi" w:hAnsiTheme="minorHAnsi" w:cstheme="minorHAnsi"/>
                <w:b/>
                <w:bCs/>
                <w:sz w:val="17"/>
                <w:szCs w:val="17"/>
              </w:rPr>
            </w:pPr>
          </w:p>
        </w:tc>
        <w:tc>
          <w:tcPr>
            <w:tcW w:w="850" w:type="dxa"/>
          </w:tcPr>
          <w:p w14:paraId="628523F0" w14:textId="77777777" w:rsidR="00B02873" w:rsidRPr="008B1B33" w:rsidRDefault="00B02873" w:rsidP="008B1B33">
            <w:pPr>
              <w:pStyle w:val="TablebodyleftFinancialsTables"/>
              <w:jc w:val="right"/>
              <w:rPr>
                <w:rFonts w:asciiTheme="minorHAnsi" w:hAnsiTheme="minorHAnsi" w:cstheme="minorHAnsi"/>
                <w:sz w:val="17"/>
                <w:szCs w:val="17"/>
              </w:rPr>
            </w:pPr>
          </w:p>
        </w:tc>
        <w:tc>
          <w:tcPr>
            <w:tcW w:w="1026" w:type="dxa"/>
          </w:tcPr>
          <w:p w14:paraId="28C08AF3" w14:textId="77777777" w:rsidR="00B02873" w:rsidRPr="008B1B33" w:rsidRDefault="00B02873" w:rsidP="008B1B33">
            <w:pPr>
              <w:pStyle w:val="TablebodyleftFinancialsTables"/>
              <w:jc w:val="right"/>
              <w:rPr>
                <w:rFonts w:asciiTheme="minorHAnsi" w:hAnsiTheme="minorHAnsi" w:cstheme="minorHAnsi"/>
                <w:b/>
                <w:bCs/>
                <w:sz w:val="17"/>
                <w:szCs w:val="17"/>
              </w:rPr>
            </w:pPr>
          </w:p>
        </w:tc>
        <w:tc>
          <w:tcPr>
            <w:tcW w:w="1042" w:type="dxa"/>
          </w:tcPr>
          <w:p w14:paraId="7D9F612B" w14:textId="77777777" w:rsidR="00B02873" w:rsidRPr="008B1B33" w:rsidRDefault="00B02873" w:rsidP="008B1B33">
            <w:pPr>
              <w:pStyle w:val="TablebodyleftFinancialsTables"/>
              <w:jc w:val="right"/>
              <w:rPr>
                <w:rFonts w:asciiTheme="minorHAnsi" w:hAnsiTheme="minorHAnsi" w:cstheme="minorHAnsi"/>
                <w:sz w:val="17"/>
                <w:szCs w:val="17"/>
              </w:rPr>
            </w:pPr>
          </w:p>
        </w:tc>
        <w:tc>
          <w:tcPr>
            <w:tcW w:w="980" w:type="dxa"/>
          </w:tcPr>
          <w:p w14:paraId="665FA71B" w14:textId="77777777" w:rsidR="00B02873" w:rsidRPr="008B1B33" w:rsidRDefault="00B02873" w:rsidP="008B1B33">
            <w:pPr>
              <w:pStyle w:val="TablebodyleftFinancialsTables"/>
              <w:jc w:val="right"/>
              <w:rPr>
                <w:rFonts w:asciiTheme="minorHAnsi" w:hAnsiTheme="minorHAnsi" w:cstheme="minorHAnsi"/>
                <w:b/>
                <w:bCs/>
                <w:sz w:val="17"/>
                <w:szCs w:val="17"/>
              </w:rPr>
            </w:pPr>
          </w:p>
        </w:tc>
        <w:tc>
          <w:tcPr>
            <w:tcW w:w="964" w:type="dxa"/>
          </w:tcPr>
          <w:p w14:paraId="7E9A93A4" w14:textId="77777777" w:rsidR="00B02873" w:rsidRPr="008B1B33" w:rsidRDefault="00B02873" w:rsidP="008B1B33">
            <w:pPr>
              <w:pStyle w:val="TablebodyleftFinancialsTables"/>
              <w:jc w:val="right"/>
              <w:rPr>
                <w:rFonts w:asciiTheme="minorHAnsi" w:hAnsiTheme="minorHAnsi" w:cstheme="minorHAnsi"/>
                <w:sz w:val="17"/>
                <w:szCs w:val="17"/>
              </w:rPr>
            </w:pPr>
          </w:p>
        </w:tc>
      </w:tr>
      <w:tr w:rsidR="00B02873" w:rsidRPr="008B1B33" w14:paraId="1D45FAFD" w14:textId="77777777" w:rsidTr="00615EFA">
        <w:trPr>
          <w:trHeight w:val="60"/>
        </w:trPr>
        <w:tc>
          <w:tcPr>
            <w:tcW w:w="2122" w:type="dxa"/>
          </w:tcPr>
          <w:p w14:paraId="3ED538FD" w14:textId="77777777" w:rsidR="00B02873" w:rsidRPr="008B1B33" w:rsidRDefault="00B02873" w:rsidP="008B1B33">
            <w:pPr>
              <w:pStyle w:val="TablebodyleftFinancialsTables"/>
              <w:rPr>
                <w:rFonts w:asciiTheme="minorHAnsi" w:hAnsiTheme="minorHAnsi" w:cstheme="minorHAnsi"/>
                <w:sz w:val="17"/>
                <w:szCs w:val="17"/>
              </w:rPr>
            </w:pPr>
            <w:r w:rsidRPr="008B1B33">
              <w:rPr>
                <w:rFonts w:asciiTheme="minorHAnsi" w:hAnsiTheme="minorHAnsi" w:cstheme="minorHAnsi"/>
                <w:sz w:val="17"/>
                <w:szCs w:val="17"/>
              </w:rPr>
              <w:t>Net gain/(loss) on non-financial assets</w:t>
            </w:r>
          </w:p>
        </w:tc>
        <w:tc>
          <w:tcPr>
            <w:tcW w:w="1275" w:type="dxa"/>
          </w:tcPr>
          <w:p w14:paraId="14F806B3"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(1,394)</w:t>
            </w:r>
          </w:p>
        </w:tc>
        <w:tc>
          <w:tcPr>
            <w:tcW w:w="1276" w:type="dxa"/>
          </w:tcPr>
          <w:p w14:paraId="0A25AAC4"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242,575</w:t>
            </w:r>
          </w:p>
        </w:tc>
        <w:tc>
          <w:tcPr>
            <w:tcW w:w="851" w:type="dxa"/>
          </w:tcPr>
          <w:p w14:paraId="6214DB59"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(3,005)</w:t>
            </w:r>
          </w:p>
        </w:tc>
        <w:tc>
          <w:tcPr>
            <w:tcW w:w="850" w:type="dxa"/>
          </w:tcPr>
          <w:p w14:paraId="552FBD5F"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 xml:space="preserve"> (2,864)</w:t>
            </w:r>
          </w:p>
        </w:tc>
        <w:tc>
          <w:tcPr>
            <w:tcW w:w="1026" w:type="dxa"/>
          </w:tcPr>
          <w:p w14:paraId="2380CFC3"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(26)</w:t>
            </w:r>
          </w:p>
        </w:tc>
        <w:tc>
          <w:tcPr>
            <w:tcW w:w="1042" w:type="dxa"/>
          </w:tcPr>
          <w:p w14:paraId="1FAF350C"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(8)</w:t>
            </w:r>
          </w:p>
        </w:tc>
        <w:tc>
          <w:tcPr>
            <w:tcW w:w="980" w:type="dxa"/>
          </w:tcPr>
          <w:p w14:paraId="1F92D298"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91,055</w:t>
            </w:r>
          </w:p>
        </w:tc>
        <w:tc>
          <w:tcPr>
            <w:tcW w:w="964" w:type="dxa"/>
          </w:tcPr>
          <w:p w14:paraId="5EA5E4C3"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872,624</w:t>
            </w:r>
          </w:p>
        </w:tc>
      </w:tr>
      <w:tr w:rsidR="00615EFA" w:rsidRPr="008B1B33" w14:paraId="10F70A9D" w14:textId="77777777" w:rsidTr="00615EFA">
        <w:trPr>
          <w:trHeight w:val="60"/>
        </w:trPr>
        <w:tc>
          <w:tcPr>
            <w:tcW w:w="2122" w:type="dxa"/>
          </w:tcPr>
          <w:p w14:paraId="20BA6FD6" w14:textId="77777777" w:rsidR="00B02873" w:rsidRPr="008B1B33" w:rsidRDefault="00B02873" w:rsidP="008B1B33">
            <w:pPr>
              <w:pStyle w:val="TablebodyleftFinancialsTables"/>
              <w:rPr>
                <w:rFonts w:asciiTheme="minorHAnsi" w:hAnsiTheme="minorHAnsi" w:cstheme="minorHAnsi"/>
                <w:sz w:val="17"/>
                <w:szCs w:val="17"/>
              </w:rPr>
            </w:pPr>
            <w:r w:rsidRPr="008B1B33">
              <w:rPr>
                <w:rFonts w:asciiTheme="minorHAnsi" w:hAnsiTheme="minorHAnsi" w:cstheme="minorHAnsi"/>
                <w:sz w:val="17"/>
                <w:szCs w:val="17"/>
              </w:rPr>
              <w:t xml:space="preserve">Net gain/(loss) on financial instruments </w:t>
            </w:r>
          </w:p>
        </w:tc>
        <w:tc>
          <w:tcPr>
            <w:tcW w:w="1275" w:type="dxa"/>
          </w:tcPr>
          <w:p w14:paraId="2B6139DD"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12</w:t>
            </w:r>
          </w:p>
        </w:tc>
        <w:tc>
          <w:tcPr>
            <w:tcW w:w="1276" w:type="dxa"/>
          </w:tcPr>
          <w:p w14:paraId="4BF593F3"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(117)</w:t>
            </w:r>
          </w:p>
        </w:tc>
        <w:tc>
          <w:tcPr>
            <w:tcW w:w="851" w:type="dxa"/>
          </w:tcPr>
          <w:p w14:paraId="2739A1C1"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381,748</w:t>
            </w:r>
          </w:p>
        </w:tc>
        <w:tc>
          <w:tcPr>
            <w:tcW w:w="850" w:type="dxa"/>
          </w:tcPr>
          <w:p w14:paraId="68FF1FBC"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(87,583)</w:t>
            </w:r>
          </w:p>
        </w:tc>
        <w:tc>
          <w:tcPr>
            <w:tcW w:w="1026" w:type="dxa"/>
          </w:tcPr>
          <w:p w14:paraId="1E715919"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1</w:t>
            </w:r>
          </w:p>
        </w:tc>
        <w:tc>
          <w:tcPr>
            <w:tcW w:w="1042" w:type="dxa"/>
          </w:tcPr>
          <w:p w14:paraId="7D73D9D6"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(13)</w:t>
            </w:r>
          </w:p>
        </w:tc>
        <w:tc>
          <w:tcPr>
            <w:tcW w:w="980" w:type="dxa"/>
          </w:tcPr>
          <w:p w14:paraId="6078EB10"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381,066</w:t>
            </w:r>
          </w:p>
        </w:tc>
        <w:tc>
          <w:tcPr>
            <w:tcW w:w="964" w:type="dxa"/>
          </w:tcPr>
          <w:p w14:paraId="19DEBCA0"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(88,808)</w:t>
            </w:r>
          </w:p>
        </w:tc>
      </w:tr>
      <w:tr w:rsidR="00B02873" w:rsidRPr="008B1B33" w14:paraId="67DD44A7" w14:textId="77777777" w:rsidTr="00615EFA">
        <w:trPr>
          <w:trHeight w:val="60"/>
        </w:trPr>
        <w:tc>
          <w:tcPr>
            <w:tcW w:w="2122" w:type="dxa"/>
          </w:tcPr>
          <w:p w14:paraId="705EDD42" w14:textId="77777777" w:rsidR="00B02873" w:rsidRPr="008B1B33" w:rsidRDefault="00B02873" w:rsidP="008B1B33">
            <w:pPr>
              <w:pStyle w:val="TablebodyleftFinancialsTables"/>
              <w:rPr>
                <w:rFonts w:asciiTheme="minorHAnsi" w:hAnsiTheme="minorHAnsi" w:cstheme="minorHAnsi"/>
                <w:sz w:val="17"/>
                <w:szCs w:val="17"/>
              </w:rPr>
            </w:pPr>
            <w:r w:rsidRPr="008B1B33">
              <w:rPr>
                <w:rFonts w:asciiTheme="minorHAnsi" w:hAnsiTheme="minorHAnsi" w:cstheme="minorHAnsi"/>
                <w:sz w:val="17"/>
                <w:szCs w:val="17"/>
              </w:rPr>
              <w:t>Other gains from other economic flows</w:t>
            </w:r>
          </w:p>
        </w:tc>
        <w:tc>
          <w:tcPr>
            <w:tcW w:w="1275" w:type="dxa"/>
          </w:tcPr>
          <w:p w14:paraId="025B1DF9"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1,961</w:t>
            </w:r>
          </w:p>
        </w:tc>
        <w:tc>
          <w:tcPr>
            <w:tcW w:w="1276" w:type="dxa"/>
          </w:tcPr>
          <w:p w14:paraId="7C9989A2"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2,297</w:t>
            </w:r>
          </w:p>
        </w:tc>
        <w:tc>
          <w:tcPr>
            <w:tcW w:w="851" w:type="dxa"/>
          </w:tcPr>
          <w:p w14:paraId="29420431"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981</w:t>
            </w:r>
          </w:p>
        </w:tc>
        <w:tc>
          <w:tcPr>
            <w:tcW w:w="850" w:type="dxa"/>
          </w:tcPr>
          <w:p w14:paraId="64A78B6A"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1,404</w:t>
            </w:r>
          </w:p>
        </w:tc>
        <w:tc>
          <w:tcPr>
            <w:tcW w:w="1026" w:type="dxa"/>
          </w:tcPr>
          <w:p w14:paraId="0A9C4385" w14:textId="6C8859D9" w:rsidR="00B02873" w:rsidRPr="008B1B33" w:rsidRDefault="00012C04"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 xml:space="preserve"> </w:t>
            </w:r>
            <w:r w:rsidR="00B02873" w:rsidRPr="008B1B33">
              <w:rPr>
                <w:rFonts w:asciiTheme="minorHAnsi" w:hAnsiTheme="minorHAnsi" w:cstheme="minorHAnsi"/>
                <w:b/>
                <w:bCs/>
                <w:sz w:val="17"/>
                <w:szCs w:val="17"/>
              </w:rPr>
              <w:t xml:space="preserve"> 245</w:t>
            </w:r>
          </w:p>
        </w:tc>
        <w:tc>
          <w:tcPr>
            <w:tcW w:w="1042" w:type="dxa"/>
          </w:tcPr>
          <w:p w14:paraId="27D6E8E9"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255</w:t>
            </w:r>
          </w:p>
        </w:tc>
        <w:tc>
          <w:tcPr>
            <w:tcW w:w="980" w:type="dxa"/>
          </w:tcPr>
          <w:p w14:paraId="7AB1F0D5"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9,806</w:t>
            </w:r>
          </w:p>
        </w:tc>
        <w:tc>
          <w:tcPr>
            <w:tcW w:w="964" w:type="dxa"/>
          </w:tcPr>
          <w:p w14:paraId="17711271"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12,762</w:t>
            </w:r>
          </w:p>
        </w:tc>
      </w:tr>
      <w:tr w:rsidR="00B02873" w:rsidRPr="008B1B33" w14:paraId="275F870F" w14:textId="77777777" w:rsidTr="00615EFA">
        <w:trPr>
          <w:trHeight w:val="60"/>
        </w:trPr>
        <w:tc>
          <w:tcPr>
            <w:tcW w:w="2122" w:type="dxa"/>
          </w:tcPr>
          <w:p w14:paraId="2E9F9F13" w14:textId="77777777" w:rsidR="00B02873" w:rsidRPr="00615EFA" w:rsidRDefault="00B02873" w:rsidP="008B1B33">
            <w:pPr>
              <w:pStyle w:val="TablebodyleftFinancialsTables"/>
              <w:rPr>
                <w:rFonts w:asciiTheme="minorHAnsi" w:hAnsiTheme="minorHAnsi" w:cstheme="minorHAnsi"/>
                <w:b/>
                <w:bCs/>
                <w:sz w:val="17"/>
                <w:szCs w:val="17"/>
              </w:rPr>
            </w:pPr>
            <w:r w:rsidRPr="00615EFA">
              <w:rPr>
                <w:rFonts w:asciiTheme="minorHAnsi" w:hAnsiTheme="minorHAnsi" w:cstheme="minorHAnsi"/>
                <w:b/>
                <w:bCs/>
                <w:sz w:val="17"/>
                <w:szCs w:val="17"/>
              </w:rPr>
              <w:t>Total other economic flows included in net result</w:t>
            </w:r>
          </w:p>
        </w:tc>
        <w:tc>
          <w:tcPr>
            <w:tcW w:w="1275" w:type="dxa"/>
          </w:tcPr>
          <w:p w14:paraId="3CA65EAA"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579</w:t>
            </w:r>
          </w:p>
        </w:tc>
        <w:tc>
          <w:tcPr>
            <w:tcW w:w="1276" w:type="dxa"/>
          </w:tcPr>
          <w:p w14:paraId="558A7387"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244,755</w:t>
            </w:r>
          </w:p>
        </w:tc>
        <w:tc>
          <w:tcPr>
            <w:tcW w:w="851" w:type="dxa"/>
          </w:tcPr>
          <w:p w14:paraId="3B7EDEBB"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379,724</w:t>
            </w:r>
          </w:p>
        </w:tc>
        <w:tc>
          <w:tcPr>
            <w:tcW w:w="850" w:type="dxa"/>
          </w:tcPr>
          <w:p w14:paraId="0D3379DD"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(89,043)</w:t>
            </w:r>
          </w:p>
        </w:tc>
        <w:tc>
          <w:tcPr>
            <w:tcW w:w="1026" w:type="dxa"/>
          </w:tcPr>
          <w:p w14:paraId="0AD6C32B"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220</w:t>
            </w:r>
          </w:p>
        </w:tc>
        <w:tc>
          <w:tcPr>
            <w:tcW w:w="1042" w:type="dxa"/>
          </w:tcPr>
          <w:p w14:paraId="6C09FEB8"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 xml:space="preserve"> 234</w:t>
            </w:r>
          </w:p>
        </w:tc>
        <w:tc>
          <w:tcPr>
            <w:tcW w:w="980" w:type="dxa"/>
          </w:tcPr>
          <w:p w14:paraId="567DB83A"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481,927</w:t>
            </w:r>
          </w:p>
        </w:tc>
        <w:tc>
          <w:tcPr>
            <w:tcW w:w="964" w:type="dxa"/>
          </w:tcPr>
          <w:p w14:paraId="30116BC1"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796,578</w:t>
            </w:r>
          </w:p>
        </w:tc>
      </w:tr>
      <w:tr w:rsidR="00B02873" w:rsidRPr="008B1B33" w14:paraId="1049D578" w14:textId="77777777" w:rsidTr="00615EFA">
        <w:trPr>
          <w:trHeight w:val="60"/>
        </w:trPr>
        <w:tc>
          <w:tcPr>
            <w:tcW w:w="2122" w:type="dxa"/>
          </w:tcPr>
          <w:p w14:paraId="16CD09EB" w14:textId="77777777" w:rsidR="00B02873" w:rsidRPr="00615EFA" w:rsidRDefault="00B02873" w:rsidP="008B1B33">
            <w:pPr>
              <w:pStyle w:val="TablebodyleftFinancialsTables"/>
              <w:rPr>
                <w:rFonts w:asciiTheme="minorHAnsi" w:hAnsiTheme="minorHAnsi" w:cstheme="minorHAnsi"/>
                <w:b/>
                <w:bCs/>
                <w:sz w:val="17"/>
                <w:szCs w:val="17"/>
              </w:rPr>
            </w:pPr>
            <w:r w:rsidRPr="00615EFA">
              <w:rPr>
                <w:rFonts w:asciiTheme="minorHAnsi" w:hAnsiTheme="minorHAnsi" w:cstheme="minorHAnsi"/>
                <w:b/>
                <w:bCs/>
                <w:sz w:val="17"/>
                <w:szCs w:val="17"/>
              </w:rPr>
              <w:t xml:space="preserve">Net result </w:t>
            </w:r>
          </w:p>
        </w:tc>
        <w:tc>
          <w:tcPr>
            <w:tcW w:w="1275" w:type="dxa"/>
          </w:tcPr>
          <w:p w14:paraId="53022A14"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15,802</w:t>
            </w:r>
          </w:p>
        </w:tc>
        <w:tc>
          <w:tcPr>
            <w:tcW w:w="1276" w:type="dxa"/>
          </w:tcPr>
          <w:p w14:paraId="15151377"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238,577</w:t>
            </w:r>
          </w:p>
        </w:tc>
        <w:tc>
          <w:tcPr>
            <w:tcW w:w="851" w:type="dxa"/>
          </w:tcPr>
          <w:p w14:paraId="649879AB"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431,484</w:t>
            </w:r>
          </w:p>
        </w:tc>
        <w:tc>
          <w:tcPr>
            <w:tcW w:w="850" w:type="dxa"/>
          </w:tcPr>
          <w:p w14:paraId="4880933A"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(58,481)</w:t>
            </w:r>
          </w:p>
        </w:tc>
        <w:tc>
          <w:tcPr>
            <w:tcW w:w="1026" w:type="dxa"/>
          </w:tcPr>
          <w:p w14:paraId="079CE673"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18,891</w:t>
            </w:r>
          </w:p>
        </w:tc>
        <w:tc>
          <w:tcPr>
            <w:tcW w:w="1042" w:type="dxa"/>
          </w:tcPr>
          <w:p w14:paraId="29417D1B"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2,262</w:t>
            </w:r>
          </w:p>
        </w:tc>
        <w:tc>
          <w:tcPr>
            <w:tcW w:w="980" w:type="dxa"/>
          </w:tcPr>
          <w:p w14:paraId="5069388B"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613,586</w:t>
            </w:r>
          </w:p>
        </w:tc>
        <w:tc>
          <w:tcPr>
            <w:tcW w:w="964" w:type="dxa"/>
          </w:tcPr>
          <w:p w14:paraId="6FAB0E20"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769,765</w:t>
            </w:r>
          </w:p>
        </w:tc>
      </w:tr>
      <w:tr w:rsidR="00615EFA" w:rsidRPr="008B1B33" w14:paraId="6E8F72CF" w14:textId="77777777" w:rsidTr="00615EFA">
        <w:trPr>
          <w:trHeight w:val="60"/>
        </w:trPr>
        <w:tc>
          <w:tcPr>
            <w:tcW w:w="2122" w:type="dxa"/>
          </w:tcPr>
          <w:p w14:paraId="7B8F092C" w14:textId="77777777" w:rsidR="00B02873" w:rsidRPr="00615EFA" w:rsidRDefault="00B02873" w:rsidP="008B1B33">
            <w:pPr>
              <w:pStyle w:val="TablebodyleftFinancialsTables"/>
              <w:rPr>
                <w:rFonts w:asciiTheme="minorHAnsi" w:hAnsiTheme="minorHAnsi" w:cstheme="minorHAnsi"/>
                <w:b/>
                <w:bCs/>
                <w:sz w:val="17"/>
                <w:szCs w:val="17"/>
              </w:rPr>
            </w:pPr>
            <w:r w:rsidRPr="00615EFA">
              <w:rPr>
                <w:rFonts w:asciiTheme="minorHAnsi" w:hAnsiTheme="minorHAnsi" w:cstheme="minorHAnsi"/>
                <w:b/>
                <w:bCs/>
                <w:sz w:val="17"/>
                <w:szCs w:val="17"/>
              </w:rPr>
              <w:t>Other economic flows – other comprehensive income</w:t>
            </w:r>
          </w:p>
        </w:tc>
        <w:tc>
          <w:tcPr>
            <w:tcW w:w="1275" w:type="dxa"/>
          </w:tcPr>
          <w:p w14:paraId="395FE01C" w14:textId="77777777" w:rsidR="00B02873" w:rsidRPr="008B1B33" w:rsidRDefault="00B02873" w:rsidP="008B1B33">
            <w:pPr>
              <w:pStyle w:val="TablebodyleftFinancialsTables"/>
              <w:jc w:val="right"/>
              <w:rPr>
                <w:rFonts w:asciiTheme="minorHAnsi" w:hAnsiTheme="minorHAnsi" w:cstheme="minorHAnsi"/>
                <w:b/>
                <w:bCs/>
                <w:sz w:val="17"/>
                <w:szCs w:val="17"/>
              </w:rPr>
            </w:pPr>
          </w:p>
        </w:tc>
        <w:tc>
          <w:tcPr>
            <w:tcW w:w="1276" w:type="dxa"/>
          </w:tcPr>
          <w:p w14:paraId="2E256738" w14:textId="77777777" w:rsidR="00B02873" w:rsidRPr="008B1B33" w:rsidRDefault="00B02873" w:rsidP="008B1B33">
            <w:pPr>
              <w:pStyle w:val="TablebodyleftFinancialsTables"/>
              <w:jc w:val="right"/>
              <w:rPr>
                <w:rFonts w:asciiTheme="minorHAnsi" w:hAnsiTheme="minorHAnsi" w:cstheme="minorHAnsi"/>
                <w:sz w:val="17"/>
                <w:szCs w:val="17"/>
              </w:rPr>
            </w:pPr>
          </w:p>
        </w:tc>
        <w:tc>
          <w:tcPr>
            <w:tcW w:w="851" w:type="dxa"/>
          </w:tcPr>
          <w:p w14:paraId="6BF58909" w14:textId="77777777" w:rsidR="00B02873" w:rsidRPr="008B1B33" w:rsidRDefault="00B02873" w:rsidP="008B1B33">
            <w:pPr>
              <w:pStyle w:val="TablebodyleftFinancialsTables"/>
              <w:jc w:val="right"/>
              <w:rPr>
                <w:rFonts w:asciiTheme="minorHAnsi" w:hAnsiTheme="minorHAnsi" w:cstheme="minorHAnsi"/>
                <w:b/>
                <w:bCs/>
                <w:sz w:val="17"/>
                <w:szCs w:val="17"/>
              </w:rPr>
            </w:pPr>
          </w:p>
        </w:tc>
        <w:tc>
          <w:tcPr>
            <w:tcW w:w="850" w:type="dxa"/>
          </w:tcPr>
          <w:p w14:paraId="4597193A" w14:textId="77777777" w:rsidR="00B02873" w:rsidRPr="008B1B33" w:rsidRDefault="00B02873" w:rsidP="008B1B33">
            <w:pPr>
              <w:pStyle w:val="TablebodyleftFinancialsTables"/>
              <w:jc w:val="right"/>
              <w:rPr>
                <w:rFonts w:asciiTheme="minorHAnsi" w:hAnsiTheme="minorHAnsi" w:cstheme="minorHAnsi"/>
                <w:sz w:val="17"/>
                <w:szCs w:val="17"/>
              </w:rPr>
            </w:pPr>
          </w:p>
        </w:tc>
        <w:tc>
          <w:tcPr>
            <w:tcW w:w="1026" w:type="dxa"/>
          </w:tcPr>
          <w:p w14:paraId="50AFA2C2" w14:textId="77777777" w:rsidR="00B02873" w:rsidRPr="008B1B33" w:rsidRDefault="00B02873" w:rsidP="008B1B33">
            <w:pPr>
              <w:pStyle w:val="TablebodyleftFinancialsTables"/>
              <w:jc w:val="right"/>
              <w:rPr>
                <w:rFonts w:asciiTheme="minorHAnsi" w:hAnsiTheme="minorHAnsi" w:cstheme="minorHAnsi"/>
                <w:b/>
                <w:bCs/>
                <w:sz w:val="17"/>
                <w:szCs w:val="17"/>
              </w:rPr>
            </w:pPr>
          </w:p>
        </w:tc>
        <w:tc>
          <w:tcPr>
            <w:tcW w:w="1042" w:type="dxa"/>
          </w:tcPr>
          <w:p w14:paraId="7D03BA66" w14:textId="77777777" w:rsidR="00B02873" w:rsidRPr="008B1B33" w:rsidRDefault="00B02873" w:rsidP="008B1B33">
            <w:pPr>
              <w:pStyle w:val="TablebodyleftFinancialsTables"/>
              <w:jc w:val="right"/>
              <w:rPr>
                <w:rFonts w:asciiTheme="minorHAnsi" w:hAnsiTheme="minorHAnsi" w:cstheme="minorHAnsi"/>
                <w:sz w:val="17"/>
                <w:szCs w:val="17"/>
              </w:rPr>
            </w:pPr>
          </w:p>
        </w:tc>
        <w:tc>
          <w:tcPr>
            <w:tcW w:w="980" w:type="dxa"/>
          </w:tcPr>
          <w:p w14:paraId="1312D7AA" w14:textId="77777777" w:rsidR="00B02873" w:rsidRPr="008B1B33" w:rsidRDefault="00B02873" w:rsidP="008B1B33">
            <w:pPr>
              <w:pStyle w:val="TablebodyleftFinancialsTables"/>
              <w:jc w:val="right"/>
              <w:rPr>
                <w:rFonts w:asciiTheme="minorHAnsi" w:hAnsiTheme="minorHAnsi" w:cstheme="minorHAnsi"/>
                <w:b/>
                <w:bCs/>
                <w:sz w:val="17"/>
                <w:szCs w:val="17"/>
              </w:rPr>
            </w:pPr>
          </w:p>
        </w:tc>
        <w:tc>
          <w:tcPr>
            <w:tcW w:w="964" w:type="dxa"/>
          </w:tcPr>
          <w:p w14:paraId="54E84AEE" w14:textId="77777777" w:rsidR="00B02873" w:rsidRPr="008B1B33" w:rsidRDefault="00B02873" w:rsidP="008B1B33">
            <w:pPr>
              <w:pStyle w:val="TablebodyleftFinancialsTables"/>
              <w:jc w:val="right"/>
              <w:rPr>
                <w:rFonts w:asciiTheme="minorHAnsi" w:hAnsiTheme="minorHAnsi" w:cstheme="minorHAnsi"/>
                <w:sz w:val="17"/>
                <w:szCs w:val="17"/>
              </w:rPr>
            </w:pPr>
          </w:p>
        </w:tc>
      </w:tr>
      <w:tr w:rsidR="00B02873" w:rsidRPr="008B1B33" w14:paraId="5464FBFB" w14:textId="77777777" w:rsidTr="00615EFA">
        <w:trPr>
          <w:trHeight w:val="60"/>
        </w:trPr>
        <w:tc>
          <w:tcPr>
            <w:tcW w:w="2122" w:type="dxa"/>
          </w:tcPr>
          <w:p w14:paraId="1034740D" w14:textId="77777777" w:rsidR="00B02873" w:rsidRPr="00615EFA" w:rsidRDefault="00B02873" w:rsidP="008B1B33">
            <w:pPr>
              <w:pStyle w:val="TablebodyleftFinancialsTables"/>
              <w:rPr>
                <w:rFonts w:asciiTheme="minorHAnsi" w:hAnsiTheme="minorHAnsi" w:cstheme="minorHAnsi"/>
                <w:b/>
                <w:bCs/>
                <w:sz w:val="17"/>
                <w:szCs w:val="17"/>
              </w:rPr>
            </w:pPr>
            <w:r w:rsidRPr="00615EFA">
              <w:rPr>
                <w:rFonts w:asciiTheme="minorHAnsi" w:hAnsiTheme="minorHAnsi" w:cstheme="minorHAnsi"/>
                <w:b/>
                <w:bCs/>
                <w:sz w:val="17"/>
                <w:szCs w:val="17"/>
              </w:rPr>
              <w:t>Items that will not be classified to net result</w:t>
            </w:r>
          </w:p>
        </w:tc>
        <w:tc>
          <w:tcPr>
            <w:tcW w:w="1275" w:type="dxa"/>
          </w:tcPr>
          <w:p w14:paraId="4754CC25" w14:textId="77777777" w:rsidR="00B02873" w:rsidRPr="008B1B33" w:rsidRDefault="00B02873" w:rsidP="008B1B33">
            <w:pPr>
              <w:pStyle w:val="TablebodyleftFinancialsTables"/>
              <w:jc w:val="right"/>
              <w:rPr>
                <w:rFonts w:asciiTheme="minorHAnsi" w:hAnsiTheme="minorHAnsi" w:cstheme="minorHAnsi"/>
                <w:b/>
                <w:bCs/>
                <w:sz w:val="17"/>
                <w:szCs w:val="17"/>
              </w:rPr>
            </w:pPr>
          </w:p>
        </w:tc>
        <w:tc>
          <w:tcPr>
            <w:tcW w:w="1276" w:type="dxa"/>
          </w:tcPr>
          <w:p w14:paraId="1B2894D7" w14:textId="77777777" w:rsidR="00B02873" w:rsidRPr="008B1B33" w:rsidRDefault="00B02873" w:rsidP="008B1B33">
            <w:pPr>
              <w:pStyle w:val="TablebodyleftFinancialsTables"/>
              <w:jc w:val="right"/>
              <w:rPr>
                <w:rFonts w:asciiTheme="minorHAnsi" w:hAnsiTheme="minorHAnsi" w:cstheme="minorHAnsi"/>
                <w:sz w:val="17"/>
                <w:szCs w:val="17"/>
              </w:rPr>
            </w:pPr>
          </w:p>
        </w:tc>
        <w:tc>
          <w:tcPr>
            <w:tcW w:w="851" w:type="dxa"/>
          </w:tcPr>
          <w:p w14:paraId="7EE2B712" w14:textId="77777777" w:rsidR="00B02873" w:rsidRPr="008B1B33" w:rsidRDefault="00B02873" w:rsidP="008B1B33">
            <w:pPr>
              <w:pStyle w:val="TablebodyleftFinancialsTables"/>
              <w:jc w:val="right"/>
              <w:rPr>
                <w:rFonts w:asciiTheme="minorHAnsi" w:hAnsiTheme="minorHAnsi" w:cstheme="minorHAnsi"/>
                <w:b/>
                <w:bCs/>
                <w:sz w:val="17"/>
                <w:szCs w:val="17"/>
              </w:rPr>
            </w:pPr>
          </w:p>
        </w:tc>
        <w:tc>
          <w:tcPr>
            <w:tcW w:w="850" w:type="dxa"/>
          </w:tcPr>
          <w:p w14:paraId="5A962BDE" w14:textId="77777777" w:rsidR="00B02873" w:rsidRPr="008B1B33" w:rsidRDefault="00B02873" w:rsidP="008B1B33">
            <w:pPr>
              <w:pStyle w:val="TablebodyleftFinancialsTables"/>
              <w:jc w:val="right"/>
              <w:rPr>
                <w:rFonts w:asciiTheme="minorHAnsi" w:hAnsiTheme="minorHAnsi" w:cstheme="minorHAnsi"/>
                <w:sz w:val="17"/>
                <w:szCs w:val="17"/>
              </w:rPr>
            </w:pPr>
          </w:p>
        </w:tc>
        <w:tc>
          <w:tcPr>
            <w:tcW w:w="1026" w:type="dxa"/>
          </w:tcPr>
          <w:p w14:paraId="4E1DC714" w14:textId="77777777" w:rsidR="00B02873" w:rsidRPr="008B1B33" w:rsidRDefault="00B02873" w:rsidP="008B1B33">
            <w:pPr>
              <w:pStyle w:val="TablebodyleftFinancialsTables"/>
              <w:jc w:val="right"/>
              <w:rPr>
                <w:rFonts w:asciiTheme="minorHAnsi" w:hAnsiTheme="minorHAnsi" w:cstheme="minorHAnsi"/>
                <w:b/>
                <w:bCs/>
                <w:sz w:val="17"/>
                <w:szCs w:val="17"/>
              </w:rPr>
            </w:pPr>
          </w:p>
        </w:tc>
        <w:tc>
          <w:tcPr>
            <w:tcW w:w="1042" w:type="dxa"/>
          </w:tcPr>
          <w:p w14:paraId="676B2587" w14:textId="77777777" w:rsidR="00B02873" w:rsidRPr="008B1B33" w:rsidRDefault="00B02873" w:rsidP="008B1B33">
            <w:pPr>
              <w:pStyle w:val="TablebodyleftFinancialsTables"/>
              <w:jc w:val="right"/>
              <w:rPr>
                <w:rFonts w:asciiTheme="minorHAnsi" w:hAnsiTheme="minorHAnsi" w:cstheme="minorHAnsi"/>
                <w:sz w:val="17"/>
                <w:szCs w:val="17"/>
              </w:rPr>
            </w:pPr>
          </w:p>
        </w:tc>
        <w:tc>
          <w:tcPr>
            <w:tcW w:w="980" w:type="dxa"/>
          </w:tcPr>
          <w:p w14:paraId="148B8F07" w14:textId="77777777" w:rsidR="00B02873" w:rsidRPr="008B1B33" w:rsidRDefault="00B02873" w:rsidP="008B1B33">
            <w:pPr>
              <w:pStyle w:val="TablebodyleftFinancialsTables"/>
              <w:jc w:val="right"/>
              <w:rPr>
                <w:rFonts w:asciiTheme="minorHAnsi" w:hAnsiTheme="minorHAnsi" w:cstheme="minorHAnsi"/>
                <w:b/>
                <w:bCs/>
                <w:sz w:val="17"/>
                <w:szCs w:val="17"/>
              </w:rPr>
            </w:pPr>
          </w:p>
        </w:tc>
        <w:tc>
          <w:tcPr>
            <w:tcW w:w="964" w:type="dxa"/>
          </w:tcPr>
          <w:p w14:paraId="48FAB0FF" w14:textId="77777777" w:rsidR="00B02873" w:rsidRPr="008B1B33" w:rsidRDefault="00B02873" w:rsidP="008B1B33">
            <w:pPr>
              <w:pStyle w:val="TablebodyleftFinancialsTables"/>
              <w:jc w:val="right"/>
              <w:rPr>
                <w:rFonts w:asciiTheme="minorHAnsi" w:hAnsiTheme="minorHAnsi" w:cstheme="minorHAnsi"/>
                <w:sz w:val="17"/>
                <w:szCs w:val="17"/>
              </w:rPr>
            </w:pPr>
          </w:p>
        </w:tc>
      </w:tr>
      <w:tr w:rsidR="00615EFA" w:rsidRPr="008B1B33" w14:paraId="4129F716" w14:textId="77777777" w:rsidTr="00615EFA">
        <w:trPr>
          <w:trHeight w:val="60"/>
        </w:trPr>
        <w:tc>
          <w:tcPr>
            <w:tcW w:w="2122" w:type="dxa"/>
          </w:tcPr>
          <w:p w14:paraId="4123A1C1" w14:textId="77777777" w:rsidR="00B02873" w:rsidRPr="008B1B33" w:rsidRDefault="00B02873" w:rsidP="008B1B33">
            <w:pPr>
              <w:pStyle w:val="TablebodyleftFinancialsTables"/>
              <w:rPr>
                <w:rFonts w:asciiTheme="minorHAnsi" w:hAnsiTheme="minorHAnsi" w:cstheme="minorHAnsi"/>
                <w:sz w:val="17"/>
                <w:szCs w:val="17"/>
              </w:rPr>
            </w:pPr>
            <w:r w:rsidRPr="008B1B33">
              <w:rPr>
                <w:rFonts w:asciiTheme="minorHAnsi" w:hAnsiTheme="minorHAnsi" w:cstheme="minorHAnsi"/>
                <w:sz w:val="17"/>
                <w:szCs w:val="17"/>
              </w:rPr>
              <w:t>Changes in physical asset revaluation surplus</w:t>
            </w:r>
          </w:p>
        </w:tc>
        <w:tc>
          <w:tcPr>
            <w:tcW w:w="1275" w:type="dxa"/>
          </w:tcPr>
          <w:p w14:paraId="0F012D3A"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w:t>
            </w:r>
          </w:p>
        </w:tc>
        <w:tc>
          <w:tcPr>
            <w:tcW w:w="1276" w:type="dxa"/>
          </w:tcPr>
          <w:p w14:paraId="3B30C1D1"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w:t>
            </w:r>
          </w:p>
        </w:tc>
        <w:tc>
          <w:tcPr>
            <w:tcW w:w="851" w:type="dxa"/>
          </w:tcPr>
          <w:p w14:paraId="58884E29"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w:t>
            </w:r>
          </w:p>
        </w:tc>
        <w:tc>
          <w:tcPr>
            <w:tcW w:w="850" w:type="dxa"/>
          </w:tcPr>
          <w:p w14:paraId="002B4F91"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w:t>
            </w:r>
          </w:p>
        </w:tc>
        <w:tc>
          <w:tcPr>
            <w:tcW w:w="1026" w:type="dxa"/>
          </w:tcPr>
          <w:p w14:paraId="18982AE5"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w:t>
            </w:r>
          </w:p>
        </w:tc>
        <w:tc>
          <w:tcPr>
            <w:tcW w:w="1042" w:type="dxa"/>
          </w:tcPr>
          <w:p w14:paraId="20B25608"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w:t>
            </w:r>
          </w:p>
        </w:tc>
        <w:tc>
          <w:tcPr>
            <w:tcW w:w="980" w:type="dxa"/>
          </w:tcPr>
          <w:p w14:paraId="749B33A5"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1,050,979</w:t>
            </w:r>
          </w:p>
        </w:tc>
        <w:tc>
          <w:tcPr>
            <w:tcW w:w="964" w:type="dxa"/>
          </w:tcPr>
          <w:p w14:paraId="011942F2"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702,045</w:t>
            </w:r>
          </w:p>
        </w:tc>
      </w:tr>
      <w:tr w:rsidR="00B02873" w:rsidRPr="008B1B33" w14:paraId="64281BFA" w14:textId="77777777" w:rsidTr="00615EFA">
        <w:trPr>
          <w:trHeight w:val="60"/>
        </w:trPr>
        <w:tc>
          <w:tcPr>
            <w:tcW w:w="2122" w:type="dxa"/>
          </w:tcPr>
          <w:p w14:paraId="01F8D12D" w14:textId="77777777" w:rsidR="00B02873" w:rsidRPr="00615EFA" w:rsidRDefault="00B02873" w:rsidP="008B1B33">
            <w:pPr>
              <w:pStyle w:val="TablebodyleftFinancialsTables"/>
              <w:rPr>
                <w:rFonts w:asciiTheme="minorHAnsi" w:hAnsiTheme="minorHAnsi" w:cstheme="minorHAnsi"/>
                <w:b/>
                <w:bCs/>
                <w:sz w:val="17"/>
                <w:szCs w:val="17"/>
              </w:rPr>
            </w:pPr>
            <w:r w:rsidRPr="00615EFA">
              <w:rPr>
                <w:rFonts w:asciiTheme="minorHAnsi" w:hAnsiTheme="minorHAnsi" w:cstheme="minorHAnsi"/>
                <w:b/>
                <w:bCs/>
                <w:sz w:val="17"/>
                <w:szCs w:val="17"/>
              </w:rPr>
              <w:lastRenderedPageBreak/>
              <w:t>Total other economic flows – other comprehensive income</w:t>
            </w:r>
          </w:p>
        </w:tc>
        <w:tc>
          <w:tcPr>
            <w:tcW w:w="1275" w:type="dxa"/>
          </w:tcPr>
          <w:p w14:paraId="417D638B"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w:t>
            </w:r>
          </w:p>
        </w:tc>
        <w:tc>
          <w:tcPr>
            <w:tcW w:w="1276" w:type="dxa"/>
          </w:tcPr>
          <w:p w14:paraId="0260AE2F"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 xml:space="preserve"> –</w:t>
            </w:r>
          </w:p>
        </w:tc>
        <w:tc>
          <w:tcPr>
            <w:tcW w:w="851" w:type="dxa"/>
          </w:tcPr>
          <w:p w14:paraId="5206EDA8"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w:t>
            </w:r>
          </w:p>
        </w:tc>
        <w:tc>
          <w:tcPr>
            <w:tcW w:w="850" w:type="dxa"/>
          </w:tcPr>
          <w:p w14:paraId="6ED822CB"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 xml:space="preserve"> –</w:t>
            </w:r>
          </w:p>
        </w:tc>
        <w:tc>
          <w:tcPr>
            <w:tcW w:w="1026" w:type="dxa"/>
          </w:tcPr>
          <w:p w14:paraId="74BBB1A4"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w:t>
            </w:r>
          </w:p>
        </w:tc>
        <w:tc>
          <w:tcPr>
            <w:tcW w:w="1042" w:type="dxa"/>
          </w:tcPr>
          <w:p w14:paraId="5F9ACFFF" w14:textId="60055546"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w:t>
            </w:r>
          </w:p>
        </w:tc>
        <w:tc>
          <w:tcPr>
            <w:tcW w:w="980" w:type="dxa"/>
          </w:tcPr>
          <w:p w14:paraId="512A475F"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1,050,979</w:t>
            </w:r>
          </w:p>
        </w:tc>
        <w:tc>
          <w:tcPr>
            <w:tcW w:w="964" w:type="dxa"/>
          </w:tcPr>
          <w:p w14:paraId="5E00EA44"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702,045</w:t>
            </w:r>
          </w:p>
        </w:tc>
      </w:tr>
      <w:tr w:rsidR="00B02873" w:rsidRPr="008B1B33" w14:paraId="5952A978" w14:textId="77777777" w:rsidTr="00615EFA">
        <w:trPr>
          <w:trHeight w:val="60"/>
        </w:trPr>
        <w:tc>
          <w:tcPr>
            <w:tcW w:w="2122" w:type="dxa"/>
          </w:tcPr>
          <w:p w14:paraId="71C62786" w14:textId="77777777" w:rsidR="00B02873" w:rsidRPr="00615EFA" w:rsidRDefault="00B02873" w:rsidP="008B1B33">
            <w:pPr>
              <w:pStyle w:val="TablebodyleftFinancialsTables"/>
              <w:rPr>
                <w:rFonts w:asciiTheme="minorHAnsi" w:hAnsiTheme="minorHAnsi" w:cstheme="minorHAnsi"/>
                <w:b/>
                <w:bCs/>
                <w:sz w:val="17"/>
                <w:szCs w:val="17"/>
              </w:rPr>
            </w:pPr>
            <w:r w:rsidRPr="00615EFA">
              <w:rPr>
                <w:rFonts w:asciiTheme="minorHAnsi" w:hAnsiTheme="minorHAnsi" w:cstheme="minorHAnsi"/>
                <w:b/>
                <w:bCs/>
                <w:sz w:val="17"/>
                <w:szCs w:val="17"/>
              </w:rPr>
              <w:t xml:space="preserve">Comprehensive result </w:t>
            </w:r>
          </w:p>
        </w:tc>
        <w:tc>
          <w:tcPr>
            <w:tcW w:w="1275" w:type="dxa"/>
          </w:tcPr>
          <w:p w14:paraId="59E73A7C"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15,802</w:t>
            </w:r>
          </w:p>
        </w:tc>
        <w:tc>
          <w:tcPr>
            <w:tcW w:w="1276" w:type="dxa"/>
          </w:tcPr>
          <w:p w14:paraId="16BB9C2A"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 xml:space="preserve"> 238,577</w:t>
            </w:r>
          </w:p>
        </w:tc>
        <w:tc>
          <w:tcPr>
            <w:tcW w:w="851" w:type="dxa"/>
          </w:tcPr>
          <w:p w14:paraId="3662A710"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431,484</w:t>
            </w:r>
          </w:p>
        </w:tc>
        <w:tc>
          <w:tcPr>
            <w:tcW w:w="850" w:type="dxa"/>
          </w:tcPr>
          <w:p w14:paraId="01AFE64F"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(58,481)</w:t>
            </w:r>
          </w:p>
        </w:tc>
        <w:tc>
          <w:tcPr>
            <w:tcW w:w="1026" w:type="dxa"/>
          </w:tcPr>
          <w:p w14:paraId="542321D7"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18,891</w:t>
            </w:r>
          </w:p>
        </w:tc>
        <w:tc>
          <w:tcPr>
            <w:tcW w:w="1042" w:type="dxa"/>
          </w:tcPr>
          <w:p w14:paraId="62D61756"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2,262</w:t>
            </w:r>
          </w:p>
        </w:tc>
        <w:tc>
          <w:tcPr>
            <w:tcW w:w="980" w:type="dxa"/>
          </w:tcPr>
          <w:p w14:paraId="4A4A341B" w14:textId="77777777" w:rsidR="00B02873" w:rsidRPr="008B1B33" w:rsidRDefault="00B02873" w:rsidP="008B1B33">
            <w:pPr>
              <w:pStyle w:val="TablebodyleftFinancialsTables"/>
              <w:jc w:val="right"/>
              <w:rPr>
                <w:rFonts w:asciiTheme="minorHAnsi" w:hAnsiTheme="minorHAnsi" w:cstheme="minorHAnsi"/>
                <w:b/>
                <w:bCs/>
                <w:sz w:val="17"/>
                <w:szCs w:val="17"/>
              </w:rPr>
            </w:pPr>
            <w:r w:rsidRPr="008B1B33">
              <w:rPr>
                <w:rFonts w:asciiTheme="minorHAnsi" w:hAnsiTheme="minorHAnsi" w:cstheme="minorHAnsi"/>
                <w:b/>
                <w:bCs/>
                <w:sz w:val="17"/>
                <w:szCs w:val="17"/>
              </w:rPr>
              <w:t>1,664,565</w:t>
            </w:r>
          </w:p>
        </w:tc>
        <w:tc>
          <w:tcPr>
            <w:tcW w:w="964" w:type="dxa"/>
          </w:tcPr>
          <w:p w14:paraId="1BBDBEEF" w14:textId="77777777" w:rsidR="00B02873" w:rsidRPr="008B1B33" w:rsidRDefault="00B02873" w:rsidP="008B1B33">
            <w:pPr>
              <w:pStyle w:val="TablebodyleftFinancialsTables"/>
              <w:jc w:val="right"/>
              <w:rPr>
                <w:rFonts w:asciiTheme="minorHAnsi" w:hAnsiTheme="minorHAnsi" w:cstheme="minorHAnsi"/>
                <w:sz w:val="17"/>
                <w:szCs w:val="17"/>
              </w:rPr>
            </w:pPr>
            <w:r w:rsidRPr="008B1B33">
              <w:rPr>
                <w:rFonts w:asciiTheme="minorHAnsi" w:hAnsiTheme="minorHAnsi" w:cstheme="minorHAnsi"/>
                <w:sz w:val="17"/>
                <w:szCs w:val="17"/>
              </w:rPr>
              <w:t>1,471,810</w:t>
            </w:r>
          </w:p>
        </w:tc>
      </w:tr>
    </w:tbl>
    <w:p w14:paraId="4A9D0ED9" w14:textId="77777777" w:rsidR="00B02873" w:rsidRPr="00615EFA" w:rsidRDefault="00B02873" w:rsidP="00615EFA">
      <w:pPr>
        <w:pStyle w:val="SourceNote"/>
        <w:spacing w:after="120"/>
        <w:rPr>
          <w:b/>
          <w:bCs/>
        </w:rPr>
      </w:pPr>
      <w:r w:rsidRPr="00615EFA">
        <w:rPr>
          <w:b/>
          <w:bCs/>
        </w:rPr>
        <w:t>Note:</w:t>
      </w:r>
    </w:p>
    <w:p w14:paraId="064F6B75" w14:textId="77777777" w:rsidR="00B02873" w:rsidRPr="00615EFA" w:rsidRDefault="00B02873" w:rsidP="001128B1">
      <w:pPr>
        <w:pStyle w:val="SourceNotenumbered"/>
        <w:numPr>
          <w:ilvl w:val="0"/>
          <w:numId w:val="25"/>
        </w:numPr>
        <w:spacing w:after="200"/>
        <w:ind w:left="357" w:hanging="357"/>
        <w:rPr>
          <w:sz w:val="18"/>
          <w:szCs w:val="18"/>
        </w:rPr>
      </w:pPr>
      <w:r>
        <w:t>Information about the objectives of these departmental outputs is located in the Report of Operations under the ‘Operational and budgetary objectives and performance against objectives’ section.</w:t>
      </w:r>
    </w:p>
    <w:p w14:paraId="5FD9435E" w14:textId="583D0AA3" w:rsidR="00B02873" w:rsidRDefault="00B02873" w:rsidP="00615EFA">
      <w:pPr>
        <w:pStyle w:val="Heading4"/>
      </w:pPr>
      <w:r>
        <w:t>4.1.3 Departmental Outputs</w:t>
      </w:r>
      <w:r w:rsidR="000C45FC">
        <w:t xml:space="preserve"> – </w:t>
      </w:r>
      <w:r>
        <w:t>Controlled assets and liabilities</w:t>
      </w:r>
      <w:r w:rsidR="00012C04">
        <w:t xml:space="preserve"> </w:t>
      </w:r>
    </w:p>
    <w:tbl>
      <w:tblPr>
        <w:tblStyle w:val="TableGrid"/>
        <w:tblW w:w="10075" w:type="dxa"/>
        <w:tblLayout w:type="fixed"/>
        <w:tblLook w:val="0020" w:firstRow="1" w:lastRow="0" w:firstColumn="0" w:lastColumn="0" w:noHBand="0" w:noVBand="0"/>
      </w:tblPr>
      <w:tblGrid>
        <w:gridCol w:w="2541"/>
        <w:gridCol w:w="1135"/>
        <w:gridCol w:w="1191"/>
        <w:gridCol w:w="1217"/>
        <w:gridCol w:w="1217"/>
        <w:gridCol w:w="1402"/>
        <w:gridCol w:w="1372"/>
      </w:tblGrid>
      <w:tr w:rsidR="00B02873" w:rsidRPr="00615EFA" w14:paraId="6DC67720" w14:textId="77777777" w:rsidTr="005C2F55">
        <w:trPr>
          <w:cnfStyle w:val="100000000000" w:firstRow="1" w:lastRow="0" w:firstColumn="0" w:lastColumn="0" w:oddVBand="0" w:evenVBand="0" w:oddHBand="0" w:evenHBand="0" w:firstRowFirstColumn="0" w:firstRowLastColumn="0" w:lastRowFirstColumn="0" w:lastRowLastColumn="0"/>
          <w:trHeight w:val="60"/>
          <w:tblHeader/>
        </w:trPr>
        <w:tc>
          <w:tcPr>
            <w:tcW w:w="2541" w:type="dxa"/>
          </w:tcPr>
          <w:p w14:paraId="1F9DDB77" w14:textId="77777777" w:rsidR="00B02873" w:rsidRPr="00615EFA" w:rsidRDefault="00B02873" w:rsidP="00615EFA">
            <w:pPr>
              <w:pStyle w:val="TableheadingleftFinancialsTables"/>
              <w:rPr>
                <w:rFonts w:asciiTheme="minorHAnsi" w:hAnsiTheme="minorHAnsi" w:cstheme="minorHAnsi"/>
                <w:sz w:val="18"/>
                <w:szCs w:val="14"/>
              </w:rPr>
            </w:pPr>
          </w:p>
        </w:tc>
        <w:tc>
          <w:tcPr>
            <w:tcW w:w="1135" w:type="dxa"/>
          </w:tcPr>
          <w:p w14:paraId="05F92E30" w14:textId="036BF761" w:rsidR="00B02873" w:rsidRPr="00615EFA" w:rsidRDefault="00615EFA" w:rsidP="005C2F55">
            <w:pPr>
              <w:pStyle w:val="TableheadingleftFinancialsTables"/>
              <w:jc w:val="right"/>
              <w:rPr>
                <w:rFonts w:asciiTheme="minorHAnsi" w:hAnsiTheme="minorHAnsi" w:cstheme="minorHAnsi"/>
                <w:sz w:val="18"/>
                <w:szCs w:val="14"/>
              </w:rPr>
            </w:pPr>
            <w:r w:rsidRPr="00615EFA">
              <w:rPr>
                <w:rFonts w:asciiTheme="minorHAnsi" w:hAnsiTheme="minorHAnsi" w:cstheme="minorHAnsi"/>
                <w:sz w:val="18"/>
                <w:szCs w:val="14"/>
              </w:rPr>
              <w:t xml:space="preserve">Planning, Building and Heritage </w:t>
            </w:r>
            <w:r w:rsidR="00B02873" w:rsidRPr="00615EFA">
              <w:rPr>
                <w:rFonts w:asciiTheme="minorHAnsi" w:hAnsiTheme="minorHAnsi" w:cstheme="minorHAnsi"/>
                <w:sz w:val="18"/>
                <w:szCs w:val="14"/>
              </w:rPr>
              <w:t>2022</w:t>
            </w:r>
            <w:r w:rsidR="00B02873" w:rsidRPr="00615EFA">
              <w:rPr>
                <w:rFonts w:asciiTheme="minorHAnsi" w:hAnsiTheme="minorHAnsi" w:cstheme="minorHAnsi"/>
                <w:sz w:val="18"/>
                <w:szCs w:val="14"/>
              </w:rPr>
              <w:br/>
              <w:t>$’000</w:t>
            </w:r>
          </w:p>
        </w:tc>
        <w:tc>
          <w:tcPr>
            <w:tcW w:w="1191" w:type="dxa"/>
          </w:tcPr>
          <w:p w14:paraId="436DA5A1" w14:textId="7AAE8AA6" w:rsidR="00B02873" w:rsidRPr="00615EFA" w:rsidRDefault="00615EFA" w:rsidP="005C2F55">
            <w:pPr>
              <w:pStyle w:val="TableheadingleftFinancialsTables"/>
              <w:jc w:val="right"/>
              <w:rPr>
                <w:rFonts w:asciiTheme="minorHAnsi" w:hAnsiTheme="minorHAnsi" w:cstheme="minorHAnsi"/>
                <w:sz w:val="18"/>
                <w:szCs w:val="14"/>
              </w:rPr>
            </w:pPr>
            <w:r w:rsidRPr="00615EFA">
              <w:rPr>
                <w:rFonts w:asciiTheme="minorHAnsi" w:hAnsiTheme="minorHAnsi" w:cstheme="minorHAnsi"/>
                <w:sz w:val="18"/>
                <w:szCs w:val="14"/>
              </w:rPr>
              <w:t>Planning, Building and Heritage</w:t>
            </w:r>
            <w:r w:rsidR="00B02873" w:rsidRPr="00615EFA">
              <w:rPr>
                <w:rFonts w:asciiTheme="minorHAnsi" w:hAnsiTheme="minorHAnsi" w:cstheme="minorHAnsi"/>
                <w:sz w:val="18"/>
                <w:szCs w:val="14"/>
              </w:rPr>
              <w:t xml:space="preserve"> 2021 </w:t>
            </w:r>
            <w:r w:rsidR="00B02873" w:rsidRPr="00615EFA">
              <w:rPr>
                <w:rFonts w:asciiTheme="minorHAnsi" w:hAnsiTheme="minorHAnsi" w:cstheme="minorHAnsi"/>
                <w:sz w:val="18"/>
                <w:szCs w:val="14"/>
              </w:rPr>
              <w:br/>
              <w:t>$’000</w:t>
            </w:r>
          </w:p>
        </w:tc>
        <w:tc>
          <w:tcPr>
            <w:tcW w:w="1217" w:type="dxa"/>
          </w:tcPr>
          <w:p w14:paraId="6077E22F" w14:textId="5B5310C0" w:rsidR="00B02873" w:rsidRPr="00615EFA" w:rsidRDefault="00615EFA" w:rsidP="005C2F55">
            <w:pPr>
              <w:pStyle w:val="TableheadingleftFinancialsTables"/>
              <w:jc w:val="right"/>
              <w:rPr>
                <w:rFonts w:asciiTheme="minorHAnsi" w:hAnsiTheme="minorHAnsi" w:cstheme="minorHAnsi"/>
                <w:sz w:val="18"/>
                <w:szCs w:val="14"/>
              </w:rPr>
            </w:pPr>
            <w:r w:rsidRPr="00615EFA">
              <w:rPr>
                <w:rFonts w:asciiTheme="minorHAnsi" w:hAnsiTheme="minorHAnsi" w:cstheme="minorHAnsi"/>
                <w:sz w:val="18"/>
                <w:szCs w:val="14"/>
              </w:rPr>
              <w:t xml:space="preserve">Environment and Biodiversity </w:t>
            </w:r>
            <w:r w:rsidR="00B02873" w:rsidRPr="00615EFA">
              <w:rPr>
                <w:rFonts w:asciiTheme="minorHAnsi" w:hAnsiTheme="minorHAnsi" w:cstheme="minorHAnsi"/>
                <w:sz w:val="18"/>
                <w:szCs w:val="14"/>
              </w:rPr>
              <w:t>2022</w:t>
            </w:r>
            <w:r w:rsidR="00B02873" w:rsidRPr="00615EFA">
              <w:rPr>
                <w:rFonts w:asciiTheme="minorHAnsi" w:hAnsiTheme="minorHAnsi" w:cstheme="minorHAnsi"/>
                <w:sz w:val="18"/>
                <w:szCs w:val="14"/>
              </w:rPr>
              <w:br/>
              <w:t>$’000</w:t>
            </w:r>
          </w:p>
        </w:tc>
        <w:tc>
          <w:tcPr>
            <w:tcW w:w="1217" w:type="dxa"/>
          </w:tcPr>
          <w:p w14:paraId="722D16F6" w14:textId="14A215C8" w:rsidR="00B02873" w:rsidRPr="00615EFA" w:rsidRDefault="00615EFA" w:rsidP="005C2F55">
            <w:pPr>
              <w:pStyle w:val="TableheadingleftFinancialsTables"/>
              <w:jc w:val="right"/>
              <w:rPr>
                <w:rFonts w:asciiTheme="minorHAnsi" w:hAnsiTheme="minorHAnsi" w:cstheme="minorHAnsi"/>
                <w:sz w:val="18"/>
                <w:szCs w:val="14"/>
              </w:rPr>
            </w:pPr>
            <w:r w:rsidRPr="00615EFA">
              <w:rPr>
                <w:rFonts w:asciiTheme="minorHAnsi" w:hAnsiTheme="minorHAnsi" w:cstheme="minorHAnsi"/>
                <w:sz w:val="18"/>
                <w:szCs w:val="14"/>
              </w:rPr>
              <w:t>Environment and Biodiversity</w:t>
            </w:r>
            <w:r w:rsidR="00B02873" w:rsidRPr="00615EFA">
              <w:rPr>
                <w:rFonts w:asciiTheme="minorHAnsi" w:hAnsiTheme="minorHAnsi" w:cstheme="minorHAnsi"/>
                <w:sz w:val="18"/>
                <w:szCs w:val="14"/>
              </w:rPr>
              <w:t xml:space="preserve"> 2021 </w:t>
            </w:r>
            <w:r w:rsidR="00B02873" w:rsidRPr="00615EFA">
              <w:rPr>
                <w:rFonts w:asciiTheme="minorHAnsi" w:hAnsiTheme="minorHAnsi" w:cstheme="minorHAnsi"/>
                <w:sz w:val="18"/>
                <w:szCs w:val="14"/>
              </w:rPr>
              <w:br/>
              <w:t>$’000</w:t>
            </w:r>
          </w:p>
        </w:tc>
        <w:tc>
          <w:tcPr>
            <w:tcW w:w="1402" w:type="dxa"/>
          </w:tcPr>
          <w:p w14:paraId="46D6DF2A" w14:textId="5BC51CF3" w:rsidR="00B02873" w:rsidRPr="00615EFA" w:rsidRDefault="00615EFA" w:rsidP="005C2F55">
            <w:pPr>
              <w:pStyle w:val="TableheadingleftFinancialsTables"/>
              <w:jc w:val="right"/>
              <w:rPr>
                <w:rFonts w:asciiTheme="minorHAnsi" w:hAnsiTheme="minorHAnsi" w:cstheme="minorHAnsi"/>
                <w:sz w:val="18"/>
                <w:szCs w:val="14"/>
              </w:rPr>
            </w:pPr>
            <w:r w:rsidRPr="00615EFA">
              <w:rPr>
                <w:rFonts w:asciiTheme="minorHAnsi" w:hAnsiTheme="minorHAnsi" w:cstheme="minorHAnsi"/>
                <w:sz w:val="18"/>
                <w:szCs w:val="14"/>
              </w:rPr>
              <w:t xml:space="preserve">Statutory Activities and Environmental Protection </w:t>
            </w:r>
            <w:r w:rsidR="00B02873" w:rsidRPr="00615EFA">
              <w:rPr>
                <w:rFonts w:asciiTheme="minorHAnsi" w:hAnsiTheme="minorHAnsi" w:cstheme="minorHAnsi"/>
                <w:sz w:val="18"/>
                <w:szCs w:val="14"/>
              </w:rPr>
              <w:t>2022</w:t>
            </w:r>
            <w:r w:rsidR="00B02873" w:rsidRPr="00615EFA">
              <w:rPr>
                <w:rFonts w:asciiTheme="minorHAnsi" w:hAnsiTheme="minorHAnsi" w:cstheme="minorHAnsi"/>
                <w:sz w:val="18"/>
                <w:szCs w:val="14"/>
              </w:rPr>
              <w:br/>
              <w:t>$’000</w:t>
            </w:r>
          </w:p>
        </w:tc>
        <w:tc>
          <w:tcPr>
            <w:tcW w:w="1372" w:type="dxa"/>
          </w:tcPr>
          <w:p w14:paraId="3C3C3B94" w14:textId="33187F09" w:rsidR="00B02873" w:rsidRPr="00615EFA" w:rsidRDefault="00615EFA" w:rsidP="005C2F55">
            <w:pPr>
              <w:pStyle w:val="TableheadingleftFinancialsTables"/>
              <w:jc w:val="right"/>
              <w:rPr>
                <w:rFonts w:asciiTheme="minorHAnsi" w:hAnsiTheme="minorHAnsi" w:cstheme="minorHAnsi"/>
                <w:sz w:val="18"/>
                <w:szCs w:val="14"/>
              </w:rPr>
            </w:pPr>
            <w:r w:rsidRPr="00615EFA">
              <w:rPr>
                <w:rFonts w:asciiTheme="minorHAnsi" w:hAnsiTheme="minorHAnsi" w:cstheme="minorHAnsi"/>
                <w:sz w:val="18"/>
                <w:szCs w:val="14"/>
              </w:rPr>
              <w:t>Statutory Activities and Environmental Protection</w:t>
            </w:r>
            <w:r w:rsidR="00B02873" w:rsidRPr="00615EFA">
              <w:rPr>
                <w:rFonts w:asciiTheme="minorHAnsi" w:hAnsiTheme="minorHAnsi" w:cstheme="minorHAnsi"/>
                <w:sz w:val="18"/>
                <w:szCs w:val="14"/>
              </w:rPr>
              <w:t xml:space="preserve"> 2021 </w:t>
            </w:r>
            <w:r w:rsidR="00B02873" w:rsidRPr="00615EFA">
              <w:rPr>
                <w:rFonts w:asciiTheme="minorHAnsi" w:hAnsiTheme="minorHAnsi" w:cstheme="minorHAnsi"/>
                <w:sz w:val="18"/>
                <w:szCs w:val="14"/>
              </w:rPr>
              <w:br/>
              <w:t>$’000</w:t>
            </w:r>
          </w:p>
        </w:tc>
      </w:tr>
      <w:tr w:rsidR="005C2F55" w:rsidRPr="00977548" w14:paraId="5AD66F8D" w14:textId="77777777" w:rsidTr="005C2F55">
        <w:trPr>
          <w:trHeight w:val="60"/>
        </w:trPr>
        <w:tc>
          <w:tcPr>
            <w:tcW w:w="2541" w:type="dxa"/>
          </w:tcPr>
          <w:p w14:paraId="71D50913" w14:textId="77777777" w:rsidR="00B02873" w:rsidRPr="00977548" w:rsidRDefault="00B02873" w:rsidP="00615EFA">
            <w:pPr>
              <w:pStyle w:val="TablebodyleftFinancialsTables"/>
              <w:rPr>
                <w:rFonts w:asciiTheme="minorHAnsi" w:hAnsiTheme="minorHAnsi" w:cstheme="minorHAnsi"/>
                <w:b/>
                <w:bCs/>
                <w:sz w:val="18"/>
                <w:szCs w:val="14"/>
              </w:rPr>
            </w:pPr>
            <w:r w:rsidRPr="00977548">
              <w:rPr>
                <w:rFonts w:asciiTheme="minorHAnsi" w:hAnsiTheme="minorHAnsi" w:cstheme="minorHAnsi"/>
                <w:b/>
                <w:bCs/>
                <w:sz w:val="18"/>
                <w:szCs w:val="14"/>
              </w:rPr>
              <w:t>Assets</w:t>
            </w:r>
          </w:p>
        </w:tc>
        <w:tc>
          <w:tcPr>
            <w:tcW w:w="1135" w:type="dxa"/>
          </w:tcPr>
          <w:p w14:paraId="14CA00E3" w14:textId="77777777" w:rsidR="00B02873" w:rsidRPr="00977548" w:rsidRDefault="00B02873" w:rsidP="005C2F55">
            <w:pPr>
              <w:pStyle w:val="TablebodyleftFinancialsTables"/>
              <w:jc w:val="right"/>
              <w:rPr>
                <w:rFonts w:asciiTheme="minorHAnsi" w:hAnsiTheme="minorHAnsi" w:cstheme="minorHAnsi"/>
                <w:b/>
                <w:bCs/>
                <w:sz w:val="18"/>
                <w:szCs w:val="14"/>
              </w:rPr>
            </w:pPr>
          </w:p>
        </w:tc>
        <w:tc>
          <w:tcPr>
            <w:tcW w:w="1191" w:type="dxa"/>
          </w:tcPr>
          <w:p w14:paraId="2490B5FF" w14:textId="77777777" w:rsidR="00B02873" w:rsidRPr="00977548" w:rsidRDefault="00B02873" w:rsidP="005C2F55">
            <w:pPr>
              <w:pStyle w:val="TablebodyleftFinancialsTables"/>
              <w:jc w:val="right"/>
              <w:rPr>
                <w:rFonts w:asciiTheme="minorHAnsi" w:hAnsiTheme="minorHAnsi" w:cstheme="minorHAnsi"/>
                <w:b/>
                <w:bCs/>
                <w:sz w:val="18"/>
                <w:szCs w:val="14"/>
              </w:rPr>
            </w:pPr>
          </w:p>
        </w:tc>
        <w:tc>
          <w:tcPr>
            <w:tcW w:w="1217" w:type="dxa"/>
          </w:tcPr>
          <w:p w14:paraId="5EA2AD95" w14:textId="77777777" w:rsidR="00B02873" w:rsidRPr="00977548" w:rsidRDefault="00B02873" w:rsidP="005C2F55">
            <w:pPr>
              <w:pStyle w:val="TablebodyleftFinancialsTables"/>
              <w:jc w:val="right"/>
              <w:rPr>
                <w:rFonts w:asciiTheme="minorHAnsi" w:hAnsiTheme="minorHAnsi" w:cstheme="minorHAnsi"/>
                <w:b/>
                <w:bCs/>
                <w:sz w:val="18"/>
                <w:szCs w:val="14"/>
              </w:rPr>
            </w:pPr>
          </w:p>
        </w:tc>
        <w:tc>
          <w:tcPr>
            <w:tcW w:w="1217" w:type="dxa"/>
          </w:tcPr>
          <w:p w14:paraId="21EA24F1" w14:textId="77777777" w:rsidR="00B02873" w:rsidRPr="00977548" w:rsidRDefault="00B02873" w:rsidP="005C2F55">
            <w:pPr>
              <w:pStyle w:val="TablebodyleftFinancialsTables"/>
              <w:jc w:val="right"/>
              <w:rPr>
                <w:rFonts w:asciiTheme="minorHAnsi" w:hAnsiTheme="minorHAnsi" w:cstheme="minorHAnsi"/>
                <w:b/>
                <w:bCs/>
                <w:sz w:val="18"/>
                <w:szCs w:val="14"/>
              </w:rPr>
            </w:pPr>
          </w:p>
        </w:tc>
        <w:tc>
          <w:tcPr>
            <w:tcW w:w="1402" w:type="dxa"/>
          </w:tcPr>
          <w:p w14:paraId="2E97F609" w14:textId="77777777" w:rsidR="00B02873" w:rsidRPr="00977548" w:rsidRDefault="00B02873" w:rsidP="005C2F55">
            <w:pPr>
              <w:pStyle w:val="TablebodyleftFinancialsTables"/>
              <w:jc w:val="right"/>
              <w:rPr>
                <w:rFonts w:asciiTheme="minorHAnsi" w:hAnsiTheme="minorHAnsi" w:cstheme="minorHAnsi"/>
                <w:b/>
                <w:bCs/>
                <w:sz w:val="18"/>
                <w:szCs w:val="14"/>
              </w:rPr>
            </w:pPr>
          </w:p>
        </w:tc>
        <w:tc>
          <w:tcPr>
            <w:tcW w:w="1372" w:type="dxa"/>
          </w:tcPr>
          <w:p w14:paraId="16C691DC" w14:textId="77777777" w:rsidR="00B02873" w:rsidRPr="00977548" w:rsidRDefault="00B02873" w:rsidP="005C2F55">
            <w:pPr>
              <w:pStyle w:val="TablebodyleftFinancialsTables"/>
              <w:jc w:val="right"/>
              <w:rPr>
                <w:rFonts w:asciiTheme="minorHAnsi" w:hAnsiTheme="minorHAnsi" w:cstheme="minorHAnsi"/>
                <w:b/>
                <w:bCs/>
                <w:sz w:val="18"/>
                <w:szCs w:val="14"/>
              </w:rPr>
            </w:pPr>
          </w:p>
        </w:tc>
      </w:tr>
      <w:tr w:rsidR="005C2F55" w:rsidRPr="00977548" w14:paraId="7E732948" w14:textId="77777777" w:rsidTr="005C2F55">
        <w:trPr>
          <w:trHeight w:val="60"/>
        </w:trPr>
        <w:tc>
          <w:tcPr>
            <w:tcW w:w="2541" w:type="dxa"/>
          </w:tcPr>
          <w:p w14:paraId="6F824AC3" w14:textId="77777777" w:rsidR="00B02873" w:rsidRPr="00977548" w:rsidRDefault="00B02873" w:rsidP="00615EFA">
            <w:pPr>
              <w:pStyle w:val="TablebodyleftFinancialsTables"/>
              <w:rPr>
                <w:rFonts w:asciiTheme="minorHAnsi" w:hAnsiTheme="minorHAnsi" w:cstheme="minorHAnsi"/>
                <w:b/>
                <w:bCs/>
                <w:sz w:val="18"/>
                <w:szCs w:val="14"/>
              </w:rPr>
            </w:pPr>
            <w:r w:rsidRPr="00977548">
              <w:rPr>
                <w:rFonts w:asciiTheme="minorHAnsi" w:hAnsiTheme="minorHAnsi" w:cstheme="minorHAnsi"/>
                <w:b/>
                <w:bCs/>
                <w:sz w:val="18"/>
                <w:szCs w:val="14"/>
              </w:rPr>
              <w:t>Financial assets</w:t>
            </w:r>
          </w:p>
        </w:tc>
        <w:tc>
          <w:tcPr>
            <w:tcW w:w="1135" w:type="dxa"/>
          </w:tcPr>
          <w:p w14:paraId="747B132C" w14:textId="77777777" w:rsidR="00B02873" w:rsidRPr="00977548" w:rsidRDefault="00B02873" w:rsidP="005C2F55">
            <w:pPr>
              <w:pStyle w:val="TablebodyleftFinancialsTables"/>
              <w:jc w:val="right"/>
              <w:rPr>
                <w:rFonts w:asciiTheme="minorHAnsi" w:hAnsiTheme="minorHAnsi" w:cstheme="minorHAnsi"/>
                <w:b/>
                <w:bCs/>
                <w:sz w:val="18"/>
                <w:szCs w:val="14"/>
              </w:rPr>
            </w:pPr>
          </w:p>
        </w:tc>
        <w:tc>
          <w:tcPr>
            <w:tcW w:w="1191" w:type="dxa"/>
          </w:tcPr>
          <w:p w14:paraId="309B7466" w14:textId="77777777" w:rsidR="00B02873" w:rsidRPr="00977548" w:rsidRDefault="00B02873" w:rsidP="005C2F55">
            <w:pPr>
              <w:pStyle w:val="TablebodyleftFinancialsTables"/>
              <w:jc w:val="right"/>
              <w:rPr>
                <w:rFonts w:asciiTheme="minorHAnsi" w:hAnsiTheme="minorHAnsi" w:cstheme="minorHAnsi"/>
                <w:b/>
                <w:bCs/>
                <w:sz w:val="18"/>
                <w:szCs w:val="14"/>
              </w:rPr>
            </w:pPr>
          </w:p>
        </w:tc>
        <w:tc>
          <w:tcPr>
            <w:tcW w:w="1217" w:type="dxa"/>
          </w:tcPr>
          <w:p w14:paraId="56CD38CE" w14:textId="77777777" w:rsidR="00B02873" w:rsidRPr="00977548" w:rsidRDefault="00B02873" w:rsidP="005C2F55">
            <w:pPr>
              <w:pStyle w:val="TablebodyleftFinancialsTables"/>
              <w:jc w:val="right"/>
              <w:rPr>
                <w:rFonts w:asciiTheme="minorHAnsi" w:hAnsiTheme="minorHAnsi" w:cstheme="minorHAnsi"/>
                <w:b/>
                <w:bCs/>
                <w:sz w:val="18"/>
                <w:szCs w:val="14"/>
              </w:rPr>
            </w:pPr>
          </w:p>
        </w:tc>
        <w:tc>
          <w:tcPr>
            <w:tcW w:w="1217" w:type="dxa"/>
          </w:tcPr>
          <w:p w14:paraId="1A09292E" w14:textId="77777777" w:rsidR="00B02873" w:rsidRPr="00977548" w:rsidRDefault="00B02873" w:rsidP="005C2F55">
            <w:pPr>
              <w:pStyle w:val="TablebodyleftFinancialsTables"/>
              <w:jc w:val="right"/>
              <w:rPr>
                <w:rFonts w:asciiTheme="minorHAnsi" w:hAnsiTheme="minorHAnsi" w:cstheme="minorHAnsi"/>
                <w:b/>
                <w:bCs/>
                <w:sz w:val="18"/>
                <w:szCs w:val="14"/>
              </w:rPr>
            </w:pPr>
          </w:p>
        </w:tc>
        <w:tc>
          <w:tcPr>
            <w:tcW w:w="1402" w:type="dxa"/>
          </w:tcPr>
          <w:p w14:paraId="6C7D843A" w14:textId="77777777" w:rsidR="00B02873" w:rsidRPr="00977548" w:rsidRDefault="00B02873" w:rsidP="005C2F55">
            <w:pPr>
              <w:pStyle w:val="TablebodyleftFinancialsTables"/>
              <w:jc w:val="right"/>
              <w:rPr>
                <w:rFonts w:asciiTheme="minorHAnsi" w:hAnsiTheme="minorHAnsi" w:cstheme="minorHAnsi"/>
                <w:b/>
                <w:bCs/>
                <w:sz w:val="18"/>
                <w:szCs w:val="14"/>
              </w:rPr>
            </w:pPr>
          </w:p>
        </w:tc>
        <w:tc>
          <w:tcPr>
            <w:tcW w:w="1372" w:type="dxa"/>
          </w:tcPr>
          <w:p w14:paraId="26469FF4" w14:textId="77777777" w:rsidR="00B02873" w:rsidRPr="00977548" w:rsidRDefault="00B02873" w:rsidP="005C2F55">
            <w:pPr>
              <w:pStyle w:val="TablebodyleftFinancialsTables"/>
              <w:jc w:val="right"/>
              <w:rPr>
                <w:rFonts w:asciiTheme="minorHAnsi" w:hAnsiTheme="minorHAnsi" w:cstheme="minorHAnsi"/>
                <w:b/>
                <w:bCs/>
                <w:sz w:val="18"/>
                <w:szCs w:val="14"/>
              </w:rPr>
            </w:pPr>
          </w:p>
        </w:tc>
      </w:tr>
      <w:tr w:rsidR="005C2F55" w:rsidRPr="00615EFA" w14:paraId="79746268" w14:textId="77777777" w:rsidTr="005C2F55">
        <w:trPr>
          <w:trHeight w:val="60"/>
        </w:trPr>
        <w:tc>
          <w:tcPr>
            <w:tcW w:w="2541" w:type="dxa"/>
          </w:tcPr>
          <w:p w14:paraId="2303A09A" w14:textId="77777777" w:rsidR="00B02873" w:rsidRPr="00615EFA" w:rsidRDefault="00B02873" w:rsidP="00615EFA">
            <w:pPr>
              <w:pStyle w:val="TablebodyleftFinancialsTables"/>
              <w:rPr>
                <w:rFonts w:asciiTheme="minorHAnsi" w:hAnsiTheme="minorHAnsi" w:cstheme="minorHAnsi"/>
                <w:sz w:val="18"/>
                <w:szCs w:val="14"/>
              </w:rPr>
            </w:pPr>
            <w:r w:rsidRPr="00615EFA">
              <w:rPr>
                <w:rFonts w:asciiTheme="minorHAnsi" w:hAnsiTheme="minorHAnsi" w:cstheme="minorHAnsi"/>
                <w:sz w:val="18"/>
                <w:szCs w:val="14"/>
              </w:rPr>
              <w:t>Cash and cash deposits</w:t>
            </w:r>
          </w:p>
        </w:tc>
        <w:tc>
          <w:tcPr>
            <w:tcW w:w="1135" w:type="dxa"/>
          </w:tcPr>
          <w:p w14:paraId="5D34E7B8" w14:textId="77777777" w:rsidR="00B02873" w:rsidRPr="00615EFA" w:rsidRDefault="00B02873" w:rsidP="005C2F55">
            <w:pPr>
              <w:pStyle w:val="TablebodyleftFinancialsTables"/>
              <w:jc w:val="right"/>
              <w:rPr>
                <w:rFonts w:asciiTheme="minorHAnsi" w:hAnsiTheme="minorHAnsi" w:cstheme="minorHAnsi"/>
                <w:sz w:val="18"/>
                <w:szCs w:val="14"/>
              </w:rPr>
            </w:pPr>
            <w:r w:rsidRPr="00615EFA">
              <w:rPr>
                <w:rFonts w:asciiTheme="minorHAnsi" w:hAnsiTheme="minorHAnsi" w:cstheme="minorHAnsi"/>
                <w:sz w:val="18"/>
                <w:szCs w:val="14"/>
              </w:rPr>
              <w:t>466,209</w:t>
            </w:r>
          </w:p>
        </w:tc>
        <w:tc>
          <w:tcPr>
            <w:tcW w:w="1191" w:type="dxa"/>
          </w:tcPr>
          <w:p w14:paraId="51AA6B63" w14:textId="77777777" w:rsidR="00B02873" w:rsidRPr="00615EFA" w:rsidRDefault="00B02873" w:rsidP="005C2F55">
            <w:pPr>
              <w:pStyle w:val="TablebodyleftFinancialsTables"/>
              <w:jc w:val="right"/>
              <w:rPr>
                <w:rFonts w:asciiTheme="minorHAnsi" w:hAnsiTheme="minorHAnsi" w:cstheme="minorHAnsi"/>
                <w:sz w:val="18"/>
                <w:szCs w:val="14"/>
              </w:rPr>
            </w:pPr>
            <w:r w:rsidRPr="00615EFA">
              <w:rPr>
                <w:rFonts w:asciiTheme="minorHAnsi" w:hAnsiTheme="minorHAnsi" w:cstheme="minorHAnsi"/>
                <w:sz w:val="18"/>
                <w:szCs w:val="14"/>
              </w:rPr>
              <w:t>358,399</w:t>
            </w:r>
          </w:p>
        </w:tc>
        <w:tc>
          <w:tcPr>
            <w:tcW w:w="1217" w:type="dxa"/>
          </w:tcPr>
          <w:p w14:paraId="11E6A43D" w14:textId="77777777" w:rsidR="00B02873" w:rsidRPr="00615EFA" w:rsidRDefault="00B02873" w:rsidP="005C2F55">
            <w:pPr>
              <w:pStyle w:val="TablebodyleftFinancialsTables"/>
              <w:jc w:val="right"/>
              <w:rPr>
                <w:rFonts w:asciiTheme="minorHAnsi" w:hAnsiTheme="minorHAnsi" w:cstheme="minorHAnsi"/>
                <w:sz w:val="18"/>
                <w:szCs w:val="14"/>
              </w:rPr>
            </w:pPr>
            <w:r w:rsidRPr="00615EFA">
              <w:rPr>
                <w:rFonts w:asciiTheme="minorHAnsi" w:hAnsiTheme="minorHAnsi" w:cstheme="minorHAnsi"/>
                <w:sz w:val="18"/>
                <w:szCs w:val="14"/>
              </w:rPr>
              <w:t>161,808</w:t>
            </w:r>
          </w:p>
        </w:tc>
        <w:tc>
          <w:tcPr>
            <w:tcW w:w="1217" w:type="dxa"/>
          </w:tcPr>
          <w:p w14:paraId="58376185" w14:textId="77777777" w:rsidR="00B02873" w:rsidRPr="00615EFA" w:rsidRDefault="00B02873" w:rsidP="005C2F55">
            <w:pPr>
              <w:pStyle w:val="TablebodyleftFinancialsTables"/>
              <w:jc w:val="right"/>
              <w:rPr>
                <w:rFonts w:asciiTheme="minorHAnsi" w:hAnsiTheme="minorHAnsi" w:cstheme="minorHAnsi"/>
                <w:sz w:val="18"/>
                <w:szCs w:val="14"/>
              </w:rPr>
            </w:pPr>
            <w:r w:rsidRPr="00615EFA">
              <w:rPr>
                <w:rFonts w:asciiTheme="minorHAnsi" w:hAnsiTheme="minorHAnsi" w:cstheme="minorHAnsi"/>
                <w:sz w:val="18"/>
                <w:szCs w:val="14"/>
              </w:rPr>
              <w:t>71,515</w:t>
            </w:r>
          </w:p>
        </w:tc>
        <w:tc>
          <w:tcPr>
            <w:tcW w:w="1402" w:type="dxa"/>
          </w:tcPr>
          <w:p w14:paraId="5FA50F58" w14:textId="77777777" w:rsidR="00B02873" w:rsidRPr="00615EFA" w:rsidRDefault="00B02873" w:rsidP="005C2F55">
            <w:pPr>
              <w:pStyle w:val="TablebodyleftFinancialsTables"/>
              <w:jc w:val="right"/>
              <w:rPr>
                <w:rFonts w:asciiTheme="minorHAnsi" w:hAnsiTheme="minorHAnsi" w:cstheme="minorHAnsi"/>
                <w:sz w:val="18"/>
                <w:szCs w:val="14"/>
              </w:rPr>
            </w:pPr>
            <w:r w:rsidRPr="00615EFA">
              <w:rPr>
                <w:rFonts w:asciiTheme="minorHAnsi" w:hAnsiTheme="minorHAnsi" w:cstheme="minorHAnsi"/>
                <w:sz w:val="18"/>
                <w:szCs w:val="14"/>
              </w:rPr>
              <w:t>67,447</w:t>
            </w:r>
          </w:p>
        </w:tc>
        <w:tc>
          <w:tcPr>
            <w:tcW w:w="1372" w:type="dxa"/>
          </w:tcPr>
          <w:p w14:paraId="5A4A8F9D" w14:textId="77777777" w:rsidR="00B02873" w:rsidRPr="00615EFA" w:rsidRDefault="00B02873" w:rsidP="005C2F55">
            <w:pPr>
              <w:pStyle w:val="TablebodyleftFinancialsTables"/>
              <w:jc w:val="right"/>
              <w:rPr>
                <w:rFonts w:asciiTheme="minorHAnsi" w:hAnsiTheme="minorHAnsi" w:cstheme="minorHAnsi"/>
                <w:sz w:val="18"/>
                <w:szCs w:val="14"/>
              </w:rPr>
            </w:pPr>
            <w:r w:rsidRPr="00615EFA">
              <w:rPr>
                <w:rFonts w:asciiTheme="minorHAnsi" w:hAnsiTheme="minorHAnsi" w:cstheme="minorHAnsi"/>
                <w:sz w:val="18"/>
                <w:szCs w:val="14"/>
              </w:rPr>
              <w:t>353,478</w:t>
            </w:r>
          </w:p>
        </w:tc>
      </w:tr>
      <w:tr w:rsidR="00B02873" w:rsidRPr="00615EFA" w14:paraId="7158D430" w14:textId="77777777" w:rsidTr="005C2F55">
        <w:trPr>
          <w:trHeight w:val="60"/>
        </w:trPr>
        <w:tc>
          <w:tcPr>
            <w:tcW w:w="2541" w:type="dxa"/>
          </w:tcPr>
          <w:p w14:paraId="00F030F6" w14:textId="77777777" w:rsidR="00B02873" w:rsidRPr="00615EFA" w:rsidRDefault="00B02873" w:rsidP="00615EFA">
            <w:pPr>
              <w:pStyle w:val="TablebodyleftFinancialsTables"/>
              <w:rPr>
                <w:rFonts w:asciiTheme="minorHAnsi" w:hAnsiTheme="minorHAnsi" w:cstheme="minorHAnsi"/>
                <w:sz w:val="18"/>
                <w:szCs w:val="14"/>
              </w:rPr>
            </w:pPr>
            <w:r w:rsidRPr="00615EFA">
              <w:rPr>
                <w:rFonts w:asciiTheme="minorHAnsi" w:hAnsiTheme="minorHAnsi" w:cstheme="minorHAnsi"/>
                <w:sz w:val="18"/>
                <w:szCs w:val="14"/>
              </w:rPr>
              <w:t>Receivables</w:t>
            </w:r>
          </w:p>
        </w:tc>
        <w:tc>
          <w:tcPr>
            <w:tcW w:w="1135" w:type="dxa"/>
          </w:tcPr>
          <w:p w14:paraId="1993068A" w14:textId="77777777" w:rsidR="00B02873" w:rsidRPr="00615EFA" w:rsidRDefault="00B02873" w:rsidP="005C2F55">
            <w:pPr>
              <w:pStyle w:val="TablebodyleftFinancialsTables"/>
              <w:jc w:val="right"/>
              <w:rPr>
                <w:rFonts w:asciiTheme="minorHAnsi" w:hAnsiTheme="minorHAnsi" w:cstheme="minorHAnsi"/>
                <w:sz w:val="18"/>
                <w:szCs w:val="14"/>
              </w:rPr>
            </w:pPr>
            <w:r w:rsidRPr="00615EFA">
              <w:rPr>
                <w:rFonts w:asciiTheme="minorHAnsi" w:hAnsiTheme="minorHAnsi" w:cstheme="minorHAnsi"/>
                <w:sz w:val="18"/>
                <w:szCs w:val="14"/>
              </w:rPr>
              <w:t>101,436</w:t>
            </w:r>
          </w:p>
        </w:tc>
        <w:tc>
          <w:tcPr>
            <w:tcW w:w="1191" w:type="dxa"/>
          </w:tcPr>
          <w:p w14:paraId="386EA650" w14:textId="77777777" w:rsidR="00B02873" w:rsidRPr="00615EFA" w:rsidRDefault="00B02873" w:rsidP="005C2F55">
            <w:pPr>
              <w:pStyle w:val="TablebodyleftFinancialsTables"/>
              <w:jc w:val="right"/>
              <w:rPr>
                <w:rFonts w:asciiTheme="minorHAnsi" w:hAnsiTheme="minorHAnsi" w:cstheme="minorHAnsi"/>
                <w:sz w:val="18"/>
                <w:szCs w:val="14"/>
              </w:rPr>
            </w:pPr>
            <w:r w:rsidRPr="00615EFA">
              <w:rPr>
                <w:rFonts w:asciiTheme="minorHAnsi" w:hAnsiTheme="minorHAnsi" w:cstheme="minorHAnsi"/>
                <w:sz w:val="18"/>
                <w:szCs w:val="14"/>
              </w:rPr>
              <w:t>79,593</w:t>
            </w:r>
          </w:p>
        </w:tc>
        <w:tc>
          <w:tcPr>
            <w:tcW w:w="1217" w:type="dxa"/>
          </w:tcPr>
          <w:p w14:paraId="07EF29AA" w14:textId="77777777" w:rsidR="00B02873" w:rsidRPr="00615EFA" w:rsidRDefault="00B02873" w:rsidP="005C2F55">
            <w:pPr>
              <w:pStyle w:val="TablebodyleftFinancialsTables"/>
              <w:jc w:val="right"/>
              <w:rPr>
                <w:rFonts w:asciiTheme="minorHAnsi" w:hAnsiTheme="minorHAnsi" w:cstheme="minorHAnsi"/>
                <w:sz w:val="18"/>
                <w:szCs w:val="14"/>
              </w:rPr>
            </w:pPr>
            <w:r w:rsidRPr="00615EFA">
              <w:rPr>
                <w:rFonts w:asciiTheme="minorHAnsi" w:hAnsiTheme="minorHAnsi" w:cstheme="minorHAnsi"/>
                <w:sz w:val="18"/>
                <w:szCs w:val="14"/>
              </w:rPr>
              <w:t>48,316</w:t>
            </w:r>
          </w:p>
        </w:tc>
        <w:tc>
          <w:tcPr>
            <w:tcW w:w="1217" w:type="dxa"/>
          </w:tcPr>
          <w:p w14:paraId="7D1E0B69" w14:textId="77777777" w:rsidR="00B02873" w:rsidRPr="00615EFA" w:rsidRDefault="00B02873" w:rsidP="005C2F55">
            <w:pPr>
              <w:pStyle w:val="TablebodyleftFinancialsTables"/>
              <w:jc w:val="right"/>
              <w:rPr>
                <w:rFonts w:asciiTheme="minorHAnsi" w:hAnsiTheme="minorHAnsi" w:cstheme="minorHAnsi"/>
                <w:sz w:val="18"/>
                <w:szCs w:val="14"/>
              </w:rPr>
            </w:pPr>
            <w:r w:rsidRPr="00615EFA">
              <w:rPr>
                <w:rFonts w:asciiTheme="minorHAnsi" w:hAnsiTheme="minorHAnsi" w:cstheme="minorHAnsi"/>
                <w:sz w:val="18"/>
                <w:szCs w:val="14"/>
              </w:rPr>
              <w:t>51,907</w:t>
            </w:r>
          </w:p>
        </w:tc>
        <w:tc>
          <w:tcPr>
            <w:tcW w:w="1402" w:type="dxa"/>
          </w:tcPr>
          <w:p w14:paraId="04A8C53E" w14:textId="77777777" w:rsidR="00B02873" w:rsidRPr="00615EFA" w:rsidRDefault="00B02873" w:rsidP="005C2F55">
            <w:pPr>
              <w:pStyle w:val="TablebodyleftFinancialsTables"/>
              <w:jc w:val="right"/>
              <w:rPr>
                <w:rFonts w:asciiTheme="minorHAnsi" w:hAnsiTheme="minorHAnsi" w:cstheme="minorHAnsi"/>
                <w:sz w:val="18"/>
                <w:szCs w:val="14"/>
              </w:rPr>
            </w:pPr>
            <w:r w:rsidRPr="00615EFA">
              <w:rPr>
                <w:rFonts w:asciiTheme="minorHAnsi" w:hAnsiTheme="minorHAnsi" w:cstheme="minorHAnsi"/>
                <w:sz w:val="18"/>
                <w:szCs w:val="14"/>
              </w:rPr>
              <w:t>236,237</w:t>
            </w:r>
          </w:p>
        </w:tc>
        <w:tc>
          <w:tcPr>
            <w:tcW w:w="1372" w:type="dxa"/>
          </w:tcPr>
          <w:p w14:paraId="59A38602" w14:textId="77777777" w:rsidR="00B02873" w:rsidRPr="00615EFA" w:rsidRDefault="00B02873" w:rsidP="005C2F55">
            <w:pPr>
              <w:pStyle w:val="TablebodyleftFinancialsTables"/>
              <w:jc w:val="right"/>
              <w:rPr>
                <w:rFonts w:asciiTheme="minorHAnsi" w:hAnsiTheme="minorHAnsi" w:cstheme="minorHAnsi"/>
                <w:sz w:val="18"/>
                <w:szCs w:val="14"/>
              </w:rPr>
            </w:pPr>
            <w:r w:rsidRPr="00615EFA">
              <w:rPr>
                <w:rFonts w:asciiTheme="minorHAnsi" w:hAnsiTheme="minorHAnsi" w:cstheme="minorHAnsi"/>
                <w:sz w:val="18"/>
                <w:szCs w:val="14"/>
              </w:rPr>
              <w:t>138,245</w:t>
            </w:r>
          </w:p>
        </w:tc>
      </w:tr>
      <w:tr w:rsidR="005C2F55" w:rsidRPr="00615EFA" w14:paraId="695651AF" w14:textId="77777777" w:rsidTr="005C2F55">
        <w:trPr>
          <w:trHeight w:val="60"/>
        </w:trPr>
        <w:tc>
          <w:tcPr>
            <w:tcW w:w="2541" w:type="dxa"/>
          </w:tcPr>
          <w:p w14:paraId="77D130FE" w14:textId="77777777" w:rsidR="00B02873" w:rsidRPr="00615EFA" w:rsidRDefault="00B02873" w:rsidP="00615EFA">
            <w:pPr>
              <w:pStyle w:val="TablebodyleftFinancialsTables"/>
              <w:rPr>
                <w:rFonts w:asciiTheme="minorHAnsi" w:hAnsiTheme="minorHAnsi" w:cstheme="minorHAnsi"/>
                <w:sz w:val="18"/>
                <w:szCs w:val="14"/>
              </w:rPr>
            </w:pPr>
            <w:r w:rsidRPr="00615EFA">
              <w:rPr>
                <w:rFonts w:asciiTheme="minorHAnsi" w:hAnsiTheme="minorHAnsi" w:cstheme="minorHAnsi"/>
                <w:spacing w:val="-2"/>
                <w:sz w:val="18"/>
                <w:szCs w:val="14"/>
              </w:rPr>
              <w:t>Derivative financial instruments</w:t>
            </w:r>
          </w:p>
        </w:tc>
        <w:tc>
          <w:tcPr>
            <w:tcW w:w="1135" w:type="dxa"/>
          </w:tcPr>
          <w:p w14:paraId="2F516E58" w14:textId="77777777" w:rsidR="00B02873" w:rsidRPr="00615EFA" w:rsidRDefault="00B02873" w:rsidP="005C2F55">
            <w:pPr>
              <w:pStyle w:val="TablebodyleftFinancialsTables"/>
              <w:jc w:val="right"/>
              <w:rPr>
                <w:rFonts w:asciiTheme="minorHAnsi" w:hAnsiTheme="minorHAnsi" w:cstheme="minorHAnsi"/>
                <w:sz w:val="18"/>
                <w:szCs w:val="14"/>
              </w:rPr>
            </w:pPr>
            <w:r w:rsidRPr="00615EFA">
              <w:rPr>
                <w:rFonts w:asciiTheme="minorHAnsi" w:hAnsiTheme="minorHAnsi" w:cstheme="minorHAnsi"/>
                <w:sz w:val="18"/>
                <w:szCs w:val="14"/>
              </w:rPr>
              <w:t>–</w:t>
            </w:r>
          </w:p>
        </w:tc>
        <w:tc>
          <w:tcPr>
            <w:tcW w:w="1191" w:type="dxa"/>
          </w:tcPr>
          <w:p w14:paraId="6202F95D" w14:textId="77777777" w:rsidR="00B02873" w:rsidRPr="00615EFA" w:rsidRDefault="00B02873" w:rsidP="005C2F55">
            <w:pPr>
              <w:pStyle w:val="TablebodyleftFinancialsTables"/>
              <w:jc w:val="right"/>
              <w:rPr>
                <w:rFonts w:asciiTheme="minorHAnsi" w:hAnsiTheme="minorHAnsi" w:cstheme="minorHAnsi"/>
                <w:sz w:val="18"/>
                <w:szCs w:val="14"/>
              </w:rPr>
            </w:pPr>
            <w:r w:rsidRPr="00615EFA">
              <w:rPr>
                <w:rFonts w:asciiTheme="minorHAnsi" w:hAnsiTheme="minorHAnsi" w:cstheme="minorHAnsi"/>
                <w:sz w:val="18"/>
                <w:szCs w:val="14"/>
              </w:rPr>
              <w:t>–</w:t>
            </w:r>
          </w:p>
        </w:tc>
        <w:tc>
          <w:tcPr>
            <w:tcW w:w="1217" w:type="dxa"/>
          </w:tcPr>
          <w:p w14:paraId="272544FF" w14:textId="77777777" w:rsidR="00B02873" w:rsidRPr="00615EFA" w:rsidRDefault="00B02873" w:rsidP="005C2F55">
            <w:pPr>
              <w:pStyle w:val="TablebodyleftFinancialsTables"/>
              <w:jc w:val="right"/>
              <w:rPr>
                <w:rFonts w:asciiTheme="minorHAnsi" w:hAnsiTheme="minorHAnsi" w:cstheme="minorHAnsi"/>
                <w:sz w:val="18"/>
                <w:szCs w:val="14"/>
              </w:rPr>
            </w:pPr>
            <w:r w:rsidRPr="00615EFA">
              <w:rPr>
                <w:rFonts w:asciiTheme="minorHAnsi" w:hAnsiTheme="minorHAnsi" w:cstheme="minorHAnsi"/>
                <w:sz w:val="18"/>
                <w:szCs w:val="14"/>
              </w:rPr>
              <w:t>–</w:t>
            </w:r>
          </w:p>
        </w:tc>
        <w:tc>
          <w:tcPr>
            <w:tcW w:w="1217" w:type="dxa"/>
          </w:tcPr>
          <w:p w14:paraId="5BD4A6CE" w14:textId="77777777" w:rsidR="00B02873" w:rsidRPr="00615EFA" w:rsidRDefault="00B02873" w:rsidP="005C2F55">
            <w:pPr>
              <w:pStyle w:val="TablebodyleftFinancialsTables"/>
              <w:jc w:val="right"/>
              <w:rPr>
                <w:rFonts w:asciiTheme="minorHAnsi" w:hAnsiTheme="minorHAnsi" w:cstheme="minorHAnsi"/>
                <w:sz w:val="18"/>
                <w:szCs w:val="14"/>
              </w:rPr>
            </w:pPr>
            <w:r w:rsidRPr="00615EFA">
              <w:rPr>
                <w:rFonts w:asciiTheme="minorHAnsi" w:hAnsiTheme="minorHAnsi" w:cstheme="minorHAnsi"/>
                <w:sz w:val="18"/>
                <w:szCs w:val="14"/>
              </w:rPr>
              <w:t>–</w:t>
            </w:r>
          </w:p>
        </w:tc>
        <w:tc>
          <w:tcPr>
            <w:tcW w:w="1402" w:type="dxa"/>
          </w:tcPr>
          <w:p w14:paraId="08100135" w14:textId="77777777" w:rsidR="00B02873" w:rsidRPr="00615EFA" w:rsidRDefault="00B02873" w:rsidP="005C2F55">
            <w:pPr>
              <w:pStyle w:val="TablebodyleftFinancialsTables"/>
              <w:jc w:val="right"/>
              <w:rPr>
                <w:rFonts w:asciiTheme="minorHAnsi" w:hAnsiTheme="minorHAnsi" w:cstheme="minorHAnsi"/>
                <w:sz w:val="18"/>
                <w:szCs w:val="14"/>
              </w:rPr>
            </w:pPr>
            <w:r w:rsidRPr="00615EFA">
              <w:rPr>
                <w:rFonts w:asciiTheme="minorHAnsi" w:hAnsiTheme="minorHAnsi" w:cstheme="minorHAnsi"/>
                <w:sz w:val="18"/>
                <w:szCs w:val="14"/>
              </w:rPr>
              <w:t>–</w:t>
            </w:r>
          </w:p>
        </w:tc>
        <w:tc>
          <w:tcPr>
            <w:tcW w:w="1372" w:type="dxa"/>
          </w:tcPr>
          <w:p w14:paraId="690B15F5" w14:textId="77777777" w:rsidR="00B02873" w:rsidRPr="00615EFA" w:rsidRDefault="00B02873" w:rsidP="005C2F55">
            <w:pPr>
              <w:pStyle w:val="TablebodyleftFinancialsTables"/>
              <w:jc w:val="right"/>
              <w:rPr>
                <w:rFonts w:asciiTheme="minorHAnsi" w:hAnsiTheme="minorHAnsi" w:cstheme="minorHAnsi"/>
                <w:sz w:val="18"/>
                <w:szCs w:val="14"/>
              </w:rPr>
            </w:pPr>
            <w:r w:rsidRPr="00615EFA">
              <w:rPr>
                <w:rFonts w:asciiTheme="minorHAnsi" w:hAnsiTheme="minorHAnsi" w:cstheme="minorHAnsi"/>
                <w:sz w:val="18"/>
                <w:szCs w:val="14"/>
              </w:rPr>
              <w:t>–</w:t>
            </w:r>
          </w:p>
        </w:tc>
      </w:tr>
      <w:tr w:rsidR="00B02873" w:rsidRPr="00977548" w14:paraId="559FDD58" w14:textId="77777777" w:rsidTr="005C2F55">
        <w:trPr>
          <w:trHeight w:val="60"/>
        </w:trPr>
        <w:tc>
          <w:tcPr>
            <w:tcW w:w="2541" w:type="dxa"/>
          </w:tcPr>
          <w:p w14:paraId="2F88A62E" w14:textId="77777777" w:rsidR="00B02873" w:rsidRPr="00977548" w:rsidRDefault="00B02873" w:rsidP="00615EFA">
            <w:pPr>
              <w:pStyle w:val="TablebodyleftFinancialsTables"/>
              <w:rPr>
                <w:rFonts w:asciiTheme="minorHAnsi" w:hAnsiTheme="minorHAnsi" w:cstheme="minorHAnsi"/>
                <w:b/>
                <w:bCs/>
                <w:sz w:val="18"/>
                <w:szCs w:val="14"/>
              </w:rPr>
            </w:pPr>
            <w:r w:rsidRPr="00977548">
              <w:rPr>
                <w:rFonts w:asciiTheme="minorHAnsi" w:hAnsiTheme="minorHAnsi" w:cstheme="minorHAnsi"/>
                <w:b/>
                <w:bCs/>
                <w:sz w:val="18"/>
                <w:szCs w:val="14"/>
              </w:rPr>
              <w:t>Total financial assets</w:t>
            </w:r>
          </w:p>
        </w:tc>
        <w:tc>
          <w:tcPr>
            <w:tcW w:w="1135" w:type="dxa"/>
          </w:tcPr>
          <w:p w14:paraId="285BF300" w14:textId="77777777" w:rsidR="00B02873" w:rsidRPr="00977548" w:rsidRDefault="00B02873" w:rsidP="005C2F55">
            <w:pPr>
              <w:pStyle w:val="TablebodyleftFinancialsTables"/>
              <w:jc w:val="right"/>
              <w:rPr>
                <w:rFonts w:asciiTheme="minorHAnsi" w:hAnsiTheme="minorHAnsi" w:cstheme="minorHAnsi"/>
                <w:b/>
                <w:bCs/>
                <w:sz w:val="18"/>
                <w:szCs w:val="14"/>
              </w:rPr>
            </w:pPr>
            <w:r w:rsidRPr="00977548">
              <w:rPr>
                <w:rFonts w:asciiTheme="minorHAnsi" w:hAnsiTheme="minorHAnsi" w:cstheme="minorHAnsi"/>
                <w:b/>
                <w:bCs/>
                <w:sz w:val="18"/>
                <w:szCs w:val="14"/>
              </w:rPr>
              <w:t>567,645</w:t>
            </w:r>
          </w:p>
        </w:tc>
        <w:tc>
          <w:tcPr>
            <w:tcW w:w="1191" w:type="dxa"/>
          </w:tcPr>
          <w:p w14:paraId="6A861AFE" w14:textId="77777777" w:rsidR="00B02873" w:rsidRPr="00977548" w:rsidRDefault="00B02873" w:rsidP="005C2F55">
            <w:pPr>
              <w:pStyle w:val="TablebodyleftFinancialsTables"/>
              <w:jc w:val="right"/>
              <w:rPr>
                <w:rFonts w:asciiTheme="minorHAnsi" w:hAnsiTheme="minorHAnsi" w:cstheme="minorHAnsi"/>
                <w:b/>
                <w:bCs/>
                <w:sz w:val="18"/>
                <w:szCs w:val="14"/>
              </w:rPr>
            </w:pPr>
            <w:r w:rsidRPr="00977548">
              <w:rPr>
                <w:rFonts w:asciiTheme="minorHAnsi" w:hAnsiTheme="minorHAnsi" w:cstheme="minorHAnsi"/>
                <w:b/>
                <w:bCs/>
                <w:sz w:val="18"/>
                <w:szCs w:val="14"/>
              </w:rPr>
              <w:t>437,992</w:t>
            </w:r>
          </w:p>
        </w:tc>
        <w:tc>
          <w:tcPr>
            <w:tcW w:w="1217" w:type="dxa"/>
          </w:tcPr>
          <w:p w14:paraId="35C673DE" w14:textId="77777777" w:rsidR="00B02873" w:rsidRPr="00977548" w:rsidRDefault="00B02873" w:rsidP="005C2F55">
            <w:pPr>
              <w:pStyle w:val="TablebodyleftFinancialsTables"/>
              <w:jc w:val="right"/>
              <w:rPr>
                <w:rFonts w:asciiTheme="minorHAnsi" w:hAnsiTheme="minorHAnsi" w:cstheme="minorHAnsi"/>
                <w:b/>
                <w:bCs/>
                <w:sz w:val="18"/>
                <w:szCs w:val="14"/>
              </w:rPr>
            </w:pPr>
            <w:r w:rsidRPr="00977548">
              <w:rPr>
                <w:rFonts w:asciiTheme="minorHAnsi" w:hAnsiTheme="minorHAnsi" w:cstheme="minorHAnsi"/>
                <w:b/>
                <w:bCs/>
                <w:sz w:val="18"/>
                <w:szCs w:val="14"/>
              </w:rPr>
              <w:t>210,124</w:t>
            </w:r>
          </w:p>
        </w:tc>
        <w:tc>
          <w:tcPr>
            <w:tcW w:w="1217" w:type="dxa"/>
          </w:tcPr>
          <w:p w14:paraId="1957CD37" w14:textId="77777777" w:rsidR="00B02873" w:rsidRPr="00977548" w:rsidRDefault="00B02873" w:rsidP="005C2F55">
            <w:pPr>
              <w:pStyle w:val="TablebodyleftFinancialsTables"/>
              <w:jc w:val="right"/>
              <w:rPr>
                <w:rFonts w:asciiTheme="minorHAnsi" w:hAnsiTheme="minorHAnsi" w:cstheme="minorHAnsi"/>
                <w:b/>
                <w:bCs/>
                <w:sz w:val="18"/>
                <w:szCs w:val="14"/>
              </w:rPr>
            </w:pPr>
            <w:r w:rsidRPr="00977548">
              <w:rPr>
                <w:rFonts w:asciiTheme="minorHAnsi" w:hAnsiTheme="minorHAnsi" w:cstheme="minorHAnsi"/>
                <w:b/>
                <w:bCs/>
                <w:sz w:val="18"/>
                <w:szCs w:val="14"/>
              </w:rPr>
              <w:t>123,422</w:t>
            </w:r>
          </w:p>
        </w:tc>
        <w:tc>
          <w:tcPr>
            <w:tcW w:w="1402" w:type="dxa"/>
          </w:tcPr>
          <w:p w14:paraId="586867FB" w14:textId="77777777" w:rsidR="00B02873" w:rsidRPr="00977548" w:rsidRDefault="00B02873" w:rsidP="005C2F55">
            <w:pPr>
              <w:pStyle w:val="TablebodyleftFinancialsTables"/>
              <w:jc w:val="right"/>
              <w:rPr>
                <w:rFonts w:asciiTheme="minorHAnsi" w:hAnsiTheme="minorHAnsi" w:cstheme="minorHAnsi"/>
                <w:b/>
                <w:bCs/>
                <w:sz w:val="18"/>
                <w:szCs w:val="14"/>
              </w:rPr>
            </w:pPr>
            <w:r w:rsidRPr="00977548">
              <w:rPr>
                <w:rFonts w:asciiTheme="minorHAnsi" w:hAnsiTheme="minorHAnsi" w:cstheme="minorHAnsi"/>
                <w:b/>
                <w:bCs/>
                <w:sz w:val="18"/>
                <w:szCs w:val="14"/>
              </w:rPr>
              <w:t>303,684</w:t>
            </w:r>
          </w:p>
        </w:tc>
        <w:tc>
          <w:tcPr>
            <w:tcW w:w="1372" w:type="dxa"/>
          </w:tcPr>
          <w:p w14:paraId="386A0072" w14:textId="77777777" w:rsidR="00B02873" w:rsidRPr="00977548" w:rsidRDefault="00B02873" w:rsidP="005C2F55">
            <w:pPr>
              <w:pStyle w:val="TablebodyleftFinancialsTables"/>
              <w:jc w:val="right"/>
              <w:rPr>
                <w:rFonts w:asciiTheme="minorHAnsi" w:hAnsiTheme="minorHAnsi" w:cstheme="minorHAnsi"/>
                <w:b/>
                <w:bCs/>
                <w:sz w:val="18"/>
                <w:szCs w:val="14"/>
              </w:rPr>
            </w:pPr>
            <w:r w:rsidRPr="00977548">
              <w:rPr>
                <w:rFonts w:asciiTheme="minorHAnsi" w:hAnsiTheme="minorHAnsi" w:cstheme="minorHAnsi"/>
                <w:b/>
                <w:bCs/>
                <w:sz w:val="18"/>
                <w:szCs w:val="14"/>
              </w:rPr>
              <w:t>491,723</w:t>
            </w:r>
          </w:p>
        </w:tc>
      </w:tr>
      <w:tr w:rsidR="009B3AE1" w:rsidRPr="00615EFA" w14:paraId="4BDC190D" w14:textId="77777777" w:rsidTr="0045684C">
        <w:trPr>
          <w:trHeight w:val="60"/>
        </w:trPr>
        <w:tc>
          <w:tcPr>
            <w:tcW w:w="2541" w:type="dxa"/>
          </w:tcPr>
          <w:p w14:paraId="120ACB2C" w14:textId="5707B83E" w:rsidR="009B3AE1" w:rsidRPr="009B3AE1" w:rsidRDefault="009B3AE1" w:rsidP="0045684C">
            <w:pPr>
              <w:pStyle w:val="TablebodyleftFinancialsTables"/>
              <w:rPr>
                <w:rFonts w:asciiTheme="minorHAnsi" w:hAnsiTheme="minorHAnsi" w:cstheme="minorHAnsi"/>
                <w:sz w:val="18"/>
                <w:szCs w:val="14"/>
              </w:rPr>
            </w:pPr>
            <w:r w:rsidRPr="009B3AE1">
              <w:rPr>
                <w:b/>
                <w:bCs/>
                <w:sz w:val="18"/>
                <w:szCs w:val="14"/>
              </w:rPr>
              <w:t>Non-financial assets</w:t>
            </w:r>
          </w:p>
        </w:tc>
        <w:tc>
          <w:tcPr>
            <w:tcW w:w="1135" w:type="dxa"/>
          </w:tcPr>
          <w:p w14:paraId="43210B22" w14:textId="77777777" w:rsidR="009B3AE1" w:rsidRPr="00615EFA" w:rsidRDefault="009B3AE1" w:rsidP="0045684C">
            <w:pPr>
              <w:pStyle w:val="TablebodyleftFinancialsTables"/>
              <w:jc w:val="right"/>
              <w:rPr>
                <w:rFonts w:asciiTheme="minorHAnsi" w:hAnsiTheme="minorHAnsi" w:cstheme="minorHAnsi"/>
                <w:sz w:val="18"/>
                <w:szCs w:val="14"/>
              </w:rPr>
            </w:pPr>
          </w:p>
        </w:tc>
        <w:tc>
          <w:tcPr>
            <w:tcW w:w="1191" w:type="dxa"/>
          </w:tcPr>
          <w:p w14:paraId="65B50160" w14:textId="77777777" w:rsidR="009B3AE1" w:rsidRPr="00615EFA" w:rsidRDefault="009B3AE1" w:rsidP="0045684C">
            <w:pPr>
              <w:pStyle w:val="TablebodyleftFinancialsTables"/>
              <w:jc w:val="right"/>
              <w:rPr>
                <w:rFonts w:asciiTheme="minorHAnsi" w:hAnsiTheme="minorHAnsi" w:cstheme="minorHAnsi"/>
                <w:sz w:val="18"/>
                <w:szCs w:val="14"/>
              </w:rPr>
            </w:pPr>
          </w:p>
        </w:tc>
        <w:tc>
          <w:tcPr>
            <w:tcW w:w="1217" w:type="dxa"/>
          </w:tcPr>
          <w:p w14:paraId="6C029A89" w14:textId="77777777" w:rsidR="009B3AE1" w:rsidRPr="00615EFA" w:rsidRDefault="009B3AE1" w:rsidP="0045684C">
            <w:pPr>
              <w:pStyle w:val="TablebodyleftFinancialsTables"/>
              <w:jc w:val="right"/>
              <w:rPr>
                <w:rFonts w:asciiTheme="minorHAnsi" w:hAnsiTheme="minorHAnsi" w:cstheme="minorHAnsi"/>
                <w:sz w:val="18"/>
                <w:szCs w:val="14"/>
              </w:rPr>
            </w:pPr>
          </w:p>
        </w:tc>
        <w:tc>
          <w:tcPr>
            <w:tcW w:w="1217" w:type="dxa"/>
          </w:tcPr>
          <w:p w14:paraId="3AEF71BB" w14:textId="77777777" w:rsidR="009B3AE1" w:rsidRPr="00615EFA" w:rsidRDefault="009B3AE1" w:rsidP="0045684C">
            <w:pPr>
              <w:pStyle w:val="TablebodyleftFinancialsTables"/>
              <w:jc w:val="right"/>
              <w:rPr>
                <w:rFonts w:asciiTheme="minorHAnsi" w:hAnsiTheme="minorHAnsi" w:cstheme="minorHAnsi"/>
                <w:sz w:val="18"/>
                <w:szCs w:val="14"/>
              </w:rPr>
            </w:pPr>
          </w:p>
        </w:tc>
        <w:tc>
          <w:tcPr>
            <w:tcW w:w="1402" w:type="dxa"/>
          </w:tcPr>
          <w:p w14:paraId="0EEAE56F" w14:textId="77777777" w:rsidR="009B3AE1" w:rsidRPr="00615EFA" w:rsidRDefault="009B3AE1" w:rsidP="0045684C">
            <w:pPr>
              <w:pStyle w:val="TablebodyleftFinancialsTables"/>
              <w:jc w:val="right"/>
              <w:rPr>
                <w:rFonts w:asciiTheme="minorHAnsi" w:hAnsiTheme="minorHAnsi" w:cstheme="minorHAnsi"/>
                <w:sz w:val="18"/>
                <w:szCs w:val="14"/>
              </w:rPr>
            </w:pPr>
          </w:p>
        </w:tc>
        <w:tc>
          <w:tcPr>
            <w:tcW w:w="1372" w:type="dxa"/>
          </w:tcPr>
          <w:p w14:paraId="64708646" w14:textId="77777777" w:rsidR="009B3AE1" w:rsidRPr="00615EFA" w:rsidRDefault="009B3AE1" w:rsidP="0045684C">
            <w:pPr>
              <w:pStyle w:val="TablebodyleftFinancialsTables"/>
              <w:jc w:val="right"/>
              <w:rPr>
                <w:rFonts w:asciiTheme="minorHAnsi" w:hAnsiTheme="minorHAnsi" w:cstheme="minorHAnsi"/>
                <w:sz w:val="18"/>
                <w:szCs w:val="14"/>
              </w:rPr>
            </w:pPr>
          </w:p>
        </w:tc>
      </w:tr>
      <w:tr w:rsidR="00B02873" w:rsidRPr="00615EFA" w14:paraId="4C7F713B" w14:textId="77777777" w:rsidTr="005C2F55">
        <w:trPr>
          <w:trHeight w:val="60"/>
        </w:trPr>
        <w:tc>
          <w:tcPr>
            <w:tcW w:w="2541" w:type="dxa"/>
          </w:tcPr>
          <w:p w14:paraId="1F8BCF90" w14:textId="77777777" w:rsidR="00B02873" w:rsidRPr="00615EFA" w:rsidRDefault="00B02873" w:rsidP="00615EFA">
            <w:pPr>
              <w:pStyle w:val="TablebodyleftFinancialsTables"/>
              <w:rPr>
                <w:rFonts w:asciiTheme="minorHAnsi" w:hAnsiTheme="minorHAnsi" w:cstheme="minorHAnsi"/>
                <w:sz w:val="18"/>
                <w:szCs w:val="14"/>
              </w:rPr>
            </w:pPr>
            <w:r w:rsidRPr="00615EFA">
              <w:rPr>
                <w:rFonts w:asciiTheme="minorHAnsi" w:hAnsiTheme="minorHAnsi" w:cstheme="minorHAnsi"/>
                <w:sz w:val="18"/>
                <w:szCs w:val="14"/>
              </w:rPr>
              <w:t>Inventories</w:t>
            </w:r>
          </w:p>
        </w:tc>
        <w:tc>
          <w:tcPr>
            <w:tcW w:w="1135" w:type="dxa"/>
          </w:tcPr>
          <w:p w14:paraId="51A67864" w14:textId="0D4EDEF6" w:rsidR="00B02873" w:rsidRPr="00615EFA" w:rsidRDefault="00B02873" w:rsidP="005C2F55">
            <w:pPr>
              <w:pStyle w:val="TablebodyleftFinancialsTables"/>
              <w:jc w:val="right"/>
              <w:rPr>
                <w:rFonts w:asciiTheme="minorHAnsi" w:hAnsiTheme="minorHAnsi" w:cstheme="minorHAnsi"/>
                <w:sz w:val="18"/>
                <w:szCs w:val="14"/>
              </w:rPr>
            </w:pPr>
            <w:r w:rsidRPr="00615EFA">
              <w:rPr>
                <w:rFonts w:asciiTheme="minorHAnsi" w:hAnsiTheme="minorHAnsi" w:cstheme="minorHAnsi"/>
                <w:sz w:val="18"/>
                <w:szCs w:val="14"/>
              </w:rPr>
              <w:t>8</w:t>
            </w:r>
          </w:p>
        </w:tc>
        <w:tc>
          <w:tcPr>
            <w:tcW w:w="1191" w:type="dxa"/>
          </w:tcPr>
          <w:p w14:paraId="7A656D31" w14:textId="77777777" w:rsidR="00B02873" w:rsidRPr="00615EFA" w:rsidRDefault="00B02873" w:rsidP="005C2F55">
            <w:pPr>
              <w:pStyle w:val="TablebodyleftFinancialsTables"/>
              <w:jc w:val="right"/>
              <w:rPr>
                <w:rFonts w:asciiTheme="minorHAnsi" w:hAnsiTheme="minorHAnsi" w:cstheme="minorHAnsi"/>
                <w:sz w:val="18"/>
                <w:szCs w:val="14"/>
              </w:rPr>
            </w:pPr>
            <w:r w:rsidRPr="00615EFA">
              <w:rPr>
                <w:rFonts w:asciiTheme="minorHAnsi" w:hAnsiTheme="minorHAnsi" w:cstheme="minorHAnsi"/>
                <w:sz w:val="18"/>
                <w:szCs w:val="14"/>
              </w:rPr>
              <w:t>6</w:t>
            </w:r>
          </w:p>
        </w:tc>
        <w:tc>
          <w:tcPr>
            <w:tcW w:w="1217" w:type="dxa"/>
          </w:tcPr>
          <w:p w14:paraId="201ADAFA" w14:textId="4DA8C115" w:rsidR="00B02873" w:rsidRPr="00615EFA" w:rsidRDefault="00B02873" w:rsidP="005C2F55">
            <w:pPr>
              <w:pStyle w:val="TablebodyleftFinancialsTables"/>
              <w:jc w:val="right"/>
              <w:rPr>
                <w:rFonts w:asciiTheme="minorHAnsi" w:hAnsiTheme="minorHAnsi" w:cstheme="minorHAnsi"/>
                <w:sz w:val="18"/>
                <w:szCs w:val="14"/>
              </w:rPr>
            </w:pPr>
            <w:r w:rsidRPr="00615EFA">
              <w:rPr>
                <w:rFonts w:asciiTheme="minorHAnsi" w:hAnsiTheme="minorHAnsi" w:cstheme="minorHAnsi"/>
                <w:sz w:val="18"/>
                <w:szCs w:val="14"/>
              </w:rPr>
              <w:t>6</w:t>
            </w:r>
          </w:p>
        </w:tc>
        <w:tc>
          <w:tcPr>
            <w:tcW w:w="1217" w:type="dxa"/>
          </w:tcPr>
          <w:p w14:paraId="414F6B22" w14:textId="77777777" w:rsidR="00B02873" w:rsidRPr="00615EFA" w:rsidRDefault="00B02873" w:rsidP="005C2F55">
            <w:pPr>
              <w:pStyle w:val="TablebodyleftFinancialsTables"/>
              <w:jc w:val="right"/>
              <w:rPr>
                <w:rFonts w:asciiTheme="minorHAnsi" w:hAnsiTheme="minorHAnsi" w:cstheme="minorHAnsi"/>
                <w:sz w:val="18"/>
                <w:szCs w:val="14"/>
              </w:rPr>
            </w:pPr>
            <w:r w:rsidRPr="00615EFA">
              <w:rPr>
                <w:rFonts w:asciiTheme="minorHAnsi" w:hAnsiTheme="minorHAnsi" w:cstheme="minorHAnsi"/>
                <w:sz w:val="18"/>
                <w:szCs w:val="14"/>
              </w:rPr>
              <w:t>6</w:t>
            </w:r>
          </w:p>
        </w:tc>
        <w:tc>
          <w:tcPr>
            <w:tcW w:w="1402" w:type="dxa"/>
          </w:tcPr>
          <w:p w14:paraId="1ECDC7AD" w14:textId="77777777" w:rsidR="00B02873" w:rsidRPr="00615EFA" w:rsidRDefault="00B02873" w:rsidP="005C2F55">
            <w:pPr>
              <w:pStyle w:val="TablebodyleftFinancialsTables"/>
              <w:jc w:val="right"/>
              <w:rPr>
                <w:rFonts w:asciiTheme="minorHAnsi" w:hAnsiTheme="minorHAnsi" w:cstheme="minorHAnsi"/>
                <w:sz w:val="18"/>
                <w:szCs w:val="14"/>
              </w:rPr>
            </w:pPr>
            <w:r w:rsidRPr="00615EFA">
              <w:rPr>
                <w:rFonts w:asciiTheme="minorHAnsi" w:hAnsiTheme="minorHAnsi" w:cstheme="minorHAnsi"/>
                <w:sz w:val="18"/>
                <w:szCs w:val="14"/>
              </w:rPr>
              <w:t>–</w:t>
            </w:r>
          </w:p>
        </w:tc>
        <w:tc>
          <w:tcPr>
            <w:tcW w:w="1372" w:type="dxa"/>
          </w:tcPr>
          <w:p w14:paraId="577206E5" w14:textId="77777777" w:rsidR="00B02873" w:rsidRPr="00615EFA" w:rsidRDefault="00B02873" w:rsidP="005C2F55">
            <w:pPr>
              <w:pStyle w:val="TablebodyleftFinancialsTables"/>
              <w:jc w:val="right"/>
              <w:rPr>
                <w:rFonts w:asciiTheme="minorHAnsi" w:hAnsiTheme="minorHAnsi" w:cstheme="minorHAnsi"/>
                <w:sz w:val="18"/>
                <w:szCs w:val="14"/>
              </w:rPr>
            </w:pPr>
            <w:r w:rsidRPr="00615EFA">
              <w:rPr>
                <w:rFonts w:asciiTheme="minorHAnsi" w:hAnsiTheme="minorHAnsi" w:cstheme="minorHAnsi"/>
                <w:sz w:val="18"/>
                <w:szCs w:val="14"/>
              </w:rPr>
              <w:t>–</w:t>
            </w:r>
          </w:p>
        </w:tc>
      </w:tr>
      <w:tr w:rsidR="005C2F55" w:rsidRPr="00615EFA" w14:paraId="263E7328" w14:textId="77777777" w:rsidTr="005C2F55">
        <w:trPr>
          <w:trHeight w:val="60"/>
        </w:trPr>
        <w:tc>
          <w:tcPr>
            <w:tcW w:w="2541" w:type="dxa"/>
          </w:tcPr>
          <w:p w14:paraId="5027CFCE" w14:textId="77777777" w:rsidR="00B02873" w:rsidRPr="00615EFA" w:rsidRDefault="00B02873" w:rsidP="00615EFA">
            <w:pPr>
              <w:pStyle w:val="TablebodyleftFinancialsTables"/>
              <w:rPr>
                <w:rFonts w:asciiTheme="minorHAnsi" w:hAnsiTheme="minorHAnsi" w:cstheme="minorHAnsi"/>
                <w:sz w:val="18"/>
                <w:szCs w:val="14"/>
              </w:rPr>
            </w:pPr>
            <w:r w:rsidRPr="00615EFA">
              <w:rPr>
                <w:rFonts w:asciiTheme="minorHAnsi" w:hAnsiTheme="minorHAnsi" w:cstheme="minorHAnsi"/>
                <w:sz w:val="18"/>
                <w:szCs w:val="14"/>
              </w:rPr>
              <w:t>Non-financial physical assets classified as held for sale</w:t>
            </w:r>
          </w:p>
        </w:tc>
        <w:tc>
          <w:tcPr>
            <w:tcW w:w="1135" w:type="dxa"/>
          </w:tcPr>
          <w:p w14:paraId="225BF6D7" w14:textId="77777777" w:rsidR="00B02873" w:rsidRPr="00615EFA" w:rsidRDefault="00B02873" w:rsidP="005C2F55">
            <w:pPr>
              <w:pStyle w:val="TablebodyleftFinancialsTables"/>
              <w:jc w:val="right"/>
              <w:rPr>
                <w:rFonts w:asciiTheme="minorHAnsi" w:hAnsiTheme="minorHAnsi" w:cstheme="minorHAnsi"/>
                <w:sz w:val="18"/>
                <w:szCs w:val="14"/>
              </w:rPr>
            </w:pPr>
            <w:r w:rsidRPr="00615EFA">
              <w:rPr>
                <w:rFonts w:asciiTheme="minorHAnsi" w:hAnsiTheme="minorHAnsi" w:cstheme="minorHAnsi"/>
                <w:sz w:val="18"/>
                <w:szCs w:val="14"/>
              </w:rPr>
              <w:t>188</w:t>
            </w:r>
          </w:p>
        </w:tc>
        <w:tc>
          <w:tcPr>
            <w:tcW w:w="1191" w:type="dxa"/>
          </w:tcPr>
          <w:p w14:paraId="3D196A40" w14:textId="77777777" w:rsidR="00B02873" w:rsidRPr="00615EFA" w:rsidRDefault="00B02873" w:rsidP="005C2F55">
            <w:pPr>
              <w:pStyle w:val="TablebodyleftFinancialsTables"/>
              <w:jc w:val="right"/>
              <w:rPr>
                <w:rFonts w:asciiTheme="minorHAnsi" w:hAnsiTheme="minorHAnsi" w:cstheme="minorHAnsi"/>
                <w:sz w:val="18"/>
                <w:szCs w:val="14"/>
              </w:rPr>
            </w:pPr>
            <w:r w:rsidRPr="00615EFA">
              <w:rPr>
                <w:rFonts w:asciiTheme="minorHAnsi" w:hAnsiTheme="minorHAnsi" w:cstheme="minorHAnsi"/>
                <w:sz w:val="18"/>
                <w:szCs w:val="14"/>
              </w:rPr>
              <w:t>5,249</w:t>
            </w:r>
          </w:p>
        </w:tc>
        <w:tc>
          <w:tcPr>
            <w:tcW w:w="1217" w:type="dxa"/>
          </w:tcPr>
          <w:p w14:paraId="130DF26B" w14:textId="77777777" w:rsidR="00B02873" w:rsidRPr="00615EFA" w:rsidRDefault="00B02873" w:rsidP="005C2F55">
            <w:pPr>
              <w:pStyle w:val="TablebodyleftFinancialsTables"/>
              <w:jc w:val="right"/>
              <w:rPr>
                <w:rFonts w:asciiTheme="minorHAnsi" w:hAnsiTheme="minorHAnsi" w:cstheme="minorHAnsi"/>
                <w:sz w:val="18"/>
                <w:szCs w:val="14"/>
              </w:rPr>
            </w:pPr>
            <w:r w:rsidRPr="00615EFA">
              <w:rPr>
                <w:rFonts w:asciiTheme="minorHAnsi" w:hAnsiTheme="minorHAnsi" w:cstheme="minorHAnsi"/>
                <w:sz w:val="18"/>
                <w:szCs w:val="14"/>
              </w:rPr>
              <w:t>73</w:t>
            </w:r>
          </w:p>
        </w:tc>
        <w:tc>
          <w:tcPr>
            <w:tcW w:w="1217" w:type="dxa"/>
          </w:tcPr>
          <w:p w14:paraId="1919AC32" w14:textId="77777777" w:rsidR="00B02873" w:rsidRPr="00615EFA" w:rsidRDefault="00B02873" w:rsidP="005C2F55">
            <w:pPr>
              <w:pStyle w:val="TablebodyleftFinancialsTables"/>
              <w:jc w:val="right"/>
              <w:rPr>
                <w:rFonts w:asciiTheme="minorHAnsi" w:hAnsiTheme="minorHAnsi" w:cstheme="minorHAnsi"/>
                <w:sz w:val="18"/>
                <w:szCs w:val="14"/>
              </w:rPr>
            </w:pPr>
            <w:r w:rsidRPr="00615EFA">
              <w:rPr>
                <w:rFonts w:asciiTheme="minorHAnsi" w:hAnsiTheme="minorHAnsi" w:cstheme="minorHAnsi"/>
                <w:sz w:val="18"/>
                <w:szCs w:val="14"/>
              </w:rPr>
              <w:t>68</w:t>
            </w:r>
          </w:p>
        </w:tc>
        <w:tc>
          <w:tcPr>
            <w:tcW w:w="1402" w:type="dxa"/>
          </w:tcPr>
          <w:p w14:paraId="08EFABEC" w14:textId="77777777" w:rsidR="00B02873" w:rsidRPr="00615EFA" w:rsidRDefault="00B02873" w:rsidP="005C2F55">
            <w:pPr>
              <w:pStyle w:val="TablebodyleftFinancialsTables"/>
              <w:jc w:val="right"/>
              <w:rPr>
                <w:rFonts w:asciiTheme="minorHAnsi" w:hAnsiTheme="minorHAnsi" w:cstheme="minorHAnsi"/>
                <w:sz w:val="18"/>
                <w:szCs w:val="14"/>
              </w:rPr>
            </w:pPr>
            <w:r w:rsidRPr="00615EFA">
              <w:rPr>
                <w:rFonts w:asciiTheme="minorHAnsi" w:hAnsiTheme="minorHAnsi" w:cstheme="minorHAnsi"/>
                <w:sz w:val="18"/>
                <w:szCs w:val="14"/>
              </w:rPr>
              <w:t>–</w:t>
            </w:r>
          </w:p>
        </w:tc>
        <w:tc>
          <w:tcPr>
            <w:tcW w:w="1372" w:type="dxa"/>
          </w:tcPr>
          <w:p w14:paraId="6DA32139" w14:textId="77777777" w:rsidR="00B02873" w:rsidRPr="00615EFA" w:rsidRDefault="00B02873" w:rsidP="005C2F55">
            <w:pPr>
              <w:pStyle w:val="TablebodyleftFinancialsTables"/>
              <w:jc w:val="right"/>
              <w:rPr>
                <w:rFonts w:asciiTheme="minorHAnsi" w:hAnsiTheme="minorHAnsi" w:cstheme="minorHAnsi"/>
                <w:sz w:val="18"/>
                <w:szCs w:val="14"/>
              </w:rPr>
            </w:pPr>
            <w:r w:rsidRPr="00615EFA">
              <w:rPr>
                <w:rFonts w:asciiTheme="minorHAnsi" w:hAnsiTheme="minorHAnsi" w:cstheme="minorHAnsi"/>
                <w:sz w:val="18"/>
                <w:szCs w:val="14"/>
              </w:rPr>
              <w:t>–</w:t>
            </w:r>
          </w:p>
        </w:tc>
      </w:tr>
      <w:tr w:rsidR="00B02873" w:rsidRPr="00615EFA" w14:paraId="6EAC498C" w14:textId="77777777" w:rsidTr="005C2F55">
        <w:trPr>
          <w:trHeight w:val="60"/>
        </w:trPr>
        <w:tc>
          <w:tcPr>
            <w:tcW w:w="2541" w:type="dxa"/>
          </w:tcPr>
          <w:p w14:paraId="44D48B4A" w14:textId="77777777" w:rsidR="00B02873" w:rsidRPr="00615EFA" w:rsidRDefault="00B02873" w:rsidP="00615EFA">
            <w:pPr>
              <w:pStyle w:val="TablebodyleftFinancialsTables"/>
              <w:rPr>
                <w:rFonts w:asciiTheme="minorHAnsi" w:hAnsiTheme="minorHAnsi" w:cstheme="minorHAnsi"/>
                <w:sz w:val="18"/>
                <w:szCs w:val="14"/>
              </w:rPr>
            </w:pPr>
            <w:r w:rsidRPr="00615EFA">
              <w:rPr>
                <w:rFonts w:asciiTheme="minorHAnsi" w:hAnsiTheme="minorHAnsi" w:cstheme="minorHAnsi"/>
                <w:sz w:val="18"/>
                <w:szCs w:val="14"/>
              </w:rPr>
              <w:t>Property, plant and equipment</w:t>
            </w:r>
          </w:p>
        </w:tc>
        <w:tc>
          <w:tcPr>
            <w:tcW w:w="1135" w:type="dxa"/>
          </w:tcPr>
          <w:p w14:paraId="28F073D8" w14:textId="77777777" w:rsidR="00B02873" w:rsidRPr="00615EFA" w:rsidRDefault="00B02873" w:rsidP="005C2F55">
            <w:pPr>
              <w:pStyle w:val="TablebodyleftFinancialsTables"/>
              <w:jc w:val="right"/>
              <w:rPr>
                <w:rFonts w:asciiTheme="minorHAnsi" w:hAnsiTheme="minorHAnsi" w:cstheme="minorHAnsi"/>
                <w:sz w:val="18"/>
                <w:szCs w:val="14"/>
              </w:rPr>
            </w:pPr>
            <w:r w:rsidRPr="00615EFA">
              <w:rPr>
                <w:rFonts w:asciiTheme="minorHAnsi" w:hAnsiTheme="minorHAnsi" w:cstheme="minorHAnsi"/>
                <w:sz w:val="18"/>
                <w:szCs w:val="14"/>
              </w:rPr>
              <w:t>168,239</w:t>
            </w:r>
          </w:p>
        </w:tc>
        <w:tc>
          <w:tcPr>
            <w:tcW w:w="1191" w:type="dxa"/>
          </w:tcPr>
          <w:p w14:paraId="2B98F6C4" w14:textId="77777777" w:rsidR="00B02873" w:rsidRPr="00615EFA" w:rsidRDefault="00B02873" w:rsidP="005C2F55">
            <w:pPr>
              <w:pStyle w:val="TablebodyleftFinancialsTables"/>
              <w:jc w:val="right"/>
              <w:rPr>
                <w:rFonts w:asciiTheme="minorHAnsi" w:hAnsiTheme="minorHAnsi" w:cstheme="minorHAnsi"/>
                <w:sz w:val="18"/>
                <w:szCs w:val="14"/>
              </w:rPr>
            </w:pPr>
            <w:r w:rsidRPr="00615EFA">
              <w:rPr>
                <w:rFonts w:asciiTheme="minorHAnsi" w:hAnsiTheme="minorHAnsi" w:cstheme="minorHAnsi"/>
                <w:sz w:val="18"/>
                <w:szCs w:val="14"/>
              </w:rPr>
              <w:t>168,539</w:t>
            </w:r>
          </w:p>
        </w:tc>
        <w:tc>
          <w:tcPr>
            <w:tcW w:w="1217" w:type="dxa"/>
          </w:tcPr>
          <w:p w14:paraId="263F9A1E" w14:textId="77777777" w:rsidR="00B02873" w:rsidRPr="00615EFA" w:rsidRDefault="00B02873" w:rsidP="005C2F55">
            <w:pPr>
              <w:pStyle w:val="TablebodyleftFinancialsTables"/>
              <w:jc w:val="right"/>
              <w:rPr>
                <w:rFonts w:asciiTheme="minorHAnsi" w:hAnsiTheme="minorHAnsi" w:cstheme="minorHAnsi"/>
                <w:sz w:val="18"/>
                <w:szCs w:val="14"/>
              </w:rPr>
            </w:pPr>
            <w:r w:rsidRPr="00615EFA">
              <w:rPr>
                <w:rFonts w:asciiTheme="minorHAnsi" w:hAnsiTheme="minorHAnsi" w:cstheme="minorHAnsi"/>
                <w:sz w:val="18"/>
                <w:szCs w:val="14"/>
              </w:rPr>
              <w:t>110,899</w:t>
            </w:r>
          </w:p>
        </w:tc>
        <w:tc>
          <w:tcPr>
            <w:tcW w:w="1217" w:type="dxa"/>
          </w:tcPr>
          <w:p w14:paraId="71082D5D" w14:textId="77777777" w:rsidR="00B02873" w:rsidRPr="00615EFA" w:rsidRDefault="00B02873" w:rsidP="005C2F55">
            <w:pPr>
              <w:pStyle w:val="TablebodyleftFinancialsTables"/>
              <w:jc w:val="right"/>
              <w:rPr>
                <w:rFonts w:asciiTheme="minorHAnsi" w:hAnsiTheme="minorHAnsi" w:cstheme="minorHAnsi"/>
                <w:sz w:val="18"/>
                <w:szCs w:val="14"/>
              </w:rPr>
            </w:pPr>
            <w:r w:rsidRPr="00615EFA">
              <w:rPr>
                <w:rFonts w:asciiTheme="minorHAnsi" w:hAnsiTheme="minorHAnsi" w:cstheme="minorHAnsi"/>
                <w:sz w:val="18"/>
                <w:szCs w:val="14"/>
              </w:rPr>
              <w:t xml:space="preserve">74,745 </w:t>
            </w:r>
          </w:p>
        </w:tc>
        <w:tc>
          <w:tcPr>
            <w:tcW w:w="1402" w:type="dxa"/>
          </w:tcPr>
          <w:p w14:paraId="61C13907" w14:textId="77777777" w:rsidR="00B02873" w:rsidRPr="00615EFA" w:rsidRDefault="00B02873" w:rsidP="005C2F55">
            <w:pPr>
              <w:pStyle w:val="TablebodyleftFinancialsTables"/>
              <w:jc w:val="right"/>
              <w:rPr>
                <w:rFonts w:asciiTheme="minorHAnsi" w:hAnsiTheme="minorHAnsi" w:cstheme="minorHAnsi"/>
                <w:sz w:val="18"/>
                <w:szCs w:val="14"/>
              </w:rPr>
            </w:pPr>
            <w:r w:rsidRPr="00615EFA">
              <w:rPr>
                <w:rFonts w:asciiTheme="minorHAnsi" w:hAnsiTheme="minorHAnsi" w:cstheme="minorHAnsi"/>
                <w:sz w:val="18"/>
                <w:szCs w:val="14"/>
              </w:rPr>
              <w:t>–</w:t>
            </w:r>
          </w:p>
        </w:tc>
        <w:tc>
          <w:tcPr>
            <w:tcW w:w="1372" w:type="dxa"/>
          </w:tcPr>
          <w:p w14:paraId="4CB59F47" w14:textId="77777777" w:rsidR="00B02873" w:rsidRPr="00615EFA" w:rsidRDefault="00B02873" w:rsidP="005C2F55">
            <w:pPr>
              <w:pStyle w:val="TablebodyleftFinancialsTables"/>
              <w:jc w:val="right"/>
              <w:rPr>
                <w:rFonts w:asciiTheme="minorHAnsi" w:hAnsiTheme="minorHAnsi" w:cstheme="minorHAnsi"/>
                <w:sz w:val="18"/>
                <w:szCs w:val="14"/>
              </w:rPr>
            </w:pPr>
            <w:r w:rsidRPr="00615EFA">
              <w:rPr>
                <w:rFonts w:asciiTheme="minorHAnsi" w:hAnsiTheme="minorHAnsi" w:cstheme="minorHAnsi"/>
                <w:sz w:val="18"/>
                <w:szCs w:val="14"/>
              </w:rPr>
              <w:t>–</w:t>
            </w:r>
          </w:p>
        </w:tc>
      </w:tr>
      <w:tr w:rsidR="005C2F55" w:rsidRPr="00615EFA" w14:paraId="46C9FC9B" w14:textId="77777777" w:rsidTr="005C2F55">
        <w:trPr>
          <w:trHeight w:val="60"/>
        </w:trPr>
        <w:tc>
          <w:tcPr>
            <w:tcW w:w="2541" w:type="dxa"/>
          </w:tcPr>
          <w:p w14:paraId="628E6922" w14:textId="77777777" w:rsidR="00B02873" w:rsidRPr="00615EFA" w:rsidRDefault="00B02873" w:rsidP="00615EFA">
            <w:pPr>
              <w:pStyle w:val="TablebodyleftFinancialsTables"/>
              <w:rPr>
                <w:rFonts w:asciiTheme="minorHAnsi" w:hAnsiTheme="minorHAnsi" w:cstheme="minorHAnsi"/>
                <w:sz w:val="18"/>
                <w:szCs w:val="14"/>
              </w:rPr>
            </w:pPr>
            <w:r w:rsidRPr="00615EFA">
              <w:rPr>
                <w:rFonts w:asciiTheme="minorHAnsi" w:hAnsiTheme="minorHAnsi" w:cstheme="minorHAnsi"/>
                <w:sz w:val="18"/>
                <w:szCs w:val="14"/>
              </w:rPr>
              <w:t>Intangible assets</w:t>
            </w:r>
          </w:p>
        </w:tc>
        <w:tc>
          <w:tcPr>
            <w:tcW w:w="1135" w:type="dxa"/>
          </w:tcPr>
          <w:p w14:paraId="0C641F23" w14:textId="77777777" w:rsidR="00B02873" w:rsidRPr="00615EFA" w:rsidRDefault="00B02873" w:rsidP="005C2F55">
            <w:pPr>
              <w:pStyle w:val="TablebodyleftFinancialsTables"/>
              <w:jc w:val="right"/>
              <w:rPr>
                <w:rFonts w:asciiTheme="minorHAnsi" w:hAnsiTheme="minorHAnsi" w:cstheme="minorHAnsi"/>
                <w:sz w:val="18"/>
                <w:szCs w:val="14"/>
              </w:rPr>
            </w:pPr>
            <w:r w:rsidRPr="00615EFA">
              <w:rPr>
                <w:rFonts w:asciiTheme="minorHAnsi" w:hAnsiTheme="minorHAnsi" w:cstheme="minorHAnsi"/>
                <w:sz w:val="18"/>
                <w:szCs w:val="14"/>
              </w:rPr>
              <w:t>18,715</w:t>
            </w:r>
          </w:p>
        </w:tc>
        <w:tc>
          <w:tcPr>
            <w:tcW w:w="1191" w:type="dxa"/>
          </w:tcPr>
          <w:p w14:paraId="780B36C3" w14:textId="77777777" w:rsidR="00B02873" w:rsidRPr="00615EFA" w:rsidRDefault="00B02873" w:rsidP="005C2F55">
            <w:pPr>
              <w:pStyle w:val="TablebodyleftFinancialsTables"/>
              <w:jc w:val="right"/>
              <w:rPr>
                <w:rFonts w:asciiTheme="minorHAnsi" w:hAnsiTheme="minorHAnsi" w:cstheme="minorHAnsi"/>
                <w:sz w:val="18"/>
                <w:szCs w:val="14"/>
              </w:rPr>
            </w:pPr>
            <w:r w:rsidRPr="00615EFA">
              <w:rPr>
                <w:rFonts w:asciiTheme="minorHAnsi" w:hAnsiTheme="minorHAnsi" w:cstheme="minorHAnsi"/>
                <w:sz w:val="18"/>
                <w:szCs w:val="14"/>
              </w:rPr>
              <w:t>16,240</w:t>
            </w:r>
          </w:p>
        </w:tc>
        <w:tc>
          <w:tcPr>
            <w:tcW w:w="1217" w:type="dxa"/>
          </w:tcPr>
          <w:p w14:paraId="6140C7C1" w14:textId="77777777" w:rsidR="00B02873" w:rsidRPr="00615EFA" w:rsidRDefault="00B02873" w:rsidP="005C2F55">
            <w:pPr>
              <w:pStyle w:val="TablebodyleftFinancialsTables"/>
              <w:jc w:val="right"/>
              <w:rPr>
                <w:rFonts w:asciiTheme="minorHAnsi" w:hAnsiTheme="minorHAnsi" w:cstheme="minorHAnsi"/>
                <w:sz w:val="18"/>
                <w:szCs w:val="14"/>
              </w:rPr>
            </w:pPr>
            <w:r w:rsidRPr="00615EFA">
              <w:rPr>
                <w:rFonts w:asciiTheme="minorHAnsi" w:hAnsiTheme="minorHAnsi" w:cstheme="minorHAnsi"/>
                <w:sz w:val="18"/>
                <w:szCs w:val="14"/>
              </w:rPr>
              <w:t>1,866</w:t>
            </w:r>
          </w:p>
        </w:tc>
        <w:tc>
          <w:tcPr>
            <w:tcW w:w="1217" w:type="dxa"/>
          </w:tcPr>
          <w:p w14:paraId="0D3C2D21" w14:textId="77777777" w:rsidR="00B02873" w:rsidRPr="00615EFA" w:rsidRDefault="00B02873" w:rsidP="005C2F55">
            <w:pPr>
              <w:pStyle w:val="TablebodyleftFinancialsTables"/>
              <w:jc w:val="right"/>
              <w:rPr>
                <w:rFonts w:asciiTheme="minorHAnsi" w:hAnsiTheme="minorHAnsi" w:cstheme="minorHAnsi"/>
                <w:sz w:val="18"/>
                <w:szCs w:val="14"/>
              </w:rPr>
            </w:pPr>
            <w:r w:rsidRPr="00615EFA">
              <w:rPr>
                <w:rFonts w:asciiTheme="minorHAnsi" w:hAnsiTheme="minorHAnsi" w:cstheme="minorHAnsi"/>
                <w:sz w:val="18"/>
                <w:szCs w:val="14"/>
              </w:rPr>
              <w:t xml:space="preserve">2,725 </w:t>
            </w:r>
          </w:p>
        </w:tc>
        <w:tc>
          <w:tcPr>
            <w:tcW w:w="1402" w:type="dxa"/>
          </w:tcPr>
          <w:p w14:paraId="589C01AF" w14:textId="77777777" w:rsidR="00B02873" w:rsidRPr="00615EFA" w:rsidRDefault="00B02873" w:rsidP="005C2F55">
            <w:pPr>
              <w:pStyle w:val="TablebodyleftFinancialsTables"/>
              <w:jc w:val="right"/>
              <w:rPr>
                <w:rFonts w:asciiTheme="minorHAnsi" w:hAnsiTheme="minorHAnsi" w:cstheme="minorHAnsi"/>
                <w:sz w:val="18"/>
                <w:szCs w:val="14"/>
              </w:rPr>
            </w:pPr>
            <w:r w:rsidRPr="00615EFA">
              <w:rPr>
                <w:rFonts w:asciiTheme="minorHAnsi" w:hAnsiTheme="minorHAnsi" w:cstheme="minorHAnsi"/>
                <w:sz w:val="18"/>
                <w:szCs w:val="14"/>
              </w:rPr>
              <w:t>–</w:t>
            </w:r>
          </w:p>
        </w:tc>
        <w:tc>
          <w:tcPr>
            <w:tcW w:w="1372" w:type="dxa"/>
          </w:tcPr>
          <w:p w14:paraId="73F98757" w14:textId="77777777" w:rsidR="00B02873" w:rsidRPr="00615EFA" w:rsidRDefault="00B02873" w:rsidP="005C2F55">
            <w:pPr>
              <w:pStyle w:val="TablebodyleftFinancialsTables"/>
              <w:jc w:val="right"/>
              <w:rPr>
                <w:rFonts w:asciiTheme="minorHAnsi" w:hAnsiTheme="minorHAnsi" w:cstheme="minorHAnsi"/>
                <w:sz w:val="18"/>
                <w:szCs w:val="14"/>
              </w:rPr>
            </w:pPr>
            <w:r w:rsidRPr="00615EFA">
              <w:rPr>
                <w:rFonts w:asciiTheme="minorHAnsi" w:hAnsiTheme="minorHAnsi" w:cstheme="minorHAnsi"/>
                <w:sz w:val="18"/>
                <w:szCs w:val="14"/>
              </w:rPr>
              <w:t>–</w:t>
            </w:r>
          </w:p>
        </w:tc>
      </w:tr>
      <w:tr w:rsidR="00B02873" w:rsidRPr="00615EFA" w14:paraId="047191EA" w14:textId="77777777" w:rsidTr="005C2F55">
        <w:trPr>
          <w:trHeight w:val="60"/>
        </w:trPr>
        <w:tc>
          <w:tcPr>
            <w:tcW w:w="2541" w:type="dxa"/>
          </w:tcPr>
          <w:p w14:paraId="4DECA4A5" w14:textId="77777777" w:rsidR="00B02873" w:rsidRPr="00615EFA" w:rsidRDefault="00B02873" w:rsidP="00615EFA">
            <w:pPr>
              <w:pStyle w:val="TablebodyleftFinancialsTables"/>
              <w:rPr>
                <w:rFonts w:asciiTheme="minorHAnsi" w:hAnsiTheme="minorHAnsi" w:cstheme="minorHAnsi"/>
                <w:sz w:val="18"/>
                <w:szCs w:val="14"/>
              </w:rPr>
            </w:pPr>
            <w:r w:rsidRPr="00615EFA">
              <w:rPr>
                <w:rFonts w:asciiTheme="minorHAnsi" w:hAnsiTheme="minorHAnsi" w:cstheme="minorHAnsi"/>
                <w:sz w:val="18"/>
                <w:szCs w:val="14"/>
              </w:rPr>
              <w:t>Prepayments</w:t>
            </w:r>
          </w:p>
        </w:tc>
        <w:tc>
          <w:tcPr>
            <w:tcW w:w="1135" w:type="dxa"/>
          </w:tcPr>
          <w:p w14:paraId="0A751BB8" w14:textId="77777777" w:rsidR="00B02873" w:rsidRPr="00615EFA" w:rsidRDefault="00B02873" w:rsidP="005C2F55">
            <w:pPr>
              <w:pStyle w:val="TablebodyleftFinancialsTables"/>
              <w:jc w:val="right"/>
              <w:rPr>
                <w:rFonts w:asciiTheme="minorHAnsi" w:hAnsiTheme="minorHAnsi" w:cstheme="minorHAnsi"/>
                <w:sz w:val="18"/>
                <w:szCs w:val="14"/>
              </w:rPr>
            </w:pPr>
            <w:r w:rsidRPr="00615EFA">
              <w:rPr>
                <w:rFonts w:asciiTheme="minorHAnsi" w:hAnsiTheme="minorHAnsi" w:cstheme="minorHAnsi"/>
                <w:sz w:val="18"/>
                <w:szCs w:val="14"/>
              </w:rPr>
              <w:t>547</w:t>
            </w:r>
          </w:p>
        </w:tc>
        <w:tc>
          <w:tcPr>
            <w:tcW w:w="1191" w:type="dxa"/>
          </w:tcPr>
          <w:p w14:paraId="49B52A26" w14:textId="77777777" w:rsidR="00B02873" w:rsidRPr="00615EFA" w:rsidRDefault="00B02873" w:rsidP="005C2F55">
            <w:pPr>
              <w:pStyle w:val="TablebodyleftFinancialsTables"/>
              <w:jc w:val="right"/>
              <w:rPr>
                <w:rFonts w:asciiTheme="minorHAnsi" w:hAnsiTheme="minorHAnsi" w:cstheme="minorHAnsi"/>
                <w:sz w:val="18"/>
                <w:szCs w:val="14"/>
              </w:rPr>
            </w:pPr>
            <w:r w:rsidRPr="00615EFA">
              <w:rPr>
                <w:rFonts w:asciiTheme="minorHAnsi" w:hAnsiTheme="minorHAnsi" w:cstheme="minorHAnsi"/>
                <w:sz w:val="18"/>
                <w:szCs w:val="14"/>
              </w:rPr>
              <w:t>566</w:t>
            </w:r>
          </w:p>
        </w:tc>
        <w:tc>
          <w:tcPr>
            <w:tcW w:w="1217" w:type="dxa"/>
          </w:tcPr>
          <w:p w14:paraId="461ED882" w14:textId="77777777" w:rsidR="00B02873" w:rsidRPr="00615EFA" w:rsidRDefault="00B02873" w:rsidP="005C2F55">
            <w:pPr>
              <w:pStyle w:val="TablebodyleftFinancialsTables"/>
              <w:jc w:val="right"/>
              <w:rPr>
                <w:rFonts w:asciiTheme="minorHAnsi" w:hAnsiTheme="minorHAnsi" w:cstheme="minorHAnsi"/>
                <w:sz w:val="18"/>
                <w:szCs w:val="14"/>
              </w:rPr>
            </w:pPr>
            <w:r w:rsidRPr="00615EFA">
              <w:rPr>
                <w:rFonts w:asciiTheme="minorHAnsi" w:hAnsiTheme="minorHAnsi" w:cstheme="minorHAnsi"/>
                <w:sz w:val="18"/>
                <w:szCs w:val="14"/>
              </w:rPr>
              <w:t>263</w:t>
            </w:r>
          </w:p>
        </w:tc>
        <w:tc>
          <w:tcPr>
            <w:tcW w:w="1217" w:type="dxa"/>
          </w:tcPr>
          <w:p w14:paraId="2864D1DD" w14:textId="77777777" w:rsidR="00B02873" w:rsidRPr="00615EFA" w:rsidRDefault="00B02873" w:rsidP="005C2F55">
            <w:pPr>
              <w:pStyle w:val="TablebodyleftFinancialsTables"/>
              <w:jc w:val="right"/>
              <w:rPr>
                <w:rFonts w:asciiTheme="minorHAnsi" w:hAnsiTheme="minorHAnsi" w:cstheme="minorHAnsi"/>
                <w:sz w:val="18"/>
                <w:szCs w:val="14"/>
              </w:rPr>
            </w:pPr>
            <w:r w:rsidRPr="00615EFA">
              <w:rPr>
                <w:rFonts w:asciiTheme="minorHAnsi" w:hAnsiTheme="minorHAnsi" w:cstheme="minorHAnsi"/>
                <w:sz w:val="18"/>
                <w:szCs w:val="14"/>
              </w:rPr>
              <w:t xml:space="preserve">413 </w:t>
            </w:r>
          </w:p>
        </w:tc>
        <w:tc>
          <w:tcPr>
            <w:tcW w:w="1402" w:type="dxa"/>
          </w:tcPr>
          <w:p w14:paraId="3ED3CE92" w14:textId="77777777" w:rsidR="00B02873" w:rsidRPr="00615EFA" w:rsidRDefault="00B02873" w:rsidP="005C2F55">
            <w:pPr>
              <w:pStyle w:val="TablebodyleftFinancialsTables"/>
              <w:jc w:val="right"/>
              <w:rPr>
                <w:rFonts w:asciiTheme="minorHAnsi" w:hAnsiTheme="minorHAnsi" w:cstheme="minorHAnsi"/>
                <w:sz w:val="18"/>
                <w:szCs w:val="14"/>
              </w:rPr>
            </w:pPr>
            <w:r w:rsidRPr="00615EFA">
              <w:rPr>
                <w:rFonts w:asciiTheme="minorHAnsi" w:hAnsiTheme="minorHAnsi" w:cstheme="minorHAnsi"/>
                <w:sz w:val="18"/>
                <w:szCs w:val="14"/>
              </w:rPr>
              <w:t xml:space="preserve"> (1)</w:t>
            </w:r>
          </w:p>
        </w:tc>
        <w:tc>
          <w:tcPr>
            <w:tcW w:w="1372" w:type="dxa"/>
          </w:tcPr>
          <w:p w14:paraId="5EA89539" w14:textId="77777777" w:rsidR="00B02873" w:rsidRPr="00615EFA" w:rsidRDefault="00B02873" w:rsidP="005C2F55">
            <w:pPr>
              <w:pStyle w:val="TablebodyleftFinancialsTables"/>
              <w:jc w:val="right"/>
              <w:rPr>
                <w:rFonts w:asciiTheme="minorHAnsi" w:hAnsiTheme="minorHAnsi" w:cstheme="minorHAnsi"/>
                <w:sz w:val="18"/>
                <w:szCs w:val="14"/>
              </w:rPr>
            </w:pPr>
            <w:r w:rsidRPr="00615EFA">
              <w:rPr>
                <w:rFonts w:asciiTheme="minorHAnsi" w:hAnsiTheme="minorHAnsi" w:cstheme="minorHAnsi"/>
                <w:sz w:val="18"/>
                <w:szCs w:val="14"/>
              </w:rPr>
              <w:t>–</w:t>
            </w:r>
          </w:p>
        </w:tc>
      </w:tr>
      <w:tr w:rsidR="00B02873" w:rsidRPr="00977548" w14:paraId="17A9FE1E" w14:textId="77777777" w:rsidTr="005C2F55">
        <w:trPr>
          <w:trHeight w:val="60"/>
        </w:trPr>
        <w:tc>
          <w:tcPr>
            <w:tcW w:w="2541" w:type="dxa"/>
          </w:tcPr>
          <w:p w14:paraId="13F76832" w14:textId="77777777" w:rsidR="00B02873" w:rsidRPr="00977548" w:rsidRDefault="00B02873" w:rsidP="00615EFA">
            <w:pPr>
              <w:pStyle w:val="TablebodyleftFinancialsTables"/>
              <w:rPr>
                <w:rFonts w:asciiTheme="minorHAnsi" w:hAnsiTheme="minorHAnsi" w:cstheme="minorHAnsi"/>
                <w:b/>
                <w:bCs/>
                <w:sz w:val="18"/>
                <w:szCs w:val="14"/>
              </w:rPr>
            </w:pPr>
            <w:r w:rsidRPr="00977548">
              <w:rPr>
                <w:rFonts w:asciiTheme="minorHAnsi" w:hAnsiTheme="minorHAnsi" w:cstheme="minorHAnsi"/>
                <w:b/>
                <w:bCs/>
                <w:sz w:val="18"/>
                <w:szCs w:val="14"/>
              </w:rPr>
              <w:t>Total non-financial assets</w:t>
            </w:r>
          </w:p>
        </w:tc>
        <w:tc>
          <w:tcPr>
            <w:tcW w:w="1135" w:type="dxa"/>
          </w:tcPr>
          <w:p w14:paraId="156503C2" w14:textId="77777777" w:rsidR="00B02873" w:rsidRPr="00977548" w:rsidRDefault="00B02873" w:rsidP="005C2F55">
            <w:pPr>
              <w:pStyle w:val="TablebodyleftFinancialsTables"/>
              <w:jc w:val="right"/>
              <w:rPr>
                <w:rFonts w:asciiTheme="minorHAnsi" w:hAnsiTheme="minorHAnsi" w:cstheme="minorHAnsi"/>
                <w:b/>
                <w:bCs/>
                <w:sz w:val="18"/>
                <w:szCs w:val="14"/>
              </w:rPr>
            </w:pPr>
            <w:r w:rsidRPr="00977548">
              <w:rPr>
                <w:rFonts w:asciiTheme="minorHAnsi" w:hAnsiTheme="minorHAnsi" w:cstheme="minorHAnsi"/>
                <w:b/>
                <w:bCs/>
                <w:sz w:val="18"/>
                <w:szCs w:val="14"/>
              </w:rPr>
              <w:t>187,697</w:t>
            </w:r>
          </w:p>
        </w:tc>
        <w:tc>
          <w:tcPr>
            <w:tcW w:w="1191" w:type="dxa"/>
          </w:tcPr>
          <w:p w14:paraId="5F4DE8CA" w14:textId="77777777" w:rsidR="00B02873" w:rsidRPr="00977548" w:rsidRDefault="00B02873" w:rsidP="005C2F55">
            <w:pPr>
              <w:pStyle w:val="TablebodyleftFinancialsTables"/>
              <w:jc w:val="right"/>
              <w:rPr>
                <w:rFonts w:asciiTheme="minorHAnsi" w:hAnsiTheme="minorHAnsi" w:cstheme="minorHAnsi"/>
                <w:b/>
                <w:bCs/>
                <w:sz w:val="18"/>
                <w:szCs w:val="14"/>
              </w:rPr>
            </w:pPr>
            <w:r w:rsidRPr="00977548">
              <w:rPr>
                <w:rFonts w:asciiTheme="minorHAnsi" w:hAnsiTheme="minorHAnsi" w:cstheme="minorHAnsi"/>
                <w:b/>
                <w:bCs/>
                <w:sz w:val="18"/>
                <w:szCs w:val="14"/>
              </w:rPr>
              <w:t xml:space="preserve">190,600 </w:t>
            </w:r>
          </w:p>
        </w:tc>
        <w:tc>
          <w:tcPr>
            <w:tcW w:w="1217" w:type="dxa"/>
          </w:tcPr>
          <w:p w14:paraId="4AE879E1" w14:textId="77777777" w:rsidR="00B02873" w:rsidRPr="00977548" w:rsidRDefault="00B02873" w:rsidP="005C2F55">
            <w:pPr>
              <w:pStyle w:val="TablebodyleftFinancialsTables"/>
              <w:jc w:val="right"/>
              <w:rPr>
                <w:rFonts w:asciiTheme="minorHAnsi" w:hAnsiTheme="minorHAnsi" w:cstheme="minorHAnsi"/>
                <w:b/>
                <w:bCs/>
                <w:sz w:val="18"/>
                <w:szCs w:val="14"/>
              </w:rPr>
            </w:pPr>
            <w:r w:rsidRPr="00977548">
              <w:rPr>
                <w:rFonts w:asciiTheme="minorHAnsi" w:hAnsiTheme="minorHAnsi" w:cstheme="minorHAnsi"/>
                <w:b/>
                <w:bCs/>
                <w:sz w:val="18"/>
                <w:szCs w:val="14"/>
              </w:rPr>
              <w:t>113,107</w:t>
            </w:r>
          </w:p>
        </w:tc>
        <w:tc>
          <w:tcPr>
            <w:tcW w:w="1217" w:type="dxa"/>
          </w:tcPr>
          <w:p w14:paraId="5398872D" w14:textId="77777777" w:rsidR="00B02873" w:rsidRPr="00977548" w:rsidRDefault="00B02873" w:rsidP="005C2F55">
            <w:pPr>
              <w:pStyle w:val="TablebodyleftFinancialsTables"/>
              <w:jc w:val="right"/>
              <w:rPr>
                <w:rFonts w:asciiTheme="minorHAnsi" w:hAnsiTheme="minorHAnsi" w:cstheme="minorHAnsi"/>
                <w:b/>
                <w:bCs/>
                <w:sz w:val="18"/>
                <w:szCs w:val="14"/>
              </w:rPr>
            </w:pPr>
            <w:r w:rsidRPr="00977548">
              <w:rPr>
                <w:rFonts w:asciiTheme="minorHAnsi" w:hAnsiTheme="minorHAnsi" w:cstheme="minorHAnsi"/>
                <w:b/>
                <w:bCs/>
                <w:sz w:val="18"/>
                <w:szCs w:val="14"/>
              </w:rPr>
              <w:t xml:space="preserve">77,957 </w:t>
            </w:r>
          </w:p>
        </w:tc>
        <w:tc>
          <w:tcPr>
            <w:tcW w:w="1402" w:type="dxa"/>
          </w:tcPr>
          <w:p w14:paraId="1D86AC68" w14:textId="77777777" w:rsidR="00B02873" w:rsidRPr="00977548" w:rsidRDefault="00B02873" w:rsidP="005C2F55">
            <w:pPr>
              <w:pStyle w:val="TablebodyleftFinancialsTables"/>
              <w:jc w:val="right"/>
              <w:rPr>
                <w:rFonts w:asciiTheme="minorHAnsi" w:hAnsiTheme="minorHAnsi" w:cstheme="minorHAnsi"/>
                <w:b/>
                <w:bCs/>
                <w:sz w:val="18"/>
                <w:szCs w:val="14"/>
              </w:rPr>
            </w:pPr>
            <w:r w:rsidRPr="00977548">
              <w:rPr>
                <w:rFonts w:asciiTheme="minorHAnsi" w:hAnsiTheme="minorHAnsi" w:cstheme="minorHAnsi"/>
                <w:b/>
                <w:bCs/>
                <w:sz w:val="18"/>
                <w:szCs w:val="14"/>
              </w:rPr>
              <w:t>(1)</w:t>
            </w:r>
          </w:p>
        </w:tc>
        <w:tc>
          <w:tcPr>
            <w:tcW w:w="1372" w:type="dxa"/>
          </w:tcPr>
          <w:p w14:paraId="5290CA34" w14:textId="77777777" w:rsidR="00B02873" w:rsidRPr="00977548" w:rsidRDefault="00B02873" w:rsidP="005C2F55">
            <w:pPr>
              <w:pStyle w:val="TablebodyleftFinancialsTables"/>
              <w:jc w:val="right"/>
              <w:rPr>
                <w:rFonts w:asciiTheme="minorHAnsi" w:hAnsiTheme="minorHAnsi" w:cstheme="minorHAnsi"/>
                <w:b/>
                <w:bCs/>
                <w:sz w:val="18"/>
                <w:szCs w:val="14"/>
              </w:rPr>
            </w:pPr>
            <w:r w:rsidRPr="00977548">
              <w:rPr>
                <w:rFonts w:asciiTheme="minorHAnsi" w:hAnsiTheme="minorHAnsi" w:cstheme="minorHAnsi"/>
                <w:b/>
                <w:bCs/>
                <w:sz w:val="18"/>
                <w:szCs w:val="14"/>
              </w:rPr>
              <w:t>–</w:t>
            </w:r>
          </w:p>
        </w:tc>
      </w:tr>
      <w:tr w:rsidR="00B02873" w:rsidRPr="00977548" w14:paraId="6753B37F" w14:textId="77777777" w:rsidTr="005C2F55">
        <w:trPr>
          <w:trHeight w:val="60"/>
        </w:trPr>
        <w:tc>
          <w:tcPr>
            <w:tcW w:w="2541" w:type="dxa"/>
          </w:tcPr>
          <w:p w14:paraId="6F86747A" w14:textId="77777777" w:rsidR="00B02873" w:rsidRPr="00977548" w:rsidRDefault="00B02873" w:rsidP="00615EFA">
            <w:pPr>
              <w:pStyle w:val="TablebodyleftFinancialsTables"/>
              <w:rPr>
                <w:rFonts w:asciiTheme="minorHAnsi" w:hAnsiTheme="minorHAnsi" w:cstheme="minorHAnsi"/>
                <w:b/>
                <w:bCs/>
                <w:sz w:val="18"/>
                <w:szCs w:val="14"/>
              </w:rPr>
            </w:pPr>
            <w:r w:rsidRPr="00977548">
              <w:rPr>
                <w:rFonts w:asciiTheme="minorHAnsi" w:hAnsiTheme="minorHAnsi" w:cstheme="minorHAnsi"/>
                <w:b/>
                <w:bCs/>
                <w:sz w:val="18"/>
                <w:szCs w:val="14"/>
              </w:rPr>
              <w:t>Total assets</w:t>
            </w:r>
          </w:p>
        </w:tc>
        <w:tc>
          <w:tcPr>
            <w:tcW w:w="1135" w:type="dxa"/>
          </w:tcPr>
          <w:p w14:paraId="142F5346" w14:textId="77777777" w:rsidR="00B02873" w:rsidRPr="00977548" w:rsidRDefault="00B02873" w:rsidP="005C2F55">
            <w:pPr>
              <w:pStyle w:val="TablebodyleftFinancialsTables"/>
              <w:jc w:val="right"/>
              <w:rPr>
                <w:rFonts w:asciiTheme="minorHAnsi" w:hAnsiTheme="minorHAnsi" w:cstheme="minorHAnsi"/>
                <w:b/>
                <w:bCs/>
                <w:sz w:val="18"/>
                <w:szCs w:val="14"/>
              </w:rPr>
            </w:pPr>
            <w:r w:rsidRPr="00977548">
              <w:rPr>
                <w:rFonts w:asciiTheme="minorHAnsi" w:hAnsiTheme="minorHAnsi" w:cstheme="minorHAnsi"/>
                <w:b/>
                <w:bCs/>
                <w:sz w:val="18"/>
                <w:szCs w:val="14"/>
              </w:rPr>
              <w:t>755,342</w:t>
            </w:r>
          </w:p>
        </w:tc>
        <w:tc>
          <w:tcPr>
            <w:tcW w:w="1191" w:type="dxa"/>
          </w:tcPr>
          <w:p w14:paraId="769A6E15" w14:textId="77777777" w:rsidR="00B02873" w:rsidRPr="00977548" w:rsidRDefault="00B02873" w:rsidP="005C2F55">
            <w:pPr>
              <w:pStyle w:val="TablebodyleftFinancialsTables"/>
              <w:jc w:val="right"/>
              <w:rPr>
                <w:rFonts w:asciiTheme="minorHAnsi" w:hAnsiTheme="minorHAnsi" w:cstheme="minorHAnsi"/>
                <w:b/>
                <w:bCs/>
                <w:sz w:val="18"/>
                <w:szCs w:val="14"/>
              </w:rPr>
            </w:pPr>
            <w:r w:rsidRPr="00977548">
              <w:rPr>
                <w:rFonts w:asciiTheme="minorHAnsi" w:hAnsiTheme="minorHAnsi" w:cstheme="minorHAnsi"/>
                <w:b/>
                <w:bCs/>
                <w:sz w:val="18"/>
                <w:szCs w:val="14"/>
              </w:rPr>
              <w:t xml:space="preserve">628,592 </w:t>
            </w:r>
          </w:p>
        </w:tc>
        <w:tc>
          <w:tcPr>
            <w:tcW w:w="1217" w:type="dxa"/>
          </w:tcPr>
          <w:p w14:paraId="1D7E0AAD" w14:textId="77777777" w:rsidR="00B02873" w:rsidRPr="00977548" w:rsidRDefault="00B02873" w:rsidP="005C2F55">
            <w:pPr>
              <w:pStyle w:val="TablebodyleftFinancialsTables"/>
              <w:jc w:val="right"/>
              <w:rPr>
                <w:rFonts w:asciiTheme="minorHAnsi" w:hAnsiTheme="minorHAnsi" w:cstheme="minorHAnsi"/>
                <w:b/>
                <w:bCs/>
                <w:sz w:val="18"/>
                <w:szCs w:val="14"/>
              </w:rPr>
            </w:pPr>
            <w:r w:rsidRPr="00977548">
              <w:rPr>
                <w:rFonts w:asciiTheme="minorHAnsi" w:hAnsiTheme="minorHAnsi" w:cstheme="minorHAnsi"/>
                <w:b/>
                <w:bCs/>
                <w:sz w:val="18"/>
                <w:szCs w:val="14"/>
              </w:rPr>
              <w:t>323,231</w:t>
            </w:r>
          </w:p>
        </w:tc>
        <w:tc>
          <w:tcPr>
            <w:tcW w:w="1217" w:type="dxa"/>
          </w:tcPr>
          <w:p w14:paraId="076C49D2" w14:textId="77777777" w:rsidR="00B02873" w:rsidRPr="00977548" w:rsidRDefault="00B02873" w:rsidP="005C2F55">
            <w:pPr>
              <w:pStyle w:val="TablebodyleftFinancialsTables"/>
              <w:jc w:val="right"/>
              <w:rPr>
                <w:rFonts w:asciiTheme="minorHAnsi" w:hAnsiTheme="minorHAnsi" w:cstheme="minorHAnsi"/>
                <w:b/>
                <w:bCs/>
                <w:sz w:val="18"/>
                <w:szCs w:val="14"/>
              </w:rPr>
            </w:pPr>
            <w:r w:rsidRPr="00977548">
              <w:rPr>
                <w:rFonts w:asciiTheme="minorHAnsi" w:hAnsiTheme="minorHAnsi" w:cstheme="minorHAnsi"/>
                <w:b/>
                <w:bCs/>
                <w:sz w:val="18"/>
                <w:szCs w:val="14"/>
              </w:rPr>
              <w:t xml:space="preserve">201,379 </w:t>
            </w:r>
          </w:p>
        </w:tc>
        <w:tc>
          <w:tcPr>
            <w:tcW w:w="1402" w:type="dxa"/>
          </w:tcPr>
          <w:p w14:paraId="6058AEE4" w14:textId="77777777" w:rsidR="00B02873" w:rsidRPr="00977548" w:rsidRDefault="00B02873" w:rsidP="005C2F55">
            <w:pPr>
              <w:pStyle w:val="TablebodyleftFinancialsTables"/>
              <w:jc w:val="right"/>
              <w:rPr>
                <w:rFonts w:asciiTheme="minorHAnsi" w:hAnsiTheme="minorHAnsi" w:cstheme="minorHAnsi"/>
                <w:b/>
                <w:bCs/>
                <w:sz w:val="18"/>
                <w:szCs w:val="14"/>
              </w:rPr>
            </w:pPr>
            <w:r w:rsidRPr="00977548">
              <w:rPr>
                <w:rFonts w:asciiTheme="minorHAnsi" w:hAnsiTheme="minorHAnsi" w:cstheme="minorHAnsi"/>
                <w:b/>
                <w:bCs/>
                <w:sz w:val="18"/>
                <w:szCs w:val="14"/>
              </w:rPr>
              <w:t>303,683</w:t>
            </w:r>
          </w:p>
        </w:tc>
        <w:tc>
          <w:tcPr>
            <w:tcW w:w="1372" w:type="dxa"/>
          </w:tcPr>
          <w:p w14:paraId="453A441C" w14:textId="77777777" w:rsidR="00B02873" w:rsidRPr="00977548" w:rsidRDefault="00B02873" w:rsidP="005C2F55">
            <w:pPr>
              <w:pStyle w:val="TablebodyleftFinancialsTables"/>
              <w:jc w:val="right"/>
              <w:rPr>
                <w:rFonts w:asciiTheme="minorHAnsi" w:hAnsiTheme="minorHAnsi" w:cstheme="minorHAnsi"/>
                <w:b/>
                <w:bCs/>
                <w:sz w:val="18"/>
                <w:szCs w:val="14"/>
              </w:rPr>
            </w:pPr>
            <w:r w:rsidRPr="00977548">
              <w:rPr>
                <w:rFonts w:asciiTheme="minorHAnsi" w:hAnsiTheme="minorHAnsi" w:cstheme="minorHAnsi"/>
                <w:b/>
                <w:bCs/>
                <w:sz w:val="18"/>
                <w:szCs w:val="14"/>
              </w:rPr>
              <w:t>491,723</w:t>
            </w:r>
          </w:p>
        </w:tc>
      </w:tr>
      <w:tr w:rsidR="005C2F55" w:rsidRPr="00977548" w14:paraId="2CA6727D" w14:textId="77777777" w:rsidTr="005C2F55">
        <w:trPr>
          <w:trHeight w:val="60"/>
        </w:trPr>
        <w:tc>
          <w:tcPr>
            <w:tcW w:w="2541" w:type="dxa"/>
          </w:tcPr>
          <w:p w14:paraId="723F1633" w14:textId="77777777" w:rsidR="005C2F55" w:rsidRPr="00977548" w:rsidRDefault="005C2F55" w:rsidP="005C2F55">
            <w:pPr>
              <w:pStyle w:val="TablebodyleftFinancialsTables"/>
              <w:rPr>
                <w:rFonts w:asciiTheme="minorHAnsi" w:hAnsiTheme="minorHAnsi" w:cstheme="minorHAnsi"/>
                <w:b/>
                <w:bCs/>
                <w:sz w:val="18"/>
                <w:szCs w:val="14"/>
              </w:rPr>
            </w:pPr>
            <w:r w:rsidRPr="00977548">
              <w:rPr>
                <w:rFonts w:asciiTheme="minorHAnsi" w:hAnsiTheme="minorHAnsi" w:cstheme="minorHAnsi"/>
                <w:b/>
                <w:bCs/>
                <w:sz w:val="18"/>
                <w:szCs w:val="14"/>
              </w:rPr>
              <w:t>Liabilities</w:t>
            </w:r>
          </w:p>
        </w:tc>
        <w:tc>
          <w:tcPr>
            <w:tcW w:w="1135" w:type="dxa"/>
          </w:tcPr>
          <w:p w14:paraId="79439D98" w14:textId="77777777" w:rsidR="005C2F55" w:rsidRPr="00977548" w:rsidRDefault="005C2F55" w:rsidP="005C2F55">
            <w:pPr>
              <w:pStyle w:val="TablebodyleftFinancialsTables"/>
              <w:rPr>
                <w:rFonts w:asciiTheme="minorHAnsi" w:hAnsiTheme="minorHAnsi" w:cstheme="minorHAnsi"/>
                <w:b/>
                <w:bCs/>
                <w:sz w:val="18"/>
                <w:szCs w:val="14"/>
              </w:rPr>
            </w:pPr>
          </w:p>
        </w:tc>
        <w:tc>
          <w:tcPr>
            <w:tcW w:w="1191" w:type="dxa"/>
          </w:tcPr>
          <w:p w14:paraId="3201B659" w14:textId="77777777" w:rsidR="005C2F55" w:rsidRPr="00977548" w:rsidRDefault="005C2F55" w:rsidP="005C2F55">
            <w:pPr>
              <w:pStyle w:val="TablebodyleftFinancialsTables"/>
              <w:rPr>
                <w:rFonts w:asciiTheme="minorHAnsi" w:hAnsiTheme="minorHAnsi" w:cstheme="minorHAnsi"/>
                <w:b/>
                <w:bCs/>
                <w:sz w:val="18"/>
                <w:szCs w:val="14"/>
              </w:rPr>
            </w:pPr>
          </w:p>
        </w:tc>
        <w:tc>
          <w:tcPr>
            <w:tcW w:w="1217" w:type="dxa"/>
          </w:tcPr>
          <w:p w14:paraId="06BD3DFE" w14:textId="77777777" w:rsidR="005C2F55" w:rsidRPr="00977548" w:rsidRDefault="005C2F55" w:rsidP="005C2F55">
            <w:pPr>
              <w:pStyle w:val="TablebodyleftFinancialsTables"/>
              <w:rPr>
                <w:rFonts w:asciiTheme="minorHAnsi" w:hAnsiTheme="minorHAnsi" w:cstheme="minorHAnsi"/>
                <w:b/>
                <w:bCs/>
                <w:sz w:val="18"/>
                <w:szCs w:val="14"/>
              </w:rPr>
            </w:pPr>
          </w:p>
        </w:tc>
        <w:tc>
          <w:tcPr>
            <w:tcW w:w="1217" w:type="dxa"/>
          </w:tcPr>
          <w:p w14:paraId="24FFDB98" w14:textId="77777777" w:rsidR="005C2F55" w:rsidRPr="00977548" w:rsidRDefault="005C2F55" w:rsidP="005C2F55">
            <w:pPr>
              <w:pStyle w:val="TablebodyleftFinancialsTables"/>
              <w:rPr>
                <w:rFonts w:asciiTheme="minorHAnsi" w:hAnsiTheme="minorHAnsi" w:cstheme="minorHAnsi"/>
                <w:b/>
                <w:bCs/>
                <w:sz w:val="18"/>
                <w:szCs w:val="14"/>
              </w:rPr>
            </w:pPr>
          </w:p>
        </w:tc>
        <w:tc>
          <w:tcPr>
            <w:tcW w:w="1402" w:type="dxa"/>
          </w:tcPr>
          <w:p w14:paraId="0698110B" w14:textId="77777777" w:rsidR="005C2F55" w:rsidRPr="00977548" w:rsidRDefault="005C2F55" w:rsidP="005C2F55">
            <w:pPr>
              <w:pStyle w:val="TablebodyleftFinancialsTables"/>
              <w:rPr>
                <w:rFonts w:asciiTheme="minorHAnsi" w:hAnsiTheme="minorHAnsi" w:cstheme="minorHAnsi"/>
                <w:b/>
                <w:bCs/>
                <w:sz w:val="18"/>
                <w:szCs w:val="14"/>
              </w:rPr>
            </w:pPr>
          </w:p>
        </w:tc>
        <w:tc>
          <w:tcPr>
            <w:tcW w:w="1372" w:type="dxa"/>
          </w:tcPr>
          <w:p w14:paraId="1119FA5D" w14:textId="0069B486" w:rsidR="005C2F55" w:rsidRPr="00977548" w:rsidRDefault="005C2F55" w:rsidP="005C2F55">
            <w:pPr>
              <w:pStyle w:val="TablebodyleftFinancialsTables"/>
              <w:rPr>
                <w:rFonts w:asciiTheme="minorHAnsi" w:hAnsiTheme="minorHAnsi" w:cstheme="minorHAnsi"/>
                <w:b/>
                <w:bCs/>
                <w:sz w:val="18"/>
                <w:szCs w:val="14"/>
              </w:rPr>
            </w:pPr>
          </w:p>
        </w:tc>
      </w:tr>
      <w:tr w:rsidR="00B02873" w:rsidRPr="00615EFA" w14:paraId="5188D50A" w14:textId="77777777" w:rsidTr="005C2F55">
        <w:trPr>
          <w:trHeight w:val="60"/>
        </w:trPr>
        <w:tc>
          <w:tcPr>
            <w:tcW w:w="2541" w:type="dxa"/>
          </w:tcPr>
          <w:p w14:paraId="088301CD" w14:textId="77777777" w:rsidR="00B02873" w:rsidRPr="00615EFA" w:rsidRDefault="00B02873" w:rsidP="00615EFA">
            <w:pPr>
              <w:pStyle w:val="TablebodyleftFinancialsTables"/>
              <w:rPr>
                <w:rFonts w:asciiTheme="minorHAnsi" w:hAnsiTheme="minorHAnsi" w:cstheme="minorHAnsi"/>
                <w:sz w:val="18"/>
                <w:szCs w:val="14"/>
              </w:rPr>
            </w:pPr>
            <w:r w:rsidRPr="00615EFA">
              <w:rPr>
                <w:rFonts w:asciiTheme="minorHAnsi" w:hAnsiTheme="minorHAnsi" w:cstheme="minorHAnsi"/>
                <w:sz w:val="18"/>
                <w:szCs w:val="14"/>
              </w:rPr>
              <w:t>Payables</w:t>
            </w:r>
          </w:p>
        </w:tc>
        <w:tc>
          <w:tcPr>
            <w:tcW w:w="1135" w:type="dxa"/>
          </w:tcPr>
          <w:p w14:paraId="24E8C787" w14:textId="77777777" w:rsidR="00B02873" w:rsidRPr="00615EFA" w:rsidRDefault="00B02873" w:rsidP="005C2F55">
            <w:pPr>
              <w:pStyle w:val="TablebodyleftFinancialsTables"/>
              <w:jc w:val="right"/>
              <w:rPr>
                <w:rFonts w:asciiTheme="minorHAnsi" w:hAnsiTheme="minorHAnsi" w:cstheme="minorHAnsi"/>
                <w:sz w:val="18"/>
                <w:szCs w:val="14"/>
              </w:rPr>
            </w:pPr>
            <w:r w:rsidRPr="00615EFA">
              <w:rPr>
                <w:rFonts w:asciiTheme="minorHAnsi" w:hAnsiTheme="minorHAnsi" w:cstheme="minorHAnsi"/>
                <w:sz w:val="18"/>
                <w:szCs w:val="14"/>
              </w:rPr>
              <w:t>10,424</w:t>
            </w:r>
          </w:p>
        </w:tc>
        <w:tc>
          <w:tcPr>
            <w:tcW w:w="1191" w:type="dxa"/>
          </w:tcPr>
          <w:p w14:paraId="113B4669" w14:textId="77777777" w:rsidR="00B02873" w:rsidRPr="00615EFA" w:rsidRDefault="00B02873" w:rsidP="005C2F55">
            <w:pPr>
              <w:pStyle w:val="TablebodyleftFinancialsTables"/>
              <w:jc w:val="right"/>
              <w:rPr>
                <w:rFonts w:asciiTheme="minorHAnsi" w:hAnsiTheme="minorHAnsi" w:cstheme="minorHAnsi"/>
                <w:sz w:val="18"/>
                <w:szCs w:val="14"/>
              </w:rPr>
            </w:pPr>
            <w:r w:rsidRPr="00615EFA">
              <w:rPr>
                <w:rFonts w:asciiTheme="minorHAnsi" w:hAnsiTheme="minorHAnsi" w:cstheme="minorHAnsi"/>
                <w:sz w:val="18"/>
                <w:szCs w:val="14"/>
              </w:rPr>
              <w:t>12,304</w:t>
            </w:r>
          </w:p>
        </w:tc>
        <w:tc>
          <w:tcPr>
            <w:tcW w:w="1217" w:type="dxa"/>
          </w:tcPr>
          <w:p w14:paraId="2A08DEBF" w14:textId="77777777" w:rsidR="00B02873" w:rsidRPr="00615EFA" w:rsidRDefault="00B02873" w:rsidP="005C2F55">
            <w:pPr>
              <w:pStyle w:val="TablebodyleftFinancialsTables"/>
              <w:jc w:val="right"/>
              <w:rPr>
                <w:rFonts w:asciiTheme="minorHAnsi" w:hAnsiTheme="minorHAnsi" w:cstheme="minorHAnsi"/>
                <w:sz w:val="18"/>
                <w:szCs w:val="14"/>
              </w:rPr>
            </w:pPr>
            <w:r w:rsidRPr="00615EFA">
              <w:rPr>
                <w:rFonts w:asciiTheme="minorHAnsi" w:hAnsiTheme="minorHAnsi" w:cstheme="minorHAnsi"/>
                <w:sz w:val="18"/>
                <w:szCs w:val="14"/>
              </w:rPr>
              <w:t>7,692</w:t>
            </w:r>
          </w:p>
        </w:tc>
        <w:tc>
          <w:tcPr>
            <w:tcW w:w="1217" w:type="dxa"/>
          </w:tcPr>
          <w:p w14:paraId="31560C7F" w14:textId="77777777" w:rsidR="00B02873" w:rsidRPr="00615EFA" w:rsidRDefault="00B02873" w:rsidP="005C2F55">
            <w:pPr>
              <w:pStyle w:val="TablebodyleftFinancialsTables"/>
              <w:jc w:val="right"/>
              <w:rPr>
                <w:rFonts w:asciiTheme="minorHAnsi" w:hAnsiTheme="minorHAnsi" w:cstheme="minorHAnsi"/>
                <w:sz w:val="18"/>
                <w:szCs w:val="14"/>
              </w:rPr>
            </w:pPr>
            <w:r w:rsidRPr="00615EFA">
              <w:rPr>
                <w:rFonts w:asciiTheme="minorHAnsi" w:hAnsiTheme="minorHAnsi" w:cstheme="minorHAnsi"/>
                <w:sz w:val="18"/>
                <w:szCs w:val="14"/>
              </w:rPr>
              <w:t>8,449</w:t>
            </w:r>
          </w:p>
        </w:tc>
        <w:tc>
          <w:tcPr>
            <w:tcW w:w="1402" w:type="dxa"/>
          </w:tcPr>
          <w:p w14:paraId="4D2A2613" w14:textId="77777777" w:rsidR="00B02873" w:rsidRPr="00615EFA" w:rsidRDefault="00B02873" w:rsidP="005C2F55">
            <w:pPr>
              <w:pStyle w:val="TablebodyleftFinancialsTables"/>
              <w:jc w:val="right"/>
              <w:rPr>
                <w:rFonts w:asciiTheme="minorHAnsi" w:hAnsiTheme="minorHAnsi" w:cstheme="minorHAnsi"/>
                <w:sz w:val="18"/>
                <w:szCs w:val="14"/>
              </w:rPr>
            </w:pPr>
            <w:r w:rsidRPr="00615EFA">
              <w:rPr>
                <w:rFonts w:asciiTheme="minorHAnsi" w:hAnsiTheme="minorHAnsi" w:cstheme="minorHAnsi"/>
                <w:sz w:val="18"/>
                <w:szCs w:val="14"/>
              </w:rPr>
              <w:t>41,130</w:t>
            </w:r>
          </w:p>
        </w:tc>
        <w:tc>
          <w:tcPr>
            <w:tcW w:w="1372" w:type="dxa"/>
          </w:tcPr>
          <w:p w14:paraId="65037ABF" w14:textId="77777777" w:rsidR="00B02873" w:rsidRPr="00615EFA" w:rsidRDefault="00B02873" w:rsidP="005C2F55">
            <w:pPr>
              <w:pStyle w:val="TablebodyleftFinancialsTables"/>
              <w:jc w:val="right"/>
              <w:rPr>
                <w:rFonts w:asciiTheme="minorHAnsi" w:hAnsiTheme="minorHAnsi" w:cstheme="minorHAnsi"/>
                <w:sz w:val="18"/>
                <w:szCs w:val="14"/>
              </w:rPr>
            </w:pPr>
            <w:r w:rsidRPr="00615EFA">
              <w:rPr>
                <w:rFonts w:asciiTheme="minorHAnsi" w:hAnsiTheme="minorHAnsi" w:cstheme="minorHAnsi"/>
                <w:sz w:val="18"/>
                <w:szCs w:val="14"/>
              </w:rPr>
              <w:t>60,175</w:t>
            </w:r>
          </w:p>
        </w:tc>
      </w:tr>
      <w:tr w:rsidR="005C2F55" w:rsidRPr="00615EFA" w14:paraId="453F1B6B" w14:textId="77777777" w:rsidTr="005C2F55">
        <w:trPr>
          <w:trHeight w:val="60"/>
        </w:trPr>
        <w:tc>
          <w:tcPr>
            <w:tcW w:w="2541" w:type="dxa"/>
          </w:tcPr>
          <w:p w14:paraId="0961D0CE" w14:textId="77777777" w:rsidR="00B02873" w:rsidRPr="00615EFA" w:rsidRDefault="00B02873" w:rsidP="00615EFA">
            <w:pPr>
              <w:pStyle w:val="TablebodyleftFinancialsTables"/>
              <w:rPr>
                <w:rFonts w:asciiTheme="minorHAnsi" w:hAnsiTheme="minorHAnsi" w:cstheme="minorHAnsi"/>
                <w:sz w:val="18"/>
                <w:szCs w:val="14"/>
              </w:rPr>
            </w:pPr>
            <w:r w:rsidRPr="00615EFA">
              <w:rPr>
                <w:rFonts w:asciiTheme="minorHAnsi" w:hAnsiTheme="minorHAnsi" w:cstheme="minorHAnsi"/>
                <w:sz w:val="18"/>
                <w:szCs w:val="14"/>
              </w:rPr>
              <w:t>Other financial liabilities</w:t>
            </w:r>
          </w:p>
        </w:tc>
        <w:tc>
          <w:tcPr>
            <w:tcW w:w="1135" w:type="dxa"/>
          </w:tcPr>
          <w:p w14:paraId="08941F18" w14:textId="77777777" w:rsidR="00B02873" w:rsidRPr="00615EFA" w:rsidRDefault="00B02873" w:rsidP="005C2F55">
            <w:pPr>
              <w:pStyle w:val="TablebodyleftFinancialsTables"/>
              <w:jc w:val="right"/>
              <w:rPr>
                <w:rFonts w:asciiTheme="minorHAnsi" w:hAnsiTheme="minorHAnsi" w:cstheme="minorHAnsi"/>
                <w:sz w:val="18"/>
                <w:szCs w:val="14"/>
              </w:rPr>
            </w:pPr>
            <w:r w:rsidRPr="00615EFA">
              <w:rPr>
                <w:rFonts w:asciiTheme="minorHAnsi" w:hAnsiTheme="minorHAnsi" w:cstheme="minorHAnsi"/>
                <w:sz w:val="18"/>
                <w:szCs w:val="14"/>
              </w:rPr>
              <w:t>–</w:t>
            </w:r>
          </w:p>
        </w:tc>
        <w:tc>
          <w:tcPr>
            <w:tcW w:w="1191" w:type="dxa"/>
          </w:tcPr>
          <w:p w14:paraId="35798E4C" w14:textId="77777777" w:rsidR="00B02873" w:rsidRPr="00615EFA" w:rsidRDefault="00B02873" w:rsidP="005C2F55">
            <w:pPr>
              <w:pStyle w:val="TablebodyleftFinancialsTables"/>
              <w:jc w:val="right"/>
              <w:rPr>
                <w:rFonts w:asciiTheme="minorHAnsi" w:hAnsiTheme="minorHAnsi" w:cstheme="minorHAnsi"/>
                <w:sz w:val="18"/>
                <w:szCs w:val="14"/>
              </w:rPr>
            </w:pPr>
            <w:r w:rsidRPr="00615EFA">
              <w:rPr>
                <w:rFonts w:asciiTheme="minorHAnsi" w:hAnsiTheme="minorHAnsi" w:cstheme="minorHAnsi"/>
                <w:sz w:val="18"/>
                <w:szCs w:val="14"/>
              </w:rPr>
              <w:t>–</w:t>
            </w:r>
          </w:p>
        </w:tc>
        <w:tc>
          <w:tcPr>
            <w:tcW w:w="1217" w:type="dxa"/>
          </w:tcPr>
          <w:p w14:paraId="1354C464" w14:textId="77777777" w:rsidR="00B02873" w:rsidRPr="00615EFA" w:rsidRDefault="00B02873" w:rsidP="005C2F55">
            <w:pPr>
              <w:pStyle w:val="TablebodyleftFinancialsTables"/>
              <w:jc w:val="right"/>
              <w:rPr>
                <w:rFonts w:asciiTheme="minorHAnsi" w:hAnsiTheme="minorHAnsi" w:cstheme="minorHAnsi"/>
                <w:sz w:val="18"/>
                <w:szCs w:val="14"/>
              </w:rPr>
            </w:pPr>
            <w:r w:rsidRPr="00615EFA">
              <w:rPr>
                <w:rFonts w:asciiTheme="minorHAnsi" w:hAnsiTheme="minorHAnsi" w:cstheme="minorHAnsi"/>
                <w:sz w:val="18"/>
                <w:szCs w:val="14"/>
              </w:rPr>
              <w:t>–</w:t>
            </w:r>
          </w:p>
        </w:tc>
        <w:tc>
          <w:tcPr>
            <w:tcW w:w="1217" w:type="dxa"/>
          </w:tcPr>
          <w:p w14:paraId="35FEEE72" w14:textId="77777777" w:rsidR="00B02873" w:rsidRPr="00615EFA" w:rsidRDefault="00B02873" w:rsidP="005C2F55">
            <w:pPr>
              <w:pStyle w:val="TablebodyleftFinancialsTables"/>
              <w:jc w:val="right"/>
              <w:rPr>
                <w:rFonts w:asciiTheme="minorHAnsi" w:hAnsiTheme="minorHAnsi" w:cstheme="minorHAnsi"/>
                <w:sz w:val="18"/>
                <w:szCs w:val="14"/>
              </w:rPr>
            </w:pPr>
            <w:r w:rsidRPr="00615EFA">
              <w:rPr>
                <w:rFonts w:asciiTheme="minorHAnsi" w:hAnsiTheme="minorHAnsi" w:cstheme="minorHAnsi"/>
                <w:sz w:val="18"/>
                <w:szCs w:val="14"/>
              </w:rPr>
              <w:t>–</w:t>
            </w:r>
          </w:p>
        </w:tc>
        <w:tc>
          <w:tcPr>
            <w:tcW w:w="1402" w:type="dxa"/>
          </w:tcPr>
          <w:p w14:paraId="100E5526" w14:textId="77777777" w:rsidR="00B02873" w:rsidRPr="00615EFA" w:rsidRDefault="00B02873" w:rsidP="005C2F55">
            <w:pPr>
              <w:pStyle w:val="TablebodyleftFinancialsTables"/>
              <w:jc w:val="right"/>
              <w:rPr>
                <w:rFonts w:asciiTheme="minorHAnsi" w:hAnsiTheme="minorHAnsi" w:cstheme="minorHAnsi"/>
                <w:sz w:val="18"/>
                <w:szCs w:val="14"/>
              </w:rPr>
            </w:pPr>
            <w:r w:rsidRPr="00615EFA">
              <w:rPr>
                <w:rFonts w:asciiTheme="minorHAnsi" w:hAnsiTheme="minorHAnsi" w:cstheme="minorHAnsi"/>
                <w:sz w:val="18"/>
                <w:szCs w:val="14"/>
              </w:rPr>
              <w:t>–</w:t>
            </w:r>
          </w:p>
        </w:tc>
        <w:tc>
          <w:tcPr>
            <w:tcW w:w="1372" w:type="dxa"/>
          </w:tcPr>
          <w:p w14:paraId="10E53C18" w14:textId="77777777" w:rsidR="00B02873" w:rsidRPr="00615EFA" w:rsidRDefault="00B02873" w:rsidP="005C2F55">
            <w:pPr>
              <w:pStyle w:val="TablebodyleftFinancialsTables"/>
              <w:jc w:val="right"/>
              <w:rPr>
                <w:rFonts w:asciiTheme="minorHAnsi" w:hAnsiTheme="minorHAnsi" w:cstheme="minorHAnsi"/>
                <w:sz w:val="18"/>
                <w:szCs w:val="14"/>
              </w:rPr>
            </w:pPr>
            <w:r w:rsidRPr="00615EFA">
              <w:rPr>
                <w:rFonts w:asciiTheme="minorHAnsi" w:hAnsiTheme="minorHAnsi" w:cstheme="minorHAnsi"/>
                <w:sz w:val="18"/>
                <w:szCs w:val="14"/>
              </w:rPr>
              <w:t>–</w:t>
            </w:r>
          </w:p>
        </w:tc>
      </w:tr>
      <w:tr w:rsidR="00B02873" w:rsidRPr="00615EFA" w14:paraId="34662F11" w14:textId="77777777" w:rsidTr="005C2F55">
        <w:trPr>
          <w:trHeight w:val="60"/>
        </w:trPr>
        <w:tc>
          <w:tcPr>
            <w:tcW w:w="2541" w:type="dxa"/>
          </w:tcPr>
          <w:p w14:paraId="210BA247" w14:textId="77777777" w:rsidR="00B02873" w:rsidRPr="00615EFA" w:rsidRDefault="00B02873" w:rsidP="00615EFA">
            <w:pPr>
              <w:pStyle w:val="TablebodyleftFinancialsTables"/>
              <w:rPr>
                <w:rFonts w:asciiTheme="minorHAnsi" w:hAnsiTheme="minorHAnsi" w:cstheme="minorHAnsi"/>
                <w:sz w:val="18"/>
                <w:szCs w:val="14"/>
              </w:rPr>
            </w:pPr>
            <w:r w:rsidRPr="00615EFA">
              <w:rPr>
                <w:rFonts w:asciiTheme="minorHAnsi" w:hAnsiTheme="minorHAnsi" w:cstheme="minorHAnsi"/>
                <w:sz w:val="18"/>
                <w:szCs w:val="14"/>
              </w:rPr>
              <w:t>Borrowings</w:t>
            </w:r>
          </w:p>
        </w:tc>
        <w:tc>
          <w:tcPr>
            <w:tcW w:w="1135" w:type="dxa"/>
          </w:tcPr>
          <w:p w14:paraId="565D3F6E" w14:textId="77777777" w:rsidR="00B02873" w:rsidRPr="00615EFA" w:rsidRDefault="00B02873" w:rsidP="005C2F55">
            <w:pPr>
              <w:pStyle w:val="TablebodyleftFinancialsTables"/>
              <w:jc w:val="right"/>
              <w:rPr>
                <w:rFonts w:asciiTheme="minorHAnsi" w:hAnsiTheme="minorHAnsi" w:cstheme="minorHAnsi"/>
                <w:sz w:val="18"/>
                <w:szCs w:val="14"/>
              </w:rPr>
            </w:pPr>
            <w:r w:rsidRPr="00615EFA">
              <w:rPr>
                <w:rFonts w:asciiTheme="minorHAnsi" w:hAnsiTheme="minorHAnsi" w:cstheme="minorHAnsi"/>
                <w:sz w:val="18"/>
                <w:szCs w:val="14"/>
              </w:rPr>
              <w:t>1,885</w:t>
            </w:r>
          </w:p>
        </w:tc>
        <w:tc>
          <w:tcPr>
            <w:tcW w:w="1191" w:type="dxa"/>
          </w:tcPr>
          <w:p w14:paraId="52573D4B" w14:textId="77777777" w:rsidR="00B02873" w:rsidRPr="00615EFA" w:rsidRDefault="00B02873" w:rsidP="005C2F55">
            <w:pPr>
              <w:pStyle w:val="TablebodyleftFinancialsTables"/>
              <w:jc w:val="right"/>
              <w:rPr>
                <w:rFonts w:asciiTheme="minorHAnsi" w:hAnsiTheme="minorHAnsi" w:cstheme="minorHAnsi"/>
                <w:sz w:val="18"/>
                <w:szCs w:val="14"/>
              </w:rPr>
            </w:pPr>
            <w:r w:rsidRPr="00615EFA">
              <w:rPr>
                <w:rFonts w:asciiTheme="minorHAnsi" w:hAnsiTheme="minorHAnsi" w:cstheme="minorHAnsi"/>
                <w:sz w:val="18"/>
                <w:szCs w:val="14"/>
              </w:rPr>
              <w:t>1,423</w:t>
            </w:r>
          </w:p>
        </w:tc>
        <w:tc>
          <w:tcPr>
            <w:tcW w:w="1217" w:type="dxa"/>
          </w:tcPr>
          <w:p w14:paraId="77D75A62" w14:textId="77777777" w:rsidR="00B02873" w:rsidRPr="00615EFA" w:rsidRDefault="00B02873" w:rsidP="005C2F55">
            <w:pPr>
              <w:pStyle w:val="TablebodyleftFinancialsTables"/>
              <w:jc w:val="right"/>
              <w:rPr>
                <w:rFonts w:asciiTheme="minorHAnsi" w:hAnsiTheme="minorHAnsi" w:cstheme="minorHAnsi"/>
                <w:sz w:val="18"/>
                <w:szCs w:val="14"/>
              </w:rPr>
            </w:pPr>
            <w:r w:rsidRPr="00615EFA">
              <w:rPr>
                <w:rFonts w:asciiTheme="minorHAnsi" w:hAnsiTheme="minorHAnsi" w:cstheme="minorHAnsi"/>
                <w:sz w:val="18"/>
                <w:szCs w:val="14"/>
              </w:rPr>
              <w:t>3,395</w:t>
            </w:r>
          </w:p>
        </w:tc>
        <w:tc>
          <w:tcPr>
            <w:tcW w:w="1217" w:type="dxa"/>
          </w:tcPr>
          <w:p w14:paraId="1BB35046" w14:textId="77777777" w:rsidR="00B02873" w:rsidRPr="00615EFA" w:rsidRDefault="00B02873" w:rsidP="005C2F55">
            <w:pPr>
              <w:pStyle w:val="TablebodyleftFinancialsTables"/>
              <w:jc w:val="right"/>
              <w:rPr>
                <w:rFonts w:asciiTheme="minorHAnsi" w:hAnsiTheme="minorHAnsi" w:cstheme="minorHAnsi"/>
                <w:sz w:val="18"/>
                <w:szCs w:val="14"/>
              </w:rPr>
            </w:pPr>
            <w:r w:rsidRPr="00615EFA">
              <w:rPr>
                <w:rFonts w:asciiTheme="minorHAnsi" w:hAnsiTheme="minorHAnsi" w:cstheme="minorHAnsi"/>
                <w:sz w:val="18"/>
                <w:szCs w:val="14"/>
              </w:rPr>
              <w:t>3,075</w:t>
            </w:r>
          </w:p>
        </w:tc>
        <w:tc>
          <w:tcPr>
            <w:tcW w:w="1402" w:type="dxa"/>
          </w:tcPr>
          <w:p w14:paraId="491B4BD8" w14:textId="77777777" w:rsidR="00B02873" w:rsidRPr="00615EFA" w:rsidRDefault="00B02873" w:rsidP="005C2F55">
            <w:pPr>
              <w:pStyle w:val="TablebodyleftFinancialsTables"/>
              <w:jc w:val="right"/>
              <w:rPr>
                <w:rFonts w:asciiTheme="minorHAnsi" w:hAnsiTheme="minorHAnsi" w:cstheme="minorHAnsi"/>
                <w:sz w:val="18"/>
                <w:szCs w:val="14"/>
              </w:rPr>
            </w:pPr>
            <w:r w:rsidRPr="00615EFA">
              <w:rPr>
                <w:rFonts w:asciiTheme="minorHAnsi" w:hAnsiTheme="minorHAnsi" w:cstheme="minorHAnsi"/>
                <w:sz w:val="18"/>
                <w:szCs w:val="14"/>
              </w:rPr>
              <w:t>–</w:t>
            </w:r>
          </w:p>
        </w:tc>
        <w:tc>
          <w:tcPr>
            <w:tcW w:w="1372" w:type="dxa"/>
          </w:tcPr>
          <w:p w14:paraId="37398313" w14:textId="77777777" w:rsidR="00B02873" w:rsidRPr="00615EFA" w:rsidRDefault="00B02873" w:rsidP="005C2F55">
            <w:pPr>
              <w:pStyle w:val="TablebodyleftFinancialsTables"/>
              <w:jc w:val="right"/>
              <w:rPr>
                <w:rFonts w:asciiTheme="minorHAnsi" w:hAnsiTheme="minorHAnsi" w:cstheme="minorHAnsi"/>
                <w:sz w:val="18"/>
                <w:szCs w:val="14"/>
              </w:rPr>
            </w:pPr>
            <w:r w:rsidRPr="00615EFA">
              <w:rPr>
                <w:rFonts w:asciiTheme="minorHAnsi" w:hAnsiTheme="minorHAnsi" w:cstheme="minorHAnsi"/>
                <w:sz w:val="18"/>
                <w:szCs w:val="14"/>
              </w:rPr>
              <w:t>–</w:t>
            </w:r>
          </w:p>
        </w:tc>
      </w:tr>
      <w:tr w:rsidR="005C2F55" w:rsidRPr="00615EFA" w14:paraId="7475E4E3" w14:textId="77777777" w:rsidTr="005C2F55">
        <w:trPr>
          <w:trHeight w:val="60"/>
        </w:trPr>
        <w:tc>
          <w:tcPr>
            <w:tcW w:w="2541" w:type="dxa"/>
          </w:tcPr>
          <w:p w14:paraId="4F287DBC" w14:textId="77777777" w:rsidR="00B02873" w:rsidRPr="00615EFA" w:rsidRDefault="00B02873" w:rsidP="00615EFA">
            <w:pPr>
              <w:pStyle w:val="TablebodyleftFinancialsTables"/>
              <w:rPr>
                <w:rFonts w:asciiTheme="minorHAnsi" w:hAnsiTheme="minorHAnsi" w:cstheme="minorHAnsi"/>
                <w:sz w:val="18"/>
                <w:szCs w:val="14"/>
              </w:rPr>
            </w:pPr>
            <w:r w:rsidRPr="00615EFA">
              <w:rPr>
                <w:rFonts w:asciiTheme="minorHAnsi" w:hAnsiTheme="minorHAnsi" w:cstheme="minorHAnsi"/>
                <w:sz w:val="18"/>
                <w:szCs w:val="14"/>
              </w:rPr>
              <w:t>Provisions</w:t>
            </w:r>
          </w:p>
        </w:tc>
        <w:tc>
          <w:tcPr>
            <w:tcW w:w="1135" w:type="dxa"/>
          </w:tcPr>
          <w:p w14:paraId="5F6C77FA" w14:textId="77777777" w:rsidR="00B02873" w:rsidRPr="00615EFA" w:rsidRDefault="00B02873" w:rsidP="005C2F55">
            <w:pPr>
              <w:pStyle w:val="TablebodyleftFinancialsTables"/>
              <w:jc w:val="right"/>
              <w:rPr>
                <w:rFonts w:asciiTheme="minorHAnsi" w:hAnsiTheme="minorHAnsi" w:cstheme="minorHAnsi"/>
                <w:sz w:val="18"/>
                <w:szCs w:val="14"/>
              </w:rPr>
            </w:pPr>
            <w:r w:rsidRPr="00615EFA">
              <w:rPr>
                <w:rFonts w:asciiTheme="minorHAnsi" w:hAnsiTheme="minorHAnsi" w:cstheme="minorHAnsi"/>
                <w:sz w:val="18"/>
                <w:szCs w:val="14"/>
              </w:rPr>
              <w:t>22,097</w:t>
            </w:r>
          </w:p>
        </w:tc>
        <w:tc>
          <w:tcPr>
            <w:tcW w:w="1191" w:type="dxa"/>
          </w:tcPr>
          <w:p w14:paraId="5F439420" w14:textId="77777777" w:rsidR="00B02873" w:rsidRPr="00615EFA" w:rsidRDefault="00B02873" w:rsidP="005C2F55">
            <w:pPr>
              <w:pStyle w:val="TablebodyleftFinancialsTables"/>
              <w:jc w:val="right"/>
              <w:rPr>
                <w:rFonts w:asciiTheme="minorHAnsi" w:hAnsiTheme="minorHAnsi" w:cstheme="minorHAnsi"/>
                <w:sz w:val="18"/>
                <w:szCs w:val="14"/>
              </w:rPr>
            </w:pPr>
            <w:r w:rsidRPr="00615EFA">
              <w:rPr>
                <w:rFonts w:asciiTheme="minorHAnsi" w:hAnsiTheme="minorHAnsi" w:cstheme="minorHAnsi"/>
                <w:sz w:val="18"/>
                <w:szCs w:val="14"/>
              </w:rPr>
              <w:t>18,076</w:t>
            </w:r>
          </w:p>
        </w:tc>
        <w:tc>
          <w:tcPr>
            <w:tcW w:w="1217" w:type="dxa"/>
          </w:tcPr>
          <w:p w14:paraId="3E967574" w14:textId="77777777" w:rsidR="00B02873" w:rsidRPr="00615EFA" w:rsidRDefault="00B02873" w:rsidP="005C2F55">
            <w:pPr>
              <w:pStyle w:val="TablebodyleftFinancialsTables"/>
              <w:jc w:val="right"/>
              <w:rPr>
                <w:rFonts w:asciiTheme="minorHAnsi" w:hAnsiTheme="minorHAnsi" w:cstheme="minorHAnsi"/>
                <w:sz w:val="18"/>
                <w:szCs w:val="14"/>
              </w:rPr>
            </w:pPr>
            <w:r w:rsidRPr="00615EFA">
              <w:rPr>
                <w:rFonts w:asciiTheme="minorHAnsi" w:hAnsiTheme="minorHAnsi" w:cstheme="minorHAnsi"/>
                <w:sz w:val="18"/>
                <w:szCs w:val="14"/>
              </w:rPr>
              <w:t>21,261</w:t>
            </w:r>
          </w:p>
        </w:tc>
        <w:tc>
          <w:tcPr>
            <w:tcW w:w="1217" w:type="dxa"/>
          </w:tcPr>
          <w:p w14:paraId="2D24B736" w14:textId="77777777" w:rsidR="00B02873" w:rsidRPr="00615EFA" w:rsidRDefault="00B02873" w:rsidP="005C2F55">
            <w:pPr>
              <w:pStyle w:val="TablebodyleftFinancialsTables"/>
              <w:jc w:val="right"/>
              <w:rPr>
                <w:rFonts w:asciiTheme="minorHAnsi" w:hAnsiTheme="minorHAnsi" w:cstheme="minorHAnsi"/>
                <w:sz w:val="18"/>
                <w:szCs w:val="14"/>
              </w:rPr>
            </w:pPr>
            <w:r w:rsidRPr="00615EFA">
              <w:rPr>
                <w:rFonts w:asciiTheme="minorHAnsi" w:hAnsiTheme="minorHAnsi" w:cstheme="minorHAnsi"/>
                <w:sz w:val="18"/>
                <w:szCs w:val="14"/>
              </w:rPr>
              <w:t>20,978</w:t>
            </w:r>
          </w:p>
        </w:tc>
        <w:tc>
          <w:tcPr>
            <w:tcW w:w="1402" w:type="dxa"/>
          </w:tcPr>
          <w:p w14:paraId="749564D0" w14:textId="309DDC65" w:rsidR="00B02873" w:rsidRPr="00615EFA" w:rsidRDefault="00012C04" w:rsidP="005C2F55">
            <w:pPr>
              <w:pStyle w:val="TablebodyleftFinancialsTables"/>
              <w:jc w:val="right"/>
              <w:rPr>
                <w:rFonts w:asciiTheme="minorHAnsi" w:hAnsiTheme="minorHAnsi" w:cstheme="minorHAnsi"/>
                <w:sz w:val="18"/>
                <w:szCs w:val="14"/>
              </w:rPr>
            </w:pPr>
            <w:r w:rsidRPr="00615EFA">
              <w:rPr>
                <w:rFonts w:asciiTheme="minorHAnsi" w:hAnsiTheme="minorHAnsi" w:cstheme="minorHAnsi"/>
                <w:sz w:val="18"/>
                <w:szCs w:val="14"/>
              </w:rPr>
              <w:t xml:space="preserve"> </w:t>
            </w:r>
            <w:r w:rsidR="00B02873" w:rsidRPr="00615EFA">
              <w:rPr>
                <w:rFonts w:asciiTheme="minorHAnsi" w:hAnsiTheme="minorHAnsi" w:cstheme="minorHAnsi"/>
                <w:sz w:val="18"/>
                <w:szCs w:val="14"/>
              </w:rPr>
              <w:t xml:space="preserve"> 136</w:t>
            </w:r>
          </w:p>
        </w:tc>
        <w:tc>
          <w:tcPr>
            <w:tcW w:w="1372" w:type="dxa"/>
          </w:tcPr>
          <w:p w14:paraId="2249635E" w14:textId="77777777" w:rsidR="00B02873" w:rsidRPr="00615EFA" w:rsidRDefault="00B02873" w:rsidP="005C2F55">
            <w:pPr>
              <w:pStyle w:val="TablebodyleftFinancialsTables"/>
              <w:jc w:val="right"/>
              <w:rPr>
                <w:rFonts w:asciiTheme="minorHAnsi" w:hAnsiTheme="minorHAnsi" w:cstheme="minorHAnsi"/>
                <w:sz w:val="18"/>
                <w:szCs w:val="14"/>
              </w:rPr>
            </w:pPr>
            <w:r w:rsidRPr="00615EFA">
              <w:rPr>
                <w:rFonts w:asciiTheme="minorHAnsi" w:hAnsiTheme="minorHAnsi" w:cstheme="minorHAnsi"/>
                <w:sz w:val="18"/>
                <w:szCs w:val="14"/>
              </w:rPr>
              <w:t>129</w:t>
            </w:r>
          </w:p>
        </w:tc>
      </w:tr>
      <w:tr w:rsidR="00B02873" w:rsidRPr="00615EFA" w14:paraId="640BDF81" w14:textId="77777777" w:rsidTr="005C2F55">
        <w:trPr>
          <w:trHeight w:val="60"/>
        </w:trPr>
        <w:tc>
          <w:tcPr>
            <w:tcW w:w="2541" w:type="dxa"/>
          </w:tcPr>
          <w:p w14:paraId="69DACD33" w14:textId="77777777" w:rsidR="00B02873" w:rsidRPr="00615EFA" w:rsidRDefault="00B02873" w:rsidP="00615EFA">
            <w:pPr>
              <w:pStyle w:val="TablebodyleftFinancialsTables"/>
              <w:rPr>
                <w:rFonts w:asciiTheme="minorHAnsi" w:hAnsiTheme="minorHAnsi" w:cstheme="minorHAnsi"/>
                <w:sz w:val="18"/>
                <w:szCs w:val="14"/>
              </w:rPr>
            </w:pPr>
            <w:r w:rsidRPr="00615EFA">
              <w:rPr>
                <w:rFonts w:asciiTheme="minorHAnsi" w:hAnsiTheme="minorHAnsi" w:cstheme="minorHAnsi"/>
                <w:spacing w:val="-2"/>
                <w:sz w:val="18"/>
                <w:szCs w:val="14"/>
              </w:rPr>
              <w:t>Derivative financial instruments</w:t>
            </w:r>
          </w:p>
        </w:tc>
        <w:tc>
          <w:tcPr>
            <w:tcW w:w="1135" w:type="dxa"/>
          </w:tcPr>
          <w:p w14:paraId="09FF1DBC" w14:textId="77777777" w:rsidR="00B02873" w:rsidRPr="00615EFA" w:rsidRDefault="00B02873" w:rsidP="005C2F55">
            <w:pPr>
              <w:pStyle w:val="TablebodyleftFinancialsTables"/>
              <w:jc w:val="right"/>
              <w:rPr>
                <w:rFonts w:asciiTheme="minorHAnsi" w:hAnsiTheme="minorHAnsi" w:cstheme="minorHAnsi"/>
                <w:sz w:val="18"/>
                <w:szCs w:val="14"/>
              </w:rPr>
            </w:pPr>
            <w:r w:rsidRPr="00615EFA">
              <w:rPr>
                <w:rFonts w:asciiTheme="minorHAnsi" w:hAnsiTheme="minorHAnsi" w:cstheme="minorHAnsi"/>
                <w:sz w:val="18"/>
                <w:szCs w:val="14"/>
              </w:rPr>
              <w:t>–</w:t>
            </w:r>
          </w:p>
        </w:tc>
        <w:tc>
          <w:tcPr>
            <w:tcW w:w="1191" w:type="dxa"/>
          </w:tcPr>
          <w:p w14:paraId="1B24609C" w14:textId="77777777" w:rsidR="00B02873" w:rsidRPr="00615EFA" w:rsidRDefault="00B02873" w:rsidP="005C2F55">
            <w:pPr>
              <w:pStyle w:val="TablebodyleftFinancialsTables"/>
              <w:jc w:val="right"/>
              <w:rPr>
                <w:rFonts w:asciiTheme="minorHAnsi" w:hAnsiTheme="minorHAnsi" w:cstheme="minorHAnsi"/>
                <w:sz w:val="18"/>
                <w:szCs w:val="14"/>
              </w:rPr>
            </w:pPr>
            <w:r w:rsidRPr="00615EFA">
              <w:rPr>
                <w:rFonts w:asciiTheme="minorHAnsi" w:hAnsiTheme="minorHAnsi" w:cstheme="minorHAnsi"/>
                <w:sz w:val="18"/>
                <w:szCs w:val="14"/>
              </w:rPr>
              <w:t>–</w:t>
            </w:r>
          </w:p>
        </w:tc>
        <w:tc>
          <w:tcPr>
            <w:tcW w:w="1217" w:type="dxa"/>
          </w:tcPr>
          <w:p w14:paraId="5D9AF3B2" w14:textId="77777777" w:rsidR="00B02873" w:rsidRPr="00615EFA" w:rsidRDefault="00B02873" w:rsidP="005C2F55">
            <w:pPr>
              <w:pStyle w:val="TablebodyleftFinancialsTables"/>
              <w:jc w:val="right"/>
              <w:rPr>
                <w:rFonts w:asciiTheme="minorHAnsi" w:hAnsiTheme="minorHAnsi" w:cstheme="minorHAnsi"/>
                <w:sz w:val="18"/>
                <w:szCs w:val="14"/>
              </w:rPr>
            </w:pPr>
            <w:r w:rsidRPr="00615EFA">
              <w:rPr>
                <w:rFonts w:asciiTheme="minorHAnsi" w:hAnsiTheme="minorHAnsi" w:cstheme="minorHAnsi"/>
                <w:sz w:val="18"/>
                <w:szCs w:val="14"/>
              </w:rPr>
              <w:t>–</w:t>
            </w:r>
          </w:p>
        </w:tc>
        <w:tc>
          <w:tcPr>
            <w:tcW w:w="1217" w:type="dxa"/>
          </w:tcPr>
          <w:p w14:paraId="1C83E841" w14:textId="77777777" w:rsidR="00B02873" w:rsidRPr="00615EFA" w:rsidRDefault="00B02873" w:rsidP="005C2F55">
            <w:pPr>
              <w:pStyle w:val="TablebodyleftFinancialsTables"/>
              <w:jc w:val="right"/>
              <w:rPr>
                <w:rFonts w:asciiTheme="minorHAnsi" w:hAnsiTheme="minorHAnsi" w:cstheme="minorHAnsi"/>
                <w:sz w:val="18"/>
                <w:szCs w:val="14"/>
              </w:rPr>
            </w:pPr>
            <w:r w:rsidRPr="00615EFA">
              <w:rPr>
                <w:rFonts w:asciiTheme="minorHAnsi" w:hAnsiTheme="minorHAnsi" w:cstheme="minorHAnsi"/>
                <w:sz w:val="18"/>
                <w:szCs w:val="14"/>
              </w:rPr>
              <w:t>–</w:t>
            </w:r>
          </w:p>
        </w:tc>
        <w:tc>
          <w:tcPr>
            <w:tcW w:w="1402" w:type="dxa"/>
          </w:tcPr>
          <w:p w14:paraId="0B71D15F" w14:textId="77777777" w:rsidR="00B02873" w:rsidRPr="00615EFA" w:rsidRDefault="00B02873" w:rsidP="005C2F55">
            <w:pPr>
              <w:pStyle w:val="TablebodyleftFinancialsTables"/>
              <w:jc w:val="right"/>
              <w:rPr>
                <w:rFonts w:asciiTheme="minorHAnsi" w:hAnsiTheme="minorHAnsi" w:cstheme="minorHAnsi"/>
                <w:sz w:val="18"/>
                <w:szCs w:val="14"/>
              </w:rPr>
            </w:pPr>
            <w:r w:rsidRPr="00615EFA">
              <w:rPr>
                <w:rFonts w:asciiTheme="minorHAnsi" w:hAnsiTheme="minorHAnsi" w:cstheme="minorHAnsi"/>
                <w:sz w:val="18"/>
                <w:szCs w:val="14"/>
              </w:rPr>
              <w:t>–</w:t>
            </w:r>
          </w:p>
        </w:tc>
        <w:tc>
          <w:tcPr>
            <w:tcW w:w="1372" w:type="dxa"/>
          </w:tcPr>
          <w:p w14:paraId="2879CF21" w14:textId="77777777" w:rsidR="00B02873" w:rsidRPr="00615EFA" w:rsidRDefault="00B02873" w:rsidP="005C2F55">
            <w:pPr>
              <w:pStyle w:val="TablebodyleftFinancialsTables"/>
              <w:jc w:val="right"/>
              <w:rPr>
                <w:rFonts w:asciiTheme="minorHAnsi" w:hAnsiTheme="minorHAnsi" w:cstheme="minorHAnsi"/>
                <w:sz w:val="18"/>
                <w:szCs w:val="14"/>
              </w:rPr>
            </w:pPr>
            <w:r w:rsidRPr="00615EFA">
              <w:rPr>
                <w:rFonts w:asciiTheme="minorHAnsi" w:hAnsiTheme="minorHAnsi" w:cstheme="minorHAnsi"/>
                <w:sz w:val="18"/>
                <w:szCs w:val="14"/>
              </w:rPr>
              <w:t>–</w:t>
            </w:r>
          </w:p>
        </w:tc>
      </w:tr>
      <w:tr w:rsidR="005C2F55" w:rsidRPr="00615EFA" w14:paraId="5E6C32C7" w14:textId="77777777" w:rsidTr="005C2F55">
        <w:trPr>
          <w:trHeight w:val="60"/>
        </w:trPr>
        <w:tc>
          <w:tcPr>
            <w:tcW w:w="2541" w:type="dxa"/>
          </w:tcPr>
          <w:p w14:paraId="368A52BF" w14:textId="77777777" w:rsidR="00B02873" w:rsidRPr="00615EFA" w:rsidRDefault="00B02873" w:rsidP="00615EFA">
            <w:pPr>
              <w:pStyle w:val="TablebodyleftFinancialsTables"/>
              <w:rPr>
                <w:rFonts w:asciiTheme="minorHAnsi" w:hAnsiTheme="minorHAnsi" w:cstheme="minorHAnsi"/>
                <w:sz w:val="18"/>
                <w:szCs w:val="14"/>
              </w:rPr>
            </w:pPr>
            <w:r w:rsidRPr="00615EFA">
              <w:rPr>
                <w:rFonts w:asciiTheme="minorHAnsi" w:hAnsiTheme="minorHAnsi" w:cstheme="minorHAnsi"/>
                <w:sz w:val="18"/>
                <w:szCs w:val="14"/>
              </w:rPr>
              <w:t>Other liabilities</w:t>
            </w:r>
          </w:p>
        </w:tc>
        <w:tc>
          <w:tcPr>
            <w:tcW w:w="1135" w:type="dxa"/>
          </w:tcPr>
          <w:p w14:paraId="73953F07" w14:textId="77777777" w:rsidR="00B02873" w:rsidRPr="00615EFA" w:rsidRDefault="00B02873" w:rsidP="005C2F55">
            <w:pPr>
              <w:pStyle w:val="TablebodyleftFinancialsTables"/>
              <w:jc w:val="right"/>
              <w:rPr>
                <w:rFonts w:asciiTheme="minorHAnsi" w:hAnsiTheme="minorHAnsi" w:cstheme="minorHAnsi"/>
                <w:sz w:val="18"/>
                <w:szCs w:val="14"/>
              </w:rPr>
            </w:pPr>
            <w:r w:rsidRPr="00615EFA">
              <w:rPr>
                <w:rFonts w:asciiTheme="minorHAnsi" w:hAnsiTheme="minorHAnsi" w:cstheme="minorHAnsi"/>
                <w:sz w:val="18"/>
                <w:szCs w:val="14"/>
              </w:rPr>
              <w:t>404</w:t>
            </w:r>
          </w:p>
        </w:tc>
        <w:tc>
          <w:tcPr>
            <w:tcW w:w="1191" w:type="dxa"/>
          </w:tcPr>
          <w:p w14:paraId="3F9FE0FC" w14:textId="77777777" w:rsidR="00B02873" w:rsidRPr="00615EFA" w:rsidRDefault="00B02873" w:rsidP="005C2F55">
            <w:pPr>
              <w:pStyle w:val="TablebodyleftFinancialsTables"/>
              <w:jc w:val="right"/>
              <w:rPr>
                <w:rFonts w:asciiTheme="minorHAnsi" w:hAnsiTheme="minorHAnsi" w:cstheme="minorHAnsi"/>
                <w:sz w:val="18"/>
                <w:szCs w:val="14"/>
              </w:rPr>
            </w:pPr>
            <w:r w:rsidRPr="00615EFA">
              <w:rPr>
                <w:rFonts w:asciiTheme="minorHAnsi" w:hAnsiTheme="minorHAnsi" w:cstheme="minorHAnsi"/>
                <w:sz w:val="18"/>
                <w:szCs w:val="14"/>
              </w:rPr>
              <w:t>680</w:t>
            </w:r>
          </w:p>
        </w:tc>
        <w:tc>
          <w:tcPr>
            <w:tcW w:w="1217" w:type="dxa"/>
          </w:tcPr>
          <w:p w14:paraId="7386FDAF" w14:textId="77777777" w:rsidR="00B02873" w:rsidRPr="00615EFA" w:rsidRDefault="00B02873" w:rsidP="005C2F55">
            <w:pPr>
              <w:pStyle w:val="TablebodyleftFinancialsTables"/>
              <w:jc w:val="right"/>
              <w:rPr>
                <w:rFonts w:asciiTheme="minorHAnsi" w:hAnsiTheme="minorHAnsi" w:cstheme="minorHAnsi"/>
                <w:sz w:val="18"/>
                <w:szCs w:val="14"/>
              </w:rPr>
            </w:pPr>
            <w:r w:rsidRPr="00615EFA">
              <w:rPr>
                <w:rFonts w:asciiTheme="minorHAnsi" w:hAnsiTheme="minorHAnsi" w:cstheme="minorHAnsi"/>
                <w:sz w:val="18"/>
                <w:szCs w:val="14"/>
              </w:rPr>
              <w:t>204</w:t>
            </w:r>
          </w:p>
        </w:tc>
        <w:tc>
          <w:tcPr>
            <w:tcW w:w="1217" w:type="dxa"/>
          </w:tcPr>
          <w:p w14:paraId="1CBF101F" w14:textId="77777777" w:rsidR="00B02873" w:rsidRPr="00615EFA" w:rsidRDefault="00B02873" w:rsidP="005C2F55">
            <w:pPr>
              <w:pStyle w:val="TablebodyleftFinancialsTables"/>
              <w:jc w:val="right"/>
              <w:rPr>
                <w:rFonts w:asciiTheme="minorHAnsi" w:hAnsiTheme="minorHAnsi" w:cstheme="minorHAnsi"/>
                <w:sz w:val="18"/>
                <w:szCs w:val="14"/>
              </w:rPr>
            </w:pPr>
            <w:r w:rsidRPr="00615EFA">
              <w:rPr>
                <w:rFonts w:asciiTheme="minorHAnsi" w:hAnsiTheme="minorHAnsi" w:cstheme="minorHAnsi"/>
                <w:sz w:val="18"/>
                <w:szCs w:val="14"/>
              </w:rPr>
              <w:t>511</w:t>
            </w:r>
          </w:p>
        </w:tc>
        <w:tc>
          <w:tcPr>
            <w:tcW w:w="1402" w:type="dxa"/>
          </w:tcPr>
          <w:p w14:paraId="68DA3E51" w14:textId="77777777" w:rsidR="00B02873" w:rsidRPr="00615EFA" w:rsidRDefault="00B02873" w:rsidP="005C2F55">
            <w:pPr>
              <w:pStyle w:val="TablebodyleftFinancialsTables"/>
              <w:jc w:val="right"/>
              <w:rPr>
                <w:rFonts w:asciiTheme="minorHAnsi" w:hAnsiTheme="minorHAnsi" w:cstheme="minorHAnsi"/>
                <w:sz w:val="18"/>
                <w:szCs w:val="14"/>
              </w:rPr>
            </w:pPr>
            <w:r w:rsidRPr="00615EFA">
              <w:rPr>
                <w:rFonts w:asciiTheme="minorHAnsi" w:hAnsiTheme="minorHAnsi" w:cstheme="minorHAnsi"/>
                <w:sz w:val="18"/>
                <w:szCs w:val="14"/>
              </w:rPr>
              <w:t>–</w:t>
            </w:r>
          </w:p>
        </w:tc>
        <w:tc>
          <w:tcPr>
            <w:tcW w:w="1372" w:type="dxa"/>
          </w:tcPr>
          <w:p w14:paraId="17958717" w14:textId="77777777" w:rsidR="00B02873" w:rsidRPr="00615EFA" w:rsidRDefault="00B02873" w:rsidP="005C2F55">
            <w:pPr>
              <w:pStyle w:val="TablebodyleftFinancialsTables"/>
              <w:jc w:val="right"/>
              <w:rPr>
                <w:rFonts w:asciiTheme="minorHAnsi" w:hAnsiTheme="minorHAnsi" w:cstheme="minorHAnsi"/>
                <w:sz w:val="18"/>
                <w:szCs w:val="14"/>
              </w:rPr>
            </w:pPr>
            <w:r w:rsidRPr="00615EFA">
              <w:rPr>
                <w:rFonts w:asciiTheme="minorHAnsi" w:hAnsiTheme="minorHAnsi" w:cstheme="minorHAnsi"/>
                <w:sz w:val="18"/>
                <w:szCs w:val="14"/>
              </w:rPr>
              <w:t>1</w:t>
            </w:r>
          </w:p>
        </w:tc>
      </w:tr>
      <w:tr w:rsidR="00B02873" w:rsidRPr="00977548" w14:paraId="202BCC09" w14:textId="77777777" w:rsidTr="005C2F55">
        <w:trPr>
          <w:trHeight w:val="60"/>
        </w:trPr>
        <w:tc>
          <w:tcPr>
            <w:tcW w:w="2541" w:type="dxa"/>
          </w:tcPr>
          <w:p w14:paraId="77E4E9AF" w14:textId="77777777" w:rsidR="00B02873" w:rsidRPr="00977548" w:rsidRDefault="00B02873" w:rsidP="00615EFA">
            <w:pPr>
              <w:pStyle w:val="TablebodyleftFinancialsTables"/>
              <w:rPr>
                <w:rFonts w:asciiTheme="minorHAnsi" w:hAnsiTheme="minorHAnsi" w:cstheme="minorHAnsi"/>
                <w:b/>
                <w:bCs/>
                <w:sz w:val="18"/>
                <w:szCs w:val="14"/>
              </w:rPr>
            </w:pPr>
            <w:r w:rsidRPr="00977548">
              <w:rPr>
                <w:rFonts w:asciiTheme="minorHAnsi" w:hAnsiTheme="minorHAnsi" w:cstheme="minorHAnsi"/>
                <w:b/>
                <w:bCs/>
                <w:sz w:val="18"/>
                <w:szCs w:val="14"/>
              </w:rPr>
              <w:t>Total liabilities</w:t>
            </w:r>
          </w:p>
        </w:tc>
        <w:tc>
          <w:tcPr>
            <w:tcW w:w="1135" w:type="dxa"/>
          </w:tcPr>
          <w:p w14:paraId="23E5E645" w14:textId="77777777" w:rsidR="00B02873" w:rsidRPr="00977548" w:rsidRDefault="00B02873" w:rsidP="005C2F55">
            <w:pPr>
              <w:pStyle w:val="TablebodyleftFinancialsTables"/>
              <w:jc w:val="right"/>
              <w:rPr>
                <w:rFonts w:asciiTheme="minorHAnsi" w:hAnsiTheme="minorHAnsi" w:cstheme="minorHAnsi"/>
                <w:b/>
                <w:bCs/>
                <w:sz w:val="18"/>
                <w:szCs w:val="14"/>
              </w:rPr>
            </w:pPr>
            <w:r w:rsidRPr="00977548">
              <w:rPr>
                <w:rFonts w:asciiTheme="minorHAnsi" w:hAnsiTheme="minorHAnsi" w:cstheme="minorHAnsi"/>
                <w:b/>
                <w:bCs/>
                <w:sz w:val="18"/>
                <w:szCs w:val="14"/>
              </w:rPr>
              <w:t>34,810</w:t>
            </w:r>
          </w:p>
        </w:tc>
        <w:tc>
          <w:tcPr>
            <w:tcW w:w="1191" w:type="dxa"/>
          </w:tcPr>
          <w:p w14:paraId="45BFBD1B" w14:textId="77777777" w:rsidR="00B02873" w:rsidRPr="00977548" w:rsidRDefault="00B02873" w:rsidP="005C2F55">
            <w:pPr>
              <w:pStyle w:val="TablebodyleftFinancialsTables"/>
              <w:jc w:val="right"/>
              <w:rPr>
                <w:rFonts w:asciiTheme="minorHAnsi" w:hAnsiTheme="minorHAnsi" w:cstheme="minorHAnsi"/>
                <w:b/>
                <w:bCs/>
                <w:sz w:val="18"/>
                <w:szCs w:val="14"/>
              </w:rPr>
            </w:pPr>
            <w:r w:rsidRPr="00977548">
              <w:rPr>
                <w:rFonts w:asciiTheme="minorHAnsi" w:hAnsiTheme="minorHAnsi" w:cstheme="minorHAnsi"/>
                <w:b/>
                <w:bCs/>
                <w:sz w:val="18"/>
                <w:szCs w:val="14"/>
              </w:rPr>
              <w:t>32,483</w:t>
            </w:r>
          </w:p>
        </w:tc>
        <w:tc>
          <w:tcPr>
            <w:tcW w:w="1217" w:type="dxa"/>
          </w:tcPr>
          <w:p w14:paraId="67C69F0E" w14:textId="77777777" w:rsidR="00B02873" w:rsidRPr="00977548" w:rsidRDefault="00B02873" w:rsidP="005C2F55">
            <w:pPr>
              <w:pStyle w:val="TablebodyleftFinancialsTables"/>
              <w:jc w:val="right"/>
              <w:rPr>
                <w:rFonts w:asciiTheme="minorHAnsi" w:hAnsiTheme="minorHAnsi" w:cstheme="minorHAnsi"/>
                <w:b/>
                <w:bCs/>
                <w:sz w:val="18"/>
                <w:szCs w:val="14"/>
              </w:rPr>
            </w:pPr>
            <w:r w:rsidRPr="00977548">
              <w:rPr>
                <w:rFonts w:asciiTheme="minorHAnsi" w:hAnsiTheme="minorHAnsi" w:cstheme="minorHAnsi"/>
                <w:b/>
                <w:bCs/>
                <w:sz w:val="18"/>
                <w:szCs w:val="14"/>
              </w:rPr>
              <w:t>32,552</w:t>
            </w:r>
          </w:p>
        </w:tc>
        <w:tc>
          <w:tcPr>
            <w:tcW w:w="1217" w:type="dxa"/>
          </w:tcPr>
          <w:p w14:paraId="49D0CBA7" w14:textId="77777777" w:rsidR="00B02873" w:rsidRPr="00977548" w:rsidRDefault="00B02873" w:rsidP="005C2F55">
            <w:pPr>
              <w:pStyle w:val="TablebodyleftFinancialsTables"/>
              <w:jc w:val="right"/>
              <w:rPr>
                <w:rFonts w:asciiTheme="minorHAnsi" w:hAnsiTheme="minorHAnsi" w:cstheme="minorHAnsi"/>
                <w:b/>
                <w:bCs/>
                <w:sz w:val="18"/>
                <w:szCs w:val="14"/>
              </w:rPr>
            </w:pPr>
            <w:r w:rsidRPr="00977548">
              <w:rPr>
                <w:rFonts w:asciiTheme="minorHAnsi" w:hAnsiTheme="minorHAnsi" w:cstheme="minorHAnsi"/>
                <w:b/>
                <w:bCs/>
                <w:sz w:val="18"/>
                <w:szCs w:val="14"/>
              </w:rPr>
              <w:t>33,013</w:t>
            </w:r>
          </w:p>
        </w:tc>
        <w:tc>
          <w:tcPr>
            <w:tcW w:w="1402" w:type="dxa"/>
          </w:tcPr>
          <w:p w14:paraId="6A21B143" w14:textId="77777777" w:rsidR="00B02873" w:rsidRPr="00977548" w:rsidRDefault="00B02873" w:rsidP="005C2F55">
            <w:pPr>
              <w:pStyle w:val="TablebodyleftFinancialsTables"/>
              <w:jc w:val="right"/>
              <w:rPr>
                <w:rFonts w:asciiTheme="minorHAnsi" w:hAnsiTheme="minorHAnsi" w:cstheme="minorHAnsi"/>
                <w:b/>
                <w:bCs/>
                <w:sz w:val="18"/>
                <w:szCs w:val="14"/>
              </w:rPr>
            </w:pPr>
            <w:r w:rsidRPr="00977548">
              <w:rPr>
                <w:rFonts w:asciiTheme="minorHAnsi" w:hAnsiTheme="minorHAnsi" w:cstheme="minorHAnsi"/>
                <w:b/>
                <w:bCs/>
                <w:sz w:val="18"/>
                <w:szCs w:val="14"/>
              </w:rPr>
              <w:t>41,266</w:t>
            </w:r>
          </w:p>
        </w:tc>
        <w:tc>
          <w:tcPr>
            <w:tcW w:w="1372" w:type="dxa"/>
          </w:tcPr>
          <w:p w14:paraId="299A5140" w14:textId="77777777" w:rsidR="00B02873" w:rsidRPr="00977548" w:rsidRDefault="00B02873" w:rsidP="005C2F55">
            <w:pPr>
              <w:pStyle w:val="TablebodyleftFinancialsTables"/>
              <w:jc w:val="right"/>
              <w:rPr>
                <w:rFonts w:asciiTheme="minorHAnsi" w:hAnsiTheme="minorHAnsi" w:cstheme="minorHAnsi"/>
                <w:b/>
                <w:bCs/>
                <w:sz w:val="18"/>
                <w:szCs w:val="14"/>
              </w:rPr>
            </w:pPr>
            <w:r w:rsidRPr="00977548">
              <w:rPr>
                <w:rFonts w:asciiTheme="minorHAnsi" w:hAnsiTheme="minorHAnsi" w:cstheme="minorHAnsi"/>
                <w:b/>
                <w:bCs/>
                <w:sz w:val="18"/>
                <w:szCs w:val="14"/>
              </w:rPr>
              <w:t>60,305</w:t>
            </w:r>
          </w:p>
        </w:tc>
      </w:tr>
      <w:tr w:rsidR="00B02873" w:rsidRPr="00977548" w14:paraId="3C8F839D" w14:textId="77777777" w:rsidTr="005C2F55">
        <w:trPr>
          <w:trHeight w:val="60"/>
        </w:trPr>
        <w:tc>
          <w:tcPr>
            <w:tcW w:w="2541" w:type="dxa"/>
          </w:tcPr>
          <w:p w14:paraId="4B3F2932" w14:textId="77777777" w:rsidR="00B02873" w:rsidRPr="00977548" w:rsidRDefault="00B02873" w:rsidP="00615EFA">
            <w:pPr>
              <w:pStyle w:val="TablebodyleftFinancialsTables"/>
              <w:rPr>
                <w:rFonts w:asciiTheme="minorHAnsi" w:hAnsiTheme="minorHAnsi" w:cstheme="minorHAnsi"/>
                <w:b/>
                <w:bCs/>
                <w:sz w:val="18"/>
                <w:szCs w:val="14"/>
              </w:rPr>
            </w:pPr>
            <w:r w:rsidRPr="00977548">
              <w:rPr>
                <w:rFonts w:asciiTheme="minorHAnsi" w:hAnsiTheme="minorHAnsi" w:cstheme="minorHAnsi"/>
                <w:b/>
                <w:bCs/>
                <w:sz w:val="18"/>
                <w:szCs w:val="14"/>
              </w:rPr>
              <w:t xml:space="preserve">Net assets </w:t>
            </w:r>
          </w:p>
        </w:tc>
        <w:tc>
          <w:tcPr>
            <w:tcW w:w="1135" w:type="dxa"/>
          </w:tcPr>
          <w:p w14:paraId="511C3848" w14:textId="77777777" w:rsidR="00B02873" w:rsidRPr="00977548" w:rsidRDefault="00B02873" w:rsidP="005C2F55">
            <w:pPr>
              <w:pStyle w:val="TablebodyleftFinancialsTables"/>
              <w:jc w:val="right"/>
              <w:rPr>
                <w:rFonts w:asciiTheme="minorHAnsi" w:hAnsiTheme="minorHAnsi" w:cstheme="minorHAnsi"/>
                <w:b/>
                <w:bCs/>
                <w:sz w:val="18"/>
                <w:szCs w:val="14"/>
              </w:rPr>
            </w:pPr>
            <w:r w:rsidRPr="00977548">
              <w:rPr>
                <w:rFonts w:asciiTheme="minorHAnsi" w:hAnsiTheme="minorHAnsi" w:cstheme="minorHAnsi"/>
                <w:b/>
                <w:bCs/>
                <w:sz w:val="18"/>
                <w:szCs w:val="14"/>
              </w:rPr>
              <w:t>720,532</w:t>
            </w:r>
          </w:p>
        </w:tc>
        <w:tc>
          <w:tcPr>
            <w:tcW w:w="1191" w:type="dxa"/>
          </w:tcPr>
          <w:p w14:paraId="42A8092F" w14:textId="77777777" w:rsidR="00B02873" w:rsidRPr="00977548" w:rsidRDefault="00B02873" w:rsidP="005C2F55">
            <w:pPr>
              <w:pStyle w:val="TablebodyleftFinancialsTables"/>
              <w:jc w:val="right"/>
              <w:rPr>
                <w:rFonts w:asciiTheme="minorHAnsi" w:hAnsiTheme="minorHAnsi" w:cstheme="minorHAnsi"/>
                <w:b/>
                <w:bCs/>
                <w:sz w:val="18"/>
                <w:szCs w:val="14"/>
              </w:rPr>
            </w:pPr>
            <w:r w:rsidRPr="00977548">
              <w:rPr>
                <w:rFonts w:asciiTheme="minorHAnsi" w:hAnsiTheme="minorHAnsi" w:cstheme="minorHAnsi"/>
                <w:b/>
                <w:bCs/>
                <w:sz w:val="18"/>
                <w:szCs w:val="14"/>
              </w:rPr>
              <w:t>596,109</w:t>
            </w:r>
          </w:p>
        </w:tc>
        <w:tc>
          <w:tcPr>
            <w:tcW w:w="1217" w:type="dxa"/>
          </w:tcPr>
          <w:p w14:paraId="4375208C" w14:textId="77777777" w:rsidR="00B02873" w:rsidRPr="00977548" w:rsidRDefault="00B02873" w:rsidP="005C2F55">
            <w:pPr>
              <w:pStyle w:val="TablebodyleftFinancialsTables"/>
              <w:jc w:val="right"/>
              <w:rPr>
                <w:rFonts w:asciiTheme="minorHAnsi" w:hAnsiTheme="minorHAnsi" w:cstheme="minorHAnsi"/>
                <w:b/>
                <w:bCs/>
                <w:sz w:val="18"/>
                <w:szCs w:val="14"/>
              </w:rPr>
            </w:pPr>
            <w:r w:rsidRPr="00977548">
              <w:rPr>
                <w:rFonts w:asciiTheme="minorHAnsi" w:hAnsiTheme="minorHAnsi" w:cstheme="minorHAnsi"/>
                <w:b/>
                <w:bCs/>
                <w:sz w:val="18"/>
                <w:szCs w:val="14"/>
              </w:rPr>
              <w:t>290,679</w:t>
            </w:r>
          </w:p>
        </w:tc>
        <w:tc>
          <w:tcPr>
            <w:tcW w:w="1217" w:type="dxa"/>
          </w:tcPr>
          <w:p w14:paraId="7F6E77D8" w14:textId="77777777" w:rsidR="00B02873" w:rsidRPr="00977548" w:rsidRDefault="00B02873" w:rsidP="005C2F55">
            <w:pPr>
              <w:pStyle w:val="TablebodyleftFinancialsTables"/>
              <w:jc w:val="right"/>
              <w:rPr>
                <w:rFonts w:asciiTheme="minorHAnsi" w:hAnsiTheme="minorHAnsi" w:cstheme="minorHAnsi"/>
                <w:b/>
                <w:bCs/>
                <w:sz w:val="18"/>
                <w:szCs w:val="14"/>
              </w:rPr>
            </w:pPr>
            <w:r w:rsidRPr="00977548">
              <w:rPr>
                <w:rFonts w:asciiTheme="minorHAnsi" w:hAnsiTheme="minorHAnsi" w:cstheme="minorHAnsi"/>
                <w:b/>
                <w:bCs/>
                <w:sz w:val="18"/>
                <w:szCs w:val="14"/>
              </w:rPr>
              <w:t>168,366</w:t>
            </w:r>
          </w:p>
        </w:tc>
        <w:tc>
          <w:tcPr>
            <w:tcW w:w="1402" w:type="dxa"/>
          </w:tcPr>
          <w:p w14:paraId="4BF88344" w14:textId="77777777" w:rsidR="00B02873" w:rsidRPr="00977548" w:rsidRDefault="00B02873" w:rsidP="005C2F55">
            <w:pPr>
              <w:pStyle w:val="TablebodyleftFinancialsTables"/>
              <w:jc w:val="right"/>
              <w:rPr>
                <w:rFonts w:asciiTheme="minorHAnsi" w:hAnsiTheme="minorHAnsi" w:cstheme="minorHAnsi"/>
                <w:b/>
                <w:bCs/>
                <w:sz w:val="18"/>
                <w:szCs w:val="14"/>
              </w:rPr>
            </w:pPr>
            <w:r w:rsidRPr="00977548">
              <w:rPr>
                <w:rFonts w:asciiTheme="minorHAnsi" w:hAnsiTheme="minorHAnsi" w:cstheme="minorHAnsi"/>
                <w:b/>
                <w:bCs/>
                <w:sz w:val="18"/>
                <w:szCs w:val="14"/>
              </w:rPr>
              <w:t>262,417</w:t>
            </w:r>
          </w:p>
        </w:tc>
        <w:tc>
          <w:tcPr>
            <w:tcW w:w="1372" w:type="dxa"/>
          </w:tcPr>
          <w:p w14:paraId="17D0B3D4" w14:textId="77777777" w:rsidR="00B02873" w:rsidRPr="00977548" w:rsidRDefault="00B02873" w:rsidP="005C2F55">
            <w:pPr>
              <w:pStyle w:val="TablebodyleftFinancialsTables"/>
              <w:jc w:val="right"/>
              <w:rPr>
                <w:rFonts w:asciiTheme="minorHAnsi" w:hAnsiTheme="minorHAnsi" w:cstheme="minorHAnsi"/>
                <w:b/>
                <w:bCs/>
                <w:sz w:val="18"/>
                <w:szCs w:val="14"/>
              </w:rPr>
            </w:pPr>
            <w:r w:rsidRPr="00977548">
              <w:rPr>
                <w:rFonts w:asciiTheme="minorHAnsi" w:hAnsiTheme="minorHAnsi" w:cstheme="minorHAnsi"/>
                <w:b/>
                <w:bCs/>
                <w:sz w:val="18"/>
                <w:szCs w:val="14"/>
              </w:rPr>
              <w:t>431,418</w:t>
            </w:r>
          </w:p>
        </w:tc>
      </w:tr>
    </w:tbl>
    <w:p w14:paraId="68B8EF55" w14:textId="77777777" w:rsidR="00B02873" w:rsidRDefault="00B02873" w:rsidP="00FE198A"/>
    <w:p w14:paraId="39155BDC" w14:textId="34643F86" w:rsidR="00B02873" w:rsidRDefault="00B02873" w:rsidP="00977548">
      <w:pPr>
        <w:pStyle w:val="Heading4"/>
      </w:pPr>
      <w:r>
        <w:lastRenderedPageBreak/>
        <w:t>4.1.3 Departmental Outputs</w:t>
      </w:r>
      <w:r w:rsidR="000C45FC">
        <w:t xml:space="preserve"> – </w:t>
      </w:r>
      <w:r>
        <w:t>Controlled assets and liabilities (continued)</w:t>
      </w:r>
    </w:p>
    <w:tbl>
      <w:tblPr>
        <w:tblStyle w:val="TableGrid"/>
        <w:tblW w:w="10060" w:type="dxa"/>
        <w:tblLayout w:type="fixed"/>
        <w:tblLook w:val="0020" w:firstRow="1" w:lastRow="0" w:firstColumn="0" w:lastColumn="0" w:noHBand="0" w:noVBand="0"/>
      </w:tblPr>
      <w:tblGrid>
        <w:gridCol w:w="2570"/>
        <w:gridCol w:w="1111"/>
        <w:gridCol w:w="1276"/>
        <w:gridCol w:w="1275"/>
        <w:gridCol w:w="1276"/>
        <w:gridCol w:w="1276"/>
        <w:gridCol w:w="1276"/>
      </w:tblGrid>
      <w:tr w:rsidR="00B02873" w:rsidRPr="00950A49" w14:paraId="4988ED8D" w14:textId="77777777" w:rsidTr="00950A49">
        <w:trPr>
          <w:cnfStyle w:val="100000000000" w:firstRow="1" w:lastRow="0" w:firstColumn="0" w:lastColumn="0" w:oddVBand="0" w:evenVBand="0" w:oddHBand="0" w:evenHBand="0" w:firstRowFirstColumn="0" w:firstRowLastColumn="0" w:lastRowFirstColumn="0" w:lastRowLastColumn="0"/>
          <w:tblHeader/>
        </w:trPr>
        <w:tc>
          <w:tcPr>
            <w:tcW w:w="2570" w:type="dxa"/>
          </w:tcPr>
          <w:p w14:paraId="1A5B4EDB" w14:textId="77777777" w:rsidR="00B02873" w:rsidRPr="00950A49" w:rsidRDefault="00B02873" w:rsidP="00977548">
            <w:pPr>
              <w:pStyle w:val="TableheadingleftFinancialsTables"/>
              <w:rPr>
                <w:rFonts w:asciiTheme="minorHAnsi" w:hAnsiTheme="minorHAnsi" w:cstheme="minorHAnsi"/>
                <w:sz w:val="18"/>
                <w:szCs w:val="14"/>
              </w:rPr>
            </w:pPr>
          </w:p>
        </w:tc>
        <w:tc>
          <w:tcPr>
            <w:tcW w:w="1111" w:type="dxa"/>
          </w:tcPr>
          <w:p w14:paraId="3BECF303" w14:textId="08CC146D" w:rsidR="00B02873" w:rsidRPr="00950A49" w:rsidRDefault="00950A49" w:rsidP="00950A49">
            <w:pPr>
              <w:pStyle w:val="TableheadingleftFinancialsTables"/>
              <w:jc w:val="right"/>
              <w:rPr>
                <w:rFonts w:asciiTheme="minorHAnsi" w:hAnsiTheme="minorHAnsi" w:cstheme="minorHAnsi"/>
                <w:sz w:val="18"/>
                <w:szCs w:val="14"/>
              </w:rPr>
            </w:pPr>
            <w:r w:rsidRPr="00950A49">
              <w:rPr>
                <w:rFonts w:asciiTheme="minorHAnsi" w:hAnsiTheme="minorHAnsi" w:cstheme="minorHAnsi"/>
                <w:sz w:val="18"/>
                <w:szCs w:val="14"/>
              </w:rPr>
              <w:t xml:space="preserve">Land Use Victoria </w:t>
            </w:r>
            <w:r w:rsidR="00B02873" w:rsidRPr="00950A49">
              <w:rPr>
                <w:rFonts w:asciiTheme="minorHAnsi" w:hAnsiTheme="minorHAnsi" w:cstheme="minorHAnsi"/>
                <w:sz w:val="18"/>
                <w:szCs w:val="14"/>
              </w:rPr>
              <w:t>2022</w:t>
            </w:r>
            <w:r w:rsidR="00B02873" w:rsidRPr="00950A49">
              <w:rPr>
                <w:rFonts w:asciiTheme="minorHAnsi" w:hAnsiTheme="minorHAnsi" w:cstheme="minorHAnsi"/>
                <w:sz w:val="18"/>
                <w:szCs w:val="14"/>
              </w:rPr>
              <w:br/>
              <w:t>$’000</w:t>
            </w:r>
          </w:p>
        </w:tc>
        <w:tc>
          <w:tcPr>
            <w:tcW w:w="1276" w:type="dxa"/>
          </w:tcPr>
          <w:p w14:paraId="0C339090" w14:textId="66D8E16C" w:rsidR="00B02873" w:rsidRPr="00950A49" w:rsidRDefault="00950A49" w:rsidP="00950A49">
            <w:pPr>
              <w:pStyle w:val="TableheadingleftFinancialsTables"/>
              <w:jc w:val="right"/>
              <w:rPr>
                <w:rFonts w:asciiTheme="minorHAnsi" w:hAnsiTheme="minorHAnsi" w:cstheme="minorHAnsi"/>
                <w:sz w:val="18"/>
                <w:szCs w:val="14"/>
              </w:rPr>
            </w:pPr>
            <w:r w:rsidRPr="00950A49">
              <w:rPr>
                <w:rFonts w:asciiTheme="minorHAnsi" w:hAnsiTheme="minorHAnsi" w:cstheme="minorHAnsi"/>
                <w:sz w:val="18"/>
                <w:szCs w:val="14"/>
              </w:rPr>
              <w:t xml:space="preserve">Land Use Victoria </w:t>
            </w:r>
            <w:r w:rsidR="00B02873" w:rsidRPr="00950A49">
              <w:rPr>
                <w:rFonts w:asciiTheme="minorHAnsi" w:hAnsiTheme="minorHAnsi" w:cstheme="minorHAnsi"/>
                <w:sz w:val="18"/>
                <w:szCs w:val="14"/>
              </w:rPr>
              <w:t>2021</w:t>
            </w:r>
            <w:r w:rsidR="00B02873" w:rsidRPr="00950A49">
              <w:rPr>
                <w:rFonts w:asciiTheme="minorHAnsi" w:hAnsiTheme="minorHAnsi" w:cstheme="minorHAnsi"/>
                <w:sz w:val="18"/>
                <w:szCs w:val="14"/>
              </w:rPr>
              <w:br/>
              <w:t>$’000</w:t>
            </w:r>
          </w:p>
        </w:tc>
        <w:tc>
          <w:tcPr>
            <w:tcW w:w="1275" w:type="dxa"/>
          </w:tcPr>
          <w:p w14:paraId="313D88F4" w14:textId="4937B13B" w:rsidR="00B02873" w:rsidRPr="00950A49" w:rsidRDefault="00950A49" w:rsidP="00950A49">
            <w:pPr>
              <w:pStyle w:val="TableheadingleftFinancialsTables"/>
              <w:jc w:val="right"/>
              <w:rPr>
                <w:rFonts w:asciiTheme="minorHAnsi" w:hAnsiTheme="minorHAnsi" w:cstheme="minorHAnsi"/>
                <w:sz w:val="18"/>
                <w:szCs w:val="14"/>
              </w:rPr>
            </w:pPr>
            <w:r w:rsidRPr="00950A49">
              <w:rPr>
                <w:rFonts w:asciiTheme="minorHAnsi" w:hAnsiTheme="minorHAnsi" w:cstheme="minorHAnsi"/>
                <w:sz w:val="18"/>
                <w:szCs w:val="14"/>
              </w:rPr>
              <w:t>Management of Public Land and Forests</w:t>
            </w:r>
            <w:r w:rsidRPr="00950A49">
              <w:rPr>
                <w:rFonts w:asciiTheme="minorHAnsi" w:hAnsiTheme="minorHAnsi" w:cstheme="minorHAnsi"/>
                <w:sz w:val="18"/>
                <w:szCs w:val="14"/>
                <w:vertAlign w:val="superscript"/>
              </w:rPr>
              <w:t xml:space="preserve">(i) </w:t>
            </w:r>
            <w:r w:rsidR="00B02873" w:rsidRPr="00950A49">
              <w:rPr>
                <w:rFonts w:asciiTheme="minorHAnsi" w:hAnsiTheme="minorHAnsi" w:cstheme="minorHAnsi"/>
                <w:sz w:val="18"/>
                <w:szCs w:val="14"/>
              </w:rPr>
              <w:t>2022</w:t>
            </w:r>
            <w:r w:rsidR="00B02873" w:rsidRPr="00950A49">
              <w:rPr>
                <w:rFonts w:asciiTheme="minorHAnsi" w:hAnsiTheme="minorHAnsi" w:cstheme="minorHAnsi"/>
                <w:sz w:val="18"/>
                <w:szCs w:val="14"/>
              </w:rPr>
              <w:br/>
              <w:t>$’000</w:t>
            </w:r>
          </w:p>
        </w:tc>
        <w:tc>
          <w:tcPr>
            <w:tcW w:w="1276" w:type="dxa"/>
          </w:tcPr>
          <w:p w14:paraId="20BBCBAA" w14:textId="7897089C" w:rsidR="00B02873" w:rsidRPr="00950A49" w:rsidRDefault="00950A49" w:rsidP="00950A49">
            <w:pPr>
              <w:pStyle w:val="TableheadingleftFinancialsTables"/>
              <w:jc w:val="right"/>
              <w:rPr>
                <w:rFonts w:asciiTheme="minorHAnsi" w:hAnsiTheme="minorHAnsi" w:cstheme="minorHAnsi"/>
                <w:sz w:val="18"/>
                <w:szCs w:val="14"/>
              </w:rPr>
            </w:pPr>
            <w:r w:rsidRPr="00950A49">
              <w:rPr>
                <w:rFonts w:asciiTheme="minorHAnsi" w:hAnsiTheme="minorHAnsi" w:cstheme="minorHAnsi"/>
                <w:sz w:val="18"/>
                <w:szCs w:val="14"/>
              </w:rPr>
              <w:t>Management of Public Land and Forests</w:t>
            </w:r>
            <w:r w:rsidRPr="00950A49">
              <w:rPr>
                <w:rFonts w:asciiTheme="minorHAnsi" w:hAnsiTheme="minorHAnsi" w:cstheme="minorHAnsi"/>
                <w:sz w:val="18"/>
                <w:szCs w:val="14"/>
                <w:vertAlign w:val="superscript"/>
              </w:rPr>
              <w:t xml:space="preserve">(i) </w:t>
            </w:r>
            <w:r w:rsidR="00B02873" w:rsidRPr="00950A49">
              <w:rPr>
                <w:rFonts w:asciiTheme="minorHAnsi" w:hAnsiTheme="minorHAnsi" w:cstheme="minorHAnsi"/>
                <w:sz w:val="18"/>
                <w:szCs w:val="14"/>
              </w:rPr>
              <w:t>2021</w:t>
            </w:r>
            <w:r w:rsidR="00B02873" w:rsidRPr="00950A49">
              <w:rPr>
                <w:rFonts w:asciiTheme="minorHAnsi" w:hAnsiTheme="minorHAnsi" w:cstheme="minorHAnsi"/>
                <w:sz w:val="18"/>
                <w:szCs w:val="14"/>
              </w:rPr>
              <w:br/>
              <w:t>$’000</w:t>
            </w:r>
          </w:p>
        </w:tc>
        <w:tc>
          <w:tcPr>
            <w:tcW w:w="1276" w:type="dxa"/>
          </w:tcPr>
          <w:p w14:paraId="5F80F61F" w14:textId="1D7068EF" w:rsidR="00B02873" w:rsidRPr="00950A49" w:rsidRDefault="00950A49" w:rsidP="00950A49">
            <w:pPr>
              <w:pStyle w:val="TableheadingleftFinancialsTables"/>
              <w:jc w:val="right"/>
              <w:rPr>
                <w:rFonts w:asciiTheme="minorHAnsi" w:hAnsiTheme="minorHAnsi" w:cstheme="minorHAnsi"/>
                <w:sz w:val="18"/>
                <w:szCs w:val="14"/>
              </w:rPr>
            </w:pPr>
            <w:r w:rsidRPr="00950A49">
              <w:rPr>
                <w:rFonts w:asciiTheme="minorHAnsi" w:hAnsiTheme="minorHAnsi" w:cstheme="minorHAnsi"/>
                <w:sz w:val="18"/>
                <w:szCs w:val="14"/>
              </w:rPr>
              <w:t xml:space="preserve">Effective Water Management and Supply </w:t>
            </w:r>
            <w:r w:rsidR="00B02873" w:rsidRPr="00950A49">
              <w:rPr>
                <w:rFonts w:asciiTheme="minorHAnsi" w:hAnsiTheme="minorHAnsi" w:cstheme="minorHAnsi"/>
                <w:sz w:val="18"/>
                <w:szCs w:val="14"/>
              </w:rPr>
              <w:t>2022</w:t>
            </w:r>
            <w:r w:rsidR="00B02873" w:rsidRPr="00950A49">
              <w:rPr>
                <w:rFonts w:asciiTheme="minorHAnsi" w:hAnsiTheme="minorHAnsi" w:cstheme="minorHAnsi"/>
                <w:sz w:val="18"/>
                <w:szCs w:val="14"/>
              </w:rPr>
              <w:br/>
              <w:t>$’000</w:t>
            </w:r>
          </w:p>
        </w:tc>
        <w:tc>
          <w:tcPr>
            <w:tcW w:w="1276" w:type="dxa"/>
          </w:tcPr>
          <w:p w14:paraId="716EFA65" w14:textId="7754DED0" w:rsidR="00B02873" w:rsidRPr="00950A49" w:rsidRDefault="00950A49" w:rsidP="00950A49">
            <w:pPr>
              <w:pStyle w:val="TableheadingleftFinancialsTables"/>
              <w:jc w:val="right"/>
              <w:rPr>
                <w:rFonts w:asciiTheme="minorHAnsi" w:hAnsiTheme="minorHAnsi" w:cstheme="minorHAnsi"/>
                <w:sz w:val="18"/>
                <w:szCs w:val="14"/>
              </w:rPr>
            </w:pPr>
            <w:r w:rsidRPr="00950A49">
              <w:rPr>
                <w:rFonts w:asciiTheme="minorHAnsi" w:hAnsiTheme="minorHAnsi" w:cstheme="minorHAnsi"/>
                <w:sz w:val="18"/>
                <w:szCs w:val="14"/>
              </w:rPr>
              <w:t xml:space="preserve">Effective Water Management and Supply </w:t>
            </w:r>
            <w:r w:rsidR="00B02873" w:rsidRPr="00950A49">
              <w:rPr>
                <w:rFonts w:asciiTheme="minorHAnsi" w:hAnsiTheme="minorHAnsi" w:cstheme="minorHAnsi"/>
                <w:sz w:val="18"/>
                <w:szCs w:val="14"/>
              </w:rPr>
              <w:t>2021</w:t>
            </w:r>
            <w:r w:rsidR="00B02873" w:rsidRPr="00950A49">
              <w:rPr>
                <w:rFonts w:asciiTheme="minorHAnsi" w:hAnsiTheme="minorHAnsi" w:cstheme="minorHAnsi"/>
                <w:sz w:val="18"/>
                <w:szCs w:val="14"/>
              </w:rPr>
              <w:br/>
              <w:t>$’000</w:t>
            </w:r>
          </w:p>
        </w:tc>
      </w:tr>
      <w:tr w:rsidR="00977548" w:rsidRPr="00950A49" w14:paraId="28133C43" w14:textId="77777777" w:rsidTr="00950A49">
        <w:tc>
          <w:tcPr>
            <w:tcW w:w="2570" w:type="dxa"/>
          </w:tcPr>
          <w:p w14:paraId="2970B67F" w14:textId="77777777" w:rsidR="00977548" w:rsidRPr="00950A49" w:rsidRDefault="00977548" w:rsidP="00977548">
            <w:pPr>
              <w:pStyle w:val="TablebodyleftFinancialsTables"/>
              <w:rPr>
                <w:rFonts w:asciiTheme="minorHAnsi" w:hAnsiTheme="minorHAnsi" w:cstheme="minorHAnsi"/>
                <w:b/>
                <w:bCs/>
                <w:sz w:val="18"/>
                <w:szCs w:val="14"/>
              </w:rPr>
            </w:pPr>
            <w:r w:rsidRPr="00950A49">
              <w:rPr>
                <w:rFonts w:asciiTheme="minorHAnsi" w:hAnsiTheme="minorHAnsi" w:cstheme="minorHAnsi"/>
                <w:b/>
                <w:bCs/>
                <w:sz w:val="18"/>
                <w:szCs w:val="14"/>
              </w:rPr>
              <w:t>Assets</w:t>
            </w:r>
          </w:p>
        </w:tc>
        <w:tc>
          <w:tcPr>
            <w:tcW w:w="1111" w:type="dxa"/>
          </w:tcPr>
          <w:p w14:paraId="6415E96C" w14:textId="77777777" w:rsidR="00977548" w:rsidRPr="00950A49" w:rsidRDefault="00977548" w:rsidP="00950A49">
            <w:pPr>
              <w:pStyle w:val="TablebodyleftFinancialsTables"/>
              <w:jc w:val="right"/>
              <w:rPr>
                <w:rFonts w:asciiTheme="minorHAnsi" w:hAnsiTheme="minorHAnsi" w:cstheme="minorHAnsi"/>
                <w:b/>
                <w:bCs/>
                <w:sz w:val="18"/>
                <w:szCs w:val="14"/>
              </w:rPr>
            </w:pPr>
          </w:p>
        </w:tc>
        <w:tc>
          <w:tcPr>
            <w:tcW w:w="1276" w:type="dxa"/>
          </w:tcPr>
          <w:p w14:paraId="37A8C96C" w14:textId="77777777" w:rsidR="00977548" w:rsidRPr="00950A49" w:rsidRDefault="00977548" w:rsidP="00950A49">
            <w:pPr>
              <w:pStyle w:val="TablebodyleftFinancialsTables"/>
              <w:jc w:val="right"/>
              <w:rPr>
                <w:rFonts w:asciiTheme="minorHAnsi" w:hAnsiTheme="minorHAnsi" w:cstheme="minorHAnsi"/>
                <w:b/>
                <w:bCs/>
                <w:sz w:val="18"/>
                <w:szCs w:val="14"/>
              </w:rPr>
            </w:pPr>
          </w:p>
        </w:tc>
        <w:tc>
          <w:tcPr>
            <w:tcW w:w="1275" w:type="dxa"/>
          </w:tcPr>
          <w:p w14:paraId="6144115E" w14:textId="77777777" w:rsidR="00977548" w:rsidRPr="00950A49" w:rsidRDefault="00977548" w:rsidP="00950A49">
            <w:pPr>
              <w:pStyle w:val="TablebodyleftFinancialsTables"/>
              <w:jc w:val="right"/>
              <w:rPr>
                <w:rFonts w:asciiTheme="minorHAnsi" w:hAnsiTheme="minorHAnsi" w:cstheme="minorHAnsi"/>
                <w:b/>
                <w:bCs/>
                <w:sz w:val="18"/>
                <w:szCs w:val="14"/>
              </w:rPr>
            </w:pPr>
          </w:p>
        </w:tc>
        <w:tc>
          <w:tcPr>
            <w:tcW w:w="1276" w:type="dxa"/>
          </w:tcPr>
          <w:p w14:paraId="0B5B3AE3" w14:textId="77777777" w:rsidR="00977548" w:rsidRPr="00950A49" w:rsidRDefault="00977548" w:rsidP="00950A49">
            <w:pPr>
              <w:pStyle w:val="TablebodyleftFinancialsTables"/>
              <w:jc w:val="right"/>
              <w:rPr>
                <w:rFonts w:asciiTheme="minorHAnsi" w:hAnsiTheme="minorHAnsi" w:cstheme="minorHAnsi"/>
                <w:b/>
                <w:bCs/>
                <w:sz w:val="18"/>
                <w:szCs w:val="14"/>
              </w:rPr>
            </w:pPr>
          </w:p>
        </w:tc>
        <w:tc>
          <w:tcPr>
            <w:tcW w:w="1276" w:type="dxa"/>
          </w:tcPr>
          <w:p w14:paraId="45EED3FB" w14:textId="77777777" w:rsidR="00977548" w:rsidRPr="00950A49" w:rsidRDefault="00977548" w:rsidP="00950A49">
            <w:pPr>
              <w:pStyle w:val="TablebodyleftFinancialsTables"/>
              <w:jc w:val="right"/>
              <w:rPr>
                <w:rFonts w:asciiTheme="minorHAnsi" w:hAnsiTheme="minorHAnsi" w:cstheme="minorHAnsi"/>
                <w:b/>
                <w:bCs/>
                <w:sz w:val="18"/>
                <w:szCs w:val="14"/>
              </w:rPr>
            </w:pPr>
          </w:p>
        </w:tc>
        <w:tc>
          <w:tcPr>
            <w:tcW w:w="1276" w:type="dxa"/>
          </w:tcPr>
          <w:p w14:paraId="250E139D" w14:textId="0342818D" w:rsidR="00977548" w:rsidRPr="00950A49" w:rsidRDefault="00977548" w:rsidP="00950A49">
            <w:pPr>
              <w:pStyle w:val="TablebodyleftFinancialsTables"/>
              <w:jc w:val="right"/>
              <w:rPr>
                <w:rFonts w:asciiTheme="minorHAnsi" w:hAnsiTheme="minorHAnsi" w:cstheme="minorHAnsi"/>
                <w:b/>
                <w:bCs/>
                <w:sz w:val="18"/>
                <w:szCs w:val="14"/>
              </w:rPr>
            </w:pPr>
          </w:p>
        </w:tc>
      </w:tr>
      <w:tr w:rsidR="00977548" w:rsidRPr="00950A49" w14:paraId="44863EB2" w14:textId="77777777" w:rsidTr="00950A49">
        <w:tc>
          <w:tcPr>
            <w:tcW w:w="2570" w:type="dxa"/>
          </w:tcPr>
          <w:p w14:paraId="506AA8CE" w14:textId="77777777" w:rsidR="00977548" w:rsidRPr="00950A49" w:rsidRDefault="00977548" w:rsidP="00977548">
            <w:pPr>
              <w:pStyle w:val="TablebodyleftFinancialsTables"/>
              <w:rPr>
                <w:rFonts w:asciiTheme="minorHAnsi" w:hAnsiTheme="minorHAnsi" w:cstheme="minorHAnsi"/>
                <w:b/>
                <w:bCs/>
                <w:sz w:val="18"/>
                <w:szCs w:val="14"/>
              </w:rPr>
            </w:pPr>
            <w:r w:rsidRPr="00950A49">
              <w:rPr>
                <w:rFonts w:asciiTheme="minorHAnsi" w:hAnsiTheme="minorHAnsi" w:cstheme="minorHAnsi"/>
                <w:b/>
                <w:bCs/>
                <w:sz w:val="18"/>
                <w:szCs w:val="14"/>
              </w:rPr>
              <w:t>Financial assets</w:t>
            </w:r>
          </w:p>
        </w:tc>
        <w:tc>
          <w:tcPr>
            <w:tcW w:w="1111" w:type="dxa"/>
          </w:tcPr>
          <w:p w14:paraId="26DACF37" w14:textId="77777777" w:rsidR="00977548" w:rsidRPr="00950A49" w:rsidRDefault="00977548" w:rsidP="00950A49">
            <w:pPr>
              <w:pStyle w:val="TablebodyleftFinancialsTables"/>
              <w:jc w:val="right"/>
              <w:rPr>
                <w:rFonts w:asciiTheme="minorHAnsi" w:hAnsiTheme="minorHAnsi" w:cstheme="minorHAnsi"/>
                <w:b/>
                <w:bCs/>
                <w:sz w:val="18"/>
                <w:szCs w:val="14"/>
              </w:rPr>
            </w:pPr>
          </w:p>
        </w:tc>
        <w:tc>
          <w:tcPr>
            <w:tcW w:w="1276" w:type="dxa"/>
          </w:tcPr>
          <w:p w14:paraId="334C256E" w14:textId="77777777" w:rsidR="00977548" w:rsidRPr="00950A49" w:rsidRDefault="00977548" w:rsidP="00950A49">
            <w:pPr>
              <w:pStyle w:val="TablebodyleftFinancialsTables"/>
              <w:jc w:val="right"/>
              <w:rPr>
                <w:rFonts w:asciiTheme="minorHAnsi" w:hAnsiTheme="minorHAnsi" w:cstheme="minorHAnsi"/>
                <w:b/>
                <w:bCs/>
                <w:sz w:val="18"/>
                <w:szCs w:val="14"/>
              </w:rPr>
            </w:pPr>
          </w:p>
        </w:tc>
        <w:tc>
          <w:tcPr>
            <w:tcW w:w="1275" w:type="dxa"/>
          </w:tcPr>
          <w:p w14:paraId="0B44CC80" w14:textId="77777777" w:rsidR="00977548" w:rsidRPr="00950A49" w:rsidRDefault="00977548" w:rsidP="00950A49">
            <w:pPr>
              <w:pStyle w:val="TablebodyleftFinancialsTables"/>
              <w:jc w:val="right"/>
              <w:rPr>
                <w:rFonts w:asciiTheme="minorHAnsi" w:hAnsiTheme="minorHAnsi" w:cstheme="minorHAnsi"/>
                <w:b/>
                <w:bCs/>
                <w:sz w:val="18"/>
                <w:szCs w:val="14"/>
              </w:rPr>
            </w:pPr>
          </w:p>
        </w:tc>
        <w:tc>
          <w:tcPr>
            <w:tcW w:w="1276" w:type="dxa"/>
          </w:tcPr>
          <w:p w14:paraId="6965EE50" w14:textId="77777777" w:rsidR="00977548" w:rsidRPr="00950A49" w:rsidRDefault="00977548" w:rsidP="00950A49">
            <w:pPr>
              <w:pStyle w:val="TablebodyleftFinancialsTables"/>
              <w:jc w:val="right"/>
              <w:rPr>
                <w:rFonts w:asciiTheme="minorHAnsi" w:hAnsiTheme="minorHAnsi" w:cstheme="minorHAnsi"/>
                <w:b/>
                <w:bCs/>
                <w:sz w:val="18"/>
                <w:szCs w:val="14"/>
              </w:rPr>
            </w:pPr>
          </w:p>
        </w:tc>
        <w:tc>
          <w:tcPr>
            <w:tcW w:w="1276" w:type="dxa"/>
          </w:tcPr>
          <w:p w14:paraId="06746C86" w14:textId="77777777" w:rsidR="00977548" w:rsidRPr="00950A49" w:rsidRDefault="00977548" w:rsidP="00950A49">
            <w:pPr>
              <w:pStyle w:val="TablebodyleftFinancialsTables"/>
              <w:jc w:val="right"/>
              <w:rPr>
                <w:rFonts w:asciiTheme="minorHAnsi" w:hAnsiTheme="minorHAnsi" w:cstheme="minorHAnsi"/>
                <w:b/>
                <w:bCs/>
                <w:sz w:val="18"/>
                <w:szCs w:val="14"/>
              </w:rPr>
            </w:pPr>
          </w:p>
        </w:tc>
        <w:tc>
          <w:tcPr>
            <w:tcW w:w="1276" w:type="dxa"/>
          </w:tcPr>
          <w:p w14:paraId="04FBA219" w14:textId="292D783E" w:rsidR="00977548" w:rsidRPr="00950A49" w:rsidRDefault="00977548" w:rsidP="00950A49">
            <w:pPr>
              <w:pStyle w:val="TablebodyleftFinancialsTables"/>
              <w:jc w:val="right"/>
              <w:rPr>
                <w:rFonts w:asciiTheme="minorHAnsi" w:hAnsiTheme="minorHAnsi" w:cstheme="minorHAnsi"/>
                <w:b/>
                <w:bCs/>
                <w:sz w:val="18"/>
                <w:szCs w:val="14"/>
              </w:rPr>
            </w:pPr>
          </w:p>
        </w:tc>
      </w:tr>
      <w:tr w:rsidR="00B02873" w:rsidRPr="00950A49" w14:paraId="5C936327" w14:textId="77777777" w:rsidTr="00950A49">
        <w:tc>
          <w:tcPr>
            <w:tcW w:w="2570" w:type="dxa"/>
          </w:tcPr>
          <w:p w14:paraId="6D20138B" w14:textId="77777777" w:rsidR="00B02873" w:rsidRPr="00950A49" w:rsidRDefault="00B02873" w:rsidP="00977548">
            <w:pPr>
              <w:pStyle w:val="TablebodyleftFinancialsTables"/>
              <w:rPr>
                <w:rFonts w:asciiTheme="minorHAnsi" w:hAnsiTheme="minorHAnsi" w:cstheme="minorHAnsi"/>
                <w:sz w:val="18"/>
                <w:szCs w:val="14"/>
              </w:rPr>
            </w:pPr>
            <w:r w:rsidRPr="00950A49">
              <w:rPr>
                <w:rFonts w:asciiTheme="minorHAnsi" w:hAnsiTheme="minorHAnsi" w:cstheme="minorHAnsi"/>
                <w:sz w:val="18"/>
                <w:szCs w:val="14"/>
              </w:rPr>
              <w:t>Cash and cash deposits</w:t>
            </w:r>
          </w:p>
        </w:tc>
        <w:tc>
          <w:tcPr>
            <w:tcW w:w="1111" w:type="dxa"/>
          </w:tcPr>
          <w:p w14:paraId="029AB662" w14:textId="77777777" w:rsidR="00B02873" w:rsidRPr="00950A49" w:rsidRDefault="00B02873" w:rsidP="00950A49">
            <w:pPr>
              <w:pStyle w:val="TablebodyleftFinancialsTables"/>
              <w:jc w:val="right"/>
              <w:rPr>
                <w:rFonts w:asciiTheme="minorHAnsi" w:hAnsiTheme="minorHAnsi" w:cstheme="minorHAnsi"/>
                <w:b/>
                <w:bCs/>
                <w:sz w:val="18"/>
                <w:szCs w:val="14"/>
              </w:rPr>
            </w:pPr>
            <w:r w:rsidRPr="00950A49">
              <w:rPr>
                <w:rFonts w:asciiTheme="minorHAnsi" w:hAnsiTheme="minorHAnsi" w:cstheme="minorHAnsi"/>
                <w:b/>
                <w:bCs/>
                <w:sz w:val="18"/>
                <w:szCs w:val="14"/>
              </w:rPr>
              <w:t>55,281</w:t>
            </w:r>
          </w:p>
        </w:tc>
        <w:tc>
          <w:tcPr>
            <w:tcW w:w="1276" w:type="dxa"/>
          </w:tcPr>
          <w:p w14:paraId="04537CE3" w14:textId="77777777" w:rsidR="00B02873" w:rsidRPr="00950A49" w:rsidRDefault="00B02873" w:rsidP="00950A49">
            <w:pPr>
              <w:pStyle w:val="TablebodyleftFinancialsTables"/>
              <w:jc w:val="right"/>
              <w:rPr>
                <w:rFonts w:asciiTheme="minorHAnsi" w:hAnsiTheme="minorHAnsi" w:cstheme="minorHAnsi"/>
                <w:sz w:val="18"/>
                <w:szCs w:val="14"/>
              </w:rPr>
            </w:pPr>
            <w:r w:rsidRPr="00950A49">
              <w:rPr>
                <w:rFonts w:asciiTheme="minorHAnsi" w:hAnsiTheme="minorHAnsi" w:cstheme="minorHAnsi"/>
                <w:sz w:val="18"/>
                <w:szCs w:val="14"/>
              </w:rPr>
              <w:t>49,292</w:t>
            </w:r>
          </w:p>
        </w:tc>
        <w:tc>
          <w:tcPr>
            <w:tcW w:w="1275" w:type="dxa"/>
          </w:tcPr>
          <w:p w14:paraId="11EAB52F" w14:textId="77777777" w:rsidR="00B02873" w:rsidRPr="00950A49" w:rsidRDefault="00B02873" w:rsidP="00950A49">
            <w:pPr>
              <w:pStyle w:val="TablebodyleftFinancialsTables"/>
              <w:jc w:val="right"/>
              <w:rPr>
                <w:rFonts w:asciiTheme="minorHAnsi" w:hAnsiTheme="minorHAnsi" w:cstheme="minorHAnsi"/>
                <w:b/>
                <w:bCs/>
                <w:sz w:val="18"/>
                <w:szCs w:val="14"/>
              </w:rPr>
            </w:pPr>
            <w:r w:rsidRPr="00950A49">
              <w:rPr>
                <w:rFonts w:asciiTheme="minorHAnsi" w:hAnsiTheme="minorHAnsi" w:cstheme="minorHAnsi"/>
                <w:b/>
                <w:bCs/>
                <w:sz w:val="18"/>
                <w:szCs w:val="14"/>
              </w:rPr>
              <w:t>156,485</w:t>
            </w:r>
          </w:p>
        </w:tc>
        <w:tc>
          <w:tcPr>
            <w:tcW w:w="1276" w:type="dxa"/>
          </w:tcPr>
          <w:p w14:paraId="743596B1" w14:textId="77777777" w:rsidR="00B02873" w:rsidRPr="00950A49" w:rsidRDefault="00B02873" w:rsidP="00950A49">
            <w:pPr>
              <w:pStyle w:val="TablebodyleftFinancialsTables"/>
              <w:jc w:val="right"/>
              <w:rPr>
                <w:rFonts w:asciiTheme="minorHAnsi" w:hAnsiTheme="minorHAnsi" w:cstheme="minorHAnsi"/>
                <w:sz w:val="18"/>
                <w:szCs w:val="14"/>
              </w:rPr>
            </w:pPr>
            <w:r w:rsidRPr="00950A49">
              <w:rPr>
                <w:rFonts w:asciiTheme="minorHAnsi" w:hAnsiTheme="minorHAnsi" w:cstheme="minorHAnsi"/>
                <w:sz w:val="18"/>
                <w:szCs w:val="14"/>
              </w:rPr>
              <w:t>279,177</w:t>
            </w:r>
          </w:p>
        </w:tc>
        <w:tc>
          <w:tcPr>
            <w:tcW w:w="1276" w:type="dxa"/>
          </w:tcPr>
          <w:p w14:paraId="46E2F1F5" w14:textId="77777777" w:rsidR="00B02873" w:rsidRPr="00950A49" w:rsidRDefault="00B02873" w:rsidP="00950A49">
            <w:pPr>
              <w:pStyle w:val="TablebodyleftFinancialsTables"/>
              <w:jc w:val="right"/>
              <w:rPr>
                <w:rFonts w:asciiTheme="minorHAnsi" w:hAnsiTheme="minorHAnsi" w:cstheme="minorHAnsi"/>
                <w:b/>
                <w:bCs/>
                <w:sz w:val="18"/>
                <w:szCs w:val="14"/>
              </w:rPr>
            </w:pPr>
            <w:r w:rsidRPr="00950A49">
              <w:rPr>
                <w:rFonts w:asciiTheme="minorHAnsi" w:hAnsiTheme="minorHAnsi" w:cstheme="minorHAnsi"/>
                <w:b/>
                <w:bCs/>
                <w:sz w:val="18"/>
                <w:szCs w:val="14"/>
              </w:rPr>
              <w:t>49,964</w:t>
            </w:r>
          </w:p>
        </w:tc>
        <w:tc>
          <w:tcPr>
            <w:tcW w:w="1276" w:type="dxa"/>
          </w:tcPr>
          <w:p w14:paraId="0B692A96" w14:textId="77777777" w:rsidR="00B02873" w:rsidRPr="00950A49" w:rsidRDefault="00B02873" w:rsidP="00950A49">
            <w:pPr>
              <w:pStyle w:val="TablebodyleftFinancialsTables"/>
              <w:jc w:val="right"/>
              <w:rPr>
                <w:rFonts w:asciiTheme="minorHAnsi" w:hAnsiTheme="minorHAnsi" w:cstheme="minorHAnsi"/>
                <w:sz w:val="18"/>
                <w:szCs w:val="14"/>
              </w:rPr>
            </w:pPr>
            <w:r w:rsidRPr="00950A49">
              <w:rPr>
                <w:rFonts w:asciiTheme="minorHAnsi" w:hAnsiTheme="minorHAnsi" w:cstheme="minorHAnsi"/>
                <w:sz w:val="18"/>
                <w:szCs w:val="14"/>
              </w:rPr>
              <w:t>56,079</w:t>
            </w:r>
          </w:p>
        </w:tc>
      </w:tr>
      <w:tr w:rsidR="00B02873" w:rsidRPr="00950A49" w14:paraId="3C67EFF7" w14:textId="77777777" w:rsidTr="00950A49">
        <w:tc>
          <w:tcPr>
            <w:tcW w:w="2570" w:type="dxa"/>
          </w:tcPr>
          <w:p w14:paraId="1D4FC4E2" w14:textId="77777777" w:rsidR="00B02873" w:rsidRPr="00950A49" w:rsidRDefault="00B02873" w:rsidP="00977548">
            <w:pPr>
              <w:pStyle w:val="TablebodyleftFinancialsTables"/>
              <w:rPr>
                <w:rFonts w:asciiTheme="minorHAnsi" w:hAnsiTheme="minorHAnsi" w:cstheme="minorHAnsi"/>
                <w:sz w:val="18"/>
                <w:szCs w:val="14"/>
              </w:rPr>
            </w:pPr>
            <w:r w:rsidRPr="00950A49">
              <w:rPr>
                <w:rFonts w:asciiTheme="minorHAnsi" w:hAnsiTheme="minorHAnsi" w:cstheme="minorHAnsi"/>
                <w:sz w:val="18"/>
                <w:szCs w:val="14"/>
              </w:rPr>
              <w:t>Receivables</w:t>
            </w:r>
          </w:p>
        </w:tc>
        <w:tc>
          <w:tcPr>
            <w:tcW w:w="1111" w:type="dxa"/>
          </w:tcPr>
          <w:p w14:paraId="1840D34B" w14:textId="77777777" w:rsidR="00B02873" w:rsidRPr="00950A49" w:rsidRDefault="00B02873" w:rsidP="00950A49">
            <w:pPr>
              <w:pStyle w:val="TablebodyleftFinancialsTables"/>
              <w:jc w:val="right"/>
              <w:rPr>
                <w:rFonts w:asciiTheme="minorHAnsi" w:hAnsiTheme="minorHAnsi" w:cstheme="minorHAnsi"/>
                <w:b/>
                <w:bCs/>
                <w:sz w:val="18"/>
                <w:szCs w:val="14"/>
              </w:rPr>
            </w:pPr>
            <w:r w:rsidRPr="00950A49">
              <w:rPr>
                <w:rFonts w:asciiTheme="minorHAnsi" w:hAnsiTheme="minorHAnsi" w:cstheme="minorHAnsi"/>
                <w:b/>
                <w:bCs/>
                <w:sz w:val="18"/>
                <w:szCs w:val="14"/>
              </w:rPr>
              <w:t>29,043</w:t>
            </w:r>
          </w:p>
        </w:tc>
        <w:tc>
          <w:tcPr>
            <w:tcW w:w="1276" w:type="dxa"/>
          </w:tcPr>
          <w:p w14:paraId="09F698C6" w14:textId="77777777" w:rsidR="00B02873" w:rsidRPr="00950A49" w:rsidRDefault="00B02873" w:rsidP="00950A49">
            <w:pPr>
              <w:pStyle w:val="TablebodyleftFinancialsTables"/>
              <w:jc w:val="right"/>
              <w:rPr>
                <w:rFonts w:asciiTheme="minorHAnsi" w:hAnsiTheme="minorHAnsi" w:cstheme="minorHAnsi"/>
                <w:sz w:val="18"/>
                <w:szCs w:val="14"/>
              </w:rPr>
            </w:pPr>
            <w:r w:rsidRPr="00950A49">
              <w:rPr>
                <w:rFonts w:asciiTheme="minorHAnsi" w:hAnsiTheme="minorHAnsi" w:cstheme="minorHAnsi"/>
                <w:sz w:val="18"/>
                <w:szCs w:val="14"/>
              </w:rPr>
              <w:t>31,275</w:t>
            </w:r>
          </w:p>
        </w:tc>
        <w:tc>
          <w:tcPr>
            <w:tcW w:w="1275" w:type="dxa"/>
          </w:tcPr>
          <w:p w14:paraId="544FA411" w14:textId="77777777" w:rsidR="00B02873" w:rsidRPr="00950A49" w:rsidRDefault="00B02873" w:rsidP="00950A49">
            <w:pPr>
              <w:pStyle w:val="TablebodyleftFinancialsTables"/>
              <w:jc w:val="right"/>
              <w:rPr>
                <w:rFonts w:asciiTheme="minorHAnsi" w:hAnsiTheme="minorHAnsi" w:cstheme="minorHAnsi"/>
                <w:b/>
                <w:bCs/>
                <w:sz w:val="18"/>
                <w:szCs w:val="14"/>
              </w:rPr>
            </w:pPr>
            <w:r w:rsidRPr="00950A49">
              <w:rPr>
                <w:rFonts w:asciiTheme="minorHAnsi" w:hAnsiTheme="minorHAnsi" w:cstheme="minorHAnsi"/>
                <w:b/>
                <w:bCs/>
                <w:sz w:val="18"/>
                <w:szCs w:val="14"/>
              </w:rPr>
              <w:t>89,176</w:t>
            </w:r>
          </w:p>
        </w:tc>
        <w:tc>
          <w:tcPr>
            <w:tcW w:w="1276" w:type="dxa"/>
          </w:tcPr>
          <w:p w14:paraId="0E560C9A" w14:textId="77777777" w:rsidR="00B02873" w:rsidRPr="00950A49" w:rsidRDefault="00B02873" w:rsidP="00950A49">
            <w:pPr>
              <w:pStyle w:val="TablebodyleftFinancialsTables"/>
              <w:jc w:val="right"/>
              <w:rPr>
                <w:rFonts w:asciiTheme="minorHAnsi" w:hAnsiTheme="minorHAnsi" w:cstheme="minorHAnsi"/>
                <w:sz w:val="18"/>
                <w:szCs w:val="14"/>
              </w:rPr>
            </w:pPr>
            <w:r w:rsidRPr="00950A49">
              <w:rPr>
                <w:rFonts w:asciiTheme="minorHAnsi" w:hAnsiTheme="minorHAnsi" w:cstheme="minorHAnsi"/>
                <w:sz w:val="18"/>
                <w:szCs w:val="14"/>
              </w:rPr>
              <w:t>96,597</w:t>
            </w:r>
          </w:p>
        </w:tc>
        <w:tc>
          <w:tcPr>
            <w:tcW w:w="1276" w:type="dxa"/>
          </w:tcPr>
          <w:p w14:paraId="162E1D0E" w14:textId="77777777" w:rsidR="00B02873" w:rsidRPr="00950A49" w:rsidRDefault="00B02873" w:rsidP="00950A49">
            <w:pPr>
              <w:pStyle w:val="TablebodyleftFinancialsTables"/>
              <w:jc w:val="right"/>
              <w:rPr>
                <w:rFonts w:asciiTheme="minorHAnsi" w:hAnsiTheme="minorHAnsi" w:cstheme="minorHAnsi"/>
                <w:b/>
                <w:bCs/>
                <w:sz w:val="18"/>
                <w:szCs w:val="14"/>
              </w:rPr>
            </w:pPr>
            <w:r w:rsidRPr="00950A49">
              <w:rPr>
                <w:rFonts w:asciiTheme="minorHAnsi" w:hAnsiTheme="minorHAnsi" w:cstheme="minorHAnsi"/>
                <w:b/>
                <w:bCs/>
                <w:sz w:val="18"/>
                <w:szCs w:val="14"/>
              </w:rPr>
              <w:t>89,029</w:t>
            </w:r>
          </w:p>
        </w:tc>
        <w:tc>
          <w:tcPr>
            <w:tcW w:w="1276" w:type="dxa"/>
          </w:tcPr>
          <w:p w14:paraId="021D62E7" w14:textId="77777777" w:rsidR="00B02873" w:rsidRPr="00950A49" w:rsidRDefault="00B02873" w:rsidP="00950A49">
            <w:pPr>
              <w:pStyle w:val="TablebodyleftFinancialsTables"/>
              <w:jc w:val="right"/>
              <w:rPr>
                <w:rFonts w:asciiTheme="minorHAnsi" w:hAnsiTheme="minorHAnsi" w:cstheme="minorHAnsi"/>
                <w:sz w:val="18"/>
                <w:szCs w:val="14"/>
              </w:rPr>
            </w:pPr>
            <w:r w:rsidRPr="00950A49">
              <w:rPr>
                <w:rFonts w:asciiTheme="minorHAnsi" w:hAnsiTheme="minorHAnsi" w:cstheme="minorHAnsi"/>
                <w:sz w:val="18"/>
                <w:szCs w:val="14"/>
              </w:rPr>
              <w:t>96,620</w:t>
            </w:r>
          </w:p>
        </w:tc>
      </w:tr>
      <w:tr w:rsidR="00B02873" w:rsidRPr="00950A49" w14:paraId="5B8B7AEF" w14:textId="77777777" w:rsidTr="00950A49">
        <w:tc>
          <w:tcPr>
            <w:tcW w:w="2570" w:type="dxa"/>
          </w:tcPr>
          <w:p w14:paraId="7A6DAB79" w14:textId="77777777" w:rsidR="00B02873" w:rsidRPr="00950A49" w:rsidRDefault="00B02873" w:rsidP="00977548">
            <w:pPr>
              <w:pStyle w:val="TablebodyleftFinancialsTables"/>
              <w:rPr>
                <w:rFonts w:asciiTheme="minorHAnsi" w:hAnsiTheme="minorHAnsi" w:cstheme="minorHAnsi"/>
                <w:sz w:val="18"/>
                <w:szCs w:val="14"/>
              </w:rPr>
            </w:pPr>
            <w:r w:rsidRPr="00950A49">
              <w:rPr>
                <w:rFonts w:asciiTheme="minorHAnsi" w:hAnsiTheme="minorHAnsi" w:cstheme="minorHAnsi"/>
                <w:spacing w:val="-2"/>
                <w:sz w:val="18"/>
                <w:szCs w:val="14"/>
              </w:rPr>
              <w:t xml:space="preserve">Derivative financial instruments </w:t>
            </w:r>
          </w:p>
        </w:tc>
        <w:tc>
          <w:tcPr>
            <w:tcW w:w="1111" w:type="dxa"/>
          </w:tcPr>
          <w:p w14:paraId="5C584282" w14:textId="77777777" w:rsidR="00B02873" w:rsidRPr="00950A49" w:rsidRDefault="00B02873" w:rsidP="00950A49">
            <w:pPr>
              <w:pStyle w:val="TablebodyleftFinancialsTables"/>
              <w:jc w:val="right"/>
              <w:rPr>
                <w:rFonts w:asciiTheme="minorHAnsi" w:hAnsiTheme="minorHAnsi" w:cstheme="minorHAnsi"/>
                <w:b/>
                <w:bCs/>
                <w:sz w:val="18"/>
                <w:szCs w:val="14"/>
              </w:rPr>
            </w:pPr>
            <w:r w:rsidRPr="00950A49">
              <w:rPr>
                <w:rFonts w:asciiTheme="minorHAnsi" w:hAnsiTheme="minorHAnsi" w:cstheme="minorHAnsi"/>
                <w:b/>
                <w:bCs/>
                <w:sz w:val="18"/>
                <w:szCs w:val="14"/>
              </w:rPr>
              <w:t>–</w:t>
            </w:r>
          </w:p>
        </w:tc>
        <w:tc>
          <w:tcPr>
            <w:tcW w:w="1276" w:type="dxa"/>
          </w:tcPr>
          <w:p w14:paraId="40FC5150" w14:textId="77777777" w:rsidR="00B02873" w:rsidRPr="00950A49" w:rsidRDefault="00B02873" w:rsidP="00950A49">
            <w:pPr>
              <w:pStyle w:val="TablebodyleftFinancialsTables"/>
              <w:jc w:val="right"/>
              <w:rPr>
                <w:rFonts w:asciiTheme="minorHAnsi" w:hAnsiTheme="minorHAnsi" w:cstheme="minorHAnsi"/>
                <w:sz w:val="18"/>
                <w:szCs w:val="14"/>
              </w:rPr>
            </w:pPr>
            <w:r w:rsidRPr="00950A49">
              <w:rPr>
                <w:rFonts w:asciiTheme="minorHAnsi" w:hAnsiTheme="minorHAnsi" w:cstheme="minorHAnsi"/>
                <w:sz w:val="18"/>
                <w:szCs w:val="14"/>
              </w:rPr>
              <w:t>–</w:t>
            </w:r>
          </w:p>
        </w:tc>
        <w:tc>
          <w:tcPr>
            <w:tcW w:w="1275" w:type="dxa"/>
          </w:tcPr>
          <w:p w14:paraId="2AC84CF8" w14:textId="77777777" w:rsidR="00B02873" w:rsidRPr="00950A49" w:rsidRDefault="00B02873" w:rsidP="00950A49">
            <w:pPr>
              <w:pStyle w:val="TablebodyleftFinancialsTables"/>
              <w:jc w:val="right"/>
              <w:rPr>
                <w:rFonts w:asciiTheme="minorHAnsi" w:hAnsiTheme="minorHAnsi" w:cstheme="minorHAnsi"/>
                <w:b/>
                <w:bCs/>
                <w:sz w:val="18"/>
                <w:szCs w:val="14"/>
              </w:rPr>
            </w:pPr>
            <w:r w:rsidRPr="00950A49">
              <w:rPr>
                <w:rFonts w:asciiTheme="minorHAnsi" w:hAnsiTheme="minorHAnsi" w:cstheme="minorHAnsi"/>
                <w:b/>
                <w:bCs/>
                <w:sz w:val="18"/>
                <w:szCs w:val="14"/>
              </w:rPr>
              <w:t>–</w:t>
            </w:r>
          </w:p>
        </w:tc>
        <w:tc>
          <w:tcPr>
            <w:tcW w:w="1276" w:type="dxa"/>
          </w:tcPr>
          <w:p w14:paraId="613D96F1" w14:textId="77777777" w:rsidR="00B02873" w:rsidRPr="00950A49" w:rsidRDefault="00B02873" w:rsidP="00950A49">
            <w:pPr>
              <w:pStyle w:val="TablebodyleftFinancialsTables"/>
              <w:jc w:val="right"/>
              <w:rPr>
                <w:rFonts w:asciiTheme="minorHAnsi" w:hAnsiTheme="minorHAnsi" w:cstheme="minorHAnsi"/>
                <w:sz w:val="18"/>
                <w:szCs w:val="14"/>
              </w:rPr>
            </w:pPr>
            <w:r w:rsidRPr="00950A49">
              <w:rPr>
                <w:rFonts w:asciiTheme="minorHAnsi" w:hAnsiTheme="minorHAnsi" w:cstheme="minorHAnsi"/>
                <w:sz w:val="18"/>
                <w:szCs w:val="14"/>
              </w:rPr>
              <w:t>–</w:t>
            </w:r>
          </w:p>
        </w:tc>
        <w:tc>
          <w:tcPr>
            <w:tcW w:w="1276" w:type="dxa"/>
          </w:tcPr>
          <w:p w14:paraId="12D47505" w14:textId="77777777" w:rsidR="00B02873" w:rsidRPr="00950A49" w:rsidRDefault="00B02873" w:rsidP="00950A49">
            <w:pPr>
              <w:pStyle w:val="TablebodyleftFinancialsTables"/>
              <w:jc w:val="right"/>
              <w:rPr>
                <w:rFonts w:asciiTheme="minorHAnsi" w:hAnsiTheme="minorHAnsi" w:cstheme="minorHAnsi"/>
                <w:b/>
                <w:bCs/>
                <w:sz w:val="18"/>
                <w:szCs w:val="14"/>
              </w:rPr>
            </w:pPr>
            <w:r w:rsidRPr="00950A49">
              <w:rPr>
                <w:rFonts w:asciiTheme="minorHAnsi" w:hAnsiTheme="minorHAnsi" w:cstheme="minorHAnsi"/>
                <w:b/>
                <w:bCs/>
                <w:sz w:val="18"/>
                <w:szCs w:val="14"/>
              </w:rPr>
              <w:t>–</w:t>
            </w:r>
          </w:p>
        </w:tc>
        <w:tc>
          <w:tcPr>
            <w:tcW w:w="1276" w:type="dxa"/>
          </w:tcPr>
          <w:p w14:paraId="7B99EFA5" w14:textId="77777777" w:rsidR="00B02873" w:rsidRPr="00950A49" w:rsidRDefault="00B02873" w:rsidP="00950A49">
            <w:pPr>
              <w:pStyle w:val="TablebodyleftFinancialsTables"/>
              <w:jc w:val="right"/>
              <w:rPr>
                <w:rFonts w:asciiTheme="minorHAnsi" w:hAnsiTheme="minorHAnsi" w:cstheme="minorHAnsi"/>
                <w:sz w:val="18"/>
                <w:szCs w:val="14"/>
              </w:rPr>
            </w:pPr>
            <w:r w:rsidRPr="00950A49">
              <w:rPr>
                <w:rFonts w:asciiTheme="minorHAnsi" w:hAnsiTheme="minorHAnsi" w:cstheme="minorHAnsi"/>
                <w:sz w:val="18"/>
                <w:szCs w:val="14"/>
              </w:rPr>
              <w:t>–</w:t>
            </w:r>
          </w:p>
        </w:tc>
      </w:tr>
      <w:tr w:rsidR="00B02873" w:rsidRPr="00950A49" w14:paraId="2C949FE6" w14:textId="77777777" w:rsidTr="00950A49">
        <w:tc>
          <w:tcPr>
            <w:tcW w:w="2570" w:type="dxa"/>
          </w:tcPr>
          <w:p w14:paraId="10F8158B" w14:textId="77777777" w:rsidR="00B02873" w:rsidRPr="00950A49" w:rsidRDefault="00B02873" w:rsidP="00977548">
            <w:pPr>
              <w:pStyle w:val="TablebodyleftFinancialsTables"/>
              <w:rPr>
                <w:rFonts w:asciiTheme="minorHAnsi" w:hAnsiTheme="minorHAnsi" w:cstheme="minorHAnsi"/>
                <w:b/>
                <w:bCs/>
                <w:sz w:val="18"/>
                <w:szCs w:val="14"/>
              </w:rPr>
            </w:pPr>
            <w:r w:rsidRPr="00950A49">
              <w:rPr>
                <w:rFonts w:asciiTheme="minorHAnsi" w:hAnsiTheme="minorHAnsi" w:cstheme="minorHAnsi"/>
                <w:b/>
                <w:bCs/>
                <w:sz w:val="18"/>
                <w:szCs w:val="14"/>
              </w:rPr>
              <w:t>Total financial assets</w:t>
            </w:r>
          </w:p>
        </w:tc>
        <w:tc>
          <w:tcPr>
            <w:tcW w:w="1111" w:type="dxa"/>
          </w:tcPr>
          <w:p w14:paraId="185F2C7F" w14:textId="77777777" w:rsidR="00B02873" w:rsidRPr="00950A49" w:rsidRDefault="00B02873" w:rsidP="00950A49">
            <w:pPr>
              <w:pStyle w:val="TablebodyleftFinancialsTables"/>
              <w:jc w:val="right"/>
              <w:rPr>
                <w:rFonts w:asciiTheme="minorHAnsi" w:hAnsiTheme="minorHAnsi" w:cstheme="minorHAnsi"/>
                <w:b/>
                <w:bCs/>
                <w:sz w:val="18"/>
                <w:szCs w:val="14"/>
              </w:rPr>
            </w:pPr>
            <w:r w:rsidRPr="00950A49">
              <w:rPr>
                <w:rFonts w:asciiTheme="minorHAnsi" w:hAnsiTheme="minorHAnsi" w:cstheme="minorHAnsi"/>
                <w:b/>
                <w:bCs/>
                <w:sz w:val="18"/>
                <w:szCs w:val="14"/>
              </w:rPr>
              <w:t>84,324</w:t>
            </w:r>
          </w:p>
        </w:tc>
        <w:tc>
          <w:tcPr>
            <w:tcW w:w="1276" w:type="dxa"/>
          </w:tcPr>
          <w:p w14:paraId="163AC40E" w14:textId="77777777" w:rsidR="00B02873" w:rsidRPr="00950A49" w:rsidRDefault="00B02873" w:rsidP="00950A49">
            <w:pPr>
              <w:pStyle w:val="TablebodyleftFinancialsTables"/>
              <w:jc w:val="right"/>
              <w:rPr>
                <w:rFonts w:asciiTheme="minorHAnsi" w:hAnsiTheme="minorHAnsi" w:cstheme="minorHAnsi"/>
                <w:sz w:val="18"/>
                <w:szCs w:val="14"/>
              </w:rPr>
            </w:pPr>
            <w:r w:rsidRPr="00950A49">
              <w:rPr>
                <w:rFonts w:asciiTheme="minorHAnsi" w:hAnsiTheme="minorHAnsi" w:cstheme="minorHAnsi"/>
                <w:sz w:val="18"/>
                <w:szCs w:val="14"/>
              </w:rPr>
              <w:t>80,567</w:t>
            </w:r>
          </w:p>
        </w:tc>
        <w:tc>
          <w:tcPr>
            <w:tcW w:w="1275" w:type="dxa"/>
          </w:tcPr>
          <w:p w14:paraId="677FFE3D" w14:textId="77777777" w:rsidR="00B02873" w:rsidRPr="00950A49" w:rsidRDefault="00B02873" w:rsidP="00950A49">
            <w:pPr>
              <w:pStyle w:val="TablebodyleftFinancialsTables"/>
              <w:jc w:val="right"/>
              <w:rPr>
                <w:rFonts w:asciiTheme="minorHAnsi" w:hAnsiTheme="minorHAnsi" w:cstheme="minorHAnsi"/>
                <w:b/>
                <w:bCs/>
                <w:sz w:val="18"/>
                <w:szCs w:val="14"/>
              </w:rPr>
            </w:pPr>
            <w:r w:rsidRPr="00950A49">
              <w:rPr>
                <w:rFonts w:asciiTheme="minorHAnsi" w:hAnsiTheme="minorHAnsi" w:cstheme="minorHAnsi"/>
                <w:b/>
                <w:bCs/>
                <w:sz w:val="18"/>
                <w:szCs w:val="14"/>
              </w:rPr>
              <w:t>245,661</w:t>
            </w:r>
          </w:p>
        </w:tc>
        <w:tc>
          <w:tcPr>
            <w:tcW w:w="1276" w:type="dxa"/>
          </w:tcPr>
          <w:p w14:paraId="344949FF" w14:textId="77777777" w:rsidR="00B02873" w:rsidRPr="00950A49" w:rsidRDefault="00B02873" w:rsidP="00950A49">
            <w:pPr>
              <w:pStyle w:val="TablebodyleftFinancialsTables"/>
              <w:jc w:val="right"/>
              <w:rPr>
                <w:rFonts w:asciiTheme="minorHAnsi" w:hAnsiTheme="minorHAnsi" w:cstheme="minorHAnsi"/>
                <w:sz w:val="18"/>
                <w:szCs w:val="14"/>
              </w:rPr>
            </w:pPr>
            <w:r w:rsidRPr="00950A49">
              <w:rPr>
                <w:rFonts w:asciiTheme="minorHAnsi" w:hAnsiTheme="minorHAnsi" w:cstheme="minorHAnsi"/>
                <w:sz w:val="18"/>
                <w:szCs w:val="14"/>
              </w:rPr>
              <w:t>375,774</w:t>
            </w:r>
          </w:p>
        </w:tc>
        <w:tc>
          <w:tcPr>
            <w:tcW w:w="1276" w:type="dxa"/>
          </w:tcPr>
          <w:p w14:paraId="7AA87B53" w14:textId="77777777" w:rsidR="00B02873" w:rsidRPr="00950A49" w:rsidRDefault="00B02873" w:rsidP="00950A49">
            <w:pPr>
              <w:pStyle w:val="TablebodyleftFinancialsTables"/>
              <w:jc w:val="right"/>
              <w:rPr>
                <w:rFonts w:asciiTheme="minorHAnsi" w:hAnsiTheme="minorHAnsi" w:cstheme="minorHAnsi"/>
                <w:b/>
                <w:bCs/>
                <w:sz w:val="18"/>
                <w:szCs w:val="14"/>
              </w:rPr>
            </w:pPr>
            <w:r w:rsidRPr="00950A49">
              <w:rPr>
                <w:rFonts w:asciiTheme="minorHAnsi" w:hAnsiTheme="minorHAnsi" w:cstheme="minorHAnsi"/>
                <w:b/>
                <w:bCs/>
                <w:sz w:val="18"/>
                <w:szCs w:val="14"/>
              </w:rPr>
              <w:t>138,993</w:t>
            </w:r>
          </w:p>
        </w:tc>
        <w:tc>
          <w:tcPr>
            <w:tcW w:w="1276" w:type="dxa"/>
          </w:tcPr>
          <w:p w14:paraId="2C900821" w14:textId="77777777" w:rsidR="00B02873" w:rsidRPr="00950A49" w:rsidRDefault="00B02873" w:rsidP="00950A49">
            <w:pPr>
              <w:pStyle w:val="TablebodyleftFinancialsTables"/>
              <w:jc w:val="right"/>
              <w:rPr>
                <w:rFonts w:asciiTheme="minorHAnsi" w:hAnsiTheme="minorHAnsi" w:cstheme="minorHAnsi"/>
                <w:sz w:val="18"/>
                <w:szCs w:val="14"/>
              </w:rPr>
            </w:pPr>
            <w:r w:rsidRPr="00950A49">
              <w:rPr>
                <w:rFonts w:asciiTheme="minorHAnsi" w:hAnsiTheme="minorHAnsi" w:cstheme="minorHAnsi"/>
                <w:sz w:val="18"/>
                <w:szCs w:val="14"/>
              </w:rPr>
              <w:t>152,699</w:t>
            </w:r>
          </w:p>
        </w:tc>
      </w:tr>
      <w:tr w:rsidR="00977548" w:rsidRPr="00950A49" w14:paraId="595B3B69" w14:textId="77777777" w:rsidTr="00950A49">
        <w:tc>
          <w:tcPr>
            <w:tcW w:w="2570" w:type="dxa"/>
          </w:tcPr>
          <w:p w14:paraId="0D11D754" w14:textId="77777777" w:rsidR="00977548" w:rsidRPr="00950A49" w:rsidRDefault="00977548" w:rsidP="00977548">
            <w:pPr>
              <w:pStyle w:val="TablebodyleftFinancialsTables"/>
              <w:rPr>
                <w:rFonts w:asciiTheme="minorHAnsi" w:hAnsiTheme="minorHAnsi" w:cstheme="minorHAnsi"/>
                <w:b/>
                <w:bCs/>
                <w:sz w:val="18"/>
                <w:szCs w:val="14"/>
              </w:rPr>
            </w:pPr>
            <w:r w:rsidRPr="00950A49">
              <w:rPr>
                <w:rFonts w:asciiTheme="minorHAnsi" w:hAnsiTheme="minorHAnsi" w:cstheme="minorHAnsi"/>
                <w:b/>
                <w:bCs/>
                <w:sz w:val="18"/>
                <w:szCs w:val="14"/>
              </w:rPr>
              <w:t>Non-financial assets</w:t>
            </w:r>
          </w:p>
        </w:tc>
        <w:tc>
          <w:tcPr>
            <w:tcW w:w="1111" w:type="dxa"/>
          </w:tcPr>
          <w:p w14:paraId="007E7747" w14:textId="77777777" w:rsidR="00977548" w:rsidRPr="00950A49" w:rsidRDefault="00977548" w:rsidP="00950A49">
            <w:pPr>
              <w:pStyle w:val="TablebodyleftFinancialsTables"/>
              <w:jc w:val="right"/>
              <w:rPr>
                <w:rFonts w:asciiTheme="minorHAnsi" w:hAnsiTheme="minorHAnsi" w:cstheme="minorHAnsi"/>
                <w:b/>
                <w:bCs/>
                <w:sz w:val="18"/>
                <w:szCs w:val="14"/>
              </w:rPr>
            </w:pPr>
          </w:p>
        </w:tc>
        <w:tc>
          <w:tcPr>
            <w:tcW w:w="1276" w:type="dxa"/>
          </w:tcPr>
          <w:p w14:paraId="0EB29665" w14:textId="77777777" w:rsidR="00977548" w:rsidRPr="00950A49" w:rsidRDefault="00977548" w:rsidP="00950A49">
            <w:pPr>
              <w:pStyle w:val="TablebodyleftFinancialsTables"/>
              <w:jc w:val="right"/>
              <w:rPr>
                <w:rFonts w:asciiTheme="minorHAnsi" w:hAnsiTheme="minorHAnsi" w:cstheme="minorHAnsi"/>
                <w:b/>
                <w:bCs/>
                <w:sz w:val="18"/>
                <w:szCs w:val="14"/>
              </w:rPr>
            </w:pPr>
          </w:p>
        </w:tc>
        <w:tc>
          <w:tcPr>
            <w:tcW w:w="1275" w:type="dxa"/>
          </w:tcPr>
          <w:p w14:paraId="74404BA0" w14:textId="77777777" w:rsidR="00977548" w:rsidRPr="00950A49" w:rsidRDefault="00977548" w:rsidP="00950A49">
            <w:pPr>
              <w:pStyle w:val="TablebodyleftFinancialsTables"/>
              <w:jc w:val="right"/>
              <w:rPr>
                <w:rFonts w:asciiTheme="minorHAnsi" w:hAnsiTheme="minorHAnsi" w:cstheme="minorHAnsi"/>
                <w:b/>
                <w:bCs/>
                <w:sz w:val="18"/>
                <w:szCs w:val="14"/>
              </w:rPr>
            </w:pPr>
          </w:p>
        </w:tc>
        <w:tc>
          <w:tcPr>
            <w:tcW w:w="1276" w:type="dxa"/>
          </w:tcPr>
          <w:p w14:paraId="61A22189" w14:textId="77777777" w:rsidR="00977548" w:rsidRPr="00950A49" w:rsidRDefault="00977548" w:rsidP="00950A49">
            <w:pPr>
              <w:pStyle w:val="TablebodyleftFinancialsTables"/>
              <w:jc w:val="right"/>
              <w:rPr>
                <w:rFonts w:asciiTheme="minorHAnsi" w:hAnsiTheme="minorHAnsi" w:cstheme="minorHAnsi"/>
                <w:b/>
                <w:bCs/>
                <w:sz w:val="18"/>
                <w:szCs w:val="14"/>
              </w:rPr>
            </w:pPr>
          </w:p>
        </w:tc>
        <w:tc>
          <w:tcPr>
            <w:tcW w:w="1276" w:type="dxa"/>
          </w:tcPr>
          <w:p w14:paraId="23ED764A" w14:textId="77777777" w:rsidR="00977548" w:rsidRPr="00950A49" w:rsidRDefault="00977548" w:rsidP="00950A49">
            <w:pPr>
              <w:pStyle w:val="TablebodyleftFinancialsTables"/>
              <w:jc w:val="right"/>
              <w:rPr>
                <w:rFonts w:asciiTheme="minorHAnsi" w:hAnsiTheme="minorHAnsi" w:cstheme="minorHAnsi"/>
                <w:b/>
                <w:bCs/>
                <w:sz w:val="18"/>
                <w:szCs w:val="14"/>
              </w:rPr>
            </w:pPr>
          </w:p>
        </w:tc>
        <w:tc>
          <w:tcPr>
            <w:tcW w:w="1276" w:type="dxa"/>
          </w:tcPr>
          <w:p w14:paraId="5CC70016" w14:textId="686BDD33" w:rsidR="00977548" w:rsidRPr="00950A49" w:rsidRDefault="00977548" w:rsidP="00950A49">
            <w:pPr>
              <w:pStyle w:val="TablebodyleftFinancialsTables"/>
              <w:jc w:val="right"/>
              <w:rPr>
                <w:rFonts w:asciiTheme="minorHAnsi" w:hAnsiTheme="minorHAnsi" w:cstheme="minorHAnsi"/>
                <w:b/>
                <w:bCs/>
                <w:sz w:val="18"/>
                <w:szCs w:val="14"/>
              </w:rPr>
            </w:pPr>
          </w:p>
        </w:tc>
      </w:tr>
      <w:tr w:rsidR="00B02873" w:rsidRPr="00950A49" w14:paraId="62D8CD27" w14:textId="77777777" w:rsidTr="00950A49">
        <w:tc>
          <w:tcPr>
            <w:tcW w:w="2570" w:type="dxa"/>
          </w:tcPr>
          <w:p w14:paraId="1C0308CF" w14:textId="77777777" w:rsidR="00B02873" w:rsidRPr="00950A49" w:rsidRDefault="00B02873" w:rsidP="00977548">
            <w:pPr>
              <w:pStyle w:val="TablebodyleftFinancialsTables"/>
              <w:rPr>
                <w:rFonts w:asciiTheme="minorHAnsi" w:hAnsiTheme="minorHAnsi" w:cstheme="minorHAnsi"/>
                <w:sz w:val="18"/>
                <w:szCs w:val="14"/>
              </w:rPr>
            </w:pPr>
            <w:r w:rsidRPr="00950A49">
              <w:rPr>
                <w:rFonts w:asciiTheme="minorHAnsi" w:hAnsiTheme="minorHAnsi" w:cstheme="minorHAnsi"/>
                <w:sz w:val="18"/>
                <w:szCs w:val="14"/>
              </w:rPr>
              <w:t>Inventories</w:t>
            </w:r>
          </w:p>
        </w:tc>
        <w:tc>
          <w:tcPr>
            <w:tcW w:w="1111" w:type="dxa"/>
          </w:tcPr>
          <w:p w14:paraId="3B75A2A0" w14:textId="4AF4DD13" w:rsidR="00B02873" w:rsidRPr="00950A49" w:rsidRDefault="00B02873" w:rsidP="00950A49">
            <w:pPr>
              <w:pStyle w:val="TablebodyleftFinancialsTables"/>
              <w:jc w:val="right"/>
              <w:rPr>
                <w:rFonts w:asciiTheme="minorHAnsi" w:hAnsiTheme="minorHAnsi" w:cstheme="minorHAnsi"/>
                <w:b/>
                <w:bCs/>
                <w:sz w:val="18"/>
                <w:szCs w:val="14"/>
              </w:rPr>
            </w:pPr>
            <w:r w:rsidRPr="00950A49">
              <w:rPr>
                <w:rFonts w:asciiTheme="minorHAnsi" w:hAnsiTheme="minorHAnsi" w:cstheme="minorHAnsi"/>
                <w:b/>
                <w:bCs/>
                <w:sz w:val="18"/>
                <w:szCs w:val="14"/>
              </w:rPr>
              <w:t>361</w:t>
            </w:r>
          </w:p>
        </w:tc>
        <w:tc>
          <w:tcPr>
            <w:tcW w:w="1276" w:type="dxa"/>
          </w:tcPr>
          <w:p w14:paraId="2AEC9B29" w14:textId="77777777" w:rsidR="00B02873" w:rsidRPr="00950A49" w:rsidRDefault="00B02873" w:rsidP="00950A49">
            <w:pPr>
              <w:pStyle w:val="TablebodyleftFinancialsTables"/>
              <w:jc w:val="right"/>
              <w:rPr>
                <w:rFonts w:asciiTheme="minorHAnsi" w:hAnsiTheme="minorHAnsi" w:cstheme="minorHAnsi"/>
                <w:sz w:val="18"/>
                <w:szCs w:val="14"/>
              </w:rPr>
            </w:pPr>
            <w:r w:rsidRPr="00950A49">
              <w:rPr>
                <w:rFonts w:asciiTheme="minorHAnsi" w:hAnsiTheme="minorHAnsi" w:cstheme="minorHAnsi"/>
                <w:sz w:val="18"/>
                <w:szCs w:val="14"/>
              </w:rPr>
              <w:t>361</w:t>
            </w:r>
          </w:p>
        </w:tc>
        <w:tc>
          <w:tcPr>
            <w:tcW w:w="1275" w:type="dxa"/>
          </w:tcPr>
          <w:p w14:paraId="52092EDD" w14:textId="77777777" w:rsidR="00B02873" w:rsidRPr="00950A49" w:rsidRDefault="00B02873" w:rsidP="00950A49">
            <w:pPr>
              <w:pStyle w:val="TablebodyleftFinancialsTables"/>
              <w:jc w:val="right"/>
              <w:rPr>
                <w:rFonts w:asciiTheme="minorHAnsi" w:hAnsiTheme="minorHAnsi" w:cstheme="minorHAnsi"/>
                <w:b/>
                <w:bCs/>
                <w:sz w:val="18"/>
                <w:szCs w:val="14"/>
              </w:rPr>
            </w:pPr>
            <w:r w:rsidRPr="00950A49">
              <w:rPr>
                <w:rFonts w:asciiTheme="minorHAnsi" w:hAnsiTheme="minorHAnsi" w:cstheme="minorHAnsi"/>
                <w:b/>
                <w:bCs/>
                <w:sz w:val="18"/>
                <w:szCs w:val="14"/>
              </w:rPr>
              <w:t xml:space="preserve"> 643</w:t>
            </w:r>
          </w:p>
        </w:tc>
        <w:tc>
          <w:tcPr>
            <w:tcW w:w="1276" w:type="dxa"/>
          </w:tcPr>
          <w:p w14:paraId="4557AC40" w14:textId="77777777" w:rsidR="00B02873" w:rsidRPr="00950A49" w:rsidRDefault="00B02873" w:rsidP="00950A49">
            <w:pPr>
              <w:pStyle w:val="TablebodyleftFinancialsTables"/>
              <w:jc w:val="right"/>
              <w:rPr>
                <w:rFonts w:asciiTheme="minorHAnsi" w:hAnsiTheme="minorHAnsi" w:cstheme="minorHAnsi"/>
                <w:sz w:val="18"/>
                <w:szCs w:val="14"/>
              </w:rPr>
            </w:pPr>
            <w:r w:rsidRPr="00950A49">
              <w:rPr>
                <w:rFonts w:asciiTheme="minorHAnsi" w:hAnsiTheme="minorHAnsi" w:cstheme="minorHAnsi"/>
                <w:sz w:val="18"/>
                <w:szCs w:val="14"/>
              </w:rPr>
              <w:t>645</w:t>
            </w:r>
          </w:p>
        </w:tc>
        <w:tc>
          <w:tcPr>
            <w:tcW w:w="1276" w:type="dxa"/>
          </w:tcPr>
          <w:p w14:paraId="4F77F688" w14:textId="15AAE162" w:rsidR="00B02873" w:rsidRPr="00950A49" w:rsidRDefault="00B02873" w:rsidP="00950A49">
            <w:pPr>
              <w:pStyle w:val="TablebodyleftFinancialsTables"/>
              <w:jc w:val="right"/>
              <w:rPr>
                <w:rFonts w:asciiTheme="minorHAnsi" w:hAnsiTheme="minorHAnsi" w:cstheme="minorHAnsi"/>
                <w:b/>
                <w:bCs/>
                <w:sz w:val="18"/>
                <w:szCs w:val="14"/>
              </w:rPr>
            </w:pPr>
            <w:r w:rsidRPr="00950A49">
              <w:rPr>
                <w:rFonts w:asciiTheme="minorHAnsi" w:hAnsiTheme="minorHAnsi" w:cstheme="minorHAnsi"/>
                <w:b/>
                <w:bCs/>
                <w:sz w:val="18"/>
                <w:szCs w:val="14"/>
              </w:rPr>
              <w:t>8</w:t>
            </w:r>
          </w:p>
        </w:tc>
        <w:tc>
          <w:tcPr>
            <w:tcW w:w="1276" w:type="dxa"/>
          </w:tcPr>
          <w:p w14:paraId="48398CBB" w14:textId="77777777" w:rsidR="00B02873" w:rsidRPr="00950A49" w:rsidRDefault="00B02873" w:rsidP="00950A49">
            <w:pPr>
              <w:pStyle w:val="TablebodyleftFinancialsTables"/>
              <w:jc w:val="right"/>
              <w:rPr>
                <w:rFonts w:asciiTheme="minorHAnsi" w:hAnsiTheme="minorHAnsi" w:cstheme="minorHAnsi"/>
                <w:sz w:val="18"/>
                <w:szCs w:val="14"/>
              </w:rPr>
            </w:pPr>
            <w:r w:rsidRPr="00950A49">
              <w:rPr>
                <w:rFonts w:asciiTheme="minorHAnsi" w:hAnsiTheme="minorHAnsi" w:cstheme="minorHAnsi"/>
                <w:sz w:val="18"/>
                <w:szCs w:val="14"/>
              </w:rPr>
              <w:t>9</w:t>
            </w:r>
          </w:p>
        </w:tc>
      </w:tr>
      <w:tr w:rsidR="00B02873" w:rsidRPr="00950A49" w14:paraId="295B00D4" w14:textId="77777777" w:rsidTr="00950A49">
        <w:tc>
          <w:tcPr>
            <w:tcW w:w="2570" w:type="dxa"/>
          </w:tcPr>
          <w:p w14:paraId="32434E99" w14:textId="77777777" w:rsidR="00B02873" w:rsidRPr="00950A49" w:rsidRDefault="00B02873" w:rsidP="00977548">
            <w:pPr>
              <w:pStyle w:val="TablebodyleftFinancialsTables"/>
              <w:rPr>
                <w:rFonts w:asciiTheme="minorHAnsi" w:hAnsiTheme="minorHAnsi" w:cstheme="minorHAnsi"/>
                <w:sz w:val="18"/>
                <w:szCs w:val="14"/>
              </w:rPr>
            </w:pPr>
            <w:r w:rsidRPr="00950A49">
              <w:rPr>
                <w:rFonts w:asciiTheme="minorHAnsi" w:hAnsiTheme="minorHAnsi" w:cstheme="minorHAnsi"/>
                <w:sz w:val="18"/>
                <w:szCs w:val="14"/>
              </w:rPr>
              <w:t>Non-financial physical assets classified as held for sale</w:t>
            </w:r>
          </w:p>
        </w:tc>
        <w:tc>
          <w:tcPr>
            <w:tcW w:w="1111" w:type="dxa"/>
          </w:tcPr>
          <w:p w14:paraId="5B2B1FF8" w14:textId="77777777" w:rsidR="00B02873" w:rsidRPr="00950A49" w:rsidRDefault="00B02873" w:rsidP="00950A49">
            <w:pPr>
              <w:pStyle w:val="TablebodyleftFinancialsTables"/>
              <w:jc w:val="right"/>
              <w:rPr>
                <w:rFonts w:asciiTheme="minorHAnsi" w:hAnsiTheme="minorHAnsi" w:cstheme="minorHAnsi"/>
                <w:b/>
                <w:bCs/>
                <w:sz w:val="18"/>
                <w:szCs w:val="14"/>
              </w:rPr>
            </w:pPr>
            <w:r w:rsidRPr="00950A49">
              <w:rPr>
                <w:rFonts w:asciiTheme="minorHAnsi" w:hAnsiTheme="minorHAnsi" w:cstheme="minorHAnsi"/>
                <w:b/>
                <w:bCs/>
                <w:sz w:val="18"/>
                <w:szCs w:val="14"/>
              </w:rPr>
              <w:t>63</w:t>
            </w:r>
          </w:p>
        </w:tc>
        <w:tc>
          <w:tcPr>
            <w:tcW w:w="1276" w:type="dxa"/>
          </w:tcPr>
          <w:p w14:paraId="20764583" w14:textId="77777777" w:rsidR="00B02873" w:rsidRPr="00950A49" w:rsidRDefault="00B02873" w:rsidP="00950A49">
            <w:pPr>
              <w:pStyle w:val="TablebodyleftFinancialsTables"/>
              <w:jc w:val="right"/>
              <w:rPr>
                <w:rFonts w:asciiTheme="minorHAnsi" w:hAnsiTheme="minorHAnsi" w:cstheme="minorHAnsi"/>
                <w:sz w:val="18"/>
                <w:szCs w:val="14"/>
              </w:rPr>
            </w:pPr>
            <w:r w:rsidRPr="00950A49">
              <w:rPr>
                <w:rFonts w:asciiTheme="minorHAnsi" w:hAnsiTheme="minorHAnsi" w:cstheme="minorHAnsi"/>
                <w:sz w:val="18"/>
                <w:szCs w:val="14"/>
              </w:rPr>
              <w:t>34</w:t>
            </w:r>
          </w:p>
        </w:tc>
        <w:tc>
          <w:tcPr>
            <w:tcW w:w="1275" w:type="dxa"/>
          </w:tcPr>
          <w:p w14:paraId="745572F3" w14:textId="77777777" w:rsidR="00B02873" w:rsidRPr="00950A49" w:rsidRDefault="00B02873" w:rsidP="00950A49">
            <w:pPr>
              <w:pStyle w:val="TablebodyleftFinancialsTables"/>
              <w:jc w:val="right"/>
              <w:rPr>
                <w:rFonts w:asciiTheme="minorHAnsi" w:hAnsiTheme="minorHAnsi" w:cstheme="minorHAnsi"/>
                <w:b/>
                <w:bCs/>
                <w:sz w:val="18"/>
                <w:szCs w:val="14"/>
              </w:rPr>
            </w:pPr>
            <w:r w:rsidRPr="00950A49">
              <w:rPr>
                <w:rFonts w:asciiTheme="minorHAnsi" w:hAnsiTheme="minorHAnsi" w:cstheme="minorHAnsi"/>
                <w:b/>
                <w:bCs/>
                <w:sz w:val="18"/>
                <w:szCs w:val="14"/>
              </w:rPr>
              <w:t>5,109</w:t>
            </w:r>
          </w:p>
        </w:tc>
        <w:tc>
          <w:tcPr>
            <w:tcW w:w="1276" w:type="dxa"/>
          </w:tcPr>
          <w:p w14:paraId="0D27D59B" w14:textId="77777777" w:rsidR="00B02873" w:rsidRPr="00950A49" w:rsidRDefault="00B02873" w:rsidP="00950A49">
            <w:pPr>
              <w:pStyle w:val="TablebodyleftFinancialsTables"/>
              <w:jc w:val="right"/>
              <w:rPr>
                <w:rFonts w:asciiTheme="minorHAnsi" w:hAnsiTheme="minorHAnsi" w:cstheme="minorHAnsi"/>
                <w:sz w:val="18"/>
                <w:szCs w:val="14"/>
              </w:rPr>
            </w:pPr>
            <w:r w:rsidRPr="00950A49">
              <w:rPr>
                <w:rFonts w:asciiTheme="minorHAnsi" w:hAnsiTheme="minorHAnsi" w:cstheme="minorHAnsi"/>
                <w:sz w:val="18"/>
                <w:szCs w:val="14"/>
              </w:rPr>
              <w:t>2,475</w:t>
            </w:r>
          </w:p>
        </w:tc>
        <w:tc>
          <w:tcPr>
            <w:tcW w:w="1276" w:type="dxa"/>
          </w:tcPr>
          <w:p w14:paraId="4C3A6291" w14:textId="77777777" w:rsidR="00B02873" w:rsidRPr="00950A49" w:rsidRDefault="00B02873" w:rsidP="00950A49">
            <w:pPr>
              <w:pStyle w:val="TablebodyleftFinancialsTables"/>
              <w:jc w:val="right"/>
              <w:rPr>
                <w:rFonts w:asciiTheme="minorHAnsi" w:hAnsiTheme="minorHAnsi" w:cstheme="minorHAnsi"/>
                <w:b/>
                <w:bCs/>
                <w:sz w:val="18"/>
                <w:szCs w:val="14"/>
              </w:rPr>
            </w:pPr>
            <w:r w:rsidRPr="00950A49">
              <w:rPr>
                <w:rFonts w:asciiTheme="minorHAnsi" w:hAnsiTheme="minorHAnsi" w:cstheme="minorHAnsi"/>
                <w:b/>
                <w:bCs/>
                <w:sz w:val="18"/>
                <w:szCs w:val="14"/>
              </w:rPr>
              <w:t>181</w:t>
            </w:r>
          </w:p>
        </w:tc>
        <w:tc>
          <w:tcPr>
            <w:tcW w:w="1276" w:type="dxa"/>
          </w:tcPr>
          <w:p w14:paraId="76E4248C" w14:textId="77777777" w:rsidR="00B02873" w:rsidRPr="00950A49" w:rsidRDefault="00B02873" w:rsidP="00950A49">
            <w:pPr>
              <w:pStyle w:val="TablebodyleftFinancialsTables"/>
              <w:jc w:val="right"/>
              <w:rPr>
                <w:rFonts w:asciiTheme="minorHAnsi" w:hAnsiTheme="minorHAnsi" w:cstheme="minorHAnsi"/>
                <w:sz w:val="18"/>
                <w:szCs w:val="14"/>
              </w:rPr>
            </w:pPr>
            <w:r w:rsidRPr="00950A49">
              <w:rPr>
                <w:rFonts w:asciiTheme="minorHAnsi" w:hAnsiTheme="minorHAnsi" w:cstheme="minorHAnsi"/>
                <w:sz w:val="18"/>
                <w:szCs w:val="14"/>
              </w:rPr>
              <w:t>172</w:t>
            </w:r>
          </w:p>
        </w:tc>
      </w:tr>
      <w:tr w:rsidR="00B02873" w:rsidRPr="00950A49" w14:paraId="2E4A7D3B" w14:textId="77777777" w:rsidTr="00950A49">
        <w:tc>
          <w:tcPr>
            <w:tcW w:w="2570" w:type="dxa"/>
          </w:tcPr>
          <w:p w14:paraId="233B8322" w14:textId="77777777" w:rsidR="00B02873" w:rsidRPr="00950A49" w:rsidRDefault="00B02873" w:rsidP="00977548">
            <w:pPr>
              <w:pStyle w:val="TablebodyleftFinancialsTables"/>
              <w:rPr>
                <w:rFonts w:asciiTheme="minorHAnsi" w:hAnsiTheme="minorHAnsi" w:cstheme="minorHAnsi"/>
                <w:sz w:val="18"/>
                <w:szCs w:val="14"/>
              </w:rPr>
            </w:pPr>
            <w:r w:rsidRPr="00950A49">
              <w:rPr>
                <w:rFonts w:asciiTheme="minorHAnsi" w:hAnsiTheme="minorHAnsi" w:cstheme="minorHAnsi"/>
                <w:sz w:val="18"/>
                <w:szCs w:val="14"/>
              </w:rPr>
              <w:t>Property, plant and equipment</w:t>
            </w:r>
          </w:p>
        </w:tc>
        <w:tc>
          <w:tcPr>
            <w:tcW w:w="1111" w:type="dxa"/>
          </w:tcPr>
          <w:p w14:paraId="3D227915" w14:textId="2ED1EDF5" w:rsidR="00B02873" w:rsidRPr="00950A49" w:rsidRDefault="00B02873" w:rsidP="00950A49">
            <w:pPr>
              <w:pStyle w:val="TablebodyleftFinancialsTables"/>
              <w:jc w:val="right"/>
              <w:rPr>
                <w:rFonts w:asciiTheme="minorHAnsi" w:hAnsiTheme="minorHAnsi" w:cstheme="minorHAnsi"/>
                <w:b/>
                <w:bCs/>
                <w:sz w:val="18"/>
                <w:szCs w:val="14"/>
              </w:rPr>
            </w:pPr>
            <w:r w:rsidRPr="00950A49">
              <w:rPr>
                <w:rFonts w:asciiTheme="minorHAnsi" w:hAnsiTheme="minorHAnsi" w:cstheme="minorHAnsi"/>
                <w:b/>
                <w:bCs/>
                <w:sz w:val="18"/>
                <w:szCs w:val="14"/>
              </w:rPr>
              <w:t>14,465</w:t>
            </w:r>
          </w:p>
        </w:tc>
        <w:tc>
          <w:tcPr>
            <w:tcW w:w="1276" w:type="dxa"/>
          </w:tcPr>
          <w:p w14:paraId="6E8BEA46" w14:textId="77777777" w:rsidR="00B02873" w:rsidRPr="00950A49" w:rsidRDefault="00B02873" w:rsidP="00950A49">
            <w:pPr>
              <w:pStyle w:val="TablebodyleftFinancialsTables"/>
              <w:jc w:val="right"/>
              <w:rPr>
                <w:rFonts w:asciiTheme="minorHAnsi" w:hAnsiTheme="minorHAnsi" w:cstheme="minorHAnsi"/>
                <w:sz w:val="18"/>
                <w:szCs w:val="14"/>
              </w:rPr>
            </w:pPr>
            <w:r w:rsidRPr="00950A49">
              <w:rPr>
                <w:rFonts w:asciiTheme="minorHAnsi" w:hAnsiTheme="minorHAnsi" w:cstheme="minorHAnsi"/>
                <w:sz w:val="18"/>
                <w:szCs w:val="14"/>
              </w:rPr>
              <w:t>12,251</w:t>
            </w:r>
          </w:p>
        </w:tc>
        <w:tc>
          <w:tcPr>
            <w:tcW w:w="1275" w:type="dxa"/>
          </w:tcPr>
          <w:p w14:paraId="08A782DC" w14:textId="77777777" w:rsidR="00B02873" w:rsidRPr="00950A49" w:rsidRDefault="00B02873" w:rsidP="00950A49">
            <w:pPr>
              <w:pStyle w:val="TablebodyleftFinancialsTables"/>
              <w:jc w:val="right"/>
              <w:rPr>
                <w:rFonts w:asciiTheme="minorHAnsi" w:hAnsiTheme="minorHAnsi" w:cstheme="minorHAnsi"/>
                <w:b/>
                <w:bCs/>
                <w:sz w:val="18"/>
                <w:szCs w:val="14"/>
              </w:rPr>
            </w:pPr>
            <w:r w:rsidRPr="00950A49">
              <w:rPr>
                <w:rFonts w:asciiTheme="minorHAnsi" w:hAnsiTheme="minorHAnsi" w:cstheme="minorHAnsi"/>
                <w:b/>
                <w:bCs/>
                <w:sz w:val="18"/>
                <w:szCs w:val="14"/>
              </w:rPr>
              <w:t>7,784,578</w:t>
            </w:r>
          </w:p>
        </w:tc>
        <w:tc>
          <w:tcPr>
            <w:tcW w:w="1276" w:type="dxa"/>
          </w:tcPr>
          <w:p w14:paraId="1D53D61D" w14:textId="77777777" w:rsidR="00B02873" w:rsidRPr="00950A49" w:rsidRDefault="00B02873" w:rsidP="00950A49">
            <w:pPr>
              <w:pStyle w:val="TablebodyleftFinancialsTables"/>
              <w:jc w:val="right"/>
              <w:rPr>
                <w:rFonts w:asciiTheme="minorHAnsi" w:hAnsiTheme="minorHAnsi" w:cstheme="minorHAnsi"/>
                <w:sz w:val="18"/>
                <w:szCs w:val="14"/>
              </w:rPr>
            </w:pPr>
            <w:r w:rsidRPr="00950A49">
              <w:rPr>
                <w:rFonts w:asciiTheme="minorHAnsi" w:hAnsiTheme="minorHAnsi" w:cstheme="minorHAnsi"/>
                <w:sz w:val="18"/>
                <w:szCs w:val="14"/>
              </w:rPr>
              <w:t>6,521,893</w:t>
            </w:r>
          </w:p>
        </w:tc>
        <w:tc>
          <w:tcPr>
            <w:tcW w:w="1276" w:type="dxa"/>
          </w:tcPr>
          <w:p w14:paraId="3449E61C" w14:textId="77777777" w:rsidR="00B02873" w:rsidRPr="00950A49" w:rsidRDefault="00B02873" w:rsidP="00950A49">
            <w:pPr>
              <w:pStyle w:val="TablebodyleftFinancialsTables"/>
              <w:jc w:val="right"/>
              <w:rPr>
                <w:rFonts w:asciiTheme="minorHAnsi" w:hAnsiTheme="minorHAnsi" w:cstheme="minorHAnsi"/>
                <w:b/>
                <w:bCs/>
                <w:sz w:val="18"/>
                <w:szCs w:val="14"/>
              </w:rPr>
            </w:pPr>
            <w:r w:rsidRPr="00950A49">
              <w:rPr>
                <w:rFonts w:asciiTheme="minorHAnsi" w:hAnsiTheme="minorHAnsi" w:cstheme="minorHAnsi"/>
                <w:b/>
                <w:bCs/>
                <w:sz w:val="18"/>
                <w:szCs w:val="14"/>
              </w:rPr>
              <w:t>129,351</w:t>
            </w:r>
          </w:p>
        </w:tc>
        <w:tc>
          <w:tcPr>
            <w:tcW w:w="1276" w:type="dxa"/>
          </w:tcPr>
          <w:p w14:paraId="120D9645" w14:textId="77777777" w:rsidR="00B02873" w:rsidRPr="00950A49" w:rsidRDefault="00B02873" w:rsidP="00950A49">
            <w:pPr>
              <w:pStyle w:val="TablebodyleftFinancialsTables"/>
              <w:jc w:val="right"/>
              <w:rPr>
                <w:rFonts w:asciiTheme="minorHAnsi" w:hAnsiTheme="minorHAnsi" w:cstheme="minorHAnsi"/>
                <w:sz w:val="18"/>
                <w:szCs w:val="14"/>
              </w:rPr>
            </w:pPr>
            <w:r w:rsidRPr="00950A49">
              <w:rPr>
                <w:rFonts w:asciiTheme="minorHAnsi" w:hAnsiTheme="minorHAnsi" w:cstheme="minorHAnsi"/>
                <w:sz w:val="18"/>
                <w:szCs w:val="14"/>
              </w:rPr>
              <w:t>141,535</w:t>
            </w:r>
          </w:p>
        </w:tc>
      </w:tr>
      <w:tr w:rsidR="00B02873" w:rsidRPr="00950A49" w14:paraId="6D73E62E" w14:textId="77777777" w:rsidTr="00950A49">
        <w:tc>
          <w:tcPr>
            <w:tcW w:w="2570" w:type="dxa"/>
          </w:tcPr>
          <w:p w14:paraId="7AB301B1" w14:textId="77777777" w:rsidR="00B02873" w:rsidRPr="00950A49" w:rsidRDefault="00B02873" w:rsidP="00977548">
            <w:pPr>
              <w:pStyle w:val="TablebodyleftFinancialsTables"/>
              <w:rPr>
                <w:rFonts w:asciiTheme="minorHAnsi" w:hAnsiTheme="minorHAnsi" w:cstheme="minorHAnsi"/>
                <w:sz w:val="18"/>
                <w:szCs w:val="14"/>
              </w:rPr>
            </w:pPr>
            <w:r w:rsidRPr="00950A49">
              <w:rPr>
                <w:rFonts w:asciiTheme="minorHAnsi" w:hAnsiTheme="minorHAnsi" w:cstheme="minorHAnsi"/>
                <w:sz w:val="18"/>
                <w:szCs w:val="14"/>
              </w:rPr>
              <w:t>Intangible assets</w:t>
            </w:r>
          </w:p>
        </w:tc>
        <w:tc>
          <w:tcPr>
            <w:tcW w:w="1111" w:type="dxa"/>
          </w:tcPr>
          <w:p w14:paraId="4054EB85" w14:textId="77777777" w:rsidR="00B02873" w:rsidRPr="00950A49" w:rsidRDefault="00B02873" w:rsidP="00950A49">
            <w:pPr>
              <w:pStyle w:val="TablebodyleftFinancialsTables"/>
              <w:jc w:val="right"/>
              <w:rPr>
                <w:rFonts w:asciiTheme="minorHAnsi" w:hAnsiTheme="minorHAnsi" w:cstheme="minorHAnsi"/>
                <w:b/>
                <w:bCs/>
                <w:sz w:val="18"/>
                <w:szCs w:val="14"/>
              </w:rPr>
            </w:pPr>
            <w:r w:rsidRPr="00950A49">
              <w:rPr>
                <w:rFonts w:asciiTheme="minorHAnsi" w:hAnsiTheme="minorHAnsi" w:cstheme="minorHAnsi"/>
                <w:b/>
                <w:bCs/>
                <w:sz w:val="18"/>
                <w:szCs w:val="14"/>
              </w:rPr>
              <w:t>11,745</w:t>
            </w:r>
          </w:p>
        </w:tc>
        <w:tc>
          <w:tcPr>
            <w:tcW w:w="1276" w:type="dxa"/>
          </w:tcPr>
          <w:p w14:paraId="14DC2FDA" w14:textId="77777777" w:rsidR="00B02873" w:rsidRPr="00950A49" w:rsidRDefault="00B02873" w:rsidP="00950A49">
            <w:pPr>
              <w:pStyle w:val="TablebodyleftFinancialsTables"/>
              <w:jc w:val="right"/>
              <w:rPr>
                <w:rFonts w:asciiTheme="minorHAnsi" w:hAnsiTheme="minorHAnsi" w:cstheme="minorHAnsi"/>
                <w:sz w:val="18"/>
                <w:szCs w:val="14"/>
              </w:rPr>
            </w:pPr>
            <w:r w:rsidRPr="00950A49">
              <w:rPr>
                <w:rFonts w:asciiTheme="minorHAnsi" w:hAnsiTheme="minorHAnsi" w:cstheme="minorHAnsi"/>
                <w:sz w:val="18"/>
                <w:szCs w:val="14"/>
              </w:rPr>
              <w:t>5,972</w:t>
            </w:r>
          </w:p>
        </w:tc>
        <w:tc>
          <w:tcPr>
            <w:tcW w:w="1275" w:type="dxa"/>
          </w:tcPr>
          <w:p w14:paraId="5E246C33" w14:textId="77777777" w:rsidR="00B02873" w:rsidRPr="00950A49" w:rsidRDefault="00B02873" w:rsidP="00950A49">
            <w:pPr>
              <w:pStyle w:val="TablebodyleftFinancialsTables"/>
              <w:jc w:val="right"/>
              <w:rPr>
                <w:rFonts w:asciiTheme="minorHAnsi" w:hAnsiTheme="minorHAnsi" w:cstheme="minorHAnsi"/>
                <w:b/>
                <w:bCs/>
                <w:sz w:val="18"/>
                <w:szCs w:val="14"/>
              </w:rPr>
            </w:pPr>
            <w:r w:rsidRPr="00950A49">
              <w:rPr>
                <w:rFonts w:asciiTheme="minorHAnsi" w:hAnsiTheme="minorHAnsi" w:cstheme="minorHAnsi"/>
                <w:b/>
                <w:bCs/>
                <w:sz w:val="18"/>
                <w:szCs w:val="14"/>
              </w:rPr>
              <w:t>211</w:t>
            </w:r>
          </w:p>
        </w:tc>
        <w:tc>
          <w:tcPr>
            <w:tcW w:w="1276" w:type="dxa"/>
          </w:tcPr>
          <w:p w14:paraId="3657CE99" w14:textId="77777777" w:rsidR="00B02873" w:rsidRPr="00950A49" w:rsidRDefault="00B02873" w:rsidP="00950A49">
            <w:pPr>
              <w:pStyle w:val="TablebodyleftFinancialsTables"/>
              <w:jc w:val="right"/>
              <w:rPr>
                <w:rFonts w:asciiTheme="minorHAnsi" w:hAnsiTheme="minorHAnsi" w:cstheme="minorHAnsi"/>
                <w:sz w:val="18"/>
                <w:szCs w:val="14"/>
              </w:rPr>
            </w:pPr>
            <w:r w:rsidRPr="00950A49">
              <w:rPr>
                <w:rFonts w:asciiTheme="minorHAnsi" w:hAnsiTheme="minorHAnsi" w:cstheme="minorHAnsi"/>
                <w:sz w:val="18"/>
                <w:szCs w:val="14"/>
              </w:rPr>
              <w:t>243</w:t>
            </w:r>
          </w:p>
        </w:tc>
        <w:tc>
          <w:tcPr>
            <w:tcW w:w="1276" w:type="dxa"/>
          </w:tcPr>
          <w:p w14:paraId="619D96E7" w14:textId="77777777" w:rsidR="00B02873" w:rsidRPr="00950A49" w:rsidRDefault="00B02873" w:rsidP="00950A49">
            <w:pPr>
              <w:pStyle w:val="TablebodyleftFinancialsTables"/>
              <w:jc w:val="right"/>
              <w:rPr>
                <w:rFonts w:asciiTheme="minorHAnsi" w:hAnsiTheme="minorHAnsi" w:cstheme="minorHAnsi"/>
                <w:b/>
                <w:bCs/>
                <w:sz w:val="18"/>
                <w:szCs w:val="14"/>
              </w:rPr>
            </w:pPr>
            <w:r w:rsidRPr="00950A49">
              <w:rPr>
                <w:rFonts w:asciiTheme="minorHAnsi" w:hAnsiTheme="minorHAnsi" w:cstheme="minorHAnsi"/>
                <w:b/>
                <w:bCs/>
                <w:sz w:val="18"/>
                <w:szCs w:val="14"/>
              </w:rPr>
              <w:t>–</w:t>
            </w:r>
          </w:p>
        </w:tc>
        <w:tc>
          <w:tcPr>
            <w:tcW w:w="1276" w:type="dxa"/>
          </w:tcPr>
          <w:p w14:paraId="75B2F528" w14:textId="77777777" w:rsidR="00B02873" w:rsidRPr="00950A49" w:rsidRDefault="00B02873" w:rsidP="00950A49">
            <w:pPr>
              <w:pStyle w:val="TablebodyleftFinancialsTables"/>
              <w:jc w:val="right"/>
              <w:rPr>
                <w:rFonts w:asciiTheme="minorHAnsi" w:hAnsiTheme="minorHAnsi" w:cstheme="minorHAnsi"/>
                <w:sz w:val="18"/>
                <w:szCs w:val="14"/>
              </w:rPr>
            </w:pPr>
            <w:r w:rsidRPr="00950A49">
              <w:rPr>
                <w:rFonts w:asciiTheme="minorHAnsi" w:hAnsiTheme="minorHAnsi" w:cstheme="minorHAnsi"/>
                <w:sz w:val="18"/>
                <w:szCs w:val="14"/>
              </w:rPr>
              <w:t>–</w:t>
            </w:r>
          </w:p>
        </w:tc>
      </w:tr>
      <w:tr w:rsidR="00B02873" w:rsidRPr="00950A49" w14:paraId="7AD8E956" w14:textId="77777777" w:rsidTr="00950A49">
        <w:tc>
          <w:tcPr>
            <w:tcW w:w="2570" w:type="dxa"/>
          </w:tcPr>
          <w:p w14:paraId="12526D39" w14:textId="77777777" w:rsidR="00B02873" w:rsidRPr="00950A49" w:rsidRDefault="00B02873" w:rsidP="00977548">
            <w:pPr>
              <w:pStyle w:val="TablebodyleftFinancialsTables"/>
              <w:rPr>
                <w:rFonts w:asciiTheme="minorHAnsi" w:hAnsiTheme="minorHAnsi" w:cstheme="minorHAnsi"/>
                <w:sz w:val="18"/>
                <w:szCs w:val="14"/>
              </w:rPr>
            </w:pPr>
            <w:r w:rsidRPr="00950A49">
              <w:rPr>
                <w:rFonts w:asciiTheme="minorHAnsi" w:hAnsiTheme="minorHAnsi" w:cstheme="minorHAnsi"/>
                <w:sz w:val="18"/>
                <w:szCs w:val="14"/>
              </w:rPr>
              <w:t>Prepayments</w:t>
            </w:r>
          </w:p>
        </w:tc>
        <w:tc>
          <w:tcPr>
            <w:tcW w:w="1111" w:type="dxa"/>
          </w:tcPr>
          <w:p w14:paraId="7F34D694" w14:textId="77777777" w:rsidR="00B02873" w:rsidRPr="00950A49" w:rsidRDefault="00B02873" w:rsidP="00950A49">
            <w:pPr>
              <w:pStyle w:val="TablebodyleftFinancialsTables"/>
              <w:jc w:val="right"/>
              <w:rPr>
                <w:rFonts w:asciiTheme="minorHAnsi" w:hAnsiTheme="minorHAnsi" w:cstheme="minorHAnsi"/>
                <w:b/>
                <w:bCs/>
                <w:sz w:val="18"/>
                <w:szCs w:val="14"/>
              </w:rPr>
            </w:pPr>
            <w:r w:rsidRPr="00950A49">
              <w:rPr>
                <w:rFonts w:asciiTheme="minorHAnsi" w:hAnsiTheme="minorHAnsi" w:cstheme="minorHAnsi"/>
                <w:b/>
                <w:bCs/>
                <w:sz w:val="18"/>
                <w:szCs w:val="14"/>
              </w:rPr>
              <w:t>158</w:t>
            </w:r>
          </w:p>
        </w:tc>
        <w:tc>
          <w:tcPr>
            <w:tcW w:w="1276" w:type="dxa"/>
          </w:tcPr>
          <w:p w14:paraId="2918F8C8" w14:textId="77777777" w:rsidR="00B02873" w:rsidRPr="00950A49" w:rsidRDefault="00B02873" w:rsidP="00950A49">
            <w:pPr>
              <w:pStyle w:val="TablebodyleftFinancialsTables"/>
              <w:jc w:val="right"/>
              <w:rPr>
                <w:rFonts w:asciiTheme="minorHAnsi" w:hAnsiTheme="minorHAnsi" w:cstheme="minorHAnsi"/>
                <w:sz w:val="18"/>
                <w:szCs w:val="14"/>
              </w:rPr>
            </w:pPr>
            <w:r w:rsidRPr="00950A49">
              <w:rPr>
                <w:rFonts w:asciiTheme="minorHAnsi" w:hAnsiTheme="minorHAnsi" w:cstheme="minorHAnsi"/>
                <w:sz w:val="18"/>
                <w:szCs w:val="14"/>
              </w:rPr>
              <w:t>155</w:t>
            </w:r>
          </w:p>
        </w:tc>
        <w:tc>
          <w:tcPr>
            <w:tcW w:w="1275" w:type="dxa"/>
          </w:tcPr>
          <w:p w14:paraId="3E0CE4CD" w14:textId="77777777" w:rsidR="00B02873" w:rsidRPr="00950A49" w:rsidRDefault="00B02873" w:rsidP="00950A49">
            <w:pPr>
              <w:pStyle w:val="TablebodyleftFinancialsTables"/>
              <w:jc w:val="right"/>
              <w:rPr>
                <w:rFonts w:asciiTheme="minorHAnsi" w:hAnsiTheme="minorHAnsi" w:cstheme="minorHAnsi"/>
                <w:b/>
                <w:bCs/>
                <w:sz w:val="18"/>
                <w:szCs w:val="14"/>
              </w:rPr>
            </w:pPr>
            <w:r w:rsidRPr="00950A49">
              <w:rPr>
                <w:rFonts w:asciiTheme="minorHAnsi" w:hAnsiTheme="minorHAnsi" w:cstheme="minorHAnsi"/>
                <w:b/>
                <w:bCs/>
                <w:sz w:val="18"/>
                <w:szCs w:val="14"/>
              </w:rPr>
              <w:t>459</w:t>
            </w:r>
          </w:p>
        </w:tc>
        <w:tc>
          <w:tcPr>
            <w:tcW w:w="1276" w:type="dxa"/>
          </w:tcPr>
          <w:p w14:paraId="0FB265A4" w14:textId="77777777" w:rsidR="00B02873" w:rsidRPr="00950A49" w:rsidRDefault="00B02873" w:rsidP="00950A49">
            <w:pPr>
              <w:pStyle w:val="TablebodyleftFinancialsTables"/>
              <w:jc w:val="right"/>
              <w:rPr>
                <w:rFonts w:asciiTheme="minorHAnsi" w:hAnsiTheme="minorHAnsi" w:cstheme="minorHAnsi"/>
                <w:sz w:val="18"/>
                <w:szCs w:val="14"/>
              </w:rPr>
            </w:pPr>
            <w:r w:rsidRPr="00950A49">
              <w:rPr>
                <w:rFonts w:asciiTheme="minorHAnsi" w:hAnsiTheme="minorHAnsi" w:cstheme="minorHAnsi"/>
                <w:sz w:val="18"/>
                <w:szCs w:val="14"/>
              </w:rPr>
              <w:t>773</w:t>
            </w:r>
          </w:p>
        </w:tc>
        <w:tc>
          <w:tcPr>
            <w:tcW w:w="1276" w:type="dxa"/>
          </w:tcPr>
          <w:p w14:paraId="49F1FDE6" w14:textId="77777777" w:rsidR="00B02873" w:rsidRPr="00950A49" w:rsidRDefault="00B02873" w:rsidP="00950A49">
            <w:pPr>
              <w:pStyle w:val="TablebodyleftFinancialsTables"/>
              <w:jc w:val="right"/>
              <w:rPr>
                <w:rFonts w:asciiTheme="minorHAnsi" w:hAnsiTheme="minorHAnsi" w:cstheme="minorHAnsi"/>
                <w:b/>
                <w:bCs/>
                <w:sz w:val="18"/>
                <w:szCs w:val="14"/>
              </w:rPr>
            </w:pPr>
            <w:r w:rsidRPr="00950A49">
              <w:rPr>
                <w:rFonts w:asciiTheme="minorHAnsi" w:hAnsiTheme="minorHAnsi" w:cstheme="minorHAnsi"/>
                <w:b/>
                <w:bCs/>
                <w:sz w:val="18"/>
                <w:szCs w:val="14"/>
              </w:rPr>
              <w:t>530</w:t>
            </w:r>
          </w:p>
        </w:tc>
        <w:tc>
          <w:tcPr>
            <w:tcW w:w="1276" w:type="dxa"/>
          </w:tcPr>
          <w:p w14:paraId="63A638AB" w14:textId="77777777" w:rsidR="00B02873" w:rsidRPr="00950A49" w:rsidRDefault="00B02873" w:rsidP="00950A49">
            <w:pPr>
              <w:pStyle w:val="TablebodyleftFinancialsTables"/>
              <w:jc w:val="right"/>
              <w:rPr>
                <w:rFonts w:asciiTheme="minorHAnsi" w:hAnsiTheme="minorHAnsi" w:cstheme="minorHAnsi"/>
                <w:sz w:val="18"/>
                <w:szCs w:val="14"/>
              </w:rPr>
            </w:pPr>
            <w:r w:rsidRPr="00950A49">
              <w:rPr>
                <w:rFonts w:asciiTheme="minorHAnsi" w:hAnsiTheme="minorHAnsi" w:cstheme="minorHAnsi"/>
                <w:sz w:val="18"/>
                <w:szCs w:val="14"/>
              </w:rPr>
              <w:t>773</w:t>
            </w:r>
          </w:p>
        </w:tc>
      </w:tr>
      <w:tr w:rsidR="00B02873" w:rsidRPr="00950A49" w14:paraId="59DC3446" w14:textId="77777777" w:rsidTr="00950A49">
        <w:tc>
          <w:tcPr>
            <w:tcW w:w="2570" w:type="dxa"/>
          </w:tcPr>
          <w:p w14:paraId="6E7C73B0" w14:textId="77777777" w:rsidR="00B02873" w:rsidRPr="00950A49" w:rsidRDefault="00B02873" w:rsidP="00977548">
            <w:pPr>
              <w:pStyle w:val="TablebodyleftFinancialsTables"/>
              <w:rPr>
                <w:rFonts w:asciiTheme="minorHAnsi" w:hAnsiTheme="minorHAnsi" w:cstheme="minorHAnsi"/>
                <w:b/>
                <w:bCs/>
                <w:sz w:val="18"/>
                <w:szCs w:val="14"/>
              </w:rPr>
            </w:pPr>
            <w:r w:rsidRPr="00950A49">
              <w:rPr>
                <w:rFonts w:asciiTheme="minorHAnsi" w:hAnsiTheme="minorHAnsi" w:cstheme="minorHAnsi"/>
                <w:b/>
                <w:bCs/>
                <w:sz w:val="18"/>
                <w:szCs w:val="14"/>
              </w:rPr>
              <w:t>Total non-financial assets</w:t>
            </w:r>
          </w:p>
        </w:tc>
        <w:tc>
          <w:tcPr>
            <w:tcW w:w="1111" w:type="dxa"/>
          </w:tcPr>
          <w:p w14:paraId="376F130F" w14:textId="77777777" w:rsidR="00B02873" w:rsidRPr="00950A49" w:rsidRDefault="00B02873" w:rsidP="00950A49">
            <w:pPr>
              <w:pStyle w:val="TablebodyleftFinancialsTables"/>
              <w:jc w:val="right"/>
              <w:rPr>
                <w:rFonts w:asciiTheme="minorHAnsi" w:hAnsiTheme="minorHAnsi" w:cstheme="minorHAnsi"/>
                <w:b/>
                <w:bCs/>
                <w:sz w:val="18"/>
                <w:szCs w:val="14"/>
              </w:rPr>
            </w:pPr>
            <w:r w:rsidRPr="00950A49">
              <w:rPr>
                <w:rFonts w:asciiTheme="minorHAnsi" w:hAnsiTheme="minorHAnsi" w:cstheme="minorHAnsi"/>
                <w:b/>
                <w:bCs/>
                <w:sz w:val="18"/>
                <w:szCs w:val="14"/>
              </w:rPr>
              <w:t>26,792</w:t>
            </w:r>
          </w:p>
        </w:tc>
        <w:tc>
          <w:tcPr>
            <w:tcW w:w="1276" w:type="dxa"/>
          </w:tcPr>
          <w:p w14:paraId="3B3B047C" w14:textId="77777777" w:rsidR="00B02873" w:rsidRPr="00950A49" w:rsidRDefault="00B02873" w:rsidP="00950A49">
            <w:pPr>
              <w:pStyle w:val="TablebodyleftFinancialsTables"/>
              <w:jc w:val="right"/>
              <w:rPr>
                <w:rFonts w:asciiTheme="minorHAnsi" w:hAnsiTheme="minorHAnsi" w:cstheme="minorHAnsi"/>
                <w:sz w:val="18"/>
                <w:szCs w:val="14"/>
              </w:rPr>
            </w:pPr>
            <w:r w:rsidRPr="00950A49">
              <w:rPr>
                <w:rFonts w:asciiTheme="minorHAnsi" w:hAnsiTheme="minorHAnsi" w:cstheme="minorHAnsi"/>
                <w:sz w:val="18"/>
                <w:szCs w:val="14"/>
              </w:rPr>
              <w:t>18,773</w:t>
            </w:r>
          </w:p>
        </w:tc>
        <w:tc>
          <w:tcPr>
            <w:tcW w:w="1275" w:type="dxa"/>
          </w:tcPr>
          <w:p w14:paraId="6227E150" w14:textId="77777777" w:rsidR="00B02873" w:rsidRPr="00950A49" w:rsidRDefault="00B02873" w:rsidP="00950A49">
            <w:pPr>
              <w:pStyle w:val="TablebodyleftFinancialsTables"/>
              <w:jc w:val="right"/>
              <w:rPr>
                <w:rFonts w:asciiTheme="minorHAnsi" w:hAnsiTheme="minorHAnsi" w:cstheme="minorHAnsi"/>
                <w:b/>
                <w:bCs/>
                <w:sz w:val="18"/>
                <w:szCs w:val="14"/>
              </w:rPr>
            </w:pPr>
            <w:r w:rsidRPr="00950A49">
              <w:rPr>
                <w:rFonts w:asciiTheme="minorHAnsi" w:hAnsiTheme="minorHAnsi" w:cstheme="minorHAnsi"/>
                <w:b/>
                <w:bCs/>
                <w:sz w:val="18"/>
                <w:szCs w:val="14"/>
              </w:rPr>
              <w:t>7,791,000</w:t>
            </w:r>
          </w:p>
        </w:tc>
        <w:tc>
          <w:tcPr>
            <w:tcW w:w="1276" w:type="dxa"/>
          </w:tcPr>
          <w:p w14:paraId="2EFB92DB" w14:textId="77777777" w:rsidR="00B02873" w:rsidRPr="00950A49" w:rsidRDefault="00B02873" w:rsidP="00950A49">
            <w:pPr>
              <w:pStyle w:val="TablebodyleftFinancialsTables"/>
              <w:jc w:val="right"/>
              <w:rPr>
                <w:rFonts w:asciiTheme="minorHAnsi" w:hAnsiTheme="minorHAnsi" w:cstheme="minorHAnsi"/>
                <w:sz w:val="18"/>
                <w:szCs w:val="14"/>
              </w:rPr>
            </w:pPr>
            <w:r w:rsidRPr="00950A49">
              <w:rPr>
                <w:rFonts w:asciiTheme="minorHAnsi" w:hAnsiTheme="minorHAnsi" w:cstheme="minorHAnsi"/>
                <w:sz w:val="18"/>
                <w:szCs w:val="14"/>
              </w:rPr>
              <w:t>6,526,029</w:t>
            </w:r>
          </w:p>
        </w:tc>
        <w:tc>
          <w:tcPr>
            <w:tcW w:w="1276" w:type="dxa"/>
          </w:tcPr>
          <w:p w14:paraId="043D9868" w14:textId="77777777" w:rsidR="00B02873" w:rsidRPr="00950A49" w:rsidRDefault="00B02873" w:rsidP="00950A49">
            <w:pPr>
              <w:pStyle w:val="TablebodyleftFinancialsTables"/>
              <w:jc w:val="right"/>
              <w:rPr>
                <w:rFonts w:asciiTheme="minorHAnsi" w:hAnsiTheme="minorHAnsi" w:cstheme="minorHAnsi"/>
                <w:b/>
                <w:bCs/>
                <w:sz w:val="18"/>
                <w:szCs w:val="14"/>
              </w:rPr>
            </w:pPr>
            <w:r w:rsidRPr="00950A49">
              <w:rPr>
                <w:rFonts w:asciiTheme="minorHAnsi" w:hAnsiTheme="minorHAnsi" w:cstheme="minorHAnsi"/>
                <w:b/>
                <w:bCs/>
                <w:sz w:val="18"/>
                <w:szCs w:val="14"/>
              </w:rPr>
              <w:t>130,070</w:t>
            </w:r>
          </w:p>
        </w:tc>
        <w:tc>
          <w:tcPr>
            <w:tcW w:w="1276" w:type="dxa"/>
          </w:tcPr>
          <w:p w14:paraId="4A0C6DC6" w14:textId="77777777" w:rsidR="00B02873" w:rsidRPr="00950A49" w:rsidRDefault="00B02873" w:rsidP="00950A49">
            <w:pPr>
              <w:pStyle w:val="TablebodyleftFinancialsTables"/>
              <w:jc w:val="right"/>
              <w:rPr>
                <w:rFonts w:asciiTheme="minorHAnsi" w:hAnsiTheme="minorHAnsi" w:cstheme="minorHAnsi"/>
                <w:sz w:val="18"/>
                <w:szCs w:val="14"/>
              </w:rPr>
            </w:pPr>
            <w:r w:rsidRPr="00950A49">
              <w:rPr>
                <w:rFonts w:asciiTheme="minorHAnsi" w:hAnsiTheme="minorHAnsi" w:cstheme="minorHAnsi"/>
                <w:sz w:val="18"/>
                <w:szCs w:val="14"/>
              </w:rPr>
              <w:t>142,489</w:t>
            </w:r>
          </w:p>
        </w:tc>
      </w:tr>
      <w:tr w:rsidR="00B02873" w:rsidRPr="00950A49" w14:paraId="0912F64D" w14:textId="77777777" w:rsidTr="00950A49">
        <w:tc>
          <w:tcPr>
            <w:tcW w:w="2570" w:type="dxa"/>
          </w:tcPr>
          <w:p w14:paraId="6FCE381E" w14:textId="77777777" w:rsidR="00B02873" w:rsidRPr="00950A49" w:rsidRDefault="00B02873" w:rsidP="00977548">
            <w:pPr>
              <w:pStyle w:val="TablebodyleftFinancialsTables"/>
              <w:rPr>
                <w:rFonts w:asciiTheme="minorHAnsi" w:hAnsiTheme="minorHAnsi" w:cstheme="minorHAnsi"/>
                <w:b/>
                <w:bCs/>
                <w:sz w:val="18"/>
                <w:szCs w:val="14"/>
              </w:rPr>
            </w:pPr>
            <w:r w:rsidRPr="00950A49">
              <w:rPr>
                <w:rFonts w:asciiTheme="minorHAnsi" w:hAnsiTheme="minorHAnsi" w:cstheme="minorHAnsi"/>
                <w:b/>
                <w:bCs/>
                <w:sz w:val="18"/>
                <w:szCs w:val="14"/>
              </w:rPr>
              <w:t>Total assets</w:t>
            </w:r>
          </w:p>
        </w:tc>
        <w:tc>
          <w:tcPr>
            <w:tcW w:w="1111" w:type="dxa"/>
          </w:tcPr>
          <w:p w14:paraId="554BDD2B" w14:textId="77777777" w:rsidR="00B02873" w:rsidRPr="00950A49" w:rsidRDefault="00B02873" w:rsidP="00950A49">
            <w:pPr>
              <w:pStyle w:val="TablebodyleftFinancialsTables"/>
              <w:jc w:val="right"/>
              <w:rPr>
                <w:rFonts w:asciiTheme="minorHAnsi" w:hAnsiTheme="minorHAnsi" w:cstheme="minorHAnsi"/>
                <w:b/>
                <w:bCs/>
                <w:sz w:val="18"/>
                <w:szCs w:val="14"/>
              </w:rPr>
            </w:pPr>
            <w:r w:rsidRPr="00950A49">
              <w:rPr>
                <w:rFonts w:asciiTheme="minorHAnsi" w:hAnsiTheme="minorHAnsi" w:cstheme="minorHAnsi"/>
                <w:b/>
                <w:bCs/>
                <w:sz w:val="18"/>
                <w:szCs w:val="14"/>
              </w:rPr>
              <w:t>111,116</w:t>
            </w:r>
          </w:p>
        </w:tc>
        <w:tc>
          <w:tcPr>
            <w:tcW w:w="1276" w:type="dxa"/>
          </w:tcPr>
          <w:p w14:paraId="5A70A7A4" w14:textId="77777777" w:rsidR="00B02873" w:rsidRPr="00950A49" w:rsidRDefault="00B02873" w:rsidP="00950A49">
            <w:pPr>
              <w:pStyle w:val="TablebodyleftFinancialsTables"/>
              <w:jc w:val="right"/>
              <w:rPr>
                <w:rFonts w:asciiTheme="minorHAnsi" w:hAnsiTheme="minorHAnsi" w:cstheme="minorHAnsi"/>
                <w:sz w:val="18"/>
                <w:szCs w:val="14"/>
              </w:rPr>
            </w:pPr>
            <w:r w:rsidRPr="00950A49">
              <w:rPr>
                <w:rFonts w:asciiTheme="minorHAnsi" w:hAnsiTheme="minorHAnsi" w:cstheme="minorHAnsi"/>
                <w:sz w:val="18"/>
                <w:szCs w:val="14"/>
              </w:rPr>
              <w:t>99,340</w:t>
            </w:r>
          </w:p>
        </w:tc>
        <w:tc>
          <w:tcPr>
            <w:tcW w:w="1275" w:type="dxa"/>
          </w:tcPr>
          <w:p w14:paraId="2EDC236F" w14:textId="77777777" w:rsidR="00B02873" w:rsidRPr="00950A49" w:rsidRDefault="00B02873" w:rsidP="00950A49">
            <w:pPr>
              <w:pStyle w:val="TablebodyleftFinancialsTables"/>
              <w:jc w:val="right"/>
              <w:rPr>
                <w:rFonts w:asciiTheme="minorHAnsi" w:hAnsiTheme="minorHAnsi" w:cstheme="minorHAnsi"/>
                <w:b/>
                <w:bCs/>
                <w:sz w:val="18"/>
                <w:szCs w:val="14"/>
              </w:rPr>
            </w:pPr>
            <w:r w:rsidRPr="00950A49">
              <w:rPr>
                <w:rFonts w:asciiTheme="minorHAnsi" w:hAnsiTheme="minorHAnsi" w:cstheme="minorHAnsi"/>
                <w:b/>
                <w:bCs/>
                <w:sz w:val="18"/>
                <w:szCs w:val="14"/>
              </w:rPr>
              <w:t>8,036,661</w:t>
            </w:r>
          </w:p>
        </w:tc>
        <w:tc>
          <w:tcPr>
            <w:tcW w:w="1276" w:type="dxa"/>
          </w:tcPr>
          <w:p w14:paraId="4E481F88" w14:textId="77777777" w:rsidR="00B02873" w:rsidRPr="00950A49" w:rsidRDefault="00B02873" w:rsidP="00950A49">
            <w:pPr>
              <w:pStyle w:val="TablebodyleftFinancialsTables"/>
              <w:jc w:val="right"/>
              <w:rPr>
                <w:rFonts w:asciiTheme="minorHAnsi" w:hAnsiTheme="minorHAnsi" w:cstheme="minorHAnsi"/>
                <w:sz w:val="18"/>
                <w:szCs w:val="14"/>
              </w:rPr>
            </w:pPr>
            <w:r w:rsidRPr="00950A49">
              <w:rPr>
                <w:rFonts w:asciiTheme="minorHAnsi" w:hAnsiTheme="minorHAnsi" w:cstheme="minorHAnsi"/>
                <w:sz w:val="18"/>
                <w:szCs w:val="14"/>
              </w:rPr>
              <w:t>6,901,803</w:t>
            </w:r>
          </w:p>
        </w:tc>
        <w:tc>
          <w:tcPr>
            <w:tcW w:w="1276" w:type="dxa"/>
          </w:tcPr>
          <w:p w14:paraId="3FEE85D0" w14:textId="4FECE282" w:rsidR="00B02873" w:rsidRPr="00950A49" w:rsidRDefault="00B02873" w:rsidP="00950A49">
            <w:pPr>
              <w:pStyle w:val="TablebodyleftFinancialsTables"/>
              <w:jc w:val="right"/>
              <w:rPr>
                <w:rFonts w:asciiTheme="minorHAnsi" w:hAnsiTheme="minorHAnsi" w:cstheme="minorHAnsi"/>
                <w:b/>
                <w:bCs/>
                <w:sz w:val="18"/>
                <w:szCs w:val="14"/>
              </w:rPr>
            </w:pPr>
            <w:r w:rsidRPr="00950A49">
              <w:rPr>
                <w:rFonts w:asciiTheme="minorHAnsi" w:hAnsiTheme="minorHAnsi" w:cstheme="minorHAnsi"/>
                <w:b/>
                <w:bCs/>
                <w:sz w:val="18"/>
                <w:szCs w:val="14"/>
              </w:rPr>
              <w:t>269,063</w:t>
            </w:r>
            <w:r w:rsidR="00012C04" w:rsidRPr="00950A49">
              <w:rPr>
                <w:rFonts w:asciiTheme="minorHAnsi" w:hAnsiTheme="minorHAnsi" w:cstheme="minorHAnsi"/>
                <w:b/>
                <w:bCs/>
                <w:sz w:val="18"/>
                <w:szCs w:val="14"/>
              </w:rPr>
              <w:t xml:space="preserve"> </w:t>
            </w:r>
            <w:r w:rsidRPr="00950A49">
              <w:rPr>
                <w:rFonts w:asciiTheme="minorHAnsi" w:hAnsiTheme="minorHAnsi" w:cstheme="minorHAnsi"/>
                <w:b/>
                <w:bCs/>
                <w:sz w:val="18"/>
                <w:szCs w:val="14"/>
              </w:rPr>
              <w:t xml:space="preserve"> </w:t>
            </w:r>
          </w:p>
        </w:tc>
        <w:tc>
          <w:tcPr>
            <w:tcW w:w="1276" w:type="dxa"/>
          </w:tcPr>
          <w:p w14:paraId="3C905B7F" w14:textId="77777777" w:rsidR="00B02873" w:rsidRPr="00950A49" w:rsidRDefault="00B02873" w:rsidP="00950A49">
            <w:pPr>
              <w:pStyle w:val="TablebodyleftFinancialsTables"/>
              <w:jc w:val="right"/>
              <w:rPr>
                <w:rFonts w:asciiTheme="minorHAnsi" w:hAnsiTheme="minorHAnsi" w:cstheme="minorHAnsi"/>
                <w:sz w:val="18"/>
                <w:szCs w:val="14"/>
              </w:rPr>
            </w:pPr>
            <w:r w:rsidRPr="00950A49">
              <w:rPr>
                <w:rFonts w:asciiTheme="minorHAnsi" w:hAnsiTheme="minorHAnsi" w:cstheme="minorHAnsi"/>
                <w:sz w:val="18"/>
                <w:szCs w:val="14"/>
              </w:rPr>
              <w:t>295,188</w:t>
            </w:r>
          </w:p>
        </w:tc>
      </w:tr>
      <w:tr w:rsidR="00977548" w:rsidRPr="00950A49" w14:paraId="33A9B167" w14:textId="77777777" w:rsidTr="00950A49">
        <w:tc>
          <w:tcPr>
            <w:tcW w:w="2570" w:type="dxa"/>
          </w:tcPr>
          <w:p w14:paraId="290E8CA6" w14:textId="77777777" w:rsidR="00977548" w:rsidRPr="00950A49" w:rsidRDefault="00977548" w:rsidP="00977548">
            <w:pPr>
              <w:pStyle w:val="TablebodyleftFinancialsTables"/>
              <w:rPr>
                <w:rFonts w:asciiTheme="minorHAnsi" w:hAnsiTheme="minorHAnsi" w:cstheme="minorHAnsi"/>
                <w:b/>
                <w:bCs/>
                <w:sz w:val="18"/>
                <w:szCs w:val="14"/>
              </w:rPr>
            </w:pPr>
            <w:r w:rsidRPr="00950A49">
              <w:rPr>
                <w:rFonts w:asciiTheme="minorHAnsi" w:hAnsiTheme="minorHAnsi" w:cstheme="minorHAnsi"/>
                <w:b/>
                <w:bCs/>
                <w:sz w:val="18"/>
                <w:szCs w:val="14"/>
              </w:rPr>
              <w:t>Liabilities</w:t>
            </w:r>
          </w:p>
        </w:tc>
        <w:tc>
          <w:tcPr>
            <w:tcW w:w="1111" w:type="dxa"/>
          </w:tcPr>
          <w:p w14:paraId="2E368D27" w14:textId="77777777" w:rsidR="00977548" w:rsidRPr="00950A49" w:rsidRDefault="00977548" w:rsidP="00950A49">
            <w:pPr>
              <w:pStyle w:val="TablebodyleftFinancialsTables"/>
              <w:jc w:val="right"/>
              <w:rPr>
                <w:rFonts w:asciiTheme="minorHAnsi" w:hAnsiTheme="minorHAnsi" w:cstheme="minorHAnsi"/>
                <w:b/>
                <w:bCs/>
                <w:sz w:val="18"/>
                <w:szCs w:val="14"/>
              </w:rPr>
            </w:pPr>
          </w:p>
        </w:tc>
        <w:tc>
          <w:tcPr>
            <w:tcW w:w="1276" w:type="dxa"/>
          </w:tcPr>
          <w:p w14:paraId="7DD1EAA1" w14:textId="77777777" w:rsidR="00977548" w:rsidRPr="00950A49" w:rsidRDefault="00977548" w:rsidP="00950A49">
            <w:pPr>
              <w:pStyle w:val="TablebodyleftFinancialsTables"/>
              <w:jc w:val="right"/>
              <w:rPr>
                <w:rFonts w:asciiTheme="minorHAnsi" w:hAnsiTheme="minorHAnsi" w:cstheme="minorHAnsi"/>
                <w:sz w:val="18"/>
                <w:szCs w:val="14"/>
              </w:rPr>
            </w:pPr>
          </w:p>
        </w:tc>
        <w:tc>
          <w:tcPr>
            <w:tcW w:w="1275" w:type="dxa"/>
          </w:tcPr>
          <w:p w14:paraId="79231E0B" w14:textId="77777777" w:rsidR="00977548" w:rsidRPr="00950A49" w:rsidRDefault="00977548" w:rsidP="00950A49">
            <w:pPr>
              <w:pStyle w:val="TablebodyleftFinancialsTables"/>
              <w:jc w:val="right"/>
              <w:rPr>
                <w:rFonts w:asciiTheme="minorHAnsi" w:hAnsiTheme="minorHAnsi" w:cstheme="minorHAnsi"/>
                <w:b/>
                <w:bCs/>
                <w:sz w:val="18"/>
                <w:szCs w:val="14"/>
              </w:rPr>
            </w:pPr>
          </w:p>
        </w:tc>
        <w:tc>
          <w:tcPr>
            <w:tcW w:w="1276" w:type="dxa"/>
          </w:tcPr>
          <w:p w14:paraId="53447A11" w14:textId="77777777" w:rsidR="00977548" w:rsidRPr="00950A49" w:rsidRDefault="00977548" w:rsidP="00950A49">
            <w:pPr>
              <w:pStyle w:val="TablebodyleftFinancialsTables"/>
              <w:jc w:val="right"/>
              <w:rPr>
                <w:rFonts w:asciiTheme="minorHAnsi" w:hAnsiTheme="minorHAnsi" w:cstheme="minorHAnsi"/>
                <w:sz w:val="18"/>
                <w:szCs w:val="14"/>
              </w:rPr>
            </w:pPr>
          </w:p>
        </w:tc>
        <w:tc>
          <w:tcPr>
            <w:tcW w:w="1276" w:type="dxa"/>
          </w:tcPr>
          <w:p w14:paraId="050BB193" w14:textId="77777777" w:rsidR="00977548" w:rsidRPr="00950A49" w:rsidRDefault="00977548" w:rsidP="00950A49">
            <w:pPr>
              <w:pStyle w:val="TablebodyleftFinancialsTables"/>
              <w:jc w:val="right"/>
              <w:rPr>
                <w:rFonts w:asciiTheme="minorHAnsi" w:hAnsiTheme="minorHAnsi" w:cstheme="minorHAnsi"/>
                <w:b/>
                <w:bCs/>
                <w:sz w:val="18"/>
                <w:szCs w:val="14"/>
              </w:rPr>
            </w:pPr>
          </w:p>
        </w:tc>
        <w:tc>
          <w:tcPr>
            <w:tcW w:w="1276" w:type="dxa"/>
          </w:tcPr>
          <w:p w14:paraId="377F8F50" w14:textId="7DF487E6" w:rsidR="00977548" w:rsidRPr="00950A49" w:rsidRDefault="00977548" w:rsidP="00950A49">
            <w:pPr>
              <w:pStyle w:val="TablebodyleftFinancialsTables"/>
              <w:jc w:val="right"/>
              <w:rPr>
                <w:rFonts w:asciiTheme="minorHAnsi" w:hAnsiTheme="minorHAnsi" w:cstheme="minorHAnsi"/>
                <w:sz w:val="18"/>
                <w:szCs w:val="14"/>
              </w:rPr>
            </w:pPr>
          </w:p>
        </w:tc>
      </w:tr>
      <w:tr w:rsidR="00B02873" w:rsidRPr="00950A49" w14:paraId="281988DB" w14:textId="77777777" w:rsidTr="00950A49">
        <w:tc>
          <w:tcPr>
            <w:tcW w:w="2570" w:type="dxa"/>
          </w:tcPr>
          <w:p w14:paraId="10077EE2" w14:textId="77777777" w:rsidR="00B02873" w:rsidRPr="00950A49" w:rsidRDefault="00B02873" w:rsidP="00977548">
            <w:pPr>
              <w:pStyle w:val="TablebodyleftFinancialsTables"/>
              <w:rPr>
                <w:rFonts w:asciiTheme="minorHAnsi" w:hAnsiTheme="minorHAnsi" w:cstheme="minorHAnsi"/>
                <w:sz w:val="18"/>
                <w:szCs w:val="14"/>
              </w:rPr>
            </w:pPr>
            <w:r w:rsidRPr="00950A49">
              <w:rPr>
                <w:rFonts w:asciiTheme="minorHAnsi" w:hAnsiTheme="minorHAnsi" w:cstheme="minorHAnsi"/>
                <w:sz w:val="18"/>
                <w:szCs w:val="14"/>
              </w:rPr>
              <w:t>Payables</w:t>
            </w:r>
          </w:p>
        </w:tc>
        <w:tc>
          <w:tcPr>
            <w:tcW w:w="1111" w:type="dxa"/>
          </w:tcPr>
          <w:p w14:paraId="0A9B5C00" w14:textId="77777777" w:rsidR="00B02873" w:rsidRPr="00950A49" w:rsidRDefault="00B02873" w:rsidP="00950A49">
            <w:pPr>
              <w:pStyle w:val="TablebodyleftFinancialsTables"/>
              <w:jc w:val="right"/>
              <w:rPr>
                <w:rFonts w:asciiTheme="minorHAnsi" w:hAnsiTheme="minorHAnsi" w:cstheme="minorHAnsi"/>
                <w:b/>
                <w:bCs/>
                <w:sz w:val="18"/>
                <w:szCs w:val="14"/>
              </w:rPr>
            </w:pPr>
            <w:r w:rsidRPr="00950A49">
              <w:rPr>
                <w:rFonts w:asciiTheme="minorHAnsi" w:hAnsiTheme="minorHAnsi" w:cstheme="minorHAnsi"/>
                <w:b/>
                <w:bCs/>
                <w:sz w:val="18"/>
                <w:szCs w:val="14"/>
              </w:rPr>
              <w:t>11,045</w:t>
            </w:r>
          </w:p>
        </w:tc>
        <w:tc>
          <w:tcPr>
            <w:tcW w:w="1276" w:type="dxa"/>
          </w:tcPr>
          <w:p w14:paraId="052532D0" w14:textId="77777777" w:rsidR="00B02873" w:rsidRPr="00950A49" w:rsidRDefault="00B02873" w:rsidP="00950A49">
            <w:pPr>
              <w:pStyle w:val="TablebodyleftFinancialsTables"/>
              <w:jc w:val="right"/>
              <w:rPr>
                <w:rFonts w:asciiTheme="minorHAnsi" w:hAnsiTheme="minorHAnsi" w:cstheme="minorHAnsi"/>
                <w:sz w:val="18"/>
                <w:szCs w:val="14"/>
              </w:rPr>
            </w:pPr>
            <w:r w:rsidRPr="00950A49">
              <w:rPr>
                <w:rFonts w:asciiTheme="minorHAnsi" w:hAnsiTheme="minorHAnsi" w:cstheme="minorHAnsi"/>
                <w:sz w:val="18"/>
                <w:szCs w:val="14"/>
              </w:rPr>
              <w:t>13,368</w:t>
            </w:r>
          </w:p>
        </w:tc>
        <w:tc>
          <w:tcPr>
            <w:tcW w:w="1275" w:type="dxa"/>
          </w:tcPr>
          <w:p w14:paraId="7F1AFB9F" w14:textId="77777777" w:rsidR="00B02873" w:rsidRPr="00950A49" w:rsidRDefault="00B02873" w:rsidP="00950A49">
            <w:pPr>
              <w:pStyle w:val="TablebodyleftFinancialsTables"/>
              <w:jc w:val="right"/>
              <w:rPr>
                <w:rFonts w:asciiTheme="minorHAnsi" w:hAnsiTheme="minorHAnsi" w:cstheme="minorHAnsi"/>
                <w:b/>
                <w:bCs/>
                <w:sz w:val="18"/>
                <w:szCs w:val="14"/>
              </w:rPr>
            </w:pPr>
            <w:r w:rsidRPr="00950A49">
              <w:rPr>
                <w:rFonts w:asciiTheme="minorHAnsi" w:hAnsiTheme="minorHAnsi" w:cstheme="minorHAnsi"/>
                <w:b/>
                <w:bCs/>
                <w:sz w:val="18"/>
                <w:szCs w:val="14"/>
              </w:rPr>
              <w:t>26,489</w:t>
            </w:r>
          </w:p>
        </w:tc>
        <w:tc>
          <w:tcPr>
            <w:tcW w:w="1276" w:type="dxa"/>
          </w:tcPr>
          <w:p w14:paraId="49340D74" w14:textId="77777777" w:rsidR="00B02873" w:rsidRPr="00950A49" w:rsidRDefault="00B02873" w:rsidP="00950A49">
            <w:pPr>
              <w:pStyle w:val="TablebodyleftFinancialsTables"/>
              <w:jc w:val="right"/>
              <w:rPr>
                <w:rFonts w:asciiTheme="minorHAnsi" w:hAnsiTheme="minorHAnsi" w:cstheme="minorHAnsi"/>
                <w:sz w:val="18"/>
                <w:szCs w:val="14"/>
              </w:rPr>
            </w:pPr>
            <w:r w:rsidRPr="00950A49">
              <w:rPr>
                <w:rFonts w:asciiTheme="minorHAnsi" w:hAnsiTheme="minorHAnsi" w:cstheme="minorHAnsi"/>
                <w:sz w:val="18"/>
                <w:szCs w:val="14"/>
              </w:rPr>
              <w:t>17,644</w:t>
            </w:r>
          </w:p>
        </w:tc>
        <w:tc>
          <w:tcPr>
            <w:tcW w:w="1276" w:type="dxa"/>
          </w:tcPr>
          <w:p w14:paraId="6CF4FD5F" w14:textId="77777777" w:rsidR="00B02873" w:rsidRPr="00950A49" w:rsidRDefault="00B02873" w:rsidP="00950A49">
            <w:pPr>
              <w:pStyle w:val="TablebodyleftFinancialsTables"/>
              <w:jc w:val="right"/>
              <w:rPr>
                <w:rFonts w:asciiTheme="minorHAnsi" w:hAnsiTheme="minorHAnsi" w:cstheme="minorHAnsi"/>
                <w:b/>
                <w:bCs/>
                <w:sz w:val="18"/>
                <w:szCs w:val="14"/>
              </w:rPr>
            </w:pPr>
            <w:r w:rsidRPr="00950A49">
              <w:rPr>
                <w:rFonts w:asciiTheme="minorHAnsi" w:hAnsiTheme="minorHAnsi" w:cstheme="minorHAnsi"/>
                <w:b/>
                <w:bCs/>
                <w:sz w:val="18"/>
                <w:szCs w:val="14"/>
              </w:rPr>
              <w:t>29,078</w:t>
            </w:r>
          </w:p>
        </w:tc>
        <w:tc>
          <w:tcPr>
            <w:tcW w:w="1276" w:type="dxa"/>
          </w:tcPr>
          <w:p w14:paraId="0DA90460" w14:textId="77777777" w:rsidR="00B02873" w:rsidRPr="00950A49" w:rsidRDefault="00B02873" w:rsidP="00950A49">
            <w:pPr>
              <w:pStyle w:val="TablebodyleftFinancialsTables"/>
              <w:jc w:val="right"/>
              <w:rPr>
                <w:rFonts w:asciiTheme="minorHAnsi" w:hAnsiTheme="minorHAnsi" w:cstheme="minorHAnsi"/>
                <w:sz w:val="18"/>
                <w:szCs w:val="14"/>
              </w:rPr>
            </w:pPr>
            <w:r w:rsidRPr="00950A49">
              <w:rPr>
                <w:rFonts w:asciiTheme="minorHAnsi" w:hAnsiTheme="minorHAnsi" w:cstheme="minorHAnsi"/>
                <w:sz w:val="18"/>
                <w:szCs w:val="14"/>
              </w:rPr>
              <w:t>37,377</w:t>
            </w:r>
          </w:p>
        </w:tc>
      </w:tr>
      <w:tr w:rsidR="00B02873" w:rsidRPr="00950A49" w14:paraId="134505FB" w14:textId="77777777" w:rsidTr="00950A49">
        <w:tc>
          <w:tcPr>
            <w:tcW w:w="2570" w:type="dxa"/>
          </w:tcPr>
          <w:p w14:paraId="76A3F2F3" w14:textId="77777777" w:rsidR="00B02873" w:rsidRPr="00950A49" w:rsidRDefault="00B02873" w:rsidP="00977548">
            <w:pPr>
              <w:pStyle w:val="TablebodyleftFinancialsTables"/>
              <w:rPr>
                <w:rFonts w:asciiTheme="minorHAnsi" w:hAnsiTheme="minorHAnsi" w:cstheme="minorHAnsi"/>
                <w:sz w:val="18"/>
                <w:szCs w:val="14"/>
              </w:rPr>
            </w:pPr>
            <w:r w:rsidRPr="00950A49">
              <w:rPr>
                <w:rFonts w:asciiTheme="minorHAnsi" w:hAnsiTheme="minorHAnsi" w:cstheme="minorHAnsi"/>
                <w:sz w:val="18"/>
                <w:szCs w:val="14"/>
              </w:rPr>
              <w:t>Other financial liabilities</w:t>
            </w:r>
          </w:p>
        </w:tc>
        <w:tc>
          <w:tcPr>
            <w:tcW w:w="1111" w:type="dxa"/>
          </w:tcPr>
          <w:p w14:paraId="0AAC59BA" w14:textId="77777777" w:rsidR="00B02873" w:rsidRPr="00950A49" w:rsidRDefault="00B02873" w:rsidP="00950A49">
            <w:pPr>
              <w:pStyle w:val="TablebodyleftFinancialsTables"/>
              <w:jc w:val="right"/>
              <w:rPr>
                <w:rFonts w:asciiTheme="minorHAnsi" w:hAnsiTheme="minorHAnsi" w:cstheme="minorHAnsi"/>
                <w:b/>
                <w:bCs/>
                <w:sz w:val="18"/>
                <w:szCs w:val="14"/>
              </w:rPr>
            </w:pPr>
            <w:r w:rsidRPr="00950A49">
              <w:rPr>
                <w:rFonts w:asciiTheme="minorHAnsi" w:hAnsiTheme="minorHAnsi" w:cstheme="minorHAnsi"/>
                <w:b/>
                <w:bCs/>
                <w:sz w:val="18"/>
                <w:szCs w:val="14"/>
              </w:rPr>
              <w:t>–</w:t>
            </w:r>
          </w:p>
        </w:tc>
        <w:tc>
          <w:tcPr>
            <w:tcW w:w="1276" w:type="dxa"/>
          </w:tcPr>
          <w:p w14:paraId="10FAFB61" w14:textId="77777777" w:rsidR="00B02873" w:rsidRPr="00950A49" w:rsidRDefault="00B02873" w:rsidP="00950A49">
            <w:pPr>
              <w:pStyle w:val="TablebodyleftFinancialsTables"/>
              <w:jc w:val="right"/>
              <w:rPr>
                <w:rFonts w:asciiTheme="minorHAnsi" w:hAnsiTheme="minorHAnsi" w:cstheme="minorHAnsi"/>
                <w:sz w:val="18"/>
                <w:szCs w:val="14"/>
              </w:rPr>
            </w:pPr>
            <w:r w:rsidRPr="00950A49">
              <w:rPr>
                <w:rFonts w:asciiTheme="minorHAnsi" w:hAnsiTheme="minorHAnsi" w:cstheme="minorHAnsi"/>
                <w:sz w:val="18"/>
                <w:szCs w:val="14"/>
              </w:rPr>
              <w:t>–</w:t>
            </w:r>
          </w:p>
        </w:tc>
        <w:tc>
          <w:tcPr>
            <w:tcW w:w="1275" w:type="dxa"/>
          </w:tcPr>
          <w:p w14:paraId="078A84AB" w14:textId="77777777" w:rsidR="00B02873" w:rsidRPr="00950A49" w:rsidRDefault="00B02873" w:rsidP="00950A49">
            <w:pPr>
              <w:pStyle w:val="TablebodyleftFinancialsTables"/>
              <w:jc w:val="right"/>
              <w:rPr>
                <w:rFonts w:asciiTheme="minorHAnsi" w:hAnsiTheme="minorHAnsi" w:cstheme="minorHAnsi"/>
                <w:b/>
                <w:bCs/>
                <w:sz w:val="18"/>
                <w:szCs w:val="14"/>
              </w:rPr>
            </w:pPr>
            <w:r w:rsidRPr="00950A49">
              <w:rPr>
                <w:rFonts w:asciiTheme="minorHAnsi" w:hAnsiTheme="minorHAnsi" w:cstheme="minorHAnsi"/>
                <w:b/>
                <w:bCs/>
                <w:sz w:val="18"/>
                <w:szCs w:val="14"/>
              </w:rPr>
              <w:t>–</w:t>
            </w:r>
          </w:p>
        </w:tc>
        <w:tc>
          <w:tcPr>
            <w:tcW w:w="1276" w:type="dxa"/>
          </w:tcPr>
          <w:p w14:paraId="68105216" w14:textId="77777777" w:rsidR="00B02873" w:rsidRPr="00950A49" w:rsidRDefault="00B02873" w:rsidP="00950A49">
            <w:pPr>
              <w:pStyle w:val="TablebodyleftFinancialsTables"/>
              <w:jc w:val="right"/>
              <w:rPr>
                <w:rFonts w:asciiTheme="minorHAnsi" w:hAnsiTheme="minorHAnsi" w:cstheme="minorHAnsi"/>
                <w:sz w:val="18"/>
                <w:szCs w:val="14"/>
              </w:rPr>
            </w:pPr>
            <w:r w:rsidRPr="00950A49">
              <w:rPr>
                <w:rFonts w:asciiTheme="minorHAnsi" w:hAnsiTheme="minorHAnsi" w:cstheme="minorHAnsi"/>
                <w:sz w:val="18"/>
                <w:szCs w:val="14"/>
              </w:rPr>
              <w:t>–</w:t>
            </w:r>
          </w:p>
        </w:tc>
        <w:tc>
          <w:tcPr>
            <w:tcW w:w="1276" w:type="dxa"/>
          </w:tcPr>
          <w:p w14:paraId="5529F826" w14:textId="77777777" w:rsidR="00B02873" w:rsidRPr="00950A49" w:rsidRDefault="00B02873" w:rsidP="00950A49">
            <w:pPr>
              <w:pStyle w:val="TablebodyleftFinancialsTables"/>
              <w:jc w:val="right"/>
              <w:rPr>
                <w:rFonts w:asciiTheme="minorHAnsi" w:hAnsiTheme="minorHAnsi" w:cstheme="minorHAnsi"/>
                <w:b/>
                <w:bCs/>
                <w:sz w:val="18"/>
                <w:szCs w:val="14"/>
              </w:rPr>
            </w:pPr>
            <w:r w:rsidRPr="00950A49">
              <w:rPr>
                <w:rFonts w:asciiTheme="minorHAnsi" w:hAnsiTheme="minorHAnsi" w:cstheme="minorHAnsi"/>
                <w:b/>
                <w:bCs/>
                <w:sz w:val="18"/>
                <w:szCs w:val="14"/>
              </w:rPr>
              <w:t>–</w:t>
            </w:r>
          </w:p>
        </w:tc>
        <w:tc>
          <w:tcPr>
            <w:tcW w:w="1276" w:type="dxa"/>
          </w:tcPr>
          <w:p w14:paraId="4621A1B2" w14:textId="77777777" w:rsidR="00B02873" w:rsidRPr="00950A49" w:rsidRDefault="00B02873" w:rsidP="00950A49">
            <w:pPr>
              <w:pStyle w:val="TablebodyleftFinancialsTables"/>
              <w:jc w:val="right"/>
              <w:rPr>
                <w:rFonts w:asciiTheme="minorHAnsi" w:hAnsiTheme="minorHAnsi" w:cstheme="minorHAnsi"/>
                <w:sz w:val="18"/>
                <w:szCs w:val="14"/>
              </w:rPr>
            </w:pPr>
            <w:r w:rsidRPr="00950A49">
              <w:rPr>
                <w:rFonts w:asciiTheme="minorHAnsi" w:hAnsiTheme="minorHAnsi" w:cstheme="minorHAnsi"/>
                <w:sz w:val="18"/>
                <w:szCs w:val="14"/>
              </w:rPr>
              <w:t>–</w:t>
            </w:r>
          </w:p>
        </w:tc>
      </w:tr>
      <w:tr w:rsidR="00B02873" w:rsidRPr="00950A49" w14:paraId="42396FE2" w14:textId="77777777" w:rsidTr="00950A49">
        <w:tc>
          <w:tcPr>
            <w:tcW w:w="2570" w:type="dxa"/>
          </w:tcPr>
          <w:p w14:paraId="5A031944" w14:textId="77777777" w:rsidR="00B02873" w:rsidRPr="00950A49" w:rsidRDefault="00B02873" w:rsidP="00977548">
            <w:pPr>
              <w:pStyle w:val="TablebodyleftFinancialsTables"/>
              <w:rPr>
                <w:rFonts w:asciiTheme="minorHAnsi" w:hAnsiTheme="minorHAnsi" w:cstheme="minorHAnsi"/>
                <w:sz w:val="18"/>
                <w:szCs w:val="14"/>
              </w:rPr>
            </w:pPr>
            <w:r w:rsidRPr="00950A49">
              <w:rPr>
                <w:rFonts w:asciiTheme="minorHAnsi" w:hAnsiTheme="minorHAnsi" w:cstheme="minorHAnsi"/>
                <w:sz w:val="18"/>
                <w:szCs w:val="14"/>
              </w:rPr>
              <w:t>Borrowings</w:t>
            </w:r>
          </w:p>
        </w:tc>
        <w:tc>
          <w:tcPr>
            <w:tcW w:w="1111" w:type="dxa"/>
          </w:tcPr>
          <w:p w14:paraId="43ED308D" w14:textId="77777777" w:rsidR="00B02873" w:rsidRPr="00950A49" w:rsidRDefault="00B02873" w:rsidP="00950A49">
            <w:pPr>
              <w:pStyle w:val="TablebodyleftFinancialsTables"/>
              <w:jc w:val="right"/>
              <w:rPr>
                <w:rFonts w:asciiTheme="minorHAnsi" w:hAnsiTheme="minorHAnsi" w:cstheme="minorHAnsi"/>
                <w:b/>
                <w:bCs/>
                <w:sz w:val="18"/>
                <w:szCs w:val="14"/>
              </w:rPr>
            </w:pPr>
            <w:r w:rsidRPr="00950A49">
              <w:rPr>
                <w:rFonts w:asciiTheme="minorHAnsi" w:hAnsiTheme="minorHAnsi" w:cstheme="minorHAnsi"/>
                <w:b/>
                <w:bCs/>
                <w:sz w:val="18"/>
                <w:szCs w:val="14"/>
              </w:rPr>
              <w:t>1,312</w:t>
            </w:r>
          </w:p>
        </w:tc>
        <w:tc>
          <w:tcPr>
            <w:tcW w:w="1276" w:type="dxa"/>
          </w:tcPr>
          <w:p w14:paraId="7D6C6BCF" w14:textId="77777777" w:rsidR="00B02873" w:rsidRPr="00950A49" w:rsidRDefault="00B02873" w:rsidP="00950A49">
            <w:pPr>
              <w:pStyle w:val="TablebodyleftFinancialsTables"/>
              <w:jc w:val="right"/>
              <w:rPr>
                <w:rFonts w:asciiTheme="minorHAnsi" w:hAnsiTheme="minorHAnsi" w:cstheme="minorHAnsi"/>
                <w:sz w:val="18"/>
                <w:szCs w:val="14"/>
              </w:rPr>
            </w:pPr>
            <w:r w:rsidRPr="00950A49">
              <w:rPr>
                <w:rFonts w:asciiTheme="minorHAnsi" w:hAnsiTheme="minorHAnsi" w:cstheme="minorHAnsi"/>
                <w:sz w:val="18"/>
                <w:szCs w:val="14"/>
              </w:rPr>
              <w:t>1,101</w:t>
            </w:r>
          </w:p>
        </w:tc>
        <w:tc>
          <w:tcPr>
            <w:tcW w:w="1275" w:type="dxa"/>
          </w:tcPr>
          <w:p w14:paraId="4370D531" w14:textId="77777777" w:rsidR="00B02873" w:rsidRPr="00950A49" w:rsidRDefault="00B02873" w:rsidP="00950A49">
            <w:pPr>
              <w:pStyle w:val="TablebodyleftFinancialsTables"/>
              <w:jc w:val="right"/>
              <w:rPr>
                <w:rFonts w:asciiTheme="minorHAnsi" w:hAnsiTheme="minorHAnsi" w:cstheme="minorHAnsi"/>
                <w:b/>
                <w:bCs/>
                <w:sz w:val="18"/>
                <w:szCs w:val="14"/>
              </w:rPr>
            </w:pPr>
            <w:r w:rsidRPr="00950A49">
              <w:rPr>
                <w:rFonts w:asciiTheme="minorHAnsi" w:hAnsiTheme="minorHAnsi" w:cstheme="minorHAnsi"/>
                <w:b/>
                <w:bCs/>
                <w:sz w:val="18"/>
                <w:szCs w:val="14"/>
              </w:rPr>
              <w:t>2,242</w:t>
            </w:r>
          </w:p>
        </w:tc>
        <w:tc>
          <w:tcPr>
            <w:tcW w:w="1276" w:type="dxa"/>
          </w:tcPr>
          <w:p w14:paraId="5AAF8F57" w14:textId="77777777" w:rsidR="00B02873" w:rsidRPr="00950A49" w:rsidRDefault="00B02873" w:rsidP="00950A49">
            <w:pPr>
              <w:pStyle w:val="TablebodyleftFinancialsTables"/>
              <w:jc w:val="right"/>
              <w:rPr>
                <w:rFonts w:asciiTheme="minorHAnsi" w:hAnsiTheme="minorHAnsi" w:cstheme="minorHAnsi"/>
                <w:sz w:val="18"/>
                <w:szCs w:val="14"/>
              </w:rPr>
            </w:pPr>
            <w:r w:rsidRPr="00950A49">
              <w:rPr>
                <w:rFonts w:asciiTheme="minorHAnsi" w:hAnsiTheme="minorHAnsi" w:cstheme="minorHAnsi"/>
                <w:sz w:val="18"/>
                <w:szCs w:val="14"/>
              </w:rPr>
              <w:t>2,298</w:t>
            </w:r>
          </w:p>
        </w:tc>
        <w:tc>
          <w:tcPr>
            <w:tcW w:w="1276" w:type="dxa"/>
          </w:tcPr>
          <w:p w14:paraId="1C1AF4F1" w14:textId="77777777" w:rsidR="00B02873" w:rsidRPr="00950A49" w:rsidRDefault="00B02873" w:rsidP="00950A49">
            <w:pPr>
              <w:pStyle w:val="TablebodyleftFinancialsTables"/>
              <w:jc w:val="right"/>
              <w:rPr>
                <w:rFonts w:asciiTheme="minorHAnsi" w:hAnsiTheme="minorHAnsi" w:cstheme="minorHAnsi"/>
                <w:b/>
                <w:bCs/>
                <w:sz w:val="18"/>
                <w:szCs w:val="14"/>
              </w:rPr>
            </w:pPr>
            <w:r w:rsidRPr="00950A49">
              <w:rPr>
                <w:rFonts w:asciiTheme="minorHAnsi" w:hAnsiTheme="minorHAnsi" w:cstheme="minorHAnsi"/>
                <w:b/>
                <w:bCs/>
                <w:sz w:val="18"/>
                <w:szCs w:val="14"/>
              </w:rPr>
              <w:t>1,409</w:t>
            </w:r>
          </w:p>
        </w:tc>
        <w:tc>
          <w:tcPr>
            <w:tcW w:w="1276" w:type="dxa"/>
          </w:tcPr>
          <w:p w14:paraId="51339073" w14:textId="77777777" w:rsidR="00B02873" w:rsidRPr="00950A49" w:rsidRDefault="00B02873" w:rsidP="00950A49">
            <w:pPr>
              <w:pStyle w:val="TablebodyleftFinancialsTables"/>
              <w:jc w:val="right"/>
              <w:rPr>
                <w:rFonts w:asciiTheme="minorHAnsi" w:hAnsiTheme="minorHAnsi" w:cstheme="minorHAnsi"/>
                <w:sz w:val="18"/>
                <w:szCs w:val="14"/>
              </w:rPr>
            </w:pPr>
            <w:r w:rsidRPr="00950A49">
              <w:rPr>
                <w:rFonts w:asciiTheme="minorHAnsi" w:hAnsiTheme="minorHAnsi" w:cstheme="minorHAnsi"/>
                <w:sz w:val="18"/>
                <w:szCs w:val="14"/>
              </w:rPr>
              <w:t>1,612</w:t>
            </w:r>
          </w:p>
        </w:tc>
      </w:tr>
      <w:tr w:rsidR="00B02873" w:rsidRPr="00950A49" w14:paraId="0185F719" w14:textId="77777777" w:rsidTr="00950A49">
        <w:tc>
          <w:tcPr>
            <w:tcW w:w="2570" w:type="dxa"/>
          </w:tcPr>
          <w:p w14:paraId="3085FE5B" w14:textId="77777777" w:rsidR="00B02873" w:rsidRPr="00950A49" w:rsidRDefault="00B02873" w:rsidP="00977548">
            <w:pPr>
              <w:pStyle w:val="TablebodyleftFinancialsTables"/>
              <w:rPr>
                <w:rFonts w:asciiTheme="minorHAnsi" w:hAnsiTheme="minorHAnsi" w:cstheme="minorHAnsi"/>
                <w:sz w:val="18"/>
                <w:szCs w:val="14"/>
              </w:rPr>
            </w:pPr>
            <w:r w:rsidRPr="00950A49">
              <w:rPr>
                <w:rFonts w:asciiTheme="minorHAnsi" w:hAnsiTheme="minorHAnsi" w:cstheme="minorHAnsi"/>
                <w:sz w:val="18"/>
                <w:szCs w:val="14"/>
              </w:rPr>
              <w:t>Provisions</w:t>
            </w:r>
          </w:p>
        </w:tc>
        <w:tc>
          <w:tcPr>
            <w:tcW w:w="1111" w:type="dxa"/>
          </w:tcPr>
          <w:p w14:paraId="1F7BA6F4" w14:textId="77777777" w:rsidR="00B02873" w:rsidRPr="00950A49" w:rsidRDefault="00B02873" w:rsidP="00950A49">
            <w:pPr>
              <w:pStyle w:val="TablebodyleftFinancialsTables"/>
              <w:jc w:val="right"/>
              <w:rPr>
                <w:rFonts w:asciiTheme="minorHAnsi" w:hAnsiTheme="minorHAnsi" w:cstheme="minorHAnsi"/>
                <w:b/>
                <w:bCs/>
                <w:sz w:val="18"/>
                <w:szCs w:val="14"/>
              </w:rPr>
            </w:pPr>
            <w:r w:rsidRPr="00950A49">
              <w:rPr>
                <w:rFonts w:asciiTheme="minorHAnsi" w:hAnsiTheme="minorHAnsi" w:cstheme="minorHAnsi"/>
                <w:b/>
                <w:bCs/>
                <w:sz w:val="18"/>
                <w:szCs w:val="14"/>
              </w:rPr>
              <w:t>20,172</w:t>
            </w:r>
          </w:p>
        </w:tc>
        <w:tc>
          <w:tcPr>
            <w:tcW w:w="1276" w:type="dxa"/>
          </w:tcPr>
          <w:p w14:paraId="65C09377" w14:textId="77777777" w:rsidR="00B02873" w:rsidRPr="00950A49" w:rsidRDefault="00B02873" w:rsidP="00950A49">
            <w:pPr>
              <w:pStyle w:val="TablebodyleftFinancialsTables"/>
              <w:jc w:val="right"/>
              <w:rPr>
                <w:rFonts w:asciiTheme="minorHAnsi" w:hAnsiTheme="minorHAnsi" w:cstheme="minorHAnsi"/>
                <w:sz w:val="18"/>
                <w:szCs w:val="14"/>
              </w:rPr>
            </w:pPr>
            <w:r w:rsidRPr="00950A49">
              <w:rPr>
                <w:rFonts w:asciiTheme="minorHAnsi" w:hAnsiTheme="minorHAnsi" w:cstheme="minorHAnsi"/>
                <w:sz w:val="18"/>
                <w:szCs w:val="14"/>
              </w:rPr>
              <w:t>17,797</w:t>
            </w:r>
          </w:p>
        </w:tc>
        <w:tc>
          <w:tcPr>
            <w:tcW w:w="1275" w:type="dxa"/>
          </w:tcPr>
          <w:p w14:paraId="27E6183F" w14:textId="77777777" w:rsidR="00B02873" w:rsidRPr="00950A49" w:rsidRDefault="00B02873" w:rsidP="00950A49">
            <w:pPr>
              <w:pStyle w:val="TablebodyleftFinancialsTables"/>
              <w:jc w:val="right"/>
              <w:rPr>
                <w:rFonts w:asciiTheme="minorHAnsi" w:hAnsiTheme="minorHAnsi" w:cstheme="minorHAnsi"/>
                <w:b/>
                <w:bCs/>
                <w:sz w:val="18"/>
                <w:szCs w:val="14"/>
              </w:rPr>
            </w:pPr>
            <w:r w:rsidRPr="00950A49">
              <w:rPr>
                <w:rFonts w:asciiTheme="minorHAnsi" w:hAnsiTheme="minorHAnsi" w:cstheme="minorHAnsi"/>
                <w:b/>
                <w:bCs/>
                <w:sz w:val="18"/>
                <w:szCs w:val="14"/>
              </w:rPr>
              <w:t>158,939</w:t>
            </w:r>
          </w:p>
        </w:tc>
        <w:tc>
          <w:tcPr>
            <w:tcW w:w="1276" w:type="dxa"/>
          </w:tcPr>
          <w:p w14:paraId="413CDE76" w14:textId="77777777" w:rsidR="00B02873" w:rsidRPr="00950A49" w:rsidRDefault="00B02873" w:rsidP="00950A49">
            <w:pPr>
              <w:pStyle w:val="TablebodyleftFinancialsTables"/>
              <w:jc w:val="right"/>
              <w:rPr>
                <w:rFonts w:asciiTheme="minorHAnsi" w:hAnsiTheme="minorHAnsi" w:cstheme="minorHAnsi"/>
                <w:sz w:val="18"/>
                <w:szCs w:val="14"/>
              </w:rPr>
            </w:pPr>
            <w:r w:rsidRPr="00950A49">
              <w:rPr>
                <w:rFonts w:asciiTheme="minorHAnsi" w:hAnsiTheme="minorHAnsi" w:cstheme="minorHAnsi"/>
                <w:sz w:val="18"/>
                <w:szCs w:val="14"/>
              </w:rPr>
              <w:t>24,863</w:t>
            </w:r>
          </w:p>
        </w:tc>
        <w:tc>
          <w:tcPr>
            <w:tcW w:w="1276" w:type="dxa"/>
          </w:tcPr>
          <w:p w14:paraId="572F29D6" w14:textId="77777777" w:rsidR="00B02873" w:rsidRPr="00950A49" w:rsidRDefault="00B02873" w:rsidP="00950A49">
            <w:pPr>
              <w:pStyle w:val="TablebodyleftFinancialsTables"/>
              <w:jc w:val="right"/>
              <w:rPr>
                <w:rFonts w:asciiTheme="minorHAnsi" w:hAnsiTheme="minorHAnsi" w:cstheme="minorHAnsi"/>
                <w:b/>
                <w:bCs/>
                <w:sz w:val="18"/>
                <w:szCs w:val="14"/>
              </w:rPr>
            </w:pPr>
            <w:r w:rsidRPr="00950A49">
              <w:rPr>
                <w:rFonts w:asciiTheme="minorHAnsi" w:hAnsiTheme="minorHAnsi" w:cstheme="minorHAnsi"/>
                <w:b/>
                <w:bCs/>
                <w:sz w:val="18"/>
                <w:szCs w:val="14"/>
              </w:rPr>
              <w:t>19,584</w:t>
            </w:r>
          </w:p>
        </w:tc>
        <w:tc>
          <w:tcPr>
            <w:tcW w:w="1276" w:type="dxa"/>
          </w:tcPr>
          <w:p w14:paraId="4764CFD5" w14:textId="77777777" w:rsidR="00B02873" w:rsidRPr="00950A49" w:rsidRDefault="00B02873" w:rsidP="00950A49">
            <w:pPr>
              <w:pStyle w:val="TablebodyleftFinancialsTables"/>
              <w:jc w:val="right"/>
              <w:rPr>
                <w:rFonts w:asciiTheme="minorHAnsi" w:hAnsiTheme="minorHAnsi" w:cstheme="minorHAnsi"/>
                <w:sz w:val="18"/>
                <w:szCs w:val="14"/>
              </w:rPr>
            </w:pPr>
            <w:r w:rsidRPr="00950A49">
              <w:rPr>
                <w:rFonts w:asciiTheme="minorHAnsi" w:hAnsiTheme="minorHAnsi" w:cstheme="minorHAnsi"/>
                <w:sz w:val="18"/>
                <w:szCs w:val="14"/>
              </w:rPr>
              <w:t>18,759</w:t>
            </w:r>
          </w:p>
        </w:tc>
      </w:tr>
      <w:tr w:rsidR="00B02873" w:rsidRPr="00950A49" w14:paraId="7F68F250" w14:textId="77777777" w:rsidTr="00950A49">
        <w:tc>
          <w:tcPr>
            <w:tcW w:w="2570" w:type="dxa"/>
          </w:tcPr>
          <w:p w14:paraId="0B652FF6" w14:textId="77777777" w:rsidR="00B02873" w:rsidRPr="00950A49" w:rsidRDefault="00B02873" w:rsidP="00977548">
            <w:pPr>
              <w:pStyle w:val="TablebodyleftFinancialsTables"/>
              <w:rPr>
                <w:rFonts w:asciiTheme="minorHAnsi" w:hAnsiTheme="minorHAnsi" w:cstheme="minorHAnsi"/>
                <w:sz w:val="18"/>
                <w:szCs w:val="14"/>
              </w:rPr>
            </w:pPr>
            <w:r w:rsidRPr="00950A49">
              <w:rPr>
                <w:rFonts w:asciiTheme="minorHAnsi" w:hAnsiTheme="minorHAnsi" w:cstheme="minorHAnsi"/>
                <w:spacing w:val="-2"/>
                <w:sz w:val="18"/>
                <w:szCs w:val="14"/>
              </w:rPr>
              <w:t>Derivative financial instruments</w:t>
            </w:r>
          </w:p>
        </w:tc>
        <w:tc>
          <w:tcPr>
            <w:tcW w:w="1111" w:type="dxa"/>
          </w:tcPr>
          <w:p w14:paraId="43ED947C" w14:textId="77777777" w:rsidR="00B02873" w:rsidRPr="00950A49" w:rsidRDefault="00B02873" w:rsidP="00950A49">
            <w:pPr>
              <w:pStyle w:val="TablebodyleftFinancialsTables"/>
              <w:jc w:val="right"/>
              <w:rPr>
                <w:rFonts w:asciiTheme="minorHAnsi" w:hAnsiTheme="minorHAnsi" w:cstheme="minorHAnsi"/>
                <w:b/>
                <w:bCs/>
                <w:sz w:val="18"/>
                <w:szCs w:val="14"/>
              </w:rPr>
            </w:pPr>
            <w:r w:rsidRPr="00950A49">
              <w:rPr>
                <w:rFonts w:asciiTheme="minorHAnsi" w:hAnsiTheme="minorHAnsi" w:cstheme="minorHAnsi"/>
                <w:b/>
                <w:bCs/>
                <w:sz w:val="18"/>
                <w:szCs w:val="14"/>
              </w:rPr>
              <w:t>–</w:t>
            </w:r>
          </w:p>
        </w:tc>
        <w:tc>
          <w:tcPr>
            <w:tcW w:w="1276" w:type="dxa"/>
          </w:tcPr>
          <w:p w14:paraId="0C662D28" w14:textId="77777777" w:rsidR="00B02873" w:rsidRPr="00950A49" w:rsidRDefault="00B02873" w:rsidP="00950A49">
            <w:pPr>
              <w:pStyle w:val="TablebodyleftFinancialsTables"/>
              <w:jc w:val="right"/>
              <w:rPr>
                <w:rFonts w:asciiTheme="minorHAnsi" w:hAnsiTheme="minorHAnsi" w:cstheme="minorHAnsi"/>
                <w:sz w:val="18"/>
                <w:szCs w:val="14"/>
              </w:rPr>
            </w:pPr>
            <w:r w:rsidRPr="00950A49">
              <w:rPr>
                <w:rFonts w:asciiTheme="minorHAnsi" w:hAnsiTheme="minorHAnsi" w:cstheme="minorHAnsi"/>
                <w:sz w:val="18"/>
                <w:szCs w:val="14"/>
              </w:rPr>
              <w:t>–</w:t>
            </w:r>
          </w:p>
        </w:tc>
        <w:tc>
          <w:tcPr>
            <w:tcW w:w="1275" w:type="dxa"/>
          </w:tcPr>
          <w:p w14:paraId="46DF1A11" w14:textId="77777777" w:rsidR="00B02873" w:rsidRPr="00950A49" w:rsidRDefault="00B02873" w:rsidP="00950A49">
            <w:pPr>
              <w:pStyle w:val="TablebodyleftFinancialsTables"/>
              <w:jc w:val="right"/>
              <w:rPr>
                <w:rFonts w:asciiTheme="minorHAnsi" w:hAnsiTheme="minorHAnsi" w:cstheme="minorHAnsi"/>
                <w:b/>
                <w:bCs/>
                <w:sz w:val="18"/>
                <w:szCs w:val="14"/>
              </w:rPr>
            </w:pPr>
            <w:r w:rsidRPr="00950A49">
              <w:rPr>
                <w:rFonts w:asciiTheme="minorHAnsi" w:hAnsiTheme="minorHAnsi" w:cstheme="minorHAnsi"/>
                <w:b/>
                <w:bCs/>
                <w:sz w:val="18"/>
                <w:szCs w:val="14"/>
              </w:rPr>
              <w:t>–</w:t>
            </w:r>
          </w:p>
        </w:tc>
        <w:tc>
          <w:tcPr>
            <w:tcW w:w="1276" w:type="dxa"/>
          </w:tcPr>
          <w:p w14:paraId="77F7E367" w14:textId="77777777" w:rsidR="00B02873" w:rsidRPr="00950A49" w:rsidRDefault="00B02873" w:rsidP="00950A49">
            <w:pPr>
              <w:pStyle w:val="TablebodyleftFinancialsTables"/>
              <w:jc w:val="right"/>
              <w:rPr>
                <w:rFonts w:asciiTheme="minorHAnsi" w:hAnsiTheme="minorHAnsi" w:cstheme="minorHAnsi"/>
                <w:sz w:val="18"/>
                <w:szCs w:val="14"/>
              </w:rPr>
            </w:pPr>
            <w:r w:rsidRPr="00950A49">
              <w:rPr>
                <w:rFonts w:asciiTheme="minorHAnsi" w:hAnsiTheme="minorHAnsi" w:cstheme="minorHAnsi"/>
                <w:sz w:val="18"/>
                <w:szCs w:val="14"/>
              </w:rPr>
              <w:t>–</w:t>
            </w:r>
          </w:p>
        </w:tc>
        <w:tc>
          <w:tcPr>
            <w:tcW w:w="1276" w:type="dxa"/>
          </w:tcPr>
          <w:p w14:paraId="7BDBCF77" w14:textId="77777777" w:rsidR="00B02873" w:rsidRPr="00950A49" w:rsidRDefault="00B02873" w:rsidP="00950A49">
            <w:pPr>
              <w:pStyle w:val="TablebodyleftFinancialsTables"/>
              <w:jc w:val="right"/>
              <w:rPr>
                <w:rFonts w:asciiTheme="minorHAnsi" w:hAnsiTheme="minorHAnsi" w:cstheme="minorHAnsi"/>
                <w:b/>
                <w:bCs/>
                <w:sz w:val="18"/>
                <w:szCs w:val="14"/>
              </w:rPr>
            </w:pPr>
            <w:r w:rsidRPr="00950A49">
              <w:rPr>
                <w:rFonts w:asciiTheme="minorHAnsi" w:hAnsiTheme="minorHAnsi" w:cstheme="minorHAnsi"/>
                <w:b/>
                <w:bCs/>
                <w:sz w:val="18"/>
                <w:szCs w:val="14"/>
              </w:rPr>
              <w:t>–</w:t>
            </w:r>
          </w:p>
        </w:tc>
        <w:tc>
          <w:tcPr>
            <w:tcW w:w="1276" w:type="dxa"/>
          </w:tcPr>
          <w:p w14:paraId="3AB2FB8C" w14:textId="77777777" w:rsidR="00B02873" w:rsidRPr="00950A49" w:rsidRDefault="00B02873" w:rsidP="00950A49">
            <w:pPr>
              <w:pStyle w:val="TablebodyleftFinancialsTables"/>
              <w:jc w:val="right"/>
              <w:rPr>
                <w:rFonts w:asciiTheme="minorHAnsi" w:hAnsiTheme="minorHAnsi" w:cstheme="minorHAnsi"/>
                <w:sz w:val="18"/>
                <w:szCs w:val="14"/>
              </w:rPr>
            </w:pPr>
            <w:r w:rsidRPr="00950A49">
              <w:rPr>
                <w:rFonts w:asciiTheme="minorHAnsi" w:hAnsiTheme="minorHAnsi" w:cstheme="minorHAnsi"/>
                <w:sz w:val="18"/>
                <w:szCs w:val="14"/>
              </w:rPr>
              <w:t>–</w:t>
            </w:r>
          </w:p>
        </w:tc>
      </w:tr>
      <w:tr w:rsidR="00B02873" w:rsidRPr="00950A49" w14:paraId="4ACFA21E" w14:textId="77777777" w:rsidTr="00950A49">
        <w:tc>
          <w:tcPr>
            <w:tcW w:w="2570" w:type="dxa"/>
          </w:tcPr>
          <w:p w14:paraId="7824D9B3" w14:textId="77777777" w:rsidR="00B02873" w:rsidRPr="00950A49" w:rsidRDefault="00B02873" w:rsidP="00977548">
            <w:pPr>
              <w:pStyle w:val="TablebodyleftFinancialsTables"/>
              <w:rPr>
                <w:rFonts w:asciiTheme="minorHAnsi" w:hAnsiTheme="minorHAnsi" w:cstheme="minorHAnsi"/>
                <w:sz w:val="18"/>
                <w:szCs w:val="14"/>
              </w:rPr>
            </w:pPr>
            <w:r w:rsidRPr="00950A49">
              <w:rPr>
                <w:rFonts w:asciiTheme="minorHAnsi" w:hAnsiTheme="minorHAnsi" w:cstheme="minorHAnsi"/>
                <w:sz w:val="18"/>
                <w:szCs w:val="14"/>
              </w:rPr>
              <w:t>Other liabilities</w:t>
            </w:r>
          </w:p>
        </w:tc>
        <w:tc>
          <w:tcPr>
            <w:tcW w:w="1111" w:type="dxa"/>
          </w:tcPr>
          <w:p w14:paraId="38C0A4EF" w14:textId="77777777" w:rsidR="00B02873" w:rsidRPr="00950A49" w:rsidRDefault="00B02873" w:rsidP="00950A49">
            <w:pPr>
              <w:pStyle w:val="TablebodyleftFinancialsTables"/>
              <w:jc w:val="right"/>
              <w:rPr>
                <w:rFonts w:asciiTheme="minorHAnsi" w:hAnsiTheme="minorHAnsi" w:cstheme="minorHAnsi"/>
                <w:b/>
                <w:bCs/>
                <w:sz w:val="18"/>
                <w:szCs w:val="14"/>
              </w:rPr>
            </w:pPr>
            <w:r w:rsidRPr="00950A49">
              <w:rPr>
                <w:rFonts w:asciiTheme="minorHAnsi" w:hAnsiTheme="minorHAnsi" w:cstheme="minorHAnsi"/>
                <w:b/>
                <w:bCs/>
                <w:sz w:val="18"/>
                <w:szCs w:val="14"/>
              </w:rPr>
              <w:t>131</w:t>
            </w:r>
          </w:p>
        </w:tc>
        <w:tc>
          <w:tcPr>
            <w:tcW w:w="1276" w:type="dxa"/>
          </w:tcPr>
          <w:p w14:paraId="518436DF" w14:textId="77777777" w:rsidR="00B02873" w:rsidRPr="00950A49" w:rsidRDefault="00B02873" w:rsidP="00950A49">
            <w:pPr>
              <w:pStyle w:val="TablebodyleftFinancialsTables"/>
              <w:jc w:val="right"/>
              <w:rPr>
                <w:rFonts w:asciiTheme="minorHAnsi" w:hAnsiTheme="minorHAnsi" w:cstheme="minorHAnsi"/>
                <w:sz w:val="18"/>
                <w:szCs w:val="14"/>
              </w:rPr>
            </w:pPr>
            <w:r w:rsidRPr="00950A49">
              <w:rPr>
                <w:rFonts w:asciiTheme="minorHAnsi" w:hAnsiTheme="minorHAnsi" w:cstheme="minorHAnsi"/>
                <w:sz w:val="18"/>
                <w:szCs w:val="14"/>
              </w:rPr>
              <w:t>212</w:t>
            </w:r>
          </w:p>
        </w:tc>
        <w:tc>
          <w:tcPr>
            <w:tcW w:w="1275" w:type="dxa"/>
          </w:tcPr>
          <w:p w14:paraId="5839DEE1" w14:textId="77777777" w:rsidR="00B02873" w:rsidRPr="00950A49" w:rsidRDefault="00B02873" w:rsidP="00950A49">
            <w:pPr>
              <w:pStyle w:val="TablebodyleftFinancialsTables"/>
              <w:jc w:val="right"/>
              <w:rPr>
                <w:rFonts w:asciiTheme="minorHAnsi" w:hAnsiTheme="minorHAnsi" w:cstheme="minorHAnsi"/>
                <w:b/>
                <w:bCs/>
                <w:sz w:val="18"/>
                <w:szCs w:val="14"/>
              </w:rPr>
            </w:pPr>
            <w:r w:rsidRPr="00950A49">
              <w:rPr>
                <w:rFonts w:asciiTheme="minorHAnsi" w:hAnsiTheme="minorHAnsi" w:cstheme="minorHAnsi"/>
                <w:b/>
                <w:bCs/>
                <w:sz w:val="18"/>
                <w:szCs w:val="14"/>
              </w:rPr>
              <w:t>335</w:t>
            </w:r>
          </w:p>
        </w:tc>
        <w:tc>
          <w:tcPr>
            <w:tcW w:w="1276" w:type="dxa"/>
          </w:tcPr>
          <w:p w14:paraId="3F283DB9" w14:textId="77777777" w:rsidR="00B02873" w:rsidRPr="00950A49" w:rsidRDefault="00B02873" w:rsidP="00950A49">
            <w:pPr>
              <w:pStyle w:val="TablebodyleftFinancialsTables"/>
              <w:jc w:val="right"/>
              <w:rPr>
                <w:rFonts w:asciiTheme="minorHAnsi" w:hAnsiTheme="minorHAnsi" w:cstheme="minorHAnsi"/>
                <w:sz w:val="18"/>
                <w:szCs w:val="14"/>
              </w:rPr>
            </w:pPr>
            <w:r w:rsidRPr="00950A49">
              <w:rPr>
                <w:rFonts w:asciiTheme="minorHAnsi" w:hAnsiTheme="minorHAnsi" w:cstheme="minorHAnsi"/>
                <w:sz w:val="18"/>
                <w:szCs w:val="14"/>
              </w:rPr>
              <w:t>918</w:t>
            </w:r>
          </w:p>
        </w:tc>
        <w:tc>
          <w:tcPr>
            <w:tcW w:w="1276" w:type="dxa"/>
          </w:tcPr>
          <w:p w14:paraId="05D4AFD6" w14:textId="77777777" w:rsidR="00B02873" w:rsidRPr="00950A49" w:rsidRDefault="00B02873" w:rsidP="00950A49">
            <w:pPr>
              <w:pStyle w:val="TablebodyleftFinancialsTables"/>
              <w:jc w:val="right"/>
              <w:rPr>
                <w:rFonts w:asciiTheme="minorHAnsi" w:hAnsiTheme="minorHAnsi" w:cstheme="minorHAnsi"/>
                <w:b/>
                <w:bCs/>
                <w:sz w:val="18"/>
                <w:szCs w:val="14"/>
              </w:rPr>
            </w:pPr>
            <w:r w:rsidRPr="00950A49">
              <w:rPr>
                <w:rFonts w:asciiTheme="minorHAnsi" w:hAnsiTheme="minorHAnsi" w:cstheme="minorHAnsi"/>
                <w:b/>
                <w:bCs/>
                <w:sz w:val="18"/>
                <w:szCs w:val="14"/>
              </w:rPr>
              <w:t>379</w:t>
            </w:r>
          </w:p>
        </w:tc>
        <w:tc>
          <w:tcPr>
            <w:tcW w:w="1276" w:type="dxa"/>
          </w:tcPr>
          <w:p w14:paraId="4B6A5F1C" w14:textId="77777777" w:rsidR="00B02873" w:rsidRPr="00950A49" w:rsidRDefault="00B02873" w:rsidP="00950A49">
            <w:pPr>
              <w:pStyle w:val="TablebodyleftFinancialsTables"/>
              <w:jc w:val="right"/>
              <w:rPr>
                <w:rFonts w:asciiTheme="minorHAnsi" w:hAnsiTheme="minorHAnsi" w:cstheme="minorHAnsi"/>
                <w:sz w:val="18"/>
                <w:szCs w:val="14"/>
              </w:rPr>
            </w:pPr>
            <w:r w:rsidRPr="00950A49">
              <w:rPr>
                <w:rFonts w:asciiTheme="minorHAnsi" w:hAnsiTheme="minorHAnsi" w:cstheme="minorHAnsi"/>
                <w:sz w:val="18"/>
                <w:szCs w:val="14"/>
              </w:rPr>
              <w:t>910</w:t>
            </w:r>
          </w:p>
        </w:tc>
      </w:tr>
      <w:tr w:rsidR="00B02873" w:rsidRPr="00950A49" w14:paraId="63188DA5" w14:textId="77777777" w:rsidTr="00950A49">
        <w:tc>
          <w:tcPr>
            <w:tcW w:w="2570" w:type="dxa"/>
          </w:tcPr>
          <w:p w14:paraId="1A8B36C9" w14:textId="77777777" w:rsidR="00B02873" w:rsidRPr="00950A49" w:rsidRDefault="00B02873" w:rsidP="00977548">
            <w:pPr>
              <w:pStyle w:val="TablebodyleftFinancialsTables"/>
              <w:rPr>
                <w:rFonts w:asciiTheme="minorHAnsi" w:hAnsiTheme="minorHAnsi" w:cstheme="minorHAnsi"/>
                <w:b/>
                <w:bCs/>
                <w:sz w:val="18"/>
                <w:szCs w:val="14"/>
              </w:rPr>
            </w:pPr>
            <w:r w:rsidRPr="00950A49">
              <w:rPr>
                <w:rFonts w:asciiTheme="minorHAnsi" w:hAnsiTheme="minorHAnsi" w:cstheme="minorHAnsi"/>
                <w:b/>
                <w:bCs/>
                <w:sz w:val="18"/>
                <w:szCs w:val="14"/>
              </w:rPr>
              <w:t>Total liabilities</w:t>
            </w:r>
          </w:p>
        </w:tc>
        <w:tc>
          <w:tcPr>
            <w:tcW w:w="1111" w:type="dxa"/>
          </w:tcPr>
          <w:p w14:paraId="69C18759" w14:textId="77777777" w:rsidR="00B02873" w:rsidRPr="00950A49" w:rsidRDefault="00B02873" w:rsidP="00950A49">
            <w:pPr>
              <w:pStyle w:val="TablebodyleftFinancialsTables"/>
              <w:jc w:val="right"/>
              <w:rPr>
                <w:rFonts w:asciiTheme="minorHAnsi" w:hAnsiTheme="minorHAnsi" w:cstheme="minorHAnsi"/>
                <w:b/>
                <w:bCs/>
                <w:sz w:val="18"/>
                <w:szCs w:val="14"/>
              </w:rPr>
            </w:pPr>
            <w:r w:rsidRPr="00950A49">
              <w:rPr>
                <w:rFonts w:asciiTheme="minorHAnsi" w:hAnsiTheme="minorHAnsi" w:cstheme="minorHAnsi"/>
                <w:b/>
                <w:bCs/>
                <w:sz w:val="18"/>
                <w:szCs w:val="14"/>
              </w:rPr>
              <w:t>32,660</w:t>
            </w:r>
          </w:p>
        </w:tc>
        <w:tc>
          <w:tcPr>
            <w:tcW w:w="1276" w:type="dxa"/>
          </w:tcPr>
          <w:p w14:paraId="4072425D" w14:textId="77777777" w:rsidR="00B02873" w:rsidRPr="00950A49" w:rsidRDefault="00B02873" w:rsidP="00950A49">
            <w:pPr>
              <w:pStyle w:val="TablebodyleftFinancialsTables"/>
              <w:jc w:val="right"/>
              <w:rPr>
                <w:rFonts w:asciiTheme="minorHAnsi" w:hAnsiTheme="minorHAnsi" w:cstheme="minorHAnsi"/>
                <w:sz w:val="18"/>
                <w:szCs w:val="14"/>
              </w:rPr>
            </w:pPr>
            <w:r w:rsidRPr="00950A49">
              <w:rPr>
                <w:rFonts w:asciiTheme="minorHAnsi" w:hAnsiTheme="minorHAnsi" w:cstheme="minorHAnsi"/>
                <w:sz w:val="18"/>
                <w:szCs w:val="14"/>
              </w:rPr>
              <w:t>32,478</w:t>
            </w:r>
          </w:p>
        </w:tc>
        <w:tc>
          <w:tcPr>
            <w:tcW w:w="1275" w:type="dxa"/>
          </w:tcPr>
          <w:p w14:paraId="7A68CC3D" w14:textId="77777777" w:rsidR="00B02873" w:rsidRPr="00950A49" w:rsidRDefault="00B02873" w:rsidP="00950A49">
            <w:pPr>
              <w:pStyle w:val="TablebodyleftFinancialsTables"/>
              <w:jc w:val="right"/>
              <w:rPr>
                <w:rFonts w:asciiTheme="minorHAnsi" w:hAnsiTheme="minorHAnsi" w:cstheme="minorHAnsi"/>
                <w:b/>
                <w:bCs/>
                <w:sz w:val="18"/>
                <w:szCs w:val="14"/>
              </w:rPr>
            </w:pPr>
            <w:r w:rsidRPr="00950A49">
              <w:rPr>
                <w:rFonts w:asciiTheme="minorHAnsi" w:hAnsiTheme="minorHAnsi" w:cstheme="minorHAnsi"/>
                <w:b/>
                <w:bCs/>
                <w:sz w:val="18"/>
                <w:szCs w:val="14"/>
              </w:rPr>
              <w:t>188,005</w:t>
            </w:r>
          </w:p>
        </w:tc>
        <w:tc>
          <w:tcPr>
            <w:tcW w:w="1276" w:type="dxa"/>
          </w:tcPr>
          <w:p w14:paraId="217033ED" w14:textId="77777777" w:rsidR="00B02873" w:rsidRPr="00950A49" w:rsidRDefault="00B02873" w:rsidP="00950A49">
            <w:pPr>
              <w:pStyle w:val="TablebodyleftFinancialsTables"/>
              <w:jc w:val="right"/>
              <w:rPr>
                <w:rFonts w:asciiTheme="minorHAnsi" w:hAnsiTheme="minorHAnsi" w:cstheme="minorHAnsi"/>
                <w:sz w:val="18"/>
                <w:szCs w:val="14"/>
              </w:rPr>
            </w:pPr>
            <w:r w:rsidRPr="00950A49">
              <w:rPr>
                <w:rFonts w:asciiTheme="minorHAnsi" w:hAnsiTheme="minorHAnsi" w:cstheme="minorHAnsi"/>
                <w:sz w:val="18"/>
                <w:szCs w:val="14"/>
              </w:rPr>
              <w:t>45,723</w:t>
            </w:r>
          </w:p>
        </w:tc>
        <w:tc>
          <w:tcPr>
            <w:tcW w:w="1276" w:type="dxa"/>
          </w:tcPr>
          <w:p w14:paraId="6884D6FF" w14:textId="77777777" w:rsidR="00B02873" w:rsidRPr="00950A49" w:rsidRDefault="00B02873" w:rsidP="00950A49">
            <w:pPr>
              <w:pStyle w:val="TablebodyleftFinancialsTables"/>
              <w:jc w:val="right"/>
              <w:rPr>
                <w:rFonts w:asciiTheme="minorHAnsi" w:hAnsiTheme="minorHAnsi" w:cstheme="minorHAnsi"/>
                <w:b/>
                <w:bCs/>
                <w:sz w:val="18"/>
                <w:szCs w:val="14"/>
              </w:rPr>
            </w:pPr>
            <w:r w:rsidRPr="00950A49">
              <w:rPr>
                <w:rFonts w:asciiTheme="minorHAnsi" w:hAnsiTheme="minorHAnsi" w:cstheme="minorHAnsi"/>
                <w:b/>
                <w:bCs/>
                <w:sz w:val="18"/>
                <w:szCs w:val="14"/>
              </w:rPr>
              <w:t>50,450</w:t>
            </w:r>
          </w:p>
        </w:tc>
        <w:tc>
          <w:tcPr>
            <w:tcW w:w="1276" w:type="dxa"/>
          </w:tcPr>
          <w:p w14:paraId="4B38F4EA" w14:textId="77777777" w:rsidR="00B02873" w:rsidRPr="00950A49" w:rsidRDefault="00B02873" w:rsidP="00950A49">
            <w:pPr>
              <w:pStyle w:val="TablebodyleftFinancialsTables"/>
              <w:jc w:val="right"/>
              <w:rPr>
                <w:rFonts w:asciiTheme="minorHAnsi" w:hAnsiTheme="minorHAnsi" w:cstheme="minorHAnsi"/>
                <w:sz w:val="18"/>
                <w:szCs w:val="14"/>
              </w:rPr>
            </w:pPr>
            <w:r w:rsidRPr="00950A49">
              <w:rPr>
                <w:rFonts w:asciiTheme="minorHAnsi" w:hAnsiTheme="minorHAnsi" w:cstheme="minorHAnsi"/>
                <w:sz w:val="18"/>
                <w:szCs w:val="14"/>
              </w:rPr>
              <w:t>58,658</w:t>
            </w:r>
          </w:p>
        </w:tc>
      </w:tr>
      <w:tr w:rsidR="00B02873" w:rsidRPr="00950A49" w14:paraId="63A65621" w14:textId="77777777" w:rsidTr="00950A49">
        <w:tc>
          <w:tcPr>
            <w:tcW w:w="2570" w:type="dxa"/>
          </w:tcPr>
          <w:p w14:paraId="3FFEEE93" w14:textId="77777777" w:rsidR="00B02873" w:rsidRPr="00950A49" w:rsidRDefault="00B02873" w:rsidP="00977548">
            <w:pPr>
              <w:pStyle w:val="TablebodyleftFinancialsTables"/>
              <w:rPr>
                <w:rFonts w:asciiTheme="minorHAnsi" w:hAnsiTheme="minorHAnsi" w:cstheme="minorHAnsi"/>
                <w:b/>
                <w:bCs/>
                <w:sz w:val="18"/>
                <w:szCs w:val="14"/>
              </w:rPr>
            </w:pPr>
            <w:r w:rsidRPr="00950A49">
              <w:rPr>
                <w:rFonts w:asciiTheme="minorHAnsi" w:hAnsiTheme="minorHAnsi" w:cstheme="minorHAnsi"/>
                <w:b/>
                <w:bCs/>
                <w:sz w:val="18"/>
                <w:szCs w:val="14"/>
              </w:rPr>
              <w:t xml:space="preserve">Net assets </w:t>
            </w:r>
          </w:p>
        </w:tc>
        <w:tc>
          <w:tcPr>
            <w:tcW w:w="1111" w:type="dxa"/>
          </w:tcPr>
          <w:p w14:paraId="32134C01" w14:textId="77777777" w:rsidR="00B02873" w:rsidRPr="00950A49" w:rsidRDefault="00B02873" w:rsidP="00950A49">
            <w:pPr>
              <w:pStyle w:val="TablebodyleftFinancialsTables"/>
              <w:jc w:val="right"/>
              <w:rPr>
                <w:rFonts w:asciiTheme="minorHAnsi" w:hAnsiTheme="minorHAnsi" w:cstheme="minorHAnsi"/>
                <w:b/>
                <w:bCs/>
                <w:sz w:val="18"/>
                <w:szCs w:val="14"/>
              </w:rPr>
            </w:pPr>
            <w:r w:rsidRPr="00950A49">
              <w:rPr>
                <w:rFonts w:asciiTheme="minorHAnsi" w:hAnsiTheme="minorHAnsi" w:cstheme="minorHAnsi"/>
                <w:b/>
                <w:bCs/>
                <w:sz w:val="18"/>
                <w:szCs w:val="14"/>
              </w:rPr>
              <w:t>78,456</w:t>
            </w:r>
          </w:p>
        </w:tc>
        <w:tc>
          <w:tcPr>
            <w:tcW w:w="1276" w:type="dxa"/>
          </w:tcPr>
          <w:p w14:paraId="29578A99" w14:textId="77777777" w:rsidR="00B02873" w:rsidRPr="00950A49" w:rsidRDefault="00B02873" w:rsidP="00950A49">
            <w:pPr>
              <w:pStyle w:val="TablebodyleftFinancialsTables"/>
              <w:jc w:val="right"/>
              <w:rPr>
                <w:rFonts w:asciiTheme="minorHAnsi" w:hAnsiTheme="minorHAnsi" w:cstheme="minorHAnsi"/>
                <w:sz w:val="18"/>
                <w:szCs w:val="14"/>
              </w:rPr>
            </w:pPr>
            <w:r w:rsidRPr="00950A49">
              <w:rPr>
                <w:rFonts w:asciiTheme="minorHAnsi" w:hAnsiTheme="minorHAnsi" w:cstheme="minorHAnsi"/>
                <w:sz w:val="18"/>
                <w:szCs w:val="14"/>
              </w:rPr>
              <w:t>66,862</w:t>
            </w:r>
          </w:p>
        </w:tc>
        <w:tc>
          <w:tcPr>
            <w:tcW w:w="1275" w:type="dxa"/>
          </w:tcPr>
          <w:p w14:paraId="1E6CC6F5" w14:textId="77777777" w:rsidR="00B02873" w:rsidRPr="00950A49" w:rsidRDefault="00B02873" w:rsidP="00950A49">
            <w:pPr>
              <w:pStyle w:val="TablebodyleftFinancialsTables"/>
              <w:jc w:val="right"/>
              <w:rPr>
                <w:rFonts w:asciiTheme="minorHAnsi" w:hAnsiTheme="minorHAnsi" w:cstheme="minorHAnsi"/>
                <w:b/>
                <w:bCs/>
                <w:sz w:val="18"/>
                <w:szCs w:val="14"/>
              </w:rPr>
            </w:pPr>
            <w:r w:rsidRPr="00950A49">
              <w:rPr>
                <w:rFonts w:asciiTheme="minorHAnsi" w:hAnsiTheme="minorHAnsi" w:cstheme="minorHAnsi"/>
                <w:b/>
                <w:bCs/>
                <w:sz w:val="18"/>
                <w:szCs w:val="14"/>
              </w:rPr>
              <w:t>7,848,656</w:t>
            </w:r>
          </w:p>
        </w:tc>
        <w:tc>
          <w:tcPr>
            <w:tcW w:w="1276" w:type="dxa"/>
          </w:tcPr>
          <w:p w14:paraId="4E196165" w14:textId="77777777" w:rsidR="00B02873" w:rsidRPr="00950A49" w:rsidRDefault="00B02873" w:rsidP="00950A49">
            <w:pPr>
              <w:pStyle w:val="TablebodyleftFinancialsTables"/>
              <w:jc w:val="right"/>
              <w:rPr>
                <w:rFonts w:asciiTheme="minorHAnsi" w:hAnsiTheme="minorHAnsi" w:cstheme="minorHAnsi"/>
                <w:sz w:val="18"/>
                <w:szCs w:val="14"/>
              </w:rPr>
            </w:pPr>
            <w:r w:rsidRPr="00950A49">
              <w:rPr>
                <w:rFonts w:asciiTheme="minorHAnsi" w:hAnsiTheme="minorHAnsi" w:cstheme="minorHAnsi"/>
                <w:sz w:val="18"/>
                <w:szCs w:val="14"/>
              </w:rPr>
              <w:t>6,856,080</w:t>
            </w:r>
          </w:p>
        </w:tc>
        <w:tc>
          <w:tcPr>
            <w:tcW w:w="1276" w:type="dxa"/>
          </w:tcPr>
          <w:p w14:paraId="3EBA48F7" w14:textId="77777777" w:rsidR="00B02873" w:rsidRPr="00950A49" w:rsidRDefault="00B02873" w:rsidP="00950A49">
            <w:pPr>
              <w:pStyle w:val="TablebodyleftFinancialsTables"/>
              <w:jc w:val="right"/>
              <w:rPr>
                <w:rFonts w:asciiTheme="minorHAnsi" w:hAnsiTheme="minorHAnsi" w:cstheme="minorHAnsi"/>
                <w:b/>
                <w:bCs/>
                <w:sz w:val="18"/>
                <w:szCs w:val="14"/>
              </w:rPr>
            </w:pPr>
            <w:r w:rsidRPr="00950A49">
              <w:rPr>
                <w:rFonts w:asciiTheme="minorHAnsi" w:hAnsiTheme="minorHAnsi" w:cstheme="minorHAnsi"/>
                <w:b/>
                <w:bCs/>
                <w:sz w:val="18"/>
                <w:szCs w:val="14"/>
              </w:rPr>
              <w:t>218,613</w:t>
            </w:r>
          </w:p>
        </w:tc>
        <w:tc>
          <w:tcPr>
            <w:tcW w:w="1276" w:type="dxa"/>
          </w:tcPr>
          <w:p w14:paraId="0B8E0D71" w14:textId="77777777" w:rsidR="00B02873" w:rsidRPr="00950A49" w:rsidRDefault="00B02873" w:rsidP="00950A49">
            <w:pPr>
              <w:pStyle w:val="TablebodyleftFinancialsTables"/>
              <w:jc w:val="right"/>
              <w:rPr>
                <w:rFonts w:asciiTheme="minorHAnsi" w:hAnsiTheme="minorHAnsi" w:cstheme="minorHAnsi"/>
                <w:sz w:val="18"/>
                <w:szCs w:val="14"/>
              </w:rPr>
            </w:pPr>
            <w:r w:rsidRPr="00950A49">
              <w:rPr>
                <w:rFonts w:asciiTheme="minorHAnsi" w:hAnsiTheme="minorHAnsi" w:cstheme="minorHAnsi"/>
                <w:sz w:val="18"/>
                <w:szCs w:val="14"/>
              </w:rPr>
              <w:t>236,530</w:t>
            </w:r>
          </w:p>
        </w:tc>
      </w:tr>
    </w:tbl>
    <w:p w14:paraId="4DF04CBE" w14:textId="77777777" w:rsidR="00B02873" w:rsidRPr="00950A49" w:rsidRDefault="00B02873" w:rsidP="00950A49">
      <w:pPr>
        <w:pStyle w:val="SourceNote"/>
        <w:spacing w:after="120"/>
        <w:rPr>
          <w:b/>
          <w:bCs/>
        </w:rPr>
      </w:pPr>
      <w:r w:rsidRPr="00950A49">
        <w:rPr>
          <w:b/>
          <w:bCs/>
        </w:rPr>
        <w:t>Note:</w:t>
      </w:r>
    </w:p>
    <w:p w14:paraId="16BCEEB7" w14:textId="65E44E87" w:rsidR="00B02873" w:rsidRDefault="00B02873" w:rsidP="001128B1">
      <w:pPr>
        <w:pStyle w:val="SourceNotenumbered"/>
        <w:numPr>
          <w:ilvl w:val="0"/>
          <w:numId w:val="26"/>
        </w:numPr>
        <w:spacing w:after="200"/>
        <w:ind w:left="357" w:hanging="357"/>
      </w:pPr>
      <w:r>
        <w:t>In 2021, the Parks Victoria (PV) Output recorded an operating loss and negative cash and cash deposits due to grant payments to PV from the Parks and Reserve Trust Account being incurred against the PV Output while the Metropolitan Parks Improvement Rate was recorded under the Management of Public Land and Forests Output. In 2022, a transfer of cash and cash deposits from the Management of Public Land and Forests Output to the PV Output was processed to return the PV Output cash and cash deposits balance to surplus.</w:t>
      </w:r>
    </w:p>
    <w:p w14:paraId="691EA637" w14:textId="338C2A5A" w:rsidR="00B02873" w:rsidRDefault="00B02873" w:rsidP="004303D3">
      <w:pPr>
        <w:pStyle w:val="Heading4"/>
      </w:pPr>
      <w:r>
        <w:lastRenderedPageBreak/>
        <w:t>4.1.3 Departmental Outputs</w:t>
      </w:r>
      <w:r w:rsidR="000C45FC">
        <w:t xml:space="preserve"> – </w:t>
      </w:r>
      <w:r>
        <w:t>Controlled assets and liabilities (continued)</w:t>
      </w:r>
      <w:r w:rsidR="00012C04">
        <w:t xml:space="preserve"> </w:t>
      </w:r>
    </w:p>
    <w:tbl>
      <w:tblPr>
        <w:tblStyle w:val="TableGrid"/>
        <w:tblW w:w="9634" w:type="dxa"/>
        <w:tblLayout w:type="fixed"/>
        <w:tblLook w:val="0020" w:firstRow="1" w:lastRow="0" w:firstColumn="0" w:lastColumn="0" w:noHBand="0" w:noVBand="0"/>
      </w:tblPr>
      <w:tblGrid>
        <w:gridCol w:w="3256"/>
        <w:gridCol w:w="1063"/>
        <w:gridCol w:w="1063"/>
        <w:gridCol w:w="1063"/>
        <w:gridCol w:w="1063"/>
        <w:gridCol w:w="1063"/>
        <w:gridCol w:w="1063"/>
      </w:tblGrid>
      <w:tr w:rsidR="00B02873" w:rsidRPr="007032F5" w14:paraId="36A5E761" w14:textId="77777777" w:rsidTr="007032F5">
        <w:trPr>
          <w:cnfStyle w:val="100000000000" w:firstRow="1" w:lastRow="0" w:firstColumn="0" w:lastColumn="0" w:oddVBand="0" w:evenVBand="0" w:oddHBand="0" w:evenHBand="0" w:firstRowFirstColumn="0" w:firstRowLastColumn="0" w:lastRowFirstColumn="0" w:lastRowLastColumn="0"/>
          <w:tblHeader/>
        </w:trPr>
        <w:tc>
          <w:tcPr>
            <w:tcW w:w="3256" w:type="dxa"/>
          </w:tcPr>
          <w:p w14:paraId="42869EB0" w14:textId="77777777" w:rsidR="00B02873" w:rsidRPr="007032F5" w:rsidRDefault="00B02873" w:rsidP="004303D3">
            <w:pPr>
              <w:pStyle w:val="TableheadingleftFinancialsTables"/>
              <w:rPr>
                <w:sz w:val="18"/>
                <w:szCs w:val="14"/>
              </w:rPr>
            </w:pPr>
          </w:p>
        </w:tc>
        <w:tc>
          <w:tcPr>
            <w:tcW w:w="1063" w:type="dxa"/>
          </w:tcPr>
          <w:p w14:paraId="4182A9D1" w14:textId="4CFAE051" w:rsidR="00B02873" w:rsidRPr="007032F5" w:rsidRDefault="004303D3" w:rsidP="004303D3">
            <w:pPr>
              <w:pStyle w:val="TableheadingleftFinancialsTables"/>
              <w:jc w:val="right"/>
              <w:rPr>
                <w:sz w:val="18"/>
                <w:szCs w:val="14"/>
              </w:rPr>
            </w:pPr>
            <w:r w:rsidRPr="007032F5">
              <w:rPr>
                <w:sz w:val="18"/>
                <w:szCs w:val="14"/>
              </w:rPr>
              <w:t xml:space="preserve">Climate Change </w:t>
            </w:r>
            <w:r w:rsidR="00B02873" w:rsidRPr="007032F5">
              <w:rPr>
                <w:sz w:val="18"/>
                <w:szCs w:val="14"/>
              </w:rPr>
              <w:t>2022</w:t>
            </w:r>
            <w:r w:rsidR="00B02873" w:rsidRPr="007032F5">
              <w:rPr>
                <w:sz w:val="18"/>
                <w:szCs w:val="14"/>
              </w:rPr>
              <w:br/>
              <w:t>$’000</w:t>
            </w:r>
          </w:p>
        </w:tc>
        <w:tc>
          <w:tcPr>
            <w:tcW w:w="1063" w:type="dxa"/>
          </w:tcPr>
          <w:p w14:paraId="4CB995A2" w14:textId="7BDF9B3E" w:rsidR="00B02873" w:rsidRPr="007032F5" w:rsidRDefault="004303D3" w:rsidP="004303D3">
            <w:pPr>
              <w:pStyle w:val="TableheadingleftFinancialsTables"/>
              <w:jc w:val="right"/>
              <w:rPr>
                <w:sz w:val="18"/>
                <w:szCs w:val="14"/>
              </w:rPr>
            </w:pPr>
            <w:r w:rsidRPr="007032F5">
              <w:rPr>
                <w:sz w:val="18"/>
                <w:szCs w:val="14"/>
              </w:rPr>
              <w:t xml:space="preserve">Climate Change </w:t>
            </w:r>
            <w:r w:rsidR="00B02873" w:rsidRPr="007032F5">
              <w:rPr>
                <w:sz w:val="18"/>
                <w:szCs w:val="14"/>
              </w:rPr>
              <w:t>2021</w:t>
            </w:r>
            <w:r w:rsidR="00B02873" w:rsidRPr="007032F5">
              <w:rPr>
                <w:sz w:val="18"/>
                <w:szCs w:val="14"/>
              </w:rPr>
              <w:br/>
              <w:t>$’000</w:t>
            </w:r>
          </w:p>
        </w:tc>
        <w:tc>
          <w:tcPr>
            <w:tcW w:w="1063" w:type="dxa"/>
          </w:tcPr>
          <w:p w14:paraId="06AE5879" w14:textId="36A2037C" w:rsidR="00B02873" w:rsidRPr="007032F5" w:rsidRDefault="004303D3" w:rsidP="004303D3">
            <w:pPr>
              <w:pStyle w:val="TableheadingleftFinancialsTables"/>
              <w:jc w:val="right"/>
              <w:rPr>
                <w:sz w:val="18"/>
                <w:szCs w:val="14"/>
              </w:rPr>
            </w:pPr>
            <w:r w:rsidRPr="007032F5">
              <w:rPr>
                <w:sz w:val="18"/>
                <w:szCs w:val="14"/>
              </w:rPr>
              <w:t xml:space="preserve">Solar Homes </w:t>
            </w:r>
            <w:r w:rsidR="00B02873" w:rsidRPr="007032F5">
              <w:rPr>
                <w:sz w:val="18"/>
                <w:szCs w:val="14"/>
              </w:rPr>
              <w:t>2022</w:t>
            </w:r>
            <w:r w:rsidR="00B02873" w:rsidRPr="007032F5">
              <w:rPr>
                <w:sz w:val="18"/>
                <w:szCs w:val="14"/>
              </w:rPr>
              <w:br/>
              <w:t>$’000</w:t>
            </w:r>
          </w:p>
        </w:tc>
        <w:tc>
          <w:tcPr>
            <w:tcW w:w="1063" w:type="dxa"/>
          </w:tcPr>
          <w:p w14:paraId="6984CDA8" w14:textId="47B2EA92" w:rsidR="00B02873" w:rsidRPr="007032F5" w:rsidRDefault="004303D3" w:rsidP="004303D3">
            <w:pPr>
              <w:pStyle w:val="TableheadingleftFinancialsTables"/>
              <w:jc w:val="right"/>
              <w:rPr>
                <w:sz w:val="18"/>
                <w:szCs w:val="14"/>
              </w:rPr>
            </w:pPr>
            <w:r w:rsidRPr="007032F5">
              <w:rPr>
                <w:sz w:val="18"/>
                <w:szCs w:val="14"/>
              </w:rPr>
              <w:t xml:space="preserve">Solar Homes </w:t>
            </w:r>
            <w:r w:rsidR="00B02873" w:rsidRPr="007032F5">
              <w:rPr>
                <w:sz w:val="18"/>
                <w:szCs w:val="14"/>
              </w:rPr>
              <w:t>2021</w:t>
            </w:r>
            <w:r w:rsidR="00B02873" w:rsidRPr="007032F5">
              <w:rPr>
                <w:sz w:val="18"/>
                <w:szCs w:val="14"/>
              </w:rPr>
              <w:br/>
              <w:t>$’000</w:t>
            </w:r>
          </w:p>
        </w:tc>
        <w:tc>
          <w:tcPr>
            <w:tcW w:w="1063" w:type="dxa"/>
          </w:tcPr>
          <w:p w14:paraId="26D28C9C" w14:textId="3BD75D2D" w:rsidR="00B02873" w:rsidRPr="007032F5" w:rsidRDefault="004303D3" w:rsidP="004303D3">
            <w:pPr>
              <w:pStyle w:val="TableheadingleftFinancialsTables"/>
              <w:jc w:val="right"/>
              <w:rPr>
                <w:sz w:val="18"/>
                <w:szCs w:val="14"/>
              </w:rPr>
            </w:pPr>
            <w:r w:rsidRPr="007032F5">
              <w:rPr>
                <w:sz w:val="18"/>
                <w:szCs w:val="14"/>
              </w:rPr>
              <w:t>Parks Victoria</w:t>
            </w:r>
            <w:r w:rsidRPr="007032F5">
              <w:rPr>
                <w:sz w:val="18"/>
                <w:szCs w:val="14"/>
                <w:vertAlign w:val="superscript"/>
              </w:rPr>
              <w:t xml:space="preserve">(i) </w:t>
            </w:r>
            <w:r w:rsidR="00B02873" w:rsidRPr="007032F5">
              <w:rPr>
                <w:sz w:val="18"/>
                <w:szCs w:val="14"/>
              </w:rPr>
              <w:t>2022</w:t>
            </w:r>
            <w:r w:rsidR="00B02873" w:rsidRPr="007032F5">
              <w:rPr>
                <w:sz w:val="18"/>
                <w:szCs w:val="14"/>
              </w:rPr>
              <w:br/>
              <w:t>$’000</w:t>
            </w:r>
          </w:p>
        </w:tc>
        <w:tc>
          <w:tcPr>
            <w:tcW w:w="1063" w:type="dxa"/>
          </w:tcPr>
          <w:p w14:paraId="766909B2" w14:textId="501E6CBA" w:rsidR="00B02873" w:rsidRPr="007032F5" w:rsidRDefault="004303D3" w:rsidP="004303D3">
            <w:pPr>
              <w:pStyle w:val="TableheadingleftFinancialsTables"/>
              <w:jc w:val="right"/>
              <w:rPr>
                <w:sz w:val="18"/>
                <w:szCs w:val="14"/>
              </w:rPr>
            </w:pPr>
            <w:r w:rsidRPr="007032F5">
              <w:rPr>
                <w:sz w:val="18"/>
                <w:szCs w:val="14"/>
              </w:rPr>
              <w:t>Parks Victoria</w:t>
            </w:r>
            <w:r w:rsidRPr="007032F5">
              <w:rPr>
                <w:sz w:val="18"/>
                <w:szCs w:val="14"/>
                <w:vertAlign w:val="superscript"/>
              </w:rPr>
              <w:t xml:space="preserve">(i) </w:t>
            </w:r>
            <w:r w:rsidR="00B02873" w:rsidRPr="007032F5">
              <w:rPr>
                <w:sz w:val="18"/>
                <w:szCs w:val="14"/>
              </w:rPr>
              <w:t>2021</w:t>
            </w:r>
            <w:r w:rsidR="00B02873" w:rsidRPr="007032F5">
              <w:rPr>
                <w:sz w:val="18"/>
                <w:szCs w:val="14"/>
              </w:rPr>
              <w:br/>
              <w:t>$’000</w:t>
            </w:r>
          </w:p>
        </w:tc>
      </w:tr>
      <w:tr w:rsidR="004303D3" w:rsidRPr="007032F5" w14:paraId="3DD3515B" w14:textId="77777777" w:rsidTr="007032F5">
        <w:tc>
          <w:tcPr>
            <w:tcW w:w="3256" w:type="dxa"/>
          </w:tcPr>
          <w:p w14:paraId="60A8536D" w14:textId="77777777" w:rsidR="004303D3" w:rsidRPr="007032F5" w:rsidRDefault="004303D3" w:rsidP="004303D3">
            <w:pPr>
              <w:pStyle w:val="TablebodyleftFinancialsTables"/>
              <w:keepNext/>
              <w:rPr>
                <w:b/>
                <w:bCs/>
                <w:sz w:val="18"/>
                <w:szCs w:val="14"/>
              </w:rPr>
            </w:pPr>
            <w:r w:rsidRPr="007032F5">
              <w:rPr>
                <w:b/>
                <w:bCs/>
                <w:sz w:val="18"/>
                <w:szCs w:val="14"/>
              </w:rPr>
              <w:t>Assets</w:t>
            </w:r>
          </w:p>
        </w:tc>
        <w:tc>
          <w:tcPr>
            <w:tcW w:w="1063" w:type="dxa"/>
          </w:tcPr>
          <w:p w14:paraId="34956F77" w14:textId="77777777" w:rsidR="004303D3" w:rsidRPr="007032F5" w:rsidRDefault="004303D3" w:rsidP="004303D3">
            <w:pPr>
              <w:pStyle w:val="TablebodyleftFinancialsTables"/>
              <w:keepNext/>
              <w:jc w:val="right"/>
              <w:rPr>
                <w:b/>
                <w:bCs/>
                <w:sz w:val="18"/>
                <w:szCs w:val="14"/>
              </w:rPr>
            </w:pPr>
          </w:p>
        </w:tc>
        <w:tc>
          <w:tcPr>
            <w:tcW w:w="1063" w:type="dxa"/>
          </w:tcPr>
          <w:p w14:paraId="63E1ED2A" w14:textId="77777777" w:rsidR="004303D3" w:rsidRPr="007032F5" w:rsidRDefault="004303D3" w:rsidP="004303D3">
            <w:pPr>
              <w:pStyle w:val="TablebodyleftFinancialsTables"/>
              <w:keepNext/>
              <w:jc w:val="right"/>
              <w:rPr>
                <w:sz w:val="18"/>
                <w:szCs w:val="14"/>
              </w:rPr>
            </w:pPr>
          </w:p>
        </w:tc>
        <w:tc>
          <w:tcPr>
            <w:tcW w:w="1063" w:type="dxa"/>
          </w:tcPr>
          <w:p w14:paraId="6D54424A" w14:textId="77777777" w:rsidR="004303D3" w:rsidRPr="007032F5" w:rsidRDefault="004303D3" w:rsidP="004303D3">
            <w:pPr>
              <w:pStyle w:val="TablebodyleftFinancialsTables"/>
              <w:keepNext/>
              <w:jc w:val="right"/>
              <w:rPr>
                <w:b/>
                <w:bCs/>
                <w:sz w:val="18"/>
                <w:szCs w:val="14"/>
              </w:rPr>
            </w:pPr>
          </w:p>
        </w:tc>
        <w:tc>
          <w:tcPr>
            <w:tcW w:w="1063" w:type="dxa"/>
          </w:tcPr>
          <w:p w14:paraId="54800F83" w14:textId="77777777" w:rsidR="004303D3" w:rsidRPr="007032F5" w:rsidRDefault="004303D3" w:rsidP="004303D3">
            <w:pPr>
              <w:pStyle w:val="TablebodyleftFinancialsTables"/>
              <w:keepNext/>
              <w:jc w:val="right"/>
              <w:rPr>
                <w:sz w:val="18"/>
                <w:szCs w:val="14"/>
              </w:rPr>
            </w:pPr>
          </w:p>
        </w:tc>
        <w:tc>
          <w:tcPr>
            <w:tcW w:w="1063" w:type="dxa"/>
          </w:tcPr>
          <w:p w14:paraId="4FDFED87" w14:textId="77777777" w:rsidR="004303D3" w:rsidRPr="007032F5" w:rsidRDefault="004303D3" w:rsidP="004303D3">
            <w:pPr>
              <w:pStyle w:val="TablebodyleftFinancialsTables"/>
              <w:keepNext/>
              <w:jc w:val="right"/>
              <w:rPr>
                <w:b/>
                <w:bCs/>
                <w:sz w:val="18"/>
                <w:szCs w:val="14"/>
              </w:rPr>
            </w:pPr>
          </w:p>
        </w:tc>
        <w:tc>
          <w:tcPr>
            <w:tcW w:w="1063" w:type="dxa"/>
          </w:tcPr>
          <w:p w14:paraId="15AA3581" w14:textId="2E2BC81A" w:rsidR="004303D3" w:rsidRPr="007032F5" w:rsidRDefault="004303D3" w:rsidP="004303D3">
            <w:pPr>
              <w:pStyle w:val="TablebodyleftFinancialsTables"/>
              <w:keepNext/>
              <w:jc w:val="right"/>
              <w:rPr>
                <w:sz w:val="18"/>
                <w:szCs w:val="14"/>
              </w:rPr>
            </w:pPr>
          </w:p>
        </w:tc>
      </w:tr>
      <w:tr w:rsidR="004303D3" w:rsidRPr="007032F5" w14:paraId="60359F7B" w14:textId="77777777" w:rsidTr="007032F5">
        <w:tc>
          <w:tcPr>
            <w:tcW w:w="3256" w:type="dxa"/>
          </w:tcPr>
          <w:p w14:paraId="097C95D1" w14:textId="77777777" w:rsidR="004303D3" w:rsidRPr="007032F5" w:rsidRDefault="004303D3" w:rsidP="004303D3">
            <w:pPr>
              <w:pStyle w:val="TablebodyleftFinancialsTables"/>
              <w:keepNext/>
              <w:rPr>
                <w:b/>
                <w:bCs/>
                <w:sz w:val="18"/>
                <w:szCs w:val="14"/>
              </w:rPr>
            </w:pPr>
            <w:r w:rsidRPr="007032F5">
              <w:rPr>
                <w:b/>
                <w:bCs/>
                <w:sz w:val="18"/>
                <w:szCs w:val="14"/>
              </w:rPr>
              <w:t>Financial assets</w:t>
            </w:r>
          </w:p>
        </w:tc>
        <w:tc>
          <w:tcPr>
            <w:tcW w:w="1063" w:type="dxa"/>
          </w:tcPr>
          <w:p w14:paraId="0B8C1B17" w14:textId="77777777" w:rsidR="004303D3" w:rsidRPr="007032F5" w:rsidRDefault="004303D3" w:rsidP="004303D3">
            <w:pPr>
              <w:pStyle w:val="TablebodyleftFinancialsTables"/>
              <w:keepNext/>
              <w:jc w:val="right"/>
              <w:rPr>
                <w:b/>
                <w:bCs/>
                <w:sz w:val="18"/>
                <w:szCs w:val="14"/>
              </w:rPr>
            </w:pPr>
          </w:p>
        </w:tc>
        <w:tc>
          <w:tcPr>
            <w:tcW w:w="1063" w:type="dxa"/>
          </w:tcPr>
          <w:p w14:paraId="18F8029F" w14:textId="77777777" w:rsidR="004303D3" w:rsidRPr="007032F5" w:rsidRDefault="004303D3" w:rsidP="004303D3">
            <w:pPr>
              <w:pStyle w:val="TablebodyleftFinancialsTables"/>
              <w:keepNext/>
              <w:jc w:val="right"/>
              <w:rPr>
                <w:sz w:val="18"/>
                <w:szCs w:val="14"/>
              </w:rPr>
            </w:pPr>
          </w:p>
        </w:tc>
        <w:tc>
          <w:tcPr>
            <w:tcW w:w="1063" w:type="dxa"/>
          </w:tcPr>
          <w:p w14:paraId="7D894940" w14:textId="77777777" w:rsidR="004303D3" w:rsidRPr="007032F5" w:rsidRDefault="004303D3" w:rsidP="004303D3">
            <w:pPr>
              <w:pStyle w:val="TablebodyleftFinancialsTables"/>
              <w:keepNext/>
              <w:jc w:val="right"/>
              <w:rPr>
                <w:b/>
                <w:bCs/>
                <w:sz w:val="18"/>
                <w:szCs w:val="14"/>
              </w:rPr>
            </w:pPr>
          </w:p>
        </w:tc>
        <w:tc>
          <w:tcPr>
            <w:tcW w:w="1063" w:type="dxa"/>
          </w:tcPr>
          <w:p w14:paraId="16CC24FF" w14:textId="77777777" w:rsidR="004303D3" w:rsidRPr="007032F5" w:rsidRDefault="004303D3" w:rsidP="004303D3">
            <w:pPr>
              <w:pStyle w:val="TablebodyleftFinancialsTables"/>
              <w:keepNext/>
              <w:jc w:val="right"/>
              <w:rPr>
                <w:sz w:val="18"/>
                <w:szCs w:val="14"/>
              </w:rPr>
            </w:pPr>
          </w:p>
        </w:tc>
        <w:tc>
          <w:tcPr>
            <w:tcW w:w="1063" w:type="dxa"/>
          </w:tcPr>
          <w:p w14:paraId="30B41125" w14:textId="77777777" w:rsidR="004303D3" w:rsidRPr="007032F5" w:rsidRDefault="004303D3" w:rsidP="004303D3">
            <w:pPr>
              <w:pStyle w:val="TablebodyleftFinancialsTables"/>
              <w:keepNext/>
              <w:jc w:val="right"/>
              <w:rPr>
                <w:b/>
                <w:bCs/>
                <w:sz w:val="18"/>
                <w:szCs w:val="14"/>
              </w:rPr>
            </w:pPr>
          </w:p>
        </w:tc>
        <w:tc>
          <w:tcPr>
            <w:tcW w:w="1063" w:type="dxa"/>
          </w:tcPr>
          <w:p w14:paraId="6EE4F270" w14:textId="522C5318" w:rsidR="004303D3" w:rsidRPr="007032F5" w:rsidRDefault="004303D3" w:rsidP="004303D3">
            <w:pPr>
              <w:pStyle w:val="TablebodyleftFinancialsTables"/>
              <w:keepNext/>
              <w:jc w:val="right"/>
              <w:rPr>
                <w:sz w:val="18"/>
                <w:szCs w:val="14"/>
              </w:rPr>
            </w:pPr>
          </w:p>
        </w:tc>
      </w:tr>
      <w:tr w:rsidR="00B02873" w:rsidRPr="007032F5" w14:paraId="6608282D" w14:textId="77777777" w:rsidTr="007032F5">
        <w:tc>
          <w:tcPr>
            <w:tcW w:w="3256" w:type="dxa"/>
          </w:tcPr>
          <w:p w14:paraId="04342800" w14:textId="77777777" w:rsidR="00B02873" w:rsidRPr="007032F5" w:rsidRDefault="00B02873" w:rsidP="007032F5">
            <w:pPr>
              <w:pStyle w:val="TablebodyleftFinancialsTables"/>
              <w:keepNext/>
              <w:rPr>
                <w:sz w:val="18"/>
                <w:szCs w:val="14"/>
              </w:rPr>
            </w:pPr>
            <w:r w:rsidRPr="007032F5">
              <w:rPr>
                <w:sz w:val="18"/>
                <w:szCs w:val="14"/>
              </w:rPr>
              <w:t>Cash and cash deposits</w:t>
            </w:r>
          </w:p>
        </w:tc>
        <w:tc>
          <w:tcPr>
            <w:tcW w:w="1063" w:type="dxa"/>
          </w:tcPr>
          <w:p w14:paraId="5FEF3435" w14:textId="77777777" w:rsidR="00B02873" w:rsidRPr="007032F5" w:rsidRDefault="00B02873" w:rsidP="007032F5">
            <w:pPr>
              <w:pStyle w:val="TablebodyleftFinancialsTables"/>
              <w:keepNext/>
              <w:jc w:val="right"/>
              <w:rPr>
                <w:b/>
                <w:bCs/>
                <w:sz w:val="18"/>
                <w:szCs w:val="14"/>
              </w:rPr>
            </w:pPr>
            <w:r w:rsidRPr="007032F5">
              <w:rPr>
                <w:b/>
                <w:bCs/>
                <w:sz w:val="18"/>
                <w:szCs w:val="14"/>
              </w:rPr>
              <w:t>2,653</w:t>
            </w:r>
          </w:p>
        </w:tc>
        <w:tc>
          <w:tcPr>
            <w:tcW w:w="1063" w:type="dxa"/>
          </w:tcPr>
          <w:p w14:paraId="76B2B589" w14:textId="77777777" w:rsidR="00B02873" w:rsidRPr="007032F5" w:rsidRDefault="00B02873" w:rsidP="007032F5">
            <w:pPr>
              <w:pStyle w:val="TablebodyleftFinancialsTables"/>
              <w:keepNext/>
              <w:jc w:val="right"/>
              <w:rPr>
                <w:sz w:val="18"/>
                <w:szCs w:val="14"/>
              </w:rPr>
            </w:pPr>
            <w:r w:rsidRPr="007032F5">
              <w:rPr>
                <w:sz w:val="18"/>
                <w:szCs w:val="14"/>
              </w:rPr>
              <w:t>2,320</w:t>
            </w:r>
          </w:p>
        </w:tc>
        <w:tc>
          <w:tcPr>
            <w:tcW w:w="1063" w:type="dxa"/>
          </w:tcPr>
          <w:p w14:paraId="40EB3245" w14:textId="77777777" w:rsidR="00B02873" w:rsidRPr="007032F5" w:rsidRDefault="00B02873" w:rsidP="007032F5">
            <w:pPr>
              <w:pStyle w:val="TablebodyleftFinancialsTables"/>
              <w:keepNext/>
              <w:jc w:val="right"/>
              <w:rPr>
                <w:b/>
                <w:bCs/>
                <w:sz w:val="18"/>
                <w:szCs w:val="14"/>
              </w:rPr>
            </w:pPr>
            <w:r w:rsidRPr="007032F5">
              <w:rPr>
                <w:b/>
                <w:bCs/>
                <w:sz w:val="18"/>
                <w:szCs w:val="14"/>
              </w:rPr>
              <w:t>4,999</w:t>
            </w:r>
          </w:p>
        </w:tc>
        <w:tc>
          <w:tcPr>
            <w:tcW w:w="1063" w:type="dxa"/>
          </w:tcPr>
          <w:p w14:paraId="19F45151" w14:textId="77777777" w:rsidR="00B02873" w:rsidRPr="007032F5" w:rsidRDefault="00B02873" w:rsidP="007032F5">
            <w:pPr>
              <w:pStyle w:val="TablebodyleftFinancialsTables"/>
              <w:keepNext/>
              <w:jc w:val="right"/>
              <w:rPr>
                <w:sz w:val="18"/>
                <w:szCs w:val="14"/>
              </w:rPr>
            </w:pPr>
            <w:r w:rsidRPr="007032F5">
              <w:rPr>
                <w:sz w:val="18"/>
                <w:szCs w:val="14"/>
              </w:rPr>
              <w:t>39,507</w:t>
            </w:r>
          </w:p>
        </w:tc>
        <w:tc>
          <w:tcPr>
            <w:tcW w:w="1063" w:type="dxa"/>
          </w:tcPr>
          <w:p w14:paraId="4CE05882" w14:textId="77777777" w:rsidR="00B02873" w:rsidRPr="007032F5" w:rsidRDefault="00B02873" w:rsidP="007032F5">
            <w:pPr>
              <w:pStyle w:val="TablebodyleftFinancialsTables"/>
              <w:keepNext/>
              <w:jc w:val="right"/>
              <w:rPr>
                <w:b/>
                <w:bCs/>
                <w:sz w:val="18"/>
                <w:szCs w:val="14"/>
              </w:rPr>
            </w:pPr>
            <w:r w:rsidRPr="007032F5">
              <w:rPr>
                <w:b/>
                <w:bCs/>
                <w:sz w:val="18"/>
                <w:szCs w:val="14"/>
              </w:rPr>
              <w:t>98,758</w:t>
            </w:r>
          </w:p>
        </w:tc>
        <w:tc>
          <w:tcPr>
            <w:tcW w:w="1063" w:type="dxa"/>
          </w:tcPr>
          <w:p w14:paraId="55B04306" w14:textId="77777777" w:rsidR="00B02873" w:rsidRPr="007032F5" w:rsidRDefault="00B02873" w:rsidP="007032F5">
            <w:pPr>
              <w:pStyle w:val="TablebodyleftFinancialsTables"/>
              <w:keepNext/>
              <w:jc w:val="right"/>
              <w:rPr>
                <w:sz w:val="18"/>
                <w:szCs w:val="14"/>
              </w:rPr>
            </w:pPr>
            <w:r w:rsidRPr="007032F5">
              <w:rPr>
                <w:sz w:val="18"/>
                <w:szCs w:val="14"/>
              </w:rPr>
              <w:t>(104,883)</w:t>
            </w:r>
          </w:p>
        </w:tc>
      </w:tr>
      <w:tr w:rsidR="00B02873" w:rsidRPr="007032F5" w14:paraId="41AD5008" w14:textId="77777777" w:rsidTr="007032F5">
        <w:tc>
          <w:tcPr>
            <w:tcW w:w="3256" w:type="dxa"/>
          </w:tcPr>
          <w:p w14:paraId="61FA2EDF" w14:textId="77777777" w:rsidR="00B02873" w:rsidRPr="007032F5" w:rsidRDefault="00B02873" w:rsidP="004303D3">
            <w:pPr>
              <w:pStyle w:val="TablebodyleftFinancialsTables"/>
              <w:rPr>
                <w:sz w:val="18"/>
                <w:szCs w:val="14"/>
              </w:rPr>
            </w:pPr>
            <w:r w:rsidRPr="007032F5">
              <w:rPr>
                <w:sz w:val="18"/>
                <w:szCs w:val="14"/>
              </w:rPr>
              <w:t>Receivables</w:t>
            </w:r>
          </w:p>
        </w:tc>
        <w:tc>
          <w:tcPr>
            <w:tcW w:w="1063" w:type="dxa"/>
          </w:tcPr>
          <w:p w14:paraId="55E509C3" w14:textId="77777777" w:rsidR="00B02873" w:rsidRPr="007032F5" w:rsidRDefault="00B02873" w:rsidP="004303D3">
            <w:pPr>
              <w:pStyle w:val="TablebodyleftFinancialsTables"/>
              <w:jc w:val="right"/>
              <w:rPr>
                <w:b/>
                <w:bCs/>
                <w:sz w:val="18"/>
                <w:szCs w:val="14"/>
              </w:rPr>
            </w:pPr>
            <w:r w:rsidRPr="007032F5">
              <w:rPr>
                <w:b/>
                <w:bCs/>
                <w:sz w:val="18"/>
                <w:szCs w:val="14"/>
              </w:rPr>
              <w:t>24,099</w:t>
            </w:r>
          </w:p>
        </w:tc>
        <w:tc>
          <w:tcPr>
            <w:tcW w:w="1063" w:type="dxa"/>
          </w:tcPr>
          <w:p w14:paraId="4EB45521" w14:textId="77777777" w:rsidR="00B02873" w:rsidRPr="007032F5" w:rsidRDefault="00B02873" w:rsidP="004303D3">
            <w:pPr>
              <w:pStyle w:val="TablebodyleftFinancialsTables"/>
              <w:jc w:val="right"/>
              <w:rPr>
                <w:sz w:val="18"/>
                <w:szCs w:val="14"/>
              </w:rPr>
            </w:pPr>
            <w:r w:rsidRPr="007032F5">
              <w:rPr>
                <w:sz w:val="18"/>
                <w:szCs w:val="14"/>
              </w:rPr>
              <w:t>25,719</w:t>
            </w:r>
          </w:p>
        </w:tc>
        <w:tc>
          <w:tcPr>
            <w:tcW w:w="1063" w:type="dxa"/>
          </w:tcPr>
          <w:p w14:paraId="7732C447" w14:textId="77777777" w:rsidR="00B02873" w:rsidRPr="007032F5" w:rsidRDefault="00B02873" w:rsidP="004303D3">
            <w:pPr>
              <w:pStyle w:val="TablebodyleftFinancialsTables"/>
              <w:jc w:val="right"/>
              <w:rPr>
                <w:b/>
                <w:bCs/>
                <w:sz w:val="18"/>
                <w:szCs w:val="14"/>
              </w:rPr>
            </w:pPr>
            <w:r w:rsidRPr="007032F5">
              <w:rPr>
                <w:b/>
                <w:bCs/>
                <w:sz w:val="18"/>
                <w:szCs w:val="14"/>
              </w:rPr>
              <w:t>176,489</w:t>
            </w:r>
          </w:p>
        </w:tc>
        <w:tc>
          <w:tcPr>
            <w:tcW w:w="1063" w:type="dxa"/>
          </w:tcPr>
          <w:p w14:paraId="71A0CA35" w14:textId="77777777" w:rsidR="00B02873" w:rsidRPr="007032F5" w:rsidRDefault="00B02873" w:rsidP="004303D3">
            <w:pPr>
              <w:pStyle w:val="TablebodyleftFinancialsTables"/>
              <w:jc w:val="right"/>
              <w:rPr>
                <w:sz w:val="18"/>
                <w:szCs w:val="14"/>
              </w:rPr>
            </w:pPr>
            <w:r w:rsidRPr="007032F5">
              <w:rPr>
                <w:sz w:val="18"/>
                <w:szCs w:val="14"/>
              </w:rPr>
              <w:t>162,498</w:t>
            </w:r>
          </w:p>
        </w:tc>
        <w:tc>
          <w:tcPr>
            <w:tcW w:w="1063" w:type="dxa"/>
          </w:tcPr>
          <w:p w14:paraId="407A3B2E" w14:textId="77777777" w:rsidR="00B02873" w:rsidRPr="007032F5" w:rsidRDefault="00B02873" w:rsidP="004303D3">
            <w:pPr>
              <w:pStyle w:val="TablebodyleftFinancialsTables"/>
              <w:jc w:val="right"/>
              <w:rPr>
                <w:b/>
                <w:bCs/>
                <w:sz w:val="18"/>
                <w:szCs w:val="14"/>
              </w:rPr>
            </w:pPr>
            <w:r w:rsidRPr="007032F5">
              <w:rPr>
                <w:b/>
                <w:bCs/>
                <w:sz w:val="18"/>
                <w:szCs w:val="14"/>
              </w:rPr>
              <w:t>34,246</w:t>
            </w:r>
          </w:p>
        </w:tc>
        <w:tc>
          <w:tcPr>
            <w:tcW w:w="1063" w:type="dxa"/>
          </w:tcPr>
          <w:p w14:paraId="2C3D2B27" w14:textId="77777777" w:rsidR="00B02873" w:rsidRPr="007032F5" w:rsidRDefault="00B02873" w:rsidP="004303D3">
            <w:pPr>
              <w:pStyle w:val="TablebodyleftFinancialsTables"/>
              <w:jc w:val="right"/>
              <w:rPr>
                <w:sz w:val="18"/>
                <w:szCs w:val="14"/>
              </w:rPr>
            </w:pPr>
            <w:r w:rsidRPr="007032F5">
              <w:rPr>
                <w:sz w:val="18"/>
                <w:szCs w:val="14"/>
              </w:rPr>
              <w:t>19,326</w:t>
            </w:r>
          </w:p>
        </w:tc>
      </w:tr>
      <w:tr w:rsidR="00B02873" w:rsidRPr="007032F5" w14:paraId="11A52534" w14:textId="77777777" w:rsidTr="007032F5">
        <w:tc>
          <w:tcPr>
            <w:tcW w:w="3256" w:type="dxa"/>
          </w:tcPr>
          <w:p w14:paraId="30E42D15" w14:textId="77777777" w:rsidR="00B02873" w:rsidRPr="007032F5" w:rsidRDefault="00B02873" w:rsidP="004303D3">
            <w:pPr>
              <w:pStyle w:val="TablebodyleftFinancialsTables"/>
              <w:rPr>
                <w:sz w:val="18"/>
                <w:szCs w:val="14"/>
              </w:rPr>
            </w:pPr>
            <w:r w:rsidRPr="007032F5">
              <w:rPr>
                <w:spacing w:val="-2"/>
                <w:sz w:val="18"/>
                <w:szCs w:val="14"/>
              </w:rPr>
              <w:t>Derivative financial instruments</w:t>
            </w:r>
          </w:p>
        </w:tc>
        <w:tc>
          <w:tcPr>
            <w:tcW w:w="1063" w:type="dxa"/>
          </w:tcPr>
          <w:p w14:paraId="3CA240DE" w14:textId="77777777" w:rsidR="00B02873" w:rsidRPr="007032F5" w:rsidRDefault="00B02873" w:rsidP="004303D3">
            <w:pPr>
              <w:pStyle w:val="TablebodyleftFinancialsTables"/>
              <w:jc w:val="right"/>
              <w:rPr>
                <w:b/>
                <w:bCs/>
                <w:sz w:val="18"/>
                <w:szCs w:val="14"/>
              </w:rPr>
            </w:pPr>
            <w:r w:rsidRPr="007032F5">
              <w:rPr>
                <w:b/>
                <w:bCs/>
                <w:sz w:val="18"/>
                <w:szCs w:val="14"/>
              </w:rPr>
              <w:t>–</w:t>
            </w:r>
          </w:p>
        </w:tc>
        <w:tc>
          <w:tcPr>
            <w:tcW w:w="1063" w:type="dxa"/>
          </w:tcPr>
          <w:p w14:paraId="379F4E01" w14:textId="77777777" w:rsidR="00B02873" w:rsidRPr="007032F5" w:rsidRDefault="00B02873" w:rsidP="004303D3">
            <w:pPr>
              <w:pStyle w:val="TablebodyleftFinancialsTables"/>
              <w:jc w:val="right"/>
              <w:rPr>
                <w:sz w:val="18"/>
                <w:szCs w:val="14"/>
              </w:rPr>
            </w:pPr>
            <w:r w:rsidRPr="007032F5">
              <w:rPr>
                <w:sz w:val="18"/>
                <w:szCs w:val="14"/>
              </w:rPr>
              <w:t>–</w:t>
            </w:r>
          </w:p>
        </w:tc>
        <w:tc>
          <w:tcPr>
            <w:tcW w:w="1063" w:type="dxa"/>
          </w:tcPr>
          <w:p w14:paraId="75804F88" w14:textId="77777777" w:rsidR="00B02873" w:rsidRPr="007032F5" w:rsidRDefault="00B02873" w:rsidP="004303D3">
            <w:pPr>
              <w:pStyle w:val="TablebodyleftFinancialsTables"/>
              <w:jc w:val="right"/>
              <w:rPr>
                <w:b/>
                <w:bCs/>
                <w:sz w:val="18"/>
                <w:szCs w:val="14"/>
              </w:rPr>
            </w:pPr>
            <w:r w:rsidRPr="007032F5">
              <w:rPr>
                <w:b/>
                <w:bCs/>
                <w:sz w:val="18"/>
                <w:szCs w:val="14"/>
              </w:rPr>
              <w:t>–</w:t>
            </w:r>
          </w:p>
        </w:tc>
        <w:tc>
          <w:tcPr>
            <w:tcW w:w="1063" w:type="dxa"/>
          </w:tcPr>
          <w:p w14:paraId="56780612" w14:textId="77777777" w:rsidR="00B02873" w:rsidRPr="007032F5" w:rsidRDefault="00B02873" w:rsidP="004303D3">
            <w:pPr>
              <w:pStyle w:val="TablebodyleftFinancialsTables"/>
              <w:jc w:val="right"/>
              <w:rPr>
                <w:sz w:val="18"/>
                <w:szCs w:val="14"/>
              </w:rPr>
            </w:pPr>
            <w:r w:rsidRPr="007032F5">
              <w:rPr>
                <w:sz w:val="18"/>
                <w:szCs w:val="14"/>
              </w:rPr>
              <w:t>–</w:t>
            </w:r>
          </w:p>
        </w:tc>
        <w:tc>
          <w:tcPr>
            <w:tcW w:w="1063" w:type="dxa"/>
          </w:tcPr>
          <w:p w14:paraId="558DCF82" w14:textId="77777777" w:rsidR="00B02873" w:rsidRPr="007032F5" w:rsidRDefault="00B02873" w:rsidP="004303D3">
            <w:pPr>
              <w:pStyle w:val="TablebodyleftFinancialsTables"/>
              <w:jc w:val="right"/>
              <w:rPr>
                <w:b/>
                <w:bCs/>
                <w:sz w:val="18"/>
                <w:szCs w:val="14"/>
              </w:rPr>
            </w:pPr>
            <w:r w:rsidRPr="007032F5">
              <w:rPr>
                <w:b/>
                <w:bCs/>
                <w:sz w:val="18"/>
                <w:szCs w:val="14"/>
              </w:rPr>
              <w:t>–</w:t>
            </w:r>
          </w:p>
        </w:tc>
        <w:tc>
          <w:tcPr>
            <w:tcW w:w="1063" w:type="dxa"/>
          </w:tcPr>
          <w:p w14:paraId="3C5E8871" w14:textId="77777777" w:rsidR="00B02873" w:rsidRPr="007032F5" w:rsidRDefault="00B02873" w:rsidP="004303D3">
            <w:pPr>
              <w:pStyle w:val="TablebodyleftFinancialsTables"/>
              <w:jc w:val="right"/>
              <w:rPr>
                <w:sz w:val="18"/>
                <w:szCs w:val="14"/>
              </w:rPr>
            </w:pPr>
            <w:r w:rsidRPr="007032F5">
              <w:rPr>
                <w:sz w:val="18"/>
                <w:szCs w:val="14"/>
              </w:rPr>
              <w:t>–</w:t>
            </w:r>
          </w:p>
        </w:tc>
      </w:tr>
      <w:tr w:rsidR="00B02873" w:rsidRPr="007032F5" w14:paraId="2AD6DB5B" w14:textId="77777777" w:rsidTr="007032F5">
        <w:tc>
          <w:tcPr>
            <w:tcW w:w="3256" w:type="dxa"/>
          </w:tcPr>
          <w:p w14:paraId="079100AE" w14:textId="77777777" w:rsidR="00B02873" w:rsidRPr="007032F5" w:rsidRDefault="00B02873" w:rsidP="004303D3">
            <w:pPr>
              <w:pStyle w:val="TablebodyleftFinancialsTables"/>
              <w:rPr>
                <w:b/>
                <w:bCs/>
                <w:sz w:val="18"/>
                <w:szCs w:val="14"/>
              </w:rPr>
            </w:pPr>
            <w:r w:rsidRPr="007032F5">
              <w:rPr>
                <w:b/>
                <w:bCs/>
                <w:sz w:val="18"/>
                <w:szCs w:val="14"/>
              </w:rPr>
              <w:t>Total financial assets</w:t>
            </w:r>
          </w:p>
        </w:tc>
        <w:tc>
          <w:tcPr>
            <w:tcW w:w="1063" w:type="dxa"/>
          </w:tcPr>
          <w:p w14:paraId="60D3BCF2" w14:textId="77777777" w:rsidR="00B02873" w:rsidRPr="007032F5" w:rsidRDefault="00B02873" w:rsidP="004303D3">
            <w:pPr>
              <w:pStyle w:val="TablebodyleftFinancialsTables"/>
              <w:jc w:val="right"/>
              <w:rPr>
                <w:b/>
                <w:bCs/>
                <w:sz w:val="18"/>
                <w:szCs w:val="14"/>
              </w:rPr>
            </w:pPr>
            <w:r w:rsidRPr="007032F5">
              <w:rPr>
                <w:b/>
                <w:bCs/>
                <w:sz w:val="18"/>
                <w:szCs w:val="14"/>
              </w:rPr>
              <w:t>26,752</w:t>
            </w:r>
          </w:p>
        </w:tc>
        <w:tc>
          <w:tcPr>
            <w:tcW w:w="1063" w:type="dxa"/>
          </w:tcPr>
          <w:p w14:paraId="3604706C" w14:textId="77777777" w:rsidR="00B02873" w:rsidRPr="007032F5" w:rsidRDefault="00B02873" w:rsidP="004303D3">
            <w:pPr>
              <w:pStyle w:val="TablebodyleftFinancialsTables"/>
              <w:jc w:val="right"/>
              <w:rPr>
                <w:b/>
                <w:bCs/>
                <w:sz w:val="18"/>
                <w:szCs w:val="14"/>
              </w:rPr>
            </w:pPr>
            <w:r w:rsidRPr="007032F5">
              <w:rPr>
                <w:b/>
                <w:bCs/>
                <w:sz w:val="18"/>
                <w:szCs w:val="14"/>
              </w:rPr>
              <w:t>28,039</w:t>
            </w:r>
          </w:p>
        </w:tc>
        <w:tc>
          <w:tcPr>
            <w:tcW w:w="1063" w:type="dxa"/>
          </w:tcPr>
          <w:p w14:paraId="6359B746" w14:textId="77777777" w:rsidR="00B02873" w:rsidRPr="007032F5" w:rsidRDefault="00B02873" w:rsidP="004303D3">
            <w:pPr>
              <w:pStyle w:val="TablebodyleftFinancialsTables"/>
              <w:jc w:val="right"/>
              <w:rPr>
                <w:b/>
                <w:bCs/>
                <w:sz w:val="18"/>
                <w:szCs w:val="14"/>
              </w:rPr>
            </w:pPr>
            <w:r w:rsidRPr="007032F5">
              <w:rPr>
                <w:b/>
                <w:bCs/>
                <w:sz w:val="18"/>
                <w:szCs w:val="14"/>
              </w:rPr>
              <w:t>181,488</w:t>
            </w:r>
          </w:p>
        </w:tc>
        <w:tc>
          <w:tcPr>
            <w:tcW w:w="1063" w:type="dxa"/>
          </w:tcPr>
          <w:p w14:paraId="03D8E2AF" w14:textId="77777777" w:rsidR="00B02873" w:rsidRPr="007032F5" w:rsidRDefault="00B02873" w:rsidP="004303D3">
            <w:pPr>
              <w:pStyle w:val="TablebodyleftFinancialsTables"/>
              <w:jc w:val="right"/>
              <w:rPr>
                <w:b/>
                <w:bCs/>
                <w:sz w:val="18"/>
                <w:szCs w:val="14"/>
              </w:rPr>
            </w:pPr>
            <w:r w:rsidRPr="007032F5">
              <w:rPr>
                <w:b/>
                <w:bCs/>
                <w:sz w:val="18"/>
                <w:szCs w:val="14"/>
              </w:rPr>
              <w:t>202,005</w:t>
            </w:r>
          </w:p>
        </w:tc>
        <w:tc>
          <w:tcPr>
            <w:tcW w:w="1063" w:type="dxa"/>
          </w:tcPr>
          <w:p w14:paraId="327CF66B" w14:textId="77777777" w:rsidR="00B02873" w:rsidRPr="007032F5" w:rsidRDefault="00B02873" w:rsidP="004303D3">
            <w:pPr>
              <w:pStyle w:val="TablebodyleftFinancialsTables"/>
              <w:jc w:val="right"/>
              <w:rPr>
                <w:b/>
                <w:bCs/>
                <w:sz w:val="18"/>
                <w:szCs w:val="14"/>
              </w:rPr>
            </w:pPr>
            <w:r w:rsidRPr="007032F5">
              <w:rPr>
                <w:b/>
                <w:bCs/>
                <w:sz w:val="18"/>
                <w:szCs w:val="14"/>
              </w:rPr>
              <w:t>133,004</w:t>
            </w:r>
          </w:p>
        </w:tc>
        <w:tc>
          <w:tcPr>
            <w:tcW w:w="1063" w:type="dxa"/>
          </w:tcPr>
          <w:p w14:paraId="7F062C1A" w14:textId="77777777" w:rsidR="00B02873" w:rsidRPr="007032F5" w:rsidRDefault="00B02873" w:rsidP="004303D3">
            <w:pPr>
              <w:pStyle w:val="TablebodyleftFinancialsTables"/>
              <w:jc w:val="right"/>
              <w:rPr>
                <w:b/>
                <w:bCs/>
                <w:sz w:val="18"/>
                <w:szCs w:val="14"/>
              </w:rPr>
            </w:pPr>
            <w:r w:rsidRPr="007032F5">
              <w:rPr>
                <w:b/>
                <w:bCs/>
                <w:sz w:val="18"/>
                <w:szCs w:val="14"/>
              </w:rPr>
              <w:t>(85,557)</w:t>
            </w:r>
          </w:p>
        </w:tc>
      </w:tr>
      <w:tr w:rsidR="004303D3" w:rsidRPr="007032F5" w14:paraId="06E56745" w14:textId="77777777" w:rsidTr="007032F5">
        <w:tc>
          <w:tcPr>
            <w:tcW w:w="3256" w:type="dxa"/>
          </w:tcPr>
          <w:p w14:paraId="6679C767" w14:textId="77777777" w:rsidR="004303D3" w:rsidRPr="007032F5" w:rsidRDefault="004303D3" w:rsidP="004303D3">
            <w:pPr>
              <w:pStyle w:val="TablebodyleftFinancialsTables"/>
              <w:rPr>
                <w:b/>
                <w:bCs/>
                <w:sz w:val="18"/>
                <w:szCs w:val="14"/>
              </w:rPr>
            </w:pPr>
            <w:r w:rsidRPr="007032F5">
              <w:rPr>
                <w:b/>
                <w:bCs/>
                <w:sz w:val="18"/>
                <w:szCs w:val="14"/>
              </w:rPr>
              <w:t>Non-financial assets</w:t>
            </w:r>
          </w:p>
        </w:tc>
        <w:tc>
          <w:tcPr>
            <w:tcW w:w="1063" w:type="dxa"/>
          </w:tcPr>
          <w:p w14:paraId="68E3A93C" w14:textId="77777777" w:rsidR="004303D3" w:rsidRPr="007032F5" w:rsidRDefault="004303D3" w:rsidP="004303D3">
            <w:pPr>
              <w:pStyle w:val="TablebodyleftFinancialsTables"/>
              <w:jc w:val="right"/>
              <w:rPr>
                <w:b/>
                <w:bCs/>
                <w:sz w:val="18"/>
                <w:szCs w:val="14"/>
              </w:rPr>
            </w:pPr>
          </w:p>
        </w:tc>
        <w:tc>
          <w:tcPr>
            <w:tcW w:w="1063" w:type="dxa"/>
          </w:tcPr>
          <w:p w14:paraId="00E05571" w14:textId="77777777" w:rsidR="004303D3" w:rsidRPr="007032F5" w:rsidRDefault="004303D3" w:rsidP="004303D3">
            <w:pPr>
              <w:pStyle w:val="TablebodyleftFinancialsTables"/>
              <w:jc w:val="right"/>
              <w:rPr>
                <w:b/>
                <w:bCs/>
                <w:sz w:val="18"/>
                <w:szCs w:val="14"/>
              </w:rPr>
            </w:pPr>
          </w:p>
        </w:tc>
        <w:tc>
          <w:tcPr>
            <w:tcW w:w="1063" w:type="dxa"/>
          </w:tcPr>
          <w:p w14:paraId="393A8015" w14:textId="77777777" w:rsidR="004303D3" w:rsidRPr="007032F5" w:rsidRDefault="004303D3" w:rsidP="004303D3">
            <w:pPr>
              <w:pStyle w:val="TablebodyleftFinancialsTables"/>
              <w:jc w:val="right"/>
              <w:rPr>
                <w:b/>
                <w:bCs/>
                <w:sz w:val="18"/>
                <w:szCs w:val="14"/>
              </w:rPr>
            </w:pPr>
          </w:p>
        </w:tc>
        <w:tc>
          <w:tcPr>
            <w:tcW w:w="1063" w:type="dxa"/>
          </w:tcPr>
          <w:p w14:paraId="145069AB" w14:textId="77777777" w:rsidR="004303D3" w:rsidRPr="007032F5" w:rsidRDefault="004303D3" w:rsidP="004303D3">
            <w:pPr>
              <w:pStyle w:val="TablebodyleftFinancialsTables"/>
              <w:jc w:val="right"/>
              <w:rPr>
                <w:b/>
                <w:bCs/>
                <w:sz w:val="18"/>
                <w:szCs w:val="14"/>
              </w:rPr>
            </w:pPr>
          </w:p>
        </w:tc>
        <w:tc>
          <w:tcPr>
            <w:tcW w:w="1063" w:type="dxa"/>
          </w:tcPr>
          <w:p w14:paraId="6BF2815C" w14:textId="77777777" w:rsidR="004303D3" w:rsidRPr="007032F5" w:rsidRDefault="004303D3" w:rsidP="004303D3">
            <w:pPr>
              <w:pStyle w:val="TablebodyleftFinancialsTables"/>
              <w:jc w:val="right"/>
              <w:rPr>
                <w:b/>
                <w:bCs/>
                <w:sz w:val="18"/>
                <w:szCs w:val="14"/>
              </w:rPr>
            </w:pPr>
          </w:p>
        </w:tc>
        <w:tc>
          <w:tcPr>
            <w:tcW w:w="1063" w:type="dxa"/>
          </w:tcPr>
          <w:p w14:paraId="0FA9F9EB" w14:textId="7F75D503" w:rsidR="004303D3" w:rsidRPr="007032F5" w:rsidRDefault="004303D3" w:rsidP="004303D3">
            <w:pPr>
              <w:pStyle w:val="TablebodyleftFinancialsTables"/>
              <w:jc w:val="right"/>
              <w:rPr>
                <w:b/>
                <w:bCs/>
                <w:sz w:val="18"/>
                <w:szCs w:val="14"/>
              </w:rPr>
            </w:pPr>
          </w:p>
        </w:tc>
      </w:tr>
      <w:tr w:rsidR="00B02873" w:rsidRPr="007032F5" w14:paraId="592CB932" w14:textId="77777777" w:rsidTr="007032F5">
        <w:tc>
          <w:tcPr>
            <w:tcW w:w="3256" w:type="dxa"/>
          </w:tcPr>
          <w:p w14:paraId="29B76CB4" w14:textId="77777777" w:rsidR="00B02873" w:rsidRPr="007032F5" w:rsidRDefault="00B02873" w:rsidP="004303D3">
            <w:pPr>
              <w:pStyle w:val="TablebodyleftFinancialsTables"/>
              <w:rPr>
                <w:sz w:val="18"/>
                <w:szCs w:val="14"/>
              </w:rPr>
            </w:pPr>
            <w:r w:rsidRPr="007032F5">
              <w:rPr>
                <w:sz w:val="18"/>
                <w:szCs w:val="14"/>
              </w:rPr>
              <w:t>Inventories</w:t>
            </w:r>
          </w:p>
        </w:tc>
        <w:tc>
          <w:tcPr>
            <w:tcW w:w="1063" w:type="dxa"/>
          </w:tcPr>
          <w:p w14:paraId="7CD1F66D" w14:textId="0751012B" w:rsidR="00B02873" w:rsidRPr="007032F5" w:rsidRDefault="00B02873" w:rsidP="004303D3">
            <w:pPr>
              <w:pStyle w:val="TablebodyleftFinancialsTables"/>
              <w:jc w:val="right"/>
              <w:rPr>
                <w:b/>
                <w:bCs/>
                <w:sz w:val="18"/>
                <w:szCs w:val="14"/>
              </w:rPr>
            </w:pPr>
            <w:r w:rsidRPr="007032F5">
              <w:rPr>
                <w:b/>
                <w:bCs/>
                <w:sz w:val="18"/>
                <w:szCs w:val="14"/>
              </w:rPr>
              <w:t>2</w:t>
            </w:r>
          </w:p>
        </w:tc>
        <w:tc>
          <w:tcPr>
            <w:tcW w:w="1063" w:type="dxa"/>
          </w:tcPr>
          <w:p w14:paraId="1DE7A6EA" w14:textId="77777777" w:rsidR="00B02873" w:rsidRPr="007032F5" w:rsidRDefault="00B02873" w:rsidP="004303D3">
            <w:pPr>
              <w:pStyle w:val="TablebodyleftFinancialsTables"/>
              <w:jc w:val="right"/>
              <w:rPr>
                <w:sz w:val="18"/>
                <w:szCs w:val="14"/>
              </w:rPr>
            </w:pPr>
            <w:r w:rsidRPr="007032F5">
              <w:rPr>
                <w:sz w:val="18"/>
                <w:szCs w:val="14"/>
              </w:rPr>
              <w:t>2</w:t>
            </w:r>
          </w:p>
        </w:tc>
        <w:tc>
          <w:tcPr>
            <w:tcW w:w="1063" w:type="dxa"/>
          </w:tcPr>
          <w:p w14:paraId="5AFB2776" w14:textId="15AE55AD" w:rsidR="00B02873" w:rsidRPr="007032F5" w:rsidRDefault="00B02873" w:rsidP="004303D3">
            <w:pPr>
              <w:pStyle w:val="TablebodyleftFinancialsTables"/>
              <w:jc w:val="right"/>
              <w:rPr>
                <w:b/>
                <w:bCs/>
                <w:sz w:val="18"/>
                <w:szCs w:val="14"/>
              </w:rPr>
            </w:pPr>
            <w:r w:rsidRPr="007032F5">
              <w:rPr>
                <w:b/>
                <w:bCs/>
                <w:sz w:val="18"/>
                <w:szCs w:val="14"/>
              </w:rPr>
              <w:t>6</w:t>
            </w:r>
          </w:p>
        </w:tc>
        <w:tc>
          <w:tcPr>
            <w:tcW w:w="1063" w:type="dxa"/>
          </w:tcPr>
          <w:p w14:paraId="7025CC81" w14:textId="77777777" w:rsidR="00B02873" w:rsidRPr="007032F5" w:rsidRDefault="00B02873" w:rsidP="004303D3">
            <w:pPr>
              <w:pStyle w:val="TablebodyleftFinancialsTables"/>
              <w:jc w:val="right"/>
              <w:rPr>
                <w:sz w:val="18"/>
                <w:szCs w:val="14"/>
              </w:rPr>
            </w:pPr>
            <w:r w:rsidRPr="007032F5">
              <w:rPr>
                <w:sz w:val="18"/>
                <w:szCs w:val="14"/>
              </w:rPr>
              <w:t>6</w:t>
            </w:r>
          </w:p>
        </w:tc>
        <w:tc>
          <w:tcPr>
            <w:tcW w:w="1063" w:type="dxa"/>
          </w:tcPr>
          <w:p w14:paraId="75236D9E" w14:textId="5C435F23" w:rsidR="00B02873" w:rsidRPr="007032F5" w:rsidRDefault="00B02873" w:rsidP="004303D3">
            <w:pPr>
              <w:pStyle w:val="TablebodyleftFinancialsTables"/>
              <w:jc w:val="right"/>
              <w:rPr>
                <w:b/>
                <w:bCs/>
                <w:sz w:val="18"/>
                <w:szCs w:val="14"/>
              </w:rPr>
            </w:pPr>
            <w:r w:rsidRPr="007032F5">
              <w:rPr>
                <w:b/>
                <w:bCs/>
                <w:sz w:val="18"/>
                <w:szCs w:val="14"/>
              </w:rPr>
              <w:t>3</w:t>
            </w:r>
          </w:p>
        </w:tc>
        <w:tc>
          <w:tcPr>
            <w:tcW w:w="1063" w:type="dxa"/>
          </w:tcPr>
          <w:p w14:paraId="6B3130DF" w14:textId="77777777" w:rsidR="00B02873" w:rsidRPr="007032F5" w:rsidRDefault="00B02873" w:rsidP="004303D3">
            <w:pPr>
              <w:pStyle w:val="TablebodyleftFinancialsTables"/>
              <w:jc w:val="right"/>
              <w:rPr>
                <w:sz w:val="18"/>
                <w:szCs w:val="14"/>
              </w:rPr>
            </w:pPr>
            <w:r w:rsidRPr="007032F5">
              <w:rPr>
                <w:sz w:val="18"/>
                <w:szCs w:val="14"/>
              </w:rPr>
              <w:t>2</w:t>
            </w:r>
          </w:p>
        </w:tc>
      </w:tr>
      <w:tr w:rsidR="00B02873" w:rsidRPr="007032F5" w14:paraId="58448EDE" w14:textId="77777777" w:rsidTr="007032F5">
        <w:tc>
          <w:tcPr>
            <w:tcW w:w="3256" w:type="dxa"/>
          </w:tcPr>
          <w:p w14:paraId="23C99971" w14:textId="77777777" w:rsidR="00B02873" w:rsidRPr="007032F5" w:rsidRDefault="00B02873" w:rsidP="004303D3">
            <w:pPr>
              <w:pStyle w:val="TablebodyleftFinancialsTables"/>
              <w:rPr>
                <w:sz w:val="18"/>
                <w:szCs w:val="14"/>
              </w:rPr>
            </w:pPr>
            <w:r w:rsidRPr="007032F5">
              <w:rPr>
                <w:sz w:val="18"/>
                <w:szCs w:val="14"/>
              </w:rPr>
              <w:t>Non-financial physical assets classified as held for sale</w:t>
            </w:r>
          </w:p>
        </w:tc>
        <w:tc>
          <w:tcPr>
            <w:tcW w:w="1063" w:type="dxa"/>
          </w:tcPr>
          <w:p w14:paraId="08105B92" w14:textId="77777777" w:rsidR="00B02873" w:rsidRPr="007032F5" w:rsidRDefault="00B02873" w:rsidP="004303D3">
            <w:pPr>
              <w:pStyle w:val="TablebodyleftFinancialsTables"/>
              <w:jc w:val="right"/>
              <w:rPr>
                <w:b/>
                <w:bCs/>
                <w:sz w:val="18"/>
                <w:szCs w:val="14"/>
              </w:rPr>
            </w:pPr>
            <w:r w:rsidRPr="007032F5">
              <w:rPr>
                <w:b/>
                <w:bCs/>
                <w:sz w:val="18"/>
                <w:szCs w:val="14"/>
              </w:rPr>
              <w:t>43</w:t>
            </w:r>
          </w:p>
        </w:tc>
        <w:tc>
          <w:tcPr>
            <w:tcW w:w="1063" w:type="dxa"/>
          </w:tcPr>
          <w:p w14:paraId="7695A982" w14:textId="77777777" w:rsidR="00B02873" w:rsidRPr="007032F5" w:rsidRDefault="00B02873" w:rsidP="004303D3">
            <w:pPr>
              <w:pStyle w:val="TablebodyleftFinancialsTables"/>
              <w:jc w:val="right"/>
              <w:rPr>
                <w:sz w:val="18"/>
                <w:szCs w:val="14"/>
              </w:rPr>
            </w:pPr>
            <w:r w:rsidRPr="007032F5">
              <w:rPr>
                <w:sz w:val="18"/>
                <w:szCs w:val="14"/>
              </w:rPr>
              <w:t>48</w:t>
            </w:r>
          </w:p>
        </w:tc>
        <w:tc>
          <w:tcPr>
            <w:tcW w:w="1063" w:type="dxa"/>
          </w:tcPr>
          <w:p w14:paraId="6694C647" w14:textId="77777777" w:rsidR="00B02873" w:rsidRPr="007032F5" w:rsidRDefault="00B02873" w:rsidP="004303D3">
            <w:pPr>
              <w:pStyle w:val="TablebodyleftFinancialsTables"/>
              <w:jc w:val="right"/>
              <w:rPr>
                <w:b/>
                <w:bCs/>
                <w:sz w:val="18"/>
                <w:szCs w:val="14"/>
              </w:rPr>
            </w:pPr>
            <w:r w:rsidRPr="007032F5">
              <w:rPr>
                <w:b/>
                <w:bCs/>
                <w:sz w:val="18"/>
                <w:szCs w:val="14"/>
              </w:rPr>
              <w:t>139</w:t>
            </w:r>
          </w:p>
        </w:tc>
        <w:tc>
          <w:tcPr>
            <w:tcW w:w="1063" w:type="dxa"/>
          </w:tcPr>
          <w:p w14:paraId="74877AEA" w14:textId="1FA5B542" w:rsidR="00B02873" w:rsidRPr="007032F5" w:rsidRDefault="00B02873" w:rsidP="004303D3">
            <w:pPr>
              <w:pStyle w:val="TablebodyleftFinancialsTables"/>
              <w:jc w:val="right"/>
              <w:rPr>
                <w:sz w:val="18"/>
                <w:szCs w:val="14"/>
              </w:rPr>
            </w:pPr>
            <w:r w:rsidRPr="007032F5">
              <w:rPr>
                <w:sz w:val="18"/>
                <w:szCs w:val="14"/>
              </w:rPr>
              <w:t>115</w:t>
            </w:r>
          </w:p>
        </w:tc>
        <w:tc>
          <w:tcPr>
            <w:tcW w:w="1063" w:type="dxa"/>
          </w:tcPr>
          <w:p w14:paraId="0C835D25" w14:textId="77777777" w:rsidR="00B02873" w:rsidRPr="007032F5" w:rsidRDefault="00B02873" w:rsidP="004303D3">
            <w:pPr>
              <w:pStyle w:val="TablebodyleftFinancialsTables"/>
              <w:jc w:val="right"/>
              <w:rPr>
                <w:b/>
                <w:bCs/>
                <w:sz w:val="18"/>
                <w:szCs w:val="14"/>
              </w:rPr>
            </w:pPr>
            <w:r w:rsidRPr="007032F5">
              <w:rPr>
                <w:b/>
                <w:bCs/>
                <w:sz w:val="18"/>
                <w:szCs w:val="14"/>
              </w:rPr>
              <w:t>69</w:t>
            </w:r>
          </w:p>
        </w:tc>
        <w:tc>
          <w:tcPr>
            <w:tcW w:w="1063" w:type="dxa"/>
          </w:tcPr>
          <w:p w14:paraId="26990AEB" w14:textId="77777777" w:rsidR="00B02873" w:rsidRPr="007032F5" w:rsidRDefault="00B02873" w:rsidP="004303D3">
            <w:pPr>
              <w:pStyle w:val="TablebodyleftFinancialsTables"/>
              <w:jc w:val="right"/>
              <w:rPr>
                <w:sz w:val="18"/>
                <w:szCs w:val="14"/>
              </w:rPr>
            </w:pPr>
            <w:r w:rsidRPr="007032F5">
              <w:rPr>
                <w:sz w:val="18"/>
                <w:szCs w:val="14"/>
              </w:rPr>
              <w:t>34</w:t>
            </w:r>
          </w:p>
        </w:tc>
      </w:tr>
      <w:tr w:rsidR="00B02873" w:rsidRPr="007032F5" w14:paraId="183BAD71" w14:textId="77777777" w:rsidTr="007032F5">
        <w:tc>
          <w:tcPr>
            <w:tcW w:w="3256" w:type="dxa"/>
          </w:tcPr>
          <w:p w14:paraId="5929CF03" w14:textId="77777777" w:rsidR="00B02873" w:rsidRPr="007032F5" w:rsidRDefault="00B02873" w:rsidP="004303D3">
            <w:pPr>
              <w:pStyle w:val="TablebodyleftFinancialsTables"/>
              <w:rPr>
                <w:sz w:val="18"/>
                <w:szCs w:val="14"/>
              </w:rPr>
            </w:pPr>
            <w:r w:rsidRPr="007032F5">
              <w:rPr>
                <w:sz w:val="18"/>
                <w:szCs w:val="14"/>
              </w:rPr>
              <w:t>Property, plant and equipment</w:t>
            </w:r>
          </w:p>
        </w:tc>
        <w:tc>
          <w:tcPr>
            <w:tcW w:w="1063" w:type="dxa"/>
          </w:tcPr>
          <w:p w14:paraId="33F7834D" w14:textId="77777777" w:rsidR="00B02873" w:rsidRPr="007032F5" w:rsidRDefault="00B02873" w:rsidP="004303D3">
            <w:pPr>
              <w:pStyle w:val="TablebodyleftFinancialsTables"/>
              <w:jc w:val="right"/>
              <w:rPr>
                <w:b/>
                <w:bCs/>
                <w:sz w:val="18"/>
                <w:szCs w:val="14"/>
              </w:rPr>
            </w:pPr>
            <w:r w:rsidRPr="007032F5">
              <w:rPr>
                <w:b/>
                <w:bCs/>
                <w:sz w:val="18"/>
                <w:szCs w:val="14"/>
              </w:rPr>
              <w:t>5,695</w:t>
            </w:r>
          </w:p>
        </w:tc>
        <w:tc>
          <w:tcPr>
            <w:tcW w:w="1063" w:type="dxa"/>
          </w:tcPr>
          <w:p w14:paraId="3974F950" w14:textId="77777777" w:rsidR="00B02873" w:rsidRPr="007032F5" w:rsidRDefault="00B02873" w:rsidP="004303D3">
            <w:pPr>
              <w:pStyle w:val="TablebodyleftFinancialsTables"/>
              <w:jc w:val="right"/>
              <w:rPr>
                <w:sz w:val="18"/>
                <w:szCs w:val="14"/>
              </w:rPr>
            </w:pPr>
            <w:r w:rsidRPr="007032F5">
              <w:rPr>
                <w:sz w:val="18"/>
                <w:szCs w:val="14"/>
              </w:rPr>
              <w:t>7,450</w:t>
            </w:r>
          </w:p>
        </w:tc>
        <w:tc>
          <w:tcPr>
            <w:tcW w:w="1063" w:type="dxa"/>
          </w:tcPr>
          <w:p w14:paraId="578D51D2" w14:textId="77777777" w:rsidR="00B02873" w:rsidRPr="007032F5" w:rsidRDefault="00B02873" w:rsidP="004303D3">
            <w:pPr>
              <w:pStyle w:val="TablebodyleftFinancialsTables"/>
              <w:jc w:val="right"/>
              <w:rPr>
                <w:b/>
                <w:bCs/>
                <w:sz w:val="18"/>
                <w:szCs w:val="14"/>
              </w:rPr>
            </w:pPr>
            <w:r w:rsidRPr="007032F5">
              <w:rPr>
                <w:b/>
                <w:bCs/>
                <w:sz w:val="18"/>
                <w:szCs w:val="14"/>
              </w:rPr>
              <w:t>18,839</w:t>
            </w:r>
          </w:p>
        </w:tc>
        <w:tc>
          <w:tcPr>
            <w:tcW w:w="1063" w:type="dxa"/>
          </w:tcPr>
          <w:p w14:paraId="6388C45F" w14:textId="77777777" w:rsidR="00B02873" w:rsidRPr="007032F5" w:rsidRDefault="00B02873" w:rsidP="004303D3">
            <w:pPr>
              <w:pStyle w:val="TablebodyleftFinancialsTables"/>
              <w:jc w:val="right"/>
              <w:rPr>
                <w:sz w:val="18"/>
                <w:szCs w:val="14"/>
              </w:rPr>
            </w:pPr>
            <w:r w:rsidRPr="007032F5">
              <w:rPr>
                <w:sz w:val="18"/>
                <w:szCs w:val="14"/>
              </w:rPr>
              <w:t>18,468</w:t>
            </w:r>
          </w:p>
        </w:tc>
        <w:tc>
          <w:tcPr>
            <w:tcW w:w="1063" w:type="dxa"/>
          </w:tcPr>
          <w:p w14:paraId="10E25D9C" w14:textId="545CA573" w:rsidR="00B02873" w:rsidRPr="007032F5" w:rsidRDefault="00B02873" w:rsidP="004303D3">
            <w:pPr>
              <w:pStyle w:val="TablebodyleftFinancialsTables"/>
              <w:jc w:val="right"/>
              <w:rPr>
                <w:b/>
                <w:bCs/>
                <w:sz w:val="18"/>
                <w:szCs w:val="14"/>
              </w:rPr>
            </w:pPr>
            <w:r w:rsidRPr="007032F5">
              <w:rPr>
                <w:b/>
                <w:bCs/>
                <w:sz w:val="18"/>
                <w:szCs w:val="14"/>
              </w:rPr>
              <w:t>9,287</w:t>
            </w:r>
            <w:r w:rsidR="00012C04" w:rsidRPr="007032F5">
              <w:rPr>
                <w:b/>
                <w:bCs/>
                <w:sz w:val="18"/>
                <w:szCs w:val="14"/>
              </w:rPr>
              <w:t xml:space="preserve"> </w:t>
            </w:r>
          </w:p>
        </w:tc>
        <w:tc>
          <w:tcPr>
            <w:tcW w:w="1063" w:type="dxa"/>
          </w:tcPr>
          <w:p w14:paraId="572DEF21" w14:textId="77777777" w:rsidR="00B02873" w:rsidRPr="007032F5" w:rsidRDefault="00B02873" w:rsidP="004303D3">
            <w:pPr>
              <w:pStyle w:val="TablebodyleftFinancialsTables"/>
              <w:jc w:val="right"/>
              <w:rPr>
                <w:sz w:val="18"/>
                <w:szCs w:val="14"/>
              </w:rPr>
            </w:pPr>
            <w:r w:rsidRPr="007032F5">
              <w:rPr>
                <w:sz w:val="18"/>
                <w:szCs w:val="14"/>
              </w:rPr>
              <w:t>5,544</w:t>
            </w:r>
          </w:p>
        </w:tc>
      </w:tr>
      <w:tr w:rsidR="00B02873" w:rsidRPr="007032F5" w14:paraId="6C03A954" w14:textId="77777777" w:rsidTr="007032F5">
        <w:tc>
          <w:tcPr>
            <w:tcW w:w="3256" w:type="dxa"/>
          </w:tcPr>
          <w:p w14:paraId="44798378" w14:textId="77777777" w:rsidR="00B02873" w:rsidRPr="007032F5" w:rsidRDefault="00B02873" w:rsidP="004303D3">
            <w:pPr>
              <w:pStyle w:val="TablebodyleftFinancialsTables"/>
              <w:rPr>
                <w:sz w:val="18"/>
                <w:szCs w:val="14"/>
              </w:rPr>
            </w:pPr>
            <w:r w:rsidRPr="007032F5">
              <w:rPr>
                <w:sz w:val="18"/>
                <w:szCs w:val="14"/>
              </w:rPr>
              <w:t>Intangible assets</w:t>
            </w:r>
          </w:p>
        </w:tc>
        <w:tc>
          <w:tcPr>
            <w:tcW w:w="1063" w:type="dxa"/>
          </w:tcPr>
          <w:p w14:paraId="04B56E03" w14:textId="77777777" w:rsidR="00B02873" w:rsidRPr="007032F5" w:rsidRDefault="00B02873" w:rsidP="004303D3">
            <w:pPr>
              <w:pStyle w:val="TablebodyleftFinancialsTables"/>
              <w:jc w:val="right"/>
              <w:rPr>
                <w:b/>
                <w:bCs/>
                <w:sz w:val="18"/>
                <w:szCs w:val="14"/>
              </w:rPr>
            </w:pPr>
            <w:r w:rsidRPr="007032F5">
              <w:rPr>
                <w:b/>
                <w:bCs/>
                <w:sz w:val="18"/>
                <w:szCs w:val="14"/>
              </w:rPr>
              <w:t>–</w:t>
            </w:r>
          </w:p>
        </w:tc>
        <w:tc>
          <w:tcPr>
            <w:tcW w:w="1063" w:type="dxa"/>
          </w:tcPr>
          <w:p w14:paraId="3F4A0D48" w14:textId="77777777" w:rsidR="00B02873" w:rsidRPr="007032F5" w:rsidRDefault="00B02873" w:rsidP="004303D3">
            <w:pPr>
              <w:pStyle w:val="TablebodyleftFinancialsTables"/>
              <w:jc w:val="right"/>
              <w:rPr>
                <w:sz w:val="18"/>
                <w:szCs w:val="14"/>
              </w:rPr>
            </w:pPr>
            <w:r w:rsidRPr="007032F5">
              <w:rPr>
                <w:sz w:val="18"/>
                <w:szCs w:val="14"/>
              </w:rPr>
              <w:t>–</w:t>
            </w:r>
          </w:p>
        </w:tc>
        <w:tc>
          <w:tcPr>
            <w:tcW w:w="1063" w:type="dxa"/>
          </w:tcPr>
          <w:p w14:paraId="16EC52BC" w14:textId="77777777" w:rsidR="00B02873" w:rsidRPr="007032F5" w:rsidRDefault="00B02873" w:rsidP="004303D3">
            <w:pPr>
              <w:pStyle w:val="TablebodyleftFinancialsTables"/>
              <w:jc w:val="right"/>
              <w:rPr>
                <w:b/>
                <w:bCs/>
                <w:sz w:val="18"/>
                <w:szCs w:val="14"/>
              </w:rPr>
            </w:pPr>
            <w:r w:rsidRPr="007032F5">
              <w:rPr>
                <w:b/>
                <w:bCs/>
                <w:sz w:val="18"/>
                <w:szCs w:val="14"/>
              </w:rPr>
              <w:t>–</w:t>
            </w:r>
          </w:p>
        </w:tc>
        <w:tc>
          <w:tcPr>
            <w:tcW w:w="1063" w:type="dxa"/>
          </w:tcPr>
          <w:p w14:paraId="032EA608" w14:textId="77777777" w:rsidR="00B02873" w:rsidRPr="007032F5" w:rsidRDefault="00B02873" w:rsidP="004303D3">
            <w:pPr>
              <w:pStyle w:val="TablebodyleftFinancialsTables"/>
              <w:jc w:val="right"/>
              <w:rPr>
                <w:sz w:val="18"/>
                <w:szCs w:val="14"/>
              </w:rPr>
            </w:pPr>
            <w:r w:rsidRPr="007032F5">
              <w:rPr>
                <w:sz w:val="18"/>
                <w:szCs w:val="14"/>
              </w:rPr>
              <w:t>–</w:t>
            </w:r>
          </w:p>
        </w:tc>
        <w:tc>
          <w:tcPr>
            <w:tcW w:w="1063" w:type="dxa"/>
          </w:tcPr>
          <w:p w14:paraId="2FA42912" w14:textId="77777777" w:rsidR="00B02873" w:rsidRPr="007032F5" w:rsidRDefault="00B02873" w:rsidP="004303D3">
            <w:pPr>
              <w:pStyle w:val="TablebodyleftFinancialsTables"/>
              <w:jc w:val="right"/>
              <w:rPr>
                <w:b/>
                <w:bCs/>
                <w:sz w:val="18"/>
                <w:szCs w:val="14"/>
              </w:rPr>
            </w:pPr>
            <w:r w:rsidRPr="007032F5">
              <w:rPr>
                <w:b/>
                <w:bCs/>
                <w:sz w:val="18"/>
                <w:szCs w:val="14"/>
              </w:rPr>
              <w:t>–</w:t>
            </w:r>
          </w:p>
        </w:tc>
        <w:tc>
          <w:tcPr>
            <w:tcW w:w="1063" w:type="dxa"/>
          </w:tcPr>
          <w:p w14:paraId="47C858CE" w14:textId="77777777" w:rsidR="00B02873" w:rsidRPr="007032F5" w:rsidRDefault="00B02873" w:rsidP="004303D3">
            <w:pPr>
              <w:pStyle w:val="TablebodyleftFinancialsTables"/>
              <w:jc w:val="right"/>
              <w:rPr>
                <w:sz w:val="18"/>
                <w:szCs w:val="14"/>
              </w:rPr>
            </w:pPr>
            <w:r w:rsidRPr="007032F5">
              <w:rPr>
                <w:sz w:val="18"/>
                <w:szCs w:val="14"/>
              </w:rPr>
              <w:t>–</w:t>
            </w:r>
          </w:p>
        </w:tc>
      </w:tr>
      <w:tr w:rsidR="00B02873" w:rsidRPr="007032F5" w14:paraId="0503E10B" w14:textId="77777777" w:rsidTr="007032F5">
        <w:tc>
          <w:tcPr>
            <w:tcW w:w="3256" w:type="dxa"/>
          </w:tcPr>
          <w:p w14:paraId="6383FB31" w14:textId="77777777" w:rsidR="00B02873" w:rsidRPr="007032F5" w:rsidRDefault="00B02873" w:rsidP="004303D3">
            <w:pPr>
              <w:pStyle w:val="TablebodyleftFinancialsTables"/>
              <w:rPr>
                <w:sz w:val="18"/>
                <w:szCs w:val="14"/>
              </w:rPr>
            </w:pPr>
            <w:r w:rsidRPr="007032F5">
              <w:rPr>
                <w:sz w:val="18"/>
                <w:szCs w:val="14"/>
              </w:rPr>
              <w:t>Prepayments</w:t>
            </w:r>
          </w:p>
        </w:tc>
        <w:tc>
          <w:tcPr>
            <w:tcW w:w="1063" w:type="dxa"/>
          </w:tcPr>
          <w:p w14:paraId="5948746B" w14:textId="77777777" w:rsidR="00B02873" w:rsidRPr="007032F5" w:rsidRDefault="00B02873" w:rsidP="004303D3">
            <w:pPr>
              <w:pStyle w:val="TablebodyleftFinancialsTables"/>
              <w:jc w:val="right"/>
              <w:rPr>
                <w:b/>
                <w:bCs/>
                <w:sz w:val="18"/>
                <w:szCs w:val="14"/>
              </w:rPr>
            </w:pPr>
            <w:r w:rsidRPr="007032F5">
              <w:rPr>
                <w:b/>
                <w:bCs/>
                <w:sz w:val="18"/>
                <w:szCs w:val="14"/>
              </w:rPr>
              <w:t>118</w:t>
            </w:r>
          </w:p>
        </w:tc>
        <w:tc>
          <w:tcPr>
            <w:tcW w:w="1063" w:type="dxa"/>
          </w:tcPr>
          <w:p w14:paraId="4BA7231C" w14:textId="77777777" w:rsidR="00B02873" w:rsidRPr="007032F5" w:rsidRDefault="00B02873" w:rsidP="004303D3">
            <w:pPr>
              <w:pStyle w:val="TablebodyleftFinancialsTables"/>
              <w:jc w:val="right"/>
              <w:rPr>
                <w:sz w:val="18"/>
                <w:szCs w:val="14"/>
              </w:rPr>
            </w:pPr>
            <w:r w:rsidRPr="007032F5">
              <w:rPr>
                <w:sz w:val="18"/>
                <w:szCs w:val="14"/>
              </w:rPr>
              <w:t>207</w:t>
            </w:r>
          </w:p>
        </w:tc>
        <w:tc>
          <w:tcPr>
            <w:tcW w:w="1063" w:type="dxa"/>
          </w:tcPr>
          <w:p w14:paraId="65FAB4C6" w14:textId="77777777" w:rsidR="00B02873" w:rsidRPr="007032F5" w:rsidRDefault="00B02873" w:rsidP="004303D3">
            <w:pPr>
              <w:pStyle w:val="TablebodyleftFinancialsTables"/>
              <w:jc w:val="right"/>
              <w:rPr>
                <w:b/>
                <w:bCs/>
                <w:sz w:val="18"/>
                <w:szCs w:val="14"/>
              </w:rPr>
            </w:pPr>
            <w:r w:rsidRPr="007032F5">
              <w:rPr>
                <w:b/>
                <w:bCs/>
                <w:sz w:val="18"/>
                <w:szCs w:val="14"/>
              </w:rPr>
              <w:t>60,193</w:t>
            </w:r>
          </w:p>
        </w:tc>
        <w:tc>
          <w:tcPr>
            <w:tcW w:w="1063" w:type="dxa"/>
          </w:tcPr>
          <w:p w14:paraId="5DF5F455" w14:textId="77777777" w:rsidR="00B02873" w:rsidRPr="007032F5" w:rsidRDefault="00B02873" w:rsidP="004303D3">
            <w:pPr>
              <w:pStyle w:val="TablebodyleftFinancialsTables"/>
              <w:jc w:val="right"/>
              <w:rPr>
                <w:sz w:val="18"/>
                <w:szCs w:val="14"/>
              </w:rPr>
            </w:pPr>
            <w:r w:rsidRPr="007032F5">
              <w:rPr>
                <w:sz w:val="18"/>
                <w:szCs w:val="14"/>
              </w:rPr>
              <w:t>37,818</w:t>
            </w:r>
          </w:p>
        </w:tc>
        <w:tc>
          <w:tcPr>
            <w:tcW w:w="1063" w:type="dxa"/>
          </w:tcPr>
          <w:p w14:paraId="3FAB4A01" w14:textId="77777777" w:rsidR="00B02873" w:rsidRPr="007032F5" w:rsidRDefault="00B02873" w:rsidP="004303D3">
            <w:pPr>
              <w:pStyle w:val="TablebodyleftFinancialsTables"/>
              <w:jc w:val="right"/>
              <w:rPr>
                <w:b/>
                <w:bCs/>
                <w:sz w:val="18"/>
                <w:szCs w:val="14"/>
              </w:rPr>
            </w:pPr>
            <w:r w:rsidRPr="007032F5">
              <w:rPr>
                <w:b/>
                <w:bCs/>
                <w:sz w:val="18"/>
                <w:szCs w:val="14"/>
              </w:rPr>
              <w:t>215</w:t>
            </w:r>
          </w:p>
        </w:tc>
        <w:tc>
          <w:tcPr>
            <w:tcW w:w="1063" w:type="dxa"/>
          </w:tcPr>
          <w:p w14:paraId="2942DC23" w14:textId="77777777" w:rsidR="00B02873" w:rsidRPr="007032F5" w:rsidRDefault="00B02873" w:rsidP="004303D3">
            <w:pPr>
              <w:pStyle w:val="TablebodyleftFinancialsTables"/>
              <w:jc w:val="right"/>
              <w:rPr>
                <w:sz w:val="18"/>
                <w:szCs w:val="14"/>
              </w:rPr>
            </w:pPr>
            <w:r w:rsidRPr="007032F5">
              <w:rPr>
                <w:sz w:val="18"/>
                <w:szCs w:val="14"/>
              </w:rPr>
              <w:t>154</w:t>
            </w:r>
          </w:p>
        </w:tc>
      </w:tr>
      <w:tr w:rsidR="00B02873" w:rsidRPr="007032F5" w14:paraId="1AE6AD18" w14:textId="77777777" w:rsidTr="007032F5">
        <w:tc>
          <w:tcPr>
            <w:tcW w:w="3256" w:type="dxa"/>
          </w:tcPr>
          <w:p w14:paraId="00DD0A90" w14:textId="77777777" w:rsidR="00B02873" w:rsidRPr="007032F5" w:rsidRDefault="00B02873" w:rsidP="004303D3">
            <w:pPr>
              <w:pStyle w:val="TablebodyleftFinancialsTables"/>
              <w:rPr>
                <w:b/>
                <w:bCs/>
                <w:sz w:val="18"/>
                <w:szCs w:val="14"/>
              </w:rPr>
            </w:pPr>
            <w:r w:rsidRPr="007032F5">
              <w:rPr>
                <w:b/>
                <w:bCs/>
                <w:sz w:val="18"/>
                <w:szCs w:val="14"/>
              </w:rPr>
              <w:t>Total non-financial assets</w:t>
            </w:r>
          </w:p>
        </w:tc>
        <w:tc>
          <w:tcPr>
            <w:tcW w:w="1063" w:type="dxa"/>
          </w:tcPr>
          <w:p w14:paraId="3AEAE631" w14:textId="77777777" w:rsidR="00B02873" w:rsidRPr="007032F5" w:rsidRDefault="00B02873" w:rsidP="004303D3">
            <w:pPr>
              <w:pStyle w:val="TablebodyleftFinancialsTables"/>
              <w:jc w:val="right"/>
              <w:rPr>
                <w:b/>
                <w:bCs/>
                <w:sz w:val="18"/>
                <w:szCs w:val="14"/>
              </w:rPr>
            </w:pPr>
            <w:r w:rsidRPr="007032F5">
              <w:rPr>
                <w:b/>
                <w:bCs/>
                <w:sz w:val="18"/>
                <w:szCs w:val="14"/>
              </w:rPr>
              <w:t>5,858</w:t>
            </w:r>
          </w:p>
        </w:tc>
        <w:tc>
          <w:tcPr>
            <w:tcW w:w="1063" w:type="dxa"/>
          </w:tcPr>
          <w:p w14:paraId="608DC243" w14:textId="77777777" w:rsidR="00B02873" w:rsidRPr="007032F5" w:rsidRDefault="00B02873" w:rsidP="004303D3">
            <w:pPr>
              <w:pStyle w:val="TablebodyleftFinancialsTables"/>
              <w:jc w:val="right"/>
              <w:rPr>
                <w:sz w:val="18"/>
                <w:szCs w:val="14"/>
              </w:rPr>
            </w:pPr>
            <w:r w:rsidRPr="007032F5">
              <w:rPr>
                <w:sz w:val="18"/>
                <w:szCs w:val="14"/>
              </w:rPr>
              <w:t>7,707</w:t>
            </w:r>
          </w:p>
        </w:tc>
        <w:tc>
          <w:tcPr>
            <w:tcW w:w="1063" w:type="dxa"/>
          </w:tcPr>
          <w:p w14:paraId="39626F30" w14:textId="77777777" w:rsidR="00B02873" w:rsidRPr="007032F5" w:rsidRDefault="00B02873" w:rsidP="004303D3">
            <w:pPr>
              <w:pStyle w:val="TablebodyleftFinancialsTables"/>
              <w:jc w:val="right"/>
              <w:rPr>
                <w:b/>
                <w:bCs/>
                <w:sz w:val="18"/>
                <w:szCs w:val="14"/>
              </w:rPr>
            </w:pPr>
            <w:r w:rsidRPr="007032F5">
              <w:rPr>
                <w:b/>
                <w:bCs/>
                <w:sz w:val="18"/>
                <w:szCs w:val="14"/>
              </w:rPr>
              <w:t>79,177</w:t>
            </w:r>
          </w:p>
        </w:tc>
        <w:tc>
          <w:tcPr>
            <w:tcW w:w="1063" w:type="dxa"/>
          </w:tcPr>
          <w:p w14:paraId="10505F07" w14:textId="77777777" w:rsidR="00B02873" w:rsidRPr="007032F5" w:rsidRDefault="00B02873" w:rsidP="004303D3">
            <w:pPr>
              <w:pStyle w:val="TablebodyleftFinancialsTables"/>
              <w:jc w:val="right"/>
              <w:rPr>
                <w:sz w:val="18"/>
                <w:szCs w:val="14"/>
              </w:rPr>
            </w:pPr>
            <w:r w:rsidRPr="007032F5">
              <w:rPr>
                <w:sz w:val="18"/>
                <w:szCs w:val="14"/>
              </w:rPr>
              <w:t>56,407</w:t>
            </w:r>
          </w:p>
        </w:tc>
        <w:tc>
          <w:tcPr>
            <w:tcW w:w="1063" w:type="dxa"/>
          </w:tcPr>
          <w:p w14:paraId="765A5A2B" w14:textId="77777777" w:rsidR="00B02873" w:rsidRPr="007032F5" w:rsidRDefault="00B02873" w:rsidP="004303D3">
            <w:pPr>
              <w:pStyle w:val="TablebodyleftFinancialsTables"/>
              <w:jc w:val="right"/>
              <w:rPr>
                <w:b/>
                <w:bCs/>
                <w:sz w:val="18"/>
                <w:szCs w:val="14"/>
              </w:rPr>
            </w:pPr>
            <w:r w:rsidRPr="007032F5">
              <w:rPr>
                <w:b/>
                <w:bCs/>
                <w:sz w:val="18"/>
                <w:szCs w:val="14"/>
              </w:rPr>
              <w:t>9,574</w:t>
            </w:r>
          </w:p>
        </w:tc>
        <w:tc>
          <w:tcPr>
            <w:tcW w:w="1063" w:type="dxa"/>
          </w:tcPr>
          <w:p w14:paraId="03422088" w14:textId="77777777" w:rsidR="00B02873" w:rsidRPr="007032F5" w:rsidRDefault="00B02873" w:rsidP="004303D3">
            <w:pPr>
              <w:pStyle w:val="TablebodyleftFinancialsTables"/>
              <w:jc w:val="right"/>
              <w:rPr>
                <w:sz w:val="18"/>
                <w:szCs w:val="14"/>
              </w:rPr>
            </w:pPr>
            <w:r w:rsidRPr="007032F5">
              <w:rPr>
                <w:sz w:val="18"/>
                <w:szCs w:val="14"/>
              </w:rPr>
              <w:t>5,734</w:t>
            </w:r>
          </w:p>
        </w:tc>
      </w:tr>
      <w:tr w:rsidR="00B02873" w:rsidRPr="007032F5" w14:paraId="7D10EB67" w14:textId="77777777" w:rsidTr="007032F5">
        <w:tc>
          <w:tcPr>
            <w:tcW w:w="3256" w:type="dxa"/>
          </w:tcPr>
          <w:p w14:paraId="1E8B213A" w14:textId="77777777" w:rsidR="00B02873" w:rsidRPr="007032F5" w:rsidRDefault="00B02873" w:rsidP="004303D3">
            <w:pPr>
              <w:pStyle w:val="TablebodyleftFinancialsTables"/>
              <w:rPr>
                <w:b/>
                <w:bCs/>
                <w:sz w:val="18"/>
                <w:szCs w:val="14"/>
              </w:rPr>
            </w:pPr>
            <w:r w:rsidRPr="007032F5">
              <w:rPr>
                <w:b/>
                <w:bCs/>
                <w:sz w:val="18"/>
                <w:szCs w:val="14"/>
              </w:rPr>
              <w:t>Total assets</w:t>
            </w:r>
          </w:p>
        </w:tc>
        <w:tc>
          <w:tcPr>
            <w:tcW w:w="1063" w:type="dxa"/>
          </w:tcPr>
          <w:p w14:paraId="5A867EB1" w14:textId="553AD995" w:rsidR="00B02873" w:rsidRPr="007032F5" w:rsidRDefault="00B02873" w:rsidP="004303D3">
            <w:pPr>
              <w:pStyle w:val="TablebodyleftFinancialsTables"/>
              <w:jc w:val="right"/>
              <w:rPr>
                <w:b/>
                <w:bCs/>
                <w:sz w:val="18"/>
                <w:szCs w:val="14"/>
              </w:rPr>
            </w:pPr>
            <w:r w:rsidRPr="007032F5">
              <w:rPr>
                <w:b/>
                <w:bCs/>
                <w:sz w:val="18"/>
                <w:szCs w:val="14"/>
              </w:rPr>
              <w:t xml:space="preserve">32,610 </w:t>
            </w:r>
          </w:p>
        </w:tc>
        <w:tc>
          <w:tcPr>
            <w:tcW w:w="1063" w:type="dxa"/>
          </w:tcPr>
          <w:p w14:paraId="74B73738" w14:textId="77777777" w:rsidR="00B02873" w:rsidRPr="007032F5" w:rsidRDefault="00B02873" w:rsidP="004303D3">
            <w:pPr>
              <w:pStyle w:val="TablebodyleftFinancialsTables"/>
              <w:jc w:val="right"/>
              <w:rPr>
                <w:sz w:val="18"/>
                <w:szCs w:val="14"/>
              </w:rPr>
            </w:pPr>
            <w:r w:rsidRPr="007032F5">
              <w:rPr>
                <w:sz w:val="18"/>
                <w:szCs w:val="14"/>
              </w:rPr>
              <w:t>35,746</w:t>
            </w:r>
          </w:p>
        </w:tc>
        <w:tc>
          <w:tcPr>
            <w:tcW w:w="1063" w:type="dxa"/>
          </w:tcPr>
          <w:p w14:paraId="33CE6744" w14:textId="7A553A32" w:rsidR="00B02873" w:rsidRPr="007032F5" w:rsidRDefault="00B02873" w:rsidP="004303D3">
            <w:pPr>
              <w:pStyle w:val="TablebodyleftFinancialsTables"/>
              <w:jc w:val="right"/>
              <w:rPr>
                <w:b/>
                <w:bCs/>
                <w:sz w:val="18"/>
                <w:szCs w:val="14"/>
              </w:rPr>
            </w:pPr>
            <w:r w:rsidRPr="007032F5">
              <w:rPr>
                <w:b/>
                <w:bCs/>
                <w:sz w:val="18"/>
                <w:szCs w:val="14"/>
              </w:rPr>
              <w:t>260,665</w:t>
            </w:r>
            <w:r w:rsidR="00012C04" w:rsidRPr="007032F5">
              <w:rPr>
                <w:b/>
                <w:bCs/>
                <w:sz w:val="18"/>
                <w:szCs w:val="14"/>
              </w:rPr>
              <w:t xml:space="preserve"> </w:t>
            </w:r>
            <w:r w:rsidRPr="007032F5">
              <w:rPr>
                <w:b/>
                <w:bCs/>
                <w:sz w:val="18"/>
                <w:szCs w:val="14"/>
              </w:rPr>
              <w:t xml:space="preserve"> </w:t>
            </w:r>
          </w:p>
        </w:tc>
        <w:tc>
          <w:tcPr>
            <w:tcW w:w="1063" w:type="dxa"/>
          </w:tcPr>
          <w:p w14:paraId="105C625D" w14:textId="77777777" w:rsidR="00B02873" w:rsidRPr="007032F5" w:rsidRDefault="00B02873" w:rsidP="004303D3">
            <w:pPr>
              <w:pStyle w:val="TablebodyleftFinancialsTables"/>
              <w:jc w:val="right"/>
              <w:rPr>
                <w:sz w:val="18"/>
                <w:szCs w:val="14"/>
              </w:rPr>
            </w:pPr>
            <w:r w:rsidRPr="007032F5">
              <w:rPr>
                <w:sz w:val="18"/>
                <w:szCs w:val="14"/>
              </w:rPr>
              <w:t>258,412</w:t>
            </w:r>
          </w:p>
        </w:tc>
        <w:tc>
          <w:tcPr>
            <w:tcW w:w="1063" w:type="dxa"/>
          </w:tcPr>
          <w:p w14:paraId="43364847" w14:textId="37400309" w:rsidR="00B02873" w:rsidRPr="007032F5" w:rsidRDefault="00012C04" w:rsidP="004303D3">
            <w:pPr>
              <w:pStyle w:val="TablebodyleftFinancialsTables"/>
              <w:jc w:val="right"/>
              <w:rPr>
                <w:b/>
                <w:bCs/>
                <w:sz w:val="18"/>
                <w:szCs w:val="14"/>
              </w:rPr>
            </w:pPr>
            <w:r w:rsidRPr="007032F5">
              <w:rPr>
                <w:b/>
                <w:bCs/>
                <w:sz w:val="18"/>
                <w:szCs w:val="14"/>
              </w:rPr>
              <w:t xml:space="preserve"> </w:t>
            </w:r>
            <w:r w:rsidR="00B02873" w:rsidRPr="007032F5">
              <w:rPr>
                <w:b/>
                <w:bCs/>
                <w:sz w:val="18"/>
                <w:szCs w:val="14"/>
              </w:rPr>
              <w:t xml:space="preserve">142,578 </w:t>
            </w:r>
          </w:p>
        </w:tc>
        <w:tc>
          <w:tcPr>
            <w:tcW w:w="1063" w:type="dxa"/>
          </w:tcPr>
          <w:p w14:paraId="147F9201" w14:textId="77777777" w:rsidR="00B02873" w:rsidRPr="007032F5" w:rsidRDefault="00B02873" w:rsidP="004303D3">
            <w:pPr>
              <w:pStyle w:val="TablebodyleftFinancialsTables"/>
              <w:jc w:val="right"/>
              <w:rPr>
                <w:sz w:val="18"/>
                <w:szCs w:val="14"/>
              </w:rPr>
            </w:pPr>
            <w:r w:rsidRPr="007032F5">
              <w:rPr>
                <w:sz w:val="18"/>
                <w:szCs w:val="14"/>
              </w:rPr>
              <w:t>(79,823)</w:t>
            </w:r>
          </w:p>
        </w:tc>
      </w:tr>
      <w:tr w:rsidR="004303D3" w:rsidRPr="007032F5" w14:paraId="327DF2B7" w14:textId="77777777" w:rsidTr="007032F5">
        <w:tc>
          <w:tcPr>
            <w:tcW w:w="3256" w:type="dxa"/>
          </w:tcPr>
          <w:p w14:paraId="77D8E420" w14:textId="77777777" w:rsidR="004303D3" w:rsidRPr="007032F5" w:rsidRDefault="004303D3" w:rsidP="004303D3">
            <w:pPr>
              <w:pStyle w:val="TablebodyleftFinancialsTables"/>
              <w:rPr>
                <w:b/>
                <w:bCs/>
                <w:sz w:val="18"/>
                <w:szCs w:val="14"/>
              </w:rPr>
            </w:pPr>
            <w:r w:rsidRPr="007032F5">
              <w:rPr>
                <w:b/>
                <w:bCs/>
                <w:sz w:val="18"/>
                <w:szCs w:val="14"/>
              </w:rPr>
              <w:t>Liabilities</w:t>
            </w:r>
          </w:p>
        </w:tc>
        <w:tc>
          <w:tcPr>
            <w:tcW w:w="1063" w:type="dxa"/>
          </w:tcPr>
          <w:p w14:paraId="56B49D0E" w14:textId="77777777" w:rsidR="004303D3" w:rsidRPr="007032F5" w:rsidRDefault="004303D3" w:rsidP="004303D3">
            <w:pPr>
              <w:pStyle w:val="TablebodyleftFinancialsTables"/>
              <w:jc w:val="right"/>
              <w:rPr>
                <w:b/>
                <w:bCs/>
                <w:sz w:val="18"/>
                <w:szCs w:val="14"/>
              </w:rPr>
            </w:pPr>
          </w:p>
        </w:tc>
        <w:tc>
          <w:tcPr>
            <w:tcW w:w="1063" w:type="dxa"/>
          </w:tcPr>
          <w:p w14:paraId="69F9FE9F" w14:textId="77777777" w:rsidR="004303D3" w:rsidRPr="007032F5" w:rsidRDefault="004303D3" w:rsidP="004303D3">
            <w:pPr>
              <w:pStyle w:val="TablebodyleftFinancialsTables"/>
              <w:jc w:val="right"/>
              <w:rPr>
                <w:sz w:val="18"/>
                <w:szCs w:val="14"/>
              </w:rPr>
            </w:pPr>
          </w:p>
        </w:tc>
        <w:tc>
          <w:tcPr>
            <w:tcW w:w="1063" w:type="dxa"/>
          </w:tcPr>
          <w:p w14:paraId="36AA001D" w14:textId="77777777" w:rsidR="004303D3" w:rsidRPr="007032F5" w:rsidRDefault="004303D3" w:rsidP="004303D3">
            <w:pPr>
              <w:pStyle w:val="TablebodyleftFinancialsTables"/>
              <w:jc w:val="right"/>
              <w:rPr>
                <w:b/>
                <w:bCs/>
                <w:sz w:val="18"/>
                <w:szCs w:val="14"/>
              </w:rPr>
            </w:pPr>
          </w:p>
        </w:tc>
        <w:tc>
          <w:tcPr>
            <w:tcW w:w="1063" w:type="dxa"/>
          </w:tcPr>
          <w:p w14:paraId="32D33705" w14:textId="77777777" w:rsidR="004303D3" w:rsidRPr="007032F5" w:rsidRDefault="004303D3" w:rsidP="004303D3">
            <w:pPr>
              <w:pStyle w:val="TablebodyleftFinancialsTables"/>
              <w:jc w:val="right"/>
              <w:rPr>
                <w:sz w:val="18"/>
                <w:szCs w:val="14"/>
              </w:rPr>
            </w:pPr>
          </w:p>
        </w:tc>
        <w:tc>
          <w:tcPr>
            <w:tcW w:w="1063" w:type="dxa"/>
          </w:tcPr>
          <w:p w14:paraId="6BF29687" w14:textId="77777777" w:rsidR="004303D3" w:rsidRPr="007032F5" w:rsidRDefault="004303D3" w:rsidP="004303D3">
            <w:pPr>
              <w:pStyle w:val="TablebodyleftFinancialsTables"/>
              <w:jc w:val="right"/>
              <w:rPr>
                <w:b/>
                <w:bCs/>
                <w:sz w:val="18"/>
                <w:szCs w:val="14"/>
              </w:rPr>
            </w:pPr>
          </w:p>
        </w:tc>
        <w:tc>
          <w:tcPr>
            <w:tcW w:w="1063" w:type="dxa"/>
          </w:tcPr>
          <w:p w14:paraId="0D23D3B8" w14:textId="60FD7E08" w:rsidR="004303D3" w:rsidRPr="007032F5" w:rsidRDefault="004303D3" w:rsidP="004303D3">
            <w:pPr>
              <w:pStyle w:val="TablebodyleftFinancialsTables"/>
              <w:jc w:val="right"/>
              <w:rPr>
                <w:sz w:val="18"/>
                <w:szCs w:val="14"/>
              </w:rPr>
            </w:pPr>
          </w:p>
        </w:tc>
      </w:tr>
      <w:tr w:rsidR="00B02873" w:rsidRPr="007032F5" w14:paraId="391CD670" w14:textId="77777777" w:rsidTr="007032F5">
        <w:tc>
          <w:tcPr>
            <w:tcW w:w="3256" w:type="dxa"/>
          </w:tcPr>
          <w:p w14:paraId="24D52B27" w14:textId="77777777" w:rsidR="00B02873" w:rsidRPr="007032F5" w:rsidRDefault="00B02873" w:rsidP="004303D3">
            <w:pPr>
              <w:pStyle w:val="TablebodyleftFinancialsTables"/>
              <w:rPr>
                <w:sz w:val="18"/>
                <w:szCs w:val="14"/>
              </w:rPr>
            </w:pPr>
            <w:r w:rsidRPr="007032F5">
              <w:rPr>
                <w:sz w:val="18"/>
                <w:szCs w:val="14"/>
              </w:rPr>
              <w:t>Payables</w:t>
            </w:r>
          </w:p>
        </w:tc>
        <w:tc>
          <w:tcPr>
            <w:tcW w:w="1063" w:type="dxa"/>
          </w:tcPr>
          <w:p w14:paraId="20E53463" w14:textId="77777777" w:rsidR="00B02873" w:rsidRPr="007032F5" w:rsidRDefault="00B02873" w:rsidP="004303D3">
            <w:pPr>
              <w:pStyle w:val="TablebodyleftFinancialsTables"/>
              <w:jc w:val="right"/>
              <w:rPr>
                <w:b/>
                <w:bCs/>
                <w:sz w:val="18"/>
                <w:szCs w:val="14"/>
              </w:rPr>
            </w:pPr>
            <w:r w:rsidRPr="007032F5">
              <w:rPr>
                <w:b/>
                <w:bCs/>
                <w:sz w:val="18"/>
                <w:szCs w:val="14"/>
              </w:rPr>
              <w:t>6,302</w:t>
            </w:r>
          </w:p>
        </w:tc>
        <w:tc>
          <w:tcPr>
            <w:tcW w:w="1063" w:type="dxa"/>
          </w:tcPr>
          <w:p w14:paraId="14177CCE" w14:textId="77777777" w:rsidR="00B02873" w:rsidRPr="007032F5" w:rsidRDefault="00B02873" w:rsidP="004303D3">
            <w:pPr>
              <w:pStyle w:val="TablebodyleftFinancialsTables"/>
              <w:jc w:val="right"/>
              <w:rPr>
                <w:sz w:val="18"/>
                <w:szCs w:val="14"/>
              </w:rPr>
            </w:pPr>
            <w:r w:rsidRPr="007032F5">
              <w:rPr>
                <w:sz w:val="18"/>
                <w:szCs w:val="14"/>
              </w:rPr>
              <w:t>4,307</w:t>
            </w:r>
          </w:p>
        </w:tc>
        <w:tc>
          <w:tcPr>
            <w:tcW w:w="1063" w:type="dxa"/>
          </w:tcPr>
          <w:p w14:paraId="641B9F35" w14:textId="77777777" w:rsidR="00B02873" w:rsidRPr="007032F5" w:rsidRDefault="00B02873" w:rsidP="004303D3">
            <w:pPr>
              <w:pStyle w:val="TablebodyleftFinancialsTables"/>
              <w:jc w:val="right"/>
              <w:rPr>
                <w:b/>
                <w:bCs/>
                <w:sz w:val="18"/>
                <w:szCs w:val="14"/>
              </w:rPr>
            </w:pPr>
            <w:r w:rsidRPr="007032F5">
              <w:rPr>
                <w:b/>
                <w:bCs/>
                <w:sz w:val="18"/>
                <w:szCs w:val="14"/>
              </w:rPr>
              <w:t>37,351</w:t>
            </w:r>
          </w:p>
        </w:tc>
        <w:tc>
          <w:tcPr>
            <w:tcW w:w="1063" w:type="dxa"/>
          </w:tcPr>
          <w:p w14:paraId="12B7B32F" w14:textId="77777777" w:rsidR="00B02873" w:rsidRPr="007032F5" w:rsidRDefault="00B02873" w:rsidP="004303D3">
            <w:pPr>
              <w:pStyle w:val="TablebodyleftFinancialsTables"/>
              <w:jc w:val="right"/>
              <w:rPr>
                <w:sz w:val="18"/>
                <w:szCs w:val="14"/>
              </w:rPr>
            </w:pPr>
            <w:r w:rsidRPr="007032F5">
              <w:rPr>
                <w:sz w:val="18"/>
                <w:szCs w:val="14"/>
              </w:rPr>
              <w:t>24,043</w:t>
            </w:r>
          </w:p>
        </w:tc>
        <w:tc>
          <w:tcPr>
            <w:tcW w:w="1063" w:type="dxa"/>
          </w:tcPr>
          <w:p w14:paraId="2C61E060" w14:textId="77777777" w:rsidR="00B02873" w:rsidRPr="007032F5" w:rsidRDefault="00B02873" w:rsidP="004303D3">
            <w:pPr>
              <w:pStyle w:val="TablebodyleftFinancialsTables"/>
              <w:jc w:val="right"/>
              <w:rPr>
                <w:b/>
                <w:bCs/>
                <w:sz w:val="18"/>
                <w:szCs w:val="14"/>
              </w:rPr>
            </w:pPr>
            <w:r w:rsidRPr="007032F5">
              <w:rPr>
                <w:b/>
                <w:bCs/>
                <w:sz w:val="18"/>
                <w:szCs w:val="14"/>
              </w:rPr>
              <w:t>7,447</w:t>
            </w:r>
          </w:p>
        </w:tc>
        <w:tc>
          <w:tcPr>
            <w:tcW w:w="1063" w:type="dxa"/>
          </w:tcPr>
          <w:p w14:paraId="41E99599" w14:textId="77777777" w:rsidR="00B02873" w:rsidRPr="007032F5" w:rsidRDefault="00B02873" w:rsidP="004303D3">
            <w:pPr>
              <w:pStyle w:val="TablebodyleftFinancialsTables"/>
              <w:jc w:val="right"/>
              <w:rPr>
                <w:sz w:val="18"/>
                <w:szCs w:val="14"/>
              </w:rPr>
            </w:pPr>
            <w:r w:rsidRPr="007032F5">
              <w:rPr>
                <w:sz w:val="18"/>
                <w:szCs w:val="14"/>
              </w:rPr>
              <w:t>3,674</w:t>
            </w:r>
          </w:p>
        </w:tc>
      </w:tr>
      <w:tr w:rsidR="00B02873" w:rsidRPr="007032F5" w14:paraId="47CB80BD" w14:textId="77777777" w:rsidTr="007032F5">
        <w:tc>
          <w:tcPr>
            <w:tcW w:w="3256" w:type="dxa"/>
          </w:tcPr>
          <w:p w14:paraId="225B67F2" w14:textId="77777777" w:rsidR="00B02873" w:rsidRPr="007032F5" w:rsidRDefault="00B02873" w:rsidP="004303D3">
            <w:pPr>
              <w:pStyle w:val="TablebodyleftFinancialsTables"/>
              <w:rPr>
                <w:sz w:val="18"/>
                <w:szCs w:val="14"/>
              </w:rPr>
            </w:pPr>
            <w:r w:rsidRPr="007032F5">
              <w:rPr>
                <w:sz w:val="18"/>
                <w:szCs w:val="14"/>
              </w:rPr>
              <w:t>Other financial liabilities</w:t>
            </w:r>
          </w:p>
        </w:tc>
        <w:tc>
          <w:tcPr>
            <w:tcW w:w="1063" w:type="dxa"/>
          </w:tcPr>
          <w:p w14:paraId="27AF7FEA" w14:textId="77777777" w:rsidR="00B02873" w:rsidRPr="007032F5" w:rsidRDefault="00B02873" w:rsidP="004303D3">
            <w:pPr>
              <w:pStyle w:val="TablebodyleftFinancialsTables"/>
              <w:jc w:val="right"/>
              <w:rPr>
                <w:b/>
                <w:bCs/>
                <w:sz w:val="18"/>
                <w:szCs w:val="14"/>
              </w:rPr>
            </w:pPr>
            <w:r w:rsidRPr="007032F5">
              <w:rPr>
                <w:b/>
                <w:bCs/>
                <w:sz w:val="18"/>
                <w:szCs w:val="14"/>
              </w:rPr>
              <w:t>–</w:t>
            </w:r>
          </w:p>
        </w:tc>
        <w:tc>
          <w:tcPr>
            <w:tcW w:w="1063" w:type="dxa"/>
          </w:tcPr>
          <w:p w14:paraId="12CAF50C" w14:textId="77777777" w:rsidR="00B02873" w:rsidRPr="007032F5" w:rsidRDefault="00B02873" w:rsidP="004303D3">
            <w:pPr>
              <w:pStyle w:val="TablebodyleftFinancialsTables"/>
              <w:jc w:val="right"/>
              <w:rPr>
                <w:sz w:val="18"/>
                <w:szCs w:val="14"/>
              </w:rPr>
            </w:pPr>
            <w:r w:rsidRPr="007032F5">
              <w:rPr>
                <w:sz w:val="18"/>
                <w:szCs w:val="14"/>
              </w:rPr>
              <w:t>–</w:t>
            </w:r>
          </w:p>
        </w:tc>
        <w:tc>
          <w:tcPr>
            <w:tcW w:w="1063" w:type="dxa"/>
          </w:tcPr>
          <w:p w14:paraId="0F279A50" w14:textId="77777777" w:rsidR="00B02873" w:rsidRPr="007032F5" w:rsidRDefault="00B02873" w:rsidP="004303D3">
            <w:pPr>
              <w:pStyle w:val="TablebodyleftFinancialsTables"/>
              <w:jc w:val="right"/>
              <w:rPr>
                <w:b/>
                <w:bCs/>
                <w:sz w:val="18"/>
                <w:szCs w:val="14"/>
              </w:rPr>
            </w:pPr>
            <w:r w:rsidRPr="007032F5">
              <w:rPr>
                <w:b/>
                <w:bCs/>
                <w:sz w:val="18"/>
                <w:szCs w:val="14"/>
              </w:rPr>
              <w:t>–</w:t>
            </w:r>
          </w:p>
        </w:tc>
        <w:tc>
          <w:tcPr>
            <w:tcW w:w="1063" w:type="dxa"/>
          </w:tcPr>
          <w:p w14:paraId="7D57B771" w14:textId="77777777" w:rsidR="00B02873" w:rsidRPr="007032F5" w:rsidRDefault="00B02873" w:rsidP="004303D3">
            <w:pPr>
              <w:pStyle w:val="TablebodyleftFinancialsTables"/>
              <w:jc w:val="right"/>
              <w:rPr>
                <w:sz w:val="18"/>
                <w:szCs w:val="14"/>
              </w:rPr>
            </w:pPr>
            <w:r w:rsidRPr="007032F5">
              <w:rPr>
                <w:sz w:val="18"/>
                <w:szCs w:val="14"/>
              </w:rPr>
              <w:t>–</w:t>
            </w:r>
          </w:p>
        </w:tc>
        <w:tc>
          <w:tcPr>
            <w:tcW w:w="1063" w:type="dxa"/>
          </w:tcPr>
          <w:p w14:paraId="292555B9" w14:textId="77777777" w:rsidR="00B02873" w:rsidRPr="007032F5" w:rsidRDefault="00B02873" w:rsidP="004303D3">
            <w:pPr>
              <w:pStyle w:val="TablebodyleftFinancialsTables"/>
              <w:jc w:val="right"/>
              <w:rPr>
                <w:b/>
                <w:bCs/>
                <w:sz w:val="18"/>
                <w:szCs w:val="14"/>
              </w:rPr>
            </w:pPr>
            <w:r w:rsidRPr="007032F5">
              <w:rPr>
                <w:b/>
                <w:bCs/>
                <w:sz w:val="18"/>
                <w:szCs w:val="14"/>
              </w:rPr>
              <w:t>–</w:t>
            </w:r>
          </w:p>
        </w:tc>
        <w:tc>
          <w:tcPr>
            <w:tcW w:w="1063" w:type="dxa"/>
          </w:tcPr>
          <w:p w14:paraId="185674CC" w14:textId="77777777" w:rsidR="00B02873" w:rsidRPr="007032F5" w:rsidRDefault="00B02873" w:rsidP="004303D3">
            <w:pPr>
              <w:pStyle w:val="TablebodyleftFinancialsTables"/>
              <w:jc w:val="right"/>
              <w:rPr>
                <w:sz w:val="18"/>
                <w:szCs w:val="14"/>
              </w:rPr>
            </w:pPr>
            <w:r w:rsidRPr="007032F5">
              <w:rPr>
                <w:sz w:val="18"/>
                <w:szCs w:val="14"/>
              </w:rPr>
              <w:t>–</w:t>
            </w:r>
          </w:p>
        </w:tc>
      </w:tr>
      <w:tr w:rsidR="00B02873" w:rsidRPr="007032F5" w14:paraId="7D5BDB07" w14:textId="77777777" w:rsidTr="007032F5">
        <w:tc>
          <w:tcPr>
            <w:tcW w:w="3256" w:type="dxa"/>
          </w:tcPr>
          <w:p w14:paraId="6516A933" w14:textId="77777777" w:rsidR="00B02873" w:rsidRPr="007032F5" w:rsidRDefault="00B02873" w:rsidP="004303D3">
            <w:pPr>
              <w:pStyle w:val="TablebodyleftFinancialsTables"/>
              <w:rPr>
                <w:sz w:val="18"/>
                <w:szCs w:val="14"/>
              </w:rPr>
            </w:pPr>
            <w:r w:rsidRPr="007032F5">
              <w:rPr>
                <w:sz w:val="18"/>
                <w:szCs w:val="14"/>
              </w:rPr>
              <w:t>Borrowings</w:t>
            </w:r>
          </w:p>
        </w:tc>
        <w:tc>
          <w:tcPr>
            <w:tcW w:w="1063" w:type="dxa"/>
          </w:tcPr>
          <w:p w14:paraId="316601DD" w14:textId="77777777" w:rsidR="00B02873" w:rsidRPr="007032F5" w:rsidRDefault="00B02873" w:rsidP="004303D3">
            <w:pPr>
              <w:pStyle w:val="TablebodyleftFinancialsTables"/>
              <w:jc w:val="right"/>
              <w:rPr>
                <w:b/>
                <w:bCs/>
                <w:sz w:val="18"/>
                <w:szCs w:val="14"/>
              </w:rPr>
            </w:pPr>
            <w:r w:rsidRPr="007032F5">
              <w:rPr>
                <w:b/>
                <w:bCs/>
                <w:sz w:val="18"/>
                <w:szCs w:val="14"/>
              </w:rPr>
              <w:t>345</w:t>
            </w:r>
          </w:p>
        </w:tc>
        <w:tc>
          <w:tcPr>
            <w:tcW w:w="1063" w:type="dxa"/>
          </w:tcPr>
          <w:p w14:paraId="31624A30" w14:textId="77777777" w:rsidR="00B02873" w:rsidRPr="007032F5" w:rsidRDefault="00B02873" w:rsidP="004303D3">
            <w:pPr>
              <w:pStyle w:val="TablebodyleftFinancialsTables"/>
              <w:jc w:val="right"/>
              <w:rPr>
                <w:sz w:val="18"/>
                <w:szCs w:val="14"/>
              </w:rPr>
            </w:pPr>
            <w:r w:rsidRPr="007032F5">
              <w:rPr>
                <w:sz w:val="18"/>
                <w:szCs w:val="14"/>
              </w:rPr>
              <w:t>391</w:t>
            </w:r>
          </w:p>
        </w:tc>
        <w:tc>
          <w:tcPr>
            <w:tcW w:w="1063" w:type="dxa"/>
          </w:tcPr>
          <w:p w14:paraId="22C4D12E" w14:textId="77777777" w:rsidR="00B02873" w:rsidRPr="007032F5" w:rsidRDefault="00B02873" w:rsidP="004303D3">
            <w:pPr>
              <w:pStyle w:val="TablebodyleftFinancialsTables"/>
              <w:jc w:val="right"/>
              <w:rPr>
                <w:b/>
                <w:bCs/>
                <w:sz w:val="18"/>
                <w:szCs w:val="14"/>
              </w:rPr>
            </w:pPr>
            <w:r w:rsidRPr="007032F5">
              <w:rPr>
                <w:b/>
                <w:bCs/>
                <w:sz w:val="18"/>
                <w:szCs w:val="14"/>
              </w:rPr>
              <w:t>1,044</w:t>
            </w:r>
          </w:p>
        </w:tc>
        <w:tc>
          <w:tcPr>
            <w:tcW w:w="1063" w:type="dxa"/>
          </w:tcPr>
          <w:p w14:paraId="73999EF6" w14:textId="77777777" w:rsidR="00B02873" w:rsidRPr="007032F5" w:rsidRDefault="00B02873" w:rsidP="004303D3">
            <w:pPr>
              <w:pStyle w:val="TablebodyleftFinancialsTables"/>
              <w:jc w:val="right"/>
              <w:rPr>
                <w:sz w:val="18"/>
                <w:szCs w:val="14"/>
              </w:rPr>
            </w:pPr>
            <w:r w:rsidRPr="007032F5">
              <w:rPr>
                <w:sz w:val="18"/>
                <w:szCs w:val="14"/>
              </w:rPr>
              <w:t>881</w:t>
            </w:r>
          </w:p>
        </w:tc>
        <w:tc>
          <w:tcPr>
            <w:tcW w:w="1063" w:type="dxa"/>
          </w:tcPr>
          <w:p w14:paraId="6774279F" w14:textId="77777777" w:rsidR="00B02873" w:rsidRPr="007032F5" w:rsidRDefault="00B02873" w:rsidP="004303D3">
            <w:pPr>
              <w:pStyle w:val="TablebodyleftFinancialsTables"/>
              <w:jc w:val="right"/>
              <w:rPr>
                <w:b/>
                <w:bCs/>
                <w:sz w:val="18"/>
                <w:szCs w:val="14"/>
              </w:rPr>
            </w:pPr>
            <w:r w:rsidRPr="007032F5">
              <w:rPr>
                <w:b/>
                <w:bCs/>
                <w:sz w:val="18"/>
                <w:szCs w:val="14"/>
              </w:rPr>
              <w:t>454</w:t>
            </w:r>
          </w:p>
        </w:tc>
        <w:tc>
          <w:tcPr>
            <w:tcW w:w="1063" w:type="dxa"/>
          </w:tcPr>
          <w:p w14:paraId="6E20DA19" w14:textId="77777777" w:rsidR="00B02873" w:rsidRPr="007032F5" w:rsidRDefault="00B02873" w:rsidP="004303D3">
            <w:pPr>
              <w:pStyle w:val="TablebodyleftFinancialsTables"/>
              <w:jc w:val="right"/>
              <w:rPr>
                <w:sz w:val="18"/>
                <w:szCs w:val="14"/>
              </w:rPr>
            </w:pPr>
            <w:r w:rsidRPr="007032F5">
              <w:rPr>
                <w:sz w:val="18"/>
                <w:szCs w:val="14"/>
              </w:rPr>
              <w:t>261</w:t>
            </w:r>
          </w:p>
        </w:tc>
      </w:tr>
      <w:tr w:rsidR="00B02873" w:rsidRPr="007032F5" w14:paraId="628DEBA8" w14:textId="77777777" w:rsidTr="007032F5">
        <w:tc>
          <w:tcPr>
            <w:tcW w:w="3256" w:type="dxa"/>
          </w:tcPr>
          <w:p w14:paraId="47EE95C0" w14:textId="77777777" w:rsidR="00B02873" w:rsidRPr="007032F5" w:rsidRDefault="00B02873" w:rsidP="004303D3">
            <w:pPr>
              <w:pStyle w:val="TablebodyleftFinancialsTables"/>
              <w:rPr>
                <w:sz w:val="18"/>
                <w:szCs w:val="14"/>
              </w:rPr>
            </w:pPr>
            <w:r w:rsidRPr="007032F5">
              <w:rPr>
                <w:sz w:val="18"/>
                <w:szCs w:val="14"/>
              </w:rPr>
              <w:t>Provisions</w:t>
            </w:r>
          </w:p>
        </w:tc>
        <w:tc>
          <w:tcPr>
            <w:tcW w:w="1063" w:type="dxa"/>
          </w:tcPr>
          <w:p w14:paraId="26F3CA7B" w14:textId="77777777" w:rsidR="00B02873" w:rsidRPr="007032F5" w:rsidRDefault="00B02873" w:rsidP="004303D3">
            <w:pPr>
              <w:pStyle w:val="TablebodyleftFinancialsTables"/>
              <w:jc w:val="right"/>
              <w:rPr>
                <w:b/>
                <w:bCs/>
                <w:sz w:val="18"/>
                <w:szCs w:val="14"/>
              </w:rPr>
            </w:pPr>
            <w:r w:rsidRPr="007032F5">
              <w:rPr>
                <w:b/>
                <w:bCs/>
                <w:sz w:val="18"/>
                <w:szCs w:val="14"/>
              </w:rPr>
              <w:t>4,040</w:t>
            </w:r>
          </w:p>
        </w:tc>
        <w:tc>
          <w:tcPr>
            <w:tcW w:w="1063" w:type="dxa"/>
          </w:tcPr>
          <w:p w14:paraId="71ABA174" w14:textId="77777777" w:rsidR="00B02873" w:rsidRPr="007032F5" w:rsidRDefault="00B02873" w:rsidP="004303D3">
            <w:pPr>
              <w:pStyle w:val="TablebodyleftFinancialsTables"/>
              <w:jc w:val="right"/>
              <w:rPr>
                <w:sz w:val="18"/>
                <w:szCs w:val="14"/>
              </w:rPr>
            </w:pPr>
            <w:r w:rsidRPr="007032F5">
              <w:rPr>
                <w:sz w:val="18"/>
                <w:szCs w:val="14"/>
              </w:rPr>
              <w:t>3,996</w:t>
            </w:r>
          </w:p>
        </w:tc>
        <w:tc>
          <w:tcPr>
            <w:tcW w:w="1063" w:type="dxa"/>
          </w:tcPr>
          <w:p w14:paraId="605DD800" w14:textId="77777777" w:rsidR="00B02873" w:rsidRPr="007032F5" w:rsidRDefault="00B02873" w:rsidP="004303D3">
            <w:pPr>
              <w:pStyle w:val="TablebodyleftFinancialsTables"/>
              <w:jc w:val="right"/>
              <w:rPr>
                <w:b/>
                <w:bCs/>
                <w:sz w:val="18"/>
                <w:szCs w:val="14"/>
              </w:rPr>
            </w:pPr>
            <w:r w:rsidRPr="007032F5">
              <w:rPr>
                <w:b/>
                <w:bCs/>
                <w:sz w:val="18"/>
                <w:szCs w:val="14"/>
              </w:rPr>
              <w:t>33,593</w:t>
            </w:r>
          </w:p>
        </w:tc>
        <w:tc>
          <w:tcPr>
            <w:tcW w:w="1063" w:type="dxa"/>
          </w:tcPr>
          <w:p w14:paraId="0B345165" w14:textId="77777777" w:rsidR="00B02873" w:rsidRPr="007032F5" w:rsidRDefault="00B02873" w:rsidP="004303D3">
            <w:pPr>
              <w:pStyle w:val="TablebodyleftFinancialsTables"/>
              <w:jc w:val="right"/>
              <w:rPr>
                <w:sz w:val="18"/>
                <w:szCs w:val="14"/>
              </w:rPr>
            </w:pPr>
            <w:r w:rsidRPr="007032F5">
              <w:rPr>
                <w:sz w:val="18"/>
                <w:szCs w:val="14"/>
              </w:rPr>
              <w:t>40,066</w:t>
            </w:r>
          </w:p>
        </w:tc>
        <w:tc>
          <w:tcPr>
            <w:tcW w:w="1063" w:type="dxa"/>
          </w:tcPr>
          <w:p w14:paraId="7123378D" w14:textId="77777777" w:rsidR="00B02873" w:rsidRPr="007032F5" w:rsidRDefault="00B02873" w:rsidP="004303D3">
            <w:pPr>
              <w:pStyle w:val="TablebodyleftFinancialsTables"/>
              <w:jc w:val="right"/>
              <w:rPr>
                <w:b/>
                <w:bCs/>
                <w:sz w:val="18"/>
                <w:szCs w:val="14"/>
              </w:rPr>
            </w:pPr>
            <w:r w:rsidRPr="007032F5">
              <w:rPr>
                <w:b/>
                <w:bCs/>
                <w:sz w:val="18"/>
                <w:szCs w:val="14"/>
              </w:rPr>
              <w:t>2,243</w:t>
            </w:r>
          </w:p>
        </w:tc>
        <w:tc>
          <w:tcPr>
            <w:tcW w:w="1063" w:type="dxa"/>
          </w:tcPr>
          <w:p w14:paraId="6F170E56" w14:textId="77777777" w:rsidR="00B02873" w:rsidRPr="007032F5" w:rsidRDefault="00B02873" w:rsidP="004303D3">
            <w:pPr>
              <w:pStyle w:val="TablebodyleftFinancialsTables"/>
              <w:jc w:val="right"/>
              <w:rPr>
                <w:sz w:val="18"/>
                <w:szCs w:val="14"/>
              </w:rPr>
            </w:pPr>
            <w:r w:rsidRPr="007032F5">
              <w:rPr>
                <w:sz w:val="18"/>
                <w:szCs w:val="14"/>
              </w:rPr>
              <w:t>1,274</w:t>
            </w:r>
          </w:p>
        </w:tc>
      </w:tr>
      <w:tr w:rsidR="00B02873" w:rsidRPr="007032F5" w14:paraId="1385DD22" w14:textId="77777777" w:rsidTr="007032F5">
        <w:tc>
          <w:tcPr>
            <w:tcW w:w="3256" w:type="dxa"/>
          </w:tcPr>
          <w:p w14:paraId="799673F4" w14:textId="77777777" w:rsidR="00B02873" w:rsidRPr="007032F5" w:rsidRDefault="00B02873" w:rsidP="004303D3">
            <w:pPr>
              <w:pStyle w:val="TablebodyleftFinancialsTables"/>
              <w:rPr>
                <w:sz w:val="18"/>
                <w:szCs w:val="14"/>
              </w:rPr>
            </w:pPr>
            <w:r w:rsidRPr="007032F5">
              <w:rPr>
                <w:spacing w:val="-2"/>
                <w:sz w:val="18"/>
                <w:szCs w:val="14"/>
              </w:rPr>
              <w:t>Derivative financial instruments</w:t>
            </w:r>
          </w:p>
        </w:tc>
        <w:tc>
          <w:tcPr>
            <w:tcW w:w="1063" w:type="dxa"/>
          </w:tcPr>
          <w:p w14:paraId="1BEB555F" w14:textId="77777777" w:rsidR="00B02873" w:rsidRPr="007032F5" w:rsidRDefault="00B02873" w:rsidP="004303D3">
            <w:pPr>
              <w:pStyle w:val="TablebodyleftFinancialsTables"/>
              <w:jc w:val="right"/>
              <w:rPr>
                <w:b/>
                <w:bCs/>
                <w:sz w:val="18"/>
                <w:szCs w:val="14"/>
              </w:rPr>
            </w:pPr>
            <w:r w:rsidRPr="007032F5">
              <w:rPr>
                <w:b/>
                <w:bCs/>
                <w:sz w:val="18"/>
                <w:szCs w:val="14"/>
              </w:rPr>
              <w:t>–</w:t>
            </w:r>
          </w:p>
        </w:tc>
        <w:tc>
          <w:tcPr>
            <w:tcW w:w="1063" w:type="dxa"/>
          </w:tcPr>
          <w:p w14:paraId="2E36EF8F" w14:textId="77777777" w:rsidR="00B02873" w:rsidRPr="007032F5" w:rsidRDefault="00B02873" w:rsidP="004303D3">
            <w:pPr>
              <w:pStyle w:val="TablebodyleftFinancialsTables"/>
              <w:jc w:val="right"/>
              <w:rPr>
                <w:sz w:val="18"/>
                <w:szCs w:val="14"/>
              </w:rPr>
            </w:pPr>
            <w:r w:rsidRPr="007032F5">
              <w:rPr>
                <w:sz w:val="18"/>
                <w:szCs w:val="14"/>
              </w:rPr>
              <w:t>–</w:t>
            </w:r>
          </w:p>
        </w:tc>
        <w:tc>
          <w:tcPr>
            <w:tcW w:w="1063" w:type="dxa"/>
          </w:tcPr>
          <w:p w14:paraId="0C9116D2" w14:textId="77777777" w:rsidR="00B02873" w:rsidRPr="007032F5" w:rsidRDefault="00B02873" w:rsidP="004303D3">
            <w:pPr>
              <w:pStyle w:val="TablebodyleftFinancialsTables"/>
              <w:jc w:val="right"/>
              <w:rPr>
                <w:b/>
                <w:bCs/>
                <w:sz w:val="18"/>
                <w:szCs w:val="14"/>
              </w:rPr>
            </w:pPr>
            <w:r w:rsidRPr="007032F5">
              <w:rPr>
                <w:b/>
                <w:bCs/>
                <w:sz w:val="18"/>
                <w:szCs w:val="14"/>
              </w:rPr>
              <w:t>–</w:t>
            </w:r>
          </w:p>
        </w:tc>
        <w:tc>
          <w:tcPr>
            <w:tcW w:w="1063" w:type="dxa"/>
          </w:tcPr>
          <w:p w14:paraId="35252FE9" w14:textId="77777777" w:rsidR="00B02873" w:rsidRPr="007032F5" w:rsidRDefault="00B02873" w:rsidP="004303D3">
            <w:pPr>
              <w:pStyle w:val="TablebodyleftFinancialsTables"/>
              <w:jc w:val="right"/>
              <w:rPr>
                <w:sz w:val="18"/>
                <w:szCs w:val="14"/>
              </w:rPr>
            </w:pPr>
            <w:r w:rsidRPr="007032F5">
              <w:rPr>
                <w:sz w:val="18"/>
                <w:szCs w:val="14"/>
              </w:rPr>
              <w:t>–</w:t>
            </w:r>
          </w:p>
        </w:tc>
        <w:tc>
          <w:tcPr>
            <w:tcW w:w="1063" w:type="dxa"/>
          </w:tcPr>
          <w:p w14:paraId="6EABCB45" w14:textId="77777777" w:rsidR="00B02873" w:rsidRPr="007032F5" w:rsidRDefault="00B02873" w:rsidP="004303D3">
            <w:pPr>
              <w:pStyle w:val="TablebodyleftFinancialsTables"/>
              <w:jc w:val="right"/>
              <w:rPr>
                <w:b/>
                <w:bCs/>
                <w:sz w:val="18"/>
                <w:szCs w:val="14"/>
              </w:rPr>
            </w:pPr>
            <w:r w:rsidRPr="007032F5">
              <w:rPr>
                <w:b/>
                <w:bCs/>
                <w:sz w:val="18"/>
                <w:szCs w:val="14"/>
              </w:rPr>
              <w:t>–</w:t>
            </w:r>
          </w:p>
        </w:tc>
        <w:tc>
          <w:tcPr>
            <w:tcW w:w="1063" w:type="dxa"/>
          </w:tcPr>
          <w:p w14:paraId="4FA1F6CC" w14:textId="77777777" w:rsidR="00B02873" w:rsidRPr="007032F5" w:rsidRDefault="00B02873" w:rsidP="004303D3">
            <w:pPr>
              <w:pStyle w:val="TablebodyleftFinancialsTables"/>
              <w:jc w:val="right"/>
              <w:rPr>
                <w:sz w:val="18"/>
                <w:szCs w:val="14"/>
              </w:rPr>
            </w:pPr>
            <w:r w:rsidRPr="007032F5">
              <w:rPr>
                <w:sz w:val="18"/>
                <w:szCs w:val="14"/>
              </w:rPr>
              <w:t>–</w:t>
            </w:r>
          </w:p>
        </w:tc>
      </w:tr>
      <w:tr w:rsidR="00B02873" w:rsidRPr="007032F5" w14:paraId="16F49A7F" w14:textId="77777777" w:rsidTr="007032F5">
        <w:tc>
          <w:tcPr>
            <w:tcW w:w="3256" w:type="dxa"/>
          </w:tcPr>
          <w:p w14:paraId="11811FD8" w14:textId="77777777" w:rsidR="00B02873" w:rsidRPr="007032F5" w:rsidRDefault="00B02873" w:rsidP="004303D3">
            <w:pPr>
              <w:pStyle w:val="TablebodyleftFinancialsTables"/>
              <w:rPr>
                <w:sz w:val="18"/>
                <w:szCs w:val="14"/>
              </w:rPr>
            </w:pPr>
            <w:r w:rsidRPr="007032F5">
              <w:rPr>
                <w:sz w:val="18"/>
                <w:szCs w:val="14"/>
              </w:rPr>
              <w:t>Other liabilities</w:t>
            </w:r>
          </w:p>
        </w:tc>
        <w:tc>
          <w:tcPr>
            <w:tcW w:w="1063" w:type="dxa"/>
          </w:tcPr>
          <w:p w14:paraId="21AF67AE" w14:textId="77777777" w:rsidR="00B02873" w:rsidRPr="007032F5" w:rsidRDefault="00B02873" w:rsidP="004303D3">
            <w:pPr>
              <w:pStyle w:val="TablebodyleftFinancialsTables"/>
              <w:jc w:val="right"/>
              <w:rPr>
                <w:b/>
                <w:bCs/>
                <w:sz w:val="18"/>
                <w:szCs w:val="14"/>
              </w:rPr>
            </w:pPr>
            <w:r w:rsidRPr="007032F5">
              <w:rPr>
                <w:b/>
                <w:bCs/>
                <w:sz w:val="18"/>
                <w:szCs w:val="14"/>
              </w:rPr>
              <w:t>87</w:t>
            </w:r>
          </w:p>
        </w:tc>
        <w:tc>
          <w:tcPr>
            <w:tcW w:w="1063" w:type="dxa"/>
          </w:tcPr>
          <w:p w14:paraId="61293941" w14:textId="77777777" w:rsidR="00B02873" w:rsidRPr="007032F5" w:rsidRDefault="00B02873" w:rsidP="004303D3">
            <w:pPr>
              <w:pStyle w:val="TablebodyleftFinancialsTables"/>
              <w:jc w:val="right"/>
              <w:rPr>
                <w:sz w:val="18"/>
                <w:szCs w:val="14"/>
              </w:rPr>
            </w:pPr>
            <w:r w:rsidRPr="007032F5">
              <w:rPr>
                <w:sz w:val="18"/>
                <w:szCs w:val="14"/>
              </w:rPr>
              <w:t>246</w:t>
            </w:r>
          </w:p>
        </w:tc>
        <w:tc>
          <w:tcPr>
            <w:tcW w:w="1063" w:type="dxa"/>
          </w:tcPr>
          <w:p w14:paraId="0586518D" w14:textId="77777777" w:rsidR="00B02873" w:rsidRPr="007032F5" w:rsidRDefault="00B02873" w:rsidP="004303D3">
            <w:pPr>
              <w:pStyle w:val="TablebodyleftFinancialsTables"/>
              <w:jc w:val="right"/>
              <w:rPr>
                <w:b/>
                <w:bCs/>
                <w:sz w:val="18"/>
                <w:szCs w:val="14"/>
              </w:rPr>
            </w:pPr>
            <w:r w:rsidRPr="007032F5">
              <w:rPr>
                <w:b/>
                <w:bCs/>
                <w:sz w:val="18"/>
                <w:szCs w:val="14"/>
              </w:rPr>
              <w:t>292</w:t>
            </w:r>
          </w:p>
        </w:tc>
        <w:tc>
          <w:tcPr>
            <w:tcW w:w="1063" w:type="dxa"/>
          </w:tcPr>
          <w:p w14:paraId="0CF34706" w14:textId="77777777" w:rsidR="00B02873" w:rsidRPr="007032F5" w:rsidRDefault="00B02873" w:rsidP="004303D3">
            <w:pPr>
              <w:pStyle w:val="TablebodyleftFinancialsTables"/>
              <w:jc w:val="right"/>
              <w:rPr>
                <w:sz w:val="18"/>
                <w:szCs w:val="14"/>
              </w:rPr>
            </w:pPr>
            <w:r w:rsidRPr="007032F5">
              <w:rPr>
                <w:sz w:val="18"/>
                <w:szCs w:val="14"/>
              </w:rPr>
              <w:t>–</w:t>
            </w:r>
          </w:p>
        </w:tc>
        <w:tc>
          <w:tcPr>
            <w:tcW w:w="1063" w:type="dxa"/>
          </w:tcPr>
          <w:p w14:paraId="6BF85884" w14:textId="77777777" w:rsidR="00B02873" w:rsidRPr="007032F5" w:rsidRDefault="00B02873" w:rsidP="004303D3">
            <w:pPr>
              <w:pStyle w:val="TablebodyleftFinancialsTables"/>
              <w:jc w:val="right"/>
              <w:rPr>
                <w:b/>
                <w:bCs/>
                <w:sz w:val="18"/>
                <w:szCs w:val="14"/>
              </w:rPr>
            </w:pPr>
            <w:r w:rsidRPr="007032F5">
              <w:rPr>
                <w:b/>
                <w:bCs/>
                <w:sz w:val="18"/>
                <w:szCs w:val="14"/>
              </w:rPr>
              <w:t>146</w:t>
            </w:r>
          </w:p>
        </w:tc>
        <w:tc>
          <w:tcPr>
            <w:tcW w:w="1063" w:type="dxa"/>
          </w:tcPr>
          <w:p w14:paraId="3168A7A8" w14:textId="77777777" w:rsidR="00B02873" w:rsidRPr="007032F5" w:rsidRDefault="00B02873" w:rsidP="004303D3">
            <w:pPr>
              <w:pStyle w:val="TablebodyleftFinancialsTables"/>
              <w:jc w:val="right"/>
              <w:rPr>
                <w:sz w:val="18"/>
                <w:szCs w:val="14"/>
              </w:rPr>
            </w:pPr>
            <w:r w:rsidRPr="007032F5">
              <w:rPr>
                <w:sz w:val="18"/>
                <w:szCs w:val="14"/>
              </w:rPr>
              <w:t>176</w:t>
            </w:r>
          </w:p>
        </w:tc>
      </w:tr>
      <w:tr w:rsidR="00B02873" w:rsidRPr="007032F5" w14:paraId="7D9E08F2" w14:textId="77777777" w:rsidTr="007032F5">
        <w:tc>
          <w:tcPr>
            <w:tcW w:w="3256" w:type="dxa"/>
          </w:tcPr>
          <w:p w14:paraId="40D7B209" w14:textId="77777777" w:rsidR="00B02873" w:rsidRPr="007032F5" w:rsidRDefault="00B02873" w:rsidP="004303D3">
            <w:pPr>
              <w:pStyle w:val="TablebodyleftFinancialsTables"/>
              <w:rPr>
                <w:b/>
                <w:bCs/>
                <w:sz w:val="18"/>
                <w:szCs w:val="14"/>
              </w:rPr>
            </w:pPr>
            <w:r w:rsidRPr="007032F5">
              <w:rPr>
                <w:b/>
                <w:bCs/>
                <w:sz w:val="18"/>
                <w:szCs w:val="14"/>
              </w:rPr>
              <w:t>Total liabilities</w:t>
            </w:r>
          </w:p>
        </w:tc>
        <w:tc>
          <w:tcPr>
            <w:tcW w:w="1063" w:type="dxa"/>
          </w:tcPr>
          <w:p w14:paraId="2DD5CA14" w14:textId="77777777" w:rsidR="00B02873" w:rsidRPr="007032F5" w:rsidRDefault="00B02873" w:rsidP="004303D3">
            <w:pPr>
              <w:pStyle w:val="TablebodyleftFinancialsTables"/>
              <w:jc w:val="right"/>
              <w:rPr>
                <w:b/>
                <w:bCs/>
                <w:sz w:val="18"/>
                <w:szCs w:val="14"/>
              </w:rPr>
            </w:pPr>
            <w:r w:rsidRPr="007032F5">
              <w:rPr>
                <w:b/>
                <w:bCs/>
                <w:sz w:val="18"/>
                <w:szCs w:val="14"/>
              </w:rPr>
              <w:t>10,774</w:t>
            </w:r>
          </w:p>
        </w:tc>
        <w:tc>
          <w:tcPr>
            <w:tcW w:w="1063" w:type="dxa"/>
          </w:tcPr>
          <w:p w14:paraId="7DB62DB0" w14:textId="77777777" w:rsidR="00B02873" w:rsidRPr="007032F5" w:rsidRDefault="00B02873" w:rsidP="004303D3">
            <w:pPr>
              <w:pStyle w:val="TablebodyleftFinancialsTables"/>
              <w:jc w:val="right"/>
              <w:rPr>
                <w:sz w:val="18"/>
                <w:szCs w:val="14"/>
              </w:rPr>
            </w:pPr>
            <w:r w:rsidRPr="007032F5">
              <w:rPr>
                <w:sz w:val="18"/>
                <w:szCs w:val="14"/>
              </w:rPr>
              <w:t>8,940</w:t>
            </w:r>
          </w:p>
        </w:tc>
        <w:tc>
          <w:tcPr>
            <w:tcW w:w="1063" w:type="dxa"/>
          </w:tcPr>
          <w:p w14:paraId="5103C3A1" w14:textId="77777777" w:rsidR="00B02873" w:rsidRPr="007032F5" w:rsidRDefault="00B02873" w:rsidP="004303D3">
            <w:pPr>
              <w:pStyle w:val="TablebodyleftFinancialsTables"/>
              <w:jc w:val="right"/>
              <w:rPr>
                <w:b/>
                <w:bCs/>
                <w:sz w:val="18"/>
                <w:szCs w:val="14"/>
              </w:rPr>
            </w:pPr>
            <w:r w:rsidRPr="007032F5">
              <w:rPr>
                <w:b/>
                <w:bCs/>
                <w:sz w:val="18"/>
                <w:szCs w:val="14"/>
              </w:rPr>
              <w:t>72,280</w:t>
            </w:r>
          </w:p>
        </w:tc>
        <w:tc>
          <w:tcPr>
            <w:tcW w:w="1063" w:type="dxa"/>
          </w:tcPr>
          <w:p w14:paraId="1874D9B9" w14:textId="77777777" w:rsidR="00B02873" w:rsidRPr="007032F5" w:rsidRDefault="00B02873" w:rsidP="004303D3">
            <w:pPr>
              <w:pStyle w:val="TablebodyleftFinancialsTables"/>
              <w:jc w:val="right"/>
              <w:rPr>
                <w:sz w:val="18"/>
                <w:szCs w:val="14"/>
              </w:rPr>
            </w:pPr>
            <w:r w:rsidRPr="007032F5">
              <w:rPr>
                <w:sz w:val="18"/>
                <w:szCs w:val="14"/>
              </w:rPr>
              <w:t>64,990</w:t>
            </w:r>
          </w:p>
        </w:tc>
        <w:tc>
          <w:tcPr>
            <w:tcW w:w="1063" w:type="dxa"/>
          </w:tcPr>
          <w:p w14:paraId="55D146B4" w14:textId="77777777" w:rsidR="00B02873" w:rsidRPr="007032F5" w:rsidRDefault="00B02873" w:rsidP="004303D3">
            <w:pPr>
              <w:pStyle w:val="TablebodyleftFinancialsTables"/>
              <w:jc w:val="right"/>
              <w:rPr>
                <w:b/>
                <w:bCs/>
                <w:sz w:val="18"/>
                <w:szCs w:val="14"/>
              </w:rPr>
            </w:pPr>
            <w:r w:rsidRPr="007032F5">
              <w:rPr>
                <w:b/>
                <w:bCs/>
                <w:sz w:val="18"/>
                <w:szCs w:val="14"/>
              </w:rPr>
              <w:t>10,290</w:t>
            </w:r>
          </w:p>
        </w:tc>
        <w:tc>
          <w:tcPr>
            <w:tcW w:w="1063" w:type="dxa"/>
          </w:tcPr>
          <w:p w14:paraId="58923F94" w14:textId="77777777" w:rsidR="00B02873" w:rsidRPr="007032F5" w:rsidRDefault="00B02873" w:rsidP="004303D3">
            <w:pPr>
              <w:pStyle w:val="TablebodyleftFinancialsTables"/>
              <w:jc w:val="right"/>
              <w:rPr>
                <w:sz w:val="18"/>
                <w:szCs w:val="14"/>
              </w:rPr>
            </w:pPr>
            <w:r w:rsidRPr="007032F5">
              <w:rPr>
                <w:sz w:val="18"/>
                <w:szCs w:val="14"/>
              </w:rPr>
              <w:t>5,385</w:t>
            </w:r>
          </w:p>
        </w:tc>
      </w:tr>
      <w:tr w:rsidR="00B02873" w:rsidRPr="007032F5" w14:paraId="45B4205B" w14:textId="77777777" w:rsidTr="007032F5">
        <w:tc>
          <w:tcPr>
            <w:tcW w:w="3256" w:type="dxa"/>
          </w:tcPr>
          <w:p w14:paraId="32CA399B" w14:textId="77777777" w:rsidR="00B02873" w:rsidRPr="007032F5" w:rsidRDefault="00B02873" w:rsidP="004303D3">
            <w:pPr>
              <w:pStyle w:val="TablebodyleftFinancialsTables"/>
              <w:rPr>
                <w:b/>
                <w:bCs/>
                <w:sz w:val="18"/>
                <w:szCs w:val="14"/>
              </w:rPr>
            </w:pPr>
            <w:r w:rsidRPr="007032F5">
              <w:rPr>
                <w:b/>
                <w:bCs/>
                <w:sz w:val="18"/>
                <w:szCs w:val="14"/>
              </w:rPr>
              <w:t xml:space="preserve">Net assets </w:t>
            </w:r>
          </w:p>
        </w:tc>
        <w:tc>
          <w:tcPr>
            <w:tcW w:w="1063" w:type="dxa"/>
          </w:tcPr>
          <w:p w14:paraId="1310B55F" w14:textId="77777777" w:rsidR="00B02873" w:rsidRPr="007032F5" w:rsidRDefault="00B02873" w:rsidP="004303D3">
            <w:pPr>
              <w:pStyle w:val="TablebodyleftFinancialsTables"/>
              <w:jc w:val="right"/>
              <w:rPr>
                <w:b/>
                <w:bCs/>
                <w:sz w:val="18"/>
                <w:szCs w:val="14"/>
              </w:rPr>
            </w:pPr>
            <w:r w:rsidRPr="007032F5">
              <w:rPr>
                <w:b/>
                <w:bCs/>
                <w:sz w:val="18"/>
                <w:szCs w:val="14"/>
              </w:rPr>
              <w:t>21,836</w:t>
            </w:r>
          </w:p>
        </w:tc>
        <w:tc>
          <w:tcPr>
            <w:tcW w:w="1063" w:type="dxa"/>
          </w:tcPr>
          <w:p w14:paraId="030AAA9F" w14:textId="77777777" w:rsidR="00B02873" w:rsidRPr="007032F5" w:rsidRDefault="00B02873" w:rsidP="004303D3">
            <w:pPr>
              <w:pStyle w:val="TablebodyleftFinancialsTables"/>
              <w:jc w:val="right"/>
              <w:rPr>
                <w:sz w:val="18"/>
                <w:szCs w:val="14"/>
              </w:rPr>
            </w:pPr>
            <w:r w:rsidRPr="007032F5">
              <w:rPr>
                <w:sz w:val="18"/>
                <w:szCs w:val="14"/>
              </w:rPr>
              <w:t>26,806</w:t>
            </w:r>
          </w:p>
        </w:tc>
        <w:tc>
          <w:tcPr>
            <w:tcW w:w="1063" w:type="dxa"/>
          </w:tcPr>
          <w:p w14:paraId="4B405693" w14:textId="77777777" w:rsidR="00B02873" w:rsidRPr="007032F5" w:rsidRDefault="00B02873" w:rsidP="004303D3">
            <w:pPr>
              <w:pStyle w:val="TablebodyleftFinancialsTables"/>
              <w:jc w:val="right"/>
              <w:rPr>
                <w:b/>
                <w:bCs/>
                <w:sz w:val="18"/>
                <w:szCs w:val="14"/>
              </w:rPr>
            </w:pPr>
            <w:r w:rsidRPr="007032F5">
              <w:rPr>
                <w:b/>
                <w:bCs/>
                <w:sz w:val="18"/>
                <w:szCs w:val="14"/>
              </w:rPr>
              <w:t>188,385</w:t>
            </w:r>
          </w:p>
        </w:tc>
        <w:tc>
          <w:tcPr>
            <w:tcW w:w="1063" w:type="dxa"/>
          </w:tcPr>
          <w:p w14:paraId="7E4623D0" w14:textId="77777777" w:rsidR="00B02873" w:rsidRPr="007032F5" w:rsidRDefault="00B02873" w:rsidP="004303D3">
            <w:pPr>
              <w:pStyle w:val="TablebodyleftFinancialsTables"/>
              <w:jc w:val="right"/>
              <w:rPr>
                <w:sz w:val="18"/>
                <w:szCs w:val="14"/>
              </w:rPr>
            </w:pPr>
            <w:r w:rsidRPr="007032F5">
              <w:rPr>
                <w:sz w:val="18"/>
                <w:szCs w:val="14"/>
              </w:rPr>
              <w:t>193,422</w:t>
            </w:r>
          </w:p>
        </w:tc>
        <w:tc>
          <w:tcPr>
            <w:tcW w:w="1063" w:type="dxa"/>
          </w:tcPr>
          <w:p w14:paraId="63D8CE4F" w14:textId="77777777" w:rsidR="00B02873" w:rsidRPr="007032F5" w:rsidRDefault="00B02873" w:rsidP="004303D3">
            <w:pPr>
              <w:pStyle w:val="TablebodyleftFinancialsTables"/>
              <w:jc w:val="right"/>
              <w:rPr>
                <w:b/>
                <w:bCs/>
                <w:sz w:val="18"/>
                <w:szCs w:val="14"/>
              </w:rPr>
            </w:pPr>
            <w:r w:rsidRPr="007032F5">
              <w:rPr>
                <w:b/>
                <w:bCs/>
                <w:sz w:val="18"/>
                <w:szCs w:val="14"/>
              </w:rPr>
              <w:t>132,288</w:t>
            </w:r>
          </w:p>
        </w:tc>
        <w:tc>
          <w:tcPr>
            <w:tcW w:w="1063" w:type="dxa"/>
          </w:tcPr>
          <w:p w14:paraId="0F6F8E56" w14:textId="77777777" w:rsidR="00B02873" w:rsidRPr="007032F5" w:rsidRDefault="00B02873" w:rsidP="004303D3">
            <w:pPr>
              <w:pStyle w:val="TablebodyleftFinancialsTables"/>
              <w:jc w:val="right"/>
              <w:rPr>
                <w:sz w:val="18"/>
                <w:szCs w:val="14"/>
              </w:rPr>
            </w:pPr>
            <w:r w:rsidRPr="007032F5">
              <w:rPr>
                <w:sz w:val="18"/>
                <w:szCs w:val="14"/>
              </w:rPr>
              <w:t>(85,208)</w:t>
            </w:r>
          </w:p>
        </w:tc>
      </w:tr>
    </w:tbl>
    <w:p w14:paraId="77354161" w14:textId="77777777" w:rsidR="00B02873" w:rsidRPr="007032F5" w:rsidRDefault="00B02873" w:rsidP="007032F5">
      <w:pPr>
        <w:pStyle w:val="SourceNote"/>
        <w:spacing w:after="120"/>
        <w:rPr>
          <w:b/>
          <w:bCs/>
        </w:rPr>
      </w:pPr>
      <w:r w:rsidRPr="007032F5">
        <w:rPr>
          <w:b/>
          <w:bCs/>
        </w:rPr>
        <w:t>Note:</w:t>
      </w:r>
    </w:p>
    <w:p w14:paraId="511A29BD" w14:textId="6EA43F7B" w:rsidR="00B02873" w:rsidRDefault="00B02873" w:rsidP="001128B1">
      <w:pPr>
        <w:pStyle w:val="SourceNotenumbered"/>
        <w:numPr>
          <w:ilvl w:val="0"/>
          <w:numId w:val="27"/>
        </w:numPr>
        <w:spacing w:after="200"/>
      </w:pPr>
      <w:r>
        <w:t>In 2021, the Parks Victoria (PV) Output recorded an operating loss and negative cash and cash deposits due to grant payments to PV from the Parks and Reserve Trust Account being incurred against the PV Output while the Metropolitan Parks Improvement Rate was recorded under the Management of Public Land and Forests Output. In 2022 a transfer of cash and cash deposits from the Management of Public Land and Forests Output to the PV Output was processed to return the PV Output cash and cash deposits balance to surplus.</w:t>
      </w:r>
    </w:p>
    <w:p w14:paraId="73C0091B" w14:textId="221EC424" w:rsidR="00B02873" w:rsidRDefault="00B02873" w:rsidP="007032F5">
      <w:pPr>
        <w:pStyle w:val="Heading4"/>
      </w:pPr>
      <w:r>
        <w:t>4.1.3 Departmental Outputs</w:t>
      </w:r>
      <w:r w:rsidR="000C45FC">
        <w:t xml:space="preserve"> – </w:t>
      </w:r>
      <w:r>
        <w:t>Controlled assets and liabilities (continued)</w:t>
      </w:r>
      <w:r w:rsidR="00012C04">
        <w:t xml:space="preserve"> </w:t>
      </w:r>
    </w:p>
    <w:tbl>
      <w:tblPr>
        <w:tblStyle w:val="TableGrid"/>
        <w:tblW w:w="9634" w:type="dxa"/>
        <w:tblLayout w:type="fixed"/>
        <w:tblLook w:val="0020" w:firstRow="1" w:lastRow="0" w:firstColumn="0" w:lastColumn="0" w:noHBand="0" w:noVBand="0"/>
      </w:tblPr>
      <w:tblGrid>
        <w:gridCol w:w="3397"/>
        <w:gridCol w:w="1924"/>
        <w:gridCol w:w="1925"/>
        <w:gridCol w:w="1254"/>
        <w:gridCol w:w="1134"/>
      </w:tblGrid>
      <w:tr w:rsidR="00B02873" w:rsidRPr="00002F2B" w14:paraId="1549D33F" w14:textId="77777777" w:rsidTr="00277ECD">
        <w:trPr>
          <w:cnfStyle w:val="100000000000" w:firstRow="1" w:lastRow="0" w:firstColumn="0" w:lastColumn="0" w:oddVBand="0" w:evenVBand="0" w:oddHBand="0" w:evenHBand="0" w:firstRowFirstColumn="0" w:firstRowLastColumn="0" w:lastRowFirstColumn="0" w:lastRowLastColumn="0"/>
          <w:tblHeader/>
        </w:trPr>
        <w:tc>
          <w:tcPr>
            <w:tcW w:w="3397" w:type="dxa"/>
          </w:tcPr>
          <w:p w14:paraId="51E18363" w14:textId="77777777" w:rsidR="00B02873" w:rsidRPr="00002F2B" w:rsidRDefault="00B02873" w:rsidP="007032F5">
            <w:pPr>
              <w:pStyle w:val="TableheadingleftFinancialsTables"/>
              <w:rPr>
                <w:rFonts w:asciiTheme="minorHAnsi" w:hAnsiTheme="minorHAnsi" w:cstheme="minorHAnsi"/>
                <w:sz w:val="18"/>
                <w:szCs w:val="14"/>
              </w:rPr>
            </w:pPr>
          </w:p>
        </w:tc>
        <w:tc>
          <w:tcPr>
            <w:tcW w:w="1924" w:type="dxa"/>
          </w:tcPr>
          <w:p w14:paraId="537A5B2F" w14:textId="24509029" w:rsidR="00B02873" w:rsidRPr="00002F2B" w:rsidRDefault="00002F2B" w:rsidP="00002F2B">
            <w:pPr>
              <w:pStyle w:val="TableheadingleftFinancialsTables"/>
              <w:jc w:val="right"/>
              <w:rPr>
                <w:rFonts w:asciiTheme="minorHAnsi" w:hAnsiTheme="minorHAnsi" w:cstheme="minorHAnsi"/>
                <w:sz w:val="18"/>
                <w:szCs w:val="14"/>
              </w:rPr>
            </w:pPr>
            <w:r w:rsidRPr="00002F2B">
              <w:rPr>
                <w:rFonts w:asciiTheme="minorHAnsi" w:hAnsiTheme="minorHAnsi" w:cstheme="minorHAnsi"/>
                <w:sz w:val="18"/>
                <w:szCs w:val="14"/>
              </w:rPr>
              <w:t xml:space="preserve">Fire and Emergency Management </w:t>
            </w:r>
            <w:r w:rsidR="00B02873" w:rsidRPr="00002F2B">
              <w:rPr>
                <w:rFonts w:asciiTheme="minorHAnsi" w:hAnsiTheme="minorHAnsi" w:cstheme="minorHAnsi"/>
                <w:sz w:val="18"/>
                <w:szCs w:val="14"/>
              </w:rPr>
              <w:t>2022</w:t>
            </w:r>
            <w:r w:rsidR="00B02873" w:rsidRPr="00002F2B">
              <w:rPr>
                <w:rFonts w:asciiTheme="minorHAnsi" w:hAnsiTheme="minorHAnsi" w:cstheme="minorHAnsi"/>
                <w:sz w:val="18"/>
                <w:szCs w:val="14"/>
              </w:rPr>
              <w:br/>
              <w:t>$’000</w:t>
            </w:r>
          </w:p>
        </w:tc>
        <w:tc>
          <w:tcPr>
            <w:tcW w:w="1925" w:type="dxa"/>
          </w:tcPr>
          <w:p w14:paraId="1808FB55" w14:textId="12A0AB93" w:rsidR="00B02873" w:rsidRPr="00002F2B" w:rsidRDefault="00002F2B" w:rsidP="00002F2B">
            <w:pPr>
              <w:pStyle w:val="TableheadingleftFinancialsTables"/>
              <w:jc w:val="right"/>
              <w:rPr>
                <w:rFonts w:asciiTheme="minorHAnsi" w:hAnsiTheme="minorHAnsi" w:cstheme="minorHAnsi"/>
                <w:sz w:val="18"/>
                <w:szCs w:val="14"/>
              </w:rPr>
            </w:pPr>
            <w:r w:rsidRPr="00002F2B">
              <w:rPr>
                <w:rFonts w:asciiTheme="minorHAnsi" w:hAnsiTheme="minorHAnsi" w:cstheme="minorHAnsi"/>
                <w:sz w:val="18"/>
                <w:szCs w:val="14"/>
              </w:rPr>
              <w:t xml:space="preserve">Fire and Emergency Management </w:t>
            </w:r>
            <w:r w:rsidR="00B02873" w:rsidRPr="00002F2B">
              <w:rPr>
                <w:rFonts w:asciiTheme="minorHAnsi" w:hAnsiTheme="minorHAnsi" w:cstheme="minorHAnsi"/>
                <w:sz w:val="18"/>
                <w:szCs w:val="14"/>
              </w:rPr>
              <w:t>2021</w:t>
            </w:r>
            <w:r w:rsidR="00B02873" w:rsidRPr="00002F2B">
              <w:rPr>
                <w:rFonts w:asciiTheme="minorHAnsi" w:hAnsiTheme="minorHAnsi" w:cstheme="minorHAnsi"/>
                <w:sz w:val="18"/>
                <w:szCs w:val="14"/>
              </w:rPr>
              <w:br/>
              <w:t>$’000</w:t>
            </w:r>
          </w:p>
        </w:tc>
        <w:tc>
          <w:tcPr>
            <w:tcW w:w="1254" w:type="dxa"/>
          </w:tcPr>
          <w:p w14:paraId="2B9EBCE1" w14:textId="76A25D04" w:rsidR="00B02873" w:rsidRPr="00002F2B" w:rsidRDefault="00002F2B" w:rsidP="00002F2B">
            <w:pPr>
              <w:pStyle w:val="TableheadingleftFinancialsTables"/>
              <w:jc w:val="right"/>
              <w:rPr>
                <w:rFonts w:asciiTheme="minorHAnsi" w:hAnsiTheme="minorHAnsi" w:cstheme="minorHAnsi"/>
                <w:sz w:val="18"/>
                <w:szCs w:val="14"/>
              </w:rPr>
            </w:pPr>
            <w:r w:rsidRPr="00002F2B">
              <w:rPr>
                <w:rFonts w:asciiTheme="minorHAnsi" w:hAnsiTheme="minorHAnsi" w:cstheme="minorHAnsi"/>
                <w:sz w:val="18"/>
                <w:szCs w:val="14"/>
              </w:rPr>
              <w:t xml:space="preserve">Energy </w:t>
            </w:r>
            <w:r w:rsidR="00B02873" w:rsidRPr="00002F2B">
              <w:rPr>
                <w:rFonts w:asciiTheme="minorHAnsi" w:hAnsiTheme="minorHAnsi" w:cstheme="minorHAnsi"/>
                <w:sz w:val="18"/>
                <w:szCs w:val="14"/>
              </w:rPr>
              <w:t>2022</w:t>
            </w:r>
            <w:r w:rsidR="00B02873" w:rsidRPr="00002F2B">
              <w:rPr>
                <w:rFonts w:asciiTheme="minorHAnsi" w:hAnsiTheme="minorHAnsi" w:cstheme="minorHAnsi"/>
                <w:sz w:val="18"/>
                <w:szCs w:val="14"/>
              </w:rPr>
              <w:br/>
              <w:t>$’000</w:t>
            </w:r>
          </w:p>
        </w:tc>
        <w:tc>
          <w:tcPr>
            <w:tcW w:w="1134" w:type="dxa"/>
          </w:tcPr>
          <w:p w14:paraId="03C0C4C8" w14:textId="7C8E06EC" w:rsidR="00B02873" w:rsidRPr="00002F2B" w:rsidRDefault="00002F2B" w:rsidP="00002F2B">
            <w:pPr>
              <w:pStyle w:val="TableheadingleftFinancialsTables"/>
              <w:jc w:val="right"/>
              <w:rPr>
                <w:rFonts w:asciiTheme="minorHAnsi" w:hAnsiTheme="minorHAnsi" w:cstheme="minorHAnsi"/>
                <w:sz w:val="18"/>
                <w:szCs w:val="14"/>
              </w:rPr>
            </w:pPr>
            <w:r w:rsidRPr="00002F2B">
              <w:rPr>
                <w:rFonts w:asciiTheme="minorHAnsi" w:hAnsiTheme="minorHAnsi" w:cstheme="minorHAnsi"/>
                <w:sz w:val="18"/>
                <w:szCs w:val="14"/>
              </w:rPr>
              <w:t xml:space="preserve">Energy </w:t>
            </w:r>
            <w:r w:rsidR="00B02873" w:rsidRPr="00002F2B">
              <w:rPr>
                <w:rFonts w:asciiTheme="minorHAnsi" w:hAnsiTheme="minorHAnsi" w:cstheme="minorHAnsi"/>
                <w:sz w:val="18"/>
                <w:szCs w:val="14"/>
              </w:rPr>
              <w:t>2021</w:t>
            </w:r>
            <w:r w:rsidR="00B02873" w:rsidRPr="00002F2B">
              <w:rPr>
                <w:rFonts w:asciiTheme="minorHAnsi" w:hAnsiTheme="minorHAnsi" w:cstheme="minorHAnsi"/>
                <w:sz w:val="18"/>
                <w:szCs w:val="14"/>
              </w:rPr>
              <w:br/>
              <w:t>$’000</w:t>
            </w:r>
          </w:p>
        </w:tc>
      </w:tr>
      <w:tr w:rsidR="007032F5" w:rsidRPr="00002F2B" w14:paraId="635D7C60" w14:textId="77777777" w:rsidTr="00277ECD">
        <w:tc>
          <w:tcPr>
            <w:tcW w:w="3397" w:type="dxa"/>
          </w:tcPr>
          <w:p w14:paraId="2DFE4A8E" w14:textId="77777777" w:rsidR="007032F5" w:rsidRPr="00002F2B" w:rsidRDefault="007032F5" w:rsidP="007032F5">
            <w:pPr>
              <w:pStyle w:val="TablebodyleftFinancialsTables"/>
              <w:rPr>
                <w:rFonts w:asciiTheme="minorHAnsi" w:hAnsiTheme="minorHAnsi" w:cstheme="minorHAnsi"/>
                <w:b/>
                <w:bCs/>
                <w:sz w:val="18"/>
                <w:szCs w:val="14"/>
              </w:rPr>
            </w:pPr>
            <w:r w:rsidRPr="00002F2B">
              <w:rPr>
                <w:rFonts w:asciiTheme="minorHAnsi" w:hAnsiTheme="minorHAnsi" w:cstheme="minorHAnsi"/>
                <w:b/>
                <w:bCs/>
                <w:sz w:val="18"/>
                <w:szCs w:val="14"/>
              </w:rPr>
              <w:t>Assets</w:t>
            </w:r>
          </w:p>
        </w:tc>
        <w:tc>
          <w:tcPr>
            <w:tcW w:w="1924" w:type="dxa"/>
          </w:tcPr>
          <w:p w14:paraId="0F7EF0C5" w14:textId="77777777" w:rsidR="007032F5" w:rsidRPr="00002F2B" w:rsidRDefault="007032F5" w:rsidP="00002F2B">
            <w:pPr>
              <w:pStyle w:val="TablebodyleftFinancialsTables"/>
              <w:jc w:val="right"/>
              <w:rPr>
                <w:rFonts w:asciiTheme="minorHAnsi" w:hAnsiTheme="minorHAnsi" w:cstheme="minorHAnsi"/>
                <w:b/>
                <w:bCs/>
                <w:sz w:val="18"/>
                <w:szCs w:val="14"/>
              </w:rPr>
            </w:pPr>
          </w:p>
        </w:tc>
        <w:tc>
          <w:tcPr>
            <w:tcW w:w="1925" w:type="dxa"/>
          </w:tcPr>
          <w:p w14:paraId="13E77E7A" w14:textId="77777777" w:rsidR="007032F5" w:rsidRPr="00002F2B" w:rsidRDefault="007032F5" w:rsidP="00002F2B">
            <w:pPr>
              <w:pStyle w:val="TablebodyleftFinancialsTables"/>
              <w:jc w:val="right"/>
              <w:rPr>
                <w:rFonts w:asciiTheme="minorHAnsi" w:hAnsiTheme="minorHAnsi" w:cstheme="minorHAnsi"/>
                <w:b/>
                <w:bCs/>
                <w:sz w:val="18"/>
                <w:szCs w:val="14"/>
              </w:rPr>
            </w:pPr>
          </w:p>
        </w:tc>
        <w:tc>
          <w:tcPr>
            <w:tcW w:w="1254" w:type="dxa"/>
          </w:tcPr>
          <w:p w14:paraId="32EBB7AF" w14:textId="77777777" w:rsidR="007032F5" w:rsidRPr="00002F2B" w:rsidRDefault="007032F5" w:rsidP="00002F2B">
            <w:pPr>
              <w:pStyle w:val="TablebodyleftFinancialsTables"/>
              <w:jc w:val="right"/>
              <w:rPr>
                <w:rFonts w:asciiTheme="minorHAnsi" w:hAnsiTheme="minorHAnsi" w:cstheme="minorHAnsi"/>
                <w:b/>
                <w:bCs/>
                <w:sz w:val="18"/>
                <w:szCs w:val="14"/>
              </w:rPr>
            </w:pPr>
          </w:p>
        </w:tc>
        <w:tc>
          <w:tcPr>
            <w:tcW w:w="1134" w:type="dxa"/>
          </w:tcPr>
          <w:p w14:paraId="4C39E044" w14:textId="3A461772" w:rsidR="007032F5" w:rsidRPr="00002F2B" w:rsidRDefault="007032F5" w:rsidP="00002F2B">
            <w:pPr>
              <w:pStyle w:val="TablebodyleftFinancialsTables"/>
              <w:jc w:val="right"/>
              <w:rPr>
                <w:rFonts w:asciiTheme="minorHAnsi" w:hAnsiTheme="minorHAnsi" w:cstheme="minorHAnsi"/>
                <w:b/>
                <w:bCs/>
                <w:sz w:val="18"/>
                <w:szCs w:val="14"/>
              </w:rPr>
            </w:pPr>
          </w:p>
        </w:tc>
      </w:tr>
      <w:tr w:rsidR="007032F5" w:rsidRPr="00002F2B" w14:paraId="0C0144FE" w14:textId="77777777" w:rsidTr="00277ECD">
        <w:tc>
          <w:tcPr>
            <w:tcW w:w="3397" w:type="dxa"/>
          </w:tcPr>
          <w:p w14:paraId="1AC856C2" w14:textId="77777777" w:rsidR="007032F5" w:rsidRPr="00002F2B" w:rsidRDefault="007032F5" w:rsidP="007032F5">
            <w:pPr>
              <w:pStyle w:val="TablebodyleftFinancialsTables"/>
              <w:rPr>
                <w:rFonts w:asciiTheme="minorHAnsi" w:hAnsiTheme="minorHAnsi" w:cstheme="minorHAnsi"/>
                <w:b/>
                <w:bCs/>
                <w:sz w:val="18"/>
                <w:szCs w:val="14"/>
              </w:rPr>
            </w:pPr>
            <w:r w:rsidRPr="00002F2B">
              <w:rPr>
                <w:rFonts w:asciiTheme="minorHAnsi" w:hAnsiTheme="minorHAnsi" w:cstheme="minorHAnsi"/>
                <w:b/>
                <w:bCs/>
                <w:sz w:val="18"/>
                <w:szCs w:val="14"/>
              </w:rPr>
              <w:t>Financial assets</w:t>
            </w:r>
          </w:p>
        </w:tc>
        <w:tc>
          <w:tcPr>
            <w:tcW w:w="1924" w:type="dxa"/>
          </w:tcPr>
          <w:p w14:paraId="12B514E4" w14:textId="77777777" w:rsidR="007032F5" w:rsidRPr="00002F2B" w:rsidRDefault="007032F5" w:rsidP="00002F2B">
            <w:pPr>
              <w:pStyle w:val="TablebodyleftFinancialsTables"/>
              <w:jc w:val="right"/>
              <w:rPr>
                <w:rFonts w:asciiTheme="minorHAnsi" w:hAnsiTheme="minorHAnsi" w:cstheme="minorHAnsi"/>
                <w:b/>
                <w:bCs/>
                <w:sz w:val="18"/>
                <w:szCs w:val="14"/>
              </w:rPr>
            </w:pPr>
          </w:p>
        </w:tc>
        <w:tc>
          <w:tcPr>
            <w:tcW w:w="1925" w:type="dxa"/>
          </w:tcPr>
          <w:p w14:paraId="47EF1C16" w14:textId="77777777" w:rsidR="007032F5" w:rsidRPr="00002F2B" w:rsidRDefault="007032F5" w:rsidP="00002F2B">
            <w:pPr>
              <w:pStyle w:val="TablebodyleftFinancialsTables"/>
              <w:jc w:val="right"/>
              <w:rPr>
                <w:rFonts w:asciiTheme="minorHAnsi" w:hAnsiTheme="minorHAnsi" w:cstheme="minorHAnsi"/>
                <w:b/>
                <w:bCs/>
                <w:sz w:val="18"/>
                <w:szCs w:val="14"/>
              </w:rPr>
            </w:pPr>
          </w:p>
        </w:tc>
        <w:tc>
          <w:tcPr>
            <w:tcW w:w="1254" w:type="dxa"/>
          </w:tcPr>
          <w:p w14:paraId="3B1546BE" w14:textId="77777777" w:rsidR="007032F5" w:rsidRPr="00002F2B" w:rsidRDefault="007032F5" w:rsidP="00002F2B">
            <w:pPr>
              <w:pStyle w:val="TablebodyleftFinancialsTables"/>
              <w:jc w:val="right"/>
              <w:rPr>
                <w:rFonts w:asciiTheme="minorHAnsi" w:hAnsiTheme="minorHAnsi" w:cstheme="minorHAnsi"/>
                <w:b/>
                <w:bCs/>
                <w:sz w:val="18"/>
                <w:szCs w:val="14"/>
              </w:rPr>
            </w:pPr>
          </w:p>
        </w:tc>
        <w:tc>
          <w:tcPr>
            <w:tcW w:w="1134" w:type="dxa"/>
          </w:tcPr>
          <w:p w14:paraId="14794964" w14:textId="44D0D6AC" w:rsidR="007032F5" w:rsidRPr="00002F2B" w:rsidRDefault="007032F5" w:rsidP="00002F2B">
            <w:pPr>
              <w:pStyle w:val="TablebodyleftFinancialsTables"/>
              <w:jc w:val="right"/>
              <w:rPr>
                <w:rFonts w:asciiTheme="minorHAnsi" w:hAnsiTheme="minorHAnsi" w:cstheme="minorHAnsi"/>
                <w:b/>
                <w:bCs/>
                <w:sz w:val="18"/>
                <w:szCs w:val="14"/>
              </w:rPr>
            </w:pPr>
          </w:p>
        </w:tc>
      </w:tr>
      <w:tr w:rsidR="00B02873" w:rsidRPr="00002F2B" w14:paraId="43639199" w14:textId="77777777" w:rsidTr="00277ECD">
        <w:tc>
          <w:tcPr>
            <w:tcW w:w="3397" w:type="dxa"/>
          </w:tcPr>
          <w:p w14:paraId="27C07893" w14:textId="77777777" w:rsidR="00B02873" w:rsidRPr="00002F2B" w:rsidRDefault="00B02873" w:rsidP="007032F5">
            <w:pPr>
              <w:pStyle w:val="TablebodyleftFinancialsTables"/>
              <w:rPr>
                <w:rFonts w:asciiTheme="minorHAnsi" w:hAnsiTheme="minorHAnsi" w:cstheme="minorHAnsi"/>
                <w:sz w:val="18"/>
                <w:szCs w:val="14"/>
              </w:rPr>
            </w:pPr>
            <w:r w:rsidRPr="00002F2B">
              <w:rPr>
                <w:rFonts w:asciiTheme="minorHAnsi" w:hAnsiTheme="minorHAnsi" w:cstheme="minorHAnsi"/>
                <w:sz w:val="18"/>
                <w:szCs w:val="14"/>
              </w:rPr>
              <w:t>Cash and cash deposits</w:t>
            </w:r>
          </w:p>
        </w:tc>
        <w:tc>
          <w:tcPr>
            <w:tcW w:w="1924" w:type="dxa"/>
          </w:tcPr>
          <w:p w14:paraId="1DDE7100" w14:textId="77777777" w:rsidR="00B02873" w:rsidRPr="00002F2B" w:rsidRDefault="00B02873" w:rsidP="00002F2B">
            <w:pPr>
              <w:pStyle w:val="TablebodyleftFinancialsTables"/>
              <w:jc w:val="right"/>
              <w:rPr>
                <w:rFonts w:asciiTheme="minorHAnsi" w:hAnsiTheme="minorHAnsi" w:cstheme="minorHAnsi"/>
                <w:b/>
                <w:bCs/>
                <w:sz w:val="18"/>
                <w:szCs w:val="14"/>
              </w:rPr>
            </w:pPr>
            <w:r w:rsidRPr="00002F2B">
              <w:rPr>
                <w:rFonts w:asciiTheme="minorHAnsi" w:hAnsiTheme="minorHAnsi" w:cstheme="minorHAnsi"/>
                <w:b/>
                <w:bCs/>
                <w:sz w:val="18"/>
                <w:szCs w:val="14"/>
              </w:rPr>
              <w:t>102,020</w:t>
            </w:r>
          </w:p>
        </w:tc>
        <w:tc>
          <w:tcPr>
            <w:tcW w:w="1925" w:type="dxa"/>
          </w:tcPr>
          <w:p w14:paraId="79A1DF6B" w14:textId="77777777" w:rsidR="00B02873" w:rsidRPr="00002F2B" w:rsidRDefault="00B02873" w:rsidP="00002F2B">
            <w:pPr>
              <w:pStyle w:val="TablebodyleftFinancialsTables"/>
              <w:jc w:val="right"/>
              <w:rPr>
                <w:rFonts w:asciiTheme="minorHAnsi" w:hAnsiTheme="minorHAnsi" w:cstheme="minorHAnsi"/>
                <w:sz w:val="18"/>
                <w:szCs w:val="14"/>
              </w:rPr>
            </w:pPr>
            <w:r w:rsidRPr="00002F2B">
              <w:rPr>
                <w:rFonts w:asciiTheme="minorHAnsi" w:hAnsiTheme="minorHAnsi" w:cstheme="minorHAnsi"/>
                <w:sz w:val="18"/>
                <w:szCs w:val="14"/>
              </w:rPr>
              <w:t>76,875</w:t>
            </w:r>
          </w:p>
        </w:tc>
        <w:tc>
          <w:tcPr>
            <w:tcW w:w="1254" w:type="dxa"/>
          </w:tcPr>
          <w:p w14:paraId="52050494" w14:textId="77777777" w:rsidR="00B02873" w:rsidRPr="00002F2B" w:rsidRDefault="00B02873" w:rsidP="00002F2B">
            <w:pPr>
              <w:pStyle w:val="TablebodyleftFinancialsTables"/>
              <w:jc w:val="right"/>
              <w:rPr>
                <w:rFonts w:asciiTheme="minorHAnsi" w:hAnsiTheme="minorHAnsi" w:cstheme="minorHAnsi"/>
                <w:b/>
                <w:bCs/>
                <w:sz w:val="18"/>
                <w:szCs w:val="14"/>
              </w:rPr>
            </w:pPr>
            <w:r w:rsidRPr="00002F2B">
              <w:rPr>
                <w:rFonts w:asciiTheme="minorHAnsi" w:hAnsiTheme="minorHAnsi" w:cstheme="minorHAnsi"/>
                <w:b/>
                <w:bCs/>
                <w:sz w:val="18"/>
                <w:szCs w:val="14"/>
              </w:rPr>
              <w:t>83,008</w:t>
            </w:r>
          </w:p>
        </w:tc>
        <w:tc>
          <w:tcPr>
            <w:tcW w:w="1134" w:type="dxa"/>
          </w:tcPr>
          <w:p w14:paraId="258D9395" w14:textId="77777777" w:rsidR="00B02873" w:rsidRPr="00002F2B" w:rsidRDefault="00B02873" w:rsidP="00002F2B">
            <w:pPr>
              <w:pStyle w:val="TablebodyleftFinancialsTables"/>
              <w:jc w:val="right"/>
              <w:rPr>
                <w:rFonts w:asciiTheme="minorHAnsi" w:hAnsiTheme="minorHAnsi" w:cstheme="minorHAnsi"/>
                <w:sz w:val="18"/>
                <w:szCs w:val="14"/>
              </w:rPr>
            </w:pPr>
            <w:r w:rsidRPr="00002F2B">
              <w:rPr>
                <w:rFonts w:asciiTheme="minorHAnsi" w:hAnsiTheme="minorHAnsi" w:cstheme="minorHAnsi"/>
                <w:sz w:val="18"/>
                <w:szCs w:val="14"/>
              </w:rPr>
              <w:t>58,014</w:t>
            </w:r>
          </w:p>
        </w:tc>
      </w:tr>
      <w:tr w:rsidR="00B02873" w:rsidRPr="00002F2B" w14:paraId="0BC84D84" w14:textId="77777777" w:rsidTr="00277ECD">
        <w:tc>
          <w:tcPr>
            <w:tcW w:w="3397" w:type="dxa"/>
          </w:tcPr>
          <w:p w14:paraId="5DD56595" w14:textId="77777777" w:rsidR="00B02873" w:rsidRPr="00002F2B" w:rsidRDefault="00B02873" w:rsidP="007032F5">
            <w:pPr>
              <w:pStyle w:val="TablebodyleftFinancialsTables"/>
              <w:rPr>
                <w:rFonts w:asciiTheme="minorHAnsi" w:hAnsiTheme="minorHAnsi" w:cstheme="minorHAnsi"/>
                <w:sz w:val="18"/>
                <w:szCs w:val="14"/>
              </w:rPr>
            </w:pPr>
            <w:r w:rsidRPr="00002F2B">
              <w:rPr>
                <w:rFonts w:asciiTheme="minorHAnsi" w:hAnsiTheme="minorHAnsi" w:cstheme="minorHAnsi"/>
                <w:sz w:val="18"/>
                <w:szCs w:val="14"/>
              </w:rPr>
              <w:t>Receivables</w:t>
            </w:r>
          </w:p>
        </w:tc>
        <w:tc>
          <w:tcPr>
            <w:tcW w:w="1924" w:type="dxa"/>
          </w:tcPr>
          <w:p w14:paraId="5EA6FE83" w14:textId="77777777" w:rsidR="00B02873" w:rsidRPr="00002F2B" w:rsidRDefault="00B02873" w:rsidP="00002F2B">
            <w:pPr>
              <w:pStyle w:val="TablebodyleftFinancialsTables"/>
              <w:jc w:val="right"/>
              <w:rPr>
                <w:rFonts w:asciiTheme="minorHAnsi" w:hAnsiTheme="minorHAnsi" w:cstheme="minorHAnsi"/>
                <w:b/>
                <w:bCs/>
                <w:sz w:val="18"/>
                <w:szCs w:val="14"/>
              </w:rPr>
            </w:pPr>
            <w:r w:rsidRPr="00002F2B">
              <w:rPr>
                <w:rFonts w:asciiTheme="minorHAnsi" w:hAnsiTheme="minorHAnsi" w:cstheme="minorHAnsi"/>
                <w:b/>
                <w:bCs/>
                <w:sz w:val="18"/>
                <w:szCs w:val="14"/>
              </w:rPr>
              <w:t>135,142</w:t>
            </w:r>
          </w:p>
        </w:tc>
        <w:tc>
          <w:tcPr>
            <w:tcW w:w="1925" w:type="dxa"/>
          </w:tcPr>
          <w:p w14:paraId="477ECB52" w14:textId="77777777" w:rsidR="00B02873" w:rsidRPr="00002F2B" w:rsidRDefault="00B02873" w:rsidP="00002F2B">
            <w:pPr>
              <w:pStyle w:val="TablebodyleftFinancialsTables"/>
              <w:jc w:val="right"/>
              <w:rPr>
                <w:rFonts w:asciiTheme="minorHAnsi" w:hAnsiTheme="minorHAnsi" w:cstheme="minorHAnsi"/>
                <w:sz w:val="18"/>
                <w:szCs w:val="14"/>
              </w:rPr>
            </w:pPr>
            <w:r w:rsidRPr="00002F2B">
              <w:rPr>
                <w:rFonts w:asciiTheme="minorHAnsi" w:hAnsiTheme="minorHAnsi" w:cstheme="minorHAnsi"/>
                <w:sz w:val="18"/>
                <w:szCs w:val="14"/>
              </w:rPr>
              <w:t>116,518</w:t>
            </w:r>
          </w:p>
        </w:tc>
        <w:tc>
          <w:tcPr>
            <w:tcW w:w="1254" w:type="dxa"/>
          </w:tcPr>
          <w:p w14:paraId="664AD98F" w14:textId="77777777" w:rsidR="00B02873" w:rsidRPr="00002F2B" w:rsidRDefault="00B02873" w:rsidP="00002F2B">
            <w:pPr>
              <w:pStyle w:val="TablebodyleftFinancialsTables"/>
              <w:jc w:val="right"/>
              <w:rPr>
                <w:rFonts w:asciiTheme="minorHAnsi" w:hAnsiTheme="minorHAnsi" w:cstheme="minorHAnsi"/>
                <w:b/>
                <w:bCs/>
                <w:sz w:val="18"/>
                <w:szCs w:val="14"/>
              </w:rPr>
            </w:pPr>
            <w:r w:rsidRPr="00002F2B">
              <w:rPr>
                <w:rFonts w:asciiTheme="minorHAnsi" w:hAnsiTheme="minorHAnsi" w:cstheme="minorHAnsi"/>
                <w:b/>
                <w:bCs/>
                <w:sz w:val="18"/>
                <w:szCs w:val="14"/>
              </w:rPr>
              <w:t>121,311</w:t>
            </w:r>
          </w:p>
        </w:tc>
        <w:tc>
          <w:tcPr>
            <w:tcW w:w="1134" w:type="dxa"/>
          </w:tcPr>
          <w:p w14:paraId="60893BCF" w14:textId="77777777" w:rsidR="00B02873" w:rsidRPr="00002F2B" w:rsidRDefault="00B02873" w:rsidP="00002F2B">
            <w:pPr>
              <w:pStyle w:val="TablebodyleftFinancialsTables"/>
              <w:jc w:val="right"/>
              <w:rPr>
                <w:rFonts w:asciiTheme="minorHAnsi" w:hAnsiTheme="minorHAnsi" w:cstheme="minorHAnsi"/>
                <w:sz w:val="18"/>
                <w:szCs w:val="14"/>
              </w:rPr>
            </w:pPr>
            <w:r w:rsidRPr="00002F2B">
              <w:rPr>
                <w:rFonts w:asciiTheme="minorHAnsi" w:hAnsiTheme="minorHAnsi" w:cstheme="minorHAnsi"/>
                <w:sz w:val="18"/>
                <w:szCs w:val="14"/>
              </w:rPr>
              <w:t>80,600</w:t>
            </w:r>
          </w:p>
        </w:tc>
      </w:tr>
      <w:tr w:rsidR="00B02873" w:rsidRPr="00002F2B" w14:paraId="376B8624" w14:textId="77777777" w:rsidTr="00277ECD">
        <w:tc>
          <w:tcPr>
            <w:tcW w:w="3397" w:type="dxa"/>
          </w:tcPr>
          <w:p w14:paraId="1E528836" w14:textId="77777777" w:rsidR="00B02873" w:rsidRPr="00002F2B" w:rsidRDefault="00B02873" w:rsidP="007032F5">
            <w:pPr>
              <w:pStyle w:val="TablebodyleftFinancialsTables"/>
              <w:rPr>
                <w:rFonts w:asciiTheme="minorHAnsi" w:hAnsiTheme="minorHAnsi" w:cstheme="minorHAnsi"/>
                <w:sz w:val="18"/>
                <w:szCs w:val="14"/>
              </w:rPr>
            </w:pPr>
            <w:r w:rsidRPr="00002F2B">
              <w:rPr>
                <w:rFonts w:asciiTheme="minorHAnsi" w:hAnsiTheme="minorHAnsi" w:cstheme="minorHAnsi"/>
                <w:sz w:val="18"/>
                <w:szCs w:val="14"/>
              </w:rPr>
              <w:lastRenderedPageBreak/>
              <w:t>Derivative financial instruments</w:t>
            </w:r>
          </w:p>
        </w:tc>
        <w:tc>
          <w:tcPr>
            <w:tcW w:w="1924" w:type="dxa"/>
          </w:tcPr>
          <w:p w14:paraId="5F404F7D" w14:textId="77777777" w:rsidR="00B02873" w:rsidRPr="00002F2B" w:rsidRDefault="00B02873" w:rsidP="00002F2B">
            <w:pPr>
              <w:pStyle w:val="TablebodyleftFinancialsTables"/>
              <w:jc w:val="right"/>
              <w:rPr>
                <w:rFonts w:asciiTheme="minorHAnsi" w:hAnsiTheme="minorHAnsi" w:cstheme="minorHAnsi"/>
                <w:b/>
                <w:bCs/>
                <w:sz w:val="18"/>
                <w:szCs w:val="14"/>
              </w:rPr>
            </w:pPr>
            <w:r w:rsidRPr="00002F2B">
              <w:rPr>
                <w:rFonts w:asciiTheme="minorHAnsi" w:hAnsiTheme="minorHAnsi" w:cstheme="minorHAnsi"/>
                <w:b/>
                <w:bCs/>
                <w:sz w:val="18"/>
                <w:szCs w:val="14"/>
              </w:rPr>
              <w:t>–</w:t>
            </w:r>
          </w:p>
        </w:tc>
        <w:tc>
          <w:tcPr>
            <w:tcW w:w="1925" w:type="dxa"/>
          </w:tcPr>
          <w:p w14:paraId="41366060" w14:textId="77777777" w:rsidR="00B02873" w:rsidRPr="00002F2B" w:rsidRDefault="00B02873" w:rsidP="00002F2B">
            <w:pPr>
              <w:pStyle w:val="TablebodyleftFinancialsTables"/>
              <w:jc w:val="right"/>
              <w:rPr>
                <w:rFonts w:asciiTheme="minorHAnsi" w:hAnsiTheme="minorHAnsi" w:cstheme="minorHAnsi"/>
                <w:sz w:val="18"/>
                <w:szCs w:val="14"/>
              </w:rPr>
            </w:pPr>
            <w:r w:rsidRPr="00002F2B">
              <w:rPr>
                <w:rFonts w:asciiTheme="minorHAnsi" w:hAnsiTheme="minorHAnsi" w:cstheme="minorHAnsi"/>
                <w:sz w:val="18"/>
                <w:szCs w:val="14"/>
              </w:rPr>
              <w:t>–</w:t>
            </w:r>
          </w:p>
        </w:tc>
        <w:tc>
          <w:tcPr>
            <w:tcW w:w="1254" w:type="dxa"/>
          </w:tcPr>
          <w:p w14:paraId="5E1C2747" w14:textId="77777777" w:rsidR="00B02873" w:rsidRPr="00002F2B" w:rsidRDefault="00B02873" w:rsidP="00002F2B">
            <w:pPr>
              <w:pStyle w:val="TablebodyleftFinancialsTables"/>
              <w:jc w:val="right"/>
              <w:rPr>
                <w:rFonts w:asciiTheme="minorHAnsi" w:hAnsiTheme="minorHAnsi" w:cstheme="minorHAnsi"/>
                <w:b/>
                <w:bCs/>
                <w:sz w:val="18"/>
                <w:szCs w:val="14"/>
              </w:rPr>
            </w:pPr>
            <w:r w:rsidRPr="00002F2B">
              <w:rPr>
                <w:rFonts w:asciiTheme="minorHAnsi" w:hAnsiTheme="minorHAnsi" w:cstheme="minorHAnsi"/>
                <w:b/>
                <w:bCs/>
                <w:sz w:val="18"/>
                <w:szCs w:val="14"/>
              </w:rPr>
              <w:t>429,933</w:t>
            </w:r>
          </w:p>
        </w:tc>
        <w:tc>
          <w:tcPr>
            <w:tcW w:w="1134" w:type="dxa"/>
          </w:tcPr>
          <w:p w14:paraId="791BB7EA" w14:textId="77777777" w:rsidR="00B02873" w:rsidRPr="00002F2B" w:rsidRDefault="00B02873" w:rsidP="00002F2B">
            <w:pPr>
              <w:pStyle w:val="TablebodyleftFinancialsTables"/>
              <w:jc w:val="right"/>
              <w:rPr>
                <w:rFonts w:asciiTheme="minorHAnsi" w:hAnsiTheme="minorHAnsi" w:cstheme="minorHAnsi"/>
                <w:sz w:val="18"/>
                <w:szCs w:val="14"/>
              </w:rPr>
            </w:pPr>
            <w:r w:rsidRPr="00002F2B">
              <w:rPr>
                <w:rFonts w:asciiTheme="minorHAnsi" w:hAnsiTheme="minorHAnsi" w:cstheme="minorHAnsi"/>
                <w:sz w:val="18"/>
                <w:szCs w:val="14"/>
              </w:rPr>
              <w:t>80,669</w:t>
            </w:r>
          </w:p>
        </w:tc>
      </w:tr>
      <w:tr w:rsidR="00B02873" w:rsidRPr="00002F2B" w14:paraId="768952D1" w14:textId="77777777" w:rsidTr="00277ECD">
        <w:tc>
          <w:tcPr>
            <w:tcW w:w="3397" w:type="dxa"/>
          </w:tcPr>
          <w:p w14:paraId="3305EFEA" w14:textId="77777777" w:rsidR="00B02873" w:rsidRPr="00002F2B" w:rsidRDefault="00B02873" w:rsidP="007032F5">
            <w:pPr>
              <w:pStyle w:val="TablebodyleftFinancialsTables"/>
              <w:rPr>
                <w:rFonts w:asciiTheme="minorHAnsi" w:hAnsiTheme="minorHAnsi" w:cstheme="minorHAnsi"/>
                <w:b/>
                <w:bCs/>
                <w:sz w:val="18"/>
                <w:szCs w:val="14"/>
              </w:rPr>
            </w:pPr>
            <w:r w:rsidRPr="00002F2B">
              <w:rPr>
                <w:rFonts w:asciiTheme="minorHAnsi" w:hAnsiTheme="minorHAnsi" w:cstheme="minorHAnsi"/>
                <w:b/>
                <w:bCs/>
                <w:sz w:val="18"/>
                <w:szCs w:val="14"/>
              </w:rPr>
              <w:t>Total financial assets</w:t>
            </w:r>
          </w:p>
        </w:tc>
        <w:tc>
          <w:tcPr>
            <w:tcW w:w="1924" w:type="dxa"/>
          </w:tcPr>
          <w:p w14:paraId="05D1BFE0" w14:textId="77777777" w:rsidR="00B02873" w:rsidRPr="00002F2B" w:rsidRDefault="00B02873" w:rsidP="00002F2B">
            <w:pPr>
              <w:pStyle w:val="TablebodyleftFinancialsTables"/>
              <w:jc w:val="right"/>
              <w:rPr>
                <w:rFonts w:asciiTheme="minorHAnsi" w:hAnsiTheme="minorHAnsi" w:cstheme="minorHAnsi"/>
                <w:b/>
                <w:bCs/>
                <w:sz w:val="18"/>
                <w:szCs w:val="14"/>
              </w:rPr>
            </w:pPr>
            <w:r w:rsidRPr="00002F2B">
              <w:rPr>
                <w:rFonts w:asciiTheme="minorHAnsi" w:hAnsiTheme="minorHAnsi" w:cstheme="minorHAnsi"/>
                <w:b/>
                <w:bCs/>
                <w:sz w:val="18"/>
                <w:szCs w:val="14"/>
              </w:rPr>
              <w:t>237,162</w:t>
            </w:r>
          </w:p>
        </w:tc>
        <w:tc>
          <w:tcPr>
            <w:tcW w:w="1925" w:type="dxa"/>
          </w:tcPr>
          <w:p w14:paraId="5ABA9C03" w14:textId="77777777" w:rsidR="00B02873" w:rsidRPr="00002F2B" w:rsidRDefault="00B02873" w:rsidP="00002F2B">
            <w:pPr>
              <w:pStyle w:val="TablebodyleftFinancialsTables"/>
              <w:jc w:val="right"/>
              <w:rPr>
                <w:rFonts w:asciiTheme="minorHAnsi" w:hAnsiTheme="minorHAnsi" w:cstheme="minorHAnsi"/>
                <w:sz w:val="18"/>
                <w:szCs w:val="14"/>
              </w:rPr>
            </w:pPr>
            <w:r w:rsidRPr="00002F2B">
              <w:rPr>
                <w:rFonts w:asciiTheme="minorHAnsi" w:hAnsiTheme="minorHAnsi" w:cstheme="minorHAnsi"/>
                <w:sz w:val="18"/>
                <w:szCs w:val="14"/>
              </w:rPr>
              <w:t>193,393</w:t>
            </w:r>
          </w:p>
        </w:tc>
        <w:tc>
          <w:tcPr>
            <w:tcW w:w="1254" w:type="dxa"/>
          </w:tcPr>
          <w:p w14:paraId="43FFFC4D" w14:textId="77777777" w:rsidR="00B02873" w:rsidRPr="00002F2B" w:rsidRDefault="00B02873" w:rsidP="00002F2B">
            <w:pPr>
              <w:pStyle w:val="TablebodyleftFinancialsTables"/>
              <w:jc w:val="right"/>
              <w:rPr>
                <w:rFonts w:asciiTheme="minorHAnsi" w:hAnsiTheme="minorHAnsi" w:cstheme="minorHAnsi"/>
                <w:b/>
                <w:bCs/>
                <w:sz w:val="18"/>
                <w:szCs w:val="14"/>
              </w:rPr>
            </w:pPr>
            <w:r w:rsidRPr="00002F2B">
              <w:rPr>
                <w:rFonts w:asciiTheme="minorHAnsi" w:hAnsiTheme="minorHAnsi" w:cstheme="minorHAnsi"/>
                <w:b/>
                <w:bCs/>
                <w:sz w:val="18"/>
                <w:szCs w:val="14"/>
              </w:rPr>
              <w:t>634,252</w:t>
            </w:r>
          </w:p>
        </w:tc>
        <w:tc>
          <w:tcPr>
            <w:tcW w:w="1134" w:type="dxa"/>
          </w:tcPr>
          <w:p w14:paraId="4E7EEE50" w14:textId="77777777" w:rsidR="00B02873" w:rsidRPr="00002F2B" w:rsidRDefault="00B02873" w:rsidP="00002F2B">
            <w:pPr>
              <w:pStyle w:val="TablebodyleftFinancialsTables"/>
              <w:jc w:val="right"/>
              <w:rPr>
                <w:rFonts w:asciiTheme="minorHAnsi" w:hAnsiTheme="minorHAnsi" w:cstheme="minorHAnsi"/>
                <w:sz w:val="18"/>
                <w:szCs w:val="14"/>
              </w:rPr>
            </w:pPr>
            <w:r w:rsidRPr="00002F2B">
              <w:rPr>
                <w:rFonts w:asciiTheme="minorHAnsi" w:hAnsiTheme="minorHAnsi" w:cstheme="minorHAnsi"/>
                <w:sz w:val="18"/>
                <w:szCs w:val="14"/>
              </w:rPr>
              <w:t>219,283</w:t>
            </w:r>
          </w:p>
        </w:tc>
      </w:tr>
      <w:tr w:rsidR="007032F5" w:rsidRPr="00002F2B" w14:paraId="307C26AF" w14:textId="77777777" w:rsidTr="00277ECD">
        <w:tc>
          <w:tcPr>
            <w:tcW w:w="3397" w:type="dxa"/>
          </w:tcPr>
          <w:p w14:paraId="3BD7194E" w14:textId="77777777" w:rsidR="007032F5" w:rsidRPr="00002F2B" w:rsidRDefault="007032F5" w:rsidP="007032F5">
            <w:pPr>
              <w:pStyle w:val="TablebodyleftFinancialsTables"/>
              <w:rPr>
                <w:rFonts w:asciiTheme="minorHAnsi" w:hAnsiTheme="minorHAnsi" w:cstheme="minorHAnsi"/>
                <w:b/>
                <w:bCs/>
                <w:sz w:val="18"/>
                <w:szCs w:val="14"/>
              </w:rPr>
            </w:pPr>
            <w:r w:rsidRPr="00002F2B">
              <w:rPr>
                <w:rFonts w:asciiTheme="minorHAnsi" w:hAnsiTheme="minorHAnsi" w:cstheme="minorHAnsi"/>
                <w:b/>
                <w:bCs/>
                <w:sz w:val="18"/>
                <w:szCs w:val="14"/>
              </w:rPr>
              <w:t>Non-financial assets</w:t>
            </w:r>
          </w:p>
        </w:tc>
        <w:tc>
          <w:tcPr>
            <w:tcW w:w="1924" w:type="dxa"/>
          </w:tcPr>
          <w:p w14:paraId="45F28B52" w14:textId="77777777" w:rsidR="007032F5" w:rsidRPr="00002F2B" w:rsidRDefault="007032F5" w:rsidP="00002F2B">
            <w:pPr>
              <w:pStyle w:val="TablebodyleftFinancialsTables"/>
              <w:jc w:val="right"/>
              <w:rPr>
                <w:rFonts w:asciiTheme="minorHAnsi" w:hAnsiTheme="minorHAnsi" w:cstheme="minorHAnsi"/>
                <w:b/>
                <w:bCs/>
                <w:sz w:val="18"/>
                <w:szCs w:val="14"/>
              </w:rPr>
            </w:pPr>
          </w:p>
        </w:tc>
        <w:tc>
          <w:tcPr>
            <w:tcW w:w="1925" w:type="dxa"/>
          </w:tcPr>
          <w:p w14:paraId="04D7954B" w14:textId="77777777" w:rsidR="007032F5" w:rsidRPr="00002F2B" w:rsidRDefault="007032F5" w:rsidP="00002F2B">
            <w:pPr>
              <w:pStyle w:val="TablebodyleftFinancialsTables"/>
              <w:jc w:val="right"/>
              <w:rPr>
                <w:rFonts w:asciiTheme="minorHAnsi" w:hAnsiTheme="minorHAnsi" w:cstheme="minorHAnsi"/>
                <w:sz w:val="18"/>
                <w:szCs w:val="14"/>
              </w:rPr>
            </w:pPr>
          </w:p>
        </w:tc>
        <w:tc>
          <w:tcPr>
            <w:tcW w:w="1254" w:type="dxa"/>
          </w:tcPr>
          <w:p w14:paraId="5D87232E" w14:textId="77777777" w:rsidR="007032F5" w:rsidRPr="00002F2B" w:rsidRDefault="007032F5" w:rsidP="00002F2B">
            <w:pPr>
              <w:pStyle w:val="TablebodyleftFinancialsTables"/>
              <w:jc w:val="right"/>
              <w:rPr>
                <w:rFonts w:asciiTheme="minorHAnsi" w:hAnsiTheme="minorHAnsi" w:cstheme="minorHAnsi"/>
                <w:b/>
                <w:bCs/>
                <w:sz w:val="18"/>
                <w:szCs w:val="14"/>
              </w:rPr>
            </w:pPr>
          </w:p>
        </w:tc>
        <w:tc>
          <w:tcPr>
            <w:tcW w:w="1134" w:type="dxa"/>
          </w:tcPr>
          <w:p w14:paraId="0D3B2160" w14:textId="6960A642" w:rsidR="007032F5" w:rsidRPr="00002F2B" w:rsidRDefault="007032F5" w:rsidP="00002F2B">
            <w:pPr>
              <w:pStyle w:val="TablebodyleftFinancialsTables"/>
              <w:jc w:val="right"/>
              <w:rPr>
                <w:rFonts w:asciiTheme="minorHAnsi" w:hAnsiTheme="minorHAnsi" w:cstheme="minorHAnsi"/>
                <w:sz w:val="18"/>
                <w:szCs w:val="14"/>
              </w:rPr>
            </w:pPr>
          </w:p>
        </w:tc>
      </w:tr>
      <w:tr w:rsidR="00B02873" w:rsidRPr="00002F2B" w14:paraId="0855B3E3" w14:textId="77777777" w:rsidTr="00277ECD">
        <w:tc>
          <w:tcPr>
            <w:tcW w:w="3397" w:type="dxa"/>
          </w:tcPr>
          <w:p w14:paraId="25E4D401" w14:textId="77777777" w:rsidR="00B02873" w:rsidRPr="00002F2B" w:rsidRDefault="00B02873" w:rsidP="007032F5">
            <w:pPr>
              <w:pStyle w:val="TablebodyleftFinancialsTables"/>
              <w:rPr>
                <w:rFonts w:asciiTheme="minorHAnsi" w:hAnsiTheme="minorHAnsi" w:cstheme="minorHAnsi"/>
                <w:sz w:val="18"/>
                <w:szCs w:val="14"/>
              </w:rPr>
            </w:pPr>
            <w:r w:rsidRPr="00002F2B">
              <w:rPr>
                <w:rFonts w:asciiTheme="minorHAnsi" w:hAnsiTheme="minorHAnsi" w:cstheme="minorHAnsi"/>
                <w:sz w:val="18"/>
                <w:szCs w:val="14"/>
              </w:rPr>
              <w:t>Inventories</w:t>
            </w:r>
          </w:p>
        </w:tc>
        <w:tc>
          <w:tcPr>
            <w:tcW w:w="1924" w:type="dxa"/>
          </w:tcPr>
          <w:p w14:paraId="56A5E854" w14:textId="77777777" w:rsidR="00B02873" w:rsidRPr="00002F2B" w:rsidRDefault="00B02873" w:rsidP="00002F2B">
            <w:pPr>
              <w:pStyle w:val="TablebodyleftFinancialsTables"/>
              <w:jc w:val="right"/>
              <w:rPr>
                <w:rFonts w:asciiTheme="minorHAnsi" w:hAnsiTheme="minorHAnsi" w:cstheme="minorHAnsi"/>
                <w:b/>
                <w:bCs/>
                <w:sz w:val="18"/>
                <w:szCs w:val="14"/>
              </w:rPr>
            </w:pPr>
            <w:r w:rsidRPr="00002F2B">
              <w:rPr>
                <w:rFonts w:asciiTheme="minorHAnsi" w:hAnsiTheme="minorHAnsi" w:cstheme="minorHAnsi"/>
                <w:b/>
                <w:bCs/>
                <w:sz w:val="18"/>
                <w:szCs w:val="14"/>
              </w:rPr>
              <w:t>21,014</w:t>
            </w:r>
          </w:p>
        </w:tc>
        <w:tc>
          <w:tcPr>
            <w:tcW w:w="1925" w:type="dxa"/>
          </w:tcPr>
          <w:p w14:paraId="35CEC0AC" w14:textId="77777777" w:rsidR="00B02873" w:rsidRPr="00002F2B" w:rsidRDefault="00B02873" w:rsidP="00002F2B">
            <w:pPr>
              <w:pStyle w:val="TablebodyleftFinancialsTables"/>
              <w:jc w:val="right"/>
              <w:rPr>
                <w:rFonts w:asciiTheme="minorHAnsi" w:hAnsiTheme="minorHAnsi" w:cstheme="minorHAnsi"/>
                <w:sz w:val="18"/>
                <w:szCs w:val="14"/>
              </w:rPr>
            </w:pPr>
            <w:r w:rsidRPr="00002F2B">
              <w:rPr>
                <w:rFonts w:asciiTheme="minorHAnsi" w:hAnsiTheme="minorHAnsi" w:cstheme="minorHAnsi"/>
                <w:sz w:val="18"/>
                <w:szCs w:val="14"/>
              </w:rPr>
              <w:t>23,531</w:t>
            </w:r>
          </w:p>
        </w:tc>
        <w:tc>
          <w:tcPr>
            <w:tcW w:w="1254" w:type="dxa"/>
          </w:tcPr>
          <w:p w14:paraId="57C25E60" w14:textId="71B54AEB" w:rsidR="00B02873" w:rsidRPr="00002F2B" w:rsidRDefault="00012C04" w:rsidP="00002F2B">
            <w:pPr>
              <w:pStyle w:val="TablebodyleftFinancialsTables"/>
              <w:jc w:val="right"/>
              <w:rPr>
                <w:rFonts w:asciiTheme="minorHAnsi" w:hAnsiTheme="minorHAnsi" w:cstheme="minorHAnsi"/>
                <w:b/>
                <w:bCs/>
                <w:sz w:val="18"/>
                <w:szCs w:val="14"/>
              </w:rPr>
            </w:pPr>
            <w:r w:rsidRPr="00002F2B">
              <w:rPr>
                <w:rFonts w:asciiTheme="minorHAnsi" w:hAnsiTheme="minorHAnsi" w:cstheme="minorHAnsi"/>
                <w:b/>
                <w:bCs/>
                <w:sz w:val="18"/>
                <w:szCs w:val="14"/>
              </w:rPr>
              <w:t xml:space="preserve"> </w:t>
            </w:r>
            <w:r w:rsidR="00B02873" w:rsidRPr="00002F2B">
              <w:rPr>
                <w:rFonts w:asciiTheme="minorHAnsi" w:hAnsiTheme="minorHAnsi" w:cstheme="minorHAnsi"/>
                <w:b/>
                <w:bCs/>
                <w:sz w:val="18"/>
                <w:szCs w:val="14"/>
              </w:rPr>
              <w:t xml:space="preserve"> 6</w:t>
            </w:r>
          </w:p>
        </w:tc>
        <w:tc>
          <w:tcPr>
            <w:tcW w:w="1134" w:type="dxa"/>
          </w:tcPr>
          <w:p w14:paraId="56AB6530" w14:textId="77777777" w:rsidR="00B02873" w:rsidRPr="00002F2B" w:rsidRDefault="00B02873" w:rsidP="00002F2B">
            <w:pPr>
              <w:pStyle w:val="TablebodyleftFinancialsTables"/>
              <w:jc w:val="right"/>
              <w:rPr>
                <w:rFonts w:asciiTheme="minorHAnsi" w:hAnsiTheme="minorHAnsi" w:cstheme="minorHAnsi"/>
                <w:sz w:val="18"/>
                <w:szCs w:val="14"/>
              </w:rPr>
            </w:pPr>
            <w:r w:rsidRPr="00002F2B">
              <w:rPr>
                <w:rFonts w:asciiTheme="minorHAnsi" w:hAnsiTheme="minorHAnsi" w:cstheme="minorHAnsi"/>
                <w:sz w:val="18"/>
                <w:szCs w:val="14"/>
              </w:rPr>
              <w:t>6</w:t>
            </w:r>
          </w:p>
        </w:tc>
      </w:tr>
      <w:tr w:rsidR="00B02873" w:rsidRPr="00002F2B" w14:paraId="30FB09E2" w14:textId="77777777" w:rsidTr="00277ECD">
        <w:tc>
          <w:tcPr>
            <w:tcW w:w="3397" w:type="dxa"/>
          </w:tcPr>
          <w:p w14:paraId="5AE2CFF3" w14:textId="77777777" w:rsidR="00B02873" w:rsidRPr="00002F2B" w:rsidRDefault="00B02873" w:rsidP="007032F5">
            <w:pPr>
              <w:pStyle w:val="TablebodyleftFinancialsTables"/>
              <w:rPr>
                <w:rFonts w:asciiTheme="minorHAnsi" w:hAnsiTheme="minorHAnsi" w:cstheme="minorHAnsi"/>
                <w:sz w:val="18"/>
                <w:szCs w:val="14"/>
              </w:rPr>
            </w:pPr>
            <w:r w:rsidRPr="00002F2B">
              <w:rPr>
                <w:rFonts w:asciiTheme="minorHAnsi" w:hAnsiTheme="minorHAnsi" w:cstheme="minorHAnsi"/>
                <w:spacing w:val="-1"/>
                <w:sz w:val="18"/>
                <w:szCs w:val="14"/>
              </w:rPr>
              <w:t>Non-financial physical assets classified as held for sale</w:t>
            </w:r>
          </w:p>
        </w:tc>
        <w:tc>
          <w:tcPr>
            <w:tcW w:w="1924" w:type="dxa"/>
          </w:tcPr>
          <w:p w14:paraId="4A5077DE" w14:textId="77777777" w:rsidR="00B02873" w:rsidRPr="00002F2B" w:rsidRDefault="00B02873" w:rsidP="00002F2B">
            <w:pPr>
              <w:pStyle w:val="TablebodyleftFinancialsTables"/>
              <w:jc w:val="right"/>
              <w:rPr>
                <w:rFonts w:asciiTheme="minorHAnsi" w:hAnsiTheme="minorHAnsi" w:cstheme="minorHAnsi"/>
                <w:b/>
                <w:bCs/>
                <w:sz w:val="18"/>
                <w:szCs w:val="14"/>
              </w:rPr>
            </w:pPr>
            <w:r w:rsidRPr="00002F2B">
              <w:rPr>
                <w:rFonts w:asciiTheme="minorHAnsi" w:hAnsiTheme="minorHAnsi" w:cstheme="minorHAnsi"/>
                <w:b/>
                <w:bCs/>
                <w:sz w:val="18"/>
                <w:szCs w:val="14"/>
              </w:rPr>
              <w:t>279</w:t>
            </w:r>
          </w:p>
        </w:tc>
        <w:tc>
          <w:tcPr>
            <w:tcW w:w="1925" w:type="dxa"/>
          </w:tcPr>
          <w:p w14:paraId="0C134A48" w14:textId="77777777" w:rsidR="00B02873" w:rsidRPr="00002F2B" w:rsidRDefault="00B02873" w:rsidP="00002F2B">
            <w:pPr>
              <w:pStyle w:val="TablebodyleftFinancialsTables"/>
              <w:jc w:val="right"/>
              <w:rPr>
                <w:rFonts w:asciiTheme="minorHAnsi" w:hAnsiTheme="minorHAnsi" w:cstheme="minorHAnsi"/>
                <w:sz w:val="18"/>
                <w:szCs w:val="14"/>
              </w:rPr>
            </w:pPr>
            <w:r w:rsidRPr="00002F2B">
              <w:rPr>
                <w:rFonts w:asciiTheme="minorHAnsi" w:hAnsiTheme="minorHAnsi" w:cstheme="minorHAnsi"/>
                <w:sz w:val="18"/>
                <w:szCs w:val="14"/>
              </w:rPr>
              <w:t>208</w:t>
            </w:r>
          </w:p>
        </w:tc>
        <w:tc>
          <w:tcPr>
            <w:tcW w:w="1254" w:type="dxa"/>
          </w:tcPr>
          <w:p w14:paraId="5B155C55" w14:textId="77777777" w:rsidR="00B02873" w:rsidRPr="00002F2B" w:rsidRDefault="00B02873" w:rsidP="00002F2B">
            <w:pPr>
              <w:pStyle w:val="TablebodyleftFinancialsTables"/>
              <w:jc w:val="right"/>
              <w:rPr>
                <w:rFonts w:asciiTheme="minorHAnsi" w:hAnsiTheme="minorHAnsi" w:cstheme="minorHAnsi"/>
                <w:b/>
                <w:bCs/>
                <w:sz w:val="18"/>
                <w:szCs w:val="14"/>
              </w:rPr>
            </w:pPr>
            <w:r w:rsidRPr="00002F2B">
              <w:rPr>
                <w:rFonts w:asciiTheme="minorHAnsi" w:hAnsiTheme="minorHAnsi" w:cstheme="minorHAnsi"/>
                <w:b/>
                <w:bCs/>
                <w:sz w:val="18"/>
                <w:szCs w:val="14"/>
              </w:rPr>
              <w:t>4,027</w:t>
            </w:r>
          </w:p>
        </w:tc>
        <w:tc>
          <w:tcPr>
            <w:tcW w:w="1134" w:type="dxa"/>
          </w:tcPr>
          <w:p w14:paraId="5D842136" w14:textId="77777777" w:rsidR="00B02873" w:rsidRPr="00002F2B" w:rsidRDefault="00B02873" w:rsidP="00002F2B">
            <w:pPr>
              <w:pStyle w:val="TablebodyleftFinancialsTables"/>
              <w:jc w:val="right"/>
              <w:rPr>
                <w:rFonts w:asciiTheme="minorHAnsi" w:hAnsiTheme="minorHAnsi" w:cstheme="minorHAnsi"/>
                <w:sz w:val="18"/>
                <w:szCs w:val="14"/>
              </w:rPr>
            </w:pPr>
            <w:r w:rsidRPr="00002F2B">
              <w:rPr>
                <w:rFonts w:asciiTheme="minorHAnsi" w:hAnsiTheme="minorHAnsi" w:cstheme="minorHAnsi"/>
                <w:sz w:val="18"/>
                <w:szCs w:val="14"/>
              </w:rPr>
              <w:t>2,548</w:t>
            </w:r>
          </w:p>
        </w:tc>
      </w:tr>
      <w:tr w:rsidR="00B02873" w:rsidRPr="00002F2B" w14:paraId="6C871A33" w14:textId="77777777" w:rsidTr="00277ECD">
        <w:tc>
          <w:tcPr>
            <w:tcW w:w="3397" w:type="dxa"/>
          </w:tcPr>
          <w:p w14:paraId="29B6E0D8" w14:textId="77777777" w:rsidR="00B02873" w:rsidRPr="00002F2B" w:rsidRDefault="00B02873" w:rsidP="007032F5">
            <w:pPr>
              <w:pStyle w:val="TablebodyleftFinancialsTables"/>
              <w:rPr>
                <w:rFonts w:asciiTheme="minorHAnsi" w:hAnsiTheme="minorHAnsi" w:cstheme="minorHAnsi"/>
                <w:sz w:val="18"/>
                <w:szCs w:val="14"/>
              </w:rPr>
            </w:pPr>
            <w:r w:rsidRPr="00002F2B">
              <w:rPr>
                <w:rFonts w:asciiTheme="minorHAnsi" w:hAnsiTheme="minorHAnsi" w:cstheme="minorHAnsi"/>
                <w:sz w:val="18"/>
                <w:szCs w:val="14"/>
              </w:rPr>
              <w:t>Property, plant and equipment</w:t>
            </w:r>
          </w:p>
        </w:tc>
        <w:tc>
          <w:tcPr>
            <w:tcW w:w="1924" w:type="dxa"/>
          </w:tcPr>
          <w:p w14:paraId="67DC8BB8" w14:textId="77777777" w:rsidR="00B02873" w:rsidRPr="00002F2B" w:rsidRDefault="00B02873" w:rsidP="00002F2B">
            <w:pPr>
              <w:pStyle w:val="TablebodyleftFinancialsTables"/>
              <w:jc w:val="right"/>
              <w:rPr>
                <w:rFonts w:asciiTheme="minorHAnsi" w:hAnsiTheme="minorHAnsi" w:cstheme="minorHAnsi"/>
                <w:b/>
                <w:bCs/>
                <w:sz w:val="18"/>
                <w:szCs w:val="14"/>
              </w:rPr>
            </w:pPr>
            <w:r w:rsidRPr="00002F2B">
              <w:rPr>
                <w:rFonts w:asciiTheme="minorHAnsi" w:hAnsiTheme="minorHAnsi" w:cstheme="minorHAnsi"/>
                <w:b/>
                <w:bCs/>
                <w:sz w:val="18"/>
                <w:szCs w:val="14"/>
              </w:rPr>
              <w:t>987,248</w:t>
            </w:r>
          </w:p>
        </w:tc>
        <w:tc>
          <w:tcPr>
            <w:tcW w:w="1925" w:type="dxa"/>
          </w:tcPr>
          <w:p w14:paraId="12E8F61A" w14:textId="77777777" w:rsidR="00B02873" w:rsidRPr="00002F2B" w:rsidRDefault="00B02873" w:rsidP="00002F2B">
            <w:pPr>
              <w:pStyle w:val="TablebodyleftFinancialsTables"/>
              <w:jc w:val="right"/>
              <w:rPr>
                <w:rFonts w:asciiTheme="minorHAnsi" w:hAnsiTheme="minorHAnsi" w:cstheme="minorHAnsi"/>
                <w:sz w:val="18"/>
                <w:szCs w:val="14"/>
              </w:rPr>
            </w:pPr>
            <w:r w:rsidRPr="00002F2B">
              <w:rPr>
                <w:rFonts w:asciiTheme="minorHAnsi" w:hAnsiTheme="minorHAnsi" w:cstheme="minorHAnsi"/>
                <w:sz w:val="18"/>
                <w:szCs w:val="14"/>
              </w:rPr>
              <w:t>1,017,220</w:t>
            </w:r>
          </w:p>
        </w:tc>
        <w:tc>
          <w:tcPr>
            <w:tcW w:w="1254" w:type="dxa"/>
          </w:tcPr>
          <w:p w14:paraId="0E35F846" w14:textId="77777777" w:rsidR="00B02873" w:rsidRPr="00002F2B" w:rsidRDefault="00B02873" w:rsidP="00002F2B">
            <w:pPr>
              <w:pStyle w:val="TablebodyleftFinancialsTables"/>
              <w:jc w:val="right"/>
              <w:rPr>
                <w:rFonts w:asciiTheme="minorHAnsi" w:hAnsiTheme="minorHAnsi" w:cstheme="minorHAnsi"/>
                <w:b/>
                <w:bCs/>
                <w:sz w:val="18"/>
                <w:szCs w:val="14"/>
              </w:rPr>
            </w:pPr>
            <w:r w:rsidRPr="00002F2B">
              <w:rPr>
                <w:rFonts w:asciiTheme="minorHAnsi" w:hAnsiTheme="minorHAnsi" w:cstheme="minorHAnsi"/>
                <w:b/>
                <w:bCs/>
                <w:sz w:val="18"/>
                <w:szCs w:val="14"/>
              </w:rPr>
              <w:t>18,615</w:t>
            </w:r>
          </w:p>
        </w:tc>
        <w:tc>
          <w:tcPr>
            <w:tcW w:w="1134" w:type="dxa"/>
          </w:tcPr>
          <w:p w14:paraId="47824B14" w14:textId="77777777" w:rsidR="00B02873" w:rsidRPr="00002F2B" w:rsidRDefault="00B02873" w:rsidP="00002F2B">
            <w:pPr>
              <w:pStyle w:val="TablebodyleftFinancialsTables"/>
              <w:jc w:val="right"/>
              <w:rPr>
                <w:rFonts w:asciiTheme="minorHAnsi" w:hAnsiTheme="minorHAnsi" w:cstheme="minorHAnsi"/>
                <w:sz w:val="18"/>
                <w:szCs w:val="14"/>
              </w:rPr>
            </w:pPr>
            <w:r w:rsidRPr="00002F2B">
              <w:rPr>
                <w:rFonts w:asciiTheme="minorHAnsi" w:hAnsiTheme="minorHAnsi" w:cstheme="minorHAnsi"/>
                <w:sz w:val="18"/>
                <w:szCs w:val="14"/>
              </w:rPr>
              <w:t>20,388</w:t>
            </w:r>
          </w:p>
        </w:tc>
      </w:tr>
      <w:tr w:rsidR="00B02873" w:rsidRPr="00002F2B" w14:paraId="162AE5D2" w14:textId="77777777" w:rsidTr="00277ECD">
        <w:tc>
          <w:tcPr>
            <w:tcW w:w="3397" w:type="dxa"/>
          </w:tcPr>
          <w:p w14:paraId="160511DD" w14:textId="77777777" w:rsidR="00B02873" w:rsidRPr="00002F2B" w:rsidRDefault="00B02873" w:rsidP="007032F5">
            <w:pPr>
              <w:pStyle w:val="TablebodyleftFinancialsTables"/>
              <w:rPr>
                <w:rFonts w:asciiTheme="minorHAnsi" w:hAnsiTheme="minorHAnsi" w:cstheme="minorHAnsi"/>
                <w:sz w:val="18"/>
                <w:szCs w:val="14"/>
              </w:rPr>
            </w:pPr>
            <w:r w:rsidRPr="00002F2B">
              <w:rPr>
                <w:rFonts w:asciiTheme="minorHAnsi" w:hAnsiTheme="minorHAnsi" w:cstheme="minorHAnsi"/>
                <w:sz w:val="18"/>
                <w:szCs w:val="14"/>
              </w:rPr>
              <w:t>Intangible assets</w:t>
            </w:r>
          </w:p>
        </w:tc>
        <w:tc>
          <w:tcPr>
            <w:tcW w:w="1924" w:type="dxa"/>
          </w:tcPr>
          <w:p w14:paraId="5B8AFE29" w14:textId="77777777" w:rsidR="00B02873" w:rsidRPr="00002F2B" w:rsidRDefault="00B02873" w:rsidP="00002F2B">
            <w:pPr>
              <w:pStyle w:val="TablebodyleftFinancialsTables"/>
              <w:jc w:val="right"/>
              <w:rPr>
                <w:rFonts w:asciiTheme="minorHAnsi" w:hAnsiTheme="minorHAnsi" w:cstheme="minorHAnsi"/>
                <w:b/>
                <w:bCs/>
                <w:sz w:val="18"/>
                <w:szCs w:val="14"/>
              </w:rPr>
            </w:pPr>
            <w:r w:rsidRPr="00002F2B">
              <w:rPr>
                <w:rFonts w:asciiTheme="minorHAnsi" w:hAnsiTheme="minorHAnsi" w:cstheme="minorHAnsi"/>
                <w:b/>
                <w:bCs/>
                <w:sz w:val="18"/>
                <w:szCs w:val="14"/>
              </w:rPr>
              <w:t>13,463</w:t>
            </w:r>
          </w:p>
        </w:tc>
        <w:tc>
          <w:tcPr>
            <w:tcW w:w="1925" w:type="dxa"/>
          </w:tcPr>
          <w:p w14:paraId="7E45518B" w14:textId="77777777" w:rsidR="00B02873" w:rsidRPr="00002F2B" w:rsidRDefault="00B02873" w:rsidP="00002F2B">
            <w:pPr>
              <w:pStyle w:val="TablebodyleftFinancialsTables"/>
              <w:jc w:val="right"/>
              <w:rPr>
                <w:rFonts w:asciiTheme="minorHAnsi" w:hAnsiTheme="minorHAnsi" w:cstheme="minorHAnsi"/>
                <w:sz w:val="18"/>
                <w:szCs w:val="14"/>
              </w:rPr>
            </w:pPr>
            <w:r w:rsidRPr="00002F2B">
              <w:rPr>
                <w:rFonts w:asciiTheme="minorHAnsi" w:hAnsiTheme="minorHAnsi" w:cstheme="minorHAnsi"/>
                <w:sz w:val="18"/>
                <w:szCs w:val="14"/>
              </w:rPr>
              <w:t>14,673</w:t>
            </w:r>
          </w:p>
        </w:tc>
        <w:tc>
          <w:tcPr>
            <w:tcW w:w="1254" w:type="dxa"/>
          </w:tcPr>
          <w:p w14:paraId="44563BDB" w14:textId="77777777" w:rsidR="00B02873" w:rsidRPr="00002F2B" w:rsidRDefault="00B02873" w:rsidP="00002F2B">
            <w:pPr>
              <w:pStyle w:val="TablebodyleftFinancialsTables"/>
              <w:jc w:val="right"/>
              <w:rPr>
                <w:rFonts w:asciiTheme="minorHAnsi" w:hAnsiTheme="minorHAnsi" w:cstheme="minorHAnsi"/>
                <w:b/>
                <w:bCs/>
                <w:sz w:val="18"/>
                <w:szCs w:val="14"/>
              </w:rPr>
            </w:pPr>
            <w:r w:rsidRPr="00002F2B">
              <w:rPr>
                <w:rFonts w:asciiTheme="minorHAnsi" w:hAnsiTheme="minorHAnsi" w:cstheme="minorHAnsi"/>
                <w:b/>
                <w:bCs/>
                <w:sz w:val="18"/>
                <w:szCs w:val="14"/>
              </w:rPr>
              <w:t>–</w:t>
            </w:r>
          </w:p>
        </w:tc>
        <w:tc>
          <w:tcPr>
            <w:tcW w:w="1134" w:type="dxa"/>
          </w:tcPr>
          <w:p w14:paraId="3B430BDD" w14:textId="77777777" w:rsidR="00B02873" w:rsidRPr="00002F2B" w:rsidRDefault="00B02873" w:rsidP="00002F2B">
            <w:pPr>
              <w:pStyle w:val="TablebodyleftFinancialsTables"/>
              <w:jc w:val="right"/>
              <w:rPr>
                <w:rFonts w:asciiTheme="minorHAnsi" w:hAnsiTheme="minorHAnsi" w:cstheme="minorHAnsi"/>
                <w:sz w:val="18"/>
                <w:szCs w:val="14"/>
              </w:rPr>
            </w:pPr>
            <w:r w:rsidRPr="00002F2B">
              <w:rPr>
                <w:rFonts w:asciiTheme="minorHAnsi" w:hAnsiTheme="minorHAnsi" w:cstheme="minorHAnsi"/>
                <w:sz w:val="18"/>
                <w:szCs w:val="14"/>
              </w:rPr>
              <w:t>–</w:t>
            </w:r>
          </w:p>
        </w:tc>
      </w:tr>
      <w:tr w:rsidR="00B02873" w:rsidRPr="00002F2B" w14:paraId="00FC3096" w14:textId="77777777" w:rsidTr="00277ECD">
        <w:tc>
          <w:tcPr>
            <w:tcW w:w="3397" w:type="dxa"/>
          </w:tcPr>
          <w:p w14:paraId="06BF562D" w14:textId="77777777" w:rsidR="00B02873" w:rsidRPr="00002F2B" w:rsidRDefault="00B02873" w:rsidP="007032F5">
            <w:pPr>
              <w:pStyle w:val="TablebodyleftFinancialsTables"/>
              <w:rPr>
                <w:rFonts w:asciiTheme="minorHAnsi" w:hAnsiTheme="minorHAnsi" w:cstheme="minorHAnsi"/>
                <w:sz w:val="18"/>
                <w:szCs w:val="14"/>
              </w:rPr>
            </w:pPr>
            <w:r w:rsidRPr="00002F2B">
              <w:rPr>
                <w:rFonts w:asciiTheme="minorHAnsi" w:hAnsiTheme="minorHAnsi" w:cstheme="minorHAnsi"/>
                <w:sz w:val="18"/>
                <w:szCs w:val="14"/>
              </w:rPr>
              <w:t>Prepayments</w:t>
            </w:r>
          </w:p>
        </w:tc>
        <w:tc>
          <w:tcPr>
            <w:tcW w:w="1924" w:type="dxa"/>
          </w:tcPr>
          <w:p w14:paraId="7559A841" w14:textId="77777777" w:rsidR="00B02873" w:rsidRPr="00002F2B" w:rsidRDefault="00B02873" w:rsidP="00002F2B">
            <w:pPr>
              <w:pStyle w:val="TablebodyleftFinancialsTables"/>
              <w:jc w:val="right"/>
              <w:rPr>
                <w:rFonts w:asciiTheme="minorHAnsi" w:hAnsiTheme="minorHAnsi" w:cstheme="minorHAnsi"/>
                <w:b/>
                <w:bCs/>
                <w:sz w:val="18"/>
                <w:szCs w:val="14"/>
              </w:rPr>
            </w:pPr>
            <w:r w:rsidRPr="00002F2B">
              <w:rPr>
                <w:rFonts w:asciiTheme="minorHAnsi" w:hAnsiTheme="minorHAnsi" w:cstheme="minorHAnsi"/>
                <w:b/>
                <w:bCs/>
                <w:sz w:val="18"/>
                <w:szCs w:val="14"/>
              </w:rPr>
              <w:t>656</w:t>
            </w:r>
          </w:p>
        </w:tc>
        <w:tc>
          <w:tcPr>
            <w:tcW w:w="1925" w:type="dxa"/>
          </w:tcPr>
          <w:p w14:paraId="0B98B064" w14:textId="77777777" w:rsidR="00B02873" w:rsidRPr="00002F2B" w:rsidRDefault="00B02873" w:rsidP="00002F2B">
            <w:pPr>
              <w:pStyle w:val="TablebodyleftFinancialsTables"/>
              <w:jc w:val="right"/>
              <w:rPr>
                <w:rFonts w:asciiTheme="minorHAnsi" w:hAnsiTheme="minorHAnsi" w:cstheme="minorHAnsi"/>
                <w:sz w:val="18"/>
                <w:szCs w:val="14"/>
              </w:rPr>
            </w:pPr>
            <w:r w:rsidRPr="00002F2B">
              <w:rPr>
                <w:rFonts w:asciiTheme="minorHAnsi" w:hAnsiTheme="minorHAnsi" w:cstheme="minorHAnsi"/>
                <w:sz w:val="18"/>
                <w:szCs w:val="14"/>
              </w:rPr>
              <w:t>928</w:t>
            </w:r>
          </w:p>
        </w:tc>
        <w:tc>
          <w:tcPr>
            <w:tcW w:w="1254" w:type="dxa"/>
          </w:tcPr>
          <w:p w14:paraId="7BB399A8" w14:textId="77777777" w:rsidR="00B02873" w:rsidRPr="00002F2B" w:rsidRDefault="00B02873" w:rsidP="00002F2B">
            <w:pPr>
              <w:pStyle w:val="TablebodyleftFinancialsTables"/>
              <w:jc w:val="right"/>
              <w:rPr>
                <w:rFonts w:asciiTheme="minorHAnsi" w:hAnsiTheme="minorHAnsi" w:cstheme="minorHAnsi"/>
                <w:b/>
                <w:bCs/>
                <w:sz w:val="18"/>
                <w:szCs w:val="14"/>
              </w:rPr>
            </w:pPr>
            <w:r w:rsidRPr="00002F2B">
              <w:rPr>
                <w:rFonts w:asciiTheme="minorHAnsi" w:hAnsiTheme="minorHAnsi" w:cstheme="minorHAnsi"/>
                <w:b/>
                <w:bCs/>
                <w:sz w:val="18"/>
                <w:szCs w:val="14"/>
              </w:rPr>
              <w:t xml:space="preserve"> 417</w:t>
            </w:r>
          </w:p>
        </w:tc>
        <w:tc>
          <w:tcPr>
            <w:tcW w:w="1134" w:type="dxa"/>
          </w:tcPr>
          <w:p w14:paraId="341ABE1D" w14:textId="77777777" w:rsidR="00B02873" w:rsidRPr="00002F2B" w:rsidRDefault="00B02873" w:rsidP="00002F2B">
            <w:pPr>
              <w:pStyle w:val="TablebodyleftFinancialsTables"/>
              <w:jc w:val="right"/>
              <w:rPr>
                <w:rFonts w:asciiTheme="minorHAnsi" w:hAnsiTheme="minorHAnsi" w:cstheme="minorHAnsi"/>
                <w:sz w:val="18"/>
                <w:szCs w:val="14"/>
              </w:rPr>
            </w:pPr>
            <w:r w:rsidRPr="00002F2B">
              <w:rPr>
                <w:rFonts w:asciiTheme="minorHAnsi" w:hAnsiTheme="minorHAnsi" w:cstheme="minorHAnsi"/>
                <w:sz w:val="18"/>
                <w:szCs w:val="14"/>
              </w:rPr>
              <w:t>568</w:t>
            </w:r>
          </w:p>
        </w:tc>
      </w:tr>
      <w:tr w:rsidR="00B02873" w:rsidRPr="00002F2B" w14:paraId="6296D278" w14:textId="77777777" w:rsidTr="00277ECD">
        <w:tc>
          <w:tcPr>
            <w:tcW w:w="3397" w:type="dxa"/>
          </w:tcPr>
          <w:p w14:paraId="65E099FF" w14:textId="77777777" w:rsidR="00B02873" w:rsidRPr="00002F2B" w:rsidRDefault="00B02873" w:rsidP="007032F5">
            <w:pPr>
              <w:pStyle w:val="TablebodyleftFinancialsTables"/>
              <w:rPr>
                <w:rFonts w:asciiTheme="minorHAnsi" w:hAnsiTheme="minorHAnsi" w:cstheme="minorHAnsi"/>
                <w:b/>
                <w:bCs/>
                <w:sz w:val="18"/>
                <w:szCs w:val="14"/>
              </w:rPr>
            </w:pPr>
            <w:r w:rsidRPr="00002F2B">
              <w:rPr>
                <w:rFonts w:asciiTheme="minorHAnsi" w:hAnsiTheme="minorHAnsi" w:cstheme="minorHAnsi"/>
                <w:b/>
                <w:bCs/>
                <w:sz w:val="18"/>
                <w:szCs w:val="14"/>
              </w:rPr>
              <w:t>Total non-financial assets</w:t>
            </w:r>
          </w:p>
        </w:tc>
        <w:tc>
          <w:tcPr>
            <w:tcW w:w="1924" w:type="dxa"/>
          </w:tcPr>
          <w:p w14:paraId="7480AB9E" w14:textId="77777777" w:rsidR="00B02873" w:rsidRPr="00002F2B" w:rsidRDefault="00B02873" w:rsidP="00002F2B">
            <w:pPr>
              <w:pStyle w:val="TablebodyleftFinancialsTables"/>
              <w:jc w:val="right"/>
              <w:rPr>
                <w:rFonts w:asciiTheme="minorHAnsi" w:hAnsiTheme="minorHAnsi" w:cstheme="minorHAnsi"/>
                <w:b/>
                <w:bCs/>
                <w:sz w:val="18"/>
                <w:szCs w:val="14"/>
              </w:rPr>
            </w:pPr>
            <w:r w:rsidRPr="00002F2B">
              <w:rPr>
                <w:rFonts w:asciiTheme="minorHAnsi" w:hAnsiTheme="minorHAnsi" w:cstheme="minorHAnsi"/>
                <w:b/>
                <w:bCs/>
                <w:sz w:val="18"/>
                <w:szCs w:val="14"/>
              </w:rPr>
              <w:t>1,022,660</w:t>
            </w:r>
          </w:p>
        </w:tc>
        <w:tc>
          <w:tcPr>
            <w:tcW w:w="1925" w:type="dxa"/>
          </w:tcPr>
          <w:p w14:paraId="0744CBDB" w14:textId="77777777" w:rsidR="00B02873" w:rsidRPr="00002F2B" w:rsidRDefault="00B02873" w:rsidP="00002F2B">
            <w:pPr>
              <w:pStyle w:val="TablebodyleftFinancialsTables"/>
              <w:jc w:val="right"/>
              <w:rPr>
                <w:rFonts w:asciiTheme="minorHAnsi" w:hAnsiTheme="minorHAnsi" w:cstheme="minorHAnsi"/>
                <w:sz w:val="18"/>
                <w:szCs w:val="14"/>
              </w:rPr>
            </w:pPr>
            <w:r w:rsidRPr="00002F2B">
              <w:rPr>
                <w:rFonts w:asciiTheme="minorHAnsi" w:hAnsiTheme="minorHAnsi" w:cstheme="minorHAnsi"/>
                <w:sz w:val="18"/>
                <w:szCs w:val="14"/>
              </w:rPr>
              <w:t>1,056,560</w:t>
            </w:r>
          </w:p>
        </w:tc>
        <w:tc>
          <w:tcPr>
            <w:tcW w:w="1254" w:type="dxa"/>
          </w:tcPr>
          <w:p w14:paraId="754D42FB" w14:textId="77777777" w:rsidR="00B02873" w:rsidRPr="00002F2B" w:rsidRDefault="00B02873" w:rsidP="00002F2B">
            <w:pPr>
              <w:pStyle w:val="TablebodyleftFinancialsTables"/>
              <w:jc w:val="right"/>
              <w:rPr>
                <w:rFonts w:asciiTheme="minorHAnsi" w:hAnsiTheme="minorHAnsi" w:cstheme="minorHAnsi"/>
                <w:b/>
                <w:bCs/>
                <w:sz w:val="18"/>
                <w:szCs w:val="14"/>
              </w:rPr>
            </w:pPr>
            <w:r w:rsidRPr="00002F2B">
              <w:rPr>
                <w:rFonts w:asciiTheme="minorHAnsi" w:hAnsiTheme="minorHAnsi" w:cstheme="minorHAnsi"/>
                <w:b/>
                <w:bCs/>
                <w:sz w:val="18"/>
                <w:szCs w:val="14"/>
              </w:rPr>
              <w:t>23,065</w:t>
            </w:r>
          </w:p>
        </w:tc>
        <w:tc>
          <w:tcPr>
            <w:tcW w:w="1134" w:type="dxa"/>
          </w:tcPr>
          <w:p w14:paraId="300FA0C1" w14:textId="77777777" w:rsidR="00B02873" w:rsidRPr="00002F2B" w:rsidRDefault="00B02873" w:rsidP="00002F2B">
            <w:pPr>
              <w:pStyle w:val="TablebodyleftFinancialsTables"/>
              <w:jc w:val="right"/>
              <w:rPr>
                <w:rFonts w:asciiTheme="minorHAnsi" w:hAnsiTheme="minorHAnsi" w:cstheme="minorHAnsi"/>
                <w:sz w:val="18"/>
                <w:szCs w:val="14"/>
              </w:rPr>
            </w:pPr>
            <w:r w:rsidRPr="00002F2B">
              <w:rPr>
                <w:rFonts w:asciiTheme="minorHAnsi" w:hAnsiTheme="minorHAnsi" w:cstheme="minorHAnsi"/>
                <w:sz w:val="18"/>
                <w:szCs w:val="14"/>
              </w:rPr>
              <w:t>23,510</w:t>
            </w:r>
          </w:p>
        </w:tc>
      </w:tr>
      <w:tr w:rsidR="00B02873" w:rsidRPr="00002F2B" w14:paraId="4E1694EA" w14:textId="77777777" w:rsidTr="00277ECD">
        <w:tc>
          <w:tcPr>
            <w:tcW w:w="3397" w:type="dxa"/>
          </w:tcPr>
          <w:p w14:paraId="4F1534F0" w14:textId="77777777" w:rsidR="00B02873" w:rsidRPr="00002F2B" w:rsidRDefault="00B02873" w:rsidP="007032F5">
            <w:pPr>
              <w:pStyle w:val="TablebodyleftFinancialsTables"/>
              <w:rPr>
                <w:rFonts w:asciiTheme="minorHAnsi" w:hAnsiTheme="minorHAnsi" w:cstheme="minorHAnsi"/>
                <w:b/>
                <w:bCs/>
                <w:sz w:val="18"/>
                <w:szCs w:val="14"/>
              </w:rPr>
            </w:pPr>
            <w:r w:rsidRPr="00002F2B">
              <w:rPr>
                <w:rFonts w:asciiTheme="minorHAnsi" w:hAnsiTheme="minorHAnsi" w:cstheme="minorHAnsi"/>
                <w:b/>
                <w:bCs/>
                <w:sz w:val="18"/>
                <w:szCs w:val="14"/>
              </w:rPr>
              <w:t>Total assets</w:t>
            </w:r>
          </w:p>
        </w:tc>
        <w:tc>
          <w:tcPr>
            <w:tcW w:w="1924" w:type="dxa"/>
          </w:tcPr>
          <w:p w14:paraId="7B9CB1E0" w14:textId="77777777" w:rsidR="00B02873" w:rsidRPr="00002F2B" w:rsidRDefault="00B02873" w:rsidP="00002F2B">
            <w:pPr>
              <w:pStyle w:val="TablebodyleftFinancialsTables"/>
              <w:jc w:val="right"/>
              <w:rPr>
                <w:rFonts w:asciiTheme="minorHAnsi" w:hAnsiTheme="minorHAnsi" w:cstheme="minorHAnsi"/>
                <w:b/>
                <w:bCs/>
                <w:sz w:val="18"/>
                <w:szCs w:val="14"/>
              </w:rPr>
            </w:pPr>
            <w:r w:rsidRPr="00002F2B">
              <w:rPr>
                <w:rFonts w:asciiTheme="minorHAnsi" w:hAnsiTheme="minorHAnsi" w:cstheme="minorHAnsi"/>
                <w:b/>
                <w:bCs/>
                <w:sz w:val="18"/>
                <w:szCs w:val="14"/>
              </w:rPr>
              <w:t>1,259,822</w:t>
            </w:r>
          </w:p>
        </w:tc>
        <w:tc>
          <w:tcPr>
            <w:tcW w:w="1925" w:type="dxa"/>
          </w:tcPr>
          <w:p w14:paraId="4560E4A6" w14:textId="77777777" w:rsidR="00B02873" w:rsidRPr="00002F2B" w:rsidRDefault="00B02873" w:rsidP="00002F2B">
            <w:pPr>
              <w:pStyle w:val="TablebodyleftFinancialsTables"/>
              <w:jc w:val="right"/>
              <w:rPr>
                <w:rFonts w:asciiTheme="minorHAnsi" w:hAnsiTheme="minorHAnsi" w:cstheme="minorHAnsi"/>
                <w:sz w:val="18"/>
                <w:szCs w:val="14"/>
              </w:rPr>
            </w:pPr>
            <w:r w:rsidRPr="00002F2B">
              <w:rPr>
                <w:rFonts w:asciiTheme="minorHAnsi" w:hAnsiTheme="minorHAnsi" w:cstheme="minorHAnsi"/>
                <w:sz w:val="18"/>
                <w:szCs w:val="14"/>
              </w:rPr>
              <w:t>1,249,953</w:t>
            </w:r>
          </w:p>
        </w:tc>
        <w:tc>
          <w:tcPr>
            <w:tcW w:w="1254" w:type="dxa"/>
          </w:tcPr>
          <w:p w14:paraId="31307AF7" w14:textId="77EF77FA" w:rsidR="00B02873" w:rsidRPr="00002F2B" w:rsidRDefault="00012C04" w:rsidP="00002F2B">
            <w:pPr>
              <w:pStyle w:val="TablebodyleftFinancialsTables"/>
              <w:jc w:val="right"/>
              <w:rPr>
                <w:rFonts w:asciiTheme="minorHAnsi" w:hAnsiTheme="minorHAnsi" w:cstheme="minorHAnsi"/>
                <w:b/>
                <w:bCs/>
                <w:sz w:val="18"/>
                <w:szCs w:val="14"/>
              </w:rPr>
            </w:pPr>
            <w:r w:rsidRPr="00002F2B">
              <w:rPr>
                <w:rFonts w:asciiTheme="minorHAnsi" w:hAnsiTheme="minorHAnsi" w:cstheme="minorHAnsi"/>
                <w:b/>
                <w:bCs/>
                <w:sz w:val="18"/>
                <w:szCs w:val="14"/>
              </w:rPr>
              <w:t xml:space="preserve"> </w:t>
            </w:r>
            <w:r w:rsidR="00B02873" w:rsidRPr="00002F2B">
              <w:rPr>
                <w:rFonts w:asciiTheme="minorHAnsi" w:hAnsiTheme="minorHAnsi" w:cstheme="minorHAnsi"/>
                <w:b/>
                <w:bCs/>
                <w:sz w:val="18"/>
                <w:szCs w:val="14"/>
              </w:rPr>
              <w:t xml:space="preserve"> 657,317</w:t>
            </w:r>
          </w:p>
        </w:tc>
        <w:tc>
          <w:tcPr>
            <w:tcW w:w="1134" w:type="dxa"/>
          </w:tcPr>
          <w:p w14:paraId="2BEA1439" w14:textId="77777777" w:rsidR="00B02873" w:rsidRPr="00002F2B" w:rsidRDefault="00B02873" w:rsidP="00002F2B">
            <w:pPr>
              <w:pStyle w:val="TablebodyleftFinancialsTables"/>
              <w:jc w:val="right"/>
              <w:rPr>
                <w:rFonts w:asciiTheme="minorHAnsi" w:hAnsiTheme="minorHAnsi" w:cstheme="minorHAnsi"/>
                <w:sz w:val="18"/>
                <w:szCs w:val="14"/>
              </w:rPr>
            </w:pPr>
            <w:r w:rsidRPr="00002F2B">
              <w:rPr>
                <w:rFonts w:asciiTheme="minorHAnsi" w:hAnsiTheme="minorHAnsi" w:cstheme="minorHAnsi"/>
                <w:sz w:val="18"/>
                <w:szCs w:val="14"/>
              </w:rPr>
              <w:t>242,793</w:t>
            </w:r>
          </w:p>
        </w:tc>
      </w:tr>
      <w:tr w:rsidR="007032F5" w:rsidRPr="00002F2B" w14:paraId="0071DF72" w14:textId="77777777" w:rsidTr="00277ECD">
        <w:tc>
          <w:tcPr>
            <w:tcW w:w="3397" w:type="dxa"/>
          </w:tcPr>
          <w:p w14:paraId="73CF28AA" w14:textId="77777777" w:rsidR="007032F5" w:rsidRPr="00002F2B" w:rsidRDefault="007032F5" w:rsidP="007032F5">
            <w:pPr>
              <w:pStyle w:val="TablebodyleftFinancialsTables"/>
              <w:rPr>
                <w:rFonts w:asciiTheme="minorHAnsi" w:hAnsiTheme="minorHAnsi" w:cstheme="minorHAnsi"/>
                <w:b/>
                <w:bCs/>
                <w:sz w:val="18"/>
                <w:szCs w:val="14"/>
              </w:rPr>
            </w:pPr>
            <w:r w:rsidRPr="00002F2B">
              <w:rPr>
                <w:rFonts w:asciiTheme="minorHAnsi" w:hAnsiTheme="minorHAnsi" w:cstheme="minorHAnsi"/>
                <w:b/>
                <w:bCs/>
                <w:sz w:val="18"/>
                <w:szCs w:val="14"/>
              </w:rPr>
              <w:t>Liabilities</w:t>
            </w:r>
          </w:p>
        </w:tc>
        <w:tc>
          <w:tcPr>
            <w:tcW w:w="1924" w:type="dxa"/>
          </w:tcPr>
          <w:p w14:paraId="6D57EEC7" w14:textId="77777777" w:rsidR="007032F5" w:rsidRPr="00002F2B" w:rsidRDefault="007032F5" w:rsidP="00002F2B">
            <w:pPr>
              <w:pStyle w:val="TablebodyleftFinancialsTables"/>
              <w:jc w:val="right"/>
              <w:rPr>
                <w:rFonts w:asciiTheme="minorHAnsi" w:hAnsiTheme="minorHAnsi" w:cstheme="minorHAnsi"/>
                <w:b/>
                <w:bCs/>
                <w:sz w:val="18"/>
                <w:szCs w:val="14"/>
              </w:rPr>
            </w:pPr>
          </w:p>
        </w:tc>
        <w:tc>
          <w:tcPr>
            <w:tcW w:w="1925" w:type="dxa"/>
          </w:tcPr>
          <w:p w14:paraId="61704426" w14:textId="77777777" w:rsidR="007032F5" w:rsidRPr="00002F2B" w:rsidRDefault="007032F5" w:rsidP="00002F2B">
            <w:pPr>
              <w:pStyle w:val="TablebodyleftFinancialsTables"/>
              <w:jc w:val="right"/>
              <w:rPr>
                <w:rFonts w:asciiTheme="minorHAnsi" w:hAnsiTheme="minorHAnsi" w:cstheme="minorHAnsi"/>
                <w:sz w:val="18"/>
                <w:szCs w:val="14"/>
              </w:rPr>
            </w:pPr>
          </w:p>
        </w:tc>
        <w:tc>
          <w:tcPr>
            <w:tcW w:w="1254" w:type="dxa"/>
          </w:tcPr>
          <w:p w14:paraId="2AF34963" w14:textId="77777777" w:rsidR="007032F5" w:rsidRPr="00002F2B" w:rsidRDefault="007032F5" w:rsidP="00002F2B">
            <w:pPr>
              <w:pStyle w:val="TablebodyleftFinancialsTables"/>
              <w:jc w:val="right"/>
              <w:rPr>
                <w:rFonts w:asciiTheme="minorHAnsi" w:hAnsiTheme="minorHAnsi" w:cstheme="minorHAnsi"/>
                <w:b/>
                <w:bCs/>
                <w:sz w:val="18"/>
                <w:szCs w:val="14"/>
              </w:rPr>
            </w:pPr>
          </w:p>
        </w:tc>
        <w:tc>
          <w:tcPr>
            <w:tcW w:w="1134" w:type="dxa"/>
          </w:tcPr>
          <w:p w14:paraId="535BB66A" w14:textId="03411BAB" w:rsidR="007032F5" w:rsidRPr="00002F2B" w:rsidRDefault="007032F5" w:rsidP="00002F2B">
            <w:pPr>
              <w:pStyle w:val="TablebodyleftFinancialsTables"/>
              <w:jc w:val="right"/>
              <w:rPr>
                <w:rFonts w:asciiTheme="minorHAnsi" w:hAnsiTheme="minorHAnsi" w:cstheme="minorHAnsi"/>
                <w:sz w:val="18"/>
                <w:szCs w:val="14"/>
              </w:rPr>
            </w:pPr>
          </w:p>
        </w:tc>
      </w:tr>
      <w:tr w:rsidR="00B02873" w:rsidRPr="00002F2B" w14:paraId="005D3C81" w14:textId="77777777" w:rsidTr="00277ECD">
        <w:tc>
          <w:tcPr>
            <w:tcW w:w="3397" w:type="dxa"/>
          </w:tcPr>
          <w:p w14:paraId="2B95D136" w14:textId="77777777" w:rsidR="00B02873" w:rsidRPr="00002F2B" w:rsidRDefault="00B02873" w:rsidP="007032F5">
            <w:pPr>
              <w:pStyle w:val="TablebodyleftFinancialsTables"/>
              <w:rPr>
                <w:rFonts w:asciiTheme="minorHAnsi" w:hAnsiTheme="minorHAnsi" w:cstheme="minorHAnsi"/>
                <w:sz w:val="18"/>
                <w:szCs w:val="14"/>
              </w:rPr>
            </w:pPr>
            <w:r w:rsidRPr="00002F2B">
              <w:rPr>
                <w:rFonts w:asciiTheme="minorHAnsi" w:hAnsiTheme="minorHAnsi" w:cstheme="minorHAnsi"/>
                <w:sz w:val="18"/>
                <w:szCs w:val="14"/>
              </w:rPr>
              <w:t>Payables</w:t>
            </w:r>
          </w:p>
        </w:tc>
        <w:tc>
          <w:tcPr>
            <w:tcW w:w="1924" w:type="dxa"/>
          </w:tcPr>
          <w:p w14:paraId="2D87D252" w14:textId="77777777" w:rsidR="00B02873" w:rsidRPr="00002F2B" w:rsidRDefault="00B02873" w:rsidP="00002F2B">
            <w:pPr>
              <w:pStyle w:val="TablebodyleftFinancialsTables"/>
              <w:jc w:val="right"/>
              <w:rPr>
                <w:rFonts w:asciiTheme="minorHAnsi" w:hAnsiTheme="minorHAnsi" w:cstheme="minorHAnsi"/>
                <w:b/>
                <w:bCs/>
                <w:sz w:val="18"/>
                <w:szCs w:val="14"/>
              </w:rPr>
            </w:pPr>
            <w:r w:rsidRPr="00002F2B">
              <w:rPr>
                <w:rFonts w:asciiTheme="minorHAnsi" w:hAnsiTheme="minorHAnsi" w:cstheme="minorHAnsi"/>
                <w:b/>
                <w:bCs/>
                <w:sz w:val="18"/>
                <w:szCs w:val="14"/>
              </w:rPr>
              <w:t>17,176</w:t>
            </w:r>
          </w:p>
        </w:tc>
        <w:tc>
          <w:tcPr>
            <w:tcW w:w="1925" w:type="dxa"/>
          </w:tcPr>
          <w:p w14:paraId="4E9C60A1" w14:textId="77777777" w:rsidR="00B02873" w:rsidRPr="00002F2B" w:rsidRDefault="00B02873" w:rsidP="00002F2B">
            <w:pPr>
              <w:pStyle w:val="TablebodyleftFinancialsTables"/>
              <w:jc w:val="right"/>
              <w:rPr>
                <w:rFonts w:asciiTheme="minorHAnsi" w:hAnsiTheme="minorHAnsi" w:cstheme="minorHAnsi"/>
                <w:sz w:val="18"/>
                <w:szCs w:val="14"/>
              </w:rPr>
            </w:pPr>
            <w:r w:rsidRPr="00002F2B">
              <w:rPr>
                <w:rFonts w:asciiTheme="minorHAnsi" w:hAnsiTheme="minorHAnsi" w:cstheme="minorHAnsi"/>
                <w:sz w:val="18"/>
                <w:szCs w:val="14"/>
              </w:rPr>
              <w:t>33,583</w:t>
            </w:r>
          </w:p>
        </w:tc>
        <w:tc>
          <w:tcPr>
            <w:tcW w:w="1254" w:type="dxa"/>
          </w:tcPr>
          <w:p w14:paraId="6033D199" w14:textId="77777777" w:rsidR="00B02873" w:rsidRPr="00002F2B" w:rsidRDefault="00B02873" w:rsidP="00002F2B">
            <w:pPr>
              <w:pStyle w:val="TablebodyleftFinancialsTables"/>
              <w:jc w:val="right"/>
              <w:rPr>
                <w:rFonts w:asciiTheme="minorHAnsi" w:hAnsiTheme="minorHAnsi" w:cstheme="minorHAnsi"/>
                <w:b/>
                <w:bCs/>
                <w:sz w:val="18"/>
                <w:szCs w:val="14"/>
              </w:rPr>
            </w:pPr>
            <w:r w:rsidRPr="00002F2B">
              <w:rPr>
                <w:rFonts w:asciiTheme="minorHAnsi" w:hAnsiTheme="minorHAnsi" w:cstheme="minorHAnsi"/>
                <w:b/>
                <w:bCs/>
                <w:sz w:val="18"/>
                <w:szCs w:val="14"/>
              </w:rPr>
              <w:t>63,463</w:t>
            </w:r>
          </w:p>
        </w:tc>
        <w:tc>
          <w:tcPr>
            <w:tcW w:w="1134" w:type="dxa"/>
          </w:tcPr>
          <w:p w14:paraId="3EFCB94B" w14:textId="77777777" w:rsidR="00B02873" w:rsidRPr="00002F2B" w:rsidRDefault="00B02873" w:rsidP="00002F2B">
            <w:pPr>
              <w:pStyle w:val="TablebodyleftFinancialsTables"/>
              <w:jc w:val="right"/>
              <w:rPr>
                <w:rFonts w:asciiTheme="minorHAnsi" w:hAnsiTheme="minorHAnsi" w:cstheme="minorHAnsi"/>
                <w:sz w:val="18"/>
                <w:szCs w:val="14"/>
              </w:rPr>
            </w:pPr>
            <w:r w:rsidRPr="00002F2B">
              <w:rPr>
                <w:rFonts w:asciiTheme="minorHAnsi" w:hAnsiTheme="minorHAnsi" w:cstheme="minorHAnsi"/>
                <w:sz w:val="18"/>
                <w:szCs w:val="14"/>
              </w:rPr>
              <w:t>43,802</w:t>
            </w:r>
          </w:p>
        </w:tc>
      </w:tr>
      <w:tr w:rsidR="00B02873" w:rsidRPr="00002F2B" w14:paraId="69BD011D" w14:textId="77777777" w:rsidTr="00277ECD">
        <w:tc>
          <w:tcPr>
            <w:tcW w:w="3397" w:type="dxa"/>
          </w:tcPr>
          <w:p w14:paraId="13E6D491" w14:textId="77777777" w:rsidR="00B02873" w:rsidRPr="00002F2B" w:rsidRDefault="00B02873" w:rsidP="007032F5">
            <w:pPr>
              <w:pStyle w:val="TablebodyleftFinancialsTables"/>
              <w:rPr>
                <w:rFonts w:asciiTheme="minorHAnsi" w:hAnsiTheme="minorHAnsi" w:cstheme="minorHAnsi"/>
                <w:sz w:val="18"/>
                <w:szCs w:val="14"/>
              </w:rPr>
            </w:pPr>
            <w:r w:rsidRPr="00002F2B">
              <w:rPr>
                <w:rFonts w:asciiTheme="minorHAnsi" w:hAnsiTheme="minorHAnsi" w:cstheme="minorHAnsi"/>
                <w:sz w:val="18"/>
                <w:szCs w:val="14"/>
              </w:rPr>
              <w:t>Other financial liabilities</w:t>
            </w:r>
          </w:p>
        </w:tc>
        <w:tc>
          <w:tcPr>
            <w:tcW w:w="1924" w:type="dxa"/>
          </w:tcPr>
          <w:p w14:paraId="19757EE5" w14:textId="77777777" w:rsidR="00B02873" w:rsidRPr="00002F2B" w:rsidRDefault="00B02873" w:rsidP="00002F2B">
            <w:pPr>
              <w:pStyle w:val="TablebodyleftFinancialsTables"/>
              <w:jc w:val="right"/>
              <w:rPr>
                <w:rFonts w:asciiTheme="minorHAnsi" w:hAnsiTheme="minorHAnsi" w:cstheme="minorHAnsi"/>
                <w:b/>
                <w:bCs/>
                <w:sz w:val="18"/>
                <w:szCs w:val="14"/>
              </w:rPr>
            </w:pPr>
            <w:r w:rsidRPr="00002F2B">
              <w:rPr>
                <w:rFonts w:asciiTheme="minorHAnsi" w:hAnsiTheme="minorHAnsi" w:cstheme="minorHAnsi"/>
                <w:b/>
                <w:bCs/>
                <w:sz w:val="18"/>
                <w:szCs w:val="14"/>
              </w:rPr>
              <w:t>–</w:t>
            </w:r>
          </w:p>
        </w:tc>
        <w:tc>
          <w:tcPr>
            <w:tcW w:w="1925" w:type="dxa"/>
          </w:tcPr>
          <w:p w14:paraId="4B91CC39" w14:textId="77777777" w:rsidR="00B02873" w:rsidRPr="00002F2B" w:rsidRDefault="00B02873" w:rsidP="00002F2B">
            <w:pPr>
              <w:pStyle w:val="TablebodyleftFinancialsTables"/>
              <w:jc w:val="right"/>
              <w:rPr>
                <w:rFonts w:asciiTheme="minorHAnsi" w:hAnsiTheme="minorHAnsi" w:cstheme="minorHAnsi"/>
                <w:sz w:val="18"/>
                <w:szCs w:val="14"/>
              </w:rPr>
            </w:pPr>
            <w:r w:rsidRPr="00002F2B">
              <w:rPr>
                <w:rFonts w:asciiTheme="minorHAnsi" w:hAnsiTheme="minorHAnsi" w:cstheme="minorHAnsi"/>
                <w:sz w:val="18"/>
                <w:szCs w:val="14"/>
              </w:rPr>
              <w:t>–</w:t>
            </w:r>
          </w:p>
        </w:tc>
        <w:tc>
          <w:tcPr>
            <w:tcW w:w="1254" w:type="dxa"/>
          </w:tcPr>
          <w:p w14:paraId="3354791C" w14:textId="77777777" w:rsidR="00B02873" w:rsidRPr="00002F2B" w:rsidRDefault="00B02873" w:rsidP="00002F2B">
            <w:pPr>
              <w:pStyle w:val="TablebodyleftFinancialsTables"/>
              <w:jc w:val="right"/>
              <w:rPr>
                <w:rFonts w:asciiTheme="minorHAnsi" w:hAnsiTheme="minorHAnsi" w:cstheme="minorHAnsi"/>
                <w:b/>
                <w:bCs/>
                <w:sz w:val="18"/>
                <w:szCs w:val="14"/>
              </w:rPr>
            </w:pPr>
            <w:r w:rsidRPr="00002F2B">
              <w:rPr>
                <w:rFonts w:asciiTheme="minorHAnsi" w:hAnsiTheme="minorHAnsi" w:cstheme="minorHAnsi"/>
                <w:b/>
                <w:bCs/>
                <w:sz w:val="18"/>
                <w:szCs w:val="14"/>
              </w:rPr>
              <w:t>204,383</w:t>
            </w:r>
          </w:p>
        </w:tc>
        <w:tc>
          <w:tcPr>
            <w:tcW w:w="1134" w:type="dxa"/>
          </w:tcPr>
          <w:p w14:paraId="4AB70163" w14:textId="77777777" w:rsidR="00B02873" w:rsidRPr="00002F2B" w:rsidRDefault="00B02873" w:rsidP="00002F2B">
            <w:pPr>
              <w:pStyle w:val="TablebodyleftFinancialsTables"/>
              <w:jc w:val="right"/>
              <w:rPr>
                <w:rFonts w:asciiTheme="minorHAnsi" w:hAnsiTheme="minorHAnsi" w:cstheme="minorHAnsi"/>
                <w:sz w:val="18"/>
                <w:szCs w:val="14"/>
              </w:rPr>
            </w:pPr>
            <w:r w:rsidRPr="00002F2B">
              <w:rPr>
                <w:rFonts w:asciiTheme="minorHAnsi" w:hAnsiTheme="minorHAnsi" w:cstheme="minorHAnsi"/>
                <w:sz w:val="18"/>
                <w:szCs w:val="14"/>
              </w:rPr>
              <w:t>201,146</w:t>
            </w:r>
          </w:p>
        </w:tc>
      </w:tr>
      <w:tr w:rsidR="00B02873" w:rsidRPr="00002F2B" w14:paraId="68119044" w14:textId="77777777" w:rsidTr="00277ECD">
        <w:tc>
          <w:tcPr>
            <w:tcW w:w="3397" w:type="dxa"/>
          </w:tcPr>
          <w:p w14:paraId="12E0A0B0" w14:textId="77777777" w:rsidR="00B02873" w:rsidRPr="00002F2B" w:rsidRDefault="00B02873" w:rsidP="007032F5">
            <w:pPr>
              <w:pStyle w:val="TablebodyleftFinancialsTables"/>
              <w:rPr>
                <w:rFonts w:asciiTheme="minorHAnsi" w:hAnsiTheme="minorHAnsi" w:cstheme="minorHAnsi"/>
                <w:sz w:val="18"/>
                <w:szCs w:val="14"/>
              </w:rPr>
            </w:pPr>
            <w:r w:rsidRPr="00002F2B">
              <w:rPr>
                <w:rFonts w:asciiTheme="minorHAnsi" w:hAnsiTheme="minorHAnsi" w:cstheme="minorHAnsi"/>
                <w:sz w:val="18"/>
                <w:szCs w:val="14"/>
              </w:rPr>
              <w:t>Borrowings</w:t>
            </w:r>
          </w:p>
        </w:tc>
        <w:tc>
          <w:tcPr>
            <w:tcW w:w="1924" w:type="dxa"/>
          </w:tcPr>
          <w:p w14:paraId="4E8129AC" w14:textId="77777777" w:rsidR="00B02873" w:rsidRPr="00002F2B" w:rsidRDefault="00B02873" w:rsidP="00002F2B">
            <w:pPr>
              <w:pStyle w:val="TablebodyleftFinancialsTables"/>
              <w:jc w:val="right"/>
              <w:rPr>
                <w:rFonts w:asciiTheme="minorHAnsi" w:hAnsiTheme="minorHAnsi" w:cstheme="minorHAnsi"/>
                <w:b/>
                <w:bCs/>
                <w:sz w:val="18"/>
                <w:szCs w:val="14"/>
              </w:rPr>
            </w:pPr>
            <w:r w:rsidRPr="00002F2B">
              <w:rPr>
                <w:rFonts w:asciiTheme="minorHAnsi" w:hAnsiTheme="minorHAnsi" w:cstheme="minorHAnsi"/>
                <w:b/>
                <w:bCs/>
                <w:sz w:val="18"/>
                <w:szCs w:val="14"/>
              </w:rPr>
              <w:t>36,361</w:t>
            </w:r>
          </w:p>
        </w:tc>
        <w:tc>
          <w:tcPr>
            <w:tcW w:w="1925" w:type="dxa"/>
          </w:tcPr>
          <w:p w14:paraId="4C288BFE" w14:textId="77777777" w:rsidR="00B02873" w:rsidRPr="00002F2B" w:rsidRDefault="00B02873" w:rsidP="00002F2B">
            <w:pPr>
              <w:pStyle w:val="TablebodyleftFinancialsTables"/>
              <w:jc w:val="right"/>
              <w:rPr>
                <w:rFonts w:asciiTheme="minorHAnsi" w:hAnsiTheme="minorHAnsi" w:cstheme="minorHAnsi"/>
                <w:sz w:val="18"/>
                <w:szCs w:val="14"/>
              </w:rPr>
            </w:pPr>
            <w:r w:rsidRPr="00002F2B">
              <w:rPr>
                <w:rFonts w:asciiTheme="minorHAnsi" w:hAnsiTheme="minorHAnsi" w:cstheme="minorHAnsi"/>
                <w:sz w:val="18"/>
                <w:szCs w:val="14"/>
              </w:rPr>
              <w:t>38,611</w:t>
            </w:r>
          </w:p>
        </w:tc>
        <w:tc>
          <w:tcPr>
            <w:tcW w:w="1254" w:type="dxa"/>
          </w:tcPr>
          <w:p w14:paraId="4A8F6750" w14:textId="77777777" w:rsidR="00B02873" w:rsidRPr="00002F2B" w:rsidRDefault="00B02873" w:rsidP="00002F2B">
            <w:pPr>
              <w:pStyle w:val="TablebodyleftFinancialsTables"/>
              <w:jc w:val="right"/>
              <w:rPr>
                <w:rFonts w:asciiTheme="minorHAnsi" w:hAnsiTheme="minorHAnsi" w:cstheme="minorHAnsi"/>
                <w:b/>
                <w:bCs/>
                <w:sz w:val="18"/>
                <w:szCs w:val="14"/>
              </w:rPr>
            </w:pPr>
            <w:r w:rsidRPr="00002F2B">
              <w:rPr>
                <w:rFonts w:asciiTheme="minorHAnsi" w:hAnsiTheme="minorHAnsi" w:cstheme="minorHAnsi"/>
                <w:b/>
                <w:bCs/>
                <w:sz w:val="18"/>
                <w:szCs w:val="14"/>
              </w:rPr>
              <w:t>942</w:t>
            </w:r>
          </w:p>
        </w:tc>
        <w:tc>
          <w:tcPr>
            <w:tcW w:w="1134" w:type="dxa"/>
          </w:tcPr>
          <w:p w14:paraId="7A7B524F" w14:textId="77777777" w:rsidR="00B02873" w:rsidRPr="00002F2B" w:rsidRDefault="00B02873" w:rsidP="00002F2B">
            <w:pPr>
              <w:pStyle w:val="TablebodyleftFinancialsTables"/>
              <w:jc w:val="right"/>
              <w:rPr>
                <w:rFonts w:asciiTheme="minorHAnsi" w:hAnsiTheme="minorHAnsi" w:cstheme="minorHAnsi"/>
                <w:sz w:val="18"/>
                <w:szCs w:val="14"/>
              </w:rPr>
            </w:pPr>
            <w:r w:rsidRPr="00002F2B">
              <w:rPr>
                <w:rFonts w:asciiTheme="minorHAnsi" w:hAnsiTheme="minorHAnsi" w:cstheme="minorHAnsi"/>
                <w:sz w:val="18"/>
                <w:szCs w:val="14"/>
              </w:rPr>
              <w:t>989</w:t>
            </w:r>
          </w:p>
        </w:tc>
      </w:tr>
      <w:tr w:rsidR="00B02873" w:rsidRPr="00002F2B" w14:paraId="4EF87950" w14:textId="77777777" w:rsidTr="00277ECD">
        <w:tc>
          <w:tcPr>
            <w:tcW w:w="3397" w:type="dxa"/>
          </w:tcPr>
          <w:p w14:paraId="04D86C61" w14:textId="77777777" w:rsidR="00B02873" w:rsidRPr="00002F2B" w:rsidRDefault="00B02873" w:rsidP="007032F5">
            <w:pPr>
              <w:pStyle w:val="TablebodyleftFinancialsTables"/>
              <w:rPr>
                <w:rFonts w:asciiTheme="minorHAnsi" w:hAnsiTheme="minorHAnsi" w:cstheme="minorHAnsi"/>
                <w:sz w:val="18"/>
                <w:szCs w:val="14"/>
              </w:rPr>
            </w:pPr>
            <w:r w:rsidRPr="00002F2B">
              <w:rPr>
                <w:rFonts w:asciiTheme="minorHAnsi" w:hAnsiTheme="minorHAnsi" w:cstheme="minorHAnsi"/>
                <w:sz w:val="18"/>
                <w:szCs w:val="14"/>
              </w:rPr>
              <w:t>Provisions</w:t>
            </w:r>
          </w:p>
        </w:tc>
        <w:tc>
          <w:tcPr>
            <w:tcW w:w="1924" w:type="dxa"/>
          </w:tcPr>
          <w:p w14:paraId="7DC27963" w14:textId="77777777" w:rsidR="00B02873" w:rsidRPr="00002F2B" w:rsidRDefault="00B02873" w:rsidP="00002F2B">
            <w:pPr>
              <w:pStyle w:val="TablebodyleftFinancialsTables"/>
              <w:jc w:val="right"/>
              <w:rPr>
                <w:rFonts w:asciiTheme="minorHAnsi" w:hAnsiTheme="minorHAnsi" w:cstheme="minorHAnsi"/>
                <w:b/>
                <w:bCs/>
                <w:sz w:val="18"/>
                <w:szCs w:val="14"/>
              </w:rPr>
            </w:pPr>
            <w:r w:rsidRPr="00002F2B">
              <w:rPr>
                <w:rFonts w:asciiTheme="minorHAnsi" w:hAnsiTheme="minorHAnsi" w:cstheme="minorHAnsi"/>
                <w:b/>
                <w:bCs/>
                <w:sz w:val="18"/>
                <w:szCs w:val="14"/>
              </w:rPr>
              <w:t>60,374</w:t>
            </w:r>
          </w:p>
        </w:tc>
        <w:tc>
          <w:tcPr>
            <w:tcW w:w="1925" w:type="dxa"/>
          </w:tcPr>
          <w:p w14:paraId="28B7B4FD" w14:textId="77777777" w:rsidR="00B02873" w:rsidRPr="00002F2B" w:rsidRDefault="00B02873" w:rsidP="00002F2B">
            <w:pPr>
              <w:pStyle w:val="TablebodyleftFinancialsTables"/>
              <w:jc w:val="right"/>
              <w:rPr>
                <w:rFonts w:asciiTheme="minorHAnsi" w:hAnsiTheme="minorHAnsi" w:cstheme="minorHAnsi"/>
                <w:sz w:val="18"/>
                <w:szCs w:val="14"/>
              </w:rPr>
            </w:pPr>
            <w:r w:rsidRPr="00002F2B">
              <w:rPr>
                <w:rFonts w:asciiTheme="minorHAnsi" w:hAnsiTheme="minorHAnsi" w:cstheme="minorHAnsi"/>
                <w:sz w:val="18"/>
                <w:szCs w:val="14"/>
              </w:rPr>
              <w:t>57,288</w:t>
            </w:r>
          </w:p>
        </w:tc>
        <w:tc>
          <w:tcPr>
            <w:tcW w:w="1254" w:type="dxa"/>
          </w:tcPr>
          <w:p w14:paraId="2AA728A6" w14:textId="77777777" w:rsidR="00B02873" w:rsidRPr="00002F2B" w:rsidRDefault="00B02873" w:rsidP="00002F2B">
            <w:pPr>
              <w:pStyle w:val="TablebodyleftFinancialsTables"/>
              <w:jc w:val="right"/>
              <w:rPr>
                <w:rFonts w:asciiTheme="minorHAnsi" w:hAnsiTheme="minorHAnsi" w:cstheme="minorHAnsi"/>
                <w:b/>
                <w:bCs/>
                <w:sz w:val="18"/>
                <w:szCs w:val="14"/>
              </w:rPr>
            </w:pPr>
            <w:r w:rsidRPr="00002F2B">
              <w:rPr>
                <w:rFonts w:asciiTheme="minorHAnsi" w:hAnsiTheme="minorHAnsi" w:cstheme="minorHAnsi"/>
                <w:b/>
                <w:bCs/>
                <w:sz w:val="18"/>
                <w:szCs w:val="14"/>
              </w:rPr>
              <w:t>25,849</w:t>
            </w:r>
          </w:p>
        </w:tc>
        <w:tc>
          <w:tcPr>
            <w:tcW w:w="1134" w:type="dxa"/>
          </w:tcPr>
          <w:p w14:paraId="69CF40DE" w14:textId="77777777" w:rsidR="00B02873" w:rsidRPr="00002F2B" w:rsidRDefault="00B02873" w:rsidP="00002F2B">
            <w:pPr>
              <w:pStyle w:val="TablebodyleftFinancialsTables"/>
              <w:jc w:val="right"/>
              <w:rPr>
                <w:rFonts w:asciiTheme="minorHAnsi" w:hAnsiTheme="minorHAnsi" w:cstheme="minorHAnsi"/>
                <w:sz w:val="18"/>
                <w:szCs w:val="14"/>
              </w:rPr>
            </w:pPr>
            <w:r w:rsidRPr="00002F2B">
              <w:rPr>
                <w:rFonts w:asciiTheme="minorHAnsi" w:hAnsiTheme="minorHAnsi" w:cstheme="minorHAnsi"/>
                <w:sz w:val="18"/>
                <w:szCs w:val="14"/>
              </w:rPr>
              <w:t>14,800</w:t>
            </w:r>
          </w:p>
        </w:tc>
      </w:tr>
      <w:tr w:rsidR="00B02873" w:rsidRPr="00002F2B" w14:paraId="00CF89C1" w14:textId="77777777" w:rsidTr="00277ECD">
        <w:tc>
          <w:tcPr>
            <w:tcW w:w="3397" w:type="dxa"/>
          </w:tcPr>
          <w:p w14:paraId="2D52C4C9" w14:textId="77777777" w:rsidR="00B02873" w:rsidRPr="00002F2B" w:rsidRDefault="00B02873" w:rsidP="007032F5">
            <w:pPr>
              <w:pStyle w:val="TablebodyleftFinancialsTables"/>
              <w:rPr>
                <w:rFonts w:asciiTheme="minorHAnsi" w:hAnsiTheme="minorHAnsi" w:cstheme="minorHAnsi"/>
                <w:sz w:val="18"/>
                <w:szCs w:val="14"/>
              </w:rPr>
            </w:pPr>
            <w:r w:rsidRPr="00002F2B">
              <w:rPr>
                <w:rFonts w:asciiTheme="minorHAnsi" w:hAnsiTheme="minorHAnsi" w:cstheme="minorHAnsi"/>
                <w:sz w:val="18"/>
                <w:szCs w:val="14"/>
              </w:rPr>
              <w:t>Derivative financial instruments</w:t>
            </w:r>
          </w:p>
        </w:tc>
        <w:tc>
          <w:tcPr>
            <w:tcW w:w="1924" w:type="dxa"/>
          </w:tcPr>
          <w:p w14:paraId="5B541AE0" w14:textId="77777777" w:rsidR="00B02873" w:rsidRPr="00002F2B" w:rsidRDefault="00B02873" w:rsidP="00002F2B">
            <w:pPr>
              <w:pStyle w:val="TablebodyleftFinancialsTables"/>
              <w:jc w:val="right"/>
              <w:rPr>
                <w:rFonts w:asciiTheme="minorHAnsi" w:hAnsiTheme="minorHAnsi" w:cstheme="minorHAnsi"/>
                <w:b/>
                <w:bCs/>
                <w:sz w:val="18"/>
                <w:szCs w:val="14"/>
              </w:rPr>
            </w:pPr>
            <w:r w:rsidRPr="00002F2B">
              <w:rPr>
                <w:rFonts w:asciiTheme="minorHAnsi" w:hAnsiTheme="minorHAnsi" w:cstheme="minorHAnsi"/>
                <w:b/>
                <w:bCs/>
                <w:sz w:val="18"/>
                <w:szCs w:val="14"/>
              </w:rPr>
              <w:t>–</w:t>
            </w:r>
          </w:p>
        </w:tc>
        <w:tc>
          <w:tcPr>
            <w:tcW w:w="1925" w:type="dxa"/>
          </w:tcPr>
          <w:p w14:paraId="4497E4A2" w14:textId="77777777" w:rsidR="00B02873" w:rsidRPr="00002F2B" w:rsidRDefault="00B02873" w:rsidP="00002F2B">
            <w:pPr>
              <w:pStyle w:val="TablebodyleftFinancialsTables"/>
              <w:jc w:val="right"/>
              <w:rPr>
                <w:rFonts w:asciiTheme="minorHAnsi" w:hAnsiTheme="minorHAnsi" w:cstheme="minorHAnsi"/>
                <w:sz w:val="18"/>
                <w:szCs w:val="14"/>
              </w:rPr>
            </w:pPr>
            <w:r w:rsidRPr="00002F2B">
              <w:rPr>
                <w:rFonts w:asciiTheme="minorHAnsi" w:hAnsiTheme="minorHAnsi" w:cstheme="minorHAnsi"/>
                <w:sz w:val="18"/>
                <w:szCs w:val="14"/>
              </w:rPr>
              <w:t>–</w:t>
            </w:r>
          </w:p>
        </w:tc>
        <w:tc>
          <w:tcPr>
            <w:tcW w:w="1254" w:type="dxa"/>
          </w:tcPr>
          <w:p w14:paraId="122AEBDA" w14:textId="77777777" w:rsidR="00B02873" w:rsidRPr="00002F2B" w:rsidRDefault="00B02873" w:rsidP="00002F2B">
            <w:pPr>
              <w:pStyle w:val="TablebodyleftFinancialsTables"/>
              <w:jc w:val="right"/>
              <w:rPr>
                <w:rFonts w:asciiTheme="minorHAnsi" w:hAnsiTheme="minorHAnsi" w:cstheme="minorHAnsi"/>
                <w:b/>
                <w:bCs/>
                <w:sz w:val="18"/>
                <w:szCs w:val="14"/>
              </w:rPr>
            </w:pPr>
            <w:r w:rsidRPr="00002F2B">
              <w:rPr>
                <w:rFonts w:asciiTheme="minorHAnsi" w:hAnsiTheme="minorHAnsi" w:cstheme="minorHAnsi"/>
                <w:b/>
                <w:bCs/>
                <w:sz w:val="18"/>
                <w:szCs w:val="14"/>
              </w:rPr>
              <w:t>–</w:t>
            </w:r>
          </w:p>
        </w:tc>
        <w:tc>
          <w:tcPr>
            <w:tcW w:w="1134" w:type="dxa"/>
          </w:tcPr>
          <w:p w14:paraId="13A6CB3C" w14:textId="77777777" w:rsidR="00B02873" w:rsidRPr="00002F2B" w:rsidRDefault="00B02873" w:rsidP="00002F2B">
            <w:pPr>
              <w:pStyle w:val="TablebodyleftFinancialsTables"/>
              <w:jc w:val="right"/>
              <w:rPr>
                <w:rFonts w:asciiTheme="minorHAnsi" w:hAnsiTheme="minorHAnsi" w:cstheme="minorHAnsi"/>
                <w:sz w:val="18"/>
                <w:szCs w:val="14"/>
              </w:rPr>
            </w:pPr>
            <w:r w:rsidRPr="00002F2B">
              <w:rPr>
                <w:rFonts w:asciiTheme="minorHAnsi" w:hAnsiTheme="minorHAnsi" w:cstheme="minorHAnsi"/>
                <w:sz w:val="18"/>
                <w:szCs w:val="14"/>
              </w:rPr>
              <w:t>1,931</w:t>
            </w:r>
          </w:p>
        </w:tc>
      </w:tr>
      <w:tr w:rsidR="00B02873" w:rsidRPr="00002F2B" w14:paraId="6259F5C6" w14:textId="77777777" w:rsidTr="00277ECD">
        <w:tc>
          <w:tcPr>
            <w:tcW w:w="3397" w:type="dxa"/>
          </w:tcPr>
          <w:p w14:paraId="34E45322" w14:textId="77777777" w:rsidR="00B02873" w:rsidRPr="00002F2B" w:rsidRDefault="00B02873" w:rsidP="007032F5">
            <w:pPr>
              <w:pStyle w:val="TablebodyleftFinancialsTables"/>
              <w:rPr>
                <w:rFonts w:asciiTheme="minorHAnsi" w:hAnsiTheme="minorHAnsi" w:cstheme="minorHAnsi"/>
                <w:sz w:val="18"/>
                <w:szCs w:val="14"/>
              </w:rPr>
            </w:pPr>
            <w:r w:rsidRPr="00002F2B">
              <w:rPr>
                <w:rFonts w:asciiTheme="minorHAnsi" w:hAnsiTheme="minorHAnsi" w:cstheme="minorHAnsi"/>
                <w:sz w:val="18"/>
                <w:szCs w:val="14"/>
              </w:rPr>
              <w:t>Other liabilities</w:t>
            </w:r>
          </w:p>
        </w:tc>
        <w:tc>
          <w:tcPr>
            <w:tcW w:w="1924" w:type="dxa"/>
          </w:tcPr>
          <w:p w14:paraId="365604AA" w14:textId="77777777" w:rsidR="00B02873" w:rsidRPr="00002F2B" w:rsidRDefault="00B02873" w:rsidP="00002F2B">
            <w:pPr>
              <w:pStyle w:val="TablebodyleftFinancialsTables"/>
              <w:jc w:val="right"/>
              <w:rPr>
                <w:rFonts w:asciiTheme="minorHAnsi" w:hAnsiTheme="minorHAnsi" w:cstheme="minorHAnsi"/>
                <w:b/>
                <w:bCs/>
                <w:sz w:val="18"/>
                <w:szCs w:val="14"/>
              </w:rPr>
            </w:pPr>
            <w:r w:rsidRPr="00002F2B">
              <w:rPr>
                <w:rFonts w:asciiTheme="minorHAnsi" w:hAnsiTheme="minorHAnsi" w:cstheme="minorHAnsi"/>
                <w:b/>
                <w:bCs/>
                <w:sz w:val="18"/>
                <w:szCs w:val="14"/>
              </w:rPr>
              <w:t>583</w:t>
            </w:r>
          </w:p>
        </w:tc>
        <w:tc>
          <w:tcPr>
            <w:tcW w:w="1925" w:type="dxa"/>
          </w:tcPr>
          <w:p w14:paraId="1CFDAD69" w14:textId="77777777" w:rsidR="00B02873" w:rsidRPr="00002F2B" w:rsidRDefault="00B02873" w:rsidP="00002F2B">
            <w:pPr>
              <w:pStyle w:val="TablebodyleftFinancialsTables"/>
              <w:jc w:val="right"/>
              <w:rPr>
                <w:rFonts w:asciiTheme="minorHAnsi" w:hAnsiTheme="minorHAnsi" w:cstheme="minorHAnsi"/>
                <w:sz w:val="18"/>
                <w:szCs w:val="14"/>
              </w:rPr>
            </w:pPr>
            <w:r w:rsidRPr="00002F2B">
              <w:rPr>
                <w:rFonts w:asciiTheme="minorHAnsi" w:hAnsiTheme="minorHAnsi" w:cstheme="minorHAnsi"/>
                <w:sz w:val="18"/>
                <w:szCs w:val="14"/>
              </w:rPr>
              <w:t>1,262</w:t>
            </w:r>
          </w:p>
        </w:tc>
        <w:tc>
          <w:tcPr>
            <w:tcW w:w="1254" w:type="dxa"/>
          </w:tcPr>
          <w:p w14:paraId="4AF2676A" w14:textId="77777777" w:rsidR="00B02873" w:rsidRPr="00002F2B" w:rsidRDefault="00B02873" w:rsidP="00002F2B">
            <w:pPr>
              <w:pStyle w:val="TablebodyleftFinancialsTables"/>
              <w:jc w:val="right"/>
              <w:rPr>
                <w:rFonts w:asciiTheme="minorHAnsi" w:hAnsiTheme="minorHAnsi" w:cstheme="minorHAnsi"/>
                <w:b/>
                <w:bCs/>
                <w:sz w:val="18"/>
                <w:szCs w:val="14"/>
              </w:rPr>
            </w:pPr>
            <w:r w:rsidRPr="00002F2B">
              <w:rPr>
                <w:rFonts w:asciiTheme="minorHAnsi" w:hAnsiTheme="minorHAnsi" w:cstheme="minorHAnsi"/>
                <w:b/>
                <w:bCs/>
                <w:sz w:val="18"/>
                <w:szCs w:val="14"/>
              </w:rPr>
              <w:t>292</w:t>
            </w:r>
          </w:p>
        </w:tc>
        <w:tc>
          <w:tcPr>
            <w:tcW w:w="1134" w:type="dxa"/>
          </w:tcPr>
          <w:p w14:paraId="50763848" w14:textId="77777777" w:rsidR="00B02873" w:rsidRPr="00002F2B" w:rsidRDefault="00B02873" w:rsidP="00002F2B">
            <w:pPr>
              <w:pStyle w:val="TablebodyleftFinancialsTables"/>
              <w:jc w:val="right"/>
              <w:rPr>
                <w:rFonts w:asciiTheme="minorHAnsi" w:hAnsiTheme="minorHAnsi" w:cstheme="minorHAnsi"/>
                <w:sz w:val="18"/>
                <w:szCs w:val="14"/>
              </w:rPr>
            </w:pPr>
            <w:r w:rsidRPr="00002F2B">
              <w:rPr>
                <w:rFonts w:asciiTheme="minorHAnsi" w:hAnsiTheme="minorHAnsi" w:cstheme="minorHAnsi"/>
                <w:sz w:val="18"/>
                <w:szCs w:val="14"/>
              </w:rPr>
              <w:t>660</w:t>
            </w:r>
          </w:p>
        </w:tc>
      </w:tr>
      <w:tr w:rsidR="00B02873" w:rsidRPr="00002F2B" w14:paraId="1B1C8755" w14:textId="77777777" w:rsidTr="00277ECD">
        <w:tc>
          <w:tcPr>
            <w:tcW w:w="3397" w:type="dxa"/>
          </w:tcPr>
          <w:p w14:paraId="3036A20B" w14:textId="77777777" w:rsidR="00B02873" w:rsidRPr="00002F2B" w:rsidRDefault="00B02873" w:rsidP="007032F5">
            <w:pPr>
              <w:pStyle w:val="TablebodyleftFinancialsTables"/>
              <w:rPr>
                <w:rFonts w:asciiTheme="minorHAnsi" w:hAnsiTheme="minorHAnsi" w:cstheme="minorHAnsi"/>
                <w:b/>
                <w:bCs/>
                <w:sz w:val="18"/>
                <w:szCs w:val="14"/>
              </w:rPr>
            </w:pPr>
            <w:r w:rsidRPr="00002F2B">
              <w:rPr>
                <w:rFonts w:asciiTheme="minorHAnsi" w:hAnsiTheme="minorHAnsi" w:cstheme="minorHAnsi"/>
                <w:b/>
                <w:bCs/>
                <w:sz w:val="18"/>
                <w:szCs w:val="14"/>
              </w:rPr>
              <w:t>Total liabilities</w:t>
            </w:r>
          </w:p>
        </w:tc>
        <w:tc>
          <w:tcPr>
            <w:tcW w:w="1924" w:type="dxa"/>
          </w:tcPr>
          <w:p w14:paraId="3AF3562A" w14:textId="77777777" w:rsidR="00B02873" w:rsidRPr="00002F2B" w:rsidRDefault="00B02873" w:rsidP="00002F2B">
            <w:pPr>
              <w:pStyle w:val="TablebodyleftFinancialsTables"/>
              <w:jc w:val="right"/>
              <w:rPr>
                <w:rFonts w:asciiTheme="minorHAnsi" w:hAnsiTheme="minorHAnsi" w:cstheme="minorHAnsi"/>
                <w:b/>
                <w:bCs/>
                <w:sz w:val="18"/>
                <w:szCs w:val="14"/>
              </w:rPr>
            </w:pPr>
            <w:r w:rsidRPr="00002F2B">
              <w:rPr>
                <w:rFonts w:asciiTheme="minorHAnsi" w:hAnsiTheme="minorHAnsi" w:cstheme="minorHAnsi"/>
                <w:b/>
                <w:bCs/>
                <w:sz w:val="18"/>
                <w:szCs w:val="14"/>
              </w:rPr>
              <w:t>114,494</w:t>
            </w:r>
          </w:p>
        </w:tc>
        <w:tc>
          <w:tcPr>
            <w:tcW w:w="1925" w:type="dxa"/>
          </w:tcPr>
          <w:p w14:paraId="243D5EC1" w14:textId="77777777" w:rsidR="00B02873" w:rsidRPr="00002F2B" w:rsidRDefault="00B02873" w:rsidP="00002F2B">
            <w:pPr>
              <w:pStyle w:val="TablebodyleftFinancialsTables"/>
              <w:jc w:val="right"/>
              <w:rPr>
                <w:rFonts w:asciiTheme="minorHAnsi" w:hAnsiTheme="minorHAnsi" w:cstheme="minorHAnsi"/>
                <w:sz w:val="18"/>
                <w:szCs w:val="14"/>
              </w:rPr>
            </w:pPr>
            <w:r w:rsidRPr="00002F2B">
              <w:rPr>
                <w:rFonts w:asciiTheme="minorHAnsi" w:hAnsiTheme="minorHAnsi" w:cstheme="minorHAnsi"/>
                <w:sz w:val="18"/>
                <w:szCs w:val="14"/>
              </w:rPr>
              <w:t>130,744</w:t>
            </w:r>
          </w:p>
        </w:tc>
        <w:tc>
          <w:tcPr>
            <w:tcW w:w="1254" w:type="dxa"/>
          </w:tcPr>
          <w:p w14:paraId="6168CF41" w14:textId="77777777" w:rsidR="00B02873" w:rsidRPr="00002F2B" w:rsidRDefault="00B02873" w:rsidP="00002F2B">
            <w:pPr>
              <w:pStyle w:val="TablebodyleftFinancialsTables"/>
              <w:jc w:val="right"/>
              <w:rPr>
                <w:rFonts w:asciiTheme="minorHAnsi" w:hAnsiTheme="minorHAnsi" w:cstheme="minorHAnsi"/>
                <w:b/>
                <w:bCs/>
                <w:sz w:val="18"/>
                <w:szCs w:val="14"/>
              </w:rPr>
            </w:pPr>
            <w:r w:rsidRPr="00002F2B">
              <w:rPr>
                <w:rFonts w:asciiTheme="minorHAnsi" w:hAnsiTheme="minorHAnsi" w:cstheme="minorHAnsi"/>
                <w:b/>
                <w:bCs/>
                <w:sz w:val="18"/>
                <w:szCs w:val="14"/>
              </w:rPr>
              <w:t>294,929</w:t>
            </w:r>
          </w:p>
        </w:tc>
        <w:tc>
          <w:tcPr>
            <w:tcW w:w="1134" w:type="dxa"/>
          </w:tcPr>
          <w:p w14:paraId="0CE3D2D9" w14:textId="77777777" w:rsidR="00B02873" w:rsidRPr="00002F2B" w:rsidRDefault="00B02873" w:rsidP="00002F2B">
            <w:pPr>
              <w:pStyle w:val="TablebodyleftFinancialsTables"/>
              <w:jc w:val="right"/>
              <w:rPr>
                <w:rFonts w:asciiTheme="minorHAnsi" w:hAnsiTheme="minorHAnsi" w:cstheme="minorHAnsi"/>
                <w:sz w:val="18"/>
                <w:szCs w:val="14"/>
              </w:rPr>
            </w:pPr>
            <w:r w:rsidRPr="00002F2B">
              <w:rPr>
                <w:rFonts w:asciiTheme="minorHAnsi" w:hAnsiTheme="minorHAnsi" w:cstheme="minorHAnsi"/>
                <w:sz w:val="18"/>
                <w:szCs w:val="14"/>
              </w:rPr>
              <w:t>263,328</w:t>
            </w:r>
          </w:p>
        </w:tc>
      </w:tr>
      <w:tr w:rsidR="00B02873" w:rsidRPr="00002F2B" w14:paraId="58F53C4F" w14:textId="77777777" w:rsidTr="00277ECD">
        <w:tc>
          <w:tcPr>
            <w:tcW w:w="3397" w:type="dxa"/>
          </w:tcPr>
          <w:p w14:paraId="308079B5" w14:textId="77777777" w:rsidR="00B02873" w:rsidRPr="00002F2B" w:rsidRDefault="00B02873" w:rsidP="007032F5">
            <w:pPr>
              <w:pStyle w:val="TablebodyleftFinancialsTables"/>
              <w:rPr>
                <w:rFonts w:asciiTheme="minorHAnsi" w:hAnsiTheme="minorHAnsi" w:cstheme="minorHAnsi"/>
                <w:b/>
                <w:bCs/>
                <w:sz w:val="18"/>
                <w:szCs w:val="14"/>
              </w:rPr>
            </w:pPr>
            <w:r w:rsidRPr="00002F2B">
              <w:rPr>
                <w:rFonts w:asciiTheme="minorHAnsi" w:hAnsiTheme="minorHAnsi" w:cstheme="minorHAnsi"/>
                <w:b/>
                <w:bCs/>
                <w:sz w:val="18"/>
                <w:szCs w:val="14"/>
              </w:rPr>
              <w:t xml:space="preserve">Net assets </w:t>
            </w:r>
          </w:p>
        </w:tc>
        <w:tc>
          <w:tcPr>
            <w:tcW w:w="1924" w:type="dxa"/>
          </w:tcPr>
          <w:p w14:paraId="4BC9E693" w14:textId="77777777" w:rsidR="00B02873" w:rsidRPr="00002F2B" w:rsidRDefault="00B02873" w:rsidP="00002F2B">
            <w:pPr>
              <w:pStyle w:val="TablebodyleftFinancialsTables"/>
              <w:jc w:val="right"/>
              <w:rPr>
                <w:rFonts w:asciiTheme="minorHAnsi" w:hAnsiTheme="minorHAnsi" w:cstheme="minorHAnsi"/>
                <w:b/>
                <w:bCs/>
                <w:sz w:val="18"/>
                <w:szCs w:val="14"/>
              </w:rPr>
            </w:pPr>
            <w:r w:rsidRPr="00002F2B">
              <w:rPr>
                <w:rFonts w:asciiTheme="minorHAnsi" w:hAnsiTheme="minorHAnsi" w:cstheme="minorHAnsi"/>
                <w:b/>
                <w:bCs/>
                <w:sz w:val="18"/>
                <w:szCs w:val="14"/>
              </w:rPr>
              <w:t>1,145,328</w:t>
            </w:r>
          </w:p>
        </w:tc>
        <w:tc>
          <w:tcPr>
            <w:tcW w:w="1925" w:type="dxa"/>
          </w:tcPr>
          <w:p w14:paraId="1B9F7CBB" w14:textId="77777777" w:rsidR="00B02873" w:rsidRPr="00002F2B" w:rsidRDefault="00B02873" w:rsidP="00002F2B">
            <w:pPr>
              <w:pStyle w:val="TablebodyleftFinancialsTables"/>
              <w:jc w:val="right"/>
              <w:rPr>
                <w:rFonts w:asciiTheme="minorHAnsi" w:hAnsiTheme="minorHAnsi" w:cstheme="minorHAnsi"/>
                <w:sz w:val="18"/>
                <w:szCs w:val="14"/>
              </w:rPr>
            </w:pPr>
            <w:r w:rsidRPr="00002F2B">
              <w:rPr>
                <w:rFonts w:asciiTheme="minorHAnsi" w:hAnsiTheme="minorHAnsi" w:cstheme="minorHAnsi"/>
                <w:sz w:val="18"/>
                <w:szCs w:val="14"/>
              </w:rPr>
              <w:t>1,119,209</w:t>
            </w:r>
          </w:p>
        </w:tc>
        <w:tc>
          <w:tcPr>
            <w:tcW w:w="1254" w:type="dxa"/>
          </w:tcPr>
          <w:p w14:paraId="5080D7EA" w14:textId="77777777" w:rsidR="00B02873" w:rsidRPr="00002F2B" w:rsidRDefault="00B02873" w:rsidP="00002F2B">
            <w:pPr>
              <w:pStyle w:val="TablebodyleftFinancialsTables"/>
              <w:jc w:val="right"/>
              <w:rPr>
                <w:rFonts w:asciiTheme="minorHAnsi" w:hAnsiTheme="minorHAnsi" w:cstheme="minorHAnsi"/>
                <w:b/>
                <w:bCs/>
                <w:sz w:val="18"/>
                <w:szCs w:val="14"/>
              </w:rPr>
            </w:pPr>
            <w:r w:rsidRPr="00002F2B">
              <w:rPr>
                <w:rFonts w:asciiTheme="minorHAnsi" w:hAnsiTheme="minorHAnsi" w:cstheme="minorHAnsi"/>
                <w:b/>
                <w:bCs/>
                <w:sz w:val="18"/>
                <w:szCs w:val="14"/>
              </w:rPr>
              <w:t>362,388</w:t>
            </w:r>
          </w:p>
        </w:tc>
        <w:tc>
          <w:tcPr>
            <w:tcW w:w="1134" w:type="dxa"/>
          </w:tcPr>
          <w:p w14:paraId="79E81EDF" w14:textId="77777777" w:rsidR="00B02873" w:rsidRPr="00002F2B" w:rsidRDefault="00B02873" w:rsidP="00002F2B">
            <w:pPr>
              <w:pStyle w:val="TablebodyleftFinancialsTables"/>
              <w:jc w:val="right"/>
              <w:rPr>
                <w:rFonts w:asciiTheme="minorHAnsi" w:hAnsiTheme="minorHAnsi" w:cstheme="minorHAnsi"/>
                <w:sz w:val="18"/>
                <w:szCs w:val="14"/>
              </w:rPr>
            </w:pPr>
            <w:r w:rsidRPr="00002F2B">
              <w:rPr>
                <w:rFonts w:asciiTheme="minorHAnsi" w:hAnsiTheme="minorHAnsi" w:cstheme="minorHAnsi"/>
                <w:sz w:val="18"/>
                <w:szCs w:val="14"/>
              </w:rPr>
              <w:t>(20,535)</w:t>
            </w:r>
          </w:p>
        </w:tc>
      </w:tr>
    </w:tbl>
    <w:p w14:paraId="531780BC" w14:textId="77777777" w:rsidR="00B02873" w:rsidRDefault="00B02873" w:rsidP="00FE198A"/>
    <w:p w14:paraId="2694611B" w14:textId="77777777" w:rsidR="00B02873" w:rsidRDefault="00B02873" w:rsidP="00B45C31">
      <w:pPr>
        <w:pStyle w:val="Heading4"/>
      </w:pPr>
      <w:r>
        <w:t xml:space="preserve">4.1.3 Departmental Outputs – Controlled assets and liabilities (continued) </w:t>
      </w:r>
    </w:p>
    <w:tbl>
      <w:tblPr>
        <w:tblStyle w:val="TableGrid"/>
        <w:tblW w:w="9633" w:type="dxa"/>
        <w:tblLayout w:type="fixed"/>
        <w:tblLook w:val="0020" w:firstRow="1" w:lastRow="0" w:firstColumn="0" w:lastColumn="0" w:noHBand="0" w:noVBand="0"/>
      </w:tblPr>
      <w:tblGrid>
        <w:gridCol w:w="4106"/>
        <w:gridCol w:w="1465"/>
        <w:gridCol w:w="1465"/>
        <w:gridCol w:w="1298"/>
        <w:gridCol w:w="1299"/>
      </w:tblGrid>
      <w:tr w:rsidR="00B02873" w:rsidRPr="00B02873" w14:paraId="0C03B3C0" w14:textId="77777777" w:rsidTr="00B45C31">
        <w:trPr>
          <w:cnfStyle w:val="100000000000" w:firstRow="1" w:lastRow="0" w:firstColumn="0" w:lastColumn="0" w:oddVBand="0" w:evenVBand="0" w:oddHBand="0" w:evenHBand="0" w:firstRowFirstColumn="0" w:firstRowLastColumn="0" w:lastRowFirstColumn="0" w:lastRowLastColumn="0"/>
          <w:tblHeader/>
        </w:trPr>
        <w:tc>
          <w:tcPr>
            <w:tcW w:w="4106" w:type="dxa"/>
          </w:tcPr>
          <w:p w14:paraId="34B9CE6C" w14:textId="77777777" w:rsidR="00B02873" w:rsidRPr="00B02873" w:rsidRDefault="00B02873" w:rsidP="00B45C31">
            <w:pPr>
              <w:pStyle w:val="TableheadingleftFinancialsTables"/>
            </w:pPr>
          </w:p>
        </w:tc>
        <w:tc>
          <w:tcPr>
            <w:tcW w:w="1465" w:type="dxa"/>
          </w:tcPr>
          <w:p w14:paraId="5730CBE4" w14:textId="737D8425" w:rsidR="00B02873" w:rsidRPr="00B45C31" w:rsidRDefault="00B45C31" w:rsidP="00B45C31">
            <w:pPr>
              <w:pStyle w:val="TableheadingleftFinancialsTables"/>
              <w:jc w:val="right"/>
            </w:pPr>
            <w:r w:rsidRPr="00B45C31">
              <w:t xml:space="preserve">Waste and Recycling </w:t>
            </w:r>
            <w:r w:rsidR="00B02873" w:rsidRPr="00B45C31">
              <w:t xml:space="preserve">2022 </w:t>
            </w:r>
            <w:r w:rsidR="00B02873" w:rsidRPr="00B45C31">
              <w:br/>
              <w:t>$’000</w:t>
            </w:r>
          </w:p>
        </w:tc>
        <w:tc>
          <w:tcPr>
            <w:tcW w:w="1465" w:type="dxa"/>
          </w:tcPr>
          <w:p w14:paraId="060ACEAF" w14:textId="41FAB392" w:rsidR="00B02873" w:rsidRDefault="00B45C31" w:rsidP="00B45C31">
            <w:pPr>
              <w:pStyle w:val="TableheadingleftFinancialsTables"/>
              <w:jc w:val="right"/>
            </w:pPr>
            <w:r>
              <w:t>Waste and Recycling</w:t>
            </w:r>
            <w:r w:rsidR="00B02873">
              <w:t xml:space="preserve"> 2021 </w:t>
            </w:r>
            <w:r w:rsidR="00B02873">
              <w:br/>
              <w:t>$’000</w:t>
            </w:r>
          </w:p>
        </w:tc>
        <w:tc>
          <w:tcPr>
            <w:tcW w:w="1298" w:type="dxa"/>
          </w:tcPr>
          <w:p w14:paraId="67A7D5C8" w14:textId="2F1A449C" w:rsidR="00B02873" w:rsidRPr="00B45C31" w:rsidRDefault="00B45C31" w:rsidP="00B45C31">
            <w:pPr>
              <w:pStyle w:val="TableheadingleftFinancialsTables"/>
              <w:jc w:val="right"/>
            </w:pPr>
            <w:r w:rsidRPr="00B45C31">
              <w:t xml:space="preserve">Total </w:t>
            </w:r>
            <w:r w:rsidR="00B02873" w:rsidRPr="00B45C31">
              <w:t xml:space="preserve">2022 </w:t>
            </w:r>
            <w:r w:rsidR="00B02873" w:rsidRPr="00B45C31">
              <w:br/>
              <w:t>$’000</w:t>
            </w:r>
          </w:p>
        </w:tc>
        <w:tc>
          <w:tcPr>
            <w:tcW w:w="1299" w:type="dxa"/>
          </w:tcPr>
          <w:p w14:paraId="2CC13B11" w14:textId="0173E421" w:rsidR="00B02873" w:rsidRDefault="00B45C31" w:rsidP="00B45C31">
            <w:pPr>
              <w:pStyle w:val="TableheadingleftFinancialsTables"/>
              <w:jc w:val="right"/>
            </w:pPr>
            <w:r>
              <w:t xml:space="preserve">Total </w:t>
            </w:r>
            <w:r w:rsidR="00B02873">
              <w:t>2021</w:t>
            </w:r>
            <w:r w:rsidR="00B02873">
              <w:br/>
              <w:t>$’000</w:t>
            </w:r>
          </w:p>
        </w:tc>
      </w:tr>
      <w:tr w:rsidR="00B45C31" w:rsidRPr="00B02873" w14:paraId="58F7198F" w14:textId="77777777" w:rsidTr="00B45C31">
        <w:tc>
          <w:tcPr>
            <w:tcW w:w="4106" w:type="dxa"/>
          </w:tcPr>
          <w:p w14:paraId="60CE1FE7" w14:textId="77777777" w:rsidR="00B45C31" w:rsidRPr="00B45C31" w:rsidRDefault="00B45C31" w:rsidP="00B45C31">
            <w:pPr>
              <w:pStyle w:val="TablebodyleftFinancialsTables"/>
              <w:rPr>
                <w:b/>
                <w:bCs/>
              </w:rPr>
            </w:pPr>
            <w:r w:rsidRPr="00B45C31">
              <w:rPr>
                <w:b/>
                <w:bCs/>
              </w:rPr>
              <w:t>Assets</w:t>
            </w:r>
          </w:p>
        </w:tc>
        <w:tc>
          <w:tcPr>
            <w:tcW w:w="1465" w:type="dxa"/>
          </w:tcPr>
          <w:p w14:paraId="5EAADCEC" w14:textId="77777777" w:rsidR="00B45C31" w:rsidRPr="00B45C31" w:rsidRDefault="00B45C31" w:rsidP="00B45C31">
            <w:pPr>
              <w:pStyle w:val="TablebodyleftFinancialsTables"/>
              <w:jc w:val="right"/>
              <w:rPr>
                <w:b/>
                <w:bCs/>
              </w:rPr>
            </w:pPr>
          </w:p>
        </w:tc>
        <w:tc>
          <w:tcPr>
            <w:tcW w:w="1465" w:type="dxa"/>
          </w:tcPr>
          <w:p w14:paraId="5BEA3B2D" w14:textId="77777777" w:rsidR="00B45C31" w:rsidRDefault="00B45C31" w:rsidP="00B45C31">
            <w:pPr>
              <w:pStyle w:val="TablebodyleftFinancialsTables"/>
              <w:jc w:val="right"/>
            </w:pPr>
          </w:p>
        </w:tc>
        <w:tc>
          <w:tcPr>
            <w:tcW w:w="1298" w:type="dxa"/>
          </w:tcPr>
          <w:p w14:paraId="43ED0756" w14:textId="77777777" w:rsidR="00B45C31" w:rsidRPr="00B45C31" w:rsidRDefault="00B45C31" w:rsidP="00B45C31">
            <w:pPr>
              <w:pStyle w:val="TablebodyleftFinancialsTables"/>
              <w:jc w:val="right"/>
              <w:rPr>
                <w:b/>
                <w:bCs/>
              </w:rPr>
            </w:pPr>
          </w:p>
        </w:tc>
        <w:tc>
          <w:tcPr>
            <w:tcW w:w="1299" w:type="dxa"/>
          </w:tcPr>
          <w:p w14:paraId="0513858D" w14:textId="7B149CBE" w:rsidR="00B45C31" w:rsidRDefault="00B45C31" w:rsidP="00B45C31">
            <w:pPr>
              <w:pStyle w:val="TablebodyleftFinancialsTables"/>
              <w:jc w:val="right"/>
            </w:pPr>
          </w:p>
        </w:tc>
      </w:tr>
      <w:tr w:rsidR="00B45C31" w:rsidRPr="00B02873" w14:paraId="7DB44B20" w14:textId="77777777" w:rsidTr="00B45C31">
        <w:tc>
          <w:tcPr>
            <w:tcW w:w="4106" w:type="dxa"/>
          </w:tcPr>
          <w:p w14:paraId="5B434201" w14:textId="77777777" w:rsidR="00B45C31" w:rsidRPr="00B45C31" w:rsidRDefault="00B45C31" w:rsidP="00B45C31">
            <w:pPr>
              <w:pStyle w:val="TablebodyleftFinancialsTables"/>
              <w:rPr>
                <w:b/>
                <w:bCs/>
              </w:rPr>
            </w:pPr>
            <w:r w:rsidRPr="00B45C31">
              <w:rPr>
                <w:b/>
                <w:bCs/>
              </w:rPr>
              <w:t>Financial assets</w:t>
            </w:r>
          </w:p>
        </w:tc>
        <w:tc>
          <w:tcPr>
            <w:tcW w:w="1465" w:type="dxa"/>
          </w:tcPr>
          <w:p w14:paraId="3E48007F" w14:textId="77777777" w:rsidR="00B45C31" w:rsidRPr="00B45C31" w:rsidRDefault="00B45C31" w:rsidP="00B45C31">
            <w:pPr>
              <w:pStyle w:val="TablebodyleftFinancialsTables"/>
              <w:jc w:val="right"/>
              <w:rPr>
                <w:b/>
                <w:bCs/>
              </w:rPr>
            </w:pPr>
          </w:p>
        </w:tc>
        <w:tc>
          <w:tcPr>
            <w:tcW w:w="1465" w:type="dxa"/>
          </w:tcPr>
          <w:p w14:paraId="6B47E3B2" w14:textId="77777777" w:rsidR="00B45C31" w:rsidRDefault="00B45C31" w:rsidP="00B45C31">
            <w:pPr>
              <w:pStyle w:val="TablebodyleftFinancialsTables"/>
              <w:jc w:val="right"/>
            </w:pPr>
          </w:p>
        </w:tc>
        <w:tc>
          <w:tcPr>
            <w:tcW w:w="1298" w:type="dxa"/>
          </w:tcPr>
          <w:p w14:paraId="3FF72285" w14:textId="77777777" w:rsidR="00B45C31" w:rsidRPr="00B45C31" w:rsidRDefault="00B45C31" w:rsidP="00B45C31">
            <w:pPr>
              <w:pStyle w:val="TablebodyleftFinancialsTables"/>
              <w:jc w:val="right"/>
              <w:rPr>
                <w:b/>
                <w:bCs/>
              </w:rPr>
            </w:pPr>
          </w:p>
        </w:tc>
        <w:tc>
          <w:tcPr>
            <w:tcW w:w="1299" w:type="dxa"/>
          </w:tcPr>
          <w:p w14:paraId="1A9C6AA7" w14:textId="765CA56D" w:rsidR="00B45C31" w:rsidRDefault="00B45C31" w:rsidP="00B45C31">
            <w:pPr>
              <w:pStyle w:val="TablebodyleftFinancialsTables"/>
              <w:jc w:val="right"/>
            </w:pPr>
          </w:p>
        </w:tc>
      </w:tr>
      <w:tr w:rsidR="00B02873" w:rsidRPr="00B02873" w14:paraId="53FEA55C" w14:textId="77777777" w:rsidTr="00B45C31">
        <w:tc>
          <w:tcPr>
            <w:tcW w:w="4106" w:type="dxa"/>
          </w:tcPr>
          <w:p w14:paraId="08B30F40" w14:textId="77777777" w:rsidR="00B02873" w:rsidRDefault="00B02873" w:rsidP="00B45C31">
            <w:pPr>
              <w:pStyle w:val="TablebodyleftFinancialsTables"/>
            </w:pPr>
            <w:r>
              <w:t>Cash and cash deposits</w:t>
            </w:r>
          </w:p>
        </w:tc>
        <w:tc>
          <w:tcPr>
            <w:tcW w:w="1465" w:type="dxa"/>
          </w:tcPr>
          <w:p w14:paraId="585CD135" w14:textId="77777777" w:rsidR="00B02873" w:rsidRPr="00B45C31" w:rsidRDefault="00B02873" w:rsidP="00B45C31">
            <w:pPr>
              <w:pStyle w:val="TablebodyleftFinancialsTables"/>
              <w:jc w:val="right"/>
              <w:rPr>
                <w:b/>
                <w:bCs/>
              </w:rPr>
            </w:pPr>
            <w:r w:rsidRPr="00B45C31">
              <w:rPr>
                <w:b/>
                <w:bCs/>
              </w:rPr>
              <w:t>32,904</w:t>
            </w:r>
          </w:p>
        </w:tc>
        <w:tc>
          <w:tcPr>
            <w:tcW w:w="1465" w:type="dxa"/>
          </w:tcPr>
          <w:p w14:paraId="7BD2B89D" w14:textId="77777777" w:rsidR="00B02873" w:rsidRDefault="00B02873" w:rsidP="00B45C31">
            <w:pPr>
              <w:pStyle w:val="TablebodyleftFinancialsTables"/>
              <w:jc w:val="right"/>
            </w:pPr>
            <w:r>
              <w:t>2,908</w:t>
            </w:r>
          </w:p>
        </w:tc>
        <w:tc>
          <w:tcPr>
            <w:tcW w:w="1298" w:type="dxa"/>
          </w:tcPr>
          <w:p w14:paraId="5E01617C" w14:textId="77777777" w:rsidR="00B02873" w:rsidRPr="00B45C31" w:rsidRDefault="00B02873" w:rsidP="00B45C31">
            <w:pPr>
              <w:pStyle w:val="TablebodyleftFinancialsTables"/>
              <w:jc w:val="right"/>
              <w:rPr>
                <w:b/>
                <w:bCs/>
              </w:rPr>
            </w:pPr>
            <w:r w:rsidRPr="00B45C31">
              <w:rPr>
                <w:b/>
                <w:bCs/>
              </w:rPr>
              <w:t>1,281,536</w:t>
            </w:r>
          </w:p>
        </w:tc>
        <w:tc>
          <w:tcPr>
            <w:tcW w:w="1299" w:type="dxa"/>
          </w:tcPr>
          <w:p w14:paraId="7605B506" w14:textId="77777777" w:rsidR="00B02873" w:rsidRDefault="00B02873" w:rsidP="00B45C31">
            <w:pPr>
              <w:pStyle w:val="TablebodyleftFinancialsTables"/>
              <w:jc w:val="right"/>
            </w:pPr>
            <w:r>
              <w:t>1,242,681</w:t>
            </w:r>
          </w:p>
        </w:tc>
      </w:tr>
      <w:tr w:rsidR="00B02873" w:rsidRPr="00B02873" w14:paraId="4F49C6F1" w14:textId="77777777" w:rsidTr="00B45C31">
        <w:tc>
          <w:tcPr>
            <w:tcW w:w="4106" w:type="dxa"/>
          </w:tcPr>
          <w:p w14:paraId="6B1A8FC3" w14:textId="77777777" w:rsidR="00B02873" w:rsidRDefault="00B02873" w:rsidP="00B45C31">
            <w:pPr>
              <w:pStyle w:val="TablebodyleftFinancialsTables"/>
            </w:pPr>
            <w:r>
              <w:t>Receivables</w:t>
            </w:r>
          </w:p>
        </w:tc>
        <w:tc>
          <w:tcPr>
            <w:tcW w:w="1465" w:type="dxa"/>
          </w:tcPr>
          <w:p w14:paraId="750A27C5" w14:textId="77777777" w:rsidR="00B02873" w:rsidRPr="00B45C31" w:rsidRDefault="00B02873" w:rsidP="00B45C31">
            <w:pPr>
              <w:pStyle w:val="TablebodyleftFinancialsTables"/>
              <w:jc w:val="right"/>
              <w:rPr>
                <w:b/>
                <w:bCs/>
              </w:rPr>
            </w:pPr>
            <w:r w:rsidRPr="00B45C31">
              <w:rPr>
                <w:b/>
                <w:bCs/>
              </w:rPr>
              <w:t>20,323</w:t>
            </w:r>
          </w:p>
        </w:tc>
        <w:tc>
          <w:tcPr>
            <w:tcW w:w="1465" w:type="dxa"/>
          </w:tcPr>
          <w:p w14:paraId="21A49B31" w14:textId="77777777" w:rsidR="00B02873" w:rsidRDefault="00B02873" w:rsidP="00B45C31">
            <w:pPr>
              <w:pStyle w:val="TablebodyleftFinancialsTables"/>
              <w:jc w:val="right"/>
            </w:pPr>
            <w:r>
              <w:t>12,884</w:t>
            </w:r>
          </w:p>
        </w:tc>
        <w:tc>
          <w:tcPr>
            <w:tcW w:w="1298" w:type="dxa"/>
          </w:tcPr>
          <w:p w14:paraId="42E26C8F" w14:textId="77777777" w:rsidR="00B02873" w:rsidRPr="00B45C31" w:rsidRDefault="00B02873" w:rsidP="00B45C31">
            <w:pPr>
              <w:pStyle w:val="TablebodyleftFinancialsTables"/>
              <w:jc w:val="right"/>
              <w:rPr>
                <w:b/>
                <w:bCs/>
              </w:rPr>
            </w:pPr>
            <w:r w:rsidRPr="00B45C31">
              <w:rPr>
                <w:b/>
                <w:bCs/>
              </w:rPr>
              <w:t>1,104,847</w:t>
            </w:r>
          </w:p>
        </w:tc>
        <w:tc>
          <w:tcPr>
            <w:tcW w:w="1299" w:type="dxa"/>
          </w:tcPr>
          <w:p w14:paraId="036B87EA" w14:textId="77777777" w:rsidR="00B02873" w:rsidRDefault="00B02873" w:rsidP="00B45C31">
            <w:pPr>
              <w:pStyle w:val="TablebodyleftFinancialsTables"/>
              <w:jc w:val="right"/>
            </w:pPr>
            <w:r>
              <w:t>911,782</w:t>
            </w:r>
          </w:p>
        </w:tc>
      </w:tr>
      <w:tr w:rsidR="00B02873" w:rsidRPr="00B02873" w14:paraId="2ECB79C0" w14:textId="77777777" w:rsidTr="00B45C31">
        <w:tc>
          <w:tcPr>
            <w:tcW w:w="4106" w:type="dxa"/>
          </w:tcPr>
          <w:p w14:paraId="5C61E876" w14:textId="77777777" w:rsidR="00B02873" w:rsidRDefault="00B02873" w:rsidP="00B45C31">
            <w:pPr>
              <w:pStyle w:val="TablebodyleftFinancialsTables"/>
            </w:pPr>
            <w:r>
              <w:rPr>
                <w:spacing w:val="-2"/>
              </w:rPr>
              <w:t>Derivative financial instruments</w:t>
            </w:r>
          </w:p>
        </w:tc>
        <w:tc>
          <w:tcPr>
            <w:tcW w:w="1465" w:type="dxa"/>
          </w:tcPr>
          <w:p w14:paraId="331FD9B3" w14:textId="77777777" w:rsidR="00B02873" w:rsidRPr="00B45C31" w:rsidRDefault="00B02873" w:rsidP="00B45C31">
            <w:pPr>
              <w:pStyle w:val="TablebodyleftFinancialsTables"/>
              <w:jc w:val="right"/>
              <w:rPr>
                <w:b/>
                <w:bCs/>
              </w:rPr>
            </w:pPr>
            <w:r w:rsidRPr="00B45C31">
              <w:rPr>
                <w:b/>
                <w:bCs/>
              </w:rPr>
              <w:t>–</w:t>
            </w:r>
          </w:p>
        </w:tc>
        <w:tc>
          <w:tcPr>
            <w:tcW w:w="1465" w:type="dxa"/>
          </w:tcPr>
          <w:p w14:paraId="67EF71E8" w14:textId="77777777" w:rsidR="00B02873" w:rsidRDefault="00B02873" w:rsidP="00B45C31">
            <w:pPr>
              <w:pStyle w:val="TablebodyleftFinancialsTables"/>
              <w:jc w:val="right"/>
            </w:pPr>
            <w:r>
              <w:t>–</w:t>
            </w:r>
          </w:p>
        </w:tc>
        <w:tc>
          <w:tcPr>
            <w:tcW w:w="1298" w:type="dxa"/>
          </w:tcPr>
          <w:p w14:paraId="67F1AEDD" w14:textId="77777777" w:rsidR="00B02873" w:rsidRPr="00B45C31" w:rsidRDefault="00B02873" w:rsidP="00B45C31">
            <w:pPr>
              <w:pStyle w:val="TablebodyleftFinancialsTables"/>
              <w:jc w:val="right"/>
              <w:rPr>
                <w:b/>
                <w:bCs/>
              </w:rPr>
            </w:pPr>
            <w:r w:rsidRPr="00B45C31">
              <w:rPr>
                <w:b/>
                <w:bCs/>
              </w:rPr>
              <w:t>429,933</w:t>
            </w:r>
          </w:p>
        </w:tc>
        <w:tc>
          <w:tcPr>
            <w:tcW w:w="1299" w:type="dxa"/>
          </w:tcPr>
          <w:p w14:paraId="3DCE4F78" w14:textId="77777777" w:rsidR="00B02873" w:rsidRDefault="00B02873" w:rsidP="00B45C31">
            <w:pPr>
              <w:pStyle w:val="TablebodyleftFinancialsTables"/>
              <w:jc w:val="right"/>
            </w:pPr>
            <w:r>
              <w:t>80,669</w:t>
            </w:r>
          </w:p>
        </w:tc>
      </w:tr>
      <w:tr w:rsidR="00B02873" w:rsidRPr="00B02873" w14:paraId="36556CD0" w14:textId="77777777" w:rsidTr="00B45C31">
        <w:tc>
          <w:tcPr>
            <w:tcW w:w="4106" w:type="dxa"/>
          </w:tcPr>
          <w:p w14:paraId="4F0A7558" w14:textId="77777777" w:rsidR="00B02873" w:rsidRPr="00B45C31" w:rsidRDefault="00B02873" w:rsidP="00B45C31">
            <w:pPr>
              <w:pStyle w:val="TablebodyleftFinancialsTables"/>
              <w:rPr>
                <w:b/>
                <w:bCs/>
              </w:rPr>
            </w:pPr>
            <w:r w:rsidRPr="00B45C31">
              <w:rPr>
                <w:b/>
                <w:bCs/>
              </w:rPr>
              <w:t>Total financial assets</w:t>
            </w:r>
          </w:p>
        </w:tc>
        <w:tc>
          <w:tcPr>
            <w:tcW w:w="1465" w:type="dxa"/>
          </w:tcPr>
          <w:p w14:paraId="5F448C74" w14:textId="77777777" w:rsidR="00B02873" w:rsidRPr="00B45C31" w:rsidRDefault="00B02873" w:rsidP="00B45C31">
            <w:pPr>
              <w:pStyle w:val="TablebodyleftFinancialsTables"/>
              <w:jc w:val="right"/>
              <w:rPr>
                <w:b/>
                <w:bCs/>
              </w:rPr>
            </w:pPr>
            <w:r w:rsidRPr="00B45C31">
              <w:rPr>
                <w:b/>
                <w:bCs/>
              </w:rPr>
              <w:t>53,227</w:t>
            </w:r>
          </w:p>
        </w:tc>
        <w:tc>
          <w:tcPr>
            <w:tcW w:w="1465" w:type="dxa"/>
          </w:tcPr>
          <w:p w14:paraId="63CD3606" w14:textId="77777777" w:rsidR="00B02873" w:rsidRDefault="00B02873" w:rsidP="00B45C31">
            <w:pPr>
              <w:pStyle w:val="TablebodyleftFinancialsTables"/>
              <w:jc w:val="right"/>
            </w:pPr>
            <w:r>
              <w:t>15,792</w:t>
            </w:r>
          </w:p>
        </w:tc>
        <w:tc>
          <w:tcPr>
            <w:tcW w:w="1298" w:type="dxa"/>
          </w:tcPr>
          <w:p w14:paraId="529E75FF" w14:textId="77777777" w:rsidR="00B02873" w:rsidRPr="00B45C31" w:rsidRDefault="00B02873" w:rsidP="00B45C31">
            <w:pPr>
              <w:pStyle w:val="TablebodyleftFinancialsTables"/>
              <w:jc w:val="right"/>
              <w:rPr>
                <w:b/>
                <w:bCs/>
              </w:rPr>
            </w:pPr>
            <w:r w:rsidRPr="00B45C31">
              <w:rPr>
                <w:b/>
                <w:bCs/>
              </w:rPr>
              <w:t>2,816,316</w:t>
            </w:r>
          </w:p>
        </w:tc>
        <w:tc>
          <w:tcPr>
            <w:tcW w:w="1299" w:type="dxa"/>
          </w:tcPr>
          <w:p w14:paraId="24218E1B" w14:textId="77777777" w:rsidR="00B02873" w:rsidRDefault="00B02873" w:rsidP="00B45C31">
            <w:pPr>
              <w:pStyle w:val="TablebodyleftFinancialsTables"/>
              <w:jc w:val="right"/>
            </w:pPr>
            <w:r>
              <w:t>2,235,132</w:t>
            </w:r>
          </w:p>
        </w:tc>
      </w:tr>
      <w:tr w:rsidR="00B45C31" w:rsidRPr="00B02873" w14:paraId="4FA049DC" w14:textId="77777777" w:rsidTr="00B45C31">
        <w:tc>
          <w:tcPr>
            <w:tcW w:w="4106" w:type="dxa"/>
          </w:tcPr>
          <w:p w14:paraId="1D71279B" w14:textId="77777777" w:rsidR="00B45C31" w:rsidRPr="00B45C31" w:rsidRDefault="00B45C31" w:rsidP="00B45C31">
            <w:pPr>
              <w:pStyle w:val="TablebodyleftFinancialsTables"/>
              <w:rPr>
                <w:b/>
                <w:bCs/>
              </w:rPr>
            </w:pPr>
            <w:r w:rsidRPr="00B45C31">
              <w:rPr>
                <w:b/>
                <w:bCs/>
              </w:rPr>
              <w:t>Non-financial assets</w:t>
            </w:r>
          </w:p>
        </w:tc>
        <w:tc>
          <w:tcPr>
            <w:tcW w:w="1465" w:type="dxa"/>
          </w:tcPr>
          <w:p w14:paraId="19092D51" w14:textId="77777777" w:rsidR="00B45C31" w:rsidRPr="00B45C31" w:rsidRDefault="00B45C31" w:rsidP="00B45C31">
            <w:pPr>
              <w:pStyle w:val="TablebodyleftFinancialsTables"/>
              <w:jc w:val="right"/>
              <w:rPr>
                <w:b/>
                <w:bCs/>
              </w:rPr>
            </w:pPr>
          </w:p>
        </w:tc>
        <w:tc>
          <w:tcPr>
            <w:tcW w:w="1465" w:type="dxa"/>
          </w:tcPr>
          <w:p w14:paraId="101C4542" w14:textId="77777777" w:rsidR="00B45C31" w:rsidRDefault="00B45C31" w:rsidP="00B45C31">
            <w:pPr>
              <w:pStyle w:val="TablebodyleftFinancialsTables"/>
              <w:jc w:val="right"/>
            </w:pPr>
          </w:p>
        </w:tc>
        <w:tc>
          <w:tcPr>
            <w:tcW w:w="1298" w:type="dxa"/>
          </w:tcPr>
          <w:p w14:paraId="2799BDBC" w14:textId="77777777" w:rsidR="00B45C31" w:rsidRPr="00B45C31" w:rsidRDefault="00B45C31" w:rsidP="00B45C31">
            <w:pPr>
              <w:pStyle w:val="TablebodyleftFinancialsTables"/>
              <w:jc w:val="right"/>
              <w:rPr>
                <w:b/>
                <w:bCs/>
              </w:rPr>
            </w:pPr>
          </w:p>
        </w:tc>
        <w:tc>
          <w:tcPr>
            <w:tcW w:w="1299" w:type="dxa"/>
          </w:tcPr>
          <w:p w14:paraId="063C3A96" w14:textId="0E423829" w:rsidR="00B45C31" w:rsidRDefault="00B45C31" w:rsidP="00B45C31">
            <w:pPr>
              <w:pStyle w:val="TablebodyleftFinancialsTables"/>
              <w:jc w:val="right"/>
            </w:pPr>
          </w:p>
        </w:tc>
      </w:tr>
      <w:tr w:rsidR="00B02873" w:rsidRPr="00B02873" w14:paraId="78FDDBD9" w14:textId="77777777" w:rsidTr="00B45C31">
        <w:tc>
          <w:tcPr>
            <w:tcW w:w="4106" w:type="dxa"/>
          </w:tcPr>
          <w:p w14:paraId="533E4DB2" w14:textId="77777777" w:rsidR="00B02873" w:rsidRDefault="00B02873" w:rsidP="00B45C31">
            <w:pPr>
              <w:pStyle w:val="TablebodyleftFinancialsTables"/>
            </w:pPr>
            <w:r>
              <w:t>Inventories</w:t>
            </w:r>
          </w:p>
        </w:tc>
        <w:tc>
          <w:tcPr>
            <w:tcW w:w="1465" w:type="dxa"/>
          </w:tcPr>
          <w:p w14:paraId="1837782A" w14:textId="77777777" w:rsidR="00B02873" w:rsidRPr="00B45C31" w:rsidRDefault="00B02873" w:rsidP="00B45C31">
            <w:pPr>
              <w:pStyle w:val="TablebodyleftFinancialsTables"/>
              <w:jc w:val="right"/>
              <w:rPr>
                <w:b/>
                <w:bCs/>
              </w:rPr>
            </w:pPr>
            <w:r w:rsidRPr="00B45C31">
              <w:rPr>
                <w:b/>
                <w:bCs/>
              </w:rPr>
              <w:t>1</w:t>
            </w:r>
          </w:p>
        </w:tc>
        <w:tc>
          <w:tcPr>
            <w:tcW w:w="1465" w:type="dxa"/>
          </w:tcPr>
          <w:p w14:paraId="23099636" w14:textId="77777777" w:rsidR="00B02873" w:rsidRDefault="00B02873" w:rsidP="00B45C31">
            <w:pPr>
              <w:pStyle w:val="TablebodyleftFinancialsTables"/>
              <w:jc w:val="right"/>
            </w:pPr>
            <w:r>
              <w:t>1</w:t>
            </w:r>
          </w:p>
        </w:tc>
        <w:tc>
          <w:tcPr>
            <w:tcW w:w="1298" w:type="dxa"/>
          </w:tcPr>
          <w:p w14:paraId="41D45CE0" w14:textId="77777777" w:rsidR="00B02873" w:rsidRPr="00B45C31" w:rsidRDefault="00B02873" w:rsidP="00B45C31">
            <w:pPr>
              <w:pStyle w:val="TablebodyleftFinancialsTables"/>
              <w:jc w:val="right"/>
              <w:rPr>
                <w:b/>
                <w:bCs/>
              </w:rPr>
            </w:pPr>
            <w:r w:rsidRPr="00B45C31">
              <w:rPr>
                <w:b/>
                <w:bCs/>
              </w:rPr>
              <w:t>22,058</w:t>
            </w:r>
          </w:p>
        </w:tc>
        <w:tc>
          <w:tcPr>
            <w:tcW w:w="1299" w:type="dxa"/>
          </w:tcPr>
          <w:p w14:paraId="0AFBCD41" w14:textId="77777777" w:rsidR="00B02873" w:rsidRDefault="00B02873" w:rsidP="00B45C31">
            <w:pPr>
              <w:pStyle w:val="TablebodyleftFinancialsTables"/>
              <w:jc w:val="right"/>
            </w:pPr>
            <w:r>
              <w:t>24,575</w:t>
            </w:r>
          </w:p>
        </w:tc>
      </w:tr>
      <w:tr w:rsidR="00B02873" w:rsidRPr="00B02873" w14:paraId="635DF725" w14:textId="77777777" w:rsidTr="00B45C31">
        <w:tc>
          <w:tcPr>
            <w:tcW w:w="4106" w:type="dxa"/>
          </w:tcPr>
          <w:p w14:paraId="3DE81E9A" w14:textId="77777777" w:rsidR="00B02873" w:rsidRDefault="00B02873" w:rsidP="00B45C31">
            <w:pPr>
              <w:pStyle w:val="TablebodyleftFinancialsTables"/>
            </w:pPr>
            <w:r>
              <w:t>Non-financial physical assets classified as held for sale</w:t>
            </w:r>
          </w:p>
        </w:tc>
        <w:tc>
          <w:tcPr>
            <w:tcW w:w="1465" w:type="dxa"/>
          </w:tcPr>
          <w:p w14:paraId="0CEABCB6" w14:textId="77777777" w:rsidR="00B02873" w:rsidRPr="00B45C31" w:rsidRDefault="00B02873" w:rsidP="00B45C31">
            <w:pPr>
              <w:pStyle w:val="TablebodyleftFinancialsTables"/>
              <w:jc w:val="right"/>
              <w:rPr>
                <w:b/>
                <w:bCs/>
              </w:rPr>
            </w:pPr>
            <w:r w:rsidRPr="00B45C31">
              <w:rPr>
                <w:b/>
                <w:bCs/>
              </w:rPr>
              <w:t>35</w:t>
            </w:r>
          </w:p>
        </w:tc>
        <w:tc>
          <w:tcPr>
            <w:tcW w:w="1465" w:type="dxa"/>
          </w:tcPr>
          <w:p w14:paraId="24563F87" w14:textId="77777777" w:rsidR="00B02873" w:rsidRDefault="00B02873" w:rsidP="00B45C31">
            <w:pPr>
              <w:pStyle w:val="TablebodyleftFinancialsTables"/>
              <w:jc w:val="right"/>
            </w:pPr>
            <w:r>
              <w:t xml:space="preserve"> 23</w:t>
            </w:r>
          </w:p>
        </w:tc>
        <w:tc>
          <w:tcPr>
            <w:tcW w:w="1298" w:type="dxa"/>
          </w:tcPr>
          <w:p w14:paraId="1BCFD45E" w14:textId="77777777" w:rsidR="00B02873" w:rsidRPr="00B45C31" w:rsidRDefault="00B02873" w:rsidP="00B45C31">
            <w:pPr>
              <w:pStyle w:val="TablebodyleftFinancialsTables"/>
              <w:jc w:val="right"/>
              <w:rPr>
                <w:b/>
                <w:bCs/>
              </w:rPr>
            </w:pPr>
            <w:r w:rsidRPr="00B45C31">
              <w:rPr>
                <w:b/>
                <w:bCs/>
              </w:rPr>
              <w:t>10,206</w:t>
            </w:r>
          </w:p>
        </w:tc>
        <w:tc>
          <w:tcPr>
            <w:tcW w:w="1299" w:type="dxa"/>
          </w:tcPr>
          <w:p w14:paraId="0F12E814" w14:textId="77777777" w:rsidR="00B02873" w:rsidRDefault="00B02873" w:rsidP="00B45C31">
            <w:pPr>
              <w:pStyle w:val="TablebodyleftFinancialsTables"/>
              <w:jc w:val="right"/>
            </w:pPr>
            <w:r>
              <w:t>10,974</w:t>
            </w:r>
          </w:p>
        </w:tc>
      </w:tr>
      <w:tr w:rsidR="00B02873" w:rsidRPr="00B02873" w14:paraId="548CDD63" w14:textId="77777777" w:rsidTr="00B45C31">
        <w:tc>
          <w:tcPr>
            <w:tcW w:w="4106" w:type="dxa"/>
          </w:tcPr>
          <w:p w14:paraId="26DF22E8" w14:textId="77777777" w:rsidR="00B02873" w:rsidRDefault="00B02873" w:rsidP="00B45C31">
            <w:pPr>
              <w:pStyle w:val="TablebodyleftFinancialsTables"/>
            </w:pPr>
            <w:r>
              <w:t>Property, plant and equipment</w:t>
            </w:r>
          </w:p>
        </w:tc>
        <w:tc>
          <w:tcPr>
            <w:tcW w:w="1465" w:type="dxa"/>
          </w:tcPr>
          <w:p w14:paraId="594AD74D" w14:textId="77777777" w:rsidR="00B02873" w:rsidRPr="00B45C31" w:rsidRDefault="00B02873" w:rsidP="00B45C31">
            <w:pPr>
              <w:pStyle w:val="TablebodyleftFinancialsTables"/>
              <w:jc w:val="right"/>
              <w:rPr>
                <w:b/>
                <w:bCs/>
              </w:rPr>
            </w:pPr>
            <w:r w:rsidRPr="00B45C31">
              <w:rPr>
                <w:b/>
                <w:bCs/>
              </w:rPr>
              <w:t>4,696</w:t>
            </w:r>
          </w:p>
        </w:tc>
        <w:tc>
          <w:tcPr>
            <w:tcW w:w="1465" w:type="dxa"/>
          </w:tcPr>
          <w:p w14:paraId="27328795" w14:textId="77777777" w:rsidR="00B02873" w:rsidRDefault="00B02873" w:rsidP="00B45C31">
            <w:pPr>
              <w:pStyle w:val="TablebodyleftFinancialsTables"/>
              <w:jc w:val="right"/>
            </w:pPr>
            <w:r>
              <w:t>3,696</w:t>
            </w:r>
          </w:p>
        </w:tc>
        <w:tc>
          <w:tcPr>
            <w:tcW w:w="1298" w:type="dxa"/>
          </w:tcPr>
          <w:p w14:paraId="5888141A" w14:textId="77777777" w:rsidR="00B02873" w:rsidRPr="00B45C31" w:rsidRDefault="00B02873" w:rsidP="00B45C31">
            <w:pPr>
              <w:pStyle w:val="TablebodyleftFinancialsTables"/>
              <w:jc w:val="right"/>
              <w:rPr>
                <w:b/>
                <w:bCs/>
              </w:rPr>
            </w:pPr>
            <w:r w:rsidRPr="00B45C31">
              <w:rPr>
                <w:b/>
                <w:bCs/>
              </w:rPr>
              <w:t>9,251,912</w:t>
            </w:r>
          </w:p>
        </w:tc>
        <w:tc>
          <w:tcPr>
            <w:tcW w:w="1299" w:type="dxa"/>
          </w:tcPr>
          <w:p w14:paraId="77781364" w14:textId="77777777" w:rsidR="00B02873" w:rsidRDefault="00B02873" w:rsidP="00B45C31">
            <w:pPr>
              <w:pStyle w:val="TablebodyleftFinancialsTables"/>
              <w:jc w:val="right"/>
            </w:pPr>
            <w:r>
              <w:t>7,991,729</w:t>
            </w:r>
          </w:p>
        </w:tc>
      </w:tr>
      <w:tr w:rsidR="00B02873" w:rsidRPr="00B02873" w14:paraId="57DC76C4" w14:textId="77777777" w:rsidTr="00B45C31">
        <w:tc>
          <w:tcPr>
            <w:tcW w:w="4106" w:type="dxa"/>
          </w:tcPr>
          <w:p w14:paraId="3B15F4C2" w14:textId="77777777" w:rsidR="00B02873" w:rsidRDefault="00B02873" w:rsidP="00B45C31">
            <w:pPr>
              <w:pStyle w:val="TablebodyleftFinancialsTables"/>
            </w:pPr>
            <w:r>
              <w:t>Intangible assets</w:t>
            </w:r>
          </w:p>
        </w:tc>
        <w:tc>
          <w:tcPr>
            <w:tcW w:w="1465" w:type="dxa"/>
          </w:tcPr>
          <w:p w14:paraId="545B8F7E" w14:textId="77777777" w:rsidR="00B02873" w:rsidRPr="00B45C31" w:rsidRDefault="00B02873" w:rsidP="00B45C31">
            <w:pPr>
              <w:pStyle w:val="TablebodyleftFinancialsTables"/>
              <w:jc w:val="right"/>
              <w:rPr>
                <w:b/>
                <w:bCs/>
              </w:rPr>
            </w:pPr>
            <w:r w:rsidRPr="00B45C31">
              <w:rPr>
                <w:b/>
                <w:bCs/>
              </w:rPr>
              <w:t>–</w:t>
            </w:r>
          </w:p>
        </w:tc>
        <w:tc>
          <w:tcPr>
            <w:tcW w:w="1465" w:type="dxa"/>
          </w:tcPr>
          <w:p w14:paraId="579CA685" w14:textId="77777777" w:rsidR="00B02873" w:rsidRDefault="00B02873" w:rsidP="00B45C31">
            <w:pPr>
              <w:pStyle w:val="TablebodyleftFinancialsTables"/>
              <w:jc w:val="right"/>
            </w:pPr>
            <w:r>
              <w:t>–</w:t>
            </w:r>
          </w:p>
        </w:tc>
        <w:tc>
          <w:tcPr>
            <w:tcW w:w="1298" w:type="dxa"/>
          </w:tcPr>
          <w:p w14:paraId="2FAD1CAD" w14:textId="77777777" w:rsidR="00B02873" w:rsidRPr="00B45C31" w:rsidRDefault="00B02873" w:rsidP="00B45C31">
            <w:pPr>
              <w:pStyle w:val="TablebodyleftFinancialsTables"/>
              <w:jc w:val="right"/>
              <w:rPr>
                <w:b/>
                <w:bCs/>
              </w:rPr>
            </w:pPr>
            <w:r w:rsidRPr="00B45C31">
              <w:rPr>
                <w:b/>
                <w:bCs/>
              </w:rPr>
              <w:t>46,000</w:t>
            </w:r>
          </w:p>
        </w:tc>
        <w:tc>
          <w:tcPr>
            <w:tcW w:w="1299" w:type="dxa"/>
          </w:tcPr>
          <w:p w14:paraId="1F31E2F4" w14:textId="77777777" w:rsidR="00B02873" w:rsidRDefault="00B02873" w:rsidP="00B45C31">
            <w:pPr>
              <w:pStyle w:val="TablebodyleftFinancialsTables"/>
              <w:jc w:val="right"/>
            </w:pPr>
            <w:r>
              <w:t>39,853</w:t>
            </w:r>
          </w:p>
        </w:tc>
      </w:tr>
      <w:tr w:rsidR="00B02873" w:rsidRPr="00B02873" w14:paraId="48118BFE" w14:textId="77777777" w:rsidTr="00B45C31">
        <w:tc>
          <w:tcPr>
            <w:tcW w:w="4106" w:type="dxa"/>
          </w:tcPr>
          <w:p w14:paraId="3FC52C06" w14:textId="77777777" w:rsidR="00B02873" w:rsidRDefault="00B02873" w:rsidP="00B45C31">
            <w:pPr>
              <w:pStyle w:val="TablebodyleftFinancialsTables"/>
            </w:pPr>
            <w:r>
              <w:lastRenderedPageBreak/>
              <w:t>Prepayments</w:t>
            </w:r>
          </w:p>
        </w:tc>
        <w:tc>
          <w:tcPr>
            <w:tcW w:w="1465" w:type="dxa"/>
          </w:tcPr>
          <w:p w14:paraId="0A36AE76" w14:textId="77777777" w:rsidR="00B02873" w:rsidRPr="00B45C31" w:rsidRDefault="00B02873" w:rsidP="00B45C31">
            <w:pPr>
              <w:pStyle w:val="TablebodyleftFinancialsTables"/>
              <w:jc w:val="right"/>
              <w:rPr>
                <w:b/>
                <w:bCs/>
              </w:rPr>
            </w:pPr>
            <w:r w:rsidRPr="00B45C31">
              <w:rPr>
                <w:b/>
                <w:bCs/>
              </w:rPr>
              <w:t>108</w:t>
            </w:r>
          </w:p>
        </w:tc>
        <w:tc>
          <w:tcPr>
            <w:tcW w:w="1465" w:type="dxa"/>
          </w:tcPr>
          <w:p w14:paraId="6ECF94E5" w14:textId="77777777" w:rsidR="00B02873" w:rsidRDefault="00B02873" w:rsidP="00B45C31">
            <w:pPr>
              <w:pStyle w:val="TablebodyleftFinancialsTables"/>
              <w:jc w:val="right"/>
            </w:pPr>
            <w:r>
              <w:t>104</w:t>
            </w:r>
          </w:p>
        </w:tc>
        <w:tc>
          <w:tcPr>
            <w:tcW w:w="1298" w:type="dxa"/>
          </w:tcPr>
          <w:p w14:paraId="2C8FFF97" w14:textId="77777777" w:rsidR="00B02873" w:rsidRPr="00B45C31" w:rsidRDefault="00B02873" w:rsidP="00B45C31">
            <w:pPr>
              <w:pStyle w:val="TablebodyleftFinancialsTables"/>
              <w:jc w:val="right"/>
              <w:rPr>
                <w:b/>
                <w:bCs/>
              </w:rPr>
            </w:pPr>
            <w:r w:rsidRPr="00B45C31">
              <w:rPr>
                <w:b/>
                <w:bCs/>
              </w:rPr>
              <w:t>63,663</w:t>
            </w:r>
          </w:p>
        </w:tc>
        <w:tc>
          <w:tcPr>
            <w:tcW w:w="1299" w:type="dxa"/>
          </w:tcPr>
          <w:p w14:paraId="2B4D1B00" w14:textId="77777777" w:rsidR="00B02873" w:rsidRDefault="00B02873" w:rsidP="00B45C31">
            <w:pPr>
              <w:pStyle w:val="TablebodyleftFinancialsTables"/>
              <w:jc w:val="right"/>
            </w:pPr>
            <w:r>
              <w:t>42,459</w:t>
            </w:r>
          </w:p>
        </w:tc>
      </w:tr>
      <w:tr w:rsidR="00B02873" w:rsidRPr="00B02873" w14:paraId="003939C8" w14:textId="77777777" w:rsidTr="00B45C31">
        <w:tc>
          <w:tcPr>
            <w:tcW w:w="4106" w:type="dxa"/>
          </w:tcPr>
          <w:p w14:paraId="64346391" w14:textId="77777777" w:rsidR="00B02873" w:rsidRPr="00B45C31" w:rsidRDefault="00B02873" w:rsidP="00B45C31">
            <w:pPr>
              <w:pStyle w:val="TablebodyleftFinancialsTables"/>
              <w:rPr>
                <w:b/>
                <w:bCs/>
              </w:rPr>
            </w:pPr>
            <w:r w:rsidRPr="00B45C31">
              <w:rPr>
                <w:b/>
                <w:bCs/>
              </w:rPr>
              <w:t>Total non-financial assets</w:t>
            </w:r>
          </w:p>
        </w:tc>
        <w:tc>
          <w:tcPr>
            <w:tcW w:w="1465" w:type="dxa"/>
          </w:tcPr>
          <w:p w14:paraId="48DC98C7" w14:textId="77777777" w:rsidR="00B02873" w:rsidRPr="00B45C31" w:rsidRDefault="00B02873" w:rsidP="00B45C31">
            <w:pPr>
              <w:pStyle w:val="TablebodyleftFinancialsTables"/>
              <w:jc w:val="right"/>
              <w:rPr>
                <w:b/>
                <w:bCs/>
              </w:rPr>
            </w:pPr>
            <w:r w:rsidRPr="00B45C31">
              <w:rPr>
                <w:b/>
                <w:bCs/>
              </w:rPr>
              <w:t>4,840</w:t>
            </w:r>
          </w:p>
        </w:tc>
        <w:tc>
          <w:tcPr>
            <w:tcW w:w="1465" w:type="dxa"/>
          </w:tcPr>
          <w:p w14:paraId="51DDE1BC" w14:textId="77777777" w:rsidR="00B02873" w:rsidRDefault="00B02873" w:rsidP="00B45C31">
            <w:pPr>
              <w:pStyle w:val="TablebodyleftFinancialsTables"/>
              <w:jc w:val="right"/>
            </w:pPr>
            <w:r>
              <w:t>3,824</w:t>
            </w:r>
          </w:p>
        </w:tc>
        <w:tc>
          <w:tcPr>
            <w:tcW w:w="1298" w:type="dxa"/>
          </w:tcPr>
          <w:p w14:paraId="4829C229" w14:textId="77777777" w:rsidR="00B02873" w:rsidRPr="00B45C31" w:rsidRDefault="00B02873" w:rsidP="00B45C31">
            <w:pPr>
              <w:pStyle w:val="TablebodyleftFinancialsTables"/>
              <w:jc w:val="right"/>
              <w:rPr>
                <w:b/>
                <w:bCs/>
              </w:rPr>
            </w:pPr>
            <w:r w:rsidRPr="00B45C31">
              <w:rPr>
                <w:b/>
                <w:bCs/>
              </w:rPr>
              <w:t>9,393,839</w:t>
            </w:r>
          </w:p>
        </w:tc>
        <w:tc>
          <w:tcPr>
            <w:tcW w:w="1299" w:type="dxa"/>
          </w:tcPr>
          <w:p w14:paraId="050A8912" w14:textId="77777777" w:rsidR="00B02873" w:rsidRDefault="00B02873" w:rsidP="00B45C31">
            <w:pPr>
              <w:pStyle w:val="TablebodyleftFinancialsTables"/>
              <w:jc w:val="right"/>
            </w:pPr>
            <w:r>
              <w:t>8,109,590</w:t>
            </w:r>
          </w:p>
        </w:tc>
      </w:tr>
      <w:tr w:rsidR="00B02873" w:rsidRPr="00B02873" w14:paraId="5DA380FE" w14:textId="77777777" w:rsidTr="00B45C31">
        <w:tc>
          <w:tcPr>
            <w:tcW w:w="4106" w:type="dxa"/>
          </w:tcPr>
          <w:p w14:paraId="2E6A50A6" w14:textId="77777777" w:rsidR="00B02873" w:rsidRPr="00B45C31" w:rsidRDefault="00B02873" w:rsidP="00B45C31">
            <w:pPr>
              <w:pStyle w:val="TablebodyleftFinancialsTables"/>
              <w:rPr>
                <w:b/>
                <w:bCs/>
              </w:rPr>
            </w:pPr>
            <w:r w:rsidRPr="00B45C31">
              <w:rPr>
                <w:b/>
                <w:bCs/>
              </w:rPr>
              <w:t>Total assets</w:t>
            </w:r>
          </w:p>
        </w:tc>
        <w:tc>
          <w:tcPr>
            <w:tcW w:w="1465" w:type="dxa"/>
          </w:tcPr>
          <w:p w14:paraId="3FA4C37A" w14:textId="4A3DCEEE" w:rsidR="00B02873" w:rsidRPr="00B45C31" w:rsidRDefault="00B02873" w:rsidP="00B45C31">
            <w:pPr>
              <w:pStyle w:val="TablebodyleftFinancialsTables"/>
              <w:jc w:val="right"/>
              <w:rPr>
                <w:b/>
                <w:bCs/>
              </w:rPr>
            </w:pPr>
            <w:r w:rsidRPr="00B45C31">
              <w:rPr>
                <w:b/>
                <w:bCs/>
              </w:rPr>
              <w:t>58,067</w:t>
            </w:r>
          </w:p>
        </w:tc>
        <w:tc>
          <w:tcPr>
            <w:tcW w:w="1465" w:type="dxa"/>
          </w:tcPr>
          <w:p w14:paraId="2EEBF903" w14:textId="77777777" w:rsidR="00B02873" w:rsidRDefault="00B02873" w:rsidP="00B45C31">
            <w:pPr>
              <w:pStyle w:val="TablebodyleftFinancialsTables"/>
              <w:jc w:val="right"/>
            </w:pPr>
            <w:r>
              <w:t>19,616</w:t>
            </w:r>
          </w:p>
        </w:tc>
        <w:tc>
          <w:tcPr>
            <w:tcW w:w="1298" w:type="dxa"/>
          </w:tcPr>
          <w:p w14:paraId="2DBCABD4" w14:textId="77777777" w:rsidR="00B02873" w:rsidRPr="00B45C31" w:rsidRDefault="00B02873" w:rsidP="00B45C31">
            <w:pPr>
              <w:pStyle w:val="TablebodyleftFinancialsTables"/>
              <w:jc w:val="right"/>
              <w:rPr>
                <w:b/>
                <w:bCs/>
              </w:rPr>
            </w:pPr>
            <w:r w:rsidRPr="00B45C31">
              <w:rPr>
                <w:b/>
                <w:bCs/>
              </w:rPr>
              <w:t>12,210,155</w:t>
            </w:r>
          </w:p>
        </w:tc>
        <w:tc>
          <w:tcPr>
            <w:tcW w:w="1299" w:type="dxa"/>
          </w:tcPr>
          <w:p w14:paraId="3A189F49" w14:textId="77777777" w:rsidR="00B02873" w:rsidRDefault="00B02873" w:rsidP="00B45C31">
            <w:pPr>
              <w:pStyle w:val="TablebodyleftFinancialsTables"/>
              <w:jc w:val="right"/>
            </w:pPr>
            <w:r>
              <w:t>10,344,722</w:t>
            </w:r>
          </w:p>
        </w:tc>
      </w:tr>
      <w:tr w:rsidR="00B45C31" w:rsidRPr="00B02873" w14:paraId="4ADD3626" w14:textId="77777777" w:rsidTr="00B45C31">
        <w:tc>
          <w:tcPr>
            <w:tcW w:w="4106" w:type="dxa"/>
          </w:tcPr>
          <w:p w14:paraId="1F3283F7" w14:textId="77777777" w:rsidR="00B45C31" w:rsidRPr="00B45C31" w:rsidRDefault="00B45C31" w:rsidP="00B45C31">
            <w:pPr>
              <w:pStyle w:val="TablebodyleftFinancialsTables"/>
              <w:rPr>
                <w:b/>
                <w:bCs/>
              </w:rPr>
            </w:pPr>
            <w:r w:rsidRPr="00B45C31">
              <w:rPr>
                <w:b/>
                <w:bCs/>
              </w:rPr>
              <w:t>Liabilities</w:t>
            </w:r>
          </w:p>
        </w:tc>
        <w:tc>
          <w:tcPr>
            <w:tcW w:w="1465" w:type="dxa"/>
          </w:tcPr>
          <w:p w14:paraId="6FFD4C55" w14:textId="77777777" w:rsidR="00B45C31" w:rsidRPr="00B45C31" w:rsidRDefault="00B45C31" w:rsidP="00B45C31">
            <w:pPr>
              <w:pStyle w:val="TablebodyleftFinancialsTables"/>
              <w:jc w:val="right"/>
              <w:rPr>
                <w:b/>
                <w:bCs/>
              </w:rPr>
            </w:pPr>
          </w:p>
        </w:tc>
        <w:tc>
          <w:tcPr>
            <w:tcW w:w="1465" w:type="dxa"/>
          </w:tcPr>
          <w:p w14:paraId="63663C28" w14:textId="77777777" w:rsidR="00B45C31" w:rsidRDefault="00B45C31" w:rsidP="00B45C31">
            <w:pPr>
              <w:pStyle w:val="TablebodyleftFinancialsTables"/>
              <w:jc w:val="right"/>
            </w:pPr>
          </w:p>
        </w:tc>
        <w:tc>
          <w:tcPr>
            <w:tcW w:w="1298" w:type="dxa"/>
          </w:tcPr>
          <w:p w14:paraId="641EBE4B" w14:textId="77777777" w:rsidR="00B45C31" w:rsidRPr="00B45C31" w:rsidRDefault="00B45C31" w:rsidP="00B45C31">
            <w:pPr>
              <w:pStyle w:val="TablebodyleftFinancialsTables"/>
              <w:jc w:val="right"/>
              <w:rPr>
                <w:b/>
                <w:bCs/>
              </w:rPr>
            </w:pPr>
          </w:p>
        </w:tc>
        <w:tc>
          <w:tcPr>
            <w:tcW w:w="1299" w:type="dxa"/>
          </w:tcPr>
          <w:p w14:paraId="6498896E" w14:textId="17EAA116" w:rsidR="00B45C31" w:rsidRDefault="00B45C31" w:rsidP="00B45C31">
            <w:pPr>
              <w:pStyle w:val="TablebodyleftFinancialsTables"/>
              <w:jc w:val="right"/>
            </w:pPr>
          </w:p>
        </w:tc>
      </w:tr>
      <w:tr w:rsidR="00B02873" w:rsidRPr="00B02873" w14:paraId="66482EA4" w14:textId="77777777" w:rsidTr="00B45C31">
        <w:tc>
          <w:tcPr>
            <w:tcW w:w="4106" w:type="dxa"/>
          </w:tcPr>
          <w:p w14:paraId="23732CF1" w14:textId="77777777" w:rsidR="00B02873" w:rsidRDefault="00B02873" w:rsidP="00B45C31">
            <w:pPr>
              <w:pStyle w:val="TablebodyleftFinancialsTables"/>
            </w:pPr>
            <w:r>
              <w:t>Payables</w:t>
            </w:r>
          </w:p>
        </w:tc>
        <w:tc>
          <w:tcPr>
            <w:tcW w:w="1465" w:type="dxa"/>
          </w:tcPr>
          <w:p w14:paraId="148FEAED" w14:textId="77777777" w:rsidR="00B02873" w:rsidRPr="00B45C31" w:rsidRDefault="00B02873" w:rsidP="00B45C31">
            <w:pPr>
              <w:pStyle w:val="TablebodyleftFinancialsTables"/>
              <w:jc w:val="right"/>
              <w:rPr>
                <w:b/>
                <w:bCs/>
              </w:rPr>
            </w:pPr>
            <w:r w:rsidRPr="00B45C31">
              <w:rPr>
                <w:b/>
                <w:bCs/>
              </w:rPr>
              <w:t>2,718</w:t>
            </w:r>
          </w:p>
        </w:tc>
        <w:tc>
          <w:tcPr>
            <w:tcW w:w="1465" w:type="dxa"/>
          </w:tcPr>
          <w:p w14:paraId="7034439C" w14:textId="77777777" w:rsidR="00B02873" w:rsidRDefault="00B02873" w:rsidP="00B45C31">
            <w:pPr>
              <w:pStyle w:val="TablebodyleftFinancialsTables"/>
              <w:jc w:val="right"/>
            </w:pPr>
            <w:r>
              <w:t>1,948</w:t>
            </w:r>
          </w:p>
        </w:tc>
        <w:tc>
          <w:tcPr>
            <w:tcW w:w="1298" w:type="dxa"/>
          </w:tcPr>
          <w:p w14:paraId="2012BCBF" w14:textId="77777777" w:rsidR="00B02873" w:rsidRPr="00B45C31" w:rsidRDefault="00B02873" w:rsidP="00B45C31">
            <w:pPr>
              <w:pStyle w:val="TablebodyleftFinancialsTables"/>
              <w:jc w:val="right"/>
              <w:rPr>
                <w:b/>
                <w:bCs/>
              </w:rPr>
            </w:pPr>
            <w:r w:rsidRPr="00B45C31">
              <w:rPr>
                <w:b/>
                <w:bCs/>
              </w:rPr>
              <w:t>260,315</w:t>
            </w:r>
          </w:p>
        </w:tc>
        <w:tc>
          <w:tcPr>
            <w:tcW w:w="1299" w:type="dxa"/>
          </w:tcPr>
          <w:p w14:paraId="09DFB5A5" w14:textId="77777777" w:rsidR="00B02873" w:rsidRDefault="00B02873" w:rsidP="00B45C31">
            <w:pPr>
              <w:pStyle w:val="TablebodyleftFinancialsTables"/>
              <w:jc w:val="right"/>
            </w:pPr>
            <w:r>
              <w:t>260,674</w:t>
            </w:r>
          </w:p>
        </w:tc>
      </w:tr>
      <w:tr w:rsidR="00B02873" w:rsidRPr="00B02873" w14:paraId="0FB22B0D" w14:textId="77777777" w:rsidTr="00B45C31">
        <w:tc>
          <w:tcPr>
            <w:tcW w:w="4106" w:type="dxa"/>
          </w:tcPr>
          <w:p w14:paraId="7A323027" w14:textId="77777777" w:rsidR="00B02873" w:rsidRDefault="00B02873" w:rsidP="00B45C31">
            <w:pPr>
              <w:pStyle w:val="TablebodyleftFinancialsTables"/>
            </w:pPr>
            <w:r>
              <w:t>Other financial liabilities</w:t>
            </w:r>
          </w:p>
        </w:tc>
        <w:tc>
          <w:tcPr>
            <w:tcW w:w="1465" w:type="dxa"/>
          </w:tcPr>
          <w:p w14:paraId="726E3B8E" w14:textId="77777777" w:rsidR="00B02873" w:rsidRPr="00B45C31" w:rsidRDefault="00B02873" w:rsidP="00B45C31">
            <w:pPr>
              <w:pStyle w:val="TablebodyleftFinancialsTables"/>
              <w:jc w:val="right"/>
              <w:rPr>
                <w:b/>
                <w:bCs/>
              </w:rPr>
            </w:pPr>
            <w:r w:rsidRPr="00B45C31">
              <w:rPr>
                <w:b/>
                <w:bCs/>
              </w:rPr>
              <w:t>–</w:t>
            </w:r>
          </w:p>
        </w:tc>
        <w:tc>
          <w:tcPr>
            <w:tcW w:w="1465" w:type="dxa"/>
          </w:tcPr>
          <w:p w14:paraId="09EFAC4D" w14:textId="77777777" w:rsidR="00B02873" w:rsidRDefault="00B02873" w:rsidP="00B45C31">
            <w:pPr>
              <w:pStyle w:val="TablebodyleftFinancialsTables"/>
              <w:jc w:val="right"/>
            </w:pPr>
            <w:r>
              <w:t>–</w:t>
            </w:r>
          </w:p>
        </w:tc>
        <w:tc>
          <w:tcPr>
            <w:tcW w:w="1298" w:type="dxa"/>
          </w:tcPr>
          <w:p w14:paraId="4AB1C73C" w14:textId="77777777" w:rsidR="00B02873" w:rsidRPr="00B45C31" w:rsidRDefault="00B02873" w:rsidP="00B45C31">
            <w:pPr>
              <w:pStyle w:val="TablebodyleftFinancialsTables"/>
              <w:jc w:val="right"/>
              <w:rPr>
                <w:b/>
                <w:bCs/>
              </w:rPr>
            </w:pPr>
            <w:r w:rsidRPr="00B45C31">
              <w:rPr>
                <w:b/>
                <w:bCs/>
              </w:rPr>
              <w:t>204,383</w:t>
            </w:r>
          </w:p>
        </w:tc>
        <w:tc>
          <w:tcPr>
            <w:tcW w:w="1299" w:type="dxa"/>
          </w:tcPr>
          <w:p w14:paraId="21352AA8" w14:textId="77777777" w:rsidR="00B02873" w:rsidRDefault="00B02873" w:rsidP="00B45C31">
            <w:pPr>
              <w:pStyle w:val="TablebodyleftFinancialsTables"/>
              <w:jc w:val="right"/>
            </w:pPr>
            <w:r>
              <w:t>201,146</w:t>
            </w:r>
          </w:p>
        </w:tc>
      </w:tr>
      <w:tr w:rsidR="00B02873" w:rsidRPr="00B02873" w14:paraId="4509988D" w14:textId="77777777" w:rsidTr="00B45C31">
        <w:tc>
          <w:tcPr>
            <w:tcW w:w="4106" w:type="dxa"/>
          </w:tcPr>
          <w:p w14:paraId="412A5828" w14:textId="77777777" w:rsidR="00B02873" w:rsidRDefault="00B02873" w:rsidP="00B45C31">
            <w:pPr>
              <w:pStyle w:val="TablebodyleftFinancialsTables"/>
            </w:pPr>
            <w:r>
              <w:t>Borrowings</w:t>
            </w:r>
          </w:p>
        </w:tc>
        <w:tc>
          <w:tcPr>
            <w:tcW w:w="1465" w:type="dxa"/>
          </w:tcPr>
          <w:p w14:paraId="1084C67C" w14:textId="77777777" w:rsidR="00B02873" w:rsidRPr="00B45C31" w:rsidRDefault="00B02873" w:rsidP="00B45C31">
            <w:pPr>
              <w:pStyle w:val="TablebodyleftFinancialsTables"/>
              <w:jc w:val="right"/>
              <w:rPr>
                <w:b/>
                <w:bCs/>
              </w:rPr>
            </w:pPr>
            <w:r w:rsidRPr="00B45C31">
              <w:rPr>
                <w:b/>
                <w:bCs/>
              </w:rPr>
              <w:t>275</w:t>
            </w:r>
          </w:p>
        </w:tc>
        <w:tc>
          <w:tcPr>
            <w:tcW w:w="1465" w:type="dxa"/>
          </w:tcPr>
          <w:p w14:paraId="50BF2F41" w14:textId="77777777" w:rsidR="00B02873" w:rsidRDefault="00B02873" w:rsidP="00B45C31">
            <w:pPr>
              <w:pStyle w:val="TablebodyleftFinancialsTables"/>
              <w:jc w:val="right"/>
            </w:pPr>
            <w:r>
              <w:t>170</w:t>
            </w:r>
          </w:p>
        </w:tc>
        <w:tc>
          <w:tcPr>
            <w:tcW w:w="1298" w:type="dxa"/>
          </w:tcPr>
          <w:p w14:paraId="5184B0E5" w14:textId="77777777" w:rsidR="00B02873" w:rsidRPr="00B45C31" w:rsidRDefault="00B02873" w:rsidP="00B45C31">
            <w:pPr>
              <w:pStyle w:val="TablebodyleftFinancialsTables"/>
              <w:jc w:val="right"/>
              <w:rPr>
                <w:b/>
                <w:bCs/>
              </w:rPr>
            </w:pPr>
            <w:r w:rsidRPr="00B45C31">
              <w:rPr>
                <w:b/>
                <w:bCs/>
              </w:rPr>
              <w:t>49,664</w:t>
            </w:r>
          </w:p>
        </w:tc>
        <w:tc>
          <w:tcPr>
            <w:tcW w:w="1299" w:type="dxa"/>
          </w:tcPr>
          <w:p w14:paraId="6A832AB0" w14:textId="77777777" w:rsidR="00B02873" w:rsidRDefault="00B02873" w:rsidP="00B45C31">
            <w:pPr>
              <w:pStyle w:val="TablebodyleftFinancialsTables"/>
              <w:jc w:val="right"/>
            </w:pPr>
            <w:r>
              <w:t>50,812</w:t>
            </w:r>
          </w:p>
        </w:tc>
      </w:tr>
      <w:tr w:rsidR="00B02873" w:rsidRPr="00B02873" w14:paraId="1FD509FE" w14:textId="77777777" w:rsidTr="00B45C31">
        <w:tc>
          <w:tcPr>
            <w:tcW w:w="4106" w:type="dxa"/>
          </w:tcPr>
          <w:p w14:paraId="1C2E214E" w14:textId="77777777" w:rsidR="00B02873" w:rsidRDefault="00B02873" w:rsidP="00B45C31">
            <w:pPr>
              <w:pStyle w:val="TablebodyleftFinancialsTables"/>
            </w:pPr>
            <w:r>
              <w:t>Provisions</w:t>
            </w:r>
          </w:p>
        </w:tc>
        <w:tc>
          <w:tcPr>
            <w:tcW w:w="1465" w:type="dxa"/>
          </w:tcPr>
          <w:p w14:paraId="30C07D23" w14:textId="77777777" w:rsidR="00B02873" w:rsidRPr="00B45C31" w:rsidRDefault="00B02873" w:rsidP="00B45C31">
            <w:pPr>
              <w:pStyle w:val="TablebodyleftFinancialsTables"/>
              <w:jc w:val="right"/>
              <w:rPr>
                <w:b/>
                <w:bCs/>
              </w:rPr>
            </w:pPr>
            <w:r w:rsidRPr="00B45C31">
              <w:rPr>
                <w:b/>
                <w:bCs/>
              </w:rPr>
              <w:t>3,348</w:t>
            </w:r>
          </w:p>
        </w:tc>
        <w:tc>
          <w:tcPr>
            <w:tcW w:w="1465" w:type="dxa"/>
          </w:tcPr>
          <w:p w14:paraId="638D6C59" w14:textId="77777777" w:rsidR="00B02873" w:rsidRDefault="00B02873" w:rsidP="00B45C31">
            <w:pPr>
              <w:pStyle w:val="TablebodyleftFinancialsTables"/>
              <w:jc w:val="right"/>
            </w:pPr>
            <w:r>
              <w:t>2,710</w:t>
            </w:r>
          </w:p>
        </w:tc>
        <w:tc>
          <w:tcPr>
            <w:tcW w:w="1298" w:type="dxa"/>
          </w:tcPr>
          <w:p w14:paraId="43827ADB" w14:textId="77777777" w:rsidR="00B02873" w:rsidRPr="00B45C31" w:rsidRDefault="00B02873" w:rsidP="00B45C31">
            <w:pPr>
              <w:pStyle w:val="TablebodyleftFinancialsTables"/>
              <w:jc w:val="right"/>
              <w:rPr>
                <w:b/>
                <w:bCs/>
              </w:rPr>
            </w:pPr>
            <w:r w:rsidRPr="00B45C31">
              <w:rPr>
                <w:b/>
                <w:bCs/>
              </w:rPr>
              <w:t>371,636</w:t>
            </w:r>
          </w:p>
        </w:tc>
        <w:tc>
          <w:tcPr>
            <w:tcW w:w="1299" w:type="dxa"/>
          </w:tcPr>
          <w:p w14:paraId="7FB00C4E" w14:textId="77777777" w:rsidR="00B02873" w:rsidRDefault="00B02873" w:rsidP="00B45C31">
            <w:pPr>
              <w:pStyle w:val="TablebodyleftFinancialsTables"/>
              <w:jc w:val="right"/>
            </w:pPr>
            <w:r>
              <w:t>220,736</w:t>
            </w:r>
          </w:p>
        </w:tc>
      </w:tr>
      <w:tr w:rsidR="00B02873" w:rsidRPr="00B02873" w14:paraId="4D281F60" w14:textId="77777777" w:rsidTr="00B45C31">
        <w:tc>
          <w:tcPr>
            <w:tcW w:w="4106" w:type="dxa"/>
          </w:tcPr>
          <w:p w14:paraId="4AED2047" w14:textId="77777777" w:rsidR="00B02873" w:rsidRDefault="00B02873" w:rsidP="00B45C31">
            <w:pPr>
              <w:pStyle w:val="TablebodyleftFinancialsTables"/>
            </w:pPr>
            <w:r>
              <w:rPr>
                <w:spacing w:val="-2"/>
              </w:rPr>
              <w:t>Derivative financial instruments</w:t>
            </w:r>
          </w:p>
        </w:tc>
        <w:tc>
          <w:tcPr>
            <w:tcW w:w="1465" w:type="dxa"/>
          </w:tcPr>
          <w:p w14:paraId="05FC16D1" w14:textId="77777777" w:rsidR="00B02873" w:rsidRPr="00B45C31" w:rsidRDefault="00B02873" w:rsidP="00B45C31">
            <w:pPr>
              <w:pStyle w:val="TablebodyleftFinancialsTables"/>
              <w:jc w:val="right"/>
              <w:rPr>
                <w:b/>
                <w:bCs/>
              </w:rPr>
            </w:pPr>
            <w:r w:rsidRPr="00B45C31">
              <w:rPr>
                <w:b/>
                <w:bCs/>
              </w:rPr>
              <w:t>–</w:t>
            </w:r>
          </w:p>
        </w:tc>
        <w:tc>
          <w:tcPr>
            <w:tcW w:w="1465" w:type="dxa"/>
          </w:tcPr>
          <w:p w14:paraId="33040D4B" w14:textId="77777777" w:rsidR="00B02873" w:rsidRDefault="00B02873" w:rsidP="00B45C31">
            <w:pPr>
              <w:pStyle w:val="TablebodyleftFinancialsTables"/>
              <w:jc w:val="right"/>
            </w:pPr>
            <w:r>
              <w:t>–</w:t>
            </w:r>
          </w:p>
        </w:tc>
        <w:tc>
          <w:tcPr>
            <w:tcW w:w="1298" w:type="dxa"/>
          </w:tcPr>
          <w:p w14:paraId="3D7EC705" w14:textId="77777777" w:rsidR="00B02873" w:rsidRPr="00B45C31" w:rsidRDefault="00B02873" w:rsidP="00B45C31">
            <w:pPr>
              <w:pStyle w:val="TablebodyleftFinancialsTables"/>
              <w:jc w:val="right"/>
              <w:rPr>
                <w:b/>
                <w:bCs/>
              </w:rPr>
            </w:pPr>
            <w:r w:rsidRPr="00B45C31">
              <w:rPr>
                <w:b/>
                <w:bCs/>
              </w:rPr>
              <w:t>–</w:t>
            </w:r>
          </w:p>
        </w:tc>
        <w:tc>
          <w:tcPr>
            <w:tcW w:w="1299" w:type="dxa"/>
          </w:tcPr>
          <w:p w14:paraId="43A5DD50" w14:textId="77777777" w:rsidR="00B02873" w:rsidRDefault="00B02873" w:rsidP="00B45C31">
            <w:pPr>
              <w:pStyle w:val="TablebodyleftFinancialsTables"/>
              <w:jc w:val="right"/>
            </w:pPr>
            <w:r>
              <w:t>1,931</w:t>
            </w:r>
          </w:p>
        </w:tc>
      </w:tr>
      <w:tr w:rsidR="00B02873" w:rsidRPr="00B02873" w14:paraId="181B94BA" w14:textId="77777777" w:rsidTr="00B45C31">
        <w:tc>
          <w:tcPr>
            <w:tcW w:w="4106" w:type="dxa"/>
          </w:tcPr>
          <w:p w14:paraId="1748937F" w14:textId="77777777" w:rsidR="00B02873" w:rsidRDefault="00B02873" w:rsidP="00B45C31">
            <w:pPr>
              <w:pStyle w:val="TablebodyleftFinancialsTables"/>
            </w:pPr>
            <w:r>
              <w:t>Other liabilities</w:t>
            </w:r>
          </w:p>
        </w:tc>
        <w:tc>
          <w:tcPr>
            <w:tcW w:w="1465" w:type="dxa"/>
          </w:tcPr>
          <w:p w14:paraId="564F3F02" w14:textId="77777777" w:rsidR="00B02873" w:rsidRPr="00B45C31" w:rsidRDefault="00B02873" w:rsidP="00B45C31">
            <w:pPr>
              <w:pStyle w:val="TablebodyleftFinancialsTables"/>
              <w:jc w:val="right"/>
              <w:rPr>
                <w:b/>
                <w:bCs/>
              </w:rPr>
            </w:pPr>
            <w:r w:rsidRPr="00B45C31">
              <w:rPr>
                <w:b/>
                <w:bCs/>
              </w:rPr>
              <w:t>5,276</w:t>
            </w:r>
          </w:p>
        </w:tc>
        <w:tc>
          <w:tcPr>
            <w:tcW w:w="1465" w:type="dxa"/>
          </w:tcPr>
          <w:p w14:paraId="393121B1" w14:textId="77777777" w:rsidR="00B02873" w:rsidRDefault="00B02873" w:rsidP="00B45C31">
            <w:pPr>
              <w:pStyle w:val="TablebodyleftFinancialsTables"/>
              <w:jc w:val="right"/>
            </w:pPr>
            <w:r>
              <w:t>118</w:t>
            </w:r>
          </w:p>
        </w:tc>
        <w:tc>
          <w:tcPr>
            <w:tcW w:w="1298" w:type="dxa"/>
          </w:tcPr>
          <w:p w14:paraId="2CE667B5" w14:textId="77777777" w:rsidR="00B02873" w:rsidRPr="00B45C31" w:rsidRDefault="00B02873" w:rsidP="00B45C31">
            <w:pPr>
              <w:pStyle w:val="TablebodyleftFinancialsTables"/>
              <w:jc w:val="right"/>
              <w:rPr>
                <w:b/>
                <w:bCs/>
              </w:rPr>
            </w:pPr>
            <w:r w:rsidRPr="00B45C31">
              <w:rPr>
                <w:b/>
                <w:bCs/>
              </w:rPr>
              <w:t>8,129</w:t>
            </w:r>
          </w:p>
        </w:tc>
        <w:tc>
          <w:tcPr>
            <w:tcW w:w="1299" w:type="dxa"/>
          </w:tcPr>
          <w:p w14:paraId="1E254D84" w14:textId="77777777" w:rsidR="00B02873" w:rsidRDefault="00B02873" w:rsidP="00B45C31">
            <w:pPr>
              <w:pStyle w:val="TablebodyleftFinancialsTables"/>
              <w:jc w:val="right"/>
            </w:pPr>
            <w:r>
              <w:t>5,694</w:t>
            </w:r>
          </w:p>
        </w:tc>
      </w:tr>
      <w:tr w:rsidR="00B02873" w:rsidRPr="00B02873" w14:paraId="3236094D" w14:textId="77777777" w:rsidTr="00B45C31">
        <w:tc>
          <w:tcPr>
            <w:tcW w:w="4106" w:type="dxa"/>
          </w:tcPr>
          <w:p w14:paraId="752559E4" w14:textId="77777777" w:rsidR="00B02873" w:rsidRPr="00B45C31" w:rsidRDefault="00B02873" w:rsidP="00B45C31">
            <w:pPr>
              <w:pStyle w:val="TablebodyleftFinancialsTables"/>
              <w:rPr>
                <w:b/>
                <w:bCs/>
              </w:rPr>
            </w:pPr>
            <w:r w:rsidRPr="00B45C31">
              <w:rPr>
                <w:b/>
                <w:bCs/>
              </w:rPr>
              <w:t>Total liabilities</w:t>
            </w:r>
          </w:p>
        </w:tc>
        <w:tc>
          <w:tcPr>
            <w:tcW w:w="1465" w:type="dxa"/>
          </w:tcPr>
          <w:p w14:paraId="34F6741E" w14:textId="77777777" w:rsidR="00B02873" w:rsidRPr="00B45C31" w:rsidRDefault="00B02873" w:rsidP="00B45C31">
            <w:pPr>
              <w:pStyle w:val="TablebodyleftFinancialsTables"/>
              <w:jc w:val="right"/>
              <w:rPr>
                <w:b/>
                <w:bCs/>
              </w:rPr>
            </w:pPr>
            <w:r w:rsidRPr="00B45C31">
              <w:rPr>
                <w:b/>
                <w:bCs/>
              </w:rPr>
              <w:t>11,617</w:t>
            </w:r>
          </w:p>
        </w:tc>
        <w:tc>
          <w:tcPr>
            <w:tcW w:w="1465" w:type="dxa"/>
          </w:tcPr>
          <w:p w14:paraId="6DD17923" w14:textId="77777777" w:rsidR="00B02873" w:rsidRDefault="00B02873" w:rsidP="00B45C31">
            <w:pPr>
              <w:pStyle w:val="TablebodyleftFinancialsTables"/>
              <w:jc w:val="right"/>
            </w:pPr>
            <w:r>
              <w:t>4,946</w:t>
            </w:r>
          </w:p>
        </w:tc>
        <w:tc>
          <w:tcPr>
            <w:tcW w:w="1298" w:type="dxa"/>
          </w:tcPr>
          <w:p w14:paraId="1821368B" w14:textId="77777777" w:rsidR="00B02873" w:rsidRPr="00B45C31" w:rsidRDefault="00B02873" w:rsidP="00B45C31">
            <w:pPr>
              <w:pStyle w:val="TablebodyleftFinancialsTables"/>
              <w:jc w:val="right"/>
              <w:rPr>
                <w:b/>
                <w:bCs/>
              </w:rPr>
            </w:pPr>
            <w:r w:rsidRPr="00B45C31">
              <w:rPr>
                <w:b/>
                <w:bCs/>
              </w:rPr>
              <w:t>894,127</w:t>
            </w:r>
          </w:p>
        </w:tc>
        <w:tc>
          <w:tcPr>
            <w:tcW w:w="1299" w:type="dxa"/>
          </w:tcPr>
          <w:p w14:paraId="4D362BAA" w14:textId="77777777" w:rsidR="00B02873" w:rsidRDefault="00B02873" w:rsidP="00B45C31">
            <w:pPr>
              <w:pStyle w:val="TablebodyleftFinancialsTables"/>
              <w:jc w:val="right"/>
            </w:pPr>
            <w:r>
              <w:t>740,993</w:t>
            </w:r>
          </w:p>
        </w:tc>
      </w:tr>
      <w:tr w:rsidR="00B02873" w:rsidRPr="00B02873" w14:paraId="0B4637BB" w14:textId="77777777" w:rsidTr="00B45C31">
        <w:tc>
          <w:tcPr>
            <w:tcW w:w="4106" w:type="dxa"/>
          </w:tcPr>
          <w:p w14:paraId="5E0FA211" w14:textId="77777777" w:rsidR="00B02873" w:rsidRPr="00B45C31" w:rsidRDefault="00B02873" w:rsidP="00B45C31">
            <w:pPr>
              <w:pStyle w:val="TablebodyleftFinancialsTables"/>
              <w:rPr>
                <w:b/>
                <w:bCs/>
              </w:rPr>
            </w:pPr>
            <w:r w:rsidRPr="00B45C31">
              <w:rPr>
                <w:b/>
                <w:bCs/>
              </w:rPr>
              <w:t xml:space="preserve">Net assets </w:t>
            </w:r>
          </w:p>
        </w:tc>
        <w:tc>
          <w:tcPr>
            <w:tcW w:w="1465" w:type="dxa"/>
          </w:tcPr>
          <w:p w14:paraId="18C950E0" w14:textId="77777777" w:rsidR="00B02873" w:rsidRPr="00B45C31" w:rsidRDefault="00B02873" w:rsidP="00B45C31">
            <w:pPr>
              <w:pStyle w:val="TablebodyleftFinancialsTables"/>
              <w:jc w:val="right"/>
              <w:rPr>
                <w:b/>
                <w:bCs/>
              </w:rPr>
            </w:pPr>
            <w:r w:rsidRPr="00B45C31">
              <w:rPr>
                <w:b/>
                <w:bCs/>
              </w:rPr>
              <w:t>46,450</w:t>
            </w:r>
          </w:p>
        </w:tc>
        <w:tc>
          <w:tcPr>
            <w:tcW w:w="1465" w:type="dxa"/>
          </w:tcPr>
          <w:p w14:paraId="7E306E06" w14:textId="77777777" w:rsidR="00B02873" w:rsidRDefault="00B02873" w:rsidP="00B45C31">
            <w:pPr>
              <w:pStyle w:val="TablebodyleftFinancialsTables"/>
              <w:jc w:val="right"/>
            </w:pPr>
            <w:r>
              <w:t>14,670</w:t>
            </w:r>
          </w:p>
        </w:tc>
        <w:tc>
          <w:tcPr>
            <w:tcW w:w="1298" w:type="dxa"/>
          </w:tcPr>
          <w:p w14:paraId="22F9D56A" w14:textId="77777777" w:rsidR="00B02873" w:rsidRPr="00B45C31" w:rsidRDefault="00B02873" w:rsidP="00B45C31">
            <w:pPr>
              <w:pStyle w:val="TablebodyleftFinancialsTables"/>
              <w:jc w:val="right"/>
              <w:rPr>
                <w:b/>
                <w:bCs/>
              </w:rPr>
            </w:pPr>
            <w:r w:rsidRPr="00B45C31">
              <w:rPr>
                <w:b/>
                <w:bCs/>
              </w:rPr>
              <w:t>11,316,028</w:t>
            </w:r>
          </w:p>
        </w:tc>
        <w:tc>
          <w:tcPr>
            <w:tcW w:w="1299" w:type="dxa"/>
          </w:tcPr>
          <w:p w14:paraId="657D1973" w14:textId="77777777" w:rsidR="00B02873" w:rsidRDefault="00B02873" w:rsidP="00B45C31">
            <w:pPr>
              <w:pStyle w:val="TablebodyleftFinancialsTables"/>
              <w:jc w:val="right"/>
            </w:pPr>
            <w:r>
              <w:t>9,603,729</w:t>
            </w:r>
          </w:p>
        </w:tc>
      </w:tr>
    </w:tbl>
    <w:p w14:paraId="1FD4CA71" w14:textId="77777777" w:rsidR="00B02873" w:rsidRDefault="00B02873" w:rsidP="00FE198A"/>
    <w:p w14:paraId="293C542C" w14:textId="77777777" w:rsidR="00B02873" w:rsidRDefault="00B02873" w:rsidP="00B45C31">
      <w:pPr>
        <w:pStyle w:val="Heading3"/>
      </w:pPr>
      <w:r>
        <w:t>4.2 Administered (non-controlled) items</w:t>
      </w:r>
    </w:p>
    <w:p w14:paraId="0A75E545" w14:textId="44ACADBD" w:rsidR="00B02873" w:rsidRDefault="00B02873" w:rsidP="00FE198A">
      <w:r>
        <w:t>In addition to the specific departmental operations which are controlled and included in the financial statements (balance sheet, comprehensive operating statement, cash flow statement and statement of changes in equity), the department administers or manages other activities and resources on behalf of the state. The department does not gain control over assets arising from transactions listed below and consequently no income is recognised in the department’s financial statements. Accordingly, the amounts is disclosed as income in the schedule of Administered Items. The transactions and balances relating to these activities are reported as administered items in this note.</w:t>
      </w:r>
    </w:p>
    <w:p w14:paraId="67E92DE7" w14:textId="77777777" w:rsidR="00B02873" w:rsidRDefault="00B02873" w:rsidP="00AB27F9">
      <w:pPr>
        <w:pStyle w:val="Heading4"/>
      </w:pPr>
      <w:bookmarkStart w:id="66" w:name="_Ref116975537"/>
      <w:r>
        <w:t>4.2.1 Administered income and expenses</w:t>
      </w:r>
      <w:bookmarkEnd w:id="66"/>
      <w:r>
        <w:t xml:space="preserve"> </w:t>
      </w:r>
    </w:p>
    <w:tbl>
      <w:tblPr>
        <w:tblStyle w:val="TableGrid"/>
        <w:tblW w:w="9635" w:type="dxa"/>
        <w:tblLayout w:type="fixed"/>
        <w:tblLook w:val="0020" w:firstRow="1" w:lastRow="0" w:firstColumn="0" w:lastColumn="0" w:noHBand="0" w:noVBand="0"/>
      </w:tblPr>
      <w:tblGrid>
        <w:gridCol w:w="2823"/>
        <w:gridCol w:w="1134"/>
        <w:gridCol w:w="1134"/>
        <w:gridCol w:w="1283"/>
        <w:gridCol w:w="1275"/>
        <w:gridCol w:w="993"/>
        <w:gridCol w:w="993"/>
      </w:tblGrid>
      <w:tr w:rsidR="00B02873" w:rsidRPr="00AB27F9" w14:paraId="24025375" w14:textId="77777777" w:rsidTr="00AB27F9">
        <w:trPr>
          <w:cnfStyle w:val="100000000000" w:firstRow="1" w:lastRow="0" w:firstColumn="0" w:lastColumn="0" w:oddVBand="0" w:evenVBand="0" w:oddHBand="0" w:evenHBand="0" w:firstRowFirstColumn="0" w:firstRowLastColumn="0" w:lastRowFirstColumn="0" w:lastRowLastColumn="0"/>
          <w:tblHeader/>
        </w:trPr>
        <w:tc>
          <w:tcPr>
            <w:tcW w:w="2823" w:type="dxa"/>
          </w:tcPr>
          <w:p w14:paraId="07BD7CEA" w14:textId="77777777" w:rsidR="00B02873" w:rsidRPr="00AB27F9" w:rsidRDefault="00B02873" w:rsidP="00AB27F9">
            <w:pPr>
              <w:pStyle w:val="TableheadingleftFinancialsTables"/>
              <w:rPr>
                <w:rFonts w:asciiTheme="minorHAnsi" w:hAnsiTheme="minorHAnsi" w:cstheme="minorHAnsi"/>
                <w:sz w:val="18"/>
                <w:szCs w:val="14"/>
              </w:rPr>
            </w:pPr>
          </w:p>
        </w:tc>
        <w:tc>
          <w:tcPr>
            <w:tcW w:w="1134" w:type="dxa"/>
          </w:tcPr>
          <w:p w14:paraId="0B6DDC2D" w14:textId="70CA2348" w:rsidR="00B02873" w:rsidRPr="00AB27F9" w:rsidRDefault="00AB27F9" w:rsidP="00AB27F9">
            <w:pPr>
              <w:pStyle w:val="TableheadingleftFinancialsTables"/>
              <w:jc w:val="right"/>
              <w:rPr>
                <w:rFonts w:asciiTheme="minorHAnsi" w:hAnsiTheme="minorHAnsi" w:cstheme="minorHAnsi"/>
                <w:sz w:val="18"/>
                <w:szCs w:val="14"/>
              </w:rPr>
            </w:pPr>
            <w:r w:rsidRPr="00AB27F9">
              <w:rPr>
                <w:rFonts w:asciiTheme="minorHAnsi" w:hAnsiTheme="minorHAnsi" w:cstheme="minorHAnsi"/>
                <w:sz w:val="18"/>
                <w:szCs w:val="14"/>
              </w:rPr>
              <w:t xml:space="preserve">Planning, Building </w:t>
            </w:r>
            <w:r w:rsidRPr="00AB27F9">
              <w:rPr>
                <w:rFonts w:asciiTheme="minorHAnsi" w:hAnsiTheme="minorHAnsi" w:cstheme="minorHAnsi"/>
                <w:sz w:val="18"/>
                <w:szCs w:val="14"/>
              </w:rPr>
              <w:br/>
              <w:t xml:space="preserve">and Heritage </w:t>
            </w:r>
            <w:r w:rsidR="00B02873" w:rsidRPr="00AB27F9">
              <w:rPr>
                <w:rFonts w:asciiTheme="minorHAnsi" w:hAnsiTheme="minorHAnsi" w:cstheme="minorHAnsi"/>
                <w:sz w:val="18"/>
                <w:szCs w:val="14"/>
              </w:rPr>
              <w:t xml:space="preserve">2022 </w:t>
            </w:r>
            <w:r w:rsidR="00B02873" w:rsidRPr="00AB27F9">
              <w:rPr>
                <w:rFonts w:asciiTheme="minorHAnsi" w:hAnsiTheme="minorHAnsi" w:cstheme="minorHAnsi"/>
                <w:sz w:val="18"/>
                <w:szCs w:val="14"/>
              </w:rPr>
              <w:br/>
              <w:t>$’000</w:t>
            </w:r>
          </w:p>
        </w:tc>
        <w:tc>
          <w:tcPr>
            <w:tcW w:w="1134" w:type="dxa"/>
          </w:tcPr>
          <w:p w14:paraId="10A4628C" w14:textId="0CEB7366" w:rsidR="00B02873" w:rsidRPr="00AB27F9" w:rsidRDefault="00AB27F9" w:rsidP="00AB27F9">
            <w:pPr>
              <w:pStyle w:val="TableheadingleftFinancialsTables"/>
              <w:jc w:val="right"/>
              <w:rPr>
                <w:rFonts w:asciiTheme="minorHAnsi" w:hAnsiTheme="minorHAnsi" w:cstheme="minorHAnsi"/>
                <w:sz w:val="18"/>
                <w:szCs w:val="14"/>
              </w:rPr>
            </w:pPr>
            <w:r w:rsidRPr="00AB27F9">
              <w:rPr>
                <w:rFonts w:asciiTheme="minorHAnsi" w:hAnsiTheme="minorHAnsi" w:cstheme="minorHAnsi"/>
                <w:sz w:val="18"/>
                <w:szCs w:val="14"/>
              </w:rPr>
              <w:t xml:space="preserve">Planning, Building </w:t>
            </w:r>
            <w:r w:rsidRPr="00AB27F9">
              <w:rPr>
                <w:rFonts w:asciiTheme="minorHAnsi" w:hAnsiTheme="minorHAnsi" w:cstheme="minorHAnsi"/>
                <w:sz w:val="18"/>
                <w:szCs w:val="14"/>
              </w:rPr>
              <w:br/>
              <w:t xml:space="preserve">and Heritage </w:t>
            </w:r>
            <w:r w:rsidR="00B02873" w:rsidRPr="00AB27F9">
              <w:rPr>
                <w:rFonts w:asciiTheme="minorHAnsi" w:hAnsiTheme="minorHAnsi" w:cstheme="minorHAnsi"/>
                <w:sz w:val="18"/>
                <w:szCs w:val="14"/>
              </w:rPr>
              <w:t>2021</w:t>
            </w:r>
            <w:r w:rsidR="00B02873" w:rsidRPr="00AB27F9">
              <w:rPr>
                <w:rFonts w:asciiTheme="minorHAnsi" w:hAnsiTheme="minorHAnsi" w:cstheme="minorHAnsi"/>
                <w:sz w:val="18"/>
                <w:szCs w:val="14"/>
              </w:rPr>
              <w:br/>
              <w:t>$’000</w:t>
            </w:r>
          </w:p>
        </w:tc>
        <w:tc>
          <w:tcPr>
            <w:tcW w:w="1283" w:type="dxa"/>
          </w:tcPr>
          <w:p w14:paraId="0D65512E" w14:textId="08826723" w:rsidR="00B02873" w:rsidRPr="00AB27F9" w:rsidRDefault="00AB27F9" w:rsidP="00AB27F9">
            <w:pPr>
              <w:pStyle w:val="TableheadingleftFinancialsTables"/>
              <w:jc w:val="right"/>
              <w:rPr>
                <w:rFonts w:asciiTheme="minorHAnsi" w:hAnsiTheme="minorHAnsi" w:cstheme="minorHAnsi"/>
                <w:sz w:val="18"/>
                <w:szCs w:val="14"/>
              </w:rPr>
            </w:pPr>
            <w:r w:rsidRPr="00AB27F9">
              <w:rPr>
                <w:rFonts w:asciiTheme="minorHAnsi" w:hAnsiTheme="minorHAnsi" w:cstheme="minorHAnsi"/>
                <w:sz w:val="18"/>
                <w:szCs w:val="14"/>
              </w:rPr>
              <w:t xml:space="preserve">Environment and Biodiversity </w:t>
            </w:r>
            <w:r w:rsidR="00B02873" w:rsidRPr="00AB27F9">
              <w:rPr>
                <w:rFonts w:asciiTheme="minorHAnsi" w:hAnsiTheme="minorHAnsi" w:cstheme="minorHAnsi"/>
                <w:sz w:val="18"/>
                <w:szCs w:val="14"/>
              </w:rPr>
              <w:t xml:space="preserve">2022 </w:t>
            </w:r>
            <w:r w:rsidR="00B02873" w:rsidRPr="00AB27F9">
              <w:rPr>
                <w:rFonts w:asciiTheme="minorHAnsi" w:hAnsiTheme="minorHAnsi" w:cstheme="minorHAnsi"/>
                <w:sz w:val="18"/>
                <w:szCs w:val="14"/>
              </w:rPr>
              <w:br/>
              <w:t>$’000</w:t>
            </w:r>
          </w:p>
        </w:tc>
        <w:tc>
          <w:tcPr>
            <w:tcW w:w="1275" w:type="dxa"/>
          </w:tcPr>
          <w:p w14:paraId="02E80DA8" w14:textId="711EAA93" w:rsidR="00B02873" w:rsidRPr="00AB27F9" w:rsidRDefault="00AB27F9" w:rsidP="00AB27F9">
            <w:pPr>
              <w:pStyle w:val="TableheadingleftFinancialsTables"/>
              <w:jc w:val="right"/>
              <w:rPr>
                <w:rFonts w:asciiTheme="minorHAnsi" w:hAnsiTheme="minorHAnsi" w:cstheme="minorHAnsi"/>
                <w:sz w:val="18"/>
                <w:szCs w:val="14"/>
              </w:rPr>
            </w:pPr>
            <w:r w:rsidRPr="00AB27F9">
              <w:rPr>
                <w:rFonts w:asciiTheme="minorHAnsi" w:hAnsiTheme="minorHAnsi" w:cstheme="minorHAnsi"/>
                <w:sz w:val="18"/>
                <w:szCs w:val="14"/>
              </w:rPr>
              <w:t xml:space="preserve">Environment and Biodiversity </w:t>
            </w:r>
            <w:r w:rsidR="00B02873" w:rsidRPr="00AB27F9">
              <w:rPr>
                <w:rFonts w:asciiTheme="minorHAnsi" w:hAnsiTheme="minorHAnsi" w:cstheme="minorHAnsi"/>
                <w:sz w:val="18"/>
                <w:szCs w:val="14"/>
              </w:rPr>
              <w:t>2021</w:t>
            </w:r>
            <w:r w:rsidR="00B02873" w:rsidRPr="00AB27F9">
              <w:rPr>
                <w:rFonts w:asciiTheme="minorHAnsi" w:hAnsiTheme="minorHAnsi" w:cstheme="minorHAnsi"/>
                <w:sz w:val="18"/>
                <w:szCs w:val="14"/>
              </w:rPr>
              <w:br/>
              <w:t>$’000</w:t>
            </w:r>
          </w:p>
        </w:tc>
        <w:tc>
          <w:tcPr>
            <w:tcW w:w="993" w:type="dxa"/>
          </w:tcPr>
          <w:p w14:paraId="1B60A580" w14:textId="4E56F09B" w:rsidR="00B02873" w:rsidRPr="00AB27F9" w:rsidRDefault="00AB27F9" w:rsidP="00AB27F9">
            <w:pPr>
              <w:pStyle w:val="TableheadingleftFinancialsTables"/>
              <w:jc w:val="right"/>
              <w:rPr>
                <w:rFonts w:asciiTheme="minorHAnsi" w:hAnsiTheme="minorHAnsi" w:cstheme="minorHAnsi"/>
                <w:sz w:val="18"/>
                <w:szCs w:val="14"/>
              </w:rPr>
            </w:pPr>
            <w:r w:rsidRPr="00AB27F9">
              <w:rPr>
                <w:rFonts w:asciiTheme="minorHAnsi" w:hAnsiTheme="minorHAnsi" w:cstheme="minorHAnsi"/>
                <w:sz w:val="18"/>
                <w:szCs w:val="14"/>
              </w:rPr>
              <w:t xml:space="preserve">Land Use </w:t>
            </w:r>
            <w:r w:rsidRPr="00AB27F9">
              <w:rPr>
                <w:rFonts w:asciiTheme="minorHAnsi" w:hAnsiTheme="minorHAnsi" w:cstheme="minorHAnsi"/>
                <w:sz w:val="18"/>
                <w:szCs w:val="14"/>
              </w:rPr>
              <w:br/>
              <w:t xml:space="preserve">Victoria </w:t>
            </w:r>
            <w:r w:rsidR="00B02873" w:rsidRPr="00AB27F9">
              <w:rPr>
                <w:rFonts w:asciiTheme="minorHAnsi" w:hAnsiTheme="minorHAnsi" w:cstheme="minorHAnsi"/>
                <w:sz w:val="18"/>
                <w:szCs w:val="14"/>
              </w:rPr>
              <w:t xml:space="preserve">2022 </w:t>
            </w:r>
            <w:r w:rsidR="00B02873" w:rsidRPr="00AB27F9">
              <w:rPr>
                <w:rFonts w:asciiTheme="minorHAnsi" w:hAnsiTheme="minorHAnsi" w:cstheme="minorHAnsi"/>
                <w:sz w:val="18"/>
                <w:szCs w:val="14"/>
              </w:rPr>
              <w:br/>
              <w:t>$’000</w:t>
            </w:r>
          </w:p>
        </w:tc>
        <w:tc>
          <w:tcPr>
            <w:tcW w:w="993" w:type="dxa"/>
          </w:tcPr>
          <w:p w14:paraId="65B9CD35" w14:textId="1ECB28FB" w:rsidR="00B02873" w:rsidRPr="00AB27F9" w:rsidRDefault="00AB27F9" w:rsidP="00AB27F9">
            <w:pPr>
              <w:pStyle w:val="TableheadingleftFinancialsTables"/>
              <w:jc w:val="right"/>
              <w:rPr>
                <w:rFonts w:asciiTheme="minorHAnsi" w:hAnsiTheme="minorHAnsi" w:cstheme="minorHAnsi"/>
                <w:sz w:val="18"/>
                <w:szCs w:val="14"/>
              </w:rPr>
            </w:pPr>
            <w:r w:rsidRPr="00AB27F9">
              <w:rPr>
                <w:rFonts w:asciiTheme="minorHAnsi" w:hAnsiTheme="minorHAnsi" w:cstheme="minorHAnsi"/>
                <w:sz w:val="18"/>
                <w:szCs w:val="14"/>
              </w:rPr>
              <w:t xml:space="preserve">Land Use </w:t>
            </w:r>
            <w:r w:rsidRPr="00AB27F9">
              <w:rPr>
                <w:rFonts w:asciiTheme="minorHAnsi" w:hAnsiTheme="minorHAnsi" w:cstheme="minorHAnsi"/>
                <w:sz w:val="18"/>
                <w:szCs w:val="14"/>
              </w:rPr>
              <w:br/>
              <w:t xml:space="preserve">Victoria </w:t>
            </w:r>
            <w:r w:rsidR="00B02873" w:rsidRPr="00AB27F9">
              <w:rPr>
                <w:rFonts w:asciiTheme="minorHAnsi" w:hAnsiTheme="minorHAnsi" w:cstheme="minorHAnsi"/>
                <w:sz w:val="18"/>
                <w:szCs w:val="14"/>
              </w:rPr>
              <w:t>2021</w:t>
            </w:r>
            <w:r w:rsidR="00B02873" w:rsidRPr="00AB27F9">
              <w:rPr>
                <w:rFonts w:asciiTheme="minorHAnsi" w:hAnsiTheme="minorHAnsi" w:cstheme="minorHAnsi"/>
                <w:sz w:val="18"/>
                <w:szCs w:val="14"/>
              </w:rPr>
              <w:br/>
              <w:t>$’000</w:t>
            </w:r>
          </w:p>
        </w:tc>
      </w:tr>
      <w:tr w:rsidR="00B02873" w:rsidRPr="00AB27F9" w14:paraId="13A7DC13" w14:textId="77777777" w:rsidTr="00AB27F9">
        <w:tc>
          <w:tcPr>
            <w:tcW w:w="2823" w:type="dxa"/>
          </w:tcPr>
          <w:p w14:paraId="084863E2" w14:textId="77777777" w:rsidR="00B02873" w:rsidRPr="00AB27F9" w:rsidRDefault="00B02873" w:rsidP="00AB27F9">
            <w:pPr>
              <w:pStyle w:val="TablebodyleftFinancialsTables"/>
              <w:rPr>
                <w:b/>
                <w:bCs/>
                <w:sz w:val="18"/>
                <w:szCs w:val="14"/>
              </w:rPr>
            </w:pPr>
            <w:r w:rsidRPr="00AB27F9">
              <w:rPr>
                <w:b/>
                <w:bCs/>
                <w:sz w:val="18"/>
                <w:szCs w:val="14"/>
              </w:rPr>
              <w:t>Administered revenue and income from transactions</w:t>
            </w:r>
          </w:p>
        </w:tc>
        <w:tc>
          <w:tcPr>
            <w:tcW w:w="1134" w:type="dxa"/>
          </w:tcPr>
          <w:p w14:paraId="5C2C874D" w14:textId="77777777" w:rsidR="00B02873" w:rsidRPr="00AB27F9" w:rsidRDefault="00B02873" w:rsidP="00AB27F9">
            <w:pPr>
              <w:pStyle w:val="TablebodyleftFinancialsTables"/>
              <w:jc w:val="right"/>
              <w:rPr>
                <w:b/>
                <w:bCs/>
                <w:sz w:val="18"/>
                <w:szCs w:val="14"/>
              </w:rPr>
            </w:pPr>
          </w:p>
        </w:tc>
        <w:tc>
          <w:tcPr>
            <w:tcW w:w="1134" w:type="dxa"/>
          </w:tcPr>
          <w:p w14:paraId="334F89A3" w14:textId="77777777" w:rsidR="00B02873" w:rsidRPr="00AB27F9" w:rsidRDefault="00B02873" w:rsidP="00AB27F9">
            <w:pPr>
              <w:pStyle w:val="TablebodyleftFinancialsTables"/>
              <w:jc w:val="right"/>
              <w:rPr>
                <w:sz w:val="18"/>
                <w:szCs w:val="14"/>
              </w:rPr>
            </w:pPr>
          </w:p>
        </w:tc>
        <w:tc>
          <w:tcPr>
            <w:tcW w:w="1283" w:type="dxa"/>
          </w:tcPr>
          <w:p w14:paraId="0D6004F0" w14:textId="77777777" w:rsidR="00B02873" w:rsidRPr="00AB27F9" w:rsidRDefault="00B02873" w:rsidP="00AB27F9">
            <w:pPr>
              <w:pStyle w:val="TablebodyleftFinancialsTables"/>
              <w:jc w:val="right"/>
              <w:rPr>
                <w:b/>
                <w:bCs/>
                <w:sz w:val="18"/>
                <w:szCs w:val="14"/>
              </w:rPr>
            </w:pPr>
          </w:p>
        </w:tc>
        <w:tc>
          <w:tcPr>
            <w:tcW w:w="1275" w:type="dxa"/>
          </w:tcPr>
          <w:p w14:paraId="37AA330B" w14:textId="77777777" w:rsidR="00B02873" w:rsidRPr="00AB27F9" w:rsidRDefault="00B02873" w:rsidP="00AB27F9">
            <w:pPr>
              <w:pStyle w:val="TablebodyleftFinancialsTables"/>
              <w:jc w:val="right"/>
              <w:rPr>
                <w:sz w:val="18"/>
                <w:szCs w:val="14"/>
              </w:rPr>
            </w:pPr>
          </w:p>
        </w:tc>
        <w:tc>
          <w:tcPr>
            <w:tcW w:w="993" w:type="dxa"/>
          </w:tcPr>
          <w:p w14:paraId="17750E41" w14:textId="77777777" w:rsidR="00B02873" w:rsidRPr="00AB27F9" w:rsidRDefault="00B02873" w:rsidP="00AB27F9">
            <w:pPr>
              <w:pStyle w:val="TablebodyleftFinancialsTables"/>
              <w:jc w:val="right"/>
              <w:rPr>
                <w:b/>
                <w:bCs/>
                <w:sz w:val="18"/>
                <w:szCs w:val="14"/>
              </w:rPr>
            </w:pPr>
          </w:p>
        </w:tc>
        <w:tc>
          <w:tcPr>
            <w:tcW w:w="993" w:type="dxa"/>
          </w:tcPr>
          <w:p w14:paraId="00B0A49D" w14:textId="77777777" w:rsidR="00B02873" w:rsidRPr="00AB27F9" w:rsidRDefault="00B02873" w:rsidP="00AB27F9">
            <w:pPr>
              <w:pStyle w:val="TablebodyleftFinancialsTables"/>
              <w:jc w:val="right"/>
              <w:rPr>
                <w:sz w:val="18"/>
                <w:szCs w:val="14"/>
              </w:rPr>
            </w:pPr>
          </w:p>
        </w:tc>
      </w:tr>
      <w:tr w:rsidR="00B02873" w:rsidRPr="00AB27F9" w14:paraId="51BE460B" w14:textId="77777777" w:rsidTr="00AB27F9">
        <w:tc>
          <w:tcPr>
            <w:tcW w:w="2823" w:type="dxa"/>
          </w:tcPr>
          <w:p w14:paraId="29B291DB" w14:textId="5EA26F4D" w:rsidR="00B02873" w:rsidRPr="00AB27F9" w:rsidRDefault="00B02873" w:rsidP="00AB27F9">
            <w:pPr>
              <w:pStyle w:val="TablebodyleftFinancialsTables"/>
              <w:rPr>
                <w:sz w:val="18"/>
                <w:szCs w:val="14"/>
              </w:rPr>
            </w:pPr>
            <w:r w:rsidRPr="00AB27F9">
              <w:rPr>
                <w:sz w:val="18"/>
                <w:szCs w:val="14"/>
              </w:rPr>
              <w:t>Appropriations – payments on behalf of the state (POBOS)</w:t>
            </w:r>
          </w:p>
        </w:tc>
        <w:tc>
          <w:tcPr>
            <w:tcW w:w="1134" w:type="dxa"/>
          </w:tcPr>
          <w:p w14:paraId="42925271" w14:textId="77777777" w:rsidR="00B02873" w:rsidRPr="00AB27F9" w:rsidRDefault="00B02873" w:rsidP="00AB27F9">
            <w:pPr>
              <w:pStyle w:val="TablebodyleftFinancialsTables"/>
              <w:jc w:val="right"/>
              <w:rPr>
                <w:b/>
                <w:bCs/>
                <w:sz w:val="18"/>
                <w:szCs w:val="14"/>
              </w:rPr>
            </w:pPr>
            <w:r w:rsidRPr="00AB27F9">
              <w:rPr>
                <w:b/>
                <w:bCs/>
                <w:sz w:val="18"/>
                <w:szCs w:val="14"/>
              </w:rPr>
              <w:t>–</w:t>
            </w:r>
          </w:p>
        </w:tc>
        <w:tc>
          <w:tcPr>
            <w:tcW w:w="1134" w:type="dxa"/>
          </w:tcPr>
          <w:p w14:paraId="02718D03" w14:textId="77777777" w:rsidR="00B02873" w:rsidRPr="00AB27F9" w:rsidRDefault="00B02873" w:rsidP="00AB27F9">
            <w:pPr>
              <w:pStyle w:val="TablebodyleftFinancialsTables"/>
              <w:jc w:val="right"/>
              <w:rPr>
                <w:sz w:val="18"/>
                <w:szCs w:val="14"/>
              </w:rPr>
            </w:pPr>
            <w:r w:rsidRPr="00AB27F9">
              <w:rPr>
                <w:sz w:val="18"/>
                <w:szCs w:val="14"/>
              </w:rPr>
              <w:t>–</w:t>
            </w:r>
          </w:p>
        </w:tc>
        <w:tc>
          <w:tcPr>
            <w:tcW w:w="1283" w:type="dxa"/>
          </w:tcPr>
          <w:p w14:paraId="593B60B0" w14:textId="77777777" w:rsidR="00B02873" w:rsidRPr="00AB27F9" w:rsidRDefault="00B02873" w:rsidP="00AB27F9">
            <w:pPr>
              <w:pStyle w:val="TablebodyleftFinancialsTables"/>
              <w:jc w:val="right"/>
              <w:rPr>
                <w:b/>
                <w:bCs/>
                <w:sz w:val="18"/>
                <w:szCs w:val="14"/>
              </w:rPr>
            </w:pPr>
            <w:r w:rsidRPr="00AB27F9">
              <w:rPr>
                <w:b/>
                <w:bCs/>
                <w:sz w:val="18"/>
                <w:szCs w:val="14"/>
              </w:rPr>
              <w:t>–</w:t>
            </w:r>
          </w:p>
        </w:tc>
        <w:tc>
          <w:tcPr>
            <w:tcW w:w="1275" w:type="dxa"/>
          </w:tcPr>
          <w:p w14:paraId="55F92D69" w14:textId="77777777" w:rsidR="00B02873" w:rsidRPr="00AB27F9" w:rsidRDefault="00B02873" w:rsidP="00AB27F9">
            <w:pPr>
              <w:pStyle w:val="TablebodyleftFinancialsTables"/>
              <w:jc w:val="right"/>
              <w:rPr>
                <w:sz w:val="18"/>
                <w:szCs w:val="14"/>
              </w:rPr>
            </w:pPr>
            <w:r w:rsidRPr="00AB27F9">
              <w:rPr>
                <w:sz w:val="18"/>
                <w:szCs w:val="14"/>
              </w:rPr>
              <w:t>–</w:t>
            </w:r>
          </w:p>
        </w:tc>
        <w:tc>
          <w:tcPr>
            <w:tcW w:w="993" w:type="dxa"/>
          </w:tcPr>
          <w:p w14:paraId="534FEE15" w14:textId="77777777" w:rsidR="00B02873" w:rsidRPr="00AB27F9" w:rsidRDefault="00B02873" w:rsidP="00AB27F9">
            <w:pPr>
              <w:pStyle w:val="TablebodyleftFinancialsTables"/>
              <w:jc w:val="right"/>
              <w:rPr>
                <w:b/>
                <w:bCs/>
                <w:sz w:val="18"/>
                <w:szCs w:val="14"/>
              </w:rPr>
            </w:pPr>
            <w:r w:rsidRPr="00AB27F9">
              <w:rPr>
                <w:b/>
                <w:bCs/>
                <w:sz w:val="18"/>
                <w:szCs w:val="14"/>
              </w:rPr>
              <w:t>3,748</w:t>
            </w:r>
          </w:p>
        </w:tc>
        <w:tc>
          <w:tcPr>
            <w:tcW w:w="993" w:type="dxa"/>
          </w:tcPr>
          <w:p w14:paraId="3C6D8CC5" w14:textId="77777777" w:rsidR="00B02873" w:rsidRPr="00AB27F9" w:rsidRDefault="00B02873" w:rsidP="00AB27F9">
            <w:pPr>
              <w:pStyle w:val="TablebodyleftFinancialsTables"/>
              <w:jc w:val="right"/>
              <w:rPr>
                <w:sz w:val="18"/>
                <w:szCs w:val="14"/>
              </w:rPr>
            </w:pPr>
            <w:r w:rsidRPr="00AB27F9">
              <w:rPr>
                <w:sz w:val="18"/>
                <w:szCs w:val="14"/>
              </w:rPr>
              <w:t>–</w:t>
            </w:r>
          </w:p>
        </w:tc>
      </w:tr>
      <w:tr w:rsidR="00B02873" w:rsidRPr="00AB27F9" w14:paraId="054BDAA5" w14:textId="77777777" w:rsidTr="00AB27F9">
        <w:tc>
          <w:tcPr>
            <w:tcW w:w="2823" w:type="dxa"/>
          </w:tcPr>
          <w:p w14:paraId="0B920418" w14:textId="77777777" w:rsidR="00B02873" w:rsidRPr="00AB27F9" w:rsidRDefault="00B02873" w:rsidP="00AB27F9">
            <w:pPr>
              <w:pStyle w:val="TablebodyleftFinancialsTables"/>
              <w:rPr>
                <w:sz w:val="18"/>
                <w:szCs w:val="14"/>
              </w:rPr>
            </w:pPr>
            <w:r w:rsidRPr="00AB27F9">
              <w:rPr>
                <w:sz w:val="18"/>
                <w:szCs w:val="14"/>
              </w:rPr>
              <w:t>Interest income (Note 4.2.5)</w:t>
            </w:r>
          </w:p>
        </w:tc>
        <w:tc>
          <w:tcPr>
            <w:tcW w:w="1134" w:type="dxa"/>
          </w:tcPr>
          <w:p w14:paraId="7BB3B600" w14:textId="77777777" w:rsidR="00B02873" w:rsidRPr="00AB27F9" w:rsidRDefault="00B02873" w:rsidP="00AB27F9">
            <w:pPr>
              <w:pStyle w:val="TablebodyleftFinancialsTables"/>
              <w:jc w:val="right"/>
              <w:rPr>
                <w:b/>
                <w:bCs/>
                <w:sz w:val="18"/>
                <w:szCs w:val="14"/>
              </w:rPr>
            </w:pPr>
            <w:r w:rsidRPr="00AB27F9">
              <w:rPr>
                <w:b/>
                <w:bCs/>
                <w:sz w:val="18"/>
                <w:szCs w:val="14"/>
              </w:rPr>
              <w:t>–</w:t>
            </w:r>
          </w:p>
        </w:tc>
        <w:tc>
          <w:tcPr>
            <w:tcW w:w="1134" w:type="dxa"/>
          </w:tcPr>
          <w:p w14:paraId="385A216D" w14:textId="77777777" w:rsidR="00B02873" w:rsidRPr="00AB27F9" w:rsidRDefault="00B02873" w:rsidP="00AB27F9">
            <w:pPr>
              <w:pStyle w:val="TablebodyleftFinancialsTables"/>
              <w:jc w:val="right"/>
              <w:rPr>
                <w:sz w:val="18"/>
                <w:szCs w:val="14"/>
              </w:rPr>
            </w:pPr>
            <w:r w:rsidRPr="00AB27F9">
              <w:rPr>
                <w:sz w:val="18"/>
                <w:szCs w:val="14"/>
              </w:rPr>
              <w:t>–</w:t>
            </w:r>
          </w:p>
        </w:tc>
        <w:tc>
          <w:tcPr>
            <w:tcW w:w="1283" w:type="dxa"/>
          </w:tcPr>
          <w:p w14:paraId="74C11D26" w14:textId="77777777" w:rsidR="00B02873" w:rsidRPr="00AB27F9" w:rsidRDefault="00B02873" w:rsidP="00AB27F9">
            <w:pPr>
              <w:pStyle w:val="TablebodyleftFinancialsTables"/>
              <w:jc w:val="right"/>
              <w:rPr>
                <w:b/>
                <w:bCs/>
                <w:sz w:val="18"/>
                <w:szCs w:val="14"/>
              </w:rPr>
            </w:pPr>
            <w:r w:rsidRPr="00AB27F9">
              <w:rPr>
                <w:b/>
                <w:bCs/>
                <w:sz w:val="18"/>
                <w:szCs w:val="14"/>
              </w:rPr>
              <w:t>–</w:t>
            </w:r>
          </w:p>
        </w:tc>
        <w:tc>
          <w:tcPr>
            <w:tcW w:w="1275" w:type="dxa"/>
          </w:tcPr>
          <w:p w14:paraId="2F8830BE" w14:textId="77777777" w:rsidR="00B02873" w:rsidRPr="00AB27F9" w:rsidRDefault="00B02873" w:rsidP="00AB27F9">
            <w:pPr>
              <w:pStyle w:val="TablebodyleftFinancialsTables"/>
              <w:jc w:val="right"/>
              <w:rPr>
                <w:sz w:val="18"/>
                <w:szCs w:val="14"/>
              </w:rPr>
            </w:pPr>
            <w:r w:rsidRPr="00AB27F9">
              <w:rPr>
                <w:sz w:val="18"/>
                <w:szCs w:val="14"/>
              </w:rPr>
              <w:t>–</w:t>
            </w:r>
          </w:p>
        </w:tc>
        <w:tc>
          <w:tcPr>
            <w:tcW w:w="993" w:type="dxa"/>
          </w:tcPr>
          <w:p w14:paraId="16C2BF45" w14:textId="77777777" w:rsidR="00B02873" w:rsidRPr="00AB27F9" w:rsidRDefault="00B02873" w:rsidP="00AB27F9">
            <w:pPr>
              <w:pStyle w:val="TablebodyleftFinancialsTables"/>
              <w:jc w:val="right"/>
              <w:rPr>
                <w:b/>
                <w:bCs/>
                <w:sz w:val="18"/>
                <w:szCs w:val="14"/>
              </w:rPr>
            </w:pPr>
            <w:r w:rsidRPr="00AB27F9">
              <w:rPr>
                <w:b/>
                <w:bCs/>
                <w:sz w:val="18"/>
                <w:szCs w:val="14"/>
              </w:rPr>
              <w:t>–</w:t>
            </w:r>
          </w:p>
        </w:tc>
        <w:tc>
          <w:tcPr>
            <w:tcW w:w="993" w:type="dxa"/>
          </w:tcPr>
          <w:p w14:paraId="4830702A" w14:textId="77777777" w:rsidR="00B02873" w:rsidRPr="00AB27F9" w:rsidRDefault="00B02873" w:rsidP="00AB27F9">
            <w:pPr>
              <w:pStyle w:val="TablebodyleftFinancialsTables"/>
              <w:jc w:val="right"/>
              <w:rPr>
                <w:sz w:val="18"/>
                <w:szCs w:val="14"/>
              </w:rPr>
            </w:pPr>
            <w:r w:rsidRPr="00AB27F9">
              <w:rPr>
                <w:sz w:val="18"/>
                <w:szCs w:val="14"/>
              </w:rPr>
              <w:t>–</w:t>
            </w:r>
          </w:p>
        </w:tc>
      </w:tr>
      <w:tr w:rsidR="00B02873" w:rsidRPr="00AB27F9" w14:paraId="69609E63" w14:textId="77777777" w:rsidTr="00AB27F9">
        <w:tc>
          <w:tcPr>
            <w:tcW w:w="2823" w:type="dxa"/>
          </w:tcPr>
          <w:p w14:paraId="4A0FA82F" w14:textId="77777777" w:rsidR="00B02873" w:rsidRPr="00AB27F9" w:rsidRDefault="00B02873" w:rsidP="00AB27F9">
            <w:pPr>
              <w:pStyle w:val="TablebodyleftFinancialsTables"/>
              <w:rPr>
                <w:sz w:val="18"/>
                <w:szCs w:val="14"/>
              </w:rPr>
            </w:pPr>
            <w:r w:rsidRPr="00AB27F9">
              <w:rPr>
                <w:sz w:val="18"/>
                <w:szCs w:val="14"/>
              </w:rPr>
              <w:t>Sales of goods and services</w:t>
            </w:r>
          </w:p>
        </w:tc>
        <w:tc>
          <w:tcPr>
            <w:tcW w:w="1134" w:type="dxa"/>
          </w:tcPr>
          <w:p w14:paraId="55B3EE69" w14:textId="77777777" w:rsidR="00B02873" w:rsidRPr="00AB27F9" w:rsidRDefault="00B02873" w:rsidP="00AB27F9">
            <w:pPr>
              <w:pStyle w:val="TablebodyleftFinancialsTables"/>
              <w:jc w:val="right"/>
              <w:rPr>
                <w:b/>
                <w:bCs/>
                <w:sz w:val="18"/>
                <w:szCs w:val="14"/>
              </w:rPr>
            </w:pPr>
            <w:r w:rsidRPr="00AB27F9">
              <w:rPr>
                <w:b/>
                <w:bCs/>
                <w:sz w:val="18"/>
                <w:szCs w:val="14"/>
              </w:rPr>
              <w:t>2,693</w:t>
            </w:r>
          </w:p>
        </w:tc>
        <w:tc>
          <w:tcPr>
            <w:tcW w:w="1134" w:type="dxa"/>
          </w:tcPr>
          <w:p w14:paraId="72CE1C17" w14:textId="77777777" w:rsidR="00B02873" w:rsidRPr="00AB27F9" w:rsidRDefault="00B02873" w:rsidP="00AB27F9">
            <w:pPr>
              <w:pStyle w:val="TablebodyleftFinancialsTables"/>
              <w:jc w:val="right"/>
              <w:rPr>
                <w:sz w:val="18"/>
                <w:szCs w:val="14"/>
              </w:rPr>
            </w:pPr>
            <w:r w:rsidRPr="00AB27F9">
              <w:rPr>
                <w:sz w:val="18"/>
                <w:szCs w:val="14"/>
              </w:rPr>
              <w:t>2,704</w:t>
            </w:r>
          </w:p>
        </w:tc>
        <w:tc>
          <w:tcPr>
            <w:tcW w:w="1283" w:type="dxa"/>
          </w:tcPr>
          <w:p w14:paraId="68189869" w14:textId="77777777" w:rsidR="00B02873" w:rsidRPr="00AB27F9" w:rsidRDefault="00B02873" w:rsidP="00AB27F9">
            <w:pPr>
              <w:pStyle w:val="TablebodyleftFinancialsTables"/>
              <w:jc w:val="right"/>
              <w:rPr>
                <w:b/>
                <w:bCs/>
                <w:sz w:val="18"/>
                <w:szCs w:val="14"/>
              </w:rPr>
            </w:pPr>
            <w:r w:rsidRPr="00AB27F9">
              <w:rPr>
                <w:b/>
                <w:bCs/>
                <w:sz w:val="18"/>
                <w:szCs w:val="14"/>
              </w:rPr>
              <w:t>662</w:t>
            </w:r>
          </w:p>
        </w:tc>
        <w:tc>
          <w:tcPr>
            <w:tcW w:w="1275" w:type="dxa"/>
          </w:tcPr>
          <w:p w14:paraId="129BF04E" w14:textId="77777777" w:rsidR="00B02873" w:rsidRPr="00AB27F9" w:rsidRDefault="00B02873" w:rsidP="00AB27F9">
            <w:pPr>
              <w:pStyle w:val="TablebodyleftFinancialsTables"/>
              <w:jc w:val="right"/>
              <w:rPr>
                <w:sz w:val="18"/>
                <w:szCs w:val="14"/>
              </w:rPr>
            </w:pPr>
            <w:r w:rsidRPr="00AB27F9">
              <w:rPr>
                <w:sz w:val="18"/>
                <w:szCs w:val="14"/>
              </w:rPr>
              <w:t>1</w:t>
            </w:r>
          </w:p>
        </w:tc>
        <w:tc>
          <w:tcPr>
            <w:tcW w:w="993" w:type="dxa"/>
          </w:tcPr>
          <w:p w14:paraId="035E92FE" w14:textId="77651BA1" w:rsidR="00B02873" w:rsidRPr="00AB27F9" w:rsidRDefault="00012C04" w:rsidP="00AB27F9">
            <w:pPr>
              <w:pStyle w:val="TablebodyleftFinancialsTables"/>
              <w:jc w:val="right"/>
              <w:rPr>
                <w:b/>
                <w:bCs/>
                <w:sz w:val="18"/>
                <w:szCs w:val="14"/>
              </w:rPr>
            </w:pPr>
            <w:r w:rsidRPr="00AB27F9">
              <w:rPr>
                <w:b/>
                <w:bCs/>
                <w:sz w:val="18"/>
                <w:szCs w:val="14"/>
              </w:rPr>
              <w:t xml:space="preserve"> </w:t>
            </w:r>
            <w:r w:rsidR="00B02873" w:rsidRPr="00AB27F9">
              <w:rPr>
                <w:b/>
                <w:bCs/>
                <w:sz w:val="18"/>
                <w:szCs w:val="14"/>
              </w:rPr>
              <w:t xml:space="preserve"> 46,099</w:t>
            </w:r>
          </w:p>
        </w:tc>
        <w:tc>
          <w:tcPr>
            <w:tcW w:w="993" w:type="dxa"/>
          </w:tcPr>
          <w:p w14:paraId="5E39C5A8" w14:textId="77777777" w:rsidR="00B02873" w:rsidRPr="00AB27F9" w:rsidRDefault="00B02873" w:rsidP="00AB27F9">
            <w:pPr>
              <w:pStyle w:val="TablebodyleftFinancialsTables"/>
              <w:jc w:val="right"/>
              <w:rPr>
                <w:sz w:val="18"/>
                <w:szCs w:val="14"/>
              </w:rPr>
            </w:pPr>
            <w:r w:rsidRPr="00AB27F9">
              <w:rPr>
                <w:sz w:val="18"/>
                <w:szCs w:val="14"/>
              </w:rPr>
              <w:t>43,677</w:t>
            </w:r>
          </w:p>
        </w:tc>
      </w:tr>
      <w:tr w:rsidR="00B02873" w:rsidRPr="00AB27F9" w14:paraId="49078815" w14:textId="77777777" w:rsidTr="00AB27F9">
        <w:tc>
          <w:tcPr>
            <w:tcW w:w="2823" w:type="dxa"/>
          </w:tcPr>
          <w:p w14:paraId="3AA92C6F" w14:textId="3142F6EF" w:rsidR="00B02873" w:rsidRPr="00AB27F9" w:rsidRDefault="00B02873" w:rsidP="00AB27F9">
            <w:pPr>
              <w:pStyle w:val="TablebodyleftFinancialsTables"/>
              <w:rPr>
                <w:sz w:val="18"/>
                <w:szCs w:val="14"/>
              </w:rPr>
            </w:pPr>
            <w:r w:rsidRPr="00AB27F9">
              <w:rPr>
                <w:sz w:val="18"/>
                <w:szCs w:val="14"/>
              </w:rPr>
              <w:t>Royalties, land leases and licences</w:t>
            </w:r>
          </w:p>
        </w:tc>
        <w:tc>
          <w:tcPr>
            <w:tcW w:w="1134" w:type="dxa"/>
          </w:tcPr>
          <w:p w14:paraId="071A6A75" w14:textId="77777777" w:rsidR="00B02873" w:rsidRPr="00AB27F9" w:rsidRDefault="00B02873" w:rsidP="00AB27F9">
            <w:pPr>
              <w:pStyle w:val="TablebodyleftFinancialsTables"/>
              <w:jc w:val="right"/>
              <w:rPr>
                <w:b/>
                <w:bCs/>
                <w:sz w:val="18"/>
                <w:szCs w:val="14"/>
              </w:rPr>
            </w:pPr>
            <w:r w:rsidRPr="00AB27F9">
              <w:rPr>
                <w:b/>
                <w:bCs/>
                <w:sz w:val="18"/>
                <w:szCs w:val="14"/>
              </w:rPr>
              <w:t>–</w:t>
            </w:r>
          </w:p>
        </w:tc>
        <w:tc>
          <w:tcPr>
            <w:tcW w:w="1134" w:type="dxa"/>
          </w:tcPr>
          <w:p w14:paraId="1B72AC99" w14:textId="77777777" w:rsidR="00B02873" w:rsidRPr="00AB27F9" w:rsidRDefault="00B02873" w:rsidP="00AB27F9">
            <w:pPr>
              <w:pStyle w:val="TablebodyleftFinancialsTables"/>
              <w:jc w:val="right"/>
              <w:rPr>
                <w:sz w:val="18"/>
                <w:szCs w:val="14"/>
              </w:rPr>
            </w:pPr>
            <w:r w:rsidRPr="00AB27F9">
              <w:rPr>
                <w:sz w:val="18"/>
                <w:szCs w:val="14"/>
              </w:rPr>
              <w:t>–</w:t>
            </w:r>
          </w:p>
        </w:tc>
        <w:tc>
          <w:tcPr>
            <w:tcW w:w="1283" w:type="dxa"/>
          </w:tcPr>
          <w:p w14:paraId="195435DD" w14:textId="77777777" w:rsidR="00B02873" w:rsidRPr="00AB27F9" w:rsidRDefault="00B02873" w:rsidP="00AB27F9">
            <w:pPr>
              <w:pStyle w:val="TablebodyleftFinancialsTables"/>
              <w:jc w:val="right"/>
              <w:rPr>
                <w:b/>
                <w:bCs/>
                <w:sz w:val="18"/>
                <w:szCs w:val="14"/>
              </w:rPr>
            </w:pPr>
            <w:r w:rsidRPr="00AB27F9">
              <w:rPr>
                <w:b/>
                <w:bCs/>
                <w:sz w:val="18"/>
                <w:szCs w:val="14"/>
              </w:rPr>
              <w:t>1,178</w:t>
            </w:r>
          </w:p>
        </w:tc>
        <w:tc>
          <w:tcPr>
            <w:tcW w:w="1275" w:type="dxa"/>
          </w:tcPr>
          <w:p w14:paraId="4EA30F50" w14:textId="77777777" w:rsidR="00B02873" w:rsidRPr="00AB27F9" w:rsidRDefault="00B02873" w:rsidP="00AB27F9">
            <w:pPr>
              <w:pStyle w:val="TablebodyleftFinancialsTables"/>
              <w:jc w:val="right"/>
              <w:rPr>
                <w:sz w:val="18"/>
                <w:szCs w:val="14"/>
              </w:rPr>
            </w:pPr>
            <w:r w:rsidRPr="00AB27F9">
              <w:rPr>
                <w:sz w:val="18"/>
                <w:szCs w:val="14"/>
              </w:rPr>
              <w:t>–</w:t>
            </w:r>
          </w:p>
        </w:tc>
        <w:tc>
          <w:tcPr>
            <w:tcW w:w="993" w:type="dxa"/>
          </w:tcPr>
          <w:p w14:paraId="608F5A76" w14:textId="00B58212" w:rsidR="00B02873" w:rsidRPr="00AB27F9" w:rsidRDefault="00012C04" w:rsidP="00AB27F9">
            <w:pPr>
              <w:pStyle w:val="TablebodyleftFinancialsTables"/>
              <w:jc w:val="right"/>
              <w:rPr>
                <w:b/>
                <w:bCs/>
                <w:sz w:val="18"/>
                <w:szCs w:val="14"/>
              </w:rPr>
            </w:pPr>
            <w:r w:rsidRPr="00AB27F9">
              <w:rPr>
                <w:b/>
                <w:bCs/>
                <w:sz w:val="18"/>
                <w:szCs w:val="14"/>
              </w:rPr>
              <w:t xml:space="preserve"> </w:t>
            </w:r>
            <w:r w:rsidR="00B02873" w:rsidRPr="00AB27F9">
              <w:rPr>
                <w:b/>
                <w:bCs/>
                <w:sz w:val="18"/>
                <w:szCs w:val="14"/>
              </w:rPr>
              <w:t>34</w:t>
            </w:r>
          </w:p>
        </w:tc>
        <w:tc>
          <w:tcPr>
            <w:tcW w:w="993" w:type="dxa"/>
          </w:tcPr>
          <w:p w14:paraId="768E3801" w14:textId="77777777" w:rsidR="00B02873" w:rsidRPr="00AB27F9" w:rsidRDefault="00B02873" w:rsidP="00AB27F9">
            <w:pPr>
              <w:pStyle w:val="TablebodyleftFinancialsTables"/>
              <w:jc w:val="right"/>
              <w:rPr>
                <w:sz w:val="18"/>
                <w:szCs w:val="14"/>
              </w:rPr>
            </w:pPr>
            <w:r w:rsidRPr="00AB27F9">
              <w:rPr>
                <w:sz w:val="18"/>
                <w:szCs w:val="14"/>
              </w:rPr>
              <w:t>–</w:t>
            </w:r>
          </w:p>
        </w:tc>
      </w:tr>
      <w:tr w:rsidR="00B02873" w:rsidRPr="00AB27F9" w14:paraId="6A2A0FC9" w14:textId="77777777" w:rsidTr="00AB27F9">
        <w:tc>
          <w:tcPr>
            <w:tcW w:w="2823" w:type="dxa"/>
          </w:tcPr>
          <w:p w14:paraId="40FC6213" w14:textId="77777777" w:rsidR="00B02873" w:rsidRPr="00AB27F9" w:rsidRDefault="00B02873" w:rsidP="00AB27F9">
            <w:pPr>
              <w:pStyle w:val="TablebodyleftFinancialsTables"/>
              <w:rPr>
                <w:sz w:val="18"/>
                <w:szCs w:val="14"/>
              </w:rPr>
            </w:pPr>
            <w:r w:rsidRPr="00AB27F9">
              <w:rPr>
                <w:sz w:val="18"/>
                <w:szCs w:val="14"/>
              </w:rPr>
              <w:t>Land titles income</w:t>
            </w:r>
          </w:p>
        </w:tc>
        <w:tc>
          <w:tcPr>
            <w:tcW w:w="1134" w:type="dxa"/>
          </w:tcPr>
          <w:p w14:paraId="2D4B4194" w14:textId="77777777" w:rsidR="00B02873" w:rsidRPr="00AB27F9" w:rsidRDefault="00B02873" w:rsidP="00AB27F9">
            <w:pPr>
              <w:pStyle w:val="TablebodyleftFinancialsTables"/>
              <w:jc w:val="right"/>
              <w:rPr>
                <w:b/>
                <w:bCs/>
                <w:sz w:val="18"/>
                <w:szCs w:val="14"/>
              </w:rPr>
            </w:pPr>
            <w:r w:rsidRPr="00AB27F9">
              <w:rPr>
                <w:b/>
                <w:bCs/>
                <w:sz w:val="18"/>
                <w:szCs w:val="14"/>
              </w:rPr>
              <w:t>–</w:t>
            </w:r>
          </w:p>
        </w:tc>
        <w:tc>
          <w:tcPr>
            <w:tcW w:w="1134" w:type="dxa"/>
          </w:tcPr>
          <w:p w14:paraId="3B1F99F7" w14:textId="77777777" w:rsidR="00B02873" w:rsidRPr="00AB27F9" w:rsidRDefault="00B02873" w:rsidP="00AB27F9">
            <w:pPr>
              <w:pStyle w:val="TablebodyleftFinancialsTables"/>
              <w:jc w:val="right"/>
              <w:rPr>
                <w:sz w:val="18"/>
                <w:szCs w:val="14"/>
              </w:rPr>
            </w:pPr>
            <w:r w:rsidRPr="00AB27F9">
              <w:rPr>
                <w:sz w:val="18"/>
                <w:szCs w:val="14"/>
              </w:rPr>
              <w:t>–</w:t>
            </w:r>
          </w:p>
        </w:tc>
        <w:tc>
          <w:tcPr>
            <w:tcW w:w="1283" w:type="dxa"/>
          </w:tcPr>
          <w:p w14:paraId="46627258" w14:textId="77777777" w:rsidR="00B02873" w:rsidRPr="00AB27F9" w:rsidRDefault="00B02873" w:rsidP="00AB27F9">
            <w:pPr>
              <w:pStyle w:val="TablebodyleftFinancialsTables"/>
              <w:jc w:val="right"/>
              <w:rPr>
                <w:b/>
                <w:bCs/>
                <w:sz w:val="18"/>
                <w:szCs w:val="14"/>
              </w:rPr>
            </w:pPr>
            <w:r w:rsidRPr="00AB27F9">
              <w:rPr>
                <w:b/>
                <w:bCs/>
                <w:sz w:val="18"/>
                <w:szCs w:val="14"/>
              </w:rPr>
              <w:t>–</w:t>
            </w:r>
          </w:p>
        </w:tc>
        <w:tc>
          <w:tcPr>
            <w:tcW w:w="1275" w:type="dxa"/>
          </w:tcPr>
          <w:p w14:paraId="49C97D19" w14:textId="77777777" w:rsidR="00B02873" w:rsidRPr="00AB27F9" w:rsidRDefault="00B02873" w:rsidP="00AB27F9">
            <w:pPr>
              <w:pStyle w:val="TablebodyleftFinancialsTables"/>
              <w:jc w:val="right"/>
              <w:rPr>
                <w:sz w:val="18"/>
                <w:szCs w:val="14"/>
              </w:rPr>
            </w:pPr>
            <w:r w:rsidRPr="00AB27F9">
              <w:rPr>
                <w:sz w:val="18"/>
                <w:szCs w:val="14"/>
              </w:rPr>
              <w:t>–</w:t>
            </w:r>
          </w:p>
        </w:tc>
        <w:tc>
          <w:tcPr>
            <w:tcW w:w="993" w:type="dxa"/>
          </w:tcPr>
          <w:p w14:paraId="51D10DD5" w14:textId="77777777" w:rsidR="00B02873" w:rsidRPr="00AB27F9" w:rsidRDefault="00B02873" w:rsidP="00AB27F9">
            <w:pPr>
              <w:pStyle w:val="TablebodyleftFinancialsTables"/>
              <w:jc w:val="right"/>
              <w:rPr>
                <w:b/>
                <w:bCs/>
                <w:sz w:val="18"/>
                <w:szCs w:val="14"/>
              </w:rPr>
            </w:pPr>
            <w:r w:rsidRPr="00AB27F9">
              <w:rPr>
                <w:b/>
                <w:bCs/>
                <w:sz w:val="18"/>
                <w:szCs w:val="14"/>
              </w:rPr>
              <w:t>522,698</w:t>
            </w:r>
          </w:p>
        </w:tc>
        <w:tc>
          <w:tcPr>
            <w:tcW w:w="993" w:type="dxa"/>
          </w:tcPr>
          <w:p w14:paraId="5C0C97D8" w14:textId="77777777" w:rsidR="00B02873" w:rsidRPr="00AB27F9" w:rsidRDefault="00B02873" w:rsidP="00AB27F9">
            <w:pPr>
              <w:pStyle w:val="TablebodyleftFinancialsTables"/>
              <w:jc w:val="right"/>
              <w:rPr>
                <w:sz w:val="18"/>
                <w:szCs w:val="14"/>
              </w:rPr>
            </w:pPr>
            <w:r w:rsidRPr="00AB27F9">
              <w:rPr>
                <w:sz w:val="18"/>
                <w:szCs w:val="14"/>
              </w:rPr>
              <w:t>428,508</w:t>
            </w:r>
          </w:p>
        </w:tc>
      </w:tr>
      <w:tr w:rsidR="00B02873" w:rsidRPr="00AB27F9" w14:paraId="07D817DA" w14:textId="77777777" w:rsidTr="00AB27F9">
        <w:tc>
          <w:tcPr>
            <w:tcW w:w="2823" w:type="dxa"/>
          </w:tcPr>
          <w:p w14:paraId="6AAC7572" w14:textId="77777777" w:rsidR="00B02873" w:rsidRPr="00AB27F9" w:rsidRDefault="00B02873" w:rsidP="00AB27F9">
            <w:pPr>
              <w:pStyle w:val="TablebodyleftFinancialsTables"/>
              <w:rPr>
                <w:sz w:val="18"/>
                <w:szCs w:val="14"/>
              </w:rPr>
            </w:pPr>
            <w:r w:rsidRPr="00AB27F9">
              <w:rPr>
                <w:sz w:val="18"/>
                <w:szCs w:val="14"/>
              </w:rPr>
              <w:t>Environmental contribution</w:t>
            </w:r>
          </w:p>
        </w:tc>
        <w:tc>
          <w:tcPr>
            <w:tcW w:w="1134" w:type="dxa"/>
          </w:tcPr>
          <w:p w14:paraId="75229809" w14:textId="77777777" w:rsidR="00B02873" w:rsidRPr="00AB27F9" w:rsidRDefault="00B02873" w:rsidP="00AB27F9">
            <w:pPr>
              <w:pStyle w:val="TablebodyleftFinancialsTables"/>
              <w:jc w:val="right"/>
              <w:rPr>
                <w:b/>
                <w:bCs/>
                <w:sz w:val="18"/>
                <w:szCs w:val="14"/>
              </w:rPr>
            </w:pPr>
            <w:r w:rsidRPr="00AB27F9">
              <w:rPr>
                <w:b/>
                <w:bCs/>
                <w:sz w:val="18"/>
                <w:szCs w:val="14"/>
              </w:rPr>
              <w:t>–</w:t>
            </w:r>
          </w:p>
        </w:tc>
        <w:tc>
          <w:tcPr>
            <w:tcW w:w="1134" w:type="dxa"/>
          </w:tcPr>
          <w:p w14:paraId="4B2F9A9D" w14:textId="77777777" w:rsidR="00B02873" w:rsidRPr="00AB27F9" w:rsidRDefault="00B02873" w:rsidP="00AB27F9">
            <w:pPr>
              <w:pStyle w:val="TablebodyleftFinancialsTables"/>
              <w:jc w:val="right"/>
              <w:rPr>
                <w:sz w:val="18"/>
                <w:szCs w:val="14"/>
              </w:rPr>
            </w:pPr>
            <w:r w:rsidRPr="00AB27F9">
              <w:rPr>
                <w:sz w:val="18"/>
                <w:szCs w:val="14"/>
              </w:rPr>
              <w:t>–</w:t>
            </w:r>
          </w:p>
        </w:tc>
        <w:tc>
          <w:tcPr>
            <w:tcW w:w="1283" w:type="dxa"/>
          </w:tcPr>
          <w:p w14:paraId="7C4B50EC" w14:textId="77777777" w:rsidR="00B02873" w:rsidRPr="00AB27F9" w:rsidRDefault="00B02873" w:rsidP="00AB27F9">
            <w:pPr>
              <w:pStyle w:val="TablebodyleftFinancialsTables"/>
              <w:jc w:val="right"/>
              <w:rPr>
                <w:b/>
                <w:bCs/>
                <w:sz w:val="18"/>
                <w:szCs w:val="14"/>
              </w:rPr>
            </w:pPr>
            <w:r w:rsidRPr="00AB27F9">
              <w:rPr>
                <w:b/>
                <w:bCs/>
                <w:sz w:val="18"/>
                <w:szCs w:val="14"/>
              </w:rPr>
              <w:t>–</w:t>
            </w:r>
          </w:p>
        </w:tc>
        <w:tc>
          <w:tcPr>
            <w:tcW w:w="1275" w:type="dxa"/>
          </w:tcPr>
          <w:p w14:paraId="706C7068" w14:textId="77777777" w:rsidR="00B02873" w:rsidRPr="00AB27F9" w:rsidRDefault="00B02873" w:rsidP="00AB27F9">
            <w:pPr>
              <w:pStyle w:val="TablebodyleftFinancialsTables"/>
              <w:jc w:val="right"/>
              <w:rPr>
                <w:sz w:val="18"/>
                <w:szCs w:val="14"/>
              </w:rPr>
            </w:pPr>
            <w:r w:rsidRPr="00AB27F9">
              <w:rPr>
                <w:sz w:val="18"/>
                <w:szCs w:val="14"/>
              </w:rPr>
              <w:t>–</w:t>
            </w:r>
          </w:p>
        </w:tc>
        <w:tc>
          <w:tcPr>
            <w:tcW w:w="993" w:type="dxa"/>
          </w:tcPr>
          <w:p w14:paraId="0B213D98" w14:textId="77777777" w:rsidR="00B02873" w:rsidRPr="00AB27F9" w:rsidRDefault="00B02873" w:rsidP="00AB27F9">
            <w:pPr>
              <w:pStyle w:val="TablebodyleftFinancialsTables"/>
              <w:jc w:val="right"/>
              <w:rPr>
                <w:b/>
                <w:bCs/>
                <w:sz w:val="18"/>
                <w:szCs w:val="14"/>
              </w:rPr>
            </w:pPr>
            <w:r w:rsidRPr="00AB27F9">
              <w:rPr>
                <w:b/>
                <w:bCs/>
                <w:sz w:val="18"/>
                <w:szCs w:val="14"/>
              </w:rPr>
              <w:t>–</w:t>
            </w:r>
          </w:p>
        </w:tc>
        <w:tc>
          <w:tcPr>
            <w:tcW w:w="993" w:type="dxa"/>
          </w:tcPr>
          <w:p w14:paraId="1544B4C8" w14:textId="77777777" w:rsidR="00B02873" w:rsidRPr="00AB27F9" w:rsidRDefault="00B02873" w:rsidP="00AB27F9">
            <w:pPr>
              <w:pStyle w:val="TablebodyleftFinancialsTables"/>
              <w:jc w:val="right"/>
              <w:rPr>
                <w:sz w:val="18"/>
                <w:szCs w:val="14"/>
              </w:rPr>
            </w:pPr>
            <w:r w:rsidRPr="00AB27F9">
              <w:rPr>
                <w:sz w:val="18"/>
                <w:szCs w:val="14"/>
              </w:rPr>
              <w:t>–</w:t>
            </w:r>
          </w:p>
        </w:tc>
      </w:tr>
      <w:tr w:rsidR="00B02873" w:rsidRPr="00AB27F9" w14:paraId="702D0B90" w14:textId="77777777" w:rsidTr="00AB27F9">
        <w:tc>
          <w:tcPr>
            <w:tcW w:w="2823" w:type="dxa"/>
          </w:tcPr>
          <w:p w14:paraId="0817CCB5" w14:textId="77777777" w:rsidR="00B02873" w:rsidRPr="00AB27F9" w:rsidRDefault="00B02873" w:rsidP="00AB27F9">
            <w:pPr>
              <w:pStyle w:val="TablebodyleftFinancialsTables"/>
              <w:rPr>
                <w:sz w:val="18"/>
                <w:szCs w:val="14"/>
              </w:rPr>
            </w:pPr>
            <w:r w:rsidRPr="00AB27F9">
              <w:rPr>
                <w:sz w:val="18"/>
                <w:szCs w:val="14"/>
              </w:rPr>
              <w:t>Grants</w:t>
            </w:r>
          </w:p>
        </w:tc>
        <w:tc>
          <w:tcPr>
            <w:tcW w:w="1134" w:type="dxa"/>
          </w:tcPr>
          <w:p w14:paraId="1414EC4F" w14:textId="77777777" w:rsidR="00B02873" w:rsidRPr="00AB27F9" w:rsidRDefault="00B02873" w:rsidP="00AB27F9">
            <w:pPr>
              <w:pStyle w:val="TablebodyleftFinancialsTables"/>
              <w:jc w:val="right"/>
              <w:rPr>
                <w:b/>
                <w:bCs/>
                <w:sz w:val="18"/>
                <w:szCs w:val="14"/>
              </w:rPr>
            </w:pPr>
            <w:r w:rsidRPr="00AB27F9">
              <w:rPr>
                <w:b/>
                <w:bCs/>
                <w:sz w:val="18"/>
                <w:szCs w:val="14"/>
              </w:rPr>
              <w:t>–</w:t>
            </w:r>
          </w:p>
        </w:tc>
        <w:tc>
          <w:tcPr>
            <w:tcW w:w="1134" w:type="dxa"/>
          </w:tcPr>
          <w:p w14:paraId="01BA6127" w14:textId="77777777" w:rsidR="00B02873" w:rsidRPr="00AB27F9" w:rsidRDefault="00B02873" w:rsidP="00AB27F9">
            <w:pPr>
              <w:pStyle w:val="TablebodyleftFinancialsTables"/>
              <w:jc w:val="right"/>
              <w:rPr>
                <w:sz w:val="18"/>
                <w:szCs w:val="14"/>
              </w:rPr>
            </w:pPr>
            <w:r w:rsidRPr="00AB27F9">
              <w:rPr>
                <w:sz w:val="18"/>
                <w:szCs w:val="14"/>
              </w:rPr>
              <w:t>–</w:t>
            </w:r>
          </w:p>
        </w:tc>
        <w:tc>
          <w:tcPr>
            <w:tcW w:w="1283" w:type="dxa"/>
          </w:tcPr>
          <w:p w14:paraId="662DCF76" w14:textId="77777777" w:rsidR="00B02873" w:rsidRPr="00AB27F9" w:rsidRDefault="00B02873" w:rsidP="00AB27F9">
            <w:pPr>
              <w:pStyle w:val="TablebodyleftFinancialsTables"/>
              <w:jc w:val="right"/>
              <w:rPr>
                <w:b/>
                <w:bCs/>
                <w:sz w:val="18"/>
                <w:szCs w:val="14"/>
              </w:rPr>
            </w:pPr>
            <w:r w:rsidRPr="00AB27F9">
              <w:rPr>
                <w:b/>
                <w:bCs/>
                <w:sz w:val="18"/>
                <w:szCs w:val="14"/>
              </w:rPr>
              <w:t>1,215</w:t>
            </w:r>
          </w:p>
        </w:tc>
        <w:tc>
          <w:tcPr>
            <w:tcW w:w="1275" w:type="dxa"/>
          </w:tcPr>
          <w:p w14:paraId="067CC7DA" w14:textId="77777777" w:rsidR="00B02873" w:rsidRPr="00AB27F9" w:rsidRDefault="00B02873" w:rsidP="00AB27F9">
            <w:pPr>
              <w:pStyle w:val="TablebodyleftFinancialsTables"/>
              <w:jc w:val="right"/>
              <w:rPr>
                <w:sz w:val="18"/>
                <w:szCs w:val="14"/>
              </w:rPr>
            </w:pPr>
            <w:r w:rsidRPr="00AB27F9">
              <w:rPr>
                <w:sz w:val="18"/>
                <w:szCs w:val="14"/>
              </w:rPr>
              <w:t>–</w:t>
            </w:r>
          </w:p>
        </w:tc>
        <w:tc>
          <w:tcPr>
            <w:tcW w:w="993" w:type="dxa"/>
          </w:tcPr>
          <w:p w14:paraId="7C0BA279" w14:textId="77777777" w:rsidR="00B02873" w:rsidRPr="00AB27F9" w:rsidRDefault="00B02873" w:rsidP="00AB27F9">
            <w:pPr>
              <w:pStyle w:val="TablebodyleftFinancialsTables"/>
              <w:jc w:val="right"/>
              <w:rPr>
                <w:b/>
                <w:bCs/>
                <w:sz w:val="18"/>
                <w:szCs w:val="14"/>
              </w:rPr>
            </w:pPr>
            <w:r w:rsidRPr="00AB27F9">
              <w:rPr>
                <w:b/>
                <w:bCs/>
                <w:sz w:val="18"/>
                <w:szCs w:val="14"/>
              </w:rPr>
              <w:t>–</w:t>
            </w:r>
          </w:p>
        </w:tc>
        <w:tc>
          <w:tcPr>
            <w:tcW w:w="993" w:type="dxa"/>
          </w:tcPr>
          <w:p w14:paraId="65650992" w14:textId="77777777" w:rsidR="00B02873" w:rsidRPr="00AB27F9" w:rsidRDefault="00B02873" w:rsidP="00AB27F9">
            <w:pPr>
              <w:pStyle w:val="TablebodyleftFinancialsTables"/>
              <w:jc w:val="right"/>
              <w:rPr>
                <w:sz w:val="18"/>
                <w:szCs w:val="14"/>
              </w:rPr>
            </w:pPr>
            <w:r w:rsidRPr="00AB27F9">
              <w:rPr>
                <w:sz w:val="18"/>
                <w:szCs w:val="14"/>
              </w:rPr>
              <w:t>–</w:t>
            </w:r>
          </w:p>
        </w:tc>
      </w:tr>
      <w:tr w:rsidR="00B02873" w:rsidRPr="00AB27F9" w14:paraId="753EF1A4" w14:textId="77777777" w:rsidTr="00AB27F9">
        <w:tc>
          <w:tcPr>
            <w:tcW w:w="2823" w:type="dxa"/>
          </w:tcPr>
          <w:p w14:paraId="0B21983D" w14:textId="77777777" w:rsidR="00B02873" w:rsidRPr="00AB27F9" w:rsidRDefault="00B02873" w:rsidP="00AB27F9">
            <w:pPr>
              <w:pStyle w:val="TablebodyleftFinancialsTables"/>
              <w:rPr>
                <w:sz w:val="18"/>
                <w:szCs w:val="14"/>
              </w:rPr>
            </w:pPr>
            <w:r w:rsidRPr="00AB27F9">
              <w:rPr>
                <w:sz w:val="18"/>
                <w:szCs w:val="14"/>
              </w:rPr>
              <w:lastRenderedPageBreak/>
              <w:t>Jointly controlled assets received free of charge (Note 4.2.3)</w:t>
            </w:r>
          </w:p>
        </w:tc>
        <w:tc>
          <w:tcPr>
            <w:tcW w:w="1134" w:type="dxa"/>
          </w:tcPr>
          <w:p w14:paraId="22DA18A1" w14:textId="77777777" w:rsidR="00B02873" w:rsidRPr="00AB27F9" w:rsidRDefault="00B02873" w:rsidP="00AB27F9">
            <w:pPr>
              <w:pStyle w:val="TablebodyleftFinancialsTables"/>
              <w:jc w:val="right"/>
              <w:rPr>
                <w:b/>
                <w:bCs/>
                <w:sz w:val="18"/>
                <w:szCs w:val="14"/>
              </w:rPr>
            </w:pPr>
            <w:r w:rsidRPr="00AB27F9">
              <w:rPr>
                <w:b/>
                <w:bCs/>
                <w:sz w:val="18"/>
                <w:szCs w:val="14"/>
              </w:rPr>
              <w:t>–</w:t>
            </w:r>
          </w:p>
        </w:tc>
        <w:tc>
          <w:tcPr>
            <w:tcW w:w="1134" w:type="dxa"/>
          </w:tcPr>
          <w:p w14:paraId="23EFA25F" w14:textId="77777777" w:rsidR="00B02873" w:rsidRPr="00AB27F9" w:rsidRDefault="00B02873" w:rsidP="00AB27F9">
            <w:pPr>
              <w:pStyle w:val="TablebodyleftFinancialsTables"/>
              <w:jc w:val="right"/>
              <w:rPr>
                <w:sz w:val="18"/>
                <w:szCs w:val="14"/>
              </w:rPr>
            </w:pPr>
            <w:r w:rsidRPr="00AB27F9">
              <w:rPr>
                <w:sz w:val="18"/>
                <w:szCs w:val="14"/>
              </w:rPr>
              <w:t>–</w:t>
            </w:r>
          </w:p>
        </w:tc>
        <w:tc>
          <w:tcPr>
            <w:tcW w:w="1283" w:type="dxa"/>
          </w:tcPr>
          <w:p w14:paraId="3B34CDBC" w14:textId="77777777" w:rsidR="00B02873" w:rsidRPr="00AB27F9" w:rsidRDefault="00B02873" w:rsidP="00AB27F9">
            <w:pPr>
              <w:pStyle w:val="TablebodyleftFinancialsTables"/>
              <w:jc w:val="right"/>
              <w:rPr>
                <w:b/>
                <w:bCs/>
                <w:sz w:val="18"/>
                <w:szCs w:val="14"/>
              </w:rPr>
            </w:pPr>
            <w:r w:rsidRPr="00AB27F9">
              <w:rPr>
                <w:b/>
                <w:bCs/>
                <w:sz w:val="18"/>
                <w:szCs w:val="14"/>
              </w:rPr>
              <w:t>–</w:t>
            </w:r>
          </w:p>
        </w:tc>
        <w:tc>
          <w:tcPr>
            <w:tcW w:w="1275" w:type="dxa"/>
          </w:tcPr>
          <w:p w14:paraId="73C57A1D" w14:textId="77777777" w:rsidR="00B02873" w:rsidRPr="00AB27F9" w:rsidRDefault="00B02873" w:rsidP="00AB27F9">
            <w:pPr>
              <w:pStyle w:val="TablebodyleftFinancialsTables"/>
              <w:jc w:val="right"/>
              <w:rPr>
                <w:sz w:val="18"/>
                <w:szCs w:val="14"/>
              </w:rPr>
            </w:pPr>
            <w:r w:rsidRPr="00AB27F9">
              <w:rPr>
                <w:sz w:val="18"/>
                <w:szCs w:val="14"/>
              </w:rPr>
              <w:t>–</w:t>
            </w:r>
          </w:p>
        </w:tc>
        <w:tc>
          <w:tcPr>
            <w:tcW w:w="993" w:type="dxa"/>
          </w:tcPr>
          <w:p w14:paraId="79EA9C0C" w14:textId="77777777" w:rsidR="00B02873" w:rsidRPr="00AB27F9" w:rsidRDefault="00B02873" w:rsidP="00AB27F9">
            <w:pPr>
              <w:pStyle w:val="TablebodyleftFinancialsTables"/>
              <w:jc w:val="right"/>
              <w:rPr>
                <w:b/>
                <w:bCs/>
                <w:sz w:val="18"/>
                <w:szCs w:val="14"/>
              </w:rPr>
            </w:pPr>
            <w:r w:rsidRPr="00AB27F9">
              <w:rPr>
                <w:b/>
                <w:bCs/>
                <w:sz w:val="18"/>
                <w:szCs w:val="14"/>
              </w:rPr>
              <w:t>–</w:t>
            </w:r>
          </w:p>
        </w:tc>
        <w:tc>
          <w:tcPr>
            <w:tcW w:w="993" w:type="dxa"/>
          </w:tcPr>
          <w:p w14:paraId="38717FC1" w14:textId="77777777" w:rsidR="00B02873" w:rsidRPr="00AB27F9" w:rsidRDefault="00B02873" w:rsidP="00AB27F9">
            <w:pPr>
              <w:pStyle w:val="TablebodyleftFinancialsTables"/>
              <w:jc w:val="right"/>
              <w:rPr>
                <w:sz w:val="18"/>
                <w:szCs w:val="14"/>
              </w:rPr>
            </w:pPr>
            <w:r w:rsidRPr="00AB27F9">
              <w:rPr>
                <w:sz w:val="18"/>
                <w:szCs w:val="14"/>
              </w:rPr>
              <w:t>–</w:t>
            </w:r>
          </w:p>
        </w:tc>
      </w:tr>
      <w:tr w:rsidR="00B02873" w:rsidRPr="00AB27F9" w14:paraId="483EC6BC" w14:textId="77777777" w:rsidTr="00AB27F9">
        <w:tc>
          <w:tcPr>
            <w:tcW w:w="2823" w:type="dxa"/>
          </w:tcPr>
          <w:p w14:paraId="0AC91B50" w14:textId="2875A3C6" w:rsidR="00B02873" w:rsidRPr="00AB27F9" w:rsidRDefault="00B02873" w:rsidP="00AB27F9">
            <w:pPr>
              <w:pStyle w:val="TablebodyleftFinancialsTables"/>
              <w:rPr>
                <w:sz w:val="18"/>
                <w:szCs w:val="14"/>
              </w:rPr>
            </w:pPr>
            <w:r w:rsidRPr="00AB27F9">
              <w:rPr>
                <w:sz w:val="18"/>
                <w:szCs w:val="14"/>
              </w:rPr>
              <w:t>Other income and loan repayments transferred from the controlled entity</w:t>
            </w:r>
            <w:r w:rsidRPr="00AB27F9">
              <w:rPr>
                <w:sz w:val="18"/>
                <w:szCs w:val="14"/>
                <w:vertAlign w:val="superscript"/>
              </w:rPr>
              <w:t>(i)</w:t>
            </w:r>
          </w:p>
        </w:tc>
        <w:tc>
          <w:tcPr>
            <w:tcW w:w="1134" w:type="dxa"/>
          </w:tcPr>
          <w:p w14:paraId="602993EB" w14:textId="77777777" w:rsidR="00B02873" w:rsidRPr="00AB27F9" w:rsidRDefault="00B02873" w:rsidP="00AB27F9">
            <w:pPr>
              <w:pStyle w:val="TablebodyleftFinancialsTables"/>
              <w:jc w:val="right"/>
              <w:rPr>
                <w:b/>
                <w:bCs/>
                <w:sz w:val="18"/>
                <w:szCs w:val="14"/>
              </w:rPr>
            </w:pPr>
            <w:r w:rsidRPr="00AB27F9">
              <w:rPr>
                <w:b/>
                <w:bCs/>
                <w:sz w:val="18"/>
                <w:szCs w:val="14"/>
              </w:rPr>
              <w:t>22</w:t>
            </w:r>
          </w:p>
        </w:tc>
        <w:tc>
          <w:tcPr>
            <w:tcW w:w="1134" w:type="dxa"/>
          </w:tcPr>
          <w:p w14:paraId="361C7FA1" w14:textId="77777777" w:rsidR="00B02873" w:rsidRPr="00AB27F9" w:rsidRDefault="00B02873" w:rsidP="00AB27F9">
            <w:pPr>
              <w:pStyle w:val="TablebodyleftFinancialsTables"/>
              <w:jc w:val="right"/>
              <w:rPr>
                <w:sz w:val="18"/>
                <w:szCs w:val="14"/>
              </w:rPr>
            </w:pPr>
            <w:r w:rsidRPr="00AB27F9">
              <w:rPr>
                <w:sz w:val="18"/>
                <w:szCs w:val="14"/>
              </w:rPr>
              <w:t>174</w:t>
            </w:r>
          </w:p>
        </w:tc>
        <w:tc>
          <w:tcPr>
            <w:tcW w:w="1283" w:type="dxa"/>
          </w:tcPr>
          <w:p w14:paraId="7E59147B" w14:textId="77777777" w:rsidR="00B02873" w:rsidRPr="00AB27F9" w:rsidRDefault="00B02873" w:rsidP="00AB27F9">
            <w:pPr>
              <w:pStyle w:val="TablebodyleftFinancialsTables"/>
              <w:jc w:val="right"/>
              <w:rPr>
                <w:b/>
                <w:bCs/>
                <w:sz w:val="18"/>
                <w:szCs w:val="14"/>
              </w:rPr>
            </w:pPr>
            <w:r w:rsidRPr="00AB27F9">
              <w:rPr>
                <w:b/>
                <w:bCs/>
                <w:sz w:val="18"/>
                <w:szCs w:val="14"/>
              </w:rPr>
              <w:t>12</w:t>
            </w:r>
          </w:p>
        </w:tc>
        <w:tc>
          <w:tcPr>
            <w:tcW w:w="1275" w:type="dxa"/>
          </w:tcPr>
          <w:p w14:paraId="3A73C073" w14:textId="77777777" w:rsidR="00B02873" w:rsidRPr="00AB27F9" w:rsidRDefault="00B02873" w:rsidP="00AB27F9">
            <w:pPr>
              <w:pStyle w:val="TablebodyleftFinancialsTables"/>
              <w:jc w:val="right"/>
              <w:rPr>
                <w:sz w:val="18"/>
                <w:szCs w:val="14"/>
              </w:rPr>
            </w:pPr>
            <w:r w:rsidRPr="00AB27F9">
              <w:rPr>
                <w:sz w:val="18"/>
                <w:szCs w:val="14"/>
              </w:rPr>
              <w:t>127</w:t>
            </w:r>
          </w:p>
        </w:tc>
        <w:tc>
          <w:tcPr>
            <w:tcW w:w="993" w:type="dxa"/>
          </w:tcPr>
          <w:p w14:paraId="05AAC8BC" w14:textId="10761ECA" w:rsidR="00B02873" w:rsidRPr="00AB27F9" w:rsidRDefault="00B02873" w:rsidP="00AB27F9">
            <w:pPr>
              <w:pStyle w:val="TablebodyleftFinancialsTables"/>
              <w:jc w:val="right"/>
              <w:rPr>
                <w:b/>
                <w:bCs/>
                <w:sz w:val="18"/>
                <w:szCs w:val="14"/>
              </w:rPr>
            </w:pPr>
            <w:r w:rsidRPr="00AB27F9">
              <w:rPr>
                <w:b/>
                <w:bCs/>
                <w:sz w:val="18"/>
                <w:szCs w:val="14"/>
              </w:rPr>
              <w:t>67,415</w:t>
            </w:r>
          </w:p>
        </w:tc>
        <w:tc>
          <w:tcPr>
            <w:tcW w:w="993" w:type="dxa"/>
          </w:tcPr>
          <w:p w14:paraId="03E37651" w14:textId="77777777" w:rsidR="00B02873" w:rsidRPr="00AB27F9" w:rsidRDefault="00B02873" w:rsidP="00AB27F9">
            <w:pPr>
              <w:pStyle w:val="TablebodyleftFinancialsTables"/>
              <w:jc w:val="right"/>
              <w:rPr>
                <w:sz w:val="18"/>
                <w:szCs w:val="14"/>
              </w:rPr>
            </w:pPr>
            <w:r w:rsidRPr="00AB27F9">
              <w:rPr>
                <w:sz w:val="18"/>
                <w:szCs w:val="14"/>
              </w:rPr>
              <w:t>71,428</w:t>
            </w:r>
          </w:p>
        </w:tc>
      </w:tr>
      <w:tr w:rsidR="00B02873" w:rsidRPr="00AB27F9" w14:paraId="49CA1596" w14:textId="77777777" w:rsidTr="00AB27F9">
        <w:tc>
          <w:tcPr>
            <w:tcW w:w="2823" w:type="dxa"/>
          </w:tcPr>
          <w:p w14:paraId="2B5AF4D0" w14:textId="4418AC0F" w:rsidR="00B02873" w:rsidRPr="00AB27F9" w:rsidRDefault="00B02873" w:rsidP="00AB27F9">
            <w:pPr>
              <w:pStyle w:val="TablebodyleftFinancialsTables"/>
              <w:rPr>
                <w:b/>
                <w:bCs/>
                <w:sz w:val="18"/>
                <w:szCs w:val="14"/>
              </w:rPr>
            </w:pPr>
            <w:r w:rsidRPr="00AB27F9">
              <w:rPr>
                <w:b/>
                <w:bCs/>
                <w:sz w:val="18"/>
                <w:szCs w:val="14"/>
              </w:rPr>
              <w:t>Total administered revenue and income from transactions</w:t>
            </w:r>
          </w:p>
        </w:tc>
        <w:tc>
          <w:tcPr>
            <w:tcW w:w="1134" w:type="dxa"/>
          </w:tcPr>
          <w:p w14:paraId="5B6E9339" w14:textId="7665464E" w:rsidR="00B02873" w:rsidRPr="00AB27F9" w:rsidRDefault="00012C04" w:rsidP="00AB27F9">
            <w:pPr>
              <w:pStyle w:val="TablebodyleftFinancialsTables"/>
              <w:jc w:val="right"/>
              <w:rPr>
                <w:b/>
                <w:bCs/>
                <w:sz w:val="18"/>
                <w:szCs w:val="14"/>
              </w:rPr>
            </w:pPr>
            <w:r w:rsidRPr="00AB27F9">
              <w:rPr>
                <w:b/>
                <w:bCs/>
                <w:sz w:val="18"/>
                <w:szCs w:val="14"/>
              </w:rPr>
              <w:t xml:space="preserve"> </w:t>
            </w:r>
            <w:r w:rsidR="00B02873" w:rsidRPr="00AB27F9">
              <w:rPr>
                <w:b/>
                <w:bCs/>
                <w:sz w:val="18"/>
                <w:szCs w:val="14"/>
              </w:rPr>
              <w:t>2,715</w:t>
            </w:r>
          </w:p>
        </w:tc>
        <w:tc>
          <w:tcPr>
            <w:tcW w:w="1134" w:type="dxa"/>
          </w:tcPr>
          <w:p w14:paraId="3C12CC5F" w14:textId="77777777" w:rsidR="00B02873" w:rsidRPr="00AB27F9" w:rsidRDefault="00B02873" w:rsidP="00AB27F9">
            <w:pPr>
              <w:pStyle w:val="TablebodyleftFinancialsTables"/>
              <w:jc w:val="right"/>
              <w:rPr>
                <w:sz w:val="18"/>
                <w:szCs w:val="14"/>
              </w:rPr>
            </w:pPr>
            <w:r w:rsidRPr="00AB27F9">
              <w:rPr>
                <w:sz w:val="18"/>
                <w:szCs w:val="14"/>
              </w:rPr>
              <w:t>2,878</w:t>
            </w:r>
          </w:p>
        </w:tc>
        <w:tc>
          <w:tcPr>
            <w:tcW w:w="1283" w:type="dxa"/>
          </w:tcPr>
          <w:p w14:paraId="38372A1C" w14:textId="77777777" w:rsidR="00B02873" w:rsidRPr="00AB27F9" w:rsidRDefault="00B02873" w:rsidP="00AB27F9">
            <w:pPr>
              <w:pStyle w:val="TablebodyleftFinancialsTables"/>
              <w:jc w:val="right"/>
              <w:rPr>
                <w:b/>
                <w:bCs/>
                <w:sz w:val="18"/>
                <w:szCs w:val="14"/>
              </w:rPr>
            </w:pPr>
            <w:r w:rsidRPr="00AB27F9">
              <w:rPr>
                <w:b/>
                <w:bCs/>
                <w:sz w:val="18"/>
                <w:szCs w:val="14"/>
              </w:rPr>
              <w:t>3,067</w:t>
            </w:r>
          </w:p>
        </w:tc>
        <w:tc>
          <w:tcPr>
            <w:tcW w:w="1275" w:type="dxa"/>
          </w:tcPr>
          <w:p w14:paraId="37574698" w14:textId="77777777" w:rsidR="00B02873" w:rsidRPr="00AB27F9" w:rsidRDefault="00B02873" w:rsidP="00AB27F9">
            <w:pPr>
              <w:pStyle w:val="TablebodyleftFinancialsTables"/>
              <w:jc w:val="right"/>
              <w:rPr>
                <w:sz w:val="18"/>
                <w:szCs w:val="14"/>
              </w:rPr>
            </w:pPr>
            <w:r w:rsidRPr="00AB27F9">
              <w:rPr>
                <w:sz w:val="18"/>
                <w:szCs w:val="14"/>
              </w:rPr>
              <w:t xml:space="preserve"> 128</w:t>
            </w:r>
          </w:p>
        </w:tc>
        <w:tc>
          <w:tcPr>
            <w:tcW w:w="993" w:type="dxa"/>
          </w:tcPr>
          <w:p w14:paraId="2A3C0791" w14:textId="77777777" w:rsidR="00B02873" w:rsidRPr="00AB27F9" w:rsidRDefault="00B02873" w:rsidP="00AB27F9">
            <w:pPr>
              <w:pStyle w:val="TablebodyleftFinancialsTables"/>
              <w:jc w:val="right"/>
              <w:rPr>
                <w:b/>
                <w:bCs/>
                <w:sz w:val="18"/>
                <w:szCs w:val="14"/>
              </w:rPr>
            </w:pPr>
            <w:r w:rsidRPr="00AB27F9">
              <w:rPr>
                <w:b/>
                <w:bCs/>
                <w:sz w:val="18"/>
                <w:szCs w:val="14"/>
              </w:rPr>
              <w:t>639,994</w:t>
            </w:r>
          </w:p>
        </w:tc>
        <w:tc>
          <w:tcPr>
            <w:tcW w:w="993" w:type="dxa"/>
          </w:tcPr>
          <w:p w14:paraId="5BFB110D" w14:textId="77777777" w:rsidR="00B02873" w:rsidRPr="00AB27F9" w:rsidRDefault="00B02873" w:rsidP="00AB27F9">
            <w:pPr>
              <w:pStyle w:val="TablebodyleftFinancialsTables"/>
              <w:jc w:val="right"/>
              <w:rPr>
                <w:sz w:val="18"/>
                <w:szCs w:val="14"/>
              </w:rPr>
            </w:pPr>
            <w:r w:rsidRPr="00AB27F9">
              <w:rPr>
                <w:sz w:val="18"/>
                <w:szCs w:val="14"/>
              </w:rPr>
              <w:t>543,613</w:t>
            </w:r>
          </w:p>
        </w:tc>
      </w:tr>
      <w:tr w:rsidR="00B02873" w:rsidRPr="00AB27F9" w14:paraId="18AE7EFC" w14:textId="77777777" w:rsidTr="00AB27F9">
        <w:tc>
          <w:tcPr>
            <w:tcW w:w="2823" w:type="dxa"/>
          </w:tcPr>
          <w:p w14:paraId="68AAEA9D" w14:textId="018DA015" w:rsidR="00B02873" w:rsidRPr="00AB27F9" w:rsidRDefault="00B02873" w:rsidP="00AB27F9">
            <w:pPr>
              <w:pStyle w:val="TablebodyleftFinancialsTables"/>
              <w:rPr>
                <w:b/>
                <w:bCs/>
                <w:sz w:val="18"/>
                <w:szCs w:val="14"/>
              </w:rPr>
            </w:pPr>
            <w:r w:rsidRPr="00AB27F9">
              <w:rPr>
                <w:b/>
                <w:bCs/>
                <w:sz w:val="18"/>
                <w:szCs w:val="14"/>
              </w:rPr>
              <w:t>Administered expenses from transactions</w:t>
            </w:r>
          </w:p>
        </w:tc>
        <w:tc>
          <w:tcPr>
            <w:tcW w:w="1134" w:type="dxa"/>
          </w:tcPr>
          <w:p w14:paraId="7FF7820A" w14:textId="77777777" w:rsidR="00B02873" w:rsidRPr="00AB27F9" w:rsidRDefault="00B02873" w:rsidP="00AB27F9">
            <w:pPr>
              <w:pStyle w:val="TablebodyleftFinancialsTables"/>
              <w:jc w:val="right"/>
              <w:rPr>
                <w:b/>
                <w:bCs/>
                <w:sz w:val="18"/>
                <w:szCs w:val="14"/>
              </w:rPr>
            </w:pPr>
          </w:p>
        </w:tc>
        <w:tc>
          <w:tcPr>
            <w:tcW w:w="1134" w:type="dxa"/>
          </w:tcPr>
          <w:p w14:paraId="5544C73F" w14:textId="77777777" w:rsidR="00B02873" w:rsidRPr="00AB27F9" w:rsidRDefault="00B02873" w:rsidP="00AB27F9">
            <w:pPr>
              <w:pStyle w:val="TablebodyleftFinancialsTables"/>
              <w:jc w:val="right"/>
              <w:rPr>
                <w:sz w:val="18"/>
                <w:szCs w:val="14"/>
              </w:rPr>
            </w:pPr>
          </w:p>
        </w:tc>
        <w:tc>
          <w:tcPr>
            <w:tcW w:w="1283" w:type="dxa"/>
          </w:tcPr>
          <w:p w14:paraId="4A9CA16A" w14:textId="77777777" w:rsidR="00B02873" w:rsidRPr="00AB27F9" w:rsidRDefault="00B02873" w:rsidP="00AB27F9">
            <w:pPr>
              <w:pStyle w:val="TablebodyleftFinancialsTables"/>
              <w:jc w:val="right"/>
              <w:rPr>
                <w:b/>
                <w:bCs/>
                <w:sz w:val="18"/>
                <w:szCs w:val="14"/>
              </w:rPr>
            </w:pPr>
          </w:p>
        </w:tc>
        <w:tc>
          <w:tcPr>
            <w:tcW w:w="1275" w:type="dxa"/>
          </w:tcPr>
          <w:p w14:paraId="75E93E10" w14:textId="77777777" w:rsidR="00B02873" w:rsidRPr="00AB27F9" w:rsidRDefault="00B02873" w:rsidP="00AB27F9">
            <w:pPr>
              <w:pStyle w:val="TablebodyleftFinancialsTables"/>
              <w:jc w:val="right"/>
              <w:rPr>
                <w:sz w:val="18"/>
                <w:szCs w:val="14"/>
              </w:rPr>
            </w:pPr>
          </w:p>
        </w:tc>
        <w:tc>
          <w:tcPr>
            <w:tcW w:w="993" w:type="dxa"/>
          </w:tcPr>
          <w:p w14:paraId="0FFEF4DC" w14:textId="77777777" w:rsidR="00B02873" w:rsidRPr="00AB27F9" w:rsidRDefault="00B02873" w:rsidP="00AB27F9">
            <w:pPr>
              <w:pStyle w:val="TablebodyleftFinancialsTables"/>
              <w:jc w:val="right"/>
              <w:rPr>
                <w:b/>
                <w:bCs/>
                <w:sz w:val="18"/>
                <w:szCs w:val="14"/>
              </w:rPr>
            </w:pPr>
          </w:p>
        </w:tc>
        <w:tc>
          <w:tcPr>
            <w:tcW w:w="993" w:type="dxa"/>
          </w:tcPr>
          <w:p w14:paraId="430457F1" w14:textId="77777777" w:rsidR="00B02873" w:rsidRPr="00AB27F9" w:rsidRDefault="00B02873" w:rsidP="00AB27F9">
            <w:pPr>
              <w:pStyle w:val="TablebodyleftFinancialsTables"/>
              <w:jc w:val="right"/>
              <w:rPr>
                <w:sz w:val="18"/>
                <w:szCs w:val="14"/>
              </w:rPr>
            </w:pPr>
          </w:p>
        </w:tc>
      </w:tr>
      <w:tr w:rsidR="00B02873" w:rsidRPr="00AB27F9" w14:paraId="2AED3D7E" w14:textId="77777777" w:rsidTr="00AB27F9">
        <w:tc>
          <w:tcPr>
            <w:tcW w:w="2823" w:type="dxa"/>
          </w:tcPr>
          <w:p w14:paraId="794A597E" w14:textId="77777777" w:rsidR="00B02873" w:rsidRPr="00AB27F9" w:rsidRDefault="00B02873" w:rsidP="00AB27F9">
            <w:pPr>
              <w:pStyle w:val="TablebodyleftFinancialsTables"/>
              <w:rPr>
                <w:sz w:val="18"/>
                <w:szCs w:val="14"/>
              </w:rPr>
            </w:pPr>
            <w:r w:rsidRPr="00AB27F9">
              <w:rPr>
                <w:sz w:val="18"/>
                <w:szCs w:val="14"/>
              </w:rPr>
              <w:t>Grants and other transfers</w:t>
            </w:r>
          </w:p>
        </w:tc>
        <w:tc>
          <w:tcPr>
            <w:tcW w:w="1134" w:type="dxa"/>
          </w:tcPr>
          <w:p w14:paraId="34582FB5" w14:textId="77777777" w:rsidR="00B02873" w:rsidRPr="00AB27F9" w:rsidRDefault="00B02873" w:rsidP="00AB27F9">
            <w:pPr>
              <w:pStyle w:val="TablebodyleftFinancialsTables"/>
              <w:jc w:val="right"/>
              <w:rPr>
                <w:b/>
                <w:bCs/>
                <w:sz w:val="18"/>
                <w:szCs w:val="14"/>
              </w:rPr>
            </w:pPr>
            <w:r w:rsidRPr="00AB27F9">
              <w:rPr>
                <w:b/>
                <w:bCs/>
                <w:sz w:val="18"/>
                <w:szCs w:val="14"/>
              </w:rPr>
              <w:t>–</w:t>
            </w:r>
          </w:p>
        </w:tc>
        <w:tc>
          <w:tcPr>
            <w:tcW w:w="1134" w:type="dxa"/>
          </w:tcPr>
          <w:p w14:paraId="362B1330" w14:textId="77777777" w:rsidR="00B02873" w:rsidRPr="00AB27F9" w:rsidRDefault="00B02873" w:rsidP="00AB27F9">
            <w:pPr>
              <w:pStyle w:val="TablebodyleftFinancialsTables"/>
              <w:jc w:val="right"/>
              <w:rPr>
                <w:sz w:val="18"/>
                <w:szCs w:val="14"/>
              </w:rPr>
            </w:pPr>
            <w:r w:rsidRPr="00AB27F9">
              <w:rPr>
                <w:sz w:val="18"/>
                <w:szCs w:val="14"/>
              </w:rPr>
              <w:t>–</w:t>
            </w:r>
          </w:p>
        </w:tc>
        <w:tc>
          <w:tcPr>
            <w:tcW w:w="1283" w:type="dxa"/>
          </w:tcPr>
          <w:p w14:paraId="2D8BE983" w14:textId="77777777" w:rsidR="00B02873" w:rsidRPr="00AB27F9" w:rsidRDefault="00B02873" w:rsidP="00AB27F9">
            <w:pPr>
              <w:pStyle w:val="TablebodyleftFinancialsTables"/>
              <w:jc w:val="right"/>
              <w:rPr>
                <w:b/>
                <w:bCs/>
                <w:sz w:val="18"/>
                <w:szCs w:val="14"/>
              </w:rPr>
            </w:pPr>
            <w:r w:rsidRPr="00AB27F9">
              <w:rPr>
                <w:b/>
                <w:bCs/>
                <w:sz w:val="18"/>
                <w:szCs w:val="14"/>
              </w:rPr>
              <w:t>–</w:t>
            </w:r>
          </w:p>
        </w:tc>
        <w:tc>
          <w:tcPr>
            <w:tcW w:w="1275" w:type="dxa"/>
          </w:tcPr>
          <w:p w14:paraId="6B8A0E98" w14:textId="77777777" w:rsidR="00B02873" w:rsidRPr="00AB27F9" w:rsidRDefault="00B02873" w:rsidP="00AB27F9">
            <w:pPr>
              <w:pStyle w:val="TablebodyleftFinancialsTables"/>
              <w:jc w:val="right"/>
              <w:rPr>
                <w:sz w:val="18"/>
                <w:szCs w:val="14"/>
              </w:rPr>
            </w:pPr>
            <w:r w:rsidRPr="00AB27F9">
              <w:rPr>
                <w:sz w:val="18"/>
                <w:szCs w:val="14"/>
              </w:rPr>
              <w:t>–</w:t>
            </w:r>
          </w:p>
        </w:tc>
        <w:tc>
          <w:tcPr>
            <w:tcW w:w="993" w:type="dxa"/>
          </w:tcPr>
          <w:p w14:paraId="2A5ECC6A" w14:textId="77777777" w:rsidR="00B02873" w:rsidRPr="00AB27F9" w:rsidRDefault="00B02873" w:rsidP="00AB27F9">
            <w:pPr>
              <w:pStyle w:val="TablebodyleftFinancialsTables"/>
              <w:jc w:val="right"/>
              <w:rPr>
                <w:b/>
                <w:bCs/>
                <w:sz w:val="18"/>
                <w:szCs w:val="14"/>
              </w:rPr>
            </w:pPr>
            <w:r w:rsidRPr="00AB27F9">
              <w:rPr>
                <w:b/>
                <w:bCs/>
                <w:sz w:val="18"/>
                <w:szCs w:val="14"/>
              </w:rPr>
              <w:t>(44,297)</w:t>
            </w:r>
          </w:p>
        </w:tc>
        <w:tc>
          <w:tcPr>
            <w:tcW w:w="993" w:type="dxa"/>
          </w:tcPr>
          <w:p w14:paraId="11D4C744" w14:textId="0E212BDA" w:rsidR="00B02873" w:rsidRPr="00AB27F9" w:rsidRDefault="00012C04" w:rsidP="00AB27F9">
            <w:pPr>
              <w:pStyle w:val="TablebodyleftFinancialsTables"/>
              <w:jc w:val="right"/>
              <w:rPr>
                <w:sz w:val="18"/>
                <w:szCs w:val="14"/>
              </w:rPr>
            </w:pPr>
            <w:r w:rsidRPr="00AB27F9">
              <w:rPr>
                <w:sz w:val="18"/>
                <w:szCs w:val="14"/>
              </w:rPr>
              <w:t xml:space="preserve"> </w:t>
            </w:r>
            <w:r w:rsidR="00B02873" w:rsidRPr="00AB27F9">
              <w:rPr>
                <w:sz w:val="18"/>
                <w:szCs w:val="14"/>
              </w:rPr>
              <w:t xml:space="preserve"> (43,252)</w:t>
            </w:r>
          </w:p>
        </w:tc>
      </w:tr>
      <w:tr w:rsidR="00B02873" w:rsidRPr="00AB27F9" w14:paraId="39EA5425" w14:textId="77777777" w:rsidTr="00AB27F9">
        <w:tc>
          <w:tcPr>
            <w:tcW w:w="2823" w:type="dxa"/>
          </w:tcPr>
          <w:p w14:paraId="6A5CD0AE" w14:textId="77777777" w:rsidR="00B02873" w:rsidRPr="00AB27F9" w:rsidRDefault="00B02873" w:rsidP="00AB27F9">
            <w:pPr>
              <w:pStyle w:val="TablebodyleftFinancialsTables"/>
              <w:rPr>
                <w:sz w:val="18"/>
                <w:szCs w:val="14"/>
              </w:rPr>
            </w:pPr>
            <w:r w:rsidRPr="00AB27F9">
              <w:rPr>
                <w:sz w:val="18"/>
                <w:szCs w:val="14"/>
              </w:rPr>
              <w:t>Victorian Desalination Project interest expense (Note 4.2.5)</w:t>
            </w:r>
          </w:p>
        </w:tc>
        <w:tc>
          <w:tcPr>
            <w:tcW w:w="1134" w:type="dxa"/>
          </w:tcPr>
          <w:p w14:paraId="05BE8F1D" w14:textId="77777777" w:rsidR="00B02873" w:rsidRPr="00AB27F9" w:rsidRDefault="00B02873" w:rsidP="00AB27F9">
            <w:pPr>
              <w:pStyle w:val="TablebodyleftFinancialsTables"/>
              <w:jc w:val="right"/>
              <w:rPr>
                <w:b/>
                <w:bCs/>
                <w:sz w:val="18"/>
                <w:szCs w:val="14"/>
              </w:rPr>
            </w:pPr>
            <w:r w:rsidRPr="00AB27F9">
              <w:rPr>
                <w:b/>
                <w:bCs/>
                <w:sz w:val="18"/>
                <w:szCs w:val="14"/>
              </w:rPr>
              <w:t>–</w:t>
            </w:r>
          </w:p>
        </w:tc>
        <w:tc>
          <w:tcPr>
            <w:tcW w:w="1134" w:type="dxa"/>
          </w:tcPr>
          <w:p w14:paraId="7A84EE39" w14:textId="77777777" w:rsidR="00B02873" w:rsidRPr="00AB27F9" w:rsidRDefault="00B02873" w:rsidP="00AB27F9">
            <w:pPr>
              <w:pStyle w:val="TablebodyleftFinancialsTables"/>
              <w:jc w:val="right"/>
              <w:rPr>
                <w:sz w:val="18"/>
                <w:szCs w:val="14"/>
              </w:rPr>
            </w:pPr>
            <w:r w:rsidRPr="00AB27F9">
              <w:rPr>
                <w:sz w:val="18"/>
                <w:szCs w:val="14"/>
              </w:rPr>
              <w:t>–</w:t>
            </w:r>
          </w:p>
        </w:tc>
        <w:tc>
          <w:tcPr>
            <w:tcW w:w="1283" w:type="dxa"/>
          </w:tcPr>
          <w:p w14:paraId="58B404BB" w14:textId="77777777" w:rsidR="00B02873" w:rsidRPr="00AB27F9" w:rsidRDefault="00B02873" w:rsidP="00AB27F9">
            <w:pPr>
              <w:pStyle w:val="TablebodyleftFinancialsTables"/>
              <w:jc w:val="right"/>
              <w:rPr>
                <w:b/>
                <w:bCs/>
                <w:sz w:val="18"/>
                <w:szCs w:val="14"/>
              </w:rPr>
            </w:pPr>
            <w:r w:rsidRPr="00AB27F9">
              <w:rPr>
                <w:b/>
                <w:bCs/>
                <w:sz w:val="18"/>
                <w:szCs w:val="14"/>
              </w:rPr>
              <w:t>–</w:t>
            </w:r>
          </w:p>
        </w:tc>
        <w:tc>
          <w:tcPr>
            <w:tcW w:w="1275" w:type="dxa"/>
          </w:tcPr>
          <w:p w14:paraId="0D2655E0" w14:textId="77777777" w:rsidR="00B02873" w:rsidRPr="00AB27F9" w:rsidRDefault="00B02873" w:rsidP="00AB27F9">
            <w:pPr>
              <w:pStyle w:val="TablebodyleftFinancialsTables"/>
              <w:jc w:val="right"/>
              <w:rPr>
                <w:sz w:val="18"/>
                <w:szCs w:val="14"/>
              </w:rPr>
            </w:pPr>
            <w:r w:rsidRPr="00AB27F9">
              <w:rPr>
                <w:sz w:val="18"/>
                <w:szCs w:val="14"/>
              </w:rPr>
              <w:t>–</w:t>
            </w:r>
          </w:p>
        </w:tc>
        <w:tc>
          <w:tcPr>
            <w:tcW w:w="993" w:type="dxa"/>
          </w:tcPr>
          <w:p w14:paraId="12B920FC" w14:textId="77777777" w:rsidR="00B02873" w:rsidRPr="00AB27F9" w:rsidRDefault="00B02873" w:rsidP="00AB27F9">
            <w:pPr>
              <w:pStyle w:val="TablebodyleftFinancialsTables"/>
              <w:jc w:val="right"/>
              <w:rPr>
                <w:b/>
                <w:bCs/>
                <w:sz w:val="18"/>
                <w:szCs w:val="14"/>
              </w:rPr>
            </w:pPr>
            <w:r w:rsidRPr="00AB27F9">
              <w:rPr>
                <w:b/>
                <w:bCs/>
                <w:sz w:val="18"/>
                <w:szCs w:val="14"/>
              </w:rPr>
              <w:t>–</w:t>
            </w:r>
          </w:p>
        </w:tc>
        <w:tc>
          <w:tcPr>
            <w:tcW w:w="993" w:type="dxa"/>
          </w:tcPr>
          <w:p w14:paraId="63331646" w14:textId="77777777" w:rsidR="00B02873" w:rsidRPr="00AB27F9" w:rsidRDefault="00B02873" w:rsidP="00AB27F9">
            <w:pPr>
              <w:pStyle w:val="TablebodyleftFinancialsTables"/>
              <w:jc w:val="right"/>
              <w:rPr>
                <w:sz w:val="18"/>
                <w:szCs w:val="14"/>
              </w:rPr>
            </w:pPr>
            <w:r w:rsidRPr="00AB27F9">
              <w:rPr>
                <w:sz w:val="18"/>
                <w:szCs w:val="14"/>
              </w:rPr>
              <w:t>–</w:t>
            </w:r>
          </w:p>
        </w:tc>
      </w:tr>
      <w:tr w:rsidR="00B02873" w:rsidRPr="00AB27F9" w14:paraId="35B4ABAA" w14:textId="77777777" w:rsidTr="00AB27F9">
        <w:tc>
          <w:tcPr>
            <w:tcW w:w="2823" w:type="dxa"/>
          </w:tcPr>
          <w:p w14:paraId="6DAAEBAD" w14:textId="77777777" w:rsidR="00B02873" w:rsidRPr="00AB27F9" w:rsidRDefault="00B02873" w:rsidP="00AB27F9">
            <w:pPr>
              <w:pStyle w:val="TablebodyleftFinancialsTables"/>
              <w:rPr>
                <w:sz w:val="18"/>
                <w:szCs w:val="14"/>
              </w:rPr>
            </w:pPr>
            <w:r w:rsidRPr="00AB27F9">
              <w:rPr>
                <w:sz w:val="18"/>
                <w:szCs w:val="14"/>
              </w:rPr>
              <w:t>Other expenses</w:t>
            </w:r>
          </w:p>
        </w:tc>
        <w:tc>
          <w:tcPr>
            <w:tcW w:w="1134" w:type="dxa"/>
          </w:tcPr>
          <w:p w14:paraId="51203CB0" w14:textId="77777777" w:rsidR="00B02873" w:rsidRPr="00AB27F9" w:rsidRDefault="00B02873" w:rsidP="00AB27F9">
            <w:pPr>
              <w:pStyle w:val="TablebodyleftFinancialsTables"/>
              <w:jc w:val="right"/>
              <w:rPr>
                <w:b/>
                <w:bCs/>
                <w:sz w:val="18"/>
                <w:szCs w:val="14"/>
              </w:rPr>
            </w:pPr>
            <w:r w:rsidRPr="00AB27F9">
              <w:rPr>
                <w:b/>
                <w:bCs/>
                <w:sz w:val="18"/>
                <w:szCs w:val="14"/>
              </w:rPr>
              <w:t>(67)</w:t>
            </w:r>
          </w:p>
        </w:tc>
        <w:tc>
          <w:tcPr>
            <w:tcW w:w="1134" w:type="dxa"/>
          </w:tcPr>
          <w:p w14:paraId="5CC51B0E" w14:textId="77777777" w:rsidR="00B02873" w:rsidRPr="00AB27F9" w:rsidRDefault="00B02873" w:rsidP="00AB27F9">
            <w:pPr>
              <w:pStyle w:val="TablebodyleftFinancialsTables"/>
              <w:jc w:val="right"/>
              <w:rPr>
                <w:sz w:val="18"/>
                <w:szCs w:val="14"/>
              </w:rPr>
            </w:pPr>
            <w:r w:rsidRPr="00AB27F9">
              <w:rPr>
                <w:sz w:val="18"/>
                <w:szCs w:val="14"/>
              </w:rPr>
              <w:t>–</w:t>
            </w:r>
          </w:p>
        </w:tc>
        <w:tc>
          <w:tcPr>
            <w:tcW w:w="1283" w:type="dxa"/>
          </w:tcPr>
          <w:p w14:paraId="10ABD03D" w14:textId="77777777" w:rsidR="00B02873" w:rsidRPr="00AB27F9" w:rsidRDefault="00B02873" w:rsidP="00AB27F9">
            <w:pPr>
              <w:pStyle w:val="TablebodyleftFinancialsTables"/>
              <w:jc w:val="right"/>
              <w:rPr>
                <w:b/>
                <w:bCs/>
                <w:sz w:val="18"/>
                <w:szCs w:val="14"/>
              </w:rPr>
            </w:pPr>
            <w:r w:rsidRPr="00AB27F9">
              <w:rPr>
                <w:b/>
                <w:bCs/>
                <w:sz w:val="18"/>
                <w:szCs w:val="14"/>
              </w:rPr>
              <w:t>(35)</w:t>
            </w:r>
          </w:p>
        </w:tc>
        <w:tc>
          <w:tcPr>
            <w:tcW w:w="1275" w:type="dxa"/>
          </w:tcPr>
          <w:p w14:paraId="2A607A12" w14:textId="77777777" w:rsidR="00B02873" w:rsidRPr="00AB27F9" w:rsidRDefault="00B02873" w:rsidP="00AB27F9">
            <w:pPr>
              <w:pStyle w:val="TablebodyleftFinancialsTables"/>
              <w:jc w:val="right"/>
              <w:rPr>
                <w:sz w:val="18"/>
                <w:szCs w:val="14"/>
              </w:rPr>
            </w:pPr>
            <w:r w:rsidRPr="00AB27F9">
              <w:rPr>
                <w:sz w:val="18"/>
                <w:szCs w:val="14"/>
              </w:rPr>
              <w:t>–</w:t>
            </w:r>
          </w:p>
        </w:tc>
        <w:tc>
          <w:tcPr>
            <w:tcW w:w="993" w:type="dxa"/>
          </w:tcPr>
          <w:p w14:paraId="5237CA12" w14:textId="5BA8E4AC" w:rsidR="00B02873" w:rsidRPr="00AB27F9" w:rsidRDefault="00B02873" w:rsidP="00AB27F9">
            <w:pPr>
              <w:pStyle w:val="TablebodyleftFinancialsTables"/>
              <w:jc w:val="right"/>
              <w:rPr>
                <w:b/>
                <w:bCs/>
                <w:sz w:val="18"/>
                <w:szCs w:val="14"/>
              </w:rPr>
            </w:pPr>
            <w:r w:rsidRPr="00AB27F9">
              <w:rPr>
                <w:b/>
                <w:bCs/>
                <w:sz w:val="18"/>
                <w:szCs w:val="14"/>
              </w:rPr>
              <w:t>(22)</w:t>
            </w:r>
          </w:p>
        </w:tc>
        <w:tc>
          <w:tcPr>
            <w:tcW w:w="993" w:type="dxa"/>
          </w:tcPr>
          <w:p w14:paraId="415003F5" w14:textId="77777777" w:rsidR="00B02873" w:rsidRPr="00AB27F9" w:rsidRDefault="00B02873" w:rsidP="00AB27F9">
            <w:pPr>
              <w:pStyle w:val="TablebodyleftFinancialsTables"/>
              <w:jc w:val="right"/>
              <w:rPr>
                <w:sz w:val="18"/>
                <w:szCs w:val="14"/>
              </w:rPr>
            </w:pPr>
            <w:r w:rsidRPr="00AB27F9">
              <w:rPr>
                <w:sz w:val="18"/>
                <w:szCs w:val="14"/>
              </w:rPr>
              <w:t>21</w:t>
            </w:r>
          </w:p>
        </w:tc>
      </w:tr>
      <w:tr w:rsidR="00B02873" w:rsidRPr="00AB27F9" w14:paraId="7EE05AF4" w14:textId="77777777" w:rsidTr="00AB27F9">
        <w:tc>
          <w:tcPr>
            <w:tcW w:w="2823" w:type="dxa"/>
          </w:tcPr>
          <w:p w14:paraId="6F2A748B" w14:textId="77777777" w:rsidR="00B02873" w:rsidRPr="00AB27F9" w:rsidRDefault="00B02873" w:rsidP="00AB27F9">
            <w:pPr>
              <w:pStyle w:val="TablebodyleftFinancialsTables"/>
              <w:rPr>
                <w:sz w:val="18"/>
                <w:szCs w:val="14"/>
              </w:rPr>
            </w:pPr>
            <w:r w:rsidRPr="00AB27F9">
              <w:rPr>
                <w:spacing w:val="-2"/>
                <w:sz w:val="18"/>
                <w:szCs w:val="14"/>
              </w:rPr>
              <w:t xml:space="preserve">Depreciation and amortisation </w:t>
            </w:r>
            <w:r w:rsidRPr="00AB27F9">
              <w:rPr>
                <w:spacing w:val="-2"/>
                <w:sz w:val="18"/>
                <w:szCs w:val="14"/>
                <w:vertAlign w:val="superscript"/>
              </w:rPr>
              <w:t>(ii)</w:t>
            </w:r>
          </w:p>
        </w:tc>
        <w:tc>
          <w:tcPr>
            <w:tcW w:w="1134" w:type="dxa"/>
          </w:tcPr>
          <w:p w14:paraId="4AC5E5E4" w14:textId="77777777" w:rsidR="00B02873" w:rsidRPr="00AB27F9" w:rsidRDefault="00B02873" w:rsidP="00AB27F9">
            <w:pPr>
              <w:pStyle w:val="TablebodyleftFinancialsTables"/>
              <w:jc w:val="right"/>
              <w:rPr>
                <w:b/>
                <w:bCs/>
                <w:sz w:val="18"/>
                <w:szCs w:val="14"/>
              </w:rPr>
            </w:pPr>
            <w:r w:rsidRPr="00AB27F9">
              <w:rPr>
                <w:b/>
                <w:bCs/>
                <w:sz w:val="18"/>
                <w:szCs w:val="14"/>
              </w:rPr>
              <w:t>–</w:t>
            </w:r>
          </w:p>
        </w:tc>
        <w:tc>
          <w:tcPr>
            <w:tcW w:w="1134" w:type="dxa"/>
          </w:tcPr>
          <w:p w14:paraId="25113D29" w14:textId="77777777" w:rsidR="00B02873" w:rsidRPr="00AB27F9" w:rsidRDefault="00B02873" w:rsidP="00AB27F9">
            <w:pPr>
              <w:pStyle w:val="TablebodyleftFinancialsTables"/>
              <w:jc w:val="right"/>
              <w:rPr>
                <w:sz w:val="18"/>
                <w:szCs w:val="14"/>
              </w:rPr>
            </w:pPr>
            <w:r w:rsidRPr="00AB27F9">
              <w:rPr>
                <w:sz w:val="18"/>
                <w:szCs w:val="14"/>
              </w:rPr>
              <w:t>–</w:t>
            </w:r>
          </w:p>
        </w:tc>
        <w:tc>
          <w:tcPr>
            <w:tcW w:w="1283" w:type="dxa"/>
          </w:tcPr>
          <w:p w14:paraId="216425DD" w14:textId="77777777" w:rsidR="00B02873" w:rsidRPr="00AB27F9" w:rsidRDefault="00B02873" w:rsidP="00AB27F9">
            <w:pPr>
              <w:pStyle w:val="TablebodyleftFinancialsTables"/>
              <w:jc w:val="right"/>
              <w:rPr>
                <w:b/>
                <w:bCs/>
                <w:sz w:val="18"/>
                <w:szCs w:val="14"/>
              </w:rPr>
            </w:pPr>
            <w:r w:rsidRPr="00AB27F9">
              <w:rPr>
                <w:b/>
                <w:bCs/>
                <w:sz w:val="18"/>
                <w:szCs w:val="14"/>
              </w:rPr>
              <w:t>–</w:t>
            </w:r>
          </w:p>
        </w:tc>
        <w:tc>
          <w:tcPr>
            <w:tcW w:w="1275" w:type="dxa"/>
          </w:tcPr>
          <w:p w14:paraId="1A0D4C34" w14:textId="77777777" w:rsidR="00B02873" w:rsidRPr="00AB27F9" w:rsidRDefault="00B02873" w:rsidP="00AB27F9">
            <w:pPr>
              <w:pStyle w:val="TablebodyleftFinancialsTables"/>
              <w:jc w:val="right"/>
              <w:rPr>
                <w:sz w:val="18"/>
                <w:szCs w:val="14"/>
              </w:rPr>
            </w:pPr>
            <w:r w:rsidRPr="00AB27F9">
              <w:rPr>
                <w:sz w:val="18"/>
                <w:szCs w:val="14"/>
              </w:rPr>
              <w:t>–</w:t>
            </w:r>
          </w:p>
        </w:tc>
        <w:tc>
          <w:tcPr>
            <w:tcW w:w="993" w:type="dxa"/>
          </w:tcPr>
          <w:p w14:paraId="0B313438" w14:textId="77777777" w:rsidR="00B02873" w:rsidRPr="00AB27F9" w:rsidRDefault="00B02873" w:rsidP="00AB27F9">
            <w:pPr>
              <w:pStyle w:val="TablebodyleftFinancialsTables"/>
              <w:jc w:val="right"/>
              <w:rPr>
                <w:b/>
                <w:bCs/>
                <w:sz w:val="18"/>
                <w:szCs w:val="14"/>
              </w:rPr>
            </w:pPr>
            <w:r w:rsidRPr="00AB27F9">
              <w:rPr>
                <w:b/>
                <w:bCs/>
                <w:sz w:val="18"/>
                <w:szCs w:val="14"/>
              </w:rPr>
              <w:t>(3,748)</w:t>
            </w:r>
          </w:p>
        </w:tc>
        <w:tc>
          <w:tcPr>
            <w:tcW w:w="993" w:type="dxa"/>
          </w:tcPr>
          <w:p w14:paraId="79AD0D33" w14:textId="77777777" w:rsidR="00B02873" w:rsidRPr="00AB27F9" w:rsidRDefault="00B02873" w:rsidP="00AB27F9">
            <w:pPr>
              <w:pStyle w:val="TablebodyleftFinancialsTables"/>
              <w:jc w:val="right"/>
              <w:rPr>
                <w:sz w:val="18"/>
                <w:szCs w:val="14"/>
              </w:rPr>
            </w:pPr>
            <w:r w:rsidRPr="00AB27F9">
              <w:rPr>
                <w:sz w:val="18"/>
                <w:szCs w:val="14"/>
              </w:rPr>
              <w:t>(3,329)</w:t>
            </w:r>
          </w:p>
        </w:tc>
      </w:tr>
      <w:tr w:rsidR="00B02873" w:rsidRPr="00AB27F9" w14:paraId="24986DD2" w14:textId="77777777" w:rsidTr="00AB27F9">
        <w:tc>
          <w:tcPr>
            <w:tcW w:w="2823" w:type="dxa"/>
          </w:tcPr>
          <w:p w14:paraId="000E458B" w14:textId="77777777" w:rsidR="00B02873" w:rsidRPr="00AB27F9" w:rsidRDefault="00B02873" w:rsidP="00AB27F9">
            <w:pPr>
              <w:pStyle w:val="TablebodyleftFinancialsTables"/>
              <w:rPr>
                <w:sz w:val="18"/>
                <w:szCs w:val="14"/>
              </w:rPr>
            </w:pPr>
            <w:r w:rsidRPr="00AB27F9">
              <w:rPr>
                <w:sz w:val="18"/>
                <w:szCs w:val="14"/>
              </w:rPr>
              <w:t>Payments into the consolidated fund</w:t>
            </w:r>
          </w:p>
        </w:tc>
        <w:tc>
          <w:tcPr>
            <w:tcW w:w="1134" w:type="dxa"/>
          </w:tcPr>
          <w:p w14:paraId="3E8EA58F" w14:textId="77777777" w:rsidR="00B02873" w:rsidRPr="00AB27F9" w:rsidRDefault="00B02873" w:rsidP="00AB27F9">
            <w:pPr>
              <w:pStyle w:val="TablebodyleftFinancialsTables"/>
              <w:jc w:val="right"/>
              <w:rPr>
                <w:b/>
                <w:bCs/>
                <w:sz w:val="18"/>
                <w:szCs w:val="14"/>
              </w:rPr>
            </w:pPr>
            <w:r w:rsidRPr="00AB27F9">
              <w:rPr>
                <w:b/>
                <w:bCs/>
                <w:sz w:val="18"/>
                <w:szCs w:val="14"/>
              </w:rPr>
              <w:t>(7,467)</w:t>
            </w:r>
          </w:p>
        </w:tc>
        <w:tc>
          <w:tcPr>
            <w:tcW w:w="1134" w:type="dxa"/>
          </w:tcPr>
          <w:p w14:paraId="01724468" w14:textId="77777777" w:rsidR="00B02873" w:rsidRPr="00AB27F9" w:rsidRDefault="00B02873" w:rsidP="00AB27F9">
            <w:pPr>
              <w:pStyle w:val="TablebodyleftFinancialsTables"/>
              <w:jc w:val="right"/>
              <w:rPr>
                <w:sz w:val="18"/>
                <w:szCs w:val="14"/>
              </w:rPr>
            </w:pPr>
            <w:r w:rsidRPr="00AB27F9">
              <w:rPr>
                <w:sz w:val="18"/>
                <w:szCs w:val="14"/>
              </w:rPr>
              <w:t>(2,832)</w:t>
            </w:r>
          </w:p>
        </w:tc>
        <w:tc>
          <w:tcPr>
            <w:tcW w:w="1283" w:type="dxa"/>
          </w:tcPr>
          <w:p w14:paraId="17B708A6" w14:textId="77777777" w:rsidR="00B02873" w:rsidRPr="00AB27F9" w:rsidRDefault="00B02873" w:rsidP="00AB27F9">
            <w:pPr>
              <w:pStyle w:val="TablebodyleftFinancialsTables"/>
              <w:jc w:val="right"/>
              <w:rPr>
                <w:b/>
                <w:bCs/>
                <w:sz w:val="18"/>
                <w:szCs w:val="14"/>
              </w:rPr>
            </w:pPr>
            <w:r w:rsidRPr="00AB27F9">
              <w:rPr>
                <w:b/>
                <w:bCs/>
                <w:sz w:val="18"/>
                <w:szCs w:val="14"/>
              </w:rPr>
              <w:t>(2,988)</w:t>
            </w:r>
          </w:p>
        </w:tc>
        <w:tc>
          <w:tcPr>
            <w:tcW w:w="1275" w:type="dxa"/>
          </w:tcPr>
          <w:p w14:paraId="63D38AFD" w14:textId="77777777" w:rsidR="00B02873" w:rsidRPr="00AB27F9" w:rsidRDefault="00B02873" w:rsidP="00AB27F9">
            <w:pPr>
              <w:pStyle w:val="TablebodyleftFinancialsTables"/>
              <w:jc w:val="right"/>
              <w:rPr>
                <w:sz w:val="18"/>
                <w:szCs w:val="14"/>
              </w:rPr>
            </w:pPr>
            <w:r w:rsidRPr="00AB27F9">
              <w:rPr>
                <w:sz w:val="18"/>
                <w:szCs w:val="14"/>
              </w:rPr>
              <w:t xml:space="preserve">(81) </w:t>
            </w:r>
          </w:p>
        </w:tc>
        <w:tc>
          <w:tcPr>
            <w:tcW w:w="993" w:type="dxa"/>
          </w:tcPr>
          <w:p w14:paraId="45880A94" w14:textId="77777777" w:rsidR="00B02873" w:rsidRPr="00AB27F9" w:rsidRDefault="00B02873" w:rsidP="00AB27F9">
            <w:pPr>
              <w:pStyle w:val="TablebodyleftFinancialsTables"/>
              <w:jc w:val="right"/>
              <w:rPr>
                <w:b/>
                <w:bCs/>
                <w:sz w:val="18"/>
                <w:szCs w:val="14"/>
              </w:rPr>
            </w:pPr>
            <w:r w:rsidRPr="00AB27F9">
              <w:rPr>
                <w:b/>
                <w:bCs/>
                <w:sz w:val="18"/>
                <w:szCs w:val="14"/>
              </w:rPr>
              <w:t>(473,036)</w:t>
            </w:r>
          </w:p>
        </w:tc>
        <w:tc>
          <w:tcPr>
            <w:tcW w:w="993" w:type="dxa"/>
          </w:tcPr>
          <w:p w14:paraId="0F0A98E6" w14:textId="77777777" w:rsidR="00B02873" w:rsidRPr="00AB27F9" w:rsidRDefault="00B02873" w:rsidP="00AB27F9">
            <w:pPr>
              <w:pStyle w:val="TablebodyleftFinancialsTables"/>
              <w:jc w:val="right"/>
              <w:rPr>
                <w:sz w:val="18"/>
                <w:szCs w:val="14"/>
              </w:rPr>
            </w:pPr>
            <w:r w:rsidRPr="00AB27F9">
              <w:rPr>
                <w:sz w:val="18"/>
                <w:szCs w:val="14"/>
              </w:rPr>
              <w:t xml:space="preserve">(423,787) </w:t>
            </w:r>
          </w:p>
        </w:tc>
      </w:tr>
      <w:tr w:rsidR="00B02873" w:rsidRPr="00AB27F9" w14:paraId="22C55F8C" w14:textId="77777777" w:rsidTr="00AB27F9">
        <w:tc>
          <w:tcPr>
            <w:tcW w:w="2823" w:type="dxa"/>
          </w:tcPr>
          <w:p w14:paraId="06B9E8F6" w14:textId="77777777" w:rsidR="00B02873" w:rsidRPr="00AB27F9" w:rsidRDefault="00B02873" w:rsidP="00AB27F9">
            <w:pPr>
              <w:pStyle w:val="TablebodyleftFinancialsTables"/>
              <w:rPr>
                <w:b/>
                <w:bCs/>
                <w:sz w:val="18"/>
                <w:szCs w:val="14"/>
              </w:rPr>
            </w:pPr>
            <w:r w:rsidRPr="00AB27F9">
              <w:rPr>
                <w:b/>
                <w:bCs/>
                <w:sz w:val="18"/>
                <w:szCs w:val="14"/>
              </w:rPr>
              <w:t>Total administered expenses from transactions</w:t>
            </w:r>
          </w:p>
        </w:tc>
        <w:tc>
          <w:tcPr>
            <w:tcW w:w="1134" w:type="dxa"/>
          </w:tcPr>
          <w:p w14:paraId="252AC66A" w14:textId="77777777" w:rsidR="00B02873" w:rsidRPr="00AB27F9" w:rsidRDefault="00B02873" w:rsidP="00AB27F9">
            <w:pPr>
              <w:pStyle w:val="TablebodyleftFinancialsTables"/>
              <w:jc w:val="right"/>
              <w:rPr>
                <w:b/>
                <w:bCs/>
                <w:sz w:val="18"/>
                <w:szCs w:val="14"/>
              </w:rPr>
            </w:pPr>
            <w:r w:rsidRPr="00AB27F9">
              <w:rPr>
                <w:b/>
                <w:bCs/>
                <w:sz w:val="18"/>
                <w:szCs w:val="14"/>
              </w:rPr>
              <w:t>(7,534)</w:t>
            </w:r>
          </w:p>
        </w:tc>
        <w:tc>
          <w:tcPr>
            <w:tcW w:w="1134" w:type="dxa"/>
          </w:tcPr>
          <w:p w14:paraId="750A87F4" w14:textId="77777777" w:rsidR="00B02873" w:rsidRPr="00AB27F9" w:rsidRDefault="00B02873" w:rsidP="00AB27F9">
            <w:pPr>
              <w:pStyle w:val="TablebodyleftFinancialsTables"/>
              <w:jc w:val="right"/>
              <w:rPr>
                <w:sz w:val="18"/>
                <w:szCs w:val="14"/>
              </w:rPr>
            </w:pPr>
            <w:r w:rsidRPr="00AB27F9">
              <w:rPr>
                <w:sz w:val="18"/>
                <w:szCs w:val="14"/>
              </w:rPr>
              <w:t>(2,832)</w:t>
            </w:r>
          </w:p>
        </w:tc>
        <w:tc>
          <w:tcPr>
            <w:tcW w:w="1283" w:type="dxa"/>
          </w:tcPr>
          <w:p w14:paraId="300E855E" w14:textId="77777777" w:rsidR="00B02873" w:rsidRPr="00AB27F9" w:rsidRDefault="00B02873" w:rsidP="00AB27F9">
            <w:pPr>
              <w:pStyle w:val="TablebodyleftFinancialsTables"/>
              <w:jc w:val="right"/>
              <w:rPr>
                <w:b/>
                <w:bCs/>
                <w:sz w:val="18"/>
                <w:szCs w:val="14"/>
              </w:rPr>
            </w:pPr>
            <w:r w:rsidRPr="00AB27F9">
              <w:rPr>
                <w:b/>
                <w:bCs/>
                <w:sz w:val="18"/>
                <w:szCs w:val="14"/>
              </w:rPr>
              <w:t>(3,023)</w:t>
            </w:r>
          </w:p>
        </w:tc>
        <w:tc>
          <w:tcPr>
            <w:tcW w:w="1275" w:type="dxa"/>
          </w:tcPr>
          <w:p w14:paraId="381F2604" w14:textId="77777777" w:rsidR="00B02873" w:rsidRPr="00AB27F9" w:rsidRDefault="00B02873" w:rsidP="00AB27F9">
            <w:pPr>
              <w:pStyle w:val="TablebodyleftFinancialsTables"/>
              <w:jc w:val="right"/>
              <w:rPr>
                <w:sz w:val="18"/>
                <w:szCs w:val="14"/>
              </w:rPr>
            </w:pPr>
            <w:r w:rsidRPr="00AB27F9">
              <w:rPr>
                <w:sz w:val="18"/>
                <w:szCs w:val="14"/>
              </w:rPr>
              <w:t xml:space="preserve">(81) </w:t>
            </w:r>
          </w:p>
        </w:tc>
        <w:tc>
          <w:tcPr>
            <w:tcW w:w="993" w:type="dxa"/>
          </w:tcPr>
          <w:p w14:paraId="1E022A24" w14:textId="77777777" w:rsidR="00B02873" w:rsidRPr="00AB27F9" w:rsidRDefault="00B02873" w:rsidP="00AB27F9">
            <w:pPr>
              <w:pStyle w:val="TablebodyleftFinancialsTables"/>
              <w:jc w:val="right"/>
              <w:rPr>
                <w:b/>
                <w:bCs/>
                <w:sz w:val="18"/>
                <w:szCs w:val="14"/>
              </w:rPr>
            </w:pPr>
            <w:r w:rsidRPr="00AB27F9">
              <w:rPr>
                <w:b/>
                <w:bCs/>
                <w:sz w:val="18"/>
                <w:szCs w:val="14"/>
              </w:rPr>
              <w:t>(521,103)</w:t>
            </w:r>
          </w:p>
        </w:tc>
        <w:tc>
          <w:tcPr>
            <w:tcW w:w="993" w:type="dxa"/>
          </w:tcPr>
          <w:p w14:paraId="541773E1" w14:textId="77777777" w:rsidR="00B02873" w:rsidRPr="00AB27F9" w:rsidRDefault="00B02873" w:rsidP="00AB27F9">
            <w:pPr>
              <w:pStyle w:val="TablebodyleftFinancialsTables"/>
              <w:jc w:val="right"/>
              <w:rPr>
                <w:sz w:val="18"/>
                <w:szCs w:val="14"/>
              </w:rPr>
            </w:pPr>
            <w:r w:rsidRPr="00AB27F9">
              <w:rPr>
                <w:sz w:val="18"/>
                <w:szCs w:val="14"/>
              </w:rPr>
              <w:t xml:space="preserve">(470,347) </w:t>
            </w:r>
          </w:p>
        </w:tc>
      </w:tr>
      <w:tr w:rsidR="00B02873" w:rsidRPr="00AB27F9" w14:paraId="6017D4B3" w14:textId="77777777" w:rsidTr="00AB27F9">
        <w:tc>
          <w:tcPr>
            <w:tcW w:w="2823" w:type="dxa"/>
          </w:tcPr>
          <w:p w14:paraId="08EF4B6A" w14:textId="597E1EBE" w:rsidR="00B02873" w:rsidRPr="00AB27F9" w:rsidRDefault="00B02873" w:rsidP="00AB27F9">
            <w:pPr>
              <w:pStyle w:val="TablebodyleftFinancialsTables"/>
              <w:rPr>
                <w:b/>
                <w:bCs/>
                <w:sz w:val="18"/>
                <w:szCs w:val="14"/>
              </w:rPr>
            </w:pPr>
            <w:r w:rsidRPr="00AB27F9">
              <w:rPr>
                <w:b/>
                <w:bCs/>
                <w:sz w:val="18"/>
                <w:szCs w:val="14"/>
              </w:rPr>
              <w:t>Total administered net result from transactions (net operating balance)</w:t>
            </w:r>
          </w:p>
        </w:tc>
        <w:tc>
          <w:tcPr>
            <w:tcW w:w="1134" w:type="dxa"/>
          </w:tcPr>
          <w:p w14:paraId="5F2CD4E8" w14:textId="77777777" w:rsidR="00B02873" w:rsidRPr="00AB27F9" w:rsidRDefault="00B02873" w:rsidP="00AB27F9">
            <w:pPr>
              <w:pStyle w:val="TablebodyleftFinancialsTables"/>
              <w:jc w:val="right"/>
              <w:rPr>
                <w:b/>
                <w:bCs/>
                <w:sz w:val="18"/>
                <w:szCs w:val="14"/>
              </w:rPr>
            </w:pPr>
            <w:r w:rsidRPr="00AB27F9">
              <w:rPr>
                <w:b/>
                <w:bCs/>
                <w:sz w:val="18"/>
                <w:szCs w:val="14"/>
              </w:rPr>
              <w:t>(4,819)</w:t>
            </w:r>
          </w:p>
        </w:tc>
        <w:tc>
          <w:tcPr>
            <w:tcW w:w="1134" w:type="dxa"/>
          </w:tcPr>
          <w:p w14:paraId="55F0B959" w14:textId="77777777" w:rsidR="00B02873" w:rsidRPr="00AB27F9" w:rsidRDefault="00B02873" w:rsidP="00AB27F9">
            <w:pPr>
              <w:pStyle w:val="TablebodyleftFinancialsTables"/>
              <w:jc w:val="right"/>
              <w:rPr>
                <w:sz w:val="18"/>
                <w:szCs w:val="14"/>
              </w:rPr>
            </w:pPr>
            <w:r w:rsidRPr="00AB27F9">
              <w:rPr>
                <w:sz w:val="18"/>
                <w:szCs w:val="14"/>
              </w:rPr>
              <w:t>46</w:t>
            </w:r>
          </w:p>
        </w:tc>
        <w:tc>
          <w:tcPr>
            <w:tcW w:w="1283" w:type="dxa"/>
          </w:tcPr>
          <w:p w14:paraId="0F0368D9" w14:textId="03A3ADEB" w:rsidR="00B02873" w:rsidRPr="00AB27F9" w:rsidRDefault="00012C04" w:rsidP="00AB27F9">
            <w:pPr>
              <w:pStyle w:val="TablebodyleftFinancialsTables"/>
              <w:jc w:val="right"/>
              <w:rPr>
                <w:b/>
                <w:bCs/>
                <w:sz w:val="18"/>
                <w:szCs w:val="14"/>
              </w:rPr>
            </w:pPr>
            <w:r w:rsidRPr="00AB27F9">
              <w:rPr>
                <w:b/>
                <w:bCs/>
                <w:sz w:val="18"/>
                <w:szCs w:val="14"/>
              </w:rPr>
              <w:t xml:space="preserve"> </w:t>
            </w:r>
            <w:r w:rsidR="00B02873" w:rsidRPr="00AB27F9">
              <w:rPr>
                <w:b/>
                <w:bCs/>
                <w:sz w:val="18"/>
                <w:szCs w:val="14"/>
              </w:rPr>
              <w:t>44</w:t>
            </w:r>
          </w:p>
        </w:tc>
        <w:tc>
          <w:tcPr>
            <w:tcW w:w="1275" w:type="dxa"/>
          </w:tcPr>
          <w:p w14:paraId="10D9F453" w14:textId="77777777" w:rsidR="00B02873" w:rsidRPr="00AB27F9" w:rsidRDefault="00B02873" w:rsidP="00AB27F9">
            <w:pPr>
              <w:pStyle w:val="TablebodyleftFinancialsTables"/>
              <w:jc w:val="right"/>
              <w:rPr>
                <w:sz w:val="18"/>
                <w:szCs w:val="14"/>
              </w:rPr>
            </w:pPr>
            <w:r w:rsidRPr="00AB27F9">
              <w:rPr>
                <w:sz w:val="18"/>
                <w:szCs w:val="14"/>
              </w:rPr>
              <w:t>47</w:t>
            </w:r>
          </w:p>
        </w:tc>
        <w:tc>
          <w:tcPr>
            <w:tcW w:w="993" w:type="dxa"/>
          </w:tcPr>
          <w:p w14:paraId="147EBD11" w14:textId="77777777" w:rsidR="00B02873" w:rsidRPr="00AB27F9" w:rsidRDefault="00B02873" w:rsidP="00AB27F9">
            <w:pPr>
              <w:pStyle w:val="TablebodyleftFinancialsTables"/>
              <w:jc w:val="right"/>
              <w:rPr>
                <w:b/>
                <w:bCs/>
                <w:sz w:val="18"/>
                <w:szCs w:val="14"/>
              </w:rPr>
            </w:pPr>
            <w:r w:rsidRPr="00AB27F9">
              <w:rPr>
                <w:b/>
                <w:bCs/>
                <w:sz w:val="18"/>
                <w:szCs w:val="14"/>
              </w:rPr>
              <w:t>118,891</w:t>
            </w:r>
          </w:p>
        </w:tc>
        <w:tc>
          <w:tcPr>
            <w:tcW w:w="993" w:type="dxa"/>
          </w:tcPr>
          <w:p w14:paraId="5D27EF65" w14:textId="77777777" w:rsidR="00B02873" w:rsidRPr="00AB27F9" w:rsidRDefault="00B02873" w:rsidP="00AB27F9">
            <w:pPr>
              <w:pStyle w:val="TablebodyleftFinancialsTables"/>
              <w:jc w:val="right"/>
              <w:rPr>
                <w:sz w:val="18"/>
                <w:szCs w:val="14"/>
              </w:rPr>
            </w:pPr>
            <w:r w:rsidRPr="00AB27F9">
              <w:rPr>
                <w:sz w:val="18"/>
                <w:szCs w:val="14"/>
              </w:rPr>
              <w:t xml:space="preserve">73,266 </w:t>
            </w:r>
          </w:p>
        </w:tc>
      </w:tr>
      <w:tr w:rsidR="00B02873" w:rsidRPr="00AB27F9" w14:paraId="2370F902" w14:textId="77777777" w:rsidTr="00AB27F9">
        <w:tc>
          <w:tcPr>
            <w:tcW w:w="2823" w:type="dxa"/>
          </w:tcPr>
          <w:p w14:paraId="0D47BD28" w14:textId="77777777" w:rsidR="00B02873" w:rsidRPr="00AB27F9" w:rsidRDefault="00B02873" w:rsidP="00AB27F9">
            <w:pPr>
              <w:pStyle w:val="TablebodyleftFinancialsTables"/>
              <w:rPr>
                <w:b/>
                <w:bCs/>
                <w:sz w:val="18"/>
                <w:szCs w:val="14"/>
              </w:rPr>
            </w:pPr>
            <w:r w:rsidRPr="00AB27F9">
              <w:rPr>
                <w:b/>
                <w:bCs/>
                <w:sz w:val="18"/>
                <w:szCs w:val="14"/>
              </w:rPr>
              <w:t>Administered other economic flows included in net result</w:t>
            </w:r>
          </w:p>
        </w:tc>
        <w:tc>
          <w:tcPr>
            <w:tcW w:w="1134" w:type="dxa"/>
          </w:tcPr>
          <w:p w14:paraId="1430711D" w14:textId="77777777" w:rsidR="00B02873" w:rsidRPr="00AB27F9" w:rsidRDefault="00B02873" w:rsidP="00AB27F9">
            <w:pPr>
              <w:pStyle w:val="TablebodyleftFinancialsTables"/>
              <w:jc w:val="right"/>
              <w:rPr>
                <w:b/>
                <w:bCs/>
                <w:sz w:val="18"/>
                <w:szCs w:val="14"/>
              </w:rPr>
            </w:pPr>
          </w:p>
        </w:tc>
        <w:tc>
          <w:tcPr>
            <w:tcW w:w="1134" w:type="dxa"/>
          </w:tcPr>
          <w:p w14:paraId="21702740" w14:textId="77777777" w:rsidR="00B02873" w:rsidRPr="00AB27F9" w:rsidRDefault="00B02873" w:rsidP="00AB27F9">
            <w:pPr>
              <w:pStyle w:val="TablebodyleftFinancialsTables"/>
              <w:jc w:val="right"/>
              <w:rPr>
                <w:sz w:val="18"/>
                <w:szCs w:val="14"/>
              </w:rPr>
            </w:pPr>
          </w:p>
        </w:tc>
        <w:tc>
          <w:tcPr>
            <w:tcW w:w="1283" w:type="dxa"/>
          </w:tcPr>
          <w:p w14:paraId="669E8130" w14:textId="77777777" w:rsidR="00B02873" w:rsidRPr="00AB27F9" w:rsidRDefault="00B02873" w:rsidP="00AB27F9">
            <w:pPr>
              <w:pStyle w:val="TablebodyleftFinancialsTables"/>
              <w:jc w:val="right"/>
              <w:rPr>
                <w:b/>
                <w:bCs/>
                <w:sz w:val="18"/>
                <w:szCs w:val="14"/>
              </w:rPr>
            </w:pPr>
          </w:p>
        </w:tc>
        <w:tc>
          <w:tcPr>
            <w:tcW w:w="1275" w:type="dxa"/>
          </w:tcPr>
          <w:p w14:paraId="69CEFE74" w14:textId="77777777" w:rsidR="00B02873" w:rsidRPr="00AB27F9" w:rsidRDefault="00B02873" w:rsidP="00AB27F9">
            <w:pPr>
              <w:pStyle w:val="TablebodyleftFinancialsTables"/>
              <w:jc w:val="right"/>
              <w:rPr>
                <w:sz w:val="18"/>
                <w:szCs w:val="14"/>
              </w:rPr>
            </w:pPr>
          </w:p>
        </w:tc>
        <w:tc>
          <w:tcPr>
            <w:tcW w:w="993" w:type="dxa"/>
          </w:tcPr>
          <w:p w14:paraId="4504972F" w14:textId="77777777" w:rsidR="00B02873" w:rsidRPr="00AB27F9" w:rsidRDefault="00B02873" w:rsidP="00AB27F9">
            <w:pPr>
              <w:pStyle w:val="TablebodyleftFinancialsTables"/>
              <w:jc w:val="right"/>
              <w:rPr>
                <w:b/>
                <w:bCs/>
                <w:sz w:val="18"/>
                <w:szCs w:val="14"/>
              </w:rPr>
            </w:pPr>
          </w:p>
        </w:tc>
        <w:tc>
          <w:tcPr>
            <w:tcW w:w="993" w:type="dxa"/>
          </w:tcPr>
          <w:p w14:paraId="5C28C741" w14:textId="77777777" w:rsidR="00B02873" w:rsidRPr="00AB27F9" w:rsidRDefault="00B02873" w:rsidP="00AB27F9">
            <w:pPr>
              <w:pStyle w:val="TablebodyleftFinancialsTables"/>
              <w:jc w:val="right"/>
              <w:rPr>
                <w:sz w:val="18"/>
                <w:szCs w:val="14"/>
              </w:rPr>
            </w:pPr>
          </w:p>
        </w:tc>
      </w:tr>
      <w:tr w:rsidR="00B02873" w:rsidRPr="00AB27F9" w14:paraId="62A94086" w14:textId="77777777" w:rsidTr="00AB27F9">
        <w:tc>
          <w:tcPr>
            <w:tcW w:w="2823" w:type="dxa"/>
          </w:tcPr>
          <w:p w14:paraId="400D86E3" w14:textId="77777777" w:rsidR="00B02873" w:rsidRPr="00AB27F9" w:rsidRDefault="00B02873" w:rsidP="00AB27F9">
            <w:pPr>
              <w:pStyle w:val="TablebodyleftFinancialsTables"/>
              <w:rPr>
                <w:sz w:val="18"/>
                <w:szCs w:val="14"/>
              </w:rPr>
            </w:pPr>
            <w:r w:rsidRPr="00AB27F9">
              <w:rPr>
                <w:spacing w:val="-2"/>
                <w:sz w:val="18"/>
                <w:szCs w:val="14"/>
              </w:rPr>
              <w:t>Net gain/(loss) on non-financial assets</w:t>
            </w:r>
          </w:p>
        </w:tc>
        <w:tc>
          <w:tcPr>
            <w:tcW w:w="1134" w:type="dxa"/>
          </w:tcPr>
          <w:p w14:paraId="61FC7F0A" w14:textId="77777777" w:rsidR="00B02873" w:rsidRPr="00AB27F9" w:rsidRDefault="00B02873" w:rsidP="00AB27F9">
            <w:pPr>
              <w:pStyle w:val="TablebodyleftFinancialsTables"/>
              <w:jc w:val="right"/>
              <w:rPr>
                <w:b/>
                <w:bCs/>
                <w:sz w:val="18"/>
                <w:szCs w:val="14"/>
              </w:rPr>
            </w:pPr>
            <w:r w:rsidRPr="00AB27F9">
              <w:rPr>
                <w:b/>
                <w:bCs/>
                <w:sz w:val="18"/>
                <w:szCs w:val="14"/>
              </w:rPr>
              <w:t>2,697</w:t>
            </w:r>
          </w:p>
        </w:tc>
        <w:tc>
          <w:tcPr>
            <w:tcW w:w="1134" w:type="dxa"/>
          </w:tcPr>
          <w:p w14:paraId="2EA294E6" w14:textId="77777777" w:rsidR="00B02873" w:rsidRPr="00AB27F9" w:rsidRDefault="00B02873" w:rsidP="00AB27F9">
            <w:pPr>
              <w:pStyle w:val="TablebodyleftFinancialsTables"/>
              <w:jc w:val="right"/>
              <w:rPr>
                <w:sz w:val="18"/>
                <w:szCs w:val="14"/>
              </w:rPr>
            </w:pPr>
            <w:r w:rsidRPr="00AB27F9">
              <w:rPr>
                <w:sz w:val="18"/>
                <w:szCs w:val="14"/>
              </w:rPr>
              <w:t>(100)</w:t>
            </w:r>
          </w:p>
        </w:tc>
        <w:tc>
          <w:tcPr>
            <w:tcW w:w="1283" w:type="dxa"/>
          </w:tcPr>
          <w:p w14:paraId="2E371578" w14:textId="77777777" w:rsidR="00B02873" w:rsidRPr="00AB27F9" w:rsidRDefault="00B02873" w:rsidP="00AB27F9">
            <w:pPr>
              <w:pStyle w:val="TablebodyleftFinancialsTables"/>
              <w:jc w:val="right"/>
              <w:rPr>
                <w:b/>
                <w:bCs/>
                <w:sz w:val="18"/>
                <w:szCs w:val="14"/>
              </w:rPr>
            </w:pPr>
            <w:r w:rsidRPr="00AB27F9">
              <w:rPr>
                <w:b/>
                <w:bCs/>
                <w:sz w:val="18"/>
                <w:szCs w:val="14"/>
              </w:rPr>
              <w:t>(1)</w:t>
            </w:r>
          </w:p>
        </w:tc>
        <w:tc>
          <w:tcPr>
            <w:tcW w:w="1275" w:type="dxa"/>
          </w:tcPr>
          <w:p w14:paraId="123F753D" w14:textId="77777777" w:rsidR="00B02873" w:rsidRPr="00AB27F9" w:rsidRDefault="00B02873" w:rsidP="00AB27F9">
            <w:pPr>
              <w:pStyle w:val="TablebodyleftFinancialsTables"/>
              <w:jc w:val="right"/>
              <w:rPr>
                <w:sz w:val="18"/>
                <w:szCs w:val="14"/>
              </w:rPr>
            </w:pPr>
            <w:r w:rsidRPr="00AB27F9">
              <w:rPr>
                <w:sz w:val="18"/>
                <w:szCs w:val="14"/>
              </w:rPr>
              <w:t>(70)</w:t>
            </w:r>
          </w:p>
        </w:tc>
        <w:tc>
          <w:tcPr>
            <w:tcW w:w="993" w:type="dxa"/>
          </w:tcPr>
          <w:p w14:paraId="27815411" w14:textId="77777777" w:rsidR="00B02873" w:rsidRPr="00AB27F9" w:rsidRDefault="00B02873" w:rsidP="00AB27F9">
            <w:pPr>
              <w:pStyle w:val="TablebodyleftFinancialsTables"/>
              <w:jc w:val="right"/>
              <w:rPr>
                <w:b/>
                <w:bCs/>
                <w:sz w:val="18"/>
                <w:szCs w:val="14"/>
              </w:rPr>
            </w:pPr>
            <w:r w:rsidRPr="00AB27F9">
              <w:rPr>
                <w:b/>
                <w:bCs/>
                <w:sz w:val="18"/>
                <w:szCs w:val="14"/>
              </w:rPr>
              <w:t>3,603</w:t>
            </w:r>
          </w:p>
        </w:tc>
        <w:tc>
          <w:tcPr>
            <w:tcW w:w="993" w:type="dxa"/>
          </w:tcPr>
          <w:p w14:paraId="2782DEC7" w14:textId="77777777" w:rsidR="00B02873" w:rsidRPr="00AB27F9" w:rsidRDefault="00B02873" w:rsidP="00AB27F9">
            <w:pPr>
              <w:pStyle w:val="TablebodyleftFinancialsTables"/>
              <w:jc w:val="right"/>
              <w:rPr>
                <w:sz w:val="18"/>
                <w:szCs w:val="14"/>
              </w:rPr>
            </w:pPr>
            <w:r w:rsidRPr="00AB27F9">
              <w:rPr>
                <w:sz w:val="18"/>
                <w:szCs w:val="14"/>
              </w:rPr>
              <w:t>(79)</w:t>
            </w:r>
          </w:p>
        </w:tc>
      </w:tr>
      <w:tr w:rsidR="00B02873" w:rsidRPr="00AB27F9" w14:paraId="265F2952" w14:textId="77777777" w:rsidTr="00AB27F9">
        <w:tc>
          <w:tcPr>
            <w:tcW w:w="2823" w:type="dxa"/>
          </w:tcPr>
          <w:p w14:paraId="121D326B" w14:textId="77777777" w:rsidR="00B02873" w:rsidRPr="00AB27F9" w:rsidRDefault="00B02873" w:rsidP="00AB27F9">
            <w:pPr>
              <w:pStyle w:val="TablebodyleftFinancialsTables"/>
              <w:rPr>
                <w:sz w:val="18"/>
                <w:szCs w:val="14"/>
              </w:rPr>
            </w:pPr>
            <w:r w:rsidRPr="00AB27F9">
              <w:rPr>
                <w:sz w:val="18"/>
                <w:szCs w:val="14"/>
              </w:rPr>
              <w:t>Net gain/(loss) on financial instruments</w:t>
            </w:r>
          </w:p>
        </w:tc>
        <w:tc>
          <w:tcPr>
            <w:tcW w:w="1134" w:type="dxa"/>
          </w:tcPr>
          <w:p w14:paraId="0523EF44" w14:textId="77777777" w:rsidR="00B02873" w:rsidRPr="00AB27F9" w:rsidRDefault="00B02873" w:rsidP="00AB27F9">
            <w:pPr>
              <w:pStyle w:val="TablebodyleftFinancialsTables"/>
              <w:jc w:val="right"/>
              <w:rPr>
                <w:b/>
                <w:bCs/>
                <w:sz w:val="18"/>
                <w:szCs w:val="14"/>
              </w:rPr>
            </w:pPr>
            <w:r w:rsidRPr="00AB27F9">
              <w:rPr>
                <w:b/>
                <w:bCs/>
                <w:sz w:val="18"/>
                <w:szCs w:val="14"/>
              </w:rPr>
              <w:t>5</w:t>
            </w:r>
          </w:p>
        </w:tc>
        <w:tc>
          <w:tcPr>
            <w:tcW w:w="1134" w:type="dxa"/>
          </w:tcPr>
          <w:p w14:paraId="4E9EC69D" w14:textId="77777777" w:rsidR="00B02873" w:rsidRPr="00AB27F9" w:rsidRDefault="00B02873" w:rsidP="00AB27F9">
            <w:pPr>
              <w:pStyle w:val="TablebodyleftFinancialsTables"/>
              <w:jc w:val="right"/>
              <w:rPr>
                <w:sz w:val="18"/>
                <w:szCs w:val="14"/>
              </w:rPr>
            </w:pPr>
            <w:r w:rsidRPr="00AB27F9">
              <w:rPr>
                <w:sz w:val="18"/>
                <w:szCs w:val="14"/>
              </w:rPr>
              <w:t>(46)</w:t>
            </w:r>
          </w:p>
        </w:tc>
        <w:tc>
          <w:tcPr>
            <w:tcW w:w="1283" w:type="dxa"/>
          </w:tcPr>
          <w:p w14:paraId="3C3656BE" w14:textId="77777777" w:rsidR="00B02873" w:rsidRPr="00AB27F9" w:rsidRDefault="00B02873" w:rsidP="00AB27F9">
            <w:pPr>
              <w:pStyle w:val="TablebodyleftFinancialsTables"/>
              <w:jc w:val="right"/>
              <w:rPr>
                <w:b/>
                <w:bCs/>
                <w:sz w:val="18"/>
                <w:szCs w:val="14"/>
              </w:rPr>
            </w:pPr>
            <w:r w:rsidRPr="00AB27F9">
              <w:rPr>
                <w:b/>
                <w:bCs/>
                <w:sz w:val="18"/>
                <w:szCs w:val="14"/>
              </w:rPr>
              <w:t>3</w:t>
            </w:r>
          </w:p>
        </w:tc>
        <w:tc>
          <w:tcPr>
            <w:tcW w:w="1275" w:type="dxa"/>
          </w:tcPr>
          <w:p w14:paraId="0BAA8B79" w14:textId="77777777" w:rsidR="00B02873" w:rsidRPr="00AB27F9" w:rsidRDefault="00B02873" w:rsidP="00AB27F9">
            <w:pPr>
              <w:pStyle w:val="TablebodyleftFinancialsTables"/>
              <w:jc w:val="right"/>
              <w:rPr>
                <w:sz w:val="18"/>
                <w:szCs w:val="14"/>
              </w:rPr>
            </w:pPr>
            <w:r w:rsidRPr="00AB27F9">
              <w:rPr>
                <w:sz w:val="18"/>
                <w:szCs w:val="14"/>
              </w:rPr>
              <w:t>(33)</w:t>
            </w:r>
          </w:p>
        </w:tc>
        <w:tc>
          <w:tcPr>
            <w:tcW w:w="993" w:type="dxa"/>
          </w:tcPr>
          <w:p w14:paraId="28B54945" w14:textId="77777777" w:rsidR="00B02873" w:rsidRPr="00AB27F9" w:rsidRDefault="00B02873" w:rsidP="00AB27F9">
            <w:pPr>
              <w:pStyle w:val="TablebodyleftFinancialsTables"/>
              <w:jc w:val="right"/>
              <w:rPr>
                <w:b/>
                <w:bCs/>
                <w:sz w:val="18"/>
                <w:szCs w:val="14"/>
              </w:rPr>
            </w:pPr>
            <w:r w:rsidRPr="00AB27F9">
              <w:rPr>
                <w:b/>
                <w:bCs/>
                <w:sz w:val="18"/>
                <w:szCs w:val="14"/>
              </w:rPr>
              <w:t>2</w:t>
            </w:r>
          </w:p>
        </w:tc>
        <w:tc>
          <w:tcPr>
            <w:tcW w:w="993" w:type="dxa"/>
          </w:tcPr>
          <w:p w14:paraId="4DC8AB44" w14:textId="77777777" w:rsidR="00B02873" w:rsidRPr="00AB27F9" w:rsidRDefault="00B02873" w:rsidP="00AB27F9">
            <w:pPr>
              <w:pStyle w:val="TablebodyleftFinancialsTables"/>
              <w:jc w:val="right"/>
              <w:rPr>
                <w:sz w:val="18"/>
                <w:szCs w:val="14"/>
              </w:rPr>
            </w:pPr>
            <w:r w:rsidRPr="00AB27F9">
              <w:rPr>
                <w:sz w:val="18"/>
                <w:szCs w:val="14"/>
              </w:rPr>
              <w:t>(10)</w:t>
            </w:r>
          </w:p>
        </w:tc>
      </w:tr>
      <w:tr w:rsidR="00B02873" w:rsidRPr="00AB27F9" w14:paraId="58333B30" w14:textId="77777777" w:rsidTr="00AB27F9">
        <w:tc>
          <w:tcPr>
            <w:tcW w:w="2823" w:type="dxa"/>
          </w:tcPr>
          <w:p w14:paraId="2BC0EB8F" w14:textId="77777777" w:rsidR="00B02873" w:rsidRPr="00AB27F9" w:rsidRDefault="00B02873" w:rsidP="00AB27F9">
            <w:pPr>
              <w:pStyle w:val="TablebodyleftFinancialsTables"/>
              <w:rPr>
                <w:sz w:val="18"/>
                <w:szCs w:val="14"/>
              </w:rPr>
            </w:pPr>
            <w:r w:rsidRPr="00AB27F9">
              <w:rPr>
                <w:sz w:val="18"/>
                <w:szCs w:val="14"/>
              </w:rPr>
              <w:t>Other gains/(losses) from other economic flows</w:t>
            </w:r>
          </w:p>
        </w:tc>
        <w:tc>
          <w:tcPr>
            <w:tcW w:w="1134" w:type="dxa"/>
          </w:tcPr>
          <w:p w14:paraId="23198C57" w14:textId="77777777" w:rsidR="00B02873" w:rsidRPr="00AB27F9" w:rsidRDefault="00B02873" w:rsidP="00AB27F9">
            <w:pPr>
              <w:pStyle w:val="TablebodyleftFinancialsTables"/>
              <w:jc w:val="right"/>
              <w:rPr>
                <w:b/>
                <w:bCs/>
                <w:sz w:val="18"/>
                <w:szCs w:val="14"/>
              </w:rPr>
            </w:pPr>
            <w:r w:rsidRPr="00AB27F9">
              <w:rPr>
                <w:b/>
                <w:bCs/>
                <w:sz w:val="18"/>
                <w:szCs w:val="14"/>
              </w:rPr>
              <w:t>–</w:t>
            </w:r>
          </w:p>
        </w:tc>
        <w:tc>
          <w:tcPr>
            <w:tcW w:w="1134" w:type="dxa"/>
          </w:tcPr>
          <w:p w14:paraId="2629B2B5" w14:textId="77777777" w:rsidR="00B02873" w:rsidRPr="00AB27F9" w:rsidRDefault="00B02873" w:rsidP="00AB27F9">
            <w:pPr>
              <w:pStyle w:val="TablebodyleftFinancialsTables"/>
              <w:jc w:val="right"/>
              <w:rPr>
                <w:sz w:val="18"/>
                <w:szCs w:val="14"/>
              </w:rPr>
            </w:pPr>
            <w:r w:rsidRPr="00AB27F9">
              <w:rPr>
                <w:sz w:val="18"/>
                <w:szCs w:val="14"/>
              </w:rPr>
              <w:t>–</w:t>
            </w:r>
          </w:p>
        </w:tc>
        <w:tc>
          <w:tcPr>
            <w:tcW w:w="1283" w:type="dxa"/>
          </w:tcPr>
          <w:p w14:paraId="28B9A013" w14:textId="77777777" w:rsidR="00B02873" w:rsidRPr="00AB27F9" w:rsidRDefault="00B02873" w:rsidP="00AB27F9">
            <w:pPr>
              <w:pStyle w:val="TablebodyleftFinancialsTables"/>
              <w:jc w:val="right"/>
              <w:rPr>
                <w:b/>
                <w:bCs/>
                <w:sz w:val="18"/>
                <w:szCs w:val="14"/>
              </w:rPr>
            </w:pPr>
            <w:r w:rsidRPr="00AB27F9">
              <w:rPr>
                <w:b/>
                <w:bCs/>
                <w:sz w:val="18"/>
                <w:szCs w:val="14"/>
              </w:rPr>
              <w:t>–</w:t>
            </w:r>
          </w:p>
        </w:tc>
        <w:tc>
          <w:tcPr>
            <w:tcW w:w="1275" w:type="dxa"/>
          </w:tcPr>
          <w:p w14:paraId="743EB5F7" w14:textId="77777777" w:rsidR="00B02873" w:rsidRPr="00AB27F9" w:rsidRDefault="00B02873" w:rsidP="00AB27F9">
            <w:pPr>
              <w:pStyle w:val="TablebodyleftFinancialsTables"/>
              <w:jc w:val="right"/>
              <w:rPr>
                <w:sz w:val="18"/>
                <w:szCs w:val="14"/>
              </w:rPr>
            </w:pPr>
            <w:r w:rsidRPr="00AB27F9">
              <w:rPr>
                <w:sz w:val="18"/>
                <w:szCs w:val="14"/>
              </w:rPr>
              <w:t>–</w:t>
            </w:r>
          </w:p>
        </w:tc>
        <w:tc>
          <w:tcPr>
            <w:tcW w:w="993" w:type="dxa"/>
          </w:tcPr>
          <w:p w14:paraId="24D7C65C" w14:textId="77777777" w:rsidR="00B02873" w:rsidRPr="00AB27F9" w:rsidRDefault="00B02873" w:rsidP="00AB27F9">
            <w:pPr>
              <w:pStyle w:val="TablebodyleftFinancialsTables"/>
              <w:jc w:val="right"/>
              <w:rPr>
                <w:b/>
                <w:bCs/>
                <w:sz w:val="18"/>
                <w:szCs w:val="14"/>
              </w:rPr>
            </w:pPr>
            <w:r w:rsidRPr="00AB27F9">
              <w:rPr>
                <w:b/>
                <w:bCs/>
                <w:sz w:val="18"/>
                <w:szCs w:val="14"/>
              </w:rPr>
              <w:t>–</w:t>
            </w:r>
          </w:p>
        </w:tc>
        <w:tc>
          <w:tcPr>
            <w:tcW w:w="993" w:type="dxa"/>
          </w:tcPr>
          <w:p w14:paraId="04E17431" w14:textId="77777777" w:rsidR="00B02873" w:rsidRPr="00AB27F9" w:rsidRDefault="00B02873" w:rsidP="00AB27F9">
            <w:pPr>
              <w:pStyle w:val="TablebodyleftFinancialsTables"/>
              <w:jc w:val="right"/>
              <w:rPr>
                <w:sz w:val="18"/>
                <w:szCs w:val="14"/>
              </w:rPr>
            </w:pPr>
            <w:r w:rsidRPr="00AB27F9">
              <w:rPr>
                <w:sz w:val="18"/>
                <w:szCs w:val="14"/>
              </w:rPr>
              <w:t>–</w:t>
            </w:r>
          </w:p>
        </w:tc>
      </w:tr>
      <w:tr w:rsidR="00B02873" w:rsidRPr="00AB27F9" w14:paraId="40812202" w14:textId="77777777" w:rsidTr="00AB27F9">
        <w:tc>
          <w:tcPr>
            <w:tcW w:w="2823" w:type="dxa"/>
          </w:tcPr>
          <w:p w14:paraId="407293E7" w14:textId="566E576F" w:rsidR="00B02873" w:rsidRPr="00C9714F" w:rsidRDefault="00B02873" w:rsidP="00AB27F9">
            <w:pPr>
              <w:pStyle w:val="TablebodyleftFinancialsTables"/>
              <w:rPr>
                <w:b/>
                <w:bCs/>
                <w:sz w:val="18"/>
                <w:szCs w:val="14"/>
              </w:rPr>
            </w:pPr>
            <w:r w:rsidRPr="00C9714F">
              <w:rPr>
                <w:b/>
                <w:bCs/>
                <w:sz w:val="18"/>
                <w:szCs w:val="14"/>
              </w:rPr>
              <w:t>Total administered other economic flows included in net result</w:t>
            </w:r>
          </w:p>
        </w:tc>
        <w:tc>
          <w:tcPr>
            <w:tcW w:w="1134" w:type="dxa"/>
          </w:tcPr>
          <w:p w14:paraId="06A0DB3D" w14:textId="77777777" w:rsidR="00B02873" w:rsidRPr="00AB27F9" w:rsidRDefault="00B02873" w:rsidP="00AB27F9">
            <w:pPr>
              <w:pStyle w:val="TablebodyleftFinancialsTables"/>
              <w:jc w:val="right"/>
              <w:rPr>
                <w:b/>
                <w:bCs/>
                <w:sz w:val="18"/>
                <w:szCs w:val="14"/>
              </w:rPr>
            </w:pPr>
            <w:r w:rsidRPr="00AB27F9">
              <w:rPr>
                <w:b/>
                <w:bCs/>
                <w:sz w:val="18"/>
                <w:szCs w:val="14"/>
              </w:rPr>
              <w:t>2,702</w:t>
            </w:r>
          </w:p>
        </w:tc>
        <w:tc>
          <w:tcPr>
            <w:tcW w:w="1134" w:type="dxa"/>
          </w:tcPr>
          <w:p w14:paraId="6407703A" w14:textId="77777777" w:rsidR="00B02873" w:rsidRPr="00AB27F9" w:rsidRDefault="00B02873" w:rsidP="00AB27F9">
            <w:pPr>
              <w:pStyle w:val="TablebodyleftFinancialsTables"/>
              <w:jc w:val="right"/>
              <w:rPr>
                <w:sz w:val="18"/>
                <w:szCs w:val="14"/>
              </w:rPr>
            </w:pPr>
            <w:r w:rsidRPr="00AB27F9">
              <w:rPr>
                <w:sz w:val="18"/>
                <w:szCs w:val="14"/>
              </w:rPr>
              <w:t>(146)</w:t>
            </w:r>
          </w:p>
        </w:tc>
        <w:tc>
          <w:tcPr>
            <w:tcW w:w="1283" w:type="dxa"/>
          </w:tcPr>
          <w:p w14:paraId="0C693C56" w14:textId="77777777" w:rsidR="00B02873" w:rsidRPr="00AB27F9" w:rsidRDefault="00B02873" w:rsidP="00AB27F9">
            <w:pPr>
              <w:pStyle w:val="TablebodyleftFinancialsTables"/>
              <w:jc w:val="right"/>
              <w:rPr>
                <w:b/>
                <w:bCs/>
                <w:sz w:val="18"/>
                <w:szCs w:val="14"/>
              </w:rPr>
            </w:pPr>
            <w:r w:rsidRPr="00AB27F9">
              <w:rPr>
                <w:b/>
                <w:bCs/>
                <w:sz w:val="18"/>
                <w:szCs w:val="14"/>
              </w:rPr>
              <w:t>2</w:t>
            </w:r>
          </w:p>
        </w:tc>
        <w:tc>
          <w:tcPr>
            <w:tcW w:w="1275" w:type="dxa"/>
          </w:tcPr>
          <w:p w14:paraId="3C3C6BDC" w14:textId="77777777" w:rsidR="00B02873" w:rsidRPr="00AB27F9" w:rsidRDefault="00B02873" w:rsidP="00AB27F9">
            <w:pPr>
              <w:pStyle w:val="TablebodyleftFinancialsTables"/>
              <w:jc w:val="right"/>
              <w:rPr>
                <w:sz w:val="18"/>
                <w:szCs w:val="14"/>
              </w:rPr>
            </w:pPr>
            <w:r w:rsidRPr="00AB27F9">
              <w:rPr>
                <w:sz w:val="18"/>
                <w:szCs w:val="14"/>
              </w:rPr>
              <w:t>(103)</w:t>
            </w:r>
          </w:p>
        </w:tc>
        <w:tc>
          <w:tcPr>
            <w:tcW w:w="993" w:type="dxa"/>
          </w:tcPr>
          <w:p w14:paraId="7502AEBC" w14:textId="77777777" w:rsidR="00B02873" w:rsidRPr="00AB27F9" w:rsidRDefault="00B02873" w:rsidP="00AB27F9">
            <w:pPr>
              <w:pStyle w:val="TablebodyleftFinancialsTables"/>
              <w:jc w:val="right"/>
              <w:rPr>
                <w:b/>
                <w:bCs/>
                <w:sz w:val="18"/>
                <w:szCs w:val="14"/>
              </w:rPr>
            </w:pPr>
            <w:r w:rsidRPr="00AB27F9">
              <w:rPr>
                <w:b/>
                <w:bCs/>
                <w:sz w:val="18"/>
                <w:szCs w:val="14"/>
              </w:rPr>
              <w:t>3,605</w:t>
            </w:r>
          </w:p>
        </w:tc>
        <w:tc>
          <w:tcPr>
            <w:tcW w:w="993" w:type="dxa"/>
          </w:tcPr>
          <w:p w14:paraId="02F65E02" w14:textId="77777777" w:rsidR="00B02873" w:rsidRPr="00AB27F9" w:rsidRDefault="00B02873" w:rsidP="00AB27F9">
            <w:pPr>
              <w:pStyle w:val="TablebodyleftFinancialsTables"/>
              <w:jc w:val="right"/>
              <w:rPr>
                <w:sz w:val="18"/>
                <w:szCs w:val="14"/>
              </w:rPr>
            </w:pPr>
            <w:r w:rsidRPr="00AB27F9">
              <w:rPr>
                <w:sz w:val="18"/>
                <w:szCs w:val="14"/>
              </w:rPr>
              <w:t>(89)</w:t>
            </w:r>
          </w:p>
        </w:tc>
      </w:tr>
      <w:tr w:rsidR="00B02873" w:rsidRPr="00AB27F9" w14:paraId="5123D5DE" w14:textId="77777777" w:rsidTr="00AB27F9">
        <w:tc>
          <w:tcPr>
            <w:tcW w:w="2823" w:type="dxa"/>
          </w:tcPr>
          <w:p w14:paraId="350271CF" w14:textId="77777777" w:rsidR="00B02873" w:rsidRPr="00C9714F" w:rsidRDefault="00B02873" w:rsidP="00AB27F9">
            <w:pPr>
              <w:pStyle w:val="TablebodyleftFinancialsTables"/>
              <w:rPr>
                <w:b/>
                <w:bCs/>
                <w:sz w:val="18"/>
                <w:szCs w:val="14"/>
              </w:rPr>
            </w:pPr>
            <w:r w:rsidRPr="00C9714F">
              <w:rPr>
                <w:b/>
                <w:bCs/>
                <w:sz w:val="18"/>
                <w:szCs w:val="14"/>
              </w:rPr>
              <w:t>Administered net result</w:t>
            </w:r>
          </w:p>
        </w:tc>
        <w:tc>
          <w:tcPr>
            <w:tcW w:w="1134" w:type="dxa"/>
          </w:tcPr>
          <w:p w14:paraId="39D4DCD4" w14:textId="77777777" w:rsidR="00B02873" w:rsidRPr="00AB27F9" w:rsidRDefault="00B02873" w:rsidP="00AB27F9">
            <w:pPr>
              <w:pStyle w:val="TablebodyleftFinancialsTables"/>
              <w:jc w:val="right"/>
              <w:rPr>
                <w:b/>
                <w:bCs/>
                <w:sz w:val="18"/>
                <w:szCs w:val="14"/>
              </w:rPr>
            </w:pPr>
            <w:r w:rsidRPr="00AB27F9">
              <w:rPr>
                <w:b/>
                <w:bCs/>
                <w:sz w:val="18"/>
                <w:szCs w:val="14"/>
              </w:rPr>
              <w:t>(2,117)</w:t>
            </w:r>
          </w:p>
        </w:tc>
        <w:tc>
          <w:tcPr>
            <w:tcW w:w="1134" w:type="dxa"/>
          </w:tcPr>
          <w:p w14:paraId="3628878F" w14:textId="77777777" w:rsidR="00B02873" w:rsidRPr="00AB27F9" w:rsidRDefault="00B02873" w:rsidP="00AB27F9">
            <w:pPr>
              <w:pStyle w:val="TablebodyleftFinancialsTables"/>
              <w:jc w:val="right"/>
              <w:rPr>
                <w:sz w:val="18"/>
                <w:szCs w:val="14"/>
              </w:rPr>
            </w:pPr>
            <w:r w:rsidRPr="00AB27F9">
              <w:rPr>
                <w:sz w:val="18"/>
                <w:szCs w:val="14"/>
              </w:rPr>
              <w:t>(100)</w:t>
            </w:r>
          </w:p>
        </w:tc>
        <w:tc>
          <w:tcPr>
            <w:tcW w:w="1283" w:type="dxa"/>
          </w:tcPr>
          <w:p w14:paraId="4BE54AEC" w14:textId="77777777" w:rsidR="00B02873" w:rsidRPr="00AB27F9" w:rsidRDefault="00B02873" w:rsidP="00AB27F9">
            <w:pPr>
              <w:pStyle w:val="TablebodyleftFinancialsTables"/>
              <w:jc w:val="right"/>
              <w:rPr>
                <w:b/>
                <w:bCs/>
                <w:sz w:val="18"/>
                <w:szCs w:val="14"/>
              </w:rPr>
            </w:pPr>
            <w:r w:rsidRPr="00AB27F9">
              <w:rPr>
                <w:b/>
                <w:bCs/>
                <w:sz w:val="18"/>
                <w:szCs w:val="14"/>
              </w:rPr>
              <w:t>46</w:t>
            </w:r>
          </w:p>
        </w:tc>
        <w:tc>
          <w:tcPr>
            <w:tcW w:w="1275" w:type="dxa"/>
          </w:tcPr>
          <w:p w14:paraId="36780EA3" w14:textId="77777777" w:rsidR="00B02873" w:rsidRPr="00AB27F9" w:rsidRDefault="00B02873" w:rsidP="00AB27F9">
            <w:pPr>
              <w:pStyle w:val="TablebodyleftFinancialsTables"/>
              <w:jc w:val="right"/>
              <w:rPr>
                <w:sz w:val="18"/>
                <w:szCs w:val="14"/>
              </w:rPr>
            </w:pPr>
            <w:r w:rsidRPr="00AB27F9">
              <w:rPr>
                <w:sz w:val="18"/>
                <w:szCs w:val="14"/>
              </w:rPr>
              <w:t>(56)</w:t>
            </w:r>
          </w:p>
        </w:tc>
        <w:tc>
          <w:tcPr>
            <w:tcW w:w="993" w:type="dxa"/>
          </w:tcPr>
          <w:p w14:paraId="36D640F5" w14:textId="77777777" w:rsidR="00B02873" w:rsidRPr="00AB27F9" w:rsidRDefault="00B02873" w:rsidP="00AB27F9">
            <w:pPr>
              <w:pStyle w:val="TablebodyleftFinancialsTables"/>
              <w:jc w:val="right"/>
              <w:rPr>
                <w:b/>
                <w:bCs/>
                <w:sz w:val="18"/>
                <w:szCs w:val="14"/>
              </w:rPr>
            </w:pPr>
            <w:r w:rsidRPr="00AB27F9">
              <w:rPr>
                <w:b/>
                <w:bCs/>
                <w:sz w:val="18"/>
                <w:szCs w:val="14"/>
              </w:rPr>
              <w:t>122,496</w:t>
            </w:r>
          </w:p>
        </w:tc>
        <w:tc>
          <w:tcPr>
            <w:tcW w:w="993" w:type="dxa"/>
          </w:tcPr>
          <w:p w14:paraId="5486C441" w14:textId="77777777" w:rsidR="00B02873" w:rsidRPr="00AB27F9" w:rsidRDefault="00B02873" w:rsidP="00AB27F9">
            <w:pPr>
              <w:pStyle w:val="TablebodyleftFinancialsTables"/>
              <w:jc w:val="right"/>
              <w:rPr>
                <w:sz w:val="18"/>
                <w:szCs w:val="14"/>
              </w:rPr>
            </w:pPr>
            <w:r w:rsidRPr="00AB27F9">
              <w:rPr>
                <w:sz w:val="18"/>
                <w:szCs w:val="14"/>
              </w:rPr>
              <w:t>73,177</w:t>
            </w:r>
          </w:p>
        </w:tc>
      </w:tr>
      <w:tr w:rsidR="00B02873" w:rsidRPr="00AB27F9" w14:paraId="2AFC5E47" w14:textId="77777777" w:rsidTr="00AB27F9">
        <w:tc>
          <w:tcPr>
            <w:tcW w:w="2823" w:type="dxa"/>
          </w:tcPr>
          <w:p w14:paraId="66D080D6" w14:textId="77777777" w:rsidR="00B02873" w:rsidRPr="00C9714F" w:rsidRDefault="00B02873" w:rsidP="00AB27F9">
            <w:pPr>
              <w:pStyle w:val="TablebodyleftFinancialsTables"/>
              <w:rPr>
                <w:b/>
                <w:bCs/>
                <w:sz w:val="18"/>
                <w:szCs w:val="14"/>
              </w:rPr>
            </w:pPr>
            <w:r w:rsidRPr="00C9714F">
              <w:rPr>
                <w:b/>
                <w:bCs/>
                <w:sz w:val="18"/>
                <w:szCs w:val="14"/>
              </w:rPr>
              <w:t>Other comprehensive income</w:t>
            </w:r>
          </w:p>
        </w:tc>
        <w:tc>
          <w:tcPr>
            <w:tcW w:w="1134" w:type="dxa"/>
          </w:tcPr>
          <w:p w14:paraId="67EB6DC1" w14:textId="77777777" w:rsidR="00B02873" w:rsidRPr="00AB27F9" w:rsidRDefault="00B02873" w:rsidP="00AB27F9">
            <w:pPr>
              <w:pStyle w:val="TablebodyleftFinancialsTables"/>
              <w:jc w:val="right"/>
              <w:rPr>
                <w:b/>
                <w:bCs/>
                <w:sz w:val="18"/>
                <w:szCs w:val="14"/>
              </w:rPr>
            </w:pPr>
            <w:r w:rsidRPr="00AB27F9">
              <w:rPr>
                <w:b/>
                <w:bCs/>
                <w:sz w:val="18"/>
                <w:szCs w:val="14"/>
              </w:rPr>
              <w:t>–</w:t>
            </w:r>
          </w:p>
        </w:tc>
        <w:tc>
          <w:tcPr>
            <w:tcW w:w="1134" w:type="dxa"/>
          </w:tcPr>
          <w:p w14:paraId="4DDE610D" w14:textId="77777777" w:rsidR="00B02873" w:rsidRPr="00AB27F9" w:rsidRDefault="00B02873" w:rsidP="00AB27F9">
            <w:pPr>
              <w:pStyle w:val="TablebodyleftFinancialsTables"/>
              <w:jc w:val="right"/>
              <w:rPr>
                <w:sz w:val="18"/>
                <w:szCs w:val="14"/>
              </w:rPr>
            </w:pPr>
            <w:r w:rsidRPr="00AB27F9">
              <w:rPr>
                <w:sz w:val="18"/>
                <w:szCs w:val="14"/>
              </w:rPr>
              <w:t>–</w:t>
            </w:r>
          </w:p>
        </w:tc>
        <w:tc>
          <w:tcPr>
            <w:tcW w:w="1283" w:type="dxa"/>
          </w:tcPr>
          <w:p w14:paraId="673E04B0" w14:textId="77777777" w:rsidR="00B02873" w:rsidRPr="00AB27F9" w:rsidRDefault="00B02873" w:rsidP="00AB27F9">
            <w:pPr>
              <w:pStyle w:val="TablebodyleftFinancialsTables"/>
              <w:jc w:val="right"/>
              <w:rPr>
                <w:b/>
                <w:bCs/>
                <w:sz w:val="18"/>
                <w:szCs w:val="14"/>
              </w:rPr>
            </w:pPr>
            <w:r w:rsidRPr="00AB27F9">
              <w:rPr>
                <w:b/>
                <w:bCs/>
                <w:sz w:val="18"/>
                <w:szCs w:val="14"/>
              </w:rPr>
              <w:t>–</w:t>
            </w:r>
          </w:p>
        </w:tc>
        <w:tc>
          <w:tcPr>
            <w:tcW w:w="1275" w:type="dxa"/>
          </w:tcPr>
          <w:p w14:paraId="5146D364" w14:textId="77777777" w:rsidR="00B02873" w:rsidRPr="00AB27F9" w:rsidRDefault="00B02873" w:rsidP="00AB27F9">
            <w:pPr>
              <w:pStyle w:val="TablebodyleftFinancialsTables"/>
              <w:jc w:val="right"/>
              <w:rPr>
                <w:sz w:val="18"/>
                <w:szCs w:val="14"/>
              </w:rPr>
            </w:pPr>
            <w:r w:rsidRPr="00AB27F9">
              <w:rPr>
                <w:sz w:val="18"/>
                <w:szCs w:val="14"/>
              </w:rPr>
              <w:t>–</w:t>
            </w:r>
          </w:p>
        </w:tc>
        <w:tc>
          <w:tcPr>
            <w:tcW w:w="993" w:type="dxa"/>
          </w:tcPr>
          <w:p w14:paraId="25287C0C" w14:textId="77777777" w:rsidR="00B02873" w:rsidRPr="00AB27F9" w:rsidRDefault="00B02873" w:rsidP="00AB27F9">
            <w:pPr>
              <w:pStyle w:val="TablebodyleftFinancialsTables"/>
              <w:jc w:val="right"/>
              <w:rPr>
                <w:b/>
                <w:bCs/>
                <w:sz w:val="18"/>
                <w:szCs w:val="14"/>
              </w:rPr>
            </w:pPr>
            <w:r w:rsidRPr="00AB27F9">
              <w:rPr>
                <w:b/>
                <w:bCs/>
                <w:sz w:val="18"/>
                <w:szCs w:val="14"/>
              </w:rPr>
              <w:t>–</w:t>
            </w:r>
          </w:p>
        </w:tc>
        <w:tc>
          <w:tcPr>
            <w:tcW w:w="993" w:type="dxa"/>
          </w:tcPr>
          <w:p w14:paraId="1D2B8E3C" w14:textId="77777777" w:rsidR="00B02873" w:rsidRPr="00AB27F9" w:rsidRDefault="00B02873" w:rsidP="00AB27F9">
            <w:pPr>
              <w:pStyle w:val="TablebodyleftFinancialsTables"/>
              <w:jc w:val="right"/>
              <w:rPr>
                <w:sz w:val="18"/>
                <w:szCs w:val="14"/>
              </w:rPr>
            </w:pPr>
            <w:r w:rsidRPr="00AB27F9">
              <w:rPr>
                <w:sz w:val="18"/>
                <w:szCs w:val="14"/>
              </w:rPr>
              <w:t>12,695</w:t>
            </w:r>
          </w:p>
        </w:tc>
      </w:tr>
      <w:tr w:rsidR="00B02873" w:rsidRPr="00AB27F9" w14:paraId="4B943B61" w14:textId="77777777" w:rsidTr="00AB27F9">
        <w:tc>
          <w:tcPr>
            <w:tcW w:w="2823" w:type="dxa"/>
          </w:tcPr>
          <w:p w14:paraId="2EB99266" w14:textId="77777777" w:rsidR="00B02873" w:rsidRPr="00C9714F" w:rsidRDefault="00B02873" w:rsidP="00AB27F9">
            <w:pPr>
              <w:pStyle w:val="TablebodyleftFinancialsTables"/>
              <w:rPr>
                <w:b/>
                <w:bCs/>
                <w:sz w:val="18"/>
                <w:szCs w:val="14"/>
              </w:rPr>
            </w:pPr>
            <w:r w:rsidRPr="00C9714F">
              <w:rPr>
                <w:b/>
                <w:bCs/>
                <w:sz w:val="18"/>
                <w:szCs w:val="14"/>
              </w:rPr>
              <w:t>Administered comprehensive result</w:t>
            </w:r>
          </w:p>
        </w:tc>
        <w:tc>
          <w:tcPr>
            <w:tcW w:w="1134" w:type="dxa"/>
          </w:tcPr>
          <w:p w14:paraId="20322D45" w14:textId="77777777" w:rsidR="00B02873" w:rsidRPr="00AB27F9" w:rsidRDefault="00B02873" w:rsidP="00AB27F9">
            <w:pPr>
              <w:pStyle w:val="TablebodyleftFinancialsTables"/>
              <w:jc w:val="right"/>
              <w:rPr>
                <w:b/>
                <w:bCs/>
                <w:sz w:val="18"/>
                <w:szCs w:val="14"/>
              </w:rPr>
            </w:pPr>
            <w:r w:rsidRPr="00AB27F9">
              <w:rPr>
                <w:b/>
                <w:bCs/>
                <w:sz w:val="18"/>
                <w:szCs w:val="14"/>
              </w:rPr>
              <w:t>(2,117)</w:t>
            </w:r>
          </w:p>
        </w:tc>
        <w:tc>
          <w:tcPr>
            <w:tcW w:w="1134" w:type="dxa"/>
          </w:tcPr>
          <w:p w14:paraId="3FFF7E38" w14:textId="77777777" w:rsidR="00B02873" w:rsidRPr="00AB27F9" w:rsidRDefault="00B02873" w:rsidP="00AB27F9">
            <w:pPr>
              <w:pStyle w:val="TablebodyleftFinancialsTables"/>
              <w:jc w:val="right"/>
              <w:rPr>
                <w:sz w:val="18"/>
                <w:szCs w:val="14"/>
              </w:rPr>
            </w:pPr>
            <w:r w:rsidRPr="00AB27F9">
              <w:rPr>
                <w:sz w:val="18"/>
                <w:szCs w:val="14"/>
              </w:rPr>
              <w:t>(100)</w:t>
            </w:r>
          </w:p>
        </w:tc>
        <w:tc>
          <w:tcPr>
            <w:tcW w:w="1283" w:type="dxa"/>
          </w:tcPr>
          <w:p w14:paraId="4799EF21" w14:textId="7AAD64D8" w:rsidR="00B02873" w:rsidRPr="00AB27F9" w:rsidRDefault="00B02873" w:rsidP="00AB27F9">
            <w:pPr>
              <w:pStyle w:val="TablebodyleftFinancialsTables"/>
              <w:jc w:val="right"/>
              <w:rPr>
                <w:b/>
                <w:bCs/>
                <w:sz w:val="18"/>
                <w:szCs w:val="14"/>
              </w:rPr>
            </w:pPr>
            <w:r w:rsidRPr="00AB27F9">
              <w:rPr>
                <w:b/>
                <w:bCs/>
                <w:sz w:val="18"/>
                <w:szCs w:val="14"/>
              </w:rPr>
              <w:t>46</w:t>
            </w:r>
          </w:p>
        </w:tc>
        <w:tc>
          <w:tcPr>
            <w:tcW w:w="1275" w:type="dxa"/>
          </w:tcPr>
          <w:p w14:paraId="77779515" w14:textId="77777777" w:rsidR="00B02873" w:rsidRPr="00AB27F9" w:rsidRDefault="00B02873" w:rsidP="00AB27F9">
            <w:pPr>
              <w:pStyle w:val="TablebodyleftFinancialsTables"/>
              <w:jc w:val="right"/>
              <w:rPr>
                <w:sz w:val="18"/>
                <w:szCs w:val="14"/>
              </w:rPr>
            </w:pPr>
            <w:r w:rsidRPr="00AB27F9">
              <w:rPr>
                <w:sz w:val="18"/>
                <w:szCs w:val="14"/>
              </w:rPr>
              <w:t>(56)</w:t>
            </w:r>
          </w:p>
        </w:tc>
        <w:tc>
          <w:tcPr>
            <w:tcW w:w="993" w:type="dxa"/>
          </w:tcPr>
          <w:p w14:paraId="419F4D80" w14:textId="77777777" w:rsidR="00B02873" w:rsidRPr="00AB27F9" w:rsidRDefault="00B02873" w:rsidP="00AB27F9">
            <w:pPr>
              <w:pStyle w:val="TablebodyleftFinancialsTables"/>
              <w:jc w:val="right"/>
              <w:rPr>
                <w:b/>
                <w:bCs/>
                <w:sz w:val="18"/>
                <w:szCs w:val="14"/>
              </w:rPr>
            </w:pPr>
            <w:r w:rsidRPr="00AB27F9">
              <w:rPr>
                <w:b/>
                <w:bCs/>
                <w:sz w:val="18"/>
                <w:szCs w:val="14"/>
              </w:rPr>
              <w:t>122,496</w:t>
            </w:r>
          </w:p>
        </w:tc>
        <w:tc>
          <w:tcPr>
            <w:tcW w:w="993" w:type="dxa"/>
          </w:tcPr>
          <w:p w14:paraId="176CFF8B" w14:textId="77777777" w:rsidR="00B02873" w:rsidRPr="00AB27F9" w:rsidRDefault="00B02873" w:rsidP="00AB27F9">
            <w:pPr>
              <w:pStyle w:val="TablebodyleftFinancialsTables"/>
              <w:jc w:val="right"/>
              <w:rPr>
                <w:sz w:val="18"/>
                <w:szCs w:val="14"/>
              </w:rPr>
            </w:pPr>
            <w:r w:rsidRPr="00AB27F9">
              <w:rPr>
                <w:sz w:val="18"/>
                <w:szCs w:val="14"/>
              </w:rPr>
              <w:t>85,872</w:t>
            </w:r>
          </w:p>
        </w:tc>
      </w:tr>
    </w:tbl>
    <w:p w14:paraId="53E7B56F" w14:textId="77777777" w:rsidR="00B02873" w:rsidRPr="00C9714F" w:rsidRDefault="00B02873" w:rsidP="00C9714F">
      <w:pPr>
        <w:pStyle w:val="SourceNote"/>
        <w:spacing w:after="120"/>
        <w:rPr>
          <w:b/>
          <w:bCs/>
        </w:rPr>
      </w:pPr>
      <w:r w:rsidRPr="00C9714F">
        <w:rPr>
          <w:b/>
          <w:bCs/>
        </w:rPr>
        <w:t>Note:</w:t>
      </w:r>
    </w:p>
    <w:p w14:paraId="7B2836DE" w14:textId="67BCB740" w:rsidR="00B02873" w:rsidRDefault="00B02873" w:rsidP="001128B1">
      <w:pPr>
        <w:pStyle w:val="SourceNotenumbered"/>
        <w:numPr>
          <w:ilvl w:val="0"/>
          <w:numId w:val="80"/>
        </w:numPr>
      </w:pPr>
      <w:r>
        <w:t>Other income includes revenue recognised from the unwinding of the Grant of right to operate liability relating to the commercialisation of land titles and registry functions of Land Use Victoria.</w:t>
      </w:r>
    </w:p>
    <w:p w14:paraId="50CDD0CB" w14:textId="77777777" w:rsidR="00B02873" w:rsidRDefault="00B02873" w:rsidP="00BD1F1E">
      <w:pPr>
        <w:pStyle w:val="SourceNotenumbered"/>
        <w:spacing w:after="200"/>
        <w:ind w:left="357" w:hanging="357"/>
      </w:pPr>
      <w:r>
        <w:t>Depreciation and amortisation include amortisation of the department’s service concession intangible asset.</w:t>
      </w:r>
    </w:p>
    <w:p w14:paraId="02CFD630" w14:textId="77777777" w:rsidR="00B02873" w:rsidRDefault="00B02873" w:rsidP="00C9714F">
      <w:pPr>
        <w:pStyle w:val="Heading4"/>
      </w:pPr>
      <w:r>
        <w:lastRenderedPageBreak/>
        <w:t>4.2.1 Administered income and expenses (continued)</w:t>
      </w:r>
    </w:p>
    <w:tbl>
      <w:tblPr>
        <w:tblStyle w:val="TableGrid"/>
        <w:tblW w:w="9759" w:type="dxa"/>
        <w:tblLayout w:type="fixed"/>
        <w:tblLook w:val="0020" w:firstRow="1" w:lastRow="0" w:firstColumn="0" w:lastColumn="0" w:noHBand="0" w:noVBand="0"/>
      </w:tblPr>
      <w:tblGrid>
        <w:gridCol w:w="3175"/>
        <w:gridCol w:w="1215"/>
        <w:gridCol w:w="1219"/>
        <w:gridCol w:w="1217"/>
        <w:gridCol w:w="1232"/>
        <w:gridCol w:w="850"/>
        <w:gridCol w:w="851"/>
      </w:tblGrid>
      <w:tr w:rsidR="00B02873" w:rsidRPr="00C9714F" w14:paraId="46CE8432" w14:textId="77777777" w:rsidTr="00F54AE3">
        <w:trPr>
          <w:cnfStyle w:val="100000000000" w:firstRow="1" w:lastRow="0" w:firstColumn="0" w:lastColumn="0" w:oddVBand="0" w:evenVBand="0" w:oddHBand="0" w:evenHBand="0" w:firstRowFirstColumn="0" w:firstRowLastColumn="0" w:lastRowFirstColumn="0" w:lastRowLastColumn="0"/>
          <w:tblHeader/>
        </w:trPr>
        <w:tc>
          <w:tcPr>
            <w:tcW w:w="3175" w:type="dxa"/>
          </w:tcPr>
          <w:p w14:paraId="1BC6B31F" w14:textId="77777777" w:rsidR="00B02873" w:rsidRPr="00C9714F" w:rsidRDefault="00B02873" w:rsidP="00C9714F">
            <w:pPr>
              <w:pStyle w:val="TableheadingleftFinancialsTables"/>
              <w:rPr>
                <w:rFonts w:asciiTheme="minorHAnsi" w:hAnsiTheme="minorHAnsi" w:cstheme="minorHAnsi"/>
                <w:sz w:val="18"/>
                <w:szCs w:val="14"/>
              </w:rPr>
            </w:pPr>
          </w:p>
        </w:tc>
        <w:tc>
          <w:tcPr>
            <w:tcW w:w="1215" w:type="dxa"/>
          </w:tcPr>
          <w:p w14:paraId="30D27E29" w14:textId="2A4FCC5A" w:rsidR="00B02873" w:rsidRPr="00F54AE3" w:rsidRDefault="00C9714F" w:rsidP="00C9714F">
            <w:pPr>
              <w:pStyle w:val="TableheadingleftFinancialsTables"/>
              <w:jc w:val="right"/>
              <w:rPr>
                <w:rFonts w:asciiTheme="minorHAnsi" w:hAnsiTheme="minorHAnsi" w:cstheme="minorHAnsi"/>
                <w:sz w:val="18"/>
                <w:szCs w:val="14"/>
              </w:rPr>
            </w:pPr>
            <w:r w:rsidRPr="00F54AE3">
              <w:rPr>
                <w:rFonts w:asciiTheme="minorHAnsi" w:hAnsiTheme="minorHAnsi" w:cstheme="minorHAnsi"/>
                <w:sz w:val="18"/>
                <w:szCs w:val="14"/>
              </w:rPr>
              <w:t xml:space="preserve">Management of Public Land and Forests </w:t>
            </w:r>
            <w:r w:rsidR="00B02873" w:rsidRPr="00F54AE3">
              <w:rPr>
                <w:rFonts w:asciiTheme="minorHAnsi" w:hAnsiTheme="minorHAnsi" w:cstheme="minorHAnsi"/>
                <w:sz w:val="18"/>
                <w:szCs w:val="14"/>
              </w:rPr>
              <w:t>2022</w:t>
            </w:r>
            <w:r w:rsidR="00B02873" w:rsidRPr="00F54AE3">
              <w:rPr>
                <w:rFonts w:asciiTheme="minorHAnsi" w:hAnsiTheme="minorHAnsi" w:cstheme="minorHAnsi"/>
                <w:sz w:val="18"/>
                <w:szCs w:val="14"/>
              </w:rPr>
              <w:br/>
              <w:t>$’000</w:t>
            </w:r>
          </w:p>
        </w:tc>
        <w:tc>
          <w:tcPr>
            <w:tcW w:w="1219" w:type="dxa"/>
          </w:tcPr>
          <w:p w14:paraId="163EB2D4" w14:textId="46E33F52" w:rsidR="00B02873" w:rsidRPr="00C9714F" w:rsidRDefault="00C9714F" w:rsidP="00C9714F">
            <w:pPr>
              <w:pStyle w:val="TableheadingleftFinancialsTables"/>
              <w:jc w:val="right"/>
              <w:rPr>
                <w:rFonts w:asciiTheme="minorHAnsi" w:hAnsiTheme="minorHAnsi" w:cstheme="minorHAnsi"/>
                <w:sz w:val="18"/>
                <w:szCs w:val="14"/>
              </w:rPr>
            </w:pPr>
            <w:r w:rsidRPr="00C9714F">
              <w:rPr>
                <w:rFonts w:asciiTheme="minorHAnsi" w:hAnsiTheme="minorHAnsi" w:cstheme="minorHAnsi"/>
                <w:sz w:val="18"/>
                <w:szCs w:val="14"/>
              </w:rPr>
              <w:t xml:space="preserve">Management of Public Land and Forests </w:t>
            </w:r>
            <w:r w:rsidR="00B02873" w:rsidRPr="00C9714F">
              <w:rPr>
                <w:rFonts w:asciiTheme="minorHAnsi" w:hAnsiTheme="minorHAnsi" w:cstheme="minorHAnsi"/>
                <w:sz w:val="18"/>
                <w:szCs w:val="14"/>
              </w:rPr>
              <w:t>2021</w:t>
            </w:r>
            <w:r w:rsidR="00B02873" w:rsidRPr="00C9714F">
              <w:rPr>
                <w:rFonts w:asciiTheme="minorHAnsi" w:hAnsiTheme="minorHAnsi" w:cstheme="minorHAnsi"/>
                <w:sz w:val="18"/>
                <w:szCs w:val="14"/>
              </w:rPr>
              <w:br/>
              <w:t>$’000</w:t>
            </w:r>
          </w:p>
        </w:tc>
        <w:tc>
          <w:tcPr>
            <w:tcW w:w="1217" w:type="dxa"/>
          </w:tcPr>
          <w:p w14:paraId="7E5F30E0" w14:textId="2E51DD25" w:rsidR="00B02873" w:rsidRPr="00F54AE3" w:rsidRDefault="00C9714F" w:rsidP="00C9714F">
            <w:pPr>
              <w:pStyle w:val="TableheadingleftFinancialsTables"/>
              <w:jc w:val="right"/>
              <w:rPr>
                <w:rFonts w:asciiTheme="minorHAnsi" w:hAnsiTheme="minorHAnsi" w:cstheme="minorHAnsi"/>
                <w:sz w:val="18"/>
                <w:szCs w:val="14"/>
              </w:rPr>
            </w:pPr>
            <w:r w:rsidRPr="00F54AE3">
              <w:rPr>
                <w:rFonts w:asciiTheme="minorHAnsi" w:hAnsiTheme="minorHAnsi" w:cstheme="minorHAnsi"/>
                <w:sz w:val="18"/>
                <w:szCs w:val="14"/>
              </w:rPr>
              <w:t xml:space="preserve">Effective Water Management and Supply </w:t>
            </w:r>
            <w:r w:rsidR="00B02873" w:rsidRPr="00F54AE3">
              <w:rPr>
                <w:rFonts w:asciiTheme="minorHAnsi" w:hAnsiTheme="minorHAnsi" w:cstheme="minorHAnsi"/>
                <w:sz w:val="18"/>
                <w:szCs w:val="14"/>
              </w:rPr>
              <w:t>2022</w:t>
            </w:r>
            <w:r w:rsidR="00B02873" w:rsidRPr="00F54AE3">
              <w:rPr>
                <w:rFonts w:asciiTheme="minorHAnsi" w:hAnsiTheme="minorHAnsi" w:cstheme="minorHAnsi"/>
                <w:sz w:val="18"/>
                <w:szCs w:val="14"/>
              </w:rPr>
              <w:br/>
              <w:t>$’000</w:t>
            </w:r>
          </w:p>
        </w:tc>
        <w:tc>
          <w:tcPr>
            <w:tcW w:w="1232" w:type="dxa"/>
          </w:tcPr>
          <w:p w14:paraId="24E2F49E" w14:textId="5B39FCF3" w:rsidR="00B02873" w:rsidRPr="00C9714F" w:rsidRDefault="00C9714F" w:rsidP="00C9714F">
            <w:pPr>
              <w:pStyle w:val="TableheadingleftFinancialsTables"/>
              <w:jc w:val="right"/>
              <w:rPr>
                <w:rFonts w:asciiTheme="minorHAnsi" w:hAnsiTheme="minorHAnsi" w:cstheme="minorHAnsi"/>
                <w:sz w:val="18"/>
                <w:szCs w:val="14"/>
              </w:rPr>
            </w:pPr>
            <w:r w:rsidRPr="00C9714F">
              <w:rPr>
                <w:rFonts w:asciiTheme="minorHAnsi" w:hAnsiTheme="minorHAnsi" w:cstheme="minorHAnsi"/>
                <w:sz w:val="18"/>
                <w:szCs w:val="14"/>
              </w:rPr>
              <w:t xml:space="preserve">Effective Water Management and Supply </w:t>
            </w:r>
            <w:r w:rsidR="00B02873" w:rsidRPr="00C9714F">
              <w:rPr>
                <w:rFonts w:asciiTheme="minorHAnsi" w:hAnsiTheme="minorHAnsi" w:cstheme="minorHAnsi"/>
                <w:sz w:val="18"/>
                <w:szCs w:val="14"/>
              </w:rPr>
              <w:t>2021</w:t>
            </w:r>
            <w:r w:rsidR="00B02873" w:rsidRPr="00C9714F">
              <w:rPr>
                <w:rFonts w:asciiTheme="minorHAnsi" w:hAnsiTheme="minorHAnsi" w:cstheme="minorHAnsi"/>
                <w:sz w:val="18"/>
                <w:szCs w:val="14"/>
              </w:rPr>
              <w:br/>
              <w:t>$’000</w:t>
            </w:r>
          </w:p>
        </w:tc>
        <w:tc>
          <w:tcPr>
            <w:tcW w:w="850" w:type="dxa"/>
          </w:tcPr>
          <w:p w14:paraId="31CF12F6" w14:textId="5E45DCF4" w:rsidR="00B02873" w:rsidRPr="00F54AE3" w:rsidRDefault="00C9714F" w:rsidP="00C9714F">
            <w:pPr>
              <w:pStyle w:val="TableheadingleftFinancialsTables"/>
              <w:jc w:val="right"/>
              <w:rPr>
                <w:rFonts w:asciiTheme="minorHAnsi" w:hAnsiTheme="minorHAnsi" w:cstheme="minorHAnsi"/>
                <w:sz w:val="18"/>
                <w:szCs w:val="14"/>
              </w:rPr>
            </w:pPr>
            <w:r w:rsidRPr="00F54AE3">
              <w:rPr>
                <w:rFonts w:asciiTheme="minorHAnsi" w:hAnsiTheme="minorHAnsi" w:cstheme="minorHAnsi"/>
                <w:sz w:val="18"/>
                <w:szCs w:val="14"/>
              </w:rPr>
              <w:t xml:space="preserve">Climate Change </w:t>
            </w:r>
            <w:r w:rsidR="00B02873" w:rsidRPr="00F54AE3">
              <w:rPr>
                <w:rFonts w:asciiTheme="minorHAnsi" w:hAnsiTheme="minorHAnsi" w:cstheme="minorHAnsi"/>
                <w:sz w:val="18"/>
                <w:szCs w:val="14"/>
              </w:rPr>
              <w:t>2022</w:t>
            </w:r>
            <w:r w:rsidR="00B02873" w:rsidRPr="00F54AE3">
              <w:rPr>
                <w:rFonts w:asciiTheme="minorHAnsi" w:hAnsiTheme="minorHAnsi" w:cstheme="minorHAnsi"/>
                <w:sz w:val="18"/>
                <w:szCs w:val="14"/>
              </w:rPr>
              <w:br/>
              <w:t>$’000</w:t>
            </w:r>
          </w:p>
        </w:tc>
        <w:tc>
          <w:tcPr>
            <w:tcW w:w="851" w:type="dxa"/>
          </w:tcPr>
          <w:p w14:paraId="70173EBB" w14:textId="54F2DD27" w:rsidR="00B02873" w:rsidRPr="00C9714F" w:rsidRDefault="00C9714F" w:rsidP="00C9714F">
            <w:pPr>
              <w:pStyle w:val="TableheadingleftFinancialsTables"/>
              <w:jc w:val="right"/>
              <w:rPr>
                <w:rFonts w:asciiTheme="minorHAnsi" w:hAnsiTheme="minorHAnsi" w:cstheme="minorHAnsi"/>
                <w:sz w:val="18"/>
                <w:szCs w:val="14"/>
              </w:rPr>
            </w:pPr>
            <w:r w:rsidRPr="00C9714F">
              <w:rPr>
                <w:rFonts w:asciiTheme="minorHAnsi" w:hAnsiTheme="minorHAnsi" w:cstheme="minorHAnsi"/>
                <w:sz w:val="18"/>
                <w:szCs w:val="14"/>
              </w:rPr>
              <w:t xml:space="preserve">Climate Change </w:t>
            </w:r>
            <w:r w:rsidR="00B02873" w:rsidRPr="00C9714F">
              <w:rPr>
                <w:rFonts w:asciiTheme="minorHAnsi" w:hAnsiTheme="minorHAnsi" w:cstheme="minorHAnsi"/>
                <w:sz w:val="18"/>
                <w:szCs w:val="14"/>
              </w:rPr>
              <w:t>2021</w:t>
            </w:r>
            <w:r w:rsidR="00B02873" w:rsidRPr="00C9714F">
              <w:rPr>
                <w:rFonts w:asciiTheme="minorHAnsi" w:hAnsiTheme="minorHAnsi" w:cstheme="minorHAnsi"/>
                <w:sz w:val="18"/>
                <w:szCs w:val="14"/>
              </w:rPr>
              <w:br/>
              <w:t>$’000</w:t>
            </w:r>
          </w:p>
        </w:tc>
      </w:tr>
      <w:tr w:rsidR="00B02873" w:rsidRPr="00C9714F" w14:paraId="6C92CC28" w14:textId="77777777" w:rsidTr="00F54AE3">
        <w:tc>
          <w:tcPr>
            <w:tcW w:w="3175" w:type="dxa"/>
          </w:tcPr>
          <w:p w14:paraId="7BB23A2B" w14:textId="77777777" w:rsidR="00B02873" w:rsidRPr="00F54AE3" w:rsidRDefault="00B02873" w:rsidP="00C9714F">
            <w:pPr>
              <w:pStyle w:val="TablebodyleftFinancialsTables"/>
              <w:rPr>
                <w:rFonts w:asciiTheme="minorHAnsi" w:hAnsiTheme="minorHAnsi" w:cstheme="minorHAnsi"/>
                <w:b/>
                <w:bCs/>
                <w:sz w:val="18"/>
                <w:szCs w:val="14"/>
              </w:rPr>
            </w:pPr>
            <w:r w:rsidRPr="00F54AE3">
              <w:rPr>
                <w:rFonts w:asciiTheme="minorHAnsi" w:hAnsiTheme="minorHAnsi" w:cstheme="minorHAnsi"/>
                <w:b/>
                <w:bCs/>
                <w:sz w:val="18"/>
                <w:szCs w:val="14"/>
              </w:rPr>
              <w:t>Administered revenue and income from transactions</w:t>
            </w:r>
          </w:p>
        </w:tc>
        <w:tc>
          <w:tcPr>
            <w:tcW w:w="1215" w:type="dxa"/>
          </w:tcPr>
          <w:p w14:paraId="7F6E72D0" w14:textId="77777777" w:rsidR="00B02873" w:rsidRPr="00F54AE3" w:rsidRDefault="00B02873" w:rsidP="00C9714F">
            <w:pPr>
              <w:pStyle w:val="TablebodyleftFinancialsTables"/>
              <w:jc w:val="right"/>
              <w:rPr>
                <w:rFonts w:asciiTheme="minorHAnsi" w:hAnsiTheme="minorHAnsi" w:cstheme="minorHAnsi"/>
                <w:b/>
                <w:bCs/>
                <w:sz w:val="18"/>
                <w:szCs w:val="14"/>
              </w:rPr>
            </w:pPr>
          </w:p>
        </w:tc>
        <w:tc>
          <w:tcPr>
            <w:tcW w:w="1219" w:type="dxa"/>
          </w:tcPr>
          <w:p w14:paraId="4B3784AE" w14:textId="77777777" w:rsidR="00B02873" w:rsidRPr="00C9714F" w:rsidRDefault="00B02873" w:rsidP="00C9714F">
            <w:pPr>
              <w:pStyle w:val="TablebodyleftFinancialsTables"/>
              <w:jc w:val="right"/>
              <w:rPr>
                <w:rFonts w:asciiTheme="minorHAnsi" w:hAnsiTheme="minorHAnsi" w:cstheme="minorHAnsi"/>
                <w:sz w:val="18"/>
                <w:szCs w:val="14"/>
              </w:rPr>
            </w:pPr>
          </w:p>
        </w:tc>
        <w:tc>
          <w:tcPr>
            <w:tcW w:w="1217" w:type="dxa"/>
          </w:tcPr>
          <w:p w14:paraId="2BE9EF70" w14:textId="77777777" w:rsidR="00B02873" w:rsidRPr="00F54AE3" w:rsidRDefault="00B02873" w:rsidP="00C9714F">
            <w:pPr>
              <w:pStyle w:val="TablebodyleftFinancialsTables"/>
              <w:jc w:val="right"/>
              <w:rPr>
                <w:rFonts w:asciiTheme="minorHAnsi" w:hAnsiTheme="minorHAnsi" w:cstheme="minorHAnsi"/>
                <w:b/>
                <w:bCs/>
                <w:sz w:val="18"/>
                <w:szCs w:val="14"/>
              </w:rPr>
            </w:pPr>
          </w:p>
        </w:tc>
        <w:tc>
          <w:tcPr>
            <w:tcW w:w="1232" w:type="dxa"/>
          </w:tcPr>
          <w:p w14:paraId="48936890" w14:textId="77777777" w:rsidR="00B02873" w:rsidRPr="00C9714F" w:rsidRDefault="00B02873" w:rsidP="00C9714F">
            <w:pPr>
              <w:pStyle w:val="TablebodyleftFinancialsTables"/>
              <w:jc w:val="right"/>
              <w:rPr>
                <w:rFonts w:asciiTheme="minorHAnsi" w:hAnsiTheme="minorHAnsi" w:cstheme="minorHAnsi"/>
                <w:sz w:val="18"/>
                <w:szCs w:val="14"/>
              </w:rPr>
            </w:pPr>
          </w:p>
        </w:tc>
        <w:tc>
          <w:tcPr>
            <w:tcW w:w="850" w:type="dxa"/>
          </w:tcPr>
          <w:p w14:paraId="5A1F4416" w14:textId="77777777" w:rsidR="00B02873" w:rsidRPr="00F54AE3" w:rsidRDefault="00B02873" w:rsidP="00C9714F">
            <w:pPr>
              <w:pStyle w:val="TablebodyleftFinancialsTables"/>
              <w:jc w:val="right"/>
              <w:rPr>
                <w:rFonts w:asciiTheme="minorHAnsi" w:hAnsiTheme="minorHAnsi" w:cstheme="minorHAnsi"/>
                <w:b/>
                <w:bCs/>
                <w:sz w:val="18"/>
                <w:szCs w:val="14"/>
              </w:rPr>
            </w:pPr>
          </w:p>
        </w:tc>
        <w:tc>
          <w:tcPr>
            <w:tcW w:w="851" w:type="dxa"/>
          </w:tcPr>
          <w:p w14:paraId="7C83EFC8" w14:textId="77777777" w:rsidR="00B02873" w:rsidRPr="00C9714F" w:rsidRDefault="00B02873" w:rsidP="00C9714F">
            <w:pPr>
              <w:pStyle w:val="TablebodyleftFinancialsTables"/>
              <w:jc w:val="right"/>
              <w:rPr>
                <w:rFonts w:asciiTheme="minorHAnsi" w:hAnsiTheme="minorHAnsi" w:cstheme="minorHAnsi"/>
                <w:sz w:val="18"/>
                <w:szCs w:val="14"/>
              </w:rPr>
            </w:pPr>
          </w:p>
        </w:tc>
      </w:tr>
      <w:tr w:rsidR="00B02873" w:rsidRPr="00C9714F" w14:paraId="40BEEE42" w14:textId="77777777" w:rsidTr="00F54AE3">
        <w:tc>
          <w:tcPr>
            <w:tcW w:w="3175" w:type="dxa"/>
          </w:tcPr>
          <w:p w14:paraId="56AF0826" w14:textId="77777777" w:rsidR="00B02873" w:rsidRPr="00C9714F" w:rsidRDefault="00B02873" w:rsidP="00C9714F">
            <w:pPr>
              <w:pStyle w:val="TablebodyleftFinancialsTables"/>
              <w:rPr>
                <w:rFonts w:asciiTheme="minorHAnsi" w:hAnsiTheme="minorHAnsi" w:cstheme="minorHAnsi"/>
                <w:sz w:val="18"/>
                <w:szCs w:val="14"/>
              </w:rPr>
            </w:pPr>
            <w:r w:rsidRPr="00C9714F">
              <w:rPr>
                <w:rFonts w:asciiTheme="minorHAnsi" w:hAnsiTheme="minorHAnsi" w:cstheme="minorHAnsi"/>
                <w:sz w:val="18"/>
                <w:szCs w:val="14"/>
              </w:rPr>
              <w:t>Appropriations – payments on behalf of the state (POBOS)</w:t>
            </w:r>
          </w:p>
        </w:tc>
        <w:tc>
          <w:tcPr>
            <w:tcW w:w="1215" w:type="dxa"/>
          </w:tcPr>
          <w:p w14:paraId="13D8901F" w14:textId="77777777" w:rsidR="00B02873" w:rsidRPr="00F54AE3" w:rsidRDefault="00B02873" w:rsidP="00C9714F">
            <w:pPr>
              <w:pStyle w:val="TablebodyleftFinancialsTables"/>
              <w:jc w:val="right"/>
              <w:rPr>
                <w:rFonts w:asciiTheme="minorHAnsi" w:hAnsiTheme="minorHAnsi" w:cstheme="minorHAnsi"/>
                <w:b/>
                <w:bCs/>
                <w:sz w:val="18"/>
                <w:szCs w:val="14"/>
              </w:rPr>
            </w:pPr>
            <w:r w:rsidRPr="00F54AE3">
              <w:rPr>
                <w:rFonts w:asciiTheme="minorHAnsi" w:hAnsiTheme="minorHAnsi" w:cstheme="minorHAnsi"/>
                <w:b/>
                <w:bCs/>
                <w:sz w:val="18"/>
                <w:szCs w:val="14"/>
              </w:rPr>
              <w:t>–</w:t>
            </w:r>
          </w:p>
        </w:tc>
        <w:tc>
          <w:tcPr>
            <w:tcW w:w="1219" w:type="dxa"/>
          </w:tcPr>
          <w:p w14:paraId="761DA177" w14:textId="77777777" w:rsidR="00B02873" w:rsidRPr="00C9714F" w:rsidRDefault="00B02873" w:rsidP="00C9714F">
            <w:pPr>
              <w:pStyle w:val="TablebodyleftFinancialsTables"/>
              <w:jc w:val="right"/>
              <w:rPr>
                <w:rFonts w:asciiTheme="minorHAnsi" w:hAnsiTheme="minorHAnsi" w:cstheme="minorHAnsi"/>
                <w:sz w:val="18"/>
                <w:szCs w:val="14"/>
              </w:rPr>
            </w:pPr>
            <w:r w:rsidRPr="00C9714F">
              <w:rPr>
                <w:rFonts w:asciiTheme="minorHAnsi" w:hAnsiTheme="minorHAnsi" w:cstheme="minorHAnsi"/>
                <w:sz w:val="18"/>
                <w:szCs w:val="14"/>
              </w:rPr>
              <w:t>–</w:t>
            </w:r>
          </w:p>
        </w:tc>
        <w:tc>
          <w:tcPr>
            <w:tcW w:w="1217" w:type="dxa"/>
          </w:tcPr>
          <w:p w14:paraId="69C858E0" w14:textId="77777777" w:rsidR="00B02873" w:rsidRPr="00F54AE3" w:rsidRDefault="00B02873" w:rsidP="00C9714F">
            <w:pPr>
              <w:pStyle w:val="TablebodyleftFinancialsTables"/>
              <w:jc w:val="right"/>
              <w:rPr>
                <w:rFonts w:asciiTheme="minorHAnsi" w:hAnsiTheme="minorHAnsi" w:cstheme="minorHAnsi"/>
                <w:b/>
                <w:bCs/>
                <w:sz w:val="18"/>
                <w:szCs w:val="14"/>
              </w:rPr>
            </w:pPr>
            <w:r w:rsidRPr="00F54AE3">
              <w:rPr>
                <w:rFonts w:asciiTheme="minorHAnsi" w:hAnsiTheme="minorHAnsi" w:cstheme="minorHAnsi"/>
                <w:b/>
                <w:bCs/>
                <w:sz w:val="18"/>
                <w:szCs w:val="14"/>
              </w:rPr>
              <w:t>665,677</w:t>
            </w:r>
          </w:p>
        </w:tc>
        <w:tc>
          <w:tcPr>
            <w:tcW w:w="1232" w:type="dxa"/>
          </w:tcPr>
          <w:p w14:paraId="460672F3" w14:textId="77777777" w:rsidR="00B02873" w:rsidRPr="00C9714F" w:rsidRDefault="00B02873" w:rsidP="00C9714F">
            <w:pPr>
              <w:pStyle w:val="TablebodyleftFinancialsTables"/>
              <w:jc w:val="right"/>
              <w:rPr>
                <w:rFonts w:asciiTheme="minorHAnsi" w:hAnsiTheme="minorHAnsi" w:cstheme="minorHAnsi"/>
                <w:sz w:val="18"/>
                <w:szCs w:val="14"/>
              </w:rPr>
            </w:pPr>
            <w:r w:rsidRPr="00C9714F">
              <w:rPr>
                <w:rFonts w:asciiTheme="minorHAnsi" w:hAnsiTheme="minorHAnsi" w:cstheme="minorHAnsi"/>
                <w:sz w:val="18"/>
                <w:szCs w:val="14"/>
              </w:rPr>
              <w:t>674,663</w:t>
            </w:r>
          </w:p>
        </w:tc>
        <w:tc>
          <w:tcPr>
            <w:tcW w:w="850" w:type="dxa"/>
          </w:tcPr>
          <w:p w14:paraId="0074AB80" w14:textId="77777777" w:rsidR="00B02873" w:rsidRPr="00F54AE3" w:rsidRDefault="00B02873" w:rsidP="00C9714F">
            <w:pPr>
              <w:pStyle w:val="TablebodyleftFinancialsTables"/>
              <w:jc w:val="right"/>
              <w:rPr>
                <w:rFonts w:asciiTheme="minorHAnsi" w:hAnsiTheme="minorHAnsi" w:cstheme="minorHAnsi"/>
                <w:b/>
                <w:bCs/>
                <w:sz w:val="18"/>
                <w:szCs w:val="14"/>
              </w:rPr>
            </w:pPr>
            <w:r w:rsidRPr="00F54AE3">
              <w:rPr>
                <w:rFonts w:asciiTheme="minorHAnsi" w:hAnsiTheme="minorHAnsi" w:cstheme="minorHAnsi"/>
                <w:b/>
                <w:bCs/>
                <w:sz w:val="18"/>
                <w:szCs w:val="14"/>
              </w:rPr>
              <w:t>–</w:t>
            </w:r>
          </w:p>
        </w:tc>
        <w:tc>
          <w:tcPr>
            <w:tcW w:w="851" w:type="dxa"/>
          </w:tcPr>
          <w:p w14:paraId="16E3EB19" w14:textId="77777777" w:rsidR="00B02873" w:rsidRPr="00C9714F" w:rsidRDefault="00B02873" w:rsidP="00C9714F">
            <w:pPr>
              <w:pStyle w:val="TablebodyleftFinancialsTables"/>
              <w:jc w:val="right"/>
              <w:rPr>
                <w:rFonts w:asciiTheme="minorHAnsi" w:hAnsiTheme="minorHAnsi" w:cstheme="minorHAnsi"/>
                <w:sz w:val="18"/>
                <w:szCs w:val="14"/>
              </w:rPr>
            </w:pPr>
            <w:r w:rsidRPr="00C9714F">
              <w:rPr>
                <w:rFonts w:asciiTheme="minorHAnsi" w:hAnsiTheme="minorHAnsi" w:cstheme="minorHAnsi"/>
                <w:sz w:val="18"/>
                <w:szCs w:val="14"/>
              </w:rPr>
              <w:t>–</w:t>
            </w:r>
          </w:p>
        </w:tc>
      </w:tr>
      <w:tr w:rsidR="00B02873" w:rsidRPr="00C9714F" w14:paraId="3346FD97" w14:textId="77777777" w:rsidTr="00F54AE3">
        <w:tc>
          <w:tcPr>
            <w:tcW w:w="3175" w:type="dxa"/>
          </w:tcPr>
          <w:p w14:paraId="77C72696" w14:textId="77777777" w:rsidR="00B02873" w:rsidRPr="00C9714F" w:rsidRDefault="00B02873" w:rsidP="00C9714F">
            <w:pPr>
              <w:pStyle w:val="TablebodyleftFinancialsTables"/>
              <w:rPr>
                <w:rFonts w:asciiTheme="minorHAnsi" w:hAnsiTheme="minorHAnsi" w:cstheme="minorHAnsi"/>
                <w:sz w:val="18"/>
                <w:szCs w:val="14"/>
              </w:rPr>
            </w:pPr>
            <w:r w:rsidRPr="00C9714F">
              <w:rPr>
                <w:rFonts w:asciiTheme="minorHAnsi" w:hAnsiTheme="minorHAnsi" w:cstheme="minorHAnsi"/>
                <w:sz w:val="18"/>
                <w:szCs w:val="14"/>
              </w:rPr>
              <w:t>Interest income (Note 4.2.5)</w:t>
            </w:r>
          </w:p>
        </w:tc>
        <w:tc>
          <w:tcPr>
            <w:tcW w:w="1215" w:type="dxa"/>
          </w:tcPr>
          <w:p w14:paraId="2E205176" w14:textId="77777777" w:rsidR="00B02873" w:rsidRPr="00F54AE3" w:rsidRDefault="00B02873" w:rsidP="00C9714F">
            <w:pPr>
              <w:pStyle w:val="TablebodyleftFinancialsTables"/>
              <w:jc w:val="right"/>
              <w:rPr>
                <w:rFonts w:asciiTheme="minorHAnsi" w:hAnsiTheme="minorHAnsi" w:cstheme="minorHAnsi"/>
                <w:b/>
                <w:bCs/>
                <w:sz w:val="18"/>
                <w:szCs w:val="14"/>
              </w:rPr>
            </w:pPr>
            <w:r w:rsidRPr="00F54AE3">
              <w:rPr>
                <w:rFonts w:asciiTheme="minorHAnsi" w:hAnsiTheme="minorHAnsi" w:cstheme="minorHAnsi"/>
                <w:b/>
                <w:bCs/>
                <w:sz w:val="18"/>
                <w:szCs w:val="14"/>
              </w:rPr>
              <w:t>–</w:t>
            </w:r>
          </w:p>
        </w:tc>
        <w:tc>
          <w:tcPr>
            <w:tcW w:w="1219" w:type="dxa"/>
          </w:tcPr>
          <w:p w14:paraId="28E1F735" w14:textId="77777777" w:rsidR="00B02873" w:rsidRPr="00C9714F" w:rsidRDefault="00B02873" w:rsidP="00C9714F">
            <w:pPr>
              <w:pStyle w:val="TablebodyleftFinancialsTables"/>
              <w:jc w:val="right"/>
              <w:rPr>
                <w:rFonts w:asciiTheme="minorHAnsi" w:hAnsiTheme="minorHAnsi" w:cstheme="minorHAnsi"/>
                <w:sz w:val="18"/>
                <w:szCs w:val="14"/>
              </w:rPr>
            </w:pPr>
            <w:r w:rsidRPr="00C9714F">
              <w:rPr>
                <w:rFonts w:asciiTheme="minorHAnsi" w:hAnsiTheme="minorHAnsi" w:cstheme="minorHAnsi"/>
                <w:sz w:val="18"/>
                <w:szCs w:val="14"/>
              </w:rPr>
              <w:t>–</w:t>
            </w:r>
          </w:p>
        </w:tc>
        <w:tc>
          <w:tcPr>
            <w:tcW w:w="1217" w:type="dxa"/>
          </w:tcPr>
          <w:p w14:paraId="7FD56FD6" w14:textId="77777777" w:rsidR="00B02873" w:rsidRPr="00F54AE3" w:rsidRDefault="00B02873" w:rsidP="00C9714F">
            <w:pPr>
              <w:pStyle w:val="TablebodyleftFinancialsTables"/>
              <w:jc w:val="right"/>
              <w:rPr>
                <w:rFonts w:asciiTheme="minorHAnsi" w:hAnsiTheme="minorHAnsi" w:cstheme="minorHAnsi"/>
                <w:b/>
                <w:bCs/>
                <w:sz w:val="18"/>
                <w:szCs w:val="14"/>
              </w:rPr>
            </w:pPr>
            <w:r w:rsidRPr="00F54AE3">
              <w:rPr>
                <w:rFonts w:asciiTheme="minorHAnsi" w:hAnsiTheme="minorHAnsi" w:cstheme="minorHAnsi"/>
                <w:b/>
                <w:bCs/>
                <w:sz w:val="18"/>
                <w:szCs w:val="14"/>
              </w:rPr>
              <w:t>401,469</w:t>
            </w:r>
          </w:p>
        </w:tc>
        <w:tc>
          <w:tcPr>
            <w:tcW w:w="1232" w:type="dxa"/>
          </w:tcPr>
          <w:p w14:paraId="3A305ECD" w14:textId="77777777" w:rsidR="00B02873" w:rsidRPr="00C9714F" w:rsidRDefault="00B02873" w:rsidP="00C9714F">
            <w:pPr>
              <w:pStyle w:val="TablebodyleftFinancialsTables"/>
              <w:jc w:val="right"/>
              <w:rPr>
                <w:rFonts w:asciiTheme="minorHAnsi" w:hAnsiTheme="minorHAnsi" w:cstheme="minorHAnsi"/>
                <w:sz w:val="18"/>
                <w:szCs w:val="14"/>
              </w:rPr>
            </w:pPr>
            <w:r w:rsidRPr="00C9714F">
              <w:rPr>
                <w:rFonts w:asciiTheme="minorHAnsi" w:hAnsiTheme="minorHAnsi" w:cstheme="minorHAnsi"/>
                <w:sz w:val="18"/>
                <w:szCs w:val="14"/>
              </w:rPr>
              <w:t>403,817</w:t>
            </w:r>
          </w:p>
        </w:tc>
        <w:tc>
          <w:tcPr>
            <w:tcW w:w="850" w:type="dxa"/>
          </w:tcPr>
          <w:p w14:paraId="6CB1B443" w14:textId="77777777" w:rsidR="00B02873" w:rsidRPr="00F54AE3" w:rsidRDefault="00B02873" w:rsidP="00C9714F">
            <w:pPr>
              <w:pStyle w:val="TablebodyleftFinancialsTables"/>
              <w:jc w:val="right"/>
              <w:rPr>
                <w:rFonts w:asciiTheme="minorHAnsi" w:hAnsiTheme="minorHAnsi" w:cstheme="minorHAnsi"/>
                <w:b/>
                <w:bCs/>
                <w:sz w:val="18"/>
                <w:szCs w:val="14"/>
              </w:rPr>
            </w:pPr>
            <w:r w:rsidRPr="00F54AE3">
              <w:rPr>
                <w:rFonts w:asciiTheme="minorHAnsi" w:hAnsiTheme="minorHAnsi" w:cstheme="minorHAnsi"/>
                <w:b/>
                <w:bCs/>
                <w:sz w:val="18"/>
                <w:szCs w:val="14"/>
              </w:rPr>
              <w:t>–</w:t>
            </w:r>
          </w:p>
        </w:tc>
        <w:tc>
          <w:tcPr>
            <w:tcW w:w="851" w:type="dxa"/>
          </w:tcPr>
          <w:p w14:paraId="785D6DB7" w14:textId="77777777" w:rsidR="00B02873" w:rsidRPr="00C9714F" w:rsidRDefault="00B02873" w:rsidP="00C9714F">
            <w:pPr>
              <w:pStyle w:val="TablebodyleftFinancialsTables"/>
              <w:jc w:val="right"/>
              <w:rPr>
                <w:rFonts w:asciiTheme="minorHAnsi" w:hAnsiTheme="minorHAnsi" w:cstheme="minorHAnsi"/>
                <w:sz w:val="18"/>
                <w:szCs w:val="14"/>
              </w:rPr>
            </w:pPr>
            <w:r w:rsidRPr="00C9714F">
              <w:rPr>
                <w:rFonts w:asciiTheme="minorHAnsi" w:hAnsiTheme="minorHAnsi" w:cstheme="minorHAnsi"/>
                <w:sz w:val="18"/>
                <w:szCs w:val="14"/>
              </w:rPr>
              <w:t>–</w:t>
            </w:r>
          </w:p>
        </w:tc>
      </w:tr>
      <w:tr w:rsidR="00B02873" w:rsidRPr="00C9714F" w14:paraId="4936BA3E" w14:textId="77777777" w:rsidTr="00F54AE3">
        <w:tc>
          <w:tcPr>
            <w:tcW w:w="3175" w:type="dxa"/>
          </w:tcPr>
          <w:p w14:paraId="457B6A4A" w14:textId="77777777" w:rsidR="00B02873" w:rsidRPr="00C9714F" w:rsidRDefault="00B02873" w:rsidP="00C9714F">
            <w:pPr>
              <w:pStyle w:val="TablebodyleftFinancialsTables"/>
              <w:rPr>
                <w:rFonts w:asciiTheme="minorHAnsi" w:hAnsiTheme="minorHAnsi" w:cstheme="minorHAnsi"/>
                <w:sz w:val="18"/>
                <w:szCs w:val="14"/>
              </w:rPr>
            </w:pPr>
            <w:r w:rsidRPr="00C9714F">
              <w:rPr>
                <w:rFonts w:asciiTheme="minorHAnsi" w:hAnsiTheme="minorHAnsi" w:cstheme="minorHAnsi"/>
                <w:sz w:val="18"/>
                <w:szCs w:val="14"/>
              </w:rPr>
              <w:t xml:space="preserve">Sales of goods and services </w:t>
            </w:r>
          </w:p>
        </w:tc>
        <w:tc>
          <w:tcPr>
            <w:tcW w:w="1215" w:type="dxa"/>
          </w:tcPr>
          <w:p w14:paraId="2AA969F5" w14:textId="77777777" w:rsidR="00B02873" w:rsidRPr="00F54AE3" w:rsidRDefault="00B02873" w:rsidP="00C9714F">
            <w:pPr>
              <w:pStyle w:val="TablebodyleftFinancialsTables"/>
              <w:jc w:val="right"/>
              <w:rPr>
                <w:rFonts w:asciiTheme="minorHAnsi" w:hAnsiTheme="minorHAnsi" w:cstheme="minorHAnsi"/>
                <w:b/>
                <w:bCs/>
                <w:sz w:val="18"/>
                <w:szCs w:val="14"/>
              </w:rPr>
            </w:pPr>
            <w:r w:rsidRPr="00F54AE3">
              <w:rPr>
                <w:rFonts w:asciiTheme="minorHAnsi" w:hAnsiTheme="minorHAnsi" w:cstheme="minorHAnsi"/>
                <w:b/>
                <w:bCs/>
                <w:sz w:val="18"/>
                <w:szCs w:val="14"/>
              </w:rPr>
              <w:t>145</w:t>
            </w:r>
          </w:p>
        </w:tc>
        <w:tc>
          <w:tcPr>
            <w:tcW w:w="1219" w:type="dxa"/>
          </w:tcPr>
          <w:p w14:paraId="4052A403" w14:textId="77777777" w:rsidR="00B02873" w:rsidRPr="00C9714F" w:rsidRDefault="00B02873" w:rsidP="00C9714F">
            <w:pPr>
              <w:pStyle w:val="TablebodyleftFinancialsTables"/>
              <w:jc w:val="right"/>
              <w:rPr>
                <w:rFonts w:asciiTheme="minorHAnsi" w:hAnsiTheme="minorHAnsi" w:cstheme="minorHAnsi"/>
                <w:sz w:val="18"/>
                <w:szCs w:val="14"/>
              </w:rPr>
            </w:pPr>
            <w:r w:rsidRPr="00C9714F">
              <w:rPr>
                <w:rFonts w:asciiTheme="minorHAnsi" w:hAnsiTheme="minorHAnsi" w:cstheme="minorHAnsi"/>
                <w:sz w:val="18"/>
                <w:szCs w:val="14"/>
              </w:rPr>
              <w:t>234</w:t>
            </w:r>
          </w:p>
        </w:tc>
        <w:tc>
          <w:tcPr>
            <w:tcW w:w="1217" w:type="dxa"/>
          </w:tcPr>
          <w:p w14:paraId="3D6ACFEC" w14:textId="77777777" w:rsidR="00B02873" w:rsidRPr="00F54AE3" w:rsidRDefault="00B02873" w:rsidP="00C9714F">
            <w:pPr>
              <w:pStyle w:val="TablebodyleftFinancialsTables"/>
              <w:jc w:val="right"/>
              <w:rPr>
                <w:rFonts w:asciiTheme="minorHAnsi" w:hAnsiTheme="minorHAnsi" w:cstheme="minorHAnsi"/>
                <w:b/>
                <w:bCs/>
                <w:sz w:val="18"/>
                <w:szCs w:val="14"/>
              </w:rPr>
            </w:pPr>
            <w:r w:rsidRPr="00F54AE3">
              <w:rPr>
                <w:rFonts w:asciiTheme="minorHAnsi" w:hAnsiTheme="minorHAnsi" w:cstheme="minorHAnsi"/>
                <w:b/>
                <w:bCs/>
                <w:sz w:val="18"/>
                <w:szCs w:val="14"/>
              </w:rPr>
              <w:t>227,002</w:t>
            </w:r>
          </w:p>
        </w:tc>
        <w:tc>
          <w:tcPr>
            <w:tcW w:w="1232" w:type="dxa"/>
          </w:tcPr>
          <w:p w14:paraId="45B7597D" w14:textId="77777777" w:rsidR="00B02873" w:rsidRPr="00C9714F" w:rsidRDefault="00B02873" w:rsidP="00C9714F">
            <w:pPr>
              <w:pStyle w:val="TablebodyleftFinancialsTables"/>
              <w:jc w:val="right"/>
              <w:rPr>
                <w:rFonts w:asciiTheme="minorHAnsi" w:hAnsiTheme="minorHAnsi" w:cstheme="minorHAnsi"/>
                <w:sz w:val="18"/>
                <w:szCs w:val="14"/>
              </w:rPr>
            </w:pPr>
            <w:r w:rsidRPr="00C9714F">
              <w:rPr>
                <w:rFonts w:asciiTheme="minorHAnsi" w:hAnsiTheme="minorHAnsi" w:cstheme="minorHAnsi"/>
                <w:sz w:val="18"/>
                <w:szCs w:val="14"/>
              </w:rPr>
              <w:t>222,281</w:t>
            </w:r>
          </w:p>
        </w:tc>
        <w:tc>
          <w:tcPr>
            <w:tcW w:w="850" w:type="dxa"/>
          </w:tcPr>
          <w:p w14:paraId="25F0F890" w14:textId="77777777" w:rsidR="00B02873" w:rsidRPr="00F54AE3" w:rsidRDefault="00B02873" w:rsidP="00C9714F">
            <w:pPr>
              <w:pStyle w:val="TablebodyleftFinancialsTables"/>
              <w:jc w:val="right"/>
              <w:rPr>
                <w:rFonts w:asciiTheme="minorHAnsi" w:hAnsiTheme="minorHAnsi" w:cstheme="minorHAnsi"/>
                <w:b/>
                <w:bCs/>
                <w:sz w:val="18"/>
                <w:szCs w:val="14"/>
              </w:rPr>
            </w:pPr>
            <w:r w:rsidRPr="00F54AE3">
              <w:rPr>
                <w:rFonts w:asciiTheme="minorHAnsi" w:hAnsiTheme="minorHAnsi" w:cstheme="minorHAnsi"/>
                <w:b/>
                <w:bCs/>
                <w:sz w:val="18"/>
                <w:szCs w:val="14"/>
              </w:rPr>
              <w:t>–</w:t>
            </w:r>
          </w:p>
        </w:tc>
        <w:tc>
          <w:tcPr>
            <w:tcW w:w="851" w:type="dxa"/>
          </w:tcPr>
          <w:p w14:paraId="287C7239" w14:textId="77777777" w:rsidR="00B02873" w:rsidRPr="00C9714F" w:rsidRDefault="00B02873" w:rsidP="00C9714F">
            <w:pPr>
              <w:pStyle w:val="TablebodyleftFinancialsTables"/>
              <w:jc w:val="right"/>
              <w:rPr>
                <w:rFonts w:asciiTheme="minorHAnsi" w:hAnsiTheme="minorHAnsi" w:cstheme="minorHAnsi"/>
                <w:sz w:val="18"/>
                <w:szCs w:val="14"/>
              </w:rPr>
            </w:pPr>
            <w:r w:rsidRPr="00C9714F">
              <w:rPr>
                <w:rFonts w:asciiTheme="minorHAnsi" w:hAnsiTheme="minorHAnsi" w:cstheme="minorHAnsi"/>
                <w:sz w:val="18"/>
                <w:szCs w:val="14"/>
              </w:rPr>
              <w:t>–</w:t>
            </w:r>
          </w:p>
        </w:tc>
      </w:tr>
      <w:tr w:rsidR="00B02873" w:rsidRPr="00C9714F" w14:paraId="301D8756" w14:textId="77777777" w:rsidTr="00F54AE3">
        <w:tc>
          <w:tcPr>
            <w:tcW w:w="3175" w:type="dxa"/>
          </w:tcPr>
          <w:p w14:paraId="5393A594" w14:textId="7190CE0E" w:rsidR="00B02873" w:rsidRPr="00C9714F" w:rsidRDefault="00B02873" w:rsidP="00C9714F">
            <w:pPr>
              <w:pStyle w:val="TablebodyleftFinancialsTables"/>
              <w:rPr>
                <w:rFonts w:asciiTheme="minorHAnsi" w:hAnsiTheme="minorHAnsi" w:cstheme="minorHAnsi"/>
                <w:sz w:val="18"/>
                <w:szCs w:val="14"/>
              </w:rPr>
            </w:pPr>
            <w:r w:rsidRPr="00C9714F">
              <w:rPr>
                <w:rFonts w:asciiTheme="minorHAnsi" w:hAnsiTheme="minorHAnsi" w:cstheme="minorHAnsi"/>
                <w:sz w:val="18"/>
                <w:szCs w:val="14"/>
              </w:rPr>
              <w:t>Royalties, land leases and licences</w:t>
            </w:r>
          </w:p>
        </w:tc>
        <w:tc>
          <w:tcPr>
            <w:tcW w:w="1215" w:type="dxa"/>
          </w:tcPr>
          <w:p w14:paraId="6243FC6D" w14:textId="77777777" w:rsidR="00B02873" w:rsidRPr="00F54AE3" w:rsidRDefault="00B02873" w:rsidP="00C9714F">
            <w:pPr>
              <w:pStyle w:val="TablebodyleftFinancialsTables"/>
              <w:jc w:val="right"/>
              <w:rPr>
                <w:rFonts w:asciiTheme="minorHAnsi" w:hAnsiTheme="minorHAnsi" w:cstheme="minorHAnsi"/>
                <w:b/>
                <w:bCs/>
                <w:sz w:val="18"/>
                <w:szCs w:val="14"/>
              </w:rPr>
            </w:pPr>
            <w:r w:rsidRPr="00F54AE3">
              <w:rPr>
                <w:rFonts w:asciiTheme="minorHAnsi" w:hAnsiTheme="minorHAnsi" w:cstheme="minorHAnsi"/>
                <w:b/>
                <w:bCs/>
                <w:sz w:val="18"/>
                <w:szCs w:val="14"/>
              </w:rPr>
              <w:t>11,008</w:t>
            </w:r>
          </w:p>
        </w:tc>
        <w:tc>
          <w:tcPr>
            <w:tcW w:w="1219" w:type="dxa"/>
          </w:tcPr>
          <w:p w14:paraId="6537BD62" w14:textId="77777777" w:rsidR="00B02873" w:rsidRPr="00C9714F" w:rsidRDefault="00B02873" w:rsidP="00C9714F">
            <w:pPr>
              <w:pStyle w:val="TablebodyleftFinancialsTables"/>
              <w:jc w:val="right"/>
              <w:rPr>
                <w:rFonts w:asciiTheme="minorHAnsi" w:hAnsiTheme="minorHAnsi" w:cstheme="minorHAnsi"/>
                <w:sz w:val="18"/>
                <w:szCs w:val="14"/>
              </w:rPr>
            </w:pPr>
            <w:r w:rsidRPr="00C9714F">
              <w:rPr>
                <w:rFonts w:asciiTheme="minorHAnsi" w:hAnsiTheme="minorHAnsi" w:cstheme="minorHAnsi"/>
                <w:sz w:val="18"/>
                <w:szCs w:val="14"/>
              </w:rPr>
              <w:t>9,680</w:t>
            </w:r>
          </w:p>
        </w:tc>
        <w:tc>
          <w:tcPr>
            <w:tcW w:w="1217" w:type="dxa"/>
          </w:tcPr>
          <w:p w14:paraId="26694600" w14:textId="77777777" w:rsidR="00B02873" w:rsidRPr="00F54AE3" w:rsidRDefault="00B02873" w:rsidP="00C9714F">
            <w:pPr>
              <w:pStyle w:val="TablebodyleftFinancialsTables"/>
              <w:jc w:val="right"/>
              <w:rPr>
                <w:rFonts w:asciiTheme="minorHAnsi" w:hAnsiTheme="minorHAnsi" w:cstheme="minorHAnsi"/>
                <w:b/>
                <w:bCs/>
                <w:sz w:val="18"/>
                <w:szCs w:val="14"/>
              </w:rPr>
            </w:pPr>
            <w:r w:rsidRPr="00F54AE3">
              <w:rPr>
                <w:rFonts w:asciiTheme="minorHAnsi" w:hAnsiTheme="minorHAnsi" w:cstheme="minorHAnsi"/>
                <w:b/>
                <w:bCs/>
                <w:sz w:val="18"/>
                <w:szCs w:val="14"/>
              </w:rPr>
              <w:t>–</w:t>
            </w:r>
          </w:p>
        </w:tc>
        <w:tc>
          <w:tcPr>
            <w:tcW w:w="1232" w:type="dxa"/>
          </w:tcPr>
          <w:p w14:paraId="2FAF28F8" w14:textId="77777777" w:rsidR="00B02873" w:rsidRPr="00C9714F" w:rsidRDefault="00B02873" w:rsidP="00C9714F">
            <w:pPr>
              <w:pStyle w:val="TablebodyleftFinancialsTables"/>
              <w:jc w:val="right"/>
              <w:rPr>
                <w:rFonts w:asciiTheme="minorHAnsi" w:hAnsiTheme="minorHAnsi" w:cstheme="minorHAnsi"/>
                <w:sz w:val="18"/>
                <w:szCs w:val="14"/>
              </w:rPr>
            </w:pPr>
            <w:r w:rsidRPr="00C9714F">
              <w:rPr>
                <w:rFonts w:asciiTheme="minorHAnsi" w:hAnsiTheme="minorHAnsi" w:cstheme="minorHAnsi"/>
                <w:sz w:val="18"/>
                <w:szCs w:val="14"/>
              </w:rPr>
              <w:t>–</w:t>
            </w:r>
          </w:p>
        </w:tc>
        <w:tc>
          <w:tcPr>
            <w:tcW w:w="850" w:type="dxa"/>
          </w:tcPr>
          <w:p w14:paraId="6DC38A0F" w14:textId="77777777" w:rsidR="00B02873" w:rsidRPr="00F54AE3" w:rsidRDefault="00B02873" w:rsidP="00C9714F">
            <w:pPr>
              <w:pStyle w:val="TablebodyleftFinancialsTables"/>
              <w:jc w:val="right"/>
              <w:rPr>
                <w:rFonts w:asciiTheme="minorHAnsi" w:hAnsiTheme="minorHAnsi" w:cstheme="minorHAnsi"/>
                <w:b/>
                <w:bCs/>
                <w:sz w:val="18"/>
                <w:szCs w:val="14"/>
              </w:rPr>
            </w:pPr>
            <w:r w:rsidRPr="00F54AE3">
              <w:rPr>
                <w:rFonts w:asciiTheme="minorHAnsi" w:hAnsiTheme="minorHAnsi" w:cstheme="minorHAnsi"/>
                <w:b/>
                <w:bCs/>
                <w:sz w:val="18"/>
                <w:szCs w:val="14"/>
              </w:rPr>
              <w:t>–</w:t>
            </w:r>
          </w:p>
        </w:tc>
        <w:tc>
          <w:tcPr>
            <w:tcW w:w="851" w:type="dxa"/>
          </w:tcPr>
          <w:p w14:paraId="019444BC" w14:textId="77777777" w:rsidR="00B02873" w:rsidRPr="00C9714F" w:rsidRDefault="00B02873" w:rsidP="00C9714F">
            <w:pPr>
              <w:pStyle w:val="TablebodyleftFinancialsTables"/>
              <w:jc w:val="right"/>
              <w:rPr>
                <w:rFonts w:asciiTheme="minorHAnsi" w:hAnsiTheme="minorHAnsi" w:cstheme="minorHAnsi"/>
                <w:sz w:val="18"/>
                <w:szCs w:val="14"/>
              </w:rPr>
            </w:pPr>
            <w:r w:rsidRPr="00C9714F">
              <w:rPr>
                <w:rFonts w:asciiTheme="minorHAnsi" w:hAnsiTheme="minorHAnsi" w:cstheme="minorHAnsi"/>
                <w:sz w:val="18"/>
                <w:szCs w:val="14"/>
              </w:rPr>
              <w:t>–</w:t>
            </w:r>
          </w:p>
        </w:tc>
      </w:tr>
      <w:tr w:rsidR="00B02873" w:rsidRPr="00C9714F" w14:paraId="6C775D93" w14:textId="77777777" w:rsidTr="00F54AE3">
        <w:tc>
          <w:tcPr>
            <w:tcW w:w="3175" w:type="dxa"/>
          </w:tcPr>
          <w:p w14:paraId="77DDBA11" w14:textId="77777777" w:rsidR="00B02873" w:rsidRPr="00C9714F" w:rsidRDefault="00B02873" w:rsidP="00C9714F">
            <w:pPr>
              <w:pStyle w:val="TablebodyleftFinancialsTables"/>
              <w:rPr>
                <w:rFonts w:asciiTheme="minorHAnsi" w:hAnsiTheme="minorHAnsi" w:cstheme="minorHAnsi"/>
                <w:sz w:val="18"/>
                <w:szCs w:val="14"/>
              </w:rPr>
            </w:pPr>
            <w:r w:rsidRPr="00C9714F">
              <w:rPr>
                <w:rFonts w:asciiTheme="minorHAnsi" w:hAnsiTheme="minorHAnsi" w:cstheme="minorHAnsi"/>
                <w:sz w:val="18"/>
                <w:szCs w:val="14"/>
              </w:rPr>
              <w:t>Land titles income</w:t>
            </w:r>
          </w:p>
        </w:tc>
        <w:tc>
          <w:tcPr>
            <w:tcW w:w="1215" w:type="dxa"/>
          </w:tcPr>
          <w:p w14:paraId="103822FD" w14:textId="77777777" w:rsidR="00B02873" w:rsidRPr="00F54AE3" w:rsidRDefault="00B02873" w:rsidP="00C9714F">
            <w:pPr>
              <w:pStyle w:val="TablebodyleftFinancialsTables"/>
              <w:jc w:val="right"/>
              <w:rPr>
                <w:rFonts w:asciiTheme="minorHAnsi" w:hAnsiTheme="minorHAnsi" w:cstheme="minorHAnsi"/>
                <w:b/>
                <w:bCs/>
                <w:sz w:val="18"/>
                <w:szCs w:val="14"/>
              </w:rPr>
            </w:pPr>
            <w:r w:rsidRPr="00F54AE3">
              <w:rPr>
                <w:rFonts w:asciiTheme="minorHAnsi" w:hAnsiTheme="minorHAnsi" w:cstheme="minorHAnsi"/>
                <w:b/>
                <w:bCs/>
                <w:sz w:val="18"/>
                <w:szCs w:val="14"/>
              </w:rPr>
              <w:t>–</w:t>
            </w:r>
          </w:p>
        </w:tc>
        <w:tc>
          <w:tcPr>
            <w:tcW w:w="1219" w:type="dxa"/>
          </w:tcPr>
          <w:p w14:paraId="54A30911" w14:textId="77777777" w:rsidR="00B02873" w:rsidRPr="00C9714F" w:rsidRDefault="00B02873" w:rsidP="00C9714F">
            <w:pPr>
              <w:pStyle w:val="TablebodyleftFinancialsTables"/>
              <w:jc w:val="right"/>
              <w:rPr>
                <w:rFonts w:asciiTheme="minorHAnsi" w:hAnsiTheme="minorHAnsi" w:cstheme="minorHAnsi"/>
                <w:sz w:val="18"/>
                <w:szCs w:val="14"/>
              </w:rPr>
            </w:pPr>
            <w:r w:rsidRPr="00C9714F">
              <w:rPr>
                <w:rFonts w:asciiTheme="minorHAnsi" w:hAnsiTheme="minorHAnsi" w:cstheme="minorHAnsi"/>
                <w:sz w:val="18"/>
                <w:szCs w:val="14"/>
              </w:rPr>
              <w:t>–</w:t>
            </w:r>
          </w:p>
        </w:tc>
        <w:tc>
          <w:tcPr>
            <w:tcW w:w="1217" w:type="dxa"/>
          </w:tcPr>
          <w:p w14:paraId="0D9FC41F" w14:textId="77777777" w:rsidR="00B02873" w:rsidRPr="00F54AE3" w:rsidRDefault="00B02873" w:rsidP="00C9714F">
            <w:pPr>
              <w:pStyle w:val="TablebodyleftFinancialsTables"/>
              <w:jc w:val="right"/>
              <w:rPr>
                <w:rFonts w:asciiTheme="minorHAnsi" w:hAnsiTheme="minorHAnsi" w:cstheme="minorHAnsi"/>
                <w:b/>
                <w:bCs/>
                <w:sz w:val="18"/>
                <w:szCs w:val="14"/>
              </w:rPr>
            </w:pPr>
            <w:r w:rsidRPr="00F54AE3">
              <w:rPr>
                <w:rFonts w:asciiTheme="minorHAnsi" w:hAnsiTheme="minorHAnsi" w:cstheme="minorHAnsi"/>
                <w:b/>
                <w:bCs/>
                <w:sz w:val="18"/>
                <w:szCs w:val="14"/>
              </w:rPr>
              <w:t>–</w:t>
            </w:r>
          </w:p>
        </w:tc>
        <w:tc>
          <w:tcPr>
            <w:tcW w:w="1232" w:type="dxa"/>
          </w:tcPr>
          <w:p w14:paraId="45337ECD" w14:textId="77777777" w:rsidR="00B02873" w:rsidRPr="00C9714F" w:rsidRDefault="00B02873" w:rsidP="00C9714F">
            <w:pPr>
              <w:pStyle w:val="TablebodyleftFinancialsTables"/>
              <w:jc w:val="right"/>
              <w:rPr>
                <w:rFonts w:asciiTheme="minorHAnsi" w:hAnsiTheme="minorHAnsi" w:cstheme="minorHAnsi"/>
                <w:sz w:val="18"/>
                <w:szCs w:val="14"/>
              </w:rPr>
            </w:pPr>
            <w:r w:rsidRPr="00C9714F">
              <w:rPr>
                <w:rFonts w:asciiTheme="minorHAnsi" w:hAnsiTheme="minorHAnsi" w:cstheme="minorHAnsi"/>
                <w:sz w:val="18"/>
                <w:szCs w:val="14"/>
              </w:rPr>
              <w:t>–</w:t>
            </w:r>
          </w:p>
        </w:tc>
        <w:tc>
          <w:tcPr>
            <w:tcW w:w="850" w:type="dxa"/>
          </w:tcPr>
          <w:p w14:paraId="63945862" w14:textId="77777777" w:rsidR="00B02873" w:rsidRPr="00F54AE3" w:rsidRDefault="00B02873" w:rsidP="00C9714F">
            <w:pPr>
              <w:pStyle w:val="TablebodyleftFinancialsTables"/>
              <w:jc w:val="right"/>
              <w:rPr>
                <w:rFonts w:asciiTheme="minorHAnsi" w:hAnsiTheme="minorHAnsi" w:cstheme="minorHAnsi"/>
                <w:b/>
                <w:bCs/>
                <w:sz w:val="18"/>
                <w:szCs w:val="14"/>
              </w:rPr>
            </w:pPr>
            <w:r w:rsidRPr="00F54AE3">
              <w:rPr>
                <w:rFonts w:asciiTheme="minorHAnsi" w:hAnsiTheme="minorHAnsi" w:cstheme="minorHAnsi"/>
                <w:b/>
                <w:bCs/>
                <w:sz w:val="18"/>
                <w:szCs w:val="14"/>
              </w:rPr>
              <w:t>–</w:t>
            </w:r>
          </w:p>
        </w:tc>
        <w:tc>
          <w:tcPr>
            <w:tcW w:w="851" w:type="dxa"/>
          </w:tcPr>
          <w:p w14:paraId="4D0FA69B" w14:textId="77777777" w:rsidR="00B02873" w:rsidRPr="00C9714F" w:rsidRDefault="00B02873" w:rsidP="00C9714F">
            <w:pPr>
              <w:pStyle w:val="TablebodyleftFinancialsTables"/>
              <w:jc w:val="right"/>
              <w:rPr>
                <w:rFonts w:asciiTheme="minorHAnsi" w:hAnsiTheme="minorHAnsi" w:cstheme="minorHAnsi"/>
                <w:sz w:val="18"/>
                <w:szCs w:val="14"/>
              </w:rPr>
            </w:pPr>
            <w:r w:rsidRPr="00C9714F">
              <w:rPr>
                <w:rFonts w:asciiTheme="minorHAnsi" w:hAnsiTheme="minorHAnsi" w:cstheme="minorHAnsi"/>
                <w:sz w:val="18"/>
                <w:szCs w:val="14"/>
              </w:rPr>
              <w:t>–</w:t>
            </w:r>
          </w:p>
        </w:tc>
      </w:tr>
      <w:tr w:rsidR="00B02873" w:rsidRPr="00C9714F" w14:paraId="22A46098" w14:textId="77777777" w:rsidTr="00F54AE3">
        <w:tc>
          <w:tcPr>
            <w:tcW w:w="3175" w:type="dxa"/>
          </w:tcPr>
          <w:p w14:paraId="3A4DC55E" w14:textId="77777777" w:rsidR="00B02873" w:rsidRPr="00C9714F" w:rsidRDefault="00B02873" w:rsidP="00C9714F">
            <w:pPr>
              <w:pStyle w:val="TablebodyleftFinancialsTables"/>
              <w:rPr>
                <w:rFonts w:asciiTheme="minorHAnsi" w:hAnsiTheme="minorHAnsi" w:cstheme="minorHAnsi"/>
                <w:sz w:val="18"/>
                <w:szCs w:val="14"/>
              </w:rPr>
            </w:pPr>
            <w:r w:rsidRPr="00C9714F">
              <w:rPr>
                <w:rFonts w:asciiTheme="minorHAnsi" w:hAnsiTheme="minorHAnsi" w:cstheme="minorHAnsi"/>
                <w:sz w:val="18"/>
                <w:szCs w:val="14"/>
              </w:rPr>
              <w:t>Environmental contribution</w:t>
            </w:r>
          </w:p>
        </w:tc>
        <w:tc>
          <w:tcPr>
            <w:tcW w:w="1215" w:type="dxa"/>
          </w:tcPr>
          <w:p w14:paraId="54996F74" w14:textId="77777777" w:rsidR="00B02873" w:rsidRPr="00F54AE3" w:rsidRDefault="00B02873" w:rsidP="00C9714F">
            <w:pPr>
              <w:pStyle w:val="TablebodyleftFinancialsTables"/>
              <w:jc w:val="right"/>
              <w:rPr>
                <w:rFonts w:asciiTheme="minorHAnsi" w:hAnsiTheme="minorHAnsi" w:cstheme="minorHAnsi"/>
                <w:b/>
                <w:bCs/>
                <w:sz w:val="18"/>
                <w:szCs w:val="14"/>
              </w:rPr>
            </w:pPr>
            <w:r w:rsidRPr="00F54AE3">
              <w:rPr>
                <w:rFonts w:asciiTheme="minorHAnsi" w:hAnsiTheme="minorHAnsi" w:cstheme="minorHAnsi"/>
                <w:b/>
                <w:bCs/>
                <w:sz w:val="18"/>
                <w:szCs w:val="14"/>
              </w:rPr>
              <w:t>–</w:t>
            </w:r>
          </w:p>
        </w:tc>
        <w:tc>
          <w:tcPr>
            <w:tcW w:w="1219" w:type="dxa"/>
          </w:tcPr>
          <w:p w14:paraId="1D5599D9" w14:textId="77777777" w:rsidR="00B02873" w:rsidRPr="00C9714F" w:rsidRDefault="00B02873" w:rsidP="00C9714F">
            <w:pPr>
              <w:pStyle w:val="TablebodyleftFinancialsTables"/>
              <w:jc w:val="right"/>
              <w:rPr>
                <w:rFonts w:asciiTheme="minorHAnsi" w:hAnsiTheme="minorHAnsi" w:cstheme="minorHAnsi"/>
                <w:sz w:val="18"/>
                <w:szCs w:val="14"/>
              </w:rPr>
            </w:pPr>
            <w:r w:rsidRPr="00C9714F">
              <w:rPr>
                <w:rFonts w:asciiTheme="minorHAnsi" w:hAnsiTheme="minorHAnsi" w:cstheme="minorHAnsi"/>
                <w:sz w:val="18"/>
                <w:szCs w:val="14"/>
              </w:rPr>
              <w:t>–</w:t>
            </w:r>
          </w:p>
        </w:tc>
        <w:tc>
          <w:tcPr>
            <w:tcW w:w="1217" w:type="dxa"/>
          </w:tcPr>
          <w:p w14:paraId="77FBD21A" w14:textId="77777777" w:rsidR="00B02873" w:rsidRPr="00F54AE3" w:rsidRDefault="00B02873" w:rsidP="00C9714F">
            <w:pPr>
              <w:pStyle w:val="TablebodyleftFinancialsTables"/>
              <w:jc w:val="right"/>
              <w:rPr>
                <w:rFonts w:asciiTheme="minorHAnsi" w:hAnsiTheme="minorHAnsi" w:cstheme="minorHAnsi"/>
                <w:b/>
                <w:bCs/>
                <w:sz w:val="18"/>
                <w:szCs w:val="14"/>
              </w:rPr>
            </w:pPr>
            <w:r w:rsidRPr="00F54AE3">
              <w:rPr>
                <w:rFonts w:asciiTheme="minorHAnsi" w:hAnsiTheme="minorHAnsi" w:cstheme="minorHAnsi"/>
                <w:b/>
                <w:bCs/>
                <w:sz w:val="18"/>
                <w:szCs w:val="14"/>
              </w:rPr>
              <w:t>173,480</w:t>
            </w:r>
          </w:p>
        </w:tc>
        <w:tc>
          <w:tcPr>
            <w:tcW w:w="1232" w:type="dxa"/>
          </w:tcPr>
          <w:p w14:paraId="12B81919" w14:textId="77777777" w:rsidR="00B02873" w:rsidRPr="00C9714F" w:rsidRDefault="00B02873" w:rsidP="00C9714F">
            <w:pPr>
              <w:pStyle w:val="TablebodyleftFinancialsTables"/>
              <w:jc w:val="right"/>
              <w:rPr>
                <w:rFonts w:asciiTheme="minorHAnsi" w:hAnsiTheme="minorHAnsi" w:cstheme="minorHAnsi"/>
                <w:sz w:val="18"/>
                <w:szCs w:val="14"/>
              </w:rPr>
            </w:pPr>
            <w:r w:rsidRPr="00C9714F">
              <w:rPr>
                <w:rFonts w:asciiTheme="minorHAnsi" w:hAnsiTheme="minorHAnsi" w:cstheme="minorHAnsi"/>
                <w:sz w:val="18"/>
                <w:szCs w:val="14"/>
              </w:rPr>
              <w:t>173,480</w:t>
            </w:r>
          </w:p>
        </w:tc>
        <w:tc>
          <w:tcPr>
            <w:tcW w:w="850" w:type="dxa"/>
          </w:tcPr>
          <w:p w14:paraId="3BA78C0E" w14:textId="77777777" w:rsidR="00B02873" w:rsidRPr="00F54AE3" w:rsidRDefault="00B02873" w:rsidP="00C9714F">
            <w:pPr>
              <w:pStyle w:val="TablebodyleftFinancialsTables"/>
              <w:jc w:val="right"/>
              <w:rPr>
                <w:rFonts w:asciiTheme="minorHAnsi" w:hAnsiTheme="minorHAnsi" w:cstheme="minorHAnsi"/>
                <w:b/>
                <w:bCs/>
                <w:sz w:val="18"/>
                <w:szCs w:val="14"/>
              </w:rPr>
            </w:pPr>
            <w:r w:rsidRPr="00F54AE3">
              <w:rPr>
                <w:rFonts w:asciiTheme="minorHAnsi" w:hAnsiTheme="minorHAnsi" w:cstheme="minorHAnsi"/>
                <w:b/>
                <w:bCs/>
                <w:sz w:val="18"/>
                <w:szCs w:val="14"/>
              </w:rPr>
              <w:t>–</w:t>
            </w:r>
          </w:p>
        </w:tc>
        <w:tc>
          <w:tcPr>
            <w:tcW w:w="851" w:type="dxa"/>
          </w:tcPr>
          <w:p w14:paraId="25B4C2DD" w14:textId="77777777" w:rsidR="00B02873" w:rsidRPr="00C9714F" w:rsidRDefault="00B02873" w:rsidP="00C9714F">
            <w:pPr>
              <w:pStyle w:val="TablebodyleftFinancialsTables"/>
              <w:jc w:val="right"/>
              <w:rPr>
                <w:rFonts w:asciiTheme="minorHAnsi" w:hAnsiTheme="minorHAnsi" w:cstheme="minorHAnsi"/>
                <w:sz w:val="18"/>
                <w:szCs w:val="14"/>
              </w:rPr>
            </w:pPr>
            <w:r w:rsidRPr="00C9714F">
              <w:rPr>
                <w:rFonts w:asciiTheme="minorHAnsi" w:hAnsiTheme="minorHAnsi" w:cstheme="minorHAnsi"/>
                <w:sz w:val="18"/>
                <w:szCs w:val="14"/>
              </w:rPr>
              <w:t>–</w:t>
            </w:r>
          </w:p>
        </w:tc>
      </w:tr>
      <w:tr w:rsidR="00B02873" w:rsidRPr="00C9714F" w14:paraId="3FF77E02" w14:textId="77777777" w:rsidTr="00F54AE3">
        <w:tc>
          <w:tcPr>
            <w:tcW w:w="3175" w:type="dxa"/>
          </w:tcPr>
          <w:p w14:paraId="171A6590" w14:textId="77777777" w:rsidR="00B02873" w:rsidRPr="00C9714F" w:rsidRDefault="00B02873" w:rsidP="00C9714F">
            <w:pPr>
              <w:pStyle w:val="TablebodyleftFinancialsTables"/>
              <w:rPr>
                <w:rFonts w:asciiTheme="minorHAnsi" w:hAnsiTheme="minorHAnsi" w:cstheme="minorHAnsi"/>
                <w:sz w:val="18"/>
                <w:szCs w:val="14"/>
              </w:rPr>
            </w:pPr>
            <w:r w:rsidRPr="00C9714F">
              <w:rPr>
                <w:rFonts w:asciiTheme="minorHAnsi" w:hAnsiTheme="minorHAnsi" w:cstheme="minorHAnsi"/>
                <w:sz w:val="18"/>
                <w:szCs w:val="14"/>
              </w:rPr>
              <w:t>Grants</w:t>
            </w:r>
          </w:p>
        </w:tc>
        <w:tc>
          <w:tcPr>
            <w:tcW w:w="1215" w:type="dxa"/>
          </w:tcPr>
          <w:p w14:paraId="6AB6FD95" w14:textId="77777777" w:rsidR="00B02873" w:rsidRPr="00F54AE3" w:rsidRDefault="00B02873" w:rsidP="00C9714F">
            <w:pPr>
              <w:pStyle w:val="TablebodyleftFinancialsTables"/>
              <w:jc w:val="right"/>
              <w:rPr>
                <w:rFonts w:asciiTheme="minorHAnsi" w:hAnsiTheme="minorHAnsi" w:cstheme="minorHAnsi"/>
                <w:b/>
                <w:bCs/>
                <w:sz w:val="18"/>
                <w:szCs w:val="14"/>
              </w:rPr>
            </w:pPr>
            <w:r w:rsidRPr="00F54AE3">
              <w:rPr>
                <w:rFonts w:asciiTheme="minorHAnsi" w:hAnsiTheme="minorHAnsi" w:cstheme="minorHAnsi"/>
                <w:b/>
                <w:bCs/>
                <w:sz w:val="18"/>
                <w:szCs w:val="14"/>
              </w:rPr>
              <w:t>–</w:t>
            </w:r>
          </w:p>
        </w:tc>
        <w:tc>
          <w:tcPr>
            <w:tcW w:w="1219" w:type="dxa"/>
          </w:tcPr>
          <w:p w14:paraId="092B26C8" w14:textId="77777777" w:rsidR="00B02873" w:rsidRPr="00C9714F" w:rsidRDefault="00B02873" w:rsidP="00C9714F">
            <w:pPr>
              <w:pStyle w:val="TablebodyleftFinancialsTables"/>
              <w:jc w:val="right"/>
              <w:rPr>
                <w:rFonts w:asciiTheme="minorHAnsi" w:hAnsiTheme="minorHAnsi" w:cstheme="minorHAnsi"/>
                <w:sz w:val="18"/>
                <w:szCs w:val="14"/>
              </w:rPr>
            </w:pPr>
            <w:r w:rsidRPr="00C9714F">
              <w:rPr>
                <w:rFonts w:asciiTheme="minorHAnsi" w:hAnsiTheme="minorHAnsi" w:cstheme="minorHAnsi"/>
                <w:sz w:val="18"/>
                <w:szCs w:val="14"/>
              </w:rPr>
              <w:t>–</w:t>
            </w:r>
          </w:p>
        </w:tc>
        <w:tc>
          <w:tcPr>
            <w:tcW w:w="1217" w:type="dxa"/>
          </w:tcPr>
          <w:p w14:paraId="577B7E7A" w14:textId="77777777" w:rsidR="00B02873" w:rsidRPr="00F54AE3" w:rsidRDefault="00B02873" w:rsidP="00C9714F">
            <w:pPr>
              <w:pStyle w:val="TablebodyleftFinancialsTables"/>
              <w:jc w:val="right"/>
              <w:rPr>
                <w:rFonts w:asciiTheme="minorHAnsi" w:hAnsiTheme="minorHAnsi" w:cstheme="minorHAnsi"/>
                <w:b/>
                <w:bCs/>
                <w:sz w:val="18"/>
                <w:szCs w:val="14"/>
              </w:rPr>
            </w:pPr>
            <w:r w:rsidRPr="00F54AE3">
              <w:rPr>
                <w:rFonts w:asciiTheme="minorHAnsi" w:hAnsiTheme="minorHAnsi" w:cstheme="minorHAnsi"/>
                <w:b/>
                <w:bCs/>
                <w:sz w:val="18"/>
                <w:szCs w:val="14"/>
              </w:rPr>
              <w:t>–</w:t>
            </w:r>
          </w:p>
        </w:tc>
        <w:tc>
          <w:tcPr>
            <w:tcW w:w="1232" w:type="dxa"/>
          </w:tcPr>
          <w:p w14:paraId="37AFF486" w14:textId="77777777" w:rsidR="00B02873" w:rsidRPr="00C9714F" w:rsidRDefault="00B02873" w:rsidP="00C9714F">
            <w:pPr>
              <w:pStyle w:val="TablebodyleftFinancialsTables"/>
              <w:jc w:val="right"/>
              <w:rPr>
                <w:rFonts w:asciiTheme="minorHAnsi" w:hAnsiTheme="minorHAnsi" w:cstheme="minorHAnsi"/>
                <w:sz w:val="18"/>
                <w:szCs w:val="14"/>
              </w:rPr>
            </w:pPr>
            <w:r w:rsidRPr="00C9714F">
              <w:rPr>
                <w:rFonts w:asciiTheme="minorHAnsi" w:hAnsiTheme="minorHAnsi" w:cstheme="minorHAnsi"/>
                <w:sz w:val="18"/>
                <w:szCs w:val="14"/>
              </w:rPr>
              <w:t>–</w:t>
            </w:r>
          </w:p>
        </w:tc>
        <w:tc>
          <w:tcPr>
            <w:tcW w:w="850" w:type="dxa"/>
          </w:tcPr>
          <w:p w14:paraId="7444893A" w14:textId="77777777" w:rsidR="00B02873" w:rsidRPr="00F54AE3" w:rsidRDefault="00B02873" w:rsidP="00C9714F">
            <w:pPr>
              <w:pStyle w:val="TablebodyleftFinancialsTables"/>
              <w:jc w:val="right"/>
              <w:rPr>
                <w:rFonts w:asciiTheme="minorHAnsi" w:hAnsiTheme="minorHAnsi" w:cstheme="minorHAnsi"/>
                <w:b/>
                <w:bCs/>
                <w:sz w:val="18"/>
                <w:szCs w:val="14"/>
              </w:rPr>
            </w:pPr>
            <w:r w:rsidRPr="00F54AE3">
              <w:rPr>
                <w:rFonts w:asciiTheme="minorHAnsi" w:hAnsiTheme="minorHAnsi" w:cstheme="minorHAnsi"/>
                <w:b/>
                <w:bCs/>
                <w:sz w:val="18"/>
                <w:szCs w:val="14"/>
              </w:rPr>
              <w:t>–</w:t>
            </w:r>
          </w:p>
        </w:tc>
        <w:tc>
          <w:tcPr>
            <w:tcW w:w="851" w:type="dxa"/>
          </w:tcPr>
          <w:p w14:paraId="04515A07" w14:textId="77777777" w:rsidR="00B02873" w:rsidRPr="00C9714F" w:rsidRDefault="00B02873" w:rsidP="00C9714F">
            <w:pPr>
              <w:pStyle w:val="TablebodyleftFinancialsTables"/>
              <w:jc w:val="right"/>
              <w:rPr>
                <w:rFonts w:asciiTheme="minorHAnsi" w:hAnsiTheme="minorHAnsi" w:cstheme="minorHAnsi"/>
                <w:sz w:val="18"/>
                <w:szCs w:val="14"/>
              </w:rPr>
            </w:pPr>
            <w:r w:rsidRPr="00C9714F">
              <w:rPr>
                <w:rFonts w:asciiTheme="minorHAnsi" w:hAnsiTheme="minorHAnsi" w:cstheme="minorHAnsi"/>
                <w:sz w:val="18"/>
                <w:szCs w:val="14"/>
              </w:rPr>
              <w:t>–</w:t>
            </w:r>
          </w:p>
        </w:tc>
      </w:tr>
      <w:tr w:rsidR="00B02873" w:rsidRPr="00C9714F" w14:paraId="69AA5138" w14:textId="77777777" w:rsidTr="00F54AE3">
        <w:tc>
          <w:tcPr>
            <w:tcW w:w="3175" w:type="dxa"/>
          </w:tcPr>
          <w:p w14:paraId="14A9E6CD" w14:textId="77777777" w:rsidR="00B02873" w:rsidRPr="00C9714F" w:rsidRDefault="00B02873" w:rsidP="00C9714F">
            <w:pPr>
              <w:pStyle w:val="TablebodyleftFinancialsTables"/>
              <w:rPr>
                <w:rFonts w:asciiTheme="minorHAnsi" w:hAnsiTheme="minorHAnsi" w:cstheme="minorHAnsi"/>
                <w:sz w:val="18"/>
                <w:szCs w:val="14"/>
              </w:rPr>
            </w:pPr>
            <w:r w:rsidRPr="00C9714F">
              <w:rPr>
                <w:rFonts w:asciiTheme="minorHAnsi" w:hAnsiTheme="minorHAnsi" w:cstheme="minorHAnsi"/>
                <w:sz w:val="18"/>
                <w:szCs w:val="14"/>
              </w:rPr>
              <w:t>Jointly controlled assets received free of charge (Note 4.2.3)</w:t>
            </w:r>
          </w:p>
        </w:tc>
        <w:tc>
          <w:tcPr>
            <w:tcW w:w="1215" w:type="dxa"/>
          </w:tcPr>
          <w:p w14:paraId="5507F24E" w14:textId="77777777" w:rsidR="00B02873" w:rsidRPr="00F54AE3" w:rsidRDefault="00B02873" w:rsidP="00C9714F">
            <w:pPr>
              <w:pStyle w:val="TablebodyleftFinancialsTables"/>
              <w:jc w:val="right"/>
              <w:rPr>
                <w:rFonts w:asciiTheme="minorHAnsi" w:hAnsiTheme="minorHAnsi" w:cstheme="minorHAnsi"/>
                <w:b/>
                <w:bCs/>
                <w:sz w:val="18"/>
                <w:szCs w:val="14"/>
              </w:rPr>
            </w:pPr>
            <w:r w:rsidRPr="00F54AE3">
              <w:rPr>
                <w:rFonts w:asciiTheme="minorHAnsi" w:hAnsiTheme="minorHAnsi" w:cstheme="minorHAnsi"/>
                <w:b/>
                <w:bCs/>
                <w:sz w:val="18"/>
                <w:szCs w:val="14"/>
              </w:rPr>
              <w:t>–</w:t>
            </w:r>
          </w:p>
        </w:tc>
        <w:tc>
          <w:tcPr>
            <w:tcW w:w="1219" w:type="dxa"/>
          </w:tcPr>
          <w:p w14:paraId="2CE77E24" w14:textId="77777777" w:rsidR="00B02873" w:rsidRPr="00C9714F" w:rsidRDefault="00B02873" w:rsidP="00C9714F">
            <w:pPr>
              <w:pStyle w:val="TablebodyleftFinancialsTables"/>
              <w:jc w:val="right"/>
              <w:rPr>
                <w:rFonts w:asciiTheme="minorHAnsi" w:hAnsiTheme="minorHAnsi" w:cstheme="minorHAnsi"/>
                <w:sz w:val="18"/>
                <w:szCs w:val="14"/>
              </w:rPr>
            </w:pPr>
            <w:r w:rsidRPr="00C9714F">
              <w:rPr>
                <w:rFonts w:asciiTheme="minorHAnsi" w:hAnsiTheme="minorHAnsi" w:cstheme="minorHAnsi"/>
                <w:sz w:val="18"/>
                <w:szCs w:val="14"/>
              </w:rPr>
              <w:t>–</w:t>
            </w:r>
          </w:p>
        </w:tc>
        <w:tc>
          <w:tcPr>
            <w:tcW w:w="1217" w:type="dxa"/>
          </w:tcPr>
          <w:p w14:paraId="47DF02D2" w14:textId="77777777" w:rsidR="00B02873" w:rsidRPr="00F54AE3" w:rsidRDefault="00B02873" w:rsidP="00C9714F">
            <w:pPr>
              <w:pStyle w:val="TablebodyleftFinancialsTables"/>
              <w:jc w:val="right"/>
              <w:rPr>
                <w:rFonts w:asciiTheme="minorHAnsi" w:hAnsiTheme="minorHAnsi" w:cstheme="minorHAnsi"/>
                <w:b/>
                <w:bCs/>
                <w:sz w:val="18"/>
                <w:szCs w:val="14"/>
              </w:rPr>
            </w:pPr>
            <w:r w:rsidRPr="00F54AE3">
              <w:rPr>
                <w:rFonts w:asciiTheme="minorHAnsi" w:hAnsiTheme="minorHAnsi" w:cstheme="minorHAnsi"/>
                <w:b/>
                <w:bCs/>
                <w:sz w:val="18"/>
                <w:szCs w:val="14"/>
              </w:rPr>
              <w:t>1,590</w:t>
            </w:r>
          </w:p>
        </w:tc>
        <w:tc>
          <w:tcPr>
            <w:tcW w:w="1232" w:type="dxa"/>
          </w:tcPr>
          <w:p w14:paraId="517C00AA" w14:textId="77777777" w:rsidR="00B02873" w:rsidRPr="00C9714F" w:rsidRDefault="00B02873" w:rsidP="00C9714F">
            <w:pPr>
              <w:pStyle w:val="TablebodyleftFinancialsTables"/>
              <w:jc w:val="right"/>
              <w:rPr>
                <w:rFonts w:asciiTheme="minorHAnsi" w:hAnsiTheme="minorHAnsi" w:cstheme="minorHAnsi"/>
                <w:sz w:val="18"/>
                <w:szCs w:val="14"/>
              </w:rPr>
            </w:pPr>
            <w:r w:rsidRPr="00C9714F">
              <w:rPr>
                <w:rFonts w:asciiTheme="minorHAnsi" w:hAnsiTheme="minorHAnsi" w:cstheme="minorHAnsi"/>
                <w:sz w:val="18"/>
                <w:szCs w:val="14"/>
              </w:rPr>
              <w:t>1,444</w:t>
            </w:r>
          </w:p>
        </w:tc>
        <w:tc>
          <w:tcPr>
            <w:tcW w:w="850" w:type="dxa"/>
          </w:tcPr>
          <w:p w14:paraId="1D325373" w14:textId="77777777" w:rsidR="00B02873" w:rsidRPr="00F54AE3" w:rsidRDefault="00B02873" w:rsidP="00C9714F">
            <w:pPr>
              <w:pStyle w:val="TablebodyleftFinancialsTables"/>
              <w:jc w:val="right"/>
              <w:rPr>
                <w:rFonts w:asciiTheme="minorHAnsi" w:hAnsiTheme="minorHAnsi" w:cstheme="minorHAnsi"/>
                <w:b/>
                <w:bCs/>
                <w:sz w:val="18"/>
                <w:szCs w:val="14"/>
              </w:rPr>
            </w:pPr>
            <w:r w:rsidRPr="00F54AE3">
              <w:rPr>
                <w:rFonts w:asciiTheme="minorHAnsi" w:hAnsiTheme="minorHAnsi" w:cstheme="minorHAnsi"/>
                <w:b/>
                <w:bCs/>
                <w:sz w:val="18"/>
                <w:szCs w:val="14"/>
              </w:rPr>
              <w:t>–</w:t>
            </w:r>
          </w:p>
        </w:tc>
        <w:tc>
          <w:tcPr>
            <w:tcW w:w="851" w:type="dxa"/>
          </w:tcPr>
          <w:p w14:paraId="2EB82684" w14:textId="77777777" w:rsidR="00B02873" w:rsidRPr="00C9714F" w:rsidRDefault="00B02873" w:rsidP="00C9714F">
            <w:pPr>
              <w:pStyle w:val="TablebodyleftFinancialsTables"/>
              <w:jc w:val="right"/>
              <w:rPr>
                <w:rFonts w:asciiTheme="minorHAnsi" w:hAnsiTheme="minorHAnsi" w:cstheme="minorHAnsi"/>
                <w:sz w:val="18"/>
                <w:szCs w:val="14"/>
              </w:rPr>
            </w:pPr>
            <w:r w:rsidRPr="00C9714F">
              <w:rPr>
                <w:rFonts w:asciiTheme="minorHAnsi" w:hAnsiTheme="minorHAnsi" w:cstheme="minorHAnsi"/>
                <w:sz w:val="18"/>
                <w:szCs w:val="14"/>
              </w:rPr>
              <w:t>–</w:t>
            </w:r>
          </w:p>
        </w:tc>
      </w:tr>
      <w:tr w:rsidR="00B02873" w:rsidRPr="00C9714F" w14:paraId="52652D85" w14:textId="77777777" w:rsidTr="00F54AE3">
        <w:tc>
          <w:tcPr>
            <w:tcW w:w="3175" w:type="dxa"/>
          </w:tcPr>
          <w:p w14:paraId="45FAC52F" w14:textId="77777777" w:rsidR="00B02873" w:rsidRPr="00C9714F" w:rsidRDefault="00B02873" w:rsidP="00C9714F">
            <w:pPr>
              <w:pStyle w:val="TablebodyleftFinancialsTables"/>
              <w:rPr>
                <w:rFonts w:asciiTheme="minorHAnsi" w:hAnsiTheme="minorHAnsi" w:cstheme="minorHAnsi"/>
                <w:sz w:val="18"/>
                <w:szCs w:val="14"/>
              </w:rPr>
            </w:pPr>
            <w:r w:rsidRPr="00C9714F">
              <w:rPr>
                <w:rFonts w:asciiTheme="minorHAnsi" w:hAnsiTheme="minorHAnsi" w:cstheme="minorHAnsi"/>
                <w:sz w:val="18"/>
                <w:szCs w:val="14"/>
              </w:rPr>
              <w:t xml:space="preserve">Other income and loan repayments transferred from the controlled entity </w:t>
            </w:r>
          </w:p>
        </w:tc>
        <w:tc>
          <w:tcPr>
            <w:tcW w:w="1215" w:type="dxa"/>
          </w:tcPr>
          <w:p w14:paraId="406B6EDF" w14:textId="77777777" w:rsidR="00B02873" w:rsidRPr="00F54AE3" w:rsidRDefault="00B02873" w:rsidP="00C9714F">
            <w:pPr>
              <w:pStyle w:val="TablebodyleftFinancialsTables"/>
              <w:jc w:val="right"/>
              <w:rPr>
                <w:rFonts w:asciiTheme="minorHAnsi" w:hAnsiTheme="minorHAnsi" w:cstheme="minorHAnsi"/>
                <w:b/>
                <w:bCs/>
                <w:sz w:val="18"/>
                <w:szCs w:val="14"/>
              </w:rPr>
            </w:pPr>
            <w:r w:rsidRPr="00F54AE3">
              <w:rPr>
                <w:rFonts w:asciiTheme="minorHAnsi" w:hAnsiTheme="minorHAnsi" w:cstheme="minorHAnsi"/>
                <w:b/>
                <w:bCs/>
                <w:sz w:val="18"/>
                <w:szCs w:val="14"/>
              </w:rPr>
              <w:t>19</w:t>
            </w:r>
          </w:p>
        </w:tc>
        <w:tc>
          <w:tcPr>
            <w:tcW w:w="1219" w:type="dxa"/>
          </w:tcPr>
          <w:p w14:paraId="74892FD5" w14:textId="77777777" w:rsidR="00B02873" w:rsidRPr="00C9714F" w:rsidRDefault="00B02873" w:rsidP="00C9714F">
            <w:pPr>
              <w:pStyle w:val="TablebodyleftFinancialsTables"/>
              <w:jc w:val="right"/>
              <w:rPr>
                <w:rFonts w:asciiTheme="minorHAnsi" w:hAnsiTheme="minorHAnsi" w:cstheme="minorHAnsi"/>
                <w:sz w:val="18"/>
                <w:szCs w:val="14"/>
              </w:rPr>
            </w:pPr>
            <w:r w:rsidRPr="00C9714F">
              <w:rPr>
                <w:rFonts w:asciiTheme="minorHAnsi" w:hAnsiTheme="minorHAnsi" w:cstheme="minorHAnsi"/>
                <w:sz w:val="18"/>
                <w:szCs w:val="14"/>
              </w:rPr>
              <w:t>225</w:t>
            </w:r>
          </w:p>
        </w:tc>
        <w:tc>
          <w:tcPr>
            <w:tcW w:w="1217" w:type="dxa"/>
          </w:tcPr>
          <w:p w14:paraId="4DFD01E1" w14:textId="77777777" w:rsidR="00B02873" w:rsidRPr="00F54AE3" w:rsidRDefault="00B02873" w:rsidP="00C9714F">
            <w:pPr>
              <w:pStyle w:val="TablebodyleftFinancialsTables"/>
              <w:jc w:val="right"/>
              <w:rPr>
                <w:rFonts w:asciiTheme="minorHAnsi" w:hAnsiTheme="minorHAnsi" w:cstheme="minorHAnsi"/>
                <w:b/>
                <w:bCs/>
                <w:sz w:val="18"/>
                <w:szCs w:val="14"/>
              </w:rPr>
            </w:pPr>
            <w:r w:rsidRPr="00F54AE3">
              <w:rPr>
                <w:rFonts w:asciiTheme="minorHAnsi" w:hAnsiTheme="minorHAnsi" w:cstheme="minorHAnsi"/>
                <w:b/>
                <w:bCs/>
                <w:sz w:val="18"/>
                <w:szCs w:val="14"/>
              </w:rPr>
              <w:t>22</w:t>
            </w:r>
          </w:p>
        </w:tc>
        <w:tc>
          <w:tcPr>
            <w:tcW w:w="1232" w:type="dxa"/>
          </w:tcPr>
          <w:p w14:paraId="7E3DE62F" w14:textId="77777777" w:rsidR="00B02873" w:rsidRPr="00C9714F" w:rsidRDefault="00B02873" w:rsidP="00C9714F">
            <w:pPr>
              <w:pStyle w:val="TablebodyleftFinancialsTables"/>
              <w:jc w:val="right"/>
              <w:rPr>
                <w:rFonts w:asciiTheme="minorHAnsi" w:hAnsiTheme="minorHAnsi" w:cstheme="minorHAnsi"/>
                <w:sz w:val="18"/>
                <w:szCs w:val="14"/>
              </w:rPr>
            </w:pPr>
            <w:r w:rsidRPr="00C9714F">
              <w:rPr>
                <w:rFonts w:asciiTheme="minorHAnsi" w:hAnsiTheme="minorHAnsi" w:cstheme="minorHAnsi"/>
                <w:sz w:val="18"/>
                <w:szCs w:val="14"/>
              </w:rPr>
              <w:t>286</w:t>
            </w:r>
          </w:p>
        </w:tc>
        <w:tc>
          <w:tcPr>
            <w:tcW w:w="850" w:type="dxa"/>
          </w:tcPr>
          <w:p w14:paraId="27B483EC" w14:textId="77777777" w:rsidR="00B02873" w:rsidRPr="00F54AE3" w:rsidRDefault="00B02873" w:rsidP="00C9714F">
            <w:pPr>
              <w:pStyle w:val="TablebodyleftFinancialsTables"/>
              <w:jc w:val="right"/>
              <w:rPr>
                <w:rFonts w:asciiTheme="minorHAnsi" w:hAnsiTheme="minorHAnsi" w:cstheme="minorHAnsi"/>
                <w:b/>
                <w:bCs/>
                <w:sz w:val="18"/>
                <w:szCs w:val="14"/>
              </w:rPr>
            </w:pPr>
            <w:r w:rsidRPr="00F54AE3">
              <w:rPr>
                <w:rFonts w:asciiTheme="minorHAnsi" w:hAnsiTheme="minorHAnsi" w:cstheme="minorHAnsi"/>
                <w:b/>
                <w:bCs/>
                <w:sz w:val="18"/>
                <w:szCs w:val="14"/>
              </w:rPr>
              <w:t>5</w:t>
            </w:r>
          </w:p>
        </w:tc>
        <w:tc>
          <w:tcPr>
            <w:tcW w:w="851" w:type="dxa"/>
          </w:tcPr>
          <w:p w14:paraId="5335CF79" w14:textId="77777777" w:rsidR="00B02873" w:rsidRPr="00C9714F" w:rsidRDefault="00B02873" w:rsidP="00C9714F">
            <w:pPr>
              <w:pStyle w:val="TablebodyleftFinancialsTables"/>
              <w:jc w:val="right"/>
              <w:rPr>
                <w:rFonts w:asciiTheme="minorHAnsi" w:hAnsiTheme="minorHAnsi" w:cstheme="minorHAnsi"/>
                <w:sz w:val="18"/>
                <w:szCs w:val="14"/>
              </w:rPr>
            </w:pPr>
            <w:r w:rsidRPr="00C9714F">
              <w:rPr>
                <w:rFonts w:asciiTheme="minorHAnsi" w:hAnsiTheme="minorHAnsi" w:cstheme="minorHAnsi"/>
                <w:sz w:val="18"/>
                <w:szCs w:val="14"/>
              </w:rPr>
              <w:t>63</w:t>
            </w:r>
          </w:p>
        </w:tc>
      </w:tr>
      <w:tr w:rsidR="00B02873" w:rsidRPr="00C9714F" w14:paraId="79EA1028" w14:textId="77777777" w:rsidTr="00F54AE3">
        <w:tc>
          <w:tcPr>
            <w:tcW w:w="3175" w:type="dxa"/>
          </w:tcPr>
          <w:p w14:paraId="0E903BFC" w14:textId="77777777" w:rsidR="00B02873" w:rsidRPr="00F54AE3" w:rsidRDefault="00B02873" w:rsidP="00C9714F">
            <w:pPr>
              <w:pStyle w:val="TablebodyleftFinancialsTables"/>
              <w:rPr>
                <w:rFonts w:asciiTheme="minorHAnsi" w:hAnsiTheme="minorHAnsi" w:cstheme="minorHAnsi"/>
                <w:b/>
                <w:bCs/>
                <w:sz w:val="18"/>
                <w:szCs w:val="14"/>
              </w:rPr>
            </w:pPr>
            <w:r w:rsidRPr="00F54AE3">
              <w:rPr>
                <w:rFonts w:asciiTheme="minorHAnsi" w:hAnsiTheme="minorHAnsi" w:cstheme="minorHAnsi"/>
                <w:b/>
                <w:bCs/>
                <w:sz w:val="18"/>
                <w:szCs w:val="14"/>
              </w:rPr>
              <w:t>Total administered revenue and income from transactions</w:t>
            </w:r>
          </w:p>
        </w:tc>
        <w:tc>
          <w:tcPr>
            <w:tcW w:w="1215" w:type="dxa"/>
          </w:tcPr>
          <w:p w14:paraId="4E59DEE7" w14:textId="77777777" w:rsidR="00B02873" w:rsidRPr="00F54AE3" w:rsidRDefault="00B02873" w:rsidP="00C9714F">
            <w:pPr>
              <w:pStyle w:val="TablebodyleftFinancialsTables"/>
              <w:jc w:val="right"/>
              <w:rPr>
                <w:rFonts w:asciiTheme="minorHAnsi" w:hAnsiTheme="minorHAnsi" w:cstheme="minorHAnsi"/>
                <w:b/>
                <w:bCs/>
                <w:sz w:val="18"/>
                <w:szCs w:val="14"/>
              </w:rPr>
            </w:pPr>
            <w:r w:rsidRPr="00F54AE3">
              <w:rPr>
                <w:rFonts w:asciiTheme="minorHAnsi" w:hAnsiTheme="minorHAnsi" w:cstheme="minorHAnsi"/>
                <w:b/>
                <w:bCs/>
                <w:sz w:val="18"/>
                <w:szCs w:val="14"/>
              </w:rPr>
              <w:t>11,172</w:t>
            </w:r>
          </w:p>
        </w:tc>
        <w:tc>
          <w:tcPr>
            <w:tcW w:w="1219" w:type="dxa"/>
          </w:tcPr>
          <w:p w14:paraId="68C93223" w14:textId="77777777" w:rsidR="00B02873" w:rsidRPr="00C9714F" w:rsidRDefault="00B02873" w:rsidP="00C9714F">
            <w:pPr>
              <w:pStyle w:val="TablebodyleftFinancialsTables"/>
              <w:jc w:val="right"/>
              <w:rPr>
                <w:rFonts w:asciiTheme="minorHAnsi" w:hAnsiTheme="minorHAnsi" w:cstheme="minorHAnsi"/>
                <w:sz w:val="18"/>
                <w:szCs w:val="14"/>
              </w:rPr>
            </w:pPr>
            <w:r w:rsidRPr="00C9714F">
              <w:rPr>
                <w:rFonts w:asciiTheme="minorHAnsi" w:hAnsiTheme="minorHAnsi" w:cstheme="minorHAnsi"/>
                <w:sz w:val="18"/>
                <w:szCs w:val="14"/>
              </w:rPr>
              <w:t>10,139</w:t>
            </w:r>
          </w:p>
        </w:tc>
        <w:tc>
          <w:tcPr>
            <w:tcW w:w="1217" w:type="dxa"/>
          </w:tcPr>
          <w:p w14:paraId="099549FA" w14:textId="77777777" w:rsidR="00B02873" w:rsidRPr="00F54AE3" w:rsidRDefault="00B02873" w:rsidP="00C9714F">
            <w:pPr>
              <w:pStyle w:val="TablebodyleftFinancialsTables"/>
              <w:jc w:val="right"/>
              <w:rPr>
                <w:rFonts w:asciiTheme="minorHAnsi" w:hAnsiTheme="minorHAnsi" w:cstheme="minorHAnsi"/>
                <w:b/>
                <w:bCs/>
                <w:sz w:val="18"/>
                <w:szCs w:val="14"/>
              </w:rPr>
            </w:pPr>
            <w:r w:rsidRPr="00F54AE3">
              <w:rPr>
                <w:rFonts w:asciiTheme="minorHAnsi" w:hAnsiTheme="minorHAnsi" w:cstheme="minorHAnsi"/>
                <w:b/>
                <w:bCs/>
                <w:sz w:val="18"/>
                <w:szCs w:val="14"/>
              </w:rPr>
              <w:t>1,469,240</w:t>
            </w:r>
          </w:p>
        </w:tc>
        <w:tc>
          <w:tcPr>
            <w:tcW w:w="1232" w:type="dxa"/>
          </w:tcPr>
          <w:p w14:paraId="3F43A674" w14:textId="77777777" w:rsidR="00B02873" w:rsidRPr="00C9714F" w:rsidRDefault="00B02873" w:rsidP="00C9714F">
            <w:pPr>
              <w:pStyle w:val="TablebodyleftFinancialsTables"/>
              <w:jc w:val="right"/>
              <w:rPr>
                <w:rFonts w:asciiTheme="minorHAnsi" w:hAnsiTheme="minorHAnsi" w:cstheme="minorHAnsi"/>
                <w:sz w:val="18"/>
                <w:szCs w:val="14"/>
              </w:rPr>
            </w:pPr>
            <w:r w:rsidRPr="00C9714F">
              <w:rPr>
                <w:rFonts w:asciiTheme="minorHAnsi" w:hAnsiTheme="minorHAnsi" w:cstheme="minorHAnsi"/>
                <w:sz w:val="18"/>
                <w:szCs w:val="14"/>
              </w:rPr>
              <w:t>1,475,971</w:t>
            </w:r>
          </w:p>
        </w:tc>
        <w:tc>
          <w:tcPr>
            <w:tcW w:w="850" w:type="dxa"/>
          </w:tcPr>
          <w:p w14:paraId="2155978B" w14:textId="77777777" w:rsidR="00B02873" w:rsidRPr="00F54AE3" w:rsidRDefault="00B02873" w:rsidP="00C9714F">
            <w:pPr>
              <w:pStyle w:val="TablebodyleftFinancialsTables"/>
              <w:jc w:val="right"/>
              <w:rPr>
                <w:rFonts w:asciiTheme="minorHAnsi" w:hAnsiTheme="minorHAnsi" w:cstheme="minorHAnsi"/>
                <w:b/>
                <w:bCs/>
                <w:sz w:val="18"/>
                <w:szCs w:val="14"/>
              </w:rPr>
            </w:pPr>
            <w:r w:rsidRPr="00F54AE3">
              <w:rPr>
                <w:rFonts w:asciiTheme="minorHAnsi" w:hAnsiTheme="minorHAnsi" w:cstheme="minorHAnsi"/>
                <w:b/>
                <w:bCs/>
                <w:sz w:val="18"/>
                <w:szCs w:val="14"/>
              </w:rPr>
              <w:t>5</w:t>
            </w:r>
          </w:p>
        </w:tc>
        <w:tc>
          <w:tcPr>
            <w:tcW w:w="851" w:type="dxa"/>
          </w:tcPr>
          <w:p w14:paraId="6BA37C72" w14:textId="77777777" w:rsidR="00B02873" w:rsidRPr="00C9714F" w:rsidRDefault="00B02873" w:rsidP="00C9714F">
            <w:pPr>
              <w:pStyle w:val="TablebodyleftFinancialsTables"/>
              <w:jc w:val="right"/>
              <w:rPr>
                <w:rFonts w:asciiTheme="minorHAnsi" w:hAnsiTheme="minorHAnsi" w:cstheme="minorHAnsi"/>
                <w:sz w:val="18"/>
                <w:szCs w:val="14"/>
              </w:rPr>
            </w:pPr>
            <w:r w:rsidRPr="00C9714F">
              <w:rPr>
                <w:rFonts w:asciiTheme="minorHAnsi" w:hAnsiTheme="minorHAnsi" w:cstheme="minorHAnsi"/>
                <w:sz w:val="18"/>
                <w:szCs w:val="14"/>
              </w:rPr>
              <w:t>63</w:t>
            </w:r>
          </w:p>
        </w:tc>
      </w:tr>
      <w:tr w:rsidR="00B02873" w:rsidRPr="00C9714F" w14:paraId="5D3C2BE6" w14:textId="77777777" w:rsidTr="00F54AE3">
        <w:tc>
          <w:tcPr>
            <w:tcW w:w="3175" w:type="dxa"/>
          </w:tcPr>
          <w:p w14:paraId="237ABA5B" w14:textId="7C481BD3" w:rsidR="00B02873" w:rsidRPr="00F54AE3" w:rsidRDefault="00B02873" w:rsidP="00C9714F">
            <w:pPr>
              <w:pStyle w:val="TablebodyleftFinancialsTables"/>
              <w:rPr>
                <w:rFonts w:asciiTheme="minorHAnsi" w:hAnsiTheme="minorHAnsi" w:cstheme="minorHAnsi"/>
                <w:b/>
                <w:bCs/>
                <w:sz w:val="18"/>
                <w:szCs w:val="14"/>
              </w:rPr>
            </w:pPr>
            <w:r w:rsidRPr="00F54AE3">
              <w:rPr>
                <w:rFonts w:asciiTheme="minorHAnsi" w:hAnsiTheme="minorHAnsi" w:cstheme="minorHAnsi"/>
                <w:b/>
                <w:bCs/>
                <w:sz w:val="18"/>
                <w:szCs w:val="14"/>
              </w:rPr>
              <w:t>Administered expenses</w:t>
            </w:r>
            <w:r w:rsidR="00C9714F" w:rsidRPr="00F54AE3">
              <w:rPr>
                <w:rFonts w:asciiTheme="minorHAnsi" w:hAnsiTheme="minorHAnsi" w:cstheme="minorHAnsi"/>
                <w:b/>
                <w:bCs/>
                <w:sz w:val="18"/>
                <w:szCs w:val="14"/>
              </w:rPr>
              <w:t xml:space="preserve"> </w:t>
            </w:r>
            <w:r w:rsidRPr="00F54AE3">
              <w:rPr>
                <w:rFonts w:asciiTheme="minorHAnsi" w:hAnsiTheme="minorHAnsi" w:cstheme="minorHAnsi"/>
                <w:b/>
                <w:bCs/>
                <w:sz w:val="18"/>
                <w:szCs w:val="14"/>
              </w:rPr>
              <w:t>from transactions</w:t>
            </w:r>
          </w:p>
        </w:tc>
        <w:tc>
          <w:tcPr>
            <w:tcW w:w="1215" w:type="dxa"/>
          </w:tcPr>
          <w:p w14:paraId="364BF739" w14:textId="77777777" w:rsidR="00B02873" w:rsidRPr="00F54AE3" w:rsidRDefault="00B02873" w:rsidP="00C9714F">
            <w:pPr>
              <w:pStyle w:val="TablebodyleftFinancialsTables"/>
              <w:jc w:val="right"/>
              <w:rPr>
                <w:rFonts w:asciiTheme="minorHAnsi" w:hAnsiTheme="minorHAnsi" w:cstheme="minorHAnsi"/>
                <w:b/>
                <w:bCs/>
                <w:sz w:val="18"/>
                <w:szCs w:val="14"/>
              </w:rPr>
            </w:pPr>
          </w:p>
        </w:tc>
        <w:tc>
          <w:tcPr>
            <w:tcW w:w="1219" w:type="dxa"/>
          </w:tcPr>
          <w:p w14:paraId="1B580819" w14:textId="77777777" w:rsidR="00B02873" w:rsidRPr="00C9714F" w:rsidRDefault="00B02873" w:rsidP="00C9714F">
            <w:pPr>
              <w:pStyle w:val="TablebodyleftFinancialsTables"/>
              <w:jc w:val="right"/>
              <w:rPr>
                <w:rFonts w:asciiTheme="minorHAnsi" w:hAnsiTheme="minorHAnsi" w:cstheme="minorHAnsi"/>
                <w:sz w:val="18"/>
                <w:szCs w:val="14"/>
              </w:rPr>
            </w:pPr>
          </w:p>
        </w:tc>
        <w:tc>
          <w:tcPr>
            <w:tcW w:w="1217" w:type="dxa"/>
          </w:tcPr>
          <w:p w14:paraId="1B3B5803" w14:textId="77777777" w:rsidR="00B02873" w:rsidRPr="00F54AE3" w:rsidRDefault="00B02873" w:rsidP="00C9714F">
            <w:pPr>
              <w:pStyle w:val="TablebodyleftFinancialsTables"/>
              <w:jc w:val="right"/>
              <w:rPr>
                <w:rFonts w:asciiTheme="minorHAnsi" w:hAnsiTheme="minorHAnsi" w:cstheme="minorHAnsi"/>
                <w:b/>
                <w:bCs/>
                <w:sz w:val="18"/>
                <w:szCs w:val="14"/>
              </w:rPr>
            </w:pPr>
          </w:p>
        </w:tc>
        <w:tc>
          <w:tcPr>
            <w:tcW w:w="1232" w:type="dxa"/>
          </w:tcPr>
          <w:p w14:paraId="4EAC3604" w14:textId="77777777" w:rsidR="00B02873" w:rsidRPr="00C9714F" w:rsidRDefault="00B02873" w:rsidP="00C9714F">
            <w:pPr>
              <w:pStyle w:val="TablebodyleftFinancialsTables"/>
              <w:jc w:val="right"/>
              <w:rPr>
                <w:rFonts w:asciiTheme="minorHAnsi" w:hAnsiTheme="minorHAnsi" w:cstheme="minorHAnsi"/>
                <w:sz w:val="18"/>
                <w:szCs w:val="14"/>
              </w:rPr>
            </w:pPr>
          </w:p>
        </w:tc>
        <w:tc>
          <w:tcPr>
            <w:tcW w:w="850" w:type="dxa"/>
          </w:tcPr>
          <w:p w14:paraId="3FA129DE" w14:textId="77777777" w:rsidR="00B02873" w:rsidRPr="00F54AE3" w:rsidRDefault="00B02873" w:rsidP="00C9714F">
            <w:pPr>
              <w:pStyle w:val="TablebodyleftFinancialsTables"/>
              <w:jc w:val="right"/>
              <w:rPr>
                <w:rFonts w:asciiTheme="minorHAnsi" w:hAnsiTheme="minorHAnsi" w:cstheme="minorHAnsi"/>
                <w:b/>
                <w:bCs/>
                <w:sz w:val="18"/>
                <w:szCs w:val="14"/>
              </w:rPr>
            </w:pPr>
          </w:p>
        </w:tc>
        <w:tc>
          <w:tcPr>
            <w:tcW w:w="851" w:type="dxa"/>
          </w:tcPr>
          <w:p w14:paraId="24D01180" w14:textId="77777777" w:rsidR="00B02873" w:rsidRPr="00C9714F" w:rsidRDefault="00B02873" w:rsidP="00C9714F">
            <w:pPr>
              <w:pStyle w:val="TablebodyleftFinancialsTables"/>
              <w:jc w:val="right"/>
              <w:rPr>
                <w:rFonts w:asciiTheme="minorHAnsi" w:hAnsiTheme="minorHAnsi" w:cstheme="minorHAnsi"/>
                <w:sz w:val="18"/>
                <w:szCs w:val="14"/>
              </w:rPr>
            </w:pPr>
          </w:p>
        </w:tc>
      </w:tr>
      <w:tr w:rsidR="00B02873" w:rsidRPr="00C9714F" w14:paraId="746F9D9C" w14:textId="77777777" w:rsidTr="00F54AE3">
        <w:tc>
          <w:tcPr>
            <w:tcW w:w="3175" w:type="dxa"/>
          </w:tcPr>
          <w:p w14:paraId="686CEC92" w14:textId="77777777" w:rsidR="00B02873" w:rsidRPr="00C9714F" w:rsidRDefault="00B02873" w:rsidP="00C9714F">
            <w:pPr>
              <w:pStyle w:val="TablebodyleftFinancialsTables"/>
              <w:rPr>
                <w:rFonts w:asciiTheme="minorHAnsi" w:hAnsiTheme="minorHAnsi" w:cstheme="minorHAnsi"/>
                <w:sz w:val="18"/>
                <w:szCs w:val="14"/>
              </w:rPr>
            </w:pPr>
            <w:r w:rsidRPr="00C9714F">
              <w:rPr>
                <w:rFonts w:asciiTheme="minorHAnsi" w:hAnsiTheme="minorHAnsi" w:cstheme="minorHAnsi"/>
                <w:sz w:val="18"/>
                <w:szCs w:val="14"/>
              </w:rPr>
              <w:t>Grants and other transfers</w:t>
            </w:r>
          </w:p>
        </w:tc>
        <w:tc>
          <w:tcPr>
            <w:tcW w:w="1215" w:type="dxa"/>
          </w:tcPr>
          <w:p w14:paraId="35BC8AF6" w14:textId="77777777" w:rsidR="00B02873" w:rsidRPr="00F54AE3" w:rsidRDefault="00B02873" w:rsidP="00C9714F">
            <w:pPr>
              <w:pStyle w:val="TablebodyleftFinancialsTables"/>
              <w:jc w:val="right"/>
              <w:rPr>
                <w:rFonts w:asciiTheme="minorHAnsi" w:hAnsiTheme="minorHAnsi" w:cstheme="minorHAnsi"/>
                <w:b/>
                <w:bCs/>
                <w:sz w:val="18"/>
                <w:szCs w:val="14"/>
              </w:rPr>
            </w:pPr>
            <w:r w:rsidRPr="00F54AE3">
              <w:rPr>
                <w:rFonts w:asciiTheme="minorHAnsi" w:hAnsiTheme="minorHAnsi" w:cstheme="minorHAnsi"/>
                <w:b/>
                <w:bCs/>
                <w:sz w:val="18"/>
                <w:szCs w:val="14"/>
              </w:rPr>
              <w:t>–</w:t>
            </w:r>
          </w:p>
        </w:tc>
        <w:tc>
          <w:tcPr>
            <w:tcW w:w="1219" w:type="dxa"/>
          </w:tcPr>
          <w:p w14:paraId="1D2BC4C1" w14:textId="77777777" w:rsidR="00B02873" w:rsidRPr="00C9714F" w:rsidRDefault="00B02873" w:rsidP="00C9714F">
            <w:pPr>
              <w:pStyle w:val="TablebodyleftFinancialsTables"/>
              <w:jc w:val="right"/>
              <w:rPr>
                <w:rFonts w:asciiTheme="minorHAnsi" w:hAnsiTheme="minorHAnsi" w:cstheme="minorHAnsi"/>
                <w:sz w:val="18"/>
                <w:szCs w:val="14"/>
              </w:rPr>
            </w:pPr>
            <w:r w:rsidRPr="00C9714F">
              <w:rPr>
                <w:rFonts w:asciiTheme="minorHAnsi" w:hAnsiTheme="minorHAnsi" w:cstheme="minorHAnsi"/>
                <w:sz w:val="18"/>
                <w:szCs w:val="14"/>
              </w:rPr>
              <w:t>–</w:t>
            </w:r>
          </w:p>
        </w:tc>
        <w:tc>
          <w:tcPr>
            <w:tcW w:w="1217" w:type="dxa"/>
          </w:tcPr>
          <w:p w14:paraId="3327DB3C" w14:textId="77777777" w:rsidR="00B02873" w:rsidRPr="00F54AE3" w:rsidRDefault="00B02873" w:rsidP="00C9714F">
            <w:pPr>
              <w:pStyle w:val="TablebodyleftFinancialsTables"/>
              <w:jc w:val="right"/>
              <w:rPr>
                <w:rFonts w:asciiTheme="minorHAnsi" w:hAnsiTheme="minorHAnsi" w:cstheme="minorHAnsi"/>
                <w:b/>
                <w:bCs/>
                <w:sz w:val="18"/>
                <w:szCs w:val="14"/>
              </w:rPr>
            </w:pPr>
            <w:r w:rsidRPr="00F54AE3">
              <w:rPr>
                <w:rFonts w:asciiTheme="minorHAnsi" w:hAnsiTheme="minorHAnsi" w:cstheme="minorHAnsi"/>
                <w:b/>
                <w:bCs/>
                <w:sz w:val="18"/>
                <w:szCs w:val="14"/>
              </w:rPr>
              <w:t>(29,926)</w:t>
            </w:r>
          </w:p>
        </w:tc>
        <w:tc>
          <w:tcPr>
            <w:tcW w:w="1232" w:type="dxa"/>
          </w:tcPr>
          <w:p w14:paraId="1B124C57" w14:textId="77777777" w:rsidR="00B02873" w:rsidRPr="00C9714F" w:rsidRDefault="00B02873" w:rsidP="00C9714F">
            <w:pPr>
              <w:pStyle w:val="TablebodyleftFinancialsTables"/>
              <w:jc w:val="right"/>
              <w:rPr>
                <w:rFonts w:asciiTheme="minorHAnsi" w:hAnsiTheme="minorHAnsi" w:cstheme="minorHAnsi"/>
                <w:sz w:val="18"/>
                <w:szCs w:val="14"/>
              </w:rPr>
            </w:pPr>
            <w:r w:rsidRPr="00C9714F">
              <w:rPr>
                <w:rFonts w:asciiTheme="minorHAnsi" w:hAnsiTheme="minorHAnsi" w:cstheme="minorHAnsi"/>
                <w:sz w:val="18"/>
                <w:szCs w:val="14"/>
              </w:rPr>
              <w:t>(21,800)</w:t>
            </w:r>
          </w:p>
        </w:tc>
        <w:tc>
          <w:tcPr>
            <w:tcW w:w="850" w:type="dxa"/>
          </w:tcPr>
          <w:p w14:paraId="28075A48" w14:textId="77777777" w:rsidR="00B02873" w:rsidRPr="00F54AE3" w:rsidRDefault="00B02873" w:rsidP="00C9714F">
            <w:pPr>
              <w:pStyle w:val="TablebodyleftFinancialsTables"/>
              <w:jc w:val="right"/>
              <w:rPr>
                <w:rFonts w:asciiTheme="minorHAnsi" w:hAnsiTheme="minorHAnsi" w:cstheme="minorHAnsi"/>
                <w:b/>
                <w:bCs/>
                <w:sz w:val="18"/>
                <w:szCs w:val="14"/>
              </w:rPr>
            </w:pPr>
            <w:r w:rsidRPr="00F54AE3">
              <w:rPr>
                <w:rFonts w:asciiTheme="minorHAnsi" w:hAnsiTheme="minorHAnsi" w:cstheme="minorHAnsi"/>
                <w:b/>
                <w:bCs/>
                <w:sz w:val="18"/>
                <w:szCs w:val="14"/>
              </w:rPr>
              <w:t>–</w:t>
            </w:r>
          </w:p>
        </w:tc>
        <w:tc>
          <w:tcPr>
            <w:tcW w:w="851" w:type="dxa"/>
          </w:tcPr>
          <w:p w14:paraId="3D1F4A3B" w14:textId="77777777" w:rsidR="00B02873" w:rsidRPr="00C9714F" w:rsidRDefault="00B02873" w:rsidP="00C9714F">
            <w:pPr>
              <w:pStyle w:val="TablebodyleftFinancialsTables"/>
              <w:jc w:val="right"/>
              <w:rPr>
                <w:rFonts w:asciiTheme="minorHAnsi" w:hAnsiTheme="minorHAnsi" w:cstheme="minorHAnsi"/>
                <w:sz w:val="18"/>
                <w:szCs w:val="14"/>
              </w:rPr>
            </w:pPr>
            <w:r w:rsidRPr="00C9714F">
              <w:rPr>
                <w:rFonts w:asciiTheme="minorHAnsi" w:hAnsiTheme="minorHAnsi" w:cstheme="minorHAnsi"/>
                <w:sz w:val="18"/>
                <w:szCs w:val="14"/>
              </w:rPr>
              <w:t>–</w:t>
            </w:r>
          </w:p>
        </w:tc>
      </w:tr>
      <w:tr w:rsidR="00B02873" w:rsidRPr="00C9714F" w14:paraId="64499674" w14:textId="77777777" w:rsidTr="00F54AE3">
        <w:tc>
          <w:tcPr>
            <w:tcW w:w="3175" w:type="dxa"/>
          </w:tcPr>
          <w:p w14:paraId="78FE6440" w14:textId="77777777" w:rsidR="00B02873" w:rsidRPr="00C9714F" w:rsidRDefault="00B02873" w:rsidP="00C9714F">
            <w:pPr>
              <w:pStyle w:val="TablebodyleftFinancialsTables"/>
              <w:rPr>
                <w:rFonts w:asciiTheme="minorHAnsi" w:hAnsiTheme="minorHAnsi" w:cstheme="minorHAnsi"/>
                <w:sz w:val="18"/>
                <w:szCs w:val="14"/>
              </w:rPr>
            </w:pPr>
            <w:r w:rsidRPr="00C9714F">
              <w:rPr>
                <w:rFonts w:asciiTheme="minorHAnsi" w:hAnsiTheme="minorHAnsi" w:cstheme="minorHAnsi"/>
                <w:sz w:val="18"/>
                <w:szCs w:val="14"/>
              </w:rPr>
              <w:t>Victorian Desalination Project interest expense (Note 4.2.5)</w:t>
            </w:r>
          </w:p>
        </w:tc>
        <w:tc>
          <w:tcPr>
            <w:tcW w:w="1215" w:type="dxa"/>
          </w:tcPr>
          <w:p w14:paraId="5258F1BF" w14:textId="77777777" w:rsidR="00B02873" w:rsidRPr="00F54AE3" w:rsidRDefault="00B02873" w:rsidP="00C9714F">
            <w:pPr>
              <w:pStyle w:val="TablebodyleftFinancialsTables"/>
              <w:jc w:val="right"/>
              <w:rPr>
                <w:rFonts w:asciiTheme="minorHAnsi" w:hAnsiTheme="minorHAnsi" w:cstheme="minorHAnsi"/>
                <w:b/>
                <w:bCs/>
                <w:sz w:val="18"/>
                <w:szCs w:val="14"/>
              </w:rPr>
            </w:pPr>
            <w:r w:rsidRPr="00F54AE3">
              <w:rPr>
                <w:rFonts w:asciiTheme="minorHAnsi" w:hAnsiTheme="minorHAnsi" w:cstheme="minorHAnsi"/>
                <w:b/>
                <w:bCs/>
                <w:sz w:val="18"/>
                <w:szCs w:val="14"/>
              </w:rPr>
              <w:t>–</w:t>
            </w:r>
          </w:p>
        </w:tc>
        <w:tc>
          <w:tcPr>
            <w:tcW w:w="1219" w:type="dxa"/>
          </w:tcPr>
          <w:p w14:paraId="393F0806" w14:textId="77777777" w:rsidR="00B02873" w:rsidRPr="00C9714F" w:rsidRDefault="00B02873" w:rsidP="00C9714F">
            <w:pPr>
              <w:pStyle w:val="TablebodyleftFinancialsTables"/>
              <w:jc w:val="right"/>
              <w:rPr>
                <w:rFonts w:asciiTheme="minorHAnsi" w:hAnsiTheme="minorHAnsi" w:cstheme="minorHAnsi"/>
                <w:sz w:val="18"/>
                <w:szCs w:val="14"/>
              </w:rPr>
            </w:pPr>
            <w:r w:rsidRPr="00C9714F">
              <w:rPr>
                <w:rFonts w:asciiTheme="minorHAnsi" w:hAnsiTheme="minorHAnsi" w:cstheme="minorHAnsi"/>
                <w:sz w:val="18"/>
                <w:szCs w:val="14"/>
              </w:rPr>
              <w:t>–</w:t>
            </w:r>
          </w:p>
        </w:tc>
        <w:tc>
          <w:tcPr>
            <w:tcW w:w="1217" w:type="dxa"/>
          </w:tcPr>
          <w:p w14:paraId="4223ADA3" w14:textId="77777777" w:rsidR="00B02873" w:rsidRPr="00F54AE3" w:rsidRDefault="00B02873" w:rsidP="00C9714F">
            <w:pPr>
              <w:pStyle w:val="TablebodyleftFinancialsTables"/>
              <w:jc w:val="right"/>
              <w:rPr>
                <w:rFonts w:asciiTheme="minorHAnsi" w:hAnsiTheme="minorHAnsi" w:cstheme="minorHAnsi"/>
                <w:b/>
                <w:bCs/>
                <w:sz w:val="18"/>
                <w:szCs w:val="14"/>
              </w:rPr>
            </w:pPr>
            <w:r w:rsidRPr="00F54AE3">
              <w:rPr>
                <w:rFonts w:asciiTheme="minorHAnsi" w:hAnsiTheme="minorHAnsi" w:cstheme="minorHAnsi"/>
                <w:b/>
                <w:bCs/>
                <w:sz w:val="18"/>
                <w:szCs w:val="14"/>
              </w:rPr>
              <w:t>(366,528)</w:t>
            </w:r>
          </w:p>
        </w:tc>
        <w:tc>
          <w:tcPr>
            <w:tcW w:w="1232" w:type="dxa"/>
          </w:tcPr>
          <w:p w14:paraId="6DC92FC9" w14:textId="77777777" w:rsidR="00B02873" w:rsidRPr="00C9714F" w:rsidRDefault="00B02873" w:rsidP="00C9714F">
            <w:pPr>
              <w:pStyle w:val="TablebodyleftFinancialsTables"/>
              <w:jc w:val="right"/>
              <w:rPr>
                <w:rFonts w:asciiTheme="minorHAnsi" w:hAnsiTheme="minorHAnsi" w:cstheme="minorHAnsi"/>
                <w:sz w:val="18"/>
                <w:szCs w:val="14"/>
              </w:rPr>
            </w:pPr>
            <w:r w:rsidRPr="00C9714F">
              <w:rPr>
                <w:rFonts w:asciiTheme="minorHAnsi" w:hAnsiTheme="minorHAnsi" w:cstheme="minorHAnsi"/>
                <w:sz w:val="18"/>
                <w:szCs w:val="14"/>
              </w:rPr>
              <w:t>(372,088)</w:t>
            </w:r>
          </w:p>
        </w:tc>
        <w:tc>
          <w:tcPr>
            <w:tcW w:w="850" w:type="dxa"/>
          </w:tcPr>
          <w:p w14:paraId="5A3B2F99" w14:textId="77777777" w:rsidR="00B02873" w:rsidRPr="00F54AE3" w:rsidRDefault="00B02873" w:rsidP="00C9714F">
            <w:pPr>
              <w:pStyle w:val="TablebodyleftFinancialsTables"/>
              <w:jc w:val="right"/>
              <w:rPr>
                <w:rFonts w:asciiTheme="minorHAnsi" w:hAnsiTheme="minorHAnsi" w:cstheme="minorHAnsi"/>
                <w:b/>
                <w:bCs/>
                <w:sz w:val="18"/>
                <w:szCs w:val="14"/>
              </w:rPr>
            </w:pPr>
            <w:r w:rsidRPr="00F54AE3">
              <w:rPr>
                <w:rFonts w:asciiTheme="minorHAnsi" w:hAnsiTheme="minorHAnsi" w:cstheme="minorHAnsi"/>
                <w:b/>
                <w:bCs/>
                <w:sz w:val="18"/>
                <w:szCs w:val="14"/>
              </w:rPr>
              <w:t>–</w:t>
            </w:r>
          </w:p>
        </w:tc>
        <w:tc>
          <w:tcPr>
            <w:tcW w:w="851" w:type="dxa"/>
          </w:tcPr>
          <w:p w14:paraId="2B9DEAE8" w14:textId="77777777" w:rsidR="00B02873" w:rsidRPr="00C9714F" w:rsidRDefault="00B02873" w:rsidP="00C9714F">
            <w:pPr>
              <w:pStyle w:val="TablebodyleftFinancialsTables"/>
              <w:jc w:val="right"/>
              <w:rPr>
                <w:rFonts w:asciiTheme="minorHAnsi" w:hAnsiTheme="minorHAnsi" w:cstheme="minorHAnsi"/>
                <w:sz w:val="18"/>
                <w:szCs w:val="14"/>
              </w:rPr>
            </w:pPr>
            <w:r w:rsidRPr="00C9714F">
              <w:rPr>
                <w:rFonts w:asciiTheme="minorHAnsi" w:hAnsiTheme="minorHAnsi" w:cstheme="minorHAnsi"/>
                <w:sz w:val="18"/>
                <w:szCs w:val="14"/>
              </w:rPr>
              <w:t>–</w:t>
            </w:r>
          </w:p>
        </w:tc>
      </w:tr>
      <w:tr w:rsidR="00B02873" w:rsidRPr="00C9714F" w14:paraId="4B0D8B3D" w14:textId="77777777" w:rsidTr="00F54AE3">
        <w:tc>
          <w:tcPr>
            <w:tcW w:w="3175" w:type="dxa"/>
          </w:tcPr>
          <w:p w14:paraId="761DC79D" w14:textId="77777777" w:rsidR="00B02873" w:rsidRPr="00C9714F" w:rsidRDefault="00B02873" w:rsidP="00C9714F">
            <w:pPr>
              <w:pStyle w:val="TablebodyleftFinancialsTables"/>
              <w:rPr>
                <w:rFonts w:asciiTheme="minorHAnsi" w:hAnsiTheme="minorHAnsi" w:cstheme="minorHAnsi"/>
                <w:sz w:val="18"/>
                <w:szCs w:val="14"/>
              </w:rPr>
            </w:pPr>
            <w:r w:rsidRPr="00C9714F">
              <w:rPr>
                <w:rFonts w:asciiTheme="minorHAnsi" w:hAnsiTheme="minorHAnsi" w:cstheme="minorHAnsi"/>
                <w:sz w:val="18"/>
                <w:szCs w:val="14"/>
              </w:rPr>
              <w:t xml:space="preserve">Other expenses </w:t>
            </w:r>
          </w:p>
        </w:tc>
        <w:tc>
          <w:tcPr>
            <w:tcW w:w="1215" w:type="dxa"/>
          </w:tcPr>
          <w:p w14:paraId="6F7FCC51" w14:textId="77777777" w:rsidR="00B02873" w:rsidRPr="00F54AE3" w:rsidRDefault="00B02873" w:rsidP="00C9714F">
            <w:pPr>
              <w:pStyle w:val="TablebodyleftFinancialsTables"/>
              <w:jc w:val="right"/>
              <w:rPr>
                <w:rFonts w:asciiTheme="minorHAnsi" w:hAnsiTheme="minorHAnsi" w:cstheme="minorHAnsi"/>
                <w:b/>
                <w:bCs/>
                <w:sz w:val="18"/>
                <w:szCs w:val="14"/>
              </w:rPr>
            </w:pPr>
            <w:r w:rsidRPr="00F54AE3">
              <w:rPr>
                <w:rFonts w:asciiTheme="minorHAnsi" w:hAnsiTheme="minorHAnsi" w:cstheme="minorHAnsi"/>
                <w:b/>
                <w:bCs/>
                <w:sz w:val="18"/>
                <w:szCs w:val="14"/>
              </w:rPr>
              <w:t>(25,852)</w:t>
            </w:r>
          </w:p>
        </w:tc>
        <w:tc>
          <w:tcPr>
            <w:tcW w:w="1219" w:type="dxa"/>
          </w:tcPr>
          <w:p w14:paraId="14CE2A0D" w14:textId="77777777" w:rsidR="00B02873" w:rsidRPr="00C9714F" w:rsidRDefault="00B02873" w:rsidP="00C9714F">
            <w:pPr>
              <w:pStyle w:val="TablebodyleftFinancialsTables"/>
              <w:jc w:val="right"/>
              <w:rPr>
                <w:rFonts w:asciiTheme="minorHAnsi" w:hAnsiTheme="minorHAnsi" w:cstheme="minorHAnsi"/>
                <w:sz w:val="18"/>
                <w:szCs w:val="14"/>
              </w:rPr>
            </w:pPr>
            <w:r w:rsidRPr="00C9714F">
              <w:rPr>
                <w:rFonts w:asciiTheme="minorHAnsi" w:hAnsiTheme="minorHAnsi" w:cstheme="minorHAnsi"/>
                <w:sz w:val="18"/>
                <w:szCs w:val="14"/>
              </w:rPr>
              <w:t>(5,141)</w:t>
            </w:r>
          </w:p>
        </w:tc>
        <w:tc>
          <w:tcPr>
            <w:tcW w:w="1217" w:type="dxa"/>
          </w:tcPr>
          <w:p w14:paraId="442FFA7B" w14:textId="77777777" w:rsidR="00B02873" w:rsidRPr="00F54AE3" w:rsidRDefault="00B02873" w:rsidP="00C9714F">
            <w:pPr>
              <w:pStyle w:val="TablebodyleftFinancialsTables"/>
              <w:jc w:val="right"/>
              <w:rPr>
                <w:rFonts w:asciiTheme="minorHAnsi" w:hAnsiTheme="minorHAnsi" w:cstheme="minorHAnsi"/>
                <w:b/>
                <w:bCs/>
                <w:sz w:val="18"/>
                <w:szCs w:val="14"/>
              </w:rPr>
            </w:pPr>
            <w:r w:rsidRPr="00F54AE3">
              <w:rPr>
                <w:rFonts w:asciiTheme="minorHAnsi" w:hAnsiTheme="minorHAnsi" w:cstheme="minorHAnsi"/>
                <w:b/>
                <w:bCs/>
                <w:sz w:val="18"/>
                <w:szCs w:val="14"/>
              </w:rPr>
              <w:t>(223,960)</w:t>
            </w:r>
          </w:p>
        </w:tc>
        <w:tc>
          <w:tcPr>
            <w:tcW w:w="1232" w:type="dxa"/>
          </w:tcPr>
          <w:p w14:paraId="7FA91EA4" w14:textId="77777777" w:rsidR="00B02873" w:rsidRPr="00C9714F" w:rsidRDefault="00B02873" w:rsidP="00C9714F">
            <w:pPr>
              <w:pStyle w:val="TablebodyleftFinancialsTables"/>
              <w:jc w:val="right"/>
              <w:rPr>
                <w:rFonts w:asciiTheme="minorHAnsi" w:hAnsiTheme="minorHAnsi" w:cstheme="minorHAnsi"/>
                <w:sz w:val="18"/>
                <w:szCs w:val="14"/>
              </w:rPr>
            </w:pPr>
            <w:r w:rsidRPr="00C9714F">
              <w:rPr>
                <w:rFonts w:asciiTheme="minorHAnsi" w:hAnsiTheme="minorHAnsi" w:cstheme="minorHAnsi"/>
                <w:sz w:val="18"/>
                <w:szCs w:val="14"/>
              </w:rPr>
              <w:t>(214,970)</w:t>
            </w:r>
          </w:p>
        </w:tc>
        <w:tc>
          <w:tcPr>
            <w:tcW w:w="850" w:type="dxa"/>
          </w:tcPr>
          <w:p w14:paraId="1609713E" w14:textId="77777777" w:rsidR="00B02873" w:rsidRPr="00F54AE3" w:rsidRDefault="00B02873" w:rsidP="00C9714F">
            <w:pPr>
              <w:pStyle w:val="TablebodyleftFinancialsTables"/>
              <w:jc w:val="right"/>
              <w:rPr>
                <w:rFonts w:asciiTheme="minorHAnsi" w:hAnsiTheme="minorHAnsi" w:cstheme="minorHAnsi"/>
                <w:b/>
                <w:bCs/>
                <w:sz w:val="18"/>
                <w:szCs w:val="14"/>
              </w:rPr>
            </w:pPr>
            <w:r w:rsidRPr="00F54AE3">
              <w:rPr>
                <w:rFonts w:asciiTheme="minorHAnsi" w:hAnsiTheme="minorHAnsi" w:cstheme="minorHAnsi"/>
                <w:b/>
                <w:bCs/>
                <w:sz w:val="18"/>
                <w:szCs w:val="14"/>
              </w:rPr>
              <w:t>(15)</w:t>
            </w:r>
          </w:p>
        </w:tc>
        <w:tc>
          <w:tcPr>
            <w:tcW w:w="851" w:type="dxa"/>
          </w:tcPr>
          <w:p w14:paraId="034A0E26" w14:textId="77777777" w:rsidR="00B02873" w:rsidRPr="00C9714F" w:rsidRDefault="00B02873" w:rsidP="00C9714F">
            <w:pPr>
              <w:pStyle w:val="TablebodyleftFinancialsTables"/>
              <w:jc w:val="right"/>
              <w:rPr>
                <w:rFonts w:asciiTheme="minorHAnsi" w:hAnsiTheme="minorHAnsi" w:cstheme="minorHAnsi"/>
                <w:sz w:val="18"/>
                <w:szCs w:val="14"/>
              </w:rPr>
            </w:pPr>
            <w:r w:rsidRPr="00C9714F">
              <w:rPr>
                <w:rFonts w:asciiTheme="minorHAnsi" w:hAnsiTheme="minorHAnsi" w:cstheme="minorHAnsi"/>
                <w:sz w:val="18"/>
                <w:szCs w:val="14"/>
              </w:rPr>
              <w:t>–</w:t>
            </w:r>
          </w:p>
        </w:tc>
      </w:tr>
      <w:tr w:rsidR="00B02873" w:rsidRPr="00C9714F" w14:paraId="74BFAF0F" w14:textId="77777777" w:rsidTr="00F54AE3">
        <w:tc>
          <w:tcPr>
            <w:tcW w:w="3175" w:type="dxa"/>
          </w:tcPr>
          <w:p w14:paraId="61A38F48" w14:textId="77777777" w:rsidR="00B02873" w:rsidRPr="00C9714F" w:rsidRDefault="00B02873" w:rsidP="00C9714F">
            <w:pPr>
              <w:pStyle w:val="TablebodyleftFinancialsTables"/>
              <w:rPr>
                <w:rFonts w:asciiTheme="minorHAnsi" w:hAnsiTheme="minorHAnsi" w:cstheme="minorHAnsi"/>
                <w:sz w:val="18"/>
                <w:szCs w:val="14"/>
              </w:rPr>
            </w:pPr>
            <w:r w:rsidRPr="00C9714F">
              <w:rPr>
                <w:rFonts w:asciiTheme="minorHAnsi" w:hAnsiTheme="minorHAnsi" w:cstheme="minorHAnsi"/>
                <w:spacing w:val="-2"/>
                <w:sz w:val="18"/>
                <w:szCs w:val="14"/>
              </w:rPr>
              <w:t>Depreciation and amortisation</w:t>
            </w:r>
          </w:p>
        </w:tc>
        <w:tc>
          <w:tcPr>
            <w:tcW w:w="1215" w:type="dxa"/>
          </w:tcPr>
          <w:p w14:paraId="5ABCB21E" w14:textId="77777777" w:rsidR="00B02873" w:rsidRPr="00F54AE3" w:rsidRDefault="00B02873" w:rsidP="00C9714F">
            <w:pPr>
              <w:pStyle w:val="TablebodyleftFinancialsTables"/>
              <w:jc w:val="right"/>
              <w:rPr>
                <w:rFonts w:asciiTheme="minorHAnsi" w:hAnsiTheme="minorHAnsi" w:cstheme="minorHAnsi"/>
                <w:b/>
                <w:bCs/>
                <w:sz w:val="18"/>
                <w:szCs w:val="14"/>
              </w:rPr>
            </w:pPr>
            <w:r w:rsidRPr="00F54AE3">
              <w:rPr>
                <w:rFonts w:asciiTheme="minorHAnsi" w:hAnsiTheme="minorHAnsi" w:cstheme="minorHAnsi"/>
                <w:b/>
                <w:bCs/>
                <w:sz w:val="18"/>
                <w:szCs w:val="14"/>
              </w:rPr>
              <w:t>–</w:t>
            </w:r>
          </w:p>
        </w:tc>
        <w:tc>
          <w:tcPr>
            <w:tcW w:w="1219" w:type="dxa"/>
          </w:tcPr>
          <w:p w14:paraId="140A177F" w14:textId="77777777" w:rsidR="00B02873" w:rsidRPr="00C9714F" w:rsidRDefault="00B02873" w:rsidP="00C9714F">
            <w:pPr>
              <w:pStyle w:val="TablebodyleftFinancialsTables"/>
              <w:jc w:val="right"/>
              <w:rPr>
                <w:rFonts w:asciiTheme="minorHAnsi" w:hAnsiTheme="minorHAnsi" w:cstheme="minorHAnsi"/>
                <w:sz w:val="18"/>
                <w:szCs w:val="14"/>
              </w:rPr>
            </w:pPr>
            <w:r w:rsidRPr="00C9714F">
              <w:rPr>
                <w:rFonts w:asciiTheme="minorHAnsi" w:hAnsiTheme="minorHAnsi" w:cstheme="minorHAnsi"/>
                <w:sz w:val="18"/>
                <w:szCs w:val="14"/>
              </w:rPr>
              <w:t>–</w:t>
            </w:r>
          </w:p>
        </w:tc>
        <w:tc>
          <w:tcPr>
            <w:tcW w:w="1217" w:type="dxa"/>
          </w:tcPr>
          <w:p w14:paraId="62341A82" w14:textId="77777777" w:rsidR="00B02873" w:rsidRPr="00F54AE3" w:rsidRDefault="00B02873" w:rsidP="00C9714F">
            <w:pPr>
              <w:pStyle w:val="TablebodyleftFinancialsTables"/>
              <w:jc w:val="right"/>
              <w:rPr>
                <w:rFonts w:asciiTheme="minorHAnsi" w:hAnsiTheme="minorHAnsi" w:cstheme="minorHAnsi"/>
                <w:b/>
                <w:bCs/>
                <w:sz w:val="18"/>
                <w:szCs w:val="14"/>
              </w:rPr>
            </w:pPr>
            <w:r w:rsidRPr="00F54AE3">
              <w:rPr>
                <w:rFonts w:asciiTheme="minorHAnsi" w:hAnsiTheme="minorHAnsi" w:cstheme="minorHAnsi"/>
                <w:b/>
                <w:bCs/>
                <w:sz w:val="18"/>
                <w:szCs w:val="14"/>
              </w:rPr>
              <w:t>(10,699)</w:t>
            </w:r>
          </w:p>
        </w:tc>
        <w:tc>
          <w:tcPr>
            <w:tcW w:w="1232" w:type="dxa"/>
          </w:tcPr>
          <w:p w14:paraId="03E9CFFC" w14:textId="77777777" w:rsidR="00B02873" w:rsidRPr="00C9714F" w:rsidRDefault="00B02873" w:rsidP="00C9714F">
            <w:pPr>
              <w:pStyle w:val="TablebodyleftFinancialsTables"/>
              <w:jc w:val="right"/>
              <w:rPr>
                <w:rFonts w:asciiTheme="minorHAnsi" w:hAnsiTheme="minorHAnsi" w:cstheme="minorHAnsi"/>
                <w:sz w:val="18"/>
                <w:szCs w:val="14"/>
              </w:rPr>
            </w:pPr>
            <w:r w:rsidRPr="00C9714F">
              <w:rPr>
                <w:rFonts w:asciiTheme="minorHAnsi" w:hAnsiTheme="minorHAnsi" w:cstheme="minorHAnsi"/>
                <w:sz w:val="18"/>
                <w:szCs w:val="14"/>
              </w:rPr>
              <w:t>(10,564)</w:t>
            </w:r>
          </w:p>
        </w:tc>
        <w:tc>
          <w:tcPr>
            <w:tcW w:w="850" w:type="dxa"/>
          </w:tcPr>
          <w:p w14:paraId="3BDCB975" w14:textId="77777777" w:rsidR="00B02873" w:rsidRPr="00F54AE3" w:rsidRDefault="00B02873" w:rsidP="00C9714F">
            <w:pPr>
              <w:pStyle w:val="TablebodyleftFinancialsTables"/>
              <w:jc w:val="right"/>
              <w:rPr>
                <w:rFonts w:asciiTheme="minorHAnsi" w:hAnsiTheme="minorHAnsi" w:cstheme="minorHAnsi"/>
                <w:b/>
                <w:bCs/>
                <w:sz w:val="18"/>
                <w:szCs w:val="14"/>
              </w:rPr>
            </w:pPr>
            <w:r w:rsidRPr="00F54AE3">
              <w:rPr>
                <w:rFonts w:asciiTheme="minorHAnsi" w:hAnsiTheme="minorHAnsi" w:cstheme="minorHAnsi"/>
                <w:b/>
                <w:bCs/>
                <w:sz w:val="18"/>
                <w:szCs w:val="14"/>
              </w:rPr>
              <w:t>–</w:t>
            </w:r>
          </w:p>
        </w:tc>
        <w:tc>
          <w:tcPr>
            <w:tcW w:w="851" w:type="dxa"/>
          </w:tcPr>
          <w:p w14:paraId="1DC39F36" w14:textId="77777777" w:rsidR="00B02873" w:rsidRPr="00C9714F" w:rsidRDefault="00B02873" w:rsidP="00C9714F">
            <w:pPr>
              <w:pStyle w:val="TablebodyleftFinancialsTables"/>
              <w:jc w:val="right"/>
              <w:rPr>
                <w:rFonts w:asciiTheme="minorHAnsi" w:hAnsiTheme="minorHAnsi" w:cstheme="minorHAnsi"/>
                <w:sz w:val="18"/>
                <w:szCs w:val="14"/>
              </w:rPr>
            </w:pPr>
            <w:r w:rsidRPr="00C9714F">
              <w:rPr>
                <w:rFonts w:asciiTheme="minorHAnsi" w:hAnsiTheme="minorHAnsi" w:cstheme="minorHAnsi"/>
                <w:sz w:val="18"/>
                <w:szCs w:val="14"/>
              </w:rPr>
              <w:t>–</w:t>
            </w:r>
          </w:p>
        </w:tc>
      </w:tr>
      <w:tr w:rsidR="00B02873" w:rsidRPr="00C9714F" w14:paraId="6D9AF325" w14:textId="77777777" w:rsidTr="00F54AE3">
        <w:tc>
          <w:tcPr>
            <w:tcW w:w="3175" w:type="dxa"/>
          </w:tcPr>
          <w:p w14:paraId="78ABC77C" w14:textId="77777777" w:rsidR="00B02873" w:rsidRPr="00C9714F" w:rsidRDefault="00B02873" w:rsidP="00C9714F">
            <w:pPr>
              <w:pStyle w:val="TablebodyleftFinancialsTables"/>
              <w:rPr>
                <w:rFonts w:asciiTheme="minorHAnsi" w:hAnsiTheme="minorHAnsi" w:cstheme="minorHAnsi"/>
                <w:sz w:val="18"/>
                <w:szCs w:val="14"/>
              </w:rPr>
            </w:pPr>
            <w:r w:rsidRPr="00C9714F">
              <w:rPr>
                <w:rFonts w:asciiTheme="minorHAnsi" w:hAnsiTheme="minorHAnsi" w:cstheme="minorHAnsi"/>
                <w:sz w:val="18"/>
                <w:szCs w:val="14"/>
              </w:rPr>
              <w:t>Payments into the consolidated fund</w:t>
            </w:r>
          </w:p>
        </w:tc>
        <w:tc>
          <w:tcPr>
            <w:tcW w:w="1215" w:type="dxa"/>
          </w:tcPr>
          <w:p w14:paraId="7110D5C2" w14:textId="77777777" w:rsidR="00B02873" w:rsidRPr="00F54AE3" w:rsidRDefault="00B02873" w:rsidP="00C9714F">
            <w:pPr>
              <w:pStyle w:val="TablebodyleftFinancialsTables"/>
              <w:jc w:val="right"/>
              <w:rPr>
                <w:rFonts w:asciiTheme="minorHAnsi" w:hAnsiTheme="minorHAnsi" w:cstheme="minorHAnsi"/>
                <w:b/>
                <w:bCs/>
                <w:sz w:val="18"/>
                <w:szCs w:val="14"/>
              </w:rPr>
            </w:pPr>
            <w:r w:rsidRPr="00F54AE3">
              <w:rPr>
                <w:rFonts w:asciiTheme="minorHAnsi" w:hAnsiTheme="minorHAnsi" w:cstheme="minorHAnsi"/>
                <w:b/>
                <w:bCs/>
                <w:sz w:val="18"/>
                <w:szCs w:val="14"/>
              </w:rPr>
              <w:t>(14,474)</w:t>
            </w:r>
          </w:p>
        </w:tc>
        <w:tc>
          <w:tcPr>
            <w:tcW w:w="1219" w:type="dxa"/>
          </w:tcPr>
          <w:p w14:paraId="2DE55B1B" w14:textId="77777777" w:rsidR="00B02873" w:rsidRPr="00C9714F" w:rsidRDefault="00B02873" w:rsidP="00C9714F">
            <w:pPr>
              <w:pStyle w:val="TablebodyleftFinancialsTables"/>
              <w:jc w:val="right"/>
              <w:rPr>
                <w:rFonts w:asciiTheme="minorHAnsi" w:hAnsiTheme="minorHAnsi" w:cstheme="minorHAnsi"/>
                <w:sz w:val="18"/>
                <w:szCs w:val="14"/>
              </w:rPr>
            </w:pPr>
            <w:r w:rsidRPr="00C9714F">
              <w:rPr>
                <w:rFonts w:asciiTheme="minorHAnsi" w:hAnsiTheme="minorHAnsi" w:cstheme="minorHAnsi"/>
                <w:sz w:val="18"/>
                <w:szCs w:val="14"/>
              </w:rPr>
              <w:t>(12,370)</w:t>
            </w:r>
          </w:p>
        </w:tc>
        <w:tc>
          <w:tcPr>
            <w:tcW w:w="1217" w:type="dxa"/>
          </w:tcPr>
          <w:p w14:paraId="52E4D660" w14:textId="77777777" w:rsidR="00B02873" w:rsidRPr="00F54AE3" w:rsidRDefault="00B02873" w:rsidP="00C9714F">
            <w:pPr>
              <w:pStyle w:val="TablebodyleftFinancialsTables"/>
              <w:jc w:val="right"/>
              <w:rPr>
                <w:rFonts w:asciiTheme="minorHAnsi" w:hAnsiTheme="minorHAnsi" w:cstheme="minorHAnsi"/>
                <w:b/>
                <w:bCs/>
                <w:sz w:val="18"/>
                <w:szCs w:val="14"/>
              </w:rPr>
            </w:pPr>
            <w:r w:rsidRPr="00F54AE3">
              <w:rPr>
                <w:rFonts w:asciiTheme="minorHAnsi" w:hAnsiTheme="minorHAnsi" w:cstheme="minorHAnsi"/>
                <w:b/>
                <w:bCs/>
                <w:sz w:val="18"/>
                <w:szCs w:val="14"/>
              </w:rPr>
              <w:t>(790,023)</w:t>
            </w:r>
          </w:p>
        </w:tc>
        <w:tc>
          <w:tcPr>
            <w:tcW w:w="1232" w:type="dxa"/>
          </w:tcPr>
          <w:p w14:paraId="30010A3A" w14:textId="77777777" w:rsidR="00B02873" w:rsidRPr="00C9714F" w:rsidRDefault="00B02873" w:rsidP="00C9714F">
            <w:pPr>
              <w:pStyle w:val="TablebodyleftFinancialsTables"/>
              <w:jc w:val="right"/>
              <w:rPr>
                <w:rFonts w:asciiTheme="minorHAnsi" w:hAnsiTheme="minorHAnsi" w:cstheme="minorHAnsi"/>
                <w:sz w:val="18"/>
                <w:szCs w:val="14"/>
              </w:rPr>
            </w:pPr>
            <w:r w:rsidRPr="00C9714F">
              <w:rPr>
                <w:rFonts w:asciiTheme="minorHAnsi" w:hAnsiTheme="minorHAnsi" w:cstheme="minorHAnsi"/>
                <w:sz w:val="18"/>
                <w:szCs w:val="14"/>
              </w:rPr>
              <w:t>(834,117)</w:t>
            </w:r>
          </w:p>
        </w:tc>
        <w:tc>
          <w:tcPr>
            <w:tcW w:w="850" w:type="dxa"/>
          </w:tcPr>
          <w:p w14:paraId="32F21562" w14:textId="77777777" w:rsidR="00B02873" w:rsidRPr="00F54AE3" w:rsidRDefault="00B02873" w:rsidP="00C9714F">
            <w:pPr>
              <w:pStyle w:val="TablebodyleftFinancialsTables"/>
              <w:jc w:val="right"/>
              <w:rPr>
                <w:rFonts w:asciiTheme="minorHAnsi" w:hAnsiTheme="minorHAnsi" w:cstheme="minorHAnsi"/>
                <w:b/>
                <w:bCs/>
                <w:sz w:val="18"/>
                <w:szCs w:val="14"/>
              </w:rPr>
            </w:pPr>
            <w:r w:rsidRPr="00F54AE3">
              <w:rPr>
                <w:rFonts w:asciiTheme="minorHAnsi" w:hAnsiTheme="minorHAnsi" w:cstheme="minorHAnsi"/>
                <w:b/>
                <w:bCs/>
                <w:sz w:val="18"/>
                <w:szCs w:val="14"/>
              </w:rPr>
              <w:t>(10)</w:t>
            </w:r>
          </w:p>
        </w:tc>
        <w:tc>
          <w:tcPr>
            <w:tcW w:w="851" w:type="dxa"/>
          </w:tcPr>
          <w:p w14:paraId="0C2B20EE" w14:textId="77777777" w:rsidR="00B02873" w:rsidRPr="00C9714F" w:rsidRDefault="00B02873" w:rsidP="00C9714F">
            <w:pPr>
              <w:pStyle w:val="TablebodyleftFinancialsTables"/>
              <w:jc w:val="right"/>
              <w:rPr>
                <w:rFonts w:asciiTheme="minorHAnsi" w:hAnsiTheme="minorHAnsi" w:cstheme="minorHAnsi"/>
                <w:sz w:val="18"/>
                <w:szCs w:val="14"/>
              </w:rPr>
            </w:pPr>
            <w:r w:rsidRPr="00C9714F">
              <w:rPr>
                <w:rFonts w:asciiTheme="minorHAnsi" w:hAnsiTheme="minorHAnsi" w:cstheme="minorHAnsi"/>
                <w:sz w:val="18"/>
                <w:szCs w:val="14"/>
              </w:rPr>
              <w:t>(40)</w:t>
            </w:r>
          </w:p>
        </w:tc>
      </w:tr>
      <w:tr w:rsidR="00B02873" w:rsidRPr="00C9714F" w14:paraId="0C292FEF" w14:textId="77777777" w:rsidTr="00F54AE3">
        <w:tc>
          <w:tcPr>
            <w:tcW w:w="3175" w:type="dxa"/>
          </w:tcPr>
          <w:p w14:paraId="6C6EC47B" w14:textId="77777777" w:rsidR="00B02873" w:rsidRPr="00F54AE3" w:rsidRDefault="00B02873" w:rsidP="00C9714F">
            <w:pPr>
              <w:pStyle w:val="TablebodyleftFinancialsTables"/>
              <w:rPr>
                <w:rFonts w:asciiTheme="minorHAnsi" w:hAnsiTheme="minorHAnsi" w:cstheme="minorHAnsi"/>
                <w:b/>
                <w:bCs/>
                <w:sz w:val="18"/>
                <w:szCs w:val="14"/>
              </w:rPr>
            </w:pPr>
            <w:r w:rsidRPr="00F54AE3">
              <w:rPr>
                <w:rFonts w:asciiTheme="minorHAnsi" w:hAnsiTheme="minorHAnsi" w:cstheme="minorHAnsi"/>
                <w:b/>
                <w:bCs/>
                <w:sz w:val="18"/>
                <w:szCs w:val="14"/>
              </w:rPr>
              <w:t>Total administered expenses from transactions</w:t>
            </w:r>
          </w:p>
        </w:tc>
        <w:tc>
          <w:tcPr>
            <w:tcW w:w="1215" w:type="dxa"/>
          </w:tcPr>
          <w:p w14:paraId="70748E34" w14:textId="77777777" w:rsidR="00B02873" w:rsidRPr="00F54AE3" w:rsidRDefault="00B02873" w:rsidP="00C9714F">
            <w:pPr>
              <w:pStyle w:val="TablebodyleftFinancialsTables"/>
              <w:jc w:val="right"/>
              <w:rPr>
                <w:rFonts w:asciiTheme="minorHAnsi" w:hAnsiTheme="minorHAnsi" w:cstheme="minorHAnsi"/>
                <w:b/>
                <w:bCs/>
                <w:sz w:val="18"/>
                <w:szCs w:val="14"/>
              </w:rPr>
            </w:pPr>
            <w:r w:rsidRPr="00F54AE3">
              <w:rPr>
                <w:rFonts w:asciiTheme="minorHAnsi" w:hAnsiTheme="minorHAnsi" w:cstheme="minorHAnsi"/>
                <w:b/>
                <w:bCs/>
                <w:sz w:val="18"/>
                <w:szCs w:val="14"/>
              </w:rPr>
              <w:t>(40,326)</w:t>
            </w:r>
          </w:p>
        </w:tc>
        <w:tc>
          <w:tcPr>
            <w:tcW w:w="1219" w:type="dxa"/>
          </w:tcPr>
          <w:p w14:paraId="428053E8" w14:textId="77777777" w:rsidR="00B02873" w:rsidRPr="00C9714F" w:rsidRDefault="00B02873" w:rsidP="00C9714F">
            <w:pPr>
              <w:pStyle w:val="TablebodyleftFinancialsTables"/>
              <w:jc w:val="right"/>
              <w:rPr>
                <w:rFonts w:asciiTheme="minorHAnsi" w:hAnsiTheme="minorHAnsi" w:cstheme="minorHAnsi"/>
                <w:sz w:val="18"/>
                <w:szCs w:val="14"/>
              </w:rPr>
            </w:pPr>
            <w:r w:rsidRPr="00C9714F">
              <w:rPr>
                <w:rFonts w:asciiTheme="minorHAnsi" w:hAnsiTheme="minorHAnsi" w:cstheme="minorHAnsi"/>
                <w:sz w:val="18"/>
                <w:szCs w:val="14"/>
              </w:rPr>
              <w:t>(17,511)</w:t>
            </w:r>
          </w:p>
        </w:tc>
        <w:tc>
          <w:tcPr>
            <w:tcW w:w="1217" w:type="dxa"/>
          </w:tcPr>
          <w:p w14:paraId="501FBE3A" w14:textId="77777777" w:rsidR="00B02873" w:rsidRPr="00F54AE3" w:rsidRDefault="00B02873" w:rsidP="00C9714F">
            <w:pPr>
              <w:pStyle w:val="TablebodyleftFinancialsTables"/>
              <w:jc w:val="right"/>
              <w:rPr>
                <w:rFonts w:asciiTheme="minorHAnsi" w:hAnsiTheme="minorHAnsi" w:cstheme="minorHAnsi"/>
                <w:b/>
                <w:bCs/>
                <w:sz w:val="18"/>
                <w:szCs w:val="14"/>
              </w:rPr>
            </w:pPr>
            <w:r w:rsidRPr="00F54AE3">
              <w:rPr>
                <w:rFonts w:asciiTheme="minorHAnsi" w:hAnsiTheme="minorHAnsi" w:cstheme="minorHAnsi"/>
                <w:b/>
                <w:bCs/>
                <w:sz w:val="18"/>
                <w:szCs w:val="14"/>
              </w:rPr>
              <w:t>(1,421,136)</w:t>
            </w:r>
          </w:p>
        </w:tc>
        <w:tc>
          <w:tcPr>
            <w:tcW w:w="1232" w:type="dxa"/>
          </w:tcPr>
          <w:p w14:paraId="6CD193D4" w14:textId="77777777" w:rsidR="00B02873" w:rsidRPr="00C9714F" w:rsidRDefault="00B02873" w:rsidP="00C9714F">
            <w:pPr>
              <w:pStyle w:val="TablebodyleftFinancialsTables"/>
              <w:jc w:val="right"/>
              <w:rPr>
                <w:rFonts w:asciiTheme="minorHAnsi" w:hAnsiTheme="minorHAnsi" w:cstheme="minorHAnsi"/>
                <w:sz w:val="18"/>
                <w:szCs w:val="14"/>
              </w:rPr>
            </w:pPr>
            <w:r w:rsidRPr="00C9714F">
              <w:rPr>
                <w:rFonts w:asciiTheme="minorHAnsi" w:hAnsiTheme="minorHAnsi" w:cstheme="minorHAnsi"/>
                <w:sz w:val="18"/>
                <w:szCs w:val="14"/>
              </w:rPr>
              <w:t>(1,453,539)</w:t>
            </w:r>
          </w:p>
        </w:tc>
        <w:tc>
          <w:tcPr>
            <w:tcW w:w="850" w:type="dxa"/>
          </w:tcPr>
          <w:p w14:paraId="3F212746" w14:textId="77777777" w:rsidR="00B02873" w:rsidRPr="00F54AE3" w:rsidRDefault="00B02873" w:rsidP="00C9714F">
            <w:pPr>
              <w:pStyle w:val="TablebodyleftFinancialsTables"/>
              <w:jc w:val="right"/>
              <w:rPr>
                <w:rFonts w:asciiTheme="minorHAnsi" w:hAnsiTheme="minorHAnsi" w:cstheme="minorHAnsi"/>
                <w:b/>
                <w:bCs/>
                <w:sz w:val="18"/>
                <w:szCs w:val="14"/>
              </w:rPr>
            </w:pPr>
            <w:r w:rsidRPr="00F54AE3">
              <w:rPr>
                <w:rFonts w:asciiTheme="minorHAnsi" w:hAnsiTheme="minorHAnsi" w:cstheme="minorHAnsi"/>
                <w:b/>
                <w:bCs/>
                <w:sz w:val="18"/>
                <w:szCs w:val="14"/>
              </w:rPr>
              <w:t>(25)</w:t>
            </w:r>
          </w:p>
        </w:tc>
        <w:tc>
          <w:tcPr>
            <w:tcW w:w="851" w:type="dxa"/>
          </w:tcPr>
          <w:p w14:paraId="75EC7AA0" w14:textId="77777777" w:rsidR="00B02873" w:rsidRPr="00C9714F" w:rsidRDefault="00B02873" w:rsidP="00C9714F">
            <w:pPr>
              <w:pStyle w:val="TablebodyleftFinancialsTables"/>
              <w:jc w:val="right"/>
              <w:rPr>
                <w:rFonts w:asciiTheme="minorHAnsi" w:hAnsiTheme="minorHAnsi" w:cstheme="minorHAnsi"/>
                <w:sz w:val="18"/>
                <w:szCs w:val="14"/>
              </w:rPr>
            </w:pPr>
            <w:r w:rsidRPr="00C9714F">
              <w:rPr>
                <w:rFonts w:asciiTheme="minorHAnsi" w:hAnsiTheme="minorHAnsi" w:cstheme="minorHAnsi"/>
                <w:sz w:val="18"/>
                <w:szCs w:val="14"/>
              </w:rPr>
              <w:t>(40)</w:t>
            </w:r>
          </w:p>
        </w:tc>
      </w:tr>
      <w:tr w:rsidR="00B02873" w:rsidRPr="00C9714F" w14:paraId="7E5FB9A2" w14:textId="77777777" w:rsidTr="00F54AE3">
        <w:tc>
          <w:tcPr>
            <w:tcW w:w="3175" w:type="dxa"/>
          </w:tcPr>
          <w:p w14:paraId="23209534" w14:textId="77777777" w:rsidR="00B02873" w:rsidRPr="00F54AE3" w:rsidRDefault="00B02873" w:rsidP="00C9714F">
            <w:pPr>
              <w:pStyle w:val="TablebodyleftFinancialsTables"/>
              <w:rPr>
                <w:rFonts w:asciiTheme="minorHAnsi" w:hAnsiTheme="minorHAnsi" w:cstheme="minorHAnsi"/>
                <w:b/>
                <w:bCs/>
                <w:sz w:val="18"/>
                <w:szCs w:val="14"/>
              </w:rPr>
            </w:pPr>
            <w:r w:rsidRPr="00F54AE3">
              <w:rPr>
                <w:rFonts w:asciiTheme="minorHAnsi" w:hAnsiTheme="minorHAnsi" w:cstheme="minorHAnsi"/>
                <w:b/>
                <w:bCs/>
                <w:sz w:val="18"/>
                <w:szCs w:val="14"/>
              </w:rPr>
              <w:t>Total administered net result from transactions (net operating balance)</w:t>
            </w:r>
          </w:p>
        </w:tc>
        <w:tc>
          <w:tcPr>
            <w:tcW w:w="1215" w:type="dxa"/>
          </w:tcPr>
          <w:p w14:paraId="3408BA44" w14:textId="77777777" w:rsidR="00B02873" w:rsidRPr="00F54AE3" w:rsidRDefault="00B02873" w:rsidP="00C9714F">
            <w:pPr>
              <w:pStyle w:val="TablebodyleftFinancialsTables"/>
              <w:jc w:val="right"/>
              <w:rPr>
                <w:rFonts w:asciiTheme="minorHAnsi" w:hAnsiTheme="minorHAnsi" w:cstheme="minorHAnsi"/>
                <w:b/>
                <w:bCs/>
                <w:sz w:val="18"/>
                <w:szCs w:val="14"/>
              </w:rPr>
            </w:pPr>
            <w:r w:rsidRPr="00F54AE3">
              <w:rPr>
                <w:rFonts w:asciiTheme="minorHAnsi" w:hAnsiTheme="minorHAnsi" w:cstheme="minorHAnsi"/>
                <w:b/>
                <w:bCs/>
                <w:sz w:val="18"/>
                <w:szCs w:val="14"/>
              </w:rPr>
              <w:t>(29,154)</w:t>
            </w:r>
          </w:p>
        </w:tc>
        <w:tc>
          <w:tcPr>
            <w:tcW w:w="1219" w:type="dxa"/>
          </w:tcPr>
          <w:p w14:paraId="4DDE9C64" w14:textId="77777777" w:rsidR="00B02873" w:rsidRPr="00C9714F" w:rsidRDefault="00B02873" w:rsidP="00C9714F">
            <w:pPr>
              <w:pStyle w:val="TablebodyleftFinancialsTables"/>
              <w:jc w:val="right"/>
              <w:rPr>
                <w:rFonts w:asciiTheme="minorHAnsi" w:hAnsiTheme="minorHAnsi" w:cstheme="minorHAnsi"/>
                <w:sz w:val="18"/>
                <w:szCs w:val="14"/>
              </w:rPr>
            </w:pPr>
            <w:r w:rsidRPr="00C9714F">
              <w:rPr>
                <w:rFonts w:asciiTheme="minorHAnsi" w:hAnsiTheme="minorHAnsi" w:cstheme="minorHAnsi"/>
                <w:sz w:val="18"/>
                <w:szCs w:val="14"/>
              </w:rPr>
              <w:t>(7,372)</w:t>
            </w:r>
          </w:p>
        </w:tc>
        <w:tc>
          <w:tcPr>
            <w:tcW w:w="1217" w:type="dxa"/>
          </w:tcPr>
          <w:p w14:paraId="7022926D" w14:textId="77777777" w:rsidR="00B02873" w:rsidRPr="00F54AE3" w:rsidRDefault="00B02873" w:rsidP="00C9714F">
            <w:pPr>
              <w:pStyle w:val="TablebodyleftFinancialsTables"/>
              <w:jc w:val="right"/>
              <w:rPr>
                <w:rFonts w:asciiTheme="minorHAnsi" w:hAnsiTheme="minorHAnsi" w:cstheme="minorHAnsi"/>
                <w:b/>
                <w:bCs/>
                <w:sz w:val="18"/>
                <w:szCs w:val="14"/>
              </w:rPr>
            </w:pPr>
            <w:r w:rsidRPr="00F54AE3">
              <w:rPr>
                <w:rFonts w:asciiTheme="minorHAnsi" w:hAnsiTheme="minorHAnsi" w:cstheme="minorHAnsi"/>
                <w:b/>
                <w:bCs/>
                <w:sz w:val="18"/>
                <w:szCs w:val="14"/>
              </w:rPr>
              <w:t>48,104</w:t>
            </w:r>
          </w:p>
        </w:tc>
        <w:tc>
          <w:tcPr>
            <w:tcW w:w="1232" w:type="dxa"/>
          </w:tcPr>
          <w:p w14:paraId="7958413A" w14:textId="77777777" w:rsidR="00B02873" w:rsidRPr="00C9714F" w:rsidRDefault="00B02873" w:rsidP="00C9714F">
            <w:pPr>
              <w:pStyle w:val="TablebodyleftFinancialsTables"/>
              <w:jc w:val="right"/>
              <w:rPr>
                <w:rFonts w:asciiTheme="minorHAnsi" w:hAnsiTheme="minorHAnsi" w:cstheme="minorHAnsi"/>
                <w:sz w:val="18"/>
                <w:szCs w:val="14"/>
              </w:rPr>
            </w:pPr>
            <w:r w:rsidRPr="00C9714F">
              <w:rPr>
                <w:rFonts w:asciiTheme="minorHAnsi" w:hAnsiTheme="minorHAnsi" w:cstheme="minorHAnsi"/>
                <w:sz w:val="18"/>
                <w:szCs w:val="14"/>
              </w:rPr>
              <w:t>22,432</w:t>
            </w:r>
          </w:p>
        </w:tc>
        <w:tc>
          <w:tcPr>
            <w:tcW w:w="850" w:type="dxa"/>
          </w:tcPr>
          <w:p w14:paraId="49CB41FC" w14:textId="77777777" w:rsidR="00B02873" w:rsidRPr="00F54AE3" w:rsidRDefault="00B02873" w:rsidP="00C9714F">
            <w:pPr>
              <w:pStyle w:val="TablebodyleftFinancialsTables"/>
              <w:jc w:val="right"/>
              <w:rPr>
                <w:rFonts w:asciiTheme="minorHAnsi" w:hAnsiTheme="minorHAnsi" w:cstheme="minorHAnsi"/>
                <w:b/>
                <w:bCs/>
                <w:sz w:val="18"/>
                <w:szCs w:val="14"/>
              </w:rPr>
            </w:pPr>
            <w:r w:rsidRPr="00F54AE3">
              <w:rPr>
                <w:rFonts w:asciiTheme="minorHAnsi" w:hAnsiTheme="minorHAnsi" w:cstheme="minorHAnsi"/>
                <w:b/>
                <w:bCs/>
                <w:sz w:val="18"/>
                <w:szCs w:val="14"/>
              </w:rPr>
              <w:t>(20)</w:t>
            </w:r>
          </w:p>
        </w:tc>
        <w:tc>
          <w:tcPr>
            <w:tcW w:w="851" w:type="dxa"/>
          </w:tcPr>
          <w:p w14:paraId="15AF3A64" w14:textId="77777777" w:rsidR="00B02873" w:rsidRPr="00C9714F" w:rsidRDefault="00B02873" w:rsidP="00C9714F">
            <w:pPr>
              <w:pStyle w:val="TablebodyleftFinancialsTables"/>
              <w:jc w:val="right"/>
              <w:rPr>
                <w:rFonts w:asciiTheme="minorHAnsi" w:hAnsiTheme="minorHAnsi" w:cstheme="minorHAnsi"/>
                <w:sz w:val="18"/>
                <w:szCs w:val="14"/>
              </w:rPr>
            </w:pPr>
            <w:r w:rsidRPr="00C9714F">
              <w:rPr>
                <w:rFonts w:asciiTheme="minorHAnsi" w:hAnsiTheme="minorHAnsi" w:cstheme="minorHAnsi"/>
                <w:sz w:val="18"/>
                <w:szCs w:val="14"/>
              </w:rPr>
              <w:t>23</w:t>
            </w:r>
          </w:p>
        </w:tc>
      </w:tr>
      <w:tr w:rsidR="00B02873" w:rsidRPr="00C9714F" w14:paraId="21EE5F2C" w14:textId="77777777" w:rsidTr="00F54AE3">
        <w:tc>
          <w:tcPr>
            <w:tcW w:w="3175" w:type="dxa"/>
          </w:tcPr>
          <w:p w14:paraId="39617B9B" w14:textId="77777777" w:rsidR="00B02873" w:rsidRPr="00F54AE3" w:rsidRDefault="00B02873" w:rsidP="00C9714F">
            <w:pPr>
              <w:pStyle w:val="TablebodyleftFinancialsTables"/>
              <w:rPr>
                <w:rFonts w:asciiTheme="minorHAnsi" w:hAnsiTheme="minorHAnsi" w:cstheme="minorHAnsi"/>
                <w:b/>
                <w:bCs/>
                <w:sz w:val="18"/>
                <w:szCs w:val="14"/>
              </w:rPr>
            </w:pPr>
            <w:r w:rsidRPr="00F54AE3">
              <w:rPr>
                <w:rFonts w:asciiTheme="minorHAnsi" w:hAnsiTheme="minorHAnsi" w:cstheme="minorHAnsi"/>
                <w:b/>
                <w:bCs/>
                <w:sz w:val="18"/>
                <w:szCs w:val="14"/>
              </w:rPr>
              <w:t>Administered other economic flows included in net result</w:t>
            </w:r>
          </w:p>
        </w:tc>
        <w:tc>
          <w:tcPr>
            <w:tcW w:w="1215" w:type="dxa"/>
          </w:tcPr>
          <w:p w14:paraId="6BCFB79B" w14:textId="77777777" w:rsidR="00B02873" w:rsidRPr="00F54AE3" w:rsidRDefault="00B02873" w:rsidP="00C9714F">
            <w:pPr>
              <w:pStyle w:val="TablebodyleftFinancialsTables"/>
              <w:jc w:val="right"/>
              <w:rPr>
                <w:rFonts w:asciiTheme="minorHAnsi" w:hAnsiTheme="minorHAnsi" w:cstheme="minorHAnsi"/>
                <w:b/>
                <w:bCs/>
                <w:sz w:val="18"/>
                <w:szCs w:val="14"/>
              </w:rPr>
            </w:pPr>
          </w:p>
        </w:tc>
        <w:tc>
          <w:tcPr>
            <w:tcW w:w="1219" w:type="dxa"/>
          </w:tcPr>
          <w:p w14:paraId="1AC3AE65" w14:textId="77777777" w:rsidR="00B02873" w:rsidRPr="00C9714F" w:rsidRDefault="00B02873" w:rsidP="00C9714F">
            <w:pPr>
              <w:pStyle w:val="TablebodyleftFinancialsTables"/>
              <w:jc w:val="right"/>
              <w:rPr>
                <w:rFonts w:asciiTheme="minorHAnsi" w:hAnsiTheme="minorHAnsi" w:cstheme="minorHAnsi"/>
                <w:sz w:val="18"/>
                <w:szCs w:val="14"/>
              </w:rPr>
            </w:pPr>
          </w:p>
        </w:tc>
        <w:tc>
          <w:tcPr>
            <w:tcW w:w="1217" w:type="dxa"/>
          </w:tcPr>
          <w:p w14:paraId="6006208C" w14:textId="77777777" w:rsidR="00B02873" w:rsidRPr="00F54AE3" w:rsidRDefault="00B02873" w:rsidP="00C9714F">
            <w:pPr>
              <w:pStyle w:val="TablebodyleftFinancialsTables"/>
              <w:jc w:val="right"/>
              <w:rPr>
                <w:rFonts w:asciiTheme="minorHAnsi" w:hAnsiTheme="minorHAnsi" w:cstheme="minorHAnsi"/>
                <w:b/>
                <w:bCs/>
                <w:sz w:val="18"/>
                <w:szCs w:val="14"/>
              </w:rPr>
            </w:pPr>
          </w:p>
        </w:tc>
        <w:tc>
          <w:tcPr>
            <w:tcW w:w="1232" w:type="dxa"/>
          </w:tcPr>
          <w:p w14:paraId="661B7C1D" w14:textId="77777777" w:rsidR="00B02873" w:rsidRPr="00C9714F" w:rsidRDefault="00B02873" w:rsidP="00C9714F">
            <w:pPr>
              <w:pStyle w:val="TablebodyleftFinancialsTables"/>
              <w:jc w:val="right"/>
              <w:rPr>
                <w:rFonts w:asciiTheme="minorHAnsi" w:hAnsiTheme="minorHAnsi" w:cstheme="minorHAnsi"/>
                <w:sz w:val="18"/>
                <w:szCs w:val="14"/>
              </w:rPr>
            </w:pPr>
          </w:p>
        </w:tc>
        <w:tc>
          <w:tcPr>
            <w:tcW w:w="850" w:type="dxa"/>
          </w:tcPr>
          <w:p w14:paraId="47755BE5" w14:textId="77777777" w:rsidR="00B02873" w:rsidRPr="00F54AE3" w:rsidRDefault="00B02873" w:rsidP="00C9714F">
            <w:pPr>
              <w:pStyle w:val="TablebodyleftFinancialsTables"/>
              <w:jc w:val="right"/>
              <w:rPr>
                <w:rFonts w:asciiTheme="minorHAnsi" w:hAnsiTheme="minorHAnsi" w:cstheme="minorHAnsi"/>
                <w:b/>
                <w:bCs/>
                <w:sz w:val="18"/>
                <w:szCs w:val="14"/>
              </w:rPr>
            </w:pPr>
          </w:p>
        </w:tc>
        <w:tc>
          <w:tcPr>
            <w:tcW w:w="851" w:type="dxa"/>
          </w:tcPr>
          <w:p w14:paraId="7C534797" w14:textId="77777777" w:rsidR="00B02873" w:rsidRPr="00C9714F" w:rsidRDefault="00B02873" w:rsidP="00C9714F">
            <w:pPr>
              <w:pStyle w:val="TablebodyleftFinancialsTables"/>
              <w:jc w:val="right"/>
              <w:rPr>
                <w:rFonts w:asciiTheme="minorHAnsi" w:hAnsiTheme="minorHAnsi" w:cstheme="minorHAnsi"/>
                <w:sz w:val="18"/>
                <w:szCs w:val="14"/>
              </w:rPr>
            </w:pPr>
          </w:p>
        </w:tc>
      </w:tr>
      <w:tr w:rsidR="00B02873" w:rsidRPr="00C9714F" w14:paraId="3F05B505" w14:textId="77777777" w:rsidTr="00F54AE3">
        <w:tc>
          <w:tcPr>
            <w:tcW w:w="3175" w:type="dxa"/>
          </w:tcPr>
          <w:p w14:paraId="50C5E370" w14:textId="3E44D449" w:rsidR="00B02873" w:rsidRPr="00C9714F" w:rsidRDefault="00B02873" w:rsidP="00C9714F">
            <w:pPr>
              <w:pStyle w:val="TablebodyleftFinancialsTables"/>
              <w:rPr>
                <w:rFonts w:asciiTheme="minorHAnsi" w:hAnsiTheme="minorHAnsi" w:cstheme="minorHAnsi"/>
                <w:sz w:val="18"/>
                <w:szCs w:val="14"/>
              </w:rPr>
            </w:pPr>
            <w:r w:rsidRPr="00C9714F">
              <w:rPr>
                <w:rFonts w:asciiTheme="minorHAnsi" w:hAnsiTheme="minorHAnsi" w:cstheme="minorHAnsi"/>
                <w:sz w:val="18"/>
                <w:szCs w:val="14"/>
              </w:rPr>
              <w:t>Net gain/(loss) on non-financial assets</w:t>
            </w:r>
          </w:p>
        </w:tc>
        <w:tc>
          <w:tcPr>
            <w:tcW w:w="1215" w:type="dxa"/>
          </w:tcPr>
          <w:p w14:paraId="52B33254" w14:textId="77777777" w:rsidR="00B02873" w:rsidRPr="00F54AE3" w:rsidRDefault="00B02873" w:rsidP="00C9714F">
            <w:pPr>
              <w:pStyle w:val="TablebodyleftFinancialsTables"/>
              <w:jc w:val="right"/>
              <w:rPr>
                <w:rFonts w:asciiTheme="minorHAnsi" w:hAnsiTheme="minorHAnsi" w:cstheme="minorHAnsi"/>
                <w:b/>
                <w:bCs/>
                <w:sz w:val="18"/>
                <w:szCs w:val="14"/>
              </w:rPr>
            </w:pPr>
            <w:r w:rsidRPr="00F54AE3">
              <w:rPr>
                <w:rFonts w:asciiTheme="minorHAnsi" w:hAnsiTheme="minorHAnsi" w:cstheme="minorHAnsi"/>
                <w:b/>
                <w:bCs/>
                <w:sz w:val="18"/>
                <w:szCs w:val="14"/>
              </w:rPr>
              <w:t>11,555</w:t>
            </w:r>
          </w:p>
        </w:tc>
        <w:tc>
          <w:tcPr>
            <w:tcW w:w="1219" w:type="dxa"/>
          </w:tcPr>
          <w:p w14:paraId="3F9E96E9" w14:textId="77777777" w:rsidR="00B02873" w:rsidRPr="00C9714F" w:rsidRDefault="00B02873" w:rsidP="00C9714F">
            <w:pPr>
              <w:pStyle w:val="TablebodyleftFinancialsTables"/>
              <w:jc w:val="right"/>
              <w:rPr>
                <w:rFonts w:asciiTheme="minorHAnsi" w:hAnsiTheme="minorHAnsi" w:cstheme="minorHAnsi"/>
                <w:sz w:val="18"/>
                <w:szCs w:val="14"/>
              </w:rPr>
            </w:pPr>
            <w:r w:rsidRPr="00C9714F">
              <w:rPr>
                <w:rFonts w:asciiTheme="minorHAnsi" w:hAnsiTheme="minorHAnsi" w:cstheme="minorHAnsi"/>
                <w:sz w:val="18"/>
                <w:szCs w:val="14"/>
              </w:rPr>
              <w:t>(10,886)</w:t>
            </w:r>
          </w:p>
        </w:tc>
        <w:tc>
          <w:tcPr>
            <w:tcW w:w="1217" w:type="dxa"/>
          </w:tcPr>
          <w:p w14:paraId="42102CAE" w14:textId="77777777" w:rsidR="00B02873" w:rsidRPr="00F54AE3" w:rsidRDefault="00B02873" w:rsidP="00C9714F">
            <w:pPr>
              <w:pStyle w:val="TablebodyleftFinancialsTables"/>
              <w:jc w:val="right"/>
              <w:rPr>
                <w:rFonts w:asciiTheme="minorHAnsi" w:hAnsiTheme="minorHAnsi" w:cstheme="minorHAnsi"/>
                <w:b/>
                <w:bCs/>
                <w:sz w:val="18"/>
                <w:szCs w:val="14"/>
              </w:rPr>
            </w:pPr>
            <w:r w:rsidRPr="00F54AE3">
              <w:rPr>
                <w:rFonts w:asciiTheme="minorHAnsi" w:hAnsiTheme="minorHAnsi" w:cstheme="minorHAnsi"/>
                <w:b/>
                <w:bCs/>
                <w:sz w:val="18"/>
                <w:szCs w:val="14"/>
              </w:rPr>
              <w:t>3,291</w:t>
            </w:r>
          </w:p>
        </w:tc>
        <w:tc>
          <w:tcPr>
            <w:tcW w:w="1232" w:type="dxa"/>
          </w:tcPr>
          <w:p w14:paraId="018EE65B" w14:textId="77777777" w:rsidR="00B02873" w:rsidRPr="00C9714F" w:rsidRDefault="00B02873" w:rsidP="00C9714F">
            <w:pPr>
              <w:pStyle w:val="TablebodyleftFinancialsTables"/>
              <w:jc w:val="right"/>
              <w:rPr>
                <w:rFonts w:asciiTheme="minorHAnsi" w:hAnsiTheme="minorHAnsi" w:cstheme="minorHAnsi"/>
                <w:sz w:val="18"/>
                <w:szCs w:val="14"/>
              </w:rPr>
            </w:pPr>
            <w:r w:rsidRPr="00C9714F">
              <w:rPr>
                <w:rFonts w:asciiTheme="minorHAnsi" w:hAnsiTheme="minorHAnsi" w:cstheme="minorHAnsi"/>
                <w:sz w:val="18"/>
                <w:szCs w:val="14"/>
              </w:rPr>
              <w:t>(18,001)</w:t>
            </w:r>
          </w:p>
        </w:tc>
        <w:tc>
          <w:tcPr>
            <w:tcW w:w="850" w:type="dxa"/>
          </w:tcPr>
          <w:p w14:paraId="6227EE0C" w14:textId="77777777" w:rsidR="00B02873" w:rsidRPr="00F54AE3" w:rsidRDefault="00B02873" w:rsidP="00C9714F">
            <w:pPr>
              <w:pStyle w:val="TablebodyleftFinancialsTables"/>
              <w:jc w:val="right"/>
              <w:rPr>
                <w:rFonts w:asciiTheme="minorHAnsi" w:hAnsiTheme="minorHAnsi" w:cstheme="minorHAnsi"/>
                <w:b/>
                <w:bCs/>
                <w:sz w:val="18"/>
                <w:szCs w:val="14"/>
              </w:rPr>
            </w:pPr>
            <w:r w:rsidRPr="00F54AE3">
              <w:rPr>
                <w:rFonts w:asciiTheme="minorHAnsi" w:hAnsiTheme="minorHAnsi" w:cstheme="minorHAnsi"/>
                <w:b/>
                <w:bCs/>
                <w:sz w:val="18"/>
                <w:szCs w:val="14"/>
              </w:rPr>
              <w:t>–</w:t>
            </w:r>
          </w:p>
        </w:tc>
        <w:tc>
          <w:tcPr>
            <w:tcW w:w="851" w:type="dxa"/>
          </w:tcPr>
          <w:p w14:paraId="30E43D05" w14:textId="77777777" w:rsidR="00B02873" w:rsidRPr="00C9714F" w:rsidRDefault="00B02873" w:rsidP="00C9714F">
            <w:pPr>
              <w:pStyle w:val="TablebodyleftFinancialsTables"/>
              <w:jc w:val="right"/>
              <w:rPr>
                <w:rFonts w:asciiTheme="minorHAnsi" w:hAnsiTheme="minorHAnsi" w:cstheme="minorHAnsi"/>
                <w:sz w:val="18"/>
                <w:szCs w:val="14"/>
              </w:rPr>
            </w:pPr>
            <w:r w:rsidRPr="00C9714F">
              <w:rPr>
                <w:rFonts w:asciiTheme="minorHAnsi" w:hAnsiTheme="minorHAnsi" w:cstheme="minorHAnsi"/>
                <w:sz w:val="18"/>
                <w:szCs w:val="14"/>
              </w:rPr>
              <w:t>(35)</w:t>
            </w:r>
          </w:p>
        </w:tc>
      </w:tr>
      <w:tr w:rsidR="00B02873" w:rsidRPr="00C9714F" w14:paraId="1F4770C0" w14:textId="77777777" w:rsidTr="00F54AE3">
        <w:tc>
          <w:tcPr>
            <w:tcW w:w="3175" w:type="dxa"/>
          </w:tcPr>
          <w:p w14:paraId="58FE503D" w14:textId="77777777" w:rsidR="00B02873" w:rsidRPr="00F54AE3" w:rsidRDefault="00B02873" w:rsidP="00C9714F">
            <w:pPr>
              <w:pStyle w:val="TablebodyleftFinancialsTables"/>
              <w:rPr>
                <w:rFonts w:asciiTheme="minorHAnsi" w:hAnsiTheme="minorHAnsi" w:cstheme="minorHAnsi"/>
                <w:spacing w:val="-2"/>
                <w:sz w:val="18"/>
                <w:szCs w:val="14"/>
              </w:rPr>
            </w:pPr>
            <w:r w:rsidRPr="00F54AE3">
              <w:rPr>
                <w:rFonts w:asciiTheme="minorHAnsi" w:hAnsiTheme="minorHAnsi" w:cstheme="minorHAnsi"/>
                <w:spacing w:val="-2"/>
                <w:sz w:val="18"/>
                <w:szCs w:val="14"/>
              </w:rPr>
              <w:t>Net gain/(loss) on financial instruments</w:t>
            </w:r>
          </w:p>
        </w:tc>
        <w:tc>
          <w:tcPr>
            <w:tcW w:w="1215" w:type="dxa"/>
          </w:tcPr>
          <w:p w14:paraId="2F5922AE" w14:textId="77777777" w:rsidR="00B02873" w:rsidRPr="00F54AE3" w:rsidRDefault="00B02873" w:rsidP="00C9714F">
            <w:pPr>
              <w:pStyle w:val="TablebodyleftFinancialsTables"/>
              <w:jc w:val="right"/>
              <w:rPr>
                <w:rFonts w:asciiTheme="minorHAnsi" w:hAnsiTheme="minorHAnsi" w:cstheme="minorHAnsi"/>
                <w:b/>
                <w:bCs/>
                <w:sz w:val="18"/>
                <w:szCs w:val="14"/>
              </w:rPr>
            </w:pPr>
            <w:r w:rsidRPr="00F54AE3">
              <w:rPr>
                <w:rFonts w:asciiTheme="minorHAnsi" w:hAnsiTheme="minorHAnsi" w:cstheme="minorHAnsi"/>
                <w:b/>
                <w:bCs/>
                <w:sz w:val="18"/>
                <w:szCs w:val="14"/>
              </w:rPr>
              <w:t>4</w:t>
            </w:r>
          </w:p>
        </w:tc>
        <w:tc>
          <w:tcPr>
            <w:tcW w:w="1219" w:type="dxa"/>
          </w:tcPr>
          <w:p w14:paraId="099443FB" w14:textId="77777777" w:rsidR="00B02873" w:rsidRPr="00C9714F" w:rsidRDefault="00B02873" w:rsidP="00C9714F">
            <w:pPr>
              <w:pStyle w:val="TablebodyleftFinancialsTables"/>
              <w:jc w:val="right"/>
              <w:rPr>
                <w:rFonts w:asciiTheme="minorHAnsi" w:hAnsiTheme="minorHAnsi" w:cstheme="minorHAnsi"/>
                <w:sz w:val="18"/>
                <w:szCs w:val="14"/>
              </w:rPr>
            </w:pPr>
            <w:r w:rsidRPr="00C9714F">
              <w:rPr>
                <w:rFonts w:asciiTheme="minorHAnsi" w:hAnsiTheme="minorHAnsi" w:cstheme="minorHAnsi"/>
                <w:sz w:val="18"/>
                <w:szCs w:val="14"/>
              </w:rPr>
              <w:t>963</w:t>
            </w:r>
          </w:p>
        </w:tc>
        <w:tc>
          <w:tcPr>
            <w:tcW w:w="1217" w:type="dxa"/>
          </w:tcPr>
          <w:p w14:paraId="1800B4B3" w14:textId="77777777" w:rsidR="00B02873" w:rsidRPr="00F54AE3" w:rsidRDefault="00B02873" w:rsidP="00C9714F">
            <w:pPr>
              <w:pStyle w:val="TablebodyleftFinancialsTables"/>
              <w:jc w:val="right"/>
              <w:rPr>
                <w:rFonts w:asciiTheme="minorHAnsi" w:hAnsiTheme="minorHAnsi" w:cstheme="minorHAnsi"/>
                <w:b/>
                <w:bCs/>
                <w:sz w:val="18"/>
                <w:szCs w:val="14"/>
              </w:rPr>
            </w:pPr>
            <w:r w:rsidRPr="00F54AE3">
              <w:rPr>
                <w:rFonts w:asciiTheme="minorHAnsi" w:hAnsiTheme="minorHAnsi" w:cstheme="minorHAnsi"/>
                <w:b/>
                <w:bCs/>
                <w:sz w:val="18"/>
                <w:szCs w:val="14"/>
              </w:rPr>
              <w:t>5</w:t>
            </w:r>
          </w:p>
        </w:tc>
        <w:tc>
          <w:tcPr>
            <w:tcW w:w="1232" w:type="dxa"/>
          </w:tcPr>
          <w:p w14:paraId="6E20F990" w14:textId="77777777" w:rsidR="00B02873" w:rsidRPr="00C9714F" w:rsidRDefault="00B02873" w:rsidP="00C9714F">
            <w:pPr>
              <w:pStyle w:val="TablebodyleftFinancialsTables"/>
              <w:jc w:val="right"/>
              <w:rPr>
                <w:rFonts w:asciiTheme="minorHAnsi" w:hAnsiTheme="minorHAnsi" w:cstheme="minorHAnsi"/>
                <w:sz w:val="18"/>
                <w:szCs w:val="14"/>
              </w:rPr>
            </w:pPr>
            <w:r w:rsidRPr="00C9714F">
              <w:rPr>
                <w:rFonts w:asciiTheme="minorHAnsi" w:hAnsiTheme="minorHAnsi" w:cstheme="minorHAnsi"/>
                <w:sz w:val="18"/>
                <w:szCs w:val="14"/>
              </w:rPr>
              <w:t>(63)</w:t>
            </w:r>
          </w:p>
        </w:tc>
        <w:tc>
          <w:tcPr>
            <w:tcW w:w="850" w:type="dxa"/>
          </w:tcPr>
          <w:p w14:paraId="0212EE8B" w14:textId="77777777" w:rsidR="00B02873" w:rsidRPr="00F54AE3" w:rsidRDefault="00B02873" w:rsidP="00C9714F">
            <w:pPr>
              <w:pStyle w:val="TablebodyleftFinancialsTables"/>
              <w:jc w:val="right"/>
              <w:rPr>
                <w:rFonts w:asciiTheme="minorHAnsi" w:hAnsiTheme="minorHAnsi" w:cstheme="minorHAnsi"/>
                <w:b/>
                <w:bCs/>
                <w:sz w:val="18"/>
                <w:szCs w:val="14"/>
              </w:rPr>
            </w:pPr>
            <w:r w:rsidRPr="00F54AE3">
              <w:rPr>
                <w:rFonts w:asciiTheme="minorHAnsi" w:hAnsiTheme="minorHAnsi" w:cstheme="minorHAnsi"/>
                <w:b/>
                <w:bCs/>
                <w:sz w:val="18"/>
                <w:szCs w:val="14"/>
              </w:rPr>
              <w:t>1</w:t>
            </w:r>
          </w:p>
        </w:tc>
        <w:tc>
          <w:tcPr>
            <w:tcW w:w="851" w:type="dxa"/>
          </w:tcPr>
          <w:p w14:paraId="2B560D42" w14:textId="77777777" w:rsidR="00B02873" w:rsidRPr="00C9714F" w:rsidRDefault="00B02873" w:rsidP="00C9714F">
            <w:pPr>
              <w:pStyle w:val="TablebodyleftFinancialsTables"/>
              <w:jc w:val="right"/>
              <w:rPr>
                <w:rFonts w:asciiTheme="minorHAnsi" w:hAnsiTheme="minorHAnsi" w:cstheme="minorHAnsi"/>
                <w:sz w:val="18"/>
                <w:szCs w:val="14"/>
              </w:rPr>
            </w:pPr>
            <w:r w:rsidRPr="00C9714F">
              <w:rPr>
                <w:rFonts w:asciiTheme="minorHAnsi" w:hAnsiTheme="minorHAnsi" w:cstheme="minorHAnsi"/>
                <w:sz w:val="18"/>
                <w:szCs w:val="14"/>
              </w:rPr>
              <w:t>(17)</w:t>
            </w:r>
          </w:p>
        </w:tc>
      </w:tr>
      <w:tr w:rsidR="00B02873" w:rsidRPr="00C9714F" w14:paraId="46D1ADF5" w14:textId="77777777" w:rsidTr="00F54AE3">
        <w:tc>
          <w:tcPr>
            <w:tcW w:w="3175" w:type="dxa"/>
          </w:tcPr>
          <w:p w14:paraId="12BD4314" w14:textId="77777777" w:rsidR="00B02873" w:rsidRPr="00C9714F" w:rsidRDefault="00B02873" w:rsidP="00C9714F">
            <w:pPr>
              <w:pStyle w:val="TablebodyleftFinancialsTables"/>
              <w:rPr>
                <w:rFonts w:asciiTheme="minorHAnsi" w:hAnsiTheme="minorHAnsi" w:cstheme="minorHAnsi"/>
                <w:sz w:val="18"/>
                <w:szCs w:val="14"/>
              </w:rPr>
            </w:pPr>
            <w:r w:rsidRPr="00C9714F">
              <w:rPr>
                <w:rFonts w:asciiTheme="minorHAnsi" w:hAnsiTheme="minorHAnsi" w:cstheme="minorHAnsi"/>
                <w:sz w:val="18"/>
                <w:szCs w:val="14"/>
              </w:rPr>
              <w:t xml:space="preserve">Other gains/(losses) from other economic flows </w:t>
            </w:r>
          </w:p>
        </w:tc>
        <w:tc>
          <w:tcPr>
            <w:tcW w:w="1215" w:type="dxa"/>
          </w:tcPr>
          <w:p w14:paraId="01C31B21" w14:textId="77777777" w:rsidR="00B02873" w:rsidRPr="00F54AE3" w:rsidRDefault="00B02873" w:rsidP="00C9714F">
            <w:pPr>
              <w:pStyle w:val="TablebodyleftFinancialsTables"/>
              <w:jc w:val="right"/>
              <w:rPr>
                <w:rFonts w:asciiTheme="minorHAnsi" w:hAnsiTheme="minorHAnsi" w:cstheme="minorHAnsi"/>
                <w:b/>
                <w:bCs/>
                <w:sz w:val="18"/>
                <w:szCs w:val="14"/>
              </w:rPr>
            </w:pPr>
            <w:r w:rsidRPr="00F54AE3">
              <w:rPr>
                <w:rFonts w:asciiTheme="minorHAnsi" w:hAnsiTheme="minorHAnsi" w:cstheme="minorHAnsi"/>
                <w:b/>
                <w:bCs/>
                <w:sz w:val="18"/>
                <w:szCs w:val="14"/>
              </w:rPr>
              <w:t>–</w:t>
            </w:r>
          </w:p>
        </w:tc>
        <w:tc>
          <w:tcPr>
            <w:tcW w:w="1219" w:type="dxa"/>
          </w:tcPr>
          <w:p w14:paraId="34F471B1" w14:textId="77777777" w:rsidR="00B02873" w:rsidRPr="00C9714F" w:rsidRDefault="00B02873" w:rsidP="00C9714F">
            <w:pPr>
              <w:pStyle w:val="TablebodyleftFinancialsTables"/>
              <w:jc w:val="right"/>
              <w:rPr>
                <w:rFonts w:asciiTheme="minorHAnsi" w:hAnsiTheme="minorHAnsi" w:cstheme="minorHAnsi"/>
                <w:sz w:val="18"/>
                <w:szCs w:val="14"/>
              </w:rPr>
            </w:pPr>
            <w:r w:rsidRPr="00C9714F">
              <w:rPr>
                <w:rFonts w:asciiTheme="minorHAnsi" w:hAnsiTheme="minorHAnsi" w:cstheme="minorHAnsi"/>
                <w:sz w:val="18"/>
                <w:szCs w:val="14"/>
              </w:rPr>
              <w:t>–</w:t>
            </w:r>
          </w:p>
        </w:tc>
        <w:tc>
          <w:tcPr>
            <w:tcW w:w="1217" w:type="dxa"/>
          </w:tcPr>
          <w:p w14:paraId="20BA6FB1" w14:textId="77777777" w:rsidR="00B02873" w:rsidRPr="00F54AE3" w:rsidRDefault="00B02873" w:rsidP="00C9714F">
            <w:pPr>
              <w:pStyle w:val="TablebodyleftFinancialsTables"/>
              <w:jc w:val="right"/>
              <w:rPr>
                <w:rFonts w:asciiTheme="minorHAnsi" w:hAnsiTheme="minorHAnsi" w:cstheme="minorHAnsi"/>
                <w:b/>
                <w:bCs/>
                <w:sz w:val="18"/>
                <w:szCs w:val="14"/>
              </w:rPr>
            </w:pPr>
            <w:r w:rsidRPr="00F54AE3">
              <w:rPr>
                <w:rFonts w:asciiTheme="minorHAnsi" w:hAnsiTheme="minorHAnsi" w:cstheme="minorHAnsi"/>
                <w:b/>
                <w:bCs/>
                <w:sz w:val="18"/>
                <w:szCs w:val="14"/>
              </w:rPr>
              <w:t>–</w:t>
            </w:r>
          </w:p>
        </w:tc>
        <w:tc>
          <w:tcPr>
            <w:tcW w:w="1232" w:type="dxa"/>
          </w:tcPr>
          <w:p w14:paraId="2B5BA25C" w14:textId="77777777" w:rsidR="00B02873" w:rsidRPr="00C9714F" w:rsidRDefault="00B02873" w:rsidP="00C9714F">
            <w:pPr>
              <w:pStyle w:val="TablebodyleftFinancialsTables"/>
              <w:jc w:val="right"/>
              <w:rPr>
                <w:rFonts w:asciiTheme="minorHAnsi" w:hAnsiTheme="minorHAnsi" w:cstheme="minorHAnsi"/>
                <w:sz w:val="18"/>
                <w:szCs w:val="14"/>
              </w:rPr>
            </w:pPr>
            <w:r w:rsidRPr="00C9714F">
              <w:rPr>
                <w:rFonts w:asciiTheme="minorHAnsi" w:hAnsiTheme="minorHAnsi" w:cstheme="minorHAnsi"/>
                <w:sz w:val="18"/>
                <w:szCs w:val="14"/>
              </w:rPr>
              <w:t>–</w:t>
            </w:r>
          </w:p>
        </w:tc>
        <w:tc>
          <w:tcPr>
            <w:tcW w:w="850" w:type="dxa"/>
          </w:tcPr>
          <w:p w14:paraId="75705AB7" w14:textId="77777777" w:rsidR="00B02873" w:rsidRPr="00F54AE3" w:rsidRDefault="00B02873" w:rsidP="00C9714F">
            <w:pPr>
              <w:pStyle w:val="TablebodyleftFinancialsTables"/>
              <w:jc w:val="right"/>
              <w:rPr>
                <w:rFonts w:asciiTheme="minorHAnsi" w:hAnsiTheme="minorHAnsi" w:cstheme="minorHAnsi"/>
                <w:b/>
                <w:bCs/>
                <w:sz w:val="18"/>
                <w:szCs w:val="14"/>
              </w:rPr>
            </w:pPr>
            <w:r w:rsidRPr="00F54AE3">
              <w:rPr>
                <w:rFonts w:asciiTheme="minorHAnsi" w:hAnsiTheme="minorHAnsi" w:cstheme="minorHAnsi"/>
                <w:b/>
                <w:bCs/>
                <w:sz w:val="18"/>
                <w:szCs w:val="14"/>
              </w:rPr>
              <w:t>–</w:t>
            </w:r>
          </w:p>
        </w:tc>
        <w:tc>
          <w:tcPr>
            <w:tcW w:w="851" w:type="dxa"/>
          </w:tcPr>
          <w:p w14:paraId="725520A1" w14:textId="77777777" w:rsidR="00B02873" w:rsidRPr="00C9714F" w:rsidRDefault="00B02873" w:rsidP="00C9714F">
            <w:pPr>
              <w:pStyle w:val="TablebodyleftFinancialsTables"/>
              <w:jc w:val="right"/>
              <w:rPr>
                <w:rFonts w:asciiTheme="minorHAnsi" w:hAnsiTheme="minorHAnsi" w:cstheme="minorHAnsi"/>
                <w:sz w:val="18"/>
                <w:szCs w:val="14"/>
              </w:rPr>
            </w:pPr>
            <w:r w:rsidRPr="00C9714F">
              <w:rPr>
                <w:rFonts w:asciiTheme="minorHAnsi" w:hAnsiTheme="minorHAnsi" w:cstheme="minorHAnsi"/>
                <w:sz w:val="18"/>
                <w:szCs w:val="14"/>
              </w:rPr>
              <w:t>–</w:t>
            </w:r>
          </w:p>
        </w:tc>
      </w:tr>
      <w:tr w:rsidR="00B02873" w:rsidRPr="00C9714F" w14:paraId="5F6A8F34" w14:textId="77777777" w:rsidTr="00F54AE3">
        <w:tc>
          <w:tcPr>
            <w:tcW w:w="3175" w:type="dxa"/>
          </w:tcPr>
          <w:p w14:paraId="750B7860" w14:textId="77777777" w:rsidR="00B02873" w:rsidRPr="00F54AE3" w:rsidRDefault="00B02873" w:rsidP="00C9714F">
            <w:pPr>
              <w:pStyle w:val="TablebodyleftFinancialsTables"/>
              <w:rPr>
                <w:rFonts w:asciiTheme="minorHAnsi" w:hAnsiTheme="minorHAnsi" w:cstheme="minorHAnsi"/>
                <w:b/>
                <w:bCs/>
                <w:sz w:val="18"/>
                <w:szCs w:val="14"/>
              </w:rPr>
            </w:pPr>
            <w:r w:rsidRPr="00F54AE3">
              <w:rPr>
                <w:rFonts w:asciiTheme="minorHAnsi" w:hAnsiTheme="minorHAnsi" w:cstheme="minorHAnsi"/>
                <w:b/>
                <w:bCs/>
                <w:sz w:val="18"/>
                <w:szCs w:val="14"/>
              </w:rPr>
              <w:t>Total administered other economic flows included in net result</w:t>
            </w:r>
          </w:p>
        </w:tc>
        <w:tc>
          <w:tcPr>
            <w:tcW w:w="1215" w:type="dxa"/>
          </w:tcPr>
          <w:p w14:paraId="5415FC0D" w14:textId="77777777" w:rsidR="00B02873" w:rsidRPr="00F54AE3" w:rsidRDefault="00B02873" w:rsidP="00C9714F">
            <w:pPr>
              <w:pStyle w:val="TablebodyleftFinancialsTables"/>
              <w:jc w:val="right"/>
              <w:rPr>
                <w:rFonts w:asciiTheme="minorHAnsi" w:hAnsiTheme="minorHAnsi" w:cstheme="minorHAnsi"/>
                <w:b/>
                <w:bCs/>
                <w:sz w:val="18"/>
                <w:szCs w:val="14"/>
              </w:rPr>
            </w:pPr>
            <w:r w:rsidRPr="00F54AE3">
              <w:rPr>
                <w:rFonts w:asciiTheme="minorHAnsi" w:hAnsiTheme="minorHAnsi" w:cstheme="minorHAnsi"/>
                <w:b/>
                <w:bCs/>
                <w:sz w:val="18"/>
                <w:szCs w:val="14"/>
              </w:rPr>
              <w:t>11,559</w:t>
            </w:r>
          </w:p>
        </w:tc>
        <w:tc>
          <w:tcPr>
            <w:tcW w:w="1219" w:type="dxa"/>
          </w:tcPr>
          <w:p w14:paraId="6A735E41" w14:textId="77777777" w:rsidR="00B02873" w:rsidRPr="00C9714F" w:rsidRDefault="00B02873" w:rsidP="00C9714F">
            <w:pPr>
              <w:pStyle w:val="TablebodyleftFinancialsTables"/>
              <w:jc w:val="right"/>
              <w:rPr>
                <w:rFonts w:asciiTheme="minorHAnsi" w:hAnsiTheme="minorHAnsi" w:cstheme="minorHAnsi"/>
                <w:sz w:val="18"/>
                <w:szCs w:val="14"/>
              </w:rPr>
            </w:pPr>
            <w:r w:rsidRPr="00C9714F">
              <w:rPr>
                <w:rFonts w:asciiTheme="minorHAnsi" w:hAnsiTheme="minorHAnsi" w:cstheme="minorHAnsi"/>
                <w:sz w:val="18"/>
                <w:szCs w:val="14"/>
              </w:rPr>
              <w:t>(9,923)</w:t>
            </w:r>
          </w:p>
        </w:tc>
        <w:tc>
          <w:tcPr>
            <w:tcW w:w="1217" w:type="dxa"/>
          </w:tcPr>
          <w:p w14:paraId="66F3D427" w14:textId="77777777" w:rsidR="00B02873" w:rsidRPr="00F54AE3" w:rsidRDefault="00B02873" w:rsidP="00C9714F">
            <w:pPr>
              <w:pStyle w:val="TablebodyleftFinancialsTables"/>
              <w:jc w:val="right"/>
              <w:rPr>
                <w:rFonts w:asciiTheme="minorHAnsi" w:hAnsiTheme="minorHAnsi" w:cstheme="minorHAnsi"/>
                <w:b/>
                <w:bCs/>
                <w:sz w:val="18"/>
                <w:szCs w:val="14"/>
              </w:rPr>
            </w:pPr>
            <w:r w:rsidRPr="00F54AE3">
              <w:rPr>
                <w:rFonts w:asciiTheme="minorHAnsi" w:hAnsiTheme="minorHAnsi" w:cstheme="minorHAnsi"/>
                <w:b/>
                <w:bCs/>
                <w:sz w:val="18"/>
                <w:szCs w:val="14"/>
              </w:rPr>
              <w:t>3,296</w:t>
            </w:r>
          </w:p>
        </w:tc>
        <w:tc>
          <w:tcPr>
            <w:tcW w:w="1232" w:type="dxa"/>
          </w:tcPr>
          <w:p w14:paraId="331ED5A1" w14:textId="77777777" w:rsidR="00B02873" w:rsidRPr="00C9714F" w:rsidRDefault="00B02873" w:rsidP="00C9714F">
            <w:pPr>
              <w:pStyle w:val="TablebodyleftFinancialsTables"/>
              <w:jc w:val="right"/>
              <w:rPr>
                <w:rFonts w:asciiTheme="minorHAnsi" w:hAnsiTheme="minorHAnsi" w:cstheme="minorHAnsi"/>
                <w:sz w:val="18"/>
                <w:szCs w:val="14"/>
              </w:rPr>
            </w:pPr>
            <w:r w:rsidRPr="00C9714F">
              <w:rPr>
                <w:rFonts w:asciiTheme="minorHAnsi" w:hAnsiTheme="minorHAnsi" w:cstheme="minorHAnsi"/>
                <w:sz w:val="18"/>
                <w:szCs w:val="14"/>
              </w:rPr>
              <w:t>(18,064)</w:t>
            </w:r>
          </w:p>
        </w:tc>
        <w:tc>
          <w:tcPr>
            <w:tcW w:w="850" w:type="dxa"/>
          </w:tcPr>
          <w:p w14:paraId="40F645D3" w14:textId="77777777" w:rsidR="00B02873" w:rsidRPr="00F54AE3" w:rsidRDefault="00B02873" w:rsidP="00C9714F">
            <w:pPr>
              <w:pStyle w:val="TablebodyleftFinancialsTables"/>
              <w:jc w:val="right"/>
              <w:rPr>
                <w:rFonts w:asciiTheme="minorHAnsi" w:hAnsiTheme="minorHAnsi" w:cstheme="minorHAnsi"/>
                <w:b/>
                <w:bCs/>
                <w:sz w:val="18"/>
                <w:szCs w:val="14"/>
              </w:rPr>
            </w:pPr>
            <w:r w:rsidRPr="00F54AE3">
              <w:rPr>
                <w:rFonts w:asciiTheme="minorHAnsi" w:hAnsiTheme="minorHAnsi" w:cstheme="minorHAnsi"/>
                <w:b/>
                <w:bCs/>
                <w:sz w:val="18"/>
                <w:szCs w:val="14"/>
              </w:rPr>
              <w:t>1</w:t>
            </w:r>
          </w:p>
        </w:tc>
        <w:tc>
          <w:tcPr>
            <w:tcW w:w="851" w:type="dxa"/>
          </w:tcPr>
          <w:p w14:paraId="42E17C4E" w14:textId="77777777" w:rsidR="00B02873" w:rsidRPr="00C9714F" w:rsidRDefault="00B02873" w:rsidP="00C9714F">
            <w:pPr>
              <w:pStyle w:val="TablebodyleftFinancialsTables"/>
              <w:jc w:val="right"/>
              <w:rPr>
                <w:rFonts w:asciiTheme="minorHAnsi" w:hAnsiTheme="minorHAnsi" w:cstheme="minorHAnsi"/>
                <w:sz w:val="18"/>
                <w:szCs w:val="14"/>
              </w:rPr>
            </w:pPr>
            <w:r w:rsidRPr="00C9714F">
              <w:rPr>
                <w:rFonts w:asciiTheme="minorHAnsi" w:hAnsiTheme="minorHAnsi" w:cstheme="minorHAnsi"/>
                <w:sz w:val="18"/>
                <w:szCs w:val="14"/>
              </w:rPr>
              <w:t>(52)</w:t>
            </w:r>
          </w:p>
        </w:tc>
      </w:tr>
      <w:tr w:rsidR="00B02873" w:rsidRPr="00C9714F" w14:paraId="2DAEB387" w14:textId="77777777" w:rsidTr="00F54AE3">
        <w:tc>
          <w:tcPr>
            <w:tcW w:w="3175" w:type="dxa"/>
          </w:tcPr>
          <w:p w14:paraId="1604BA0D" w14:textId="77777777" w:rsidR="00B02873" w:rsidRPr="00F54AE3" w:rsidRDefault="00B02873" w:rsidP="00C9714F">
            <w:pPr>
              <w:pStyle w:val="TablebodyleftFinancialsTables"/>
              <w:rPr>
                <w:rFonts w:asciiTheme="minorHAnsi" w:hAnsiTheme="minorHAnsi" w:cstheme="minorHAnsi"/>
                <w:b/>
                <w:bCs/>
                <w:sz w:val="18"/>
                <w:szCs w:val="14"/>
              </w:rPr>
            </w:pPr>
            <w:r w:rsidRPr="00F54AE3">
              <w:rPr>
                <w:rFonts w:asciiTheme="minorHAnsi" w:hAnsiTheme="minorHAnsi" w:cstheme="minorHAnsi"/>
                <w:b/>
                <w:bCs/>
                <w:sz w:val="18"/>
                <w:szCs w:val="14"/>
              </w:rPr>
              <w:t>Administered net result</w:t>
            </w:r>
          </w:p>
        </w:tc>
        <w:tc>
          <w:tcPr>
            <w:tcW w:w="1215" w:type="dxa"/>
          </w:tcPr>
          <w:p w14:paraId="4E623760" w14:textId="77777777" w:rsidR="00B02873" w:rsidRPr="00F54AE3" w:rsidRDefault="00B02873" w:rsidP="00C9714F">
            <w:pPr>
              <w:pStyle w:val="TablebodyleftFinancialsTables"/>
              <w:jc w:val="right"/>
              <w:rPr>
                <w:rFonts w:asciiTheme="minorHAnsi" w:hAnsiTheme="minorHAnsi" w:cstheme="minorHAnsi"/>
                <w:b/>
                <w:bCs/>
                <w:sz w:val="18"/>
                <w:szCs w:val="14"/>
              </w:rPr>
            </w:pPr>
            <w:r w:rsidRPr="00F54AE3">
              <w:rPr>
                <w:rFonts w:asciiTheme="minorHAnsi" w:hAnsiTheme="minorHAnsi" w:cstheme="minorHAnsi"/>
                <w:b/>
                <w:bCs/>
                <w:sz w:val="18"/>
                <w:szCs w:val="14"/>
              </w:rPr>
              <w:t>(17,595)</w:t>
            </w:r>
          </w:p>
        </w:tc>
        <w:tc>
          <w:tcPr>
            <w:tcW w:w="1219" w:type="dxa"/>
          </w:tcPr>
          <w:p w14:paraId="28F32FA0" w14:textId="77777777" w:rsidR="00B02873" w:rsidRPr="00C9714F" w:rsidRDefault="00B02873" w:rsidP="00C9714F">
            <w:pPr>
              <w:pStyle w:val="TablebodyleftFinancialsTables"/>
              <w:jc w:val="right"/>
              <w:rPr>
                <w:rFonts w:asciiTheme="minorHAnsi" w:hAnsiTheme="minorHAnsi" w:cstheme="minorHAnsi"/>
                <w:sz w:val="18"/>
                <w:szCs w:val="14"/>
              </w:rPr>
            </w:pPr>
            <w:r w:rsidRPr="00C9714F">
              <w:rPr>
                <w:rFonts w:asciiTheme="minorHAnsi" w:hAnsiTheme="minorHAnsi" w:cstheme="minorHAnsi"/>
                <w:sz w:val="18"/>
                <w:szCs w:val="14"/>
              </w:rPr>
              <w:t>(17,295)</w:t>
            </w:r>
          </w:p>
        </w:tc>
        <w:tc>
          <w:tcPr>
            <w:tcW w:w="1217" w:type="dxa"/>
          </w:tcPr>
          <w:p w14:paraId="1476C71F" w14:textId="0F76CAE8" w:rsidR="00B02873" w:rsidRPr="00F54AE3" w:rsidRDefault="00B02873" w:rsidP="00C9714F">
            <w:pPr>
              <w:pStyle w:val="TablebodyleftFinancialsTables"/>
              <w:jc w:val="right"/>
              <w:rPr>
                <w:rFonts w:asciiTheme="minorHAnsi" w:hAnsiTheme="minorHAnsi" w:cstheme="minorHAnsi"/>
                <w:b/>
                <w:bCs/>
                <w:sz w:val="18"/>
                <w:szCs w:val="14"/>
              </w:rPr>
            </w:pPr>
            <w:r w:rsidRPr="00F54AE3">
              <w:rPr>
                <w:rFonts w:asciiTheme="minorHAnsi" w:hAnsiTheme="minorHAnsi" w:cstheme="minorHAnsi"/>
                <w:b/>
                <w:bCs/>
                <w:sz w:val="18"/>
                <w:szCs w:val="14"/>
              </w:rPr>
              <w:t>51,400</w:t>
            </w:r>
          </w:p>
        </w:tc>
        <w:tc>
          <w:tcPr>
            <w:tcW w:w="1232" w:type="dxa"/>
          </w:tcPr>
          <w:p w14:paraId="2BC1BA5E" w14:textId="77777777" w:rsidR="00B02873" w:rsidRPr="00C9714F" w:rsidRDefault="00B02873" w:rsidP="00C9714F">
            <w:pPr>
              <w:pStyle w:val="TablebodyleftFinancialsTables"/>
              <w:jc w:val="right"/>
              <w:rPr>
                <w:rFonts w:asciiTheme="minorHAnsi" w:hAnsiTheme="minorHAnsi" w:cstheme="minorHAnsi"/>
                <w:sz w:val="18"/>
                <w:szCs w:val="14"/>
              </w:rPr>
            </w:pPr>
            <w:r w:rsidRPr="00C9714F">
              <w:rPr>
                <w:rFonts w:asciiTheme="minorHAnsi" w:hAnsiTheme="minorHAnsi" w:cstheme="minorHAnsi"/>
                <w:sz w:val="18"/>
                <w:szCs w:val="14"/>
              </w:rPr>
              <w:t>4,368</w:t>
            </w:r>
          </w:p>
        </w:tc>
        <w:tc>
          <w:tcPr>
            <w:tcW w:w="850" w:type="dxa"/>
          </w:tcPr>
          <w:p w14:paraId="42177447" w14:textId="77777777" w:rsidR="00B02873" w:rsidRPr="00F54AE3" w:rsidRDefault="00B02873" w:rsidP="00C9714F">
            <w:pPr>
              <w:pStyle w:val="TablebodyleftFinancialsTables"/>
              <w:jc w:val="right"/>
              <w:rPr>
                <w:rFonts w:asciiTheme="minorHAnsi" w:hAnsiTheme="minorHAnsi" w:cstheme="minorHAnsi"/>
                <w:b/>
                <w:bCs/>
                <w:sz w:val="18"/>
                <w:szCs w:val="14"/>
              </w:rPr>
            </w:pPr>
            <w:r w:rsidRPr="00F54AE3">
              <w:rPr>
                <w:rFonts w:asciiTheme="minorHAnsi" w:hAnsiTheme="minorHAnsi" w:cstheme="minorHAnsi"/>
                <w:b/>
                <w:bCs/>
                <w:sz w:val="18"/>
                <w:szCs w:val="14"/>
              </w:rPr>
              <w:t>(19)</w:t>
            </w:r>
          </w:p>
        </w:tc>
        <w:tc>
          <w:tcPr>
            <w:tcW w:w="851" w:type="dxa"/>
          </w:tcPr>
          <w:p w14:paraId="18D49040" w14:textId="77777777" w:rsidR="00B02873" w:rsidRPr="00C9714F" w:rsidRDefault="00B02873" w:rsidP="00C9714F">
            <w:pPr>
              <w:pStyle w:val="TablebodyleftFinancialsTables"/>
              <w:jc w:val="right"/>
              <w:rPr>
                <w:rFonts w:asciiTheme="minorHAnsi" w:hAnsiTheme="minorHAnsi" w:cstheme="minorHAnsi"/>
                <w:sz w:val="18"/>
                <w:szCs w:val="14"/>
              </w:rPr>
            </w:pPr>
            <w:r w:rsidRPr="00C9714F">
              <w:rPr>
                <w:rFonts w:asciiTheme="minorHAnsi" w:hAnsiTheme="minorHAnsi" w:cstheme="minorHAnsi"/>
                <w:sz w:val="18"/>
                <w:szCs w:val="14"/>
              </w:rPr>
              <w:t>(29)</w:t>
            </w:r>
          </w:p>
        </w:tc>
      </w:tr>
      <w:tr w:rsidR="00B02873" w:rsidRPr="00C9714F" w14:paraId="4C2E227B" w14:textId="77777777" w:rsidTr="00F54AE3">
        <w:tc>
          <w:tcPr>
            <w:tcW w:w="3175" w:type="dxa"/>
          </w:tcPr>
          <w:p w14:paraId="222A1870" w14:textId="77777777" w:rsidR="00B02873" w:rsidRPr="00F54AE3" w:rsidRDefault="00B02873" w:rsidP="00C9714F">
            <w:pPr>
              <w:pStyle w:val="TablebodyleftFinancialsTables"/>
              <w:rPr>
                <w:rFonts w:asciiTheme="minorHAnsi" w:hAnsiTheme="minorHAnsi" w:cstheme="minorHAnsi"/>
                <w:b/>
                <w:bCs/>
                <w:sz w:val="18"/>
                <w:szCs w:val="14"/>
              </w:rPr>
            </w:pPr>
            <w:r w:rsidRPr="00F54AE3">
              <w:rPr>
                <w:rFonts w:asciiTheme="minorHAnsi" w:hAnsiTheme="minorHAnsi" w:cstheme="minorHAnsi"/>
                <w:b/>
                <w:bCs/>
                <w:sz w:val="18"/>
                <w:szCs w:val="14"/>
              </w:rPr>
              <w:t>Other comprehensive income</w:t>
            </w:r>
          </w:p>
        </w:tc>
        <w:tc>
          <w:tcPr>
            <w:tcW w:w="1215" w:type="dxa"/>
          </w:tcPr>
          <w:p w14:paraId="43F844B9" w14:textId="77777777" w:rsidR="00B02873" w:rsidRPr="00F54AE3" w:rsidRDefault="00B02873" w:rsidP="00C9714F">
            <w:pPr>
              <w:pStyle w:val="TablebodyleftFinancialsTables"/>
              <w:jc w:val="right"/>
              <w:rPr>
                <w:rFonts w:asciiTheme="minorHAnsi" w:hAnsiTheme="minorHAnsi" w:cstheme="minorHAnsi"/>
                <w:b/>
                <w:bCs/>
                <w:sz w:val="18"/>
                <w:szCs w:val="14"/>
              </w:rPr>
            </w:pPr>
            <w:r w:rsidRPr="00F54AE3">
              <w:rPr>
                <w:rFonts w:asciiTheme="minorHAnsi" w:hAnsiTheme="minorHAnsi" w:cstheme="minorHAnsi"/>
                <w:b/>
                <w:bCs/>
                <w:sz w:val="18"/>
                <w:szCs w:val="14"/>
              </w:rPr>
              <w:t>–</w:t>
            </w:r>
          </w:p>
        </w:tc>
        <w:tc>
          <w:tcPr>
            <w:tcW w:w="1219" w:type="dxa"/>
          </w:tcPr>
          <w:p w14:paraId="2671445A" w14:textId="77777777" w:rsidR="00B02873" w:rsidRPr="00C9714F" w:rsidRDefault="00B02873" w:rsidP="00C9714F">
            <w:pPr>
              <w:pStyle w:val="TablebodyleftFinancialsTables"/>
              <w:jc w:val="right"/>
              <w:rPr>
                <w:rFonts w:asciiTheme="minorHAnsi" w:hAnsiTheme="minorHAnsi" w:cstheme="minorHAnsi"/>
                <w:sz w:val="18"/>
                <w:szCs w:val="14"/>
              </w:rPr>
            </w:pPr>
            <w:r w:rsidRPr="00C9714F">
              <w:rPr>
                <w:rFonts w:asciiTheme="minorHAnsi" w:hAnsiTheme="minorHAnsi" w:cstheme="minorHAnsi"/>
                <w:sz w:val="18"/>
                <w:szCs w:val="14"/>
              </w:rPr>
              <w:t>–</w:t>
            </w:r>
          </w:p>
        </w:tc>
        <w:tc>
          <w:tcPr>
            <w:tcW w:w="1217" w:type="dxa"/>
          </w:tcPr>
          <w:p w14:paraId="6257EDAF" w14:textId="77777777" w:rsidR="00B02873" w:rsidRPr="00F54AE3" w:rsidRDefault="00B02873" w:rsidP="00C9714F">
            <w:pPr>
              <w:pStyle w:val="TablebodyleftFinancialsTables"/>
              <w:jc w:val="right"/>
              <w:rPr>
                <w:rFonts w:asciiTheme="minorHAnsi" w:hAnsiTheme="minorHAnsi" w:cstheme="minorHAnsi"/>
                <w:b/>
                <w:bCs/>
                <w:sz w:val="18"/>
                <w:szCs w:val="14"/>
              </w:rPr>
            </w:pPr>
            <w:r w:rsidRPr="00F54AE3">
              <w:rPr>
                <w:rFonts w:asciiTheme="minorHAnsi" w:hAnsiTheme="minorHAnsi" w:cstheme="minorHAnsi"/>
                <w:b/>
                <w:bCs/>
                <w:sz w:val="18"/>
                <w:szCs w:val="14"/>
              </w:rPr>
              <w:t>–</w:t>
            </w:r>
          </w:p>
        </w:tc>
        <w:tc>
          <w:tcPr>
            <w:tcW w:w="1232" w:type="dxa"/>
          </w:tcPr>
          <w:p w14:paraId="62464D3B" w14:textId="77777777" w:rsidR="00B02873" w:rsidRPr="00C9714F" w:rsidRDefault="00B02873" w:rsidP="00C9714F">
            <w:pPr>
              <w:pStyle w:val="TablebodyleftFinancialsTables"/>
              <w:jc w:val="right"/>
              <w:rPr>
                <w:rFonts w:asciiTheme="minorHAnsi" w:hAnsiTheme="minorHAnsi" w:cstheme="minorHAnsi"/>
                <w:sz w:val="18"/>
                <w:szCs w:val="14"/>
              </w:rPr>
            </w:pPr>
            <w:r w:rsidRPr="00C9714F">
              <w:rPr>
                <w:rFonts w:asciiTheme="minorHAnsi" w:hAnsiTheme="minorHAnsi" w:cstheme="minorHAnsi"/>
                <w:sz w:val="18"/>
                <w:szCs w:val="14"/>
              </w:rPr>
              <w:t>–</w:t>
            </w:r>
          </w:p>
        </w:tc>
        <w:tc>
          <w:tcPr>
            <w:tcW w:w="850" w:type="dxa"/>
          </w:tcPr>
          <w:p w14:paraId="3E0DB789" w14:textId="77777777" w:rsidR="00B02873" w:rsidRPr="00F54AE3" w:rsidRDefault="00B02873" w:rsidP="00C9714F">
            <w:pPr>
              <w:pStyle w:val="TablebodyleftFinancialsTables"/>
              <w:jc w:val="right"/>
              <w:rPr>
                <w:rFonts w:asciiTheme="minorHAnsi" w:hAnsiTheme="minorHAnsi" w:cstheme="minorHAnsi"/>
                <w:b/>
                <w:bCs/>
                <w:sz w:val="18"/>
                <w:szCs w:val="14"/>
              </w:rPr>
            </w:pPr>
            <w:r w:rsidRPr="00F54AE3">
              <w:rPr>
                <w:rFonts w:asciiTheme="minorHAnsi" w:hAnsiTheme="minorHAnsi" w:cstheme="minorHAnsi"/>
                <w:b/>
                <w:bCs/>
                <w:sz w:val="18"/>
                <w:szCs w:val="14"/>
              </w:rPr>
              <w:t>–</w:t>
            </w:r>
          </w:p>
        </w:tc>
        <w:tc>
          <w:tcPr>
            <w:tcW w:w="851" w:type="dxa"/>
          </w:tcPr>
          <w:p w14:paraId="2F46DA36" w14:textId="77777777" w:rsidR="00B02873" w:rsidRPr="00C9714F" w:rsidRDefault="00B02873" w:rsidP="00C9714F">
            <w:pPr>
              <w:pStyle w:val="TablebodyleftFinancialsTables"/>
              <w:jc w:val="right"/>
              <w:rPr>
                <w:rFonts w:asciiTheme="minorHAnsi" w:hAnsiTheme="minorHAnsi" w:cstheme="minorHAnsi"/>
                <w:sz w:val="18"/>
                <w:szCs w:val="14"/>
              </w:rPr>
            </w:pPr>
            <w:r w:rsidRPr="00C9714F">
              <w:rPr>
                <w:rFonts w:asciiTheme="minorHAnsi" w:hAnsiTheme="minorHAnsi" w:cstheme="minorHAnsi"/>
                <w:sz w:val="18"/>
                <w:szCs w:val="14"/>
              </w:rPr>
              <w:t>–</w:t>
            </w:r>
          </w:p>
        </w:tc>
      </w:tr>
      <w:tr w:rsidR="00B02873" w:rsidRPr="00C9714F" w14:paraId="06EF1DA4" w14:textId="77777777" w:rsidTr="00F54AE3">
        <w:tc>
          <w:tcPr>
            <w:tcW w:w="3175" w:type="dxa"/>
          </w:tcPr>
          <w:p w14:paraId="20EDB2DC" w14:textId="77777777" w:rsidR="00B02873" w:rsidRPr="00F54AE3" w:rsidRDefault="00B02873" w:rsidP="00C9714F">
            <w:pPr>
              <w:pStyle w:val="TablebodyleftFinancialsTables"/>
              <w:rPr>
                <w:rFonts w:asciiTheme="minorHAnsi" w:hAnsiTheme="minorHAnsi" w:cstheme="minorHAnsi"/>
                <w:b/>
                <w:bCs/>
                <w:sz w:val="18"/>
                <w:szCs w:val="14"/>
              </w:rPr>
            </w:pPr>
            <w:r w:rsidRPr="00F54AE3">
              <w:rPr>
                <w:rFonts w:asciiTheme="minorHAnsi" w:hAnsiTheme="minorHAnsi" w:cstheme="minorHAnsi"/>
                <w:b/>
                <w:bCs/>
                <w:sz w:val="18"/>
                <w:szCs w:val="14"/>
              </w:rPr>
              <w:t>Administered comprehensive result</w:t>
            </w:r>
          </w:p>
        </w:tc>
        <w:tc>
          <w:tcPr>
            <w:tcW w:w="1215" w:type="dxa"/>
          </w:tcPr>
          <w:p w14:paraId="59F36428" w14:textId="77777777" w:rsidR="00B02873" w:rsidRPr="00F54AE3" w:rsidRDefault="00B02873" w:rsidP="00C9714F">
            <w:pPr>
              <w:pStyle w:val="TablebodyleftFinancialsTables"/>
              <w:jc w:val="right"/>
              <w:rPr>
                <w:rFonts w:asciiTheme="minorHAnsi" w:hAnsiTheme="minorHAnsi" w:cstheme="minorHAnsi"/>
                <w:b/>
                <w:bCs/>
                <w:sz w:val="18"/>
                <w:szCs w:val="14"/>
              </w:rPr>
            </w:pPr>
            <w:r w:rsidRPr="00F54AE3">
              <w:rPr>
                <w:rFonts w:asciiTheme="minorHAnsi" w:hAnsiTheme="minorHAnsi" w:cstheme="minorHAnsi"/>
                <w:b/>
                <w:bCs/>
                <w:sz w:val="18"/>
                <w:szCs w:val="14"/>
              </w:rPr>
              <w:t>(17,595)</w:t>
            </w:r>
          </w:p>
        </w:tc>
        <w:tc>
          <w:tcPr>
            <w:tcW w:w="1219" w:type="dxa"/>
          </w:tcPr>
          <w:p w14:paraId="6956423F" w14:textId="77777777" w:rsidR="00B02873" w:rsidRPr="00C9714F" w:rsidRDefault="00B02873" w:rsidP="00C9714F">
            <w:pPr>
              <w:pStyle w:val="TablebodyleftFinancialsTables"/>
              <w:jc w:val="right"/>
              <w:rPr>
                <w:rFonts w:asciiTheme="minorHAnsi" w:hAnsiTheme="minorHAnsi" w:cstheme="minorHAnsi"/>
                <w:sz w:val="18"/>
                <w:szCs w:val="14"/>
              </w:rPr>
            </w:pPr>
            <w:r w:rsidRPr="00C9714F">
              <w:rPr>
                <w:rFonts w:asciiTheme="minorHAnsi" w:hAnsiTheme="minorHAnsi" w:cstheme="minorHAnsi"/>
                <w:sz w:val="18"/>
                <w:szCs w:val="14"/>
              </w:rPr>
              <w:t>(17,295)</w:t>
            </w:r>
          </w:p>
        </w:tc>
        <w:tc>
          <w:tcPr>
            <w:tcW w:w="1217" w:type="dxa"/>
          </w:tcPr>
          <w:p w14:paraId="2D38646C" w14:textId="77777777" w:rsidR="00B02873" w:rsidRPr="00F54AE3" w:rsidRDefault="00B02873" w:rsidP="00C9714F">
            <w:pPr>
              <w:pStyle w:val="TablebodyleftFinancialsTables"/>
              <w:jc w:val="right"/>
              <w:rPr>
                <w:rFonts w:asciiTheme="minorHAnsi" w:hAnsiTheme="minorHAnsi" w:cstheme="minorHAnsi"/>
                <w:b/>
                <w:bCs/>
                <w:sz w:val="18"/>
                <w:szCs w:val="14"/>
              </w:rPr>
            </w:pPr>
            <w:r w:rsidRPr="00F54AE3">
              <w:rPr>
                <w:rFonts w:asciiTheme="minorHAnsi" w:hAnsiTheme="minorHAnsi" w:cstheme="minorHAnsi"/>
                <w:b/>
                <w:bCs/>
                <w:sz w:val="18"/>
                <w:szCs w:val="14"/>
              </w:rPr>
              <w:t>51,400</w:t>
            </w:r>
          </w:p>
        </w:tc>
        <w:tc>
          <w:tcPr>
            <w:tcW w:w="1232" w:type="dxa"/>
          </w:tcPr>
          <w:p w14:paraId="67714E89" w14:textId="77777777" w:rsidR="00B02873" w:rsidRPr="00C9714F" w:rsidRDefault="00B02873" w:rsidP="00C9714F">
            <w:pPr>
              <w:pStyle w:val="TablebodyleftFinancialsTables"/>
              <w:jc w:val="right"/>
              <w:rPr>
                <w:rFonts w:asciiTheme="minorHAnsi" w:hAnsiTheme="minorHAnsi" w:cstheme="minorHAnsi"/>
                <w:sz w:val="18"/>
                <w:szCs w:val="14"/>
              </w:rPr>
            </w:pPr>
            <w:r w:rsidRPr="00C9714F">
              <w:rPr>
                <w:rFonts w:asciiTheme="minorHAnsi" w:hAnsiTheme="minorHAnsi" w:cstheme="minorHAnsi"/>
                <w:sz w:val="18"/>
                <w:szCs w:val="14"/>
              </w:rPr>
              <w:t>4,368</w:t>
            </w:r>
          </w:p>
        </w:tc>
        <w:tc>
          <w:tcPr>
            <w:tcW w:w="850" w:type="dxa"/>
          </w:tcPr>
          <w:p w14:paraId="00DECCAB" w14:textId="01D3A74A" w:rsidR="00B02873" w:rsidRPr="00F54AE3" w:rsidRDefault="00B02873" w:rsidP="00C9714F">
            <w:pPr>
              <w:pStyle w:val="TablebodyleftFinancialsTables"/>
              <w:jc w:val="right"/>
              <w:rPr>
                <w:rFonts w:asciiTheme="minorHAnsi" w:hAnsiTheme="minorHAnsi" w:cstheme="minorHAnsi"/>
                <w:b/>
                <w:bCs/>
                <w:sz w:val="18"/>
                <w:szCs w:val="14"/>
              </w:rPr>
            </w:pPr>
            <w:r w:rsidRPr="00F54AE3">
              <w:rPr>
                <w:rFonts w:asciiTheme="minorHAnsi" w:hAnsiTheme="minorHAnsi" w:cstheme="minorHAnsi"/>
                <w:b/>
                <w:bCs/>
                <w:sz w:val="18"/>
                <w:szCs w:val="14"/>
              </w:rPr>
              <w:t>(19)</w:t>
            </w:r>
          </w:p>
        </w:tc>
        <w:tc>
          <w:tcPr>
            <w:tcW w:w="851" w:type="dxa"/>
          </w:tcPr>
          <w:p w14:paraId="7E5E6900" w14:textId="77777777" w:rsidR="00B02873" w:rsidRPr="00C9714F" w:rsidRDefault="00B02873" w:rsidP="00C9714F">
            <w:pPr>
              <w:pStyle w:val="TablebodyleftFinancialsTables"/>
              <w:jc w:val="right"/>
              <w:rPr>
                <w:rFonts w:asciiTheme="minorHAnsi" w:hAnsiTheme="minorHAnsi" w:cstheme="minorHAnsi"/>
                <w:sz w:val="18"/>
                <w:szCs w:val="14"/>
              </w:rPr>
            </w:pPr>
            <w:r w:rsidRPr="00C9714F">
              <w:rPr>
                <w:rFonts w:asciiTheme="minorHAnsi" w:hAnsiTheme="minorHAnsi" w:cstheme="minorHAnsi"/>
                <w:sz w:val="18"/>
                <w:szCs w:val="14"/>
              </w:rPr>
              <w:t>(29)</w:t>
            </w:r>
          </w:p>
        </w:tc>
      </w:tr>
    </w:tbl>
    <w:p w14:paraId="1BCF0BD5" w14:textId="77777777" w:rsidR="00B02873" w:rsidRDefault="00B02873" w:rsidP="00F54AE3">
      <w:pPr>
        <w:pStyle w:val="Heading4"/>
      </w:pPr>
      <w:r>
        <w:lastRenderedPageBreak/>
        <w:t>4.2.1 Administered income and expenses (continued)</w:t>
      </w:r>
    </w:p>
    <w:tbl>
      <w:tblPr>
        <w:tblStyle w:val="TableGrid"/>
        <w:tblW w:w="10053" w:type="dxa"/>
        <w:tblLayout w:type="fixed"/>
        <w:tblLook w:val="0020" w:firstRow="1" w:lastRow="0" w:firstColumn="0" w:lastColumn="0" w:noHBand="0" w:noVBand="0"/>
      </w:tblPr>
      <w:tblGrid>
        <w:gridCol w:w="3789"/>
        <w:gridCol w:w="957"/>
        <w:gridCol w:w="957"/>
        <w:gridCol w:w="957"/>
        <w:gridCol w:w="958"/>
        <w:gridCol w:w="1217"/>
        <w:gridCol w:w="1218"/>
      </w:tblGrid>
      <w:tr w:rsidR="00B02873" w:rsidRPr="00F54AE3" w14:paraId="5C586C59" w14:textId="77777777" w:rsidTr="00195B06">
        <w:trPr>
          <w:cnfStyle w:val="100000000000" w:firstRow="1" w:lastRow="0" w:firstColumn="0" w:lastColumn="0" w:oddVBand="0" w:evenVBand="0" w:oddHBand="0" w:evenHBand="0" w:firstRowFirstColumn="0" w:firstRowLastColumn="0" w:lastRowFirstColumn="0" w:lastRowLastColumn="0"/>
        </w:trPr>
        <w:tc>
          <w:tcPr>
            <w:tcW w:w="3789" w:type="dxa"/>
          </w:tcPr>
          <w:p w14:paraId="596832EB" w14:textId="77777777" w:rsidR="00B02873" w:rsidRPr="00F54AE3" w:rsidRDefault="00B02873" w:rsidP="00F54AE3">
            <w:pPr>
              <w:pStyle w:val="TableheadingleftFinancialsTables"/>
              <w:rPr>
                <w:rFonts w:asciiTheme="minorHAnsi" w:hAnsiTheme="minorHAnsi" w:cstheme="minorHAnsi"/>
                <w:sz w:val="18"/>
                <w:szCs w:val="14"/>
              </w:rPr>
            </w:pPr>
          </w:p>
        </w:tc>
        <w:tc>
          <w:tcPr>
            <w:tcW w:w="957" w:type="dxa"/>
          </w:tcPr>
          <w:p w14:paraId="0D763931" w14:textId="7B9555F2" w:rsidR="00B02873" w:rsidRPr="00195B06" w:rsidRDefault="00F54AE3" w:rsidP="001E4AE1">
            <w:pPr>
              <w:pStyle w:val="TableheadingleftFinancialsTables"/>
              <w:jc w:val="right"/>
              <w:rPr>
                <w:rFonts w:asciiTheme="minorHAnsi" w:hAnsiTheme="minorHAnsi" w:cstheme="minorHAnsi"/>
                <w:sz w:val="18"/>
                <w:szCs w:val="14"/>
              </w:rPr>
            </w:pPr>
            <w:r w:rsidRPr="00195B06">
              <w:rPr>
                <w:rFonts w:asciiTheme="minorHAnsi" w:hAnsiTheme="minorHAnsi" w:cstheme="minorHAnsi"/>
                <w:sz w:val="18"/>
                <w:szCs w:val="14"/>
              </w:rPr>
              <w:t xml:space="preserve">Solar Homes </w:t>
            </w:r>
            <w:r w:rsidR="00B02873" w:rsidRPr="00195B06">
              <w:rPr>
                <w:rFonts w:asciiTheme="minorHAnsi" w:hAnsiTheme="minorHAnsi" w:cstheme="minorHAnsi"/>
                <w:sz w:val="18"/>
                <w:szCs w:val="14"/>
              </w:rPr>
              <w:t xml:space="preserve">2022 </w:t>
            </w:r>
            <w:r w:rsidR="00B02873" w:rsidRPr="00195B06">
              <w:rPr>
                <w:rFonts w:asciiTheme="minorHAnsi" w:hAnsiTheme="minorHAnsi" w:cstheme="minorHAnsi"/>
                <w:sz w:val="18"/>
                <w:szCs w:val="14"/>
              </w:rPr>
              <w:br/>
              <w:t>$’000</w:t>
            </w:r>
          </w:p>
        </w:tc>
        <w:tc>
          <w:tcPr>
            <w:tcW w:w="957" w:type="dxa"/>
          </w:tcPr>
          <w:p w14:paraId="0B7CBBC9" w14:textId="64BFCFA0" w:rsidR="00B02873" w:rsidRPr="00F54AE3" w:rsidRDefault="00F54AE3" w:rsidP="001E4AE1">
            <w:pPr>
              <w:pStyle w:val="TableheadingleftFinancialsTables"/>
              <w:jc w:val="right"/>
              <w:rPr>
                <w:rFonts w:asciiTheme="minorHAnsi" w:hAnsiTheme="minorHAnsi" w:cstheme="minorHAnsi"/>
                <w:sz w:val="18"/>
                <w:szCs w:val="14"/>
              </w:rPr>
            </w:pPr>
            <w:r w:rsidRPr="00F54AE3">
              <w:rPr>
                <w:rFonts w:asciiTheme="minorHAnsi" w:hAnsiTheme="minorHAnsi" w:cstheme="minorHAnsi"/>
                <w:sz w:val="18"/>
                <w:szCs w:val="14"/>
              </w:rPr>
              <w:t xml:space="preserve">Solar Homes </w:t>
            </w:r>
            <w:r w:rsidR="00B02873" w:rsidRPr="00F54AE3">
              <w:rPr>
                <w:rFonts w:asciiTheme="minorHAnsi" w:hAnsiTheme="minorHAnsi" w:cstheme="minorHAnsi"/>
                <w:sz w:val="18"/>
                <w:szCs w:val="14"/>
              </w:rPr>
              <w:t>2021</w:t>
            </w:r>
            <w:r w:rsidR="00B02873" w:rsidRPr="00F54AE3">
              <w:rPr>
                <w:rFonts w:asciiTheme="minorHAnsi" w:hAnsiTheme="minorHAnsi" w:cstheme="minorHAnsi"/>
                <w:sz w:val="18"/>
                <w:szCs w:val="14"/>
              </w:rPr>
              <w:br/>
              <w:t>$’000</w:t>
            </w:r>
          </w:p>
        </w:tc>
        <w:tc>
          <w:tcPr>
            <w:tcW w:w="957" w:type="dxa"/>
          </w:tcPr>
          <w:p w14:paraId="4B3CBD39" w14:textId="1A87F5A1" w:rsidR="00B02873" w:rsidRPr="00195B06" w:rsidRDefault="00F54AE3" w:rsidP="001E4AE1">
            <w:pPr>
              <w:pStyle w:val="TableheadingleftFinancialsTables"/>
              <w:jc w:val="right"/>
              <w:rPr>
                <w:rFonts w:asciiTheme="minorHAnsi" w:hAnsiTheme="minorHAnsi" w:cstheme="minorHAnsi"/>
                <w:sz w:val="18"/>
                <w:szCs w:val="14"/>
              </w:rPr>
            </w:pPr>
            <w:r w:rsidRPr="00195B06">
              <w:rPr>
                <w:rFonts w:asciiTheme="minorHAnsi" w:hAnsiTheme="minorHAnsi" w:cstheme="minorHAnsi"/>
                <w:sz w:val="18"/>
                <w:szCs w:val="14"/>
              </w:rPr>
              <w:t xml:space="preserve">Parks Victoria </w:t>
            </w:r>
            <w:r w:rsidR="00B02873" w:rsidRPr="00195B06">
              <w:rPr>
                <w:rFonts w:asciiTheme="minorHAnsi" w:hAnsiTheme="minorHAnsi" w:cstheme="minorHAnsi"/>
                <w:sz w:val="18"/>
                <w:szCs w:val="14"/>
              </w:rPr>
              <w:t xml:space="preserve">2022 </w:t>
            </w:r>
            <w:r w:rsidR="00B02873" w:rsidRPr="00195B06">
              <w:rPr>
                <w:rFonts w:asciiTheme="minorHAnsi" w:hAnsiTheme="minorHAnsi" w:cstheme="minorHAnsi"/>
                <w:sz w:val="18"/>
                <w:szCs w:val="14"/>
              </w:rPr>
              <w:br/>
              <w:t>$’000</w:t>
            </w:r>
          </w:p>
        </w:tc>
        <w:tc>
          <w:tcPr>
            <w:tcW w:w="958" w:type="dxa"/>
          </w:tcPr>
          <w:p w14:paraId="74341E2D" w14:textId="09B7B0F4" w:rsidR="00B02873" w:rsidRPr="00F54AE3" w:rsidRDefault="00F54AE3" w:rsidP="001E4AE1">
            <w:pPr>
              <w:pStyle w:val="TableheadingleftFinancialsTables"/>
              <w:jc w:val="right"/>
              <w:rPr>
                <w:rFonts w:asciiTheme="minorHAnsi" w:hAnsiTheme="minorHAnsi" w:cstheme="minorHAnsi"/>
                <w:sz w:val="18"/>
                <w:szCs w:val="14"/>
              </w:rPr>
            </w:pPr>
            <w:r w:rsidRPr="00F54AE3">
              <w:rPr>
                <w:rFonts w:asciiTheme="minorHAnsi" w:hAnsiTheme="minorHAnsi" w:cstheme="minorHAnsi"/>
                <w:sz w:val="18"/>
                <w:szCs w:val="14"/>
              </w:rPr>
              <w:t xml:space="preserve">Parks Victoria </w:t>
            </w:r>
            <w:r w:rsidR="00B02873" w:rsidRPr="00F54AE3">
              <w:rPr>
                <w:rFonts w:asciiTheme="minorHAnsi" w:hAnsiTheme="minorHAnsi" w:cstheme="minorHAnsi"/>
                <w:sz w:val="18"/>
                <w:szCs w:val="14"/>
              </w:rPr>
              <w:t>2021</w:t>
            </w:r>
            <w:r w:rsidR="00B02873" w:rsidRPr="00F54AE3">
              <w:rPr>
                <w:rFonts w:asciiTheme="minorHAnsi" w:hAnsiTheme="minorHAnsi" w:cstheme="minorHAnsi"/>
                <w:sz w:val="18"/>
                <w:szCs w:val="14"/>
              </w:rPr>
              <w:br/>
              <w:t>$’000</w:t>
            </w:r>
          </w:p>
        </w:tc>
        <w:tc>
          <w:tcPr>
            <w:tcW w:w="1217" w:type="dxa"/>
          </w:tcPr>
          <w:p w14:paraId="0E76A8D3" w14:textId="16B847A0" w:rsidR="00B02873" w:rsidRPr="00195B06" w:rsidRDefault="00F54AE3" w:rsidP="001E4AE1">
            <w:pPr>
              <w:pStyle w:val="TableheadingleftFinancialsTables"/>
              <w:jc w:val="right"/>
              <w:rPr>
                <w:rFonts w:asciiTheme="minorHAnsi" w:hAnsiTheme="minorHAnsi" w:cstheme="minorHAnsi"/>
                <w:sz w:val="18"/>
                <w:szCs w:val="14"/>
              </w:rPr>
            </w:pPr>
            <w:r w:rsidRPr="00195B06">
              <w:rPr>
                <w:rFonts w:asciiTheme="minorHAnsi" w:hAnsiTheme="minorHAnsi" w:cstheme="minorHAnsi"/>
                <w:sz w:val="18"/>
                <w:szCs w:val="14"/>
              </w:rPr>
              <w:t xml:space="preserve">Fire and Emergency Management </w:t>
            </w:r>
            <w:r w:rsidR="00B02873" w:rsidRPr="00195B06">
              <w:rPr>
                <w:rFonts w:asciiTheme="minorHAnsi" w:hAnsiTheme="minorHAnsi" w:cstheme="minorHAnsi"/>
                <w:sz w:val="18"/>
                <w:szCs w:val="14"/>
              </w:rPr>
              <w:t xml:space="preserve">2022 </w:t>
            </w:r>
            <w:r w:rsidR="00B02873" w:rsidRPr="00195B06">
              <w:rPr>
                <w:rFonts w:asciiTheme="minorHAnsi" w:hAnsiTheme="minorHAnsi" w:cstheme="minorHAnsi"/>
                <w:sz w:val="18"/>
                <w:szCs w:val="14"/>
              </w:rPr>
              <w:br/>
              <w:t>$’000</w:t>
            </w:r>
          </w:p>
        </w:tc>
        <w:tc>
          <w:tcPr>
            <w:tcW w:w="1218" w:type="dxa"/>
          </w:tcPr>
          <w:p w14:paraId="79375F85" w14:textId="6E82C139" w:rsidR="00B02873" w:rsidRPr="00F54AE3" w:rsidRDefault="00F54AE3" w:rsidP="001E4AE1">
            <w:pPr>
              <w:pStyle w:val="TableheadingleftFinancialsTables"/>
              <w:jc w:val="right"/>
              <w:rPr>
                <w:rFonts w:asciiTheme="minorHAnsi" w:hAnsiTheme="minorHAnsi" w:cstheme="minorHAnsi"/>
                <w:sz w:val="18"/>
                <w:szCs w:val="14"/>
              </w:rPr>
            </w:pPr>
            <w:r w:rsidRPr="00F54AE3">
              <w:rPr>
                <w:rFonts w:asciiTheme="minorHAnsi" w:hAnsiTheme="minorHAnsi" w:cstheme="minorHAnsi"/>
                <w:sz w:val="18"/>
                <w:szCs w:val="14"/>
              </w:rPr>
              <w:t xml:space="preserve">Fire and Emergency Management </w:t>
            </w:r>
            <w:r w:rsidR="00B02873" w:rsidRPr="00F54AE3">
              <w:rPr>
                <w:rFonts w:asciiTheme="minorHAnsi" w:hAnsiTheme="minorHAnsi" w:cstheme="minorHAnsi"/>
                <w:sz w:val="18"/>
                <w:szCs w:val="14"/>
              </w:rPr>
              <w:t>2021</w:t>
            </w:r>
            <w:r w:rsidR="00B02873" w:rsidRPr="00F54AE3">
              <w:rPr>
                <w:rFonts w:asciiTheme="minorHAnsi" w:hAnsiTheme="minorHAnsi" w:cstheme="minorHAnsi"/>
                <w:sz w:val="18"/>
                <w:szCs w:val="14"/>
              </w:rPr>
              <w:br/>
              <w:t>$’000</w:t>
            </w:r>
          </w:p>
        </w:tc>
      </w:tr>
      <w:tr w:rsidR="00B02873" w:rsidRPr="00F54AE3" w14:paraId="7735C74C" w14:textId="77777777" w:rsidTr="00195B06">
        <w:trPr>
          <w:trHeight w:val="60"/>
        </w:trPr>
        <w:tc>
          <w:tcPr>
            <w:tcW w:w="3789" w:type="dxa"/>
          </w:tcPr>
          <w:p w14:paraId="47417610" w14:textId="07E1A255" w:rsidR="00B02873" w:rsidRPr="00195B06" w:rsidRDefault="00B02873" w:rsidP="00F54AE3">
            <w:pPr>
              <w:pStyle w:val="TablebodyleftFinancialsTables"/>
              <w:rPr>
                <w:rFonts w:asciiTheme="minorHAnsi" w:hAnsiTheme="minorHAnsi" w:cstheme="minorHAnsi"/>
                <w:b/>
                <w:bCs/>
                <w:sz w:val="18"/>
                <w:szCs w:val="14"/>
              </w:rPr>
            </w:pPr>
            <w:r w:rsidRPr="00195B06">
              <w:rPr>
                <w:rFonts w:asciiTheme="minorHAnsi" w:hAnsiTheme="minorHAnsi" w:cstheme="minorHAnsi"/>
                <w:b/>
                <w:bCs/>
                <w:sz w:val="18"/>
                <w:szCs w:val="14"/>
              </w:rPr>
              <w:t>Administered revenue and income from transactions</w:t>
            </w:r>
          </w:p>
        </w:tc>
        <w:tc>
          <w:tcPr>
            <w:tcW w:w="957" w:type="dxa"/>
          </w:tcPr>
          <w:p w14:paraId="355B1496" w14:textId="77777777" w:rsidR="00B02873" w:rsidRPr="00195B06" w:rsidRDefault="00B02873" w:rsidP="001E4AE1">
            <w:pPr>
              <w:pStyle w:val="TablebodyleftFinancialsTables"/>
              <w:jc w:val="right"/>
              <w:rPr>
                <w:rFonts w:asciiTheme="minorHAnsi" w:hAnsiTheme="minorHAnsi" w:cstheme="minorHAnsi"/>
                <w:b/>
                <w:bCs/>
                <w:sz w:val="18"/>
                <w:szCs w:val="14"/>
              </w:rPr>
            </w:pPr>
          </w:p>
        </w:tc>
        <w:tc>
          <w:tcPr>
            <w:tcW w:w="957" w:type="dxa"/>
          </w:tcPr>
          <w:p w14:paraId="023190FE" w14:textId="77777777" w:rsidR="00B02873" w:rsidRPr="00F54AE3" w:rsidRDefault="00B02873" w:rsidP="001E4AE1">
            <w:pPr>
              <w:pStyle w:val="TablebodyleftFinancialsTables"/>
              <w:jc w:val="right"/>
              <w:rPr>
                <w:rFonts w:asciiTheme="minorHAnsi" w:hAnsiTheme="minorHAnsi" w:cstheme="minorHAnsi"/>
                <w:sz w:val="18"/>
                <w:szCs w:val="14"/>
              </w:rPr>
            </w:pPr>
          </w:p>
        </w:tc>
        <w:tc>
          <w:tcPr>
            <w:tcW w:w="957" w:type="dxa"/>
          </w:tcPr>
          <w:p w14:paraId="4294133A" w14:textId="77777777" w:rsidR="00B02873" w:rsidRPr="00195B06" w:rsidRDefault="00B02873" w:rsidP="001E4AE1">
            <w:pPr>
              <w:pStyle w:val="TablebodyleftFinancialsTables"/>
              <w:jc w:val="right"/>
              <w:rPr>
                <w:rFonts w:asciiTheme="minorHAnsi" w:hAnsiTheme="minorHAnsi" w:cstheme="minorHAnsi"/>
                <w:b/>
                <w:bCs/>
                <w:sz w:val="18"/>
                <w:szCs w:val="14"/>
              </w:rPr>
            </w:pPr>
          </w:p>
        </w:tc>
        <w:tc>
          <w:tcPr>
            <w:tcW w:w="958" w:type="dxa"/>
          </w:tcPr>
          <w:p w14:paraId="45B25F54" w14:textId="77777777" w:rsidR="00B02873" w:rsidRPr="00F54AE3" w:rsidRDefault="00B02873" w:rsidP="001E4AE1">
            <w:pPr>
              <w:pStyle w:val="TablebodyleftFinancialsTables"/>
              <w:jc w:val="right"/>
              <w:rPr>
                <w:rFonts w:asciiTheme="minorHAnsi" w:hAnsiTheme="minorHAnsi" w:cstheme="minorHAnsi"/>
                <w:sz w:val="18"/>
                <w:szCs w:val="14"/>
              </w:rPr>
            </w:pPr>
          </w:p>
        </w:tc>
        <w:tc>
          <w:tcPr>
            <w:tcW w:w="1217" w:type="dxa"/>
          </w:tcPr>
          <w:p w14:paraId="67000064" w14:textId="77777777" w:rsidR="00B02873" w:rsidRPr="00195B06" w:rsidRDefault="00B02873" w:rsidP="001E4AE1">
            <w:pPr>
              <w:pStyle w:val="TablebodyleftFinancialsTables"/>
              <w:jc w:val="right"/>
              <w:rPr>
                <w:rFonts w:asciiTheme="minorHAnsi" w:hAnsiTheme="minorHAnsi" w:cstheme="minorHAnsi"/>
                <w:b/>
                <w:bCs/>
                <w:sz w:val="18"/>
                <w:szCs w:val="14"/>
              </w:rPr>
            </w:pPr>
          </w:p>
        </w:tc>
        <w:tc>
          <w:tcPr>
            <w:tcW w:w="1218" w:type="dxa"/>
          </w:tcPr>
          <w:p w14:paraId="061BE53B" w14:textId="77777777" w:rsidR="00B02873" w:rsidRPr="00F54AE3" w:rsidRDefault="00B02873" w:rsidP="001E4AE1">
            <w:pPr>
              <w:pStyle w:val="TablebodyleftFinancialsTables"/>
              <w:jc w:val="right"/>
              <w:rPr>
                <w:rFonts w:asciiTheme="minorHAnsi" w:hAnsiTheme="minorHAnsi" w:cstheme="minorHAnsi"/>
                <w:sz w:val="18"/>
                <w:szCs w:val="14"/>
              </w:rPr>
            </w:pPr>
          </w:p>
        </w:tc>
      </w:tr>
      <w:tr w:rsidR="00B02873" w:rsidRPr="00F54AE3" w14:paraId="35B57B8A" w14:textId="77777777" w:rsidTr="00195B06">
        <w:trPr>
          <w:trHeight w:val="60"/>
        </w:trPr>
        <w:tc>
          <w:tcPr>
            <w:tcW w:w="3789" w:type="dxa"/>
          </w:tcPr>
          <w:p w14:paraId="652B97A8" w14:textId="77777777" w:rsidR="00B02873" w:rsidRPr="00F54AE3" w:rsidRDefault="00B02873" w:rsidP="00F54AE3">
            <w:pPr>
              <w:pStyle w:val="TablebodyleftFinancialsTables"/>
              <w:rPr>
                <w:rFonts w:asciiTheme="minorHAnsi" w:hAnsiTheme="minorHAnsi" w:cstheme="minorHAnsi"/>
                <w:sz w:val="18"/>
                <w:szCs w:val="14"/>
              </w:rPr>
            </w:pPr>
            <w:r w:rsidRPr="00F54AE3">
              <w:rPr>
                <w:rFonts w:asciiTheme="minorHAnsi" w:hAnsiTheme="minorHAnsi" w:cstheme="minorHAnsi"/>
                <w:sz w:val="18"/>
                <w:szCs w:val="14"/>
              </w:rPr>
              <w:t>Appropriations – payments on behalf of the state (POBOS)</w:t>
            </w:r>
          </w:p>
        </w:tc>
        <w:tc>
          <w:tcPr>
            <w:tcW w:w="957" w:type="dxa"/>
          </w:tcPr>
          <w:p w14:paraId="5465FB58" w14:textId="77777777" w:rsidR="00B02873" w:rsidRPr="00195B06" w:rsidRDefault="00B02873" w:rsidP="001E4AE1">
            <w:pPr>
              <w:pStyle w:val="TablebodyleftFinancialsTables"/>
              <w:jc w:val="right"/>
              <w:rPr>
                <w:rFonts w:asciiTheme="minorHAnsi" w:hAnsiTheme="minorHAnsi" w:cstheme="minorHAnsi"/>
                <w:b/>
                <w:bCs/>
                <w:sz w:val="18"/>
                <w:szCs w:val="14"/>
              </w:rPr>
            </w:pPr>
            <w:r w:rsidRPr="00195B06">
              <w:rPr>
                <w:rFonts w:asciiTheme="minorHAnsi" w:hAnsiTheme="minorHAnsi" w:cstheme="minorHAnsi"/>
                <w:b/>
                <w:bCs/>
                <w:sz w:val="18"/>
                <w:szCs w:val="14"/>
              </w:rPr>
              <w:t>–</w:t>
            </w:r>
          </w:p>
        </w:tc>
        <w:tc>
          <w:tcPr>
            <w:tcW w:w="957" w:type="dxa"/>
          </w:tcPr>
          <w:p w14:paraId="67684DB6" w14:textId="77777777" w:rsidR="00B02873" w:rsidRPr="00F54AE3" w:rsidRDefault="00B02873" w:rsidP="001E4AE1">
            <w:pPr>
              <w:pStyle w:val="TablebodyleftFinancialsTables"/>
              <w:jc w:val="right"/>
              <w:rPr>
                <w:rFonts w:asciiTheme="minorHAnsi" w:hAnsiTheme="minorHAnsi" w:cstheme="minorHAnsi"/>
                <w:sz w:val="18"/>
                <w:szCs w:val="14"/>
              </w:rPr>
            </w:pPr>
            <w:r w:rsidRPr="00F54AE3">
              <w:rPr>
                <w:rFonts w:asciiTheme="minorHAnsi" w:hAnsiTheme="minorHAnsi" w:cstheme="minorHAnsi"/>
                <w:sz w:val="18"/>
                <w:szCs w:val="14"/>
              </w:rPr>
              <w:t>–</w:t>
            </w:r>
          </w:p>
        </w:tc>
        <w:tc>
          <w:tcPr>
            <w:tcW w:w="957" w:type="dxa"/>
          </w:tcPr>
          <w:p w14:paraId="277A2ACA" w14:textId="77777777" w:rsidR="00B02873" w:rsidRPr="00195B06" w:rsidRDefault="00B02873" w:rsidP="001E4AE1">
            <w:pPr>
              <w:pStyle w:val="TablebodyleftFinancialsTables"/>
              <w:jc w:val="right"/>
              <w:rPr>
                <w:rFonts w:asciiTheme="minorHAnsi" w:hAnsiTheme="minorHAnsi" w:cstheme="minorHAnsi"/>
                <w:b/>
                <w:bCs/>
                <w:sz w:val="18"/>
                <w:szCs w:val="14"/>
              </w:rPr>
            </w:pPr>
            <w:r w:rsidRPr="00195B06">
              <w:rPr>
                <w:rFonts w:asciiTheme="minorHAnsi" w:hAnsiTheme="minorHAnsi" w:cstheme="minorHAnsi"/>
                <w:b/>
                <w:bCs/>
                <w:sz w:val="18"/>
                <w:szCs w:val="14"/>
              </w:rPr>
              <w:t>–</w:t>
            </w:r>
          </w:p>
        </w:tc>
        <w:tc>
          <w:tcPr>
            <w:tcW w:w="958" w:type="dxa"/>
          </w:tcPr>
          <w:p w14:paraId="14C861E6" w14:textId="77777777" w:rsidR="00B02873" w:rsidRPr="00F54AE3" w:rsidRDefault="00B02873" w:rsidP="001E4AE1">
            <w:pPr>
              <w:pStyle w:val="TablebodyleftFinancialsTables"/>
              <w:jc w:val="right"/>
              <w:rPr>
                <w:rFonts w:asciiTheme="minorHAnsi" w:hAnsiTheme="minorHAnsi" w:cstheme="minorHAnsi"/>
                <w:sz w:val="18"/>
                <w:szCs w:val="14"/>
              </w:rPr>
            </w:pPr>
            <w:r w:rsidRPr="00F54AE3">
              <w:rPr>
                <w:rFonts w:asciiTheme="minorHAnsi" w:hAnsiTheme="minorHAnsi" w:cstheme="minorHAnsi"/>
                <w:sz w:val="18"/>
                <w:szCs w:val="14"/>
              </w:rPr>
              <w:t>–</w:t>
            </w:r>
          </w:p>
        </w:tc>
        <w:tc>
          <w:tcPr>
            <w:tcW w:w="1217" w:type="dxa"/>
          </w:tcPr>
          <w:p w14:paraId="66607837" w14:textId="77777777" w:rsidR="00B02873" w:rsidRPr="00195B06" w:rsidRDefault="00B02873" w:rsidP="001E4AE1">
            <w:pPr>
              <w:pStyle w:val="TablebodyleftFinancialsTables"/>
              <w:jc w:val="right"/>
              <w:rPr>
                <w:rFonts w:asciiTheme="minorHAnsi" w:hAnsiTheme="minorHAnsi" w:cstheme="minorHAnsi"/>
                <w:b/>
                <w:bCs/>
                <w:sz w:val="18"/>
                <w:szCs w:val="14"/>
              </w:rPr>
            </w:pPr>
            <w:r w:rsidRPr="00195B06">
              <w:rPr>
                <w:rFonts w:asciiTheme="minorHAnsi" w:hAnsiTheme="minorHAnsi" w:cstheme="minorHAnsi"/>
                <w:b/>
                <w:bCs/>
                <w:sz w:val="18"/>
                <w:szCs w:val="14"/>
              </w:rPr>
              <w:t>–</w:t>
            </w:r>
          </w:p>
        </w:tc>
        <w:tc>
          <w:tcPr>
            <w:tcW w:w="1218" w:type="dxa"/>
          </w:tcPr>
          <w:p w14:paraId="1DF0B0A5" w14:textId="77777777" w:rsidR="00B02873" w:rsidRPr="00F54AE3" w:rsidRDefault="00B02873" w:rsidP="001E4AE1">
            <w:pPr>
              <w:pStyle w:val="TablebodyleftFinancialsTables"/>
              <w:jc w:val="right"/>
              <w:rPr>
                <w:rFonts w:asciiTheme="minorHAnsi" w:hAnsiTheme="minorHAnsi" w:cstheme="minorHAnsi"/>
                <w:sz w:val="18"/>
                <w:szCs w:val="14"/>
              </w:rPr>
            </w:pPr>
            <w:r w:rsidRPr="00F54AE3">
              <w:rPr>
                <w:rFonts w:asciiTheme="minorHAnsi" w:hAnsiTheme="minorHAnsi" w:cstheme="minorHAnsi"/>
                <w:sz w:val="18"/>
                <w:szCs w:val="14"/>
              </w:rPr>
              <w:t>–</w:t>
            </w:r>
          </w:p>
        </w:tc>
      </w:tr>
      <w:tr w:rsidR="00B02873" w:rsidRPr="00F54AE3" w14:paraId="6D00A771" w14:textId="77777777" w:rsidTr="00195B06">
        <w:trPr>
          <w:trHeight w:val="60"/>
        </w:trPr>
        <w:tc>
          <w:tcPr>
            <w:tcW w:w="3789" w:type="dxa"/>
          </w:tcPr>
          <w:p w14:paraId="0E512F8F" w14:textId="77777777" w:rsidR="00B02873" w:rsidRPr="00F54AE3" w:rsidRDefault="00B02873" w:rsidP="00F54AE3">
            <w:pPr>
              <w:pStyle w:val="TablebodyleftFinancialsTables"/>
              <w:rPr>
                <w:rFonts w:asciiTheme="minorHAnsi" w:hAnsiTheme="minorHAnsi" w:cstheme="minorHAnsi"/>
                <w:sz w:val="18"/>
                <w:szCs w:val="14"/>
              </w:rPr>
            </w:pPr>
            <w:r w:rsidRPr="00F54AE3">
              <w:rPr>
                <w:rFonts w:asciiTheme="minorHAnsi" w:hAnsiTheme="minorHAnsi" w:cstheme="minorHAnsi"/>
                <w:sz w:val="18"/>
                <w:szCs w:val="14"/>
              </w:rPr>
              <w:t>Interest income (Note 4.2.5)</w:t>
            </w:r>
          </w:p>
        </w:tc>
        <w:tc>
          <w:tcPr>
            <w:tcW w:w="957" w:type="dxa"/>
          </w:tcPr>
          <w:p w14:paraId="5B9A2CEE" w14:textId="77777777" w:rsidR="00B02873" w:rsidRPr="00195B06" w:rsidRDefault="00B02873" w:rsidP="001E4AE1">
            <w:pPr>
              <w:pStyle w:val="TablebodyleftFinancialsTables"/>
              <w:jc w:val="right"/>
              <w:rPr>
                <w:rFonts w:asciiTheme="minorHAnsi" w:hAnsiTheme="minorHAnsi" w:cstheme="minorHAnsi"/>
                <w:b/>
                <w:bCs/>
                <w:sz w:val="18"/>
                <w:szCs w:val="14"/>
              </w:rPr>
            </w:pPr>
            <w:r w:rsidRPr="00195B06">
              <w:rPr>
                <w:rFonts w:asciiTheme="minorHAnsi" w:hAnsiTheme="minorHAnsi" w:cstheme="minorHAnsi"/>
                <w:b/>
                <w:bCs/>
                <w:sz w:val="18"/>
                <w:szCs w:val="14"/>
              </w:rPr>
              <w:t>–</w:t>
            </w:r>
          </w:p>
        </w:tc>
        <w:tc>
          <w:tcPr>
            <w:tcW w:w="957" w:type="dxa"/>
          </w:tcPr>
          <w:p w14:paraId="44BA9834" w14:textId="77777777" w:rsidR="00B02873" w:rsidRPr="00F54AE3" w:rsidRDefault="00B02873" w:rsidP="001E4AE1">
            <w:pPr>
              <w:pStyle w:val="TablebodyleftFinancialsTables"/>
              <w:jc w:val="right"/>
              <w:rPr>
                <w:rFonts w:asciiTheme="minorHAnsi" w:hAnsiTheme="minorHAnsi" w:cstheme="minorHAnsi"/>
                <w:sz w:val="18"/>
                <w:szCs w:val="14"/>
              </w:rPr>
            </w:pPr>
            <w:r w:rsidRPr="00F54AE3">
              <w:rPr>
                <w:rFonts w:asciiTheme="minorHAnsi" w:hAnsiTheme="minorHAnsi" w:cstheme="minorHAnsi"/>
                <w:sz w:val="18"/>
                <w:szCs w:val="14"/>
              </w:rPr>
              <w:t>–</w:t>
            </w:r>
          </w:p>
        </w:tc>
        <w:tc>
          <w:tcPr>
            <w:tcW w:w="957" w:type="dxa"/>
          </w:tcPr>
          <w:p w14:paraId="456DD264" w14:textId="77777777" w:rsidR="00B02873" w:rsidRPr="00195B06" w:rsidRDefault="00B02873" w:rsidP="001E4AE1">
            <w:pPr>
              <w:pStyle w:val="TablebodyleftFinancialsTables"/>
              <w:jc w:val="right"/>
              <w:rPr>
                <w:rFonts w:asciiTheme="minorHAnsi" w:hAnsiTheme="minorHAnsi" w:cstheme="minorHAnsi"/>
                <w:b/>
                <w:bCs/>
                <w:sz w:val="18"/>
                <w:szCs w:val="14"/>
              </w:rPr>
            </w:pPr>
            <w:r w:rsidRPr="00195B06">
              <w:rPr>
                <w:rFonts w:asciiTheme="minorHAnsi" w:hAnsiTheme="minorHAnsi" w:cstheme="minorHAnsi"/>
                <w:b/>
                <w:bCs/>
                <w:sz w:val="18"/>
                <w:szCs w:val="14"/>
              </w:rPr>
              <w:t>–</w:t>
            </w:r>
          </w:p>
        </w:tc>
        <w:tc>
          <w:tcPr>
            <w:tcW w:w="958" w:type="dxa"/>
          </w:tcPr>
          <w:p w14:paraId="212D1574" w14:textId="77777777" w:rsidR="00B02873" w:rsidRPr="00F54AE3" w:rsidRDefault="00B02873" w:rsidP="001E4AE1">
            <w:pPr>
              <w:pStyle w:val="TablebodyleftFinancialsTables"/>
              <w:jc w:val="right"/>
              <w:rPr>
                <w:rFonts w:asciiTheme="minorHAnsi" w:hAnsiTheme="minorHAnsi" w:cstheme="minorHAnsi"/>
                <w:sz w:val="18"/>
                <w:szCs w:val="14"/>
              </w:rPr>
            </w:pPr>
            <w:r w:rsidRPr="00F54AE3">
              <w:rPr>
                <w:rFonts w:asciiTheme="minorHAnsi" w:hAnsiTheme="minorHAnsi" w:cstheme="minorHAnsi"/>
                <w:sz w:val="18"/>
                <w:szCs w:val="14"/>
              </w:rPr>
              <w:t>–</w:t>
            </w:r>
          </w:p>
        </w:tc>
        <w:tc>
          <w:tcPr>
            <w:tcW w:w="1217" w:type="dxa"/>
          </w:tcPr>
          <w:p w14:paraId="599CD5C9" w14:textId="77777777" w:rsidR="00B02873" w:rsidRPr="00195B06" w:rsidRDefault="00B02873" w:rsidP="001E4AE1">
            <w:pPr>
              <w:pStyle w:val="TablebodyleftFinancialsTables"/>
              <w:jc w:val="right"/>
              <w:rPr>
                <w:rFonts w:asciiTheme="minorHAnsi" w:hAnsiTheme="minorHAnsi" w:cstheme="minorHAnsi"/>
                <w:b/>
                <w:bCs/>
                <w:sz w:val="18"/>
                <w:szCs w:val="14"/>
              </w:rPr>
            </w:pPr>
            <w:r w:rsidRPr="00195B06">
              <w:rPr>
                <w:rFonts w:asciiTheme="minorHAnsi" w:hAnsiTheme="minorHAnsi" w:cstheme="minorHAnsi"/>
                <w:b/>
                <w:bCs/>
                <w:sz w:val="18"/>
                <w:szCs w:val="14"/>
              </w:rPr>
              <w:t>–</w:t>
            </w:r>
          </w:p>
        </w:tc>
        <w:tc>
          <w:tcPr>
            <w:tcW w:w="1218" w:type="dxa"/>
          </w:tcPr>
          <w:p w14:paraId="70C26745" w14:textId="77777777" w:rsidR="00B02873" w:rsidRPr="00F54AE3" w:rsidRDefault="00B02873" w:rsidP="001E4AE1">
            <w:pPr>
              <w:pStyle w:val="TablebodyleftFinancialsTables"/>
              <w:jc w:val="right"/>
              <w:rPr>
                <w:rFonts w:asciiTheme="minorHAnsi" w:hAnsiTheme="minorHAnsi" w:cstheme="minorHAnsi"/>
                <w:sz w:val="18"/>
                <w:szCs w:val="14"/>
              </w:rPr>
            </w:pPr>
            <w:r w:rsidRPr="00F54AE3">
              <w:rPr>
                <w:rFonts w:asciiTheme="minorHAnsi" w:hAnsiTheme="minorHAnsi" w:cstheme="minorHAnsi"/>
                <w:sz w:val="18"/>
                <w:szCs w:val="14"/>
              </w:rPr>
              <w:t>–</w:t>
            </w:r>
          </w:p>
        </w:tc>
      </w:tr>
      <w:tr w:rsidR="00B02873" w:rsidRPr="00F54AE3" w14:paraId="15340F0F" w14:textId="77777777" w:rsidTr="00195B06">
        <w:trPr>
          <w:trHeight w:val="60"/>
        </w:trPr>
        <w:tc>
          <w:tcPr>
            <w:tcW w:w="3789" w:type="dxa"/>
          </w:tcPr>
          <w:p w14:paraId="4D24911D" w14:textId="77777777" w:rsidR="00B02873" w:rsidRPr="00F54AE3" w:rsidRDefault="00B02873" w:rsidP="00F54AE3">
            <w:pPr>
              <w:pStyle w:val="TablebodyleftFinancialsTables"/>
              <w:rPr>
                <w:rFonts w:asciiTheme="minorHAnsi" w:hAnsiTheme="minorHAnsi" w:cstheme="minorHAnsi"/>
                <w:sz w:val="18"/>
                <w:szCs w:val="14"/>
              </w:rPr>
            </w:pPr>
            <w:r w:rsidRPr="00F54AE3">
              <w:rPr>
                <w:rFonts w:asciiTheme="minorHAnsi" w:hAnsiTheme="minorHAnsi" w:cstheme="minorHAnsi"/>
                <w:sz w:val="18"/>
                <w:szCs w:val="14"/>
              </w:rPr>
              <w:t xml:space="preserve">Sales of goods and services </w:t>
            </w:r>
          </w:p>
        </w:tc>
        <w:tc>
          <w:tcPr>
            <w:tcW w:w="957" w:type="dxa"/>
          </w:tcPr>
          <w:p w14:paraId="0EDFD124" w14:textId="6DE97147" w:rsidR="00B02873" w:rsidRPr="00195B06" w:rsidRDefault="00B02873" w:rsidP="001E4AE1">
            <w:pPr>
              <w:pStyle w:val="TablebodyleftFinancialsTables"/>
              <w:jc w:val="right"/>
              <w:rPr>
                <w:rFonts w:asciiTheme="minorHAnsi" w:hAnsiTheme="minorHAnsi" w:cstheme="minorHAnsi"/>
                <w:b/>
                <w:bCs/>
                <w:sz w:val="18"/>
                <w:szCs w:val="14"/>
              </w:rPr>
            </w:pPr>
            <w:r w:rsidRPr="00195B06">
              <w:rPr>
                <w:rFonts w:asciiTheme="minorHAnsi" w:hAnsiTheme="minorHAnsi" w:cstheme="minorHAnsi"/>
                <w:b/>
                <w:bCs/>
                <w:sz w:val="18"/>
                <w:szCs w:val="14"/>
              </w:rPr>
              <w:t>1</w:t>
            </w:r>
          </w:p>
        </w:tc>
        <w:tc>
          <w:tcPr>
            <w:tcW w:w="957" w:type="dxa"/>
          </w:tcPr>
          <w:p w14:paraId="3B67101F" w14:textId="77777777" w:rsidR="00B02873" w:rsidRPr="00F54AE3" w:rsidRDefault="00B02873" w:rsidP="001E4AE1">
            <w:pPr>
              <w:pStyle w:val="TablebodyleftFinancialsTables"/>
              <w:jc w:val="right"/>
              <w:rPr>
                <w:rFonts w:asciiTheme="minorHAnsi" w:hAnsiTheme="minorHAnsi" w:cstheme="minorHAnsi"/>
                <w:sz w:val="18"/>
                <w:szCs w:val="14"/>
              </w:rPr>
            </w:pPr>
            <w:r w:rsidRPr="00F54AE3">
              <w:rPr>
                <w:rFonts w:asciiTheme="minorHAnsi" w:hAnsiTheme="minorHAnsi" w:cstheme="minorHAnsi"/>
                <w:sz w:val="18"/>
                <w:szCs w:val="14"/>
              </w:rPr>
              <w:t>1</w:t>
            </w:r>
          </w:p>
        </w:tc>
        <w:tc>
          <w:tcPr>
            <w:tcW w:w="957" w:type="dxa"/>
          </w:tcPr>
          <w:p w14:paraId="7BE23805" w14:textId="77777777" w:rsidR="00B02873" w:rsidRPr="00195B06" w:rsidRDefault="00B02873" w:rsidP="001E4AE1">
            <w:pPr>
              <w:pStyle w:val="TablebodyleftFinancialsTables"/>
              <w:jc w:val="right"/>
              <w:rPr>
                <w:rFonts w:asciiTheme="minorHAnsi" w:hAnsiTheme="minorHAnsi" w:cstheme="minorHAnsi"/>
                <w:b/>
                <w:bCs/>
                <w:sz w:val="18"/>
                <w:szCs w:val="14"/>
              </w:rPr>
            </w:pPr>
            <w:r w:rsidRPr="00195B06">
              <w:rPr>
                <w:rFonts w:asciiTheme="minorHAnsi" w:hAnsiTheme="minorHAnsi" w:cstheme="minorHAnsi"/>
                <w:b/>
                <w:bCs/>
                <w:sz w:val="18"/>
                <w:szCs w:val="14"/>
              </w:rPr>
              <w:t>–</w:t>
            </w:r>
          </w:p>
        </w:tc>
        <w:tc>
          <w:tcPr>
            <w:tcW w:w="958" w:type="dxa"/>
          </w:tcPr>
          <w:p w14:paraId="308C11F3" w14:textId="77777777" w:rsidR="00B02873" w:rsidRPr="00F54AE3" w:rsidRDefault="00B02873" w:rsidP="001E4AE1">
            <w:pPr>
              <w:pStyle w:val="TablebodyleftFinancialsTables"/>
              <w:jc w:val="right"/>
              <w:rPr>
                <w:rFonts w:asciiTheme="minorHAnsi" w:hAnsiTheme="minorHAnsi" w:cstheme="minorHAnsi"/>
                <w:sz w:val="18"/>
                <w:szCs w:val="14"/>
              </w:rPr>
            </w:pPr>
            <w:r w:rsidRPr="00F54AE3">
              <w:rPr>
                <w:rFonts w:asciiTheme="minorHAnsi" w:hAnsiTheme="minorHAnsi" w:cstheme="minorHAnsi"/>
                <w:sz w:val="18"/>
                <w:szCs w:val="14"/>
              </w:rPr>
              <w:t>–</w:t>
            </w:r>
          </w:p>
        </w:tc>
        <w:tc>
          <w:tcPr>
            <w:tcW w:w="1217" w:type="dxa"/>
          </w:tcPr>
          <w:p w14:paraId="0899741E" w14:textId="77777777" w:rsidR="00B02873" w:rsidRPr="00195B06" w:rsidRDefault="00B02873" w:rsidP="001E4AE1">
            <w:pPr>
              <w:pStyle w:val="TablebodyleftFinancialsTables"/>
              <w:jc w:val="right"/>
              <w:rPr>
                <w:rFonts w:asciiTheme="minorHAnsi" w:hAnsiTheme="minorHAnsi" w:cstheme="minorHAnsi"/>
                <w:b/>
                <w:bCs/>
                <w:sz w:val="18"/>
                <w:szCs w:val="14"/>
              </w:rPr>
            </w:pPr>
            <w:r w:rsidRPr="00195B06">
              <w:rPr>
                <w:rFonts w:asciiTheme="minorHAnsi" w:hAnsiTheme="minorHAnsi" w:cstheme="minorHAnsi"/>
                <w:b/>
                <w:bCs/>
                <w:sz w:val="18"/>
                <w:szCs w:val="14"/>
              </w:rPr>
              <w:t>2</w:t>
            </w:r>
          </w:p>
        </w:tc>
        <w:tc>
          <w:tcPr>
            <w:tcW w:w="1218" w:type="dxa"/>
          </w:tcPr>
          <w:p w14:paraId="02085867" w14:textId="5B83E4B2" w:rsidR="00B02873" w:rsidRPr="00F54AE3" w:rsidRDefault="00B02873" w:rsidP="001E4AE1">
            <w:pPr>
              <w:pStyle w:val="TablebodyleftFinancialsTables"/>
              <w:jc w:val="right"/>
              <w:rPr>
                <w:rFonts w:asciiTheme="minorHAnsi" w:hAnsiTheme="minorHAnsi" w:cstheme="minorHAnsi"/>
                <w:sz w:val="18"/>
                <w:szCs w:val="14"/>
              </w:rPr>
            </w:pPr>
            <w:r w:rsidRPr="00F54AE3">
              <w:rPr>
                <w:rFonts w:asciiTheme="minorHAnsi" w:hAnsiTheme="minorHAnsi" w:cstheme="minorHAnsi"/>
                <w:sz w:val="18"/>
                <w:szCs w:val="14"/>
              </w:rPr>
              <w:t>1</w:t>
            </w:r>
          </w:p>
        </w:tc>
      </w:tr>
      <w:tr w:rsidR="00B02873" w:rsidRPr="00F54AE3" w14:paraId="664E391E" w14:textId="77777777" w:rsidTr="00195B06">
        <w:trPr>
          <w:trHeight w:val="60"/>
        </w:trPr>
        <w:tc>
          <w:tcPr>
            <w:tcW w:w="3789" w:type="dxa"/>
          </w:tcPr>
          <w:p w14:paraId="0932694E" w14:textId="77777777" w:rsidR="00B02873" w:rsidRPr="00F54AE3" w:rsidRDefault="00B02873" w:rsidP="00F54AE3">
            <w:pPr>
              <w:pStyle w:val="TablebodyleftFinancialsTables"/>
              <w:rPr>
                <w:rFonts w:asciiTheme="minorHAnsi" w:hAnsiTheme="minorHAnsi" w:cstheme="minorHAnsi"/>
                <w:sz w:val="18"/>
                <w:szCs w:val="14"/>
              </w:rPr>
            </w:pPr>
            <w:r w:rsidRPr="00F54AE3">
              <w:rPr>
                <w:rFonts w:asciiTheme="minorHAnsi" w:hAnsiTheme="minorHAnsi" w:cstheme="minorHAnsi"/>
                <w:sz w:val="18"/>
                <w:szCs w:val="14"/>
              </w:rPr>
              <w:t>Royalties, land leases and licences</w:t>
            </w:r>
          </w:p>
        </w:tc>
        <w:tc>
          <w:tcPr>
            <w:tcW w:w="957" w:type="dxa"/>
          </w:tcPr>
          <w:p w14:paraId="6DFE77F3" w14:textId="77777777" w:rsidR="00B02873" w:rsidRPr="00195B06" w:rsidRDefault="00B02873" w:rsidP="001E4AE1">
            <w:pPr>
              <w:pStyle w:val="TablebodyleftFinancialsTables"/>
              <w:jc w:val="right"/>
              <w:rPr>
                <w:rFonts w:asciiTheme="minorHAnsi" w:hAnsiTheme="minorHAnsi" w:cstheme="minorHAnsi"/>
                <w:b/>
                <w:bCs/>
                <w:sz w:val="18"/>
                <w:szCs w:val="14"/>
              </w:rPr>
            </w:pPr>
            <w:r w:rsidRPr="00195B06">
              <w:rPr>
                <w:rFonts w:asciiTheme="minorHAnsi" w:hAnsiTheme="minorHAnsi" w:cstheme="minorHAnsi"/>
                <w:b/>
                <w:bCs/>
                <w:sz w:val="18"/>
                <w:szCs w:val="14"/>
              </w:rPr>
              <w:t>–</w:t>
            </w:r>
          </w:p>
        </w:tc>
        <w:tc>
          <w:tcPr>
            <w:tcW w:w="957" w:type="dxa"/>
          </w:tcPr>
          <w:p w14:paraId="564CA255" w14:textId="77777777" w:rsidR="00B02873" w:rsidRPr="00F54AE3" w:rsidRDefault="00B02873" w:rsidP="001E4AE1">
            <w:pPr>
              <w:pStyle w:val="TablebodyleftFinancialsTables"/>
              <w:jc w:val="right"/>
              <w:rPr>
                <w:rFonts w:asciiTheme="minorHAnsi" w:hAnsiTheme="minorHAnsi" w:cstheme="minorHAnsi"/>
                <w:sz w:val="18"/>
                <w:szCs w:val="14"/>
              </w:rPr>
            </w:pPr>
            <w:r w:rsidRPr="00F54AE3">
              <w:rPr>
                <w:rFonts w:asciiTheme="minorHAnsi" w:hAnsiTheme="minorHAnsi" w:cstheme="minorHAnsi"/>
                <w:sz w:val="18"/>
                <w:szCs w:val="14"/>
              </w:rPr>
              <w:t>–</w:t>
            </w:r>
          </w:p>
        </w:tc>
        <w:tc>
          <w:tcPr>
            <w:tcW w:w="957" w:type="dxa"/>
          </w:tcPr>
          <w:p w14:paraId="54FC76DC" w14:textId="77777777" w:rsidR="00B02873" w:rsidRPr="00195B06" w:rsidRDefault="00B02873" w:rsidP="001E4AE1">
            <w:pPr>
              <w:pStyle w:val="TablebodyleftFinancialsTables"/>
              <w:jc w:val="right"/>
              <w:rPr>
                <w:rFonts w:asciiTheme="minorHAnsi" w:hAnsiTheme="minorHAnsi" w:cstheme="minorHAnsi"/>
                <w:b/>
                <w:bCs/>
                <w:sz w:val="18"/>
                <w:szCs w:val="14"/>
              </w:rPr>
            </w:pPr>
            <w:r w:rsidRPr="00195B06">
              <w:rPr>
                <w:rFonts w:asciiTheme="minorHAnsi" w:hAnsiTheme="minorHAnsi" w:cstheme="minorHAnsi"/>
                <w:b/>
                <w:bCs/>
                <w:sz w:val="18"/>
                <w:szCs w:val="14"/>
              </w:rPr>
              <w:t>–</w:t>
            </w:r>
          </w:p>
        </w:tc>
        <w:tc>
          <w:tcPr>
            <w:tcW w:w="958" w:type="dxa"/>
          </w:tcPr>
          <w:p w14:paraId="7468C9E8" w14:textId="77777777" w:rsidR="00B02873" w:rsidRPr="00F54AE3" w:rsidRDefault="00B02873" w:rsidP="001E4AE1">
            <w:pPr>
              <w:pStyle w:val="TablebodyleftFinancialsTables"/>
              <w:jc w:val="right"/>
              <w:rPr>
                <w:rFonts w:asciiTheme="minorHAnsi" w:hAnsiTheme="minorHAnsi" w:cstheme="minorHAnsi"/>
                <w:sz w:val="18"/>
                <w:szCs w:val="14"/>
              </w:rPr>
            </w:pPr>
            <w:r w:rsidRPr="00F54AE3">
              <w:rPr>
                <w:rFonts w:asciiTheme="minorHAnsi" w:hAnsiTheme="minorHAnsi" w:cstheme="minorHAnsi"/>
                <w:sz w:val="18"/>
                <w:szCs w:val="14"/>
              </w:rPr>
              <w:t>–</w:t>
            </w:r>
          </w:p>
        </w:tc>
        <w:tc>
          <w:tcPr>
            <w:tcW w:w="1217" w:type="dxa"/>
          </w:tcPr>
          <w:p w14:paraId="7316D060" w14:textId="77777777" w:rsidR="00B02873" w:rsidRPr="00195B06" w:rsidRDefault="00B02873" w:rsidP="001E4AE1">
            <w:pPr>
              <w:pStyle w:val="TablebodyleftFinancialsTables"/>
              <w:jc w:val="right"/>
              <w:rPr>
                <w:rFonts w:asciiTheme="minorHAnsi" w:hAnsiTheme="minorHAnsi" w:cstheme="minorHAnsi"/>
                <w:b/>
                <w:bCs/>
                <w:sz w:val="18"/>
                <w:szCs w:val="14"/>
              </w:rPr>
            </w:pPr>
            <w:r w:rsidRPr="00195B06">
              <w:rPr>
                <w:rFonts w:asciiTheme="minorHAnsi" w:hAnsiTheme="minorHAnsi" w:cstheme="minorHAnsi"/>
                <w:b/>
                <w:bCs/>
                <w:sz w:val="18"/>
                <w:szCs w:val="14"/>
              </w:rPr>
              <w:t>68</w:t>
            </w:r>
          </w:p>
        </w:tc>
        <w:tc>
          <w:tcPr>
            <w:tcW w:w="1218" w:type="dxa"/>
          </w:tcPr>
          <w:p w14:paraId="4D44DFE5" w14:textId="0484EE19" w:rsidR="00B02873" w:rsidRPr="00F54AE3" w:rsidRDefault="00012C04" w:rsidP="001E4AE1">
            <w:pPr>
              <w:pStyle w:val="TablebodyleftFinancialsTables"/>
              <w:jc w:val="right"/>
              <w:rPr>
                <w:rFonts w:asciiTheme="minorHAnsi" w:hAnsiTheme="minorHAnsi" w:cstheme="minorHAnsi"/>
                <w:sz w:val="18"/>
                <w:szCs w:val="14"/>
              </w:rPr>
            </w:pPr>
            <w:r w:rsidRPr="00F54AE3">
              <w:rPr>
                <w:rFonts w:asciiTheme="minorHAnsi" w:hAnsiTheme="minorHAnsi" w:cstheme="minorHAnsi"/>
                <w:sz w:val="18"/>
                <w:szCs w:val="14"/>
              </w:rPr>
              <w:t xml:space="preserve"> </w:t>
            </w:r>
            <w:r w:rsidR="00B02873" w:rsidRPr="00F54AE3">
              <w:rPr>
                <w:rFonts w:asciiTheme="minorHAnsi" w:hAnsiTheme="minorHAnsi" w:cstheme="minorHAnsi"/>
                <w:sz w:val="18"/>
                <w:szCs w:val="14"/>
              </w:rPr>
              <w:t>40</w:t>
            </w:r>
          </w:p>
        </w:tc>
      </w:tr>
      <w:tr w:rsidR="00B02873" w:rsidRPr="00F54AE3" w14:paraId="27162551" w14:textId="77777777" w:rsidTr="00195B06">
        <w:trPr>
          <w:trHeight w:val="60"/>
        </w:trPr>
        <w:tc>
          <w:tcPr>
            <w:tcW w:w="3789" w:type="dxa"/>
          </w:tcPr>
          <w:p w14:paraId="61F22770" w14:textId="77777777" w:rsidR="00B02873" w:rsidRPr="00F54AE3" w:rsidRDefault="00B02873" w:rsidP="00F54AE3">
            <w:pPr>
              <w:pStyle w:val="TablebodyleftFinancialsTables"/>
              <w:rPr>
                <w:rFonts w:asciiTheme="minorHAnsi" w:hAnsiTheme="minorHAnsi" w:cstheme="minorHAnsi"/>
                <w:sz w:val="18"/>
                <w:szCs w:val="14"/>
              </w:rPr>
            </w:pPr>
            <w:r w:rsidRPr="00F54AE3">
              <w:rPr>
                <w:rFonts w:asciiTheme="minorHAnsi" w:hAnsiTheme="minorHAnsi" w:cstheme="minorHAnsi"/>
                <w:sz w:val="18"/>
                <w:szCs w:val="14"/>
              </w:rPr>
              <w:t>Land titles income</w:t>
            </w:r>
          </w:p>
        </w:tc>
        <w:tc>
          <w:tcPr>
            <w:tcW w:w="957" w:type="dxa"/>
          </w:tcPr>
          <w:p w14:paraId="21DFD0FA" w14:textId="77777777" w:rsidR="00B02873" w:rsidRPr="00195B06" w:rsidRDefault="00B02873" w:rsidP="001E4AE1">
            <w:pPr>
              <w:pStyle w:val="TablebodyleftFinancialsTables"/>
              <w:jc w:val="right"/>
              <w:rPr>
                <w:rFonts w:asciiTheme="minorHAnsi" w:hAnsiTheme="minorHAnsi" w:cstheme="minorHAnsi"/>
                <w:b/>
                <w:bCs/>
                <w:sz w:val="18"/>
                <w:szCs w:val="14"/>
              </w:rPr>
            </w:pPr>
            <w:r w:rsidRPr="00195B06">
              <w:rPr>
                <w:rFonts w:asciiTheme="minorHAnsi" w:hAnsiTheme="minorHAnsi" w:cstheme="minorHAnsi"/>
                <w:b/>
                <w:bCs/>
                <w:sz w:val="18"/>
                <w:szCs w:val="14"/>
              </w:rPr>
              <w:t>–</w:t>
            </w:r>
          </w:p>
        </w:tc>
        <w:tc>
          <w:tcPr>
            <w:tcW w:w="957" w:type="dxa"/>
          </w:tcPr>
          <w:p w14:paraId="2260BFC5" w14:textId="77777777" w:rsidR="00B02873" w:rsidRPr="00F54AE3" w:rsidRDefault="00B02873" w:rsidP="001E4AE1">
            <w:pPr>
              <w:pStyle w:val="TablebodyleftFinancialsTables"/>
              <w:jc w:val="right"/>
              <w:rPr>
                <w:rFonts w:asciiTheme="minorHAnsi" w:hAnsiTheme="minorHAnsi" w:cstheme="minorHAnsi"/>
                <w:sz w:val="18"/>
                <w:szCs w:val="14"/>
              </w:rPr>
            </w:pPr>
            <w:r w:rsidRPr="00F54AE3">
              <w:rPr>
                <w:rFonts w:asciiTheme="minorHAnsi" w:hAnsiTheme="minorHAnsi" w:cstheme="minorHAnsi"/>
                <w:sz w:val="18"/>
                <w:szCs w:val="14"/>
              </w:rPr>
              <w:t>–</w:t>
            </w:r>
          </w:p>
        </w:tc>
        <w:tc>
          <w:tcPr>
            <w:tcW w:w="957" w:type="dxa"/>
          </w:tcPr>
          <w:p w14:paraId="74A99DD6" w14:textId="77777777" w:rsidR="00B02873" w:rsidRPr="00195B06" w:rsidRDefault="00B02873" w:rsidP="001E4AE1">
            <w:pPr>
              <w:pStyle w:val="TablebodyleftFinancialsTables"/>
              <w:jc w:val="right"/>
              <w:rPr>
                <w:rFonts w:asciiTheme="minorHAnsi" w:hAnsiTheme="minorHAnsi" w:cstheme="minorHAnsi"/>
                <w:b/>
                <w:bCs/>
                <w:sz w:val="18"/>
                <w:szCs w:val="14"/>
              </w:rPr>
            </w:pPr>
            <w:r w:rsidRPr="00195B06">
              <w:rPr>
                <w:rFonts w:asciiTheme="minorHAnsi" w:hAnsiTheme="minorHAnsi" w:cstheme="minorHAnsi"/>
                <w:b/>
                <w:bCs/>
                <w:sz w:val="18"/>
                <w:szCs w:val="14"/>
              </w:rPr>
              <w:t>–</w:t>
            </w:r>
          </w:p>
        </w:tc>
        <w:tc>
          <w:tcPr>
            <w:tcW w:w="958" w:type="dxa"/>
          </w:tcPr>
          <w:p w14:paraId="2A192091" w14:textId="77777777" w:rsidR="00B02873" w:rsidRPr="00F54AE3" w:rsidRDefault="00B02873" w:rsidP="001E4AE1">
            <w:pPr>
              <w:pStyle w:val="TablebodyleftFinancialsTables"/>
              <w:jc w:val="right"/>
              <w:rPr>
                <w:rFonts w:asciiTheme="minorHAnsi" w:hAnsiTheme="minorHAnsi" w:cstheme="minorHAnsi"/>
                <w:sz w:val="18"/>
                <w:szCs w:val="14"/>
              </w:rPr>
            </w:pPr>
            <w:r w:rsidRPr="00F54AE3">
              <w:rPr>
                <w:rFonts w:asciiTheme="minorHAnsi" w:hAnsiTheme="minorHAnsi" w:cstheme="minorHAnsi"/>
                <w:sz w:val="18"/>
                <w:szCs w:val="14"/>
              </w:rPr>
              <w:t>–</w:t>
            </w:r>
          </w:p>
        </w:tc>
        <w:tc>
          <w:tcPr>
            <w:tcW w:w="1217" w:type="dxa"/>
          </w:tcPr>
          <w:p w14:paraId="21031E0A" w14:textId="77777777" w:rsidR="00B02873" w:rsidRPr="00195B06" w:rsidRDefault="00B02873" w:rsidP="001E4AE1">
            <w:pPr>
              <w:pStyle w:val="TablebodyleftFinancialsTables"/>
              <w:jc w:val="right"/>
              <w:rPr>
                <w:rFonts w:asciiTheme="minorHAnsi" w:hAnsiTheme="minorHAnsi" w:cstheme="minorHAnsi"/>
                <w:b/>
                <w:bCs/>
                <w:sz w:val="18"/>
                <w:szCs w:val="14"/>
              </w:rPr>
            </w:pPr>
            <w:r w:rsidRPr="00195B06">
              <w:rPr>
                <w:rFonts w:asciiTheme="minorHAnsi" w:hAnsiTheme="minorHAnsi" w:cstheme="minorHAnsi"/>
                <w:b/>
                <w:bCs/>
                <w:sz w:val="18"/>
                <w:szCs w:val="14"/>
              </w:rPr>
              <w:t>–</w:t>
            </w:r>
          </w:p>
        </w:tc>
        <w:tc>
          <w:tcPr>
            <w:tcW w:w="1218" w:type="dxa"/>
          </w:tcPr>
          <w:p w14:paraId="0FA4246D" w14:textId="77777777" w:rsidR="00B02873" w:rsidRPr="00F54AE3" w:rsidRDefault="00B02873" w:rsidP="001E4AE1">
            <w:pPr>
              <w:pStyle w:val="TablebodyleftFinancialsTables"/>
              <w:jc w:val="right"/>
              <w:rPr>
                <w:rFonts w:asciiTheme="minorHAnsi" w:hAnsiTheme="minorHAnsi" w:cstheme="minorHAnsi"/>
                <w:sz w:val="18"/>
                <w:szCs w:val="14"/>
              </w:rPr>
            </w:pPr>
            <w:r w:rsidRPr="00F54AE3">
              <w:rPr>
                <w:rFonts w:asciiTheme="minorHAnsi" w:hAnsiTheme="minorHAnsi" w:cstheme="minorHAnsi"/>
                <w:sz w:val="18"/>
                <w:szCs w:val="14"/>
              </w:rPr>
              <w:t>–</w:t>
            </w:r>
          </w:p>
        </w:tc>
      </w:tr>
      <w:tr w:rsidR="00B02873" w:rsidRPr="00F54AE3" w14:paraId="0C03B302" w14:textId="77777777" w:rsidTr="00195B06">
        <w:trPr>
          <w:trHeight w:val="60"/>
        </w:trPr>
        <w:tc>
          <w:tcPr>
            <w:tcW w:w="3789" w:type="dxa"/>
          </w:tcPr>
          <w:p w14:paraId="17A2655A" w14:textId="77777777" w:rsidR="00B02873" w:rsidRPr="00F54AE3" w:rsidRDefault="00B02873" w:rsidP="00F54AE3">
            <w:pPr>
              <w:pStyle w:val="TablebodyleftFinancialsTables"/>
              <w:rPr>
                <w:rFonts w:asciiTheme="minorHAnsi" w:hAnsiTheme="minorHAnsi" w:cstheme="minorHAnsi"/>
                <w:sz w:val="18"/>
                <w:szCs w:val="14"/>
              </w:rPr>
            </w:pPr>
            <w:r w:rsidRPr="00F54AE3">
              <w:rPr>
                <w:rFonts w:asciiTheme="minorHAnsi" w:hAnsiTheme="minorHAnsi" w:cstheme="minorHAnsi"/>
                <w:sz w:val="18"/>
                <w:szCs w:val="14"/>
              </w:rPr>
              <w:t>Environmental contribution</w:t>
            </w:r>
          </w:p>
        </w:tc>
        <w:tc>
          <w:tcPr>
            <w:tcW w:w="957" w:type="dxa"/>
          </w:tcPr>
          <w:p w14:paraId="4C16E7C4" w14:textId="77777777" w:rsidR="00B02873" w:rsidRPr="00195B06" w:rsidRDefault="00B02873" w:rsidP="001E4AE1">
            <w:pPr>
              <w:pStyle w:val="TablebodyleftFinancialsTables"/>
              <w:jc w:val="right"/>
              <w:rPr>
                <w:rFonts w:asciiTheme="minorHAnsi" w:hAnsiTheme="minorHAnsi" w:cstheme="minorHAnsi"/>
                <w:b/>
                <w:bCs/>
                <w:sz w:val="18"/>
                <w:szCs w:val="14"/>
              </w:rPr>
            </w:pPr>
            <w:r w:rsidRPr="00195B06">
              <w:rPr>
                <w:rFonts w:asciiTheme="minorHAnsi" w:hAnsiTheme="minorHAnsi" w:cstheme="minorHAnsi"/>
                <w:b/>
                <w:bCs/>
                <w:sz w:val="18"/>
                <w:szCs w:val="14"/>
              </w:rPr>
              <w:t>–</w:t>
            </w:r>
          </w:p>
        </w:tc>
        <w:tc>
          <w:tcPr>
            <w:tcW w:w="957" w:type="dxa"/>
          </w:tcPr>
          <w:p w14:paraId="25C61B47" w14:textId="77777777" w:rsidR="00B02873" w:rsidRPr="00F54AE3" w:rsidRDefault="00B02873" w:rsidP="001E4AE1">
            <w:pPr>
              <w:pStyle w:val="TablebodyleftFinancialsTables"/>
              <w:jc w:val="right"/>
              <w:rPr>
                <w:rFonts w:asciiTheme="minorHAnsi" w:hAnsiTheme="minorHAnsi" w:cstheme="minorHAnsi"/>
                <w:sz w:val="18"/>
                <w:szCs w:val="14"/>
              </w:rPr>
            </w:pPr>
            <w:r w:rsidRPr="00F54AE3">
              <w:rPr>
                <w:rFonts w:asciiTheme="minorHAnsi" w:hAnsiTheme="minorHAnsi" w:cstheme="minorHAnsi"/>
                <w:sz w:val="18"/>
                <w:szCs w:val="14"/>
              </w:rPr>
              <w:t>–</w:t>
            </w:r>
          </w:p>
        </w:tc>
        <w:tc>
          <w:tcPr>
            <w:tcW w:w="957" w:type="dxa"/>
          </w:tcPr>
          <w:p w14:paraId="3C113ACD" w14:textId="77777777" w:rsidR="00B02873" w:rsidRPr="00195B06" w:rsidRDefault="00B02873" w:rsidP="001E4AE1">
            <w:pPr>
              <w:pStyle w:val="TablebodyleftFinancialsTables"/>
              <w:jc w:val="right"/>
              <w:rPr>
                <w:rFonts w:asciiTheme="minorHAnsi" w:hAnsiTheme="minorHAnsi" w:cstheme="minorHAnsi"/>
                <w:b/>
                <w:bCs/>
                <w:sz w:val="18"/>
                <w:szCs w:val="14"/>
              </w:rPr>
            </w:pPr>
            <w:r w:rsidRPr="00195B06">
              <w:rPr>
                <w:rFonts w:asciiTheme="minorHAnsi" w:hAnsiTheme="minorHAnsi" w:cstheme="minorHAnsi"/>
                <w:b/>
                <w:bCs/>
                <w:sz w:val="18"/>
                <w:szCs w:val="14"/>
              </w:rPr>
              <w:t>–</w:t>
            </w:r>
          </w:p>
        </w:tc>
        <w:tc>
          <w:tcPr>
            <w:tcW w:w="958" w:type="dxa"/>
          </w:tcPr>
          <w:p w14:paraId="7C09934D" w14:textId="77777777" w:rsidR="00B02873" w:rsidRPr="00F54AE3" w:rsidRDefault="00B02873" w:rsidP="001E4AE1">
            <w:pPr>
              <w:pStyle w:val="TablebodyleftFinancialsTables"/>
              <w:jc w:val="right"/>
              <w:rPr>
                <w:rFonts w:asciiTheme="minorHAnsi" w:hAnsiTheme="minorHAnsi" w:cstheme="minorHAnsi"/>
                <w:sz w:val="18"/>
                <w:szCs w:val="14"/>
              </w:rPr>
            </w:pPr>
            <w:r w:rsidRPr="00F54AE3">
              <w:rPr>
                <w:rFonts w:asciiTheme="minorHAnsi" w:hAnsiTheme="minorHAnsi" w:cstheme="minorHAnsi"/>
                <w:sz w:val="18"/>
                <w:szCs w:val="14"/>
              </w:rPr>
              <w:t>–</w:t>
            </w:r>
          </w:p>
        </w:tc>
        <w:tc>
          <w:tcPr>
            <w:tcW w:w="1217" w:type="dxa"/>
          </w:tcPr>
          <w:p w14:paraId="1664E018" w14:textId="77777777" w:rsidR="00B02873" w:rsidRPr="00195B06" w:rsidRDefault="00B02873" w:rsidP="001E4AE1">
            <w:pPr>
              <w:pStyle w:val="TablebodyleftFinancialsTables"/>
              <w:jc w:val="right"/>
              <w:rPr>
                <w:rFonts w:asciiTheme="minorHAnsi" w:hAnsiTheme="minorHAnsi" w:cstheme="minorHAnsi"/>
                <w:b/>
                <w:bCs/>
                <w:sz w:val="18"/>
                <w:szCs w:val="14"/>
              </w:rPr>
            </w:pPr>
            <w:r w:rsidRPr="00195B06">
              <w:rPr>
                <w:rFonts w:asciiTheme="minorHAnsi" w:hAnsiTheme="minorHAnsi" w:cstheme="minorHAnsi"/>
                <w:b/>
                <w:bCs/>
                <w:sz w:val="18"/>
                <w:szCs w:val="14"/>
              </w:rPr>
              <w:t>–</w:t>
            </w:r>
          </w:p>
        </w:tc>
        <w:tc>
          <w:tcPr>
            <w:tcW w:w="1218" w:type="dxa"/>
          </w:tcPr>
          <w:p w14:paraId="36F5BA95" w14:textId="77777777" w:rsidR="00B02873" w:rsidRPr="00F54AE3" w:rsidRDefault="00B02873" w:rsidP="001E4AE1">
            <w:pPr>
              <w:pStyle w:val="TablebodyleftFinancialsTables"/>
              <w:jc w:val="right"/>
              <w:rPr>
                <w:rFonts w:asciiTheme="minorHAnsi" w:hAnsiTheme="minorHAnsi" w:cstheme="minorHAnsi"/>
                <w:sz w:val="18"/>
                <w:szCs w:val="14"/>
              </w:rPr>
            </w:pPr>
            <w:r w:rsidRPr="00F54AE3">
              <w:rPr>
                <w:rFonts w:asciiTheme="minorHAnsi" w:hAnsiTheme="minorHAnsi" w:cstheme="minorHAnsi"/>
                <w:sz w:val="18"/>
                <w:szCs w:val="14"/>
              </w:rPr>
              <w:t>–</w:t>
            </w:r>
          </w:p>
        </w:tc>
      </w:tr>
      <w:tr w:rsidR="00B02873" w:rsidRPr="00F54AE3" w14:paraId="74D0745E" w14:textId="77777777" w:rsidTr="00195B06">
        <w:trPr>
          <w:trHeight w:val="60"/>
        </w:trPr>
        <w:tc>
          <w:tcPr>
            <w:tcW w:w="3789" w:type="dxa"/>
          </w:tcPr>
          <w:p w14:paraId="04F71525" w14:textId="77777777" w:rsidR="00B02873" w:rsidRPr="00F54AE3" w:rsidRDefault="00B02873" w:rsidP="00F54AE3">
            <w:pPr>
              <w:pStyle w:val="TablebodyleftFinancialsTables"/>
              <w:rPr>
                <w:rFonts w:asciiTheme="minorHAnsi" w:hAnsiTheme="minorHAnsi" w:cstheme="minorHAnsi"/>
                <w:sz w:val="18"/>
                <w:szCs w:val="14"/>
              </w:rPr>
            </w:pPr>
            <w:r w:rsidRPr="00F54AE3">
              <w:rPr>
                <w:rFonts w:asciiTheme="minorHAnsi" w:hAnsiTheme="minorHAnsi" w:cstheme="minorHAnsi"/>
                <w:sz w:val="18"/>
                <w:szCs w:val="14"/>
              </w:rPr>
              <w:t>Grants</w:t>
            </w:r>
          </w:p>
        </w:tc>
        <w:tc>
          <w:tcPr>
            <w:tcW w:w="957" w:type="dxa"/>
          </w:tcPr>
          <w:p w14:paraId="15F2CF83" w14:textId="77777777" w:rsidR="00B02873" w:rsidRPr="00195B06" w:rsidRDefault="00B02873" w:rsidP="001E4AE1">
            <w:pPr>
              <w:pStyle w:val="TablebodyleftFinancialsTables"/>
              <w:jc w:val="right"/>
              <w:rPr>
                <w:rFonts w:asciiTheme="minorHAnsi" w:hAnsiTheme="minorHAnsi" w:cstheme="minorHAnsi"/>
                <w:b/>
                <w:bCs/>
                <w:sz w:val="18"/>
                <w:szCs w:val="14"/>
              </w:rPr>
            </w:pPr>
            <w:r w:rsidRPr="00195B06">
              <w:rPr>
                <w:rFonts w:asciiTheme="minorHAnsi" w:hAnsiTheme="minorHAnsi" w:cstheme="minorHAnsi"/>
                <w:b/>
                <w:bCs/>
                <w:sz w:val="18"/>
                <w:szCs w:val="14"/>
              </w:rPr>
              <w:t>–</w:t>
            </w:r>
          </w:p>
        </w:tc>
        <w:tc>
          <w:tcPr>
            <w:tcW w:w="957" w:type="dxa"/>
          </w:tcPr>
          <w:p w14:paraId="1F0F885E" w14:textId="77777777" w:rsidR="00B02873" w:rsidRPr="00F54AE3" w:rsidRDefault="00B02873" w:rsidP="001E4AE1">
            <w:pPr>
              <w:pStyle w:val="TablebodyleftFinancialsTables"/>
              <w:jc w:val="right"/>
              <w:rPr>
                <w:rFonts w:asciiTheme="minorHAnsi" w:hAnsiTheme="minorHAnsi" w:cstheme="minorHAnsi"/>
                <w:sz w:val="18"/>
                <w:szCs w:val="14"/>
              </w:rPr>
            </w:pPr>
            <w:r w:rsidRPr="00F54AE3">
              <w:rPr>
                <w:rFonts w:asciiTheme="minorHAnsi" w:hAnsiTheme="minorHAnsi" w:cstheme="minorHAnsi"/>
                <w:sz w:val="18"/>
                <w:szCs w:val="14"/>
              </w:rPr>
              <w:t>–</w:t>
            </w:r>
          </w:p>
        </w:tc>
        <w:tc>
          <w:tcPr>
            <w:tcW w:w="957" w:type="dxa"/>
          </w:tcPr>
          <w:p w14:paraId="31EF4555" w14:textId="77777777" w:rsidR="00B02873" w:rsidRPr="00195B06" w:rsidRDefault="00B02873" w:rsidP="001E4AE1">
            <w:pPr>
              <w:pStyle w:val="TablebodyleftFinancialsTables"/>
              <w:jc w:val="right"/>
              <w:rPr>
                <w:rFonts w:asciiTheme="minorHAnsi" w:hAnsiTheme="minorHAnsi" w:cstheme="minorHAnsi"/>
                <w:b/>
                <w:bCs/>
                <w:sz w:val="18"/>
                <w:szCs w:val="14"/>
              </w:rPr>
            </w:pPr>
            <w:r w:rsidRPr="00195B06">
              <w:rPr>
                <w:rFonts w:asciiTheme="minorHAnsi" w:hAnsiTheme="minorHAnsi" w:cstheme="minorHAnsi"/>
                <w:b/>
                <w:bCs/>
                <w:sz w:val="18"/>
                <w:szCs w:val="14"/>
              </w:rPr>
              <w:t>–</w:t>
            </w:r>
          </w:p>
        </w:tc>
        <w:tc>
          <w:tcPr>
            <w:tcW w:w="958" w:type="dxa"/>
          </w:tcPr>
          <w:p w14:paraId="434396C9" w14:textId="77777777" w:rsidR="00B02873" w:rsidRPr="00F54AE3" w:rsidRDefault="00B02873" w:rsidP="001E4AE1">
            <w:pPr>
              <w:pStyle w:val="TablebodyleftFinancialsTables"/>
              <w:jc w:val="right"/>
              <w:rPr>
                <w:rFonts w:asciiTheme="minorHAnsi" w:hAnsiTheme="minorHAnsi" w:cstheme="minorHAnsi"/>
                <w:sz w:val="18"/>
                <w:szCs w:val="14"/>
              </w:rPr>
            </w:pPr>
            <w:r w:rsidRPr="00F54AE3">
              <w:rPr>
                <w:rFonts w:asciiTheme="minorHAnsi" w:hAnsiTheme="minorHAnsi" w:cstheme="minorHAnsi"/>
                <w:sz w:val="18"/>
                <w:szCs w:val="14"/>
              </w:rPr>
              <w:t>–</w:t>
            </w:r>
          </w:p>
        </w:tc>
        <w:tc>
          <w:tcPr>
            <w:tcW w:w="1217" w:type="dxa"/>
          </w:tcPr>
          <w:p w14:paraId="12FC6CBF" w14:textId="77777777" w:rsidR="00B02873" w:rsidRPr="00195B06" w:rsidRDefault="00B02873" w:rsidP="001E4AE1">
            <w:pPr>
              <w:pStyle w:val="TablebodyleftFinancialsTables"/>
              <w:jc w:val="right"/>
              <w:rPr>
                <w:rFonts w:asciiTheme="minorHAnsi" w:hAnsiTheme="minorHAnsi" w:cstheme="minorHAnsi"/>
                <w:b/>
                <w:bCs/>
                <w:sz w:val="18"/>
                <w:szCs w:val="14"/>
              </w:rPr>
            </w:pPr>
            <w:r w:rsidRPr="00195B06">
              <w:rPr>
                <w:rFonts w:asciiTheme="minorHAnsi" w:hAnsiTheme="minorHAnsi" w:cstheme="minorHAnsi"/>
                <w:b/>
                <w:bCs/>
                <w:sz w:val="18"/>
                <w:szCs w:val="14"/>
              </w:rPr>
              <w:t>–</w:t>
            </w:r>
          </w:p>
        </w:tc>
        <w:tc>
          <w:tcPr>
            <w:tcW w:w="1218" w:type="dxa"/>
          </w:tcPr>
          <w:p w14:paraId="78E4990D" w14:textId="77777777" w:rsidR="00B02873" w:rsidRPr="00F54AE3" w:rsidRDefault="00B02873" w:rsidP="001E4AE1">
            <w:pPr>
              <w:pStyle w:val="TablebodyleftFinancialsTables"/>
              <w:jc w:val="right"/>
              <w:rPr>
                <w:rFonts w:asciiTheme="minorHAnsi" w:hAnsiTheme="minorHAnsi" w:cstheme="minorHAnsi"/>
                <w:sz w:val="18"/>
                <w:szCs w:val="14"/>
              </w:rPr>
            </w:pPr>
            <w:r w:rsidRPr="00F54AE3">
              <w:rPr>
                <w:rFonts w:asciiTheme="minorHAnsi" w:hAnsiTheme="minorHAnsi" w:cstheme="minorHAnsi"/>
                <w:sz w:val="18"/>
                <w:szCs w:val="14"/>
              </w:rPr>
              <w:t>–</w:t>
            </w:r>
          </w:p>
        </w:tc>
      </w:tr>
      <w:tr w:rsidR="00B02873" w:rsidRPr="00F54AE3" w14:paraId="4F294C26" w14:textId="77777777" w:rsidTr="00195B06">
        <w:trPr>
          <w:trHeight w:val="60"/>
        </w:trPr>
        <w:tc>
          <w:tcPr>
            <w:tcW w:w="3789" w:type="dxa"/>
          </w:tcPr>
          <w:p w14:paraId="7C0D22AC" w14:textId="77777777" w:rsidR="00B02873" w:rsidRPr="00F54AE3" w:rsidRDefault="00B02873" w:rsidP="00F54AE3">
            <w:pPr>
              <w:pStyle w:val="TablebodyleftFinancialsTables"/>
              <w:rPr>
                <w:rFonts w:asciiTheme="minorHAnsi" w:hAnsiTheme="minorHAnsi" w:cstheme="minorHAnsi"/>
                <w:sz w:val="18"/>
                <w:szCs w:val="14"/>
              </w:rPr>
            </w:pPr>
            <w:r w:rsidRPr="00F54AE3">
              <w:rPr>
                <w:rFonts w:asciiTheme="minorHAnsi" w:hAnsiTheme="minorHAnsi" w:cstheme="minorHAnsi"/>
                <w:sz w:val="18"/>
                <w:szCs w:val="14"/>
              </w:rPr>
              <w:t>Jointly controlled assets received free of charge (Note 4.2.3)</w:t>
            </w:r>
          </w:p>
        </w:tc>
        <w:tc>
          <w:tcPr>
            <w:tcW w:w="957" w:type="dxa"/>
          </w:tcPr>
          <w:p w14:paraId="1EF80950" w14:textId="77777777" w:rsidR="00B02873" w:rsidRPr="00195B06" w:rsidRDefault="00B02873" w:rsidP="001E4AE1">
            <w:pPr>
              <w:pStyle w:val="TablebodyleftFinancialsTables"/>
              <w:jc w:val="right"/>
              <w:rPr>
                <w:rFonts w:asciiTheme="minorHAnsi" w:hAnsiTheme="minorHAnsi" w:cstheme="minorHAnsi"/>
                <w:b/>
                <w:bCs/>
                <w:sz w:val="18"/>
                <w:szCs w:val="14"/>
              </w:rPr>
            </w:pPr>
            <w:r w:rsidRPr="00195B06">
              <w:rPr>
                <w:rFonts w:asciiTheme="minorHAnsi" w:hAnsiTheme="minorHAnsi" w:cstheme="minorHAnsi"/>
                <w:b/>
                <w:bCs/>
                <w:sz w:val="18"/>
                <w:szCs w:val="14"/>
              </w:rPr>
              <w:t>–</w:t>
            </w:r>
          </w:p>
        </w:tc>
        <w:tc>
          <w:tcPr>
            <w:tcW w:w="957" w:type="dxa"/>
          </w:tcPr>
          <w:p w14:paraId="2C89FA09" w14:textId="77777777" w:rsidR="00B02873" w:rsidRPr="00F54AE3" w:rsidRDefault="00B02873" w:rsidP="001E4AE1">
            <w:pPr>
              <w:pStyle w:val="TablebodyleftFinancialsTables"/>
              <w:jc w:val="right"/>
              <w:rPr>
                <w:rFonts w:asciiTheme="minorHAnsi" w:hAnsiTheme="minorHAnsi" w:cstheme="minorHAnsi"/>
                <w:sz w:val="18"/>
                <w:szCs w:val="14"/>
              </w:rPr>
            </w:pPr>
            <w:r w:rsidRPr="00F54AE3">
              <w:rPr>
                <w:rFonts w:asciiTheme="minorHAnsi" w:hAnsiTheme="minorHAnsi" w:cstheme="minorHAnsi"/>
                <w:sz w:val="18"/>
                <w:szCs w:val="14"/>
              </w:rPr>
              <w:t>–</w:t>
            </w:r>
          </w:p>
        </w:tc>
        <w:tc>
          <w:tcPr>
            <w:tcW w:w="957" w:type="dxa"/>
          </w:tcPr>
          <w:p w14:paraId="4449F90C" w14:textId="77777777" w:rsidR="00B02873" w:rsidRPr="00195B06" w:rsidRDefault="00B02873" w:rsidP="001E4AE1">
            <w:pPr>
              <w:pStyle w:val="TablebodyleftFinancialsTables"/>
              <w:jc w:val="right"/>
              <w:rPr>
                <w:rFonts w:asciiTheme="minorHAnsi" w:hAnsiTheme="minorHAnsi" w:cstheme="minorHAnsi"/>
                <w:b/>
                <w:bCs/>
                <w:sz w:val="18"/>
                <w:szCs w:val="14"/>
              </w:rPr>
            </w:pPr>
            <w:r w:rsidRPr="00195B06">
              <w:rPr>
                <w:rFonts w:asciiTheme="minorHAnsi" w:hAnsiTheme="minorHAnsi" w:cstheme="minorHAnsi"/>
                <w:b/>
                <w:bCs/>
                <w:sz w:val="18"/>
                <w:szCs w:val="14"/>
              </w:rPr>
              <w:t>–</w:t>
            </w:r>
          </w:p>
        </w:tc>
        <w:tc>
          <w:tcPr>
            <w:tcW w:w="958" w:type="dxa"/>
          </w:tcPr>
          <w:p w14:paraId="64E409AA" w14:textId="77777777" w:rsidR="00B02873" w:rsidRPr="00F54AE3" w:rsidRDefault="00B02873" w:rsidP="001E4AE1">
            <w:pPr>
              <w:pStyle w:val="TablebodyleftFinancialsTables"/>
              <w:jc w:val="right"/>
              <w:rPr>
                <w:rFonts w:asciiTheme="minorHAnsi" w:hAnsiTheme="minorHAnsi" w:cstheme="minorHAnsi"/>
                <w:sz w:val="18"/>
                <w:szCs w:val="14"/>
              </w:rPr>
            </w:pPr>
            <w:r w:rsidRPr="00F54AE3">
              <w:rPr>
                <w:rFonts w:asciiTheme="minorHAnsi" w:hAnsiTheme="minorHAnsi" w:cstheme="minorHAnsi"/>
                <w:sz w:val="18"/>
                <w:szCs w:val="14"/>
              </w:rPr>
              <w:t>–</w:t>
            </w:r>
          </w:p>
        </w:tc>
        <w:tc>
          <w:tcPr>
            <w:tcW w:w="1217" w:type="dxa"/>
          </w:tcPr>
          <w:p w14:paraId="1B53A377" w14:textId="77777777" w:rsidR="00B02873" w:rsidRPr="00195B06" w:rsidRDefault="00B02873" w:rsidP="001E4AE1">
            <w:pPr>
              <w:pStyle w:val="TablebodyleftFinancialsTables"/>
              <w:jc w:val="right"/>
              <w:rPr>
                <w:rFonts w:asciiTheme="minorHAnsi" w:hAnsiTheme="minorHAnsi" w:cstheme="minorHAnsi"/>
                <w:b/>
                <w:bCs/>
                <w:sz w:val="18"/>
                <w:szCs w:val="14"/>
              </w:rPr>
            </w:pPr>
            <w:r w:rsidRPr="00195B06">
              <w:rPr>
                <w:rFonts w:asciiTheme="minorHAnsi" w:hAnsiTheme="minorHAnsi" w:cstheme="minorHAnsi"/>
                <w:b/>
                <w:bCs/>
                <w:sz w:val="18"/>
                <w:szCs w:val="14"/>
              </w:rPr>
              <w:t>–</w:t>
            </w:r>
          </w:p>
        </w:tc>
        <w:tc>
          <w:tcPr>
            <w:tcW w:w="1218" w:type="dxa"/>
          </w:tcPr>
          <w:p w14:paraId="72B2C480" w14:textId="77777777" w:rsidR="00B02873" w:rsidRPr="00F54AE3" w:rsidRDefault="00B02873" w:rsidP="001E4AE1">
            <w:pPr>
              <w:pStyle w:val="TablebodyleftFinancialsTables"/>
              <w:jc w:val="right"/>
              <w:rPr>
                <w:rFonts w:asciiTheme="minorHAnsi" w:hAnsiTheme="minorHAnsi" w:cstheme="minorHAnsi"/>
                <w:sz w:val="18"/>
                <w:szCs w:val="14"/>
              </w:rPr>
            </w:pPr>
            <w:r w:rsidRPr="00F54AE3">
              <w:rPr>
                <w:rFonts w:asciiTheme="minorHAnsi" w:hAnsiTheme="minorHAnsi" w:cstheme="minorHAnsi"/>
                <w:sz w:val="18"/>
                <w:szCs w:val="14"/>
              </w:rPr>
              <w:t>–</w:t>
            </w:r>
          </w:p>
        </w:tc>
      </w:tr>
      <w:tr w:rsidR="00B02873" w:rsidRPr="00F54AE3" w14:paraId="4738068C" w14:textId="77777777" w:rsidTr="00195B06">
        <w:trPr>
          <w:trHeight w:val="60"/>
        </w:trPr>
        <w:tc>
          <w:tcPr>
            <w:tcW w:w="3789" w:type="dxa"/>
          </w:tcPr>
          <w:p w14:paraId="7E5B2C23" w14:textId="77777777" w:rsidR="00B02873" w:rsidRPr="00F54AE3" w:rsidRDefault="00B02873" w:rsidP="00F54AE3">
            <w:pPr>
              <w:pStyle w:val="TablebodyleftFinancialsTables"/>
              <w:rPr>
                <w:rFonts w:asciiTheme="minorHAnsi" w:hAnsiTheme="minorHAnsi" w:cstheme="minorHAnsi"/>
                <w:sz w:val="18"/>
                <w:szCs w:val="14"/>
              </w:rPr>
            </w:pPr>
            <w:r w:rsidRPr="00F54AE3">
              <w:rPr>
                <w:rFonts w:asciiTheme="minorHAnsi" w:hAnsiTheme="minorHAnsi" w:cstheme="minorHAnsi"/>
                <w:sz w:val="18"/>
                <w:szCs w:val="14"/>
              </w:rPr>
              <w:t>Other income and loan repayments transferred from the controlled entity</w:t>
            </w:r>
            <w:r w:rsidRPr="00F54AE3">
              <w:rPr>
                <w:rFonts w:asciiTheme="minorHAnsi" w:hAnsiTheme="minorHAnsi" w:cstheme="minorHAnsi"/>
                <w:sz w:val="18"/>
                <w:szCs w:val="14"/>
                <w:vertAlign w:val="superscript"/>
              </w:rPr>
              <w:t>(i)</w:t>
            </w:r>
          </w:p>
        </w:tc>
        <w:tc>
          <w:tcPr>
            <w:tcW w:w="957" w:type="dxa"/>
          </w:tcPr>
          <w:p w14:paraId="0AB92EDB" w14:textId="77777777" w:rsidR="00B02873" w:rsidRPr="00195B06" w:rsidRDefault="00B02873" w:rsidP="001E4AE1">
            <w:pPr>
              <w:pStyle w:val="TablebodyleftFinancialsTables"/>
              <w:jc w:val="right"/>
              <w:rPr>
                <w:rFonts w:asciiTheme="minorHAnsi" w:hAnsiTheme="minorHAnsi" w:cstheme="minorHAnsi"/>
                <w:b/>
                <w:bCs/>
                <w:sz w:val="18"/>
                <w:szCs w:val="14"/>
              </w:rPr>
            </w:pPr>
            <w:r w:rsidRPr="00195B06">
              <w:rPr>
                <w:rFonts w:asciiTheme="minorHAnsi" w:hAnsiTheme="minorHAnsi" w:cstheme="minorHAnsi"/>
                <w:b/>
                <w:bCs/>
                <w:sz w:val="18"/>
                <w:szCs w:val="14"/>
              </w:rPr>
              <w:t>74,266</w:t>
            </w:r>
          </w:p>
        </w:tc>
        <w:tc>
          <w:tcPr>
            <w:tcW w:w="957" w:type="dxa"/>
          </w:tcPr>
          <w:p w14:paraId="7D475003" w14:textId="77777777" w:rsidR="00B02873" w:rsidRPr="00F54AE3" w:rsidRDefault="00B02873" w:rsidP="001E4AE1">
            <w:pPr>
              <w:pStyle w:val="TablebodyleftFinancialsTables"/>
              <w:jc w:val="right"/>
              <w:rPr>
                <w:rFonts w:asciiTheme="minorHAnsi" w:hAnsiTheme="minorHAnsi" w:cstheme="minorHAnsi"/>
                <w:sz w:val="18"/>
                <w:szCs w:val="14"/>
              </w:rPr>
            </w:pPr>
            <w:r w:rsidRPr="00F54AE3">
              <w:rPr>
                <w:rFonts w:asciiTheme="minorHAnsi" w:hAnsiTheme="minorHAnsi" w:cstheme="minorHAnsi"/>
                <w:sz w:val="18"/>
                <w:szCs w:val="14"/>
              </w:rPr>
              <w:t xml:space="preserve"> 158</w:t>
            </w:r>
          </w:p>
        </w:tc>
        <w:tc>
          <w:tcPr>
            <w:tcW w:w="957" w:type="dxa"/>
          </w:tcPr>
          <w:p w14:paraId="33D575BB" w14:textId="77777777" w:rsidR="00B02873" w:rsidRPr="00195B06" w:rsidRDefault="00B02873" w:rsidP="001E4AE1">
            <w:pPr>
              <w:pStyle w:val="TablebodyleftFinancialsTables"/>
              <w:jc w:val="right"/>
              <w:rPr>
                <w:rFonts w:asciiTheme="minorHAnsi" w:hAnsiTheme="minorHAnsi" w:cstheme="minorHAnsi"/>
                <w:b/>
                <w:bCs/>
                <w:sz w:val="18"/>
                <w:szCs w:val="14"/>
              </w:rPr>
            </w:pPr>
            <w:r w:rsidRPr="00195B06">
              <w:rPr>
                <w:rFonts w:asciiTheme="minorHAnsi" w:hAnsiTheme="minorHAnsi" w:cstheme="minorHAnsi"/>
                <w:b/>
                <w:bCs/>
                <w:sz w:val="18"/>
                <w:szCs w:val="14"/>
              </w:rPr>
              <w:t>8</w:t>
            </w:r>
          </w:p>
        </w:tc>
        <w:tc>
          <w:tcPr>
            <w:tcW w:w="958" w:type="dxa"/>
          </w:tcPr>
          <w:p w14:paraId="1F125D7A" w14:textId="77777777" w:rsidR="00B02873" w:rsidRPr="00F54AE3" w:rsidRDefault="00B02873" w:rsidP="001E4AE1">
            <w:pPr>
              <w:pStyle w:val="TablebodyleftFinancialsTables"/>
              <w:jc w:val="right"/>
              <w:rPr>
                <w:rFonts w:asciiTheme="minorHAnsi" w:hAnsiTheme="minorHAnsi" w:cstheme="minorHAnsi"/>
                <w:sz w:val="18"/>
                <w:szCs w:val="14"/>
              </w:rPr>
            </w:pPr>
            <w:r w:rsidRPr="00F54AE3">
              <w:rPr>
                <w:rFonts w:asciiTheme="minorHAnsi" w:hAnsiTheme="minorHAnsi" w:cstheme="minorHAnsi"/>
                <w:sz w:val="18"/>
                <w:szCs w:val="14"/>
              </w:rPr>
              <w:t xml:space="preserve"> 47</w:t>
            </w:r>
          </w:p>
        </w:tc>
        <w:tc>
          <w:tcPr>
            <w:tcW w:w="1217" w:type="dxa"/>
          </w:tcPr>
          <w:p w14:paraId="1E98E34B" w14:textId="77777777" w:rsidR="00B02873" w:rsidRPr="00195B06" w:rsidRDefault="00B02873" w:rsidP="001E4AE1">
            <w:pPr>
              <w:pStyle w:val="TablebodyleftFinancialsTables"/>
              <w:jc w:val="right"/>
              <w:rPr>
                <w:rFonts w:asciiTheme="minorHAnsi" w:hAnsiTheme="minorHAnsi" w:cstheme="minorHAnsi"/>
                <w:b/>
                <w:bCs/>
                <w:sz w:val="18"/>
                <w:szCs w:val="14"/>
              </w:rPr>
            </w:pPr>
            <w:r w:rsidRPr="00195B06">
              <w:rPr>
                <w:rFonts w:asciiTheme="minorHAnsi" w:hAnsiTheme="minorHAnsi" w:cstheme="minorHAnsi"/>
                <w:b/>
                <w:bCs/>
                <w:sz w:val="18"/>
                <w:szCs w:val="14"/>
              </w:rPr>
              <w:t>33</w:t>
            </w:r>
          </w:p>
        </w:tc>
        <w:tc>
          <w:tcPr>
            <w:tcW w:w="1218" w:type="dxa"/>
          </w:tcPr>
          <w:p w14:paraId="6A548325" w14:textId="2036FFFC" w:rsidR="00B02873" w:rsidRPr="00F54AE3" w:rsidRDefault="00012C04" w:rsidP="001E4AE1">
            <w:pPr>
              <w:pStyle w:val="TablebodyleftFinancialsTables"/>
              <w:jc w:val="right"/>
              <w:rPr>
                <w:rFonts w:asciiTheme="minorHAnsi" w:hAnsiTheme="minorHAnsi" w:cstheme="minorHAnsi"/>
                <w:sz w:val="18"/>
                <w:szCs w:val="14"/>
              </w:rPr>
            </w:pPr>
            <w:r w:rsidRPr="00F54AE3">
              <w:rPr>
                <w:rFonts w:asciiTheme="minorHAnsi" w:hAnsiTheme="minorHAnsi" w:cstheme="minorHAnsi"/>
                <w:sz w:val="18"/>
                <w:szCs w:val="14"/>
              </w:rPr>
              <w:t xml:space="preserve"> </w:t>
            </w:r>
            <w:r w:rsidR="00B02873" w:rsidRPr="00F54AE3">
              <w:rPr>
                <w:rFonts w:asciiTheme="minorHAnsi" w:hAnsiTheme="minorHAnsi" w:cstheme="minorHAnsi"/>
                <w:sz w:val="18"/>
                <w:szCs w:val="14"/>
              </w:rPr>
              <w:t>285</w:t>
            </w:r>
          </w:p>
        </w:tc>
      </w:tr>
      <w:tr w:rsidR="00B02873" w:rsidRPr="00F54AE3" w14:paraId="6BDC2815" w14:textId="77777777" w:rsidTr="00195B06">
        <w:trPr>
          <w:trHeight w:val="60"/>
        </w:trPr>
        <w:tc>
          <w:tcPr>
            <w:tcW w:w="3789" w:type="dxa"/>
          </w:tcPr>
          <w:p w14:paraId="4B5FF61C" w14:textId="77777777" w:rsidR="00B02873" w:rsidRPr="00195B06" w:rsidRDefault="00B02873" w:rsidP="00F54AE3">
            <w:pPr>
              <w:pStyle w:val="TablebodyleftFinancialsTables"/>
              <w:rPr>
                <w:rFonts w:asciiTheme="minorHAnsi" w:hAnsiTheme="minorHAnsi" w:cstheme="minorHAnsi"/>
                <w:b/>
                <w:bCs/>
                <w:sz w:val="18"/>
                <w:szCs w:val="14"/>
              </w:rPr>
            </w:pPr>
            <w:r w:rsidRPr="00195B06">
              <w:rPr>
                <w:rFonts w:asciiTheme="minorHAnsi" w:hAnsiTheme="minorHAnsi" w:cstheme="minorHAnsi"/>
                <w:b/>
                <w:bCs/>
                <w:sz w:val="18"/>
                <w:szCs w:val="14"/>
              </w:rPr>
              <w:t>Total administered revenue and income from transactions</w:t>
            </w:r>
          </w:p>
        </w:tc>
        <w:tc>
          <w:tcPr>
            <w:tcW w:w="957" w:type="dxa"/>
          </w:tcPr>
          <w:p w14:paraId="3B71746D" w14:textId="77777777" w:rsidR="00B02873" w:rsidRPr="00195B06" w:rsidRDefault="00B02873" w:rsidP="001E4AE1">
            <w:pPr>
              <w:pStyle w:val="TablebodyleftFinancialsTables"/>
              <w:jc w:val="right"/>
              <w:rPr>
                <w:rFonts w:asciiTheme="minorHAnsi" w:hAnsiTheme="minorHAnsi" w:cstheme="minorHAnsi"/>
                <w:b/>
                <w:bCs/>
                <w:sz w:val="18"/>
                <w:szCs w:val="14"/>
              </w:rPr>
            </w:pPr>
            <w:r w:rsidRPr="00195B06">
              <w:rPr>
                <w:rFonts w:asciiTheme="minorHAnsi" w:hAnsiTheme="minorHAnsi" w:cstheme="minorHAnsi"/>
                <w:b/>
                <w:bCs/>
                <w:sz w:val="18"/>
                <w:szCs w:val="14"/>
              </w:rPr>
              <w:t>74,267</w:t>
            </w:r>
          </w:p>
        </w:tc>
        <w:tc>
          <w:tcPr>
            <w:tcW w:w="957" w:type="dxa"/>
          </w:tcPr>
          <w:p w14:paraId="0A8C54CA" w14:textId="77777777" w:rsidR="00B02873" w:rsidRPr="00F54AE3" w:rsidRDefault="00B02873" w:rsidP="001E4AE1">
            <w:pPr>
              <w:pStyle w:val="TablebodyleftFinancialsTables"/>
              <w:jc w:val="right"/>
              <w:rPr>
                <w:rFonts w:asciiTheme="minorHAnsi" w:hAnsiTheme="minorHAnsi" w:cstheme="minorHAnsi"/>
                <w:sz w:val="18"/>
                <w:szCs w:val="14"/>
              </w:rPr>
            </w:pPr>
            <w:r w:rsidRPr="00F54AE3">
              <w:rPr>
                <w:rFonts w:asciiTheme="minorHAnsi" w:hAnsiTheme="minorHAnsi" w:cstheme="minorHAnsi"/>
                <w:sz w:val="18"/>
                <w:szCs w:val="14"/>
              </w:rPr>
              <w:t xml:space="preserve"> 159</w:t>
            </w:r>
          </w:p>
        </w:tc>
        <w:tc>
          <w:tcPr>
            <w:tcW w:w="957" w:type="dxa"/>
          </w:tcPr>
          <w:p w14:paraId="449D7F08" w14:textId="77777777" w:rsidR="00B02873" w:rsidRPr="00195B06" w:rsidRDefault="00B02873" w:rsidP="001E4AE1">
            <w:pPr>
              <w:pStyle w:val="TablebodyleftFinancialsTables"/>
              <w:jc w:val="right"/>
              <w:rPr>
                <w:rFonts w:asciiTheme="minorHAnsi" w:hAnsiTheme="minorHAnsi" w:cstheme="minorHAnsi"/>
                <w:b/>
                <w:bCs/>
                <w:sz w:val="18"/>
                <w:szCs w:val="14"/>
              </w:rPr>
            </w:pPr>
            <w:r w:rsidRPr="00195B06">
              <w:rPr>
                <w:rFonts w:asciiTheme="minorHAnsi" w:hAnsiTheme="minorHAnsi" w:cstheme="minorHAnsi"/>
                <w:b/>
                <w:bCs/>
                <w:sz w:val="18"/>
                <w:szCs w:val="14"/>
              </w:rPr>
              <w:t>8</w:t>
            </w:r>
          </w:p>
        </w:tc>
        <w:tc>
          <w:tcPr>
            <w:tcW w:w="958" w:type="dxa"/>
          </w:tcPr>
          <w:p w14:paraId="691F31D7" w14:textId="77777777" w:rsidR="00B02873" w:rsidRPr="00F54AE3" w:rsidRDefault="00B02873" w:rsidP="001E4AE1">
            <w:pPr>
              <w:pStyle w:val="TablebodyleftFinancialsTables"/>
              <w:jc w:val="right"/>
              <w:rPr>
                <w:rFonts w:asciiTheme="minorHAnsi" w:hAnsiTheme="minorHAnsi" w:cstheme="minorHAnsi"/>
                <w:sz w:val="18"/>
                <w:szCs w:val="14"/>
              </w:rPr>
            </w:pPr>
            <w:r w:rsidRPr="00F54AE3">
              <w:rPr>
                <w:rFonts w:asciiTheme="minorHAnsi" w:hAnsiTheme="minorHAnsi" w:cstheme="minorHAnsi"/>
                <w:sz w:val="18"/>
                <w:szCs w:val="14"/>
              </w:rPr>
              <w:t xml:space="preserve"> 47</w:t>
            </w:r>
          </w:p>
        </w:tc>
        <w:tc>
          <w:tcPr>
            <w:tcW w:w="1217" w:type="dxa"/>
          </w:tcPr>
          <w:p w14:paraId="6CC8006F" w14:textId="77777777" w:rsidR="00B02873" w:rsidRPr="00195B06" w:rsidRDefault="00B02873" w:rsidP="001E4AE1">
            <w:pPr>
              <w:pStyle w:val="TablebodyleftFinancialsTables"/>
              <w:jc w:val="right"/>
              <w:rPr>
                <w:rFonts w:asciiTheme="minorHAnsi" w:hAnsiTheme="minorHAnsi" w:cstheme="minorHAnsi"/>
                <w:b/>
                <w:bCs/>
                <w:sz w:val="18"/>
                <w:szCs w:val="14"/>
              </w:rPr>
            </w:pPr>
            <w:r w:rsidRPr="00195B06">
              <w:rPr>
                <w:rFonts w:asciiTheme="minorHAnsi" w:hAnsiTheme="minorHAnsi" w:cstheme="minorHAnsi"/>
                <w:b/>
                <w:bCs/>
                <w:sz w:val="18"/>
                <w:szCs w:val="14"/>
              </w:rPr>
              <w:t>103</w:t>
            </w:r>
          </w:p>
        </w:tc>
        <w:tc>
          <w:tcPr>
            <w:tcW w:w="1218" w:type="dxa"/>
          </w:tcPr>
          <w:p w14:paraId="4FC5A1C7" w14:textId="77777777" w:rsidR="00B02873" w:rsidRPr="00F54AE3" w:rsidRDefault="00B02873" w:rsidP="001E4AE1">
            <w:pPr>
              <w:pStyle w:val="TablebodyleftFinancialsTables"/>
              <w:jc w:val="right"/>
              <w:rPr>
                <w:rFonts w:asciiTheme="minorHAnsi" w:hAnsiTheme="minorHAnsi" w:cstheme="minorHAnsi"/>
                <w:sz w:val="18"/>
                <w:szCs w:val="14"/>
              </w:rPr>
            </w:pPr>
            <w:r w:rsidRPr="00F54AE3">
              <w:rPr>
                <w:rFonts w:asciiTheme="minorHAnsi" w:hAnsiTheme="minorHAnsi" w:cstheme="minorHAnsi"/>
                <w:sz w:val="18"/>
                <w:szCs w:val="14"/>
              </w:rPr>
              <w:t xml:space="preserve"> 326</w:t>
            </w:r>
          </w:p>
        </w:tc>
      </w:tr>
      <w:tr w:rsidR="00B02873" w:rsidRPr="00F54AE3" w14:paraId="6459048B" w14:textId="77777777" w:rsidTr="00195B06">
        <w:trPr>
          <w:trHeight w:val="60"/>
        </w:trPr>
        <w:tc>
          <w:tcPr>
            <w:tcW w:w="3789" w:type="dxa"/>
          </w:tcPr>
          <w:p w14:paraId="77FA90D5" w14:textId="77777777" w:rsidR="00B02873" w:rsidRPr="00195B06" w:rsidRDefault="00B02873" w:rsidP="00F54AE3">
            <w:pPr>
              <w:pStyle w:val="TablebodyleftFinancialsTables"/>
              <w:rPr>
                <w:rFonts w:asciiTheme="minorHAnsi" w:hAnsiTheme="minorHAnsi" w:cstheme="minorHAnsi"/>
                <w:b/>
                <w:bCs/>
                <w:spacing w:val="-2"/>
                <w:sz w:val="18"/>
                <w:szCs w:val="14"/>
              </w:rPr>
            </w:pPr>
            <w:r w:rsidRPr="00195B06">
              <w:rPr>
                <w:rFonts w:asciiTheme="minorHAnsi" w:hAnsiTheme="minorHAnsi" w:cstheme="minorHAnsi"/>
                <w:b/>
                <w:bCs/>
                <w:spacing w:val="-2"/>
                <w:sz w:val="18"/>
                <w:szCs w:val="14"/>
              </w:rPr>
              <w:t>Administered expenses from transactions</w:t>
            </w:r>
          </w:p>
        </w:tc>
        <w:tc>
          <w:tcPr>
            <w:tcW w:w="957" w:type="dxa"/>
          </w:tcPr>
          <w:p w14:paraId="62932819" w14:textId="77777777" w:rsidR="00B02873" w:rsidRPr="00195B06" w:rsidRDefault="00B02873" w:rsidP="001E4AE1">
            <w:pPr>
              <w:pStyle w:val="TablebodyleftFinancialsTables"/>
              <w:jc w:val="right"/>
              <w:rPr>
                <w:rFonts w:asciiTheme="minorHAnsi" w:hAnsiTheme="minorHAnsi" w:cstheme="minorHAnsi"/>
                <w:b/>
                <w:bCs/>
                <w:sz w:val="18"/>
                <w:szCs w:val="14"/>
              </w:rPr>
            </w:pPr>
          </w:p>
        </w:tc>
        <w:tc>
          <w:tcPr>
            <w:tcW w:w="957" w:type="dxa"/>
          </w:tcPr>
          <w:p w14:paraId="42763680" w14:textId="77777777" w:rsidR="00B02873" w:rsidRPr="00F54AE3" w:rsidRDefault="00B02873" w:rsidP="001E4AE1">
            <w:pPr>
              <w:pStyle w:val="TablebodyleftFinancialsTables"/>
              <w:jc w:val="right"/>
              <w:rPr>
                <w:rFonts w:asciiTheme="minorHAnsi" w:hAnsiTheme="minorHAnsi" w:cstheme="minorHAnsi"/>
                <w:sz w:val="18"/>
                <w:szCs w:val="14"/>
              </w:rPr>
            </w:pPr>
          </w:p>
        </w:tc>
        <w:tc>
          <w:tcPr>
            <w:tcW w:w="957" w:type="dxa"/>
          </w:tcPr>
          <w:p w14:paraId="4C15AA29" w14:textId="77777777" w:rsidR="00B02873" w:rsidRPr="00195B06" w:rsidRDefault="00B02873" w:rsidP="001E4AE1">
            <w:pPr>
              <w:pStyle w:val="TablebodyleftFinancialsTables"/>
              <w:jc w:val="right"/>
              <w:rPr>
                <w:rFonts w:asciiTheme="minorHAnsi" w:hAnsiTheme="minorHAnsi" w:cstheme="minorHAnsi"/>
                <w:b/>
                <w:bCs/>
                <w:sz w:val="18"/>
                <w:szCs w:val="14"/>
              </w:rPr>
            </w:pPr>
          </w:p>
        </w:tc>
        <w:tc>
          <w:tcPr>
            <w:tcW w:w="958" w:type="dxa"/>
          </w:tcPr>
          <w:p w14:paraId="762DC2AE" w14:textId="77777777" w:rsidR="00B02873" w:rsidRPr="00F54AE3" w:rsidRDefault="00B02873" w:rsidP="001E4AE1">
            <w:pPr>
              <w:pStyle w:val="TablebodyleftFinancialsTables"/>
              <w:jc w:val="right"/>
              <w:rPr>
                <w:rFonts w:asciiTheme="minorHAnsi" w:hAnsiTheme="minorHAnsi" w:cstheme="minorHAnsi"/>
                <w:sz w:val="18"/>
                <w:szCs w:val="14"/>
              </w:rPr>
            </w:pPr>
          </w:p>
        </w:tc>
        <w:tc>
          <w:tcPr>
            <w:tcW w:w="1217" w:type="dxa"/>
          </w:tcPr>
          <w:p w14:paraId="54927A9B" w14:textId="77777777" w:rsidR="00B02873" w:rsidRPr="00195B06" w:rsidRDefault="00B02873" w:rsidP="001E4AE1">
            <w:pPr>
              <w:pStyle w:val="TablebodyleftFinancialsTables"/>
              <w:jc w:val="right"/>
              <w:rPr>
                <w:rFonts w:asciiTheme="minorHAnsi" w:hAnsiTheme="minorHAnsi" w:cstheme="minorHAnsi"/>
                <w:b/>
                <w:bCs/>
                <w:sz w:val="18"/>
                <w:szCs w:val="14"/>
              </w:rPr>
            </w:pPr>
          </w:p>
        </w:tc>
        <w:tc>
          <w:tcPr>
            <w:tcW w:w="1218" w:type="dxa"/>
          </w:tcPr>
          <w:p w14:paraId="12766DA5" w14:textId="77777777" w:rsidR="00B02873" w:rsidRPr="00F54AE3" w:rsidRDefault="00B02873" w:rsidP="001E4AE1">
            <w:pPr>
              <w:pStyle w:val="TablebodyleftFinancialsTables"/>
              <w:jc w:val="right"/>
              <w:rPr>
                <w:rFonts w:asciiTheme="minorHAnsi" w:hAnsiTheme="minorHAnsi" w:cstheme="minorHAnsi"/>
                <w:sz w:val="18"/>
                <w:szCs w:val="14"/>
              </w:rPr>
            </w:pPr>
          </w:p>
        </w:tc>
      </w:tr>
      <w:tr w:rsidR="00B02873" w:rsidRPr="00F54AE3" w14:paraId="7D337C23" w14:textId="77777777" w:rsidTr="00195B06">
        <w:trPr>
          <w:trHeight w:val="60"/>
        </w:trPr>
        <w:tc>
          <w:tcPr>
            <w:tcW w:w="3789" w:type="dxa"/>
          </w:tcPr>
          <w:p w14:paraId="46102BC7" w14:textId="77777777" w:rsidR="00B02873" w:rsidRPr="00F54AE3" w:rsidRDefault="00B02873" w:rsidP="00F54AE3">
            <w:pPr>
              <w:pStyle w:val="TablebodyleftFinancialsTables"/>
              <w:rPr>
                <w:rFonts w:asciiTheme="minorHAnsi" w:hAnsiTheme="minorHAnsi" w:cstheme="minorHAnsi"/>
                <w:sz w:val="18"/>
                <w:szCs w:val="14"/>
              </w:rPr>
            </w:pPr>
            <w:r w:rsidRPr="00F54AE3">
              <w:rPr>
                <w:rFonts w:asciiTheme="minorHAnsi" w:hAnsiTheme="minorHAnsi" w:cstheme="minorHAnsi"/>
                <w:sz w:val="18"/>
                <w:szCs w:val="14"/>
              </w:rPr>
              <w:t>Grants and other transfers</w:t>
            </w:r>
          </w:p>
        </w:tc>
        <w:tc>
          <w:tcPr>
            <w:tcW w:w="957" w:type="dxa"/>
          </w:tcPr>
          <w:p w14:paraId="756C3E9E" w14:textId="77777777" w:rsidR="00B02873" w:rsidRPr="00195B06" w:rsidRDefault="00B02873" w:rsidP="001E4AE1">
            <w:pPr>
              <w:pStyle w:val="TablebodyleftFinancialsTables"/>
              <w:jc w:val="right"/>
              <w:rPr>
                <w:rFonts w:asciiTheme="minorHAnsi" w:hAnsiTheme="minorHAnsi" w:cstheme="minorHAnsi"/>
                <w:b/>
                <w:bCs/>
                <w:sz w:val="18"/>
                <w:szCs w:val="14"/>
              </w:rPr>
            </w:pPr>
            <w:r w:rsidRPr="00195B06">
              <w:rPr>
                <w:rFonts w:asciiTheme="minorHAnsi" w:hAnsiTheme="minorHAnsi" w:cstheme="minorHAnsi"/>
                <w:b/>
                <w:bCs/>
                <w:sz w:val="18"/>
                <w:szCs w:val="14"/>
              </w:rPr>
              <w:t>–</w:t>
            </w:r>
          </w:p>
        </w:tc>
        <w:tc>
          <w:tcPr>
            <w:tcW w:w="957" w:type="dxa"/>
          </w:tcPr>
          <w:p w14:paraId="54AB1E9F" w14:textId="77777777" w:rsidR="00B02873" w:rsidRPr="00F54AE3" w:rsidRDefault="00B02873" w:rsidP="001E4AE1">
            <w:pPr>
              <w:pStyle w:val="TablebodyleftFinancialsTables"/>
              <w:jc w:val="right"/>
              <w:rPr>
                <w:rFonts w:asciiTheme="minorHAnsi" w:hAnsiTheme="minorHAnsi" w:cstheme="minorHAnsi"/>
                <w:sz w:val="18"/>
                <w:szCs w:val="14"/>
              </w:rPr>
            </w:pPr>
            <w:r w:rsidRPr="00F54AE3">
              <w:rPr>
                <w:rFonts w:asciiTheme="minorHAnsi" w:hAnsiTheme="minorHAnsi" w:cstheme="minorHAnsi"/>
                <w:sz w:val="18"/>
                <w:szCs w:val="14"/>
              </w:rPr>
              <w:t>–</w:t>
            </w:r>
          </w:p>
        </w:tc>
        <w:tc>
          <w:tcPr>
            <w:tcW w:w="957" w:type="dxa"/>
          </w:tcPr>
          <w:p w14:paraId="43C290E7" w14:textId="77777777" w:rsidR="00B02873" w:rsidRPr="00195B06" w:rsidRDefault="00B02873" w:rsidP="001E4AE1">
            <w:pPr>
              <w:pStyle w:val="TablebodyleftFinancialsTables"/>
              <w:jc w:val="right"/>
              <w:rPr>
                <w:rFonts w:asciiTheme="minorHAnsi" w:hAnsiTheme="minorHAnsi" w:cstheme="minorHAnsi"/>
                <w:b/>
                <w:bCs/>
                <w:sz w:val="18"/>
                <w:szCs w:val="14"/>
              </w:rPr>
            </w:pPr>
            <w:r w:rsidRPr="00195B06">
              <w:rPr>
                <w:rFonts w:asciiTheme="minorHAnsi" w:hAnsiTheme="minorHAnsi" w:cstheme="minorHAnsi"/>
                <w:b/>
                <w:bCs/>
                <w:sz w:val="18"/>
                <w:szCs w:val="14"/>
              </w:rPr>
              <w:t>–</w:t>
            </w:r>
          </w:p>
        </w:tc>
        <w:tc>
          <w:tcPr>
            <w:tcW w:w="958" w:type="dxa"/>
          </w:tcPr>
          <w:p w14:paraId="1A3DD147" w14:textId="77777777" w:rsidR="00B02873" w:rsidRPr="00F54AE3" w:rsidRDefault="00B02873" w:rsidP="001E4AE1">
            <w:pPr>
              <w:pStyle w:val="TablebodyleftFinancialsTables"/>
              <w:jc w:val="right"/>
              <w:rPr>
                <w:rFonts w:asciiTheme="minorHAnsi" w:hAnsiTheme="minorHAnsi" w:cstheme="minorHAnsi"/>
                <w:sz w:val="18"/>
                <w:szCs w:val="14"/>
              </w:rPr>
            </w:pPr>
            <w:r w:rsidRPr="00F54AE3">
              <w:rPr>
                <w:rFonts w:asciiTheme="minorHAnsi" w:hAnsiTheme="minorHAnsi" w:cstheme="minorHAnsi"/>
                <w:sz w:val="18"/>
                <w:szCs w:val="14"/>
              </w:rPr>
              <w:t>–</w:t>
            </w:r>
          </w:p>
        </w:tc>
        <w:tc>
          <w:tcPr>
            <w:tcW w:w="1217" w:type="dxa"/>
          </w:tcPr>
          <w:p w14:paraId="50923EB9" w14:textId="77777777" w:rsidR="00B02873" w:rsidRPr="00195B06" w:rsidRDefault="00B02873" w:rsidP="001E4AE1">
            <w:pPr>
              <w:pStyle w:val="TablebodyleftFinancialsTables"/>
              <w:jc w:val="right"/>
              <w:rPr>
                <w:rFonts w:asciiTheme="minorHAnsi" w:hAnsiTheme="minorHAnsi" w:cstheme="minorHAnsi"/>
                <w:b/>
                <w:bCs/>
                <w:sz w:val="18"/>
                <w:szCs w:val="14"/>
              </w:rPr>
            </w:pPr>
            <w:r w:rsidRPr="00195B06">
              <w:rPr>
                <w:rFonts w:asciiTheme="minorHAnsi" w:hAnsiTheme="minorHAnsi" w:cstheme="minorHAnsi"/>
                <w:b/>
                <w:bCs/>
                <w:sz w:val="18"/>
                <w:szCs w:val="14"/>
              </w:rPr>
              <w:t>–</w:t>
            </w:r>
          </w:p>
        </w:tc>
        <w:tc>
          <w:tcPr>
            <w:tcW w:w="1218" w:type="dxa"/>
          </w:tcPr>
          <w:p w14:paraId="157D2650" w14:textId="77777777" w:rsidR="00B02873" w:rsidRPr="00F54AE3" w:rsidRDefault="00B02873" w:rsidP="001E4AE1">
            <w:pPr>
              <w:pStyle w:val="TablebodyleftFinancialsTables"/>
              <w:jc w:val="right"/>
              <w:rPr>
                <w:rFonts w:asciiTheme="minorHAnsi" w:hAnsiTheme="minorHAnsi" w:cstheme="minorHAnsi"/>
                <w:sz w:val="18"/>
                <w:szCs w:val="14"/>
              </w:rPr>
            </w:pPr>
            <w:r w:rsidRPr="00F54AE3">
              <w:rPr>
                <w:rFonts w:asciiTheme="minorHAnsi" w:hAnsiTheme="minorHAnsi" w:cstheme="minorHAnsi"/>
                <w:sz w:val="18"/>
                <w:szCs w:val="14"/>
              </w:rPr>
              <w:t>–</w:t>
            </w:r>
          </w:p>
        </w:tc>
      </w:tr>
      <w:tr w:rsidR="00B02873" w:rsidRPr="00F54AE3" w14:paraId="49FA3EBB" w14:textId="77777777" w:rsidTr="00195B06">
        <w:trPr>
          <w:trHeight w:val="60"/>
        </w:trPr>
        <w:tc>
          <w:tcPr>
            <w:tcW w:w="3789" w:type="dxa"/>
          </w:tcPr>
          <w:p w14:paraId="3B2E49F2" w14:textId="77777777" w:rsidR="00B02873" w:rsidRPr="00F54AE3" w:rsidRDefault="00B02873" w:rsidP="00F54AE3">
            <w:pPr>
              <w:pStyle w:val="TablebodyleftFinancialsTables"/>
              <w:rPr>
                <w:rFonts w:asciiTheme="minorHAnsi" w:hAnsiTheme="minorHAnsi" w:cstheme="minorHAnsi"/>
                <w:sz w:val="18"/>
                <w:szCs w:val="14"/>
              </w:rPr>
            </w:pPr>
            <w:r w:rsidRPr="00F54AE3">
              <w:rPr>
                <w:rFonts w:asciiTheme="minorHAnsi" w:hAnsiTheme="minorHAnsi" w:cstheme="minorHAnsi"/>
                <w:sz w:val="18"/>
                <w:szCs w:val="14"/>
              </w:rPr>
              <w:t>Victorian Desalination Project interest expense (Note 4.2.5)</w:t>
            </w:r>
          </w:p>
        </w:tc>
        <w:tc>
          <w:tcPr>
            <w:tcW w:w="957" w:type="dxa"/>
          </w:tcPr>
          <w:p w14:paraId="79D78CDF" w14:textId="77777777" w:rsidR="00B02873" w:rsidRPr="00195B06" w:rsidRDefault="00B02873" w:rsidP="001E4AE1">
            <w:pPr>
              <w:pStyle w:val="TablebodyleftFinancialsTables"/>
              <w:jc w:val="right"/>
              <w:rPr>
                <w:rFonts w:asciiTheme="minorHAnsi" w:hAnsiTheme="minorHAnsi" w:cstheme="minorHAnsi"/>
                <w:b/>
                <w:bCs/>
                <w:sz w:val="18"/>
                <w:szCs w:val="14"/>
              </w:rPr>
            </w:pPr>
            <w:r w:rsidRPr="00195B06">
              <w:rPr>
                <w:rFonts w:asciiTheme="minorHAnsi" w:hAnsiTheme="minorHAnsi" w:cstheme="minorHAnsi"/>
                <w:b/>
                <w:bCs/>
                <w:sz w:val="18"/>
                <w:szCs w:val="14"/>
              </w:rPr>
              <w:t>–</w:t>
            </w:r>
          </w:p>
        </w:tc>
        <w:tc>
          <w:tcPr>
            <w:tcW w:w="957" w:type="dxa"/>
          </w:tcPr>
          <w:p w14:paraId="5D443D8C" w14:textId="77777777" w:rsidR="00B02873" w:rsidRPr="00F54AE3" w:rsidRDefault="00B02873" w:rsidP="001E4AE1">
            <w:pPr>
              <w:pStyle w:val="TablebodyleftFinancialsTables"/>
              <w:jc w:val="right"/>
              <w:rPr>
                <w:rFonts w:asciiTheme="minorHAnsi" w:hAnsiTheme="minorHAnsi" w:cstheme="minorHAnsi"/>
                <w:sz w:val="18"/>
                <w:szCs w:val="14"/>
              </w:rPr>
            </w:pPr>
            <w:r w:rsidRPr="00F54AE3">
              <w:rPr>
                <w:rFonts w:asciiTheme="minorHAnsi" w:hAnsiTheme="minorHAnsi" w:cstheme="minorHAnsi"/>
                <w:sz w:val="18"/>
                <w:szCs w:val="14"/>
              </w:rPr>
              <w:t>–</w:t>
            </w:r>
          </w:p>
        </w:tc>
        <w:tc>
          <w:tcPr>
            <w:tcW w:w="957" w:type="dxa"/>
          </w:tcPr>
          <w:p w14:paraId="1DFA0B7D" w14:textId="77777777" w:rsidR="00B02873" w:rsidRPr="00195B06" w:rsidRDefault="00B02873" w:rsidP="001E4AE1">
            <w:pPr>
              <w:pStyle w:val="TablebodyleftFinancialsTables"/>
              <w:jc w:val="right"/>
              <w:rPr>
                <w:rFonts w:asciiTheme="minorHAnsi" w:hAnsiTheme="minorHAnsi" w:cstheme="minorHAnsi"/>
                <w:b/>
                <w:bCs/>
                <w:sz w:val="18"/>
                <w:szCs w:val="14"/>
              </w:rPr>
            </w:pPr>
            <w:r w:rsidRPr="00195B06">
              <w:rPr>
                <w:rFonts w:asciiTheme="minorHAnsi" w:hAnsiTheme="minorHAnsi" w:cstheme="minorHAnsi"/>
                <w:b/>
                <w:bCs/>
                <w:sz w:val="18"/>
                <w:szCs w:val="14"/>
              </w:rPr>
              <w:t>–</w:t>
            </w:r>
          </w:p>
        </w:tc>
        <w:tc>
          <w:tcPr>
            <w:tcW w:w="958" w:type="dxa"/>
          </w:tcPr>
          <w:p w14:paraId="1C9775E8" w14:textId="77777777" w:rsidR="00B02873" w:rsidRPr="00F54AE3" w:rsidRDefault="00B02873" w:rsidP="001E4AE1">
            <w:pPr>
              <w:pStyle w:val="TablebodyleftFinancialsTables"/>
              <w:jc w:val="right"/>
              <w:rPr>
                <w:rFonts w:asciiTheme="minorHAnsi" w:hAnsiTheme="minorHAnsi" w:cstheme="minorHAnsi"/>
                <w:sz w:val="18"/>
                <w:szCs w:val="14"/>
              </w:rPr>
            </w:pPr>
            <w:r w:rsidRPr="00F54AE3">
              <w:rPr>
                <w:rFonts w:asciiTheme="minorHAnsi" w:hAnsiTheme="minorHAnsi" w:cstheme="minorHAnsi"/>
                <w:sz w:val="18"/>
                <w:szCs w:val="14"/>
              </w:rPr>
              <w:t>–</w:t>
            </w:r>
          </w:p>
        </w:tc>
        <w:tc>
          <w:tcPr>
            <w:tcW w:w="1217" w:type="dxa"/>
          </w:tcPr>
          <w:p w14:paraId="7993014C" w14:textId="77777777" w:rsidR="00B02873" w:rsidRPr="00195B06" w:rsidRDefault="00B02873" w:rsidP="001E4AE1">
            <w:pPr>
              <w:pStyle w:val="TablebodyleftFinancialsTables"/>
              <w:jc w:val="right"/>
              <w:rPr>
                <w:rFonts w:asciiTheme="minorHAnsi" w:hAnsiTheme="minorHAnsi" w:cstheme="minorHAnsi"/>
                <w:b/>
                <w:bCs/>
                <w:sz w:val="18"/>
                <w:szCs w:val="14"/>
              </w:rPr>
            </w:pPr>
            <w:r w:rsidRPr="00195B06">
              <w:rPr>
                <w:rFonts w:asciiTheme="minorHAnsi" w:hAnsiTheme="minorHAnsi" w:cstheme="minorHAnsi"/>
                <w:b/>
                <w:bCs/>
                <w:sz w:val="18"/>
                <w:szCs w:val="14"/>
              </w:rPr>
              <w:t>–</w:t>
            </w:r>
          </w:p>
        </w:tc>
        <w:tc>
          <w:tcPr>
            <w:tcW w:w="1218" w:type="dxa"/>
          </w:tcPr>
          <w:p w14:paraId="17A5AD68" w14:textId="77777777" w:rsidR="00B02873" w:rsidRPr="00F54AE3" w:rsidRDefault="00B02873" w:rsidP="001E4AE1">
            <w:pPr>
              <w:pStyle w:val="TablebodyleftFinancialsTables"/>
              <w:jc w:val="right"/>
              <w:rPr>
                <w:rFonts w:asciiTheme="minorHAnsi" w:hAnsiTheme="minorHAnsi" w:cstheme="minorHAnsi"/>
                <w:sz w:val="18"/>
                <w:szCs w:val="14"/>
              </w:rPr>
            </w:pPr>
            <w:r w:rsidRPr="00F54AE3">
              <w:rPr>
                <w:rFonts w:asciiTheme="minorHAnsi" w:hAnsiTheme="minorHAnsi" w:cstheme="minorHAnsi"/>
                <w:sz w:val="18"/>
                <w:szCs w:val="14"/>
              </w:rPr>
              <w:t>–</w:t>
            </w:r>
          </w:p>
        </w:tc>
      </w:tr>
      <w:tr w:rsidR="00B02873" w:rsidRPr="00F54AE3" w14:paraId="15656B50" w14:textId="77777777" w:rsidTr="00195B06">
        <w:trPr>
          <w:trHeight w:val="60"/>
        </w:trPr>
        <w:tc>
          <w:tcPr>
            <w:tcW w:w="3789" w:type="dxa"/>
          </w:tcPr>
          <w:p w14:paraId="20455E82" w14:textId="77777777" w:rsidR="00B02873" w:rsidRPr="00F54AE3" w:rsidRDefault="00B02873" w:rsidP="00F54AE3">
            <w:pPr>
              <w:pStyle w:val="TablebodyleftFinancialsTables"/>
              <w:rPr>
                <w:rFonts w:asciiTheme="minorHAnsi" w:hAnsiTheme="minorHAnsi" w:cstheme="minorHAnsi"/>
                <w:sz w:val="18"/>
                <w:szCs w:val="14"/>
              </w:rPr>
            </w:pPr>
            <w:r w:rsidRPr="00F54AE3">
              <w:rPr>
                <w:rFonts w:asciiTheme="minorHAnsi" w:hAnsiTheme="minorHAnsi" w:cstheme="minorHAnsi"/>
                <w:sz w:val="18"/>
                <w:szCs w:val="14"/>
              </w:rPr>
              <w:t>Other expenses</w:t>
            </w:r>
          </w:p>
        </w:tc>
        <w:tc>
          <w:tcPr>
            <w:tcW w:w="957" w:type="dxa"/>
          </w:tcPr>
          <w:p w14:paraId="20475B26" w14:textId="77777777" w:rsidR="00B02873" w:rsidRPr="00195B06" w:rsidRDefault="00B02873" w:rsidP="001E4AE1">
            <w:pPr>
              <w:pStyle w:val="TablebodyleftFinancialsTables"/>
              <w:jc w:val="right"/>
              <w:rPr>
                <w:rFonts w:asciiTheme="minorHAnsi" w:hAnsiTheme="minorHAnsi" w:cstheme="minorHAnsi"/>
                <w:b/>
                <w:bCs/>
                <w:sz w:val="18"/>
                <w:szCs w:val="14"/>
              </w:rPr>
            </w:pPr>
            <w:r w:rsidRPr="00195B06">
              <w:rPr>
                <w:rFonts w:asciiTheme="minorHAnsi" w:hAnsiTheme="minorHAnsi" w:cstheme="minorHAnsi"/>
                <w:b/>
                <w:bCs/>
                <w:sz w:val="18"/>
                <w:szCs w:val="14"/>
              </w:rPr>
              <w:t>(50)</w:t>
            </w:r>
          </w:p>
        </w:tc>
        <w:tc>
          <w:tcPr>
            <w:tcW w:w="957" w:type="dxa"/>
          </w:tcPr>
          <w:p w14:paraId="6C8083F0" w14:textId="77777777" w:rsidR="00B02873" w:rsidRPr="00F54AE3" w:rsidRDefault="00B02873" w:rsidP="001E4AE1">
            <w:pPr>
              <w:pStyle w:val="TablebodyleftFinancialsTables"/>
              <w:jc w:val="right"/>
              <w:rPr>
                <w:rFonts w:asciiTheme="minorHAnsi" w:hAnsiTheme="minorHAnsi" w:cstheme="minorHAnsi"/>
                <w:sz w:val="18"/>
                <w:szCs w:val="14"/>
              </w:rPr>
            </w:pPr>
            <w:r w:rsidRPr="00F54AE3">
              <w:rPr>
                <w:rFonts w:asciiTheme="minorHAnsi" w:hAnsiTheme="minorHAnsi" w:cstheme="minorHAnsi"/>
                <w:sz w:val="18"/>
                <w:szCs w:val="14"/>
              </w:rPr>
              <w:t>–</w:t>
            </w:r>
          </w:p>
        </w:tc>
        <w:tc>
          <w:tcPr>
            <w:tcW w:w="957" w:type="dxa"/>
          </w:tcPr>
          <w:p w14:paraId="195284CD" w14:textId="77777777" w:rsidR="00B02873" w:rsidRPr="00195B06" w:rsidRDefault="00B02873" w:rsidP="001E4AE1">
            <w:pPr>
              <w:pStyle w:val="TablebodyleftFinancialsTables"/>
              <w:jc w:val="right"/>
              <w:rPr>
                <w:rFonts w:asciiTheme="minorHAnsi" w:hAnsiTheme="minorHAnsi" w:cstheme="minorHAnsi"/>
                <w:b/>
                <w:bCs/>
                <w:sz w:val="18"/>
                <w:szCs w:val="14"/>
              </w:rPr>
            </w:pPr>
            <w:r w:rsidRPr="00195B06">
              <w:rPr>
                <w:rFonts w:asciiTheme="minorHAnsi" w:hAnsiTheme="minorHAnsi" w:cstheme="minorHAnsi"/>
                <w:b/>
                <w:bCs/>
                <w:sz w:val="18"/>
                <w:szCs w:val="14"/>
              </w:rPr>
              <w:t>(25)</w:t>
            </w:r>
          </w:p>
        </w:tc>
        <w:tc>
          <w:tcPr>
            <w:tcW w:w="958" w:type="dxa"/>
          </w:tcPr>
          <w:p w14:paraId="0DBD74A2" w14:textId="77777777" w:rsidR="00B02873" w:rsidRPr="00F54AE3" w:rsidRDefault="00B02873" w:rsidP="001E4AE1">
            <w:pPr>
              <w:pStyle w:val="TablebodyleftFinancialsTables"/>
              <w:jc w:val="right"/>
              <w:rPr>
                <w:rFonts w:asciiTheme="minorHAnsi" w:hAnsiTheme="minorHAnsi" w:cstheme="minorHAnsi"/>
                <w:sz w:val="18"/>
                <w:szCs w:val="14"/>
              </w:rPr>
            </w:pPr>
            <w:r w:rsidRPr="00F54AE3">
              <w:rPr>
                <w:rFonts w:asciiTheme="minorHAnsi" w:hAnsiTheme="minorHAnsi" w:cstheme="minorHAnsi"/>
                <w:sz w:val="18"/>
                <w:szCs w:val="14"/>
              </w:rPr>
              <w:t>–</w:t>
            </w:r>
          </w:p>
        </w:tc>
        <w:tc>
          <w:tcPr>
            <w:tcW w:w="1217" w:type="dxa"/>
          </w:tcPr>
          <w:p w14:paraId="38301B42" w14:textId="77777777" w:rsidR="00B02873" w:rsidRPr="00195B06" w:rsidRDefault="00B02873" w:rsidP="001E4AE1">
            <w:pPr>
              <w:pStyle w:val="TablebodyleftFinancialsTables"/>
              <w:jc w:val="right"/>
              <w:rPr>
                <w:rFonts w:asciiTheme="minorHAnsi" w:hAnsiTheme="minorHAnsi" w:cstheme="minorHAnsi"/>
                <w:b/>
                <w:bCs/>
                <w:sz w:val="18"/>
                <w:szCs w:val="14"/>
              </w:rPr>
            </w:pPr>
            <w:r w:rsidRPr="00195B06">
              <w:rPr>
                <w:rFonts w:asciiTheme="minorHAnsi" w:hAnsiTheme="minorHAnsi" w:cstheme="minorHAnsi"/>
                <w:b/>
                <w:bCs/>
                <w:sz w:val="18"/>
                <w:szCs w:val="14"/>
              </w:rPr>
              <w:t>(100)</w:t>
            </w:r>
          </w:p>
        </w:tc>
        <w:tc>
          <w:tcPr>
            <w:tcW w:w="1218" w:type="dxa"/>
          </w:tcPr>
          <w:p w14:paraId="2892737E" w14:textId="77777777" w:rsidR="00B02873" w:rsidRPr="00F54AE3" w:rsidRDefault="00B02873" w:rsidP="001E4AE1">
            <w:pPr>
              <w:pStyle w:val="TablebodyleftFinancialsTables"/>
              <w:jc w:val="right"/>
              <w:rPr>
                <w:rFonts w:asciiTheme="minorHAnsi" w:hAnsiTheme="minorHAnsi" w:cstheme="minorHAnsi"/>
                <w:sz w:val="18"/>
                <w:szCs w:val="14"/>
              </w:rPr>
            </w:pPr>
            <w:r w:rsidRPr="00F54AE3">
              <w:rPr>
                <w:rFonts w:asciiTheme="minorHAnsi" w:hAnsiTheme="minorHAnsi" w:cstheme="minorHAnsi"/>
                <w:sz w:val="18"/>
                <w:szCs w:val="14"/>
              </w:rPr>
              <w:t>–</w:t>
            </w:r>
          </w:p>
        </w:tc>
      </w:tr>
      <w:tr w:rsidR="00B02873" w:rsidRPr="00F54AE3" w14:paraId="6C9CBBD9" w14:textId="77777777" w:rsidTr="00195B06">
        <w:trPr>
          <w:trHeight w:val="60"/>
        </w:trPr>
        <w:tc>
          <w:tcPr>
            <w:tcW w:w="3789" w:type="dxa"/>
          </w:tcPr>
          <w:p w14:paraId="6ED29AED" w14:textId="77777777" w:rsidR="00B02873" w:rsidRPr="00F54AE3" w:rsidRDefault="00B02873" w:rsidP="00F54AE3">
            <w:pPr>
              <w:pStyle w:val="TablebodyleftFinancialsTables"/>
              <w:rPr>
                <w:rFonts w:asciiTheme="minorHAnsi" w:hAnsiTheme="minorHAnsi" w:cstheme="minorHAnsi"/>
                <w:sz w:val="18"/>
                <w:szCs w:val="14"/>
              </w:rPr>
            </w:pPr>
            <w:r w:rsidRPr="00F54AE3">
              <w:rPr>
                <w:rFonts w:asciiTheme="minorHAnsi" w:hAnsiTheme="minorHAnsi" w:cstheme="minorHAnsi"/>
                <w:sz w:val="18"/>
                <w:szCs w:val="14"/>
              </w:rPr>
              <w:t>Depreciation and amortisation</w:t>
            </w:r>
          </w:p>
        </w:tc>
        <w:tc>
          <w:tcPr>
            <w:tcW w:w="957" w:type="dxa"/>
          </w:tcPr>
          <w:p w14:paraId="208E5F26" w14:textId="77777777" w:rsidR="00B02873" w:rsidRPr="00195B06" w:rsidRDefault="00B02873" w:rsidP="001E4AE1">
            <w:pPr>
              <w:pStyle w:val="TablebodyleftFinancialsTables"/>
              <w:jc w:val="right"/>
              <w:rPr>
                <w:rFonts w:asciiTheme="minorHAnsi" w:hAnsiTheme="minorHAnsi" w:cstheme="minorHAnsi"/>
                <w:b/>
                <w:bCs/>
                <w:sz w:val="18"/>
                <w:szCs w:val="14"/>
              </w:rPr>
            </w:pPr>
            <w:r w:rsidRPr="00195B06">
              <w:rPr>
                <w:rFonts w:asciiTheme="minorHAnsi" w:hAnsiTheme="minorHAnsi" w:cstheme="minorHAnsi"/>
                <w:b/>
                <w:bCs/>
                <w:sz w:val="18"/>
                <w:szCs w:val="14"/>
              </w:rPr>
              <w:t>–</w:t>
            </w:r>
          </w:p>
        </w:tc>
        <w:tc>
          <w:tcPr>
            <w:tcW w:w="957" w:type="dxa"/>
          </w:tcPr>
          <w:p w14:paraId="10E501C2" w14:textId="77777777" w:rsidR="00B02873" w:rsidRPr="00F54AE3" w:rsidRDefault="00B02873" w:rsidP="001E4AE1">
            <w:pPr>
              <w:pStyle w:val="TablebodyleftFinancialsTables"/>
              <w:jc w:val="right"/>
              <w:rPr>
                <w:rFonts w:asciiTheme="minorHAnsi" w:hAnsiTheme="minorHAnsi" w:cstheme="minorHAnsi"/>
                <w:sz w:val="18"/>
                <w:szCs w:val="14"/>
              </w:rPr>
            </w:pPr>
            <w:r w:rsidRPr="00F54AE3">
              <w:rPr>
                <w:rFonts w:asciiTheme="minorHAnsi" w:hAnsiTheme="minorHAnsi" w:cstheme="minorHAnsi"/>
                <w:sz w:val="18"/>
                <w:szCs w:val="14"/>
              </w:rPr>
              <w:t>–</w:t>
            </w:r>
          </w:p>
        </w:tc>
        <w:tc>
          <w:tcPr>
            <w:tcW w:w="957" w:type="dxa"/>
          </w:tcPr>
          <w:p w14:paraId="3C8137DC" w14:textId="77777777" w:rsidR="00B02873" w:rsidRPr="00195B06" w:rsidRDefault="00B02873" w:rsidP="001E4AE1">
            <w:pPr>
              <w:pStyle w:val="TablebodyleftFinancialsTables"/>
              <w:jc w:val="right"/>
              <w:rPr>
                <w:rFonts w:asciiTheme="minorHAnsi" w:hAnsiTheme="minorHAnsi" w:cstheme="minorHAnsi"/>
                <w:b/>
                <w:bCs/>
                <w:sz w:val="18"/>
                <w:szCs w:val="14"/>
              </w:rPr>
            </w:pPr>
            <w:r w:rsidRPr="00195B06">
              <w:rPr>
                <w:rFonts w:asciiTheme="minorHAnsi" w:hAnsiTheme="minorHAnsi" w:cstheme="minorHAnsi"/>
                <w:b/>
                <w:bCs/>
                <w:sz w:val="18"/>
                <w:szCs w:val="14"/>
              </w:rPr>
              <w:t>–</w:t>
            </w:r>
          </w:p>
        </w:tc>
        <w:tc>
          <w:tcPr>
            <w:tcW w:w="958" w:type="dxa"/>
          </w:tcPr>
          <w:p w14:paraId="4448B83B" w14:textId="77777777" w:rsidR="00B02873" w:rsidRPr="00F54AE3" w:rsidRDefault="00B02873" w:rsidP="001E4AE1">
            <w:pPr>
              <w:pStyle w:val="TablebodyleftFinancialsTables"/>
              <w:jc w:val="right"/>
              <w:rPr>
                <w:rFonts w:asciiTheme="minorHAnsi" w:hAnsiTheme="minorHAnsi" w:cstheme="minorHAnsi"/>
                <w:sz w:val="18"/>
                <w:szCs w:val="14"/>
              </w:rPr>
            </w:pPr>
            <w:r w:rsidRPr="00F54AE3">
              <w:rPr>
                <w:rFonts w:asciiTheme="minorHAnsi" w:hAnsiTheme="minorHAnsi" w:cstheme="minorHAnsi"/>
                <w:sz w:val="18"/>
                <w:szCs w:val="14"/>
              </w:rPr>
              <w:t>–</w:t>
            </w:r>
          </w:p>
        </w:tc>
        <w:tc>
          <w:tcPr>
            <w:tcW w:w="1217" w:type="dxa"/>
          </w:tcPr>
          <w:p w14:paraId="34D089F3" w14:textId="77777777" w:rsidR="00B02873" w:rsidRPr="00195B06" w:rsidRDefault="00B02873" w:rsidP="001E4AE1">
            <w:pPr>
              <w:pStyle w:val="TablebodyleftFinancialsTables"/>
              <w:jc w:val="right"/>
              <w:rPr>
                <w:rFonts w:asciiTheme="minorHAnsi" w:hAnsiTheme="minorHAnsi" w:cstheme="minorHAnsi"/>
                <w:b/>
                <w:bCs/>
                <w:sz w:val="18"/>
                <w:szCs w:val="14"/>
              </w:rPr>
            </w:pPr>
            <w:r w:rsidRPr="00195B06">
              <w:rPr>
                <w:rFonts w:asciiTheme="minorHAnsi" w:hAnsiTheme="minorHAnsi" w:cstheme="minorHAnsi"/>
                <w:b/>
                <w:bCs/>
                <w:sz w:val="18"/>
                <w:szCs w:val="14"/>
              </w:rPr>
              <w:t>–</w:t>
            </w:r>
          </w:p>
        </w:tc>
        <w:tc>
          <w:tcPr>
            <w:tcW w:w="1218" w:type="dxa"/>
          </w:tcPr>
          <w:p w14:paraId="3F48F2F0" w14:textId="77777777" w:rsidR="00B02873" w:rsidRPr="00F54AE3" w:rsidRDefault="00B02873" w:rsidP="001E4AE1">
            <w:pPr>
              <w:pStyle w:val="TablebodyleftFinancialsTables"/>
              <w:jc w:val="right"/>
              <w:rPr>
                <w:rFonts w:asciiTheme="minorHAnsi" w:hAnsiTheme="minorHAnsi" w:cstheme="minorHAnsi"/>
                <w:sz w:val="18"/>
                <w:szCs w:val="14"/>
              </w:rPr>
            </w:pPr>
            <w:r w:rsidRPr="00F54AE3">
              <w:rPr>
                <w:rFonts w:asciiTheme="minorHAnsi" w:hAnsiTheme="minorHAnsi" w:cstheme="minorHAnsi"/>
                <w:sz w:val="18"/>
                <w:szCs w:val="14"/>
              </w:rPr>
              <w:t>–</w:t>
            </w:r>
          </w:p>
        </w:tc>
      </w:tr>
      <w:tr w:rsidR="00B02873" w:rsidRPr="00F54AE3" w14:paraId="5FEBEBC1" w14:textId="77777777" w:rsidTr="00195B06">
        <w:trPr>
          <w:trHeight w:val="60"/>
        </w:trPr>
        <w:tc>
          <w:tcPr>
            <w:tcW w:w="3789" w:type="dxa"/>
          </w:tcPr>
          <w:p w14:paraId="53DF6BCB" w14:textId="77777777" w:rsidR="00B02873" w:rsidRPr="00F54AE3" w:rsidRDefault="00B02873" w:rsidP="00F54AE3">
            <w:pPr>
              <w:pStyle w:val="TablebodyleftFinancialsTables"/>
              <w:rPr>
                <w:rFonts w:asciiTheme="minorHAnsi" w:hAnsiTheme="minorHAnsi" w:cstheme="minorHAnsi"/>
                <w:sz w:val="18"/>
                <w:szCs w:val="14"/>
              </w:rPr>
            </w:pPr>
            <w:r w:rsidRPr="00F54AE3">
              <w:rPr>
                <w:rFonts w:asciiTheme="minorHAnsi" w:hAnsiTheme="minorHAnsi" w:cstheme="minorHAnsi"/>
                <w:sz w:val="18"/>
                <w:szCs w:val="14"/>
              </w:rPr>
              <w:t>Payments into the consolidated fund</w:t>
            </w:r>
            <w:r w:rsidRPr="00F54AE3">
              <w:rPr>
                <w:rFonts w:asciiTheme="minorHAnsi" w:hAnsiTheme="minorHAnsi" w:cstheme="minorHAnsi"/>
                <w:sz w:val="18"/>
                <w:szCs w:val="14"/>
                <w:vertAlign w:val="superscript"/>
              </w:rPr>
              <w:t>(i)</w:t>
            </w:r>
          </w:p>
        </w:tc>
        <w:tc>
          <w:tcPr>
            <w:tcW w:w="957" w:type="dxa"/>
          </w:tcPr>
          <w:p w14:paraId="3D371D3E" w14:textId="77777777" w:rsidR="00B02873" w:rsidRPr="00195B06" w:rsidRDefault="00B02873" w:rsidP="001E4AE1">
            <w:pPr>
              <w:pStyle w:val="TablebodyleftFinancialsTables"/>
              <w:jc w:val="right"/>
              <w:rPr>
                <w:rFonts w:asciiTheme="minorHAnsi" w:hAnsiTheme="minorHAnsi" w:cstheme="minorHAnsi"/>
                <w:b/>
                <w:bCs/>
                <w:sz w:val="18"/>
                <w:szCs w:val="14"/>
              </w:rPr>
            </w:pPr>
            <w:r w:rsidRPr="00195B06">
              <w:rPr>
                <w:rFonts w:asciiTheme="minorHAnsi" w:hAnsiTheme="minorHAnsi" w:cstheme="minorHAnsi"/>
                <w:b/>
                <w:bCs/>
                <w:sz w:val="18"/>
                <w:szCs w:val="14"/>
              </w:rPr>
              <w:t>(74,283)</w:t>
            </w:r>
          </w:p>
        </w:tc>
        <w:tc>
          <w:tcPr>
            <w:tcW w:w="957" w:type="dxa"/>
          </w:tcPr>
          <w:p w14:paraId="0669ACD8" w14:textId="77777777" w:rsidR="00B02873" w:rsidRPr="00F54AE3" w:rsidRDefault="00B02873" w:rsidP="001E4AE1">
            <w:pPr>
              <w:pStyle w:val="TablebodyleftFinancialsTables"/>
              <w:jc w:val="right"/>
              <w:rPr>
                <w:rFonts w:asciiTheme="minorHAnsi" w:hAnsiTheme="minorHAnsi" w:cstheme="minorHAnsi"/>
                <w:sz w:val="18"/>
                <w:szCs w:val="14"/>
              </w:rPr>
            </w:pPr>
            <w:r w:rsidRPr="00F54AE3">
              <w:rPr>
                <w:rFonts w:asciiTheme="minorHAnsi" w:hAnsiTheme="minorHAnsi" w:cstheme="minorHAnsi"/>
                <w:sz w:val="18"/>
                <w:szCs w:val="14"/>
              </w:rPr>
              <w:t>(101)</w:t>
            </w:r>
          </w:p>
        </w:tc>
        <w:tc>
          <w:tcPr>
            <w:tcW w:w="957" w:type="dxa"/>
          </w:tcPr>
          <w:p w14:paraId="1F187B5D" w14:textId="77777777" w:rsidR="00B02873" w:rsidRPr="00195B06" w:rsidRDefault="00B02873" w:rsidP="001E4AE1">
            <w:pPr>
              <w:pStyle w:val="TablebodyleftFinancialsTables"/>
              <w:jc w:val="right"/>
              <w:rPr>
                <w:rFonts w:asciiTheme="minorHAnsi" w:hAnsiTheme="minorHAnsi" w:cstheme="minorHAnsi"/>
                <w:b/>
                <w:bCs/>
                <w:sz w:val="18"/>
                <w:szCs w:val="14"/>
              </w:rPr>
            </w:pPr>
            <w:r w:rsidRPr="00195B06">
              <w:rPr>
                <w:rFonts w:asciiTheme="minorHAnsi" w:hAnsiTheme="minorHAnsi" w:cstheme="minorHAnsi"/>
                <w:b/>
                <w:bCs/>
                <w:sz w:val="18"/>
                <w:szCs w:val="14"/>
              </w:rPr>
              <w:t>(17)</w:t>
            </w:r>
          </w:p>
        </w:tc>
        <w:tc>
          <w:tcPr>
            <w:tcW w:w="958" w:type="dxa"/>
          </w:tcPr>
          <w:p w14:paraId="09416EAA" w14:textId="77777777" w:rsidR="00B02873" w:rsidRPr="00F54AE3" w:rsidRDefault="00B02873" w:rsidP="001E4AE1">
            <w:pPr>
              <w:pStyle w:val="TablebodyleftFinancialsTables"/>
              <w:jc w:val="right"/>
              <w:rPr>
                <w:rFonts w:asciiTheme="minorHAnsi" w:hAnsiTheme="minorHAnsi" w:cstheme="minorHAnsi"/>
                <w:sz w:val="18"/>
                <w:szCs w:val="14"/>
              </w:rPr>
            </w:pPr>
            <w:r w:rsidRPr="00F54AE3">
              <w:rPr>
                <w:rFonts w:asciiTheme="minorHAnsi" w:hAnsiTheme="minorHAnsi" w:cstheme="minorHAnsi"/>
                <w:sz w:val="18"/>
                <w:szCs w:val="14"/>
              </w:rPr>
              <w:t>(30)</w:t>
            </w:r>
          </w:p>
        </w:tc>
        <w:tc>
          <w:tcPr>
            <w:tcW w:w="1217" w:type="dxa"/>
          </w:tcPr>
          <w:p w14:paraId="2E3F1500" w14:textId="77777777" w:rsidR="00B02873" w:rsidRPr="00195B06" w:rsidRDefault="00B02873" w:rsidP="001E4AE1">
            <w:pPr>
              <w:pStyle w:val="TablebodyleftFinancialsTables"/>
              <w:jc w:val="right"/>
              <w:rPr>
                <w:rFonts w:asciiTheme="minorHAnsi" w:hAnsiTheme="minorHAnsi" w:cstheme="minorHAnsi"/>
                <w:b/>
                <w:bCs/>
                <w:sz w:val="18"/>
                <w:szCs w:val="14"/>
              </w:rPr>
            </w:pPr>
            <w:r w:rsidRPr="00195B06">
              <w:rPr>
                <w:rFonts w:asciiTheme="minorHAnsi" w:hAnsiTheme="minorHAnsi" w:cstheme="minorHAnsi"/>
                <w:b/>
                <w:bCs/>
                <w:sz w:val="18"/>
                <w:szCs w:val="14"/>
              </w:rPr>
              <w:t>(131)</w:t>
            </w:r>
          </w:p>
        </w:tc>
        <w:tc>
          <w:tcPr>
            <w:tcW w:w="1218" w:type="dxa"/>
          </w:tcPr>
          <w:p w14:paraId="45155F0A" w14:textId="77777777" w:rsidR="00B02873" w:rsidRPr="00F54AE3" w:rsidRDefault="00B02873" w:rsidP="001E4AE1">
            <w:pPr>
              <w:pStyle w:val="TablebodyleftFinancialsTables"/>
              <w:jc w:val="right"/>
              <w:rPr>
                <w:rFonts w:asciiTheme="minorHAnsi" w:hAnsiTheme="minorHAnsi" w:cstheme="minorHAnsi"/>
                <w:sz w:val="18"/>
                <w:szCs w:val="14"/>
              </w:rPr>
            </w:pPr>
            <w:r w:rsidRPr="00F54AE3">
              <w:rPr>
                <w:rFonts w:asciiTheme="minorHAnsi" w:hAnsiTheme="minorHAnsi" w:cstheme="minorHAnsi"/>
                <w:sz w:val="18"/>
                <w:szCs w:val="14"/>
              </w:rPr>
              <w:t>(225)</w:t>
            </w:r>
          </w:p>
        </w:tc>
      </w:tr>
      <w:tr w:rsidR="00B02873" w:rsidRPr="00F54AE3" w14:paraId="3AB564A3" w14:textId="77777777" w:rsidTr="00195B06">
        <w:trPr>
          <w:trHeight w:val="60"/>
        </w:trPr>
        <w:tc>
          <w:tcPr>
            <w:tcW w:w="3789" w:type="dxa"/>
          </w:tcPr>
          <w:p w14:paraId="78C0453E" w14:textId="77777777" w:rsidR="00B02873" w:rsidRPr="00195B06" w:rsidRDefault="00B02873" w:rsidP="00F54AE3">
            <w:pPr>
              <w:pStyle w:val="TablebodyleftFinancialsTables"/>
              <w:rPr>
                <w:rFonts w:asciiTheme="minorHAnsi" w:hAnsiTheme="minorHAnsi" w:cstheme="minorHAnsi"/>
                <w:b/>
                <w:bCs/>
                <w:sz w:val="18"/>
                <w:szCs w:val="14"/>
              </w:rPr>
            </w:pPr>
            <w:r w:rsidRPr="00195B06">
              <w:rPr>
                <w:rFonts w:asciiTheme="minorHAnsi" w:hAnsiTheme="minorHAnsi" w:cstheme="minorHAnsi"/>
                <w:b/>
                <w:bCs/>
                <w:sz w:val="18"/>
                <w:szCs w:val="14"/>
              </w:rPr>
              <w:t>Total administered expenses from transactions</w:t>
            </w:r>
          </w:p>
        </w:tc>
        <w:tc>
          <w:tcPr>
            <w:tcW w:w="957" w:type="dxa"/>
          </w:tcPr>
          <w:p w14:paraId="032D5E94" w14:textId="77777777" w:rsidR="00B02873" w:rsidRPr="00195B06" w:rsidRDefault="00B02873" w:rsidP="001E4AE1">
            <w:pPr>
              <w:pStyle w:val="TablebodyleftFinancialsTables"/>
              <w:jc w:val="right"/>
              <w:rPr>
                <w:rFonts w:asciiTheme="minorHAnsi" w:hAnsiTheme="minorHAnsi" w:cstheme="minorHAnsi"/>
                <w:b/>
                <w:bCs/>
                <w:sz w:val="18"/>
                <w:szCs w:val="14"/>
              </w:rPr>
            </w:pPr>
            <w:r w:rsidRPr="00195B06">
              <w:rPr>
                <w:rFonts w:asciiTheme="minorHAnsi" w:hAnsiTheme="minorHAnsi" w:cstheme="minorHAnsi"/>
                <w:b/>
                <w:bCs/>
                <w:sz w:val="18"/>
                <w:szCs w:val="14"/>
              </w:rPr>
              <w:t>(74,333)</w:t>
            </w:r>
          </w:p>
        </w:tc>
        <w:tc>
          <w:tcPr>
            <w:tcW w:w="957" w:type="dxa"/>
          </w:tcPr>
          <w:p w14:paraId="7E91FB66" w14:textId="77777777" w:rsidR="00B02873" w:rsidRPr="00F54AE3" w:rsidRDefault="00B02873" w:rsidP="001E4AE1">
            <w:pPr>
              <w:pStyle w:val="TablebodyleftFinancialsTables"/>
              <w:jc w:val="right"/>
              <w:rPr>
                <w:rFonts w:asciiTheme="minorHAnsi" w:hAnsiTheme="minorHAnsi" w:cstheme="minorHAnsi"/>
                <w:sz w:val="18"/>
                <w:szCs w:val="14"/>
              </w:rPr>
            </w:pPr>
            <w:r w:rsidRPr="00F54AE3">
              <w:rPr>
                <w:rFonts w:asciiTheme="minorHAnsi" w:hAnsiTheme="minorHAnsi" w:cstheme="minorHAnsi"/>
                <w:sz w:val="18"/>
                <w:szCs w:val="14"/>
              </w:rPr>
              <w:t>(101)</w:t>
            </w:r>
          </w:p>
        </w:tc>
        <w:tc>
          <w:tcPr>
            <w:tcW w:w="957" w:type="dxa"/>
          </w:tcPr>
          <w:p w14:paraId="41667BA2" w14:textId="77777777" w:rsidR="00B02873" w:rsidRPr="00195B06" w:rsidRDefault="00B02873" w:rsidP="001E4AE1">
            <w:pPr>
              <w:pStyle w:val="TablebodyleftFinancialsTables"/>
              <w:jc w:val="right"/>
              <w:rPr>
                <w:rFonts w:asciiTheme="minorHAnsi" w:hAnsiTheme="minorHAnsi" w:cstheme="minorHAnsi"/>
                <w:b/>
                <w:bCs/>
                <w:sz w:val="18"/>
                <w:szCs w:val="14"/>
              </w:rPr>
            </w:pPr>
            <w:r w:rsidRPr="00195B06">
              <w:rPr>
                <w:rFonts w:asciiTheme="minorHAnsi" w:hAnsiTheme="minorHAnsi" w:cstheme="minorHAnsi"/>
                <w:b/>
                <w:bCs/>
                <w:sz w:val="18"/>
                <w:szCs w:val="14"/>
              </w:rPr>
              <w:t>(42)</w:t>
            </w:r>
          </w:p>
        </w:tc>
        <w:tc>
          <w:tcPr>
            <w:tcW w:w="958" w:type="dxa"/>
          </w:tcPr>
          <w:p w14:paraId="13A1BEE9" w14:textId="77777777" w:rsidR="00B02873" w:rsidRPr="00F54AE3" w:rsidRDefault="00B02873" w:rsidP="001E4AE1">
            <w:pPr>
              <w:pStyle w:val="TablebodyleftFinancialsTables"/>
              <w:jc w:val="right"/>
              <w:rPr>
                <w:rFonts w:asciiTheme="minorHAnsi" w:hAnsiTheme="minorHAnsi" w:cstheme="minorHAnsi"/>
                <w:sz w:val="18"/>
                <w:szCs w:val="14"/>
              </w:rPr>
            </w:pPr>
            <w:r w:rsidRPr="00F54AE3">
              <w:rPr>
                <w:rFonts w:asciiTheme="minorHAnsi" w:hAnsiTheme="minorHAnsi" w:cstheme="minorHAnsi"/>
                <w:sz w:val="18"/>
                <w:szCs w:val="14"/>
              </w:rPr>
              <w:t>(30)</w:t>
            </w:r>
          </w:p>
        </w:tc>
        <w:tc>
          <w:tcPr>
            <w:tcW w:w="1217" w:type="dxa"/>
          </w:tcPr>
          <w:p w14:paraId="3F25A7F1" w14:textId="77777777" w:rsidR="00B02873" w:rsidRPr="00195B06" w:rsidRDefault="00B02873" w:rsidP="001E4AE1">
            <w:pPr>
              <w:pStyle w:val="TablebodyleftFinancialsTables"/>
              <w:jc w:val="right"/>
              <w:rPr>
                <w:rFonts w:asciiTheme="minorHAnsi" w:hAnsiTheme="minorHAnsi" w:cstheme="minorHAnsi"/>
                <w:b/>
                <w:bCs/>
                <w:sz w:val="18"/>
                <w:szCs w:val="14"/>
              </w:rPr>
            </w:pPr>
            <w:r w:rsidRPr="00195B06">
              <w:rPr>
                <w:rFonts w:asciiTheme="minorHAnsi" w:hAnsiTheme="minorHAnsi" w:cstheme="minorHAnsi"/>
                <w:b/>
                <w:bCs/>
                <w:sz w:val="18"/>
                <w:szCs w:val="14"/>
              </w:rPr>
              <w:t>(231)</w:t>
            </w:r>
          </w:p>
        </w:tc>
        <w:tc>
          <w:tcPr>
            <w:tcW w:w="1218" w:type="dxa"/>
          </w:tcPr>
          <w:p w14:paraId="22A8A457" w14:textId="77777777" w:rsidR="00B02873" w:rsidRPr="00F54AE3" w:rsidRDefault="00B02873" w:rsidP="001E4AE1">
            <w:pPr>
              <w:pStyle w:val="TablebodyleftFinancialsTables"/>
              <w:jc w:val="right"/>
              <w:rPr>
                <w:rFonts w:asciiTheme="minorHAnsi" w:hAnsiTheme="minorHAnsi" w:cstheme="minorHAnsi"/>
                <w:sz w:val="18"/>
                <w:szCs w:val="14"/>
              </w:rPr>
            </w:pPr>
            <w:r w:rsidRPr="00F54AE3">
              <w:rPr>
                <w:rFonts w:asciiTheme="minorHAnsi" w:hAnsiTheme="minorHAnsi" w:cstheme="minorHAnsi"/>
                <w:sz w:val="18"/>
                <w:szCs w:val="14"/>
              </w:rPr>
              <w:t>( 225)</w:t>
            </w:r>
          </w:p>
        </w:tc>
      </w:tr>
      <w:tr w:rsidR="00B02873" w:rsidRPr="00F54AE3" w14:paraId="687FC3DD" w14:textId="77777777" w:rsidTr="00195B06">
        <w:trPr>
          <w:trHeight w:val="60"/>
        </w:trPr>
        <w:tc>
          <w:tcPr>
            <w:tcW w:w="3789" w:type="dxa"/>
          </w:tcPr>
          <w:p w14:paraId="5BE2A28C" w14:textId="77777777" w:rsidR="00B02873" w:rsidRPr="00195B06" w:rsidRDefault="00B02873" w:rsidP="00F54AE3">
            <w:pPr>
              <w:pStyle w:val="TablebodyleftFinancialsTables"/>
              <w:rPr>
                <w:rFonts w:asciiTheme="minorHAnsi" w:hAnsiTheme="minorHAnsi" w:cstheme="minorHAnsi"/>
                <w:b/>
                <w:bCs/>
                <w:sz w:val="18"/>
                <w:szCs w:val="14"/>
              </w:rPr>
            </w:pPr>
            <w:r w:rsidRPr="00195B06">
              <w:rPr>
                <w:rFonts w:asciiTheme="minorHAnsi" w:hAnsiTheme="minorHAnsi" w:cstheme="minorHAnsi"/>
                <w:b/>
                <w:bCs/>
                <w:sz w:val="18"/>
                <w:szCs w:val="14"/>
              </w:rPr>
              <w:t>Total administered net result from transactions (net operating balance)</w:t>
            </w:r>
          </w:p>
        </w:tc>
        <w:tc>
          <w:tcPr>
            <w:tcW w:w="957" w:type="dxa"/>
          </w:tcPr>
          <w:p w14:paraId="2082ACD4" w14:textId="77777777" w:rsidR="00B02873" w:rsidRPr="00195B06" w:rsidRDefault="00B02873" w:rsidP="001E4AE1">
            <w:pPr>
              <w:pStyle w:val="TablebodyleftFinancialsTables"/>
              <w:jc w:val="right"/>
              <w:rPr>
                <w:rFonts w:asciiTheme="minorHAnsi" w:hAnsiTheme="minorHAnsi" w:cstheme="minorHAnsi"/>
                <w:b/>
                <w:bCs/>
                <w:sz w:val="18"/>
                <w:szCs w:val="14"/>
              </w:rPr>
            </w:pPr>
            <w:r w:rsidRPr="00195B06">
              <w:rPr>
                <w:rFonts w:asciiTheme="minorHAnsi" w:hAnsiTheme="minorHAnsi" w:cstheme="minorHAnsi"/>
                <w:b/>
                <w:bCs/>
                <w:sz w:val="18"/>
                <w:szCs w:val="14"/>
              </w:rPr>
              <w:t>(66)</w:t>
            </w:r>
          </w:p>
        </w:tc>
        <w:tc>
          <w:tcPr>
            <w:tcW w:w="957" w:type="dxa"/>
          </w:tcPr>
          <w:p w14:paraId="502CFDEF" w14:textId="77777777" w:rsidR="00B02873" w:rsidRPr="00F54AE3" w:rsidRDefault="00B02873" w:rsidP="001E4AE1">
            <w:pPr>
              <w:pStyle w:val="TablebodyleftFinancialsTables"/>
              <w:jc w:val="right"/>
              <w:rPr>
                <w:rFonts w:asciiTheme="minorHAnsi" w:hAnsiTheme="minorHAnsi" w:cstheme="minorHAnsi"/>
                <w:sz w:val="18"/>
                <w:szCs w:val="14"/>
              </w:rPr>
            </w:pPr>
            <w:r w:rsidRPr="00F54AE3">
              <w:rPr>
                <w:rFonts w:asciiTheme="minorHAnsi" w:hAnsiTheme="minorHAnsi" w:cstheme="minorHAnsi"/>
                <w:sz w:val="18"/>
                <w:szCs w:val="14"/>
              </w:rPr>
              <w:t>58</w:t>
            </w:r>
          </w:p>
        </w:tc>
        <w:tc>
          <w:tcPr>
            <w:tcW w:w="957" w:type="dxa"/>
          </w:tcPr>
          <w:p w14:paraId="69168726" w14:textId="77777777" w:rsidR="00B02873" w:rsidRPr="00195B06" w:rsidRDefault="00B02873" w:rsidP="001E4AE1">
            <w:pPr>
              <w:pStyle w:val="TablebodyleftFinancialsTables"/>
              <w:jc w:val="right"/>
              <w:rPr>
                <w:rFonts w:asciiTheme="minorHAnsi" w:hAnsiTheme="minorHAnsi" w:cstheme="minorHAnsi"/>
                <w:b/>
                <w:bCs/>
                <w:sz w:val="18"/>
                <w:szCs w:val="14"/>
              </w:rPr>
            </w:pPr>
            <w:r w:rsidRPr="00195B06">
              <w:rPr>
                <w:rFonts w:asciiTheme="minorHAnsi" w:hAnsiTheme="minorHAnsi" w:cstheme="minorHAnsi"/>
                <w:b/>
                <w:bCs/>
                <w:sz w:val="18"/>
                <w:szCs w:val="14"/>
              </w:rPr>
              <w:t>(34)</w:t>
            </w:r>
          </w:p>
        </w:tc>
        <w:tc>
          <w:tcPr>
            <w:tcW w:w="958" w:type="dxa"/>
          </w:tcPr>
          <w:p w14:paraId="204BA808" w14:textId="77777777" w:rsidR="00B02873" w:rsidRPr="00F54AE3" w:rsidRDefault="00B02873" w:rsidP="001E4AE1">
            <w:pPr>
              <w:pStyle w:val="TablebodyleftFinancialsTables"/>
              <w:jc w:val="right"/>
              <w:rPr>
                <w:rFonts w:asciiTheme="minorHAnsi" w:hAnsiTheme="minorHAnsi" w:cstheme="minorHAnsi"/>
                <w:sz w:val="18"/>
                <w:szCs w:val="14"/>
              </w:rPr>
            </w:pPr>
            <w:r w:rsidRPr="00F54AE3">
              <w:rPr>
                <w:rFonts w:asciiTheme="minorHAnsi" w:hAnsiTheme="minorHAnsi" w:cstheme="minorHAnsi"/>
                <w:sz w:val="18"/>
                <w:szCs w:val="14"/>
              </w:rPr>
              <w:t>17</w:t>
            </w:r>
          </w:p>
        </w:tc>
        <w:tc>
          <w:tcPr>
            <w:tcW w:w="1217" w:type="dxa"/>
          </w:tcPr>
          <w:p w14:paraId="1179EB9D" w14:textId="77777777" w:rsidR="00B02873" w:rsidRPr="00195B06" w:rsidRDefault="00B02873" w:rsidP="001E4AE1">
            <w:pPr>
              <w:pStyle w:val="TablebodyleftFinancialsTables"/>
              <w:jc w:val="right"/>
              <w:rPr>
                <w:rFonts w:asciiTheme="minorHAnsi" w:hAnsiTheme="minorHAnsi" w:cstheme="minorHAnsi"/>
                <w:b/>
                <w:bCs/>
                <w:sz w:val="18"/>
                <w:szCs w:val="14"/>
              </w:rPr>
            </w:pPr>
            <w:r w:rsidRPr="00195B06">
              <w:rPr>
                <w:rFonts w:asciiTheme="minorHAnsi" w:hAnsiTheme="minorHAnsi" w:cstheme="minorHAnsi"/>
                <w:b/>
                <w:bCs/>
                <w:sz w:val="18"/>
                <w:szCs w:val="14"/>
              </w:rPr>
              <w:t>(128)</w:t>
            </w:r>
          </w:p>
        </w:tc>
        <w:tc>
          <w:tcPr>
            <w:tcW w:w="1218" w:type="dxa"/>
          </w:tcPr>
          <w:p w14:paraId="0D509C10" w14:textId="77777777" w:rsidR="00B02873" w:rsidRPr="00F54AE3" w:rsidRDefault="00B02873" w:rsidP="001E4AE1">
            <w:pPr>
              <w:pStyle w:val="TablebodyleftFinancialsTables"/>
              <w:jc w:val="right"/>
              <w:rPr>
                <w:rFonts w:asciiTheme="minorHAnsi" w:hAnsiTheme="minorHAnsi" w:cstheme="minorHAnsi"/>
                <w:sz w:val="18"/>
                <w:szCs w:val="14"/>
              </w:rPr>
            </w:pPr>
            <w:r w:rsidRPr="00F54AE3">
              <w:rPr>
                <w:rFonts w:asciiTheme="minorHAnsi" w:hAnsiTheme="minorHAnsi" w:cstheme="minorHAnsi"/>
                <w:sz w:val="18"/>
                <w:szCs w:val="14"/>
              </w:rPr>
              <w:t>101</w:t>
            </w:r>
          </w:p>
        </w:tc>
      </w:tr>
      <w:tr w:rsidR="00B02873" w:rsidRPr="00F54AE3" w14:paraId="32B6F98C" w14:textId="77777777" w:rsidTr="00195B06">
        <w:trPr>
          <w:trHeight w:val="60"/>
        </w:trPr>
        <w:tc>
          <w:tcPr>
            <w:tcW w:w="3789" w:type="dxa"/>
          </w:tcPr>
          <w:p w14:paraId="0889DC04" w14:textId="77777777" w:rsidR="00B02873" w:rsidRPr="00195B06" w:rsidRDefault="00B02873" w:rsidP="00F54AE3">
            <w:pPr>
              <w:pStyle w:val="TablebodyleftFinancialsTables"/>
              <w:rPr>
                <w:rFonts w:asciiTheme="minorHAnsi" w:hAnsiTheme="minorHAnsi" w:cstheme="minorHAnsi"/>
                <w:b/>
                <w:bCs/>
                <w:sz w:val="18"/>
                <w:szCs w:val="14"/>
              </w:rPr>
            </w:pPr>
            <w:r w:rsidRPr="00195B06">
              <w:rPr>
                <w:rFonts w:asciiTheme="minorHAnsi" w:hAnsiTheme="minorHAnsi" w:cstheme="minorHAnsi"/>
                <w:b/>
                <w:bCs/>
                <w:sz w:val="18"/>
                <w:szCs w:val="14"/>
              </w:rPr>
              <w:t>Administered other economic flows included in net result</w:t>
            </w:r>
          </w:p>
        </w:tc>
        <w:tc>
          <w:tcPr>
            <w:tcW w:w="957" w:type="dxa"/>
          </w:tcPr>
          <w:p w14:paraId="2BCA3A0E" w14:textId="77777777" w:rsidR="00B02873" w:rsidRPr="00195B06" w:rsidRDefault="00B02873" w:rsidP="001E4AE1">
            <w:pPr>
              <w:pStyle w:val="TablebodyleftFinancialsTables"/>
              <w:jc w:val="right"/>
              <w:rPr>
                <w:rFonts w:asciiTheme="minorHAnsi" w:hAnsiTheme="minorHAnsi" w:cstheme="minorHAnsi"/>
                <w:b/>
                <w:bCs/>
                <w:sz w:val="18"/>
                <w:szCs w:val="14"/>
              </w:rPr>
            </w:pPr>
          </w:p>
        </w:tc>
        <w:tc>
          <w:tcPr>
            <w:tcW w:w="957" w:type="dxa"/>
          </w:tcPr>
          <w:p w14:paraId="0821F232" w14:textId="77777777" w:rsidR="00B02873" w:rsidRPr="00F54AE3" w:rsidRDefault="00B02873" w:rsidP="001E4AE1">
            <w:pPr>
              <w:pStyle w:val="TablebodyleftFinancialsTables"/>
              <w:jc w:val="right"/>
              <w:rPr>
                <w:rFonts w:asciiTheme="minorHAnsi" w:hAnsiTheme="minorHAnsi" w:cstheme="minorHAnsi"/>
                <w:sz w:val="18"/>
                <w:szCs w:val="14"/>
              </w:rPr>
            </w:pPr>
          </w:p>
        </w:tc>
        <w:tc>
          <w:tcPr>
            <w:tcW w:w="957" w:type="dxa"/>
          </w:tcPr>
          <w:p w14:paraId="19552A1B" w14:textId="77777777" w:rsidR="00B02873" w:rsidRPr="00195B06" w:rsidRDefault="00B02873" w:rsidP="001E4AE1">
            <w:pPr>
              <w:pStyle w:val="TablebodyleftFinancialsTables"/>
              <w:jc w:val="right"/>
              <w:rPr>
                <w:rFonts w:asciiTheme="minorHAnsi" w:hAnsiTheme="minorHAnsi" w:cstheme="minorHAnsi"/>
                <w:b/>
                <w:bCs/>
                <w:sz w:val="18"/>
                <w:szCs w:val="14"/>
              </w:rPr>
            </w:pPr>
          </w:p>
        </w:tc>
        <w:tc>
          <w:tcPr>
            <w:tcW w:w="958" w:type="dxa"/>
          </w:tcPr>
          <w:p w14:paraId="733CFB4A" w14:textId="77777777" w:rsidR="00B02873" w:rsidRPr="00F54AE3" w:rsidRDefault="00B02873" w:rsidP="001E4AE1">
            <w:pPr>
              <w:pStyle w:val="TablebodyleftFinancialsTables"/>
              <w:jc w:val="right"/>
              <w:rPr>
                <w:rFonts w:asciiTheme="minorHAnsi" w:hAnsiTheme="minorHAnsi" w:cstheme="minorHAnsi"/>
                <w:sz w:val="18"/>
                <w:szCs w:val="14"/>
              </w:rPr>
            </w:pPr>
          </w:p>
        </w:tc>
        <w:tc>
          <w:tcPr>
            <w:tcW w:w="1217" w:type="dxa"/>
          </w:tcPr>
          <w:p w14:paraId="0581298B" w14:textId="77777777" w:rsidR="00B02873" w:rsidRPr="00195B06" w:rsidRDefault="00B02873" w:rsidP="001E4AE1">
            <w:pPr>
              <w:pStyle w:val="TablebodyleftFinancialsTables"/>
              <w:jc w:val="right"/>
              <w:rPr>
                <w:rFonts w:asciiTheme="minorHAnsi" w:hAnsiTheme="minorHAnsi" w:cstheme="minorHAnsi"/>
                <w:b/>
                <w:bCs/>
                <w:sz w:val="18"/>
                <w:szCs w:val="14"/>
              </w:rPr>
            </w:pPr>
          </w:p>
        </w:tc>
        <w:tc>
          <w:tcPr>
            <w:tcW w:w="1218" w:type="dxa"/>
          </w:tcPr>
          <w:p w14:paraId="47235D16" w14:textId="77777777" w:rsidR="00B02873" w:rsidRPr="00F54AE3" w:rsidRDefault="00B02873" w:rsidP="001E4AE1">
            <w:pPr>
              <w:pStyle w:val="TablebodyleftFinancialsTables"/>
              <w:jc w:val="right"/>
              <w:rPr>
                <w:rFonts w:asciiTheme="minorHAnsi" w:hAnsiTheme="minorHAnsi" w:cstheme="minorHAnsi"/>
                <w:sz w:val="18"/>
                <w:szCs w:val="14"/>
              </w:rPr>
            </w:pPr>
          </w:p>
        </w:tc>
      </w:tr>
      <w:tr w:rsidR="00B02873" w:rsidRPr="00F54AE3" w14:paraId="2224C4E2" w14:textId="77777777" w:rsidTr="00195B06">
        <w:trPr>
          <w:trHeight w:val="60"/>
        </w:trPr>
        <w:tc>
          <w:tcPr>
            <w:tcW w:w="3789" w:type="dxa"/>
          </w:tcPr>
          <w:p w14:paraId="3090408F" w14:textId="589CD520" w:rsidR="00B02873" w:rsidRPr="00F54AE3" w:rsidRDefault="00B02873" w:rsidP="00F54AE3">
            <w:pPr>
              <w:pStyle w:val="TablebodyleftFinancialsTables"/>
              <w:rPr>
                <w:rFonts w:asciiTheme="minorHAnsi" w:hAnsiTheme="minorHAnsi" w:cstheme="minorHAnsi"/>
                <w:sz w:val="18"/>
                <w:szCs w:val="14"/>
              </w:rPr>
            </w:pPr>
            <w:r w:rsidRPr="00F54AE3">
              <w:rPr>
                <w:rFonts w:asciiTheme="minorHAnsi" w:hAnsiTheme="minorHAnsi" w:cstheme="minorHAnsi"/>
                <w:sz w:val="18"/>
                <w:szCs w:val="14"/>
              </w:rPr>
              <w:t>Net gain/(loss) on non-financial assets</w:t>
            </w:r>
          </w:p>
        </w:tc>
        <w:tc>
          <w:tcPr>
            <w:tcW w:w="957" w:type="dxa"/>
          </w:tcPr>
          <w:p w14:paraId="2909797B" w14:textId="77777777" w:rsidR="00B02873" w:rsidRPr="00195B06" w:rsidRDefault="00B02873" w:rsidP="001E4AE1">
            <w:pPr>
              <w:pStyle w:val="TablebodyleftFinancialsTables"/>
              <w:jc w:val="right"/>
              <w:rPr>
                <w:rFonts w:asciiTheme="minorHAnsi" w:hAnsiTheme="minorHAnsi" w:cstheme="minorHAnsi"/>
                <w:b/>
                <w:bCs/>
                <w:sz w:val="18"/>
                <w:szCs w:val="14"/>
              </w:rPr>
            </w:pPr>
            <w:r w:rsidRPr="00195B06">
              <w:rPr>
                <w:rFonts w:asciiTheme="minorHAnsi" w:hAnsiTheme="minorHAnsi" w:cstheme="minorHAnsi"/>
                <w:b/>
                <w:bCs/>
                <w:sz w:val="18"/>
                <w:szCs w:val="14"/>
              </w:rPr>
              <w:t>(1)</w:t>
            </w:r>
          </w:p>
        </w:tc>
        <w:tc>
          <w:tcPr>
            <w:tcW w:w="957" w:type="dxa"/>
          </w:tcPr>
          <w:p w14:paraId="6B861AC1" w14:textId="77777777" w:rsidR="00B02873" w:rsidRPr="00F54AE3" w:rsidRDefault="00B02873" w:rsidP="001E4AE1">
            <w:pPr>
              <w:pStyle w:val="TablebodyleftFinancialsTables"/>
              <w:jc w:val="right"/>
              <w:rPr>
                <w:rFonts w:asciiTheme="minorHAnsi" w:hAnsiTheme="minorHAnsi" w:cstheme="minorHAnsi"/>
                <w:sz w:val="18"/>
                <w:szCs w:val="14"/>
              </w:rPr>
            </w:pPr>
            <w:r w:rsidRPr="00F54AE3">
              <w:rPr>
                <w:rFonts w:asciiTheme="minorHAnsi" w:hAnsiTheme="minorHAnsi" w:cstheme="minorHAnsi"/>
                <w:sz w:val="18"/>
                <w:szCs w:val="14"/>
              </w:rPr>
              <w:t>(3,256)</w:t>
            </w:r>
          </w:p>
        </w:tc>
        <w:tc>
          <w:tcPr>
            <w:tcW w:w="957" w:type="dxa"/>
          </w:tcPr>
          <w:p w14:paraId="12BD4B5D" w14:textId="77777777" w:rsidR="00B02873" w:rsidRPr="00195B06" w:rsidRDefault="00B02873" w:rsidP="001E4AE1">
            <w:pPr>
              <w:pStyle w:val="TablebodyleftFinancialsTables"/>
              <w:jc w:val="right"/>
              <w:rPr>
                <w:rFonts w:asciiTheme="minorHAnsi" w:hAnsiTheme="minorHAnsi" w:cstheme="minorHAnsi"/>
                <w:b/>
                <w:bCs/>
                <w:sz w:val="18"/>
                <w:szCs w:val="14"/>
              </w:rPr>
            </w:pPr>
            <w:r w:rsidRPr="00195B06">
              <w:rPr>
                <w:rFonts w:asciiTheme="minorHAnsi" w:hAnsiTheme="minorHAnsi" w:cstheme="minorHAnsi"/>
                <w:b/>
                <w:bCs/>
                <w:sz w:val="18"/>
                <w:szCs w:val="14"/>
              </w:rPr>
              <w:t>(1)</w:t>
            </w:r>
          </w:p>
        </w:tc>
        <w:tc>
          <w:tcPr>
            <w:tcW w:w="958" w:type="dxa"/>
          </w:tcPr>
          <w:p w14:paraId="0300DBF9" w14:textId="77777777" w:rsidR="00B02873" w:rsidRPr="00F54AE3" w:rsidRDefault="00B02873" w:rsidP="001E4AE1">
            <w:pPr>
              <w:pStyle w:val="TablebodyleftFinancialsTables"/>
              <w:jc w:val="right"/>
              <w:rPr>
                <w:rFonts w:asciiTheme="minorHAnsi" w:hAnsiTheme="minorHAnsi" w:cstheme="minorHAnsi"/>
                <w:sz w:val="18"/>
                <w:szCs w:val="14"/>
              </w:rPr>
            </w:pPr>
            <w:r w:rsidRPr="00F54AE3">
              <w:rPr>
                <w:rFonts w:asciiTheme="minorHAnsi" w:hAnsiTheme="minorHAnsi" w:cstheme="minorHAnsi"/>
                <w:sz w:val="18"/>
                <w:szCs w:val="14"/>
              </w:rPr>
              <w:t>(26)</w:t>
            </w:r>
          </w:p>
        </w:tc>
        <w:tc>
          <w:tcPr>
            <w:tcW w:w="1217" w:type="dxa"/>
          </w:tcPr>
          <w:p w14:paraId="530380E0" w14:textId="77777777" w:rsidR="00B02873" w:rsidRPr="00195B06" w:rsidRDefault="00B02873" w:rsidP="001E4AE1">
            <w:pPr>
              <w:pStyle w:val="TablebodyleftFinancialsTables"/>
              <w:jc w:val="right"/>
              <w:rPr>
                <w:rFonts w:asciiTheme="minorHAnsi" w:hAnsiTheme="minorHAnsi" w:cstheme="minorHAnsi"/>
                <w:b/>
                <w:bCs/>
                <w:sz w:val="18"/>
                <w:szCs w:val="14"/>
              </w:rPr>
            </w:pPr>
            <w:r w:rsidRPr="00195B06">
              <w:rPr>
                <w:rFonts w:asciiTheme="minorHAnsi" w:hAnsiTheme="minorHAnsi" w:cstheme="minorHAnsi"/>
                <w:b/>
                <w:bCs/>
                <w:sz w:val="18"/>
                <w:szCs w:val="14"/>
              </w:rPr>
              <w:t>(139)</w:t>
            </w:r>
          </w:p>
        </w:tc>
        <w:tc>
          <w:tcPr>
            <w:tcW w:w="1218" w:type="dxa"/>
          </w:tcPr>
          <w:p w14:paraId="4873EBAA" w14:textId="77777777" w:rsidR="00B02873" w:rsidRPr="00F54AE3" w:rsidRDefault="00B02873" w:rsidP="001E4AE1">
            <w:pPr>
              <w:pStyle w:val="TablebodyleftFinancialsTables"/>
              <w:jc w:val="right"/>
              <w:rPr>
                <w:rFonts w:asciiTheme="minorHAnsi" w:hAnsiTheme="minorHAnsi" w:cstheme="minorHAnsi"/>
                <w:sz w:val="18"/>
                <w:szCs w:val="14"/>
              </w:rPr>
            </w:pPr>
            <w:r w:rsidRPr="00F54AE3">
              <w:rPr>
                <w:rFonts w:asciiTheme="minorHAnsi" w:hAnsiTheme="minorHAnsi" w:cstheme="minorHAnsi"/>
                <w:sz w:val="18"/>
                <w:szCs w:val="14"/>
              </w:rPr>
              <w:t>(1,565)</w:t>
            </w:r>
          </w:p>
        </w:tc>
      </w:tr>
      <w:tr w:rsidR="00B02873" w:rsidRPr="00F54AE3" w14:paraId="7CF27838" w14:textId="77777777" w:rsidTr="00195B06">
        <w:trPr>
          <w:trHeight w:val="60"/>
        </w:trPr>
        <w:tc>
          <w:tcPr>
            <w:tcW w:w="3789" w:type="dxa"/>
          </w:tcPr>
          <w:p w14:paraId="77A1C9B2" w14:textId="77777777" w:rsidR="00B02873" w:rsidRPr="00F54AE3" w:rsidRDefault="00B02873" w:rsidP="00F54AE3">
            <w:pPr>
              <w:pStyle w:val="TablebodyleftFinancialsTables"/>
              <w:rPr>
                <w:rFonts w:asciiTheme="minorHAnsi" w:hAnsiTheme="minorHAnsi" w:cstheme="minorHAnsi"/>
                <w:sz w:val="18"/>
                <w:szCs w:val="14"/>
              </w:rPr>
            </w:pPr>
            <w:r w:rsidRPr="00F54AE3">
              <w:rPr>
                <w:rFonts w:asciiTheme="minorHAnsi" w:hAnsiTheme="minorHAnsi" w:cstheme="minorHAnsi"/>
                <w:sz w:val="18"/>
                <w:szCs w:val="14"/>
              </w:rPr>
              <w:t>Net gain/(loss) on financial instruments</w:t>
            </w:r>
          </w:p>
        </w:tc>
        <w:tc>
          <w:tcPr>
            <w:tcW w:w="957" w:type="dxa"/>
          </w:tcPr>
          <w:p w14:paraId="14C3A954" w14:textId="77777777" w:rsidR="00B02873" w:rsidRPr="00195B06" w:rsidRDefault="00B02873" w:rsidP="001E4AE1">
            <w:pPr>
              <w:pStyle w:val="TablebodyleftFinancialsTables"/>
              <w:jc w:val="right"/>
              <w:rPr>
                <w:rFonts w:asciiTheme="minorHAnsi" w:hAnsiTheme="minorHAnsi" w:cstheme="minorHAnsi"/>
                <w:b/>
                <w:bCs/>
                <w:sz w:val="18"/>
                <w:szCs w:val="14"/>
              </w:rPr>
            </w:pPr>
            <w:r w:rsidRPr="00195B06">
              <w:rPr>
                <w:rFonts w:asciiTheme="minorHAnsi" w:hAnsiTheme="minorHAnsi" w:cstheme="minorHAnsi"/>
                <w:b/>
                <w:bCs/>
                <w:sz w:val="18"/>
                <w:szCs w:val="14"/>
              </w:rPr>
              <w:t>4</w:t>
            </w:r>
          </w:p>
        </w:tc>
        <w:tc>
          <w:tcPr>
            <w:tcW w:w="957" w:type="dxa"/>
          </w:tcPr>
          <w:p w14:paraId="3143B224" w14:textId="77777777" w:rsidR="00B02873" w:rsidRPr="00F54AE3" w:rsidRDefault="00B02873" w:rsidP="001E4AE1">
            <w:pPr>
              <w:pStyle w:val="TablebodyleftFinancialsTables"/>
              <w:jc w:val="right"/>
              <w:rPr>
                <w:rFonts w:asciiTheme="minorHAnsi" w:hAnsiTheme="minorHAnsi" w:cstheme="minorHAnsi"/>
                <w:sz w:val="18"/>
                <w:szCs w:val="14"/>
              </w:rPr>
            </w:pPr>
            <w:r w:rsidRPr="00F54AE3">
              <w:rPr>
                <w:rFonts w:asciiTheme="minorHAnsi" w:hAnsiTheme="minorHAnsi" w:cstheme="minorHAnsi"/>
                <w:sz w:val="18"/>
                <w:szCs w:val="14"/>
              </w:rPr>
              <w:t>(42)</w:t>
            </w:r>
          </w:p>
        </w:tc>
        <w:tc>
          <w:tcPr>
            <w:tcW w:w="957" w:type="dxa"/>
          </w:tcPr>
          <w:p w14:paraId="0D15D284" w14:textId="77777777" w:rsidR="00B02873" w:rsidRPr="00195B06" w:rsidRDefault="00B02873" w:rsidP="001E4AE1">
            <w:pPr>
              <w:pStyle w:val="TablebodyleftFinancialsTables"/>
              <w:jc w:val="right"/>
              <w:rPr>
                <w:rFonts w:asciiTheme="minorHAnsi" w:hAnsiTheme="minorHAnsi" w:cstheme="minorHAnsi"/>
                <w:b/>
                <w:bCs/>
                <w:sz w:val="18"/>
                <w:szCs w:val="14"/>
              </w:rPr>
            </w:pPr>
            <w:r w:rsidRPr="00195B06">
              <w:rPr>
                <w:rFonts w:asciiTheme="minorHAnsi" w:hAnsiTheme="minorHAnsi" w:cstheme="minorHAnsi"/>
                <w:b/>
                <w:bCs/>
                <w:sz w:val="18"/>
                <w:szCs w:val="14"/>
              </w:rPr>
              <w:t>2</w:t>
            </w:r>
          </w:p>
        </w:tc>
        <w:tc>
          <w:tcPr>
            <w:tcW w:w="958" w:type="dxa"/>
          </w:tcPr>
          <w:p w14:paraId="1939D7B7" w14:textId="77777777" w:rsidR="00B02873" w:rsidRPr="00F54AE3" w:rsidRDefault="00B02873" w:rsidP="001E4AE1">
            <w:pPr>
              <w:pStyle w:val="TablebodyleftFinancialsTables"/>
              <w:jc w:val="right"/>
              <w:rPr>
                <w:rFonts w:asciiTheme="minorHAnsi" w:hAnsiTheme="minorHAnsi" w:cstheme="minorHAnsi"/>
                <w:sz w:val="18"/>
                <w:szCs w:val="14"/>
              </w:rPr>
            </w:pPr>
            <w:r w:rsidRPr="00F54AE3">
              <w:rPr>
                <w:rFonts w:asciiTheme="minorHAnsi" w:hAnsiTheme="minorHAnsi" w:cstheme="minorHAnsi"/>
                <w:sz w:val="18"/>
                <w:szCs w:val="14"/>
              </w:rPr>
              <w:t>(13)</w:t>
            </w:r>
          </w:p>
        </w:tc>
        <w:tc>
          <w:tcPr>
            <w:tcW w:w="1217" w:type="dxa"/>
          </w:tcPr>
          <w:p w14:paraId="5B153F13" w14:textId="77777777" w:rsidR="00B02873" w:rsidRPr="00195B06" w:rsidRDefault="00B02873" w:rsidP="001E4AE1">
            <w:pPr>
              <w:pStyle w:val="TablebodyleftFinancialsTables"/>
              <w:jc w:val="right"/>
              <w:rPr>
                <w:rFonts w:asciiTheme="minorHAnsi" w:hAnsiTheme="minorHAnsi" w:cstheme="minorHAnsi"/>
                <w:b/>
                <w:bCs/>
                <w:sz w:val="18"/>
                <w:szCs w:val="14"/>
              </w:rPr>
            </w:pPr>
            <w:r w:rsidRPr="00195B06">
              <w:rPr>
                <w:rFonts w:asciiTheme="minorHAnsi" w:hAnsiTheme="minorHAnsi" w:cstheme="minorHAnsi"/>
                <w:b/>
                <w:bCs/>
                <w:sz w:val="18"/>
                <w:szCs w:val="14"/>
              </w:rPr>
              <w:t>8</w:t>
            </w:r>
          </w:p>
        </w:tc>
        <w:tc>
          <w:tcPr>
            <w:tcW w:w="1218" w:type="dxa"/>
          </w:tcPr>
          <w:p w14:paraId="5921B390" w14:textId="77777777" w:rsidR="00B02873" w:rsidRPr="00F54AE3" w:rsidRDefault="00B02873" w:rsidP="001E4AE1">
            <w:pPr>
              <w:pStyle w:val="TablebodyleftFinancialsTables"/>
              <w:jc w:val="right"/>
              <w:rPr>
                <w:rFonts w:asciiTheme="minorHAnsi" w:hAnsiTheme="minorHAnsi" w:cstheme="minorHAnsi"/>
                <w:sz w:val="18"/>
                <w:szCs w:val="14"/>
              </w:rPr>
            </w:pPr>
            <w:r w:rsidRPr="00F54AE3">
              <w:rPr>
                <w:rFonts w:asciiTheme="minorHAnsi" w:hAnsiTheme="minorHAnsi" w:cstheme="minorHAnsi"/>
                <w:sz w:val="18"/>
                <w:szCs w:val="14"/>
              </w:rPr>
              <w:t>(75)</w:t>
            </w:r>
          </w:p>
        </w:tc>
      </w:tr>
      <w:tr w:rsidR="00B02873" w:rsidRPr="00F54AE3" w14:paraId="334A2AB9" w14:textId="77777777" w:rsidTr="006B0153">
        <w:tc>
          <w:tcPr>
            <w:tcW w:w="3789" w:type="dxa"/>
          </w:tcPr>
          <w:p w14:paraId="7CFB0589" w14:textId="77777777" w:rsidR="00B02873" w:rsidRPr="00195B06" w:rsidRDefault="00B02873" w:rsidP="00F54AE3">
            <w:pPr>
              <w:pStyle w:val="TablebodyleftFinancialsTables"/>
              <w:rPr>
                <w:rFonts w:asciiTheme="minorHAnsi" w:hAnsiTheme="minorHAnsi" w:cstheme="minorHAnsi"/>
                <w:spacing w:val="-4"/>
                <w:sz w:val="18"/>
                <w:szCs w:val="14"/>
              </w:rPr>
            </w:pPr>
            <w:r w:rsidRPr="00195B06">
              <w:rPr>
                <w:rFonts w:asciiTheme="minorHAnsi" w:hAnsiTheme="minorHAnsi" w:cstheme="minorHAnsi"/>
                <w:spacing w:val="-4"/>
                <w:sz w:val="18"/>
                <w:szCs w:val="14"/>
              </w:rPr>
              <w:t>Other gains/(losses) from other economic flows</w:t>
            </w:r>
          </w:p>
        </w:tc>
        <w:tc>
          <w:tcPr>
            <w:tcW w:w="957" w:type="dxa"/>
          </w:tcPr>
          <w:p w14:paraId="45104916" w14:textId="77777777" w:rsidR="00B02873" w:rsidRPr="00195B06" w:rsidRDefault="00B02873" w:rsidP="001E4AE1">
            <w:pPr>
              <w:pStyle w:val="TablebodyleftFinancialsTables"/>
              <w:jc w:val="right"/>
              <w:rPr>
                <w:rFonts w:asciiTheme="minorHAnsi" w:hAnsiTheme="minorHAnsi" w:cstheme="minorHAnsi"/>
                <w:b/>
                <w:bCs/>
                <w:sz w:val="18"/>
                <w:szCs w:val="14"/>
              </w:rPr>
            </w:pPr>
            <w:r w:rsidRPr="00195B06">
              <w:rPr>
                <w:rFonts w:asciiTheme="minorHAnsi" w:hAnsiTheme="minorHAnsi" w:cstheme="minorHAnsi"/>
                <w:b/>
                <w:bCs/>
                <w:sz w:val="18"/>
                <w:szCs w:val="14"/>
              </w:rPr>
              <w:t>–</w:t>
            </w:r>
          </w:p>
        </w:tc>
        <w:tc>
          <w:tcPr>
            <w:tcW w:w="957" w:type="dxa"/>
          </w:tcPr>
          <w:p w14:paraId="1CD0B5A0" w14:textId="77777777" w:rsidR="00B02873" w:rsidRPr="00F54AE3" w:rsidRDefault="00B02873" w:rsidP="001E4AE1">
            <w:pPr>
              <w:pStyle w:val="TablebodyleftFinancialsTables"/>
              <w:jc w:val="right"/>
              <w:rPr>
                <w:rFonts w:asciiTheme="minorHAnsi" w:hAnsiTheme="minorHAnsi" w:cstheme="minorHAnsi"/>
                <w:sz w:val="18"/>
                <w:szCs w:val="14"/>
              </w:rPr>
            </w:pPr>
            <w:r w:rsidRPr="00F54AE3">
              <w:rPr>
                <w:rFonts w:asciiTheme="minorHAnsi" w:hAnsiTheme="minorHAnsi" w:cstheme="minorHAnsi"/>
                <w:sz w:val="18"/>
                <w:szCs w:val="14"/>
              </w:rPr>
              <w:t>–</w:t>
            </w:r>
          </w:p>
        </w:tc>
        <w:tc>
          <w:tcPr>
            <w:tcW w:w="957" w:type="dxa"/>
          </w:tcPr>
          <w:p w14:paraId="0DD46C6E" w14:textId="77777777" w:rsidR="00B02873" w:rsidRPr="00195B06" w:rsidRDefault="00B02873" w:rsidP="001E4AE1">
            <w:pPr>
              <w:pStyle w:val="TablebodyleftFinancialsTables"/>
              <w:jc w:val="right"/>
              <w:rPr>
                <w:rFonts w:asciiTheme="minorHAnsi" w:hAnsiTheme="minorHAnsi" w:cstheme="minorHAnsi"/>
                <w:b/>
                <w:bCs/>
                <w:sz w:val="18"/>
                <w:szCs w:val="14"/>
              </w:rPr>
            </w:pPr>
            <w:r w:rsidRPr="00195B06">
              <w:rPr>
                <w:rFonts w:asciiTheme="minorHAnsi" w:hAnsiTheme="minorHAnsi" w:cstheme="minorHAnsi"/>
                <w:b/>
                <w:bCs/>
                <w:sz w:val="18"/>
                <w:szCs w:val="14"/>
              </w:rPr>
              <w:t>–</w:t>
            </w:r>
          </w:p>
        </w:tc>
        <w:tc>
          <w:tcPr>
            <w:tcW w:w="958" w:type="dxa"/>
          </w:tcPr>
          <w:p w14:paraId="29507F5F" w14:textId="77777777" w:rsidR="00B02873" w:rsidRPr="00F54AE3" w:rsidRDefault="00B02873" w:rsidP="001E4AE1">
            <w:pPr>
              <w:pStyle w:val="TablebodyleftFinancialsTables"/>
              <w:jc w:val="right"/>
              <w:rPr>
                <w:rFonts w:asciiTheme="minorHAnsi" w:hAnsiTheme="minorHAnsi" w:cstheme="minorHAnsi"/>
                <w:sz w:val="18"/>
                <w:szCs w:val="14"/>
              </w:rPr>
            </w:pPr>
            <w:r w:rsidRPr="00F54AE3">
              <w:rPr>
                <w:rFonts w:asciiTheme="minorHAnsi" w:hAnsiTheme="minorHAnsi" w:cstheme="minorHAnsi"/>
                <w:sz w:val="18"/>
                <w:szCs w:val="14"/>
              </w:rPr>
              <w:t>–</w:t>
            </w:r>
          </w:p>
        </w:tc>
        <w:tc>
          <w:tcPr>
            <w:tcW w:w="1217" w:type="dxa"/>
          </w:tcPr>
          <w:p w14:paraId="103316F6" w14:textId="77777777" w:rsidR="00B02873" w:rsidRPr="00195B06" w:rsidRDefault="00B02873" w:rsidP="001E4AE1">
            <w:pPr>
              <w:pStyle w:val="TablebodyleftFinancialsTables"/>
              <w:jc w:val="right"/>
              <w:rPr>
                <w:rFonts w:asciiTheme="minorHAnsi" w:hAnsiTheme="minorHAnsi" w:cstheme="minorHAnsi"/>
                <w:b/>
                <w:bCs/>
                <w:sz w:val="18"/>
                <w:szCs w:val="14"/>
              </w:rPr>
            </w:pPr>
            <w:r w:rsidRPr="00195B06">
              <w:rPr>
                <w:rFonts w:asciiTheme="minorHAnsi" w:hAnsiTheme="minorHAnsi" w:cstheme="minorHAnsi"/>
                <w:b/>
                <w:bCs/>
                <w:sz w:val="18"/>
                <w:szCs w:val="14"/>
              </w:rPr>
              <w:t>–</w:t>
            </w:r>
          </w:p>
        </w:tc>
        <w:tc>
          <w:tcPr>
            <w:tcW w:w="1218" w:type="dxa"/>
          </w:tcPr>
          <w:p w14:paraId="13049EBB" w14:textId="77777777" w:rsidR="00B02873" w:rsidRPr="00F54AE3" w:rsidRDefault="00B02873" w:rsidP="001E4AE1">
            <w:pPr>
              <w:pStyle w:val="TablebodyleftFinancialsTables"/>
              <w:jc w:val="right"/>
              <w:rPr>
                <w:rFonts w:asciiTheme="minorHAnsi" w:hAnsiTheme="minorHAnsi" w:cstheme="minorHAnsi"/>
                <w:sz w:val="18"/>
                <w:szCs w:val="14"/>
              </w:rPr>
            </w:pPr>
            <w:r w:rsidRPr="00F54AE3">
              <w:rPr>
                <w:rFonts w:asciiTheme="minorHAnsi" w:hAnsiTheme="minorHAnsi" w:cstheme="minorHAnsi"/>
                <w:sz w:val="18"/>
                <w:szCs w:val="14"/>
              </w:rPr>
              <w:t>–</w:t>
            </w:r>
          </w:p>
        </w:tc>
      </w:tr>
      <w:tr w:rsidR="00B02873" w:rsidRPr="00F54AE3" w14:paraId="5AAF9728" w14:textId="77777777" w:rsidTr="00195B06">
        <w:trPr>
          <w:trHeight w:val="60"/>
        </w:trPr>
        <w:tc>
          <w:tcPr>
            <w:tcW w:w="3789" w:type="dxa"/>
          </w:tcPr>
          <w:p w14:paraId="3F55DD4A" w14:textId="77777777" w:rsidR="00B02873" w:rsidRPr="00195B06" w:rsidRDefault="00B02873" w:rsidP="00F54AE3">
            <w:pPr>
              <w:pStyle w:val="TablebodyleftFinancialsTables"/>
              <w:rPr>
                <w:rFonts w:asciiTheme="minorHAnsi" w:hAnsiTheme="minorHAnsi" w:cstheme="minorHAnsi"/>
                <w:b/>
                <w:bCs/>
                <w:sz w:val="18"/>
                <w:szCs w:val="14"/>
              </w:rPr>
            </w:pPr>
            <w:r w:rsidRPr="00195B06">
              <w:rPr>
                <w:rFonts w:asciiTheme="minorHAnsi" w:hAnsiTheme="minorHAnsi" w:cstheme="minorHAnsi"/>
                <w:b/>
                <w:bCs/>
                <w:sz w:val="18"/>
                <w:szCs w:val="14"/>
              </w:rPr>
              <w:t>Total administered other economic flows included in net result</w:t>
            </w:r>
          </w:p>
        </w:tc>
        <w:tc>
          <w:tcPr>
            <w:tcW w:w="957" w:type="dxa"/>
          </w:tcPr>
          <w:p w14:paraId="5C1730CE" w14:textId="77777777" w:rsidR="00B02873" w:rsidRPr="00195B06" w:rsidRDefault="00B02873" w:rsidP="001E4AE1">
            <w:pPr>
              <w:pStyle w:val="TablebodyleftFinancialsTables"/>
              <w:jc w:val="right"/>
              <w:rPr>
                <w:rFonts w:asciiTheme="minorHAnsi" w:hAnsiTheme="minorHAnsi" w:cstheme="minorHAnsi"/>
                <w:b/>
                <w:bCs/>
                <w:sz w:val="18"/>
                <w:szCs w:val="14"/>
              </w:rPr>
            </w:pPr>
            <w:r w:rsidRPr="00195B06">
              <w:rPr>
                <w:rFonts w:asciiTheme="minorHAnsi" w:hAnsiTheme="minorHAnsi" w:cstheme="minorHAnsi"/>
                <w:b/>
                <w:bCs/>
                <w:sz w:val="18"/>
                <w:szCs w:val="14"/>
              </w:rPr>
              <w:t>3</w:t>
            </w:r>
          </w:p>
        </w:tc>
        <w:tc>
          <w:tcPr>
            <w:tcW w:w="957" w:type="dxa"/>
          </w:tcPr>
          <w:p w14:paraId="00B82F46" w14:textId="77777777" w:rsidR="00B02873" w:rsidRPr="00F54AE3" w:rsidRDefault="00B02873" w:rsidP="001E4AE1">
            <w:pPr>
              <w:pStyle w:val="TablebodyleftFinancialsTables"/>
              <w:jc w:val="right"/>
              <w:rPr>
                <w:rFonts w:asciiTheme="minorHAnsi" w:hAnsiTheme="minorHAnsi" w:cstheme="minorHAnsi"/>
                <w:sz w:val="18"/>
                <w:szCs w:val="14"/>
              </w:rPr>
            </w:pPr>
            <w:r w:rsidRPr="00F54AE3">
              <w:rPr>
                <w:rFonts w:asciiTheme="minorHAnsi" w:hAnsiTheme="minorHAnsi" w:cstheme="minorHAnsi"/>
                <w:sz w:val="18"/>
                <w:szCs w:val="14"/>
              </w:rPr>
              <w:t>(3,298)</w:t>
            </w:r>
          </w:p>
        </w:tc>
        <w:tc>
          <w:tcPr>
            <w:tcW w:w="957" w:type="dxa"/>
          </w:tcPr>
          <w:p w14:paraId="34FA3B24" w14:textId="77777777" w:rsidR="00B02873" w:rsidRPr="00195B06" w:rsidRDefault="00B02873" w:rsidP="001E4AE1">
            <w:pPr>
              <w:pStyle w:val="TablebodyleftFinancialsTables"/>
              <w:jc w:val="right"/>
              <w:rPr>
                <w:rFonts w:asciiTheme="minorHAnsi" w:hAnsiTheme="minorHAnsi" w:cstheme="minorHAnsi"/>
                <w:b/>
                <w:bCs/>
                <w:sz w:val="18"/>
                <w:szCs w:val="14"/>
              </w:rPr>
            </w:pPr>
            <w:r w:rsidRPr="00195B06">
              <w:rPr>
                <w:rFonts w:asciiTheme="minorHAnsi" w:hAnsiTheme="minorHAnsi" w:cstheme="minorHAnsi"/>
                <w:b/>
                <w:bCs/>
                <w:sz w:val="18"/>
                <w:szCs w:val="14"/>
              </w:rPr>
              <w:t>1</w:t>
            </w:r>
          </w:p>
        </w:tc>
        <w:tc>
          <w:tcPr>
            <w:tcW w:w="958" w:type="dxa"/>
          </w:tcPr>
          <w:p w14:paraId="7EBB9C15" w14:textId="77777777" w:rsidR="00B02873" w:rsidRPr="00F54AE3" w:rsidRDefault="00B02873" w:rsidP="001E4AE1">
            <w:pPr>
              <w:pStyle w:val="TablebodyleftFinancialsTables"/>
              <w:jc w:val="right"/>
              <w:rPr>
                <w:rFonts w:asciiTheme="minorHAnsi" w:hAnsiTheme="minorHAnsi" w:cstheme="minorHAnsi"/>
                <w:sz w:val="18"/>
                <w:szCs w:val="14"/>
              </w:rPr>
            </w:pPr>
            <w:r w:rsidRPr="00F54AE3">
              <w:rPr>
                <w:rFonts w:asciiTheme="minorHAnsi" w:hAnsiTheme="minorHAnsi" w:cstheme="minorHAnsi"/>
                <w:sz w:val="18"/>
                <w:szCs w:val="14"/>
              </w:rPr>
              <w:t>(39)</w:t>
            </w:r>
          </w:p>
        </w:tc>
        <w:tc>
          <w:tcPr>
            <w:tcW w:w="1217" w:type="dxa"/>
          </w:tcPr>
          <w:p w14:paraId="7E5FCC52" w14:textId="77777777" w:rsidR="00B02873" w:rsidRPr="00195B06" w:rsidRDefault="00B02873" w:rsidP="001E4AE1">
            <w:pPr>
              <w:pStyle w:val="TablebodyleftFinancialsTables"/>
              <w:jc w:val="right"/>
              <w:rPr>
                <w:rFonts w:asciiTheme="minorHAnsi" w:hAnsiTheme="minorHAnsi" w:cstheme="minorHAnsi"/>
                <w:b/>
                <w:bCs/>
                <w:sz w:val="18"/>
                <w:szCs w:val="14"/>
              </w:rPr>
            </w:pPr>
            <w:r w:rsidRPr="00195B06">
              <w:rPr>
                <w:rFonts w:asciiTheme="minorHAnsi" w:hAnsiTheme="minorHAnsi" w:cstheme="minorHAnsi"/>
                <w:b/>
                <w:bCs/>
                <w:sz w:val="18"/>
                <w:szCs w:val="14"/>
              </w:rPr>
              <w:t>(131)</w:t>
            </w:r>
          </w:p>
        </w:tc>
        <w:tc>
          <w:tcPr>
            <w:tcW w:w="1218" w:type="dxa"/>
          </w:tcPr>
          <w:p w14:paraId="3C2E6398" w14:textId="77777777" w:rsidR="00B02873" w:rsidRPr="00F54AE3" w:rsidRDefault="00B02873" w:rsidP="001E4AE1">
            <w:pPr>
              <w:pStyle w:val="TablebodyleftFinancialsTables"/>
              <w:jc w:val="right"/>
              <w:rPr>
                <w:rFonts w:asciiTheme="minorHAnsi" w:hAnsiTheme="minorHAnsi" w:cstheme="minorHAnsi"/>
                <w:sz w:val="18"/>
                <w:szCs w:val="14"/>
              </w:rPr>
            </w:pPr>
            <w:r w:rsidRPr="00F54AE3">
              <w:rPr>
                <w:rFonts w:asciiTheme="minorHAnsi" w:hAnsiTheme="minorHAnsi" w:cstheme="minorHAnsi"/>
                <w:sz w:val="18"/>
                <w:szCs w:val="14"/>
              </w:rPr>
              <w:t>(1,640)</w:t>
            </w:r>
          </w:p>
        </w:tc>
      </w:tr>
      <w:tr w:rsidR="00B02873" w:rsidRPr="00F54AE3" w14:paraId="052F1C12" w14:textId="77777777" w:rsidTr="00195B06">
        <w:trPr>
          <w:trHeight w:val="60"/>
        </w:trPr>
        <w:tc>
          <w:tcPr>
            <w:tcW w:w="3789" w:type="dxa"/>
          </w:tcPr>
          <w:p w14:paraId="1D46CAAD" w14:textId="77777777" w:rsidR="00B02873" w:rsidRPr="00195B06" w:rsidRDefault="00B02873" w:rsidP="00F54AE3">
            <w:pPr>
              <w:pStyle w:val="TablebodyleftFinancialsTables"/>
              <w:rPr>
                <w:rFonts w:asciiTheme="minorHAnsi" w:hAnsiTheme="minorHAnsi" w:cstheme="minorHAnsi"/>
                <w:b/>
                <w:bCs/>
                <w:sz w:val="18"/>
                <w:szCs w:val="14"/>
              </w:rPr>
            </w:pPr>
            <w:r w:rsidRPr="00195B06">
              <w:rPr>
                <w:rFonts w:asciiTheme="minorHAnsi" w:hAnsiTheme="minorHAnsi" w:cstheme="minorHAnsi"/>
                <w:b/>
                <w:bCs/>
                <w:sz w:val="18"/>
                <w:szCs w:val="14"/>
              </w:rPr>
              <w:t>Administered net result</w:t>
            </w:r>
          </w:p>
        </w:tc>
        <w:tc>
          <w:tcPr>
            <w:tcW w:w="957" w:type="dxa"/>
          </w:tcPr>
          <w:p w14:paraId="3FDA0CF7" w14:textId="77777777" w:rsidR="00B02873" w:rsidRPr="00195B06" w:rsidRDefault="00B02873" w:rsidP="001E4AE1">
            <w:pPr>
              <w:pStyle w:val="TablebodyleftFinancialsTables"/>
              <w:jc w:val="right"/>
              <w:rPr>
                <w:rFonts w:asciiTheme="minorHAnsi" w:hAnsiTheme="minorHAnsi" w:cstheme="minorHAnsi"/>
                <w:b/>
                <w:bCs/>
                <w:sz w:val="18"/>
                <w:szCs w:val="14"/>
              </w:rPr>
            </w:pPr>
            <w:r w:rsidRPr="00195B06">
              <w:rPr>
                <w:rFonts w:asciiTheme="minorHAnsi" w:hAnsiTheme="minorHAnsi" w:cstheme="minorHAnsi"/>
                <w:b/>
                <w:bCs/>
                <w:sz w:val="18"/>
                <w:szCs w:val="14"/>
              </w:rPr>
              <w:t>(63)</w:t>
            </w:r>
          </w:p>
        </w:tc>
        <w:tc>
          <w:tcPr>
            <w:tcW w:w="957" w:type="dxa"/>
          </w:tcPr>
          <w:p w14:paraId="2B302976" w14:textId="77777777" w:rsidR="00B02873" w:rsidRPr="00F54AE3" w:rsidRDefault="00B02873" w:rsidP="001E4AE1">
            <w:pPr>
              <w:pStyle w:val="TablebodyleftFinancialsTables"/>
              <w:jc w:val="right"/>
              <w:rPr>
                <w:rFonts w:asciiTheme="minorHAnsi" w:hAnsiTheme="minorHAnsi" w:cstheme="minorHAnsi"/>
                <w:sz w:val="18"/>
                <w:szCs w:val="14"/>
              </w:rPr>
            </w:pPr>
            <w:r w:rsidRPr="00F54AE3">
              <w:rPr>
                <w:rFonts w:asciiTheme="minorHAnsi" w:hAnsiTheme="minorHAnsi" w:cstheme="minorHAnsi"/>
                <w:sz w:val="18"/>
                <w:szCs w:val="14"/>
              </w:rPr>
              <w:t>(3,240)</w:t>
            </w:r>
          </w:p>
        </w:tc>
        <w:tc>
          <w:tcPr>
            <w:tcW w:w="957" w:type="dxa"/>
          </w:tcPr>
          <w:p w14:paraId="71B36383" w14:textId="77777777" w:rsidR="00B02873" w:rsidRPr="00195B06" w:rsidRDefault="00B02873" w:rsidP="001E4AE1">
            <w:pPr>
              <w:pStyle w:val="TablebodyleftFinancialsTables"/>
              <w:jc w:val="right"/>
              <w:rPr>
                <w:rFonts w:asciiTheme="minorHAnsi" w:hAnsiTheme="minorHAnsi" w:cstheme="minorHAnsi"/>
                <w:b/>
                <w:bCs/>
                <w:sz w:val="18"/>
                <w:szCs w:val="14"/>
              </w:rPr>
            </w:pPr>
            <w:r w:rsidRPr="00195B06">
              <w:rPr>
                <w:rFonts w:asciiTheme="minorHAnsi" w:hAnsiTheme="minorHAnsi" w:cstheme="minorHAnsi"/>
                <w:b/>
                <w:bCs/>
                <w:sz w:val="18"/>
                <w:szCs w:val="14"/>
              </w:rPr>
              <w:t>(33)</w:t>
            </w:r>
          </w:p>
        </w:tc>
        <w:tc>
          <w:tcPr>
            <w:tcW w:w="958" w:type="dxa"/>
          </w:tcPr>
          <w:p w14:paraId="09FD9C05" w14:textId="77777777" w:rsidR="00B02873" w:rsidRPr="00F54AE3" w:rsidRDefault="00B02873" w:rsidP="001E4AE1">
            <w:pPr>
              <w:pStyle w:val="TablebodyleftFinancialsTables"/>
              <w:jc w:val="right"/>
              <w:rPr>
                <w:rFonts w:asciiTheme="minorHAnsi" w:hAnsiTheme="minorHAnsi" w:cstheme="minorHAnsi"/>
                <w:sz w:val="18"/>
                <w:szCs w:val="14"/>
              </w:rPr>
            </w:pPr>
            <w:r w:rsidRPr="00F54AE3">
              <w:rPr>
                <w:rFonts w:asciiTheme="minorHAnsi" w:hAnsiTheme="minorHAnsi" w:cstheme="minorHAnsi"/>
                <w:sz w:val="18"/>
                <w:szCs w:val="14"/>
              </w:rPr>
              <w:t>(22)</w:t>
            </w:r>
          </w:p>
        </w:tc>
        <w:tc>
          <w:tcPr>
            <w:tcW w:w="1217" w:type="dxa"/>
          </w:tcPr>
          <w:p w14:paraId="61571001" w14:textId="77777777" w:rsidR="00B02873" w:rsidRPr="00195B06" w:rsidRDefault="00B02873" w:rsidP="001E4AE1">
            <w:pPr>
              <w:pStyle w:val="TablebodyleftFinancialsTables"/>
              <w:jc w:val="right"/>
              <w:rPr>
                <w:rFonts w:asciiTheme="minorHAnsi" w:hAnsiTheme="minorHAnsi" w:cstheme="minorHAnsi"/>
                <w:b/>
                <w:bCs/>
                <w:sz w:val="18"/>
                <w:szCs w:val="14"/>
              </w:rPr>
            </w:pPr>
            <w:r w:rsidRPr="00195B06">
              <w:rPr>
                <w:rFonts w:asciiTheme="minorHAnsi" w:hAnsiTheme="minorHAnsi" w:cstheme="minorHAnsi"/>
                <w:b/>
                <w:bCs/>
                <w:sz w:val="18"/>
                <w:szCs w:val="14"/>
              </w:rPr>
              <w:t>(259)</w:t>
            </w:r>
          </w:p>
        </w:tc>
        <w:tc>
          <w:tcPr>
            <w:tcW w:w="1218" w:type="dxa"/>
          </w:tcPr>
          <w:p w14:paraId="640DEC4C" w14:textId="77777777" w:rsidR="00B02873" w:rsidRPr="00F54AE3" w:rsidRDefault="00B02873" w:rsidP="001E4AE1">
            <w:pPr>
              <w:pStyle w:val="TablebodyleftFinancialsTables"/>
              <w:jc w:val="right"/>
              <w:rPr>
                <w:rFonts w:asciiTheme="minorHAnsi" w:hAnsiTheme="minorHAnsi" w:cstheme="minorHAnsi"/>
                <w:sz w:val="18"/>
                <w:szCs w:val="14"/>
              </w:rPr>
            </w:pPr>
            <w:r w:rsidRPr="00F54AE3">
              <w:rPr>
                <w:rFonts w:asciiTheme="minorHAnsi" w:hAnsiTheme="minorHAnsi" w:cstheme="minorHAnsi"/>
                <w:sz w:val="18"/>
                <w:szCs w:val="14"/>
              </w:rPr>
              <w:t>(1,539)</w:t>
            </w:r>
          </w:p>
        </w:tc>
      </w:tr>
      <w:tr w:rsidR="00B02873" w:rsidRPr="00F54AE3" w14:paraId="3FBA5E7E" w14:textId="77777777" w:rsidTr="00195B06">
        <w:trPr>
          <w:trHeight w:val="60"/>
        </w:trPr>
        <w:tc>
          <w:tcPr>
            <w:tcW w:w="3789" w:type="dxa"/>
          </w:tcPr>
          <w:p w14:paraId="7B5486B3" w14:textId="77777777" w:rsidR="00B02873" w:rsidRPr="00195B06" w:rsidRDefault="00B02873" w:rsidP="00F54AE3">
            <w:pPr>
              <w:pStyle w:val="TablebodyleftFinancialsTables"/>
              <w:rPr>
                <w:rFonts w:asciiTheme="minorHAnsi" w:hAnsiTheme="minorHAnsi" w:cstheme="minorHAnsi"/>
                <w:b/>
                <w:bCs/>
                <w:sz w:val="18"/>
                <w:szCs w:val="14"/>
              </w:rPr>
            </w:pPr>
            <w:r w:rsidRPr="00195B06">
              <w:rPr>
                <w:rFonts w:asciiTheme="minorHAnsi" w:hAnsiTheme="minorHAnsi" w:cstheme="minorHAnsi"/>
                <w:b/>
                <w:bCs/>
                <w:sz w:val="18"/>
                <w:szCs w:val="14"/>
              </w:rPr>
              <w:t>Other comprehensive income</w:t>
            </w:r>
          </w:p>
        </w:tc>
        <w:tc>
          <w:tcPr>
            <w:tcW w:w="957" w:type="dxa"/>
          </w:tcPr>
          <w:p w14:paraId="74C068A6" w14:textId="77777777" w:rsidR="00B02873" w:rsidRPr="00195B06" w:rsidRDefault="00B02873" w:rsidP="001E4AE1">
            <w:pPr>
              <w:pStyle w:val="TablebodyleftFinancialsTables"/>
              <w:jc w:val="right"/>
              <w:rPr>
                <w:rFonts w:asciiTheme="minorHAnsi" w:hAnsiTheme="minorHAnsi" w:cstheme="minorHAnsi"/>
                <w:b/>
                <w:bCs/>
                <w:sz w:val="18"/>
                <w:szCs w:val="14"/>
              </w:rPr>
            </w:pPr>
            <w:r w:rsidRPr="00195B06">
              <w:rPr>
                <w:rFonts w:asciiTheme="minorHAnsi" w:hAnsiTheme="minorHAnsi" w:cstheme="minorHAnsi"/>
                <w:b/>
                <w:bCs/>
                <w:sz w:val="18"/>
                <w:szCs w:val="14"/>
              </w:rPr>
              <w:t>–</w:t>
            </w:r>
          </w:p>
        </w:tc>
        <w:tc>
          <w:tcPr>
            <w:tcW w:w="957" w:type="dxa"/>
          </w:tcPr>
          <w:p w14:paraId="147BB09A" w14:textId="77777777" w:rsidR="00B02873" w:rsidRPr="00F54AE3" w:rsidRDefault="00B02873" w:rsidP="001E4AE1">
            <w:pPr>
              <w:pStyle w:val="TablebodyleftFinancialsTables"/>
              <w:jc w:val="right"/>
              <w:rPr>
                <w:rFonts w:asciiTheme="minorHAnsi" w:hAnsiTheme="minorHAnsi" w:cstheme="minorHAnsi"/>
                <w:sz w:val="18"/>
                <w:szCs w:val="14"/>
              </w:rPr>
            </w:pPr>
            <w:r w:rsidRPr="00F54AE3">
              <w:rPr>
                <w:rFonts w:asciiTheme="minorHAnsi" w:hAnsiTheme="minorHAnsi" w:cstheme="minorHAnsi"/>
                <w:sz w:val="18"/>
                <w:szCs w:val="14"/>
              </w:rPr>
              <w:t>–</w:t>
            </w:r>
          </w:p>
        </w:tc>
        <w:tc>
          <w:tcPr>
            <w:tcW w:w="957" w:type="dxa"/>
          </w:tcPr>
          <w:p w14:paraId="6832C701" w14:textId="77777777" w:rsidR="00B02873" w:rsidRPr="00195B06" w:rsidRDefault="00B02873" w:rsidP="001E4AE1">
            <w:pPr>
              <w:pStyle w:val="TablebodyleftFinancialsTables"/>
              <w:jc w:val="right"/>
              <w:rPr>
                <w:rFonts w:asciiTheme="minorHAnsi" w:hAnsiTheme="minorHAnsi" w:cstheme="minorHAnsi"/>
                <w:b/>
                <w:bCs/>
                <w:sz w:val="18"/>
                <w:szCs w:val="14"/>
              </w:rPr>
            </w:pPr>
            <w:r w:rsidRPr="00195B06">
              <w:rPr>
                <w:rFonts w:asciiTheme="minorHAnsi" w:hAnsiTheme="minorHAnsi" w:cstheme="minorHAnsi"/>
                <w:b/>
                <w:bCs/>
                <w:sz w:val="18"/>
                <w:szCs w:val="14"/>
              </w:rPr>
              <w:t>–</w:t>
            </w:r>
          </w:p>
        </w:tc>
        <w:tc>
          <w:tcPr>
            <w:tcW w:w="958" w:type="dxa"/>
          </w:tcPr>
          <w:p w14:paraId="7F096101" w14:textId="77777777" w:rsidR="00B02873" w:rsidRPr="00F54AE3" w:rsidRDefault="00B02873" w:rsidP="001E4AE1">
            <w:pPr>
              <w:pStyle w:val="TablebodyleftFinancialsTables"/>
              <w:jc w:val="right"/>
              <w:rPr>
                <w:rFonts w:asciiTheme="minorHAnsi" w:hAnsiTheme="minorHAnsi" w:cstheme="minorHAnsi"/>
                <w:sz w:val="18"/>
                <w:szCs w:val="14"/>
              </w:rPr>
            </w:pPr>
            <w:r w:rsidRPr="00F54AE3">
              <w:rPr>
                <w:rFonts w:asciiTheme="minorHAnsi" w:hAnsiTheme="minorHAnsi" w:cstheme="minorHAnsi"/>
                <w:sz w:val="18"/>
                <w:szCs w:val="14"/>
              </w:rPr>
              <w:t>–</w:t>
            </w:r>
          </w:p>
        </w:tc>
        <w:tc>
          <w:tcPr>
            <w:tcW w:w="1217" w:type="dxa"/>
          </w:tcPr>
          <w:p w14:paraId="25DB55EE" w14:textId="77777777" w:rsidR="00B02873" w:rsidRPr="00195B06" w:rsidRDefault="00B02873" w:rsidP="001E4AE1">
            <w:pPr>
              <w:pStyle w:val="TablebodyleftFinancialsTables"/>
              <w:jc w:val="right"/>
              <w:rPr>
                <w:rFonts w:asciiTheme="minorHAnsi" w:hAnsiTheme="minorHAnsi" w:cstheme="minorHAnsi"/>
                <w:b/>
                <w:bCs/>
                <w:sz w:val="18"/>
                <w:szCs w:val="14"/>
              </w:rPr>
            </w:pPr>
            <w:r w:rsidRPr="00195B06">
              <w:rPr>
                <w:rFonts w:asciiTheme="minorHAnsi" w:hAnsiTheme="minorHAnsi" w:cstheme="minorHAnsi"/>
                <w:b/>
                <w:bCs/>
                <w:sz w:val="18"/>
                <w:szCs w:val="14"/>
              </w:rPr>
              <w:t>–</w:t>
            </w:r>
          </w:p>
        </w:tc>
        <w:tc>
          <w:tcPr>
            <w:tcW w:w="1218" w:type="dxa"/>
          </w:tcPr>
          <w:p w14:paraId="6A7C5AF5" w14:textId="77777777" w:rsidR="00B02873" w:rsidRPr="00F54AE3" w:rsidRDefault="00B02873" w:rsidP="001E4AE1">
            <w:pPr>
              <w:pStyle w:val="TablebodyleftFinancialsTables"/>
              <w:jc w:val="right"/>
              <w:rPr>
                <w:rFonts w:asciiTheme="minorHAnsi" w:hAnsiTheme="minorHAnsi" w:cstheme="minorHAnsi"/>
                <w:sz w:val="18"/>
                <w:szCs w:val="14"/>
              </w:rPr>
            </w:pPr>
            <w:r w:rsidRPr="00F54AE3">
              <w:rPr>
                <w:rFonts w:asciiTheme="minorHAnsi" w:hAnsiTheme="minorHAnsi" w:cstheme="minorHAnsi"/>
                <w:sz w:val="18"/>
                <w:szCs w:val="14"/>
              </w:rPr>
              <w:t>–</w:t>
            </w:r>
          </w:p>
        </w:tc>
      </w:tr>
      <w:tr w:rsidR="00B02873" w:rsidRPr="00F54AE3" w14:paraId="4501A6D9" w14:textId="77777777" w:rsidTr="00195B06">
        <w:trPr>
          <w:trHeight w:val="60"/>
        </w:trPr>
        <w:tc>
          <w:tcPr>
            <w:tcW w:w="3789" w:type="dxa"/>
          </w:tcPr>
          <w:p w14:paraId="6BC7DA6B" w14:textId="77777777" w:rsidR="00B02873" w:rsidRPr="00195B06" w:rsidRDefault="00B02873" w:rsidP="00F54AE3">
            <w:pPr>
              <w:pStyle w:val="TablebodyleftFinancialsTables"/>
              <w:rPr>
                <w:rFonts w:asciiTheme="minorHAnsi" w:hAnsiTheme="minorHAnsi" w:cstheme="minorHAnsi"/>
                <w:b/>
                <w:bCs/>
                <w:sz w:val="18"/>
                <w:szCs w:val="14"/>
              </w:rPr>
            </w:pPr>
            <w:r w:rsidRPr="00195B06">
              <w:rPr>
                <w:rFonts w:asciiTheme="minorHAnsi" w:hAnsiTheme="minorHAnsi" w:cstheme="minorHAnsi"/>
                <w:b/>
                <w:bCs/>
                <w:sz w:val="18"/>
                <w:szCs w:val="14"/>
              </w:rPr>
              <w:t>Administered comprehensive result</w:t>
            </w:r>
          </w:p>
        </w:tc>
        <w:tc>
          <w:tcPr>
            <w:tcW w:w="957" w:type="dxa"/>
          </w:tcPr>
          <w:p w14:paraId="6D13221F" w14:textId="2FABB139" w:rsidR="00B02873" w:rsidRPr="00195B06" w:rsidRDefault="00B02873" w:rsidP="001E4AE1">
            <w:pPr>
              <w:pStyle w:val="TablebodyleftFinancialsTables"/>
              <w:jc w:val="right"/>
              <w:rPr>
                <w:rFonts w:asciiTheme="minorHAnsi" w:hAnsiTheme="minorHAnsi" w:cstheme="minorHAnsi"/>
                <w:b/>
                <w:bCs/>
                <w:sz w:val="18"/>
                <w:szCs w:val="14"/>
              </w:rPr>
            </w:pPr>
            <w:r w:rsidRPr="00195B06">
              <w:rPr>
                <w:rFonts w:asciiTheme="minorHAnsi" w:hAnsiTheme="minorHAnsi" w:cstheme="minorHAnsi"/>
                <w:b/>
                <w:bCs/>
                <w:sz w:val="18"/>
                <w:szCs w:val="14"/>
              </w:rPr>
              <w:t xml:space="preserve">(63) </w:t>
            </w:r>
          </w:p>
        </w:tc>
        <w:tc>
          <w:tcPr>
            <w:tcW w:w="957" w:type="dxa"/>
          </w:tcPr>
          <w:p w14:paraId="1210E4CB" w14:textId="77777777" w:rsidR="00B02873" w:rsidRPr="00F54AE3" w:rsidRDefault="00B02873" w:rsidP="001E4AE1">
            <w:pPr>
              <w:pStyle w:val="TablebodyleftFinancialsTables"/>
              <w:jc w:val="right"/>
              <w:rPr>
                <w:rFonts w:asciiTheme="minorHAnsi" w:hAnsiTheme="minorHAnsi" w:cstheme="minorHAnsi"/>
                <w:sz w:val="18"/>
                <w:szCs w:val="14"/>
              </w:rPr>
            </w:pPr>
            <w:r w:rsidRPr="00F54AE3">
              <w:rPr>
                <w:rFonts w:asciiTheme="minorHAnsi" w:hAnsiTheme="minorHAnsi" w:cstheme="minorHAnsi"/>
                <w:sz w:val="18"/>
                <w:szCs w:val="14"/>
              </w:rPr>
              <w:t>(3,240)</w:t>
            </w:r>
          </w:p>
        </w:tc>
        <w:tc>
          <w:tcPr>
            <w:tcW w:w="957" w:type="dxa"/>
          </w:tcPr>
          <w:p w14:paraId="2D25F805" w14:textId="5968C580" w:rsidR="00B02873" w:rsidRPr="00195B06" w:rsidRDefault="00B02873" w:rsidP="001E4AE1">
            <w:pPr>
              <w:pStyle w:val="TablebodyleftFinancialsTables"/>
              <w:jc w:val="right"/>
              <w:rPr>
                <w:rFonts w:asciiTheme="minorHAnsi" w:hAnsiTheme="minorHAnsi" w:cstheme="minorHAnsi"/>
                <w:b/>
                <w:bCs/>
                <w:sz w:val="18"/>
                <w:szCs w:val="14"/>
              </w:rPr>
            </w:pPr>
            <w:r w:rsidRPr="00195B06">
              <w:rPr>
                <w:rFonts w:asciiTheme="minorHAnsi" w:hAnsiTheme="minorHAnsi" w:cstheme="minorHAnsi"/>
                <w:b/>
                <w:bCs/>
                <w:sz w:val="18"/>
                <w:szCs w:val="14"/>
              </w:rPr>
              <w:t>(33)</w:t>
            </w:r>
          </w:p>
        </w:tc>
        <w:tc>
          <w:tcPr>
            <w:tcW w:w="958" w:type="dxa"/>
          </w:tcPr>
          <w:p w14:paraId="24A89B1B" w14:textId="77777777" w:rsidR="00B02873" w:rsidRPr="00F54AE3" w:rsidRDefault="00B02873" w:rsidP="001E4AE1">
            <w:pPr>
              <w:pStyle w:val="TablebodyleftFinancialsTables"/>
              <w:jc w:val="right"/>
              <w:rPr>
                <w:rFonts w:asciiTheme="minorHAnsi" w:hAnsiTheme="minorHAnsi" w:cstheme="minorHAnsi"/>
                <w:sz w:val="18"/>
                <w:szCs w:val="14"/>
              </w:rPr>
            </w:pPr>
            <w:r w:rsidRPr="00F54AE3">
              <w:rPr>
                <w:rFonts w:asciiTheme="minorHAnsi" w:hAnsiTheme="minorHAnsi" w:cstheme="minorHAnsi"/>
                <w:sz w:val="18"/>
                <w:szCs w:val="14"/>
              </w:rPr>
              <w:t>(22)</w:t>
            </w:r>
          </w:p>
        </w:tc>
        <w:tc>
          <w:tcPr>
            <w:tcW w:w="1217" w:type="dxa"/>
          </w:tcPr>
          <w:p w14:paraId="735312A1" w14:textId="77777777" w:rsidR="00B02873" w:rsidRPr="00195B06" w:rsidRDefault="00B02873" w:rsidP="001E4AE1">
            <w:pPr>
              <w:pStyle w:val="TablebodyleftFinancialsTables"/>
              <w:jc w:val="right"/>
              <w:rPr>
                <w:rFonts w:asciiTheme="minorHAnsi" w:hAnsiTheme="minorHAnsi" w:cstheme="minorHAnsi"/>
                <w:b/>
                <w:bCs/>
                <w:sz w:val="18"/>
                <w:szCs w:val="14"/>
              </w:rPr>
            </w:pPr>
            <w:r w:rsidRPr="00195B06">
              <w:rPr>
                <w:rFonts w:asciiTheme="minorHAnsi" w:hAnsiTheme="minorHAnsi" w:cstheme="minorHAnsi"/>
                <w:b/>
                <w:bCs/>
                <w:sz w:val="18"/>
                <w:szCs w:val="14"/>
              </w:rPr>
              <w:t>(259)</w:t>
            </w:r>
          </w:p>
        </w:tc>
        <w:tc>
          <w:tcPr>
            <w:tcW w:w="1218" w:type="dxa"/>
          </w:tcPr>
          <w:p w14:paraId="54FE90B1" w14:textId="77777777" w:rsidR="00B02873" w:rsidRPr="00F54AE3" w:rsidRDefault="00B02873" w:rsidP="001E4AE1">
            <w:pPr>
              <w:pStyle w:val="TablebodyleftFinancialsTables"/>
              <w:jc w:val="right"/>
              <w:rPr>
                <w:rFonts w:asciiTheme="minorHAnsi" w:hAnsiTheme="minorHAnsi" w:cstheme="minorHAnsi"/>
                <w:sz w:val="18"/>
                <w:szCs w:val="14"/>
              </w:rPr>
            </w:pPr>
            <w:r w:rsidRPr="00F54AE3">
              <w:rPr>
                <w:rFonts w:asciiTheme="minorHAnsi" w:hAnsiTheme="minorHAnsi" w:cstheme="minorHAnsi"/>
                <w:sz w:val="18"/>
                <w:szCs w:val="14"/>
              </w:rPr>
              <w:t>(1,539)</w:t>
            </w:r>
          </w:p>
        </w:tc>
      </w:tr>
    </w:tbl>
    <w:p w14:paraId="77F322B2" w14:textId="77777777" w:rsidR="00B02873" w:rsidRPr="00195B06" w:rsidRDefault="00B02873" w:rsidP="00195B06">
      <w:pPr>
        <w:pStyle w:val="SourceNote"/>
        <w:spacing w:after="120"/>
        <w:rPr>
          <w:b/>
          <w:bCs/>
        </w:rPr>
      </w:pPr>
      <w:r w:rsidRPr="00195B06">
        <w:rPr>
          <w:b/>
          <w:bCs/>
        </w:rPr>
        <w:t>Note:</w:t>
      </w:r>
    </w:p>
    <w:p w14:paraId="4586F33C" w14:textId="62F3DE4F" w:rsidR="00B02873" w:rsidRPr="00195B06" w:rsidRDefault="00B02873" w:rsidP="001128B1">
      <w:pPr>
        <w:pStyle w:val="SourceNotenumbered"/>
        <w:numPr>
          <w:ilvl w:val="0"/>
          <w:numId w:val="28"/>
        </w:numPr>
        <w:spacing w:after="200"/>
        <w:ind w:left="357" w:hanging="357"/>
        <w:rPr>
          <w:sz w:val="18"/>
          <w:szCs w:val="18"/>
        </w:rPr>
      </w:pPr>
      <w:r>
        <w:t>Relates to the transfer of customer loan repayments under the Solar Victoria scheme from the controlled entity to be remitted to the Department of Treasury and Finance.</w:t>
      </w:r>
    </w:p>
    <w:p w14:paraId="652E2647" w14:textId="77777777" w:rsidR="00B02873" w:rsidRDefault="00B02873" w:rsidP="00195B06">
      <w:pPr>
        <w:pStyle w:val="Heading4"/>
      </w:pPr>
      <w:r>
        <w:lastRenderedPageBreak/>
        <w:t>4.2.1 Administered income and expenses (continued)</w:t>
      </w:r>
    </w:p>
    <w:tbl>
      <w:tblPr>
        <w:tblStyle w:val="TableGrid"/>
        <w:tblW w:w="9790" w:type="dxa"/>
        <w:tblLayout w:type="fixed"/>
        <w:tblLook w:val="0020" w:firstRow="1" w:lastRow="0" w:firstColumn="0" w:lastColumn="0" w:noHBand="0" w:noVBand="0"/>
      </w:tblPr>
      <w:tblGrid>
        <w:gridCol w:w="3719"/>
        <w:gridCol w:w="902"/>
        <w:gridCol w:w="903"/>
        <w:gridCol w:w="1020"/>
        <w:gridCol w:w="1021"/>
        <w:gridCol w:w="1105"/>
        <w:gridCol w:w="1120"/>
      </w:tblGrid>
      <w:tr w:rsidR="00B02873" w:rsidRPr="002C49E2" w14:paraId="48AAE32C" w14:textId="77777777" w:rsidTr="002C49E2">
        <w:trPr>
          <w:cnfStyle w:val="100000000000" w:firstRow="1" w:lastRow="0" w:firstColumn="0" w:lastColumn="0" w:oddVBand="0" w:evenVBand="0" w:oddHBand="0" w:evenHBand="0" w:firstRowFirstColumn="0" w:firstRowLastColumn="0" w:lastRowFirstColumn="0" w:lastRowLastColumn="0"/>
          <w:tblHeader/>
        </w:trPr>
        <w:tc>
          <w:tcPr>
            <w:tcW w:w="3719" w:type="dxa"/>
          </w:tcPr>
          <w:p w14:paraId="5F2C05EB" w14:textId="77777777" w:rsidR="00B02873" w:rsidRPr="002C49E2" w:rsidRDefault="00B02873" w:rsidP="006B0153">
            <w:pPr>
              <w:pStyle w:val="TableheadingleftFinancialsTables"/>
              <w:rPr>
                <w:rFonts w:asciiTheme="minorHAnsi" w:hAnsiTheme="minorHAnsi" w:cstheme="minorHAnsi"/>
                <w:sz w:val="18"/>
                <w:szCs w:val="14"/>
              </w:rPr>
            </w:pPr>
          </w:p>
        </w:tc>
        <w:tc>
          <w:tcPr>
            <w:tcW w:w="902" w:type="dxa"/>
          </w:tcPr>
          <w:p w14:paraId="36EBE402" w14:textId="685BF7B5" w:rsidR="00B02873" w:rsidRPr="002C49E2" w:rsidRDefault="006B0153" w:rsidP="006B0153">
            <w:pPr>
              <w:pStyle w:val="TableheadingleftFinancialsTables"/>
              <w:jc w:val="right"/>
              <w:rPr>
                <w:rFonts w:asciiTheme="minorHAnsi" w:hAnsiTheme="minorHAnsi" w:cstheme="minorHAnsi"/>
                <w:sz w:val="18"/>
                <w:szCs w:val="14"/>
              </w:rPr>
            </w:pPr>
            <w:r w:rsidRPr="002C49E2">
              <w:rPr>
                <w:rFonts w:asciiTheme="minorHAnsi" w:hAnsiTheme="minorHAnsi" w:cstheme="minorHAnsi"/>
                <w:sz w:val="18"/>
                <w:szCs w:val="14"/>
              </w:rPr>
              <w:t xml:space="preserve">Energy </w:t>
            </w:r>
            <w:r w:rsidR="00B02873" w:rsidRPr="002C49E2">
              <w:rPr>
                <w:rFonts w:asciiTheme="minorHAnsi" w:hAnsiTheme="minorHAnsi" w:cstheme="minorHAnsi"/>
                <w:sz w:val="18"/>
                <w:szCs w:val="14"/>
              </w:rPr>
              <w:t xml:space="preserve">2022 </w:t>
            </w:r>
            <w:r w:rsidR="00B02873" w:rsidRPr="002C49E2">
              <w:rPr>
                <w:rFonts w:asciiTheme="minorHAnsi" w:hAnsiTheme="minorHAnsi" w:cstheme="minorHAnsi"/>
                <w:sz w:val="18"/>
                <w:szCs w:val="14"/>
              </w:rPr>
              <w:br/>
              <w:t>$’000</w:t>
            </w:r>
          </w:p>
        </w:tc>
        <w:tc>
          <w:tcPr>
            <w:tcW w:w="903" w:type="dxa"/>
          </w:tcPr>
          <w:p w14:paraId="12970030" w14:textId="7B70EFBB" w:rsidR="00B02873" w:rsidRPr="002C49E2" w:rsidRDefault="006B0153" w:rsidP="006B0153">
            <w:pPr>
              <w:pStyle w:val="TableheadingleftFinancialsTables"/>
              <w:jc w:val="right"/>
              <w:rPr>
                <w:rFonts w:asciiTheme="minorHAnsi" w:hAnsiTheme="minorHAnsi" w:cstheme="minorHAnsi"/>
                <w:sz w:val="18"/>
                <w:szCs w:val="14"/>
              </w:rPr>
            </w:pPr>
            <w:r w:rsidRPr="002C49E2">
              <w:rPr>
                <w:rFonts w:asciiTheme="minorHAnsi" w:hAnsiTheme="minorHAnsi" w:cstheme="minorHAnsi"/>
                <w:sz w:val="18"/>
                <w:szCs w:val="14"/>
              </w:rPr>
              <w:t xml:space="preserve">Energy </w:t>
            </w:r>
            <w:r w:rsidR="00B02873" w:rsidRPr="002C49E2">
              <w:rPr>
                <w:rFonts w:asciiTheme="minorHAnsi" w:hAnsiTheme="minorHAnsi" w:cstheme="minorHAnsi"/>
                <w:sz w:val="18"/>
                <w:szCs w:val="14"/>
              </w:rPr>
              <w:t>2021</w:t>
            </w:r>
            <w:r w:rsidR="00B02873" w:rsidRPr="002C49E2">
              <w:rPr>
                <w:rFonts w:asciiTheme="minorHAnsi" w:hAnsiTheme="minorHAnsi" w:cstheme="minorHAnsi"/>
                <w:sz w:val="18"/>
                <w:szCs w:val="14"/>
              </w:rPr>
              <w:br/>
              <w:t>$’000</w:t>
            </w:r>
          </w:p>
        </w:tc>
        <w:tc>
          <w:tcPr>
            <w:tcW w:w="1020" w:type="dxa"/>
          </w:tcPr>
          <w:p w14:paraId="45EEF4A6" w14:textId="691DD743" w:rsidR="00B02873" w:rsidRPr="002C49E2" w:rsidRDefault="006B0153" w:rsidP="006B0153">
            <w:pPr>
              <w:pStyle w:val="TableheadingleftFinancialsTables"/>
              <w:jc w:val="right"/>
              <w:rPr>
                <w:rFonts w:asciiTheme="minorHAnsi" w:hAnsiTheme="minorHAnsi" w:cstheme="minorHAnsi"/>
                <w:sz w:val="18"/>
                <w:szCs w:val="14"/>
              </w:rPr>
            </w:pPr>
            <w:r w:rsidRPr="002C49E2">
              <w:rPr>
                <w:rFonts w:asciiTheme="minorHAnsi" w:hAnsiTheme="minorHAnsi" w:cstheme="minorHAnsi"/>
                <w:sz w:val="18"/>
                <w:szCs w:val="14"/>
              </w:rPr>
              <w:t xml:space="preserve">Waste and Recycling </w:t>
            </w:r>
            <w:r w:rsidR="00B02873" w:rsidRPr="002C49E2">
              <w:rPr>
                <w:rFonts w:asciiTheme="minorHAnsi" w:hAnsiTheme="minorHAnsi" w:cstheme="minorHAnsi"/>
                <w:sz w:val="18"/>
                <w:szCs w:val="14"/>
              </w:rPr>
              <w:t xml:space="preserve">2022 </w:t>
            </w:r>
            <w:r w:rsidR="00B02873" w:rsidRPr="002C49E2">
              <w:rPr>
                <w:rFonts w:asciiTheme="minorHAnsi" w:hAnsiTheme="minorHAnsi" w:cstheme="minorHAnsi"/>
                <w:sz w:val="18"/>
                <w:szCs w:val="14"/>
              </w:rPr>
              <w:br/>
              <w:t>$’000</w:t>
            </w:r>
          </w:p>
        </w:tc>
        <w:tc>
          <w:tcPr>
            <w:tcW w:w="1021" w:type="dxa"/>
          </w:tcPr>
          <w:p w14:paraId="7B2C5B85" w14:textId="5C0C2252" w:rsidR="00B02873" w:rsidRPr="002C49E2" w:rsidRDefault="006B0153" w:rsidP="006B0153">
            <w:pPr>
              <w:pStyle w:val="TableheadingleftFinancialsTables"/>
              <w:jc w:val="right"/>
              <w:rPr>
                <w:rFonts w:asciiTheme="minorHAnsi" w:hAnsiTheme="minorHAnsi" w:cstheme="minorHAnsi"/>
                <w:sz w:val="18"/>
                <w:szCs w:val="14"/>
              </w:rPr>
            </w:pPr>
            <w:r w:rsidRPr="002C49E2">
              <w:rPr>
                <w:rFonts w:asciiTheme="minorHAnsi" w:hAnsiTheme="minorHAnsi" w:cstheme="minorHAnsi"/>
                <w:sz w:val="18"/>
                <w:szCs w:val="14"/>
              </w:rPr>
              <w:t xml:space="preserve">Waste and Recycling </w:t>
            </w:r>
            <w:r w:rsidR="00B02873" w:rsidRPr="002C49E2">
              <w:rPr>
                <w:rFonts w:asciiTheme="minorHAnsi" w:hAnsiTheme="minorHAnsi" w:cstheme="minorHAnsi"/>
                <w:sz w:val="18"/>
                <w:szCs w:val="14"/>
              </w:rPr>
              <w:t>2021</w:t>
            </w:r>
            <w:r w:rsidR="00B02873" w:rsidRPr="002C49E2">
              <w:rPr>
                <w:rFonts w:asciiTheme="minorHAnsi" w:hAnsiTheme="minorHAnsi" w:cstheme="minorHAnsi"/>
                <w:sz w:val="18"/>
                <w:szCs w:val="14"/>
              </w:rPr>
              <w:br/>
              <w:t>$’000</w:t>
            </w:r>
          </w:p>
        </w:tc>
        <w:tc>
          <w:tcPr>
            <w:tcW w:w="1105" w:type="dxa"/>
          </w:tcPr>
          <w:p w14:paraId="6FBFE7A3" w14:textId="27460706" w:rsidR="00B02873" w:rsidRPr="002C49E2" w:rsidRDefault="006B0153" w:rsidP="006B0153">
            <w:pPr>
              <w:pStyle w:val="TableheadingleftFinancialsTables"/>
              <w:jc w:val="right"/>
              <w:rPr>
                <w:rFonts w:asciiTheme="minorHAnsi" w:hAnsiTheme="minorHAnsi" w:cstheme="minorHAnsi"/>
                <w:sz w:val="18"/>
                <w:szCs w:val="14"/>
              </w:rPr>
            </w:pPr>
            <w:r w:rsidRPr="002C49E2">
              <w:rPr>
                <w:rFonts w:asciiTheme="minorHAnsi" w:hAnsiTheme="minorHAnsi" w:cstheme="minorHAnsi"/>
                <w:sz w:val="18"/>
                <w:szCs w:val="14"/>
              </w:rPr>
              <w:t xml:space="preserve">Total </w:t>
            </w:r>
            <w:r w:rsidR="00B02873" w:rsidRPr="002C49E2">
              <w:rPr>
                <w:rFonts w:asciiTheme="minorHAnsi" w:hAnsiTheme="minorHAnsi" w:cstheme="minorHAnsi"/>
                <w:sz w:val="18"/>
                <w:szCs w:val="14"/>
              </w:rPr>
              <w:t xml:space="preserve">2022 </w:t>
            </w:r>
            <w:r w:rsidR="00B02873" w:rsidRPr="002C49E2">
              <w:rPr>
                <w:rFonts w:asciiTheme="minorHAnsi" w:hAnsiTheme="minorHAnsi" w:cstheme="minorHAnsi"/>
                <w:sz w:val="18"/>
                <w:szCs w:val="14"/>
              </w:rPr>
              <w:br/>
              <w:t>$’000</w:t>
            </w:r>
          </w:p>
        </w:tc>
        <w:tc>
          <w:tcPr>
            <w:tcW w:w="1120" w:type="dxa"/>
          </w:tcPr>
          <w:p w14:paraId="30264ED4" w14:textId="08D8699D" w:rsidR="00B02873" w:rsidRPr="002C49E2" w:rsidRDefault="006B0153" w:rsidP="006B0153">
            <w:pPr>
              <w:pStyle w:val="TableheadingleftFinancialsTables"/>
              <w:jc w:val="right"/>
              <w:rPr>
                <w:rFonts w:asciiTheme="minorHAnsi" w:hAnsiTheme="minorHAnsi" w:cstheme="minorHAnsi"/>
                <w:sz w:val="18"/>
                <w:szCs w:val="14"/>
              </w:rPr>
            </w:pPr>
            <w:r w:rsidRPr="002C49E2">
              <w:rPr>
                <w:rFonts w:asciiTheme="minorHAnsi" w:hAnsiTheme="minorHAnsi" w:cstheme="minorHAnsi"/>
                <w:sz w:val="18"/>
                <w:szCs w:val="14"/>
              </w:rPr>
              <w:t xml:space="preserve">Total </w:t>
            </w:r>
            <w:r w:rsidR="00B02873" w:rsidRPr="002C49E2">
              <w:rPr>
                <w:rFonts w:asciiTheme="minorHAnsi" w:hAnsiTheme="minorHAnsi" w:cstheme="minorHAnsi"/>
                <w:sz w:val="18"/>
                <w:szCs w:val="14"/>
              </w:rPr>
              <w:t>2021</w:t>
            </w:r>
            <w:r w:rsidR="00B02873" w:rsidRPr="002C49E2">
              <w:rPr>
                <w:rFonts w:asciiTheme="minorHAnsi" w:hAnsiTheme="minorHAnsi" w:cstheme="minorHAnsi"/>
                <w:sz w:val="18"/>
                <w:szCs w:val="14"/>
              </w:rPr>
              <w:br/>
              <w:t>$’000</w:t>
            </w:r>
          </w:p>
        </w:tc>
      </w:tr>
      <w:tr w:rsidR="00B02873" w:rsidRPr="002C49E2" w14:paraId="0FA991D1" w14:textId="77777777" w:rsidTr="002C49E2">
        <w:tc>
          <w:tcPr>
            <w:tcW w:w="3719" w:type="dxa"/>
          </w:tcPr>
          <w:p w14:paraId="5ED9E5C0" w14:textId="42F34DD7" w:rsidR="00B02873" w:rsidRPr="002C49E2" w:rsidRDefault="00B02873" w:rsidP="006B0153">
            <w:pPr>
              <w:pStyle w:val="TablebodyleftFinancialsTables"/>
              <w:rPr>
                <w:rFonts w:asciiTheme="minorHAnsi" w:hAnsiTheme="minorHAnsi" w:cstheme="minorHAnsi"/>
                <w:b/>
                <w:bCs/>
                <w:sz w:val="18"/>
                <w:szCs w:val="14"/>
              </w:rPr>
            </w:pPr>
            <w:r w:rsidRPr="002C49E2">
              <w:rPr>
                <w:rFonts w:asciiTheme="minorHAnsi" w:hAnsiTheme="minorHAnsi" w:cstheme="minorHAnsi"/>
                <w:b/>
                <w:bCs/>
                <w:sz w:val="18"/>
                <w:szCs w:val="14"/>
              </w:rPr>
              <w:t>Administered revenue and income from transactions</w:t>
            </w:r>
          </w:p>
        </w:tc>
        <w:tc>
          <w:tcPr>
            <w:tcW w:w="902" w:type="dxa"/>
          </w:tcPr>
          <w:p w14:paraId="684FDDA0" w14:textId="77777777" w:rsidR="00B02873" w:rsidRPr="002C49E2" w:rsidRDefault="00B02873" w:rsidP="006B0153">
            <w:pPr>
              <w:pStyle w:val="TablebodyleftFinancialsTables"/>
              <w:jc w:val="right"/>
              <w:rPr>
                <w:rFonts w:asciiTheme="minorHAnsi" w:hAnsiTheme="minorHAnsi" w:cstheme="minorHAnsi"/>
                <w:b/>
                <w:bCs/>
                <w:sz w:val="18"/>
                <w:szCs w:val="14"/>
              </w:rPr>
            </w:pPr>
          </w:p>
        </w:tc>
        <w:tc>
          <w:tcPr>
            <w:tcW w:w="903" w:type="dxa"/>
          </w:tcPr>
          <w:p w14:paraId="5AF62C06" w14:textId="77777777" w:rsidR="00B02873" w:rsidRPr="002C49E2" w:rsidRDefault="00B02873" w:rsidP="006B0153">
            <w:pPr>
              <w:pStyle w:val="TablebodyleftFinancialsTables"/>
              <w:jc w:val="right"/>
              <w:rPr>
                <w:rFonts w:asciiTheme="minorHAnsi" w:hAnsiTheme="minorHAnsi" w:cstheme="minorHAnsi"/>
                <w:sz w:val="18"/>
                <w:szCs w:val="14"/>
              </w:rPr>
            </w:pPr>
          </w:p>
        </w:tc>
        <w:tc>
          <w:tcPr>
            <w:tcW w:w="1020" w:type="dxa"/>
          </w:tcPr>
          <w:p w14:paraId="3103C769" w14:textId="77777777" w:rsidR="00B02873" w:rsidRPr="002C49E2" w:rsidRDefault="00B02873" w:rsidP="006B0153">
            <w:pPr>
              <w:pStyle w:val="TablebodyleftFinancialsTables"/>
              <w:jc w:val="right"/>
              <w:rPr>
                <w:rFonts w:asciiTheme="minorHAnsi" w:hAnsiTheme="minorHAnsi" w:cstheme="minorHAnsi"/>
                <w:b/>
                <w:bCs/>
                <w:sz w:val="18"/>
                <w:szCs w:val="14"/>
              </w:rPr>
            </w:pPr>
          </w:p>
        </w:tc>
        <w:tc>
          <w:tcPr>
            <w:tcW w:w="1021" w:type="dxa"/>
          </w:tcPr>
          <w:p w14:paraId="7905C9D4" w14:textId="77777777" w:rsidR="00B02873" w:rsidRPr="002C49E2" w:rsidRDefault="00B02873" w:rsidP="006B0153">
            <w:pPr>
              <w:pStyle w:val="TablebodyleftFinancialsTables"/>
              <w:jc w:val="right"/>
              <w:rPr>
                <w:rFonts w:asciiTheme="minorHAnsi" w:hAnsiTheme="minorHAnsi" w:cstheme="minorHAnsi"/>
                <w:sz w:val="18"/>
                <w:szCs w:val="14"/>
              </w:rPr>
            </w:pPr>
          </w:p>
        </w:tc>
        <w:tc>
          <w:tcPr>
            <w:tcW w:w="1105" w:type="dxa"/>
          </w:tcPr>
          <w:p w14:paraId="6E1CBD2E" w14:textId="77777777" w:rsidR="00B02873" w:rsidRPr="002C49E2" w:rsidRDefault="00B02873" w:rsidP="006B0153">
            <w:pPr>
              <w:pStyle w:val="TablebodyleftFinancialsTables"/>
              <w:jc w:val="right"/>
              <w:rPr>
                <w:rFonts w:asciiTheme="minorHAnsi" w:hAnsiTheme="minorHAnsi" w:cstheme="minorHAnsi"/>
                <w:b/>
                <w:bCs/>
                <w:sz w:val="18"/>
                <w:szCs w:val="14"/>
              </w:rPr>
            </w:pPr>
          </w:p>
        </w:tc>
        <w:tc>
          <w:tcPr>
            <w:tcW w:w="1120" w:type="dxa"/>
          </w:tcPr>
          <w:p w14:paraId="5F926E97" w14:textId="77777777" w:rsidR="00B02873" w:rsidRPr="002C49E2" w:rsidRDefault="00B02873" w:rsidP="006B0153">
            <w:pPr>
              <w:pStyle w:val="TablebodyleftFinancialsTables"/>
              <w:jc w:val="right"/>
              <w:rPr>
                <w:rFonts w:asciiTheme="minorHAnsi" w:hAnsiTheme="minorHAnsi" w:cstheme="minorHAnsi"/>
                <w:sz w:val="18"/>
                <w:szCs w:val="14"/>
              </w:rPr>
            </w:pPr>
          </w:p>
        </w:tc>
      </w:tr>
      <w:tr w:rsidR="00B02873" w:rsidRPr="002C49E2" w14:paraId="59F67A52" w14:textId="77777777" w:rsidTr="002C49E2">
        <w:tc>
          <w:tcPr>
            <w:tcW w:w="3719" w:type="dxa"/>
          </w:tcPr>
          <w:p w14:paraId="774BB52C" w14:textId="77777777" w:rsidR="00B02873" w:rsidRPr="002C49E2" w:rsidRDefault="00B02873" w:rsidP="006B0153">
            <w:pPr>
              <w:pStyle w:val="TablebodyleftFinancialsTables"/>
              <w:rPr>
                <w:rFonts w:asciiTheme="minorHAnsi" w:hAnsiTheme="minorHAnsi" w:cstheme="minorHAnsi"/>
                <w:sz w:val="18"/>
                <w:szCs w:val="14"/>
              </w:rPr>
            </w:pPr>
            <w:r w:rsidRPr="002C49E2">
              <w:rPr>
                <w:rFonts w:asciiTheme="minorHAnsi" w:hAnsiTheme="minorHAnsi" w:cstheme="minorHAnsi"/>
                <w:sz w:val="18"/>
                <w:szCs w:val="14"/>
              </w:rPr>
              <w:t>Appropriations – payments on behalf of the state (POBOS)</w:t>
            </w:r>
          </w:p>
        </w:tc>
        <w:tc>
          <w:tcPr>
            <w:tcW w:w="902" w:type="dxa"/>
          </w:tcPr>
          <w:p w14:paraId="2E72464E" w14:textId="77777777" w:rsidR="00B02873" w:rsidRPr="002C49E2" w:rsidRDefault="00B02873" w:rsidP="006B0153">
            <w:pPr>
              <w:pStyle w:val="TablebodyleftFinancialsTables"/>
              <w:jc w:val="right"/>
              <w:rPr>
                <w:rFonts w:asciiTheme="minorHAnsi" w:hAnsiTheme="minorHAnsi" w:cstheme="minorHAnsi"/>
                <w:b/>
                <w:bCs/>
                <w:sz w:val="18"/>
                <w:szCs w:val="14"/>
              </w:rPr>
            </w:pPr>
            <w:r w:rsidRPr="002C49E2">
              <w:rPr>
                <w:rFonts w:asciiTheme="minorHAnsi" w:hAnsiTheme="minorHAnsi" w:cstheme="minorHAnsi"/>
                <w:b/>
                <w:bCs/>
                <w:sz w:val="18"/>
                <w:szCs w:val="14"/>
              </w:rPr>
              <w:t>8,675</w:t>
            </w:r>
          </w:p>
        </w:tc>
        <w:tc>
          <w:tcPr>
            <w:tcW w:w="903" w:type="dxa"/>
          </w:tcPr>
          <w:p w14:paraId="70FFF8C6" w14:textId="5102A2D5" w:rsidR="00B02873" w:rsidRPr="002C49E2" w:rsidRDefault="00B02873" w:rsidP="006B0153">
            <w:pPr>
              <w:pStyle w:val="TablebodyleftFinancialsTables"/>
              <w:jc w:val="right"/>
              <w:rPr>
                <w:rFonts w:asciiTheme="minorHAnsi" w:hAnsiTheme="minorHAnsi" w:cstheme="minorHAnsi"/>
                <w:sz w:val="18"/>
                <w:szCs w:val="14"/>
              </w:rPr>
            </w:pPr>
            <w:r w:rsidRPr="002C49E2">
              <w:rPr>
                <w:rFonts w:asciiTheme="minorHAnsi" w:hAnsiTheme="minorHAnsi" w:cstheme="minorHAnsi"/>
                <w:sz w:val="18"/>
                <w:szCs w:val="14"/>
              </w:rPr>
              <w:t>8,459</w:t>
            </w:r>
          </w:p>
        </w:tc>
        <w:tc>
          <w:tcPr>
            <w:tcW w:w="1020" w:type="dxa"/>
          </w:tcPr>
          <w:p w14:paraId="26F7A6FD" w14:textId="77777777" w:rsidR="00B02873" w:rsidRPr="002C49E2" w:rsidRDefault="00B02873" w:rsidP="006B0153">
            <w:pPr>
              <w:pStyle w:val="TablebodyleftFinancialsTables"/>
              <w:jc w:val="right"/>
              <w:rPr>
                <w:rFonts w:asciiTheme="minorHAnsi" w:hAnsiTheme="minorHAnsi" w:cstheme="minorHAnsi"/>
                <w:b/>
                <w:bCs/>
                <w:sz w:val="18"/>
                <w:szCs w:val="14"/>
              </w:rPr>
            </w:pPr>
            <w:r w:rsidRPr="002C49E2">
              <w:rPr>
                <w:rFonts w:asciiTheme="minorHAnsi" w:hAnsiTheme="minorHAnsi" w:cstheme="minorHAnsi"/>
                <w:b/>
                <w:bCs/>
                <w:sz w:val="18"/>
                <w:szCs w:val="14"/>
              </w:rPr>
              <w:t>–</w:t>
            </w:r>
          </w:p>
        </w:tc>
        <w:tc>
          <w:tcPr>
            <w:tcW w:w="1021" w:type="dxa"/>
          </w:tcPr>
          <w:p w14:paraId="05CDF07C" w14:textId="77777777" w:rsidR="00B02873" w:rsidRPr="002C49E2" w:rsidRDefault="00B02873" w:rsidP="006B0153">
            <w:pPr>
              <w:pStyle w:val="TablebodyleftFinancialsTables"/>
              <w:jc w:val="right"/>
              <w:rPr>
                <w:rFonts w:asciiTheme="minorHAnsi" w:hAnsiTheme="minorHAnsi" w:cstheme="minorHAnsi"/>
                <w:sz w:val="18"/>
                <w:szCs w:val="14"/>
              </w:rPr>
            </w:pPr>
            <w:r w:rsidRPr="002C49E2">
              <w:rPr>
                <w:rFonts w:asciiTheme="minorHAnsi" w:hAnsiTheme="minorHAnsi" w:cstheme="minorHAnsi"/>
                <w:sz w:val="18"/>
                <w:szCs w:val="14"/>
              </w:rPr>
              <w:t>–</w:t>
            </w:r>
          </w:p>
        </w:tc>
        <w:tc>
          <w:tcPr>
            <w:tcW w:w="1105" w:type="dxa"/>
          </w:tcPr>
          <w:p w14:paraId="488F7DD8" w14:textId="77777777" w:rsidR="00B02873" w:rsidRPr="002C49E2" w:rsidRDefault="00B02873" w:rsidP="006B0153">
            <w:pPr>
              <w:pStyle w:val="TablebodyleftFinancialsTables"/>
              <w:jc w:val="right"/>
              <w:rPr>
                <w:rFonts w:asciiTheme="minorHAnsi" w:hAnsiTheme="minorHAnsi" w:cstheme="minorHAnsi"/>
                <w:b/>
                <w:bCs/>
                <w:sz w:val="18"/>
                <w:szCs w:val="14"/>
              </w:rPr>
            </w:pPr>
            <w:r w:rsidRPr="002C49E2">
              <w:rPr>
                <w:rFonts w:asciiTheme="minorHAnsi" w:hAnsiTheme="minorHAnsi" w:cstheme="minorHAnsi"/>
                <w:b/>
                <w:bCs/>
                <w:sz w:val="18"/>
                <w:szCs w:val="14"/>
              </w:rPr>
              <w:t>678,100</w:t>
            </w:r>
          </w:p>
        </w:tc>
        <w:tc>
          <w:tcPr>
            <w:tcW w:w="1120" w:type="dxa"/>
          </w:tcPr>
          <w:p w14:paraId="43DB952B" w14:textId="77777777" w:rsidR="00B02873" w:rsidRPr="002C49E2" w:rsidRDefault="00B02873" w:rsidP="006B0153">
            <w:pPr>
              <w:pStyle w:val="TablebodyleftFinancialsTables"/>
              <w:jc w:val="right"/>
              <w:rPr>
                <w:rFonts w:asciiTheme="minorHAnsi" w:hAnsiTheme="minorHAnsi" w:cstheme="minorHAnsi"/>
                <w:sz w:val="18"/>
                <w:szCs w:val="14"/>
              </w:rPr>
            </w:pPr>
            <w:r w:rsidRPr="002C49E2">
              <w:rPr>
                <w:rFonts w:asciiTheme="minorHAnsi" w:hAnsiTheme="minorHAnsi" w:cstheme="minorHAnsi"/>
                <w:sz w:val="18"/>
                <w:szCs w:val="14"/>
              </w:rPr>
              <w:t>683,122</w:t>
            </w:r>
          </w:p>
        </w:tc>
      </w:tr>
      <w:tr w:rsidR="00B02873" w:rsidRPr="002C49E2" w14:paraId="07B09B3D" w14:textId="77777777" w:rsidTr="002C49E2">
        <w:tc>
          <w:tcPr>
            <w:tcW w:w="3719" w:type="dxa"/>
          </w:tcPr>
          <w:p w14:paraId="5FBF849D" w14:textId="77777777" w:rsidR="00B02873" w:rsidRPr="002C49E2" w:rsidRDefault="00B02873" w:rsidP="006B0153">
            <w:pPr>
              <w:pStyle w:val="TablebodyleftFinancialsTables"/>
              <w:rPr>
                <w:rFonts w:asciiTheme="minorHAnsi" w:hAnsiTheme="minorHAnsi" w:cstheme="minorHAnsi"/>
                <w:sz w:val="18"/>
                <w:szCs w:val="14"/>
              </w:rPr>
            </w:pPr>
            <w:r w:rsidRPr="002C49E2">
              <w:rPr>
                <w:rFonts w:asciiTheme="minorHAnsi" w:hAnsiTheme="minorHAnsi" w:cstheme="minorHAnsi"/>
                <w:sz w:val="18"/>
                <w:szCs w:val="14"/>
              </w:rPr>
              <w:t>Interest income (Note 4.2.5)</w:t>
            </w:r>
          </w:p>
        </w:tc>
        <w:tc>
          <w:tcPr>
            <w:tcW w:w="902" w:type="dxa"/>
          </w:tcPr>
          <w:p w14:paraId="514F594B" w14:textId="77777777" w:rsidR="00B02873" w:rsidRPr="002C49E2" w:rsidRDefault="00B02873" w:rsidP="006B0153">
            <w:pPr>
              <w:pStyle w:val="TablebodyleftFinancialsTables"/>
              <w:jc w:val="right"/>
              <w:rPr>
                <w:rFonts w:asciiTheme="minorHAnsi" w:hAnsiTheme="minorHAnsi" w:cstheme="minorHAnsi"/>
                <w:b/>
                <w:bCs/>
                <w:sz w:val="18"/>
                <w:szCs w:val="14"/>
              </w:rPr>
            </w:pPr>
            <w:r w:rsidRPr="002C49E2">
              <w:rPr>
                <w:rFonts w:asciiTheme="minorHAnsi" w:hAnsiTheme="minorHAnsi" w:cstheme="minorHAnsi"/>
                <w:b/>
                <w:bCs/>
                <w:sz w:val="18"/>
                <w:szCs w:val="14"/>
              </w:rPr>
              <w:t>–</w:t>
            </w:r>
          </w:p>
        </w:tc>
        <w:tc>
          <w:tcPr>
            <w:tcW w:w="903" w:type="dxa"/>
          </w:tcPr>
          <w:p w14:paraId="6C217F6A" w14:textId="77777777" w:rsidR="00B02873" w:rsidRPr="002C49E2" w:rsidRDefault="00B02873" w:rsidP="006B0153">
            <w:pPr>
              <w:pStyle w:val="TablebodyleftFinancialsTables"/>
              <w:jc w:val="right"/>
              <w:rPr>
                <w:rFonts w:asciiTheme="minorHAnsi" w:hAnsiTheme="minorHAnsi" w:cstheme="minorHAnsi"/>
                <w:sz w:val="18"/>
                <w:szCs w:val="14"/>
              </w:rPr>
            </w:pPr>
            <w:r w:rsidRPr="002C49E2">
              <w:rPr>
                <w:rFonts w:asciiTheme="minorHAnsi" w:hAnsiTheme="minorHAnsi" w:cstheme="minorHAnsi"/>
                <w:sz w:val="18"/>
                <w:szCs w:val="14"/>
              </w:rPr>
              <w:t>–</w:t>
            </w:r>
          </w:p>
        </w:tc>
        <w:tc>
          <w:tcPr>
            <w:tcW w:w="1020" w:type="dxa"/>
          </w:tcPr>
          <w:p w14:paraId="5C21F84C" w14:textId="77777777" w:rsidR="00B02873" w:rsidRPr="002C49E2" w:rsidRDefault="00B02873" w:rsidP="006B0153">
            <w:pPr>
              <w:pStyle w:val="TablebodyleftFinancialsTables"/>
              <w:jc w:val="right"/>
              <w:rPr>
                <w:rFonts w:asciiTheme="minorHAnsi" w:hAnsiTheme="minorHAnsi" w:cstheme="minorHAnsi"/>
                <w:b/>
                <w:bCs/>
                <w:sz w:val="18"/>
                <w:szCs w:val="14"/>
              </w:rPr>
            </w:pPr>
            <w:r w:rsidRPr="002C49E2">
              <w:rPr>
                <w:rFonts w:asciiTheme="minorHAnsi" w:hAnsiTheme="minorHAnsi" w:cstheme="minorHAnsi"/>
                <w:b/>
                <w:bCs/>
                <w:sz w:val="18"/>
                <w:szCs w:val="14"/>
              </w:rPr>
              <w:t>–</w:t>
            </w:r>
          </w:p>
        </w:tc>
        <w:tc>
          <w:tcPr>
            <w:tcW w:w="1021" w:type="dxa"/>
          </w:tcPr>
          <w:p w14:paraId="1E3F5FF1" w14:textId="77777777" w:rsidR="00B02873" w:rsidRPr="002C49E2" w:rsidRDefault="00B02873" w:rsidP="006B0153">
            <w:pPr>
              <w:pStyle w:val="TablebodyleftFinancialsTables"/>
              <w:jc w:val="right"/>
              <w:rPr>
                <w:rFonts w:asciiTheme="minorHAnsi" w:hAnsiTheme="minorHAnsi" w:cstheme="minorHAnsi"/>
                <w:sz w:val="18"/>
                <w:szCs w:val="14"/>
              </w:rPr>
            </w:pPr>
            <w:r w:rsidRPr="002C49E2">
              <w:rPr>
                <w:rFonts w:asciiTheme="minorHAnsi" w:hAnsiTheme="minorHAnsi" w:cstheme="minorHAnsi"/>
                <w:sz w:val="18"/>
                <w:szCs w:val="14"/>
              </w:rPr>
              <w:t>–</w:t>
            </w:r>
          </w:p>
        </w:tc>
        <w:tc>
          <w:tcPr>
            <w:tcW w:w="1105" w:type="dxa"/>
          </w:tcPr>
          <w:p w14:paraId="00505C59" w14:textId="77777777" w:rsidR="00B02873" w:rsidRPr="002C49E2" w:rsidRDefault="00B02873" w:rsidP="006B0153">
            <w:pPr>
              <w:pStyle w:val="TablebodyleftFinancialsTables"/>
              <w:jc w:val="right"/>
              <w:rPr>
                <w:rFonts w:asciiTheme="minorHAnsi" w:hAnsiTheme="minorHAnsi" w:cstheme="minorHAnsi"/>
                <w:b/>
                <w:bCs/>
                <w:sz w:val="18"/>
                <w:szCs w:val="14"/>
              </w:rPr>
            </w:pPr>
            <w:r w:rsidRPr="002C49E2">
              <w:rPr>
                <w:rFonts w:asciiTheme="minorHAnsi" w:hAnsiTheme="minorHAnsi" w:cstheme="minorHAnsi"/>
                <w:b/>
                <w:bCs/>
                <w:sz w:val="18"/>
                <w:szCs w:val="14"/>
              </w:rPr>
              <w:t>401,469</w:t>
            </w:r>
          </w:p>
        </w:tc>
        <w:tc>
          <w:tcPr>
            <w:tcW w:w="1120" w:type="dxa"/>
          </w:tcPr>
          <w:p w14:paraId="25F373DD" w14:textId="77777777" w:rsidR="00B02873" w:rsidRPr="002C49E2" w:rsidRDefault="00B02873" w:rsidP="006B0153">
            <w:pPr>
              <w:pStyle w:val="TablebodyleftFinancialsTables"/>
              <w:jc w:val="right"/>
              <w:rPr>
                <w:rFonts w:asciiTheme="minorHAnsi" w:hAnsiTheme="minorHAnsi" w:cstheme="minorHAnsi"/>
                <w:sz w:val="18"/>
                <w:szCs w:val="14"/>
              </w:rPr>
            </w:pPr>
            <w:r w:rsidRPr="002C49E2">
              <w:rPr>
                <w:rFonts w:asciiTheme="minorHAnsi" w:hAnsiTheme="minorHAnsi" w:cstheme="minorHAnsi"/>
                <w:sz w:val="18"/>
                <w:szCs w:val="14"/>
              </w:rPr>
              <w:t>403,817</w:t>
            </w:r>
          </w:p>
        </w:tc>
      </w:tr>
      <w:tr w:rsidR="00B02873" w:rsidRPr="002C49E2" w14:paraId="6D85AF9F" w14:textId="77777777" w:rsidTr="002C49E2">
        <w:tc>
          <w:tcPr>
            <w:tcW w:w="3719" w:type="dxa"/>
          </w:tcPr>
          <w:p w14:paraId="1D402CA2" w14:textId="77777777" w:rsidR="00B02873" w:rsidRPr="002C49E2" w:rsidRDefault="00B02873" w:rsidP="006B0153">
            <w:pPr>
              <w:pStyle w:val="TablebodyleftFinancialsTables"/>
              <w:rPr>
                <w:rFonts w:asciiTheme="minorHAnsi" w:hAnsiTheme="minorHAnsi" w:cstheme="minorHAnsi"/>
                <w:sz w:val="18"/>
                <w:szCs w:val="14"/>
              </w:rPr>
            </w:pPr>
            <w:r w:rsidRPr="002C49E2">
              <w:rPr>
                <w:rFonts w:asciiTheme="minorHAnsi" w:hAnsiTheme="minorHAnsi" w:cstheme="minorHAnsi"/>
                <w:sz w:val="18"/>
                <w:szCs w:val="14"/>
              </w:rPr>
              <w:t xml:space="preserve">Sales of goods and services </w:t>
            </w:r>
          </w:p>
        </w:tc>
        <w:tc>
          <w:tcPr>
            <w:tcW w:w="902" w:type="dxa"/>
          </w:tcPr>
          <w:p w14:paraId="41FD028A" w14:textId="77777777" w:rsidR="00B02873" w:rsidRPr="002C49E2" w:rsidRDefault="00B02873" w:rsidP="006B0153">
            <w:pPr>
              <w:pStyle w:val="TablebodyleftFinancialsTables"/>
              <w:jc w:val="right"/>
              <w:rPr>
                <w:rFonts w:asciiTheme="minorHAnsi" w:hAnsiTheme="minorHAnsi" w:cstheme="minorHAnsi"/>
                <w:b/>
                <w:bCs/>
                <w:sz w:val="18"/>
                <w:szCs w:val="14"/>
              </w:rPr>
            </w:pPr>
            <w:r w:rsidRPr="002C49E2">
              <w:rPr>
                <w:rFonts w:asciiTheme="minorHAnsi" w:hAnsiTheme="minorHAnsi" w:cstheme="minorHAnsi"/>
                <w:b/>
                <w:bCs/>
                <w:sz w:val="18"/>
                <w:szCs w:val="14"/>
              </w:rPr>
              <w:t>942</w:t>
            </w:r>
          </w:p>
        </w:tc>
        <w:tc>
          <w:tcPr>
            <w:tcW w:w="903" w:type="dxa"/>
          </w:tcPr>
          <w:p w14:paraId="2257511C" w14:textId="77777777" w:rsidR="00B02873" w:rsidRPr="002C49E2" w:rsidRDefault="00B02873" w:rsidP="006B0153">
            <w:pPr>
              <w:pStyle w:val="TablebodyleftFinancialsTables"/>
              <w:jc w:val="right"/>
              <w:rPr>
                <w:rFonts w:asciiTheme="minorHAnsi" w:hAnsiTheme="minorHAnsi" w:cstheme="minorHAnsi"/>
                <w:sz w:val="18"/>
                <w:szCs w:val="14"/>
              </w:rPr>
            </w:pPr>
            <w:r w:rsidRPr="002C49E2">
              <w:rPr>
                <w:rFonts w:asciiTheme="minorHAnsi" w:hAnsiTheme="minorHAnsi" w:cstheme="minorHAnsi"/>
                <w:sz w:val="18"/>
                <w:szCs w:val="14"/>
              </w:rPr>
              <w:t>190</w:t>
            </w:r>
          </w:p>
        </w:tc>
        <w:tc>
          <w:tcPr>
            <w:tcW w:w="1020" w:type="dxa"/>
          </w:tcPr>
          <w:p w14:paraId="0ACF6502" w14:textId="77777777" w:rsidR="00B02873" w:rsidRPr="002C49E2" w:rsidRDefault="00B02873" w:rsidP="006B0153">
            <w:pPr>
              <w:pStyle w:val="TablebodyleftFinancialsTables"/>
              <w:jc w:val="right"/>
              <w:rPr>
                <w:rFonts w:asciiTheme="minorHAnsi" w:hAnsiTheme="minorHAnsi" w:cstheme="minorHAnsi"/>
                <w:b/>
                <w:bCs/>
                <w:sz w:val="18"/>
                <w:szCs w:val="14"/>
              </w:rPr>
            </w:pPr>
            <w:r w:rsidRPr="002C49E2">
              <w:rPr>
                <w:rFonts w:asciiTheme="minorHAnsi" w:hAnsiTheme="minorHAnsi" w:cstheme="minorHAnsi"/>
                <w:b/>
                <w:bCs/>
                <w:sz w:val="18"/>
                <w:szCs w:val="14"/>
              </w:rPr>
              <w:t>–</w:t>
            </w:r>
          </w:p>
        </w:tc>
        <w:tc>
          <w:tcPr>
            <w:tcW w:w="1021" w:type="dxa"/>
          </w:tcPr>
          <w:p w14:paraId="5162BC4A" w14:textId="77777777" w:rsidR="00B02873" w:rsidRPr="002C49E2" w:rsidRDefault="00B02873" w:rsidP="006B0153">
            <w:pPr>
              <w:pStyle w:val="TablebodyleftFinancialsTables"/>
              <w:jc w:val="right"/>
              <w:rPr>
                <w:rFonts w:asciiTheme="minorHAnsi" w:hAnsiTheme="minorHAnsi" w:cstheme="minorHAnsi"/>
                <w:sz w:val="18"/>
                <w:szCs w:val="14"/>
              </w:rPr>
            </w:pPr>
            <w:r w:rsidRPr="002C49E2">
              <w:rPr>
                <w:rFonts w:asciiTheme="minorHAnsi" w:hAnsiTheme="minorHAnsi" w:cstheme="minorHAnsi"/>
                <w:sz w:val="18"/>
                <w:szCs w:val="14"/>
              </w:rPr>
              <w:t>461</w:t>
            </w:r>
          </w:p>
        </w:tc>
        <w:tc>
          <w:tcPr>
            <w:tcW w:w="1105" w:type="dxa"/>
          </w:tcPr>
          <w:p w14:paraId="53DE566C" w14:textId="77777777" w:rsidR="00B02873" w:rsidRPr="002C49E2" w:rsidRDefault="00B02873" w:rsidP="006B0153">
            <w:pPr>
              <w:pStyle w:val="TablebodyleftFinancialsTables"/>
              <w:jc w:val="right"/>
              <w:rPr>
                <w:rFonts w:asciiTheme="minorHAnsi" w:hAnsiTheme="minorHAnsi" w:cstheme="minorHAnsi"/>
                <w:b/>
                <w:bCs/>
                <w:sz w:val="18"/>
                <w:szCs w:val="14"/>
              </w:rPr>
            </w:pPr>
            <w:r w:rsidRPr="002C49E2">
              <w:rPr>
                <w:rFonts w:asciiTheme="minorHAnsi" w:hAnsiTheme="minorHAnsi" w:cstheme="minorHAnsi"/>
                <w:b/>
                <w:bCs/>
                <w:sz w:val="18"/>
                <w:szCs w:val="14"/>
              </w:rPr>
              <w:t>277,546</w:t>
            </w:r>
          </w:p>
        </w:tc>
        <w:tc>
          <w:tcPr>
            <w:tcW w:w="1120" w:type="dxa"/>
          </w:tcPr>
          <w:p w14:paraId="13A64A86" w14:textId="77777777" w:rsidR="00B02873" w:rsidRPr="002C49E2" w:rsidRDefault="00B02873" w:rsidP="006B0153">
            <w:pPr>
              <w:pStyle w:val="TablebodyleftFinancialsTables"/>
              <w:jc w:val="right"/>
              <w:rPr>
                <w:rFonts w:asciiTheme="minorHAnsi" w:hAnsiTheme="minorHAnsi" w:cstheme="minorHAnsi"/>
                <w:sz w:val="18"/>
                <w:szCs w:val="14"/>
              </w:rPr>
            </w:pPr>
            <w:r w:rsidRPr="002C49E2">
              <w:rPr>
                <w:rFonts w:asciiTheme="minorHAnsi" w:hAnsiTheme="minorHAnsi" w:cstheme="minorHAnsi"/>
                <w:sz w:val="18"/>
                <w:szCs w:val="14"/>
              </w:rPr>
              <w:t>269,550</w:t>
            </w:r>
          </w:p>
        </w:tc>
      </w:tr>
      <w:tr w:rsidR="00B02873" w:rsidRPr="002C49E2" w14:paraId="07731F2F" w14:textId="77777777" w:rsidTr="002C49E2">
        <w:tc>
          <w:tcPr>
            <w:tcW w:w="3719" w:type="dxa"/>
          </w:tcPr>
          <w:p w14:paraId="3CAF68C3" w14:textId="77777777" w:rsidR="00B02873" w:rsidRPr="002C49E2" w:rsidRDefault="00B02873" w:rsidP="006B0153">
            <w:pPr>
              <w:pStyle w:val="TablebodyleftFinancialsTables"/>
              <w:rPr>
                <w:rFonts w:asciiTheme="minorHAnsi" w:hAnsiTheme="minorHAnsi" w:cstheme="minorHAnsi"/>
                <w:sz w:val="18"/>
                <w:szCs w:val="14"/>
              </w:rPr>
            </w:pPr>
            <w:r w:rsidRPr="002C49E2">
              <w:rPr>
                <w:rFonts w:asciiTheme="minorHAnsi" w:hAnsiTheme="minorHAnsi" w:cstheme="minorHAnsi"/>
                <w:sz w:val="18"/>
                <w:szCs w:val="14"/>
              </w:rPr>
              <w:t>Royalties, land leases and licences</w:t>
            </w:r>
          </w:p>
        </w:tc>
        <w:tc>
          <w:tcPr>
            <w:tcW w:w="902" w:type="dxa"/>
          </w:tcPr>
          <w:p w14:paraId="3052E060" w14:textId="77777777" w:rsidR="00B02873" w:rsidRPr="002C49E2" w:rsidRDefault="00B02873" w:rsidP="006B0153">
            <w:pPr>
              <w:pStyle w:val="TablebodyleftFinancialsTables"/>
              <w:jc w:val="right"/>
              <w:rPr>
                <w:rFonts w:asciiTheme="minorHAnsi" w:hAnsiTheme="minorHAnsi" w:cstheme="minorHAnsi"/>
                <w:b/>
                <w:bCs/>
                <w:sz w:val="18"/>
                <w:szCs w:val="14"/>
              </w:rPr>
            </w:pPr>
            <w:r w:rsidRPr="002C49E2">
              <w:rPr>
                <w:rFonts w:asciiTheme="minorHAnsi" w:hAnsiTheme="minorHAnsi" w:cstheme="minorHAnsi"/>
                <w:b/>
                <w:bCs/>
                <w:sz w:val="18"/>
                <w:szCs w:val="14"/>
              </w:rPr>
              <w:t>–</w:t>
            </w:r>
          </w:p>
        </w:tc>
        <w:tc>
          <w:tcPr>
            <w:tcW w:w="903" w:type="dxa"/>
          </w:tcPr>
          <w:p w14:paraId="76768D0D" w14:textId="77777777" w:rsidR="00B02873" w:rsidRPr="002C49E2" w:rsidRDefault="00B02873" w:rsidP="006B0153">
            <w:pPr>
              <w:pStyle w:val="TablebodyleftFinancialsTables"/>
              <w:jc w:val="right"/>
              <w:rPr>
                <w:rFonts w:asciiTheme="minorHAnsi" w:hAnsiTheme="minorHAnsi" w:cstheme="minorHAnsi"/>
                <w:sz w:val="18"/>
                <w:szCs w:val="14"/>
              </w:rPr>
            </w:pPr>
            <w:r w:rsidRPr="002C49E2">
              <w:rPr>
                <w:rFonts w:asciiTheme="minorHAnsi" w:hAnsiTheme="minorHAnsi" w:cstheme="minorHAnsi"/>
                <w:sz w:val="18"/>
                <w:szCs w:val="14"/>
              </w:rPr>
              <w:t>–</w:t>
            </w:r>
          </w:p>
        </w:tc>
        <w:tc>
          <w:tcPr>
            <w:tcW w:w="1020" w:type="dxa"/>
          </w:tcPr>
          <w:p w14:paraId="3D0E252F" w14:textId="77777777" w:rsidR="00B02873" w:rsidRPr="002C49E2" w:rsidRDefault="00B02873" w:rsidP="006B0153">
            <w:pPr>
              <w:pStyle w:val="TablebodyleftFinancialsTables"/>
              <w:jc w:val="right"/>
              <w:rPr>
                <w:rFonts w:asciiTheme="minorHAnsi" w:hAnsiTheme="minorHAnsi" w:cstheme="minorHAnsi"/>
                <w:b/>
                <w:bCs/>
                <w:sz w:val="18"/>
                <w:szCs w:val="14"/>
              </w:rPr>
            </w:pPr>
            <w:r w:rsidRPr="002C49E2">
              <w:rPr>
                <w:rFonts w:asciiTheme="minorHAnsi" w:hAnsiTheme="minorHAnsi" w:cstheme="minorHAnsi"/>
                <w:b/>
                <w:bCs/>
                <w:sz w:val="18"/>
                <w:szCs w:val="14"/>
              </w:rPr>
              <w:t>–</w:t>
            </w:r>
          </w:p>
        </w:tc>
        <w:tc>
          <w:tcPr>
            <w:tcW w:w="1021" w:type="dxa"/>
          </w:tcPr>
          <w:p w14:paraId="62B5407B" w14:textId="3EEEB51B" w:rsidR="00B02873" w:rsidRPr="002C49E2" w:rsidRDefault="00B02873" w:rsidP="006B0153">
            <w:pPr>
              <w:pStyle w:val="TablebodyleftFinancialsTables"/>
              <w:jc w:val="right"/>
              <w:rPr>
                <w:rFonts w:asciiTheme="minorHAnsi" w:hAnsiTheme="minorHAnsi" w:cstheme="minorHAnsi"/>
                <w:sz w:val="18"/>
                <w:szCs w:val="14"/>
              </w:rPr>
            </w:pPr>
            <w:r w:rsidRPr="002C49E2">
              <w:rPr>
                <w:rFonts w:asciiTheme="minorHAnsi" w:hAnsiTheme="minorHAnsi" w:cstheme="minorHAnsi"/>
                <w:sz w:val="18"/>
                <w:szCs w:val="14"/>
              </w:rPr>
              <w:t>1,189</w:t>
            </w:r>
          </w:p>
        </w:tc>
        <w:tc>
          <w:tcPr>
            <w:tcW w:w="1105" w:type="dxa"/>
          </w:tcPr>
          <w:p w14:paraId="5E77A8AA" w14:textId="77777777" w:rsidR="00B02873" w:rsidRPr="002C49E2" w:rsidRDefault="00B02873" w:rsidP="006B0153">
            <w:pPr>
              <w:pStyle w:val="TablebodyleftFinancialsTables"/>
              <w:jc w:val="right"/>
              <w:rPr>
                <w:rFonts w:asciiTheme="minorHAnsi" w:hAnsiTheme="minorHAnsi" w:cstheme="minorHAnsi"/>
                <w:b/>
                <w:bCs/>
                <w:sz w:val="18"/>
                <w:szCs w:val="14"/>
              </w:rPr>
            </w:pPr>
            <w:r w:rsidRPr="002C49E2">
              <w:rPr>
                <w:rFonts w:asciiTheme="minorHAnsi" w:hAnsiTheme="minorHAnsi" w:cstheme="minorHAnsi"/>
                <w:b/>
                <w:bCs/>
                <w:sz w:val="18"/>
                <w:szCs w:val="14"/>
              </w:rPr>
              <w:t>12,288</w:t>
            </w:r>
          </w:p>
        </w:tc>
        <w:tc>
          <w:tcPr>
            <w:tcW w:w="1120" w:type="dxa"/>
          </w:tcPr>
          <w:p w14:paraId="2F8E76DF" w14:textId="77777777" w:rsidR="00B02873" w:rsidRPr="002C49E2" w:rsidRDefault="00B02873" w:rsidP="006B0153">
            <w:pPr>
              <w:pStyle w:val="TablebodyleftFinancialsTables"/>
              <w:jc w:val="right"/>
              <w:rPr>
                <w:rFonts w:asciiTheme="minorHAnsi" w:hAnsiTheme="minorHAnsi" w:cstheme="minorHAnsi"/>
                <w:sz w:val="18"/>
                <w:szCs w:val="14"/>
              </w:rPr>
            </w:pPr>
            <w:r w:rsidRPr="002C49E2">
              <w:rPr>
                <w:rFonts w:asciiTheme="minorHAnsi" w:hAnsiTheme="minorHAnsi" w:cstheme="minorHAnsi"/>
                <w:sz w:val="18"/>
                <w:szCs w:val="14"/>
              </w:rPr>
              <w:t>10,909</w:t>
            </w:r>
          </w:p>
        </w:tc>
      </w:tr>
      <w:tr w:rsidR="00B02873" w:rsidRPr="002C49E2" w14:paraId="0B26ED32" w14:textId="77777777" w:rsidTr="002C49E2">
        <w:tc>
          <w:tcPr>
            <w:tcW w:w="3719" w:type="dxa"/>
          </w:tcPr>
          <w:p w14:paraId="667FFD34" w14:textId="77777777" w:rsidR="00B02873" w:rsidRPr="002C49E2" w:rsidRDefault="00B02873" w:rsidP="006B0153">
            <w:pPr>
              <w:pStyle w:val="TablebodyleftFinancialsTables"/>
              <w:rPr>
                <w:rFonts w:asciiTheme="minorHAnsi" w:hAnsiTheme="minorHAnsi" w:cstheme="minorHAnsi"/>
                <w:sz w:val="18"/>
                <w:szCs w:val="14"/>
              </w:rPr>
            </w:pPr>
            <w:r w:rsidRPr="002C49E2">
              <w:rPr>
                <w:rFonts w:asciiTheme="minorHAnsi" w:hAnsiTheme="minorHAnsi" w:cstheme="minorHAnsi"/>
                <w:sz w:val="18"/>
                <w:szCs w:val="14"/>
              </w:rPr>
              <w:t>Land titles income</w:t>
            </w:r>
          </w:p>
        </w:tc>
        <w:tc>
          <w:tcPr>
            <w:tcW w:w="902" w:type="dxa"/>
          </w:tcPr>
          <w:p w14:paraId="57219765" w14:textId="77777777" w:rsidR="00B02873" w:rsidRPr="002C49E2" w:rsidRDefault="00B02873" w:rsidP="006B0153">
            <w:pPr>
              <w:pStyle w:val="TablebodyleftFinancialsTables"/>
              <w:jc w:val="right"/>
              <w:rPr>
                <w:rFonts w:asciiTheme="minorHAnsi" w:hAnsiTheme="minorHAnsi" w:cstheme="minorHAnsi"/>
                <w:b/>
                <w:bCs/>
                <w:sz w:val="18"/>
                <w:szCs w:val="14"/>
              </w:rPr>
            </w:pPr>
            <w:r w:rsidRPr="002C49E2">
              <w:rPr>
                <w:rFonts w:asciiTheme="minorHAnsi" w:hAnsiTheme="minorHAnsi" w:cstheme="minorHAnsi"/>
                <w:b/>
                <w:bCs/>
                <w:sz w:val="18"/>
                <w:szCs w:val="14"/>
              </w:rPr>
              <w:t>–</w:t>
            </w:r>
          </w:p>
        </w:tc>
        <w:tc>
          <w:tcPr>
            <w:tcW w:w="903" w:type="dxa"/>
          </w:tcPr>
          <w:p w14:paraId="3EB9DFEC" w14:textId="77777777" w:rsidR="00B02873" w:rsidRPr="002C49E2" w:rsidRDefault="00B02873" w:rsidP="006B0153">
            <w:pPr>
              <w:pStyle w:val="TablebodyleftFinancialsTables"/>
              <w:jc w:val="right"/>
              <w:rPr>
                <w:rFonts w:asciiTheme="minorHAnsi" w:hAnsiTheme="minorHAnsi" w:cstheme="minorHAnsi"/>
                <w:sz w:val="18"/>
                <w:szCs w:val="14"/>
              </w:rPr>
            </w:pPr>
            <w:r w:rsidRPr="002C49E2">
              <w:rPr>
                <w:rFonts w:asciiTheme="minorHAnsi" w:hAnsiTheme="minorHAnsi" w:cstheme="minorHAnsi"/>
                <w:sz w:val="18"/>
                <w:szCs w:val="14"/>
              </w:rPr>
              <w:t>–</w:t>
            </w:r>
          </w:p>
        </w:tc>
        <w:tc>
          <w:tcPr>
            <w:tcW w:w="1020" w:type="dxa"/>
          </w:tcPr>
          <w:p w14:paraId="7BD03F97" w14:textId="77777777" w:rsidR="00B02873" w:rsidRPr="002C49E2" w:rsidRDefault="00B02873" w:rsidP="006B0153">
            <w:pPr>
              <w:pStyle w:val="TablebodyleftFinancialsTables"/>
              <w:jc w:val="right"/>
              <w:rPr>
                <w:rFonts w:asciiTheme="minorHAnsi" w:hAnsiTheme="minorHAnsi" w:cstheme="minorHAnsi"/>
                <w:b/>
                <w:bCs/>
                <w:sz w:val="18"/>
                <w:szCs w:val="14"/>
              </w:rPr>
            </w:pPr>
            <w:r w:rsidRPr="002C49E2">
              <w:rPr>
                <w:rFonts w:asciiTheme="minorHAnsi" w:hAnsiTheme="minorHAnsi" w:cstheme="minorHAnsi"/>
                <w:b/>
                <w:bCs/>
                <w:sz w:val="18"/>
                <w:szCs w:val="14"/>
              </w:rPr>
              <w:t>–</w:t>
            </w:r>
          </w:p>
        </w:tc>
        <w:tc>
          <w:tcPr>
            <w:tcW w:w="1021" w:type="dxa"/>
          </w:tcPr>
          <w:p w14:paraId="7F248268" w14:textId="77777777" w:rsidR="00B02873" w:rsidRPr="002C49E2" w:rsidRDefault="00B02873" w:rsidP="006B0153">
            <w:pPr>
              <w:pStyle w:val="TablebodyleftFinancialsTables"/>
              <w:jc w:val="right"/>
              <w:rPr>
                <w:rFonts w:asciiTheme="minorHAnsi" w:hAnsiTheme="minorHAnsi" w:cstheme="minorHAnsi"/>
                <w:sz w:val="18"/>
                <w:szCs w:val="14"/>
              </w:rPr>
            </w:pPr>
            <w:r w:rsidRPr="002C49E2">
              <w:rPr>
                <w:rFonts w:asciiTheme="minorHAnsi" w:hAnsiTheme="minorHAnsi" w:cstheme="minorHAnsi"/>
                <w:sz w:val="18"/>
                <w:szCs w:val="14"/>
              </w:rPr>
              <w:t>–</w:t>
            </w:r>
          </w:p>
        </w:tc>
        <w:tc>
          <w:tcPr>
            <w:tcW w:w="1105" w:type="dxa"/>
          </w:tcPr>
          <w:p w14:paraId="36ABC80B" w14:textId="77777777" w:rsidR="00B02873" w:rsidRPr="002C49E2" w:rsidRDefault="00B02873" w:rsidP="006B0153">
            <w:pPr>
              <w:pStyle w:val="TablebodyleftFinancialsTables"/>
              <w:jc w:val="right"/>
              <w:rPr>
                <w:rFonts w:asciiTheme="minorHAnsi" w:hAnsiTheme="minorHAnsi" w:cstheme="minorHAnsi"/>
                <w:b/>
                <w:bCs/>
                <w:sz w:val="18"/>
                <w:szCs w:val="14"/>
              </w:rPr>
            </w:pPr>
            <w:r w:rsidRPr="002C49E2">
              <w:rPr>
                <w:rFonts w:asciiTheme="minorHAnsi" w:hAnsiTheme="minorHAnsi" w:cstheme="minorHAnsi"/>
                <w:b/>
                <w:bCs/>
                <w:sz w:val="18"/>
                <w:szCs w:val="14"/>
              </w:rPr>
              <w:t>522,698</w:t>
            </w:r>
          </w:p>
        </w:tc>
        <w:tc>
          <w:tcPr>
            <w:tcW w:w="1120" w:type="dxa"/>
          </w:tcPr>
          <w:p w14:paraId="77261600" w14:textId="77777777" w:rsidR="00B02873" w:rsidRPr="002C49E2" w:rsidRDefault="00B02873" w:rsidP="006B0153">
            <w:pPr>
              <w:pStyle w:val="TablebodyleftFinancialsTables"/>
              <w:jc w:val="right"/>
              <w:rPr>
                <w:rFonts w:asciiTheme="minorHAnsi" w:hAnsiTheme="minorHAnsi" w:cstheme="minorHAnsi"/>
                <w:sz w:val="18"/>
                <w:szCs w:val="14"/>
              </w:rPr>
            </w:pPr>
            <w:r w:rsidRPr="002C49E2">
              <w:rPr>
                <w:rFonts w:asciiTheme="minorHAnsi" w:hAnsiTheme="minorHAnsi" w:cstheme="minorHAnsi"/>
                <w:sz w:val="18"/>
                <w:szCs w:val="14"/>
              </w:rPr>
              <w:t>428,508</w:t>
            </w:r>
          </w:p>
        </w:tc>
      </w:tr>
      <w:tr w:rsidR="00B02873" w:rsidRPr="002C49E2" w14:paraId="7A8D44D4" w14:textId="77777777" w:rsidTr="002C49E2">
        <w:tc>
          <w:tcPr>
            <w:tcW w:w="3719" w:type="dxa"/>
          </w:tcPr>
          <w:p w14:paraId="6F665FEB" w14:textId="77777777" w:rsidR="00B02873" w:rsidRPr="002C49E2" w:rsidRDefault="00B02873" w:rsidP="006B0153">
            <w:pPr>
              <w:pStyle w:val="TablebodyleftFinancialsTables"/>
              <w:rPr>
                <w:rFonts w:asciiTheme="minorHAnsi" w:hAnsiTheme="minorHAnsi" w:cstheme="minorHAnsi"/>
                <w:sz w:val="18"/>
                <w:szCs w:val="14"/>
              </w:rPr>
            </w:pPr>
            <w:r w:rsidRPr="002C49E2">
              <w:rPr>
                <w:rFonts w:asciiTheme="minorHAnsi" w:hAnsiTheme="minorHAnsi" w:cstheme="minorHAnsi"/>
                <w:sz w:val="18"/>
                <w:szCs w:val="14"/>
              </w:rPr>
              <w:t>Environmental contribution</w:t>
            </w:r>
          </w:p>
        </w:tc>
        <w:tc>
          <w:tcPr>
            <w:tcW w:w="902" w:type="dxa"/>
          </w:tcPr>
          <w:p w14:paraId="457AA285" w14:textId="77777777" w:rsidR="00B02873" w:rsidRPr="002C49E2" w:rsidRDefault="00B02873" w:rsidP="006B0153">
            <w:pPr>
              <w:pStyle w:val="TablebodyleftFinancialsTables"/>
              <w:jc w:val="right"/>
              <w:rPr>
                <w:rFonts w:asciiTheme="minorHAnsi" w:hAnsiTheme="minorHAnsi" w:cstheme="minorHAnsi"/>
                <w:b/>
                <w:bCs/>
                <w:sz w:val="18"/>
                <w:szCs w:val="14"/>
              </w:rPr>
            </w:pPr>
            <w:r w:rsidRPr="002C49E2">
              <w:rPr>
                <w:rFonts w:asciiTheme="minorHAnsi" w:hAnsiTheme="minorHAnsi" w:cstheme="minorHAnsi"/>
                <w:b/>
                <w:bCs/>
                <w:sz w:val="18"/>
                <w:szCs w:val="14"/>
              </w:rPr>
              <w:t>–</w:t>
            </w:r>
          </w:p>
        </w:tc>
        <w:tc>
          <w:tcPr>
            <w:tcW w:w="903" w:type="dxa"/>
          </w:tcPr>
          <w:p w14:paraId="0CB9B4BE" w14:textId="77777777" w:rsidR="00B02873" w:rsidRPr="002C49E2" w:rsidRDefault="00B02873" w:rsidP="006B0153">
            <w:pPr>
              <w:pStyle w:val="TablebodyleftFinancialsTables"/>
              <w:jc w:val="right"/>
              <w:rPr>
                <w:rFonts w:asciiTheme="minorHAnsi" w:hAnsiTheme="minorHAnsi" w:cstheme="minorHAnsi"/>
                <w:sz w:val="18"/>
                <w:szCs w:val="14"/>
              </w:rPr>
            </w:pPr>
            <w:r w:rsidRPr="002C49E2">
              <w:rPr>
                <w:rFonts w:asciiTheme="minorHAnsi" w:hAnsiTheme="minorHAnsi" w:cstheme="minorHAnsi"/>
                <w:sz w:val="18"/>
                <w:szCs w:val="14"/>
              </w:rPr>
              <w:t>–</w:t>
            </w:r>
          </w:p>
        </w:tc>
        <w:tc>
          <w:tcPr>
            <w:tcW w:w="1020" w:type="dxa"/>
          </w:tcPr>
          <w:p w14:paraId="4B578A21" w14:textId="77777777" w:rsidR="00B02873" w:rsidRPr="002C49E2" w:rsidRDefault="00B02873" w:rsidP="006B0153">
            <w:pPr>
              <w:pStyle w:val="TablebodyleftFinancialsTables"/>
              <w:jc w:val="right"/>
              <w:rPr>
                <w:rFonts w:asciiTheme="minorHAnsi" w:hAnsiTheme="minorHAnsi" w:cstheme="minorHAnsi"/>
                <w:b/>
                <w:bCs/>
                <w:sz w:val="18"/>
                <w:szCs w:val="14"/>
              </w:rPr>
            </w:pPr>
            <w:r w:rsidRPr="002C49E2">
              <w:rPr>
                <w:rFonts w:asciiTheme="minorHAnsi" w:hAnsiTheme="minorHAnsi" w:cstheme="minorHAnsi"/>
                <w:b/>
                <w:bCs/>
                <w:sz w:val="18"/>
                <w:szCs w:val="14"/>
              </w:rPr>
              <w:t>–</w:t>
            </w:r>
          </w:p>
        </w:tc>
        <w:tc>
          <w:tcPr>
            <w:tcW w:w="1021" w:type="dxa"/>
          </w:tcPr>
          <w:p w14:paraId="785AFB29" w14:textId="77777777" w:rsidR="00B02873" w:rsidRPr="002C49E2" w:rsidRDefault="00B02873" w:rsidP="006B0153">
            <w:pPr>
              <w:pStyle w:val="TablebodyleftFinancialsTables"/>
              <w:jc w:val="right"/>
              <w:rPr>
                <w:rFonts w:asciiTheme="minorHAnsi" w:hAnsiTheme="minorHAnsi" w:cstheme="minorHAnsi"/>
                <w:sz w:val="18"/>
                <w:szCs w:val="14"/>
              </w:rPr>
            </w:pPr>
            <w:r w:rsidRPr="002C49E2">
              <w:rPr>
                <w:rFonts w:asciiTheme="minorHAnsi" w:hAnsiTheme="minorHAnsi" w:cstheme="minorHAnsi"/>
                <w:sz w:val="18"/>
                <w:szCs w:val="14"/>
              </w:rPr>
              <w:t>–</w:t>
            </w:r>
          </w:p>
        </w:tc>
        <w:tc>
          <w:tcPr>
            <w:tcW w:w="1105" w:type="dxa"/>
          </w:tcPr>
          <w:p w14:paraId="556258AB" w14:textId="77777777" w:rsidR="00B02873" w:rsidRPr="002C49E2" w:rsidRDefault="00B02873" w:rsidP="006B0153">
            <w:pPr>
              <w:pStyle w:val="TablebodyleftFinancialsTables"/>
              <w:jc w:val="right"/>
              <w:rPr>
                <w:rFonts w:asciiTheme="minorHAnsi" w:hAnsiTheme="minorHAnsi" w:cstheme="minorHAnsi"/>
                <w:b/>
                <w:bCs/>
                <w:sz w:val="18"/>
                <w:szCs w:val="14"/>
              </w:rPr>
            </w:pPr>
            <w:r w:rsidRPr="002C49E2">
              <w:rPr>
                <w:rFonts w:asciiTheme="minorHAnsi" w:hAnsiTheme="minorHAnsi" w:cstheme="minorHAnsi"/>
                <w:b/>
                <w:bCs/>
                <w:sz w:val="18"/>
                <w:szCs w:val="14"/>
              </w:rPr>
              <w:t>173,480</w:t>
            </w:r>
          </w:p>
        </w:tc>
        <w:tc>
          <w:tcPr>
            <w:tcW w:w="1120" w:type="dxa"/>
          </w:tcPr>
          <w:p w14:paraId="38F06CDE" w14:textId="77777777" w:rsidR="00B02873" w:rsidRPr="002C49E2" w:rsidRDefault="00B02873" w:rsidP="006B0153">
            <w:pPr>
              <w:pStyle w:val="TablebodyleftFinancialsTables"/>
              <w:jc w:val="right"/>
              <w:rPr>
                <w:rFonts w:asciiTheme="minorHAnsi" w:hAnsiTheme="minorHAnsi" w:cstheme="minorHAnsi"/>
                <w:sz w:val="18"/>
                <w:szCs w:val="14"/>
              </w:rPr>
            </w:pPr>
            <w:r w:rsidRPr="002C49E2">
              <w:rPr>
                <w:rFonts w:asciiTheme="minorHAnsi" w:hAnsiTheme="minorHAnsi" w:cstheme="minorHAnsi"/>
                <w:sz w:val="18"/>
                <w:szCs w:val="14"/>
              </w:rPr>
              <w:t>173,480</w:t>
            </w:r>
          </w:p>
        </w:tc>
      </w:tr>
      <w:tr w:rsidR="00B02873" w:rsidRPr="002C49E2" w14:paraId="57F4799E" w14:textId="77777777" w:rsidTr="002C49E2">
        <w:tc>
          <w:tcPr>
            <w:tcW w:w="3719" w:type="dxa"/>
          </w:tcPr>
          <w:p w14:paraId="18968476" w14:textId="77777777" w:rsidR="00B02873" w:rsidRPr="002C49E2" w:rsidRDefault="00B02873" w:rsidP="006B0153">
            <w:pPr>
              <w:pStyle w:val="TablebodyleftFinancialsTables"/>
              <w:rPr>
                <w:rFonts w:asciiTheme="minorHAnsi" w:hAnsiTheme="minorHAnsi" w:cstheme="minorHAnsi"/>
                <w:sz w:val="18"/>
                <w:szCs w:val="14"/>
              </w:rPr>
            </w:pPr>
            <w:r w:rsidRPr="002C49E2">
              <w:rPr>
                <w:rFonts w:asciiTheme="minorHAnsi" w:hAnsiTheme="minorHAnsi" w:cstheme="minorHAnsi"/>
                <w:sz w:val="18"/>
                <w:szCs w:val="14"/>
              </w:rPr>
              <w:t>Grants</w:t>
            </w:r>
          </w:p>
        </w:tc>
        <w:tc>
          <w:tcPr>
            <w:tcW w:w="902" w:type="dxa"/>
          </w:tcPr>
          <w:p w14:paraId="616457B1" w14:textId="77777777" w:rsidR="00B02873" w:rsidRPr="002C49E2" w:rsidRDefault="00B02873" w:rsidP="006B0153">
            <w:pPr>
              <w:pStyle w:val="TablebodyleftFinancialsTables"/>
              <w:jc w:val="right"/>
              <w:rPr>
                <w:rFonts w:asciiTheme="minorHAnsi" w:hAnsiTheme="minorHAnsi" w:cstheme="minorHAnsi"/>
                <w:b/>
                <w:bCs/>
                <w:sz w:val="18"/>
                <w:szCs w:val="14"/>
              </w:rPr>
            </w:pPr>
            <w:r w:rsidRPr="002C49E2">
              <w:rPr>
                <w:rFonts w:asciiTheme="minorHAnsi" w:hAnsiTheme="minorHAnsi" w:cstheme="minorHAnsi"/>
                <w:b/>
                <w:bCs/>
                <w:sz w:val="18"/>
                <w:szCs w:val="14"/>
              </w:rPr>
              <w:t>941</w:t>
            </w:r>
          </w:p>
        </w:tc>
        <w:tc>
          <w:tcPr>
            <w:tcW w:w="903" w:type="dxa"/>
          </w:tcPr>
          <w:p w14:paraId="6184FD50" w14:textId="77777777" w:rsidR="00B02873" w:rsidRPr="002C49E2" w:rsidRDefault="00B02873" w:rsidP="006B0153">
            <w:pPr>
              <w:pStyle w:val="TablebodyleftFinancialsTables"/>
              <w:jc w:val="right"/>
              <w:rPr>
                <w:rFonts w:asciiTheme="minorHAnsi" w:hAnsiTheme="minorHAnsi" w:cstheme="minorHAnsi"/>
                <w:sz w:val="18"/>
                <w:szCs w:val="14"/>
              </w:rPr>
            </w:pPr>
            <w:r w:rsidRPr="002C49E2">
              <w:rPr>
                <w:rFonts w:asciiTheme="minorHAnsi" w:hAnsiTheme="minorHAnsi" w:cstheme="minorHAnsi"/>
                <w:sz w:val="18"/>
                <w:szCs w:val="14"/>
              </w:rPr>
              <w:t>698</w:t>
            </w:r>
          </w:p>
        </w:tc>
        <w:tc>
          <w:tcPr>
            <w:tcW w:w="1020" w:type="dxa"/>
          </w:tcPr>
          <w:p w14:paraId="45F6C200" w14:textId="77777777" w:rsidR="00B02873" w:rsidRPr="002C49E2" w:rsidRDefault="00B02873" w:rsidP="006B0153">
            <w:pPr>
              <w:pStyle w:val="TablebodyleftFinancialsTables"/>
              <w:jc w:val="right"/>
              <w:rPr>
                <w:rFonts w:asciiTheme="minorHAnsi" w:hAnsiTheme="minorHAnsi" w:cstheme="minorHAnsi"/>
                <w:b/>
                <w:bCs/>
                <w:sz w:val="18"/>
                <w:szCs w:val="14"/>
              </w:rPr>
            </w:pPr>
            <w:r w:rsidRPr="002C49E2">
              <w:rPr>
                <w:rFonts w:asciiTheme="minorHAnsi" w:hAnsiTheme="minorHAnsi" w:cstheme="minorHAnsi"/>
                <w:b/>
                <w:bCs/>
                <w:sz w:val="18"/>
                <w:szCs w:val="14"/>
              </w:rPr>
              <w:t>–</w:t>
            </w:r>
          </w:p>
        </w:tc>
        <w:tc>
          <w:tcPr>
            <w:tcW w:w="1021" w:type="dxa"/>
          </w:tcPr>
          <w:p w14:paraId="267D4EF8" w14:textId="77777777" w:rsidR="00B02873" w:rsidRPr="002C49E2" w:rsidRDefault="00B02873" w:rsidP="006B0153">
            <w:pPr>
              <w:pStyle w:val="TablebodyleftFinancialsTables"/>
              <w:jc w:val="right"/>
              <w:rPr>
                <w:rFonts w:asciiTheme="minorHAnsi" w:hAnsiTheme="minorHAnsi" w:cstheme="minorHAnsi"/>
                <w:sz w:val="18"/>
                <w:szCs w:val="14"/>
              </w:rPr>
            </w:pPr>
            <w:r w:rsidRPr="002C49E2">
              <w:rPr>
                <w:rFonts w:asciiTheme="minorHAnsi" w:hAnsiTheme="minorHAnsi" w:cstheme="minorHAnsi"/>
                <w:sz w:val="18"/>
                <w:szCs w:val="14"/>
              </w:rPr>
              <w:t>221</w:t>
            </w:r>
          </w:p>
        </w:tc>
        <w:tc>
          <w:tcPr>
            <w:tcW w:w="1105" w:type="dxa"/>
          </w:tcPr>
          <w:p w14:paraId="304B592F" w14:textId="77777777" w:rsidR="00B02873" w:rsidRPr="002C49E2" w:rsidRDefault="00B02873" w:rsidP="006B0153">
            <w:pPr>
              <w:pStyle w:val="TablebodyleftFinancialsTables"/>
              <w:jc w:val="right"/>
              <w:rPr>
                <w:rFonts w:asciiTheme="minorHAnsi" w:hAnsiTheme="minorHAnsi" w:cstheme="minorHAnsi"/>
                <w:b/>
                <w:bCs/>
                <w:sz w:val="18"/>
                <w:szCs w:val="14"/>
              </w:rPr>
            </w:pPr>
            <w:r w:rsidRPr="002C49E2">
              <w:rPr>
                <w:rFonts w:asciiTheme="minorHAnsi" w:hAnsiTheme="minorHAnsi" w:cstheme="minorHAnsi"/>
                <w:b/>
                <w:bCs/>
                <w:sz w:val="18"/>
                <w:szCs w:val="14"/>
              </w:rPr>
              <w:t>2,156</w:t>
            </w:r>
          </w:p>
        </w:tc>
        <w:tc>
          <w:tcPr>
            <w:tcW w:w="1120" w:type="dxa"/>
          </w:tcPr>
          <w:p w14:paraId="55A938CA" w14:textId="77777777" w:rsidR="00B02873" w:rsidRPr="002C49E2" w:rsidRDefault="00B02873" w:rsidP="006B0153">
            <w:pPr>
              <w:pStyle w:val="TablebodyleftFinancialsTables"/>
              <w:jc w:val="right"/>
              <w:rPr>
                <w:rFonts w:asciiTheme="minorHAnsi" w:hAnsiTheme="minorHAnsi" w:cstheme="minorHAnsi"/>
                <w:sz w:val="18"/>
                <w:szCs w:val="14"/>
              </w:rPr>
            </w:pPr>
            <w:r w:rsidRPr="002C49E2">
              <w:rPr>
                <w:rFonts w:asciiTheme="minorHAnsi" w:hAnsiTheme="minorHAnsi" w:cstheme="minorHAnsi"/>
                <w:sz w:val="18"/>
                <w:szCs w:val="14"/>
              </w:rPr>
              <w:t>919</w:t>
            </w:r>
          </w:p>
        </w:tc>
      </w:tr>
      <w:tr w:rsidR="00B02873" w:rsidRPr="002C49E2" w14:paraId="455C6495" w14:textId="77777777" w:rsidTr="002C49E2">
        <w:tc>
          <w:tcPr>
            <w:tcW w:w="3719" w:type="dxa"/>
          </w:tcPr>
          <w:p w14:paraId="58EA933D" w14:textId="77777777" w:rsidR="00B02873" w:rsidRPr="002C49E2" w:rsidRDefault="00B02873" w:rsidP="006B0153">
            <w:pPr>
              <w:pStyle w:val="TablebodyleftFinancialsTables"/>
              <w:rPr>
                <w:rFonts w:asciiTheme="minorHAnsi" w:hAnsiTheme="minorHAnsi" w:cstheme="minorHAnsi"/>
                <w:sz w:val="18"/>
                <w:szCs w:val="14"/>
              </w:rPr>
            </w:pPr>
            <w:r w:rsidRPr="002C49E2">
              <w:rPr>
                <w:rFonts w:asciiTheme="minorHAnsi" w:hAnsiTheme="minorHAnsi" w:cstheme="minorHAnsi"/>
                <w:sz w:val="18"/>
                <w:szCs w:val="14"/>
              </w:rPr>
              <w:t>Jointly controlled assets received free of charge (Note 4.2.3)</w:t>
            </w:r>
          </w:p>
        </w:tc>
        <w:tc>
          <w:tcPr>
            <w:tcW w:w="902" w:type="dxa"/>
          </w:tcPr>
          <w:p w14:paraId="3A1F7A21" w14:textId="77777777" w:rsidR="00B02873" w:rsidRPr="002C49E2" w:rsidRDefault="00B02873" w:rsidP="006B0153">
            <w:pPr>
              <w:pStyle w:val="TablebodyleftFinancialsTables"/>
              <w:jc w:val="right"/>
              <w:rPr>
                <w:rFonts w:asciiTheme="minorHAnsi" w:hAnsiTheme="minorHAnsi" w:cstheme="minorHAnsi"/>
                <w:b/>
                <w:bCs/>
                <w:sz w:val="18"/>
                <w:szCs w:val="14"/>
              </w:rPr>
            </w:pPr>
            <w:r w:rsidRPr="002C49E2">
              <w:rPr>
                <w:rFonts w:asciiTheme="minorHAnsi" w:hAnsiTheme="minorHAnsi" w:cstheme="minorHAnsi"/>
                <w:b/>
                <w:bCs/>
                <w:sz w:val="18"/>
                <w:szCs w:val="14"/>
              </w:rPr>
              <w:t>–</w:t>
            </w:r>
          </w:p>
        </w:tc>
        <w:tc>
          <w:tcPr>
            <w:tcW w:w="903" w:type="dxa"/>
          </w:tcPr>
          <w:p w14:paraId="649D1E33" w14:textId="77777777" w:rsidR="00B02873" w:rsidRPr="002C49E2" w:rsidRDefault="00B02873" w:rsidP="006B0153">
            <w:pPr>
              <w:pStyle w:val="TablebodyleftFinancialsTables"/>
              <w:jc w:val="right"/>
              <w:rPr>
                <w:rFonts w:asciiTheme="minorHAnsi" w:hAnsiTheme="minorHAnsi" w:cstheme="minorHAnsi"/>
                <w:sz w:val="18"/>
                <w:szCs w:val="14"/>
              </w:rPr>
            </w:pPr>
            <w:r w:rsidRPr="002C49E2">
              <w:rPr>
                <w:rFonts w:asciiTheme="minorHAnsi" w:hAnsiTheme="minorHAnsi" w:cstheme="minorHAnsi"/>
                <w:sz w:val="18"/>
                <w:szCs w:val="14"/>
              </w:rPr>
              <w:t>–</w:t>
            </w:r>
          </w:p>
        </w:tc>
        <w:tc>
          <w:tcPr>
            <w:tcW w:w="1020" w:type="dxa"/>
          </w:tcPr>
          <w:p w14:paraId="7A9C7F0A" w14:textId="77777777" w:rsidR="00B02873" w:rsidRPr="002C49E2" w:rsidRDefault="00B02873" w:rsidP="006B0153">
            <w:pPr>
              <w:pStyle w:val="TablebodyleftFinancialsTables"/>
              <w:jc w:val="right"/>
              <w:rPr>
                <w:rFonts w:asciiTheme="minorHAnsi" w:hAnsiTheme="minorHAnsi" w:cstheme="minorHAnsi"/>
                <w:b/>
                <w:bCs/>
                <w:sz w:val="18"/>
                <w:szCs w:val="14"/>
              </w:rPr>
            </w:pPr>
            <w:r w:rsidRPr="002C49E2">
              <w:rPr>
                <w:rFonts w:asciiTheme="minorHAnsi" w:hAnsiTheme="minorHAnsi" w:cstheme="minorHAnsi"/>
                <w:b/>
                <w:bCs/>
                <w:sz w:val="18"/>
                <w:szCs w:val="14"/>
              </w:rPr>
              <w:t>–</w:t>
            </w:r>
          </w:p>
        </w:tc>
        <w:tc>
          <w:tcPr>
            <w:tcW w:w="1021" w:type="dxa"/>
          </w:tcPr>
          <w:p w14:paraId="60C28DC7" w14:textId="77777777" w:rsidR="00B02873" w:rsidRPr="002C49E2" w:rsidRDefault="00B02873" w:rsidP="006B0153">
            <w:pPr>
              <w:pStyle w:val="TablebodyleftFinancialsTables"/>
              <w:jc w:val="right"/>
              <w:rPr>
                <w:rFonts w:asciiTheme="minorHAnsi" w:hAnsiTheme="minorHAnsi" w:cstheme="minorHAnsi"/>
                <w:sz w:val="18"/>
                <w:szCs w:val="14"/>
              </w:rPr>
            </w:pPr>
            <w:r w:rsidRPr="002C49E2">
              <w:rPr>
                <w:rFonts w:asciiTheme="minorHAnsi" w:hAnsiTheme="minorHAnsi" w:cstheme="minorHAnsi"/>
                <w:sz w:val="18"/>
                <w:szCs w:val="14"/>
              </w:rPr>
              <w:t>–</w:t>
            </w:r>
          </w:p>
        </w:tc>
        <w:tc>
          <w:tcPr>
            <w:tcW w:w="1105" w:type="dxa"/>
          </w:tcPr>
          <w:p w14:paraId="22C601E8" w14:textId="77777777" w:rsidR="00B02873" w:rsidRPr="002C49E2" w:rsidRDefault="00B02873" w:rsidP="006B0153">
            <w:pPr>
              <w:pStyle w:val="TablebodyleftFinancialsTables"/>
              <w:jc w:val="right"/>
              <w:rPr>
                <w:rFonts w:asciiTheme="minorHAnsi" w:hAnsiTheme="minorHAnsi" w:cstheme="minorHAnsi"/>
                <w:b/>
                <w:bCs/>
                <w:sz w:val="18"/>
                <w:szCs w:val="14"/>
              </w:rPr>
            </w:pPr>
            <w:r w:rsidRPr="002C49E2">
              <w:rPr>
                <w:rFonts w:asciiTheme="minorHAnsi" w:hAnsiTheme="minorHAnsi" w:cstheme="minorHAnsi"/>
                <w:b/>
                <w:bCs/>
                <w:sz w:val="18"/>
                <w:szCs w:val="14"/>
              </w:rPr>
              <w:t>1,590</w:t>
            </w:r>
          </w:p>
        </w:tc>
        <w:tc>
          <w:tcPr>
            <w:tcW w:w="1120" w:type="dxa"/>
          </w:tcPr>
          <w:p w14:paraId="2143E95D" w14:textId="77777777" w:rsidR="00B02873" w:rsidRPr="002C49E2" w:rsidRDefault="00B02873" w:rsidP="006B0153">
            <w:pPr>
              <w:pStyle w:val="TablebodyleftFinancialsTables"/>
              <w:jc w:val="right"/>
              <w:rPr>
                <w:rFonts w:asciiTheme="minorHAnsi" w:hAnsiTheme="minorHAnsi" w:cstheme="minorHAnsi"/>
                <w:sz w:val="18"/>
                <w:szCs w:val="14"/>
              </w:rPr>
            </w:pPr>
            <w:r w:rsidRPr="002C49E2">
              <w:rPr>
                <w:rFonts w:asciiTheme="minorHAnsi" w:hAnsiTheme="minorHAnsi" w:cstheme="minorHAnsi"/>
                <w:sz w:val="18"/>
                <w:szCs w:val="14"/>
              </w:rPr>
              <w:t>1,444</w:t>
            </w:r>
          </w:p>
        </w:tc>
      </w:tr>
      <w:tr w:rsidR="00B02873" w:rsidRPr="002C49E2" w14:paraId="2CC4BCE1" w14:textId="77777777" w:rsidTr="002C49E2">
        <w:tc>
          <w:tcPr>
            <w:tcW w:w="3719" w:type="dxa"/>
          </w:tcPr>
          <w:p w14:paraId="048B9321" w14:textId="0AFE0328" w:rsidR="00B02873" w:rsidRPr="002C49E2" w:rsidRDefault="00B02873" w:rsidP="006B0153">
            <w:pPr>
              <w:pStyle w:val="TablebodyleftFinancialsTables"/>
              <w:rPr>
                <w:rFonts w:asciiTheme="minorHAnsi" w:hAnsiTheme="minorHAnsi" w:cstheme="minorHAnsi"/>
                <w:sz w:val="18"/>
                <w:szCs w:val="14"/>
              </w:rPr>
            </w:pPr>
            <w:r w:rsidRPr="002C49E2">
              <w:rPr>
                <w:rFonts w:asciiTheme="minorHAnsi" w:hAnsiTheme="minorHAnsi" w:cstheme="minorHAnsi"/>
                <w:sz w:val="18"/>
                <w:szCs w:val="14"/>
              </w:rPr>
              <w:t xml:space="preserve">Other income and loan repayments transferred from the controlled entity </w:t>
            </w:r>
          </w:p>
        </w:tc>
        <w:tc>
          <w:tcPr>
            <w:tcW w:w="902" w:type="dxa"/>
          </w:tcPr>
          <w:p w14:paraId="79981B26" w14:textId="77777777" w:rsidR="00B02873" w:rsidRPr="002C49E2" w:rsidRDefault="00B02873" w:rsidP="006B0153">
            <w:pPr>
              <w:pStyle w:val="TablebodyleftFinancialsTables"/>
              <w:jc w:val="right"/>
              <w:rPr>
                <w:rFonts w:asciiTheme="minorHAnsi" w:hAnsiTheme="minorHAnsi" w:cstheme="minorHAnsi"/>
                <w:b/>
                <w:bCs/>
                <w:sz w:val="18"/>
                <w:szCs w:val="14"/>
              </w:rPr>
            </w:pPr>
            <w:r w:rsidRPr="002C49E2">
              <w:rPr>
                <w:rFonts w:asciiTheme="minorHAnsi" w:hAnsiTheme="minorHAnsi" w:cstheme="minorHAnsi"/>
                <w:b/>
                <w:bCs/>
                <w:sz w:val="18"/>
                <w:szCs w:val="14"/>
              </w:rPr>
              <w:t>2,031</w:t>
            </w:r>
          </w:p>
        </w:tc>
        <w:tc>
          <w:tcPr>
            <w:tcW w:w="903" w:type="dxa"/>
          </w:tcPr>
          <w:p w14:paraId="5B56698E" w14:textId="52832AD6" w:rsidR="00B02873" w:rsidRPr="002C49E2" w:rsidRDefault="00012C04" w:rsidP="006B0153">
            <w:pPr>
              <w:pStyle w:val="TablebodyleftFinancialsTables"/>
              <w:jc w:val="right"/>
              <w:rPr>
                <w:rFonts w:asciiTheme="minorHAnsi" w:hAnsiTheme="minorHAnsi" w:cstheme="minorHAnsi"/>
                <w:sz w:val="18"/>
                <w:szCs w:val="14"/>
              </w:rPr>
            </w:pPr>
            <w:r w:rsidRPr="002C49E2">
              <w:rPr>
                <w:rFonts w:asciiTheme="minorHAnsi" w:hAnsiTheme="minorHAnsi" w:cstheme="minorHAnsi"/>
                <w:sz w:val="18"/>
                <w:szCs w:val="14"/>
              </w:rPr>
              <w:t xml:space="preserve"> </w:t>
            </w:r>
            <w:r w:rsidR="00B02873" w:rsidRPr="002C49E2">
              <w:rPr>
                <w:rFonts w:asciiTheme="minorHAnsi" w:hAnsiTheme="minorHAnsi" w:cstheme="minorHAnsi"/>
                <w:sz w:val="18"/>
                <w:szCs w:val="14"/>
              </w:rPr>
              <w:t>407</w:t>
            </w:r>
          </w:p>
        </w:tc>
        <w:tc>
          <w:tcPr>
            <w:tcW w:w="1020" w:type="dxa"/>
          </w:tcPr>
          <w:p w14:paraId="1D1C4408" w14:textId="77777777" w:rsidR="00B02873" w:rsidRPr="002C49E2" w:rsidRDefault="00B02873" w:rsidP="006B0153">
            <w:pPr>
              <w:pStyle w:val="TablebodyleftFinancialsTables"/>
              <w:jc w:val="right"/>
              <w:rPr>
                <w:rFonts w:asciiTheme="minorHAnsi" w:hAnsiTheme="minorHAnsi" w:cstheme="minorHAnsi"/>
                <w:b/>
                <w:bCs/>
                <w:sz w:val="18"/>
                <w:szCs w:val="14"/>
              </w:rPr>
            </w:pPr>
            <w:r w:rsidRPr="002C49E2">
              <w:rPr>
                <w:rFonts w:asciiTheme="minorHAnsi" w:hAnsiTheme="minorHAnsi" w:cstheme="minorHAnsi"/>
                <w:b/>
                <w:bCs/>
                <w:sz w:val="18"/>
                <w:szCs w:val="14"/>
              </w:rPr>
              <w:t>4</w:t>
            </w:r>
          </w:p>
        </w:tc>
        <w:tc>
          <w:tcPr>
            <w:tcW w:w="1021" w:type="dxa"/>
          </w:tcPr>
          <w:p w14:paraId="606A9968" w14:textId="77777777" w:rsidR="00B02873" w:rsidRPr="002C49E2" w:rsidRDefault="00B02873" w:rsidP="006B0153">
            <w:pPr>
              <w:pStyle w:val="TablebodyleftFinancialsTables"/>
              <w:jc w:val="right"/>
              <w:rPr>
                <w:rFonts w:asciiTheme="minorHAnsi" w:hAnsiTheme="minorHAnsi" w:cstheme="minorHAnsi"/>
                <w:sz w:val="18"/>
                <w:szCs w:val="14"/>
              </w:rPr>
            </w:pPr>
            <w:r w:rsidRPr="002C49E2">
              <w:rPr>
                <w:rFonts w:asciiTheme="minorHAnsi" w:hAnsiTheme="minorHAnsi" w:cstheme="minorHAnsi"/>
                <w:sz w:val="18"/>
                <w:szCs w:val="14"/>
              </w:rPr>
              <w:t>32</w:t>
            </w:r>
          </w:p>
        </w:tc>
        <w:tc>
          <w:tcPr>
            <w:tcW w:w="1105" w:type="dxa"/>
          </w:tcPr>
          <w:p w14:paraId="748C14F4" w14:textId="77777777" w:rsidR="00B02873" w:rsidRPr="002C49E2" w:rsidRDefault="00B02873" w:rsidP="006B0153">
            <w:pPr>
              <w:pStyle w:val="TablebodyleftFinancialsTables"/>
              <w:jc w:val="right"/>
              <w:rPr>
                <w:rFonts w:asciiTheme="minorHAnsi" w:hAnsiTheme="minorHAnsi" w:cstheme="minorHAnsi"/>
                <w:b/>
                <w:bCs/>
                <w:sz w:val="18"/>
                <w:szCs w:val="14"/>
              </w:rPr>
            </w:pPr>
            <w:r w:rsidRPr="002C49E2">
              <w:rPr>
                <w:rFonts w:asciiTheme="minorHAnsi" w:hAnsiTheme="minorHAnsi" w:cstheme="minorHAnsi"/>
                <w:b/>
                <w:bCs/>
                <w:sz w:val="18"/>
                <w:szCs w:val="14"/>
              </w:rPr>
              <w:t>143,837</w:t>
            </w:r>
          </w:p>
        </w:tc>
        <w:tc>
          <w:tcPr>
            <w:tcW w:w="1120" w:type="dxa"/>
          </w:tcPr>
          <w:p w14:paraId="3D0CBD3E" w14:textId="77777777" w:rsidR="00B02873" w:rsidRPr="002C49E2" w:rsidRDefault="00B02873" w:rsidP="006B0153">
            <w:pPr>
              <w:pStyle w:val="TablebodyleftFinancialsTables"/>
              <w:jc w:val="right"/>
              <w:rPr>
                <w:rFonts w:asciiTheme="minorHAnsi" w:hAnsiTheme="minorHAnsi" w:cstheme="minorHAnsi"/>
                <w:sz w:val="18"/>
                <w:szCs w:val="14"/>
              </w:rPr>
            </w:pPr>
            <w:r w:rsidRPr="002C49E2">
              <w:rPr>
                <w:rFonts w:asciiTheme="minorHAnsi" w:hAnsiTheme="minorHAnsi" w:cstheme="minorHAnsi"/>
                <w:sz w:val="18"/>
                <w:szCs w:val="14"/>
              </w:rPr>
              <w:t>73,232</w:t>
            </w:r>
          </w:p>
        </w:tc>
      </w:tr>
      <w:tr w:rsidR="00B02873" w:rsidRPr="002C49E2" w14:paraId="5B95E864" w14:textId="77777777" w:rsidTr="002C49E2">
        <w:tc>
          <w:tcPr>
            <w:tcW w:w="3719" w:type="dxa"/>
          </w:tcPr>
          <w:p w14:paraId="128ED6E9" w14:textId="4DCBC509" w:rsidR="00B02873" w:rsidRPr="002C49E2" w:rsidRDefault="00B02873" w:rsidP="006B0153">
            <w:pPr>
              <w:pStyle w:val="TablebodyleftFinancialsTables"/>
              <w:rPr>
                <w:rFonts w:asciiTheme="minorHAnsi" w:hAnsiTheme="minorHAnsi" w:cstheme="minorHAnsi"/>
                <w:b/>
                <w:bCs/>
                <w:sz w:val="18"/>
                <w:szCs w:val="14"/>
              </w:rPr>
            </w:pPr>
            <w:r w:rsidRPr="002C49E2">
              <w:rPr>
                <w:rFonts w:asciiTheme="minorHAnsi" w:hAnsiTheme="minorHAnsi" w:cstheme="minorHAnsi"/>
                <w:b/>
                <w:bCs/>
                <w:sz w:val="18"/>
                <w:szCs w:val="14"/>
              </w:rPr>
              <w:t>Total administered revenue and income from transactions</w:t>
            </w:r>
          </w:p>
        </w:tc>
        <w:tc>
          <w:tcPr>
            <w:tcW w:w="902" w:type="dxa"/>
          </w:tcPr>
          <w:p w14:paraId="0CD773F3" w14:textId="77777777" w:rsidR="00B02873" w:rsidRPr="002C49E2" w:rsidRDefault="00B02873" w:rsidP="006B0153">
            <w:pPr>
              <w:pStyle w:val="TablebodyleftFinancialsTables"/>
              <w:jc w:val="right"/>
              <w:rPr>
                <w:rFonts w:asciiTheme="minorHAnsi" w:hAnsiTheme="minorHAnsi" w:cstheme="minorHAnsi"/>
                <w:b/>
                <w:bCs/>
                <w:sz w:val="18"/>
                <w:szCs w:val="14"/>
              </w:rPr>
            </w:pPr>
            <w:r w:rsidRPr="002C49E2">
              <w:rPr>
                <w:rFonts w:asciiTheme="minorHAnsi" w:hAnsiTheme="minorHAnsi" w:cstheme="minorHAnsi"/>
                <w:b/>
                <w:bCs/>
                <w:sz w:val="18"/>
                <w:szCs w:val="14"/>
              </w:rPr>
              <w:t>12,589</w:t>
            </w:r>
          </w:p>
        </w:tc>
        <w:tc>
          <w:tcPr>
            <w:tcW w:w="903" w:type="dxa"/>
          </w:tcPr>
          <w:p w14:paraId="4087F9CF" w14:textId="77777777" w:rsidR="00B02873" w:rsidRPr="002C49E2" w:rsidRDefault="00B02873" w:rsidP="006B0153">
            <w:pPr>
              <w:pStyle w:val="TablebodyleftFinancialsTables"/>
              <w:jc w:val="right"/>
              <w:rPr>
                <w:rFonts w:asciiTheme="minorHAnsi" w:hAnsiTheme="minorHAnsi" w:cstheme="minorHAnsi"/>
                <w:sz w:val="18"/>
                <w:szCs w:val="14"/>
              </w:rPr>
            </w:pPr>
            <w:r w:rsidRPr="002C49E2">
              <w:rPr>
                <w:rFonts w:asciiTheme="minorHAnsi" w:hAnsiTheme="minorHAnsi" w:cstheme="minorHAnsi"/>
                <w:sz w:val="18"/>
                <w:szCs w:val="14"/>
              </w:rPr>
              <w:t>9,754</w:t>
            </w:r>
          </w:p>
        </w:tc>
        <w:tc>
          <w:tcPr>
            <w:tcW w:w="1020" w:type="dxa"/>
          </w:tcPr>
          <w:p w14:paraId="3B874D72" w14:textId="77777777" w:rsidR="00B02873" w:rsidRPr="002C49E2" w:rsidRDefault="00B02873" w:rsidP="006B0153">
            <w:pPr>
              <w:pStyle w:val="TablebodyleftFinancialsTables"/>
              <w:jc w:val="right"/>
              <w:rPr>
                <w:rFonts w:asciiTheme="minorHAnsi" w:hAnsiTheme="minorHAnsi" w:cstheme="minorHAnsi"/>
                <w:b/>
                <w:bCs/>
                <w:sz w:val="18"/>
                <w:szCs w:val="14"/>
              </w:rPr>
            </w:pPr>
            <w:r w:rsidRPr="002C49E2">
              <w:rPr>
                <w:rFonts w:asciiTheme="minorHAnsi" w:hAnsiTheme="minorHAnsi" w:cstheme="minorHAnsi"/>
                <w:b/>
                <w:bCs/>
                <w:sz w:val="18"/>
                <w:szCs w:val="14"/>
              </w:rPr>
              <w:t xml:space="preserve"> 4</w:t>
            </w:r>
          </w:p>
        </w:tc>
        <w:tc>
          <w:tcPr>
            <w:tcW w:w="1021" w:type="dxa"/>
          </w:tcPr>
          <w:p w14:paraId="50B2E0AF" w14:textId="77777777" w:rsidR="00B02873" w:rsidRPr="002C49E2" w:rsidRDefault="00B02873" w:rsidP="006B0153">
            <w:pPr>
              <w:pStyle w:val="TablebodyleftFinancialsTables"/>
              <w:jc w:val="right"/>
              <w:rPr>
                <w:rFonts w:asciiTheme="minorHAnsi" w:hAnsiTheme="minorHAnsi" w:cstheme="minorHAnsi"/>
                <w:sz w:val="18"/>
                <w:szCs w:val="14"/>
              </w:rPr>
            </w:pPr>
            <w:r w:rsidRPr="002C49E2">
              <w:rPr>
                <w:rFonts w:asciiTheme="minorHAnsi" w:hAnsiTheme="minorHAnsi" w:cstheme="minorHAnsi"/>
                <w:sz w:val="18"/>
                <w:szCs w:val="14"/>
              </w:rPr>
              <w:t>1,903</w:t>
            </w:r>
          </w:p>
        </w:tc>
        <w:tc>
          <w:tcPr>
            <w:tcW w:w="1105" w:type="dxa"/>
          </w:tcPr>
          <w:p w14:paraId="79628458" w14:textId="77777777" w:rsidR="00B02873" w:rsidRPr="002C49E2" w:rsidRDefault="00B02873" w:rsidP="006B0153">
            <w:pPr>
              <w:pStyle w:val="TablebodyleftFinancialsTables"/>
              <w:jc w:val="right"/>
              <w:rPr>
                <w:rFonts w:asciiTheme="minorHAnsi" w:hAnsiTheme="minorHAnsi" w:cstheme="minorHAnsi"/>
                <w:b/>
                <w:bCs/>
                <w:sz w:val="18"/>
                <w:szCs w:val="14"/>
              </w:rPr>
            </w:pPr>
            <w:r w:rsidRPr="002C49E2">
              <w:rPr>
                <w:rFonts w:asciiTheme="minorHAnsi" w:hAnsiTheme="minorHAnsi" w:cstheme="minorHAnsi"/>
                <w:b/>
                <w:bCs/>
                <w:sz w:val="18"/>
                <w:szCs w:val="14"/>
              </w:rPr>
              <w:t>2,213,164</w:t>
            </w:r>
          </w:p>
        </w:tc>
        <w:tc>
          <w:tcPr>
            <w:tcW w:w="1120" w:type="dxa"/>
          </w:tcPr>
          <w:p w14:paraId="537C1DF3" w14:textId="1DB5B7E0" w:rsidR="00B02873" w:rsidRPr="002C49E2" w:rsidRDefault="00B02873" w:rsidP="006B0153">
            <w:pPr>
              <w:pStyle w:val="TablebodyleftFinancialsTables"/>
              <w:jc w:val="right"/>
              <w:rPr>
                <w:rFonts w:asciiTheme="minorHAnsi" w:hAnsiTheme="minorHAnsi" w:cstheme="minorHAnsi"/>
                <w:sz w:val="18"/>
                <w:szCs w:val="14"/>
              </w:rPr>
            </w:pPr>
            <w:r w:rsidRPr="002C49E2">
              <w:rPr>
                <w:rFonts w:asciiTheme="minorHAnsi" w:hAnsiTheme="minorHAnsi" w:cstheme="minorHAnsi"/>
                <w:sz w:val="18"/>
                <w:szCs w:val="14"/>
              </w:rPr>
              <w:t>2,044,981</w:t>
            </w:r>
            <w:r w:rsidR="00012C04" w:rsidRPr="002C49E2">
              <w:rPr>
                <w:rFonts w:asciiTheme="minorHAnsi" w:hAnsiTheme="minorHAnsi" w:cstheme="minorHAnsi"/>
                <w:sz w:val="18"/>
                <w:szCs w:val="14"/>
              </w:rPr>
              <w:t xml:space="preserve"> </w:t>
            </w:r>
          </w:p>
        </w:tc>
      </w:tr>
      <w:tr w:rsidR="00B02873" w:rsidRPr="002C49E2" w14:paraId="01D6D2B5" w14:textId="77777777" w:rsidTr="002C49E2">
        <w:tc>
          <w:tcPr>
            <w:tcW w:w="3719" w:type="dxa"/>
          </w:tcPr>
          <w:p w14:paraId="21011A7F" w14:textId="77777777" w:rsidR="00B02873" w:rsidRPr="002C49E2" w:rsidRDefault="00B02873" w:rsidP="006B0153">
            <w:pPr>
              <w:pStyle w:val="TablebodyleftFinancialsTables"/>
              <w:rPr>
                <w:rFonts w:asciiTheme="minorHAnsi" w:hAnsiTheme="minorHAnsi" w:cstheme="minorHAnsi"/>
                <w:b/>
                <w:bCs/>
                <w:sz w:val="18"/>
                <w:szCs w:val="14"/>
              </w:rPr>
            </w:pPr>
            <w:r w:rsidRPr="002C49E2">
              <w:rPr>
                <w:rFonts w:asciiTheme="minorHAnsi" w:hAnsiTheme="minorHAnsi" w:cstheme="minorHAnsi"/>
                <w:b/>
                <w:bCs/>
                <w:sz w:val="18"/>
                <w:szCs w:val="14"/>
              </w:rPr>
              <w:t>Administered expenses from transactions</w:t>
            </w:r>
          </w:p>
        </w:tc>
        <w:tc>
          <w:tcPr>
            <w:tcW w:w="902" w:type="dxa"/>
          </w:tcPr>
          <w:p w14:paraId="42624FA1" w14:textId="77777777" w:rsidR="00B02873" w:rsidRPr="002C49E2" w:rsidRDefault="00B02873" w:rsidP="006B0153">
            <w:pPr>
              <w:pStyle w:val="TablebodyleftFinancialsTables"/>
              <w:jc w:val="right"/>
              <w:rPr>
                <w:rFonts w:asciiTheme="minorHAnsi" w:hAnsiTheme="minorHAnsi" w:cstheme="minorHAnsi"/>
                <w:b/>
                <w:bCs/>
                <w:sz w:val="18"/>
                <w:szCs w:val="14"/>
              </w:rPr>
            </w:pPr>
          </w:p>
        </w:tc>
        <w:tc>
          <w:tcPr>
            <w:tcW w:w="903" w:type="dxa"/>
          </w:tcPr>
          <w:p w14:paraId="5095B6FE" w14:textId="77777777" w:rsidR="00B02873" w:rsidRPr="002C49E2" w:rsidRDefault="00B02873" w:rsidP="006B0153">
            <w:pPr>
              <w:pStyle w:val="TablebodyleftFinancialsTables"/>
              <w:jc w:val="right"/>
              <w:rPr>
                <w:rFonts w:asciiTheme="minorHAnsi" w:hAnsiTheme="minorHAnsi" w:cstheme="minorHAnsi"/>
                <w:sz w:val="18"/>
                <w:szCs w:val="14"/>
              </w:rPr>
            </w:pPr>
          </w:p>
        </w:tc>
        <w:tc>
          <w:tcPr>
            <w:tcW w:w="1020" w:type="dxa"/>
          </w:tcPr>
          <w:p w14:paraId="1A9A1082" w14:textId="77777777" w:rsidR="00B02873" w:rsidRPr="002C49E2" w:rsidRDefault="00B02873" w:rsidP="006B0153">
            <w:pPr>
              <w:pStyle w:val="TablebodyleftFinancialsTables"/>
              <w:jc w:val="right"/>
              <w:rPr>
                <w:rFonts w:asciiTheme="minorHAnsi" w:hAnsiTheme="minorHAnsi" w:cstheme="minorHAnsi"/>
                <w:b/>
                <w:bCs/>
                <w:sz w:val="18"/>
                <w:szCs w:val="14"/>
              </w:rPr>
            </w:pPr>
          </w:p>
        </w:tc>
        <w:tc>
          <w:tcPr>
            <w:tcW w:w="1021" w:type="dxa"/>
          </w:tcPr>
          <w:p w14:paraId="237803B9" w14:textId="77777777" w:rsidR="00B02873" w:rsidRPr="002C49E2" w:rsidRDefault="00B02873" w:rsidP="006B0153">
            <w:pPr>
              <w:pStyle w:val="TablebodyleftFinancialsTables"/>
              <w:jc w:val="right"/>
              <w:rPr>
                <w:rFonts w:asciiTheme="minorHAnsi" w:hAnsiTheme="minorHAnsi" w:cstheme="minorHAnsi"/>
                <w:sz w:val="18"/>
                <w:szCs w:val="14"/>
              </w:rPr>
            </w:pPr>
          </w:p>
        </w:tc>
        <w:tc>
          <w:tcPr>
            <w:tcW w:w="1105" w:type="dxa"/>
          </w:tcPr>
          <w:p w14:paraId="4E33A866" w14:textId="77777777" w:rsidR="00B02873" w:rsidRPr="002C49E2" w:rsidRDefault="00B02873" w:rsidP="006B0153">
            <w:pPr>
              <w:pStyle w:val="TablebodyleftFinancialsTables"/>
              <w:jc w:val="right"/>
              <w:rPr>
                <w:rFonts w:asciiTheme="minorHAnsi" w:hAnsiTheme="minorHAnsi" w:cstheme="minorHAnsi"/>
                <w:b/>
                <w:bCs/>
                <w:sz w:val="18"/>
                <w:szCs w:val="14"/>
              </w:rPr>
            </w:pPr>
          </w:p>
        </w:tc>
        <w:tc>
          <w:tcPr>
            <w:tcW w:w="1120" w:type="dxa"/>
          </w:tcPr>
          <w:p w14:paraId="2ED022E1" w14:textId="77777777" w:rsidR="00B02873" w:rsidRPr="002C49E2" w:rsidRDefault="00B02873" w:rsidP="006B0153">
            <w:pPr>
              <w:pStyle w:val="TablebodyleftFinancialsTables"/>
              <w:jc w:val="right"/>
              <w:rPr>
                <w:rFonts w:asciiTheme="minorHAnsi" w:hAnsiTheme="minorHAnsi" w:cstheme="minorHAnsi"/>
                <w:sz w:val="18"/>
                <w:szCs w:val="14"/>
              </w:rPr>
            </w:pPr>
          </w:p>
        </w:tc>
      </w:tr>
      <w:tr w:rsidR="00B02873" w:rsidRPr="002C49E2" w14:paraId="799603E6" w14:textId="77777777" w:rsidTr="002C49E2">
        <w:tc>
          <w:tcPr>
            <w:tcW w:w="3719" w:type="dxa"/>
          </w:tcPr>
          <w:p w14:paraId="295E0960" w14:textId="77777777" w:rsidR="00B02873" w:rsidRPr="002C49E2" w:rsidRDefault="00B02873" w:rsidP="006B0153">
            <w:pPr>
              <w:pStyle w:val="TablebodyleftFinancialsTables"/>
              <w:rPr>
                <w:rFonts w:asciiTheme="minorHAnsi" w:hAnsiTheme="minorHAnsi" w:cstheme="minorHAnsi"/>
                <w:sz w:val="18"/>
                <w:szCs w:val="14"/>
              </w:rPr>
            </w:pPr>
            <w:r w:rsidRPr="002C49E2">
              <w:rPr>
                <w:rFonts w:asciiTheme="minorHAnsi" w:hAnsiTheme="minorHAnsi" w:cstheme="minorHAnsi"/>
                <w:sz w:val="18"/>
                <w:szCs w:val="14"/>
              </w:rPr>
              <w:t>Grants and other transfers</w:t>
            </w:r>
          </w:p>
        </w:tc>
        <w:tc>
          <w:tcPr>
            <w:tcW w:w="902" w:type="dxa"/>
          </w:tcPr>
          <w:p w14:paraId="179A7462" w14:textId="77777777" w:rsidR="00B02873" w:rsidRPr="002C49E2" w:rsidRDefault="00B02873" w:rsidP="006B0153">
            <w:pPr>
              <w:pStyle w:val="TablebodyleftFinancialsTables"/>
              <w:jc w:val="right"/>
              <w:rPr>
                <w:rFonts w:asciiTheme="minorHAnsi" w:hAnsiTheme="minorHAnsi" w:cstheme="minorHAnsi"/>
                <w:b/>
                <w:bCs/>
                <w:sz w:val="18"/>
                <w:szCs w:val="14"/>
              </w:rPr>
            </w:pPr>
            <w:r w:rsidRPr="002C49E2">
              <w:rPr>
                <w:rFonts w:asciiTheme="minorHAnsi" w:hAnsiTheme="minorHAnsi" w:cstheme="minorHAnsi"/>
                <w:b/>
                <w:bCs/>
                <w:sz w:val="18"/>
                <w:szCs w:val="14"/>
              </w:rPr>
              <w:t>(8,675)</w:t>
            </w:r>
          </w:p>
        </w:tc>
        <w:tc>
          <w:tcPr>
            <w:tcW w:w="903" w:type="dxa"/>
          </w:tcPr>
          <w:p w14:paraId="1B6F892E" w14:textId="77777777" w:rsidR="00B02873" w:rsidRPr="002C49E2" w:rsidRDefault="00B02873" w:rsidP="006B0153">
            <w:pPr>
              <w:pStyle w:val="TablebodyleftFinancialsTables"/>
              <w:jc w:val="right"/>
              <w:rPr>
                <w:rFonts w:asciiTheme="minorHAnsi" w:hAnsiTheme="minorHAnsi" w:cstheme="minorHAnsi"/>
                <w:sz w:val="18"/>
                <w:szCs w:val="14"/>
              </w:rPr>
            </w:pPr>
            <w:r w:rsidRPr="002C49E2">
              <w:rPr>
                <w:rFonts w:asciiTheme="minorHAnsi" w:hAnsiTheme="minorHAnsi" w:cstheme="minorHAnsi"/>
                <w:sz w:val="18"/>
                <w:szCs w:val="14"/>
              </w:rPr>
              <w:t>(8,459)</w:t>
            </w:r>
          </w:p>
        </w:tc>
        <w:tc>
          <w:tcPr>
            <w:tcW w:w="1020" w:type="dxa"/>
          </w:tcPr>
          <w:p w14:paraId="20EE5852" w14:textId="77777777" w:rsidR="00B02873" w:rsidRPr="002C49E2" w:rsidRDefault="00B02873" w:rsidP="006B0153">
            <w:pPr>
              <w:pStyle w:val="TablebodyleftFinancialsTables"/>
              <w:jc w:val="right"/>
              <w:rPr>
                <w:rFonts w:asciiTheme="minorHAnsi" w:hAnsiTheme="minorHAnsi" w:cstheme="minorHAnsi"/>
                <w:b/>
                <w:bCs/>
                <w:sz w:val="18"/>
                <w:szCs w:val="14"/>
              </w:rPr>
            </w:pPr>
            <w:r w:rsidRPr="002C49E2">
              <w:rPr>
                <w:rFonts w:asciiTheme="minorHAnsi" w:hAnsiTheme="minorHAnsi" w:cstheme="minorHAnsi"/>
                <w:b/>
                <w:bCs/>
                <w:sz w:val="18"/>
                <w:szCs w:val="14"/>
              </w:rPr>
              <w:t>–</w:t>
            </w:r>
          </w:p>
        </w:tc>
        <w:tc>
          <w:tcPr>
            <w:tcW w:w="1021" w:type="dxa"/>
          </w:tcPr>
          <w:p w14:paraId="72BEF483" w14:textId="77777777" w:rsidR="00B02873" w:rsidRPr="002C49E2" w:rsidRDefault="00B02873" w:rsidP="006B0153">
            <w:pPr>
              <w:pStyle w:val="TablebodyleftFinancialsTables"/>
              <w:jc w:val="right"/>
              <w:rPr>
                <w:rFonts w:asciiTheme="minorHAnsi" w:hAnsiTheme="minorHAnsi" w:cstheme="minorHAnsi"/>
                <w:sz w:val="18"/>
                <w:szCs w:val="14"/>
              </w:rPr>
            </w:pPr>
            <w:r w:rsidRPr="002C49E2">
              <w:rPr>
                <w:rFonts w:asciiTheme="minorHAnsi" w:hAnsiTheme="minorHAnsi" w:cstheme="minorHAnsi"/>
                <w:sz w:val="18"/>
                <w:szCs w:val="14"/>
              </w:rPr>
              <w:t>–</w:t>
            </w:r>
          </w:p>
        </w:tc>
        <w:tc>
          <w:tcPr>
            <w:tcW w:w="1105" w:type="dxa"/>
          </w:tcPr>
          <w:p w14:paraId="22B744AC" w14:textId="77777777" w:rsidR="00B02873" w:rsidRPr="002C49E2" w:rsidRDefault="00B02873" w:rsidP="006B0153">
            <w:pPr>
              <w:pStyle w:val="TablebodyleftFinancialsTables"/>
              <w:jc w:val="right"/>
              <w:rPr>
                <w:rFonts w:asciiTheme="minorHAnsi" w:hAnsiTheme="minorHAnsi" w:cstheme="minorHAnsi"/>
                <w:b/>
                <w:bCs/>
                <w:sz w:val="18"/>
                <w:szCs w:val="14"/>
              </w:rPr>
            </w:pPr>
            <w:r w:rsidRPr="002C49E2">
              <w:rPr>
                <w:rFonts w:asciiTheme="minorHAnsi" w:hAnsiTheme="minorHAnsi" w:cstheme="minorHAnsi"/>
                <w:b/>
                <w:bCs/>
                <w:sz w:val="18"/>
                <w:szCs w:val="14"/>
              </w:rPr>
              <w:t>(82,898)</w:t>
            </w:r>
          </w:p>
        </w:tc>
        <w:tc>
          <w:tcPr>
            <w:tcW w:w="1120" w:type="dxa"/>
          </w:tcPr>
          <w:p w14:paraId="6BD2305B" w14:textId="77777777" w:rsidR="00B02873" w:rsidRPr="002C49E2" w:rsidRDefault="00B02873" w:rsidP="006B0153">
            <w:pPr>
              <w:pStyle w:val="TablebodyleftFinancialsTables"/>
              <w:jc w:val="right"/>
              <w:rPr>
                <w:rFonts w:asciiTheme="minorHAnsi" w:hAnsiTheme="minorHAnsi" w:cstheme="minorHAnsi"/>
                <w:sz w:val="18"/>
                <w:szCs w:val="14"/>
              </w:rPr>
            </w:pPr>
            <w:r w:rsidRPr="002C49E2">
              <w:rPr>
                <w:rFonts w:asciiTheme="minorHAnsi" w:hAnsiTheme="minorHAnsi" w:cstheme="minorHAnsi"/>
                <w:sz w:val="18"/>
                <w:szCs w:val="14"/>
              </w:rPr>
              <w:t>(73,511)</w:t>
            </w:r>
          </w:p>
        </w:tc>
      </w:tr>
      <w:tr w:rsidR="00B02873" w:rsidRPr="002C49E2" w14:paraId="710A2DBE" w14:textId="77777777" w:rsidTr="002C49E2">
        <w:tc>
          <w:tcPr>
            <w:tcW w:w="3719" w:type="dxa"/>
          </w:tcPr>
          <w:p w14:paraId="0B207DAD" w14:textId="77777777" w:rsidR="00B02873" w:rsidRPr="002C49E2" w:rsidRDefault="00B02873" w:rsidP="006B0153">
            <w:pPr>
              <w:pStyle w:val="TablebodyleftFinancialsTables"/>
              <w:rPr>
                <w:rFonts w:asciiTheme="minorHAnsi" w:hAnsiTheme="minorHAnsi" w:cstheme="minorHAnsi"/>
                <w:sz w:val="18"/>
                <w:szCs w:val="14"/>
              </w:rPr>
            </w:pPr>
            <w:r w:rsidRPr="002C49E2">
              <w:rPr>
                <w:rFonts w:asciiTheme="minorHAnsi" w:hAnsiTheme="minorHAnsi" w:cstheme="minorHAnsi"/>
                <w:sz w:val="18"/>
                <w:szCs w:val="14"/>
              </w:rPr>
              <w:t>Victorian Desalination Project interest expense (Note 4.2.5)</w:t>
            </w:r>
          </w:p>
        </w:tc>
        <w:tc>
          <w:tcPr>
            <w:tcW w:w="902" w:type="dxa"/>
          </w:tcPr>
          <w:p w14:paraId="788217B5" w14:textId="77777777" w:rsidR="00B02873" w:rsidRPr="002C49E2" w:rsidRDefault="00B02873" w:rsidP="006B0153">
            <w:pPr>
              <w:pStyle w:val="TablebodyleftFinancialsTables"/>
              <w:jc w:val="right"/>
              <w:rPr>
                <w:rFonts w:asciiTheme="minorHAnsi" w:hAnsiTheme="minorHAnsi" w:cstheme="minorHAnsi"/>
                <w:b/>
                <w:bCs/>
                <w:sz w:val="18"/>
                <w:szCs w:val="14"/>
              </w:rPr>
            </w:pPr>
            <w:r w:rsidRPr="002C49E2">
              <w:rPr>
                <w:rFonts w:asciiTheme="minorHAnsi" w:hAnsiTheme="minorHAnsi" w:cstheme="minorHAnsi"/>
                <w:b/>
                <w:bCs/>
                <w:sz w:val="18"/>
                <w:szCs w:val="14"/>
              </w:rPr>
              <w:t>–</w:t>
            </w:r>
          </w:p>
        </w:tc>
        <w:tc>
          <w:tcPr>
            <w:tcW w:w="903" w:type="dxa"/>
          </w:tcPr>
          <w:p w14:paraId="31D46DFF" w14:textId="77777777" w:rsidR="00B02873" w:rsidRPr="002C49E2" w:rsidRDefault="00B02873" w:rsidP="006B0153">
            <w:pPr>
              <w:pStyle w:val="TablebodyleftFinancialsTables"/>
              <w:jc w:val="right"/>
              <w:rPr>
                <w:rFonts w:asciiTheme="minorHAnsi" w:hAnsiTheme="minorHAnsi" w:cstheme="minorHAnsi"/>
                <w:sz w:val="18"/>
                <w:szCs w:val="14"/>
              </w:rPr>
            </w:pPr>
            <w:r w:rsidRPr="002C49E2">
              <w:rPr>
                <w:rFonts w:asciiTheme="minorHAnsi" w:hAnsiTheme="minorHAnsi" w:cstheme="minorHAnsi"/>
                <w:sz w:val="18"/>
                <w:szCs w:val="14"/>
              </w:rPr>
              <w:t>–</w:t>
            </w:r>
          </w:p>
        </w:tc>
        <w:tc>
          <w:tcPr>
            <w:tcW w:w="1020" w:type="dxa"/>
          </w:tcPr>
          <w:p w14:paraId="3D8C9133" w14:textId="77777777" w:rsidR="00B02873" w:rsidRPr="002C49E2" w:rsidRDefault="00B02873" w:rsidP="006B0153">
            <w:pPr>
              <w:pStyle w:val="TablebodyleftFinancialsTables"/>
              <w:jc w:val="right"/>
              <w:rPr>
                <w:rFonts w:asciiTheme="minorHAnsi" w:hAnsiTheme="minorHAnsi" w:cstheme="minorHAnsi"/>
                <w:b/>
                <w:bCs/>
                <w:sz w:val="18"/>
                <w:szCs w:val="14"/>
              </w:rPr>
            </w:pPr>
            <w:r w:rsidRPr="002C49E2">
              <w:rPr>
                <w:rFonts w:asciiTheme="minorHAnsi" w:hAnsiTheme="minorHAnsi" w:cstheme="minorHAnsi"/>
                <w:b/>
                <w:bCs/>
                <w:sz w:val="18"/>
                <w:szCs w:val="14"/>
              </w:rPr>
              <w:t>–</w:t>
            </w:r>
          </w:p>
        </w:tc>
        <w:tc>
          <w:tcPr>
            <w:tcW w:w="1021" w:type="dxa"/>
          </w:tcPr>
          <w:p w14:paraId="54AB28E5" w14:textId="77777777" w:rsidR="00B02873" w:rsidRPr="002C49E2" w:rsidRDefault="00B02873" w:rsidP="006B0153">
            <w:pPr>
              <w:pStyle w:val="TablebodyleftFinancialsTables"/>
              <w:jc w:val="right"/>
              <w:rPr>
                <w:rFonts w:asciiTheme="minorHAnsi" w:hAnsiTheme="minorHAnsi" w:cstheme="minorHAnsi"/>
                <w:sz w:val="18"/>
                <w:szCs w:val="14"/>
              </w:rPr>
            </w:pPr>
            <w:r w:rsidRPr="002C49E2">
              <w:rPr>
                <w:rFonts w:asciiTheme="minorHAnsi" w:hAnsiTheme="minorHAnsi" w:cstheme="minorHAnsi"/>
                <w:sz w:val="18"/>
                <w:szCs w:val="14"/>
              </w:rPr>
              <w:t>–</w:t>
            </w:r>
          </w:p>
        </w:tc>
        <w:tc>
          <w:tcPr>
            <w:tcW w:w="1105" w:type="dxa"/>
          </w:tcPr>
          <w:p w14:paraId="454CAB17" w14:textId="77777777" w:rsidR="00B02873" w:rsidRPr="002C49E2" w:rsidRDefault="00B02873" w:rsidP="006B0153">
            <w:pPr>
              <w:pStyle w:val="TablebodyleftFinancialsTables"/>
              <w:jc w:val="right"/>
              <w:rPr>
                <w:rFonts w:asciiTheme="minorHAnsi" w:hAnsiTheme="minorHAnsi" w:cstheme="minorHAnsi"/>
                <w:b/>
                <w:bCs/>
                <w:sz w:val="18"/>
                <w:szCs w:val="14"/>
              </w:rPr>
            </w:pPr>
            <w:r w:rsidRPr="002C49E2">
              <w:rPr>
                <w:rFonts w:asciiTheme="minorHAnsi" w:hAnsiTheme="minorHAnsi" w:cstheme="minorHAnsi"/>
                <w:b/>
                <w:bCs/>
                <w:sz w:val="18"/>
                <w:szCs w:val="14"/>
              </w:rPr>
              <w:t>(366,528)</w:t>
            </w:r>
          </w:p>
        </w:tc>
        <w:tc>
          <w:tcPr>
            <w:tcW w:w="1120" w:type="dxa"/>
          </w:tcPr>
          <w:p w14:paraId="294C594A" w14:textId="77777777" w:rsidR="00B02873" w:rsidRPr="002C49E2" w:rsidRDefault="00B02873" w:rsidP="006B0153">
            <w:pPr>
              <w:pStyle w:val="TablebodyleftFinancialsTables"/>
              <w:jc w:val="right"/>
              <w:rPr>
                <w:rFonts w:asciiTheme="minorHAnsi" w:hAnsiTheme="minorHAnsi" w:cstheme="minorHAnsi"/>
                <w:sz w:val="18"/>
                <w:szCs w:val="14"/>
              </w:rPr>
            </w:pPr>
            <w:r w:rsidRPr="002C49E2">
              <w:rPr>
                <w:rFonts w:asciiTheme="minorHAnsi" w:hAnsiTheme="minorHAnsi" w:cstheme="minorHAnsi"/>
                <w:sz w:val="18"/>
                <w:szCs w:val="14"/>
              </w:rPr>
              <w:t>(372,088)</w:t>
            </w:r>
          </w:p>
        </w:tc>
      </w:tr>
      <w:tr w:rsidR="00B02873" w:rsidRPr="002C49E2" w14:paraId="63F48562" w14:textId="77777777" w:rsidTr="002C49E2">
        <w:tc>
          <w:tcPr>
            <w:tcW w:w="3719" w:type="dxa"/>
          </w:tcPr>
          <w:p w14:paraId="2E89C544" w14:textId="77777777" w:rsidR="00B02873" w:rsidRPr="002C49E2" w:rsidRDefault="00B02873" w:rsidP="006B0153">
            <w:pPr>
              <w:pStyle w:val="TablebodyleftFinancialsTables"/>
              <w:rPr>
                <w:rFonts w:asciiTheme="minorHAnsi" w:hAnsiTheme="minorHAnsi" w:cstheme="minorHAnsi"/>
                <w:sz w:val="18"/>
                <w:szCs w:val="14"/>
              </w:rPr>
            </w:pPr>
            <w:r w:rsidRPr="002C49E2">
              <w:rPr>
                <w:rFonts w:asciiTheme="minorHAnsi" w:hAnsiTheme="minorHAnsi" w:cstheme="minorHAnsi"/>
                <w:sz w:val="18"/>
                <w:szCs w:val="14"/>
              </w:rPr>
              <w:t>Other expenses</w:t>
            </w:r>
          </w:p>
        </w:tc>
        <w:tc>
          <w:tcPr>
            <w:tcW w:w="902" w:type="dxa"/>
          </w:tcPr>
          <w:p w14:paraId="76618343" w14:textId="1517401B" w:rsidR="00B02873" w:rsidRPr="002C49E2" w:rsidRDefault="00B02873" w:rsidP="006B0153">
            <w:pPr>
              <w:pStyle w:val="TablebodyleftFinancialsTables"/>
              <w:jc w:val="right"/>
              <w:rPr>
                <w:rFonts w:asciiTheme="minorHAnsi" w:hAnsiTheme="minorHAnsi" w:cstheme="minorHAnsi"/>
                <w:b/>
                <w:bCs/>
                <w:sz w:val="18"/>
                <w:szCs w:val="14"/>
              </w:rPr>
            </w:pPr>
            <w:r w:rsidRPr="002C49E2">
              <w:rPr>
                <w:rFonts w:asciiTheme="minorHAnsi" w:hAnsiTheme="minorHAnsi" w:cstheme="minorHAnsi"/>
                <w:b/>
                <w:bCs/>
                <w:sz w:val="18"/>
                <w:szCs w:val="14"/>
              </w:rPr>
              <w:t>(50)</w:t>
            </w:r>
          </w:p>
        </w:tc>
        <w:tc>
          <w:tcPr>
            <w:tcW w:w="903" w:type="dxa"/>
          </w:tcPr>
          <w:p w14:paraId="15F59F13" w14:textId="77777777" w:rsidR="00B02873" w:rsidRPr="002C49E2" w:rsidRDefault="00B02873" w:rsidP="006B0153">
            <w:pPr>
              <w:pStyle w:val="TablebodyleftFinancialsTables"/>
              <w:jc w:val="right"/>
              <w:rPr>
                <w:rFonts w:asciiTheme="minorHAnsi" w:hAnsiTheme="minorHAnsi" w:cstheme="minorHAnsi"/>
                <w:sz w:val="18"/>
                <w:szCs w:val="14"/>
              </w:rPr>
            </w:pPr>
            <w:r w:rsidRPr="002C49E2">
              <w:rPr>
                <w:rFonts w:asciiTheme="minorHAnsi" w:hAnsiTheme="minorHAnsi" w:cstheme="minorHAnsi"/>
                <w:sz w:val="18"/>
                <w:szCs w:val="14"/>
              </w:rPr>
              <w:t>–</w:t>
            </w:r>
          </w:p>
        </w:tc>
        <w:tc>
          <w:tcPr>
            <w:tcW w:w="1020" w:type="dxa"/>
          </w:tcPr>
          <w:p w14:paraId="0AE44797" w14:textId="77777777" w:rsidR="00B02873" w:rsidRPr="002C49E2" w:rsidRDefault="00B02873" w:rsidP="006B0153">
            <w:pPr>
              <w:pStyle w:val="TablebodyleftFinancialsTables"/>
              <w:jc w:val="right"/>
              <w:rPr>
                <w:rFonts w:asciiTheme="minorHAnsi" w:hAnsiTheme="minorHAnsi" w:cstheme="minorHAnsi"/>
                <w:b/>
                <w:bCs/>
                <w:sz w:val="18"/>
                <w:szCs w:val="14"/>
              </w:rPr>
            </w:pPr>
            <w:r w:rsidRPr="002C49E2">
              <w:rPr>
                <w:rFonts w:asciiTheme="minorHAnsi" w:hAnsiTheme="minorHAnsi" w:cstheme="minorHAnsi"/>
                <w:b/>
                <w:bCs/>
                <w:sz w:val="18"/>
                <w:szCs w:val="14"/>
              </w:rPr>
              <w:t>(12)</w:t>
            </w:r>
          </w:p>
        </w:tc>
        <w:tc>
          <w:tcPr>
            <w:tcW w:w="1021" w:type="dxa"/>
          </w:tcPr>
          <w:p w14:paraId="729B1B5B" w14:textId="77777777" w:rsidR="00B02873" w:rsidRPr="002C49E2" w:rsidRDefault="00B02873" w:rsidP="006B0153">
            <w:pPr>
              <w:pStyle w:val="TablebodyleftFinancialsTables"/>
              <w:jc w:val="right"/>
              <w:rPr>
                <w:rFonts w:asciiTheme="minorHAnsi" w:hAnsiTheme="minorHAnsi" w:cstheme="minorHAnsi"/>
                <w:sz w:val="18"/>
                <w:szCs w:val="14"/>
              </w:rPr>
            </w:pPr>
            <w:r w:rsidRPr="002C49E2">
              <w:rPr>
                <w:rFonts w:asciiTheme="minorHAnsi" w:hAnsiTheme="minorHAnsi" w:cstheme="minorHAnsi"/>
                <w:sz w:val="18"/>
                <w:szCs w:val="14"/>
              </w:rPr>
              <w:t>–</w:t>
            </w:r>
          </w:p>
        </w:tc>
        <w:tc>
          <w:tcPr>
            <w:tcW w:w="1105" w:type="dxa"/>
          </w:tcPr>
          <w:p w14:paraId="43757868" w14:textId="77777777" w:rsidR="00B02873" w:rsidRPr="002C49E2" w:rsidRDefault="00B02873" w:rsidP="006B0153">
            <w:pPr>
              <w:pStyle w:val="TablebodyleftFinancialsTables"/>
              <w:jc w:val="right"/>
              <w:rPr>
                <w:rFonts w:asciiTheme="minorHAnsi" w:hAnsiTheme="minorHAnsi" w:cstheme="minorHAnsi"/>
                <w:b/>
                <w:bCs/>
                <w:sz w:val="18"/>
                <w:szCs w:val="14"/>
              </w:rPr>
            </w:pPr>
            <w:r w:rsidRPr="002C49E2">
              <w:rPr>
                <w:rFonts w:asciiTheme="minorHAnsi" w:hAnsiTheme="minorHAnsi" w:cstheme="minorHAnsi"/>
                <w:b/>
                <w:bCs/>
                <w:sz w:val="18"/>
                <w:szCs w:val="14"/>
              </w:rPr>
              <w:t>(250,188)</w:t>
            </w:r>
          </w:p>
        </w:tc>
        <w:tc>
          <w:tcPr>
            <w:tcW w:w="1120" w:type="dxa"/>
          </w:tcPr>
          <w:p w14:paraId="0C98FB7C" w14:textId="77777777" w:rsidR="00B02873" w:rsidRPr="002C49E2" w:rsidRDefault="00B02873" w:rsidP="006B0153">
            <w:pPr>
              <w:pStyle w:val="TablebodyleftFinancialsTables"/>
              <w:jc w:val="right"/>
              <w:rPr>
                <w:rFonts w:asciiTheme="minorHAnsi" w:hAnsiTheme="minorHAnsi" w:cstheme="minorHAnsi"/>
                <w:sz w:val="18"/>
                <w:szCs w:val="14"/>
              </w:rPr>
            </w:pPr>
            <w:r w:rsidRPr="002C49E2">
              <w:rPr>
                <w:rFonts w:asciiTheme="minorHAnsi" w:hAnsiTheme="minorHAnsi" w:cstheme="minorHAnsi"/>
                <w:sz w:val="18"/>
                <w:szCs w:val="14"/>
              </w:rPr>
              <w:t>(220,090)</w:t>
            </w:r>
          </w:p>
        </w:tc>
      </w:tr>
      <w:tr w:rsidR="00B02873" w:rsidRPr="002C49E2" w14:paraId="725B104B" w14:textId="77777777" w:rsidTr="002C49E2">
        <w:tc>
          <w:tcPr>
            <w:tcW w:w="3719" w:type="dxa"/>
          </w:tcPr>
          <w:p w14:paraId="36ADE96D" w14:textId="77777777" w:rsidR="00B02873" w:rsidRPr="002C49E2" w:rsidRDefault="00B02873" w:rsidP="006B0153">
            <w:pPr>
              <w:pStyle w:val="TablebodyleftFinancialsTables"/>
              <w:rPr>
                <w:rFonts w:asciiTheme="minorHAnsi" w:hAnsiTheme="minorHAnsi" w:cstheme="minorHAnsi"/>
                <w:sz w:val="18"/>
                <w:szCs w:val="14"/>
              </w:rPr>
            </w:pPr>
            <w:r w:rsidRPr="002C49E2">
              <w:rPr>
                <w:rFonts w:asciiTheme="minorHAnsi" w:hAnsiTheme="minorHAnsi" w:cstheme="minorHAnsi"/>
                <w:sz w:val="18"/>
                <w:szCs w:val="14"/>
              </w:rPr>
              <w:t>Depreciation and amortisation</w:t>
            </w:r>
          </w:p>
        </w:tc>
        <w:tc>
          <w:tcPr>
            <w:tcW w:w="902" w:type="dxa"/>
          </w:tcPr>
          <w:p w14:paraId="48E0D8DB" w14:textId="77777777" w:rsidR="00B02873" w:rsidRPr="002C49E2" w:rsidRDefault="00B02873" w:rsidP="006B0153">
            <w:pPr>
              <w:pStyle w:val="TablebodyleftFinancialsTables"/>
              <w:jc w:val="right"/>
              <w:rPr>
                <w:rFonts w:asciiTheme="minorHAnsi" w:hAnsiTheme="minorHAnsi" w:cstheme="minorHAnsi"/>
                <w:b/>
                <w:bCs/>
                <w:sz w:val="18"/>
                <w:szCs w:val="14"/>
              </w:rPr>
            </w:pPr>
            <w:r w:rsidRPr="002C49E2">
              <w:rPr>
                <w:rFonts w:asciiTheme="minorHAnsi" w:hAnsiTheme="minorHAnsi" w:cstheme="minorHAnsi"/>
                <w:b/>
                <w:bCs/>
                <w:sz w:val="18"/>
                <w:szCs w:val="14"/>
              </w:rPr>
              <w:t>–</w:t>
            </w:r>
          </w:p>
        </w:tc>
        <w:tc>
          <w:tcPr>
            <w:tcW w:w="903" w:type="dxa"/>
          </w:tcPr>
          <w:p w14:paraId="74EC36BA" w14:textId="77777777" w:rsidR="00B02873" w:rsidRPr="002C49E2" w:rsidRDefault="00B02873" w:rsidP="006B0153">
            <w:pPr>
              <w:pStyle w:val="TablebodyleftFinancialsTables"/>
              <w:jc w:val="right"/>
              <w:rPr>
                <w:rFonts w:asciiTheme="minorHAnsi" w:hAnsiTheme="minorHAnsi" w:cstheme="minorHAnsi"/>
                <w:sz w:val="18"/>
                <w:szCs w:val="14"/>
              </w:rPr>
            </w:pPr>
            <w:r w:rsidRPr="002C49E2">
              <w:rPr>
                <w:rFonts w:asciiTheme="minorHAnsi" w:hAnsiTheme="minorHAnsi" w:cstheme="minorHAnsi"/>
                <w:sz w:val="18"/>
                <w:szCs w:val="14"/>
              </w:rPr>
              <w:t>–</w:t>
            </w:r>
          </w:p>
        </w:tc>
        <w:tc>
          <w:tcPr>
            <w:tcW w:w="1020" w:type="dxa"/>
          </w:tcPr>
          <w:p w14:paraId="24FC705D" w14:textId="77777777" w:rsidR="00B02873" w:rsidRPr="002C49E2" w:rsidRDefault="00B02873" w:rsidP="006B0153">
            <w:pPr>
              <w:pStyle w:val="TablebodyleftFinancialsTables"/>
              <w:jc w:val="right"/>
              <w:rPr>
                <w:rFonts w:asciiTheme="minorHAnsi" w:hAnsiTheme="minorHAnsi" w:cstheme="minorHAnsi"/>
                <w:b/>
                <w:bCs/>
                <w:sz w:val="18"/>
                <w:szCs w:val="14"/>
              </w:rPr>
            </w:pPr>
            <w:r w:rsidRPr="002C49E2">
              <w:rPr>
                <w:rFonts w:asciiTheme="minorHAnsi" w:hAnsiTheme="minorHAnsi" w:cstheme="minorHAnsi"/>
                <w:b/>
                <w:bCs/>
                <w:sz w:val="18"/>
                <w:szCs w:val="14"/>
              </w:rPr>
              <w:t>–</w:t>
            </w:r>
          </w:p>
        </w:tc>
        <w:tc>
          <w:tcPr>
            <w:tcW w:w="1021" w:type="dxa"/>
          </w:tcPr>
          <w:p w14:paraId="036F5DC1" w14:textId="77777777" w:rsidR="00B02873" w:rsidRPr="002C49E2" w:rsidRDefault="00B02873" w:rsidP="006B0153">
            <w:pPr>
              <w:pStyle w:val="TablebodyleftFinancialsTables"/>
              <w:jc w:val="right"/>
              <w:rPr>
                <w:rFonts w:asciiTheme="minorHAnsi" w:hAnsiTheme="minorHAnsi" w:cstheme="minorHAnsi"/>
                <w:sz w:val="18"/>
                <w:szCs w:val="14"/>
              </w:rPr>
            </w:pPr>
            <w:r w:rsidRPr="002C49E2">
              <w:rPr>
                <w:rFonts w:asciiTheme="minorHAnsi" w:hAnsiTheme="minorHAnsi" w:cstheme="minorHAnsi"/>
                <w:sz w:val="18"/>
                <w:szCs w:val="14"/>
              </w:rPr>
              <w:t>–</w:t>
            </w:r>
          </w:p>
        </w:tc>
        <w:tc>
          <w:tcPr>
            <w:tcW w:w="1105" w:type="dxa"/>
          </w:tcPr>
          <w:p w14:paraId="626C70E7" w14:textId="77777777" w:rsidR="00B02873" w:rsidRPr="002C49E2" w:rsidRDefault="00B02873" w:rsidP="006B0153">
            <w:pPr>
              <w:pStyle w:val="TablebodyleftFinancialsTables"/>
              <w:jc w:val="right"/>
              <w:rPr>
                <w:rFonts w:asciiTheme="minorHAnsi" w:hAnsiTheme="minorHAnsi" w:cstheme="minorHAnsi"/>
                <w:b/>
                <w:bCs/>
                <w:sz w:val="18"/>
                <w:szCs w:val="14"/>
              </w:rPr>
            </w:pPr>
            <w:r w:rsidRPr="002C49E2">
              <w:rPr>
                <w:rFonts w:asciiTheme="minorHAnsi" w:hAnsiTheme="minorHAnsi" w:cstheme="minorHAnsi"/>
                <w:b/>
                <w:bCs/>
                <w:sz w:val="18"/>
                <w:szCs w:val="14"/>
              </w:rPr>
              <w:t>(14,447)</w:t>
            </w:r>
          </w:p>
        </w:tc>
        <w:tc>
          <w:tcPr>
            <w:tcW w:w="1120" w:type="dxa"/>
          </w:tcPr>
          <w:p w14:paraId="75344C2B" w14:textId="77777777" w:rsidR="00B02873" w:rsidRPr="002C49E2" w:rsidRDefault="00B02873" w:rsidP="006B0153">
            <w:pPr>
              <w:pStyle w:val="TablebodyleftFinancialsTables"/>
              <w:jc w:val="right"/>
              <w:rPr>
                <w:rFonts w:asciiTheme="minorHAnsi" w:hAnsiTheme="minorHAnsi" w:cstheme="minorHAnsi"/>
                <w:sz w:val="18"/>
                <w:szCs w:val="14"/>
              </w:rPr>
            </w:pPr>
            <w:r w:rsidRPr="002C49E2">
              <w:rPr>
                <w:rFonts w:asciiTheme="minorHAnsi" w:hAnsiTheme="minorHAnsi" w:cstheme="minorHAnsi"/>
                <w:sz w:val="18"/>
                <w:szCs w:val="14"/>
              </w:rPr>
              <w:t>(13,893)</w:t>
            </w:r>
          </w:p>
        </w:tc>
      </w:tr>
      <w:tr w:rsidR="00B02873" w:rsidRPr="002C49E2" w14:paraId="34A38C58" w14:textId="77777777" w:rsidTr="002C49E2">
        <w:tc>
          <w:tcPr>
            <w:tcW w:w="3719" w:type="dxa"/>
          </w:tcPr>
          <w:p w14:paraId="2A8D050F" w14:textId="77777777" w:rsidR="00B02873" w:rsidRPr="002C49E2" w:rsidRDefault="00B02873" w:rsidP="006B0153">
            <w:pPr>
              <w:pStyle w:val="TablebodyleftFinancialsTables"/>
              <w:rPr>
                <w:rFonts w:asciiTheme="minorHAnsi" w:hAnsiTheme="minorHAnsi" w:cstheme="minorHAnsi"/>
                <w:sz w:val="18"/>
                <w:szCs w:val="14"/>
              </w:rPr>
            </w:pPr>
            <w:r w:rsidRPr="002C49E2">
              <w:rPr>
                <w:rFonts w:asciiTheme="minorHAnsi" w:hAnsiTheme="minorHAnsi" w:cstheme="minorHAnsi"/>
                <w:sz w:val="18"/>
                <w:szCs w:val="14"/>
              </w:rPr>
              <w:t>Payments into the consolidated fund</w:t>
            </w:r>
          </w:p>
        </w:tc>
        <w:tc>
          <w:tcPr>
            <w:tcW w:w="902" w:type="dxa"/>
          </w:tcPr>
          <w:p w14:paraId="7F07D501" w14:textId="77777777" w:rsidR="00B02873" w:rsidRPr="002C49E2" w:rsidRDefault="00B02873" w:rsidP="006B0153">
            <w:pPr>
              <w:pStyle w:val="TablebodyleftFinancialsTables"/>
              <w:jc w:val="right"/>
              <w:rPr>
                <w:rFonts w:asciiTheme="minorHAnsi" w:hAnsiTheme="minorHAnsi" w:cstheme="minorHAnsi"/>
                <w:b/>
                <w:bCs/>
                <w:sz w:val="18"/>
                <w:szCs w:val="14"/>
              </w:rPr>
            </w:pPr>
            <w:r w:rsidRPr="002C49E2">
              <w:rPr>
                <w:rFonts w:asciiTheme="minorHAnsi" w:hAnsiTheme="minorHAnsi" w:cstheme="minorHAnsi"/>
                <w:b/>
                <w:bCs/>
                <w:sz w:val="18"/>
                <w:szCs w:val="14"/>
              </w:rPr>
              <w:t>(38,575)</w:t>
            </w:r>
          </w:p>
        </w:tc>
        <w:tc>
          <w:tcPr>
            <w:tcW w:w="903" w:type="dxa"/>
          </w:tcPr>
          <w:p w14:paraId="6A838F48" w14:textId="77777777" w:rsidR="00B02873" w:rsidRPr="002C49E2" w:rsidRDefault="00B02873" w:rsidP="006B0153">
            <w:pPr>
              <w:pStyle w:val="TablebodyleftFinancialsTables"/>
              <w:jc w:val="right"/>
              <w:rPr>
                <w:rFonts w:asciiTheme="minorHAnsi" w:hAnsiTheme="minorHAnsi" w:cstheme="minorHAnsi"/>
                <w:sz w:val="18"/>
                <w:szCs w:val="14"/>
              </w:rPr>
            </w:pPr>
            <w:r w:rsidRPr="002C49E2">
              <w:rPr>
                <w:rFonts w:asciiTheme="minorHAnsi" w:hAnsiTheme="minorHAnsi" w:cstheme="minorHAnsi"/>
                <w:sz w:val="18"/>
                <w:szCs w:val="14"/>
              </w:rPr>
              <w:t>(8,811)</w:t>
            </w:r>
          </w:p>
        </w:tc>
        <w:tc>
          <w:tcPr>
            <w:tcW w:w="1020" w:type="dxa"/>
          </w:tcPr>
          <w:p w14:paraId="541CAA2D" w14:textId="77777777" w:rsidR="00B02873" w:rsidRPr="002C49E2" w:rsidRDefault="00B02873" w:rsidP="006B0153">
            <w:pPr>
              <w:pStyle w:val="TablebodyleftFinancialsTables"/>
              <w:jc w:val="right"/>
              <w:rPr>
                <w:rFonts w:asciiTheme="minorHAnsi" w:hAnsiTheme="minorHAnsi" w:cstheme="minorHAnsi"/>
                <w:b/>
                <w:bCs/>
                <w:sz w:val="18"/>
                <w:szCs w:val="14"/>
              </w:rPr>
            </w:pPr>
            <w:r w:rsidRPr="002C49E2">
              <w:rPr>
                <w:rFonts w:asciiTheme="minorHAnsi" w:hAnsiTheme="minorHAnsi" w:cstheme="minorHAnsi"/>
                <w:b/>
                <w:bCs/>
                <w:sz w:val="18"/>
                <w:szCs w:val="14"/>
              </w:rPr>
              <w:t>(8)</w:t>
            </w:r>
          </w:p>
        </w:tc>
        <w:tc>
          <w:tcPr>
            <w:tcW w:w="1021" w:type="dxa"/>
          </w:tcPr>
          <w:p w14:paraId="6AB96533" w14:textId="77777777" w:rsidR="00B02873" w:rsidRPr="002C49E2" w:rsidRDefault="00B02873" w:rsidP="006B0153">
            <w:pPr>
              <w:pStyle w:val="TablebodyleftFinancialsTables"/>
              <w:jc w:val="right"/>
              <w:rPr>
                <w:rFonts w:asciiTheme="minorHAnsi" w:hAnsiTheme="minorHAnsi" w:cstheme="minorHAnsi"/>
                <w:sz w:val="18"/>
                <w:szCs w:val="14"/>
              </w:rPr>
            </w:pPr>
            <w:r w:rsidRPr="002C49E2">
              <w:rPr>
                <w:rFonts w:asciiTheme="minorHAnsi" w:hAnsiTheme="minorHAnsi" w:cstheme="minorHAnsi"/>
                <w:sz w:val="18"/>
                <w:szCs w:val="14"/>
              </w:rPr>
              <w:t>(1,945)</w:t>
            </w:r>
          </w:p>
        </w:tc>
        <w:tc>
          <w:tcPr>
            <w:tcW w:w="1105" w:type="dxa"/>
          </w:tcPr>
          <w:p w14:paraId="656C4219" w14:textId="77777777" w:rsidR="00B02873" w:rsidRPr="002C49E2" w:rsidRDefault="00B02873" w:rsidP="006B0153">
            <w:pPr>
              <w:pStyle w:val="TablebodyleftFinancialsTables"/>
              <w:jc w:val="right"/>
              <w:rPr>
                <w:rFonts w:asciiTheme="minorHAnsi" w:hAnsiTheme="minorHAnsi" w:cstheme="minorHAnsi"/>
                <w:b/>
                <w:bCs/>
                <w:sz w:val="18"/>
                <w:szCs w:val="14"/>
              </w:rPr>
            </w:pPr>
            <w:r w:rsidRPr="002C49E2">
              <w:rPr>
                <w:rFonts w:asciiTheme="minorHAnsi" w:hAnsiTheme="minorHAnsi" w:cstheme="minorHAnsi"/>
                <w:b/>
                <w:bCs/>
                <w:sz w:val="18"/>
                <w:szCs w:val="14"/>
              </w:rPr>
              <w:t>(1,401,012)</w:t>
            </w:r>
          </w:p>
        </w:tc>
        <w:tc>
          <w:tcPr>
            <w:tcW w:w="1120" w:type="dxa"/>
          </w:tcPr>
          <w:p w14:paraId="05309A7E" w14:textId="77777777" w:rsidR="00B02873" w:rsidRPr="002C49E2" w:rsidRDefault="00B02873" w:rsidP="006B0153">
            <w:pPr>
              <w:pStyle w:val="TablebodyleftFinancialsTables"/>
              <w:jc w:val="right"/>
              <w:rPr>
                <w:rFonts w:asciiTheme="minorHAnsi" w:hAnsiTheme="minorHAnsi" w:cstheme="minorHAnsi"/>
                <w:sz w:val="18"/>
                <w:szCs w:val="14"/>
              </w:rPr>
            </w:pPr>
            <w:r w:rsidRPr="002C49E2">
              <w:rPr>
                <w:rFonts w:asciiTheme="minorHAnsi" w:hAnsiTheme="minorHAnsi" w:cstheme="minorHAnsi"/>
                <w:sz w:val="18"/>
                <w:szCs w:val="14"/>
              </w:rPr>
              <w:t>(1,284,339)</w:t>
            </w:r>
          </w:p>
        </w:tc>
      </w:tr>
      <w:tr w:rsidR="00B02873" w:rsidRPr="002C49E2" w14:paraId="370E9562" w14:textId="77777777" w:rsidTr="002C49E2">
        <w:tc>
          <w:tcPr>
            <w:tcW w:w="3719" w:type="dxa"/>
          </w:tcPr>
          <w:p w14:paraId="014BEB22" w14:textId="77777777" w:rsidR="00B02873" w:rsidRPr="002C49E2" w:rsidRDefault="00B02873" w:rsidP="006B0153">
            <w:pPr>
              <w:pStyle w:val="TablebodyleftFinancialsTables"/>
              <w:rPr>
                <w:rFonts w:asciiTheme="minorHAnsi" w:hAnsiTheme="minorHAnsi" w:cstheme="minorHAnsi"/>
                <w:b/>
                <w:bCs/>
                <w:sz w:val="18"/>
                <w:szCs w:val="14"/>
              </w:rPr>
            </w:pPr>
            <w:r w:rsidRPr="002C49E2">
              <w:rPr>
                <w:rFonts w:asciiTheme="minorHAnsi" w:hAnsiTheme="minorHAnsi" w:cstheme="minorHAnsi"/>
                <w:b/>
                <w:bCs/>
                <w:sz w:val="18"/>
                <w:szCs w:val="14"/>
              </w:rPr>
              <w:t>Total administered expenses from transactions</w:t>
            </w:r>
          </w:p>
        </w:tc>
        <w:tc>
          <w:tcPr>
            <w:tcW w:w="902" w:type="dxa"/>
          </w:tcPr>
          <w:p w14:paraId="58881EB0" w14:textId="77777777" w:rsidR="00B02873" w:rsidRPr="002C49E2" w:rsidRDefault="00B02873" w:rsidP="006B0153">
            <w:pPr>
              <w:pStyle w:val="TablebodyleftFinancialsTables"/>
              <w:jc w:val="right"/>
              <w:rPr>
                <w:rFonts w:asciiTheme="minorHAnsi" w:hAnsiTheme="minorHAnsi" w:cstheme="minorHAnsi"/>
                <w:b/>
                <w:bCs/>
                <w:sz w:val="18"/>
                <w:szCs w:val="14"/>
              </w:rPr>
            </w:pPr>
            <w:r w:rsidRPr="002C49E2">
              <w:rPr>
                <w:rFonts w:asciiTheme="minorHAnsi" w:hAnsiTheme="minorHAnsi" w:cstheme="minorHAnsi"/>
                <w:b/>
                <w:bCs/>
                <w:sz w:val="18"/>
                <w:szCs w:val="14"/>
              </w:rPr>
              <w:t>(47,300)</w:t>
            </w:r>
          </w:p>
        </w:tc>
        <w:tc>
          <w:tcPr>
            <w:tcW w:w="903" w:type="dxa"/>
          </w:tcPr>
          <w:p w14:paraId="790E2DA3" w14:textId="77777777" w:rsidR="00B02873" w:rsidRPr="002C49E2" w:rsidRDefault="00B02873" w:rsidP="006B0153">
            <w:pPr>
              <w:pStyle w:val="TablebodyleftFinancialsTables"/>
              <w:jc w:val="right"/>
              <w:rPr>
                <w:rFonts w:asciiTheme="minorHAnsi" w:hAnsiTheme="minorHAnsi" w:cstheme="minorHAnsi"/>
                <w:sz w:val="18"/>
                <w:szCs w:val="14"/>
              </w:rPr>
            </w:pPr>
            <w:r w:rsidRPr="002C49E2">
              <w:rPr>
                <w:rFonts w:asciiTheme="minorHAnsi" w:hAnsiTheme="minorHAnsi" w:cstheme="minorHAnsi"/>
                <w:sz w:val="18"/>
                <w:szCs w:val="14"/>
              </w:rPr>
              <w:t>(17,270)</w:t>
            </w:r>
          </w:p>
        </w:tc>
        <w:tc>
          <w:tcPr>
            <w:tcW w:w="1020" w:type="dxa"/>
          </w:tcPr>
          <w:p w14:paraId="2FF9BA81" w14:textId="77777777" w:rsidR="00B02873" w:rsidRPr="002C49E2" w:rsidRDefault="00B02873" w:rsidP="006B0153">
            <w:pPr>
              <w:pStyle w:val="TablebodyleftFinancialsTables"/>
              <w:jc w:val="right"/>
              <w:rPr>
                <w:rFonts w:asciiTheme="minorHAnsi" w:hAnsiTheme="minorHAnsi" w:cstheme="minorHAnsi"/>
                <w:b/>
                <w:bCs/>
                <w:sz w:val="18"/>
                <w:szCs w:val="14"/>
              </w:rPr>
            </w:pPr>
            <w:r w:rsidRPr="002C49E2">
              <w:rPr>
                <w:rFonts w:asciiTheme="minorHAnsi" w:hAnsiTheme="minorHAnsi" w:cstheme="minorHAnsi"/>
                <w:b/>
                <w:bCs/>
                <w:sz w:val="18"/>
                <w:szCs w:val="14"/>
              </w:rPr>
              <w:t>(20)</w:t>
            </w:r>
          </w:p>
        </w:tc>
        <w:tc>
          <w:tcPr>
            <w:tcW w:w="1021" w:type="dxa"/>
          </w:tcPr>
          <w:p w14:paraId="1A74BD1C" w14:textId="77777777" w:rsidR="00B02873" w:rsidRPr="002C49E2" w:rsidRDefault="00B02873" w:rsidP="006B0153">
            <w:pPr>
              <w:pStyle w:val="TablebodyleftFinancialsTables"/>
              <w:jc w:val="right"/>
              <w:rPr>
                <w:rFonts w:asciiTheme="minorHAnsi" w:hAnsiTheme="minorHAnsi" w:cstheme="minorHAnsi"/>
                <w:sz w:val="18"/>
                <w:szCs w:val="14"/>
              </w:rPr>
            </w:pPr>
            <w:r w:rsidRPr="002C49E2">
              <w:rPr>
                <w:rFonts w:asciiTheme="minorHAnsi" w:hAnsiTheme="minorHAnsi" w:cstheme="minorHAnsi"/>
                <w:sz w:val="18"/>
                <w:szCs w:val="14"/>
              </w:rPr>
              <w:t>(1,945)</w:t>
            </w:r>
          </w:p>
        </w:tc>
        <w:tc>
          <w:tcPr>
            <w:tcW w:w="1105" w:type="dxa"/>
          </w:tcPr>
          <w:p w14:paraId="0B879146" w14:textId="77777777" w:rsidR="00B02873" w:rsidRPr="002C49E2" w:rsidRDefault="00B02873" w:rsidP="006B0153">
            <w:pPr>
              <w:pStyle w:val="TablebodyleftFinancialsTables"/>
              <w:jc w:val="right"/>
              <w:rPr>
                <w:rFonts w:asciiTheme="minorHAnsi" w:hAnsiTheme="minorHAnsi" w:cstheme="minorHAnsi"/>
                <w:b/>
                <w:bCs/>
                <w:sz w:val="18"/>
                <w:szCs w:val="14"/>
              </w:rPr>
            </w:pPr>
            <w:r w:rsidRPr="002C49E2">
              <w:rPr>
                <w:rFonts w:asciiTheme="minorHAnsi" w:hAnsiTheme="minorHAnsi" w:cstheme="minorHAnsi"/>
                <w:b/>
                <w:bCs/>
                <w:sz w:val="18"/>
                <w:szCs w:val="14"/>
              </w:rPr>
              <w:t>(2,115,073)</w:t>
            </w:r>
          </w:p>
        </w:tc>
        <w:tc>
          <w:tcPr>
            <w:tcW w:w="1120" w:type="dxa"/>
          </w:tcPr>
          <w:p w14:paraId="6ADCE373" w14:textId="77777777" w:rsidR="00B02873" w:rsidRPr="002C49E2" w:rsidRDefault="00B02873" w:rsidP="006B0153">
            <w:pPr>
              <w:pStyle w:val="TablebodyleftFinancialsTables"/>
              <w:jc w:val="right"/>
              <w:rPr>
                <w:rFonts w:asciiTheme="minorHAnsi" w:hAnsiTheme="minorHAnsi" w:cstheme="minorHAnsi"/>
                <w:sz w:val="18"/>
                <w:szCs w:val="14"/>
              </w:rPr>
            </w:pPr>
            <w:r w:rsidRPr="002C49E2">
              <w:rPr>
                <w:rFonts w:asciiTheme="minorHAnsi" w:hAnsiTheme="minorHAnsi" w:cstheme="minorHAnsi"/>
                <w:sz w:val="18"/>
                <w:szCs w:val="14"/>
              </w:rPr>
              <w:t>(1,963,921)</w:t>
            </w:r>
          </w:p>
        </w:tc>
      </w:tr>
      <w:tr w:rsidR="00B02873" w:rsidRPr="002C49E2" w14:paraId="7C398A22" w14:textId="77777777" w:rsidTr="002C49E2">
        <w:tc>
          <w:tcPr>
            <w:tcW w:w="3719" w:type="dxa"/>
          </w:tcPr>
          <w:p w14:paraId="4585ABF0" w14:textId="77777777" w:rsidR="00B02873" w:rsidRPr="002C49E2" w:rsidRDefault="00B02873" w:rsidP="006B0153">
            <w:pPr>
              <w:pStyle w:val="TablebodyleftFinancialsTables"/>
              <w:rPr>
                <w:rFonts w:asciiTheme="minorHAnsi" w:hAnsiTheme="minorHAnsi" w:cstheme="minorHAnsi"/>
                <w:b/>
                <w:bCs/>
                <w:sz w:val="18"/>
                <w:szCs w:val="14"/>
              </w:rPr>
            </w:pPr>
            <w:r w:rsidRPr="002C49E2">
              <w:rPr>
                <w:rFonts w:asciiTheme="minorHAnsi" w:hAnsiTheme="minorHAnsi" w:cstheme="minorHAnsi"/>
                <w:b/>
                <w:bCs/>
                <w:sz w:val="18"/>
                <w:szCs w:val="14"/>
              </w:rPr>
              <w:t>Total administered net result from transactions (net operating balance)</w:t>
            </w:r>
          </w:p>
        </w:tc>
        <w:tc>
          <w:tcPr>
            <w:tcW w:w="902" w:type="dxa"/>
          </w:tcPr>
          <w:p w14:paraId="34220023" w14:textId="77777777" w:rsidR="00B02873" w:rsidRPr="002C49E2" w:rsidRDefault="00B02873" w:rsidP="006B0153">
            <w:pPr>
              <w:pStyle w:val="TablebodyleftFinancialsTables"/>
              <w:jc w:val="right"/>
              <w:rPr>
                <w:rFonts w:asciiTheme="minorHAnsi" w:hAnsiTheme="minorHAnsi" w:cstheme="minorHAnsi"/>
                <w:b/>
                <w:bCs/>
                <w:sz w:val="18"/>
                <w:szCs w:val="14"/>
              </w:rPr>
            </w:pPr>
            <w:r w:rsidRPr="002C49E2">
              <w:rPr>
                <w:rFonts w:asciiTheme="minorHAnsi" w:hAnsiTheme="minorHAnsi" w:cstheme="minorHAnsi"/>
                <w:b/>
                <w:bCs/>
                <w:sz w:val="18"/>
                <w:szCs w:val="14"/>
              </w:rPr>
              <w:t>(34,711)</w:t>
            </w:r>
          </w:p>
        </w:tc>
        <w:tc>
          <w:tcPr>
            <w:tcW w:w="903" w:type="dxa"/>
          </w:tcPr>
          <w:p w14:paraId="176C126A" w14:textId="77777777" w:rsidR="00B02873" w:rsidRPr="002C49E2" w:rsidRDefault="00B02873" w:rsidP="006B0153">
            <w:pPr>
              <w:pStyle w:val="TablebodyleftFinancialsTables"/>
              <w:jc w:val="right"/>
              <w:rPr>
                <w:rFonts w:asciiTheme="minorHAnsi" w:hAnsiTheme="minorHAnsi" w:cstheme="minorHAnsi"/>
                <w:sz w:val="18"/>
                <w:szCs w:val="14"/>
              </w:rPr>
            </w:pPr>
            <w:r w:rsidRPr="002C49E2">
              <w:rPr>
                <w:rFonts w:asciiTheme="minorHAnsi" w:hAnsiTheme="minorHAnsi" w:cstheme="minorHAnsi"/>
                <w:sz w:val="18"/>
                <w:szCs w:val="14"/>
              </w:rPr>
              <w:t>(7,516)</w:t>
            </w:r>
          </w:p>
        </w:tc>
        <w:tc>
          <w:tcPr>
            <w:tcW w:w="1020" w:type="dxa"/>
          </w:tcPr>
          <w:p w14:paraId="280B1BDD" w14:textId="77777777" w:rsidR="00B02873" w:rsidRPr="002C49E2" w:rsidRDefault="00B02873" w:rsidP="006B0153">
            <w:pPr>
              <w:pStyle w:val="TablebodyleftFinancialsTables"/>
              <w:jc w:val="right"/>
              <w:rPr>
                <w:rFonts w:asciiTheme="minorHAnsi" w:hAnsiTheme="minorHAnsi" w:cstheme="minorHAnsi"/>
                <w:b/>
                <w:bCs/>
                <w:sz w:val="18"/>
                <w:szCs w:val="14"/>
              </w:rPr>
            </w:pPr>
            <w:r w:rsidRPr="002C49E2">
              <w:rPr>
                <w:rFonts w:asciiTheme="minorHAnsi" w:hAnsiTheme="minorHAnsi" w:cstheme="minorHAnsi"/>
                <w:b/>
                <w:bCs/>
                <w:sz w:val="18"/>
                <w:szCs w:val="14"/>
              </w:rPr>
              <w:t>(16)</w:t>
            </w:r>
          </w:p>
        </w:tc>
        <w:tc>
          <w:tcPr>
            <w:tcW w:w="1021" w:type="dxa"/>
          </w:tcPr>
          <w:p w14:paraId="4D38BF55" w14:textId="77777777" w:rsidR="00B02873" w:rsidRPr="002C49E2" w:rsidRDefault="00B02873" w:rsidP="006B0153">
            <w:pPr>
              <w:pStyle w:val="TablebodyleftFinancialsTables"/>
              <w:jc w:val="right"/>
              <w:rPr>
                <w:rFonts w:asciiTheme="minorHAnsi" w:hAnsiTheme="minorHAnsi" w:cstheme="minorHAnsi"/>
                <w:sz w:val="18"/>
                <w:szCs w:val="14"/>
              </w:rPr>
            </w:pPr>
            <w:r w:rsidRPr="002C49E2">
              <w:rPr>
                <w:rFonts w:asciiTheme="minorHAnsi" w:hAnsiTheme="minorHAnsi" w:cstheme="minorHAnsi"/>
                <w:sz w:val="18"/>
                <w:szCs w:val="14"/>
              </w:rPr>
              <w:t>(42)</w:t>
            </w:r>
          </w:p>
        </w:tc>
        <w:tc>
          <w:tcPr>
            <w:tcW w:w="1105" w:type="dxa"/>
          </w:tcPr>
          <w:p w14:paraId="1510F5C0" w14:textId="77777777" w:rsidR="00B02873" w:rsidRPr="002C49E2" w:rsidRDefault="00B02873" w:rsidP="006B0153">
            <w:pPr>
              <w:pStyle w:val="TablebodyleftFinancialsTables"/>
              <w:jc w:val="right"/>
              <w:rPr>
                <w:rFonts w:asciiTheme="minorHAnsi" w:hAnsiTheme="minorHAnsi" w:cstheme="minorHAnsi"/>
                <w:b/>
                <w:bCs/>
                <w:sz w:val="18"/>
                <w:szCs w:val="14"/>
              </w:rPr>
            </w:pPr>
            <w:r w:rsidRPr="002C49E2">
              <w:rPr>
                <w:rFonts w:asciiTheme="minorHAnsi" w:hAnsiTheme="minorHAnsi" w:cstheme="minorHAnsi"/>
                <w:b/>
                <w:bCs/>
                <w:sz w:val="18"/>
                <w:szCs w:val="14"/>
              </w:rPr>
              <w:t>98,091</w:t>
            </w:r>
          </w:p>
        </w:tc>
        <w:tc>
          <w:tcPr>
            <w:tcW w:w="1120" w:type="dxa"/>
          </w:tcPr>
          <w:p w14:paraId="46B0805F" w14:textId="77777777" w:rsidR="00B02873" w:rsidRPr="002C49E2" w:rsidRDefault="00B02873" w:rsidP="006B0153">
            <w:pPr>
              <w:pStyle w:val="TablebodyleftFinancialsTables"/>
              <w:jc w:val="right"/>
              <w:rPr>
                <w:rFonts w:asciiTheme="minorHAnsi" w:hAnsiTheme="minorHAnsi" w:cstheme="minorHAnsi"/>
                <w:sz w:val="18"/>
                <w:szCs w:val="14"/>
              </w:rPr>
            </w:pPr>
            <w:r w:rsidRPr="002C49E2">
              <w:rPr>
                <w:rFonts w:asciiTheme="minorHAnsi" w:hAnsiTheme="minorHAnsi" w:cstheme="minorHAnsi"/>
                <w:sz w:val="18"/>
                <w:szCs w:val="14"/>
              </w:rPr>
              <w:t>81,060</w:t>
            </w:r>
          </w:p>
        </w:tc>
      </w:tr>
      <w:tr w:rsidR="00B02873" w:rsidRPr="002C49E2" w14:paraId="4856B222" w14:textId="77777777" w:rsidTr="002C49E2">
        <w:tc>
          <w:tcPr>
            <w:tcW w:w="3719" w:type="dxa"/>
          </w:tcPr>
          <w:p w14:paraId="46754172" w14:textId="77777777" w:rsidR="00B02873" w:rsidRPr="002C49E2" w:rsidRDefault="00B02873" w:rsidP="006B0153">
            <w:pPr>
              <w:pStyle w:val="TablebodyleftFinancialsTables"/>
              <w:rPr>
                <w:rFonts w:asciiTheme="minorHAnsi" w:hAnsiTheme="minorHAnsi" w:cstheme="minorHAnsi"/>
                <w:b/>
                <w:bCs/>
                <w:sz w:val="18"/>
                <w:szCs w:val="14"/>
              </w:rPr>
            </w:pPr>
            <w:r w:rsidRPr="002C49E2">
              <w:rPr>
                <w:rFonts w:asciiTheme="minorHAnsi" w:hAnsiTheme="minorHAnsi" w:cstheme="minorHAnsi"/>
                <w:b/>
                <w:bCs/>
                <w:sz w:val="18"/>
                <w:szCs w:val="14"/>
              </w:rPr>
              <w:t>Administered other economic flows included in net result</w:t>
            </w:r>
          </w:p>
        </w:tc>
        <w:tc>
          <w:tcPr>
            <w:tcW w:w="902" w:type="dxa"/>
          </w:tcPr>
          <w:p w14:paraId="1B5C9F70" w14:textId="77777777" w:rsidR="00B02873" w:rsidRPr="002C49E2" w:rsidRDefault="00B02873" w:rsidP="006B0153">
            <w:pPr>
              <w:pStyle w:val="TablebodyleftFinancialsTables"/>
              <w:jc w:val="right"/>
              <w:rPr>
                <w:rFonts w:asciiTheme="minorHAnsi" w:hAnsiTheme="minorHAnsi" w:cstheme="minorHAnsi"/>
                <w:b/>
                <w:bCs/>
                <w:sz w:val="18"/>
                <w:szCs w:val="14"/>
              </w:rPr>
            </w:pPr>
          </w:p>
        </w:tc>
        <w:tc>
          <w:tcPr>
            <w:tcW w:w="903" w:type="dxa"/>
          </w:tcPr>
          <w:p w14:paraId="4B5D4A2D" w14:textId="77777777" w:rsidR="00B02873" w:rsidRPr="002C49E2" w:rsidRDefault="00B02873" w:rsidP="006B0153">
            <w:pPr>
              <w:pStyle w:val="TablebodyleftFinancialsTables"/>
              <w:jc w:val="right"/>
              <w:rPr>
                <w:rFonts w:asciiTheme="minorHAnsi" w:hAnsiTheme="minorHAnsi" w:cstheme="minorHAnsi"/>
                <w:sz w:val="18"/>
                <w:szCs w:val="14"/>
              </w:rPr>
            </w:pPr>
          </w:p>
        </w:tc>
        <w:tc>
          <w:tcPr>
            <w:tcW w:w="1020" w:type="dxa"/>
          </w:tcPr>
          <w:p w14:paraId="54F38CEB" w14:textId="77777777" w:rsidR="00B02873" w:rsidRPr="002C49E2" w:rsidRDefault="00B02873" w:rsidP="006B0153">
            <w:pPr>
              <w:pStyle w:val="TablebodyleftFinancialsTables"/>
              <w:jc w:val="right"/>
              <w:rPr>
                <w:rFonts w:asciiTheme="minorHAnsi" w:hAnsiTheme="minorHAnsi" w:cstheme="minorHAnsi"/>
                <w:b/>
                <w:bCs/>
                <w:sz w:val="18"/>
                <w:szCs w:val="14"/>
              </w:rPr>
            </w:pPr>
          </w:p>
        </w:tc>
        <w:tc>
          <w:tcPr>
            <w:tcW w:w="1021" w:type="dxa"/>
          </w:tcPr>
          <w:p w14:paraId="1E71F4C8" w14:textId="77777777" w:rsidR="00B02873" w:rsidRPr="002C49E2" w:rsidRDefault="00B02873" w:rsidP="006B0153">
            <w:pPr>
              <w:pStyle w:val="TablebodyleftFinancialsTables"/>
              <w:jc w:val="right"/>
              <w:rPr>
                <w:rFonts w:asciiTheme="minorHAnsi" w:hAnsiTheme="minorHAnsi" w:cstheme="minorHAnsi"/>
                <w:sz w:val="18"/>
                <w:szCs w:val="14"/>
              </w:rPr>
            </w:pPr>
          </w:p>
        </w:tc>
        <w:tc>
          <w:tcPr>
            <w:tcW w:w="1105" w:type="dxa"/>
          </w:tcPr>
          <w:p w14:paraId="14C8553B" w14:textId="77777777" w:rsidR="00B02873" w:rsidRPr="002C49E2" w:rsidRDefault="00B02873" w:rsidP="006B0153">
            <w:pPr>
              <w:pStyle w:val="TablebodyleftFinancialsTables"/>
              <w:jc w:val="right"/>
              <w:rPr>
                <w:rFonts w:asciiTheme="minorHAnsi" w:hAnsiTheme="minorHAnsi" w:cstheme="minorHAnsi"/>
                <w:b/>
                <w:bCs/>
                <w:sz w:val="18"/>
                <w:szCs w:val="14"/>
              </w:rPr>
            </w:pPr>
          </w:p>
        </w:tc>
        <w:tc>
          <w:tcPr>
            <w:tcW w:w="1120" w:type="dxa"/>
          </w:tcPr>
          <w:p w14:paraId="647A713A" w14:textId="77777777" w:rsidR="00B02873" w:rsidRPr="002C49E2" w:rsidRDefault="00B02873" w:rsidP="006B0153">
            <w:pPr>
              <w:pStyle w:val="TablebodyleftFinancialsTables"/>
              <w:jc w:val="right"/>
              <w:rPr>
                <w:rFonts w:asciiTheme="minorHAnsi" w:hAnsiTheme="minorHAnsi" w:cstheme="minorHAnsi"/>
                <w:sz w:val="18"/>
                <w:szCs w:val="14"/>
              </w:rPr>
            </w:pPr>
          </w:p>
        </w:tc>
      </w:tr>
      <w:tr w:rsidR="00B02873" w:rsidRPr="002C49E2" w14:paraId="52B01359" w14:textId="77777777" w:rsidTr="002C49E2">
        <w:tc>
          <w:tcPr>
            <w:tcW w:w="3719" w:type="dxa"/>
          </w:tcPr>
          <w:p w14:paraId="40FCAA0D" w14:textId="77777777" w:rsidR="00B02873" w:rsidRPr="002C49E2" w:rsidRDefault="00B02873" w:rsidP="006B0153">
            <w:pPr>
              <w:pStyle w:val="TablebodyleftFinancialsTables"/>
              <w:rPr>
                <w:rFonts w:asciiTheme="minorHAnsi" w:hAnsiTheme="minorHAnsi" w:cstheme="minorHAnsi"/>
                <w:sz w:val="18"/>
                <w:szCs w:val="14"/>
              </w:rPr>
            </w:pPr>
            <w:r w:rsidRPr="002C49E2">
              <w:rPr>
                <w:rFonts w:asciiTheme="minorHAnsi" w:hAnsiTheme="minorHAnsi" w:cstheme="minorHAnsi"/>
                <w:sz w:val="18"/>
                <w:szCs w:val="14"/>
              </w:rPr>
              <w:t>Net gain/(loss) on non-financial assets</w:t>
            </w:r>
          </w:p>
        </w:tc>
        <w:tc>
          <w:tcPr>
            <w:tcW w:w="902" w:type="dxa"/>
          </w:tcPr>
          <w:p w14:paraId="38149D8C" w14:textId="77777777" w:rsidR="00B02873" w:rsidRPr="002C49E2" w:rsidRDefault="00B02873" w:rsidP="006B0153">
            <w:pPr>
              <w:pStyle w:val="TablebodyleftFinancialsTables"/>
              <w:jc w:val="right"/>
              <w:rPr>
                <w:rFonts w:asciiTheme="minorHAnsi" w:hAnsiTheme="minorHAnsi" w:cstheme="minorHAnsi"/>
                <w:b/>
                <w:bCs/>
                <w:sz w:val="18"/>
                <w:szCs w:val="14"/>
              </w:rPr>
            </w:pPr>
            <w:r w:rsidRPr="002C49E2">
              <w:rPr>
                <w:rFonts w:asciiTheme="minorHAnsi" w:hAnsiTheme="minorHAnsi" w:cstheme="minorHAnsi"/>
                <w:b/>
                <w:bCs/>
                <w:sz w:val="18"/>
                <w:szCs w:val="14"/>
              </w:rPr>
              <w:t>(2,260)</w:t>
            </w:r>
          </w:p>
        </w:tc>
        <w:tc>
          <w:tcPr>
            <w:tcW w:w="903" w:type="dxa"/>
          </w:tcPr>
          <w:p w14:paraId="09ECE21F" w14:textId="77777777" w:rsidR="00B02873" w:rsidRPr="002C49E2" w:rsidRDefault="00B02873" w:rsidP="006B0153">
            <w:pPr>
              <w:pStyle w:val="TablebodyleftFinancialsTables"/>
              <w:jc w:val="right"/>
              <w:rPr>
                <w:rFonts w:asciiTheme="minorHAnsi" w:hAnsiTheme="minorHAnsi" w:cstheme="minorHAnsi"/>
                <w:sz w:val="18"/>
                <w:szCs w:val="14"/>
              </w:rPr>
            </w:pPr>
            <w:r w:rsidRPr="002C49E2">
              <w:rPr>
                <w:rFonts w:asciiTheme="minorHAnsi" w:hAnsiTheme="minorHAnsi" w:cstheme="minorHAnsi"/>
                <w:sz w:val="18"/>
                <w:szCs w:val="14"/>
              </w:rPr>
              <w:t>(724)</w:t>
            </w:r>
          </w:p>
        </w:tc>
        <w:tc>
          <w:tcPr>
            <w:tcW w:w="1020" w:type="dxa"/>
          </w:tcPr>
          <w:p w14:paraId="5FAB8611" w14:textId="77777777" w:rsidR="00B02873" w:rsidRPr="002C49E2" w:rsidRDefault="00B02873" w:rsidP="006B0153">
            <w:pPr>
              <w:pStyle w:val="TablebodyleftFinancialsTables"/>
              <w:jc w:val="right"/>
              <w:rPr>
                <w:rFonts w:asciiTheme="minorHAnsi" w:hAnsiTheme="minorHAnsi" w:cstheme="minorHAnsi"/>
                <w:b/>
                <w:bCs/>
                <w:sz w:val="18"/>
                <w:szCs w:val="14"/>
              </w:rPr>
            </w:pPr>
            <w:r w:rsidRPr="002C49E2">
              <w:rPr>
                <w:rFonts w:asciiTheme="minorHAnsi" w:hAnsiTheme="minorHAnsi" w:cstheme="minorHAnsi"/>
                <w:b/>
                <w:bCs/>
                <w:sz w:val="18"/>
                <w:szCs w:val="14"/>
              </w:rPr>
              <w:t>–</w:t>
            </w:r>
          </w:p>
        </w:tc>
        <w:tc>
          <w:tcPr>
            <w:tcW w:w="1021" w:type="dxa"/>
          </w:tcPr>
          <w:p w14:paraId="52432CF7" w14:textId="77777777" w:rsidR="00B02873" w:rsidRPr="002C49E2" w:rsidRDefault="00B02873" w:rsidP="006B0153">
            <w:pPr>
              <w:pStyle w:val="TablebodyleftFinancialsTables"/>
              <w:jc w:val="right"/>
              <w:rPr>
                <w:rFonts w:asciiTheme="minorHAnsi" w:hAnsiTheme="minorHAnsi" w:cstheme="minorHAnsi"/>
                <w:sz w:val="18"/>
                <w:szCs w:val="14"/>
              </w:rPr>
            </w:pPr>
            <w:r w:rsidRPr="002C49E2">
              <w:rPr>
                <w:rFonts w:asciiTheme="minorHAnsi" w:hAnsiTheme="minorHAnsi" w:cstheme="minorHAnsi"/>
                <w:sz w:val="18"/>
                <w:szCs w:val="14"/>
              </w:rPr>
              <w:t>(976)</w:t>
            </w:r>
          </w:p>
        </w:tc>
        <w:tc>
          <w:tcPr>
            <w:tcW w:w="1105" w:type="dxa"/>
          </w:tcPr>
          <w:p w14:paraId="7620E40E" w14:textId="77777777" w:rsidR="00B02873" w:rsidRPr="002C49E2" w:rsidRDefault="00B02873" w:rsidP="006B0153">
            <w:pPr>
              <w:pStyle w:val="TablebodyleftFinancialsTables"/>
              <w:jc w:val="right"/>
              <w:rPr>
                <w:rFonts w:asciiTheme="minorHAnsi" w:hAnsiTheme="minorHAnsi" w:cstheme="minorHAnsi"/>
                <w:b/>
                <w:bCs/>
                <w:sz w:val="18"/>
                <w:szCs w:val="14"/>
              </w:rPr>
            </w:pPr>
            <w:r w:rsidRPr="002C49E2">
              <w:rPr>
                <w:rFonts w:asciiTheme="minorHAnsi" w:hAnsiTheme="minorHAnsi" w:cstheme="minorHAnsi"/>
                <w:b/>
                <w:bCs/>
                <w:sz w:val="18"/>
                <w:szCs w:val="14"/>
              </w:rPr>
              <w:t>18,744</w:t>
            </w:r>
          </w:p>
        </w:tc>
        <w:tc>
          <w:tcPr>
            <w:tcW w:w="1120" w:type="dxa"/>
          </w:tcPr>
          <w:p w14:paraId="66D9F59A" w14:textId="77777777" w:rsidR="00B02873" w:rsidRPr="002C49E2" w:rsidRDefault="00B02873" w:rsidP="006B0153">
            <w:pPr>
              <w:pStyle w:val="TablebodyleftFinancialsTables"/>
              <w:jc w:val="right"/>
              <w:rPr>
                <w:rFonts w:asciiTheme="minorHAnsi" w:hAnsiTheme="minorHAnsi" w:cstheme="minorHAnsi"/>
                <w:sz w:val="18"/>
                <w:szCs w:val="14"/>
              </w:rPr>
            </w:pPr>
            <w:r w:rsidRPr="002C49E2">
              <w:rPr>
                <w:rFonts w:asciiTheme="minorHAnsi" w:hAnsiTheme="minorHAnsi" w:cstheme="minorHAnsi"/>
                <w:sz w:val="18"/>
                <w:szCs w:val="14"/>
              </w:rPr>
              <w:t>(35,718)</w:t>
            </w:r>
          </w:p>
        </w:tc>
      </w:tr>
      <w:tr w:rsidR="00B02873" w:rsidRPr="002C49E2" w14:paraId="2F72A61F" w14:textId="77777777" w:rsidTr="002C49E2">
        <w:tc>
          <w:tcPr>
            <w:tcW w:w="3719" w:type="dxa"/>
          </w:tcPr>
          <w:p w14:paraId="47E32795" w14:textId="77777777" w:rsidR="00B02873" w:rsidRPr="002C49E2" w:rsidRDefault="00B02873" w:rsidP="006B0153">
            <w:pPr>
              <w:pStyle w:val="TablebodyleftFinancialsTables"/>
              <w:rPr>
                <w:rFonts w:asciiTheme="minorHAnsi" w:hAnsiTheme="minorHAnsi" w:cstheme="minorHAnsi"/>
                <w:sz w:val="18"/>
                <w:szCs w:val="14"/>
              </w:rPr>
            </w:pPr>
            <w:r w:rsidRPr="002C49E2">
              <w:rPr>
                <w:rFonts w:asciiTheme="minorHAnsi" w:hAnsiTheme="minorHAnsi" w:cstheme="minorHAnsi"/>
                <w:sz w:val="18"/>
                <w:szCs w:val="14"/>
              </w:rPr>
              <w:t>Net gain/(loss) on financial instruments</w:t>
            </w:r>
          </w:p>
        </w:tc>
        <w:tc>
          <w:tcPr>
            <w:tcW w:w="902" w:type="dxa"/>
          </w:tcPr>
          <w:p w14:paraId="70724855" w14:textId="77777777" w:rsidR="00B02873" w:rsidRPr="002C49E2" w:rsidRDefault="00B02873" w:rsidP="006B0153">
            <w:pPr>
              <w:pStyle w:val="TablebodyleftFinancialsTables"/>
              <w:jc w:val="right"/>
              <w:rPr>
                <w:rFonts w:asciiTheme="minorHAnsi" w:hAnsiTheme="minorHAnsi" w:cstheme="minorHAnsi"/>
                <w:b/>
                <w:bCs/>
                <w:sz w:val="18"/>
                <w:szCs w:val="14"/>
              </w:rPr>
            </w:pPr>
            <w:r w:rsidRPr="002C49E2">
              <w:rPr>
                <w:rFonts w:asciiTheme="minorHAnsi" w:hAnsiTheme="minorHAnsi" w:cstheme="minorHAnsi"/>
                <w:b/>
                <w:bCs/>
                <w:sz w:val="18"/>
                <w:szCs w:val="14"/>
              </w:rPr>
              <w:t>4</w:t>
            </w:r>
          </w:p>
        </w:tc>
        <w:tc>
          <w:tcPr>
            <w:tcW w:w="903" w:type="dxa"/>
          </w:tcPr>
          <w:p w14:paraId="6B4DD079" w14:textId="180E02EF" w:rsidR="00B02873" w:rsidRPr="002C49E2" w:rsidRDefault="00B02873" w:rsidP="006B0153">
            <w:pPr>
              <w:pStyle w:val="TablebodyleftFinancialsTables"/>
              <w:jc w:val="right"/>
              <w:rPr>
                <w:rFonts w:asciiTheme="minorHAnsi" w:hAnsiTheme="minorHAnsi" w:cstheme="minorHAnsi"/>
                <w:sz w:val="18"/>
                <w:szCs w:val="14"/>
              </w:rPr>
            </w:pPr>
            <w:r w:rsidRPr="002C49E2">
              <w:rPr>
                <w:rFonts w:asciiTheme="minorHAnsi" w:hAnsiTheme="minorHAnsi" w:cstheme="minorHAnsi"/>
                <w:sz w:val="18"/>
                <w:szCs w:val="14"/>
              </w:rPr>
              <w:t>(46)</w:t>
            </w:r>
          </w:p>
        </w:tc>
        <w:tc>
          <w:tcPr>
            <w:tcW w:w="1020" w:type="dxa"/>
          </w:tcPr>
          <w:p w14:paraId="2343ABDE" w14:textId="77777777" w:rsidR="00B02873" w:rsidRPr="002C49E2" w:rsidRDefault="00B02873" w:rsidP="006B0153">
            <w:pPr>
              <w:pStyle w:val="TablebodyleftFinancialsTables"/>
              <w:jc w:val="right"/>
              <w:rPr>
                <w:rFonts w:asciiTheme="minorHAnsi" w:hAnsiTheme="minorHAnsi" w:cstheme="minorHAnsi"/>
                <w:b/>
                <w:bCs/>
                <w:sz w:val="18"/>
                <w:szCs w:val="14"/>
              </w:rPr>
            </w:pPr>
            <w:r w:rsidRPr="002C49E2">
              <w:rPr>
                <w:rFonts w:asciiTheme="minorHAnsi" w:hAnsiTheme="minorHAnsi" w:cstheme="minorHAnsi"/>
                <w:b/>
                <w:bCs/>
                <w:sz w:val="18"/>
                <w:szCs w:val="14"/>
              </w:rPr>
              <w:t>1</w:t>
            </w:r>
          </w:p>
        </w:tc>
        <w:tc>
          <w:tcPr>
            <w:tcW w:w="1021" w:type="dxa"/>
          </w:tcPr>
          <w:p w14:paraId="76252B80" w14:textId="77777777" w:rsidR="00B02873" w:rsidRPr="002C49E2" w:rsidRDefault="00B02873" w:rsidP="006B0153">
            <w:pPr>
              <w:pStyle w:val="TablebodyleftFinancialsTables"/>
              <w:jc w:val="right"/>
              <w:rPr>
                <w:rFonts w:asciiTheme="minorHAnsi" w:hAnsiTheme="minorHAnsi" w:cstheme="minorHAnsi"/>
                <w:sz w:val="18"/>
                <w:szCs w:val="14"/>
              </w:rPr>
            </w:pPr>
            <w:r w:rsidRPr="002C49E2">
              <w:rPr>
                <w:rFonts w:asciiTheme="minorHAnsi" w:hAnsiTheme="minorHAnsi" w:cstheme="minorHAnsi"/>
                <w:sz w:val="18"/>
                <w:szCs w:val="14"/>
              </w:rPr>
              <w:t>(8)</w:t>
            </w:r>
          </w:p>
        </w:tc>
        <w:tc>
          <w:tcPr>
            <w:tcW w:w="1105" w:type="dxa"/>
          </w:tcPr>
          <w:p w14:paraId="0B02D520" w14:textId="77777777" w:rsidR="00B02873" w:rsidRPr="002C49E2" w:rsidRDefault="00B02873" w:rsidP="006B0153">
            <w:pPr>
              <w:pStyle w:val="TablebodyleftFinancialsTables"/>
              <w:jc w:val="right"/>
              <w:rPr>
                <w:rFonts w:asciiTheme="minorHAnsi" w:hAnsiTheme="minorHAnsi" w:cstheme="minorHAnsi"/>
                <w:b/>
                <w:bCs/>
                <w:sz w:val="18"/>
                <w:szCs w:val="14"/>
              </w:rPr>
            </w:pPr>
            <w:r w:rsidRPr="002C49E2">
              <w:rPr>
                <w:rFonts w:asciiTheme="minorHAnsi" w:hAnsiTheme="minorHAnsi" w:cstheme="minorHAnsi"/>
                <w:b/>
                <w:bCs/>
                <w:sz w:val="18"/>
                <w:szCs w:val="14"/>
              </w:rPr>
              <w:t>39</w:t>
            </w:r>
          </w:p>
        </w:tc>
        <w:tc>
          <w:tcPr>
            <w:tcW w:w="1120" w:type="dxa"/>
          </w:tcPr>
          <w:p w14:paraId="06B6D76A" w14:textId="77777777" w:rsidR="00B02873" w:rsidRPr="002C49E2" w:rsidRDefault="00B02873" w:rsidP="006B0153">
            <w:pPr>
              <w:pStyle w:val="TablebodyleftFinancialsTables"/>
              <w:jc w:val="right"/>
              <w:rPr>
                <w:rFonts w:asciiTheme="minorHAnsi" w:hAnsiTheme="minorHAnsi" w:cstheme="minorHAnsi"/>
                <w:sz w:val="18"/>
                <w:szCs w:val="14"/>
              </w:rPr>
            </w:pPr>
            <w:r w:rsidRPr="002C49E2">
              <w:rPr>
                <w:rFonts w:asciiTheme="minorHAnsi" w:hAnsiTheme="minorHAnsi" w:cstheme="minorHAnsi"/>
                <w:sz w:val="18"/>
                <w:szCs w:val="14"/>
              </w:rPr>
              <w:t>610</w:t>
            </w:r>
          </w:p>
        </w:tc>
      </w:tr>
      <w:tr w:rsidR="00B02873" w:rsidRPr="002C49E2" w14:paraId="37C4F41D" w14:textId="77777777" w:rsidTr="002C49E2">
        <w:tc>
          <w:tcPr>
            <w:tcW w:w="3719" w:type="dxa"/>
          </w:tcPr>
          <w:p w14:paraId="5C5BB7F8" w14:textId="62C8ED99" w:rsidR="00B02873" w:rsidRPr="002C49E2" w:rsidRDefault="00B02873" w:rsidP="006B0153">
            <w:pPr>
              <w:pStyle w:val="TablebodyleftFinancialsTables"/>
              <w:rPr>
                <w:rFonts w:asciiTheme="minorHAnsi" w:hAnsiTheme="minorHAnsi" w:cstheme="minorHAnsi"/>
                <w:sz w:val="18"/>
                <w:szCs w:val="14"/>
              </w:rPr>
            </w:pPr>
            <w:r w:rsidRPr="002C49E2">
              <w:rPr>
                <w:rFonts w:asciiTheme="minorHAnsi" w:hAnsiTheme="minorHAnsi" w:cstheme="minorHAnsi"/>
                <w:sz w:val="18"/>
                <w:szCs w:val="14"/>
              </w:rPr>
              <w:t>Other gains/(losses) from other economic flows</w:t>
            </w:r>
          </w:p>
        </w:tc>
        <w:tc>
          <w:tcPr>
            <w:tcW w:w="902" w:type="dxa"/>
          </w:tcPr>
          <w:p w14:paraId="45AD9496" w14:textId="77777777" w:rsidR="00B02873" w:rsidRPr="002C49E2" w:rsidRDefault="00B02873" w:rsidP="006B0153">
            <w:pPr>
              <w:pStyle w:val="TablebodyleftFinancialsTables"/>
              <w:jc w:val="right"/>
              <w:rPr>
                <w:rFonts w:asciiTheme="minorHAnsi" w:hAnsiTheme="minorHAnsi" w:cstheme="minorHAnsi"/>
                <w:b/>
                <w:bCs/>
                <w:sz w:val="18"/>
                <w:szCs w:val="14"/>
              </w:rPr>
            </w:pPr>
            <w:r w:rsidRPr="002C49E2">
              <w:rPr>
                <w:rFonts w:asciiTheme="minorHAnsi" w:hAnsiTheme="minorHAnsi" w:cstheme="minorHAnsi"/>
                <w:b/>
                <w:bCs/>
                <w:sz w:val="18"/>
                <w:szCs w:val="14"/>
              </w:rPr>
              <w:t>–</w:t>
            </w:r>
          </w:p>
        </w:tc>
        <w:tc>
          <w:tcPr>
            <w:tcW w:w="903" w:type="dxa"/>
          </w:tcPr>
          <w:p w14:paraId="2F2A231F" w14:textId="77777777" w:rsidR="00B02873" w:rsidRPr="002C49E2" w:rsidRDefault="00B02873" w:rsidP="006B0153">
            <w:pPr>
              <w:pStyle w:val="TablebodyleftFinancialsTables"/>
              <w:jc w:val="right"/>
              <w:rPr>
                <w:rFonts w:asciiTheme="minorHAnsi" w:hAnsiTheme="minorHAnsi" w:cstheme="minorHAnsi"/>
                <w:sz w:val="18"/>
                <w:szCs w:val="14"/>
              </w:rPr>
            </w:pPr>
            <w:r w:rsidRPr="002C49E2">
              <w:rPr>
                <w:rFonts w:asciiTheme="minorHAnsi" w:hAnsiTheme="minorHAnsi" w:cstheme="minorHAnsi"/>
                <w:sz w:val="18"/>
                <w:szCs w:val="14"/>
              </w:rPr>
              <w:t>–</w:t>
            </w:r>
          </w:p>
        </w:tc>
        <w:tc>
          <w:tcPr>
            <w:tcW w:w="1020" w:type="dxa"/>
          </w:tcPr>
          <w:p w14:paraId="7E9233ED" w14:textId="77777777" w:rsidR="00B02873" w:rsidRPr="002C49E2" w:rsidRDefault="00B02873" w:rsidP="006B0153">
            <w:pPr>
              <w:pStyle w:val="TablebodyleftFinancialsTables"/>
              <w:jc w:val="right"/>
              <w:rPr>
                <w:rFonts w:asciiTheme="minorHAnsi" w:hAnsiTheme="minorHAnsi" w:cstheme="minorHAnsi"/>
                <w:b/>
                <w:bCs/>
                <w:sz w:val="18"/>
                <w:szCs w:val="14"/>
              </w:rPr>
            </w:pPr>
            <w:r w:rsidRPr="002C49E2">
              <w:rPr>
                <w:rFonts w:asciiTheme="minorHAnsi" w:hAnsiTheme="minorHAnsi" w:cstheme="minorHAnsi"/>
                <w:b/>
                <w:bCs/>
                <w:sz w:val="18"/>
                <w:szCs w:val="14"/>
              </w:rPr>
              <w:t>–</w:t>
            </w:r>
          </w:p>
        </w:tc>
        <w:tc>
          <w:tcPr>
            <w:tcW w:w="1021" w:type="dxa"/>
          </w:tcPr>
          <w:p w14:paraId="49DEF8DE" w14:textId="77777777" w:rsidR="00B02873" w:rsidRPr="002C49E2" w:rsidRDefault="00B02873" w:rsidP="006B0153">
            <w:pPr>
              <w:pStyle w:val="TablebodyleftFinancialsTables"/>
              <w:jc w:val="right"/>
              <w:rPr>
                <w:rFonts w:asciiTheme="minorHAnsi" w:hAnsiTheme="minorHAnsi" w:cstheme="minorHAnsi"/>
                <w:sz w:val="18"/>
                <w:szCs w:val="14"/>
              </w:rPr>
            </w:pPr>
            <w:r w:rsidRPr="002C49E2">
              <w:rPr>
                <w:rFonts w:asciiTheme="minorHAnsi" w:hAnsiTheme="minorHAnsi" w:cstheme="minorHAnsi"/>
                <w:sz w:val="18"/>
                <w:szCs w:val="14"/>
              </w:rPr>
              <w:t>–</w:t>
            </w:r>
          </w:p>
        </w:tc>
        <w:tc>
          <w:tcPr>
            <w:tcW w:w="1105" w:type="dxa"/>
          </w:tcPr>
          <w:p w14:paraId="09FE3A8A" w14:textId="77777777" w:rsidR="00B02873" w:rsidRPr="002C49E2" w:rsidRDefault="00B02873" w:rsidP="006B0153">
            <w:pPr>
              <w:pStyle w:val="TablebodyleftFinancialsTables"/>
              <w:jc w:val="right"/>
              <w:rPr>
                <w:rFonts w:asciiTheme="minorHAnsi" w:hAnsiTheme="minorHAnsi" w:cstheme="minorHAnsi"/>
                <w:b/>
                <w:bCs/>
                <w:sz w:val="18"/>
                <w:szCs w:val="14"/>
              </w:rPr>
            </w:pPr>
            <w:r w:rsidRPr="002C49E2">
              <w:rPr>
                <w:rFonts w:asciiTheme="minorHAnsi" w:hAnsiTheme="minorHAnsi" w:cstheme="minorHAnsi"/>
                <w:b/>
                <w:bCs/>
                <w:sz w:val="18"/>
                <w:szCs w:val="14"/>
              </w:rPr>
              <w:t>–</w:t>
            </w:r>
          </w:p>
        </w:tc>
        <w:tc>
          <w:tcPr>
            <w:tcW w:w="1120" w:type="dxa"/>
          </w:tcPr>
          <w:p w14:paraId="79186418" w14:textId="77777777" w:rsidR="00B02873" w:rsidRPr="002C49E2" w:rsidRDefault="00B02873" w:rsidP="006B0153">
            <w:pPr>
              <w:pStyle w:val="TablebodyleftFinancialsTables"/>
              <w:jc w:val="right"/>
              <w:rPr>
                <w:rFonts w:asciiTheme="minorHAnsi" w:hAnsiTheme="minorHAnsi" w:cstheme="minorHAnsi"/>
                <w:sz w:val="18"/>
                <w:szCs w:val="14"/>
              </w:rPr>
            </w:pPr>
            <w:r w:rsidRPr="002C49E2">
              <w:rPr>
                <w:rFonts w:asciiTheme="minorHAnsi" w:hAnsiTheme="minorHAnsi" w:cstheme="minorHAnsi"/>
                <w:sz w:val="18"/>
                <w:szCs w:val="14"/>
              </w:rPr>
              <w:t>–</w:t>
            </w:r>
          </w:p>
        </w:tc>
      </w:tr>
      <w:tr w:rsidR="00B02873" w:rsidRPr="002C49E2" w14:paraId="08BCBE5D" w14:textId="77777777" w:rsidTr="002C49E2">
        <w:tc>
          <w:tcPr>
            <w:tcW w:w="3719" w:type="dxa"/>
          </w:tcPr>
          <w:p w14:paraId="19D5DF12" w14:textId="514FFD1E" w:rsidR="00B02873" w:rsidRPr="002C49E2" w:rsidRDefault="00B02873" w:rsidP="006B0153">
            <w:pPr>
              <w:pStyle w:val="TablebodyleftFinancialsTables"/>
              <w:rPr>
                <w:rFonts w:asciiTheme="minorHAnsi" w:hAnsiTheme="minorHAnsi" w:cstheme="minorHAnsi"/>
                <w:b/>
                <w:bCs/>
                <w:sz w:val="18"/>
                <w:szCs w:val="14"/>
              </w:rPr>
            </w:pPr>
            <w:r w:rsidRPr="002C49E2">
              <w:rPr>
                <w:rFonts w:asciiTheme="minorHAnsi" w:hAnsiTheme="minorHAnsi" w:cstheme="minorHAnsi"/>
                <w:b/>
                <w:bCs/>
                <w:sz w:val="18"/>
                <w:szCs w:val="14"/>
              </w:rPr>
              <w:t>Total administered other economic flows included in net result</w:t>
            </w:r>
          </w:p>
        </w:tc>
        <w:tc>
          <w:tcPr>
            <w:tcW w:w="902" w:type="dxa"/>
          </w:tcPr>
          <w:p w14:paraId="3CDB638C" w14:textId="77777777" w:rsidR="00B02873" w:rsidRPr="002C49E2" w:rsidRDefault="00B02873" w:rsidP="006B0153">
            <w:pPr>
              <w:pStyle w:val="TablebodyleftFinancialsTables"/>
              <w:jc w:val="right"/>
              <w:rPr>
                <w:rFonts w:asciiTheme="minorHAnsi" w:hAnsiTheme="minorHAnsi" w:cstheme="minorHAnsi"/>
                <w:b/>
                <w:bCs/>
                <w:sz w:val="18"/>
                <w:szCs w:val="14"/>
              </w:rPr>
            </w:pPr>
            <w:r w:rsidRPr="002C49E2">
              <w:rPr>
                <w:rFonts w:asciiTheme="minorHAnsi" w:hAnsiTheme="minorHAnsi" w:cstheme="minorHAnsi"/>
                <w:b/>
                <w:bCs/>
                <w:sz w:val="18"/>
                <w:szCs w:val="14"/>
              </w:rPr>
              <w:t>(2,256)</w:t>
            </w:r>
          </w:p>
        </w:tc>
        <w:tc>
          <w:tcPr>
            <w:tcW w:w="903" w:type="dxa"/>
          </w:tcPr>
          <w:p w14:paraId="4786B991" w14:textId="77777777" w:rsidR="00B02873" w:rsidRPr="002C49E2" w:rsidRDefault="00B02873" w:rsidP="006B0153">
            <w:pPr>
              <w:pStyle w:val="TablebodyleftFinancialsTables"/>
              <w:jc w:val="right"/>
              <w:rPr>
                <w:rFonts w:asciiTheme="minorHAnsi" w:hAnsiTheme="minorHAnsi" w:cstheme="minorHAnsi"/>
                <w:sz w:val="18"/>
                <w:szCs w:val="14"/>
              </w:rPr>
            </w:pPr>
            <w:r w:rsidRPr="002C49E2">
              <w:rPr>
                <w:rFonts w:asciiTheme="minorHAnsi" w:hAnsiTheme="minorHAnsi" w:cstheme="minorHAnsi"/>
                <w:sz w:val="18"/>
                <w:szCs w:val="14"/>
              </w:rPr>
              <w:t>(770)</w:t>
            </w:r>
          </w:p>
        </w:tc>
        <w:tc>
          <w:tcPr>
            <w:tcW w:w="1020" w:type="dxa"/>
          </w:tcPr>
          <w:p w14:paraId="1689C300" w14:textId="77777777" w:rsidR="00B02873" w:rsidRPr="002C49E2" w:rsidRDefault="00B02873" w:rsidP="006B0153">
            <w:pPr>
              <w:pStyle w:val="TablebodyleftFinancialsTables"/>
              <w:jc w:val="right"/>
              <w:rPr>
                <w:rFonts w:asciiTheme="minorHAnsi" w:hAnsiTheme="minorHAnsi" w:cstheme="minorHAnsi"/>
                <w:b/>
                <w:bCs/>
                <w:sz w:val="18"/>
                <w:szCs w:val="14"/>
              </w:rPr>
            </w:pPr>
            <w:r w:rsidRPr="002C49E2">
              <w:rPr>
                <w:rFonts w:asciiTheme="minorHAnsi" w:hAnsiTheme="minorHAnsi" w:cstheme="minorHAnsi"/>
                <w:b/>
                <w:bCs/>
                <w:sz w:val="18"/>
                <w:szCs w:val="14"/>
              </w:rPr>
              <w:t>1</w:t>
            </w:r>
          </w:p>
        </w:tc>
        <w:tc>
          <w:tcPr>
            <w:tcW w:w="1021" w:type="dxa"/>
          </w:tcPr>
          <w:p w14:paraId="3E0A89E0" w14:textId="77777777" w:rsidR="00B02873" w:rsidRPr="002C49E2" w:rsidRDefault="00B02873" w:rsidP="006B0153">
            <w:pPr>
              <w:pStyle w:val="TablebodyleftFinancialsTables"/>
              <w:jc w:val="right"/>
              <w:rPr>
                <w:rFonts w:asciiTheme="minorHAnsi" w:hAnsiTheme="minorHAnsi" w:cstheme="minorHAnsi"/>
                <w:sz w:val="18"/>
                <w:szCs w:val="14"/>
              </w:rPr>
            </w:pPr>
            <w:r w:rsidRPr="002C49E2">
              <w:rPr>
                <w:rFonts w:asciiTheme="minorHAnsi" w:hAnsiTheme="minorHAnsi" w:cstheme="minorHAnsi"/>
                <w:sz w:val="18"/>
                <w:szCs w:val="14"/>
              </w:rPr>
              <w:t>(984)</w:t>
            </w:r>
          </w:p>
        </w:tc>
        <w:tc>
          <w:tcPr>
            <w:tcW w:w="1105" w:type="dxa"/>
          </w:tcPr>
          <w:p w14:paraId="35583D07" w14:textId="77777777" w:rsidR="00B02873" w:rsidRPr="002C49E2" w:rsidRDefault="00B02873" w:rsidP="006B0153">
            <w:pPr>
              <w:pStyle w:val="TablebodyleftFinancialsTables"/>
              <w:jc w:val="right"/>
              <w:rPr>
                <w:rFonts w:asciiTheme="minorHAnsi" w:hAnsiTheme="minorHAnsi" w:cstheme="minorHAnsi"/>
                <w:b/>
                <w:bCs/>
                <w:sz w:val="18"/>
                <w:szCs w:val="14"/>
              </w:rPr>
            </w:pPr>
            <w:r w:rsidRPr="002C49E2">
              <w:rPr>
                <w:rFonts w:asciiTheme="minorHAnsi" w:hAnsiTheme="minorHAnsi" w:cstheme="minorHAnsi"/>
                <w:b/>
                <w:bCs/>
                <w:sz w:val="18"/>
                <w:szCs w:val="14"/>
              </w:rPr>
              <w:t>18,783</w:t>
            </w:r>
          </w:p>
        </w:tc>
        <w:tc>
          <w:tcPr>
            <w:tcW w:w="1120" w:type="dxa"/>
          </w:tcPr>
          <w:p w14:paraId="152A098A" w14:textId="77777777" w:rsidR="00B02873" w:rsidRPr="002C49E2" w:rsidRDefault="00B02873" w:rsidP="006B0153">
            <w:pPr>
              <w:pStyle w:val="TablebodyleftFinancialsTables"/>
              <w:jc w:val="right"/>
              <w:rPr>
                <w:rFonts w:asciiTheme="minorHAnsi" w:hAnsiTheme="minorHAnsi" w:cstheme="minorHAnsi"/>
                <w:sz w:val="18"/>
                <w:szCs w:val="14"/>
              </w:rPr>
            </w:pPr>
            <w:r w:rsidRPr="002C49E2">
              <w:rPr>
                <w:rFonts w:asciiTheme="minorHAnsi" w:hAnsiTheme="minorHAnsi" w:cstheme="minorHAnsi"/>
                <w:sz w:val="18"/>
                <w:szCs w:val="14"/>
              </w:rPr>
              <w:t>(35,108)</w:t>
            </w:r>
          </w:p>
        </w:tc>
      </w:tr>
      <w:tr w:rsidR="00B02873" w:rsidRPr="002C49E2" w14:paraId="148D7A31" w14:textId="77777777" w:rsidTr="002C49E2">
        <w:tc>
          <w:tcPr>
            <w:tcW w:w="3719" w:type="dxa"/>
          </w:tcPr>
          <w:p w14:paraId="4BDFB759" w14:textId="77777777" w:rsidR="00B02873" w:rsidRPr="002C49E2" w:rsidRDefault="00B02873" w:rsidP="006B0153">
            <w:pPr>
              <w:pStyle w:val="TablebodyleftFinancialsTables"/>
              <w:rPr>
                <w:rFonts w:asciiTheme="minorHAnsi" w:hAnsiTheme="minorHAnsi" w:cstheme="minorHAnsi"/>
                <w:b/>
                <w:bCs/>
                <w:sz w:val="18"/>
                <w:szCs w:val="14"/>
              </w:rPr>
            </w:pPr>
            <w:r w:rsidRPr="002C49E2">
              <w:rPr>
                <w:rFonts w:asciiTheme="minorHAnsi" w:hAnsiTheme="minorHAnsi" w:cstheme="minorHAnsi"/>
                <w:b/>
                <w:bCs/>
                <w:sz w:val="18"/>
                <w:szCs w:val="14"/>
              </w:rPr>
              <w:t>Administered net result</w:t>
            </w:r>
          </w:p>
        </w:tc>
        <w:tc>
          <w:tcPr>
            <w:tcW w:w="902" w:type="dxa"/>
          </w:tcPr>
          <w:p w14:paraId="6089A8B2" w14:textId="77777777" w:rsidR="00B02873" w:rsidRPr="002C49E2" w:rsidRDefault="00B02873" w:rsidP="006B0153">
            <w:pPr>
              <w:pStyle w:val="TablebodyleftFinancialsTables"/>
              <w:jc w:val="right"/>
              <w:rPr>
                <w:rFonts w:asciiTheme="minorHAnsi" w:hAnsiTheme="minorHAnsi" w:cstheme="minorHAnsi"/>
                <w:b/>
                <w:bCs/>
                <w:sz w:val="18"/>
                <w:szCs w:val="14"/>
              </w:rPr>
            </w:pPr>
            <w:r w:rsidRPr="002C49E2">
              <w:rPr>
                <w:rFonts w:asciiTheme="minorHAnsi" w:hAnsiTheme="minorHAnsi" w:cstheme="minorHAnsi"/>
                <w:b/>
                <w:bCs/>
                <w:sz w:val="18"/>
                <w:szCs w:val="14"/>
              </w:rPr>
              <w:t>(36,967)</w:t>
            </w:r>
          </w:p>
        </w:tc>
        <w:tc>
          <w:tcPr>
            <w:tcW w:w="903" w:type="dxa"/>
          </w:tcPr>
          <w:p w14:paraId="1C19ACED" w14:textId="77777777" w:rsidR="00B02873" w:rsidRPr="002C49E2" w:rsidRDefault="00B02873" w:rsidP="006B0153">
            <w:pPr>
              <w:pStyle w:val="TablebodyleftFinancialsTables"/>
              <w:jc w:val="right"/>
              <w:rPr>
                <w:rFonts w:asciiTheme="minorHAnsi" w:hAnsiTheme="minorHAnsi" w:cstheme="minorHAnsi"/>
                <w:sz w:val="18"/>
                <w:szCs w:val="14"/>
              </w:rPr>
            </w:pPr>
            <w:r w:rsidRPr="002C49E2">
              <w:rPr>
                <w:rFonts w:asciiTheme="minorHAnsi" w:hAnsiTheme="minorHAnsi" w:cstheme="minorHAnsi"/>
                <w:sz w:val="18"/>
                <w:szCs w:val="14"/>
              </w:rPr>
              <w:t>(8,286)</w:t>
            </w:r>
          </w:p>
        </w:tc>
        <w:tc>
          <w:tcPr>
            <w:tcW w:w="1020" w:type="dxa"/>
          </w:tcPr>
          <w:p w14:paraId="200BC808" w14:textId="77777777" w:rsidR="00B02873" w:rsidRPr="002C49E2" w:rsidRDefault="00B02873" w:rsidP="006B0153">
            <w:pPr>
              <w:pStyle w:val="TablebodyleftFinancialsTables"/>
              <w:jc w:val="right"/>
              <w:rPr>
                <w:rFonts w:asciiTheme="minorHAnsi" w:hAnsiTheme="minorHAnsi" w:cstheme="minorHAnsi"/>
                <w:b/>
                <w:bCs/>
                <w:sz w:val="18"/>
                <w:szCs w:val="14"/>
              </w:rPr>
            </w:pPr>
            <w:r w:rsidRPr="002C49E2">
              <w:rPr>
                <w:rFonts w:asciiTheme="minorHAnsi" w:hAnsiTheme="minorHAnsi" w:cstheme="minorHAnsi"/>
                <w:b/>
                <w:bCs/>
                <w:sz w:val="18"/>
                <w:szCs w:val="14"/>
              </w:rPr>
              <w:t>(15)</w:t>
            </w:r>
          </w:p>
        </w:tc>
        <w:tc>
          <w:tcPr>
            <w:tcW w:w="1021" w:type="dxa"/>
          </w:tcPr>
          <w:p w14:paraId="7F059CC4" w14:textId="77777777" w:rsidR="00B02873" w:rsidRPr="002C49E2" w:rsidRDefault="00B02873" w:rsidP="006B0153">
            <w:pPr>
              <w:pStyle w:val="TablebodyleftFinancialsTables"/>
              <w:jc w:val="right"/>
              <w:rPr>
                <w:rFonts w:asciiTheme="minorHAnsi" w:hAnsiTheme="minorHAnsi" w:cstheme="minorHAnsi"/>
                <w:sz w:val="18"/>
                <w:szCs w:val="14"/>
              </w:rPr>
            </w:pPr>
            <w:r w:rsidRPr="002C49E2">
              <w:rPr>
                <w:rFonts w:asciiTheme="minorHAnsi" w:hAnsiTheme="minorHAnsi" w:cstheme="minorHAnsi"/>
                <w:sz w:val="18"/>
                <w:szCs w:val="14"/>
              </w:rPr>
              <w:t>(1,026)</w:t>
            </w:r>
          </w:p>
        </w:tc>
        <w:tc>
          <w:tcPr>
            <w:tcW w:w="1105" w:type="dxa"/>
          </w:tcPr>
          <w:p w14:paraId="155BFE72" w14:textId="77777777" w:rsidR="00B02873" w:rsidRPr="002C49E2" w:rsidRDefault="00B02873" w:rsidP="006B0153">
            <w:pPr>
              <w:pStyle w:val="TablebodyleftFinancialsTables"/>
              <w:jc w:val="right"/>
              <w:rPr>
                <w:rFonts w:asciiTheme="minorHAnsi" w:hAnsiTheme="minorHAnsi" w:cstheme="minorHAnsi"/>
                <w:b/>
                <w:bCs/>
                <w:sz w:val="18"/>
                <w:szCs w:val="14"/>
              </w:rPr>
            </w:pPr>
            <w:r w:rsidRPr="002C49E2">
              <w:rPr>
                <w:rFonts w:asciiTheme="minorHAnsi" w:hAnsiTheme="minorHAnsi" w:cstheme="minorHAnsi"/>
                <w:b/>
                <w:bCs/>
                <w:sz w:val="18"/>
                <w:szCs w:val="14"/>
              </w:rPr>
              <w:t>116,874</w:t>
            </w:r>
          </w:p>
        </w:tc>
        <w:tc>
          <w:tcPr>
            <w:tcW w:w="1120" w:type="dxa"/>
          </w:tcPr>
          <w:p w14:paraId="053D1CFB" w14:textId="77777777" w:rsidR="00B02873" w:rsidRPr="002C49E2" w:rsidRDefault="00B02873" w:rsidP="006B0153">
            <w:pPr>
              <w:pStyle w:val="TablebodyleftFinancialsTables"/>
              <w:jc w:val="right"/>
              <w:rPr>
                <w:rFonts w:asciiTheme="minorHAnsi" w:hAnsiTheme="minorHAnsi" w:cstheme="minorHAnsi"/>
                <w:sz w:val="18"/>
                <w:szCs w:val="14"/>
              </w:rPr>
            </w:pPr>
            <w:r w:rsidRPr="002C49E2">
              <w:rPr>
                <w:rFonts w:asciiTheme="minorHAnsi" w:hAnsiTheme="minorHAnsi" w:cstheme="minorHAnsi"/>
                <w:sz w:val="18"/>
                <w:szCs w:val="14"/>
              </w:rPr>
              <w:t>45,952</w:t>
            </w:r>
          </w:p>
        </w:tc>
      </w:tr>
      <w:tr w:rsidR="00B02873" w:rsidRPr="002C49E2" w14:paraId="65FC2361" w14:textId="77777777" w:rsidTr="002C49E2">
        <w:tc>
          <w:tcPr>
            <w:tcW w:w="3719" w:type="dxa"/>
          </w:tcPr>
          <w:p w14:paraId="12955556" w14:textId="77777777" w:rsidR="00B02873" w:rsidRPr="002C49E2" w:rsidRDefault="00B02873" w:rsidP="006B0153">
            <w:pPr>
              <w:pStyle w:val="TablebodyleftFinancialsTables"/>
              <w:rPr>
                <w:rFonts w:asciiTheme="minorHAnsi" w:hAnsiTheme="minorHAnsi" w:cstheme="minorHAnsi"/>
                <w:b/>
                <w:bCs/>
                <w:sz w:val="18"/>
                <w:szCs w:val="14"/>
              </w:rPr>
            </w:pPr>
            <w:r w:rsidRPr="002C49E2">
              <w:rPr>
                <w:rFonts w:asciiTheme="minorHAnsi" w:hAnsiTheme="minorHAnsi" w:cstheme="minorHAnsi"/>
                <w:b/>
                <w:bCs/>
                <w:sz w:val="18"/>
                <w:szCs w:val="14"/>
              </w:rPr>
              <w:t>Other comprehensive income</w:t>
            </w:r>
          </w:p>
        </w:tc>
        <w:tc>
          <w:tcPr>
            <w:tcW w:w="902" w:type="dxa"/>
          </w:tcPr>
          <w:p w14:paraId="05F78C2D" w14:textId="77777777" w:rsidR="00B02873" w:rsidRPr="002C49E2" w:rsidRDefault="00B02873" w:rsidP="006B0153">
            <w:pPr>
              <w:pStyle w:val="TablebodyleftFinancialsTables"/>
              <w:jc w:val="right"/>
              <w:rPr>
                <w:rFonts w:asciiTheme="minorHAnsi" w:hAnsiTheme="minorHAnsi" w:cstheme="minorHAnsi"/>
                <w:b/>
                <w:bCs/>
                <w:sz w:val="18"/>
                <w:szCs w:val="14"/>
              </w:rPr>
            </w:pPr>
            <w:r w:rsidRPr="002C49E2">
              <w:rPr>
                <w:rFonts w:asciiTheme="minorHAnsi" w:hAnsiTheme="minorHAnsi" w:cstheme="minorHAnsi"/>
                <w:b/>
                <w:bCs/>
                <w:sz w:val="18"/>
                <w:szCs w:val="14"/>
              </w:rPr>
              <w:t>–</w:t>
            </w:r>
          </w:p>
        </w:tc>
        <w:tc>
          <w:tcPr>
            <w:tcW w:w="903" w:type="dxa"/>
          </w:tcPr>
          <w:p w14:paraId="04C95C37" w14:textId="77777777" w:rsidR="00B02873" w:rsidRPr="002C49E2" w:rsidRDefault="00B02873" w:rsidP="006B0153">
            <w:pPr>
              <w:pStyle w:val="TablebodyleftFinancialsTables"/>
              <w:jc w:val="right"/>
              <w:rPr>
                <w:rFonts w:asciiTheme="minorHAnsi" w:hAnsiTheme="minorHAnsi" w:cstheme="minorHAnsi"/>
                <w:sz w:val="18"/>
                <w:szCs w:val="14"/>
              </w:rPr>
            </w:pPr>
            <w:r w:rsidRPr="002C49E2">
              <w:rPr>
                <w:rFonts w:asciiTheme="minorHAnsi" w:hAnsiTheme="minorHAnsi" w:cstheme="minorHAnsi"/>
                <w:sz w:val="18"/>
                <w:szCs w:val="14"/>
              </w:rPr>
              <w:t>–</w:t>
            </w:r>
          </w:p>
        </w:tc>
        <w:tc>
          <w:tcPr>
            <w:tcW w:w="1020" w:type="dxa"/>
          </w:tcPr>
          <w:p w14:paraId="3BE3507F" w14:textId="77777777" w:rsidR="00B02873" w:rsidRPr="002C49E2" w:rsidRDefault="00B02873" w:rsidP="006B0153">
            <w:pPr>
              <w:pStyle w:val="TablebodyleftFinancialsTables"/>
              <w:jc w:val="right"/>
              <w:rPr>
                <w:rFonts w:asciiTheme="minorHAnsi" w:hAnsiTheme="minorHAnsi" w:cstheme="minorHAnsi"/>
                <w:b/>
                <w:bCs/>
                <w:sz w:val="18"/>
                <w:szCs w:val="14"/>
              </w:rPr>
            </w:pPr>
            <w:r w:rsidRPr="002C49E2">
              <w:rPr>
                <w:rFonts w:asciiTheme="minorHAnsi" w:hAnsiTheme="minorHAnsi" w:cstheme="minorHAnsi"/>
                <w:b/>
                <w:bCs/>
                <w:sz w:val="18"/>
                <w:szCs w:val="14"/>
              </w:rPr>
              <w:t>–</w:t>
            </w:r>
          </w:p>
        </w:tc>
        <w:tc>
          <w:tcPr>
            <w:tcW w:w="1021" w:type="dxa"/>
          </w:tcPr>
          <w:p w14:paraId="1A93D98D" w14:textId="77777777" w:rsidR="00B02873" w:rsidRPr="002C49E2" w:rsidRDefault="00B02873" w:rsidP="006B0153">
            <w:pPr>
              <w:pStyle w:val="TablebodyleftFinancialsTables"/>
              <w:jc w:val="right"/>
              <w:rPr>
                <w:rFonts w:asciiTheme="minorHAnsi" w:hAnsiTheme="minorHAnsi" w:cstheme="minorHAnsi"/>
                <w:sz w:val="18"/>
                <w:szCs w:val="14"/>
              </w:rPr>
            </w:pPr>
            <w:r w:rsidRPr="002C49E2">
              <w:rPr>
                <w:rFonts w:asciiTheme="minorHAnsi" w:hAnsiTheme="minorHAnsi" w:cstheme="minorHAnsi"/>
                <w:sz w:val="18"/>
                <w:szCs w:val="14"/>
              </w:rPr>
              <w:t>–</w:t>
            </w:r>
          </w:p>
        </w:tc>
        <w:tc>
          <w:tcPr>
            <w:tcW w:w="1105" w:type="dxa"/>
          </w:tcPr>
          <w:p w14:paraId="350DBFA7" w14:textId="77777777" w:rsidR="00B02873" w:rsidRPr="002C49E2" w:rsidRDefault="00B02873" w:rsidP="006B0153">
            <w:pPr>
              <w:pStyle w:val="TablebodyleftFinancialsTables"/>
              <w:jc w:val="right"/>
              <w:rPr>
                <w:rFonts w:asciiTheme="minorHAnsi" w:hAnsiTheme="minorHAnsi" w:cstheme="minorHAnsi"/>
                <w:b/>
                <w:bCs/>
                <w:sz w:val="18"/>
                <w:szCs w:val="14"/>
              </w:rPr>
            </w:pPr>
            <w:r w:rsidRPr="002C49E2">
              <w:rPr>
                <w:rFonts w:asciiTheme="minorHAnsi" w:hAnsiTheme="minorHAnsi" w:cstheme="minorHAnsi"/>
                <w:b/>
                <w:bCs/>
                <w:sz w:val="18"/>
                <w:szCs w:val="14"/>
              </w:rPr>
              <w:t>–</w:t>
            </w:r>
          </w:p>
        </w:tc>
        <w:tc>
          <w:tcPr>
            <w:tcW w:w="1120" w:type="dxa"/>
          </w:tcPr>
          <w:p w14:paraId="6B7E43CE" w14:textId="77777777" w:rsidR="00B02873" w:rsidRPr="002C49E2" w:rsidRDefault="00B02873" w:rsidP="006B0153">
            <w:pPr>
              <w:pStyle w:val="TablebodyleftFinancialsTables"/>
              <w:jc w:val="right"/>
              <w:rPr>
                <w:rFonts w:asciiTheme="minorHAnsi" w:hAnsiTheme="minorHAnsi" w:cstheme="minorHAnsi"/>
                <w:sz w:val="18"/>
                <w:szCs w:val="14"/>
              </w:rPr>
            </w:pPr>
            <w:r w:rsidRPr="002C49E2">
              <w:rPr>
                <w:rFonts w:asciiTheme="minorHAnsi" w:hAnsiTheme="minorHAnsi" w:cstheme="minorHAnsi"/>
                <w:sz w:val="18"/>
                <w:szCs w:val="14"/>
              </w:rPr>
              <w:t>12,695</w:t>
            </w:r>
          </w:p>
        </w:tc>
      </w:tr>
      <w:tr w:rsidR="00B02873" w:rsidRPr="002C49E2" w14:paraId="427F06FA" w14:textId="77777777" w:rsidTr="002C49E2">
        <w:tc>
          <w:tcPr>
            <w:tcW w:w="3719" w:type="dxa"/>
          </w:tcPr>
          <w:p w14:paraId="14E62FA9" w14:textId="77777777" w:rsidR="00B02873" w:rsidRPr="002C49E2" w:rsidRDefault="00B02873" w:rsidP="006B0153">
            <w:pPr>
              <w:pStyle w:val="TablebodyleftFinancialsTables"/>
              <w:rPr>
                <w:rFonts w:asciiTheme="minorHAnsi" w:hAnsiTheme="minorHAnsi" w:cstheme="minorHAnsi"/>
                <w:b/>
                <w:bCs/>
                <w:sz w:val="18"/>
                <w:szCs w:val="14"/>
              </w:rPr>
            </w:pPr>
            <w:r w:rsidRPr="002C49E2">
              <w:rPr>
                <w:rFonts w:asciiTheme="minorHAnsi" w:hAnsiTheme="minorHAnsi" w:cstheme="minorHAnsi"/>
                <w:b/>
                <w:bCs/>
                <w:sz w:val="18"/>
                <w:szCs w:val="14"/>
              </w:rPr>
              <w:t>Administered comprehensive result</w:t>
            </w:r>
          </w:p>
        </w:tc>
        <w:tc>
          <w:tcPr>
            <w:tcW w:w="902" w:type="dxa"/>
          </w:tcPr>
          <w:p w14:paraId="5DBF1DB1" w14:textId="77777777" w:rsidR="00B02873" w:rsidRPr="002C49E2" w:rsidRDefault="00B02873" w:rsidP="006B0153">
            <w:pPr>
              <w:pStyle w:val="TablebodyleftFinancialsTables"/>
              <w:jc w:val="right"/>
              <w:rPr>
                <w:rFonts w:asciiTheme="minorHAnsi" w:hAnsiTheme="minorHAnsi" w:cstheme="minorHAnsi"/>
                <w:b/>
                <w:bCs/>
                <w:sz w:val="18"/>
                <w:szCs w:val="14"/>
              </w:rPr>
            </w:pPr>
            <w:r w:rsidRPr="002C49E2">
              <w:rPr>
                <w:rFonts w:asciiTheme="minorHAnsi" w:hAnsiTheme="minorHAnsi" w:cstheme="minorHAnsi"/>
                <w:b/>
                <w:bCs/>
                <w:sz w:val="18"/>
                <w:szCs w:val="14"/>
              </w:rPr>
              <w:t>(36,967)</w:t>
            </w:r>
          </w:p>
        </w:tc>
        <w:tc>
          <w:tcPr>
            <w:tcW w:w="903" w:type="dxa"/>
          </w:tcPr>
          <w:p w14:paraId="07E2EB17" w14:textId="77777777" w:rsidR="00B02873" w:rsidRPr="002C49E2" w:rsidRDefault="00B02873" w:rsidP="006B0153">
            <w:pPr>
              <w:pStyle w:val="TablebodyleftFinancialsTables"/>
              <w:jc w:val="right"/>
              <w:rPr>
                <w:rFonts w:asciiTheme="minorHAnsi" w:hAnsiTheme="minorHAnsi" w:cstheme="minorHAnsi"/>
                <w:sz w:val="18"/>
                <w:szCs w:val="14"/>
              </w:rPr>
            </w:pPr>
            <w:r w:rsidRPr="002C49E2">
              <w:rPr>
                <w:rFonts w:asciiTheme="minorHAnsi" w:hAnsiTheme="minorHAnsi" w:cstheme="minorHAnsi"/>
                <w:sz w:val="18"/>
                <w:szCs w:val="14"/>
              </w:rPr>
              <w:t>(8,286)</w:t>
            </w:r>
          </w:p>
        </w:tc>
        <w:tc>
          <w:tcPr>
            <w:tcW w:w="1020" w:type="dxa"/>
          </w:tcPr>
          <w:p w14:paraId="27619864" w14:textId="6939D117" w:rsidR="00B02873" w:rsidRPr="002C49E2" w:rsidRDefault="00B02873" w:rsidP="006B0153">
            <w:pPr>
              <w:pStyle w:val="TablebodyleftFinancialsTables"/>
              <w:jc w:val="right"/>
              <w:rPr>
                <w:rFonts w:asciiTheme="minorHAnsi" w:hAnsiTheme="minorHAnsi" w:cstheme="minorHAnsi"/>
                <w:b/>
                <w:bCs/>
                <w:sz w:val="18"/>
                <w:szCs w:val="14"/>
              </w:rPr>
            </w:pPr>
            <w:r w:rsidRPr="002C49E2">
              <w:rPr>
                <w:rFonts w:asciiTheme="minorHAnsi" w:hAnsiTheme="minorHAnsi" w:cstheme="minorHAnsi"/>
                <w:b/>
                <w:bCs/>
                <w:sz w:val="18"/>
                <w:szCs w:val="14"/>
              </w:rPr>
              <w:t>(15)</w:t>
            </w:r>
          </w:p>
        </w:tc>
        <w:tc>
          <w:tcPr>
            <w:tcW w:w="1021" w:type="dxa"/>
          </w:tcPr>
          <w:p w14:paraId="661FEF4B" w14:textId="77777777" w:rsidR="00B02873" w:rsidRPr="002C49E2" w:rsidRDefault="00B02873" w:rsidP="006B0153">
            <w:pPr>
              <w:pStyle w:val="TablebodyleftFinancialsTables"/>
              <w:jc w:val="right"/>
              <w:rPr>
                <w:rFonts w:asciiTheme="minorHAnsi" w:hAnsiTheme="minorHAnsi" w:cstheme="minorHAnsi"/>
                <w:sz w:val="18"/>
                <w:szCs w:val="14"/>
              </w:rPr>
            </w:pPr>
            <w:r w:rsidRPr="002C49E2">
              <w:rPr>
                <w:rFonts w:asciiTheme="minorHAnsi" w:hAnsiTheme="minorHAnsi" w:cstheme="minorHAnsi"/>
                <w:sz w:val="18"/>
                <w:szCs w:val="14"/>
              </w:rPr>
              <w:t>(1,026)</w:t>
            </w:r>
          </w:p>
        </w:tc>
        <w:tc>
          <w:tcPr>
            <w:tcW w:w="1105" w:type="dxa"/>
          </w:tcPr>
          <w:p w14:paraId="722C0E93" w14:textId="77777777" w:rsidR="00B02873" w:rsidRPr="002C49E2" w:rsidRDefault="00B02873" w:rsidP="006B0153">
            <w:pPr>
              <w:pStyle w:val="TablebodyleftFinancialsTables"/>
              <w:jc w:val="right"/>
              <w:rPr>
                <w:rFonts w:asciiTheme="minorHAnsi" w:hAnsiTheme="minorHAnsi" w:cstheme="minorHAnsi"/>
                <w:b/>
                <w:bCs/>
                <w:sz w:val="18"/>
                <w:szCs w:val="14"/>
              </w:rPr>
            </w:pPr>
            <w:r w:rsidRPr="002C49E2">
              <w:rPr>
                <w:rFonts w:asciiTheme="minorHAnsi" w:hAnsiTheme="minorHAnsi" w:cstheme="minorHAnsi"/>
                <w:b/>
                <w:bCs/>
                <w:sz w:val="18"/>
                <w:szCs w:val="14"/>
              </w:rPr>
              <w:t>116,874</w:t>
            </w:r>
          </w:p>
        </w:tc>
        <w:tc>
          <w:tcPr>
            <w:tcW w:w="1120" w:type="dxa"/>
          </w:tcPr>
          <w:p w14:paraId="1F3800AF" w14:textId="77777777" w:rsidR="00B02873" w:rsidRPr="002C49E2" w:rsidRDefault="00B02873" w:rsidP="006B0153">
            <w:pPr>
              <w:pStyle w:val="TablebodyleftFinancialsTables"/>
              <w:jc w:val="right"/>
              <w:rPr>
                <w:rFonts w:asciiTheme="minorHAnsi" w:hAnsiTheme="minorHAnsi" w:cstheme="minorHAnsi"/>
                <w:sz w:val="18"/>
                <w:szCs w:val="14"/>
              </w:rPr>
            </w:pPr>
            <w:r w:rsidRPr="002C49E2">
              <w:rPr>
                <w:rFonts w:asciiTheme="minorHAnsi" w:hAnsiTheme="minorHAnsi" w:cstheme="minorHAnsi"/>
                <w:sz w:val="18"/>
                <w:szCs w:val="14"/>
              </w:rPr>
              <w:t>58,647</w:t>
            </w:r>
          </w:p>
        </w:tc>
      </w:tr>
    </w:tbl>
    <w:p w14:paraId="1E3B70A6" w14:textId="77777777" w:rsidR="00B02873" w:rsidRDefault="00B02873" w:rsidP="002C49E2"/>
    <w:p w14:paraId="695D6340" w14:textId="77777777" w:rsidR="00B02873" w:rsidRDefault="00B02873" w:rsidP="002C49E2">
      <w:pPr>
        <w:pStyle w:val="Heading4"/>
      </w:pPr>
      <w:r>
        <w:lastRenderedPageBreak/>
        <w:t>4.2.1 Administered income and expenses (continued)</w:t>
      </w:r>
    </w:p>
    <w:p w14:paraId="3EB56B03" w14:textId="6A17427C" w:rsidR="00B02873" w:rsidRDefault="00B02873" w:rsidP="002C49E2">
      <w:r>
        <w:t>Except as otherwise disclosed, administered resources are accounted for on an accrual basis using same accounting policies adopted for recognition of the departmental items in the financial statements. Both controlled and administered items of the department are consolidated into the financial statements of the state.</w:t>
      </w:r>
    </w:p>
    <w:p w14:paraId="50D726FC" w14:textId="195E74CD" w:rsidR="00B02873" w:rsidRDefault="00B02873" w:rsidP="002C49E2">
      <w:pPr>
        <w:pStyle w:val="Heading5"/>
      </w:pPr>
      <w:r>
        <w:t>Appropriations – payments on behalf of the state</w:t>
      </w:r>
    </w:p>
    <w:p w14:paraId="68FF63AB" w14:textId="77777777" w:rsidR="00B02873" w:rsidRDefault="00B02873" w:rsidP="00FE198A">
      <w:r>
        <w:t>Appropriation income is recognised on an accrual basis for the provision of outputs delivered through Payments on Behalf of the State (POBOS).</w:t>
      </w:r>
    </w:p>
    <w:p w14:paraId="289F73F6" w14:textId="77777777" w:rsidR="00B02873" w:rsidRDefault="00B02873" w:rsidP="002C49E2">
      <w:pPr>
        <w:pStyle w:val="Heading5"/>
      </w:pPr>
      <w:r>
        <w:t>Interest income</w:t>
      </w:r>
    </w:p>
    <w:p w14:paraId="083059DF" w14:textId="3A757046" w:rsidR="00B02873" w:rsidRDefault="00B02873" w:rsidP="00FE198A">
      <w:r>
        <w:rPr>
          <w:spacing w:val="-2"/>
        </w:rPr>
        <w:t>Interest income receivable from Melbourne Water Corporation is recognised to reflect a constant periodic rate of return on the financial asset.</w:t>
      </w:r>
    </w:p>
    <w:p w14:paraId="41F467A6" w14:textId="77777777" w:rsidR="00B02873" w:rsidRDefault="00B02873" w:rsidP="002C49E2">
      <w:pPr>
        <w:pStyle w:val="Heading5"/>
      </w:pPr>
      <w:r>
        <w:t>Sales of goods and services</w:t>
      </w:r>
    </w:p>
    <w:p w14:paraId="58392884" w14:textId="77777777" w:rsidR="00B02873" w:rsidRDefault="00B02873" w:rsidP="00FE198A">
      <w:r>
        <w:t xml:space="preserve">Sales of goods and services is recognised as revenue under AASB 15. Refer to controlled entities Note 2.3.1 </w:t>
      </w:r>
      <w:r w:rsidRPr="002C49E2">
        <w:rPr>
          <w:rStyle w:val="LightItalic"/>
          <w:rFonts w:asciiTheme="minorHAnsi" w:hAnsiTheme="minorHAnsi" w:cstheme="minorHAnsi"/>
        </w:rPr>
        <w:t>Sales of goods and services</w:t>
      </w:r>
      <w:r>
        <w:t xml:space="preserve"> for further details on accounting policy. Revenue from sales of goods and services is recognised by reference to the stage of completion of the services being performed and when the department no longer has any of the significant risks and rewards of ownership of the goods transferred to the buyer. </w:t>
      </w:r>
    </w:p>
    <w:p w14:paraId="23D4284C" w14:textId="77777777" w:rsidR="00B02873" w:rsidRDefault="00B02873" w:rsidP="002C49E2">
      <w:pPr>
        <w:pStyle w:val="Heading5"/>
      </w:pPr>
      <w:r>
        <w:t>Royalties, land leases and licences</w:t>
      </w:r>
    </w:p>
    <w:p w14:paraId="1D1AA502" w14:textId="77777777" w:rsidR="00B02873" w:rsidRDefault="00B02873" w:rsidP="00FE198A">
      <w:r>
        <w:t xml:space="preserve">Income from royalties, leases and licences of Crown land is recognised on an accrual basis under AASB 1058 </w:t>
      </w:r>
      <w:r w:rsidRPr="002C49E2">
        <w:rPr>
          <w:rStyle w:val="LightItalic"/>
          <w:rFonts w:asciiTheme="minorHAnsi" w:hAnsiTheme="minorHAnsi" w:cstheme="minorHAnsi"/>
        </w:rPr>
        <w:t>Income of not-for-profit entities</w:t>
      </w:r>
      <w:r w:rsidRPr="002C49E2">
        <w:rPr>
          <w:rFonts w:asciiTheme="minorHAnsi" w:hAnsiTheme="minorHAnsi" w:cstheme="minorHAnsi"/>
        </w:rPr>
        <w:t xml:space="preserve"> </w:t>
      </w:r>
      <w:r>
        <w:t xml:space="preserve">on the basis that the department recognises the income when received and these income are not derived from a contract with a customer under AASB 15 </w:t>
      </w:r>
      <w:r w:rsidRPr="00716AB5">
        <w:rPr>
          <w:rStyle w:val="LightItalic"/>
          <w:rFonts w:asciiTheme="minorHAnsi" w:hAnsiTheme="minorHAnsi" w:cstheme="minorHAnsi"/>
        </w:rPr>
        <w:t>Revenue from contracts with customers</w:t>
      </w:r>
      <w:r>
        <w:t>. This revenue has been earned under arrangements that are not linked to enforceable or sufficiently specific performance obligations.</w:t>
      </w:r>
    </w:p>
    <w:p w14:paraId="2238F673" w14:textId="77777777" w:rsidR="00B02873" w:rsidRDefault="00B02873" w:rsidP="002C49E2">
      <w:pPr>
        <w:pStyle w:val="Heading5"/>
      </w:pPr>
      <w:r>
        <w:t>Land titles income</w:t>
      </w:r>
    </w:p>
    <w:p w14:paraId="7E536082" w14:textId="77777777" w:rsidR="00B02873" w:rsidRDefault="00B02873" w:rsidP="00FE198A">
      <w:r>
        <w:t xml:space="preserve">On 27 August 2018, Victorian Land Registry Services (VLRS), now known as Secure Electronic Registries Victoria (SERV) became responsible for providing the services of land titles and registry functions of (LUV) on behalf of the state of Victoria. </w:t>
      </w:r>
    </w:p>
    <w:p w14:paraId="5FAA470C" w14:textId="7A3FC73A" w:rsidR="00B02873" w:rsidRDefault="00B02873" w:rsidP="00FE198A">
      <w:r>
        <w:t>The land titles fees collected by the SERV are recognised on behalf of the state on an accrual basis when services are provided.</w:t>
      </w:r>
    </w:p>
    <w:p w14:paraId="22747FE3" w14:textId="77777777" w:rsidR="00B02873" w:rsidRDefault="00B02873" w:rsidP="002C49E2">
      <w:pPr>
        <w:pStyle w:val="Heading5"/>
      </w:pPr>
      <w:r>
        <w:t>Environmental contribution</w:t>
      </w:r>
    </w:p>
    <w:p w14:paraId="6A5AE9D9" w14:textId="77777777" w:rsidR="00B02873" w:rsidRDefault="00B02873" w:rsidP="00FE198A">
      <w:r>
        <w:t>Water authorities are required to contribute towards initiatives to improve the sustainable management of water. These contributions are collected through the Environmental Contribution Levy and recognised as revenue when the department has the right to receive them on behalf of the state.</w:t>
      </w:r>
    </w:p>
    <w:p w14:paraId="3CCA277D" w14:textId="77777777" w:rsidR="00B02873" w:rsidRDefault="00B02873" w:rsidP="002C49E2">
      <w:pPr>
        <w:pStyle w:val="Heading5"/>
      </w:pPr>
      <w:r>
        <w:t xml:space="preserve">Grants </w:t>
      </w:r>
    </w:p>
    <w:p w14:paraId="3259B157" w14:textId="77777777" w:rsidR="00B02873" w:rsidRDefault="00B02873" w:rsidP="00FE198A">
      <w:r>
        <w:t xml:space="preserve">The department’s administered grants mainly comprise funds provided by the Commonwealth to assist the state government in meeting general or specific service delivery obligations, primarily for the purpose of aiding the financing of the operations of the recipient, capital purposes and/or for on passing to other recipients. The department also receives grants for on passing from other jurisdictions. The department does not have control over these grants, and the income is not recognised in the department’s financial statements. Grant revenue is recognised on an accrual basis under AASB 1058 </w:t>
      </w:r>
      <w:r w:rsidRPr="00716AB5">
        <w:rPr>
          <w:rStyle w:val="LightItalic"/>
          <w:rFonts w:asciiTheme="minorHAnsi" w:hAnsiTheme="minorHAnsi" w:cstheme="minorHAnsi"/>
        </w:rPr>
        <w:t>Income of not-for-profit entities</w:t>
      </w:r>
      <w:r>
        <w:t>.</w:t>
      </w:r>
    </w:p>
    <w:p w14:paraId="35F522A9" w14:textId="77777777" w:rsidR="00B02873" w:rsidRDefault="00B02873" w:rsidP="002C49E2">
      <w:pPr>
        <w:pStyle w:val="Heading5"/>
      </w:pPr>
      <w:r>
        <w:lastRenderedPageBreak/>
        <w:t>Jointly controlled assets received free of charge</w:t>
      </w:r>
    </w:p>
    <w:p w14:paraId="183F6EE2" w14:textId="227D42B9" w:rsidR="00B02873" w:rsidRDefault="00B02873" w:rsidP="00FE198A">
      <w:r>
        <w:t>On behalf of the state, the department jointly controls assets of the Murray-Darling Basin Authority. Jointly controlled assets received free of charge give rise to revenue, which is recognised on an accrual basis.</w:t>
      </w:r>
    </w:p>
    <w:p w14:paraId="548DA480" w14:textId="77777777" w:rsidR="00B02873" w:rsidRDefault="00B02873" w:rsidP="002C49E2">
      <w:pPr>
        <w:pStyle w:val="Heading5"/>
      </w:pPr>
      <w:r>
        <w:t>Other income and loan repayments transferred from the controlled entity</w:t>
      </w:r>
    </w:p>
    <w:p w14:paraId="58EC9884" w14:textId="77777777" w:rsidR="00B02873" w:rsidRDefault="00B02873" w:rsidP="00FE198A">
      <w:r>
        <w:t xml:space="preserve">Amounts disclosed as other income include revenue recognised from unwinding of Grant of right to operate liability, the transfer of customer loan repayments under the Solar Victoria scheme from the controlled entity to be remitted to the Department of Treasury and Finance, fines, donations, regulatory fees and charges, refunds and reimbursements and other miscellaneous income. </w:t>
      </w:r>
    </w:p>
    <w:p w14:paraId="07A3EDE0" w14:textId="77777777" w:rsidR="00B02873" w:rsidRDefault="00B02873" w:rsidP="00FE198A">
      <w:r>
        <w:t>Regulatory fees and charges, and refunds and reimbursements are recognised at the time of billing. Donations and other miscellaneous income are recognised when received.</w:t>
      </w:r>
    </w:p>
    <w:p w14:paraId="36E96FC2" w14:textId="35E6739F" w:rsidR="00B02873" w:rsidRDefault="00B02873" w:rsidP="00FE198A">
      <w:r>
        <w:t>The department does not gain control over assets arising from administered fines, consequently no income is recognised in the department’s financial statements. The department collects these amounts on behalf of the state. Accordingly, the amounts is disclosed as income.</w:t>
      </w:r>
    </w:p>
    <w:p w14:paraId="347146F6" w14:textId="7BCB00B1" w:rsidR="00B02873" w:rsidRDefault="00B02873" w:rsidP="00716AB5">
      <w:pPr>
        <w:pStyle w:val="Heading4"/>
      </w:pPr>
      <w:r>
        <w:t>4.2.2 Administered assets and liabilities</w:t>
      </w:r>
    </w:p>
    <w:tbl>
      <w:tblPr>
        <w:tblStyle w:val="TableGrid"/>
        <w:tblW w:w="9949" w:type="dxa"/>
        <w:tblLayout w:type="fixed"/>
        <w:tblLook w:val="0020" w:firstRow="1" w:lastRow="0" w:firstColumn="0" w:lastColumn="0" w:noHBand="0" w:noVBand="0"/>
      </w:tblPr>
      <w:tblGrid>
        <w:gridCol w:w="2830"/>
        <w:gridCol w:w="1244"/>
        <w:gridCol w:w="1259"/>
        <w:gridCol w:w="1236"/>
        <w:gridCol w:w="1246"/>
        <w:gridCol w:w="1070"/>
        <w:gridCol w:w="1064"/>
      </w:tblGrid>
      <w:tr w:rsidR="00B02873" w:rsidRPr="003C073E" w14:paraId="5A25E2EA" w14:textId="77777777" w:rsidTr="007845E8">
        <w:trPr>
          <w:cnfStyle w:val="100000000000" w:firstRow="1" w:lastRow="0" w:firstColumn="0" w:lastColumn="0" w:oddVBand="0" w:evenVBand="0" w:oddHBand="0" w:evenHBand="0" w:firstRowFirstColumn="0" w:firstRowLastColumn="0" w:lastRowFirstColumn="0" w:lastRowLastColumn="0"/>
          <w:tblHeader/>
        </w:trPr>
        <w:tc>
          <w:tcPr>
            <w:tcW w:w="2830" w:type="dxa"/>
          </w:tcPr>
          <w:p w14:paraId="4CF9E71D" w14:textId="77777777" w:rsidR="00B02873" w:rsidRPr="003C073E" w:rsidRDefault="00B02873" w:rsidP="003C073E">
            <w:pPr>
              <w:pStyle w:val="TableheadingleftFinancialsTables"/>
              <w:rPr>
                <w:rFonts w:asciiTheme="minorHAnsi" w:hAnsiTheme="minorHAnsi" w:cstheme="minorHAnsi"/>
                <w:sz w:val="18"/>
                <w:szCs w:val="14"/>
              </w:rPr>
            </w:pPr>
          </w:p>
        </w:tc>
        <w:tc>
          <w:tcPr>
            <w:tcW w:w="1244" w:type="dxa"/>
          </w:tcPr>
          <w:p w14:paraId="2A241B94" w14:textId="77CBAB3D" w:rsidR="00B02873" w:rsidRPr="007845E8" w:rsidRDefault="003C073E" w:rsidP="003C073E">
            <w:pPr>
              <w:pStyle w:val="TableheadingleftFinancialsTables"/>
              <w:jc w:val="right"/>
              <w:rPr>
                <w:rFonts w:asciiTheme="minorHAnsi" w:hAnsiTheme="minorHAnsi" w:cstheme="minorHAnsi"/>
                <w:sz w:val="18"/>
                <w:szCs w:val="14"/>
              </w:rPr>
            </w:pPr>
            <w:r w:rsidRPr="007845E8">
              <w:rPr>
                <w:rFonts w:asciiTheme="minorHAnsi" w:hAnsiTheme="minorHAnsi" w:cstheme="minorHAnsi"/>
                <w:sz w:val="18"/>
                <w:szCs w:val="14"/>
              </w:rPr>
              <w:t xml:space="preserve">Planning, Building and Heritage </w:t>
            </w:r>
            <w:r w:rsidR="00B02873" w:rsidRPr="007845E8">
              <w:rPr>
                <w:rFonts w:asciiTheme="minorHAnsi" w:hAnsiTheme="minorHAnsi" w:cstheme="minorHAnsi"/>
                <w:sz w:val="18"/>
                <w:szCs w:val="14"/>
              </w:rPr>
              <w:t>2022</w:t>
            </w:r>
            <w:r w:rsidR="00B02873" w:rsidRPr="007845E8">
              <w:rPr>
                <w:rFonts w:asciiTheme="minorHAnsi" w:hAnsiTheme="minorHAnsi" w:cstheme="minorHAnsi"/>
                <w:sz w:val="18"/>
                <w:szCs w:val="14"/>
              </w:rPr>
              <w:br/>
              <w:t>$’000</w:t>
            </w:r>
          </w:p>
        </w:tc>
        <w:tc>
          <w:tcPr>
            <w:tcW w:w="1259" w:type="dxa"/>
          </w:tcPr>
          <w:p w14:paraId="4642C0A7" w14:textId="24A1FC2B" w:rsidR="00B02873" w:rsidRPr="003C073E" w:rsidRDefault="003C073E" w:rsidP="003C073E">
            <w:pPr>
              <w:pStyle w:val="TableheadingleftFinancialsTables"/>
              <w:jc w:val="right"/>
              <w:rPr>
                <w:rFonts w:asciiTheme="minorHAnsi" w:hAnsiTheme="minorHAnsi" w:cstheme="minorHAnsi"/>
                <w:sz w:val="18"/>
                <w:szCs w:val="14"/>
              </w:rPr>
            </w:pPr>
            <w:r w:rsidRPr="003C073E">
              <w:rPr>
                <w:rFonts w:asciiTheme="minorHAnsi" w:hAnsiTheme="minorHAnsi" w:cstheme="minorHAnsi"/>
                <w:sz w:val="18"/>
                <w:szCs w:val="14"/>
              </w:rPr>
              <w:t xml:space="preserve">Planning, Building and Heritage </w:t>
            </w:r>
            <w:r w:rsidR="00B02873" w:rsidRPr="003C073E">
              <w:rPr>
                <w:rFonts w:asciiTheme="minorHAnsi" w:hAnsiTheme="minorHAnsi" w:cstheme="minorHAnsi"/>
                <w:sz w:val="18"/>
                <w:szCs w:val="14"/>
              </w:rPr>
              <w:t xml:space="preserve">2021 </w:t>
            </w:r>
            <w:r w:rsidR="00B02873" w:rsidRPr="003C073E">
              <w:rPr>
                <w:rFonts w:asciiTheme="minorHAnsi" w:hAnsiTheme="minorHAnsi" w:cstheme="minorHAnsi"/>
                <w:sz w:val="18"/>
                <w:szCs w:val="14"/>
              </w:rPr>
              <w:br/>
              <w:t>$’000</w:t>
            </w:r>
          </w:p>
        </w:tc>
        <w:tc>
          <w:tcPr>
            <w:tcW w:w="1236" w:type="dxa"/>
          </w:tcPr>
          <w:p w14:paraId="09E58FE0" w14:textId="02D0FBB4" w:rsidR="00B02873" w:rsidRPr="007845E8" w:rsidRDefault="003C073E" w:rsidP="003C073E">
            <w:pPr>
              <w:pStyle w:val="TableheadingleftFinancialsTables"/>
              <w:jc w:val="right"/>
              <w:rPr>
                <w:rFonts w:asciiTheme="minorHAnsi" w:hAnsiTheme="minorHAnsi" w:cstheme="minorHAnsi"/>
                <w:sz w:val="18"/>
                <w:szCs w:val="14"/>
              </w:rPr>
            </w:pPr>
            <w:r w:rsidRPr="007845E8">
              <w:rPr>
                <w:rFonts w:asciiTheme="minorHAnsi" w:hAnsiTheme="minorHAnsi" w:cstheme="minorHAnsi"/>
                <w:sz w:val="18"/>
                <w:szCs w:val="14"/>
              </w:rPr>
              <w:t xml:space="preserve">Environment and Biodiversity </w:t>
            </w:r>
            <w:r w:rsidR="00B02873" w:rsidRPr="007845E8">
              <w:rPr>
                <w:rFonts w:asciiTheme="minorHAnsi" w:hAnsiTheme="minorHAnsi" w:cstheme="minorHAnsi"/>
                <w:sz w:val="18"/>
                <w:szCs w:val="14"/>
              </w:rPr>
              <w:t>2022</w:t>
            </w:r>
            <w:r w:rsidR="00B02873" w:rsidRPr="007845E8">
              <w:rPr>
                <w:rFonts w:asciiTheme="minorHAnsi" w:hAnsiTheme="minorHAnsi" w:cstheme="minorHAnsi"/>
                <w:sz w:val="18"/>
                <w:szCs w:val="14"/>
              </w:rPr>
              <w:br/>
              <w:t>$’000</w:t>
            </w:r>
          </w:p>
        </w:tc>
        <w:tc>
          <w:tcPr>
            <w:tcW w:w="1246" w:type="dxa"/>
          </w:tcPr>
          <w:p w14:paraId="46CD499C" w14:textId="0A1745FB" w:rsidR="00B02873" w:rsidRPr="003C073E" w:rsidRDefault="003C073E" w:rsidP="003C073E">
            <w:pPr>
              <w:pStyle w:val="TableheadingleftFinancialsTables"/>
              <w:jc w:val="right"/>
              <w:rPr>
                <w:rFonts w:asciiTheme="minorHAnsi" w:hAnsiTheme="minorHAnsi" w:cstheme="minorHAnsi"/>
                <w:sz w:val="18"/>
                <w:szCs w:val="14"/>
              </w:rPr>
            </w:pPr>
            <w:r w:rsidRPr="003C073E">
              <w:rPr>
                <w:rFonts w:asciiTheme="minorHAnsi" w:hAnsiTheme="minorHAnsi" w:cstheme="minorHAnsi"/>
                <w:sz w:val="18"/>
                <w:szCs w:val="14"/>
              </w:rPr>
              <w:t xml:space="preserve">Environment and Biodiversity </w:t>
            </w:r>
            <w:r w:rsidR="00B02873" w:rsidRPr="003C073E">
              <w:rPr>
                <w:rFonts w:asciiTheme="minorHAnsi" w:hAnsiTheme="minorHAnsi" w:cstheme="minorHAnsi"/>
                <w:sz w:val="18"/>
                <w:szCs w:val="14"/>
              </w:rPr>
              <w:t xml:space="preserve">2021 </w:t>
            </w:r>
            <w:r w:rsidR="00B02873" w:rsidRPr="003C073E">
              <w:rPr>
                <w:rFonts w:asciiTheme="minorHAnsi" w:hAnsiTheme="minorHAnsi" w:cstheme="minorHAnsi"/>
                <w:sz w:val="18"/>
                <w:szCs w:val="14"/>
              </w:rPr>
              <w:br/>
              <w:t>$’000</w:t>
            </w:r>
          </w:p>
        </w:tc>
        <w:tc>
          <w:tcPr>
            <w:tcW w:w="1070" w:type="dxa"/>
          </w:tcPr>
          <w:p w14:paraId="4C8DB937" w14:textId="6AD81BB6" w:rsidR="00B02873" w:rsidRPr="007845E8" w:rsidRDefault="003C073E" w:rsidP="003C073E">
            <w:pPr>
              <w:pStyle w:val="TableheadingleftFinancialsTables"/>
              <w:jc w:val="right"/>
              <w:rPr>
                <w:rFonts w:asciiTheme="minorHAnsi" w:hAnsiTheme="minorHAnsi" w:cstheme="minorHAnsi"/>
                <w:sz w:val="18"/>
                <w:szCs w:val="14"/>
              </w:rPr>
            </w:pPr>
            <w:r w:rsidRPr="007845E8">
              <w:rPr>
                <w:rFonts w:asciiTheme="minorHAnsi" w:hAnsiTheme="minorHAnsi" w:cstheme="minorHAnsi"/>
                <w:sz w:val="18"/>
                <w:szCs w:val="14"/>
              </w:rPr>
              <w:t xml:space="preserve">Land Use Victoria </w:t>
            </w:r>
            <w:r w:rsidR="00B02873" w:rsidRPr="007845E8">
              <w:rPr>
                <w:rFonts w:asciiTheme="minorHAnsi" w:hAnsiTheme="minorHAnsi" w:cstheme="minorHAnsi"/>
                <w:sz w:val="18"/>
                <w:szCs w:val="14"/>
              </w:rPr>
              <w:t>2022</w:t>
            </w:r>
            <w:r w:rsidR="00B02873" w:rsidRPr="007845E8">
              <w:rPr>
                <w:rFonts w:asciiTheme="minorHAnsi" w:hAnsiTheme="minorHAnsi" w:cstheme="minorHAnsi"/>
                <w:sz w:val="18"/>
                <w:szCs w:val="14"/>
              </w:rPr>
              <w:br/>
              <w:t>$’000</w:t>
            </w:r>
          </w:p>
        </w:tc>
        <w:tc>
          <w:tcPr>
            <w:tcW w:w="1064" w:type="dxa"/>
          </w:tcPr>
          <w:p w14:paraId="7407611F" w14:textId="4EFF0675" w:rsidR="00B02873" w:rsidRPr="003C073E" w:rsidRDefault="003C073E" w:rsidP="003C073E">
            <w:pPr>
              <w:pStyle w:val="TableheadingleftFinancialsTables"/>
              <w:jc w:val="right"/>
              <w:rPr>
                <w:rFonts w:asciiTheme="minorHAnsi" w:hAnsiTheme="minorHAnsi" w:cstheme="minorHAnsi"/>
                <w:sz w:val="18"/>
                <w:szCs w:val="14"/>
              </w:rPr>
            </w:pPr>
            <w:r w:rsidRPr="003C073E">
              <w:rPr>
                <w:rFonts w:asciiTheme="minorHAnsi" w:hAnsiTheme="minorHAnsi" w:cstheme="minorHAnsi"/>
                <w:sz w:val="18"/>
                <w:szCs w:val="14"/>
              </w:rPr>
              <w:t xml:space="preserve">Land Use Victoria </w:t>
            </w:r>
            <w:r w:rsidR="00B02873" w:rsidRPr="003C073E">
              <w:rPr>
                <w:rFonts w:asciiTheme="minorHAnsi" w:hAnsiTheme="minorHAnsi" w:cstheme="minorHAnsi"/>
                <w:sz w:val="18"/>
                <w:szCs w:val="14"/>
              </w:rPr>
              <w:t xml:space="preserve">2021 </w:t>
            </w:r>
            <w:r w:rsidR="00B02873" w:rsidRPr="003C073E">
              <w:rPr>
                <w:rFonts w:asciiTheme="minorHAnsi" w:hAnsiTheme="minorHAnsi" w:cstheme="minorHAnsi"/>
                <w:sz w:val="18"/>
                <w:szCs w:val="14"/>
              </w:rPr>
              <w:br/>
              <w:t>$’000</w:t>
            </w:r>
          </w:p>
        </w:tc>
      </w:tr>
      <w:tr w:rsidR="00B02873" w:rsidRPr="003C073E" w14:paraId="227BDC03" w14:textId="77777777" w:rsidTr="007845E8">
        <w:tc>
          <w:tcPr>
            <w:tcW w:w="2830" w:type="dxa"/>
          </w:tcPr>
          <w:p w14:paraId="7A7F0033" w14:textId="77777777" w:rsidR="00B02873" w:rsidRPr="003C073E" w:rsidRDefault="00B02873" w:rsidP="003C073E">
            <w:pPr>
              <w:pStyle w:val="TablebodyleftFinancialsTables"/>
              <w:rPr>
                <w:rFonts w:asciiTheme="minorHAnsi" w:hAnsiTheme="minorHAnsi" w:cstheme="minorHAnsi"/>
                <w:b/>
                <w:bCs/>
                <w:sz w:val="18"/>
                <w:szCs w:val="14"/>
              </w:rPr>
            </w:pPr>
            <w:r w:rsidRPr="003C073E">
              <w:rPr>
                <w:rFonts w:asciiTheme="minorHAnsi" w:hAnsiTheme="minorHAnsi" w:cstheme="minorHAnsi"/>
                <w:b/>
                <w:bCs/>
                <w:sz w:val="18"/>
                <w:szCs w:val="14"/>
              </w:rPr>
              <w:t>Administered financial assets</w:t>
            </w:r>
          </w:p>
        </w:tc>
        <w:tc>
          <w:tcPr>
            <w:tcW w:w="1244" w:type="dxa"/>
          </w:tcPr>
          <w:p w14:paraId="75379285" w14:textId="77777777" w:rsidR="00B02873" w:rsidRPr="007845E8" w:rsidRDefault="00B02873" w:rsidP="003C073E">
            <w:pPr>
              <w:pStyle w:val="TablebodyleftFinancialsTables"/>
              <w:jc w:val="right"/>
              <w:rPr>
                <w:rFonts w:asciiTheme="minorHAnsi" w:hAnsiTheme="minorHAnsi" w:cstheme="minorHAnsi"/>
                <w:b/>
                <w:bCs/>
                <w:sz w:val="18"/>
                <w:szCs w:val="14"/>
              </w:rPr>
            </w:pPr>
          </w:p>
        </w:tc>
        <w:tc>
          <w:tcPr>
            <w:tcW w:w="1259" w:type="dxa"/>
          </w:tcPr>
          <w:p w14:paraId="6FFCEB07" w14:textId="77777777" w:rsidR="00B02873" w:rsidRPr="003C073E" w:rsidRDefault="00B02873" w:rsidP="003C073E">
            <w:pPr>
              <w:pStyle w:val="TablebodyleftFinancialsTables"/>
              <w:jc w:val="right"/>
              <w:rPr>
                <w:rFonts w:asciiTheme="minorHAnsi" w:hAnsiTheme="minorHAnsi" w:cstheme="minorHAnsi"/>
                <w:sz w:val="18"/>
                <w:szCs w:val="14"/>
              </w:rPr>
            </w:pPr>
          </w:p>
        </w:tc>
        <w:tc>
          <w:tcPr>
            <w:tcW w:w="1236" w:type="dxa"/>
          </w:tcPr>
          <w:p w14:paraId="54D16F57" w14:textId="77777777" w:rsidR="00B02873" w:rsidRPr="007845E8" w:rsidRDefault="00B02873" w:rsidP="003C073E">
            <w:pPr>
              <w:pStyle w:val="TablebodyleftFinancialsTables"/>
              <w:jc w:val="right"/>
              <w:rPr>
                <w:rFonts w:asciiTheme="minorHAnsi" w:hAnsiTheme="minorHAnsi" w:cstheme="minorHAnsi"/>
                <w:b/>
                <w:bCs/>
                <w:sz w:val="18"/>
                <w:szCs w:val="14"/>
              </w:rPr>
            </w:pPr>
          </w:p>
        </w:tc>
        <w:tc>
          <w:tcPr>
            <w:tcW w:w="1246" w:type="dxa"/>
          </w:tcPr>
          <w:p w14:paraId="01A949EE" w14:textId="77777777" w:rsidR="00B02873" w:rsidRPr="003C073E" w:rsidRDefault="00B02873" w:rsidP="003C073E">
            <w:pPr>
              <w:pStyle w:val="TablebodyleftFinancialsTables"/>
              <w:jc w:val="right"/>
              <w:rPr>
                <w:rFonts w:asciiTheme="minorHAnsi" w:hAnsiTheme="minorHAnsi" w:cstheme="minorHAnsi"/>
                <w:sz w:val="18"/>
                <w:szCs w:val="14"/>
              </w:rPr>
            </w:pPr>
          </w:p>
        </w:tc>
        <w:tc>
          <w:tcPr>
            <w:tcW w:w="1070" w:type="dxa"/>
          </w:tcPr>
          <w:p w14:paraId="5685E376" w14:textId="77777777" w:rsidR="00B02873" w:rsidRPr="007845E8" w:rsidRDefault="00B02873" w:rsidP="003C073E">
            <w:pPr>
              <w:pStyle w:val="TablebodyleftFinancialsTables"/>
              <w:jc w:val="right"/>
              <w:rPr>
                <w:rFonts w:asciiTheme="minorHAnsi" w:hAnsiTheme="minorHAnsi" w:cstheme="minorHAnsi"/>
                <w:b/>
                <w:bCs/>
                <w:sz w:val="18"/>
                <w:szCs w:val="14"/>
              </w:rPr>
            </w:pPr>
          </w:p>
        </w:tc>
        <w:tc>
          <w:tcPr>
            <w:tcW w:w="1064" w:type="dxa"/>
          </w:tcPr>
          <w:p w14:paraId="697401F4" w14:textId="77777777" w:rsidR="00B02873" w:rsidRPr="003C073E" w:rsidRDefault="00B02873" w:rsidP="003C073E">
            <w:pPr>
              <w:pStyle w:val="TablebodyleftFinancialsTables"/>
              <w:jc w:val="right"/>
              <w:rPr>
                <w:rFonts w:asciiTheme="minorHAnsi" w:hAnsiTheme="minorHAnsi" w:cstheme="minorHAnsi"/>
                <w:sz w:val="18"/>
                <w:szCs w:val="14"/>
              </w:rPr>
            </w:pPr>
          </w:p>
        </w:tc>
      </w:tr>
      <w:tr w:rsidR="00B02873" w:rsidRPr="003C073E" w14:paraId="63B045A9" w14:textId="77777777" w:rsidTr="007845E8">
        <w:tc>
          <w:tcPr>
            <w:tcW w:w="2830" w:type="dxa"/>
          </w:tcPr>
          <w:p w14:paraId="04B427ED" w14:textId="77777777" w:rsidR="00B02873" w:rsidRPr="003C073E" w:rsidRDefault="00B02873" w:rsidP="003C073E">
            <w:pPr>
              <w:pStyle w:val="TablebodyleftFinancialsTables"/>
              <w:rPr>
                <w:rFonts w:asciiTheme="minorHAnsi" w:hAnsiTheme="minorHAnsi" w:cstheme="minorHAnsi"/>
                <w:sz w:val="18"/>
                <w:szCs w:val="14"/>
              </w:rPr>
            </w:pPr>
            <w:r w:rsidRPr="003C073E">
              <w:rPr>
                <w:rFonts w:asciiTheme="minorHAnsi" w:hAnsiTheme="minorHAnsi" w:cstheme="minorHAnsi"/>
                <w:sz w:val="18"/>
                <w:szCs w:val="14"/>
              </w:rPr>
              <w:t>Cash</w:t>
            </w:r>
          </w:p>
        </w:tc>
        <w:tc>
          <w:tcPr>
            <w:tcW w:w="1244" w:type="dxa"/>
          </w:tcPr>
          <w:p w14:paraId="0E6C517E" w14:textId="28A79FA1" w:rsidR="00B02873" w:rsidRPr="007845E8" w:rsidRDefault="00B02873" w:rsidP="003C073E">
            <w:pPr>
              <w:pStyle w:val="TablebodyleftFinancialsTables"/>
              <w:jc w:val="right"/>
              <w:rPr>
                <w:rFonts w:asciiTheme="minorHAnsi" w:hAnsiTheme="minorHAnsi" w:cstheme="minorHAnsi"/>
                <w:b/>
                <w:bCs/>
                <w:sz w:val="18"/>
                <w:szCs w:val="14"/>
              </w:rPr>
            </w:pPr>
            <w:r w:rsidRPr="007845E8">
              <w:rPr>
                <w:rFonts w:asciiTheme="minorHAnsi" w:hAnsiTheme="minorHAnsi" w:cstheme="minorHAnsi"/>
                <w:b/>
                <w:bCs/>
                <w:sz w:val="18"/>
                <w:szCs w:val="14"/>
              </w:rPr>
              <w:t>98</w:t>
            </w:r>
          </w:p>
        </w:tc>
        <w:tc>
          <w:tcPr>
            <w:tcW w:w="1259" w:type="dxa"/>
          </w:tcPr>
          <w:p w14:paraId="6C7F108F" w14:textId="5055E541" w:rsidR="00B02873" w:rsidRPr="003C073E" w:rsidRDefault="00012C04" w:rsidP="003C073E">
            <w:pPr>
              <w:pStyle w:val="TablebodyleftFinancialsTables"/>
              <w:jc w:val="right"/>
              <w:rPr>
                <w:rFonts w:asciiTheme="minorHAnsi" w:hAnsiTheme="minorHAnsi" w:cstheme="minorHAnsi"/>
                <w:sz w:val="18"/>
                <w:szCs w:val="14"/>
              </w:rPr>
            </w:pPr>
            <w:r w:rsidRPr="003C073E">
              <w:rPr>
                <w:rFonts w:asciiTheme="minorHAnsi" w:hAnsiTheme="minorHAnsi" w:cstheme="minorHAnsi"/>
                <w:sz w:val="18"/>
                <w:szCs w:val="14"/>
              </w:rPr>
              <w:t xml:space="preserve"> </w:t>
            </w:r>
            <w:r w:rsidR="00B02873" w:rsidRPr="003C073E">
              <w:rPr>
                <w:rFonts w:asciiTheme="minorHAnsi" w:hAnsiTheme="minorHAnsi" w:cstheme="minorHAnsi"/>
                <w:sz w:val="18"/>
                <w:szCs w:val="14"/>
              </w:rPr>
              <w:t>150</w:t>
            </w:r>
          </w:p>
        </w:tc>
        <w:tc>
          <w:tcPr>
            <w:tcW w:w="1236" w:type="dxa"/>
          </w:tcPr>
          <w:p w14:paraId="61AB2A38" w14:textId="77777777" w:rsidR="00B02873" w:rsidRPr="007845E8" w:rsidRDefault="00B02873" w:rsidP="003C073E">
            <w:pPr>
              <w:pStyle w:val="TablebodyleftFinancialsTables"/>
              <w:jc w:val="right"/>
              <w:rPr>
                <w:rFonts w:asciiTheme="minorHAnsi" w:hAnsiTheme="minorHAnsi" w:cstheme="minorHAnsi"/>
                <w:b/>
                <w:bCs/>
                <w:sz w:val="18"/>
                <w:szCs w:val="14"/>
              </w:rPr>
            </w:pPr>
            <w:r w:rsidRPr="007845E8">
              <w:rPr>
                <w:rFonts w:asciiTheme="minorHAnsi" w:hAnsiTheme="minorHAnsi" w:cstheme="minorHAnsi"/>
                <w:b/>
                <w:bCs/>
                <w:sz w:val="18"/>
                <w:szCs w:val="14"/>
              </w:rPr>
              <w:t>121</w:t>
            </w:r>
          </w:p>
        </w:tc>
        <w:tc>
          <w:tcPr>
            <w:tcW w:w="1246" w:type="dxa"/>
          </w:tcPr>
          <w:p w14:paraId="7E7F9250" w14:textId="77777777" w:rsidR="00B02873" w:rsidRPr="003C073E" w:rsidRDefault="00B02873" w:rsidP="003C073E">
            <w:pPr>
              <w:pStyle w:val="TablebodyleftFinancialsTables"/>
              <w:jc w:val="right"/>
              <w:rPr>
                <w:rFonts w:asciiTheme="minorHAnsi" w:hAnsiTheme="minorHAnsi" w:cstheme="minorHAnsi"/>
                <w:sz w:val="18"/>
                <w:szCs w:val="14"/>
              </w:rPr>
            </w:pPr>
            <w:r w:rsidRPr="003C073E">
              <w:rPr>
                <w:rFonts w:asciiTheme="minorHAnsi" w:hAnsiTheme="minorHAnsi" w:cstheme="minorHAnsi"/>
                <w:sz w:val="18"/>
                <w:szCs w:val="14"/>
              </w:rPr>
              <w:t>109</w:t>
            </w:r>
          </w:p>
        </w:tc>
        <w:tc>
          <w:tcPr>
            <w:tcW w:w="1070" w:type="dxa"/>
          </w:tcPr>
          <w:p w14:paraId="7F1CFD72" w14:textId="77777777" w:rsidR="00B02873" w:rsidRPr="007845E8" w:rsidRDefault="00B02873" w:rsidP="003C073E">
            <w:pPr>
              <w:pStyle w:val="TablebodyleftFinancialsTables"/>
              <w:jc w:val="right"/>
              <w:rPr>
                <w:rFonts w:asciiTheme="minorHAnsi" w:hAnsiTheme="minorHAnsi" w:cstheme="minorHAnsi"/>
                <w:b/>
                <w:bCs/>
                <w:sz w:val="18"/>
                <w:szCs w:val="14"/>
              </w:rPr>
            </w:pPr>
            <w:r w:rsidRPr="007845E8">
              <w:rPr>
                <w:rFonts w:asciiTheme="minorHAnsi" w:hAnsiTheme="minorHAnsi" w:cstheme="minorHAnsi"/>
                <w:b/>
                <w:bCs/>
                <w:sz w:val="18"/>
                <w:szCs w:val="14"/>
              </w:rPr>
              <w:t>61,758</w:t>
            </w:r>
          </w:p>
        </w:tc>
        <w:tc>
          <w:tcPr>
            <w:tcW w:w="1064" w:type="dxa"/>
          </w:tcPr>
          <w:p w14:paraId="1633FE52" w14:textId="77777777" w:rsidR="00B02873" w:rsidRPr="003C073E" w:rsidRDefault="00B02873" w:rsidP="003C073E">
            <w:pPr>
              <w:pStyle w:val="TablebodyleftFinancialsTables"/>
              <w:jc w:val="right"/>
              <w:rPr>
                <w:rFonts w:asciiTheme="minorHAnsi" w:hAnsiTheme="minorHAnsi" w:cstheme="minorHAnsi"/>
                <w:sz w:val="18"/>
                <w:szCs w:val="14"/>
              </w:rPr>
            </w:pPr>
            <w:r w:rsidRPr="003C073E">
              <w:rPr>
                <w:rFonts w:asciiTheme="minorHAnsi" w:hAnsiTheme="minorHAnsi" w:cstheme="minorHAnsi"/>
                <w:sz w:val="18"/>
                <w:szCs w:val="14"/>
              </w:rPr>
              <w:t>4,982</w:t>
            </w:r>
          </w:p>
        </w:tc>
      </w:tr>
      <w:tr w:rsidR="00B02873" w:rsidRPr="003C073E" w14:paraId="4B4D6EA0" w14:textId="77777777" w:rsidTr="007845E8">
        <w:tc>
          <w:tcPr>
            <w:tcW w:w="2830" w:type="dxa"/>
          </w:tcPr>
          <w:p w14:paraId="7C6D553C" w14:textId="77777777" w:rsidR="00B02873" w:rsidRPr="003C073E" w:rsidRDefault="00B02873" w:rsidP="003C073E">
            <w:pPr>
              <w:pStyle w:val="TablebodyleftFinancialsTables"/>
              <w:rPr>
                <w:rFonts w:asciiTheme="minorHAnsi" w:hAnsiTheme="minorHAnsi" w:cstheme="minorHAnsi"/>
                <w:sz w:val="18"/>
                <w:szCs w:val="14"/>
              </w:rPr>
            </w:pPr>
            <w:r w:rsidRPr="003C073E">
              <w:rPr>
                <w:rFonts w:asciiTheme="minorHAnsi" w:hAnsiTheme="minorHAnsi" w:cstheme="minorHAnsi"/>
                <w:sz w:val="18"/>
                <w:szCs w:val="14"/>
              </w:rPr>
              <w:t>Receivables</w:t>
            </w:r>
          </w:p>
        </w:tc>
        <w:tc>
          <w:tcPr>
            <w:tcW w:w="1244" w:type="dxa"/>
          </w:tcPr>
          <w:p w14:paraId="096BCDC5" w14:textId="77777777" w:rsidR="00B02873" w:rsidRPr="007845E8" w:rsidRDefault="00B02873" w:rsidP="003C073E">
            <w:pPr>
              <w:pStyle w:val="TablebodyleftFinancialsTables"/>
              <w:jc w:val="right"/>
              <w:rPr>
                <w:rFonts w:asciiTheme="minorHAnsi" w:hAnsiTheme="minorHAnsi" w:cstheme="minorHAnsi"/>
                <w:b/>
                <w:bCs/>
                <w:sz w:val="18"/>
                <w:szCs w:val="14"/>
              </w:rPr>
            </w:pPr>
            <w:r w:rsidRPr="007845E8">
              <w:rPr>
                <w:rFonts w:asciiTheme="minorHAnsi" w:hAnsiTheme="minorHAnsi" w:cstheme="minorHAnsi"/>
                <w:b/>
                <w:bCs/>
                <w:sz w:val="18"/>
                <w:szCs w:val="14"/>
              </w:rPr>
              <w:t>13,366</w:t>
            </w:r>
          </w:p>
        </w:tc>
        <w:tc>
          <w:tcPr>
            <w:tcW w:w="1259" w:type="dxa"/>
          </w:tcPr>
          <w:p w14:paraId="07C1B27F" w14:textId="77777777" w:rsidR="00B02873" w:rsidRPr="003C073E" w:rsidRDefault="00B02873" w:rsidP="003C073E">
            <w:pPr>
              <w:pStyle w:val="TablebodyleftFinancialsTables"/>
              <w:jc w:val="right"/>
              <w:rPr>
                <w:rFonts w:asciiTheme="minorHAnsi" w:hAnsiTheme="minorHAnsi" w:cstheme="minorHAnsi"/>
                <w:sz w:val="18"/>
                <w:szCs w:val="14"/>
              </w:rPr>
            </w:pPr>
            <w:r w:rsidRPr="003C073E">
              <w:rPr>
                <w:rFonts w:asciiTheme="minorHAnsi" w:hAnsiTheme="minorHAnsi" w:cstheme="minorHAnsi"/>
                <w:sz w:val="18"/>
                <w:szCs w:val="14"/>
              </w:rPr>
              <w:t>5,149</w:t>
            </w:r>
          </w:p>
        </w:tc>
        <w:tc>
          <w:tcPr>
            <w:tcW w:w="1236" w:type="dxa"/>
          </w:tcPr>
          <w:p w14:paraId="2CE960E5" w14:textId="77777777" w:rsidR="00B02873" w:rsidRPr="007845E8" w:rsidRDefault="00B02873" w:rsidP="003C073E">
            <w:pPr>
              <w:pStyle w:val="TablebodyleftFinancialsTables"/>
              <w:jc w:val="right"/>
              <w:rPr>
                <w:rFonts w:asciiTheme="minorHAnsi" w:hAnsiTheme="minorHAnsi" w:cstheme="minorHAnsi"/>
                <w:b/>
                <w:bCs/>
                <w:sz w:val="18"/>
                <w:szCs w:val="14"/>
              </w:rPr>
            </w:pPr>
            <w:r w:rsidRPr="007845E8">
              <w:rPr>
                <w:rFonts w:asciiTheme="minorHAnsi" w:hAnsiTheme="minorHAnsi" w:cstheme="minorHAnsi"/>
                <w:b/>
                <w:bCs/>
                <w:sz w:val="18"/>
                <w:szCs w:val="14"/>
              </w:rPr>
              <w:t>6,930</w:t>
            </w:r>
          </w:p>
        </w:tc>
        <w:tc>
          <w:tcPr>
            <w:tcW w:w="1246" w:type="dxa"/>
          </w:tcPr>
          <w:p w14:paraId="1036F1DC" w14:textId="77777777" w:rsidR="00B02873" w:rsidRPr="003C073E" w:rsidRDefault="00B02873" w:rsidP="003C073E">
            <w:pPr>
              <w:pStyle w:val="TablebodyleftFinancialsTables"/>
              <w:jc w:val="right"/>
              <w:rPr>
                <w:rFonts w:asciiTheme="minorHAnsi" w:hAnsiTheme="minorHAnsi" w:cstheme="minorHAnsi"/>
                <w:sz w:val="18"/>
                <w:szCs w:val="14"/>
              </w:rPr>
            </w:pPr>
            <w:r w:rsidRPr="003C073E">
              <w:rPr>
                <w:rFonts w:asciiTheme="minorHAnsi" w:hAnsiTheme="minorHAnsi" w:cstheme="minorHAnsi"/>
                <w:sz w:val="18"/>
                <w:szCs w:val="14"/>
              </w:rPr>
              <w:t>3,745</w:t>
            </w:r>
          </w:p>
        </w:tc>
        <w:tc>
          <w:tcPr>
            <w:tcW w:w="1070" w:type="dxa"/>
          </w:tcPr>
          <w:p w14:paraId="26E92F09" w14:textId="77777777" w:rsidR="00B02873" w:rsidRPr="007845E8" w:rsidRDefault="00B02873" w:rsidP="003C073E">
            <w:pPr>
              <w:pStyle w:val="TablebodyleftFinancialsTables"/>
              <w:jc w:val="right"/>
              <w:rPr>
                <w:rFonts w:asciiTheme="minorHAnsi" w:hAnsiTheme="minorHAnsi" w:cstheme="minorHAnsi"/>
                <w:b/>
                <w:bCs/>
                <w:sz w:val="18"/>
                <w:szCs w:val="14"/>
              </w:rPr>
            </w:pPr>
            <w:r w:rsidRPr="007845E8">
              <w:rPr>
                <w:rFonts w:asciiTheme="minorHAnsi" w:hAnsiTheme="minorHAnsi" w:cstheme="minorHAnsi"/>
                <w:b/>
                <w:bCs/>
                <w:sz w:val="18"/>
                <w:szCs w:val="14"/>
              </w:rPr>
              <w:t>6,616</w:t>
            </w:r>
          </w:p>
        </w:tc>
        <w:tc>
          <w:tcPr>
            <w:tcW w:w="1064" w:type="dxa"/>
          </w:tcPr>
          <w:p w14:paraId="5ABE22E4" w14:textId="77777777" w:rsidR="00B02873" w:rsidRPr="003C073E" w:rsidRDefault="00B02873" w:rsidP="003C073E">
            <w:pPr>
              <w:pStyle w:val="TablebodyleftFinancialsTables"/>
              <w:jc w:val="right"/>
              <w:rPr>
                <w:rFonts w:asciiTheme="minorHAnsi" w:hAnsiTheme="minorHAnsi" w:cstheme="minorHAnsi"/>
                <w:sz w:val="18"/>
                <w:szCs w:val="14"/>
              </w:rPr>
            </w:pPr>
            <w:r w:rsidRPr="003C073E">
              <w:rPr>
                <w:rFonts w:asciiTheme="minorHAnsi" w:hAnsiTheme="minorHAnsi" w:cstheme="minorHAnsi"/>
                <w:sz w:val="18"/>
                <w:szCs w:val="14"/>
              </w:rPr>
              <w:t>13,622</w:t>
            </w:r>
          </w:p>
        </w:tc>
      </w:tr>
      <w:tr w:rsidR="00B02873" w:rsidRPr="003C073E" w14:paraId="7464B89B" w14:textId="77777777" w:rsidTr="007845E8">
        <w:tc>
          <w:tcPr>
            <w:tcW w:w="2830" w:type="dxa"/>
          </w:tcPr>
          <w:p w14:paraId="7499DC3E" w14:textId="77777777" w:rsidR="00B02873" w:rsidRPr="003C073E" w:rsidRDefault="00B02873" w:rsidP="003C073E">
            <w:pPr>
              <w:pStyle w:val="TablebodyleftFinancialsTables"/>
              <w:rPr>
                <w:rFonts w:asciiTheme="minorHAnsi" w:hAnsiTheme="minorHAnsi" w:cstheme="minorHAnsi"/>
                <w:sz w:val="18"/>
                <w:szCs w:val="14"/>
              </w:rPr>
            </w:pPr>
            <w:r w:rsidRPr="003C073E">
              <w:rPr>
                <w:rFonts w:asciiTheme="minorHAnsi" w:hAnsiTheme="minorHAnsi" w:cstheme="minorHAnsi"/>
                <w:spacing w:val="-2"/>
                <w:sz w:val="18"/>
                <w:szCs w:val="14"/>
              </w:rPr>
              <w:t>Contractual receivable from Melbourne Water Corporation (Note 4.2.5)</w:t>
            </w:r>
          </w:p>
        </w:tc>
        <w:tc>
          <w:tcPr>
            <w:tcW w:w="1244" w:type="dxa"/>
          </w:tcPr>
          <w:p w14:paraId="4DA33AD9" w14:textId="77777777" w:rsidR="00B02873" w:rsidRPr="007845E8" w:rsidRDefault="00B02873" w:rsidP="003C073E">
            <w:pPr>
              <w:pStyle w:val="TablebodyleftFinancialsTables"/>
              <w:jc w:val="right"/>
              <w:rPr>
                <w:rFonts w:asciiTheme="minorHAnsi" w:hAnsiTheme="minorHAnsi" w:cstheme="minorHAnsi"/>
                <w:b/>
                <w:bCs/>
                <w:sz w:val="18"/>
                <w:szCs w:val="14"/>
              </w:rPr>
            </w:pPr>
            <w:r w:rsidRPr="007845E8">
              <w:rPr>
                <w:rFonts w:asciiTheme="minorHAnsi" w:hAnsiTheme="minorHAnsi" w:cstheme="minorHAnsi"/>
                <w:b/>
                <w:bCs/>
                <w:sz w:val="18"/>
                <w:szCs w:val="14"/>
              </w:rPr>
              <w:t>–</w:t>
            </w:r>
          </w:p>
        </w:tc>
        <w:tc>
          <w:tcPr>
            <w:tcW w:w="1259" w:type="dxa"/>
          </w:tcPr>
          <w:p w14:paraId="0A156848" w14:textId="77777777" w:rsidR="00B02873" w:rsidRPr="003C073E" w:rsidRDefault="00B02873" w:rsidP="003C073E">
            <w:pPr>
              <w:pStyle w:val="TablebodyleftFinancialsTables"/>
              <w:jc w:val="right"/>
              <w:rPr>
                <w:rFonts w:asciiTheme="minorHAnsi" w:hAnsiTheme="minorHAnsi" w:cstheme="minorHAnsi"/>
                <w:sz w:val="18"/>
                <w:szCs w:val="14"/>
              </w:rPr>
            </w:pPr>
            <w:r w:rsidRPr="003C073E">
              <w:rPr>
                <w:rFonts w:asciiTheme="minorHAnsi" w:hAnsiTheme="minorHAnsi" w:cstheme="minorHAnsi"/>
                <w:sz w:val="18"/>
                <w:szCs w:val="14"/>
              </w:rPr>
              <w:t>–</w:t>
            </w:r>
          </w:p>
        </w:tc>
        <w:tc>
          <w:tcPr>
            <w:tcW w:w="1236" w:type="dxa"/>
          </w:tcPr>
          <w:p w14:paraId="724E56A3" w14:textId="77777777" w:rsidR="00B02873" w:rsidRPr="007845E8" w:rsidRDefault="00B02873" w:rsidP="003C073E">
            <w:pPr>
              <w:pStyle w:val="TablebodyleftFinancialsTables"/>
              <w:jc w:val="right"/>
              <w:rPr>
                <w:rFonts w:asciiTheme="minorHAnsi" w:hAnsiTheme="minorHAnsi" w:cstheme="minorHAnsi"/>
                <w:b/>
                <w:bCs/>
                <w:sz w:val="18"/>
                <w:szCs w:val="14"/>
              </w:rPr>
            </w:pPr>
            <w:r w:rsidRPr="007845E8">
              <w:rPr>
                <w:rFonts w:asciiTheme="minorHAnsi" w:hAnsiTheme="minorHAnsi" w:cstheme="minorHAnsi"/>
                <w:b/>
                <w:bCs/>
                <w:sz w:val="18"/>
                <w:szCs w:val="14"/>
              </w:rPr>
              <w:t>–</w:t>
            </w:r>
          </w:p>
        </w:tc>
        <w:tc>
          <w:tcPr>
            <w:tcW w:w="1246" w:type="dxa"/>
          </w:tcPr>
          <w:p w14:paraId="425EAC2B" w14:textId="77777777" w:rsidR="00B02873" w:rsidRPr="003C073E" w:rsidRDefault="00B02873" w:rsidP="003C073E">
            <w:pPr>
              <w:pStyle w:val="TablebodyleftFinancialsTables"/>
              <w:jc w:val="right"/>
              <w:rPr>
                <w:rFonts w:asciiTheme="minorHAnsi" w:hAnsiTheme="minorHAnsi" w:cstheme="minorHAnsi"/>
                <w:sz w:val="18"/>
                <w:szCs w:val="14"/>
              </w:rPr>
            </w:pPr>
            <w:r w:rsidRPr="003C073E">
              <w:rPr>
                <w:rFonts w:asciiTheme="minorHAnsi" w:hAnsiTheme="minorHAnsi" w:cstheme="minorHAnsi"/>
                <w:sz w:val="18"/>
                <w:szCs w:val="14"/>
              </w:rPr>
              <w:t>–</w:t>
            </w:r>
          </w:p>
        </w:tc>
        <w:tc>
          <w:tcPr>
            <w:tcW w:w="1070" w:type="dxa"/>
          </w:tcPr>
          <w:p w14:paraId="44FFB853" w14:textId="77777777" w:rsidR="00B02873" w:rsidRPr="007845E8" w:rsidRDefault="00B02873" w:rsidP="003C073E">
            <w:pPr>
              <w:pStyle w:val="TablebodyleftFinancialsTables"/>
              <w:jc w:val="right"/>
              <w:rPr>
                <w:rFonts w:asciiTheme="minorHAnsi" w:hAnsiTheme="minorHAnsi" w:cstheme="minorHAnsi"/>
                <w:b/>
                <w:bCs/>
                <w:sz w:val="18"/>
                <w:szCs w:val="14"/>
              </w:rPr>
            </w:pPr>
            <w:r w:rsidRPr="007845E8">
              <w:rPr>
                <w:rFonts w:asciiTheme="minorHAnsi" w:hAnsiTheme="minorHAnsi" w:cstheme="minorHAnsi"/>
                <w:b/>
                <w:bCs/>
                <w:sz w:val="18"/>
                <w:szCs w:val="14"/>
              </w:rPr>
              <w:t>–</w:t>
            </w:r>
          </w:p>
        </w:tc>
        <w:tc>
          <w:tcPr>
            <w:tcW w:w="1064" w:type="dxa"/>
          </w:tcPr>
          <w:p w14:paraId="214F25AA" w14:textId="77777777" w:rsidR="00B02873" w:rsidRPr="003C073E" w:rsidRDefault="00B02873" w:rsidP="003C073E">
            <w:pPr>
              <w:pStyle w:val="TablebodyleftFinancialsTables"/>
              <w:jc w:val="right"/>
              <w:rPr>
                <w:rFonts w:asciiTheme="minorHAnsi" w:hAnsiTheme="minorHAnsi" w:cstheme="minorHAnsi"/>
                <w:sz w:val="18"/>
                <w:szCs w:val="14"/>
              </w:rPr>
            </w:pPr>
            <w:r w:rsidRPr="003C073E">
              <w:rPr>
                <w:rFonts w:asciiTheme="minorHAnsi" w:hAnsiTheme="minorHAnsi" w:cstheme="minorHAnsi"/>
                <w:sz w:val="18"/>
                <w:szCs w:val="14"/>
              </w:rPr>
              <w:t>–</w:t>
            </w:r>
          </w:p>
        </w:tc>
      </w:tr>
      <w:tr w:rsidR="00B02873" w:rsidRPr="003C073E" w14:paraId="46E2B182" w14:textId="77777777" w:rsidTr="007845E8">
        <w:tc>
          <w:tcPr>
            <w:tcW w:w="2830" w:type="dxa"/>
          </w:tcPr>
          <w:p w14:paraId="570B07F2" w14:textId="77777777" w:rsidR="00B02873" w:rsidRPr="007845E8" w:rsidRDefault="00B02873" w:rsidP="003C073E">
            <w:pPr>
              <w:pStyle w:val="TablebodyleftFinancialsTables"/>
              <w:rPr>
                <w:rFonts w:asciiTheme="minorHAnsi" w:hAnsiTheme="minorHAnsi" w:cstheme="minorHAnsi"/>
                <w:b/>
                <w:bCs/>
                <w:sz w:val="18"/>
                <w:szCs w:val="14"/>
              </w:rPr>
            </w:pPr>
            <w:r w:rsidRPr="007845E8">
              <w:rPr>
                <w:rFonts w:asciiTheme="minorHAnsi" w:hAnsiTheme="minorHAnsi" w:cstheme="minorHAnsi"/>
                <w:b/>
                <w:bCs/>
                <w:sz w:val="18"/>
                <w:szCs w:val="14"/>
              </w:rPr>
              <w:t>Total administered financial assets</w:t>
            </w:r>
          </w:p>
        </w:tc>
        <w:tc>
          <w:tcPr>
            <w:tcW w:w="1244" w:type="dxa"/>
          </w:tcPr>
          <w:p w14:paraId="5D3CAFA5" w14:textId="77777777" w:rsidR="00B02873" w:rsidRPr="007845E8" w:rsidRDefault="00B02873" w:rsidP="003C073E">
            <w:pPr>
              <w:pStyle w:val="TablebodyleftFinancialsTables"/>
              <w:jc w:val="right"/>
              <w:rPr>
                <w:rFonts w:asciiTheme="minorHAnsi" w:hAnsiTheme="minorHAnsi" w:cstheme="minorHAnsi"/>
                <w:b/>
                <w:bCs/>
                <w:sz w:val="18"/>
                <w:szCs w:val="14"/>
              </w:rPr>
            </w:pPr>
            <w:r w:rsidRPr="007845E8">
              <w:rPr>
                <w:rFonts w:asciiTheme="minorHAnsi" w:hAnsiTheme="minorHAnsi" w:cstheme="minorHAnsi"/>
                <w:b/>
                <w:bCs/>
                <w:sz w:val="18"/>
                <w:szCs w:val="14"/>
              </w:rPr>
              <w:t>13,464</w:t>
            </w:r>
          </w:p>
        </w:tc>
        <w:tc>
          <w:tcPr>
            <w:tcW w:w="1259" w:type="dxa"/>
          </w:tcPr>
          <w:p w14:paraId="7C2B39E2" w14:textId="77777777" w:rsidR="00B02873" w:rsidRPr="003C073E" w:rsidRDefault="00B02873" w:rsidP="003C073E">
            <w:pPr>
              <w:pStyle w:val="TablebodyleftFinancialsTables"/>
              <w:jc w:val="right"/>
              <w:rPr>
                <w:rFonts w:asciiTheme="minorHAnsi" w:hAnsiTheme="minorHAnsi" w:cstheme="minorHAnsi"/>
                <w:sz w:val="18"/>
                <w:szCs w:val="14"/>
              </w:rPr>
            </w:pPr>
            <w:r w:rsidRPr="003C073E">
              <w:rPr>
                <w:rFonts w:asciiTheme="minorHAnsi" w:hAnsiTheme="minorHAnsi" w:cstheme="minorHAnsi"/>
                <w:sz w:val="18"/>
                <w:szCs w:val="14"/>
              </w:rPr>
              <w:t>5,299</w:t>
            </w:r>
          </w:p>
        </w:tc>
        <w:tc>
          <w:tcPr>
            <w:tcW w:w="1236" w:type="dxa"/>
          </w:tcPr>
          <w:p w14:paraId="2158975A" w14:textId="77777777" w:rsidR="00B02873" w:rsidRPr="007845E8" w:rsidRDefault="00B02873" w:rsidP="003C073E">
            <w:pPr>
              <w:pStyle w:val="TablebodyleftFinancialsTables"/>
              <w:jc w:val="right"/>
              <w:rPr>
                <w:rFonts w:asciiTheme="minorHAnsi" w:hAnsiTheme="minorHAnsi" w:cstheme="minorHAnsi"/>
                <w:b/>
                <w:bCs/>
                <w:sz w:val="18"/>
                <w:szCs w:val="14"/>
              </w:rPr>
            </w:pPr>
            <w:r w:rsidRPr="007845E8">
              <w:rPr>
                <w:rFonts w:asciiTheme="minorHAnsi" w:hAnsiTheme="minorHAnsi" w:cstheme="minorHAnsi"/>
                <w:b/>
                <w:bCs/>
                <w:sz w:val="18"/>
                <w:szCs w:val="14"/>
              </w:rPr>
              <w:t>7,051</w:t>
            </w:r>
          </w:p>
        </w:tc>
        <w:tc>
          <w:tcPr>
            <w:tcW w:w="1246" w:type="dxa"/>
          </w:tcPr>
          <w:p w14:paraId="5EB32219" w14:textId="77777777" w:rsidR="00B02873" w:rsidRPr="003C073E" w:rsidRDefault="00B02873" w:rsidP="003C073E">
            <w:pPr>
              <w:pStyle w:val="TablebodyleftFinancialsTables"/>
              <w:jc w:val="right"/>
              <w:rPr>
                <w:rFonts w:asciiTheme="minorHAnsi" w:hAnsiTheme="minorHAnsi" w:cstheme="minorHAnsi"/>
                <w:sz w:val="18"/>
                <w:szCs w:val="14"/>
              </w:rPr>
            </w:pPr>
            <w:r w:rsidRPr="003C073E">
              <w:rPr>
                <w:rFonts w:asciiTheme="minorHAnsi" w:hAnsiTheme="minorHAnsi" w:cstheme="minorHAnsi"/>
                <w:sz w:val="18"/>
                <w:szCs w:val="14"/>
              </w:rPr>
              <w:t>3,854</w:t>
            </w:r>
          </w:p>
        </w:tc>
        <w:tc>
          <w:tcPr>
            <w:tcW w:w="1070" w:type="dxa"/>
          </w:tcPr>
          <w:p w14:paraId="19300116" w14:textId="77777777" w:rsidR="00B02873" w:rsidRPr="007845E8" w:rsidRDefault="00B02873" w:rsidP="003C073E">
            <w:pPr>
              <w:pStyle w:val="TablebodyleftFinancialsTables"/>
              <w:jc w:val="right"/>
              <w:rPr>
                <w:rFonts w:asciiTheme="minorHAnsi" w:hAnsiTheme="minorHAnsi" w:cstheme="minorHAnsi"/>
                <w:b/>
                <w:bCs/>
                <w:sz w:val="18"/>
                <w:szCs w:val="14"/>
              </w:rPr>
            </w:pPr>
            <w:r w:rsidRPr="007845E8">
              <w:rPr>
                <w:rFonts w:asciiTheme="minorHAnsi" w:hAnsiTheme="minorHAnsi" w:cstheme="minorHAnsi"/>
                <w:b/>
                <w:bCs/>
                <w:sz w:val="18"/>
                <w:szCs w:val="14"/>
              </w:rPr>
              <w:t>68,374</w:t>
            </w:r>
          </w:p>
        </w:tc>
        <w:tc>
          <w:tcPr>
            <w:tcW w:w="1064" w:type="dxa"/>
          </w:tcPr>
          <w:p w14:paraId="61A660F6" w14:textId="77777777" w:rsidR="00B02873" w:rsidRPr="003C073E" w:rsidRDefault="00B02873" w:rsidP="003C073E">
            <w:pPr>
              <w:pStyle w:val="TablebodyleftFinancialsTables"/>
              <w:jc w:val="right"/>
              <w:rPr>
                <w:rFonts w:asciiTheme="minorHAnsi" w:hAnsiTheme="minorHAnsi" w:cstheme="minorHAnsi"/>
                <w:sz w:val="18"/>
                <w:szCs w:val="14"/>
              </w:rPr>
            </w:pPr>
            <w:r w:rsidRPr="003C073E">
              <w:rPr>
                <w:rFonts w:asciiTheme="minorHAnsi" w:hAnsiTheme="minorHAnsi" w:cstheme="minorHAnsi"/>
                <w:sz w:val="18"/>
                <w:szCs w:val="14"/>
              </w:rPr>
              <w:t>18,604</w:t>
            </w:r>
          </w:p>
        </w:tc>
      </w:tr>
      <w:tr w:rsidR="00B02873" w:rsidRPr="003C073E" w14:paraId="08CEEE3B" w14:textId="77777777" w:rsidTr="007845E8">
        <w:tc>
          <w:tcPr>
            <w:tcW w:w="2830" w:type="dxa"/>
          </w:tcPr>
          <w:p w14:paraId="01C09089" w14:textId="77777777" w:rsidR="00B02873" w:rsidRPr="007845E8" w:rsidRDefault="00B02873" w:rsidP="003C073E">
            <w:pPr>
              <w:pStyle w:val="TablebodyleftFinancialsTables"/>
              <w:rPr>
                <w:rFonts w:asciiTheme="minorHAnsi" w:hAnsiTheme="minorHAnsi" w:cstheme="minorHAnsi"/>
                <w:b/>
                <w:bCs/>
                <w:sz w:val="18"/>
                <w:szCs w:val="14"/>
              </w:rPr>
            </w:pPr>
            <w:r w:rsidRPr="007845E8">
              <w:rPr>
                <w:rFonts w:asciiTheme="minorHAnsi" w:hAnsiTheme="minorHAnsi" w:cstheme="minorHAnsi"/>
                <w:b/>
                <w:bCs/>
                <w:sz w:val="18"/>
                <w:szCs w:val="14"/>
              </w:rPr>
              <w:t>Administered non-financial assets</w:t>
            </w:r>
          </w:p>
        </w:tc>
        <w:tc>
          <w:tcPr>
            <w:tcW w:w="1244" w:type="dxa"/>
          </w:tcPr>
          <w:p w14:paraId="5375961C" w14:textId="77777777" w:rsidR="00B02873" w:rsidRPr="007845E8" w:rsidRDefault="00B02873" w:rsidP="003C073E">
            <w:pPr>
              <w:pStyle w:val="TablebodyleftFinancialsTables"/>
              <w:jc w:val="right"/>
              <w:rPr>
                <w:rFonts w:asciiTheme="minorHAnsi" w:hAnsiTheme="minorHAnsi" w:cstheme="minorHAnsi"/>
                <w:b/>
                <w:bCs/>
                <w:sz w:val="18"/>
                <w:szCs w:val="14"/>
              </w:rPr>
            </w:pPr>
          </w:p>
        </w:tc>
        <w:tc>
          <w:tcPr>
            <w:tcW w:w="1259" w:type="dxa"/>
          </w:tcPr>
          <w:p w14:paraId="610C8ECF" w14:textId="77777777" w:rsidR="00B02873" w:rsidRPr="003C073E" w:rsidRDefault="00B02873" w:rsidP="003C073E">
            <w:pPr>
              <w:pStyle w:val="TablebodyleftFinancialsTables"/>
              <w:jc w:val="right"/>
              <w:rPr>
                <w:rFonts w:asciiTheme="minorHAnsi" w:hAnsiTheme="minorHAnsi" w:cstheme="minorHAnsi"/>
                <w:sz w:val="18"/>
                <w:szCs w:val="14"/>
              </w:rPr>
            </w:pPr>
          </w:p>
        </w:tc>
        <w:tc>
          <w:tcPr>
            <w:tcW w:w="1236" w:type="dxa"/>
          </w:tcPr>
          <w:p w14:paraId="39CF757D" w14:textId="77777777" w:rsidR="00B02873" w:rsidRPr="007845E8" w:rsidRDefault="00B02873" w:rsidP="003C073E">
            <w:pPr>
              <w:pStyle w:val="TablebodyleftFinancialsTables"/>
              <w:jc w:val="right"/>
              <w:rPr>
                <w:rFonts w:asciiTheme="minorHAnsi" w:hAnsiTheme="minorHAnsi" w:cstheme="minorHAnsi"/>
                <w:b/>
                <w:bCs/>
                <w:sz w:val="18"/>
                <w:szCs w:val="14"/>
              </w:rPr>
            </w:pPr>
          </w:p>
        </w:tc>
        <w:tc>
          <w:tcPr>
            <w:tcW w:w="1246" w:type="dxa"/>
          </w:tcPr>
          <w:p w14:paraId="66DB1187" w14:textId="77777777" w:rsidR="00B02873" w:rsidRPr="003C073E" w:rsidRDefault="00B02873" w:rsidP="003C073E">
            <w:pPr>
              <w:pStyle w:val="TablebodyleftFinancialsTables"/>
              <w:jc w:val="right"/>
              <w:rPr>
                <w:rFonts w:asciiTheme="minorHAnsi" w:hAnsiTheme="minorHAnsi" w:cstheme="minorHAnsi"/>
                <w:sz w:val="18"/>
                <w:szCs w:val="14"/>
              </w:rPr>
            </w:pPr>
          </w:p>
        </w:tc>
        <w:tc>
          <w:tcPr>
            <w:tcW w:w="1070" w:type="dxa"/>
          </w:tcPr>
          <w:p w14:paraId="7D3C4F11" w14:textId="77777777" w:rsidR="00B02873" w:rsidRPr="007845E8" w:rsidRDefault="00B02873" w:rsidP="003C073E">
            <w:pPr>
              <w:pStyle w:val="TablebodyleftFinancialsTables"/>
              <w:jc w:val="right"/>
              <w:rPr>
                <w:rFonts w:asciiTheme="minorHAnsi" w:hAnsiTheme="minorHAnsi" w:cstheme="minorHAnsi"/>
                <w:b/>
                <w:bCs/>
                <w:sz w:val="18"/>
                <w:szCs w:val="14"/>
              </w:rPr>
            </w:pPr>
          </w:p>
        </w:tc>
        <w:tc>
          <w:tcPr>
            <w:tcW w:w="1064" w:type="dxa"/>
          </w:tcPr>
          <w:p w14:paraId="0DB23604" w14:textId="77777777" w:rsidR="00B02873" w:rsidRPr="003C073E" w:rsidRDefault="00B02873" w:rsidP="003C073E">
            <w:pPr>
              <w:pStyle w:val="TablebodyleftFinancialsTables"/>
              <w:jc w:val="right"/>
              <w:rPr>
                <w:rFonts w:asciiTheme="minorHAnsi" w:hAnsiTheme="minorHAnsi" w:cstheme="minorHAnsi"/>
                <w:sz w:val="18"/>
                <w:szCs w:val="14"/>
              </w:rPr>
            </w:pPr>
          </w:p>
        </w:tc>
      </w:tr>
      <w:tr w:rsidR="00B02873" w:rsidRPr="003C073E" w14:paraId="3D1AD335" w14:textId="77777777" w:rsidTr="007845E8">
        <w:tc>
          <w:tcPr>
            <w:tcW w:w="2830" w:type="dxa"/>
          </w:tcPr>
          <w:p w14:paraId="0595F872" w14:textId="77777777" w:rsidR="00B02873" w:rsidRPr="007845E8" w:rsidRDefault="00B02873" w:rsidP="003C073E">
            <w:pPr>
              <w:pStyle w:val="TablebodyleftFinancialsTables"/>
              <w:rPr>
                <w:rFonts w:asciiTheme="minorHAnsi" w:hAnsiTheme="minorHAnsi" w:cstheme="minorHAnsi"/>
                <w:spacing w:val="-4"/>
                <w:sz w:val="18"/>
                <w:szCs w:val="14"/>
              </w:rPr>
            </w:pPr>
            <w:r w:rsidRPr="007845E8">
              <w:rPr>
                <w:rFonts w:asciiTheme="minorHAnsi" w:hAnsiTheme="minorHAnsi" w:cstheme="minorHAnsi"/>
                <w:spacing w:val="-4"/>
                <w:sz w:val="18"/>
                <w:szCs w:val="14"/>
              </w:rPr>
              <w:t>Share of jointly controlled assets (Note 4.2.3)</w:t>
            </w:r>
          </w:p>
        </w:tc>
        <w:tc>
          <w:tcPr>
            <w:tcW w:w="1244" w:type="dxa"/>
          </w:tcPr>
          <w:p w14:paraId="6568EAEE" w14:textId="77777777" w:rsidR="00B02873" w:rsidRPr="007845E8" w:rsidRDefault="00B02873" w:rsidP="003C073E">
            <w:pPr>
              <w:pStyle w:val="TablebodyleftFinancialsTables"/>
              <w:jc w:val="right"/>
              <w:rPr>
                <w:rFonts w:asciiTheme="minorHAnsi" w:hAnsiTheme="minorHAnsi" w:cstheme="minorHAnsi"/>
                <w:b/>
                <w:bCs/>
                <w:sz w:val="18"/>
                <w:szCs w:val="14"/>
              </w:rPr>
            </w:pPr>
            <w:r w:rsidRPr="007845E8">
              <w:rPr>
                <w:rFonts w:asciiTheme="minorHAnsi" w:hAnsiTheme="minorHAnsi" w:cstheme="minorHAnsi"/>
                <w:b/>
                <w:bCs/>
                <w:sz w:val="18"/>
                <w:szCs w:val="14"/>
              </w:rPr>
              <w:t>–</w:t>
            </w:r>
          </w:p>
        </w:tc>
        <w:tc>
          <w:tcPr>
            <w:tcW w:w="1259" w:type="dxa"/>
          </w:tcPr>
          <w:p w14:paraId="05098B2D" w14:textId="77777777" w:rsidR="00B02873" w:rsidRPr="003C073E" w:rsidRDefault="00B02873" w:rsidP="003C073E">
            <w:pPr>
              <w:pStyle w:val="TablebodyleftFinancialsTables"/>
              <w:jc w:val="right"/>
              <w:rPr>
                <w:rFonts w:asciiTheme="minorHAnsi" w:hAnsiTheme="minorHAnsi" w:cstheme="minorHAnsi"/>
                <w:sz w:val="18"/>
                <w:szCs w:val="14"/>
              </w:rPr>
            </w:pPr>
            <w:r w:rsidRPr="003C073E">
              <w:rPr>
                <w:rFonts w:asciiTheme="minorHAnsi" w:hAnsiTheme="minorHAnsi" w:cstheme="minorHAnsi"/>
                <w:sz w:val="18"/>
                <w:szCs w:val="14"/>
              </w:rPr>
              <w:t>–</w:t>
            </w:r>
          </w:p>
        </w:tc>
        <w:tc>
          <w:tcPr>
            <w:tcW w:w="1236" w:type="dxa"/>
          </w:tcPr>
          <w:p w14:paraId="5A2CE13D" w14:textId="77777777" w:rsidR="00B02873" w:rsidRPr="007845E8" w:rsidRDefault="00B02873" w:rsidP="003C073E">
            <w:pPr>
              <w:pStyle w:val="TablebodyleftFinancialsTables"/>
              <w:jc w:val="right"/>
              <w:rPr>
                <w:rFonts w:asciiTheme="minorHAnsi" w:hAnsiTheme="minorHAnsi" w:cstheme="minorHAnsi"/>
                <w:b/>
                <w:bCs/>
                <w:sz w:val="18"/>
                <w:szCs w:val="14"/>
              </w:rPr>
            </w:pPr>
            <w:r w:rsidRPr="007845E8">
              <w:rPr>
                <w:rFonts w:asciiTheme="minorHAnsi" w:hAnsiTheme="minorHAnsi" w:cstheme="minorHAnsi"/>
                <w:b/>
                <w:bCs/>
                <w:sz w:val="18"/>
                <w:szCs w:val="14"/>
              </w:rPr>
              <w:t>–</w:t>
            </w:r>
          </w:p>
        </w:tc>
        <w:tc>
          <w:tcPr>
            <w:tcW w:w="1246" w:type="dxa"/>
          </w:tcPr>
          <w:p w14:paraId="06C9BB3A" w14:textId="77777777" w:rsidR="00B02873" w:rsidRPr="003C073E" w:rsidRDefault="00B02873" w:rsidP="003C073E">
            <w:pPr>
              <w:pStyle w:val="TablebodyleftFinancialsTables"/>
              <w:jc w:val="right"/>
              <w:rPr>
                <w:rFonts w:asciiTheme="minorHAnsi" w:hAnsiTheme="minorHAnsi" w:cstheme="minorHAnsi"/>
                <w:sz w:val="18"/>
                <w:szCs w:val="14"/>
              </w:rPr>
            </w:pPr>
            <w:r w:rsidRPr="003C073E">
              <w:rPr>
                <w:rFonts w:asciiTheme="minorHAnsi" w:hAnsiTheme="minorHAnsi" w:cstheme="minorHAnsi"/>
                <w:sz w:val="18"/>
                <w:szCs w:val="14"/>
              </w:rPr>
              <w:t>–</w:t>
            </w:r>
          </w:p>
        </w:tc>
        <w:tc>
          <w:tcPr>
            <w:tcW w:w="1070" w:type="dxa"/>
          </w:tcPr>
          <w:p w14:paraId="0420604A" w14:textId="77777777" w:rsidR="00B02873" w:rsidRPr="007845E8" w:rsidRDefault="00B02873" w:rsidP="003C073E">
            <w:pPr>
              <w:pStyle w:val="TablebodyleftFinancialsTables"/>
              <w:jc w:val="right"/>
              <w:rPr>
                <w:rFonts w:asciiTheme="minorHAnsi" w:hAnsiTheme="minorHAnsi" w:cstheme="minorHAnsi"/>
                <w:b/>
                <w:bCs/>
                <w:sz w:val="18"/>
                <w:szCs w:val="14"/>
              </w:rPr>
            </w:pPr>
            <w:r w:rsidRPr="007845E8">
              <w:rPr>
                <w:rFonts w:asciiTheme="minorHAnsi" w:hAnsiTheme="minorHAnsi" w:cstheme="minorHAnsi"/>
                <w:b/>
                <w:bCs/>
                <w:sz w:val="18"/>
                <w:szCs w:val="14"/>
              </w:rPr>
              <w:t>–</w:t>
            </w:r>
          </w:p>
        </w:tc>
        <w:tc>
          <w:tcPr>
            <w:tcW w:w="1064" w:type="dxa"/>
          </w:tcPr>
          <w:p w14:paraId="691A9D8B" w14:textId="77777777" w:rsidR="00B02873" w:rsidRPr="003C073E" w:rsidRDefault="00B02873" w:rsidP="003C073E">
            <w:pPr>
              <w:pStyle w:val="TablebodyleftFinancialsTables"/>
              <w:jc w:val="right"/>
              <w:rPr>
                <w:rFonts w:asciiTheme="minorHAnsi" w:hAnsiTheme="minorHAnsi" w:cstheme="minorHAnsi"/>
                <w:sz w:val="18"/>
                <w:szCs w:val="14"/>
              </w:rPr>
            </w:pPr>
            <w:r w:rsidRPr="003C073E">
              <w:rPr>
                <w:rFonts w:asciiTheme="minorHAnsi" w:hAnsiTheme="minorHAnsi" w:cstheme="minorHAnsi"/>
                <w:sz w:val="18"/>
                <w:szCs w:val="14"/>
              </w:rPr>
              <w:t>–</w:t>
            </w:r>
          </w:p>
        </w:tc>
      </w:tr>
      <w:tr w:rsidR="00B02873" w:rsidRPr="003C073E" w14:paraId="746C8E4D" w14:textId="77777777" w:rsidTr="007845E8">
        <w:tc>
          <w:tcPr>
            <w:tcW w:w="2830" w:type="dxa"/>
          </w:tcPr>
          <w:p w14:paraId="49257FCE" w14:textId="77777777" w:rsidR="00B02873" w:rsidRPr="003C073E" w:rsidRDefault="00B02873" w:rsidP="003C073E">
            <w:pPr>
              <w:pStyle w:val="TablebodyleftFinancialsTables"/>
              <w:rPr>
                <w:rFonts w:asciiTheme="minorHAnsi" w:hAnsiTheme="minorHAnsi" w:cstheme="minorHAnsi"/>
                <w:sz w:val="18"/>
                <w:szCs w:val="14"/>
              </w:rPr>
            </w:pPr>
            <w:r w:rsidRPr="003C073E">
              <w:rPr>
                <w:rFonts w:asciiTheme="minorHAnsi" w:hAnsiTheme="minorHAnsi" w:cstheme="minorHAnsi"/>
                <w:sz w:val="18"/>
                <w:szCs w:val="14"/>
              </w:rPr>
              <w:t xml:space="preserve">Service concession intangible asset (Note 4.2.4) </w:t>
            </w:r>
          </w:p>
        </w:tc>
        <w:tc>
          <w:tcPr>
            <w:tcW w:w="1244" w:type="dxa"/>
          </w:tcPr>
          <w:p w14:paraId="3EA4DCB9" w14:textId="77777777" w:rsidR="00B02873" w:rsidRPr="007845E8" w:rsidRDefault="00B02873" w:rsidP="003C073E">
            <w:pPr>
              <w:pStyle w:val="TablebodyleftFinancialsTables"/>
              <w:jc w:val="right"/>
              <w:rPr>
                <w:rFonts w:asciiTheme="minorHAnsi" w:hAnsiTheme="minorHAnsi" w:cstheme="minorHAnsi"/>
                <w:b/>
                <w:bCs/>
                <w:sz w:val="18"/>
                <w:szCs w:val="14"/>
              </w:rPr>
            </w:pPr>
            <w:r w:rsidRPr="007845E8">
              <w:rPr>
                <w:rFonts w:asciiTheme="minorHAnsi" w:hAnsiTheme="minorHAnsi" w:cstheme="minorHAnsi"/>
                <w:b/>
                <w:bCs/>
                <w:sz w:val="18"/>
                <w:szCs w:val="14"/>
              </w:rPr>
              <w:t>–</w:t>
            </w:r>
          </w:p>
        </w:tc>
        <w:tc>
          <w:tcPr>
            <w:tcW w:w="1259" w:type="dxa"/>
          </w:tcPr>
          <w:p w14:paraId="55B48BB5" w14:textId="77777777" w:rsidR="00B02873" w:rsidRPr="003C073E" w:rsidRDefault="00B02873" w:rsidP="003C073E">
            <w:pPr>
              <w:pStyle w:val="TablebodyleftFinancialsTables"/>
              <w:jc w:val="right"/>
              <w:rPr>
                <w:rFonts w:asciiTheme="minorHAnsi" w:hAnsiTheme="minorHAnsi" w:cstheme="minorHAnsi"/>
                <w:sz w:val="18"/>
                <w:szCs w:val="14"/>
              </w:rPr>
            </w:pPr>
            <w:r w:rsidRPr="003C073E">
              <w:rPr>
                <w:rFonts w:asciiTheme="minorHAnsi" w:hAnsiTheme="minorHAnsi" w:cstheme="minorHAnsi"/>
                <w:sz w:val="18"/>
                <w:szCs w:val="14"/>
              </w:rPr>
              <w:t>–</w:t>
            </w:r>
          </w:p>
        </w:tc>
        <w:tc>
          <w:tcPr>
            <w:tcW w:w="1236" w:type="dxa"/>
          </w:tcPr>
          <w:p w14:paraId="0A608B2E" w14:textId="77777777" w:rsidR="00B02873" w:rsidRPr="007845E8" w:rsidRDefault="00B02873" w:rsidP="003C073E">
            <w:pPr>
              <w:pStyle w:val="TablebodyleftFinancialsTables"/>
              <w:jc w:val="right"/>
              <w:rPr>
                <w:rFonts w:asciiTheme="minorHAnsi" w:hAnsiTheme="minorHAnsi" w:cstheme="minorHAnsi"/>
                <w:b/>
                <w:bCs/>
                <w:sz w:val="18"/>
                <w:szCs w:val="14"/>
              </w:rPr>
            </w:pPr>
            <w:r w:rsidRPr="007845E8">
              <w:rPr>
                <w:rFonts w:asciiTheme="minorHAnsi" w:hAnsiTheme="minorHAnsi" w:cstheme="minorHAnsi"/>
                <w:b/>
                <w:bCs/>
                <w:sz w:val="18"/>
                <w:szCs w:val="14"/>
              </w:rPr>
              <w:t>–</w:t>
            </w:r>
          </w:p>
        </w:tc>
        <w:tc>
          <w:tcPr>
            <w:tcW w:w="1246" w:type="dxa"/>
          </w:tcPr>
          <w:p w14:paraId="34C810D2" w14:textId="77777777" w:rsidR="00B02873" w:rsidRPr="003C073E" w:rsidRDefault="00B02873" w:rsidP="003C073E">
            <w:pPr>
              <w:pStyle w:val="TablebodyleftFinancialsTables"/>
              <w:jc w:val="right"/>
              <w:rPr>
                <w:rFonts w:asciiTheme="minorHAnsi" w:hAnsiTheme="minorHAnsi" w:cstheme="minorHAnsi"/>
                <w:sz w:val="18"/>
                <w:szCs w:val="14"/>
              </w:rPr>
            </w:pPr>
            <w:r w:rsidRPr="003C073E">
              <w:rPr>
                <w:rFonts w:asciiTheme="minorHAnsi" w:hAnsiTheme="minorHAnsi" w:cstheme="minorHAnsi"/>
                <w:sz w:val="18"/>
                <w:szCs w:val="14"/>
              </w:rPr>
              <w:t>–</w:t>
            </w:r>
          </w:p>
        </w:tc>
        <w:tc>
          <w:tcPr>
            <w:tcW w:w="1070" w:type="dxa"/>
          </w:tcPr>
          <w:p w14:paraId="7A3A0919" w14:textId="77777777" w:rsidR="00B02873" w:rsidRPr="007845E8" w:rsidRDefault="00B02873" w:rsidP="003C073E">
            <w:pPr>
              <w:pStyle w:val="TablebodyleftFinancialsTables"/>
              <w:jc w:val="right"/>
              <w:rPr>
                <w:rFonts w:asciiTheme="minorHAnsi" w:hAnsiTheme="minorHAnsi" w:cstheme="minorHAnsi"/>
                <w:b/>
                <w:bCs/>
                <w:sz w:val="18"/>
                <w:szCs w:val="14"/>
              </w:rPr>
            </w:pPr>
            <w:r w:rsidRPr="007845E8">
              <w:rPr>
                <w:rFonts w:asciiTheme="minorHAnsi" w:hAnsiTheme="minorHAnsi" w:cstheme="minorHAnsi"/>
                <w:b/>
                <w:bCs/>
                <w:sz w:val="18"/>
                <w:szCs w:val="14"/>
              </w:rPr>
              <w:t>512,419</w:t>
            </w:r>
          </w:p>
        </w:tc>
        <w:tc>
          <w:tcPr>
            <w:tcW w:w="1064" w:type="dxa"/>
          </w:tcPr>
          <w:p w14:paraId="1F7C08DB" w14:textId="77777777" w:rsidR="00B02873" w:rsidRPr="003C073E" w:rsidRDefault="00B02873" w:rsidP="003C073E">
            <w:pPr>
              <w:pStyle w:val="TablebodyleftFinancialsTables"/>
              <w:jc w:val="right"/>
              <w:rPr>
                <w:rFonts w:asciiTheme="minorHAnsi" w:hAnsiTheme="minorHAnsi" w:cstheme="minorHAnsi"/>
                <w:sz w:val="18"/>
                <w:szCs w:val="14"/>
              </w:rPr>
            </w:pPr>
            <w:r w:rsidRPr="003C073E">
              <w:rPr>
                <w:rFonts w:asciiTheme="minorHAnsi" w:hAnsiTheme="minorHAnsi" w:cstheme="minorHAnsi"/>
                <w:sz w:val="18"/>
                <w:szCs w:val="14"/>
              </w:rPr>
              <w:t>484,505</w:t>
            </w:r>
          </w:p>
        </w:tc>
      </w:tr>
      <w:tr w:rsidR="00B02873" w:rsidRPr="003C073E" w14:paraId="58A3FDC7" w14:textId="77777777" w:rsidTr="007845E8">
        <w:tc>
          <w:tcPr>
            <w:tcW w:w="2830" w:type="dxa"/>
          </w:tcPr>
          <w:p w14:paraId="039C0A86" w14:textId="77777777" w:rsidR="00B02873" w:rsidRPr="003C073E" w:rsidRDefault="00B02873" w:rsidP="003C073E">
            <w:pPr>
              <w:pStyle w:val="TablebodyleftFinancialsTables"/>
              <w:rPr>
                <w:rFonts w:asciiTheme="minorHAnsi" w:hAnsiTheme="minorHAnsi" w:cstheme="minorHAnsi"/>
                <w:sz w:val="18"/>
                <w:szCs w:val="14"/>
              </w:rPr>
            </w:pPr>
            <w:r w:rsidRPr="003C073E">
              <w:rPr>
                <w:rFonts w:asciiTheme="minorHAnsi" w:hAnsiTheme="minorHAnsi" w:cstheme="minorHAnsi"/>
                <w:sz w:val="18"/>
                <w:szCs w:val="14"/>
              </w:rPr>
              <w:t>Intangible assets (Note 4.2.5)</w:t>
            </w:r>
          </w:p>
        </w:tc>
        <w:tc>
          <w:tcPr>
            <w:tcW w:w="1244" w:type="dxa"/>
          </w:tcPr>
          <w:p w14:paraId="144C758C" w14:textId="77777777" w:rsidR="00B02873" w:rsidRPr="007845E8" w:rsidRDefault="00B02873" w:rsidP="003C073E">
            <w:pPr>
              <w:pStyle w:val="TablebodyleftFinancialsTables"/>
              <w:jc w:val="right"/>
              <w:rPr>
                <w:rFonts w:asciiTheme="minorHAnsi" w:hAnsiTheme="minorHAnsi" w:cstheme="minorHAnsi"/>
                <w:b/>
                <w:bCs/>
                <w:sz w:val="18"/>
                <w:szCs w:val="14"/>
              </w:rPr>
            </w:pPr>
            <w:r w:rsidRPr="007845E8">
              <w:rPr>
                <w:rFonts w:asciiTheme="minorHAnsi" w:hAnsiTheme="minorHAnsi" w:cstheme="minorHAnsi"/>
                <w:b/>
                <w:bCs/>
                <w:sz w:val="18"/>
                <w:szCs w:val="14"/>
              </w:rPr>
              <w:t>–</w:t>
            </w:r>
          </w:p>
        </w:tc>
        <w:tc>
          <w:tcPr>
            <w:tcW w:w="1259" w:type="dxa"/>
          </w:tcPr>
          <w:p w14:paraId="54463E8B" w14:textId="77777777" w:rsidR="00B02873" w:rsidRPr="003C073E" w:rsidRDefault="00B02873" w:rsidP="003C073E">
            <w:pPr>
              <w:pStyle w:val="TablebodyleftFinancialsTables"/>
              <w:jc w:val="right"/>
              <w:rPr>
                <w:rFonts w:asciiTheme="minorHAnsi" w:hAnsiTheme="minorHAnsi" w:cstheme="minorHAnsi"/>
                <w:sz w:val="18"/>
                <w:szCs w:val="14"/>
              </w:rPr>
            </w:pPr>
            <w:r w:rsidRPr="003C073E">
              <w:rPr>
                <w:rFonts w:asciiTheme="minorHAnsi" w:hAnsiTheme="minorHAnsi" w:cstheme="minorHAnsi"/>
                <w:sz w:val="18"/>
                <w:szCs w:val="14"/>
              </w:rPr>
              <w:t>–</w:t>
            </w:r>
          </w:p>
        </w:tc>
        <w:tc>
          <w:tcPr>
            <w:tcW w:w="1236" w:type="dxa"/>
          </w:tcPr>
          <w:p w14:paraId="25DA4DAA" w14:textId="77777777" w:rsidR="00B02873" w:rsidRPr="007845E8" w:rsidRDefault="00B02873" w:rsidP="003C073E">
            <w:pPr>
              <w:pStyle w:val="TablebodyleftFinancialsTables"/>
              <w:jc w:val="right"/>
              <w:rPr>
                <w:rFonts w:asciiTheme="minorHAnsi" w:hAnsiTheme="minorHAnsi" w:cstheme="minorHAnsi"/>
                <w:b/>
                <w:bCs/>
                <w:sz w:val="18"/>
                <w:szCs w:val="14"/>
              </w:rPr>
            </w:pPr>
            <w:r w:rsidRPr="007845E8">
              <w:rPr>
                <w:rFonts w:asciiTheme="minorHAnsi" w:hAnsiTheme="minorHAnsi" w:cstheme="minorHAnsi"/>
                <w:b/>
                <w:bCs/>
                <w:sz w:val="18"/>
                <w:szCs w:val="14"/>
              </w:rPr>
              <w:t>–</w:t>
            </w:r>
          </w:p>
        </w:tc>
        <w:tc>
          <w:tcPr>
            <w:tcW w:w="1246" w:type="dxa"/>
          </w:tcPr>
          <w:p w14:paraId="42E22D34" w14:textId="77777777" w:rsidR="00B02873" w:rsidRPr="003C073E" w:rsidRDefault="00B02873" w:rsidP="003C073E">
            <w:pPr>
              <w:pStyle w:val="TablebodyleftFinancialsTables"/>
              <w:jc w:val="right"/>
              <w:rPr>
                <w:rFonts w:asciiTheme="minorHAnsi" w:hAnsiTheme="minorHAnsi" w:cstheme="minorHAnsi"/>
                <w:sz w:val="18"/>
                <w:szCs w:val="14"/>
              </w:rPr>
            </w:pPr>
            <w:r w:rsidRPr="003C073E">
              <w:rPr>
                <w:rFonts w:asciiTheme="minorHAnsi" w:hAnsiTheme="minorHAnsi" w:cstheme="minorHAnsi"/>
                <w:sz w:val="18"/>
                <w:szCs w:val="14"/>
              </w:rPr>
              <w:t>–</w:t>
            </w:r>
          </w:p>
        </w:tc>
        <w:tc>
          <w:tcPr>
            <w:tcW w:w="1070" w:type="dxa"/>
          </w:tcPr>
          <w:p w14:paraId="79ECF170" w14:textId="77777777" w:rsidR="00B02873" w:rsidRPr="007845E8" w:rsidRDefault="00B02873" w:rsidP="003C073E">
            <w:pPr>
              <w:pStyle w:val="TablebodyleftFinancialsTables"/>
              <w:jc w:val="right"/>
              <w:rPr>
                <w:rFonts w:asciiTheme="minorHAnsi" w:hAnsiTheme="minorHAnsi" w:cstheme="minorHAnsi"/>
                <w:b/>
                <w:bCs/>
                <w:sz w:val="18"/>
                <w:szCs w:val="14"/>
              </w:rPr>
            </w:pPr>
            <w:r w:rsidRPr="007845E8">
              <w:rPr>
                <w:rFonts w:asciiTheme="minorHAnsi" w:hAnsiTheme="minorHAnsi" w:cstheme="minorHAnsi"/>
                <w:b/>
                <w:bCs/>
                <w:sz w:val="18"/>
                <w:szCs w:val="14"/>
              </w:rPr>
              <w:t>–</w:t>
            </w:r>
          </w:p>
        </w:tc>
        <w:tc>
          <w:tcPr>
            <w:tcW w:w="1064" w:type="dxa"/>
          </w:tcPr>
          <w:p w14:paraId="11F755D1" w14:textId="77777777" w:rsidR="00B02873" w:rsidRPr="003C073E" w:rsidRDefault="00B02873" w:rsidP="003C073E">
            <w:pPr>
              <w:pStyle w:val="TablebodyleftFinancialsTables"/>
              <w:jc w:val="right"/>
              <w:rPr>
                <w:rFonts w:asciiTheme="minorHAnsi" w:hAnsiTheme="minorHAnsi" w:cstheme="minorHAnsi"/>
                <w:sz w:val="18"/>
                <w:szCs w:val="14"/>
              </w:rPr>
            </w:pPr>
            <w:r w:rsidRPr="003C073E">
              <w:rPr>
                <w:rFonts w:asciiTheme="minorHAnsi" w:hAnsiTheme="minorHAnsi" w:cstheme="minorHAnsi"/>
                <w:sz w:val="18"/>
                <w:szCs w:val="14"/>
              </w:rPr>
              <w:t>–</w:t>
            </w:r>
          </w:p>
        </w:tc>
      </w:tr>
      <w:tr w:rsidR="00B02873" w:rsidRPr="003C073E" w14:paraId="3B8CA420" w14:textId="77777777" w:rsidTr="007845E8">
        <w:tc>
          <w:tcPr>
            <w:tcW w:w="2830" w:type="dxa"/>
          </w:tcPr>
          <w:p w14:paraId="264BA6BE" w14:textId="77777777" w:rsidR="00B02873" w:rsidRPr="003C073E" w:rsidRDefault="00B02873" w:rsidP="003C073E">
            <w:pPr>
              <w:pStyle w:val="TablebodyleftFinancialsTables"/>
              <w:rPr>
                <w:rFonts w:asciiTheme="minorHAnsi" w:hAnsiTheme="minorHAnsi" w:cstheme="minorHAnsi"/>
                <w:sz w:val="18"/>
                <w:szCs w:val="14"/>
              </w:rPr>
            </w:pPr>
            <w:r w:rsidRPr="003C073E">
              <w:rPr>
                <w:rFonts w:asciiTheme="minorHAnsi" w:hAnsiTheme="minorHAnsi" w:cstheme="minorHAnsi"/>
                <w:sz w:val="18"/>
                <w:szCs w:val="14"/>
              </w:rPr>
              <w:t>Intangible assets held for sale (Note 4.2.5)</w:t>
            </w:r>
          </w:p>
        </w:tc>
        <w:tc>
          <w:tcPr>
            <w:tcW w:w="1244" w:type="dxa"/>
          </w:tcPr>
          <w:p w14:paraId="3F488CA2" w14:textId="77777777" w:rsidR="00B02873" w:rsidRPr="007845E8" w:rsidRDefault="00B02873" w:rsidP="003C073E">
            <w:pPr>
              <w:pStyle w:val="TablebodyleftFinancialsTables"/>
              <w:jc w:val="right"/>
              <w:rPr>
                <w:rFonts w:asciiTheme="minorHAnsi" w:hAnsiTheme="minorHAnsi" w:cstheme="minorHAnsi"/>
                <w:b/>
                <w:bCs/>
                <w:sz w:val="18"/>
                <w:szCs w:val="14"/>
              </w:rPr>
            </w:pPr>
            <w:r w:rsidRPr="007845E8">
              <w:rPr>
                <w:rFonts w:asciiTheme="minorHAnsi" w:hAnsiTheme="minorHAnsi" w:cstheme="minorHAnsi"/>
                <w:b/>
                <w:bCs/>
                <w:sz w:val="18"/>
                <w:szCs w:val="14"/>
              </w:rPr>
              <w:t>–</w:t>
            </w:r>
          </w:p>
        </w:tc>
        <w:tc>
          <w:tcPr>
            <w:tcW w:w="1259" w:type="dxa"/>
          </w:tcPr>
          <w:p w14:paraId="5D47F2E0" w14:textId="77777777" w:rsidR="00B02873" w:rsidRPr="003C073E" w:rsidRDefault="00B02873" w:rsidP="003C073E">
            <w:pPr>
              <w:pStyle w:val="TablebodyleftFinancialsTables"/>
              <w:jc w:val="right"/>
              <w:rPr>
                <w:rFonts w:asciiTheme="minorHAnsi" w:hAnsiTheme="minorHAnsi" w:cstheme="minorHAnsi"/>
                <w:sz w:val="18"/>
                <w:szCs w:val="14"/>
              </w:rPr>
            </w:pPr>
            <w:r w:rsidRPr="003C073E">
              <w:rPr>
                <w:rFonts w:asciiTheme="minorHAnsi" w:hAnsiTheme="minorHAnsi" w:cstheme="minorHAnsi"/>
                <w:sz w:val="18"/>
                <w:szCs w:val="14"/>
              </w:rPr>
              <w:t>–</w:t>
            </w:r>
          </w:p>
        </w:tc>
        <w:tc>
          <w:tcPr>
            <w:tcW w:w="1236" w:type="dxa"/>
          </w:tcPr>
          <w:p w14:paraId="2C3D54EA" w14:textId="77777777" w:rsidR="00B02873" w:rsidRPr="007845E8" w:rsidRDefault="00B02873" w:rsidP="003C073E">
            <w:pPr>
              <w:pStyle w:val="TablebodyleftFinancialsTables"/>
              <w:jc w:val="right"/>
              <w:rPr>
                <w:rFonts w:asciiTheme="minorHAnsi" w:hAnsiTheme="minorHAnsi" w:cstheme="minorHAnsi"/>
                <w:b/>
                <w:bCs/>
                <w:sz w:val="18"/>
                <w:szCs w:val="14"/>
              </w:rPr>
            </w:pPr>
            <w:r w:rsidRPr="007845E8">
              <w:rPr>
                <w:rFonts w:asciiTheme="minorHAnsi" w:hAnsiTheme="minorHAnsi" w:cstheme="minorHAnsi"/>
                <w:b/>
                <w:bCs/>
                <w:sz w:val="18"/>
                <w:szCs w:val="14"/>
              </w:rPr>
              <w:t>–</w:t>
            </w:r>
          </w:p>
        </w:tc>
        <w:tc>
          <w:tcPr>
            <w:tcW w:w="1246" w:type="dxa"/>
          </w:tcPr>
          <w:p w14:paraId="47EF712B" w14:textId="77777777" w:rsidR="00B02873" w:rsidRPr="003C073E" w:rsidRDefault="00B02873" w:rsidP="003C073E">
            <w:pPr>
              <w:pStyle w:val="TablebodyleftFinancialsTables"/>
              <w:jc w:val="right"/>
              <w:rPr>
                <w:rFonts w:asciiTheme="minorHAnsi" w:hAnsiTheme="minorHAnsi" w:cstheme="minorHAnsi"/>
                <w:sz w:val="18"/>
                <w:szCs w:val="14"/>
              </w:rPr>
            </w:pPr>
            <w:r w:rsidRPr="003C073E">
              <w:rPr>
                <w:rFonts w:asciiTheme="minorHAnsi" w:hAnsiTheme="minorHAnsi" w:cstheme="minorHAnsi"/>
                <w:sz w:val="18"/>
                <w:szCs w:val="14"/>
              </w:rPr>
              <w:t>–</w:t>
            </w:r>
          </w:p>
        </w:tc>
        <w:tc>
          <w:tcPr>
            <w:tcW w:w="1070" w:type="dxa"/>
          </w:tcPr>
          <w:p w14:paraId="47D5687F" w14:textId="77777777" w:rsidR="00B02873" w:rsidRPr="007845E8" w:rsidRDefault="00B02873" w:rsidP="003C073E">
            <w:pPr>
              <w:pStyle w:val="TablebodyleftFinancialsTables"/>
              <w:jc w:val="right"/>
              <w:rPr>
                <w:rFonts w:asciiTheme="minorHAnsi" w:hAnsiTheme="minorHAnsi" w:cstheme="minorHAnsi"/>
                <w:b/>
                <w:bCs/>
                <w:sz w:val="18"/>
                <w:szCs w:val="14"/>
              </w:rPr>
            </w:pPr>
            <w:r w:rsidRPr="007845E8">
              <w:rPr>
                <w:rFonts w:asciiTheme="minorHAnsi" w:hAnsiTheme="minorHAnsi" w:cstheme="minorHAnsi"/>
                <w:b/>
                <w:bCs/>
                <w:sz w:val="18"/>
                <w:szCs w:val="14"/>
              </w:rPr>
              <w:t>–</w:t>
            </w:r>
          </w:p>
        </w:tc>
        <w:tc>
          <w:tcPr>
            <w:tcW w:w="1064" w:type="dxa"/>
          </w:tcPr>
          <w:p w14:paraId="61169CDD" w14:textId="77777777" w:rsidR="00B02873" w:rsidRPr="003C073E" w:rsidRDefault="00B02873" w:rsidP="003C073E">
            <w:pPr>
              <w:pStyle w:val="TablebodyleftFinancialsTables"/>
              <w:jc w:val="right"/>
              <w:rPr>
                <w:rFonts w:asciiTheme="minorHAnsi" w:hAnsiTheme="minorHAnsi" w:cstheme="minorHAnsi"/>
                <w:sz w:val="18"/>
                <w:szCs w:val="14"/>
              </w:rPr>
            </w:pPr>
            <w:r w:rsidRPr="003C073E">
              <w:rPr>
                <w:rFonts w:asciiTheme="minorHAnsi" w:hAnsiTheme="minorHAnsi" w:cstheme="minorHAnsi"/>
                <w:sz w:val="18"/>
                <w:szCs w:val="14"/>
              </w:rPr>
              <w:t>–</w:t>
            </w:r>
          </w:p>
        </w:tc>
      </w:tr>
      <w:tr w:rsidR="00B02873" w:rsidRPr="003C073E" w14:paraId="74580359" w14:textId="77777777" w:rsidTr="007845E8">
        <w:tc>
          <w:tcPr>
            <w:tcW w:w="2830" w:type="dxa"/>
          </w:tcPr>
          <w:p w14:paraId="1D81314D" w14:textId="12491E4C" w:rsidR="00B02873" w:rsidRPr="007845E8" w:rsidRDefault="00B02873" w:rsidP="003C073E">
            <w:pPr>
              <w:pStyle w:val="TablebodyleftFinancialsTables"/>
              <w:rPr>
                <w:rFonts w:asciiTheme="minorHAnsi" w:hAnsiTheme="minorHAnsi" w:cstheme="minorHAnsi"/>
                <w:b/>
                <w:bCs/>
                <w:sz w:val="18"/>
                <w:szCs w:val="14"/>
              </w:rPr>
            </w:pPr>
            <w:r w:rsidRPr="007845E8">
              <w:rPr>
                <w:rFonts w:asciiTheme="minorHAnsi" w:hAnsiTheme="minorHAnsi" w:cstheme="minorHAnsi"/>
                <w:b/>
                <w:bCs/>
                <w:sz w:val="18"/>
                <w:szCs w:val="14"/>
              </w:rPr>
              <w:t>Total administered non-financial assets</w:t>
            </w:r>
          </w:p>
        </w:tc>
        <w:tc>
          <w:tcPr>
            <w:tcW w:w="1244" w:type="dxa"/>
          </w:tcPr>
          <w:p w14:paraId="004D0A01" w14:textId="77777777" w:rsidR="00B02873" w:rsidRPr="007845E8" w:rsidRDefault="00B02873" w:rsidP="003C073E">
            <w:pPr>
              <w:pStyle w:val="TablebodyleftFinancialsTables"/>
              <w:jc w:val="right"/>
              <w:rPr>
                <w:rFonts w:asciiTheme="minorHAnsi" w:hAnsiTheme="minorHAnsi" w:cstheme="minorHAnsi"/>
                <w:b/>
                <w:bCs/>
                <w:sz w:val="18"/>
                <w:szCs w:val="14"/>
              </w:rPr>
            </w:pPr>
            <w:r w:rsidRPr="007845E8">
              <w:rPr>
                <w:rFonts w:asciiTheme="minorHAnsi" w:hAnsiTheme="minorHAnsi" w:cstheme="minorHAnsi"/>
                <w:b/>
                <w:bCs/>
                <w:sz w:val="18"/>
                <w:szCs w:val="14"/>
              </w:rPr>
              <w:t>–</w:t>
            </w:r>
          </w:p>
        </w:tc>
        <w:tc>
          <w:tcPr>
            <w:tcW w:w="1259" w:type="dxa"/>
          </w:tcPr>
          <w:p w14:paraId="2685703A" w14:textId="77777777" w:rsidR="00B02873" w:rsidRPr="003C073E" w:rsidRDefault="00B02873" w:rsidP="003C073E">
            <w:pPr>
              <w:pStyle w:val="TablebodyleftFinancialsTables"/>
              <w:jc w:val="right"/>
              <w:rPr>
                <w:rFonts w:asciiTheme="minorHAnsi" w:hAnsiTheme="minorHAnsi" w:cstheme="minorHAnsi"/>
                <w:sz w:val="18"/>
                <w:szCs w:val="14"/>
              </w:rPr>
            </w:pPr>
            <w:r w:rsidRPr="003C073E">
              <w:rPr>
                <w:rFonts w:asciiTheme="minorHAnsi" w:hAnsiTheme="minorHAnsi" w:cstheme="minorHAnsi"/>
                <w:sz w:val="18"/>
                <w:szCs w:val="14"/>
              </w:rPr>
              <w:t>–</w:t>
            </w:r>
          </w:p>
        </w:tc>
        <w:tc>
          <w:tcPr>
            <w:tcW w:w="1236" w:type="dxa"/>
          </w:tcPr>
          <w:p w14:paraId="682F2CD2" w14:textId="77777777" w:rsidR="00B02873" w:rsidRPr="007845E8" w:rsidRDefault="00B02873" w:rsidP="003C073E">
            <w:pPr>
              <w:pStyle w:val="TablebodyleftFinancialsTables"/>
              <w:jc w:val="right"/>
              <w:rPr>
                <w:rFonts w:asciiTheme="minorHAnsi" w:hAnsiTheme="minorHAnsi" w:cstheme="minorHAnsi"/>
                <w:b/>
                <w:bCs/>
                <w:sz w:val="18"/>
                <w:szCs w:val="14"/>
              </w:rPr>
            </w:pPr>
            <w:r w:rsidRPr="007845E8">
              <w:rPr>
                <w:rFonts w:asciiTheme="minorHAnsi" w:hAnsiTheme="minorHAnsi" w:cstheme="minorHAnsi"/>
                <w:b/>
                <w:bCs/>
                <w:sz w:val="18"/>
                <w:szCs w:val="14"/>
              </w:rPr>
              <w:t>–</w:t>
            </w:r>
          </w:p>
        </w:tc>
        <w:tc>
          <w:tcPr>
            <w:tcW w:w="1246" w:type="dxa"/>
          </w:tcPr>
          <w:p w14:paraId="74D77503" w14:textId="77777777" w:rsidR="00B02873" w:rsidRPr="003C073E" w:rsidRDefault="00B02873" w:rsidP="003C073E">
            <w:pPr>
              <w:pStyle w:val="TablebodyleftFinancialsTables"/>
              <w:jc w:val="right"/>
              <w:rPr>
                <w:rFonts w:asciiTheme="minorHAnsi" w:hAnsiTheme="minorHAnsi" w:cstheme="minorHAnsi"/>
                <w:sz w:val="18"/>
                <w:szCs w:val="14"/>
              </w:rPr>
            </w:pPr>
            <w:r w:rsidRPr="003C073E">
              <w:rPr>
                <w:rFonts w:asciiTheme="minorHAnsi" w:hAnsiTheme="minorHAnsi" w:cstheme="minorHAnsi"/>
                <w:sz w:val="18"/>
                <w:szCs w:val="14"/>
              </w:rPr>
              <w:t>–</w:t>
            </w:r>
          </w:p>
        </w:tc>
        <w:tc>
          <w:tcPr>
            <w:tcW w:w="1070" w:type="dxa"/>
          </w:tcPr>
          <w:p w14:paraId="08B0F68B" w14:textId="77777777" w:rsidR="00B02873" w:rsidRPr="007845E8" w:rsidRDefault="00B02873" w:rsidP="003C073E">
            <w:pPr>
              <w:pStyle w:val="TablebodyleftFinancialsTables"/>
              <w:jc w:val="right"/>
              <w:rPr>
                <w:rFonts w:asciiTheme="minorHAnsi" w:hAnsiTheme="minorHAnsi" w:cstheme="minorHAnsi"/>
                <w:b/>
                <w:bCs/>
                <w:sz w:val="18"/>
                <w:szCs w:val="14"/>
              </w:rPr>
            </w:pPr>
            <w:r w:rsidRPr="007845E8">
              <w:rPr>
                <w:rFonts w:asciiTheme="minorHAnsi" w:hAnsiTheme="minorHAnsi" w:cstheme="minorHAnsi"/>
                <w:b/>
                <w:bCs/>
                <w:sz w:val="18"/>
                <w:szCs w:val="14"/>
              </w:rPr>
              <w:t>512,419</w:t>
            </w:r>
          </w:p>
        </w:tc>
        <w:tc>
          <w:tcPr>
            <w:tcW w:w="1064" w:type="dxa"/>
          </w:tcPr>
          <w:p w14:paraId="07EEEF1E" w14:textId="77777777" w:rsidR="00B02873" w:rsidRPr="003C073E" w:rsidRDefault="00B02873" w:rsidP="003C073E">
            <w:pPr>
              <w:pStyle w:val="TablebodyleftFinancialsTables"/>
              <w:jc w:val="right"/>
              <w:rPr>
                <w:rFonts w:asciiTheme="minorHAnsi" w:hAnsiTheme="minorHAnsi" w:cstheme="minorHAnsi"/>
                <w:sz w:val="18"/>
                <w:szCs w:val="14"/>
              </w:rPr>
            </w:pPr>
            <w:r w:rsidRPr="003C073E">
              <w:rPr>
                <w:rFonts w:asciiTheme="minorHAnsi" w:hAnsiTheme="minorHAnsi" w:cstheme="minorHAnsi"/>
                <w:sz w:val="18"/>
                <w:szCs w:val="14"/>
              </w:rPr>
              <w:t>484,505</w:t>
            </w:r>
          </w:p>
        </w:tc>
      </w:tr>
      <w:tr w:rsidR="00B02873" w:rsidRPr="003C073E" w14:paraId="17EB13E5" w14:textId="77777777" w:rsidTr="007845E8">
        <w:tc>
          <w:tcPr>
            <w:tcW w:w="2830" w:type="dxa"/>
          </w:tcPr>
          <w:p w14:paraId="6F856909" w14:textId="77777777" w:rsidR="00B02873" w:rsidRPr="007845E8" w:rsidRDefault="00B02873" w:rsidP="003C073E">
            <w:pPr>
              <w:pStyle w:val="TablebodyleftFinancialsTables"/>
              <w:rPr>
                <w:rFonts w:asciiTheme="minorHAnsi" w:hAnsiTheme="minorHAnsi" w:cstheme="minorHAnsi"/>
                <w:b/>
                <w:bCs/>
                <w:sz w:val="18"/>
                <w:szCs w:val="14"/>
              </w:rPr>
            </w:pPr>
            <w:r w:rsidRPr="007845E8">
              <w:rPr>
                <w:rFonts w:asciiTheme="minorHAnsi" w:hAnsiTheme="minorHAnsi" w:cstheme="minorHAnsi"/>
                <w:b/>
                <w:bCs/>
                <w:sz w:val="18"/>
                <w:szCs w:val="14"/>
              </w:rPr>
              <w:t>Total administered assets</w:t>
            </w:r>
          </w:p>
        </w:tc>
        <w:tc>
          <w:tcPr>
            <w:tcW w:w="1244" w:type="dxa"/>
          </w:tcPr>
          <w:p w14:paraId="6C1B7A46" w14:textId="77777777" w:rsidR="00B02873" w:rsidRPr="007845E8" w:rsidRDefault="00B02873" w:rsidP="003C073E">
            <w:pPr>
              <w:pStyle w:val="TablebodyleftFinancialsTables"/>
              <w:jc w:val="right"/>
              <w:rPr>
                <w:rFonts w:asciiTheme="minorHAnsi" w:hAnsiTheme="minorHAnsi" w:cstheme="minorHAnsi"/>
                <w:b/>
                <w:bCs/>
                <w:sz w:val="18"/>
                <w:szCs w:val="14"/>
              </w:rPr>
            </w:pPr>
            <w:r w:rsidRPr="007845E8">
              <w:rPr>
                <w:rFonts w:asciiTheme="minorHAnsi" w:hAnsiTheme="minorHAnsi" w:cstheme="minorHAnsi"/>
                <w:b/>
                <w:bCs/>
                <w:sz w:val="18"/>
                <w:szCs w:val="14"/>
              </w:rPr>
              <w:t>13,464</w:t>
            </w:r>
          </w:p>
        </w:tc>
        <w:tc>
          <w:tcPr>
            <w:tcW w:w="1259" w:type="dxa"/>
          </w:tcPr>
          <w:p w14:paraId="752EC0F1" w14:textId="77777777" w:rsidR="00B02873" w:rsidRPr="003C073E" w:rsidRDefault="00B02873" w:rsidP="003C073E">
            <w:pPr>
              <w:pStyle w:val="TablebodyleftFinancialsTables"/>
              <w:jc w:val="right"/>
              <w:rPr>
                <w:rFonts w:asciiTheme="minorHAnsi" w:hAnsiTheme="minorHAnsi" w:cstheme="minorHAnsi"/>
                <w:sz w:val="18"/>
                <w:szCs w:val="14"/>
              </w:rPr>
            </w:pPr>
            <w:r w:rsidRPr="003C073E">
              <w:rPr>
                <w:rFonts w:asciiTheme="minorHAnsi" w:hAnsiTheme="minorHAnsi" w:cstheme="minorHAnsi"/>
                <w:sz w:val="18"/>
                <w:szCs w:val="14"/>
              </w:rPr>
              <w:t>5,299</w:t>
            </w:r>
          </w:p>
        </w:tc>
        <w:tc>
          <w:tcPr>
            <w:tcW w:w="1236" w:type="dxa"/>
          </w:tcPr>
          <w:p w14:paraId="1DACE4F3" w14:textId="77777777" w:rsidR="00B02873" w:rsidRPr="007845E8" w:rsidRDefault="00B02873" w:rsidP="003C073E">
            <w:pPr>
              <w:pStyle w:val="TablebodyleftFinancialsTables"/>
              <w:jc w:val="right"/>
              <w:rPr>
                <w:rFonts w:asciiTheme="minorHAnsi" w:hAnsiTheme="minorHAnsi" w:cstheme="minorHAnsi"/>
                <w:b/>
                <w:bCs/>
                <w:sz w:val="18"/>
                <w:szCs w:val="14"/>
              </w:rPr>
            </w:pPr>
            <w:r w:rsidRPr="007845E8">
              <w:rPr>
                <w:rFonts w:asciiTheme="minorHAnsi" w:hAnsiTheme="minorHAnsi" w:cstheme="minorHAnsi"/>
                <w:b/>
                <w:bCs/>
                <w:sz w:val="18"/>
                <w:szCs w:val="14"/>
              </w:rPr>
              <w:t>7,051</w:t>
            </w:r>
          </w:p>
        </w:tc>
        <w:tc>
          <w:tcPr>
            <w:tcW w:w="1246" w:type="dxa"/>
          </w:tcPr>
          <w:p w14:paraId="0CD7FA73" w14:textId="77777777" w:rsidR="00B02873" w:rsidRPr="003C073E" w:rsidRDefault="00B02873" w:rsidP="003C073E">
            <w:pPr>
              <w:pStyle w:val="TablebodyleftFinancialsTables"/>
              <w:jc w:val="right"/>
              <w:rPr>
                <w:rFonts w:asciiTheme="minorHAnsi" w:hAnsiTheme="minorHAnsi" w:cstheme="minorHAnsi"/>
                <w:sz w:val="18"/>
                <w:szCs w:val="14"/>
              </w:rPr>
            </w:pPr>
            <w:r w:rsidRPr="003C073E">
              <w:rPr>
                <w:rFonts w:asciiTheme="minorHAnsi" w:hAnsiTheme="minorHAnsi" w:cstheme="minorHAnsi"/>
                <w:sz w:val="18"/>
                <w:szCs w:val="14"/>
              </w:rPr>
              <w:t>3,854</w:t>
            </w:r>
          </w:p>
        </w:tc>
        <w:tc>
          <w:tcPr>
            <w:tcW w:w="1070" w:type="dxa"/>
          </w:tcPr>
          <w:p w14:paraId="54AFBBC8" w14:textId="77777777" w:rsidR="00B02873" w:rsidRPr="007845E8" w:rsidRDefault="00B02873" w:rsidP="003C073E">
            <w:pPr>
              <w:pStyle w:val="TablebodyleftFinancialsTables"/>
              <w:jc w:val="right"/>
              <w:rPr>
                <w:rFonts w:asciiTheme="minorHAnsi" w:hAnsiTheme="minorHAnsi" w:cstheme="minorHAnsi"/>
                <w:b/>
                <w:bCs/>
                <w:sz w:val="18"/>
                <w:szCs w:val="14"/>
              </w:rPr>
            </w:pPr>
            <w:r w:rsidRPr="007845E8">
              <w:rPr>
                <w:rFonts w:asciiTheme="minorHAnsi" w:hAnsiTheme="minorHAnsi" w:cstheme="minorHAnsi"/>
                <w:b/>
                <w:bCs/>
                <w:sz w:val="18"/>
                <w:szCs w:val="14"/>
              </w:rPr>
              <w:t>580,793</w:t>
            </w:r>
          </w:p>
        </w:tc>
        <w:tc>
          <w:tcPr>
            <w:tcW w:w="1064" w:type="dxa"/>
          </w:tcPr>
          <w:p w14:paraId="74C3D5B9" w14:textId="77777777" w:rsidR="00B02873" w:rsidRPr="003C073E" w:rsidRDefault="00B02873" w:rsidP="003C073E">
            <w:pPr>
              <w:pStyle w:val="TablebodyleftFinancialsTables"/>
              <w:jc w:val="right"/>
              <w:rPr>
                <w:rFonts w:asciiTheme="minorHAnsi" w:hAnsiTheme="minorHAnsi" w:cstheme="minorHAnsi"/>
                <w:sz w:val="18"/>
                <w:szCs w:val="14"/>
              </w:rPr>
            </w:pPr>
            <w:r w:rsidRPr="003C073E">
              <w:rPr>
                <w:rFonts w:asciiTheme="minorHAnsi" w:hAnsiTheme="minorHAnsi" w:cstheme="minorHAnsi"/>
                <w:sz w:val="18"/>
                <w:szCs w:val="14"/>
              </w:rPr>
              <w:t>503,109</w:t>
            </w:r>
          </w:p>
        </w:tc>
      </w:tr>
      <w:tr w:rsidR="00B02873" w:rsidRPr="003C073E" w14:paraId="7BBEB76A" w14:textId="77777777" w:rsidTr="007845E8">
        <w:tc>
          <w:tcPr>
            <w:tcW w:w="2830" w:type="dxa"/>
          </w:tcPr>
          <w:p w14:paraId="3066EB12" w14:textId="77777777" w:rsidR="00B02873" w:rsidRPr="007845E8" w:rsidRDefault="00B02873" w:rsidP="003C073E">
            <w:pPr>
              <w:pStyle w:val="TablebodyleftFinancialsTables"/>
              <w:rPr>
                <w:rFonts w:asciiTheme="minorHAnsi" w:hAnsiTheme="minorHAnsi" w:cstheme="minorHAnsi"/>
                <w:b/>
                <w:bCs/>
                <w:sz w:val="18"/>
                <w:szCs w:val="14"/>
              </w:rPr>
            </w:pPr>
            <w:r w:rsidRPr="007845E8">
              <w:rPr>
                <w:rFonts w:asciiTheme="minorHAnsi" w:hAnsiTheme="minorHAnsi" w:cstheme="minorHAnsi"/>
                <w:b/>
                <w:bCs/>
                <w:sz w:val="18"/>
                <w:szCs w:val="14"/>
              </w:rPr>
              <w:t>Administered liabilities</w:t>
            </w:r>
          </w:p>
        </w:tc>
        <w:tc>
          <w:tcPr>
            <w:tcW w:w="1244" w:type="dxa"/>
          </w:tcPr>
          <w:p w14:paraId="7754D1D3" w14:textId="77777777" w:rsidR="00B02873" w:rsidRPr="007845E8" w:rsidRDefault="00B02873" w:rsidP="003C073E">
            <w:pPr>
              <w:pStyle w:val="TablebodyleftFinancialsTables"/>
              <w:jc w:val="right"/>
              <w:rPr>
                <w:rFonts w:asciiTheme="minorHAnsi" w:hAnsiTheme="minorHAnsi" w:cstheme="minorHAnsi"/>
                <w:b/>
                <w:bCs/>
                <w:sz w:val="18"/>
                <w:szCs w:val="14"/>
              </w:rPr>
            </w:pPr>
          </w:p>
        </w:tc>
        <w:tc>
          <w:tcPr>
            <w:tcW w:w="1259" w:type="dxa"/>
          </w:tcPr>
          <w:p w14:paraId="0C028604" w14:textId="77777777" w:rsidR="00B02873" w:rsidRPr="003C073E" w:rsidRDefault="00B02873" w:rsidP="003C073E">
            <w:pPr>
              <w:pStyle w:val="TablebodyleftFinancialsTables"/>
              <w:jc w:val="right"/>
              <w:rPr>
                <w:rFonts w:asciiTheme="minorHAnsi" w:hAnsiTheme="minorHAnsi" w:cstheme="minorHAnsi"/>
                <w:sz w:val="18"/>
                <w:szCs w:val="14"/>
              </w:rPr>
            </w:pPr>
          </w:p>
        </w:tc>
        <w:tc>
          <w:tcPr>
            <w:tcW w:w="1236" w:type="dxa"/>
          </w:tcPr>
          <w:p w14:paraId="57DBEC64" w14:textId="77777777" w:rsidR="00B02873" w:rsidRPr="007845E8" w:rsidRDefault="00B02873" w:rsidP="003C073E">
            <w:pPr>
              <w:pStyle w:val="TablebodyleftFinancialsTables"/>
              <w:jc w:val="right"/>
              <w:rPr>
                <w:rFonts w:asciiTheme="minorHAnsi" w:hAnsiTheme="minorHAnsi" w:cstheme="minorHAnsi"/>
                <w:b/>
                <w:bCs/>
                <w:sz w:val="18"/>
                <w:szCs w:val="14"/>
              </w:rPr>
            </w:pPr>
          </w:p>
        </w:tc>
        <w:tc>
          <w:tcPr>
            <w:tcW w:w="1246" w:type="dxa"/>
          </w:tcPr>
          <w:p w14:paraId="2B08A739" w14:textId="77777777" w:rsidR="00B02873" w:rsidRPr="003C073E" w:rsidRDefault="00B02873" w:rsidP="003C073E">
            <w:pPr>
              <w:pStyle w:val="TablebodyleftFinancialsTables"/>
              <w:jc w:val="right"/>
              <w:rPr>
                <w:rFonts w:asciiTheme="minorHAnsi" w:hAnsiTheme="minorHAnsi" w:cstheme="minorHAnsi"/>
                <w:sz w:val="18"/>
                <w:szCs w:val="14"/>
              </w:rPr>
            </w:pPr>
          </w:p>
        </w:tc>
        <w:tc>
          <w:tcPr>
            <w:tcW w:w="1070" w:type="dxa"/>
          </w:tcPr>
          <w:p w14:paraId="060408F5" w14:textId="77777777" w:rsidR="00B02873" w:rsidRPr="007845E8" w:rsidRDefault="00B02873" w:rsidP="003C073E">
            <w:pPr>
              <w:pStyle w:val="TablebodyleftFinancialsTables"/>
              <w:jc w:val="right"/>
              <w:rPr>
                <w:rFonts w:asciiTheme="minorHAnsi" w:hAnsiTheme="minorHAnsi" w:cstheme="minorHAnsi"/>
                <w:b/>
                <w:bCs/>
                <w:sz w:val="18"/>
                <w:szCs w:val="14"/>
              </w:rPr>
            </w:pPr>
          </w:p>
        </w:tc>
        <w:tc>
          <w:tcPr>
            <w:tcW w:w="1064" w:type="dxa"/>
          </w:tcPr>
          <w:p w14:paraId="63D84AE9" w14:textId="77777777" w:rsidR="00B02873" w:rsidRPr="003C073E" w:rsidRDefault="00B02873" w:rsidP="003C073E">
            <w:pPr>
              <w:pStyle w:val="TablebodyleftFinancialsTables"/>
              <w:jc w:val="right"/>
              <w:rPr>
                <w:rFonts w:asciiTheme="minorHAnsi" w:hAnsiTheme="minorHAnsi" w:cstheme="minorHAnsi"/>
                <w:sz w:val="18"/>
                <w:szCs w:val="14"/>
              </w:rPr>
            </w:pPr>
          </w:p>
        </w:tc>
      </w:tr>
      <w:tr w:rsidR="00B02873" w:rsidRPr="003C073E" w14:paraId="048BD698" w14:textId="77777777" w:rsidTr="007845E8">
        <w:tc>
          <w:tcPr>
            <w:tcW w:w="2830" w:type="dxa"/>
          </w:tcPr>
          <w:p w14:paraId="5E8F577D" w14:textId="77777777" w:rsidR="00B02873" w:rsidRPr="003C073E" w:rsidRDefault="00B02873" w:rsidP="003C073E">
            <w:pPr>
              <w:pStyle w:val="TablebodyleftFinancialsTables"/>
              <w:rPr>
                <w:rFonts w:asciiTheme="minorHAnsi" w:hAnsiTheme="minorHAnsi" w:cstheme="minorHAnsi"/>
                <w:sz w:val="18"/>
                <w:szCs w:val="14"/>
              </w:rPr>
            </w:pPr>
            <w:r w:rsidRPr="003C073E">
              <w:rPr>
                <w:rFonts w:asciiTheme="minorHAnsi" w:hAnsiTheme="minorHAnsi" w:cstheme="minorHAnsi"/>
                <w:sz w:val="18"/>
                <w:szCs w:val="14"/>
              </w:rPr>
              <w:t>Creditors and accruals</w:t>
            </w:r>
          </w:p>
        </w:tc>
        <w:tc>
          <w:tcPr>
            <w:tcW w:w="1244" w:type="dxa"/>
          </w:tcPr>
          <w:p w14:paraId="3C1C4B86" w14:textId="77777777" w:rsidR="00B02873" w:rsidRPr="007845E8" w:rsidRDefault="00B02873" w:rsidP="003C073E">
            <w:pPr>
              <w:pStyle w:val="TablebodyleftFinancialsTables"/>
              <w:jc w:val="right"/>
              <w:rPr>
                <w:rFonts w:asciiTheme="minorHAnsi" w:hAnsiTheme="minorHAnsi" w:cstheme="minorHAnsi"/>
                <w:b/>
                <w:bCs/>
                <w:sz w:val="18"/>
                <w:szCs w:val="14"/>
              </w:rPr>
            </w:pPr>
            <w:r w:rsidRPr="007845E8">
              <w:rPr>
                <w:rFonts w:asciiTheme="minorHAnsi" w:hAnsiTheme="minorHAnsi" w:cstheme="minorHAnsi"/>
                <w:b/>
                <w:bCs/>
                <w:sz w:val="18"/>
                <w:szCs w:val="14"/>
              </w:rPr>
              <w:t>722</w:t>
            </w:r>
          </w:p>
        </w:tc>
        <w:tc>
          <w:tcPr>
            <w:tcW w:w="1259" w:type="dxa"/>
          </w:tcPr>
          <w:p w14:paraId="248A29D9" w14:textId="77777777" w:rsidR="00B02873" w:rsidRPr="003C073E" w:rsidRDefault="00B02873" w:rsidP="003C073E">
            <w:pPr>
              <w:pStyle w:val="TablebodyleftFinancialsTables"/>
              <w:jc w:val="right"/>
              <w:rPr>
                <w:rFonts w:asciiTheme="minorHAnsi" w:hAnsiTheme="minorHAnsi" w:cstheme="minorHAnsi"/>
                <w:sz w:val="18"/>
                <w:szCs w:val="14"/>
              </w:rPr>
            </w:pPr>
            <w:r w:rsidRPr="003C073E">
              <w:rPr>
                <w:rFonts w:asciiTheme="minorHAnsi" w:hAnsiTheme="minorHAnsi" w:cstheme="minorHAnsi"/>
                <w:sz w:val="18"/>
                <w:szCs w:val="14"/>
              </w:rPr>
              <w:t>540</w:t>
            </w:r>
          </w:p>
        </w:tc>
        <w:tc>
          <w:tcPr>
            <w:tcW w:w="1236" w:type="dxa"/>
          </w:tcPr>
          <w:p w14:paraId="63743F53" w14:textId="77777777" w:rsidR="00B02873" w:rsidRPr="007845E8" w:rsidRDefault="00B02873" w:rsidP="003C073E">
            <w:pPr>
              <w:pStyle w:val="TablebodyleftFinancialsTables"/>
              <w:jc w:val="right"/>
              <w:rPr>
                <w:rFonts w:asciiTheme="minorHAnsi" w:hAnsiTheme="minorHAnsi" w:cstheme="minorHAnsi"/>
                <w:b/>
                <w:bCs/>
                <w:sz w:val="18"/>
                <w:szCs w:val="14"/>
              </w:rPr>
            </w:pPr>
            <w:r w:rsidRPr="007845E8">
              <w:rPr>
                <w:rFonts w:asciiTheme="minorHAnsi" w:hAnsiTheme="minorHAnsi" w:cstheme="minorHAnsi"/>
                <w:b/>
                <w:bCs/>
                <w:sz w:val="18"/>
                <w:szCs w:val="14"/>
              </w:rPr>
              <w:t>375</w:t>
            </w:r>
          </w:p>
        </w:tc>
        <w:tc>
          <w:tcPr>
            <w:tcW w:w="1246" w:type="dxa"/>
          </w:tcPr>
          <w:p w14:paraId="7DAE36A7" w14:textId="77777777" w:rsidR="00B02873" w:rsidRPr="003C073E" w:rsidRDefault="00B02873" w:rsidP="003C073E">
            <w:pPr>
              <w:pStyle w:val="TablebodyleftFinancialsTables"/>
              <w:jc w:val="right"/>
              <w:rPr>
                <w:rFonts w:asciiTheme="minorHAnsi" w:hAnsiTheme="minorHAnsi" w:cstheme="minorHAnsi"/>
                <w:sz w:val="18"/>
                <w:szCs w:val="14"/>
              </w:rPr>
            </w:pPr>
            <w:r w:rsidRPr="003C073E">
              <w:rPr>
                <w:rFonts w:asciiTheme="minorHAnsi" w:hAnsiTheme="minorHAnsi" w:cstheme="minorHAnsi"/>
                <w:sz w:val="18"/>
                <w:szCs w:val="14"/>
              </w:rPr>
              <w:t>393</w:t>
            </w:r>
          </w:p>
        </w:tc>
        <w:tc>
          <w:tcPr>
            <w:tcW w:w="1070" w:type="dxa"/>
          </w:tcPr>
          <w:p w14:paraId="1F73AD44" w14:textId="77777777" w:rsidR="00B02873" w:rsidRPr="007845E8" w:rsidRDefault="00B02873" w:rsidP="003C073E">
            <w:pPr>
              <w:pStyle w:val="TablebodyleftFinancialsTables"/>
              <w:jc w:val="right"/>
              <w:rPr>
                <w:rFonts w:asciiTheme="minorHAnsi" w:hAnsiTheme="minorHAnsi" w:cstheme="minorHAnsi"/>
                <w:b/>
                <w:bCs/>
                <w:sz w:val="18"/>
                <w:szCs w:val="14"/>
              </w:rPr>
            </w:pPr>
            <w:r w:rsidRPr="007845E8">
              <w:rPr>
                <w:rFonts w:asciiTheme="minorHAnsi" w:hAnsiTheme="minorHAnsi" w:cstheme="minorHAnsi"/>
                <w:b/>
                <w:bCs/>
                <w:sz w:val="18"/>
                <w:szCs w:val="14"/>
              </w:rPr>
              <w:t>3,383</w:t>
            </w:r>
          </w:p>
        </w:tc>
        <w:tc>
          <w:tcPr>
            <w:tcW w:w="1064" w:type="dxa"/>
          </w:tcPr>
          <w:p w14:paraId="33CAC246" w14:textId="77777777" w:rsidR="00B02873" w:rsidRPr="003C073E" w:rsidRDefault="00B02873" w:rsidP="003C073E">
            <w:pPr>
              <w:pStyle w:val="TablebodyleftFinancialsTables"/>
              <w:jc w:val="right"/>
              <w:rPr>
                <w:rFonts w:asciiTheme="minorHAnsi" w:hAnsiTheme="minorHAnsi" w:cstheme="minorHAnsi"/>
                <w:sz w:val="18"/>
                <w:szCs w:val="14"/>
              </w:rPr>
            </w:pPr>
            <w:r w:rsidRPr="003C073E">
              <w:rPr>
                <w:rFonts w:asciiTheme="minorHAnsi" w:hAnsiTheme="minorHAnsi" w:cstheme="minorHAnsi"/>
                <w:sz w:val="18"/>
                <w:szCs w:val="14"/>
              </w:rPr>
              <w:t>3,395</w:t>
            </w:r>
          </w:p>
        </w:tc>
      </w:tr>
      <w:tr w:rsidR="00B02873" w:rsidRPr="003C073E" w14:paraId="204C5478" w14:textId="77777777" w:rsidTr="007845E8">
        <w:tc>
          <w:tcPr>
            <w:tcW w:w="2830" w:type="dxa"/>
          </w:tcPr>
          <w:p w14:paraId="03B42C8F" w14:textId="77777777" w:rsidR="00B02873" w:rsidRPr="003C073E" w:rsidRDefault="00B02873" w:rsidP="003C073E">
            <w:pPr>
              <w:pStyle w:val="TablebodyleftFinancialsTables"/>
              <w:rPr>
                <w:rFonts w:asciiTheme="minorHAnsi" w:hAnsiTheme="minorHAnsi" w:cstheme="minorHAnsi"/>
                <w:sz w:val="18"/>
                <w:szCs w:val="14"/>
              </w:rPr>
            </w:pPr>
            <w:r w:rsidRPr="003C073E">
              <w:rPr>
                <w:rFonts w:asciiTheme="minorHAnsi" w:hAnsiTheme="minorHAnsi" w:cstheme="minorHAnsi"/>
                <w:sz w:val="18"/>
                <w:szCs w:val="14"/>
              </w:rPr>
              <w:t xml:space="preserve">Contract liabilities </w:t>
            </w:r>
          </w:p>
        </w:tc>
        <w:tc>
          <w:tcPr>
            <w:tcW w:w="1244" w:type="dxa"/>
          </w:tcPr>
          <w:p w14:paraId="321E2B4A" w14:textId="154BA6C2" w:rsidR="00B02873" w:rsidRPr="007845E8" w:rsidRDefault="00B02873" w:rsidP="003C073E">
            <w:pPr>
              <w:pStyle w:val="TablebodyleftFinancialsTables"/>
              <w:jc w:val="right"/>
              <w:rPr>
                <w:rFonts w:asciiTheme="minorHAnsi" w:hAnsiTheme="minorHAnsi" w:cstheme="minorHAnsi"/>
                <w:b/>
                <w:bCs/>
                <w:sz w:val="18"/>
                <w:szCs w:val="14"/>
              </w:rPr>
            </w:pPr>
            <w:r w:rsidRPr="007845E8">
              <w:rPr>
                <w:rFonts w:asciiTheme="minorHAnsi" w:hAnsiTheme="minorHAnsi" w:cstheme="minorHAnsi"/>
                <w:b/>
                <w:bCs/>
                <w:sz w:val="18"/>
                <w:szCs w:val="14"/>
              </w:rPr>
              <w:t>328</w:t>
            </w:r>
          </w:p>
        </w:tc>
        <w:tc>
          <w:tcPr>
            <w:tcW w:w="1259" w:type="dxa"/>
          </w:tcPr>
          <w:p w14:paraId="4A6F7858" w14:textId="77777777" w:rsidR="00B02873" w:rsidRPr="003C073E" w:rsidRDefault="00B02873" w:rsidP="003C073E">
            <w:pPr>
              <w:pStyle w:val="TablebodyleftFinancialsTables"/>
              <w:jc w:val="right"/>
              <w:rPr>
                <w:rFonts w:asciiTheme="minorHAnsi" w:hAnsiTheme="minorHAnsi" w:cstheme="minorHAnsi"/>
                <w:sz w:val="18"/>
                <w:szCs w:val="14"/>
              </w:rPr>
            </w:pPr>
            <w:r w:rsidRPr="003C073E">
              <w:rPr>
                <w:rFonts w:asciiTheme="minorHAnsi" w:hAnsiTheme="minorHAnsi" w:cstheme="minorHAnsi"/>
                <w:sz w:val="18"/>
                <w:szCs w:val="14"/>
              </w:rPr>
              <w:t>231</w:t>
            </w:r>
          </w:p>
        </w:tc>
        <w:tc>
          <w:tcPr>
            <w:tcW w:w="1236" w:type="dxa"/>
          </w:tcPr>
          <w:p w14:paraId="3168A63B" w14:textId="77777777" w:rsidR="00B02873" w:rsidRPr="007845E8" w:rsidRDefault="00B02873" w:rsidP="003C073E">
            <w:pPr>
              <w:pStyle w:val="TablebodyleftFinancialsTables"/>
              <w:jc w:val="right"/>
              <w:rPr>
                <w:rFonts w:asciiTheme="minorHAnsi" w:hAnsiTheme="minorHAnsi" w:cstheme="minorHAnsi"/>
                <w:b/>
                <w:bCs/>
                <w:sz w:val="18"/>
                <w:szCs w:val="14"/>
              </w:rPr>
            </w:pPr>
            <w:r w:rsidRPr="007845E8">
              <w:rPr>
                <w:rFonts w:asciiTheme="minorHAnsi" w:hAnsiTheme="minorHAnsi" w:cstheme="minorHAnsi"/>
                <w:b/>
                <w:bCs/>
                <w:sz w:val="18"/>
                <w:szCs w:val="14"/>
              </w:rPr>
              <w:t>170</w:t>
            </w:r>
          </w:p>
        </w:tc>
        <w:tc>
          <w:tcPr>
            <w:tcW w:w="1246" w:type="dxa"/>
          </w:tcPr>
          <w:p w14:paraId="16BDEC3E" w14:textId="77777777" w:rsidR="00B02873" w:rsidRPr="003C073E" w:rsidRDefault="00B02873" w:rsidP="003C073E">
            <w:pPr>
              <w:pStyle w:val="TablebodyleftFinancialsTables"/>
              <w:jc w:val="right"/>
              <w:rPr>
                <w:rFonts w:asciiTheme="minorHAnsi" w:hAnsiTheme="minorHAnsi" w:cstheme="minorHAnsi"/>
                <w:sz w:val="18"/>
                <w:szCs w:val="14"/>
              </w:rPr>
            </w:pPr>
            <w:r w:rsidRPr="003C073E">
              <w:rPr>
                <w:rFonts w:asciiTheme="minorHAnsi" w:hAnsiTheme="minorHAnsi" w:cstheme="minorHAnsi"/>
                <w:sz w:val="18"/>
                <w:szCs w:val="14"/>
              </w:rPr>
              <w:t>168</w:t>
            </w:r>
          </w:p>
        </w:tc>
        <w:tc>
          <w:tcPr>
            <w:tcW w:w="1070" w:type="dxa"/>
          </w:tcPr>
          <w:p w14:paraId="0F1CD2F4" w14:textId="77777777" w:rsidR="00B02873" w:rsidRPr="007845E8" w:rsidRDefault="00B02873" w:rsidP="003C073E">
            <w:pPr>
              <w:pStyle w:val="TablebodyleftFinancialsTables"/>
              <w:jc w:val="right"/>
              <w:rPr>
                <w:rFonts w:asciiTheme="minorHAnsi" w:hAnsiTheme="minorHAnsi" w:cstheme="minorHAnsi"/>
                <w:b/>
                <w:bCs/>
                <w:sz w:val="18"/>
                <w:szCs w:val="14"/>
              </w:rPr>
            </w:pPr>
            <w:r w:rsidRPr="007845E8">
              <w:rPr>
                <w:rFonts w:asciiTheme="minorHAnsi" w:hAnsiTheme="minorHAnsi" w:cstheme="minorHAnsi"/>
                <w:b/>
                <w:bCs/>
                <w:sz w:val="18"/>
                <w:szCs w:val="14"/>
              </w:rPr>
              <w:t>297</w:t>
            </w:r>
          </w:p>
        </w:tc>
        <w:tc>
          <w:tcPr>
            <w:tcW w:w="1064" w:type="dxa"/>
          </w:tcPr>
          <w:p w14:paraId="5FD5989B" w14:textId="77777777" w:rsidR="00B02873" w:rsidRPr="003C073E" w:rsidRDefault="00B02873" w:rsidP="003C073E">
            <w:pPr>
              <w:pStyle w:val="TablebodyleftFinancialsTables"/>
              <w:jc w:val="right"/>
              <w:rPr>
                <w:rFonts w:asciiTheme="minorHAnsi" w:hAnsiTheme="minorHAnsi" w:cstheme="minorHAnsi"/>
                <w:sz w:val="18"/>
                <w:szCs w:val="14"/>
              </w:rPr>
            </w:pPr>
            <w:r w:rsidRPr="003C073E">
              <w:rPr>
                <w:rFonts w:asciiTheme="minorHAnsi" w:hAnsiTheme="minorHAnsi" w:cstheme="minorHAnsi"/>
                <w:sz w:val="18"/>
                <w:szCs w:val="14"/>
              </w:rPr>
              <w:t>199</w:t>
            </w:r>
          </w:p>
        </w:tc>
      </w:tr>
      <w:tr w:rsidR="00B02873" w:rsidRPr="003C073E" w14:paraId="41C45BE2" w14:textId="77777777" w:rsidTr="007845E8">
        <w:tc>
          <w:tcPr>
            <w:tcW w:w="2830" w:type="dxa"/>
          </w:tcPr>
          <w:p w14:paraId="2B51311F" w14:textId="77777777" w:rsidR="00B02873" w:rsidRPr="003C073E" w:rsidRDefault="00B02873" w:rsidP="003C073E">
            <w:pPr>
              <w:pStyle w:val="TablebodyleftFinancialsTables"/>
              <w:rPr>
                <w:rFonts w:asciiTheme="minorHAnsi" w:hAnsiTheme="minorHAnsi" w:cstheme="minorHAnsi"/>
                <w:sz w:val="18"/>
                <w:szCs w:val="14"/>
              </w:rPr>
            </w:pPr>
            <w:r w:rsidRPr="003C073E">
              <w:rPr>
                <w:rFonts w:asciiTheme="minorHAnsi" w:hAnsiTheme="minorHAnsi" w:cstheme="minorHAnsi"/>
                <w:sz w:val="18"/>
                <w:szCs w:val="14"/>
              </w:rPr>
              <w:t xml:space="preserve">Grant of right to operate liability (Note 4.2.4) </w:t>
            </w:r>
          </w:p>
        </w:tc>
        <w:tc>
          <w:tcPr>
            <w:tcW w:w="1244" w:type="dxa"/>
          </w:tcPr>
          <w:p w14:paraId="64D64E92" w14:textId="77777777" w:rsidR="00B02873" w:rsidRPr="007845E8" w:rsidRDefault="00B02873" w:rsidP="003C073E">
            <w:pPr>
              <w:pStyle w:val="TablebodyleftFinancialsTables"/>
              <w:jc w:val="right"/>
              <w:rPr>
                <w:rFonts w:asciiTheme="minorHAnsi" w:hAnsiTheme="minorHAnsi" w:cstheme="minorHAnsi"/>
                <w:b/>
                <w:bCs/>
                <w:sz w:val="18"/>
                <w:szCs w:val="14"/>
              </w:rPr>
            </w:pPr>
            <w:r w:rsidRPr="007845E8">
              <w:rPr>
                <w:rFonts w:asciiTheme="minorHAnsi" w:hAnsiTheme="minorHAnsi" w:cstheme="minorHAnsi"/>
                <w:b/>
                <w:bCs/>
                <w:sz w:val="18"/>
                <w:szCs w:val="14"/>
              </w:rPr>
              <w:t>–</w:t>
            </w:r>
          </w:p>
        </w:tc>
        <w:tc>
          <w:tcPr>
            <w:tcW w:w="1259" w:type="dxa"/>
          </w:tcPr>
          <w:p w14:paraId="0C912EDA" w14:textId="77777777" w:rsidR="00B02873" w:rsidRPr="003C073E" w:rsidRDefault="00B02873" w:rsidP="003C073E">
            <w:pPr>
              <w:pStyle w:val="TablebodyleftFinancialsTables"/>
              <w:jc w:val="right"/>
              <w:rPr>
                <w:rFonts w:asciiTheme="minorHAnsi" w:hAnsiTheme="minorHAnsi" w:cstheme="minorHAnsi"/>
                <w:sz w:val="18"/>
                <w:szCs w:val="14"/>
              </w:rPr>
            </w:pPr>
            <w:r w:rsidRPr="003C073E">
              <w:rPr>
                <w:rFonts w:asciiTheme="minorHAnsi" w:hAnsiTheme="minorHAnsi" w:cstheme="minorHAnsi"/>
                <w:sz w:val="18"/>
                <w:szCs w:val="14"/>
              </w:rPr>
              <w:t>–</w:t>
            </w:r>
          </w:p>
        </w:tc>
        <w:tc>
          <w:tcPr>
            <w:tcW w:w="1236" w:type="dxa"/>
          </w:tcPr>
          <w:p w14:paraId="38BF25AE" w14:textId="77777777" w:rsidR="00B02873" w:rsidRPr="007845E8" w:rsidRDefault="00B02873" w:rsidP="003C073E">
            <w:pPr>
              <w:pStyle w:val="TablebodyleftFinancialsTables"/>
              <w:jc w:val="right"/>
              <w:rPr>
                <w:rFonts w:asciiTheme="minorHAnsi" w:hAnsiTheme="minorHAnsi" w:cstheme="minorHAnsi"/>
                <w:b/>
                <w:bCs/>
                <w:sz w:val="18"/>
                <w:szCs w:val="14"/>
              </w:rPr>
            </w:pPr>
            <w:r w:rsidRPr="007845E8">
              <w:rPr>
                <w:rFonts w:asciiTheme="minorHAnsi" w:hAnsiTheme="minorHAnsi" w:cstheme="minorHAnsi"/>
                <w:b/>
                <w:bCs/>
                <w:sz w:val="18"/>
                <w:szCs w:val="14"/>
              </w:rPr>
              <w:t>–</w:t>
            </w:r>
          </w:p>
        </w:tc>
        <w:tc>
          <w:tcPr>
            <w:tcW w:w="1246" w:type="dxa"/>
          </w:tcPr>
          <w:p w14:paraId="18155ECD" w14:textId="77777777" w:rsidR="00B02873" w:rsidRPr="003C073E" w:rsidRDefault="00B02873" w:rsidP="003C073E">
            <w:pPr>
              <w:pStyle w:val="TablebodyleftFinancialsTables"/>
              <w:jc w:val="right"/>
              <w:rPr>
                <w:rFonts w:asciiTheme="minorHAnsi" w:hAnsiTheme="minorHAnsi" w:cstheme="minorHAnsi"/>
                <w:sz w:val="18"/>
                <w:szCs w:val="14"/>
              </w:rPr>
            </w:pPr>
            <w:r w:rsidRPr="003C073E">
              <w:rPr>
                <w:rFonts w:asciiTheme="minorHAnsi" w:hAnsiTheme="minorHAnsi" w:cstheme="minorHAnsi"/>
                <w:sz w:val="18"/>
                <w:szCs w:val="14"/>
              </w:rPr>
              <w:t>–</w:t>
            </w:r>
          </w:p>
        </w:tc>
        <w:tc>
          <w:tcPr>
            <w:tcW w:w="1070" w:type="dxa"/>
          </w:tcPr>
          <w:p w14:paraId="06E2A91B" w14:textId="77777777" w:rsidR="00B02873" w:rsidRPr="007845E8" w:rsidRDefault="00B02873" w:rsidP="003C073E">
            <w:pPr>
              <w:pStyle w:val="TablebodyleftFinancialsTables"/>
              <w:jc w:val="right"/>
              <w:rPr>
                <w:rFonts w:asciiTheme="minorHAnsi" w:hAnsiTheme="minorHAnsi" w:cstheme="minorHAnsi"/>
                <w:b/>
                <w:bCs/>
                <w:sz w:val="18"/>
                <w:szCs w:val="14"/>
              </w:rPr>
            </w:pPr>
            <w:r w:rsidRPr="007845E8">
              <w:rPr>
                <w:rFonts w:asciiTheme="minorHAnsi" w:hAnsiTheme="minorHAnsi" w:cstheme="minorHAnsi"/>
                <w:b/>
                <w:bCs/>
                <w:sz w:val="18"/>
                <w:szCs w:val="14"/>
              </w:rPr>
              <w:t>2,589,272</w:t>
            </w:r>
          </w:p>
        </w:tc>
        <w:tc>
          <w:tcPr>
            <w:tcW w:w="1064" w:type="dxa"/>
          </w:tcPr>
          <w:p w14:paraId="407E20FD" w14:textId="77777777" w:rsidR="00B02873" w:rsidRPr="003C073E" w:rsidRDefault="00B02873" w:rsidP="003C073E">
            <w:pPr>
              <w:pStyle w:val="TablebodyleftFinancialsTables"/>
              <w:jc w:val="right"/>
              <w:rPr>
                <w:rFonts w:asciiTheme="minorHAnsi" w:hAnsiTheme="minorHAnsi" w:cstheme="minorHAnsi"/>
                <w:sz w:val="18"/>
                <w:szCs w:val="14"/>
              </w:rPr>
            </w:pPr>
            <w:r w:rsidRPr="003C073E">
              <w:rPr>
                <w:rFonts w:asciiTheme="minorHAnsi" w:hAnsiTheme="minorHAnsi" w:cstheme="minorHAnsi"/>
                <w:sz w:val="18"/>
                <w:szCs w:val="14"/>
              </w:rPr>
              <w:t>2,660,653</w:t>
            </w:r>
          </w:p>
        </w:tc>
      </w:tr>
      <w:tr w:rsidR="00B02873" w:rsidRPr="003C073E" w14:paraId="5CA3A94B" w14:textId="77777777" w:rsidTr="007845E8">
        <w:tc>
          <w:tcPr>
            <w:tcW w:w="2830" w:type="dxa"/>
          </w:tcPr>
          <w:p w14:paraId="2505BC01" w14:textId="77777777" w:rsidR="00B02873" w:rsidRPr="003C073E" w:rsidRDefault="00B02873" w:rsidP="003C073E">
            <w:pPr>
              <w:pStyle w:val="TablebodyleftFinancialsTables"/>
              <w:rPr>
                <w:rFonts w:asciiTheme="minorHAnsi" w:hAnsiTheme="minorHAnsi" w:cstheme="minorHAnsi"/>
                <w:sz w:val="18"/>
                <w:szCs w:val="14"/>
              </w:rPr>
            </w:pPr>
            <w:r w:rsidRPr="003C073E">
              <w:rPr>
                <w:rFonts w:asciiTheme="minorHAnsi" w:hAnsiTheme="minorHAnsi" w:cstheme="minorHAnsi"/>
                <w:sz w:val="18"/>
                <w:szCs w:val="14"/>
              </w:rPr>
              <w:t>Borrowings (Note 4.2.5)</w:t>
            </w:r>
          </w:p>
        </w:tc>
        <w:tc>
          <w:tcPr>
            <w:tcW w:w="1244" w:type="dxa"/>
          </w:tcPr>
          <w:p w14:paraId="680A301A" w14:textId="77777777" w:rsidR="00B02873" w:rsidRPr="007845E8" w:rsidRDefault="00B02873" w:rsidP="003C073E">
            <w:pPr>
              <w:pStyle w:val="TablebodyleftFinancialsTables"/>
              <w:jc w:val="right"/>
              <w:rPr>
                <w:rFonts w:asciiTheme="minorHAnsi" w:hAnsiTheme="minorHAnsi" w:cstheme="minorHAnsi"/>
                <w:b/>
                <w:bCs/>
                <w:sz w:val="18"/>
                <w:szCs w:val="14"/>
              </w:rPr>
            </w:pPr>
            <w:r w:rsidRPr="007845E8">
              <w:rPr>
                <w:rFonts w:asciiTheme="minorHAnsi" w:hAnsiTheme="minorHAnsi" w:cstheme="minorHAnsi"/>
                <w:b/>
                <w:bCs/>
                <w:sz w:val="18"/>
                <w:szCs w:val="14"/>
              </w:rPr>
              <w:t>–</w:t>
            </w:r>
          </w:p>
        </w:tc>
        <w:tc>
          <w:tcPr>
            <w:tcW w:w="1259" w:type="dxa"/>
          </w:tcPr>
          <w:p w14:paraId="69E4490F" w14:textId="77777777" w:rsidR="00B02873" w:rsidRPr="003C073E" w:rsidRDefault="00B02873" w:rsidP="003C073E">
            <w:pPr>
              <w:pStyle w:val="TablebodyleftFinancialsTables"/>
              <w:jc w:val="right"/>
              <w:rPr>
                <w:rFonts w:asciiTheme="minorHAnsi" w:hAnsiTheme="minorHAnsi" w:cstheme="minorHAnsi"/>
                <w:sz w:val="18"/>
                <w:szCs w:val="14"/>
              </w:rPr>
            </w:pPr>
            <w:r w:rsidRPr="003C073E">
              <w:rPr>
                <w:rFonts w:asciiTheme="minorHAnsi" w:hAnsiTheme="minorHAnsi" w:cstheme="minorHAnsi"/>
                <w:sz w:val="18"/>
                <w:szCs w:val="14"/>
              </w:rPr>
              <w:t>–</w:t>
            </w:r>
          </w:p>
        </w:tc>
        <w:tc>
          <w:tcPr>
            <w:tcW w:w="1236" w:type="dxa"/>
          </w:tcPr>
          <w:p w14:paraId="75D3A8B3" w14:textId="77777777" w:rsidR="00B02873" w:rsidRPr="007845E8" w:rsidRDefault="00B02873" w:rsidP="003C073E">
            <w:pPr>
              <w:pStyle w:val="TablebodyleftFinancialsTables"/>
              <w:jc w:val="right"/>
              <w:rPr>
                <w:rFonts w:asciiTheme="minorHAnsi" w:hAnsiTheme="minorHAnsi" w:cstheme="minorHAnsi"/>
                <w:b/>
                <w:bCs/>
                <w:sz w:val="18"/>
                <w:szCs w:val="14"/>
              </w:rPr>
            </w:pPr>
            <w:r w:rsidRPr="007845E8">
              <w:rPr>
                <w:rFonts w:asciiTheme="minorHAnsi" w:hAnsiTheme="minorHAnsi" w:cstheme="minorHAnsi"/>
                <w:b/>
                <w:bCs/>
                <w:sz w:val="18"/>
                <w:szCs w:val="14"/>
              </w:rPr>
              <w:t>–</w:t>
            </w:r>
          </w:p>
        </w:tc>
        <w:tc>
          <w:tcPr>
            <w:tcW w:w="1246" w:type="dxa"/>
          </w:tcPr>
          <w:p w14:paraId="53FBDC94" w14:textId="77777777" w:rsidR="00B02873" w:rsidRPr="003C073E" w:rsidRDefault="00B02873" w:rsidP="003C073E">
            <w:pPr>
              <w:pStyle w:val="TablebodyleftFinancialsTables"/>
              <w:jc w:val="right"/>
              <w:rPr>
                <w:rFonts w:asciiTheme="minorHAnsi" w:hAnsiTheme="minorHAnsi" w:cstheme="minorHAnsi"/>
                <w:sz w:val="18"/>
                <w:szCs w:val="14"/>
              </w:rPr>
            </w:pPr>
            <w:r w:rsidRPr="003C073E">
              <w:rPr>
                <w:rFonts w:asciiTheme="minorHAnsi" w:hAnsiTheme="minorHAnsi" w:cstheme="minorHAnsi"/>
                <w:sz w:val="18"/>
                <w:szCs w:val="14"/>
              </w:rPr>
              <w:t>–</w:t>
            </w:r>
          </w:p>
        </w:tc>
        <w:tc>
          <w:tcPr>
            <w:tcW w:w="1070" w:type="dxa"/>
          </w:tcPr>
          <w:p w14:paraId="0049F5DB" w14:textId="77777777" w:rsidR="00B02873" w:rsidRPr="007845E8" w:rsidRDefault="00B02873" w:rsidP="003C073E">
            <w:pPr>
              <w:pStyle w:val="TablebodyleftFinancialsTables"/>
              <w:jc w:val="right"/>
              <w:rPr>
                <w:rFonts w:asciiTheme="minorHAnsi" w:hAnsiTheme="minorHAnsi" w:cstheme="minorHAnsi"/>
                <w:b/>
                <w:bCs/>
                <w:sz w:val="18"/>
                <w:szCs w:val="14"/>
              </w:rPr>
            </w:pPr>
            <w:r w:rsidRPr="007845E8">
              <w:rPr>
                <w:rFonts w:asciiTheme="minorHAnsi" w:hAnsiTheme="minorHAnsi" w:cstheme="minorHAnsi"/>
                <w:b/>
                <w:bCs/>
                <w:sz w:val="18"/>
                <w:szCs w:val="14"/>
              </w:rPr>
              <w:t>–</w:t>
            </w:r>
          </w:p>
        </w:tc>
        <w:tc>
          <w:tcPr>
            <w:tcW w:w="1064" w:type="dxa"/>
          </w:tcPr>
          <w:p w14:paraId="30698F1A" w14:textId="77777777" w:rsidR="00B02873" w:rsidRPr="003C073E" w:rsidRDefault="00B02873" w:rsidP="003C073E">
            <w:pPr>
              <w:pStyle w:val="TablebodyleftFinancialsTables"/>
              <w:jc w:val="right"/>
              <w:rPr>
                <w:rFonts w:asciiTheme="minorHAnsi" w:hAnsiTheme="minorHAnsi" w:cstheme="minorHAnsi"/>
                <w:sz w:val="18"/>
                <w:szCs w:val="14"/>
              </w:rPr>
            </w:pPr>
            <w:r w:rsidRPr="003C073E">
              <w:rPr>
                <w:rFonts w:asciiTheme="minorHAnsi" w:hAnsiTheme="minorHAnsi" w:cstheme="minorHAnsi"/>
                <w:sz w:val="18"/>
                <w:szCs w:val="14"/>
              </w:rPr>
              <w:t>–</w:t>
            </w:r>
          </w:p>
        </w:tc>
      </w:tr>
      <w:tr w:rsidR="00B02873" w:rsidRPr="003C073E" w14:paraId="020275D6" w14:textId="77777777" w:rsidTr="007845E8">
        <w:tc>
          <w:tcPr>
            <w:tcW w:w="2830" w:type="dxa"/>
          </w:tcPr>
          <w:p w14:paraId="0DA28A1A" w14:textId="77777777" w:rsidR="00B02873" w:rsidRPr="003C073E" w:rsidRDefault="00B02873" w:rsidP="003C073E">
            <w:pPr>
              <w:pStyle w:val="TablebodyleftFinancialsTables"/>
              <w:rPr>
                <w:rFonts w:asciiTheme="minorHAnsi" w:hAnsiTheme="minorHAnsi" w:cstheme="minorHAnsi"/>
                <w:sz w:val="18"/>
                <w:szCs w:val="14"/>
              </w:rPr>
            </w:pPr>
            <w:r w:rsidRPr="003C073E">
              <w:rPr>
                <w:rFonts w:asciiTheme="minorHAnsi" w:hAnsiTheme="minorHAnsi" w:cstheme="minorHAnsi"/>
                <w:sz w:val="18"/>
                <w:szCs w:val="14"/>
              </w:rPr>
              <w:lastRenderedPageBreak/>
              <w:t>Other liabilities</w:t>
            </w:r>
          </w:p>
        </w:tc>
        <w:tc>
          <w:tcPr>
            <w:tcW w:w="1244" w:type="dxa"/>
          </w:tcPr>
          <w:p w14:paraId="2F98B17B" w14:textId="77777777" w:rsidR="00B02873" w:rsidRPr="007845E8" w:rsidRDefault="00B02873" w:rsidP="003C073E">
            <w:pPr>
              <w:pStyle w:val="TablebodyleftFinancialsTables"/>
              <w:jc w:val="right"/>
              <w:rPr>
                <w:rFonts w:asciiTheme="minorHAnsi" w:hAnsiTheme="minorHAnsi" w:cstheme="minorHAnsi"/>
                <w:b/>
                <w:bCs/>
                <w:sz w:val="18"/>
                <w:szCs w:val="14"/>
              </w:rPr>
            </w:pPr>
            <w:r w:rsidRPr="007845E8">
              <w:rPr>
                <w:rFonts w:asciiTheme="minorHAnsi" w:hAnsiTheme="minorHAnsi" w:cstheme="minorHAnsi"/>
                <w:b/>
                <w:bCs/>
                <w:sz w:val="18"/>
                <w:szCs w:val="14"/>
              </w:rPr>
              <w:t>–</w:t>
            </w:r>
          </w:p>
        </w:tc>
        <w:tc>
          <w:tcPr>
            <w:tcW w:w="1259" w:type="dxa"/>
          </w:tcPr>
          <w:p w14:paraId="0FDD91B4" w14:textId="77777777" w:rsidR="00B02873" w:rsidRPr="003C073E" w:rsidRDefault="00B02873" w:rsidP="003C073E">
            <w:pPr>
              <w:pStyle w:val="TablebodyleftFinancialsTables"/>
              <w:jc w:val="right"/>
              <w:rPr>
                <w:rFonts w:asciiTheme="minorHAnsi" w:hAnsiTheme="minorHAnsi" w:cstheme="minorHAnsi"/>
                <w:sz w:val="18"/>
                <w:szCs w:val="14"/>
              </w:rPr>
            </w:pPr>
            <w:r w:rsidRPr="003C073E">
              <w:rPr>
                <w:rFonts w:asciiTheme="minorHAnsi" w:hAnsiTheme="minorHAnsi" w:cstheme="minorHAnsi"/>
                <w:sz w:val="18"/>
                <w:szCs w:val="14"/>
              </w:rPr>
              <w:t>–</w:t>
            </w:r>
          </w:p>
        </w:tc>
        <w:tc>
          <w:tcPr>
            <w:tcW w:w="1236" w:type="dxa"/>
          </w:tcPr>
          <w:p w14:paraId="422B6DF3" w14:textId="77777777" w:rsidR="00B02873" w:rsidRPr="007845E8" w:rsidRDefault="00B02873" w:rsidP="003C073E">
            <w:pPr>
              <w:pStyle w:val="TablebodyleftFinancialsTables"/>
              <w:jc w:val="right"/>
              <w:rPr>
                <w:rFonts w:asciiTheme="minorHAnsi" w:hAnsiTheme="minorHAnsi" w:cstheme="minorHAnsi"/>
                <w:b/>
                <w:bCs/>
                <w:sz w:val="18"/>
                <w:szCs w:val="14"/>
              </w:rPr>
            </w:pPr>
            <w:r w:rsidRPr="007845E8">
              <w:rPr>
                <w:rFonts w:asciiTheme="minorHAnsi" w:hAnsiTheme="minorHAnsi" w:cstheme="minorHAnsi"/>
                <w:b/>
                <w:bCs/>
                <w:sz w:val="18"/>
                <w:szCs w:val="14"/>
              </w:rPr>
              <w:t>–</w:t>
            </w:r>
          </w:p>
        </w:tc>
        <w:tc>
          <w:tcPr>
            <w:tcW w:w="1246" w:type="dxa"/>
          </w:tcPr>
          <w:p w14:paraId="1725C8AA" w14:textId="77777777" w:rsidR="00B02873" w:rsidRPr="003C073E" w:rsidRDefault="00B02873" w:rsidP="003C073E">
            <w:pPr>
              <w:pStyle w:val="TablebodyleftFinancialsTables"/>
              <w:jc w:val="right"/>
              <w:rPr>
                <w:rFonts w:asciiTheme="minorHAnsi" w:hAnsiTheme="minorHAnsi" w:cstheme="minorHAnsi"/>
                <w:sz w:val="18"/>
                <w:szCs w:val="14"/>
              </w:rPr>
            </w:pPr>
            <w:r w:rsidRPr="003C073E">
              <w:rPr>
                <w:rFonts w:asciiTheme="minorHAnsi" w:hAnsiTheme="minorHAnsi" w:cstheme="minorHAnsi"/>
                <w:sz w:val="18"/>
                <w:szCs w:val="14"/>
              </w:rPr>
              <w:t>–</w:t>
            </w:r>
          </w:p>
        </w:tc>
        <w:tc>
          <w:tcPr>
            <w:tcW w:w="1070" w:type="dxa"/>
          </w:tcPr>
          <w:p w14:paraId="1F8FDCE1" w14:textId="77777777" w:rsidR="00B02873" w:rsidRPr="007845E8" w:rsidRDefault="00B02873" w:rsidP="003C073E">
            <w:pPr>
              <w:pStyle w:val="TablebodyleftFinancialsTables"/>
              <w:jc w:val="right"/>
              <w:rPr>
                <w:rFonts w:asciiTheme="minorHAnsi" w:hAnsiTheme="minorHAnsi" w:cstheme="minorHAnsi"/>
                <w:b/>
                <w:bCs/>
                <w:sz w:val="18"/>
                <w:szCs w:val="14"/>
              </w:rPr>
            </w:pPr>
            <w:r w:rsidRPr="007845E8">
              <w:rPr>
                <w:rFonts w:asciiTheme="minorHAnsi" w:hAnsiTheme="minorHAnsi" w:cstheme="minorHAnsi"/>
                <w:b/>
                <w:bCs/>
                <w:sz w:val="18"/>
                <w:szCs w:val="14"/>
              </w:rPr>
              <w:t>–</w:t>
            </w:r>
          </w:p>
        </w:tc>
        <w:tc>
          <w:tcPr>
            <w:tcW w:w="1064" w:type="dxa"/>
          </w:tcPr>
          <w:p w14:paraId="6D196346" w14:textId="77777777" w:rsidR="00B02873" w:rsidRPr="003C073E" w:rsidRDefault="00B02873" w:rsidP="003C073E">
            <w:pPr>
              <w:pStyle w:val="TablebodyleftFinancialsTables"/>
              <w:jc w:val="right"/>
              <w:rPr>
                <w:rFonts w:asciiTheme="minorHAnsi" w:hAnsiTheme="minorHAnsi" w:cstheme="minorHAnsi"/>
                <w:sz w:val="18"/>
                <w:szCs w:val="14"/>
              </w:rPr>
            </w:pPr>
            <w:r w:rsidRPr="003C073E">
              <w:rPr>
                <w:rFonts w:asciiTheme="minorHAnsi" w:hAnsiTheme="minorHAnsi" w:cstheme="minorHAnsi"/>
                <w:sz w:val="18"/>
                <w:szCs w:val="14"/>
              </w:rPr>
              <w:t>–</w:t>
            </w:r>
          </w:p>
        </w:tc>
      </w:tr>
      <w:tr w:rsidR="00B02873" w:rsidRPr="003C073E" w14:paraId="11D11447" w14:textId="77777777" w:rsidTr="007845E8">
        <w:tc>
          <w:tcPr>
            <w:tcW w:w="2830" w:type="dxa"/>
          </w:tcPr>
          <w:p w14:paraId="336F3A88" w14:textId="77777777" w:rsidR="00B02873" w:rsidRPr="007845E8" w:rsidRDefault="00B02873" w:rsidP="003C073E">
            <w:pPr>
              <w:pStyle w:val="TablebodyleftFinancialsTables"/>
              <w:rPr>
                <w:rFonts w:asciiTheme="minorHAnsi" w:hAnsiTheme="minorHAnsi" w:cstheme="minorHAnsi"/>
                <w:b/>
                <w:bCs/>
                <w:sz w:val="18"/>
                <w:szCs w:val="14"/>
              </w:rPr>
            </w:pPr>
            <w:r w:rsidRPr="007845E8">
              <w:rPr>
                <w:rFonts w:asciiTheme="minorHAnsi" w:hAnsiTheme="minorHAnsi" w:cstheme="minorHAnsi"/>
                <w:b/>
                <w:bCs/>
                <w:sz w:val="18"/>
                <w:szCs w:val="14"/>
              </w:rPr>
              <w:t>Total administered liabilities</w:t>
            </w:r>
          </w:p>
        </w:tc>
        <w:tc>
          <w:tcPr>
            <w:tcW w:w="1244" w:type="dxa"/>
          </w:tcPr>
          <w:p w14:paraId="4D253831" w14:textId="77777777" w:rsidR="00B02873" w:rsidRPr="007845E8" w:rsidRDefault="00B02873" w:rsidP="003C073E">
            <w:pPr>
              <w:pStyle w:val="TablebodyleftFinancialsTables"/>
              <w:jc w:val="right"/>
              <w:rPr>
                <w:rFonts w:asciiTheme="minorHAnsi" w:hAnsiTheme="minorHAnsi" w:cstheme="minorHAnsi"/>
                <w:b/>
                <w:bCs/>
                <w:sz w:val="18"/>
                <w:szCs w:val="14"/>
              </w:rPr>
            </w:pPr>
            <w:r w:rsidRPr="007845E8">
              <w:rPr>
                <w:rFonts w:asciiTheme="minorHAnsi" w:hAnsiTheme="minorHAnsi" w:cstheme="minorHAnsi"/>
                <w:b/>
                <w:bCs/>
                <w:sz w:val="18"/>
                <w:szCs w:val="14"/>
              </w:rPr>
              <w:t>1,050</w:t>
            </w:r>
          </w:p>
        </w:tc>
        <w:tc>
          <w:tcPr>
            <w:tcW w:w="1259" w:type="dxa"/>
          </w:tcPr>
          <w:p w14:paraId="27E996E7" w14:textId="77777777" w:rsidR="00B02873" w:rsidRPr="003C073E" w:rsidRDefault="00B02873" w:rsidP="003C073E">
            <w:pPr>
              <w:pStyle w:val="TablebodyleftFinancialsTables"/>
              <w:jc w:val="right"/>
              <w:rPr>
                <w:rFonts w:asciiTheme="minorHAnsi" w:hAnsiTheme="minorHAnsi" w:cstheme="minorHAnsi"/>
                <w:sz w:val="18"/>
                <w:szCs w:val="14"/>
              </w:rPr>
            </w:pPr>
            <w:r w:rsidRPr="003C073E">
              <w:rPr>
                <w:rFonts w:asciiTheme="minorHAnsi" w:hAnsiTheme="minorHAnsi" w:cstheme="minorHAnsi"/>
                <w:sz w:val="18"/>
                <w:szCs w:val="14"/>
              </w:rPr>
              <w:t xml:space="preserve"> 771</w:t>
            </w:r>
          </w:p>
        </w:tc>
        <w:tc>
          <w:tcPr>
            <w:tcW w:w="1236" w:type="dxa"/>
          </w:tcPr>
          <w:p w14:paraId="474EF35C" w14:textId="77777777" w:rsidR="00B02873" w:rsidRPr="007845E8" w:rsidRDefault="00B02873" w:rsidP="003C073E">
            <w:pPr>
              <w:pStyle w:val="TablebodyleftFinancialsTables"/>
              <w:jc w:val="right"/>
              <w:rPr>
                <w:rFonts w:asciiTheme="minorHAnsi" w:hAnsiTheme="minorHAnsi" w:cstheme="minorHAnsi"/>
                <w:b/>
                <w:bCs/>
                <w:sz w:val="18"/>
                <w:szCs w:val="14"/>
              </w:rPr>
            </w:pPr>
            <w:r w:rsidRPr="007845E8">
              <w:rPr>
                <w:rFonts w:asciiTheme="minorHAnsi" w:hAnsiTheme="minorHAnsi" w:cstheme="minorHAnsi"/>
                <w:b/>
                <w:bCs/>
                <w:sz w:val="18"/>
                <w:szCs w:val="14"/>
              </w:rPr>
              <w:t>545</w:t>
            </w:r>
          </w:p>
        </w:tc>
        <w:tc>
          <w:tcPr>
            <w:tcW w:w="1246" w:type="dxa"/>
          </w:tcPr>
          <w:p w14:paraId="3ADAE94A" w14:textId="77777777" w:rsidR="00B02873" w:rsidRPr="003C073E" w:rsidRDefault="00B02873" w:rsidP="003C073E">
            <w:pPr>
              <w:pStyle w:val="TablebodyleftFinancialsTables"/>
              <w:jc w:val="right"/>
              <w:rPr>
                <w:rFonts w:asciiTheme="minorHAnsi" w:hAnsiTheme="minorHAnsi" w:cstheme="minorHAnsi"/>
                <w:sz w:val="18"/>
                <w:szCs w:val="14"/>
              </w:rPr>
            </w:pPr>
            <w:r w:rsidRPr="003C073E">
              <w:rPr>
                <w:rFonts w:asciiTheme="minorHAnsi" w:hAnsiTheme="minorHAnsi" w:cstheme="minorHAnsi"/>
                <w:sz w:val="18"/>
                <w:szCs w:val="14"/>
              </w:rPr>
              <w:t>561</w:t>
            </w:r>
          </w:p>
        </w:tc>
        <w:tc>
          <w:tcPr>
            <w:tcW w:w="1070" w:type="dxa"/>
          </w:tcPr>
          <w:p w14:paraId="7B347FB1" w14:textId="77777777" w:rsidR="00B02873" w:rsidRPr="007845E8" w:rsidRDefault="00B02873" w:rsidP="003C073E">
            <w:pPr>
              <w:pStyle w:val="TablebodyleftFinancialsTables"/>
              <w:jc w:val="right"/>
              <w:rPr>
                <w:rFonts w:asciiTheme="minorHAnsi" w:hAnsiTheme="minorHAnsi" w:cstheme="minorHAnsi"/>
                <w:b/>
                <w:bCs/>
                <w:sz w:val="18"/>
                <w:szCs w:val="14"/>
              </w:rPr>
            </w:pPr>
            <w:r w:rsidRPr="007845E8">
              <w:rPr>
                <w:rFonts w:asciiTheme="minorHAnsi" w:hAnsiTheme="minorHAnsi" w:cstheme="minorHAnsi"/>
                <w:b/>
                <w:bCs/>
                <w:sz w:val="18"/>
                <w:szCs w:val="14"/>
              </w:rPr>
              <w:t>2,592,952</w:t>
            </w:r>
          </w:p>
        </w:tc>
        <w:tc>
          <w:tcPr>
            <w:tcW w:w="1064" w:type="dxa"/>
          </w:tcPr>
          <w:p w14:paraId="281391E7" w14:textId="77777777" w:rsidR="00B02873" w:rsidRPr="003C073E" w:rsidRDefault="00B02873" w:rsidP="003C073E">
            <w:pPr>
              <w:pStyle w:val="TablebodyleftFinancialsTables"/>
              <w:jc w:val="right"/>
              <w:rPr>
                <w:rFonts w:asciiTheme="minorHAnsi" w:hAnsiTheme="minorHAnsi" w:cstheme="minorHAnsi"/>
                <w:sz w:val="18"/>
                <w:szCs w:val="14"/>
              </w:rPr>
            </w:pPr>
            <w:r w:rsidRPr="003C073E">
              <w:rPr>
                <w:rFonts w:asciiTheme="minorHAnsi" w:hAnsiTheme="minorHAnsi" w:cstheme="minorHAnsi"/>
                <w:sz w:val="18"/>
                <w:szCs w:val="14"/>
              </w:rPr>
              <w:t>2,664,247</w:t>
            </w:r>
          </w:p>
        </w:tc>
      </w:tr>
      <w:tr w:rsidR="00B02873" w:rsidRPr="003C073E" w14:paraId="6F35F6C7" w14:textId="77777777" w:rsidTr="007845E8">
        <w:tc>
          <w:tcPr>
            <w:tcW w:w="2830" w:type="dxa"/>
          </w:tcPr>
          <w:p w14:paraId="1D03949A" w14:textId="77777777" w:rsidR="00B02873" w:rsidRPr="007845E8" w:rsidRDefault="00B02873" w:rsidP="003C073E">
            <w:pPr>
              <w:pStyle w:val="TablebodyleftFinancialsTables"/>
              <w:rPr>
                <w:rFonts w:asciiTheme="minorHAnsi" w:hAnsiTheme="minorHAnsi" w:cstheme="minorHAnsi"/>
                <w:b/>
                <w:bCs/>
                <w:sz w:val="18"/>
                <w:szCs w:val="14"/>
              </w:rPr>
            </w:pPr>
            <w:r w:rsidRPr="007845E8">
              <w:rPr>
                <w:rFonts w:asciiTheme="minorHAnsi" w:hAnsiTheme="minorHAnsi" w:cstheme="minorHAnsi"/>
                <w:b/>
                <w:bCs/>
                <w:sz w:val="18"/>
                <w:szCs w:val="14"/>
              </w:rPr>
              <w:t>Total administered net assets</w:t>
            </w:r>
          </w:p>
        </w:tc>
        <w:tc>
          <w:tcPr>
            <w:tcW w:w="1244" w:type="dxa"/>
          </w:tcPr>
          <w:p w14:paraId="2D68A340" w14:textId="77777777" w:rsidR="00B02873" w:rsidRPr="007845E8" w:rsidRDefault="00B02873" w:rsidP="003C073E">
            <w:pPr>
              <w:pStyle w:val="TablebodyleftFinancialsTables"/>
              <w:jc w:val="right"/>
              <w:rPr>
                <w:rFonts w:asciiTheme="minorHAnsi" w:hAnsiTheme="minorHAnsi" w:cstheme="minorHAnsi"/>
                <w:b/>
                <w:bCs/>
                <w:sz w:val="18"/>
                <w:szCs w:val="14"/>
              </w:rPr>
            </w:pPr>
            <w:r w:rsidRPr="007845E8">
              <w:rPr>
                <w:rFonts w:asciiTheme="minorHAnsi" w:hAnsiTheme="minorHAnsi" w:cstheme="minorHAnsi"/>
                <w:b/>
                <w:bCs/>
                <w:sz w:val="18"/>
                <w:szCs w:val="14"/>
              </w:rPr>
              <w:t>12,414</w:t>
            </w:r>
          </w:p>
        </w:tc>
        <w:tc>
          <w:tcPr>
            <w:tcW w:w="1259" w:type="dxa"/>
          </w:tcPr>
          <w:p w14:paraId="224B96C8" w14:textId="77777777" w:rsidR="00B02873" w:rsidRPr="003C073E" w:rsidRDefault="00B02873" w:rsidP="003C073E">
            <w:pPr>
              <w:pStyle w:val="TablebodyleftFinancialsTables"/>
              <w:jc w:val="right"/>
              <w:rPr>
                <w:rFonts w:asciiTheme="minorHAnsi" w:hAnsiTheme="minorHAnsi" w:cstheme="minorHAnsi"/>
                <w:sz w:val="18"/>
                <w:szCs w:val="14"/>
              </w:rPr>
            </w:pPr>
            <w:r w:rsidRPr="003C073E">
              <w:rPr>
                <w:rFonts w:asciiTheme="minorHAnsi" w:hAnsiTheme="minorHAnsi" w:cstheme="minorHAnsi"/>
                <w:sz w:val="18"/>
                <w:szCs w:val="14"/>
              </w:rPr>
              <w:t>4,528</w:t>
            </w:r>
          </w:p>
        </w:tc>
        <w:tc>
          <w:tcPr>
            <w:tcW w:w="1236" w:type="dxa"/>
          </w:tcPr>
          <w:p w14:paraId="48E449E7" w14:textId="77777777" w:rsidR="00B02873" w:rsidRPr="007845E8" w:rsidRDefault="00B02873" w:rsidP="003C073E">
            <w:pPr>
              <w:pStyle w:val="TablebodyleftFinancialsTables"/>
              <w:jc w:val="right"/>
              <w:rPr>
                <w:rFonts w:asciiTheme="minorHAnsi" w:hAnsiTheme="minorHAnsi" w:cstheme="minorHAnsi"/>
                <w:b/>
                <w:bCs/>
                <w:sz w:val="18"/>
                <w:szCs w:val="14"/>
              </w:rPr>
            </w:pPr>
            <w:r w:rsidRPr="007845E8">
              <w:rPr>
                <w:rFonts w:asciiTheme="minorHAnsi" w:hAnsiTheme="minorHAnsi" w:cstheme="minorHAnsi"/>
                <w:b/>
                <w:bCs/>
                <w:sz w:val="18"/>
                <w:szCs w:val="14"/>
              </w:rPr>
              <w:t>6,506</w:t>
            </w:r>
          </w:p>
        </w:tc>
        <w:tc>
          <w:tcPr>
            <w:tcW w:w="1246" w:type="dxa"/>
          </w:tcPr>
          <w:p w14:paraId="78F3F530" w14:textId="77777777" w:rsidR="00B02873" w:rsidRPr="003C073E" w:rsidRDefault="00B02873" w:rsidP="003C073E">
            <w:pPr>
              <w:pStyle w:val="TablebodyleftFinancialsTables"/>
              <w:jc w:val="right"/>
              <w:rPr>
                <w:rFonts w:asciiTheme="minorHAnsi" w:hAnsiTheme="minorHAnsi" w:cstheme="minorHAnsi"/>
                <w:sz w:val="18"/>
                <w:szCs w:val="14"/>
              </w:rPr>
            </w:pPr>
            <w:r w:rsidRPr="003C073E">
              <w:rPr>
                <w:rFonts w:asciiTheme="minorHAnsi" w:hAnsiTheme="minorHAnsi" w:cstheme="minorHAnsi"/>
                <w:sz w:val="18"/>
                <w:szCs w:val="14"/>
              </w:rPr>
              <w:t>3,293</w:t>
            </w:r>
          </w:p>
        </w:tc>
        <w:tc>
          <w:tcPr>
            <w:tcW w:w="1070" w:type="dxa"/>
          </w:tcPr>
          <w:p w14:paraId="42121D36" w14:textId="77777777" w:rsidR="00B02873" w:rsidRPr="007845E8" w:rsidRDefault="00B02873" w:rsidP="003C073E">
            <w:pPr>
              <w:pStyle w:val="TablebodyleftFinancialsTables"/>
              <w:jc w:val="right"/>
              <w:rPr>
                <w:rFonts w:asciiTheme="minorHAnsi" w:hAnsiTheme="minorHAnsi" w:cstheme="minorHAnsi"/>
                <w:b/>
                <w:bCs/>
                <w:sz w:val="18"/>
                <w:szCs w:val="14"/>
              </w:rPr>
            </w:pPr>
            <w:r w:rsidRPr="007845E8">
              <w:rPr>
                <w:rFonts w:asciiTheme="minorHAnsi" w:hAnsiTheme="minorHAnsi" w:cstheme="minorHAnsi"/>
                <w:b/>
                <w:bCs/>
                <w:sz w:val="18"/>
                <w:szCs w:val="14"/>
              </w:rPr>
              <w:t>(2,012,159)</w:t>
            </w:r>
          </w:p>
        </w:tc>
        <w:tc>
          <w:tcPr>
            <w:tcW w:w="1064" w:type="dxa"/>
          </w:tcPr>
          <w:p w14:paraId="4BF77450" w14:textId="77777777" w:rsidR="00B02873" w:rsidRPr="003C073E" w:rsidRDefault="00B02873" w:rsidP="003C073E">
            <w:pPr>
              <w:pStyle w:val="TablebodyleftFinancialsTables"/>
              <w:jc w:val="right"/>
              <w:rPr>
                <w:rFonts w:asciiTheme="minorHAnsi" w:hAnsiTheme="minorHAnsi" w:cstheme="minorHAnsi"/>
                <w:sz w:val="18"/>
                <w:szCs w:val="14"/>
              </w:rPr>
            </w:pPr>
            <w:r w:rsidRPr="003C073E">
              <w:rPr>
                <w:rFonts w:asciiTheme="minorHAnsi" w:hAnsiTheme="minorHAnsi" w:cstheme="minorHAnsi"/>
                <w:sz w:val="18"/>
                <w:szCs w:val="14"/>
              </w:rPr>
              <w:t>(2,161,138)</w:t>
            </w:r>
          </w:p>
        </w:tc>
      </w:tr>
    </w:tbl>
    <w:p w14:paraId="044928B5" w14:textId="77777777" w:rsidR="00B02873" w:rsidRDefault="00B02873" w:rsidP="00FE198A"/>
    <w:p w14:paraId="05AB5756" w14:textId="77777777" w:rsidR="00B02873" w:rsidRDefault="00B02873" w:rsidP="007845E8">
      <w:pPr>
        <w:pStyle w:val="Heading4"/>
      </w:pPr>
      <w:r>
        <w:t>4.2.2 Administered assets and liabilities (continued)</w:t>
      </w:r>
    </w:p>
    <w:tbl>
      <w:tblPr>
        <w:tblStyle w:val="TableGrid"/>
        <w:tblW w:w="9942" w:type="dxa"/>
        <w:tblLayout w:type="fixed"/>
        <w:tblLook w:val="0020" w:firstRow="1" w:lastRow="0" w:firstColumn="0" w:lastColumn="0" w:noHBand="0" w:noVBand="0"/>
      </w:tblPr>
      <w:tblGrid>
        <w:gridCol w:w="2593"/>
        <w:gridCol w:w="1230"/>
        <w:gridCol w:w="1275"/>
        <w:gridCol w:w="1226"/>
        <w:gridCol w:w="1216"/>
        <w:gridCol w:w="1213"/>
        <w:gridCol w:w="1189"/>
      </w:tblGrid>
      <w:tr w:rsidR="00B02873" w:rsidRPr="00E53159" w14:paraId="23973BB0" w14:textId="77777777" w:rsidTr="0090660B">
        <w:trPr>
          <w:cnfStyle w:val="100000000000" w:firstRow="1" w:lastRow="0" w:firstColumn="0" w:lastColumn="0" w:oddVBand="0" w:evenVBand="0" w:oddHBand="0" w:evenHBand="0" w:firstRowFirstColumn="0" w:firstRowLastColumn="0" w:lastRowFirstColumn="0" w:lastRowLastColumn="0"/>
          <w:trHeight w:val="60"/>
          <w:tblHeader/>
        </w:trPr>
        <w:tc>
          <w:tcPr>
            <w:tcW w:w="2593" w:type="dxa"/>
          </w:tcPr>
          <w:p w14:paraId="5D1ED8F9" w14:textId="77777777" w:rsidR="00B02873" w:rsidRPr="00E53159" w:rsidRDefault="00B02873" w:rsidP="00C43178">
            <w:pPr>
              <w:pStyle w:val="TableheadingleftFinancialsTables"/>
              <w:rPr>
                <w:rFonts w:asciiTheme="minorHAnsi" w:hAnsiTheme="minorHAnsi" w:cstheme="minorHAnsi"/>
                <w:sz w:val="18"/>
                <w:szCs w:val="14"/>
              </w:rPr>
            </w:pPr>
          </w:p>
        </w:tc>
        <w:tc>
          <w:tcPr>
            <w:tcW w:w="1230" w:type="dxa"/>
          </w:tcPr>
          <w:p w14:paraId="0376BE40" w14:textId="35F317F9" w:rsidR="00B02873" w:rsidRPr="00E53159" w:rsidRDefault="00E53159" w:rsidP="00E53159">
            <w:pPr>
              <w:pStyle w:val="TableheadingleftFinancialsTables"/>
              <w:jc w:val="right"/>
              <w:rPr>
                <w:rFonts w:asciiTheme="minorHAnsi" w:hAnsiTheme="minorHAnsi" w:cstheme="minorHAnsi"/>
                <w:sz w:val="18"/>
                <w:szCs w:val="14"/>
              </w:rPr>
            </w:pPr>
            <w:r w:rsidRPr="00E53159">
              <w:rPr>
                <w:rFonts w:asciiTheme="minorHAnsi" w:hAnsiTheme="minorHAnsi" w:cstheme="minorHAnsi"/>
                <w:sz w:val="18"/>
                <w:szCs w:val="14"/>
              </w:rPr>
              <w:t xml:space="preserve">Management of Public Land and Forests </w:t>
            </w:r>
            <w:r w:rsidR="00B02873" w:rsidRPr="00E53159">
              <w:rPr>
                <w:rFonts w:asciiTheme="minorHAnsi" w:hAnsiTheme="minorHAnsi" w:cstheme="minorHAnsi"/>
                <w:sz w:val="18"/>
                <w:szCs w:val="14"/>
              </w:rPr>
              <w:t>2022</w:t>
            </w:r>
            <w:r w:rsidR="00B02873" w:rsidRPr="00E53159">
              <w:rPr>
                <w:rFonts w:asciiTheme="minorHAnsi" w:hAnsiTheme="minorHAnsi" w:cstheme="minorHAnsi"/>
                <w:sz w:val="18"/>
                <w:szCs w:val="14"/>
              </w:rPr>
              <w:br/>
              <w:t>$’000</w:t>
            </w:r>
          </w:p>
        </w:tc>
        <w:tc>
          <w:tcPr>
            <w:tcW w:w="1275" w:type="dxa"/>
          </w:tcPr>
          <w:p w14:paraId="7D6D3F0A" w14:textId="440A53C3" w:rsidR="00B02873" w:rsidRPr="00E53159" w:rsidRDefault="00E53159" w:rsidP="00E53159">
            <w:pPr>
              <w:pStyle w:val="TableheadingleftFinancialsTables"/>
              <w:jc w:val="right"/>
              <w:rPr>
                <w:rFonts w:asciiTheme="minorHAnsi" w:hAnsiTheme="minorHAnsi" w:cstheme="minorHAnsi"/>
                <w:sz w:val="18"/>
                <w:szCs w:val="14"/>
              </w:rPr>
            </w:pPr>
            <w:r w:rsidRPr="00E53159">
              <w:rPr>
                <w:rFonts w:asciiTheme="minorHAnsi" w:hAnsiTheme="minorHAnsi" w:cstheme="minorHAnsi"/>
                <w:sz w:val="18"/>
                <w:szCs w:val="14"/>
              </w:rPr>
              <w:t xml:space="preserve">Management of Public Land and Forests </w:t>
            </w:r>
            <w:r w:rsidR="00B02873" w:rsidRPr="00E53159">
              <w:rPr>
                <w:rFonts w:asciiTheme="minorHAnsi" w:hAnsiTheme="minorHAnsi" w:cstheme="minorHAnsi"/>
                <w:sz w:val="18"/>
                <w:szCs w:val="14"/>
              </w:rPr>
              <w:t>2021</w:t>
            </w:r>
            <w:r w:rsidR="00B02873" w:rsidRPr="00E53159">
              <w:rPr>
                <w:rFonts w:asciiTheme="minorHAnsi" w:hAnsiTheme="minorHAnsi" w:cstheme="minorHAnsi"/>
                <w:sz w:val="18"/>
                <w:szCs w:val="14"/>
              </w:rPr>
              <w:br/>
              <w:t>$’000</w:t>
            </w:r>
          </w:p>
        </w:tc>
        <w:tc>
          <w:tcPr>
            <w:tcW w:w="1226" w:type="dxa"/>
          </w:tcPr>
          <w:p w14:paraId="63185FC3" w14:textId="35172174" w:rsidR="00B02873" w:rsidRPr="00E53159" w:rsidRDefault="00E53159" w:rsidP="00E53159">
            <w:pPr>
              <w:pStyle w:val="TableheadingleftFinancialsTables"/>
              <w:jc w:val="right"/>
              <w:rPr>
                <w:rFonts w:asciiTheme="minorHAnsi" w:hAnsiTheme="minorHAnsi" w:cstheme="minorHAnsi"/>
                <w:sz w:val="18"/>
                <w:szCs w:val="14"/>
              </w:rPr>
            </w:pPr>
            <w:r w:rsidRPr="00E53159">
              <w:rPr>
                <w:rFonts w:asciiTheme="minorHAnsi" w:hAnsiTheme="minorHAnsi" w:cstheme="minorHAnsi"/>
                <w:sz w:val="18"/>
                <w:szCs w:val="14"/>
              </w:rPr>
              <w:t xml:space="preserve">Effective Water Management and Supply </w:t>
            </w:r>
            <w:r w:rsidR="00B02873" w:rsidRPr="00E53159">
              <w:rPr>
                <w:rFonts w:asciiTheme="minorHAnsi" w:hAnsiTheme="minorHAnsi" w:cstheme="minorHAnsi"/>
                <w:sz w:val="18"/>
                <w:szCs w:val="14"/>
              </w:rPr>
              <w:t>2022</w:t>
            </w:r>
            <w:r w:rsidR="00B02873" w:rsidRPr="00E53159">
              <w:rPr>
                <w:rFonts w:asciiTheme="minorHAnsi" w:hAnsiTheme="minorHAnsi" w:cstheme="minorHAnsi"/>
                <w:sz w:val="18"/>
                <w:szCs w:val="14"/>
              </w:rPr>
              <w:br/>
              <w:t>$’000</w:t>
            </w:r>
          </w:p>
        </w:tc>
        <w:tc>
          <w:tcPr>
            <w:tcW w:w="1216" w:type="dxa"/>
          </w:tcPr>
          <w:p w14:paraId="391EA2DE" w14:textId="00C29011" w:rsidR="00B02873" w:rsidRPr="00E53159" w:rsidRDefault="00E53159" w:rsidP="00E53159">
            <w:pPr>
              <w:pStyle w:val="TableheadingleftFinancialsTables"/>
              <w:jc w:val="right"/>
              <w:rPr>
                <w:rFonts w:asciiTheme="minorHAnsi" w:hAnsiTheme="minorHAnsi" w:cstheme="minorHAnsi"/>
                <w:sz w:val="18"/>
                <w:szCs w:val="14"/>
              </w:rPr>
            </w:pPr>
            <w:r w:rsidRPr="00E53159">
              <w:rPr>
                <w:rFonts w:asciiTheme="minorHAnsi" w:hAnsiTheme="minorHAnsi" w:cstheme="minorHAnsi"/>
                <w:sz w:val="18"/>
                <w:szCs w:val="14"/>
              </w:rPr>
              <w:t xml:space="preserve">Effective Water Management and Supply </w:t>
            </w:r>
            <w:r w:rsidR="00B02873" w:rsidRPr="00E53159">
              <w:rPr>
                <w:rFonts w:asciiTheme="minorHAnsi" w:hAnsiTheme="minorHAnsi" w:cstheme="minorHAnsi"/>
                <w:sz w:val="18"/>
                <w:szCs w:val="14"/>
              </w:rPr>
              <w:t>2021</w:t>
            </w:r>
            <w:r w:rsidR="00B02873" w:rsidRPr="00E53159">
              <w:rPr>
                <w:rFonts w:asciiTheme="minorHAnsi" w:hAnsiTheme="minorHAnsi" w:cstheme="minorHAnsi"/>
                <w:sz w:val="18"/>
                <w:szCs w:val="14"/>
              </w:rPr>
              <w:br/>
              <w:t>$’000</w:t>
            </w:r>
          </w:p>
        </w:tc>
        <w:tc>
          <w:tcPr>
            <w:tcW w:w="1213" w:type="dxa"/>
          </w:tcPr>
          <w:p w14:paraId="675AEF1F" w14:textId="552B621B" w:rsidR="00B02873" w:rsidRPr="00E53159" w:rsidRDefault="00E53159" w:rsidP="00E53159">
            <w:pPr>
              <w:pStyle w:val="TableheadingleftFinancialsTables"/>
              <w:jc w:val="right"/>
              <w:rPr>
                <w:rFonts w:asciiTheme="minorHAnsi" w:hAnsiTheme="minorHAnsi" w:cstheme="minorHAnsi"/>
                <w:sz w:val="18"/>
                <w:szCs w:val="14"/>
              </w:rPr>
            </w:pPr>
            <w:r w:rsidRPr="00E53159">
              <w:rPr>
                <w:rFonts w:asciiTheme="minorHAnsi" w:hAnsiTheme="minorHAnsi" w:cstheme="minorHAnsi"/>
                <w:sz w:val="18"/>
                <w:szCs w:val="14"/>
              </w:rPr>
              <w:t xml:space="preserve">Climate Change </w:t>
            </w:r>
            <w:r w:rsidR="00B02873" w:rsidRPr="00E53159">
              <w:rPr>
                <w:rFonts w:asciiTheme="minorHAnsi" w:hAnsiTheme="minorHAnsi" w:cstheme="minorHAnsi"/>
                <w:sz w:val="18"/>
                <w:szCs w:val="14"/>
              </w:rPr>
              <w:t>2022</w:t>
            </w:r>
            <w:r w:rsidR="00B02873" w:rsidRPr="00E53159">
              <w:rPr>
                <w:rFonts w:asciiTheme="minorHAnsi" w:hAnsiTheme="minorHAnsi" w:cstheme="minorHAnsi"/>
                <w:sz w:val="18"/>
                <w:szCs w:val="14"/>
              </w:rPr>
              <w:br/>
              <w:t>$’000</w:t>
            </w:r>
          </w:p>
        </w:tc>
        <w:tc>
          <w:tcPr>
            <w:tcW w:w="1189" w:type="dxa"/>
          </w:tcPr>
          <w:p w14:paraId="26945540" w14:textId="073526F6" w:rsidR="00B02873" w:rsidRPr="00E53159" w:rsidRDefault="00E53159" w:rsidP="00E53159">
            <w:pPr>
              <w:pStyle w:val="TableheadingleftFinancialsTables"/>
              <w:jc w:val="right"/>
              <w:rPr>
                <w:rFonts w:asciiTheme="minorHAnsi" w:hAnsiTheme="minorHAnsi" w:cstheme="minorHAnsi"/>
                <w:sz w:val="18"/>
                <w:szCs w:val="14"/>
              </w:rPr>
            </w:pPr>
            <w:r w:rsidRPr="00E53159">
              <w:rPr>
                <w:rFonts w:asciiTheme="minorHAnsi" w:hAnsiTheme="minorHAnsi" w:cstheme="minorHAnsi"/>
                <w:sz w:val="18"/>
                <w:szCs w:val="14"/>
              </w:rPr>
              <w:t xml:space="preserve">Climate Change </w:t>
            </w:r>
            <w:r w:rsidR="00B02873" w:rsidRPr="00E53159">
              <w:rPr>
                <w:rFonts w:asciiTheme="minorHAnsi" w:hAnsiTheme="minorHAnsi" w:cstheme="minorHAnsi"/>
                <w:sz w:val="18"/>
                <w:szCs w:val="14"/>
              </w:rPr>
              <w:t>2021</w:t>
            </w:r>
            <w:r w:rsidR="00B02873" w:rsidRPr="00E53159">
              <w:rPr>
                <w:rFonts w:asciiTheme="minorHAnsi" w:hAnsiTheme="minorHAnsi" w:cstheme="minorHAnsi"/>
                <w:sz w:val="18"/>
                <w:szCs w:val="14"/>
              </w:rPr>
              <w:br/>
              <w:t>$’000</w:t>
            </w:r>
          </w:p>
        </w:tc>
      </w:tr>
      <w:tr w:rsidR="00277ECD" w:rsidRPr="00E53159" w14:paraId="378D4096" w14:textId="77777777" w:rsidTr="006F13EA">
        <w:trPr>
          <w:trHeight w:val="60"/>
        </w:trPr>
        <w:tc>
          <w:tcPr>
            <w:tcW w:w="2593" w:type="dxa"/>
          </w:tcPr>
          <w:p w14:paraId="6129DDC2" w14:textId="5C6E27CE" w:rsidR="00277ECD" w:rsidRPr="00E53159" w:rsidRDefault="00277ECD" w:rsidP="006F13EA">
            <w:pPr>
              <w:pStyle w:val="TablebodyleftFinancialsTables"/>
              <w:rPr>
                <w:rFonts w:asciiTheme="minorHAnsi" w:hAnsiTheme="minorHAnsi" w:cstheme="minorHAnsi"/>
                <w:sz w:val="18"/>
                <w:szCs w:val="14"/>
              </w:rPr>
            </w:pPr>
            <w:r w:rsidRPr="00E53159">
              <w:rPr>
                <w:rFonts w:asciiTheme="minorHAnsi" w:hAnsiTheme="minorHAnsi" w:cstheme="minorHAnsi"/>
                <w:b/>
                <w:bCs/>
                <w:sz w:val="18"/>
                <w:szCs w:val="14"/>
              </w:rPr>
              <w:t>Administered financial assets</w:t>
            </w:r>
          </w:p>
        </w:tc>
        <w:tc>
          <w:tcPr>
            <w:tcW w:w="1230" w:type="dxa"/>
          </w:tcPr>
          <w:p w14:paraId="1E2D4E32" w14:textId="77777777" w:rsidR="00277ECD" w:rsidRPr="00E53159" w:rsidRDefault="00277ECD" w:rsidP="006F13EA">
            <w:pPr>
              <w:pStyle w:val="TablebodyleftFinancialsTables"/>
              <w:jc w:val="right"/>
              <w:rPr>
                <w:rFonts w:asciiTheme="minorHAnsi" w:hAnsiTheme="minorHAnsi" w:cstheme="minorHAnsi"/>
                <w:b/>
                <w:bCs/>
                <w:sz w:val="18"/>
                <w:szCs w:val="14"/>
              </w:rPr>
            </w:pPr>
          </w:p>
        </w:tc>
        <w:tc>
          <w:tcPr>
            <w:tcW w:w="1275" w:type="dxa"/>
          </w:tcPr>
          <w:p w14:paraId="4B1D8B29" w14:textId="77777777" w:rsidR="00277ECD" w:rsidRPr="00E53159" w:rsidRDefault="00277ECD" w:rsidP="006F13EA">
            <w:pPr>
              <w:pStyle w:val="TablebodyleftFinancialsTables"/>
              <w:jc w:val="right"/>
              <w:rPr>
                <w:rFonts w:asciiTheme="minorHAnsi" w:hAnsiTheme="minorHAnsi" w:cstheme="minorHAnsi"/>
                <w:sz w:val="18"/>
                <w:szCs w:val="14"/>
              </w:rPr>
            </w:pPr>
          </w:p>
        </w:tc>
        <w:tc>
          <w:tcPr>
            <w:tcW w:w="1226" w:type="dxa"/>
          </w:tcPr>
          <w:p w14:paraId="47708A2C" w14:textId="77777777" w:rsidR="00277ECD" w:rsidRPr="00E53159" w:rsidRDefault="00277ECD" w:rsidP="006F13EA">
            <w:pPr>
              <w:pStyle w:val="TablebodyleftFinancialsTables"/>
              <w:jc w:val="right"/>
              <w:rPr>
                <w:rFonts w:asciiTheme="minorHAnsi" w:hAnsiTheme="minorHAnsi" w:cstheme="minorHAnsi"/>
                <w:b/>
                <w:bCs/>
                <w:sz w:val="18"/>
                <w:szCs w:val="14"/>
              </w:rPr>
            </w:pPr>
          </w:p>
        </w:tc>
        <w:tc>
          <w:tcPr>
            <w:tcW w:w="1216" w:type="dxa"/>
          </w:tcPr>
          <w:p w14:paraId="43719180" w14:textId="77777777" w:rsidR="00277ECD" w:rsidRPr="00E53159" w:rsidRDefault="00277ECD" w:rsidP="006F13EA">
            <w:pPr>
              <w:pStyle w:val="TablebodyleftFinancialsTables"/>
              <w:jc w:val="right"/>
              <w:rPr>
                <w:rFonts w:asciiTheme="minorHAnsi" w:hAnsiTheme="minorHAnsi" w:cstheme="minorHAnsi"/>
                <w:sz w:val="18"/>
                <w:szCs w:val="14"/>
              </w:rPr>
            </w:pPr>
          </w:p>
        </w:tc>
        <w:tc>
          <w:tcPr>
            <w:tcW w:w="1213" w:type="dxa"/>
          </w:tcPr>
          <w:p w14:paraId="76E7BB55" w14:textId="77777777" w:rsidR="00277ECD" w:rsidRPr="00E53159" w:rsidRDefault="00277ECD" w:rsidP="006F13EA">
            <w:pPr>
              <w:pStyle w:val="TablebodyleftFinancialsTables"/>
              <w:jc w:val="right"/>
              <w:rPr>
                <w:rFonts w:asciiTheme="minorHAnsi" w:hAnsiTheme="minorHAnsi" w:cstheme="minorHAnsi"/>
                <w:b/>
                <w:bCs/>
                <w:sz w:val="18"/>
                <w:szCs w:val="14"/>
              </w:rPr>
            </w:pPr>
          </w:p>
        </w:tc>
        <w:tc>
          <w:tcPr>
            <w:tcW w:w="1189" w:type="dxa"/>
          </w:tcPr>
          <w:p w14:paraId="330A91EF" w14:textId="77777777" w:rsidR="00277ECD" w:rsidRPr="00E53159" w:rsidRDefault="00277ECD" w:rsidP="006F13EA">
            <w:pPr>
              <w:pStyle w:val="TablebodyleftFinancialsTables"/>
              <w:jc w:val="right"/>
              <w:rPr>
                <w:rFonts w:asciiTheme="minorHAnsi" w:hAnsiTheme="minorHAnsi" w:cstheme="minorHAnsi"/>
                <w:sz w:val="18"/>
                <w:szCs w:val="14"/>
              </w:rPr>
            </w:pPr>
          </w:p>
        </w:tc>
      </w:tr>
      <w:tr w:rsidR="00B02873" w:rsidRPr="00E53159" w14:paraId="146E305C" w14:textId="77777777" w:rsidTr="00E53159">
        <w:trPr>
          <w:trHeight w:val="60"/>
        </w:trPr>
        <w:tc>
          <w:tcPr>
            <w:tcW w:w="2593" w:type="dxa"/>
          </w:tcPr>
          <w:p w14:paraId="23172193" w14:textId="77777777" w:rsidR="00B02873" w:rsidRPr="00E53159" w:rsidRDefault="00B02873" w:rsidP="00E53159">
            <w:pPr>
              <w:pStyle w:val="TablebodyleftFinancialsTables"/>
              <w:rPr>
                <w:rFonts w:asciiTheme="minorHAnsi" w:hAnsiTheme="minorHAnsi" w:cstheme="minorHAnsi"/>
                <w:sz w:val="18"/>
                <w:szCs w:val="14"/>
              </w:rPr>
            </w:pPr>
            <w:r w:rsidRPr="00E53159">
              <w:rPr>
                <w:rFonts w:asciiTheme="minorHAnsi" w:hAnsiTheme="minorHAnsi" w:cstheme="minorHAnsi"/>
                <w:sz w:val="18"/>
                <w:szCs w:val="14"/>
              </w:rPr>
              <w:t>Cash</w:t>
            </w:r>
          </w:p>
        </w:tc>
        <w:tc>
          <w:tcPr>
            <w:tcW w:w="1230" w:type="dxa"/>
          </w:tcPr>
          <w:p w14:paraId="496FC8E3" w14:textId="77777777" w:rsidR="00B02873" w:rsidRPr="00E53159" w:rsidRDefault="00B02873" w:rsidP="00E53159">
            <w:pPr>
              <w:pStyle w:val="TablebodyleftFinancialsTables"/>
              <w:jc w:val="right"/>
              <w:rPr>
                <w:rFonts w:asciiTheme="minorHAnsi" w:hAnsiTheme="minorHAnsi" w:cstheme="minorHAnsi"/>
                <w:b/>
                <w:bCs/>
                <w:sz w:val="18"/>
                <w:szCs w:val="14"/>
              </w:rPr>
            </w:pPr>
            <w:r w:rsidRPr="00E53159">
              <w:rPr>
                <w:rFonts w:asciiTheme="minorHAnsi" w:hAnsiTheme="minorHAnsi" w:cstheme="minorHAnsi"/>
                <w:b/>
                <w:bCs/>
                <w:sz w:val="18"/>
                <w:szCs w:val="14"/>
              </w:rPr>
              <w:t>107</w:t>
            </w:r>
          </w:p>
        </w:tc>
        <w:tc>
          <w:tcPr>
            <w:tcW w:w="1275" w:type="dxa"/>
          </w:tcPr>
          <w:p w14:paraId="607A870D" w14:textId="77777777" w:rsidR="00B02873" w:rsidRPr="00E53159" w:rsidRDefault="00B02873" w:rsidP="00E53159">
            <w:pPr>
              <w:pStyle w:val="TablebodyleftFinancialsTables"/>
              <w:jc w:val="right"/>
              <w:rPr>
                <w:rFonts w:asciiTheme="minorHAnsi" w:hAnsiTheme="minorHAnsi" w:cstheme="minorHAnsi"/>
                <w:sz w:val="18"/>
                <w:szCs w:val="14"/>
              </w:rPr>
            </w:pPr>
            <w:r w:rsidRPr="00E53159">
              <w:rPr>
                <w:rFonts w:asciiTheme="minorHAnsi" w:hAnsiTheme="minorHAnsi" w:cstheme="minorHAnsi"/>
                <w:sz w:val="18"/>
                <w:szCs w:val="14"/>
              </w:rPr>
              <w:t>228</w:t>
            </w:r>
          </w:p>
        </w:tc>
        <w:tc>
          <w:tcPr>
            <w:tcW w:w="1226" w:type="dxa"/>
          </w:tcPr>
          <w:p w14:paraId="579BEEB7" w14:textId="77777777" w:rsidR="00B02873" w:rsidRPr="00E53159" w:rsidRDefault="00B02873" w:rsidP="00E53159">
            <w:pPr>
              <w:pStyle w:val="TablebodyleftFinancialsTables"/>
              <w:jc w:val="right"/>
              <w:rPr>
                <w:rFonts w:asciiTheme="minorHAnsi" w:hAnsiTheme="minorHAnsi" w:cstheme="minorHAnsi"/>
                <w:b/>
                <w:bCs/>
                <w:sz w:val="18"/>
                <w:szCs w:val="14"/>
              </w:rPr>
            </w:pPr>
            <w:r w:rsidRPr="00E53159">
              <w:rPr>
                <w:rFonts w:asciiTheme="minorHAnsi" w:hAnsiTheme="minorHAnsi" w:cstheme="minorHAnsi"/>
                <w:b/>
                <w:bCs/>
                <w:sz w:val="18"/>
                <w:szCs w:val="14"/>
              </w:rPr>
              <w:t>40,878</w:t>
            </w:r>
          </w:p>
        </w:tc>
        <w:tc>
          <w:tcPr>
            <w:tcW w:w="1216" w:type="dxa"/>
          </w:tcPr>
          <w:p w14:paraId="1421B907" w14:textId="77777777" w:rsidR="00B02873" w:rsidRPr="00E53159" w:rsidRDefault="00B02873" w:rsidP="00E53159">
            <w:pPr>
              <w:pStyle w:val="TablebodyleftFinancialsTables"/>
              <w:jc w:val="right"/>
              <w:rPr>
                <w:rFonts w:asciiTheme="minorHAnsi" w:hAnsiTheme="minorHAnsi" w:cstheme="minorHAnsi"/>
                <w:sz w:val="18"/>
                <w:szCs w:val="14"/>
              </w:rPr>
            </w:pPr>
            <w:r w:rsidRPr="00E53159">
              <w:rPr>
                <w:rFonts w:asciiTheme="minorHAnsi" w:hAnsiTheme="minorHAnsi" w:cstheme="minorHAnsi"/>
                <w:sz w:val="18"/>
                <w:szCs w:val="14"/>
              </w:rPr>
              <w:t>43,783</w:t>
            </w:r>
          </w:p>
        </w:tc>
        <w:tc>
          <w:tcPr>
            <w:tcW w:w="1213" w:type="dxa"/>
          </w:tcPr>
          <w:p w14:paraId="6CC3ED26" w14:textId="77777777" w:rsidR="00B02873" w:rsidRPr="00E53159" w:rsidRDefault="00B02873" w:rsidP="00E53159">
            <w:pPr>
              <w:pStyle w:val="TablebodyleftFinancialsTables"/>
              <w:jc w:val="right"/>
              <w:rPr>
                <w:rFonts w:asciiTheme="minorHAnsi" w:hAnsiTheme="minorHAnsi" w:cstheme="minorHAnsi"/>
                <w:b/>
                <w:bCs/>
                <w:sz w:val="18"/>
                <w:szCs w:val="14"/>
              </w:rPr>
            </w:pPr>
            <w:r w:rsidRPr="00E53159">
              <w:rPr>
                <w:rFonts w:asciiTheme="minorHAnsi" w:hAnsiTheme="minorHAnsi" w:cstheme="minorHAnsi"/>
                <w:b/>
                <w:bCs/>
                <w:sz w:val="18"/>
                <w:szCs w:val="14"/>
              </w:rPr>
              <w:t>22</w:t>
            </w:r>
          </w:p>
        </w:tc>
        <w:tc>
          <w:tcPr>
            <w:tcW w:w="1189" w:type="dxa"/>
          </w:tcPr>
          <w:p w14:paraId="336DC012" w14:textId="77777777" w:rsidR="00B02873" w:rsidRPr="00E53159" w:rsidRDefault="00B02873" w:rsidP="00E53159">
            <w:pPr>
              <w:pStyle w:val="TablebodyleftFinancialsTables"/>
              <w:jc w:val="right"/>
              <w:rPr>
                <w:rFonts w:asciiTheme="minorHAnsi" w:hAnsiTheme="minorHAnsi" w:cstheme="minorHAnsi"/>
                <w:sz w:val="18"/>
                <w:szCs w:val="14"/>
              </w:rPr>
            </w:pPr>
            <w:r w:rsidRPr="00E53159">
              <w:rPr>
                <w:rFonts w:asciiTheme="minorHAnsi" w:hAnsiTheme="minorHAnsi" w:cstheme="minorHAnsi"/>
                <w:sz w:val="18"/>
                <w:szCs w:val="14"/>
              </w:rPr>
              <w:t>55</w:t>
            </w:r>
          </w:p>
        </w:tc>
      </w:tr>
      <w:tr w:rsidR="00E53159" w:rsidRPr="00E53159" w14:paraId="0CDBED32" w14:textId="77777777" w:rsidTr="00E53159">
        <w:trPr>
          <w:trHeight w:val="60"/>
        </w:trPr>
        <w:tc>
          <w:tcPr>
            <w:tcW w:w="2593" w:type="dxa"/>
          </w:tcPr>
          <w:p w14:paraId="6241E747" w14:textId="77777777" w:rsidR="00B02873" w:rsidRPr="00E53159" w:rsidRDefault="00B02873" w:rsidP="00E53159">
            <w:pPr>
              <w:pStyle w:val="TablebodyleftFinancialsTables"/>
              <w:rPr>
                <w:rFonts w:asciiTheme="minorHAnsi" w:hAnsiTheme="minorHAnsi" w:cstheme="minorHAnsi"/>
                <w:sz w:val="18"/>
                <w:szCs w:val="14"/>
              </w:rPr>
            </w:pPr>
            <w:r w:rsidRPr="00E53159">
              <w:rPr>
                <w:rFonts w:asciiTheme="minorHAnsi" w:hAnsiTheme="minorHAnsi" w:cstheme="minorHAnsi"/>
                <w:sz w:val="18"/>
                <w:szCs w:val="14"/>
              </w:rPr>
              <w:t>Receivables</w:t>
            </w:r>
          </w:p>
        </w:tc>
        <w:tc>
          <w:tcPr>
            <w:tcW w:w="1230" w:type="dxa"/>
          </w:tcPr>
          <w:p w14:paraId="15526EEE" w14:textId="77777777" w:rsidR="00B02873" w:rsidRPr="00E53159" w:rsidRDefault="00B02873" w:rsidP="00E53159">
            <w:pPr>
              <w:pStyle w:val="TablebodyleftFinancialsTables"/>
              <w:jc w:val="right"/>
              <w:rPr>
                <w:rFonts w:asciiTheme="minorHAnsi" w:hAnsiTheme="minorHAnsi" w:cstheme="minorHAnsi"/>
                <w:b/>
                <w:bCs/>
                <w:sz w:val="18"/>
                <w:szCs w:val="14"/>
              </w:rPr>
            </w:pPr>
            <w:r w:rsidRPr="00E53159">
              <w:rPr>
                <w:rFonts w:asciiTheme="minorHAnsi" w:hAnsiTheme="minorHAnsi" w:cstheme="minorHAnsi"/>
                <w:b/>
                <w:bCs/>
                <w:sz w:val="18"/>
                <w:szCs w:val="14"/>
              </w:rPr>
              <w:t>11,385</w:t>
            </w:r>
          </w:p>
        </w:tc>
        <w:tc>
          <w:tcPr>
            <w:tcW w:w="1275" w:type="dxa"/>
          </w:tcPr>
          <w:p w14:paraId="167655AA" w14:textId="77777777" w:rsidR="00B02873" w:rsidRPr="00E53159" w:rsidRDefault="00B02873" w:rsidP="00E53159">
            <w:pPr>
              <w:pStyle w:val="TablebodyleftFinancialsTables"/>
              <w:jc w:val="right"/>
              <w:rPr>
                <w:rFonts w:asciiTheme="minorHAnsi" w:hAnsiTheme="minorHAnsi" w:cstheme="minorHAnsi"/>
                <w:sz w:val="18"/>
                <w:szCs w:val="14"/>
              </w:rPr>
            </w:pPr>
            <w:r w:rsidRPr="00E53159">
              <w:rPr>
                <w:rFonts w:asciiTheme="minorHAnsi" w:hAnsiTheme="minorHAnsi" w:cstheme="minorHAnsi"/>
                <w:sz w:val="18"/>
                <w:szCs w:val="14"/>
              </w:rPr>
              <w:t>7,021</w:t>
            </w:r>
          </w:p>
        </w:tc>
        <w:tc>
          <w:tcPr>
            <w:tcW w:w="1226" w:type="dxa"/>
          </w:tcPr>
          <w:p w14:paraId="54C10CE2" w14:textId="77777777" w:rsidR="00B02873" w:rsidRPr="00E53159" w:rsidRDefault="00B02873" w:rsidP="00E53159">
            <w:pPr>
              <w:pStyle w:val="TablebodyleftFinancialsTables"/>
              <w:jc w:val="right"/>
              <w:rPr>
                <w:rFonts w:asciiTheme="minorHAnsi" w:hAnsiTheme="minorHAnsi" w:cstheme="minorHAnsi"/>
                <w:b/>
                <w:bCs/>
                <w:sz w:val="18"/>
                <w:szCs w:val="14"/>
              </w:rPr>
            </w:pPr>
            <w:r w:rsidRPr="00E53159">
              <w:rPr>
                <w:rFonts w:asciiTheme="minorHAnsi" w:hAnsiTheme="minorHAnsi" w:cstheme="minorHAnsi"/>
                <w:b/>
                <w:bCs/>
                <w:sz w:val="18"/>
                <w:szCs w:val="14"/>
              </w:rPr>
              <w:t>63,943</w:t>
            </w:r>
          </w:p>
        </w:tc>
        <w:tc>
          <w:tcPr>
            <w:tcW w:w="1216" w:type="dxa"/>
          </w:tcPr>
          <w:p w14:paraId="0D1827CD" w14:textId="77777777" w:rsidR="00B02873" w:rsidRPr="00E53159" w:rsidRDefault="00B02873" w:rsidP="00E53159">
            <w:pPr>
              <w:pStyle w:val="TablebodyleftFinancialsTables"/>
              <w:jc w:val="right"/>
              <w:rPr>
                <w:rFonts w:asciiTheme="minorHAnsi" w:hAnsiTheme="minorHAnsi" w:cstheme="minorHAnsi"/>
                <w:sz w:val="18"/>
                <w:szCs w:val="14"/>
              </w:rPr>
            </w:pPr>
            <w:r w:rsidRPr="00E53159">
              <w:rPr>
                <w:rFonts w:asciiTheme="minorHAnsi" w:hAnsiTheme="minorHAnsi" w:cstheme="minorHAnsi"/>
                <w:sz w:val="18"/>
                <w:szCs w:val="14"/>
              </w:rPr>
              <w:t>57,669</w:t>
            </w:r>
          </w:p>
        </w:tc>
        <w:tc>
          <w:tcPr>
            <w:tcW w:w="1213" w:type="dxa"/>
          </w:tcPr>
          <w:p w14:paraId="72BB93F3" w14:textId="77777777" w:rsidR="00B02873" w:rsidRPr="00E53159" w:rsidRDefault="00B02873" w:rsidP="00E53159">
            <w:pPr>
              <w:pStyle w:val="TablebodyleftFinancialsTables"/>
              <w:jc w:val="right"/>
              <w:rPr>
                <w:rFonts w:asciiTheme="minorHAnsi" w:hAnsiTheme="minorHAnsi" w:cstheme="minorHAnsi"/>
                <w:b/>
                <w:bCs/>
                <w:sz w:val="18"/>
                <w:szCs w:val="14"/>
              </w:rPr>
            </w:pPr>
            <w:r w:rsidRPr="00E53159">
              <w:rPr>
                <w:rFonts w:asciiTheme="minorHAnsi" w:hAnsiTheme="minorHAnsi" w:cstheme="minorHAnsi"/>
                <w:b/>
                <w:bCs/>
                <w:sz w:val="18"/>
                <w:szCs w:val="14"/>
              </w:rPr>
              <w:t>2,970</w:t>
            </w:r>
          </w:p>
        </w:tc>
        <w:tc>
          <w:tcPr>
            <w:tcW w:w="1189" w:type="dxa"/>
          </w:tcPr>
          <w:p w14:paraId="2127BF20" w14:textId="77777777" w:rsidR="00B02873" w:rsidRPr="00E53159" w:rsidRDefault="00B02873" w:rsidP="00E53159">
            <w:pPr>
              <w:pStyle w:val="TablebodyleftFinancialsTables"/>
              <w:jc w:val="right"/>
              <w:rPr>
                <w:rFonts w:asciiTheme="minorHAnsi" w:hAnsiTheme="minorHAnsi" w:cstheme="minorHAnsi"/>
                <w:sz w:val="18"/>
                <w:szCs w:val="14"/>
              </w:rPr>
            </w:pPr>
            <w:r w:rsidRPr="00E53159">
              <w:rPr>
                <w:rFonts w:asciiTheme="minorHAnsi" w:hAnsiTheme="minorHAnsi" w:cstheme="minorHAnsi"/>
                <w:sz w:val="18"/>
                <w:szCs w:val="14"/>
              </w:rPr>
              <w:t>1,872</w:t>
            </w:r>
          </w:p>
        </w:tc>
      </w:tr>
      <w:tr w:rsidR="00B02873" w:rsidRPr="00E53159" w14:paraId="2A3F03D6" w14:textId="77777777" w:rsidTr="00E53159">
        <w:trPr>
          <w:trHeight w:val="60"/>
        </w:trPr>
        <w:tc>
          <w:tcPr>
            <w:tcW w:w="2593" w:type="dxa"/>
          </w:tcPr>
          <w:p w14:paraId="6C273DF9" w14:textId="77777777" w:rsidR="00B02873" w:rsidRPr="00E53159" w:rsidRDefault="00B02873" w:rsidP="00E53159">
            <w:pPr>
              <w:pStyle w:val="TablebodyleftFinancialsTables"/>
              <w:rPr>
                <w:rFonts w:asciiTheme="minorHAnsi" w:hAnsiTheme="minorHAnsi" w:cstheme="minorHAnsi"/>
                <w:sz w:val="18"/>
                <w:szCs w:val="14"/>
              </w:rPr>
            </w:pPr>
            <w:r w:rsidRPr="00E53159">
              <w:rPr>
                <w:rFonts w:asciiTheme="minorHAnsi" w:hAnsiTheme="minorHAnsi" w:cstheme="minorHAnsi"/>
                <w:spacing w:val="-2"/>
                <w:sz w:val="18"/>
                <w:szCs w:val="14"/>
              </w:rPr>
              <w:t>Contractual receivable from Melbourne Water Corporation (Note 4.2.5)</w:t>
            </w:r>
          </w:p>
        </w:tc>
        <w:tc>
          <w:tcPr>
            <w:tcW w:w="1230" w:type="dxa"/>
          </w:tcPr>
          <w:p w14:paraId="38817D1B" w14:textId="77777777" w:rsidR="00B02873" w:rsidRPr="00E53159" w:rsidRDefault="00B02873" w:rsidP="00E53159">
            <w:pPr>
              <w:pStyle w:val="TablebodyleftFinancialsTables"/>
              <w:jc w:val="right"/>
              <w:rPr>
                <w:rFonts w:asciiTheme="minorHAnsi" w:hAnsiTheme="minorHAnsi" w:cstheme="minorHAnsi"/>
                <w:b/>
                <w:bCs/>
                <w:sz w:val="18"/>
                <w:szCs w:val="14"/>
              </w:rPr>
            </w:pPr>
            <w:r w:rsidRPr="00E53159">
              <w:rPr>
                <w:rFonts w:asciiTheme="minorHAnsi" w:hAnsiTheme="minorHAnsi" w:cstheme="minorHAnsi"/>
                <w:b/>
                <w:bCs/>
                <w:sz w:val="18"/>
                <w:szCs w:val="14"/>
              </w:rPr>
              <w:t>–</w:t>
            </w:r>
          </w:p>
        </w:tc>
        <w:tc>
          <w:tcPr>
            <w:tcW w:w="1275" w:type="dxa"/>
          </w:tcPr>
          <w:p w14:paraId="5AA95431" w14:textId="77777777" w:rsidR="00B02873" w:rsidRPr="00E53159" w:rsidRDefault="00B02873" w:rsidP="00E53159">
            <w:pPr>
              <w:pStyle w:val="TablebodyleftFinancialsTables"/>
              <w:jc w:val="right"/>
              <w:rPr>
                <w:rFonts w:asciiTheme="minorHAnsi" w:hAnsiTheme="minorHAnsi" w:cstheme="minorHAnsi"/>
                <w:sz w:val="18"/>
                <w:szCs w:val="14"/>
              </w:rPr>
            </w:pPr>
            <w:r w:rsidRPr="00E53159">
              <w:rPr>
                <w:rFonts w:asciiTheme="minorHAnsi" w:hAnsiTheme="minorHAnsi" w:cstheme="minorHAnsi"/>
                <w:sz w:val="18"/>
                <w:szCs w:val="14"/>
              </w:rPr>
              <w:t>–</w:t>
            </w:r>
          </w:p>
        </w:tc>
        <w:tc>
          <w:tcPr>
            <w:tcW w:w="1226" w:type="dxa"/>
          </w:tcPr>
          <w:p w14:paraId="2D0FBE68" w14:textId="77777777" w:rsidR="00B02873" w:rsidRPr="00E53159" w:rsidRDefault="00B02873" w:rsidP="00E53159">
            <w:pPr>
              <w:pStyle w:val="TablebodyleftFinancialsTables"/>
              <w:jc w:val="right"/>
              <w:rPr>
                <w:rFonts w:asciiTheme="minorHAnsi" w:hAnsiTheme="minorHAnsi" w:cstheme="minorHAnsi"/>
                <w:b/>
                <w:bCs/>
                <w:sz w:val="18"/>
                <w:szCs w:val="14"/>
              </w:rPr>
            </w:pPr>
            <w:r w:rsidRPr="00E53159">
              <w:rPr>
                <w:rFonts w:asciiTheme="minorHAnsi" w:hAnsiTheme="minorHAnsi" w:cstheme="minorHAnsi"/>
                <w:b/>
                <w:bCs/>
                <w:sz w:val="18"/>
                <w:szCs w:val="14"/>
              </w:rPr>
              <w:t>3,544,228</w:t>
            </w:r>
          </w:p>
        </w:tc>
        <w:tc>
          <w:tcPr>
            <w:tcW w:w="1216" w:type="dxa"/>
          </w:tcPr>
          <w:p w14:paraId="5008771E" w14:textId="77777777" w:rsidR="00B02873" w:rsidRPr="00E53159" w:rsidRDefault="00B02873" w:rsidP="00E53159">
            <w:pPr>
              <w:pStyle w:val="TablebodyleftFinancialsTables"/>
              <w:jc w:val="right"/>
              <w:rPr>
                <w:rFonts w:asciiTheme="minorHAnsi" w:hAnsiTheme="minorHAnsi" w:cstheme="minorHAnsi"/>
                <w:sz w:val="18"/>
                <w:szCs w:val="14"/>
              </w:rPr>
            </w:pPr>
            <w:r w:rsidRPr="00E53159">
              <w:rPr>
                <w:rFonts w:asciiTheme="minorHAnsi" w:hAnsiTheme="minorHAnsi" w:cstheme="minorHAnsi"/>
                <w:sz w:val="18"/>
                <w:szCs w:val="14"/>
              </w:rPr>
              <w:t>3,564,921</w:t>
            </w:r>
          </w:p>
        </w:tc>
        <w:tc>
          <w:tcPr>
            <w:tcW w:w="1213" w:type="dxa"/>
          </w:tcPr>
          <w:p w14:paraId="6FCEA3D8" w14:textId="77777777" w:rsidR="00B02873" w:rsidRPr="00E53159" w:rsidRDefault="00B02873" w:rsidP="00E53159">
            <w:pPr>
              <w:pStyle w:val="TablebodyleftFinancialsTables"/>
              <w:jc w:val="right"/>
              <w:rPr>
                <w:rFonts w:asciiTheme="minorHAnsi" w:hAnsiTheme="minorHAnsi" w:cstheme="minorHAnsi"/>
                <w:b/>
                <w:bCs/>
                <w:sz w:val="18"/>
                <w:szCs w:val="14"/>
              </w:rPr>
            </w:pPr>
            <w:r w:rsidRPr="00E53159">
              <w:rPr>
                <w:rFonts w:asciiTheme="minorHAnsi" w:hAnsiTheme="minorHAnsi" w:cstheme="minorHAnsi"/>
                <w:b/>
                <w:bCs/>
                <w:sz w:val="18"/>
                <w:szCs w:val="14"/>
              </w:rPr>
              <w:t>–</w:t>
            </w:r>
          </w:p>
        </w:tc>
        <w:tc>
          <w:tcPr>
            <w:tcW w:w="1189" w:type="dxa"/>
          </w:tcPr>
          <w:p w14:paraId="65708F86" w14:textId="77777777" w:rsidR="00B02873" w:rsidRPr="00E53159" w:rsidRDefault="00B02873" w:rsidP="00E53159">
            <w:pPr>
              <w:pStyle w:val="TablebodyleftFinancialsTables"/>
              <w:jc w:val="right"/>
              <w:rPr>
                <w:rFonts w:asciiTheme="minorHAnsi" w:hAnsiTheme="minorHAnsi" w:cstheme="minorHAnsi"/>
                <w:sz w:val="18"/>
                <w:szCs w:val="14"/>
              </w:rPr>
            </w:pPr>
            <w:r w:rsidRPr="00E53159">
              <w:rPr>
                <w:rFonts w:asciiTheme="minorHAnsi" w:hAnsiTheme="minorHAnsi" w:cstheme="minorHAnsi"/>
                <w:sz w:val="18"/>
                <w:szCs w:val="14"/>
              </w:rPr>
              <w:t>–</w:t>
            </w:r>
          </w:p>
        </w:tc>
      </w:tr>
      <w:tr w:rsidR="00B02873" w:rsidRPr="00E53159" w14:paraId="264EF07A" w14:textId="77777777" w:rsidTr="00E53159">
        <w:trPr>
          <w:trHeight w:val="60"/>
        </w:trPr>
        <w:tc>
          <w:tcPr>
            <w:tcW w:w="2593" w:type="dxa"/>
          </w:tcPr>
          <w:p w14:paraId="4E8301C2" w14:textId="77777777" w:rsidR="00B02873" w:rsidRPr="00E53159" w:rsidRDefault="00B02873" w:rsidP="00E53159">
            <w:pPr>
              <w:pStyle w:val="TablebodyleftFinancialsTables"/>
              <w:rPr>
                <w:rFonts w:asciiTheme="minorHAnsi" w:hAnsiTheme="minorHAnsi" w:cstheme="minorHAnsi"/>
                <w:b/>
                <w:bCs/>
                <w:sz w:val="18"/>
                <w:szCs w:val="14"/>
              </w:rPr>
            </w:pPr>
            <w:r w:rsidRPr="00E53159">
              <w:rPr>
                <w:rFonts w:asciiTheme="minorHAnsi" w:hAnsiTheme="minorHAnsi" w:cstheme="minorHAnsi"/>
                <w:b/>
                <w:bCs/>
                <w:sz w:val="18"/>
                <w:szCs w:val="14"/>
              </w:rPr>
              <w:t>Total administered financial assets</w:t>
            </w:r>
          </w:p>
        </w:tc>
        <w:tc>
          <w:tcPr>
            <w:tcW w:w="1230" w:type="dxa"/>
          </w:tcPr>
          <w:p w14:paraId="12E7413A" w14:textId="77777777" w:rsidR="00B02873" w:rsidRPr="00E53159" w:rsidRDefault="00B02873" w:rsidP="00E53159">
            <w:pPr>
              <w:pStyle w:val="TablebodyleftFinancialsTables"/>
              <w:jc w:val="right"/>
              <w:rPr>
                <w:rFonts w:asciiTheme="minorHAnsi" w:hAnsiTheme="minorHAnsi" w:cstheme="minorHAnsi"/>
                <w:b/>
                <w:bCs/>
                <w:sz w:val="18"/>
                <w:szCs w:val="14"/>
              </w:rPr>
            </w:pPr>
            <w:r w:rsidRPr="00E53159">
              <w:rPr>
                <w:rFonts w:asciiTheme="minorHAnsi" w:hAnsiTheme="minorHAnsi" w:cstheme="minorHAnsi"/>
                <w:b/>
                <w:bCs/>
                <w:sz w:val="18"/>
                <w:szCs w:val="14"/>
              </w:rPr>
              <w:t>11,492</w:t>
            </w:r>
          </w:p>
        </w:tc>
        <w:tc>
          <w:tcPr>
            <w:tcW w:w="1275" w:type="dxa"/>
          </w:tcPr>
          <w:p w14:paraId="4CBE0810" w14:textId="77777777" w:rsidR="00B02873" w:rsidRPr="00E53159" w:rsidRDefault="00B02873" w:rsidP="00E53159">
            <w:pPr>
              <w:pStyle w:val="TablebodyleftFinancialsTables"/>
              <w:jc w:val="right"/>
              <w:rPr>
                <w:rFonts w:asciiTheme="minorHAnsi" w:hAnsiTheme="minorHAnsi" w:cstheme="minorHAnsi"/>
                <w:sz w:val="18"/>
                <w:szCs w:val="14"/>
              </w:rPr>
            </w:pPr>
            <w:r w:rsidRPr="00E53159">
              <w:rPr>
                <w:rFonts w:asciiTheme="minorHAnsi" w:hAnsiTheme="minorHAnsi" w:cstheme="minorHAnsi"/>
                <w:sz w:val="18"/>
                <w:szCs w:val="14"/>
              </w:rPr>
              <w:t>7,249</w:t>
            </w:r>
          </w:p>
        </w:tc>
        <w:tc>
          <w:tcPr>
            <w:tcW w:w="1226" w:type="dxa"/>
          </w:tcPr>
          <w:p w14:paraId="31483E48" w14:textId="77777777" w:rsidR="00B02873" w:rsidRPr="00E53159" w:rsidRDefault="00B02873" w:rsidP="00E53159">
            <w:pPr>
              <w:pStyle w:val="TablebodyleftFinancialsTables"/>
              <w:jc w:val="right"/>
              <w:rPr>
                <w:rFonts w:asciiTheme="minorHAnsi" w:hAnsiTheme="minorHAnsi" w:cstheme="minorHAnsi"/>
                <w:b/>
                <w:bCs/>
                <w:sz w:val="18"/>
                <w:szCs w:val="14"/>
              </w:rPr>
            </w:pPr>
            <w:r w:rsidRPr="00E53159">
              <w:rPr>
                <w:rFonts w:asciiTheme="minorHAnsi" w:hAnsiTheme="minorHAnsi" w:cstheme="minorHAnsi"/>
                <w:b/>
                <w:bCs/>
                <w:sz w:val="18"/>
                <w:szCs w:val="14"/>
              </w:rPr>
              <w:t>3,649,049</w:t>
            </w:r>
          </w:p>
        </w:tc>
        <w:tc>
          <w:tcPr>
            <w:tcW w:w="1216" w:type="dxa"/>
          </w:tcPr>
          <w:p w14:paraId="3B8A1C49" w14:textId="77777777" w:rsidR="00B02873" w:rsidRPr="00E53159" w:rsidRDefault="00B02873" w:rsidP="00E53159">
            <w:pPr>
              <w:pStyle w:val="TablebodyleftFinancialsTables"/>
              <w:jc w:val="right"/>
              <w:rPr>
                <w:rFonts w:asciiTheme="minorHAnsi" w:hAnsiTheme="minorHAnsi" w:cstheme="minorHAnsi"/>
                <w:sz w:val="18"/>
                <w:szCs w:val="14"/>
              </w:rPr>
            </w:pPr>
            <w:r w:rsidRPr="00E53159">
              <w:rPr>
                <w:rFonts w:asciiTheme="minorHAnsi" w:hAnsiTheme="minorHAnsi" w:cstheme="minorHAnsi"/>
                <w:sz w:val="18"/>
                <w:szCs w:val="14"/>
              </w:rPr>
              <w:t>3,666,373</w:t>
            </w:r>
          </w:p>
        </w:tc>
        <w:tc>
          <w:tcPr>
            <w:tcW w:w="1213" w:type="dxa"/>
          </w:tcPr>
          <w:p w14:paraId="3C6BE4FA" w14:textId="77777777" w:rsidR="00B02873" w:rsidRPr="00E53159" w:rsidRDefault="00B02873" w:rsidP="00E53159">
            <w:pPr>
              <w:pStyle w:val="TablebodyleftFinancialsTables"/>
              <w:jc w:val="right"/>
              <w:rPr>
                <w:rFonts w:asciiTheme="minorHAnsi" w:hAnsiTheme="minorHAnsi" w:cstheme="minorHAnsi"/>
                <w:b/>
                <w:bCs/>
                <w:sz w:val="18"/>
                <w:szCs w:val="14"/>
              </w:rPr>
            </w:pPr>
            <w:r w:rsidRPr="00E53159">
              <w:rPr>
                <w:rFonts w:asciiTheme="minorHAnsi" w:hAnsiTheme="minorHAnsi" w:cstheme="minorHAnsi"/>
                <w:b/>
                <w:bCs/>
                <w:sz w:val="18"/>
                <w:szCs w:val="14"/>
              </w:rPr>
              <w:t>2,992</w:t>
            </w:r>
          </w:p>
        </w:tc>
        <w:tc>
          <w:tcPr>
            <w:tcW w:w="1189" w:type="dxa"/>
          </w:tcPr>
          <w:p w14:paraId="123C171A" w14:textId="77777777" w:rsidR="00B02873" w:rsidRPr="00E53159" w:rsidRDefault="00B02873" w:rsidP="00E53159">
            <w:pPr>
              <w:pStyle w:val="TablebodyleftFinancialsTables"/>
              <w:jc w:val="right"/>
              <w:rPr>
                <w:rFonts w:asciiTheme="minorHAnsi" w:hAnsiTheme="minorHAnsi" w:cstheme="minorHAnsi"/>
                <w:sz w:val="18"/>
                <w:szCs w:val="14"/>
              </w:rPr>
            </w:pPr>
            <w:r w:rsidRPr="00E53159">
              <w:rPr>
                <w:rFonts w:asciiTheme="minorHAnsi" w:hAnsiTheme="minorHAnsi" w:cstheme="minorHAnsi"/>
                <w:sz w:val="18"/>
                <w:szCs w:val="14"/>
              </w:rPr>
              <w:t>1,927</w:t>
            </w:r>
          </w:p>
        </w:tc>
      </w:tr>
      <w:tr w:rsidR="00E53159" w:rsidRPr="00E53159" w14:paraId="311DAFE3" w14:textId="77777777" w:rsidTr="00E53159">
        <w:trPr>
          <w:trHeight w:val="60"/>
        </w:trPr>
        <w:tc>
          <w:tcPr>
            <w:tcW w:w="2593" w:type="dxa"/>
          </w:tcPr>
          <w:p w14:paraId="3D6C3C5B" w14:textId="77777777" w:rsidR="00B02873" w:rsidRPr="00E53159" w:rsidRDefault="00B02873" w:rsidP="00E53159">
            <w:pPr>
              <w:pStyle w:val="TablebodyleftFinancialsTables"/>
              <w:rPr>
                <w:rFonts w:asciiTheme="minorHAnsi" w:hAnsiTheme="minorHAnsi" w:cstheme="minorHAnsi"/>
                <w:b/>
                <w:bCs/>
                <w:sz w:val="18"/>
                <w:szCs w:val="14"/>
              </w:rPr>
            </w:pPr>
            <w:r w:rsidRPr="00E53159">
              <w:rPr>
                <w:rFonts w:asciiTheme="minorHAnsi" w:hAnsiTheme="minorHAnsi" w:cstheme="minorHAnsi"/>
                <w:b/>
                <w:bCs/>
                <w:sz w:val="18"/>
                <w:szCs w:val="14"/>
              </w:rPr>
              <w:t>Administered non-financial assets</w:t>
            </w:r>
          </w:p>
        </w:tc>
        <w:tc>
          <w:tcPr>
            <w:tcW w:w="1230" w:type="dxa"/>
          </w:tcPr>
          <w:p w14:paraId="7C544632" w14:textId="77777777" w:rsidR="00B02873" w:rsidRPr="00E53159" w:rsidRDefault="00B02873" w:rsidP="00E53159">
            <w:pPr>
              <w:pStyle w:val="TablebodyleftFinancialsTables"/>
              <w:jc w:val="right"/>
              <w:rPr>
                <w:rFonts w:asciiTheme="minorHAnsi" w:hAnsiTheme="minorHAnsi" w:cstheme="minorHAnsi"/>
                <w:b/>
                <w:bCs/>
                <w:sz w:val="18"/>
                <w:szCs w:val="14"/>
              </w:rPr>
            </w:pPr>
          </w:p>
        </w:tc>
        <w:tc>
          <w:tcPr>
            <w:tcW w:w="1275" w:type="dxa"/>
          </w:tcPr>
          <w:p w14:paraId="4815F5E2" w14:textId="77777777" w:rsidR="00B02873" w:rsidRPr="00E53159" w:rsidRDefault="00B02873" w:rsidP="00E53159">
            <w:pPr>
              <w:pStyle w:val="TablebodyleftFinancialsTables"/>
              <w:jc w:val="right"/>
              <w:rPr>
                <w:rFonts w:asciiTheme="minorHAnsi" w:hAnsiTheme="minorHAnsi" w:cstheme="minorHAnsi"/>
                <w:sz w:val="18"/>
                <w:szCs w:val="14"/>
              </w:rPr>
            </w:pPr>
          </w:p>
        </w:tc>
        <w:tc>
          <w:tcPr>
            <w:tcW w:w="1226" w:type="dxa"/>
          </w:tcPr>
          <w:p w14:paraId="0D86B38D" w14:textId="77777777" w:rsidR="00B02873" w:rsidRPr="00E53159" w:rsidRDefault="00B02873" w:rsidP="00E53159">
            <w:pPr>
              <w:pStyle w:val="TablebodyleftFinancialsTables"/>
              <w:jc w:val="right"/>
              <w:rPr>
                <w:rFonts w:asciiTheme="minorHAnsi" w:hAnsiTheme="minorHAnsi" w:cstheme="minorHAnsi"/>
                <w:b/>
                <w:bCs/>
                <w:sz w:val="18"/>
                <w:szCs w:val="14"/>
              </w:rPr>
            </w:pPr>
          </w:p>
        </w:tc>
        <w:tc>
          <w:tcPr>
            <w:tcW w:w="1216" w:type="dxa"/>
          </w:tcPr>
          <w:p w14:paraId="03A2D08A" w14:textId="77777777" w:rsidR="00B02873" w:rsidRPr="00E53159" w:rsidRDefault="00B02873" w:rsidP="00E53159">
            <w:pPr>
              <w:pStyle w:val="TablebodyleftFinancialsTables"/>
              <w:jc w:val="right"/>
              <w:rPr>
                <w:rFonts w:asciiTheme="minorHAnsi" w:hAnsiTheme="minorHAnsi" w:cstheme="minorHAnsi"/>
                <w:sz w:val="18"/>
                <w:szCs w:val="14"/>
              </w:rPr>
            </w:pPr>
          </w:p>
        </w:tc>
        <w:tc>
          <w:tcPr>
            <w:tcW w:w="1213" w:type="dxa"/>
          </w:tcPr>
          <w:p w14:paraId="1826E6F9" w14:textId="77777777" w:rsidR="00B02873" w:rsidRPr="00E53159" w:rsidRDefault="00B02873" w:rsidP="00E53159">
            <w:pPr>
              <w:pStyle w:val="TablebodyleftFinancialsTables"/>
              <w:jc w:val="right"/>
              <w:rPr>
                <w:rFonts w:asciiTheme="minorHAnsi" w:hAnsiTheme="minorHAnsi" w:cstheme="minorHAnsi"/>
                <w:b/>
                <w:bCs/>
                <w:sz w:val="18"/>
                <w:szCs w:val="14"/>
              </w:rPr>
            </w:pPr>
          </w:p>
        </w:tc>
        <w:tc>
          <w:tcPr>
            <w:tcW w:w="1189" w:type="dxa"/>
          </w:tcPr>
          <w:p w14:paraId="277791B6" w14:textId="77777777" w:rsidR="00B02873" w:rsidRPr="00E53159" w:rsidRDefault="00B02873" w:rsidP="00E53159">
            <w:pPr>
              <w:pStyle w:val="TablebodyleftFinancialsTables"/>
              <w:jc w:val="right"/>
              <w:rPr>
                <w:rFonts w:asciiTheme="minorHAnsi" w:hAnsiTheme="minorHAnsi" w:cstheme="minorHAnsi"/>
                <w:sz w:val="18"/>
                <w:szCs w:val="14"/>
              </w:rPr>
            </w:pPr>
          </w:p>
        </w:tc>
      </w:tr>
      <w:tr w:rsidR="00E53159" w:rsidRPr="00E53159" w14:paraId="7964749D" w14:textId="77777777" w:rsidTr="00E53159">
        <w:trPr>
          <w:trHeight w:val="522"/>
        </w:trPr>
        <w:tc>
          <w:tcPr>
            <w:tcW w:w="2593" w:type="dxa"/>
          </w:tcPr>
          <w:p w14:paraId="5AF156DA" w14:textId="77777777" w:rsidR="00B02873" w:rsidRPr="00E53159" w:rsidRDefault="00B02873" w:rsidP="00E53159">
            <w:pPr>
              <w:pStyle w:val="TablebodyleftFinancialsTables"/>
              <w:rPr>
                <w:rFonts w:asciiTheme="minorHAnsi" w:hAnsiTheme="minorHAnsi" w:cstheme="minorHAnsi"/>
                <w:sz w:val="18"/>
                <w:szCs w:val="14"/>
              </w:rPr>
            </w:pPr>
            <w:r w:rsidRPr="00E53159">
              <w:rPr>
                <w:rFonts w:asciiTheme="minorHAnsi" w:hAnsiTheme="minorHAnsi" w:cstheme="minorHAnsi"/>
                <w:sz w:val="18"/>
                <w:szCs w:val="14"/>
              </w:rPr>
              <w:t>Share of jointly controlled assets (Note 4.2.3)</w:t>
            </w:r>
          </w:p>
        </w:tc>
        <w:tc>
          <w:tcPr>
            <w:tcW w:w="1230" w:type="dxa"/>
          </w:tcPr>
          <w:p w14:paraId="779DDCA8" w14:textId="77777777" w:rsidR="00B02873" w:rsidRPr="00E53159" w:rsidRDefault="00B02873" w:rsidP="00E53159">
            <w:pPr>
              <w:pStyle w:val="TablebodyleftFinancialsTables"/>
              <w:jc w:val="right"/>
              <w:rPr>
                <w:rFonts w:asciiTheme="minorHAnsi" w:hAnsiTheme="minorHAnsi" w:cstheme="minorHAnsi"/>
                <w:b/>
                <w:bCs/>
                <w:sz w:val="18"/>
                <w:szCs w:val="14"/>
              </w:rPr>
            </w:pPr>
            <w:r w:rsidRPr="00E53159">
              <w:rPr>
                <w:rFonts w:asciiTheme="minorHAnsi" w:hAnsiTheme="minorHAnsi" w:cstheme="minorHAnsi"/>
                <w:b/>
                <w:bCs/>
                <w:sz w:val="18"/>
                <w:szCs w:val="14"/>
              </w:rPr>
              <w:t>–</w:t>
            </w:r>
          </w:p>
        </w:tc>
        <w:tc>
          <w:tcPr>
            <w:tcW w:w="1275" w:type="dxa"/>
          </w:tcPr>
          <w:p w14:paraId="7E2715B5" w14:textId="77777777" w:rsidR="00B02873" w:rsidRPr="00E53159" w:rsidRDefault="00B02873" w:rsidP="00E53159">
            <w:pPr>
              <w:pStyle w:val="TablebodyleftFinancialsTables"/>
              <w:jc w:val="right"/>
              <w:rPr>
                <w:rFonts w:asciiTheme="minorHAnsi" w:hAnsiTheme="minorHAnsi" w:cstheme="minorHAnsi"/>
                <w:sz w:val="18"/>
                <w:szCs w:val="14"/>
              </w:rPr>
            </w:pPr>
            <w:r w:rsidRPr="00E53159">
              <w:rPr>
                <w:rFonts w:asciiTheme="minorHAnsi" w:hAnsiTheme="minorHAnsi" w:cstheme="minorHAnsi"/>
                <w:sz w:val="18"/>
                <w:szCs w:val="14"/>
              </w:rPr>
              <w:t>–</w:t>
            </w:r>
          </w:p>
        </w:tc>
        <w:tc>
          <w:tcPr>
            <w:tcW w:w="1226" w:type="dxa"/>
          </w:tcPr>
          <w:p w14:paraId="3C78CA8C" w14:textId="77777777" w:rsidR="00B02873" w:rsidRPr="00E53159" w:rsidRDefault="00B02873" w:rsidP="00E53159">
            <w:pPr>
              <w:pStyle w:val="TablebodyleftFinancialsTables"/>
              <w:jc w:val="right"/>
              <w:rPr>
                <w:rFonts w:asciiTheme="minorHAnsi" w:hAnsiTheme="minorHAnsi" w:cstheme="minorHAnsi"/>
                <w:b/>
                <w:bCs/>
                <w:sz w:val="18"/>
                <w:szCs w:val="14"/>
              </w:rPr>
            </w:pPr>
            <w:r w:rsidRPr="00E53159">
              <w:rPr>
                <w:rFonts w:asciiTheme="minorHAnsi" w:hAnsiTheme="minorHAnsi" w:cstheme="minorHAnsi"/>
                <w:b/>
                <w:bCs/>
                <w:sz w:val="18"/>
                <w:szCs w:val="14"/>
              </w:rPr>
              <w:t>1,006,396</w:t>
            </w:r>
          </w:p>
        </w:tc>
        <w:tc>
          <w:tcPr>
            <w:tcW w:w="1216" w:type="dxa"/>
          </w:tcPr>
          <w:p w14:paraId="00FF3833" w14:textId="77777777" w:rsidR="00B02873" w:rsidRPr="00E53159" w:rsidRDefault="00B02873" w:rsidP="00E53159">
            <w:pPr>
              <w:pStyle w:val="TablebodyleftFinancialsTables"/>
              <w:jc w:val="right"/>
              <w:rPr>
                <w:rFonts w:asciiTheme="minorHAnsi" w:hAnsiTheme="minorHAnsi" w:cstheme="minorHAnsi"/>
                <w:sz w:val="18"/>
                <w:szCs w:val="14"/>
              </w:rPr>
            </w:pPr>
            <w:r w:rsidRPr="00E53159">
              <w:rPr>
                <w:rFonts w:asciiTheme="minorHAnsi" w:hAnsiTheme="minorHAnsi" w:cstheme="minorHAnsi"/>
                <w:sz w:val="18"/>
                <w:szCs w:val="14"/>
              </w:rPr>
              <w:t>891,479</w:t>
            </w:r>
          </w:p>
        </w:tc>
        <w:tc>
          <w:tcPr>
            <w:tcW w:w="1213" w:type="dxa"/>
          </w:tcPr>
          <w:p w14:paraId="5A1BC01D" w14:textId="77777777" w:rsidR="00B02873" w:rsidRPr="00E53159" w:rsidRDefault="00B02873" w:rsidP="00E53159">
            <w:pPr>
              <w:pStyle w:val="TablebodyleftFinancialsTables"/>
              <w:jc w:val="right"/>
              <w:rPr>
                <w:rFonts w:asciiTheme="minorHAnsi" w:hAnsiTheme="minorHAnsi" w:cstheme="minorHAnsi"/>
                <w:b/>
                <w:bCs/>
                <w:sz w:val="18"/>
                <w:szCs w:val="14"/>
              </w:rPr>
            </w:pPr>
            <w:r w:rsidRPr="00E53159">
              <w:rPr>
                <w:rFonts w:asciiTheme="minorHAnsi" w:hAnsiTheme="minorHAnsi" w:cstheme="minorHAnsi"/>
                <w:b/>
                <w:bCs/>
                <w:sz w:val="18"/>
                <w:szCs w:val="14"/>
              </w:rPr>
              <w:t>–</w:t>
            </w:r>
          </w:p>
        </w:tc>
        <w:tc>
          <w:tcPr>
            <w:tcW w:w="1189" w:type="dxa"/>
          </w:tcPr>
          <w:p w14:paraId="75A5EC3A" w14:textId="77777777" w:rsidR="00B02873" w:rsidRPr="00E53159" w:rsidRDefault="00B02873" w:rsidP="00E53159">
            <w:pPr>
              <w:pStyle w:val="TablebodyleftFinancialsTables"/>
              <w:jc w:val="right"/>
              <w:rPr>
                <w:rFonts w:asciiTheme="minorHAnsi" w:hAnsiTheme="minorHAnsi" w:cstheme="minorHAnsi"/>
                <w:sz w:val="18"/>
                <w:szCs w:val="14"/>
              </w:rPr>
            </w:pPr>
            <w:r w:rsidRPr="00E53159">
              <w:rPr>
                <w:rFonts w:asciiTheme="minorHAnsi" w:hAnsiTheme="minorHAnsi" w:cstheme="minorHAnsi"/>
                <w:sz w:val="18"/>
                <w:szCs w:val="14"/>
              </w:rPr>
              <w:t>–</w:t>
            </w:r>
          </w:p>
        </w:tc>
      </w:tr>
      <w:tr w:rsidR="00B02873" w:rsidRPr="00E53159" w14:paraId="6FFDC67E" w14:textId="77777777" w:rsidTr="00E53159">
        <w:trPr>
          <w:trHeight w:val="60"/>
        </w:trPr>
        <w:tc>
          <w:tcPr>
            <w:tcW w:w="2593" w:type="dxa"/>
          </w:tcPr>
          <w:p w14:paraId="1DDA9B81" w14:textId="77777777" w:rsidR="00B02873" w:rsidRPr="00E53159" w:rsidRDefault="00B02873" w:rsidP="00E53159">
            <w:pPr>
              <w:pStyle w:val="TablebodyleftFinancialsTables"/>
              <w:rPr>
                <w:rFonts w:asciiTheme="minorHAnsi" w:hAnsiTheme="minorHAnsi" w:cstheme="minorHAnsi"/>
                <w:sz w:val="18"/>
                <w:szCs w:val="14"/>
              </w:rPr>
            </w:pPr>
            <w:r w:rsidRPr="00E53159">
              <w:rPr>
                <w:rFonts w:asciiTheme="minorHAnsi" w:hAnsiTheme="minorHAnsi" w:cstheme="minorHAnsi"/>
                <w:sz w:val="18"/>
                <w:szCs w:val="14"/>
              </w:rPr>
              <w:t xml:space="preserve">Service concession intangible asset (Note 4.2.4) </w:t>
            </w:r>
          </w:p>
        </w:tc>
        <w:tc>
          <w:tcPr>
            <w:tcW w:w="1230" w:type="dxa"/>
          </w:tcPr>
          <w:p w14:paraId="668C7010" w14:textId="77777777" w:rsidR="00B02873" w:rsidRPr="00E53159" w:rsidRDefault="00B02873" w:rsidP="00E53159">
            <w:pPr>
              <w:pStyle w:val="TablebodyleftFinancialsTables"/>
              <w:jc w:val="right"/>
              <w:rPr>
                <w:rFonts w:asciiTheme="minorHAnsi" w:hAnsiTheme="minorHAnsi" w:cstheme="minorHAnsi"/>
                <w:b/>
                <w:bCs/>
                <w:sz w:val="18"/>
                <w:szCs w:val="14"/>
              </w:rPr>
            </w:pPr>
            <w:r w:rsidRPr="00E53159">
              <w:rPr>
                <w:rFonts w:asciiTheme="minorHAnsi" w:hAnsiTheme="minorHAnsi" w:cstheme="minorHAnsi"/>
                <w:b/>
                <w:bCs/>
                <w:sz w:val="18"/>
                <w:szCs w:val="14"/>
              </w:rPr>
              <w:t>–</w:t>
            </w:r>
          </w:p>
        </w:tc>
        <w:tc>
          <w:tcPr>
            <w:tcW w:w="1275" w:type="dxa"/>
          </w:tcPr>
          <w:p w14:paraId="34B40B9A" w14:textId="77777777" w:rsidR="00B02873" w:rsidRPr="00E53159" w:rsidRDefault="00B02873" w:rsidP="00E53159">
            <w:pPr>
              <w:pStyle w:val="TablebodyleftFinancialsTables"/>
              <w:jc w:val="right"/>
              <w:rPr>
                <w:rFonts w:asciiTheme="minorHAnsi" w:hAnsiTheme="minorHAnsi" w:cstheme="minorHAnsi"/>
                <w:sz w:val="18"/>
                <w:szCs w:val="14"/>
              </w:rPr>
            </w:pPr>
            <w:r w:rsidRPr="00E53159">
              <w:rPr>
                <w:rFonts w:asciiTheme="minorHAnsi" w:hAnsiTheme="minorHAnsi" w:cstheme="minorHAnsi"/>
                <w:sz w:val="18"/>
                <w:szCs w:val="14"/>
              </w:rPr>
              <w:t>–</w:t>
            </w:r>
          </w:p>
        </w:tc>
        <w:tc>
          <w:tcPr>
            <w:tcW w:w="1226" w:type="dxa"/>
          </w:tcPr>
          <w:p w14:paraId="7A2DDB19" w14:textId="77777777" w:rsidR="00B02873" w:rsidRPr="00E53159" w:rsidRDefault="00B02873" w:rsidP="00E53159">
            <w:pPr>
              <w:pStyle w:val="TablebodyleftFinancialsTables"/>
              <w:jc w:val="right"/>
              <w:rPr>
                <w:rFonts w:asciiTheme="minorHAnsi" w:hAnsiTheme="minorHAnsi" w:cstheme="minorHAnsi"/>
                <w:b/>
                <w:bCs/>
                <w:sz w:val="18"/>
                <w:szCs w:val="14"/>
              </w:rPr>
            </w:pPr>
            <w:r w:rsidRPr="00E53159">
              <w:rPr>
                <w:rFonts w:asciiTheme="minorHAnsi" w:hAnsiTheme="minorHAnsi" w:cstheme="minorHAnsi"/>
                <w:b/>
                <w:bCs/>
                <w:sz w:val="18"/>
                <w:szCs w:val="14"/>
              </w:rPr>
              <w:t>–</w:t>
            </w:r>
          </w:p>
        </w:tc>
        <w:tc>
          <w:tcPr>
            <w:tcW w:w="1216" w:type="dxa"/>
          </w:tcPr>
          <w:p w14:paraId="4C3B4B36" w14:textId="77777777" w:rsidR="00B02873" w:rsidRPr="00E53159" w:rsidRDefault="00B02873" w:rsidP="00E53159">
            <w:pPr>
              <w:pStyle w:val="TablebodyleftFinancialsTables"/>
              <w:jc w:val="right"/>
              <w:rPr>
                <w:rFonts w:asciiTheme="minorHAnsi" w:hAnsiTheme="minorHAnsi" w:cstheme="minorHAnsi"/>
                <w:sz w:val="18"/>
                <w:szCs w:val="14"/>
              </w:rPr>
            </w:pPr>
            <w:r w:rsidRPr="00E53159">
              <w:rPr>
                <w:rFonts w:asciiTheme="minorHAnsi" w:hAnsiTheme="minorHAnsi" w:cstheme="minorHAnsi"/>
                <w:sz w:val="18"/>
                <w:szCs w:val="14"/>
              </w:rPr>
              <w:t>–</w:t>
            </w:r>
          </w:p>
        </w:tc>
        <w:tc>
          <w:tcPr>
            <w:tcW w:w="1213" w:type="dxa"/>
          </w:tcPr>
          <w:p w14:paraId="19C13DA5" w14:textId="77777777" w:rsidR="00B02873" w:rsidRPr="00E53159" w:rsidRDefault="00B02873" w:rsidP="00E53159">
            <w:pPr>
              <w:pStyle w:val="TablebodyleftFinancialsTables"/>
              <w:jc w:val="right"/>
              <w:rPr>
                <w:rFonts w:asciiTheme="minorHAnsi" w:hAnsiTheme="minorHAnsi" w:cstheme="minorHAnsi"/>
                <w:b/>
                <w:bCs/>
                <w:sz w:val="18"/>
                <w:szCs w:val="14"/>
              </w:rPr>
            </w:pPr>
            <w:r w:rsidRPr="00E53159">
              <w:rPr>
                <w:rFonts w:asciiTheme="minorHAnsi" w:hAnsiTheme="minorHAnsi" w:cstheme="minorHAnsi"/>
                <w:b/>
                <w:bCs/>
                <w:sz w:val="18"/>
                <w:szCs w:val="14"/>
              </w:rPr>
              <w:t>–</w:t>
            </w:r>
          </w:p>
        </w:tc>
        <w:tc>
          <w:tcPr>
            <w:tcW w:w="1189" w:type="dxa"/>
          </w:tcPr>
          <w:p w14:paraId="2566B36B" w14:textId="77777777" w:rsidR="00B02873" w:rsidRPr="00E53159" w:rsidRDefault="00B02873" w:rsidP="00E53159">
            <w:pPr>
              <w:pStyle w:val="TablebodyleftFinancialsTables"/>
              <w:jc w:val="right"/>
              <w:rPr>
                <w:rFonts w:asciiTheme="minorHAnsi" w:hAnsiTheme="minorHAnsi" w:cstheme="minorHAnsi"/>
                <w:sz w:val="18"/>
                <w:szCs w:val="14"/>
              </w:rPr>
            </w:pPr>
            <w:r w:rsidRPr="00E53159">
              <w:rPr>
                <w:rFonts w:asciiTheme="minorHAnsi" w:hAnsiTheme="minorHAnsi" w:cstheme="minorHAnsi"/>
                <w:sz w:val="18"/>
                <w:szCs w:val="14"/>
              </w:rPr>
              <w:t>–</w:t>
            </w:r>
          </w:p>
        </w:tc>
      </w:tr>
      <w:tr w:rsidR="00E53159" w:rsidRPr="00E53159" w14:paraId="78A34E37" w14:textId="77777777" w:rsidTr="00E53159">
        <w:trPr>
          <w:trHeight w:val="60"/>
        </w:trPr>
        <w:tc>
          <w:tcPr>
            <w:tcW w:w="2593" w:type="dxa"/>
          </w:tcPr>
          <w:p w14:paraId="75B4B992" w14:textId="77777777" w:rsidR="00B02873" w:rsidRPr="00E53159" w:rsidRDefault="00B02873" w:rsidP="00E53159">
            <w:pPr>
              <w:pStyle w:val="TablebodyleftFinancialsTables"/>
              <w:rPr>
                <w:rFonts w:asciiTheme="minorHAnsi" w:hAnsiTheme="minorHAnsi" w:cstheme="minorHAnsi"/>
                <w:sz w:val="18"/>
                <w:szCs w:val="14"/>
              </w:rPr>
            </w:pPr>
            <w:r w:rsidRPr="00E53159">
              <w:rPr>
                <w:rFonts w:asciiTheme="minorHAnsi" w:hAnsiTheme="minorHAnsi" w:cstheme="minorHAnsi"/>
                <w:sz w:val="18"/>
                <w:szCs w:val="14"/>
              </w:rPr>
              <w:t>Intangible assets (Note 4.2.5)</w:t>
            </w:r>
          </w:p>
        </w:tc>
        <w:tc>
          <w:tcPr>
            <w:tcW w:w="1230" w:type="dxa"/>
          </w:tcPr>
          <w:p w14:paraId="31400229" w14:textId="77777777" w:rsidR="00B02873" w:rsidRPr="00E53159" w:rsidRDefault="00B02873" w:rsidP="00E53159">
            <w:pPr>
              <w:pStyle w:val="TablebodyleftFinancialsTables"/>
              <w:jc w:val="right"/>
              <w:rPr>
                <w:rFonts w:asciiTheme="minorHAnsi" w:hAnsiTheme="minorHAnsi" w:cstheme="minorHAnsi"/>
                <w:b/>
                <w:bCs/>
                <w:sz w:val="18"/>
                <w:szCs w:val="14"/>
              </w:rPr>
            </w:pPr>
            <w:r w:rsidRPr="00E53159">
              <w:rPr>
                <w:rFonts w:asciiTheme="minorHAnsi" w:hAnsiTheme="minorHAnsi" w:cstheme="minorHAnsi"/>
                <w:b/>
                <w:bCs/>
                <w:sz w:val="18"/>
                <w:szCs w:val="14"/>
              </w:rPr>
              <w:t>–</w:t>
            </w:r>
          </w:p>
        </w:tc>
        <w:tc>
          <w:tcPr>
            <w:tcW w:w="1275" w:type="dxa"/>
          </w:tcPr>
          <w:p w14:paraId="7F9FBCED" w14:textId="77777777" w:rsidR="00B02873" w:rsidRPr="00E53159" w:rsidRDefault="00B02873" w:rsidP="00E53159">
            <w:pPr>
              <w:pStyle w:val="TablebodyleftFinancialsTables"/>
              <w:jc w:val="right"/>
              <w:rPr>
                <w:rFonts w:asciiTheme="minorHAnsi" w:hAnsiTheme="minorHAnsi" w:cstheme="minorHAnsi"/>
                <w:sz w:val="18"/>
                <w:szCs w:val="14"/>
              </w:rPr>
            </w:pPr>
            <w:r w:rsidRPr="00E53159">
              <w:rPr>
                <w:rFonts w:asciiTheme="minorHAnsi" w:hAnsiTheme="minorHAnsi" w:cstheme="minorHAnsi"/>
                <w:sz w:val="18"/>
                <w:szCs w:val="14"/>
              </w:rPr>
              <w:t>–</w:t>
            </w:r>
          </w:p>
        </w:tc>
        <w:tc>
          <w:tcPr>
            <w:tcW w:w="1226" w:type="dxa"/>
          </w:tcPr>
          <w:p w14:paraId="2E1FCEBA" w14:textId="77777777" w:rsidR="00B02873" w:rsidRPr="00E53159" w:rsidRDefault="00B02873" w:rsidP="00E53159">
            <w:pPr>
              <w:pStyle w:val="TablebodyleftFinancialsTables"/>
              <w:jc w:val="right"/>
              <w:rPr>
                <w:rFonts w:asciiTheme="minorHAnsi" w:hAnsiTheme="minorHAnsi" w:cstheme="minorHAnsi"/>
                <w:b/>
                <w:bCs/>
                <w:sz w:val="18"/>
                <w:szCs w:val="14"/>
              </w:rPr>
            </w:pPr>
            <w:r w:rsidRPr="00E53159">
              <w:rPr>
                <w:rFonts w:asciiTheme="minorHAnsi" w:hAnsiTheme="minorHAnsi" w:cstheme="minorHAnsi"/>
                <w:b/>
                <w:bCs/>
                <w:sz w:val="18"/>
                <w:szCs w:val="14"/>
              </w:rPr>
              <w:t>74,532</w:t>
            </w:r>
          </w:p>
        </w:tc>
        <w:tc>
          <w:tcPr>
            <w:tcW w:w="1216" w:type="dxa"/>
          </w:tcPr>
          <w:p w14:paraId="154A8E83" w14:textId="77777777" w:rsidR="00B02873" w:rsidRPr="00E53159" w:rsidRDefault="00B02873" w:rsidP="00E53159">
            <w:pPr>
              <w:pStyle w:val="TablebodyleftFinancialsTables"/>
              <w:jc w:val="right"/>
              <w:rPr>
                <w:rFonts w:asciiTheme="minorHAnsi" w:hAnsiTheme="minorHAnsi" w:cstheme="minorHAnsi"/>
                <w:sz w:val="18"/>
                <w:szCs w:val="14"/>
              </w:rPr>
            </w:pPr>
            <w:r w:rsidRPr="00E53159">
              <w:rPr>
                <w:rFonts w:asciiTheme="minorHAnsi" w:hAnsiTheme="minorHAnsi" w:cstheme="minorHAnsi"/>
                <w:sz w:val="18"/>
                <w:szCs w:val="14"/>
              </w:rPr>
              <w:t>100,022</w:t>
            </w:r>
          </w:p>
        </w:tc>
        <w:tc>
          <w:tcPr>
            <w:tcW w:w="1213" w:type="dxa"/>
          </w:tcPr>
          <w:p w14:paraId="684A025E" w14:textId="77777777" w:rsidR="00B02873" w:rsidRPr="00E53159" w:rsidRDefault="00B02873" w:rsidP="00E53159">
            <w:pPr>
              <w:pStyle w:val="TablebodyleftFinancialsTables"/>
              <w:jc w:val="right"/>
              <w:rPr>
                <w:rFonts w:asciiTheme="minorHAnsi" w:hAnsiTheme="minorHAnsi" w:cstheme="minorHAnsi"/>
                <w:b/>
                <w:bCs/>
                <w:sz w:val="18"/>
                <w:szCs w:val="14"/>
              </w:rPr>
            </w:pPr>
            <w:r w:rsidRPr="00E53159">
              <w:rPr>
                <w:rFonts w:asciiTheme="minorHAnsi" w:hAnsiTheme="minorHAnsi" w:cstheme="minorHAnsi"/>
                <w:b/>
                <w:bCs/>
                <w:sz w:val="18"/>
                <w:szCs w:val="14"/>
              </w:rPr>
              <w:t>–</w:t>
            </w:r>
          </w:p>
        </w:tc>
        <w:tc>
          <w:tcPr>
            <w:tcW w:w="1189" w:type="dxa"/>
          </w:tcPr>
          <w:p w14:paraId="7A49B4A0" w14:textId="77777777" w:rsidR="00B02873" w:rsidRPr="00E53159" w:rsidRDefault="00B02873" w:rsidP="00E53159">
            <w:pPr>
              <w:pStyle w:val="TablebodyleftFinancialsTables"/>
              <w:jc w:val="right"/>
              <w:rPr>
                <w:rFonts w:asciiTheme="minorHAnsi" w:hAnsiTheme="minorHAnsi" w:cstheme="minorHAnsi"/>
                <w:sz w:val="18"/>
                <w:szCs w:val="14"/>
              </w:rPr>
            </w:pPr>
            <w:r w:rsidRPr="00E53159">
              <w:rPr>
                <w:rFonts w:asciiTheme="minorHAnsi" w:hAnsiTheme="minorHAnsi" w:cstheme="minorHAnsi"/>
                <w:sz w:val="18"/>
                <w:szCs w:val="14"/>
              </w:rPr>
              <w:t>–</w:t>
            </w:r>
          </w:p>
        </w:tc>
      </w:tr>
      <w:tr w:rsidR="00B02873" w:rsidRPr="00E53159" w14:paraId="20A3B8E0" w14:textId="77777777" w:rsidTr="00E53159">
        <w:trPr>
          <w:trHeight w:val="60"/>
        </w:trPr>
        <w:tc>
          <w:tcPr>
            <w:tcW w:w="2593" w:type="dxa"/>
          </w:tcPr>
          <w:p w14:paraId="2BFC89FE" w14:textId="77777777" w:rsidR="00B02873" w:rsidRPr="00E53159" w:rsidRDefault="00B02873" w:rsidP="00E53159">
            <w:pPr>
              <w:pStyle w:val="TablebodyleftFinancialsTables"/>
              <w:rPr>
                <w:rFonts w:asciiTheme="minorHAnsi" w:hAnsiTheme="minorHAnsi" w:cstheme="minorHAnsi"/>
                <w:sz w:val="18"/>
                <w:szCs w:val="14"/>
              </w:rPr>
            </w:pPr>
            <w:r w:rsidRPr="00E53159">
              <w:rPr>
                <w:rFonts w:asciiTheme="minorHAnsi" w:hAnsiTheme="minorHAnsi" w:cstheme="minorHAnsi"/>
                <w:sz w:val="18"/>
                <w:szCs w:val="14"/>
              </w:rPr>
              <w:t>Intangible assets held for sale (Note 4.2.5)</w:t>
            </w:r>
          </w:p>
        </w:tc>
        <w:tc>
          <w:tcPr>
            <w:tcW w:w="1230" w:type="dxa"/>
          </w:tcPr>
          <w:p w14:paraId="1246B26A" w14:textId="77777777" w:rsidR="00B02873" w:rsidRPr="00E53159" w:rsidRDefault="00B02873" w:rsidP="00E53159">
            <w:pPr>
              <w:pStyle w:val="TablebodyleftFinancialsTables"/>
              <w:jc w:val="right"/>
              <w:rPr>
                <w:rFonts w:asciiTheme="minorHAnsi" w:hAnsiTheme="minorHAnsi" w:cstheme="minorHAnsi"/>
                <w:b/>
                <w:bCs/>
                <w:sz w:val="18"/>
                <w:szCs w:val="14"/>
              </w:rPr>
            </w:pPr>
            <w:r w:rsidRPr="00E53159">
              <w:rPr>
                <w:rFonts w:asciiTheme="minorHAnsi" w:hAnsiTheme="minorHAnsi" w:cstheme="minorHAnsi"/>
                <w:b/>
                <w:bCs/>
                <w:sz w:val="18"/>
                <w:szCs w:val="14"/>
              </w:rPr>
              <w:t>–</w:t>
            </w:r>
          </w:p>
        </w:tc>
        <w:tc>
          <w:tcPr>
            <w:tcW w:w="1275" w:type="dxa"/>
          </w:tcPr>
          <w:p w14:paraId="3D373784" w14:textId="77777777" w:rsidR="00B02873" w:rsidRPr="00E53159" w:rsidRDefault="00B02873" w:rsidP="00E53159">
            <w:pPr>
              <w:pStyle w:val="TablebodyleftFinancialsTables"/>
              <w:jc w:val="right"/>
              <w:rPr>
                <w:rFonts w:asciiTheme="minorHAnsi" w:hAnsiTheme="minorHAnsi" w:cstheme="minorHAnsi"/>
                <w:sz w:val="18"/>
                <w:szCs w:val="14"/>
              </w:rPr>
            </w:pPr>
            <w:r w:rsidRPr="00E53159">
              <w:rPr>
                <w:rFonts w:asciiTheme="minorHAnsi" w:hAnsiTheme="minorHAnsi" w:cstheme="minorHAnsi"/>
                <w:sz w:val="18"/>
                <w:szCs w:val="14"/>
              </w:rPr>
              <w:t>–</w:t>
            </w:r>
          </w:p>
        </w:tc>
        <w:tc>
          <w:tcPr>
            <w:tcW w:w="1226" w:type="dxa"/>
          </w:tcPr>
          <w:p w14:paraId="0A59A6D6" w14:textId="77777777" w:rsidR="00B02873" w:rsidRPr="00E53159" w:rsidRDefault="00B02873" w:rsidP="00E53159">
            <w:pPr>
              <w:pStyle w:val="TablebodyleftFinancialsTables"/>
              <w:jc w:val="right"/>
              <w:rPr>
                <w:rFonts w:asciiTheme="minorHAnsi" w:hAnsiTheme="minorHAnsi" w:cstheme="minorHAnsi"/>
                <w:b/>
                <w:bCs/>
                <w:sz w:val="18"/>
                <w:szCs w:val="14"/>
              </w:rPr>
            </w:pPr>
            <w:r w:rsidRPr="00E53159">
              <w:rPr>
                <w:rFonts w:asciiTheme="minorHAnsi" w:hAnsiTheme="minorHAnsi" w:cstheme="minorHAnsi"/>
                <w:b/>
                <w:bCs/>
                <w:sz w:val="18"/>
                <w:szCs w:val="14"/>
              </w:rPr>
              <w:t>16,925</w:t>
            </w:r>
          </w:p>
        </w:tc>
        <w:tc>
          <w:tcPr>
            <w:tcW w:w="1216" w:type="dxa"/>
          </w:tcPr>
          <w:p w14:paraId="2C621817" w14:textId="77777777" w:rsidR="00B02873" w:rsidRPr="00E53159" w:rsidRDefault="00B02873" w:rsidP="00E53159">
            <w:pPr>
              <w:pStyle w:val="TablebodyleftFinancialsTables"/>
              <w:jc w:val="right"/>
              <w:rPr>
                <w:rFonts w:asciiTheme="minorHAnsi" w:hAnsiTheme="minorHAnsi" w:cstheme="minorHAnsi"/>
                <w:sz w:val="18"/>
                <w:szCs w:val="14"/>
              </w:rPr>
            </w:pPr>
            <w:r w:rsidRPr="00E53159">
              <w:rPr>
                <w:rFonts w:asciiTheme="minorHAnsi" w:hAnsiTheme="minorHAnsi" w:cstheme="minorHAnsi"/>
                <w:sz w:val="18"/>
                <w:szCs w:val="14"/>
              </w:rPr>
              <w:t>16,794</w:t>
            </w:r>
          </w:p>
        </w:tc>
        <w:tc>
          <w:tcPr>
            <w:tcW w:w="1213" w:type="dxa"/>
          </w:tcPr>
          <w:p w14:paraId="4A42F49C" w14:textId="77777777" w:rsidR="00B02873" w:rsidRPr="00E53159" w:rsidRDefault="00B02873" w:rsidP="00E53159">
            <w:pPr>
              <w:pStyle w:val="TablebodyleftFinancialsTables"/>
              <w:jc w:val="right"/>
              <w:rPr>
                <w:rFonts w:asciiTheme="minorHAnsi" w:hAnsiTheme="minorHAnsi" w:cstheme="minorHAnsi"/>
                <w:b/>
                <w:bCs/>
                <w:sz w:val="18"/>
                <w:szCs w:val="14"/>
              </w:rPr>
            </w:pPr>
            <w:r w:rsidRPr="00E53159">
              <w:rPr>
                <w:rFonts w:asciiTheme="minorHAnsi" w:hAnsiTheme="minorHAnsi" w:cstheme="minorHAnsi"/>
                <w:b/>
                <w:bCs/>
                <w:sz w:val="18"/>
                <w:szCs w:val="14"/>
              </w:rPr>
              <w:t>–</w:t>
            </w:r>
          </w:p>
        </w:tc>
        <w:tc>
          <w:tcPr>
            <w:tcW w:w="1189" w:type="dxa"/>
          </w:tcPr>
          <w:p w14:paraId="05AEDEBD" w14:textId="77777777" w:rsidR="00B02873" w:rsidRPr="00E53159" w:rsidRDefault="00B02873" w:rsidP="00E53159">
            <w:pPr>
              <w:pStyle w:val="TablebodyleftFinancialsTables"/>
              <w:jc w:val="right"/>
              <w:rPr>
                <w:rFonts w:asciiTheme="minorHAnsi" w:hAnsiTheme="minorHAnsi" w:cstheme="minorHAnsi"/>
                <w:sz w:val="18"/>
                <w:szCs w:val="14"/>
              </w:rPr>
            </w:pPr>
            <w:r w:rsidRPr="00E53159">
              <w:rPr>
                <w:rFonts w:asciiTheme="minorHAnsi" w:hAnsiTheme="minorHAnsi" w:cstheme="minorHAnsi"/>
                <w:sz w:val="18"/>
                <w:szCs w:val="14"/>
              </w:rPr>
              <w:t>–</w:t>
            </w:r>
          </w:p>
        </w:tc>
      </w:tr>
      <w:tr w:rsidR="00B02873" w:rsidRPr="00E53159" w14:paraId="51132811" w14:textId="77777777" w:rsidTr="00E53159">
        <w:trPr>
          <w:trHeight w:val="60"/>
        </w:trPr>
        <w:tc>
          <w:tcPr>
            <w:tcW w:w="2593" w:type="dxa"/>
          </w:tcPr>
          <w:p w14:paraId="43F83667" w14:textId="30A1EF85" w:rsidR="00B02873" w:rsidRPr="00E53159" w:rsidRDefault="00B02873" w:rsidP="00E53159">
            <w:pPr>
              <w:pStyle w:val="TablebodyleftFinancialsTables"/>
              <w:rPr>
                <w:rFonts w:asciiTheme="minorHAnsi" w:hAnsiTheme="minorHAnsi" w:cstheme="minorHAnsi"/>
                <w:b/>
                <w:bCs/>
                <w:sz w:val="18"/>
                <w:szCs w:val="14"/>
              </w:rPr>
            </w:pPr>
            <w:r w:rsidRPr="00E53159">
              <w:rPr>
                <w:rFonts w:asciiTheme="minorHAnsi" w:hAnsiTheme="minorHAnsi" w:cstheme="minorHAnsi"/>
                <w:b/>
                <w:bCs/>
                <w:sz w:val="18"/>
                <w:szCs w:val="14"/>
              </w:rPr>
              <w:t>Total administered non</w:t>
            </w:r>
            <w:r w:rsidR="00E53159">
              <w:rPr>
                <w:rFonts w:asciiTheme="minorHAnsi" w:hAnsiTheme="minorHAnsi" w:cstheme="minorHAnsi"/>
                <w:b/>
                <w:bCs/>
                <w:sz w:val="18"/>
                <w:szCs w:val="14"/>
              </w:rPr>
              <w:noBreakHyphen/>
            </w:r>
            <w:r w:rsidRPr="00E53159">
              <w:rPr>
                <w:rFonts w:asciiTheme="minorHAnsi" w:hAnsiTheme="minorHAnsi" w:cstheme="minorHAnsi"/>
                <w:b/>
                <w:bCs/>
                <w:sz w:val="18"/>
                <w:szCs w:val="14"/>
              </w:rPr>
              <w:t>financial assets</w:t>
            </w:r>
          </w:p>
        </w:tc>
        <w:tc>
          <w:tcPr>
            <w:tcW w:w="1230" w:type="dxa"/>
          </w:tcPr>
          <w:p w14:paraId="244BDCC5" w14:textId="77777777" w:rsidR="00B02873" w:rsidRPr="00E53159" w:rsidRDefault="00B02873" w:rsidP="00E53159">
            <w:pPr>
              <w:pStyle w:val="TablebodyleftFinancialsTables"/>
              <w:jc w:val="right"/>
              <w:rPr>
                <w:rFonts w:asciiTheme="minorHAnsi" w:hAnsiTheme="minorHAnsi" w:cstheme="minorHAnsi"/>
                <w:b/>
                <w:bCs/>
                <w:sz w:val="18"/>
                <w:szCs w:val="14"/>
              </w:rPr>
            </w:pPr>
            <w:r w:rsidRPr="00E53159">
              <w:rPr>
                <w:rFonts w:asciiTheme="minorHAnsi" w:hAnsiTheme="minorHAnsi" w:cstheme="minorHAnsi"/>
                <w:b/>
                <w:bCs/>
                <w:sz w:val="18"/>
                <w:szCs w:val="14"/>
              </w:rPr>
              <w:t>–</w:t>
            </w:r>
          </w:p>
        </w:tc>
        <w:tc>
          <w:tcPr>
            <w:tcW w:w="1275" w:type="dxa"/>
          </w:tcPr>
          <w:p w14:paraId="0D6132C2" w14:textId="77777777" w:rsidR="00B02873" w:rsidRPr="00E53159" w:rsidRDefault="00B02873" w:rsidP="00E53159">
            <w:pPr>
              <w:pStyle w:val="TablebodyleftFinancialsTables"/>
              <w:jc w:val="right"/>
              <w:rPr>
                <w:rFonts w:asciiTheme="minorHAnsi" w:hAnsiTheme="minorHAnsi" w:cstheme="minorHAnsi"/>
                <w:sz w:val="18"/>
                <w:szCs w:val="14"/>
              </w:rPr>
            </w:pPr>
            <w:r w:rsidRPr="00E53159">
              <w:rPr>
                <w:rFonts w:asciiTheme="minorHAnsi" w:hAnsiTheme="minorHAnsi" w:cstheme="minorHAnsi"/>
                <w:sz w:val="18"/>
                <w:szCs w:val="14"/>
              </w:rPr>
              <w:t>–</w:t>
            </w:r>
          </w:p>
        </w:tc>
        <w:tc>
          <w:tcPr>
            <w:tcW w:w="1226" w:type="dxa"/>
          </w:tcPr>
          <w:p w14:paraId="64E4F100" w14:textId="77777777" w:rsidR="00B02873" w:rsidRPr="00E53159" w:rsidRDefault="00B02873" w:rsidP="00E53159">
            <w:pPr>
              <w:pStyle w:val="TablebodyleftFinancialsTables"/>
              <w:jc w:val="right"/>
              <w:rPr>
                <w:rFonts w:asciiTheme="minorHAnsi" w:hAnsiTheme="minorHAnsi" w:cstheme="minorHAnsi"/>
                <w:b/>
                <w:bCs/>
                <w:sz w:val="18"/>
                <w:szCs w:val="14"/>
              </w:rPr>
            </w:pPr>
            <w:r w:rsidRPr="00E53159">
              <w:rPr>
                <w:rFonts w:asciiTheme="minorHAnsi" w:hAnsiTheme="minorHAnsi" w:cstheme="minorHAnsi"/>
                <w:b/>
                <w:bCs/>
                <w:sz w:val="18"/>
                <w:szCs w:val="14"/>
              </w:rPr>
              <w:t>1,097,853</w:t>
            </w:r>
          </w:p>
        </w:tc>
        <w:tc>
          <w:tcPr>
            <w:tcW w:w="1216" w:type="dxa"/>
          </w:tcPr>
          <w:p w14:paraId="3DFE7381" w14:textId="77777777" w:rsidR="00B02873" w:rsidRPr="00E53159" w:rsidRDefault="00B02873" w:rsidP="00E53159">
            <w:pPr>
              <w:pStyle w:val="TablebodyleftFinancialsTables"/>
              <w:jc w:val="right"/>
              <w:rPr>
                <w:rFonts w:asciiTheme="minorHAnsi" w:hAnsiTheme="minorHAnsi" w:cstheme="minorHAnsi"/>
                <w:sz w:val="18"/>
                <w:szCs w:val="14"/>
              </w:rPr>
            </w:pPr>
            <w:r w:rsidRPr="00E53159">
              <w:rPr>
                <w:rFonts w:asciiTheme="minorHAnsi" w:hAnsiTheme="minorHAnsi" w:cstheme="minorHAnsi"/>
                <w:sz w:val="18"/>
                <w:szCs w:val="14"/>
              </w:rPr>
              <w:t>1,008,295</w:t>
            </w:r>
          </w:p>
        </w:tc>
        <w:tc>
          <w:tcPr>
            <w:tcW w:w="1213" w:type="dxa"/>
          </w:tcPr>
          <w:p w14:paraId="65A1E1EB" w14:textId="77777777" w:rsidR="00B02873" w:rsidRPr="00E53159" w:rsidRDefault="00B02873" w:rsidP="00E53159">
            <w:pPr>
              <w:pStyle w:val="TablebodyleftFinancialsTables"/>
              <w:jc w:val="right"/>
              <w:rPr>
                <w:rFonts w:asciiTheme="minorHAnsi" w:hAnsiTheme="minorHAnsi" w:cstheme="minorHAnsi"/>
                <w:b/>
                <w:bCs/>
                <w:sz w:val="18"/>
                <w:szCs w:val="14"/>
              </w:rPr>
            </w:pPr>
            <w:r w:rsidRPr="00E53159">
              <w:rPr>
                <w:rFonts w:asciiTheme="minorHAnsi" w:hAnsiTheme="minorHAnsi" w:cstheme="minorHAnsi"/>
                <w:b/>
                <w:bCs/>
                <w:sz w:val="18"/>
                <w:szCs w:val="14"/>
              </w:rPr>
              <w:t>–</w:t>
            </w:r>
          </w:p>
        </w:tc>
        <w:tc>
          <w:tcPr>
            <w:tcW w:w="1189" w:type="dxa"/>
          </w:tcPr>
          <w:p w14:paraId="0E64EE35" w14:textId="77777777" w:rsidR="00B02873" w:rsidRPr="00E53159" w:rsidRDefault="00B02873" w:rsidP="00E53159">
            <w:pPr>
              <w:pStyle w:val="TablebodyleftFinancialsTables"/>
              <w:jc w:val="right"/>
              <w:rPr>
                <w:rFonts w:asciiTheme="minorHAnsi" w:hAnsiTheme="minorHAnsi" w:cstheme="minorHAnsi"/>
                <w:sz w:val="18"/>
                <w:szCs w:val="14"/>
              </w:rPr>
            </w:pPr>
            <w:r w:rsidRPr="00E53159">
              <w:rPr>
                <w:rFonts w:asciiTheme="minorHAnsi" w:hAnsiTheme="minorHAnsi" w:cstheme="minorHAnsi"/>
                <w:sz w:val="18"/>
                <w:szCs w:val="14"/>
              </w:rPr>
              <w:t>–</w:t>
            </w:r>
          </w:p>
        </w:tc>
      </w:tr>
      <w:tr w:rsidR="00B02873" w:rsidRPr="00E53159" w14:paraId="6D83743E" w14:textId="77777777" w:rsidTr="00E53159">
        <w:trPr>
          <w:trHeight w:val="60"/>
        </w:trPr>
        <w:tc>
          <w:tcPr>
            <w:tcW w:w="2593" w:type="dxa"/>
          </w:tcPr>
          <w:p w14:paraId="66F4F295" w14:textId="77777777" w:rsidR="00B02873" w:rsidRPr="00E53159" w:rsidRDefault="00B02873" w:rsidP="00E53159">
            <w:pPr>
              <w:pStyle w:val="TablebodyleftFinancialsTables"/>
              <w:rPr>
                <w:rFonts w:asciiTheme="minorHAnsi" w:hAnsiTheme="minorHAnsi" w:cstheme="minorHAnsi"/>
                <w:b/>
                <w:bCs/>
                <w:sz w:val="18"/>
                <w:szCs w:val="14"/>
              </w:rPr>
            </w:pPr>
            <w:r w:rsidRPr="00E53159">
              <w:rPr>
                <w:rFonts w:asciiTheme="minorHAnsi" w:hAnsiTheme="minorHAnsi" w:cstheme="minorHAnsi"/>
                <w:b/>
                <w:bCs/>
                <w:sz w:val="18"/>
                <w:szCs w:val="14"/>
              </w:rPr>
              <w:t>Total administered assets</w:t>
            </w:r>
          </w:p>
        </w:tc>
        <w:tc>
          <w:tcPr>
            <w:tcW w:w="1230" w:type="dxa"/>
          </w:tcPr>
          <w:p w14:paraId="5E0B393C" w14:textId="77777777" w:rsidR="00B02873" w:rsidRPr="00E53159" w:rsidRDefault="00B02873" w:rsidP="00E53159">
            <w:pPr>
              <w:pStyle w:val="TablebodyleftFinancialsTables"/>
              <w:jc w:val="right"/>
              <w:rPr>
                <w:rFonts w:asciiTheme="minorHAnsi" w:hAnsiTheme="minorHAnsi" w:cstheme="minorHAnsi"/>
                <w:b/>
                <w:bCs/>
                <w:sz w:val="18"/>
                <w:szCs w:val="14"/>
              </w:rPr>
            </w:pPr>
            <w:r w:rsidRPr="00E53159">
              <w:rPr>
                <w:rFonts w:asciiTheme="minorHAnsi" w:hAnsiTheme="minorHAnsi" w:cstheme="minorHAnsi"/>
                <w:b/>
                <w:bCs/>
                <w:sz w:val="18"/>
                <w:szCs w:val="14"/>
              </w:rPr>
              <w:t>11,492</w:t>
            </w:r>
          </w:p>
        </w:tc>
        <w:tc>
          <w:tcPr>
            <w:tcW w:w="1275" w:type="dxa"/>
          </w:tcPr>
          <w:p w14:paraId="6F9F9D58" w14:textId="77777777" w:rsidR="00B02873" w:rsidRPr="00E53159" w:rsidRDefault="00B02873" w:rsidP="00E53159">
            <w:pPr>
              <w:pStyle w:val="TablebodyleftFinancialsTables"/>
              <w:jc w:val="right"/>
              <w:rPr>
                <w:rFonts w:asciiTheme="minorHAnsi" w:hAnsiTheme="minorHAnsi" w:cstheme="minorHAnsi"/>
                <w:sz w:val="18"/>
                <w:szCs w:val="14"/>
              </w:rPr>
            </w:pPr>
            <w:r w:rsidRPr="00E53159">
              <w:rPr>
                <w:rFonts w:asciiTheme="minorHAnsi" w:hAnsiTheme="minorHAnsi" w:cstheme="minorHAnsi"/>
                <w:sz w:val="18"/>
                <w:szCs w:val="14"/>
              </w:rPr>
              <w:t>7,249</w:t>
            </w:r>
          </w:p>
        </w:tc>
        <w:tc>
          <w:tcPr>
            <w:tcW w:w="1226" w:type="dxa"/>
          </w:tcPr>
          <w:p w14:paraId="59641E0C" w14:textId="77777777" w:rsidR="00B02873" w:rsidRPr="00E53159" w:rsidRDefault="00B02873" w:rsidP="00E53159">
            <w:pPr>
              <w:pStyle w:val="TablebodyleftFinancialsTables"/>
              <w:jc w:val="right"/>
              <w:rPr>
                <w:rFonts w:asciiTheme="minorHAnsi" w:hAnsiTheme="minorHAnsi" w:cstheme="minorHAnsi"/>
                <w:b/>
                <w:bCs/>
                <w:sz w:val="18"/>
                <w:szCs w:val="14"/>
              </w:rPr>
            </w:pPr>
            <w:r w:rsidRPr="00E53159">
              <w:rPr>
                <w:rFonts w:asciiTheme="minorHAnsi" w:hAnsiTheme="minorHAnsi" w:cstheme="minorHAnsi"/>
                <w:b/>
                <w:bCs/>
                <w:sz w:val="18"/>
                <w:szCs w:val="14"/>
              </w:rPr>
              <w:t>4,746,902</w:t>
            </w:r>
          </w:p>
        </w:tc>
        <w:tc>
          <w:tcPr>
            <w:tcW w:w="1216" w:type="dxa"/>
          </w:tcPr>
          <w:p w14:paraId="70E18D8B" w14:textId="77777777" w:rsidR="00B02873" w:rsidRPr="00E53159" w:rsidRDefault="00B02873" w:rsidP="00E53159">
            <w:pPr>
              <w:pStyle w:val="TablebodyleftFinancialsTables"/>
              <w:jc w:val="right"/>
              <w:rPr>
                <w:rFonts w:asciiTheme="minorHAnsi" w:hAnsiTheme="minorHAnsi" w:cstheme="minorHAnsi"/>
                <w:sz w:val="18"/>
                <w:szCs w:val="14"/>
              </w:rPr>
            </w:pPr>
            <w:r w:rsidRPr="00E53159">
              <w:rPr>
                <w:rFonts w:asciiTheme="minorHAnsi" w:hAnsiTheme="minorHAnsi" w:cstheme="minorHAnsi"/>
                <w:sz w:val="18"/>
                <w:szCs w:val="14"/>
              </w:rPr>
              <w:t>4,674,668</w:t>
            </w:r>
          </w:p>
        </w:tc>
        <w:tc>
          <w:tcPr>
            <w:tcW w:w="1213" w:type="dxa"/>
          </w:tcPr>
          <w:p w14:paraId="18000FE0" w14:textId="77777777" w:rsidR="00B02873" w:rsidRPr="00E53159" w:rsidRDefault="00B02873" w:rsidP="00E53159">
            <w:pPr>
              <w:pStyle w:val="TablebodyleftFinancialsTables"/>
              <w:jc w:val="right"/>
              <w:rPr>
                <w:rFonts w:asciiTheme="minorHAnsi" w:hAnsiTheme="minorHAnsi" w:cstheme="minorHAnsi"/>
                <w:b/>
                <w:bCs/>
                <w:sz w:val="18"/>
                <w:szCs w:val="14"/>
              </w:rPr>
            </w:pPr>
            <w:r w:rsidRPr="00E53159">
              <w:rPr>
                <w:rFonts w:asciiTheme="minorHAnsi" w:hAnsiTheme="minorHAnsi" w:cstheme="minorHAnsi"/>
                <w:b/>
                <w:bCs/>
                <w:sz w:val="18"/>
                <w:szCs w:val="14"/>
              </w:rPr>
              <w:t>2,992</w:t>
            </w:r>
          </w:p>
        </w:tc>
        <w:tc>
          <w:tcPr>
            <w:tcW w:w="1189" w:type="dxa"/>
          </w:tcPr>
          <w:p w14:paraId="556DB9F3" w14:textId="77777777" w:rsidR="00B02873" w:rsidRPr="00E53159" w:rsidRDefault="00B02873" w:rsidP="00E53159">
            <w:pPr>
              <w:pStyle w:val="TablebodyleftFinancialsTables"/>
              <w:jc w:val="right"/>
              <w:rPr>
                <w:rFonts w:asciiTheme="minorHAnsi" w:hAnsiTheme="minorHAnsi" w:cstheme="minorHAnsi"/>
                <w:sz w:val="18"/>
                <w:szCs w:val="14"/>
              </w:rPr>
            </w:pPr>
            <w:r w:rsidRPr="00E53159">
              <w:rPr>
                <w:rFonts w:asciiTheme="minorHAnsi" w:hAnsiTheme="minorHAnsi" w:cstheme="minorHAnsi"/>
                <w:sz w:val="18"/>
                <w:szCs w:val="14"/>
              </w:rPr>
              <w:t>1,927</w:t>
            </w:r>
          </w:p>
        </w:tc>
      </w:tr>
      <w:tr w:rsidR="00E53159" w:rsidRPr="00E53159" w14:paraId="44D7A796" w14:textId="77777777" w:rsidTr="00E53159">
        <w:trPr>
          <w:trHeight w:val="60"/>
        </w:trPr>
        <w:tc>
          <w:tcPr>
            <w:tcW w:w="2593" w:type="dxa"/>
          </w:tcPr>
          <w:p w14:paraId="670F6DF9" w14:textId="77777777" w:rsidR="00B02873" w:rsidRPr="00E53159" w:rsidRDefault="00B02873" w:rsidP="00E53159">
            <w:pPr>
              <w:pStyle w:val="TablebodyleftFinancialsTables"/>
              <w:rPr>
                <w:rFonts w:asciiTheme="minorHAnsi" w:hAnsiTheme="minorHAnsi" w:cstheme="minorHAnsi"/>
                <w:b/>
                <w:bCs/>
                <w:sz w:val="18"/>
                <w:szCs w:val="14"/>
              </w:rPr>
            </w:pPr>
            <w:r w:rsidRPr="00E53159">
              <w:rPr>
                <w:rFonts w:asciiTheme="minorHAnsi" w:hAnsiTheme="minorHAnsi" w:cstheme="minorHAnsi"/>
                <w:b/>
                <w:bCs/>
                <w:sz w:val="18"/>
                <w:szCs w:val="14"/>
              </w:rPr>
              <w:t>Administered liabilities</w:t>
            </w:r>
          </w:p>
        </w:tc>
        <w:tc>
          <w:tcPr>
            <w:tcW w:w="1230" w:type="dxa"/>
          </w:tcPr>
          <w:p w14:paraId="55FAE89C" w14:textId="77777777" w:rsidR="00B02873" w:rsidRPr="00E53159" w:rsidRDefault="00B02873" w:rsidP="00E53159">
            <w:pPr>
              <w:pStyle w:val="TablebodyleftFinancialsTables"/>
              <w:jc w:val="right"/>
              <w:rPr>
                <w:rFonts w:asciiTheme="minorHAnsi" w:hAnsiTheme="minorHAnsi" w:cstheme="minorHAnsi"/>
                <w:b/>
                <w:bCs/>
                <w:sz w:val="18"/>
                <w:szCs w:val="14"/>
              </w:rPr>
            </w:pPr>
          </w:p>
        </w:tc>
        <w:tc>
          <w:tcPr>
            <w:tcW w:w="1275" w:type="dxa"/>
          </w:tcPr>
          <w:p w14:paraId="15BA8BE1" w14:textId="77777777" w:rsidR="00B02873" w:rsidRPr="00E53159" w:rsidRDefault="00B02873" w:rsidP="00E53159">
            <w:pPr>
              <w:pStyle w:val="TablebodyleftFinancialsTables"/>
              <w:jc w:val="right"/>
              <w:rPr>
                <w:rFonts w:asciiTheme="minorHAnsi" w:hAnsiTheme="minorHAnsi" w:cstheme="minorHAnsi"/>
                <w:sz w:val="18"/>
                <w:szCs w:val="14"/>
              </w:rPr>
            </w:pPr>
          </w:p>
        </w:tc>
        <w:tc>
          <w:tcPr>
            <w:tcW w:w="1226" w:type="dxa"/>
          </w:tcPr>
          <w:p w14:paraId="3094FD19" w14:textId="77777777" w:rsidR="00B02873" w:rsidRPr="00E53159" w:rsidRDefault="00B02873" w:rsidP="00E53159">
            <w:pPr>
              <w:pStyle w:val="TablebodyleftFinancialsTables"/>
              <w:jc w:val="right"/>
              <w:rPr>
                <w:rFonts w:asciiTheme="minorHAnsi" w:hAnsiTheme="minorHAnsi" w:cstheme="minorHAnsi"/>
                <w:b/>
                <w:bCs/>
                <w:sz w:val="18"/>
                <w:szCs w:val="14"/>
              </w:rPr>
            </w:pPr>
          </w:p>
        </w:tc>
        <w:tc>
          <w:tcPr>
            <w:tcW w:w="1216" w:type="dxa"/>
          </w:tcPr>
          <w:p w14:paraId="5EBE7110" w14:textId="77777777" w:rsidR="00B02873" w:rsidRPr="00E53159" w:rsidRDefault="00B02873" w:rsidP="00E53159">
            <w:pPr>
              <w:pStyle w:val="TablebodyleftFinancialsTables"/>
              <w:jc w:val="right"/>
              <w:rPr>
                <w:rFonts w:asciiTheme="minorHAnsi" w:hAnsiTheme="minorHAnsi" w:cstheme="minorHAnsi"/>
                <w:sz w:val="18"/>
                <w:szCs w:val="14"/>
              </w:rPr>
            </w:pPr>
          </w:p>
        </w:tc>
        <w:tc>
          <w:tcPr>
            <w:tcW w:w="1213" w:type="dxa"/>
          </w:tcPr>
          <w:p w14:paraId="4B044981" w14:textId="77777777" w:rsidR="00B02873" w:rsidRPr="00E53159" w:rsidRDefault="00B02873" w:rsidP="00E53159">
            <w:pPr>
              <w:pStyle w:val="TablebodyleftFinancialsTables"/>
              <w:jc w:val="right"/>
              <w:rPr>
                <w:rFonts w:asciiTheme="minorHAnsi" w:hAnsiTheme="minorHAnsi" w:cstheme="minorHAnsi"/>
                <w:b/>
                <w:bCs/>
                <w:sz w:val="18"/>
                <w:szCs w:val="14"/>
              </w:rPr>
            </w:pPr>
          </w:p>
        </w:tc>
        <w:tc>
          <w:tcPr>
            <w:tcW w:w="1189" w:type="dxa"/>
          </w:tcPr>
          <w:p w14:paraId="7E84B9C5" w14:textId="77777777" w:rsidR="00B02873" w:rsidRPr="00E53159" w:rsidRDefault="00B02873" w:rsidP="00E53159">
            <w:pPr>
              <w:pStyle w:val="TablebodyleftFinancialsTables"/>
              <w:jc w:val="right"/>
              <w:rPr>
                <w:rFonts w:asciiTheme="minorHAnsi" w:hAnsiTheme="minorHAnsi" w:cstheme="minorHAnsi"/>
                <w:sz w:val="18"/>
                <w:szCs w:val="14"/>
              </w:rPr>
            </w:pPr>
          </w:p>
        </w:tc>
      </w:tr>
      <w:tr w:rsidR="00B02873" w:rsidRPr="00E53159" w14:paraId="76F452FF" w14:textId="77777777" w:rsidTr="00E53159">
        <w:trPr>
          <w:trHeight w:val="60"/>
        </w:trPr>
        <w:tc>
          <w:tcPr>
            <w:tcW w:w="2593" w:type="dxa"/>
          </w:tcPr>
          <w:p w14:paraId="20450A6C" w14:textId="77777777" w:rsidR="00B02873" w:rsidRPr="00E53159" w:rsidRDefault="00B02873" w:rsidP="00E53159">
            <w:pPr>
              <w:pStyle w:val="TablebodyleftFinancialsTables"/>
              <w:rPr>
                <w:rFonts w:asciiTheme="minorHAnsi" w:hAnsiTheme="minorHAnsi" w:cstheme="minorHAnsi"/>
                <w:sz w:val="18"/>
                <w:szCs w:val="14"/>
              </w:rPr>
            </w:pPr>
            <w:r w:rsidRPr="00E53159">
              <w:rPr>
                <w:rFonts w:asciiTheme="minorHAnsi" w:hAnsiTheme="minorHAnsi" w:cstheme="minorHAnsi"/>
                <w:sz w:val="18"/>
                <w:szCs w:val="14"/>
              </w:rPr>
              <w:t>Creditors and accruals</w:t>
            </w:r>
          </w:p>
        </w:tc>
        <w:tc>
          <w:tcPr>
            <w:tcW w:w="1230" w:type="dxa"/>
          </w:tcPr>
          <w:p w14:paraId="13AD9E6A" w14:textId="77777777" w:rsidR="00B02873" w:rsidRPr="00E53159" w:rsidRDefault="00B02873" w:rsidP="00E53159">
            <w:pPr>
              <w:pStyle w:val="TablebodyleftFinancialsTables"/>
              <w:jc w:val="right"/>
              <w:rPr>
                <w:rFonts w:asciiTheme="minorHAnsi" w:hAnsiTheme="minorHAnsi" w:cstheme="minorHAnsi"/>
                <w:b/>
                <w:bCs/>
                <w:sz w:val="18"/>
                <w:szCs w:val="14"/>
              </w:rPr>
            </w:pPr>
            <w:r w:rsidRPr="00E53159">
              <w:rPr>
                <w:rFonts w:asciiTheme="minorHAnsi" w:hAnsiTheme="minorHAnsi" w:cstheme="minorHAnsi"/>
                <w:b/>
                <w:bCs/>
                <w:sz w:val="18"/>
                <w:szCs w:val="14"/>
              </w:rPr>
              <w:t>620</w:t>
            </w:r>
          </w:p>
        </w:tc>
        <w:tc>
          <w:tcPr>
            <w:tcW w:w="1275" w:type="dxa"/>
          </w:tcPr>
          <w:p w14:paraId="06A2FF6F" w14:textId="77777777" w:rsidR="00B02873" w:rsidRPr="00E53159" w:rsidRDefault="00B02873" w:rsidP="00E53159">
            <w:pPr>
              <w:pStyle w:val="TablebodyleftFinancialsTables"/>
              <w:jc w:val="right"/>
              <w:rPr>
                <w:rFonts w:asciiTheme="minorHAnsi" w:hAnsiTheme="minorHAnsi" w:cstheme="minorHAnsi"/>
                <w:sz w:val="18"/>
                <w:szCs w:val="14"/>
              </w:rPr>
            </w:pPr>
            <w:r w:rsidRPr="00E53159">
              <w:rPr>
                <w:rFonts w:asciiTheme="minorHAnsi" w:hAnsiTheme="minorHAnsi" w:cstheme="minorHAnsi"/>
                <w:sz w:val="18"/>
                <w:szCs w:val="14"/>
              </w:rPr>
              <w:t>742</w:t>
            </w:r>
          </w:p>
        </w:tc>
        <w:tc>
          <w:tcPr>
            <w:tcW w:w="1226" w:type="dxa"/>
          </w:tcPr>
          <w:p w14:paraId="362DFE45" w14:textId="77777777" w:rsidR="00B02873" w:rsidRPr="00E53159" w:rsidRDefault="00B02873" w:rsidP="00E53159">
            <w:pPr>
              <w:pStyle w:val="TablebodyleftFinancialsTables"/>
              <w:jc w:val="right"/>
              <w:rPr>
                <w:rFonts w:asciiTheme="minorHAnsi" w:hAnsiTheme="minorHAnsi" w:cstheme="minorHAnsi"/>
                <w:b/>
                <w:bCs/>
                <w:sz w:val="18"/>
                <w:szCs w:val="14"/>
              </w:rPr>
            </w:pPr>
            <w:r w:rsidRPr="00E53159">
              <w:rPr>
                <w:rFonts w:asciiTheme="minorHAnsi" w:hAnsiTheme="minorHAnsi" w:cstheme="minorHAnsi"/>
                <w:b/>
                <w:bCs/>
                <w:sz w:val="18"/>
                <w:szCs w:val="14"/>
              </w:rPr>
              <w:t>53,472</w:t>
            </w:r>
          </w:p>
        </w:tc>
        <w:tc>
          <w:tcPr>
            <w:tcW w:w="1216" w:type="dxa"/>
          </w:tcPr>
          <w:p w14:paraId="1D8078B5" w14:textId="77777777" w:rsidR="00B02873" w:rsidRPr="00E53159" w:rsidRDefault="00B02873" w:rsidP="00E53159">
            <w:pPr>
              <w:pStyle w:val="TablebodyleftFinancialsTables"/>
              <w:jc w:val="right"/>
              <w:rPr>
                <w:rFonts w:asciiTheme="minorHAnsi" w:hAnsiTheme="minorHAnsi" w:cstheme="minorHAnsi"/>
                <w:sz w:val="18"/>
                <w:szCs w:val="14"/>
              </w:rPr>
            </w:pPr>
            <w:r w:rsidRPr="00E53159">
              <w:rPr>
                <w:rFonts w:asciiTheme="minorHAnsi" w:hAnsiTheme="minorHAnsi" w:cstheme="minorHAnsi"/>
                <w:sz w:val="18"/>
                <w:szCs w:val="14"/>
              </w:rPr>
              <w:t>50,310</w:t>
            </w:r>
          </w:p>
        </w:tc>
        <w:tc>
          <w:tcPr>
            <w:tcW w:w="1213" w:type="dxa"/>
          </w:tcPr>
          <w:p w14:paraId="64A370D9" w14:textId="77777777" w:rsidR="00B02873" w:rsidRPr="00E53159" w:rsidRDefault="00B02873" w:rsidP="00E53159">
            <w:pPr>
              <w:pStyle w:val="TablebodyleftFinancialsTables"/>
              <w:jc w:val="right"/>
              <w:rPr>
                <w:rFonts w:asciiTheme="minorHAnsi" w:hAnsiTheme="minorHAnsi" w:cstheme="minorHAnsi"/>
                <w:b/>
                <w:bCs/>
                <w:sz w:val="18"/>
                <w:szCs w:val="14"/>
              </w:rPr>
            </w:pPr>
            <w:r w:rsidRPr="00E53159">
              <w:rPr>
                <w:rFonts w:asciiTheme="minorHAnsi" w:hAnsiTheme="minorHAnsi" w:cstheme="minorHAnsi"/>
                <w:b/>
                <w:bCs/>
                <w:sz w:val="18"/>
                <w:szCs w:val="14"/>
              </w:rPr>
              <w:t xml:space="preserve"> 161</w:t>
            </w:r>
          </w:p>
        </w:tc>
        <w:tc>
          <w:tcPr>
            <w:tcW w:w="1189" w:type="dxa"/>
          </w:tcPr>
          <w:p w14:paraId="6D2D1E67" w14:textId="77777777" w:rsidR="00B02873" w:rsidRPr="00E53159" w:rsidRDefault="00B02873" w:rsidP="00E53159">
            <w:pPr>
              <w:pStyle w:val="TablebodyleftFinancialsTables"/>
              <w:jc w:val="right"/>
              <w:rPr>
                <w:rFonts w:asciiTheme="minorHAnsi" w:hAnsiTheme="minorHAnsi" w:cstheme="minorHAnsi"/>
                <w:sz w:val="18"/>
                <w:szCs w:val="14"/>
              </w:rPr>
            </w:pPr>
            <w:r w:rsidRPr="00E53159">
              <w:rPr>
                <w:rFonts w:asciiTheme="minorHAnsi" w:hAnsiTheme="minorHAnsi" w:cstheme="minorHAnsi"/>
                <w:sz w:val="18"/>
                <w:szCs w:val="14"/>
              </w:rPr>
              <w:t>196</w:t>
            </w:r>
          </w:p>
        </w:tc>
      </w:tr>
      <w:tr w:rsidR="00E53159" w:rsidRPr="00E53159" w14:paraId="119B1AA7" w14:textId="77777777" w:rsidTr="00E53159">
        <w:trPr>
          <w:trHeight w:val="60"/>
        </w:trPr>
        <w:tc>
          <w:tcPr>
            <w:tcW w:w="2593" w:type="dxa"/>
          </w:tcPr>
          <w:p w14:paraId="1620EAF6" w14:textId="77777777" w:rsidR="00B02873" w:rsidRPr="00E53159" w:rsidRDefault="00B02873" w:rsidP="00E53159">
            <w:pPr>
              <w:pStyle w:val="TablebodyleftFinancialsTables"/>
              <w:rPr>
                <w:rFonts w:asciiTheme="minorHAnsi" w:hAnsiTheme="minorHAnsi" w:cstheme="minorHAnsi"/>
                <w:sz w:val="18"/>
                <w:szCs w:val="14"/>
              </w:rPr>
            </w:pPr>
            <w:r w:rsidRPr="00E53159">
              <w:rPr>
                <w:rFonts w:asciiTheme="minorHAnsi" w:hAnsiTheme="minorHAnsi" w:cstheme="minorHAnsi"/>
                <w:sz w:val="18"/>
                <w:szCs w:val="14"/>
              </w:rPr>
              <w:t xml:space="preserve">Contract liabilities </w:t>
            </w:r>
          </w:p>
        </w:tc>
        <w:tc>
          <w:tcPr>
            <w:tcW w:w="1230" w:type="dxa"/>
          </w:tcPr>
          <w:p w14:paraId="07E2AF9E" w14:textId="77777777" w:rsidR="00B02873" w:rsidRPr="00E53159" w:rsidRDefault="00B02873" w:rsidP="00E53159">
            <w:pPr>
              <w:pStyle w:val="TablebodyleftFinancialsTables"/>
              <w:jc w:val="right"/>
              <w:rPr>
                <w:rFonts w:asciiTheme="minorHAnsi" w:hAnsiTheme="minorHAnsi" w:cstheme="minorHAnsi"/>
                <w:b/>
                <w:bCs/>
                <w:sz w:val="18"/>
                <w:szCs w:val="14"/>
              </w:rPr>
            </w:pPr>
            <w:r w:rsidRPr="00E53159">
              <w:rPr>
                <w:rFonts w:asciiTheme="minorHAnsi" w:hAnsiTheme="minorHAnsi" w:cstheme="minorHAnsi"/>
                <w:b/>
                <w:bCs/>
                <w:sz w:val="18"/>
                <w:szCs w:val="14"/>
              </w:rPr>
              <w:t>2,233</w:t>
            </w:r>
          </w:p>
        </w:tc>
        <w:tc>
          <w:tcPr>
            <w:tcW w:w="1275" w:type="dxa"/>
          </w:tcPr>
          <w:p w14:paraId="1E78087B" w14:textId="77777777" w:rsidR="00B02873" w:rsidRPr="00E53159" w:rsidRDefault="00B02873" w:rsidP="00E53159">
            <w:pPr>
              <w:pStyle w:val="TablebodyleftFinancialsTables"/>
              <w:jc w:val="right"/>
              <w:rPr>
                <w:rFonts w:asciiTheme="minorHAnsi" w:hAnsiTheme="minorHAnsi" w:cstheme="minorHAnsi"/>
                <w:sz w:val="18"/>
                <w:szCs w:val="14"/>
              </w:rPr>
            </w:pPr>
            <w:r w:rsidRPr="00E53159">
              <w:rPr>
                <w:rFonts w:asciiTheme="minorHAnsi" w:hAnsiTheme="minorHAnsi" w:cstheme="minorHAnsi"/>
                <w:sz w:val="18"/>
                <w:szCs w:val="14"/>
              </w:rPr>
              <w:t>4,431</w:t>
            </w:r>
          </w:p>
        </w:tc>
        <w:tc>
          <w:tcPr>
            <w:tcW w:w="1226" w:type="dxa"/>
          </w:tcPr>
          <w:p w14:paraId="7DEA267B" w14:textId="77777777" w:rsidR="00B02873" w:rsidRPr="00E53159" w:rsidRDefault="00B02873" w:rsidP="00E53159">
            <w:pPr>
              <w:pStyle w:val="TablebodyleftFinancialsTables"/>
              <w:jc w:val="right"/>
              <w:rPr>
                <w:rFonts w:asciiTheme="minorHAnsi" w:hAnsiTheme="minorHAnsi" w:cstheme="minorHAnsi"/>
                <w:b/>
                <w:bCs/>
                <w:sz w:val="18"/>
                <w:szCs w:val="14"/>
              </w:rPr>
            </w:pPr>
            <w:r w:rsidRPr="00E53159">
              <w:rPr>
                <w:rFonts w:asciiTheme="minorHAnsi" w:hAnsiTheme="minorHAnsi" w:cstheme="minorHAnsi"/>
                <w:b/>
                <w:bCs/>
                <w:sz w:val="18"/>
                <w:szCs w:val="14"/>
              </w:rPr>
              <w:t>2,360</w:t>
            </w:r>
          </w:p>
        </w:tc>
        <w:tc>
          <w:tcPr>
            <w:tcW w:w="1216" w:type="dxa"/>
          </w:tcPr>
          <w:p w14:paraId="1AD327AF" w14:textId="77777777" w:rsidR="00B02873" w:rsidRPr="00E53159" w:rsidRDefault="00B02873" w:rsidP="00E53159">
            <w:pPr>
              <w:pStyle w:val="TablebodyleftFinancialsTables"/>
              <w:jc w:val="right"/>
              <w:rPr>
                <w:rFonts w:asciiTheme="minorHAnsi" w:hAnsiTheme="minorHAnsi" w:cstheme="minorHAnsi"/>
                <w:sz w:val="18"/>
                <w:szCs w:val="14"/>
              </w:rPr>
            </w:pPr>
            <w:r w:rsidRPr="00E53159">
              <w:rPr>
                <w:rFonts w:asciiTheme="minorHAnsi" w:hAnsiTheme="minorHAnsi" w:cstheme="minorHAnsi"/>
                <w:sz w:val="18"/>
                <w:szCs w:val="14"/>
              </w:rPr>
              <w:t>2,526</w:t>
            </w:r>
          </w:p>
        </w:tc>
        <w:tc>
          <w:tcPr>
            <w:tcW w:w="1213" w:type="dxa"/>
          </w:tcPr>
          <w:p w14:paraId="31A626BD" w14:textId="77777777" w:rsidR="00B02873" w:rsidRPr="00E53159" w:rsidRDefault="00B02873" w:rsidP="00E53159">
            <w:pPr>
              <w:pStyle w:val="TablebodyleftFinancialsTables"/>
              <w:jc w:val="right"/>
              <w:rPr>
                <w:rFonts w:asciiTheme="minorHAnsi" w:hAnsiTheme="minorHAnsi" w:cstheme="minorHAnsi"/>
                <w:b/>
                <w:bCs/>
                <w:sz w:val="18"/>
                <w:szCs w:val="14"/>
              </w:rPr>
            </w:pPr>
            <w:r w:rsidRPr="00E53159">
              <w:rPr>
                <w:rFonts w:asciiTheme="minorHAnsi" w:hAnsiTheme="minorHAnsi" w:cstheme="minorHAnsi"/>
                <w:b/>
                <w:bCs/>
                <w:sz w:val="18"/>
                <w:szCs w:val="14"/>
              </w:rPr>
              <w:t>73</w:t>
            </w:r>
          </w:p>
        </w:tc>
        <w:tc>
          <w:tcPr>
            <w:tcW w:w="1189" w:type="dxa"/>
          </w:tcPr>
          <w:p w14:paraId="4E28E30C" w14:textId="77777777" w:rsidR="00B02873" w:rsidRPr="00E53159" w:rsidRDefault="00B02873" w:rsidP="00E53159">
            <w:pPr>
              <w:pStyle w:val="TablebodyleftFinancialsTables"/>
              <w:jc w:val="right"/>
              <w:rPr>
                <w:rFonts w:asciiTheme="minorHAnsi" w:hAnsiTheme="minorHAnsi" w:cstheme="minorHAnsi"/>
                <w:sz w:val="18"/>
                <w:szCs w:val="14"/>
              </w:rPr>
            </w:pPr>
            <w:r w:rsidRPr="00E53159">
              <w:rPr>
                <w:rFonts w:asciiTheme="minorHAnsi" w:hAnsiTheme="minorHAnsi" w:cstheme="minorHAnsi"/>
                <w:sz w:val="18"/>
                <w:szCs w:val="14"/>
              </w:rPr>
              <w:t>84</w:t>
            </w:r>
          </w:p>
        </w:tc>
      </w:tr>
      <w:tr w:rsidR="00B02873" w:rsidRPr="00E53159" w14:paraId="789FA45F" w14:textId="77777777" w:rsidTr="00E53159">
        <w:trPr>
          <w:trHeight w:val="60"/>
        </w:trPr>
        <w:tc>
          <w:tcPr>
            <w:tcW w:w="2593" w:type="dxa"/>
          </w:tcPr>
          <w:p w14:paraId="065A439A" w14:textId="77777777" w:rsidR="00B02873" w:rsidRPr="00E53159" w:rsidRDefault="00B02873" w:rsidP="00E53159">
            <w:pPr>
              <w:pStyle w:val="TablebodyleftFinancialsTables"/>
              <w:rPr>
                <w:rFonts w:asciiTheme="minorHAnsi" w:hAnsiTheme="minorHAnsi" w:cstheme="minorHAnsi"/>
                <w:sz w:val="18"/>
                <w:szCs w:val="14"/>
              </w:rPr>
            </w:pPr>
            <w:r w:rsidRPr="00E53159">
              <w:rPr>
                <w:rFonts w:asciiTheme="minorHAnsi" w:hAnsiTheme="minorHAnsi" w:cstheme="minorHAnsi"/>
                <w:sz w:val="18"/>
                <w:szCs w:val="14"/>
              </w:rPr>
              <w:t xml:space="preserve">Grant of right to operate liability (Note 4.2.4) </w:t>
            </w:r>
          </w:p>
        </w:tc>
        <w:tc>
          <w:tcPr>
            <w:tcW w:w="1230" w:type="dxa"/>
          </w:tcPr>
          <w:p w14:paraId="4FE010A2" w14:textId="77777777" w:rsidR="00B02873" w:rsidRPr="00E53159" w:rsidRDefault="00B02873" w:rsidP="00E53159">
            <w:pPr>
              <w:pStyle w:val="TablebodyleftFinancialsTables"/>
              <w:jc w:val="right"/>
              <w:rPr>
                <w:rFonts w:asciiTheme="minorHAnsi" w:hAnsiTheme="minorHAnsi" w:cstheme="minorHAnsi"/>
                <w:b/>
                <w:bCs/>
                <w:sz w:val="18"/>
                <w:szCs w:val="14"/>
              </w:rPr>
            </w:pPr>
            <w:r w:rsidRPr="00E53159">
              <w:rPr>
                <w:rFonts w:asciiTheme="minorHAnsi" w:hAnsiTheme="minorHAnsi" w:cstheme="minorHAnsi"/>
                <w:b/>
                <w:bCs/>
                <w:sz w:val="18"/>
                <w:szCs w:val="14"/>
              </w:rPr>
              <w:t>–</w:t>
            </w:r>
          </w:p>
        </w:tc>
        <w:tc>
          <w:tcPr>
            <w:tcW w:w="1275" w:type="dxa"/>
          </w:tcPr>
          <w:p w14:paraId="61EAFEB3" w14:textId="77777777" w:rsidR="00B02873" w:rsidRPr="00E53159" w:rsidRDefault="00B02873" w:rsidP="00E53159">
            <w:pPr>
              <w:pStyle w:val="TablebodyleftFinancialsTables"/>
              <w:jc w:val="right"/>
              <w:rPr>
                <w:rFonts w:asciiTheme="minorHAnsi" w:hAnsiTheme="minorHAnsi" w:cstheme="minorHAnsi"/>
                <w:sz w:val="18"/>
                <w:szCs w:val="14"/>
              </w:rPr>
            </w:pPr>
            <w:r w:rsidRPr="00E53159">
              <w:rPr>
                <w:rFonts w:asciiTheme="minorHAnsi" w:hAnsiTheme="minorHAnsi" w:cstheme="minorHAnsi"/>
                <w:sz w:val="18"/>
                <w:szCs w:val="14"/>
              </w:rPr>
              <w:t>–</w:t>
            </w:r>
          </w:p>
        </w:tc>
        <w:tc>
          <w:tcPr>
            <w:tcW w:w="1226" w:type="dxa"/>
          </w:tcPr>
          <w:p w14:paraId="0F3A0FCB" w14:textId="77777777" w:rsidR="00B02873" w:rsidRPr="00E53159" w:rsidRDefault="00B02873" w:rsidP="00E53159">
            <w:pPr>
              <w:pStyle w:val="TablebodyleftFinancialsTables"/>
              <w:jc w:val="right"/>
              <w:rPr>
                <w:rFonts w:asciiTheme="minorHAnsi" w:hAnsiTheme="minorHAnsi" w:cstheme="minorHAnsi"/>
                <w:b/>
                <w:bCs/>
                <w:sz w:val="18"/>
                <w:szCs w:val="14"/>
              </w:rPr>
            </w:pPr>
            <w:r w:rsidRPr="00E53159">
              <w:rPr>
                <w:rFonts w:asciiTheme="minorHAnsi" w:hAnsiTheme="minorHAnsi" w:cstheme="minorHAnsi"/>
                <w:b/>
                <w:bCs/>
                <w:sz w:val="18"/>
                <w:szCs w:val="14"/>
              </w:rPr>
              <w:t>–</w:t>
            </w:r>
          </w:p>
        </w:tc>
        <w:tc>
          <w:tcPr>
            <w:tcW w:w="1216" w:type="dxa"/>
          </w:tcPr>
          <w:p w14:paraId="417C8E67" w14:textId="77777777" w:rsidR="00B02873" w:rsidRPr="00E53159" w:rsidRDefault="00B02873" w:rsidP="00E53159">
            <w:pPr>
              <w:pStyle w:val="TablebodyleftFinancialsTables"/>
              <w:jc w:val="right"/>
              <w:rPr>
                <w:rFonts w:asciiTheme="minorHAnsi" w:hAnsiTheme="minorHAnsi" w:cstheme="minorHAnsi"/>
                <w:sz w:val="18"/>
                <w:szCs w:val="14"/>
              </w:rPr>
            </w:pPr>
            <w:r w:rsidRPr="00E53159">
              <w:rPr>
                <w:rFonts w:asciiTheme="minorHAnsi" w:hAnsiTheme="minorHAnsi" w:cstheme="minorHAnsi"/>
                <w:sz w:val="18"/>
                <w:szCs w:val="14"/>
              </w:rPr>
              <w:t>–</w:t>
            </w:r>
          </w:p>
        </w:tc>
        <w:tc>
          <w:tcPr>
            <w:tcW w:w="1213" w:type="dxa"/>
          </w:tcPr>
          <w:p w14:paraId="626FCCF9" w14:textId="77777777" w:rsidR="00B02873" w:rsidRPr="00E53159" w:rsidRDefault="00B02873" w:rsidP="00E53159">
            <w:pPr>
              <w:pStyle w:val="TablebodyleftFinancialsTables"/>
              <w:jc w:val="right"/>
              <w:rPr>
                <w:rFonts w:asciiTheme="minorHAnsi" w:hAnsiTheme="minorHAnsi" w:cstheme="minorHAnsi"/>
                <w:b/>
                <w:bCs/>
                <w:sz w:val="18"/>
                <w:szCs w:val="14"/>
              </w:rPr>
            </w:pPr>
            <w:r w:rsidRPr="00E53159">
              <w:rPr>
                <w:rFonts w:asciiTheme="minorHAnsi" w:hAnsiTheme="minorHAnsi" w:cstheme="minorHAnsi"/>
                <w:b/>
                <w:bCs/>
                <w:sz w:val="18"/>
                <w:szCs w:val="14"/>
              </w:rPr>
              <w:t>–</w:t>
            </w:r>
          </w:p>
        </w:tc>
        <w:tc>
          <w:tcPr>
            <w:tcW w:w="1189" w:type="dxa"/>
          </w:tcPr>
          <w:p w14:paraId="76175833" w14:textId="77777777" w:rsidR="00B02873" w:rsidRPr="00E53159" w:rsidRDefault="00B02873" w:rsidP="00E53159">
            <w:pPr>
              <w:pStyle w:val="TablebodyleftFinancialsTables"/>
              <w:jc w:val="right"/>
              <w:rPr>
                <w:rFonts w:asciiTheme="minorHAnsi" w:hAnsiTheme="minorHAnsi" w:cstheme="minorHAnsi"/>
                <w:sz w:val="18"/>
                <w:szCs w:val="14"/>
              </w:rPr>
            </w:pPr>
            <w:r w:rsidRPr="00E53159">
              <w:rPr>
                <w:rFonts w:asciiTheme="minorHAnsi" w:hAnsiTheme="minorHAnsi" w:cstheme="minorHAnsi"/>
                <w:sz w:val="18"/>
                <w:szCs w:val="14"/>
              </w:rPr>
              <w:t>–</w:t>
            </w:r>
          </w:p>
        </w:tc>
      </w:tr>
      <w:tr w:rsidR="00E53159" w:rsidRPr="00E53159" w14:paraId="13D51A7D" w14:textId="77777777" w:rsidTr="00E53159">
        <w:trPr>
          <w:trHeight w:val="60"/>
        </w:trPr>
        <w:tc>
          <w:tcPr>
            <w:tcW w:w="2593" w:type="dxa"/>
          </w:tcPr>
          <w:p w14:paraId="1F71B67E" w14:textId="77777777" w:rsidR="00B02873" w:rsidRPr="00E53159" w:rsidRDefault="00B02873" w:rsidP="00E53159">
            <w:pPr>
              <w:pStyle w:val="TablebodyleftFinancialsTables"/>
              <w:rPr>
                <w:rFonts w:asciiTheme="minorHAnsi" w:hAnsiTheme="minorHAnsi" w:cstheme="minorHAnsi"/>
                <w:sz w:val="18"/>
                <w:szCs w:val="14"/>
              </w:rPr>
            </w:pPr>
            <w:r w:rsidRPr="00E53159">
              <w:rPr>
                <w:rFonts w:asciiTheme="minorHAnsi" w:hAnsiTheme="minorHAnsi" w:cstheme="minorHAnsi"/>
                <w:sz w:val="18"/>
                <w:szCs w:val="14"/>
              </w:rPr>
              <w:t>Borrowings (Note 4.2.5)</w:t>
            </w:r>
          </w:p>
        </w:tc>
        <w:tc>
          <w:tcPr>
            <w:tcW w:w="1230" w:type="dxa"/>
          </w:tcPr>
          <w:p w14:paraId="6872BB7D" w14:textId="77777777" w:rsidR="00B02873" w:rsidRPr="00E53159" w:rsidRDefault="00B02873" w:rsidP="00E53159">
            <w:pPr>
              <w:pStyle w:val="TablebodyleftFinancialsTables"/>
              <w:jc w:val="right"/>
              <w:rPr>
                <w:rFonts w:asciiTheme="minorHAnsi" w:hAnsiTheme="minorHAnsi" w:cstheme="minorHAnsi"/>
                <w:b/>
                <w:bCs/>
                <w:sz w:val="18"/>
                <w:szCs w:val="14"/>
              </w:rPr>
            </w:pPr>
            <w:r w:rsidRPr="00E53159">
              <w:rPr>
                <w:rFonts w:asciiTheme="minorHAnsi" w:hAnsiTheme="minorHAnsi" w:cstheme="minorHAnsi"/>
                <w:b/>
                <w:bCs/>
                <w:sz w:val="18"/>
                <w:szCs w:val="14"/>
              </w:rPr>
              <w:t>–</w:t>
            </w:r>
          </w:p>
        </w:tc>
        <w:tc>
          <w:tcPr>
            <w:tcW w:w="1275" w:type="dxa"/>
          </w:tcPr>
          <w:p w14:paraId="148FA1B3" w14:textId="77777777" w:rsidR="00B02873" w:rsidRPr="00E53159" w:rsidRDefault="00B02873" w:rsidP="00E53159">
            <w:pPr>
              <w:pStyle w:val="TablebodyleftFinancialsTables"/>
              <w:jc w:val="right"/>
              <w:rPr>
                <w:rFonts w:asciiTheme="minorHAnsi" w:hAnsiTheme="minorHAnsi" w:cstheme="minorHAnsi"/>
                <w:sz w:val="18"/>
                <w:szCs w:val="14"/>
              </w:rPr>
            </w:pPr>
            <w:r w:rsidRPr="00E53159">
              <w:rPr>
                <w:rFonts w:asciiTheme="minorHAnsi" w:hAnsiTheme="minorHAnsi" w:cstheme="minorHAnsi"/>
                <w:sz w:val="18"/>
                <w:szCs w:val="14"/>
              </w:rPr>
              <w:t>–</w:t>
            </w:r>
          </w:p>
        </w:tc>
        <w:tc>
          <w:tcPr>
            <w:tcW w:w="1226" w:type="dxa"/>
          </w:tcPr>
          <w:p w14:paraId="653B0A18" w14:textId="77777777" w:rsidR="00B02873" w:rsidRPr="00E53159" w:rsidRDefault="00B02873" w:rsidP="00E53159">
            <w:pPr>
              <w:pStyle w:val="TablebodyleftFinancialsTables"/>
              <w:jc w:val="right"/>
              <w:rPr>
                <w:rFonts w:asciiTheme="minorHAnsi" w:hAnsiTheme="minorHAnsi" w:cstheme="minorHAnsi"/>
                <w:b/>
                <w:bCs/>
                <w:sz w:val="18"/>
                <w:szCs w:val="14"/>
              </w:rPr>
            </w:pPr>
            <w:r w:rsidRPr="00E53159">
              <w:rPr>
                <w:rFonts w:asciiTheme="minorHAnsi" w:hAnsiTheme="minorHAnsi" w:cstheme="minorHAnsi"/>
                <w:b/>
                <w:bCs/>
                <w:sz w:val="18"/>
                <w:szCs w:val="14"/>
              </w:rPr>
              <w:t>3,225,659</w:t>
            </w:r>
          </w:p>
        </w:tc>
        <w:tc>
          <w:tcPr>
            <w:tcW w:w="1216" w:type="dxa"/>
          </w:tcPr>
          <w:p w14:paraId="24FF3228" w14:textId="77777777" w:rsidR="00B02873" w:rsidRPr="00E53159" w:rsidRDefault="00B02873" w:rsidP="00E53159">
            <w:pPr>
              <w:pStyle w:val="TablebodyleftFinancialsTables"/>
              <w:jc w:val="right"/>
              <w:rPr>
                <w:rFonts w:asciiTheme="minorHAnsi" w:hAnsiTheme="minorHAnsi" w:cstheme="minorHAnsi"/>
                <w:sz w:val="18"/>
                <w:szCs w:val="14"/>
              </w:rPr>
            </w:pPr>
            <w:r w:rsidRPr="00E53159">
              <w:rPr>
                <w:rFonts w:asciiTheme="minorHAnsi" w:hAnsiTheme="minorHAnsi" w:cstheme="minorHAnsi"/>
                <w:sz w:val="18"/>
                <w:szCs w:val="14"/>
              </w:rPr>
              <w:t>3,274,894</w:t>
            </w:r>
          </w:p>
        </w:tc>
        <w:tc>
          <w:tcPr>
            <w:tcW w:w="1213" w:type="dxa"/>
          </w:tcPr>
          <w:p w14:paraId="6D33F089" w14:textId="77777777" w:rsidR="00B02873" w:rsidRPr="00E53159" w:rsidRDefault="00B02873" w:rsidP="00E53159">
            <w:pPr>
              <w:pStyle w:val="TablebodyleftFinancialsTables"/>
              <w:jc w:val="right"/>
              <w:rPr>
                <w:rFonts w:asciiTheme="minorHAnsi" w:hAnsiTheme="minorHAnsi" w:cstheme="minorHAnsi"/>
                <w:b/>
                <w:bCs/>
                <w:sz w:val="18"/>
                <w:szCs w:val="14"/>
              </w:rPr>
            </w:pPr>
            <w:r w:rsidRPr="00E53159">
              <w:rPr>
                <w:rFonts w:asciiTheme="minorHAnsi" w:hAnsiTheme="minorHAnsi" w:cstheme="minorHAnsi"/>
                <w:b/>
                <w:bCs/>
                <w:sz w:val="18"/>
                <w:szCs w:val="14"/>
              </w:rPr>
              <w:t>–</w:t>
            </w:r>
          </w:p>
        </w:tc>
        <w:tc>
          <w:tcPr>
            <w:tcW w:w="1189" w:type="dxa"/>
          </w:tcPr>
          <w:p w14:paraId="7C9FA6F6" w14:textId="77777777" w:rsidR="00B02873" w:rsidRPr="00E53159" w:rsidRDefault="00B02873" w:rsidP="00E53159">
            <w:pPr>
              <w:pStyle w:val="TablebodyleftFinancialsTables"/>
              <w:jc w:val="right"/>
              <w:rPr>
                <w:rFonts w:asciiTheme="minorHAnsi" w:hAnsiTheme="minorHAnsi" w:cstheme="minorHAnsi"/>
                <w:sz w:val="18"/>
                <w:szCs w:val="14"/>
              </w:rPr>
            </w:pPr>
            <w:r w:rsidRPr="00E53159">
              <w:rPr>
                <w:rFonts w:asciiTheme="minorHAnsi" w:hAnsiTheme="minorHAnsi" w:cstheme="minorHAnsi"/>
                <w:sz w:val="18"/>
                <w:szCs w:val="14"/>
              </w:rPr>
              <w:t>–</w:t>
            </w:r>
          </w:p>
        </w:tc>
      </w:tr>
      <w:tr w:rsidR="00B02873" w:rsidRPr="00E53159" w14:paraId="05D1B7E2" w14:textId="77777777" w:rsidTr="00E53159">
        <w:trPr>
          <w:trHeight w:val="60"/>
        </w:trPr>
        <w:tc>
          <w:tcPr>
            <w:tcW w:w="2593" w:type="dxa"/>
          </w:tcPr>
          <w:p w14:paraId="7165EF45" w14:textId="77777777" w:rsidR="00B02873" w:rsidRPr="00E53159" w:rsidRDefault="00B02873" w:rsidP="00E53159">
            <w:pPr>
              <w:pStyle w:val="TablebodyleftFinancialsTables"/>
              <w:rPr>
                <w:rFonts w:asciiTheme="minorHAnsi" w:hAnsiTheme="minorHAnsi" w:cstheme="minorHAnsi"/>
                <w:sz w:val="18"/>
                <w:szCs w:val="14"/>
              </w:rPr>
            </w:pPr>
            <w:r w:rsidRPr="00E53159">
              <w:rPr>
                <w:rFonts w:asciiTheme="minorHAnsi" w:hAnsiTheme="minorHAnsi" w:cstheme="minorHAnsi"/>
                <w:sz w:val="18"/>
                <w:szCs w:val="14"/>
              </w:rPr>
              <w:t>Other liabilities</w:t>
            </w:r>
          </w:p>
        </w:tc>
        <w:tc>
          <w:tcPr>
            <w:tcW w:w="1230" w:type="dxa"/>
          </w:tcPr>
          <w:p w14:paraId="6E991D4E" w14:textId="77777777" w:rsidR="00B02873" w:rsidRPr="00E53159" w:rsidRDefault="00B02873" w:rsidP="00E53159">
            <w:pPr>
              <w:pStyle w:val="TablebodyleftFinancialsTables"/>
              <w:jc w:val="right"/>
              <w:rPr>
                <w:rFonts w:asciiTheme="minorHAnsi" w:hAnsiTheme="minorHAnsi" w:cstheme="minorHAnsi"/>
                <w:b/>
                <w:bCs/>
                <w:sz w:val="18"/>
                <w:szCs w:val="14"/>
              </w:rPr>
            </w:pPr>
            <w:r w:rsidRPr="00E53159">
              <w:rPr>
                <w:rFonts w:asciiTheme="minorHAnsi" w:hAnsiTheme="minorHAnsi" w:cstheme="minorHAnsi"/>
                <w:b/>
                <w:bCs/>
                <w:sz w:val="18"/>
                <w:szCs w:val="14"/>
              </w:rPr>
              <w:t>–</w:t>
            </w:r>
          </w:p>
        </w:tc>
        <w:tc>
          <w:tcPr>
            <w:tcW w:w="1275" w:type="dxa"/>
          </w:tcPr>
          <w:p w14:paraId="03062144" w14:textId="77777777" w:rsidR="00B02873" w:rsidRPr="00E53159" w:rsidRDefault="00B02873" w:rsidP="00E53159">
            <w:pPr>
              <w:pStyle w:val="TablebodyleftFinancialsTables"/>
              <w:jc w:val="right"/>
              <w:rPr>
                <w:rFonts w:asciiTheme="minorHAnsi" w:hAnsiTheme="minorHAnsi" w:cstheme="minorHAnsi"/>
                <w:sz w:val="18"/>
                <w:szCs w:val="14"/>
              </w:rPr>
            </w:pPr>
            <w:r w:rsidRPr="00E53159">
              <w:rPr>
                <w:rFonts w:asciiTheme="minorHAnsi" w:hAnsiTheme="minorHAnsi" w:cstheme="minorHAnsi"/>
                <w:sz w:val="18"/>
                <w:szCs w:val="14"/>
              </w:rPr>
              <w:t>–</w:t>
            </w:r>
          </w:p>
        </w:tc>
        <w:tc>
          <w:tcPr>
            <w:tcW w:w="1226" w:type="dxa"/>
          </w:tcPr>
          <w:p w14:paraId="1D36DEC9" w14:textId="77777777" w:rsidR="00B02873" w:rsidRPr="00E53159" w:rsidRDefault="00B02873" w:rsidP="00E53159">
            <w:pPr>
              <w:pStyle w:val="TablebodyleftFinancialsTables"/>
              <w:jc w:val="right"/>
              <w:rPr>
                <w:rFonts w:asciiTheme="minorHAnsi" w:hAnsiTheme="minorHAnsi" w:cstheme="minorHAnsi"/>
                <w:b/>
                <w:bCs/>
                <w:sz w:val="18"/>
                <w:szCs w:val="14"/>
              </w:rPr>
            </w:pPr>
            <w:r w:rsidRPr="00E53159">
              <w:rPr>
                <w:rFonts w:asciiTheme="minorHAnsi" w:hAnsiTheme="minorHAnsi" w:cstheme="minorHAnsi"/>
                <w:b/>
                <w:bCs/>
                <w:sz w:val="18"/>
                <w:szCs w:val="14"/>
              </w:rPr>
              <w:t>17,293</w:t>
            </w:r>
          </w:p>
        </w:tc>
        <w:tc>
          <w:tcPr>
            <w:tcW w:w="1216" w:type="dxa"/>
          </w:tcPr>
          <w:p w14:paraId="5D0D7786" w14:textId="77777777" w:rsidR="00B02873" w:rsidRPr="00E53159" w:rsidRDefault="00B02873" w:rsidP="00E53159">
            <w:pPr>
              <w:pStyle w:val="TablebodyleftFinancialsTables"/>
              <w:jc w:val="right"/>
              <w:rPr>
                <w:rFonts w:asciiTheme="minorHAnsi" w:hAnsiTheme="minorHAnsi" w:cstheme="minorHAnsi"/>
                <w:sz w:val="18"/>
                <w:szCs w:val="14"/>
              </w:rPr>
            </w:pPr>
            <w:r w:rsidRPr="00E53159">
              <w:rPr>
                <w:rFonts w:asciiTheme="minorHAnsi" w:hAnsiTheme="minorHAnsi" w:cstheme="minorHAnsi"/>
                <w:sz w:val="18"/>
                <w:szCs w:val="14"/>
              </w:rPr>
              <w:t>33,719</w:t>
            </w:r>
          </w:p>
        </w:tc>
        <w:tc>
          <w:tcPr>
            <w:tcW w:w="1213" w:type="dxa"/>
          </w:tcPr>
          <w:p w14:paraId="68AF2A7E" w14:textId="77777777" w:rsidR="00B02873" w:rsidRPr="00E53159" w:rsidRDefault="00B02873" w:rsidP="00E53159">
            <w:pPr>
              <w:pStyle w:val="TablebodyleftFinancialsTables"/>
              <w:jc w:val="right"/>
              <w:rPr>
                <w:rFonts w:asciiTheme="minorHAnsi" w:hAnsiTheme="minorHAnsi" w:cstheme="minorHAnsi"/>
                <w:b/>
                <w:bCs/>
                <w:sz w:val="18"/>
                <w:szCs w:val="14"/>
              </w:rPr>
            </w:pPr>
            <w:r w:rsidRPr="00E53159">
              <w:rPr>
                <w:rFonts w:asciiTheme="minorHAnsi" w:hAnsiTheme="minorHAnsi" w:cstheme="minorHAnsi"/>
                <w:b/>
                <w:bCs/>
                <w:sz w:val="18"/>
                <w:szCs w:val="14"/>
              </w:rPr>
              <w:t>–</w:t>
            </w:r>
          </w:p>
        </w:tc>
        <w:tc>
          <w:tcPr>
            <w:tcW w:w="1189" w:type="dxa"/>
          </w:tcPr>
          <w:p w14:paraId="22FE034F" w14:textId="77777777" w:rsidR="00B02873" w:rsidRPr="00E53159" w:rsidRDefault="00B02873" w:rsidP="00E53159">
            <w:pPr>
              <w:pStyle w:val="TablebodyleftFinancialsTables"/>
              <w:jc w:val="right"/>
              <w:rPr>
                <w:rFonts w:asciiTheme="minorHAnsi" w:hAnsiTheme="minorHAnsi" w:cstheme="minorHAnsi"/>
                <w:sz w:val="18"/>
                <w:szCs w:val="14"/>
              </w:rPr>
            </w:pPr>
            <w:r w:rsidRPr="00E53159">
              <w:rPr>
                <w:rFonts w:asciiTheme="minorHAnsi" w:hAnsiTheme="minorHAnsi" w:cstheme="minorHAnsi"/>
                <w:sz w:val="18"/>
                <w:szCs w:val="14"/>
              </w:rPr>
              <w:t>–</w:t>
            </w:r>
          </w:p>
        </w:tc>
      </w:tr>
      <w:tr w:rsidR="00B02873" w:rsidRPr="00E53159" w14:paraId="48781678" w14:textId="77777777" w:rsidTr="00E53159">
        <w:trPr>
          <w:trHeight w:val="60"/>
        </w:trPr>
        <w:tc>
          <w:tcPr>
            <w:tcW w:w="2593" w:type="dxa"/>
          </w:tcPr>
          <w:p w14:paraId="598805D5" w14:textId="77777777" w:rsidR="00B02873" w:rsidRPr="00E53159" w:rsidRDefault="00B02873" w:rsidP="00E53159">
            <w:pPr>
              <w:pStyle w:val="TablebodyleftFinancialsTables"/>
              <w:rPr>
                <w:rFonts w:asciiTheme="minorHAnsi" w:hAnsiTheme="minorHAnsi" w:cstheme="minorHAnsi"/>
                <w:b/>
                <w:bCs/>
                <w:sz w:val="18"/>
                <w:szCs w:val="14"/>
              </w:rPr>
            </w:pPr>
            <w:r w:rsidRPr="00E53159">
              <w:rPr>
                <w:rFonts w:asciiTheme="minorHAnsi" w:hAnsiTheme="minorHAnsi" w:cstheme="minorHAnsi"/>
                <w:b/>
                <w:bCs/>
                <w:sz w:val="18"/>
                <w:szCs w:val="14"/>
              </w:rPr>
              <w:t>Total administered liabilities</w:t>
            </w:r>
          </w:p>
        </w:tc>
        <w:tc>
          <w:tcPr>
            <w:tcW w:w="1230" w:type="dxa"/>
          </w:tcPr>
          <w:p w14:paraId="5254A713" w14:textId="77777777" w:rsidR="00B02873" w:rsidRPr="00E53159" w:rsidRDefault="00B02873" w:rsidP="00E53159">
            <w:pPr>
              <w:pStyle w:val="TablebodyleftFinancialsTables"/>
              <w:jc w:val="right"/>
              <w:rPr>
                <w:rFonts w:asciiTheme="minorHAnsi" w:hAnsiTheme="minorHAnsi" w:cstheme="minorHAnsi"/>
                <w:b/>
                <w:bCs/>
                <w:sz w:val="18"/>
                <w:szCs w:val="14"/>
              </w:rPr>
            </w:pPr>
            <w:r w:rsidRPr="00E53159">
              <w:rPr>
                <w:rFonts w:asciiTheme="minorHAnsi" w:hAnsiTheme="minorHAnsi" w:cstheme="minorHAnsi"/>
                <w:b/>
                <w:bCs/>
                <w:sz w:val="18"/>
                <w:szCs w:val="14"/>
              </w:rPr>
              <w:t>2,853</w:t>
            </w:r>
          </w:p>
        </w:tc>
        <w:tc>
          <w:tcPr>
            <w:tcW w:w="1275" w:type="dxa"/>
          </w:tcPr>
          <w:p w14:paraId="149A76EC" w14:textId="77777777" w:rsidR="00B02873" w:rsidRPr="00E53159" w:rsidRDefault="00B02873" w:rsidP="00E53159">
            <w:pPr>
              <w:pStyle w:val="TablebodyleftFinancialsTables"/>
              <w:jc w:val="right"/>
              <w:rPr>
                <w:rFonts w:asciiTheme="minorHAnsi" w:hAnsiTheme="minorHAnsi" w:cstheme="minorHAnsi"/>
                <w:sz w:val="18"/>
                <w:szCs w:val="14"/>
              </w:rPr>
            </w:pPr>
            <w:r w:rsidRPr="00E53159">
              <w:rPr>
                <w:rFonts w:asciiTheme="minorHAnsi" w:hAnsiTheme="minorHAnsi" w:cstheme="minorHAnsi"/>
                <w:sz w:val="18"/>
                <w:szCs w:val="14"/>
              </w:rPr>
              <w:t>5,173</w:t>
            </w:r>
          </w:p>
        </w:tc>
        <w:tc>
          <w:tcPr>
            <w:tcW w:w="1226" w:type="dxa"/>
          </w:tcPr>
          <w:p w14:paraId="04D0E83F" w14:textId="77777777" w:rsidR="00B02873" w:rsidRPr="00E53159" w:rsidRDefault="00B02873" w:rsidP="00E53159">
            <w:pPr>
              <w:pStyle w:val="TablebodyleftFinancialsTables"/>
              <w:jc w:val="right"/>
              <w:rPr>
                <w:rFonts w:asciiTheme="minorHAnsi" w:hAnsiTheme="minorHAnsi" w:cstheme="minorHAnsi"/>
                <w:b/>
                <w:bCs/>
                <w:sz w:val="18"/>
                <w:szCs w:val="14"/>
              </w:rPr>
            </w:pPr>
            <w:r w:rsidRPr="00E53159">
              <w:rPr>
                <w:rFonts w:asciiTheme="minorHAnsi" w:hAnsiTheme="minorHAnsi" w:cstheme="minorHAnsi"/>
                <w:b/>
                <w:bCs/>
                <w:sz w:val="18"/>
                <w:szCs w:val="14"/>
              </w:rPr>
              <w:t>3,298,784</w:t>
            </w:r>
          </w:p>
        </w:tc>
        <w:tc>
          <w:tcPr>
            <w:tcW w:w="1216" w:type="dxa"/>
          </w:tcPr>
          <w:p w14:paraId="5D6A6851" w14:textId="77777777" w:rsidR="00B02873" w:rsidRPr="00E53159" w:rsidRDefault="00B02873" w:rsidP="00E53159">
            <w:pPr>
              <w:pStyle w:val="TablebodyleftFinancialsTables"/>
              <w:jc w:val="right"/>
              <w:rPr>
                <w:rFonts w:asciiTheme="minorHAnsi" w:hAnsiTheme="minorHAnsi" w:cstheme="minorHAnsi"/>
                <w:sz w:val="18"/>
                <w:szCs w:val="14"/>
              </w:rPr>
            </w:pPr>
            <w:r w:rsidRPr="00E53159">
              <w:rPr>
                <w:rFonts w:asciiTheme="minorHAnsi" w:hAnsiTheme="minorHAnsi" w:cstheme="minorHAnsi"/>
                <w:sz w:val="18"/>
                <w:szCs w:val="14"/>
              </w:rPr>
              <w:t>3,361,449</w:t>
            </w:r>
          </w:p>
        </w:tc>
        <w:tc>
          <w:tcPr>
            <w:tcW w:w="1213" w:type="dxa"/>
          </w:tcPr>
          <w:p w14:paraId="5630C471" w14:textId="5E409089" w:rsidR="00B02873" w:rsidRPr="00E53159" w:rsidRDefault="00B02873" w:rsidP="00E53159">
            <w:pPr>
              <w:pStyle w:val="TablebodyleftFinancialsTables"/>
              <w:jc w:val="right"/>
              <w:rPr>
                <w:rFonts w:asciiTheme="minorHAnsi" w:hAnsiTheme="minorHAnsi" w:cstheme="minorHAnsi"/>
                <w:b/>
                <w:bCs/>
                <w:sz w:val="18"/>
                <w:szCs w:val="14"/>
              </w:rPr>
            </w:pPr>
            <w:r w:rsidRPr="00E53159">
              <w:rPr>
                <w:rFonts w:asciiTheme="minorHAnsi" w:hAnsiTheme="minorHAnsi" w:cstheme="minorHAnsi"/>
                <w:b/>
                <w:bCs/>
                <w:sz w:val="18"/>
                <w:szCs w:val="14"/>
              </w:rPr>
              <w:t>234</w:t>
            </w:r>
          </w:p>
        </w:tc>
        <w:tc>
          <w:tcPr>
            <w:tcW w:w="1189" w:type="dxa"/>
          </w:tcPr>
          <w:p w14:paraId="27ECF4CD" w14:textId="6DF5B2A8" w:rsidR="00B02873" w:rsidRPr="00E53159" w:rsidRDefault="00B02873" w:rsidP="00E53159">
            <w:pPr>
              <w:pStyle w:val="TablebodyleftFinancialsTables"/>
              <w:jc w:val="right"/>
              <w:rPr>
                <w:rFonts w:asciiTheme="minorHAnsi" w:hAnsiTheme="minorHAnsi" w:cstheme="minorHAnsi"/>
                <w:sz w:val="18"/>
                <w:szCs w:val="14"/>
              </w:rPr>
            </w:pPr>
            <w:r w:rsidRPr="00E53159">
              <w:rPr>
                <w:rFonts w:asciiTheme="minorHAnsi" w:hAnsiTheme="minorHAnsi" w:cstheme="minorHAnsi"/>
                <w:sz w:val="18"/>
                <w:szCs w:val="14"/>
              </w:rPr>
              <w:t>280</w:t>
            </w:r>
          </w:p>
        </w:tc>
      </w:tr>
      <w:tr w:rsidR="00B02873" w:rsidRPr="00E53159" w14:paraId="15AFC408" w14:textId="77777777" w:rsidTr="00E53159">
        <w:trPr>
          <w:trHeight w:val="60"/>
        </w:trPr>
        <w:tc>
          <w:tcPr>
            <w:tcW w:w="2593" w:type="dxa"/>
          </w:tcPr>
          <w:p w14:paraId="4202C3B3" w14:textId="77777777" w:rsidR="00B02873" w:rsidRPr="00E53159" w:rsidRDefault="00B02873" w:rsidP="00E53159">
            <w:pPr>
              <w:pStyle w:val="TablebodyleftFinancialsTables"/>
              <w:rPr>
                <w:rFonts w:asciiTheme="minorHAnsi" w:hAnsiTheme="minorHAnsi" w:cstheme="minorHAnsi"/>
                <w:b/>
                <w:bCs/>
                <w:spacing w:val="-2"/>
                <w:sz w:val="18"/>
                <w:szCs w:val="14"/>
              </w:rPr>
            </w:pPr>
            <w:r w:rsidRPr="00E53159">
              <w:rPr>
                <w:rFonts w:asciiTheme="minorHAnsi" w:hAnsiTheme="minorHAnsi" w:cstheme="minorHAnsi"/>
                <w:b/>
                <w:bCs/>
                <w:spacing w:val="-2"/>
                <w:sz w:val="18"/>
                <w:szCs w:val="14"/>
              </w:rPr>
              <w:t>Total administered net assets</w:t>
            </w:r>
          </w:p>
        </w:tc>
        <w:tc>
          <w:tcPr>
            <w:tcW w:w="1230" w:type="dxa"/>
          </w:tcPr>
          <w:p w14:paraId="7F1A7627" w14:textId="77777777" w:rsidR="00B02873" w:rsidRPr="00E53159" w:rsidRDefault="00B02873" w:rsidP="00E53159">
            <w:pPr>
              <w:pStyle w:val="TablebodyleftFinancialsTables"/>
              <w:jc w:val="right"/>
              <w:rPr>
                <w:rFonts w:asciiTheme="minorHAnsi" w:hAnsiTheme="minorHAnsi" w:cstheme="minorHAnsi"/>
                <w:b/>
                <w:bCs/>
                <w:sz w:val="18"/>
                <w:szCs w:val="14"/>
              </w:rPr>
            </w:pPr>
            <w:r w:rsidRPr="00E53159">
              <w:rPr>
                <w:rFonts w:asciiTheme="minorHAnsi" w:hAnsiTheme="minorHAnsi" w:cstheme="minorHAnsi"/>
                <w:b/>
                <w:bCs/>
                <w:sz w:val="18"/>
                <w:szCs w:val="14"/>
              </w:rPr>
              <w:t>8,639</w:t>
            </w:r>
          </w:p>
        </w:tc>
        <w:tc>
          <w:tcPr>
            <w:tcW w:w="1275" w:type="dxa"/>
          </w:tcPr>
          <w:p w14:paraId="3533A4FD" w14:textId="77777777" w:rsidR="00B02873" w:rsidRPr="00E53159" w:rsidRDefault="00B02873" w:rsidP="00E53159">
            <w:pPr>
              <w:pStyle w:val="TablebodyleftFinancialsTables"/>
              <w:jc w:val="right"/>
              <w:rPr>
                <w:rFonts w:asciiTheme="minorHAnsi" w:hAnsiTheme="minorHAnsi" w:cstheme="minorHAnsi"/>
                <w:sz w:val="18"/>
                <w:szCs w:val="14"/>
              </w:rPr>
            </w:pPr>
            <w:r w:rsidRPr="00E53159">
              <w:rPr>
                <w:rFonts w:asciiTheme="minorHAnsi" w:hAnsiTheme="minorHAnsi" w:cstheme="minorHAnsi"/>
                <w:sz w:val="18"/>
                <w:szCs w:val="14"/>
              </w:rPr>
              <w:t>2,076</w:t>
            </w:r>
          </w:p>
        </w:tc>
        <w:tc>
          <w:tcPr>
            <w:tcW w:w="1226" w:type="dxa"/>
          </w:tcPr>
          <w:p w14:paraId="194D4A44" w14:textId="77777777" w:rsidR="00B02873" w:rsidRPr="00E53159" w:rsidRDefault="00B02873" w:rsidP="00E53159">
            <w:pPr>
              <w:pStyle w:val="TablebodyleftFinancialsTables"/>
              <w:jc w:val="right"/>
              <w:rPr>
                <w:rFonts w:asciiTheme="minorHAnsi" w:hAnsiTheme="minorHAnsi" w:cstheme="minorHAnsi"/>
                <w:b/>
                <w:bCs/>
                <w:sz w:val="18"/>
                <w:szCs w:val="14"/>
              </w:rPr>
            </w:pPr>
            <w:r w:rsidRPr="00E53159">
              <w:rPr>
                <w:rFonts w:asciiTheme="minorHAnsi" w:hAnsiTheme="minorHAnsi" w:cstheme="minorHAnsi"/>
                <w:b/>
                <w:bCs/>
                <w:sz w:val="18"/>
                <w:szCs w:val="14"/>
              </w:rPr>
              <w:t>1,448,118</w:t>
            </w:r>
          </w:p>
        </w:tc>
        <w:tc>
          <w:tcPr>
            <w:tcW w:w="1216" w:type="dxa"/>
          </w:tcPr>
          <w:p w14:paraId="4526C9B3" w14:textId="77777777" w:rsidR="00B02873" w:rsidRPr="00E53159" w:rsidRDefault="00B02873" w:rsidP="00E53159">
            <w:pPr>
              <w:pStyle w:val="TablebodyleftFinancialsTables"/>
              <w:jc w:val="right"/>
              <w:rPr>
                <w:rFonts w:asciiTheme="minorHAnsi" w:hAnsiTheme="minorHAnsi" w:cstheme="minorHAnsi"/>
                <w:sz w:val="18"/>
                <w:szCs w:val="14"/>
              </w:rPr>
            </w:pPr>
            <w:r w:rsidRPr="00E53159">
              <w:rPr>
                <w:rFonts w:asciiTheme="minorHAnsi" w:hAnsiTheme="minorHAnsi" w:cstheme="minorHAnsi"/>
                <w:sz w:val="18"/>
                <w:szCs w:val="14"/>
              </w:rPr>
              <w:t>1,313,219</w:t>
            </w:r>
          </w:p>
        </w:tc>
        <w:tc>
          <w:tcPr>
            <w:tcW w:w="1213" w:type="dxa"/>
          </w:tcPr>
          <w:p w14:paraId="7C14BE4D" w14:textId="77777777" w:rsidR="00B02873" w:rsidRPr="00E53159" w:rsidRDefault="00B02873" w:rsidP="00E53159">
            <w:pPr>
              <w:pStyle w:val="TablebodyleftFinancialsTables"/>
              <w:jc w:val="right"/>
              <w:rPr>
                <w:rFonts w:asciiTheme="minorHAnsi" w:hAnsiTheme="minorHAnsi" w:cstheme="minorHAnsi"/>
                <w:b/>
                <w:bCs/>
                <w:sz w:val="18"/>
                <w:szCs w:val="14"/>
              </w:rPr>
            </w:pPr>
            <w:r w:rsidRPr="00E53159">
              <w:rPr>
                <w:rFonts w:asciiTheme="minorHAnsi" w:hAnsiTheme="minorHAnsi" w:cstheme="minorHAnsi"/>
                <w:b/>
                <w:bCs/>
                <w:sz w:val="18"/>
                <w:szCs w:val="14"/>
              </w:rPr>
              <w:t>2,758</w:t>
            </w:r>
          </w:p>
        </w:tc>
        <w:tc>
          <w:tcPr>
            <w:tcW w:w="1189" w:type="dxa"/>
          </w:tcPr>
          <w:p w14:paraId="42D58DDA" w14:textId="77777777" w:rsidR="00B02873" w:rsidRPr="00E53159" w:rsidRDefault="00B02873" w:rsidP="00E53159">
            <w:pPr>
              <w:pStyle w:val="TablebodyleftFinancialsTables"/>
              <w:jc w:val="right"/>
              <w:rPr>
                <w:rFonts w:asciiTheme="minorHAnsi" w:hAnsiTheme="minorHAnsi" w:cstheme="minorHAnsi"/>
                <w:sz w:val="18"/>
                <w:szCs w:val="14"/>
              </w:rPr>
            </w:pPr>
            <w:r w:rsidRPr="00E53159">
              <w:rPr>
                <w:rFonts w:asciiTheme="minorHAnsi" w:hAnsiTheme="minorHAnsi" w:cstheme="minorHAnsi"/>
                <w:sz w:val="18"/>
                <w:szCs w:val="14"/>
              </w:rPr>
              <w:t>1,647</w:t>
            </w:r>
          </w:p>
        </w:tc>
      </w:tr>
    </w:tbl>
    <w:p w14:paraId="13002699" w14:textId="77777777" w:rsidR="00B02873" w:rsidRDefault="00B02873" w:rsidP="00FE198A"/>
    <w:p w14:paraId="07D57E32" w14:textId="77777777" w:rsidR="00B02873" w:rsidRDefault="00B02873" w:rsidP="00E53159">
      <w:pPr>
        <w:pStyle w:val="Heading4"/>
      </w:pPr>
      <w:r>
        <w:lastRenderedPageBreak/>
        <w:t>4.2.2 Administered assets and liabilities (continued)</w:t>
      </w:r>
    </w:p>
    <w:tbl>
      <w:tblPr>
        <w:tblStyle w:val="TableGrid"/>
        <w:tblW w:w="9838" w:type="dxa"/>
        <w:tblLayout w:type="fixed"/>
        <w:tblLook w:val="0020" w:firstRow="1" w:lastRow="0" w:firstColumn="0" w:lastColumn="0" w:noHBand="0" w:noVBand="0"/>
      </w:tblPr>
      <w:tblGrid>
        <w:gridCol w:w="2972"/>
        <w:gridCol w:w="1124"/>
        <w:gridCol w:w="1136"/>
        <w:gridCol w:w="950"/>
        <w:gridCol w:w="958"/>
        <w:gridCol w:w="1340"/>
        <w:gridCol w:w="1358"/>
      </w:tblGrid>
      <w:tr w:rsidR="00B02873" w:rsidRPr="004F22CD" w14:paraId="065D08D5" w14:textId="77777777" w:rsidTr="0090660B">
        <w:trPr>
          <w:cnfStyle w:val="100000000000" w:firstRow="1" w:lastRow="0" w:firstColumn="0" w:lastColumn="0" w:oddVBand="0" w:evenVBand="0" w:oddHBand="0" w:evenHBand="0" w:firstRowFirstColumn="0" w:firstRowLastColumn="0" w:lastRowFirstColumn="0" w:lastRowLastColumn="0"/>
          <w:trHeight w:val="60"/>
          <w:tblHeader/>
        </w:trPr>
        <w:tc>
          <w:tcPr>
            <w:tcW w:w="2972" w:type="dxa"/>
          </w:tcPr>
          <w:p w14:paraId="1F11AFEA" w14:textId="77777777" w:rsidR="00B02873" w:rsidRPr="004F22CD" w:rsidRDefault="00B02873" w:rsidP="00E53159">
            <w:pPr>
              <w:pStyle w:val="TableheadingleftFinancialsTables"/>
              <w:rPr>
                <w:sz w:val="18"/>
                <w:szCs w:val="14"/>
              </w:rPr>
            </w:pPr>
          </w:p>
        </w:tc>
        <w:tc>
          <w:tcPr>
            <w:tcW w:w="1124" w:type="dxa"/>
          </w:tcPr>
          <w:p w14:paraId="04965D1B" w14:textId="6D6373A7" w:rsidR="00B02873" w:rsidRPr="004F22CD" w:rsidRDefault="0090660B" w:rsidP="0090660B">
            <w:pPr>
              <w:pStyle w:val="TableheadingleftFinancialsTables"/>
              <w:jc w:val="right"/>
              <w:rPr>
                <w:sz w:val="18"/>
                <w:szCs w:val="14"/>
              </w:rPr>
            </w:pPr>
            <w:r w:rsidRPr="004F22CD">
              <w:rPr>
                <w:sz w:val="18"/>
                <w:szCs w:val="14"/>
              </w:rPr>
              <w:t xml:space="preserve">Solar Homes </w:t>
            </w:r>
            <w:r w:rsidR="00B02873" w:rsidRPr="004F22CD">
              <w:rPr>
                <w:sz w:val="18"/>
                <w:szCs w:val="14"/>
              </w:rPr>
              <w:t>2022</w:t>
            </w:r>
            <w:r w:rsidR="00B02873" w:rsidRPr="004F22CD">
              <w:rPr>
                <w:sz w:val="18"/>
                <w:szCs w:val="14"/>
              </w:rPr>
              <w:br/>
              <w:t>$’000</w:t>
            </w:r>
          </w:p>
        </w:tc>
        <w:tc>
          <w:tcPr>
            <w:tcW w:w="1136" w:type="dxa"/>
          </w:tcPr>
          <w:p w14:paraId="177E9806" w14:textId="022FA31C" w:rsidR="00B02873" w:rsidRPr="004F22CD" w:rsidRDefault="0090660B" w:rsidP="0090660B">
            <w:pPr>
              <w:pStyle w:val="TableheadingleftFinancialsTables"/>
              <w:jc w:val="right"/>
              <w:rPr>
                <w:sz w:val="18"/>
                <w:szCs w:val="14"/>
              </w:rPr>
            </w:pPr>
            <w:r w:rsidRPr="004F22CD">
              <w:rPr>
                <w:sz w:val="18"/>
                <w:szCs w:val="14"/>
              </w:rPr>
              <w:t xml:space="preserve">Solar Homes </w:t>
            </w:r>
            <w:r w:rsidR="00B02873" w:rsidRPr="004F22CD">
              <w:rPr>
                <w:sz w:val="18"/>
                <w:szCs w:val="14"/>
              </w:rPr>
              <w:t>2021</w:t>
            </w:r>
            <w:r w:rsidR="00B02873" w:rsidRPr="004F22CD">
              <w:rPr>
                <w:sz w:val="18"/>
                <w:szCs w:val="14"/>
              </w:rPr>
              <w:br/>
              <w:t>$’000</w:t>
            </w:r>
          </w:p>
        </w:tc>
        <w:tc>
          <w:tcPr>
            <w:tcW w:w="950" w:type="dxa"/>
          </w:tcPr>
          <w:p w14:paraId="6E9ACF08" w14:textId="48D98BDC" w:rsidR="00B02873" w:rsidRPr="004F22CD" w:rsidRDefault="0090660B" w:rsidP="0090660B">
            <w:pPr>
              <w:pStyle w:val="TableheadingleftFinancialsTables"/>
              <w:jc w:val="right"/>
              <w:rPr>
                <w:sz w:val="18"/>
                <w:szCs w:val="14"/>
              </w:rPr>
            </w:pPr>
            <w:r w:rsidRPr="004F22CD">
              <w:rPr>
                <w:sz w:val="18"/>
                <w:szCs w:val="14"/>
              </w:rPr>
              <w:t xml:space="preserve">Parks Victoria </w:t>
            </w:r>
            <w:r w:rsidR="00B02873" w:rsidRPr="004F22CD">
              <w:rPr>
                <w:sz w:val="18"/>
                <w:szCs w:val="14"/>
              </w:rPr>
              <w:t>2022</w:t>
            </w:r>
            <w:r w:rsidR="00B02873" w:rsidRPr="004F22CD">
              <w:rPr>
                <w:sz w:val="18"/>
                <w:szCs w:val="14"/>
              </w:rPr>
              <w:br/>
              <w:t>$’000</w:t>
            </w:r>
          </w:p>
        </w:tc>
        <w:tc>
          <w:tcPr>
            <w:tcW w:w="958" w:type="dxa"/>
          </w:tcPr>
          <w:p w14:paraId="4405503B" w14:textId="4B6A6C36" w:rsidR="00B02873" w:rsidRPr="004F22CD" w:rsidRDefault="0090660B" w:rsidP="0090660B">
            <w:pPr>
              <w:pStyle w:val="TableheadingleftFinancialsTables"/>
              <w:jc w:val="right"/>
              <w:rPr>
                <w:sz w:val="18"/>
                <w:szCs w:val="14"/>
              </w:rPr>
            </w:pPr>
            <w:r w:rsidRPr="004F22CD">
              <w:rPr>
                <w:sz w:val="18"/>
                <w:szCs w:val="14"/>
              </w:rPr>
              <w:t xml:space="preserve">Parks Victoria </w:t>
            </w:r>
            <w:r w:rsidR="00B02873" w:rsidRPr="004F22CD">
              <w:rPr>
                <w:sz w:val="18"/>
                <w:szCs w:val="14"/>
              </w:rPr>
              <w:t>2021</w:t>
            </w:r>
            <w:r w:rsidR="00B02873" w:rsidRPr="004F22CD">
              <w:rPr>
                <w:sz w:val="18"/>
                <w:szCs w:val="14"/>
              </w:rPr>
              <w:br/>
              <w:t>$’000</w:t>
            </w:r>
          </w:p>
        </w:tc>
        <w:tc>
          <w:tcPr>
            <w:tcW w:w="1340" w:type="dxa"/>
          </w:tcPr>
          <w:p w14:paraId="1AE3B7AF" w14:textId="30679BEC" w:rsidR="00B02873" w:rsidRPr="004F22CD" w:rsidRDefault="0090660B" w:rsidP="0090660B">
            <w:pPr>
              <w:pStyle w:val="TableheadingleftFinancialsTables"/>
              <w:jc w:val="right"/>
              <w:rPr>
                <w:sz w:val="18"/>
                <w:szCs w:val="14"/>
              </w:rPr>
            </w:pPr>
            <w:r w:rsidRPr="004F22CD">
              <w:rPr>
                <w:sz w:val="18"/>
                <w:szCs w:val="14"/>
              </w:rPr>
              <w:t xml:space="preserve">Fire and Emergency Management </w:t>
            </w:r>
            <w:r w:rsidR="00B02873" w:rsidRPr="004F22CD">
              <w:rPr>
                <w:sz w:val="18"/>
                <w:szCs w:val="14"/>
              </w:rPr>
              <w:t>2022</w:t>
            </w:r>
            <w:r w:rsidR="00B02873" w:rsidRPr="004F22CD">
              <w:rPr>
                <w:sz w:val="18"/>
                <w:szCs w:val="14"/>
              </w:rPr>
              <w:br/>
              <w:t>$’000</w:t>
            </w:r>
          </w:p>
        </w:tc>
        <w:tc>
          <w:tcPr>
            <w:tcW w:w="1358" w:type="dxa"/>
          </w:tcPr>
          <w:p w14:paraId="2D0A7CA8" w14:textId="7365377F" w:rsidR="00B02873" w:rsidRPr="004F22CD" w:rsidRDefault="0090660B" w:rsidP="0090660B">
            <w:pPr>
              <w:pStyle w:val="TableheadingleftFinancialsTables"/>
              <w:jc w:val="right"/>
              <w:rPr>
                <w:sz w:val="18"/>
                <w:szCs w:val="14"/>
              </w:rPr>
            </w:pPr>
            <w:r w:rsidRPr="004F22CD">
              <w:rPr>
                <w:sz w:val="18"/>
                <w:szCs w:val="14"/>
              </w:rPr>
              <w:t xml:space="preserve">Fire and Emergency Management </w:t>
            </w:r>
            <w:r w:rsidR="00B02873" w:rsidRPr="004F22CD">
              <w:rPr>
                <w:sz w:val="18"/>
                <w:szCs w:val="14"/>
              </w:rPr>
              <w:t>2021</w:t>
            </w:r>
            <w:r w:rsidR="00B02873" w:rsidRPr="004F22CD">
              <w:rPr>
                <w:sz w:val="18"/>
                <w:szCs w:val="14"/>
              </w:rPr>
              <w:br/>
              <w:t>$’000</w:t>
            </w:r>
          </w:p>
        </w:tc>
      </w:tr>
      <w:tr w:rsidR="0090660B" w:rsidRPr="004F22CD" w14:paraId="425C939D" w14:textId="77777777" w:rsidTr="0090660B">
        <w:trPr>
          <w:trHeight w:val="60"/>
        </w:trPr>
        <w:tc>
          <w:tcPr>
            <w:tcW w:w="2972" w:type="dxa"/>
          </w:tcPr>
          <w:p w14:paraId="553EF2C3" w14:textId="77777777" w:rsidR="0090660B" w:rsidRPr="004F22CD" w:rsidRDefault="0090660B" w:rsidP="0090660B">
            <w:pPr>
              <w:pStyle w:val="TablebodyleftFinancialsTables"/>
              <w:rPr>
                <w:b/>
                <w:bCs/>
                <w:sz w:val="18"/>
                <w:szCs w:val="14"/>
              </w:rPr>
            </w:pPr>
            <w:r w:rsidRPr="004F22CD">
              <w:rPr>
                <w:b/>
                <w:bCs/>
                <w:sz w:val="18"/>
                <w:szCs w:val="14"/>
              </w:rPr>
              <w:t>Administered financial assets</w:t>
            </w:r>
          </w:p>
        </w:tc>
        <w:tc>
          <w:tcPr>
            <w:tcW w:w="1124" w:type="dxa"/>
          </w:tcPr>
          <w:p w14:paraId="6AF41601" w14:textId="77777777" w:rsidR="0090660B" w:rsidRPr="004F22CD" w:rsidRDefault="0090660B" w:rsidP="0090660B">
            <w:pPr>
              <w:pStyle w:val="TablebodyleftFinancialsTables"/>
              <w:jc w:val="right"/>
              <w:rPr>
                <w:b/>
                <w:bCs/>
                <w:sz w:val="18"/>
                <w:szCs w:val="14"/>
              </w:rPr>
            </w:pPr>
          </w:p>
        </w:tc>
        <w:tc>
          <w:tcPr>
            <w:tcW w:w="1136" w:type="dxa"/>
          </w:tcPr>
          <w:p w14:paraId="30FD052C" w14:textId="77777777" w:rsidR="0090660B" w:rsidRPr="004F22CD" w:rsidRDefault="0090660B" w:rsidP="0090660B">
            <w:pPr>
              <w:pStyle w:val="TablebodyleftFinancialsTables"/>
              <w:jc w:val="right"/>
              <w:rPr>
                <w:sz w:val="18"/>
                <w:szCs w:val="14"/>
              </w:rPr>
            </w:pPr>
          </w:p>
        </w:tc>
        <w:tc>
          <w:tcPr>
            <w:tcW w:w="950" w:type="dxa"/>
          </w:tcPr>
          <w:p w14:paraId="75BC3688" w14:textId="77777777" w:rsidR="0090660B" w:rsidRPr="004F22CD" w:rsidRDefault="0090660B" w:rsidP="0090660B">
            <w:pPr>
              <w:pStyle w:val="TablebodyleftFinancialsTables"/>
              <w:jc w:val="right"/>
              <w:rPr>
                <w:b/>
                <w:bCs/>
                <w:sz w:val="18"/>
                <w:szCs w:val="14"/>
              </w:rPr>
            </w:pPr>
          </w:p>
        </w:tc>
        <w:tc>
          <w:tcPr>
            <w:tcW w:w="958" w:type="dxa"/>
          </w:tcPr>
          <w:p w14:paraId="5084FF88" w14:textId="77777777" w:rsidR="0090660B" w:rsidRPr="004F22CD" w:rsidRDefault="0090660B" w:rsidP="0090660B">
            <w:pPr>
              <w:pStyle w:val="TablebodyleftFinancialsTables"/>
              <w:jc w:val="right"/>
              <w:rPr>
                <w:sz w:val="18"/>
                <w:szCs w:val="14"/>
              </w:rPr>
            </w:pPr>
          </w:p>
        </w:tc>
        <w:tc>
          <w:tcPr>
            <w:tcW w:w="1340" w:type="dxa"/>
          </w:tcPr>
          <w:p w14:paraId="194BF5A0" w14:textId="77777777" w:rsidR="0090660B" w:rsidRPr="004F22CD" w:rsidRDefault="0090660B" w:rsidP="0090660B">
            <w:pPr>
              <w:pStyle w:val="TablebodyleftFinancialsTables"/>
              <w:jc w:val="right"/>
              <w:rPr>
                <w:b/>
                <w:bCs/>
                <w:sz w:val="18"/>
                <w:szCs w:val="14"/>
              </w:rPr>
            </w:pPr>
          </w:p>
        </w:tc>
        <w:tc>
          <w:tcPr>
            <w:tcW w:w="1358" w:type="dxa"/>
          </w:tcPr>
          <w:p w14:paraId="3A289804" w14:textId="431D4723" w:rsidR="0090660B" w:rsidRPr="004F22CD" w:rsidRDefault="0090660B" w:rsidP="0090660B">
            <w:pPr>
              <w:pStyle w:val="TablebodyleftFinancialsTables"/>
              <w:jc w:val="right"/>
              <w:rPr>
                <w:b/>
                <w:bCs/>
                <w:sz w:val="18"/>
                <w:szCs w:val="14"/>
              </w:rPr>
            </w:pPr>
          </w:p>
        </w:tc>
      </w:tr>
      <w:tr w:rsidR="00B02873" w:rsidRPr="004F22CD" w14:paraId="792ED02D" w14:textId="77777777" w:rsidTr="0090660B">
        <w:trPr>
          <w:trHeight w:val="60"/>
        </w:trPr>
        <w:tc>
          <w:tcPr>
            <w:tcW w:w="2972" w:type="dxa"/>
          </w:tcPr>
          <w:p w14:paraId="7497D6C8" w14:textId="77777777" w:rsidR="00B02873" w:rsidRPr="004F22CD" w:rsidRDefault="00B02873" w:rsidP="0090660B">
            <w:pPr>
              <w:pStyle w:val="TablebodyleftFinancialsTables"/>
              <w:rPr>
                <w:sz w:val="18"/>
                <w:szCs w:val="14"/>
              </w:rPr>
            </w:pPr>
            <w:r w:rsidRPr="004F22CD">
              <w:rPr>
                <w:sz w:val="18"/>
                <w:szCs w:val="14"/>
              </w:rPr>
              <w:t>Cash</w:t>
            </w:r>
          </w:p>
        </w:tc>
        <w:tc>
          <w:tcPr>
            <w:tcW w:w="1124" w:type="dxa"/>
          </w:tcPr>
          <w:p w14:paraId="0017B451" w14:textId="77777777" w:rsidR="00B02873" w:rsidRPr="004F22CD" w:rsidRDefault="00B02873" w:rsidP="0090660B">
            <w:pPr>
              <w:pStyle w:val="TablebodyleftFinancialsTables"/>
              <w:jc w:val="right"/>
              <w:rPr>
                <w:b/>
                <w:bCs/>
                <w:sz w:val="18"/>
                <w:szCs w:val="14"/>
              </w:rPr>
            </w:pPr>
            <w:r w:rsidRPr="004F22CD">
              <w:rPr>
                <w:b/>
                <w:bCs/>
                <w:sz w:val="18"/>
                <w:szCs w:val="14"/>
              </w:rPr>
              <w:t>72</w:t>
            </w:r>
          </w:p>
        </w:tc>
        <w:tc>
          <w:tcPr>
            <w:tcW w:w="1136" w:type="dxa"/>
          </w:tcPr>
          <w:p w14:paraId="286D2C11" w14:textId="77777777" w:rsidR="00B02873" w:rsidRPr="004F22CD" w:rsidRDefault="00B02873" w:rsidP="0090660B">
            <w:pPr>
              <w:pStyle w:val="TablebodyleftFinancialsTables"/>
              <w:jc w:val="right"/>
              <w:rPr>
                <w:sz w:val="18"/>
                <w:szCs w:val="14"/>
              </w:rPr>
            </w:pPr>
            <w:r w:rsidRPr="004F22CD">
              <w:rPr>
                <w:sz w:val="18"/>
                <w:szCs w:val="14"/>
              </w:rPr>
              <w:t>136</w:t>
            </w:r>
          </w:p>
        </w:tc>
        <w:tc>
          <w:tcPr>
            <w:tcW w:w="950" w:type="dxa"/>
          </w:tcPr>
          <w:p w14:paraId="7F405B32" w14:textId="77777777" w:rsidR="00B02873" w:rsidRPr="004F22CD" w:rsidRDefault="00B02873" w:rsidP="0090660B">
            <w:pPr>
              <w:pStyle w:val="TablebodyleftFinancialsTables"/>
              <w:jc w:val="right"/>
              <w:rPr>
                <w:b/>
                <w:bCs/>
                <w:sz w:val="18"/>
                <w:szCs w:val="14"/>
              </w:rPr>
            </w:pPr>
            <w:r w:rsidRPr="004F22CD">
              <w:rPr>
                <w:b/>
                <w:bCs/>
                <w:sz w:val="18"/>
                <w:szCs w:val="14"/>
              </w:rPr>
              <w:t>36</w:t>
            </w:r>
          </w:p>
        </w:tc>
        <w:tc>
          <w:tcPr>
            <w:tcW w:w="958" w:type="dxa"/>
          </w:tcPr>
          <w:p w14:paraId="62F77E87" w14:textId="77777777" w:rsidR="00B02873" w:rsidRPr="004F22CD" w:rsidRDefault="00B02873" w:rsidP="0090660B">
            <w:pPr>
              <w:pStyle w:val="TablebodyleftFinancialsTables"/>
              <w:jc w:val="right"/>
              <w:rPr>
                <w:sz w:val="18"/>
                <w:szCs w:val="14"/>
              </w:rPr>
            </w:pPr>
            <w:r w:rsidRPr="004F22CD">
              <w:rPr>
                <w:sz w:val="18"/>
                <w:szCs w:val="14"/>
              </w:rPr>
              <w:t>41</w:t>
            </w:r>
          </w:p>
        </w:tc>
        <w:tc>
          <w:tcPr>
            <w:tcW w:w="1340" w:type="dxa"/>
          </w:tcPr>
          <w:p w14:paraId="4BBDFA80" w14:textId="77777777" w:rsidR="00B02873" w:rsidRPr="004F22CD" w:rsidRDefault="00B02873" w:rsidP="0090660B">
            <w:pPr>
              <w:pStyle w:val="TablebodyleftFinancialsTables"/>
              <w:jc w:val="right"/>
              <w:rPr>
                <w:b/>
                <w:bCs/>
                <w:sz w:val="18"/>
                <w:szCs w:val="14"/>
              </w:rPr>
            </w:pPr>
            <w:r w:rsidRPr="004F22CD">
              <w:rPr>
                <w:b/>
                <w:bCs/>
                <w:sz w:val="18"/>
                <w:szCs w:val="14"/>
              </w:rPr>
              <w:t>144</w:t>
            </w:r>
          </w:p>
        </w:tc>
        <w:tc>
          <w:tcPr>
            <w:tcW w:w="1358" w:type="dxa"/>
          </w:tcPr>
          <w:p w14:paraId="523FEB32" w14:textId="77777777" w:rsidR="00B02873" w:rsidRPr="004F22CD" w:rsidRDefault="00B02873" w:rsidP="0090660B">
            <w:pPr>
              <w:pStyle w:val="TablebodyleftFinancialsTables"/>
              <w:jc w:val="right"/>
              <w:rPr>
                <w:sz w:val="18"/>
                <w:szCs w:val="14"/>
              </w:rPr>
            </w:pPr>
            <w:r w:rsidRPr="004F22CD">
              <w:rPr>
                <w:sz w:val="18"/>
                <w:szCs w:val="14"/>
              </w:rPr>
              <w:t>245</w:t>
            </w:r>
          </w:p>
        </w:tc>
      </w:tr>
      <w:tr w:rsidR="00B02873" w:rsidRPr="004F22CD" w14:paraId="3D44D095" w14:textId="77777777" w:rsidTr="0090660B">
        <w:trPr>
          <w:trHeight w:val="60"/>
        </w:trPr>
        <w:tc>
          <w:tcPr>
            <w:tcW w:w="2972" w:type="dxa"/>
          </w:tcPr>
          <w:p w14:paraId="13F54796" w14:textId="77777777" w:rsidR="00B02873" w:rsidRPr="004F22CD" w:rsidRDefault="00B02873" w:rsidP="0090660B">
            <w:pPr>
              <w:pStyle w:val="TablebodyleftFinancialsTables"/>
              <w:rPr>
                <w:sz w:val="18"/>
                <w:szCs w:val="14"/>
              </w:rPr>
            </w:pPr>
            <w:r w:rsidRPr="004F22CD">
              <w:rPr>
                <w:sz w:val="18"/>
                <w:szCs w:val="14"/>
              </w:rPr>
              <w:t>Receivables</w:t>
            </w:r>
          </w:p>
        </w:tc>
        <w:tc>
          <w:tcPr>
            <w:tcW w:w="1124" w:type="dxa"/>
          </w:tcPr>
          <w:p w14:paraId="43C7F512" w14:textId="77777777" w:rsidR="00B02873" w:rsidRPr="004F22CD" w:rsidRDefault="00B02873" w:rsidP="0090660B">
            <w:pPr>
              <w:pStyle w:val="TablebodyleftFinancialsTables"/>
              <w:jc w:val="right"/>
              <w:rPr>
                <w:b/>
                <w:bCs/>
                <w:sz w:val="18"/>
                <w:szCs w:val="14"/>
              </w:rPr>
            </w:pPr>
            <w:r w:rsidRPr="004F22CD">
              <w:rPr>
                <w:b/>
                <w:bCs/>
                <w:sz w:val="18"/>
                <w:szCs w:val="14"/>
              </w:rPr>
              <w:t>9,900</w:t>
            </w:r>
          </w:p>
        </w:tc>
        <w:tc>
          <w:tcPr>
            <w:tcW w:w="1136" w:type="dxa"/>
          </w:tcPr>
          <w:p w14:paraId="69119A7D" w14:textId="77777777" w:rsidR="00B02873" w:rsidRPr="004F22CD" w:rsidRDefault="00B02873" w:rsidP="0090660B">
            <w:pPr>
              <w:pStyle w:val="TablebodyleftFinancialsTables"/>
              <w:jc w:val="right"/>
              <w:rPr>
                <w:sz w:val="18"/>
                <w:szCs w:val="14"/>
              </w:rPr>
            </w:pPr>
            <w:r w:rsidRPr="004F22CD">
              <w:rPr>
                <w:sz w:val="18"/>
                <w:szCs w:val="14"/>
              </w:rPr>
              <w:t>4,681</w:t>
            </w:r>
          </w:p>
        </w:tc>
        <w:tc>
          <w:tcPr>
            <w:tcW w:w="950" w:type="dxa"/>
          </w:tcPr>
          <w:p w14:paraId="63609D47" w14:textId="77777777" w:rsidR="00B02873" w:rsidRPr="004F22CD" w:rsidRDefault="00B02873" w:rsidP="0090660B">
            <w:pPr>
              <w:pStyle w:val="TablebodyleftFinancialsTables"/>
              <w:jc w:val="right"/>
              <w:rPr>
                <w:b/>
                <w:bCs/>
                <w:sz w:val="18"/>
                <w:szCs w:val="14"/>
              </w:rPr>
            </w:pPr>
            <w:r w:rsidRPr="004F22CD">
              <w:rPr>
                <w:b/>
                <w:bCs/>
                <w:sz w:val="18"/>
                <w:szCs w:val="14"/>
              </w:rPr>
              <w:t>4,950</w:t>
            </w:r>
          </w:p>
        </w:tc>
        <w:tc>
          <w:tcPr>
            <w:tcW w:w="958" w:type="dxa"/>
          </w:tcPr>
          <w:p w14:paraId="0C7E8DE7" w14:textId="77777777" w:rsidR="00B02873" w:rsidRPr="004F22CD" w:rsidRDefault="00B02873" w:rsidP="0090660B">
            <w:pPr>
              <w:pStyle w:val="TablebodyleftFinancialsTables"/>
              <w:jc w:val="right"/>
              <w:rPr>
                <w:sz w:val="18"/>
                <w:szCs w:val="14"/>
              </w:rPr>
            </w:pPr>
            <w:r w:rsidRPr="004F22CD">
              <w:rPr>
                <w:sz w:val="18"/>
                <w:szCs w:val="14"/>
              </w:rPr>
              <w:t>1,404</w:t>
            </w:r>
          </w:p>
        </w:tc>
        <w:tc>
          <w:tcPr>
            <w:tcW w:w="1340" w:type="dxa"/>
          </w:tcPr>
          <w:p w14:paraId="6E1699FA" w14:textId="77777777" w:rsidR="00B02873" w:rsidRPr="004F22CD" w:rsidRDefault="00B02873" w:rsidP="0090660B">
            <w:pPr>
              <w:pStyle w:val="TablebodyleftFinancialsTables"/>
              <w:jc w:val="right"/>
              <w:rPr>
                <w:b/>
                <w:bCs/>
                <w:sz w:val="18"/>
                <w:szCs w:val="14"/>
              </w:rPr>
            </w:pPr>
            <w:r w:rsidRPr="004F22CD">
              <w:rPr>
                <w:b/>
                <w:bCs/>
                <w:sz w:val="18"/>
                <w:szCs w:val="14"/>
              </w:rPr>
              <w:t>19,801</w:t>
            </w:r>
          </w:p>
        </w:tc>
        <w:tc>
          <w:tcPr>
            <w:tcW w:w="1358" w:type="dxa"/>
          </w:tcPr>
          <w:p w14:paraId="741DFB76" w14:textId="77777777" w:rsidR="00B02873" w:rsidRPr="004F22CD" w:rsidRDefault="00B02873" w:rsidP="0090660B">
            <w:pPr>
              <w:pStyle w:val="TablebodyleftFinancialsTables"/>
              <w:jc w:val="right"/>
              <w:rPr>
                <w:sz w:val="18"/>
                <w:szCs w:val="14"/>
              </w:rPr>
            </w:pPr>
            <w:r w:rsidRPr="004F22CD">
              <w:rPr>
                <w:sz w:val="18"/>
                <w:szCs w:val="14"/>
              </w:rPr>
              <w:t>8,426</w:t>
            </w:r>
          </w:p>
        </w:tc>
      </w:tr>
      <w:tr w:rsidR="00B02873" w:rsidRPr="004F22CD" w14:paraId="1DB9B710" w14:textId="77777777" w:rsidTr="0090660B">
        <w:trPr>
          <w:trHeight w:val="60"/>
        </w:trPr>
        <w:tc>
          <w:tcPr>
            <w:tcW w:w="2972" w:type="dxa"/>
          </w:tcPr>
          <w:p w14:paraId="1402C191" w14:textId="77777777" w:rsidR="00B02873" w:rsidRPr="004F22CD" w:rsidRDefault="00B02873" w:rsidP="0090660B">
            <w:pPr>
              <w:pStyle w:val="TablebodyleftFinancialsTables"/>
              <w:rPr>
                <w:sz w:val="18"/>
                <w:szCs w:val="14"/>
              </w:rPr>
            </w:pPr>
            <w:r w:rsidRPr="004F22CD">
              <w:rPr>
                <w:sz w:val="18"/>
                <w:szCs w:val="14"/>
              </w:rPr>
              <w:t>Contractual receivable from Melbourne Water Corporation (Note 4.2.5)</w:t>
            </w:r>
          </w:p>
        </w:tc>
        <w:tc>
          <w:tcPr>
            <w:tcW w:w="1124" w:type="dxa"/>
          </w:tcPr>
          <w:p w14:paraId="48C89E8F" w14:textId="77777777" w:rsidR="00B02873" w:rsidRPr="004F22CD" w:rsidRDefault="00B02873" w:rsidP="0090660B">
            <w:pPr>
              <w:pStyle w:val="TablebodyleftFinancialsTables"/>
              <w:jc w:val="right"/>
              <w:rPr>
                <w:b/>
                <w:bCs/>
                <w:sz w:val="18"/>
                <w:szCs w:val="14"/>
              </w:rPr>
            </w:pPr>
            <w:r w:rsidRPr="004F22CD">
              <w:rPr>
                <w:b/>
                <w:bCs/>
                <w:sz w:val="18"/>
                <w:szCs w:val="14"/>
              </w:rPr>
              <w:t>–</w:t>
            </w:r>
          </w:p>
        </w:tc>
        <w:tc>
          <w:tcPr>
            <w:tcW w:w="1136" w:type="dxa"/>
          </w:tcPr>
          <w:p w14:paraId="5377A758" w14:textId="77777777" w:rsidR="00B02873" w:rsidRPr="004F22CD" w:rsidRDefault="00B02873" w:rsidP="0090660B">
            <w:pPr>
              <w:pStyle w:val="TablebodyleftFinancialsTables"/>
              <w:jc w:val="right"/>
              <w:rPr>
                <w:sz w:val="18"/>
                <w:szCs w:val="14"/>
              </w:rPr>
            </w:pPr>
            <w:r w:rsidRPr="004F22CD">
              <w:rPr>
                <w:sz w:val="18"/>
                <w:szCs w:val="14"/>
              </w:rPr>
              <w:t>–</w:t>
            </w:r>
          </w:p>
        </w:tc>
        <w:tc>
          <w:tcPr>
            <w:tcW w:w="950" w:type="dxa"/>
          </w:tcPr>
          <w:p w14:paraId="305BBB2E" w14:textId="77777777" w:rsidR="00B02873" w:rsidRPr="004F22CD" w:rsidRDefault="00B02873" w:rsidP="0090660B">
            <w:pPr>
              <w:pStyle w:val="TablebodyleftFinancialsTables"/>
              <w:jc w:val="right"/>
              <w:rPr>
                <w:b/>
                <w:bCs/>
                <w:sz w:val="18"/>
                <w:szCs w:val="14"/>
              </w:rPr>
            </w:pPr>
            <w:r w:rsidRPr="004F22CD">
              <w:rPr>
                <w:b/>
                <w:bCs/>
                <w:sz w:val="18"/>
                <w:szCs w:val="14"/>
              </w:rPr>
              <w:t>–</w:t>
            </w:r>
          </w:p>
        </w:tc>
        <w:tc>
          <w:tcPr>
            <w:tcW w:w="958" w:type="dxa"/>
          </w:tcPr>
          <w:p w14:paraId="4A288FE1" w14:textId="77777777" w:rsidR="00B02873" w:rsidRPr="004F22CD" w:rsidRDefault="00B02873" w:rsidP="0090660B">
            <w:pPr>
              <w:pStyle w:val="TablebodyleftFinancialsTables"/>
              <w:jc w:val="right"/>
              <w:rPr>
                <w:sz w:val="18"/>
                <w:szCs w:val="14"/>
              </w:rPr>
            </w:pPr>
            <w:r w:rsidRPr="004F22CD">
              <w:rPr>
                <w:sz w:val="18"/>
                <w:szCs w:val="14"/>
              </w:rPr>
              <w:t>–</w:t>
            </w:r>
          </w:p>
        </w:tc>
        <w:tc>
          <w:tcPr>
            <w:tcW w:w="1340" w:type="dxa"/>
          </w:tcPr>
          <w:p w14:paraId="11247F1C" w14:textId="77777777" w:rsidR="00B02873" w:rsidRPr="004F22CD" w:rsidRDefault="00B02873" w:rsidP="0090660B">
            <w:pPr>
              <w:pStyle w:val="TablebodyleftFinancialsTables"/>
              <w:jc w:val="right"/>
              <w:rPr>
                <w:b/>
                <w:bCs/>
                <w:sz w:val="18"/>
                <w:szCs w:val="14"/>
              </w:rPr>
            </w:pPr>
            <w:r w:rsidRPr="004F22CD">
              <w:rPr>
                <w:b/>
                <w:bCs/>
                <w:sz w:val="18"/>
                <w:szCs w:val="14"/>
              </w:rPr>
              <w:t>–</w:t>
            </w:r>
          </w:p>
        </w:tc>
        <w:tc>
          <w:tcPr>
            <w:tcW w:w="1358" w:type="dxa"/>
          </w:tcPr>
          <w:p w14:paraId="402D1CE1" w14:textId="77777777" w:rsidR="00B02873" w:rsidRPr="004F22CD" w:rsidRDefault="00B02873" w:rsidP="0090660B">
            <w:pPr>
              <w:pStyle w:val="TablebodyleftFinancialsTables"/>
              <w:jc w:val="right"/>
              <w:rPr>
                <w:sz w:val="18"/>
                <w:szCs w:val="14"/>
              </w:rPr>
            </w:pPr>
            <w:r w:rsidRPr="004F22CD">
              <w:rPr>
                <w:sz w:val="18"/>
                <w:szCs w:val="14"/>
              </w:rPr>
              <w:t>–</w:t>
            </w:r>
          </w:p>
        </w:tc>
      </w:tr>
      <w:tr w:rsidR="00B02873" w:rsidRPr="004F22CD" w14:paraId="757E4BE7" w14:textId="77777777" w:rsidTr="0090660B">
        <w:trPr>
          <w:trHeight w:val="60"/>
        </w:trPr>
        <w:tc>
          <w:tcPr>
            <w:tcW w:w="2972" w:type="dxa"/>
          </w:tcPr>
          <w:p w14:paraId="78B093B0" w14:textId="77777777" w:rsidR="00B02873" w:rsidRPr="004F22CD" w:rsidRDefault="00B02873" w:rsidP="0090660B">
            <w:pPr>
              <w:pStyle w:val="TablebodyleftFinancialsTables"/>
              <w:rPr>
                <w:b/>
                <w:bCs/>
                <w:sz w:val="18"/>
                <w:szCs w:val="14"/>
              </w:rPr>
            </w:pPr>
            <w:r w:rsidRPr="004F22CD">
              <w:rPr>
                <w:b/>
                <w:bCs/>
                <w:sz w:val="18"/>
                <w:szCs w:val="14"/>
              </w:rPr>
              <w:t>Total administered financial assets</w:t>
            </w:r>
          </w:p>
        </w:tc>
        <w:tc>
          <w:tcPr>
            <w:tcW w:w="1124" w:type="dxa"/>
          </w:tcPr>
          <w:p w14:paraId="291EAD97" w14:textId="77777777" w:rsidR="00B02873" w:rsidRPr="004F22CD" w:rsidRDefault="00B02873" w:rsidP="0090660B">
            <w:pPr>
              <w:pStyle w:val="TablebodyleftFinancialsTables"/>
              <w:jc w:val="right"/>
              <w:rPr>
                <w:b/>
                <w:bCs/>
                <w:sz w:val="18"/>
                <w:szCs w:val="14"/>
              </w:rPr>
            </w:pPr>
            <w:r w:rsidRPr="004F22CD">
              <w:rPr>
                <w:b/>
                <w:bCs/>
                <w:sz w:val="18"/>
                <w:szCs w:val="14"/>
              </w:rPr>
              <w:t>9,972</w:t>
            </w:r>
          </w:p>
        </w:tc>
        <w:tc>
          <w:tcPr>
            <w:tcW w:w="1136" w:type="dxa"/>
          </w:tcPr>
          <w:p w14:paraId="18F64E01" w14:textId="77777777" w:rsidR="00B02873" w:rsidRPr="004F22CD" w:rsidRDefault="00B02873" w:rsidP="0090660B">
            <w:pPr>
              <w:pStyle w:val="TablebodyleftFinancialsTables"/>
              <w:jc w:val="right"/>
              <w:rPr>
                <w:sz w:val="18"/>
                <w:szCs w:val="14"/>
              </w:rPr>
            </w:pPr>
            <w:r w:rsidRPr="004F22CD">
              <w:rPr>
                <w:sz w:val="18"/>
                <w:szCs w:val="14"/>
              </w:rPr>
              <w:t>4,817</w:t>
            </w:r>
          </w:p>
        </w:tc>
        <w:tc>
          <w:tcPr>
            <w:tcW w:w="950" w:type="dxa"/>
          </w:tcPr>
          <w:p w14:paraId="3C1B2F2A" w14:textId="77777777" w:rsidR="00B02873" w:rsidRPr="004F22CD" w:rsidRDefault="00B02873" w:rsidP="0090660B">
            <w:pPr>
              <w:pStyle w:val="TablebodyleftFinancialsTables"/>
              <w:jc w:val="right"/>
              <w:rPr>
                <w:b/>
                <w:bCs/>
                <w:sz w:val="18"/>
                <w:szCs w:val="14"/>
              </w:rPr>
            </w:pPr>
            <w:r w:rsidRPr="004F22CD">
              <w:rPr>
                <w:b/>
                <w:bCs/>
                <w:sz w:val="18"/>
                <w:szCs w:val="14"/>
              </w:rPr>
              <w:t>4,986</w:t>
            </w:r>
          </w:p>
        </w:tc>
        <w:tc>
          <w:tcPr>
            <w:tcW w:w="958" w:type="dxa"/>
          </w:tcPr>
          <w:p w14:paraId="79ED3DF0" w14:textId="77777777" w:rsidR="00B02873" w:rsidRPr="004F22CD" w:rsidRDefault="00B02873" w:rsidP="0090660B">
            <w:pPr>
              <w:pStyle w:val="TablebodyleftFinancialsTables"/>
              <w:jc w:val="right"/>
              <w:rPr>
                <w:sz w:val="18"/>
                <w:szCs w:val="14"/>
              </w:rPr>
            </w:pPr>
            <w:r w:rsidRPr="004F22CD">
              <w:rPr>
                <w:sz w:val="18"/>
                <w:szCs w:val="14"/>
              </w:rPr>
              <w:t>1,445</w:t>
            </w:r>
          </w:p>
        </w:tc>
        <w:tc>
          <w:tcPr>
            <w:tcW w:w="1340" w:type="dxa"/>
          </w:tcPr>
          <w:p w14:paraId="1D6E1EAB" w14:textId="77777777" w:rsidR="00B02873" w:rsidRPr="004F22CD" w:rsidRDefault="00B02873" w:rsidP="0090660B">
            <w:pPr>
              <w:pStyle w:val="TablebodyleftFinancialsTables"/>
              <w:jc w:val="right"/>
              <w:rPr>
                <w:b/>
                <w:bCs/>
                <w:sz w:val="18"/>
                <w:szCs w:val="14"/>
              </w:rPr>
            </w:pPr>
            <w:r w:rsidRPr="004F22CD">
              <w:rPr>
                <w:b/>
                <w:bCs/>
                <w:sz w:val="18"/>
                <w:szCs w:val="14"/>
              </w:rPr>
              <w:t>19,945</w:t>
            </w:r>
          </w:p>
        </w:tc>
        <w:tc>
          <w:tcPr>
            <w:tcW w:w="1358" w:type="dxa"/>
          </w:tcPr>
          <w:p w14:paraId="249B50FA" w14:textId="77777777" w:rsidR="00B02873" w:rsidRPr="004F22CD" w:rsidRDefault="00B02873" w:rsidP="0090660B">
            <w:pPr>
              <w:pStyle w:val="TablebodyleftFinancialsTables"/>
              <w:jc w:val="right"/>
              <w:rPr>
                <w:sz w:val="18"/>
                <w:szCs w:val="14"/>
              </w:rPr>
            </w:pPr>
            <w:r w:rsidRPr="004F22CD">
              <w:rPr>
                <w:sz w:val="18"/>
                <w:szCs w:val="14"/>
              </w:rPr>
              <w:t>8,671</w:t>
            </w:r>
          </w:p>
        </w:tc>
      </w:tr>
      <w:tr w:rsidR="00B02873" w:rsidRPr="004F22CD" w14:paraId="246540DE" w14:textId="77777777" w:rsidTr="0090660B">
        <w:trPr>
          <w:trHeight w:val="60"/>
        </w:trPr>
        <w:tc>
          <w:tcPr>
            <w:tcW w:w="2972" w:type="dxa"/>
          </w:tcPr>
          <w:p w14:paraId="0932C8E5" w14:textId="77777777" w:rsidR="00B02873" w:rsidRPr="004F22CD" w:rsidRDefault="00B02873" w:rsidP="0090660B">
            <w:pPr>
              <w:pStyle w:val="TablebodyleftFinancialsTables"/>
              <w:rPr>
                <w:b/>
                <w:bCs/>
                <w:sz w:val="18"/>
                <w:szCs w:val="14"/>
              </w:rPr>
            </w:pPr>
            <w:r w:rsidRPr="004F22CD">
              <w:rPr>
                <w:b/>
                <w:bCs/>
                <w:sz w:val="18"/>
                <w:szCs w:val="14"/>
              </w:rPr>
              <w:t>Administered non-financial assets</w:t>
            </w:r>
          </w:p>
        </w:tc>
        <w:tc>
          <w:tcPr>
            <w:tcW w:w="1124" w:type="dxa"/>
          </w:tcPr>
          <w:p w14:paraId="7C51A2EC" w14:textId="77777777" w:rsidR="00B02873" w:rsidRPr="004F22CD" w:rsidRDefault="00B02873" w:rsidP="0090660B">
            <w:pPr>
              <w:pStyle w:val="TablebodyleftFinancialsTables"/>
              <w:jc w:val="right"/>
              <w:rPr>
                <w:rFonts w:ascii="VIC Bold Italic" w:hAnsi="VIC Bold Italic" w:cs="Times New Roman"/>
                <w:b/>
                <w:bCs/>
                <w:sz w:val="18"/>
                <w:szCs w:val="14"/>
              </w:rPr>
            </w:pPr>
          </w:p>
        </w:tc>
        <w:tc>
          <w:tcPr>
            <w:tcW w:w="1136" w:type="dxa"/>
          </w:tcPr>
          <w:p w14:paraId="62E43E9A" w14:textId="77777777" w:rsidR="00B02873" w:rsidRPr="004F22CD" w:rsidRDefault="00B02873" w:rsidP="0090660B">
            <w:pPr>
              <w:pStyle w:val="TablebodyleftFinancialsTables"/>
              <w:jc w:val="right"/>
              <w:rPr>
                <w:rFonts w:ascii="VIC Bold Italic" w:hAnsi="VIC Bold Italic" w:cs="Times New Roman"/>
                <w:sz w:val="18"/>
                <w:szCs w:val="14"/>
              </w:rPr>
            </w:pPr>
          </w:p>
        </w:tc>
        <w:tc>
          <w:tcPr>
            <w:tcW w:w="950" w:type="dxa"/>
          </w:tcPr>
          <w:p w14:paraId="69429859" w14:textId="77777777" w:rsidR="00B02873" w:rsidRPr="004F22CD" w:rsidRDefault="00B02873" w:rsidP="0090660B">
            <w:pPr>
              <w:pStyle w:val="TablebodyleftFinancialsTables"/>
              <w:jc w:val="right"/>
              <w:rPr>
                <w:rFonts w:ascii="VIC Bold Italic" w:hAnsi="VIC Bold Italic" w:cs="Times New Roman"/>
                <w:b/>
                <w:bCs/>
                <w:sz w:val="18"/>
                <w:szCs w:val="14"/>
              </w:rPr>
            </w:pPr>
          </w:p>
        </w:tc>
        <w:tc>
          <w:tcPr>
            <w:tcW w:w="958" w:type="dxa"/>
          </w:tcPr>
          <w:p w14:paraId="3ADB7895" w14:textId="77777777" w:rsidR="00B02873" w:rsidRPr="004F22CD" w:rsidRDefault="00B02873" w:rsidP="0090660B">
            <w:pPr>
              <w:pStyle w:val="TablebodyleftFinancialsTables"/>
              <w:jc w:val="right"/>
              <w:rPr>
                <w:rFonts w:ascii="VIC Bold Italic" w:hAnsi="VIC Bold Italic" w:cs="Times New Roman"/>
                <w:sz w:val="18"/>
                <w:szCs w:val="14"/>
              </w:rPr>
            </w:pPr>
          </w:p>
        </w:tc>
        <w:tc>
          <w:tcPr>
            <w:tcW w:w="1340" w:type="dxa"/>
          </w:tcPr>
          <w:p w14:paraId="10ADB556" w14:textId="77777777" w:rsidR="00B02873" w:rsidRPr="004F22CD" w:rsidRDefault="00B02873" w:rsidP="0090660B">
            <w:pPr>
              <w:pStyle w:val="TablebodyleftFinancialsTables"/>
              <w:jc w:val="right"/>
              <w:rPr>
                <w:rFonts w:ascii="VIC Bold Italic" w:hAnsi="VIC Bold Italic" w:cs="Times New Roman"/>
                <w:b/>
                <w:bCs/>
                <w:sz w:val="18"/>
                <w:szCs w:val="14"/>
              </w:rPr>
            </w:pPr>
          </w:p>
        </w:tc>
        <w:tc>
          <w:tcPr>
            <w:tcW w:w="1358" w:type="dxa"/>
          </w:tcPr>
          <w:p w14:paraId="73126979" w14:textId="77777777" w:rsidR="00B02873" w:rsidRPr="004F22CD" w:rsidRDefault="00B02873" w:rsidP="0090660B">
            <w:pPr>
              <w:pStyle w:val="TablebodyleftFinancialsTables"/>
              <w:jc w:val="right"/>
              <w:rPr>
                <w:rFonts w:ascii="VIC Bold Italic" w:hAnsi="VIC Bold Italic" w:cs="Times New Roman"/>
                <w:sz w:val="18"/>
                <w:szCs w:val="14"/>
              </w:rPr>
            </w:pPr>
          </w:p>
        </w:tc>
      </w:tr>
      <w:tr w:rsidR="00B02873" w:rsidRPr="004F22CD" w14:paraId="46A222DB" w14:textId="77777777" w:rsidTr="0090660B">
        <w:trPr>
          <w:trHeight w:val="60"/>
        </w:trPr>
        <w:tc>
          <w:tcPr>
            <w:tcW w:w="2972" w:type="dxa"/>
          </w:tcPr>
          <w:p w14:paraId="5B764C81" w14:textId="77777777" w:rsidR="00B02873" w:rsidRPr="004F22CD" w:rsidRDefault="00B02873" w:rsidP="0090660B">
            <w:pPr>
              <w:pStyle w:val="TablebodyleftFinancialsTables"/>
              <w:rPr>
                <w:sz w:val="18"/>
                <w:szCs w:val="14"/>
              </w:rPr>
            </w:pPr>
            <w:r w:rsidRPr="004F22CD">
              <w:rPr>
                <w:sz w:val="18"/>
                <w:szCs w:val="14"/>
              </w:rPr>
              <w:t>Share of jointly controlled assets (Note 4.2.3)</w:t>
            </w:r>
          </w:p>
        </w:tc>
        <w:tc>
          <w:tcPr>
            <w:tcW w:w="1124" w:type="dxa"/>
          </w:tcPr>
          <w:p w14:paraId="6461D21E" w14:textId="77777777" w:rsidR="00B02873" w:rsidRPr="004F22CD" w:rsidRDefault="00B02873" w:rsidP="0090660B">
            <w:pPr>
              <w:pStyle w:val="TablebodyleftFinancialsTables"/>
              <w:jc w:val="right"/>
              <w:rPr>
                <w:b/>
                <w:bCs/>
                <w:sz w:val="18"/>
                <w:szCs w:val="14"/>
              </w:rPr>
            </w:pPr>
            <w:r w:rsidRPr="004F22CD">
              <w:rPr>
                <w:b/>
                <w:bCs/>
                <w:sz w:val="18"/>
                <w:szCs w:val="14"/>
              </w:rPr>
              <w:t>–</w:t>
            </w:r>
          </w:p>
        </w:tc>
        <w:tc>
          <w:tcPr>
            <w:tcW w:w="1136" w:type="dxa"/>
          </w:tcPr>
          <w:p w14:paraId="17C6C043" w14:textId="77777777" w:rsidR="00B02873" w:rsidRPr="004F22CD" w:rsidRDefault="00B02873" w:rsidP="0090660B">
            <w:pPr>
              <w:pStyle w:val="TablebodyleftFinancialsTables"/>
              <w:jc w:val="right"/>
              <w:rPr>
                <w:sz w:val="18"/>
                <w:szCs w:val="14"/>
              </w:rPr>
            </w:pPr>
            <w:r w:rsidRPr="004F22CD">
              <w:rPr>
                <w:sz w:val="18"/>
                <w:szCs w:val="14"/>
              </w:rPr>
              <w:t>–</w:t>
            </w:r>
          </w:p>
        </w:tc>
        <w:tc>
          <w:tcPr>
            <w:tcW w:w="950" w:type="dxa"/>
          </w:tcPr>
          <w:p w14:paraId="3ECA8B61" w14:textId="77777777" w:rsidR="00B02873" w:rsidRPr="004F22CD" w:rsidRDefault="00B02873" w:rsidP="0090660B">
            <w:pPr>
              <w:pStyle w:val="TablebodyleftFinancialsTables"/>
              <w:jc w:val="right"/>
              <w:rPr>
                <w:b/>
                <w:bCs/>
                <w:sz w:val="18"/>
                <w:szCs w:val="14"/>
              </w:rPr>
            </w:pPr>
            <w:r w:rsidRPr="004F22CD">
              <w:rPr>
                <w:b/>
                <w:bCs/>
                <w:sz w:val="18"/>
                <w:szCs w:val="14"/>
              </w:rPr>
              <w:t>–</w:t>
            </w:r>
          </w:p>
        </w:tc>
        <w:tc>
          <w:tcPr>
            <w:tcW w:w="958" w:type="dxa"/>
          </w:tcPr>
          <w:p w14:paraId="7B51D530" w14:textId="77777777" w:rsidR="00B02873" w:rsidRPr="004F22CD" w:rsidRDefault="00B02873" w:rsidP="0090660B">
            <w:pPr>
              <w:pStyle w:val="TablebodyleftFinancialsTables"/>
              <w:jc w:val="right"/>
              <w:rPr>
                <w:sz w:val="18"/>
                <w:szCs w:val="14"/>
              </w:rPr>
            </w:pPr>
            <w:r w:rsidRPr="004F22CD">
              <w:rPr>
                <w:sz w:val="18"/>
                <w:szCs w:val="14"/>
              </w:rPr>
              <w:t>–</w:t>
            </w:r>
          </w:p>
        </w:tc>
        <w:tc>
          <w:tcPr>
            <w:tcW w:w="1340" w:type="dxa"/>
          </w:tcPr>
          <w:p w14:paraId="0D6C812F" w14:textId="77777777" w:rsidR="00B02873" w:rsidRPr="004F22CD" w:rsidRDefault="00B02873" w:rsidP="0090660B">
            <w:pPr>
              <w:pStyle w:val="TablebodyleftFinancialsTables"/>
              <w:jc w:val="right"/>
              <w:rPr>
                <w:b/>
                <w:bCs/>
                <w:sz w:val="18"/>
                <w:szCs w:val="14"/>
              </w:rPr>
            </w:pPr>
            <w:r w:rsidRPr="004F22CD">
              <w:rPr>
                <w:b/>
                <w:bCs/>
                <w:sz w:val="18"/>
                <w:szCs w:val="14"/>
              </w:rPr>
              <w:t>–</w:t>
            </w:r>
          </w:p>
        </w:tc>
        <w:tc>
          <w:tcPr>
            <w:tcW w:w="1358" w:type="dxa"/>
          </w:tcPr>
          <w:p w14:paraId="16A4AD89" w14:textId="77777777" w:rsidR="00B02873" w:rsidRPr="004F22CD" w:rsidRDefault="00B02873" w:rsidP="0090660B">
            <w:pPr>
              <w:pStyle w:val="TablebodyleftFinancialsTables"/>
              <w:jc w:val="right"/>
              <w:rPr>
                <w:sz w:val="18"/>
                <w:szCs w:val="14"/>
              </w:rPr>
            </w:pPr>
            <w:r w:rsidRPr="004F22CD">
              <w:rPr>
                <w:sz w:val="18"/>
                <w:szCs w:val="14"/>
              </w:rPr>
              <w:t>–</w:t>
            </w:r>
          </w:p>
        </w:tc>
      </w:tr>
      <w:tr w:rsidR="00B02873" w:rsidRPr="004F22CD" w14:paraId="5B515307" w14:textId="77777777" w:rsidTr="0090660B">
        <w:trPr>
          <w:trHeight w:val="60"/>
        </w:trPr>
        <w:tc>
          <w:tcPr>
            <w:tcW w:w="2972" w:type="dxa"/>
          </w:tcPr>
          <w:p w14:paraId="55200D57" w14:textId="77777777" w:rsidR="00B02873" w:rsidRPr="004F22CD" w:rsidRDefault="00B02873" w:rsidP="0090660B">
            <w:pPr>
              <w:pStyle w:val="TablebodyleftFinancialsTables"/>
              <w:rPr>
                <w:sz w:val="18"/>
                <w:szCs w:val="14"/>
              </w:rPr>
            </w:pPr>
            <w:r w:rsidRPr="004F22CD">
              <w:rPr>
                <w:sz w:val="18"/>
                <w:szCs w:val="14"/>
              </w:rPr>
              <w:t xml:space="preserve">Service concession intangible asset (Note 4.2.4) </w:t>
            </w:r>
          </w:p>
        </w:tc>
        <w:tc>
          <w:tcPr>
            <w:tcW w:w="1124" w:type="dxa"/>
          </w:tcPr>
          <w:p w14:paraId="49AC9E05" w14:textId="77777777" w:rsidR="00B02873" w:rsidRPr="004F22CD" w:rsidRDefault="00B02873" w:rsidP="0090660B">
            <w:pPr>
              <w:pStyle w:val="TablebodyleftFinancialsTables"/>
              <w:jc w:val="right"/>
              <w:rPr>
                <w:b/>
                <w:bCs/>
                <w:sz w:val="18"/>
                <w:szCs w:val="14"/>
              </w:rPr>
            </w:pPr>
            <w:r w:rsidRPr="004F22CD">
              <w:rPr>
                <w:b/>
                <w:bCs/>
                <w:sz w:val="18"/>
                <w:szCs w:val="14"/>
              </w:rPr>
              <w:t>–</w:t>
            </w:r>
          </w:p>
        </w:tc>
        <w:tc>
          <w:tcPr>
            <w:tcW w:w="1136" w:type="dxa"/>
          </w:tcPr>
          <w:p w14:paraId="7E36F05E" w14:textId="77777777" w:rsidR="00B02873" w:rsidRPr="004F22CD" w:rsidRDefault="00B02873" w:rsidP="0090660B">
            <w:pPr>
              <w:pStyle w:val="TablebodyleftFinancialsTables"/>
              <w:jc w:val="right"/>
              <w:rPr>
                <w:sz w:val="18"/>
                <w:szCs w:val="14"/>
              </w:rPr>
            </w:pPr>
            <w:r w:rsidRPr="004F22CD">
              <w:rPr>
                <w:sz w:val="18"/>
                <w:szCs w:val="14"/>
              </w:rPr>
              <w:t>–</w:t>
            </w:r>
          </w:p>
        </w:tc>
        <w:tc>
          <w:tcPr>
            <w:tcW w:w="950" w:type="dxa"/>
          </w:tcPr>
          <w:p w14:paraId="1CB03C17" w14:textId="77777777" w:rsidR="00B02873" w:rsidRPr="004F22CD" w:rsidRDefault="00B02873" w:rsidP="0090660B">
            <w:pPr>
              <w:pStyle w:val="TablebodyleftFinancialsTables"/>
              <w:jc w:val="right"/>
              <w:rPr>
                <w:b/>
                <w:bCs/>
                <w:sz w:val="18"/>
                <w:szCs w:val="14"/>
              </w:rPr>
            </w:pPr>
            <w:r w:rsidRPr="004F22CD">
              <w:rPr>
                <w:b/>
                <w:bCs/>
                <w:sz w:val="18"/>
                <w:szCs w:val="14"/>
              </w:rPr>
              <w:t>–</w:t>
            </w:r>
          </w:p>
        </w:tc>
        <w:tc>
          <w:tcPr>
            <w:tcW w:w="958" w:type="dxa"/>
          </w:tcPr>
          <w:p w14:paraId="2FFDEE3C" w14:textId="77777777" w:rsidR="00B02873" w:rsidRPr="004F22CD" w:rsidRDefault="00B02873" w:rsidP="0090660B">
            <w:pPr>
              <w:pStyle w:val="TablebodyleftFinancialsTables"/>
              <w:jc w:val="right"/>
              <w:rPr>
                <w:sz w:val="18"/>
                <w:szCs w:val="14"/>
              </w:rPr>
            </w:pPr>
            <w:r w:rsidRPr="004F22CD">
              <w:rPr>
                <w:sz w:val="18"/>
                <w:szCs w:val="14"/>
              </w:rPr>
              <w:t>–</w:t>
            </w:r>
          </w:p>
        </w:tc>
        <w:tc>
          <w:tcPr>
            <w:tcW w:w="1340" w:type="dxa"/>
          </w:tcPr>
          <w:p w14:paraId="3BA95042" w14:textId="77777777" w:rsidR="00B02873" w:rsidRPr="004F22CD" w:rsidRDefault="00B02873" w:rsidP="0090660B">
            <w:pPr>
              <w:pStyle w:val="TablebodyleftFinancialsTables"/>
              <w:jc w:val="right"/>
              <w:rPr>
                <w:b/>
                <w:bCs/>
                <w:sz w:val="18"/>
                <w:szCs w:val="14"/>
              </w:rPr>
            </w:pPr>
            <w:r w:rsidRPr="004F22CD">
              <w:rPr>
                <w:b/>
                <w:bCs/>
                <w:sz w:val="18"/>
                <w:szCs w:val="14"/>
              </w:rPr>
              <w:t>–</w:t>
            </w:r>
          </w:p>
        </w:tc>
        <w:tc>
          <w:tcPr>
            <w:tcW w:w="1358" w:type="dxa"/>
          </w:tcPr>
          <w:p w14:paraId="6978D35C" w14:textId="77777777" w:rsidR="00B02873" w:rsidRPr="004F22CD" w:rsidRDefault="00B02873" w:rsidP="0090660B">
            <w:pPr>
              <w:pStyle w:val="TablebodyleftFinancialsTables"/>
              <w:jc w:val="right"/>
              <w:rPr>
                <w:sz w:val="18"/>
                <w:szCs w:val="14"/>
              </w:rPr>
            </w:pPr>
            <w:r w:rsidRPr="004F22CD">
              <w:rPr>
                <w:sz w:val="18"/>
                <w:szCs w:val="14"/>
              </w:rPr>
              <w:t>–</w:t>
            </w:r>
          </w:p>
        </w:tc>
      </w:tr>
      <w:tr w:rsidR="00B02873" w:rsidRPr="004F22CD" w14:paraId="039306E9" w14:textId="77777777" w:rsidTr="0090660B">
        <w:trPr>
          <w:trHeight w:val="60"/>
        </w:trPr>
        <w:tc>
          <w:tcPr>
            <w:tcW w:w="2972" w:type="dxa"/>
          </w:tcPr>
          <w:p w14:paraId="59EB0EE1" w14:textId="77777777" w:rsidR="00B02873" w:rsidRPr="004F22CD" w:rsidRDefault="00B02873" w:rsidP="0090660B">
            <w:pPr>
              <w:pStyle w:val="TablebodyleftFinancialsTables"/>
              <w:rPr>
                <w:sz w:val="18"/>
                <w:szCs w:val="14"/>
              </w:rPr>
            </w:pPr>
            <w:r w:rsidRPr="004F22CD">
              <w:rPr>
                <w:sz w:val="18"/>
                <w:szCs w:val="14"/>
              </w:rPr>
              <w:t>Intangible assets (Note 4.2.5)</w:t>
            </w:r>
          </w:p>
        </w:tc>
        <w:tc>
          <w:tcPr>
            <w:tcW w:w="1124" w:type="dxa"/>
          </w:tcPr>
          <w:p w14:paraId="29A6B7B0" w14:textId="77777777" w:rsidR="00B02873" w:rsidRPr="004F22CD" w:rsidRDefault="00B02873" w:rsidP="0090660B">
            <w:pPr>
              <w:pStyle w:val="TablebodyleftFinancialsTables"/>
              <w:jc w:val="right"/>
              <w:rPr>
                <w:b/>
                <w:bCs/>
                <w:sz w:val="18"/>
                <w:szCs w:val="14"/>
              </w:rPr>
            </w:pPr>
            <w:r w:rsidRPr="004F22CD">
              <w:rPr>
                <w:b/>
                <w:bCs/>
                <w:sz w:val="18"/>
                <w:szCs w:val="14"/>
              </w:rPr>
              <w:t>–</w:t>
            </w:r>
          </w:p>
        </w:tc>
        <w:tc>
          <w:tcPr>
            <w:tcW w:w="1136" w:type="dxa"/>
          </w:tcPr>
          <w:p w14:paraId="7BE1AEA1" w14:textId="77777777" w:rsidR="00B02873" w:rsidRPr="004F22CD" w:rsidRDefault="00B02873" w:rsidP="0090660B">
            <w:pPr>
              <w:pStyle w:val="TablebodyleftFinancialsTables"/>
              <w:jc w:val="right"/>
              <w:rPr>
                <w:sz w:val="18"/>
                <w:szCs w:val="14"/>
              </w:rPr>
            </w:pPr>
            <w:r w:rsidRPr="004F22CD">
              <w:rPr>
                <w:sz w:val="18"/>
                <w:szCs w:val="14"/>
              </w:rPr>
              <w:t>–</w:t>
            </w:r>
          </w:p>
        </w:tc>
        <w:tc>
          <w:tcPr>
            <w:tcW w:w="950" w:type="dxa"/>
          </w:tcPr>
          <w:p w14:paraId="1BF55292" w14:textId="77777777" w:rsidR="00B02873" w:rsidRPr="004F22CD" w:rsidRDefault="00B02873" w:rsidP="0090660B">
            <w:pPr>
              <w:pStyle w:val="TablebodyleftFinancialsTables"/>
              <w:jc w:val="right"/>
              <w:rPr>
                <w:b/>
                <w:bCs/>
                <w:sz w:val="18"/>
                <w:szCs w:val="14"/>
              </w:rPr>
            </w:pPr>
            <w:r w:rsidRPr="004F22CD">
              <w:rPr>
                <w:b/>
                <w:bCs/>
                <w:sz w:val="18"/>
                <w:szCs w:val="14"/>
              </w:rPr>
              <w:t>–</w:t>
            </w:r>
          </w:p>
        </w:tc>
        <w:tc>
          <w:tcPr>
            <w:tcW w:w="958" w:type="dxa"/>
          </w:tcPr>
          <w:p w14:paraId="2D6D7D16" w14:textId="77777777" w:rsidR="00B02873" w:rsidRPr="004F22CD" w:rsidRDefault="00B02873" w:rsidP="0090660B">
            <w:pPr>
              <w:pStyle w:val="TablebodyleftFinancialsTables"/>
              <w:jc w:val="right"/>
              <w:rPr>
                <w:sz w:val="18"/>
                <w:szCs w:val="14"/>
              </w:rPr>
            </w:pPr>
            <w:r w:rsidRPr="004F22CD">
              <w:rPr>
                <w:sz w:val="18"/>
                <w:szCs w:val="14"/>
              </w:rPr>
              <w:t>–</w:t>
            </w:r>
          </w:p>
        </w:tc>
        <w:tc>
          <w:tcPr>
            <w:tcW w:w="1340" w:type="dxa"/>
          </w:tcPr>
          <w:p w14:paraId="5C648ADC" w14:textId="77777777" w:rsidR="00B02873" w:rsidRPr="004F22CD" w:rsidRDefault="00B02873" w:rsidP="0090660B">
            <w:pPr>
              <w:pStyle w:val="TablebodyleftFinancialsTables"/>
              <w:jc w:val="right"/>
              <w:rPr>
                <w:b/>
                <w:bCs/>
                <w:sz w:val="18"/>
                <w:szCs w:val="14"/>
              </w:rPr>
            </w:pPr>
            <w:r w:rsidRPr="004F22CD">
              <w:rPr>
                <w:b/>
                <w:bCs/>
                <w:sz w:val="18"/>
                <w:szCs w:val="14"/>
              </w:rPr>
              <w:t>–</w:t>
            </w:r>
          </w:p>
        </w:tc>
        <w:tc>
          <w:tcPr>
            <w:tcW w:w="1358" w:type="dxa"/>
          </w:tcPr>
          <w:p w14:paraId="182FF9E8" w14:textId="77777777" w:rsidR="00B02873" w:rsidRPr="004F22CD" w:rsidRDefault="00B02873" w:rsidP="0090660B">
            <w:pPr>
              <w:pStyle w:val="TablebodyleftFinancialsTables"/>
              <w:jc w:val="right"/>
              <w:rPr>
                <w:sz w:val="18"/>
                <w:szCs w:val="14"/>
              </w:rPr>
            </w:pPr>
            <w:r w:rsidRPr="004F22CD">
              <w:rPr>
                <w:sz w:val="18"/>
                <w:szCs w:val="14"/>
              </w:rPr>
              <w:t>–</w:t>
            </w:r>
          </w:p>
        </w:tc>
      </w:tr>
      <w:tr w:rsidR="00B02873" w:rsidRPr="004F22CD" w14:paraId="2952619E" w14:textId="77777777" w:rsidTr="0090660B">
        <w:trPr>
          <w:trHeight w:val="60"/>
        </w:trPr>
        <w:tc>
          <w:tcPr>
            <w:tcW w:w="2972" w:type="dxa"/>
          </w:tcPr>
          <w:p w14:paraId="3A7CD304" w14:textId="77777777" w:rsidR="00B02873" w:rsidRPr="004F22CD" w:rsidRDefault="00B02873" w:rsidP="0090660B">
            <w:pPr>
              <w:pStyle w:val="TablebodyleftFinancialsTables"/>
              <w:rPr>
                <w:sz w:val="18"/>
                <w:szCs w:val="14"/>
              </w:rPr>
            </w:pPr>
            <w:r w:rsidRPr="004F22CD">
              <w:rPr>
                <w:sz w:val="18"/>
                <w:szCs w:val="14"/>
              </w:rPr>
              <w:t>Intangible assets held for sale (Note 4.2.5)</w:t>
            </w:r>
          </w:p>
        </w:tc>
        <w:tc>
          <w:tcPr>
            <w:tcW w:w="1124" w:type="dxa"/>
          </w:tcPr>
          <w:p w14:paraId="61B80709" w14:textId="77777777" w:rsidR="00B02873" w:rsidRPr="004F22CD" w:rsidRDefault="00B02873" w:rsidP="0090660B">
            <w:pPr>
              <w:pStyle w:val="TablebodyleftFinancialsTables"/>
              <w:jc w:val="right"/>
              <w:rPr>
                <w:b/>
                <w:bCs/>
                <w:sz w:val="18"/>
                <w:szCs w:val="14"/>
              </w:rPr>
            </w:pPr>
            <w:r w:rsidRPr="004F22CD">
              <w:rPr>
                <w:b/>
                <w:bCs/>
                <w:sz w:val="18"/>
                <w:szCs w:val="14"/>
              </w:rPr>
              <w:t>–</w:t>
            </w:r>
          </w:p>
        </w:tc>
        <w:tc>
          <w:tcPr>
            <w:tcW w:w="1136" w:type="dxa"/>
          </w:tcPr>
          <w:p w14:paraId="6BF2C227" w14:textId="77777777" w:rsidR="00B02873" w:rsidRPr="004F22CD" w:rsidRDefault="00B02873" w:rsidP="0090660B">
            <w:pPr>
              <w:pStyle w:val="TablebodyleftFinancialsTables"/>
              <w:jc w:val="right"/>
              <w:rPr>
                <w:sz w:val="18"/>
                <w:szCs w:val="14"/>
              </w:rPr>
            </w:pPr>
            <w:r w:rsidRPr="004F22CD">
              <w:rPr>
                <w:sz w:val="18"/>
                <w:szCs w:val="14"/>
              </w:rPr>
              <w:t>–</w:t>
            </w:r>
          </w:p>
        </w:tc>
        <w:tc>
          <w:tcPr>
            <w:tcW w:w="950" w:type="dxa"/>
          </w:tcPr>
          <w:p w14:paraId="5B0F42DC" w14:textId="77777777" w:rsidR="00B02873" w:rsidRPr="004F22CD" w:rsidRDefault="00B02873" w:rsidP="0090660B">
            <w:pPr>
              <w:pStyle w:val="TablebodyleftFinancialsTables"/>
              <w:jc w:val="right"/>
              <w:rPr>
                <w:b/>
                <w:bCs/>
                <w:sz w:val="18"/>
                <w:szCs w:val="14"/>
              </w:rPr>
            </w:pPr>
            <w:r w:rsidRPr="004F22CD">
              <w:rPr>
                <w:b/>
                <w:bCs/>
                <w:sz w:val="18"/>
                <w:szCs w:val="14"/>
              </w:rPr>
              <w:t>–</w:t>
            </w:r>
          </w:p>
        </w:tc>
        <w:tc>
          <w:tcPr>
            <w:tcW w:w="958" w:type="dxa"/>
          </w:tcPr>
          <w:p w14:paraId="7384D2F4" w14:textId="77777777" w:rsidR="00B02873" w:rsidRPr="004F22CD" w:rsidRDefault="00B02873" w:rsidP="0090660B">
            <w:pPr>
              <w:pStyle w:val="TablebodyleftFinancialsTables"/>
              <w:jc w:val="right"/>
              <w:rPr>
                <w:sz w:val="18"/>
                <w:szCs w:val="14"/>
              </w:rPr>
            </w:pPr>
            <w:r w:rsidRPr="004F22CD">
              <w:rPr>
                <w:sz w:val="18"/>
                <w:szCs w:val="14"/>
              </w:rPr>
              <w:t>–</w:t>
            </w:r>
          </w:p>
        </w:tc>
        <w:tc>
          <w:tcPr>
            <w:tcW w:w="1340" w:type="dxa"/>
          </w:tcPr>
          <w:p w14:paraId="499DBD19" w14:textId="77777777" w:rsidR="00B02873" w:rsidRPr="004F22CD" w:rsidRDefault="00B02873" w:rsidP="0090660B">
            <w:pPr>
              <w:pStyle w:val="TablebodyleftFinancialsTables"/>
              <w:jc w:val="right"/>
              <w:rPr>
                <w:b/>
                <w:bCs/>
                <w:sz w:val="18"/>
                <w:szCs w:val="14"/>
              </w:rPr>
            </w:pPr>
            <w:r w:rsidRPr="004F22CD">
              <w:rPr>
                <w:b/>
                <w:bCs/>
                <w:sz w:val="18"/>
                <w:szCs w:val="14"/>
              </w:rPr>
              <w:t>–</w:t>
            </w:r>
          </w:p>
        </w:tc>
        <w:tc>
          <w:tcPr>
            <w:tcW w:w="1358" w:type="dxa"/>
          </w:tcPr>
          <w:p w14:paraId="436C35A2" w14:textId="77777777" w:rsidR="00B02873" w:rsidRPr="004F22CD" w:rsidRDefault="00B02873" w:rsidP="0090660B">
            <w:pPr>
              <w:pStyle w:val="TablebodyleftFinancialsTables"/>
              <w:jc w:val="right"/>
              <w:rPr>
                <w:sz w:val="18"/>
                <w:szCs w:val="14"/>
              </w:rPr>
            </w:pPr>
            <w:r w:rsidRPr="004F22CD">
              <w:rPr>
                <w:sz w:val="18"/>
                <w:szCs w:val="14"/>
              </w:rPr>
              <w:t>–</w:t>
            </w:r>
          </w:p>
        </w:tc>
      </w:tr>
      <w:tr w:rsidR="00B02873" w:rsidRPr="004F22CD" w14:paraId="3A73A705" w14:textId="77777777" w:rsidTr="0090660B">
        <w:trPr>
          <w:trHeight w:val="60"/>
        </w:trPr>
        <w:tc>
          <w:tcPr>
            <w:tcW w:w="2972" w:type="dxa"/>
          </w:tcPr>
          <w:p w14:paraId="5877B51A" w14:textId="3A186904" w:rsidR="00B02873" w:rsidRPr="004F22CD" w:rsidRDefault="00B02873" w:rsidP="0090660B">
            <w:pPr>
              <w:pStyle w:val="TablebodyleftFinancialsTables"/>
              <w:rPr>
                <w:b/>
                <w:bCs/>
                <w:sz w:val="18"/>
                <w:szCs w:val="14"/>
              </w:rPr>
            </w:pPr>
            <w:r w:rsidRPr="004F22CD">
              <w:rPr>
                <w:b/>
                <w:bCs/>
                <w:sz w:val="18"/>
                <w:szCs w:val="14"/>
              </w:rPr>
              <w:t>Total administered non-financial assets</w:t>
            </w:r>
          </w:p>
        </w:tc>
        <w:tc>
          <w:tcPr>
            <w:tcW w:w="1124" w:type="dxa"/>
          </w:tcPr>
          <w:p w14:paraId="036B83F6" w14:textId="77777777" w:rsidR="00B02873" w:rsidRPr="004F22CD" w:rsidRDefault="00B02873" w:rsidP="0090660B">
            <w:pPr>
              <w:pStyle w:val="TablebodyleftFinancialsTables"/>
              <w:jc w:val="right"/>
              <w:rPr>
                <w:b/>
                <w:bCs/>
                <w:sz w:val="18"/>
                <w:szCs w:val="14"/>
              </w:rPr>
            </w:pPr>
            <w:r w:rsidRPr="004F22CD">
              <w:rPr>
                <w:b/>
                <w:bCs/>
                <w:sz w:val="18"/>
                <w:szCs w:val="14"/>
              </w:rPr>
              <w:t>–</w:t>
            </w:r>
          </w:p>
        </w:tc>
        <w:tc>
          <w:tcPr>
            <w:tcW w:w="1136" w:type="dxa"/>
          </w:tcPr>
          <w:p w14:paraId="4EB21BDB" w14:textId="77777777" w:rsidR="00B02873" w:rsidRPr="004F22CD" w:rsidRDefault="00B02873" w:rsidP="0090660B">
            <w:pPr>
              <w:pStyle w:val="TablebodyleftFinancialsTables"/>
              <w:jc w:val="right"/>
              <w:rPr>
                <w:sz w:val="18"/>
                <w:szCs w:val="14"/>
              </w:rPr>
            </w:pPr>
            <w:r w:rsidRPr="004F22CD">
              <w:rPr>
                <w:sz w:val="18"/>
                <w:szCs w:val="14"/>
              </w:rPr>
              <w:t>–</w:t>
            </w:r>
          </w:p>
        </w:tc>
        <w:tc>
          <w:tcPr>
            <w:tcW w:w="950" w:type="dxa"/>
          </w:tcPr>
          <w:p w14:paraId="21E36FD6" w14:textId="77777777" w:rsidR="00B02873" w:rsidRPr="004F22CD" w:rsidRDefault="00B02873" w:rsidP="0090660B">
            <w:pPr>
              <w:pStyle w:val="TablebodyleftFinancialsTables"/>
              <w:jc w:val="right"/>
              <w:rPr>
                <w:b/>
                <w:bCs/>
                <w:sz w:val="18"/>
                <w:szCs w:val="14"/>
              </w:rPr>
            </w:pPr>
            <w:r w:rsidRPr="004F22CD">
              <w:rPr>
                <w:b/>
                <w:bCs/>
                <w:sz w:val="18"/>
                <w:szCs w:val="14"/>
              </w:rPr>
              <w:t>–</w:t>
            </w:r>
          </w:p>
        </w:tc>
        <w:tc>
          <w:tcPr>
            <w:tcW w:w="958" w:type="dxa"/>
          </w:tcPr>
          <w:p w14:paraId="2D461EF7" w14:textId="77777777" w:rsidR="00B02873" w:rsidRPr="004F22CD" w:rsidRDefault="00B02873" w:rsidP="0090660B">
            <w:pPr>
              <w:pStyle w:val="TablebodyleftFinancialsTables"/>
              <w:jc w:val="right"/>
              <w:rPr>
                <w:sz w:val="18"/>
                <w:szCs w:val="14"/>
              </w:rPr>
            </w:pPr>
            <w:r w:rsidRPr="004F22CD">
              <w:rPr>
                <w:sz w:val="18"/>
                <w:szCs w:val="14"/>
              </w:rPr>
              <w:t>–</w:t>
            </w:r>
          </w:p>
        </w:tc>
        <w:tc>
          <w:tcPr>
            <w:tcW w:w="1340" w:type="dxa"/>
          </w:tcPr>
          <w:p w14:paraId="761EA260" w14:textId="77777777" w:rsidR="00B02873" w:rsidRPr="004F22CD" w:rsidRDefault="00B02873" w:rsidP="0090660B">
            <w:pPr>
              <w:pStyle w:val="TablebodyleftFinancialsTables"/>
              <w:jc w:val="right"/>
              <w:rPr>
                <w:b/>
                <w:bCs/>
                <w:sz w:val="18"/>
                <w:szCs w:val="14"/>
              </w:rPr>
            </w:pPr>
            <w:r w:rsidRPr="004F22CD">
              <w:rPr>
                <w:b/>
                <w:bCs/>
                <w:sz w:val="18"/>
                <w:szCs w:val="14"/>
              </w:rPr>
              <w:t>–</w:t>
            </w:r>
          </w:p>
        </w:tc>
        <w:tc>
          <w:tcPr>
            <w:tcW w:w="1358" w:type="dxa"/>
          </w:tcPr>
          <w:p w14:paraId="10482301" w14:textId="77777777" w:rsidR="00B02873" w:rsidRPr="004F22CD" w:rsidRDefault="00B02873" w:rsidP="0090660B">
            <w:pPr>
              <w:pStyle w:val="TablebodyleftFinancialsTables"/>
              <w:jc w:val="right"/>
              <w:rPr>
                <w:sz w:val="18"/>
                <w:szCs w:val="14"/>
              </w:rPr>
            </w:pPr>
            <w:r w:rsidRPr="004F22CD">
              <w:rPr>
                <w:sz w:val="18"/>
                <w:szCs w:val="14"/>
              </w:rPr>
              <w:t>–</w:t>
            </w:r>
          </w:p>
        </w:tc>
      </w:tr>
      <w:tr w:rsidR="00B02873" w:rsidRPr="004F22CD" w14:paraId="34F93E14" w14:textId="77777777" w:rsidTr="0090660B">
        <w:trPr>
          <w:trHeight w:val="60"/>
        </w:trPr>
        <w:tc>
          <w:tcPr>
            <w:tcW w:w="2972" w:type="dxa"/>
          </w:tcPr>
          <w:p w14:paraId="01DB3380" w14:textId="77777777" w:rsidR="00B02873" w:rsidRPr="004F22CD" w:rsidRDefault="00B02873" w:rsidP="0090660B">
            <w:pPr>
              <w:pStyle w:val="TablebodyleftFinancialsTables"/>
              <w:rPr>
                <w:b/>
                <w:bCs/>
                <w:sz w:val="18"/>
                <w:szCs w:val="14"/>
              </w:rPr>
            </w:pPr>
            <w:r w:rsidRPr="004F22CD">
              <w:rPr>
                <w:b/>
                <w:bCs/>
                <w:sz w:val="18"/>
                <w:szCs w:val="14"/>
              </w:rPr>
              <w:t>Total administered assets</w:t>
            </w:r>
          </w:p>
        </w:tc>
        <w:tc>
          <w:tcPr>
            <w:tcW w:w="1124" w:type="dxa"/>
          </w:tcPr>
          <w:p w14:paraId="51537051" w14:textId="77777777" w:rsidR="00B02873" w:rsidRPr="004F22CD" w:rsidRDefault="00B02873" w:rsidP="0090660B">
            <w:pPr>
              <w:pStyle w:val="TablebodyleftFinancialsTables"/>
              <w:jc w:val="right"/>
              <w:rPr>
                <w:b/>
                <w:bCs/>
                <w:sz w:val="18"/>
                <w:szCs w:val="14"/>
              </w:rPr>
            </w:pPr>
            <w:r w:rsidRPr="004F22CD">
              <w:rPr>
                <w:b/>
                <w:bCs/>
                <w:sz w:val="18"/>
                <w:szCs w:val="14"/>
              </w:rPr>
              <w:t>9,972</w:t>
            </w:r>
          </w:p>
        </w:tc>
        <w:tc>
          <w:tcPr>
            <w:tcW w:w="1136" w:type="dxa"/>
          </w:tcPr>
          <w:p w14:paraId="0908C3D3" w14:textId="77777777" w:rsidR="00B02873" w:rsidRPr="004F22CD" w:rsidRDefault="00B02873" w:rsidP="0090660B">
            <w:pPr>
              <w:pStyle w:val="TablebodyleftFinancialsTables"/>
              <w:jc w:val="right"/>
              <w:rPr>
                <w:sz w:val="18"/>
                <w:szCs w:val="14"/>
              </w:rPr>
            </w:pPr>
            <w:r w:rsidRPr="004F22CD">
              <w:rPr>
                <w:sz w:val="18"/>
                <w:szCs w:val="14"/>
              </w:rPr>
              <w:t>4,817</w:t>
            </w:r>
          </w:p>
        </w:tc>
        <w:tc>
          <w:tcPr>
            <w:tcW w:w="950" w:type="dxa"/>
          </w:tcPr>
          <w:p w14:paraId="304D2B74" w14:textId="1A4D569B" w:rsidR="00B02873" w:rsidRPr="004F22CD" w:rsidRDefault="00B02873" w:rsidP="0090660B">
            <w:pPr>
              <w:pStyle w:val="TablebodyleftFinancialsTables"/>
              <w:jc w:val="right"/>
              <w:rPr>
                <w:b/>
                <w:bCs/>
                <w:sz w:val="18"/>
                <w:szCs w:val="14"/>
              </w:rPr>
            </w:pPr>
            <w:r w:rsidRPr="004F22CD">
              <w:rPr>
                <w:b/>
                <w:bCs/>
                <w:sz w:val="18"/>
                <w:szCs w:val="14"/>
              </w:rPr>
              <w:t>4,986</w:t>
            </w:r>
          </w:p>
        </w:tc>
        <w:tc>
          <w:tcPr>
            <w:tcW w:w="958" w:type="dxa"/>
          </w:tcPr>
          <w:p w14:paraId="1B88C4A7" w14:textId="77777777" w:rsidR="00B02873" w:rsidRPr="004F22CD" w:rsidRDefault="00B02873" w:rsidP="0090660B">
            <w:pPr>
              <w:pStyle w:val="TablebodyleftFinancialsTables"/>
              <w:jc w:val="right"/>
              <w:rPr>
                <w:sz w:val="18"/>
                <w:szCs w:val="14"/>
              </w:rPr>
            </w:pPr>
            <w:r w:rsidRPr="004F22CD">
              <w:rPr>
                <w:sz w:val="18"/>
                <w:szCs w:val="14"/>
              </w:rPr>
              <w:t>1,445</w:t>
            </w:r>
          </w:p>
        </w:tc>
        <w:tc>
          <w:tcPr>
            <w:tcW w:w="1340" w:type="dxa"/>
          </w:tcPr>
          <w:p w14:paraId="68ED0764" w14:textId="77777777" w:rsidR="00B02873" w:rsidRPr="004F22CD" w:rsidRDefault="00B02873" w:rsidP="0090660B">
            <w:pPr>
              <w:pStyle w:val="TablebodyleftFinancialsTables"/>
              <w:jc w:val="right"/>
              <w:rPr>
                <w:b/>
                <w:bCs/>
                <w:sz w:val="18"/>
                <w:szCs w:val="14"/>
              </w:rPr>
            </w:pPr>
            <w:r w:rsidRPr="004F22CD">
              <w:rPr>
                <w:b/>
                <w:bCs/>
                <w:sz w:val="18"/>
                <w:szCs w:val="14"/>
              </w:rPr>
              <w:t>19,945</w:t>
            </w:r>
          </w:p>
        </w:tc>
        <w:tc>
          <w:tcPr>
            <w:tcW w:w="1358" w:type="dxa"/>
          </w:tcPr>
          <w:p w14:paraId="68418787" w14:textId="77777777" w:rsidR="00B02873" w:rsidRPr="004F22CD" w:rsidRDefault="00B02873" w:rsidP="0090660B">
            <w:pPr>
              <w:pStyle w:val="TablebodyleftFinancialsTables"/>
              <w:jc w:val="right"/>
              <w:rPr>
                <w:sz w:val="18"/>
                <w:szCs w:val="14"/>
              </w:rPr>
            </w:pPr>
            <w:r w:rsidRPr="004F22CD">
              <w:rPr>
                <w:sz w:val="18"/>
                <w:szCs w:val="14"/>
              </w:rPr>
              <w:t>8,671</w:t>
            </w:r>
          </w:p>
        </w:tc>
      </w:tr>
      <w:tr w:rsidR="00B02873" w:rsidRPr="004F22CD" w14:paraId="3F6E4215" w14:textId="77777777" w:rsidTr="0090660B">
        <w:trPr>
          <w:trHeight w:val="60"/>
        </w:trPr>
        <w:tc>
          <w:tcPr>
            <w:tcW w:w="2972" w:type="dxa"/>
          </w:tcPr>
          <w:p w14:paraId="58CF5EA7" w14:textId="77777777" w:rsidR="00B02873" w:rsidRPr="004F22CD" w:rsidRDefault="00B02873" w:rsidP="0090660B">
            <w:pPr>
              <w:pStyle w:val="TablebodyleftFinancialsTables"/>
              <w:rPr>
                <w:b/>
                <w:bCs/>
                <w:sz w:val="18"/>
                <w:szCs w:val="14"/>
              </w:rPr>
            </w:pPr>
            <w:r w:rsidRPr="004F22CD">
              <w:rPr>
                <w:b/>
                <w:bCs/>
                <w:sz w:val="18"/>
                <w:szCs w:val="14"/>
              </w:rPr>
              <w:t>Administered liabilities</w:t>
            </w:r>
          </w:p>
        </w:tc>
        <w:tc>
          <w:tcPr>
            <w:tcW w:w="1124" w:type="dxa"/>
          </w:tcPr>
          <w:p w14:paraId="266F2142" w14:textId="77777777" w:rsidR="00B02873" w:rsidRPr="004F22CD" w:rsidRDefault="00B02873" w:rsidP="0090660B">
            <w:pPr>
              <w:pStyle w:val="TablebodyleftFinancialsTables"/>
              <w:jc w:val="right"/>
              <w:rPr>
                <w:rFonts w:ascii="VIC Bold Italic" w:hAnsi="VIC Bold Italic" w:cs="Times New Roman"/>
                <w:b/>
                <w:bCs/>
                <w:sz w:val="18"/>
                <w:szCs w:val="14"/>
              </w:rPr>
            </w:pPr>
          </w:p>
        </w:tc>
        <w:tc>
          <w:tcPr>
            <w:tcW w:w="1136" w:type="dxa"/>
          </w:tcPr>
          <w:p w14:paraId="105BACBB" w14:textId="77777777" w:rsidR="00B02873" w:rsidRPr="004F22CD" w:rsidRDefault="00B02873" w:rsidP="0090660B">
            <w:pPr>
              <w:pStyle w:val="TablebodyleftFinancialsTables"/>
              <w:jc w:val="right"/>
              <w:rPr>
                <w:rFonts w:ascii="VIC Bold Italic" w:hAnsi="VIC Bold Italic" w:cs="Times New Roman"/>
                <w:sz w:val="18"/>
                <w:szCs w:val="14"/>
              </w:rPr>
            </w:pPr>
          </w:p>
        </w:tc>
        <w:tc>
          <w:tcPr>
            <w:tcW w:w="950" w:type="dxa"/>
          </w:tcPr>
          <w:p w14:paraId="27FE4DEA" w14:textId="77777777" w:rsidR="00B02873" w:rsidRPr="004F22CD" w:rsidRDefault="00B02873" w:rsidP="0090660B">
            <w:pPr>
              <w:pStyle w:val="TablebodyleftFinancialsTables"/>
              <w:jc w:val="right"/>
              <w:rPr>
                <w:rFonts w:ascii="VIC Bold Italic" w:hAnsi="VIC Bold Italic" w:cs="Times New Roman"/>
                <w:b/>
                <w:bCs/>
                <w:sz w:val="18"/>
                <w:szCs w:val="14"/>
              </w:rPr>
            </w:pPr>
          </w:p>
        </w:tc>
        <w:tc>
          <w:tcPr>
            <w:tcW w:w="958" w:type="dxa"/>
          </w:tcPr>
          <w:p w14:paraId="61FFC486" w14:textId="77777777" w:rsidR="00B02873" w:rsidRPr="004F22CD" w:rsidRDefault="00B02873" w:rsidP="0090660B">
            <w:pPr>
              <w:pStyle w:val="TablebodyleftFinancialsTables"/>
              <w:jc w:val="right"/>
              <w:rPr>
                <w:rFonts w:ascii="VIC Bold Italic" w:hAnsi="VIC Bold Italic" w:cs="Times New Roman"/>
                <w:sz w:val="18"/>
                <w:szCs w:val="14"/>
              </w:rPr>
            </w:pPr>
          </w:p>
        </w:tc>
        <w:tc>
          <w:tcPr>
            <w:tcW w:w="1340" w:type="dxa"/>
          </w:tcPr>
          <w:p w14:paraId="2C234390" w14:textId="77777777" w:rsidR="00B02873" w:rsidRPr="004F22CD" w:rsidRDefault="00B02873" w:rsidP="0090660B">
            <w:pPr>
              <w:pStyle w:val="TablebodyleftFinancialsTables"/>
              <w:jc w:val="right"/>
              <w:rPr>
                <w:rFonts w:ascii="VIC Bold Italic" w:hAnsi="VIC Bold Italic" w:cs="Times New Roman"/>
                <w:b/>
                <w:bCs/>
                <w:sz w:val="18"/>
                <w:szCs w:val="14"/>
              </w:rPr>
            </w:pPr>
          </w:p>
        </w:tc>
        <w:tc>
          <w:tcPr>
            <w:tcW w:w="1358" w:type="dxa"/>
          </w:tcPr>
          <w:p w14:paraId="5FE3C0F4" w14:textId="77777777" w:rsidR="00B02873" w:rsidRPr="004F22CD" w:rsidRDefault="00B02873" w:rsidP="0090660B">
            <w:pPr>
              <w:pStyle w:val="TablebodyleftFinancialsTables"/>
              <w:jc w:val="right"/>
              <w:rPr>
                <w:rFonts w:ascii="VIC Bold Italic" w:hAnsi="VIC Bold Italic" w:cs="Times New Roman"/>
                <w:sz w:val="18"/>
                <w:szCs w:val="14"/>
              </w:rPr>
            </w:pPr>
          </w:p>
        </w:tc>
      </w:tr>
      <w:tr w:rsidR="00B02873" w:rsidRPr="004F22CD" w14:paraId="5F1C1064" w14:textId="77777777" w:rsidTr="0090660B">
        <w:trPr>
          <w:trHeight w:val="60"/>
        </w:trPr>
        <w:tc>
          <w:tcPr>
            <w:tcW w:w="2972" w:type="dxa"/>
          </w:tcPr>
          <w:p w14:paraId="03E9F99F" w14:textId="77777777" w:rsidR="00B02873" w:rsidRPr="004F22CD" w:rsidRDefault="00B02873" w:rsidP="0090660B">
            <w:pPr>
              <w:pStyle w:val="TablebodyleftFinancialsTables"/>
              <w:rPr>
                <w:sz w:val="18"/>
                <w:szCs w:val="14"/>
              </w:rPr>
            </w:pPr>
            <w:r w:rsidRPr="004F22CD">
              <w:rPr>
                <w:sz w:val="18"/>
                <w:szCs w:val="14"/>
              </w:rPr>
              <w:t>Creditors and accruals</w:t>
            </w:r>
          </w:p>
        </w:tc>
        <w:tc>
          <w:tcPr>
            <w:tcW w:w="1124" w:type="dxa"/>
          </w:tcPr>
          <w:p w14:paraId="421A0202" w14:textId="24003AEC" w:rsidR="00B02873" w:rsidRPr="004F22CD" w:rsidRDefault="00B02873" w:rsidP="0090660B">
            <w:pPr>
              <w:pStyle w:val="TablebodyleftFinancialsTables"/>
              <w:jc w:val="right"/>
              <w:rPr>
                <w:b/>
                <w:bCs/>
                <w:sz w:val="18"/>
                <w:szCs w:val="14"/>
              </w:rPr>
            </w:pPr>
            <w:r w:rsidRPr="004F22CD">
              <w:rPr>
                <w:b/>
                <w:bCs/>
                <w:sz w:val="18"/>
                <w:szCs w:val="14"/>
              </w:rPr>
              <w:t>535</w:t>
            </w:r>
          </w:p>
        </w:tc>
        <w:tc>
          <w:tcPr>
            <w:tcW w:w="1136" w:type="dxa"/>
          </w:tcPr>
          <w:p w14:paraId="7ACBD7DF" w14:textId="77777777" w:rsidR="00B02873" w:rsidRPr="004F22CD" w:rsidRDefault="00B02873" w:rsidP="0090660B">
            <w:pPr>
              <w:pStyle w:val="TablebodyleftFinancialsTables"/>
              <w:jc w:val="right"/>
              <w:rPr>
                <w:sz w:val="18"/>
                <w:szCs w:val="14"/>
              </w:rPr>
            </w:pPr>
            <w:r w:rsidRPr="004F22CD">
              <w:rPr>
                <w:sz w:val="18"/>
                <w:szCs w:val="14"/>
              </w:rPr>
              <w:t>491</w:t>
            </w:r>
          </w:p>
        </w:tc>
        <w:tc>
          <w:tcPr>
            <w:tcW w:w="950" w:type="dxa"/>
          </w:tcPr>
          <w:p w14:paraId="79257B59" w14:textId="0CC26FF2" w:rsidR="00B02873" w:rsidRPr="004F22CD" w:rsidRDefault="00B02873" w:rsidP="0090660B">
            <w:pPr>
              <w:pStyle w:val="TablebodyleftFinancialsTables"/>
              <w:jc w:val="right"/>
              <w:rPr>
                <w:b/>
                <w:bCs/>
                <w:sz w:val="18"/>
                <w:szCs w:val="14"/>
              </w:rPr>
            </w:pPr>
            <w:r w:rsidRPr="004F22CD">
              <w:rPr>
                <w:b/>
                <w:bCs/>
                <w:sz w:val="18"/>
                <w:szCs w:val="14"/>
              </w:rPr>
              <w:t>268</w:t>
            </w:r>
          </w:p>
        </w:tc>
        <w:tc>
          <w:tcPr>
            <w:tcW w:w="958" w:type="dxa"/>
          </w:tcPr>
          <w:p w14:paraId="2DF9F08E" w14:textId="77777777" w:rsidR="00B02873" w:rsidRPr="004F22CD" w:rsidRDefault="00B02873" w:rsidP="0090660B">
            <w:pPr>
              <w:pStyle w:val="TablebodyleftFinancialsTables"/>
              <w:jc w:val="right"/>
              <w:rPr>
                <w:sz w:val="18"/>
                <w:szCs w:val="14"/>
              </w:rPr>
            </w:pPr>
            <w:r w:rsidRPr="004F22CD">
              <w:rPr>
                <w:sz w:val="18"/>
                <w:szCs w:val="14"/>
              </w:rPr>
              <w:t>147</w:t>
            </w:r>
          </w:p>
        </w:tc>
        <w:tc>
          <w:tcPr>
            <w:tcW w:w="1340" w:type="dxa"/>
          </w:tcPr>
          <w:p w14:paraId="688E4EBA" w14:textId="77777777" w:rsidR="00B02873" w:rsidRPr="004F22CD" w:rsidRDefault="00B02873" w:rsidP="0090660B">
            <w:pPr>
              <w:pStyle w:val="TablebodyleftFinancialsTables"/>
              <w:jc w:val="right"/>
              <w:rPr>
                <w:b/>
                <w:bCs/>
                <w:sz w:val="18"/>
                <w:szCs w:val="14"/>
              </w:rPr>
            </w:pPr>
            <w:r w:rsidRPr="004F22CD">
              <w:rPr>
                <w:b/>
                <w:bCs/>
                <w:sz w:val="18"/>
                <w:szCs w:val="14"/>
              </w:rPr>
              <w:t>1,070</w:t>
            </w:r>
          </w:p>
        </w:tc>
        <w:tc>
          <w:tcPr>
            <w:tcW w:w="1358" w:type="dxa"/>
          </w:tcPr>
          <w:p w14:paraId="366F18ED" w14:textId="77777777" w:rsidR="00B02873" w:rsidRPr="004F22CD" w:rsidRDefault="00B02873" w:rsidP="0090660B">
            <w:pPr>
              <w:pStyle w:val="TablebodyleftFinancialsTables"/>
              <w:jc w:val="right"/>
              <w:rPr>
                <w:sz w:val="18"/>
                <w:szCs w:val="14"/>
              </w:rPr>
            </w:pPr>
            <w:r w:rsidRPr="004F22CD">
              <w:rPr>
                <w:sz w:val="18"/>
                <w:szCs w:val="14"/>
              </w:rPr>
              <w:t>884</w:t>
            </w:r>
          </w:p>
        </w:tc>
      </w:tr>
      <w:tr w:rsidR="00B02873" w:rsidRPr="004F22CD" w14:paraId="241131EF" w14:textId="77777777" w:rsidTr="0090660B">
        <w:trPr>
          <w:trHeight w:val="60"/>
        </w:trPr>
        <w:tc>
          <w:tcPr>
            <w:tcW w:w="2972" w:type="dxa"/>
          </w:tcPr>
          <w:p w14:paraId="52ADB36E" w14:textId="77777777" w:rsidR="00B02873" w:rsidRPr="004F22CD" w:rsidRDefault="00B02873" w:rsidP="0090660B">
            <w:pPr>
              <w:pStyle w:val="TablebodyleftFinancialsTables"/>
              <w:rPr>
                <w:sz w:val="18"/>
                <w:szCs w:val="14"/>
              </w:rPr>
            </w:pPr>
            <w:r w:rsidRPr="004F22CD">
              <w:rPr>
                <w:sz w:val="18"/>
                <w:szCs w:val="14"/>
              </w:rPr>
              <w:t xml:space="preserve">Contract liabilities </w:t>
            </w:r>
          </w:p>
        </w:tc>
        <w:tc>
          <w:tcPr>
            <w:tcW w:w="1124" w:type="dxa"/>
          </w:tcPr>
          <w:p w14:paraId="6CC95A66" w14:textId="77777777" w:rsidR="00B02873" w:rsidRPr="004F22CD" w:rsidRDefault="00B02873" w:rsidP="0090660B">
            <w:pPr>
              <w:pStyle w:val="TablebodyleftFinancialsTables"/>
              <w:jc w:val="right"/>
              <w:rPr>
                <w:b/>
                <w:bCs/>
                <w:sz w:val="18"/>
                <w:szCs w:val="14"/>
              </w:rPr>
            </w:pPr>
            <w:r w:rsidRPr="004F22CD">
              <w:rPr>
                <w:b/>
                <w:bCs/>
                <w:sz w:val="18"/>
                <w:szCs w:val="14"/>
              </w:rPr>
              <w:t>243</w:t>
            </w:r>
          </w:p>
        </w:tc>
        <w:tc>
          <w:tcPr>
            <w:tcW w:w="1136" w:type="dxa"/>
          </w:tcPr>
          <w:p w14:paraId="039DFA49" w14:textId="77777777" w:rsidR="00B02873" w:rsidRPr="004F22CD" w:rsidRDefault="00B02873" w:rsidP="0090660B">
            <w:pPr>
              <w:pStyle w:val="TablebodyleftFinancialsTables"/>
              <w:jc w:val="right"/>
              <w:rPr>
                <w:sz w:val="18"/>
                <w:szCs w:val="14"/>
              </w:rPr>
            </w:pPr>
            <w:r w:rsidRPr="004F22CD">
              <w:rPr>
                <w:sz w:val="18"/>
                <w:szCs w:val="14"/>
              </w:rPr>
              <w:t>210</w:t>
            </w:r>
          </w:p>
        </w:tc>
        <w:tc>
          <w:tcPr>
            <w:tcW w:w="950" w:type="dxa"/>
          </w:tcPr>
          <w:p w14:paraId="5E97867A" w14:textId="77777777" w:rsidR="00B02873" w:rsidRPr="004F22CD" w:rsidRDefault="00B02873" w:rsidP="0090660B">
            <w:pPr>
              <w:pStyle w:val="TablebodyleftFinancialsTables"/>
              <w:jc w:val="right"/>
              <w:rPr>
                <w:b/>
                <w:bCs/>
                <w:sz w:val="18"/>
                <w:szCs w:val="14"/>
              </w:rPr>
            </w:pPr>
            <w:r w:rsidRPr="004F22CD">
              <w:rPr>
                <w:b/>
                <w:bCs/>
                <w:sz w:val="18"/>
                <w:szCs w:val="14"/>
              </w:rPr>
              <w:t>122</w:t>
            </w:r>
          </w:p>
        </w:tc>
        <w:tc>
          <w:tcPr>
            <w:tcW w:w="958" w:type="dxa"/>
          </w:tcPr>
          <w:p w14:paraId="760EECDB" w14:textId="77777777" w:rsidR="00B02873" w:rsidRPr="004F22CD" w:rsidRDefault="00B02873" w:rsidP="0090660B">
            <w:pPr>
              <w:pStyle w:val="TablebodyleftFinancialsTables"/>
              <w:jc w:val="right"/>
              <w:rPr>
                <w:sz w:val="18"/>
                <w:szCs w:val="14"/>
              </w:rPr>
            </w:pPr>
            <w:r w:rsidRPr="004F22CD">
              <w:rPr>
                <w:sz w:val="18"/>
                <w:szCs w:val="14"/>
              </w:rPr>
              <w:t>63</w:t>
            </w:r>
          </w:p>
        </w:tc>
        <w:tc>
          <w:tcPr>
            <w:tcW w:w="1340" w:type="dxa"/>
          </w:tcPr>
          <w:p w14:paraId="35A17509" w14:textId="77777777" w:rsidR="00B02873" w:rsidRPr="004F22CD" w:rsidRDefault="00B02873" w:rsidP="0090660B">
            <w:pPr>
              <w:pStyle w:val="TablebodyleftFinancialsTables"/>
              <w:jc w:val="right"/>
              <w:rPr>
                <w:b/>
                <w:bCs/>
                <w:sz w:val="18"/>
                <w:szCs w:val="14"/>
              </w:rPr>
            </w:pPr>
            <w:r w:rsidRPr="004F22CD">
              <w:rPr>
                <w:b/>
                <w:bCs/>
                <w:sz w:val="18"/>
                <w:szCs w:val="14"/>
              </w:rPr>
              <w:t>486</w:t>
            </w:r>
          </w:p>
        </w:tc>
        <w:tc>
          <w:tcPr>
            <w:tcW w:w="1358" w:type="dxa"/>
          </w:tcPr>
          <w:p w14:paraId="0E13AE44" w14:textId="77777777" w:rsidR="00B02873" w:rsidRPr="004F22CD" w:rsidRDefault="00B02873" w:rsidP="0090660B">
            <w:pPr>
              <w:pStyle w:val="TablebodyleftFinancialsTables"/>
              <w:jc w:val="right"/>
              <w:rPr>
                <w:sz w:val="18"/>
                <w:szCs w:val="14"/>
              </w:rPr>
            </w:pPr>
            <w:r w:rsidRPr="004F22CD">
              <w:rPr>
                <w:sz w:val="18"/>
                <w:szCs w:val="14"/>
              </w:rPr>
              <w:t>377</w:t>
            </w:r>
          </w:p>
        </w:tc>
      </w:tr>
      <w:tr w:rsidR="00B02873" w:rsidRPr="004F22CD" w14:paraId="61EF5901" w14:textId="77777777" w:rsidTr="0090660B">
        <w:trPr>
          <w:trHeight w:val="60"/>
        </w:trPr>
        <w:tc>
          <w:tcPr>
            <w:tcW w:w="2972" w:type="dxa"/>
          </w:tcPr>
          <w:p w14:paraId="42B55F63" w14:textId="77777777" w:rsidR="00B02873" w:rsidRPr="004F22CD" w:rsidRDefault="00B02873" w:rsidP="0090660B">
            <w:pPr>
              <w:pStyle w:val="TablebodyleftFinancialsTables"/>
              <w:rPr>
                <w:sz w:val="18"/>
                <w:szCs w:val="14"/>
              </w:rPr>
            </w:pPr>
            <w:r w:rsidRPr="004F22CD">
              <w:rPr>
                <w:spacing w:val="-2"/>
                <w:sz w:val="18"/>
                <w:szCs w:val="14"/>
              </w:rPr>
              <w:t xml:space="preserve">Grant of right to operate liability (Note 4.2.4) </w:t>
            </w:r>
          </w:p>
        </w:tc>
        <w:tc>
          <w:tcPr>
            <w:tcW w:w="1124" w:type="dxa"/>
          </w:tcPr>
          <w:p w14:paraId="43193055" w14:textId="77777777" w:rsidR="00B02873" w:rsidRPr="004F22CD" w:rsidRDefault="00B02873" w:rsidP="0090660B">
            <w:pPr>
              <w:pStyle w:val="TablebodyleftFinancialsTables"/>
              <w:jc w:val="right"/>
              <w:rPr>
                <w:b/>
                <w:bCs/>
                <w:sz w:val="18"/>
                <w:szCs w:val="14"/>
              </w:rPr>
            </w:pPr>
            <w:r w:rsidRPr="004F22CD">
              <w:rPr>
                <w:b/>
                <w:bCs/>
                <w:sz w:val="18"/>
                <w:szCs w:val="14"/>
              </w:rPr>
              <w:t>–</w:t>
            </w:r>
          </w:p>
        </w:tc>
        <w:tc>
          <w:tcPr>
            <w:tcW w:w="1136" w:type="dxa"/>
          </w:tcPr>
          <w:p w14:paraId="385FFEC7" w14:textId="77777777" w:rsidR="00B02873" w:rsidRPr="004F22CD" w:rsidRDefault="00B02873" w:rsidP="0090660B">
            <w:pPr>
              <w:pStyle w:val="TablebodyleftFinancialsTables"/>
              <w:jc w:val="right"/>
              <w:rPr>
                <w:sz w:val="18"/>
                <w:szCs w:val="14"/>
              </w:rPr>
            </w:pPr>
            <w:r w:rsidRPr="004F22CD">
              <w:rPr>
                <w:sz w:val="18"/>
                <w:szCs w:val="14"/>
              </w:rPr>
              <w:t>–</w:t>
            </w:r>
          </w:p>
        </w:tc>
        <w:tc>
          <w:tcPr>
            <w:tcW w:w="950" w:type="dxa"/>
          </w:tcPr>
          <w:p w14:paraId="55BDE039" w14:textId="77777777" w:rsidR="00B02873" w:rsidRPr="004F22CD" w:rsidRDefault="00B02873" w:rsidP="0090660B">
            <w:pPr>
              <w:pStyle w:val="TablebodyleftFinancialsTables"/>
              <w:jc w:val="right"/>
              <w:rPr>
                <w:b/>
                <w:bCs/>
                <w:sz w:val="18"/>
                <w:szCs w:val="14"/>
              </w:rPr>
            </w:pPr>
            <w:r w:rsidRPr="004F22CD">
              <w:rPr>
                <w:b/>
                <w:bCs/>
                <w:sz w:val="18"/>
                <w:szCs w:val="14"/>
              </w:rPr>
              <w:t>–</w:t>
            </w:r>
          </w:p>
        </w:tc>
        <w:tc>
          <w:tcPr>
            <w:tcW w:w="958" w:type="dxa"/>
          </w:tcPr>
          <w:p w14:paraId="704FD2EE" w14:textId="77777777" w:rsidR="00B02873" w:rsidRPr="004F22CD" w:rsidRDefault="00B02873" w:rsidP="0090660B">
            <w:pPr>
              <w:pStyle w:val="TablebodyleftFinancialsTables"/>
              <w:jc w:val="right"/>
              <w:rPr>
                <w:sz w:val="18"/>
                <w:szCs w:val="14"/>
              </w:rPr>
            </w:pPr>
            <w:r w:rsidRPr="004F22CD">
              <w:rPr>
                <w:sz w:val="18"/>
                <w:szCs w:val="14"/>
              </w:rPr>
              <w:t>–</w:t>
            </w:r>
          </w:p>
        </w:tc>
        <w:tc>
          <w:tcPr>
            <w:tcW w:w="1340" w:type="dxa"/>
          </w:tcPr>
          <w:p w14:paraId="415BE7B3" w14:textId="77777777" w:rsidR="00B02873" w:rsidRPr="004F22CD" w:rsidRDefault="00B02873" w:rsidP="0090660B">
            <w:pPr>
              <w:pStyle w:val="TablebodyleftFinancialsTables"/>
              <w:jc w:val="right"/>
              <w:rPr>
                <w:b/>
                <w:bCs/>
                <w:sz w:val="18"/>
                <w:szCs w:val="14"/>
              </w:rPr>
            </w:pPr>
            <w:r w:rsidRPr="004F22CD">
              <w:rPr>
                <w:b/>
                <w:bCs/>
                <w:sz w:val="18"/>
                <w:szCs w:val="14"/>
              </w:rPr>
              <w:t>–</w:t>
            </w:r>
          </w:p>
        </w:tc>
        <w:tc>
          <w:tcPr>
            <w:tcW w:w="1358" w:type="dxa"/>
          </w:tcPr>
          <w:p w14:paraId="7DD4A5F3" w14:textId="77777777" w:rsidR="00B02873" w:rsidRPr="004F22CD" w:rsidRDefault="00B02873" w:rsidP="0090660B">
            <w:pPr>
              <w:pStyle w:val="TablebodyleftFinancialsTables"/>
              <w:jc w:val="right"/>
              <w:rPr>
                <w:sz w:val="18"/>
                <w:szCs w:val="14"/>
              </w:rPr>
            </w:pPr>
            <w:r w:rsidRPr="004F22CD">
              <w:rPr>
                <w:sz w:val="18"/>
                <w:szCs w:val="14"/>
              </w:rPr>
              <w:t>–</w:t>
            </w:r>
          </w:p>
        </w:tc>
      </w:tr>
      <w:tr w:rsidR="00B02873" w:rsidRPr="004F22CD" w14:paraId="1FB18F1E" w14:textId="77777777" w:rsidTr="0090660B">
        <w:trPr>
          <w:trHeight w:val="60"/>
        </w:trPr>
        <w:tc>
          <w:tcPr>
            <w:tcW w:w="2972" w:type="dxa"/>
          </w:tcPr>
          <w:p w14:paraId="363673C6" w14:textId="77777777" w:rsidR="00B02873" w:rsidRPr="004F22CD" w:rsidRDefault="00B02873" w:rsidP="0090660B">
            <w:pPr>
              <w:pStyle w:val="TablebodyleftFinancialsTables"/>
              <w:rPr>
                <w:sz w:val="18"/>
                <w:szCs w:val="14"/>
              </w:rPr>
            </w:pPr>
            <w:r w:rsidRPr="004F22CD">
              <w:rPr>
                <w:sz w:val="18"/>
                <w:szCs w:val="14"/>
              </w:rPr>
              <w:t>Borrowings (Note 4.2.5)</w:t>
            </w:r>
          </w:p>
        </w:tc>
        <w:tc>
          <w:tcPr>
            <w:tcW w:w="1124" w:type="dxa"/>
          </w:tcPr>
          <w:p w14:paraId="620448CC" w14:textId="77777777" w:rsidR="00B02873" w:rsidRPr="004F22CD" w:rsidRDefault="00B02873" w:rsidP="0090660B">
            <w:pPr>
              <w:pStyle w:val="TablebodyleftFinancialsTables"/>
              <w:jc w:val="right"/>
              <w:rPr>
                <w:b/>
                <w:bCs/>
                <w:sz w:val="18"/>
                <w:szCs w:val="14"/>
              </w:rPr>
            </w:pPr>
            <w:r w:rsidRPr="004F22CD">
              <w:rPr>
                <w:b/>
                <w:bCs/>
                <w:sz w:val="18"/>
                <w:szCs w:val="14"/>
              </w:rPr>
              <w:t>–</w:t>
            </w:r>
          </w:p>
        </w:tc>
        <w:tc>
          <w:tcPr>
            <w:tcW w:w="1136" w:type="dxa"/>
          </w:tcPr>
          <w:p w14:paraId="59699A17" w14:textId="77777777" w:rsidR="00B02873" w:rsidRPr="004F22CD" w:rsidRDefault="00B02873" w:rsidP="0090660B">
            <w:pPr>
              <w:pStyle w:val="TablebodyleftFinancialsTables"/>
              <w:jc w:val="right"/>
              <w:rPr>
                <w:sz w:val="18"/>
                <w:szCs w:val="14"/>
              </w:rPr>
            </w:pPr>
            <w:r w:rsidRPr="004F22CD">
              <w:rPr>
                <w:sz w:val="18"/>
                <w:szCs w:val="14"/>
              </w:rPr>
              <w:t>–</w:t>
            </w:r>
          </w:p>
        </w:tc>
        <w:tc>
          <w:tcPr>
            <w:tcW w:w="950" w:type="dxa"/>
          </w:tcPr>
          <w:p w14:paraId="43495858" w14:textId="77777777" w:rsidR="00B02873" w:rsidRPr="004F22CD" w:rsidRDefault="00B02873" w:rsidP="0090660B">
            <w:pPr>
              <w:pStyle w:val="TablebodyleftFinancialsTables"/>
              <w:jc w:val="right"/>
              <w:rPr>
                <w:b/>
                <w:bCs/>
                <w:sz w:val="18"/>
                <w:szCs w:val="14"/>
              </w:rPr>
            </w:pPr>
            <w:r w:rsidRPr="004F22CD">
              <w:rPr>
                <w:b/>
                <w:bCs/>
                <w:sz w:val="18"/>
                <w:szCs w:val="14"/>
              </w:rPr>
              <w:t>–</w:t>
            </w:r>
          </w:p>
        </w:tc>
        <w:tc>
          <w:tcPr>
            <w:tcW w:w="958" w:type="dxa"/>
          </w:tcPr>
          <w:p w14:paraId="6FCF08B3" w14:textId="77777777" w:rsidR="00B02873" w:rsidRPr="004F22CD" w:rsidRDefault="00B02873" w:rsidP="0090660B">
            <w:pPr>
              <w:pStyle w:val="TablebodyleftFinancialsTables"/>
              <w:jc w:val="right"/>
              <w:rPr>
                <w:sz w:val="18"/>
                <w:szCs w:val="14"/>
              </w:rPr>
            </w:pPr>
            <w:r w:rsidRPr="004F22CD">
              <w:rPr>
                <w:sz w:val="18"/>
                <w:szCs w:val="14"/>
              </w:rPr>
              <w:t>–</w:t>
            </w:r>
          </w:p>
        </w:tc>
        <w:tc>
          <w:tcPr>
            <w:tcW w:w="1340" w:type="dxa"/>
          </w:tcPr>
          <w:p w14:paraId="748DA7F8" w14:textId="77777777" w:rsidR="00B02873" w:rsidRPr="004F22CD" w:rsidRDefault="00B02873" w:rsidP="0090660B">
            <w:pPr>
              <w:pStyle w:val="TablebodyleftFinancialsTables"/>
              <w:jc w:val="right"/>
              <w:rPr>
                <w:b/>
                <w:bCs/>
                <w:sz w:val="18"/>
                <w:szCs w:val="14"/>
              </w:rPr>
            </w:pPr>
            <w:r w:rsidRPr="004F22CD">
              <w:rPr>
                <w:b/>
                <w:bCs/>
                <w:sz w:val="18"/>
                <w:szCs w:val="14"/>
              </w:rPr>
              <w:t>–</w:t>
            </w:r>
          </w:p>
        </w:tc>
        <w:tc>
          <w:tcPr>
            <w:tcW w:w="1358" w:type="dxa"/>
          </w:tcPr>
          <w:p w14:paraId="7971D97D" w14:textId="77777777" w:rsidR="00B02873" w:rsidRPr="004F22CD" w:rsidRDefault="00B02873" w:rsidP="0090660B">
            <w:pPr>
              <w:pStyle w:val="TablebodyleftFinancialsTables"/>
              <w:jc w:val="right"/>
              <w:rPr>
                <w:sz w:val="18"/>
                <w:szCs w:val="14"/>
              </w:rPr>
            </w:pPr>
            <w:r w:rsidRPr="004F22CD">
              <w:rPr>
                <w:sz w:val="18"/>
                <w:szCs w:val="14"/>
              </w:rPr>
              <w:t>–</w:t>
            </w:r>
          </w:p>
        </w:tc>
      </w:tr>
      <w:tr w:rsidR="00B02873" w:rsidRPr="004F22CD" w14:paraId="6CEA6E04" w14:textId="77777777" w:rsidTr="0090660B">
        <w:trPr>
          <w:trHeight w:val="60"/>
        </w:trPr>
        <w:tc>
          <w:tcPr>
            <w:tcW w:w="2972" w:type="dxa"/>
          </w:tcPr>
          <w:p w14:paraId="79CC2B5E" w14:textId="77777777" w:rsidR="00B02873" w:rsidRPr="004F22CD" w:rsidRDefault="00B02873" w:rsidP="0090660B">
            <w:pPr>
              <w:pStyle w:val="TablebodyleftFinancialsTables"/>
              <w:rPr>
                <w:sz w:val="18"/>
                <w:szCs w:val="14"/>
              </w:rPr>
            </w:pPr>
            <w:r w:rsidRPr="004F22CD">
              <w:rPr>
                <w:sz w:val="18"/>
                <w:szCs w:val="14"/>
              </w:rPr>
              <w:t>Other liabilities</w:t>
            </w:r>
          </w:p>
        </w:tc>
        <w:tc>
          <w:tcPr>
            <w:tcW w:w="1124" w:type="dxa"/>
          </w:tcPr>
          <w:p w14:paraId="28A89B34" w14:textId="77777777" w:rsidR="00B02873" w:rsidRPr="004F22CD" w:rsidRDefault="00B02873" w:rsidP="0090660B">
            <w:pPr>
              <w:pStyle w:val="TablebodyleftFinancialsTables"/>
              <w:jc w:val="right"/>
              <w:rPr>
                <w:b/>
                <w:bCs/>
                <w:sz w:val="18"/>
                <w:szCs w:val="14"/>
              </w:rPr>
            </w:pPr>
            <w:r w:rsidRPr="004F22CD">
              <w:rPr>
                <w:b/>
                <w:bCs/>
                <w:sz w:val="18"/>
                <w:szCs w:val="14"/>
              </w:rPr>
              <w:t>–</w:t>
            </w:r>
          </w:p>
        </w:tc>
        <w:tc>
          <w:tcPr>
            <w:tcW w:w="1136" w:type="dxa"/>
          </w:tcPr>
          <w:p w14:paraId="6756DCA6" w14:textId="77777777" w:rsidR="00B02873" w:rsidRPr="004F22CD" w:rsidRDefault="00B02873" w:rsidP="0090660B">
            <w:pPr>
              <w:pStyle w:val="TablebodyleftFinancialsTables"/>
              <w:jc w:val="right"/>
              <w:rPr>
                <w:sz w:val="18"/>
                <w:szCs w:val="14"/>
              </w:rPr>
            </w:pPr>
            <w:r w:rsidRPr="004F22CD">
              <w:rPr>
                <w:sz w:val="18"/>
                <w:szCs w:val="14"/>
              </w:rPr>
              <w:t>–</w:t>
            </w:r>
          </w:p>
        </w:tc>
        <w:tc>
          <w:tcPr>
            <w:tcW w:w="950" w:type="dxa"/>
          </w:tcPr>
          <w:p w14:paraId="0A5BC671" w14:textId="77777777" w:rsidR="00B02873" w:rsidRPr="004F22CD" w:rsidRDefault="00B02873" w:rsidP="0090660B">
            <w:pPr>
              <w:pStyle w:val="TablebodyleftFinancialsTables"/>
              <w:jc w:val="right"/>
              <w:rPr>
                <w:b/>
                <w:bCs/>
                <w:sz w:val="18"/>
                <w:szCs w:val="14"/>
              </w:rPr>
            </w:pPr>
            <w:r w:rsidRPr="004F22CD">
              <w:rPr>
                <w:b/>
                <w:bCs/>
                <w:sz w:val="18"/>
                <w:szCs w:val="14"/>
              </w:rPr>
              <w:t>–</w:t>
            </w:r>
          </w:p>
        </w:tc>
        <w:tc>
          <w:tcPr>
            <w:tcW w:w="958" w:type="dxa"/>
          </w:tcPr>
          <w:p w14:paraId="7DD8935F" w14:textId="77777777" w:rsidR="00B02873" w:rsidRPr="004F22CD" w:rsidRDefault="00B02873" w:rsidP="0090660B">
            <w:pPr>
              <w:pStyle w:val="TablebodyleftFinancialsTables"/>
              <w:jc w:val="right"/>
              <w:rPr>
                <w:sz w:val="18"/>
                <w:szCs w:val="14"/>
              </w:rPr>
            </w:pPr>
            <w:r w:rsidRPr="004F22CD">
              <w:rPr>
                <w:sz w:val="18"/>
                <w:szCs w:val="14"/>
              </w:rPr>
              <w:t>–</w:t>
            </w:r>
          </w:p>
        </w:tc>
        <w:tc>
          <w:tcPr>
            <w:tcW w:w="1340" w:type="dxa"/>
          </w:tcPr>
          <w:p w14:paraId="789A97CC" w14:textId="77777777" w:rsidR="00B02873" w:rsidRPr="004F22CD" w:rsidRDefault="00B02873" w:rsidP="0090660B">
            <w:pPr>
              <w:pStyle w:val="TablebodyleftFinancialsTables"/>
              <w:jc w:val="right"/>
              <w:rPr>
                <w:b/>
                <w:bCs/>
                <w:sz w:val="18"/>
                <w:szCs w:val="14"/>
              </w:rPr>
            </w:pPr>
            <w:r w:rsidRPr="004F22CD">
              <w:rPr>
                <w:b/>
                <w:bCs/>
                <w:sz w:val="18"/>
                <w:szCs w:val="14"/>
              </w:rPr>
              <w:t>–</w:t>
            </w:r>
          </w:p>
        </w:tc>
        <w:tc>
          <w:tcPr>
            <w:tcW w:w="1358" w:type="dxa"/>
          </w:tcPr>
          <w:p w14:paraId="5DBE69B7" w14:textId="77777777" w:rsidR="00B02873" w:rsidRPr="004F22CD" w:rsidRDefault="00B02873" w:rsidP="0090660B">
            <w:pPr>
              <w:pStyle w:val="TablebodyleftFinancialsTables"/>
              <w:jc w:val="right"/>
              <w:rPr>
                <w:sz w:val="18"/>
                <w:szCs w:val="14"/>
              </w:rPr>
            </w:pPr>
            <w:r w:rsidRPr="004F22CD">
              <w:rPr>
                <w:sz w:val="18"/>
                <w:szCs w:val="14"/>
              </w:rPr>
              <w:t>–</w:t>
            </w:r>
          </w:p>
        </w:tc>
      </w:tr>
      <w:tr w:rsidR="00B02873" w:rsidRPr="004F22CD" w14:paraId="0F6DF0D3" w14:textId="77777777" w:rsidTr="0090660B">
        <w:trPr>
          <w:trHeight w:val="60"/>
        </w:trPr>
        <w:tc>
          <w:tcPr>
            <w:tcW w:w="2972" w:type="dxa"/>
          </w:tcPr>
          <w:p w14:paraId="788B75CD" w14:textId="77777777" w:rsidR="00B02873" w:rsidRPr="004F22CD" w:rsidRDefault="00B02873" w:rsidP="0090660B">
            <w:pPr>
              <w:pStyle w:val="TablebodyleftFinancialsTables"/>
              <w:rPr>
                <w:b/>
                <w:bCs/>
                <w:sz w:val="18"/>
                <w:szCs w:val="14"/>
              </w:rPr>
            </w:pPr>
            <w:r w:rsidRPr="004F22CD">
              <w:rPr>
                <w:b/>
                <w:bCs/>
                <w:sz w:val="18"/>
                <w:szCs w:val="14"/>
              </w:rPr>
              <w:t>Total administered liabilities</w:t>
            </w:r>
          </w:p>
        </w:tc>
        <w:tc>
          <w:tcPr>
            <w:tcW w:w="1124" w:type="dxa"/>
          </w:tcPr>
          <w:p w14:paraId="19333E79" w14:textId="558197EB" w:rsidR="00B02873" w:rsidRPr="004F22CD" w:rsidRDefault="00B02873" w:rsidP="0090660B">
            <w:pPr>
              <w:pStyle w:val="TablebodyleftFinancialsTables"/>
              <w:jc w:val="right"/>
              <w:rPr>
                <w:b/>
                <w:bCs/>
                <w:sz w:val="18"/>
                <w:szCs w:val="14"/>
              </w:rPr>
            </w:pPr>
            <w:r w:rsidRPr="004F22CD">
              <w:rPr>
                <w:b/>
                <w:bCs/>
                <w:sz w:val="18"/>
                <w:szCs w:val="14"/>
              </w:rPr>
              <w:t>778</w:t>
            </w:r>
          </w:p>
        </w:tc>
        <w:tc>
          <w:tcPr>
            <w:tcW w:w="1136" w:type="dxa"/>
          </w:tcPr>
          <w:p w14:paraId="5DF06B51" w14:textId="4CC716CC" w:rsidR="00B02873" w:rsidRPr="004F22CD" w:rsidRDefault="00B02873" w:rsidP="0090660B">
            <w:pPr>
              <w:pStyle w:val="TablebodyleftFinancialsTables"/>
              <w:jc w:val="right"/>
              <w:rPr>
                <w:sz w:val="18"/>
                <w:szCs w:val="14"/>
              </w:rPr>
            </w:pPr>
            <w:r w:rsidRPr="004F22CD">
              <w:rPr>
                <w:sz w:val="18"/>
                <w:szCs w:val="14"/>
              </w:rPr>
              <w:t>701</w:t>
            </w:r>
          </w:p>
        </w:tc>
        <w:tc>
          <w:tcPr>
            <w:tcW w:w="950" w:type="dxa"/>
          </w:tcPr>
          <w:p w14:paraId="6B51E794" w14:textId="5627B7E8" w:rsidR="00B02873" w:rsidRPr="004F22CD" w:rsidRDefault="00B02873" w:rsidP="0090660B">
            <w:pPr>
              <w:pStyle w:val="TablebodyleftFinancialsTables"/>
              <w:jc w:val="right"/>
              <w:rPr>
                <w:b/>
                <w:bCs/>
                <w:sz w:val="18"/>
                <w:szCs w:val="14"/>
              </w:rPr>
            </w:pPr>
            <w:r w:rsidRPr="004F22CD">
              <w:rPr>
                <w:b/>
                <w:bCs/>
                <w:sz w:val="18"/>
                <w:szCs w:val="14"/>
              </w:rPr>
              <w:t>390</w:t>
            </w:r>
          </w:p>
        </w:tc>
        <w:tc>
          <w:tcPr>
            <w:tcW w:w="958" w:type="dxa"/>
          </w:tcPr>
          <w:p w14:paraId="402DFAD9" w14:textId="29239C16" w:rsidR="00B02873" w:rsidRPr="004F22CD" w:rsidRDefault="00B02873" w:rsidP="0090660B">
            <w:pPr>
              <w:pStyle w:val="TablebodyleftFinancialsTables"/>
              <w:jc w:val="right"/>
              <w:rPr>
                <w:sz w:val="18"/>
                <w:szCs w:val="14"/>
              </w:rPr>
            </w:pPr>
            <w:r w:rsidRPr="004F22CD">
              <w:rPr>
                <w:sz w:val="18"/>
                <w:szCs w:val="14"/>
              </w:rPr>
              <w:t>210</w:t>
            </w:r>
          </w:p>
        </w:tc>
        <w:tc>
          <w:tcPr>
            <w:tcW w:w="1340" w:type="dxa"/>
          </w:tcPr>
          <w:p w14:paraId="3EFD27D4" w14:textId="77777777" w:rsidR="00B02873" w:rsidRPr="004F22CD" w:rsidRDefault="00B02873" w:rsidP="0090660B">
            <w:pPr>
              <w:pStyle w:val="TablebodyleftFinancialsTables"/>
              <w:jc w:val="right"/>
              <w:rPr>
                <w:b/>
                <w:bCs/>
                <w:sz w:val="18"/>
                <w:szCs w:val="14"/>
              </w:rPr>
            </w:pPr>
            <w:r w:rsidRPr="004F22CD">
              <w:rPr>
                <w:b/>
                <w:bCs/>
                <w:sz w:val="18"/>
                <w:szCs w:val="14"/>
              </w:rPr>
              <w:t>1,556</w:t>
            </w:r>
          </w:p>
        </w:tc>
        <w:tc>
          <w:tcPr>
            <w:tcW w:w="1358" w:type="dxa"/>
          </w:tcPr>
          <w:p w14:paraId="10EDD76B" w14:textId="77777777" w:rsidR="00B02873" w:rsidRPr="004F22CD" w:rsidRDefault="00B02873" w:rsidP="0090660B">
            <w:pPr>
              <w:pStyle w:val="TablebodyleftFinancialsTables"/>
              <w:jc w:val="right"/>
              <w:rPr>
                <w:sz w:val="18"/>
                <w:szCs w:val="14"/>
              </w:rPr>
            </w:pPr>
            <w:r w:rsidRPr="004F22CD">
              <w:rPr>
                <w:sz w:val="18"/>
                <w:szCs w:val="14"/>
              </w:rPr>
              <w:t>1,261</w:t>
            </w:r>
          </w:p>
        </w:tc>
      </w:tr>
      <w:tr w:rsidR="00B02873" w:rsidRPr="004F22CD" w14:paraId="53768E9A" w14:textId="77777777" w:rsidTr="0090660B">
        <w:trPr>
          <w:trHeight w:val="60"/>
        </w:trPr>
        <w:tc>
          <w:tcPr>
            <w:tcW w:w="2972" w:type="dxa"/>
          </w:tcPr>
          <w:p w14:paraId="07BC9709" w14:textId="77777777" w:rsidR="00B02873" w:rsidRPr="004F22CD" w:rsidRDefault="00B02873" w:rsidP="0090660B">
            <w:pPr>
              <w:pStyle w:val="TablebodyleftFinancialsTables"/>
              <w:rPr>
                <w:b/>
                <w:bCs/>
                <w:sz w:val="18"/>
                <w:szCs w:val="14"/>
              </w:rPr>
            </w:pPr>
            <w:r w:rsidRPr="004F22CD">
              <w:rPr>
                <w:b/>
                <w:bCs/>
                <w:sz w:val="18"/>
                <w:szCs w:val="14"/>
              </w:rPr>
              <w:t>Total administered net assets</w:t>
            </w:r>
          </w:p>
        </w:tc>
        <w:tc>
          <w:tcPr>
            <w:tcW w:w="1124" w:type="dxa"/>
          </w:tcPr>
          <w:p w14:paraId="68FAF993" w14:textId="15996D4F" w:rsidR="00B02873" w:rsidRPr="004F22CD" w:rsidRDefault="00B02873" w:rsidP="0090660B">
            <w:pPr>
              <w:pStyle w:val="TablebodyleftFinancialsTables"/>
              <w:jc w:val="right"/>
              <w:rPr>
                <w:b/>
                <w:bCs/>
                <w:sz w:val="18"/>
                <w:szCs w:val="14"/>
              </w:rPr>
            </w:pPr>
            <w:r w:rsidRPr="004F22CD">
              <w:rPr>
                <w:b/>
                <w:bCs/>
                <w:sz w:val="18"/>
                <w:szCs w:val="14"/>
              </w:rPr>
              <w:t>9,194</w:t>
            </w:r>
          </w:p>
        </w:tc>
        <w:tc>
          <w:tcPr>
            <w:tcW w:w="1136" w:type="dxa"/>
          </w:tcPr>
          <w:p w14:paraId="7F457D47" w14:textId="77777777" w:rsidR="00B02873" w:rsidRPr="004F22CD" w:rsidRDefault="00B02873" w:rsidP="0090660B">
            <w:pPr>
              <w:pStyle w:val="TablebodyleftFinancialsTables"/>
              <w:jc w:val="right"/>
              <w:rPr>
                <w:sz w:val="18"/>
                <w:szCs w:val="14"/>
              </w:rPr>
            </w:pPr>
            <w:r w:rsidRPr="004F22CD">
              <w:rPr>
                <w:sz w:val="18"/>
                <w:szCs w:val="14"/>
              </w:rPr>
              <w:t>4,116</w:t>
            </w:r>
          </w:p>
        </w:tc>
        <w:tc>
          <w:tcPr>
            <w:tcW w:w="950" w:type="dxa"/>
          </w:tcPr>
          <w:p w14:paraId="27E3F6D1" w14:textId="77777777" w:rsidR="00B02873" w:rsidRPr="004F22CD" w:rsidRDefault="00B02873" w:rsidP="0090660B">
            <w:pPr>
              <w:pStyle w:val="TablebodyleftFinancialsTables"/>
              <w:jc w:val="right"/>
              <w:rPr>
                <w:b/>
                <w:bCs/>
                <w:sz w:val="18"/>
                <w:szCs w:val="14"/>
              </w:rPr>
            </w:pPr>
            <w:r w:rsidRPr="004F22CD">
              <w:rPr>
                <w:b/>
                <w:bCs/>
                <w:sz w:val="18"/>
                <w:szCs w:val="14"/>
              </w:rPr>
              <w:t>4,596</w:t>
            </w:r>
          </w:p>
        </w:tc>
        <w:tc>
          <w:tcPr>
            <w:tcW w:w="958" w:type="dxa"/>
          </w:tcPr>
          <w:p w14:paraId="6F808AA9" w14:textId="77777777" w:rsidR="00B02873" w:rsidRPr="004F22CD" w:rsidRDefault="00B02873" w:rsidP="0090660B">
            <w:pPr>
              <w:pStyle w:val="TablebodyleftFinancialsTables"/>
              <w:jc w:val="right"/>
              <w:rPr>
                <w:sz w:val="18"/>
                <w:szCs w:val="14"/>
              </w:rPr>
            </w:pPr>
            <w:r w:rsidRPr="004F22CD">
              <w:rPr>
                <w:sz w:val="18"/>
                <w:szCs w:val="14"/>
              </w:rPr>
              <w:t>1,235</w:t>
            </w:r>
          </w:p>
        </w:tc>
        <w:tc>
          <w:tcPr>
            <w:tcW w:w="1340" w:type="dxa"/>
          </w:tcPr>
          <w:p w14:paraId="31547453" w14:textId="3A033C0D" w:rsidR="00B02873" w:rsidRPr="004F22CD" w:rsidRDefault="00B02873" w:rsidP="0090660B">
            <w:pPr>
              <w:pStyle w:val="TablebodyleftFinancialsTables"/>
              <w:jc w:val="right"/>
              <w:rPr>
                <w:b/>
                <w:bCs/>
                <w:sz w:val="18"/>
                <w:szCs w:val="14"/>
              </w:rPr>
            </w:pPr>
            <w:r w:rsidRPr="004F22CD">
              <w:rPr>
                <w:b/>
                <w:bCs/>
                <w:sz w:val="18"/>
                <w:szCs w:val="14"/>
              </w:rPr>
              <w:t xml:space="preserve">18,389 </w:t>
            </w:r>
          </w:p>
        </w:tc>
        <w:tc>
          <w:tcPr>
            <w:tcW w:w="1358" w:type="dxa"/>
          </w:tcPr>
          <w:p w14:paraId="0FFF629B" w14:textId="77777777" w:rsidR="00B02873" w:rsidRPr="004F22CD" w:rsidRDefault="00B02873" w:rsidP="0090660B">
            <w:pPr>
              <w:pStyle w:val="TablebodyleftFinancialsTables"/>
              <w:jc w:val="right"/>
              <w:rPr>
                <w:sz w:val="18"/>
                <w:szCs w:val="14"/>
              </w:rPr>
            </w:pPr>
            <w:r w:rsidRPr="004F22CD">
              <w:rPr>
                <w:sz w:val="18"/>
                <w:szCs w:val="14"/>
              </w:rPr>
              <w:t>7,410</w:t>
            </w:r>
          </w:p>
        </w:tc>
      </w:tr>
    </w:tbl>
    <w:p w14:paraId="06498FED" w14:textId="77777777" w:rsidR="00B02873" w:rsidRDefault="00B02873" w:rsidP="00FE198A"/>
    <w:p w14:paraId="4F2332BD" w14:textId="77777777" w:rsidR="00B02873" w:rsidRDefault="00B02873" w:rsidP="0090660B">
      <w:pPr>
        <w:pStyle w:val="Heading4"/>
      </w:pPr>
      <w:r>
        <w:t>4.2.2 Administered assets and liabilities (continued)</w:t>
      </w:r>
    </w:p>
    <w:tbl>
      <w:tblPr>
        <w:tblStyle w:val="TableGrid"/>
        <w:tblW w:w="9922" w:type="dxa"/>
        <w:tblLayout w:type="fixed"/>
        <w:tblLook w:val="0020" w:firstRow="1" w:lastRow="0" w:firstColumn="0" w:lastColumn="0" w:noHBand="0" w:noVBand="0"/>
      </w:tblPr>
      <w:tblGrid>
        <w:gridCol w:w="3397"/>
        <w:gridCol w:w="993"/>
        <w:gridCol w:w="992"/>
        <w:gridCol w:w="1134"/>
        <w:gridCol w:w="1134"/>
        <w:gridCol w:w="1134"/>
        <w:gridCol w:w="1138"/>
      </w:tblGrid>
      <w:tr w:rsidR="00B02873" w:rsidRPr="004F22CD" w14:paraId="428B22ED" w14:textId="77777777" w:rsidTr="00DB2070">
        <w:trPr>
          <w:cnfStyle w:val="100000000000" w:firstRow="1" w:lastRow="0" w:firstColumn="0" w:lastColumn="0" w:oddVBand="0" w:evenVBand="0" w:oddHBand="0" w:evenHBand="0" w:firstRowFirstColumn="0" w:firstRowLastColumn="0" w:lastRowFirstColumn="0" w:lastRowLastColumn="0"/>
          <w:tblHeader/>
        </w:trPr>
        <w:tc>
          <w:tcPr>
            <w:tcW w:w="3397" w:type="dxa"/>
          </w:tcPr>
          <w:p w14:paraId="230E7170" w14:textId="77777777" w:rsidR="00B02873" w:rsidRPr="004F22CD" w:rsidRDefault="00B02873" w:rsidP="004F22CD">
            <w:pPr>
              <w:pStyle w:val="TableheadingleftFinancialsTables"/>
              <w:rPr>
                <w:rFonts w:asciiTheme="minorHAnsi" w:hAnsiTheme="minorHAnsi" w:cstheme="minorHAnsi"/>
                <w:sz w:val="18"/>
                <w:szCs w:val="14"/>
              </w:rPr>
            </w:pPr>
          </w:p>
        </w:tc>
        <w:tc>
          <w:tcPr>
            <w:tcW w:w="993" w:type="dxa"/>
          </w:tcPr>
          <w:p w14:paraId="7C22A914" w14:textId="2295B1F9" w:rsidR="00B02873" w:rsidRPr="004F22CD" w:rsidRDefault="004F22CD" w:rsidP="004F22CD">
            <w:pPr>
              <w:pStyle w:val="TableheadingleftFinancialsTables"/>
              <w:jc w:val="right"/>
              <w:rPr>
                <w:rFonts w:asciiTheme="minorHAnsi" w:hAnsiTheme="minorHAnsi" w:cstheme="minorHAnsi"/>
                <w:sz w:val="18"/>
                <w:szCs w:val="14"/>
              </w:rPr>
            </w:pPr>
            <w:r w:rsidRPr="004F22CD">
              <w:rPr>
                <w:rFonts w:asciiTheme="minorHAnsi" w:hAnsiTheme="minorHAnsi" w:cstheme="minorHAnsi"/>
                <w:sz w:val="18"/>
                <w:szCs w:val="14"/>
              </w:rPr>
              <w:t xml:space="preserve">Energy </w:t>
            </w:r>
            <w:r w:rsidR="00B02873" w:rsidRPr="004F22CD">
              <w:rPr>
                <w:rFonts w:asciiTheme="minorHAnsi" w:hAnsiTheme="minorHAnsi" w:cstheme="minorHAnsi"/>
                <w:sz w:val="18"/>
                <w:szCs w:val="14"/>
              </w:rPr>
              <w:t xml:space="preserve">2022 </w:t>
            </w:r>
            <w:r w:rsidR="00B02873" w:rsidRPr="004F22CD">
              <w:rPr>
                <w:rFonts w:asciiTheme="minorHAnsi" w:hAnsiTheme="minorHAnsi" w:cstheme="minorHAnsi"/>
                <w:sz w:val="18"/>
                <w:szCs w:val="14"/>
              </w:rPr>
              <w:br/>
              <w:t>$’000</w:t>
            </w:r>
          </w:p>
        </w:tc>
        <w:tc>
          <w:tcPr>
            <w:tcW w:w="992" w:type="dxa"/>
          </w:tcPr>
          <w:p w14:paraId="58BD6AD6" w14:textId="1259F902" w:rsidR="00B02873" w:rsidRPr="004F22CD" w:rsidRDefault="004F22CD" w:rsidP="004F22CD">
            <w:pPr>
              <w:pStyle w:val="TableheadingleftFinancialsTables"/>
              <w:jc w:val="right"/>
              <w:rPr>
                <w:rFonts w:asciiTheme="minorHAnsi" w:hAnsiTheme="minorHAnsi" w:cstheme="minorHAnsi"/>
                <w:sz w:val="18"/>
                <w:szCs w:val="14"/>
              </w:rPr>
            </w:pPr>
            <w:r w:rsidRPr="004F22CD">
              <w:rPr>
                <w:rFonts w:asciiTheme="minorHAnsi" w:hAnsiTheme="minorHAnsi" w:cstheme="minorHAnsi"/>
                <w:sz w:val="18"/>
                <w:szCs w:val="14"/>
              </w:rPr>
              <w:t xml:space="preserve">Energy </w:t>
            </w:r>
            <w:r w:rsidR="00B02873" w:rsidRPr="004F22CD">
              <w:rPr>
                <w:rFonts w:asciiTheme="minorHAnsi" w:hAnsiTheme="minorHAnsi" w:cstheme="minorHAnsi"/>
                <w:sz w:val="18"/>
                <w:szCs w:val="14"/>
              </w:rPr>
              <w:t>2021</w:t>
            </w:r>
            <w:r w:rsidR="00B02873" w:rsidRPr="004F22CD">
              <w:rPr>
                <w:rFonts w:asciiTheme="minorHAnsi" w:hAnsiTheme="minorHAnsi" w:cstheme="minorHAnsi"/>
                <w:sz w:val="18"/>
                <w:szCs w:val="14"/>
              </w:rPr>
              <w:br/>
              <w:t>$’000</w:t>
            </w:r>
          </w:p>
        </w:tc>
        <w:tc>
          <w:tcPr>
            <w:tcW w:w="1134" w:type="dxa"/>
          </w:tcPr>
          <w:p w14:paraId="75B87645" w14:textId="531E658B" w:rsidR="00B02873" w:rsidRPr="004F22CD" w:rsidRDefault="004F22CD" w:rsidP="004F22CD">
            <w:pPr>
              <w:pStyle w:val="TableheadingleftFinancialsTables"/>
              <w:jc w:val="right"/>
              <w:rPr>
                <w:rFonts w:asciiTheme="minorHAnsi" w:hAnsiTheme="minorHAnsi" w:cstheme="minorHAnsi"/>
                <w:sz w:val="18"/>
                <w:szCs w:val="14"/>
              </w:rPr>
            </w:pPr>
            <w:r w:rsidRPr="004F22CD">
              <w:rPr>
                <w:rFonts w:asciiTheme="minorHAnsi" w:hAnsiTheme="minorHAnsi" w:cstheme="minorHAnsi"/>
                <w:sz w:val="18"/>
                <w:szCs w:val="14"/>
              </w:rPr>
              <w:t xml:space="preserve">Waste and Recycling </w:t>
            </w:r>
            <w:r w:rsidR="00B02873" w:rsidRPr="004F22CD">
              <w:rPr>
                <w:rFonts w:asciiTheme="minorHAnsi" w:hAnsiTheme="minorHAnsi" w:cstheme="minorHAnsi"/>
                <w:sz w:val="18"/>
                <w:szCs w:val="14"/>
              </w:rPr>
              <w:t xml:space="preserve">2022 </w:t>
            </w:r>
            <w:r w:rsidR="00B02873" w:rsidRPr="004F22CD">
              <w:rPr>
                <w:rFonts w:asciiTheme="minorHAnsi" w:hAnsiTheme="minorHAnsi" w:cstheme="minorHAnsi"/>
                <w:sz w:val="18"/>
                <w:szCs w:val="14"/>
              </w:rPr>
              <w:br/>
              <w:t>$’000</w:t>
            </w:r>
          </w:p>
        </w:tc>
        <w:tc>
          <w:tcPr>
            <w:tcW w:w="1134" w:type="dxa"/>
          </w:tcPr>
          <w:p w14:paraId="409E2FCD" w14:textId="7D1B1DCF" w:rsidR="00B02873" w:rsidRPr="004F22CD" w:rsidRDefault="004F22CD" w:rsidP="004F22CD">
            <w:pPr>
              <w:pStyle w:val="TableheadingleftFinancialsTables"/>
              <w:jc w:val="right"/>
              <w:rPr>
                <w:rFonts w:asciiTheme="minorHAnsi" w:hAnsiTheme="minorHAnsi" w:cstheme="minorHAnsi"/>
                <w:sz w:val="18"/>
                <w:szCs w:val="14"/>
              </w:rPr>
            </w:pPr>
            <w:r w:rsidRPr="004F22CD">
              <w:rPr>
                <w:rFonts w:asciiTheme="minorHAnsi" w:hAnsiTheme="minorHAnsi" w:cstheme="minorHAnsi"/>
                <w:sz w:val="18"/>
                <w:szCs w:val="14"/>
              </w:rPr>
              <w:t xml:space="preserve">Waste and Recycling </w:t>
            </w:r>
            <w:r w:rsidR="00B02873" w:rsidRPr="004F22CD">
              <w:rPr>
                <w:rFonts w:asciiTheme="minorHAnsi" w:hAnsiTheme="minorHAnsi" w:cstheme="minorHAnsi"/>
                <w:sz w:val="18"/>
                <w:szCs w:val="14"/>
              </w:rPr>
              <w:t>2021</w:t>
            </w:r>
            <w:r w:rsidR="00B02873" w:rsidRPr="004F22CD">
              <w:rPr>
                <w:rFonts w:asciiTheme="minorHAnsi" w:hAnsiTheme="minorHAnsi" w:cstheme="minorHAnsi"/>
                <w:sz w:val="18"/>
                <w:szCs w:val="14"/>
              </w:rPr>
              <w:br/>
              <w:t>$’000</w:t>
            </w:r>
          </w:p>
        </w:tc>
        <w:tc>
          <w:tcPr>
            <w:tcW w:w="1134" w:type="dxa"/>
          </w:tcPr>
          <w:p w14:paraId="0F9C9355" w14:textId="3370CF0C" w:rsidR="00B02873" w:rsidRPr="004F22CD" w:rsidRDefault="004F22CD" w:rsidP="004F22CD">
            <w:pPr>
              <w:pStyle w:val="TableheadingleftFinancialsTables"/>
              <w:jc w:val="right"/>
              <w:rPr>
                <w:rFonts w:asciiTheme="minorHAnsi" w:hAnsiTheme="minorHAnsi" w:cstheme="minorHAnsi"/>
                <w:sz w:val="18"/>
                <w:szCs w:val="14"/>
              </w:rPr>
            </w:pPr>
            <w:r w:rsidRPr="004F22CD">
              <w:rPr>
                <w:rFonts w:asciiTheme="minorHAnsi" w:hAnsiTheme="minorHAnsi" w:cstheme="minorHAnsi"/>
                <w:sz w:val="18"/>
                <w:szCs w:val="14"/>
              </w:rPr>
              <w:t xml:space="preserve">Total </w:t>
            </w:r>
            <w:r w:rsidR="00B02873" w:rsidRPr="004F22CD">
              <w:rPr>
                <w:rFonts w:asciiTheme="minorHAnsi" w:hAnsiTheme="minorHAnsi" w:cstheme="minorHAnsi"/>
                <w:sz w:val="18"/>
                <w:szCs w:val="14"/>
              </w:rPr>
              <w:t xml:space="preserve">2022 </w:t>
            </w:r>
            <w:r w:rsidR="00B02873" w:rsidRPr="004F22CD">
              <w:rPr>
                <w:rFonts w:asciiTheme="minorHAnsi" w:hAnsiTheme="minorHAnsi" w:cstheme="minorHAnsi"/>
                <w:sz w:val="18"/>
                <w:szCs w:val="14"/>
              </w:rPr>
              <w:br/>
              <w:t>$’000</w:t>
            </w:r>
          </w:p>
        </w:tc>
        <w:tc>
          <w:tcPr>
            <w:tcW w:w="1138" w:type="dxa"/>
          </w:tcPr>
          <w:p w14:paraId="04CCDEC7" w14:textId="60A2A2DD" w:rsidR="00B02873" w:rsidRPr="004F22CD" w:rsidRDefault="004F22CD" w:rsidP="004F22CD">
            <w:pPr>
              <w:pStyle w:val="TableheadingleftFinancialsTables"/>
              <w:jc w:val="right"/>
              <w:rPr>
                <w:rFonts w:asciiTheme="minorHAnsi" w:hAnsiTheme="minorHAnsi" w:cstheme="minorHAnsi"/>
                <w:sz w:val="18"/>
                <w:szCs w:val="14"/>
              </w:rPr>
            </w:pPr>
            <w:r w:rsidRPr="004F22CD">
              <w:rPr>
                <w:rFonts w:asciiTheme="minorHAnsi" w:hAnsiTheme="minorHAnsi" w:cstheme="minorHAnsi"/>
                <w:sz w:val="18"/>
                <w:szCs w:val="14"/>
              </w:rPr>
              <w:t xml:space="preserve">Total </w:t>
            </w:r>
            <w:r w:rsidR="00B02873" w:rsidRPr="004F22CD">
              <w:rPr>
                <w:rFonts w:asciiTheme="minorHAnsi" w:hAnsiTheme="minorHAnsi" w:cstheme="minorHAnsi"/>
                <w:sz w:val="18"/>
                <w:szCs w:val="14"/>
              </w:rPr>
              <w:t>2021</w:t>
            </w:r>
            <w:r w:rsidR="00B02873" w:rsidRPr="004F22CD">
              <w:rPr>
                <w:rFonts w:asciiTheme="minorHAnsi" w:hAnsiTheme="minorHAnsi" w:cstheme="minorHAnsi"/>
                <w:sz w:val="18"/>
                <w:szCs w:val="14"/>
              </w:rPr>
              <w:br/>
              <w:t>$’000</w:t>
            </w:r>
          </w:p>
        </w:tc>
      </w:tr>
      <w:tr w:rsidR="004F22CD" w:rsidRPr="004F22CD" w14:paraId="00F08C75" w14:textId="77777777" w:rsidTr="00DB2070">
        <w:tc>
          <w:tcPr>
            <w:tcW w:w="3397" w:type="dxa"/>
          </w:tcPr>
          <w:p w14:paraId="5A4EA2A4" w14:textId="77777777" w:rsidR="004F22CD" w:rsidRPr="004F22CD" w:rsidRDefault="004F22CD" w:rsidP="004F22CD">
            <w:pPr>
              <w:pStyle w:val="TablebodyleftFinancialsTables"/>
              <w:rPr>
                <w:rFonts w:asciiTheme="minorHAnsi" w:hAnsiTheme="minorHAnsi" w:cstheme="minorHAnsi"/>
                <w:b/>
                <w:bCs/>
                <w:sz w:val="18"/>
                <w:szCs w:val="14"/>
              </w:rPr>
            </w:pPr>
            <w:r w:rsidRPr="004F22CD">
              <w:rPr>
                <w:rFonts w:asciiTheme="minorHAnsi" w:hAnsiTheme="minorHAnsi" w:cstheme="minorHAnsi"/>
                <w:b/>
                <w:bCs/>
                <w:sz w:val="18"/>
                <w:szCs w:val="14"/>
              </w:rPr>
              <w:t>Administered financial assets</w:t>
            </w:r>
          </w:p>
        </w:tc>
        <w:tc>
          <w:tcPr>
            <w:tcW w:w="993" w:type="dxa"/>
          </w:tcPr>
          <w:p w14:paraId="15C25821" w14:textId="77777777" w:rsidR="004F22CD" w:rsidRPr="004F22CD" w:rsidRDefault="004F22CD" w:rsidP="004F22CD">
            <w:pPr>
              <w:pStyle w:val="TablebodyleftFinancialsTables"/>
              <w:jc w:val="right"/>
              <w:rPr>
                <w:rFonts w:asciiTheme="minorHAnsi" w:hAnsiTheme="minorHAnsi" w:cstheme="minorHAnsi"/>
                <w:b/>
                <w:bCs/>
                <w:sz w:val="18"/>
                <w:szCs w:val="14"/>
              </w:rPr>
            </w:pPr>
          </w:p>
        </w:tc>
        <w:tc>
          <w:tcPr>
            <w:tcW w:w="992" w:type="dxa"/>
          </w:tcPr>
          <w:p w14:paraId="5BBBA8B4" w14:textId="77777777" w:rsidR="004F22CD" w:rsidRPr="004F22CD" w:rsidRDefault="004F22CD" w:rsidP="004F22CD">
            <w:pPr>
              <w:pStyle w:val="TablebodyleftFinancialsTables"/>
              <w:jc w:val="right"/>
              <w:rPr>
                <w:rFonts w:asciiTheme="minorHAnsi" w:hAnsiTheme="minorHAnsi" w:cstheme="minorHAnsi"/>
                <w:sz w:val="18"/>
                <w:szCs w:val="14"/>
              </w:rPr>
            </w:pPr>
          </w:p>
        </w:tc>
        <w:tc>
          <w:tcPr>
            <w:tcW w:w="1134" w:type="dxa"/>
          </w:tcPr>
          <w:p w14:paraId="4943DC81" w14:textId="77777777" w:rsidR="004F22CD" w:rsidRPr="004F22CD" w:rsidRDefault="004F22CD" w:rsidP="004F22CD">
            <w:pPr>
              <w:pStyle w:val="TablebodyleftFinancialsTables"/>
              <w:jc w:val="right"/>
              <w:rPr>
                <w:rFonts w:asciiTheme="minorHAnsi" w:hAnsiTheme="minorHAnsi" w:cstheme="minorHAnsi"/>
                <w:b/>
                <w:bCs/>
                <w:sz w:val="18"/>
                <w:szCs w:val="14"/>
              </w:rPr>
            </w:pPr>
          </w:p>
        </w:tc>
        <w:tc>
          <w:tcPr>
            <w:tcW w:w="1134" w:type="dxa"/>
          </w:tcPr>
          <w:p w14:paraId="4B6F15E8" w14:textId="77777777" w:rsidR="004F22CD" w:rsidRPr="004F22CD" w:rsidRDefault="004F22CD" w:rsidP="004F22CD">
            <w:pPr>
              <w:pStyle w:val="TablebodyleftFinancialsTables"/>
              <w:jc w:val="right"/>
              <w:rPr>
                <w:rFonts w:asciiTheme="minorHAnsi" w:hAnsiTheme="minorHAnsi" w:cstheme="minorHAnsi"/>
                <w:sz w:val="18"/>
                <w:szCs w:val="14"/>
              </w:rPr>
            </w:pPr>
          </w:p>
        </w:tc>
        <w:tc>
          <w:tcPr>
            <w:tcW w:w="1134" w:type="dxa"/>
          </w:tcPr>
          <w:p w14:paraId="7FA84556" w14:textId="77777777" w:rsidR="004F22CD" w:rsidRPr="004F22CD" w:rsidRDefault="004F22CD" w:rsidP="004F22CD">
            <w:pPr>
              <w:pStyle w:val="TablebodyleftFinancialsTables"/>
              <w:jc w:val="right"/>
              <w:rPr>
                <w:rFonts w:asciiTheme="minorHAnsi" w:hAnsiTheme="minorHAnsi" w:cstheme="minorHAnsi"/>
                <w:b/>
                <w:bCs/>
                <w:sz w:val="18"/>
                <w:szCs w:val="14"/>
              </w:rPr>
            </w:pPr>
          </w:p>
        </w:tc>
        <w:tc>
          <w:tcPr>
            <w:tcW w:w="1138" w:type="dxa"/>
          </w:tcPr>
          <w:p w14:paraId="6EC7C57F" w14:textId="61DF9B1D" w:rsidR="004F22CD" w:rsidRPr="004F22CD" w:rsidRDefault="004F22CD" w:rsidP="004F22CD">
            <w:pPr>
              <w:pStyle w:val="TablebodyleftFinancialsTables"/>
              <w:jc w:val="right"/>
              <w:rPr>
                <w:rFonts w:asciiTheme="minorHAnsi" w:hAnsiTheme="minorHAnsi" w:cstheme="minorHAnsi"/>
                <w:sz w:val="18"/>
                <w:szCs w:val="14"/>
              </w:rPr>
            </w:pPr>
          </w:p>
        </w:tc>
      </w:tr>
      <w:tr w:rsidR="00B02873" w:rsidRPr="004F22CD" w14:paraId="6D11D8AA" w14:textId="77777777" w:rsidTr="00DB2070">
        <w:tc>
          <w:tcPr>
            <w:tcW w:w="3397" w:type="dxa"/>
          </w:tcPr>
          <w:p w14:paraId="27490699" w14:textId="77777777" w:rsidR="00B02873" w:rsidRPr="004F22CD" w:rsidRDefault="00B02873" w:rsidP="004F22CD">
            <w:pPr>
              <w:pStyle w:val="TablebodyleftFinancialsTables"/>
              <w:rPr>
                <w:rFonts w:asciiTheme="minorHAnsi" w:hAnsiTheme="minorHAnsi" w:cstheme="minorHAnsi"/>
                <w:sz w:val="18"/>
                <w:szCs w:val="14"/>
              </w:rPr>
            </w:pPr>
            <w:r w:rsidRPr="004F22CD">
              <w:rPr>
                <w:rFonts w:asciiTheme="minorHAnsi" w:hAnsiTheme="minorHAnsi" w:cstheme="minorHAnsi"/>
                <w:sz w:val="18"/>
                <w:szCs w:val="14"/>
              </w:rPr>
              <w:t>Cash</w:t>
            </w:r>
          </w:p>
        </w:tc>
        <w:tc>
          <w:tcPr>
            <w:tcW w:w="993" w:type="dxa"/>
          </w:tcPr>
          <w:p w14:paraId="378EE7DC" w14:textId="77777777" w:rsidR="00B02873" w:rsidRPr="004F22CD" w:rsidRDefault="00B02873" w:rsidP="004F22CD">
            <w:pPr>
              <w:pStyle w:val="TablebodyleftFinancialsTables"/>
              <w:jc w:val="right"/>
              <w:rPr>
                <w:rFonts w:asciiTheme="minorHAnsi" w:hAnsiTheme="minorHAnsi" w:cstheme="minorHAnsi"/>
                <w:b/>
                <w:bCs/>
                <w:sz w:val="18"/>
                <w:szCs w:val="14"/>
              </w:rPr>
            </w:pPr>
            <w:r w:rsidRPr="004F22CD">
              <w:rPr>
                <w:rFonts w:asciiTheme="minorHAnsi" w:hAnsiTheme="minorHAnsi" w:cstheme="minorHAnsi"/>
                <w:b/>
                <w:bCs/>
                <w:sz w:val="18"/>
                <w:szCs w:val="14"/>
              </w:rPr>
              <w:t>72</w:t>
            </w:r>
          </w:p>
        </w:tc>
        <w:tc>
          <w:tcPr>
            <w:tcW w:w="992" w:type="dxa"/>
          </w:tcPr>
          <w:p w14:paraId="0061C4D2" w14:textId="77777777" w:rsidR="00B02873" w:rsidRPr="004F22CD" w:rsidRDefault="00B02873" w:rsidP="004F22CD">
            <w:pPr>
              <w:pStyle w:val="TablebodyleftFinancialsTables"/>
              <w:jc w:val="right"/>
              <w:rPr>
                <w:rFonts w:asciiTheme="minorHAnsi" w:hAnsiTheme="minorHAnsi" w:cstheme="minorHAnsi"/>
                <w:sz w:val="18"/>
                <w:szCs w:val="14"/>
              </w:rPr>
            </w:pPr>
            <w:r w:rsidRPr="004F22CD">
              <w:rPr>
                <w:rFonts w:asciiTheme="minorHAnsi" w:hAnsiTheme="minorHAnsi" w:cstheme="minorHAnsi"/>
                <w:sz w:val="18"/>
                <w:szCs w:val="14"/>
              </w:rPr>
              <w:t>150</w:t>
            </w:r>
          </w:p>
        </w:tc>
        <w:tc>
          <w:tcPr>
            <w:tcW w:w="1134" w:type="dxa"/>
          </w:tcPr>
          <w:p w14:paraId="41C858A6" w14:textId="77777777" w:rsidR="00B02873" w:rsidRPr="004F22CD" w:rsidRDefault="00B02873" w:rsidP="004F22CD">
            <w:pPr>
              <w:pStyle w:val="TablebodyleftFinancialsTables"/>
              <w:jc w:val="right"/>
              <w:rPr>
                <w:rFonts w:asciiTheme="minorHAnsi" w:hAnsiTheme="minorHAnsi" w:cstheme="minorHAnsi"/>
                <w:b/>
                <w:bCs/>
                <w:sz w:val="18"/>
                <w:szCs w:val="14"/>
              </w:rPr>
            </w:pPr>
            <w:r w:rsidRPr="004F22CD">
              <w:rPr>
                <w:rFonts w:asciiTheme="minorHAnsi" w:hAnsiTheme="minorHAnsi" w:cstheme="minorHAnsi"/>
                <w:b/>
                <w:bCs/>
                <w:sz w:val="18"/>
                <w:szCs w:val="14"/>
              </w:rPr>
              <w:t>18</w:t>
            </w:r>
          </w:p>
        </w:tc>
        <w:tc>
          <w:tcPr>
            <w:tcW w:w="1134" w:type="dxa"/>
          </w:tcPr>
          <w:p w14:paraId="3DFDA02A" w14:textId="77777777" w:rsidR="00B02873" w:rsidRPr="004F22CD" w:rsidRDefault="00B02873" w:rsidP="004F22CD">
            <w:pPr>
              <w:pStyle w:val="TablebodyleftFinancialsTables"/>
              <w:jc w:val="right"/>
              <w:rPr>
                <w:rFonts w:asciiTheme="minorHAnsi" w:hAnsiTheme="minorHAnsi" w:cstheme="minorHAnsi"/>
                <w:sz w:val="18"/>
                <w:szCs w:val="14"/>
              </w:rPr>
            </w:pPr>
            <w:r w:rsidRPr="004F22CD">
              <w:rPr>
                <w:rFonts w:asciiTheme="minorHAnsi" w:hAnsiTheme="minorHAnsi" w:cstheme="minorHAnsi"/>
                <w:sz w:val="18"/>
                <w:szCs w:val="14"/>
              </w:rPr>
              <w:t>98</w:t>
            </w:r>
          </w:p>
        </w:tc>
        <w:tc>
          <w:tcPr>
            <w:tcW w:w="1134" w:type="dxa"/>
          </w:tcPr>
          <w:p w14:paraId="45F6348A" w14:textId="77777777" w:rsidR="00B02873" w:rsidRPr="004F22CD" w:rsidRDefault="00B02873" w:rsidP="004F22CD">
            <w:pPr>
              <w:pStyle w:val="TablebodyleftFinancialsTables"/>
              <w:jc w:val="right"/>
              <w:rPr>
                <w:rFonts w:asciiTheme="minorHAnsi" w:hAnsiTheme="minorHAnsi" w:cstheme="minorHAnsi"/>
                <w:b/>
                <w:bCs/>
                <w:sz w:val="18"/>
                <w:szCs w:val="14"/>
              </w:rPr>
            </w:pPr>
            <w:r w:rsidRPr="004F22CD">
              <w:rPr>
                <w:rFonts w:asciiTheme="minorHAnsi" w:hAnsiTheme="minorHAnsi" w:cstheme="minorHAnsi"/>
                <w:b/>
                <w:bCs/>
                <w:sz w:val="18"/>
                <w:szCs w:val="14"/>
              </w:rPr>
              <w:t>103,326</w:t>
            </w:r>
          </w:p>
        </w:tc>
        <w:tc>
          <w:tcPr>
            <w:tcW w:w="1138" w:type="dxa"/>
          </w:tcPr>
          <w:p w14:paraId="114A5E57" w14:textId="77777777" w:rsidR="00B02873" w:rsidRPr="004F22CD" w:rsidRDefault="00B02873" w:rsidP="004F22CD">
            <w:pPr>
              <w:pStyle w:val="TablebodyleftFinancialsTables"/>
              <w:jc w:val="right"/>
              <w:rPr>
                <w:rFonts w:asciiTheme="minorHAnsi" w:hAnsiTheme="minorHAnsi" w:cstheme="minorHAnsi"/>
                <w:sz w:val="18"/>
                <w:szCs w:val="14"/>
              </w:rPr>
            </w:pPr>
            <w:r w:rsidRPr="004F22CD">
              <w:rPr>
                <w:rFonts w:asciiTheme="minorHAnsi" w:hAnsiTheme="minorHAnsi" w:cstheme="minorHAnsi"/>
                <w:sz w:val="18"/>
                <w:szCs w:val="14"/>
              </w:rPr>
              <w:t>49,977</w:t>
            </w:r>
          </w:p>
        </w:tc>
      </w:tr>
      <w:tr w:rsidR="00B02873" w:rsidRPr="004F22CD" w14:paraId="5BD546E3" w14:textId="77777777" w:rsidTr="00DB2070">
        <w:tc>
          <w:tcPr>
            <w:tcW w:w="3397" w:type="dxa"/>
          </w:tcPr>
          <w:p w14:paraId="60B1E046" w14:textId="77777777" w:rsidR="00B02873" w:rsidRPr="004F22CD" w:rsidRDefault="00B02873" w:rsidP="004F22CD">
            <w:pPr>
              <w:pStyle w:val="TablebodyleftFinancialsTables"/>
              <w:rPr>
                <w:rFonts w:asciiTheme="minorHAnsi" w:hAnsiTheme="minorHAnsi" w:cstheme="minorHAnsi"/>
                <w:sz w:val="18"/>
                <w:szCs w:val="14"/>
              </w:rPr>
            </w:pPr>
            <w:r w:rsidRPr="004F22CD">
              <w:rPr>
                <w:rFonts w:asciiTheme="minorHAnsi" w:hAnsiTheme="minorHAnsi" w:cstheme="minorHAnsi"/>
                <w:sz w:val="18"/>
                <w:szCs w:val="14"/>
              </w:rPr>
              <w:t>Receivables</w:t>
            </w:r>
          </w:p>
        </w:tc>
        <w:tc>
          <w:tcPr>
            <w:tcW w:w="993" w:type="dxa"/>
          </w:tcPr>
          <w:p w14:paraId="22F5DAA3" w14:textId="77777777" w:rsidR="00B02873" w:rsidRPr="004F22CD" w:rsidRDefault="00B02873" w:rsidP="004F22CD">
            <w:pPr>
              <w:pStyle w:val="TablebodyleftFinancialsTables"/>
              <w:jc w:val="right"/>
              <w:rPr>
                <w:rFonts w:asciiTheme="minorHAnsi" w:hAnsiTheme="minorHAnsi" w:cstheme="minorHAnsi"/>
                <w:b/>
                <w:bCs/>
                <w:sz w:val="18"/>
                <w:szCs w:val="14"/>
              </w:rPr>
            </w:pPr>
            <w:r w:rsidRPr="004F22CD">
              <w:rPr>
                <w:rFonts w:asciiTheme="minorHAnsi" w:hAnsiTheme="minorHAnsi" w:cstheme="minorHAnsi"/>
                <w:b/>
                <w:bCs/>
                <w:sz w:val="18"/>
                <w:szCs w:val="14"/>
              </w:rPr>
              <w:t>9,900</w:t>
            </w:r>
          </w:p>
        </w:tc>
        <w:tc>
          <w:tcPr>
            <w:tcW w:w="992" w:type="dxa"/>
          </w:tcPr>
          <w:p w14:paraId="4CD166B2" w14:textId="77777777" w:rsidR="00B02873" w:rsidRPr="004F22CD" w:rsidRDefault="00B02873" w:rsidP="004F22CD">
            <w:pPr>
              <w:pStyle w:val="TablebodyleftFinancialsTables"/>
              <w:jc w:val="right"/>
              <w:rPr>
                <w:rFonts w:asciiTheme="minorHAnsi" w:hAnsiTheme="minorHAnsi" w:cstheme="minorHAnsi"/>
                <w:sz w:val="18"/>
                <w:szCs w:val="14"/>
              </w:rPr>
            </w:pPr>
            <w:r w:rsidRPr="004F22CD">
              <w:rPr>
                <w:rFonts w:asciiTheme="minorHAnsi" w:hAnsiTheme="minorHAnsi" w:cstheme="minorHAnsi"/>
                <w:sz w:val="18"/>
                <w:szCs w:val="14"/>
              </w:rPr>
              <w:t>5,149</w:t>
            </w:r>
          </w:p>
        </w:tc>
        <w:tc>
          <w:tcPr>
            <w:tcW w:w="1134" w:type="dxa"/>
          </w:tcPr>
          <w:p w14:paraId="185D9F72" w14:textId="77777777" w:rsidR="00B02873" w:rsidRPr="004F22CD" w:rsidRDefault="00B02873" w:rsidP="004F22CD">
            <w:pPr>
              <w:pStyle w:val="TablebodyleftFinancialsTables"/>
              <w:jc w:val="right"/>
              <w:rPr>
                <w:rFonts w:asciiTheme="minorHAnsi" w:hAnsiTheme="minorHAnsi" w:cstheme="minorHAnsi"/>
                <w:b/>
                <w:bCs/>
                <w:sz w:val="18"/>
                <w:szCs w:val="14"/>
              </w:rPr>
            </w:pPr>
            <w:r w:rsidRPr="004F22CD">
              <w:rPr>
                <w:rFonts w:asciiTheme="minorHAnsi" w:hAnsiTheme="minorHAnsi" w:cstheme="minorHAnsi"/>
                <w:b/>
                <w:bCs/>
                <w:sz w:val="18"/>
                <w:szCs w:val="14"/>
              </w:rPr>
              <w:t>2,475</w:t>
            </w:r>
          </w:p>
        </w:tc>
        <w:tc>
          <w:tcPr>
            <w:tcW w:w="1134" w:type="dxa"/>
          </w:tcPr>
          <w:p w14:paraId="5ABA97A7" w14:textId="77777777" w:rsidR="00B02873" w:rsidRPr="004F22CD" w:rsidRDefault="00B02873" w:rsidP="004F22CD">
            <w:pPr>
              <w:pStyle w:val="TablebodyleftFinancialsTables"/>
              <w:jc w:val="right"/>
              <w:rPr>
                <w:rFonts w:asciiTheme="minorHAnsi" w:hAnsiTheme="minorHAnsi" w:cstheme="minorHAnsi"/>
                <w:sz w:val="18"/>
                <w:szCs w:val="14"/>
              </w:rPr>
            </w:pPr>
            <w:r w:rsidRPr="004F22CD">
              <w:rPr>
                <w:rFonts w:asciiTheme="minorHAnsi" w:hAnsiTheme="minorHAnsi" w:cstheme="minorHAnsi"/>
                <w:sz w:val="18"/>
                <w:szCs w:val="14"/>
              </w:rPr>
              <w:t>936</w:t>
            </w:r>
          </w:p>
        </w:tc>
        <w:tc>
          <w:tcPr>
            <w:tcW w:w="1134" w:type="dxa"/>
          </w:tcPr>
          <w:p w14:paraId="4358C732" w14:textId="77777777" w:rsidR="00B02873" w:rsidRPr="004F22CD" w:rsidRDefault="00B02873" w:rsidP="004F22CD">
            <w:pPr>
              <w:pStyle w:val="TablebodyleftFinancialsTables"/>
              <w:jc w:val="right"/>
              <w:rPr>
                <w:rFonts w:asciiTheme="minorHAnsi" w:hAnsiTheme="minorHAnsi" w:cstheme="minorHAnsi"/>
                <w:b/>
                <w:bCs/>
                <w:sz w:val="18"/>
                <w:szCs w:val="14"/>
              </w:rPr>
            </w:pPr>
            <w:r w:rsidRPr="004F22CD">
              <w:rPr>
                <w:rFonts w:asciiTheme="minorHAnsi" w:hAnsiTheme="minorHAnsi" w:cstheme="minorHAnsi"/>
                <w:b/>
                <w:bCs/>
                <w:sz w:val="18"/>
                <w:szCs w:val="14"/>
              </w:rPr>
              <w:t>152,236</w:t>
            </w:r>
          </w:p>
        </w:tc>
        <w:tc>
          <w:tcPr>
            <w:tcW w:w="1138" w:type="dxa"/>
          </w:tcPr>
          <w:p w14:paraId="3FDEA7B9" w14:textId="77777777" w:rsidR="00B02873" w:rsidRPr="004F22CD" w:rsidRDefault="00B02873" w:rsidP="004F22CD">
            <w:pPr>
              <w:pStyle w:val="TablebodyleftFinancialsTables"/>
              <w:jc w:val="right"/>
              <w:rPr>
                <w:rFonts w:asciiTheme="minorHAnsi" w:hAnsiTheme="minorHAnsi" w:cstheme="minorHAnsi"/>
                <w:sz w:val="18"/>
                <w:szCs w:val="14"/>
              </w:rPr>
            </w:pPr>
            <w:r w:rsidRPr="004F22CD">
              <w:rPr>
                <w:rFonts w:asciiTheme="minorHAnsi" w:hAnsiTheme="minorHAnsi" w:cstheme="minorHAnsi"/>
                <w:sz w:val="18"/>
                <w:szCs w:val="14"/>
              </w:rPr>
              <w:t>109,674</w:t>
            </w:r>
          </w:p>
        </w:tc>
      </w:tr>
      <w:tr w:rsidR="00B02873" w:rsidRPr="004F22CD" w14:paraId="5FCB2664" w14:textId="77777777" w:rsidTr="00DB2070">
        <w:tc>
          <w:tcPr>
            <w:tcW w:w="3397" w:type="dxa"/>
          </w:tcPr>
          <w:p w14:paraId="200D54C6" w14:textId="77777777" w:rsidR="00B02873" w:rsidRPr="004F22CD" w:rsidRDefault="00B02873" w:rsidP="004F22CD">
            <w:pPr>
              <w:pStyle w:val="TablebodyleftFinancialsTables"/>
              <w:rPr>
                <w:rFonts w:asciiTheme="minorHAnsi" w:hAnsiTheme="minorHAnsi" w:cstheme="minorHAnsi"/>
                <w:sz w:val="18"/>
                <w:szCs w:val="14"/>
              </w:rPr>
            </w:pPr>
            <w:r w:rsidRPr="004F22CD">
              <w:rPr>
                <w:rFonts w:asciiTheme="minorHAnsi" w:hAnsiTheme="minorHAnsi" w:cstheme="minorHAnsi"/>
                <w:sz w:val="18"/>
                <w:szCs w:val="14"/>
              </w:rPr>
              <w:t>Contractual receivable from Melbourne Water Corporation (Note 4.2.5)</w:t>
            </w:r>
          </w:p>
        </w:tc>
        <w:tc>
          <w:tcPr>
            <w:tcW w:w="993" w:type="dxa"/>
          </w:tcPr>
          <w:p w14:paraId="3A79EF65" w14:textId="77777777" w:rsidR="00B02873" w:rsidRPr="004F22CD" w:rsidRDefault="00B02873" w:rsidP="004F22CD">
            <w:pPr>
              <w:pStyle w:val="TablebodyleftFinancialsTables"/>
              <w:jc w:val="right"/>
              <w:rPr>
                <w:rFonts w:asciiTheme="minorHAnsi" w:hAnsiTheme="minorHAnsi" w:cstheme="minorHAnsi"/>
                <w:b/>
                <w:bCs/>
                <w:sz w:val="18"/>
                <w:szCs w:val="14"/>
              </w:rPr>
            </w:pPr>
            <w:r w:rsidRPr="004F22CD">
              <w:rPr>
                <w:rFonts w:asciiTheme="minorHAnsi" w:hAnsiTheme="minorHAnsi" w:cstheme="minorHAnsi"/>
                <w:b/>
                <w:bCs/>
                <w:sz w:val="18"/>
                <w:szCs w:val="14"/>
              </w:rPr>
              <w:t>–</w:t>
            </w:r>
          </w:p>
        </w:tc>
        <w:tc>
          <w:tcPr>
            <w:tcW w:w="992" w:type="dxa"/>
          </w:tcPr>
          <w:p w14:paraId="72E1C9C2" w14:textId="77777777" w:rsidR="00B02873" w:rsidRPr="004F22CD" w:rsidRDefault="00B02873" w:rsidP="004F22CD">
            <w:pPr>
              <w:pStyle w:val="TablebodyleftFinancialsTables"/>
              <w:jc w:val="right"/>
              <w:rPr>
                <w:rFonts w:asciiTheme="minorHAnsi" w:hAnsiTheme="minorHAnsi" w:cstheme="minorHAnsi"/>
                <w:sz w:val="18"/>
                <w:szCs w:val="14"/>
              </w:rPr>
            </w:pPr>
            <w:r w:rsidRPr="004F22CD">
              <w:rPr>
                <w:rFonts w:asciiTheme="minorHAnsi" w:hAnsiTheme="minorHAnsi" w:cstheme="minorHAnsi"/>
                <w:sz w:val="18"/>
                <w:szCs w:val="14"/>
              </w:rPr>
              <w:t>–</w:t>
            </w:r>
          </w:p>
        </w:tc>
        <w:tc>
          <w:tcPr>
            <w:tcW w:w="1134" w:type="dxa"/>
          </w:tcPr>
          <w:p w14:paraId="5B061009" w14:textId="77777777" w:rsidR="00B02873" w:rsidRPr="004F22CD" w:rsidRDefault="00B02873" w:rsidP="004F22CD">
            <w:pPr>
              <w:pStyle w:val="TablebodyleftFinancialsTables"/>
              <w:jc w:val="right"/>
              <w:rPr>
                <w:rFonts w:asciiTheme="minorHAnsi" w:hAnsiTheme="minorHAnsi" w:cstheme="minorHAnsi"/>
                <w:b/>
                <w:bCs/>
                <w:sz w:val="18"/>
                <w:szCs w:val="14"/>
              </w:rPr>
            </w:pPr>
            <w:r w:rsidRPr="004F22CD">
              <w:rPr>
                <w:rFonts w:asciiTheme="minorHAnsi" w:hAnsiTheme="minorHAnsi" w:cstheme="minorHAnsi"/>
                <w:b/>
                <w:bCs/>
                <w:sz w:val="18"/>
                <w:szCs w:val="14"/>
              </w:rPr>
              <w:t>–</w:t>
            </w:r>
          </w:p>
        </w:tc>
        <w:tc>
          <w:tcPr>
            <w:tcW w:w="1134" w:type="dxa"/>
          </w:tcPr>
          <w:p w14:paraId="12A20D27" w14:textId="77777777" w:rsidR="00B02873" w:rsidRPr="004F22CD" w:rsidRDefault="00B02873" w:rsidP="004F22CD">
            <w:pPr>
              <w:pStyle w:val="TablebodyleftFinancialsTables"/>
              <w:jc w:val="right"/>
              <w:rPr>
                <w:rFonts w:asciiTheme="minorHAnsi" w:hAnsiTheme="minorHAnsi" w:cstheme="minorHAnsi"/>
                <w:sz w:val="18"/>
                <w:szCs w:val="14"/>
              </w:rPr>
            </w:pPr>
            <w:r w:rsidRPr="004F22CD">
              <w:rPr>
                <w:rFonts w:asciiTheme="minorHAnsi" w:hAnsiTheme="minorHAnsi" w:cstheme="minorHAnsi"/>
                <w:sz w:val="18"/>
                <w:szCs w:val="14"/>
              </w:rPr>
              <w:t>–</w:t>
            </w:r>
          </w:p>
        </w:tc>
        <w:tc>
          <w:tcPr>
            <w:tcW w:w="1134" w:type="dxa"/>
          </w:tcPr>
          <w:p w14:paraId="6DDF4983" w14:textId="77777777" w:rsidR="00B02873" w:rsidRPr="004F22CD" w:rsidRDefault="00B02873" w:rsidP="004F22CD">
            <w:pPr>
              <w:pStyle w:val="TablebodyleftFinancialsTables"/>
              <w:jc w:val="right"/>
              <w:rPr>
                <w:rFonts w:asciiTheme="minorHAnsi" w:hAnsiTheme="minorHAnsi" w:cstheme="minorHAnsi"/>
                <w:b/>
                <w:bCs/>
                <w:sz w:val="18"/>
                <w:szCs w:val="14"/>
              </w:rPr>
            </w:pPr>
            <w:r w:rsidRPr="004F22CD">
              <w:rPr>
                <w:rFonts w:asciiTheme="minorHAnsi" w:hAnsiTheme="minorHAnsi" w:cstheme="minorHAnsi"/>
                <w:b/>
                <w:bCs/>
                <w:sz w:val="18"/>
                <w:szCs w:val="14"/>
              </w:rPr>
              <w:t>3,544,228</w:t>
            </w:r>
          </w:p>
        </w:tc>
        <w:tc>
          <w:tcPr>
            <w:tcW w:w="1138" w:type="dxa"/>
          </w:tcPr>
          <w:p w14:paraId="2A141735" w14:textId="77777777" w:rsidR="00B02873" w:rsidRPr="004F22CD" w:rsidRDefault="00B02873" w:rsidP="004F22CD">
            <w:pPr>
              <w:pStyle w:val="TablebodyleftFinancialsTables"/>
              <w:jc w:val="right"/>
              <w:rPr>
                <w:rFonts w:asciiTheme="minorHAnsi" w:hAnsiTheme="minorHAnsi" w:cstheme="minorHAnsi"/>
                <w:sz w:val="18"/>
                <w:szCs w:val="14"/>
              </w:rPr>
            </w:pPr>
            <w:r w:rsidRPr="004F22CD">
              <w:rPr>
                <w:rFonts w:asciiTheme="minorHAnsi" w:hAnsiTheme="minorHAnsi" w:cstheme="minorHAnsi"/>
                <w:sz w:val="18"/>
                <w:szCs w:val="14"/>
              </w:rPr>
              <w:t>3,564,921</w:t>
            </w:r>
          </w:p>
        </w:tc>
      </w:tr>
      <w:tr w:rsidR="00B02873" w:rsidRPr="004F22CD" w14:paraId="2009E0FD" w14:textId="77777777" w:rsidTr="00DB2070">
        <w:tc>
          <w:tcPr>
            <w:tcW w:w="3397" w:type="dxa"/>
          </w:tcPr>
          <w:p w14:paraId="0F8CB7E0" w14:textId="77777777" w:rsidR="00B02873" w:rsidRPr="004F22CD" w:rsidRDefault="00B02873" w:rsidP="004F22CD">
            <w:pPr>
              <w:pStyle w:val="TablebodyleftFinancialsTables"/>
              <w:rPr>
                <w:rFonts w:asciiTheme="minorHAnsi" w:hAnsiTheme="minorHAnsi" w:cstheme="minorHAnsi"/>
                <w:b/>
                <w:bCs/>
                <w:sz w:val="18"/>
                <w:szCs w:val="14"/>
              </w:rPr>
            </w:pPr>
            <w:r w:rsidRPr="004F22CD">
              <w:rPr>
                <w:rFonts w:asciiTheme="minorHAnsi" w:hAnsiTheme="minorHAnsi" w:cstheme="minorHAnsi"/>
                <w:b/>
                <w:bCs/>
                <w:sz w:val="18"/>
                <w:szCs w:val="14"/>
              </w:rPr>
              <w:lastRenderedPageBreak/>
              <w:t>Total administered financial assets</w:t>
            </w:r>
          </w:p>
        </w:tc>
        <w:tc>
          <w:tcPr>
            <w:tcW w:w="993" w:type="dxa"/>
          </w:tcPr>
          <w:p w14:paraId="2476D548" w14:textId="77777777" w:rsidR="00B02873" w:rsidRPr="004F22CD" w:rsidRDefault="00B02873" w:rsidP="004F22CD">
            <w:pPr>
              <w:pStyle w:val="TablebodyleftFinancialsTables"/>
              <w:jc w:val="right"/>
              <w:rPr>
                <w:rFonts w:asciiTheme="minorHAnsi" w:hAnsiTheme="minorHAnsi" w:cstheme="minorHAnsi"/>
                <w:b/>
                <w:bCs/>
                <w:sz w:val="18"/>
                <w:szCs w:val="14"/>
              </w:rPr>
            </w:pPr>
            <w:r w:rsidRPr="004F22CD">
              <w:rPr>
                <w:rFonts w:asciiTheme="minorHAnsi" w:hAnsiTheme="minorHAnsi" w:cstheme="minorHAnsi"/>
                <w:b/>
                <w:bCs/>
                <w:sz w:val="18"/>
                <w:szCs w:val="14"/>
              </w:rPr>
              <w:t>9,972</w:t>
            </w:r>
          </w:p>
        </w:tc>
        <w:tc>
          <w:tcPr>
            <w:tcW w:w="992" w:type="dxa"/>
          </w:tcPr>
          <w:p w14:paraId="7DE0FAE0" w14:textId="77777777" w:rsidR="00B02873" w:rsidRPr="004F22CD" w:rsidRDefault="00B02873" w:rsidP="004F22CD">
            <w:pPr>
              <w:pStyle w:val="TablebodyleftFinancialsTables"/>
              <w:jc w:val="right"/>
              <w:rPr>
                <w:rFonts w:asciiTheme="minorHAnsi" w:hAnsiTheme="minorHAnsi" w:cstheme="minorHAnsi"/>
                <w:sz w:val="18"/>
                <w:szCs w:val="14"/>
              </w:rPr>
            </w:pPr>
            <w:r w:rsidRPr="004F22CD">
              <w:rPr>
                <w:rFonts w:asciiTheme="minorHAnsi" w:hAnsiTheme="minorHAnsi" w:cstheme="minorHAnsi"/>
                <w:sz w:val="18"/>
                <w:szCs w:val="14"/>
              </w:rPr>
              <w:t>5,299</w:t>
            </w:r>
          </w:p>
        </w:tc>
        <w:tc>
          <w:tcPr>
            <w:tcW w:w="1134" w:type="dxa"/>
          </w:tcPr>
          <w:p w14:paraId="3B056DC5" w14:textId="77777777" w:rsidR="00B02873" w:rsidRPr="004F22CD" w:rsidRDefault="00B02873" w:rsidP="004F22CD">
            <w:pPr>
              <w:pStyle w:val="TablebodyleftFinancialsTables"/>
              <w:jc w:val="right"/>
              <w:rPr>
                <w:rFonts w:asciiTheme="minorHAnsi" w:hAnsiTheme="minorHAnsi" w:cstheme="minorHAnsi"/>
                <w:b/>
                <w:bCs/>
                <w:sz w:val="18"/>
                <w:szCs w:val="14"/>
              </w:rPr>
            </w:pPr>
            <w:r w:rsidRPr="004F22CD">
              <w:rPr>
                <w:rFonts w:asciiTheme="minorHAnsi" w:hAnsiTheme="minorHAnsi" w:cstheme="minorHAnsi"/>
                <w:b/>
                <w:bCs/>
                <w:sz w:val="18"/>
                <w:szCs w:val="14"/>
              </w:rPr>
              <w:t>2,493</w:t>
            </w:r>
          </w:p>
        </w:tc>
        <w:tc>
          <w:tcPr>
            <w:tcW w:w="1134" w:type="dxa"/>
          </w:tcPr>
          <w:p w14:paraId="5A50E4EC" w14:textId="77777777" w:rsidR="00B02873" w:rsidRPr="004F22CD" w:rsidRDefault="00B02873" w:rsidP="004F22CD">
            <w:pPr>
              <w:pStyle w:val="TablebodyleftFinancialsTables"/>
              <w:jc w:val="right"/>
              <w:rPr>
                <w:rFonts w:asciiTheme="minorHAnsi" w:hAnsiTheme="minorHAnsi" w:cstheme="minorHAnsi"/>
                <w:sz w:val="18"/>
                <w:szCs w:val="14"/>
              </w:rPr>
            </w:pPr>
            <w:r w:rsidRPr="004F22CD">
              <w:rPr>
                <w:rFonts w:asciiTheme="minorHAnsi" w:hAnsiTheme="minorHAnsi" w:cstheme="minorHAnsi"/>
                <w:sz w:val="18"/>
                <w:szCs w:val="14"/>
              </w:rPr>
              <w:t>1,034</w:t>
            </w:r>
          </w:p>
        </w:tc>
        <w:tc>
          <w:tcPr>
            <w:tcW w:w="1134" w:type="dxa"/>
          </w:tcPr>
          <w:p w14:paraId="6C6B2113" w14:textId="77777777" w:rsidR="00B02873" w:rsidRPr="004F22CD" w:rsidRDefault="00B02873" w:rsidP="004F22CD">
            <w:pPr>
              <w:pStyle w:val="TablebodyleftFinancialsTables"/>
              <w:jc w:val="right"/>
              <w:rPr>
                <w:rFonts w:asciiTheme="minorHAnsi" w:hAnsiTheme="minorHAnsi" w:cstheme="minorHAnsi"/>
                <w:b/>
                <w:bCs/>
                <w:sz w:val="18"/>
                <w:szCs w:val="14"/>
              </w:rPr>
            </w:pPr>
            <w:r w:rsidRPr="004F22CD">
              <w:rPr>
                <w:rFonts w:asciiTheme="minorHAnsi" w:hAnsiTheme="minorHAnsi" w:cstheme="minorHAnsi"/>
                <w:b/>
                <w:bCs/>
                <w:sz w:val="18"/>
                <w:szCs w:val="14"/>
              </w:rPr>
              <w:t>3,799,790</w:t>
            </w:r>
          </w:p>
        </w:tc>
        <w:tc>
          <w:tcPr>
            <w:tcW w:w="1138" w:type="dxa"/>
          </w:tcPr>
          <w:p w14:paraId="64E0D2F5" w14:textId="77777777" w:rsidR="00B02873" w:rsidRPr="004F22CD" w:rsidRDefault="00B02873" w:rsidP="004F22CD">
            <w:pPr>
              <w:pStyle w:val="TablebodyleftFinancialsTables"/>
              <w:jc w:val="right"/>
              <w:rPr>
                <w:rFonts w:asciiTheme="minorHAnsi" w:hAnsiTheme="minorHAnsi" w:cstheme="minorHAnsi"/>
                <w:sz w:val="18"/>
                <w:szCs w:val="14"/>
              </w:rPr>
            </w:pPr>
            <w:r w:rsidRPr="004F22CD">
              <w:rPr>
                <w:rFonts w:asciiTheme="minorHAnsi" w:hAnsiTheme="minorHAnsi" w:cstheme="minorHAnsi"/>
                <w:sz w:val="18"/>
                <w:szCs w:val="14"/>
              </w:rPr>
              <w:t>3,724,572</w:t>
            </w:r>
          </w:p>
        </w:tc>
      </w:tr>
      <w:tr w:rsidR="00B02873" w:rsidRPr="004F22CD" w14:paraId="6FBD41B0" w14:textId="77777777" w:rsidTr="00DB2070">
        <w:tc>
          <w:tcPr>
            <w:tcW w:w="3397" w:type="dxa"/>
          </w:tcPr>
          <w:p w14:paraId="36091789" w14:textId="77777777" w:rsidR="00B02873" w:rsidRPr="004F22CD" w:rsidRDefault="00B02873" w:rsidP="004F22CD">
            <w:pPr>
              <w:pStyle w:val="TablebodyleftFinancialsTables"/>
              <w:rPr>
                <w:rFonts w:asciiTheme="minorHAnsi" w:hAnsiTheme="minorHAnsi" w:cstheme="minorHAnsi"/>
                <w:b/>
                <w:bCs/>
                <w:sz w:val="18"/>
                <w:szCs w:val="14"/>
              </w:rPr>
            </w:pPr>
            <w:r w:rsidRPr="004F22CD">
              <w:rPr>
                <w:rFonts w:asciiTheme="minorHAnsi" w:hAnsiTheme="minorHAnsi" w:cstheme="minorHAnsi"/>
                <w:b/>
                <w:bCs/>
                <w:sz w:val="18"/>
                <w:szCs w:val="14"/>
              </w:rPr>
              <w:t>Administered non-financial assets</w:t>
            </w:r>
          </w:p>
        </w:tc>
        <w:tc>
          <w:tcPr>
            <w:tcW w:w="993" w:type="dxa"/>
          </w:tcPr>
          <w:p w14:paraId="15D8C381" w14:textId="77777777" w:rsidR="00B02873" w:rsidRPr="004F22CD" w:rsidRDefault="00B02873" w:rsidP="004F22CD">
            <w:pPr>
              <w:pStyle w:val="TablebodyleftFinancialsTables"/>
              <w:jc w:val="right"/>
              <w:rPr>
                <w:rFonts w:asciiTheme="minorHAnsi" w:hAnsiTheme="minorHAnsi" w:cstheme="minorHAnsi"/>
                <w:b/>
                <w:bCs/>
                <w:sz w:val="18"/>
                <w:szCs w:val="14"/>
              </w:rPr>
            </w:pPr>
          </w:p>
        </w:tc>
        <w:tc>
          <w:tcPr>
            <w:tcW w:w="992" w:type="dxa"/>
          </w:tcPr>
          <w:p w14:paraId="37D0F272" w14:textId="77777777" w:rsidR="00B02873" w:rsidRPr="004F22CD" w:rsidRDefault="00B02873" w:rsidP="004F22CD">
            <w:pPr>
              <w:pStyle w:val="TablebodyleftFinancialsTables"/>
              <w:jc w:val="right"/>
              <w:rPr>
                <w:rFonts w:asciiTheme="minorHAnsi" w:hAnsiTheme="minorHAnsi" w:cstheme="minorHAnsi"/>
                <w:sz w:val="18"/>
                <w:szCs w:val="14"/>
              </w:rPr>
            </w:pPr>
          </w:p>
        </w:tc>
        <w:tc>
          <w:tcPr>
            <w:tcW w:w="1134" w:type="dxa"/>
          </w:tcPr>
          <w:p w14:paraId="65F1DD4C" w14:textId="77777777" w:rsidR="00B02873" w:rsidRPr="004F22CD" w:rsidRDefault="00B02873" w:rsidP="004F22CD">
            <w:pPr>
              <w:pStyle w:val="TablebodyleftFinancialsTables"/>
              <w:jc w:val="right"/>
              <w:rPr>
                <w:rFonts w:asciiTheme="minorHAnsi" w:hAnsiTheme="minorHAnsi" w:cstheme="minorHAnsi"/>
                <w:b/>
                <w:bCs/>
                <w:sz w:val="18"/>
                <w:szCs w:val="14"/>
              </w:rPr>
            </w:pPr>
          </w:p>
        </w:tc>
        <w:tc>
          <w:tcPr>
            <w:tcW w:w="1134" w:type="dxa"/>
          </w:tcPr>
          <w:p w14:paraId="0AC39D4E" w14:textId="77777777" w:rsidR="00B02873" w:rsidRPr="004F22CD" w:rsidRDefault="00B02873" w:rsidP="004F22CD">
            <w:pPr>
              <w:pStyle w:val="TablebodyleftFinancialsTables"/>
              <w:jc w:val="right"/>
              <w:rPr>
                <w:rFonts w:asciiTheme="minorHAnsi" w:hAnsiTheme="minorHAnsi" w:cstheme="minorHAnsi"/>
                <w:sz w:val="18"/>
                <w:szCs w:val="14"/>
              </w:rPr>
            </w:pPr>
          </w:p>
        </w:tc>
        <w:tc>
          <w:tcPr>
            <w:tcW w:w="1134" w:type="dxa"/>
          </w:tcPr>
          <w:p w14:paraId="0D767402" w14:textId="77777777" w:rsidR="00B02873" w:rsidRPr="004F22CD" w:rsidRDefault="00B02873" w:rsidP="004F22CD">
            <w:pPr>
              <w:pStyle w:val="TablebodyleftFinancialsTables"/>
              <w:jc w:val="right"/>
              <w:rPr>
                <w:rFonts w:asciiTheme="minorHAnsi" w:hAnsiTheme="minorHAnsi" w:cstheme="minorHAnsi"/>
                <w:b/>
                <w:bCs/>
                <w:sz w:val="18"/>
                <w:szCs w:val="14"/>
              </w:rPr>
            </w:pPr>
          </w:p>
        </w:tc>
        <w:tc>
          <w:tcPr>
            <w:tcW w:w="1138" w:type="dxa"/>
          </w:tcPr>
          <w:p w14:paraId="144D2CD2" w14:textId="77777777" w:rsidR="00B02873" w:rsidRPr="004F22CD" w:rsidRDefault="00B02873" w:rsidP="004F22CD">
            <w:pPr>
              <w:pStyle w:val="TablebodyleftFinancialsTables"/>
              <w:jc w:val="right"/>
              <w:rPr>
                <w:rFonts w:asciiTheme="minorHAnsi" w:hAnsiTheme="minorHAnsi" w:cstheme="minorHAnsi"/>
                <w:sz w:val="18"/>
                <w:szCs w:val="14"/>
              </w:rPr>
            </w:pPr>
          </w:p>
        </w:tc>
      </w:tr>
      <w:tr w:rsidR="00B02873" w:rsidRPr="004F22CD" w14:paraId="4A40BCE3" w14:textId="77777777" w:rsidTr="00DB2070">
        <w:tc>
          <w:tcPr>
            <w:tcW w:w="3397" w:type="dxa"/>
          </w:tcPr>
          <w:p w14:paraId="4A8DEF21" w14:textId="77777777" w:rsidR="00B02873" w:rsidRPr="004F22CD" w:rsidRDefault="00B02873" w:rsidP="004F22CD">
            <w:pPr>
              <w:pStyle w:val="TablebodyleftFinancialsTables"/>
              <w:rPr>
                <w:rFonts w:asciiTheme="minorHAnsi" w:hAnsiTheme="minorHAnsi" w:cstheme="minorHAnsi"/>
                <w:sz w:val="18"/>
                <w:szCs w:val="14"/>
              </w:rPr>
            </w:pPr>
            <w:r w:rsidRPr="004F22CD">
              <w:rPr>
                <w:rFonts w:asciiTheme="minorHAnsi" w:hAnsiTheme="minorHAnsi" w:cstheme="minorHAnsi"/>
                <w:sz w:val="18"/>
                <w:szCs w:val="14"/>
              </w:rPr>
              <w:t>Share of jointly controlled assets (Note 4.2.3)</w:t>
            </w:r>
          </w:p>
        </w:tc>
        <w:tc>
          <w:tcPr>
            <w:tcW w:w="993" w:type="dxa"/>
          </w:tcPr>
          <w:p w14:paraId="421B97EF" w14:textId="77777777" w:rsidR="00B02873" w:rsidRPr="004F22CD" w:rsidRDefault="00B02873" w:rsidP="004F22CD">
            <w:pPr>
              <w:pStyle w:val="TablebodyleftFinancialsTables"/>
              <w:jc w:val="right"/>
              <w:rPr>
                <w:rFonts w:asciiTheme="minorHAnsi" w:hAnsiTheme="minorHAnsi" w:cstheme="minorHAnsi"/>
                <w:b/>
                <w:bCs/>
                <w:sz w:val="18"/>
                <w:szCs w:val="14"/>
              </w:rPr>
            </w:pPr>
            <w:r w:rsidRPr="004F22CD">
              <w:rPr>
                <w:rFonts w:asciiTheme="minorHAnsi" w:hAnsiTheme="minorHAnsi" w:cstheme="minorHAnsi"/>
                <w:b/>
                <w:bCs/>
                <w:sz w:val="18"/>
                <w:szCs w:val="14"/>
              </w:rPr>
              <w:t>–</w:t>
            </w:r>
          </w:p>
        </w:tc>
        <w:tc>
          <w:tcPr>
            <w:tcW w:w="992" w:type="dxa"/>
          </w:tcPr>
          <w:p w14:paraId="37A08896" w14:textId="77777777" w:rsidR="00B02873" w:rsidRPr="004F22CD" w:rsidRDefault="00B02873" w:rsidP="004F22CD">
            <w:pPr>
              <w:pStyle w:val="TablebodyleftFinancialsTables"/>
              <w:jc w:val="right"/>
              <w:rPr>
                <w:rFonts w:asciiTheme="minorHAnsi" w:hAnsiTheme="minorHAnsi" w:cstheme="minorHAnsi"/>
                <w:sz w:val="18"/>
                <w:szCs w:val="14"/>
              </w:rPr>
            </w:pPr>
            <w:r w:rsidRPr="004F22CD">
              <w:rPr>
                <w:rFonts w:asciiTheme="minorHAnsi" w:hAnsiTheme="minorHAnsi" w:cstheme="minorHAnsi"/>
                <w:sz w:val="18"/>
                <w:szCs w:val="14"/>
              </w:rPr>
              <w:t>–</w:t>
            </w:r>
          </w:p>
        </w:tc>
        <w:tc>
          <w:tcPr>
            <w:tcW w:w="1134" w:type="dxa"/>
          </w:tcPr>
          <w:p w14:paraId="24A4B763" w14:textId="77777777" w:rsidR="00B02873" w:rsidRPr="004F22CD" w:rsidRDefault="00B02873" w:rsidP="004F22CD">
            <w:pPr>
              <w:pStyle w:val="TablebodyleftFinancialsTables"/>
              <w:jc w:val="right"/>
              <w:rPr>
                <w:rFonts w:asciiTheme="minorHAnsi" w:hAnsiTheme="minorHAnsi" w:cstheme="minorHAnsi"/>
                <w:b/>
                <w:bCs/>
                <w:sz w:val="18"/>
                <w:szCs w:val="14"/>
              </w:rPr>
            </w:pPr>
            <w:r w:rsidRPr="004F22CD">
              <w:rPr>
                <w:rFonts w:asciiTheme="minorHAnsi" w:hAnsiTheme="minorHAnsi" w:cstheme="minorHAnsi"/>
                <w:b/>
                <w:bCs/>
                <w:sz w:val="18"/>
                <w:szCs w:val="14"/>
              </w:rPr>
              <w:t>–</w:t>
            </w:r>
          </w:p>
        </w:tc>
        <w:tc>
          <w:tcPr>
            <w:tcW w:w="1134" w:type="dxa"/>
          </w:tcPr>
          <w:p w14:paraId="5E1C2316" w14:textId="77777777" w:rsidR="00B02873" w:rsidRPr="004F22CD" w:rsidRDefault="00B02873" w:rsidP="004F22CD">
            <w:pPr>
              <w:pStyle w:val="TablebodyleftFinancialsTables"/>
              <w:jc w:val="right"/>
              <w:rPr>
                <w:rFonts w:asciiTheme="minorHAnsi" w:hAnsiTheme="minorHAnsi" w:cstheme="minorHAnsi"/>
                <w:sz w:val="18"/>
                <w:szCs w:val="14"/>
              </w:rPr>
            </w:pPr>
            <w:r w:rsidRPr="004F22CD">
              <w:rPr>
                <w:rFonts w:asciiTheme="minorHAnsi" w:hAnsiTheme="minorHAnsi" w:cstheme="minorHAnsi"/>
                <w:sz w:val="18"/>
                <w:szCs w:val="14"/>
              </w:rPr>
              <w:t>–</w:t>
            </w:r>
          </w:p>
        </w:tc>
        <w:tc>
          <w:tcPr>
            <w:tcW w:w="1134" w:type="dxa"/>
          </w:tcPr>
          <w:p w14:paraId="787ADFD3" w14:textId="77777777" w:rsidR="00B02873" w:rsidRPr="004F22CD" w:rsidRDefault="00B02873" w:rsidP="004F22CD">
            <w:pPr>
              <w:pStyle w:val="TablebodyleftFinancialsTables"/>
              <w:jc w:val="right"/>
              <w:rPr>
                <w:rFonts w:asciiTheme="minorHAnsi" w:hAnsiTheme="minorHAnsi" w:cstheme="minorHAnsi"/>
                <w:b/>
                <w:bCs/>
                <w:sz w:val="18"/>
                <w:szCs w:val="14"/>
              </w:rPr>
            </w:pPr>
            <w:r w:rsidRPr="004F22CD">
              <w:rPr>
                <w:rFonts w:asciiTheme="minorHAnsi" w:hAnsiTheme="minorHAnsi" w:cstheme="minorHAnsi"/>
                <w:b/>
                <w:bCs/>
                <w:sz w:val="18"/>
                <w:szCs w:val="14"/>
              </w:rPr>
              <w:t>1,006,396</w:t>
            </w:r>
          </w:p>
        </w:tc>
        <w:tc>
          <w:tcPr>
            <w:tcW w:w="1138" w:type="dxa"/>
          </w:tcPr>
          <w:p w14:paraId="1CE9A3E1" w14:textId="77777777" w:rsidR="00B02873" w:rsidRPr="004F22CD" w:rsidRDefault="00B02873" w:rsidP="004F22CD">
            <w:pPr>
              <w:pStyle w:val="TablebodyleftFinancialsTables"/>
              <w:jc w:val="right"/>
              <w:rPr>
                <w:rFonts w:asciiTheme="minorHAnsi" w:hAnsiTheme="minorHAnsi" w:cstheme="minorHAnsi"/>
                <w:sz w:val="18"/>
                <w:szCs w:val="14"/>
              </w:rPr>
            </w:pPr>
            <w:r w:rsidRPr="004F22CD">
              <w:rPr>
                <w:rFonts w:asciiTheme="minorHAnsi" w:hAnsiTheme="minorHAnsi" w:cstheme="minorHAnsi"/>
                <w:sz w:val="18"/>
                <w:szCs w:val="14"/>
              </w:rPr>
              <w:t>891,479</w:t>
            </w:r>
          </w:p>
        </w:tc>
      </w:tr>
      <w:tr w:rsidR="00B02873" w:rsidRPr="004F22CD" w14:paraId="1C503957" w14:textId="77777777" w:rsidTr="00DB2070">
        <w:tc>
          <w:tcPr>
            <w:tcW w:w="3397" w:type="dxa"/>
          </w:tcPr>
          <w:p w14:paraId="309B3B9D" w14:textId="77777777" w:rsidR="00B02873" w:rsidRPr="004F22CD" w:rsidRDefault="00B02873" w:rsidP="004F22CD">
            <w:pPr>
              <w:pStyle w:val="TablebodyleftFinancialsTables"/>
              <w:rPr>
                <w:rFonts w:asciiTheme="minorHAnsi" w:hAnsiTheme="minorHAnsi" w:cstheme="minorHAnsi"/>
                <w:sz w:val="18"/>
                <w:szCs w:val="14"/>
              </w:rPr>
            </w:pPr>
            <w:r w:rsidRPr="004F22CD">
              <w:rPr>
                <w:rFonts w:asciiTheme="minorHAnsi" w:hAnsiTheme="minorHAnsi" w:cstheme="minorHAnsi"/>
                <w:sz w:val="18"/>
                <w:szCs w:val="14"/>
              </w:rPr>
              <w:t xml:space="preserve">Service concession intangible asset (Note 4.2.4) </w:t>
            </w:r>
          </w:p>
        </w:tc>
        <w:tc>
          <w:tcPr>
            <w:tcW w:w="993" w:type="dxa"/>
          </w:tcPr>
          <w:p w14:paraId="4E4AC622" w14:textId="77777777" w:rsidR="00B02873" w:rsidRPr="004F22CD" w:rsidRDefault="00B02873" w:rsidP="004F22CD">
            <w:pPr>
              <w:pStyle w:val="TablebodyleftFinancialsTables"/>
              <w:jc w:val="right"/>
              <w:rPr>
                <w:rFonts w:asciiTheme="minorHAnsi" w:hAnsiTheme="minorHAnsi" w:cstheme="minorHAnsi"/>
                <w:b/>
                <w:bCs/>
                <w:sz w:val="18"/>
                <w:szCs w:val="14"/>
              </w:rPr>
            </w:pPr>
            <w:r w:rsidRPr="004F22CD">
              <w:rPr>
                <w:rFonts w:asciiTheme="minorHAnsi" w:hAnsiTheme="minorHAnsi" w:cstheme="minorHAnsi"/>
                <w:b/>
                <w:bCs/>
                <w:sz w:val="18"/>
                <w:szCs w:val="14"/>
              </w:rPr>
              <w:t>–</w:t>
            </w:r>
          </w:p>
        </w:tc>
        <w:tc>
          <w:tcPr>
            <w:tcW w:w="992" w:type="dxa"/>
          </w:tcPr>
          <w:p w14:paraId="259FE6DC" w14:textId="77777777" w:rsidR="00B02873" w:rsidRPr="004F22CD" w:rsidRDefault="00B02873" w:rsidP="004F22CD">
            <w:pPr>
              <w:pStyle w:val="TablebodyleftFinancialsTables"/>
              <w:jc w:val="right"/>
              <w:rPr>
                <w:rFonts w:asciiTheme="minorHAnsi" w:hAnsiTheme="minorHAnsi" w:cstheme="minorHAnsi"/>
                <w:sz w:val="18"/>
                <w:szCs w:val="14"/>
              </w:rPr>
            </w:pPr>
            <w:r w:rsidRPr="004F22CD">
              <w:rPr>
                <w:rFonts w:asciiTheme="minorHAnsi" w:hAnsiTheme="minorHAnsi" w:cstheme="minorHAnsi"/>
                <w:sz w:val="18"/>
                <w:szCs w:val="14"/>
              </w:rPr>
              <w:t>–</w:t>
            </w:r>
          </w:p>
        </w:tc>
        <w:tc>
          <w:tcPr>
            <w:tcW w:w="1134" w:type="dxa"/>
          </w:tcPr>
          <w:p w14:paraId="02685DF7" w14:textId="77777777" w:rsidR="00B02873" w:rsidRPr="004F22CD" w:rsidRDefault="00B02873" w:rsidP="004F22CD">
            <w:pPr>
              <w:pStyle w:val="TablebodyleftFinancialsTables"/>
              <w:jc w:val="right"/>
              <w:rPr>
                <w:rFonts w:asciiTheme="minorHAnsi" w:hAnsiTheme="minorHAnsi" w:cstheme="minorHAnsi"/>
                <w:b/>
                <w:bCs/>
                <w:sz w:val="18"/>
                <w:szCs w:val="14"/>
              </w:rPr>
            </w:pPr>
            <w:r w:rsidRPr="004F22CD">
              <w:rPr>
                <w:rFonts w:asciiTheme="minorHAnsi" w:hAnsiTheme="minorHAnsi" w:cstheme="minorHAnsi"/>
                <w:b/>
                <w:bCs/>
                <w:sz w:val="18"/>
                <w:szCs w:val="14"/>
              </w:rPr>
              <w:t>–</w:t>
            </w:r>
          </w:p>
        </w:tc>
        <w:tc>
          <w:tcPr>
            <w:tcW w:w="1134" w:type="dxa"/>
          </w:tcPr>
          <w:p w14:paraId="78E9909D" w14:textId="77777777" w:rsidR="00B02873" w:rsidRPr="004F22CD" w:rsidRDefault="00B02873" w:rsidP="004F22CD">
            <w:pPr>
              <w:pStyle w:val="TablebodyleftFinancialsTables"/>
              <w:jc w:val="right"/>
              <w:rPr>
                <w:rFonts w:asciiTheme="minorHAnsi" w:hAnsiTheme="minorHAnsi" w:cstheme="minorHAnsi"/>
                <w:sz w:val="18"/>
                <w:szCs w:val="14"/>
              </w:rPr>
            </w:pPr>
            <w:r w:rsidRPr="004F22CD">
              <w:rPr>
                <w:rFonts w:asciiTheme="minorHAnsi" w:hAnsiTheme="minorHAnsi" w:cstheme="minorHAnsi"/>
                <w:sz w:val="18"/>
                <w:szCs w:val="14"/>
              </w:rPr>
              <w:t>–</w:t>
            </w:r>
          </w:p>
        </w:tc>
        <w:tc>
          <w:tcPr>
            <w:tcW w:w="1134" w:type="dxa"/>
          </w:tcPr>
          <w:p w14:paraId="335DC69B" w14:textId="77777777" w:rsidR="00B02873" w:rsidRPr="004F22CD" w:rsidRDefault="00B02873" w:rsidP="004F22CD">
            <w:pPr>
              <w:pStyle w:val="TablebodyleftFinancialsTables"/>
              <w:jc w:val="right"/>
              <w:rPr>
                <w:rFonts w:asciiTheme="minorHAnsi" w:hAnsiTheme="minorHAnsi" w:cstheme="minorHAnsi"/>
                <w:b/>
                <w:bCs/>
                <w:sz w:val="18"/>
                <w:szCs w:val="14"/>
              </w:rPr>
            </w:pPr>
            <w:r w:rsidRPr="004F22CD">
              <w:rPr>
                <w:rFonts w:asciiTheme="minorHAnsi" w:hAnsiTheme="minorHAnsi" w:cstheme="minorHAnsi"/>
                <w:b/>
                <w:bCs/>
                <w:sz w:val="18"/>
                <w:szCs w:val="14"/>
              </w:rPr>
              <w:t>512,419</w:t>
            </w:r>
          </w:p>
        </w:tc>
        <w:tc>
          <w:tcPr>
            <w:tcW w:w="1138" w:type="dxa"/>
          </w:tcPr>
          <w:p w14:paraId="2F99048C" w14:textId="77777777" w:rsidR="00B02873" w:rsidRPr="004F22CD" w:rsidRDefault="00B02873" w:rsidP="004F22CD">
            <w:pPr>
              <w:pStyle w:val="TablebodyleftFinancialsTables"/>
              <w:jc w:val="right"/>
              <w:rPr>
                <w:rFonts w:asciiTheme="minorHAnsi" w:hAnsiTheme="minorHAnsi" w:cstheme="minorHAnsi"/>
                <w:sz w:val="18"/>
                <w:szCs w:val="14"/>
              </w:rPr>
            </w:pPr>
            <w:r w:rsidRPr="004F22CD">
              <w:rPr>
                <w:rFonts w:asciiTheme="minorHAnsi" w:hAnsiTheme="minorHAnsi" w:cstheme="minorHAnsi"/>
                <w:sz w:val="18"/>
                <w:szCs w:val="14"/>
              </w:rPr>
              <w:t>484,505</w:t>
            </w:r>
          </w:p>
        </w:tc>
      </w:tr>
      <w:tr w:rsidR="00B02873" w:rsidRPr="004F22CD" w14:paraId="58FFCA34" w14:textId="77777777" w:rsidTr="00DB2070">
        <w:tc>
          <w:tcPr>
            <w:tcW w:w="3397" w:type="dxa"/>
          </w:tcPr>
          <w:p w14:paraId="4CB48736" w14:textId="77777777" w:rsidR="00B02873" w:rsidRPr="004F22CD" w:rsidRDefault="00B02873" w:rsidP="004F22CD">
            <w:pPr>
              <w:pStyle w:val="TablebodyleftFinancialsTables"/>
              <w:rPr>
                <w:rFonts w:asciiTheme="minorHAnsi" w:hAnsiTheme="minorHAnsi" w:cstheme="minorHAnsi"/>
                <w:sz w:val="18"/>
                <w:szCs w:val="14"/>
              </w:rPr>
            </w:pPr>
            <w:r w:rsidRPr="004F22CD">
              <w:rPr>
                <w:rFonts w:asciiTheme="minorHAnsi" w:hAnsiTheme="minorHAnsi" w:cstheme="minorHAnsi"/>
                <w:sz w:val="18"/>
                <w:szCs w:val="14"/>
              </w:rPr>
              <w:t>Intangible assets (Note 4.2.5)</w:t>
            </w:r>
          </w:p>
        </w:tc>
        <w:tc>
          <w:tcPr>
            <w:tcW w:w="993" w:type="dxa"/>
          </w:tcPr>
          <w:p w14:paraId="44B3FCD5" w14:textId="77777777" w:rsidR="00B02873" w:rsidRPr="004F22CD" w:rsidRDefault="00B02873" w:rsidP="004F22CD">
            <w:pPr>
              <w:pStyle w:val="TablebodyleftFinancialsTables"/>
              <w:jc w:val="right"/>
              <w:rPr>
                <w:rFonts w:asciiTheme="minorHAnsi" w:hAnsiTheme="minorHAnsi" w:cstheme="minorHAnsi"/>
                <w:b/>
                <w:bCs/>
                <w:sz w:val="18"/>
                <w:szCs w:val="14"/>
              </w:rPr>
            </w:pPr>
            <w:r w:rsidRPr="004F22CD">
              <w:rPr>
                <w:rFonts w:asciiTheme="minorHAnsi" w:hAnsiTheme="minorHAnsi" w:cstheme="minorHAnsi"/>
                <w:b/>
                <w:bCs/>
                <w:sz w:val="18"/>
                <w:szCs w:val="14"/>
              </w:rPr>
              <w:t>–</w:t>
            </w:r>
          </w:p>
        </w:tc>
        <w:tc>
          <w:tcPr>
            <w:tcW w:w="992" w:type="dxa"/>
          </w:tcPr>
          <w:p w14:paraId="47F74587" w14:textId="77777777" w:rsidR="00B02873" w:rsidRPr="004F22CD" w:rsidRDefault="00B02873" w:rsidP="004F22CD">
            <w:pPr>
              <w:pStyle w:val="TablebodyleftFinancialsTables"/>
              <w:jc w:val="right"/>
              <w:rPr>
                <w:rFonts w:asciiTheme="minorHAnsi" w:hAnsiTheme="minorHAnsi" w:cstheme="minorHAnsi"/>
                <w:sz w:val="18"/>
                <w:szCs w:val="14"/>
              </w:rPr>
            </w:pPr>
            <w:r w:rsidRPr="004F22CD">
              <w:rPr>
                <w:rFonts w:asciiTheme="minorHAnsi" w:hAnsiTheme="minorHAnsi" w:cstheme="minorHAnsi"/>
                <w:sz w:val="18"/>
                <w:szCs w:val="14"/>
              </w:rPr>
              <w:t>–</w:t>
            </w:r>
          </w:p>
        </w:tc>
        <w:tc>
          <w:tcPr>
            <w:tcW w:w="1134" w:type="dxa"/>
          </w:tcPr>
          <w:p w14:paraId="74333730" w14:textId="77777777" w:rsidR="00B02873" w:rsidRPr="004F22CD" w:rsidRDefault="00B02873" w:rsidP="004F22CD">
            <w:pPr>
              <w:pStyle w:val="TablebodyleftFinancialsTables"/>
              <w:jc w:val="right"/>
              <w:rPr>
                <w:rFonts w:asciiTheme="minorHAnsi" w:hAnsiTheme="minorHAnsi" w:cstheme="minorHAnsi"/>
                <w:b/>
                <w:bCs/>
                <w:sz w:val="18"/>
                <w:szCs w:val="14"/>
              </w:rPr>
            </w:pPr>
            <w:r w:rsidRPr="004F22CD">
              <w:rPr>
                <w:rFonts w:asciiTheme="minorHAnsi" w:hAnsiTheme="minorHAnsi" w:cstheme="minorHAnsi"/>
                <w:b/>
                <w:bCs/>
                <w:sz w:val="18"/>
                <w:szCs w:val="14"/>
              </w:rPr>
              <w:t>–</w:t>
            </w:r>
          </w:p>
        </w:tc>
        <w:tc>
          <w:tcPr>
            <w:tcW w:w="1134" w:type="dxa"/>
          </w:tcPr>
          <w:p w14:paraId="6BD922E6" w14:textId="77777777" w:rsidR="00B02873" w:rsidRPr="004F22CD" w:rsidRDefault="00B02873" w:rsidP="004F22CD">
            <w:pPr>
              <w:pStyle w:val="TablebodyleftFinancialsTables"/>
              <w:jc w:val="right"/>
              <w:rPr>
                <w:rFonts w:asciiTheme="minorHAnsi" w:hAnsiTheme="minorHAnsi" w:cstheme="minorHAnsi"/>
                <w:sz w:val="18"/>
                <w:szCs w:val="14"/>
              </w:rPr>
            </w:pPr>
            <w:r w:rsidRPr="004F22CD">
              <w:rPr>
                <w:rFonts w:asciiTheme="minorHAnsi" w:hAnsiTheme="minorHAnsi" w:cstheme="minorHAnsi"/>
                <w:sz w:val="18"/>
                <w:szCs w:val="14"/>
              </w:rPr>
              <w:t>–</w:t>
            </w:r>
          </w:p>
        </w:tc>
        <w:tc>
          <w:tcPr>
            <w:tcW w:w="1134" w:type="dxa"/>
          </w:tcPr>
          <w:p w14:paraId="041CB224" w14:textId="77777777" w:rsidR="00B02873" w:rsidRPr="004F22CD" w:rsidRDefault="00B02873" w:rsidP="004F22CD">
            <w:pPr>
              <w:pStyle w:val="TablebodyleftFinancialsTables"/>
              <w:jc w:val="right"/>
              <w:rPr>
                <w:rFonts w:asciiTheme="minorHAnsi" w:hAnsiTheme="minorHAnsi" w:cstheme="minorHAnsi"/>
                <w:b/>
                <w:bCs/>
                <w:sz w:val="18"/>
                <w:szCs w:val="14"/>
              </w:rPr>
            </w:pPr>
            <w:r w:rsidRPr="004F22CD">
              <w:rPr>
                <w:rFonts w:asciiTheme="minorHAnsi" w:hAnsiTheme="minorHAnsi" w:cstheme="minorHAnsi"/>
                <w:b/>
                <w:bCs/>
                <w:sz w:val="18"/>
                <w:szCs w:val="14"/>
              </w:rPr>
              <w:t>74,532</w:t>
            </w:r>
          </w:p>
        </w:tc>
        <w:tc>
          <w:tcPr>
            <w:tcW w:w="1138" w:type="dxa"/>
          </w:tcPr>
          <w:p w14:paraId="5BEAC7CC" w14:textId="77777777" w:rsidR="00B02873" w:rsidRPr="004F22CD" w:rsidRDefault="00B02873" w:rsidP="004F22CD">
            <w:pPr>
              <w:pStyle w:val="TablebodyleftFinancialsTables"/>
              <w:jc w:val="right"/>
              <w:rPr>
                <w:rFonts w:asciiTheme="minorHAnsi" w:hAnsiTheme="minorHAnsi" w:cstheme="minorHAnsi"/>
                <w:sz w:val="18"/>
                <w:szCs w:val="14"/>
              </w:rPr>
            </w:pPr>
            <w:r w:rsidRPr="004F22CD">
              <w:rPr>
                <w:rFonts w:asciiTheme="minorHAnsi" w:hAnsiTheme="minorHAnsi" w:cstheme="minorHAnsi"/>
                <w:sz w:val="18"/>
                <w:szCs w:val="14"/>
              </w:rPr>
              <w:t>100,022</w:t>
            </w:r>
          </w:p>
        </w:tc>
      </w:tr>
      <w:tr w:rsidR="00B02873" w:rsidRPr="004F22CD" w14:paraId="2C9864A9" w14:textId="77777777" w:rsidTr="00DB2070">
        <w:tc>
          <w:tcPr>
            <w:tcW w:w="3397" w:type="dxa"/>
          </w:tcPr>
          <w:p w14:paraId="67FD18B6" w14:textId="77777777" w:rsidR="00B02873" w:rsidRPr="004F22CD" w:rsidRDefault="00B02873" w:rsidP="004F22CD">
            <w:pPr>
              <w:pStyle w:val="TablebodyleftFinancialsTables"/>
              <w:rPr>
                <w:rFonts w:asciiTheme="minorHAnsi" w:hAnsiTheme="minorHAnsi" w:cstheme="minorHAnsi"/>
                <w:sz w:val="18"/>
                <w:szCs w:val="14"/>
              </w:rPr>
            </w:pPr>
            <w:r w:rsidRPr="004F22CD">
              <w:rPr>
                <w:rFonts w:asciiTheme="minorHAnsi" w:hAnsiTheme="minorHAnsi" w:cstheme="minorHAnsi"/>
                <w:sz w:val="18"/>
                <w:szCs w:val="14"/>
              </w:rPr>
              <w:t>Intangible assets held for sale (Note 4.2.5)</w:t>
            </w:r>
          </w:p>
        </w:tc>
        <w:tc>
          <w:tcPr>
            <w:tcW w:w="993" w:type="dxa"/>
          </w:tcPr>
          <w:p w14:paraId="73A9E690" w14:textId="77777777" w:rsidR="00B02873" w:rsidRPr="004F22CD" w:rsidRDefault="00B02873" w:rsidP="004F22CD">
            <w:pPr>
              <w:pStyle w:val="TablebodyleftFinancialsTables"/>
              <w:jc w:val="right"/>
              <w:rPr>
                <w:rFonts w:asciiTheme="minorHAnsi" w:hAnsiTheme="minorHAnsi" w:cstheme="minorHAnsi"/>
                <w:b/>
                <w:bCs/>
                <w:sz w:val="18"/>
                <w:szCs w:val="14"/>
              </w:rPr>
            </w:pPr>
            <w:r w:rsidRPr="004F22CD">
              <w:rPr>
                <w:rFonts w:asciiTheme="minorHAnsi" w:hAnsiTheme="minorHAnsi" w:cstheme="minorHAnsi"/>
                <w:b/>
                <w:bCs/>
                <w:sz w:val="18"/>
                <w:szCs w:val="14"/>
              </w:rPr>
              <w:t>18,964</w:t>
            </w:r>
          </w:p>
        </w:tc>
        <w:tc>
          <w:tcPr>
            <w:tcW w:w="992" w:type="dxa"/>
          </w:tcPr>
          <w:p w14:paraId="57FF2A75" w14:textId="77777777" w:rsidR="00B02873" w:rsidRPr="004F22CD" w:rsidRDefault="00B02873" w:rsidP="004F22CD">
            <w:pPr>
              <w:pStyle w:val="TablebodyleftFinancialsTables"/>
              <w:jc w:val="right"/>
              <w:rPr>
                <w:rFonts w:asciiTheme="minorHAnsi" w:hAnsiTheme="minorHAnsi" w:cstheme="minorHAnsi"/>
                <w:sz w:val="18"/>
                <w:szCs w:val="14"/>
              </w:rPr>
            </w:pPr>
            <w:r w:rsidRPr="004F22CD">
              <w:rPr>
                <w:rFonts w:asciiTheme="minorHAnsi" w:hAnsiTheme="minorHAnsi" w:cstheme="minorHAnsi"/>
                <w:sz w:val="18"/>
                <w:szCs w:val="14"/>
              </w:rPr>
              <w:t>1,240</w:t>
            </w:r>
          </w:p>
        </w:tc>
        <w:tc>
          <w:tcPr>
            <w:tcW w:w="1134" w:type="dxa"/>
          </w:tcPr>
          <w:p w14:paraId="730CA5FD" w14:textId="77777777" w:rsidR="00B02873" w:rsidRPr="004F22CD" w:rsidRDefault="00B02873" w:rsidP="004F22CD">
            <w:pPr>
              <w:pStyle w:val="TablebodyleftFinancialsTables"/>
              <w:jc w:val="right"/>
              <w:rPr>
                <w:rFonts w:asciiTheme="minorHAnsi" w:hAnsiTheme="minorHAnsi" w:cstheme="minorHAnsi"/>
                <w:b/>
                <w:bCs/>
                <w:sz w:val="18"/>
                <w:szCs w:val="14"/>
              </w:rPr>
            </w:pPr>
            <w:r w:rsidRPr="004F22CD">
              <w:rPr>
                <w:rFonts w:asciiTheme="minorHAnsi" w:hAnsiTheme="minorHAnsi" w:cstheme="minorHAnsi"/>
                <w:b/>
                <w:bCs/>
                <w:sz w:val="18"/>
                <w:szCs w:val="14"/>
              </w:rPr>
              <w:t>–</w:t>
            </w:r>
          </w:p>
        </w:tc>
        <w:tc>
          <w:tcPr>
            <w:tcW w:w="1134" w:type="dxa"/>
          </w:tcPr>
          <w:p w14:paraId="4748D2CC" w14:textId="77777777" w:rsidR="00B02873" w:rsidRPr="004F22CD" w:rsidRDefault="00B02873" w:rsidP="004F22CD">
            <w:pPr>
              <w:pStyle w:val="TablebodyleftFinancialsTables"/>
              <w:jc w:val="right"/>
              <w:rPr>
                <w:rFonts w:asciiTheme="minorHAnsi" w:hAnsiTheme="minorHAnsi" w:cstheme="minorHAnsi"/>
                <w:sz w:val="18"/>
                <w:szCs w:val="14"/>
              </w:rPr>
            </w:pPr>
            <w:r w:rsidRPr="004F22CD">
              <w:rPr>
                <w:rFonts w:asciiTheme="minorHAnsi" w:hAnsiTheme="minorHAnsi" w:cstheme="minorHAnsi"/>
                <w:sz w:val="18"/>
                <w:szCs w:val="14"/>
              </w:rPr>
              <w:t>–</w:t>
            </w:r>
          </w:p>
        </w:tc>
        <w:tc>
          <w:tcPr>
            <w:tcW w:w="1134" w:type="dxa"/>
          </w:tcPr>
          <w:p w14:paraId="4FCBA790" w14:textId="77777777" w:rsidR="00B02873" w:rsidRPr="004F22CD" w:rsidRDefault="00B02873" w:rsidP="004F22CD">
            <w:pPr>
              <w:pStyle w:val="TablebodyleftFinancialsTables"/>
              <w:jc w:val="right"/>
              <w:rPr>
                <w:rFonts w:asciiTheme="minorHAnsi" w:hAnsiTheme="minorHAnsi" w:cstheme="minorHAnsi"/>
                <w:b/>
                <w:bCs/>
                <w:sz w:val="18"/>
                <w:szCs w:val="14"/>
              </w:rPr>
            </w:pPr>
            <w:r w:rsidRPr="004F22CD">
              <w:rPr>
                <w:rFonts w:asciiTheme="minorHAnsi" w:hAnsiTheme="minorHAnsi" w:cstheme="minorHAnsi"/>
                <w:b/>
                <w:bCs/>
                <w:sz w:val="18"/>
                <w:szCs w:val="14"/>
              </w:rPr>
              <w:t>35,889</w:t>
            </w:r>
          </w:p>
        </w:tc>
        <w:tc>
          <w:tcPr>
            <w:tcW w:w="1138" w:type="dxa"/>
          </w:tcPr>
          <w:p w14:paraId="52E815C7" w14:textId="77777777" w:rsidR="00B02873" w:rsidRPr="004F22CD" w:rsidRDefault="00B02873" w:rsidP="004F22CD">
            <w:pPr>
              <w:pStyle w:val="TablebodyleftFinancialsTables"/>
              <w:jc w:val="right"/>
              <w:rPr>
                <w:rFonts w:asciiTheme="minorHAnsi" w:hAnsiTheme="minorHAnsi" w:cstheme="minorHAnsi"/>
                <w:sz w:val="18"/>
                <w:szCs w:val="14"/>
              </w:rPr>
            </w:pPr>
            <w:r w:rsidRPr="004F22CD">
              <w:rPr>
                <w:rFonts w:asciiTheme="minorHAnsi" w:hAnsiTheme="minorHAnsi" w:cstheme="minorHAnsi"/>
                <w:sz w:val="18"/>
                <w:szCs w:val="14"/>
              </w:rPr>
              <w:t>18,034</w:t>
            </w:r>
          </w:p>
        </w:tc>
      </w:tr>
      <w:tr w:rsidR="00B02873" w:rsidRPr="004F22CD" w14:paraId="1412164F" w14:textId="77777777" w:rsidTr="00DB2070">
        <w:tc>
          <w:tcPr>
            <w:tcW w:w="3397" w:type="dxa"/>
          </w:tcPr>
          <w:p w14:paraId="6D5A7A6A" w14:textId="27A52838" w:rsidR="00B02873" w:rsidRPr="00DB2070" w:rsidRDefault="00B02873" w:rsidP="004F22CD">
            <w:pPr>
              <w:pStyle w:val="TablebodyleftFinancialsTables"/>
              <w:rPr>
                <w:rFonts w:asciiTheme="minorHAnsi" w:hAnsiTheme="minorHAnsi" w:cstheme="minorHAnsi"/>
                <w:b/>
                <w:bCs/>
                <w:sz w:val="18"/>
                <w:szCs w:val="14"/>
              </w:rPr>
            </w:pPr>
            <w:r w:rsidRPr="00DB2070">
              <w:rPr>
                <w:rFonts w:asciiTheme="minorHAnsi" w:hAnsiTheme="minorHAnsi" w:cstheme="minorHAnsi"/>
                <w:b/>
                <w:bCs/>
                <w:sz w:val="18"/>
                <w:szCs w:val="14"/>
              </w:rPr>
              <w:t>Total administered non-financial assets</w:t>
            </w:r>
          </w:p>
        </w:tc>
        <w:tc>
          <w:tcPr>
            <w:tcW w:w="993" w:type="dxa"/>
          </w:tcPr>
          <w:p w14:paraId="4317183D" w14:textId="77777777" w:rsidR="00B02873" w:rsidRPr="004F22CD" w:rsidRDefault="00B02873" w:rsidP="004F22CD">
            <w:pPr>
              <w:pStyle w:val="TablebodyleftFinancialsTables"/>
              <w:jc w:val="right"/>
              <w:rPr>
                <w:rFonts w:asciiTheme="minorHAnsi" w:hAnsiTheme="minorHAnsi" w:cstheme="minorHAnsi"/>
                <w:b/>
                <w:bCs/>
                <w:sz w:val="18"/>
                <w:szCs w:val="14"/>
              </w:rPr>
            </w:pPr>
            <w:r w:rsidRPr="004F22CD">
              <w:rPr>
                <w:rFonts w:asciiTheme="minorHAnsi" w:hAnsiTheme="minorHAnsi" w:cstheme="minorHAnsi"/>
                <w:b/>
                <w:bCs/>
                <w:sz w:val="18"/>
                <w:szCs w:val="14"/>
              </w:rPr>
              <w:t>18,964</w:t>
            </w:r>
          </w:p>
        </w:tc>
        <w:tc>
          <w:tcPr>
            <w:tcW w:w="992" w:type="dxa"/>
          </w:tcPr>
          <w:p w14:paraId="6809AD01" w14:textId="77777777" w:rsidR="00B02873" w:rsidRPr="004F22CD" w:rsidRDefault="00B02873" w:rsidP="004F22CD">
            <w:pPr>
              <w:pStyle w:val="TablebodyleftFinancialsTables"/>
              <w:jc w:val="right"/>
              <w:rPr>
                <w:rFonts w:asciiTheme="minorHAnsi" w:hAnsiTheme="minorHAnsi" w:cstheme="minorHAnsi"/>
                <w:sz w:val="18"/>
                <w:szCs w:val="14"/>
              </w:rPr>
            </w:pPr>
            <w:r w:rsidRPr="004F22CD">
              <w:rPr>
                <w:rFonts w:asciiTheme="minorHAnsi" w:hAnsiTheme="minorHAnsi" w:cstheme="minorHAnsi"/>
                <w:sz w:val="18"/>
                <w:szCs w:val="14"/>
              </w:rPr>
              <w:t>1,240</w:t>
            </w:r>
          </w:p>
        </w:tc>
        <w:tc>
          <w:tcPr>
            <w:tcW w:w="1134" w:type="dxa"/>
          </w:tcPr>
          <w:p w14:paraId="563EFF31" w14:textId="77777777" w:rsidR="00B02873" w:rsidRPr="004F22CD" w:rsidRDefault="00B02873" w:rsidP="004F22CD">
            <w:pPr>
              <w:pStyle w:val="TablebodyleftFinancialsTables"/>
              <w:jc w:val="right"/>
              <w:rPr>
                <w:rFonts w:asciiTheme="minorHAnsi" w:hAnsiTheme="minorHAnsi" w:cstheme="minorHAnsi"/>
                <w:b/>
                <w:bCs/>
                <w:sz w:val="18"/>
                <w:szCs w:val="14"/>
              </w:rPr>
            </w:pPr>
            <w:r w:rsidRPr="004F22CD">
              <w:rPr>
                <w:rFonts w:asciiTheme="minorHAnsi" w:hAnsiTheme="minorHAnsi" w:cstheme="minorHAnsi"/>
                <w:b/>
                <w:bCs/>
                <w:sz w:val="18"/>
                <w:szCs w:val="14"/>
              </w:rPr>
              <w:t>–</w:t>
            </w:r>
          </w:p>
        </w:tc>
        <w:tc>
          <w:tcPr>
            <w:tcW w:w="1134" w:type="dxa"/>
          </w:tcPr>
          <w:p w14:paraId="49D0CFFE" w14:textId="77777777" w:rsidR="00B02873" w:rsidRPr="004F22CD" w:rsidRDefault="00B02873" w:rsidP="004F22CD">
            <w:pPr>
              <w:pStyle w:val="TablebodyleftFinancialsTables"/>
              <w:jc w:val="right"/>
              <w:rPr>
                <w:rFonts w:asciiTheme="minorHAnsi" w:hAnsiTheme="minorHAnsi" w:cstheme="minorHAnsi"/>
                <w:sz w:val="18"/>
                <w:szCs w:val="14"/>
              </w:rPr>
            </w:pPr>
            <w:r w:rsidRPr="004F22CD">
              <w:rPr>
                <w:rFonts w:asciiTheme="minorHAnsi" w:hAnsiTheme="minorHAnsi" w:cstheme="minorHAnsi"/>
                <w:sz w:val="18"/>
                <w:szCs w:val="14"/>
              </w:rPr>
              <w:t>–</w:t>
            </w:r>
          </w:p>
        </w:tc>
        <w:tc>
          <w:tcPr>
            <w:tcW w:w="1134" w:type="dxa"/>
          </w:tcPr>
          <w:p w14:paraId="6AC83144" w14:textId="77777777" w:rsidR="00B02873" w:rsidRPr="004F22CD" w:rsidRDefault="00B02873" w:rsidP="004F22CD">
            <w:pPr>
              <w:pStyle w:val="TablebodyleftFinancialsTables"/>
              <w:jc w:val="right"/>
              <w:rPr>
                <w:rFonts w:asciiTheme="minorHAnsi" w:hAnsiTheme="minorHAnsi" w:cstheme="minorHAnsi"/>
                <w:b/>
                <w:bCs/>
                <w:sz w:val="18"/>
                <w:szCs w:val="14"/>
              </w:rPr>
            </w:pPr>
            <w:r w:rsidRPr="004F22CD">
              <w:rPr>
                <w:rFonts w:asciiTheme="minorHAnsi" w:hAnsiTheme="minorHAnsi" w:cstheme="minorHAnsi"/>
                <w:b/>
                <w:bCs/>
                <w:sz w:val="18"/>
                <w:szCs w:val="14"/>
              </w:rPr>
              <w:t>1,629,236</w:t>
            </w:r>
          </w:p>
        </w:tc>
        <w:tc>
          <w:tcPr>
            <w:tcW w:w="1138" w:type="dxa"/>
          </w:tcPr>
          <w:p w14:paraId="1D16F06C" w14:textId="77777777" w:rsidR="00B02873" w:rsidRPr="004F22CD" w:rsidRDefault="00B02873" w:rsidP="004F22CD">
            <w:pPr>
              <w:pStyle w:val="TablebodyleftFinancialsTables"/>
              <w:jc w:val="right"/>
              <w:rPr>
                <w:rFonts w:asciiTheme="minorHAnsi" w:hAnsiTheme="minorHAnsi" w:cstheme="minorHAnsi"/>
                <w:sz w:val="18"/>
                <w:szCs w:val="14"/>
              </w:rPr>
            </w:pPr>
            <w:r w:rsidRPr="004F22CD">
              <w:rPr>
                <w:rFonts w:asciiTheme="minorHAnsi" w:hAnsiTheme="minorHAnsi" w:cstheme="minorHAnsi"/>
                <w:sz w:val="18"/>
                <w:szCs w:val="14"/>
              </w:rPr>
              <w:t>1,494,040</w:t>
            </w:r>
          </w:p>
        </w:tc>
      </w:tr>
      <w:tr w:rsidR="00B02873" w:rsidRPr="004F22CD" w14:paraId="6D2F7F62" w14:textId="77777777" w:rsidTr="00DB2070">
        <w:tc>
          <w:tcPr>
            <w:tcW w:w="3397" w:type="dxa"/>
          </w:tcPr>
          <w:p w14:paraId="14EE9B96" w14:textId="77777777" w:rsidR="00B02873" w:rsidRPr="00DB2070" w:rsidRDefault="00B02873" w:rsidP="004F22CD">
            <w:pPr>
              <w:pStyle w:val="TablebodyleftFinancialsTables"/>
              <w:rPr>
                <w:rFonts w:asciiTheme="minorHAnsi" w:hAnsiTheme="minorHAnsi" w:cstheme="minorHAnsi"/>
                <w:b/>
                <w:bCs/>
                <w:sz w:val="18"/>
                <w:szCs w:val="14"/>
              </w:rPr>
            </w:pPr>
            <w:r w:rsidRPr="00DB2070">
              <w:rPr>
                <w:rFonts w:asciiTheme="minorHAnsi" w:hAnsiTheme="minorHAnsi" w:cstheme="minorHAnsi"/>
                <w:b/>
                <w:bCs/>
                <w:sz w:val="18"/>
                <w:szCs w:val="14"/>
              </w:rPr>
              <w:t>Total administered assets</w:t>
            </w:r>
          </w:p>
        </w:tc>
        <w:tc>
          <w:tcPr>
            <w:tcW w:w="993" w:type="dxa"/>
          </w:tcPr>
          <w:p w14:paraId="20D37687" w14:textId="77777777" w:rsidR="00B02873" w:rsidRPr="004F22CD" w:rsidRDefault="00B02873" w:rsidP="004F22CD">
            <w:pPr>
              <w:pStyle w:val="TablebodyleftFinancialsTables"/>
              <w:jc w:val="right"/>
              <w:rPr>
                <w:rFonts w:asciiTheme="minorHAnsi" w:hAnsiTheme="minorHAnsi" w:cstheme="minorHAnsi"/>
                <w:b/>
                <w:bCs/>
                <w:sz w:val="18"/>
                <w:szCs w:val="14"/>
              </w:rPr>
            </w:pPr>
            <w:r w:rsidRPr="004F22CD">
              <w:rPr>
                <w:rFonts w:asciiTheme="minorHAnsi" w:hAnsiTheme="minorHAnsi" w:cstheme="minorHAnsi"/>
                <w:b/>
                <w:bCs/>
                <w:sz w:val="18"/>
                <w:szCs w:val="14"/>
              </w:rPr>
              <w:t>28,936</w:t>
            </w:r>
          </w:p>
        </w:tc>
        <w:tc>
          <w:tcPr>
            <w:tcW w:w="992" w:type="dxa"/>
          </w:tcPr>
          <w:p w14:paraId="6B76D2E3" w14:textId="77777777" w:rsidR="00B02873" w:rsidRPr="004F22CD" w:rsidRDefault="00B02873" w:rsidP="004F22CD">
            <w:pPr>
              <w:pStyle w:val="TablebodyleftFinancialsTables"/>
              <w:jc w:val="right"/>
              <w:rPr>
                <w:rFonts w:asciiTheme="minorHAnsi" w:hAnsiTheme="minorHAnsi" w:cstheme="minorHAnsi"/>
                <w:sz w:val="18"/>
                <w:szCs w:val="14"/>
              </w:rPr>
            </w:pPr>
            <w:r w:rsidRPr="004F22CD">
              <w:rPr>
                <w:rFonts w:asciiTheme="minorHAnsi" w:hAnsiTheme="minorHAnsi" w:cstheme="minorHAnsi"/>
                <w:sz w:val="18"/>
                <w:szCs w:val="14"/>
              </w:rPr>
              <w:t>6,539</w:t>
            </w:r>
          </w:p>
        </w:tc>
        <w:tc>
          <w:tcPr>
            <w:tcW w:w="1134" w:type="dxa"/>
          </w:tcPr>
          <w:p w14:paraId="488530FF" w14:textId="77777777" w:rsidR="00B02873" w:rsidRPr="004F22CD" w:rsidRDefault="00B02873" w:rsidP="004F22CD">
            <w:pPr>
              <w:pStyle w:val="TablebodyleftFinancialsTables"/>
              <w:jc w:val="right"/>
              <w:rPr>
                <w:rFonts w:asciiTheme="minorHAnsi" w:hAnsiTheme="minorHAnsi" w:cstheme="minorHAnsi"/>
                <w:b/>
                <w:bCs/>
                <w:sz w:val="18"/>
                <w:szCs w:val="14"/>
              </w:rPr>
            </w:pPr>
            <w:r w:rsidRPr="004F22CD">
              <w:rPr>
                <w:rFonts w:asciiTheme="minorHAnsi" w:hAnsiTheme="minorHAnsi" w:cstheme="minorHAnsi"/>
                <w:b/>
                <w:bCs/>
                <w:sz w:val="18"/>
                <w:szCs w:val="14"/>
              </w:rPr>
              <w:t>2,493</w:t>
            </w:r>
          </w:p>
        </w:tc>
        <w:tc>
          <w:tcPr>
            <w:tcW w:w="1134" w:type="dxa"/>
          </w:tcPr>
          <w:p w14:paraId="38B57B15" w14:textId="77777777" w:rsidR="00B02873" w:rsidRPr="004F22CD" w:rsidRDefault="00B02873" w:rsidP="004F22CD">
            <w:pPr>
              <w:pStyle w:val="TablebodyleftFinancialsTables"/>
              <w:jc w:val="right"/>
              <w:rPr>
                <w:rFonts w:asciiTheme="minorHAnsi" w:hAnsiTheme="minorHAnsi" w:cstheme="minorHAnsi"/>
                <w:sz w:val="18"/>
                <w:szCs w:val="14"/>
              </w:rPr>
            </w:pPr>
            <w:r w:rsidRPr="004F22CD">
              <w:rPr>
                <w:rFonts w:asciiTheme="minorHAnsi" w:hAnsiTheme="minorHAnsi" w:cstheme="minorHAnsi"/>
                <w:sz w:val="18"/>
                <w:szCs w:val="14"/>
              </w:rPr>
              <w:t>1,034</w:t>
            </w:r>
          </w:p>
        </w:tc>
        <w:tc>
          <w:tcPr>
            <w:tcW w:w="1134" w:type="dxa"/>
          </w:tcPr>
          <w:p w14:paraId="253FA34E" w14:textId="77777777" w:rsidR="00B02873" w:rsidRPr="004F22CD" w:rsidRDefault="00B02873" w:rsidP="004F22CD">
            <w:pPr>
              <w:pStyle w:val="TablebodyleftFinancialsTables"/>
              <w:jc w:val="right"/>
              <w:rPr>
                <w:rFonts w:asciiTheme="minorHAnsi" w:hAnsiTheme="minorHAnsi" w:cstheme="minorHAnsi"/>
                <w:b/>
                <w:bCs/>
                <w:sz w:val="18"/>
                <w:szCs w:val="14"/>
              </w:rPr>
            </w:pPr>
            <w:r w:rsidRPr="004F22CD">
              <w:rPr>
                <w:rFonts w:asciiTheme="minorHAnsi" w:hAnsiTheme="minorHAnsi" w:cstheme="minorHAnsi"/>
                <w:b/>
                <w:bCs/>
                <w:sz w:val="18"/>
                <w:szCs w:val="14"/>
              </w:rPr>
              <w:t>5,429,026</w:t>
            </w:r>
          </w:p>
        </w:tc>
        <w:tc>
          <w:tcPr>
            <w:tcW w:w="1138" w:type="dxa"/>
          </w:tcPr>
          <w:p w14:paraId="1568B68A" w14:textId="77777777" w:rsidR="00B02873" w:rsidRPr="004F22CD" w:rsidRDefault="00B02873" w:rsidP="004F22CD">
            <w:pPr>
              <w:pStyle w:val="TablebodyleftFinancialsTables"/>
              <w:jc w:val="right"/>
              <w:rPr>
                <w:rFonts w:asciiTheme="minorHAnsi" w:hAnsiTheme="minorHAnsi" w:cstheme="minorHAnsi"/>
                <w:sz w:val="18"/>
                <w:szCs w:val="14"/>
              </w:rPr>
            </w:pPr>
            <w:r w:rsidRPr="004F22CD">
              <w:rPr>
                <w:rFonts w:asciiTheme="minorHAnsi" w:hAnsiTheme="minorHAnsi" w:cstheme="minorHAnsi"/>
                <w:sz w:val="18"/>
                <w:szCs w:val="14"/>
              </w:rPr>
              <w:t>5,218,612</w:t>
            </w:r>
          </w:p>
        </w:tc>
      </w:tr>
      <w:tr w:rsidR="00B02873" w:rsidRPr="004F22CD" w14:paraId="1FCFB44C" w14:textId="77777777" w:rsidTr="00DB2070">
        <w:tc>
          <w:tcPr>
            <w:tcW w:w="3397" w:type="dxa"/>
          </w:tcPr>
          <w:p w14:paraId="5236B5BB" w14:textId="77777777" w:rsidR="00B02873" w:rsidRPr="00DB2070" w:rsidRDefault="00B02873" w:rsidP="004F22CD">
            <w:pPr>
              <w:pStyle w:val="TablebodyleftFinancialsTables"/>
              <w:rPr>
                <w:rFonts w:asciiTheme="minorHAnsi" w:hAnsiTheme="minorHAnsi" w:cstheme="minorHAnsi"/>
                <w:b/>
                <w:bCs/>
                <w:sz w:val="18"/>
                <w:szCs w:val="14"/>
              </w:rPr>
            </w:pPr>
            <w:r w:rsidRPr="00DB2070">
              <w:rPr>
                <w:rFonts w:asciiTheme="minorHAnsi" w:hAnsiTheme="minorHAnsi" w:cstheme="minorHAnsi"/>
                <w:b/>
                <w:bCs/>
                <w:sz w:val="18"/>
                <w:szCs w:val="14"/>
              </w:rPr>
              <w:t>Administered liabilities</w:t>
            </w:r>
          </w:p>
        </w:tc>
        <w:tc>
          <w:tcPr>
            <w:tcW w:w="993" w:type="dxa"/>
          </w:tcPr>
          <w:p w14:paraId="17E6ACC4" w14:textId="77777777" w:rsidR="00B02873" w:rsidRPr="004F22CD" w:rsidRDefault="00B02873" w:rsidP="004F22CD">
            <w:pPr>
              <w:pStyle w:val="TablebodyleftFinancialsTables"/>
              <w:jc w:val="right"/>
              <w:rPr>
                <w:rFonts w:asciiTheme="minorHAnsi" w:hAnsiTheme="minorHAnsi" w:cstheme="minorHAnsi"/>
                <w:b/>
                <w:bCs/>
                <w:sz w:val="18"/>
                <w:szCs w:val="14"/>
              </w:rPr>
            </w:pPr>
          </w:p>
        </w:tc>
        <w:tc>
          <w:tcPr>
            <w:tcW w:w="992" w:type="dxa"/>
          </w:tcPr>
          <w:p w14:paraId="077E88EA" w14:textId="77777777" w:rsidR="00B02873" w:rsidRPr="004F22CD" w:rsidRDefault="00B02873" w:rsidP="004F22CD">
            <w:pPr>
              <w:pStyle w:val="TablebodyleftFinancialsTables"/>
              <w:jc w:val="right"/>
              <w:rPr>
                <w:rFonts w:asciiTheme="minorHAnsi" w:hAnsiTheme="minorHAnsi" w:cstheme="minorHAnsi"/>
                <w:sz w:val="18"/>
                <w:szCs w:val="14"/>
              </w:rPr>
            </w:pPr>
          </w:p>
        </w:tc>
        <w:tc>
          <w:tcPr>
            <w:tcW w:w="1134" w:type="dxa"/>
          </w:tcPr>
          <w:p w14:paraId="1C5724D8" w14:textId="77777777" w:rsidR="00B02873" w:rsidRPr="004F22CD" w:rsidRDefault="00B02873" w:rsidP="004F22CD">
            <w:pPr>
              <w:pStyle w:val="TablebodyleftFinancialsTables"/>
              <w:jc w:val="right"/>
              <w:rPr>
                <w:rFonts w:asciiTheme="minorHAnsi" w:hAnsiTheme="minorHAnsi" w:cstheme="minorHAnsi"/>
                <w:b/>
                <w:bCs/>
                <w:sz w:val="18"/>
                <w:szCs w:val="14"/>
              </w:rPr>
            </w:pPr>
          </w:p>
        </w:tc>
        <w:tc>
          <w:tcPr>
            <w:tcW w:w="1134" w:type="dxa"/>
          </w:tcPr>
          <w:p w14:paraId="562D2FE9" w14:textId="77777777" w:rsidR="00B02873" w:rsidRPr="004F22CD" w:rsidRDefault="00B02873" w:rsidP="004F22CD">
            <w:pPr>
              <w:pStyle w:val="TablebodyleftFinancialsTables"/>
              <w:jc w:val="right"/>
              <w:rPr>
                <w:rFonts w:asciiTheme="minorHAnsi" w:hAnsiTheme="minorHAnsi" w:cstheme="minorHAnsi"/>
                <w:sz w:val="18"/>
                <w:szCs w:val="14"/>
              </w:rPr>
            </w:pPr>
          </w:p>
        </w:tc>
        <w:tc>
          <w:tcPr>
            <w:tcW w:w="1134" w:type="dxa"/>
          </w:tcPr>
          <w:p w14:paraId="1E93D563" w14:textId="77777777" w:rsidR="00B02873" w:rsidRPr="004F22CD" w:rsidRDefault="00B02873" w:rsidP="004F22CD">
            <w:pPr>
              <w:pStyle w:val="TablebodyleftFinancialsTables"/>
              <w:jc w:val="right"/>
              <w:rPr>
                <w:rFonts w:asciiTheme="minorHAnsi" w:hAnsiTheme="minorHAnsi" w:cstheme="minorHAnsi"/>
                <w:b/>
                <w:bCs/>
                <w:sz w:val="18"/>
                <w:szCs w:val="14"/>
              </w:rPr>
            </w:pPr>
          </w:p>
        </w:tc>
        <w:tc>
          <w:tcPr>
            <w:tcW w:w="1138" w:type="dxa"/>
          </w:tcPr>
          <w:p w14:paraId="286E0557" w14:textId="77777777" w:rsidR="00B02873" w:rsidRPr="004F22CD" w:rsidRDefault="00B02873" w:rsidP="004F22CD">
            <w:pPr>
              <w:pStyle w:val="TablebodyleftFinancialsTables"/>
              <w:jc w:val="right"/>
              <w:rPr>
                <w:rFonts w:asciiTheme="minorHAnsi" w:hAnsiTheme="minorHAnsi" w:cstheme="minorHAnsi"/>
                <w:sz w:val="18"/>
                <w:szCs w:val="14"/>
              </w:rPr>
            </w:pPr>
          </w:p>
        </w:tc>
      </w:tr>
      <w:tr w:rsidR="00B02873" w:rsidRPr="004F22CD" w14:paraId="5139E76E" w14:textId="77777777" w:rsidTr="00DB2070">
        <w:tc>
          <w:tcPr>
            <w:tcW w:w="3397" w:type="dxa"/>
          </w:tcPr>
          <w:p w14:paraId="7E448B57" w14:textId="77777777" w:rsidR="00B02873" w:rsidRPr="004F22CD" w:rsidRDefault="00B02873" w:rsidP="004F22CD">
            <w:pPr>
              <w:pStyle w:val="TablebodyleftFinancialsTables"/>
              <w:rPr>
                <w:rFonts w:asciiTheme="minorHAnsi" w:hAnsiTheme="minorHAnsi" w:cstheme="minorHAnsi"/>
                <w:sz w:val="18"/>
                <w:szCs w:val="14"/>
              </w:rPr>
            </w:pPr>
            <w:r w:rsidRPr="004F22CD">
              <w:rPr>
                <w:rFonts w:asciiTheme="minorHAnsi" w:hAnsiTheme="minorHAnsi" w:cstheme="minorHAnsi"/>
                <w:sz w:val="18"/>
                <w:szCs w:val="14"/>
              </w:rPr>
              <w:t>Creditors and accruals</w:t>
            </w:r>
          </w:p>
        </w:tc>
        <w:tc>
          <w:tcPr>
            <w:tcW w:w="993" w:type="dxa"/>
          </w:tcPr>
          <w:p w14:paraId="26A2909A" w14:textId="5ECFA686" w:rsidR="00B02873" w:rsidRPr="004F22CD" w:rsidRDefault="00B02873" w:rsidP="004F22CD">
            <w:pPr>
              <w:pStyle w:val="TablebodyleftFinancialsTables"/>
              <w:jc w:val="right"/>
              <w:rPr>
                <w:rFonts w:asciiTheme="minorHAnsi" w:hAnsiTheme="minorHAnsi" w:cstheme="minorHAnsi"/>
                <w:b/>
                <w:bCs/>
                <w:sz w:val="18"/>
                <w:szCs w:val="14"/>
              </w:rPr>
            </w:pPr>
            <w:r w:rsidRPr="004F22CD">
              <w:rPr>
                <w:rFonts w:asciiTheme="minorHAnsi" w:hAnsiTheme="minorHAnsi" w:cstheme="minorHAnsi"/>
                <w:b/>
                <w:bCs/>
                <w:sz w:val="18"/>
                <w:szCs w:val="14"/>
              </w:rPr>
              <w:t>535</w:t>
            </w:r>
          </w:p>
        </w:tc>
        <w:tc>
          <w:tcPr>
            <w:tcW w:w="992" w:type="dxa"/>
          </w:tcPr>
          <w:p w14:paraId="4592317F" w14:textId="77777777" w:rsidR="00B02873" w:rsidRPr="004F22CD" w:rsidRDefault="00B02873" w:rsidP="004F22CD">
            <w:pPr>
              <w:pStyle w:val="TablebodyleftFinancialsTables"/>
              <w:jc w:val="right"/>
              <w:rPr>
                <w:rFonts w:asciiTheme="minorHAnsi" w:hAnsiTheme="minorHAnsi" w:cstheme="minorHAnsi"/>
                <w:sz w:val="18"/>
                <w:szCs w:val="14"/>
              </w:rPr>
            </w:pPr>
            <w:r w:rsidRPr="004F22CD">
              <w:rPr>
                <w:rFonts w:asciiTheme="minorHAnsi" w:hAnsiTheme="minorHAnsi" w:cstheme="minorHAnsi"/>
                <w:sz w:val="18"/>
                <w:szCs w:val="14"/>
              </w:rPr>
              <w:t>540</w:t>
            </w:r>
          </w:p>
        </w:tc>
        <w:tc>
          <w:tcPr>
            <w:tcW w:w="1134" w:type="dxa"/>
          </w:tcPr>
          <w:p w14:paraId="1481AEE7" w14:textId="146526DC" w:rsidR="00B02873" w:rsidRPr="004F22CD" w:rsidRDefault="00B02873" w:rsidP="004F22CD">
            <w:pPr>
              <w:pStyle w:val="TablebodyleftFinancialsTables"/>
              <w:jc w:val="right"/>
              <w:rPr>
                <w:rFonts w:asciiTheme="minorHAnsi" w:hAnsiTheme="minorHAnsi" w:cstheme="minorHAnsi"/>
                <w:b/>
                <w:bCs/>
                <w:sz w:val="18"/>
                <w:szCs w:val="14"/>
              </w:rPr>
            </w:pPr>
            <w:r w:rsidRPr="004F22CD">
              <w:rPr>
                <w:rFonts w:asciiTheme="minorHAnsi" w:hAnsiTheme="minorHAnsi" w:cstheme="minorHAnsi"/>
                <w:b/>
                <w:bCs/>
                <w:sz w:val="18"/>
                <w:szCs w:val="14"/>
              </w:rPr>
              <w:t>134</w:t>
            </w:r>
          </w:p>
        </w:tc>
        <w:tc>
          <w:tcPr>
            <w:tcW w:w="1134" w:type="dxa"/>
          </w:tcPr>
          <w:p w14:paraId="4E1F9E9F" w14:textId="77777777" w:rsidR="00B02873" w:rsidRPr="004F22CD" w:rsidRDefault="00B02873" w:rsidP="004F22CD">
            <w:pPr>
              <w:pStyle w:val="TablebodyleftFinancialsTables"/>
              <w:jc w:val="right"/>
              <w:rPr>
                <w:rFonts w:asciiTheme="minorHAnsi" w:hAnsiTheme="minorHAnsi" w:cstheme="minorHAnsi"/>
                <w:sz w:val="18"/>
                <w:szCs w:val="14"/>
              </w:rPr>
            </w:pPr>
            <w:r w:rsidRPr="004F22CD">
              <w:rPr>
                <w:rFonts w:asciiTheme="minorHAnsi" w:hAnsiTheme="minorHAnsi" w:cstheme="minorHAnsi"/>
                <w:sz w:val="18"/>
                <w:szCs w:val="14"/>
              </w:rPr>
              <w:t>98</w:t>
            </w:r>
          </w:p>
        </w:tc>
        <w:tc>
          <w:tcPr>
            <w:tcW w:w="1134" w:type="dxa"/>
          </w:tcPr>
          <w:p w14:paraId="2E151746" w14:textId="77777777" w:rsidR="00B02873" w:rsidRPr="004F22CD" w:rsidRDefault="00B02873" w:rsidP="004F22CD">
            <w:pPr>
              <w:pStyle w:val="TablebodyleftFinancialsTables"/>
              <w:jc w:val="right"/>
              <w:rPr>
                <w:rFonts w:asciiTheme="minorHAnsi" w:hAnsiTheme="minorHAnsi" w:cstheme="minorHAnsi"/>
                <w:b/>
                <w:bCs/>
                <w:sz w:val="18"/>
                <w:szCs w:val="14"/>
              </w:rPr>
            </w:pPr>
            <w:r w:rsidRPr="004F22CD">
              <w:rPr>
                <w:rFonts w:asciiTheme="minorHAnsi" w:hAnsiTheme="minorHAnsi" w:cstheme="minorHAnsi"/>
                <w:b/>
                <w:bCs/>
                <w:sz w:val="18"/>
                <w:szCs w:val="14"/>
              </w:rPr>
              <w:t>61,275</w:t>
            </w:r>
          </w:p>
        </w:tc>
        <w:tc>
          <w:tcPr>
            <w:tcW w:w="1138" w:type="dxa"/>
          </w:tcPr>
          <w:p w14:paraId="7A2AA647" w14:textId="77777777" w:rsidR="00B02873" w:rsidRPr="004F22CD" w:rsidRDefault="00B02873" w:rsidP="004F22CD">
            <w:pPr>
              <w:pStyle w:val="TablebodyleftFinancialsTables"/>
              <w:jc w:val="right"/>
              <w:rPr>
                <w:rFonts w:asciiTheme="minorHAnsi" w:hAnsiTheme="minorHAnsi" w:cstheme="minorHAnsi"/>
                <w:sz w:val="18"/>
                <w:szCs w:val="14"/>
              </w:rPr>
            </w:pPr>
            <w:r w:rsidRPr="004F22CD">
              <w:rPr>
                <w:rFonts w:asciiTheme="minorHAnsi" w:hAnsiTheme="minorHAnsi" w:cstheme="minorHAnsi"/>
                <w:sz w:val="18"/>
                <w:szCs w:val="14"/>
              </w:rPr>
              <w:t>57,736</w:t>
            </w:r>
          </w:p>
        </w:tc>
      </w:tr>
      <w:tr w:rsidR="00B02873" w:rsidRPr="004F22CD" w14:paraId="1546E627" w14:textId="77777777" w:rsidTr="00DB2070">
        <w:tc>
          <w:tcPr>
            <w:tcW w:w="3397" w:type="dxa"/>
          </w:tcPr>
          <w:p w14:paraId="357047B2" w14:textId="77777777" w:rsidR="00B02873" w:rsidRPr="004F22CD" w:rsidRDefault="00B02873" w:rsidP="004F22CD">
            <w:pPr>
              <w:pStyle w:val="TablebodyleftFinancialsTables"/>
              <w:rPr>
                <w:rFonts w:asciiTheme="minorHAnsi" w:hAnsiTheme="minorHAnsi" w:cstheme="minorHAnsi"/>
                <w:sz w:val="18"/>
                <w:szCs w:val="14"/>
              </w:rPr>
            </w:pPr>
            <w:r w:rsidRPr="004F22CD">
              <w:rPr>
                <w:rFonts w:asciiTheme="minorHAnsi" w:hAnsiTheme="minorHAnsi" w:cstheme="minorHAnsi"/>
                <w:sz w:val="18"/>
                <w:szCs w:val="14"/>
              </w:rPr>
              <w:t>Contract liabilities</w:t>
            </w:r>
          </w:p>
        </w:tc>
        <w:tc>
          <w:tcPr>
            <w:tcW w:w="993" w:type="dxa"/>
          </w:tcPr>
          <w:p w14:paraId="2F7B3E3F" w14:textId="77777777" w:rsidR="00B02873" w:rsidRPr="004F22CD" w:rsidRDefault="00B02873" w:rsidP="004F22CD">
            <w:pPr>
              <w:pStyle w:val="TablebodyleftFinancialsTables"/>
              <w:jc w:val="right"/>
              <w:rPr>
                <w:rFonts w:asciiTheme="minorHAnsi" w:hAnsiTheme="minorHAnsi" w:cstheme="minorHAnsi"/>
                <w:b/>
                <w:bCs/>
                <w:sz w:val="18"/>
                <w:szCs w:val="14"/>
              </w:rPr>
            </w:pPr>
            <w:r w:rsidRPr="004F22CD">
              <w:rPr>
                <w:rFonts w:asciiTheme="minorHAnsi" w:hAnsiTheme="minorHAnsi" w:cstheme="minorHAnsi"/>
                <w:b/>
                <w:bCs/>
                <w:sz w:val="18"/>
                <w:szCs w:val="14"/>
              </w:rPr>
              <w:t>243</w:t>
            </w:r>
          </w:p>
        </w:tc>
        <w:tc>
          <w:tcPr>
            <w:tcW w:w="992" w:type="dxa"/>
          </w:tcPr>
          <w:p w14:paraId="260FD4C6" w14:textId="77777777" w:rsidR="00B02873" w:rsidRPr="004F22CD" w:rsidRDefault="00B02873" w:rsidP="004F22CD">
            <w:pPr>
              <w:pStyle w:val="TablebodyleftFinancialsTables"/>
              <w:jc w:val="right"/>
              <w:rPr>
                <w:rFonts w:asciiTheme="minorHAnsi" w:hAnsiTheme="minorHAnsi" w:cstheme="minorHAnsi"/>
                <w:sz w:val="18"/>
                <w:szCs w:val="14"/>
              </w:rPr>
            </w:pPr>
            <w:r w:rsidRPr="004F22CD">
              <w:rPr>
                <w:rFonts w:asciiTheme="minorHAnsi" w:hAnsiTheme="minorHAnsi" w:cstheme="minorHAnsi"/>
                <w:sz w:val="18"/>
                <w:szCs w:val="14"/>
              </w:rPr>
              <w:t>231</w:t>
            </w:r>
          </w:p>
        </w:tc>
        <w:tc>
          <w:tcPr>
            <w:tcW w:w="1134" w:type="dxa"/>
          </w:tcPr>
          <w:p w14:paraId="48627A42" w14:textId="77777777" w:rsidR="00B02873" w:rsidRPr="004F22CD" w:rsidRDefault="00B02873" w:rsidP="004F22CD">
            <w:pPr>
              <w:pStyle w:val="TablebodyleftFinancialsTables"/>
              <w:jc w:val="right"/>
              <w:rPr>
                <w:rFonts w:asciiTheme="minorHAnsi" w:hAnsiTheme="minorHAnsi" w:cstheme="minorHAnsi"/>
                <w:b/>
                <w:bCs/>
                <w:sz w:val="18"/>
                <w:szCs w:val="14"/>
              </w:rPr>
            </w:pPr>
            <w:r w:rsidRPr="004F22CD">
              <w:rPr>
                <w:rFonts w:asciiTheme="minorHAnsi" w:hAnsiTheme="minorHAnsi" w:cstheme="minorHAnsi"/>
                <w:b/>
                <w:bCs/>
                <w:sz w:val="18"/>
                <w:szCs w:val="14"/>
              </w:rPr>
              <w:t>61</w:t>
            </w:r>
          </w:p>
        </w:tc>
        <w:tc>
          <w:tcPr>
            <w:tcW w:w="1134" w:type="dxa"/>
          </w:tcPr>
          <w:p w14:paraId="04F91703" w14:textId="77777777" w:rsidR="00B02873" w:rsidRPr="004F22CD" w:rsidRDefault="00B02873" w:rsidP="004F22CD">
            <w:pPr>
              <w:pStyle w:val="TablebodyleftFinancialsTables"/>
              <w:jc w:val="right"/>
              <w:rPr>
                <w:rFonts w:asciiTheme="minorHAnsi" w:hAnsiTheme="minorHAnsi" w:cstheme="minorHAnsi"/>
                <w:sz w:val="18"/>
                <w:szCs w:val="14"/>
              </w:rPr>
            </w:pPr>
            <w:r w:rsidRPr="004F22CD">
              <w:rPr>
                <w:rFonts w:asciiTheme="minorHAnsi" w:hAnsiTheme="minorHAnsi" w:cstheme="minorHAnsi"/>
                <w:sz w:val="18"/>
                <w:szCs w:val="14"/>
              </w:rPr>
              <w:t>42</w:t>
            </w:r>
          </w:p>
        </w:tc>
        <w:tc>
          <w:tcPr>
            <w:tcW w:w="1134" w:type="dxa"/>
          </w:tcPr>
          <w:p w14:paraId="62F48A2E" w14:textId="77777777" w:rsidR="00B02873" w:rsidRPr="004F22CD" w:rsidRDefault="00B02873" w:rsidP="004F22CD">
            <w:pPr>
              <w:pStyle w:val="TablebodyleftFinancialsTables"/>
              <w:jc w:val="right"/>
              <w:rPr>
                <w:rFonts w:asciiTheme="minorHAnsi" w:hAnsiTheme="minorHAnsi" w:cstheme="minorHAnsi"/>
                <w:b/>
                <w:bCs/>
                <w:sz w:val="18"/>
                <w:szCs w:val="14"/>
              </w:rPr>
            </w:pPr>
            <w:r w:rsidRPr="004F22CD">
              <w:rPr>
                <w:rFonts w:asciiTheme="minorHAnsi" w:hAnsiTheme="minorHAnsi" w:cstheme="minorHAnsi"/>
                <w:b/>
                <w:bCs/>
                <w:sz w:val="18"/>
                <w:szCs w:val="14"/>
              </w:rPr>
              <w:t>6,616</w:t>
            </w:r>
          </w:p>
        </w:tc>
        <w:tc>
          <w:tcPr>
            <w:tcW w:w="1138" w:type="dxa"/>
          </w:tcPr>
          <w:p w14:paraId="5A65FA79" w14:textId="77777777" w:rsidR="00B02873" w:rsidRPr="004F22CD" w:rsidRDefault="00B02873" w:rsidP="004F22CD">
            <w:pPr>
              <w:pStyle w:val="TablebodyleftFinancialsTables"/>
              <w:jc w:val="right"/>
              <w:rPr>
                <w:rFonts w:asciiTheme="minorHAnsi" w:hAnsiTheme="minorHAnsi" w:cstheme="minorHAnsi"/>
                <w:sz w:val="18"/>
                <w:szCs w:val="14"/>
              </w:rPr>
            </w:pPr>
            <w:r w:rsidRPr="004F22CD">
              <w:rPr>
                <w:rFonts w:asciiTheme="minorHAnsi" w:hAnsiTheme="minorHAnsi" w:cstheme="minorHAnsi"/>
                <w:sz w:val="18"/>
                <w:szCs w:val="14"/>
              </w:rPr>
              <w:t>8,562</w:t>
            </w:r>
          </w:p>
        </w:tc>
      </w:tr>
      <w:tr w:rsidR="00B02873" w:rsidRPr="004F22CD" w14:paraId="3B120E05" w14:textId="77777777" w:rsidTr="00DB2070">
        <w:tc>
          <w:tcPr>
            <w:tcW w:w="3397" w:type="dxa"/>
          </w:tcPr>
          <w:p w14:paraId="5BF812C0" w14:textId="77777777" w:rsidR="00B02873" w:rsidRPr="004F22CD" w:rsidRDefault="00B02873" w:rsidP="004F22CD">
            <w:pPr>
              <w:pStyle w:val="TablebodyleftFinancialsTables"/>
              <w:rPr>
                <w:rFonts w:asciiTheme="minorHAnsi" w:hAnsiTheme="minorHAnsi" w:cstheme="minorHAnsi"/>
                <w:sz w:val="18"/>
                <w:szCs w:val="14"/>
              </w:rPr>
            </w:pPr>
            <w:r w:rsidRPr="004F22CD">
              <w:rPr>
                <w:rFonts w:asciiTheme="minorHAnsi" w:hAnsiTheme="minorHAnsi" w:cstheme="minorHAnsi"/>
                <w:sz w:val="18"/>
                <w:szCs w:val="14"/>
              </w:rPr>
              <w:t xml:space="preserve">Grant of right to operate liability (Note 4.2.4) </w:t>
            </w:r>
          </w:p>
        </w:tc>
        <w:tc>
          <w:tcPr>
            <w:tcW w:w="993" w:type="dxa"/>
          </w:tcPr>
          <w:p w14:paraId="56F42C83" w14:textId="77777777" w:rsidR="00B02873" w:rsidRPr="004F22CD" w:rsidRDefault="00B02873" w:rsidP="004F22CD">
            <w:pPr>
              <w:pStyle w:val="TablebodyleftFinancialsTables"/>
              <w:jc w:val="right"/>
              <w:rPr>
                <w:rFonts w:asciiTheme="minorHAnsi" w:hAnsiTheme="minorHAnsi" w:cstheme="minorHAnsi"/>
                <w:b/>
                <w:bCs/>
                <w:sz w:val="18"/>
                <w:szCs w:val="14"/>
              </w:rPr>
            </w:pPr>
            <w:r w:rsidRPr="004F22CD">
              <w:rPr>
                <w:rFonts w:asciiTheme="minorHAnsi" w:hAnsiTheme="minorHAnsi" w:cstheme="minorHAnsi"/>
                <w:b/>
                <w:bCs/>
                <w:sz w:val="18"/>
                <w:szCs w:val="14"/>
              </w:rPr>
              <w:t>–</w:t>
            </w:r>
          </w:p>
        </w:tc>
        <w:tc>
          <w:tcPr>
            <w:tcW w:w="992" w:type="dxa"/>
          </w:tcPr>
          <w:p w14:paraId="705C727B" w14:textId="77777777" w:rsidR="00B02873" w:rsidRPr="004F22CD" w:rsidRDefault="00B02873" w:rsidP="004F22CD">
            <w:pPr>
              <w:pStyle w:val="TablebodyleftFinancialsTables"/>
              <w:jc w:val="right"/>
              <w:rPr>
                <w:rFonts w:asciiTheme="minorHAnsi" w:hAnsiTheme="minorHAnsi" w:cstheme="minorHAnsi"/>
                <w:sz w:val="18"/>
                <w:szCs w:val="14"/>
              </w:rPr>
            </w:pPr>
            <w:r w:rsidRPr="004F22CD">
              <w:rPr>
                <w:rFonts w:asciiTheme="minorHAnsi" w:hAnsiTheme="minorHAnsi" w:cstheme="minorHAnsi"/>
                <w:sz w:val="18"/>
                <w:szCs w:val="14"/>
              </w:rPr>
              <w:t>–</w:t>
            </w:r>
          </w:p>
        </w:tc>
        <w:tc>
          <w:tcPr>
            <w:tcW w:w="1134" w:type="dxa"/>
          </w:tcPr>
          <w:p w14:paraId="25A0D12C" w14:textId="77777777" w:rsidR="00B02873" w:rsidRPr="004F22CD" w:rsidRDefault="00B02873" w:rsidP="004F22CD">
            <w:pPr>
              <w:pStyle w:val="TablebodyleftFinancialsTables"/>
              <w:jc w:val="right"/>
              <w:rPr>
                <w:rFonts w:asciiTheme="minorHAnsi" w:hAnsiTheme="minorHAnsi" w:cstheme="minorHAnsi"/>
                <w:b/>
                <w:bCs/>
                <w:sz w:val="18"/>
                <w:szCs w:val="14"/>
              </w:rPr>
            </w:pPr>
            <w:r w:rsidRPr="004F22CD">
              <w:rPr>
                <w:rFonts w:asciiTheme="minorHAnsi" w:hAnsiTheme="minorHAnsi" w:cstheme="minorHAnsi"/>
                <w:b/>
                <w:bCs/>
                <w:sz w:val="18"/>
                <w:szCs w:val="14"/>
              </w:rPr>
              <w:t>–</w:t>
            </w:r>
          </w:p>
        </w:tc>
        <w:tc>
          <w:tcPr>
            <w:tcW w:w="1134" w:type="dxa"/>
          </w:tcPr>
          <w:p w14:paraId="25853B76" w14:textId="77777777" w:rsidR="00B02873" w:rsidRPr="004F22CD" w:rsidRDefault="00B02873" w:rsidP="004F22CD">
            <w:pPr>
              <w:pStyle w:val="TablebodyleftFinancialsTables"/>
              <w:jc w:val="right"/>
              <w:rPr>
                <w:rFonts w:asciiTheme="minorHAnsi" w:hAnsiTheme="minorHAnsi" w:cstheme="minorHAnsi"/>
                <w:sz w:val="18"/>
                <w:szCs w:val="14"/>
              </w:rPr>
            </w:pPr>
            <w:r w:rsidRPr="004F22CD">
              <w:rPr>
                <w:rFonts w:asciiTheme="minorHAnsi" w:hAnsiTheme="minorHAnsi" w:cstheme="minorHAnsi"/>
                <w:sz w:val="18"/>
                <w:szCs w:val="14"/>
              </w:rPr>
              <w:t>–</w:t>
            </w:r>
          </w:p>
        </w:tc>
        <w:tc>
          <w:tcPr>
            <w:tcW w:w="1134" w:type="dxa"/>
          </w:tcPr>
          <w:p w14:paraId="0346D35F" w14:textId="77777777" w:rsidR="00B02873" w:rsidRPr="004F22CD" w:rsidRDefault="00B02873" w:rsidP="004F22CD">
            <w:pPr>
              <w:pStyle w:val="TablebodyleftFinancialsTables"/>
              <w:jc w:val="right"/>
              <w:rPr>
                <w:rFonts w:asciiTheme="minorHAnsi" w:hAnsiTheme="minorHAnsi" w:cstheme="minorHAnsi"/>
                <w:b/>
                <w:bCs/>
                <w:sz w:val="18"/>
                <w:szCs w:val="14"/>
              </w:rPr>
            </w:pPr>
            <w:r w:rsidRPr="004F22CD">
              <w:rPr>
                <w:rFonts w:asciiTheme="minorHAnsi" w:hAnsiTheme="minorHAnsi" w:cstheme="minorHAnsi"/>
                <w:b/>
                <w:bCs/>
                <w:sz w:val="18"/>
                <w:szCs w:val="14"/>
              </w:rPr>
              <w:t>2,589,272</w:t>
            </w:r>
          </w:p>
        </w:tc>
        <w:tc>
          <w:tcPr>
            <w:tcW w:w="1138" w:type="dxa"/>
          </w:tcPr>
          <w:p w14:paraId="4F278B26" w14:textId="77777777" w:rsidR="00B02873" w:rsidRPr="004F22CD" w:rsidRDefault="00B02873" w:rsidP="004F22CD">
            <w:pPr>
              <w:pStyle w:val="TablebodyleftFinancialsTables"/>
              <w:jc w:val="right"/>
              <w:rPr>
                <w:rFonts w:asciiTheme="minorHAnsi" w:hAnsiTheme="minorHAnsi" w:cstheme="minorHAnsi"/>
                <w:sz w:val="18"/>
                <w:szCs w:val="14"/>
              </w:rPr>
            </w:pPr>
            <w:r w:rsidRPr="004F22CD">
              <w:rPr>
                <w:rFonts w:asciiTheme="minorHAnsi" w:hAnsiTheme="minorHAnsi" w:cstheme="minorHAnsi"/>
                <w:sz w:val="18"/>
                <w:szCs w:val="14"/>
              </w:rPr>
              <w:t>2,660,653</w:t>
            </w:r>
          </w:p>
        </w:tc>
      </w:tr>
      <w:tr w:rsidR="00B02873" w:rsidRPr="004F22CD" w14:paraId="47DC727D" w14:textId="77777777" w:rsidTr="00DB2070">
        <w:tc>
          <w:tcPr>
            <w:tcW w:w="3397" w:type="dxa"/>
          </w:tcPr>
          <w:p w14:paraId="3EB09ECC" w14:textId="77777777" w:rsidR="00B02873" w:rsidRPr="004F22CD" w:rsidRDefault="00B02873" w:rsidP="004F22CD">
            <w:pPr>
              <w:pStyle w:val="TablebodyleftFinancialsTables"/>
              <w:rPr>
                <w:rFonts w:asciiTheme="minorHAnsi" w:hAnsiTheme="minorHAnsi" w:cstheme="minorHAnsi"/>
                <w:sz w:val="18"/>
                <w:szCs w:val="14"/>
              </w:rPr>
            </w:pPr>
            <w:r w:rsidRPr="004F22CD">
              <w:rPr>
                <w:rFonts w:asciiTheme="minorHAnsi" w:hAnsiTheme="minorHAnsi" w:cstheme="minorHAnsi"/>
                <w:sz w:val="18"/>
                <w:szCs w:val="14"/>
              </w:rPr>
              <w:t>Borrowings (Note 4.2.5)</w:t>
            </w:r>
          </w:p>
        </w:tc>
        <w:tc>
          <w:tcPr>
            <w:tcW w:w="993" w:type="dxa"/>
          </w:tcPr>
          <w:p w14:paraId="18C8CECE" w14:textId="77777777" w:rsidR="00B02873" w:rsidRPr="004F22CD" w:rsidRDefault="00B02873" w:rsidP="004F22CD">
            <w:pPr>
              <w:pStyle w:val="TablebodyleftFinancialsTables"/>
              <w:jc w:val="right"/>
              <w:rPr>
                <w:rFonts w:asciiTheme="minorHAnsi" w:hAnsiTheme="minorHAnsi" w:cstheme="minorHAnsi"/>
                <w:b/>
                <w:bCs/>
                <w:sz w:val="18"/>
                <w:szCs w:val="14"/>
              </w:rPr>
            </w:pPr>
            <w:r w:rsidRPr="004F22CD">
              <w:rPr>
                <w:rFonts w:asciiTheme="minorHAnsi" w:hAnsiTheme="minorHAnsi" w:cstheme="minorHAnsi"/>
                <w:b/>
                <w:bCs/>
                <w:sz w:val="18"/>
                <w:szCs w:val="14"/>
              </w:rPr>
              <w:t>–</w:t>
            </w:r>
          </w:p>
        </w:tc>
        <w:tc>
          <w:tcPr>
            <w:tcW w:w="992" w:type="dxa"/>
          </w:tcPr>
          <w:p w14:paraId="6AB26E61" w14:textId="77777777" w:rsidR="00B02873" w:rsidRPr="004F22CD" w:rsidRDefault="00B02873" w:rsidP="004F22CD">
            <w:pPr>
              <w:pStyle w:val="TablebodyleftFinancialsTables"/>
              <w:jc w:val="right"/>
              <w:rPr>
                <w:rFonts w:asciiTheme="minorHAnsi" w:hAnsiTheme="minorHAnsi" w:cstheme="minorHAnsi"/>
                <w:sz w:val="18"/>
                <w:szCs w:val="14"/>
              </w:rPr>
            </w:pPr>
            <w:r w:rsidRPr="004F22CD">
              <w:rPr>
                <w:rFonts w:asciiTheme="minorHAnsi" w:hAnsiTheme="minorHAnsi" w:cstheme="minorHAnsi"/>
                <w:sz w:val="18"/>
                <w:szCs w:val="14"/>
              </w:rPr>
              <w:t>–</w:t>
            </w:r>
          </w:p>
        </w:tc>
        <w:tc>
          <w:tcPr>
            <w:tcW w:w="1134" w:type="dxa"/>
          </w:tcPr>
          <w:p w14:paraId="5A416C42" w14:textId="77777777" w:rsidR="00B02873" w:rsidRPr="004F22CD" w:rsidRDefault="00B02873" w:rsidP="004F22CD">
            <w:pPr>
              <w:pStyle w:val="TablebodyleftFinancialsTables"/>
              <w:jc w:val="right"/>
              <w:rPr>
                <w:rFonts w:asciiTheme="minorHAnsi" w:hAnsiTheme="minorHAnsi" w:cstheme="minorHAnsi"/>
                <w:b/>
                <w:bCs/>
                <w:sz w:val="18"/>
                <w:szCs w:val="14"/>
              </w:rPr>
            </w:pPr>
            <w:r w:rsidRPr="004F22CD">
              <w:rPr>
                <w:rFonts w:asciiTheme="minorHAnsi" w:hAnsiTheme="minorHAnsi" w:cstheme="minorHAnsi"/>
                <w:b/>
                <w:bCs/>
                <w:sz w:val="18"/>
                <w:szCs w:val="14"/>
              </w:rPr>
              <w:t>–</w:t>
            </w:r>
          </w:p>
        </w:tc>
        <w:tc>
          <w:tcPr>
            <w:tcW w:w="1134" w:type="dxa"/>
          </w:tcPr>
          <w:p w14:paraId="1AE304D5" w14:textId="77777777" w:rsidR="00B02873" w:rsidRPr="004F22CD" w:rsidRDefault="00B02873" w:rsidP="004F22CD">
            <w:pPr>
              <w:pStyle w:val="TablebodyleftFinancialsTables"/>
              <w:jc w:val="right"/>
              <w:rPr>
                <w:rFonts w:asciiTheme="minorHAnsi" w:hAnsiTheme="minorHAnsi" w:cstheme="minorHAnsi"/>
                <w:sz w:val="18"/>
                <w:szCs w:val="14"/>
              </w:rPr>
            </w:pPr>
            <w:r w:rsidRPr="004F22CD">
              <w:rPr>
                <w:rFonts w:asciiTheme="minorHAnsi" w:hAnsiTheme="minorHAnsi" w:cstheme="minorHAnsi"/>
                <w:sz w:val="18"/>
                <w:szCs w:val="14"/>
              </w:rPr>
              <w:t>–</w:t>
            </w:r>
          </w:p>
        </w:tc>
        <w:tc>
          <w:tcPr>
            <w:tcW w:w="1134" w:type="dxa"/>
          </w:tcPr>
          <w:p w14:paraId="123D2597" w14:textId="77777777" w:rsidR="00B02873" w:rsidRPr="004F22CD" w:rsidRDefault="00B02873" w:rsidP="004F22CD">
            <w:pPr>
              <w:pStyle w:val="TablebodyleftFinancialsTables"/>
              <w:jc w:val="right"/>
              <w:rPr>
                <w:rFonts w:asciiTheme="minorHAnsi" w:hAnsiTheme="minorHAnsi" w:cstheme="minorHAnsi"/>
                <w:b/>
                <w:bCs/>
                <w:sz w:val="18"/>
                <w:szCs w:val="14"/>
              </w:rPr>
            </w:pPr>
            <w:r w:rsidRPr="004F22CD">
              <w:rPr>
                <w:rFonts w:asciiTheme="minorHAnsi" w:hAnsiTheme="minorHAnsi" w:cstheme="minorHAnsi"/>
                <w:b/>
                <w:bCs/>
                <w:sz w:val="18"/>
                <w:szCs w:val="14"/>
              </w:rPr>
              <w:t>3,225,659</w:t>
            </w:r>
          </w:p>
        </w:tc>
        <w:tc>
          <w:tcPr>
            <w:tcW w:w="1138" w:type="dxa"/>
          </w:tcPr>
          <w:p w14:paraId="4ED7CCE6" w14:textId="77777777" w:rsidR="00B02873" w:rsidRPr="004F22CD" w:rsidRDefault="00B02873" w:rsidP="004F22CD">
            <w:pPr>
              <w:pStyle w:val="TablebodyleftFinancialsTables"/>
              <w:jc w:val="right"/>
              <w:rPr>
                <w:rFonts w:asciiTheme="minorHAnsi" w:hAnsiTheme="minorHAnsi" w:cstheme="minorHAnsi"/>
                <w:sz w:val="18"/>
                <w:szCs w:val="14"/>
              </w:rPr>
            </w:pPr>
            <w:r w:rsidRPr="004F22CD">
              <w:rPr>
                <w:rFonts w:asciiTheme="minorHAnsi" w:hAnsiTheme="minorHAnsi" w:cstheme="minorHAnsi"/>
                <w:sz w:val="18"/>
                <w:szCs w:val="14"/>
              </w:rPr>
              <w:t>3,274,894</w:t>
            </w:r>
          </w:p>
        </w:tc>
      </w:tr>
      <w:tr w:rsidR="00B02873" w:rsidRPr="004F22CD" w14:paraId="202ED5D9" w14:textId="77777777" w:rsidTr="00DB2070">
        <w:tc>
          <w:tcPr>
            <w:tcW w:w="3397" w:type="dxa"/>
          </w:tcPr>
          <w:p w14:paraId="6F210491" w14:textId="77777777" w:rsidR="00B02873" w:rsidRPr="004F22CD" w:rsidRDefault="00B02873" w:rsidP="004F22CD">
            <w:pPr>
              <w:pStyle w:val="TablebodyleftFinancialsTables"/>
              <w:rPr>
                <w:rFonts w:asciiTheme="minorHAnsi" w:hAnsiTheme="minorHAnsi" w:cstheme="minorHAnsi"/>
                <w:sz w:val="18"/>
                <w:szCs w:val="14"/>
              </w:rPr>
            </w:pPr>
            <w:r w:rsidRPr="004F22CD">
              <w:rPr>
                <w:rFonts w:asciiTheme="minorHAnsi" w:hAnsiTheme="minorHAnsi" w:cstheme="minorHAnsi"/>
                <w:sz w:val="18"/>
                <w:szCs w:val="14"/>
              </w:rPr>
              <w:t>Other liabilities</w:t>
            </w:r>
          </w:p>
        </w:tc>
        <w:tc>
          <w:tcPr>
            <w:tcW w:w="993" w:type="dxa"/>
          </w:tcPr>
          <w:p w14:paraId="60B922BD" w14:textId="77777777" w:rsidR="00B02873" w:rsidRPr="004F22CD" w:rsidRDefault="00B02873" w:rsidP="004F22CD">
            <w:pPr>
              <w:pStyle w:val="TablebodyleftFinancialsTables"/>
              <w:jc w:val="right"/>
              <w:rPr>
                <w:rFonts w:asciiTheme="minorHAnsi" w:hAnsiTheme="minorHAnsi" w:cstheme="minorHAnsi"/>
                <w:b/>
                <w:bCs/>
                <w:sz w:val="18"/>
                <w:szCs w:val="14"/>
              </w:rPr>
            </w:pPr>
            <w:r w:rsidRPr="004F22CD">
              <w:rPr>
                <w:rFonts w:asciiTheme="minorHAnsi" w:hAnsiTheme="minorHAnsi" w:cstheme="minorHAnsi"/>
                <w:b/>
                <w:bCs/>
                <w:sz w:val="18"/>
                <w:szCs w:val="14"/>
              </w:rPr>
              <w:t>–</w:t>
            </w:r>
          </w:p>
        </w:tc>
        <w:tc>
          <w:tcPr>
            <w:tcW w:w="992" w:type="dxa"/>
          </w:tcPr>
          <w:p w14:paraId="39769470" w14:textId="77777777" w:rsidR="00B02873" w:rsidRPr="004F22CD" w:rsidRDefault="00B02873" w:rsidP="004F22CD">
            <w:pPr>
              <w:pStyle w:val="TablebodyleftFinancialsTables"/>
              <w:jc w:val="right"/>
              <w:rPr>
                <w:rFonts w:asciiTheme="minorHAnsi" w:hAnsiTheme="minorHAnsi" w:cstheme="minorHAnsi"/>
                <w:sz w:val="18"/>
                <w:szCs w:val="14"/>
              </w:rPr>
            </w:pPr>
            <w:r w:rsidRPr="004F22CD">
              <w:rPr>
                <w:rFonts w:asciiTheme="minorHAnsi" w:hAnsiTheme="minorHAnsi" w:cstheme="minorHAnsi"/>
                <w:sz w:val="18"/>
                <w:szCs w:val="14"/>
              </w:rPr>
              <w:t>–</w:t>
            </w:r>
          </w:p>
        </w:tc>
        <w:tc>
          <w:tcPr>
            <w:tcW w:w="1134" w:type="dxa"/>
          </w:tcPr>
          <w:p w14:paraId="1529561F" w14:textId="77777777" w:rsidR="00B02873" w:rsidRPr="004F22CD" w:rsidRDefault="00B02873" w:rsidP="004F22CD">
            <w:pPr>
              <w:pStyle w:val="TablebodyleftFinancialsTables"/>
              <w:jc w:val="right"/>
              <w:rPr>
                <w:rFonts w:asciiTheme="minorHAnsi" w:hAnsiTheme="minorHAnsi" w:cstheme="minorHAnsi"/>
                <w:b/>
                <w:bCs/>
                <w:sz w:val="18"/>
                <w:szCs w:val="14"/>
              </w:rPr>
            </w:pPr>
            <w:r w:rsidRPr="004F22CD">
              <w:rPr>
                <w:rFonts w:asciiTheme="minorHAnsi" w:hAnsiTheme="minorHAnsi" w:cstheme="minorHAnsi"/>
                <w:b/>
                <w:bCs/>
                <w:sz w:val="18"/>
                <w:szCs w:val="14"/>
              </w:rPr>
              <w:t>–</w:t>
            </w:r>
          </w:p>
        </w:tc>
        <w:tc>
          <w:tcPr>
            <w:tcW w:w="1134" w:type="dxa"/>
          </w:tcPr>
          <w:p w14:paraId="6DD99709" w14:textId="77777777" w:rsidR="00B02873" w:rsidRPr="004F22CD" w:rsidRDefault="00B02873" w:rsidP="004F22CD">
            <w:pPr>
              <w:pStyle w:val="TablebodyleftFinancialsTables"/>
              <w:jc w:val="right"/>
              <w:rPr>
                <w:rFonts w:asciiTheme="minorHAnsi" w:hAnsiTheme="minorHAnsi" w:cstheme="minorHAnsi"/>
                <w:sz w:val="18"/>
                <w:szCs w:val="14"/>
              </w:rPr>
            </w:pPr>
            <w:r w:rsidRPr="004F22CD">
              <w:rPr>
                <w:rFonts w:asciiTheme="minorHAnsi" w:hAnsiTheme="minorHAnsi" w:cstheme="minorHAnsi"/>
                <w:sz w:val="18"/>
                <w:szCs w:val="14"/>
              </w:rPr>
              <w:t>–</w:t>
            </w:r>
          </w:p>
        </w:tc>
        <w:tc>
          <w:tcPr>
            <w:tcW w:w="1134" w:type="dxa"/>
          </w:tcPr>
          <w:p w14:paraId="4F8421D0" w14:textId="77777777" w:rsidR="00B02873" w:rsidRPr="004F22CD" w:rsidRDefault="00B02873" w:rsidP="004F22CD">
            <w:pPr>
              <w:pStyle w:val="TablebodyleftFinancialsTables"/>
              <w:jc w:val="right"/>
              <w:rPr>
                <w:rFonts w:asciiTheme="minorHAnsi" w:hAnsiTheme="minorHAnsi" w:cstheme="minorHAnsi"/>
                <w:b/>
                <w:bCs/>
                <w:sz w:val="18"/>
                <w:szCs w:val="14"/>
              </w:rPr>
            </w:pPr>
            <w:r w:rsidRPr="004F22CD">
              <w:rPr>
                <w:rFonts w:asciiTheme="minorHAnsi" w:hAnsiTheme="minorHAnsi" w:cstheme="minorHAnsi"/>
                <w:b/>
                <w:bCs/>
                <w:sz w:val="18"/>
                <w:szCs w:val="14"/>
              </w:rPr>
              <w:t>17,293</w:t>
            </w:r>
          </w:p>
        </w:tc>
        <w:tc>
          <w:tcPr>
            <w:tcW w:w="1138" w:type="dxa"/>
          </w:tcPr>
          <w:p w14:paraId="1B1217FC" w14:textId="77777777" w:rsidR="00B02873" w:rsidRPr="004F22CD" w:rsidRDefault="00B02873" w:rsidP="004F22CD">
            <w:pPr>
              <w:pStyle w:val="TablebodyleftFinancialsTables"/>
              <w:jc w:val="right"/>
              <w:rPr>
                <w:rFonts w:asciiTheme="minorHAnsi" w:hAnsiTheme="minorHAnsi" w:cstheme="minorHAnsi"/>
                <w:sz w:val="18"/>
                <w:szCs w:val="14"/>
              </w:rPr>
            </w:pPr>
            <w:r w:rsidRPr="004F22CD">
              <w:rPr>
                <w:rFonts w:asciiTheme="minorHAnsi" w:hAnsiTheme="minorHAnsi" w:cstheme="minorHAnsi"/>
                <w:sz w:val="18"/>
                <w:szCs w:val="14"/>
              </w:rPr>
              <w:t>33,719</w:t>
            </w:r>
          </w:p>
        </w:tc>
      </w:tr>
      <w:tr w:rsidR="00B02873" w:rsidRPr="004F22CD" w14:paraId="4BEA8941" w14:textId="77777777" w:rsidTr="00DB2070">
        <w:tc>
          <w:tcPr>
            <w:tcW w:w="3397" w:type="dxa"/>
          </w:tcPr>
          <w:p w14:paraId="3FCE9B42" w14:textId="77777777" w:rsidR="00B02873" w:rsidRPr="00DB2070" w:rsidRDefault="00B02873" w:rsidP="004F22CD">
            <w:pPr>
              <w:pStyle w:val="TablebodyleftFinancialsTables"/>
              <w:rPr>
                <w:rFonts w:asciiTheme="minorHAnsi" w:hAnsiTheme="minorHAnsi" w:cstheme="minorHAnsi"/>
                <w:b/>
                <w:bCs/>
                <w:sz w:val="18"/>
                <w:szCs w:val="14"/>
              </w:rPr>
            </w:pPr>
            <w:r w:rsidRPr="00DB2070">
              <w:rPr>
                <w:rFonts w:asciiTheme="minorHAnsi" w:hAnsiTheme="minorHAnsi" w:cstheme="minorHAnsi"/>
                <w:b/>
                <w:bCs/>
                <w:sz w:val="18"/>
                <w:szCs w:val="14"/>
              </w:rPr>
              <w:t>Total administered liabilities</w:t>
            </w:r>
          </w:p>
        </w:tc>
        <w:tc>
          <w:tcPr>
            <w:tcW w:w="993" w:type="dxa"/>
          </w:tcPr>
          <w:p w14:paraId="7426FA01" w14:textId="7B17E596" w:rsidR="00B02873" w:rsidRPr="004F22CD" w:rsidRDefault="00B02873" w:rsidP="004F22CD">
            <w:pPr>
              <w:pStyle w:val="TablebodyleftFinancialsTables"/>
              <w:jc w:val="right"/>
              <w:rPr>
                <w:rFonts w:asciiTheme="minorHAnsi" w:hAnsiTheme="minorHAnsi" w:cstheme="minorHAnsi"/>
                <w:b/>
                <w:bCs/>
                <w:sz w:val="18"/>
                <w:szCs w:val="14"/>
              </w:rPr>
            </w:pPr>
            <w:r w:rsidRPr="004F22CD">
              <w:rPr>
                <w:rFonts w:asciiTheme="minorHAnsi" w:hAnsiTheme="minorHAnsi" w:cstheme="minorHAnsi"/>
                <w:b/>
                <w:bCs/>
                <w:sz w:val="18"/>
                <w:szCs w:val="14"/>
              </w:rPr>
              <w:t>778</w:t>
            </w:r>
          </w:p>
        </w:tc>
        <w:tc>
          <w:tcPr>
            <w:tcW w:w="992" w:type="dxa"/>
          </w:tcPr>
          <w:p w14:paraId="16520010" w14:textId="5F344668" w:rsidR="00B02873" w:rsidRPr="004F22CD" w:rsidRDefault="00B02873" w:rsidP="004F22CD">
            <w:pPr>
              <w:pStyle w:val="TablebodyleftFinancialsTables"/>
              <w:jc w:val="right"/>
              <w:rPr>
                <w:rFonts w:asciiTheme="minorHAnsi" w:hAnsiTheme="minorHAnsi" w:cstheme="minorHAnsi"/>
                <w:sz w:val="18"/>
                <w:szCs w:val="14"/>
              </w:rPr>
            </w:pPr>
            <w:r w:rsidRPr="004F22CD">
              <w:rPr>
                <w:rFonts w:asciiTheme="minorHAnsi" w:hAnsiTheme="minorHAnsi" w:cstheme="minorHAnsi"/>
                <w:sz w:val="18"/>
                <w:szCs w:val="14"/>
              </w:rPr>
              <w:t>771</w:t>
            </w:r>
          </w:p>
        </w:tc>
        <w:tc>
          <w:tcPr>
            <w:tcW w:w="1134" w:type="dxa"/>
          </w:tcPr>
          <w:p w14:paraId="62D9177D" w14:textId="737DFAEA" w:rsidR="00B02873" w:rsidRPr="004F22CD" w:rsidRDefault="00B02873" w:rsidP="004F22CD">
            <w:pPr>
              <w:pStyle w:val="TablebodyleftFinancialsTables"/>
              <w:jc w:val="right"/>
              <w:rPr>
                <w:rFonts w:asciiTheme="minorHAnsi" w:hAnsiTheme="minorHAnsi" w:cstheme="minorHAnsi"/>
                <w:b/>
                <w:bCs/>
                <w:sz w:val="18"/>
                <w:szCs w:val="14"/>
              </w:rPr>
            </w:pPr>
            <w:r w:rsidRPr="004F22CD">
              <w:rPr>
                <w:rFonts w:asciiTheme="minorHAnsi" w:hAnsiTheme="minorHAnsi" w:cstheme="minorHAnsi"/>
                <w:b/>
                <w:bCs/>
                <w:sz w:val="18"/>
                <w:szCs w:val="14"/>
              </w:rPr>
              <w:t>195</w:t>
            </w:r>
          </w:p>
        </w:tc>
        <w:tc>
          <w:tcPr>
            <w:tcW w:w="1134" w:type="dxa"/>
          </w:tcPr>
          <w:p w14:paraId="3D6700A9" w14:textId="430FDBDE" w:rsidR="00B02873" w:rsidRPr="004F22CD" w:rsidRDefault="00B02873" w:rsidP="004F22CD">
            <w:pPr>
              <w:pStyle w:val="TablebodyleftFinancialsTables"/>
              <w:jc w:val="right"/>
              <w:rPr>
                <w:rFonts w:asciiTheme="minorHAnsi" w:hAnsiTheme="minorHAnsi" w:cstheme="minorHAnsi"/>
                <w:sz w:val="18"/>
                <w:szCs w:val="14"/>
              </w:rPr>
            </w:pPr>
            <w:r w:rsidRPr="004F22CD">
              <w:rPr>
                <w:rFonts w:asciiTheme="minorHAnsi" w:hAnsiTheme="minorHAnsi" w:cstheme="minorHAnsi"/>
                <w:sz w:val="18"/>
                <w:szCs w:val="14"/>
              </w:rPr>
              <w:t>140</w:t>
            </w:r>
          </w:p>
        </w:tc>
        <w:tc>
          <w:tcPr>
            <w:tcW w:w="1134" w:type="dxa"/>
          </w:tcPr>
          <w:p w14:paraId="33911C9A" w14:textId="77777777" w:rsidR="00B02873" w:rsidRPr="004F22CD" w:rsidRDefault="00B02873" w:rsidP="004F22CD">
            <w:pPr>
              <w:pStyle w:val="TablebodyleftFinancialsTables"/>
              <w:jc w:val="right"/>
              <w:rPr>
                <w:rFonts w:asciiTheme="minorHAnsi" w:hAnsiTheme="minorHAnsi" w:cstheme="minorHAnsi"/>
                <w:b/>
                <w:bCs/>
                <w:sz w:val="18"/>
                <w:szCs w:val="14"/>
              </w:rPr>
            </w:pPr>
            <w:r w:rsidRPr="004F22CD">
              <w:rPr>
                <w:rFonts w:asciiTheme="minorHAnsi" w:hAnsiTheme="minorHAnsi" w:cstheme="minorHAnsi"/>
                <w:b/>
                <w:bCs/>
                <w:sz w:val="18"/>
                <w:szCs w:val="14"/>
              </w:rPr>
              <w:t>5,900,115</w:t>
            </w:r>
          </w:p>
        </w:tc>
        <w:tc>
          <w:tcPr>
            <w:tcW w:w="1138" w:type="dxa"/>
          </w:tcPr>
          <w:p w14:paraId="6103052D" w14:textId="77777777" w:rsidR="00B02873" w:rsidRPr="004F22CD" w:rsidRDefault="00B02873" w:rsidP="004F22CD">
            <w:pPr>
              <w:pStyle w:val="TablebodyleftFinancialsTables"/>
              <w:jc w:val="right"/>
              <w:rPr>
                <w:rFonts w:asciiTheme="minorHAnsi" w:hAnsiTheme="minorHAnsi" w:cstheme="minorHAnsi"/>
                <w:sz w:val="18"/>
                <w:szCs w:val="14"/>
              </w:rPr>
            </w:pPr>
            <w:r w:rsidRPr="004F22CD">
              <w:rPr>
                <w:rFonts w:asciiTheme="minorHAnsi" w:hAnsiTheme="minorHAnsi" w:cstheme="minorHAnsi"/>
                <w:sz w:val="18"/>
                <w:szCs w:val="14"/>
              </w:rPr>
              <w:t>6,035,564</w:t>
            </w:r>
          </w:p>
        </w:tc>
      </w:tr>
      <w:tr w:rsidR="00B02873" w:rsidRPr="004F22CD" w14:paraId="5AA39FBB" w14:textId="77777777" w:rsidTr="00DB2070">
        <w:tc>
          <w:tcPr>
            <w:tcW w:w="3397" w:type="dxa"/>
          </w:tcPr>
          <w:p w14:paraId="7FA070C1" w14:textId="77777777" w:rsidR="00B02873" w:rsidRPr="00DB2070" w:rsidRDefault="00B02873" w:rsidP="004F22CD">
            <w:pPr>
              <w:pStyle w:val="TablebodyleftFinancialsTables"/>
              <w:rPr>
                <w:rFonts w:asciiTheme="minorHAnsi" w:hAnsiTheme="minorHAnsi" w:cstheme="minorHAnsi"/>
                <w:b/>
                <w:bCs/>
                <w:sz w:val="18"/>
                <w:szCs w:val="14"/>
              </w:rPr>
            </w:pPr>
            <w:r w:rsidRPr="00DB2070">
              <w:rPr>
                <w:rFonts w:asciiTheme="minorHAnsi" w:hAnsiTheme="minorHAnsi" w:cstheme="minorHAnsi"/>
                <w:b/>
                <w:bCs/>
                <w:sz w:val="18"/>
                <w:szCs w:val="14"/>
              </w:rPr>
              <w:t>Total administered net assets</w:t>
            </w:r>
          </w:p>
        </w:tc>
        <w:tc>
          <w:tcPr>
            <w:tcW w:w="993" w:type="dxa"/>
          </w:tcPr>
          <w:p w14:paraId="49129CC4" w14:textId="77777777" w:rsidR="00B02873" w:rsidRPr="004F22CD" w:rsidRDefault="00B02873" w:rsidP="004F22CD">
            <w:pPr>
              <w:pStyle w:val="TablebodyleftFinancialsTables"/>
              <w:jc w:val="right"/>
              <w:rPr>
                <w:rFonts w:asciiTheme="minorHAnsi" w:hAnsiTheme="minorHAnsi" w:cstheme="minorHAnsi"/>
                <w:b/>
                <w:bCs/>
                <w:sz w:val="18"/>
                <w:szCs w:val="14"/>
              </w:rPr>
            </w:pPr>
            <w:r w:rsidRPr="004F22CD">
              <w:rPr>
                <w:rFonts w:asciiTheme="minorHAnsi" w:hAnsiTheme="minorHAnsi" w:cstheme="minorHAnsi"/>
                <w:b/>
                <w:bCs/>
                <w:sz w:val="18"/>
                <w:szCs w:val="14"/>
              </w:rPr>
              <w:t>28,158</w:t>
            </w:r>
          </w:p>
        </w:tc>
        <w:tc>
          <w:tcPr>
            <w:tcW w:w="992" w:type="dxa"/>
          </w:tcPr>
          <w:p w14:paraId="6A14E065" w14:textId="77777777" w:rsidR="00B02873" w:rsidRPr="004F22CD" w:rsidRDefault="00B02873" w:rsidP="004F22CD">
            <w:pPr>
              <w:pStyle w:val="TablebodyleftFinancialsTables"/>
              <w:jc w:val="right"/>
              <w:rPr>
                <w:rFonts w:asciiTheme="minorHAnsi" w:hAnsiTheme="minorHAnsi" w:cstheme="minorHAnsi"/>
                <w:sz w:val="18"/>
                <w:szCs w:val="14"/>
              </w:rPr>
            </w:pPr>
            <w:r w:rsidRPr="004F22CD">
              <w:rPr>
                <w:rFonts w:asciiTheme="minorHAnsi" w:hAnsiTheme="minorHAnsi" w:cstheme="minorHAnsi"/>
                <w:sz w:val="18"/>
                <w:szCs w:val="14"/>
              </w:rPr>
              <w:t>5,768</w:t>
            </w:r>
          </w:p>
        </w:tc>
        <w:tc>
          <w:tcPr>
            <w:tcW w:w="1134" w:type="dxa"/>
          </w:tcPr>
          <w:p w14:paraId="3DF170B0" w14:textId="77777777" w:rsidR="00B02873" w:rsidRPr="004F22CD" w:rsidRDefault="00B02873" w:rsidP="004F22CD">
            <w:pPr>
              <w:pStyle w:val="TablebodyleftFinancialsTables"/>
              <w:jc w:val="right"/>
              <w:rPr>
                <w:rFonts w:asciiTheme="minorHAnsi" w:hAnsiTheme="minorHAnsi" w:cstheme="minorHAnsi"/>
                <w:b/>
                <w:bCs/>
                <w:sz w:val="18"/>
                <w:szCs w:val="14"/>
              </w:rPr>
            </w:pPr>
            <w:r w:rsidRPr="004F22CD">
              <w:rPr>
                <w:rFonts w:asciiTheme="minorHAnsi" w:hAnsiTheme="minorHAnsi" w:cstheme="minorHAnsi"/>
                <w:b/>
                <w:bCs/>
                <w:sz w:val="18"/>
                <w:szCs w:val="14"/>
              </w:rPr>
              <w:t>2,298</w:t>
            </w:r>
          </w:p>
        </w:tc>
        <w:tc>
          <w:tcPr>
            <w:tcW w:w="1134" w:type="dxa"/>
          </w:tcPr>
          <w:p w14:paraId="727CDC49" w14:textId="5272AD09" w:rsidR="00B02873" w:rsidRPr="004F22CD" w:rsidRDefault="00B02873" w:rsidP="004F22CD">
            <w:pPr>
              <w:pStyle w:val="TablebodyleftFinancialsTables"/>
              <w:jc w:val="right"/>
              <w:rPr>
                <w:rFonts w:asciiTheme="minorHAnsi" w:hAnsiTheme="minorHAnsi" w:cstheme="minorHAnsi"/>
                <w:sz w:val="18"/>
                <w:szCs w:val="14"/>
              </w:rPr>
            </w:pPr>
            <w:r w:rsidRPr="004F22CD">
              <w:rPr>
                <w:rFonts w:asciiTheme="minorHAnsi" w:hAnsiTheme="minorHAnsi" w:cstheme="minorHAnsi"/>
                <w:sz w:val="18"/>
                <w:szCs w:val="14"/>
              </w:rPr>
              <w:t>894</w:t>
            </w:r>
          </w:p>
        </w:tc>
        <w:tc>
          <w:tcPr>
            <w:tcW w:w="1134" w:type="dxa"/>
          </w:tcPr>
          <w:p w14:paraId="3B1BE03E" w14:textId="77777777" w:rsidR="00B02873" w:rsidRPr="004F22CD" w:rsidRDefault="00B02873" w:rsidP="004F22CD">
            <w:pPr>
              <w:pStyle w:val="TablebodyleftFinancialsTables"/>
              <w:jc w:val="right"/>
              <w:rPr>
                <w:rFonts w:asciiTheme="minorHAnsi" w:hAnsiTheme="minorHAnsi" w:cstheme="minorHAnsi"/>
                <w:b/>
                <w:bCs/>
                <w:sz w:val="18"/>
                <w:szCs w:val="14"/>
              </w:rPr>
            </w:pPr>
            <w:r w:rsidRPr="004F22CD">
              <w:rPr>
                <w:rFonts w:asciiTheme="minorHAnsi" w:hAnsiTheme="minorHAnsi" w:cstheme="minorHAnsi"/>
                <w:b/>
                <w:bCs/>
                <w:sz w:val="18"/>
                <w:szCs w:val="14"/>
              </w:rPr>
              <w:t>(471,089)</w:t>
            </w:r>
          </w:p>
        </w:tc>
        <w:tc>
          <w:tcPr>
            <w:tcW w:w="1138" w:type="dxa"/>
          </w:tcPr>
          <w:p w14:paraId="377690F4" w14:textId="77777777" w:rsidR="00B02873" w:rsidRPr="004F22CD" w:rsidRDefault="00B02873" w:rsidP="004F22CD">
            <w:pPr>
              <w:pStyle w:val="TablebodyleftFinancialsTables"/>
              <w:jc w:val="right"/>
              <w:rPr>
                <w:rFonts w:asciiTheme="minorHAnsi" w:hAnsiTheme="minorHAnsi" w:cstheme="minorHAnsi"/>
                <w:sz w:val="18"/>
                <w:szCs w:val="14"/>
              </w:rPr>
            </w:pPr>
            <w:r w:rsidRPr="004F22CD">
              <w:rPr>
                <w:rFonts w:asciiTheme="minorHAnsi" w:hAnsiTheme="minorHAnsi" w:cstheme="minorHAnsi"/>
                <w:sz w:val="18"/>
                <w:szCs w:val="14"/>
              </w:rPr>
              <w:t>(816,952)</w:t>
            </w:r>
          </w:p>
        </w:tc>
      </w:tr>
    </w:tbl>
    <w:p w14:paraId="5233A086" w14:textId="77777777" w:rsidR="00B02873" w:rsidRDefault="00B02873" w:rsidP="00FE198A"/>
    <w:p w14:paraId="21A21B7C" w14:textId="0604A418" w:rsidR="00B02873" w:rsidRDefault="00B02873" w:rsidP="00FE198A">
      <w:r>
        <w:rPr>
          <w:spacing w:val="-2"/>
        </w:rPr>
        <w:t>Except as otherwise disclosed, administered resources are accounted for on an accrual basis using same accounting policies adopted for recognition of the departmental items in the financial statements. Both controlled and administered items of the department are consolidated into the financial statements of the state.</w:t>
      </w:r>
    </w:p>
    <w:p w14:paraId="63051F9D" w14:textId="77777777" w:rsidR="00B02873" w:rsidRDefault="00B02873" w:rsidP="00FE198A">
      <w:r>
        <w:t>The state’s investment in all its controlled entities is disclosed in the administered note of DTF’s financial statements. This includes the investment in DELWP’s portfolio entities.</w:t>
      </w:r>
    </w:p>
    <w:p w14:paraId="569AB362" w14:textId="77777777" w:rsidR="00B02873" w:rsidRDefault="00B02873" w:rsidP="00DB2070">
      <w:pPr>
        <w:pStyle w:val="Heading5"/>
      </w:pPr>
      <w:r>
        <w:t>Service concession arrangements</w:t>
      </w:r>
    </w:p>
    <w:p w14:paraId="07E09F48" w14:textId="4A3DCCC2" w:rsidR="00B02873" w:rsidRDefault="00B02873" w:rsidP="00FE198A">
      <w:r>
        <w:t xml:space="preserve">For arrangements within the scope of AASB 1059 </w:t>
      </w:r>
      <w:r w:rsidRPr="00DB2070">
        <w:rPr>
          <w:rStyle w:val="LightItalic"/>
          <w:rFonts w:asciiTheme="minorHAnsi" w:hAnsiTheme="minorHAnsi" w:cstheme="minorHAnsi"/>
        </w:rPr>
        <w:t>Service Concession Arrangements: Grantors</w:t>
      </w:r>
      <w:r>
        <w:t xml:space="preserve">, at initial recognition the department records a service concession asset (SCA) at current replacement cost in accordance with the cost approach to fair value under AASB 13 </w:t>
      </w:r>
      <w:r w:rsidRPr="00DB2070">
        <w:rPr>
          <w:rStyle w:val="LightItalic"/>
          <w:rFonts w:asciiTheme="minorHAnsi" w:hAnsiTheme="minorHAnsi" w:cstheme="minorHAnsi"/>
        </w:rPr>
        <w:t>Fair Value Measurement</w:t>
      </w:r>
      <w:r>
        <w:t xml:space="preserve">, with a related liability, which could be a financial liability, an accrued revenue liability (referred to as the ‘Grant Of A Right To The Operator’ or GORTO liability) or a combination of both. </w:t>
      </w:r>
    </w:p>
    <w:p w14:paraId="4F4B371E" w14:textId="77777777" w:rsidR="00B02873" w:rsidRDefault="00B02873" w:rsidP="00FE198A">
      <w:r>
        <w:t xml:space="preserve">The nature of the liability and subsequent accounting depends on the consideration exchanged in the arrangement between the department and the operator. </w:t>
      </w:r>
    </w:p>
    <w:p w14:paraId="138E48F3" w14:textId="3FE50060" w:rsidR="00B02873" w:rsidRDefault="00B02873" w:rsidP="00FE198A">
      <w:r>
        <w:t xml:space="preserve">The department initially recognised the liability at the same amount as the SCA, adjusted by the amount of any consideration from the department to the operator, or from the operator to the department. </w:t>
      </w:r>
    </w:p>
    <w:p w14:paraId="54915DF4" w14:textId="4C9DF141" w:rsidR="00B02873" w:rsidRDefault="00B02873" w:rsidP="00FE198A">
      <w:r>
        <w:lastRenderedPageBreak/>
        <w:t xml:space="preserve">Exception to this occurs when the department reclassifies an existing asset to a SCA. When this occurs, no liability is recognised unless additional consideration is provided to the operator. Instead, the department recognise a SCA and a corresponding liability for the amounts spent on the upgrade/expansion work. </w:t>
      </w:r>
    </w:p>
    <w:p w14:paraId="67CE4503" w14:textId="623D3635" w:rsidR="00B02873" w:rsidRDefault="00B02873" w:rsidP="00FE198A">
      <w:r>
        <w:t xml:space="preserve">A financial liability is recognised where the department has a contractual obligation to pay the operator for providing the SCA. It is measured in accordance with AASB 9 </w:t>
      </w:r>
      <w:r w:rsidRPr="00DB2070">
        <w:rPr>
          <w:rStyle w:val="LightItalic"/>
          <w:rFonts w:asciiTheme="minorHAnsi" w:hAnsiTheme="minorHAnsi" w:cstheme="minorHAnsi"/>
        </w:rPr>
        <w:t>Financial Instruments</w:t>
      </w:r>
      <w:r>
        <w:t xml:space="preserve"> and is recognised as borrowings (Note 4.2.2). The liability is increased by interest charges, based on the interest rate implicit in the arrangement. Where the interest rate is not specified in the arrangement, the prevailing market rate of interest for a similar instrument with similar credit ratings is used. The liability is reduced by any payments made by the department to the operator as required by the contract. </w:t>
      </w:r>
    </w:p>
    <w:p w14:paraId="6F3A6917" w14:textId="0BF7D0D1" w:rsidR="00B02873" w:rsidRDefault="00B02873" w:rsidP="00FE198A">
      <w:r>
        <w:t>A grant of right to the operator (GORTO) liability is recognised where the department does not have a contractual obligation to pay cash or another financial asset but grants the right to the operator</w:t>
      </w:r>
      <w:r w:rsidR="00DB2070">
        <w:t xml:space="preserve"> </w:t>
      </w:r>
      <w:r>
        <w:t xml:space="preserve">to earn revenue from the public use of the asset (Note 4.2.2). This type of arrangement is commonly referred to as an economic service concession arrangement. It represents unearned revenue and is progressively reduced over the period of the arrangement in accordance with its substance. </w:t>
      </w:r>
    </w:p>
    <w:p w14:paraId="2EDE91DD" w14:textId="77777777" w:rsidR="00B02873" w:rsidRDefault="00B02873" w:rsidP="00FE198A">
      <w:r>
        <w:t xml:space="preserve">After initial recognition, SCAs are subsequently measured applying the revaluation model. </w:t>
      </w:r>
    </w:p>
    <w:p w14:paraId="2B8EA487" w14:textId="77777777" w:rsidR="00B02873" w:rsidRDefault="00B02873" w:rsidP="00DB2070">
      <w:pPr>
        <w:pStyle w:val="Normalbeforebullet"/>
      </w:pPr>
      <w:r>
        <w:t>The department has the following service concession arrangements:</w:t>
      </w:r>
    </w:p>
    <w:p w14:paraId="1A4A8F56" w14:textId="3D129926" w:rsidR="00B02873" w:rsidRDefault="00B02873" w:rsidP="00B02873">
      <w:pPr>
        <w:pStyle w:val="Bullet1Lists"/>
      </w:pPr>
      <w:r>
        <w:t xml:space="preserve">Commercialisation of land titles and registry functions of Land Use Victoria – recognised as a GORTO liability using AASB 1059. Refer to Note 4.2.4; and </w:t>
      </w:r>
    </w:p>
    <w:p w14:paraId="396983E0" w14:textId="0D8A1BA0" w:rsidR="00B02873" w:rsidRDefault="00B02873" w:rsidP="00DB2070">
      <w:pPr>
        <w:pStyle w:val="Bullet1Listslast"/>
      </w:pPr>
      <w:r>
        <w:t xml:space="preserve">Victorian Desalination Project – recognised as a financial liability using AASB 9. Refer to Note 4.2.5. </w:t>
      </w:r>
    </w:p>
    <w:p w14:paraId="1FF4F39B" w14:textId="77777777" w:rsidR="00B02873" w:rsidRDefault="00B02873" w:rsidP="00DB2070">
      <w:pPr>
        <w:pStyle w:val="Heading5"/>
      </w:pPr>
      <w:r>
        <w:t>Contingencies and commitments</w:t>
      </w:r>
    </w:p>
    <w:p w14:paraId="133242E0" w14:textId="1430C022" w:rsidR="00B02873" w:rsidRDefault="00B02873" w:rsidP="00FE198A">
      <w:r>
        <w:t xml:space="preserve">Contingencies or commitments arising from the department’s administered items is disclosed in </w:t>
      </w:r>
      <w:r w:rsidR="003E48C2">
        <w:t xml:space="preserve"> </w:t>
      </w:r>
      <w:r>
        <w:t xml:space="preserve">Note 4.2.5 </w:t>
      </w:r>
      <w:r w:rsidRPr="00DB2070">
        <w:rPr>
          <w:rStyle w:val="LightItalic"/>
          <w:rFonts w:asciiTheme="minorHAnsi" w:hAnsiTheme="minorHAnsi" w:cstheme="minorHAnsi"/>
        </w:rPr>
        <w:t>Victorian Desalination Project</w:t>
      </w:r>
      <w:r w:rsidRPr="00DB2070">
        <w:rPr>
          <w:rFonts w:asciiTheme="minorHAnsi" w:hAnsiTheme="minorHAnsi" w:cstheme="minorHAnsi"/>
        </w:rPr>
        <w:t>.</w:t>
      </w:r>
      <w:r>
        <w:t xml:space="preserve"> </w:t>
      </w:r>
    </w:p>
    <w:p w14:paraId="0A3C3C62" w14:textId="77777777" w:rsidR="00B02873" w:rsidRDefault="00B02873" w:rsidP="00FE198A">
      <w:r>
        <w:t>There are no contingencies or commitments arising from the department’s interest in the joint operation (2021: Nil).</w:t>
      </w:r>
    </w:p>
    <w:p w14:paraId="43E52723" w14:textId="77777777" w:rsidR="00B02873" w:rsidRDefault="00B02873" w:rsidP="00DB2070">
      <w:pPr>
        <w:pStyle w:val="Heading4"/>
      </w:pPr>
      <w:r>
        <w:t>4.2.3 Administered investments in joint operation</w:t>
      </w:r>
    </w:p>
    <w:p w14:paraId="491B31A5" w14:textId="77777777" w:rsidR="00B02873" w:rsidRDefault="00B02873" w:rsidP="00FE198A">
      <w:r>
        <w:t xml:space="preserve">The department on behalf of the state has an investment in a joint operation, the Murray-Darling Basin Authority (MDBA) represented by the River Murray Operations and the Living Murray Initiative. </w:t>
      </w:r>
    </w:p>
    <w:p w14:paraId="334C6F2B" w14:textId="24E43BF7" w:rsidR="00B02873" w:rsidRDefault="00B02873" w:rsidP="00FE198A">
      <w:r>
        <w:t xml:space="preserve">The MDBA is an independent, expertise based statutory agency responsible for developing, implementing and monitoring the Basin Plans. The MDBA undertakes activities that support the sustainable and integrated management of the water resources of the Murray-Darling Basin in a way that best meets the social, economic and environmental needs of the Basin and its communities. </w:t>
      </w:r>
    </w:p>
    <w:p w14:paraId="16519180" w14:textId="5BEC8FF2" w:rsidR="00B02873" w:rsidRDefault="00B02873" w:rsidP="00FE198A">
      <w:r>
        <w:t xml:space="preserve">Two unincorporated joint arrangements were established under the MDBA to hold the assets on behalf of the participants through separate agreements called the “Asset Agreement for River Murray Operations Assets” (RMO) and the “Further Agreement on Addressing Over Allocation and Achieving Environmental Objectives in the Murray-Darling Basin – Control and Management of Living Murray Initiative Assets” (LMI). The principal place of the operation is in Australia. The participants are obliged to provide funding to the MDBA for the management of the RMO and LMI assets and operations. </w:t>
      </w:r>
    </w:p>
    <w:p w14:paraId="52479CE9" w14:textId="77777777" w:rsidR="00B02873" w:rsidRDefault="00B02873" w:rsidP="00FE198A">
      <w:r>
        <w:t xml:space="preserve">The arrangement is therefore classified as a joint operation and the department recognises, on behalf of the state, its direct right to the jointly held assets, revenues and expenses based on the </w:t>
      </w:r>
      <w:r>
        <w:lastRenderedPageBreak/>
        <w:t>percentage interest. The agreements in relation to the Murray Darling Basin Agreement joint arrangement require unanimous consent from all parties for all relevant activities. The participants own the infrastructure assets and water rights of the joint arrangements which are being managed through the RMO and LMI and there are no liabilities held for either RMO or LMI.</w:t>
      </w:r>
    </w:p>
    <w:tbl>
      <w:tblPr>
        <w:tblStyle w:val="TableGrid"/>
        <w:tblW w:w="9691" w:type="dxa"/>
        <w:tblLayout w:type="fixed"/>
        <w:tblLook w:val="0020" w:firstRow="1" w:lastRow="0" w:firstColumn="0" w:lastColumn="0" w:noHBand="0" w:noVBand="0"/>
      </w:tblPr>
      <w:tblGrid>
        <w:gridCol w:w="2122"/>
        <w:gridCol w:w="3277"/>
        <w:gridCol w:w="1684"/>
        <w:gridCol w:w="1332"/>
        <w:gridCol w:w="1276"/>
      </w:tblGrid>
      <w:tr w:rsidR="00B02873" w:rsidRPr="00B02873" w14:paraId="4F6E5A58" w14:textId="77777777" w:rsidTr="00AA10FB">
        <w:trPr>
          <w:cnfStyle w:val="100000000000" w:firstRow="1" w:lastRow="0" w:firstColumn="0" w:lastColumn="0" w:oddVBand="0" w:evenVBand="0" w:oddHBand="0" w:evenHBand="0" w:firstRowFirstColumn="0" w:firstRowLastColumn="0" w:lastRowFirstColumn="0" w:lastRowLastColumn="0"/>
          <w:trHeight w:val="60"/>
          <w:tblHeader/>
        </w:trPr>
        <w:tc>
          <w:tcPr>
            <w:tcW w:w="2122" w:type="dxa"/>
          </w:tcPr>
          <w:p w14:paraId="227D8F2C" w14:textId="77777777" w:rsidR="00B02873" w:rsidRDefault="00B02873" w:rsidP="00DB2070">
            <w:pPr>
              <w:pStyle w:val="TableheadingleftTables"/>
            </w:pPr>
            <w:r w:rsidRPr="007B509E">
              <w:rPr>
                <w:rFonts w:cs="VIC Medium"/>
              </w:rPr>
              <w:t>Name of entity</w:t>
            </w:r>
          </w:p>
        </w:tc>
        <w:tc>
          <w:tcPr>
            <w:tcW w:w="3277" w:type="dxa"/>
          </w:tcPr>
          <w:p w14:paraId="45EA5204" w14:textId="77777777" w:rsidR="00B02873" w:rsidRDefault="00B02873" w:rsidP="00DB2070">
            <w:pPr>
              <w:pStyle w:val="TableheadingleftTables"/>
            </w:pPr>
            <w:r w:rsidRPr="007B509E">
              <w:rPr>
                <w:rFonts w:cs="VIC Medium"/>
              </w:rPr>
              <w:t>Principal activity</w:t>
            </w:r>
          </w:p>
        </w:tc>
        <w:tc>
          <w:tcPr>
            <w:tcW w:w="1684" w:type="dxa"/>
          </w:tcPr>
          <w:p w14:paraId="495944C9" w14:textId="77777777" w:rsidR="00B02873" w:rsidRDefault="00B02873" w:rsidP="00DB2070">
            <w:pPr>
              <w:pStyle w:val="TableheadingleftTables"/>
            </w:pPr>
            <w:r w:rsidRPr="007B509E">
              <w:rPr>
                <w:rFonts w:cs="VIC Medium"/>
              </w:rPr>
              <w:t>Country of incorporation</w:t>
            </w:r>
          </w:p>
        </w:tc>
        <w:tc>
          <w:tcPr>
            <w:tcW w:w="1332" w:type="dxa"/>
          </w:tcPr>
          <w:p w14:paraId="00B0AAFD" w14:textId="1E7779E4" w:rsidR="00B02873" w:rsidRDefault="00AA10FB" w:rsidP="00AA10FB">
            <w:pPr>
              <w:pStyle w:val="TableheadingleftTables"/>
              <w:jc w:val="right"/>
            </w:pPr>
            <w:r>
              <w:t xml:space="preserve">Ownership interest </w:t>
            </w:r>
            <w:r w:rsidR="00B02873">
              <w:t>2022</w:t>
            </w:r>
            <w:r w:rsidR="00B02873">
              <w:br/>
              <w:t>%</w:t>
            </w:r>
          </w:p>
        </w:tc>
        <w:tc>
          <w:tcPr>
            <w:tcW w:w="1276" w:type="dxa"/>
          </w:tcPr>
          <w:p w14:paraId="149C68D4" w14:textId="5B22C63A" w:rsidR="00B02873" w:rsidRDefault="00AA10FB" w:rsidP="00AA10FB">
            <w:pPr>
              <w:pStyle w:val="TableheadingleftTables"/>
              <w:jc w:val="right"/>
            </w:pPr>
            <w:r>
              <w:t xml:space="preserve">Ownership interest </w:t>
            </w:r>
            <w:r w:rsidR="00B02873">
              <w:t>2021</w:t>
            </w:r>
            <w:r w:rsidR="00B02873">
              <w:br/>
              <w:t>%</w:t>
            </w:r>
          </w:p>
        </w:tc>
      </w:tr>
      <w:tr w:rsidR="00B02873" w:rsidRPr="00B02873" w14:paraId="370C33A9" w14:textId="77777777" w:rsidTr="00AA10FB">
        <w:trPr>
          <w:trHeight w:val="60"/>
        </w:trPr>
        <w:tc>
          <w:tcPr>
            <w:tcW w:w="2122" w:type="dxa"/>
          </w:tcPr>
          <w:p w14:paraId="578CB254" w14:textId="77777777" w:rsidR="00B02873" w:rsidRDefault="00B02873" w:rsidP="00AA10FB">
            <w:pPr>
              <w:pStyle w:val="TablebodyleftTables"/>
            </w:pPr>
            <w:r>
              <w:t>River Murray Operations</w:t>
            </w:r>
          </w:p>
        </w:tc>
        <w:tc>
          <w:tcPr>
            <w:tcW w:w="3277" w:type="dxa"/>
          </w:tcPr>
          <w:p w14:paraId="4BA22645" w14:textId="77777777" w:rsidR="00B02873" w:rsidRDefault="00B02873" w:rsidP="00AA10FB">
            <w:pPr>
              <w:pStyle w:val="TablebodyleftTables"/>
            </w:pPr>
            <w:r>
              <w:t>To undertake activities that support the sustainable and integrated management of water resources of the Murray-Darling Basin. RMO hold the infrastructure assets on behalf of the participants.</w:t>
            </w:r>
          </w:p>
        </w:tc>
        <w:tc>
          <w:tcPr>
            <w:tcW w:w="1684" w:type="dxa"/>
          </w:tcPr>
          <w:p w14:paraId="26A2F22B" w14:textId="77777777" w:rsidR="00B02873" w:rsidRDefault="00B02873" w:rsidP="00AA10FB">
            <w:pPr>
              <w:pStyle w:val="TablebodyleftTables"/>
            </w:pPr>
            <w:r>
              <w:t>Australia</w:t>
            </w:r>
          </w:p>
        </w:tc>
        <w:tc>
          <w:tcPr>
            <w:tcW w:w="1332" w:type="dxa"/>
          </w:tcPr>
          <w:p w14:paraId="543131F0" w14:textId="77777777" w:rsidR="00B02873" w:rsidRDefault="00B02873" w:rsidP="00AA10FB">
            <w:pPr>
              <w:pStyle w:val="TablebodyleftTables"/>
              <w:jc w:val="right"/>
            </w:pPr>
            <w:r>
              <w:t>26.67</w:t>
            </w:r>
          </w:p>
        </w:tc>
        <w:tc>
          <w:tcPr>
            <w:tcW w:w="1276" w:type="dxa"/>
          </w:tcPr>
          <w:p w14:paraId="7E55A79D" w14:textId="77777777" w:rsidR="00B02873" w:rsidRDefault="00B02873" w:rsidP="00AA10FB">
            <w:pPr>
              <w:pStyle w:val="TablebodyleftTables"/>
              <w:jc w:val="right"/>
            </w:pPr>
            <w:r>
              <w:t>26.67</w:t>
            </w:r>
          </w:p>
        </w:tc>
      </w:tr>
      <w:tr w:rsidR="00B02873" w:rsidRPr="00B02873" w14:paraId="4C23B2D7" w14:textId="77777777" w:rsidTr="00AA10FB">
        <w:trPr>
          <w:trHeight w:val="60"/>
        </w:trPr>
        <w:tc>
          <w:tcPr>
            <w:tcW w:w="2122" w:type="dxa"/>
          </w:tcPr>
          <w:p w14:paraId="6A26BD86" w14:textId="77777777" w:rsidR="00B02873" w:rsidRDefault="00B02873" w:rsidP="00AA10FB">
            <w:pPr>
              <w:pStyle w:val="TablebodyleftTables"/>
            </w:pPr>
            <w:r>
              <w:t>Living Murray Initiative</w:t>
            </w:r>
          </w:p>
        </w:tc>
        <w:tc>
          <w:tcPr>
            <w:tcW w:w="3277" w:type="dxa"/>
          </w:tcPr>
          <w:p w14:paraId="6B41A36E" w14:textId="77777777" w:rsidR="00B02873" w:rsidRDefault="00B02873" w:rsidP="00AA10FB">
            <w:pPr>
              <w:pStyle w:val="TablebodyleftTables"/>
            </w:pPr>
            <w:r>
              <w:t>To improve the ecological condition of significant forests, wetlands and lakes along the River Murray. LMI holds the water entitlements on behalf of the participants.</w:t>
            </w:r>
          </w:p>
        </w:tc>
        <w:tc>
          <w:tcPr>
            <w:tcW w:w="1684" w:type="dxa"/>
          </w:tcPr>
          <w:p w14:paraId="5027A66D" w14:textId="77777777" w:rsidR="00B02873" w:rsidRDefault="00B02873" w:rsidP="00AA10FB">
            <w:pPr>
              <w:pStyle w:val="TablebodyleftTables"/>
            </w:pPr>
            <w:r>
              <w:t>Australia</w:t>
            </w:r>
          </w:p>
        </w:tc>
        <w:tc>
          <w:tcPr>
            <w:tcW w:w="1332" w:type="dxa"/>
          </w:tcPr>
          <w:p w14:paraId="1C2879FE" w14:textId="77777777" w:rsidR="00B02873" w:rsidRDefault="00B02873" w:rsidP="00AA10FB">
            <w:pPr>
              <w:pStyle w:val="TablebodyleftTables"/>
              <w:jc w:val="right"/>
            </w:pPr>
            <w:r>
              <w:t>26.67</w:t>
            </w:r>
          </w:p>
        </w:tc>
        <w:tc>
          <w:tcPr>
            <w:tcW w:w="1276" w:type="dxa"/>
          </w:tcPr>
          <w:p w14:paraId="57DCC94F" w14:textId="77777777" w:rsidR="00B02873" w:rsidRDefault="00B02873" w:rsidP="00AA10FB">
            <w:pPr>
              <w:pStyle w:val="TablebodyleftTables"/>
              <w:jc w:val="right"/>
            </w:pPr>
            <w:r>
              <w:t>26.67</w:t>
            </w:r>
          </w:p>
        </w:tc>
      </w:tr>
    </w:tbl>
    <w:p w14:paraId="1090C577" w14:textId="77777777" w:rsidR="00B02873" w:rsidRDefault="00B02873" w:rsidP="00FE198A"/>
    <w:p w14:paraId="1CF4142A" w14:textId="77777777" w:rsidR="00B02873" w:rsidRDefault="00B02873" w:rsidP="00AA10FB">
      <w:pPr>
        <w:pStyle w:val="Heading5"/>
      </w:pPr>
      <w:r>
        <w:t>Joint operations accounted for using the proportionate consolidation method</w:t>
      </w:r>
    </w:p>
    <w:p w14:paraId="5AB64FFF" w14:textId="77777777" w:rsidR="00B02873" w:rsidRDefault="00B02873" w:rsidP="00FE198A">
      <w:r>
        <w:t>The state’s interest in assets, liabilities, income, and expenses employed in the above joint operations is detailed below. The amounts are included in the administered financial statements under their respective asset and liability categories.</w:t>
      </w:r>
    </w:p>
    <w:tbl>
      <w:tblPr>
        <w:tblStyle w:val="TableGrid"/>
        <w:tblW w:w="9634" w:type="dxa"/>
        <w:tblLayout w:type="fixed"/>
        <w:tblLook w:val="0020" w:firstRow="1" w:lastRow="0" w:firstColumn="0" w:lastColumn="0" w:noHBand="0" w:noVBand="0"/>
      </w:tblPr>
      <w:tblGrid>
        <w:gridCol w:w="2830"/>
        <w:gridCol w:w="1191"/>
        <w:gridCol w:w="1191"/>
        <w:gridCol w:w="1190"/>
        <w:gridCol w:w="1191"/>
        <w:gridCol w:w="1049"/>
        <w:gridCol w:w="992"/>
      </w:tblGrid>
      <w:tr w:rsidR="00B02873" w:rsidRPr="00B02873" w14:paraId="00D6A8C5" w14:textId="77777777" w:rsidTr="00AA10FB">
        <w:trPr>
          <w:cnfStyle w:val="100000000000" w:firstRow="1" w:lastRow="0" w:firstColumn="0" w:lastColumn="0" w:oddVBand="0" w:evenVBand="0" w:oddHBand="0" w:evenHBand="0" w:firstRowFirstColumn="0" w:firstRowLastColumn="0" w:lastRowFirstColumn="0" w:lastRowLastColumn="0"/>
          <w:trHeight w:val="60"/>
        </w:trPr>
        <w:tc>
          <w:tcPr>
            <w:tcW w:w="2830" w:type="dxa"/>
          </w:tcPr>
          <w:p w14:paraId="1F27C115" w14:textId="77777777" w:rsidR="00B02873" w:rsidRPr="00B02873" w:rsidRDefault="00B02873" w:rsidP="00AA10FB">
            <w:pPr>
              <w:pStyle w:val="TableheadingleftFinancialsTables"/>
            </w:pPr>
          </w:p>
        </w:tc>
        <w:tc>
          <w:tcPr>
            <w:tcW w:w="1191" w:type="dxa"/>
          </w:tcPr>
          <w:p w14:paraId="5326F521" w14:textId="16109748" w:rsidR="00B02873" w:rsidRPr="00AA10FB" w:rsidRDefault="00AA10FB" w:rsidP="00AA10FB">
            <w:pPr>
              <w:pStyle w:val="TableheadingleftFinancialsTables"/>
              <w:jc w:val="right"/>
            </w:pPr>
            <w:r w:rsidRPr="00AA10FB">
              <w:t xml:space="preserve">River Murray Operations </w:t>
            </w:r>
            <w:r w:rsidR="00B02873" w:rsidRPr="00AA10FB">
              <w:t>2022</w:t>
            </w:r>
            <w:r w:rsidR="00B02873" w:rsidRPr="00AA10FB">
              <w:br/>
              <w:t>$’000</w:t>
            </w:r>
          </w:p>
        </w:tc>
        <w:tc>
          <w:tcPr>
            <w:tcW w:w="1191" w:type="dxa"/>
          </w:tcPr>
          <w:p w14:paraId="1896DD2A" w14:textId="111AFA76" w:rsidR="00B02873" w:rsidRDefault="00AA10FB" w:rsidP="00AA10FB">
            <w:pPr>
              <w:pStyle w:val="TableheadingleftFinancialsTables"/>
              <w:jc w:val="right"/>
            </w:pPr>
            <w:r>
              <w:t xml:space="preserve">River Murray Operations </w:t>
            </w:r>
            <w:r w:rsidR="00B02873">
              <w:t>2021</w:t>
            </w:r>
            <w:r w:rsidR="00B02873">
              <w:br/>
              <w:t>$’000</w:t>
            </w:r>
          </w:p>
        </w:tc>
        <w:tc>
          <w:tcPr>
            <w:tcW w:w="1190" w:type="dxa"/>
          </w:tcPr>
          <w:p w14:paraId="6EAF567E" w14:textId="6A3A8B9E" w:rsidR="00B02873" w:rsidRPr="00AA10FB" w:rsidRDefault="00AA10FB" w:rsidP="00AA10FB">
            <w:pPr>
              <w:pStyle w:val="TableheadingleftFinancialsTables"/>
              <w:jc w:val="right"/>
            </w:pPr>
            <w:r w:rsidRPr="00AA10FB">
              <w:t xml:space="preserve">Living Murray Initiative </w:t>
            </w:r>
            <w:r w:rsidR="00B02873" w:rsidRPr="00AA10FB">
              <w:t>2022</w:t>
            </w:r>
            <w:r w:rsidR="00B02873" w:rsidRPr="00AA10FB">
              <w:br/>
              <w:t>$’000</w:t>
            </w:r>
          </w:p>
        </w:tc>
        <w:tc>
          <w:tcPr>
            <w:tcW w:w="1191" w:type="dxa"/>
          </w:tcPr>
          <w:p w14:paraId="57960F7E" w14:textId="4F4672BA" w:rsidR="00B02873" w:rsidRDefault="00AA10FB" w:rsidP="00AA10FB">
            <w:pPr>
              <w:pStyle w:val="TableheadingleftFinancialsTables"/>
              <w:jc w:val="right"/>
            </w:pPr>
            <w:r>
              <w:t xml:space="preserve">Living Murray Initiative </w:t>
            </w:r>
            <w:r w:rsidR="00B02873">
              <w:t>2021</w:t>
            </w:r>
            <w:r w:rsidR="00B02873">
              <w:br/>
              <w:t>$’000</w:t>
            </w:r>
          </w:p>
        </w:tc>
        <w:tc>
          <w:tcPr>
            <w:tcW w:w="1049" w:type="dxa"/>
          </w:tcPr>
          <w:p w14:paraId="32DD2805" w14:textId="3FBBBA96" w:rsidR="00B02873" w:rsidRPr="00AA10FB" w:rsidRDefault="00AA10FB" w:rsidP="00AA10FB">
            <w:pPr>
              <w:pStyle w:val="TableheadingleftFinancialsTables"/>
              <w:jc w:val="right"/>
            </w:pPr>
            <w:r w:rsidRPr="00AA10FB">
              <w:t xml:space="preserve">Total </w:t>
            </w:r>
            <w:r w:rsidRPr="00AA10FB">
              <w:br/>
            </w:r>
            <w:r w:rsidR="00B02873" w:rsidRPr="00AA10FB">
              <w:t>2022</w:t>
            </w:r>
            <w:r w:rsidR="00B02873" w:rsidRPr="00AA10FB">
              <w:br/>
              <w:t>$’000</w:t>
            </w:r>
          </w:p>
        </w:tc>
        <w:tc>
          <w:tcPr>
            <w:tcW w:w="992" w:type="dxa"/>
          </w:tcPr>
          <w:p w14:paraId="69551A16" w14:textId="1FF1ED74" w:rsidR="00B02873" w:rsidRDefault="00AA10FB" w:rsidP="00AA10FB">
            <w:pPr>
              <w:pStyle w:val="TableheadingleftFinancialsTables"/>
              <w:jc w:val="right"/>
            </w:pPr>
            <w:r>
              <w:t xml:space="preserve">Total </w:t>
            </w:r>
            <w:r>
              <w:br/>
            </w:r>
            <w:r w:rsidR="00B02873">
              <w:t>2021</w:t>
            </w:r>
            <w:r w:rsidR="00B02873">
              <w:br/>
              <w:t>$’000</w:t>
            </w:r>
          </w:p>
        </w:tc>
      </w:tr>
      <w:tr w:rsidR="00B02873" w:rsidRPr="00B02873" w14:paraId="3D98808C" w14:textId="77777777" w:rsidTr="00AA10FB">
        <w:trPr>
          <w:trHeight w:val="60"/>
        </w:trPr>
        <w:tc>
          <w:tcPr>
            <w:tcW w:w="2830" w:type="dxa"/>
          </w:tcPr>
          <w:p w14:paraId="5ABB7DFA" w14:textId="77777777" w:rsidR="00B02873" w:rsidRPr="00AA10FB" w:rsidRDefault="00B02873" w:rsidP="00AA10FB">
            <w:pPr>
              <w:pStyle w:val="TablebodyleftFinancialsTables"/>
              <w:rPr>
                <w:b/>
                <w:bCs/>
              </w:rPr>
            </w:pPr>
            <w:r w:rsidRPr="00AA10FB">
              <w:rPr>
                <w:b/>
                <w:bCs/>
              </w:rPr>
              <w:t xml:space="preserve">Non-current assets </w:t>
            </w:r>
          </w:p>
        </w:tc>
        <w:tc>
          <w:tcPr>
            <w:tcW w:w="1191" w:type="dxa"/>
          </w:tcPr>
          <w:p w14:paraId="65DCBCF4" w14:textId="77777777" w:rsidR="00B02873" w:rsidRPr="00AA10FB" w:rsidRDefault="00B02873" w:rsidP="00AA10FB">
            <w:pPr>
              <w:pStyle w:val="TablebodyleftFinancialsTables"/>
              <w:jc w:val="right"/>
              <w:rPr>
                <w:rFonts w:ascii="VIC Bold Italic" w:hAnsi="VIC Bold Italic" w:cs="Times New Roman"/>
                <w:b/>
                <w:bCs/>
              </w:rPr>
            </w:pPr>
          </w:p>
        </w:tc>
        <w:tc>
          <w:tcPr>
            <w:tcW w:w="1191" w:type="dxa"/>
          </w:tcPr>
          <w:p w14:paraId="6049D460" w14:textId="77777777" w:rsidR="00B02873" w:rsidRPr="00B02873" w:rsidRDefault="00B02873" w:rsidP="00AA10FB">
            <w:pPr>
              <w:pStyle w:val="TablebodyleftFinancialsTables"/>
              <w:jc w:val="right"/>
              <w:rPr>
                <w:rFonts w:ascii="VIC Bold Italic" w:hAnsi="VIC Bold Italic" w:cs="Times New Roman"/>
              </w:rPr>
            </w:pPr>
          </w:p>
        </w:tc>
        <w:tc>
          <w:tcPr>
            <w:tcW w:w="1190" w:type="dxa"/>
          </w:tcPr>
          <w:p w14:paraId="0B654AC2" w14:textId="77777777" w:rsidR="00B02873" w:rsidRPr="00AA10FB" w:rsidRDefault="00B02873" w:rsidP="00AA10FB">
            <w:pPr>
              <w:pStyle w:val="TablebodyleftFinancialsTables"/>
              <w:jc w:val="right"/>
              <w:rPr>
                <w:rFonts w:ascii="VIC Bold Italic" w:hAnsi="VIC Bold Italic" w:cs="Times New Roman"/>
                <w:b/>
                <w:bCs/>
              </w:rPr>
            </w:pPr>
          </w:p>
        </w:tc>
        <w:tc>
          <w:tcPr>
            <w:tcW w:w="1191" w:type="dxa"/>
          </w:tcPr>
          <w:p w14:paraId="47F1ACD3" w14:textId="77777777" w:rsidR="00B02873" w:rsidRPr="00B02873" w:rsidRDefault="00B02873" w:rsidP="00AA10FB">
            <w:pPr>
              <w:pStyle w:val="TablebodyleftFinancialsTables"/>
              <w:jc w:val="right"/>
              <w:rPr>
                <w:rFonts w:ascii="VIC Bold Italic" w:hAnsi="VIC Bold Italic" w:cs="Times New Roman"/>
              </w:rPr>
            </w:pPr>
          </w:p>
        </w:tc>
        <w:tc>
          <w:tcPr>
            <w:tcW w:w="1049" w:type="dxa"/>
          </w:tcPr>
          <w:p w14:paraId="1D7FE4E9" w14:textId="77777777" w:rsidR="00B02873" w:rsidRPr="00AA10FB" w:rsidRDefault="00B02873" w:rsidP="00AA10FB">
            <w:pPr>
              <w:pStyle w:val="TablebodyleftFinancialsTables"/>
              <w:jc w:val="right"/>
              <w:rPr>
                <w:rFonts w:ascii="VIC Bold Italic" w:hAnsi="VIC Bold Italic" w:cs="Times New Roman"/>
                <w:b/>
                <w:bCs/>
              </w:rPr>
            </w:pPr>
          </w:p>
        </w:tc>
        <w:tc>
          <w:tcPr>
            <w:tcW w:w="992" w:type="dxa"/>
          </w:tcPr>
          <w:p w14:paraId="4E7D7258" w14:textId="77777777" w:rsidR="00B02873" w:rsidRPr="00B02873" w:rsidRDefault="00B02873" w:rsidP="00AA10FB">
            <w:pPr>
              <w:pStyle w:val="TablebodyleftFinancialsTables"/>
              <w:jc w:val="right"/>
              <w:rPr>
                <w:rFonts w:ascii="VIC Bold Italic" w:hAnsi="VIC Bold Italic" w:cs="Times New Roman"/>
              </w:rPr>
            </w:pPr>
          </w:p>
        </w:tc>
      </w:tr>
      <w:tr w:rsidR="00B02873" w:rsidRPr="00B02873" w14:paraId="4D1E4412" w14:textId="77777777" w:rsidTr="00AA10FB">
        <w:trPr>
          <w:trHeight w:val="60"/>
        </w:trPr>
        <w:tc>
          <w:tcPr>
            <w:tcW w:w="2830" w:type="dxa"/>
          </w:tcPr>
          <w:p w14:paraId="1E8847E3" w14:textId="77777777" w:rsidR="00B02873" w:rsidRDefault="00B02873" w:rsidP="00AA10FB">
            <w:pPr>
              <w:pStyle w:val="TablebodyleftFinancialsTables"/>
            </w:pPr>
            <w:r>
              <w:t>Property, plant and equipment</w:t>
            </w:r>
          </w:p>
        </w:tc>
        <w:tc>
          <w:tcPr>
            <w:tcW w:w="1191" w:type="dxa"/>
          </w:tcPr>
          <w:p w14:paraId="6D3A9ED0" w14:textId="77777777" w:rsidR="00B02873" w:rsidRPr="00AA10FB" w:rsidRDefault="00B02873" w:rsidP="00AA10FB">
            <w:pPr>
              <w:pStyle w:val="TablebodyleftFinancialsTables"/>
              <w:jc w:val="right"/>
              <w:rPr>
                <w:b/>
                <w:bCs/>
              </w:rPr>
            </w:pPr>
            <w:r w:rsidRPr="00AA10FB">
              <w:rPr>
                <w:b/>
                <w:bCs/>
              </w:rPr>
              <w:t>824,024</w:t>
            </w:r>
          </w:p>
        </w:tc>
        <w:tc>
          <w:tcPr>
            <w:tcW w:w="1191" w:type="dxa"/>
          </w:tcPr>
          <w:p w14:paraId="7CEB791C" w14:textId="77777777" w:rsidR="00B02873" w:rsidRDefault="00B02873" w:rsidP="00AA10FB">
            <w:pPr>
              <w:pStyle w:val="TablebodyleftFinancialsTables"/>
              <w:jc w:val="right"/>
            </w:pPr>
            <w:r>
              <w:t>721,287</w:t>
            </w:r>
          </w:p>
        </w:tc>
        <w:tc>
          <w:tcPr>
            <w:tcW w:w="1190" w:type="dxa"/>
          </w:tcPr>
          <w:p w14:paraId="70922892" w14:textId="77777777" w:rsidR="00B02873" w:rsidRPr="00AA10FB" w:rsidRDefault="00B02873" w:rsidP="00AA10FB">
            <w:pPr>
              <w:pStyle w:val="TablebodyleftFinancialsTables"/>
              <w:jc w:val="right"/>
              <w:rPr>
                <w:b/>
                <w:bCs/>
              </w:rPr>
            </w:pPr>
            <w:r w:rsidRPr="00AA10FB">
              <w:rPr>
                <w:b/>
                <w:bCs/>
              </w:rPr>
              <w:t>–</w:t>
            </w:r>
          </w:p>
        </w:tc>
        <w:tc>
          <w:tcPr>
            <w:tcW w:w="1191" w:type="dxa"/>
          </w:tcPr>
          <w:p w14:paraId="322B5D8E" w14:textId="77777777" w:rsidR="00B02873" w:rsidRDefault="00B02873" w:rsidP="00AA10FB">
            <w:pPr>
              <w:pStyle w:val="TablebodyleftFinancialsTables"/>
              <w:jc w:val="right"/>
            </w:pPr>
            <w:r>
              <w:t>–</w:t>
            </w:r>
          </w:p>
        </w:tc>
        <w:tc>
          <w:tcPr>
            <w:tcW w:w="1049" w:type="dxa"/>
          </w:tcPr>
          <w:p w14:paraId="44B0D572" w14:textId="77777777" w:rsidR="00B02873" w:rsidRPr="00AA10FB" w:rsidRDefault="00B02873" w:rsidP="00AA10FB">
            <w:pPr>
              <w:pStyle w:val="TablebodyleftFinancialsTables"/>
              <w:jc w:val="right"/>
              <w:rPr>
                <w:b/>
                <w:bCs/>
              </w:rPr>
            </w:pPr>
            <w:r w:rsidRPr="00AA10FB">
              <w:rPr>
                <w:b/>
                <w:bCs/>
              </w:rPr>
              <w:t>824,024</w:t>
            </w:r>
          </w:p>
        </w:tc>
        <w:tc>
          <w:tcPr>
            <w:tcW w:w="992" w:type="dxa"/>
          </w:tcPr>
          <w:p w14:paraId="4EF94D7B" w14:textId="77777777" w:rsidR="00B02873" w:rsidRDefault="00B02873" w:rsidP="00AA10FB">
            <w:pPr>
              <w:pStyle w:val="TablebodyleftFinancialsTables"/>
              <w:jc w:val="right"/>
            </w:pPr>
            <w:r>
              <w:t>721,287</w:t>
            </w:r>
          </w:p>
        </w:tc>
      </w:tr>
      <w:tr w:rsidR="00B02873" w:rsidRPr="00B02873" w14:paraId="33478EFA" w14:textId="77777777" w:rsidTr="00AA10FB">
        <w:trPr>
          <w:trHeight w:val="60"/>
        </w:trPr>
        <w:tc>
          <w:tcPr>
            <w:tcW w:w="2830" w:type="dxa"/>
          </w:tcPr>
          <w:p w14:paraId="1D263EF5" w14:textId="77777777" w:rsidR="00B02873" w:rsidRDefault="00B02873" w:rsidP="00AA10FB">
            <w:pPr>
              <w:pStyle w:val="TablebodyleftFinancialsTables"/>
            </w:pPr>
            <w:r>
              <w:t>Intangible assets</w:t>
            </w:r>
          </w:p>
        </w:tc>
        <w:tc>
          <w:tcPr>
            <w:tcW w:w="1191" w:type="dxa"/>
          </w:tcPr>
          <w:p w14:paraId="5F49FD5E" w14:textId="77777777" w:rsidR="00B02873" w:rsidRPr="00AA10FB" w:rsidRDefault="00B02873" w:rsidP="00AA10FB">
            <w:pPr>
              <w:pStyle w:val="TablebodyleftFinancialsTables"/>
              <w:jc w:val="right"/>
              <w:rPr>
                <w:b/>
                <w:bCs/>
              </w:rPr>
            </w:pPr>
            <w:r w:rsidRPr="00AA10FB">
              <w:rPr>
                <w:b/>
                <w:bCs/>
              </w:rPr>
              <w:t>1,086</w:t>
            </w:r>
          </w:p>
        </w:tc>
        <w:tc>
          <w:tcPr>
            <w:tcW w:w="1191" w:type="dxa"/>
          </w:tcPr>
          <w:p w14:paraId="3489DA1D" w14:textId="77777777" w:rsidR="00B02873" w:rsidRDefault="00B02873" w:rsidP="00AA10FB">
            <w:pPr>
              <w:pStyle w:val="TablebodyleftFinancialsTables"/>
              <w:jc w:val="right"/>
            </w:pPr>
            <w:r>
              <w:t>1,086</w:t>
            </w:r>
          </w:p>
        </w:tc>
        <w:tc>
          <w:tcPr>
            <w:tcW w:w="1190" w:type="dxa"/>
          </w:tcPr>
          <w:p w14:paraId="278151A5" w14:textId="77777777" w:rsidR="00B02873" w:rsidRPr="00AA10FB" w:rsidRDefault="00B02873" w:rsidP="00AA10FB">
            <w:pPr>
              <w:pStyle w:val="TablebodyleftFinancialsTables"/>
              <w:jc w:val="right"/>
              <w:rPr>
                <w:b/>
                <w:bCs/>
              </w:rPr>
            </w:pPr>
            <w:r w:rsidRPr="00AA10FB">
              <w:rPr>
                <w:b/>
                <w:bCs/>
              </w:rPr>
              <w:t>181,286</w:t>
            </w:r>
          </w:p>
        </w:tc>
        <w:tc>
          <w:tcPr>
            <w:tcW w:w="1191" w:type="dxa"/>
          </w:tcPr>
          <w:p w14:paraId="2725E8E1" w14:textId="77777777" w:rsidR="00B02873" w:rsidRDefault="00B02873" w:rsidP="00AA10FB">
            <w:pPr>
              <w:pStyle w:val="TablebodyleftFinancialsTables"/>
              <w:jc w:val="right"/>
            </w:pPr>
            <w:r>
              <w:t>178,039</w:t>
            </w:r>
          </w:p>
        </w:tc>
        <w:tc>
          <w:tcPr>
            <w:tcW w:w="1049" w:type="dxa"/>
          </w:tcPr>
          <w:p w14:paraId="7463D395" w14:textId="77777777" w:rsidR="00B02873" w:rsidRPr="00AA10FB" w:rsidRDefault="00B02873" w:rsidP="00AA10FB">
            <w:pPr>
              <w:pStyle w:val="TablebodyleftFinancialsTables"/>
              <w:jc w:val="right"/>
              <w:rPr>
                <w:b/>
                <w:bCs/>
              </w:rPr>
            </w:pPr>
            <w:r w:rsidRPr="00AA10FB">
              <w:rPr>
                <w:b/>
                <w:bCs/>
              </w:rPr>
              <w:t>182,372</w:t>
            </w:r>
          </w:p>
        </w:tc>
        <w:tc>
          <w:tcPr>
            <w:tcW w:w="992" w:type="dxa"/>
          </w:tcPr>
          <w:p w14:paraId="34B8DEC9" w14:textId="77777777" w:rsidR="00B02873" w:rsidRDefault="00B02873" w:rsidP="00AA10FB">
            <w:pPr>
              <w:pStyle w:val="TablebodyleftFinancialsTables"/>
              <w:jc w:val="right"/>
            </w:pPr>
            <w:r>
              <w:t>179,125</w:t>
            </w:r>
          </w:p>
        </w:tc>
      </w:tr>
      <w:tr w:rsidR="00B02873" w:rsidRPr="00B02873" w14:paraId="4DACFFA5" w14:textId="77777777" w:rsidTr="00AA10FB">
        <w:trPr>
          <w:trHeight w:val="60"/>
        </w:trPr>
        <w:tc>
          <w:tcPr>
            <w:tcW w:w="2830" w:type="dxa"/>
          </w:tcPr>
          <w:p w14:paraId="5B44CB02" w14:textId="77777777" w:rsidR="00B02873" w:rsidRPr="00AA10FB" w:rsidRDefault="00B02873" w:rsidP="00AA10FB">
            <w:pPr>
              <w:pStyle w:val="TablebodyleftFinancialsTables"/>
              <w:rPr>
                <w:b/>
                <w:bCs/>
              </w:rPr>
            </w:pPr>
            <w:r w:rsidRPr="00AA10FB">
              <w:rPr>
                <w:b/>
                <w:bCs/>
              </w:rPr>
              <w:t>Total non-current assets</w:t>
            </w:r>
          </w:p>
        </w:tc>
        <w:tc>
          <w:tcPr>
            <w:tcW w:w="1191" w:type="dxa"/>
          </w:tcPr>
          <w:p w14:paraId="792D02C9" w14:textId="77777777" w:rsidR="00B02873" w:rsidRPr="00AA10FB" w:rsidRDefault="00B02873" w:rsidP="00AA10FB">
            <w:pPr>
              <w:pStyle w:val="TablebodyleftFinancialsTables"/>
              <w:jc w:val="right"/>
              <w:rPr>
                <w:b/>
                <w:bCs/>
              </w:rPr>
            </w:pPr>
            <w:r w:rsidRPr="00AA10FB">
              <w:rPr>
                <w:b/>
                <w:bCs/>
              </w:rPr>
              <w:t>825,110</w:t>
            </w:r>
          </w:p>
        </w:tc>
        <w:tc>
          <w:tcPr>
            <w:tcW w:w="1191" w:type="dxa"/>
          </w:tcPr>
          <w:p w14:paraId="4ED0CAE9" w14:textId="77777777" w:rsidR="00B02873" w:rsidRDefault="00B02873" w:rsidP="00AA10FB">
            <w:pPr>
              <w:pStyle w:val="TablebodyleftFinancialsTables"/>
              <w:jc w:val="right"/>
            </w:pPr>
            <w:r>
              <w:t>722,373</w:t>
            </w:r>
          </w:p>
        </w:tc>
        <w:tc>
          <w:tcPr>
            <w:tcW w:w="1190" w:type="dxa"/>
          </w:tcPr>
          <w:p w14:paraId="3B052A15" w14:textId="77777777" w:rsidR="00B02873" w:rsidRPr="00AA10FB" w:rsidRDefault="00B02873" w:rsidP="00AA10FB">
            <w:pPr>
              <w:pStyle w:val="TablebodyleftFinancialsTables"/>
              <w:jc w:val="right"/>
              <w:rPr>
                <w:b/>
                <w:bCs/>
              </w:rPr>
            </w:pPr>
            <w:r w:rsidRPr="00AA10FB">
              <w:rPr>
                <w:b/>
                <w:bCs/>
              </w:rPr>
              <w:t>181,286</w:t>
            </w:r>
          </w:p>
        </w:tc>
        <w:tc>
          <w:tcPr>
            <w:tcW w:w="1191" w:type="dxa"/>
          </w:tcPr>
          <w:p w14:paraId="502C2E83" w14:textId="77777777" w:rsidR="00B02873" w:rsidRDefault="00B02873" w:rsidP="00AA10FB">
            <w:pPr>
              <w:pStyle w:val="TablebodyleftFinancialsTables"/>
              <w:jc w:val="right"/>
            </w:pPr>
            <w:r>
              <w:t>178,039</w:t>
            </w:r>
          </w:p>
        </w:tc>
        <w:tc>
          <w:tcPr>
            <w:tcW w:w="1049" w:type="dxa"/>
          </w:tcPr>
          <w:p w14:paraId="4A012AFC" w14:textId="77777777" w:rsidR="00B02873" w:rsidRPr="00AA10FB" w:rsidRDefault="00B02873" w:rsidP="00AA10FB">
            <w:pPr>
              <w:pStyle w:val="TablebodyleftFinancialsTables"/>
              <w:jc w:val="right"/>
              <w:rPr>
                <w:b/>
                <w:bCs/>
              </w:rPr>
            </w:pPr>
            <w:r w:rsidRPr="00AA10FB">
              <w:rPr>
                <w:b/>
                <w:bCs/>
              </w:rPr>
              <w:t>1,006,396</w:t>
            </w:r>
          </w:p>
        </w:tc>
        <w:tc>
          <w:tcPr>
            <w:tcW w:w="992" w:type="dxa"/>
          </w:tcPr>
          <w:p w14:paraId="29DAE5C2" w14:textId="77777777" w:rsidR="00B02873" w:rsidRDefault="00B02873" w:rsidP="00AA10FB">
            <w:pPr>
              <w:pStyle w:val="TablebodyleftFinancialsTables"/>
              <w:jc w:val="right"/>
            </w:pPr>
            <w:r>
              <w:t>900,412</w:t>
            </w:r>
          </w:p>
        </w:tc>
      </w:tr>
      <w:tr w:rsidR="00B02873" w:rsidRPr="00B02873" w14:paraId="6FAF316A" w14:textId="77777777" w:rsidTr="00AA10FB">
        <w:trPr>
          <w:trHeight w:val="60"/>
        </w:trPr>
        <w:tc>
          <w:tcPr>
            <w:tcW w:w="2830" w:type="dxa"/>
          </w:tcPr>
          <w:p w14:paraId="00D83151" w14:textId="77777777" w:rsidR="00B02873" w:rsidRPr="00AA10FB" w:rsidRDefault="00B02873" w:rsidP="00AA10FB">
            <w:pPr>
              <w:pStyle w:val="TablebodyleftFinancialsTables"/>
              <w:rPr>
                <w:b/>
                <w:bCs/>
              </w:rPr>
            </w:pPr>
            <w:r w:rsidRPr="00AA10FB">
              <w:rPr>
                <w:b/>
                <w:bCs/>
              </w:rPr>
              <w:t>Total assets</w:t>
            </w:r>
          </w:p>
        </w:tc>
        <w:tc>
          <w:tcPr>
            <w:tcW w:w="1191" w:type="dxa"/>
          </w:tcPr>
          <w:p w14:paraId="00E891C6" w14:textId="77777777" w:rsidR="00B02873" w:rsidRPr="00AA10FB" w:rsidRDefault="00B02873" w:rsidP="00AA10FB">
            <w:pPr>
              <w:pStyle w:val="TablebodyleftFinancialsTables"/>
              <w:jc w:val="right"/>
              <w:rPr>
                <w:b/>
                <w:bCs/>
              </w:rPr>
            </w:pPr>
            <w:r w:rsidRPr="00AA10FB">
              <w:rPr>
                <w:b/>
                <w:bCs/>
              </w:rPr>
              <w:t>825,110</w:t>
            </w:r>
          </w:p>
        </w:tc>
        <w:tc>
          <w:tcPr>
            <w:tcW w:w="1191" w:type="dxa"/>
          </w:tcPr>
          <w:p w14:paraId="752D05E3" w14:textId="77777777" w:rsidR="00B02873" w:rsidRDefault="00B02873" w:rsidP="00AA10FB">
            <w:pPr>
              <w:pStyle w:val="TablebodyleftFinancialsTables"/>
              <w:jc w:val="right"/>
            </w:pPr>
            <w:r>
              <w:t>722,373</w:t>
            </w:r>
          </w:p>
        </w:tc>
        <w:tc>
          <w:tcPr>
            <w:tcW w:w="1190" w:type="dxa"/>
          </w:tcPr>
          <w:p w14:paraId="5B47BA34" w14:textId="77777777" w:rsidR="00B02873" w:rsidRPr="00AA10FB" w:rsidRDefault="00B02873" w:rsidP="00AA10FB">
            <w:pPr>
              <w:pStyle w:val="TablebodyleftFinancialsTables"/>
              <w:jc w:val="right"/>
              <w:rPr>
                <w:b/>
                <w:bCs/>
              </w:rPr>
            </w:pPr>
            <w:r w:rsidRPr="00AA10FB">
              <w:rPr>
                <w:b/>
                <w:bCs/>
              </w:rPr>
              <w:t>181,286</w:t>
            </w:r>
          </w:p>
        </w:tc>
        <w:tc>
          <w:tcPr>
            <w:tcW w:w="1191" w:type="dxa"/>
          </w:tcPr>
          <w:p w14:paraId="69BF3B39" w14:textId="77777777" w:rsidR="00B02873" w:rsidRDefault="00B02873" w:rsidP="00AA10FB">
            <w:pPr>
              <w:pStyle w:val="TablebodyleftFinancialsTables"/>
              <w:jc w:val="right"/>
            </w:pPr>
            <w:r>
              <w:t>178,039</w:t>
            </w:r>
          </w:p>
        </w:tc>
        <w:tc>
          <w:tcPr>
            <w:tcW w:w="1049" w:type="dxa"/>
          </w:tcPr>
          <w:p w14:paraId="684FEDD8" w14:textId="77777777" w:rsidR="00B02873" w:rsidRPr="00AA10FB" w:rsidRDefault="00B02873" w:rsidP="00AA10FB">
            <w:pPr>
              <w:pStyle w:val="TablebodyleftFinancialsTables"/>
              <w:jc w:val="right"/>
              <w:rPr>
                <w:b/>
                <w:bCs/>
              </w:rPr>
            </w:pPr>
            <w:r w:rsidRPr="00AA10FB">
              <w:rPr>
                <w:b/>
                <w:bCs/>
              </w:rPr>
              <w:t>1,006,396</w:t>
            </w:r>
          </w:p>
        </w:tc>
        <w:tc>
          <w:tcPr>
            <w:tcW w:w="992" w:type="dxa"/>
          </w:tcPr>
          <w:p w14:paraId="5D646623" w14:textId="77777777" w:rsidR="00B02873" w:rsidRDefault="00B02873" w:rsidP="00AA10FB">
            <w:pPr>
              <w:pStyle w:val="TablebodyleftFinancialsTables"/>
              <w:jc w:val="right"/>
            </w:pPr>
            <w:r>
              <w:t>900,412</w:t>
            </w:r>
          </w:p>
        </w:tc>
      </w:tr>
      <w:tr w:rsidR="00B02873" w:rsidRPr="00B02873" w14:paraId="54CABC91" w14:textId="77777777" w:rsidTr="00AA10FB">
        <w:trPr>
          <w:trHeight w:val="60"/>
        </w:trPr>
        <w:tc>
          <w:tcPr>
            <w:tcW w:w="2830" w:type="dxa"/>
          </w:tcPr>
          <w:p w14:paraId="2F07B482" w14:textId="77777777" w:rsidR="00B02873" w:rsidRPr="00AA10FB" w:rsidRDefault="00B02873" w:rsidP="00AA10FB">
            <w:pPr>
              <w:pStyle w:val="TablebodyleftFinancialsTables"/>
              <w:rPr>
                <w:b/>
                <w:bCs/>
              </w:rPr>
            </w:pPr>
            <w:r w:rsidRPr="00AA10FB">
              <w:rPr>
                <w:b/>
                <w:bCs/>
              </w:rPr>
              <w:t>Income</w:t>
            </w:r>
          </w:p>
        </w:tc>
        <w:tc>
          <w:tcPr>
            <w:tcW w:w="1191" w:type="dxa"/>
          </w:tcPr>
          <w:p w14:paraId="55A4A296" w14:textId="77777777" w:rsidR="00B02873" w:rsidRPr="00AA10FB" w:rsidRDefault="00B02873" w:rsidP="00AA10FB">
            <w:pPr>
              <w:pStyle w:val="TablebodyleftFinancialsTables"/>
              <w:jc w:val="right"/>
              <w:rPr>
                <w:b/>
                <w:bCs/>
              </w:rPr>
            </w:pPr>
            <w:r w:rsidRPr="00AA10FB">
              <w:rPr>
                <w:b/>
                <w:bCs/>
              </w:rPr>
              <w:t>1,590</w:t>
            </w:r>
          </w:p>
        </w:tc>
        <w:tc>
          <w:tcPr>
            <w:tcW w:w="1191" w:type="dxa"/>
          </w:tcPr>
          <w:p w14:paraId="27FE39A6" w14:textId="77777777" w:rsidR="00B02873" w:rsidRDefault="00B02873" w:rsidP="00AA10FB">
            <w:pPr>
              <w:pStyle w:val="TablebodyleftFinancialsTables"/>
              <w:jc w:val="right"/>
            </w:pPr>
            <w:r>
              <w:t>1,444</w:t>
            </w:r>
          </w:p>
        </w:tc>
        <w:tc>
          <w:tcPr>
            <w:tcW w:w="1190" w:type="dxa"/>
          </w:tcPr>
          <w:p w14:paraId="5EF65105" w14:textId="77777777" w:rsidR="00B02873" w:rsidRPr="00AA10FB" w:rsidRDefault="00B02873" w:rsidP="00AA10FB">
            <w:pPr>
              <w:pStyle w:val="TablebodyleftFinancialsTables"/>
              <w:jc w:val="right"/>
              <w:rPr>
                <w:b/>
                <w:bCs/>
              </w:rPr>
            </w:pPr>
            <w:r w:rsidRPr="00AA10FB">
              <w:rPr>
                <w:b/>
                <w:bCs/>
              </w:rPr>
              <w:t>–</w:t>
            </w:r>
          </w:p>
        </w:tc>
        <w:tc>
          <w:tcPr>
            <w:tcW w:w="1191" w:type="dxa"/>
          </w:tcPr>
          <w:p w14:paraId="2A8F241B" w14:textId="77777777" w:rsidR="00B02873" w:rsidRDefault="00B02873" w:rsidP="00AA10FB">
            <w:pPr>
              <w:pStyle w:val="TablebodyleftFinancialsTables"/>
              <w:jc w:val="right"/>
            </w:pPr>
            <w:r>
              <w:t>–</w:t>
            </w:r>
          </w:p>
        </w:tc>
        <w:tc>
          <w:tcPr>
            <w:tcW w:w="1049" w:type="dxa"/>
          </w:tcPr>
          <w:p w14:paraId="5068D9E1" w14:textId="77777777" w:rsidR="00B02873" w:rsidRPr="00AA10FB" w:rsidRDefault="00B02873" w:rsidP="00AA10FB">
            <w:pPr>
              <w:pStyle w:val="TablebodyleftFinancialsTables"/>
              <w:jc w:val="right"/>
              <w:rPr>
                <w:b/>
                <w:bCs/>
              </w:rPr>
            </w:pPr>
            <w:r w:rsidRPr="00AA10FB">
              <w:rPr>
                <w:b/>
                <w:bCs/>
              </w:rPr>
              <w:t>1,590</w:t>
            </w:r>
          </w:p>
        </w:tc>
        <w:tc>
          <w:tcPr>
            <w:tcW w:w="992" w:type="dxa"/>
          </w:tcPr>
          <w:p w14:paraId="617B5DCF" w14:textId="77777777" w:rsidR="00B02873" w:rsidRDefault="00B02873" w:rsidP="00AA10FB">
            <w:pPr>
              <w:pStyle w:val="TablebodyleftFinancialsTables"/>
              <w:jc w:val="right"/>
            </w:pPr>
            <w:r>
              <w:t>1,444</w:t>
            </w:r>
          </w:p>
        </w:tc>
      </w:tr>
      <w:tr w:rsidR="00B02873" w:rsidRPr="00B02873" w14:paraId="2F49026F" w14:textId="77777777" w:rsidTr="00AA10FB">
        <w:trPr>
          <w:trHeight w:val="60"/>
        </w:trPr>
        <w:tc>
          <w:tcPr>
            <w:tcW w:w="2830" w:type="dxa"/>
          </w:tcPr>
          <w:p w14:paraId="00B0F5E0" w14:textId="77777777" w:rsidR="00B02873" w:rsidRPr="00AA10FB" w:rsidRDefault="00B02873" w:rsidP="00AA10FB">
            <w:pPr>
              <w:pStyle w:val="TablebodyleftFinancialsTables"/>
              <w:rPr>
                <w:b/>
                <w:bCs/>
              </w:rPr>
            </w:pPr>
            <w:r w:rsidRPr="00AA10FB">
              <w:rPr>
                <w:b/>
                <w:bCs/>
              </w:rPr>
              <w:t>Expenses</w:t>
            </w:r>
          </w:p>
        </w:tc>
        <w:tc>
          <w:tcPr>
            <w:tcW w:w="1191" w:type="dxa"/>
          </w:tcPr>
          <w:p w14:paraId="1FD534C5" w14:textId="77777777" w:rsidR="00B02873" w:rsidRPr="00AA10FB" w:rsidRDefault="00B02873" w:rsidP="00AA10FB">
            <w:pPr>
              <w:pStyle w:val="TablebodyleftFinancialsTables"/>
              <w:jc w:val="right"/>
              <w:rPr>
                <w:b/>
                <w:bCs/>
              </w:rPr>
            </w:pPr>
            <w:r w:rsidRPr="00AA10FB">
              <w:rPr>
                <w:b/>
                <w:bCs/>
              </w:rPr>
              <w:t>(10,699)</w:t>
            </w:r>
          </w:p>
        </w:tc>
        <w:tc>
          <w:tcPr>
            <w:tcW w:w="1191" w:type="dxa"/>
          </w:tcPr>
          <w:p w14:paraId="51562B5B" w14:textId="77777777" w:rsidR="00B02873" w:rsidRDefault="00B02873" w:rsidP="00AA10FB">
            <w:pPr>
              <w:pStyle w:val="TablebodyleftFinancialsTables"/>
              <w:jc w:val="right"/>
            </w:pPr>
            <w:r>
              <w:t>(10,564)</w:t>
            </w:r>
          </w:p>
        </w:tc>
        <w:tc>
          <w:tcPr>
            <w:tcW w:w="1190" w:type="dxa"/>
          </w:tcPr>
          <w:p w14:paraId="71CA1377" w14:textId="77777777" w:rsidR="00B02873" w:rsidRPr="00AA10FB" w:rsidRDefault="00B02873" w:rsidP="00AA10FB">
            <w:pPr>
              <w:pStyle w:val="TablebodyleftFinancialsTables"/>
              <w:jc w:val="right"/>
              <w:rPr>
                <w:b/>
                <w:bCs/>
              </w:rPr>
            </w:pPr>
            <w:r w:rsidRPr="00AA10FB">
              <w:rPr>
                <w:b/>
                <w:bCs/>
              </w:rPr>
              <w:t>–</w:t>
            </w:r>
          </w:p>
        </w:tc>
        <w:tc>
          <w:tcPr>
            <w:tcW w:w="1191" w:type="dxa"/>
          </w:tcPr>
          <w:p w14:paraId="7059B6CF" w14:textId="77777777" w:rsidR="00B02873" w:rsidRDefault="00B02873" w:rsidP="00AA10FB">
            <w:pPr>
              <w:pStyle w:val="TablebodyleftFinancialsTables"/>
              <w:jc w:val="right"/>
            </w:pPr>
            <w:r>
              <w:t>–</w:t>
            </w:r>
          </w:p>
        </w:tc>
        <w:tc>
          <w:tcPr>
            <w:tcW w:w="1049" w:type="dxa"/>
          </w:tcPr>
          <w:p w14:paraId="3CC729B2" w14:textId="77777777" w:rsidR="00B02873" w:rsidRPr="00AA10FB" w:rsidRDefault="00B02873" w:rsidP="00AA10FB">
            <w:pPr>
              <w:pStyle w:val="TablebodyleftFinancialsTables"/>
              <w:jc w:val="right"/>
              <w:rPr>
                <w:b/>
                <w:bCs/>
              </w:rPr>
            </w:pPr>
            <w:r w:rsidRPr="00AA10FB">
              <w:rPr>
                <w:b/>
                <w:bCs/>
              </w:rPr>
              <w:t>(10,699)</w:t>
            </w:r>
          </w:p>
        </w:tc>
        <w:tc>
          <w:tcPr>
            <w:tcW w:w="992" w:type="dxa"/>
          </w:tcPr>
          <w:p w14:paraId="3F976D4D" w14:textId="77777777" w:rsidR="00B02873" w:rsidRDefault="00B02873" w:rsidP="00AA10FB">
            <w:pPr>
              <w:pStyle w:val="TablebodyleftFinancialsTables"/>
              <w:jc w:val="right"/>
            </w:pPr>
            <w:r>
              <w:t>(10,564)</w:t>
            </w:r>
          </w:p>
        </w:tc>
      </w:tr>
      <w:tr w:rsidR="00B02873" w:rsidRPr="00B02873" w14:paraId="77C89612" w14:textId="77777777" w:rsidTr="00AA10FB">
        <w:trPr>
          <w:trHeight w:val="60"/>
        </w:trPr>
        <w:tc>
          <w:tcPr>
            <w:tcW w:w="2830" w:type="dxa"/>
          </w:tcPr>
          <w:p w14:paraId="1EEF1F8A" w14:textId="77777777" w:rsidR="00B02873" w:rsidRPr="00AA10FB" w:rsidRDefault="00B02873" w:rsidP="00AA10FB">
            <w:pPr>
              <w:pStyle w:val="TablebodyleftFinancialsTables"/>
              <w:rPr>
                <w:b/>
                <w:bCs/>
              </w:rPr>
            </w:pPr>
            <w:r w:rsidRPr="00AA10FB">
              <w:rPr>
                <w:b/>
                <w:bCs/>
              </w:rPr>
              <w:t>Total other economic flows included in net result</w:t>
            </w:r>
          </w:p>
        </w:tc>
        <w:tc>
          <w:tcPr>
            <w:tcW w:w="1191" w:type="dxa"/>
          </w:tcPr>
          <w:p w14:paraId="5699A1FC" w14:textId="77777777" w:rsidR="00B02873" w:rsidRPr="00AA10FB" w:rsidRDefault="00B02873" w:rsidP="00AA10FB">
            <w:pPr>
              <w:pStyle w:val="TablebodyleftFinancialsTables"/>
              <w:jc w:val="right"/>
              <w:rPr>
                <w:b/>
                <w:bCs/>
              </w:rPr>
            </w:pPr>
            <w:r w:rsidRPr="00AA10FB">
              <w:rPr>
                <w:b/>
                <w:bCs/>
              </w:rPr>
              <w:t>(122)</w:t>
            </w:r>
          </w:p>
        </w:tc>
        <w:tc>
          <w:tcPr>
            <w:tcW w:w="1191" w:type="dxa"/>
          </w:tcPr>
          <w:p w14:paraId="5EE82ADE" w14:textId="77777777" w:rsidR="00B02873" w:rsidRDefault="00B02873" w:rsidP="00AA10FB">
            <w:pPr>
              <w:pStyle w:val="TablebodyleftFinancialsTables"/>
              <w:jc w:val="right"/>
            </w:pPr>
            <w:r>
              <w:t>(279)</w:t>
            </w:r>
          </w:p>
        </w:tc>
        <w:tc>
          <w:tcPr>
            <w:tcW w:w="1190" w:type="dxa"/>
          </w:tcPr>
          <w:p w14:paraId="0BC17D30" w14:textId="77777777" w:rsidR="00B02873" w:rsidRPr="00AA10FB" w:rsidRDefault="00B02873" w:rsidP="00AA10FB">
            <w:pPr>
              <w:pStyle w:val="TablebodyleftFinancialsTables"/>
              <w:jc w:val="right"/>
              <w:rPr>
                <w:b/>
                <w:bCs/>
              </w:rPr>
            </w:pPr>
            <w:r w:rsidRPr="00AA10FB">
              <w:rPr>
                <w:b/>
                <w:bCs/>
              </w:rPr>
              <w:t>3,247</w:t>
            </w:r>
          </w:p>
        </w:tc>
        <w:tc>
          <w:tcPr>
            <w:tcW w:w="1191" w:type="dxa"/>
          </w:tcPr>
          <w:p w14:paraId="18EC5B8E" w14:textId="77777777" w:rsidR="00B02873" w:rsidRDefault="00B02873" w:rsidP="00AA10FB">
            <w:pPr>
              <w:pStyle w:val="TablebodyleftFinancialsTables"/>
              <w:jc w:val="right"/>
            </w:pPr>
            <w:r>
              <w:t>(1,410)</w:t>
            </w:r>
          </w:p>
        </w:tc>
        <w:tc>
          <w:tcPr>
            <w:tcW w:w="1049" w:type="dxa"/>
          </w:tcPr>
          <w:p w14:paraId="3E810425" w14:textId="77777777" w:rsidR="00B02873" w:rsidRPr="00AA10FB" w:rsidRDefault="00B02873" w:rsidP="00AA10FB">
            <w:pPr>
              <w:pStyle w:val="TablebodyleftFinancialsTables"/>
              <w:jc w:val="right"/>
              <w:rPr>
                <w:b/>
                <w:bCs/>
              </w:rPr>
            </w:pPr>
            <w:r w:rsidRPr="00AA10FB">
              <w:rPr>
                <w:b/>
                <w:bCs/>
              </w:rPr>
              <w:t>3,125</w:t>
            </w:r>
          </w:p>
        </w:tc>
        <w:tc>
          <w:tcPr>
            <w:tcW w:w="992" w:type="dxa"/>
          </w:tcPr>
          <w:p w14:paraId="7688C3B3" w14:textId="77777777" w:rsidR="00B02873" w:rsidRDefault="00B02873" w:rsidP="00AA10FB">
            <w:pPr>
              <w:pStyle w:val="TablebodyleftFinancialsTables"/>
              <w:jc w:val="right"/>
            </w:pPr>
            <w:r>
              <w:t>(1,689)</w:t>
            </w:r>
          </w:p>
        </w:tc>
      </w:tr>
    </w:tbl>
    <w:p w14:paraId="65322E0B" w14:textId="77777777" w:rsidR="00B02873" w:rsidRDefault="00B02873" w:rsidP="00FE198A"/>
    <w:p w14:paraId="511D3F6D" w14:textId="77777777" w:rsidR="00B02873" w:rsidRDefault="00B02873" w:rsidP="00FE198A">
      <w:r>
        <w:t xml:space="preserve">The accounting policies for the joint operations’ non-current assets are outlined below. </w:t>
      </w:r>
    </w:p>
    <w:p w14:paraId="6A1713DC" w14:textId="77777777" w:rsidR="00B02873" w:rsidRDefault="00B02873" w:rsidP="00AA10FB">
      <w:pPr>
        <w:pStyle w:val="Heading4"/>
      </w:pPr>
      <w:r>
        <w:lastRenderedPageBreak/>
        <w:t>River Murray Operations – Non-current assets</w:t>
      </w:r>
    </w:p>
    <w:p w14:paraId="1261C1E8" w14:textId="77777777" w:rsidR="00B02873" w:rsidRDefault="00B02873" w:rsidP="00AA10FB">
      <w:pPr>
        <w:pStyle w:val="Heading5"/>
      </w:pPr>
      <w:r>
        <w:t>Asset recognition threshold</w:t>
      </w:r>
    </w:p>
    <w:p w14:paraId="4B5892BC" w14:textId="7AF5423A" w:rsidR="00B02873" w:rsidRDefault="00B02873" w:rsidP="00FE198A">
      <w:r>
        <w:t>Infrastructure assets are recognised initially at cost in the ‘Statement of Financial Position’. Infrastructure assets are not recognised unless the cost exceeds $10,000; whilst plant and equipment assets are recognised when the cost exceeds $2,000. If individual assets below the thresholds form part of a group of similar assets which are significant in total these items are required to be recognised.</w:t>
      </w:r>
    </w:p>
    <w:p w14:paraId="20020BA4" w14:textId="77777777" w:rsidR="00B02873" w:rsidRDefault="00B02873" w:rsidP="00AA10FB">
      <w:pPr>
        <w:pStyle w:val="Heading5"/>
      </w:pPr>
      <w:r>
        <w:t>Acquisition of assets</w:t>
      </w:r>
    </w:p>
    <w:p w14:paraId="09856826" w14:textId="77777777" w:rsidR="00B02873" w:rsidRDefault="00B02873" w:rsidP="00FE198A">
      <w:r>
        <w:t>Assets acquired during the year are recorded at cost on acquisition. The cost of acquisition includes the fair value of assets transferred in exchange and liabilities undertaken.</w:t>
      </w:r>
    </w:p>
    <w:p w14:paraId="5DF93DEA" w14:textId="77777777" w:rsidR="00B02873" w:rsidRDefault="00B02873" w:rsidP="00AA10FB">
      <w:pPr>
        <w:pStyle w:val="Heading5"/>
      </w:pPr>
      <w:r>
        <w:t>Revaluations</w:t>
      </w:r>
    </w:p>
    <w:p w14:paraId="3DC9181E" w14:textId="5A41574A" w:rsidR="00B02873" w:rsidRDefault="00B02873" w:rsidP="00FE198A">
      <w:r>
        <w:t xml:space="preserve">Infrastructure assets are recorded at fair value (based on current replacement cost at the date of revaluation) less any subsequent accumulated depreciation and subsequent accumulated impairment losses in accordance with AASB 116 </w:t>
      </w:r>
      <w:r w:rsidRPr="00AA10FB">
        <w:rPr>
          <w:rStyle w:val="LightItalic"/>
          <w:rFonts w:asciiTheme="minorHAnsi" w:hAnsiTheme="minorHAnsi" w:cstheme="minorHAnsi"/>
        </w:rPr>
        <w:t>Property, Plant and Equipment</w:t>
      </w:r>
      <w:r w:rsidRPr="00AA10FB">
        <w:rPr>
          <w:rFonts w:asciiTheme="minorHAnsi" w:hAnsiTheme="minorHAnsi" w:cstheme="minorHAnsi"/>
        </w:rPr>
        <w:t>,</w:t>
      </w:r>
      <w:r>
        <w:t xml:space="preserve"> AASB 13 </w:t>
      </w:r>
      <w:r w:rsidRPr="00AA10FB">
        <w:rPr>
          <w:rStyle w:val="LightItalic"/>
          <w:rFonts w:asciiTheme="minorHAnsi" w:hAnsiTheme="minorHAnsi" w:cstheme="minorHAnsi"/>
        </w:rPr>
        <w:t>Fair Value Measurement</w:t>
      </w:r>
      <w:r w:rsidRPr="00AA10FB">
        <w:rPr>
          <w:rFonts w:asciiTheme="minorHAnsi" w:hAnsiTheme="minorHAnsi" w:cstheme="minorHAnsi"/>
        </w:rPr>
        <w:t xml:space="preserve"> </w:t>
      </w:r>
      <w:r>
        <w:t xml:space="preserve">and AASB 136 </w:t>
      </w:r>
      <w:r w:rsidRPr="00AA10FB">
        <w:rPr>
          <w:rStyle w:val="LightItalic"/>
          <w:rFonts w:asciiTheme="minorHAnsi" w:hAnsiTheme="minorHAnsi" w:cstheme="minorHAnsi"/>
        </w:rPr>
        <w:t>Impairment of Assets</w:t>
      </w:r>
      <w:r>
        <w:t>.</w:t>
      </w:r>
    </w:p>
    <w:p w14:paraId="66AF1621" w14:textId="77777777" w:rsidR="00B02873" w:rsidRDefault="00B02873" w:rsidP="00FE198A">
      <w:r>
        <w:t xml:space="preserve">Infrastructure assets are revalued by an independent external asset valuer on behalf of the Authority on a three year cycle. In the intervening two years of the revaluation cycle, infrastructure asset values are assessed by means of an internal management valuation. The latter is an indexation based valuation using the relevant market indices. An independent external valuation was undertaken for the financial year ended 30 June 2022. </w:t>
      </w:r>
    </w:p>
    <w:p w14:paraId="65F0EB05" w14:textId="77777777" w:rsidR="00B02873" w:rsidRDefault="00B02873" w:rsidP="00FE198A">
      <w:r>
        <w:t>The joint venture’s plant and equipment is measured using the cost approach and the assets depreciated cost less any accumulated depreciation or impairment.</w:t>
      </w:r>
    </w:p>
    <w:p w14:paraId="66750265" w14:textId="77777777" w:rsidR="00B02873" w:rsidRDefault="00B02873" w:rsidP="00FE198A">
      <w:r>
        <w:t>Work in progress, flooding easements, and equitable interest in land are carried at cost less any impairment.</w:t>
      </w:r>
    </w:p>
    <w:p w14:paraId="31E9C5E4" w14:textId="77777777" w:rsidR="00B02873" w:rsidRDefault="00B02873" w:rsidP="00AA10FB">
      <w:pPr>
        <w:pStyle w:val="Heading4"/>
      </w:pPr>
      <w:r>
        <w:t>Living Murray Initiative – Intangible assets (water entitlements)</w:t>
      </w:r>
    </w:p>
    <w:p w14:paraId="70599690" w14:textId="5DB06ECA" w:rsidR="00B02873" w:rsidRDefault="00B02873" w:rsidP="00FE198A">
      <w:r>
        <w:t>The Authority and the Living Murray governments undertake market based and infrastructure improvements based savings measures to recover water entitlements. On completion, a measure is recorded on the ‘Environmental Water Register’ and recognised as an ‘Intangible Asset’ in the LMI</w:t>
      </w:r>
      <w:r w:rsidR="000C45FC">
        <w:t xml:space="preserve"> – </w:t>
      </w:r>
      <w:r>
        <w:t>Joint Venture accounts.</w:t>
      </w:r>
    </w:p>
    <w:p w14:paraId="37F2113E" w14:textId="77777777" w:rsidR="00B02873" w:rsidRDefault="00B02873" w:rsidP="008B04A9">
      <w:pPr>
        <w:pStyle w:val="Normalbeforebullet"/>
      </w:pPr>
      <w:r>
        <w:t>Water entitlements acquired for LMI purpose are:</w:t>
      </w:r>
    </w:p>
    <w:p w14:paraId="5C8C45F9" w14:textId="181558E8" w:rsidR="00B02873" w:rsidRDefault="00B02873" w:rsidP="001128B1">
      <w:pPr>
        <w:pStyle w:val="NumberaLists"/>
        <w:numPr>
          <w:ilvl w:val="0"/>
          <w:numId w:val="29"/>
        </w:numPr>
      </w:pPr>
      <w:r>
        <w:t>water access rights, water delivery rights, irrigation rights or other similar rights relating to water; or</w:t>
      </w:r>
    </w:p>
    <w:p w14:paraId="0C65421E" w14:textId="6AF70206" w:rsidR="00B02873" w:rsidRDefault="00B02873" w:rsidP="001E0F51">
      <w:pPr>
        <w:pStyle w:val="NumberaLists"/>
      </w:pPr>
      <w:r>
        <w:t>interests in, or in relation to, such rights; that are held by a person for the purpose of the LMI.</w:t>
      </w:r>
    </w:p>
    <w:p w14:paraId="23A63884" w14:textId="77777777" w:rsidR="00B02873" w:rsidRDefault="00B02873" w:rsidP="008A18D4">
      <w:pPr>
        <w:pStyle w:val="Heading5"/>
      </w:pPr>
      <w:r>
        <w:t>Work in Progress</w:t>
      </w:r>
    </w:p>
    <w:p w14:paraId="3AD2DB99" w14:textId="77777777" w:rsidR="00B02873" w:rsidRDefault="00B02873" w:rsidP="00FE198A">
      <w:r>
        <w:t>The Authority and the Living Murray governments undertake market based, infrastructure improvements, a mix of infrastructure and regulatory and other mechanisms based measures to recover water entitlements.</w:t>
      </w:r>
    </w:p>
    <w:p w14:paraId="463F4689" w14:textId="46A25483" w:rsidR="00B02873" w:rsidRDefault="00B02873" w:rsidP="00FE198A">
      <w:r>
        <w:t>Prior to completion and formal approval of the measure, expenditure is recognised as ‘Work in Progress’ in the LMI</w:t>
      </w:r>
      <w:r w:rsidR="000C45FC">
        <w:t xml:space="preserve"> – </w:t>
      </w:r>
      <w:r>
        <w:t>Joint Venture financial accounts. On completion and approval the measure is listed in the ‘Environmental Water Register’ and recognised as an ‘Intangible Asset’.</w:t>
      </w:r>
    </w:p>
    <w:p w14:paraId="0481DA54" w14:textId="77777777" w:rsidR="00B02873" w:rsidRDefault="00B02873" w:rsidP="008A18D4">
      <w:pPr>
        <w:pStyle w:val="Heading5"/>
      </w:pPr>
      <w:r>
        <w:lastRenderedPageBreak/>
        <w:t xml:space="preserve">Valuation </w:t>
      </w:r>
    </w:p>
    <w:p w14:paraId="04A172DB" w14:textId="77777777" w:rsidR="00B02873" w:rsidRDefault="00B02873" w:rsidP="00FE198A">
      <w:r>
        <w:t xml:space="preserve">Under AASB 138 </w:t>
      </w:r>
      <w:r w:rsidRPr="008A18D4">
        <w:rPr>
          <w:rStyle w:val="LightItalic"/>
          <w:rFonts w:asciiTheme="minorHAnsi" w:hAnsiTheme="minorHAnsi" w:cstheme="minorHAnsi"/>
        </w:rPr>
        <w:t>Intangible Assets</w:t>
      </w:r>
      <w:r>
        <w:t xml:space="preserve">, intangible assets are required to be disclosed at cost or fair value. Fair value can only be applied if it can be shown that an active market exists for all intangible assets within the same class. Water licences are considered intangible assets and it has been assessed by an independent expert (KPMG) that there was no active market for water entitlements consistent with the recognition criteria set out in AASB 13 </w:t>
      </w:r>
      <w:r w:rsidRPr="008A18D4">
        <w:rPr>
          <w:rStyle w:val="LightItalic"/>
          <w:rFonts w:asciiTheme="minorHAnsi" w:hAnsiTheme="minorHAnsi" w:cstheme="minorHAnsi"/>
        </w:rPr>
        <w:t>Fair Value Measurement</w:t>
      </w:r>
      <w:r>
        <w:t>. Accordingly, these licences (both completed measures and work in progress) are carried at cost less any accumulated amortisation and impairment losses.</w:t>
      </w:r>
    </w:p>
    <w:p w14:paraId="40BFE0B9" w14:textId="77777777" w:rsidR="00B02873" w:rsidRDefault="00B02873" w:rsidP="00FE198A">
      <w:pPr>
        <w:rPr>
          <w:spacing w:val="-2"/>
        </w:rPr>
      </w:pPr>
      <w:r>
        <w:rPr>
          <w:spacing w:val="-2"/>
        </w:rPr>
        <w:t>In the event of the availability of the water allocation, a measure within a Work in Progress can be listed as an ‘Interim Listing’ in the ‘Environmental Water Register’. A measure will remain in Work in Progress until the proponent is satisfied that the project is complete</w:t>
      </w:r>
    </w:p>
    <w:p w14:paraId="1C1CF6A5" w14:textId="77777777" w:rsidR="00B02873" w:rsidRDefault="00B02873" w:rsidP="008A18D4">
      <w:pPr>
        <w:pStyle w:val="Heading4"/>
      </w:pPr>
      <w:r>
        <w:t xml:space="preserve">4.2.4 Commercialisation of land titles and registry functions of Land Use Victoria </w:t>
      </w:r>
    </w:p>
    <w:p w14:paraId="1E2EDED3" w14:textId="4A820FAB" w:rsidR="00B02873" w:rsidRDefault="00B02873" w:rsidP="00FE198A">
      <w:r>
        <w:t xml:space="preserve">In September 2018, the state of Victoria granted a concession to operate part of the land titles and registry functions of the department for $2.8 billion. </w:t>
      </w:r>
    </w:p>
    <w:p w14:paraId="0727180D" w14:textId="77777777" w:rsidR="00B02873" w:rsidRDefault="00B02873" w:rsidP="00FE198A">
      <w:r>
        <w:t>The Victorian Land Registry Services (VLRS) now known as Secure Electronic Registries Victoria (SERV), are responsible for part of the registration, Landata and system functions of Land Use Victoria for a 40 year term, after which the functions will be returned to the department.</w:t>
      </w:r>
    </w:p>
    <w:p w14:paraId="01D26492" w14:textId="77777777" w:rsidR="00B02873" w:rsidRDefault="00B02873" w:rsidP="00FE198A">
      <w:r>
        <w:t>The arrangement provides SERV with access to the State Material Licence, which includes all state data, operating manual, state software, and the rights to provide operator and non-statutory services (e.g. certain title and LANDATA© search products and property certificates).</w:t>
      </w:r>
    </w:p>
    <w:p w14:paraId="7F68F134" w14:textId="77777777" w:rsidR="00B02873" w:rsidRDefault="00B02873" w:rsidP="00FE198A">
      <w:r>
        <w:t>The Registrar of Titles has remained with the state and has retained all statutory obligations and powers. The Registrar of Titles is responsible for preserving the integrity and security of the land register and enforcing service standards. The state will also continue to own the land registry data and provide the State Guarantee of title.</w:t>
      </w:r>
    </w:p>
    <w:p w14:paraId="77FA529F" w14:textId="77777777" w:rsidR="00B02873" w:rsidRDefault="00B02873" w:rsidP="00FE198A">
      <w:r>
        <w:t xml:space="preserve">The state pays a service fee to SERV for the services it provides being private operator registration services and Landata services and this has been disclosed as contract and professional services in Note 3.1.4 </w:t>
      </w:r>
      <w:r w:rsidRPr="008A18D4">
        <w:rPr>
          <w:rStyle w:val="LightItalic"/>
          <w:rFonts w:asciiTheme="minorHAnsi" w:hAnsiTheme="minorHAnsi" w:cstheme="minorHAnsi"/>
        </w:rPr>
        <w:t>Supplies and services</w:t>
      </w:r>
      <w:r>
        <w:t>.</w:t>
      </w:r>
    </w:p>
    <w:p w14:paraId="5940A2E8" w14:textId="77777777" w:rsidR="00B02873" w:rsidRDefault="00B02873" w:rsidP="00FE198A">
      <w:r>
        <w:t>There is no specific minimal payment commitment, the ongoing periodic services fees are calculated based on the volume of items processed by SERV and this may include transactions processed via over the counter service and online services.</w:t>
      </w:r>
    </w:p>
    <w:p w14:paraId="1FB695F2" w14:textId="77777777" w:rsidR="00B02873" w:rsidRDefault="00B02873" w:rsidP="008A18D4">
      <w:pPr>
        <w:pStyle w:val="Heading5"/>
      </w:pPr>
      <w:r>
        <w:t>Grant of right to operate (GORTO) liability</w:t>
      </w:r>
    </w:p>
    <w:p w14:paraId="3AA31B76" w14:textId="0E66015C" w:rsidR="00B02873" w:rsidRDefault="00B02873" w:rsidP="00FE198A">
      <w:r>
        <w:t xml:space="preserve">The upfront consideration of $2.8 billion received in 2018 from SERV is recognised as a GORTO liability under AASB 1059. Since initial recognition, revenue (refer to Note 4.2.1 </w:t>
      </w:r>
      <w:r w:rsidRPr="008A18D4">
        <w:rPr>
          <w:rStyle w:val="LightItalic"/>
          <w:rFonts w:asciiTheme="minorHAnsi" w:hAnsiTheme="minorHAnsi" w:cstheme="minorHAnsi"/>
        </w:rPr>
        <w:t>Administered income and expenses</w:t>
      </w:r>
      <w:r w:rsidRPr="008A18D4">
        <w:rPr>
          <w:rFonts w:asciiTheme="minorHAnsi" w:hAnsiTheme="minorHAnsi" w:cstheme="minorHAnsi"/>
        </w:rPr>
        <w:t>)</w:t>
      </w:r>
      <w:r>
        <w:t xml:space="preserve"> has been recognised on a straight-line basis and the liability reduced simultaneously. This will continue over the remaining 40-year term. </w:t>
      </w:r>
    </w:p>
    <w:p w14:paraId="1E6160B3" w14:textId="77777777" w:rsidR="00B02873" w:rsidRDefault="00B02873" w:rsidP="008A18D4">
      <w:pPr>
        <w:pStyle w:val="Heading5"/>
      </w:pPr>
      <w:r>
        <w:t>Service concession intangible asset</w:t>
      </w:r>
    </w:p>
    <w:p w14:paraId="18C77CE9" w14:textId="25E883A4" w:rsidR="00B02873" w:rsidRDefault="00B02873" w:rsidP="00FE198A">
      <w:r>
        <w:t>The Land Registry Services (LRS) software (the Victorian Online Titles System – VOTS) and the Titling and Registry database (database) of LRS are recognised as service concession intangible assets.</w:t>
      </w:r>
    </w:p>
    <w:p w14:paraId="380FADDE" w14:textId="581E8212" w:rsidR="00B02873" w:rsidRDefault="00B02873" w:rsidP="00FE198A">
      <w:r>
        <w:t xml:space="preserve">According to AASB 1059, fair value measurement of the two intangible assets are measured in reference to current replacement cost in AASB 13 </w:t>
      </w:r>
      <w:r w:rsidRPr="008A18D4">
        <w:rPr>
          <w:rStyle w:val="LightItalic"/>
          <w:rFonts w:asciiTheme="minorHAnsi" w:hAnsiTheme="minorHAnsi" w:cstheme="minorHAnsi"/>
        </w:rPr>
        <w:t>Fair Value Measurement</w:t>
      </w:r>
      <w:r>
        <w:t>, where the market value of an asset is determined by reference to the reproduction or replacement cost of new modern equivalent assets, optimised for over-design, over-capacity and redundant assets, and adjusted to reflect losses in value attributable to physical depreciation and obsolescence.</w:t>
      </w:r>
    </w:p>
    <w:p w14:paraId="4C8DF278" w14:textId="52A684E1" w:rsidR="00B02873" w:rsidRDefault="00B02873" w:rsidP="00FE198A">
      <w:r>
        <w:lastRenderedPageBreak/>
        <w:t>The fair value of the titling and registry database asset is performed by directly measuring the current replacement cost of the 2001 registers digitalisation, and additional records from 2001 to the balance date (manual and digital). The calculation is based on the estimated replacement costs of each record that has been captured in the register, and the actual volume of the records digitalised in 2001 and additional records from 2001 to balance date. The effective date of the current valuation is 30 June 2022. The net gain or loss in the fair value is recognised as other comprehensive income in the physical asset revaluation surplus.</w:t>
      </w:r>
    </w:p>
    <w:p w14:paraId="7C9BB0BE" w14:textId="59448CFF" w:rsidR="00B02873" w:rsidRDefault="00B02873" w:rsidP="00FE198A">
      <w:r>
        <w:t>The fair value of VOTS is measured indirectly based on the historical cost of the system, which is adjusted for inflation and obsolescence. The calculation also depends on the assumptions that the total of inflated historical cost and the modernisation spending is a good proxy of replacement cost of the new system, while useful life driven amortisation represents the obsolescence. The effective date of the current valuation is 30 June 2022.</w:t>
      </w:r>
    </w:p>
    <w:p w14:paraId="7BD87057" w14:textId="77777777" w:rsidR="00B02873" w:rsidRDefault="00B02873" w:rsidP="00FE198A">
      <w:r>
        <w:t>The software asset is depreciated over the useful life of 10 years and the fair value is reassessed at each year end period. The database has an infinite useful life and is not a depreciable asset.</w:t>
      </w:r>
    </w:p>
    <w:tbl>
      <w:tblPr>
        <w:tblStyle w:val="TableGrid"/>
        <w:tblW w:w="9776" w:type="dxa"/>
        <w:tblLayout w:type="fixed"/>
        <w:tblLook w:val="0020" w:firstRow="1" w:lastRow="0" w:firstColumn="0" w:lastColumn="0" w:noHBand="0" w:noVBand="0"/>
      </w:tblPr>
      <w:tblGrid>
        <w:gridCol w:w="3397"/>
        <w:gridCol w:w="1332"/>
        <w:gridCol w:w="1682"/>
        <w:gridCol w:w="1682"/>
        <w:gridCol w:w="1683"/>
      </w:tblGrid>
      <w:tr w:rsidR="00B02873" w:rsidRPr="0075604C" w14:paraId="70DB07F4" w14:textId="77777777" w:rsidTr="0075604C">
        <w:trPr>
          <w:cnfStyle w:val="100000000000" w:firstRow="1" w:lastRow="0" w:firstColumn="0" w:lastColumn="0" w:oddVBand="0" w:evenVBand="0" w:oddHBand="0" w:evenHBand="0" w:firstRowFirstColumn="0" w:firstRowLastColumn="0" w:lastRowFirstColumn="0" w:lastRowLastColumn="0"/>
          <w:trHeight w:val="60"/>
        </w:trPr>
        <w:tc>
          <w:tcPr>
            <w:tcW w:w="3397" w:type="dxa"/>
          </w:tcPr>
          <w:p w14:paraId="1FE8CAC1" w14:textId="77777777" w:rsidR="00B02873" w:rsidRPr="0075604C" w:rsidRDefault="00B02873" w:rsidP="008A18D4">
            <w:pPr>
              <w:pStyle w:val="TableheadingleftFinancialsTables"/>
              <w:rPr>
                <w:rFonts w:asciiTheme="minorHAnsi" w:hAnsiTheme="minorHAnsi" w:cstheme="minorHAnsi"/>
                <w:sz w:val="18"/>
                <w:szCs w:val="14"/>
              </w:rPr>
            </w:pPr>
          </w:p>
        </w:tc>
        <w:tc>
          <w:tcPr>
            <w:tcW w:w="1332" w:type="dxa"/>
          </w:tcPr>
          <w:p w14:paraId="40B71AC4" w14:textId="5B7A986F" w:rsidR="00B02873" w:rsidRPr="0075604C" w:rsidRDefault="008A18D4" w:rsidP="0075604C">
            <w:pPr>
              <w:pStyle w:val="TableheadingleftFinancialsTables"/>
              <w:jc w:val="right"/>
              <w:rPr>
                <w:rFonts w:asciiTheme="minorHAnsi" w:hAnsiTheme="minorHAnsi" w:cstheme="minorHAnsi"/>
                <w:sz w:val="18"/>
                <w:szCs w:val="14"/>
              </w:rPr>
            </w:pPr>
            <w:r w:rsidRPr="0075604C">
              <w:rPr>
                <w:rFonts w:asciiTheme="minorHAnsi" w:hAnsiTheme="minorHAnsi" w:cstheme="minorHAnsi"/>
                <w:sz w:val="18"/>
                <w:szCs w:val="14"/>
              </w:rPr>
              <w:t xml:space="preserve">Carrying amount </w:t>
            </w:r>
            <w:r w:rsidR="0075604C">
              <w:rPr>
                <w:rFonts w:asciiTheme="minorHAnsi" w:hAnsiTheme="minorHAnsi" w:cstheme="minorHAnsi"/>
                <w:sz w:val="18"/>
                <w:szCs w:val="14"/>
              </w:rPr>
              <w:br/>
            </w:r>
            <w:r w:rsidR="00B02873" w:rsidRPr="0075604C">
              <w:rPr>
                <w:rFonts w:asciiTheme="minorHAnsi" w:hAnsiTheme="minorHAnsi" w:cstheme="minorHAnsi"/>
                <w:sz w:val="18"/>
                <w:szCs w:val="14"/>
              </w:rPr>
              <w:t>$’000</w:t>
            </w:r>
          </w:p>
        </w:tc>
        <w:tc>
          <w:tcPr>
            <w:tcW w:w="1682" w:type="dxa"/>
          </w:tcPr>
          <w:p w14:paraId="4B8AA413" w14:textId="2A609073" w:rsidR="00B02873" w:rsidRPr="0075604C" w:rsidRDefault="0075604C" w:rsidP="0075604C">
            <w:pPr>
              <w:pStyle w:val="TableheadingleftFinancialsTables"/>
              <w:jc w:val="right"/>
              <w:rPr>
                <w:rFonts w:asciiTheme="minorHAnsi" w:hAnsiTheme="minorHAnsi" w:cstheme="minorHAnsi"/>
                <w:sz w:val="18"/>
                <w:szCs w:val="14"/>
              </w:rPr>
            </w:pPr>
            <w:r w:rsidRPr="0075604C">
              <w:rPr>
                <w:rFonts w:asciiTheme="minorHAnsi" w:hAnsiTheme="minorHAnsi" w:cstheme="minorHAnsi"/>
                <w:sz w:val="18"/>
                <w:szCs w:val="14"/>
              </w:rPr>
              <w:t xml:space="preserve">Fair value measurement at end of financial year using: </w:t>
            </w:r>
            <w:r>
              <w:rPr>
                <w:rFonts w:asciiTheme="minorHAnsi" w:hAnsiTheme="minorHAnsi" w:cstheme="minorHAnsi"/>
                <w:sz w:val="18"/>
                <w:szCs w:val="14"/>
              </w:rPr>
              <w:br/>
            </w:r>
            <w:r w:rsidR="00B02873" w:rsidRPr="0075604C">
              <w:rPr>
                <w:rFonts w:asciiTheme="minorHAnsi" w:hAnsiTheme="minorHAnsi" w:cstheme="minorHAnsi"/>
                <w:sz w:val="18"/>
                <w:szCs w:val="14"/>
              </w:rPr>
              <w:t>Level 1</w:t>
            </w:r>
            <w:r w:rsidR="00B02873" w:rsidRPr="0075604C">
              <w:rPr>
                <w:rFonts w:asciiTheme="minorHAnsi" w:hAnsiTheme="minorHAnsi" w:cstheme="minorHAnsi"/>
                <w:sz w:val="18"/>
                <w:szCs w:val="14"/>
              </w:rPr>
              <w:br/>
              <w:t>$’000</w:t>
            </w:r>
          </w:p>
        </w:tc>
        <w:tc>
          <w:tcPr>
            <w:tcW w:w="1682" w:type="dxa"/>
          </w:tcPr>
          <w:p w14:paraId="20C542B3" w14:textId="46ADCDE5" w:rsidR="00B02873" w:rsidRPr="0075604C" w:rsidRDefault="0075604C" w:rsidP="0075604C">
            <w:pPr>
              <w:pStyle w:val="TableheadingleftFinancialsTables"/>
              <w:jc w:val="right"/>
              <w:rPr>
                <w:rFonts w:asciiTheme="minorHAnsi" w:hAnsiTheme="minorHAnsi" w:cstheme="minorHAnsi"/>
                <w:sz w:val="18"/>
                <w:szCs w:val="14"/>
              </w:rPr>
            </w:pPr>
            <w:r w:rsidRPr="0075604C">
              <w:rPr>
                <w:rFonts w:asciiTheme="minorHAnsi" w:hAnsiTheme="minorHAnsi" w:cstheme="minorHAnsi"/>
                <w:sz w:val="18"/>
                <w:szCs w:val="14"/>
              </w:rPr>
              <w:t xml:space="preserve">Fair value measurement at end of financial year using: </w:t>
            </w:r>
            <w:r>
              <w:rPr>
                <w:rFonts w:asciiTheme="minorHAnsi" w:hAnsiTheme="minorHAnsi" w:cstheme="minorHAnsi"/>
                <w:sz w:val="18"/>
                <w:szCs w:val="14"/>
              </w:rPr>
              <w:br/>
            </w:r>
            <w:r w:rsidR="00B02873" w:rsidRPr="0075604C">
              <w:rPr>
                <w:rFonts w:asciiTheme="minorHAnsi" w:hAnsiTheme="minorHAnsi" w:cstheme="minorHAnsi"/>
                <w:sz w:val="18"/>
                <w:szCs w:val="14"/>
              </w:rPr>
              <w:t>Level 2</w:t>
            </w:r>
            <w:r w:rsidR="00B02873" w:rsidRPr="0075604C">
              <w:rPr>
                <w:rFonts w:asciiTheme="minorHAnsi" w:hAnsiTheme="minorHAnsi" w:cstheme="minorHAnsi"/>
                <w:sz w:val="18"/>
                <w:szCs w:val="14"/>
              </w:rPr>
              <w:br/>
              <w:t>$’000</w:t>
            </w:r>
          </w:p>
        </w:tc>
        <w:tc>
          <w:tcPr>
            <w:tcW w:w="1683" w:type="dxa"/>
          </w:tcPr>
          <w:p w14:paraId="4A9C7FAE" w14:textId="14C0B664" w:rsidR="00B02873" w:rsidRPr="0075604C" w:rsidRDefault="0075604C" w:rsidP="0075604C">
            <w:pPr>
              <w:pStyle w:val="TableheadingleftFinancialsTables"/>
              <w:jc w:val="right"/>
              <w:rPr>
                <w:rFonts w:asciiTheme="minorHAnsi" w:hAnsiTheme="minorHAnsi" w:cstheme="minorHAnsi"/>
                <w:sz w:val="18"/>
                <w:szCs w:val="14"/>
              </w:rPr>
            </w:pPr>
            <w:r w:rsidRPr="0075604C">
              <w:rPr>
                <w:rFonts w:asciiTheme="minorHAnsi" w:hAnsiTheme="minorHAnsi" w:cstheme="minorHAnsi"/>
                <w:sz w:val="18"/>
                <w:szCs w:val="14"/>
              </w:rPr>
              <w:t xml:space="preserve">Fair value measurement at end of financial year using: </w:t>
            </w:r>
            <w:r>
              <w:rPr>
                <w:rFonts w:asciiTheme="minorHAnsi" w:hAnsiTheme="minorHAnsi" w:cstheme="minorHAnsi"/>
                <w:sz w:val="18"/>
                <w:szCs w:val="14"/>
              </w:rPr>
              <w:br/>
            </w:r>
            <w:r w:rsidR="00B02873" w:rsidRPr="0075604C">
              <w:rPr>
                <w:rFonts w:asciiTheme="minorHAnsi" w:hAnsiTheme="minorHAnsi" w:cstheme="minorHAnsi"/>
                <w:sz w:val="18"/>
                <w:szCs w:val="14"/>
              </w:rPr>
              <w:t>Level 3</w:t>
            </w:r>
            <w:r w:rsidR="00B02873" w:rsidRPr="0075604C">
              <w:rPr>
                <w:rFonts w:asciiTheme="minorHAnsi" w:hAnsiTheme="minorHAnsi" w:cstheme="minorHAnsi"/>
                <w:sz w:val="18"/>
                <w:szCs w:val="14"/>
              </w:rPr>
              <w:br/>
              <w:t>$’000</w:t>
            </w:r>
          </w:p>
        </w:tc>
      </w:tr>
      <w:tr w:rsidR="00B02873" w:rsidRPr="0075604C" w14:paraId="0183C793" w14:textId="77777777" w:rsidTr="0075604C">
        <w:trPr>
          <w:trHeight w:val="60"/>
        </w:trPr>
        <w:tc>
          <w:tcPr>
            <w:tcW w:w="3397" w:type="dxa"/>
          </w:tcPr>
          <w:p w14:paraId="1DCD225D" w14:textId="77777777" w:rsidR="00B02873" w:rsidRPr="0075604C" w:rsidRDefault="00B02873" w:rsidP="008A18D4">
            <w:pPr>
              <w:pStyle w:val="TablebodyleftFinancialsTables"/>
              <w:rPr>
                <w:rFonts w:asciiTheme="minorHAnsi" w:hAnsiTheme="minorHAnsi" w:cstheme="minorHAnsi"/>
                <w:b/>
                <w:bCs/>
                <w:sz w:val="18"/>
                <w:szCs w:val="14"/>
              </w:rPr>
            </w:pPr>
            <w:r w:rsidRPr="0075604C">
              <w:rPr>
                <w:rFonts w:asciiTheme="minorHAnsi" w:hAnsiTheme="minorHAnsi" w:cstheme="minorHAnsi"/>
                <w:b/>
                <w:bCs/>
                <w:sz w:val="18"/>
                <w:szCs w:val="14"/>
              </w:rPr>
              <w:t>2022</w:t>
            </w:r>
          </w:p>
        </w:tc>
        <w:tc>
          <w:tcPr>
            <w:tcW w:w="1332" w:type="dxa"/>
          </w:tcPr>
          <w:p w14:paraId="61AC140A" w14:textId="77777777" w:rsidR="00B02873" w:rsidRPr="0075604C" w:rsidRDefault="00B02873" w:rsidP="0075604C">
            <w:pPr>
              <w:pStyle w:val="TablebodyleftFinancialsTables"/>
              <w:jc w:val="right"/>
              <w:rPr>
                <w:rFonts w:asciiTheme="minorHAnsi" w:hAnsiTheme="minorHAnsi" w:cstheme="minorHAnsi"/>
                <w:sz w:val="18"/>
                <w:szCs w:val="14"/>
              </w:rPr>
            </w:pPr>
          </w:p>
        </w:tc>
        <w:tc>
          <w:tcPr>
            <w:tcW w:w="1682" w:type="dxa"/>
          </w:tcPr>
          <w:p w14:paraId="21899DB3" w14:textId="77777777" w:rsidR="00B02873" w:rsidRPr="0075604C" w:rsidRDefault="00B02873" w:rsidP="0075604C">
            <w:pPr>
              <w:pStyle w:val="TablebodyleftFinancialsTables"/>
              <w:jc w:val="right"/>
              <w:rPr>
                <w:rFonts w:asciiTheme="minorHAnsi" w:hAnsiTheme="minorHAnsi" w:cstheme="minorHAnsi"/>
                <w:sz w:val="18"/>
                <w:szCs w:val="14"/>
              </w:rPr>
            </w:pPr>
          </w:p>
        </w:tc>
        <w:tc>
          <w:tcPr>
            <w:tcW w:w="1682" w:type="dxa"/>
          </w:tcPr>
          <w:p w14:paraId="37739C3E" w14:textId="77777777" w:rsidR="00B02873" w:rsidRPr="0075604C" w:rsidRDefault="00B02873" w:rsidP="0075604C">
            <w:pPr>
              <w:pStyle w:val="TablebodyleftFinancialsTables"/>
              <w:jc w:val="right"/>
              <w:rPr>
                <w:rFonts w:asciiTheme="minorHAnsi" w:hAnsiTheme="minorHAnsi" w:cstheme="minorHAnsi"/>
                <w:sz w:val="18"/>
                <w:szCs w:val="14"/>
              </w:rPr>
            </w:pPr>
          </w:p>
        </w:tc>
        <w:tc>
          <w:tcPr>
            <w:tcW w:w="1683" w:type="dxa"/>
          </w:tcPr>
          <w:p w14:paraId="693DC38C" w14:textId="77777777" w:rsidR="00B02873" w:rsidRPr="0075604C" w:rsidRDefault="00B02873" w:rsidP="0075604C">
            <w:pPr>
              <w:pStyle w:val="TablebodyleftFinancialsTables"/>
              <w:jc w:val="right"/>
              <w:rPr>
                <w:rFonts w:asciiTheme="minorHAnsi" w:hAnsiTheme="minorHAnsi" w:cstheme="minorHAnsi"/>
                <w:sz w:val="18"/>
                <w:szCs w:val="14"/>
              </w:rPr>
            </w:pPr>
          </w:p>
        </w:tc>
      </w:tr>
      <w:tr w:rsidR="00B02873" w:rsidRPr="0075604C" w14:paraId="77F26534" w14:textId="77777777" w:rsidTr="0075604C">
        <w:trPr>
          <w:trHeight w:val="60"/>
        </w:trPr>
        <w:tc>
          <w:tcPr>
            <w:tcW w:w="3397" w:type="dxa"/>
          </w:tcPr>
          <w:p w14:paraId="378C1397" w14:textId="77777777" w:rsidR="00B02873" w:rsidRPr="0075604C" w:rsidRDefault="00B02873" w:rsidP="008A18D4">
            <w:pPr>
              <w:pStyle w:val="TablebodyleftFinancialsTables"/>
              <w:rPr>
                <w:rFonts w:asciiTheme="minorHAnsi" w:hAnsiTheme="minorHAnsi" w:cstheme="minorHAnsi"/>
                <w:sz w:val="18"/>
                <w:szCs w:val="14"/>
              </w:rPr>
            </w:pPr>
            <w:r w:rsidRPr="0075604C">
              <w:rPr>
                <w:rFonts w:asciiTheme="minorHAnsi" w:hAnsiTheme="minorHAnsi" w:cstheme="minorHAnsi"/>
                <w:sz w:val="18"/>
                <w:szCs w:val="14"/>
              </w:rPr>
              <w:t>Victorian Online Titles System</w:t>
            </w:r>
          </w:p>
        </w:tc>
        <w:tc>
          <w:tcPr>
            <w:tcW w:w="1332" w:type="dxa"/>
          </w:tcPr>
          <w:p w14:paraId="13D862BF" w14:textId="77777777" w:rsidR="00B02873" w:rsidRPr="0075604C" w:rsidRDefault="00B02873" w:rsidP="0075604C">
            <w:pPr>
              <w:pStyle w:val="TablebodyleftFinancialsTables"/>
              <w:jc w:val="right"/>
              <w:rPr>
                <w:rFonts w:asciiTheme="minorHAnsi" w:hAnsiTheme="minorHAnsi" w:cstheme="minorHAnsi"/>
                <w:sz w:val="18"/>
                <w:szCs w:val="14"/>
              </w:rPr>
            </w:pPr>
            <w:r w:rsidRPr="0075604C">
              <w:rPr>
                <w:rFonts w:asciiTheme="minorHAnsi" w:hAnsiTheme="minorHAnsi" w:cstheme="minorHAnsi"/>
                <w:sz w:val="18"/>
                <w:szCs w:val="14"/>
              </w:rPr>
              <w:t>37,926</w:t>
            </w:r>
          </w:p>
        </w:tc>
        <w:tc>
          <w:tcPr>
            <w:tcW w:w="1682" w:type="dxa"/>
          </w:tcPr>
          <w:p w14:paraId="6F5104FD" w14:textId="77777777" w:rsidR="00B02873" w:rsidRPr="0075604C" w:rsidRDefault="00B02873" w:rsidP="0075604C">
            <w:pPr>
              <w:pStyle w:val="TablebodyleftFinancialsTables"/>
              <w:jc w:val="right"/>
              <w:rPr>
                <w:rFonts w:asciiTheme="minorHAnsi" w:hAnsiTheme="minorHAnsi" w:cstheme="minorHAnsi"/>
                <w:sz w:val="18"/>
                <w:szCs w:val="14"/>
              </w:rPr>
            </w:pPr>
            <w:r w:rsidRPr="0075604C">
              <w:rPr>
                <w:rFonts w:asciiTheme="minorHAnsi" w:hAnsiTheme="minorHAnsi" w:cstheme="minorHAnsi"/>
                <w:sz w:val="18"/>
                <w:szCs w:val="14"/>
              </w:rPr>
              <w:t>–</w:t>
            </w:r>
          </w:p>
        </w:tc>
        <w:tc>
          <w:tcPr>
            <w:tcW w:w="1682" w:type="dxa"/>
          </w:tcPr>
          <w:p w14:paraId="12394251" w14:textId="77777777" w:rsidR="00B02873" w:rsidRPr="0075604C" w:rsidRDefault="00B02873" w:rsidP="0075604C">
            <w:pPr>
              <w:pStyle w:val="TablebodyleftFinancialsTables"/>
              <w:jc w:val="right"/>
              <w:rPr>
                <w:rFonts w:asciiTheme="minorHAnsi" w:hAnsiTheme="minorHAnsi" w:cstheme="minorHAnsi"/>
                <w:sz w:val="18"/>
                <w:szCs w:val="14"/>
              </w:rPr>
            </w:pPr>
            <w:r w:rsidRPr="0075604C">
              <w:rPr>
                <w:rFonts w:asciiTheme="minorHAnsi" w:hAnsiTheme="minorHAnsi" w:cstheme="minorHAnsi"/>
                <w:sz w:val="18"/>
                <w:szCs w:val="14"/>
              </w:rPr>
              <w:t>–</w:t>
            </w:r>
          </w:p>
        </w:tc>
        <w:tc>
          <w:tcPr>
            <w:tcW w:w="1683" w:type="dxa"/>
          </w:tcPr>
          <w:p w14:paraId="39B1E030" w14:textId="77777777" w:rsidR="00B02873" w:rsidRPr="0075604C" w:rsidRDefault="00B02873" w:rsidP="0075604C">
            <w:pPr>
              <w:pStyle w:val="TablebodyleftFinancialsTables"/>
              <w:jc w:val="right"/>
              <w:rPr>
                <w:rFonts w:asciiTheme="minorHAnsi" w:hAnsiTheme="minorHAnsi" w:cstheme="minorHAnsi"/>
                <w:sz w:val="18"/>
                <w:szCs w:val="14"/>
              </w:rPr>
            </w:pPr>
            <w:r w:rsidRPr="0075604C">
              <w:rPr>
                <w:rFonts w:asciiTheme="minorHAnsi" w:hAnsiTheme="minorHAnsi" w:cstheme="minorHAnsi"/>
                <w:sz w:val="18"/>
                <w:szCs w:val="14"/>
              </w:rPr>
              <w:t>37,926</w:t>
            </w:r>
          </w:p>
        </w:tc>
      </w:tr>
      <w:tr w:rsidR="00B02873" w:rsidRPr="0075604C" w14:paraId="3E9C3D0A" w14:textId="77777777" w:rsidTr="0075604C">
        <w:trPr>
          <w:trHeight w:val="60"/>
        </w:trPr>
        <w:tc>
          <w:tcPr>
            <w:tcW w:w="3397" w:type="dxa"/>
          </w:tcPr>
          <w:p w14:paraId="29217EF1" w14:textId="77777777" w:rsidR="00B02873" w:rsidRPr="0075604C" w:rsidRDefault="00B02873" w:rsidP="008A18D4">
            <w:pPr>
              <w:pStyle w:val="TablebodyleftFinancialsTables"/>
              <w:rPr>
                <w:rFonts w:asciiTheme="minorHAnsi" w:hAnsiTheme="minorHAnsi" w:cstheme="minorHAnsi"/>
                <w:sz w:val="18"/>
                <w:szCs w:val="14"/>
              </w:rPr>
            </w:pPr>
            <w:r w:rsidRPr="0075604C">
              <w:rPr>
                <w:rFonts w:asciiTheme="minorHAnsi" w:hAnsiTheme="minorHAnsi" w:cstheme="minorHAnsi"/>
                <w:sz w:val="18"/>
                <w:szCs w:val="14"/>
              </w:rPr>
              <w:t>Titling and registry database</w:t>
            </w:r>
          </w:p>
        </w:tc>
        <w:tc>
          <w:tcPr>
            <w:tcW w:w="1332" w:type="dxa"/>
          </w:tcPr>
          <w:p w14:paraId="050FB18E" w14:textId="77777777" w:rsidR="00B02873" w:rsidRPr="0075604C" w:rsidRDefault="00B02873" w:rsidP="0075604C">
            <w:pPr>
              <w:pStyle w:val="TablebodyleftFinancialsTables"/>
              <w:jc w:val="right"/>
              <w:rPr>
                <w:rFonts w:asciiTheme="minorHAnsi" w:hAnsiTheme="minorHAnsi" w:cstheme="minorHAnsi"/>
                <w:sz w:val="18"/>
                <w:szCs w:val="14"/>
              </w:rPr>
            </w:pPr>
            <w:r w:rsidRPr="0075604C">
              <w:rPr>
                <w:rFonts w:asciiTheme="minorHAnsi" w:hAnsiTheme="minorHAnsi" w:cstheme="minorHAnsi"/>
                <w:sz w:val="18"/>
                <w:szCs w:val="14"/>
              </w:rPr>
              <w:t>474,493</w:t>
            </w:r>
          </w:p>
        </w:tc>
        <w:tc>
          <w:tcPr>
            <w:tcW w:w="1682" w:type="dxa"/>
          </w:tcPr>
          <w:p w14:paraId="461B4B6F" w14:textId="77777777" w:rsidR="00B02873" w:rsidRPr="0075604C" w:rsidRDefault="00B02873" w:rsidP="0075604C">
            <w:pPr>
              <w:pStyle w:val="TablebodyleftFinancialsTables"/>
              <w:jc w:val="right"/>
              <w:rPr>
                <w:rFonts w:asciiTheme="minorHAnsi" w:hAnsiTheme="minorHAnsi" w:cstheme="minorHAnsi"/>
                <w:sz w:val="18"/>
                <w:szCs w:val="14"/>
              </w:rPr>
            </w:pPr>
            <w:r w:rsidRPr="0075604C">
              <w:rPr>
                <w:rFonts w:asciiTheme="minorHAnsi" w:hAnsiTheme="minorHAnsi" w:cstheme="minorHAnsi"/>
                <w:sz w:val="18"/>
                <w:szCs w:val="14"/>
              </w:rPr>
              <w:t>–</w:t>
            </w:r>
          </w:p>
        </w:tc>
        <w:tc>
          <w:tcPr>
            <w:tcW w:w="1682" w:type="dxa"/>
          </w:tcPr>
          <w:p w14:paraId="2029B9AB" w14:textId="77777777" w:rsidR="00B02873" w:rsidRPr="0075604C" w:rsidRDefault="00B02873" w:rsidP="0075604C">
            <w:pPr>
              <w:pStyle w:val="TablebodyleftFinancialsTables"/>
              <w:jc w:val="right"/>
              <w:rPr>
                <w:rFonts w:asciiTheme="minorHAnsi" w:hAnsiTheme="minorHAnsi" w:cstheme="minorHAnsi"/>
                <w:sz w:val="18"/>
                <w:szCs w:val="14"/>
              </w:rPr>
            </w:pPr>
            <w:r w:rsidRPr="0075604C">
              <w:rPr>
                <w:rFonts w:asciiTheme="minorHAnsi" w:hAnsiTheme="minorHAnsi" w:cstheme="minorHAnsi"/>
                <w:sz w:val="18"/>
                <w:szCs w:val="14"/>
              </w:rPr>
              <w:t>–</w:t>
            </w:r>
          </w:p>
        </w:tc>
        <w:tc>
          <w:tcPr>
            <w:tcW w:w="1683" w:type="dxa"/>
          </w:tcPr>
          <w:p w14:paraId="7BC48E83" w14:textId="77777777" w:rsidR="00B02873" w:rsidRPr="0075604C" w:rsidRDefault="00B02873" w:rsidP="0075604C">
            <w:pPr>
              <w:pStyle w:val="TablebodyleftFinancialsTables"/>
              <w:jc w:val="right"/>
              <w:rPr>
                <w:rFonts w:asciiTheme="minorHAnsi" w:hAnsiTheme="minorHAnsi" w:cstheme="minorHAnsi"/>
                <w:sz w:val="18"/>
                <w:szCs w:val="14"/>
              </w:rPr>
            </w:pPr>
            <w:r w:rsidRPr="0075604C">
              <w:rPr>
                <w:rFonts w:asciiTheme="minorHAnsi" w:hAnsiTheme="minorHAnsi" w:cstheme="minorHAnsi"/>
                <w:sz w:val="18"/>
                <w:szCs w:val="14"/>
              </w:rPr>
              <w:t>474,493</w:t>
            </w:r>
          </w:p>
        </w:tc>
      </w:tr>
      <w:tr w:rsidR="00B02873" w:rsidRPr="0075604C" w14:paraId="66F8F887" w14:textId="77777777" w:rsidTr="0075604C">
        <w:trPr>
          <w:trHeight w:val="60"/>
        </w:trPr>
        <w:tc>
          <w:tcPr>
            <w:tcW w:w="3397" w:type="dxa"/>
          </w:tcPr>
          <w:p w14:paraId="0ADE6F72" w14:textId="77777777" w:rsidR="00B02873" w:rsidRPr="0075604C" w:rsidRDefault="00B02873" w:rsidP="008A18D4">
            <w:pPr>
              <w:pStyle w:val="TablebodyleftFinancialsTables"/>
              <w:rPr>
                <w:rFonts w:asciiTheme="minorHAnsi" w:hAnsiTheme="minorHAnsi" w:cstheme="minorHAnsi"/>
                <w:b/>
                <w:bCs/>
                <w:sz w:val="18"/>
                <w:szCs w:val="14"/>
              </w:rPr>
            </w:pPr>
            <w:r w:rsidRPr="0075604C">
              <w:rPr>
                <w:rFonts w:asciiTheme="minorHAnsi" w:hAnsiTheme="minorHAnsi" w:cstheme="minorHAnsi"/>
                <w:b/>
                <w:bCs/>
                <w:sz w:val="18"/>
                <w:szCs w:val="14"/>
              </w:rPr>
              <w:t>Total intangible assets</w:t>
            </w:r>
          </w:p>
        </w:tc>
        <w:tc>
          <w:tcPr>
            <w:tcW w:w="1332" w:type="dxa"/>
          </w:tcPr>
          <w:p w14:paraId="12660E7B" w14:textId="77777777" w:rsidR="00B02873" w:rsidRPr="0075604C" w:rsidRDefault="00B02873" w:rsidP="0075604C">
            <w:pPr>
              <w:pStyle w:val="TablebodyleftFinancialsTables"/>
              <w:jc w:val="right"/>
              <w:rPr>
                <w:rFonts w:asciiTheme="minorHAnsi" w:hAnsiTheme="minorHAnsi" w:cstheme="minorHAnsi"/>
                <w:sz w:val="18"/>
                <w:szCs w:val="14"/>
              </w:rPr>
            </w:pPr>
            <w:r w:rsidRPr="0075604C">
              <w:rPr>
                <w:rFonts w:asciiTheme="minorHAnsi" w:hAnsiTheme="minorHAnsi" w:cstheme="minorHAnsi"/>
                <w:sz w:val="18"/>
                <w:szCs w:val="14"/>
              </w:rPr>
              <w:t>512,419</w:t>
            </w:r>
          </w:p>
        </w:tc>
        <w:tc>
          <w:tcPr>
            <w:tcW w:w="1682" w:type="dxa"/>
          </w:tcPr>
          <w:p w14:paraId="704642A6" w14:textId="77777777" w:rsidR="00B02873" w:rsidRPr="0075604C" w:rsidRDefault="00B02873" w:rsidP="0075604C">
            <w:pPr>
              <w:pStyle w:val="TablebodyleftFinancialsTables"/>
              <w:jc w:val="right"/>
              <w:rPr>
                <w:rFonts w:asciiTheme="minorHAnsi" w:hAnsiTheme="minorHAnsi" w:cstheme="minorHAnsi"/>
                <w:sz w:val="18"/>
                <w:szCs w:val="14"/>
              </w:rPr>
            </w:pPr>
            <w:r w:rsidRPr="0075604C">
              <w:rPr>
                <w:rFonts w:asciiTheme="minorHAnsi" w:hAnsiTheme="minorHAnsi" w:cstheme="minorHAnsi"/>
                <w:sz w:val="18"/>
                <w:szCs w:val="14"/>
              </w:rPr>
              <w:t>–</w:t>
            </w:r>
          </w:p>
        </w:tc>
        <w:tc>
          <w:tcPr>
            <w:tcW w:w="1682" w:type="dxa"/>
          </w:tcPr>
          <w:p w14:paraId="5277BC76" w14:textId="77777777" w:rsidR="00B02873" w:rsidRPr="0075604C" w:rsidRDefault="00B02873" w:rsidP="0075604C">
            <w:pPr>
              <w:pStyle w:val="TablebodyleftFinancialsTables"/>
              <w:jc w:val="right"/>
              <w:rPr>
                <w:rFonts w:asciiTheme="minorHAnsi" w:hAnsiTheme="minorHAnsi" w:cstheme="minorHAnsi"/>
                <w:sz w:val="18"/>
                <w:szCs w:val="14"/>
              </w:rPr>
            </w:pPr>
            <w:r w:rsidRPr="0075604C">
              <w:rPr>
                <w:rFonts w:asciiTheme="minorHAnsi" w:hAnsiTheme="minorHAnsi" w:cstheme="minorHAnsi"/>
                <w:sz w:val="18"/>
                <w:szCs w:val="14"/>
              </w:rPr>
              <w:t>–</w:t>
            </w:r>
          </w:p>
        </w:tc>
        <w:tc>
          <w:tcPr>
            <w:tcW w:w="1683" w:type="dxa"/>
          </w:tcPr>
          <w:p w14:paraId="5685D2E8" w14:textId="77777777" w:rsidR="00B02873" w:rsidRPr="0075604C" w:rsidRDefault="00B02873" w:rsidP="0075604C">
            <w:pPr>
              <w:pStyle w:val="TablebodyleftFinancialsTables"/>
              <w:jc w:val="right"/>
              <w:rPr>
                <w:rFonts w:asciiTheme="minorHAnsi" w:hAnsiTheme="minorHAnsi" w:cstheme="minorHAnsi"/>
                <w:sz w:val="18"/>
                <w:szCs w:val="14"/>
              </w:rPr>
            </w:pPr>
            <w:r w:rsidRPr="0075604C">
              <w:rPr>
                <w:rFonts w:asciiTheme="minorHAnsi" w:hAnsiTheme="minorHAnsi" w:cstheme="minorHAnsi"/>
                <w:sz w:val="18"/>
                <w:szCs w:val="14"/>
              </w:rPr>
              <w:t>512,419</w:t>
            </w:r>
          </w:p>
        </w:tc>
      </w:tr>
      <w:tr w:rsidR="00B02873" w:rsidRPr="0075604C" w14:paraId="5B1B27F5" w14:textId="77777777" w:rsidTr="0075604C">
        <w:trPr>
          <w:trHeight w:val="60"/>
        </w:trPr>
        <w:tc>
          <w:tcPr>
            <w:tcW w:w="3397" w:type="dxa"/>
          </w:tcPr>
          <w:p w14:paraId="58E896FA" w14:textId="77777777" w:rsidR="00B02873" w:rsidRPr="0075604C" w:rsidRDefault="00B02873" w:rsidP="008A18D4">
            <w:pPr>
              <w:pStyle w:val="TablebodyleftFinancialsTables"/>
              <w:rPr>
                <w:rFonts w:asciiTheme="minorHAnsi" w:hAnsiTheme="minorHAnsi" w:cstheme="minorHAnsi"/>
                <w:b/>
                <w:bCs/>
                <w:sz w:val="18"/>
                <w:szCs w:val="14"/>
              </w:rPr>
            </w:pPr>
            <w:r w:rsidRPr="0075604C">
              <w:rPr>
                <w:rFonts w:asciiTheme="minorHAnsi" w:hAnsiTheme="minorHAnsi" w:cstheme="minorHAnsi"/>
                <w:b/>
                <w:bCs/>
                <w:sz w:val="18"/>
                <w:szCs w:val="14"/>
              </w:rPr>
              <w:t>2021</w:t>
            </w:r>
          </w:p>
        </w:tc>
        <w:tc>
          <w:tcPr>
            <w:tcW w:w="1332" w:type="dxa"/>
          </w:tcPr>
          <w:p w14:paraId="6DF4E788" w14:textId="77777777" w:rsidR="00B02873" w:rsidRPr="0075604C" w:rsidRDefault="00B02873" w:rsidP="0075604C">
            <w:pPr>
              <w:pStyle w:val="TablebodyleftFinancialsTables"/>
              <w:jc w:val="right"/>
              <w:rPr>
                <w:rFonts w:asciiTheme="minorHAnsi" w:hAnsiTheme="minorHAnsi" w:cstheme="minorHAnsi"/>
                <w:sz w:val="18"/>
                <w:szCs w:val="14"/>
              </w:rPr>
            </w:pPr>
          </w:p>
        </w:tc>
        <w:tc>
          <w:tcPr>
            <w:tcW w:w="1682" w:type="dxa"/>
          </w:tcPr>
          <w:p w14:paraId="67635021" w14:textId="77777777" w:rsidR="00B02873" w:rsidRPr="0075604C" w:rsidRDefault="00B02873" w:rsidP="0075604C">
            <w:pPr>
              <w:pStyle w:val="TablebodyleftFinancialsTables"/>
              <w:jc w:val="right"/>
              <w:rPr>
                <w:rFonts w:asciiTheme="minorHAnsi" w:hAnsiTheme="minorHAnsi" w:cstheme="minorHAnsi"/>
                <w:sz w:val="18"/>
                <w:szCs w:val="14"/>
              </w:rPr>
            </w:pPr>
          </w:p>
        </w:tc>
        <w:tc>
          <w:tcPr>
            <w:tcW w:w="1682" w:type="dxa"/>
          </w:tcPr>
          <w:p w14:paraId="6805E86A" w14:textId="77777777" w:rsidR="00B02873" w:rsidRPr="0075604C" w:rsidRDefault="00B02873" w:rsidP="0075604C">
            <w:pPr>
              <w:pStyle w:val="TablebodyleftFinancialsTables"/>
              <w:jc w:val="right"/>
              <w:rPr>
                <w:rFonts w:asciiTheme="minorHAnsi" w:hAnsiTheme="minorHAnsi" w:cstheme="minorHAnsi"/>
                <w:sz w:val="18"/>
                <w:szCs w:val="14"/>
              </w:rPr>
            </w:pPr>
          </w:p>
        </w:tc>
        <w:tc>
          <w:tcPr>
            <w:tcW w:w="1683" w:type="dxa"/>
          </w:tcPr>
          <w:p w14:paraId="45B20FF6" w14:textId="77777777" w:rsidR="00B02873" w:rsidRPr="0075604C" w:rsidRDefault="00B02873" w:rsidP="0075604C">
            <w:pPr>
              <w:pStyle w:val="TablebodyleftFinancialsTables"/>
              <w:jc w:val="right"/>
              <w:rPr>
                <w:rFonts w:asciiTheme="minorHAnsi" w:hAnsiTheme="minorHAnsi" w:cstheme="minorHAnsi"/>
                <w:sz w:val="18"/>
                <w:szCs w:val="14"/>
              </w:rPr>
            </w:pPr>
          </w:p>
        </w:tc>
      </w:tr>
      <w:tr w:rsidR="00B02873" w:rsidRPr="0075604C" w14:paraId="60DFB2CA" w14:textId="77777777" w:rsidTr="0075604C">
        <w:trPr>
          <w:trHeight w:val="60"/>
        </w:trPr>
        <w:tc>
          <w:tcPr>
            <w:tcW w:w="3397" w:type="dxa"/>
          </w:tcPr>
          <w:p w14:paraId="3BD8C8CE" w14:textId="77777777" w:rsidR="00B02873" w:rsidRPr="0075604C" w:rsidRDefault="00B02873" w:rsidP="008A18D4">
            <w:pPr>
              <w:pStyle w:val="TablebodyleftFinancialsTables"/>
              <w:rPr>
                <w:rFonts w:asciiTheme="minorHAnsi" w:hAnsiTheme="minorHAnsi" w:cstheme="minorHAnsi"/>
                <w:sz w:val="18"/>
                <w:szCs w:val="14"/>
              </w:rPr>
            </w:pPr>
            <w:r w:rsidRPr="0075604C">
              <w:rPr>
                <w:rFonts w:asciiTheme="minorHAnsi" w:hAnsiTheme="minorHAnsi" w:cstheme="minorHAnsi"/>
                <w:sz w:val="18"/>
                <w:szCs w:val="14"/>
              </w:rPr>
              <w:t>Victorian Online Titles System</w:t>
            </w:r>
          </w:p>
        </w:tc>
        <w:tc>
          <w:tcPr>
            <w:tcW w:w="1332" w:type="dxa"/>
          </w:tcPr>
          <w:p w14:paraId="069C68C5" w14:textId="77777777" w:rsidR="00B02873" w:rsidRPr="0075604C" w:rsidRDefault="00B02873" w:rsidP="0075604C">
            <w:pPr>
              <w:pStyle w:val="TablebodyleftFinancialsTables"/>
              <w:jc w:val="right"/>
              <w:rPr>
                <w:rFonts w:asciiTheme="minorHAnsi" w:hAnsiTheme="minorHAnsi" w:cstheme="minorHAnsi"/>
                <w:sz w:val="18"/>
                <w:szCs w:val="14"/>
              </w:rPr>
            </w:pPr>
            <w:r w:rsidRPr="0075604C">
              <w:rPr>
                <w:rFonts w:asciiTheme="minorHAnsi" w:hAnsiTheme="minorHAnsi" w:cstheme="minorHAnsi"/>
                <w:sz w:val="18"/>
                <w:szCs w:val="14"/>
              </w:rPr>
              <w:t>37,480</w:t>
            </w:r>
          </w:p>
        </w:tc>
        <w:tc>
          <w:tcPr>
            <w:tcW w:w="1682" w:type="dxa"/>
          </w:tcPr>
          <w:p w14:paraId="396C108E" w14:textId="77777777" w:rsidR="00B02873" w:rsidRPr="0075604C" w:rsidRDefault="00B02873" w:rsidP="0075604C">
            <w:pPr>
              <w:pStyle w:val="TablebodyleftFinancialsTables"/>
              <w:jc w:val="right"/>
              <w:rPr>
                <w:rFonts w:asciiTheme="minorHAnsi" w:hAnsiTheme="minorHAnsi" w:cstheme="minorHAnsi"/>
                <w:sz w:val="18"/>
                <w:szCs w:val="14"/>
              </w:rPr>
            </w:pPr>
            <w:r w:rsidRPr="0075604C">
              <w:rPr>
                <w:rFonts w:asciiTheme="minorHAnsi" w:hAnsiTheme="minorHAnsi" w:cstheme="minorHAnsi"/>
                <w:sz w:val="18"/>
                <w:szCs w:val="14"/>
              </w:rPr>
              <w:t>–</w:t>
            </w:r>
          </w:p>
        </w:tc>
        <w:tc>
          <w:tcPr>
            <w:tcW w:w="1682" w:type="dxa"/>
          </w:tcPr>
          <w:p w14:paraId="01C3D9E7" w14:textId="77777777" w:rsidR="00B02873" w:rsidRPr="0075604C" w:rsidRDefault="00B02873" w:rsidP="0075604C">
            <w:pPr>
              <w:pStyle w:val="TablebodyleftFinancialsTables"/>
              <w:jc w:val="right"/>
              <w:rPr>
                <w:rFonts w:asciiTheme="minorHAnsi" w:hAnsiTheme="minorHAnsi" w:cstheme="minorHAnsi"/>
                <w:sz w:val="18"/>
                <w:szCs w:val="14"/>
              </w:rPr>
            </w:pPr>
            <w:r w:rsidRPr="0075604C">
              <w:rPr>
                <w:rFonts w:asciiTheme="minorHAnsi" w:hAnsiTheme="minorHAnsi" w:cstheme="minorHAnsi"/>
                <w:sz w:val="18"/>
                <w:szCs w:val="14"/>
              </w:rPr>
              <w:t>–</w:t>
            </w:r>
          </w:p>
        </w:tc>
        <w:tc>
          <w:tcPr>
            <w:tcW w:w="1683" w:type="dxa"/>
          </w:tcPr>
          <w:p w14:paraId="518B1CE1" w14:textId="77777777" w:rsidR="00B02873" w:rsidRPr="0075604C" w:rsidRDefault="00B02873" w:rsidP="0075604C">
            <w:pPr>
              <w:pStyle w:val="TablebodyleftFinancialsTables"/>
              <w:jc w:val="right"/>
              <w:rPr>
                <w:rFonts w:asciiTheme="minorHAnsi" w:hAnsiTheme="minorHAnsi" w:cstheme="minorHAnsi"/>
                <w:sz w:val="18"/>
                <w:szCs w:val="14"/>
              </w:rPr>
            </w:pPr>
            <w:r w:rsidRPr="0075604C">
              <w:rPr>
                <w:rFonts w:asciiTheme="minorHAnsi" w:hAnsiTheme="minorHAnsi" w:cstheme="minorHAnsi"/>
                <w:sz w:val="18"/>
                <w:szCs w:val="14"/>
              </w:rPr>
              <w:t>37,480</w:t>
            </w:r>
          </w:p>
        </w:tc>
      </w:tr>
      <w:tr w:rsidR="00B02873" w:rsidRPr="0075604C" w14:paraId="58A43B01" w14:textId="77777777" w:rsidTr="0075604C">
        <w:trPr>
          <w:trHeight w:val="60"/>
        </w:trPr>
        <w:tc>
          <w:tcPr>
            <w:tcW w:w="3397" w:type="dxa"/>
          </w:tcPr>
          <w:p w14:paraId="00DAD211" w14:textId="77777777" w:rsidR="00B02873" w:rsidRPr="0075604C" w:rsidRDefault="00B02873" w:rsidP="008A18D4">
            <w:pPr>
              <w:pStyle w:val="TablebodyleftFinancialsTables"/>
              <w:rPr>
                <w:rFonts w:asciiTheme="minorHAnsi" w:hAnsiTheme="minorHAnsi" w:cstheme="minorHAnsi"/>
                <w:sz w:val="18"/>
                <w:szCs w:val="14"/>
              </w:rPr>
            </w:pPr>
            <w:r w:rsidRPr="0075604C">
              <w:rPr>
                <w:rFonts w:asciiTheme="minorHAnsi" w:hAnsiTheme="minorHAnsi" w:cstheme="minorHAnsi"/>
                <w:sz w:val="18"/>
                <w:szCs w:val="14"/>
              </w:rPr>
              <w:t>Titling and registry database</w:t>
            </w:r>
          </w:p>
        </w:tc>
        <w:tc>
          <w:tcPr>
            <w:tcW w:w="1332" w:type="dxa"/>
          </w:tcPr>
          <w:p w14:paraId="65B9921E" w14:textId="77777777" w:rsidR="00B02873" w:rsidRPr="0075604C" w:rsidRDefault="00B02873" w:rsidP="0075604C">
            <w:pPr>
              <w:pStyle w:val="TablebodyleftFinancialsTables"/>
              <w:jc w:val="right"/>
              <w:rPr>
                <w:rFonts w:asciiTheme="minorHAnsi" w:hAnsiTheme="minorHAnsi" w:cstheme="minorHAnsi"/>
                <w:sz w:val="18"/>
                <w:szCs w:val="14"/>
              </w:rPr>
            </w:pPr>
            <w:r w:rsidRPr="0075604C">
              <w:rPr>
                <w:rFonts w:asciiTheme="minorHAnsi" w:hAnsiTheme="minorHAnsi" w:cstheme="minorHAnsi"/>
                <w:sz w:val="18"/>
                <w:szCs w:val="14"/>
              </w:rPr>
              <w:t>447,025</w:t>
            </w:r>
          </w:p>
        </w:tc>
        <w:tc>
          <w:tcPr>
            <w:tcW w:w="1682" w:type="dxa"/>
          </w:tcPr>
          <w:p w14:paraId="1B276EBB" w14:textId="77777777" w:rsidR="00B02873" w:rsidRPr="0075604C" w:rsidRDefault="00B02873" w:rsidP="0075604C">
            <w:pPr>
              <w:pStyle w:val="TablebodyleftFinancialsTables"/>
              <w:jc w:val="right"/>
              <w:rPr>
                <w:rFonts w:asciiTheme="minorHAnsi" w:hAnsiTheme="minorHAnsi" w:cstheme="minorHAnsi"/>
                <w:sz w:val="18"/>
                <w:szCs w:val="14"/>
              </w:rPr>
            </w:pPr>
            <w:r w:rsidRPr="0075604C">
              <w:rPr>
                <w:rFonts w:asciiTheme="minorHAnsi" w:hAnsiTheme="minorHAnsi" w:cstheme="minorHAnsi"/>
                <w:sz w:val="18"/>
                <w:szCs w:val="14"/>
              </w:rPr>
              <w:t>–</w:t>
            </w:r>
          </w:p>
        </w:tc>
        <w:tc>
          <w:tcPr>
            <w:tcW w:w="1682" w:type="dxa"/>
          </w:tcPr>
          <w:p w14:paraId="52CFB51A" w14:textId="77777777" w:rsidR="00B02873" w:rsidRPr="0075604C" w:rsidRDefault="00B02873" w:rsidP="0075604C">
            <w:pPr>
              <w:pStyle w:val="TablebodyleftFinancialsTables"/>
              <w:jc w:val="right"/>
              <w:rPr>
                <w:rFonts w:asciiTheme="minorHAnsi" w:hAnsiTheme="minorHAnsi" w:cstheme="minorHAnsi"/>
                <w:sz w:val="18"/>
                <w:szCs w:val="14"/>
              </w:rPr>
            </w:pPr>
            <w:r w:rsidRPr="0075604C">
              <w:rPr>
                <w:rFonts w:asciiTheme="minorHAnsi" w:hAnsiTheme="minorHAnsi" w:cstheme="minorHAnsi"/>
                <w:sz w:val="18"/>
                <w:szCs w:val="14"/>
              </w:rPr>
              <w:t>–</w:t>
            </w:r>
          </w:p>
        </w:tc>
        <w:tc>
          <w:tcPr>
            <w:tcW w:w="1683" w:type="dxa"/>
          </w:tcPr>
          <w:p w14:paraId="056396FE" w14:textId="77777777" w:rsidR="00B02873" w:rsidRPr="0075604C" w:rsidRDefault="00B02873" w:rsidP="0075604C">
            <w:pPr>
              <w:pStyle w:val="TablebodyleftFinancialsTables"/>
              <w:jc w:val="right"/>
              <w:rPr>
                <w:rFonts w:asciiTheme="minorHAnsi" w:hAnsiTheme="minorHAnsi" w:cstheme="minorHAnsi"/>
                <w:sz w:val="18"/>
                <w:szCs w:val="14"/>
              </w:rPr>
            </w:pPr>
            <w:r w:rsidRPr="0075604C">
              <w:rPr>
                <w:rFonts w:asciiTheme="minorHAnsi" w:hAnsiTheme="minorHAnsi" w:cstheme="minorHAnsi"/>
                <w:sz w:val="18"/>
                <w:szCs w:val="14"/>
              </w:rPr>
              <w:t>447,025</w:t>
            </w:r>
          </w:p>
        </w:tc>
      </w:tr>
      <w:tr w:rsidR="00B02873" w:rsidRPr="0075604C" w14:paraId="2CC0C5F7" w14:textId="77777777" w:rsidTr="0075604C">
        <w:trPr>
          <w:trHeight w:val="60"/>
        </w:trPr>
        <w:tc>
          <w:tcPr>
            <w:tcW w:w="3397" w:type="dxa"/>
          </w:tcPr>
          <w:p w14:paraId="2F788010" w14:textId="77777777" w:rsidR="00B02873" w:rsidRPr="0075604C" w:rsidRDefault="00B02873" w:rsidP="008A18D4">
            <w:pPr>
              <w:pStyle w:val="TablebodyleftFinancialsTables"/>
              <w:rPr>
                <w:rFonts w:asciiTheme="minorHAnsi" w:hAnsiTheme="minorHAnsi" w:cstheme="minorHAnsi"/>
                <w:b/>
                <w:bCs/>
                <w:sz w:val="18"/>
                <w:szCs w:val="14"/>
              </w:rPr>
            </w:pPr>
            <w:r w:rsidRPr="0075604C">
              <w:rPr>
                <w:rFonts w:asciiTheme="minorHAnsi" w:hAnsiTheme="minorHAnsi" w:cstheme="minorHAnsi"/>
                <w:b/>
                <w:bCs/>
                <w:sz w:val="18"/>
                <w:szCs w:val="14"/>
              </w:rPr>
              <w:t>Total intangible assets</w:t>
            </w:r>
          </w:p>
        </w:tc>
        <w:tc>
          <w:tcPr>
            <w:tcW w:w="1332" w:type="dxa"/>
          </w:tcPr>
          <w:p w14:paraId="3CD5B277" w14:textId="77777777" w:rsidR="00B02873" w:rsidRPr="0075604C" w:rsidRDefault="00B02873" w:rsidP="0075604C">
            <w:pPr>
              <w:pStyle w:val="TablebodyleftFinancialsTables"/>
              <w:jc w:val="right"/>
              <w:rPr>
                <w:rFonts w:asciiTheme="minorHAnsi" w:hAnsiTheme="minorHAnsi" w:cstheme="minorHAnsi"/>
                <w:sz w:val="18"/>
                <w:szCs w:val="14"/>
              </w:rPr>
            </w:pPr>
            <w:r w:rsidRPr="0075604C">
              <w:rPr>
                <w:rFonts w:asciiTheme="minorHAnsi" w:hAnsiTheme="minorHAnsi" w:cstheme="minorHAnsi"/>
                <w:sz w:val="18"/>
                <w:szCs w:val="14"/>
              </w:rPr>
              <w:t>484,505</w:t>
            </w:r>
          </w:p>
        </w:tc>
        <w:tc>
          <w:tcPr>
            <w:tcW w:w="1682" w:type="dxa"/>
          </w:tcPr>
          <w:p w14:paraId="6D2C5219" w14:textId="77777777" w:rsidR="00B02873" w:rsidRPr="0075604C" w:rsidRDefault="00B02873" w:rsidP="0075604C">
            <w:pPr>
              <w:pStyle w:val="TablebodyleftFinancialsTables"/>
              <w:jc w:val="right"/>
              <w:rPr>
                <w:rFonts w:asciiTheme="minorHAnsi" w:hAnsiTheme="minorHAnsi" w:cstheme="minorHAnsi"/>
                <w:sz w:val="18"/>
                <w:szCs w:val="14"/>
              </w:rPr>
            </w:pPr>
            <w:r w:rsidRPr="0075604C">
              <w:rPr>
                <w:rFonts w:asciiTheme="minorHAnsi" w:hAnsiTheme="minorHAnsi" w:cstheme="minorHAnsi"/>
                <w:sz w:val="18"/>
                <w:szCs w:val="14"/>
              </w:rPr>
              <w:t>–</w:t>
            </w:r>
          </w:p>
        </w:tc>
        <w:tc>
          <w:tcPr>
            <w:tcW w:w="1682" w:type="dxa"/>
          </w:tcPr>
          <w:p w14:paraId="5856853D" w14:textId="77777777" w:rsidR="00B02873" w:rsidRPr="0075604C" w:rsidRDefault="00B02873" w:rsidP="0075604C">
            <w:pPr>
              <w:pStyle w:val="TablebodyleftFinancialsTables"/>
              <w:jc w:val="right"/>
              <w:rPr>
                <w:rFonts w:asciiTheme="minorHAnsi" w:hAnsiTheme="minorHAnsi" w:cstheme="minorHAnsi"/>
                <w:sz w:val="18"/>
                <w:szCs w:val="14"/>
              </w:rPr>
            </w:pPr>
            <w:r w:rsidRPr="0075604C">
              <w:rPr>
                <w:rFonts w:asciiTheme="minorHAnsi" w:hAnsiTheme="minorHAnsi" w:cstheme="minorHAnsi"/>
                <w:sz w:val="18"/>
                <w:szCs w:val="14"/>
              </w:rPr>
              <w:t>–</w:t>
            </w:r>
          </w:p>
        </w:tc>
        <w:tc>
          <w:tcPr>
            <w:tcW w:w="1683" w:type="dxa"/>
          </w:tcPr>
          <w:p w14:paraId="0A424E41" w14:textId="77777777" w:rsidR="00B02873" w:rsidRPr="0075604C" w:rsidRDefault="00B02873" w:rsidP="0075604C">
            <w:pPr>
              <w:pStyle w:val="TablebodyleftFinancialsTables"/>
              <w:jc w:val="right"/>
              <w:rPr>
                <w:rFonts w:asciiTheme="minorHAnsi" w:hAnsiTheme="minorHAnsi" w:cstheme="minorHAnsi"/>
                <w:sz w:val="18"/>
                <w:szCs w:val="14"/>
              </w:rPr>
            </w:pPr>
            <w:r w:rsidRPr="0075604C">
              <w:rPr>
                <w:rFonts w:asciiTheme="minorHAnsi" w:hAnsiTheme="minorHAnsi" w:cstheme="minorHAnsi"/>
                <w:sz w:val="18"/>
                <w:szCs w:val="14"/>
              </w:rPr>
              <w:t>484,505</w:t>
            </w:r>
          </w:p>
        </w:tc>
      </w:tr>
    </w:tbl>
    <w:p w14:paraId="7A7770F7" w14:textId="77777777" w:rsidR="00B02873" w:rsidRPr="00DE1FCE" w:rsidRDefault="00B02873" w:rsidP="00B02873">
      <w:pPr>
        <w:pStyle w:val="Table-NotesnumberedLASTTables"/>
        <w:rPr>
          <w:rFonts w:ascii="Arial" w:hAnsi="Arial"/>
        </w:rPr>
      </w:pPr>
    </w:p>
    <w:p w14:paraId="5335A492" w14:textId="0936BCA2" w:rsidR="00B02873" w:rsidRDefault="00B02873" w:rsidP="0075604C">
      <w:r>
        <w:t>The significant unobservable Level 3 inputs of the fair value measurements are listed in the table below. Full accounting policy on fair value disclosure of the department’s controlled assets is disclosed in Note 5.1.3 and Note 8.3.</w:t>
      </w:r>
    </w:p>
    <w:tbl>
      <w:tblPr>
        <w:tblStyle w:val="TableGrid"/>
        <w:tblW w:w="0" w:type="auto"/>
        <w:tblLayout w:type="fixed"/>
        <w:tblLook w:val="0020" w:firstRow="1" w:lastRow="0" w:firstColumn="0" w:lastColumn="0" w:noHBand="0" w:noVBand="0"/>
      </w:tblPr>
      <w:tblGrid>
        <w:gridCol w:w="2494"/>
        <w:gridCol w:w="2382"/>
        <w:gridCol w:w="4762"/>
      </w:tblGrid>
      <w:tr w:rsidR="00B02873" w:rsidRPr="00B02873" w14:paraId="3FBD87A8" w14:textId="77777777" w:rsidTr="00FE6A86">
        <w:trPr>
          <w:cnfStyle w:val="100000000000" w:firstRow="1" w:lastRow="0" w:firstColumn="0" w:lastColumn="0" w:oddVBand="0" w:evenVBand="0" w:oddHBand="0" w:evenHBand="0" w:firstRowFirstColumn="0" w:firstRowLastColumn="0" w:lastRowFirstColumn="0" w:lastRowLastColumn="0"/>
        </w:trPr>
        <w:tc>
          <w:tcPr>
            <w:tcW w:w="2494" w:type="dxa"/>
          </w:tcPr>
          <w:p w14:paraId="4BF76428" w14:textId="77777777" w:rsidR="00B02873" w:rsidRDefault="00B02873" w:rsidP="009B5710">
            <w:pPr>
              <w:pStyle w:val="TableheadingleftFinancialsTables"/>
            </w:pPr>
            <w:r>
              <w:t>2022 and 2021</w:t>
            </w:r>
          </w:p>
        </w:tc>
        <w:tc>
          <w:tcPr>
            <w:tcW w:w="2382" w:type="dxa"/>
          </w:tcPr>
          <w:p w14:paraId="6CCA3AAE" w14:textId="77777777" w:rsidR="00B02873" w:rsidRDefault="00B02873" w:rsidP="009B5710">
            <w:pPr>
              <w:pStyle w:val="TableheadingleftFinancialsTables"/>
            </w:pPr>
            <w:r>
              <w:t xml:space="preserve">Valuation technique </w:t>
            </w:r>
          </w:p>
        </w:tc>
        <w:tc>
          <w:tcPr>
            <w:tcW w:w="4762" w:type="dxa"/>
          </w:tcPr>
          <w:p w14:paraId="253A117C" w14:textId="77777777" w:rsidR="00B02873" w:rsidRDefault="00B02873" w:rsidP="009B5710">
            <w:pPr>
              <w:pStyle w:val="TableheadingleftFinancialsTables"/>
            </w:pPr>
            <w:r>
              <w:t xml:space="preserve">Significant Unobservable Inputs </w:t>
            </w:r>
          </w:p>
        </w:tc>
      </w:tr>
      <w:tr w:rsidR="00B02873" w:rsidRPr="00B02873" w14:paraId="2C15C265" w14:textId="77777777" w:rsidTr="00FE6A86">
        <w:tc>
          <w:tcPr>
            <w:tcW w:w="2494" w:type="dxa"/>
          </w:tcPr>
          <w:p w14:paraId="650A080D" w14:textId="77777777" w:rsidR="00B02873" w:rsidRDefault="00B02873" w:rsidP="00FE6A86">
            <w:pPr>
              <w:pStyle w:val="TablebodyleftFinancialsTables"/>
            </w:pPr>
            <w:r>
              <w:t>Victorian Online Titles System</w:t>
            </w:r>
          </w:p>
        </w:tc>
        <w:tc>
          <w:tcPr>
            <w:tcW w:w="2382" w:type="dxa"/>
          </w:tcPr>
          <w:p w14:paraId="4CE3DAA0" w14:textId="77777777" w:rsidR="00B02873" w:rsidRDefault="00B02873" w:rsidP="00FE6A86">
            <w:pPr>
              <w:pStyle w:val="TablebodyleftFinancialsTables"/>
            </w:pPr>
            <w:r>
              <w:t>Current Replacement Cost</w:t>
            </w:r>
          </w:p>
        </w:tc>
        <w:tc>
          <w:tcPr>
            <w:tcW w:w="4762" w:type="dxa"/>
          </w:tcPr>
          <w:p w14:paraId="5C470849" w14:textId="77777777" w:rsidR="00B02873" w:rsidRDefault="00B02873" w:rsidP="00FE6A86">
            <w:pPr>
              <w:pStyle w:val="TablebodyleftFinancialsTables"/>
            </w:pPr>
            <w:r>
              <w:t>Historical cost of VOTS</w:t>
            </w:r>
          </w:p>
        </w:tc>
      </w:tr>
      <w:tr w:rsidR="00B02873" w:rsidRPr="00B02873" w14:paraId="79D1A92A" w14:textId="77777777" w:rsidTr="00FE6A86">
        <w:tc>
          <w:tcPr>
            <w:tcW w:w="2494" w:type="dxa"/>
          </w:tcPr>
          <w:p w14:paraId="59CF696B" w14:textId="77777777" w:rsidR="00B02873" w:rsidRDefault="00B02873" w:rsidP="00FE6A86">
            <w:pPr>
              <w:pStyle w:val="TablebodyleftFinancialsTables"/>
            </w:pPr>
            <w:r>
              <w:t>Titling and registry database</w:t>
            </w:r>
          </w:p>
        </w:tc>
        <w:tc>
          <w:tcPr>
            <w:tcW w:w="2382" w:type="dxa"/>
          </w:tcPr>
          <w:p w14:paraId="050C07B7" w14:textId="77777777" w:rsidR="00B02873" w:rsidRDefault="00B02873" w:rsidP="00FE6A86">
            <w:pPr>
              <w:pStyle w:val="TablebodyleftFinancialsTables"/>
            </w:pPr>
            <w:r>
              <w:t>Current Replacement Cost</w:t>
            </w:r>
          </w:p>
        </w:tc>
        <w:tc>
          <w:tcPr>
            <w:tcW w:w="4762" w:type="dxa"/>
          </w:tcPr>
          <w:p w14:paraId="3990A2CA" w14:textId="77777777" w:rsidR="00B02873" w:rsidRDefault="00B02873" w:rsidP="00FE6A86">
            <w:pPr>
              <w:pStyle w:val="TablebodyleftFinancialsTables"/>
            </w:pPr>
            <w:r>
              <w:t xml:space="preserve">Replication cost including data entry cost per unit, and scanning cost per document; </w:t>
            </w:r>
          </w:p>
          <w:p w14:paraId="7CC1F8C5" w14:textId="77777777" w:rsidR="00B02873" w:rsidRDefault="00B02873" w:rsidP="00FE6A86">
            <w:pPr>
              <w:pStyle w:val="TablebodyleftFinancialsTables"/>
            </w:pPr>
            <w:r>
              <w:t>Number of registry land titles</w:t>
            </w:r>
          </w:p>
          <w:p w14:paraId="38719228" w14:textId="77777777" w:rsidR="00B02873" w:rsidRDefault="00B02873" w:rsidP="00FE6A86">
            <w:pPr>
              <w:pStyle w:val="TablebodyleftFinancialsTables"/>
            </w:pPr>
            <w:r>
              <w:t>Processing cost per lodgement;</w:t>
            </w:r>
          </w:p>
          <w:p w14:paraId="7800D448" w14:textId="77777777" w:rsidR="00B02873" w:rsidRDefault="00B02873" w:rsidP="00FE6A86">
            <w:pPr>
              <w:pStyle w:val="TablebodyleftFinancialsTables"/>
            </w:pPr>
            <w:r>
              <w:t>Percentage based contingency; and</w:t>
            </w:r>
          </w:p>
          <w:p w14:paraId="52DCC07F" w14:textId="77777777" w:rsidR="00B02873" w:rsidRDefault="00B02873" w:rsidP="00FE6A86">
            <w:pPr>
              <w:pStyle w:val="TablebodyleftFinancialsTables"/>
            </w:pPr>
            <w:r>
              <w:t>Volumes of transactions processed in prior years.</w:t>
            </w:r>
          </w:p>
        </w:tc>
      </w:tr>
    </w:tbl>
    <w:p w14:paraId="7B53B913" w14:textId="77777777" w:rsidR="00B02873" w:rsidRDefault="00B02873" w:rsidP="00FE198A"/>
    <w:p w14:paraId="55F001D1" w14:textId="77777777" w:rsidR="00B02873" w:rsidRDefault="00B02873" w:rsidP="00FE6A86">
      <w:pPr>
        <w:pStyle w:val="Heading4"/>
      </w:pPr>
      <w:r>
        <w:t xml:space="preserve">4.2.5 Victorian Desalination Project </w:t>
      </w:r>
    </w:p>
    <w:p w14:paraId="738288C3" w14:textId="77777777" w:rsidR="00B02873" w:rsidRDefault="00B02873" w:rsidP="00FE198A">
      <w:r>
        <w:t xml:space="preserve">In July 2009, the state of Victoria (the state) entered into a 30-year Public Private Partnership (PPP) arrangement with the AquaSure consortium (AquaSure). The Victorian Desalination Project (VDP) was initiated to design, build, finance and operate a desalination plant, transfer pipeline and </w:t>
      </w:r>
      <w:r>
        <w:lastRenderedPageBreak/>
        <w:t xml:space="preserve">220 kV underground power cable capable of supplying 150 gigalitres of water per annum into the Melbourne network. Construction of the VDP began in 2009 and the lease term commenced in 2012 upon successful commissioning. </w:t>
      </w:r>
    </w:p>
    <w:p w14:paraId="71C598DF" w14:textId="77777777" w:rsidR="00B02873" w:rsidRDefault="00B02873" w:rsidP="00FE198A">
      <w:r>
        <w:t>Under the arrangement, the state has an obligation to make Water Security Payments (WSPs) to AquaSure provided the plant is maintained to the appropriate standard. The WSPs have two components: capital payments for the project assets (Note 4.2.2 under the Effective Water Management and Supply output group) and other expenses for operating, maintenance and lifecycle costs.</w:t>
      </w:r>
    </w:p>
    <w:p w14:paraId="4486A2EA" w14:textId="6DF13F29" w:rsidR="00B02873" w:rsidRDefault="00B02873" w:rsidP="00FE198A">
      <w:r>
        <w:t>The state will also make Water Usage Payments (WUPs) for any water that is ordered and delivered to the required standard. Water can be ordered annually for flexible amounts from 0 to 150 gigalitres (in set increments).</w:t>
      </w:r>
    </w:p>
    <w:p w14:paraId="7C24C73E" w14:textId="77777777" w:rsidR="00B02873" w:rsidRDefault="00B02873" w:rsidP="00FE198A">
      <w:r>
        <w:t xml:space="preserve">As at 30 June 2022 AquaSure had produced the 125 GL for the 2021-22 water order. </w:t>
      </w:r>
    </w:p>
    <w:p w14:paraId="29FC865E" w14:textId="77777777" w:rsidR="00B02873" w:rsidRDefault="00B02873" w:rsidP="00FE198A">
      <w:r>
        <w:t>On 1 April 2022 the Minister for Water announced the 2022-23 Supply Notice with a Required Annual Water Volume for 15GL in 2022-23 and non-binding forecasts of 75GL for 2023-24 and 2024-25.</w:t>
      </w:r>
    </w:p>
    <w:p w14:paraId="57BB8CE7" w14:textId="77777777" w:rsidR="00B02873" w:rsidRDefault="00B02873" w:rsidP="00FE198A">
      <w:r>
        <w:t xml:space="preserve">A Statement of Obligations (SoO) was issued to the Melbourne Water Corporation (MWC) under section 4I of the </w:t>
      </w:r>
      <w:r w:rsidRPr="00FE6A86">
        <w:rPr>
          <w:rStyle w:val="LightItalic"/>
          <w:rFonts w:asciiTheme="minorHAnsi" w:hAnsiTheme="minorHAnsi" w:cstheme="minorHAnsi"/>
        </w:rPr>
        <w:t>Water Industry Act 1994</w:t>
      </w:r>
      <w:r>
        <w:t xml:space="preserve"> that required MWC to pay all monies as required by the state under the project deed with AquaSure. The arrangement was codified through the Water Interface Agreement (WIA) between the state, the department and MWC. The department does not control any receipt arising from this arrangement and is required to pay the amounts from the MWC into the state’s consolidated fund. With consideration to the policy, the department has classified the arrangement as administered.</w:t>
      </w:r>
    </w:p>
    <w:p w14:paraId="51196211" w14:textId="030E3F4C" w:rsidR="00B02873" w:rsidRDefault="00B02873" w:rsidP="00FE198A">
      <w:r>
        <w:rPr>
          <w:spacing w:val="-4"/>
        </w:rPr>
        <w:t>AquaSure is required to transfer the project assets to the state at the end of the project term for no additional payment by the state and MWC have purchased the rights to acquire the assets at that time.</w:t>
      </w:r>
    </w:p>
    <w:p w14:paraId="55D41272" w14:textId="549F095F" w:rsidR="00B02873" w:rsidRDefault="00B02873" w:rsidP="00FE198A">
      <w:r>
        <w:t xml:space="preserve">The arrangement between the state and AquaSure is assessed to fall within the scope of AASB 1059 </w:t>
      </w:r>
      <w:r w:rsidRPr="00FE6A86">
        <w:rPr>
          <w:rStyle w:val="LightItalic"/>
          <w:rFonts w:asciiTheme="minorHAnsi" w:hAnsiTheme="minorHAnsi" w:cstheme="minorHAnsi"/>
        </w:rPr>
        <w:t>Service Concession Arrangements: Grantors</w:t>
      </w:r>
      <w:r>
        <w:t xml:space="preserve"> with MWC being the Grantor. </w:t>
      </w:r>
    </w:p>
    <w:p w14:paraId="43D48B50" w14:textId="77777777" w:rsidR="00B02873" w:rsidRDefault="00B02873" w:rsidP="00FE198A">
      <w:r>
        <w:t xml:space="preserve">As the contracting entity with the operator, DELWP recognises a financial liability relating to the obligation to make payments to AquaSure for construction, operation and maintenance of the service concession asset. A financial asset receivable is also recognised relating to the right to receive payment from MWC under the WIA. </w:t>
      </w:r>
    </w:p>
    <w:p w14:paraId="4BF1451E" w14:textId="77777777" w:rsidR="00B02873" w:rsidRDefault="00B02873" w:rsidP="00FE198A">
      <w:r>
        <w:t>The financial asset and financial liability are measured at amortised cost under the requirements of AASB 9. The financial asset (contractual receivable from MWC) and financial liability (borrowings) is disclosed in Note 4.2.2 under the Effective Water Management and Supply output group. In addition, the project payments also include other commitments for operating, maintenance and lifecycle costs (refer below for other commitment).</w:t>
      </w:r>
    </w:p>
    <w:p w14:paraId="01F56D90" w14:textId="77777777" w:rsidR="00B02873" w:rsidRDefault="00B02873" w:rsidP="00FE198A">
      <w:r>
        <w:t xml:space="preserve">The Project Deed requires a minimum number of Renewable Energy Certificates (RECs) to be purchased to offset the electricity used by the plant. The number of RECs that are consumed will vary based on the volume of water produced by the plant. The banked RECs that remain at the end of the supply period are administered by the department. </w:t>
      </w:r>
    </w:p>
    <w:p w14:paraId="3F78E2BD" w14:textId="77777777" w:rsidR="00B02873" w:rsidRDefault="00B02873" w:rsidP="00FE198A">
      <w:r>
        <w:t xml:space="preserve">The Minister has control of the banked RECs which are surplus to requirements of the project. The department recognises the RECs as an intangible asset valued at $74.5 million and intangible assets held for sale of $16.9 million. Refer to Note 4.2.1 </w:t>
      </w:r>
      <w:r w:rsidRPr="00FE6A86">
        <w:rPr>
          <w:rStyle w:val="LightItalic"/>
          <w:rFonts w:asciiTheme="minorHAnsi" w:hAnsiTheme="minorHAnsi" w:cstheme="minorHAnsi"/>
        </w:rPr>
        <w:t>Administered income and expenses</w:t>
      </w:r>
      <w:r w:rsidRPr="00FE6A86">
        <w:rPr>
          <w:rFonts w:asciiTheme="minorHAnsi" w:hAnsiTheme="minorHAnsi" w:cstheme="minorHAnsi"/>
        </w:rPr>
        <w:t>,</w:t>
      </w:r>
      <w:r>
        <w:t xml:space="preserve"> Note 4.2.2 </w:t>
      </w:r>
      <w:r w:rsidRPr="00FE6A86">
        <w:rPr>
          <w:rStyle w:val="LightItalic"/>
          <w:rFonts w:asciiTheme="minorHAnsi" w:hAnsiTheme="minorHAnsi" w:cstheme="minorHAnsi"/>
        </w:rPr>
        <w:t>Administered asset and liabilities</w:t>
      </w:r>
      <w:r w:rsidRPr="00FE6A86">
        <w:rPr>
          <w:rFonts w:asciiTheme="minorHAnsi" w:hAnsiTheme="minorHAnsi" w:cstheme="minorHAnsi"/>
        </w:rPr>
        <w:t>.</w:t>
      </w:r>
    </w:p>
    <w:p w14:paraId="1B9F33B2" w14:textId="77777777" w:rsidR="00B02873" w:rsidRDefault="00B02873" w:rsidP="00FE6A86">
      <w:pPr>
        <w:pStyle w:val="Heading5"/>
      </w:pPr>
      <w:r>
        <w:lastRenderedPageBreak/>
        <w:t>Debt modification impact assessment</w:t>
      </w:r>
    </w:p>
    <w:p w14:paraId="458F05A3" w14:textId="45275A38" w:rsidR="00B02873" w:rsidRDefault="00B02873" w:rsidP="00FE198A">
      <w:r>
        <w:t xml:space="preserve">When there is a refinancing benefit, AASB 9 requires an assessment to be conducted to determine if the modification of debt is substantial, meaning the difference is at least 10 percent or greater between the present value of the modified cash flow and original cash flow, being both discounted at the original effective interest rate. Substantial debt modification is to be treated as an extinguishment of the existing debt and a recognition of a new liability. </w:t>
      </w:r>
    </w:p>
    <w:p w14:paraId="1AD80D1E" w14:textId="3E0B3F5C" w:rsidR="00B02873" w:rsidRDefault="00B02873" w:rsidP="00FE6A86">
      <w:pPr>
        <w:pStyle w:val="Heading5"/>
      </w:pPr>
      <w:r>
        <w:t>Commitments – Public Private Partnerships (PPP) related commitments</w:t>
      </w:r>
      <w:r w:rsidR="00012C04">
        <w:t xml:space="preserve"> </w:t>
      </w:r>
    </w:p>
    <w:p w14:paraId="6D7BF5A3" w14:textId="77777777" w:rsidR="00B02873" w:rsidRDefault="00B02873" w:rsidP="00FE198A">
      <w:r>
        <w:t>Under the PPP arrangement that the state entered into with AquaSure the state pays a base Water Security Payment, provided the plant is maintained to the appropriate standard, that includes other commitments for its operation, maintenance and lifecycle costs. The nominal amounts for the other commitments below represent the charges payable under the agreement at the end of the reporting period.</w:t>
      </w:r>
    </w:p>
    <w:p w14:paraId="478B61D4" w14:textId="11BCEBEA" w:rsidR="00B02873" w:rsidRDefault="00B02873" w:rsidP="00FE6A86">
      <w:pPr>
        <w:pStyle w:val="Boldheader"/>
      </w:pPr>
      <w:r>
        <w:t>PPP commitments</w:t>
      </w:r>
    </w:p>
    <w:tbl>
      <w:tblPr>
        <w:tblStyle w:val="TableGrid"/>
        <w:tblW w:w="9860" w:type="dxa"/>
        <w:tblLayout w:type="fixed"/>
        <w:tblLook w:val="0020" w:firstRow="1" w:lastRow="0" w:firstColumn="0" w:lastColumn="0" w:noHBand="0" w:noVBand="0"/>
      </w:tblPr>
      <w:tblGrid>
        <w:gridCol w:w="4106"/>
        <w:gridCol w:w="1442"/>
        <w:gridCol w:w="1428"/>
        <w:gridCol w:w="1456"/>
        <w:gridCol w:w="1428"/>
      </w:tblGrid>
      <w:tr w:rsidR="00B02873" w:rsidRPr="00B02873" w14:paraId="27A05264" w14:textId="77777777" w:rsidTr="00D449D4">
        <w:trPr>
          <w:cnfStyle w:val="100000000000" w:firstRow="1" w:lastRow="0" w:firstColumn="0" w:lastColumn="0" w:oddVBand="0" w:evenVBand="0" w:oddHBand="0" w:evenHBand="0" w:firstRowFirstColumn="0" w:firstRowLastColumn="0" w:lastRowFirstColumn="0" w:lastRowLastColumn="0"/>
          <w:trHeight w:val="60"/>
        </w:trPr>
        <w:tc>
          <w:tcPr>
            <w:tcW w:w="4106" w:type="dxa"/>
          </w:tcPr>
          <w:p w14:paraId="1E41337D" w14:textId="77777777" w:rsidR="00B02873" w:rsidRPr="00B02873" w:rsidRDefault="00B02873" w:rsidP="00D449D4">
            <w:pPr>
              <w:pStyle w:val="TableheadingleftFinancialsTables"/>
            </w:pPr>
          </w:p>
        </w:tc>
        <w:tc>
          <w:tcPr>
            <w:tcW w:w="1442" w:type="dxa"/>
          </w:tcPr>
          <w:p w14:paraId="4661004D" w14:textId="1CF86306" w:rsidR="00B02873" w:rsidRDefault="00FE6A86" w:rsidP="00D449D4">
            <w:pPr>
              <w:pStyle w:val="TableheadingleftFinancialsTables"/>
              <w:jc w:val="right"/>
            </w:pPr>
            <w:r>
              <w:t xml:space="preserve">Other commitments </w:t>
            </w:r>
            <w:r w:rsidR="00B02873">
              <w:t>Present value</w:t>
            </w:r>
            <w:r w:rsidR="00D449D4">
              <w:t xml:space="preserve"> </w:t>
            </w:r>
            <w:r w:rsidR="00B02873">
              <w:t>$’000</w:t>
            </w:r>
            <w:r w:rsidR="00D449D4">
              <w:t xml:space="preserve"> 2022</w:t>
            </w:r>
          </w:p>
        </w:tc>
        <w:tc>
          <w:tcPr>
            <w:tcW w:w="1428" w:type="dxa"/>
          </w:tcPr>
          <w:p w14:paraId="1255652A" w14:textId="4744297C" w:rsidR="00B02873" w:rsidRDefault="00FE6A86" w:rsidP="00D449D4">
            <w:pPr>
              <w:pStyle w:val="TableheadingleftFinancialsTables"/>
              <w:jc w:val="right"/>
            </w:pPr>
            <w:r>
              <w:t xml:space="preserve">Other commitments </w:t>
            </w:r>
            <w:r w:rsidR="00B02873">
              <w:t>Nominal value</w:t>
            </w:r>
            <w:r w:rsidR="00D449D4">
              <w:t xml:space="preserve"> </w:t>
            </w:r>
            <w:r w:rsidR="00B02873">
              <w:t>$’000</w:t>
            </w:r>
            <w:r w:rsidR="00D449D4">
              <w:t xml:space="preserve"> 2022</w:t>
            </w:r>
          </w:p>
        </w:tc>
        <w:tc>
          <w:tcPr>
            <w:tcW w:w="1456" w:type="dxa"/>
          </w:tcPr>
          <w:p w14:paraId="7116B1E7" w14:textId="47A95C3B" w:rsidR="00B02873" w:rsidRDefault="00D449D4" w:rsidP="00D449D4">
            <w:pPr>
              <w:pStyle w:val="TableheadingleftFinancialsTables"/>
              <w:jc w:val="right"/>
            </w:pPr>
            <w:r>
              <w:t xml:space="preserve">Other commitments </w:t>
            </w:r>
            <w:r w:rsidR="00B02873">
              <w:t>Present value</w:t>
            </w:r>
            <w:r>
              <w:t xml:space="preserve"> </w:t>
            </w:r>
            <w:r w:rsidR="00B02873">
              <w:t>$’000</w:t>
            </w:r>
            <w:r>
              <w:t xml:space="preserve"> 2021</w:t>
            </w:r>
          </w:p>
        </w:tc>
        <w:tc>
          <w:tcPr>
            <w:tcW w:w="1428" w:type="dxa"/>
          </w:tcPr>
          <w:p w14:paraId="0EB3ED39" w14:textId="30CD1B9E" w:rsidR="00B02873" w:rsidRDefault="00D449D4" w:rsidP="00D449D4">
            <w:pPr>
              <w:pStyle w:val="TableheadingleftFinancialsTables"/>
              <w:jc w:val="right"/>
            </w:pPr>
            <w:r>
              <w:t xml:space="preserve">Other commitments </w:t>
            </w:r>
            <w:r w:rsidR="00B02873">
              <w:t>Nominal value</w:t>
            </w:r>
            <w:r>
              <w:t xml:space="preserve"> </w:t>
            </w:r>
            <w:r w:rsidR="00B02873">
              <w:t>$’000</w:t>
            </w:r>
            <w:r>
              <w:t xml:space="preserve"> 2021</w:t>
            </w:r>
          </w:p>
        </w:tc>
      </w:tr>
      <w:tr w:rsidR="00D449D4" w:rsidRPr="00B02873" w14:paraId="21385449" w14:textId="77777777" w:rsidTr="00D449D4">
        <w:trPr>
          <w:trHeight w:val="60"/>
        </w:trPr>
        <w:tc>
          <w:tcPr>
            <w:tcW w:w="4106" w:type="dxa"/>
          </w:tcPr>
          <w:p w14:paraId="082480A1" w14:textId="77777777" w:rsidR="00D449D4" w:rsidRPr="00D449D4" w:rsidRDefault="00D449D4" w:rsidP="00232A03">
            <w:pPr>
              <w:pStyle w:val="TablebodyleftFinancialsTables"/>
              <w:rPr>
                <w:b/>
                <w:bCs/>
              </w:rPr>
            </w:pPr>
            <w:r w:rsidRPr="00D449D4">
              <w:rPr>
                <w:b/>
                <w:bCs/>
              </w:rPr>
              <w:t>Commissioned PPP – other commitments</w:t>
            </w:r>
          </w:p>
        </w:tc>
        <w:tc>
          <w:tcPr>
            <w:tcW w:w="1442" w:type="dxa"/>
          </w:tcPr>
          <w:p w14:paraId="7B674B6B" w14:textId="77777777" w:rsidR="00D449D4" w:rsidRPr="00D449D4" w:rsidRDefault="00D449D4" w:rsidP="00D449D4">
            <w:pPr>
              <w:pStyle w:val="TablebodyleftFinancialsTables"/>
              <w:jc w:val="right"/>
              <w:rPr>
                <w:b/>
                <w:bCs/>
              </w:rPr>
            </w:pPr>
          </w:p>
        </w:tc>
        <w:tc>
          <w:tcPr>
            <w:tcW w:w="1428" w:type="dxa"/>
          </w:tcPr>
          <w:p w14:paraId="44C54B25" w14:textId="77777777" w:rsidR="00D449D4" w:rsidRPr="00D449D4" w:rsidRDefault="00D449D4" w:rsidP="00D449D4">
            <w:pPr>
              <w:pStyle w:val="TablebodyleftFinancialsTables"/>
              <w:jc w:val="right"/>
              <w:rPr>
                <w:b/>
                <w:bCs/>
              </w:rPr>
            </w:pPr>
          </w:p>
        </w:tc>
        <w:tc>
          <w:tcPr>
            <w:tcW w:w="1456" w:type="dxa"/>
          </w:tcPr>
          <w:p w14:paraId="5FE0AD45" w14:textId="77777777" w:rsidR="00D449D4" w:rsidRDefault="00D449D4" w:rsidP="00D449D4">
            <w:pPr>
              <w:pStyle w:val="TablebodyleftFinancialsTables"/>
              <w:jc w:val="right"/>
            </w:pPr>
          </w:p>
        </w:tc>
        <w:tc>
          <w:tcPr>
            <w:tcW w:w="1428" w:type="dxa"/>
          </w:tcPr>
          <w:p w14:paraId="4964204F" w14:textId="77777777" w:rsidR="00D449D4" w:rsidRDefault="00D449D4" w:rsidP="00D449D4">
            <w:pPr>
              <w:pStyle w:val="TablebodyleftFinancialsTables"/>
              <w:jc w:val="right"/>
            </w:pPr>
          </w:p>
        </w:tc>
      </w:tr>
      <w:tr w:rsidR="00B02873" w:rsidRPr="00B02873" w14:paraId="4B8CB1F3" w14:textId="77777777" w:rsidTr="00D449D4">
        <w:trPr>
          <w:trHeight w:val="60"/>
        </w:trPr>
        <w:tc>
          <w:tcPr>
            <w:tcW w:w="4106" w:type="dxa"/>
          </w:tcPr>
          <w:p w14:paraId="4C858006" w14:textId="77777777" w:rsidR="00B02873" w:rsidRPr="00D449D4" w:rsidRDefault="00B02873" w:rsidP="00FE6A86">
            <w:pPr>
              <w:pStyle w:val="TablebodyleftFinancialsTables"/>
              <w:rPr>
                <w:b/>
                <w:bCs/>
              </w:rPr>
            </w:pPr>
            <w:r w:rsidRPr="00D449D4">
              <w:rPr>
                <w:b/>
                <w:bCs/>
              </w:rPr>
              <w:t>Victorian Desalination Project</w:t>
            </w:r>
          </w:p>
        </w:tc>
        <w:tc>
          <w:tcPr>
            <w:tcW w:w="1442" w:type="dxa"/>
          </w:tcPr>
          <w:p w14:paraId="388D3AC6" w14:textId="77777777" w:rsidR="00B02873" w:rsidRPr="00D449D4" w:rsidRDefault="00B02873" w:rsidP="00D449D4">
            <w:pPr>
              <w:pStyle w:val="TablebodyleftFinancialsTables"/>
              <w:jc w:val="right"/>
              <w:rPr>
                <w:b/>
                <w:bCs/>
              </w:rPr>
            </w:pPr>
            <w:r w:rsidRPr="00D449D4">
              <w:rPr>
                <w:b/>
                <w:bCs/>
              </w:rPr>
              <w:t>1,482,982</w:t>
            </w:r>
          </w:p>
        </w:tc>
        <w:tc>
          <w:tcPr>
            <w:tcW w:w="1428" w:type="dxa"/>
          </w:tcPr>
          <w:p w14:paraId="1D149A8B" w14:textId="77777777" w:rsidR="00B02873" w:rsidRPr="00D449D4" w:rsidRDefault="00B02873" w:rsidP="00D449D4">
            <w:pPr>
              <w:pStyle w:val="TablebodyleftFinancialsTables"/>
              <w:jc w:val="right"/>
              <w:rPr>
                <w:b/>
                <w:bCs/>
              </w:rPr>
            </w:pPr>
            <w:r w:rsidRPr="00D449D4">
              <w:rPr>
                <w:b/>
                <w:bCs/>
              </w:rPr>
              <w:t>3,407,894</w:t>
            </w:r>
          </w:p>
        </w:tc>
        <w:tc>
          <w:tcPr>
            <w:tcW w:w="1456" w:type="dxa"/>
          </w:tcPr>
          <w:p w14:paraId="3A798D74" w14:textId="77777777" w:rsidR="00B02873" w:rsidRDefault="00B02873" w:rsidP="00D449D4">
            <w:pPr>
              <w:pStyle w:val="TablebodyleftFinancialsTables"/>
              <w:jc w:val="right"/>
            </w:pPr>
            <w:r>
              <w:t>1,532,975</w:t>
            </w:r>
          </w:p>
        </w:tc>
        <w:tc>
          <w:tcPr>
            <w:tcW w:w="1428" w:type="dxa"/>
          </w:tcPr>
          <w:p w14:paraId="64347581" w14:textId="77777777" w:rsidR="00B02873" w:rsidRDefault="00B02873" w:rsidP="00D449D4">
            <w:pPr>
              <w:pStyle w:val="TablebodyleftFinancialsTables"/>
              <w:jc w:val="right"/>
            </w:pPr>
            <w:r>
              <w:t>3,602,509</w:t>
            </w:r>
          </w:p>
        </w:tc>
      </w:tr>
      <w:tr w:rsidR="00B02873" w:rsidRPr="00B02873" w14:paraId="039145AA" w14:textId="77777777" w:rsidTr="00D449D4">
        <w:trPr>
          <w:trHeight w:val="60"/>
        </w:trPr>
        <w:tc>
          <w:tcPr>
            <w:tcW w:w="4106" w:type="dxa"/>
          </w:tcPr>
          <w:p w14:paraId="6F939A2E" w14:textId="77777777" w:rsidR="00B02873" w:rsidRPr="00D449D4" w:rsidRDefault="00B02873" w:rsidP="00FE6A86">
            <w:pPr>
              <w:pStyle w:val="TablebodyleftFinancialsTables"/>
              <w:rPr>
                <w:b/>
                <w:bCs/>
              </w:rPr>
            </w:pPr>
            <w:r w:rsidRPr="00D449D4">
              <w:rPr>
                <w:b/>
                <w:bCs/>
              </w:rPr>
              <w:t>Total</w:t>
            </w:r>
          </w:p>
        </w:tc>
        <w:tc>
          <w:tcPr>
            <w:tcW w:w="1442" w:type="dxa"/>
          </w:tcPr>
          <w:p w14:paraId="0C8ECDED" w14:textId="77777777" w:rsidR="00B02873" w:rsidRPr="00D449D4" w:rsidRDefault="00B02873" w:rsidP="00D449D4">
            <w:pPr>
              <w:pStyle w:val="TablebodyleftFinancialsTables"/>
              <w:jc w:val="right"/>
              <w:rPr>
                <w:b/>
                <w:bCs/>
              </w:rPr>
            </w:pPr>
            <w:r w:rsidRPr="00D449D4">
              <w:rPr>
                <w:b/>
                <w:bCs/>
              </w:rPr>
              <w:t>1,482,982</w:t>
            </w:r>
          </w:p>
        </w:tc>
        <w:tc>
          <w:tcPr>
            <w:tcW w:w="1428" w:type="dxa"/>
          </w:tcPr>
          <w:p w14:paraId="5D7EB046" w14:textId="77777777" w:rsidR="00B02873" w:rsidRPr="00D449D4" w:rsidRDefault="00B02873" w:rsidP="00D449D4">
            <w:pPr>
              <w:pStyle w:val="TablebodyleftFinancialsTables"/>
              <w:jc w:val="right"/>
              <w:rPr>
                <w:b/>
                <w:bCs/>
              </w:rPr>
            </w:pPr>
            <w:r w:rsidRPr="00D449D4">
              <w:rPr>
                <w:b/>
                <w:bCs/>
              </w:rPr>
              <w:t>3,407,894</w:t>
            </w:r>
          </w:p>
        </w:tc>
        <w:tc>
          <w:tcPr>
            <w:tcW w:w="1456" w:type="dxa"/>
          </w:tcPr>
          <w:p w14:paraId="603D4997" w14:textId="77777777" w:rsidR="00B02873" w:rsidRDefault="00B02873" w:rsidP="00D449D4">
            <w:pPr>
              <w:pStyle w:val="TablebodyleftFinancialsTables"/>
              <w:jc w:val="right"/>
            </w:pPr>
            <w:r>
              <w:t>1,532,975</w:t>
            </w:r>
          </w:p>
        </w:tc>
        <w:tc>
          <w:tcPr>
            <w:tcW w:w="1428" w:type="dxa"/>
          </w:tcPr>
          <w:p w14:paraId="2A3D0FBB" w14:textId="77777777" w:rsidR="00B02873" w:rsidRDefault="00B02873" w:rsidP="00D449D4">
            <w:pPr>
              <w:pStyle w:val="TablebodyleftFinancialsTables"/>
              <w:jc w:val="right"/>
            </w:pPr>
            <w:r>
              <w:t>3,602,509</w:t>
            </w:r>
          </w:p>
        </w:tc>
      </w:tr>
    </w:tbl>
    <w:p w14:paraId="2AA25578" w14:textId="77777777" w:rsidR="00B02873" w:rsidRPr="00D449D4" w:rsidRDefault="00B02873" w:rsidP="00D449D4">
      <w:pPr>
        <w:pStyle w:val="SourceNote"/>
        <w:spacing w:after="120"/>
        <w:rPr>
          <w:b/>
          <w:bCs/>
        </w:rPr>
      </w:pPr>
      <w:r w:rsidRPr="00D449D4">
        <w:rPr>
          <w:b/>
          <w:bCs/>
        </w:rPr>
        <w:t>Note:</w:t>
      </w:r>
    </w:p>
    <w:p w14:paraId="30B5B622" w14:textId="6B64DFFF" w:rsidR="00B02873" w:rsidRDefault="00B02873" w:rsidP="001128B1">
      <w:pPr>
        <w:pStyle w:val="SourceNotenumbered"/>
        <w:numPr>
          <w:ilvl w:val="0"/>
          <w:numId w:val="81"/>
        </w:numPr>
      </w:pPr>
      <w:r>
        <w:t>Net values are also disclosed at nominal values, exclusive of GST in Note 4.2.4(b).</w:t>
      </w:r>
      <w:r w:rsidR="00012C04">
        <w:t xml:space="preserve"> </w:t>
      </w:r>
    </w:p>
    <w:p w14:paraId="46191283" w14:textId="5BA766C2" w:rsidR="00B02873" w:rsidRDefault="00B02873" w:rsidP="00BD1F1E">
      <w:pPr>
        <w:pStyle w:val="SourceNotenumbered"/>
      </w:pPr>
      <w:r>
        <w:t xml:space="preserve">The present value of the ‘Other commitments’ have been discounted to 30 June of the respective financial years. The basis for discounting has been to take each 12-month period of cash flows and discount these cash flows at the end of the period using the annual discount rate. The discount rate used to calculate the present value of the commitment is 9.99 percent which is the nominal pre-tax discount rate representative of the overall risk of the project at inception. </w:t>
      </w:r>
    </w:p>
    <w:p w14:paraId="4AE81577" w14:textId="77777777" w:rsidR="00B02873" w:rsidRDefault="00B02873" w:rsidP="00BD1F1E">
      <w:pPr>
        <w:pStyle w:val="SourceNotenumbered"/>
      </w:pPr>
      <w:r>
        <w:t>The ‘Other commitments’ have been updated to reflect indexation factors, such as Consumer Price Index, Producer Price Index, Polymer Manufacturing Index, and Average Weekly Earnings Index. Commitments are updated for the change in actual amounts paid and forecast percentage increases are based on the original forecasted indices and applied to the adjusted actual payments. This methodology has been applied to reduce volatility in the forecast ‘Other commitments’.</w:t>
      </w:r>
    </w:p>
    <w:p w14:paraId="448C42F5" w14:textId="58EDA909" w:rsidR="00B02873" w:rsidRDefault="00B02873" w:rsidP="00BD1F1E">
      <w:pPr>
        <w:pStyle w:val="SourceNotenumbered"/>
        <w:spacing w:after="200"/>
        <w:ind w:left="357" w:hanging="357"/>
      </w:pPr>
      <w:r>
        <w:t>Net costs associated with the 125 billion litres of water delivered for the 2021-22 financial year have been reflected in commitments for 2021 (2021: 125 billion litres of water). The announcement of the 15GL water order for 2022-23 is a binding commitment and has been included in 2022. The announcement of the 75GL water order for 2023-24 and 2024-25 are non-binding commitments and have not been included.</w:t>
      </w:r>
    </w:p>
    <w:p w14:paraId="53F18AD8" w14:textId="5618E165" w:rsidR="00B02873" w:rsidRDefault="00B02873" w:rsidP="00D449D4">
      <w:pPr>
        <w:pStyle w:val="TabletitleTables"/>
      </w:pPr>
      <w:r>
        <w:t>Victorian Desalination Project PPP other commitments payable</w:t>
      </w:r>
    </w:p>
    <w:tbl>
      <w:tblPr>
        <w:tblStyle w:val="TableGrid"/>
        <w:tblW w:w="9638" w:type="dxa"/>
        <w:tblLayout w:type="fixed"/>
        <w:tblLook w:val="0020" w:firstRow="1" w:lastRow="0" w:firstColumn="0" w:lastColumn="0" w:noHBand="0" w:noVBand="0"/>
      </w:tblPr>
      <w:tblGrid>
        <w:gridCol w:w="7225"/>
        <w:gridCol w:w="1222"/>
        <w:gridCol w:w="1191"/>
      </w:tblGrid>
      <w:tr w:rsidR="00B02873" w:rsidRPr="00B02873" w14:paraId="5E6670E9" w14:textId="77777777" w:rsidTr="00714844">
        <w:trPr>
          <w:cnfStyle w:val="100000000000" w:firstRow="1" w:lastRow="0" w:firstColumn="0" w:lastColumn="0" w:oddVBand="0" w:evenVBand="0" w:oddHBand="0" w:evenHBand="0" w:firstRowFirstColumn="0" w:firstRowLastColumn="0" w:lastRowFirstColumn="0" w:lastRowLastColumn="0"/>
          <w:tblHeader/>
        </w:trPr>
        <w:tc>
          <w:tcPr>
            <w:tcW w:w="7225" w:type="dxa"/>
          </w:tcPr>
          <w:p w14:paraId="74685223" w14:textId="77777777" w:rsidR="00B02873" w:rsidRPr="00B02873" w:rsidRDefault="00B02873" w:rsidP="00C9239D">
            <w:pPr>
              <w:pStyle w:val="TableheadingleftFinancialsTables"/>
              <w:spacing w:before="16" w:after="16"/>
            </w:pPr>
          </w:p>
        </w:tc>
        <w:tc>
          <w:tcPr>
            <w:tcW w:w="1222" w:type="dxa"/>
          </w:tcPr>
          <w:p w14:paraId="61240877" w14:textId="77777777" w:rsidR="00B02873" w:rsidRPr="00C9239D" w:rsidRDefault="00B02873" w:rsidP="00C9239D">
            <w:pPr>
              <w:pStyle w:val="TableheadingleftFinancialsTables"/>
              <w:spacing w:before="16" w:after="16"/>
              <w:jc w:val="right"/>
            </w:pPr>
            <w:r w:rsidRPr="00C9239D">
              <w:t>2022</w:t>
            </w:r>
            <w:r w:rsidRPr="00C9239D">
              <w:br/>
              <w:t>$’000</w:t>
            </w:r>
          </w:p>
        </w:tc>
        <w:tc>
          <w:tcPr>
            <w:tcW w:w="1191" w:type="dxa"/>
          </w:tcPr>
          <w:p w14:paraId="3E65B1E5" w14:textId="77777777" w:rsidR="00B02873" w:rsidRDefault="00B02873" w:rsidP="00C9239D">
            <w:pPr>
              <w:pStyle w:val="TableheadingleftFinancialsTables"/>
              <w:spacing w:before="16" w:after="16"/>
              <w:jc w:val="right"/>
            </w:pPr>
            <w:r>
              <w:t>2021</w:t>
            </w:r>
            <w:r>
              <w:br/>
              <w:t>$’000</w:t>
            </w:r>
          </w:p>
        </w:tc>
      </w:tr>
      <w:tr w:rsidR="00C9239D" w:rsidRPr="00B02873" w14:paraId="64BD678A" w14:textId="77777777" w:rsidTr="00714844">
        <w:tc>
          <w:tcPr>
            <w:tcW w:w="7225" w:type="dxa"/>
          </w:tcPr>
          <w:p w14:paraId="538CE95D" w14:textId="77777777" w:rsidR="00C9239D" w:rsidRPr="00C9239D" w:rsidRDefault="00C9239D" w:rsidP="00C9239D">
            <w:pPr>
              <w:pStyle w:val="TablebodyleftFinancialsTables"/>
              <w:spacing w:before="16" w:after="16"/>
              <w:rPr>
                <w:b/>
                <w:bCs/>
              </w:rPr>
            </w:pPr>
            <w:r w:rsidRPr="00C9239D">
              <w:rPr>
                <w:b/>
                <w:bCs/>
              </w:rPr>
              <w:t>PPP commitments payable – Victorian Desalination Project</w:t>
            </w:r>
          </w:p>
        </w:tc>
        <w:tc>
          <w:tcPr>
            <w:tcW w:w="1222" w:type="dxa"/>
          </w:tcPr>
          <w:p w14:paraId="5FE1852D" w14:textId="77777777" w:rsidR="00C9239D" w:rsidRPr="00C9239D" w:rsidRDefault="00C9239D" w:rsidP="00C9239D">
            <w:pPr>
              <w:pStyle w:val="TablebodyleftFinancialsTables"/>
              <w:spacing w:before="16" w:after="16"/>
              <w:jc w:val="right"/>
              <w:rPr>
                <w:b/>
                <w:bCs/>
              </w:rPr>
            </w:pPr>
          </w:p>
        </w:tc>
        <w:tc>
          <w:tcPr>
            <w:tcW w:w="1191" w:type="dxa"/>
          </w:tcPr>
          <w:p w14:paraId="1B0688DE" w14:textId="07E767FC" w:rsidR="00C9239D" w:rsidRDefault="00C9239D" w:rsidP="00C9239D">
            <w:pPr>
              <w:pStyle w:val="TablebodyleftFinancialsTables"/>
              <w:spacing w:before="16" w:after="16"/>
              <w:jc w:val="right"/>
            </w:pPr>
          </w:p>
        </w:tc>
      </w:tr>
      <w:tr w:rsidR="00B02873" w:rsidRPr="00B02873" w14:paraId="34CFF25B" w14:textId="77777777" w:rsidTr="00714844">
        <w:tc>
          <w:tcPr>
            <w:tcW w:w="7225" w:type="dxa"/>
          </w:tcPr>
          <w:p w14:paraId="513A107E" w14:textId="77777777" w:rsidR="00B02873" w:rsidRPr="00C9239D" w:rsidRDefault="00B02873" w:rsidP="00C9239D">
            <w:pPr>
              <w:pStyle w:val="TablebodyleftFinancialsTables"/>
              <w:spacing w:before="16" w:after="16"/>
              <w:rPr>
                <w:b/>
                <w:bCs/>
              </w:rPr>
            </w:pPr>
            <w:r w:rsidRPr="00C9239D">
              <w:rPr>
                <w:b/>
                <w:bCs/>
              </w:rPr>
              <w:t>Other commitments</w:t>
            </w:r>
          </w:p>
        </w:tc>
        <w:tc>
          <w:tcPr>
            <w:tcW w:w="1222" w:type="dxa"/>
          </w:tcPr>
          <w:p w14:paraId="3B97992D" w14:textId="77777777" w:rsidR="00B02873" w:rsidRPr="00C9239D" w:rsidRDefault="00B02873" w:rsidP="00C9239D">
            <w:pPr>
              <w:pStyle w:val="TablebodyleftFinancialsTables"/>
              <w:spacing w:before="16" w:after="16"/>
              <w:jc w:val="right"/>
              <w:rPr>
                <w:rFonts w:ascii="VIC Bold Italic" w:hAnsi="VIC Bold Italic" w:cs="Times New Roman"/>
                <w:b/>
                <w:bCs/>
              </w:rPr>
            </w:pPr>
          </w:p>
        </w:tc>
        <w:tc>
          <w:tcPr>
            <w:tcW w:w="1191" w:type="dxa"/>
          </w:tcPr>
          <w:p w14:paraId="41DC204D" w14:textId="77777777" w:rsidR="00B02873" w:rsidRPr="00B02873" w:rsidRDefault="00B02873" w:rsidP="00C9239D">
            <w:pPr>
              <w:pStyle w:val="TablebodyleftFinancialsTables"/>
              <w:spacing w:before="16" w:after="16"/>
              <w:jc w:val="right"/>
              <w:rPr>
                <w:rFonts w:ascii="VIC Bold Italic" w:hAnsi="VIC Bold Italic" w:cs="Times New Roman"/>
              </w:rPr>
            </w:pPr>
          </w:p>
        </w:tc>
      </w:tr>
      <w:tr w:rsidR="00B02873" w:rsidRPr="00B02873" w14:paraId="494C1689" w14:textId="77777777" w:rsidTr="00714844">
        <w:tc>
          <w:tcPr>
            <w:tcW w:w="7225" w:type="dxa"/>
          </w:tcPr>
          <w:p w14:paraId="2891525E" w14:textId="77777777" w:rsidR="00B02873" w:rsidRDefault="00B02873" w:rsidP="00C9239D">
            <w:pPr>
              <w:pStyle w:val="TablebodyleftFinancialsTables"/>
              <w:spacing w:before="16" w:after="16"/>
            </w:pPr>
            <w:r>
              <w:t>Not later than one year</w:t>
            </w:r>
          </w:p>
        </w:tc>
        <w:tc>
          <w:tcPr>
            <w:tcW w:w="1222" w:type="dxa"/>
          </w:tcPr>
          <w:p w14:paraId="6A11BAA9" w14:textId="77777777" w:rsidR="00B02873" w:rsidRPr="00C9239D" w:rsidRDefault="00B02873" w:rsidP="00C9239D">
            <w:pPr>
              <w:pStyle w:val="TablebodyleftFinancialsTables"/>
              <w:spacing w:before="16" w:after="16"/>
              <w:jc w:val="right"/>
              <w:rPr>
                <w:b/>
                <w:bCs/>
              </w:rPr>
            </w:pPr>
            <w:r w:rsidRPr="00C9239D">
              <w:rPr>
                <w:b/>
                <w:bCs/>
              </w:rPr>
              <w:t>173,911</w:t>
            </w:r>
          </w:p>
        </w:tc>
        <w:tc>
          <w:tcPr>
            <w:tcW w:w="1191" w:type="dxa"/>
          </w:tcPr>
          <w:p w14:paraId="4532CF6B" w14:textId="77777777" w:rsidR="00B02873" w:rsidRDefault="00B02873" w:rsidP="00C9239D">
            <w:pPr>
              <w:pStyle w:val="TablebodyleftFinancialsTables"/>
              <w:spacing w:before="16" w:after="16"/>
              <w:jc w:val="right"/>
            </w:pPr>
            <w:r>
              <w:t>240,661</w:t>
            </w:r>
          </w:p>
        </w:tc>
      </w:tr>
      <w:tr w:rsidR="00B02873" w:rsidRPr="00B02873" w14:paraId="7ED78357" w14:textId="77777777" w:rsidTr="00714844">
        <w:tc>
          <w:tcPr>
            <w:tcW w:w="7225" w:type="dxa"/>
          </w:tcPr>
          <w:p w14:paraId="0709575F" w14:textId="77777777" w:rsidR="00B02873" w:rsidRDefault="00B02873" w:rsidP="00C9239D">
            <w:pPr>
              <w:pStyle w:val="TablebodyleftFinancialsTables"/>
              <w:spacing w:before="16" w:after="16"/>
            </w:pPr>
            <w:r>
              <w:t>Later than one year but no later than five years</w:t>
            </w:r>
          </w:p>
        </w:tc>
        <w:tc>
          <w:tcPr>
            <w:tcW w:w="1222" w:type="dxa"/>
          </w:tcPr>
          <w:p w14:paraId="0C698393" w14:textId="77777777" w:rsidR="00B02873" w:rsidRPr="00C9239D" w:rsidRDefault="00B02873" w:rsidP="00C9239D">
            <w:pPr>
              <w:pStyle w:val="TablebodyleftFinancialsTables"/>
              <w:spacing w:before="16" w:after="16"/>
              <w:jc w:val="right"/>
              <w:rPr>
                <w:b/>
                <w:bCs/>
              </w:rPr>
            </w:pPr>
            <w:r w:rsidRPr="00C9239D">
              <w:rPr>
                <w:b/>
                <w:bCs/>
              </w:rPr>
              <w:t>676,234</w:t>
            </w:r>
          </w:p>
        </w:tc>
        <w:tc>
          <w:tcPr>
            <w:tcW w:w="1191" w:type="dxa"/>
          </w:tcPr>
          <w:p w14:paraId="46E94A63" w14:textId="77777777" w:rsidR="00B02873" w:rsidRDefault="00B02873" w:rsidP="00C9239D">
            <w:pPr>
              <w:pStyle w:val="TablebodyleftFinancialsTables"/>
              <w:spacing w:before="16" w:after="16"/>
              <w:jc w:val="right"/>
            </w:pPr>
            <w:r>
              <w:t>658,061</w:t>
            </w:r>
          </w:p>
        </w:tc>
      </w:tr>
      <w:tr w:rsidR="00B02873" w:rsidRPr="00B02873" w14:paraId="49C0458D" w14:textId="77777777" w:rsidTr="00714844">
        <w:tc>
          <w:tcPr>
            <w:tcW w:w="7225" w:type="dxa"/>
          </w:tcPr>
          <w:p w14:paraId="2CD69678" w14:textId="77777777" w:rsidR="00B02873" w:rsidRDefault="00B02873" w:rsidP="00C9239D">
            <w:pPr>
              <w:pStyle w:val="TablebodyleftFinancialsTables"/>
              <w:spacing w:before="16" w:after="16"/>
            </w:pPr>
            <w:r>
              <w:t>Later than five years</w:t>
            </w:r>
          </w:p>
        </w:tc>
        <w:tc>
          <w:tcPr>
            <w:tcW w:w="1222" w:type="dxa"/>
          </w:tcPr>
          <w:p w14:paraId="3F5748CB" w14:textId="77777777" w:rsidR="00B02873" w:rsidRPr="00C9239D" w:rsidRDefault="00B02873" w:rsidP="00C9239D">
            <w:pPr>
              <w:pStyle w:val="TablebodyleftFinancialsTables"/>
              <w:spacing w:before="16" w:after="16"/>
              <w:jc w:val="right"/>
              <w:rPr>
                <w:b/>
                <w:bCs/>
              </w:rPr>
            </w:pPr>
            <w:r w:rsidRPr="00C9239D">
              <w:rPr>
                <w:b/>
                <w:bCs/>
              </w:rPr>
              <w:t>2,898,538</w:t>
            </w:r>
          </w:p>
        </w:tc>
        <w:tc>
          <w:tcPr>
            <w:tcW w:w="1191" w:type="dxa"/>
          </w:tcPr>
          <w:p w14:paraId="12906D5D" w14:textId="77777777" w:rsidR="00B02873" w:rsidRDefault="00B02873" w:rsidP="00C9239D">
            <w:pPr>
              <w:pStyle w:val="TablebodyleftFinancialsTables"/>
              <w:spacing w:before="16" w:after="16"/>
              <w:jc w:val="right"/>
            </w:pPr>
            <w:r>
              <w:t>3,064,038</w:t>
            </w:r>
          </w:p>
        </w:tc>
      </w:tr>
      <w:tr w:rsidR="00B02873" w:rsidRPr="00B02873" w14:paraId="564FA806" w14:textId="77777777" w:rsidTr="00714844">
        <w:tc>
          <w:tcPr>
            <w:tcW w:w="7225" w:type="dxa"/>
          </w:tcPr>
          <w:p w14:paraId="703917F9" w14:textId="77777777" w:rsidR="00B02873" w:rsidRPr="00C9239D" w:rsidRDefault="00B02873" w:rsidP="00C9239D">
            <w:pPr>
              <w:pStyle w:val="TablebodyleftFinancialsTables"/>
              <w:spacing w:before="16" w:after="16"/>
              <w:rPr>
                <w:b/>
                <w:bCs/>
              </w:rPr>
            </w:pPr>
            <w:r w:rsidRPr="00C9239D">
              <w:rPr>
                <w:b/>
                <w:bCs/>
              </w:rPr>
              <w:t>Total PPP commitments for expenditure (inclusive of GST)</w:t>
            </w:r>
          </w:p>
        </w:tc>
        <w:tc>
          <w:tcPr>
            <w:tcW w:w="1222" w:type="dxa"/>
          </w:tcPr>
          <w:p w14:paraId="59599EEC" w14:textId="77777777" w:rsidR="00B02873" w:rsidRPr="00C9239D" w:rsidRDefault="00B02873" w:rsidP="00C9239D">
            <w:pPr>
              <w:pStyle w:val="TablebodyleftFinancialsTables"/>
              <w:spacing w:before="16" w:after="16"/>
              <w:jc w:val="right"/>
              <w:rPr>
                <w:b/>
                <w:bCs/>
              </w:rPr>
            </w:pPr>
            <w:r w:rsidRPr="00C9239D">
              <w:rPr>
                <w:b/>
                <w:bCs/>
              </w:rPr>
              <w:t>3,748,683</w:t>
            </w:r>
          </w:p>
        </w:tc>
        <w:tc>
          <w:tcPr>
            <w:tcW w:w="1191" w:type="dxa"/>
          </w:tcPr>
          <w:p w14:paraId="5E329A20" w14:textId="77777777" w:rsidR="00B02873" w:rsidRDefault="00B02873" w:rsidP="00C9239D">
            <w:pPr>
              <w:pStyle w:val="TablebodyleftFinancialsTables"/>
              <w:spacing w:before="16" w:after="16"/>
              <w:jc w:val="right"/>
            </w:pPr>
            <w:r>
              <w:t>3,962,760</w:t>
            </w:r>
          </w:p>
        </w:tc>
      </w:tr>
      <w:tr w:rsidR="00B02873" w:rsidRPr="00B02873" w14:paraId="2879C466" w14:textId="77777777" w:rsidTr="00714844">
        <w:tc>
          <w:tcPr>
            <w:tcW w:w="7225" w:type="dxa"/>
          </w:tcPr>
          <w:p w14:paraId="48EDC552" w14:textId="77777777" w:rsidR="00B02873" w:rsidRDefault="00B02873" w:rsidP="00C9239D">
            <w:pPr>
              <w:pStyle w:val="TablebodyleftFinancialsTables"/>
              <w:spacing w:before="16" w:after="16"/>
            </w:pPr>
            <w:r>
              <w:t>Less GST recoverable from the Australian Taxation Office</w:t>
            </w:r>
          </w:p>
        </w:tc>
        <w:tc>
          <w:tcPr>
            <w:tcW w:w="1222" w:type="dxa"/>
          </w:tcPr>
          <w:p w14:paraId="64B7BE24" w14:textId="77777777" w:rsidR="00B02873" w:rsidRPr="00C9239D" w:rsidRDefault="00B02873" w:rsidP="00C9239D">
            <w:pPr>
              <w:pStyle w:val="TablebodyleftFinancialsTables"/>
              <w:spacing w:before="16" w:after="16"/>
              <w:jc w:val="right"/>
              <w:rPr>
                <w:b/>
                <w:bCs/>
              </w:rPr>
            </w:pPr>
            <w:r w:rsidRPr="00C9239D">
              <w:rPr>
                <w:b/>
                <w:bCs/>
              </w:rPr>
              <w:t>(340,789)</w:t>
            </w:r>
          </w:p>
        </w:tc>
        <w:tc>
          <w:tcPr>
            <w:tcW w:w="1191" w:type="dxa"/>
          </w:tcPr>
          <w:p w14:paraId="780665BC" w14:textId="77777777" w:rsidR="00B02873" w:rsidRDefault="00B02873" w:rsidP="00C9239D">
            <w:pPr>
              <w:pStyle w:val="TablebodyleftFinancialsTables"/>
              <w:spacing w:before="16" w:after="16"/>
              <w:jc w:val="right"/>
            </w:pPr>
            <w:r>
              <w:t>(360,251)</w:t>
            </w:r>
          </w:p>
        </w:tc>
      </w:tr>
      <w:tr w:rsidR="00B02873" w:rsidRPr="00B02873" w14:paraId="7776CF95" w14:textId="77777777" w:rsidTr="00714844">
        <w:tc>
          <w:tcPr>
            <w:tcW w:w="7225" w:type="dxa"/>
          </w:tcPr>
          <w:p w14:paraId="6270547F" w14:textId="77777777" w:rsidR="00B02873" w:rsidRPr="00C9239D" w:rsidRDefault="00B02873" w:rsidP="00C9239D">
            <w:pPr>
              <w:pStyle w:val="TablebodyleftFinancialsTables"/>
              <w:spacing w:before="16" w:after="16"/>
              <w:rPr>
                <w:b/>
                <w:bCs/>
              </w:rPr>
            </w:pPr>
            <w:r w:rsidRPr="00C9239D">
              <w:rPr>
                <w:b/>
                <w:bCs/>
              </w:rPr>
              <w:t>Total commitments for expenditure (exclusive of GST)</w:t>
            </w:r>
          </w:p>
        </w:tc>
        <w:tc>
          <w:tcPr>
            <w:tcW w:w="1222" w:type="dxa"/>
          </w:tcPr>
          <w:p w14:paraId="0A666501" w14:textId="77777777" w:rsidR="00B02873" w:rsidRPr="00C9239D" w:rsidRDefault="00B02873" w:rsidP="00C9239D">
            <w:pPr>
              <w:pStyle w:val="TablebodyleftFinancialsTables"/>
              <w:spacing w:before="16" w:after="16"/>
              <w:jc w:val="right"/>
              <w:rPr>
                <w:b/>
                <w:bCs/>
              </w:rPr>
            </w:pPr>
            <w:r w:rsidRPr="00C9239D">
              <w:rPr>
                <w:b/>
                <w:bCs/>
              </w:rPr>
              <w:t>3,407,894</w:t>
            </w:r>
          </w:p>
        </w:tc>
        <w:tc>
          <w:tcPr>
            <w:tcW w:w="1191" w:type="dxa"/>
          </w:tcPr>
          <w:p w14:paraId="153D9B2D" w14:textId="77777777" w:rsidR="00B02873" w:rsidRDefault="00B02873" w:rsidP="00C9239D">
            <w:pPr>
              <w:pStyle w:val="TablebodyleftFinancialsTables"/>
              <w:spacing w:before="16" w:after="16"/>
              <w:jc w:val="right"/>
            </w:pPr>
            <w:r>
              <w:t>3,602,509</w:t>
            </w:r>
          </w:p>
        </w:tc>
      </w:tr>
    </w:tbl>
    <w:p w14:paraId="270A3614" w14:textId="77777777" w:rsidR="00B02873" w:rsidRDefault="00B02873" w:rsidP="00C9239D">
      <w:pPr>
        <w:pStyle w:val="TabletitleTables"/>
      </w:pPr>
      <w:r>
        <w:lastRenderedPageBreak/>
        <w:t xml:space="preserve">Victorian Desalination Project PPP other commitments receivable from Melbourne Water Corporation </w:t>
      </w:r>
    </w:p>
    <w:tbl>
      <w:tblPr>
        <w:tblStyle w:val="TableGrid"/>
        <w:tblW w:w="9638" w:type="dxa"/>
        <w:tblLayout w:type="fixed"/>
        <w:tblLook w:val="0020" w:firstRow="1" w:lastRow="0" w:firstColumn="0" w:lastColumn="0" w:noHBand="0" w:noVBand="0"/>
      </w:tblPr>
      <w:tblGrid>
        <w:gridCol w:w="7225"/>
        <w:gridCol w:w="1222"/>
        <w:gridCol w:w="1191"/>
      </w:tblGrid>
      <w:tr w:rsidR="00B02873" w:rsidRPr="00B02873" w14:paraId="624F02A5" w14:textId="77777777" w:rsidTr="00714844">
        <w:trPr>
          <w:cnfStyle w:val="100000000000" w:firstRow="1" w:lastRow="0" w:firstColumn="0" w:lastColumn="0" w:oddVBand="0" w:evenVBand="0" w:oddHBand="0" w:evenHBand="0" w:firstRowFirstColumn="0" w:firstRowLastColumn="0" w:lastRowFirstColumn="0" w:lastRowLastColumn="0"/>
        </w:trPr>
        <w:tc>
          <w:tcPr>
            <w:tcW w:w="7225" w:type="dxa"/>
          </w:tcPr>
          <w:p w14:paraId="4DC96F89" w14:textId="77777777" w:rsidR="00B02873" w:rsidRPr="00B02873" w:rsidRDefault="00B02873" w:rsidP="00C9239D">
            <w:pPr>
              <w:pStyle w:val="TableheadingleftFinancialsTables"/>
            </w:pPr>
          </w:p>
        </w:tc>
        <w:tc>
          <w:tcPr>
            <w:tcW w:w="1222" w:type="dxa"/>
          </w:tcPr>
          <w:p w14:paraId="43C8C58B" w14:textId="77777777" w:rsidR="00B02873" w:rsidRPr="00427DD5" w:rsidRDefault="00B02873" w:rsidP="00427DD5">
            <w:pPr>
              <w:pStyle w:val="TableheadingleftFinancialsTables"/>
              <w:jc w:val="right"/>
            </w:pPr>
            <w:r w:rsidRPr="00427DD5">
              <w:t>2022</w:t>
            </w:r>
            <w:r w:rsidRPr="00427DD5">
              <w:br/>
              <w:t>$’000</w:t>
            </w:r>
          </w:p>
        </w:tc>
        <w:tc>
          <w:tcPr>
            <w:tcW w:w="1191" w:type="dxa"/>
          </w:tcPr>
          <w:p w14:paraId="084F391F" w14:textId="77777777" w:rsidR="00B02873" w:rsidRDefault="00B02873" w:rsidP="00427DD5">
            <w:pPr>
              <w:pStyle w:val="TableheadingleftFinancialsTables"/>
              <w:jc w:val="right"/>
            </w:pPr>
            <w:r>
              <w:t>2021</w:t>
            </w:r>
            <w:r>
              <w:br/>
              <w:t>$’000</w:t>
            </w:r>
          </w:p>
        </w:tc>
      </w:tr>
      <w:tr w:rsidR="00427DD5" w:rsidRPr="00B02873" w14:paraId="1358A774" w14:textId="77777777" w:rsidTr="00714844">
        <w:tc>
          <w:tcPr>
            <w:tcW w:w="7225" w:type="dxa"/>
          </w:tcPr>
          <w:p w14:paraId="6EDD72BB" w14:textId="77777777" w:rsidR="00427DD5" w:rsidRPr="00427DD5" w:rsidRDefault="00427DD5" w:rsidP="00427DD5">
            <w:pPr>
              <w:pStyle w:val="TablebodyleftFinancialsTables"/>
              <w:rPr>
                <w:b/>
                <w:bCs/>
              </w:rPr>
            </w:pPr>
            <w:r w:rsidRPr="00427DD5">
              <w:rPr>
                <w:b/>
                <w:bCs/>
              </w:rPr>
              <w:t>PPP commitments receivable – Victorian Desalination Project</w:t>
            </w:r>
          </w:p>
        </w:tc>
        <w:tc>
          <w:tcPr>
            <w:tcW w:w="1222" w:type="dxa"/>
          </w:tcPr>
          <w:p w14:paraId="4087572F" w14:textId="77777777" w:rsidR="00427DD5" w:rsidRPr="00427DD5" w:rsidRDefault="00427DD5" w:rsidP="00427DD5">
            <w:pPr>
              <w:pStyle w:val="TablebodyleftFinancialsTables"/>
              <w:jc w:val="right"/>
              <w:rPr>
                <w:b/>
                <w:bCs/>
              </w:rPr>
            </w:pPr>
          </w:p>
        </w:tc>
        <w:tc>
          <w:tcPr>
            <w:tcW w:w="1191" w:type="dxa"/>
          </w:tcPr>
          <w:p w14:paraId="0C25707A" w14:textId="2632330E" w:rsidR="00427DD5" w:rsidRDefault="00427DD5" w:rsidP="00427DD5">
            <w:pPr>
              <w:pStyle w:val="TablebodyleftFinancialsTables"/>
              <w:jc w:val="right"/>
            </w:pPr>
          </w:p>
        </w:tc>
      </w:tr>
      <w:tr w:rsidR="00B02873" w:rsidRPr="00B02873" w14:paraId="17E6D8D9" w14:textId="77777777" w:rsidTr="00714844">
        <w:tc>
          <w:tcPr>
            <w:tcW w:w="7225" w:type="dxa"/>
          </w:tcPr>
          <w:p w14:paraId="4B1CCA48" w14:textId="77777777" w:rsidR="00B02873" w:rsidRPr="00427DD5" w:rsidRDefault="00B02873" w:rsidP="00427DD5">
            <w:pPr>
              <w:pStyle w:val="TablebodyleftFinancialsTables"/>
              <w:rPr>
                <w:b/>
                <w:bCs/>
              </w:rPr>
            </w:pPr>
            <w:r w:rsidRPr="00427DD5">
              <w:rPr>
                <w:b/>
                <w:bCs/>
              </w:rPr>
              <w:t>Other commitments</w:t>
            </w:r>
          </w:p>
        </w:tc>
        <w:tc>
          <w:tcPr>
            <w:tcW w:w="1222" w:type="dxa"/>
          </w:tcPr>
          <w:p w14:paraId="2A890E64" w14:textId="77777777" w:rsidR="00B02873" w:rsidRPr="00427DD5" w:rsidRDefault="00B02873" w:rsidP="00427DD5">
            <w:pPr>
              <w:pStyle w:val="TablebodyleftFinancialsTables"/>
              <w:jc w:val="right"/>
              <w:rPr>
                <w:rFonts w:ascii="VIC Bold Italic" w:hAnsi="VIC Bold Italic" w:cs="Times New Roman"/>
                <w:b/>
                <w:bCs/>
              </w:rPr>
            </w:pPr>
          </w:p>
        </w:tc>
        <w:tc>
          <w:tcPr>
            <w:tcW w:w="1191" w:type="dxa"/>
          </w:tcPr>
          <w:p w14:paraId="66F9CAD2" w14:textId="77777777" w:rsidR="00B02873" w:rsidRPr="00B02873" w:rsidRDefault="00B02873" w:rsidP="00427DD5">
            <w:pPr>
              <w:pStyle w:val="TablebodyleftFinancialsTables"/>
              <w:jc w:val="right"/>
              <w:rPr>
                <w:rFonts w:ascii="VIC Bold Italic" w:hAnsi="VIC Bold Italic" w:cs="Times New Roman"/>
              </w:rPr>
            </w:pPr>
          </w:p>
        </w:tc>
      </w:tr>
      <w:tr w:rsidR="00B02873" w:rsidRPr="00B02873" w14:paraId="52A2DF72" w14:textId="77777777" w:rsidTr="00714844">
        <w:tc>
          <w:tcPr>
            <w:tcW w:w="7225" w:type="dxa"/>
          </w:tcPr>
          <w:p w14:paraId="0E19A84B" w14:textId="77777777" w:rsidR="00B02873" w:rsidRDefault="00B02873" w:rsidP="00427DD5">
            <w:pPr>
              <w:pStyle w:val="TablebodyleftFinancialsTables"/>
            </w:pPr>
            <w:r>
              <w:t>Not later than one year</w:t>
            </w:r>
          </w:p>
        </w:tc>
        <w:tc>
          <w:tcPr>
            <w:tcW w:w="1222" w:type="dxa"/>
          </w:tcPr>
          <w:p w14:paraId="095A0636" w14:textId="77777777" w:rsidR="00B02873" w:rsidRPr="00427DD5" w:rsidRDefault="00B02873" w:rsidP="00427DD5">
            <w:pPr>
              <w:pStyle w:val="TablebodyleftFinancialsTables"/>
              <w:jc w:val="right"/>
              <w:rPr>
                <w:b/>
                <w:bCs/>
              </w:rPr>
            </w:pPr>
            <w:r w:rsidRPr="00427DD5">
              <w:rPr>
                <w:b/>
                <w:bCs/>
              </w:rPr>
              <w:t>173,911</w:t>
            </w:r>
          </w:p>
        </w:tc>
        <w:tc>
          <w:tcPr>
            <w:tcW w:w="1191" w:type="dxa"/>
          </w:tcPr>
          <w:p w14:paraId="5DAD0B99" w14:textId="77777777" w:rsidR="00B02873" w:rsidRDefault="00B02873" w:rsidP="00427DD5">
            <w:pPr>
              <w:pStyle w:val="TablebodyleftFinancialsTables"/>
              <w:jc w:val="right"/>
            </w:pPr>
            <w:r>
              <w:t>240,661</w:t>
            </w:r>
          </w:p>
        </w:tc>
      </w:tr>
      <w:tr w:rsidR="00B02873" w:rsidRPr="00B02873" w14:paraId="5E66BE1D" w14:textId="77777777" w:rsidTr="00714844">
        <w:tc>
          <w:tcPr>
            <w:tcW w:w="7225" w:type="dxa"/>
          </w:tcPr>
          <w:p w14:paraId="4D6303B6" w14:textId="77777777" w:rsidR="00B02873" w:rsidRDefault="00B02873" w:rsidP="00427DD5">
            <w:pPr>
              <w:pStyle w:val="TablebodyleftFinancialsTables"/>
            </w:pPr>
            <w:r>
              <w:t>Later than one year but no later than five years</w:t>
            </w:r>
          </w:p>
        </w:tc>
        <w:tc>
          <w:tcPr>
            <w:tcW w:w="1222" w:type="dxa"/>
          </w:tcPr>
          <w:p w14:paraId="6A923B26" w14:textId="77777777" w:rsidR="00B02873" w:rsidRPr="00427DD5" w:rsidRDefault="00B02873" w:rsidP="00427DD5">
            <w:pPr>
              <w:pStyle w:val="TablebodyleftFinancialsTables"/>
              <w:jc w:val="right"/>
              <w:rPr>
                <w:b/>
                <w:bCs/>
              </w:rPr>
            </w:pPr>
            <w:r w:rsidRPr="00427DD5">
              <w:rPr>
                <w:b/>
                <w:bCs/>
              </w:rPr>
              <w:t>676,234</w:t>
            </w:r>
          </w:p>
        </w:tc>
        <w:tc>
          <w:tcPr>
            <w:tcW w:w="1191" w:type="dxa"/>
          </w:tcPr>
          <w:p w14:paraId="06F41F70" w14:textId="77777777" w:rsidR="00B02873" w:rsidRDefault="00B02873" w:rsidP="00427DD5">
            <w:pPr>
              <w:pStyle w:val="TablebodyleftFinancialsTables"/>
              <w:jc w:val="right"/>
            </w:pPr>
            <w:r>
              <w:t>658,061</w:t>
            </w:r>
          </w:p>
        </w:tc>
      </w:tr>
      <w:tr w:rsidR="00B02873" w:rsidRPr="00B02873" w14:paraId="16947ED3" w14:textId="77777777" w:rsidTr="00714844">
        <w:tc>
          <w:tcPr>
            <w:tcW w:w="7225" w:type="dxa"/>
          </w:tcPr>
          <w:p w14:paraId="269841BE" w14:textId="77777777" w:rsidR="00B02873" w:rsidRDefault="00B02873" w:rsidP="00427DD5">
            <w:pPr>
              <w:pStyle w:val="TablebodyleftFinancialsTables"/>
            </w:pPr>
            <w:r>
              <w:t>Later than five years</w:t>
            </w:r>
          </w:p>
        </w:tc>
        <w:tc>
          <w:tcPr>
            <w:tcW w:w="1222" w:type="dxa"/>
          </w:tcPr>
          <w:p w14:paraId="3A1EDC62" w14:textId="77777777" w:rsidR="00B02873" w:rsidRPr="00427DD5" w:rsidRDefault="00B02873" w:rsidP="00427DD5">
            <w:pPr>
              <w:pStyle w:val="TablebodyleftFinancialsTables"/>
              <w:jc w:val="right"/>
              <w:rPr>
                <w:b/>
                <w:bCs/>
              </w:rPr>
            </w:pPr>
            <w:r w:rsidRPr="00427DD5">
              <w:rPr>
                <w:b/>
                <w:bCs/>
              </w:rPr>
              <w:t>2,898,538</w:t>
            </w:r>
          </w:p>
        </w:tc>
        <w:tc>
          <w:tcPr>
            <w:tcW w:w="1191" w:type="dxa"/>
          </w:tcPr>
          <w:p w14:paraId="4CF96495" w14:textId="77777777" w:rsidR="00B02873" w:rsidRDefault="00B02873" w:rsidP="00427DD5">
            <w:pPr>
              <w:pStyle w:val="TablebodyleftFinancialsTables"/>
              <w:jc w:val="right"/>
            </w:pPr>
            <w:r>
              <w:t>3,064,038</w:t>
            </w:r>
          </w:p>
        </w:tc>
      </w:tr>
      <w:tr w:rsidR="00B02873" w:rsidRPr="00B02873" w14:paraId="3479DCD2" w14:textId="77777777" w:rsidTr="00714844">
        <w:tc>
          <w:tcPr>
            <w:tcW w:w="7225" w:type="dxa"/>
          </w:tcPr>
          <w:p w14:paraId="59D21E32" w14:textId="77777777" w:rsidR="00B02873" w:rsidRPr="00427DD5" w:rsidRDefault="00B02873" w:rsidP="00427DD5">
            <w:pPr>
              <w:pStyle w:val="TablebodyleftFinancialsTables"/>
              <w:rPr>
                <w:b/>
                <w:bCs/>
              </w:rPr>
            </w:pPr>
            <w:r w:rsidRPr="00427DD5">
              <w:rPr>
                <w:b/>
                <w:bCs/>
              </w:rPr>
              <w:t>Total commitments receivable (inclusive of GST)</w:t>
            </w:r>
          </w:p>
        </w:tc>
        <w:tc>
          <w:tcPr>
            <w:tcW w:w="1222" w:type="dxa"/>
          </w:tcPr>
          <w:p w14:paraId="6CDD512F" w14:textId="77777777" w:rsidR="00B02873" w:rsidRPr="00427DD5" w:rsidRDefault="00B02873" w:rsidP="00427DD5">
            <w:pPr>
              <w:pStyle w:val="TablebodyleftFinancialsTables"/>
              <w:jc w:val="right"/>
              <w:rPr>
                <w:b/>
                <w:bCs/>
              </w:rPr>
            </w:pPr>
            <w:r w:rsidRPr="00427DD5">
              <w:rPr>
                <w:b/>
                <w:bCs/>
              </w:rPr>
              <w:t>3,748,683</w:t>
            </w:r>
          </w:p>
        </w:tc>
        <w:tc>
          <w:tcPr>
            <w:tcW w:w="1191" w:type="dxa"/>
          </w:tcPr>
          <w:p w14:paraId="01805CEF" w14:textId="77777777" w:rsidR="00B02873" w:rsidRDefault="00B02873" w:rsidP="00427DD5">
            <w:pPr>
              <w:pStyle w:val="TablebodyleftFinancialsTables"/>
              <w:jc w:val="right"/>
            </w:pPr>
            <w:r>
              <w:t>3,962,760</w:t>
            </w:r>
          </w:p>
        </w:tc>
      </w:tr>
      <w:tr w:rsidR="00B02873" w:rsidRPr="00B02873" w14:paraId="538FAAC6" w14:textId="77777777" w:rsidTr="00714844">
        <w:tc>
          <w:tcPr>
            <w:tcW w:w="7225" w:type="dxa"/>
          </w:tcPr>
          <w:p w14:paraId="42192D45" w14:textId="77777777" w:rsidR="00B02873" w:rsidRDefault="00B02873" w:rsidP="00427DD5">
            <w:pPr>
              <w:pStyle w:val="TablebodyleftFinancialsTables"/>
            </w:pPr>
            <w:r>
              <w:t>Less GST payable to the Australian Taxation Office</w:t>
            </w:r>
          </w:p>
        </w:tc>
        <w:tc>
          <w:tcPr>
            <w:tcW w:w="1222" w:type="dxa"/>
          </w:tcPr>
          <w:p w14:paraId="5AEA9242" w14:textId="77777777" w:rsidR="00B02873" w:rsidRPr="00427DD5" w:rsidRDefault="00B02873" w:rsidP="00427DD5">
            <w:pPr>
              <w:pStyle w:val="TablebodyleftFinancialsTables"/>
              <w:jc w:val="right"/>
              <w:rPr>
                <w:b/>
                <w:bCs/>
              </w:rPr>
            </w:pPr>
            <w:r w:rsidRPr="00427DD5">
              <w:rPr>
                <w:b/>
                <w:bCs/>
              </w:rPr>
              <w:t xml:space="preserve">(340,789) </w:t>
            </w:r>
          </w:p>
        </w:tc>
        <w:tc>
          <w:tcPr>
            <w:tcW w:w="1191" w:type="dxa"/>
          </w:tcPr>
          <w:p w14:paraId="73F9DC91" w14:textId="77777777" w:rsidR="00B02873" w:rsidRDefault="00B02873" w:rsidP="00427DD5">
            <w:pPr>
              <w:pStyle w:val="TablebodyleftFinancialsTables"/>
              <w:jc w:val="right"/>
            </w:pPr>
            <w:r>
              <w:t>(360,251)</w:t>
            </w:r>
          </w:p>
        </w:tc>
      </w:tr>
      <w:tr w:rsidR="00B02873" w:rsidRPr="00B02873" w14:paraId="655822C7" w14:textId="77777777" w:rsidTr="00714844">
        <w:tc>
          <w:tcPr>
            <w:tcW w:w="7225" w:type="dxa"/>
          </w:tcPr>
          <w:p w14:paraId="499750C3" w14:textId="77777777" w:rsidR="00B02873" w:rsidRPr="00427DD5" w:rsidRDefault="00B02873" w:rsidP="00427DD5">
            <w:pPr>
              <w:pStyle w:val="TablebodyleftFinancialsTables"/>
              <w:rPr>
                <w:b/>
                <w:bCs/>
              </w:rPr>
            </w:pPr>
            <w:r w:rsidRPr="00427DD5">
              <w:rPr>
                <w:b/>
                <w:bCs/>
              </w:rPr>
              <w:t>Total commitments receivable (exclusive of GST)</w:t>
            </w:r>
          </w:p>
        </w:tc>
        <w:tc>
          <w:tcPr>
            <w:tcW w:w="1222" w:type="dxa"/>
          </w:tcPr>
          <w:p w14:paraId="4D0212B8" w14:textId="77777777" w:rsidR="00B02873" w:rsidRPr="00427DD5" w:rsidRDefault="00B02873" w:rsidP="00427DD5">
            <w:pPr>
              <w:pStyle w:val="TablebodyleftFinancialsTables"/>
              <w:jc w:val="right"/>
              <w:rPr>
                <w:b/>
                <w:bCs/>
              </w:rPr>
            </w:pPr>
            <w:r w:rsidRPr="00427DD5">
              <w:rPr>
                <w:b/>
                <w:bCs/>
              </w:rPr>
              <w:t>3,407,894</w:t>
            </w:r>
          </w:p>
        </w:tc>
        <w:tc>
          <w:tcPr>
            <w:tcW w:w="1191" w:type="dxa"/>
          </w:tcPr>
          <w:p w14:paraId="6394FA6D" w14:textId="77777777" w:rsidR="00B02873" w:rsidRDefault="00B02873" w:rsidP="00427DD5">
            <w:pPr>
              <w:pStyle w:val="TablebodyleftFinancialsTables"/>
              <w:jc w:val="right"/>
            </w:pPr>
            <w:r>
              <w:t>3,602,509</w:t>
            </w:r>
          </w:p>
        </w:tc>
      </w:tr>
    </w:tbl>
    <w:p w14:paraId="013B1DD0" w14:textId="77777777" w:rsidR="00B02873" w:rsidRDefault="00B02873" w:rsidP="00FE198A"/>
    <w:p w14:paraId="3F32C4B3" w14:textId="77777777" w:rsidR="00427DD5" w:rsidRDefault="00427DD5" w:rsidP="00427DD5">
      <w:pPr>
        <w:pStyle w:val="Heading5"/>
      </w:pPr>
      <w:r>
        <w:t xml:space="preserve">Financial Instruments: Categorisation </w:t>
      </w:r>
    </w:p>
    <w:p w14:paraId="53F36F28" w14:textId="581881A7" w:rsidR="00B02873" w:rsidRDefault="00B02873" w:rsidP="00427DD5">
      <w:pPr>
        <w:pStyle w:val="TabletitleTables"/>
      </w:pPr>
      <w:r>
        <w:t>Financial instrument specific disclosures</w:t>
      </w:r>
    </w:p>
    <w:tbl>
      <w:tblPr>
        <w:tblStyle w:val="TableGrid"/>
        <w:tblW w:w="9918" w:type="dxa"/>
        <w:tblLayout w:type="fixed"/>
        <w:tblLook w:val="0020" w:firstRow="1" w:lastRow="0" w:firstColumn="0" w:lastColumn="0" w:noHBand="0" w:noVBand="0"/>
      </w:tblPr>
      <w:tblGrid>
        <w:gridCol w:w="2830"/>
        <w:gridCol w:w="1191"/>
        <w:gridCol w:w="1272"/>
        <w:gridCol w:w="1109"/>
        <w:gridCol w:w="1191"/>
        <w:gridCol w:w="1243"/>
        <w:gridCol w:w="1082"/>
      </w:tblGrid>
      <w:tr w:rsidR="00B02873" w:rsidRPr="00B02873" w14:paraId="22B31F2A" w14:textId="77777777" w:rsidTr="00DC3CE4">
        <w:trPr>
          <w:cnfStyle w:val="100000000000" w:firstRow="1" w:lastRow="0" w:firstColumn="0" w:lastColumn="0" w:oddVBand="0" w:evenVBand="0" w:oddHBand="0" w:evenHBand="0" w:firstRowFirstColumn="0" w:firstRowLastColumn="0" w:lastRowFirstColumn="0" w:lastRowLastColumn="0"/>
        </w:trPr>
        <w:tc>
          <w:tcPr>
            <w:tcW w:w="2830" w:type="dxa"/>
          </w:tcPr>
          <w:p w14:paraId="4B265780" w14:textId="77777777" w:rsidR="00B02873" w:rsidRPr="00B02873" w:rsidRDefault="00B02873" w:rsidP="00427DD5">
            <w:pPr>
              <w:pStyle w:val="TableheadingleftFinancialsTables"/>
            </w:pPr>
          </w:p>
        </w:tc>
        <w:tc>
          <w:tcPr>
            <w:tcW w:w="1191" w:type="dxa"/>
          </w:tcPr>
          <w:p w14:paraId="18F7B46D" w14:textId="5F961E65" w:rsidR="00B02873" w:rsidRDefault="00DC3CE4" w:rsidP="00DC3CE4">
            <w:pPr>
              <w:pStyle w:val="TableheadingleftFinancialsTables"/>
              <w:jc w:val="right"/>
            </w:pPr>
            <w:r>
              <w:t xml:space="preserve">2022 </w:t>
            </w:r>
            <w:r w:rsidR="00B02873">
              <w:t>Financial assets at amortised cost</w:t>
            </w:r>
            <w:r w:rsidR="00B02873">
              <w:br/>
              <w:t>$’000</w:t>
            </w:r>
          </w:p>
        </w:tc>
        <w:tc>
          <w:tcPr>
            <w:tcW w:w="1272" w:type="dxa"/>
          </w:tcPr>
          <w:p w14:paraId="71D174CA" w14:textId="5D0A98B6" w:rsidR="00B02873" w:rsidRDefault="00DC3CE4" w:rsidP="00DC3CE4">
            <w:pPr>
              <w:pStyle w:val="TableheadingleftFinancialsTables"/>
              <w:jc w:val="right"/>
            </w:pPr>
            <w:r>
              <w:t xml:space="preserve">2022 </w:t>
            </w:r>
            <w:r w:rsidR="00B02873">
              <w:t>Financial liabilities at amortised cost</w:t>
            </w:r>
            <w:r w:rsidR="00B02873">
              <w:br/>
              <w:t>$’000</w:t>
            </w:r>
          </w:p>
        </w:tc>
        <w:tc>
          <w:tcPr>
            <w:tcW w:w="1109" w:type="dxa"/>
          </w:tcPr>
          <w:p w14:paraId="0B7A5642" w14:textId="74234F1E" w:rsidR="00B02873" w:rsidRDefault="00DC3CE4" w:rsidP="00DC3CE4">
            <w:pPr>
              <w:pStyle w:val="TableheadingleftFinancialsTables"/>
              <w:jc w:val="right"/>
            </w:pPr>
            <w:r>
              <w:t xml:space="preserve">2022 </w:t>
            </w:r>
            <w:r>
              <w:br/>
            </w:r>
            <w:r w:rsidR="00B02873">
              <w:t>Total</w:t>
            </w:r>
            <w:r w:rsidR="00B02873">
              <w:br/>
              <w:t>$’000</w:t>
            </w:r>
          </w:p>
        </w:tc>
        <w:tc>
          <w:tcPr>
            <w:tcW w:w="1191" w:type="dxa"/>
          </w:tcPr>
          <w:p w14:paraId="6F4BD29A" w14:textId="2CE65E3B" w:rsidR="00B02873" w:rsidRDefault="00DC3CE4" w:rsidP="00DC3CE4">
            <w:pPr>
              <w:pStyle w:val="TableheadingleftFinancialsTables"/>
              <w:jc w:val="right"/>
            </w:pPr>
            <w:r>
              <w:t xml:space="preserve">2021 </w:t>
            </w:r>
            <w:r w:rsidR="00B02873">
              <w:rPr>
                <w:spacing w:val="-2"/>
              </w:rPr>
              <w:t xml:space="preserve">Financial assets </w:t>
            </w:r>
            <w:r w:rsidR="00B02873">
              <w:t>at amortised cost</w:t>
            </w:r>
            <w:r w:rsidR="00B02873">
              <w:br/>
            </w:r>
            <w:r w:rsidR="00B02873">
              <w:rPr>
                <w:spacing w:val="-2"/>
              </w:rPr>
              <w:t>$’000</w:t>
            </w:r>
          </w:p>
        </w:tc>
        <w:tc>
          <w:tcPr>
            <w:tcW w:w="1243" w:type="dxa"/>
          </w:tcPr>
          <w:p w14:paraId="4ADB59BA" w14:textId="499A4F34" w:rsidR="00B02873" w:rsidRDefault="00DC3CE4" w:rsidP="00DC3CE4">
            <w:pPr>
              <w:pStyle w:val="TableheadingleftFinancialsTables"/>
              <w:jc w:val="right"/>
            </w:pPr>
            <w:r>
              <w:t xml:space="preserve">2021 </w:t>
            </w:r>
            <w:r w:rsidR="00B02873">
              <w:t>Financial liabilities at amortised cost</w:t>
            </w:r>
            <w:r w:rsidR="00B02873">
              <w:br/>
              <w:t>$’000</w:t>
            </w:r>
          </w:p>
        </w:tc>
        <w:tc>
          <w:tcPr>
            <w:tcW w:w="1082" w:type="dxa"/>
          </w:tcPr>
          <w:p w14:paraId="5C0E111B" w14:textId="59B44762" w:rsidR="00B02873" w:rsidRDefault="00DC3CE4" w:rsidP="00DC3CE4">
            <w:pPr>
              <w:pStyle w:val="TableheadingleftFinancialsTables"/>
              <w:jc w:val="right"/>
            </w:pPr>
            <w:r>
              <w:t xml:space="preserve">2021 </w:t>
            </w:r>
            <w:r>
              <w:br/>
            </w:r>
            <w:r w:rsidR="00B02873">
              <w:t>Total</w:t>
            </w:r>
            <w:r w:rsidR="00B02873">
              <w:br/>
              <w:t>$’000</w:t>
            </w:r>
          </w:p>
        </w:tc>
      </w:tr>
      <w:tr w:rsidR="00B02873" w:rsidRPr="00B02873" w14:paraId="52B5770F" w14:textId="77777777" w:rsidTr="00DC3CE4">
        <w:tc>
          <w:tcPr>
            <w:tcW w:w="2830" w:type="dxa"/>
          </w:tcPr>
          <w:p w14:paraId="4CBF4661" w14:textId="77777777" w:rsidR="00B02873" w:rsidRPr="00DC3CE4" w:rsidRDefault="00B02873" w:rsidP="00427DD5">
            <w:pPr>
              <w:pStyle w:val="TablebodyleftFinancialsTables"/>
              <w:rPr>
                <w:b/>
                <w:bCs/>
              </w:rPr>
            </w:pPr>
            <w:r w:rsidRPr="00DC3CE4">
              <w:rPr>
                <w:b/>
                <w:bCs/>
              </w:rPr>
              <w:t>Contractual financial assets</w:t>
            </w:r>
          </w:p>
        </w:tc>
        <w:tc>
          <w:tcPr>
            <w:tcW w:w="1191" w:type="dxa"/>
          </w:tcPr>
          <w:p w14:paraId="60FBD2F3" w14:textId="77777777" w:rsidR="00B02873" w:rsidRPr="00DC3CE4" w:rsidRDefault="00B02873" w:rsidP="00DC3CE4">
            <w:pPr>
              <w:pStyle w:val="TablebodyleftFinancialsTables"/>
              <w:jc w:val="right"/>
              <w:rPr>
                <w:rFonts w:ascii="VIC Bold Italic" w:hAnsi="VIC Bold Italic" w:cs="Times New Roman"/>
                <w:b/>
                <w:bCs/>
              </w:rPr>
            </w:pPr>
          </w:p>
        </w:tc>
        <w:tc>
          <w:tcPr>
            <w:tcW w:w="1272" w:type="dxa"/>
          </w:tcPr>
          <w:p w14:paraId="37D89AB5" w14:textId="77777777" w:rsidR="00B02873" w:rsidRPr="00DC3CE4" w:rsidRDefault="00B02873" w:rsidP="00DC3CE4">
            <w:pPr>
              <w:pStyle w:val="TablebodyleftFinancialsTables"/>
              <w:jc w:val="right"/>
              <w:rPr>
                <w:rFonts w:ascii="VIC Bold Italic" w:hAnsi="VIC Bold Italic" w:cs="Times New Roman"/>
                <w:b/>
                <w:bCs/>
              </w:rPr>
            </w:pPr>
          </w:p>
        </w:tc>
        <w:tc>
          <w:tcPr>
            <w:tcW w:w="1109" w:type="dxa"/>
          </w:tcPr>
          <w:p w14:paraId="0BB3D0D9" w14:textId="77777777" w:rsidR="00B02873" w:rsidRPr="00DC3CE4" w:rsidRDefault="00B02873" w:rsidP="00DC3CE4">
            <w:pPr>
              <w:pStyle w:val="TablebodyleftFinancialsTables"/>
              <w:jc w:val="right"/>
              <w:rPr>
                <w:rFonts w:ascii="VIC Bold Italic" w:hAnsi="VIC Bold Italic" w:cs="Times New Roman"/>
                <w:b/>
                <w:bCs/>
              </w:rPr>
            </w:pPr>
          </w:p>
        </w:tc>
        <w:tc>
          <w:tcPr>
            <w:tcW w:w="1191" w:type="dxa"/>
          </w:tcPr>
          <w:p w14:paraId="0C5FC610" w14:textId="77777777" w:rsidR="00B02873" w:rsidRPr="00B02873" w:rsidRDefault="00B02873" w:rsidP="00DC3CE4">
            <w:pPr>
              <w:pStyle w:val="TablebodyleftFinancialsTables"/>
              <w:jc w:val="right"/>
              <w:rPr>
                <w:rFonts w:ascii="VIC Bold Italic" w:hAnsi="VIC Bold Italic" w:cs="Times New Roman"/>
              </w:rPr>
            </w:pPr>
          </w:p>
        </w:tc>
        <w:tc>
          <w:tcPr>
            <w:tcW w:w="1243" w:type="dxa"/>
          </w:tcPr>
          <w:p w14:paraId="513E1440" w14:textId="77777777" w:rsidR="00B02873" w:rsidRPr="00B02873" w:rsidRDefault="00B02873" w:rsidP="00DC3CE4">
            <w:pPr>
              <w:pStyle w:val="TablebodyleftFinancialsTables"/>
              <w:jc w:val="right"/>
              <w:rPr>
                <w:rFonts w:ascii="VIC Bold Italic" w:hAnsi="VIC Bold Italic" w:cs="Times New Roman"/>
              </w:rPr>
            </w:pPr>
          </w:p>
        </w:tc>
        <w:tc>
          <w:tcPr>
            <w:tcW w:w="1082" w:type="dxa"/>
          </w:tcPr>
          <w:p w14:paraId="559BBD2E" w14:textId="77777777" w:rsidR="00B02873" w:rsidRPr="00B02873" w:rsidRDefault="00B02873" w:rsidP="00DC3CE4">
            <w:pPr>
              <w:pStyle w:val="TablebodyleftFinancialsTables"/>
              <w:jc w:val="right"/>
              <w:rPr>
                <w:rFonts w:ascii="VIC Bold Italic" w:hAnsi="VIC Bold Italic" w:cs="Times New Roman"/>
              </w:rPr>
            </w:pPr>
          </w:p>
        </w:tc>
      </w:tr>
      <w:tr w:rsidR="00B02873" w:rsidRPr="00B02873" w14:paraId="35E91624" w14:textId="77777777" w:rsidTr="00DC3CE4">
        <w:tc>
          <w:tcPr>
            <w:tcW w:w="2830" w:type="dxa"/>
          </w:tcPr>
          <w:p w14:paraId="16A56320" w14:textId="77777777" w:rsidR="00B02873" w:rsidRDefault="00B02873" w:rsidP="00427DD5">
            <w:pPr>
              <w:pStyle w:val="TablebodyleftFinancialsTables"/>
            </w:pPr>
            <w:r>
              <w:t>Contractual receivable from Melbourne Water Corporation</w:t>
            </w:r>
          </w:p>
        </w:tc>
        <w:tc>
          <w:tcPr>
            <w:tcW w:w="1191" w:type="dxa"/>
          </w:tcPr>
          <w:p w14:paraId="61D892F2" w14:textId="77777777" w:rsidR="00B02873" w:rsidRPr="00DC3CE4" w:rsidRDefault="00B02873" w:rsidP="00DC3CE4">
            <w:pPr>
              <w:pStyle w:val="TablebodyleftFinancialsTables"/>
              <w:jc w:val="right"/>
              <w:rPr>
                <w:b/>
                <w:bCs/>
              </w:rPr>
            </w:pPr>
            <w:r w:rsidRPr="00DC3CE4">
              <w:rPr>
                <w:b/>
                <w:bCs/>
              </w:rPr>
              <w:t>3,544,228</w:t>
            </w:r>
          </w:p>
        </w:tc>
        <w:tc>
          <w:tcPr>
            <w:tcW w:w="1272" w:type="dxa"/>
          </w:tcPr>
          <w:p w14:paraId="4C8A4354" w14:textId="77777777" w:rsidR="00B02873" w:rsidRPr="00DC3CE4" w:rsidRDefault="00B02873" w:rsidP="00DC3CE4">
            <w:pPr>
              <w:pStyle w:val="TablebodyleftFinancialsTables"/>
              <w:jc w:val="right"/>
              <w:rPr>
                <w:b/>
                <w:bCs/>
              </w:rPr>
            </w:pPr>
            <w:r w:rsidRPr="00DC3CE4">
              <w:rPr>
                <w:b/>
                <w:bCs/>
              </w:rPr>
              <w:t>–</w:t>
            </w:r>
          </w:p>
        </w:tc>
        <w:tc>
          <w:tcPr>
            <w:tcW w:w="1109" w:type="dxa"/>
          </w:tcPr>
          <w:p w14:paraId="6F45B931" w14:textId="77777777" w:rsidR="00B02873" w:rsidRPr="00DC3CE4" w:rsidRDefault="00B02873" w:rsidP="00DC3CE4">
            <w:pPr>
              <w:pStyle w:val="TablebodyleftFinancialsTables"/>
              <w:jc w:val="right"/>
              <w:rPr>
                <w:b/>
                <w:bCs/>
              </w:rPr>
            </w:pPr>
            <w:r w:rsidRPr="00DC3CE4">
              <w:rPr>
                <w:b/>
                <w:bCs/>
              </w:rPr>
              <w:t>3,544,228</w:t>
            </w:r>
          </w:p>
        </w:tc>
        <w:tc>
          <w:tcPr>
            <w:tcW w:w="1191" w:type="dxa"/>
          </w:tcPr>
          <w:p w14:paraId="60DE782C" w14:textId="77777777" w:rsidR="00B02873" w:rsidRDefault="00B02873" w:rsidP="00DC3CE4">
            <w:pPr>
              <w:pStyle w:val="TablebodyleftFinancialsTables"/>
              <w:jc w:val="right"/>
            </w:pPr>
            <w:r>
              <w:t>3,564,921</w:t>
            </w:r>
          </w:p>
        </w:tc>
        <w:tc>
          <w:tcPr>
            <w:tcW w:w="1243" w:type="dxa"/>
          </w:tcPr>
          <w:p w14:paraId="51B51510" w14:textId="77777777" w:rsidR="00B02873" w:rsidRDefault="00B02873" w:rsidP="00DC3CE4">
            <w:pPr>
              <w:pStyle w:val="TablebodyleftFinancialsTables"/>
              <w:jc w:val="right"/>
            </w:pPr>
            <w:r>
              <w:t>–</w:t>
            </w:r>
          </w:p>
        </w:tc>
        <w:tc>
          <w:tcPr>
            <w:tcW w:w="1082" w:type="dxa"/>
          </w:tcPr>
          <w:p w14:paraId="2AF5E1ED" w14:textId="77777777" w:rsidR="00B02873" w:rsidRDefault="00B02873" w:rsidP="00DC3CE4">
            <w:pPr>
              <w:pStyle w:val="TablebodyleftFinancialsTables"/>
              <w:jc w:val="right"/>
            </w:pPr>
            <w:r>
              <w:t>3,564,921</w:t>
            </w:r>
          </w:p>
        </w:tc>
      </w:tr>
      <w:tr w:rsidR="00B02873" w:rsidRPr="00B02873" w14:paraId="5A95C24D" w14:textId="77777777" w:rsidTr="00DC3CE4">
        <w:tc>
          <w:tcPr>
            <w:tcW w:w="2830" w:type="dxa"/>
          </w:tcPr>
          <w:p w14:paraId="4A034323" w14:textId="77777777" w:rsidR="00B02873" w:rsidRPr="00DC3CE4" w:rsidRDefault="00B02873" w:rsidP="00427DD5">
            <w:pPr>
              <w:pStyle w:val="TablebodyleftFinancialsTables"/>
              <w:rPr>
                <w:b/>
                <w:bCs/>
              </w:rPr>
            </w:pPr>
            <w:r w:rsidRPr="00DC3CE4">
              <w:rPr>
                <w:b/>
                <w:bCs/>
              </w:rPr>
              <w:t>Contractual financial liabilities</w:t>
            </w:r>
            <w:r w:rsidRPr="00DC3CE4">
              <w:rPr>
                <w:b/>
                <w:bCs/>
                <w:vertAlign w:val="superscript"/>
              </w:rPr>
              <w:t>(i)</w:t>
            </w:r>
          </w:p>
        </w:tc>
        <w:tc>
          <w:tcPr>
            <w:tcW w:w="1191" w:type="dxa"/>
          </w:tcPr>
          <w:p w14:paraId="7A336A4E" w14:textId="77777777" w:rsidR="00B02873" w:rsidRPr="00DC3CE4" w:rsidRDefault="00B02873" w:rsidP="00DC3CE4">
            <w:pPr>
              <w:pStyle w:val="TablebodyleftFinancialsTables"/>
              <w:jc w:val="right"/>
              <w:rPr>
                <w:rFonts w:ascii="VIC Bold Italic" w:hAnsi="VIC Bold Italic" w:cs="Times New Roman"/>
                <w:b/>
                <w:bCs/>
              </w:rPr>
            </w:pPr>
          </w:p>
        </w:tc>
        <w:tc>
          <w:tcPr>
            <w:tcW w:w="1272" w:type="dxa"/>
          </w:tcPr>
          <w:p w14:paraId="21823550" w14:textId="77777777" w:rsidR="00B02873" w:rsidRPr="00DC3CE4" w:rsidRDefault="00B02873" w:rsidP="00DC3CE4">
            <w:pPr>
              <w:pStyle w:val="TablebodyleftFinancialsTables"/>
              <w:jc w:val="right"/>
              <w:rPr>
                <w:rFonts w:ascii="VIC Bold Italic" w:hAnsi="VIC Bold Italic" w:cs="Times New Roman"/>
                <w:b/>
                <w:bCs/>
              </w:rPr>
            </w:pPr>
          </w:p>
        </w:tc>
        <w:tc>
          <w:tcPr>
            <w:tcW w:w="1109" w:type="dxa"/>
          </w:tcPr>
          <w:p w14:paraId="1B440506" w14:textId="77777777" w:rsidR="00B02873" w:rsidRPr="00DC3CE4" w:rsidRDefault="00B02873" w:rsidP="00DC3CE4">
            <w:pPr>
              <w:pStyle w:val="TablebodyleftFinancialsTables"/>
              <w:jc w:val="right"/>
              <w:rPr>
                <w:rFonts w:ascii="VIC Bold Italic" w:hAnsi="VIC Bold Italic" w:cs="Times New Roman"/>
                <w:b/>
                <w:bCs/>
              </w:rPr>
            </w:pPr>
          </w:p>
        </w:tc>
        <w:tc>
          <w:tcPr>
            <w:tcW w:w="1191" w:type="dxa"/>
          </w:tcPr>
          <w:p w14:paraId="1B816B2F" w14:textId="77777777" w:rsidR="00B02873" w:rsidRPr="00B02873" w:rsidRDefault="00B02873" w:rsidP="00DC3CE4">
            <w:pPr>
              <w:pStyle w:val="TablebodyleftFinancialsTables"/>
              <w:jc w:val="right"/>
              <w:rPr>
                <w:rFonts w:ascii="VIC Bold Italic" w:hAnsi="VIC Bold Italic" w:cs="Times New Roman"/>
              </w:rPr>
            </w:pPr>
          </w:p>
        </w:tc>
        <w:tc>
          <w:tcPr>
            <w:tcW w:w="1243" w:type="dxa"/>
          </w:tcPr>
          <w:p w14:paraId="4EF99FCC" w14:textId="77777777" w:rsidR="00B02873" w:rsidRPr="00B02873" w:rsidRDefault="00B02873" w:rsidP="00DC3CE4">
            <w:pPr>
              <w:pStyle w:val="TablebodyleftFinancialsTables"/>
              <w:jc w:val="right"/>
              <w:rPr>
                <w:rFonts w:ascii="VIC Bold Italic" w:hAnsi="VIC Bold Italic" w:cs="Times New Roman"/>
              </w:rPr>
            </w:pPr>
          </w:p>
        </w:tc>
        <w:tc>
          <w:tcPr>
            <w:tcW w:w="1082" w:type="dxa"/>
          </w:tcPr>
          <w:p w14:paraId="59743803" w14:textId="77777777" w:rsidR="00B02873" w:rsidRPr="00B02873" w:rsidRDefault="00B02873" w:rsidP="00DC3CE4">
            <w:pPr>
              <w:pStyle w:val="TablebodyleftFinancialsTables"/>
              <w:jc w:val="right"/>
              <w:rPr>
                <w:rFonts w:ascii="VIC Bold Italic" w:hAnsi="VIC Bold Italic" w:cs="Times New Roman"/>
              </w:rPr>
            </w:pPr>
          </w:p>
        </w:tc>
      </w:tr>
      <w:tr w:rsidR="00B02873" w:rsidRPr="00B02873" w14:paraId="204E2EDB" w14:textId="77777777" w:rsidTr="00DC3CE4">
        <w:tc>
          <w:tcPr>
            <w:tcW w:w="2830" w:type="dxa"/>
          </w:tcPr>
          <w:p w14:paraId="3E4BDD70" w14:textId="77777777" w:rsidR="00B02873" w:rsidRDefault="00B02873" w:rsidP="00427DD5">
            <w:pPr>
              <w:pStyle w:val="TablebodyleftFinancialsTables"/>
            </w:pPr>
            <w:r>
              <w:t>Payable to AquaSure (borrowings)</w:t>
            </w:r>
          </w:p>
        </w:tc>
        <w:tc>
          <w:tcPr>
            <w:tcW w:w="1191" w:type="dxa"/>
          </w:tcPr>
          <w:p w14:paraId="7F7AE6E1" w14:textId="77777777" w:rsidR="00B02873" w:rsidRPr="00DC3CE4" w:rsidRDefault="00B02873" w:rsidP="00DC3CE4">
            <w:pPr>
              <w:pStyle w:val="TablebodyleftFinancialsTables"/>
              <w:jc w:val="right"/>
              <w:rPr>
                <w:b/>
                <w:bCs/>
              </w:rPr>
            </w:pPr>
            <w:r w:rsidRPr="00DC3CE4">
              <w:rPr>
                <w:b/>
                <w:bCs/>
              </w:rPr>
              <w:t>–</w:t>
            </w:r>
          </w:p>
        </w:tc>
        <w:tc>
          <w:tcPr>
            <w:tcW w:w="1272" w:type="dxa"/>
          </w:tcPr>
          <w:p w14:paraId="28F833BC" w14:textId="77777777" w:rsidR="00B02873" w:rsidRPr="00DC3CE4" w:rsidRDefault="00B02873" w:rsidP="00DC3CE4">
            <w:pPr>
              <w:pStyle w:val="TablebodyleftFinancialsTables"/>
              <w:jc w:val="right"/>
              <w:rPr>
                <w:b/>
                <w:bCs/>
              </w:rPr>
            </w:pPr>
            <w:r w:rsidRPr="00DC3CE4">
              <w:rPr>
                <w:b/>
                <w:bCs/>
              </w:rPr>
              <w:t>3,225,659</w:t>
            </w:r>
          </w:p>
        </w:tc>
        <w:tc>
          <w:tcPr>
            <w:tcW w:w="1109" w:type="dxa"/>
          </w:tcPr>
          <w:p w14:paraId="54E57FA6" w14:textId="77777777" w:rsidR="00B02873" w:rsidRPr="00DC3CE4" w:rsidRDefault="00B02873" w:rsidP="00DC3CE4">
            <w:pPr>
              <w:pStyle w:val="TablebodyleftFinancialsTables"/>
              <w:jc w:val="right"/>
              <w:rPr>
                <w:b/>
                <w:bCs/>
              </w:rPr>
            </w:pPr>
            <w:r w:rsidRPr="00DC3CE4">
              <w:rPr>
                <w:b/>
                <w:bCs/>
              </w:rPr>
              <w:t>3,225,659</w:t>
            </w:r>
          </w:p>
        </w:tc>
        <w:tc>
          <w:tcPr>
            <w:tcW w:w="1191" w:type="dxa"/>
          </w:tcPr>
          <w:p w14:paraId="035EE0AB" w14:textId="77777777" w:rsidR="00B02873" w:rsidRDefault="00B02873" w:rsidP="00DC3CE4">
            <w:pPr>
              <w:pStyle w:val="TablebodyleftFinancialsTables"/>
              <w:jc w:val="right"/>
            </w:pPr>
            <w:r>
              <w:t>–</w:t>
            </w:r>
          </w:p>
        </w:tc>
        <w:tc>
          <w:tcPr>
            <w:tcW w:w="1243" w:type="dxa"/>
          </w:tcPr>
          <w:p w14:paraId="69DDC008" w14:textId="77777777" w:rsidR="00B02873" w:rsidRDefault="00B02873" w:rsidP="00DC3CE4">
            <w:pPr>
              <w:pStyle w:val="TablebodyleftFinancialsTables"/>
              <w:jc w:val="right"/>
            </w:pPr>
            <w:r>
              <w:t>3,274,894</w:t>
            </w:r>
          </w:p>
        </w:tc>
        <w:tc>
          <w:tcPr>
            <w:tcW w:w="1082" w:type="dxa"/>
          </w:tcPr>
          <w:p w14:paraId="7B1CF0C8" w14:textId="77777777" w:rsidR="00B02873" w:rsidRDefault="00B02873" w:rsidP="00DC3CE4">
            <w:pPr>
              <w:pStyle w:val="TablebodyleftFinancialsTables"/>
              <w:jc w:val="right"/>
            </w:pPr>
            <w:r>
              <w:t>3,274,894</w:t>
            </w:r>
          </w:p>
        </w:tc>
      </w:tr>
    </w:tbl>
    <w:p w14:paraId="72684752" w14:textId="77777777" w:rsidR="00B02873" w:rsidRDefault="00B02873" w:rsidP="00FE198A"/>
    <w:p w14:paraId="258504BC" w14:textId="6F7861DD" w:rsidR="00B02873" w:rsidRDefault="00B02873" w:rsidP="00DC3CE4">
      <w:pPr>
        <w:pStyle w:val="TabletitleTables"/>
      </w:pPr>
      <w:r>
        <w:t>Financial instruments: Net holding gain/(loss) on financial instruments by category</w:t>
      </w:r>
    </w:p>
    <w:tbl>
      <w:tblPr>
        <w:tblStyle w:val="TableGrid"/>
        <w:tblW w:w="9774" w:type="dxa"/>
        <w:tblLayout w:type="fixed"/>
        <w:tblLook w:val="0020" w:firstRow="1" w:lastRow="0" w:firstColumn="0" w:lastColumn="0" w:noHBand="0" w:noVBand="0"/>
      </w:tblPr>
      <w:tblGrid>
        <w:gridCol w:w="3256"/>
        <w:gridCol w:w="1134"/>
        <w:gridCol w:w="1135"/>
        <w:gridCol w:w="991"/>
        <w:gridCol w:w="1134"/>
        <w:gridCol w:w="1135"/>
        <w:gridCol w:w="989"/>
      </w:tblGrid>
      <w:tr w:rsidR="00B02873" w:rsidRPr="00B02873" w14:paraId="14D1D6D6" w14:textId="77777777" w:rsidTr="007973AB">
        <w:trPr>
          <w:cnfStyle w:val="100000000000" w:firstRow="1" w:lastRow="0" w:firstColumn="0" w:lastColumn="0" w:oddVBand="0" w:evenVBand="0" w:oddHBand="0" w:evenHBand="0" w:firstRowFirstColumn="0" w:firstRowLastColumn="0" w:lastRowFirstColumn="0" w:lastRowLastColumn="0"/>
        </w:trPr>
        <w:tc>
          <w:tcPr>
            <w:tcW w:w="3256" w:type="dxa"/>
          </w:tcPr>
          <w:p w14:paraId="22BEB7FA" w14:textId="77777777" w:rsidR="00B02873" w:rsidRPr="00B02873" w:rsidRDefault="00B02873" w:rsidP="00DC3CE4">
            <w:pPr>
              <w:pStyle w:val="TableheadingleftFinancialsTables"/>
              <w:rPr>
                <w:rFonts w:ascii="VIC Bold Italic" w:hAnsi="VIC Bold Italic" w:cs="Times New Roman"/>
                <w:lang w:val="en-AU"/>
              </w:rPr>
            </w:pPr>
          </w:p>
        </w:tc>
        <w:tc>
          <w:tcPr>
            <w:tcW w:w="1134" w:type="dxa"/>
          </w:tcPr>
          <w:p w14:paraId="09A4B9C1" w14:textId="1E65A9F8" w:rsidR="00B02873" w:rsidRDefault="00BE7FD8" w:rsidP="00B236DE">
            <w:pPr>
              <w:pStyle w:val="TableheadingleftFinancialsTables"/>
              <w:jc w:val="right"/>
            </w:pPr>
            <w:r>
              <w:t xml:space="preserve">2022 </w:t>
            </w:r>
            <w:r w:rsidR="00B236DE">
              <w:br/>
            </w:r>
            <w:r w:rsidR="00B02873">
              <w:t>Net holding gain/</w:t>
            </w:r>
            <w:r w:rsidR="00B236DE">
              <w:t xml:space="preserve"> </w:t>
            </w:r>
            <w:r w:rsidR="00B02873">
              <w:t>(loss)</w:t>
            </w:r>
            <w:r w:rsidR="00B02873">
              <w:rPr>
                <w:vertAlign w:val="superscript"/>
              </w:rPr>
              <w:t>(i)</w:t>
            </w:r>
            <w:r w:rsidR="00B02873">
              <w:rPr>
                <w:vertAlign w:val="superscript"/>
              </w:rPr>
              <w:br/>
            </w:r>
            <w:r w:rsidR="00B02873">
              <w:t>$’000</w:t>
            </w:r>
          </w:p>
        </w:tc>
        <w:tc>
          <w:tcPr>
            <w:tcW w:w="1135" w:type="dxa"/>
          </w:tcPr>
          <w:p w14:paraId="0F76E2FB" w14:textId="4B4BC9E9" w:rsidR="00B02873" w:rsidRDefault="00BE7FD8" w:rsidP="00B236DE">
            <w:pPr>
              <w:pStyle w:val="TableheadingleftFinancialsTables"/>
              <w:jc w:val="right"/>
            </w:pPr>
            <w:r>
              <w:t xml:space="preserve">2022 </w:t>
            </w:r>
            <w:r w:rsidR="00B236DE">
              <w:br/>
            </w:r>
            <w:r w:rsidR="00B02873">
              <w:t>Total interest income/</w:t>
            </w:r>
            <w:r w:rsidR="00B236DE">
              <w:t xml:space="preserve"> </w:t>
            </w:r>
            <w:r w:rsidR="00B02873">
              <w:t>(expense)</w:t>
            </w:r>
            <w:r w:rsidR="00B02873">
              <w:br/>
              <w:t>$’000</w:t>
            </w:r>
          </w:p>
        </w:tc>
        <w:tc>
          <w:tcPr>
            <w:tcW w:w="991" w:type="dxa"/>
          </w:tcPr>
          <w:p w14:paraId="5EEE5DB2" w14:textId="2F697239" w:rsidR="00B02873" w:rsidRDefault="00BE7FD8" w:rsidP="00B236DE">
            <w:pPr>
              <w:pStyle w:val="TableheadingleftFinancialsTables"/>
              <w:jc w:val="right"/>
            </w:pPr>
            <w:r>
              <w:t xml:space="preserve">2022 </w:t>
            </w:r>
            <w:r>
              <w:br/>
            </w:r>
            <w:r w:rsidR="00B02873">
              <w:t>Total</w:t>
            </w:r>
            <w:r w:rsidR="00B02873">
              <w:br/>
              <w:t>$’000</w:t>
            </w:r>
          </w:p>
        </w:tc>
        <w:tc>
          <w:tcPr>
            <w:tcW w:w="1134" w:type="dxa"/>
          </w:tcPr>
          <w:p w14:paraId="798D5D70" w14:textId="358DDD0A" w:rsidR="00B02873" w:rsidRDefault="00BE7FD8" w:rsidP="00B236DE">
            <w:pPr>
              <w:pStyle w:val="TableheadingleftFinancialsTables"/>
              <w:jc w:val="right"/>
            </w:pPr>
            <w:r>
              <w:t xml:space="preserve">2021 </w:t>
            </w:r>
            <w:r>
              <w:br/>
            </w:r>
            <w:r w:rsidR="00B02873">
              <w:rPr>
                <w:spacing w:val="-3"/>
              </w:rPr>
              <w:t>Net holding gain/</w:t>
            </w:r>
            <w:r w:rsidR="00B236DE">
              <w:rPr>
                <w:spacing w:val="-3"/>
              </w:rPr>
              <w:t xml:space="preserve"> </w:t>
            </w:r>
            <w:r w:rsidR="00B02873">
              <w:rPr>
                <w:spacing w:val="-3"/>
              </w:rPr>
              <w:t>(loss)</w:t>
            </w:r>
            <w:r w:rsidR="00B02873">
              <w:rPr>
                <w:spacing w:val="-3"/>
                <w:vertAlign w:val="superscript"/>
              </w:rPr>
              <w:t>(i)</w:t>
            </w:r>
            <w:r w:rsidR="00B02873">
              <w:rPr>
                <w:spacing w:val="-3"/>
                <w:vertAlign w:val="superscript"/>
              </w:rPr>
              <w:br/>
            </w:r>
            <w:r w:rsidR="00B02873">
              <w:rPr>
                <w:spacing w:val="-3"/>
              </w:rPr>
              <w:t>$’000</w:t>
            </w:r>
          </w:p>
        </w:tc>
        <w:tc>
          <w:tcPr>
            <w:tcW w:w="1135" w:type="dxa"/>
          </w:tcPr>
          <w:p w14:paraId="3F46817B" w14:textId="3D3640B2" w:rsidR="00B02873" w:rsidRDefault="00BE7FD8" w:rsidP="00B236DE">
            <w:pPr>
              <w:pStyle w:val="TableheadingleftFinancialsTables"/>
              <w:jc w:val="right"/>
            </w:pPr>
            <w:r>
              <w:t xml:space="preserve">2021 </w:t>
            </w:r>
            <w:r>
              <w:br/>
            </w:r>
            <w:r w:rsidR="00B02873">
              <w:t>Total interest income/</w:t>
            </w:r>
            <w:r w:rsidR="00B236DE">
              <w:t xml:space="preserve"> </w:t>
            </w:r>
            <w:r w:rsidR="00B02873">
              <w:t>(expense)</w:t>
            </w:r>
            <w:r w:rsidR="00B02873">
              <w:br/>
              <w:t>$’000</w:t>
            </w:r>
          </w:p>
        </w:tc>
        <w:tc>
          <w:tcPr>
            <w:tcW w:w="989" w:type="dxa"/>
          </w:tcPr>
          <w:p w14:paraId="0EE225D3" w14:textId="48ED143E" w:rsidR="00B02873" w:rsidRDefault="00BE7FD8" w:rsidP="00B236DE">
            <w:pPr>
              <w:pStyle w:val="TableheadingleftFinancialsTables"/>
              <w:jc w:val="right"/>
            </w:pPr>
            <w:r>
              <w:t xml:space="preserve">2021 </w:t>
            </w:r>
            <w:r>
              <w:br/>
            </w:r>
            <w:r w:rsidR="00B02873">
              <w:t>Total</w:t>
            </w:r>
            <w:r w:rsidR="00B02873">
              <w:br/>
              <w:t>$’000</w:t>
            </w:r>
          </w:p>
        </w:tc>
      </w:tr>
      <w:tr w:rsidR="007973AB" w:rsidRPr="00B02873" w14:paraId="108BE808" w14:textId="77777777" w:rsidTr="007973AB">
        <w:tc>
          <w:tcPr>
            <w:tcW w:w="3256" w:type="dxa"/>
          </w:tcPr>
          <w:p w14:paraId="288895C3" w14:textId="77777777" w:rsidR="00DC3CE4" w:rsidRPr="00B236DE" w:rsidRDefault="00DC3CE4" w:rsidP="00DC3CE4">
            <w:pPr>
              <w:pStyle w:val="TablebodyleftFinancialsTables"/>
              <w:rPr>
                <w:b/>
                <w:bCs/>
              </w:rPr>
            </w:pPr>
            <w:r w:rsidRPr="00B236DE">
              <w:rPr>
                <w:b/>
                <w:bCs/>
              </w:rPr>
              <w:t>Contractual financial assets</w:t>
            </w:r>
          </w:p>
        </w:tc>
        <w:tc>
          <w:tcPr>
            <w:tcW w:w="1134" w:type="dxa"/>
          </w:tcPr>
          <w:p w14:paraId="1AE62080" w14:textId="77777777" w:rsidR="00DC3CE4" w:rsidRPr="00B236DE" w:rsidRDefault="00DC3CE4" w:rsidP="00B236DE">
            <w:pPr>
              <w:pStyle w:val="TablebodyleftFinancialsTables"/>
              <w:jc w:val="right"/>
              <w:rPr>
                <w:b/>
                <w:bCs/>
              </w:rPr>
            </w:pPr>
          </w:p>
        </w:tc>
        <w:tc>
          <w:tcPr>
            <w:tcW w:w="1135" w:type="dxa"/>
          </w:tcPr>
          <w:p w14:paraId="09798CFE" w14:textId="77777777" w:rsidR="00DC3CE4" w:rsidRPr="00B236DE" w:rsidRDefault="00DC3CE4" w:rsidP="00B236DE">
            <w:pPr>
              <w:pStyle w:val="TablebodyleftFinancialsTables"/>
              <w:jc w:val="right"/>
              <w:rPr>
                <w:b/>
                <w:bCs/>
              </w:rPr>
            </w:pPr>
          </w:p>
        </w:tc>
        <w:tc>
          <w:tcPr>
            <w:tcW w:w="991" w:type="dxa"/>
          </w:tcPr>
          <w:p w14:paraId="1722B27C" w14:textId="77777777" w:rsidR="00DC3CE4" w:rsidRPr="00B236DE" w:rsidRDefault="00DC3CE4" w:rsidP="00B236DE">
            <w:pPr>
              <w:pStyle w:val="TablebodyleftFinancialsTables"/>
              <w:jc w:val="right"/>
              <w:rPr>
                <w:b/>
                <w:bCs/>
              </w:rPr>
            </w:pPr>
          </w:p>
        </w:tc>
        <w:tc>
          <w:tcPr>
            <w:tcW w:w="1134" w:type="dxa"/>
          </w:tcPr>
          <w:p w14:paraId="2925FA18" w14:textId="77777777" w:rsidR="00DC3CE4" w:rsidRDefault="00DC3CE4" w:rsidP="00B236DE">
            <w:pPr>
              <w:pStyle w:val="TablebodyleftFinancialsTables"/>
              <w:jc w:val="right"/>
            </w:pPr>
          </w:p>
        </w:tc>
        <w:tc>
          <w:tcPr>
            <w:tcW w:w="1135" w:type="dxa"/>
          </w:tcPr>
          <w:p w14:paraId="30F8234A" w14:textId="77777777" w:rsidR="00DC3CE4" w:rsidRDefault="00DC3CE4" w:rsidP="00B236DE">
            <w:pPr>
              <w:pStyle w:val="TablebodyleftFinancialsTables"/>
              <w:jc w:val="right"/>
            </w:pPr>
          </w:p>
        </w:tc>
        <w:tc>
          <w:tcPr>
            <w:tcW w:w="989" w:type="dxa"/>
          </w:tcPr>
          <w:p w14:paraId="512B98A6" w14:textId="35FC3BA2" w:rsidR="00DC3CE4" w:rsidRDefault="00DC3CE4" w:rsidP="00B236DE">
            <w:pPr>
              <w:pStyle w:val="TablebodyleftFinancialsTables"/>
              <w:jc w:val="right"/>
            </w:pPr>
          </w:p>
        </w:tc>
      </w:tr>
      <w:tr w:rsidR="00B02873" w:rsidRPr="00B02873" w14:paraId="3B3D16FD" w14:textId="77777777" w:rsidTr="007973AB">
        <w:tc>
          <w:tcPr>
            <w:tcW w:w="3256" w:type="dxa"/>
          </w:tcPr>
          <w:p w14:paraId="62513892" w14:textId="7F79101C" w:rsidR="00B02873" w:rsidRDefault="00B02873" w:rsidP="00DC3CE4">
            <w:pPr>
              <w:pStyle w:val="TablebodyleftFinancialsTables"/>
            </w:pPr>
            <w:r>
              <w:t>Financial assets at amortised cost</w:t>
            </w:r>
          </w:p>
        </w:tc>
        <w:tc>
          <w:tcPr>
            <w:tcW w:w="1134" w:type="dxa"/>
          </w:tcPr>
          <w:p w14:paraId="60F425AF" w14:textId="77777777" w:rsidR="00B02873" w:rsidRPr="00B236DE" w:rsidRDefault="00B02873" w:rsidP="00B236DE">
            <w:pPr>
              <w:pStyle w:val="TablebodyleftFinancialsTables"/>
              <w:jc w:val="right"/>
              <w:rPr>
                <w:b/>
                <w:bCs/>
              </w:rPr>
            </w:pPr>
            <w:r w:rsidRPr="00B236DE">
              <w:rPr>
                <w:b/>
                <w:bCs/>
              </w:rPr>
              <w:t>–</w:t>
            </w:r>
          </w:p>
        </w:tc>
        <w:tc>
          <w:tcPr>
            <w:tcW w:w="1135" w:type="dxa"/>
          </w:tcPr>
          <w:p w14:paraId="115692F4" w14:textId="77777777" w:rsidR="00B02873" w:rsidRPr="00B236DE" w:rsidRDefault="00B02873" w:rsidP="00B236DE">
            <w:pPr>
              <w:pStyle w:val="TablebodyleftFinancialsTables"/>
              <w:jc w:val="right"/>
              <w:rPr>
                <w:b/>
                <w:bCs/>
              </w:rPr>
            </w:pPr>
            <w:r w:rsidRPr="00B236DE">
              <w:rPr>
                <w:b/>
                <w:bCs/>
              </w:rPr>
              <w:t xml:space="preserve">401,333 </w:t>
            </w:r>
          </w:p>
        </w:tc>
        <w:tc>
          <w:tcPr>
            <w:tcW w:w="991" w:type="dxa"/>
          </w:tcPr>
          <w:p w14:paraId="41504F17" w14:textId="77777777" w:rsidR="00B02873" w:rsidRPr="00B236DE" w:rsidRDefault="00B02873" w:rsidP="00B236DE">
            <w:pPr>
              <w:pStyle w:val="TablebodyleftFinancialsTables"/>
              <w:jc w:val="right"/>
              <w:rPr>
                <w:b/>
                <w:bCs/>
              </w:rPr>
            </w:pPr>
            <w:r w:rsidRPr="00B236DE">
              <w:rPr>
                <w:b/>
                <w:bCs/>
              </w:rPr>
              <w:t>401,333</w:t>
            </w:r>
          </w:p>
        </w:tc>
        <w:tc>
          <w:tcPr>
            <w:tcW w:w="1134" w:type="dxa"/>
          </w:tcPr>
          <w:p w14:paraId="40F704E4" w14:textId="77777777" w:rsidR="00B02873" w:rsidRDefault="00B02873" w:rsidP="00B236DE">
            <w:pPr>
              <w:pStyle w:val="TablebodyleftFinancialsTables"/>
              <w:jc w:val="right"/>
            </w:pPr>
            <w:r>
              <w:t>–</w:t>
            </w:r>
          </w:p>
        </w:tc>
        <w:tc>
          <w:tcPr>
            <w:tcW w:w="1135" w:type="dxa"/>
          </w:tcPr>
          <w:p w14:paraId="5F836901" w14:textId="77777777" w:rsidR="00B02873" w:rsidRDefault="00B02873" w:rsidP="00B236DE">
            <w:pPr>
              <w:pStyle w:val="TablebodyleftFinancialsTables"/>
              <w:jc w:val="right"/>
            </w:pPr>
            <w:r>
              <w:t xml:space="preserve">403,675 </w:t>
            </w:r>
          </w:p>
        </w:tc>
        <w:tc>
          <w:tcPr>
            <w:tcW w:w="989" w:type="dxa"/>
          </w:tcPr>
          <w:p w14:paraId="4F6044D2" w14:textId="77777777" w:rsidR="00B02873" w:rsidRDefault="00B02873" w:rsidP="00B236DE">
            <w:pPr>
              <w:pStyle w:val="TablebodyleftFinancialsTables"/>
              <w:jc w:val="right"/>
            </w:pPr>
            <w:r>
              <w:t xml:space="preserve">403,675 </w:t>
            </w:r>
          </w:p>
        </w:tc>
      </w:tr>
      <w:tr w:rsidR="00BE7FD8" w:rsidRPr="00B02873" w14:paraId="2C513220" w14:textId="77777777" w:rsidTr="007973AB">
        <w:tc>
          <w:tcPr>
            <w:tcW w:w="3256" w:type="dxa"/>
          </w:tcPr>
          <w:p w14:paraId="6FC4CBA3" w14:textId="2EE490F4" w:rsidR="00BE7FD8" w:rsidRPr="00B236DE" w:rsidRDefault="00BE7FD8" w:rsidP="00EC6836">
            <w:pPr>
              <w:pStyle w:val="TablebodyleftFinancialsTables"/>
              <w:rPr>
                <w:b/>
                <w:bCs/>
              </w:rPr>
            </w:pPr>
            <w:r w:rsidRPr="00B236DE">
              <w:rPr>
                <w:b/>
                <w:bCs/>
              </w:rPr>
              <w:t>Contractual financial liabilities</w:t>
            </w:r>
          </w:p>
        </w:tc>
        <w:tc>
          <w:tcPr>
            <w:tcW w:w="1134" w:type="dxa"/>
          </w:tcPr>
          <w:p w14:paraId="6BC5138A" w14:textId="77777777" w:rsidR="00BE7FD8" w:rsidRPr="00B236DE" w:rsidRDefault="00BE7FD8" w:rsidP="00B236DE">
            <w:pPr>
              <w:pStyle w:val="TablebodyleftFinancialsTables"/>
              <w:jc w:val="right"/>
              <w:rPr>
                <w:b/>
                <w:bCs/>
              </w:rPr>
            </w:pPr>
          </w:p>
        </w:tc>
        <w:tc>
          <w:tcPr>
            <w:tcW w:w="1135" w:type="dxa"/>
          </w:tcPr>
          <w:p w14:paraId="028B818F" w14:textId="77777777" w:rsidR="00BE7FD8" w:rsidRPr="00B236DE" w:rsidRDefault="00BE7FD8" w:rsidP="00B236DE">
            <w:pPr>
              <w:pStyle w:val="TablebodyleftFinancialsTables"/>
              <w:jc w:val="right"/>
              <w:rPr>
                <w:b/>
                <w:bCs/>
              </w:rPr>
            </w:pPr>
          </w:p>
        </w:tc>
        <w:tc>
          <w:tcPr>
            <w:tcW w:w="991" w:type="dxa"/>
          </w:tcPr>
          <w:p w14:paraId="3CF5F822" w14:textId="77777777" w:rsidR="00BE7FD8" w:rsidRPr="00B236DE" w:rsidRDefault="00BE7FD8" w:rsidP="00B236DE">
            <w:pPr>
              <w:pStyle w:val="TablebodyleftFinancialsTables"/>
              <w:jc w:val="right"/>
              <w:rPr>
                <w:b/>
                <w:bCs/>
              </w:rPr>
            </w:pPr>
          </w:p>
        </w:tc>
        <w:tc>
          <w:tcPr>
            <w:tcW w:w="1134" w:type="dxa"/>
          </w:tcPr>
          <w:p w14:paraId="433CF823" w14:textId="77777777" w:rsidR="00BE7FD8" w:rsidRDefault="00BE7FD8" w:rsidP="00B236DE">
            <w:pPr>
              <w:pStyle w:val="TablebodyleftFinancialsTables"/>
              <w:jc w:val="right"/>
            </w:pPr>
          </w:p>
        </w:tc>
        <w:tc>
          <w:tcPr>
            <w:tcW w:w="1135" w:type="dxa"/>
          </w:tcPr>
          <w:p w14:paraId="150821A5" w14:textId="77777777" w:rsidR="00BE7FD8" w:rsidRDefault="00BE7FD8" w:rsidP="00B236DE">
            <w:pPr>
              <w:pStyle w:val="TablebodyleftFinancialsTables"/>
              <w:jc w:val="right"/>
            </w:pPr>
          </w:p>
        </w:tc>
        <w:tc>
          <w:tcPr>
            <w:tcW w:w="989" w:type="dxa"/>
          </w:tcPr>
          <w:p w14:paraId="73FF82FE" w14:textId="77777777" w:rsidR="00BE7FD8" w:rsidRDefault="00BE7FD8" w:rsidP="00B236DE">
            <w:pPr>
              <w:pStyle w:val="TablebodyleftFinancialsTables"/>
              <w:jc w:val="right"/>
            </w:pPr>
          </w:p>
        </w:tc>
      </w:tr>
      <w:tr w:rsidR="00B02873" w:rsidRPr="00B02873" w14:paraId="44355BC1" w14:textId="77777777" w:rsidTr="007973AB">
        <w:tc>
          <w:tcPr>
            <w:tcW w:w="3256" w:type="dxa"/>
          </w:tcPr>
          <w:p w14:paraId="2A6D9FDE" w14:textId="6EBDB942" w:rsidR="00B02873" w:rsidRDefault="00B02873" w:rsidP="00DC3CE4">
            <w:pPr>
              <w:pStyle w:val="TablebodyleftFinancialsTables"/>
            </w:pPr>
            <w:r>
              <w:t>Financial liability at amortised cost</w:t>
            </w:r>
          </w:p>
        </w:tc>
        <w:tc>
          <w:tcPr>
            <w:tcW w:w="1134" w:type="dxa"/>
          </w:tcPr>
          <w:p w14:paraId="4A9AE0AA" w14:textId="77777777" w:rsidR="00B02873" w:rsidRPr="00B236DE" w:rsidRDefault="00B02873" w:rsidP="00B236DE">
            <w:pPr>
              <w:pStyle w:val="TablebodyleftFinancialsTables"/>
              <w:jc w:val="right"/>
              <w:rPr>
                <w:b/>
                <w:bCs/>
              </w:rPr>
            </w:pPr>
            <w:r w:rsidRPr="00B236DE">
              <w:rPr>
                <w:b/>
                <w:bCs/>
              </w:rPr>
              <w:t>–</w:t>
            </w:r>
          </w:p>
        </w:tc>
        <w:tc>
          <w:tcPr>
            <w:tcW w:w="1135" w:type="dxa"/>
          </w:tcPr>
          <w:p w14:paraId="32A9AB81" w14:textId="089B135A" w:rsidR="00B02873" w:rsidRPr="00B236DE" w:rsidRDefault="00B02873" w:rsidP="00B236DE">
            <w:pPr>
              <w:pStyle w:val="TablebodyleftFinancialsTables"/>
              <w:jc w:val="right"/>
              <w:rPr>
                <w:b/>
                <w:bCs/>
              </w:rPr>
            </w:pPr>
            <w:r w:rsidRPr="00B236DE">
              <w:rPr>
                <w:b/>
                <w:bCs/>
              </w:rPr>
              <w:t>(366,528)</w:t>
            </w:r>
          </w:p>
        </w:tc>
        <w:tc>
          <w:tcPr>
            <w:tcW w:w="991" w:type="dxa"/>
          </w:tcPr>
          <w:p w14:paraId="32255439" w14:textId="77777777" w:rsidR="00B02873" w:rsidRPr="00B236DE" w:rsidRDefault="00B02873" w:rsidP="00B236DE">
            <w:pPr>
              <w:pStyle w:val="TablebodyleftFinancialsTables"/>
              <w:jc w:val="right"/>
              <w:rPr>
                <w:b/>
                <w:bCs/>
              </w:rPr>
            </w:pPr>
            <w:r w:rsidRPr="00B236DE">
              <w:rPr>
                <w:b/>
                <w:bCs/>
              </w:rPr>
              <w:t>(366,528)</w:t>
            </w:r>
          </w:p>
        </w:tc>
        <w:tc>
          <w:tcPr>
            <w:tcW w:w="1134" w:type="dxa"/>
          </w:tcPr>
          <w:p w14:paraId="5D1CD8CF" w14:textId="77777777" w:rsidR="00B02873" w:rsidRDefault="00B02873" w:rsidP="00B236DE">
            <w:pPr>
              <w:pStyle w:val="TablebodyleftFinancialsTables"/>
              <w:jc w:val="right"/>
            </w:pPr>
            <w:r>
              <w:t>–</w:t>
            </w:r>
          </w:p>
        </w:tc>
        <w:tc>
          <w:tcPr>
            <w:tcW w:w="1135" w:type="dxa"/>
          </w:tcPr>
          <w:p w14:paraId="36B66FB1" w14:textId="404227CE" w:rsidR="00B02873" w:rsidRDefault="00B02873" w:rsidP="00B236DE">
            <w:pPr>
              <w:pStyle w:val="TablebodyleftFinancialsTables"/>
              <w:jc w:val="right"/>
            </w:pPr>
            <w:r>
              <w:t>(372,088)</w:t>
            </w:r>
          </w:p>
        </w:tc>
        <w:tc>
          <w:tcPr>
            <w:tcW w:w="989" w:type="dxa"/>
          </w:tcPr>
          <w:p w14:paraId="0FE7A1C2" w14:textId="44FDE7F2" w:rsidR="00B02873" w:rsidRDefault="00B02873" w:rsidP="00B236DE">
            <w:pPr>
              <w:pStyle w:val="TablebodyleftFinancialsTables"/>
              <w:jc w:val="right"/>
            </w:pPr>
            <w:r>
              <w:t>(372,088)</w:t>
            </w:r>
          </w:p>
        </w:tc>
      </w:tr>
    </w:tbl>
    <w:p w14:paraId="032B2C44" w14:textId="77777777" w:rsidR="00B02873" w:rsidRPr="00B236DE" w:rsidRDefault="00B02873" w:rsidP="00B236DE">
      <w:pPr>
        <w:pStyle w:val="SourceNote"/>
        <w:spacing w:after="120"/>
        <w:rPr>
          <w:b/>
          <w:bCs/>
        </w:rPr>
      </w:pPr>
      <w:r w:rsidRPr="00B236DE">
        <w:rPr>
          <w:b/>
          <w:bCs/>
        </w:rPr>
        <w:t>Note:</w:t>
      </w:r>
    </w:p>
    <w:p w14:paraId="2A4DDD7C" w14:textId="77777777" w:rsidR="00B02873" w:rsidRDefault="00B02873" w:rsidP="001128B1">
      <w:pPr>
        <w:pStyle w:val="SourceNotenumbered"/>
        <w:numPr>
          <w:ilvl w:val="0"/>
          <w:numId w:val="30"/>
        </w:numPr>
        <w:spacing w:after="200"/>
        <w:ind w:left="357" w:hanging="357"/>
      </w:pPr>
      <w:r>
        <w:t xml:space="preserve">Net holding gain/(loss) for the financial asset reflects the refinancing gain/(loss) generated/(incurred) on the financial asset and liability (PPP related) during the financial year. </w:t>
      </w:r>
    </w:p>
    <w:p w14:paraId="08369B0B" w14:textId="77777777" w:rsidR="00B02873" w:rsidRDefault="00B02873" w:rsidP="007973AB">
      <w:pPr>
        <w:pStyle w:val="Boldheader"/>
      </w:pPr>
      <w:r>
        <w:lastRenderedPageBreak/>
        <w:t>Financial risk management objectives and policies</w:t>
      </w:r>
    </w:p>
    <w:p w14:paraId="31E6B9EE" w14:textId="3BFF1726" w:rsidR="00B02873" w:rsidRDefault="00B02873" w:rsidP="00FE198A">
      <w:r>
        <w:t>The department is exposed to a number of financial risks, including credit risk, liquidity risk and market risk.</w:t>
      </w:r>
    </w:p>
    <w:p w14:paraId="7B77BD7E" w14:textId="77777777" w:rsidR="00B02873" w:rsidRDefault="00B02873" w:rsidP="00FE198A">
      <w:r>
        <w:t xml:space="preserve">As a whole, the department’s financial risk management program seeks to manage these risks and the associated volatility of its financial performance. </w:t>
      </w:r>
    </w:p>
    <w:p w14:paraId="3BAD8967" w14:textId="77777777" w:rsidR="00B02873" w:rsidRDefault="00B02873" w:rsidP="00FE198A">
      <w:r>
        <w:t xml:space="preserve">The main purpose in holding financial instruments is to prudentially manage the department’s financial risks within the government policy parameters. </w:t>
      </w:r>
    </w:p>
    <w:p w14:paraId="0B7D0D5D" w14:textId="77777777" w:rsidR="00B02873" w:rsidRDefault="00B02873" w:rsidP="00FE198A">
      <w:r>
        <w:t xml:space="preserve">The department’s main financial risks include credit risk, liquidity risk and interest rate risk. The department manages these financial risks in accordance with its financial risk management policy. </w:t>
      </w:r>
    </w:p>
    <w:p w14:paraId="57764D33" w14:textId="77777777" w:rsidR="00B02873" w:rsidRDefault="00B02873" w:rsidP="00FE198A">
      <w:r>
        <w:t xml:space="preserve">The department uses different methods to measure and manage the different risks to which it is exposed. Primary responsibility for the identification and management of financial risks rests with the Risk and Audit Committee of the department. </w:t>
      </w:r>
    </w:p>
    <w:p w14:paraId="707C8201" w14:textId="77777777" w:rsidR="00B02873" w:rsidRDefault="00B02873" w:rsidP="007973AB">
      <w:pPr>
        <w:pStyle w:val="Heading4"/>
      </w:pPr>
      <w:r>
        <w:t xml:space="preserve">Financial instruments: Credit risk </w:t>
      </w:r>
    </w:p>
    <w:p w14:paraId="73945074" w14:textId="77777777" w:rsidR="00B02873" w:rsidRDefault="00B02873" w:rsidP="00FE198A">
      <w:r>
        <w:t>Credit risk refers to the possibility of the department’s counter party defaulting on their contractual obligations resulting in financial loss to the department. Credit risk is measured at fair value and is monitored on a regular basis.</w:t>
      </w:r>
    </w:p>
    <w:p w14:paraId="1BDF6828" w14:textId="77777777" w:rsidR="00B02873" w:rsidRDefault="00B02873" w:rsidP="00FE198A">
      <w:r>
        <w:t xml:space="preserve">Credit risk associated with the department’s contractual financial assets is minimal becausethe debtor is Melbourne Water Corporation and the financial impacts have been minimal under the COVID-19 environment. The SoO under section 4I of the </w:t>
      </w:r>
      <w:r w:rsidRPr="007973AB">
        <w:rPr>
          <w:rStyle w:val="LightItalic"/>
          <w:rFonts w:asciiTheme="minorHAnsi" w:hAnsiTheme="minorHAnsi" w:cstheme="minorHAnsi"/>
        </w:rPr>
        <w:t>Water Industry Act 1994</w:t>
      </w:r>
      <w:r>
        <w:t xml:space="preserve"> requires Melbourne Water Corporation to pay all monies as required by the state under the project deed with AquaSure. </w:t>
      </w:r>
    </w:p>
    <w:p w14:paraId="64AB7D4D" w14:textId="77777777" w:rsidR="00B02873" w:rsidRDefault="00B02873" w:rsidP="00FE198A">
      <w:r>
        <w:t>The carrying amount of contractual financial assets recorded in the financial statements represents the department’s maximum exposure to credit risk without taking account of the value of any collateral obtained.</w:t>
      </w:r>
    </w:p>
    <w:p w14:paraId="21F2EAB6" w14:textId="6C1E5CAB" w:rsidR="00B02873" w:rsidRDefault="00B02873" w:rsidP="007973AB">
      <w:pPr>
        <w:pStyle w:val="TabletitleTables"/>
      </w:pPr>
      <w:r>
        <w:t>Credit quality of contractual financial assets that are neither past due nor impaired</w:t>
      </w:r>
    </w:p>
    <w:tbl>
      <w:tblPr>
        <w:tblStyle w:val="TableGrid"/>
        <w:tblW w:w="9779" w:type="dxa"/>
        <w:tblLayout w:type="fixed"/>
        <w:tblLook w:val="0020" w:firstRow="1" w:lastRow="0" w:firstColumn="0" w:lastColumn="0" w:noHBand="0" w:noVBand="0"/>
      </w:tblPr>
      <w:tblGrid>
        <w:gridCol w:w="4673"/>
        <w:gridCol w:w="1418"/>
        <w:gridCol w:w="1138"/>
        <w:gridCol w:w="1413"/>
        <w:gridCol w:w="1137"/>
      </w:tblGrid>
      <w:tr w:rsidR="00B02873" w:rsidRPr="00B02873" w14:paraId="248B85F5" w14:textId="77777777" w:rsidTr="007973AB">
        <w:trPr>
          <w:cnfStyle w:val="100000000000" w:firstRow="1" w:lastRow="0" w:firstColumn="0" w:lastColumn="0" w:oddVBand="0" w:evenVBand="0" w:oddHBand="0" w:evenHBand="0" w:firstRowFirstColumn="0" w:firstRowLastColumn="0" w:lastRowFirstColumn="0" w:lastRowLastColumn="0"/>
          <w:tblHeader/>
        </w:trPr>
        <w:tc>
          <w:tcPr>
            <w:tcW w:w="4673" w:type="dxa"/>
          </w:tcPr>
          <w:p w14:paraId="7651791B" w14:textId="77777777" w:rsidR="00B02873" w:rsidRPr="00B02873" w:rsidRDefault="00B02873" w:rsidP="007973AB">
            <w:pPr>
              <w:pStyle w:val="TableheadingleftFinancialsTables"/>
            </w:pPr>
          </w:p>
        </w:tc>
        <w:tc>
          <w:tcPr>
            <w:tcW w:w="1418" w:type="dxa"/>
          </w:tcPr>
          <w:p w14:paraId="2E9FF014" w14:textId="00A545D7" w:rsidR="00B02873" w:rsidRDefault="007973AB" w:rsidP="00162D80">
            <w:pPr>
              <w:pStyle w:val="TableheadingleftFinancialsTables"/>
              <w:jc w:val="right"/>
            </w:pPr>
            <w:r>
              <w:t>2022</w:t>
            </w:r>
            <w:r>
              <w:br/>
            </w:r>
            <w:r w:rsidR="00B02873">
              <w:t>Government agencies</w:t>
            </w:r>
            <w:r w:rsidR="00B02873">
              <w:br/>
              <w:t>$’000</w:t>
            </w:r>
          </w:p>
        </w:tc>
        <w:tc>
          <w:tcPr>
            <w:tcW w:w="1138" w:type="dxa"/>
          </w:tcPr>
          <w:p w14:paraId="48C9FF10" w14:textId="5F750B1E" w:rsidR="00B02873" w:rsidRDefault="007973AB" w:rsidP="00162D80">
            <w:pPr>
              <w:pStyle w:val="TableheadingleftFinancialsTables"/>
              <w:jc w:val="right"/>
            </w:pPr>
            <w:r>
              <w:t>2022</w:t>
            </w:r>
            <w:r>
              <w:br/>
            </w:r>
            <w:r w:rsidR="00B02873">
              <w:t>Total</w:t>
            </w:r>
            <w:r w:rsidR="00B02873">
              <w:br/>
              <w:t>$’000</w:t>
            </w:r>
          </w:p>
        </w:tc>
        <w:tc>
          <w:tcPr>
            <w:tcW w:w="1413" w:type="dxa"/>
          </w:tcPr>
          <w:p w14:paraId="084AF3D0" w14:textId="283858B7" w:rsidR="00B02873" w:rsidRDefault="007973AB" w:rsidP="00162D80">
            <w:pPr>
              <w:pStyle w:val="TableheadingleftFinancialsTables"/>
              <w:jc w:val="right"/>
            </w:pPr>
            <w:r>
              <w:t>2021</w:t>
            </w:r>
            <w:r>
              <w:br/>
            </w:r>
            <w:r w:rsidR="00B02873">
              <w:t xml:space="preserve">Government agencies </w:t>
            </w:r>
            <w:r w:rsidR="00B02873">
              <w:br/>
              <w:t>$’000</w:t>
            </w:r>
          </w:p>
        </w:tc>
        <w:tc>
          <w:tcPr>
            <w:tcW w:w="1137" w:type="dxa"/>
          </w:tcPr>
          <w:p w14:paraId="3E7834B9" w14:textId="14B0291E" w:rsidR="00B02873" w:rsidRDefault="007973AB" w:rsidP="00162D80">
            <w:pPr>
              <w:pStyle w:val="TableheadingleftFinancialsTables"/>
              <w:jc w:val="right"/>
            </w:pPr>
            <w:r>
              <w:t>2021</w:t>
            </w:r>
            <w:r>
              <w:br/>
            </w:r>
            <w:r w:rsidR="00B02873">
              <w:t>Total</w:t>
            </w:r>
            <w:r w:rsidR="00B02873">
              <w:br/>
              <w:t>$’000</w:t>
            </w:r>
          </w:p>
        </w:tc>
      </w:tr>
      <w:tr w:rsidR="007973AB" w:rsidRPr="00B02873" w14:paraId="3F72E9AD" w14:textId="77777777" w:rsidTr="007973AB">
        <w:tc>
          <w:tcPr>
            <w:tcW w:w="4673" w:type="dxa"/>
          </w:tcPr>
          <w:p w14:paraId="02E2950D" w14:textId="7D5A2E87" w:rsidR="007973AB" w:rsidRPr="00162D80" w:rsidRDefault="007973AB" w:rsidP="007973AB">
            <w:pPr>
              <w:pStyle w:val="TablebodyleftFinancialsTables"/>
              <w:rPr>
                <w:b/>
                <w:bCs/>
              </w:rPr>
            </w:pPr>
            <w:r w:rsidRPr="00162D80">
              <w:rPr>
                <w:b/>
                <w:bCs/>
              </w:rPr>
              <w:t>Contractual financial assets</w:t>
            </w:r>
          </w:p>
        </w:tc>
        <w:tc>
          <w:tcPr>
            <w:tcW w:w="1418" w:type="dxa"/>
          </w:tcPr>
          <w:p w14:paraId="497CB417" w14:textId="77777777" w:rsidR="007973AB" w:rsidRDefault="007973AB" w:rsidP="00162D80">
            <w:pPr>
              <w:pStyle w:val="TablebodyleftFinancialsTables"/>
              <w:jc w:val="right"/>
            </w:pPr>
          </w:p>
        </w:tc>
        <w:tc>
          <w:tcPr>
            <w:tcW w:w="1138" w:type="dxa"/>
          </w:tcPr>
          <w:p w14:paraId="5015C22E" w14:textId="77777777" w:rsidR="007973AB" w:rsidRDefault="007973AB" w:rsidP="00162D80">
            <w:pPr>
              <w:pStyle w:val="TablebodyleftFinancialsTables"/>
              <w:jc w:val="right"/>
            </w:pPr>
          </w:p>
        </w:tc>
        <w:tc>
          <w:tcPr>
            <w:tcW w:w="1413" w:type="dxa"/>
          </w:tcPr>
          <w:p w14:paraId="6DC737CC" w14:textId="77777777" w:rsidR="007973AB" w:rsidRDefault="007973AB" w:rsidP="00162D80">
            <w:pPr>
              <w:pStyle w:val="TablebodyleftFinancialsTables"/>
              <w:jc w:val="right"/>
            </w:pPr>
          </w:p>
        </w:tc>
        <w:tc>
          <w:tcPr>
            <w:tcW w:w="1137" w:type="dxa"/>
          </w:tcPr>
          <w:p w14:paraId="0EB48C31" w14:textId="77777777" w:rsidR="007973AB" w:rsidRDefault="007973AB" w:rsidP="00162D80">
            <w:pPr>
              <w:pStyle w:val="TablebodyleftFinancialsTables"/>
              <w:jc w:val="right"/>
            </w:pPr>
          </w:p>
        </w:tc>
      </w:tr>
      <w:tr w:rsidR="00B02873" w:rsidRPr="00B02873" w14:paraId="5D9564BD" w14:textId="77777777" w:rsidTr="007973AB">
        <w:tc>
          <w:tcPr>
            <w:tcW w:w="4673" w:type="dxa"/>
          </w:tcPr>
          <w:p w14:paraId="411E472F" w14:textId="77777777" w:rsidR="00B02873" w:rsidRDefault="00B02873" w:rsidP="007973AB">
            <w:pPr>
              <w:pStyle w:val="TablebodyleftFinancialsTables"/>
            </w:pPr>
            <w:r>
              <w:t>Contractual receivable from Melbourne Water Corporation</w:t>
            </w:r>
          </w:p>
        </w:tc>
        <w:tc>
          <w:tcPr>
            <w:tcW w:w="1418" w:type="dxa"/>
          </w:tcPr>
          <w:p w14:paraId="419DBDED" w14:textId="77777777" w:rsidR="00B02873" w:rsidRPr="00162D80" w:rsidRDefault="00B02873" w:rsidP="00162D80">
            <w:pPr>
              <w:pStyle w:val="TablebodyleftFinancialsTables"/>
              <w:jc w:val="right"/>
              <w:rPr>
                <w:b/>
                <w:bCs/>
              </w:rPr>
            </w:pPr>
            <w:r w:rsidRPr="00162D80">
              <w:rPr>
                <w:b/>
                <w:bCs/>
              </w:rPr>
              <w:t>3,544,228</w:t>
            </w:r>
          </w:p>
        </w:tc>
        <w:tc>
          <w:tcPr>
            <w:tcW w:w="1138" w:type="dxa"/>
          </w:tcPr>
          <w:p w14:paraId="5B8BFD7F" w14:textId="77777777" w:rsidR="00B02873" w:rsidRPr="00162D80" w:rsidRDefault="00B02873" w:rsidP="00162D80">
            <w:pPr>
              <w:pStyle w:val="TablebodyleftFinancialsTables"/>
              <w:jc w:val="right"/>
              <w:rPr>
                <w:b/>
                <w:bCs/>
              </w:rPr>
            </w:pPr>
            <w:r w:rsidRPr="00162D80">
              <w:rPr>
                <w:b/>
                <w:bCs/>
              </w:rPr>
              <w:t>3,544,228</w:t>
            </w:r>
          </w:p>
        </w:tc>
        <w:tc>
          <w:tcPr>
            <w:tcW w:w="1413" w:type="dxa"/>
          </w:tcPr>
          <w:p w14:paraId="2488C728" w14:textId="77777777" w:rsidR="00B02873" w:rsidRDefault="00B02873" w:rsidP="00162D80">
            <w:pPr>
              <w:pStyle w:val="TablebodyleftFinancialsTables"/>
              <w:jc w:val="right"/>
            </w:pPr>
            <w:r>
              <w:t>3,564,921</w:t>
            </w:r>
          </w:p>
        </w:tc>
        <w:tc>
          <w:tcPr>
            <w:tcW w:w="1137" w:type="dxa"/>
          </w:tcPr>
          <w:p w14:paraId="2E4D1117" w14:textId="77777777" w:rsidR="00B02873" w:rsidRDefault="00B02873" w:rsidP="00162D80">
            <w:pPr>
              <w:pStyle w:val="TablebodyleftFinancialsTables"/>
              <w:jc w:val="right"/>
            </w:pPr>
            <w:r>
              <w:t>3,564,921</w:t>
            </w:r>
          </w:p>
        </w:tc>
      </w:tr>
    </w:tbl>
    <w:p w14:paraId="47468824" w14:textId="77777777" w:rsidR="00B02873" w:rsidRDefault="00B02873" w:rsidP="00FE198A"/>
    <w:p w14:paraId="77E1B2FA" w14:textId="77777777" w:rsidR="00B02873" w:rsidRDefault="00B02873" w:rsidP="00162D80">
      <w:pPr>
        <w:pStyle w:val="Heading4"/>
      </w:pPr>
      <w:r>
        <w:t>Financial instruments: Liquidity risk</w:t>
      </w:r>
    </w:p>
    <w:p w14:paraId="289C2239" w14:textId="77777777" w:rsidR="00B02873" w:rsidRDefault="00B02873" w:rsidP="00FE198A">
      <w:r>
        <w:t xml:space="preserve">Liquidity risk arises when the department is unable to meet its financial obligations as and when they fall due. The department operates under the government’s fair payments policy of settling financial obligations within 30 days and in the event of a dispute, making payments within 30 days from the date of resolution. These obligations have not changed under the current COVID-19 environment. </w:t>
      </w:r>
    </w:p>
    <w:p w14:paraId="08D9B2DC" w14:textId="77777777" w:rsidR="00B02873" w:rsidRDefault="00B02873" w:rsidP="00FE198A">
      <w:r>
        <w:t>The department’s maximum exposure to liquidity risk is the carrying amounts of the interest bearing liabilities associated with the Desalination Project. The department manages its liquidity risk by ensuring that it has access to sufficient cash in the public account to meet its current liabilities.</w:t>
      </w:r>
    </w:p>
    <w:p w14:paraId="22AF66B5" w14:textId="77777777" w:rsidR="00B02873" w:rsidRDefault="00B02873" w:rsidP="00FE198A">
      <w:r>
        <w:lastRenderedPageBreak/>
        <w:t>The department’s exposure to liquidity risk is deemed insignificant based on prior period data and current assessment of risk. Cash for unexpected events is generally sourced by drawing on amounts receivable from the Victorian government through the Public Account.</w:t>
      </w:r>
    </w:p>
    <w:p w14:paraId="3E03FDDA" w14:textId="3665E6ED" w:rsidR="00B02873" w:rsidRDefault="00B02873" w:rsidP="00FE198A">
      <w:r>
        <w:t>The carrying amount detailed in the following table of contractual financial liabilities recorded in the financial statements, represents the department’s maximum exposure to liquidity risk.</w:t>
      </w:r>
    </w:p>
    <w:p w14:paraId="3A2E74B4" w14:textId="77777777" w:rsidR="00B02873" w:rsidRDefault="00B02873" w:rsidP="00162D80">
      <w:pPr>
        <w:pStyle w:val="TabletitleTables"/>
      </w:pPr>
      <w:r>
        <w:t>Maturity analysis of contractual financial liabilities</w:t>
      </w:r>
    </w:p>
    <w:tbl>
      <w:tblPr>
        <w:tblStyle w:val="TableGrid"/>
        <w:tblW w:w="9638" w:type="dxa"/>
        <w:tblLayout w:type="fixed"/>
        <w:tblLook w:val="0020" w:firstRow="1" w:lastRow="0" w:firstColumn="0" w:lastColumn="0" w:noHBand="0" w:noVBand="0"/>
      </w:tblPr>
      <w:tblGrid>
        <w:gridCol w:w="2494"/>
        <w:gridCol w:w="1021"/>
        <w:gridCol w:w="1020"/>
        <w:gridCol w:w="1130"/>
        <w:gridCol w:w="911"/>
        <w:gridCol w:w="1021"/>
        <w:gridCol w:w="1020"/>
        <w:gridCol w:w="1021"/>
      </w:tblGrid>
      <w:tr w:rsidR="00B02873" w:rsidRPr="00B02873" w14:paraId="5E161EC2" w14:textId="77777777" w:rsidTr="00162D80">
        <w:trPr>
          <w:cnfStyle w:val="100000000000" w:firstRow="1" w:lastRow="0" w:firstColumn="0" w:lastColumn="0" w:oddVBand="0" w:evenVBand="0" w:oddHBand="0" w:evenHBand="0" w:firstRowFirstColumn="0" w:firstRowLastColumn="0" w:lastRowFirstColumn="0" w:lastRowLastColumn="0"/>
        </w:trPr>
        <w:tc>
          <w:tcPr>
            <w:tcW w:w="2494" w:type="dxa"/>
          </w:tcPr>
          <w:p w14:paraId="34A6FBE0" w14:textId="77777777" w:rsidR="00B02873" w:rsidRPr="00B02873" w:rsidRDefault="00B02873" w:rsidP="00162D80">
            <w:pPr>
              <w:pStyle w:val="TableheadingleftFinancialsTables"/>
            </w:pPr>
          </w:p>
        </w:tc>
        <w:tc>
          <w:tcPr>
            <w:tcW w:w="1021" w:type="dxa"/>
          </w:tcPr>
          <w:p w14:paraId="0519919A" w14:textId="13222A6F" w:rsidR="00B02873" w:rsidRPr="00B02873" w:rsidRDefault="00162D80" w:rsidP="00162D80">
            <w:pPr>
              <w:pStyle w:val="TableheadingleftFinancialsTables"/>
              <w:jc w:val="right"/>
            </w:pPr>
            <w:r>
              <w:t>Carrying amount</w:t>
            </w:r>
            <w:r>
              <w:br/>
              <w:t>$’000</w:t>
            </w:r>
          </w:p>
        </w:tc>
        <w:tc>
          <w:tcPr>
            <w:tcW w:w="1020" w:type="dxa"/>
          </w:tcPr>
          <w:p w14:paraId="40F37086" w14:textId="40B7DF09" w:rsidR="00B02873" w:rsidRPr="00B02873" w:rsidRDefault="00162D80" w:rsidP="00162D80">
            <w:pPr>
              <w:pStyle w:val="TableheadingleftFinancialsTables"/>
              <w:jc w:val="right"/>
            </w:pPr>
            <w:r>
              <w:t>Nominal amount</w:t>
            </w:r>
            <w:r>
              <w:br/>
              <w:t>$’000</w:t>
            </w:r>
          </w:p>
        </w:tc>
        <w:tc>
          <w:tcPr>
            <w:tcW w:w="1130" w:type="dxa"/>
          </w:tcPr>
          <w:p w14:paraId="5630ABA1" w14:textId="213CFE49" w:rsidR="00B02873" w:rsidRDefault="00162D80" w:rsidP="00162D80">
            <w:pPr>
              <w:pStyle w:val="TableheadingleftFinancialsTables"/>
              <w:jc w:val="right"/>
            </w:pPr>
            <w:r>
              <w:t>Maturity dates</w:t>
            </w:r>
            <w:r>
              <w:rPr>
                <w:spacing w:val="-2"/>
              </w:rPr>
              <w:t xml:space="preserve"> </w:t>
            </w:r>
            <w:r>
              <w:rPr>
                <w:spacing w:val="-2"/>
              </w:rPr>
              <w:br/>
            </w:r>
            <w:r w:rsidR="00B02873">
              <w:rPr>
                <w:spacing w:val="-2"/>
              </w:rPr>
              <w:t xml:space="preserve">Less than </w:t>
            </w:r>
            <w:r w:rsidR="00B02873">
              <w:t>1 month</w:t>
            </w:r>
            <w:r w:rsidR="00B02873">
              <w:br/>
              <w:t>$’000</w:t>
            </w:r>
          </w:p>
        </w:tc>
        <w:tc>
          <w:tcPr>
            <w:tcW w:w="911" w:type="dxa"/>
          </w:tcPr>
          <w:p w14:paraId="24352F5C" w14:textId="49CC9F40" w:rsidR="00B02873" w:rsidRDefault="00162D80" w:rsidP="00162D80">
            <w:pPr>
              <w:pStyle w:val="TableheadingleftFinancialsTables"/>
              <w:jc w:val="right"/>
            </w:pPr>
            <w:r>
              <w:t>Maturity dates</w:t>
            </w:r>
            <w:r>
              <w:rPr>
                <w:spacing w:val="-2"/>
              </w:rPr>
              <w:t xml:space="preserve"> </w:t>
            </w:r>
            <w:r>
              <w:rPr>
                <w:spacing w:val="-2"/>
              </w:rPr>
              <w:br/>
            </w:r>
            <w:r w:rsidR="00B02873">
              <w:t>1–3 months</w:t>
            </w:r>
            <w:r w:rsidR="00B02873">
              <w:br/>
              <w:t>$’000</w:t>
            </w:r>
          </w:p>
        </w:tc>
        <w:tc>
          <w:tcPr>
            <w:tcW w:w="1021" w:type="dxa"/>
          </w:tcPr>
          <w:p w14:paraId="2766972B" w14:textId="443C8D83" w:rsidR="00B02873" w:rsidRDefault="00162D80" w:rsidP="00162D80">
            <w:pPr>
              <w:pStyle w:val="TableheadingleftFinancialsTables"/>
              <w:jc w:val="right"/>
            </w:pPr>
            <w:r>
              <w:t>Maturity dates</w:t>
            </w:r>
            <w:r>
              <w:rPr>
                <w:spacing w:val="-2"/>
              </w:rPr>
              <w:t xml:space="preserve"> </w:t>
            </w:r>
            <w:r>
              <w:rPr>
                <w:spacing w:val="-2"/>
              </w:rPr>
              <w:br/>
            </w:r>
            <w:r w:rsidR="00B02873">
              <w:t>3 months</w:t>
            </w:r>
            <w:r w:rsidR="00B02873">
              <w:br/>
              <w:t>–1 year</w:t>
            </w:r>
            <w:r w:rsidR="00B02873">
              <w:br/>
              <w:t>$’000</w:t>
            </w:r>
          </w:p>
        </w:tc>
        <w:tc>
          <w:tcPr>
            <w:tcW w:w="1020" w:type="dxa"/>
          </w:tcPr>
          <w:p w14:paraId="25C20FAF" w14:textId="629DE756" w:rsidR="00B02873" w:rsidRDefault="00162D80" w:rsidP="00162D80">
            <w:pPr>
              <w:pStyle w:val="TableheadingleftFinancialsTables"/>
              <w:jc w:val="right"/>
            </w:pPr>
            <w:r>
              <w:t>Maturity dates</w:t>
            </w:r>
            <w:r>
              <w:rPr>
                <w:spacing w:val="-2"/>
              </w:rPr>
              <w:t xml:space="preserve"> </w:t>
            </w:r>
            <w:r>
              <w:rPr>
                <w:spacing w:val="-2"/>
              </w:rPr>
              <w:br/>
            </w:r>
            <w:r w:rsidR="00B02873">
              <w:t>1–5 years</w:t>
            </w:r>
            <w:r w:rsidR="00B02873">
              <w:br/>
              <w:t>$’000</w:t>
            </w:r>
          </w:p>
        </w:tc>
        <w:tc>
          <w:tcPr>
            <w:tcW w:w="1021" w:type="dxa"/>
          </w:tcPr>
          <w:p w14:paraId="20E075DB" w14:textId="0F9C4DD4" w:rsidR="00B02873" w:rsidRDefault="00162D80" w:rsidP="00162D80">
            <w:pPr>
              <w:pStyle w:val="TableheadingleftFinancialsTables"/>
              <w:jc w:val="right"/>
            </w:pPr>
            <w:r>
              <w:t>Maturity dates</w:t>
            </w:r>
            <w:r>
              <w:rPr>
                <w:spacing w:val="-2"/>
              </w:rPr>
              <w:t xml:space="preserve"> </w:t>
            </w:r>
            <w:r>
              <w:rPr>
                <w:spacing w:val="-2"/>
              </w:rPr>
              <w:br/>
            </w:r>
            <w:r w:rsidR="00B02873">
              <w:t>5 years +</w:t>
            </w:r>
            <w:r w:rsidR="00B02873">
              <w:br/>
              <w:t>$’000</w:t>
            </w:r>
          </w:p>
        </w:tc>
      </w:tr>
      <w:tr w:rsidR="00162D80" w:rsidRPr="00B02873" w14:paraId="2D53FB7C" w14:textId="77777777" w:rsidTr="00162D80">
        <w:tc>
          <w:tcPr>
            <w:tcW w:w="2494" w:type="dxa"/>
          </w:tcPr>
          <w:p w14:paraId="2278A2C0" w14:textId="1B04DB98" w:rsidR="00162D80" w:rsidRPr="00162D80" w:rsidRDefault="00162D80" w:rsidP="00F4355B">
            <w:pPr>
              <w:pStyle w:val="TablebodyleftFinancialsTables"/>
              <w:rPr>
                <w:b/>
                <w:bCs/>
              </w:rPr>
            </w:pPr>
            <w:r w:rsidRPr="00162D80">
              <w:rPr>
                <w:b/>
                <w:bCs/>
              </w:rPr>
              <w:t>2022</w:t>
            </w:r>
          </w:p>
        </w:tc>
        <w:tc>
          <w:tcPr>
            <w:tcW w:w="1021" w:type="dxa"/>
          </w:tcPr>
          <w:p w14:paraId="09087313" w14:textId="77777777" w:rsidR="00162D80" w:rsidRDefault="00162D80" w:rsidP="00162D80">
            <w:pPr>
              <w:pStyle w:val="TablebodyleftFinancialsTables"/>
              <w:jc w:val="right"/>
              <w:rPr>
                <w:spacing w:val="-3"/>
              </w:rPr>
            </w:pPr>
          </w:p>
        </w:tc>
        <w:tc>
          <w:tcPr>
            <w:tcW w:w="1020" w:type="dxa"/>
          </w:tcPr>
          <w:p w14:paraId="243352C8" w14:textId="77777777" w:rsidR="00162D80" w:rsidRDefault="00162D80" w:rsidP="00162D80">
            <w:pPr>
              <w:pStyle w:val="TablebodyleftFinancialsTables"/>
              <w:jc w:val="right"/>
            </w:pPr>
          </w:p>
        </w:tc>
        <w:tc>
          <w:tcPr>
            <w:tcW w:w="1130" w:type="dxa"/>
          </w:tcPr>
          <w:p w14:paraId="5FFB82F1" w14:textId="77777777" w:rsidR="00162D80" w:rsidRDefault="00162D80" w:rsidP="00162D80">
            <w:pPr>
              <w:pStyle w:val="TablebodyleftFinancialsTables"/>
              <w:jc w:val="right"/>
            </w:pPr>
          </w:p>
        </w:tc>
        <w:tc>
          <w:tcPr>
            <w:tcW w:w="911" w:type="dxa"/>
          </w:tcPr>
          <w:p w14:paraId="4EDB51E8" w14:textId="77777777" w:rsidR="00162D80" w:rsidRDefault="00162D80" w:rsidP="00162D80">
            <w:pPr>
              <w:pStyle w:val="TablebodyleftFinancialsTables"/>
              <w:jc w:val="right"/>
            </w:pPr>
          </w:p>
        </w:tc>
        <w:tc>
          <w:tcPr>
            <w:tcW w:w="1021" w:type="dxa"/>
          </w:tcPr>
          <w:p w14:paraId="4EE222DF" w14:textId="77777777" w:rsidR="00162D80" w:rsidRDefault="00162D80" w:rsidP="00162D80">
            <w:pPr>
              <w:pStyle w:val="TablebodyleftFinancialsTables"/>
              <w:jc w:val="right"/>
            </w:pPr>
          </w:p>
        </w:tc>
        <w:tc>
          <w:tcPr>
            <w:tcW w:w="1020" w:type="dxa"/>
          </w:tcPr>
          <w:p w14:paraId="5460ACF0" w14:textId="77777777" w:rsidR="00162D80" w:rsidRDefault="00162D80" w:rsidP="00162D80">
            <w:pPr>
              <w:pStyle w:val="TablebodyleftFinancialsTables"/>
              <w:jc w:val="right"/>
            </w:pPr>
          </w:p>
        </w:tc>
        <w:tc>
          <w:tcPr>
            <w:tcW w:w="1021" w:type="dxa"/>
          </w:tcPr>
          <w:p w14:paraId="1BD74A8E" w14:textId="77777777" w:rsidR="00162D80" w:rsidRDefault="00162D80" w:rsidP="00162D80">
            <w:pPr>
              <w:pStyle w:val="TablebodyleftFinancialsTables"/>
              <w:jc w:val="right"/>
            </w:pPr>
          </w:p>
        </w:tc>
      </w:tr>
      <w:tr w:rsidR="00B02873" w:rsidRPr="00B02873" w14:paraId="5234E766" w14:textId="77777777" w:rsidTr="00162D80">
        <w:tc>
          <w:tcPr>
            <w:tcW w:w="2494" w:type="dxa"/>
          </w:tcPr>
          <w:p w14:paraId="75B27AD0" w14:textId="77777777" w:rsidR="00B02873" w:rsidRDefault="00B02873" w:rsidP="00162D80">
            <w:pPr>
              <w:pStyle w:val="TablebodyleftFinancialsTables"/>
            </w:pPr>
            <w:r>
              <w:t>Payable to AquaSure (borrowings)</w:t>
            </w:r>
          </w:p>
        </w:tc>
        <w:tc>
          <w:tcPr>
            <w:tcW w:w="1021" w:type="dxa"/>
          </w:tcPr>
          <w:p w14:paraId="5B1E6676" w14:textId="77777777" w:rsidR="00B02873" w:rsidRPr="00162D80" w:rsidRDefault="00B02873" w:rsidP="00162D80">
            <w:pPr>
              <w:pStyle w:val="TablebodyleftFinancialsTables"/>
              <w:jc w:val="right"/>
              <w:rPr>
                <w:b/>
                <w:bCs/>
              </w:rPr>
            </w:pPr>
            <w:r w:rsidRPr="00162D80">
              <w:rPr>
                <w:b/>
                <w:bCs/>
                <w:spacing w:val="-3"/>
              </w:rPr>
              <w:t>3,225,659</w:t>
            </w:r>
          </w:p>
        </w:tc>
        <w:tc>
          <w:tcPr>
            <w:tcW w:w="1020" w:type="dxa"/>
          </w:tcPr>
          <w:p w14:paraId="384DA219" w14:textId="77777777" w:rsidR="00B02873" w:rsidRPr="00162D80" w:rsidRDefault="00B02873" w:rsidP="00162D80">
            <w:pPr>
              <w:pStyle w:val="TablebodyleftFinancialsTables"/>
              <w:jc w:val="right"/>
              <w:rPr>
                <w:b/>
                <w:bCs/>
              </w:rPr>
            </w:pPr>
            <w:r w:rsidRPr="00162D80">
              <w:rPr>
                <w:b/>
                <w:bCs/>
              </w:rPr>
              <w:t>7,536,597</w:t>
            </w:r>
          </w:p>
        </w:tc>
        <w:tc>
          <w:tcPr>
            <w:tcW w:w="1130" w:type="dxa"/>
          </w:tcPr>
          <w:p w14:paraId="15505BC5" w14:textId="77777777" w:rsidR="00B02873" w:rsidRPr="00162D80" w:rsidRDefault="00B02873" w:rsidP="00162D80">
            <w:pPr>
              <w:pStyle w:val="TablebodyleftFinancialsTables"/>
              <w:jc w:val="right"/>
              <w:rPr>
                <w:b/>
                <w:bCs/>
              </w:rPr>
            </w:pPr>
            <w:r w:rsidRPr="00162D80">
              <w:rPr>
                <w:b/>
                <w:bCs/>
              </w:rPr>
              <w:t>37,967</w:t>
            </w:r>
          </w:p>
        </w:tc>
        <w:tc>
          <w:tcPr>
            <w:tcW w:w="911" w:type="dxa"/>
          </w:tcPr>
          <w:p w14:paraId="46DD615E" w14:textId="77777777" w:rsidR="00B02873" w:rsidRPr="00162D80" w:rsidRDefault="00B02873" w:rsidP="00162D80">
            <w:pPr>
              <w:pStyle w:val="TablebodyleftFinancialsTables"/>
              <w:jc w:val="right"/>
              <w:rPr>
                <w:b/>
                <w:bCs/>
              </w:rPr>
            </w:pPr>
            <w:r w:rsidRPr="00162D80">
              <w:rPr>
                <w:b/>
                <w:bCs/>
              </w:rPr>
              <w:t>66,366</w:t>
            </w:r>
          </w:p>
        </w:tc>
        <w:tc>
          <w:tcPr>
            <w:tcW w:w="1021" w:type="dxa"/>
          </w:tcPr>
          <w:p w14:paraId="35ED33F5" w14:textId="77777777" w:rsidR="00B02873" w:rsidRPr="00162D80" w:rsidRDefault="00B02873" w:rsidP="00162D80">
            <w:pPr>
              <w:pStyle w:val="TablebodyleftFinancialsTables"/>
              <w:jc w:val="right"/>
              <w:rPr>
                <w:b/>
                <w:bCs/>
              </w:rPr>
            </w:pPr>
            <w:r w:rsidRPr="00162D80">
              <w:rPr>
                <w:b/>
                <w:bCs/>
              </w:rPr>
              <w:t>312,426</w:t>
            </w:r>
          </w:p>
        </w:tc>
        <w:tc>
          <w:tcPr>
            <w:tcW w:w="1020" w:type="dxa"/>
          </w:tcPr>
          <w:p w14:paraId="67EF0B8D" w14:textId="77777777" w:rsidR="00B02873" w:rsidRPr="00162D80" w:rsidRDefault="00B02873" w:rsidP="00162D80">
            <w:pPr>
              <w:pStyle w:val="TablebodyleftFinancialsTables"/>
              <w:jc w:val="right"/>
              <w:rPr>
                <w:b/>
                <w:bCs/>
              </w:rPr>
            </w:pPr>
            <w:r w:rsidRPr="00162D80">
              <w:rPr>
                <w:b/>
                <w:bCs/>
              </w:rPr>
              <w:t>1,640,005</w:t>
            </w:r>
          </w:p>
        </w:tc>
        <w:tc>
          <w:tcPr>
            <w:tcW w:w="1021" w:type="dxa"/>
          </w:tcPr>
          <w:p w14:paraId="589B2059" w14:textId="77777777" w:rsidR="00B02873" w:rsidRPr="00162D80" w:rsidRDefault="00B02873" w:rsidP="00162D80">
            <w:pPr>
              <w:pStyle w:val="TablebodyleftFinancialsTables"/>
              <w:jc w:val="right"/>
              <w:rPr>
                <w:b/>
                <w:bCs/>
              </w:rPr>
            </w:pPr>
            <w:r w:rsidRPr="00162D80">
              <w:rPr>
                <w:b/>
                <w:bCs/>
              </w:rPr>
              <w:t>5,479,833</w:t>
            </w:r>
          </w:p>
        </w:tc>
      </w:tr>
      <w:tr w:rsidR="00162D80" w:rsidRPr="00B02873" w14:paraId="7C7EFF7B" w14:textId="77777777" w:rsidTr="00162D80">
        <w:tc>
          <w:tcPr>
            <w:tcW w:w="2494" w:type="dxa"/>
          </w:tcPr>
          <w:p w14:paraId="4E2185F5" w14:textId="4CC89592" w:rsidR="00162D80" w:rsidRDefault="00162D80" w:rsidP="00162D80">
            <w:pPr>
              <w:pStyle w:val="TablebodyleftFinancialsTables"/>
            </w:pPr>
            <w:r>
              <w:t>2021</w:t>
            </w:r>
          </w:p>
        </w:tc>
        <w:tc>
          <w:tcPr>
            <w:tcW w:w="1021" w:type="dxa"/>
          </w:tcPr>
          <w:p w14:paraId="771CF3D3" w14:textId="77777777" w:rsidR="00162D80" w:rsidRDefault="00162D80" w:rsidP="00162D80">
            <w:pPr>
              <w:pStyle w:val="TablebodyleftFinancialsTables"/>
              <w:jc w:val="right"/>
              <w:rPr>
                <w:spacing w:val="-3"/>
              </w:rPr>
            </w:pPr>
          </w:p>
        </w:tc>
        <w:tc>
          <w:tcPr>
            <w:tcW w:w="1020" w:type="dxa"/>
          </w:tcPr>
          <w:p w14:paraId="2CC2CE1B" w14:textId="77777777" w:rsidR="00162D80" w:rsidRDefault="00162D80" w:rsidP="00162D80">
            <w:pPr>
              <w:pStyle w:val="TablebodyleftFinancialsTables"/>
              <w:jc w:val="right"/>
            </w:pPr>
          </w:p>
        </w:tc>
        <w:tc>
          <w:tcPr>
            <w:tcW w:w="1130" w:type="dxa"/>
          </w:tcPr>
          <w:p w14:paraId="48699D60" w14:textId="77777777" w:rsidR="00162D80" w:rsidRDefault="00162D80" w:rsidP="00162D80">
            <w:pPr>
              <w:pStyle w:val="TablebodyleftFinancialsTables"/>
              <w:jc w:val="right"/>
            </w:pPr>
          </w:p>
        </w:tc>
        <w:tc>
          <w:tcPr>
            <w:tcW w:w="911" w:type="dxa"/>
          </w:tcPr>
          <w:p w14:paraId="16C7553A" w14:textId="77777777" w:rsidR="00162D80" w:rsidRDefault="00162D80" w:rsidP="00162D80">
            <w:pPr>
              <w:pStyle w:val="TablebodyleftFinancialsTables"/>
              <w:jc w:val="right"/>
            </w:pPr>
          </w:p>
        </w:tc>
        <w:tc>
          <w:tcPr>
            <w:tcW w:w="1021" w:type="dxa"/>
          </w:tcPr>
          <w:p w14:paraId="781D5461" w14:textId="77777777" w:rsidR="00162D80" w:rsidRDefault="00162D80" w:rsidP="00162D80">
            <w:pPr>
              <w:pStyle w:val="TablebodyleftFinancialsTables"/>
              <w:jc w:val="right"/>
            </w:pPr>
          </w:p>
        </w:tc>
        <w:tc>
          <w:tcPr>
            <w:tcW w:w="1020" w:type="dxa"/>
          </w:tcPr>
          <w:p w14:paraId="183B03ED" w14:textId="77777777" w:rsidR="00162D80" w:rsidRDefault="00162D80" w:rsidP="00162D80">
            <w:pPr>
              <w:pStyle w:val="TablebodyleftFinancialsTables"/>
              <w:jc w:val="right"/>
            </w:pPr>
          </w:p>
        </w:tc>
        <w:tc>
          <w:tcPr>
            <w:tcW w:w="1021" w:type="dxa"/>
          </w:tcPr>
          <w:p w14:paraId="2B126A26" w14:textId="77777777" w:rsidR="00162D80" w:rsidRDefault="00162D80" w:rsidP="00162D80">
            <w:pPr>
              <w:pStyle w:val="TablebodyleftFinancialsTables"/>
              <w:jc w:val="right"/>
            </w:pPr>
          </w:p>
        </w:tc>
      </w:tr>
      <w:tr w:rsidR="00B02873" w:rsidRPr="00B02873" w14:paraId="28B9CFF5" w14:textId="77777777" w:rsidTr="00162D80">
        <w:tc>
          <w:tcPr>
            <w:tcW w:w="2494" w:type="dxa"/>
          </w:tcPr>
          <w:p w14:paraId="5684CB51" w14:textId="77777777" w:rsidR="00B02873" w:rsidRDefault="00B02873" w:rsidP="00162D80">
            <w:pPr>
              <w:pStyle w:val="TablebodyleftFinancialsTables"/>
            </w:pPr>
            <w:r>
              <w:t>Payable to AquaSure (borrowings)</w:t>
            </w:r>
          </w:p>
        </w:tc>
        <w:tc>
          <w:tcPr>
            <w:tcW w:w="1021" w:type="dxa"/>
          </w:tcPr>
          <w:p w14:paraId="3F78C302" w14:textId="77777777" w:rsidR="00B02873" w:rsidRDefault="00B02873" w:rsidP="00162D80">
            <w:pPr>
              <w:pStyle w:val="TablebodyleftFinancialsTables"/>
              <w:jc w:val="right"/>
            </w:pPr>
            <w:r>
              <w:t>3,274,894</w:t>
            </w:r>
          </w:p>
        </w:tc>
        <w:tc>
          <w:tcPr>
            <w:tcW w:w="1020" w:type="dxa"/>
          </w:tcPr>
          <w:p w14:paraId="16DE02BD" w14:textId="77777777" w:rsidR="00B02873" w:rsidRDefault="00B02873" w:rsidP="00162D80">
            <w:pPr>
              <w:pStyle w:val="TablebodyleftFinancialsTables"/>
              <w:jc w:val="right"/>
            </w:pPr>
            <w:r>
              <w:t>7,952,359</w:t>
            </w:r>
          </w:p>
        </w:tc>
        <w:tc>
          <w:tcPr>
            <w:tcW w:w="1130" w:type="dxa"/>
          </w:tcPr>
          <w:p w14:paraId="5E1BCC6C" w14:textId="77777777" w:rsidR="00B02873" w:rsidRDefault="00B02873" w:rsidP="00162D80">
            <w:pPr>
              <w:pStyle w:val="TablebodyleftFinancialsTables"/>
              <w:jc w:val="right"/>
            </w:pPr>
            <w:r>
              <w:t>37,832</w:t>
            </w:r>
          </w:p>
        </w:tc>
        <w:tc>
          <w:tcPr>
            <w:tcW w:w="911" w:type="dxa"/>
          </w:tcPr>
          <w:p w14:paraId="6B7E3B2D" w14:textId="77777777" w:rsidR="00B02873" w:rsidRDefault="00B02873" w:rsidP="00162D80">
            <w:pPr>
              <w:pStyle w:val="TablebodyleftFinancialsTables"/>
              <w:jc w:val="right"/>
            </w:pPr>
            <w:r>
              <w:t>65,736</w:t>
            </w:r>
          </w:p>
        </w:tc>
        <w:tc>
          <w:tcPr>
            <w:tcW w:w="1021" w:type="dxa"/>
          </w:tcPr>
          <w:p w14:paraId="64B1156C" w14:textId="77777777" w:rsidR="00B02873" w:rsidRDefault="00B02873" w:rsidP="00162D80">
            <w:pPr>
              <w:pStyle w:val="TablebodyleftFinancialsTables"/>
              <w:jc w:val="right"/>
            </w:pPr>
            <w:r>
              <w:t>312,194</w:t>
            </w:r>
          </w:p>
        </w:tc>
        <w:tc>
          <w:tcPr>
            <w:tcW w:w="1020" w:type="dxa"/>
          </w:tcPr>
          <w:p w14:paraId="788FB59C" w14:textId="77777777" w:rsidR="00B02873" w:rsidRDefault="00B02873" w:rsidP="00162D80">
            <w:pPr>
              <w:pStyle w:val="TablebodyleftFinancialsTables"/>
              <w:jc w:val="right"/>
            </w:pPr>
            <w:r>
              <w:t>1,641,589</w:t>
            </w:r>
          </w:p>
        </w:tc>
        <w:tc>
          <w:tcPr>
            <w:tcW w:w="1021" w:type="dxa"/>
          </w:tcPr>
          <w:p w14:paraId="3C3718A9" w14:textId="77777777" w:rsidR="00B02873" w:rsidRDefault="00B02873" w:rsidP="00162D80">
            <w:pPr>
              <w:pStyle w:val="TablebodyleftFinancialsTables"/>
              <w:jc w:val="right"/>
            </w:pPr>
            <w:r>
              <w:t>5,895,008</w:t>
            </w:r>
          </w:p>
        </w:tc>
      </w:tr>
    </w:tbl>
    <w:p w14:paraId="7B6BA532" w14:textId="77777777" w:rsidR="00B02873" w:rsidRDefault="00B02873" w:rsidP="00FE198A"/>
    <w:p w14:paraId="6BAD5C08" w14:textId="77777777" w:rsidR="00B02873" w:rsidRDefault="00B02873" w:rsidP="0099396C">
      <w:pPr>
        <w:pStyle w:val="Heading4"/>
      </w:pPr>
      <w:r>
        <w:t>Financial instruments: Market risk</w:t>
      </w:r>
    </w:p>
    <w:p w14:paraId="74B09C42" w14:textId="30A4EFCC" w:rsidR="00B02873" w:rsidRDefault="00B02873" w:rsidP="00FE198A">
      <w:r>
        <w:t>The department’s exposures to market risk are primarily through interest rate risk. Objectives, policies and processes used to manage each of these risks is disclosed below.</w:t>
      </w:r>
    </w:p>
    <w:p w14:paraId="36678BD5" w14:textId="77777777" w:rsidR="00B02873" w:rsidRDefault="00B02873" w:rsidP="0099396C">
      <w:pPr>
        <w:pStyle w:val="Heading5"/>
      </w:pPr>
      <w:r>
        <w:t>Interest rate risk</w:t>
      </w:r>
    </w:p>
    <w:p w14:paraId="3D6C4DF6" w14:textId="42902B9E" w:rsidR="00B02873" w:rsidRDefault="00B02873" w:rsidP="00FE198A">
      <w:pPr>
        <w:rPr>
          <w:lang w:val="en-US"/>
        </w:rPr>
      </w:pPr>
      <w:r>
        <w:t>The department’s interest bearing liabilities are managed by AquaSure as the borrower of funds from financial institutions for the project. The interest rate risk is mitigated by hedging of the debt. Interest rates are fixed at the inception of the agreement and refinancing options are subject to approval by the Minister for Finance. The department’s exposure to interest rate risk is set out below.</w:t>
      </w:r>
    </w:p>
    <w:p w14:paraId="7EF79933" w14:textId="77777777" w:rsidR="00B02873" w:rsidRDefault="00B02873" w:rsidP="0099396C">
      <w:pPr>
        <w:pStyle w:val="TabletitleTables"/>
      </w:pPr>
      <w:r>
        <w:t>Interest rate exposure of financial instruments</w:t>
      </w:r>
    </w:p>
    <w:tbl>
      <w:tblPr>
        <w:tblStyle w:val="TableGrid"/>
        <w:tblW w:w="10230" w:type="dxa"/>
        <w:tblLayout w:type="fixed"/>
        <w:tblLook w:val="0020" w:firstRow="1" w:lastRow="0" w:firstColumn="0" w:lastColumn="0" w:noHBand="0" w:noVBand="0"/>
      </w:tblPr>
      <w:tblGrid>
        <w:gridCol w:w="2405"/>
        <w:gridCol w:w="1275"/>
        <w:gridCol w:w="1107"/>
        <w:gridCol w:w="1445"/>
        <w:gridCol w:w="1276"/>
        <w:gridCol w:w="1276"/>
        <w:gridCol w:w="1446"/>
      </w:tblGrid>
      <w:tr w:rsidR="0099396C" w:rsidRPr="00B02873" w14:paraId="533FBB8E" w14:textId="77777777" w:rsidTr="003E21BE">
        <w:trPr>
          <w:cnfStyle w:val="100000000000" w:firstRow="1" w:lastRow="0" w:firstColumn="0" w:lastColumn="0" w:oddVBand="0" w:evenVBand="0" w:oddHBand="0" w:evenHBand="0" w:firstRowFirstColumn="0" w:firstRowLastColumn="0" w:lastRowFirstColumn="0" w:lastRowLastColumn="0"/>
        </w:trPr>
        <w:tc>
          <w:tcPr>
            <w:tcW w:w="2405" w:type="dxa"/>
          </w:tcPr>
          <w:p w14:paraId="26077FE4" w14:textId="77777777" w:rsidR="0099396C" w:rsidRPr="00B02873" w:rsidRDefault="0099396C" w:rsidP="0099396C">
            <w:pPr>
              <w:pStyle w:val="TableheadingleftFinancialsTables"/>
              <w:rPr>
                <w:rFonts w:ascii="VIC Bold Italic" w:hAnsi="VIC Bold Italic" w:cs="Times New Roman"/>
                <w:lang w:val="en-AU"/>
              </w:rPr>
            </w:pPr>
          </w:p>
        </w:tc>
        <w:tc>
          <w:tcPr>
            <w:tcW w:w="1275" w:type="dxa"/>
          </w:tcPr>
          <w:p w14:paraId="08C20594" w14:textId="52EDF262" w:rsidR="0099396C" w:rsidRPr="0099396C" w:rsidRDefault="0099396C" w:rsidP="0099396C">
            <w:pPr>
              <w:pStyle w:val="TableheadingleftFinancialsTables"/>
              <w:jc w:val="right"/>
            </w:pPr>
            <w:r w:rsidRPr="0099396C">
              <w:t>2022 Weighted average interest rate</w:t>
            </w:r>
            <w:r w:rsidRPr="0099396C">
              <w:br/>
              <w:t>%</w:t>
            </w:r>
          </w:p>
        </w:tc>
        <w:tc>
          <w:tcPr>
            <w:tcW w:w="1107" w:type="dxa"/>
          </w:tcPr>
          <w:p w14:paraId="165CB7A4" w14:textId="23A6FFA7" w:rsidR="0099396C" w:rsidRPr="0099396C" w:rsidRDefault="0099396C" w:rsidP="0099396C">
            <w:pPr>
              <w:pStyle w:val="TableheadingleftFinancialsTables"/>
              <w:jc w:val="right"/>
            </w:pPr>
            <w:r w:rsidRPr="0099396C">
              <w:t>2022 Carrying amount</w:t>
            </w:r>
            <w:r w:rsidRPr="0099396C">
              <w:br/>
              <w:t>$’000</w:t>
            </w:r>
          </w:p>
        </w:tc>
        <w:tc>
          <w:tcPr>
            <w:tcW w:w="1445" w:type="dxa"/>
          </w:tcPr>
          <w:p w14:paraId="2C626220" w14:textId="05D367A7" w:rsidR="0099396C" w:rsidRPr="0099396C" w:rsidRDefault="0099396C" w:rsidP="0099396C">
            <w:pPr>
              <w:pStyle w:val="TableheadingleftFinancialsTables"/>
              <w:jc w:val="right"/>
            </w:pPr>
            <w:r w:rsidRPr="0099396C">
              <w:t xml:space="preserve">2022 </w:t>
            </w:r>
            <w:r w:rsidRPr="0099396C">
              <w:rPr>
                <w:spacing w:val="-3"/>
              </w:rPr>
              <w:t>Interest rate exposure</w:t>
            </w:r>
          </w:p>
          <w:p w14:paraId="7DFDBCE1" w14:textId="555B28FC" w:rsidR="0099396C" w:rsidRPr="0099396C" w:rsidRDefault="0099396C" w:rsidP="0099396C">
            <w:pPr>
              <w:pStyle w:val="TableheadingleftFinancialsTables"/>
              <w:jc w:val="right"/>
            </w:pPr>
            <w:r w:rsidRPr="0099396C">
              <w:t>Fixed interest rate</w:t>
            </w:r>
            <w:r w:rsidRPr="0099396C">
              <w:br/>
              <w:t>$’000</w:t>
            </w:r>
          </w:p>
        </w:tc>
        <w:tc>
          <w:tcPr>
            <w:tcW w:w="1276" w:type="dxa"/>
          </w:tcPr>
          <w:p w14:paraId="0A440DAF" w14:textId="27918222" w:rsidR="0099396C" w:rsidRDefault="0099396C" w:rsidP="0099396C">
            <w:pPr>
              <w:pStyle w:val="TableheadingleftFinancialsTables"/>
              <w:jc w:val="right"/>
            </w:pPr>
            <w:r>
              <w:t>2021 Weighted average interest rate</w:t>
            </w:r>
            <w:r>
              <w:br/>
              <w:t>%</w:t>
            </w:r>
          </w:p>
        </w:tc>
        <w:tc>
          <w:tcPr>
            <w:tcW w:w="1276" w:type="dxa"/>
          </w:tcPr>
          <w:p w14:paraId="6FCDB57C" w14:textId="24A6A194" w:rsidR="0099396C" w:rsidRDefault="0099396C" w:rsidP="0099396C">
            <w:pPr>
              <w:pStyle w:val="TableheadingleftFinancialsTables"/>
              <w:jc w:val="right"/>
            </w:pPr>
            <w:r>
              <w:t>2021 Carrying amount</w:t>
            </w:r>
            <w:r>
              <w:br/>
              <w:t>$’000</w:t>
            </w:r>
          </w:p>
        </w:tc>
        <w:tc>
          <w:tcPr>
            <w:tcW w:w="1446" w:type="dxa"/>
          </w:tcPr>
          <w:p w14:paraId="59B71A91" w14:textId="362AD7D4" w:rsidR="0099396C" w:rsidRDefault="0099396C" w:rsidP="0099396C">
            <w:pPr>
              <w:pStyle w:val="TableheadingleftFinancialsTables"/>
              <w:jc w:val="right"/>
            </w:pPr>
            <w:r>
              <w:t>2021 Interest rate exposure</w:t>
            </w:r>
          </w:p>
          <w:p w14:paraId="41B837C1" w14:textId="60830A56" w:rsidR="0099396C" w:rsidRDefault="0099396C" w:rsidP="0099396C">
            <w:pPr>
              <w:pStyle w:val="TableheadingleftFinancialsTables"/>
              <w:jc w:val="right"/>
            </w:pPr>
            <w:r>
              <w:t>Fixed interest rate</w:t>
            </w:r>
            <w:r>
              <w:br/>
              <w:t>$’000</w:t>
            </w:r>
          </w:p>
        </w:tc>
      </w:tr>
      <w:tr w:rsidR="00B02873" w:rsidRPr="00B02873" w14:paraId="6350A862" w14:textId="77777777" w:rsidTr="003E21BE">
        <w:tc>
          <w:tcPr>
            <w:tcW w:w="2405" w:type="dxa"/>
          </w:tcPr>
          <w:p w14:paraId="5CC1537A" w14:textId="77777777" w:rsidR="00B02873" w:rsidRPr="0099396C" w:rsidRDefault="00B02873" w:rsidP="0099396C">
            <w:pPr>
              <w:pStyle w:val="TablebodyleftFinancialsTables"/>
              <w:rPr>
                <w:b/>
                <w:bCs/>
              </w:rPr>
            </w:pPr>
            <w:r w:rsidRPr="0099396C">
              <w:rPr>
                <w:b/>
                <w:bCs/>
              </w:rPr>
              <w:t>Financial assets</w:t>
            </w:r>
          </w:p>
        </w:tc>
        <w:tc>
          <w:tcPr>
            <w:tcW w:w="1275" w:type="dxa"/>
          </w:tcPr>
          <w:p w14:paraId="7FAC52AC" w14:textId="7EBD6F68" w:rsidR="00B02873" w:rsidRPr="0099396C" w:rsidRDefault="00B02873" w:rsidP="0099396C">
            <w:pPr>
              <w:pStyle w:val="TablebodyleftFinancialsTables"/>
              <w:jc w:val="right"/>
              <w:rPr>
                <w:b/>
                <w:bCs/>
              </w:rPr>
            </w:pPr>
          </w:p>
        </w:tc>
        <w:tc>
          <w:tcPr>
            <w:tcW w:w="1107" w:type="dxa"/>
          </w:tcPr>
          <w:p w14:paraId="10EC8B25" w14:textId="4467DC05" w:rsidR="00B02873" w:rsidRPr="0099396C" w:rsidRDefault="00B02873" w:rsidP="0099396C">
            <w:pPr>
              <w:pStyle w:val="TablebodyleftFinancialsTables"/>
              <w:jc w:val="right"/>
              <w:rPr>
                <w:b/>
                <w:bCs/>
              </w:rPr>
            </w:pPr>
          </w:p>
        </w:tc>
        <w:tc>
          <w:tcPr>
            <w:tcW w:w="1445" w:type="dxa"/>
          </w:tcPr>
          <w:p w14:paraId="5DA2CB41" w14:textId="5F7093BE" w:rsidR="00B02873" w:rsidRPr="0099396C" w:rsidRDefault="00B02873" w:rsidP="0099396C">
            <w:pPr>
              <w:pStyle w:val="TablebodyleftFinancialsTables"/>
              <w:jc w:val="right"/>
              <w:rPr>
                <w:b/>
                <w:bCs/>
              </w:rPr>
            </w:pPr>
          </w:p>
        </w:tc>
        <w:tc>
          <w:tcPr>
            <w:tcW w:w="1276" w:type="dxa"/>
          </w:tcPr>
          <w:p w14:paraId="495C5B06" w14:textId="7CE0B763" w:rsidR="00B02873" w:rsidRDefault="00B02873" w:rsidP="0099396C">
            <w:pPr>
              <w:pStyle w:val="TablebodyleftFinancialsTables"/>
              <w:jc w:val="right"/>
            </w:pPr>
          </w:p>
        </w:tc>
        <w:tc>
          <w:tcPr>
            <w:tcW w:w="1276" w:type="dxa"/>
          </w:tcPr>
          <w:p w14:paraId="771CC9EC" w14:textId="53E84939" w:rsidR="00B02873" w:rsidRDefault="00B02873" w:rsidP="0099396C">
            <w:pPr>
              <w:pStyle w:val="TablebodyleftFinancialsTables"/>
              <w:jc w:val="right"/>
            </w:pPr>
          </w:p>
        </w:tc>
        <w:tc>
          <w:tcPr>
            <w:tcW w:w="1446" w:type="dxa"/>
          </w:tcPr>
          <w:p w14:paraId="267B4D49" w14:textId="114DFE14" w:rsidR="00B02873" w:rsidRDefault="00B02873" w:rsidP="0099396C">
            <w:pPr>
              <w:pStyle w:val="TablebodyleftFinancialsTables"/>
              <w:jc w:val="right"/>
            </w:pPr>
          </w:p>
        </w:tc>
      </w:tr>
      <w:tr w:rsidR="00B02873" w:rsidRPr="00B02873" w14:paraId="5506F9EF" w14:textId="77777777" w:rsidTr="003E21BE">
        <w:tc>
          <w:tcPr>
            <w:tcW w:w="2405" w:type="dxa"/>
          </w:tcPr>
          <w:p w14:paraId="2858A0A7" w14:textId="77777777" w:rsidR="00B02873" w:rsidRDefault="00B02873" w:rsidP="0099396C">
            <w:pPr>
              <w:pStyle w:val="TablebodyleftFinancialsTables"/>
            </w:pPr>
            <w:r>
              <w:t>Contractual receivable from Melbourne Water Corporation</w:t>
            </w:r>
          </w:p>
        </w:tc>
        <w:tc>
          <w:tcPr>
            <w:tcW w:w="1275" w:type="dxa"/>
          </w:tcPr>
          <w:p w14:paraId="6B17F378" w14:textId="77777777" w:rsidR="00B02873" w:rsidRPr="0099396C" w:rsidRDefault="00B02873" w:rsidP="0099396C">
            <w:pPr>
              <w:pStyle w:val="TablebodyleftFinancialsTables"/>
              <w:jc w:val="right"/>
              <w:rPr>
                <w:b/>
                <w:bCs/>
              </w:rPr>
            </w:pPr>
            <w:r w:rsidRPr="0099396C">
              <w:rPr>
                <w:b/>
                <w:bCs/>
              </w:rPr>
              <w:t>11.28</w:t>
            </w:r>
          </w:p>
        </w:tc>
        <w:tc>
          <w:tcPr>
            <w:tcW w:w="1107" w:type="dxa"/>
          </w:tcPr>
          <w:p w14:paraId="10E42368" w14:textId="77777777" w:rsidR="00B02873" w:rsidRPr="0099396C" w:rsidRDefault="00B02873" w:rsidP="0099396C">
            <w:pPr>
              <w:pStyle w:val="TablebodyleftFinancialsTables"/>
              <w:jc w:val="right"/>
              <w:rPr>
                <w:b/>
                <w:bCs/>
              </w:rPr>
            </w:pPr>
            <w:r w:rsidRPr="0099396C">
              <w:rPr>
                <w:b/>
                <w:bCs/>
              </w:rPr>
              <w:t>3,544,228</w:t>
            </w:r>
          </w:p>
        </w:tc>
        <w:tc>
          <w:tcPr>
            <w:tcW w:w="1445" w:type="dxa"/>
          </w:tcPr>
          <w:p w14:paraId="1B2EF3F9" w14:textId="77777777" w:rsidR="00B02873" w:rsidRPr="0099396C" w:rsidRDefault="00B02873" w:rsidP="0099396C">
            <w:pPr>
              <w:pStyle w:val="TablebodyleftFinancialsTables"/>
              <w:jc w:val="right"/>
              <w:rPr>
                <w:b/>
                <w:bCs/>
              </w:rPr>
            </w:pPr>
            <w:r w:rsidRPr="0099396C">
              <w:rPr>
                <w:b/>
                <w:bCs/>
              </w:rPr>
              <w:t>3,544,228</w:t>
            </w:r>
          </w:p>
        </w:tc>
        <w:tc>
          <w:tcPr>
            <w:tcW w:w="1276" w:type="dxa"/>
          </w:tcPr>
          <w:p w14:paraId="73524ADB" w14:textId="77777777" w:rsidR="00B02873" w:rsidRDefault="00B02873" w:rsidP="0099396C">
            <w:pPr>
              <w:pStyle w:val="TablebodyleftFinancialsTables"/>
              <w:jc w:val="right"/>
            </w:pPr>
            <w:r>
              <w:t>11.28</w:t>
            </w:r>
          </w:p>
        </w:tc>
        <w:tc>
          <w:tcPr>
            <w:tcW w:w="1276" w:type="dxa"/>
          </w:tcPr>
          <w:p w14:paraId="370EA4A0" w14:textId="77777777" w:rsidR="00B02873" w:rsidRDefault="00B02873" w:rsidP="0099396C">
            <w:pPr>
              <w:pStyle w:val="TablebodyleftFinancialsTables"/>
              <w:jc w:val="right"/>
            </w:pPr>
            <w:r>
              <w:t>3,564,921</w:t>
            </w:r>
          </w:p>
        </w:tc>
        <w:tc>
          <w:tcPr>
            <w:tcW w:w="1446" w:type="dxa"/>
          </w:tcPr>
          <w:p w14:paraId="47CE6BB6" w14:textId="77777777" w:rsidR="00B02873" w:rsidRDefault="00B02873" w:rsidP="0099396C">
            <w:pPr>
              <w:pStyle w:val="TablebodyleftFinancialsTables"/>
              <w:jc w:val="right"/>
            </w:pPr>
            <w:r>
              <w:t>3,564,921</w:t>
            </w:r>
          </w:p>
        </w:tc>
      </w:tr>
      <w:tr w:rsidR="00B02873" w:rsidRPr="00B02873" w14:paraId="2AB319F2" w14:textId="77777777" w:rsidTr="003E21BE">
        <w:tc>
          <w:tcPr>
            <w:tcW w:w="2405" w:type="dxa"/>
          </w:tcPr>
          <w:p w14:paraId="07AF3758" w14:textId="77777777" w:rsidR="00B02873" w:rsidRPr="0099396C" w:rsidRDefault="00B02873" w:rsidP="0099396C">
            <w:pPr>
              <w:pStyle w:val="TablebodyleftFinancialsTables"/>
              <w:rPr>
                <w:b/>
                <w:bCs/>
              </w:rPr>
            </w:pPr>
            <w:r w:rsidRPr="0099396C">
              <w:rPr>
                <w:b/>
                <w:bCs/>
              </w:rPr>
              <w:t>Financial liabilities</w:t>
            </w:r>
          </w:p>
        </w:tc>
        <w:tc>
          <w:tcPr>
            <w:tcW w:w="1275" w:type="dxa"/>
          </w:tcPr>
          <w:p w14:paraId="67EAE590" w14:textId="78190E18" w:rsidR="00B02873" w:rsidRPr="0099396C" w:rsidRDefault="00B02873" w:rsidP="0099396C">
            <w:pPr>
              <w:pStyle w:val="TablebodyleftFinancialsTables"/>
              <w:jc w:val="right"/>
              <w:rPr>
                <w:b/>
                <w:bCs/>
              </w:rPr>
            </w:pPr>
          </w:p>
        </w:tc>
        <w:tc>
          <w:tcPr>
            <w:tcW w:w="1107" w:type="dxa"/>
          </w:tcPr>
          <w:p w14:paraId="3975A0CD" w14:textId="743E9DD6" w:rsidR="00B02873" w:rsidRPr="0099396C" w:rsidRDefault="00B02873" w:rsidP="0099396C">
            <w:pPr>
              <w:pStyle w:val="TablebodyleftFinancialsTables"/>
              <w:jc w:val="right"/>
              <w:rPr>
                <w:b/>
                <w:bCs/>
              </w:rPr>
            </w:pPr>
          </w:p>
        </w:tc>
        <w:tc>
          <w:tcPr>
            <w:tcW w:w="1445" w:type="dxa"/>
          </w:tcPr>
          <w:p w14:paraId="70A6A9FE" w14:textId="213A02F8" w:rsidR="00B02873" w:rsidRPr="0099396C" w:rsidRDefault="00B02873" w:rsidP="0099396C">
            <w:pPr>
              <w:pStyle w:val="TablebodyleftFinancialsTables"/>
              <w:jc w:val="right"/>
              <w:rPr>
                <w:b/>
                <w:bCs/>
              </w:rPr>
            </w:pPr>
          </w:p>
        </w:tc>
        <w:tc>
          <w:tcPr>
            <w:tcW w:w="1276" w:type="dxa"/>
          </w:tcPr>
          <w:p w14:paraId="44D46717" w14:textId="4990B10B" w:rsidR="00B02873" w:rsidRDefault="00B02873" w:rsidP="0099396C">
            <w:pPr>
              <w:pStyle w:val="TablebodyleftFinancialsTables"/>
              <w:jc w:val="right"/>
            </w:pPr>
          </w:p>
        </w:tc>
        <w:tc>
          <w:tcPr>
            <w:tcW w:w="1276" w:type="dxa"/>
          </w:tcPr>
          <w:p w14:paraId="2383B3E6" w14:textId="4EE4E1BD" w:rsidR="00B02873" w:rsidRDefault="00B02873" w:rsidP="0099396C">
            <w:pPr>
              <w:pStyle w:val="TablebodyleftFinancialsTables"/>
              <w:jc w:val="right"/>
            </w:pPr>
          </w:p>
        </w:tc>
        <w:tc>
          <w:tcPr>
            <w:tcW w:w="1446" w:type="dxa"/>
          </w:tcPr>
          <w:p w14:paraId="0E995088" w14:textId="3DB4FB55" w:rsidR="00B02873" w:rsidRDefault="00B02873" w:rsidP="0099396C">
            <w:pPr>
              <w:pStyle w:val="TablebodyleftFinancialsTables"/>
              <w:jc w:val="right"/>
            </w:pPr>
          </w:p>
        </w:tc>
      </w:tr>
      <w:tr w:rsidR="00B02873" w:rsidRPr="00B02873" w14:paraId="3B6A9839" w14:textId="77777777" w:rsidTr="003E21BE">
        <w:tc>
          <w:tcPr>
            <w:tcW w:w="2405" w:type="dxa"/>
          </w:tcPr>
          <w:p w14:paraId="33F716A8" w14:textId="77777777" w:rsidR="00B02873" w:rsidRDefault="00B02873" w:rsidP="0099396C">
            <w:pPr>
              <w:pStyle w:val="TablebodyleftFinancialsTables"/>
            </w:pPr>
            <w:r>
              <w:t xml:space="preserve">Payable to AquaSure (borrowings) </w:t>
            </w:r>
          </w:p>
        </w:tc>
        <w:tc>
          <w:tcPr>
            <w:tcW w:w="1275" w:type="dxa"/>
          </w:tcPr>
          <w:p w14:paraId="292CF849" w14:textId="77777777" w:rsidR="00B02873" w:rsidRPr="0099396C" w:rsidRDefault="00B02873" w:rsidP="0099396C">
            <w:pPr>
              <w:pStyle w:val="TablebodyleftFinancialsTables"/>
              <w:jc w:val="right"/>
              <w:rPr>
                <w:b/>
                <w:bCs/>
              </w:rPr>
            </w:pPr>
            <w:r w:rsidRPr="0099396C">
              <w:rPr>
                <w:b/>
                <w:bCs/>
              </w:rPr>
              <w:t>11.29</w:t>
            </w:r>
          </w:p>
        </w:tc>
        <w:tc>
          <w:tcPr>
            <w:tcW w:w="1107" w:type="dxa"/>
          </w:tcPr>
          <w:p w14:paraId="3D3DC669" w14:textId="77777777" w:rsidR="00B02873" w:rsidRPr="0099396C" w:rsidRDefault="00B02873" w:rsidP="0099396C">
            <w:pPr>
              <w:pStyle w:val="TablebodyleftFinancialsTables"/>
              <w:jc w:val="right"/>
              <w:rPr>
                <w:b/>
                <w:bCs/>
              </w:rPr>
            </w:pPr>
            <w:r w:rsidRPr="0099396C">
              <w:rPr>
                <w:b/>
                <w:bCs/>
              </w:rPr>
              <w:t>3,225,659</w:t>
            </w:r>
          </w:p>
        </w:tc>
        <w:tc>
          <w:tcPr>
            <w:tcW w:w="1445" w:type="dxa"/>
          </w:tcPr>
          <w:p w14:paraId="05F18556" w14:textId="77777777" w:rsidR="00B02873" w:rsidRPr="0099396C" w:rsidRDefault="00B02873" w:rsidP="0099396C">
            <w:pPr>
              <w:pStyle w:val="TablebodyleftFinancialsTables"/>
              <w:jc w:val="right"/>
              <w:rPr>
                <w:b/>
                <w:bCs/>
              </w:rPr>
            </w:pPr>
            <w:r w:rsidRPr="0099396C">
              <w:rPr>
                <w:b/>
                <w:bCs/>
              </w:rPr>
              <w:t>3,225,659</w:t>
            </w:r>
          </w:p>
        </w:tc>
        <w:tc>
          <w:tcPr>
            <w:tcW w:w="1276" w:type="dxa"/>
          </w:tcPr>
          <w:p w14:paraId="1D94E9E5" w14:textId="77777777" w:rsidR="00B02873" w:rsidRDefault="00B02873" w:rsidP="0099396C">
            <w:pPr>
              <w:pStyle w:val="TablebodyleftFinancialsTables"/>
              <w:jc w:val="right"/>
            </w:pPr>
            <w:r>
              <w:t>11.29</w:t>
            </w:r>
          </w:p>
        </w:tc>
        <w:tc>
          <w:tcPr>
            <w:tcW w:w="1276" w:type="dxa"/>
          </w:tcPr>
          <w:p w14:paraId="74DDABC3" w14:textId="77777777" w:rsidR="00B02873" w:rsidRDefault="00B02873" w:rsidP="0099396C">
            <w:pPr>
              <w:pStyle w:val="TablebodyleftFinancialsTables"/>
              <w:jc w:val="right"/>
            </w:pPr>
            <w:r>
              <w:t>3,274,894</w:t>
            </w:r>
          </w:p>
        </w:tc>
        <w:tc>
          <w:tcPr>
            <w:tcW w:w="1446" w:type="dxa"/>
          </w:tcPr>
          <w:p w14:paraId="7713532B" w14:textId="77777777" w:rsidR="00B02873" w:rsidRDefault="00B02873" w:rsidP="0099396C">
            <w:pPr>
              <w:pStyle w:val="TablebodyleftFinancialsTables"/>
              <w:jc w:val="right"/>
            </w:pPr>
            <w:r>
              <w:t>3,274,894</w:t>
            </w:r>
          </w:p>
        </w:tc>
      </w:tr>
    </w:tbl>
    <w:p w14:paraId="035EA970" w14:textId="77777777" w:rsidR="00B02873" w:rsidRDefault="00B02873" w:rsidP="00FE198A"/>
    <w:p w14:paraId="6196E249" w14:textId="465DCD36" w:rsidR="00B02873" w:rsidRDefault="00B02873" w:rsidP="003E21BE">
      <w:pPr>
        <w:pStyle w:val="TabletitleTables"/>
      </w:pPr>
      <w:r>
        <w:lastRenderedPageBreak/>
        <w:t>Fair value of financial instruments</w:t>
      </w:r>
    </w:p>
    <w:tbl>
      <w:tblPr>
        <w:tblStyle w:val="TableGrid"/>
        <w:tblW w:w="9638" w:type="dxa"/>
        <w:tblLayout w:type="fixed"/>
        <w:tblLook w:val="0020" w:firstRow="1" w:lastRow="0" w:firstColumn="0" w:lastColumn="0" w:noHBand="0" w:noVBand="0"/>
      </w:tblPr>
      <w:tblGrid>
        <w:gridCol w:w="4876"/>
        <w:gridCol w:w="1190"/>
        <w:gridCol w:w="1191"/>
        <w:gridCol w:w="1190"/>
        <w:gridCol w:w="1191"/>
      </w:tblGrid>
      <w:tr w:rsidR="00B02873" w:rsidRPr="00B02873" w14:paraId="0C79240D" w14:textId="77777777" w:rsidTr="003E21BE">
        <w:trPr>
          <w:cnfStyle w:val="100000000000" w:firstRow="1" w:lastRow="0" w:firstColumn="0" w:lastColumn="0" w:oddVBand="0" w:evenVBand="0" w:oddHBand="0" w:evenHBand="0" w:firstRowFirstColumn="0" w:firstRowLastColumn="0" w:lastRowFirstColumn="0" w:lastRowLastColumn="0"/>
        </w:trPr>
        <w:tc>
          <w:tcPr>
            <w:tcW w:w="4876" w:type="dxa"/>
          </w:tcPr>
          <w:p w14:paraId="75EF2C7B" w14:textId="77777777" w:rsidR="00B02873" w:rsidRPr="00B02873" w:rsidRDefault="00B02873" w:rsidP="003E21BE">
            <w:pPr>
              <w:pStyle w:val="TableheadingleftFinancialsTables"/>
              <w:rPr>
                <w:rFonts w:ascii="VIC Bold Italic" w:hAnsi="VIC Bold Italic" w:cs="Times New Roman"/>
                <w:lang w:val="en-AU"/>
              </w:rPr>
            </w:pPr>
          </w:p>
        </w:tc>
        <w:tc>
          <w:tcPr>
            <w:tcW w:w="1190" w:type="dxa"/>
          </w:tcPr>
          <w:p w14:paraId="738A67A9" w14:textId="00052D6A" w:rsidR="00B02873" w:rsidRDefault="003E21BE" w:rsidP="003E21BE">
            <w:pPr>
              <w:pStyle w:val="TableheadingleftFinancialsTables"/>
              <w:jc w:val="right"/>
            </w:pPr>
            <w:r>
              <w:t>2022</w:t>
            </w:r>
            <w:r>
              <w:br/>
            </w:r>
            <w:r w:rsidR="00B02873">
              <w:t>Carrying amount</w:t>
            </w:r>
            <w:r w:rsidR="00B02873">
              <w:br/>
              <w:t>$’000</w:t>
            </w:r>
          </w:p>
        </w:tc>
        <w:tc>
          <w:tcPr>
            <w:tcW w:w="1191" w:type="dxa"/>
          </w:tcPr>
          <w:p w14:paraId="1FB7BDB3" w14:textId="09482550" w:rsidR="00B02873" w:rsidRDefault="003E21BE" w:rsidP="003E21BE">
            <w:pPr>
              <w:pStyle w:val="TableheadingleftFinancialsTables"/>
              <w:jc w:val="right"/>
            </w:pPr>
            <w:r>
              <w:t>2022</w:t>
            </w:r>
            <w:r>
              <w:br/>
            </w:r>
            <w:r w:rsidR="00B02873">
              <w:t>Fair value</w:t>
            </w:r>
            <w:r w:rsidR="00B02873">
              <w:br/>
              <w:t>$’000</w:t>
            </w:r>
          </w:p>
        </w:tc>
        <w:tc>
          <w:tcPr>
            <w:tcW w:w="1190" w:type="dxa"/>
          </w:tcPr>
          <w:p w14:paraId="66F546E1" w14:textId="6FE04B3F" w:rsidR="00B02873" w:rsidRDefault="003E21BE" w:rsidP="003E21BE">
            <w:pPr>
              <w:pStyle w:val="TableheadingleftFinancialsTables"/>
              <w:jc w:val="right"/>
            </w:pPr>
            <w:r>
              <w:t>2021</w:t>
            </w:r>
            <w:r>
              <w:br/>
            </w:r>
            <w:r w:rsidR="00B02873">
              <w:t>Carrying amount</w:t>
            </w:r>
            <w:r w:rsidR="00B02873">
              <w:br/>
              <w:t>$’000</w:t>
            </w:r>
          </w:p>
        </w:tc>
        <w:tc>
          <w:tcPr>
            <w:tcW w:w="1191" w:type="dxa"/>
          </w:tcPr>
          <w:p w14:paraId="6AAD112F" w14:textId="160E7FAC" w:rsidR="00B02873" w:rsidRDefault="003E21BE" w:rsidP="003E21BE">
            <w:pPr>
              <w:pStyle w:val="TableheadingleftFinancialsTables"/>
              <w:jc w:val="right"/>
            </w:pPr>
            <w:r>
              <w:t>2021</w:t>
            </w:r>
            <w:r>
              <w:br/>
            </w:r>
            <w:r w:rsidR="00B02873">
              <w:t>Fair value</w:t>
            </w:r>
            <w:r w:rsidR="00B02873">
              <w:br/>
              <w:t>$’000</w:t>
            </w:r>
          </w:p>
        </w:tc>
      </w:tr>
      <w:tr w:rsidR="00B02873" w:rsidRPr="00B02873" w14:paraId="62638D79" w14:textId="77777777" w:rsidTr="003E21BE">
        <w:tc>
          <w:tcPr>
            <w:tcW w:w="4876" w:type="dxa"/>
          </w:tcPr>
          <w:p w14:paraId="1E68B063" w14:textId="77777777" w:rsidR="00B02873" w:rsidRPr="003E21BE" w:rsidRDefault="00B02873" w:rsidP="003E21BE">
            <w:pPr>
              <w:pStyle w:val="TablebodyleftFinancialsTables"/>
              <w:rPr>
                <w:b/>
                <w:bCs/>
              </w:rPr>
            </w:pPr>
            <w:r w:rsidRPr="003E21BE">
              <w:rPr>
                <w:b/>
                <w:bCs/>
              </w:rPr>
              <w:t>Contractual financial assets</w:t>
            </w:r>
          </w:p>
        </w:tc>
        <w:tc>
          <w:tcPr>
            <w:tcW w:w="1190" w:type="dxa"/>
          </w:tcPr>
          <w:p w14:paraId="31437924" w14:textId="77777777" w:rsidR="00B02873" w:rsidRDefault="00B02873" w:rsidP="003E21BE">
            <w:pPr>
              <w:pStyle w:val="TablebodyleftFinancialsTables"/>
              <w:jc w:val="right"/>
            </w:pPr>
            <w:r>
              <w:t> </w:t>
            </w:r>
          </w:p>
        </w:tc>
        <w:tc>
          <w:tcPr>
            <w:tcW w:w="1191" w:type="dxa"/>
          </w:tcPr>
          <w:p w14:paraId="048B363E" w14:textId="77777777" w:rsidR="00B02873" w:rsidRDefault="00B02873" w:rsidP="003E21BE">
            <w:pPr>
              <w:pStyle w:val="TablebodyleftFinancialsTables"/>
              <w:jc w:val="right"/>
            </w:pPr>
            <w:r>
              <w:t> </w:t>
            </w:r>
          </w:p>
        </w:tc>
        <w:tc>
          <w:tcPr>
            <w:tcW w:w="1190" w:type="dxa"/>
          </w:tcPr>
          <w:p w14:paraId="6BACAC08" w14:textId="77777777" w:rsidR="00B02873" w:rsidRDefault="00B02873" w:rsidP="003E21BE">
            <w:pPr>
              <w:pStyle w:val="TablebodyleftFinancialsTables"/>
              <w:jc w:val="right"/>
            </w:pPr>
            <w:r>
              <w:t> </w:t>
            </w:r>
          </w:p>
        </w:tc>
        <w:tc>
          <w:tcPr>
            <w:tcW w:w="1191" w:type="dxa"/>
          </w:tcPr>
          <w:p w14:paraId="5A50A1FF" w14:textId="77777777" w:rsidR="00B02873" w:rsidRDefault="00B02873" w:rsidP="003E21BE">
            <w:pPr>
              <w:pStyle w:val="TablebodyleftFinancialsTables"/>
              <w:jc w:val="right"/>
            </w:pPr>
            <w:r>
              <w:t> </w:t>
            </w:r>
          </w:p>
        </w:tc>
      </w:tr>
      <w:tr w:rsidR="00B02873" w:rsidRPr="00B02873" w14:paraId="62E0F928" w14:textId="77777777" w:rsidTr="003E21BE">
        <w:tc>
          <w:tcPr>
            <w:tcW w:w="4876" w:type="dxa"/>
          </w:tcPr>
          <w:p w14:paraId="203752FF" w14:textId="77777777" w:rsidR="00B02873" w:rsidRDefault="00B02873" w:rsidP="003E21BE">
            <w:pPr>
              <w:pStyle w:val="TablebodyleftFinancialsTables"/>
            </w:pPr>
            <w:r>
              <w:t>Contractual receivable from Melbourne Water Corporation</w:t>
            </w:r>
          </w:p>
        </w:tc>
        <w:tc>
          <w:tcPr>
            <w:tcW w:w="1190" w:type="dxa"/>
          </w:tcPr>
          <w:p w14:paraId="0577B3AB" w14:textId="77777777" w:rsidR="00B02873" w:rsidRPr="003E21BE" w:rsidRDefault="00B02873" w:rsidP="003E21BE">
            <w:pPr>
              <w:pStyle w:val="TablebodyleftFinancialsTables"/>
              <w:jc w:val="right"/>
              <w:rPr>
                <w:b/>
                <w:bCs/>
              </w:rPr>
            </w:pPr>
            <w:r w:rsidRPr="003E21BE">
              <w:rPr>
                <w:b/>
                <w:bCs/>
              </w:rPr>
              <w:t>3,544,228</w:t>
            </w:r>
          </w:p>
        </w:tc>
        <w:tc>
          <w:tcPr>
            <w:tcW w:w="1191" w:type="dxa"/>
          </w:tcPr>
          <w:p w14:paraId="5C344EFB" w14:textId="77777777" w:rsidR="00B02873" w:rsidRPr="003E21BE" w:rsidRDefault="00B02873" w:rsidP="003E21BE">
            <w:pPr>
              <w:pStyle w:val="TablebodyleftFinancialsTables"/>
              <w:jc w:val="right"/>
              <w:rPr>
                <w:b/>
                <w:bCs/>
              </w:rPr>
            </w:pPr>
            <w:r w:rsidRPr="003E21BE">
              <w:rPr>
                <w:b/>
                <w:bCs/>
              </w:rPr>
              <w:t>4,509,462</w:t>
            </w:r>
          </w:p>
        </w:tc>
        <w:tc>
          <w:tcPr>
            <w:tcW w:w="1190" w:type="dxa"/>
          </w:tcPr>
          <w:p w14:paraId="5DC6E54C" w14:textId="77777777" w:rsidR="00B02873" w:rsidRDefault="00B02873" w:rsidP="003E21BE">
            <w:pPr>
              <w:pStyle w:val="TablebodyleftFinancialsTables"/>
              <w:jc w:val="right"/>
            </w:pPr>
            <w:r>
              <w:t>3,564,921</w:t>
            </w:r>
          </w:p>
        </w:tc>
        <w:tc>
          <w:tcPr>
            <w:tcW w:w="1191" w:type="dxa"/>
          </w:tcPr>
          <w:p w14:paraId="325786F3" w14:textId="77777777" w:rsidR="00B02873" w:rsidRDefault="00B02873" w:rsidP="003E21BE">
            <w:pPr>
              <w:pStyle w:val="TablebodyleftFinancialsTables"/>
              <w:jc w:val="right"/>
            </w:pPr>
            <w:r>
              <w:t>4,921,831</w:t>
            </w:r>
          </w:p>
        </w:tc>
      </w:tr>
      <w:tr w:rsidR="00B02873" w:rsidRPr="00B02873" w14:paraId="7F03EBF8" w14:textId="77777777" w:rsidTr="003E21BE">
        <w:tc>
          <w:tcPr>
            <w:tcW w:w="4876" w:type="dxa"/>
          </w:tcPr>
          <w:p w14:paraId="6BC36E69" w14:textId="77777777" w:rsidR="00B02873" w:rsidRPr="003E21BE" w:rsidRDefault="00B02873" w:rsidP="003E21BE">
            <w:pPr>
              <w:pStyle w:val="TablebodyleftFinancialsTables"/>
              <w:rPr>
                <w:b/>
                <w:bCs/>
              </w:rPr>
            </w:pPr>
            <w:r w:rsidRPr="003E21BE">
              <w:rPr>
                <w:b/>
                <w:bCs/>
              </w:rPr>
              <w:t>Contractual financial liabilities</w:t>
            </w:r>
            <w:r w:rsidRPr="003E21BE">
              <w:rPr>
                <w:rFonts w:ascii="Calibri" w:hAnsi="Calibri" w:cs="Calibri"/>
                <w:b/>
                <w:bCs/>
              </w:rPr>
              <w:t> </w:t>
            </w:r>
          </w:p>
        </w:tc>
        <w:tc>
          <w:tcPr>
            <w:tcW w:w="1190" w:type="dxa"/>
          </w:tcPr>
          <w:p w14:paraId="436FAE27" w14:textId="77777777" w:rsidR="00B02873" w:rsidRPr="003E21BE" w:rsidRDefault="00B02873" w:rsidP="003E21BE">
            <w:pPr>
              <w:pStyle w:val="TablebodyleftFinancialsTables"/>
              <w:jc w:val="right"/>
              <w:rPr>
                <w:rFonts w:ascii="VIC Bold Italic" w:hAnsi="VIC Bold Italic" w:cs="Times New Roman"/>
                <w:b/>
                <w:bCs/>
              </w:rPr>
            </w:pPr>
          </w:p>
        </w:tc>
        <w:tc>
          <w:tcPr>
            <w:tcW w:w="1191" w:type="dxa"/>
          </w:tcPr>
          <w:p w14:paraId="2E78D953" w14:textId="77777777" w:rsidR="00B02873" w:rsidRPr="003E21BE" w:rsidRDefault="00B02873" w:rsidP="003E21BE">
            <w:pPr>
              <w:pStyle w:val="TablebodyleftFinancialsTables"/>
              <w:jc w:val="right"/>
              <w:rPr>
                <w:rFonts w:ascii="VIC Bold Italic" w:hAnsi="VIC Bold Italic" w:cs="Times New Roman"/>
                <w:b/>
                <w:bCs/>
              </w:rPr>
            </w:pPr>
          </w:p>
        </w:tc>
        <w:tc>
          <w:tcPr>
            <w:tcW w:w="1190" w:type="dxa"/>
          </w:tcPr>
          <w:p w14:paraId="6D35FFBE" w14:textId="77777777" w:rsidR="00B02873" w:rsidRPr="00B02873" w:rsidRDefault="00B02873" w:rsidP="003E21BE">
            <w:pPr>
              <w:pStyle w:val="TablebodyleftFinancialsTables"/>
              <w:jc w:val="right"/>
              <w:rPr>
                <w:rFonts w:ascii="VIC Bold Italic" w:hAnsi="VIC Bold Italic" w:cs="Times New Roman"/>
              </w:rPr>
            </w:pPr>
          </w:p>
        </w:tc>
        <w:tc>
          <w:tcPr>
            <w:tcW w:w="1191" w:type="dxa"/>
          </w:tcPr>
          <w:p w14:paraId="4BA11DE0" w14:textId="77777777" w:rsidR="00B02873" w:rsidRPr="00B02873" w:rsidRDefault="00B02873" w:rsidP="003E21BE">
            <w:pPr>
              <w:pStyle w:val="TablebodyleftFinancialsTables"/>
              <w:jc w:val="right"/>
              <w:rPr>
                <w:rFonts w:ascii="VIC Bold Italic" w:hAnsi="VIC Bold Italic" w:cs="Times New Roman"/>
              </w:rPr>
            </w:pPr>
          </w:p>
        </w:tc>
      </w:tr>
      <w:tr w:rsidR="00B02873" w:rsidRPr="00B02873" w14:paraId="1B4B00A1" w14:textId="77777777" w:rsidTr="003E21BE">
        <w:tc>
          <w:tcPr>
            <w:tcW w:w="4876" w:type="dxa"/>
          </w:tcPr>
          <w:p w14:paraId="548081E1" w14:textId="77777777" w:rsidR="00B02873" w:rsidRDefault="00B02873" w:rsidP="003E21BE">
            <w:pPr>
              <w:pStyle w:val="TablebodyleftFinancialsTables"/>
            </w:pPr>
            <w:r>
              <w:t xml:space="preserve">Payable to AquaSure (borrowings) </w:t>
            </w:r>
          </w:p>
        </w:tc>
        <w:tc>
          <w:tcPr>
            <w:tcW w:w="1190" w:type="dxa"/>
          </w:tcPr>
          <w:p w14:paraId="61036715" w14:textId="77777777" w:rsidR="00B02873" w:rsidRPr="003E21BE" w:rsidRDefault="00B02873" w:rsidP="003E21BE">
            <w:pPr>
              <w:pStyle w:val="TablebodyleftFinancialsTables"/>
              <w:jc w:val="right"/>
              <w:rPr>
                <w:b/>
                <w:bCs/>
              </w:rPr>
            </w:pPr>
            <w:r w:rsidRPr="003E21BE">
              <w:rPr>
                <w:b/>
                <w:bCs/>
              </w:rPr>
              <w:t>3,225,659</w:t>
            </w:r>
          </w:p>
        </w:tc>
        <w:tc>
          <w:tcPr>
            <w:tcW w:w="1191" w:type="dxa"/>
          </w:tcPr>
          <w:p w14:paraId="5A96825E" w14:textId="77777777" w:rsidR="00B02873" w:rsidRPr="003E21BE" w:rsidRDefault="00B02873" w:rsidP="003E21BE">
            <w:pPr>
              <w:pStyle w:val="TablebodyleftFinancialsTables"/>
              <w:jc w:val="right"/>
              <w:rPr>
                <w:b/>
                <w:bCs/>
              </w:rPr>
            </w:pPr>
            <w:r w:rsidRPr="003E21BE">
              <w:rPr>
                <w:b/>
                <w:bCs/>
              </w:rPr>
              <w:t>4,100,169</w:t>
            </w:r>
          </w:p>
        </w:tc>
        <w:tc>
          <w:tcPr>
            <w:tcW w:w="1190" w:type="dxa"/>
          </w:tcPr>
          <w:p w14:paraId="5B144602" w14:textId="77777777" w:rsidR="00B02873" w:rsidRDefault="00B02873" w:rsidP="003E21BE">
            <w:pPr>
              <w:pStyle w:val="TablebodyleftFinancialsTables"/>
              <w:jc w:val="right"/>
            </w:pPr>
            <w:r>
              <w:t>3,274,894</w:t>
            </w:r>
          </w:p>
        </w:tc>
        <w:tc>
          <w:tcPr>
            <w:tcW w:w="1191" w:type="dxa"/>
          </w:tcPr>
          <w:p w14:paraId="33CEB037" w14:textId="77777777" w:rsidR="00B02873" w:rsidRDefault="00B02873" w:rsidP="003E21BE">
            <w:pPr>
              <w:pStyle w:val="TablebodyleftFinancialsTables"/>
              <w:jc w:val="right"/>
            </w:pPr>
            <w:r>
              <w:t>4,505,906</w:t>
            </w:r>
          </w:p>
        </w:tc>
      </w:tr>
    </w:tbl>
    <w:p w14:paraId="2763E161" w14:textId="77777777" w:rsidR="00B02873" w:rsidRDefault="00B02873" w:rsidP="00FE198A"/>
    <w:p w14:paraId="3DCA0541" w14:textId="77777777" w:rsidR="00B02873" w:rsidRDefault="00B02873" w:rsidP="00D21A73">
      <w:pPr>
        <w:pStyle w:val="Heading2Headings"/>
      </w:pPr>
      <w:bookmarkStart w:id="67" w:name="Note_5"/>
      <w:r>
        <w:t>Note 5</w:t>
      </w:r>
      <w:bookmarkEnd w:id="67"/>
      <w:r>
        <w:t>. Key assets available to support output delivery</w:t>
      </w:r>
    </w:p>
    <w:p w14:paraId="0A385F3D" w14:textId="30A28E42" w:rsidR="00B02873" w:rsidRDefault="00B02873" w:rsidP="003E21BE">
      <w:pPr>
        <w:pStyle w:val="Heading3"/>
      </w:pPr>
      <w:r>
        <w:t>Introduction</w:t>
      </w:r>
    </w:p>
    <w:p w14:paraId="2FAA6BB9" w14:textId="77777777" w:rsidR="00B02873" w:rsidRDefault="00B02873" w:rsidP="00FE198A">
      <w:r>
        <w:t xml:space="preserve">The department controls property, plant, equipment and other assets that are utilised in fulfilling its objectives and conducting its activities. They represent the resources that have been entrusted </w:t>
      </w:r>
      <w:r>
        <w:br/>
        <w:t>to the department to be utilised for the delivery of those outputs.</w:t>
      </w:r>
    </w:p>
    <w:p w14:paraId="37F35367" w14:textId="77777777" w:rsidR="00B02873" w:rsidRDefault="00B02873" w:rsidP="003E21BE">
      <w:pPr>
        <w:pStyle w:val="Heading5"/>
      </w:pPr>
      <w:r>
        <w:t>Fair value measurement</w:t>
      </w:r>
    </w:p>
    <w:p w14:paraId="0CD35CEE" w14:textId="77777777" w:rsidR="00B02873" w:rsidRDefault="00B02873" w:rsidP="00FE198A">
      <w:r>
        <w:t>Where the assets included in this section are carried at fair value, additional information is disclosed in Note 5.1.3 in connection with how those fair values were determined.</w:t>
      </w:r>
    </w:p>
    <w:p w14:paraId="23A0C704" w14:textId="77777777" w:rsidR="00B02873" w:rsidRDefault="00B02873" w:rsidP="003E21BE">
      <w:pPr>
        <w:pStyle w:val="Heading3"/>
      </w:pPr>
      <w:r>
        <w:t>Structure</w:t>
      </w:r>
    </w:p>
    <w:p w14:paraId="69FFB2E7" w14:textId="77777777" w:rsidR="00B02873" w:rsidRDefault="00B02873" w:rsidP="00F17710">
      <w:pPr>
        <w:spacing w:after="120"/>
      </w:pPr>
      <w:r>
        <w:t>5.1</w:t>
      </w:r>
      <w:r>
        <w:tab/>
        <w:t>Property, plant and equipment</w:t>
      </w:r>
    </w:p>
    <w:p w14:paraId="117F2894" w14:textId="77777777" w:rsidR="00B02873" w:rsidRDefault="00B02873" w:rsidP="00F17710">
      <w:pPr>
        <w:spacing w:after="120"/>
        <w:ind w:left="720"/>
      </w:pPr>
      <w:r>
        <w:t>5.1.1</w:t>
      </w:r>
      <w:r>
        <w:tab/>
        <w:t>Reconciliation of movements in carrying values</w:t>
      </w:r>
    </w:p>
    <w:p w14:paraId="56447561" w14:textId="77777777" w:rsidR="00B02873" w:rsidRDefault="00B02873" w:rsidP="00F17710">
      <w:pPr>
        <w:spacing w:after="120"/>
        <w:ind w:left="720"/>
      </w:pPr>
      <w:r>
        <w:t>5.1.2</w:t>
      </w:r>
      <w:r>
        <w:tab/>
        <w:t xml:space="preserve">Depreciation, amortisation and impairment </w:t>
      </w:r>
    </w:p>
    <w:p w14:paraId="1B57EC3F" w14:textId="77777777" w:rsidR="00B02873" w:rsidRDefault="00B02873" w:rsidP="003E21BE">
      <w:pPr>
        <w:ind w:left="720"/>
      </w:pPr>
      <w:r>
        <w:t>5.1.3</w:t>
      </w:r>
      <w:r>
        <w:tab/>
        <w:t>Fair value determination</w:t>
      </w:r>
    </w:p>
    <w:p w14:paraId="170EF6D8" w14:textId="77777777" w:rsidR="00B02873" w:rsidRDefault="00B02873" w:rsidP="00F17710">
      <w:pPr>
        <w:spacing w:after="120"/>
      </w:pPr>
      <w:r>
        <w:t>5.2</w:t>
      </w:r>
      <w:r>
        <w:tab/>
        <w:t>Non-financial assets classified as held for sale</w:t>
      </w:r>
    </w:p>
    <w:p w14:paraId="34207AA9" w14:textId="77777777" w:rsidR="00B02873" w:rsidRDefault="00B02873" w:rsidP="00F17710">
      <w:pPr>
        <w:ind w:left="720"/>
      </w:pPr>
      <w:r>
        <w:t>5.2.1</w:t>
      </w:r>
      <w:r>
        <w:tab/>
        <w:t xml:space="preserve">Fair value determination </w:t>
      </w:r>
    </w:p>
    <w:p w14:paraId="5D0E7617" w14:textId="77777777" w:rsidR="00B02873" w:rsidRPr="00546E03" w:rsidRDefault="00B02873" w:rsidP="003E21BE">
      <w:r>
        <w:t>5.3</w:t>
      </w:r>
      <w:r>
        <w:tab/>
        <w:t>Intangible assets</w:t>
      </w:r>
    </w:p>
    <w:p w14:paraId="265B4853" w14:textId="77777777" w:rsidR="00B02873" w:rsidRDefault="00B02873" w:rsidP="00F17710">
      <w:pPr>
        <w:pStyle w:val="Heading3"/>
      </w:pPr>
      <w:bookmarkStart w:id="68" w:name="_Ref116975840"/>
      <w:r>
        <w:t>5.1 Property, plant and equipment</w:t>
      </w:r>
      <w:bookmarkEnd w:id="68"/>
    </w:p>
    <w:tbl>
      <w:tblPr>
        <w:tblStyle w:val="TableGrid"/>
        <w:tblW w:w="0" w:type="auto"/>
        <w:tblLayout w:type="fixed"/>
        <w:tblLook w:val="0020" w:firstRow="1" w:lastRow="0" w:firstColumn="0" w:lastColumn="0" w:noHBand="0" w:noVBand="0"/>
      </w:tblPr>
      <w:tblGrid>
        <w:gridCol w:w="7257"/>
        <w:gridCol w:w="1190"/>
        <w:gridCol w:w="1191"/>
      </w:tblGrid>
      <w:tr w:rsidR="00B02873" w:rsidRPr="00B02873" w14:paraId="4BE6A243" w14:textId="77777777" w:rsidTr="00F17710">
        <w:trPr>
          <w:cnfStyle w:val="100000000000" w:firstRow="1" w:lastRow="0" w:firstColumn="0" w:lastColumn="0" w:oddVBand="0" w:evenVBand="0" w:oddHBand="0" w:evenHBand="0" w:firstRowFirstColumn="0" w:firstRowLastColumn="0" w:lastRowFirstColumn="0" w:lastRowLastColumn="0"/>
          <w:tblHeader/>
        </w:trPr>
        <w:tc>
          <w:tcPr>
            <w:tcW w:w="7257" w:type="dxa"/>
          </w:tcPr>
          <w:p w14:paraId="16F25F0A" w14:textId="77777777" w:rsidR="00B02873" w:rsidRPr="00B02873" w:rsidRDefault="00B02873" w:rsidP="00F17710">
            <w:pPr>
              <w:pStyle w:val="TableheadingleftTables"/>
            </w:pPr>
          </w:p>
        </w:tc>
        <w:tc>
          <w:tcPr>
            <w:tcW w:w="1190" w:type="dxa"/>
          </w:tcPr>
          <w:p w14:paraId="6B34AFAA" w14:textId="77777777" w:rsidR="00B02873" w:rsidRPr="00F17710" w:rsidRDefault="00B02873" w:rsidP="00F17710">
            <w:pPr>
              <w:pStyle w:val="TableheadingleftTables"/>
              <w:jc w:val="right"/>
            </w:pPr>
            <w:r w:rsidRPr="00F17710">
              <w:t>2022</w:t>
            </w:r>
            <w:r w:rsidRPr="00F17710">
              <w:br/>
              <w:t>$’000</w:t>
            </w:r>
          </w:p>
        </w:tc>
        <w:tc>
          <w:tcPr>
            <w:tcW w:w="1191" w:type="dxa"/>
          </w:tcPr>
          <w:p w14:paraId="5F43ECF7" w14:textId="77777777" w:rsidR="00B02873" w:rsidRDefault="00B02873" w:rsidP="00F17710">
            <w:pPr>
              <w:pStyle w:val="TableheadingleftTables"/>
              <w:jc w:val="right"/>
            </w:pPr>
            <w:r>
              <w:t>2021</w:t>
            </w:r>
            <w:r>
              <w:br/>
              <w:t>$’000</w:t>
            </w:r>
          </w:p>
        </w:tc>
      </w:tr>
      <w:tr w:rsidR="00B02873" w:rsidRPr="00B02873" w14:paraId="0B8303B3" w14:textId="77777777" w:rsidTr="00F17710">
        <w:tc>
          <w:tcPr>
            <w:tcW w:w="7257" w:type="dxa"/>
          </w:tcPr>
          <w:p w14:paraId="69EBB8B5" w14:textId="77777777" w:rsidR="00B02873" w:rsidRPr="00F17710" w:rsidRDefault="00B02873" w:rsidP="00F17710">
            <w:pPr>
              <w:pStyle w:val="TablebodyleftFinancialsTables"/>
              <w:rPr>
                <w:b/>
                <w:bCs/>
              </w:rPr>
            </w:pPr>
            <w:r w:rsidRPr="00F17710">
              <w:rPr>
                <w:b/>
                <w:bCs/>
              </w:rPr>
              <w:t>Land</w:t>
            </w:r>
          </w:p>
        </w:tc>
        <w:tc>
          <w:tcPr>
            <w:tcW w:w="1190" w:type="dxa"/>
          </w:tcPr>
          <w:p w14:paraId="1319E5D4" w14:textId="77777777" w:rsidR="00B02873" w:rsidRPr="00F17710" w:rsidRDefault="00B02873" w:rsidP="00F17710">
            <w:pPr>
              <w:pStyle w:val="TablebodyleftFinancialsTables"/>
              <w:jc w:val="right"/>
              <w:rPr>
                <w:rFonts w:ascii="VIC Bold Italic" w:hAnsi="VIC Bold Italic" w:cs="Times New Roman"/>
                <w:b/>
                <w:bCs/>
              </w:rPr>
            </w:pPr>
          </w:p>
        </w:tc>
        <w:tc>
          <w:tcPr>
            <w:tcW w:w="1191" w:type="dxa"/>
          </w:tcPr>
          <w:p w14:paraId="6392A2F9" w14:textId="77777777" w:rsidR="00B02873" w:rsidRPr="00B02873" w:rsidRDefault="00B02873" w:rsidP="00F17710">
            <w:pPr>
              <w:pStyle w:val="TablebodyleftFinancialsTables"/>
              <w:jc w:val="right"/>
              <w:rPr>
                <w:rFonts w:ascii="VIC Bold Italic" w:hAnsi="VIC Bold Italic" w:cs="Times New Roman"/>
              </w:rPr>
            </w:pPr>
          </w:p>
        </w:tc>
      </w:tr>
      <w:tr w:rsidR="00B02873" w:rsidRPr="00B02873" w14:paraId="577EA9CB" w14:textId="77777777" w:rsidTr="00F17710">
        <w:tc>
          <w:tcPr>
            <w:tcW w:w="7257" w:type="dxa"/>
          </w:tcPr>
          <w:p w14:paraId="3C31AA51" w14:textId="77777777" w:rsidR="00B02873" w:rsidRPr="00F17710" w:rsidRDefault="00B02873" w:rsidP="00F17710">
            <w:pPr>
              <w:pStyle w:val="TablebodyleftFinancialsTables"/>
              <w:rPr>
                <w:b/>
                <w:bCs/>
              </w:rPr>
            </w:pPr>
            <w:r w:rsidRPr="00F17710">
              <w:rPr>
                <w:b/>
                <w:bCs/>
              </w:rPr>
              <w:t xml:space="preserve">Freehold land </w:t>
            </w:r>
          </w:p>
        </w:tc>
        <w:tc>
          <w:tcPr>
            <w:tcW w:w="1190" w:type="dxa"/>
          </w:tcPr>
          <w:p w14:paraId="585FB96B" w14:textId="77777777" w:rsidR="00B02873" w:rsidRPr="00F17710" w:rsidRDefault="00B02873" w:rsidP="00F17710">
            <w:pPr>
              <w:pStyle w:val="TablebodyleftFinancialsTables"/>
              <w:jc w:val="right"/>
              <w:rPr>
                <w:rFonts w:ascii="VIC Bold Italic" w:hAnsi="VIC Bold Italic" w:cs="Times New Roman"/>
                <w:b/>
                <w:bCs/>
              </w:rPr>
            </w:pPr>
          </w:p>
        </w:tc>
        <w:tc>
          <w:tcPr>
            <w:tcW w:w="1191" w:type="dxa"/>
          </w:tcPr>
          <w:p w14:paraId="6B592F76" w14:textId="77777777" w:rsidR="00B02873" w:rsidRPr="00B02873" w:rsidRDefault="00B02873" w:rsidP="00F17710">
            <w:pPr>
              <w:pStyle w:val="TablebodyleftFinancialsTables"/>
              <w:jc w:val="right"/>
              <w:rPr>
                <w:rFonts w:ascii="VIC Bold Italic" w:hAnsi="VIC Bold Italic" w:cs="Times New Roman"/>
              </w:rPr>
            </w:pPr>
          </w:p>
        </w:tc>
      </w:tr>
      <w:tr w:rsidR="00B02873" w:rsidRPr="00B02873" w14:paraId="29E1BA0B" w14:textId="77777777" w:rsidTr="00F17710">
        <w:tc>
          <w:tcPr>
            <w:tcW w:w="7257" w:type="dxa"/>
          </w:tcPr>
          <w:p w14:paraId="3144A830" w14:textId="77777777" w:rsidR="00B02873" w:rsidRDefault="00B02873" w:rsidP="00F17710">
            <w:pPr>
              <w:pStyle w:val="TablebodyleftFinancialsTables"/>
            </w:pPr>
            <w:r>
              <w:t xml:space="preserve">At fair value </w:t>
            </w:r>
          </w:p>
        </w:tc>
        <w:tc>
          <w:tcPr>
            <w:tcW w:w="1190" w:type="dxa"/>
          </w:tcPr>
          <w:p w14:paraId="31F5124E" w14:textId="77777777" w:rsidR="00B02873" w:rsidRPr="00F17710" w:rsidRDefault="00B02873" w:rsidP="00F17710">
            <w:pPr>
              <w:pStyle w:val="TablebodyleftFinancialsTables"/>
              <w:jc w:val="right"/>
              <w:rPr>
                <w:b/>
                <w:bCs/>
              </w:rPr>
            </w:pPr>
            <w:r w:rsidRPr="00F17710">
              <w:rPr>
                <w:b/>
                <w:bCs/>
              </w:rPr>
              <w:t>170,710</w:t>
            </w:r>
          </w:p>
        </w:tc>
        <w:tc>
          <w:tcPr>
            <w:tcW w:w="1191" w:type="dxa"/>
          </w:tcPr>
          <w:p w14:paraId="21CBFE26" w14:textId="77777777" w:rsidR="00B02873" w:rsidRDefault="00B02873" w:rsidP="00F17710">
            <w:pPr>
              <w:pStyle w:val="TablebodyleftFinancialsTables"/>
              <w:jc w:val="right"/>
            </w:pPr>
            <w:r>
              <w:t>154,771</w:t>
            </w:r>
          </w:p>
        </w:tc>
      </w:tr>
      <w:tr w:rsidR="00B02873" w:rsidRPr="00B02873" w14:paraId="0440D82D" w14:textId="77777777" w:rsidTr="00F17710">
        <w:tc>
          <w:tcPr>
            <w:tcW w:w="7257" w:type="dxa"/>
          </w:tcPr>
          <w:p w14:paraId="53AB015A" w14:textId="77777777" w:rsidR="00B02873" w:rsidRDefault="00B02873" w:rsidP="00F17710">
            <w:pPr>
              <w:pStyle w:val="TablebodyleftFinancialsTables"/>
            </w:pPr>
            <w:r>
              <w:t>Total freehold land</w:t>
            </w:r>
          </w:p>
        </w:tc>
        <w:tc>
          <w:tcPr>
            <w:tcW w:w="1190" w:type="dxa"/>
          </w:tcPr>
          <w:p w14:paraId="625FACDD" w14:textId="77777777" w:rsidR="00B02873" w:rsidRPr="00F17710" w:rsidRDefault="00B02873" w:rsidP="00F17710">
            <w:pPr>
              <w:pStyle w:val="TablebodyleftFinancialsTables"/>
              <w:jc w:val="right"/>
              <w:rPr>
                <w:b/>
                <w:bCs/>
              </w:rPr>
            </w:pPr>
            <w:r w:rsidRPr="00F17710">
              <w:rPr>
                <w:b/>
                <w:bCs/>
              </w:rPr>
              <w:t>170,710</w:t>
            </w:r>
          </w:p>
        </w:tc>
        <w:tc>
          <w:tcPr>
            <w:tcW w:w="1191" w:type="dxa"/>
          </w:tcPr>
          <w:p w14:paraId="0B778BF4" w14:textId="77777777" w:rsidR="00B02873" w:rsidRDefault="00B02873" w:rsidP="00F17710">
            <w:pPr>
              <w:pStyle w:val="TablebodyleftFinancialsTables"/>
              <w:jc w:val="right"/>
            </w:pPr>
            <w:r>
              <w:t>154,771</w:t>
            </w:r>
          </w:p>
        </w:tc>
      </w:tr>
      <w:tr w:rsidR="00B02873" w:rsidRPr="00B02873" w14:paraId="310112E1" w14:textId="77777777" w:rsidTr="00F17710">
        <w:tc>
          <w:tcPr>
            <w:tcW w:w="7257" w:type="dxa"/>
          </w:tcPr>
          <w:p w14:paraId="46B1E33B" w14:textId="77777777" w:rsidR="00B02873" w:rsidRPr="00F17710" w:rsidRDefault="00B02873" w:rsidP="00F17710">
            <w:pPr>
              <w:pStyle w:val="TablebodyleftFinancialsTables"/>
              <w:rPr>
                <w:b/>
                <w:bCs/>
              </w:rPr>
            </w:pPr>
            <w:r w:rsidRPr="00F17710">
              <w:rPr>
                <w:b/>
                <w:bCs/>
              </w:rPr>
              <w:t>Crown land</w:t>
            </w:r>
          </w:p>
        </w:tc>
        <w:tc>
          <w:tcPr>
            <w:tcW w:w="1190" w:type="dxa"/>
          </w:tcPr>
          <w:p w14:paraId="316720B5" w14:textId="77777777" w:rsidR="00B02873" w:rsidRPr="00F17710" w:rsidRDefault="00B02873" w:rsidP="00F17710">
            <w:pPr>
              <w:pStyle w:val="TablebodyleftFinancialsTables"/>
              <w:jc w:val="right"/>
              <w:rPr>
                <w:rFonts w:ascii="VIC Bold Italic" w:hAnsi="VIC Bold Italic" w:cs="Times New Roman"/>
                <w:b/>
                <w:bCs/>
              </w:rPr>
            </w:pPr>
          </w:p>
        </w:tc>
        <w:tc>
          <w:tcPr>
            <w:tcW w:w="1191" w:type="dxa"/>
          </w:tcPr>
          <w:p w14:paraId="5C5E8429" w14:textId="77777777" w:rsidR="00B02873" w:rsidRPr="00B02873" w:rsidRDefault="00B02873" w:rsidP="00F17710">
            <w:pPr>
              <w:pStyle w:val="TablebodyleftFinancialsTables"/>
              <w:jc w:val="right"/>
              <w:rPr>
                <w:rFonts w:ascii="VIC Bold Italic" w:hAnsi="VIC Bold Italic" w:cs="Times New Roman"/>
              </w:rPr>
            </w:pPr>
          </w:p>
        </w:tc>
      </w:tr>
      <w:tr w:rsidR="00B02873" w:rsidRPr="00B02873" w14:paraId="74CD077A" w14:textId="77777777" w:rsidTr="00F17710">
        <w:tc>
          <w:tcPr>
            <w:tcW w:w="7257" w:type="dxa"/>
          </w:tcPr>
          <w:p w14:paraId="113E107E" w14:textId="77777777" w:rsidR="00B02873" w:rsidRDefault="00B02873" w:rsidP="00F17710">
            <w:pPr>
              <w:pStyle w:val="TablebodyleftFinancialsTables"/>
            </w:pPr>
            <w:r>
              <w:t xml:space="preserve">Land, unused roads and government roads at fair value </w:t>
            </w:r>
          </w:p>
        </w:tc>
        <w:tc>
          <w:tcPr>
            <w:tcW w:w="1190" w:type="dxa"/>
          </w:tcPr>
          <w:p w14:paraId="150B6195" w14:textId="77777777" w:rsidR="00B02873" w:rsidRPr="00F17710" w:rsidRDefault="00B02873" w:rsidP="00F17710">
            <w:pPr>
              <w:pStyle w:val="TablebodyleftFinancialsTables"/>
              <w:jc w:val="right"/>
              <w:rPr>
                <w:b/>
                <w:bCs/>
              </w:rPr>
            </w:pPr>
            <w:r w:rsidRPr="00F17710">
              <w:rPr>
                <w:b/>
                <w:bCs/>
              </w:rPr>
              <w:t>4,463,480</w:t>
            </w:r>
          </w:p>
        </w:tc>
        <w:tc>
          <w:tcPr>
            <w:tcW w:w="1191" w:type="dxa"/>
          </w:tcPr>
          <w:p w14:paraId="70AB4042" w14:textId="77777777" w:rsidR="00B02873" w:rsidRDefault="00B02873" w:rsidP="00F17710">
            <w:pPr>
              <w:pStyle w:val="TablebodyleftFinancialsTables"/>
              <w:jc w:val="right"/>
            </w:pPr>
            <w:r>
              <w:t>3,764,210</w:t>
            </w:r>
          </w:p>
        </w:tc>
      </w:tr>
      <w:tr w:rsidR="00B02873" w:rsidRPr="00B02873" w14:paraId="75C46DB0" w14:textId="77777777" w:rsidTr="00F17710">
        <w:tc>
          <w:tcPr>
            <w:tcW w:w="7257" w:type="dxa"/>
          </w:tcPr>
          <w:p w14:paraId="78A4DBE9" w14:textId="77777777" w:rsidR="00B02873" w:rsidRDefault="00B02873" w:rsidP="00F17710">
            <w:pPr>
              <w:pStyle w:val="TablebodyleftFinancialsTables"/>
            </w:pPr>
            <w:r>
              <w:lastRenderedPageBreak/>
              <w:t>National parks at fair value</w:t>
            </w:r>
          </w:p>
        </w:tc>
        <w:tc>
          <w:tcPr>
            <w:tcW w:w="1190" w:type="dxa"/>
          </w:tcPr>
          <w:p w14:paraId="67957EF1" w14:textId="77777777" w:rsidR="00B02873" w:rsidRPr="00F17710" w:rsidRDefault="00B02873" w:rsidP="00F17710">
            <w:pPr>
              <w:pStyle w:val="TablebodyleftFinancialsTables"/>
              <w:jc w:val="right"/>
              <w:rPr>
                <w:b/>
                <w:bCs/>
              </w:rPr>
            </w:pPr>
            <w:r w:rsidRPr="00F17710">
              <w:rPr>
                <w:b/>
                <w:bCs/>
              </w:rPr>
              <w:t>5,626</w:t>
            </w:r>
          </w:p>
        </w:tc>
        <w:tc>
          <w:tcPr>
            <w:tcW w:w="1191" w:type="dxa"/>
          </w:tcPr>
          <w:p w14:paraId="6D33C2C8" w14:textId="77777777" w:rsidR="00B02873" w:rsidRDefault="00B02873" w:rsidP="00F17710">
            <w:pPr>
              <w:pStyle w:val="TablebodyleftFinancialsTables"/>
              <w:jc w:val="right"/>
            </w:pPr>
            <w:r>
              <w:t>4,413</w:t>
            </w:r>
          </w:p>
        </w:tc>
      </w:tr>
      <w:tr w:rsidR="00B02873" w:rsidRPr="00B02873" w14:paraId="64F19624" w14:textId="77777777" w:rsidTr="00F17710">
        <w:tc>
          <w:tcPr>
            <w:tcW w:w="7257" w:type="dxa"/>
          </w:tcPr>
          <w:p w14:paraId="0BB0DCAC" w14:textId="77777777" w:rsidR="00B02873" w:rsidRDefault="00B02873" w:rsidP="00F17710">
            <w:pPr>
              <w:pStyle w:val="TablebodyleftFinancialsTables"/>
            </w:pPr>
            <w:r>
              <w:t xml:space="preserve">State forests at fair value </w:t>
            </w:r>
          </w:p>
        </w:tc>
        <w:tc>
          <w:tcPr>
            <w:tcW w:w="1190" w:type="dxa"/>
          </w:tcPr>
          <w:p w14:paraId="1B0E5CF9" w14:textId="77777777" w:rsidR="00B02873" w:rsidRPr="00F17710" w:rsidRDefault="00B02873" w:rsidP="00F17710">
            <w:pPr>
              <w:pStyle w:val="TablebodyleftFinancialsTables"/>
              <w:jc w:val="right"/>
              <w:rPr>
                <w:b/>
                <w:bCs/>
              </w:rPr>
            </w:pPr>
            <w:r w:rsidRPr="00F17710">
              <w:rPr>
                <w:b/>
                <w:bCs/>
              </w:rPr>
              <w:t>2,599,099</w:t>
            </w:r>
          </w:p>
        </w:tc>
        <w:tc>
          <w:tcPr>
            <w:tcW w:w="1191" w:type="dxa"/>
          </w:tcPr>
          <w:p w14:paraId="11116F90" w14:textId="77777777" w:rsidR="00B02873" w:rsidRDefault="00B02873" w:rsidP="00F17710">
            <w:pPr>
              <w:pStyle w:val="TablebodyleftFinancialsTables"/>
              <w:jc w:val="right"/>
            </w:pPr>
            <w:r>
              <w:t>2,193,034</w:t>
            </w:r>
          </w:p>
        </w:tc>
      </w:tr>
      <w:tr w:rsidR="00B02873" w:rsidRPr="00B02873" w14:paraId="5226CABC" w14:textId="77777777" w:rsidTr="00F17710">
        <w:tc>
          <w:tcPr>
            <w:tcW w:w="7257" w:type="dxa"/>
          </w:tcPr>
          <w:p w14:paraId="2319D113" w14:textId="77777777" w:rsidR="00B02873" w:rsidRDefault="00B02873" w:rsidP="00F17710">
            <w:pPr>
              <w:pStyle w:val="TablebodyleftFinancialsTables"/>
            </w:pPr>
            <w:r>
              <w:t xml:space="preserve">Conservation reserves at fair value </w:t>
            </w:r>
          </w:p>
        </w:tc>
        <w:tc>
          <w:tcPr>
            <w:tcW w:w="1190" w:type="dxa"/>
          </w:tcPr>
          <w:p w14:paraId="30769241" w14:textId="77777777" w:rsidR="00B02873" w:rsidRPr="00F17710" w:rsidRDefault="00B02873" w:rsidP="00F17710">
            <w:pPr>
              <w:pStyle w:val="TablebodyleftFinancialsTables"/>
              <w:jc w:val="right"/>
              <w:rPr>
                <w:b/>
                <w:bCs/>
              </w:rPr>
            </w:pPr>
            <w:r w:rsidRPr="00F17710">
              <w:rPr>
                <w:b/>
                <w:bCs/>
              </w:rPr>
              <w:t>109,636</w:t>
            </w:r>
          </w:p>
        </w:tc>
        <w:tc>
          <w:tcPr>
            <w:tcW w:w="1191" w:type="dxa"/>
          </w:tcPr>
          <w:p w14:paraId="4FD5A4F9" w14:textId="77777777" w:rsidR="00B02873" w:rsidRDefault="00B02873" w:rsidP="00F17710">
            <w:pPr>
              <w:pStyle w:val="TablebodyleftFinancialsTables"/>
              <w:jc w:val="right"/>
            </w:pPr>
            <w:r>
              <w:t>90,533</w:t>
            </w:r>
          </w:p>
        </w:tc>
      </w:tr>
      <w:tr w:rsidR="00B02873" w:rsidRPr="00B02873" w14:paraId="2451E600" w14:textId="77777777" w:rsidTr="00F17710">
        <w:tc>
          <w:tcPr>
            <w:tcW w:w="7257" w:type="dxa"/>
          </w:tcPr>
          <w:p w14:paraId="353C65D0" w14:textId="77777777" w:rsidR="00B02873" w:rsidRDefault="00B02873" w:rsidP="00F17710">
            <w:pPr>
              <w:pStyle w:val="TablebodyleftFinancialsTables"/>
            </w:pPr>
            <w:r>
              <w:t xml:space="preserve">Metropolitan parks at fair value </w:t>
            </w:r>
          </w:p>
        </w:tc>
        <w:tc>
          <w:tcPr>
            <w:tcW w:w="1190" w:type="dxa"/>
          </w:tcPr>
          <w:p w14:paraId="691ABC65" w14:textId="77777777" w:rsidR="00B02873" w:rsidRPr="00F17710" w:rsidRDefault="00B02873" w:rsidP="00F17710">
            <w:pPr>
              <w:pStyle w:val="TablebodyleftFinancialsTables"/>
              <w:jc w:val="right"/>
              <w:rPr>
                <w:b/>
                <w:bCs/>
              </w:rPr>
            </w:pPr>
            <w:r w:rsidRPr="00F17710">
              <w:rPr>
                <w:b/>
                <w:bCs/>
              </w:rPr>
              <w:t>9,212</w:t>
            </w:r>
          </w:p>
        </w:tc>
        <w:tc>
          <w:tcPr>
            <w:tcW w:w="1191" w:type="dxa"/>
          </w:tcPr>
          <w:p w14:paraId="41BA54BE" w14:textId="77777777" w:rsidR="00B02873" w:rsidRDefault="00B02873" w:rsidP="00F17710">
            <w:pPr>
              <w:pStyle w:val="TablebodyleftFinancialsTables"/>
              <w:jc w:val="right"/>
            </w:pPr>
            <w:r>
              <w:t>7,870</w:t>
            </w:r>
          </w:p>
        </w:tc>
      </w:tr>
      <w:tr w:rsidR="00B02873" w:rsidRPr="00B02873" w14:paraId="71A47487" w14:textId="77777777" w:rsidTr="00F17710">
        <w:tc>
          <w:tcPr>
            <w:tcW w:w="7257" w:type="dxa"/>
          </w:tcPr>
          <w:p w14:paraId="74F153D5" w14:textId="77777777" w:rsidR="00B02873" w:rsidRDefault="00B02873" w:rsidP="00F17710">
            <w:pPr>
              <w:pStyle w:val="TablebodyleftFinancialsTables"/>
            </w:pPr>
            <w:r>
              <w:t>Land used for operational purposes at fair value</w:t>
            </w:r>
          </w:p>
        </w:tc>
        <w:tc>
          <w:tcPr>
            <w:tcW w:w="1190" w:type="dxa"/>
          </w:tcPr>
          <w:p w14:paraId="6929F74E" w14:textId="77777777" w:rsidR="00B02873" w:rsidRPr="00F17710" w:rsidRDefault="00B02873" w:rsidP="00F17710">
            <w:pPr>
              <w:pStyle w:val="TablebodyleftFinancialsTables"/>
              <w:jc w:val="right"/>
              <w:rPr>
                <w:b/>
                <w:bCs/>
              </w:rPr>
            </w:pPr>
            <w:r w:rsidRPr="00F17710">
              <w:rPr>
                <w:b/>
                <w:bCs/>
              </w:rPr>
              <w:t>57,295</w:t>
            </w:r>
          </w:p>
        </w:tc>
        <w:tc>
          <w:tcPr>
            <w:tcW w:w="1191" w:type="dxa"/>
          </w:tcPr>
          <w:p w14:paraId="0A015EF4" w14:textId="77777777" w:rsidR="00B02873" w:rsidRDefault="00B02873" w:rsidP="00F17710">
            <w:pPr>
              <w:pStyle w:val="TablebodyleftFinancialsTables"/>
              <w:jc w:val="right"/>
            </w:pPr>
            <w:r>
              <w:t>48,542</w:t>
            </w:r>
          </w:p>
        </w:tc>
      </w:tr>
      <w:tr w:rsidR="00B02873" w:rsidRPr="00B02873" w14:paraId="389C5D5F" w14:textId="77777777" w:rsidTr="00F17710">
        <w:tc>
          <w:tcPr>
            <w:tcW w:w="7257" w:type="dxa"/>
          </w:tcPr>
          <w:p w14:paraId="4D176098" w14:textId="77777777" w:rsidR="00B02873" w:rsidRDefault="00B02873" w:rsidP="00F17710">
            <w:pPr>
              <w:pStyle w:val="TablebodyleftFinancialsTables"/>
            </w:pPr>
            <w:r>
              <w:t>Total Crown land</w:t>
            </w:r>
          </w:p>
        </w:tc>
        <w:tc>
          <w:tcPr>
            <w:tcW w:w="1190" w:type="dxa"/>
          </w:tcPr>
          <w:p w14:paraId="14E1834F" w14:textId="77777777" w:rsidR="00B02873" w:rsidRPr="00F17710" w:rsidRDefault="00B02873" w:rsidP="00F17710">
            <w:pPr>
              <w:pStyle w:val="TablebodyleftFinancialsTables"/>
              <w:jc w:val="right"/>
              <w:rPr>
                <w:b/>
                <w:bCs/>
              </w:rPr>
            </w:pPr>
            <w:r w:rsidRPr="00F17710">
              <w:rPr>
                <w:b/>
                <w:bCs/>
              </w:rPr>
              <w:t>7,244,348</w:t>
            </w:r>
          </w:p>
        </w:tc>
        <w:tc>
          <w:tcPr>
            <w:tcW w:w="1191" w:type="dxa"/>
          </w:tcPr>
          <w:p w14:paraId="2A772A3E" w14:textId="77777777" w:rsidR="00B02873" w:rsidRDefault="00B02873" w:rsidP="00F17710">
            <w:pPr>
              <w:pStyle w:val="TablebodyleftFinancialsTables"/>
              <w:jc w:val="right"/>
            </w:pPr>
            <w:r>
              <w:t>6,108,602</w:t>
            </w:r>
          </w:p>
        </w:tc>
      </w:tr>
      <w:tr w:rsidR="00B02873" w:rsidRPr="00B02873" w14:paraId="5BEE5758" w14:textId="77777777" w:rsidTr="00F17710">
        <w:tc>
          <w:tcPr>
            <w:tcW w:w="7257" w:type="dxa"/>
          </w:tcPr>
          <w:p w14:paraId="61B6DEF9" w14:textId="77777777" w:rsidR="00B02873" w:rsidRPr="00F17710" w:rsidRDefault="00B02873" w:rsidP="00F17710">
            <w:pPr>
              <w:pStyle w:val="TablebodyleftFinancialsTables"/>
              <w:rPr>
                <w:b/>
                <w:bCs/>
              </w:rPr>
            </w:pPr>
            <w:r w:rsidRPr="00F17710">
              <w:rPr>
                <w:b/>
                <w:bCs/>
              </w:rPr>
              <w:t>Land purchase in progress</w:t>
            </w:r>
          </w:p>
        </w:tc>
        <w:tc>
          <w:tcPr>
            <w:tcW w:w="1190" w:type="dxa"/>
          </w:tcPr>
          <w:p w14:paraId="3F94F204" w14:textId="77777777" w:rsidR="00B02873" w:rsidRPr="00F17710" w:rsidRDefault="00B02873" w:rsidP="00F17710">
            <w:pPr>
              <w:pStyle w:val="TablebodyleftFinancialsTables"/>
              <w:jc w:val="right"/>
              <w:rPr>
                <w:rFonts w:ascii="VIC Bold Italic" w:hAnsi="VIC Bold Italic" w:cs="Times New Roman"/>
                <w:b/>
                <w:bCs/>
              </w:rPr>
            </w:pPr>
          </w:p>
        </w:tc>
        <w:tc>
          <w:tcPr>
            <w:tcW w:w="1191" w:type="dxa"/>
          </w:tcPr>
          <w:p w14:paraId="50154B15" w14:textId="77777777" w:rsidR="00B02873" w:rsidRPr="00B02873" w:rsidRDefault="00B02873" w:rsidP="00F17710">
            <w:pPr>
              <w:pStyle w:val="TablebodyleftFinancialsTables"/>
              <w:jc w:val="right"/>
              <w:rPr>
                <w:rFonts w:ascii="VIC Bold Italic" w:hAnsi="VIC Bold Italic" w:cs="Times New Roman"/>
              </w:rPr>
            </w:pPr>
          </w:p>
        </w:tc>
      </w:tr>
      <w:tr w:rsidR="00B02873" w:rsidRPr="00B02873" w14:paraId="6C8EE52C" w14:textId="77777777" w:rsidTr="00F17710">
        <w:tc>
          <w:tcPr>
            <w:tcW w:w="7257" w:type="dxa"/>
          </w:tcPr>
          <w:p w14:paraId="6199A854" w14:textId="77777777" w:rsidR="00B02873" w:rsidRDefault="00B02873" w:rsidP="00F17710">
            <w:pPr>
              <w:pStyle w:val="TablebodyleftFinancialsTables"/>
            </w:pPr>
            <w:r>
              <w:t>Freehold land</w:t>
            </w:r>
          </w:p>
        </w:tc>
        <w:tc>
          <w:tcPr>
            <w:tcW w:w="1190" w:type="dxa"/>
          </w:tcPr>
          <w:p w14:paraId="5EDB84CB" w14:textId="77777777" w:rsidR="00B02873" w:rsidRPr="00F17710" w:rsidRDefault="00B02873" w:rsidP="00F17710">
            <w:pPr>
              <w:pStyle w:val="TablebodyleftFinancialsTables"/>
              <w:jc w:val="right"/>
              <w:rPr>
                <w:b/>
                <w:bCs/>
              </w:rPr>
            </w:pPr>
            <w:r w:rsidRPr="00F17710">
              <w:rPr>
                <w:b/>
                <w:bCs/>
              </w:rPr>
              <w:t>217,144</w:t>
            </w:r>
          </w:p>
        </w:tc>
        <w:tc>
          <w:tcPr>
            <w:tcW w:w="1191" w:type="dxa"/>
          </w:tcPr>
          <w:p w14:paraId="26823744" w14:textId="77777777" w:rsidR="00B02873" w:rsidRDefault="00B02873" w:rsidP="00F17710">
            <w:pPr>
              <w:pStyle w:val="TablebodyleftFinancialsTables"/>
              <w:jc w:val="right"/>
            </w:pPr>
            <w:r>
              <w:t>50,182</w:t>
            </w:r>
          </w:p>
        </w:tc>
      </w:tr>
      <w:tr w:rsidR="00B02873" w:rsidRPr="00B02873" w14:paraId="785426B3" w14:textId="77777777" w:rsidTr="00F17710">
        <w:tc>
          <w:tcPr>
            <w:tcW w:w="7257" w:type="dxa"/>
          </w:tcPr>
          <w:p w14:paraId="40FAAF09" w14:textId="77777777" w:rsidR="00B02873" w:rsidRDefault="00B02873" w:rsidP="00F17710">
            <w:pPr>
              <w:pStyle w:val="TablebodyleftFinancialsTables"/>
            </w:pPr>
            <w:r>
              <w:t xml:space="preserve">Total land purchase in progress </w:t>
            </w:r>
          </w:p>
        </w:tc>
        <w:tc>
          <w:tcPr>
            <w:tcW w:w="1190" w:type="dxa"/>
          </w:tcPr>
          <w:p w14:paraId="6C19D564" w14:textId="77777777" w:rsidR="00B02873" w:rsidRPr="00F17710" w:rsidRDefault="00B02873" w:rsidP="00F17710">
            <w:pPr>
              <w:pStyle w:val="TablebodyleftFinancialsTables"/>
              <w:jc w:val="right"/>
              <w:rPr>
                <w:b/>
                <w:bCs/>
              </w:rPr>
            </w:pPr>
            <w:r w:rsidRPr="00F17710">
              <w:rPr>
                <w:b/>
                <w:bCs/>
              </w:rPr>
              <w:t>217,144</w:t>
            </w:r>
          </w:p>
        </w:tc>
        <w:tc>
          <w:tcPr>
            <w:tcW w:w="1191" w:type="dxa"/>
          </w:tcPr>
          <w:p w14:paraId="361C5776" w14:textId="77777777" w:rsidR="00B02873" w:rsidRDefault="00B02873" w:rsidP="00F17710">
            <w:pPr>
              <w:pStyle w:val="TablebodyleftFinancialsTables"/>
              <w:jc w:val="right"/>
            </w:pPr>
            <w:r>
              <w:t>50,182</w:t>
            </w:r>
          </w:p>
        </w:tc>
      </w:tr>
      <w:tr w:rsidR="00B02873" w:rsidRPr="00B02873" w14:paraId="6631C302" w14:textId="77777777" w:rsidTr="00F17710">
        <w:tc>
          <w:tcPr>
            <w:tcW w:w="7257" w:type="dxa"/>
          </w:tcPr>
          <w:p w14:paraId="4F5DA341" w14:textId="77777777" w:rsidR="00B02873" w:rsidRPr="00F17710" w:rsidRDefault="00B02873" w:rsidP="00F17710">
            <w:pPr>
              <w:pStyle w:val="TablebodyleftFinancialsTables"/>
              <w:rPr>
                <w:b/>
                <w:bCs/>
              </w:rPr>
            </w:pPr>
            <w:r w:rsidRPr="00F17710">
              <w:rPr>
                <w:b/>
                <w:bCs/>
              </w:rPr>
              <w:t xml:space="preserve">Total land </w:t>
            </w:r>
          </w:p>
        </w:tc>
        <w:tc>
          <w:tcPr>
            <w:tcW w:w="1190" w:type="dxa"/>
          </w:tcPr>
          <w:p w14:paraId="564CC2C3" w14:textId="77777777" w:rsidR="00B02873" w:rsidRPr="00F17710" w:rsidRDefault="00B02873" w:rsidP="00F17710">
            <w:pPr>
              <w:pStyle w:val="TablebodyleftFinancialsTables"/>
              <w:jc w:val="right"/>
              <w:rPr>
                <w:b/>
                <w:bCs/>
              </w:rPr>
            </w:pPr>
            <w:r w:rsidRPr="00F17710">
              <w:rPr>
                <w:b/>
                <w:bCs/>
              </w:rPr>
              <w:t>7,632,202</w:t>
            </w:r>
          </w:p>
        </w:tc>
        <w:tc>
          <w:tcPr>
            <w:tcW w:w="1191" w:type="dxa"/>
          </w:tcPr>
          <w:p w14:paraId="59D89DFC" w14:textId="77777777" w:rsidR="00B02873" w:rsidRDefault="00B02873" w:rsidP="00F17710">
            <w:pPr>
              <w:pStyle w:val="TablebodyleftFinancialsTables"/>
              <w:jc w:val="right"/>
            </w:pPr>
            <w:r>
              <w:t>6,313,555</w:t>
            </w:r>
          </w:p>
        </w:tc>
      </w:tr>
      <w:tr w:rsidR="00B02873" w:rsidRPr="00B02873" w14:paraId="32B0597B" w14:textId="77777777" w:rsidTr="00F17710">
        <w:tc>
          <w:tcPr>
            <w:tcW w:w="7257" w:type="dxa"/>
          </w:tcPr>
          <w:p w14:paraId="1E13043D" w14:textId="77777777" w:rsidR="00B02873" w:rsidRPr="00F17710" w:rsidRDefault="00B02873" w:rsidP="00F17710">
            <w:pPr>
              <w:pStyle w:val="TablebodyleftFinancialsTables"/>
              <w:rPr>
                <w:b/>
                <w:bCs/>
              </w:rPr>
            </w:pPr>
            <w:r w:rsidRPr="00F17710">
              <w:rPr>
                <w:b/>
                <w:bCs/>
              </w:rPr>
              <w:t>Buildings and structures</w:t>
            </w:r>
          </w:p>
        </w:tc>
        <w:tc>
          <w:tcPr>
            <w:tcW w:w="1190" w:type="dxa"/>
          </w:tcPr>
          <w:p w14:paraId="5A9649D6" w14:textId="77777777" w:rsidR="00B02873" w:rsidRPr="00F17710" w:rsidRDefault="00B02873" w:rsidP="00F17710">
            <w:pPr>
              <w:pStyle w:val="TablebodyleftFinancialsTables"/>
              <w:jc w:val="right"/>
              <w:rPr>
                <w:rFonts w:ascii="VIC Bold Italic" w:hAnsi="VIC Bold Italic" w:cs="Times New Roman"/>
                <w:b/>
                <w:bCs/>
              </w:rPr>
            </w:pPr>
          </w:p>
        </w:tc>
        <w:tc>
          <w:tcPr>
            <w:tcW w:w="1191" w:type="dxa"/>
          </w:tcPr>
          <w:p w14:paraId="529B80FD" w14:textId="77777777" w:rsidR="00B02873" w:rsidRPr="00B02873" w:rsidRDefault="00B02873" w:rsidP="00F17710">
            <w:pPr>
              <w:pStyle w:val="TablebodyleftFinancialsTables"/>
              <w:jc w:val="right"/>
              <w:rPr>
                <w:rFonts w:ascii="VIC Bold Italic" w:hAnsi="VIC Bold Italic" w:cs="Times New Roman"/>
              </w:rPr>
            </w:pPr>
          </w:p>
        </w:tc>
      </w:tr>
      <w:tr w:rsidR="00B02873" w:rsidRPr="00B02873" w14:paraId="47B1D79B" w14:textId="77777777" w:rsidTr="00F17710">
        <w:tc>
          <w:tcPr>
            <w:tcW w:w="7257" w:type="dxa"/>
          </w:tcPr>
          <w:p w14:paraId="326588EB" w14:textId="77777777" w:rsidR="00B02873" w:rsidRDefault="00B02873" w:rsidP="00F17710">
            <w:pPr>
              <w:pStyle w:val="TablebodyleftFinancialsTables"/>
            </w:pPr>
            <w:r>
              <w:t>Buildings and structures at fair value</w:t>
            </w:r>
          </w:p>
        </w:tc>
        <w:tc>
          <w:tcPr>
            <w:tcW w:w="1190" w:type="dxa"/>
          </w:tcPr>
          <w:p w14:paraId="7C4272EA" w14:textId="77777777" w:rsidR="00B02873" w:rsidRPr="00F17710" w:rsidRDefault="00B02873" w:rsidP="00F17710">
            <w:pPr>
              <w:pStyle w:val="TablebodyleftFinancialsTables"/>
              <w:jc w:val="right"/>
              <w:rPr>
                <w:b/>
                <w:bCs/>
              </w:rPr>
            </w:pPr>
            <w:r w:rsidRPr="00F17710">
              <w:rPr>
                <w:b/>
                <w:bCs/>
              </w:rPr>
              <w:t>740,672</w:t>
            </w:r>
          </w:p>
        </w:tc>
        <w:tc>
          <w:tcPr>
            <w:tcW w:w="1191" w:type="dxa"/>
          </w:tcPr>
          <w:p w14:paraId="1C3F6928" w14:textId="77777777" w:rsidR="00B02873" w:rsidRDefault="00B02873" w:rsidP="00F17710">
            <w:pPr>
              <w:pStyle w:val="TablebodyleftFinancialsTables"/>
              <w:jc w:val="right"/>
            </w:pPr>
            <w:r>
              <w:t>706,614</w:t>
            </w:r>
          </w:p>
        </w:tc>
      </w:tr>
      <w:tr w:rsidR="00B02873" w:rsidRPr="00B02873" w14:paraId="7C4D6047" w14:textId="77777777" w:rsidTr="00F17710">
        <w:tc>
          <w:tcPr>
            <w:tcW w:w="7257" w:type="dxa"/>
          </w:tcPr>
          <w:p w14:paraId="0CA9385E" w14:textId="77777777" w:rsidR="00B02873" w:rsidRDefault="00B02873" w:rsidP="00F17710">
            <w:pPr>
              <w:pStyle w:val="TablebodyleftFinancialsTables"/>
            </w:pPr>
            <w:r>
              <w:t xml:space="preserve">Less accumulated depreciation </w:t>
            </w:r>
          </w:p>
        </w:tc>
        <w:tc>
          <w:tcPr>
            <w:tcW w:w="1190" w:type="dxa"/>
          </w:tcPr>
          <w:p w14:paraId="52E42692" w14:textId="77777777" w:rsidR="00B02873" w:rsidRPr="00F17710" w:rsidRDefault="00B02873" w:rsidP="00F17710">
            <w:pPr>
              <w:pStyle w:val="TablebodyleftFinancialsTables"/>
              <w:jc w:val="right"/>
              <w:rPr>
                <w:b/>
                <w:bCs/>
              </w:rPr>
            </w:pPr>
            <w:r w:rsidRPr="00F17710">
              <w:rPr>
                <w:b/>
                <w:bCs/>
              </w:rPr>
              <w:t>(63,532)</w:t>
            </w:r>
          </w:p>
        </w:tc>
        <w:tc>
          <w:tcPr>
            <w:tcW w:w="1191" w:type="dxa"/>
          </w:tcPr>
          <w:p w14:paraId="15A88044" w14:textId="77777777" w:rsidR="00B02873" w:rsidRDefault="00B02873" w:rsidP="00F17710">
            <w:pPr>
              <w:pStyle w:val="TablebodyleftFinancialsTables"/>
              <w:jc w:val="right"/>
            </w:pPr>
            <w:r>
              <w:t>–</w:t>
            </w:r>
          </w:p>
        </w:tc>
      </w:tr>
      <w:tr w:rsidR="00B02873" w:rsidRPr="00B02873" w14:paraId="2F72AED9" w14:textId="77777777" w:rsidTr="00F17710">
        <w:tc>
          <w:tcPr>
            <w:tcW w:w="7257" w:type="dxa"/>
          </w:tcPr>
          <w:p w14:paraId="3F73911C" w14:textId="77777777" w:rsidR="00B02873" w:rsidRDefault="00B02873" w:rsidP="00F17710">
            <w:pPr>
              <w:pStyle w:val="TablebodyleftFinancialsTables"/>
            </w:pPr>
            <w:r>
              <w:t>Total buildings and structures (net carrying amount)</w:t>
            </w:r>
          </w:p>
        </w:tc>
        <w:tc>
          <w:tcPr>
            <w:tcW w:w="1190" w:type="dxa"/>
          </w:tcPr>
          <w:p w14:paraId="4F92A8D3" w14:textId="77777777" w:rsidR="00B02873" w:rsidRPr="00F17710" w:rsidRDefault="00B02873" w:rsidP="00F17710">
            <w:pPr>
              <w:pStyle w:val="TablebodyleftFinancialsTables"/>
              <w:jc w:val="right"/>
              <w:rPr>
                <w:b/>
                <w:bCs/>
              </w:rPr>
            </w:pPr>
            <w:r w:rsidRPr="00F17710">
              <w:rPr>
                <w:b/>
                <w:bCs/>
              </w:rPr>
              <w:t>677,140</w:t>
            </w:r>
          </w:p>
        </w:tc>
        <w:tc>
          <w:tcPr>
            <w:tcW w:w="1191" w:type="dxa"/>
          </w:tcPr>
          <w:p w14:paraId="486395B2" w14:textId="77777777" w:rsidR="00B02873" w:rsidRDefault="00B02873" w:rsidP="00F17710">
            <w:pPr>
              <w:pStyle w:val="TablebodyleftFinancialsTables"/>
              <w:jc w:val="right"/>
            </w:pPr>
            <w:r>
              <w:t>706,614</w:t>
            </w:r>
          </w:p>
        </w:tc>
      </w:tr>
      <w:tr w:rsidR="00B02873" w:rsidRPr="00B02873" w14:paraId="50866853" w14:textId="77777777" w:rsidTr="00F17710">
        <w:tc>
          <w:tcPr>
            <w:tcW w:w="7257" w:type="dxa"/>
          </w:tcPr>
          <w:p w14:paraId="5DAA84DC" w14:textId="77777777" w:rsidR="00B02873" w:rsidRDefault="00B02873" w:rsidP="00F17710">
            <w:pPr>
              <w:pStyle w:val="TablebodyleftFinancialsTables"/>
            </w:pPr>
            <w:r>
              <w:t>Right of use buildings and structures at fair value</w:t>
            </w:r>
          </w:p>
        </w:tc>
        <w:tc>
          <w:tcPr>
            <w:tcW w:w="1190" w:type="dxa"/>
          </w:tcPr>
          <w:p w14:paraId="71B7D771" w14:textId="77777777" w:rsidR="00B02873" w:rsidRPr="00F17710" w:rsidRDefault="00B02873" w:rsidP="00F17710">
            <w:pPr>
              <w:pStyle w:val="TablebodyleftFinancialsTables"/>
              <w:jc w:val="right"/>
              <w:rPr>
                <w:b/>
                <w:bCs/>
              </w:rPr>
            </w:pPr>
            <w:r w:rsidRPr="00F17710">
              <w:rPr>
                <w:b/>
                <w:bCs/>
              </w:rPr>
              <w:t>3,667</w:t>
            </w:r>
          </w:p>
        </w:tc>
        <w:tc>
          <w:tcPr>
            <w:tcW w:w="1191" w:type="dxa"/>
          </w:tcPr>
          <w:p w14:paraId="34D0FCFE" w14:textId="77777777" w:rsidR="00B02873" w:rsidRDefault="00B02873" w:rsidP="00F17710">
            <w:pPr>
              <w:pStyle w:val="TablebodyleftFinancialsTables"/>
              <w:jc w:val="right"/>
            </w:pPr>
            <w:r>
              <w:t>3,667</w:t>
            </w:r>
          </w:p>
        </w:tc>
      </w:tr>
      <w:tr w:rsidR="00B02873" w:rsidRPr="00B02873" w14:paraId="3E259B7B" w14:textId="77777777" w:rsidTr="00F17710">
        <w:tc>
          <w:tcPr>
            <w:tcW w:w="7257" w:type="dxa"/>
          </w:tcPr>
          <w:p w14:paraId="4F5D2001" w14:textId="77777777" w:rsidR="00B02873" w:rsidRDefault="00B02873" w:rsidP="00F17710">
            <w:pPr>
              <w:pStyle w:val="TablebodyleftFinancialsTables"/>
            </w:pPr>
            <w:r>
              <w:t>Less accumulated depreciation</w:t>
            </w:r>
          </w:p>
        </w:tc>
        <w:tc>
          <w:tcPr>
            <w:tcW w:w="1190" w:type="dxa"/>
          </w:tcPr>
          <w:p w14:paraId="42A196C3" w14:textId="77777777" w:rsidR="00B02873" w:rsidRPr="00F17710" w:rsidRDefault="00B02873" w:rsidP="00F17710">
            <w:pPr>
              <w:pStyle w:val="TablebodyleftFinancialsTables"/>
              <w:jc w:val="right"/>
              <w:rPr>
                <w:b/>
                <w:bCs/>
              </w:rPr>
            </w:pPr>
            <w:r w:rsidRPr="00F17710">
              <w:rPr>
                <w:b/>
                <w:bCs/>
              </w:rPr>
              <w:t>(1,820)</w:t>
            </w:r>
          </w:p>
        </w:tc>
        <w:tc>
          <w:tcPr>
            <w:tcW w:w="1191" w:type="dxa"/>
          </w:tcPr>
          <w:p w14:paraId="4C218CDB" w14:textId="77777777" w:rsidR="00B02873" w:rsidRDefault="00B02873" w:rsidP="00F17710">
            <w:pPr>
              <w:pStyle w:val="TablebodyleftFinancialsTables"/>
              <w:jc w:val="right"/>
            </w:pPr>
            <w:r>
              <w:t>(1,140)</w:t>
            </w:r>
          </w:p>
        </w:tc>
      </w:tr>
      <w:tr w:rsidR="00B02873" w:rsidRPr="00B02873" w14:paraId="169359DD" w14:textId="77777777" w:rsidTr="00F17710">
        <w:tc>
          <w:tcPr>
            <w:tcW w:w="7257" w:type="dxa"/>
          </w:tcPr>
          <w:p w14:paraId="43CA8311" w14:textId="77777777" w:rsidR="00B02873" w:rsidRDefault="00B02873" w:rsidP="00F17710">
            <w:pPr>
              <w:pStyle w:val="TablebodyleftFinancialsTables"/>
            </w:pPr>
            <w:r>
              <w:t>Total right of use building and structures (net carrying amount)</w:t>
            </w:r>
          </w:p>
        </w:tc>
        <w:tc>
          <w:tcPr>
            <w:tcW w:w="1190" w:type="dxa"/>
          </w:tcPr>
          <w:p w14:paraId="4B1304A8" w14:textId="77777777" w:rsidR="00B02873" w:rsidRPr="00F17710" w:rsidRDefault="00B02873" w:rsidP="00F17710">
            <w:pPr>
              <w:pStyle w:val="TablebodyleftFinancialsTables"/>
              <w:jc w:val="right"/>
              <w:rPr>
                <w:b/>
                <w:bCs/>
              </w:rPr>
            </w:pPr>
            <w:r w:rsidRPr="00F17710">
              <w:rPr>
                <w:b/>
                <w:bCs/>
              </w:rPr>
              <w:t>1,847</w:t>
            </w:r>
          </w:p>
        </w:tc>
        <w:tc>
          <w:tcPr>
            <w:tcW w:w="1191" w:type="dxa"/>
          </w:tcPr>
          <w:p w14:paraId="33A686EF" w14:textId="77777777" w:rsidR="00B02873" w:rsidRDefault="00B02873" w:rsidP="00F17710">
            <w:pPr>
              <w:pStyle w:val="TablebodyleftFinancialsTables"/>
              <w:jc w:val="right"/>
            </w:pPr>
            <w:r>
              <w:t>2,527</w:t>
            </w:r>
          </w:p>
        </w:tc>
      </w:tr>
      <w:tr w:rsidR="00B02873" w:rsidRPr="00B02873" w14:paraId="1B998D65" w14:textId="77777777" w:rsidTr="00F17710">
        <w:tc>
          <w:tcPr>
            <w:tcW w:w="7257" w:type="dxa"/>
          </w:tcPr>
          <w:p w14:paraId="2DEB415D" w14:textId="77777777" w:rsidR="00B02873" w:rsidRPr="00F17710" w:rsidRDefault="00B02873" w:rsidP="00F17710">
            <w:pPr>
              <w:pStyle w:val="TablebodyleftFinancialsTables"/>
              <w:rPr>
                <w:b/>
                <w:bCs/>
              </w:rPr>
            </w:pPr>
            <w:r w:rsidRPr="00F17710">
              <w:rPr>
                <w:b/>
                <w:bCs/>
              </w:rPr>
              <w:t>Total buildings and structures (net carrying amount)</w:t>
            </w:r>
          </w:p>
        </w:tc>
        <w:tc>
          <w:tcPr>
            <w:tcW w:w="1190" w:type="dxa"/>
          </w:tcPr>
          <w:p w14:paraId="35374A9A" w14:textId="77777777" w:rsidR="00B02873" w:rsidRPr="00F17710" w:rsidRDefault="00B02873" w:rsidP="00F17710">
            <w:pPr>
              <w:pStyle w:val="TablebodyleftFinancialsTables"/>
              <w:jc w:val="right"/>
              <w:rPr>
                <w:b/>
                <w:bCs/>
              </w:rPr>
            </w:pPr>
            <w:r w:rsidRPr="00F17710">
              <w:rPr>
                <w:b/>
                <w:bCs/>
              </w:rPr>
              <w:t>678,987</w:t>
            </w:r>
          </w:p>
        </w:tc>
        <w:tc>
          <w:tcPr>
            <w:tcW w:w="1191" w:type="dxa"/>
          </w:tcPr>
          <w:p w14:paraId="2535CA2B" w14:textId="77777777" w:rsidR="00B02873" w:rsidRDefault="00B02873" w:rsidP="00F17710">
            <w:pPr>
              <w:pStyle w:val="TablebodyleftFinancialsTables"/>
              <w:jc w:val="right"/>
            </w:pPr>
            <w:r>
              <w:t>709,141</w:t>
            </w:r>
          </w:p>
        </w:tc>
      </w:tr>
      <w:tr w:rsidR="00B02873" w:rsidRPr="00B02873" w14:paraId="627033F9" w14:textId="77777777" w:rsidTr="00F17710">
        <w:tc>
          <w:tcPr>
            <w:tcW w:w="7257" w:type="dxa"/>
          </w:tcPr>
          <w:p w14:paraId="6CD210E3" w14:textId="77777777" w:rsidR="00B02873" w:rsidRPr="00F17710" w:rsidRDefault="00B02873" w:rsidP="00F17710">
            <w:pPr>
              <w:pStyle w:val="TablebodyleftFinancialsTables"/>
              <w:rPr>
                <w:b/>
                <w:bCs/>
              </w:rPr>
            </w:pPr>
            <w:r w:rsidRPr="00F17710">
              <w:rPr>
                <w:b/>
                <w:bCs/>
              </w:rPr>
              <w:t>Roads</w:t>
            </w:r>
          </w:p>
        </w:tc>
        <w:tc>
          <w:tcPr>
            <w:tcW w:w="1190" w:type="dxa"/>
          </w:tcPr>
          <w:p w14:paraId="51DED351" w14:textId="77777777" w:rsidR="00B02873" w:rsidRPr="00F17710" w:rsidRDefault="00B02873" w:rsidP="00F17710">
            <w:pPr>
              <w:pStyle w:val="TablebodyleftFinancialsTables"/>
              <w:jc w:val="right"/>
              <w:rPr>
                <w:rFonts w:ascii="VIC Bold Italic" w:hAnsi="VIC Bold Italic" w:cs="Times New Roman"/>
                <w:b/>
                <w:bCs/>
              </w:rPr>
            </w:pPr>
          </w:p>
        </w:tc>
        <w:tc>
          <w:tcPr>
            <w:tcW w:w="1191" w:type="dxa"/>
          </w:tcPr>
          <w:p w14:paraId="6C5DB831" w14:textId="77777777" w:rsidR="00B02873" w:rsidRPr="00B02873" w:rsidRDefault="00B02873" w:rsidP="00F17710">
            <w:pPr>
              <w:pStyle w:val="TablebodyleftFinancialsTables"/>
              <w:jc w:val="right"/>
              <w:rPr>
                <w:rFonts w:ascii="VIC Bold Italic" w:hAnsi="VIC Bold Italic" w:cs="Times New Roman"/>
              </w:rPr>
            </w:pPr>
          </w:p>
        </w:tc>
      </w:tr>
      <w:tr w:rsidR="00B02873" w:rsidRPr="00B02873" w14:paraId="19287D13" w14:textId="77777777" w:rsidTr="00F17710">
        <w:tc>
          <w:tcPr>
            <w:tcW w:w="7257" w:type="dxa"/>
          </w:tcPr>
          <w:p w14:paraId="0586C12F" w14:textId="77777777" w:rsidR="00B02873" w:rsidRDefault="00B02873" w:rsidP="00F17710">
            <w:pPr>
              <w:pStyle w:val="TablebodyleftFinancialsTables"/>
            </w:pPr>
            <w:r>
              <w:t xml:space="preserve">At fair value </w:t>
            </w:r>
          </w:p>
        </w:tc>
        <w:tc>
          <w:tcPr>
            <w:tcW w:w="1190" w:type="dxa"/>
          </w:tcPr>
          <w:p w14:paraId="1DADE6DE" w14:textId="77777777" w:rsidR="00B02873" w:rsidRPr="00F17710" w:rsidRDefault="00B02873" w:rsidP="00F17710">
            <w:pPr>
              <w:pStyle w:val="TablebodyleftFinancialsTables"/>
              <w:jc w:val="right"/>
              <w:rPr>
                <w:b/>
                <w:bCs/>
              </w:rPr>
            </w:pPr>
            <w:r w:rsidRPr="00F17710">
              <w:rPr>
                <w:b/>
                <w:bCs/>
              </w:rPr>
              <w:t>786,434</w:t>
            </w:r>
          </w:p>
        </w:tc>
        <w:tc>
          <w:tcPr>
            <w:tcW w:w="1191" w:type="dxa"/>
          </w:tcPr>
          <w:p w14:paraId="337E8E5E" w14:textId="77777777" w:rsidR="00B02873" w:rsidRDefault="00B02873" w:rsidP="00F17710">
            <w:pPr>
              <w:pStyle w:val="TablebodyleftFinancialsTables"/>
              <w:jc w:val="right"/>
            </w:pPr>
            <w:r>
              <w:t>785,178</w:t>
            </w:r>
          </w:p>
        </w:tc>
      </w:tr>
      <w:tr w:rsidR="00B02873" w:rsidRPr="00B02873" w14:paraId="59AE6056" w14:textId="77777777" w:rsidTr="00F17710">
        <w:tc>
          <w:tcPr>
            <w:tcW w:w="7257" w:type="dxa"/>
          </w:tcPr>
          <w:p w14:paraId="4152FBF9" w14:textId="77777777" w:rsidR="00B02873" w:rsidRDefault="00B02873" w:rsidP="00F17710">
            <w:pPr>
              <w:pStyle w:val="TablebodyleftFinancialsTables"/>
            </w:pPr>
            <w:r>
              <w:t>Less accumulated depreciation</w:t>
            </w:r>
          </w:p>
        </w:tc>
        <w:tc>
          <w:tcPr>
            <w:tcW w:w="1190" w:type="dxa"/>
          </w:tcPr>
          <w:p w14:paraId="27995088" w14:textId="77777777" w:rsidR="00B02873" w:rsidRPr="00F17710" w:rsidRDefault="00B02873" w:rsidP="00F17710">
            <w:pPr>
              <w:pStyle w:val="TablebodyleftFinancialsTables"/>
              <w:jc w:val="right"/>
              <w:rPr>
                <w:b/>
                <w:bCs/>
              </w:rPr>
            </w:pPr>
            <w:r w:rsidRPr="00F17710">
              <w:rPr>
                <w:b/>
                <w:bCs/>
              </w:rPr>
              <w:t>(37,294)</w:t>
            </w:r>
          </w:p>
        </w:tc>
        <w:tc>
          <w:tcPr>
            <w:tcW w:w="1191" w:type="dxa"/>
          </w:tcPr>
          <w:p w14:paraId="3FB3396A" w14:textId="77777777" w:rsidR="00B02873" w:rsidRDefault="00B02873" w:rsidP="00F17710">
            <w:pPr>
              <w:pStyle w:val="TablebodyleftFinancialsTables"/>
              <w:jc w:val="right"/>
            </w:pPr>
            <w:r>
              <w:t>(13,238)</w:t>
            </w:r>
          </w:p>
        </w:tc>
      </w:tr>
      <w:tr w:rsidR="00B02873" w:rsidRPr="00B02873" w14:paraId="565AAE98" w14:textId="77777777" w:rsidTr="00F17710">
        <w:tc>
          <w:tcPr>
            <w:tcW w:w="7257" w:type="dxa"/>
          </w:tcPr>
          <w:p w14:paraId="11B2B25D" w14:textId="77777777" w:rsidR="00B02873" w:rsidRPr="00F17710" w:rsidRDefault="00B02873" w:rsidP="00F17710">
            <w:pPr>
              <w:pStyle w:val="TablebodyleftFinancialsTables"/>
              <w:rPr>
                <w:b/>
                <w:bCs/>
              </w:rPr>
            </w:pPr>
            <w:r w:rsidRPr="00F17710">
              <w:rPr>
                <w:b/>
                <w:bCs/>
              </w:rPr>
              <w:t>Total roads (net carrying amount)</w:t>
            </w:r>
          </w:p>
        </w:tc>
        <w:tc>
          <w:tcPr>
            <w:tcW w:w="1190" w:type="dxa"/>
          </w:tcPr>
          <w:p w14:paraId="0F715B93" w14:textId="77777777" w:rsidR="00B02873" w:rsidRPr="00F17710" w:rsidRDefault="00B02873" w:rsidP="00F17710">
            <w:pPr>
              <w:pStyle w:val="TablebodyleftFinancialsTables"/>
              <w:jc w:val="right"/>
              <w:rPr>
                <w:b/>
                <w:bCs/>
              </w:rPr>
            </w:pPr>
            <w:r w:rsidRPr="00F17710">
              <w:rPr>
                <w:b/>
                <w:bCs/>
              </w:rPr>
              <w:t>749,140</w:t>
            </w:r>
          </w:p>
        </w:tc>
        <w:tc>
          <w:tcPr>
            <w:tcW w:w="1191" w:type="dxa"/>
          </w:tcPr>
          <w:p w14:paraId="0AD2DC50" w14:textId="77777777" w:rsidR="00B02873" w:rsidRDefault="00B02873" w:rsidP="00F17710">
            <w:pPr>
              <w:pStyle w:val="TablebodyleftFinancialsTables"/>
              <w:jc w:val="right"/>
            </w:pPr>
            <w:r>
              <w:t>771,940</w:t>
            </w:r>
          </w:p>
        </w:tc>
      </w:tr>
      <w:tr w:rsidR="00B02873" w:rsidRPr="00B02873" w14:paraId="18FA2109" w14:textId="77777777" w:rsidTr="00F17710">
        <w:tc>
          <w:tcPr>
            <w:tcW w:w="7257" w:type="dxa"/>
          </w:tcPr>
          <w:p w14:paraId="6FE8ECA2" w14:textId="77777777" w:rsidR="00B02873" w:rsidRPr="00F17710" w:rsidRDefault="00B02873" w:rsidP="00F17710">
            <w:pPr>
              <w:pStyle w:val="TablebodyleftFinancialsTables"/>
              <w:rPr>
                <w:b/>
                <w:bCs/>
              </w:rPr>
            </w:pPr>
            <w:r w:rsidRPr="00F17710">
              <w:rPr>
                <w:b/>
                <w:bCs/>
              </w:rPr>
              <w:t>Plant and equipment</w:t>
            </w:r>
          </w:p>
        </w:tc>
        <w:tc>
          <w:tcPr>
            <w:tcW w:w="1190" w:type="dxa"/>
          </w:tcPr>
          <w:p w14:paraId="55CB06E0" w14:textId="77777777" w:rsidR="00B02873" w:rsidRPr="00F17710" w:rsidRDefault="00B02873" w:rsidP="00F17710">
            <w:pPr>
              <w:pStyle w:val="TablebodyleftFinancialsTables"/>
              <w:jc w:val="right"/>
              <w:rPr>
                <w:rFonts w:ascii="VIC Bold Italic" w:hAnsi="VIC Bold Italic" w:cs="Times New Roman"/>
                <w:b/>
                <w:bCs/>
              </w:rPr>
            </w:pPr>
          </w:p>
        </w:tc>
        <w:tc>
          <w:tcPr>
            <w:tcW w:w="1191" w:type="dxa"/>
          </w:tcPr>
          <w:p w14:paraId="68D39B4F" w14:textId="77777777" w:rsidR="00B02873" w:rsidRPr="00B02873" w:rsidRDefault="00B02873" w:rsidP="00F17710">
            <w:pPr>
              <w:pStyle w:val="TablebodyleftFinancialsTables"/>
              <w:jc w:val="right"/>
              <w:rPr>
                <w:rFonts w:ascii="VIC Bold Italic" w:hAnsi="VIC Bold Italic" w:cs="Times New Roman"/>
              </w:rPr>
            </w:pPr>
          </w:p>
        </w:tc>
      </w:tr>
      <w:tr w:rsidR="00B02873" w:rsidRPr="00B02873" w14:paraId="5356824D" w14:textId="77777777" w:rsidTr="00F17710">
        <w:tc>
          <w:tcPr>
            <w:tcW w:w="7257" w:type="dxa"/>
          </w:tcPr>
          <w:p w14:paraId="4ED208FF" w14:textId="77777777" w:rsidR="00B02873" w:rsidRDefault="00B02873" w:rsidP="00F17710">
            <w:pPr>
              <w:pStyle w:val="TablebodyleftFinancialsTables"/>
            </w:pPr>
            <w:r>
              <w:t>Plant and equipment at fair value</w:t>
            </w:r>
          </w:p>
        </w:tc>
        <w:tc>
          <w:tcPr>
            <w:tcW w:w="1190" w:type="dxa"/>
          </w:tcPr>
          <w:p w14:paraId="6AAFF759" w14:textId="77777777" w:rsidR="00B02873" w:rsidRPr="00F17710" w:rsidRDefault="00B02873" w:rsidP="00F17710">
            <w:pPr>
              <w:pStyle w:val="TablebodyleftFinancialsTables"/>
              <w:jc w:val="right"/>
              <w:rPr>
                <w:b/>
                <w:bCs/>
              </w:rPr>
            </w:pPr>
            <w:r w:rsidRPr="00F17710">
              <w:rPr>
                <w:b/>
                <w:bCs/>
              </w:rPr>
              <w:t>197,526</w:t>
            </w:r>
          </w:p>
        </w:tc>
        <w:tc>
          <w:tcPr>
            <w:tcW w:w="1191" w:type="dxa"/>
          </w:tcPr>
          <w:p w14:paraId="7BB113EE" w14:textId="77777777" w:rsidR="00B02873" w:rsidRDefault="00B02873" w:rsidP="00F17710">
            <w:pPr>
              <w:pStyle w:val="TablebodyleftFinancialsTables"/>
              <w:jc w:val="right"/>
            </w:pPr>
            <w:r>
              <w:t>187,024</w:t>
            </w:r>
          </w:p>
        </w:tc>
      </w:tr>
      <w:tr w:rsidR="00B02873" w:rsidRPr="00B02873" w14:paraId="30A8CA40" w14:textId="77777777" w:rsidTr="00F17710">
        <w:tc>
          <w:tcPr>
            <w:tcW w:w="7257" w:type="dxa"/>
          </w:tcPr>
          <w:p w14:paraId="38D1B318" w14:textId="77777777" w:rsidR="00B02873" w:rsidRDefault="00B02873" w:rsidP="00F17710">
            <w:pPr>
              <w:pStyle w:val="TablebodyleftFinancialsTables"/>
            </w:pPr>
            <w:r>
              <w:t>Less accumulated depreciation</w:t>
            </w:r>
          </w:p>
        </w:tc>
        <w:tc>
          <w:tcPr>
            <w:tcW w:w="1190" w:type="dxa"/>
          </w:tcPr>
          <w:p w14:paraId="5FD06181" w14:textId="77777777" w:rsidR="00B02873" w:rsidRPr="00F17710" w:rsidRDefault="00B02873" w:rsidP="00F17710">
            <w:pPr>
              <w:pStyle w:val="TablebodyleftFinancialsTables"/>
              <w:jc w:val="right"/>
              <w:rPr>
                <w:b/>
                <w:bCs/>
              </w:rPr>
            </w:pPr>
            <w:r w:rsidRPr="00F17710">
              <w:rPr>
                <w:b/>
                <w:bCs/>
              </w:rPr>
              <w:t>(129,078)</w:t>
            </w:r>
          </w:p>
        </w:tc>
        <w:tc>
          <w:tcPr>
            <w:tcW w:w="1191" w:type="dxa"/>
          </w:tcPr>
          <w:p w14:paraId="58397E22" w14:textId="77777777" w:rsidR="00B02873" w:rsidRDefault="00B02873" w:rsidP="00F17710">
            <w:pPr>
              <w:pStyle w:val="TablebodyleftFinancialsTables"/>
              <w:jc w:val="right"/>
            </w:pPr>
            <w:r>
              <w:t>(117,615)</w:t>
            </w:r>
          </w:p>
        </w:tc>
      </w:tr>
      <w:tr w:rsidR="00B02873" w:rsidRPr="00B02873" w14:paraId="303925A2" w14:textId="77777777" w:rsidTr="00F17710">
        <w:tc>
          <w:tcPr>
            <w:tcW w:w="7257" w:type="dxa"/>
          </w:tcPr>
          <w:p w14:paraId="5663C24E" w14:textId="77777777" w:rsidR="00B02873" w:rsidRDefault="00B02873" w:rsidP="00F17710">
            <w:pPr>
              <w:pStyle w:val="TablebodyleftFinancialsTables"/>
            </w:pPr>
            <w:r>
              <w:t>Total plant and equipment (net carrying amount)</w:t>
            </w:r>
          </w:p>
        </w:tc>
        <w:tc>
          <w:tcPr>
            <w:tcW w:w="1190" w:type="dxa"/>
          </w:tcPr>
          <w:p w14:paraId="4C2207FF" w14:textId="77777777" w:rsidR="00B02873" w:rsidRPr="00F17710" w:rsidRDefault="00B02873" w:rsidP="00F17710">
            <w:pPr>
              <w:pStyle w:val="TablebodyleftFinancialsTables"/>
              <w:jc w:val="right"/>
              <w:rPr>
                <w:b/>
                <w:bCs/>
              </w:rPr>
            </w:pPr>
            <w:r w:rsidRPr="00F17710">
              <w:rPr>
                <w:b/>
                <w:bCs/>
              </w:rPr>
              <w:t>68,448</w:t>
            </w:r>
          </w:p>
        </w:tc>
        <w:tc>
          <w:tcPr>
            <w:tcW w:w="1191" w:type="dxa"/>
          </w:tcPr>
          <w:p w14:paraId="50999D6C" w14:textId="77777777" w:rsidR="00B02873" w:rsidRDefault="00B02873" w:rsidP="00F17710">
            <w:pPr>
              <w:pStyle w:val="TablebodyleftFinancialsTables"/>
              <w:jc w:val="right"/>
            </w:pPr>
            <w:r>
              <w:t>69,409</w:t>
            </w:r>
          </w:p>
        </w:tc>
      </w:tr>
      <w:tr w:rsidR="00B02873" w:rsidRPr="00B02873" w14:paraId="4B0D4884" w14:textId="77777777" w:rsidTr="00F17710">
        <w:tc>
          <w:tcPr>
            <w:tcW w:w="7257" w:type="dxa"/>
          </w:tcPr>
          <w:p w14:paraId="1B6572D3" w14:textId="77777777" w:rsidR="00B02873" w:rsidRDefault="00B02873" w:rsidP="00F17710">
            <w:pPr>
              <w:pStyle w:val="TablebodyleftFinancialsTables"/>
            </w:pPr>
            <w:r>
              <w:t>Right of use plant and equipment at fair value</w:t>
            </w:r>
          </w:p>
        </w:tc>
        <w:tc>
          <w:tcPr>
            <w:tcW w:w="1190" w:type="dxa"/>
          </w:tcPr>
          <w:p w14:paraId="1DF2BA42" w14:textId="77777777" w:rsidR="00B02873" w:rsidRPr="00F17710" w:rsidRDefault="00B02873" w:rsidP="00F17710">
            <w:pPr>
              <w:pStyle w:val="TablebodyleftFinancialsTables"/>
              <w:jc w:val="right"/>
              <w:rPr>
                <w:b/>
                <w:bCs/>
              </w:rPr>
            </w:pPr>
            <w:r w:rsidRPr="00F17710">
              <w:rPr>
                <w:b/>
                <w:bCs/>
              </w:rPr>
              <w:t>74,825</w:t>
            </w:r>
          </w:p>
        </w:tc>
        <w:tc>
          <w:tcPr>
            <w:tcW w:w="1191" w:type="dxa"/>
          </w:tcPr>
          <w:p w14:paraId="03E032E6" w14:textId="77777777" w:rsidR="00B02873" w:rsidRDefault="00B02873" w:rsidP="00F17710">
            <w:pPr>
              <w:pStyle w:val="TablebodyleftFinancialsTables"/>
              <w:jc w:val="right"/>
            </w:pPr>
            <w:r>
              <w:t>70,739</w:t>
            </w:r>
          </w:p>
        </w:tc>
      </w:tr>
      <w:tr w:rsidR="00B02873" w:rsidRPr="00B02873" w14:paraId="5580739B" w14:textId="77777777" w:rsidTr="00F17710">
        <w:tc>
          <w:tcPr>
            <w:tcW w:w="7257" w:type="dxa"/>
          </w:tcPr>
          <w:p w14:paraId="57A3DB2D" w14:textId="77777777" w:rsidR="00B02873" w:rsidRDefault="00B02873" w:rsidP="00F17710">
            <w:pPr>
              <w:pStyle w:val="TablebodyleftFinancialsTables"/>
            </w:pPr>
            <w:r>
              <w:t>Less accumulated depreciation</w:t>
            </w:r>
          </w:p>
        </w:tc>
        <w:tc>
          <w:tcPr>
            <w:tcW w:w="1190" w:type="dxa"/>
          </w:tcPr>
          <w:p w14:paraId="441C246A" w14:textId="77777777" w:rsidR="00B02873" w:rsidRPr="00F17710" w:rsidRDefault="00B02873" w:rsidP="00F17710">
            <w:pPr>
              <w:pStyle w:val="TablebodyleftFinancialsTables"/>
              <w:jc w:val="right"/>
              <w:rPr>
                <w:b/>
                <w:bCs/>
              </w:rPr>
            </w:pPr>
            <w:r w:rsidRPr="00F17710">
              <w:rPr>
                <w:b/>
                <w:bCs/>
              </w:rPr>
              <w:t>(27,582)</w:t>
            </w:r>
          </w:p>
        </w:tc>
        <w:tc>
          <w:tcPr>
            <w:tcW w:w="1191" w:type="dxa"/>
          </w:tcPr>
          <w:p w14:paraId="06ADD2E6" w14:textId="77777777" w:rsidR="00B02873" w:rsidRDefault="00B02873" w:rsidP="00F17710">
            <w:pPr>
              <w:pStyle w:val="TablebodyleftFinancialsTables"/>
              <w:jc w:val="right"/>
            </w:pPr>
            <w:r>
              <w:t>(22,917)</w:t>
            </w:r>
          </w:p>
        </w:tc>
      </w:tr>
      <w:tr w:rsidR="00B02873" w:rsidRPr="00B02873" w14:paraId="045A1639" w14:textId="77777777" w:rsidTr="00F17710">
        <w:tc>
          <w:tcPr>
            <w:tcW w:w="7257" w:type="dxa"/>
          </w:tcPr>
          <w:p w14:paraId="3BDFE809" w14:textId="77777777" w:rsidR="00B02873" w:rsidRDefault="00B02873" w:rsidP="00F17710">
            <w:pPr>
              <w:pStyle w:val="TablebodyleftFinancialsTables"/>
            </w:pPr>
            <w:r>
              <w:t>Total right of use plant and equipment (net carrying amount)</w:t>
            </w:r>
          </w:p>
        </w:tc>
        <w:tc>
          <w:tcPr>
            <w:tcW w:w="1190" w:type="dxa"/>
          </w:tcPr>
          <w:p w14:paraId="17D57C3C" w14:textId="77777777" w:rsidR="00B02873" w:rsidRPr="00F17710" w:rsidRDefault="00B02873" w:rsidP="00F17710">
            <w:pPr>
              <w:pStyle w:val="TablebodyleftFinancialsTables"/>
              <w:jc w:val="right"/>
              <w:rPr>
                <w:b/>
                <w:bCs/>
              </w:rPr>
            </w:pPr>
            <w:r w:rsidRPr="00F17710">
              <w:rPr>
                <w:b/>
                <w:bCs/>
              </w:rPr>
              <w:t>47,243</w:t>
            </w:r>
          </w:p>
        </w:tc>
        <w:tc>
          <w:tcPr>
            <w:tcW w:w="1191" w:type="dxa"/>
          </w:tcPr>
          <w:p w14:paraId="740BD0E7" w14:textId="77777777" w:rsidR="00B02873" w:rsidRDefault="00B02873" w:rsidP="00F17710">
            <w:pPr>
              <w:pStyle w:val="TablebodyleftFinancialsTables"/>
              <w:jc w:val="right"/>
            </w:pPr>
            <w:r>
              <w:t>47,822</w:t>
            </w:r>
          </w:p>
        </w:tc>
      </w:tr>
      <w:tr w:rsidR="00B02873" w:rsidRPr="00B02873" w14:paraId="6F76105F" w14:textId="77777777" w:rsidTr="00F17710">
        <w:tc>
          <w:tcPr>
            <w:tcW w:w="7257" w:type="dxa"/>
          </w:tcPr>
          <w:p w14:paraId="0F133631" w14:textId="77777777" w:rsidR="00B02873" w:rsidRPr="00F17710" w:rsidRDefault="00B02873" w:rsidP="00F17710">
            <w:pPr>
              <w:pStyle w:val="TablebodyleftFinancialsTables"/>
              <w:rPr>
                <w:b/>
                <w:bCs/>
              </w:rPr>
            </w:pPr>
            <w:r w:rsidRPr="00F17710">
              <w:rPr>
                <w:b/>
                <w:bCs/>
              </w:rPr>
              <w:t>Total plant and equipment (net carrying amount)</w:t>
            </w:r>
          </w:p>
        </w:tc>
        <w:tc>
          <w:tcPr>
            <w:tcW w:w="1190" w:type="dxa"/>
          </w:tcPr>
          <w:p w14:paraId="6F12B317" w14:textId="77777777" w:rsidR="00B02873" w:rsidRPr="00F17710" w:rsidRDefault="00B02873" w:rsidP="00F17710">
            <w:pPr>
              <w:pStyle w:val="TablebodyleftFinancialsTables"/>
              <w:jc w:val="right"/>
              <w:rPr>
                <w:b/>
                <w:bCs/>
              </w:rPr>
            </w:pPr>
            <w:r w:rsidRPr="00F17710">
              <w:rPr>
                <w:b/>
                <w:bCs/>
              </w:rPr>
              <w:t>115,691</w:t>
            </w:r>
          </w:p>
        </w:tc>
        <w:tc>
          <w:tcPr>
            <w:tcW w:w="1191" w:type="dxa"/>
          </w:tcPr>
          <w:p w14:paraId="3B6D6986" w14:textId="77777777" w:rsidR="00B02873" w:rsidRDefault="00B02873" w:rsidP="00F17710">
            <w:pPr>
              <w:pStyle w:val="TablebodyleftFinancialsTables"/>
              <w:jc w:val="right"/>
            </w:pPr>
            <w:r>
              <w:t>117,231</w:t>
            </w:r>
          </w:p>
        </w:tc>
      </w:tr>
      <w:tr w:rsidR="00B02873" w:rsidRPr="00B02873" w14:paraId="36516BC8" w14:textId="77777777" w:rsidTr="00F17710">
        <w:tc>
          <w:tcPr>
            <w:tcW w:w="7257" w:type="dxa"/>
          </w:tcPr>
          <w:p w14:paraId="1F5EEC6C" w14:textId="77777777" w:rsidR="00B02873" w:rsidRPr="00F17710" w:rsidRDefault="00B02873" w:rsidP="00F17710">
            <w:pPr>
              <w:pStyle w:val="TablebodyleftFinancialsTables"/>
              <w:rPr>
                <w:b/>
                <w:bCs/>
              </w:rPr>
            </w:pPr>
            <w:r w:rsidRPr="00F17710">
              <w:rPr>
                <w:b/>
                <w:bCs/>
              </w:rPr>
              <w:t>Assets under construction at cost</w:t>
            </w:r>
          </w:p>
        </w:tc>
        <w:tc>
          <w:tcPr>
            <w:tcW w:w="1190" w:type="dxa"/>
          </w:tcPr>
          <w:p w14:paraId="17A0B1E5" w14:textId="77777777" w:rsidR="00B02873" w:rsidRPr="00F17710" w:rsidRDefault="00B02873" w:rsidP="00F17710">
            <w:pPr>
              <w:pStyle w:val="TablebodyleftFinancialsTables"/>
              <w:jc w:val="right"/>
              <w:rPr>
                <w:rFonts w:ascii="VIC Bold Italic" w:hAnsi="VIC Bold Italic" w:cs="Times New Roman"/>
                <w:b/>
                <w:bCs/>
              </w:rPr>
            </w:pPr>
          </w:p>
        </w:tc>
        <w:tc>
          <w:tcPr>
            <w:tcW w:w="1191" w:type="dxa"/>
          </w:tcPr>
          <w:p w14:paraId="0AD55CAF" w14:textId="77777777" w:rsidR="00B02873" w:rsidRPr="00B02873" w:rsidRDefault="00B02873" w:rsidP="00F17710">
            <w:pPr>
              <w:pStyle w:val="TablebodyleftFinancialsTables"/>
              <w:jc w:val="right"/>
              <w:rPr>
                <w:rFonts w:ascii="VIC Bold Italic" w:hAnsi="VIC Bold Italic" w:cs="Times New Roman"/>
              </w:rPr>
            </w:pPr>
          </w:p>
        </w:tc>
      </w:tr>
      <w:tr w:rsidR="00B02873" w:rsidRPr="00B02873" w14:paraId="0CC76F82" w14:textId="77777777" w:rsidTr="00F17710">
        <w:tc>
          <w:tcPr>
            <w:tcW w:w="7257" w:type="dxa"/>
          </w:tcPr>
          <w:p w14:paraId="6CA0B910" w14:textId="77777777" w:rsidR="00B02873" w:rsidRDefault="00B02873" w:rsidP="00F17710">
            <w:pPr>
              <w:pStyle w:val="TablebodyleftFinancialsTables"/>
            </w:pPr>
            <w:r>
              <w:t>Buildings and structures</w:t>
            </w:r>
          </w:p>
        </w:tc>
        <w:tc>
          <w:tcPr>
            <w:tcW w:w="1190" w:type="dxa"/>
          </w:tcPr>
          <w:p w14:paraId="6CE879BF" w14:textId="77777777" w:rsidR="00B02873" w:rsidRPr="00F17710" w:rsidRDefault="00B02873" w:rsidP="00F17710">
            <w:pPr>
              <w:pStyle w:val="TablebodyleftFinancialsTables"/>
              <w:jc w:val="right"/>
              <w:rPr>
                <w:b/>
                <w:bCs/>
              </w:rPr>
            </w:pPr>
            <w:r w:rsidRPr="00F17710">
              <w:rPr>
                <w:b/>
                <w:bCs/>
              </w:rPr>
              <w:t>51,875</w:t>
            </w:r>
          </w:p>
        </w:tc>
        <w:tc>
          <w:tcPr>
            <w:tcW w:w="1191" w:type="dxa"/>
          </w:tcPr>
          <w:p w14:paraId="2D93739F" w14:textId="77777777" w:rsidR="00B02873" w:rsidRDefault="00B02873" w:rsidP="00F17710">
            <w:pPr>
              <w:pStyle w:val="TablebodyleftFinancialsTables"/>
              <w:jc w:val="right"/>
            </w:pPr>
            <w:r>
              <w:t>52,151</w:t>
            </w:r>
          </w:p>
        </w:tc>
      </w:tr>
      <w:tr w:rsidR="00B02873" w:rsidRPr="00B02873" w14:paraId="5C9B4155" w14:textId="77777777" w:rsidTr="00F17710">
        <w:tc>
          <w:tcPr>
            <w:tcW w:w="7257" w:type="dxa"/>
          </w:tcPr>
          <w:p w14:paraId="5A0D9269" w14:textId="77777777" w:rsidR="00B02873" w:rsidRDefault="00B02873" w:rsidP="00F17710">
            <w:pPr>
              <w:pStyle w:val="TablebodyleftFinancialsTables"/>
            </w:pPr>
            <w:r>
              <w:t>Plant and equipment</w:t>
            </w:r>
          </w:p>
        </w:tc>
        <w:tc>
          <w:tcPr>
            <w:tcW w:w="1190" w:type="dxa"/>
          </w:tcPr>
          <w:p w14:paraId="55B6AB39" w14:textId="77777777" w:rsidR="00B02873" w:rsidRPr="00F17710" w:rsidRDefault="00B02873" w:rsidP="00F17710">
            <w:pPr>
              <w:pStyle w:val="TablebodyleftFinancialsTables"/>
              <w:jc w:val="right"/>
              <w:rPr>
                <w:b/>
                <w:bCs/>
              </w:rPr>
            </w:pPr>
            <w:r w:rsidRPr="00F17710">
              <w:rPr>
                <w:b/>
                <w:bCs/>
              </w:rPr>
              <w:t>16,767</w:t>
            </w:r>
          </w:p>
        </w:tc>
        <w:tc>
          <w:tcPr>
            <w:tcW w:w="1191" w:type="dxa"/>
          </w:tcPr>
          <w:p w14:paraId="5BD384D2" w14:textId="77777777" w:rsidR="00B02873" w:rsidRDefault="00B02873" w:rsidP="00F17710">
            <w:pPr>
              <w:pStyle w:val="TablebodyleftFinancialsTables"/>
              <w:jc w:val="right"/>
            </w:pPr>
            <w:r>
              <w:t>23,141</w:t>
            </w:r>
          </w:p>
        </w:tc>
      </w:tr>
      <w:tr w:rsidR="00B02873" w:rsidRPr="00B02873" w14:paraId="78B9FF05" w14:textId="77777777" w:rsidTr="00F17710">
        <w:tc>
          <w:tcPr>
            <w:tcW w:w="7257" w:type="dxa"/>
          </w:tcPr>
          <w:p w14:paraId="4B2639F0" w14:textId="77777777" w:rsidR="00B02873" w:rsidRDefault="00B02873" w:rsidP="00F17710">
            <w:pPr>
              <w:pStyle w:val="TablebodyleftFinancialsTables"/>
            </w:pPr>
            <w:r>
              <w:t>Roads</w:t>
            </w:r>
          </w:p>
        </w:tc>
        <w:tc>
          <w:tcPr>
            <w:tcW w:w="1190" w:type="dxa"/>
          </w:tcPr>
          <w:p w14:paraId="148980C9" w14:textId="77777777" w:rsidR="00B02873" w:rsidRPr="00F17710" w:rsidRDefault="00B02873" w:rsidP="00F17710">
            <w:pPr>
              <w:pStyle w:val="TablebodyleftFinancialsTables"/>
              <w:jc w:val="right"/>
              <w:rPr>
                <w:b/>
                <w:bCs/>
              </w:rPr>
            </w:pPr>
            <w:r w:rsidRPr="00F17710">
              <w:rPr>
                <w:b/>
                <w:bCs/>
              </w:rPr>
              <w:t>2,720</w:t>
            </w:r>
          </w:p>
        </w:tc>
        <w:tc>
          <w:tcPr>
            <w:tcW w:w="1191" w:type="dxa"/>
          </w:tcPr>
          <w:p w14:paraId="7A1E5544" w14:textId="77777777" w:rsidR="00B02873" w:rsidRDefault="00B02873" w:rsidP="00F17710">
            <w:pPr>
              <w:pStyle w:val="TablebodyleftFinancialsTables"/>
              <w:jc w:val="right"/>
            </w:pPr>
            <w:r>
              <w:t>40</w:t>
            </w:r>
          </w:p>
        </w:tc>
      </w:tr>
      <w:tr w:rsidR="00B02873" w:rsidRPr="00B02873" w14:paraId="69AFFE35" w14:textId="77777777" w:rsidTr="00F17710">
        <w:tc>
          <w:tcPr>
            <w:tcW w:w="7257" w:type="dxa"/>
          </w:tcPr>
          <w:p w14:paraId="1279639F" w14:textId="77777777" w:rsidR="00B02873" w:rsidRPr="00F17710" w:rsidRDefault="00B02873" w:rsidP="00F17710">
            <w:pPr>
              <w:pStyle w:val="TablebodyleftFinancialsTables"/>
              <w:rPr>
                <w:b/>
                <w:bCs/>
              </w:rPr>
            </w:pPr>
            <w:r w:rsidRPr="00F17710">
              <w:rPr>
                <w:b/>
                <w:bCs/>
              </w:rPr>
              <w:lastRenderedPageBreak/>
              <w:t>Total assets under construction at cost</w:t>
            </w:r>
          </w:p>
        </w:tc>
        <w:tc>
          <w:tcPr>
            <w:tcW w:w="1190" w:type="dxa"/>
          </w:tcPr>
          <w:p w14:paraId="55EF8787" w14:textId="77777777" w:rsidR="00B02873" w:rsidRPr="00F17710" w:rsidRDefault="00B02873" w:rsidP="00F17710">
            <w:pPr>
              <w:pStyle w:val="TablebodyleftFinancialsTables"/>
              <w:jc w:val="right"/>
              <w:rPr>
                <w:b/>
                <w:bCs/>
              </w:rPr>
            </w:pPr>
            <w:r w:rsidRPr="00F17710">
              <w:rPr>
                <w:b/>
                <w:bCs/>
              </w:rPr>
              <w:t>71,362</w:t>
            </w:r>
          </w:p>
        </w:tc>
        <w:tc>
          <w:tcPr>
            <w:tcW w:w="1191" w:type="dxa"/>
          </w:tcPr>
          <w:p w14:paraId="612F2BCB" w14:textId="77777777" w:rsidR="00B02873" w:rsidRDefault="00B02873" w:rsidP="00F17710">
            <w:pPr>
              <w:pStyle w:val="TablebodyleftFinancialsTables"/>
              <w:jc w:val="right"/>
            </w:pPr>
            <w:r>
              <w:t>75,332</w:t>
            </w:r>
          </w:p>
        </w:tc>
      </w:tr>
      <w:tr w:rsidR="00B02873" w:rsidRPr="00B02873" w14:paraId="7685FF81" w14:textId="77777777" w:rsidTr="00F17710">
        <w:tc>
          <w:tcPr>
            <w:tcW w:w="7257" w:type="dxa"/>
          </w:tcPr>
          <w:p w14:paraId="1FB833F0" w14:textId="77777777" w:rsidR="00B02873" w:rsidRPr="00F17710" w:rsidRDefault="00B02873" w:rsidP="00F17710">
            <w:pPr>
              <w:pStyle w:val="TablebodyleftFinancialsTables"/>
              <w:rPr>
                <w:b/>
                <w:bCs/>
              </w:rPr>
            </w:pPr>
            <w:r w:rsidRPr="00F17710">
              <w:rPr>
                <w:b/>
                <w:bCs/>
              </w:rPr>
              <w:t>Historic and cultural assets</w:t>
            </w:r>
          </w:p>
        </w:tc>
        <w:tc>
          <w:tcPr>
            <w:tcW w:w="1190" w:type="dxa"/>
          </w:tcPr>
          <w:p w14:paraId="78AD3B40" w14:textId="77777777" w:rsidR="00B02873" w:rsidRPr="00F17710" w:rsidRDefault="00B02873" w:rsidP="00F17710">
            <w:pPr>
              <w:pStyle w:val="TablebodyleftFinancialsTables"/>
              <w:jc w:val="right"/>
              <w:rPr>
                <w:rFonts w:ascii="VIC Bold Italic" w:hAnsi="VIC Bold Italic" w:cs="Times New Roman"/>
                <w:b/>
                <w:bCs/>
              </w:rPr>
            </w:pPr>
          </w:p>
        </w:tc>
        <w:tc>
          <w:tcPr>
            <w:tcW w:w="1191" w:type="dxa"/>
          </w:tcPr>
          <w:p w14:paraId="28C707E1" w14:textId="77777777" w:rsidR="00B02873" w:rsidRPr="00B02873" w:rsidRDefault="00B02873" w:rsidP="00F17710">
            <w:pPr>
              <w:pStyle w:val="TablebodyleftFinancialsTables"/>
              <w:jc w:val="right"/>
              <w:rPr>
                <w:rFonts w:ascii="VIC Bold Italic" w:hAnsi="VIC Bold Italic" w:cs="Times New Roman"/>
              </w:rPr>
            </w:pPr>
          </w:p>
        </w:tc>
      </w:tr>
      <w:tr w:rsidR="00B02873" w:rsidRPr="00B02873" w14:paraId="66979849" w14:textId="77777777" w:rsidTr="00F17710">
        <w:tc>
          <w:tcPr>
            <w:tcW w:w="7257" w:type="dxa"/>
          </w:tcPr>
          <w:p w14:paraId="0DA7DD9F" w14:textId="77777777" w:rsidR="00B02873" w:rsidRDefault="00B02873" w:rsidP="00F17710">
            <w:pPr>
              <w:pStyle w:val="TablebodyleftFinancialsTables"/>
            </w:pPr>
            <w:r>
              <w:t>At fair value</w:t>
            </w:r>
          </w:p>
        </w:tc>
        <w:tc>
          <w:tcPr>
            <w:tcW w:w="1190" w:type="dxa"/>
          </w:tcPr>
          <w:p w14:paraId="7BEDC3A5" w14:textId="77777777" w:rsidR="00B02873" w:rsidRPr="00F17710" w:rsidRDefault="00B02873" w:rsidP="00F17710">
            <w:pPr>
              <w:pStyle w:val="TablebodyleftFinancialsTables"/>
              <w:jc w:val="right"/>
              <w:rPr>
                <w:b/>
                <w:bCs/>
              </w:rPr>
            </w:pPr>
            <w:r w:rsidRPr="00F17710">
              <w:rPr>
                <w:b/>
                <w:bCs/>
              </w:rPr>
              <w:t>4,530</w:t>
            </w:r>
          </w:p>
        </w:tc>
        <w:tc>
          <w:tcPr>
            <w:tcW w:w="1191" w:type="dxa"/>
          </w:tcPr>
          <w:p w14:paraId="6B779B8E" w14:textId="77777777" w:rsidR="00B02873" w:rsidRDefault="00B02873" w:rsidP="00F17710">
            <w:pPr>
              <w:pStyle w:val="TablebodyleftFinancialsTables"/>
              <w:jc w:val="right"/>
            </w:pPr>
            <w:r>
              <w:t>4,530</w:t>
            </w:r>
          </w:p>
        </w:tc>
      </w:tr>
      <w:tr w:rsidR="00B02873" w:rsidRPr="00B02873" w14:paraId="15DED333" w14:textId="77777777" w:rsidTr="00F17710">
        <w:tc>
          <w:tcPr>
            <w:tcW w:w="7257" w:type="dxa"/>
          </w:tcPr>
          <w:p w14:paraId="60BA128B" w14:textId="77777777" w:rsidR="00B02873" w:rsidRPr="00F17710" w:rsidRDefault="00B02873" w:rsidP="00F17710">
            <w:pPr>
              <w:pStyle w:val="TablebodyleftFinancialsTables"/>
              <w:rPr>
                <w:b/>
                <w:bCs/>
              </w:rPr>
            </w:pPr>
            <w:r w:rsidRPr="00F17710">
              <w:rPr>
                <w:b/>
                <w:bCs/>
              </w:rPr>
              <w:t>Total historic and cultural assets</w:t>
            </w:r>
          </w:p>
        </w:tc>
        <w:tc>
          <w:tcPr>
            <w:tcW w:w="1190" w:type="dxa"/>
          </w:tcPr>
          <w:p w14:paraId="5D663928" w14:textId="7376A94D" w:rsidR="00B02873" w:rsidRPr="00F17710" w:rsidRDefault="00B02873" w:rsidP="00F17710">
            <w:pPr>
              <w:pStyle w:val="TablebodyleftFinancialsTables"/>
              <w:jc w:val="right"/>
              <w:rPr>
                <w:b/>
                <w:bCs/>
              </w:rPr>
            </w:pPr>
            <w:r w:rsidRPr="00F17710">
              <w:rPr>
                <w:b/>
                <w:bCs/>
              </w:rPr>
              <w:t>4,530</w:t>
            </w:r>
            <w:r w:rsidR="00012C04" w:rsidRPr="00F17710">
              <w:rPr>
                <w:b/>
                <w:bCs/>
              </w:rPr>
              <w:t xml:space="preserve">                                               </w:t>
            </w:r>
          </w:p>
        </w:tc>
        <w:tc>
          <w:tcPr>
            <w:tcW w:w="1191" w:type="dxa"/>
          </w:tcPr>
          <w:p w14:paraId="35ABAB7E" w14:textId="7A34DC5F" w:rsidR="00B02873" w:rsidRDefault="00B02873" w:rsidP="00F17710">
            <w:pPr>
              <w:pStyle w:val="TablebodyleftFinancialsTables"/>
              <w:jc w:val="right"/>
            </w:pPr>
            <w:r>
              <w:t>4,530</w:t>
            </w:r>
            <w:r w:rsidR="00012C04">
              <w:t xml:space="preserve">                                               </w:t>
            </w:r>
            <w:r>
              <w:t xml:space="preserve"> </w:t>
            </w:r>
          </w:p>
        </w:tc>
      </w:tr>
      <w:tr w:rsidR="00B02873" w:rsidRPr="00B02873" w14:paraId="6F26AA57" w14:textId="77777777" w:rsidTr="00F17710">
        <w:tc>
          <w:tcPr>
            <w:tcW w:w="7257" w:type="dxa"/>
          </w:tcPr>
          <w:p w14:paraId="2058F783" w14:textId="77777777" w:rsidR="00B02873" w:rsidRPr="00F17710" w:rsidRDefault="00B02873" w:rsidP="00F17710">
            <w:pPr>
              <w:pStyle w:val="TablebodyleftFinancialsTables"/>
              <w:rPr>
                <w:b/>
                <w:bCs/>
              </w:rPr>
            </w:pPr>
            <w:r w:rsidRPr="00F17710">
              <w:rPr>
                <w:b/>
                <w:bCs/>
              </w:rPr>
              <w:t>Total property, plant and equipment (net carrying amount)</w:t>
            </w:r>
          </w:p>
        </w:tc>
        <w:tc>
          <w:tcPr>
            <w:tcW w:w="1190" w:type="dxa"/>
          </w:tcPr>
          <w:p w14:paraId="101C27F9" w14:textId="77777777" w:rsidR="00B02873" w:rsidRPr="00F17710" w:rsidRDefault="00B02873" w:rsidP="00F17710">
            <w:pPr>
              <w:pStyle w:val="TablebodyleftFinancialsTables"/>
              <w:jc w:val="right"/>
              <w:rPr>
                <w:b/>
                <w:bCs/>
              </w:rPr>
            </w:pPr>
            <w:r w:rsidRPr="00F17710">
              <w:rPr>
                <w:b/>
                <w:bCs/>
              </w:rPr>
              <w:t>9,251,912</w:t>
            </w:r>
          </w:p>
        </w:tc>
        <w:tc>
          <w:tcPr>
            <w:tcW w:w="1191" w:type="dxa"/>
          </w:tcPr>
          <w:p w14:paraId="23362498" w14:textId="77777777" w:rsidR="00B02873" w:rsidRDefault="00B02873" w:rsidP="00F17710">
            <w:pPr>
              <w:pStyle w:val="TablebodyleftFinancialsTables"/>
              <w:jc w:val="right"/>
            </w:pPr>
            <w:r>
              <w:t>7,991,729</w:t>
            </w:r>
          </w:p>
        </w:tc>
      </w:tr>
    </w:tbl>
    <w:p w14:paraId="3961C49E" w14:textId="77777777" w:rsidR="00B02873" w:rsidRDefault="00B02873" w:rsidP="00FE198A"/>
    <w:p w14:paraId="2A351D13" w14:textId="77777777" w:rsidR="00F17710" w:rsidRDefault="00F17710" w:rsidP="00F17710">
      <w:pPr>
        <w:pStyle w:val="Heading4"/>
        <w:sectPr w:rsidR="00F17710" w:rsidSect="000C0438">
          <w:pgSz w:w="11906" w:h="16838" w:code="9"/>
          <w:pgMar w:top="1134" w:right="1134" w:bottom="1134" w:left="1134" w:header="720" w:footer="720" w:gutter="0"/>
          <w:cols w:space="720"/>
          <w:noEndnote/>
        </w:sectPr>
      </w:pPr>
    </w:p>
    <w:p w14:paraId="57218FC4" w14:textId="68B606F0" w:rsidR="00B02873" w:rsidRDefault="00B02873" w:rsidP="00F17710">
      <w:pPr>
        <w:pStyle w:val="Heading4"/>
      </w:pPr>
      <w:r>
        <w:lastRenderedPageBreak/>
        <w:t xml:space="preserve">5.1.1 Reconciliation of movements in carrying values </w:t>
      </w:r>
    </w:p>
    <w:tbl>
      <w:tblPr>
        <w:tblStyle w:val="TableGrid"/>
        <w:tblW w:w="15239" w:type="dxa"/>
        <w:tblLayout w:type="fixed"/>
        <w:tblLook w:val="0020" w:firstRow="1" w:lastRow="0" w:firstColumn="0" w:lastColumn="0" w:noHBand="0" w:noVBand="0"/>
      </w:tblPr>
      <w:tblGrid>
        <w:gridCol w:w="1413"/>
        <w:gridCol w:w="794"/>
        <w:gridCol w:w="903"/>
        <w:gridCol w:w="793"/>
        <w:gridCol w:w="908"/>
        <w:gridCol w:w="794"/>
        <w:gridCol w:w="793"/>
        <w:gridCol w:w="964"/>
        <w:gridCol w:w="851"/>
        <w:gridCol w:w="850"/>
        <w:gridCol w:w="851"/>
        <w:gridCol w:w="855"/>
        <w:gridCol w:w="907"/>
        <w:gridCol w:w="903"/>
        <w:gridCol w:w="992"/>
        <w:gridCol w:w="794"/>
        <w:gridCol w:w="874"/>
      </w:tblGrid>
      <w:tr w:rsidR="00B02873" w:rsidRPr="00095C7F" w14:paraId="0DB045FE" w14:textId="77777777" w:rsidTr="0090537F">
        <w:trPr>
          <w:cnfStyle w:val="100000000000" w:firstRow="1" w:lastRow="0" w:firstColumn="0" w:lastColumn="0" w:oddVBand="0" w:evenVBand="0" w:oddHBand="0" w:evenHBand="0" w:firstRowFirstColumn="0" w:firstRowLastColumn="0" w:lastRowFirstColumn="0" w:lastRowLastColumn="0"/>
          <w:tblHeader/>
        </w:trPr>
        <w:tc>
          <w:tcPr>
            <w:tcW w:w="1413" w:type="dxa"/>
          </w:tcPr>
          <w:p w14:paraId="3D954538" w14:textId="77777777" w:rsidR="00B02873" w:rsidRPr="00095C7F" w:rsidRDefault="00B02873" w:rsidP="00F17710">
            <w:pPr>
              <w:pStyle w:val="TableheadingleftFinancialsTables"/>
              <w:rPr>
                <w:sz w:val="16"/>
              </w:rPr>
            </w:pPr>
          </w:p>
        </w:tc>
        <w:tc>
          <w:tcPr>
            <w:tcW w:w="794" w:type="dxa"/>
          </w:tcPr>
          <w:p w14:paraId="228D4837" w14:textId="77777777" w:rsidR="00B02873" w:rsidRPr="00095C7F" w:rsidRDefault="00B02873" w:rsidP="00095C7F">
            <w:pPr>
              <w:pStyle w:val="TableheadingleftFinancialsTables"/>
              <w:jc w:val="right"/>
              <w:rPr>
                <w:sz w:val="16"/>
              </w:rPr>
            </w:pPr>
            <w:r w:rsidRPr="00095C7F">
              <w:rPr>
                <w:spacing w:val="-1"/>
                <w:sz w:val="16"/>
              </w:rPr>
              <w:t xml:space="preserve">Freehold </w:t>
            </w:r>
            <w:r w:rsidRPr="00095C7F">
              <w:rPr>
                <w:spacing w:val="-1"/>
                <w:sz w:val="16"/>
              </w:rPr>
              <w:br/>
              <w:t>land</w:t>
            </w:r>
            <w:r w:rsidRPr="00095C7F">
              <w:rPr>
                <w:spacing w:val="-1"/>
                <w:sz w:val="16"/>
              </w:rPr>
              <w:br/>
              <w:t>$’000</w:t>
            </w:r>
          </w:p>
        </w:tc>
        <w:tc>
          <w:tcPr>
            <w:tcW w:w="903" w:type="dxa"/>
          </w:tcPr>
          <w:p w14:paraId="21183BC7" w14:textId="77777777" w:rsidR="00B02873" w:rsidRPr="00095C7F" w:rsidRDefault="00B02873" w:rsidP="00095C7F">
            <w:pPr>
              <w:pStyle w:val="TableheadingleftFinancialsTables"/>
              <w:jc w:val="right"/>
              <w:rPr>
                <w:sz w:val="16"/>
              </w:rPr>
            </w:pPr>
            <w:r w:rsidRPr="00095C7F">
              <w:rPr>
                <w:spacing w:val="-1"/>
                <w:sz w:val="16"/>
              </w:rPr>
              <w:t xml:space="preserve">Land and </w:t>
            </w:r>
            <w:r w:rsidRPr="00095C7F">
              <w:rPr>
                <w:spacing w:val="-1"/>
                <w:sz w:val="16"/>
              </w:rPr>
              <w:br/>
              <w:t>unused roads</w:t>
            </w:r>
            <w:r w:rsidRPr="00095C7F">
              <w:rPr>
                <w:spacing w:val="-1"/>
                <w:sz w:val="16"/>
              </w:rPr>
              <w:br/>
              <w:t>$’000</w:t>
            </w:r>
          </w:p>
        </w:tc>
        <w:tc>
          <w:tcPr>
            <w:tcW w:w="793" w:type="dxa"/>
          </w:tcPr>
          <w:p w14:paraId="39B9F3F2" w14:textId="77777777" w:rsidR="00B02873" w:rsidRPr="00095C7F" w:rsidRDefault="00B02873" w:rsidP="00095C7F">
            <w:pPr>
              <w:pStyle w:val="TableheadingleftFinancialsTables"/>
              <w:jc w:val="right"/>
              <w:rPr>
                <w:sz w:val="16"/>
              </w:rPr>
            </w:pPr>
            <w:r w:rsidRPr="00095C7F">
              <w:rPr>
                <w:spacing w:val="-1"/>
                <w:sz w:val="16"/>
              </w:rPr>
              <w:t xml:space="preserve">National </w:t>
            </w:r>
            <w:r w:rsidRPr="00095C7F">
              <w:rPr>
                <w:spacing w:val="-1"/>
                <w:sz w:val="16"/>
              </w:rPr>
              <w:br/>
              <w:t>parks</w:t>
            </w:r>
            <w:r w:rsidRPr="00095C7F">
              <w:rPr>
                <w:spacing w:val="-1"/>
                <w:sz w:val="16"/>
              </w:rPr>
              <w:br/>
              <w:t>$’000</w:t>
            </w:r>
          </w:p>
        </w:tc>
        <w:tc>
          <w:tcPr>
            <w:tcW w:w="908" w:type="dxa"/>
          </w:tcPr>
          <w:p w14:paraId="2DD05CAA" w14:textId="77777777" w:rsidR="00B02873" w:rsidRPr="00095C7F" w:rsidRDefault="00B02873" w:rsidP="00095C7F">
            <w:pPr>
              <w:pStyle w:val="TableheadingleftFinancialsTables"/>
              <w:jc w:val="right"/>
              <w:rPr>
                <w:sz w:val="16"/>
              </w:rPr>
            </w:pPr>
            <w:r w:rsidRPr="00095C7F">
              <w:rPr>
                <w:spacing w:val="-1"/>
                <w:sz w:val="16"/>
              </w:rPr>
              <w:t xml:space="preserve">State </w:t>
            </w:r>
            <w:r w:rsidRPr="00095C7F">
              <w:rPr>
                <w:spacing w:val="-1"/>
                <w:sz w:val="16"/>
              </w:rPr>
              <w:br/>
              <w:t>forests</w:t>
            </w:r>
            <w:r w:rsidRPr="00095C7F">
              <w:rPr>
                <w:spacing w:val="-1"/>
                <w:sz w:val="16"/>
              </w:rPr>
              <w:br/>
              <w:t>$’000</w:t>
            </w:r>
          </w:p>
        </w:tc>
        <w:tc>
          <w:tcPr>
            <w:tcW w:w="794" w:type="dxa"/>
          </w:tcPr>
          <w:p w14:paraId="2D7F9FC1" w14:textId="77777777" w:rsidR="00B02873" w:rsidRPr="00095C7F" w:rsidRDefault="00B02873" w:rsidP="00095C7F">
            <w:pPr>
              <w:pStyle w:val="TableheadingleftFinancialsTables"/>
              <w:jc w:val="right"/>
              <w:rPr>
                <w:sz w:val="16"/>
              </w:rPr>
            </w:pPr>
            <w:r w:rsidRPr="00095C7F">
              <w:rPr>
                <w:spacing w:val="-4"/>
                <w:sz w:val="16"/>
              </w:rPr>
              <w:t>Conservation reserves</w:t>
            </w:r>
            <w:r w:rsidRPr="00095C7F">
              <w:rPr>
                <w:spacing w:val="-4"/>
                <w:sz w:val="16"/>
              </w:rPr>
              <w:br/>
            </w:r>
            <w:r w:rsidRPr="00095C7F">
              <w:rPr>
                <w:spacing w:val="-1"/>
                <w:sz w:val="16"/>
              </w:rPr>
              <w:t>$’000</w:t>
            </w:r>
          </w:p>
        </w:tc>
        <w:tc>
          <w:tcPr>
            <w:tcW w:w="793" w:type="dxa"/>
          </w:tcPr>
          <w:p w14:paraId="14207938" w14:textId="77777777" w:rsidR="00B02873" w:rsidRPr="00095C7F" w:rsidRDefault="00B02873" w:rsidP="00095C7F">
            <w:pPr>
              <w:pStyle w:val="TableheadingleftFinancialsTables"/>
              <w:jc w:val="right"/>
              <w:rPr>
                <w:sz w:val="16"/>
              </w:rPr>
            </w:pPr>
            <w:r w:rsidRPr="00095C7F">
              <w:rPr>
                <w:spacing w:val="-7"/>
                <w:sz w:val="16"/>
              </w:rPr>
              <w:t>Metro-</w:t>
            </w:r>
            <w:r w:rsidRPr="00095C7F">
              <w:rPr>
                <w:spacing w:val="-7"/>
                <w:sz w:val="16"/>
              </w:rPr>
              <w:br/>
              <w:t xml:space="preserve">politan </w:t>
            </w:r>
            <w:r w:rsidRPr="00095C7F">
              <w:rPr>
                <w:spacing w:val="-7"/>
                <w:sz w:val="16"/>
              </w:rPr>
              <w:br/>
              <w:t>parks</w:t>
            </w:r>
            <w:r w:rsidRPr="00095C7F">
              <w:rPr>
                <w:spacing w:val="-7"/>
                <w:sz w:val="16"/>
              </w:rPr>
              <w:br/>
              <w:t>$’000</w:t>
            </w:r>
          </w:p>
        </w:tc>
        <w:tc>
          <w:tcPr>
            <w:tcW w:w="964" w:type="dxa"/>
          </w:tcPr>
          <w:p w14:paraId="3CD72579" w14:textId="77777777" w:rsidR="00B02873" w:rsidRPr="00095C7F" w:rsidRDefault="00B02873" w:rsidP="00095C7F">
            <w:pPr>
              <w:pStyle w:val="TableheadingleftFinancialsTables"/>
              <w:jc w:val="right"/>
              <w:rPr>
                <w:sz w:val="16"/>
              </w:rPr>
            </w:pPr>
            <w:r w:rsidRPr="00095C7F">
              <w:rPr>
                <w:spacing w:val="-9"/>
                <w:sz w:val="16"/>
              </w:rPr>
              <w:t xml:space="preserve">Land </w:t>
            </w:r>
            <w:r w:rsidRPr="00095C7F">
              <w:rPr>
                <w:spacing w:val="-9"/>
                <w:sz w:val="16"/>
              </w:rPr>
              <w:br/>
              <w:t xml:space="preserve">used for </w:t>
            </w:r>
            <w:r w:rsidRPr="00095C7F">
              <w:rPr>
                <w:spacing w:val="-9"/>
                <w:sz w:val="16"/>
              </w:rPr>
              <w:br/>
              <w:t xml:space="preserve">operational </w:t>
            </w:r>
            <w:r w:rsidRPr="00095C7F">
              <w:rPr>
                <w:spacing w:val="-9"/>
                <w:sz w:val="16"/>
              </w:rPr>
              <w:br/>
              <w:t>purposes</w:t>
            </w:r>
            <w:r w:rsidRPr="00095C7F">
              <w:rPr>
                <w:spacing w:val="-9"/>
                <w:sz w:val="16"/>
              </w:rPr>
              <w:br/>
              <w:t xml:space="preserve">$’000 </w:t>
            </w:r>
          </w:p>
        </w:tc>
        <w:tc>
          <w:tcPr>
            <w:tcW w:w="851" w:type="dxa"/>
          </w:tcPr>
          <w:p w14:paraId="24C55B6A" w14:textId="77777777" w:rsidR="00B02873" w:rsidRPr="00095C7F" w:rsidRDefault="00B02873" w:rsidP="00095C7F">
            <w:pPr>
              <w:pStyle w:val="TableheadingleftFinancialsTables"/>
              <w:jc w:val="right"/>
              <w:rPr>
                <w:sz w:val="16"/>
              </w:rPr>
            </w:pPr>
            <w:r w:rsidRPr="00095C7F">
              <w:rPr>
                <w:spacing w:val="-1"/>
                <w:sz w:val="16"/>
              </w:rPr>
              <w:t xml:space="preserve">Land purchase </w:t>
            </w:r>
            <w:r w:rsidRPr="00095C7F">
              <w:rPr>
                <w:spacing w:val="-1"/>
                <w:sz w:val="16"/>
              </w:rPr>
              <w:br/>
              <w:t xml:space="preserve">in </w:t>
            </w:r>
            <w:r w:rsidRPr="00095C7F">
              <w:rPr>
                <w:spacing w:val="-1"/>
                <w:sz w:val="16"/>
              </w:rPr>
              <w:br/>
              <w:t>progress</w:t>
            </w:r>
            <w:r w:rsidRPr="00095C7F">
              <w:rPr>
                <w:spacing w:val="-1"/>
                <w:sz w:val="16"/>
              </w:rPr>
              <w:br/>
              <w:t xml:space="preserve">$’000 </w:t>
            </w:r>
          </w:p>
        </w:tc>
        <w:tc>
          <w:tcPr>
            <w:tcW w:w="850" w:type="dxa"/>
          </w:tcPr>
          <w:p w14:paraId="4250BDC9" w14:textId="77777777" w:rsidR="00B02873" w:rsidRPr="00095C7F" w:rsidRDefault="00B02873" w:rsidP="00095C7F">
            <w:pPr>
              <w:pStyle w:val="TableheadingleftFinancialsTables"/>
              <w:jc w:val="right"/>
              <w:rPr>
                <w:sz w:val="16"/>
              </w:rPr>
            </w:pPr>
            <w:r w:rsidRPr="00095C7F">
              <w:rPr>
                <w:spacing w:val="-7"/>
                <w:sz w:val="16"/>
              </w:rPr>
              <w:t xml:space="preserve">Buildings </w:t>
            </w:r>
            <w:r w:rsidRPr="00095C7F">
              <w:rPr>
                <w:spacing w:val="-7"/>
                <w:sz w:val="16"/>
              </w:rPr>
              <w:br/>
              <w:t xml:space="preserve">and structures other </w:t>
            </w:r>
            <w:r w:rsidRPr="00095C7F">
              <w:rPr>
                <w:spacing w:val="-7"/>
                <w:sz w:val="16"/>
              </w:rPr>
              <w:br/>
              <w:t>than RoU</w:t>
            </w:r>
            <w:r w:rsidRPr="00095C7F">
              <w:rPr>
                <w:spacing w:val="-7"/>
                <w:sz w:val="16"/>
              </w:rPr>
              <w:br/>
              <w:t>$’000</w:t>
            </w:r>
          </w:p>
        </w:tc>
        <w:tc>
          <w:tcPr>
            <w:tcW w:w="851" w:type="dxa"/>
          </w:tcPr>
          <w:p w14:paraId="2E8D9E6A" w14:textId="77777777" w:rsidR="00B02873" w:rsidRPr="00095C7F" w:rsidRDefault="00B02873" w:rsidP="00095C7F">
            <w:pPr>
              <w:pStyle w:val="TableheadingleftFinancialsTables"/>
              <w:jc w:val="right"/>
              <w:rPr>
                <w:sz w:val="16"/>
              </w:rPr>
            </w:pPr>
            <w:r w:rsidRPr="00095C7F">
              <w:rPr>
                <w:spacing w:val="-7"/>
                <w:sz w:val="16"/>
              </w:rPr>
              <w:t xml:space="preserve">RoU </w:t>
            </w:r>
            <w:r w:rsidRPr="00095C7F">
              <w:rPr>
                <w:spacing w:val="-7"/>
                <w:sz w:val="16"/>
              </w:rPr>
              <w:br/>
              <w:t xml:space="preserve">Buildings </w:t>
            </w:r>
            <w:r w:rsidRPr="00095C7F">
              <w:rPr>
                <w:spacing w:val="-7"/>
                <w:sz w:val="16"/>
              </w:rPr>
              <w:br/>
              <w:t xml:space="preserve">and </w:t>
            </w:r>
            <w:r w:rsidRPr="00095C7F">
              <w:rPr>
                <w:spacing w:val="-7"/>
                <w:sz w:val="16"/>
              </w:rPr>
              <w:br/>
              <w:t>structures</w:t>
            </w:r>
            <w:r w:rsidRPr="00095C7F">
              <w:rPr>
                <w:spacing w:val="-7"/>
                <w:sz w:val="16"/>
              </w:rPr>
              <w:br/>
              <w:t>$’000</w:t>
            </w:r>
          </w:p>
        </w:tc>
        <w:tc>
          <w:tcPr>
            <w:tcW w:w="855" w:type="dxa"/>
          </w:tcPr>
          <w:p w14:paraId="0A030C8C" w14:textId="77777777" w:rsidR="00B02873" w:rsidRPr="00095C7F" w:rsidRDefault="00B02873" w:rsidP="00095C7F">
            <w:pPr>
              <w:pStyle w:val="TableheadingleftFinancialsTables"/>
              <w:jc w:val="right"/>
              <w:rPr>
                <w:sz w:val="16"/>
              </w:rPr>
            </w:pPr>
            <w:r w:rsidRPr="00095C7F">
              <w:rPr>
                <w:spacing w:val="-1"/>
                <w:sz w:val="16"/>
              </w:rPr>
              <w:t>Roads</w:t>
            </w:r>
            <w:r w:rsidRPr="00095C7F">
              <w:rPr>
                <w:spacing w:val="-1"/>
                <w:sz w:val="16"/>
              </w:rPr>
              <w:br/>
              <w:t>$’000</w:t>
            </w:r>
          </w:p>
        </w:tc>
        <w:tc>
          <w:tcPr>
            <w:tcW w:w="907" w:type="dxa"/>
          </w:tcPr>
          <w:p w14:paraId="320507A4" w14:textId="77777777" w:rsidR="00B02873" w:rsidRPr="00095C7F" w:rsidRDefault="00B02873" w:rsidP="00095C7F">
            <w:pPr>
              <w:pStyle w:val="TableheadingleftFinancialsTables"/>
              <w:jc w:val="right"/>
              <w:rPr>
                <w:sz w:val="16"/>
              </w:rPr>
            </w:pPr>
            <w:r w:rsidRPr="00095C7F">
              <w:rPr>
                <w:spacing w:val="-6"/>
                <w:sz w:val="16"/>
              </w:rPr>
              <w:t xml:space="preserve">Plant and </w:t>
            </w:r>
            <w:r w:rsidRPr="00095C7F">
              <w:rPr>
                <w:spacing w:val="-6"/>
                <w:sz w:val="16"/>
              </w:rPr>
              <w:br/>
              <w:t xml:space="preserve">equipment </w:t>
            </w:r>
            <w:r w:rsidRPr="00095C7F">
              <w:rPr>
                <w:spacing w:val="-6"/>
                <w:sz w:val="16"/>
              </w:rPr>
              <w:br/>
              <w:t xml:space="preserve">other than </w:t>
            </w:r>
            <w:r w:rsidRPr="00095C7F">
              <w:rPr>
                <w:spacing w:val="-6"/>
                <w:sz w:val="16"/>
              </w:rPr>
              <w:br/>
              <w:t>RoU</w:t>
            </w:r>
            <w:r w:rsidRPr="00095C7F">
              <w:rPr>
                <w:spacing w:val="-6"/>
                <w:sz w:val="16"/>
              </w:rPr>
              <w:br/>
              <w:t>$’000</w:t>
            </w:r>
          </w:p>
        </w:tc>
        <w:tc>
          <w:tcPr>
            <w:tcW w:w="903" w:type="dxa"/>
          </w:tcPr>
          <w:p w14:paraId="0602DB93" w14:textId="77777777" w:rsidR="00B02873" w:rsidRPr="00095C7F" w:rsidRDefault="00B02873" w:rsidP="00095C7F">
            <w:pPr>
              <w:pStyle w:val="TableheadingleftFinancialsTables"/>
              <w:jc w:val="right"/>
              <w:rPr>
                <w:sz w:val="16"/>
              </w:rPr>
            </w:pPr>
            <w:r w:rsidRPr="00095C7F">
              <w:rPr>
                <w:spacing w:val="-7"/>
                <w:sz w:val="16"/>
              </w:rPr>
              <w:t xml:space="preserve">RoU </w:t>
            </w:r>
            <w:r w:rsidRPr="00095C7F">
              <w:rPr>
                <w:spacing w:val="-7"/>
                <w:sz w:val="16"/>
              </w:rPr>
              <w:br/>
              <w:t xml:space="preserve">plant and </w:t>
            </w:r>
            <w:r w:rsidRPr="00095C7F">
              <w:rPr>
                <w:spacing w:val="-7"/>
                <w:sz w:val="16"/>
              </w:rPr>
              <w:br/>
              <w:t>equipment</w:t>
            </w:r>
            <w:r w:rsidRPr="00095C7F">
              <w:rPr>
                <w:spacing w:val="-7"/>
                <w:sz w:val="16"/>
              </w:rPr>
              <w:br/>
              <w:t>$’000</w:t>
            </w:r>
          </w:p>
        </w:tc>
        <w:tc>
          <w:tcPr>
            <w:tcW w:w="992" w:type="dxa"/>
          </w:tcPr>
          <w:p w14:paraId="36AE4456" w14:textId="77777777" w:rsidR="00B02873" w:rsidRPr="00095C7F" w:rsidRDefault="00B02873" w:rsidP="00095C7F">
            <w:pPr>
              <w:pStyle w:val="TableheadingleftFinancialsTables"/>
              <w:jc w:val="right"/>
              <w:rPr>
                <w:sz w:val="16"/>
              </w:rPr>
            </w:pPr>
            <w:r w:rsidRPr="00095C7F">
              <w:rPr>
                <w:spacing w:val="-12"/>
                <w:sz w:val="16"/>
              </w:rPr>
              <w:t xml:space="preserve">Assets </w:t>
            </w:r>
            <w:r w:rsidRPr="00095C7F">
              <w:rPr>
                <w:spacing w:val="-12"/>
                <w:sz w:val="16"/>
              </w:rPr>
              <w:br/>
              <w:t xml:space="preserve">under </w:t>
            </w:r>
            <w:r w:rsidRPr="00095C7F">
              <w:rPr>
                <w:spacing w:val="-12"/>
                <w:sz w:val="16"/>
              </w:rPr>
              <w:br/>
              <w:t>construction</w:t>
            </w:r>
            <w:r w:rsidRPr="00095C7F">
              <w:rPr>
                <w:spacing w:val="-12"/>
                <w:sz w:val="16"/>
              </w:rPr>
              <w:br/>
              <w:t>$’000</w:t>
            </w:r>
          </w:p>
        </w:tc>
        <w:tc>
          <w:tcPr>
            <w:tcW w:w="794" w:type="dxa"/>
          </w:tcPr>
          <w:p w14:paraId="568057FB" w14:textId="77777777" w:rsidR="00B02873" w:rsidRPr="00095C7F" w:rsidRDefault="00B02873" w:rsidP="00095C7F">
            <w:pPr>
              <w:pStyle w:val="TableheadingleftFinancialsTables"/>
              <w:jc w:val="right"/>
              <w:rPr>
                <w:sz w:val="16"/>
              </w:rPr>
            </w:pPr>
            <w:r w:rsidRPr="00095C7F">
              <w:rPr>
                <w:spacing w:val="-1"/>
                <w:sz w:val="16"/>
              </w:rPr>
              <w:t xml:space="preserve">Historic </w:t>
            </w:r>
            <w:r w:rsidRPr="00095C7F">
              <w:rPr>
                <w:spacing w:val="-1"/>
                <w:sz w:val="16"/>
              </w:rPr>
              <w:br/>
              <w:t xml:space="preserve">and </w:t>
            </w:r>
            <w:r w:rsidRPr="00095C7F">
              <w:rPr>
                <w:spacing w:val="-1"/>
                <w:sz w:val="16"/>
              </w:rPr>
              <w:br/>
              <w:t>cultural assets</w:t>
            </w:r>
            <w:r w:rsidRPr="00095C7F">
              <w:rPr>
                <w:spacing w:val="-1"/>
                <w:sz w:val="16"/>
              </w:rPr>
              <w:br/>
              <w:t>$’000</w:t>
            </w:r>
          </w:p>
        </w:tc>
        <w:tc>
          <w:tcPr>
            <w:tcW w:w="874" w:type="dxa"/>
          </w:tcPr>
          <w:p w14:paraId="14BC0FA1" w14:textId="77777777" w:rsidR="00B02873" w:rsidRPr="00095C7F" w:rsidRDefault="00B02873" w:rsidP="00095C7F">
            <w:pPr>
              <w:pStyle w:val="TableheadingleftFinancialsTables"/>
              <w:jc w:val="right"/>
              <w:rPr>
                <w:sz w:val="16"/>
              </w:rPr>
            </w:pPr>
            <w:r w:rsidRPr="00095C7F">
              <w:rPr>
                <w:spacing w:val="-1"/>
                <w:sz w:val="16"/>
              </w:rPr>
              <w:t>Total</w:t>
            </w:r>
            <w:r w:rsidRPr="00095C7F">
              <w:rPr>
                <w:spacing w:val="-1"/>
                <w:sz w:val="16"/>
              </w:rPr>
              <w:br/>
              <w:t>$’000</w:t>
            </w:r>
          </w:p>
        </w:tc>
      </w:tr>
      <w:tr w:rsidR="00B02873" w:rsidRPr="00095C7F" w14:paraId="7BFEBC7B" w14:textId="77777777" w:rsidTr="0090537F">
        <w:tc>
          <w:tcPr>
            <w:tcW w:w="1413" w:type="dxa"/>
          </w:tcPr>
          <w:p w14:paraId="3E79E515" w14:textId="77777777" w:rsidR="00B02873" w:rsidRPr="00095C7F" w:rsidRDefault="00B02873" w:rsidP="00F17710">
            <w:pPr>
              <w:pStyle w:val="TablebodyleftFinancialsTables"/>
              <w:rPr>
                <w:b/>
                <w:bCs/>
                <w:sz w:val="16"/>
              </w:rPr>
            </w:pPr>
            <w:r w:rsidRPr="00095C7F">
              <w:rPr>
                <w:b/>
                <w:bCs/>
                <w:sz w:val="16"/>
              </w:rPr>
              <w:t xml:space="preserve">Balance at 1 July 2020 </w:t>
            </w:r>
          </w:p>
        </w:tc>
        <w:tc>
          <w:tcPr>
            <w:tcW w:w="794" w:type="dxa"/>
          </w:tcPr>
          <w:p w14:paraId="65563F3A" w14:textId="77777777" w:rsidR="00B02873" w:rsidRPr="00095C7F" w:rsidRDefault="00B02873" w:rsidP="00095C7F">
            <w:pPr>
              <w:pStyle w:val="TablebodyleftFinancialsTables"/>
              <w:jc w:val="right"/>
              <w:rPr>
                <w:b/>
                <w:bCs/>
                <w:sz w:val="16"/>
              </w:rPr>
            </w:pPr>
            <w:r w:rsidRPr="00095C7F">
              <w:rPr>
                <w:b/>
                <w:bCs/>
                <w:sz w:val="16"/>
              </w:rPr>
              <w:t>185,327</w:t>
            </w:r>
          </w:p>
        </w:tc>
        <w:tc>
          <w:tcPr>
            <w:tcW w:w="903" w:type="dxa"/>
          </w:tcPr>
          <w:p w14:paraId="38C483CA" w14:textId="77777777" w:rsidR="00B02873" w:rsidRPr="00095C7F" w:rsidRDefault="00B02873" w:rsidP="00095C7F">
            <w:pPr>
              <w:pStyle w:val="TablebodyleftFinancialsTables"/>
              <w:jc w:val="right"/>
              <w:rPr>
                <w:b/>
                <w:bCs/>
                <w:sz w:val="16"/>
              </w:rPr>
            </w:pPr>
            <w:r w:rsidRPr="00095C7F">
              <w:rPr>
                <w:b/>
                <w:bCs/>
                <w:sz w:val="16"/>
              </w:rPr>
              <w:t>3,119,298</w:t>
            </w:r>
          </w:p>
        </w:tc>
        <w:tc>
          <w:tcPr>
            <w:tcW w:w="793" w:type="dxa"/>
          </w:tcPr>
          <w:p w14:paraId="6600AF8D" w14:textId="77777777" w:rsidR="00B02873" w:rsidRPr="00095C7F" w:rsidRDefault="00B02873" w:rsidP="00095C7F">
            <w:pPr>
              <w:pStyle w:val="TablebodyleftFinancialsTables"/>
              <w:jc w:val="right"/>
              <w:rPr>
                <w:b/>
                <w:bCs/>
                <w:sz w:val="16"/>
              </w:rPr>
            </w:pPr>
            <w:r w:rsidRPr="00095C7F">
              <w:rPr>
                <w:b/>
                <w:bCs/>
                <w:sz w:val="16"/>
              </w:rPr>
              <w:t>3,066</w:t>
            </w:r>
          </w:p>
        </w:tc>
        <w:tc>
          <w:tcPr>
            <w:tcW w:w="908" w:type="dxa"/>
          </w:tcPr>
          <w:p w14:paraId="435BA5E4" w14:textId="77777777" w:rsidR="00B02873" w:rsidRPr="00095C7F" w:rsidRDefault="00B02873" w:rsidP="00095C7F">
            <w:pPr>
              <w:pStyle w:val="TablebodyleftFinancialsTables"/>
              <w:jc w:val="right"/>
              <w:rPr>
                <w:b/>
                <w:bCs/>
                <w:sz w:val="16"/>
              </w:rPr>
            </w:pPr>
            <w:r w:rsidRPr="00095C7F">
              <w:rPr>
                <w:b/>
                <w:bCs/>
                <w:sz w:val="16"/>
              </w:rPr>
              <w:t>1,231,465</w:t>
            </w:r>
          </w:p>
        </w:tc>
        <w:tc>
          <w:tcPr>
            <w:tcW w:w="794" w:type="dxa"/>
          </w:tcPr>
          <w:p w14:paraId="2DF7E45C" w14:textId="77777777" w:rsidR="00B02873" w:rsidRPr="00095C7F" w:rsidRDefault="00B02873" w:rsidP="00095C7F">
            <w:pPr>
              <w:pStyle w:val="TablebodyleftFinancialsTables"/>
              <w:jc w:val="right"/>
              <w:rPr>
                <w:b/>
                <w:bCs/>
                <w:sz w:val="16"/>
              </w:rPr>
            </w:pPr>
            <w:r w:rsidRPr="00095C7F">
              <w:rPr>
                <w:b/>
                <w:bCs/>
                <w:sz w:val="16"/>
              </w:rPr>
              <w:t>63,112</w:t>
            </w:r>
          </w:p>
        </w:tc>
        <w:tc>
          <w:tcPr>
            <w:tcW w:w="793" w:type="dxa"/>
          </w:tcPr>
          <w:p w14:paraId="1A0070AB" w14:textId="77777777" w:rsidR="00B02873" w:rsidRPr="00095C7F" w:rsidRDefault="00B02873" w:rsidP="00095C7F">
            <w:pPr>
              <w:pStyle w:val="TablebodyleftFinancialsTables"/>
              <w:jc w:val="right"/>
              <w:rPr>
                <w:b/>
                <w:bCs/>
                <w:sz w:val="16"/>
              </w:rPr>
            </w:pPr>
            <w:r w:rsidRPr="00095C7F">
              <w:rPr>
                <w:b/>
                <w:bCs/>
                <w:sz w:val="16"/>
              </w:rPr>
              <w:t>6,865</w:t>
            </w:r>
          </w:p>
        </w:tc>
        <w:tc>
          <w:tcPr>
            <w:tcW w:w="964" w:type="dxa"/>
          </w:tcPr>
          <w:p w14:paraId="1DEF2265" w14:textId="77777777" w:rsidR="00B02873" w:rsidRPr="00095C7F" w:rsidRDefault="00B02873" w:rsidP="00095C7F">
            <w:pPr>
              <w:pStyle w:val="TablebodyleftFinancialsTables"/>
              <w:jc w:val="right"/>
              <w:rPr>
                <w:b/>
                <w:bCs/>
                <w:sz w:val="16"/>
              </w:rPr>
            </w:pPr>
            <w:r w:rsidRPr="00095C7F">
              <w:rPr>
                <w:b/>
                <w:bCs/>
                <w:sz w:val="16"/>
              </w:rPr>
              <w:t>46,377</w:t>
            </w:r>
          </w:p>
        </w:tc>
        <w:tc>
          <w:tcPr>
            <w:tcW w:w="851" w:type="dxa"/>
          </w:tcPr>
          <w:p w14:paraId="7A074119" w14:textId="77777777" w:rsidR="00B02873" w:rsidRPr="00095C7F" w:rsidRDefault="00B02873" w:rsidP="00095C7F">
            <w:pPr>
              <w:pStyle w:val="TablebodyleftFinancialsTables"/>
              <w:jc w:val="right"/>
              <w:rPr>
                <w:b/>
                <w:bCs/>
                <w:sz w:val="16"/>
              </w:rPr>
            </w:pPr>
            <w:r w:rsidRPr="00095C7F">
              <w:rPr>
                <w:b/>
                <w:bCs/>
                <w:sz w:val="16"/>
              </w:rPr>
              <w:t>60,640</w:t>
            </w:r>
          </w:p>
        </w:tc>
        <w:tc>
          <w:tcPr>
            <w:tcW w:w="850" w:type="dxa"/>
          </w:tcPr>
          <w:p w14:paraId="03595612" w14:textId="77777777" w:rsidR="00B02873" w:rsidRPr="00095C7F" w:rsidRDefault="00B02873" w:rsidP="00095C7F">
            <w:pPr>
              <w:pStyle w:val="TablebodyleftFinancialsTables"/>
              <w:jc w:val="right"/>
              <w:rPr>
                <w:b/>
                <w:bCs/>
                <w:sz w:val="16"/>
              </w:rPr>
            </w:pPr>
            <w:r w:rsidRPr="00095C7F">
              <w:rPr>
                <w:b/>
                <w:bCs/>
                <w:sz w:val="16"/>
              </w:rPr>
              <w:t>588,067</w:t>
            </w:r>
          </w:p>
        </w:tc>
        <w:tc>
          <w:tcPr>
            <w:tcW w:w="851" w:type="dxa"/>
          </w:tcPr>
          <w:p w14:paraId="154798EE" w14:textId="77777777" w:rsidR="00B02873" w:rsidRPr="00095C7F" w:rsidRDefault="00B02873" w:rsidP="00095C7F">
            <w:pPr>
              <w:pStyle w:val="TablebodyleftFinancialsTables"/>
              <w:jc w:val="right"/>
              <w:rPr>
                <w:b/>
                <w:bCs/>
                <w:sz w:val="16"/>
              </w:rPr>
            </w:pPr>
            <w:r w:rsidRPr="00095C7F">
              <w:rPr>
                <w:b/>
                <w:bCs/>
                <w:sz w:val="16"/>
              </w:rPr>
              <w:t>1,938</w:t>
            </w:r>
          </w:p>
        </w:tc>
        <w:tc>
          <w:tcPr>
            <w:tcW w:w="855" w:type="dxa"/>
          </w:tcPr>
          <w:p w14:paraId="76C29243" w14:textId="77777777" w:rsidR="00B02873" w:rsidRPr="00095C7F" w:rsidRDefault="00B02873" w:rsidP="00095C7F">
            <w:pPr>
              <w:pStyle w:val="TablebodyleftFinancialsTables"/>
              <w:jc w:val="right"/>
              <w:rPr>
                <w:b/>
                <w:bCs/>
                <w:sz w:val="16"/>
              </w:rPr>
            </w:pPr>
            <w:r w:rsidRPr="00095C7F">
              <w:rPr>
                <w:b/>
                <w:bCs/>
                <w:sz w:val="16"/>
              </w:rPr>
              <w:t>959,648</w:t>
            </w:r>
          </w:p>
        </w:tc>
        <w:tc>
          <w:tcPr>
            <w:tcW w:w="907" w:type="dxa"/>
          </w:tcPr>
          <w:p w14:paraId="21721033" w14:textId="77777777" w:rsidR="00B02873" w:rsidRPr="00095C7F" w:rsidRDefault="00B02873" w:rsidP="00095C7F">
            <w:pPr>
              <w:pStyle w:val="TablebodyleftFinancialsTables"/>
              <w:jc w:val="right"/>
              <w:rPr>
                <w:b/>
                <w:bCs/>
                <w:sz w:val="16"/>
              </w:rPr>
            </w:pPr>
            <w:r w:rsidRPr="00095C7F">
              <w:rPr>
                <w:b/>
                <w:bCs/>
                <w:sz w:val="16"/>
              </w:rPr>
              <w:t>69,131</w:t>
            </w:r>
          </w:p>
        </w:tc>
        <w:tc>
          <w:tcPr>
            <w:tcW w:w="903" w:type="dxa"/>
          </w:tcPr>
          <w:p w14:paraId="2FE431BF" w14:textId="77777777" w:rsidR="00B02873" w:rsidRPr="00095C7F" w:rsidRDefault="00B02873" w:rsidP="00095C7F">
            <w:pPr>
              <w:pStyle w:val="TablebodyleftFinancialsTables"/>
              <w:jc w:val="right"/>
              <w:rPr>
                <w:b/>
                <w:bCs/>
                <w:sz w:val="16"/>
              </w:rPr>
            </w:pPr>
            <w:r w:rsidRPr="00095C7F">
              <w:rPr>
                <w:b/>
                <w:bCs/>
                <w:sz w:val="16"/>
              </w:rPr>
              <w:t>52,337</w:t>
            </w:r>
          </w:p>
        </w:tc>
        <w:tc>
          <w:tcPr>
            <w:tcW w:w="992" w:type="dxa"/>
          </w:tcPr>
          <w:p w14:paraId="60552F39" w14:textId="77777777" w:rsidR="00B02873" w:rsidRPr="00095C7F" w:rsidRDefault="00B02873" w:rsidP="00095C7F">
            <w:pPr>
              <w:pStyle w:val="TablebodyleftFinancialsTables"/>
              <w:jc w:val="right"/>
              <w:rPr>
                <w:b/>
                <w:bCs/>
                <w:sz w:val="16"/>
              </w:rPr>
            </w:pPr>
            <w:r w:rsidRPr="00095C7F">
              <w:rPr>
                <w:b/>
                <w:bCs/>
                <w:sz w:val="16"/>
              </w:rPr>
              <w:t>42,071</w:t>
            </w:r>
          </w:p>
        </w:tc>
        <w:tc>
          <w:tcPr>
            <w:tcW w:w="794" w:type="dxa"/>
          </w:tcPr>
          <w:p w14:paraId="3F017872" w14:textId="77777777" w:rsidR="00B02873" w:rsidRPr="00095C7F" w:rsidRDefault="00B02873" w:rsidP="00095C7F">
            <w:pPr>
              <w:pStyle w:val="TablebodyleftFinancialsTables"/>
              <w:jc w:val="right"/>
              <w:rPr>
                <w:b/>
                <w:bCs/>
                <w:sz w:val="16"/>
              </w:rPr>
            </w:pPr>
            <w:r w:rsidRPr="00095C7F">
              <w:rPr>
                <w:b/>
                <w:bCs/>
                <w:sz w:val="16"/>
              </w:rPr>
              <w:t>3,700</w:t>
            </w:r>
          </w:p>
        </w:tc>
        <w:tc>
          <w:tcPr>
            <w:tcW w:w="874" w:type="dxa"/>
          </w:tcPr>
          <w:p w14:paraId="367685FB" w14:textId="77777777" w:rsidR="00B02873" w:rsidRPr="00095C7F" w:rsidRDefault="00B02873" w:rsidP="00095C7F">
            <w:pPr>
              <w:pStyle w:val="TablebodyleftFinancialsTables"/>
              <w:jc w:val="right"/>
              <w:rPr>
                <w:b/>
                <w:bCs/>
                <w:sz w:val="16"/>
              </w:rPr>
            </w:pPr>
            <w:r w:rsidRPr="00095C7F">
              <w:rPr>
                <w:b/>
                <w:bCs/>
                <w:sz w:val="16"/>
              </w:rPr>
              <w:t>6,433,042</w:t>
            </w:r>
          </w:p>
        </w:tc>
      </w:tr>
      <w:tr w:rsidR="00B02873" w:rsidRPr="00095C7F" w14:paraId="12168866" w14:textId="77777777" w:rsidTr="0090537F">
        <w:tc>
          <w:tcPr>
            <w:tcW w:w="1413" w:type="dxa"/>
          </w:tcPr>
          <w:p w14:paraId="7691B3C4" w14:textId="77777777" w:rsidR="00B02873" w:rsidRPr="00095C7F" w:rsidRDefault="00B02873" w:rsidP="00F17710">
            <w:pPr>
              <w:pStyle w:val="TablebodyleftFinancialsTables"/>
              <w:rPr>
                <w:sz w:val="16"/>
              </w:rPr>
            </w:pPr>
            <w:r w:rsidRPr="00095C7F">
              <w:rPr>
                <w:sz w:val="16"/>
              </w:rPr>
              <w:t>Additions</w:t>
            </w:r>
          </w:p>
        </w:tc>
        <w:tc>
          <w:tcPr>
            <w:tcW w:w="794" w:type="dxa"/>
          </w:tcPr>
          <w:p w14:paraId="4EAA546C" w14:textId="77777777" w:rsidR="00B02873" w:rsidRPr="00095C7F" w:rsidRDefault="00B02873" w:rsidP="00095C7F">
            <w:pPr>
              <w:pStyle w:val="TablebodyleftFinancialsTables"/>
              <w:jc w:val="right"/>
              <w:rPr>
                <w:sz w:val="16"/>
              </w:rPr>
            </w:pPr>
            <w:r w:rsidRPr="00095C7F">
              <w:rPr>
                <w:sz w:val="16"/>
              </w:rPr>
              <w:t>–</w:t>
            </w:r>
          </w:p>
        </w:tc>
        <w:tc>
          <w:tcPr>
            <w:tcW w:w="903" w:type="dxa"/>
          </w:tcPr>
          <w:p w14:paraId="77759490" w14:textId="77777777" w:rsidR="00B02873" w:rsidRPr="00095C7F" w:rsidRDefault="00B02873" w:rsidP="00095C7F">
            <w:pPr>
              <w:pStyle w:val="TablebodyleftFinancialsTables"/>
              <w:jc w:val="right"/>
              <w:rPr>
                <w:sz w:val="16"/>
              </w:rPr>
            </w:pPr>
            <w:r w:rsidRPr="00095C7F">
              <w:rPr>
                <w:sz w:val="16"/>
              </w:rPr>
              <w:t>–</w:t>
            </w:r>
          </w:p>
        </w:tc>
        <w:tc>
          <w:tcPr>
            <w:tcW w:w="793" w:type="dxa"/>
          </w:tcPr>
          <w:p w14:paraId="74D156A4" w14:textId="77777777" w:rsidR="00B02873" w:rsidRPr="00095C7F" w:rsidRDefault="00B02873" w:rsidP="00095C7F">
            <w:pPr>
              <w:pStyle w:val="TablebodyleftFinancialsTables"/>
              <w:jc w:val="right"/>
              <w:rPr>
                <w:sz w:val="16"/>
              </w:rPr>
            </w:pPr>
            <w:r w:rsidRPr="00095C7F">
              <w:rPr>
                <w:sz w:val="16"/>
              </w:rPr>
              <w:t>–</w:t>
            </w:r>
          </w:p>
        </w:tc>
        <w:tc>
          <w:tcPr>
            <w:tcW w:w="908" w:type="dxa"/>
          </w:tcPr>
          <w:p w14:paraId="1DF5B503" w14:textId="77777777" w:rsidR="00B02873" w:rsidRPr="00095C7F" w:rsidRDefault="00B02873" w:rsidP="00095C7F">
            <w:pPr>
              <w:pStyle w:val="TablebodyleftFinancialsTables"/>
              <w:jc w:val="right"/>
              <w:rPr>
                <w:sz w:val="16"/>
              </w:rPr>
            </w:pPr>
            <w:r w:rsidRPr="00095C7F">
              <w:rPr>
                <w:sz w:val="16"/>
              </w:rPr>
              <w:t>–</w:t>
            </w:r>
          </w:p>
        </w:tc>
        <w:tc>
          <w:tcPr>
            <w:tcW w:w="794" w:type="dxa"/>
          </w:tcPr>
          <w:p w14:paraId="762DE910" w14:textId="77777777" w:rsidR="00B02873" w:rsidRPr="00095C7F" w:rsidRDefault="00B02873" w:rsidP="00095C7F">
            <w:pPr>
              <w:pStyle w:val="TablebodyleftFinancialsTables"/>
              <w:jc w:val="right"/>
              <w:rPr>
                <w:sz w:val="16"/>
              </w:rPr>
            </w:pPr>
            <w:r w:rsidRPr="00095C7F">
              <w:rPr>
                <w:sz w:val="16"/>
              </w:rPr>
              <w:t>–</w:t>
            </w:r>
          </w:p>
        </w:tc>
        <w:tc>
          <w:tcPr>
            <w:tcW w:w="793" w:type="dxa"/>
          </w:tcPr>
          <w:p w14:paraId="5A52F4C3" w14:textId="77777777" w:rsidR="00B02873" w:rsidRPr="00095C7F" w:rsidRDefault="00B02873" w:rsidP="00095C7F">
            <w:pPr>
              <w:pStyle w:val="TablebodyleftFinancialsTables"/>
              <w:jc w:val="right"/>
              <w:rPr>
                <w:sz w:val="16"/>
              </w:rPr>
            </w:pPr>
            <w:r w:rsidRPr="00095C7F">
              <w:rPr>
                <w:sz w:val="16"/>
              </w:rPr>
              <w:t>–</w:t>
            </w:r>
          </w:p>
        </w:tc>
        <w:tc>
          <w:tcPr>
            <w:tcW w:w="964" w:type="dxa"/>
          </w:tcPr>
          <w:p w14:paraId="3B84B0AF" w14:textId="77777777" w:rsidR="00B02873" w:rsidRPr="00095C7F" w:rsidRDefault="00B02873" w:rsidP="00095C7F">
            <w:pPr>
              <w:pStyle w:val="TablebodyleftFinancialsTables"/>
              <w:jc w:val="right"/>
              <w:rPr>
                <w:sz w:val="16"/>
              </w:rPr>
            </w:pPr>
            <w:r w:rsidRPr="00095C7F">
              <w:rPr>
                <w:sz w:val="16"/>
              </w:rPr>
              <w:t>–</w:t>
            </w:r>
          </w:p>
        </w:tc>
        <w:tc>
          <w:tcPr>
            <w:tcW w:w="851" w:type="dxa"/>
          </w:tcPr>
          <w:p w14:paraId="6C7B0D3A" w14:textId="77777777" w:rsidR="00B02873" w:rsidRPr="00095C7F" w:rsidRDefault="00B02873" w:rsidP="00095C7F">
            <w:pPr>
              <w:pStyle w:val="TablebodyleftFinancialsTables"/>
              <w:jc w:val="right"/>
              <w:rPr>
                <w:sz w:val="16"/>
              </w:rPr>
            </w:pPr>
            <w:r w:rsidRPr="00095C7F">
              <w:rPr>
                <w:sz w:val="16"/>
              </w:rPr>
              <w:t>4,319</w:t>
            </w:r>
          </w:p>
        </w:tc>
        <w:tc>
          <w:tcPr>
            <w:tcW w:w="850" w:type="dxa"/>
          </w:tcPr>
          <w:p w14:paraId="47B75A3D" w14:textId="77777777" w:rsidR="00B02873" w:rsidRPr="00095C7F" w:rsidRDefault="00B02873" w:rsidP="00095C7F">
            <w:pPr>
              <w:pStyle w:val="TablebodyleftFinancialsTables"/>
              <w:jc w:val="right"/>
              <w:rPr>
                <w:sz w:val="16"/>
              </w:rPr>
            </w:pPr>
            <w:r w:rsidRPr="00095C7F">
              <w:rPr>
                <w:sz w:val="16"/>
              </w:rPr>
              <w:t>1,459</w:t>
            </w:r>
          </w:p>
        </w:tc>
        <w:tc>
          <w:tcPr>
            <w:tcW w:w="851" w:type="dxa"/>
          </w:tcPr>
          <w:p w14:paraId="600DACDA" w14:textId="77777777" w:rsidR="00B02873" w:rsidRPr="00095C7F" w:rsidRDefault="00B02873" w:rsidP="00095C7F">
            <w:pPr>
              <w:pStyle w:val="TablebodyleftFinancialsTables"/>
              <w:jc w:val="right"/>
              <w:rPr>
                <w:sz w:val="16"/>
              </w:rPr>
            </w:pPr>
            <w:r w:rsidRPr="00095C7F">
              <w:rPr>
                <w:sz w:val="16"/>
              </w:rPr>
              <w:t>–</w:t>
            </w:r>
          </w:p>
        </w:tc>
        <w:tc>
          <w:tcPr>
            <w:tcW w:w="855" w:type="dxa"/>
          </w:tcPr>
          <w:p w14:paraId="07AD071B" w14:textId="77777777" w:rsidR="00B02873" w:rsidRPr="00095C7F" w:rsidRDefault="00B02873" w:rsidP="00095C7F">
            <w:pPr>
              <w:pStyle w:val="TablebodyleftFinancialsTables"/>
              <w:jc w:val="right"/>
              <w:rPr>
                <w:sz w:val="16"/>
              </w:rPr>
            </w:pPr>
            <w:r w:rsidRPr="00095C7F">
              <w:rPr>
                <w:sz w:val="16"/>
              </w:rPr>
              <w:t>3,504</w:t>
            </w:r>
          </w:p>
        </w:tc>
        <w:tc>
          <w:tcPr>
            <w:tcW w:w="907" w:type="dxa"/>
          </w:tcPr>
          <w:p w14:paraId="13F65D78" w14:textId="77777777" w:rsidR="00B02873" w:rsidRPr="00095C7F" w:rsidRDefault="00B02873" w:rsidP="00095C7F">
            <w:pPr>
              <w:pStyle w:val="TablebodyleftFinancialsTables"/>
              <w:jc w:val="right"/>
              <w:rPr>
                <w:sz w:val="16"/>
              </w:rPr>
            </w:pPr>
            <w:r w:rsidRPr="00095C7F">
              <w:rPr>
                <w:sz w:val="16"/>
              </w:rPr>
              <w:t>10,332</w:t>
            </w:r>
          </w:p>
        </w:tc>
        <w:tc>
          <w:tcPr>
            <w:tcW w:w="903" w:type="dxa"/>
          </w:tcPr>
          <w:p w14:paraId="6D6C8315" w14:textId="77777777" w:rsidR="00B02873" w:rsidRPr="00095C7F" w:rsidRDefault="00B02873" w:rsidP="00095C7F">
            <w:pPr>
              <w:pStyle w:val="TablebodyleftFinancialsTables"/>
              <w:jc w:val="right"/>
              <w:rPr>
                <w:sz w:val="16"/>
              </w:rPr>
            </w:pPr>
            <w:r w:rsidRPr="00095C7F">
              <w:rPr>
                <w:sz w:val="16"/>
              </w:rPr>
              <w:t>8,792</w:t>
            </w:r>
          </w:p>
        </w:tc>
        <w:tc>
          <w:tcPr>
            <w:tcW w:w="992" w:type="dxa"/>
          </w:tcPr>
          <w:p w14:paraId="76EDA932" w14:textId="77777777" w:rsidR="00B02873" w:rsidRPr="00095C7F" w:rsidRDefault="00B02873" w:rsidP="00095C7F">
            <w:pPr>
              <w:pStyle w:val="TablebodyleftFinancialsTables"/>
              <w:jc w:val="right"/>
              <w:rPr>
                <w:sz w:val="16"/>
              </w:rPr>
            </w:pPr>
            <w:r w:rsidRPr="00095C7F">
              <w:rPr>
                <w:sz w:val="16"/>
              </w:rPr>
              <w:t>43,178</w:t>
            </w:r>
          </w:p>
        </w:tc>
        <w:tc>
          <w:tcPr>
            <w:tcW w:w="794" w:type="dxa"/>
          </w:tcPr>
          <w:p w14:paraId="1680EB03" w14:textId="77777777" w:rsidR="00B02873" w:rsidRPr="00095C7F" w:rsidRDefault="00B02873" w:rsidP="00095C7F">
            <w:pPr>
              <w:pStyle w:val="TablebodyleftFinancialsTables"/>
              <w:jc w:val="right"/>
              <w:rPr>
                <w:sz w:val="16"/>
              </w:rPr>
            </w:pPr>
            <w:r w:rsidRPr="00095C7F">
              <w:rPr>
                <w:sz w:val="16"/>
              </w:rPr>
              <w:t>–</w:t>
            </w:r>
          </w:p>
        </w:tc>
        <w:tc>
          <w:tcPr>
            <w:tcW w:w="874" w:type="dxa"/>
          </w:tcPr>
          <w:p w14:paraId="6AC491B4" w14:textId="77777777" w:rsidR="00B02873" w:rsidRPr="00095C7F" w:rsidRDefault="00B02873" w:rsidP="00095C7F">
            <w:pPr>
              <w:pStyle w:val="TablebodyleftFinancialsTables"/>
              <w:jc w:val="right"/>
              <w:rPr>
                <w:sz w:val="16"/>
              </w:rPr>
            </w:pPr>
            <w:r w:rsidRPr="00095C7F">
              <w:rPr>
                <w:sz w:val="16"/>
              </w:rPr>
              <w:t>71,584</w:t>
            </w:r>
          </w:p>
        </w:tc>
      </w:tr>
      <w:tr w:rsidR="00095C7F" w:rsidRPr="00095C7F" w14:paraId="2DEF5CB6" w14:textId="77777777" w:rsidTr="0090537F">
        <w:tc>
          <w:tcPr>
            <w:tcW w:w="1413" w:type="dxa"/>
          </w:tcPr>
          <w:p w14:paraId="057B7B03" w14:textId="77777777" w:rsidR="00B02873" w:rsidRPr="00095C7F" w:rsidRDefault="00B02873" w:rsidP="00F17710">
            <w:pPr>
              <w:pStyle w:val="TablebodyleftFinancialsTables"/>
              <w:rPr>
                <w:sz w:val="16"/>
              </w:rPr>
            </w:pPr>
            <w:r w:rsidRPr="00095C7F">
              <w:rPr>
                <w:sz w:val="16"/>
              </w:rPr>
              <w:t>Disposals</w:t>
            </w:r>
          </w:p>
        </w:tc>
        <w:tc>
          <w:tcPr>
            <w:tcW w:w="794" w:type="dxa"/>
          </w:tcPr>
          <w:p w14:paraId="6D2AE047" w14:textId="77777777" w:rsidR="00B02873" w:rsidRPr="00095C7F" w:rsidRDefault="00B02873" w:rsidP="00095C7F">
            <w:pPr>
              <w:pStyle w:val="TablebodyleftFinancialsTables"/>
              <w:jc w:val="right"/>
              <w:rPr>
                <w:sz w:val="16"/>
              </w:rPr>
            </w:pPr>
            <w:r w:rsidRPr="00095C7F">
              <w:rPr>
                <w:sz w:val="16"/>
              </w:rPr>
              <w:t>–</w:t>
            </w:r>
          </w:p>
        </w:tc>
        <w:tc>
          <w:tcPr>
            <w:tcW w:w="903" w:type="dxa"/>
          </w:tcPr>
          <w:p w14:paraId="20EAFADB" w14:textId="77777777" w:rsidR="00B02873" w:rsidRPr="00095C7F" w:rsidRDefault="00B02873" w:rsidP="00095C7F">
            <w:pPr>
              <w:pStyle w:val="TablebodyleftFinancialsTables"/>
              <w:jc w:val="right"/>
              <w:rPr>
                <w:sz w:val="16"/>
              </w:rPr>
            </w:pPr>
            <w:r w:rsidRPr="00095C7F">
              <w:rPr>
                <w:sz w:val="16"/>
              </w:rPr>
              <w:t>–</w:t>
            </w:r>
          </w:p>
        </w:tc>
        <w:tc>
          <w:tcPr>
            <w:tcW w:w="793" w:type="dxa"/>
          </w:tcPr>
          <w:p w14:paraId="71A66F29" w14:textId="77777777" w:rsidR="00B02873" w:rsidRPr="00095C7F" w:rsidRDefault="00B02873" w:rsidP="00095C7F">
            <w:pPr>
              <w:pStyle w:val="TablebodyleftFinancialsTables"/>
              <w:jc w:val="right"/>
              <w:rPr>
                <w:sz w:val="16"/>
              </w:rPr>
            </w:pPr>
            <w:r w:rsidRPr="00095C7F">
              <w:rPr>
                <w:sz w:val="16"/>
              </w:rPr>
              <w:t>–</w:t>
            </w:r>
          </w:p>
        </w:tc>
        <w:tc>
          <w:tcPr>
            <w:tcW w:w="908" w:type="dxa"/>
          </w:tcPr>
          <w:p w14:paraId="19035C4D" w14:textId="77777777" w:rsidR="00B02873" w:rsidRPr="00095C7F" w:rsidRDefault="00B02873" w:rsidP="00095C7F">
            <w:pPr>
              <w:pStyle w:val="TablebodyleftFinancialsTables"/>
              <w:jc w:val="right"/>
              <w:rPr>
                <w:sz w:val="16"/>
              </w:rPr>
            </w:pPr>
            <w:r w:rsidRPr="00095C7F">
              <w:rPr>
                <w:sz w:val="16"/>
              </w:rPr>
              <w:t>–</w:t>
            </w:r>
          </w:p>
        </w:tc>
        <w:tc>
          <w:tcPr>
            <w:tcW w:w="794" w:type="dxa"/>
          </w:tcPr>
          <w:p w14:paraId="30F8B8BC" w14:textId="77777777" w:rsidR="00B02873" w:rsidRPr="00095C7F" w:rsidRDefault="00B02873" w:rsidP="00095C7F">
            <w:pPr>
              <w:pStyle w:val="TablebodyleftFinancialsTables"/>
              <w:jc w:val="right"/>
              <w:rPr>
                <w:sz w:val="16"/>
              </w:rPr>
            </w:pPr>
            <w:r w:rsidRPr="00095C7F">
              <w:rPr>
                <w:sz w:val="16"/>
              </w:rPr>
              <w:t>(295)</w:t>
            </w:r>
          </w:p>
        </w:tc>
        <w:tc>
          <w:tcPr>
            <w:tcW w:w="793" w:type="dxa"/>
          </w:tcPr>
          <w:p w14:paraId="50D3D811" w14:textId="77777777" w:rsidR="00B02873" w:rsidRPr="00095C7F" w:rsidRDefault="00B02873" w:rsidP="00095C7F">
            <w:pPr>
              <w:pStyle w:val="TablebodyleftFinancialsTables"/>
              <w:jc w:val="right"/>
              <w:rPr>
                <w:sz w:val="16"/>
              </w:rPr>
            </w:pPr>
            <w:r w:rsidRPr="00095C7F">
              <w:rPr>
                <w:sz w:val="16"/>
              </w:rPr>
              <w:t>–</w:t>
            </w:r>
          </w:p>
        </w:tc>
        <w:tc>
          <w:tcPr>
            <w:tcW w:w="964" w:type="dxa"/>
          </w:tcPr>
          <w:p w14:paraId="6A14E0DC" w14:textId="77777777" w:rsidR="00B02873" w:rsidRPr="00095C7F" w:rsidRDefault="00B02873" w:rsidP="00095C7F">
            <w:pPr>
              <w:pStyle w:val="TablebodyleftFinancialsTables"/>
              <w:jc w:val="right"/>
              <w:rPr>
                <w:sz w:val="16"/>
              </w:rPr>
            </w:pPr>
            <w:r w:rsidRPr="00095C7F">
              <w:rPr>
                <w:sz w:val="16"/>
              </w:rPr>
              <w:t>–</w:t>
            </w:r>
          </w:p>
        </w:tc>
        <w:tc>
          <w:tcPr>
            <w:tcW w:w="851" w:type="dxa"/>
          </w:tcPr>
          <w:p w14:paraId="3E034C36" w14:textId="77777777" w:rsidR="00B02873" w:rsidRPr="00095C7F" w:rsidRDefault="00B02873" w:rsidP="00095C7F">
            <w:pPr>
              <w:pStyle w:val="TablebodyleftFinancialsTables"/>
              <w:jc w:val="right"/>
              <w:rPr>
                <w:sz w:val="16"/>
              </w:rPr>
            </w:pPr>
            <w:r w:rsidRPr="00095C7F">
              <w:rPr>
                <w:sz w:val="16"/>
              </w:rPr>
              <w:t>–</w:t>
            </w:r>
          </w:p>
        </w:tc>
        <w:tc>
          <w:tcPr>
            <w:tcW w:w="850" w:type="dxa"/>
          </w:tcPr>
          <w:p w14:paraId="1F8F89DD" w14:textId="77777777" w:rsidR="00B02873" w:rsidRPr="00095C7F" w:rsidRDefault="00B02873" w:rsidP="00095C7F">
            <w:pPr>
              <w:pStyle w:val="TablebodyleftFinancialsTables"/>
              <w:jc w:val="right"/>
              <w:rPr>
                <w:sz w:val="16"/>
              </w:rPr>
            </w:pPr>
            <w:r w:rsidRPr="00095C7F">
              <w:rPr>
                <w:sz w:val="16"/>
              </w:rPr>
              <w:t>(3,935)</w:t>
            </w:r>
          </w:p>
        </w:tc>
        <w:tc>
          <w:tcPr>
            <w:tcW w:w="851" w:type="dxa"/>
          </w:tcPr>
          <w:p w14:paraId="60A89962" w14:textId="77777777" w:rsidR="00B02873" w:rsidRPr="00095C7F" w:rsidRDefault="00B02873" w:rsidP="00095C7F">
            <w:pPr>
              <w:pStyle w:val="TablebodyleftFinancialsTables"/>
              <w:jc w:val="right"/>
              <w:rPr>
                <w:sz w:val="16"/>
              </w:rPr>
            </w:pPr>
            <w:r w:rsidRPr="00095C7F">
              <w:rPr>
                <w:sz w:val="16"/>
              </w:rPr>
              <w:t>–</w:t>
            </w:r>
          </w:p>
        </w:tc>
        <w:tc>
          <w:tcPr>
            <w:tcW w:w="855" w:type="dxa"/>
          </w:tcPr>
          <w:p w14:paraId="3F1123FC" w14:textId="77777777" w:rsidR="00B02873" w:rsidRPr="00095C7F" w:rsidRDefault="00B02873" w:rsidP="00095C7F">
            <w:pPr>
              <w:pStyle w:val="TablebodyleftFinancialsTables"/>
              <w:jc w:val="right"/>
              <w:rPr>
                <w:sz w:val="16"/>
              </w:rPr>
            </w:pPr>
            <w:r w:rsidRPr="00095C7F">
              <w:rPr>
                <w:sz w:val="16"/>
              </w:rPr>
              <w:t>–</w:t>
            </w:r>
          </w:p>
        </w:tc>
        <w:tc>
          <w:tcPr>
            <w:tcW w:w="907" w:type="dxa"/>
          </w:tcPr>
          <w:p w14:paraId="0F9E5D28" w14:textId="77777777" w:rsidR="00B02873" w:rsidRPr="00095C7F" w:rsidRDefault="00B02873" w:rsidP="00095C7F">
            <w:pPr>
              <w:pStyle w:val="TablebodyleftFinancialsTables"/>
              <w:jc w:val="right"/>
              <w:rPr>
                <w:sz w:val="16"/>
              </w:rPr>
            </w:pPr>
            <w:r w:rsidRPr="00095C7F">
              <w:rPr>
                <w:sz w:val="16"/>
              </w:rPr>
              <w:t>(104)</w:t>
            </w:r>
          </w:p>
        </w:tc>
        <w:tc>
          <w:tcPr>
            <w:tcW w:w="903" w:type="dxa"/>
          </w:tcPr>
          <w:p w14:paraId="49687C81" w14:textId="77777777" w:rsidR="00B02873" w:rsidRPr="00095C7F" w:rsidRDefault="00B02873" w:rsidP="00095C7F">
            <w:pPr>
              <w:pStyle w:val="TablebodyleftFinancialsTables"/>
              <w:jc w:val="right"/>
              <w:rPr>
                <w:sz w:val="16"/>
              </w:rPr>
            </w:pPr>
            <w:r w:rsidRPr="00095C7F">
              <w:rPr>
                <w:sz w:val="16"/>
              </w:rPr>
              <w:t>(3,491)</w:t>
            </w:r>
          </w:p>
        </w:tc>
        <w:tc>
          <w:tcPr>
            <w:tcW w:w="992" w:type="dxa"/>
          </w:tcPr>
          <w:p w14:paraId="487D4AD0" w14:textId="77777777" w:rsidR="00B02873" w:rsidRPr="00095C7F" w:rsidRDefault="00B02873" w:rsidP="00095C7F">
            <w:pPr>
              <w:pStyle w:val="TablebodyleftFinancialsTables"/>
              <w:jc w:val="right"/>
              <w:rPr>
                <w:sz w:val="16"/>
              </w:rPr>
            </w:pPr>
            <w:r w:rsidRPr="00095C7F">
              <w:rPr>
                <w:sz w:val="16"/>
              </w:rPr>
              <w:t>–</w:t>
            </w:r>
          </w:p>
        </w:tc>
        <w:tc>
          <w:tcPr>
            <w:tcW w:w="794" w:type="dxa"/>
          </w:tcPr>
          <w:p w14:paraId="09ABE143" w14:textId="77777777" w:rsidR="00B02873" w:rsidRPr="00095C7F" w:rsidRDefault="00B02873" w:rsidP="00095C7F">
            <w:pPr>
              <w:pStyle w:val="TablebodyleftFinancialsTables"/>
              <w:jc w:val="right"/>
              <w:rPr>
                <w:sz w:val="16"/>
              </w:rPr>
            </w:pPr>
            <w:r w:rsidRPr="00095C7F">
              <w:rPr>
                <w:sz w:val="16"/>
              </w:rPr>
              <w:t>(73)</w:t>
            </w:r>
          </w:p>
        </w:tc>
        <w:tc>
          <w:tcPr>
            <w:tcW w:w="874" w:type="dxa"/>
          </w:tcPr>
          <w:p w14:paraId="21ED76B2" w14:textId="77777777" w:rsidR="00B02873" w:rsidRPr="00095C7F" w:rsidRDefault="00B02873" w:rsidP="00095C7F">
            <w:pPr>
              <w:pStyle w:val="TablebodyleftFinancialsTables"/>
              <w:jc w:val="right"/>
              <w:rPr>
                <w:sz w:val="16"/>
              </w:rPr>
            </w:pPr>
            <w:r w:rsidRPr="00095C7F">
              <w:rPr>
                <w:sz w:val="16"/>
              </w:rPr>
              <w:t>(7,898)</w:t>
            </w:r>
          </w:p>
        </w:tc>
      </w:tr>
      <w:tr w:rsidR="00B02873" w:rsidRPr="00095C7F" w14:paraId="53DCEB09" w14:textId="77777777" w:rsidTr="0090537F">
        <w:tc>
          <w:tcPr>
            <w:tcW w:w="1413" w:type="dxa"/>
          </w:tcPr>
          <w:p w14:paraId="52C487FC" w14:textId="77777777" w:rsidR="00B02873" w:rsidRPr="00095C7F" w:rsidRDefault="00B02873" w:rsidP="00F17710">
            <w:pPr>
              <w:pStyle w:val="TablebodyleftFinancialsTables"/>
              <w:rPr>
                <w:sz w:val="16"/>
              </w:rPr>
            </w:pPr>
            <w:r w:rsidRPr="00095C7F">
              <w:rPr>
                <w:sz w:val="16"/>
              </w:rPr>
              <w:t>Reclassification to asset classified as held for sale</w:t>
            </w:r>
          </w:p>
        </w:tc>
        <w:tc>
          <w:tcPr>
            <w:tcW w:w="794" w:type="dxa"/>
          </w:tcPr>
          <w:p w14:paraId="58A1AE87" w14:textId="77777777" w:rsidR="00B02873" w:rsidRPr="00095C7F" w:rsidRDefault="00B02873" w:rsidP="00095C7F">
            <w:pPr>
              <w:pStyle w:val="TablebodyleftFinancialsTables"/>
              <w:jc w:val="right"/>
              <w:rPr>
                <w:sz w:val="16"/>
              </w:rPr>
            </w:pPr>
            <w:r w:rsidRPr="00095C7F">
              <w:rPr>
                <w:sz w:val="16"/>
              </w:rPr>
              <w:t>–</w:t>
            </w:r>
          </w:p>
        </w:tc>
        <w:tc>
          <w:tcPr>
            <w:tcW w:w="903" w:type="dxa"/>
          </w:tcPr>
          <w:p w14:paraId="4DB16508" w14:textId="77777777" w:rsidR="00B02873" w:rsidRPr="00095C7F" w:rsidRDefault="00B02873" w:rsidP="00095C7F">
            <w:pPr>
              <w:pStyle w:val="TablebodyleftFinancialsTables"/>
              <w:jc w:val="right"/>
              <w:rPr>
                <w:sz w:val="16"/>
              </w:rPr>
            </w:pPr>
            <w:r w:rsidRPr="00095C7F">
              <w:rPr>
                <w:sz w:val="16"/>
              </w:rPr>
              <w:t>4,879</w:t>
            </w:r>
          </w:p>
        </w:tc>
        <w:tc>
          <w:tcPr>
            <w:tcW w:w="793" w:type="dxa"/>
          </w:tcPr>
          <w:p w14:paraId="297DC4A4" w14:textId="77777777" w:rsidR="00B02873" w:rsidRPr="00095C7F" w:rsidRDefault="00B02873" w:rsidP="00095C7F">
            <w:pPr>
              <w:pStyle w:val="TablebodyleftFinancialsTables"/>
              <w:jc w:val="right"/>
              <w:rPr>
                <w:sz w:val="16"/>
              </w:rPr>
            </w:pPr>
            <w:r w:rsidRPr="00095C7F">
              <w:rPr>
                <w:sz w:val="16"/>
              </w:rPr>
              <w:t>–</w:t>
            </w:r>
          </w:p>
        </w:tc>
        <w:tc>
          <w:tcPr>
            <w:tcW w:w="908" w:type="dxa"/>
          </w:tcPr>
          <w:p w14:paraId="58ED8E29" w14:textId="77777777" w:rsidR="00B02873" w:rsidRPr="00095C7F" w:rsidRDefault="00B02873" w:rsidP="00095C7F">
            <w:pPr>
              <w:pStyle w:val="TablebodyleftFinancialsTables"/>
              <w:jc w:val="right"/>
              <w:rPr>
                <w:sz w:val="16"/>
              </w:rPr>
            </w:pPr>
            <w:r w:rsidRPr="00095C7F">
              <w:rPr>
                <w:sz w:val="16"/>
              </w:rPr>
              <w:t>–</w:t>
            </w:r>
          </w:p>
        </w:tc>
        <w:tc>
          <w:tcPr>
            <w:tcW w:w="794" w:type="dxa"/>
          </w:tcPr>
          <w:p w14:paraId="2C7398C8" w14:textId="77777777" w:rsidR="00B02873" w:rsidRPr="00095C7F" w:rsidRDefault="00B02873" w:rsidP="00095C7F">
            <w:pPr>
              <w:pStyle w:val="TablebodyleftFinancialsTables"/>
              <w:jc w:val="right"/>
              <w:rPr>
                <w:sz w:val="16"/>
              </w:rPr>
            </w:pPr>
            <w:r w:rsidRPr="00095C7F">
              <w:rPr>
                <w:sz w:val="16"/>
              </w:rPr>
              <w:t>–</w:t>
            </w:r>
          </w:p>
        </w:tc>
        <w:tc>
          <w:tcPr>
            <w:tcW w:w="793" w:type="dxa"/>
          </w:tcPr>
          <w:p w14:paraId="69B8FAFC" w14:textId="77777777" w:rsidR="00B02873" w:rsidRPr="00095C7F" w:rsidRDefault="00B02873" w:rsidP="00095C7F">
            <w:pPr>
              <w:pStyle w:val="TablebodyleftFinancialsTables"/>
              <w:jc w:val="right"/>
              <w:rPr>
                <w:sz w:val="16"/>
              </w:rPr>
            </w:pPr>
            <w:r w:rsidRPr="00095C7F">
              <w:rPr>
                <w:sz w:val="16"/>
              </w:rPr>
              <w:t>–</w:t>
            </w:r>
          </w:p>
        </w:tc>
        <w:tc>
          <w:tcPr>
            <w:tcW w:w="964" w:type="dxa"/>
          </w:tcPr>
          <w:p w14:paraId="78817693" w14:textId="77777777" w:rsidR="00B02873" w:rsidRPr="00095C7F" w:rsidRDefault="00B02873" w:rsidP="00095C7F">
            <w:pPr>
              <w:pStyle w:val="TablebodyleftFinancialsTables"/>
              <w:jc w:val="right"/>
              <w:rPr>
                <w:sz w:val="16"/>
              </w:rPr>
            </w:pPr>
            <w:r w:rsidRPr="00095C7F">
              <w:rPr>
                <w:sz w:val="16"/>
              </w:rPr>
              <w:t>(2,730)</w:t>
            </w:r>
          </w:p>
        </w:tc>
        <w:tc>
          <w:tcPr>
            <w:tcW w:w="851" w:type="dxa"/>
          </w:tcPr>
          <w:p w14:paraId="19AEEE39" w14:textId="77777777" w:rsidR="00B02873" w:rsidRPr="00095C7F" w:rsidRDefault="00B02873" w:rsidP="00095C7F">
            <w:pPr>
              <w:pStyle w:val="TablebodyleftFinancialsTables"/>
              <w:jc w:val="right"/>
              <w:rPr>
                <w:sz w:val="16"/>
              </w:rPr>
            </w:pPr>
            <w:r w:rsidRPr="00095C7F">
              <w:rPr>
                <w:sz w:val="16"/>
              </w:rPr>
              <w:t>–</w:t>
            </w:r>
          </w:p>
        </w:tc>
        <w:tc>
          <w:tcPr>
            <w:tcW w:w="850" w:type="dxa"/>
          </w:tcPr>
          <w:p w14:paraId="66F5CE41" w14:textId="77777777" w:rsidR="00B02873" w:rsidRPr="00095C7F" w:rsidRDefault="00B02873" w:rsidP="00095C7F">
            <w:pPr>
              <w:pStyle w:val="TablebodyleftFinancialsTables"/>
              <w:jc w:val="right"/>
              <w:rPr>
                <w:sz w:val="16"/>
              </w:rPr>
            </w:pPr>
            <w:r w:rsidRPr="00095C7F">
              <w:rPr>
                <w:sz w:val="16"/>
              </w:rPr>
              <w:t>–</w:t>
            </w:r>
          </w:p>
        </w:tc>
        <w:tc>
          <w:tcPr>
            <w:tcW w:w="851" w:type="dxa"/>
          </w:tcPr>
          <w:p w14:paraId="7EF693BD" w14:textId="77777777" w:rsidR="00B02873" w:rsidRPr="00095C7F" w:rsidRDefault="00B02873" w:rsidP="00095C7F">
            <w:pPr>
              <w:pStyle w:val="TablebodyleftFinancialsTables"/>
              <w:jc w:val="right"/>
              <w:rPr>
                <w:sz w:val="16"/>
              </w:rPr>
            </w:pPr>
            <w:r w:rsidRPr="00095C7F">
              <w:rPr>
                <w:sz w:val="16"/>
              </w:rPr>
              <w:t>–</w:t>
            </w:r>
          </w:p>
        </w:tc>
        <w:tc>
          <w:tcPr>
            <w:tcW w:w="855" w:type="dxa"/>
          </w:tcPr>
          <w:p w14:paraId="548EAABA" w14:textId="77777777" w:rsidR="00B02873" w:rsidRPr="00095C7F" w:rsidRDefault="00B02873" w:rsidP="00095C7F">
            <w:pPr>
              <w:pStyle w:val="TablebodyleftFinancialsTables"/>
              <w:jc w:val="right"/>
              <w:rPr>
                <w:sz w:val="16"/>
              </w:rPr>
            </w:pPr>
            <w:r w:rsidRPr="00095C7F">
              <w:rPr>
                <w:sz w:val="16"/>
              </w:rPr>
              <w:t>–</w:t>
            </w:r>
          </w:p>
        </w:tc>
        <w:tc>
          <w:tcPr>
            <w:tcW w:w="907" w:type="dxa"/>
          </w:tcPr>
          <w:p w14:paraId="00387F29" w14:textId="77777777" w:rsidR="00B02873" w:rsidRPr="00095C7F" w:rsidRDefault="00B02873" w:rsidP="00095C7F">
            <w:pPr>
              <w:pStyle w:val="TablebodyleftFinancialsTables"/>
              <w:jc w:val="right"/>
              <w:rPr>
                <w:sz w:val="16"/>
              </w:rPr>
            </w:pPr>
            <w:r w:rsidRPr="00095C7F">
              <w:rPr>
                <w:sz w:val="16"/>
              </w:rPr>
              <w:t>–</w:t>
            </w:r>
          </w:p>
        </w:tc>
        <w:tc>
          <w:tcPr>
            <w:tcW w:w="903" w:type="dxa"/>
          </w:tcPr>
          <w:p w14:paraId="1272F65A" w14:textId="77777777" w:rsidR="00B02873" w:rsidRPr="00095C7F" w:rsidRDefault="00B02873" w:rsidP="00095C7F">
            <w:pPr>
              <w:pStyle w:val="TablebodyleftFinancialsTables"/>
              <w:jc w:val="right"/>
              <w:rPr>
                <w:sz w:val="16"/>
              </w:rPr>
            </w:pPr>
            <w:r w:rsidRPr="00095C7F">
              <w:rPr>
                <w:sz w:val="16"/>
              </w:rPr>
              <w:t>(128)</w:t>
            </w:r>
          </w:p>
        </w:tc>
        <w:tc>
          <w:tcPr>
            <w:tcW w:w="992" w:type="dxa"/>
          </w:tcPr>
          <w:p w14:paraId="5F61A5D9" w14:textId="77777777" w:rsidR="00B02873" w:rsidRPr="00095C7F" w:rsidRDefault="00B02873" w:rsidP="00095C7F">
            <w:pPr>
              <w:pStyle w:val="TablebodyleftFinancialsTables"/>
              <w:jc w:val="right"/>
              <w:rPr>
                <w:sz w:val="16"/>
              </w:rPr>
            </w:pPr>
            <w:r w:rsidRPr="00095C7F">
              <w:rPr>
                <w:sz w:val="16"/>
              </w:rPr>
              <w:t>–</w:t>
            </w:r>
          </w:p>
        </w:tc>
        <w:tc>
          <w:tcPr>
            <w:tcW w:w="794" w:type="dxa"/>
          </w:tcPr>
          <w:p w14:paraId="40246528" w14:textId="77777777" w:rsidR="00B02873" w:rsidRPr="00095C7F" w:rsidRDefault="00B02873" w:rsidP="00095C7F">
            <w:pPr>
              <w:pStyle w:val="TablebodyleftFinancialsTables"/>
              <w:jc w:val="right"/>
              <w:rPr>
                <w:sz w:val="16"/>
              </w:rPr>
            </w:pPr>
            <w:r w:rsidRPr="00095C7F">
              <w:rPr>
                <w:sz w:val="16"/>
              </w:rPr>
              <w:t>–</w:t>
            </w:r>
          </w:p>
        </w:tc>
        <w:tc>
          <w:tcPr>
            <w:tcW w:w="874" w:type="dxa"/>
          </w:tcPr>
          <w:p w14:paraId="4F498E17" w14:textId="77777777" w:rsidR="00B02873" w:rsidRPr="00095C7F" w:rsidRDefault="00B02873" w:rsidP="00095C7F">
            <w:pPr>
              <w:pStyle w:val="TablebodyleftFinancialsTables"/>
              <w:jc w:val="right"/>
              <w:rPr>
                <w:sz w:val="16"/>
              </w:rPr>
            </w:pPr>
            <w:r w:rsidRPr="00095C7F">
              <w:rPr>
                <w:sz w:val="16"/>
              </w:rPr>
              <w:t>2,021</w:t>
            </w:r>
          </w:p>
        </w:tc>
      </w:tr>
      <w:tr w:rsidR="00095C7F" w:rsidRPr="00095C7F" w14:paraId="2606D788" w14:textId="77777777" w:rsidTr="0090537F">
        <w:tc>
          <w:tcPr>
            <w:tcW w:w="1413" w:type="dxa"/>
          </w:tcPr>
          <w:p w14:paraId="5D319A93" w14:textId="77777777" w:rsidR="00B02873" w:rsidRPr="00095C7F" w:rsidRDefault="00B02873" w:rsidP="00F17710">
            <w:pPr>
              <w:pStyle w:val="TablebodyleftFinancialsTables"/>
              <w:rPr>
                <w:sz w:val="16"/>
              </w:rPr>
            </w:pPr>
            <w:r w:rsidRPr="00095C7F">
              <w:rPr>
                <w:spacing w:val="-1"/>
                <w:sz w:val="16"/>
              </w:rPr>
              <w:t>Capital contributions (to)/from owners</w:t>
            </w:r>
          </w:p>
        </w:tc>
        <w:tc>
          <w:tcPr>
            <w:tcW w:w="794" w:type="dxa"/>
          </w:tcPr>
          <w:p w14:paraId="5303DF3B" w14:textId="77777777" w:rsidR="00B02873" w:rsidRPr="00095C7F" w:rsidRDefault="00B02873" w:rsidP="00095C7F">
            <w:pPr>
              <w:pStyle w:val="TablebodyleftFinancialsTables"/>
              <w:jc w:val="right"/>
              <w:rPr>
                <w:rFonts w:ascii="VIC Bold Italic" w:hAnsi="VIC Bold Italic" w:cs="Times New Roman"/>
                <w:sz w:val="16"/>
              </w:rPr>
            </w:pPr>
          </w:p>
        </w:tc>
        <w:tc>
          <w:tcPr>
            <w:tcW w:w="903" w:type="dxa"/>
          </w:tcPr>
          <w:p w14:paraId="5697AE81" w14:textId="77777777" w:rsidR="00B02873" w:rsidRPr="00095C7F" w:rsidRDefault="00B02873" w:rsidP="00095C7F">
            <w:pPr>
              <w:pStyle w:val="TablebodyleftFinancialsTables"/>
              <w:jc w:val="right"/>
              <w:rPr>
                <w:rFonts w:ascii="VIC Bold Italic" w:hAnsi="VIC Bold Italic" w:cs="Times New Roman"/>
                <w:sz w:val="16"/>
              </w:rPr>
            </w:pPr>
          </w:p>
        </w:tc>
        <w:tc>
          <w:tcPr>
            <w:tcW w:w="793" w:type="dxa"/>
          </w:tcPr>
          <w:p w14:paraId="140E5D10" w14:textId="77777777" w:rsidR="00B02873" w:rsidRPr="00095C7F" w:rsidRDefault="00B02873" w:rsidP="00095C7F">
            <w:pPr>
              <w:pStyle w:val="TablebodyleftFinancialsTables"/>
              <w:jc w:val="right"/>
              <w:rPr>
                <w:rFonts w:ascii="VIC Bold Italic" w:hAnsi="VIC Bold Italic" w:cs="Times New Roman"/>
                <w:sz w:val="16"/>
              </w:rPr>
            </w:pPr>
          </w:p>
        </w:tc>
        <w:tc>
          <w:tcPr>
            <w:tcW w:w="908" w:type="dxa"/>
          </w:tcPr>
          <w:p w14:paraId="0614EC42" w14:textId="77777777" w:rsidR="00B02873" w:rsidRPr="00095C7F" w:rsidRDefault="00B02873" w:rsidP="00095C7F">
            <w:pPr>
              <w:pStyle w:val="TablebodyleftFinancialsTables"/>
              <w:jc w:val="right"/>
              <w:rPr>
                <w:rFonts w:ascii="VIC Bold Italic" w:hAnsi="VIC Bold Italic" w:cs="Times New Roman"/>
                <w:sz w:val="16"/>
              </w:rPr>
            </w:pPr>
          </w:p>
        </w:tc>
        <w:tc>
          <w:tcPr>
            <w:tcW w:w="794" w:type="dxa"/>
          </w:tcPr>
          <w:p w14:paraId="6BB8515A" w14:textId="77777777" w:rsidR="00B02873" w:rsidRPr="00095C7F" w:rsidRDefault="00B02873" w:rsidP="00095C7F">
            <w:pPr>
              <w:pStyle w:val="TablebodyleftFinancialsTables"/>
              <w:jc w:val="right"/>
              <w:rPr>
                <w:rFonts w:ascii="VIC Bold Italic" w:hAnsi="VIC Bold Italic" w:cs="Times New Roman"/>
                <w:sz w:val="16"/>
              </w:rPr>
            </w:pPr>
          </w:p>
        </w:tc>
        <w:tc>
          <w:tcPr>
            <w:tcW w:w="793" w:type="dxa"/>
          </w:tcPr>
          <w:p w14:paraId="1915DE70" w14:textId="77777777" w:rsidR="00B02873" w:rsidRPr="00095C7F" w:rsidRDefault="00B02873" w:rsidP="00095C7F">
            <w:pPr>
              <w:pStyle w:val="TablebodyleftFinancialsTables"/>
              <w:jc w:val="right"/>
              <w:rPr>
                <w:rFonts w:ascii="VIC Bold Italic" w:hAnsi="VIC Bold Italic" w:cs="Times New Roman"/>
                <w:sz w:val="16"/>
              </w:rPr>
            </w:pPr>
          </w:p>
        </w:tc>
        <w:tc>
          <w:tcPr>
            <w:tcW w:w="964" w:type="dxa"/>
          </w:tcPr>
          <w:p w14:paraId="77032229" w14:textId="77777777" w:rsidR="00B02873" w:rsidRPr="00095C7F" w:rsidRDefault="00B02873" w:rsidP="00095C7F">
            <w:pPr>
              <w:pStyle w:val="TablebodyleftFinancialsTables"/>
              <w:jc w:val="right"/>
              <w:rPr>
                <w:rFonts w:ascii="VIC Bold Italic" w:hAnsi="VIC Bold Italic" w:cs="Times New Roman"/>
                <w:sz w:val="16"/>
              </w:rPr>
            </w:pPr>
          </w:p>
        </w:tc>
        <w:tc>
          <w:tcPr>
            <w:tcW w:w="851" w:type="dxa"/>
          </w:tcPr>
          <w:p w14:paraId="4E4276EE" w14:textId="77777777" w:rsidR="00B02873" w:rsidRPr="00095C7F" w:rsidRDefault="00B02873" w:rsidP="00095C7F">
            <w:pPr>
              <w:pStyle w:val="TablebodyleftFinancialsTables"/>
              <w:jc w:val="right"/>
              <w:rPr>
                <w:rFonts w:ascii="VIC Bold Italic" w:hAnsi="VIC Bold Italic" w:cs="Times New Roman"/>
                <w:sz w:val="16"/>
              </w:rPr>
            </w:pPr>
          </w:p>
        </w:tc>
        <w:tc>
          <w:tcPr>
            <w:tcW w:w="850" w:type="dxa"/>
          </w:tcPr>
          <w:p w14:paraId="66D96200" w14:textId="77777777" w:rsidR="00B02873" w:rsidRPr="00095C7F" w:rsidRDefault="00B02873" w:rsidP="00095C7F">
            <w:pPr>
              <w:pStyle w:val="TablebodyleftFinancialsTables"/>
              <w:jc w:val="right"/>
              <w:rPr>
                <w:rFonts w:ascii="VIC Bold Italic" w:hAnsi="VIC Bold Italic" w:cs="Times New Roman"/>
                <w:sz w:val="16"/>
              </w:rPr>
            </w:pPr>
          </w:p>
        </w:tc>
        <w:tc>
          <w:tcPr>
            <w:tcW w:w="851" w:type="dxa"/>
          </w:tcPr>
          <w:p w14:paraId="3C91762A" w14:textId="77777777" w:rsidR="00B02873" w:rsidRPr="00095C7F" w:rsidRDefault="00B02873" w:rsidP="00095C7F">
            <w:pPr>
              <w:pStyle w:val="TablebodyleftFinancialsTables"/>
              <w:jc w:val="right"/>
              <w:rPr>
                <w:rFonts w:ascii="VIC Bold Italic" w:hAnsi="VIC Bold Italic" w:cs="Times New Roman"/>
                <w:sz w:val="16"/>
              </w:rPr>
            </w:pPr>
          </w:p>
        </w:tc>
        <w:tc>
          <w:tcPr>
            <w:tcW w:w="855" w:type="dxa"/>
          </w:tcPr>
          <w:p w14:paraId="336EECC5" w14:textId="77777777" w:rsidR="00B02873" w:rsidRPr="00095C7F" w:rsidRDefault="00B02873" w:rsidP="00095C7F">
            <w:pPr>
              <w:pStyle w:val="TablebodyleftFinancialsTables"/>
              <w:jc w:val="right"/>
              <w:rPr>
                <w:rFonts w:ascii="VIC Bold Italic" w:hAnsi="VIC Bold Italic" w:cs="Times New Roman"/>
                <w:sz w:val="16"/>
              </w:rPr>
            </w:pPr>
          </w:p>
        </w:tc>
        <w:tc>
          <w:tcPr>
            <w:tcW w:w="907" w:type="dxa"/>
          </w:tcPr>
          <w:p w14:paraId="417E0E4B" w14:textId="77777777" w:rsidR="00B02873" w:rsidRPr="00095C7F" w:rsidRDefault="00B02873" w:rsidP="00095C7F">
            <w:pPr>
              <w:pStyle w:val="TablebodyleftFinancialsTables"/>
              <w:jc w:val="right"/>
              <w:rPr>
                <w:rFonts w:ascii="VIC Bold Italic" w:hAnsi="VIC Bold Italic" w:cs="Times New Roman"/>
                <w:sz w:val="16"/>
              </w:rPr>
            </w:pPr>
          </w:p>
        </w:tc>
        <w:tc>
          <w:tcPr>
            <w:tcW w:w="903" w:type="dxa"/>
          </w:tcPr>
          <w:p w14:paraId="1BF72D16" w14:textId="77777777" w:rsidR="00B02873" w:rsidRPr="00095C7F" w:rsidRDefault="00B02873" w:rsidP="00095C7F">
            <w:pPr>
              <w:pStyle w:val="TablebodyleftFinancialsTables"/>
              <w:jc w:val="right"/>
              <w:rPr>
                <w:rFonts w:ascii="VIC Bold Italic" w:hAnsi="VIC Bold Italic" w:cs="Times New Roman"/>
                <w:sz w:val="16"/>
              </w:rPr>
            </w:pPr>
          </w:p>
        </w:tc>
        <w:tc>
          <w:tcPr>
            <w:tcW w:w="992" w:type="dxa"/>
          </w:tcPr>
          <w:p w14:paraId="748976A9" w14:textId="77777777" w:rsidR="00B02873" w:rsidRPr="00095C7F" w:rsidRDefault="00B02873" w:rsidP="00095C7F">
            <w:pPr>
              <w:pStyle w:val="TablebodyleftFinancialsTables"/>
              <w:jc w:val="right"/>
              <w:rPr>
                <w:rFonts w:ascii="VIC Bold Italic" w:hAnsi="VIC Bold Italic" w:cs="Times New Roman"/>
                <w:sz w:val="16"/>
              </w:rPr>
            </w:pPr>
          </w:p>
        </w:tc>
        <w:tc>
          <w:tcPr>
            <w:tcW w:w="794" w:type="dxa"/>
          </w:tcPr>
          <w:p w14:paraId="589A3125" w14:textId="77777777" w:rsidR="00B02873" w:rsidRPr="00095C7F" w:rsidRDefault="00B02873" w:rsidP="00095C7F">
            <w:pPr>
              <w:pStyle w:val="TablebodyleftFinancialsTables"/>
              <w:jc w:val="right"/>
              <w:rPr>
                <w:rFonts w:ascii="VIC Bold Italic" w:hAnsi="VIC Bold Italic" w:cs="Times New Roman"/>
                <w:sz w:val="16"/>
              </w:rPr>
            </w:pPr>
          </w:p>
        </w:tc>
        <w:tc>
          <w:tcPr>
            <w:tcW w:w="874" w:type="dxa"/>
          </w:tcPr>
          <w:p w14:paraId="2E5C4D1B" w14:textId="77777777" w:rsidR="00B02873" w:rsidRPr="00095C7F" w:rsidRDefault="00B02873" w:rsidP="00095C7F">
            <w:pPr>
              <w:pStyle w:val="TablebodyleftFinancialsTables"/>
              <w:jc w:val="right"/>
              <w:rPr>
                <w:rFonts w:ascii="VIC Bold Italic" w:hAnsi="VIC Bold Italic" w:cs="Times New Roman"/>
                <w:sz w:val="16"/>
              </w:rPr>
            </w:pPr>
          </w:p>
        </w:tc>
      </w:tr>
      <w:tr w:rsidR="00B02873" w:rsidRPr="00095C7F" w14:paraId="5BFA7307" w14:textId="77777777" w:rsidTr="0090537F">
        <w:tc>
          <w:tcPr>
            <w:tcW w:w="1413" w:type="dxa"/>
          </w:tcPr>
          <w:p w14:paraId="6F874443" w14:textId="77777777" w:rsidR="00B02873" w:rsidRPr="00095C7F" w:rsidRDefault="00B02873" w:rsidP="00F17710">
            <w:pPr>
              <w:pStyle w:val="TablebodyleftFinancialsTables"/>
              <w:rPr>
                <w:sz w:val="16"/>
              </w:rPr>
            </w:pPr>
            <w:r w:rsidRPr="00095C7F">
              <w:rPr>
                <w:sz w:val="16"/>
              </w:rPr>
              <w:t>Transfers (to)/from other government entities</w:t>
            </w:r>
          </w:p>
        </w:tc>
        <w:tc>
          <w:tcPr>
            <w:tcW w:w="794" w:type="dxa"/>
          </w:tcPr>
          <w:p w14:paraId="33529F99" w14:textId="77777777" w:rsidR="00B02873" w:rsidRPr="00095C7F" w:rsidRDefault="00B02873" w:rsidP="00095C7F">
            <w:pPr>
              <w:pStyle w:val="TablebodyleftFinancialsTables"/>
              <w:jc w:val="right"/>
              <w:rPr>
                <w:sz w:val="16"/>
              </w:rPr>
            </w:pPr>
            <w:r w:rsidRPr="00095C7F">
              <w:rPr>
                <w:sz w:val="16"/>
              </w:rPr>
              <w:t>–</w:t>
            </w:r>
          </w:p>
        </w:tc>
        <w:tc>
          <w:tcPr>
            <w:tcW w:w="903" w:type="dxa"/>
          </w:tcPr>
          <w:p w14:paraId="03C181BC" w14:textId="77777777" w:rsidR="00B02873" w:rsidRPr="00095C7F" w:rsidRDefault="00B02873" w:rsidP="00095C7F">
            <w:pPr>
              <w:pStyle w:val="TablebodyleftFinancialsTables"/>
              <w:jc w:val="right"/>
              <w:rPr>
                <w:sz w:val="16"/>
              </w:rPr>
            </w:pPr>
            <w:r w:rsidRPr="00095C7F">
              <w:rPr>
                <w:sz w:val="16"/>
              </w:rPr>
              <w:t>(4,942)</w:t>
            </w:r>
          </w:p>
        </w:tc>
        <w:tc>
          <w:tcPr>
            <w:tcW w:w="793" w:type="dxa"/>
          </w:tcPr>
          <w:p w14:paraId="319AB1E9" w14:textId="77777777" w:rsidR="00B02873" w:rsidRPr="00095C7F" w:rsidRDefault="00B02873" w:rsidP="00095C7F">
            <w:pPr>
              <w:pStyle w:val="TablebodyleftFinancialsTables"/>
              <w:jc w:val="right"/>
              <w:rPr>
                <w:sz w:val="16"/>
              </w:rPr>
            </w:pPr>
            <w:r w:rsidRPr="00095C7F">
              <w:rPr>
                <w:sz w:val="16"/>
              </w:rPr>
              <w:t>–</w:t>
            </w:r>
          </w:p>
        </w:tc>
        <w:tc>
          <w:tcPr>
            <w:tcW w:w="908" w:type="dxa"/>
          </w:tcPr>
          <w:p w14:paraId="16A7FC5B" w14:textId="77777777" w:rsidR="00B02873" w:rsidRPr="00095C7F" w:rsidRDefault="00B02873" w:rsidP="00095C7F">
            <w:pPr>
              <w:pStyle w:val="TablebodyleftFinancialsTables"/>
              <w:jc w:val="right"/>
              <w:rPr>
                <w:sz w:val="16"/>
              </w:rPr>
            </w:pPr>
            <w:r w:rsidRPr="00095C7F">
              <w:rPr>
                <w:sz w:val="16"/>
              </w:rPr>
              <w:t>–</w:t>
            </w:r>
          </w:p>
        </w:tc>
        <w:tc>
          <w:tcPr>
            <w:tcW w:w="794" w:type="dxa"/>
          </w:tcPr>
          <w:p w14:paraId="4588F830" w14:textId="77777777" w:rsidR="00B02873" w:rsidRPr="00095C7F" w:rsidRDefault="00B02873" w:rsidP="00095C7F">
            <w:pPr>
              <w:pStyle w:val="TablebodyleftFinancialsTables"/>
              <w:jc w:val="right"/>
              <w:rPr>
                <w:sz w:val="16"/>
              </w:rPr>
            </w:pPr>
            <w:r w:rsidRPr="00095C7F">
              <w:rPr>
                <w:sz w:val="16"/>
              </w:rPr>
              <w:t>–</w:t>
            </w:r>
          </w:p>
        </w:tc>
        <w:tc>
          <w:tcPr>
            <w:tcW w:w="793" w:type="dxa"/>
          </w:tcPr>
          <w:p w14:paraId="32A62E11" w14:textId="77777777" w:rsidR="00B02873" w:rsidRPr="00095C7F" w:rsidRDefault="00B02873" w:rsidP="00095C7F">
            <w:pPr>
              <w:pStyle w:val="TablebodyleftFinancialsTables"/>
              <w:jc w:val="right"/>
              <w:rPr>
                <w:sz w:val="16"/>
              </w:rPr>
            </w:pPr>
            <w:r w:rsidRPr="00095C7F">
              <w:rPr>
                <w:sz w:val="16"/>
              </w:rPr>
              <w:t>–</w:t>
            </w:r>
          </w:p>
        </w:tc>
        <w:tc>
          <w:tcPr>
            <w:tcW w:w="964" w:type="dxa"/>
          </w:tcPr>
          <w:p w14:paraId="2C4219D8" w14:textId="77777777" w:rsidR="00B02873" w:rsidRPr="00095C7F" w:rsidRDefault="00B02873" w:rsidP="00095C7F">
            <w:pPr>
              <w:pStyle w:val="TablebodyleftFinancialsTables"/>
              <w:jc w:val="right"/>
              <w:rPr>
                <w:sz w:val="16"/>
              </w:rPr>
            </w:pPr>
            <w:r w:rsidRPr="00095C7F">
              <w:rPr>
                <w:sz w:val="16"/>
              </w:rPr>
              <w:t>–</w:t>
            </w:r>
          </w:p>
        </w:tc>
        <w:tc>
          <w:tcPr>
            <w:tcW w:w="851" w:type="dxa"/>
          </w:tcPr>
          <w:p w14:paraId="7EE63ADF" w14:textId="77777777" w:rsidR="00B02873" w:rsidRPr="00095C7F" w:rsidRDefault="00B02873" w:rsidP="00095C7F">
            <w:pPr>
              <w:pStyle w:val="TablebodyleftFinancialsTables"/>
              <w:jc w:val="right"/>
              <w:rPr>
                <w:sz w:val="16"/>
              </w:rPr>
            </w:pPr>
            <w:r w:rsidRPr="00095C7F">
              <w:rPr>
                <w:sz w:val="16"/>
              </w:rPr>
              <w:t>–</w:t>
            </w:r>
          </w:p>
        </w:tc>
        <w:tc>
          <w:tcPr>
            <w:tcW w:w="850" w:type="dxa"/>
          </w:tcPr>
          <w:p w14:paraId="616D812F" w14:textId="77777777" w:rsidR="00B02873" w:rsidRPr="00095C7F" w:rsidRDefault="00B02873" w:rsidP="00095C7F">
            <w:pPr>
              <w:pStyle w:val="TablebodyleftFinancialsTables"/>
              <w:jc w:val="right"/>
              <w:rPr>
                <w:sz w:val="16"/>
              </w:rPr>
            </w:pPr>
            <w:r w:rsidRPr="00095C7F">
              <w:rPr>
                <w:sz w:val="16"/>
              </w:rPr>
              <w:t>(4,971)</w:t>
            </w:r>
          </w:p>
        </w:tc>
        <w:tc>
          <w:tcPr>
            <w:tcW w:w="851" w:type="dxa"/>
          </w:tcPr>
          <w:p w14:paraId="4101D1CC" w14:textId="77777777" w:rsidR="00B02873" w:rsidRPr="00095C7F" w:rsidRDefault="00B02873" w:rsidP="00095C7F">
            <w:pPr>
              <w:pStyle w:val="TablebodyleftFinancialsTables"/>
              <w:jc w:val="right"/>
              <w:rPr>
                <w:sz w:val="16"/>
              </w:rPr>
            </w:pPr>
            <w:r w:rsidRPr="00095C7F">
              <w:rPr>
                <w:sz w:val="16"/>
              </w:rPr>
              <w:t>–</w:t>
            </w:r>
          </w:p>
        </w:tc>
        <w:tc>
          <w:tcPr>
            <w:tcW w:w="855" w:type="dxa"/>
          </w:tcPr>
          <w:p w14:paraId="7DDA6442" w14:textId="77777777" w:rsidR="00B02873" w:rsidRPr="00095C7F" w:rsidRDefault="00B02873" w:rsidP="00095C7F">
            <w:pPr>
              <w:pStyle w:val="TablebodyleftFinancialsTables"/>
              <w:jc w:val="right"/>
              <w:rPr>
                <w:sz w:val="16"/>
              </w:rPr>
            </w:pPr>
            <w:r w:rsidRPr="00095C7F">
              <w:rPr>
                <w:sz w:val="16"/>
              </w:rPr>
              <w:t>–</w:t>
            </w:r>
          </w:p>
        </w:tc>
        <w:tc>
          <w:tcPr>
            <w:tcW w:w="907" w:type="dxa"/>
          </w:tcPr>
          <w:p w14:paraId="3E45406C" w14:textId="77777777" w:rsidR="00B02873" w:rsidRPr="00095C7F" w:rsidRDefault="00B02873" w:rsidP="00095C7F">
            <w:pPr>
              <w:pStyle w:val="TablebodyleftFinancialsTables"/>
              <w:jc w:val="right"/>
              <w:rPr>
                <w:sz w:val="16"/>
              </w:rPr>
            </w:pPr>
            <w:r w:rsidRPr="00095C7F">
              <w:rPr>
                <w:sz w:val="16"/>
              </w:rPr>
              <w:t>(82)</w:t>
            </w:r>
          </w:p>
        </w:tc>
        <w:tc>
          <w:tcPr>
            <w:tcW w:w="903" w:type="dxa"/>
          </w:tcPr>
          <w:p w14:paraId="01C5403C" w14:textId="77777777" w:rsidR="00B02873" w:rsidRPr="00095C7F" w:rsidRDefault="00B02873" w:rsidP="00095C7F">
            <w:pPr>
              <w:pStyle w:val="TablebodyleftFinancialsTables"/>
              <w:jc w:val="right"/>
              <w:rPr>
                <w:sz w:val="16"/>
              </w:rPr>
            </w:pPr>
            <w:r w:rsidRPr="00095C7F">
              <w:rPr>
                <w:sz w:val="16"/>
              </w:rPr>
              <w:t>–</w:t>
            </w:r>
          </w:p>
        </w:tc>
        <w:tc>
          <w:tcPr>
            <w:tcW w:w="992" w:type="dxa"/>
          </w:tcPr>
          <w:p w14:paraId="073DFED7" w14:textId="77777777" w:rsidR="00B02873" w:rsidRPr="00095C7F" w:rsidRDefault="00B02873" w:rsidP="00095C7F">
            <w:pPr>
              <w:pStyle w:val="TablebodyleftFinancialsTables"/>
              <w:jc w:val="right"/>
              <w:rPr>
                <w:sz w:val="16"/>
              </w:rPr>
            </w:pPr>
            <w:r w:rsidRPr="00095C7F">
              <w:rPr>
                <w:sz w:val="16"/>
              </w:rPr>
              <w:t>–</w:t>
            </w:r>
          </w:p>
        </w:tc>
        <w:tc>
          <w:tcPr>
            <w:tcW w:w="794" w:type="dxa"/>
          </w:tcPr>
          <w:p w14:paraId="706624B1" w14:textId="77777777" w:rsidR="00B02873" w:rsidRPr="00095C7F" w:rsidRDefault="00B02873" w:rsidP="00095C7F">
            <w:pPr>
              <w:pStyle w:val="TablebodyleftFinancialsTables"/>
              <w:jc w:val="right"/>
              <w:rPr>
                <w:sz w:val="16"/>
              </w:rPr>
            </w:pPr>
            <w:r w:rsidRPr="00095C7F">
              <w:rPr>
                <w:sz w:val="16"/>
              </w:rPr>
              <w:t>–</w:t>
            </w:r>
          </w:p>
        </w:tc>
        <w:tc>
          <w:tcPr>
            <w:tcW w:w="874" w:type="dxa"/>
          </w:tcPr>
          <w:p w14:paraId="199AA00B" w14:textId="77777777" w:rsidR="00B02873" w:rsidRPr="00095C7F" w:rsidRDefault="00B02873" w:rsidP="00095C7F">
            <w:pPr>
              <w:pStyle w:val="TablebodyleftFinancialsTables"/>
              <w:jc w:val="right"/>
              <w:rPr>
                <w:sz w:val="16"/>
              </w:rPr>
            </w:pPr>
            <w:r w:rsidRPr="00095C7F">
              <w:rPr>
                <w:sz w:val="16"/>
              </w:rPr>
              <w:t>(9,995)</w:t>
            </w:r>
          </w:p>
        </w:tc>
      </w:tr>
      <w:tr w:rsidR="00095C7F" w:rsidRPr="00095C7F" w14:paraId="07E6820C" w14:textId="77777777" w:rsidTr="0090537F">
        <w:tc>
          <w:tcPr>
            <w:tcW w:w="1413" w:type="dxa"/>
          </w:tcPr>
          <w:p w14:paraId="321BB3C1" w14:textId="77777777" w:rsidR="00B02873" w:rsidRPr="00095C7F" w:rsidRDefault="00B02873" w:rsidP="00F17710">
            <w:pPr>
              <w:pStyle w:val="TablebodyleftFinancialsTables"/>
              <w:rPr>
                <w:sz w:val="16"/>
              </w:rPr>
            </w:pPr>
            <w:r w:rsidRPr="00095C7F">
              <w:rPr>
                <w:sz w:val="16"/>
              </w:rPr>
              <w:t>Machinery of Government transfers in/(out)</w:t>
            </w:r>
          </w:p>
        </w:tc>
        <w:tc>
          <w:tcPr>
            <w:tcW w:w="794" w:type="dxa"/>
          </w:tcPr>
          <w:p w14:paraId="6BCBAF47" w14:textId="77777777" w:rsidR="00B02873" w:rsidRPr="00095C7F" w:rsidRDefault="00B02873" w:rsidP="00095C7F">
            <w:pPr>
              <w:pStyle w:val="TablebodyleftFinancialsTables"/>
              <w:jc w:val="right"/>
              <w:rPr>
                <w:sz w:val="16"/>
              </w:rPr>
            </w:pPr>
            <w:r w:rsidRPr="00095C7F">
              <w:rPr>
                <w:sz w:val="16"/>
              </w:rPr>
              <w:t>–</w:t>
            </w:r>
          </w:p>
        </w:tc>
        <w:tc>
          <w:tcPr>
            <w:tcW w:w="903" w:type="dxa"/>
          </w:tcPr>
          <w:p w14:paraId="00103188" w14:textId="77777777" w:rsidR="00B02873" w:rsidRPr="00095C7F" w:rsidRDefault="00B02873" w:rsidP="00095C7F">
            <w:pPr>
              <w:pStyle w:val="TablebodyleftFinancialsTables"/>
              <w:jc w:val="right"/>
              <w:rPr>
                <w:sz w:val="16"/>
              </w:rPr>
            </w:pPr>
            <w:r w:rsidRPr="00095C7F">
              <w:rPr>
                <w:sz w:val="16"/>
              </w:rPr>
              <w:t>–</w:t>
            </w:r>
          </w:p>
        </w:tc>
        <w:tc>
          <w:tcPr>
            <w:tcW w:w="793" w:type="dxa"/>
          </w:tcPr>
          <w:p w14:paraId="0848CFE7" w14:textId="77777777" w:rsidR="00B02873" w:rsidRPr="00095C7F" w:rsidRDefault="00B02873" w:rsidP="00095C7F">
            <w:pPr>
              <w:pStyle w:val="TablebodyleftFinancialsTables"/>
              <w:jc w:val="right"/>
              <w:rPr>
                <w:sz w:val="16"/>
              </w:rPr>
            </w:pPr>
            <w:r w:rsidRPr="00095C7F">
              <w:rPr>
                <w:sz w:val="16"/>
              </w:rPr>
              <w:t>–</w:t>
            </w:r>
          </w:p>
        </w:tc>
        <w:tc>
          <w:tcPr>
            <w:tcW w:w="908" w:type="dxa"/>
          </w:tcPr>
          <w:p w14:paraId="6C5C8BD0" w14:textId="77777777" w:rsidR="00B02873" w:rsidRPr="00095C7F" w:rsidRDefault="00B02873" w:rsidP="00095C7F">
            <w:pPr>
              <w:pStyle w:val="TablebodyleftFinancialsTables"/>
              <w:jc w:val="right"/>
              <w:rPr>
                <w:sz w:val="16"/>
              </w:rPr>
            </w:pPr>
            <w:r w:rsidRPr="00095C7F">
              <w:rPr>
                <w:sz w:val="16"/>
              </w:rPr>
              <w:t>–</w:t>
            </w:r>
          </w:p>
        </w:tc>
        <w:tc>
          <w:tcPr>
            <w:tcW w:w="794" w:type="dxa"/>
          </w:tcPr>
          <w:p w14:paraId="356C8937" w14:textId="77777777" w:rsidR="00B02873" w:rsidRPr="00095C7F" w:rsidRDefault="00B02873" w:rsidP="00095C7F">
            <w:pPr>
              <w:pStyle w:val="TablebodyleftFinancialsTables"/>
              <w:jc w:val="right"/>
              <w:rPr>
                <w:sz w:val="16"/>
              </w:rPr>
            </w:pPr>
            <w:r w:rsidRPr="00095C7F">
              <w:rPr>
                <w:sz w:val="16"/>
              </w:rPr>
              <w:t>–</w:t>
            </w:r>
          </w:p>
        </w:tc>
        <w:tc>
          <w:tcPr>
            <w:tcW w:w="793" w:type="dxa"/>
          </w:tcPr>
          <w:p w14:paraId="1FD8E4EA" w14:textId="77777777" w:rsidR="00B02873" w:rsidRPr="00095C7F" w:rsidRDefault="00B02873" w:rsidP="00095C7F">
            <w:pPr>
              <w:pStyle w:val="TablebodyleftFinancialsTables"/>
              <w:jc w:val="right"/>
              <w:rPr>
                <w:sz w:val="16"/>
              </w:rPr>
            </w:pPr>
            <w:r w:rsidRPr="00095C7F">
              <w:rPr>
                <w:sz w:val="16"/>
              </w:rPr>
              <w:t>–</w:t>
            </w:r>
          </w:p>
        </w:tc>
        <w:tc>
          <w:tcPr>
            <w:tcW w:w="964" w:type="dxa"/>
          </w:tcPr>
          <w:p w14:paraId="5ED2A7FE" w14:textId="77777777" w:rsidR="00B02873" w:rsidRPr="00095C7F" w:rsidRDefault="00B02873" w:rsidP="00095C7F">
            <w:pPr>
              <w:pStyle w:val="TablebodyleftFinancialsTables"/>
              <w:jc w:val="right"/>
              <w:rPr>
                <w:sz w:val="16"/>
              </w:rPr>
            </w:pPr>
            <w:r w:rsidRPr="00095C7F">
              <w:rPr>
                <w:sz w:val="16"/>
              </w:rPr>
              <w:t>–</w:t>
            </w:r>
          </w:p>
        </w:tc>
        <w:tc>
          <w:tcPr>
            <w:tcW w:w="851" w:type="dxa"/>
          </w:tcPr>
          <w:p w14:paraId="5283A3F3" w14:textId="77777777" w:rsidR="00B02873" w:rsidRPr="00095C7F" w:rsidRDefault="00B02873" w:rsidP="00095C7F">
            <w:pPr>
              <w:pStyle w:val="TablebodyleftFinancialsTables"/>
              <w:jc w:val="right"/>
              <w:rPr>
                <w:sz w:val="16"/>
              </w:rPr>
            </w:pPr>
            <w:r w:rsidRPr="00095C7F">
              <w:rPr>
                <w:sz w:val="16"/>
              </w:rPr>
              <w:t>–</w:t>
            </w:r>
          </w:p>
        </w:tc>
        <w:tc>
          <w:tcPr>
            <w:tcW w:w="850" w:type="dxa"/>
          </w:tcPr>
          <w:p w14:paraId="1F35719A" w14:textId="77777777" w:rsidR="00B02873" w:rsidRPr="00095C7F" w:rsidRDefault="00B02873" w:rsidP="00095C7F">
            <w:pPr>
              <w:pStyle w:val="TablebodyleftFinancialsTables"/>
              <w:jc w:val="right"/>
              <w:rPr>
                <w:sz w:val="16"/>
              </w:rPr>
            </w:pPr>
            <w:r w:rsidRPr="00095C7F">
              <w:rPr>
                <w:sz w:val="16"/>
              </w:rPr>
              <w:t>–</w:t>
            </w:r>
          </w:p>
        </w:tc>
        <w:tc>
          <w:tcPr>
            <w:tcW w:w="851" w:type="dxa"/>
          </w:tcPr>
          <w:p w14:paraId="6053EFFE" w14:textId="77777777" w:rsidR="00B02873" w:rsidRPr="00095C7F" w:rsidRDefault="00B02873" w:rsidP="00095C7F">
            <w:pPr>
              <w:pStyle w:val="TablebodyleftFinancialsTables"/>
              <w:jc w:val="right"/>
              <w:rPr>
                <w:sz w:val="16"/>
              </w:rPr>
            </w:pPr>
            <w:r w:rsidRPr="00095C7F">
              <w:rPr>
                <w:sz w:val="16"/>
              </w:rPr>
              <w:t>–</w:t>
            </w:r>
          </w:p>
        </w:tc>
        <w:tc>
          <w:tcPr>
            <w:tcW w:w="855" w:type="dxa"/>
          </w:tcPr>
          <w:p w14:paraId="0F2AD551" w14:textId="77777777" w:rsidR="00B02873" w:rsidRPr="00095C7F" w:rsidRDefault="00B02873" w:rsidP="00095C7F">
            <w:pPr>
              <w:pStyle w:val="TablebodyleftFinancialsTables"/>
              <w:jc w:val="right"/>
              <w:rPr>
                <w:sz w:val="16"/>
              </w:rPr>
            </w:pPr>
            <w:r w:rsidRPr="00095C7F">
              <w:rPr>
                <w:sz w:val="16"/>
              </w:rPr>
              <w:t>–</w:t>
            </w:r>
          </w:p>
        </w:tc>
        <w:tc>
          <w:tcPr>
            <w:tcW w:w="907" w:type="dxa"/>
          </w:tcPr>
          <w:p w14:paraId="7946496E" w14:textId="77777777" w:rsidR="00B02873" w:rsidRPr="00095C7F" w:rsidRDefault="00B02873" w:rsidP="00095C7F">
            <w:pPr>
              <w:pStyle w:val="TablebodyleftFinancialsTables"/>
              <w:jc w:val="right"/>
              <w:rPr>
                <w:sz w:val="16"/>
              </w:rPr>
            </w:pPr>
            <w:r w:rsidRPr="00095C7F">
              <w:rPr>
                <w:sz w:val="16"/>
              </w:rPr>
              <w:t>–</w:t>
            </w:r>
          </w:p>
        </w:tc>
        <w:tc>
          <w:tcPr>
            <w:tcW w:w="903" w:type="dxa"/>
          </w:tcPr>
          <w:p w14:paraId="187C0C55" w14:textId="77777777" w:rsidR="00B02873" w:rsidRPr="00095C7F" w:rsidRDefault="00B02873" w:rsidP="00095C7F">
            <w:pPr>
              <w:pStyle w:val="TablebodyleftFinancialsTables"/>
              <w:jc w:val="right"/>
              <w:rPr>
                <w:sz w:val="16"/>
              </w:rPr>
            </w:pPr>
            <w:r w:rsidRPr="00095C7F">
              <w:rPr>
                <w:sz w:val="16"/>
              </w:rPr>
              <w:t>(45)</w:t>
            </w:r>
          </w:p>
        </w:tc>
        <w:tc>
          <w:tcPr>
            <w:tcW w:w="992" w:type="dxa"/>
          </w:tcPr>
          <w:p w14:paraId="69F1C6A8" w14:textId="77777777" w:rsidR="00B02873" w:rsidRPr="00095C7F" w:rsidRDefault="00B02873" w:rsidP="00095C7F">
            <w:pPr>
              <w:pStyle w:val="TablebodyleftFinancialsTables"/>
              <w:jc w:val="right"/>
              <w:rPr>
                <w:sz w:val="16"/>
              </w:rPr>
            </w:pPr>
            <w:r w:rsidRPr="00095C7F">
              <w:rPr>
                <w:sz w:val="16"/>
              </w:rPr>
              <w:t>–</w:t>
            </w:r>
          </w:p>
        </w:tc>
        <w:tc>
          <w:tcPr>
            <w:tcW w:w="794" w:type="dxa"/>
          </w:tcPr>
          <w:p w14:paraId="7B5F1A8E" w14:textId="77777777" w:rsidR="00B02873" w:rsidRPr="00095C7F" w:rsidRDefault="00B02873" w:rsidP="00095C7F">
            <w:pPr>
              <w:pStyle w:val="TablebodyleftFinancialsTables"/>
              <w:jc w:val="right"/>
              <w:rPr>
                <w:sz w:val="16"/>
              </w:rPr>
            </w:pPr>
            <w:r w:rsidRPr="00095C7F">
              <w:rPr>
                <w:sz w:val="16"/>
              </w:rPr>
              <w:t>–</w:t>
            </w:r>
          </w:p>
        </w:tc>
        <w:tc>
          <w:tcPr>
            <w:tcW w:w="874" w:type="dxa"/>
          </w:tcPr>
          <w:p w14:paraId="0A8ABFA3" w14:textId="77777777" w:rsidR="00B02873" w:rsidRPr="00095C7F" w:rsidRDefault="00B02873" w:rsidP="00095C7F">
            <w:pPr>
              <w:pStyle w:val="TablebodyleftFinancialsTables"/>
              <w:jc w:val="right"/>
              <w:rPr>
                <w:sz w:val="16"/>
              </w:rPr>
            </w:pPr>
            <w:r w:rsidRPr="00095C7F">
              <w:rPr>
                <w:sz w:val="16"/>
              </w:rPr>
              <w:t>(45)</w:t>
            </w:r>
          </w:p>
        </w:tc>
      </w:tr>
      <w:tr w:rsidR="00B02873" w:rsidRPr="00095C7F" w14:paraId="0BB0B52C" w14:textId="77777777" w:rsidTr="0090537F">
        <w:tc>
          <w:tcPr>
            <w:tcW w:w="1413" w:type="dxa"/>
          </w:tcPr>
          <w:p w14:paraId="3117B1D2" w14:textId="77777777" w:rsidR="00B02873" w:rsidRPr="00095C7F" w:rsidRDefault="00B02873" w:rsidP="00F17710">
            <w:pPr>
              <w:pStyle w:val="TablebodyleftFinancialsTables"/>
              <w:rPr>
                <w:sz w:val="16"/>
              </w:rPr>
            </w:pPr>
            <w:r w:rsidRPr="00095C7F">
              <w:rPr>
                <w:sz w:val="16"/>
              </w:rPr>
              <w:t>Transfers to third parties</w:t>
            </w:r>
            <w:r w:rsidRPr="00095C7F">
              <w:rPr>
                <w:sz w:val="16"/>
                <w:vertAlign w:val="superscript"/>
              </w:rPr>
              <w:t>(i)</w:t>
            </w:r>
          </w:p>
        </w:tc>
        <w:tc>
          <w:tcPr>
            <w:tcW w:w="794" w:type="dxa"/>
          </w:tcPr>
          <w:p w14:paraId="750D8640" w14:textId="77777777" w:rsidR="00B02873" w:rsidRPr="00095C7F" w:rsidRDefault="00B02873" w:rsidP="00095C7F">
            <w:pPr>
              <w:pStyle w:val="TablebodyleftFinancialsTables"/>
              <w:jc w:val="right"/>
              <w:rPr>
                <w:sz w:val="16"/>
              </w:rPr>
            </w:pPr>
            <w:r w:rsidRPr="00095C7F">
              <w:rPr>
                <w:sz w:val="16"/>
              </w:rPr>
              <w:t>–</w:t>
            </w:r>
          </w:p>
        </w:tc>
        <w:tc>
          <w:tcPr>
            <w:tcW w:w="903" w:type="dxa"/>
          </w:tcPr>
          <w:p w14:paraId="22E43199" w14:textId="77777777" w:rsidR="00B02873" w:rsidRPr="00095C7F" w:rsidRDefault="00B02873" w:rsidP="00095C7F">
            <w:pPr>
              <w:pStyle w:val="TablebodyleftFinancialsTables"/>
              <w:jc w:val="right"/>
              <w:rPr>
                <w:sz w:val="16"/>
              </w:rPr>
            </w:pPr>
            <w:r w:rsidRPr="00095C7F">
              <w:rPr>
                <w:sz w:val="16"/>
              </w:rPr>
              <w:t>(5,075)</w:t>
            </w:r>
          </w:p>
        </w:tc>
        <w:tc>
          <w:tcPr>
            <w:tcW w:w="793" w:type="dxa"/>
          </w:tcPr>
          <w:p w14:paraId="274F873C" w14:textId="77777777" w:rsidR="00B02873" w:rsidRPr="00095C7F" w:rsidRDefault="00B02873" w:rsidP="00095C7F">
            <w:pPr>
              <w:pStyle w:val="TablebodyleftFinancialsTables"/>
              <w:jc w:val="right"/>
              <w:rPr>
                <w:sz w:val="16"/>
              </w:rPr>
            </w:pPr>
            <w:r w:rsidRPr="00095C7F">
              <w:rPr>
                <w:sz w:val="16"/>
              </w:rPr>
              <w:t>–</w:t>
            </w:r>
          </w:p>
        </w:tc>
        <w:tc>
          <w:tcPr>
            <w:tcW w:w="908" w:type="dxa"/>
          </w:tcPr>
          <w:p w14:paraId="3103DBAB" w14:textId="77777777" w:rsidR="00B02873" w:rsidRPr="00095C7F" w:rsidRDefault="00B02873" w:rsidP="00095C7F">
            <w:pPr>
              <w:pStyle w:val="TablebodyleftFinancialsTables"/>
              <w:jc w:val="right"/>
              <w:rPr>
                <w:sz w:val="16"/>
              </w:rPr>
            </w:pPr>
            <w:r w:rsidRPr="00095C7F">
              <w:rPr>
                <w:sz w:val="16"/>
              </w:rPr>
              <w:t>–</w:t>
            </w:r>
          </w:p>
        </w:tc>
        <w:tc>
          <w:tcPr>
            <w:tcW w:w="794" w:type="dxa"/>
          </w:tcPr>
          <w:p w14:paraId="7C0F04E9" w14:textId="77777777" w:rsidR="00B02873" w:rsidRPr="00095C7F" w:rsidRDefault="00B02873" w:rsidP="00095C7F">
            <w:pPr>
              <w:pStyle w:val="TablebodyleftFinancialsTables"/>
              <w:jc w:val="right"/>
              <w:rPr>
                <w:sz w:val="16"/>
              </w:rPr>
            </w:pPr>
            <w:r w:rsidRPr="00095C7F">
              <w:rPr>
                <w:sz w:val="16"/>
              </w:rPr>
              <w:t>(66)</w:t>
            </w:r>
          </w:p>
        </w:tc>
        <w:tc>
          <w:tcPr>
            <w:tcW w:w="793" w:type="dxa"/>
          </w:tcPr>
          <w:p w14:paraId="673C5E05" w14:textId="77777777" w:rsidR="00B02873" w:rsidRPr="00095C7F" w:rsidRDefault="00B02873" w:rsidP="00095C7F">
            <w:pPr>
              <w:pStyle w:val="TablebodyleftFinancialsTables"/>
              <w:jc w:val="right"/>
              <w:rPr>
                <w:sz w:val="16"/>
              </w:rPr>
            </w:pPr>
            <w:r w:rsidRPr="00095C7F">
              <w:rPr>
                <w:sz w:val="16"/>
              </w:rPr>
              <w:t>–</w:t>
            </w:r>
          </w:p>
        </w:tc>
        <w:tc>
          <w:tcPr>
            <w:tcW w:w="964" w:type="dxa"/>
          </w:tcPr>
          <w:p w14:paraId="11EFDDEE" w14:textId="77777777" w:rsidR="00B02873" w:rsidRPr="00095C7F" w:rsidRDefault="00B02873" w:rsidP="00095C7F">
            <w:pPr>
              <w:pStyle w:val="TablebodyleftFinancialsTables"/>
              <w:jc w:val="right"/>
              <w:rPr>
                <w:sz w:val="16"/>
              </w:rPr>
            </w:pPr>
            <w:r w:rsidRPr="00095C7F">
              <w:rPr>
                <w:sz w:val="16"/>
              </w:rPr>
              <w:t>–</w:t>
            </w:r>
          </w:p>
        </w:tc>
        <w:tc>
          <w:tcPr>
            <w:tcW w:w="851" w:type="dxa"/>
          </w:tcPr>
          <w:p w14:paraId="3A21AD75" w14:textId="77777777" w:rsidR="00B02873" w:rsidRPr="00095C7F" w:rsidRDefault="00B02873" w:rsidP="00095C7F">
            <w:pPr>
              <w:pStyle w:val="TablebodyleftFinancialsTables"/>
              <w:jc w:val="right"/>
              <w:rPr>
                <w:sz w:val="16"/>
              </w:rPr>
            </w:pPr>
            <w:r w:rsidRPr="00095C7F">
              <w:rPr>
                <w:sz w:val="16"/>
              </w:rPr>
              <w:t>–</w:t>
            </w:r>
          </w:p>
        </w:tc>
        <w:tc>
          <w:tcPr>
            <w:tcW w:w="850" w:type="dxa"/>
          </w:tcPr>
          <w:p w14:paraId="39082B9C" w14:textId="77777777" w:rsidR="00B02873" w:rsidRPr="00095C7F" w:rsidRDefault="00B02873" w:rsidP="00095C7F">
            <w:pPr>
              <w:pStyle w:val="TablebodyleftFinancialsTables"/>
              <w:jc w:val="right"/>
              <w:rPr>
                <w:sz w:val="16"/>
              </w:rPr>
            </w:pPr>
            <w:r w:rsidRPr="00095C7F">
              <w:rPr>
                <w:sz w:val="16"/>
              </w:rPr>
              <w:t>–</w:t>
            </w:r>
          </w:p>
        </w:tc>
        <w:tc>
          <w:tcPr>
            <w:tcW w:w="851" w:type="dxa"/>
          </w:tcPr>
          <w:p w14:paraId="097DCBCD" w14:textId="77777777" w:rsidR="00B02873" w:rsidRPr="00095C7F" w:rsidRDefault="00B02873" w:rsidP="00095C7F">
            <w:pPr>
              <w:pStyle w:val="TablebodyleftFinancialsTables"/>
              <w:jc w:val="right"/>
              <w:rPr>
                <w:sz w:val="16"/>
              </w:rPr>
            </w:pPr>
            <w:r w:rsidRPr="00095C7F">
              <w:rPr>
                <w:sz w:val="16"/>
              </w:rPr>
              <w:t>–</w:t>
            </w:r>
          </w:p>
        </w:tc>
        <w:tc>
          <w:tcPr>
            <w:tcW w:w="855" w:type="dxa"/>
          </w:tcPr>
          <w:p w14:paraId="3A003FEE" w14:textId="77777777" w:rsidR="00B02873" w:rsidRPr="00095C7F" w:rsidRDefault="00B02873" w:rsidP="00095C7F">
            <w:pPr>
              <w:pStyle w:val="TablebodyleftFinancialsTables"/>
              <w:jc w:val="right"/>
              <w:rPr>
                <w:sz w:val="16"/>
              </w:rPr>
            </w:pPr>
            <w:r w:rsidRPr="00095C7F">
              <w:rPr>
                <w:sz w:val="16"/>
              </w:rPr>
              <w:t>–</w:t>
            </w:r>
          </w:p>
        </w:tc>
        <w:tc>
          <w:tcPr>
            <w:tcW w:w="907" w:type="dxa"/>
          </w:tcPr>
          <w:p w14:paraId="36A159BD" w14:textId="77777777" w:rsidR="00B02873" w:rsidRPr="00095C7F" w:rsidRDefault="00B02873" w:rsidP="00095C7F">
            <w:pPr>
              <w:pStyle w:val="TablebodyleftFinancialsTables"/>
              <w:jc w:val="right"/>
              <w:rPr>
                <w:sz w:val="16"/>
              </w:rPr>
            </w:pPr>
            <w:r w:rsidRPr="00095C7F">
              <w:rPr>
                <w:sz w:val="16"/>
              </w:rPr>
              <w:t>–</w:t>
            </w:r>
          </w:p>
        </w:tc>
        <w:tc>
          <w:tcPr>
            <w:tcW w:w="903" w:type="dxa"/>
          </w:tcPr>
          <w:p w14:paraId="66FC7E0D" w14:textId="77777777" w:rsidR="00B02873" w:rsidRPr="00095C7F" w:rsidRDefault="00B02873" w:rsidP="00095C7F">
            <w:pPr>
              <w:pStyle w:val="TablebodyleftFinancialsTables"/>
              <w:jc w:val="right"/>
              <w:rPr>
                <w:sz w:val="16"/>
              </w:rPr>
            </w:pPr>
            <w:r w:rsidRPr="00095C7F">
              <w:rPr>
                <w:sz w:val="16"/>
              </w:rPr>
              <w:t>–</w:t>
            </w:r>
          </w:p>
        </w:tc>
        <w:tc>
          <w:tcPr>
            <w:tcW w:w="992" w:type="dxa"/>
          </w:tcPr>
          <w:p w14:paraId="7F7CA31E" w14:textId="77777777" w:rsidR="00B02873" w:rsidRPr="00095C7F" w:rsidRDefault="00B02873" w:rsidP="00095C7F">
            <w:pPr>
              <w:pStyle w:val="TablebodyleftFinancialsTables"/>
              <w:jc w:val="right"/>
              <w:rPr>
                <w:sz w:val="16"/>
              </w:rPr>
            </w:pPr>
            <w:r w:rsidRPr="00095C7F">
              <w:rPr>
                <w:sz w:val="16"/>
              </w:rPr>
              <w:t>–</w:t>
            </w:r>
          </w:p>
        </w:tc>
        <w:tc>
          <w:tcPr>
            <w:tcW w:w="794" w:type="dxa"/>
          </w:tcPr>
          <w:p w14:paraId="6B8AB367" w14:textId="77777777" w:rsidR="00B02873" w:rsidRPr="00095C7F" w:rsidRDefault="00B02873" w:rsidP="00095C7F">
            <w:pPr>
              <w:pStyle w:val="TablebodyleftFinancialsTables"/>
              <w:jc w:val="right"/>
              <w:rPr>
                <w:sz w:val="16"/>
              </w:rPr>
            </w:pPr>
            <w:r w:rsidRPr="00095C7F">
              <w:rPr>
                <w:sz w:val="16"/>
              </w:rPr>
              <w:t>–</w:t>
            </w:r>
          </w:p>
        </w:tc>
        <w:tc>
          <w:tcPr>
            <w:tcW w:w="874" w:type="dxa"/>
          </w:tcPr>
          <w:p w14:paraId="431159D9" w14:textId="77777777" w:rsidR="00B02873" w:rsidRPr="00095C7F" w:rsidRDefault="00B02873" w:rsidP="00095C7F">
            <w:pPr>
              <w:pStyle w:val="TablebodyleftFinancialsTables"/>
              <w:jc w:val="right"/>
              <w:rPr>
                <w:sz w:val="16"/>
              </w:rPr>
            </w:pPr>
            <w:r w:rsidRPr="00095C7F">
              <w:rPr>
                <w:sz w:val="16"/>
              </w:rPr>
              <w:t>(5,141)</w:t>
            </w:r>
          </w:p>
        </w:tc>
      </w:tr>
      <w:tr w:rsidR="00095C7F" w:rsidRPr="00095C7F" w14:paraId="6468A353" w14:textId="77777777" w:rsidTr="0090537F">
        <w:tc>
          <w:tcPr>
            <w:tcW w:w="1413" w:type="dxa"/>
          </w:tcPr>
          <w:p w14:paraId="15231C93" w14:textId="77777777" w:rsidR="00B02873" w:rsidRPr="00095C7F" w:rsidRDefault="00B02873" w:rsidP="00F17710">
            <w:pPr>
              <w:pStyle w:val="TablebodyleftFinancialsTables"/>
              <w:rPr>
                <w:sz w:val="16"/>
              </w:rPr>
            </w:pPr>
            <w:r w:rsidRPr="00095C7F">
              <w:rPr>
                <w:sz w:val="16"/>
              </w:rPr>
              <w:t xml:space="preserve">Net transfers in/(out) – from other categories </w:t>
            </w:r>
          </w:p>
        </w:tc>
        <w:tc>
          <w:tcPr>
            <w:tcW w:w="794" w:type="dxa"/>
          </w:tcPr>
          <w:p w14:paraId="7F0BE0BB" w14:textId="77777777" w:rsidR="00B02873" w:rsidRPr="00095C7F" w:rsidRDefault="00B02873" w:rsidP="00095C7F">
            <w:pPr>
              <w:pStyle w:val="TablebodyleftFinancialsTables"/>
              <w:jc w:val="right"/>
              <w:rPr>
                <w:sz w:val="16"/>
              </w:rPr>
            </w:pPr>
            <w:r w:rsidRPr="00095C7F">
              <w:rPr>
                <w:sz w:val="16"/>
              </w:rPr>
              <w:t>128</w:t>
            </w:r>
          </w:p>
        </w:tc>
        <w:tc>
          <w:tcPr>
            <w:tcW w:w="903" w:type="dxa"/>
          </w:tcPr>
          <w:p w14:paraId="05B96205" w14:textId="77777777" w:rsidR="00B02873" w:rsidRPr="00095C7F" w:rsidRDefault="00B02873" w:rsidP="00095C7F">
            <w:pPr>
              <w:pStyle w:val="TablebodyleftFinancialsTables"/>
              <w:jc w:val="right"/>
              <w:rPr>
                <w:sz w:val="16"/>
              </w:rPr>
            </w:pPr>
            <w:r w:rsidRPr="00095C7F">
              <w:rPr>
                <w:sz w:val="16"/>
              </w:rPr>
              <w:t>(13,219)</w:t>
            </w:r>
          </w:p>
        </w:tc>
        <w:tc>
          <w:tcPr>
            <w:tcW w:w="793" w:type="dxa"/>
          </w:tcPr>
          <w:p w14:paraId="33F20580" w14:textId="77777777" w:rsidR="00B02873" w:rsidRPr="00095C7F" w:rsidRDefault="00B02873" w:rsidP="00095C7F">
            <w:pPr>
              <w:pStyle w:val="TablebodyleftFinancialsTables"/>
              <w:jc w:val="right"/>
              <w:rPr>
                <w:sz w:val="16"/>
              </w:rPr>
            </w:pPr>
            <w:r w:rsidRPr="00095C7F">
              <w:rPr>
                <w:sz w:val="16"/>
              </w:rPr>
              <w:t>(37)</w:t>
            </w:r>
          </w:p>
        </w:tc>
        <w:tc>
          <w:tcPr>
            <w:tcW w:w="908" w:type="dxa"/>
          </w:tcPr>
          <w:p w14:paraId="66C9D55E" w14:textId="77777777" w:rsidR="00B02873" w:rsidRPr="00095C7F" w:rsidRDefault="00B02873" w:rsidP="00095C7F">
            <w:pPr>
              <w:pStyle w:val="TablebodyleftFinancialsTables"/>
              <w:jc w:val="right"/>
              <w:rPr>
                <w:sz w:val="16"/>
              </w:rPr>
            </w:pPr>
            <w:r w:rsidRPr="00095C7F">
              <w:rPr>
                <w:sz w:val="16"/>
              </w:rPr>
              <w:t>(1,020)</w:t>
            </w:r>
          </w:p>
        </w:tc>
        <w:tc>
          <w:tcPr>
            <w:tcW w:w="794" w:type="dxa"/>
          </w:tcPr>
          <w:p w14:paraId="680B5721" w14:textId="77777777" w:rsidR="00B02873" w:rsidRPr="00095C7F" w:rsidRDefault="00B02873" w:rsidP="00095C7F">
            <w:pPr>
              <w:pStyle w:val="TablebodyleftFinancialsTables"/>
              <w:jc w:val="right"/>
              <w:rPr>
                <w:sz w:val="16"/>
              </w:rPr>
            </w:pPr>
            <w:r w:rsidRPr="00095C7F">
              <w:rPr>
                <w:sz w:val="16"/>
              </w:rPr>
              <w:t>26,553</w:t>
            </w:r>
          </w:p>
        </w:tc>
        <w:tc>
          <w:tcPr>
            <w:tcW w:w="793" w:type="dxa"/>
          </w:tcPr>
          <w:p w14:paraId="161A80FB" w14:textId="77777777" w:rsidR="00B02873" w:rsidRPr="00095C7F" w:rsidRDefault="00B02873" w:rsidP="00095C7F">
            <w:pPr>
              <w:pStyle w:val="TablebodyleftFinancialsTables"/>
              <w:jc w:val="right"/>
              <w:rPr>
                <w:sz w:val="16"/>
              </w:rPr>
            </w:pPr>
            <w:r w:rsidRPr="00095C7F">
              <w:rPr>
                <w:sz w:val="16"/>
              </w:rPr>
              <w:t>2,731</w:t>
            </w:r>
          </w:p>
        </w:tc>
        <w:tc>
          <w:tcPr>
            <w:tcW w:w="964" w:type="dxa"/>
          </w:tcPr>
          <w:p w14:paraId="11D2D78E" w14:textId="77777777" w:rsidR="00B02873" w:rsidRPr="00095C7F" w:rsidRDefault="00B02873" w:rsidP="00095C7F">
            <w:pPr>
              <w:pStyle w:val="TablebodyleftFinancialsTables"/>
              <w:jc w:val="right"/>
              <w:rPr>
                <w:sz w:val="16"/>
              </w:rPr>
            </w:pPr>
            <w:r w:rsidRPr="00095C7F">
              <w:rPr>
                <w:sz w:val="16"/>
              </w:rPr>
              <w:t>(2,699)</w:t>
            </w:r>
          </w:p>
        </w:tc>
        <w:tc>
          <w:tcPr>
            <w:tcW w:w="851" w:type="dxa"/>
          </w:tcPr>
          <w:p w14:paraId="60A4292B" w14:textId="77777777" w:rsidR="00B02873" w:rsidRPr="00095C7F" w:rsidRDefault="00B02873" w:rsidP="00095C7F">
            <w:pPr>
              <w:pStyle w:val="TablebodyleftFinancialsTables"/>
              <w:jc w:val="right"/>
              <w:rPr>
                <w:sz w:val="16"/>
              </w:rPr>
            </w:pPr>
            <w:r w:rsidRPr="00095C7F">
              <w:rPr>
                <w:sz w:val="16"/>
              </w:rPr>
              <w:t>(14,777)</w:t>
            </w:r>
          </w:p>
        </w:tc>
        <w:tc>
          <w:tcPr>
            <w:tcW w:w="850" w:type="dxa"/>
          </w:tcPr>
          <w:p w14:paraId="14CC3482" w14:textId="77777777" w:rsidR="00B02873" w:rsidRPr="00095C7F" w:rsidRDefault="00B02873" w:rsidP="00095C7F">
            <w:pPr>
              <w:pStyle w:val="TablebodyleftFinancialsTables"/>
              <w:jc w:val="right"/>
              <w:rPr>
                <w:sz w:val="16"/>
              </w:rPr>
            </w:pPr>
            <w:r w:rsidRPr="00095C7F">
              <w:rPr>
                <w:sz w:val="16"/>
              </w:rPr>
              <w:t>11,400</w:t>
            </w:r>
          </w:p>
        </w:tc>
        <w:tc>
          <w:tcPr>
            <w:tcW w:w="851" w:type="dxa"/>
          </w:tcPr>
          <w:p w14:paraId="7907298D" w14:textId="77777777" w:rsidR="00B02873" w:rsidRPr="00095C7F" w:rsidRDefault="00B02873" w:rsidP="00095C7F">
            <w:pPr>
              <w:pStyle w:val="TablebodyleftFinancialsTables"/>
              <w:jc w:val="right"/>
              <w:rPr>
                <w:sz w:val="16"/>
              </w:rPr>
            </w:pPr>
            <w:r w:rsidRPr="00095C7F">
              <w:rPr>
                <w:sz w:val="16"/>
              </w:rPr>
              <w:t>2,012</w:t>
            </w:r>
          </w:p>
        </w:tc>
        <w:tc>
          <w:tcPr>
            <w:tcW w:w="855" w:type="dxa"/>
          </w:tcPr>
          <w:p w14:paraId="22D20D9F" w14:textId="77777777" w:rsidR="00B02873" w:rsidRPr="00095C7F" w:rsidRDefault="00B02873" w:rsidP="00095C7F">
            <w:pPr>
              <w:pStyle w:val="TablebodyleftFinancialsTables"/>
              <w:jc w:val="right"/>
              <w:rPr>
                <w:sz w:val="16"/>
              </w:rPr>
            </w:pPr>
            <w:r w:rsidRPr="00095C7F">
              <w:rPr>
                <w:sz w:val="16"/>
              </w:rPr>
              <w:t>(2,420)</w:t>
            </w:r>
          </w:p>
        </w:tc>
        <w:tc>
          <w:tcPr>
            <w:tcW w:w="907" w:type="dxa"/>
          </w:tcPr>
          <w:p w14:paraId="6F6148ED" w14:textId="77777777" w:rsidR="00B02873" w:rsidRPr="00095C7F" w:rsidRDefault="00B02873" w:rsidP="00095C7F">
            <w:pPr>
              <w:pStyle w:val="TablebodyleftFinancialsTables"/>
              <w:jc w:val="right"/>
              <w:rPr>
                <w:sz w:val="16"/>
              </w:rPr>
            </w:pPr>
            <w:r w:rsidRPr="00095C7F">
              <w:rPr>
                <w:sz w:val="16"/>
              </w:rPr>
              <w:t>2,308</w:t>
            </w:r>
          </w:p>
        </w:tc>
        <w:tc>
          <w:tcPr>
            <w:tcW w:w="903" w:type="dxa"/>
          </w:tcPr>
          <w:p w14:paraId="0237A6D6" w14:textId="77777777" w:rsidR="00B02873" w:rsidRPr="00095C7F" w:rsidRDefault="00B02873" w:rsidP="00095C7F">
            <w:pPr>
              <w:pStyle w:val="TablebodyleftFinancialsTables"/>
              <w:jc w:val="right"/>
              <w:rPr>
                <w:sz w:val="16"/>
              </w:rPr>
            </w:pPr>
            <w:r w:rsidRPr="00095C7F">
              <w:rPr>
                <w:sz w:val="16"/>
              </w:rPr>
              <w:t>(800)</w:t>
            </w:r>
          </w:p>
        </w:tc>
        <w:tc>
          <w:tcPr>
            <w:tcW w:w="992" w:type="dxa"/>
          </w:tcPr>
          <w:p w14:paraId="2C08013D" w14:textId="77777777" w:rsidR="00B02873" w:rsidRPr="00095C7F" w:rsidRDefault="00B02873" w:rsidP="00095C7F">
            <w:pPr>
              <w:pStyle w:val="TablebodyleftFinancialsTables"/>
              <w:jc w:val="right"/>
              <w:rPr>
                <w:sz w:val="16"/>
              </w:rPr>
            </w:pPr>
            <w:r w:rsidRPr="00095C7F">
              <w:rPr>
                <w:sz w:val="16"/>
              </w:rPr>
              <w:t>(9,917)</w:t>
            </w:r>
          </w:p>
        </w:tc>
        <w:tc>
          <w:tcPr>
            <w:tcW w:w="794" w:type="dxa"/>
          </w:tcPr>
          <w:p w14:paraId="4A243C0E" w14:textId="77777777" w:rsidR="00B02873" w:rsidRPr="00095C7F" w:rsidRDefault="00B02873" w:rsidP="00095C7F">
            <w:pPr>
              <w:pStyle w:val="TablebodyleftFinancialsTables"/>
              <w:jc w:val="right"/>
              <w:rPr>
                <w:sz w:val="16"/>
              </w:rPr>
            </w:pPr>
            <w:r w:rsidRPr="00095C7F">
              <w:rPr>
                <w:sz w:val="16"/>
              </w:rPr>
              <w:t>(243)</w:t>
            </w:r>
          </w:p>
        </w:tc>
        <w:tc>
          <w:tcPr>
            <w:tcW w:w="874" w:type="dxa"/>
          </w:tcPr>
          <w:p w14:paraId="6B20CD16" w14:textId="77777777" w:rsidR="00B02873" w:rsidRPr="00095C7F" w:rsidRDefault="00B02873" w:rsidP="00095C7F">
            <w:pPr>
              <w:pStyle w:val="TablebodyleftFinancialsTables"/>
              <w:jc w:val="right"/>
              <w:rPr>
                <w:sz w:val="16"/>
              </w:rPr>
            </w:pPr>
            <w:r w:rsidRPr="00095C7F">
              <w:rPr>
                <w:sz w:val="16"/>
              </w:rPr>
              <w:t>–</w:t>
            </w:r>
          </w:p>
        </w:tc>
      </w:tr>
      <w:tr w:rsidR="00B02873" w:rsidRPr="00095C7F" w14:paraId="7C234104" w14:textId="77777777" w:rsidTr="0090537F">
        <w:tc>
          <w:tcPr>
            <w:tcW w:w="1413" w:type="dxa"/>
          </w:tcPr>
          <w:p w14:paraId="1D4E9B5E" w14:textId="77777777" w:rsidR="00B02873" w:rsidRPr="00095C7F" w:rsidRDefault="00B02873" w:rsidP="00F17710">
            <w:pPr>
              <w:pStyle w:val="TablebodyleftFinancialsTables"/>
              <w:rPr>
                <w:sz w:val="16"/>
              </w:rPr>
            </w:pPr>
            <w:r w:rsidRPr="00095C7F">
              <w:rPr>
                <w:sz w:val="16"/>
              </w:rPr>
              <w:t>Revaluation increments/ (decrements)</w:t>
            </w:r>
          </w:p>
        </w:tc>
        <w:tc>
          <w:tcPr>
            <w:tcW w:w="794" w:type="dxa"/>
          </w:tcPr>
          <w:p w14:paraId="6BAB346C" w14:textId="77777777" w:rsidR="00B02873" w:rsidRPr="00095C7F" w:rsidRDefault="00B02873" w:rsidP="00095C7F">
            <w:pPr>
              <w:pStyle w:val="TablebodyleftFinancialsTables"/>
              <w:jc w:val="right"/>
              <w:rPr>
                <w:sz w:val="16"/>
              </w:rPr>
            </w:pPr>
            <w:r w:rsidRPr="00095C7F">
              <w:rPr>
                <w:sz w:val="16"/>
              </w:rPr>
              <w:t>(30,658)</w:t>
            </w:r>
          </w:p>
        </w:tc>
        <w:tc>
          <w:tcPr>
            <w:tcW w:w="903" w:type="dxa"/>
          </w:tcPr>
          <w:p w14:paraId="2206F3D2" w14:textId="77777777" w:rsidR="00B02873" w:rsidRPr="00095C7F" w:rsidRDefault="00B02873" w:rsidP="00095C7F">
            <w:pPr>
              <w:pStyle w:val="TablebodyleftFinancialsTables"/>
              <w:jc w:val="right"/>
              <w:rPr>
                <w:sz w:val="16"/>
              </w:rPr>
            </w:pPr>
            <w:r w:rsidRPr="00095C7F">
              <w:rPr>
                <w:sz w:val="16"/>
              </w:rPr>
              <w:t>42,266</w:t>
            </w:r>
          </w:p>
        </w:tc>
        <w:tc>
          <w:tcPr>
            <w:tcW w:w="793" w:type="dxa"/>
          </w:tcPr>
          <w:p w14:paraId="7FC47802" w14:textId="77777777" w:rsidR="00B02873" w:rsidRPr="00095C7F" w:rsidRDefault="00B02873" w:rsidP="00095C7F">
            <w:pPr>
              <w:pStyle w:val="TablebodyleftFinancialsTables"/>
              <w:jc w:val="right"/>
              <w:rPr>
                <w:sz w:val="16"/>
              </w:rPr>
            </w:pPr>
            <w:r w:rsidRPr="00095C7F">
              <w:rPr>
                <w:sz w:val="16"/>
              </w:rPr>
              <w:t>1,684</w:t>
            </w:r>
          </w:p>
        </w:tc>
        <w:tc>
          <w:tcPr>
            <w:tcW w:w="908" w:type="dxa"/>
          </w:tcPr>
          <w:p w14:paraId="2F3CD1D3" w14:textId="77777777" w:rsidR="00B02873" w:rsidRPr="00095C7F" w:rsidRDefault="00B02873" w:rsidP="00095C7F">
            <w:pPr>
              <w:pStyle w:val="TablebodyleftFinancialsTables"/>
              <w:jc w:val="right"/>
              <w:rPr>
                <w:sz w:val="16"/>
              </w:rPr>
            </w:pPr>
            <w:r w:rsidRPr="00095C7F">
              <w:rPr>
                <w:sz w:val="16"/>
              </w:rPr>
              <w:t>920,782</w:t>
            </w:r>
          </w:p>
        </w:tc>
        <w:tc>
          <w:tcPr>
            <w:tcW w:w="794" w:type="dxa"/>
          </w:tcPr>
          <w:p w14:paraId="4B4A511C" w14:textId="77777777" w:rsidR="00B02873" w:rsidRPr="00095C7F" w:rsidRDefault="00B02873" w:rsidP="00095C7F">
            <w:pPr>
              <w:pStyle w:val="TablebodyleftFinancialsTables"/>
              <w:jc w:val="right"/>
              <w:rPr>
                <w:sz w:val="16"/>
              </w:rPr>
            </w:pPr>
            <w:r w:rsidRPr="00095C7F">
              <w:rPr>
                <w:sz w:val="16"/>
              </w:rPr>
              <w:t>(7,704)</w:t>
            </w:r>
          </w:p>
        </w:tc>
        <w:tc>
          <w:tcPr>
            <w:tcW w:w="793" w:type="dxa"/>
          </w:tcPr>
          <w:p w14:paraId="7D16879E" w14:textId="77777777" w:rsidR="00B02873" w:rsidRPr="00095C7F" w:rsidRDefault="00B02873" w:rsidP="00095C7F">
            <w:pPr>
              <w:pStyle w:val="TablebodyleftFinancialsTables"/>
              <w:jc w:val="right"/>
              <w:rPr>
                <w:sz w:val="16"/>
              </w:rPr>
            </w:pPr>
            <w:r w:rsidRPr="00095C7F">
              <w:rPr>
                <w:sz w:val="16"/>
              </w:rPr>
              <w:t>(1,726)</w:t>
            </w:r>
          </w:p>
        </w:tc>
        <w:tc>
          <w:tcPr>
            <w:tcW w:w="964" w:type="dxa"/>
          </w:tcPr>
          <w:p w14:paraId="645DC08B" w14:textId="77777777" w:rsidR="00B02873" w:rsidRPr="00095C7F" w:rsidRDefault="00B02873" w:rsidP="00095C7F">
            <w:pPr>
              <w:pStyle w:val="TablebodyleftFinancialsTables"/>
              <w:jc w:val="right"/>
              <w:rPr>
                <w:sz w:val="16"/>
              </w:rPr>
            </w:pPr>
            <w:r w:rsidRPr="00095C7F">
              <w:rPr>
                <w:sz w:val="16"/>
              </w:rPr>
              <w:t>6,850</w:t>
            </w:r>
          </w:p>
        </w:tc>
        <w:tc>
          <w:tcPr>
            <w:tcW w:w="851" w:type="dxa"/>
          </w:tcPr>
          <w:p w14:paraId="7BB06FFB" w14:textId="77777777" w:rsidR="00B02873" w:rsidRPr="00095C7F" w:rsidRDefault="00B02873" w:rsidP="00095C7F">
            <w:pPr>
              <w:pStyle w:val="TablebodyleftFinancialsTables"/>
              <w:jc w:val="right"/>
              <w:rPr>
                <w:sz w:val="16"/>
              </w:rPr>
            </w:pPr>
            <w:r w:rsidRPr="00095C7F">
              <w:rPr>
                <w:sz w:val="16"/>
              </w:rPr>
              <w:t>–</w:t>
            </w:r>
          </w:p>
        </w:tc>
        <w:tc>
          <w:tcPr>
            <w:tcW w:w="850" w:type="dxa"/>
          </w:tcPr>
          <w:p w14:paraId="3AC4E812" w14:textId="77777777" w:rsidR="00B02873" w:rsidRPr="00095C7F" w:rsidRDefault="00B02873" w:rsidP="00095C7F">
            <w:pPr>
              <w:pStyle w:val="TablebodyleftFinancialsTables"/>
              <w:jc w:val="right"/>
              <w:rPr>
                <w:sz w:val="16"/>
              </w:rPr>
            </w:pPr>
            <w:r w:rsidRPr="00095C7F">
              <w:rPr>
                <w:sz w:val="16"/>
              </w:rPr>
              <w:t>26,500</w:t>
            </w:r>
          </w:p>
        </w:tc>
        <w:tc>
          <w:tcPr>
            <w:tcW w:w="851" w:type="dxa"/>
          </w:tcPr>
          <w:p w14:paraId="2F07C5FE" w14:textId="77777777" w:rsidR="00B02873" w:rsidRPr="00095C7F" w:rsidRDefault="00B02873" w:rsidP="00095C7F">
            <w:pPr>
              <w:pStyle w:val="TablebodyleftFinancialsTables"/>
              <w:jc w:val="right"/>
              <w:rPr>
                <w:sz w:val="16"/>
              </w:rPr>
            </w:pPr>
            <w:r w:rsidRPr="00095C7F">
              <w:rPr>
                <w:sz w:val="16"/>
              </w:rPr>
              <w:t>–</w:t>
            </w:r>
          </w:p>
        </w:tc>
        <w:tc>
          <w:tcPr>
            <w:tcW w:w="855" w:type="dxa"/>
          </w:tcPr>
          <w:p w14:paraId="584377BD" w14:textId="77777777" w:rsidR="00B02873" w:rsidRPr="00095C7F" w:rsidRDefault="00B02873" w:rsidP="00095C7F">
            <w:pPr>
              <w:pStyle w:val="TablebodyleftFinancialsTables"/>
              <w:jc w:val="right"/>
              <w:rPr>
                <w:sz w:val="16"/>
              </w:rPr>
            </w:pPr>
            <w:r w:rsidRPr="00095C7F">
              <w:rPr>
                <w:sz w:val="16"/>
              </w:rPr>
              <w:t>(257,095)</w:t>
            </w:r>
          </w:p>
        </w:tc>
        <w:tc>
          <w:tcPr>
            <w:tcW w:w="907" w:type="dxa"/>
          </w:tcPr>
          <w:p w14:paraId="2F557F07" w14:textId="77777777" w:rsidR="00B02873" w:rsidRPr="00095C7F" w:rsidRDefault="00B02873" w:rsidP="00095C7F">
            <w:pPr>
              <w:pStyle w:val="TablebodyleftFinancialsTables"/>
              <w:jc w:val="right"/>
              <w:rPr>
                <w:sz w:val="16"/>
              </w:rPr>
            </w:pPr>
            <w:r w:rsidRPr="00095C7F">
              <w:rPr>
                <w:sz w:val="16"/>
              </w:rPr>
              <w:t>–</w:t>
            </w:r>
          </w:p>
        </w:tc>
        <w:tc>
          <w:tcPr>
            <w:tcW w:w="903" w:type="dxa"/>
          </w:tcPr>
          <w:p w14:paraId="7DF7028F" w14:textId="77777777" w:rsidR="00B02873" w:rsidRPr="00095C7F" w:rsidRDefault="00B02873" w:rsidP="00095C7F">
            <w:pPr>
              <w:pStyle w:val="TablebodyleftFinancialsTables"/>
              <w:jc w:val="right"/>
              <w:rPr>
                <w:sz w:val="16"/>
              </w:rPr>
            </w:pPr>
            <w:r w:rsidRPr="00095C7F">
              <w:rPr>
                <w:sz w:val="16"/>
              </w:rPr>
              <w:t>–</w:t>
            </w:r>
          </w:p>
        </w:tc>
        <w:tc>
          <w:tcPr>
            <w:tcW w:w="992" w:type="dxa"/>
          </w:tcPr>
          <w:p w14:paraId="082A320C" w14:textId="77777777" w:rsidR="00B02873" w:rsidRPr="00095C7F" w:rsidRDefault="00B02873" w:rsidP="00095C7F">
            <w:pPr>
              <w:pStyle w:val="TablebodyleftFinancialsTables"/>
              <w:jc w:val="right"/>
              <w:rPr>
                <w:sz w:val="16"/>
              </w:rPr>
            </w:pPr>
            <w:r w:rsidRPr="00095C7F">
              <w:rPr>
                <w:sz w:val="16"/>
              </w:rPr>
              <w:t>–</w:t>
            </w:r>
          </w:p>
        </w:tc>
        <w:tc>
          <w:tcPr>
            <w:tcW w:w="794" w:type="dxa"/>
          </w:tcPr>
          <w:p w14:paraId="55CEA0D8" w14:textId="77777777" w:rsidR="00B02873" w:rsidRPr="00095C7F" w:rsidRDefault="00B02873" w:rsidP="00095C7F">
            <w:pPr>
              <w:pStyle w:val="TablebodyleftFinancialsTables"/>
              <w:jc w:val="right"/>
              <w:rPr>
                <w:sz w:val="16"/>
              </w:rPr>
            </w:pPr>
            <w:r w:rsidRPr="00095C7F">
              <w:rPr>
                <w:sz w:val="16"/>
              </w:rPr>
              <w:t>1,146</w:t>
            </w:r>
          </w:p>
        </w:tc>
        <w:tc>
          <w:tcPr>
            <w:tcW w:w="874" w:type="dxa"/>
          </w:tcPr>
          <w:p w14:paraId="72FD57EE" w14:textId="77777777" w:rsidR="00B02873" w:rsidRPr="00095C7F" w:rsidRDefault="00B02873" w:rsidP="00095C7F">
            <w:pPr>
              <w:pStyle w:val="TablebodyleftFinancialsTables"/>
              <w:jc w:val="right"/>
              <w:rPr>
                <w:sz w:val="16"/>
              </w:rPr>
            </w:pPr>
            <w:r w:rsidRPr="00095C7F">
              <w:rPr>
                <w:sz w:val="16"/>
              </w:rPr>
              <w:t>702,045</w:t>
            </w:r>
          </w:p>
        </w:tc>
      </w:tr>
      <w:tr w:rsidR="00095C7F" w:rsidRPr="00095C7F" w14:paraId="7C0BEAE2" w14:textId="77777777" w:rsidTr="0090537F">
        <w:tc>
          <w:tcPr>
            <w:tcW w:w="1413" w:type="dxa"/>
          </w:tcPr>
          <w:p w14:paraId="6F822485" w14:textId="77777777" w:rsidR="00B02873" w:rsidRPr="00095C7F" w:rsidRDefault="00B02873" w:rsidP="00F17710">
            <w:pPr>
              <w:pStyle w:val="TablebodyleftFinancialsTables"/>
              <w:rPr>
                <w:sz w:val="16"/>
              </w:rPr>
            </w:pPr>
            <w:r w:rsidRPr="00095C7F">
              <w:rPr>
                <w:sz w:val="16"/>
              </w:rPr>
              <w:t>Recognition/(derecognition), write-on/ (write-down) of assets</w:t>
            </w:r>
            <w:r w:rsidRPr="00095C7F">
              <w:rPr>
                <w:sz w:val="16"/>
                <w:vertAlign w:val="superscript"/>
              </w:rPr>
              <w:t>(ii)</w:t>
            </w:r>
            <w:r w:rsidRPr="00095C7F">
              <w:rPr>
                <w:sz w:val="16"/>
              </w:rPr>
              <w:t xml:space="preserve"> </w:t>
            </w:r>
          </w:p>
        </w:tc>
        <w:tc>
          <w:tcPr>
            <w:tcW w:w="794" w:type="dxa"/>
          </w:tcPr>
          <w:p w14:paraId="6EBFFC13" w14:textId="77777777" w:rsidR="00B02873" w:rsidRPr="00095C7F" w:rsidRDefault="00B02873" w:rsidP="00095C7F">
            <w:pPr>
              <w:pStyle w:val="TablebodyleftFinancialsTables"/>
              <w:jc w:val="right"/>
              <w:rPr>
                <w:sz w:val="16"/>
              </w:rPr>
            </w:pPr>
            <w:r w:rsidRPr="00095C7F">
              <w:rPr>
                <w:sz w:val="16"/>
              </w:rPr>
              <w:t>(26)</w:t>
            </w:r>
          </w:p>
        </w:tc>
        <w:tc>
          <w:tcPr>
            <w:tcW w:w="903" w:type="dxa"/>
          </w:tcPr>
          <w:p w14:paraId="5636452F" w14:textId="77777777" w:rsidR="00B02873" w:rsidRPr="00095C7F" w:rsidRDefault="00B02873" w:rsidP="00095C7F">
            <w:pPr>
              <w:pStyle w:val="TablebodyleftFinancialsTables"/>
              <w:jc w:val="right"/>
              <w:rPr>
                <w:sz w:val="16"/>
              </w:rPr>
            </w:pPr>
            <w:r w:rsidRPr="00095C7F">
              <w:rPr>
                <w:sz w:val="16"/>
              </w:rPr>
              <w:t>621,003</w:t>
            </w:r>
          </w:p>
        </w:tc>
        <w:tc>
          <w:tcPr>
            <w:tcW w:w="793" w:type="dxa"/>
          </w:tcPr>
          <w:p w14:paraId="7B0905A5" w14:textId="77777777" w:rsidR="00B02873" w:rsidRPr="00095C7F" w:rsidRDefault="00B02873" w:rsidP="00095C7F">
            <w:pPr>
              <w:pStyle w:val="TablebodyleftFinancialsTables"/>
              <w:jc w:val="right"/>
              <w:rPr>
                <w:sz w:val="16"/>
              </w:rPr>
            </w:pPr>
            <w:r w:rsidRPr="00095C7F">
              <w:rPr>
                <w:sz w:val="16"/>
              </w:rPr>
              <w:t>(300)</w:t>
            </w:r>
          </w:p>
        </w:tc>
        <w:tc>
          <w:tcPr>
            <w:tcW w:w="908" w:type="dxa"/>
          </w:tcPr>
          <w:p w14:paraId="242A8886" w14:textId="77777777" w:rsidR="00B02873" w:rsidRPr="00095C7F" w:rsidRDefault="00B02873" w:rsidP="00095C7F">
            <w:pPr>
              <w:pStyle w:val="TablebodyleftFinancialsTables"/>
              <w:jc w:val="right"/>
              <w:rPr>
                <w:sz w:val="16"/>
              </w:rPr>
            </w:pPr>
            <w:r w:rsidRPr="00095C7F">
              <w:rPr>
                <w:sz w:val="16"/>
              </w:rPr>
              <w:t>41,807</w:t>
            </w:r>
          </w:p>
        </w:tc>
        <w:tc>
          <w:tcPr>
            <w:tcW w:w="794" w:type="dxa"/>
          </w:tcPr>
          <w:p w14:paraId="0EC440A5" w14:textId="77777777" w:rsidR="00B02873" w:rsidRPr="00095C7F" w:rsidRDefault="00B02873" w:rsidP="00095C7F">
            <w:pPr>
              <w:pStyle w:val="TablebodyleftFinancialsTables"/>
              <w:jc w:val="right"/>
              <w:rPr>
                <w:sz w:val="16"/>
              </w:rPr>
            </w:pPr>
            <w:r w:rsidRPr="00095C7F">
              <w:rPr>
                <w:sz w:val="16"/>
              </w:rPr>
              <w:t>8,933</w:t>
            </w:r>
          </w:p>
        </w:tc>
        <w:tc>
          <w:tcPr>
            <w:tcW w:w="793" w:type="dxa"/>
          </w:tcPr>
          <w:p w14:paraId="19F0A3C1" w14:textId="77777777" w:rsidR="00B02873" w:rsidRPr="00095C7F" w:rsidRDefault="00B02873" w:rsidP="00095C7F">
            <w:pPr>
              <w:pStyle w:val="TablebodyleftFinancialsTables"/>
              <w:jc w:val="right"/>
              <w:rPr>
                <w:sz w:val="16"/>
              </w:rPr>
            </w:pPr>
            <w:r w:rsidRPr="00095C7F">
              <w:rPr>
                <w:sz w:val="16"/>
              </w:rPr>
              <w:t>–</w:t>
            </w:r>
          </w:p>
        </w:tc>
        <w:tc>
          <w:tcPr>
            <w:tcW w:w="964" w:type="dxa"/>
          </w:tcPr>
          <w:p w14:paraId="3FC6E43A" w14:textId="77777777" w:rsidR="00B02873" w:rsidRPr="00095C7F" w:rsidRDefault="00B02873" w:rsidP="00095C7F">
            <w:pPr>
              <w:pStyle w:val="TablebodyleftFinancialsTables"/>
              <w:jc w:val="right"/>
              <w:rPr>
                <w:sz w:val="16"/>
              </w:rPr>
            </w:pPr>
            <w:r w:rsidRPr="00095C7F">
              <w:rPr>
                <w:sz w:val="16"/>
              </w:rPr>
              <w:t>744</w:t>
            </w:r>
          </w:p>
        </w:tc>
        <w:tc>
          <w:tcPr>
            <w:tcW w:w="851" w:type="dxa"/>
          </w:tcPr>
          <w:p w14:paraId="4C2E58FD" w14:textId="77777777" w:rsidR="00B02873" w:rsidRPr="00095C7F" w:rsidRDefault="00B02873" w:rsidP="00095C7F">
            <w:pPr>
              <w:pStyle w:val="TablebodyleftFinancialsTables"/>
              <w:jc w:val="right"/>
              <w:rPr>
                <w:sz w:val="16"/>
              </w:rPr>
            </w:pPr>
            <w:r w:rsidRPr="00095C7F">
              <w:rPr>
                <w:sz w:val="16"/>
              </w:rPr>
              <w:t>–</w:t>
            </w:r>
          </w:p>
        </w:tc>
        <w:tc>
          <w:tcPr>
            <w:tcW w:w="850" w:type="dxa"/>
          </w:tcPr>
          <w:p w14:paraId="2918CC89" w14:textId="77777777" w:rsidR="00B02873" w:rsidRPr="00095C7F" w:rsidRDefault="00B02873" w:rsidP="00095C7F">
            <w:pPr>
              <w:pStyle w:val="TablebodyleftFinancialsTables"/>
              <w:jc w:val="right"/>
              <w:rPr>
                <w:sz w:val="16"/>
              </w:rPr>
            </w:pPr>
            <w:r w:rsidRPr="00095C7F">
              <w:rPr>
                <w:sz w:val="16"/>
              </w:rPr>
              <w:t>110,160</w:t>
            </w:r>
          </w:p>
        </w:tc>
        <w:tc>
          <w:tcPr>
            <w:tcW w:w="851" w:type="dxa"/>
          </w:tcPr>
          <w:p w14:paraId="376B6974" w14:textId="77777777" w:rsidR="00B02873" w:rsidRPr="00095C7F" w:rsidRDefault="00B02873" w:rsidP="00095C7F">
            <w:pPr>
              <w:pStyle w:val="TablebodyleftFinancialsTables"/>
              <w:jc w:val="right"/>
              <w:rPr>
                <w:sz w:val="16"/>
              </w:rPr>
            </w:pPr>
            <w:r w:rsidRPr="00095C7F">
              <w:rPr>
                <w:sz w:val="16"/>
              </w:rPr>
              <w:t>–</w:t>
            </w:r>
          </w:p>
        </w:tc>
        <w:tc>
          <w:tcPr>
            <w:tcW w:w="855" w:type="dxa"/>
          </w:tcPr>
          <w:p w14:paraId="2EB95E22" w14:textId="77777777" w:rsidR="00B02873" w:rsidRPr="00095C7F" w:rsidRDefault="00B02873" w:rsidP="00095C7F">
            <w:pPr>
              <w:pStyle w:val="TablebodyleftFinancialsTables"/>
              <w:jc w:val="right"/>
              <w:rPr>
                <w:sz w:val="16"/>
              </w:rPr>
            </w:pPr>
            <w:r w:rsidRPr="00095C7F">
              <w:rPr>
                <w:sz w:val="16"/>
              </w:rPr>
              <w:t>97,427</w:t>
            </w:r>
          </w:p>
        </w:tc>
        <w:tc>
          <w:tcPr>
            <w:tcW w:w="907" w:type="dxa"/>
          </w:tcPr>
          <w:p w14:paraId="185D13C6" w14:textId="77777777" w:rsidR="00B02873" w:rsidRPr="00095C7F" w:rsidRDefault="00B02873" w:rsidP="00095C7F">
            <w:pPr>
              <w:pStyle w:val="TablebodyleftFinancialsTables"/>
              <w:jc w:val="right"/>
              <w:rPr>
                <w:sz w:val="16"/>
              </w:rPr>
            </w:pPr>
            <w:r w:rsidRPr="00095C7F">
              <w:rPr>
                <w:sz w:val="16"/>
              </w:rPr>
              <w:t>–</w:t>
            </w:r>
          </w:p>
        </w:tc>
        <w:tc>
          <w:tcPr>
            <w:tcW w:w="903" w:type="dxa"/>
          </w:tcPr>
          <w:p w14:paraId="45CC491A" w14:textId="77777777" w:rsidR="00B02873" w:rsidRPr="00095C7F" w:rsidRDefault="00B02873" w:rsidP="00095C7F">
            <w:pPr>
              <w:pStyle w:val="TablebodyleftFinancialsTables"/>
              <w:jc w:val="right"/>
              <w:rPr>
                <w:sz w:val="16"/>
              </w:rPr>
            </w:pPr>
            <w:r w:rsidRPr="00095C7F">
              <w:rPr>
                <w:sz w:val="16"/>
              </w:rPr>
              <w:t>–</w:t>
            </w:r>
          </w:p>
        </w:tc>
        <w:tc>
          <w:tcPr>
            <w:tcW w:w="992" w:type="dxa"/>
          </w:tcPr>
          <w:p w14:paraId="491D50CC" w14:textId="77777777" w:rsidR="00B02873" w:rsidRPr="00095C7F" w:rsidRDefault="00B02873" w:rsidP="00095C7F">
            <w:pPr>
              <w:pStyle w:val="TablebodyleftFinancialsTables"/>
              <w:jc w:val="right"/>
              <w:rPr>
                <w:sz w:val="16"/>
              </w:rPr>
            </w:pPr>
            <w:r w:rsidRPr="00095C7F">
              <w:rPr>
                <w:sz w:val="16"/>
              </w:rPr>
              <w:t>–</w:t>
            </w:r>
          </w:p>
        </w:tc>
        <w:tc>
          <w:tcPr>
            <w:tcW w:w="794" w:type="dxa"/>
          </w:tcPr>
          <w:p w14:paraId="04B18099" w14:textId="77777777" w:rsidR="00B02873" w:rsidRPr="00095C7F" w:rsidRDefault="00B02873" w:rsidP="00095C7F">
            <w:pPr>
              <w:pStyle w:val="TablebodyleftFinancialsTables"/>
              <w:jc w:val="right"/>
              <w:rPr>
                <w:sz w:val="16"/>
              </w:rPr>
            </w:pPr>
            <w:r w:rsidRPr="00095C7F">
              <w:rPr>
                <w:sz w:val="16"/>
              </w:rPr>
              <w:t>–</w:t>
            </w:r>
          </w:p>
        </w:tc>
        <w:tc>
          <w:tcPr>
            <w:tcW w:w="874" w:type="dxa"/>
          </w:tcPr>
          <w:p w14:paraId="289F22EF" w14:textId="77777777" w:rsidR="00B02873" w:rsidRPr="00095C7F" w:rsidRDefault="00B02873" w:rsidP="00095C7F">
            <w:pPr>
              <w:pStyle w:val="TablebodyleftFinancialsTables"/>
              <w:jc w:val="right"/>
              <w:rPr>
                <w:sz w:val="16"/>
              </w:rPr>
            </w:pPr>
            <w:r w:rsidRPr="00095C7F">
              <w:rPr>
                <w:sz w:val="16"/>
              </w:rPr>
              <w:t>879,748</w:t>
            </w:r>
          </w:p>
        </w:tc>
      </w:tr>
      <w:tr w:rsidR="00B02873" w:rsidRPr="00095C7F" w14:paraId="77301D64" w14:textId="77777777" w:rsidTr="0090537F">
        <w:tc>
          <w:tcPr>
            <w:tcW w:w="1413" w:type="dxa"/>
          </w:tcPr>
          <w:p w14:paraId="703EEBEA" w14:textId="77777777" w:rsidR="00B02873" w:rsidRPr="00095C7F" w:rsidRDefault="00B02873" w:rsidP="00F17710">
            <w:pPr>
              <w:pStyle w:val="TablebodyleftFinancialsTables"/>
              <w:rPr>
                <w:sz w:val="16"/>
              </w:rPr>
            </w:pPr>
            <w:r w:rsidRPr="00095C7F">
              <w:rPr>
                <w:spacing w:val="-1"/>
                <w:sz w:val="16"/>
              </w:rPr>
              <w:t>Depreciation expense (refer to Note 5.1.2)</w:t>
            </w:r>
          </w:p>
        </w:tc>
        <w:tc>
          <w:tcPr>
            <w:tcW w:w="794" w:type="dxa"/>
          </w:tcPr>
          <w:p w14:paraId="38ED6E1D" w14:textId="77777777" w:rsidR="00B02873" w:rsidRPr="00095C7F" w:rsidRDefault="00B02873" w:rsidP="00095C7F">
            <w:pPr>
              <w:pStyle w:val="TablebodyleftFinancialsTables"/>
              <w:jc w:val="right"/>
              <w:rPr>
                <w:sz w:val="16"/>
              </w:rPr>
            </w:pPr>
            <w:r w:rsidRPr="00095C7F">
              <w:rPr>
                <w:sz w:val="16"/>
              </w:rPr>
              <w:t>–</w:t>
            </w:r>
          </w:p>
        </w:tc>
        <w:tc>
          <w:tcPr>
            <w:tcW w:w="903" w:type="dxa"/>
          </w:tcPr>
          <w:p w14:paraId="07A61CFD" w14:textId="77777777" w:rsidR="00B02873" w:rsidRPr="00095C7F" w:rsidRDefault="00B02873" w:rsidP="00095C7F">
            <w:pPr>
              <w:pStyle w:val="TablebodyleftFinancialsTables"/>
              <w:jc w:val="right"/>
              <w:rPr>
                <w:sz w:val="16"/>
              </w:rPr>
            </w:pPr>
            <w:r w:rsidRPr="00095C7F">
              <w:rPr>
                <w:sz w:val="16"/>
              </w:rPr>
              <w:t>–</w:t>
            </w:r>
          </w:p>
        </w:tc>
        <w:tc>
          <w:tcPr>
            <w:tcW w:w="793" w:type="dxa"/>
          </w:tcPr>
          <w:p w14:paraId="0AB2D035" w14:textId="77777777" w:rsidR="00B02873" w:rsidRPr="00095C7F" w:rsidRDefault="00B02873" w:rsidP="00095C7F">
            <w:pPr>
              <w:pStyle w:val="TablebodyleftFinancialsTables"/>
              <w:jc w:val="right"/>
              <w:rPr>
                <w:sz w:val="16"/>
              </w:rPr>
            </w:pPr>
            <w:r w:rsidRPr="00095C7F">
              <w:rPr>
                <w:sz w:val="16"/>
              </w:rPr>
              <w:t>–</w:t>
            </w:r>
          </w:p>
        </w:tc>
        <w:tc>
          <w:tcPr>
            <w:tcW w:w="908" w:type="dxa"/>
          </w:tcPr>
          <w:p w14:paraId="08EA40DF" w14:textId="77777777" w:rsidR="00B02873" w:rsidRPr="00095C7F" w:rsidRDefault="00B02873" w:rsidP="00095C7F">
            <w:pPr>
              <w:pStyle w:val="TablebodyleftFinancialsTables"/>
              <w:jc w:val="right"/>
              <w:rPr>
                <w:sz w:val="16"/>
              </w:rPr>
            </w:pPr>
            <w:r w:rsidRPr="00095C7F">
              <w:rPr>
                <w:sz w:val="16"/>
              </w:rPr>
              <w:t>–</w:t>
            </w:r>
          </w:p>
        </w:tc>
        <w:tc>
          <w:tcPr>
            <w:tcW w:w="794" w:type="dxa"/>
          </w:tcPr>
          <w:p w14:paraId="1DC766A8" w14:textId="77777777" w:rsidR="00B02873" w:rsidRPr="00095C7F" w:rsidRDefault="00B02873" w:rsidP="00095C7F">
            <w:pPr>
              <w:pStyle w:val="TablebodyleftFinancialsTables"/>
              <w:jc w:val="right"/>
              <w:rPr>
                <w:sz w:val="16"/>
              </w:rPr>
            </w:pPr>
            <w:r w:rsidRPr="00095C7F">
              <w:rPr>
                <w:sz w:val="16"/>
              </w:rPr>
              <w:t>–</w:t>
            </w:r>
          </w:p>
        </w:tc>
        <w:tc>
          <w:tcPr>
            <w:tcW w:w="793" w:type="dxa"/>
          </w:tcPr>
          <w:p w14:paraId="05BA04FD" w14:textId="77777777" w:rsidR="00B02873" w:rsidRPr="00095C7F" w:rsidRDefault="00B02873" w:rsidP="00095C7F">
            <w:pPr>
              <w:pStyle w:val="TablebodyleftFinancialsTables"/>
              <w:jc w:val="right"/>
              <w:rPr>
                <w:sz w:val="16"/>
              </w:rPr>
            </w:pPr>
            <w:r w:rsidRPr="00095C7F">
              <w:rPr>
                <w:sz w:val="16"/>
              </w:rPr>
              <w:t>–</w:t>
            </w:r>
          </w:p>
        </w:tc>
        <w:tc>
          <w:tcPr>
            <w:tcW w:w="964" w:type="dxa"/>
          </w:tcPr>
          <w:p w14:paraId="4C5E1C1A" w14:textId="77777777" w:rsidR="00B02873" w:rsidRPr="00095C7F" w:rsidRDefault="00B02873" w:rsidP="00095C7F">
            <w:pPr>
              <w:pStyle w:val="TablebodyleftFinancialsTables"/>
              <w:jc w:val="right"/>
              <w:rPr>
                <w:sz w:val="16"/>
              </w:rPr>
            </w:pPr>
            <w:r w:rsidRPr="00095C7F">
              <w:rPr>
                <w:sz w:val="16"/>
              </w:rPr>
              <w:t>–</w:t>
            </w:r>
          </w:p>
        </w:tc>
        <w:tc>
          <w:tcPr>
            <w:tcW w:w="851" w:type="dxa"/>
          </w:tcPr>
          <w:p w14:paraId="5168E224" w14:textId="77777777" w:rsidR="00B02873" w:rsidRPr="00095C7F" w:rsidRDefault="00B02873" w:rsidP="00095C7F">
            <w:pPr>
              <w:pStyle w:val="TablebodyleftFinancialsTables"/>
              <w:jc w:val="right"/>
              <w:rPr>
                <w:sz w:val="16"/>
              </w:rPr>
            </w:pPr>
            <w:r w:rsidRPr="00095C7F">
              <w:rPr>
                <w:sz w:val="16"/>
              </w:rPr>
              <w:t>–</w:t>
            </w:r>
          </w:p>
        </w:tc>
        <w:tc>
          <w:tcPr>
            <w:tcW w:w="850" w:type="dxa"/>
          </w:tcPr>
          <w:p w14:paraId="3FB870F8" w14:textId="77777777" w:rsidR="00B02873" w:rsidRPr="00095C7F" w:rsidRDefault="00B02873" w:rsidP="00095C7F">
            <w:pPr>
              <w:pStyle w:val="TablebodyleftFinancialsTables"/>
              <w:jc w:val="right"/>
              <w:rPr>
                <w:sz w:val="16"/>
              </w:rPr>
            </w:pPr>
            <w:r w:rsidRPr="00095C7F">
              <w:rPr>
                <w:sz w:val="16"/>
              </w:rPr>
              <w:t>(22,066)</w:t>
            </w:r>
          </w:p>
        </w:tc>
        <w:tc>
          <w:tcPr>
            <w:tcW w:w="851" w:type="dxa"/>
          </w:tcPr>
          <w:p w14:paraId="21D2B788" w14:textId="77777777" w:rsidR="00B02873" w:rsidRPr="00095C7F" w:rsidRDefault="00B02873" w:rsidP="00095C7F">
            <w:pPr>
              <w:pStyle w:val="TablebodyleftFinancialsTables"/>
              <w:jc w:val="right"/>
              <w:rPr>
                <w:sz w:val="16"/>
              </w:rPr>
            </w:pPr>
            <w:r w:rsidRPr="00095C7F">
              <w:rPr>
                <w:sz w:val="16"/>
              </w:rPr>
              <w:t>(1,423)</w:t>
            </w:r>
          </w:p>
        </w:tc>
        <w:tc>
          <w:tcPr>
            <w:tcW w:w="855" w:type="dxa"/>
          </w:tcPr>
          <w:p w14:paraId="2BD7A34A" w14:textId="77777777" w:rsidR="00B02873" w:rsidRPr="00095C7F" w:rsidRDefault="00B02873" w:rsidP="00095C7F">
            <w:pPr>
              <w:pStyle w:val="TablebodyleftFinancialsTables"/>
              <w:jc w:val="right"/>
              <w:rPr>
                <w:sz w:val="16"/>
              </w:rPr>
            </w:pPr>
            <w:r w:rsidRPr="00095C7F">
              <w:rPr>
                <w:sz w:val="16"/>
              </w:rPr>
              <w:t>(29,124)</w:t>
            </w:r>
          </w:p>
        </w:tc>
        <w:tc>
          <w:tcPr>
            <w:tcW w:w="907" w:type="dxa"/>
          </w:tcPr>
          <w:p w14:paraId="0AA02148" w14:textId="77777777" w:rsidR="00B02873" w:rsidRPr="00095C7F" w:rsidRDefault="00B02873" w:rsidP="00095C7F">
            <w:pPr>
              <w:pStyle w:val="TablebodyleftFinancialsTables"/>
              <w:jc w:val="right"/>
              <w:rPr>
                <w:sz w:val="16"/>
              </w:rPr>
            </w:pPr>
            <w:r w:rsidRPr="00095C7F">
              <w:rPr>
                <w:sz w:val="16"/>
              </w:rPr>
              <w:t>(12,176)</w:t>
            </w:r>
          </w:p>
        </w:tc>
        <w:tc>
          <w:tcPr>
            <w:tcW w:w="903" w:type="dxa"/>
          </w:tcPr>
          <w:p w14:paraId="3C298100" w14:textId="77777777" w:rsidR="00B02873" w:rsidRPr="00095C7F" w:rsidRDefault="00B02873" w:rsidP="00095C7F">
            <w:pPr>
              <w:pStyle w:val="TablebodyleftFinancialsTables"/>
              <w:jc w:val="right"/>
              <w:rPr>
                <w:sz w:val="16"/>
              </w:rPr>
            </w:pPr>
            <w:r w:rsidRPr="00095C7F">
              <w:rPr>
                <w:sz w:val="16"/>
              </w:rPr>
              <w:t>(8,843)</w:t>
            </w:r>
          </w:p>
        </w:tc>
        <w:tc>
          <w:tcPr>
            <w:tcW w:w="992" w:type="dxa"/>
          </w:tcPr>
          <w:p w14:paraId="1F46BF88" w14:textId="77777777" w:rsidR="00B02873" w:rsidRPr="00095C7F" w:rsidRDefault="00B02873" w:rsidP="00095C7F">
            <w:pPr>
              <w:pStyle w:val="TablebodyleftFinancialsTables"/>
              <w:jc w:val="right"/>
              <w:rPr>
                <w:sz w:val="16"/>
              </w:rPr>
            </w:pPr>
            <w:r w:rsidRPr="00095C7F">
              <w:rPr>
                <w:sz w:val="16"/>
              </w:rPr>
              <w:t>–</w:t>
            </w:r>
          </w:p>
        </w:tc>
        <w:tc>
          <w:tcPr>
            <w:tcW w:w="794" w:type="dxa"/>
          </w:tcPr>
          <w:p w14:paraId="782E98C6" w14:textId="77777777" w:rsidR="00B02873" w:rsidRPr="00095C7F" w:rsidRDefault="00B02873" w:rsidP="00095C7F">
            <w:pPr>
              <w:pStyle w:val="TablebodyleftFinancialsTables"/>
              <w:jc w:val="right"/>
              <w:rPr>
                <w:sz w:val="16"/>
              </w:rPr>
            </w:pPr>
            <w:r w:rsidRPr="00095C7F">
              <w:rPr>
                <w:sz w:val="16"/>
              </w:rPr>
              <w:t>–</w:t>
            </w:r>
          </w:p>
        </w:tc>
        <w:tc>
          <w:tcPr>
            <w:tcW w:w="874" w:type="dxa"/>
          </w:tcPr>
          <w:p w14:paraId="2EA7D200" w14:textId="77777777" w:rsidR="00B02873" w:rsidRPr="00095C7F" w:rsidRDefault="00B02873" w:rsidP="00095C7F">
            <w:pPr>
              <w:pStyle w:val="TablebodyleftFinancialsTables"/>
              <w:jc w:val="right"/>
              <w:rPr>
                <w:sz w:val="16"/>
              </w:rPr>
            </w:pPr>
            <w:r w:rsidRPr="00095C7F">
              <w:rPr>
                <w:sz w:val="16"/>
              </w:rPr>
              <w:t>(73,632)</w:t>
            </w:r>
          </w:p>
        </w:tc>
      </w:tr>
      <w:tr w:rsidR="00B02873" w:rsidRPr="00095C7F" w14:paraId="3E5565D3" w14:textId="77777777" w:rsidTr="0090537F">
        <w:tc>
          <w:tcPr>
            <w:tcW w:w="1413" w:type="dxa"/>
          </w:tcPr>
          <w:p w14:paraId="0BE48BE7" w14:textId="77777777" w:rsidR="00B02873" w:rsidRPr="00095C7F" w:rsidRDefault="00B02873" w:rsidP="00F17710">
            <w:pPr>
              <w:pStyle w:val="TablebodyleftFinancialsTables"/>
              <w:rPr>
                <w:b/>
                <w:bCs/>
                <w:sz w:val="16"/>
              </w:rPr>
            </w:pPr>
            <w:r w:rsidRPr="00095C7F">
              <w:rPr>
                <w:b/>
                <w:bCs/>
                <w:sz w:val="16"/>
              </w:rPr>
              <w:lastRenderedPageBreak/>
              <w:t>Balance at 30 June 2021</w:t>
            </w:r>
          </w:p>
        </w:tc>
        <w:tc>
          <w:tcPr>
            <w:tcW w:w="794" w:type="dxa"/>
          </w:tcPr>
          <w:p w14:paraId="59D7D916" w14:textId="77777777" w:rsidR="00B02873" w:rsidRPr="00095C7F" w:rsidRDefault="00B02873" w:rsidP="00095C7F">
            <w:pPr>
              <w:pStyle w:val="TablebodyleftFinancialsTables"/>
              <w:jc w:val="right"/>
              <w:rPr>
                <w:b/>
                <w:bCs/>
                <w:sz w:val="16"/>
              </w:rPr>
            </w:pPr>
            <w:r w:rsidRPr="00095C7F">
              <w:rPr>
                <w:b/>
                <w:bCs/>
                <w:sz w:val="16"/>
              </w:rPr>
              <w:t>154,771</w:t>
            </w:r>
          </w:p>
        </w:tc>
        <w:tc>
          <w:tcPr>
            <w:tcW w:w="903" w:type="dxa"/>
          </w:tcPr>
          <w:p w14:paraId="48AFF55C" w14:textId="77777777" w:rsidR="00B02873" w:rsidRPr="00095C7F" w:rsidRDefault="00B02873" w:rsidP="00095C7F">
            <w:pPr>
              <w:pStyle w:val="TablebodyleftFinancialsTables"/>
              <w:jc w:val="right"/>
              <w:rPr>
                <w:b/>
                <w:bCs/>
                <w:sz w:val="16"/>
              </w:rPr>
            </w:pPr>
            <w:r w:rsidRPr="00095C7F">
              <w:rPr>
                <w:b/>
                <w:bCs/>
                <w:sz w:val="16"/>
              </w:rPr>
              <w:t>3,764,210</w:t>
            </w:r>
          </w:p>
        </w:tc>
        <w:tc>
          <w:tcPr>
            <w:tcW w:w="793" w:type="dxa"/>
          </w:tcPr>
          <w:p w14:paraId="2164B87E" w14:textId="77777777" w:rsidR="00B02873" w:rsidRPr="00095C7F" w:rsidRDefault="00B02873" w:rsidP="00095C7F">
            <w:pPr>
              <w:pStyle w:val="TablebodyleftFinancialsTables"/>
              <w:jc w:val="right"/>
              <w:rPr>
                <w:b/>
                <w:bCs/>
                <w:sz w:val="16"/>
              </w:rPr>
            </w:pPr>
            <w:r w:rsidRPr="00095C7F">
              <w:rPr>
                <w:b/>
                <w:bCs/>
                <w:sz w:val="16"/>
              </w:rPr>
              <w:t>4,413</w:t>
            </w:r>
          </w:p>
        </w:tc>
        <w:tc>
          <w:tcPr>
            <w:tcW w:w="908" w:type="dxa"/>
          </w:tcPr>
          <w:p w14:paraId="30068D18" w14:textId="77777777" w:rsidR="00B02873" w:rsidRPr="00095C7F" w:rsidRDefault="00B02873" w:rsidP="00095C7F">
            <w:pPr>
              <w:pStyle w:val="TablebodyleftFinancialsTables"/>
              <w:jc w:val="right"/>
              <w:rPr>
                <w:b/>
                <w:bCs/>
                <w:sz w:val="16"/>
              </w:rPr>
            </w:pPr>
            <w:r w:rsidRPr="00095C7F">
              <w:rPr>
                <w:b/>
                <w:bCs/>
                <w:sz w:val="16"/>
              </w:rPr>
              <w:t>2,193,034</w:t>
            </w:r>
          </w:p>
        </w:tc>
        <w:tc>
          <w:tcPr>
            <w:tcW w:w="794" w:type="dxa"/>
          </w:tcPr>
          <w:p w14:paraId="065FAAF6" w14:textId="77777777" w:rsidR="00B02873" w:rsidRPr="00095C7F" w:rsidRDefault="00B02873" w:rsidP="00095C7F">
            <w:pPr>
              <w:pStyle w:val="TablebodyleftFinancialsTables"/>
              <w:jc w:val="right"/>
              <w:rPr>
                <w:b/>
                <w:bCs/>
                <w:sz w:val="16"/>
              </w:rPr>
            </w:pPr>
            <w:r w:rsidRPr="00095C7F">
              <w:rPr>
                <w:b/>
                <w:bCs/>
                <w:sz w:val="16"/>
              </w:rPr>
              <w:t>90,533</w:t>
            </w:r>
          </w:p>
        </w:tc>
        <w:tc>
          <w:tcPr>
            <w:tcW w:w="793" w:type="dxa"/>
          </w:tcPr>
          <w:p w14:paraId="1F2E5FA8" w14:textId="77777777" w:rsidR="00B02873" w:rsidRPr="00095C7F" w:rsidRDefault="00B02873" w:rsidP="00095C7F">
            <w:pPr>
              <w:pStyle w:val="TablebodyleftFinancialsTables"/>
              <w:jc w:val="right"/>
              <w:rPr>
                <w:b/>
                <w:bCs/>
                <w:sz w:val="16"/>
              </w:rPr>
            </w:pPr>
            <w:r w:rsidRPr="00095C7F">
              <w:rPr>
                <w:b/>
                <w:bCs/>
                <w:sz w:val="16"/>
              </w:rPr>
              <w:t>7,870</w:t>
            </w:r>
          </w:p>
        </w:tc>
        <w:tc>
          <w:tcPr>
            <w:tcW w:w="964" w:type="dxa"/>
          </w:tcPr>
          <w:p w14:paraId="51188406" w14:textId="77777777" w:rsidR="00B02873" w:rsidRPr="00095C7F" w:rsidRDefault="00B02873" w:rsidP="00095C7F">
            <w:pPr>
              <w:pStyle w:val="TablebodyleftFinancialsTables"/>
              <w:jc w:val="right"/>
              <w:rPr>
                <w:b/>
                <w:bCs/>
                <w:sz w:val="16"/>
              </w:rPr>
            </w:pPr>
            <w:r w:rsidRPr="00095C7F">
              <w:rPr>
                <w:b/>
                <w:bCs/>
                <w:sz w:val="16"/>
              </w:rPr>
              <w:t>48,542</w:t>
            </w:r>
          </w:p>
        </w:tc>
        <w:tc>
          <w:tcPr>
            <w:tcW w:w="851" w:type="dxa"/>
          </w:tcPr>
          <w:p w14:paraId="348DCBC6" w14:textId="77777777" w:rsidR="00B02873" w:rsidRPr="00095C7F" w:rsidRDefault="00B02873" w:rsidP="00095C7F">
            <w:pPr>
              <w:pStyle w:val="TablebodyleftFinancialsTables"/>
              <w:jc w:val="right"/>
              <w:rPr>
                <w:b/>
                <w:bCs/>
                <w:sz w:val="16"/>
              </w:rPr>
            </w:pPr>
            <w:r w:rsidRPr="00095C7F">
              <w:rPr>
                <w:b/>
                <w:bCs/>
                <w:sz w:val="16"/>
              </w:rPr>
              <w:t>50,182</w:t>
            </w:r>
          </w:p>
        </w:tc>
        <w:tc>
          <w:tcPr>
            <w:tcW w:w="850" w:type="dxa"/>
          </w:tcPr>
          <w:p w14:paraId="3ECF2C7E" w14:textId="77777777" w:rsidR="00B02873" w:rsidRPr="00095C7F" w:rsidRDefault="00B02873" w:rsidP="00095C7F">
            <w:pPr>
              <w:pStyle w:val="TablebodyleftFinancialsTables"/>
              <w:jc w:val="right"/>
              <w:rPr>
                <w:b/>
                <w:bCs/>
                <w:sz w:val="16"/>
              </w:rPr>
            </w:pPr>
            <w:r w:rsidRPr="00095C7F">
              <w:rPr>
                <w:b/>
                <w:bCs/>
                <w:sz w:val="16"/>
              </w:rPr>
              <w:t>706,614</w:t>
            </w:r>
          </w:p>
        </w:tc>
        <w:tc>
          <w:tcPr>
            <w:tcW w:w="851" w:type="dxa"/>
          </w:tcPr>
          <w:p w14:paraId="2CEAB524" w14:textId="77777777" w:rsidR="00B02873" w:rsidRPr="00095C7F" w:rsidRDefault="00B02873" w:rsidP="00095C7F">
            <w:pPr>
              <w:pStyle w:val="TablebodyleftFinancialsTables"/>
              <w:jc w:val="right"/>
              <w:rPr>
                <w:b/>
                <w:bCs/>
                <w:sz w:val="16"/>
              </w:rPr>
            </w:pPr>
            <w:r w:rsidRPr="00095C7F">
              <w:rPr>
                <w:b/>
                <w:bCs/>
                <w:sz w:val="16"/>
              </w:rPr>
              <w:t>2,527</w:t>
            </w:r>
          </w:p>
        </w:tc>
        <w:tc>
          <w:tcPr>
            <w:tcW w:w="855" w:type="dxa"/>
          </w:tcPr>
          <w:p w14:paraId="4333F7FA" w14:textId="77777777" w:rsidR="00B02873" w:rsidRPr="00095C7F" w:rsidRDefault="00B02873" w:rsidP="00095C7F">
            <w:pPr>
              <w:pStyle w:val="TablebodyleftFinancialsTables"/>
              <w:jc w:val="right"/>
              <w:rPr>
                <w:b/>
                <w:bCs/>
                <w:sz w:val="16"/>
              </w:rPr>
            </w:pPr>
            <w:r w:rsidRPr="00095C7F">
              <w:rPr>
                <w:b/>
                <w:bCs/>
                <w:sz w:val="16"/>
              </w:rPr>
              <w:t>771,940</w:t>
            </w:r>
          </w:p>
        </w:tc>
        <w:tc>
          <w:tcPr>
            <w:tcW w:w="907" w:type="dxa"/>
          </w:tcPr>
          <w:p w14:paraId="3BBCF9C1" w14:textId="77777777" w:rsidR="00B02873" w:rsidRPr="00095C7F" w:rsidRDefault="00B02873" w:rsidP="00095C7F">
            <w:pPr>
              <w:pStyle w:val="TablebodyleftFinancialsTables"/>
              <w:jc w:val="right"/>
              <w:rPr>
                <w:b/>
                <w:bCs/>
                <w:sz w:val="16"/>
              </w:rPr>
            </w:pPr>
            <w:r w:rsidRPr="00095C7F">
              <w:rPr>
                <w:b/>
                <w:bCs/>
                <w:sz w:val="16"/>
              </w:rPr>
              <w:t>69,409</w:t>
            </w:r>
          </w:p>
        </w:tc>
        <w:tc>
          <w:tcPr>
            <w:tcW w:w="903" w:type="dxa"/>
          </w:tcPr>
          <w:p w14:paraId="5BC622F9" w14:textId="1927712B" w:rsidR="00B02873" w:rsidRPr="00095C7F" w:rsidRDefault="00B02873" w:rsidP="00095C7F">
            <w:pPr>
              <w:pStyle w:val="TablebodyleftFinancialsTables"/>
              <w:jc w:val="right"/>
              <w:rPr>
                <w:b/>
                <w:bCs/>
                <w:sz w:val="16"/>
              </w:rPr>
            </w:pPr>
            <w:r w:rsidRPr="00095C7F">
              <w:rPr>
                <w:b/>
                <w:bCs/>
                <w:sz w:val="16"/>
              </w:rPr>
              <w:t>47,822</w:t>
            </w:r>
            <w:r w:rsidR="00012C04" w:rsidRPr="00095C7F">
              <w:rPr>
                <w:b/>
                <w:bCs/>
                <w:sz w:val="16"/>
              </w:rPr>
              <w:t xml:space="preserve"> </w:t>
            </w:r>
          </w:p>
        </w:tc>
        <w:tc>
          <w:tcPr>
            <w:tcW w:w="992" w:type="dxa"/>
          </w:tcPr>
          <w:p w14:paraId="5B389DB2" w14:textId="77777777" w:rsidR="00B02873" w:rsidRPr="00095C7F" w:rsidRDefault="00B02873" w:rsidP="00095C7F">
            <w:pPr>
              <w:pStyle w:val="TablebodyleftFinancialsTables"/>
              <w:jc w:val="right"/>
              <w:rPr>
                <w:b/>
                <w:bCs/>
                <w:sz w:val="16"/>
              </w:rPr>
            </w:pPr>
            <w:r w:rsidRPr="00095C7F">
              <w:rPr>
                <w:b/>
                <w:bCs/>
                <w:sz w:val="16"/>
              </w:rPr>
              <w:t>75,332</w:t>
            </w:r>
          </w:p>
        </w:tc>
        <w:tc>
          <w:tcPr>
            <w:tcW w:w="794" w:type="dxa"/>
          </w:tcPr>
          <w:p w14:paraId="26069D71" w14:textId="77777777" w:rsidR="00B02873" w:rsidRPr="00095C7F" w:rsidRDefault="00B02873" w:rsidP="00095C7F">
            <w:pPr>
              <w:pStyle w:val="TablebodyleftFinancialsTables"/>
              <w:jc w:val="right"/>
              <w:rPr>
                <w:b/>
                <w:bCs/>
                <w:sz w:val="16"/>
              </w:rPr>
            </w:pPr>
            <w:r w:rsidRPr="00095C7F">
              <w:rPr>
                <w:b/>
                <w:bCs/>
                <w:sz w:val="16"/>
              </w:rPr>
              <w:t>4,530</w:t>
            </w:r>
          </w:p>
        </w:tc>
        <w:tc>
          <w:tcPr>
            <w:tcW w:w="874" w:type="dxa"/>
          </w:tcPr>
          <w:p w14:paraId="66D2C17A" w14:textId="77777777" w:rsidR="00B02873" w:rsidRPr="00095C7F" w:rsidRDefault="00B02873" w:rsidP="00095C7F">
            <w:pPr>
              <w:pStyle w:val="TablebodyleftFinancialsTables"/>
              <w:jc w:val="right"/>
              <w:rPr>
                <w:b/>
                <w:bCs/>
                <w:sz w:val="16"/>
              </w:rPr>
            </w:pPr>
            <w:r w:rsidRPr="00095C7F">
              <w:rPr>
                <w:b/>
                <w:bCs/>
                <w:sz w:val="16"/>
              </w:rPr>
              <w:t>7,991,729</w:t>
            </w:r>
          </w:p>
        </w:tc>
      </w:tr>
    </w:tbl>
    <w:p w14:paraId="68E8D8A5" w14:textId="77777777" w:rsidR="00B02873" w:rsidRPr="0090537F" w:rsidRDefault="00B02873" w:rsidP="0090537F">
      <w:pPr>
        <w:pStyle w:val="SourceNote"/>
        <w:spacing w:after="120"/>
        <w:rPr>
          <w:b/>
          <w:bCs/>
        </w:rPr>
      </w:pPr>
      <w:r w:rsidRPr="0090537F">
        <w:rPr>
          <w:b/>
          <w:bCs/>
        </w:rPr>
        <w:t>Note:</w:t>
      </w:r>
    </w:p>
    <w:p w14:paraId="47CC281A" w14:textId="1897D386" w:rsidR="00B02873" w:rsidRDefault="00B02873" w:rsidP="001128B1">
      <w:pPr>
        <w:pStyle w:val="SourceNotenumbered"/>
        <w:numPr>
          <w:ilvl w:val="0"/>
          <w:numId w:val="82"/>
        </w:numPr>
      </w:pPr>
      <w:r>
        <w:t xml:space="preserve">Land transferred to third parties is treated as a return of equity via administered expenses as per the requirements of </w:t>
      </w:r>
      <w:r w:rsidRPr="0090537F">
        <w:t xml:space="preserve">FRD 117 </w:t>
      </w:r>
      <w:r w:rsidRPr="00BD1F1E">
        <w:rPr>
          <w:rStyle w:val="LightItalic"/>
          <w:rFonts w:asciiTheme="minorHAnsi" w:hAnsiTheme="minorHAnsi" w:cstheme="minorHAnsi"/>
        </w:rPr>
        <w:t>Contributions of Existing Non-Financial Assets to Third Parties</w:t>
      </w:r>
      <w:r w:rsidRPr="0090537F">
        <w:t>.</w:t>
      </w:r>
    </w:p>
    <w:p w14:paraId="7E2B5870" w14:textId="77777777" w:rsidR="00B02873" w:rsidRPr="0090537F" w:rsidRDefault="00B02873" w:rsidP="00BD1F1E">
      <w:pPr>
        <w:pStyle w:val="SourceNotenumbered"/>
        <w:spacing w:after="200"/>
        <w:ind w:left="357" w:hanging="357"/>
      </w:pPr>
      <w:r w:rsidRPr="0090537F">
        <w:t xml:space="preserve">Net recognitions in 2021 includes first time recognition of Crown land resulting from moving to the new Landfolio application as the single source of truth for Crown land, along with net recognition of roads and structures resulting from an initial reconciliation with RoadNet. Net recognitions are treated as Other economic flows included in net result – Net gain on non-financial assets, as outlined in Note 9.2. </w:t>
      </w:r>
    </w:p>
    <w:p w14:paraId="5FECCF93" w14:textId="77777777" w:rsidR="00B02873" w:rsidRDefault="00B02873" w:rsidP="0090537F">
      <w:pPr>
        <w:pStyle w:val="Heading4"/>
      </w:pPr>
      <w:r>
        <w:t>5.1.1 Reconciliation of movements in carrying values (continued)</w:t>
      </w:r>
    </w:p>
    <w:tbl>
      <w:tblPr>
        <w:tblStyle w:val="TableGrid"/>
        <w:tblW w:w="14986" w:type="dxa"/>
        <w:tblLayout w:type="fixed"/>
        <w:tblLook w:val="0020" w:firstRow="1" w:lastRow="0" w:firstColumn="0" w:lastColumn="0" w:noHBand="0" w:noVBand="0"/>
      </w:tblPr>
      <w:tblGrid>
        <w:gridCol w:w="1413"/>
        <w:gridCol w:w="850"/>
        <w:gridCol w:w="868"/>
        <w:gridCol w:w="775"/>
        <w:gridCol w:w="877"/>
        <w:gridCol w:w="793"/>
        <w:gridCol w:w="794"/>
        <w:gridCol w:w="903"/>
        <w:gridCol w:w="840"/>
        <w:gridCol w:w="840"/>
        <w:gridCol w:w="840"/>
        <w:gridCol w:w="794"/>
        <w:gridCol w:w="885"/>
        <w:gridCol w:w="840"/>
        <w:gridCol w:w="1008"/>
        <w:gridCol w:w="793"/>
        <w:gridCol w:w="873"/>
      </w:tblGrid>
      <w:tr w:rsidR="00B02873" w:rsidRPr="0090537F" w14:paraId="52AD6B4F" w14:textId="77777777" w:rsidTr="003D7A81">
        <w:trPr>
          <w:cnfStyle w:val="100000000000" w:firstRow="1" w:lastRow="0" w:firstColumn="0" w:lastColumn="0" w:oddVBand="0" w:evenVBand="0" w:oddHBand="0" w:evenHBand="0" w:firstRowFirstColumn="0" w:firstRowLastColumn="0" w:lastRowFirstColumn="0" w:lastRowLastColumn="0"/>
          <w:tblHeader/>
        </w:trPr>
        <w:tc>
          <w:tcPr>
            <w:tcW w:w="1413" w:type="dxa"/>
          </w:tcPr>
          <w:p w14:paraId="1AE4233B" w14:textId="77777777" w:rsidR="00B02873" w:rsidRPr="0090537F" w:rsidRDefault="00B02873" w:rsidP="0090537F">
            <w:pPr>
              <w:pStyle w:val="TableheadingleftFinancialsTables"/>
              <w:rPr>
                <w:rFonts w:asciiTheme="minorHAnsi" w:hAnsiTheme="minorHAnsi" w:cstheme="minorHAnsi"/>
                <w:sz w:val="16"/>
              </w:rPr>
            </w:pPr>
          </w:p>
        </w:tc>
        <w:tc>
          <w:tcPr>
            <w:tcW w:w="850" w:type="dxa"/>
          </w:tcPr>
          <w:p w14:paraId="3D284655" w14:textId="77777777" w:rsidR="00B02873" w:rsidRPr="0090537F" w:rsidRDefault="00B02873" w:rsidP="003D7A81">
            <w:pPr>
              <w:pStyle w:val="TableheadingleftFinancialsTables"/>
              <w:jc w:val="right"/>
              <w:rPr>
                <w:rFonts w:asciiTheme="minorHAnsi" w:hAnsiTheme="minorHAnsi" w:cstheme="minorHAnsi"/>
                <w:sz w:val="16"/>
              </w:rPr>
            </w:pPr>
            <w:r w:rsidRPr="0090537F">
              <w:rPr>
                <w:rFonts w:asciiTheme="minorHAnsi" w:hAnsiTheme="minorHAnsi" w:cstheme="minorHAnsi"/>
                <w:spacing w:val="-1"/>
                <w:sz w:val="16"/>
              </w:rPr>
              <w:t xml:space="preserve">Freehold </w:t>
            </w:r>
            <w:r w:rsidRPr="0090537F">
              <w:rPr>
                <w:rFonts w:asciiTheme="minorHAnsi" w:hAnsiTheme="minorHAnsi" w:cstheme="minorHAnsi"/>
                <w:spacing w:val="-1"/>
                <w:sz w:val="16"/>
              </w:rPr>
              <w:br/>
              <w:t>land</w:t>
            </w:r>
            <w:r w:rsidRPr="0090537F">
              <w:rPr>
                <w:rFonts w:asciiTheme="minorHAnsi" w:hAnsiTheme="minorHAnsi" w:cstheme="minorHAnsi"/>
                <w:spacing w:val="-1"/>
                <w:sz w:val="16"/>
              </w:rPr>
              <w:br/>
              <w:t>$’000</w:t>
            </w:r>
          </w:p>
        </w:tc>
        <w:tc>
          <w:tcPr>
            <w:tcW w:w="868" w:type="dxa"/>
          </w:tcPr>
          <w:p w14:paraId="4D1EF1B0" w14:textId="77777777" w:rsidR="00B02873" w:rsidRPr="0090537F" w:rsidRDefault="00B02873" w:rsidP="003D7A81">
            <w:pPr>
              <w:pStyle w:val="TableheadingleftFinancialsTables"/>
              <w:jc w:val="right"/>
              <w:rPr>
                <w:rFonts w:asciiTheme="minorHAnsi" w:hAnsiTheme="minorHAnsi" w:cstheme="minorHAnsi"/>
                <w:sz w:val="16"/>
              </w:rPr>
            </w:pPr>
            <w:r w:rsidRPr="0090537F">
              <w:rPr>
                <w:rFonts w:asciiTheme="minorHAnsi" w:hAnsiTheme="minorHAnsi" w:cstheme="minorHAnsi"/>
                <w:spacing w:val="-1"/>
                <w:sz w:val="16"/>
              </w:rPr>
              <w:t xml:space="preserve">Land and </w:t>
            </w:r>
            <w:r w:rsidRPr="0090537F">
              <w:rPr>
                <w:rFonts w:asciiTheme="minorHAnsi" w:hAnsiTheme="minorHAnsi" w:cstheme="minorHAnsi"/>
                <w:spacing w:val="-1"/>
                <w:sz w:val="16"/>
              </w:rPr>
              <w:br/>
              <w:t>unused roads</w:t>
            </w:r>
            <w:r w:rsidRPr="0090537F">
              <w:rPr>
                <w:rFonts w:asciiTheme="minorHAnsi" w:hAnsiTheme="minorHAnsi" w:cstheme="minorHAnsi"/>
                <w:spacing w:val="-1"/>
                <w:sz w:val="16"/>
              </w:rPr>
              <w:br/>
              <w:t>$’000</w:t>
            </w:r>
          </w:p>
        </w:tc>
        <w:tc>
          <w:tcPr>
            <w:tcW w:w="775" w:type="dxa"/>
          </w:tcPr>
          <w:p w14:paraId="372AB95D" w14:textId="77777777" w:rsidR="00B02873" w:rsidRPr="0090537F" w:rsidRDefault="00B02873" w:rsidP="003D7A81">
            <w:pPr>
              <w:pStyle w:val="TableheadingleftFinancialsTables"/>
              <w:jc w:val="right"/>
              <w:rPr>
                <w:rFonts w:asciiTheme="minorHAnsi" w:hAnsiTheme="minorHAnsi" w:cstheme="minorHAnsi"/>
                <w:sz w:val="16"/>
              </w:rPr>
            </w:pPr>
            <w:r w:rsidRPr="0090537F">
              <w:rPr>
                <w:rFonts w:asciiTheme="minorHAnsi" w:hAnsiTheme="minorHAnsi" w:cstheme="minorHAnsi"/>
                <w:spacing w:val="-1"/>
                <w:sz w:val="16"/>
              </w:rPr>
              <w:t xml:space="preserve">National </w:t>
            </w:r>
            <w:r w:rsidRPr="0090537F">
              <w:rPr>
                <w:rFonts w:asciiTheme="minorHAnsi" w:hAnsiTheme="minorHAnsi" w:cstheme="minorHAnsi"/>
                <w:spacing w:val="-1"/>
                <w:sz w:val="16"/>
              </w:rPr>
              <w:br/>
              <w:t>parks</w:t>
            </w:r>
            <w:r w:rsidRPr="0090537F">
              <w:rPr>
                <w:rFonts w:asciiTheme="minorHAnsi" w:hAnsiTheme="minorHAnsi" w:cstheme="minorHAnsi"/>
                <w:spacing w:val="-1"/>
                <w:sz w:val="16"/>
              </w:rPr>
              <w:br/>
              <w:t>$’000</w:t>
            </w:r>
          </w:p>
        </w:tc>
        <w:tc>
          <w:tcPr>
            <w:tcW w:w="877" w:type="dxa"/>
          </w:tcPr>
          <w:p w14:paraId="7D16091C" w14:textId="77777777" w:rsidR="00B02873" w:rsidRPr="0090537F" w:rsidRDefault="00B02873" w:rsidP="003D7A81">
            <w:pPr>
              <w:pStyle w:val="TableheadingleftFinancialsTables"/>
              <w:jc w:val="right"/>
              <w:rPr>
                <w:rFonts w:asciiTheme="minorHAnsi" w:hAnsiTheme="minorHAnsi" w:cstheme="minorHAnsi"/>
                <w:sz w:val="16"/>
              </w:rPr>
            </w:pPr>
            <w:r w:rsidRPr="0090537F">
              <w:rPr>
                <w:rFonts w:asciiTheme="minorHAnsi" w:hAnsiTheme="minorHAnsi" w:cstheme="minorHAnsi"/>
                <w:spacing w:val="-1"/>
                <w:sz w:val="16"/>
              </w:rPr>
              <w:t xml:space="preserve">State </w:t>
            </w:r>
            <w:r w:rsidRPr="0090537F">
              <w:rPr>
                <w:rFonts w:asciiTheme="minorHAnsi" w:hAnsiTheme="minorHAnsi" w:cstheme="minorHAnsi"/>
                <w:spacing w:val="-1"/>
                <w:sz w:val="16"/>
              </w:rPr>
              <w:br/>
              <w:t>forests</w:t>
            </w:r>
            <w:r w:rsidRPr="0090537F">
              <w:rPr>
                <w:rFonts w:asciiTheme="minorHAnsi" w:hAnsiTheme="minorHAnsi" w:cstheme="minorHAnsi"/>
                <w:spacing w:val="-1"/>
                <w:sz w:val="16"/>
              </w:rPr>
              <w:br/>
              <w:t>$’000</w:t>
            </w:r>
          </w:p>
        </w:tc>
        <w:tc>
          <w:tcPr>
            <w:tcW w:w="793" w:type="dxa"/>
          </w:tcPr>
          <w:p w14:paraId="51687FB1" w14:textId="77777777" w:rsidR="00B02873" w:rsidRPr="0090537F" w:rsidRDefault="00B02873" w:rsidP="003D7A81">
            <w:pPr>
              <w:pStyle w:val="TableheadingleftFinancialsTables"/>
              <w:jc w:val="right"/>
              <w:rPr>
                <w:rFonts w:asciiTheme="minorHAnsi" w:hAnsiTheme="minorHAnsi" w:cstheme="minorHAnsi"/>
                <w:sz w:val="16"/>
              </w:rPr>
            </w:pPr>
            <w:r w:rsidRPr="0090537F">
              <w:rPr>
                <w:rFonts w:asciiTheme="minorHAnsi" w:hAnsiTheme="minorHAnsi" w:cstheme="minorHAnsi"/>
                <w:spacing w:val="-4"/>
                <w:sz w:val="16"/>
              </w:rPr>
              <w:t>Conservation reserves</w:t>
            </w:r>
            <w:r w:rsidRPr="0090537F">
              <w:rPr>
                <w:rFonts w:asciiTheme="minorHAnsi" w:hAnsiTheme="minorHAnsi" w:cstheme="minorHAnsi"/>
                <w:spacing w:val="-4"/>
                <w:sz w:val="16"/>
              </w:rPr>
              <w:br/>
            </w:r>
            <w:r w:rsidRPr="0090537F">
              <w:rPr>
                <w:rFonts w:asciiTheme="minorHAnsi" w:hAnsiTheme="minorHAnsi" w:cstheme="minorHAnsi"/>
                <w:spacing w:val="-1"/>
                <w:sz w:val="16"/>
              </w:rPr>
              <w:t>$’000</w:t>
            </w:r>
          </w:p>
        </w:tc>
        <w:tc>
          <w:tcPr>
            <w:tcW w:w="794" w:type="dxa"/>
          </w:tcPr>
          <w:p w14:paraId="30F78158" w14:textId="77777777" w:rsidR="00B02873" w:rsidRPr="0090537F" w:rsidRDefault="00B02873" w:rsidP="003D7A81">
            <w:pPr>
              <w:pStyle w:val="TableheadingleftFinancialsTables"/>
              <w:jc w:val="right"/>
              <w:rPr>
                <w:rFonts w:asciiTheme="minorHAnsi" w:hAnsiTheme="minorHAnsi" w:cstheme="minorHAnsi"/>
                <w:sz w:val="16"/>
              </w:rPr>
            </w:pPr>
            <w:r w:rsidRPr="0090537F">
              <w:rPr>
                <w:rFonts w:asciiTheme="minorHAnsi" w:hAnsiTheme="minorHAnsi" w:cstheme="minorHAnsi"/>
                <w:spacing w:val="-6"/>
                <w:sz w:val="16"/>
              </w:rPr>
              <w:t>Metro-</w:t>
            </w:r>
            <w:r w:rsidRPr="0090537F">
              <w:rPr>
                <w:rFonts w:asciiTheme="minorHAnsi" w:hAnsiTheme="minorHAnsi" w:cstheme="minorHAnsi"/>
                <w:spacing w:val="-6"/>
                <w:sz w:val="16"/>
              </w:rPr>
              <w:br/>
              <w:t xml:space="preserve">politan </w:t>
            </w:r>
            <w:r w:rsidRPr="0090537F">
              <w:rPr>
                <w:rFonts w:asciiTheme="minorHAnsi" w:hAnsiTheme="minorHAnsi" w:cstheme="minorHAnsi"/>
                <w:spacing w:val="-6"/>
                <w:sz w:val="16"/>
              </w:rPr>
              <w:br/>
              <w:t>parks</w:t>
            </w:r>
            <w:r w:rsidRPr="0090537F">
              <w:rPr>
                <w:rFonts w:asciiTheme="minorHAnsi" w:hAnsiTheme="minorHAnsi" w:cstheme="minorHAnsi"/>
                <w:spacing w:val="-6"/>
                <w:sz w:val="16"/>
              </w:rPr>
              <w:br/>
              <w:t>$’000</w:t>
            </w:r>
          </w:p>
        </w:tc>
        <w:tc>
          <w:tcPr>
            <w:tcW w:w="903" w:type="dxa"/>
          </w:tcPr>
          <w:p w14:paraId="2229D0DB" w14:textId="77777777" w:rsidR="00B02873" w:rsidRPr="0090537F" w:rsidRDefault="00B02873" w:rsidP="003D7A81">
            <w:pPr>
              <w:pStyle w:val="TableheadingleftFinancialsTables"/>
              <w:jc w:val="right"/>
              <w:rPr>
                <w:rFonts w:asciiTheme="minorHAnsi" w:hAnsiTheme="minorHAnsi" w:cstheme="minorHAnsi"/>
                <w:sz w:val="16"/>
              </w:rPr>
            </w:pPr>
            <w:r w:rsidRPr="0090537F">
              <w:rPr>
                <w:rFonts w:asciiTheme="minorHAnsi" w:hAnsiTheme="minorHAnsi" w:cstheme="minorHAnsi"/>
                <w:spacing w:val="-7"/>
                <w:sz w:val="16"/>
              </w:rPr>
              <w:t xml:space="preserve">Land </w:t>
            </w:r>
            <w:r w:rsidRPr="0090537F">
              <w:rPr>
                <w:rFonts w:asciiTheme="minorHAnsi" w:hAnsiTheme="minorHAnsi" w:cstheme="minorHAnsi"/>
                <w:spacing w:val="-7"/>
                <w:sz w:val="16"/>
              </w:rPr>
              <w:br/>
              <w:t xml:space="preserve">used for </w:t>
            </w:r>
            <w:r w:rsidRPr="0090537F">
              <w:rPr>
                <w:rFonts w:asciiTheme="minorHAnsi" w:hAnsiTheme="minorHAnsi" w:cstheme="minorHAnsi"/>
                <w:spacing w:val="-7"/>
                <w:sz w:val="16"/>
              </w:rPr>
              <w:br/>
              <w:t xml:space="preserve">operational </w:t>
            </w:r>
            <w:r w:rsidRPr="0090537F">
              <w:rPr>
                <w:rFonts w:asciiTheme="minorHAnsi" w:hAnsiTheme="minorHAnsi" w:cstheme="minorHAnsi"/>
                <w:spacing w:val="-7"/>
                <w:sz w:val="16"/>
              </w:rPr>
              <w:br/>
              <w:t>purposes</w:t>
            </w:r>
            <w:r w:rsidRPr="0090537F">
              <w:rPr>
                <w:rFonts w:asciiTheme="minorHAnsi" w:hAnsiTheme="minorHAnsi" w:cstheme="minorHAnsi"/>
                <w:spacing w:val="-7"/>
                <w:sz w:val="16"/>
              </w:rPr>
              <w:br/>
              <w:t xml:space="preserve">$’000 </w:t>
            </w:r>
          </w:p>
        </w:tc>
        <w:tc>
          <w:tcPr>
            <w:tcW w:w="840" w:type="dxa"/>
          </w:tcPr>
          <w:p w14:paraId="393E2AC4" w14:textId="77777777" w:rsidR="00B02873" w:rsidRPr="0090537F" w:rsidRDefault="00B02873" w:rsidP="003D7A81">
            <w:pPr>
              <w:pStyle w:val="TableheadingleftFinancialsTables"/>
              <w:jc w:val="right"/>
              <w:rPr>
                <w:rFonts w:asciiTheme="minorHAnsi" w:hAnsiTheme="minorHAnsi" w:cstheme="minorHAnsi"/>
                <w:sz w:val="16"/>
              </w:rPr>
            </w:pPr>
            <w:r w:rsidRPr="0090537F">
              <w:rPr>
                <w:rFonts w:asciiTheme="minorHAnsi" w:hAnsiTheme="minorHAnsi" w:cstheme="minorHAnsi"/>
                <w:spacing w:val="-1"/>
                <w:sz w:val="16"/>
              </w:rPr>
              <w:t xml:space="preserve">Land purchase </w:t>
            </w:r>
            <w:r w:rsidRPr="0090537F">
              <w:rPr>
                <w:rFonts w:asciiTheme="minorHAnsi" w:hAnsiTheme="minorHAnsi" w:cstheme="minorHAnsi"/>
                <w:spacing w:val="-1"/>
                <w:sz w:val="16"/>
              </w:rPr>
              <w:br/>
              <w:t xml:space="preserve">in </w:t>
            </w:r>
            <w:r w:rsidRPr="0090537F">
              <w:rPr>
                <w:rFonts w:asciiTheme="minorHAnsi" w:hAnsiTheme="minorHAnsi" w:cstheme="minorHAnsi"/>
                <w:spacing w:val="-1"/>
                <w:sz w:val="16"/>
              </w:rPr>
              <w:br/>
              <w:t>progress</w:t>
            </w:r>
            <w:r w:rsidRPr="0090537F">
              <w:rPr>
                <w:rFonts w:asciiTheme="minorHAnsi" w:hAnsiTheme="minorHAnsi" w:cstheme="minorHAnsi"/>
                <w:spacing w:val="-1"/>
                <w:sz w:val="16"/>
              </w:rPr>
              <w:br/>
              <w:t xml:space="preserve">$’000 </w:t>
            </w:r>
          </w:p>
        </w:tc>
        <w:tc>
          <w:tcPr>
            <w:tcW w:w="840" w:type="dxa"/>
          </w:tcPr>
          <w:p w14:paraId="20FB6670" w14:textId="77777777" w:rsidR="00B02873" w:rsidRPr="0090537F" w:rsidRDefault="00B02873" w:rsidP="003D7A81">
            <w:pPr>
              <w:pStyle w:val="TableheadingleftFinancialsTables"/>
              <w:jc w:val="right"/>
              <w:rPr>
                <w:rFonts w:asciiTheme="minorHAnsi" w:hAnsiTheme="minorHAnsi" w:cstheme="minorHAnsi"/>
                <w:sz w:val="16"/>
              </w:rPr>
            </w:pPr>
            <w:r w:rsidRPr="0090537F">
              <w:rPr>
                <w:rFonts w:asciiTheme="minorHAnsi" w:hAnsiTheme="minorHAnsi" w:cstheme="minorHAnsi"/>
                <w:spacing w:val="-7"/>
                <w:sz w:val="16"/>
              </w:rPr>
              <w:t xml:space="preserve">Buildings </w:t>
            </w:r>
            <w:r w:rsidRPr="0090537F">
              <w:rPr>
                <w:rFonts w:asciiTheme="minorHAnsi" w:hAnsiTheme="minorHAnsi" w:cstheme="minorHAnsi"/>
                <w:spacing w:val="-7"/>
                <w:sz w:val="16"/>
              </w:rPr>
              <w:br/>
              <w:t>and structures other than RoU</w:t>
            </w:r>
            <w:r w:rsidRPr="0090537F">
              <w:rPr>
                <w:rFonts w:asciiTheme="minorHAnsi" w:hAnsiTheme="minorHAnsi" w:cstheme="minorHAnsi"/>
                <w:spacing w:val="-7"/>
                <w:sz w:val="16"/>
              </w:rPr>
              <w:br/>
              <w:t>$’000</w:t>
            </w:r>
          </w:p>
        </w:tc>
        <w:tc>
          <w:tcPr>
            <w:tcW w:w="840" w:type="dxa"/>
          </w:tcPr>
          <w:p w14:paraId="6795AA3B" w14:textId="77777777" w:rsidR="00B02873" w:rsidRPr="0090537F" w:rsidRDefault="00B02873" w:rsidP="003D7A81">
            <w:pPr>
              <w:pStyle w:val="TableheadingleftFinancialsTables"/>
              <w:jc w:val="right"/>
              <w:rPr>
                <w:rFonts w:asciiTheme="minorHAnsi" w:hAnsiTheme="minorHAnsi" w:cstheme="minorHAnsi"/>
                <w:sz w:val="16"/>
              </w:rPr>
            </w:pPr>
            <w:r w:rsidRPr="0090537F">
              <w:rPr>
                <w:rFonts w:asciiTheme="minorHAnsi" w:hAnsiTheme="minorHAnsi" w:cstheme="minorHAnsi"/>
                <w:spacing w:val="-7"/>
                <w:sz w:val="16"/>
              </w:rPr>
              <w:t xml:space="preserve">RoU </w:t>
            </w:r>
            <w:r w:rsidRPr="0090537F">
              <w:rPr>
                <w:rFonts w:asciiTheme="minorHAnsi" w:hAnsiTheme="minorHAnsi" w:cstheme="minorHAnsi"/>
                <w:spacing w:val="-7"/>
                <w:sz w:val="16"/>
              </w:rPr>
              <w:br/>
              <w:t xml:space="preserve">Buildings </w:t>
            </w:r>
            <w:r w:rsidRPr="0090537F">
              <w:rPr>
                <w:rFonts w:asciiTheme="minorHAnsi" w:hAnsiTheme="minorHAnsi" w:cstheme="minorHAnsi"/>
                <w:spacing w:val="-7"/>
                <w:sz w:val="16"/>
              </w:rPr>
              <w:br/>
              <w:t xml:space="preserve">and </w:t>
            </w:r>
            <w:r w:rsidRPr="0090537F">
              <w:rPr>
                <w:rFonts w:asciiTheme="minorHAnsi" w:hAnsiTheme="minorHAnsi" w:cstheme="minorHAnsi"/>
                <w:spacing w:val="-7"/>
                <w:sz w:val="16"/>
              </w:rPr>
              <w:br/>
              <w:t>structures</w:t>
            </w:r>
            <w:r w:rsidRPr="0090537F">
              <w:rPr>
                <w:rFonts w:asciiTheme="minorHAnsi" w:hAnsiTheme="minorHAnsi" w:cstheme="minorHAnsi"/>
                <w:spacing w:val="-7"/>
                <w:sz w:val="16"/>
              </w:rPr>
              <w:br/>
              <w:t>$’000</w:t>
            </w:r>
          </w:p>
        </w:tc>
        <w:tc>
          <w:tcPr>
            <w:tcW w:w="794" w:type="dxa"/>
          </w:tcPr>
          <w:p w14:paraId="73B08793" w14:textId="77777777" w:rsidR="00B02873" w:rsidRPr="0090537F" w:rsidRDefault="00B02873" w:rsidP="003D7A81">
            <w:pPr>
              <w:pStyle w:val="TableheadingleftFinancialsTables"/>
              <w:jc w:val="right"/>
              <w:rPr>
                <w:rFonts w:asciiTheme="minorHAnsi" w:hAnsiTheme="minorHAnsi" w:cstheme="minorHAnsi"/>
                <w:sz w:val="16"/>
              </w:rPr>
            </w:pPr>
            <w:r w:rsidRPr="0090537F">
              <w:rPr>
                <w:rFonts w:asciiTheme="minorHAnsi" w:hAnsiTheme="minorHAnsi" w:cstheme="minorHAnsi"/>
                <w:spacing w:val="-1"/>
                <w:sz w:val="16"/>
              </w:rPr>
              <w:t>Roads</w:t>
            </w:r>
            <w:r w:rsidRPr="0090537F">
              <w:rPr>
                <w:rFonts w:asciiTheme="minorHAnsi" w:hAnsiTheme="minorHAnsi" w:cstheme="minorHAnsi"/>
                <w:spacing w:val="-1"/>
                <w:sz w:val="16"/>
              </w:rPr>
              <w:br/>
              <w:t>$’000</w:t>
            </w:r>
          </w:p>
        </w:tc>
        <w:tc>
          <w:tcPr>
            <w:tcW w:w="885" w:type="dxa"/>
          </w:tcPr>
          <w:p w14:paraId="564E130E" w14:textId="77777777" w:rsidR="00B02873" w:rsidRPr="0090537F" w:rsidRDefault="00B02873" w:rsidP="003D7A81">
            <w:pPr>
              <w:pStyle w:val="TableheadingleftFinancialsTables"/>
              <w:jc w:val="right"/>
              <w:rPr>
                <w:rFonts w:asciiTheme="minorHAnsi" w:hAnsiTheme="minorHAnsi" w:cstheme="minorHAnsi"/>
                <w:sz w:val="16"/>
              </w:rPr>
            </w:pPr>
            <w:r w:rsidRPr="0090537F">
              <w:rPr>
                <w:rFonts w:asciiTheme="minorHAnsi" w:hAnsiTheme="minorHAnsi" w:cstheme="minorHAnsi"/>
                <w:spacing w:val="-7"/>
                <w:sz w:val="16"/>
              </w:rPr>
              <w:t xml:space="preserve">Plant and </w:t>
            </w:r>
            <w:r w:rsidRPr="0090537F">
              <w:rPr>
                <w:rFonts w:asciiTheme="minorHAnsi" w:hAnsiTheme="minorHAnsi" w:cstheme="minorHAnsi"/>
                <w:spacing w:val="-7"/>
                <w:sz w:val="16"/>
              </w:rPr>
              <w:br/>
              <w:t xml:space="preserve">equipment </w:t>
            </w:r>
            <w:r w:rsidRPr="0090537F">
              <w:rPr>
                <w:rFonts w:asciiTheme="minorHAnsi" w:hAnsiTheme="minorHAnsi" w:cstheme="minorHAnsi"/>
                <w:spacing w:val="-7"/>
                <w:sz w:val="16"/>
              </w:rPr>
              <w:br/>
              <w:t xml:space="preserve">other than </w:t>
            </w:r>
            <w:r w:rsidRPr="0090537F">
              <w:rPr>
                <w:rFonts w:asciiTheme="minorHAnsi" w:hAnsiTheme="minorHAnsi" w:cstheme="minorHAnsi"/>
                <w:spacing w:val="-7"/>
                <w:sz w:val="16"/>
              </w:rPr>
              <w:br/>
              <w:t>RoU</w:t>
            </w:r>
            <w:r w:rsidRPr="0090537F">
              <w:rPr>
                <w:rFonts w:asciiTheme="minorHAnsi" w:hAnsiTheme="minorHAnsi" w:cstheme="minorHAnsi"/>
                <w:spacing w:val="-7"/>
                <w:sz w:val="16"/>
              </w:rPr>
              <w:br/>
              <w:t>$’000</w:t>
            </w:r>
          </w:p>
        </w:tc>
        <w:tc>
          <w:tcPr>
            <w:tcW w:w="840" w:type="dxa"/>
          </w:tcPr>
          <w:p w14:paraId="0C3DD548" w14:textId="77777777" w:rsidR="00B02873" w:rsidRPr="0090537F" w:rsidRDefault="00B02873" w:rsidP="003D7A81">
            <w:pPr>
              <w:pStyle w:val="TableheadingleftFinancialsTables"/>
              <w:ind w:right="-37"/>
              <w:jc w:val="right"/>
              <w:rPr>
                <w:rFonts w:asciiTheme="minorHAnsi" w:hAnsiTheme="minorHAnsi" w:cstheme="minorHAnsi"/>
                <w:sz w:val="16"/>
              </w:rPr>
            </w:pPr>
            <w:r w:rsidRPr="0090537F">
              <w:rPr>
                <w:rFonts w:asciiTheme="minorHAnsi" w:hAnsiTheme="minorHAnsi" w:cstheme="minorHAnsi"/>
                <w:spacing w:val="-7"/>
                <w:sz w:val="16"/>
              </w:rPr>
              <w:t xml:space="preserve">RoU </w:t>
            </w:r>
            <w:r w:rsidRPr="0090537F">
              <w:rPr>
                <w:rFonts w:asciiTheme="minorHAnsi" w:hAnsiTheme="minorHAnsi" w:cstheme="minorHAnsi"/>
                <w:spacing w:val="-7"/>
                <w:sz w:val="16"/>
              </w:rPr>
              <w:br/>
              <w:t>plant and equipment</w:t>
            </w:r>
            <w:r w:rsidRPr="0090537F">
              <w:rPr>
                <w:rFonts w:asciiTheme="minorHAnsi" w:hAnsiTheme="minorHAnsi" w:cstheme="minorHAnsi"/>
                <w:spacing w:val="-7"/>
                <w:sz w:val="16"/>
              </w:rPr>
              <w:br/>
              <w:t>$’000</w:t>
            </w:r>
          </w:p>
        </w:tc>
        <w:tc>
          <w:tcPr>
            <w:tcW w:w="1008" w:type="dxa"/>
          </w:tcPr>
          <w:p w14:paraId="3B2BF2CA" w14:textId="77777777" w:rsidR="00B02873" w:rsidRPr="0090537F" w:rsidRDefault="00B02873" w:rsidP="003D7A81">
            <w:pPr>
              <w:pStyle w:val="TableheadingleftFinancialsTables"/>
              <w:jc w:val="right"/>
              <w:rPr>
                <w:rFonts w:asciiTheme="minorHAnsi" w:hAnsiTheme="minorHAnsi" w:cstheme="minorHAnsi"/>
                <w:sz w:val="16"/>
              </w:rPr>
            </w:pPr>
            <w:r w:rsidRPr="0090537F">
              <w:rPr>
                <w:rFonts w:asciiTheme="minorHAnsi" w:hAnsiTheme="minorHAnsi" w:cstheme="minorHAnsi"/>
                <w:spacing w:val="-7"/>
                <w:sz w:val="16"/>
              </w:rPr>
              <w:t xml:space="preserve">Assets </w:t>
            </w:r>
            <w:r w:rsidRPr="0090537F">
              <w:rPr>
                <w:rFonts w:asciiTheme="minorHAnsi" w:hAnsiTheme="minorHAnsi" w:cstheme="minorHAnsi"/>
                <w:spacing w:val="-7"/>
                <w:sz w:val="16"/>
              </w:rPr>
              <w:br/>
              <w:t xml:space="preserve">under </w:t>
            </w:r>
            <w:r w:rsidRPr="0090537F">
              <w:rPr>
                <w:rFonts w:asciiTheme="minorHAnsi" w:hAnsiTheme="minorHAnsi" w:cstheme="minorHAnsi"/>
                <w:spacing w:val="-7"/>
                <w:sz w:val="16"/>
              </w:rPr>
              <w:br/>
              <w:t>construction</w:t>
            </w:r>
            <w:r w:rsidRPr="0090537F">
              <w:rPr>
                <w:rFonts w:asciiTheme="minorHAnsi" w:hAnsiTheme="minorHAnsi" w:cstheme="minorHAnsi"/>
                <w:spacing w:val="-7"/>
                <w:sz w:val="16"/>
              </w:rPr>
              <w:br/>
              <w:t>$’000</w:t>
            </w:r>
          </w:p>
        </w:tc>
        <w:tc>
          <w:tcPr>
            <w:tcW w:w="793" w:type="dxa"/>
          </w:tcPr>
          <w:p w14:paraId="200DFBBD" w14:textId="77777777" w:rsidR="00B02873" w:rsidRPr="0090537F" w:rsidRDefault="00B02873" w:rsidP="003D7A81">
            <w:pPr>
              <w:pStyle w:val="TableheadingleftFinancialsTables"/>
              <w:jc w:val="right"/>
              <w:rPr>
                <w:rFonts w:asciiTheme="minorHAnsi" w:hAnsiTheme="minorHAnsi" w:cstheme="minorHAnsi"/>
                <w:sz w:val="16"/>
              </w:rPr>
            </w:pPr>
            <w:r w:rsidRPr="0090537F">
              <w:rPr>
                <w:rFonts w:asciiTheme="minorHAnsi" w:hAnsiTheme="minorHAnsi" w:cstheme="minorHAnsi"/>
                <w:spacing w:val="-1"/>
                <w:sz w:val="16"/>
              </w:rPr>
              <w:t xml:space="preserve">Historic </w:t>
            </w:r>
            <w:r w:rsidRPr="0090537F">
              <w:rPr>
                <w:rFonts w:asciiTheme="minorHAnsi" w:hAnsiTheme="minorHAnsi" w:cstheme="minorHAnsi"/>
                <w:spacing w:val="-1"/>
                <w:sz w:val="16"/>
              </w:rPr>
              <w:br/>
              <w:t xml:space="preserve">and </w:t>
            </w:r>
            <w:r w:rsidRPr="0090537F">
              <w:rPr>
                <w:rFonts w:asciiTheme="minorHAnsi" w:hAnsiTheme="minorHAnsi" w:cstheme="minorHAnsi"/>
                <w:spacing w:val="-1"/>
                <w:sz w:val="16"/>
              </w:rPr>
              <w:br/>
              <w:t>cultural assets</w:t>
            </w:r>
            <w:r w:rsidRPr="0090537F">
              <w:rPr>
                <w:rFonts w:asciiTheme="minorHAnsi" w:hAnsiTheme="minorHAnsi" w:cstheme="minorHAnsi"/>
                <w:spacing w:val="-1"/>
                <w:sz w:val="16"/>
              </w:rPr>
              <w:br/>
              <w:t>$’000</w:t>
            </w:r>
          </w:p>
        </w:tc>
        <w:tc>
          <w:tcPr>
            <w:tcW w:w="873" w:type="dxa"/>
          </w:tcPr>
          <w:p w14:paraId="537F38A8" w14:textId="77777777" w:rsidR="00B02873" w:rsidRPr="0090537F" w:rsidRDefault="00B02873" w:rsidP="003D7A81">
            <w:pPr>
              <w:pStyle w:val="TableheadingleftFinancialsTables"/>
              <w:jc w:val="right"/>
              <w:rPr>
                <w:rFonts w:asciiTheme="minorHAnsi" w:hAnsiTheme="minorHAnsi" w:cstheme="minorHAnsi"/>
                <w:sz w:val="16"/>
              </w:rPr>
            </w:pPr>
            <w:r w:rsidRPr="0090537F">
              <w:rPr>
                <w:rFonts w:asciiTheme="minorHAnsi" w:hAnsiTheme="minorHAnsi" w:cstheme="minorHAnsi"/>
                <w:spacing w:val="-1"/>
                <w:sz w:val="16"/>
              </w:rPr>
              <w:t>Total</w:t>
            </w:r>
            <w:r w:rsidRPr="0090537F">
              <w:rPr>
                <w:rFonts w:asciiTheme="minorHAnsi" w:hAnsiTheme="minorHAnsi" w:cstheme="minorHAnsi"/>
                <w:spacing w:val="-1"/>
                <w:sz w:val="16"/>
              </w:rPr>
              <w:br/>
              <w:t>$’000</w:t>
            </w:r>
          </w:p>
        </w:tc>
      </w:tr>
      <w:tr w:rsidR="00B02873" w:rsidRPr="003D7A81" w14:paraId="7F6D9F6D" w14:textId="77777777" w:rsidTr="003D7A81">
        <w:tc>
          <w:tcPr>
            <w:tcW w:w="1413" w:type="dxa"/>
          </w:tcPr>
          <w:p w14:paraId="61FA8D37" w14:textId="77777777" w:rsidR="00B02873" w:rsidRPr="003D7A81" w:rsidRDefault="00B02873" w:rsidP="0090537F">
            <w:pPr>
              <w:pStyle w:val="TablebodyleftFinancialsTables"/>
              <w:rPr>
                <w:rFonts w:asciiTheme="minorHAnsi" w:hAnsiTheme="minorHAnsi" w:cstheme="minorHAnsi"/>
                <w:b/>
                <w:bCs/>
                <w:sz w:val="16"/>
              </w:rPr>
            </w:pPr>
            <w:r w:rsidRPr="003D7A81">
              <w:rPr>
                <w:rFonts w:asciiTheme="minorHAnsi" w:hAnsiTheme="minorHAnsi" w:cstheme="minorHAnsi"/>
                <w:b/>
                <w:bCs/>
                <w:sz w:val="16"/>
              </w:rPr>
              <w:t>Balance at 1 July 2021</w:t>
            </w:r>
          </w:p>
        </w:tc>
        <w:tc>
          <w:tcPr>
            <w:tcW w:w="850" w:type="dxa"/>
          </w:tcPr>
          <w:p w14:paraId="640856D0" w14:textId="77777777" w:rsidR="00B02873" w:rsidRPr="003D7A81" w:rsidRDefault="00B02873" w:rsidP="003D7A81">
            <w:pPr>
              <w:pStyle w:val="TablebodyleftFinancialsTables"/>
              <w:jc w:val="right"/>
              <w:rPr>
                <w:rFonts w:asciiTheme="minorHAnsi" w:hAnsiTheme="minorHAnsi" w:cstheme="minorHAnsi"/>
                <w:b/>
                <w:bCs/>
                <w:sz w:val="16"/>
              </w:rPr>
            </w:pPr>
            <w:r w:rsidRPr="003D7A81">
              <w:rPr>
                <w:rFonts w:asciiTheme="minorHAnsi" w:hAnsiTheme="minorHAnsi" w:cstheme="minorHAnsi"/>
                <w:b/>
                <w:bCs/>
                <w:sz w:val="16"/>
              </w:rPr>
              <w:t>154,771</w:t>
            </w:r>
          </w:p>
        </w:tc>
        <w:tc>
          <w:tcPr>
            <w:tcW w:w="868" w:type="dxa"/>
          </w:tcPr>
          <w:p w14:paraId="2EF74F9E" w14:textId="77777777" w:rsidR="00B02873" w:rsidRPr="003D7A81" w:rsidRDefault="00B02873" w:rsidP="003D7A81">
            <w:pPr>
              <w:pStyle w:val="TablebodyleftFinancialsTables"/>
              <w:jc w:val="right"/>
              <w:rPr>
                <w:rFonts w:asciiTheme="minorHAnsi" w:hAnsiTheme="minorHAnsi" w:cstheme="minorHAnsi"/>
                <w:b/>
                <w:bCs/>
                <w:sz w:val="16"/>
              </w:rPr>
            </w:pPr>
            <w:r w:rsidRPr="003D7A81">
              <w:rPr>
                <w:rFonts w:asciiTheme="minorHAnsi" w:hAnsiTheme="minorHAnsi" w:cstheme="minorHAnsi"/>
                <w:b/>
                <w:bCs/>
                <w:sz w:val="16"/>
              </w:rPr>
              <w:t>3,764,210</w:t>
            </w:r>
          </w:p>
        </w:tc>
        <w:tc>
          <w:tcPr>
            <w:tcW w:w="775" w:type="dxa"/>
          </w:tcPr>
          <w:p w14:paraId="60B62302" w14:textId="77777777" w:rsidR="00B02873" w:rsidRPr="003D7A81" w:rsidRDefault="00B02873" w:rsidP="003D7A81">
            <w:pPr>
              <w:pStyle w:val="TablebodyleftFinancialsTables"/>
              <w:jc w:val="right"/>
              <w:rPr>
                <w:rFonts w:asciiTheme="minorHAnsi" w:hAnsiTheme="minorHAnsi" w:cstheme="minorHAnsi"/>
                <w:b/>
                <w:bCs/>
                <w:sz w:val="16"/>
              </w:rPr>
            </w:pPr>
            <w:r w:rsidRPr="003D7A81">
              <w:rPr>
                <w:rFonts w:asciiTheme="minorHAnsi" w:hAnsiTheme="minorHAnsi" w:cstheme="minorHAnsi"/>
                <w:b/>
                <w:bCs/>
                <w:sz w:val="16"/>
              </w:rPr>
              <w:t>4,413</w:t>
            </w:r>
          </w:p>
        </w:tc>
        <w:tc>
          <w:tcPr>
            <w:tcW w:w="877" w:type="dxa"/>
          </w:tcPr>
          <w:p w14:paraId="4669EFEC" w14:textId="77777777" w:rsidR="00B02873" w:rsidRPr="003D7A81" w:rsidRDefault="00B02873" w:rsidP="003D7A81">
            <w:pPr>
              <w:pStyle w:val="TablebodyleftFinancialsTables"/>
              <w:jc w:val="right"/>
              <w:rPr>
                <w:rFonts w:asciiTheme="minorHAnsi" w:hAnsiTheme="minorHAnsi" w:cstheme="minorHAnsi"/>
                <w:b/>
                <w:bCs/>
                <w:sz w:val="16"/>
              </w:rPr>
            </w:pPr>
            <w:r w:rsidRPr="003D7A81">
              <w:rPr>
                <w:rFonts w:asciiTheme="minorHAnsi" w:hAnsiTheme="minorHAnsi" w:cstheme="minorHAnsi"/>
                <w:b/>
                <w:bCs/>
                <w:sz w:val="16"/>
              </w:rPr>
              <w:t>2,193,034</w:t>
            </w:r>
          </w:p>
        </w:tc>
        <w:tc>
          <w:tcPr>
            <w:tcW w:w="793" w:type="dxa"/>
          </w:tcPr>
          <w:p w14:paraId="692615A9" w14:textId="77777777" w:rsidR="00B02873" w:rsidRPr="003D7A81" w:rsidRDefault="00B02873" w:rsidP="003D7A81">
            <w:pPr>
              <w:pStyle w:val="TablebodyleftFinancialsTables"/>
              <w:jc w:val="right"/>
              <w:rPr>
                <w:rFonts w:asciiTheme="minorHAnsi" w:hAnsiTheme="minorHAnsi" w:cstheme="minorHAnsi"/>
                <w:b/>
                <w:bCs/>
                <w:sz w:val="16"/>
              </w:rPr>
            </w:pPr>
            <w:r w:rsidRPr="003D7A81">
              <w:rPr>
                <w:rFonts w:asciiTheme="minorHAnsi" w:hAnsiTheme="minorHAnsi" w:cstheme="minorHAnsi"/>
                <w:b/>
                <w:bCs/>
                <w:sz w:val="16"/>
              </w:rPr>
              <w:t>90,533</w:t>
            </w:r>
          </w:p>
        </w:tc>
        <w:tc>
          <w:tcPr>
            <w:tcW w:w="794" w:type="dxa"/>
          </w:tcPr>
          <w:p w14:paraId="7519E7EE" w14:textId="77777777" w:rsidR="00B02873" w:rsidRPr="003D7A81" w:rsidRDefault="00B02873" w:rsidP="003D7A81">
            <w:pPr>
              <w:pStyle w:val="TablebodyleftFinancialsTables"/>
              <w:jc w:val="right"/>
              <w:rPr>
                <w:rFonts w:asciiTheme="minorHAnsi" w:hAnsiTheme="minorHAnsi" w:cstheme="minorHAnsi"/>
                <w:b/>
                <w:bCs/>
                <w:sz w:val="16"/>
              </w:rPr>
            </w:pPr>
            <w:r w:rsidRPr="003D7A81">
              <w:rPr>
                <w:rFonts w:asciiTheme="minorHAnsi" w:hAnsiTheme="minorHAnsi" w:cstheme="minorHAnsi"/>
                <w:b/>
                <w:bCs/>
                <w:sz w:val="16"/>
              </w:rPr>
              <w:t>7,870</w:t>
            </w:r>
          </w:p>
        </w:tc>
        <w:tc>
          <w:tcPr>
            <w:tcW w:w="903" w:type="dxa"/>
          </w:tcPr>
          <w:p w14:paraId="7DE3991B" w14:textId="77777777" w:rsidR="00B02873" w:rsidRPr="003D7A81" w:rsidRDefault="00B02873" w:rsidP="003D7A81">
            <w:pPr>
              <w:pStyle w:val="TablebodyleftFinancialsTables"/>
              <w:jc w:val="right"/>
              <w:rPr>
                <w:rFonts w:asciiTheme="minorHAnsi" w:hAnsiTheme="minorHAnsi" w:cstheme="minorHAnsi"/>
                <w:b/>
                <w:bCs/>
                <w:sz w:val="16"/>
              </w:rPr>
            </w:pPr>
            <w:r w:rsidRPr="003D7A81">
              <w:rPr>
                <w:rFonts w:asciiTheme="minorHAnsi" w:hAnsiTheme="minorHAnsi" w:cstheme="minorHAnsi"/>
                <w:b/>
                <w:bCs/>
                <w:sz w:val="16"/>
              </w:rPr>
              <w:t>48,542</w:t>
            </w:r>
          </w:p>
        </w:tc>
        <w:tc>
          <w:tcPr>
            <w:tcW w:w="840" w:type="dxa"/>
          </w:tcPr>
          <w:p w14:paraId="1F75A68F" w14:textId="77777777" w:rsidR="00B02873" w:rsidRPr="003D7A81" w:rsidRDefault="00B02873" w:rsidP="003D7A81">
            <w:pPr>
              <w:pStyle w:val="TablebodyleftFinancialsTables"/>
              <w:jc w:val="right"/>
              <w:rPr>
                <w:rFonts w:asciiTheme="minorHAnsi" w:hAnsiTheme="minorHAnsi" w:cstheme="minorHAnsi"/>
                <w:b/>
                <w:bCs/>
                <w:sz w:val="16"/>
              </w:rPr>
            </w:pPr>
            <w:r w:rsidRPr="003D7A81">
              <w:rPr>
                <w:rFonts w:asciiTheme="minorHAnsi" w:hAnsiTheme="minorHAnsi" w:cstheme="minorHAnsi"/>
                <w:b/>
                <w:bCs/>
                <w:sz w:val="16"/>
              </w:rPr>
              <w:t>50,182</w:t>
            </w:r>
          </w:p>
        </w:tc>
        <w:tc>
          <w:tcPr>
            <w:tcW w:w="840" w:type="dxa"/>
          </w:tcPr>
          <w:p w14:paraId="7F837843" w14:textId="77777777" w:rsidR="00B02873" w:rsidRPr="003D7A81" w:rsidRDefault="00B02873" w:rsidP="003D7A81">
            <w:pPr>
              <w:pStyle w:val="TablebodyleftFinancialsTables"/>
              <w:jc w:val="right"/>
              <w:rPr>
                <w:rFonts w:asciiTheme="minorHAnsi" w:hAnsiTheme="minorHAnsi" w:cstheme="minorHAnsi"/>
                <w:b/>
                <w:bCs/>
                <w:sz w:val="16"/>
              </w:rPr>
            </w:pPr>
            <w:r w:rsidRPr="003D7A81">
              <w:rPr>
                <w:rFonts w:asciiTheme="minorHAnsi" w:hAnsiTheme="minorHAnsi" w:cstheme="minorHAnsi"/>
                <w:b/>
                <w:bCs/>
                <w:sz w:val="16"/>
              </w:rPr>
              <w:t>706,614</w:t>
            </w:r>
          </w:p>
        </w:tc>
        <w:tc>
          <w:tcPr>
            <w:tcW w:w="840" w:type="dxa"/>
          </w:tcPr>
          <w:p w14:paraId="71A9AB02" w14:textId="77777777" w:rsidR="00B02873" w:rsidRPr="003D7A81" w:rsidRDefault="00B02873" w:rsidP="003D7A81">
            <w:pPr>
              <w:pStyle w:val="TablebodyleftFinancialsTables"/>
              <w:jc w:val="right"/>
              <w:rPr>
                <w:rFonts w:asciiTheme="minorHAnsi" w:hAnsiTheme="minorHAnsi" w:cstheme="minorHAnsi"/>
                <w:b/>
                <w:bCs/>
                <w:sz w:val="16"/>
              </w:rPr>
            </w:pPr>
            <w:r w:rsidRPr="003D7A81">
              <w:rPr>
                <w:rFonts w:asciiTheme="minorHAnsi" w:hAnsiTheme="minorHAnsi" w:cstheme="minorHAnsi"/>
                <w:b/>
                <w:bCs/>
                <w:sz w:val="16"/>
              </w:rPr>
              <w:t>2,527</w:t>
            </w:r>
          </w:p>
        </w:tc>
        <w:tc>
          <w:tcPr>
            <w:tcW w:w="794" w:type="dxa"/>
          </w:tcPr>
          <w:p w14:paraId="1512518F" w14:textId="77777777" w:rsidR="00B02873" w:rsidRPr="003D7A81" w:rsidRDefault="00B02873" w:rsidP="003D7A81">
            <w:pPr>
              <w:pStyle w:val="TablebodyleftFinancialsTables"/>
              <w:jc w:val="right"/>
              <w:rPr>
                <w:rFonts w:asciiTheme="minorHAnsi" w:hAnsiTheme="minorHAnsi" w:cstheme="minorHAnsi"/>
                <w:b/>
                <w:bCs/>
                <w:sz w:val="16"/>
              </w:rPr>
            </w:pPr>
            <w:r w:rsidRPr="003D7A81">
              <w:rPr>
                <w:rFonts w:asciiTheme="minorHAnsi" w:hAnsiTheme="minorHAnsi" w:cstheme="minorHAnsi"/>
                <w:b/>
                <w:bCs/>
                <w:sz w:val="16"/>
              </w:rPr>
              <w:t>771,940</w:t>
            </w:r>
          </w:p>
        </w:tc>
        <w:tc>
          <w:tcPr>
            <w:tcW w:w="885" w:type="dxa"/>
          </w:tcPr>
          <w:p w14:paraId="7ACF88BA" w14:textId="77777777" w:rsidR="00B02873" w:rsidRPr="003D7A81" w:rsidRDefault="00B02873" w:rsidP="003D7A81">
            <w:pPr>
              <w:pStyle w:val="TablebodyleftFinancialsTables"/>
              <w:jc w:val="right"/>
              <w:rPr>
                <w:rFonts w:asciiTheme="minorHAnsi" w:hAnsiTheme="minorHAnsi" w:cstheme="minorHAnsi"/>
                <w:b/>
                <w:bCs/>
                <w:sz w:val="16"/>
              </w:rPr>
            </w:pPr>
            <w:r w:rsidRPr="003D7A81">
              <w:rPr>
                <w:rFonts w:asciiTheme="minorHAnsi" w:hAnsiTheme="minorHAnsi" w:cstheme="minorHAnsi"/>
                <w:b/>
                <w:bCs/>
                <w:sz w:val="16"/>
              </w:rPr>
              <w:t>69,409</w:t>
            </w:r>
          </w:p>
        </w:tc>
        <w:tc>
          <w:tcPr>
            <w:tcW w:w="840" w:type="dxa"/>
          </w:tcPr>
          <w:p w14:paraId="06BD471A" w14:textId="77777777" w:rsidR="00B02873" w:rsidRPr="003D7A81" w:rsidRDefault="00B02873" w:rsidP="003D7A81">
            <w:pPr>
              <w:pStyle w:val="TablebodyleftFinancialsTables"/>
              <w:jc w:val="right"/>
              <w:rPr>
                <w:rFonts w:asciiTheme="minorHAnsi" w:hAnsiTheme="minorHAnsi" w:cstheme="minorHAnsi"/>
                <w:b/>
                <w:bCs/>
                <w:sz w:val="16"/>
              </w:rPr>
            </w:pPr>
            <w:r w:rsidRPr="003D7A81">
              <w:rPr>
                <w:rFonts w:asciiTheme="minorHAnsi" w:hAnsiTheme="minorHAnsi" w:cstheme="minorHAnsi"/>
                <w:b/>
                <w:bCs/>
                <w:sz w:val="16"/>
              </w:rPr>
              <w:t>47,822</w:t>
            </w:r>
          </w:p>
        </w:tc>
        <w:tc>
          <w:tcPr>
            <w:tcW w:w="1008" w:type="dxa"/>
          </w:tcPr>
          <w:p w14:paraId="265D69EB" w14:textId="77777777" w:rsidR="00B02873" w:rsidRPr="003D7A81" w:rsidRDefault="00B02873" w:rsidP="003D7A81">
            <w:pPr>
              <w:pStyle w:val="TablebodyleftFinancialsTables"/>
              <w:jc w:val="right"/>
              <w:rPr>
                <w:rFonts w:asciiTheme="minorHAnsi" w:hAnsiTheme="minorHAnsi" w:cstheme="minorHAnsi"/>
                <w:b/>
                <w:bCs/>
                <w:sz w:val="16"/>
              </w:rPr>
            </w:pPr>
            <w:r w:rsidRPr="003D7A81">
              <w:rPr>
                <w:rFonts w:asciiTheme="minorHAnsi" w:hAnsiTheme="minorHAnsi" w:cstheme="minorHAnsi"/>
                <w:b/>
                <w:bCs/>
                <w:sz w:val="16"/>
              </w:rPr>
              <w:t>75,332</w:t>
            </w:r>
          </w:p>
        </w:tc>
        <w:tc>
          <w:tcPr>
            <w:tcW w:w="793" w:type="dxa"/>
          </w:tcPr>
          <w:p w14:paraId="68B51C0F" w14:textId="77777777" w:rsidR="00B02873" w:rsidRPr="003D7A81" w:rsidRDefault="00B02873" w:rsidP="003D7A81">
            <w:pPr>
              <w:pStyle w:val="TablebodyleftFinancialsTables"/>
              <w:jc w:val="right"/>
              <w:rPr>
                <w:rFonts w:asciiTheme="minorHAnsi" w:hAnsiTheme="minorHAnsi" w:cstheme="minorHAnsi"/>
                <w:b/>
                <w:bCs/>
                <w:sz w:val="16"/>
              </w:rPr>
            </w:pPr>
            <w:r w:rsidRPr="003D7A81">
              <w:rPr>
                <w:rFonts w:asciiTheme="minorHAnsi" w:hAnsiTheme="minorHAnsi" w:cstheme="minorHAnsi"/>
                <w:b/>
                <w:bCs/>
                <w:sz w:val="16"/>
              </w:rPr>
              <w:t>4,530</w:t>
            </w:r>
          </w:p>
        </w:tc>
        <w:tc>
          <w:tcPr>
            <w:tcW w:w="873" w:type="dxa"/>
          </w:tcPr>
          <w:p w14:paraId="0702546D" w14:textId="77777777" w:rsidR="00B02873" w:rsidRPr="003D7A81" w:rsidRDefault="00B02873" w:rsidP="003D7A81">
            <w:pPr>
              <w:pStyle w:val="TablebodyleftFinancialsTables"/>
              <w:jc w:val="right"/>
              <w:rPr>
                <w:rFonts w:asciiTheme="minorHAnsi" w:hAnsiTheme="minorHAnsi" w:cstheme="minorHAnsi"/>
                <w:b/>
                <w:bCs/>
                <w:sz w:val="16"/>
              </w:rPr>
            </w:pPr>
            <w:r w:rsidRPr="003D7A81">
              <w:rPr>
                <w:rFonts w:asciiTheme="minorHAnsi" w:hAnsiTheme="minorHAnsi" w:cstheme="minorHAnsi"/>
                <w:b/>
                <w:bCs/>
                <w:sz w:val="16"/>
              </w:rPr>
              <w:t>7,991,729</w:t>
            </w:r>
          </w:p>
        </w:tc>
      </w:tr>
      <w:tr w:rsidR="00B02873" w:rsidRPr="0090537F" w14:paraId="58E23839" w14:textId="77777777" w:rsidTr="003D7A81">
        <w:tc>
          <w:tcPr>
            <w:tcW w:w="1413" w:type="dxa"/>
          </w:tcPr>
          <w:p w14:paraId="2B8A23E4" w14:textId="77777777" w:rsidR="00B02873" w:rsidRPr="0090537F" w:rsidRDefault="00B02873" w:rsidP="0090537F">
            <w:pPr>
              <w:pStyle w:val="TablebodyleftFinancialsTables"/>
              <w:rPr>
                <w:rFonts w:asciiTheme="minorHAnsi" w:hAnsiTheme="minorHAnsi" w:cstheme="minorHAnsi"/>
                <w:sz w:val="16"/>
              </w:rPr>
            </w:pPr>
            <w:r w:rsidRPr="0090537F">
              <w:rPr>
                <w:rFonts w:asciiTheme="minorHAnsi" w:hAnsiTheme="minorHAnsi" w:cstheme="minorHAnsi"/>
                <w:sz w:val="16"/>
              </w:rPr>
              <w:t>Additions</w:t>
            </w:r>
          </w:p>
        </w:tc>
        <w:tc>
          <w:tcPr>
            <w:tcW w:w="850" w:type="dxa"/>
          </w:tcPr>
          <w:p w14:paraId="6D8FAF14"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w:t>
            </w:r>
          </w:p>
        </w:tc>
        <w:tc>
          <w:tcPr>
            <w:tcW w:w="868" w:type="dxa"/>
          </w:tcPr>
          <w:p w14:paraId="3C3C7685"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42,949</w:t>
            </w:r>
          </w:p>
        </w:tc>
        <w:tc>
          <w:tcPr>
            <w:tcW w:w="775" w:type="dxa"/>
          </w:tcPr>
          <w:p w14:paraId="769BA7A7"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w:t>
            </w:r>
          </w:p>
        </w:tc>
        <w:tc>
          <w:tcPr>
            <w:tcW w:w="877" w:type="dxa"/>
          </w:tcPr>
          <w:p w14:paraId="4C7B9B9E"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1,421</w:t>
            </w:r>
          </w:p>
        </w:tc>
        <w:tc>
          <w:tcPr>
            <w:tcW w:w="793" w:type="dxa"/>
          </w:tcPr>
          <w:p w14:paraId="3D0DD03E"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7,444</w:t>
            </w:r>
          </w:p>
        </w:tc>
        <w:tc>
          <w:tcPr>
            <w:tcW w:w="794" w:type="dxa"/>
          </w:tcPr>
          <w:p w14:paraId="55FABE2D"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w:t>
            </w:r>
          </w:p>
        </w:tc>
        <w:tc>
          <w:tcPr>
            <w:tcW w:w="903" w:type="dxa"/>
          </w:tcPr>
          <w:p w14:paraId="0F5EB485"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w:t>
            </w:r>
          </w:p>
        </w:tc>
        <w:tc>
          <w:tcPr>
            <w:tcW w:w="840" w:type="dxa"/>
          </w:tcPr>
          <w:p w14:paraId="3F400292"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137,815</w:t>
            </w:r>
          </w:p>
        </w:tc>
        <w:tc>
          <w:tcPr>
            <w:tcW w:w="840" w:type="dxa"/>
          </w:tcPr>
          <w:p w14:paraId="15AF73FB"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1,650</w:t>
            </w:r>
          </w:p>
        </w:tc>
        <w:tc>
          <w:tcPr>
            <w:tcW w:w="840" w:type="dxa"/>
          </w:tcPr>
          <w:p w14:paraId="07012EF7"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w:t>
            </w:r>
          </w:p>
        </w:tc>
        <w:tc>
          <w:tcPr>
            <w:tcW w:w="794" w:type="dxa"/>
          </w:tcPr>
          <w:p w14:paraId="537377D8"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1,080</w:t>
            </w:r>
          </w:p>
        </w:tc>
        <w:tc>
          <w:tcPr>
            <w:tcW w:w="885" w:type="dxa"/>
          </w:tcPr>
          <w:p w14:paraId="0FC98991"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4,151</w:t>
            </w:r>
          </w:p>
        </w:tc>
        <w:tc>
          <w:tcPr>
            <w:tcW w:w="840" w:type="dxa"/>
          </w:tcPr>
          <w:p w14:paraId="41AF28F6"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10,776</w:t>
            </w:r>
          </w:p>
        </w:tc>
        <w:tc>
          <w:tcPr>
            <w:tcW w:w="1008" w:type="dxa"/>
          </w:tcPr>
          <w:p w14:paraId="77C3426D"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25,842</w:t>
            </w:r>
          </w:p>
        </w:tc>
        <w:tc>
          <w:tcPr>
            <w:tcW w:w="793" w:type="dxa"/>
          </w:tcPr>
          <w:p w14:paraId="18D8405E"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w:t>
            </w:r>
          </w:p>
        </w:tc>
        <w:tc>
          <w:tcPr>
            <w:tcW w:w="873" w:type="dxa"/>
          </w:tcPr>
          <w:p w14:paraId="3B2A17DC"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233,128</w:t>
            </w:r>
          </w:p>
        </w:tc>
      </w:tr>
      <w:tr w:rsidR="003D7A81" w:rsidRPr="0090537F" w14:paraId="02FD0EBB" w14:textId="77777777" w:rsidTr="003D7A81">
        <w:tc>
          <w:tcPr>
            <w:tcW w:w="1413" w:type="dxa"/>
          </w:tcPr>
          <w:p w14:paraId="7993D2B9" w14:textId="77777777" w:rsidR="00B02873" w:rsidRPr="0090537F" w:rsidRDefault="00B02873" w:rsidP="0090537F">
            <w:pPr>
              <w:pStyle w:val="TablebodyleftFinancialsTables"/>
              <w:rPr>
                <w:rFonts w:asciiTheme="minorHAnsi" w:hAnsiTheme="minorHAnsi" w:cstheme="minorHAnsi"/>
                <w:sz w:val="16"/>
              </w:rPr>
            </w:pPr>
            <w:r w:rsidRPr="0090537F">
              <w:rPr>
                <w:rFonts w:asciiTheme="minorHAnsi" w:hAnsiTheme="minorHAnsi" w:cstheme="minorHAnsi"/>
                <w:sz w:val="16"/>
              </w:rPr>
              <w:t>Disposals</w:t>
            </w:r>
          </w:p>
        </w:tc>
        <w:tc>
          <w:tcPr>
            <w:tcW w:w="850" w:type="dxa"/>
          </w:tcPr>
          <w:p w14:paraId="3707F240"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w:t>
            </w:r>
          </w:p>
        </w:tc>
        <w:tc>
          <w:tcPr>
            <w:tcW w:w="868" w:type="dxa"/>
          </w:tcPr>
          <w:p w14:paraId="46E56295"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w:t>
            </w:r>
          </w:p>
        </w:tc>
        <w:tc>
          <w:tcPr>
            <w:tcW w:w="775" w:type="dxa"/>
          </w:tcPr>
          <w:p w14:paraId="6903C618"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w:t>
            </w:r>
          </w:p>
        </w:tc>
        <w:tc>
          <w:tcPr>
            <w:tcW w:w="877" w:type="dxa"/>
          </w:tcPr>
          <w:p w14:paraId="50D369FF"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w:t>
            </w:r>
          </w:p>
        </w:tc>
        <w:tc>
          <w:tcPr>
            <w:tcW w:w="793" w:type="dxa"/>
          </w:tcPr>
          <w:p w14:paraId="59964F53"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w:t>
            </w:r>
          </w:p>
        </w:tc>
        <w:tc>
          <w:tcPr>
            <w:tcW w:w="794" w:type="dxa"/>
          </w:tcPr>
          <w:p w14:paraId="766E0E5F"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w:t>
            </w:r>
          </w:p>
        </w:tc>
        <w:tc>
          <w:tcPr>
            <w:tcW w:w="903" w:type="dxa"/>
          </w:tcPr>
          <w:p w14:paraId="772A4FF0"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w:t>
            </w:r>
          </w:p>
        </w:tc>
        <w:tc>
          <w:tcPr>
            <w:tcW w:w="840" w:type="dxa"/>
          </w:tcPr>
          <w:p w14:paraId="2D49AD17"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(1)</w:t>
            </w:r>
          </w:p>
        </w:tc>
        <w:tc>
          <w:tcPr>
            <w:tcW w:w="840" w:type="dxa"/>
          </w:tcPr>
          <w:p w14:paraId="7E820B6A"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w:t>
            </w:r>
          </w:p>
        </w:tc>
        <w:tc>
          <w:tcPr>
            <w:tcW w:w="840" w:type="dxa"/>
          </w:tcPr>
          <w:p w14:paraId="5DFCED53"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w:t>
            </w:r>
          </w:p>
        </w:tc>
        <w:tc>
          <w:tcPr>
            <w:tcW w:w="794" w:type="dxa"/>
          </w:tcPr>
          <w:p w14:paraId="4B2960E5"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w:t>
            </w:r>
          </w:p>
        </w:tc>
        <w:tc>
          <w:tcPr>
            <w:tcW w:w="885" w:type="dxa"/>
          </w:tcPr>
          <w:p w14:paraId="0D76FF92"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(154)</w:t>
            </w:r>
          </w:p>
        </w:tc>
        <w:tc>
          <w:tcPr>
            <w:tcW w:w="840" w:type="dxa"/>
          </w:tcPr>
          <w:p w14:paraId="2937375E"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(2,422)</w:t>
            </w:r>
          </w:p>
        </w:tc>
        <w:tc>
          <w:tcPr>
            <w:tcW w:w="1008" w:type="dxa"/>
          </w:tcPr>
          <w:p w14:paraId="4653D4E2"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w:t>
            </w:r>
          </w:p>
        </w:tc>
        <w:tc>
          <w:tcPr>
            <w:tcW w:w="793" w:type="dxa"/>
          </w:tcPr>
          <w:p w14:paraId="191AC3BC"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w:t>
            </w:r>
          </w:p>
        </w:tc>
        <w:tc>
          <w:tcPr>
            <w:tcW w:w="873" w:type="dxa"/>
          </w:tcPr>
          <w:p w14:paraId="32D3D0C6"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(2,577)</w:t>
            </w:r>
          </w:p>
        </w:tc>
      </w:tr>
      <w:tr w:rsidR="00B02873" w:rsidRPr="0090537F" w14:paraId="1CB01EDC" w14:textId="77777777" w:rsidTr="003D7A81">
        <w:tc>
          <w:tcPr>
            <w:tcW w:w="1413" w:type="dxa"/>
          </w:tcPr>
          <w:p w14:paraId="412AC465" w14:textId="77777777" w:rsidR="00B02873" w:rsidRPr="0090537F" w:rsidRDefault="00B02873" w:rsidP="0090537F">
            <w:pPr>
              <w:pStyle w:val="TablebodyleftFinancialsTables"/>
              <w:rPr>
                <w:rFonts w:asciiTheme="minorHAnsi" w:hAnsiTheme="minorHAnsi" w:cstheme="minorHAnsi"/>
                <w:sz w:val="16"/>
              </w:rPr>
            </w:pPr>
            <w:r w:rsidRPr="0090537F">
              <w:rPr>
                <w:rFonts w:asciiTheme="minorHAnsi" w:hAnsiTheme="minorHAnsi" w:cstheme="minorHAnsi"/>
                <w:sz w:val="16"/>
              </w:rPr>
              <w:t xml:space="preserve">Reclassification to asset classified as held for sale </w:t>
            </w:r>
          </w:p>
        </w:tc>
        <w:tc>
          <w:tcPr>
            <w:tcW w:w="850" w:type="dxa"/>
          </w:tcPr>
          <w:p w14:paraId="20BD33D5"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2,770</w:t>
            </w:r>
          </w:p>
        </w:tc>
        <w:tc>
          <w:tcPr>
            <w:tcW w:w="868" w:type="dxa"/>
          </w:tcPr>
          <w:p w14:paraId="157A3465"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(294)</w:t>
            </w:r>
          </w:p>
        </w:tc>
        <w:tc>
          <w:tcPr>
            <w:tcW w:w="775" w:type="dxa"/>
          </w:tcPr>
          <w:p w14:paraId="0C38BB25"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w:t>
            </w:r>
          </w:p>
        </w:tc>
        <w:tc>
          <w:tcPr>
            <w:tcW w:w="877" w:type="dxa"/>
          </w:tcPr>
          <w:p w14:paraId="7770339C"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w:t>
            </w:r>
          </w:p>
        </w:tc>
        <w:tc>
          <w:tcPr>
            <w:tcW w:w="793" w:type="dxa"/>
          </w:tcPr>
          <w:p w14:paraId="2678D837"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w:t>
            </w:r>
          </w:p>
        </w:tc>
        <w:tc>
          <w:tcPr>
            <w:tcW w:w="794" w:type="dxa"/>
          </w:tcPr>
          <w:p w14:paraId="050B893B"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w:t>
            </w:r>
          </w:p>
        </w:tc>
        <w:tc>
          <w:tcPr>
            <w:tcW w:w="903" w:type="dxa"/>
          </w:tcPr>
          <w:p w14:paraId="269C4858"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w:t>
            </w:r>
          </w:p>
        </w:tc>
        <w:tc>
          <w:tcPr>
            <w:tcW w:w="840" w:type="dxa"/>
          </w:tcPr>
          <w:p w14:paraId="54901C61"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w:t>
            </w:r>
          </w:p>
        </w:tc>
        <w:tc>
          <w:tcPr>
            <w:tcW w:w="840" w:type="dxa"/>
          </w:tcPr>
          <w:p w14:paraId="379D88DC"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w:t>
            </w:r>
          </w:p>
        </w:tc>
        <w:tc>
          <w:tcPr>
            <w:tcW w:w="840" w:type="dxa"/>
          </w:tcPr>
          <w:p w14:paraId="31982EAC"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w:t>
            </w:r>
          </w:p>
        </w:tc>
        <w:tc>
          <w:tcPr>
            <w:tcW w:w="794" w:type="dxa"/>
          </w:tcPr>
          <w:p w14:paraId="364352A7"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w:t>
            </w:r>
          </w:p>
        </w:tc>
        <w:tc>
          <w:tcPr>
            <w:tcW w:w="885" w:type="dxa"/>
          </w:tcPr>
          <w:p w14:paraId="4FC6A629"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w:t>
            </w:r>
          </w:p>
        </w:tc>
        <w:tc>
          <w:tcPr>
            <w:tcW w:w="840" w:type="dxa"/>
          </w:tcPr>
          <w:p w14:paraId="12E15667"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(241)</w:t>
            </w:r>
          </w:p>
        </w:tc>
        <w:tc>
          <w:tcPr>
            <w:tcW w:w="1008" w:type="dxa"/>
          </w:tcPr>
          <w:p w14:paraId="69BC6949"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w:t>
            </w:r>
          </w:p>
        </w:tc>
        <w:tc>
          <w:tcPr>
            <w:tcW w:w="793" w:type="dxa"/>
          </w:tcPr>
          <w:p w14:paraId="7C1FF460"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w:t>
            </w:r>
          </w:p>
        </w:tc>
        <w:tc>
          <w:tcPr>
            <w:tcW w:w="873" w:type="dxa"/>
          </w:tcPr>
          <w:p w14:paraId="70EF056D"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2,235</w:t>
            </w:r>
          </w:p>
        </w:tc>
      </w:tr>
      <w:tr w:rsidR="003D7A81" w:rsidRPr="0090537F" w14:paraId="39BF9BC6" w14:textId="77777777" w:rsidTr="003D7A81">
        <w:tc>
          <w:tcPr>
            <w:tcW w:w="1413" w:type="dxa"/>
          </w:tcPr>
          <w:p w14:paraId="2B9CA5EE" w14:textId="77777777" w:rsidR="00B02873" w:rsidRPr="0090537F" w:rsidRDefault="00B02873" w:rsidP="0090537F">
            <w:pPr>
              <w:pStyle w:val="TablebodyleftFinancialsTables"/>
              <w:rPr>
                <w:rFonts w:asciiTheme="minorHAnsi" w:hAnsiTheme="minorHAnsi" w:cstheme="minorHAnsi"/>
                <w:sz w:val="16"/>
              </w:rPr>
            </w:pPr>
            <w:r w:rsidRPr="0090537F">
              <w:rPr>
                <w:rFonts w:asciiTheme="minorHAnsi" w:hAnsiTheme="minorHAnsi" w:cstheme="minorHAnsi"/>
                <w:sz w:val="16"/>
              </w:rPr>
              <w:t>Capital contributions (to)/from owners</w:t>
            </w:r>
          </w:p>
        </w:tc>
        <w:tc>
          <w:tcPr>
            <w:tcW w:w="850" w:type="dxa"/>
          </w:tcPr>
          <w:p w14:paraId="3396644B" w14:textId="77777777" w:rsidR="00B02873" w:rsidRPr="0090537F" w:rsidRDefault="00B02873" w:rsidP="003D7A81">
            <w:pPr>
              <w:pStyle w:val="TablebodyleftFinancialsTables"/>
              <w:jc w:val="right"/>
              <w:rPr>
                <w:rFonts w:asciiTheme="minorHAnsi" w:hAnsiTheme="minorHAnsi" w:cstheme="minorHAnsi"/>
                <w:sz w:val="16"/>
              </w:rPr>
            </w:pPr>
          </w:p>
        </w:tc>
        <w:tc>
          <w:tcPr>
            <w:tcW w:w="868" w:type="dxa"/>
          </w:tcPr>
          <w:p w14:paraId="2B925A01" w14:textId="77777777" w:rsidR="00B02873" w:rsidRPr="0090537F" w:rsidRDefault="00B02873" w:rsidP="003D7A81">
            <w:pPr>
              <w:pStyle w:val="TablebodyleftFinancialsTables"/>
              <w:jc w:val="right"/>
              <w:rPr>
                <w:rFonts w:asciiTheme="minorHAnsi" w:hAnsiTheme="minorHAnsi" w:cstheme="minorHAnsi"/>
                <w:sz w:val="16"/>
              </w:rPr>
            </w:pPr>
          </w:p>
        </w:tc>
        <w:tc>
          <w:tcPr>
            <w:tcW w:w="775" w:type="dxa"/>
          </w:tcPr>
          <w:p w14:paraId="28939A27" w14:textId="77777777" w:rsidR="00B02873" w:rsidRPr="0090537F" w:rsidRDefault="00B02873" w:rsidP="003D7A81">
            <w:pPr>
              <w:pStyle w:val="TablebodyleftFinancialsTables"/>
              <w:jc w:val="right"/>
              <w:rPr>
                <w:rFonts w:asciiTheme="minorHAnsi" w:hAnsiTheme="minorHAnsi" w:cstheme="minorHAnsi"/>
                <w:sz w:val="16"/>
              </w:rPr>
            </w:pPr>
          </w:p>
        </w:tc>
        <w:tc>
          <w:tcPr>
            <w:tcW w:w="877" w:type="dxa"/>
          </w:tcPr>
          <w:p w14:paraId="418D9014" w14:textId="77777777" w:rsidR="00B02873" w:rsidRPr="0090537F" w:rsidRDefault="00B02873" w:rsidP="003D7A81">
            <w:pPr>
              <w:pStyle w:val="TablebodyleftFinancialsTables"/>
              <w:jc w:val="right"/>
              <w:rPr>
                <w:rFonts w:asciiTheme="minorHAnsi" w:hAnsiTheme="minorHAnsi" w:cstheme="minorHAnsi"/>
                <w:sz w:val="16"/>
              </w:rPr>
            </w:pPr>
          </w:p>
        </w:tc>
        <w:tc>
          <w:tcPr>
            <w:tcW w:w="793" w:type="dxa"/>
          </w:tcPr>
          <w:p w14:paraId="6EDD14CC" w14:textId="77777777" w:rsidR="00B02873" w:rsidRPr="0090537F" w:rsidRDefault="00B02873" w:rsidP="003D7A81">
            <w:pPr>
              <w:pStyle w:val="TablebodyleftFinancialsTables"/>
              <w:jc w:val="right"/>
              <w:rPr>
                <w:rFonts w:asciiTheme="minorHAnsi" w:hAnsiTheme="minorHAnsi" w:cstheme="minorHAnsi"/>
                <w:sz w:val="16"/>
              </w:rPr>
            </w:pPr>
          </w:p>
        </w:tc>
        <w:tc>
          <w:tcPr>
            <w:tcW w:w="794" w:type="dxa"/>
          </w:tcPr>
          <w:p w14:paraId="3273C587" w14:textId="77777777" w:rsidR="00B02873" w:rsidRPr="0090537F" w:rsidRDefault="00B02873" w:rsidP="003D7A81">
            <w:pPr>
              <w:pStyle w:val="TablebodyleftFinancialsTables"/>
              <w:jc w:val="right"/>
              <w:rPr>
                <w:rFonts w:asciiTheme="minorHAnsi" w:hAnsiTheme="minorHAnsi" w:cstheme="minorHAnsi"/>
                <w:sz w:val="16"/>
              </w:rPr>
            </w:pPr>
          </w:p>
        </w:tc>
        <w:tc>
          <w:tcPr>
            <w:tcW w:w="903" w:type="dxa"/>
          </w:tcPr>
          <w:p w14:paraId="1E6DA9C8" w14:textId="77777777" w:rsidR="00B02873" w:rsidRPr="0090537F" w:rsidRDefault="00B02873" w:rsidP="003D7A81">
            <w:pPr>
              <w:pStyle w:val="TablebodyleftFinancialsTables"/>
              <w:jc w:val="right"/>
              <w:rPr>
                <w:rFonts w:asciiTheme="minorHAnsi" w:hAnsiTheme="minorHAnsi" w:cstheme="minorHAnsi"/>
                <w:sz w:val="16"/>
              </w:rPr>
            </w:pPr>
          </w:p>
        </w:tc>
        <w:tc>
          <w:tcPr>
            <w:tcW w:w="840" w:type="dxa"/>
          </w:tcPr>
          <w:p w14:paraId="70171A0C" w14:textId="77777777" w:rsidR="00B02873" w:rsidRPr="0090537F" w:rsidRDefault="00B02873" w:rsidP="003D7A81">
            <w:pPr>
              <w:pStyle w:val="TablebodyleftFinancialsTables"/>
              <w:jc w:val="right"/>
              <w:rPr>
                <w:rFonts w:asciiTheme="minorHAnsi" w:hAnsiTheme="minorHAnsi" w:cstheme="minorHAnsi"/>
                <w:sz w:val="16"/>
              </w:rPr>
            </w:pPr>
          </w:p>
        </w:tc>
        <w:tc>
          <w:tcPr>
            <w:tcW w:w="840" w:type="dxa"/>
          </w:tcPr>
          <w:p w14:paraId="414F27A2" w14:textId="77777777" w:rsidR="00B02873" w:rsidRPr="0090537F" w:rsidRDefault="00B02873" w:rsidP="003D7A81">
            <w:pPr>
              <w:pStyle w:val="TablebodyleftFinancialsTables"/>
              <w:jc w:val="right"/>
              <w:rPr>
                <w:rFonts w:asciiTheme="minorHAnsi" w:hAnsiTheme="minorHAnsi" w:cstheme="minorHAnsi"/>
                <w:sz w:val="16"/>
              </w:rPr>
            </w:pPr>
          </w:p>
        </w:tc>
        <w:tc>
          <w:tcPr>
            <w:tcW w:w="840" w:type="dxa"/>
          </w:tcPr>
          <w:p w14:paraId="14B053A3" w14:textId="77777777" w:rsidR="00B02873" w:rsidRPr="0090537F" w:rsidRDefault="00B02873" w:rsidP="003D7A81">
            <w:pPr>
              <w:pStyle w:val="TablebodyleftFinancialsTables"/>
              <w:jc w:val="right"/>
              <w:rPr>
                <w:rFonts w:asciiTheme="minorHAnsi" w:hAnsiTheme="minorHAnsi" w:cstheme="minorHAnsi"/>
                <w:sz w:val="16"/>
              </w:rPr>
            </w:pPr>
          </w:p>
        </w:tc>
        <w:tc>
          <w:tcPr>
            <w:tcW w:w="794" w:type="dxa"/>
          </w:tcPr>
          <w:p w14:paraId="4B854944" w14:textId="77777777" w:rsidR="00B02873" w:rsidRPr="0090537F" w:rsidRDefault="00B02873" w:rsidP="003D7A81">
            <w:pPr>
              <w:pStyle w:val="TablebodyleftFinancialsTables"/>
              <w:jc w:val="right"/>
              <w:rPr>
                <w:rFonts w:asciiTheme="minorHAnsi" w:hAnsiTheme="minorHAnsi" w:cstheme="minorHAnsi"/>
                <w:sz w:val="16"/>
              </w:rPr>
            </w:pPr>
          </w:p>
        </w:tc>
        <w:tc>
          <w:tcPr>
            <w:tcW w:w="885" w:type="dxa"/>
          </w:tcPr>
          <w:p w14:paraId="53588042" w14:textId="77777777" w:rsidR="00B02873" w:rsidRPr="0090537F" w:rsidRDefault="00B02873" w:rsidP="003D7A81">
            <w:pPr>
              <w:pStyle w:val="TablebodyleftFinancialsTables"/>
              <w:jc w:val="right"/>
              <w:rPr>
                <w:rFonts w:asciiTheme="minorHAnsi" w:hAnsiTheme="minorHAnsi" w:cstheme="minorHAnsi"/>
                <w:sz w:val="16"/>
              </w:rPr>
            </w:pPr>
          </w:p>
        </w:tc>
        <w:tc>
          <w:tcPr>
            <w:tcW w:w="840" w:type="dxa"/>
          </w:tcPr>
          <w:p w14:paraId="053D338E" w14:textId="77777777" w:rsidR="00B02873" w:rsidRPr="0090537F" w:rsidRDefault="00B02873" w:rsidP="003D7A81">
            <w:pPr>
              <w:pStyle w:val="TablebodyleftFinancialsTables"/>
              <w:jc w:val="right"/>
              <w:rPr>
                <w:rFonts w:asciiTheme="minorHAnsi" w:hAnsiTheme="minorHAnsi" w:cstheme="minorHAnsi"/>
                <w:sz w:val="16"/>
              </w:rPr>
            </w:pPr>
          </w:p>
        </w:tc>
        <w:tc>
          <w:tcPr>
            <w:tcW w:w="1008" w:type="dxa"/>
          </w:tcPr>
          <w:p w14:paraId="17EF7E51" w14:textId="77777777" w:rsidR="00B02873" w:rsidRPr="0090537F" w:rsidRDefault="00B02873" w:rsidP="003D7A81">
            <w:pPr>
              <w:pStyle w:val="TablebodyleftFinancialsTables"/>
              <w:jc w:val="right"/>
              <w:rPr>
                <w:rFonts w:asciiTheme="minorHAnsi" w:hAnsiTheme="minorHAnsi" w:cstheme="minorHAnsi"/>
                <w:sz w:val="16"/>
              </w:rPr>
            </w:pPr>
          </w:p>
        </w:tc>
        <w:tc>
          <w:tcPr>
            <w:tcW w:w="793" w:type="dxa"/>
          </w:tcPr>
          <w:p w14:paraId="59CDB7F3" w14:textId="77777777" w:rsidR="00B02873" w:rsidRPr="0090537F" w:rsidRDefault="00B02873" w:rsidP="003D7A81">
            <w:pPr>
              <w:pStyle w:val="TablebodyleftFinancialsTables"/>
              <w:jc w:val="right"/>
              <w:rPr>
                <w:rFonts w:asciiTheme="minorHAnsi" w:hAnsiTheme="minorHAnsi" w:cstheme="minorHAnsi"/>
                <w:sz w:val="16"/>
              </w:rPr>
            </w:pPr>
          </w:p>
        </w:tc>
        <w:tc>
          <w:tcPr>
            <w:tcW w:w="873" w:type="dxa"/>
          </w:tcPr>
          <w:p w14:paraId="4416CCE7" w14:textId="77777777" w:rsidR="00B02873" w:rsidRPr="0090537F" w:rsidRDefault="00B02873" w:rsidP="003D7A81">
            <w:pPr>
              <w:pStyle w:val="TablebodyleftFinancialsTables"/>
              <w:jc w:val="right"/>
              <w:rPr>
                <w:rFonts w:asciiTheme="minorHAnsi" w:hAnsiTheme="minorHAnsi" w:cstheme="minorHAnsi"/>
                <w:sz w:val="16"/>
              </w:rPr>
            </w:pPr>
          </w:p>
        </w:tc>
      </w:tr>
      <w:tr w:rsidR="00B02873" w:rsidRPr="0090537F" w14:paraId="0B88262A" w14:textId="77777777" w:rsidTr="003D7A81">
        <w:tc>
          <w:tcPr>
            <w:tcW w:w="1413" w:type="dxa"/>
          </w:tcPr>
          <w:p w14:paraId="06C7DD50" w14:textId="77777777" w:rsidR="00B02873" w:rsidRPr="0090537F" w:rsidRDefault="00B02873" w:rsidP="0090537F">
            <w:pPr>
              <w:pStyle w:val="TablebodyleftFinancialsTables"/>
              <w:rPr>
                <w:rFonts w:asciiTheme="minorHAnsi" w:hAnsiTheme="minorHAnsi" w:cstheme="minorHAnsi"/>
                <w:sz w:val="16"/>
              </w:rPr>
            </w:pPr>
            <w:r w:rsidRPr="0090537F">
              <w:rPr>
                <w:rFonts w:asciiTheme="minorHAnsi" w:hAnsiTheme="minorHAnsi" w:cstheme="minorHAnsi"/>
                <w:sz w:val="16"/>
              </w:rPr>
              <w:t>Transfers (to)/from other government entities</w:t>
            </w:r>
          </w:p>
        </w:tc>
        <w:tc>
          <w:tcPr>
            <w:tcW w:w="850" w:type="dxa"/>
          </w:tcPr>
          <w:p w14:paraId="3C820C7F"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(453)</w:t>
            </w:r>
          </w:p>
        </w:tc>
        <w:tc>
          <w:tcPr>
            <w:tcW w:w="868" w:type="dxa"/>
          </w:tcPr>
          <w:p w14:paraId="64263415"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(5,960)</w:t>
            </w:r>
          </w:p>
        </w:tc>
        <w:tc>
          <w:tcPr>
            <w:tcW w:w="775" w:type="dxa"/>
          </w:tcPr>
          <w:p w14:paraId="28A90291"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(3)</w:t>
            </w:r>
          </w:p>
        </w:tc>
        <w:tc>
          <w:tcPr>
            <w:tcW w:w="877" w:type="dxa"/>
          </w:tcPr>
          <w:p w14:paraId="76D42E98"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2,901</w:t>
            </w:r>
          </w:p>
        </w:tc>
        <w:tc>
          <w:tcPr>
            <w:tcW w:w="793" w:type="dxa"/>
          </w:tcPr>
          <w:p w14:paraId="450C66B8"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184</w:t>
            </w:r>
          </w:p>
        </w:tc>
        <w:tc>
          <w:tcPr>
            <w:tcW w:w="794" w:type="dxa"/>
          </w:tcPr>
          <w:p w14:paraId="07CD7119"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w:t>
            </w:r>
          </w:p>
        </w:tc>
        <w:tc>
          <w:tcPr>
            <w:tcW w:w="903" w:type="dxa"/>
          </w:tcPr>
          <w:p w14:paraId="6F786DCC"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(1,604)</w:t>
            </w:r>
          </w:p>
        </w:tc>
        <w:tc>
          <w:tcPr>
            <w:tcW w:w="840" w:type="dxa"/>
          </w:tcPr>
          <w:p w14:paraId="7A192145"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w:t>
            </w:r>
          </w:p>
        </w:tc>
        <w:tc>
          <w:tcPr>
            <w:tcW w:w="840" w:type="dxa"/>
          </w:tcPr>
          <w:p w14:paraId="311E3F24"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(296)</w:t>
            </w:r>
          </w:p>
        </w:tc>
        <w:tc>
          <w:tcPr>
            <w:tcW w:w="840" w:type="dxa"/>
          </w:tcPr>
          <w:p w14:paraId="70691148"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w:t>
            </w:r>
          </w:p>
        </w:tc>
        <w:tc>
          <w:tcPr>
            <w:tcW w:w="794" w:type="dxa"/>
          </w:tcPr>
          <w:p w14:paraId="09C8E2C2"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w:t>
            </w:r>
          </w:p>
        </w:tc>
        <w:tc>
          <w:tcPr>
            <w:tcW w:w="885" w:type="dxa"/>
          </w:tcPr>
          <w:p w14:paraId="7AAFD9A8"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(294)</w:t>
            </w:r>
          </w:p>
        </w:tc>
        <w:tc>
          <w:tcPr>
            <w:tcW w:w="840" w:type="dxa"/>
          </w:tcPr>
          <w:p w14:paraId="473DF02D"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11</w:t>
            </w:r>
          </w:p>
        </w:tc>
        <w:tc>
          <w:tcPr>
            <w:tcW w:w="1008" w:type="dxa"/>
          </w:tcPr>
          <w:p w14:paraId="2E33C8CA"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w:t>
            </w:r>
          </w:p>
        </w:tc>
        <w:tc>
          <w:tcPr>
            <w:tcW w:w="793" w:type="dxa"/>
          </w:tcPr>
          <w:p w14:paraId="13AAAA14"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w:t>
            </w:r>
          </w:p>
        </w:tc>
        <w:tc>
          <w:tcPr>
            <w:tcW w:w="873" w:type="dxa"/>
          </w:tcPr>
          <w:p w14:paraId="154B79B1"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(5,514)</w:t>
            </w:r>
          </w:p>
        </w:tc>
      </w:tr>
      <w:tr w:rsidR="003D7A81" w:rsidRPr="0090537F" w14:paraId="5648DAC2" w14:textId="77777777" w:rsidTr="003D7A81">
        <w:tc>
          <w:tcPr>
            <w:tcW w:w="1413" w:type="dxa"/>
          </w:tcPr>
          <w:p w14:paraId="012CC8D7" w14:textId="77777777" w:rsidR="00B02873" w:rsidRPr="0090537F" w:rsidRDefault="00B02873" w:rsidP="0090537F">
            <w:pPr>
              <w:pStyle w:val="TablebodyleftFinancialsTables"/>
              <w:rPr>
                <w:rFonts w:asciiTheme="minorHAnsi" w:hAnsiTheme="minorHAnsi" w:cstheme="minorHAnsi"/>
                <w:sz w:val="16"/>
              </w:rPr>
            </w:pPr>
            <w:r w:rsidRPr="0090537F">
              <w:rPr>
                <w:rFonts w:asciiTheme="minorHAnsi" w:hAnsiTheme="minorHAnsi" w:cstheme="minorHAnsi"/>
                <w:sz w:val="16"/>
              </w:rPr>
              <w:t>Transfers to third parties</w:t>
            </w:r>
            <w:r w:rsidRPr="0090537F">
              <w:rPr>
                <w:rFonts w:asciiTheme="minorHAnsi" w:hAnsiTheme="minorHAnsi" w:cstheme="minorHAnsi"/>
                <w:sz w:val="16"/>
                <w:vertAlign w:val="superscript"/>
              </w:rPr>
              <w:t>(i)</w:t>
            </w:r>
          </w:p>
        </w:tc>
        <w:tc>
          <w:tcPr>
            <w:tcW w:w="850" w:type="dxa"/>
          </w:tcPr>
          <w:p w14:paraId="2E21A0B2"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w:t>
            </w:r>
          </w:p>
        </w:tc>
        <w:tc>
          <w:tcPr>
            <w:tcW w:w="868" w:type="dxa"/>
          </w:tcPr>
          <w:p w14:paraId="5B1E962B"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(25,730)</w:t>
            </w:r>
          </w:p>
        </w:tc>
        <w:tc>
          <w:tcPr>
            <w:tcW w:w="775" w:type="dxa"/>
          </w:tcPr>
          <w:p w14:paraId="3F73DC3B"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w:t>
            </w:r>
          </w:p>
        </w:tc>
        <w:tc>
          <w:tcPr>
            <w:tcW w:w="877" w:type="dxa"/>
          </w:tcPr>
          <w:p w14:paraId="5AD4951B"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w:t>
            </w:r>
          </w:p>
        </w:tc>
        <w:tc>
          <w:tcPr>
            <w:tcW w:w="793" w:type="dxa"/>
          </w:tcPr>
          <w:p w14:paraId="28690633"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(65)</w:t>
            </w:r>
          </w:p>
        </w:tc>
        <w:tc>
          <w:tcPr>
            <w:tcW w:w="794" w:type="dxa"/>
          </w:tcPr>
          <w:p w14:paraId="601FA0C0"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w:t>
            </w:r>
          </w:p>
        </w:tc>
        <w:tc>
          <w:tcPr>
            <w:tcW w:w="903" w:type="dxa"/>
          </w:tcPr>
          <w:p w14:paraId="3866D7DE"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w:t>
            </w:r>
          </w:p>
        </w:tc>
        <w:tc>
          <w:tcPr>
            <w:tcW w:w="840" w:type="dxa"/>
          </w:tcPr>
          <w:p w14:paraId="5C742BA0"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w:t>
            </w:r>
          </w:p>
        </w:tc>
        <w:tc>
          <w:tcPr>
            <w:tcW w:w="840" w:type="dxa"/>
          </w:tcPr>
          <w:p w14:paraId="6FBA7A01"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w:t>
            </w:r>
          </w:p>
        </w:tc>
        <w:tc>
          <w:tcPr>
            <w:tcW w:w="840" w:type="dxa"/>
          </w:tcPr>
          <w:p w14:paraId="5FE7733E"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w:t>
            </w:r>
          </w:p>
        </w:tc>
        <w:tc>
          <w:tcPr>
            <w:tcW w:w="794" w:type="dxa"/>
          </w:tcPr>
          <w:p w14:paraId="4D3D0D87"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w:t>
            </w:r>
          </w:p>
        </w:tc>
        <w:tc>
          <w:tcPr>
            <w:tcW w:w="885" w:type="dxa"/>
          </w:tcPr>
          <w:p w14:paraId="3A3CE57C"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w:t>
            </w:r>
          </w:p>
        </w:tc>
        <w:tc>
          <w:tcPr>
            <w:tcW w:w="840" w:type="dxa"/>
          </w:tcPr>
          <w:p w14:paraId="4D3CA009"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w:t>
            </w:r>
          </w:p>
        </w:tc>
        <w:tc>
          <w:tcPr>
            <w:tcW w:w="1008" w:type="dxa"/>
          </w:tcPr>
          <w:p w14:paraId="29D458E1"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w:t>
            </w:r>
          </w:p>
        </w:tc>
        <w:tc>
          <w:tcPr>
            <w:tcW w:w="793" w:type="dxa"/>
          </w:tcPr>
          <w:p w14:paraId="526280E3"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w:t>
            </w:r>
          </w:p>
        </w:tc>
        <w:tc>
          <w:tcPr>
            <w:tcW w:w="873" w:type="dxa"/>
          </w:tcPr>
          <w:p w14:paraId="27F75371"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(25,795)</w:t>
            </w:r>
          </w:p>
        </w:tc>
      </w:tr>
      <w:tr w:rsidR="00B02873" w:rsidRPr="0090537F" w14:paraId="1BDCE96E" w14:textId="77777777" w:rsidTr="003D7A81">
        <w:tc>
          <w:tcPr>
            <w:tcW w:w="1413" w:type="dxa"/>
          </w:tcPr>
          <w:p w14:paraId="43FD33F8" w14:textId="77777777" w:rsidR="00B02873" w:rsidRPr="0090537F" w:rsidRDefault="00B02873" w:rsidP="0090537F">
            <w:pPr>
              <w:pStyle w:val="TablebodyleftFinancialsTables"/>
              <w:rPr>
                <w:rFonts w:asciiTheme="minorHAnsi" w:hAnsiTheme="minorHAnsi" w:cstheme="minorHAnsi"/>
                <w:sz w:val="16"/>
              </w:rPr>
            </w:pPr>
            <w:r w:rsidRPr="0090537F">
              <w:rPr>
                <w:rFonts w:asciiTheme="minorHAnsi" w:hAnsiTheme="minorHAnsi" w:cstheme="minorHAnsi"/>
                <w:sz w:val="16"/>
              </w:rPr>
              <w:lastRenderedPageBreak/>
              <w:t>Net transfers in/(out) – from other categories</w:t>
            </w:r>
          </w:p>
        </w:tc>
        <w:tc>
          <w:tcPr>
            <w:tcW w:w="850" w:type="dxa"/>
          </w:tcPr>
          <w:p w14:paraId="63BF95B8"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(2,770)</w:t>
            </w:r>
          </w:p>
        </w:tc>
        <w:tc>
          <w:tcPr>
            <w:tcW w:w="868" w:type="dxa"/>
          </w:tcPr>
          <w:p w14:paraId="47DFB1DF"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(26,006)</w:t>
            </w:r>
          </w:p>
        </w:tc>
        <w:tc>
          <w:tcPr>
            <w:tcW w:w="775" w:type="dxa"/>
          </w:tcPr>
          <w:p w14:paraId="6BB7A5C8"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169</w:t>
            </w:r>
          </w:p>
        </w:tc>
        <w:tc>
          <w:tcPr>
            <w:tcW w:w="877" w:type="dxa"/>
          </w:tcPr>
          <w:p w14:paraId="7F5FC777"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5,724</w:t>
            </w:r>
          </w:p>
        </w:tc>
        <w:tc>
          <w:tcPr>
            <w:tcW w:w="793" w:type="dxa"/>
          </w:tcPr>
          <w:p w14:paraId="187409F5"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(6,533)</w:t>
            </w:r>
          </w:p>
        </w:tc>
        <w:tc>
          <w:tcPr>
            <w:tcW w:w="794" w:type="dxa"/>
          </w:tcPr>
          <w:p w14:paraId="36AEBADF"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(240)</w:t>
            </w:r>
          </w:p>
        </w:tc>
        <w:tc>
          <w:tcPr>
            <w:tcW w:w="903" w:type="dxa"/>
          </w:tcPr>
          <w:p w14:paraId="6843BFB2"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11,628</w:t>
            </w:r>
          </w:p>
        </w:tc>
        <w:tc>
          <w:tcPr>
            <w:tcW w:w="840" w:type="dxa"/>
          </w:tcPr>
          <w:p w14:paraId="0A1E02D5"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29,148</w:t>
            </w:r>
          </w:p>
        </w:tc>
        <w:tc>
          <w:tcPr>
            <w:tcW w:w="840" w:type="dxa"/>
          </w:tcPr>
          <w:p w14:paraId="3C5F5FD3"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9,513</w:t>
            </w:r>
          </w:p>
        </w:tc>
        <w:tc>
          <w:tcPr>
            <w:tcW w:w="840" w:type="dxa"/>
          </w:tcPr>
          <w:p w14:paraId="31EBEF34"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w:t>
            </w:r>
          </w:p>
        </w:tc>
        <w:tc>
          <w:tcPr>
            <w:tcW w:w="794" w:type="dxa"/>
          </w:tcPr>
          <w:p w14:paraId="434477A8"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177</w:t>
            </w:r>
          </w:p>
        </w:tc>
        <w:tc>
          <w:tcPr>
            <w:tcW w:w="885" w:type="dxa"/>
          </w:tcPr>
          <w:p w14:paraId="34AF32BC"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8,300</w:t>
            </w:r>
          </w:p>
        </w:tc>
        <w:tc>
          <w:tcPr>
            <w:tcW w:w="840" w:type="dxa"/>
          </w:tcPr>
          <w:p w14:paraId="403A33CF"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w:t>
            </w:r>
          </w:p>
        </w:tc>
        <w:tc>
          <w:tcPr>
            <w:tcW w:w="1008" w:type="dxa"/>
          </w:tcPr>
          <w:p w14:paraId="13E25A0D"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(29,608)</w:t>
            </w:r>
          </w:p>
        </w:tc>
        <w:tc>
          <w:tcPr>
            <w:tcW w:w="793" w:type="dxa"/>
          </w:tcPr>
          <w:p w14:paraId="6DA573FF"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(244)</w:t>
            </w:r>
          </w:p>
        </w:tc>
        <w:tc>
          <w:tcPr>
            <w:tcW w:w="873" w:type="dxa"/>
          </w:tcPr>
          <w:p w14:paraId="7F5FDE37"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(742)</w:t>
            </w:r>
          </w:p>
        </w:tc>
      </w:tr>
      <w:tr w:rsidR="003D7A81" w:rsidRPr="0090537F" w14:paraId="72176285" w14:textId="77777777" w:rsidTr="003D7A81">
        <w:tc>
          <w:tcPr>
            <w:tcW w:w="1413" w:type="dxa"/>
          </w:tcPr>
          <w:p w14:paraId="04F3E7C6" w14:textId="77777777" w:rsidR="00B02873" w:rsidRPr="0090537F" w:rsidRDefault="00B02873" w:rsidP="0090537F">
            <w:pPr>
              <w:pStyle w:val="TablebodyleftFinancialsTables"/>
              <w:rPr>
                <w:rFonts w:asciiTheme="minorHAnsi" w:hAnsiTheme="minorHAnsi" w:cstheme="minorHAnsi"/>
                <w:sz w:val="16"/>
              </w:rPr>
            </w:pPr>
            <w:r w:rsidRPr="0090537F">
              <w:rPr>
                <w:rFonts w:asciiTheme="minorHAnsi" w:hAnsiTheme="minorHAnsi" w:cstheme="minorHAnsi"/>
                <w:sz w:val="16"/>
              </w:rPr>
              <w:t>Revaluation increments/ (decrements)</w:t>
            </w:r>
          </w:p>
        </w:tc>
        <w:tc>
          <w:tcPr>
            <w:tcW w:w="850" w:type="dxa"/>
          </w:tcPr>
          <w:p w14:paraId="1C0F3CFF"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20,133</w:t>
            </w:r>
          </w:p>
        </w:tc>
        <w:tc>
          <w:tcPr>
            <w:tcW w:w="868" w:type="dxa"/>
          </w:tcPr>
          <w:p w14:paraId="0FA3C09B"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593,376</w:t>
            </w:r>
          </w:p>
        </w:tc>
        <w:tc>
          <w:tcPr>
            <w:tcW w:w="775" w:type="dxa"/>
          </w:tcPr>
          <w:p w14:paraId="1820B61B"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1,047</w:t>
            </w:r>
          </w:p>
        </w:tc>
        <w:tc>
          <w:tcPr>
            <w:tcW w:w="877" w:type="dxa"/>
          </w:tcPr>
          <w:p w14:paraId="39F6DB56"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414,353</w:t>
            </w:r>
          </w:p>
        </w:tc>
        <w:tc>
          <w:tcPr>
            <w:tcW w:w="793" w:type="dxa"/>
          </w:tcPr>
          <w:p w14:paraId="4E494E8E"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15,387</w:t>
            </w:r>
          </w:p>
        </w:tc>
        <w:tc>
          <w:tcPr>
            <w:tcW w:w="794" w:type="dxa"/>
          </w:tcPr>
          <w:p w14:paraId="6D576F08"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1,582</w:t>
            </w:r>
          </w:p>
        </w:tc>
        <w:tc>
          <w:tcPr>
            <w:tcW w:w="903" w:type="dxa"/>
          </w:tcPr>
          <w:p w14:paraId="4E4B70C1"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4,857</w:t>
            </w:r>
          </w:p>
        </w:tc>
        <w:tc>
          <w:tcPr>
            <w:tcW w:w="840" w:type="dxa"/>
          </w:tcPr>
          <w:p w14:paraId="3F3176DA"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w:t>
            </w:r>
          </w:p>
        </w:tc>
        <w:tc>
          <w:tcPr>
            <w:tcW w:w="840" w:type="dxa"/>
          </w:tcPr>
          <w:p w14:paraId="67A961C2"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w:t>
            </w:r>
          </w:p>
        </w:tc>
        <w:tc>
          <w:tcPr>
            <w:tcW w:w="840" w:type="dxa"/>
          </w:tcPr>
          <w:p w14:paraId="68184423"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w:t>
            </w:r>
          </w:p>
        </w:tc>
        <w:tc>
          <w:tcPr>
            <w:tcW w:w="794" w:type="dxa"/>
          </w:tcPr>
          <w:p w14:paraId="05FAEBCE"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w:t>
            </w:r>
          </w:p>
        </w:tc>
        <w:tc>
          <w:tcPr>
            <w:tcW w:w="885" w:type="dxa"/>
          </w:tcPr>
          <w:p w14:paraId="0634DF55"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w:t>
            </w:r>
          </w:p>
        </w:tc>
        <w:tc>
          <w:tcPr>
            <w:tcW w:w="840" w:type="dxa"/>
          </w:tcPr>
          <w:p w14:paraId="35687AC6"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w:t>
            </w:r>
          </w:p>
        </w:tc>
        <w:tc>
          <w:tcPr>
            <w:tcW w:w="1008" w:type="dxa"/>
          </w:tcPr>
          <w:p w14:paraId="043ACEEE"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w:t>
            </w:r>
          </w:p>
        </w:tc>
        <w:tc>
          <w:tcPr>
            <w:tcW w:w="793" w:type="dxa"/>
          </w:tcPr>
          <w:p w14:paraId="5F21417F"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244</w:t>
            </w:r>
          </w:p>
        </w:tc>
        <w:tc>
          <w:tcPr>
            <w:tcW w:w="873" w:type="dxa"/>
          </w:tcPr>
          <w:p w14:paraId="19DA9874"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1,050,979</w:t>
            </w:r>
          </w:p>
        </w:tc>
      </w:tr>
      <w:tr w:rsidR="00B02873" w:rsidRPr="0090537F" w14:paraId="070268F0" w14:textId="77777777" w:rsidTr="003D7A81">
        <w:tc>
          <w:tcPr>
            <w:tcW w:w="1413" w:type="dxa"/>
          </w:tcPr>
          <w:p w14:paraId="062B73FE" w14:textId="77777777" w:rsidR="00B02873" w:rsidRPr="0090537F" w:rsidRDefault="00B02873" w:rsidP="0090537F">
            <w:pPr>
              <w:pStyle w:val="TablebodyleftFinancialsTables"/>
              <w:rPr>
                <w:rFonts w:asciiTheme="minorHAnsi" w:hAnsiTheme="minorHAnsi" w:cstheme="minorHAnsi"/>
                <w:sz w:val="16"/>
              </w:rPr>
            </w:pPr>
            <w:r w:rsidRPr="0090537F">
              <w:rPr>
                <w:rFonts w:asciiTheme="minorHAnsi" w:hAnsiTheme="minorHAnsi" w:cstheme="minorHAnsi"/>
                <w:sz w:val="16"/>
              </w:rPr>
              <w:t xml:space="preserve">Recognition/(derecognition), write-on/(write-down) of assets </w:t>
            </w:r>
          </w:p>
        </w:tc>
        <w:tc>
          <w:tcPr>
            <w:tcW w:w="850" w:type="dxa"/>
          </w:tcPr>
          <w:p w14:paraId="4C0D8B80"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(3,741)</w:t>
            </w:r>
          </w:p>
        </w:tc>
        <w:tc>
          <w:tcPr>
            <w:tcW w:w="868" w:type="dxa"/>
          </w:tcPr>
          <w:p w14:paraId="3EAD7821"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120,935</w:t>
            </w:r>
          </w:p>
        </w:tc>
        <w:tc>
          <w:tcPr>
            <w:tcW w:w="775" w:type="dxa"/>
          </w:tcPr>
          <w:p w14:paraId="1FE66088"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w:t>
            </w:r>
          </w:p>
        </w:tc>
        <w:tc>
          <w:tcPr>
            <w:tcW w:w="877" w:type="dxa"/>
          </w:tcPr>
          <w:p w14:paraId="64121360"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(18,334)</w:t>
            </w:r>
          </w:p>
        </w:tc>
        <w:tc>
          <w:tcPr>
            <w:tcW w:w="793" w:type="dxa"/>
          </w:tcPr>
          <w:p w14:paraId="247E3F24"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2,686</w:t>
            </w:r>
          </w:p>
        </w:tc>
        <w:tc>
          <w:tcPr>
            <w:tcW w:w="794" w:type="dxa"/>
          </w:tcPr>
          <w:p w14:paraId="1A4905D2"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w:t>
            </w:r>
          </w:p>
        </w:tc>
        <w:tc>
          <w:tcPr>
            <w:tcW w:w="903" w:type="dxa"/>
          </w:tcPr>
          <w:p w14:paraId="7E711689"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(6,128)</w:t>
            </w:r>
          </w:p>
        </w:tc>
        <w:tc>
          <w:tcPr>
            <w:tcW w:w="840" w:type="dxa"/>
          </w:tcPr>
          <w:p w14:paraId="537A9063"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w:t>
            </w:r>
          </w:p>
        </w:tc>
        <w:tc>
          <w:tcPr>
            <w:tcW w:w="840" w:type="dxa"/>
          </w:tcPr>
          <w:p w14:paraId="2002014E"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(4,929)</w:t>
            </w:r>
          </w:p>
        </w:tc>
        <w:tc>
          <w:tcPr>
            <w:tcW w:w="840" w:type="dxa"/>
          </w:tcPr>
          <w:p w14:paraId="07F8D0ED"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w:t>
            </w:r>
          </w:p>
        </w:tc>
        <w:tc>
          <w:tcPr>
            <w:tcW w:w="794" w:type="dxa"/>
          </w:tcPr>
          <w:p w14:paraId="6F73C16D"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w:t>
            </w:r>
          </w:p>
        </w:tc>
        <w:tc>
          <w:tcPr>
            <w:tcW w:w="885" w:type="dxa"/>
          </w:tcPr>
          <w:p w14:paraId="46D06EAE"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(114)</w:t>
            </w:r>
          </w:p>
        </w:tc>
        <w:tc>
          <w:tcPr>
            <w:tcW w:w="840" w:type="dxa"/>
          </w:tcPr>
          <w:p w14:paraId="4532DB42"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w:t>
            </w:r>
          </w:p>
        </w:tc>
        <w:tc>
          <w:tcPr>
            <w:tcW w:w="1008" w:type="dxa"/>
          </w:tcPr>
          <w:p w14:paraId="4B1248D8"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(204)</w:t>
            </w:r>
          </w:p>
        </w:tc>
        <w:tc>
          <w:tcPr>
            <w:tcW w:w="793" w:type="dxa"/>
          </w:tcPr>
          <w:p w14:paraId="17816674"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w:t>
            </w:r>
          </w:p>
        </w:tc>
        <w:tc>
          <w:tcPr>
            <w:tcW w:w="873" w:type="dxa"/>
          </w:tcPr>
          <w:p w14:paraId="5A443DC4"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90,171</w:t>
            </w:r>
          </w:p>
        </w:tc>
      </w:tr>
      <w:tr w:rsidR="003D7A81" w:rsidRPr="0090537F" w14:paraId="531B8C83" w14:textId="77777777" w:rsidTr="003D7A81">
        <w:tc>
          <w:tcPr>
            <w:tcW w:w="1413" w:type="dxa"/>
          </w:tcPr>
          <w:p w14:paraId="028085C6" w14:textId="77777777" w:rsidR="00B02873" w:rsidRPr="0090537F" w:rsidRDefault="00B02873" w:rsidP="0090537F">
            <w:pPr>
              <w:pStyle w:val="TablebodyleftFinancialsTables"/>
              <w:rPr>
                <w:rFonts w:asciiTheme="minorHAnsi" w:hAnsiTheme="minorHAnsi" w:cstheme="minorHAnsi"/>
                <w:sz w:val="16"/>
              </w:rPr>
            </w:pPr>
            <w:r w:rsidRPr="0090537F">
              <w:rPr>
                <w:rFonts w:asciiTheme="minorHAnsi" w:hAnsiTheme="minorHAnsi" w:cstheme="minorHAnsi"/>
                <w:spacing w:val="-1"/>
                <w:sz w:val="16"/>
              </w:rPr>
              <w:t>Depreciation expense (refer to Note 5.1.2)</w:t>
            </w:r>
          </w:p>
        </w:tc>
        <w:tc>
          <w:tcPr>
            <w:tcW w:w="850" w:type="dxa"/>
          </w:tcPr>
          <w:p w14:paraId="1798B474"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w:t>
            </w:r>
          </w:p>
        </w:tc>
        <w:tc>
          <w:tcPr>
            <w:tcW w:w="868" w:type="dxa"/>
          </w:tcPr>
          <w:p w14:paraId="584F9078"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w:t>
            </w:r>
          </w:p>
        </w:tc>
        <w:tc>
          <w:tcPr>
            <w:tcW w:w="775" w:type="dxa"/>
          </w:tcPr>
          <w:p w14:paraId="7F6643A0"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w:t>
            </w:r>
          </w:p>
        </w:tc>
        <w:tc>
          <w:tcPr>
            <w:tcW w:w="877" w:type="dxa"/>
          </w:tcPr>
          <w:p w14:paraId="113D50E2"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w:t>
            </w:r>
          </w:p>
        </w:tc>
        <w:tc>
          <w:tcPr>
            <w:tcW w:w="793" w:type="dxa"/>
          </w:tcPr>
          <w:p w14:paraId="78549609"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w:t>
            </w:r>
          </w:p>
        </w:tc>
        <w:tc>
          <w:tcPr>
            <w:tcW w:w="794" w:type="dxa"/>
          </w:tcPr>
          <w:p w14:paraId="600CD05A"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w:t>
            </w:r>
          </w:p>
        </w:tc>
        <w:tc>
          <w:tcPr>
            <w:tcW w:w="903" w:type="dxa"/>
          </w:tcPr>
          <w:p w14:paraId="66A1FAEA"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w:t>
            </w:r>
          </w:p>
        </w:tc>
        <w:tc>
          <w:tcPr>
            <w:tcW w:w="840" w:type="dxa"/>
          </w:tcPr>
          <w:p w14:paraId="6F23C443"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w:t>
            </w:r>
          </w:p>
        </w:tc>
        <w:tc>
          <w:tcPr>
            <w:tcW w:w="840" w:type="dxa"/>
          </w:tcPr>
          <w:p w14:paraId="4A2D35B3"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(35,412)</w:t>
            </w:r>
          </w:p>
        </w:tc>
        <w:tc>
          <w:tcPr>
            <w:tcW w:w="840" w:type="dxa"/>
          </w:tcPr>
          <w:p w14:paraId="4371FB81"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(680)</w:t>
            </w:r>
          </w:p>
        </w:tc>
        <w:tc>
          <w:tcPr>
            <w:tcW w:w="794" w:type="dxa"/>
          </w:tcPr>
          <w:p w14:paraId="06CA57C9"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(24,057)</w:t>
            </w:r>
          </w:p>
        </w:tc>
        <w:tc>
          <w:tcPr>
            <w:tcW w:w="885" w:type="dxa"/>
          </w:tcPr>
          <w:p w14:paraId="1B967E48"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(12,850)</w:t>
            </w:r>
          </w:p>
        </w:tc>
        <w:tc>
          <w:tcPr>
            <w:tcW w:w="840" w:type="dxa"/>
          </w:tcPr>
          <w:p w14:paraId="777755D6"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(8,703)</w:t>
            </w:r>
          </w:p>
        </w:tc>
        <w:tc>
          <w:tcPr>
            <w:tcW w:w="1008" w:type="dxa"/>
          </w:tcPr>
          <w:p w14:paraId="3824F019"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w:t>
            </w:r>
          </w:p>
        </w:tc>
        <w:tc>
          <w:tcPr>
            <w:tcW w:w="793" w:type="dxa"/>
          </w:tcPr>
          <w:p w14:paraId="7C1BC492"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w:t>
            </w:r>
          </w:p>
        </w:tc>
        <w:tc>
          <w:tcPr>
            <w:tcW w:w="873" w:type="dxa"/>
          </w:tcPr>
          <w:p w14:paraId="50511EE8" w14:textId="77777777" w:rsidR="00B02873" w:rsidRPr="0090537F" w:rsidRDefault="00B02873" w:rsidP="003D7A81">
            <w:pPr>
              <w:pStyle w:val="TablebodyleftFinancialsTables"/>
              <w:jc w:val="right"/>
              <w:rPr>
                <w:rFonts w:asciiTheme="minorHAnsi" w:hAnsiTheme="minorHAnsi" w:cstheme="minorHAnsi"/>
                <w:sz w:val="16"/>
              </w:rPr>
            </w:pPr>
            <w:r w:rsidRPr="0090537F">
              <w:rPr>
                <w:rFonts w:asciiTheme="minorHAnsi" w:hAnsiTheme="minorHAnsi" w:cstheme="minorHAnsi"/>
                <w:sz w:val="16"/>
              </w:rPr>
              <w:t>(81,702)</w:t>
            </w:r>
          </w:p>
        </w:tc>
      </w:tr>
      <w:tr w:rsidR="00B02873" w:rsidRPr="003D7A81" w14:paraId="74387212" w14:textId="77777777" w:rsidTr="003D7A81">
        <w:tc>
          <w:tcPr>
            <w:tcW w:w="1413" w:type="dxa"/>
          </w:tcPr>
          <w:p w14:paraId="62EA5C72" w14:textId="77777777" w:rsidR="00B02873" w:rsidRPr="003D7A81" w:rsidRDefault="00B02873" w:rsidP="0090537F">
            <w:pPr>
              <w:pStyle w:val="TablebodyleftFinancialsTables"/>
              <w:rPr>
                <w:rFonts w:asciiTheme="minorHAnsi" w:hAnsiTheme="minorHAnsi" w:cstheme="minorHAnsi"/>
                <w:b/>
                <w:bCs/>
                <w:sz w:val="16"/>
              </w:rPr>
            </w:pPr>
            <w:r w:rsidRPr="003D7A81">
              <w:rPr>
                <w:rFonts w:asciiTheme="minorHAnsi" w:hAnsiTheme="minorHAnsi" w:cstheme="minorHAnsi"/>
                <w:b/>
                <w:bCs/>
                <w:sz w:val="16"/>
              </w:rPr>
              <w:t>Balance at 30 June 2022</w:t>
            </w:r>
          </w:p>
        </w:tc>
        <w:tc>
          <w:tcPr>
            <w:tcW w:w="850" w:type="dxa"/>
          </w:tcPr>
          <w:p w14:paraId="53E97FF8" w14:textId="77777777" w:rsidR="00B02873" w:rsidRPr="003D7A81" w:rsidRDefault="00B02873" w:rsidP="003D7A81">
            <w:pPr>
              <w:pStyle w:val="TablebodyleftFinancialsTables"/>
              <w:jc w:val="right"/>
              <w:rPr>
                <w:rFonts w:asciiTheme="minorHAnsi" w:hAnsiTheme="minorHAnsi" w:cstheme="minorHAnsi"/>
                <w:b/>
                <w:bCs/>
                <w:sz w:val="16"/>
              </w:rPr>
            </w:pPr>
            <w:r w:rsidRPr="003D7A81">
              <w:rPr>
                <w:rFonts w:asciiTheme="minorHAnsi" w:hAnsiTheme="minorHAnsi" w:cstheme="minorHAnsi"/>
                <w:b/>
                <w:bCs/>
                <w:sz w:val="16"/>
              </w:rPr>
              <w:t>170,710</w:t>
            </w:r>
          </w:p>
        </w:tc>
        <w:tc>
          <w:tcPr>
            <w:tcW w:w="868" w:type="dxa"/>
          </w:tcPr>
          <w:p w14:paraId="3FDF1EEA" w14:textId="77777777" w:rsidR="00B02873" w:rsidRPr="003D7A81" w:rsidRDefault="00B02873" w:rsidP="003D7A81">
            <w:pPr>
              <w:pStyle w:val="TablebodyleftFinancialsTables"/>
              <w:jc w:val="right"/>
              <w:rPr>
                <w:rFonts w:asciiTheme="minorHAnsi" w:hAnsiTheme="minorHAnsi" w:cstheme="minorHAnsi"/>
                <w:b/>
                <w:bCs/>
                <w:sz w:val="16"/>
              </w:rPr>
            </w:pPr>
            <w:r w:rsidRPr="003D7A81">
              <w:rPr>
                <w:rFonts w:asciiTheme="minorHAnsi" w:hAnsiTheme="minorHAnsi" w:cstheme="minorHAnsi"/>
                <w:b/>
                <w:bCs/>
                <w:sz w:val="16"/>
              </w:rPr>
              <w:t>4,463,480</w:t>
            </w:r>
          </w:p>
        </w:tc>
        <w:tc>
          <w:tcPr>
            <w:tcW w:w="775" w:type="dxa"/>
          </w:tcPr>
          <w:p w14:paraId="6DB1DE55" w14:textId="77777777" w:rsidR="00B02873" w:rsidRPr="003D7A81" w:rsidRDefault="00B02873" w:rsidP="003D7A81">
            <w:pPr>
              <w:pStyle w:val="TablebodyleftFinancialsTables"/>
              <w:jc w:val="right"/>
              <w:rPr>
                <w:rFonts w:asciiTheme="minorHAnsi" w:hAnsiTheme="minorHAnsi" w:cstheme="minorHAnsi"/>
                <w:b/>
                <w:bCs/>
                <w:sz w:val="16"/>
              </w:rPr>
            </w:pPr>
            <w:r w:rsidRPr="003D7A81">
              <w:rPr>
                <w:rFonts w:asciiTheme="minorHAnsi" w:hAnsiTheme="minorHAnsi" w:cstheme="minorHAnsi"/>
                <w:b/>
                <w:bCs/>
                <w:sz w:val="16"/>
              </w:rPr>
              <w:t>5,626</w:t>
            </w:r>
          </w:p>
        </w:tc>
        <w:tc>
          <w:tcPr>
            <w:tcW w:w="877" w:type="dxa"/>
          </w:tcPr>
          <w:p w14:paraId="5BAB4F39" w14:textId="77777777" w:rsidR="00B02873" w:rsidRPr="003D7A81" w:rsidRDefault="00B02873" w:rsidP="003D7A81">
            <w:pPr>
              <w:pStyle w:val="TablebodyleftFinancialsTables"/>
              <w:jc w:val="right"/>
              <w:rPr>
                <w:rFonts w:asciiTheme="minorHAnsi" w:hAnsiTheme="minorHAnsi" w:cstheme="minorHAnsi"/>
                <w:b/>
                <w:bCs/>
                <w:sz w:val="16"/>
              </w:rPr>
            </w:pPr>
            <w:r w:rsidRPr="003D7A81">
              <w:rPr>
                <w:rFonts w:asciiTheme="minorHAnsi" w:hAnsiTheme="minorHAnsi" w:cstheme="minorHAnsi"/>
                <w:b/>
                <w:bCs/>
                <w:sz w:val="16"/>
              </w:rPr>
              <w:t>2,599,099</w:t>
            </w:r>
          </w:p>
        </w:tc>
        <w:tc>
          <w:tcPr>
            <w:tcW w:w="793" w:type="dxa"/>
          </w:tcPr>
          <w:p w14:paraId="560B30B9" w14:textId="77777777" w:rsidR="00B02873" w:rsidRPr="003D7A81" w:rsidRDefault="00B02873" w:rsidP="003D7A81">
            <w:pPr>
              <w:pStyle w:val="TablebodyleftFinancialsTables"/>
              <w:jc w:val="right"/>
              <w:rPr>
                <w:rFonts w:asciiTheme="minorHAnsi" w:hAnsiTheme="minorHAnsi" w:cstheme="minorHAnsi"/>
                <w:b/>
                <w:bCs/>
                <w:sz w:val="16"/>
              </w:rPr>
            </w:pPr>
            <w:r w:rsidRPr="003D7A81">
              <w:rPr>
                <w:rFonts w:asciiTheme="minorHAnsi" w:hAnsiTheme="minorHAnsi" w:cstheme="minorHAnsi"/>
                <w:b/>
                <w:bCs/>
                <w:sz w:val="16"/>
              </w:rPr>
              <w:t>109,636</w:t>
            </w:r>
          </w:p>
        </w:tc>
        <w:tc>
          <w:tcPr>
            <w:tcW w:w="794" w:type="dxa"/>
          </w:tcPr>
          <w:p w14:paraId="0658FC15" w14:textId="77777777" w:rsidR="00B02873" w:rsidRPr="003D7A81" w:rsidRDefault="00B02873" w:rsidP="003D7A81">
            <w:pPr>
              <w:pStyle w:val="TablebodyleftFinancialsTables"/>
              <w:jc w:val="right"/>
              <w:rPr>
                <w:rFonts w:asciiTheme="minorHAnsi" w:hAnsiTheme="minorHAnsi" w:cstheme="minorHAnsi"/>
                <w:b/>
                <w:bCs/>
                <w:sz w:val="16"/>
              </w:rPr>
            </w:pPr>
            <w:r w:rsidRPr="003D7A81">
              <w:rPr>
                <w:rFonts w:asciiTheme="minorHAnsi" w:hAnsiTheme="minorHAnsi" w:cstheme="minorHAnsi"/>
                <w:b/>
                <w:bCs/>
                <w:sz w:val="16"/>
              </w:rPr>
              <w:t>9,212</w:t>
            </w:r>
          </w:p>
        </w:tc>
        <w:tc>
          <w:tcPr>
            <w:tcW w:w="903" w:type="dxa"/>
          </w:tcPr>
          <w:p w14:paraId="1ECB6110" w14:textId="77777777" w:rsidR="00B02873" w:rsidRPr="003D7A81" w:rsidRDefault="00B02873" w:rsidP="003D7A81">
            <w:pPr>
              <w:pStyle w:val="TablebodyleftFinancialsTables"/>
              <w:jc w:val="right"/>
              <w:rPr>
                <w:rFonts w:asciiTheme="minorHAnsi" w:hAnsiTheme="minorHAnsi" w:cstheme="minorHAnsi"/>
                <w:b/>
                <w:bCs/>
                <w:sz w:val="16"/>
              </w:rPr>
            </w:pPr>
            <w:r w:rsidRPr="003D7A81">
              <w:rPr>
                <w:rFonts w:asciiTheme="minorHAnsi" w:hAnsiTheme="minorHAnsi" w:cstheme="minorHAnsi"/>
                <w:b/>
                <w:bCs/>
                <w:sz w:val="16"/>
              </w:rPr>
              <w:t>57,295</w:t>
            </w:r>
          </w:p>
        </w:tc>
        <w:tc>
          <w:tcPr>
            <w:tcW w:w="840" w:type="dxa"/>
          </w:tcPr>
          <w:p w14:paraId="7B575576" w14:textId="77777777" w:rsidR="00B02873" w:rsidRPr="003D7A81" w:rsidRDefault="00B02873" w:rsidP="003D7A81">
            <w:pPr>
              <w:pStyle w:val="TablebodyleftFinancialsTables"/>
              <w:jc w:val="right"/>
              <w:rPr>
                <w:rFonts w:asciiTheme="minorHAnsi" w:hAnsiTheme="minorHAnsi" w:cstheme="minorHAnsi"/>
                <w:b/>
                <w:bCs/>
                <w:sz w:val="16"/>
              </w:rPr>
            </w:pPr>
            <w:r w:rsidRPr="003D7A81">
              <w:rPr>
                <w:rFonts w:asciiTheme="minorHAnsi" w:hAnsiTheme="minorHAnsi" w:cstheme="minorHAnsi"/>
                <w:b/>
                <w:bCs/>
                <w:sz w:val="16"/>
              </w:rPr>
              <w:t>217,144</w:t>
            </w:r>
          </w:p>
        </w:tc>
        <w:tc>
          <w:tcPr>
            <w:tcW w:w="840" w:type="dxa"/>
          </w:tcPr>
          <w:p w14:paraId="607687FA" w14:textId="77777777" w:rsidR="00B02873" w:rsidRPr="003D7A81" w:rsidRDefault="00B02873" w:rsidP="003D7A81">
            <w:pPr>
              <w:pStyle w:val="TablebodyleftFinancialsTables"/>
              <w:jc w:val="right"/>
              <w:rPr>
                <w:rFonts w:asciiTheme="minorHAnsi" w:hAnsiTheme="minorHAnsi" w:cstheme="minorHAnsi"/>
                <w:b/>
                <w:bCs/>
                <w:sz w:val="16"/>
              </w:rPr>
            </w:pPr>
            <w:r w:rsidRPr="003D7A81">
              <w:rPr>
                <w:rFonts w:asciiTheme="minorHAnsi" w:hAnsiTheme="minorHAnsi" w:cstheme="minorHAnsi"/>
                <w:b/>
                <w:bCs/>
                <w:sz w:val="16"/>
              </w:rPr>
              <w:t>677,140</w:t>
            </w:r>
          </w:p>
        </w:tc>
        <w:tc>
          <w:tcPr>
            <w:tcW w:w="840" w:type="dxa"/>
          </w:tcPr>
          <w:p w14:paraId="3E4B6241" w14:textId="77777777" w:rsidR="00B02873" w:rsidRPr="003D7A81" w:rsidRDefault="00B02873" w:rsidP="003D7A81">
            <w:pPr>
              <w:pStyle w:val="TablebodyleftFinancialsTables"/>
              <w:jc w:val="right"/>
              <w:rPr>
                <w:rFonts w:asciiTheme="minorHAnsi" w:hAnsiTheme="minorHAnsi" w:cstheme="minorHAnsi"/>
                <w:b/>
                <w:bCs/>
                <w:sz w:val="16"/>
              </w:rPr>
            </w:pPr>
            <w:r w:rsidRPr="003D7A81">
              <w:rPr>
                <w:rFonts w:asciiTheme="minorHAnsi" w:hAnsiTheme="minorHAnsi" w:cstheme="minorHAnsi"/>
                <w:b/>
                <w:bCs/>
                <w:sz w:val="16"/>
              </w:rPr>
              <w:t>1,847</w:t>
            </w:r>
          </w:p>
        </w:tc>
        <w:tc>
          <w:tcPr>
            <w:tcW w:w="794" w:type="dxa"/>
          </w:tcPr>
          <w:p w14:paraId="6D0528AF" w14:textId="77777777" w:rsidR="00B02873" w:rsidRPr="003D7A81" w:rsidRDefault="00B02873" w:rsidP="003D7A81">
            <w:pPr>
              <w:pStyle w:val="TablebodyleftFinancialsTables"/>
              <w:jc w:val="right"/>
              <w:rPr>
                <w:rFonts w:asciiTheme="minorHAnsi" w:hAnsiTheme="minorHAnsi" w:cstheme="minorHAnsi"/>
                <w:b/>
                <w:bCs/>
                <w:sz w:val="16"/>
              </w:rPr>
            </w:pPr>
            <w:r w:rsidRPr="003D7A81">
              <w:rPr>
                <w:rFonts w:asciiTheme="minorHAnsi" w:hAnsiTheme="minorHAnsi" w:cstheme="minorHAnsi"/>
                <w:b/>
                <w:bCs/>
                <w:sz w:val="16"/>
              </w:rPr>
              <w:t>749,140</w:t>
            </w:r>
          </w:p>
        </w:tc>
        <w:tc>
          <w:tcPr>
            <w:tcW w:w="885" w:type="dxa"/>
          </w:tcPr>
          <w:p w14:paraId="79F6AFF1" w14:textId="77777777" w:rsidR="00B02873" w:rsidRPr="003D7A81" w:rsidRDefault="00B02873" w:rsidP="003D7A81">
            <w:pPr>
              <w:pStyle w:val="TablebodyleftFinancialsTables"/>
              <w:jc w:val="right"/>
              <w:rPr>
                <w:rFonts w:asciiTheme="minorHAnsi" w:hAnsiTheme="minorHAnsi" w:cstheme="minorHAnsi"/>
                <w:b/>
                <w:bCs/>
                <w:sz w:val="16"/>
              </w:rPr>
            </w:pPr>
            <w:r w:rsidRPr="003D7A81">
              <w:rPr>
                <w:rFonts w:asciiTheme="minorHAnsi" w:hAnsiTheme="minorHAnsi" w:cstheme="minorHAnsi"/>
                <w:b/>
                <w:bCs/>
                <w:sz w:val="16"/>
              </w:rPr>
              <w:t>68,448</w:t>
            </w:r>
          </w:p>
        </w:tc>
        <w:tc>
          <w:tcPr>
            <w:tcW w:w="840" w:type="dxa"/>
          </w:tcPr>
          <w:p w14:paraId="07C89FD3" w14:textId="77777777" w:rsidR="00B02873" w:rsidRPr="003D7A81" w:rsidRDefault="00B02873" w:rsidP="003D7A81">
            <w:pPr>
              <w:pStyle w:val="TablebodyleftFinancialsTables"/>
              <w:jc w:val="right"/>
              <w:rPr>
                <w:rFonts w:asciiTheme="minorHAnsi" w:hAnsiTheme="minorHAnsi" w:cstheme="minorHAnsi"/>
                <w:b/>
                <w:bCs/>
                <w:sz w:val="16"/>
              </w:rPr>
            </w:pPr>
            <w:r w:rsidRPr="003D7A81">
              <w:rPr>
                <w:rFonts w:asciiTheme="minorHAnsi" w:hAnsiTheme="minorHAnsi" w:cstheme="minorHAnsi"/>
                <w:b/>
                <w:bCs/>
                <w:sz w:val="16"/>
              </w:rPr>
              <w:t>47,243</w:t>
            </w:r>
          </w:p>
        </w:tc>
        <w:tc>
          <w:tcPr>
            <w:tcW w:w="1008" w:type="dxa"/>
          </w:tcPr>
          <w:p w14:paraId="36A80B17" w14:textId="77777777" w:rsidR="00B02873" w:rsidRPr="003D7A81" w:rsidRDefault="00B02873" w:rsidP="003D7A81">
            <w:pPr>
              <w:pStyle w:val="TablebodyleftFinancialsTables"/>
              <w:jc w:val="right"/>
              <w:rPr>
                <w:rFonts w:asciiTheme="minorHAnsi" w:hAnsiTheme="minorHAnsi" w:cstheme="minorHAnsi"/>
                <w:b/>
                <w:bCs/>
                <w:sz w:val="16"/>
              </w:rPr>
            </w:pPr>
            <w:r w:rsidRPr="003D7A81">
              <w:rPr>
                <w:rFonts w:asciiTheme="minorHAnsi" w:hAnsiTheme="minorHAnsi" w:cstheme="minorHAnsi"/>
                <w:b/>
                <w:bCs/>
                <w:sz w:val="16"/>
              </w:rPr>
              <w:t>71,362</w:t>
            </w:r>
          </w:p>
        </w:tc>
        <w:tc>
          <w:tcPr>
            <w:tcW w:w="793" w:type="dxa"/>
          </w:tcPr>
          <w:p w14:paraId="67BE35FD" w14:textId="77777777" w:rsidR="00B02873" w:rsidRPr="003D7A81" w:rsidRDefault="00B02873" w:rsidP="003D7A81">
            <w:pPr>
              <w:pStyle w:val="TablebodyleftFinancialsTables"/>
              <w:jc w:val="right"/>
              <w:rPr>
                <w:rFonts w:asciiTheme="minorHAnsi" w:hAnsiTheme="minorHAnsi" w:cstheme="minorHAnsi"/>
                <w:b/>
                <w:bCs/>
                <w:sz w:val="16"/>
              </w:rPr>
            </w:pPr>
            <w:r w:rsidRPr="003D7A81">
              <w:rPr>
                <w:rFonts w:asciiTheme="minorHAnsi" w:hAnsiTheme="minorHAnsi" w:cstheme="minorHAnsi"/>
                <w:b/>
                <w:bCs/>
                <w:sz w:val="16"/>
              </w:rPr>
              <w:t>4,530</w:t>
            </w:r>
          </w:p>
        </w:tc>
        <w:tc>
          <w:tcPr>
            <w:tcW w:w="873" w:type="dxa"/>
          </w:tcPr>
          <w:p w14:paraId="072A1370" w14:textId="77777777" w:rsidR="00B02873" w:rsidRPr="003D7A81" w:rsidRDefault="00B02873" w:rsidP="003D7A81">
            <w:pPr>
              <w:pStyle w:val="TablebodyleftFinancialsTables"/>
              <w:jc w:val="right"/>
              <w:rPr>
                <w:rFonts w:asciiTheme="minorHAnsi" w:hAnsiTheme="minorHAnsi" w:cstheme="minorHAnsi"/>
                <w:b/>
                <w:bCs/>
                <w:sz w:val="16"/>
              </w:rPr>
            </w:pPr>
            <w:r w:rsidRPr="003D7A81">
              <w:rPr>
                <w:rFonts w:asciiTheme="minorHAnsi" w:hAnsiTheme="minorHAnsi" w:cstheme="minorHAnsi"/>
                <w:b/>
                <w:bCs/>
                <w:spacing w:val="-7"/>
                <w:sz w:val="16"/>
              </w:rPr>
              <w:t>9,251,912</w:t>
            </w:r>
          </w:p>
        </w:tc>
      </w:tr>
    </w:tbl>
    <w:p w14:paraId="3E62BB2B" w14:textId="77777777" w:rsidR="00B02873" w:rsidRPr="003D7A81" w:rsidRDefault="00B02873" w:rsidP="003D7A81">
      <w:pPr>
        <w:pStyle w:val="SourceNote"/>
        <w:spacing w:after="120"/>
        <w:rPr>
          <w:b/>
          <w:bCs/>
        </w:rPr>
      </w:pPr>
      <w:r w:rsidRPr="003D7A81">
        <w:rPr>
          <w:b/>
          <w:bCs/>
        </w:rPr>
        <w:t>Note:</w:t>
      </w:r>
    </w:p>
    <w:p w14:paraId="6CB333A4" w14:textId="77777777" w:rsidR="00B02873" w:rsidRPr="003D7A81" w:rsidRDefault="00B02873" w:rsidP="001128B1">
      <w:pPr>
        <w:pStyle w:val="SourceNotenumbered"/>
        <w:numPr>
          <w:ilvl w:val="0"/>
          <w:numId w:val="31"/>
        </w:numPr>
        <w:spacing w:after="200"/>
        <w:ind w:left="357" w:hanging="357"/>
        <w:rPr>
          <w:rStyle w:val="LightItalic"/>
          <w:rFonts w:asciiTheme="minorHAnsi" w:hAnsiTheme="minorHAnsi" w:cstheme="minorHAnsi"/>
          <w:i/>
          <w:iCs w:val="0"/>
          <w:spacing w:val="-2"/>
        </w:rPr>
      </w:pPr>
      <w:r w:rsidRPr="003D7A81">
        <w:t xml:space="preserve">Land transferred to third parties is treated as a return of equity via administered expenses as per the requirements of FRD 117 </w:t>
      </w:r>
      <w:r w:rsidRPr="003D7A81">
        <w:rPr>
          <w:rStyle w:val="LightItalic"/>
          <w:rFonts w:asciiTheme="minorHAnsi" w:hAnsiTheme="minorHAnsi" w:cstheme="minorHAnsi"/>
        </w:rPr>
        <w:t>Contributions of Existing Non-Financial Assets to Third Parties</w:t>
      </w:r>
      <w:r w:rsidRPr="003D7A81">
        <w:t>.</w:t>
      </w:r>
    </w:p>
    <w:p w14:paraId="3F3DD287" w14:textId="77777777" w:rsidR="00F17710" w:rsidRPr="007B509E" w:rsidRDefault="00F17710" w:rsidP="00B02873">
      <w:pPr>
        <w:pStyle w:val="Heading4Headings"/>
        <w:rPr>
          <w:rFonts w:ascii="Arial" w:hAnsi="Arial" w:cs="VIC SemiBold Italic"/>
        </w:rPr>
        <w:sectPr w:rsidR="00F17710" w:rsidRPr="007B509E" w:rsidSect="00F17710">
          <w:pgSz w:w="16838" w:h="11906" w:orient="landscape" w:code="9"/>
          <w:pgMar w:top="1134" w:right="1134" w:bottom="1134" w:left="1134" w:header="720" w:footer="720" w:gutter="0"/>
          <w:cols w:space="720"/>
          <w:noEndnote/>
          <w:docGrid w:linePitch="299"/>
        </w:sectPr>
      </w:pPr>
    </w:p>
    <w:p w14:paraId="31D0FE4F" w14:textId="52A92D5B" w:rsidR="00B02873" w:rsidRDefault="00B02873" w:rsidP="003D7A81">
      <w:pPr>
        <w:pStyle w:val="Heading4"/>
      </w:pPr>
      <w:r>
        <w:lastRenderedPageBreak/>
        <w:t>Measurement</w:t>
      </w:r>
    </w:p>
    <w:p w14:paraId="39B8ED8C" w14:textId="77777777" w:rsidR="00B02873" w:rsidRDefault="00B02873" w:rsidP="003D7A81">
      <w:pPr>
        <w:pStyle w:val="Heading5"/>
      </w:pPr>
      <w:r>
        <w:t>Initial measurement</w:t>
      </w:r>
    </w:p>
    <w:p w14:paraId="067DED54" w14:textId="2DF7083D" w:rsidR="00B02873" w:rsidRDefault="00B02873" w:rsidP="00FE198A">
      <w:r>
        <w:t xml:space="preserve">All non-financial physical assets are measured initially at cost. Where an asset is acquired for no </w:t>
      </w:r>
      <w:r w:rsidR="003E48C2">
        <w:t xml:space="preserve"> </w:t>
      </w:r>
      <w:r>
        <w:t xml:space="preserve">or nominal cost, the cost is its fair value at the date of acquisition. Assets transferred as part of a Machinery of Government change are transferred at their carrying amount. </w:t>
      </w:r>
    </w:p>
    <w:p w14:paraId="28065E59" w14:textId="77777777" w:rsidR="00B02873" w:rsidRDefault="00B02873" w:rsidP="00FE198A">
      <w:r>
        <w:t xml:space="preserve">The cost of constructed non-financial physical assets includes the cost of all materials used in construction, direct labour on the project and an appropriate proportion of directly attributable variable and fixed overheads. </w:t>
      </w:r>
    </w:p>
    <w:p w14:paraId="175E43F7" w14:textId="77777777" w:rsidR="00B02873" w:rsidRDefault="00B02873" w:rsidP="00FE198A">
      <w:r>
        <w:t xml:space="preserve">The cost of leasehold improvements is capitalised and depreciated over the shorter of the remaining term of the lease or their estimated useful lives. </w:t>
      </w:r>
    </w:p>
    <w:p w14:paraId="16622716" w14:textId="77777777" w:rsidR="00B02873" w:rsidRDefault="00B02873" w:rsidP="00FE198A">
      <w:r>
        <w:t xml:space="preserve">The initial cost for non-financial physical assets under a finance lease is measured at amounts equal to the fair value of the leased asset or, if lower, the present value of the minimum lease payments, each determined at the inception of the lease. </w:t>
      </w:r>
    </w:p>
    <w:p w14:paraId="4E822DFD" w14:textId="43801FB2" w:rsidR="00B02873" w:rsidRDefault="00B02873" w:rsidP="00FE198A">
      <w:r>
        <w:t xml:space="preserve">The department capitalises expenditure on individual items of $5,000 (2021: $5,000) or more, and records these as non-financial assets. </w:t>
      </w:r>
    </w:p>
    <w:p w14:paraId="732B292F" w14:textId="254CC994" w:rsidR="00B02873" w:rsidRDefault="00B02873" w:rsidP="00FE198A">
      <w:r>
        <w:t>Aggregate expenditure on items that will, when completed, result in non-financial assets that provide future economic benefits is recognised as construction in progress.</w:t>
      </w:r>
    </w:p>
    <w:p w14:paraId="59D7EDF4" w14:textId="0DDE0B69" w:rsidR="00B02873" w:rsidRDefault="00B02873" w:rsidP="003D7A81">
      <w:pPr>
        <w:pStyle w:val="Heading5"/>
      </w:pPr>
      <w:r>
        <w:t>Right-of-use asset acquired by lessees – initial measurement</w:t>
      </w:r>
    </w:p>
    <w:p w14:paraId="4BD08979" w14:textId="77777777" w:rsidR="00B02873" w:rsidRDefault="00B02873" w:rsidP="003D7A81">
      <w:pPr>
        <w:pStyle w:val="Normalbeforebullet"/>
      </w:pPr>
      <w:r>
        <w:t>The department recognises a right-of-use asset and a lease liability at the lease commencement date. The right-of-use asset is initially measured at cost which comprises the initial amount of the lease liability adjusted for:</w:t>
      </w:r>
    </w:p>
    <w:p w14:paraId="1A36CD03" w14:textId="77777777" w:rsidR="00B02873" w:rsidRDefault="00B02873" w:rsidP="00B02873">
      <w:pPr>
        <w:pStyle w:val="Bullet1Lists"/>
      </w:pPr>
      <w:r>
        <w:t xml:space="preserve">any lease payments made at or before the commencement date; plus </w:t>
      </w:r>
    </w:p>
    <w:p w14:paraId="4363AEB4" w14:textId="77777777" w:rsidR="00B02873" w:rsidRDefault="00B02873" w:rsidP="00B02873">
      <w:pPr>
        <w:pStyle w:val="Bullet1Lists"/>
      </w:pPr>
      <w:r>
        <w:t>any initial direct costs incurred; and</w:t>
      </w:r>
    </w:p>
    <w:p w14:paraId="6231F539" w14:textId="77777777" w:rsidR="00B02873" w:rsidRDefault="00B02873" w:rsidP="00B02873">
      <w:pPr>
        <w:pStyle w:val="Bullet1Lists"/>
      </w:pPr>
      <w:r>
        <w:t xml:space="preserve">an estimate of costs to dismantle and remove the underlying asset or to restore the underlying asset or the site on which it is located, less </w:t>
      </w:r>
    </w:p>
    <w:p w14:paraId="319970A3" w14:textId="77777777" w:rsidR="00B02873" w:rsidRDefault="00B02873" w:rsidP="003D7A81">
      <w:pPr>
        <w:pStyle w:val="Bullet1Listslast"/>
      </w:pPr>
      <w:r>
        <w:t>any lease incentive received.</w:t>
      </w:r>
    </w:p>
    <w:p w14:paraId="6682EA64" w14:textId="77777777" w:rsidR="00B02873" w:rsidRDefault="00B02873" w:rsidP="003D7A81">
      <w:pPr>
        <w:pStyle w:val="Heading5"/>
      </w:pPr>
      <w:r>
        <w:t>Subsequent measurement</w:t>
      </w:r>
    </w:p>
    <w:p w14:paraId="4766DB9D" w14:textId="77777777" w:rsidR="00B02873" w:rsidRDefault="00B02873" w:rsidP="00FE198A">
      <w:r>
        <w:t>Property, plant and equipment (PPE) as well as right-of-use assets under leases are subsequently measured at fair value less accumulated depreciation and impairment. Fair value is determined with regard to the asset’s highest and best use (considering legal or physical restrictions imposed on the asset, public announcements or commitments made in relation to the intended use of the asset) and is summarised on the following page by asset category. In addition, for right-of-use assets the net present value of the remaining lease payments is often the appropriate proxy for fair value of relevant right-of-use assets.</w:t>
      </w:r>
    </w:p>
    <w:p w14:paraId="5003F558" w14:textId="1A686A0D" w:rsidR="00B02873" w:rsidRDefault="00B02873" w:rsidP="003D7A81">
      <w:pPr>
        <w:pStyle w:val="Heading5"/>
      </w:pPr>
      <w:r>
        <w:t>Right-of-use asset acquired by lessees – subsequent measurement</w:t>
      </w:r>
    </w:p>
    <w:p w14:paraId="42E80C9B" w14:textId="77777777" w:rsidR="00B02873" w:rsidRDefault="00B02873" w:rsidP="00FE198A">
      <w:r>
        <w:t xml:space="preserve">The department depreciates the right-of-use assets on a straight line basis from the lease commencement date to the earlier of the end of the useful life of the right-of-use asset or the end of the lease term. The estimated useful life of the right-of-use assets are determined on the same basis as PPE. The right-of-use assets are also subject to revaluation as required by FRD 103. </w:t>
      </w:r>
    </w:p>
    <w:p w14:paraId="5B3875C4" w14:textId="77777777" w:rsidR="00B02873" w:rsidRDefault="00B02873" w:rsidP="00FE198A">
      <w:r>
        <w:t>In addition, the right-of-use asset is periodically reduced by impairment losses, if any and adjusted for certain remeasurements of the lease liability.</w:t>
      </w:r>
    </w:p>
    <w:p w14:paraId="200AC9C8" w14:textId="77777777" w:rsidR="00B02873" w:rsidRDefault="00B02873" w:rsidP="00FA728F">
      <w:pPr>
        <w:pStyle w:val="Heading4"/>
      </w:pPr>
      <w:r>
        <w:lastRenderedPageBreak/>
        <w:t>Property, plant and equipment classifications</w:t>
      </w:r>
    </w:p>
    <w:p w14:paraId="58EBAE82" w14:textId="77777777" w:rsidR="00B02873" w:rsidRDefault="00B02873" w:rsidP="00FA728F">
      <w:pPr>
        <w:pStyle w:val="Heading5"/>
      </w:pPr>
      <w:r>
        <w:t>Freehold land</w:t>
      </w:r>
    </w:p>
    <w:p w14:paraId="64929B8C" w14:textId="74F365BE" w:rsidR="00B02873" w:rsidRDefault="00B02873" w:rsidP="00FE198A">
      <w:r>
        <w:t>Freehold land consists of land held or being acquired for the purpose of various government objectives such as planning for community open spaces and delivering other public and environmental purposes.</w:t>
      </w:r>
      <w:r w:rsidR="00012C04">
        <w:t xml:space="preserve"> </w:t>
      </w:r>
    </w:p>
    <w:p w14:paraId="67664065" w14:textId="77777777" w:rsidR="00B02873" w:rsidRDefault="00B02873" w:rsidP="00FA728F">
      <w:pPr>
        <w:pStyle w:val="Heading5"/>
      </w:pPr>
      <w:r>
        <w:t>Crown land</w:t>
      </w:r>
    </w:p>
    <w:p w14:paraId="58C14A2B" w14:textId="77777777" w:rsidR="00B02873" w:rsidRDefault="00B02873" w:rsidP="00FE198A">
      <w:r>
        <w:t>The department’s Crown land holdings include land being held or being acquired for the following Crown land categories.</w:t>
      </w:r>
    </w:p>
    <w:p w14:paraId="0A47278B" w14:textId="77777777" w:rsidR="00B02873" w:rsidRDefault="00B02873" w:rsidP="00FA728F">
      <w:pPr>
        <w:pStyle w:val="Heading5"/>
        <w:rPr>
          <w:rStyle w:val="Bold"/>
          <w:b w:val="0"/>
          <w:bCs w:val="0"/>
        </w:rPr>
      </w:pPr>
      <w:r>
        <w:t>Land and unused roads</w:t>
      </w:r>
    </w:p>
    <w:p w14:paraId="66C4C3C1" w14:textId="77777777" w:rsidR="00B02873" w:rsidRDefault="00B02873" w:rsidP="00FE198A">
      <w:r>
        <w:t>Reserved and unreserved land acquired and held by the department for future reservation purposes. Unused roads consist of roads that have been closed for public purposes.</w:t>
      </w:r>
    </w:p>
    <w:p w14:paraId="2596AF29" w14:textId="77777777" w:rsidR="00B02873" w:rsidRDefault="00B02873" w:rsidP="00FA728F">
      <w:pPr>
        <w:pStyle w:val="Heading5"/>
      </w:pPr>
      <w:r>
        <w:t>National and metropolitan parks</w:t>
      </w:r>
    </w:p>
    <w:p w14:paraId="20CA8EE3" w14:textId="77777777" w:rsidR="00B02873" w:rsidRDefault="00B02873" w:rsidP="00FE198A">
      <w:r>
        <w:t xml:space="preserve">The area of public land set aside as national and metropolitan parks, which include state parks, wilderness parks, and other parks established under the </w:t>
      </w:r>
      <w:r w:rsidRPr="00FA728F">
        <w:rPr>
          <w:rStyle w:val="LightItalic"/>
          <w:rFonts w:asciiTheme="minorHAnsi" w:hAnsiTheme="minorHAnsi" w:cstheme="minorHAnsi"/>
        </w:rPr>
        <w:t>National Parks Act 1975</w:t>
      </w:r>
      <w:r>
        <w:t xml:space="preserve">, comprises a diverse range of Crown land parcels permanently reserved for the benefit of the public. </w:t>
      </w:r>
    </w:p>
    <w:p w14:paraId="15D86FE3" w14:textId="77777777" w:rsidR="00B02873" w:rsidRDefault="00B02873" w:rsidP="00FA728F">
      <w:pPr>
        <w:pStyle w:val="Heading5"/>
      </w:pPr>
      <w:r>
        <w:t>State forests</w:t>
      </w:r>
    </w:p>
    <w:p w14:paraId="2B490DA4" w14:textId="629571EC" w:rsidR="00B02873" w:rsidRDefault="00B02873" w:rsidP="00FE198A">
      <w:r>
        <w:t xml:space="preserve">State forests include Crown land parcels managed to balance a variety of uses. These uses include conserving flora and fauna, protecting water catchments and water supply, providing timber for sustainable forestry, protecting landscape, archaeological and historic values, and providing recreational and educational opportunities. </w:t>
      </w:r>
    </w:p>
    <w:p w14:paraId="2C9D0C92" w14:textId="77777777" w:rsidR="00B02873" w:rsidRDefault="00B02873" w:rsidP="00FA728F">
      <w:pPr>
        <w:pStyle w:val="Heading5"/>
      </w:pPr>
      <w:r>
        <w:t>Conservation reserves</w:t>
      </w:r>
    </w:p>
    <w:p w14:paraId="1FF7F52A" w14:textId="77777777" w:rsidR="00B02873" w:rsidRDefault="00B02873" w:rsidP="00FE198A">
      <w:r>
        <w:t>Land conservation reserves include Crown land parcels set aside for conservation of specific ecosystems, animal and plant species, geomorphological features, and significant historical and cultural qualities.</w:t>
      </w:r>
    </w:p>
    <w:p w14:paraId="0685019C" w14:textId="77777777" w:rsidR="00B02873" w:rsidRDefault="00B02873" w:rsidP="00FA728F">
      <w:pPr>
        <w:pStyle w:val="Heading5"/>
      </w:pPr>
      <w:r>
        <w:t>Land used for operational purposes</w:t>
      </w:r>
    </w:p>
    <w:p w14:paraId="379B7DBD" w14:textId="77777777" w:rsidR="00B02873" w:rsidRDefault="00B02873" w:rsidP="00FE198A">
      <w:r>
        <w:t xml:space="preserve">Crown land used for operational purposes for delivering the department’s objectives. This includes various operational depots around the state of Victoria. </w:t>
      </w:r>
    </w:p>
    <w:p w14:paraId="63337ABF" w14:textId="77777777" w:rsidR="00B02873" w:rsidRDefault="00B02873" w:rsidP="00FA728F">
      <w:pPr>
        <w:pStyle w:val="Heading5"/>
      </w:pPr>
      <w:r>
        <w:t>Land purchase in progress</w:t>
      </w:r>
    </w:p>
    <w:p w14:paraId="48F8EF57" w14:textId="1A40585B" w:rsidR="00B02873" w:rsidRDefault="00B02873" w:rsidP="00FE198A">
      <w:r>
        <w:t xml:space="preserve">Land purchase in progress is land that has been acquired and compulsory acquisitions that are in the process of being acquired by the government to be combined or divided to achieve various government objectives. </w:t>
      </w:r>
    </w:p>
    <w:p w14:paraId="1102C369" w14:textId="77777777" w:rsidR="00B02873" w:rsidRDefault="00B02873" w:rsidP="00FA728F">
      <w:pPr>
        <w:pStyle w:val="Heading5"/>
      </w:pPr>
      <w:r>
        <w:t>Buildings and structures</w:t>
      </w:r>
    </w:p>
    <w:p w14:paraId="320F4EB7" w14:textId="77777777" w:rsidR="00B02873" w:rsidRDefault="00B02873" w:rsidP="00FE198A">
      <w:r>
        <w:t xml:space="preserve">Consist of buildings and structures used to achieve the departments objectives. This includes departmental depot sites, fire towers, bores, crossings and leasehold improvements. </w:t>
      </w:r>
    </w:p>
    <w:p w14:paraId="104B8578" w14:textId="77777777" w:rsidR="00B02873" w:rsidRDefault="00B02873" w:rsidP="00FA728F">
      <w:pPr>
        <w:pStyle w:val="Heading5"/>
      </w:pPr>
      <w:r>
        <w:t>Plant and equipment</w:t>
      </w:r>
    </w:p>
    <w:p w14:paraId="3C4C0EE8" w14:textId="318A6AEF" w:rsidR="00B02873" w:rsidRDefault="00B02873" w:rsidP="00FE198A">
      <w:r>
        <w:t xml:space="preserve">Consist of vehicles, workshops and other field and office equipment. </w:t>
      </w:r>
    </w:p>
    <w:p w14:paraId="4CE4AA9B" w14:textId="77777777" w:rsidR="00B02873" w:rsidRDefault="00B02873" w:rsidP="00FA728F">
      <w:pPr>
        <w:pStyle w:val="Heading5"/>
      </w:pPr>
      <w:r>
        <w:lastRenderedPageBreak/>
        <w:t xml:space="preserve">Roads </w:t>
      </w:r>
    </w:p>
    <w:p w14:paraId="7B71CB5B" w14:textId="77777777" w:rsidR="00B02873" w:rsidRDefault="00B02873" w:rsidP="00FA728F">
      <w:pPr>
        <w:pStyle w:val="Normalbeforebullet"/>
      </w:pPr>
      <w:r>
        <w:t>The roads, tracks and trails managed by the department are defined as Rural Class 5 and are sub-divided into five sub-classes as follows:</w:t>
      </w:r>
    </w:p>
    <w:p w14:paraId="57935419" w14:textId="77777777" w:rsidR="00B02873" w:rsidRDefault="00B02873" w:rsidP="00B02873">
      <w:pPr>
        <w:pStyle w:val="Bullet1Lists"/>
      </w:pPr>
      <w:r>
        <w:t>5A Primary roads: all-weather road, predominantly two lanes and mainly sealed</w:t>
      </w:r>
    </w:p>
    <w:p w14:paraId="4A0E2E9B" w14:textId="77777777" w:rsidR="00B02873" w:rsidRDefault="00B02873" w:rsidP="00B02873">
      <w:pPr>
        <w:pStyle w:val="Bullet1Lists"/>
      </w:pPr>
      <w:r>
        <w:t>5B Secondary roads: all-weather two lane road, formed and gravelled or single lane sealed road with gravel shoulders</w:t>
      </w:r>
    </w:p>
    <w:p w14:paraId="1D1EBCE3" w14:textId="77777777" w:rsidR="00B02873" w:rsidRDefault="00B02873" w:rsidP="00B02873">
      <w:pPr>
        <w:pStyle w:val="Bullet1Lists"/>
      </w:pPr>
      <w:r>
        <w:t>5C Minor roads: generally all-weather, single lane two-way unsealed formed road, usually lightly gravelled</w:t>
      </w:r>
    </w:p>
    <w:p w14:paraId="3F411C5E" w14:textId="26351E6E" w:rsidR="00B02873" w:rsidRDefault="00B02873" w:rsidP="00B02873">
      <w:pPr>
        <w:pStyle w:val="Bullet1Lists"/>
      </w:pPr>
      <w:r>
        <w:t>5D Access roads: substantially single lane, two-way, generally dry weather formed (natural materials) road</w:t>
      </w:r>
    </w:p>
    <w:p w14:paraId="3FEA1C10" w14:textId="5EDD2000" w:rsidR="00B02873" w:rsidRDefault="00B02873" w:rsidP="00FA728F">
      <w:pPr>
        <w:pStyle w:val="Bullet1Listslast"/>
      </w:pPr>
      <w:r>
        <w:t>5E Tracks and trails: predominantly single lane, two-way earth tracks (unformed) at or near the natural surface level.</w:t>
      </w:r>
      <w:r w:rsidR="00012C04">
        <w:t xml:space="preserve"> </w:t>
      </w:r>
      <w:r>
        <w:t>Costs are expensed as incurred, because these tracks and trails have a useful life of less than one year.</w:t>
      </w:r>
    </w:p>
    <w:p w14:paraId="13436A75" w14:textId="77777777" w:rsidR="00B02873" w:rsidRDefault="00B02873" w:rsidP="00FA728F">
      <w:pPr>
        <w:pStyle w:val="Heading5"/>
      </w:pPr>
      <w:r>
        <w:t>Assets under construction</w:t>
      </w:r>
    </w:p>
    <w:p w14:paraId="1C57B969" w14:textId="6421891F" w:rsidR="00B02873" w:rsidRDefault="00B02873" w:rsidP="00FE198A">
      <w:r>
        <w:t xml:space="preserve">Consist of cost relating to the construction of building and structures in progress. </w:t>
      </w:r>
    </w:p>
    <w:p w14:paraId="6C70BFBE" w14:textId="77777777" w:rsidR="00B02873" w:rsidRDefault="00B02873" w:rsidP="00FA728F">
      <w:pPr>
        <w:pStyle w:val="Heading5"/>
      </w:pPr>
      <w:r>
        <w:t xml:space="preserve">Historic and cultural assets </w:t>
      </w:r>
    </w:p>
    <w:p w14:paraId="3C78CA9E" w14:textId="77777777" w:rsidR="00B02873" w:rsidRDefault="00B02873" w:rsidP="00FE198A">
      <w:r>
        <w:t xml:space="preserve">The department also hold historic and cultural assets that the department intends to preserve because of their unique historical, cultural or environmental attributes. </w:t>
      </w:r>
    </w:p>
    <w:p w14:paraId="0101ED23" w14:textId="77777777" w:rsidR="00B02873" w:rsidRDefault="00B02873" w:rsidP="00FE198A">
      <w:r>
        <w:t>Fair value for plant and equipment that are specialised in use (such that it is rarely sold other than as part of a going concern) is determined using the current replacement cost method.</w:t>
      </w:r>
    </w:p>
    <w:p w14:paraId="41F3141B" w14:textId="77777777" w:rsidR="00B02873" w:rsidRDefault="00B02873" w:rsidP="00FE198A">
      <w:r>
        <w:t xml:space="preserve">Refer to Note 5.1.3 for information on fair value determination of property, plant and equipment. </w:t>
      </w:r>
    </w:p>
    <w:p w14:paraId="25573916" w14:textId="77777777" w:rsidR="00B02873" w:rsidRDefault="00B02873" w:rsidP="00FA728F">
      <w:pPr>
        <w:pStyle w:val="Heading4"/>
      </w:pPr>
      <w:r>
        <w:t>5.1.2 Depreciation, amortisation and impairment</w:t>
      </w:r>
    </w:p>
    <w:p w14:paraId="1E35C7CD" w14:textId="77777777" w:rsidR="00B02873" w:rsidRDefault="00B02873" w:rsidP="00FE198A">
      <w:r>
        <w:t xml:space="preserve">Depreciation is an expense that arises from the consumption through wear or time of a produced physical asset. </w:t>
      </w:r>
    </w:p>
    <w:p w14:paraId="103ECFE7" w14:textId="77777777" w:rsidR="00B02873" w:rsidRDefault="00B02873" w:rsidP="00FE198A">
      <w:r>
        <w:t xml:space="preserve">All items of property, plant and equipment that have finite useful lives, are depreciated. Exceptions to this rule are assets under construction, assets held for sale and land. </w:t>
      </w:r>
    </w:p>
    <w:p w14:paraId="54BA8EE2" w14:textId="77777777" w:rsidR="00B02873" w:rsidRDefault="00B02873" w:rsidP="00FE198A">
      <w:r>
        <w:t>Intangible assets are amortised.</w:t>
      </w:r>
    </w:p>
    <w:p w14:paraId="14085643" w14:textId="5E9F0E07" w:rsidR="00B02873" w:rsidRDefault="00B02873" w:rsidP="00FE198A">
      <w:r>
        <w:t>These expenses are classified as a ‘transaction’ and reduces the ‘net result from transactions’.</w:t>
      </w:r>
    </w:p>
    <w:p w14:paraId="16EA0899" w14:textId="0F2E7315" w:rsidR="00FA728F" w:rsidRDefault="00FA728F" w:rsidP="00FE198A">
      <w:r>
        <w:t>Depreciation and amortisation is calculated on a straight-line basis, at rates that allocate the asset’s value, less any estimated residual value, over its estimated useful life. The following estimated useful lives for the different asset classes for current and prior years are used in the calculation of depreciation and amortisation:</w:t>
      </w:r>
    </w:p>
    <w:tbl>
      <w:tblPr>
        <w:tblStyle w:val="TableGrid"/>
        <w:tblW w:w="0" w:type="auto"/>
        <w:tblLayout w:type="fixed"/>
        <w:tblLook w:val="0020" w:firstRow="1" w:lastRow="0" w:firstColumn="0" w:lastColumn="0" w:noHBand="0" w:noVBand="0"/>
      </w:tblPr>
      <w:tblGrid>
        <w:gridCol w:w="5665"/>
        <w:gridCol w:w="2127"/>
      </w:tblGrid>
      <w:tr w:rsidR="00B02873" w:rsidRPr="00B02873" w14:paraId="2EF4CFD1" w14:textId="77777777" w:rsidTr="00FA728F">
        <w:trPr>
          <w:cnfStyle w:val="100000000000" w:firstRow="1" w:lastRow="0" w:firstColumn="0" w:lastColumn="0" w:oddVBand="0" w:evenVBand="0" w:oddHBand="0" w:evenHBand="0" w:firstRowFirstColumn="0" w:firstRowLastColumn="0" w:lastRowFirstColumn="0" w:lastRowLastColumn="0"/>
          <w:tblHeader/>
        </w:trPr>
        <w:tc>
          <w:tcPr>
            <w:tcW w:w="5665" w:type="dxa"/>
          </w:tcPr>
          <w:p w14:paraId="1EE1F9DF" w14:textId="0401B829" w:rsidR="00B02873" w:rsidRDefault="00B02873" w:rsidP="009B5710">
            <w:pPr>
              <w:pStyle w:val="TableheadingleftFinancialsTables"/>
            </w:pPr>
            <w:r>
              <w:t>Asset class</w:t>
            </w:r>
          </w:p>
        </w:tc>
        <w:tc>
          <w:tcPr>
            <w:tcW w:w="2127" w:type="dxa"/>
          </w:tcPr>
          <w:p w14:paraId="5E3B95F5" w14:textId="77777777" w:rsidR="00B02873" w:rsidRDefault="00B02873" w:rsidP="00FA728F">
            <w:pPr>
              <w:pStyle w:val="TableheadingleftFinancialsTables"/>
              <w:jc w:val="right"/>
            </w:pPr>
            <w:r>
              <w:t>Useful life</w:t>
            </w:r>
          </w:p>
        </w:tc>
      </w:tr>
      <w:tr w:rsidR="00B02873" w:rsidRPr="00B02873" w14:paraId="482AC5ED" w14:textId="77777777" w:rsidTr="00FA728F">
        <w:tc>
          <w:tcPr>
            <w:tcW w:w="5665" w:type="dxa"/>
          </w:tcPr>
          <w:p w14:paraId="00D5496A" w14:textId="77777777" w:rsidR="00B02873" w:rsidRDefault="00B02873" w:rsidP="00FA728F">
            <w:pPr>
              <w:pStyle w:val="TablebodyleftTables"/>
            </w:pPr>
            <w:r>
              <w:t>Buildings and structures (including right of use assets)</w:t>
            </w:r>
          </w:p>
        </w:tc>
        <w:tc>
          <w:tcPr>
            <w:tcW w:w="2127" w:type="dxa"/>
          </w:tcPr>
          <w:p w14:paraId="116E1BBC" w14:textId="77777777" w:rsidR="00B02873" w:rsidRDefault="00B02873" w:rsidP="00FA728F">
            <w:pPr>
              <w:pStyle w:val="TablebodyleftTables"/>
              <w:jc w:val="right"/>
            </w:pPr>
            <w:r>
              <w:t>1 to 100 years</w:t>
            </w:r>
          </w:p>
        </w:tc>
      </w:tr>
      <w:tr w:rsidR="00B02873" w:rsidRPr="00B02873" w14:paraId="07161247" w14:textId="77777777" w:rsidTr="00FA728F">
        <w:tc>
          <w:tcPr>
            <w:tcW w:w="5665" w:type="dxa"/>
          </w:tcPr>
          <w:p w14:paraId="2BF7F725" w14:textId="77777777" w:rsidR="00B02873" w:rsidRDefault="00B02873" w:rsidP="00FA728F">
            <w:pPr>
              <w:pStyle w:val="TablebodyleftTables"/>
            </w:pPr>
            <w:r>
              <w:t>Roads</w:t>
            </w:r>
          </w:p>
        </w:tc>
        <w:tc>
          <w:tcPr>
            <w:tcW w:w="2127" w:type="dxa"/>
          </w:tcPr>
          <w:p w14:paraId="62D100BC" w14:textId="77777777" w:rsidR="00B02873" w:rsidRDefault="00B02873" w:rsidP="00FA728F">
            <w:pPr>
              <w:pStyle w:val="TablebodyleftTables"/>
              <w:jc w:val="right"/>
            </w:pPr>
            <w:r>
              <w:t>80 years</w:t>
            </w:r>
          </w:p>
        </w:tc>
      </w:tr>
      <w:tr w:rsidR="00B02873" w:rsidRPr="00B02873" w14:paraId="778A7334" w14:textId="77777777" w:rsidTr="00FA728F">
        <w:tc>
          <w:tcPr>
            <w:tcW w:w="5665" w:type="dxa"/>
          </w:tcPr>
          <w:p w14:paraId="74C7E96F" w14:textId="77777777" w:rsidR="00B02873" w:rsidRDefault="00B02873" w:rsidP="00FA728F">
            <w:pPr>
              <w:pStyle w:val="TablebodyleftTables"/>
            </w:pPr>
            <w:r>
              <w:t>Plant and equipment (including right of use assets)</w:t>
            </w:r>
          </w:p>
        </w:tc>
        <w:tc>
          <w:tcPr>
            <w:tcW w:w="2127" w:type="dxa"/>
          </w:tcPr>
          <w:p w14:paraId="345337A5" w14:textId="77777777" w:rsidR="00B02873" w:rsidRDefault="00B02873" w:rsidP="00FA728F">
            <w:pPr>
              <w:pStyle w:val="TablebodyleftTables"/>
              <w:jc w:val="right"/>
            </w:pPr>
            <w:r>
              <w:t>1 to 42 years</w:t>
            </w:r>
          </w:p>
        </w:tc>
      </w:tr>
      <w:tr w:rsidR="00B02873" w:rsidRPr="00B02873" w14:paraId="3C98BAA1" w14:textId="77777777" w:rsidTr="00FA728F">
        <w:tc>
          <w:tcPr>
            <w:tcW w:w="5665" w:type="dxa"/>
          </w:tcPr>
          <w:p w14:paraId="15728FEC" w14:textId="77777777" w:rsidR="00B02873" w:rsidRDefault="00B02873" w:rsidP="00FA728F">
            <w:pPr>
              <w:pStyle w:val="TablebodyleftTables"/>
            </w:pPr>
            <w:r>
              <w:t xml:space="preserve">Intangible assets </w:t>
            </w:r>
          </w:p>
        </w:tc>
        <w:tc>
          <w:tcPr>
            <w:tcW w:w="2127" w:type="dxa"/>
          </w:tcPr>
          <w:p w14:paraId="6708184A" w14:textId="77777777" w:rsidR="00B02873" w:rsidRDefault="00B02873" w:rsidP="00FA728F">
            <w:pPr>
              <w:pStyle w:val="TablebodyleftTables"/>
              <w:jc w:val="right"/>
            </w:pPr>
            <w:r>
              <w:t>3 to 10 years</w:t>
            </w:r>
          </w:p>
        </w:tc>
      </w:tr>
    </w:tbl>
    <w:p w14:paraId="4A3C93F8" w14:textId="77777777" w:rsidR="00B02873" w:rsidRDefault="00B02873" w:rsidP="00FE198A"/>
    <w:p w14:paraId="11057700" w14:textId="1E2AA2A6" w:rsidR="00B02873" w:rsidRDefault="00B02873" w:rsidP="00FE198A">
      <w:r>
        <w:lastRenderedPageBreak/>
        <w:t>The estimated useful lives, residual values and depreciation method are reviewed at the end of each annual reporting period and adjustments made where appropriate.</w:t>
      </w:r>
    </w:p>
    <w:p w14:paraId="19B2EFAD" w14:textId="64AE7426" w:rsidR="00B02873" w:rsidRDefault="00B02873" w:rsidP="00FE198A">
      <w:r>
        <w:t>Right-of-use assets are generally depreciated over the shorter of the asset’s useful life and the lease term. Where the department obtains ownership of the underlying leased asset or if the cost of the right-of-use asset reflects that the entity will exercise a purchase option, the entity depreciates the right-of-use asset over its useful life.</w:t>
      </w:r>
    </w:p>
    <w:p w14:paraId="00A18DED" w14:textId="13AAB857" w:rsidR="00B02873" w:rsidRDefault="00B02873" w:rsidP="00FE198A">
      <w:r>
        <w:t>Historic and cultural assets have been assessed to have an indefinite useful life. Depreciation is not recognised in respect of these assets because their service potential has not, in any material sense, been consumed during the reporting period.</w:t>
      </w:r>
    </w:p>
    <w:tbl>
      <w:tblPr>
        <w:tblStyle w:val="TableGrid"/>
        <w:tblW w:w="9638" w:type="dxa"/>
        <w:tblLayout w:type="fixed"/>
        <w:tblLook w:val="0020" w:firstRow="1" w:lastRow="0" w:firstColumn="0" w:lastColumn="0" w:noHBand="0" w:noVBand="0"/>
      </w:tblPr>
      <w:tblGrid>
        <w:gridCol w:w="7257"/>
        <w:gridCol w:w="1190"/>
        <w:gridCol w:w="1191"/>
      </w:tblGrid>
      <w:tr w:rsidR="00B02873" w:rsidRPr="00B02873" w14:paraId="46D2BDFA" w14:textId="77777777" w:rsidTr="00171EB1">
        <w:trPr>
          <w:cnfStyle w:val="100000000000" w:firstRow="1" w:lastRow="0" w:firstColumn="0" w:lastColumn="0" w:oddVBand="0" w:evenVBand="0" w:oddHBand="0" w:evenHBand="0" w:firstRowFirstColumn="0" w:firstRowLastColumn="0" w:lastRowFirstColumn="0" w:lastRowLastColumn="0"/>
          <w:tblHeader/>
        </w:trPr>
        <w:tc>
          <w:tcPr>
            <w:tcW w:w="7257" w:type="dxa"/>
          </w:tcPr>
          <w:p w14:paraId="1C4E373B" w14:textId="77777777" w:rsidR="00B02873" w:rsidRPr="00B02873" w:rsidRDefault="00B02873" w:rsidP="00171EB1">
            <w:pPr>
              <w:pStyle w:val="TableheadingleftFinancialsTables"/>
            </w:pPr>
          </w:p>
        </w:tc>
        <w:tc>
          <w:tcPr>
            <w:tcW w:w="1190" w:type="dxa"/>
          </w:tcPr>
          <w:p w14:paraId="7FA997AA" w14:textId="77777777" w:rsidR="00B02873" w:rsidRPr="00171EB1" w:rsidRDefault="00B02873" w:rsidP="00171EB1">
            <w:pPr>
              <w:pStyle w:val="TableheadingleftFinancialsTables"/>
              <w:jc w:val="right"/>
            </w:pPr>
            <w:r w:rsidRPr="00171EB1">
              <w:t>2022</w:t>
            </w:r>
            <w:r w:rsidRPr="00171EB1">
              <w:br/>
              <w:t>$’000</w:t>
            </w:r>
          </w:p>
        </w:tc>
        <w:tc>
          <w:tcPr>
            <w:tcW w:w="1191" w:type="dxa"/>
          </w:tcPr>
          <w:p w14:paraId="282C4EAB" w14:textId="77777777" w:rsidR="00B02873" w:rsidRDefault="00B02873" w:rsidP="00171EB1">
            <w:pPr>
              <w:pStyle w:val="TableheadingleftFinancialsTables"/>
              <w:jc w:val="right"/>
            </w:pPr>
            <w:r>
              <w:t>2021</w:t>
            </w:r>
            <w:r>
              <w:br/>
              <w:t>$’000</w:t>
            </w:r>
          </w:p>
        </w:tc>
      </w:tr>
      <w:tr w:rsidR="00B02873" w:rsidRPr="00B02873" w14:paraId="171227FA" w14:textId="77777777" w:rsidTr="00171EB1">
        <w:tc>
          <w:tcPr>
            <w:tcW w:w="7257" w:type="dxa"/>
          </w:tcPr>
          <w:p w14:paraId="1DCF0114" w14:textId="77777777" w:rsidR="00B02873" w:rsidRPr="00171EB1" w:rsidRDefault="00B02873" w:rsidP="00171EB1">
            <w:pPr>
              <w:pStyle w:val="TablebodyleftFinancialsTables"/>
              <w:rPr>
                <w:b/>
                <w:bCs/>
              </w:rPr>
            </w:pPr>
            <w:r w:rsidRPr="00171EB1">
              <w:rPr>
                <w:b/>
                <w:bCs/>
              </w:rPr>
              <w:t>Depreciation and amortisation</w:t>
            </w:r>
          </w:p>
        </w:tc>
        <w:tc>
          <w:tcPr>
            <w:tcW w:w="1190" w:type="dxa"/>
          </w:tcPr>
          <w:p w14:paraId="29692D44" w14:textId="77777777" w:rsidR="00B02873" w:rsidRPr="00171EB1" w:rsidRDefault="00B02873" w:rsidP="00171EB1">
            <w:pPr>
              <w:pStyle w:val="TablebodyleftFinancialsTables"/>
              <w:jc w:val="right"/>
              <w:rPr>
                <w:rFonts w:ascii="VIC Bold Italic" w:hAnsi="VIC Bold Italic" w:cs="Times New Roman"/>
                <w:b/>
                <w:bCs/>
              </w:rPr>
            </w:pPr>
          </w:p>
        </w:tc>
        <w:tc>
          <w:tcPr>
            <w:tcW w:w="1191" w:type="dxa"/>
          </w:tcPr>
          <w:p w14:paraId="42FA4ABE" w14:textId="77777777" w:rsidR="00B02873" w:rsidRPr="00B02873" w:rsidRDefault="00B02873" w:rsidP="00171EB1">
            <w:pPr>
              <w:pStyle w:val="TablebodyleftFinancialsTables"/>
              <w:jc w:val="right"/>
              <w:rPr>
                <w:rFonts w:ascii="VIC Bold Italic" w:hAnsi="VIC Bold Italic" w:cs="Times New Roman"/>
              </w:rPr>
            </w:pPr>
          </w:p>
        </w:tc>
      </w:tr>
      <w:tr w:rsidR="00B02873" w:rsidRPr="00B02873" w14:paraId="1785AEA9" w14:textId="77777777" w:rsidTr="00171EB1">
        <w:tc>
          <w:tcPr>
            <w:tcW w:w="7257" w:type="dxa"/>
          </w:tcPr>
          <w:p w14:paraId="2E946A34" w14:textId="77777777" w:rsidR="00B02873" w:rsidRPr="00171EB1" w:rsidRDefault="00B02873" w:rsidP="00171EB1">
            <w:pPr>
              <w:pStyle w:val="TablebodyleftFinancialsTables"/>
              <w:rPr>
                <w:b/>
                <w:bCs/>
              </w:rPr>
            </w:pPr>
            <w:r w:rsidRPr="00171EB1">
              <w:rPr>
                <w:b/>
                <w:bCs/>
              </w:rPr>
              <w:t>Property, plant and equipment</w:t>
            </w:r>
          </w:p>
        </w:tc>
        <w:tc>
          <w:tcPr>
            <w:tcW w:w="1190" w:type="dxa"/>
          </w:tcPr>
          <w:p w14:paraId="0EBB1234" w14:textId="77777777" w:rsidR="00B02873" w:rsidRPr="00171EB1" w:rsidRDefault="00B02873" w:rsidP="00171EB1">
            <w:pPr>
              <w:pStyle w:val="TablebodyleftFinancialsTables"/>
              <w:jc w:val="right"/>
              <w:rPr>
                <w:rFonts w:ascii="VIC Bold Italic" w:hAnsi="VIC Bold Italic" w:cs="Times New Roman"/>
                <w:b/>
                <w:bCs/>
              </w:rPr>
            </w:pPr>
          </w:p>
        </w:tc>
        <w:tc>
          <w:tcPr>
            <w:tcW w:w="1191" w:type="dxa"/>
          </w:tcPr>
          <w:p w14:paraId="39B6090B" w14:textId="77777777" w:rsidR="00B02873" w:rsidRPr="00B02873" w:rsidRDefault="00B02873" w:rsidP="00171EB1">
            <w:pPr>
              <w:pStyle w:val="TablebodyleftFinancialsTables"/>
              <w:jc w:val="right"/>
              <w:rPr>
                <w:rFonts w:ascii="VIC Bold Italic" w:hAnsi="VIC Bold Italic" w:cs="Times New Roman"/>
              </w:rPr>
            </w:pPr>
          </w:p>
        </w:tc>
      </w:tr>
      <w:tr w:rsidR="00B02873" w:rsidRPr="00B02873" w14:paraId="1285F60F" w14:textId="77777777" w:rsidTr="00171EB1">
        <w:tc>
          <w:tcPr>
            <w:tcW w:w="7257" w:type="dxa"/>
          </w:tcPr>
          <w:p w14:paraId="7E8A3DB1" w14:textId="77777777" w:rsidR="00B02873" w:rsidRDefault="00B02873" w:rsidP="00171EB1">
            <w:pPr>
              <w:pStyle w:val="TablebodyleftFinancialsTables"/>
            </w:pPr>
            <w:r>
              <w:t>Buildings and structures other than right of use</w:t>
            </w:r>
          </w:p>
        </w:tc>
        <w:tc>
          <w:tcPr>
            <w:tcW w:w="1190" w:type="dxa"/>
          </w:tcPr>
          <w:p w14:paraId="186DA744" w14:textId="77777777" w:rsidR="00B02873" w:rsidRPr="00171EB1" w:rsidRDefault="00B02873" w:rsidP="00171EB1">
            <w:pPr>
              <w:pStyle w:val="TablebodyleftFinancialsTables"/>
              <w:jc w:val="right"/>
              <w:rPr>
                <w:b/>
                <w:bCs/>
              </w:rPr>
            </w:pPr>
            <w:r w:rsidRPr="00171EB1">
              <w:rPr>
                <w:b/>
                <w:bCs/>
              </w:rPr>
              <w:t>(35,412)</w:t>
            </w:r>
          </w:p>
        </w:tc>
        <w:tc>
          <w:tcPr>
            <w:tcW w:w="1191" w:type="dxa"/>
          </w:tcPr>
          <w:p w14:paraId="41B687D6" w14:textId="77777777" w:rsidR="00B02873" w:rsidRDefault="00B02873" w:rsidP="00171EB1">
            <w:pPr>
              <w:pStyle w:val="TablebodyleftFinancialsTables"/>
              <w:jc w:val="right"/>
            </w:pPr>
            <w:r>
              <w:t>(22,066)</w:t>
            </w:r>
          </w:p>
        </w:tc>
      </w:tr>
      <w:tr w:rsidR="00B02873" w:rsidRPr="00B02873" w14:paraId="0CA2ADC3" w14:textId="77777777" w:rsidTr="00171EB1">
        <w:tc>
          <w:tcPr>
            <w:tcW w:w="7257" w:type="dxa"/>
          </w:tcPr>
          <w:p w14:paraId="383D64B5" w14:textId="77777777" w:rsidR="00B02873" w:rsidRDefault="00B02873" w:rsidP="00171EB1">
            <w:pPr>
              <w:pStyle w:val="TablebodyleftFinancialsTables"/>
            </w:pPr>
            <w:r>
              <w:t>Right of use buildings and structures</w:t>
            </w:r>
          </w:p>
        </w:tc>
        <w:tc>
          <w:tcPr>
            <w:tcW w:w="1190" w:type="dxa"/>
          </w:tcPr>
          <w:p w14:paraId="264D43A1" w14:textId="77777777" w:rsidR="00B02873" w:rsidRPr="00171EB1" w:rsidRDefault="00B02873" w:rsidP="00171EB1">
            <w:pPr>
              <w:pStyle w:val="TablebodyleftFinancialsTables"/>
              <w:jc w:val="right"/>
              <w:rPr>
                <w:b/>
                <w:bCs/>
              </w:rPr>
            </w:pPr>
            <w:r w:rsidRPr="00171EB1">
              <w:rPr>
                <w:b/>
                <w:bCs/>
              </w:rPr>
              <w:t>(680)</w:t>
            </w:r>
          </w:p>
        </w:tc>
        <w:tc>
          <w:tcPr>
            <w:tcW w:w="1191" w:type="dxa"/>
          </w:tcPr>
          <w:p w14:paraId="7D284316" w14:textId="77777777" w:rsidR="00B02873" w:rsidRDefault="00B02873" w:rsidP="00171EB1">
            <w:pPr>
              <w:pStyle w:val="TablebodyleftFinancialsTables"/>
              <w:jc w:val="right"/>
            </w:pPr>
            <w:r>
              <w:t>(1,423)</w:t>
            </w:r>
          </w:p>
        </w:tc>
      </w:tr>
      <w:tr w:rsidR="00B02873" w:rsidRPr="00B02873" w14:paraId="369B478C" w14:textId="77777777" w:rsidTr="00171EB1">
        <w:tc>
          <w:tcPr>
            <w:tcW w:w="7257" w:type="dxa"/>
          </w:tcPr>
          <w:p w14:paraId="57F0D49A" w14:textId="77777777" w:rsidR="00B02873" w:rsidRDefault="00B02873" w:rsidP="00171EB1">
            <w:pPr>
              <w:pStyle w:val="TablebodyleftFinancialsTables"/>
            </w:pPr>
            <w:r>
              <w:t xml:space="preserve">Roads </w:t>
            </w:r>
          </w:p>
        </w:tc>
        <w:tc>
          <w:tcPr>
            <w:tcW w:w="1190" w:type="dxa"/>
          </w:tcPr>
          <w:p w14:paraId="4D18EBB7" w14:textId="77777777" w:rsidR="00B02873" w:rsidRPr="00171EB1" w:rsidRDefault="00B02873" w:rsidP="00171EB1">
            <w:pPr>
              <w:pStyle w:val="TablebodyleftFinancialsTables"/>
              <w:jc w:val="right"/>
              <w:rPr>
                <w:b/>
                <w:bCs/>
              </w:rPr>
            </w:pPr>
            <w:r w:rsidRPr="00171EB1">
              <w:rPr>
                <w:b/>
                <w:bCs/>
              </w:rPr>
              <w:t>(24,057)</w:t>
            </w:r>
          </w:p>
        </w:tc>
        <w:tc>
          <w:tcPr>
            <w:tcW w:w="1191" w:type="dxa"/>
          </w:tcPr>
          <w:p w14:paraId="5017A82B" w14:textId="77777777" w:rsidR="00B02873" w:rsidRDefault="00B02873" w:rsidP="00171EB1">
            <w:pPr>
              <w:pStyle w:val="TablebodyleftFinancialsTables"/>
              <w:jc w:val="right"/>
            </w:pPr>
            <w:r>
              <w:t>(29,124)</w:t>
            </w:r>
          </w:p>
        </w:tc>
      </w:tr>
      <w:tr w:rsidR="00B02873" w:rsidRPr="00B02873" w14:paraId="4F97E82E" w14:textId="77777777" w:rsidTr="00171EB1">
        <w:tc>
          <w:tcPr>
            <w:tcW w:w="7257" w:type="dxa"/>
          </w:tcPr>
          <w:p w14:paraId="7E149C19" w14:textId="77777777" w:rsidR="00B02873" w:rsidRDefault="00B02873" w:rsidP="00171EB1">
            <w:pPr>
              <w:pStyle w:val="TablebodyleftFinancialsTables"/>
            </w:pPr>
            <w:r>
              <w:t>Right of use motor vehicle assets</w:t>
            </w:r>
          </w:p>
        </w:tc>
        <w:tc>
          <w:tcPr>
            <w:tcW w:w="1190" w:type="dxa"/>
          </w:tcPr>
          <w:p w14:paraId="77B56DE7" w14:textId="77777777" w:rsidR="00B02873" w:rsidRPr="00171EB1" w:rsidRDefault="00B02873" w:rsidP="00171EB1">
            <w:pPr>
              <w:pStyle w:val="TablebodyleftFinancialsTables"/>
              <w:jc w:val="right"/>
              <w:rPr>
                <w:b/>
                <w:bCs/>
              </w:rPr>
            </w:pPr>
            <w:r w:rsidRPr="00171EB1">
              <w:rPr>
                <w:b/>
                <w:bCs/>
              </w:rPr>
              <w:t>(8,703)</w:t>
            </w:r>
          </w:p>
        </w:tc>
        <w:tc>
          <w:tcPr>
            <w:tcW w:w="1191" w:type="dxa"/>
          </w:tcPr>
          <w:p w14:paraId="06463CD2" w14:textId="77777777" w:rsidR="00B02873" w:rsidRDefault="00B02873" w:rsidP="00171EB1">
            <w:pPr>
              <w:pStyle w:val="TablebodyleftFinancialsTables"/>
              <w:jc w:val="right"/>
            </w:pPr>
            <w:r>
              <w:t>(8,843)</w:t>
            </w:r>
          </w:p>
        </w:tc>
      </w:tr>
      <w:tr w:rsidR="00B02873" w:rsidRPr="00B02873" w14:paraId="17E674F7" w14:textId="77777777" w:rsidTr="00171EB1">
        <w:tc>
          <w:tcPr>
            <w:tcW w:w="7257" w:type="dxa"/>
          </w:tcPr>
          <w:p w14:paraId="11B306C7" w14:textId="77777777" w:rsidR="00B02873" w:rsidRDefault="00B02873" w:rsidP="00171EB1">
            <w:pPr>
              <w:pStyle w:val="TablebodyleftFinancialsTables"/>
            </w:pPr>
            <w:r>
              <w:t>Plant and equipment other than right of use motor vehicle</w:t>
            </w:r>
          </w:p>
        </w:tc>
        <w:tc>
          <w:tcPr>
            <w:tcW w:w="1190" w:type="dxa"/>
          </w:tcPr>
          <w:p w14:paraId="1C17C082" w14:textId="77777777" w:rsidR="00B02873" w:rsidRPr="00171EB1" w:rsidRDefault="00B02873" w:rsidP="00171EB1">
            <w:pPr>
              <w:pStyle w:val="TablebodyleftFinancialsTables"/>
              <w:jc w:val="right"/>
              <w:rPr>
                <w:b/>
                <w:bCs/>
              </w:rPr>
            </w:pPr>
            <w:r w:rsidRPr="00171EB1">
              <w:rPr>
                <w:b/>
                <w:bCs/>
              </w:rPr>
              <w:t>(12,850)</w:t>
            </w:r>
          </w:p>
        </w:tc>
        <w:tc>
          <w:tcPr>
            <w:tcW w:w="1191" w:type="dxa"/>
          </w:tcPr>
          <w:p w14:paraId="56410840" w14:textId="77777777" w:rsidR="00B02873" w:rsidRDefault="00B02873" w:rsidP="00171EB1">
            <w:pPr>
              <w:pStyle w:val="TablebodyleftFinancialsTables"/>
              <w:jc w:val="right"/>
            </w:pPr>
            <w:r>
              <w:t>(12,176)</w:t>
            </w:r>
          </w:p>
        </w:tc>
      </w:tr>
      <w:tr w:rsidR="00B02873" w:rsidRPr="00B02873" w14:paraId="4957209D" w14:textId="77777777" w:rsidTr="00171EB1">
        <w:tc>
          <w:tcPr>
            <w:tcW w:w="7257" w:type="dxa"/>
          </w:tcPr>
          <w:p w14:paraId="7F21E8EA" w14:textId="77777777" w:rsidR="00B02873" w:rsidRPr="00171EB1" w:rsidRDefault="00B02873" w:rsidP="00171EB1">
            <w:pPr>
              <w:pStyle w:val="TablebodyleftFinancialsTables"/>
              <w:rPr>
                <w:b/>
                <w:bCs/>
              </w:rPr>
            </w:pPr>
            <w:r w:rsidRPr="00171EB1">
              <w:rPr>
                <w:b/>
                <w:bCs/>
              </w:rPr>
              <w:t>Total depreciation of property, plant and equipment</w:t>
            </w:r>
          </w:p>
        </w:tc>
        <w:tc>
          <w:tcPr>
            <w:tcW w:w="1190" w:type="dxa"/>
          </w:tcPr>
          <w:p w14:paraId="52F15A42" w14:textId="77777777" w:rsidR="00B02873" w:rsidRPr="00171EB1" w:rsidRDefault="00B02873" w:rsidP="00171EB1">
            <w:pPr>
              <w:pStyle w:val="TablebodyleftFinancialsTables"/>
              <w:jc w:val="right"/>
              <w:rPr>
                <w:b/>
                <w:bCs/>
              </w:rPr>
            </w:pPr>
            <w:r w:rsidRPr="00171EB1">
              <w:rPr>
                <w:b/>
                <w:bCs/>
              </w:rPr>
              <w:t>(81,702)</w:t>
            </w:r>
          </w:p>
        </w:tc>
        <w:tc>
          <w:tcPr>
            <w:tcW w:w="1191" w:type="dxa"/>
          </w:tcPr>
          <w:p w14:paraId="10207C8E" w14:textId="77777777" w:rsidR="00B02873" w:rsidRDefault="00B02873" w:rsidP="00171EB1">
            <w:pPr>
              <w:pStyle w:val="TablebodyleftFinancialsTables"/>
              <w:jc w:val="right"/>
            </w:pPr>
            <w:r>
              <w:t>(73,632)</w:t>
            </w:r>
          </w:p>
        </w:tc>
      </w:tr>
      <w:tr w:rsidR="00B02873" w:rsidRPr="00B02873" w14:paraId="42776397" w14:textId="77777777" w:rsidTr="00171EB1">
        <w:tc>
          <w:tcPr>
            <w:tcW w:w="7257" w:type="dxa"/>
          </w:tcPr>
          <w:p w14:paraId="2E8AF663" w14:textId="77777777" w:rsidR="00B02873" w:rsidRPr="00171EB1" w:rsidRDefault="00B02873" w:rsidP="00171EB1">
            <w:pPr>
              <w:pStyle w:val="TablebodyleftFinancialsTables"/>
              <w:rPr>
                <w:b/>
                <w:bCs/>
              </w:rPr>
            </w:pPr>
            <w:r w:rsidRPr="00171EB1">
              <w:rPr>
                <w:b/>
                <w:bCs/>
              </w:rPr>
              <w:t>Intangible assets</w:t>
            </w:r>
          </w:p>
        </w:tc>
        <w:tc>
          <w:tcPr>
            <w:tcW w:w="1190" w:type="dxa"/>
          </w:tcPr>
          <w:p w14:paraId="241AF528" w14:textId="77777777" w:rsidR="00B02873" w:rsidRPr="00171EB1" w:rsidRDefault="00B02873" w:rsidP="00171EB1">
            <w:pPr>
              <w:pStyle w:val="TablebodyleftFinancialsTables"/>
              <w:jc w:val="right"/>
              <w:rPr>
                <w:rFonts w:ascii="VIC Bold Italic" w:hAnsi="VIC Bold Italic" w:cs="Times New Roman"/>
                <w:b/>
                <w:bCs/>
              </w:rPr>
            </w:pPr>
          </w:p>
        </w:tc>
        <w:tc>
          <w:tcPr>
            <w:tcW w:w="1191" w:type="dxa"/>
          </w:tcPr>
          <w:p w14:paraId="393BB40F" w14:textId="77777777" w:rsidR="00B02873" w:rsidRPr="00B02873" w:rsidRDefault="00B02873" w:rsidP="00171EB1">
            <w:pPr>
              <w:pStyle w:val="TablebodyleftFinancialsTables"/>
              <w:jc w:val="right"/>
              <w:rPr>
                <w:rFonts w:ascii="VIC Bold Italic" w:hAnsi="VIC Bold Italic" w:cs="Times New Roman"/>
              </w:rPr>
            </w:pPr>
          </w:p>
        </w:tc>
      </w:tr>
      <w:tr w:rsidR="00B02873" w:rsidRPr="00B02873" w14:paraId="540F8E49" w14:textId="77777777" w:rsidTr="00171EB1">
        <w:tc>
          <w:tcPr>
            <w:tcW w:w="7257" w:type="dxa"/>
          </w:tcPr>
          <w:p w14:paraId="79345DE9" w14:textId="77777777" w:rsidR="00B02873" w:rsidRDefault="00B02873" w:rsidP="00171EB1">
            <w:pPr>
              <w:pStyle w:val="TablebodyleftFinancialsTables"/>
            </w:pPr>
            <w:r>
              <w:t xml:space="preserve">Software (amortisation) </w:t>
            </w:r>
          </w:p>
        </w:tc>
        <w:tc>
          <w:tcPr>
            <w:tcW w:w="1190" w:type="dxa"/>
          </w:tcPr>
          <w:p w14:paraId="6903AD7A" w14:textId="77777777" w:rsidR="00B02873" w:rsidRPr="00171EB1" w:rsidRDefault="00B02873" w:rsidP="00171EB1">
            <w:pPr>
              <w:pStyle w:val="TablebodyleftFinancialsTables"/>
              <w:jc w:val="right"/>
              <w:rPr>
                <w:b/>
                <w:bCs/>
              </w:rPr>
            </w:pPr>
            <w:r w:rsidRPr="00171EB1">
              <w:rPr>
                <w:b/>
                <w:bCs/>
              </w:rPr>
              <w:t>(5,956)</w:t>
            </w:r>
          </w:p>
        </w:tc>
        <w:tc>
          <w:tcPr>
            <w:tcW w:w="1191" w:type="dxa"/>
          </w:tcPr>
          <w:p w14:paraId="4D2308A5" w14:textId="77777777" w:rsidR="00B02873" w:rsidRDefault="00B02873" w:rsidP="00171EB1">
            <w:pPr>
              <w:pStyle w:val="TablebodyleftFinancialsTables"/>
              <w:jc w:val="right"/>
            </w:pPr>
            <w:r>
              <w:t>(6,444)</w:t>
            </w:r>
          </w:p>
        </w:tc>
      </w:tr>
      <w:tr w:rsidR="00B02873" w:rsidRPr="00B02873" w14:paraId="7DF5A131" w14:textId="77777777" w:rsidTr="00171EB1">
        <w:tc>
          <w:tcPr>
            <w:tcW w:w="7257" w:type="dxa"/>
          </w:tcPr>
          <w:p w14:paraId="73D27962" w14:textId="77777777" w:rsidR="00B02873" w:rsidRDefault="00B02873" w:rsidP="00171EB1">
            <w:pPr>
              <w:pStyle w:val="TablebodyleftFinancialsTables"/>
            </w:pPr>
            <w:r>
              <w:t>Total amortisation of intangible assets</w:t>
            </w:r>
          </w:p>
        </w:tc>
        <w:tc>
          <w:tcPr>
            <w:tcW w:w="1190" w:type="dxa"/>
          </w:tcPr>
          <w:p w14:paraId="6C878FE5" w14:textId="77777777" w:rsidR="00B02873" w:rsidRPr="00171EB1" w:rsidRDefault="00B02873" w:rsidP="00171EB1">
            <w:pPr>
              <w:pStyle w:val="TablebodyleftFinancialsTables"/>
              <w:jc w:val="right"/>
              <w:rPr>
                <w:b/>
                <w:bCs/>
              </w:rPr>
            </w:pPr>
            <w:r w:rsidRPr="00171EB1">
              <w:rPr>
                <w:b/>
                <w:bCs/>
              </w:rPr>
              <w:t>(5,956)</w:t>
            </w:r>
          </w:p>
        </w:tc>
        <w:tc>
          <w:tcPr>
            <w:tcW w:w="1191" w:type="dxa"/>
          </w:tcPr>
          <w:p w14:paraId="27A84897" w14:textId="77777777" w:rsidR="00B02873" w:rsidRDefault="00B02873" w:rsidP="00171EB1">
            <w:pPr>
              <w:pStyle w:val="TablebodyleftFinancialsTables"/>
              <w:jc w:val="right"/>
            </w:pPr>
            <w:r>
              <w:t>(6,444)</w:t>
            </w:r>
          </w:p>
        </w:tc>
      </w:tr>
      <w:tr w:rsidR="00B02873" w:rsidRPr="00B02873" w14:paraId="018FC06C" w14:textId="77777777" w:rsidTr="00171EB1">
        <w:tc>
          <w:tcPr>
            <w:tcW w:w="7257" w:type="dxa"/>
          </w:tcPr>
          <w:p w14:paraId="5335DAEC" w14:textId="77777777" w:rsidR="00B02873" w:rsidRPr="00171EB1" w:rsidRDefault="00B02873" w:rsidP="00171EB1">
            <w:pPr>
              <w:pStyle w:val="TablebodyleftFinancialsTables"/>
              <w:rPr>
                <w:b/>
                <w:bCs/>
              </w:rPr>
            </w:pPr>
            <w:r w:rsidRPr="00171EB1">
              <w:rPr>
                <w:b/>
                <w:bCs/>
              </w:rPr>
              <w:t>Total depreciation and amortisation</w:t>
            </w:r>
          </w:p>
        </w:tc>
        <w:tc>
          <w:tcPr>
            <w:tcW w:w="1190" w:type="dxa"/>
          </w:tcPr>
          <w:p w14:paraId="541C6EF8" w14:textId="77777777" w:rsidR="00B02873" w:rsidRPr="00171EB1" w:rsidRDefault="00B02873" w:rsidP="00171EB1">
            <w:pPr>
              <w:pStyle w:val="TablebodyleftFinancialsTables"/>
              <w:jc w:val="right"/>
              <w:rPr>
                <w:b/>
                <w:bCs/>
              </w:rPr>
            </w:pPr>
            <w:r w:rsidRPr="00171EB1">
              <w:rPr>
                <w:b/>
                <w:bCs/>
              </w:rPr>
              <w:t>(87,658)</w:t>
            </w:r>
          </w:p>
        </w:tc>
        <w:tc>
          <w:tcPr>
            <w:tcW w:w="1191" w:type="dxa"/>
          </w:tcPr>
          <w:p w14:paraId="61D9F4C3" w14:textId="77777777" w:rsidR="00B02873" w:rsidRDefault="00B02873" w:rsidP="00171EB1">
            <w:pPr>
              <w:pStyle w:val="TablebodyleftFinancialsTables"/>
              <w:jc w:val="right"/>
            </w:pPr>
            <w:r>
              <w:t>(80,076)</w:t>
            </w:r>
          </w:p>
        </w:tc>
      </w:tr>
    </w:tbl>
    <w:p w14:paraId="02D5B213" w14:textId="77777777" w:rsidR="00B02873" w:rsidRDefault="00B02873" w:rsidP="00FE198A"/>
    <w:p w14:paraId="5B1D3747" w14:textId="77777777" w:rsidR="00B02873" w:rsidRDefault="00B02873" w:rsidP="00171EB1">
      <w:pPr>
        <w:pStyle w:val="Heading5"/>
      </w:pPr>
      <w:r>
        <w:t xml:space="preserve">Impairment </w:t>
      </w:r>
    </w:p>
    <w:p w14:paraId="0ADE82DC" w14:textId="77777777" w:rsidR="00B02873" w:rsidRDefault="00B02873" w:rsidP="00FE198A">
      <w:r>
        <w:t xml:space="preserve">The recoverable amount of primarily non-cash-generating assets of not-for-profit entities, which are typically specialised in nature and held for continuing use of their service capacity, is expected to be materially the same as fair value determined under AASB 13 </w:t>
      </w:r>
      <w:r w:rsidRPr="00171EB1">
        <w:rPr>
          <w:rStyle w:val="LightItalic"/>
          <w:rFonts w:asciiTheme="minorHAnsi" w:hAnsiTheme="minorHAnsi" w:cstheme="minorHAnsi"/>
        </w:rPr>
        <w:t>Fair Value Measurement</w:t>
      </w:r>
      <w:r>
        <w:t xml:space="preserve">, with the consequence that AASB 136 does not apply to such assets that are regularly revalued. </w:t>
      </w:r>
    </w:p>
    <w:p w14:paraId="154EF7E8" w14:textId="77777777" w:rsidR="00B02873" w:rsidRDefault="00B02873" w:rsidP="00171EB1">
      <w:pPr>
        <w:pStyle w:val="Heading4"/>
      </w:pPr>
      <w:r>
        <w:lastRenderedPageBreak/>
        <w:t xml:space="preserve">5.1.3 Fair value determination </w:t>
      </w:r>
    </w:p>
    <w:p w14:paraId="11894BC9" w14:textId="46892706" w:rsidR="00B02873" w:rsidRDefault="00B02873" w:rsidP="00171EB1">
      <w:pPr>
        <w:pStyle w:val="TabletitleTables"/>
      </w:pPr>
      <w:r>
        <w:t xml:space="preserve">Fair value measurement hierarchy of property, plant and equipment </w:t>
      </w:r>
    </w:p>
    <w:p w14:paraId="16AAEA80" w14:textId="2B291226" w:rsidR="00A4144E" w:rsidRDefault="00A4144E" w:rsidP="00A4144E">
      <w:pPr>
        <w:keepNext/>
      </w:pPr>
      <w:r>
        <w:t>Fair value measurement at end of financial year using:</w:t>
      </w:r>
    </w:p>
    <w:tbl>
      <w:tblPr>
        <w:tblStyle w:val="TableGrid"/>
        <w:tblW w:w="9638" w:type="dxa"/>
        <w:tblLayout w:type="fixed"/>
        <w:tblLook w:val="0020" w:firstRow="1" w:lastRow="0" w:firstColumn="0" w:lastColumn="0" w:noHBand="0" w:noVBand="0"/>
      </w:tblPr>
      <w:tblGrid>
        <w:gridCol w:w="4876"/>
        <w:gridCol w:w="1190"/>
        <w:gridCol w:w="1191"/>
        <w:gridCol w:w="1190"/>
        <w:gridCol w:w="1191"/>
      </w:tblGrid>
      <w:tr w:rsidR="00B02873" w:rsidRPr="00B02873" w14:paraId="356EE2C5" w14:textId="77777777" w:rsidTr="003B4B46">
        <w:trPr>
          <w:cnfStyle w:val="100000000000" w:firstRow="1" w:lastRow="0" w:firstColumn="0" w:lastColumn="0" w:oddVBand="0" w:evenVBand="0" w:oddHBand="0" w:evenHBand="0" w:firstRowFirstColumn="0" w:firstRowLastColumn="0" w:lastRowFirstColumn="0" w:lastRowLastColumn="0"/>
          <w:tblHeader/>
        </w:trPr>
        <w:tc>
          <w:tcPr>
            <w:tcW w:w="4876" w:type="dxa"/>
          </w:tcPr>
          <w:p w14:paraId="11F3751A" w14:textId="77777777" w:rsidR="00B02873" w:rsidRPr="00B02873" w:rsidRDefault="00B02873" w:rsidP="00A4144E">
            <w:pPr>
              <w:pStyle w:val="TableheadingleftFinancialsTables"/>
              <w:tabs>
                <w:tab w:val="left" w:pos="269"/>
              </w:tabs>
            </w:pPr>
          </w:p>
        </w:tc>
        <w:tc>
          <w:tcPr>
            <w:tcW w:w="1190" w:type="dxa"/>
          </w:tcPr>
          <w:p w14:paraId="43E02490" w14:textId="6F3C0F72" w:rsidR="00B02873" w:rsidRPr="00B02873" w:rsidRDefault="00A4144E" w:rsidP="00A4144E">
            <w:pPr>
              <w:pStyle w:val="TableheadingleftFinancialsTables"/>
              <w:jc w:val="right"/>
            </w:pPr>
            <w:r>
              <w:t>Carrying amount</w:t>
            </w:r>
            <w:r>
              <w:br/>
              <w:t>$’000</w:t>
            </w:r>
          </w:p>
        </w:tc>
        <w:tc>
          <w:tcPr>
            <w:tcW w:w="1191" w:type="dxa"/>
          </w:tcPr>
          <w:p w14:paraId="08E7720C" w14:textId="77777777" w:rsidR="00B02873" w:rsidRDefault="00B02873" w:rsidP="00A4144E">
            <w:pPr>
              <w:pStyle w:val="TableheadingleftFinancialsTables"/>
              <w:jc w:val="right"/>
            </w:pPr>
            <w:r>
              <w:t xml:space="preserve">Level 1 </w:t>
            </w:r>
            <w:r>
              <w:rPr>
                <w:vertAlign w:val="superscript"/>
              </w:rPr>
              <w:t>(i) (ii)</w:t>
            </w:r>
            <w:r>
              <w:br/>
              <w:t>$’000</w:t>
            </w:r>
          </w:p>
        </w:tc>
        <w:tc>
          <w:tcPr>
            <w:tcW w:w="1190" w:type="dxa"/>
          </w:tcPr>
          <w:p w14:paraId="320EDFA5" w14:textId="77777777" w:rsidR="00B02873" w:rsidRDefault="00B02873" w:rsidP="00A4144E">
            <w:pPr>
              <w:pStyle w:val="TableheadingleftFinancialsTables"/>
              <w:jc w:val="right"/>
            </w:pPr>
            <w:r>
              <w:t xml:space="preserve">Level 2 </w:t>
            </w:r>
            <w:r>
              <w:rPr>
                <w:vertAlign w:val="superscript"/>
              </w:rPr>
              <w:t>(i) (ii)</w:t>
            </w:r>
            <w:r>
              <w:br/>
              <w:t>$’000</w:t>
            </w:r>
          </w:p>
        </w:tc>
        <w:tc>
          <w:tcPr>
            <w:tcW w:w="1191" w:type="dxa"/>
          </w:tcPr>
          <w:p w14:paraId="7FA69A00" w14:textId="77777777" w:rsidR="00B02873" w:rsidRDefault="00B02873" w:rsidP="00A4144E">
            <w:pPr>
              <w:pStyle w:val="TableheadingleftFinancialsTables"/>
              <w:jc w:val="right"/>
            </w:pPr>
            <w:r>
              <w:t xml:space="preserve">Level 3 </w:t>
            </w:r>
            <w:r>
              <w:rPr>
                <w:vertAlign w:val="superscript"/>
              </w:rPr>
              <w:t>(i) (ii)</w:t>
            </w:r>
            <w:r>
              <w:rPr>
                <w:vertAlign w:val="superscript"/>
              </w:rPr>
              <w:br/>
            </w:r>
            <w:r>
              <w:t>$’000</w:t>
            </w:r>
          </w:p>
        </w:tc>
      </w:tr>
      <w:tr w:rsidR="00B02873" w:rsidRPr="00B02873" w14:paraId="0B2A926A" w14:textId="77777777" w:rsidTr="003B4B46">
        <w:tc>
          <w:tcPr>
            <w:tcW w:w="4876" w:type="dxa"/>
          </w:tcPr>
          <w:p w14:paraId="79FE6146" w14:textId="77777777" w:rsidR="00B02873" w:rsidRPr="00A4144E" w:rsidRDefault="00B02873" w:rsidP="00A4144E">
            <w:pPr>
              <w:pStyle w:val="TablebodyleftFinancialsTables"/>
              <w:keepNext/>
              <w:tabs>
                <w:tab w:val="left" w:pos="269"/>
              </w:tabs>
              <w:rPr>
                <w:b/>
                <w:bCs/>
              </w:rPr>
            </w:pPr>
            <w:r w:rsidRPr="00A4144E">
              <w:rPr>
                <w:b/>
                <w:bCs/>
              </w:rPr>
              <w:t>2022</w:t>
            </w:r>
          </w:p>
        </w:tc>
        <w:tc>
          <w:tcPr>
            <w:tcW w:w="1190" w:type="dxa"/>
          </w:tcPr>
          <w:p w14:paraId="2EE6C619" w14:textId="77777777" w:rsidR="00B02873" w:rsidRPr="00A4144E" w:rsidRDefault="00B02873" w:rsidP="00A4144E">
            <w:pPr>
              <w:pStyle w:val="TablebodyleftFinancialsTables"/>
              <w:keepNext/>
              <w:jc w:val="right"/>
              <w:rPr>
                <w:b/>
                <w:bCs/>
              </w:rPr>
            </w:pPr>
          </w:p>
        </w:tc>
        <w:tc>
          <w:tcPr>
            <w:tcW w:w="1191" w:type="dxa"/>
          </w:tcPr>
          <w:p w14:paraId="664A76BC" w14:textId="77777777" w:rsidR="00B02873" w:rsidRPr="00A4144E" w:rsidRDefault="00B02873" w:rsidP="00A4144E">
            <w:pPr>
              <w:pStyle w:val="TablebodyleftFinancialsTables"/>
              <w:keepNext/>
              <w:jc w:val="right"/>
              <w:rPr>
                <w:b/>
                <w:bCs/>
              </w:rPr>
            </w:pPr>
          </w:p>
        </w:tc>
        <w:tc>
          <w:tcPr>
            <w:tcW w:w="1190" w:type="dxa"/>
          </w:tcPr>
          <w:p w14:paraId="51B9F957" w14:textId="77777777" w:rsidR="00B02873" w:rsidRPr="00A4144E" w:rsidRDefault="00B02873" w:rsidP="00A4144E">
            <w:pPr>
              <w:pStyle w:val="TablebodyleftFinancialsTables"/>
              <w:keepNext/>
              <w:jc w:val="right"/>
              <w:rPr>
                <w:b/>
                <w:bCs/>
              </w:rPr>
            </w:pPr>
          </w:p>
        </w:tc>
        <w:tc>
          <w:tcPr>
            <w:tcW w:w="1191" w:type="dxa"/>
          </w:tcPr>
          <w:p w14:paraId="669F5FC9" w14:textId="77777777" w:rsidR="00B02873" w:rsidRPr="00A4144E" w:rsidRDefault="00B02873" w:rsidP="00A4144E">
            <w:pPr>
              <w:pStyle w:val="TablebodyleftFinancialsTables"/>
              <w:keepNext/>
              <w:jc w:val="right"/>
              <w:rPr>
                <w:b/>
                <w:bCs/>
              </w:rPr>
            </w:pPr>
          </w:p>
        </w:tc>
      </w:tr>
      <w:tr w:rsidR="00B02873" w:rsidRPr="00B02873" w14:paraId="2EE66FA1" w14:textId="77777777" w:rsidTr="003B4B46">
        <w:tc>
          <w:tcPr>
            <w:tcW w:w="4876" w:type="dxa"/>
          </w:tcPr>
          <w:p w14:paraId="7B3FB1AA" w14:textId="77777777" w:rsidR="00B02873" w:rsidRPr="00A4144E" w:rsidRDefault="00B02873" w:rsidP="00A4144E">
            <w:pPr>
              <w:pStyle w:val="TablebodyleftFinancialsTables"/>
              <w:keepNext/>
              <w:tabs>
                <w:tab w:val="left" w:pos="269"/>
              </w:tabs>
              <w:rPr>
                <w:b/>
                <w:bCs/>
              </w:rPr>
            </w:pPr>
            <w:r w:rsidRPr="00A4144E">
              <w:rPr>
                <w:b/>
                <w:bCs/>
              </w:rPr>
              <w:t>Land at fair value</w:t>
            </w:r>
          </w:p>
        </w:tc>
        <w:tc>
          <w:tcPr>
            <w:tcW w:w="1190" w:type="dxa"/>
          </w:tcPr>
          <w:p w14:paraId="558FB9B2" w14:textId="77777777" w:rsidR="00B02873" w:rsidRPr="00A4144E" w:rsidRDefault="00B02873" w:rsidP="00A4144E">
            <w:pPr>
              <w:pStyle w:val="TablebodyleftFinancialsTables"/>
              <w:keepNext/>
              <w:jc w:val="right"/>
              <w:rPr>
                <w:b/>
                <w:bCs/>
              </w:rPr>
            </w:pPr>
          </w:p>
        </w:tc>
        <w:tc>
          <w:tcPr>
            <w:tcW w:w="1191" w:type="dxa"/>
          </w:tcPr>
          <w:p w14:paraId="05D3D415" w14:textId="77777777" w:rsidR="00B02873" w:rsidRPr="00A4144E" w:rsidRDefault="00B02873" w:rsidP="00A4144E">
            <w:pPr>
              <w:pStyle w:val="TablebodyleftFinancialsTables"/>
              <w:keepNext/>
              <w:jc w:val="right"/>
              <w:rPr>
                <w:b/>
                <w:bCs/>
              </w:rPr>
            </w:pPr>
          </w:p>
        </w:tc>
        <w:tc>
          <w:tcPr>
            <w:tcW w:w="1190" w:type="dxa"/>
          </w:tcPr>
          <w:p w14:paraId="2A7BEB1E" w14:textId="77777777" w:rsidR="00B02873" w:rsidRPr="00A4144E" w:rsidRDefault="00B02873" w:rsidP="00A4144E">
            <w:pPr>
              <w:pStyle w:val="TablebodyleftFinancialsTables"/>
              <w:keepNext/>
              <w:jc w:val="right"/>
              <w:rPr>
                <w:b/>
                <w:bCs/>
              </w:rPr>
            </w:pPr>
          </w:p>
        </w:tc>
        <w:tc>
          <w:tcPr>
            <w:tcW w:w="1191" w:type="dxa"/>
          </w:tcPr>
          <w:p w14:paraId="6EF7AE4B" w14:textId="77777777" w:rsidR="00B02873" w:rsidRPr="00A4144E" w:rsidRDefault="00B02873" w:rsidP="00A4144E">
            <w:pPr>
              <w:pStyle w:val="TablebodyleftFinancialsTables"/>
              <w:keepNext/>
              <w:jc w:val="right"/>
              <w:rPr>
                <w:b/>
                <w:bCs/>
              </w:rPr>
            </w:pPr>
          </w:p>
        </w:tc>
      </w:tr>
      <w:tr w:rsidR="00B02873" w:rsidRPr="00B02873" w14:paraId="17BE769A" w14:textId="77777777" w:rsidTr="003B4B46">
        <w:tc>
          <w:tcPr>
            <w:tcW w:w="4876" w:type="dxa"/>
          </w:tcPr>
          <w:p w14:paraId="59553B0B" w14:textId="77777777" w:rsidR="00B02873" w:rsidRDefault="00B02873" w:rsidP="00A4144E">
            <w:pPr>
              <w:pStyle w:val="TablebodyleftFinancialsTables"/>
              <w:keepNext/>
              <w:tabs>
                <w:tab w:val="left" w:pos="269"/>
              </w:tabs>
            </w:pPr>
            <w:r>
              <w:t>Non specialised land</w:t>
            </w:r>
          </w:p>
        </w:tc>
        <w:tc>
          <w:tcPr>
            <w:tcW w:w="1190" w:type="dxa"/>
          </w:tcPr>
          <w:p w14:paraId="35C700BE" w14:textId="77777777" w:rsidR="00B02873" w:rsidRPr="00A4144E" w:rsidRDefault="00B02873" w:rsidP="00A4144E">
            <w:pPr>
              <w:pStyle w:val="TablebodyleftFinancialsTables"/>
              <w:keepNext/>
              <w:jc w:val="right"/>
              <w:rPr>
                <w:b/>
                <w:bCs/>
              </w:rPr>
            </w:pPr>
          </w:p>
        </w:tc>
        <w:tc>
          <w:tcPr>
            <w:tcW w:w="1191" w:type="dxa"/>
          </w:tcPr>
          <w:p w14:paraId="2E745A82" w14:textId="77777777" w:rsidR="00B02873" w:rsidRPr="00A4144E" w:rsidRDefault="00B02873" w:rsidP="00A4144E">
            <w:pPr>
              <w:pStyle w:val="TablebodyleftFinancialsTables"/>
              <w:keepNext/>
              <w:jc w:val="right"/>
              <w:rPr>
                <w:b/>
                <w:bCs/>
              </w:rPr>
            </w:pPr>
          </w:p>
        </w:tc>
        <w:tc>
          <w:tcPr>
            <w:tcW w:w="1190" w:type="dxa"/>
          </w:tcPr>
          <w:p w14:paraId="40C0ECC4" w14:textId="77777777" w:rsidR="00B02873" w:rsidRPr="00A4144E" w:rsidRDefault="00B02873" w:rsidP="00A4144E">
            <w:pPr>
              <w:pStyle w:val="TablebodyleftFinancialsTables"/>
              <w:keepNext/>
              <w:jc w:val="right"/>
              <w:rPr>
                <w:b/>
                <w:bCs/>
              </w:rPr>
            </w:pPr>
          </w:p>
        </w:tc>
        <w:tc>
          <w:tcPr>
            <w:tcW w:w="1191" w:type="dxa"/>
          </w:tcPr>
          <w:p w14:paraId="4447F63E" w14:textId="77777777" w:rsidR="00B02873" w:rsidRPr="00A4144E" w:rsidRDefault="00B02873" w:rsidP="00A4144E">
            <w:pPr>
              <w:pStyle w:val="TablebodyleftFinancialsTables"/>
              <w:keepNext/>
              <w:jc w:val="right"/>
              <w:rPr>
                <w:b/>
                <w:bCs/>
              </w:rPr>
            </w:pPr>
          </w:p>
        </w:tc>
      </w:tr>
      <w:tr w:rsidR="00B02873" w:rsidRPr="00B02873" w14:paraId="412A693B" w14:textId="77777777" w:rsidTr="003B4B46">
        <w:tc>
          <w:tcPr>
            <w:tcW w:w="4876" w:type="dxa"/>
          </w:tcPr>
          <w:p w14:paraId="00D8AFC4" w14:textId="77777777" w:rsidR="00B02873" w:rsidRDefault="00B02873" w:rsidP="00A4144E">
            <w:pPr>
              <w:pStyle w:val="TablebodyleftFinancialsTables"/>
              <w:keepNext/>
              <w:tabs>
                <w:tab w:val="left" w:pos="269"/>
              </w:tabs>
            </w:pPr>
            <w:r>
              <w:tab/>
              <w:t>Freehold land</w:t>
            </w:r>
          </w:p>
        </w:tc>
        <w:tc>
          <w:tcPr>
            <w:tcW w:w="1190" w:type="dxa"/>
          </w:tcPr>
          <w:p w14:paraId="13DBA010" w14:textId="77777777" w:rsidR="00B02873" w:rsidRPr="00A4144E" w:rsidRDefault="00B02873" w:rsidP="00A4144E">
            <w:pPr>
              <w:pStyle w:val="TablebodyleftFinancialsTables"/>
              <w:keepNext/>
              <w:jc w:val="right"/>
              <w:rPr>
                <w:b/>
                <w:bCs/>
              </w:rPr>
            </w:pPr>
            <w:r w:rsidRPr="00A4144E">
              <w:rPr>
                <w:b/>
                <w:bCs/>
              </w:rPr>
              <w:t>134,544</w:t>
            </w:r>
          </w:p>
        </w:tc>
        <w:tc>
          <w:tcPr>
            <w:tcW w:w="1191" w:type="dxa"/>
          </w:tcPr>
          <w:p w14:paraId="6B983F95" w14:textId="77777777" w:rsidR="00B02873" w:rsidRPr="00A4144E" w:rsidRDefault="00B02873" w:rsidP="00A4144E">
            <w:pPr>
              <w:pStyle w:val="TablebodyleftFinancialsTables"/>
              <w:keepNext/>
              <w:jc w:val="right"/>
              <w:rPr>
                <w:b/>
                <w:bCs/>
              </w:rPr>
            </w:pPr>
            <w:r w:rsidRPr="00A4144E">
              <w:rPr>
                <w:b/>
                <w:bCs/>
              </w:rPr>
              <w:t>–</w:t>
            </w:r>
          </w:p>
        </w:tc>
        <w:tc>
          <w:tcPr>
            <w:tcW w:w="1190" w:type="dxa"/>
          </w:tcPr>
          <w:p w14:paraId="4ACC1E31" w14:textId="77777777" w:rsidR="00B02873" w:rsidRPr="00A4144E" w:rsidRDefault="00B02873" w:rsidP="00A4144E">
            <w:pPr>
              <w:pStyle w:val="TablebodyleftFinancialsTables"/>
              <w:keepNext/>
              <w:jc w:val="right"/>
              <w:rPr>
                <w:b/>
                <w:bCs/>
              </w:rPr>
            </w:pPr>
            <w:r w:rsidRPr="00A4144E">
              <w:rPr>
                <w:b/>
                <w:bCs/>
              </w:rPr>
              <w:t>134,544</w:t>
            </w:r>
          </w:p>
        </w:tc>
        <w:tc>
          <w:tcPr>
            <w:tcW w:w="1191" w:type="dxa"/>
          </w:tcPr>
          <w:p w14:paraId="13AF24FB" w14:textId="77777777" w:rsidR="00B02873" w:rsidRPr="00A4144E" w:rsidRDefault="00B02873" w:rsidP="00A4144E">
            <w:pPr>
              <w:pStyle w:val="TablebodyleftFinancialsTables"/>
              <w:keepNext/>
              <w:jc w:val="right"/>
              <w:rPr>
                <w:b/>
                <w:bCs/>
              </w:rPr>
            </w:pPr>
            <w:r w:rsidRPr="00A4144E">
              <w:rPr>
                <w:b/>
                <w:bCs/>
              </w:rPr>
              <w:t>–</w:t>
            </w:r>
          </w:p>
        </w:tc>
      </w:tr>
      <w:tr w:rsidR="00B02873" w:rsidRPr="00B02873" w14:paraId="34C56010" w14:textId="77777777" w:rsidTr="003B4B46">
        <w:tc>
          <w:tcPr>
            <w:tcW w:w="4876" w:type="dxa"/>
          </w:tcPr>
          <w:p w14:paraId="1313D12E" w14:textId="77777777" w:rsidR="00B02873" w:rsidRDefault="00B02873" w:rsidP="00A4144E">
            <w:pPr>
              <w:pStyle w:val="TablebodyleftFinancialsTables"/>
              <w:tabs>
                <w:tab w:val="left" w:pos="269"/>
              </w:tabs>
            </w:pPr>
            <w:r>
              <w:tab/>
              <w:t>Land purchases in progress</w:t>
            </w:r>
          </w:p>
        </w:tc>
        <w:tc>
          <w:tcPr>
            <w:tcW w:w="1190" w:type="dxa"/>
          </w:tcPr>
          <w:p w14:paraId="7A4C95E4" w14:textId="77777777" w:rsidR="00B02873" w:rsidRPr="00A4144E" w:rsidRDefault="00B02873" w:rsidP="00A4144E">
            <w:pPr>
              <w:pStyle w:val="TablebodyleftFinancialsTables"/>
              <w:jc w:val="right"/>
              <w:rPr>
                <w:b/>
                <w:bCs/>
              </w:rPr>
            </w:pPr>
            <w:r w:rsidRPr="00A4144E">
              <w:rPr>
                <w:b/>
                <w:bCs/>
              </w:rPr>
              <w:t>28</w:t>
            </w:r>
          </w:p>
        </w:tc>
        <w:tc>
          <w:tcPr>
            <w:tcW w:w="1191" w:type="dxa"/>
          </w:tcPr>
          <w:p w14:paraId="671F5745" w14:textId="77777777" w:rsidR="00B02873" w:rsidRPr="00A4144E" w:rsidRDefault="00B02873" w:rsidP="00A4144E">
            <w:pPr>
              <w:pStyle w:val="TablebodyleftFinancialsTables"/>
              <w:jc w:val="right"/>
              <w:rPr>
                <w:b/>
                <w:bCs/>
              </w:rPr>
            </w:pPr>
            <w:r w:rsidRPr="00A4144E">
              <w:rPr>
                <w:b/>
                <w:bCs/>
              </w:rPr>
              <w:t>–</w:t>
            </w:r>
          </w:p>
        </w:tc>
        <w:tc>
          <w:tcPr>
            <w:tcW w:w="1190" w:type="dxa"/>
          </w:tcPr>
          <w:p w14:paraId="3863CD41" w14:textId="77777777" w:rsidR="00B02873" w:rsidRPr="00A4144E" w:rsidRDefault="00B02873" w:rsidP="00A4144E">
            <w:pPr>
              <w:pStyle w:val="TablebodyleftFinancialsTables"/>
              <w:jc w:val="right"/>
              <w:rPr>
                <w:b/>
                <w:bCs/>
              </w:rPr>
            </w:pPr>
            <w:r w:rsidRPr="00A4144E">
              <w:rPr>
                <w:b/>
                <w:bCs/>
              </w:rPr>
              <w:t>28</w:t>
            </w:r>
          </w:p>
        </w:tc>
        <w:tc>
          <w:tcPr>
            <w:tcW w:w="1191" w:type="dxa"/>
          </w:tcPr>
          <w:p w14:paraId="67C612A0" w14:textId="77777777" w:rsidR="00B02873" w:rsidRPr="00A4144E" w:rsidRDefault="00B02873" w:rsidP="00A4144E">
            <w:pPr>
              <w:pStyle w:val="TablebodyleftFinancialsTables"/>
              <w:jc w:val="right"/>
              <w:rPr>
                <w:b/>
                <w:bCs/>
              </w:rPr>
            </w:pPr>
            <w:r w:rsidRPr="00A4144E">
              <w:rPr>
                <w:b/>
                <w:bCs/>
              </w:rPr>
              <w:t>–</w:t>
            </w:r>
          </w:p>
        </w:tc>
      </w:tr>
      <w:tr w:rsidR="00B02873" w:rsidRPr="00B02873" w14:paraId="4B0CC990" w14:textId="77777777" w:rsidTr="003B4B46">
        <w:tc>
          <w:tcPr>
            <w:tcW w:w="4876" w:type="dxa"/>
          </w:tcPr>
          <w:p w14:paraId="13031AC9" w14:textId="77777777" w:rsidR="00B02873" w:rsidRDefault="00B02873" w:rsidP="00A4144E">
            <w:pPr>
              <w:pStyle w:val="TablebodyleftFinancialsTables"/>
              <w:tabs>
                <w:tab w:val="left" w:pos="269"/>
              </w:tabs>
            </w:pPr>
            <w:r>
              <w:t>Specialised land</w:t>
            </w:r>
          </w:p>
        </w:tc>
        <w:tc>
          <w:tcPr>
            <w:tcW w:w="1190" w:type="dxa"/>
          </w:tcPr>
          <w:p w14:paraId="792743BE" w14:textId="77777777" w:rsidR="00B02873" w:rsidRPr="00A4144E" w:rsidRDefault="00B02873" w:rsidP="00A4144E">
            <w:pPr>
              <w:pStyle w:val="TablebodyleftFinancialsTables"/>
              <w:jc w:val="right"/>
              <w:rPr>
                <w:b/>
                <w:bCs/>
              </w:rPr>
            </w:pPr>
          </w:p>
        </w:tc>
        <w:tc>
          <w:tcPr>
            <w:tcW w:w="1191" w:type="dxa"/>
          </w:tcPr>
          <w:p w14:paraId="725ECF19" w14:textId="77777777" w:rsidR="00B02873" w:rsidRPr="00A4144E" w:rsidRDefault="00B02873" w:rsidP="00A4144E">
            <w:pPr>
              <w:pStyle w:val="TablebodyleftFinancialsTables"/>
              <w:jc w:val="right"/>
              <w:rPr>
                <w:b/>
                <w:bCs/>
              </w:rPr>
            </w:pPr>
          </w:p>
        </w:tc>
        <w:tc>
          <w:tcPr>
            <w:tcW w:w="1190" w:type="dxa"/>
          </w:tcPr>
          <w:p w14:paraId="3A3BF4AF" w14:textId="77777777" w:rsidR="00B02873" w:rsidRPr="00A4144E" w:rsidRDefault="00B02873" w:rsidP="00A4144E">
            <w:pPr>
              <w:pStyle w:val="TablebodyleftFinancialsTables"/>
              <w:jc w:val="right"/>
              <w:rPr>
                <w:b/>
                <w:bCs/>
              </w:rPr>
            </w:pPr>
          </w:p>
        </w:tc>
        <w:tc>
          <w:tcPr>
            <w:tcW w:w="1191" w:type="dxa"/>
          </w:tcPr>
          <w:p w14:paraId="2926A821" w14:textId="77777777" w:rsidR="00B02873" w:rsidRPr="00A4144E" w:rsidRDefault="00B02873" w:rsidP="00A4144E">
            <w:pPr>
              <w:pStyle w:val="TablebodyleftFinancialsTables"/>
              <w:jc w:val="right"/>
              <w:rPr>
                <w:b/>
                <w:bCs/>
              </w:rPr>
            </w:pPr>
          </w:p>
        </w:tc>
      </w:tr>
      <w:tr w:rsidR="00B02873" w:rsidRPr="00B02873" w14:paraId="0B3922CB" w14:textId="77777777" w:rsidTr="003B4B46">
        <w:tc>
          <w:tcPr>
            <w:tcW w:w="4876" w:type="dxa"/>
          </w:tcPr>
          <w:p w14:paraId="449D6F68" w14:textId="77777777" w:rsidR="00B02873" w:rsidRDefault="00B02873" w:rsidP="00A4144E">
            <w:pPr>
              <w:pStyle w:val="TablebodyleftFinancialsTables"/>
              <w:tabs>
                <w:tab w:val="left" w:pos="269"/>
              </w:tabs>
            </w:pPr>
            <w:r>
              <w:tab/>
              <w:t>Freehold land</w:t>
            </w:r>
          </w:p>
        </w:tc>
        <w:tc>
          <w:tcPr>
            <w:tcW w:w="1190" w:type="dxa"/>
          </w:tcPr>
          <w:p w14:paraId="66C7B74E" w14:textId="77777777" w:rsidR="00B02873" w:rsidRPr="00A4144E" w:rsidRDefault="00B02873" w:rsidP="00A4144E">
            <w:pPr>
              <w:pStyle w:val="TablebodyleftFinancialsTables"/>
              <w:jc w:val="right"/>
              <w:rPr>
                <w:b/>
                <w:bCs/>
              </w:rPr>
            </w:pPr>
            <w:r w:rsidRPr="00A4144E">
              <w:rPr>
                <w:b/>
                <w:bCs/>
              </w:rPr>
              <w:t>36,166</w:t>
            </w:r>
          </w:p>
        </w:tc>
        <w:tc>
          <w:tcPr>
            <w:tcW w:w="1191" w:type="dxa"/>
          </w:tcPr>
          <w:p w14:paraId="16D012F7" w14:textId="77777777" w:rsidR="00B02873" w:rsidRPr="00A4144E" w:rsidRDefault="00B02873" w:rsidP="00A4144E">
            <w:pPr>
              <w:pStyle w:val="TablebodyleftFinancialsTables"/>
              <w:jc w:val="right"/>
              <w:rPr>
                <w:b/>
                <w:bCs/>
              </w:rPr>
            </w:pPr>
            <w:r w:rsidRPr="00A4144E">
              <w:rPr>
                <w:b/>
                <w:bCs/>
              </w:rPr>
              <w:t>–</w:t>
            </w:r>
          </w:p>
        </w:tc>
        <w:tc>
          <w:tcPr>
            <w:tcW w:w="1190" w:type="dxa"/>
          </w:tcPr>
          <w:p w14:paraId="47744939" w14:textId="77777777" w:rsidR="00B02873" w:rsidRPr="00A4144E" w:rsidRDefault="00B02873" w:rsidP="00A4144E">
            <w:pPr>
              <w:pStyle w:val="TablebodyleftFinancialsTables"/>
              <w:jc w:val="right"/>
              <w:rPr>
                <w:b/>
                <w:bCs/>
              </w:rPr>
            </w:pPr>
            <w:r w:rsidRPr="00A4144E">
              <w:rPr>
                <w:b/>
                <w:bCs/>
              </w:rPr>
              <w:t>–</w:t>
            </w:r>
          </w:p>
        </w:tc>
        <w:tc>
          <w:tcPr>
            <w:tcW w:w="1191" w:type="dxa"/>
          </w:tcPr>
          <w:p w14:paraId="5329F216" w14:textId="77777777" w:rsidR="00B02873" w:rsidRPr="00A4144E" w:rsidRDefault="00B02873" w:rsidP="00A4144E">
            <w:pPr>
              <w:pStyle w:val="TablebodyleftFinancialsTables"/>
              <w:jc w:val="right"/>
              <w:rPr>
                <w:b/>
                <w:bCs/>
              </w:rPr>
            </w:pPr>
            <w:r w:rsidRPr="00A4144E">
              <w:rPr>
                <w:b/>
                <w:bCs/>
              </w:rPr>
              <w:t>36,166</w:t>
            </w:r>
          </w:p>
        </w:tc>
      </w:tr>
      <w:tr w:rsidR="00B02873" w:rsidRPr="00B02873" w14:paraId="3A6D8B20" w14:textId="77777777" w:rsidTr="003B4B46">
        <w:tc>
          <w:tcPr>
            <w:tcW w:w="4876" w:type="dxa"/>
          </w:tcPr>
          <w:p w14:paraId="29F86F55" w14:textId="77777777" w:rsidR="00B02873" w:rsidRDefault="00B02873" w:rsidP="00A4144E">
            <w:pPr>
              <w:pStyle w:val="TablebodyleftFinancialsTables"/>
              <w:tabs>
                <w:tab w:val="left" w:pos="269"/>
              </w:tabs>
              <w:ind w:left="269" w:hanging="269"/>
            </w:pPr>
            <w:r>
              <w:tab/>
            </w:r>
            <w:r>
              <w:rPr>
                <w:spacing w:val="-2"/>
              </w:rPr>
              <w:t>Crown land – Land, unused roads and government roads</w:t>
            </w:r>
          </w:p>
        </w:tc>
        <w:tc>
          <w:tcPr>
            <w:tcW w:w="1190" w:type="dxa"/>
          </w:tcPr>
          <w:p w14:paraId="3AD3E273" w14:textId="77777777" w:rsidR="00B02873" w:rsidRPr="00A4144E" w:rsidRDefault="00B02873" w:rsidP="00A4144E">
            <w:pPr>
              <w:pStyle w:val="TablebodyleftFinancialsTables"/>
              <w:jc w:val="right"/>
              <w:rPr>
                <w:b/>
                <w:bCs/>
              </w:rPr>
            </w:pPr>
            <w:r w:rsidRPr="00A4144E">
              <w:rPr>
                <w:b/>
                <w:bCs/>
              </w:rPr>
              <w:t>4,463,480</w:t>
            </w:r>
          </w:p>
        </w:tc>
        <w:tc>
          <w:tcPr>
            <w:tcW w:w="1191" w:type="dxa"/>
          </w:tcPr>
          <w:p w14:paraId="6DA3360F" w14:textId="77777777" w:rsidR="00B02873" w:rsidRPr="00A4144E" w:rsidRDefault="00B02873" w:rsidP="00A4144E">
            <w:pPr>
              <w:pStyle w:val="TablebodyleftFinancialsTables"/>
              <w:jc w:val="right"/>
              <w:rPr>
                <w:b/>
                <w:bCs/>
              </w:rPr>
            </w:pPr>
            <w:r w:rsidRPr="00A4144E">
              <w:rPr>
                <w:b/>
                <w:bCs/>
              </w:rPr>
              <w:t>–</w:t>
            </w:r>
          </w:p>
        </w:tc>
        <w:tc>
          <w:tcPr>
            <w:tcW w:w="1190" w:type="dxa"/>
          </w:tcPr>
          <w:p w14:paraId="295DC6F3" w14:textId="77777777" w:rsidR="00B02873" w:rsidRPr="00A4144E" w:rsidRDefault="00B02873" w:rsidP="00A4144E">
            <w:pPr>
              <w:pStyle w:val="TablebodyleftFinancialsTables"/>
              <w:jc w:val="right"/>
              <w:rPr>
                <w:b/>
                <w:bCs/>
              </w:rPr>
            </w:pPr>
            <w:r w:rsidRPr="00A4144E">
              <w:rPr>
                <w:b/>
                <w:bCs/>
              </w:rPr>
              <w:t>–</w:t>
            </w:r>
          </w:p>
        </w:tc>
        <w:tc>
          <w:tcPr>
            <w:tcW w:w="1191" w:type="dxa"/>
          </w:tcPr>
          <w:p w14:paraId="0DA62887" w14:textId="77777777" w:rsidR="00B02873" w:rsidRPr="00A4144E" w:rsidRDefault="00B02873" w:rsidP="00A4144E">
            <w:pPr>
              <w:pStyle w:val="TablebodyleftFinancialsTables"/>
              <w:jc w:val="right"/>
              <w:rPr>
                <w:b/>
                <w:bCs/>
              </w:rPr>
            </w:pPr>
            <w:r w:rsidRPr="00A4144E">
              <w:rPr>
                <w:b/>
                <w:bCs/>
              </w:rPr>
              <w:t>4,463,480</w:t>
            </w:r>
          </w:p>
        </w:tc>
      </w:tr>
      <w:tr w:rsidR="00B02873" w:rsidRPr="00B02873" w14:paraId="1AA86DE1" w14:textId="77777777" w:rsidTr="003B4B46">
        <w:tc>
          <w:tcPr>
            <w:tcW w:w="4876" w:type="dxa"/>
          </w:tcPr>
          <w:p w14:paraId="177F1A6D" w14:textId="77777777" w:rsidR="00B02873" w:rsidRDefault="00B02873" w:rsidP="00A4144E">
            <w:pPr>
              <w:pStyle w:val="TablebodyleftFinancialsTables"/>
              <w:tabs>
                <w:tab w:val="left" w:pos="269"/>
              </w:tabs>
            </w:pPr>
            <w:r>
              <w:tab/>
              <w:t>Crown land – National parks</w:t>
            </w:r>
          </w:p>
        </w:tc>
        <w:tc>
          <w:tcPr>
            <w:tcW w:w="1190" w:type="dxa"/>
          </w:tcPr>
          <w:p w14:paraId="02258C3C" w14:textId="77777777" w:rsidR="00B02873" w:rsidRPr="00A4144E" w:rsidRDefault="00B02873" w:rsidP="00A4144E">
            <w:pPr>
              <w:pStyle w:val="TablebodyleftFinancialsTables"/>
              <w:jc w:val="right"/>
              <w:rPr>
                <w:b/>
                <w:bCs/>
              </w:rPr>
            </w:pPr>
            <w:r w:rsidRPr="00A4144E">
              <w:rPr>
                <w:b/>
                <w:bCs/>
              </w:rPr>
              <w:t>5,626</w:t>
            </w:r>
          </w:p>
        </w:tc>
        <w:tc>
          <w:tcPr>
            <w:tcW w:w="1191" w:type="dxa"/>
          </w:tcPr>
          <w:p w14:paraId="75819BF5" w14:textId="77777777" w:rsidR="00B02873" w:rsidRPr="00A4144E" w:rsidRDefault="00B02873" w:rsidP="00A4144E">
            <w:pPr>
              <w:pStyle w:val="TablebodyleftFinancialsTables"/>
              <w:jc w:val="right"/>
              <w:rPr>
                <w:b/>
                <w:bCs/>
              </w:rPr>
            </w:pPr>
            <w:r w:rsidRPr="00A4144E">
              <w:rPr>
                <w:b/>
                <w:bCs/>
              </w:rPr>
              <w:t>–</w:t>
            </w:r>
          </w:p>
        </w:tc>
        <w:tc>
          <w:tcPr>
            <w:tcW w:w="1190" w:type="dxa"/>
          </w:tcPr>
          <w:p w14:paraId="0848EEC2" w14:textId="77777777" w:rsidR="00B02873" w:rsidRPr="00A4144E" w:rsidRDefault="00B02873" w:rsidP="00A4144E">
            <w:pPr>
              <w:pStyle w:val="TablebodyleftFinancialsTables"/>
              <w:jc w:val="right"/>
              <w:rPr>
                <w:b/>
                <w:bCs/>
              </w:rPr>
            </w:pPr>
            <w:r w:rsidRPr="00A4144E">
              <w:rPr>
                <w:b/>
                <w:bCs/>
              </w:rPr>
              <w:t>–</w:t>
            </w:r>
          </w:p>
        </w:tc>
        <w:tc>
          <w:tcPr>
            <w:tcW w:w="1191" w:type="dxa"/>
          </w:tcPr>
          <w:p w14:paraId="70FC507B" w14:textId="77777777" w:rsidR="00B02873" w:rsidRPr="00A4144E" w:rsidRDefault="00B02873" w:rsidP="00A4144E">
            <w:pPr>
              <w:pStyle w:val="TablebodyleftFinancialsTables"/>
              <w:jc w:val="right"/>
              <w:rPr>
                <w:b/>
                <w:bCs/>
              </w:rPr>
            </w:pPr>
            <w:r w:rsidRPr="00A4144E">
              <w:rPr>
                <w:b/>
                <w:bCs/>
              </w:rPr>
              <w:t>5,626</w:t>
            </w:r>
          </w:p>
        </w:tc>
      </w:tr>
      <w:tr w:rsidR="00B02873" w:rsidRPr="00B02873" w14:paraId="482EE33E" w14:textId="77777777" w:rsidTr="003B4B46">
        <w:tc>
          <w:tcPr>
            <w:tcW w:w="4876" w:type="dxa"/>
          </w:tcPr>
          <w:p w14:paraId="4A8C197E" w14:textId="77777777" w:rsidR="00B02873" w:rsidRDefault="00B02873" w:rsidP="00A4144E">
            <w:pPr>
              <w:pStyle w:val="TablebodyleftFinancialsTables"/>
              <w:tabs>
                <w:tab w:val="left" w:pos="269"/>
              </w:tabs>
            </w:pPr>
            <w:r>
              <w:tab/>
              <w:t>Crown land – State forests</w:t>
            </w:r>
          </w:p>
        </w:tc>
        <w:tc>
          <w:tcPr>
            <w:tcW w:w="1190" w:type="dxa"/>
          </w:tcPr>
          <w:p w14:paraId="7BBADEEC" w14:textId="77777777" w:rsidR="00B02873" w:rsidRPr="00A4144E" w:rsidRDefault="00B02873" w:rsidP="00A4144E">
            <w:pPr>
              <w:pStyle w:val="TablebodyleftFinancialsTables"/>
              <w:jc w:val="right"/>
              <w:rPr>
                <w:b/>
                <w:bCs/>
              </w:rPr>
            </w:pPr>
            <w:r w:rsidRPr="00A4144E">
              <w:rPr>
                <w:b/>
                <w:bCs/>
              </w:rPr>
              <w:t>2,599,099</w:t>
            </w:r>
          </w:p>
        </w:tc>
        <w:tc>
          <w:tcPr>
            <w:tcW w:w="1191" w:type="dxa"/>
          </w:tcPr>
          <w:p w14:paraId="4B06F001" w14:textId="77777777" w:rsidR="00B02873" w:rsidRPr="00A4144E" w:rsidRDefault="00B02873" w:rsidP="00A4144E">
            <w:pPr>
              <w:pStyle w:val="TablebodyleftFinancialsTables"/>
              <w:jc w:val="right"/>
              <w:rPr>
                <w:b/>
                <w:bCs/>
              </w:rPr>
            </w:pPr>
            <w:r w:rsidRPr="00A4144E">
              <w:rPr>
                <w:b/>
                <w:bCs/>
              </w:rPr>
              <w:t>–</w:t>
            </w:r>
          </w:p>
        </w:tc>
        <w:tc>
          <w:tcPr>
            <w:tcW w:w="1190" w:type="dxa"/>
          </w:tcPr>
          <w:p w14:paraId="64324255" w14:textId="77777777" w:rsidR="00B02873" w:rsidRPr="00A4144E" w:rsidRDefault="00B02873" w:rsidP="00A4144E">
            <w:pPr>
              <w:pStyle w:val="TablebodyleftFinancialsTables"/>
              <w:jc w:val="right"/>
              <w:rPr>
                <w:b/>
                <w:bCs/>
              </w:rPr>
            </w:pPr>
            <w:r w:rsidRPr="00A4144E">
              <w:rPr>
                <w:b/>
                <w:bCs/>
              </w:rPr>
              <w:t>–</w:t>
            </w:r>
          </w:p>
        </w:tc>
        <w:tc>
          <w:tcPr>
            <w:tcW w:w="1191" w:type="dxa"/>
          </w:tcPr>
          <w:p w14:paraId="7727AD43" w14:textId="77777777" w:rsidR="00B02873" w:rsidRPr="00A4144E" w:rsidRDefault="00B02873" w:rsidP="00A4144E">
            <w:pPr>
              <w:pStyle w:val="TablebodyleftFinancialsTables"/>
              <w:jc w:val="right"/>
              <w:rPr>
                <w:b/>
                <w:bCs/>
              </w:rPr>
            </w:pPr>
            <w:r w:rsidRPr="00A4144E">
              <w:rPr>
                <w:b/>
                <w:bCs/>
              </w:rPr>
              <w:t>2,599,099</w:t>
            </w:r>
          </w:p>
        </w:tc>
      </w:tr>
      <w:tr w:rsidR="00B02873" w:rsidRPr="00B02873" w14:paraId="2892731C" w14:textId="77777777" w:rsidTr="003B4B46">
        <w:tc>
          <w:tcPr>
            <w:tcW w:w="4876" w:type="dxa"/>
          </w:tcPr>
          <w:p w14:paraId="49D09DC3" w14:textId="77777777" w:rsidR="00B02873" w:rsidRDefault="00B02873" w:rsidP="00A4144E">
            <w:pPr>
              <w:pStyle w:val="TablebodyleftFinancialsTables"/>
              <w:tabs>
                <w:tab w:val="left" w:pos="269"/>
              </w:tabs>
            </w:pPr>
            <w:r>
              <w:tab/>
              <w:t>Crown land – Conservation reserves</w:t>
            </w:r>
          </w:p>
        </w:tc>
        <w:tc>
          <w:tcPr>
            <w:tcW w:w="1190" w:type="dxa"/>
          </w:tcPr>
          <w:p w14:paraId="63410C51" w14:textId="77777777" w:rsidR="00B02873" w:rsidRPr="00A4144E" w:rsidRDefault="00B02873" w:rsidP="00A4144E">
            <w:pPr>
              <w:pStyle w:val="TablebodyleftFinancialsTables"/>
              <w:jc w:val="right"/>
              <w:rPr>
                <w:b/>
                <w:bCs/>
              </w:rPr>
            </w:pPr>
            <w:r w:rsidRPr="00A4144E">
              <w:rPr>
                <w:b/>
                <w:bCs/>
              </w:rPr>
              <w:t>109,636</w:t>
            </w:r>
          </w:p>
        </w:tc>
        <w:tc>
          <w:tcPr>
            <w:tcW w:w="1191" w:type="dxa"/>
          </w:tcPr>
          <w:p w14:paraId="51826E65" w14:textId="77777777" w:rsidR="00B02873" w:rsidRPr="00A4144E" w:rsidRDefault="00B02873" w:rsidP="00A4144E">
            <w:pPr>
              <w:pStyle w:val="TablebodyleftFinancialsTables"/>
              <w:jc w:val="right"/>
              <w:rPr>
                <w:b/>
                <w:bCs/>
              </w:rPr>
            </w:pPr>
            <w:r w:rsidRPr="00A4144E">
              <w:rPr>
                <w:b/>
                <w:bCs/>
              </w:rPr>
              <w:t>–</w:t>
            </w:r>
          </w:p>
        </w:tc>
        <w:tc>
          <w:tcPr>
            <w:tcW w:w="1190" w:type="dxa"/>
          </w:tcPr>
          <w:p w14:paraId="13D1F2E8" w14:textId="77777777" w:rsidR="00B02873" w:rsidRPr="00A4144E" w:rsidRDefault="00B02873" w:rsidP="00A4144E">
            <w:pPr>
              <w:pStyle w:val="TablebodyleftFinancialsTables"/>
              <w:jc w:val="right"/>
              <w:rPr>
                <w:b/>
                <w:bCs/>
              </w:rPr>
            </w:pPr>
            <w:r w:rsidRPr="00A4144E">
              <w:rPr>
                <w:b/>
                <w:bCs/>
              </w:rPr>
              <w:t>–</w:t>
            </w:r>
          </w:p>
        </w:tc>
        <w:tc>
          <w:tcPr>
            <w:tcW w:w="1191" w:type="dxa"/>
          </w:tcPr>
          <w:p w14:paraId="78607C6E" w14:textId="77777777" w:rsidR="00B02873" w:rsidRPr="00A4144E" w:rsidRDefault="00B02873" w:rsidP="00A4144E">
            <w:pPr>
              <w:pStyle w:val="TablebodyleftFinancialsTables"/>
              <w:jc w:val="right"/>
              <w:rPr>
                <w:b/>
                <w:bCs/>
              </w:rPr>
            </w:pPr>
            <w:r w:rsidRPr="00A4144E">
              <w:rPr>
                <w:b/>
                <w:bCs/>
              </w:rPr>
              <w:t>109,636</w:t>
            </w:r>
          </w:p>
        </w:tc>
      </w:tr>
      <w:tr w:rsidR="00B02873" w:rsidRPr="00B02873" w14:paraId="5D9C0ED5" w14:textId="77777777" w:rsidTr="003B4B46">
        <w:tc>
          <w:tcPr>
            <w:tcW w:w="4876" w:type="dxa"/>
          </w:tcPr>
          <w:p w14:paraId="1556C96C" w14:textId="77777777" w:rsidR="00B02873" w:rsidRDefault="00B02873" w:rsidP="00A4144E">
            <w:pPr>
              <w:pStyle w:val="TablebodyleftFinancialsTables"/>
              <w:tabs>
                <w:tab w:val="left" w:pos="269"/>
              </w:tabs>
            </w:pPr>
            <w:r>
              <w:tab/>
              <w:t>Crown land – Metropolitan parks</w:t>
            </w:r>
          </w:p>
        </w:tc>
        <w:tc>
          <w:tcPr>
            <w:tcW w:w="1190" w:type="dxa"/>
          </w:tcPr>
          <w:p w14:paraId="3D79FC51" w14:textId="77777777" w:rsidR="00B02873" w:rsidRPr="00A4144E" w:rsidRDefault="00B02873" w:rsidP="00A4144E">
            <w:pPr>
              <w:pStyle w:val="TablebodyleftFinancialsTables"/>
              <w:jc w:val="right"/>
              <w:rPr>
                <w:b/>
                <w:bCs/>
              </w:rPr>
            </w:pPr>
            <w:r w:rsidRPr="00A4144E">
              <w:rPr>
                <w:b/>
                <w:bCs/>
              </w:rPr>
              <w:t>9,212</w:t>
            </w:r>
          </w:p>
        </w:tc>
        <w:tc>
          <w:tcPr>
            <w:tcW w:w="1191" w:type="dxa"/>
          </w:tcPr>
          <w:p w14:paraId="0BD17F3A" w14:textId="77777777" w:rsidR="00B02873" w:rsidRPr="00A4144E" w:rsidRDefault="00B02873" w:rsidP="00A4144E">
            <w:pPr>
              <w:pStyle w:val="TablebodyleftFinancialsTables"/>
              <w:jc w:val="right"/>
              <w:rPr>
                <w:b/>
                <w:bCs/>
              </w:rPr>
            </w:pPr>
            <w:r w:rsidRPr="00A4144E">
              <w:rPr>
                <w:b/>
                <w:bCs/>
              </w:rPr>
              <w:t>–</w:t>
            </w:r>
          </w:p>
        </w:tc>
        <w:tc>
          <w:tcPr>
            <w:tcW w:w="1190" w:type="dxa"/>
          </w:tcPr>
          <w:p w14:paraId="7F0A98B3" w14:textId="77777777" w:rsidR="00B02873" w:rsidRPr="00A4144E" w:rsidRDefault="00B02873" w:rsidP="00A4144E">
            <w:pPr>
              <w:pStyle w:val="TablebodyleftFinancialsTables"/>
              <w:jc w:val="right"/>
              <w:rPr>
                <w:b/>
                <w:bCs/>
              </w:rPr>
            </w:pPr>
            <w:r w:rsidRPr="00A4144E">
              <w:rPr>
                <w:b/>
                <w:bCs/>
              </w:rPr>
              <w:t>–</w:t>
            </w:r>
          </w:p>
        </w:tc>
        <w:tc>
          <w:tcPr>
            <w:tcW w:w="1191" w:type="dxa"/>
          </w:tcPr>
          <w:p w14:paraId="549119EA" w14:textId="77777777" w:rsidR="00B02873" w:rsidRPr="00A4144E" w:rsidRDefault="00B02873" w:rsidP="00A4144E">
            <w:pPr>
              <w:pStyle w:val="TablebodyleftFinancialsTables"/>
              <w:jc w:val="right"/>
              <w:rPr>
                <w:b/>
                <w:bCs/>
              </w:rPr>
            </w:pPr>
            <w:r w:rsidRPr="00A4144E">
              <w:rPr>
                <w:b/>
                <w:bCs/>
              </w:rPr>
              <w:t>9,212</w:t>
            </w:r>
          </w:p>
        </w:tc>
      </w:tr>
      <w:tr w:rsidR="00B02873" w:rsidRPr="00B02873" w14:paraId="0FE27355" w14:textId="77777777" w:rsidTr="003B4B46">
        <w:tc>
          <w:tcPr>
            <w:tcW w:w="4876" w:type="dxa"/>
          </w:tcPr>
          <w:p w14:paraId="46F1DFA3" w14:textId="77777777" w:rsidR="00B02873" w:rsidRDefault="00B02873" w:rsidP="00A4144E">
            <w:pPr>
              <w:pStyle w:val="TablebodyleftFinancialsTables"/>
              <w:tabs>
                <w:tab w:val="left" w:pos="269"/>
              </w:tabs>
            </w:pPr>
            <w:r>
              <w:tab/>
              <w:t>Crown land – Land used for operational purposes</w:t>
            </w:r>
          </w:p>
        </w:tc>
        <w:tc>
          <w:tcPr>
            <w:tcW w:w="1190" w:type="dxa"/>
          </w:tcPr>
          <w:p w14:paraId="481D5D63" w14:textId="77777777" w:rsidR="00B02873" w:rsidRPr="00A4144E" w:rsidRDefault="00B02873" w:rsidP="00A4144E">
            <w:pPr>
              <w:pStyle w:val="TablebodyleftFinancialsTables"/>
              <w:jc w:val="right"/>
              <w:rPr>
                <w:b/>
                <w:bCs/>
              </w:rPr>
            </w:pPr>
            <w:r w:rsidRPr="00A4144E">
              <w:rPr>
                <w:b/>
                <w:bCs/>
              </w:rPr>
              <w:t>57,295</w:t>
            </w:r>
          </w:p>
        </w:tc>
        <w:tc>
          <w:tcPr>
            <w:tcW w:w="1191" w:type="dxa"/>
          </w:tcPr>
          <w:p w14:paraId="29946B65" w14:textId="77777777" w:rsidR="00B02873" w:rsidRPr="00A4144E" w:rsidRDefault="00B02873" w:rsidP="00A4144E">
            <w:pPr>
              <w:pStyle w:val="TablebodyleftFinancialsTables"/>
              <w:jc w:val="right"/>
              <w:rPr>
                <w:b/>
                <w:bCs/>
              </w:rPr>
            </w:pPr>
            <w:r w:rsidRPr="00A4144E">
              <w:rPr>
                <w:b/>
                <w:bCs/>
              </w:rPr>
              <w:t>–</w:t>
            </w:r>
          </w:p>
        </w:tc>
        <w:tc>
          <w:tcPr>
            <w:tcW w:w="1190" w:type="dxa"/>
          </w:tcPr>
          <w:p w14:paraId="3DE8BFA8" w14:textId="77777777" w:rsidR="00B02873" w:rsidRPr="00A4144E" w:rsidRDefault="00B02873" w:rsidP="00A4144E">
            <w:pPr>
              <w:pStyle w:val="TablebodyleftFinancialsTables"/>
              <w:jc w:val="right"/>
              <w:rPr>
                <w:b/>
                <w:bCs/>
              </w:rPr>
            </w:pPr>
            <w:r w:rsidRPr="00A4144E">
              <w:rPr>
                <w:b/>
                <w:bCs/>
              </w:rPr>
              <w:t>–</w:t>
            </w:r>
          </w:p>
        </w:tc>
        <w:tc>
          <w:tcPr>
            <w:tcW w:w="1191" w:type="dxa"/>
          </w:tcPr>
          <w:p w14:paraId="250D7230" w14:textId="77777777" w:rsidR="00B02873" w:rsidRPr="00A4144E" w:rsidRDefault="00B02873" w:rsidP="00A4144E">
            <w:pPr>
              <w:pStyle w:val="TablebodyleftFinancialsTables"/>
              <w:jc w:val="right"/>
              <w:rPr>
                <w:b/>
                <w:bCs/>
              </w:rPr>
            </w:pPr>
            <w:r w:rsidRPr="00A4144E">
              <w:rPr>
                <w:b/>
                <w:bCs/>
              </w:rPr>
              <w:t>57,295</w:t>
            </w:r>
          </w:p>
        </w:tc>
      </w:tr>
      <w:tr w:rsidR="00B02873" w:rsidRPr="00B02873" w14:paraId="3D4DF871" w14:textId="77777777" w:rsidTr="003B4B46">
        <w:tc>
          <w:tcPr>
            <w:tcW w:w="4876" w:type="dxa"/>
          </w:tcPr>
          <w:p w14:paraId="7D6F39D3" w14:textId="77777777" w:rsidR="00B02873" w:rsidRDefault="00B02873" w:rsidP="00A4144E">
            <w:pPr>
              <w:pStyle w:val="TablebodyleftFinancialsTables"/>
              <w:tabs>
                <w:tab w:val="left" w:pos="269"/>
              </w:tabs>
            </w:pPr>
            <w:r>
              <w:tab/>
              <w:t>Land purchases in progress</w:t>
            </w:r>
          </w:p>
        </w:tc>
        <w:tc>
          <w:tcPr>
            <w:tcW w:w="1190" w:type="dxa"/>
          </w:tcPr>
          <w:p w14:paraId="2F0A4B77" w14:textId="77777777" w:rsidR="00B02873" w:rsidRPr="00A4144E" w:rsidRDefault="00B02873" w:rsidP="00A4144E">
            <w:pPr>
              <w:pStyle w:val="TablebodyleftFinancialsTables"/>
              <w:jc w:val="right"/>
              <w:rPr>
                <w:b/>
                <w:bCs/>
              </w:rPr>
            </w:pPr>
            <w:r w:rsidRPr="00A4144E">
              <w:rPr>
                <w:b/>
                <w:bCs/>
              </w:rPr>
              <w:t>217,116</w:t>
            </w:r>
          </w:p>
        </w:tc>
        <w:tc>
          <w:tcPr>
            <w:tcW w:w="1191" w:type="dxa"/>
          </w:tcPr>
          <w:p w14:paraId="38FDD8CA" w14:textId="77777777" w:rsidR="00B02873" w:rsidRPr="00A4144E" w:rsidRDefault="00B02873" w:rsidP="00A4144E">
            <w:pPr>
              <w:pStyle w:val="TablebodyleftFinancialsTables"/>
              <w:jc w:val="right"/>
              <w:rPr>
                <w:b/>
                <w:bCs/>
              </w:rPr>
            </w:pPr>
            <w:r w:rsidRPr="00A4144E">
              <w:rPr>
                <w:b/>
                <w:bCs/>
              </w:rPr>
              <w:t>–</w:t>
            </w:r>
          </w:p>
        </w:tc>
        <w:tc>
          <w:tcPr>
            <w:tcW w:w="1190" w:type="dxa"/>
          </w:tcPr>
          <w:p w14:paraId="7D729EF0" w14:textId="77777777" w:rsidR="00B02873" w:rsidRPr="00A4144E" w:rsidRDefault="00B02873" w:rsidP="00A4144E">
            <w:pPr>
              <w:pStyle w:val="TablebodyleftFinancialsTables"/>
              <w:jc w:val="right"/>
              <w:rPr>
                <w:b/>
                <w:bCs/>
              </w:rPr>
            </w:pPr>
            <w:r w:rsidRPr="00A4144E">
              <w:rPr>
                <w:b/>
                <w:bCs/>
              </w:rPr>
              <w:t>–</w:t>
            </w:r>
          </w:p>
        </w:tc>
        <w:tc>
          <w:tcPr>
            <w:tcW w:w="1191" w:type="dxa"/>
          </w:tcPr>
          <w:p w14:paraId="31484A0F" w14:textId="77777777" w:rsidR="00B02873" w:rsidRPr="00A4144E" w:rsidRDefault="00B02873" w:rsidP="00A4144E">
            <w:pPr>
              <w:pStyle w:val="TablebodyleftFinancialsTables"/>
              <w:jc w:val="right"/>
              <w:rPr>
                <w:b/>
                <w:bCs/>
              </w:rPr>
            </w:pPr>
            <w:r w:rsidRPr="00A4144E">
              <w:rPr>
                <w:b/>
                <w:bCs/>
              </w:rPr>
              <w:t>217,116</w:t>
            </w:r>
          </w:p>
        </w:tc>
      </w:tr>
      <w:tr w:rsidR="00B02873" w:rsidRPr="00B02873" w14:paraId="48467CCE" w14:textId="77777777" w:rsidTr="003B4B46">
        <w:tc>
          <w:tcPr>
            <w:tcW w:w="4876" w:type="dxa"/>
          </w:tcPr>
          <w:p w14:paraId="7340DC77" w14:textId="77777777" w:rsidR="00B02873" w:rsidRPr="00A4144E" w:rsidRDefault="00B02873" w:rsidP="00A4144E">
            <w:pPr>
              <w:pStyle w:val="TablebodyleftFinancialsTables"/>
              <w:tabs>
                <w:tab w:val="left" w:pos="269"/>
              </w:tabs>
              <w:rPr>
                <w:b/>
                <w:bCs/>
              </w:rPr>
            </w:pPr>
            <w:r w:rsidRPr="00A4144E">
              <w:rPr>
                <w:b/>
                <w:bCs/>
              </w:rPr>
              <w:t>Buildings and structures at fair value</w:t>
            </w:r>
          </w:p>
        </w:tc>
        <w:tc>
          <w:tcPr>
            <w:tcW w:w="1190" w:type="dxa"/>
          </w:tcPr>
          <w:p w14:paraId="1A56C422" w14:textId="77777777" w:rsidR="00B02873" w:rsidRPr="00A4144E" w:rsidRDefault="00B02873" w:rsidP="00A4144E">
            <w:pPr>
              <w:pStyle w:val="TablebodyleftFinancialsTables"/>
              <w:jc w:val="right"/>
              <w:rPr>
                <w:b/>
                <w:bCs/>
              </w:rPr>
            </w:pPr>
          </w:p>
        </w:tc>
        <w:tc>
          <w:tcPr>
            <w:tcW w:w="1191" w:type="dxa"/>
          </w:tcPr>
          <w:p w14:paraId="0DAF0C6B" w14:textId="77777777" w:rsidR="00B02873" w:rsidRPr="00A4144E" w:rsidRDefault="00B02873" w:rsidP="00A4144E">
            <w:pPr>
              <w:pStyle w:val="TablebodyleftFinancialsTables"/>
              <w:jc w:val="right"/>
              <w:rPr>
                <w:b/>
                <w:bCs/>
              </w:rPr>
            </w:pPr>
          </w:p>
        </w:tc>
        <w:tc>
          <w:tcPr>
            <w:tcW w:w="1190" w:type="dxa"/>
          </w:tcPr>
          <w:p w14:paraId="0F7C23F7" w14:textId="77777777" w:rsidR="00B02873" w:rsidRPr="00A4144E" w:rsidRDefault="00B02873" w:rsidP="00A4144E">
            <w:pPr>
              <w:pStyle w:val="TablebodyleftFinancialsTables"/>
              <w:jc w:val="right"/>
              <w:rPr>
                <w:b/>
                <w:bCs/>
              </w:rPr>
            </w:pPr>
          </w:p>
        </w:tc>
        <w:tc>
          <w:tcPr>
            <w:tcW w:w="1191" w:type="dxa"/>
          </w:tcPr>
          <w:p w14:paraId="287C6BF6" w14:textId="77777777" w:rsidR="00B02873" w:rsidRPr="00A4144E" w:rsidRDefault="00B02873" w:rsidP="00A4144E">
            <w:pPr>
              <w:pStyle w:val="TablebodyleftFinancialsTables"/>
              <w:jc w:val="right"/>
              <w:rPr>
                <w:b/>
                <w:bCs/>
              </w:rPr>
            </w:pPr>
          </w:p>
        </w:tc>
      </w:tr>
      <w:tr w:rsidR="00B02873" w:rsidRPr="00B02873" w14:paraId="5DD14F0F" w14:textId="77777777" w:rsidTr="003B4B46">
        <w:tc>
          <w:tcPr>
            <w:tcW w:w="4876" w:type="dxa"/>
          </w:tcPr>
          <w:p w14:paraId="532ECCC4" w14:textId="77777777" w:rsidR="00B02873" w:rsidRDefault="00B02873" w:rsidP="00A4144E">
            <w:pPr>
              <w:pStyle w:val="TablebodyleftFinancialsTables"/>
              <w:tabs>
                <w:tab w:val="left" w:pos="269"/>
              </w:tabs>
            </w:pPr>
            <w:r>
              <w:t>Non specialised buildings and structures</w:t>
            </w:r>
          </w:p>
        </w:tc>
        <w:tc>
          <w:tcPr>
            <w:tcW w:w="1190" w:type="dxa"/>
          </w:tcPr>
          <w:p w14:paraId="4572648D" w14:textId="77777777" w:rsidR="00B02873" w:rsidRPr="00A4144E" w:rsidRDefault="00B02873" w:rsidP="00A4144E">
            <w:pPr>
              <w:pStyle w:val="TablebodyleftFinancialsTables"/>
              <w:jc w:val="right"/>
              <w:rPr>
                <w:b/>
                <w:bCs/>
              </w:rPr>
            </w:pPr>
            <w:r w:rsidRPr="00A4144E">
              <w:rPr>
                <w:b/>
                <w:bCs/>
              </w:rPr>
              <w:t>24,693</w:t>
            </w:r>
          </w:p>
        </w:tc>
        <w:tc>
          <w:tcPr>
            <w:tcW w:w="1191" w:type="dxa"/>
          </w:tcPr>
          <w:p w14:paraId="50885DE6" w14:textId="77777777" w:rsidR="00B02873" w:rsidRPr="00A4144E" w:rsidRDefault="00B02873" w:rsidP="00A4144E">
            <w:pPr>
              <w:pStyle w:val="TablebodyleftFinancialsTables"/>
              <w:jc w:val="right"/>
              <w:rPr>
                <w:b/>
                <w:bCs/>
              </w:rPr>
            </w:pPr>
            <w:r w:rsidRPr="00A4144E">
              <w:rPr>
                <w:b/>
                <w:bCs/>
              </w:rPr>
              <w:t>–</w:t>
            </w:r>
          </w:p>
        </w:tc>
        <w:tc>
          <w:tcPr>
            <w:tcW w:w="1190" w:type="dxa"/>
          </w:tcPr>
          <w:p w14:paraId="1A8710E1" w14:textId="77777777" w:rsidR="00B02873" w:rsidRPr="00A4144E" w:rsidRDefault="00B02873" w:rsidP="00A4144E">
            <w:pPr>
              <w:pStyle w:val="TablebodyleftFinancialsTables"/>
              <w:jc w:val="right"/>
              <w:rPr>
                <w:b/>
                <w:bCs/>
              </w:rPr>
            </w:pPr>
            <w:r w:rsidRPr="00A4144E">
              <w:rPr>
                <w:b/>
                <w:bCs/>
              </w:rPr>
              <w:t>24,693</w:t>
            </w:r>
          </w:p>
        </w:tc>
        <w:tc>
          <w:tcPr>
            <w:tcW w:w="1191" w:type="dxa"/>
          </w:tcPr>
          <w:p w14:paraId="4A9F56CA" w14:textId="77777777" w:rsidR="00B02873" w:rsidRPr="00A4144E" w:rsidRDefault="00B02873" w:rsidP="00A4144E">
            <w:pPr>
              <w:pStyle w:val="TablebodyleftFinancialsTables"/>
              <w:jc w:val="right"/>
              <w:rPr>
                <w:b/>
                <w:bCs/>
              </w:rPr>
            </w:pPr>
            <w:r w:rsidRPr="00A4144E">
              <w:rPr>
                <w:b/>
                <w:bCs/>
              </w:rPr>
              <w:t>–</w:t>
            </w:r>
          </w:p>
        </w:tc>
      </w:tr>
      <w:tr w:rsidR="00B02873" w:rsidRPr="00B02873" w14:paraId="6D4E959E" w14:textId="77777777" w:rsidTr="003B4B46">
        <w:tc>
          <w:tcPr>
            <w:tcW w:w="4876" w:type="dxa"/>
          </w:tcPr>
          <w:p w14:paraId="41D2DDD2" w14:textId="77777777" w:rsidR="00B02873" w:rsidRDefault="00B02873" w:rsidP="00A4144E">
            <w:pPr>
              <w:pStyle w:val="TablebodyleftFinancialsTables"/>
              <w:tabs>
                <w:tab w:val="left" w:pos="269"/>
              </w:tabs>
            </w:pPr>
            <w:r>
              <w:t>Specialised buildings and structures</w:t>
            </w:r>
          </w:p>
        </w:tc>
        <w:tc>
          <w:tcPr>
            <w:tcW w:w="1190" w:type="dxa"/>
          </w:tcPr>
          <w:p w14:paraId="5194A64B" w14:textId="77777777" w:rsidR="00B02873" w:rsidRPr="00A4144E" w:rsidRDefault="00B02873" w:rsidP="00A4144E">
            <w:pPr>
              <w:pStyle w:val="TablebodyleftFinancialsTables"/>
              <w:jc w:val="right"/>
              <w:rPr>
                <w:b/>
                <w:bCs/>
              </w:rPr>
            </w:pPr>
            <w:r w:rsidRPr="00A4144E">
              <w:rPr>
                <w:b/>
                <w:bCs/>
              </w:rPr>
              <w:t>652,447</w:t>
            </w:r>
          </w:p>
        </w:tc>
        <w:tc>
          <w:tcPr>
            <w:tcW w:w="1191" w:type="dxa"/>
          </w:tcPr>
          <w:p w14:paraId="4EBC5F64" w14:textId="77777777" w:rsidR="00B02873" w:rsidRPr="00A4144E" w:rsidRDefault="00B02873" w:rsidP="00A4144E">
            <w:pPr>
              <w:pStyle w:val="TablebodyleftFinancialsTables"/>
              <w:jc w:val="right"/>
              <w:rPr>
                <w:b/>
                <w:bCs/>
              </w:rPr>
            </w:pPr>
            <w:r w:rsidRPr="00A4144E">
              <w:rPr>
                <w:b/>
                <w:bCs/>
              </w:rPr>
              <w:t>–</w:t>
            </w:r>
          </w:p>
        </w:tc>
        <w:tc>
          <w:tcPr>
            <w:tcW w:w="1190" w:type="dxa"/>
          </w:tcPr>
          <w:p w14:paraId="2BA4587F" w14:textId="77777777" w:rsidR="00B02873" w:rsidRPr="00A4144E" w:rsidRDefault="00B02873" w:rsidP="00A4144E">
            <w:pPr>
              <w:pStyle w:val="TablebodyleftFinancialsTables"/>
              <w:jc w:val="right"/>
              <w:rPr>
                <w:b/>
                <w:bCs/>
              </w:rPr>
            </w:pPr>
            <w:r w:rsidRPr="00A4144E">
              <w:rPr>
                <w:b/>
                <w:bCs/>
              </w:rPr>
              <w:t>–</w:t>
            </w:r>
          </w:p>
        </w:tc>
        <w:tc>
          <w:tcPr>
            <w:tcW w:w="1191" w:type="dxa"/>
          </w:tcPr>
          <w:p w14:paraId="5AE3B975" w14:textId="77777777" w:rsidR="00B02873" w:rsidRPr="00A4144E" w:rsidRDefault="00B02873" w:rsidP="00A4144E">
            <w:pPr>
              <w:pStyle w:val="TablebodyleftFinancialsTables"/>
              <w:jc w:val="right"/>
              <w:rPr>
                <w:b/>
                <w:bCs/>
              </w:rPr>
            </w:pPr>
            <w:r w:rsidRPr="00A4144E">
              <w:rPr>
                <w:b/>
                <w:bCs/>
              </w:rPr>
              <w:t>652,447</w:t>
            </w:r>
          </w:p>
        </w:tc>
      </w:tr>
      <w:tr w:rsidR="00B02873" w:rsidRPr="00B02873" w14:paraId="6F44F399" w14:textId="77777777" w:rsidTr="003B4B46">
        <w:tc>
          <w:tcPr>
            <w:tcW w:w="4876" w:type="dxa"/>
          </w:tcPr>
          <w:p w14:paraId="7ACEBF9D" w14:textId="77777777" w:rsidR="00B02873" w:rsidRDefault="00B02873" w:rsidP="00A4144E">
            <w:pPr>
              <w:pStyle w:val="TablebodyleftFinancialsTables"/>
              <w:tabs>
                <w:tab w:val="left" w:pos="269"/>
              </w:tabs>
            </w:pPr>
            <w:r>
              <w:t>Right of use buildings structures</w:t>
            </w:r>
          </w:p>
        </w:tc>
        <w:tc>
          <w:tcPr>
            <w:tcW w:w="1190" w:type="dxa"/>
          </w:tcPr>
          <w:p w14:paraId="6899D58E" w14:textId="77777777" w:rsidR="00B02873" w:rsidRPr="00A4144E" w:rsidRDefault="00B02873" w:rsidP="00A4144E">
            <w:pPr>
              <w:pStyle w:val="TablebodyleftFinancialsTables"/>
              <w:jc w:val="right"/>
              <w:rPr>
                <w:b/>
                <w:bCs/>
              </w:rPr>
            </w:pPr>
            <w:r w:rsidRPr="00A4144E">
              <w:rPr>
                <w:b/>
                <w:bCs/>
              </w:rPr>
              <w:t>1,847</w:t>
            </w:r>
          </w:p>
        </w:tc>
        <w:tc>
          <w:tcPr>
            <w:tcW w:w="1191" w:type="dxa"/>
          </w:tcPr>
          <w:p w14:paraId="70A29B99" w14:textId="77777777" w:rsidR="00B02873" w:rsidRPr="00A4144E" w:rsidRDefault="00B02873" w:rsidP="00A4144E">
            <w:pPr>
              <w:pStyle w:val="TablebodyleftFinancialsTables"/>
              <w:jc w:val="right"/>
              <w:rPr>
                <w:b/>
                <w:bCs/>
              </w:rPr>
            </w:pPr>
            <w:r w:rsidRPr="00A4144E">
              <w:rPr>
                <w:b/>
                <w:bCs/>
              </w:rPr>
              <w:t>–</w:t>
            </w:r>
          </w:p>
        </w:tc>
        <w:tc>
          <w:tcPr>
            <w:tcW w:w="1190" w:type="dxa"/>
          </w:tcPr>
          <w:p w14:paraId="293835D1" w14:textId="77777777" w:rsidR="00B02873" w:rsidRPr="00A4144E" w:rsidRDefault="00B02873" w:rsidP="00A4144E">
            <w:pPr>
              <w:pStyle w:val="TablebodyleftFinancialsTables"/>
              <w:jc w:val="right"/>
              <w:rPr>
                <w:b/>
                <w:bCs/>
              </w:rPr>
            </w:pPr>
            <w:r w:rsidRPr="00A4144E">
              <w:rPr>
                <w:b/>
                <w:bCs/>
              </w:rPr>
              <w:t>–</w:t>
            </w:r>
          </w:p>
        </w:tc>
        <w:tc>
          <w:tcPr>
            <w:tcW w:w="1191" w:type="dxa"/>
          </w:tcPr>
          <w:p w14:paraId="6C7568DE" w14:textId="77777777" w:rsidR="00B02873" w:rsidRPr="00A4144E" w:rsidRDefault="00B02873" w:rsidP="00A4144E">
            <w:pPr>
              <w:pStyle w:val="TablebodyleftFinancialsTables"/>
              <w:jc w:val="right"/>
              <w:rPr>
                <w:b/>
                <w:bCs/>
              </w:rPr>
            </w:pPr>
            <w:r w:rsidRPr="00A4144E">
              <w:rPr>
                <w:b/>
                <w:bCs/>
              </w:rPr>
              <w:t>1,847</w:t>
            </w:r>
          </w:p>
        </w:tc>
      </w:tr>
      <w:tr w:rsidR="00B02873" w:rsidRPr="00B02873" w14:paraId="1A60D2AB" w14:textId="77777777" w:rsidTr="003B4B46">
        <w:tc>
          <w:tcPr>
            <w:tcW w:w="4876" w:type="dxa"/>
          </w:tcPr>
          <w:p w14:paraId="4342249A" w14:textId="77777777" w:rsidR="00B02873" w:rsidRPr="00A4144E" w:rsidRDefault="00B02873" w:rsidP="00A4144E">
            <w:pPr>
              <w:pStyle w:val="TablebodyleftFinancialsTables"/>
              <w:tabs>
                <w:tab w:val="left" w:pos="269"/>
              </w:tabs>
              <w:rPr>
                <w:b/>
                <w:bCs/>
              </w:rPr>
            </w:pPr>
            <w:r w:rsidRPr="00A4144E">
              <w:rPr>
                <w:b/>
                <w:bCs/>
              </w:rPr>
              <w:t>Roads at fair value</w:t>
            </w:r>
          </w:p>
        </w:tc>
        <w:tc>
          <w:tcPr>
            <w:tcW w:w="1190" w:type="dxa"/>
          </w:tcPr>
          <w:p w14:paraId="5B82F0B3" w14:textId="77777777" w:rsidR="00B02873" w:rsidRPr="00A4144E" w:rsidRDefault="00B02873" w:rsidP="00A4144E">
            <w:pPr>
              <w:pStyle w:val="TablebodyleftFinancialsTables"/>
              <w:jc w:val="right"/>
              <w:rPr>
                <w:b/>
                <w:bCs/>
              </w:rPr>
            </w:pPr>
          </w:p>
        </w:tc>
        <w:tc>
          <w:tcPr>
            <w:tcW w:w="1191" w:type="dxa"/>
          </w:tcPr>
          <w:p w14:paraId="4958EB2D" w14:textId="77777777" w:rsidR="00B02873" w:rsidRPr="00A4144E" w:rsidRDefault="00B02873" w:rsidP="00A4144E">
            <w:pPr>
              <w:pStyle w:val="TablebodyleftFinancialsTables"/>
              <w:jc w:val="right"/>
              <w:rPr>
                <w:b/>
                <w:bCs/>
              </w:rPr>
            </w:pPr>
          </w:p>
        </w:tc>
        <w:tc>
          <w:tcPr>
            <w:tcW w:w="1190" w:type="dxa"/>
          </w:tcPr>
          <w:p w14:paraId="7343099E" w14:textId="77777777" w:rsidR="00B02873" w:rsidRPr="00A4144E" w:rsidRDefault="00B02873" w:rsidP="00A4144E">
            <w:pPr>
              <w:pStyle w:val="TablebodyleftFinancialsTables"/>
              <w:jc w:val="right"/>
              <w:rPr>
                <w:b/>
                <w:bCs/>
              </w:rPr>
            </w:pPr>
          </w:p>
        </w:tc>
        <w:tc>
          <w:tcPr>
            <w:tcW w:w="1191" w:type="dxa"/>
          </w:tcPr>
          <w:p w14:paraId="6DD4DE4B" w14:textId="77777777" w:rsidR="00B02873" w:rsidRPr="00A4144E" w:rsidRDefault="00B02873" w:rsidP="00A4144E">
            <w:pPr>
              <w:pStyle w:val="TablebodyleftFinancialsTables"/>
              <w:jc w:val="right"/>
              <w:rPr>
                <w:b/>
                <w:bCs/>
              </w:rPr>
            </w:pPr>
          </w:p>
        </w:tc>
      </w:tr>
      <w:tr w:rsidR="00B02873" w:rsidRPr="00B02873" w14:paraId="5D13CEC8" w14:textId="77777777" w:rsidTr="003B4B46">
        <w:tc>
          <w:tcPr>
            <w:tcW w:w="4876" w:type="dxa"/>
          </w:tcPr>
          <w:p w14:paraId="0F7EA17F" w14:textId="77777777" w:rsidR="00B02873" w:rsidRDefault="00B02873" w:rsidP="00A4144E">
            <w:pPr>
              <w:pStyle w:val="TablebodyleftFinancialsTables"/>
              <w:tabs>
                <w:tab w:val="left" w:pos="269"/>
              </w:tabs>
            </w:pPr>
            <w:r>
              <w:t>Roads</w:t>
            </w:r>
          </w:p>
        </w:tc>
        <w:tc>
          <w:tcPr>
            <w:tcW w:w="1190" w:type="dxa"/>
          </w:tcPr>
          <w:p w14:paraId="08064188" w14:textId="77777777" w:rsidR="00B02873" w:rsidRPr="00A4144E" w:rsidRDefault="00B02873" w:rsidP="00A4144E">
            <w:pPr>
              <w:pStyle w:val="TablebodyleftFinancialsTables"/>
              <w:jc w:val="right"/>
              <w:rPr>
                <w:b/>
                <w:bCs/>
              </w:rPr>
            </w:pPr>
            <w:r w:rsidRPr="00A4144E">
              <w:rPr>
                <w:b/>
                <w:bCs/>
              </w:rPr>
              <w:t>749,140</w:t>
            </w:r>
          </w:p>
        </w:tc>
        <w:tc>
          <w:tcPr>
            <w:tcW w:w="1191" w:type="dxa"/>
          </w:tcPr>
          <w:p w14:paraId="730CC150" w14:textId="77777777" w:rsidR="00B02873" w:rsidRPr="00A4144E" w:rsidRDefault="00B02873" w:rsidP="00A4144E">
            <w:pPr>
              <w:pStyle w:val="TablebodyleftFinancialsTables"/>
              <w:jc w:val="right"/>
              <w:rPr>
                <w:b/>
                <w:bCs/>
              </w:rPr>
            </w:pPr>
            <w:r w:rsidRPr="00A4144E">
              <w:rPr>
                <w:b/>
                <w:bCs/>
              </w:rPr>
              <w:t>–</w:t>
            </w:r>
          </w:p>
        </w:tc>
        <w:tc>
          <w:tcPr>
            <w:tcW w:w="1190" w:type="dxa"/>
          </w:tcPr>
          <w:p w14:paraId="4B612222" w14:textId="77777777" w:rsidR="00B02873" w:rsidRPr="00A4144E" w:rsidRDefault="00B02873" w:rsidP="00A4144E">
            <w:pPr>
              <w:pStyle w:val="TablebodyleftFinancialsTables"/>
              <w:jc w:val="right"/>
              <w:rPr>
                <w:b/>
                <w:bCs/>
              </w:rPr>
            </w:pPr>
            <w:r w:rsidRPr="00A4144E">
              <w:rPr>
                <w:b/>
                <w:bCs/>
              </w:rPr>
              <w:t>–</w:t>
            </w:r>
          </w:p>
        </w:tc>
        <w:tc>
          <w:tcPr>
            <w:tcW w:w="1191" w:type="dxa"/>
          </w:tcPr>
          <w:p w14:paraId="686746CB" w14:textId="77777777" w:rsidR="00B02873" w:rsidRPr="00A4144E" w:rsidRDefault="00B02873" w:rsidP="00A4144E">
            <w:pPr>
              <w:pStyle w:val="TablebodyleftFinancialsTables"/>
              <w:jc w:val="right"/>
              <w:rPr>
                <w:b/>
                <w:bCs/>
              </w:rPr>
            </w:pPr>
            <w:r w:rsidRPr="00A4144E">
              <w:rPr>
                <w:b/>
                <w:bCs/>
              </w:rPr>
              <w:t>749,140</w:t>
            </w:r>
          </w:p>
        </w:tc>
      </w:tr>
      <w:tr w:rsidR="00B02873" w:rsidRPr="00B02873" w14:paraId="2003E9F7" w14:textId="77777777" w:rsidTr="003B4B46">
        <w:tc>
          <w:tcPr>
            <w:tcW w:w="4876" w:type="dxa"/>
          </w:tcPr>
          <w:p w14:paraId="5BF0C438" w14:textId="77777777" w:rsidR="00B02873" w:rsidRPr="00A4144E" w:rsidRDefault="00B02873" w:rsidP="00A4144E">
            <w:pPr>
              <w:pStyle w:val="TablebodyleftFinancialsTables"/>
              <w:tabs>
                <w:tab w:val="left" w:pos="269"/>
              </w:tabs>
              <w:rPr>
                <w:b/>
                <w:bCs/>
              </w:rPr>
            </w:pPr>
            <w:r w:rsidRPr="00A4144E">
              <w:rPr>
                <w:b/>
                <w:bCs/>
              </w:rPr>
              <w:t>Plant and equipment at fair value</w:t>
            </w:r>
          </w:p>
        </w:tc>
        <w:tc>
          <w:tcPr>
            <w:tcW w:w="1190" w:type="dxa"/>
          </w:tcPr>
          <w:p w14:paraId="3EA471F5" w14:textId="77777777" w:rsidR="00B02873" w:rsidRPr="00A4144E" w:rsidRDefault="00B02873" w:rsidP="00A4144E">
            <w:pPr>
              <w:pStyle w:val="TablebodyleftFinancialsTables"/>
              <w:jc w:val="right"/>
              <w:rPr>
                <w:b/>
                <w:bCs/>
              </w:rPr>
            </w:pPr>
          </w:p>
        </w:tc>
        <w:tc>
          <w:tcPr>
            <w:tcW w:w="1191" w:type="dxa"/>
          </w:tcPr>
          <w:p w14:paraId="45B4A722" w14:textId="77777777" w:rsidR="00B02873" w:rsidRPr="00A4144E" w:rsidRDefault="00B02873" w:rsidP="00A4144E">
            <w:pPr>
              <w:pStyle w:val="TablebodyleftFinancialsTables"/>
              <w:jc w:val="right"/>
              <w:rPr>
                <w:b/>
                <w:bCs/>
              </w:rPr>
            </w:pPr>
          </w:p>
        </w:tc>
        <w:tc>
          <w:tcPr>
            <w:tcW w:w="1190" w:type="dxa"/>
          </w:tcPr>
          <w:p w14:paraId="3E7CA91B" w14:textId="77777777" w:rsidR="00B02873" w:rsidRPr="00A4144E" w:rsidRDefault="00B02873" w:rsidP="00A4144E">
            <w:pPr>
              <w:pStyle w:val="TablebodyleftFinancialsTables"/>
              <w:jc w:val="right"/>
              <w:rPr>
                <w:b/>
                <w:bCs/>
              </w:rPr>
            </w:pPr>
          </w:p>
        </w:tc>
        <w:tc>
          <w:tcPr>
            <w:tcW w:w="1191" w:type="dxa"/>
          </w:tcPr>
          <w:p w14:paraId="4F703DE9" w14:textId="77777777" w:rsidR="00B02873" w:rsidRPr="00A4144E" w:rsidRDefault="00B02873" w:rsidP="00A4144E">
            <w:pPr>
              <w:pStyle w:val="TablebodyleftFinancialsTables"/>
              <w:jc w:val="right"/>
              <w:rPr>
                <w:b/>
                <w:bCs/>
              </w:rPr>
            </w:pPr>
          </w:p>
        </w:tc>
      </w:tr>
      <w:tr w:rsidR="00B02873" w:rsidRPr="00B02873" w14:paraId="15C6B219" w14:textId="77777777" w:rsidTr="003B4B46">
        <w:tc>
          <w:tcPr>
            <w:tcW w:w="4876" w:type="dxa"/>
          </w:tcPr>
          <w:p w14:paraId="513365CC" w14:textId="77777777" w:rsidR="00B02873" w:rsidRDefault="00B02873" w:rsidP="00A4144E">
            <w:pPr>
              <w:pStyle w:val="TablebodyleftFinancialsTables"/>
              <w:tabs>
                <w:tab w:val="left" w:pos="269"/>
              </w:tabs>
            </w:pPr>
            <w:r>
              <w:t>Plant and equipment other than right of use</w:t>
            </w:r>
          </w:p>
        </w:tc>
        <w:tc>
          <w:tcPr>
            <w:tcW w:w="1190" w:type="dxa"/>
          </w:tcPr>
          <w:p w14:paraId="3BD51E5F" w14:textId="77777777" w:rsidR="00B02873" w:rsidRPr="00A4144E" w:rsidRDefault="00B02873" w:rsidP="00A4144E">
            <w:pPr>
              <w:pStyle w:val="TablebodyleftFinancialsTables"/>
              <w:jc w:val="right"/>
              <w:rPr>
                <w:b/>
                <w:bCs/>
              </w:rPr>
            </w:pPr>
            <w:r w:rsidRPr="00A4144E">
              <w:rPr>
                <w:b/>
                <w:bCs/>
              </w:rPr>
              <w:t>68,448</w:t>
            </w:r>
          </w:p>
        </w:tc>
        <w:tc>
          <w:tcPr>
            <w:tcW w:w="1191" w:type="dxa"/>
          </w:tcPr>
          <w:p w14:paraId="79FB057D" w14:textId="77777777" w:rsidR="00B02873" w:rsidRPr="00A4144E" w:rsidRDefault="00B02873" w:rsidP="00A4144E">
            <w:pPr>
              <w:pStyle w:val="TablebodyleftFinancialsTables"/>
              <w:jc w:val="right"/>
              <w:rPr>
                <w:b/>
                <w:bCs/>
              </w:rPr>
            </w:pPr>
            <w:r w:rsidRPr="00A4144E">
              <w:rPr>
                <w:b/>
                <w:bCs/>
              </w:rPr>
              <w:t>–</w:t>
            </w:r>
          </w:p>
        </w:tc>
        <w:tc>
          <w:tcPr>
            <w:tcW w:w="1190" w:type="dxa"/>
          </w:tcPr>
          <w:p w14:paraId="2E0E8A97" w14:textId="77777777" w:rsidR="00B02873" w:rsidRPr="00A4144E" w:rsidRDefault="00B02873" w:rsidP="00A4144E">
            <w:pPr>
              <w:pStyle w:val="TablebodyleftFinancialsTables"/>
              <w:jc w:val="right"/>
              <w:rPr>
                <w:b/>
                <w:bCs/>
              </w:rPr>
            </w:pPr>
            <w:r w:rsidRPr="00A4144E">
              <w:rPr>
                <w:b/>
                <w:bCs/>
              </w:rPr>
              <w:t>–</w:t>
            </w:r>
          </w:p>
        </w:tc>
        <w:tc>
          <w:tcPr>
            <w:tcW w:w="1191" w:type="dxa"/>
          </w:tcPr>
          <w:p w14:paraId="7EE79832" w14:textId="77777777" w:rsidR="00B02873" w:rsidRPr="00A4144E" w:rsidRDefault="00B02873" w:rsidP="00A4144E">
            <w:pPr>
              <w:pStyle w:val="TablebodyleftFinancialsTables"/>
              <w:jc w:val="right"/>
              <w:rPr>
                <w:b/>
                <w:bCs/>
              </w:rPr>
            </w:pPr>
            <w:r w:rsidRPr="00A4144E">
              <w:rPr>
                <w:b/>
                <w:bCs/>
              </w:rPr>
              <w:t>68,448</w:t>
            </w:r>
          </w:p>
        </w:tc>
      </w:tr>
      <w:tr w:rsidR="00B02873" w:rsidRPr="00B02873" w14:paraId="4EDBF0DE" w14:textId="77777777" w:rsidTr="003B4B46">
        <w:tc>
          <w:tcPr>
            <w:tcW w:w="4876" w:type="dxa"/>
          </w:tcPr>
          <w:p w14:paraId="02AB2D59" w14:textId="77777777" w:rsidR="00B02873" w:rsidRDefault="00B02873" w:rsidP="00A4144E">
            <w:pPr>
              <w:pStyle w:val="TablebodyleftFinancialsTables"/>
              <w:tabs>
                <w:tab w:val="left" w:pos="269"/>
              </w:tabs>
            </w:pPr>
            <w:r>
              <w:t>Right of use plant and equipment</w:t>
            </w:r>
          </w:p>
        </w:tc>
        <w:tc>
          <w:tcPr>
            <w:tcW w:w="1190" w:type="dxa"/>
          </w:tcPr>
          <w:p w14:paraId="7BF74EA6" w14:textId="77777777" w:rsidR="00B02873" w:rsidRPr="00A4144E" w:rsidRDefault="00B02873" w:rsidP="00A4144E">
            <w:pPr>
              <w:pStyle w:val="TablebodyleftFinancialsTables"/>
              <w:jc w:val="right"/>
              <w:rPr>
                <w:b/>
                <w:bCs/>
              </w:rPr>
            </w:pPr>
            <w:r w:rsidRPr="00A4144E">
              <w:rPr>
                <w:b/>
                <w:bCs/>
              </w:rPr>
              <w:t>47,243</w:t>
            </w:r>
          </w:p>
        </w:tc>
        <w:tc>
          <w:tcPr>
            <w:tcW w:w="1191" w:type="dxa"/>
          </w:tcPr>
          <w:p w14:paraId="599133A9" w14:textId="77777777" w:rsidR="00B02873" w:rsidRPr="00A4144E" w:rsidRDefault="00B02873" w:rsidP="00A4144E">
            <w:pPr>
              <w:pStyle w:val="TablebodyleftFinancialsTables"/>
              <w:jc w:val="right"/>
              <w:rPr>
                <w:b/>
                <w:bCs/>
              </w:rPr>
            </w:pPr>
            <w:r w:rsidRPr="00A4144E">
              <w:rPr>
                <w:b/>
                <w:bCs/>
              </w:rPr>
              <w:t>–</w:t>
            </w:r>
          </w:p>
        </w:tc>
        <w:tc>
          <w:tcPr>
            <w:tcW w:w="1190" w:type="dxa"/>
          </w:tcPr>
          <w:p w14:paraId="3277C6D1" w14:textId="77777777" w:rsidR="00B02873" w:rsidRPr="00A4144E" w:rsidRDefault="00B02873" w:rsidP="00A4144E">
            <w:pPr>
              <w:pStyle w:val="TablebodyleftFinancialsTables"/>
              <w:jc w:val="right"/>
              <w:rPr>
                <w:b/>
                <w:bCs/>
              </w:rPr>
            </w:pPr>
            <w:r w:rsidRPr="00A4144E">
              <w:rPr>
                <w:b/>
                <w:bCs/>
              </w:rPr>
              <w:t>47,243</w:t>
            </w:r>
          </w:p>
        </w:tc>
        <w:tc>
          <w:tcPr>
            <w:tcW w:w="1191" w:type="dxa"/>
          </w:tcPr>
          <w:p w14:paraId="38131366" w14:textId="77777777" w:rsidR="00B02873" w:rsidRPr="00A4144E" w:rsidRDefault="00B02873" w:rsidP="00A4144E">
            <w:pPr>
              <w:pStyle w:val="TablebodyleftFinancialsTables"/>
              <w:jc w:val="right"/>
              <w:rPr>
                <w:b/>
                <w:bCs/>
              </w:rPr>
            </w:pPr>
            <w:r w:rsidRPr="00A4144E">
              <w:rPr>
                <w:b/>
                <w:bCs/>
              </w:rPr>
              <w:t>–</w:t>
            </w:r>
          </w:p>
        </w:tc>
      </w:tr>
      <w:tr w:rsidR="00B02873" w:rsidRPr="00B02873" w14:paraId="32405C05" w14:textId="77777777" w:rsidTr="003B4B46">
        <w:tc>
          <w:tcPr>
            <w:tcW w:w="4876" w:type="dxa"/>
          </w:tcPr>
          <w:p w14:paraId="66B4530E" w14:textId="77777777" w:rsidR="00B02873" w:rsidRPr="00A4144E" w:rsidRDefault="00B02873" w:rsidP="00A4144E">
            <w:pPr>
              <w:pStyle w:val="TablebodyleftFinancialsTables"/>
              <w:tabs>
                <w:tab w:val="left" w:pos="269"/>
              </w:tabs>
              <w:rPr>
                <w:b/>
                <w:bCs/>
              </w:rPr>
            </w:pPr>
            <w:r w:rsidRPr="00A4144E">
              <w:rPr>
                <w:b/>
                <w:bCs/>
              </w:rPr>
              <w:t>Historic and cultural assets at fair value</w:t>
            </w:r>
          </w:p>
        </w:tc>
        <w:tc>
          <w:tcPr>
            <w:tcW w:w="1190" w:type="dxa"/>
          </w:tcPr>
          <w:p w14:paraId="2EE33B32" w14:textId="77777777" w:rsidR="00B02873" w:rsidRPr="00A4144E" w:rsidRDefault="00B02873" w:rsidP="00A4144E">
            <w:pPr>
              <w:pStyle w:val="TablebodyleftFinancialsTables"/>
              <w:jc w:val="right"/>
              <w:rPr>
                <w:b/>
                <w:bCs/>
              </w:rPr>
            </w:pPr>
          </w:p>
        </w:tc>
        <w:tc>
          <w:tcPr>
            <w:tcW w:w="1191" w:type="dxa"/>
          </w:tcPr>
          <w:p w14:paraId="5E62B159" w14:textId="77777777" w:rsidR="00B02873" w:rsidRPr="00A4144E" w:rsidRDefault="00B02873" w:rsidP="00A4144E">
            <w:pPr>
              <w:pStyle w:val="TablebodyleftFinancialsTables"/>
              <w:jc w:val="right"/>
              <w:rPr>
                <w:b/>
                <w:bCs/>
              </w:rPr>
            </w:pPr>
          </w:p>
        </w:tc>
        <w:tc>
          <w:tcPr>
            <w:tcW w:w="1190" w:type="dxa"/>
          </w:tcPr>
          <w:p w14:paraId="0B3A886A" w14:textId="77777777" w:rsidR="00B02873" w:rsidRPr="00A4144E" w:rsidRDefault="00B02873" w:rsidP="00A4144E">
            <w:pPr>
              <w:pStyle w:val="TablebodyleftFinancialsTables"/>
              <w:jc w:val="right"/>
              <w:rPr>
                <w:b/>
                <w:bCs/>
              </w:rPr>
            </w:pPr>
          </w:p>
        </w:tc>
        <w:tc>
          <w:tcPr>
            <w:tcW w:w="1191" w:type="dxa"/>
          </w:tcPr>
          <w:p w14:paraId="5F8FFF41" w14:textId="77777777" w:rsidR="00B02873" w:rsidRPr="00A4144E" w:rsidRDefault="00B02873" w:rsidP="00A4144E">
            <w:pPr>
              <w:pStyle w:val="TablebodyleftFinancialsTables"/>
              <w:jc w:val="right"/>
              <w:rPr>
                <w:b/>
                <w:bCs/>
              </w:rPr>
            </w:pPr>
          </w:p>
        </w:tc>
      </w:tr>
      <w:tr w:rsidR="00B02873" w:rsidRPr="00B02873" w14:paraId="762B42C5" w14:textId="77777777" w:rsidTr="003B4B46">
        <w:tc>
          <w:tcPr>
            <w:tcW w:w="4876" w:type="dxa"/>
          </w:tcPr>
          <w:p w14:paraId="6A170BDF" w14:textId="77777777" w:rsidR="00B02873" w:rsidRDefault="00B02873" w:rsidP="00A4144E">
            <w:pPr>
              <w:pStyle w:val="TablebodyleftFinancialsTables"/>
              <w:tabs>
                <w:tab w:val="left" w:pos="269"/>
              </w:tabs>
            </w:pPr>
            <w:r>
              <w:t>Artwork and historic assets</w:t>
            </w:r>
          </w:p>
        </w:tc>
        <w:tc>
          <w:tcPr>
            <w:tcW w:w="1190" w:type="dxa"/>
          </w:tcPr>
          <w:p w14:paraId="112F64F9" w14:textId="77777777" w:rsidR="00B02873" w:rsidRPr="00A4144E" w:rsidRDefault="00B02873" w:rsidP="00A4144E">
            <w:pPr>
              <w:pStyle w:val="TablebodyleftFinancialsTables"/>
              <w:jc w:val="right"/>
              <w:rPr>
                <w:b/>
                <w:bCs/>
              </w:rPr>
            </w:pPr>
            <w:r w:rsidRPr="00A4144E">
              <w:rPr>
                <w:b/>
                <w:bCs/>
              </w:rPr>
              <w:t>4,530</w:t>
            </w:r>
          </w:p>
        </w:tc>
        <w:tc>
          <w:tcPr>
            <w:tcW w:w="1191" w:type="dxa"/>
          </w:tcPr>
          <w:p w14:paraId="62415AB4" w14:textId="77777777" w:rsidR="00B02873" w:rsidRPr="00A4144E" w:rsidRDefault="00B02873" w:rsidP="00A4144E">
            <w:pPr>
              <w:pStyle w:val="TablebodyleftFinancialsTables"/>
              <w:jc w:val="right"/>
              <w:rPr>
                <w:b/>
                <w:bCs/>
              </w:rPr>
            </w:pPr>
            <w:r w:rsidRPr="00A4144E">
              <w:rPr>
                <w:b/>
                <w:bCs/>
              </w:rPr>
              <w:t>–</w:t>
            </w:r>
          </w:p>
        </w:tc>
        <w:tc>
          <w:tcPr>
            <w:tcW w:w="1190" w:type="dxa"/>
          </w:tcPr>
          <w:p w14:paraId="004198B7" w14:textId="77777777" w:rsidR="00B02873" w:rsidRPr="00A4144E" w:rsidRDefault="00B02873" w:rsidP="00A4144E">
            <w:pPr>
              <w:pStyle w:val="TablebodyleftFinancialsTables"/>
              <w:jc w:val="right"/>
              <w:rPr>
                <w:b/>
                <w:bCs/>
              </w:rPr>
            </w:pPr>
            <w:r w:rsidRPr="00A4144E">
              <w:rPr>
                <w:b/>
                <w:bCs/>
              </w:rPr>
              <w:t>4,530</w:t>
            </w:r>
          </w:p>
        </w:tc>
        <w:tc>
          <w:tcPr>
            <w:tcW w:w="1191" w:type="dxa"/>
          </w:tcPr>
          <w:p w14:paraId="6F8C587A" w14:textId="77777777" w:rsidR="00B02873" w:rsidRPr="00A4144E" w:rsidRDefault="00B02873" w:rsidP="00A4144E">
            <w:pPr>
              <w:pStyle w:val="TablebodyleftFinancialsTables"/>
              <w:jc w:val="right"/>
              <w:rPr>
                <w:b/>
                <w:bCs/>
              </w:rPr>
            </w:pPr>
            <w:r w:rsidRPr="00A4144E">
              <w:rPr>
                <w:b/>
                <w:bCs/>
              </w:rPr>
              <w:t>–</w:t>
            </w:r>
          </w:p>
        </w:tc>
      </w:tr>
      <w:tr w:rsidR="00B02873" w:rsidRPr="00B02873" w14:paraId="338B527B" w14:textId="77777777" w:rsidTr="003B4B46">
        <w:tc>
          <w:tcPr>
            <w:tcW w:w="4876" w:type="dxa"/>
          </w:tcPr>
          <w:p w14:paraId="74AD70EE" w14:textId="77777777" w:rsidR="00B02873" w:rsidRPr="005D724C" w:rsidRDefault="00B02873" w:rsidP="00A4144E">
            <w:pPr>
              <w:pStyle w:val="TablebodyleftFinancialsTables"/>
              <w:tabs>
                <w:tab w:val="left" w:pos="269"/>
              </w:tabs>
              <w:rPr>
                <w:b/>
                <w:bCs/>
              </w:rPr>
            </w:pPr>
            <w:r w:rsidRPr="005D724C">
              <w:rPr>
                <w:b/>
                <w:bCs/>
              </w:rPr>
              <w:t>2021</w:t>
            </w:r>
          </w:p>
        </w:tc>
        <w:tc>
          <w:tcPr>
            <w:tcW w:w="1190" w:type="dxa"/>
          </w:tcPr>
          <w:p w14:paraId="3CD253EC" w14:textId="77777777" w:rsidR="00B02873" w:rsidRPr="00B02873" w:rsidRDefault="00B02873" w:rsidP="00A4144E">
            <w:pPr>
              <w:pStyle w:val="TablebodyleftFinancialsTables"/>
              <w:jc w:val="right"/>
            </w:pPr>
          </w:p>
        </w:tc>
        <w:tc>
          <w:tcPr>
            <w:tcW w:w="1191" w:type="dxa"/>
          </w:tcPr>
          <w:p w14:paraId="6BEA4924" w14:textId="77777777" w:rsidR="00B02873" w:rsidRPr="00B02873" w:rsidRDefault="00B02873" w:rsidP="00A4144E">
            <w:pPr>
              <w:pStyle w:val="TablebodyleftFinancialsTables"/>
              <w:jc w:val="right"/>
            </w:pPr>
          </w:p>
        </w:tc>
        <w:tc>
          <w:tcPr>
            <w:tcW w:w="1190" w:type="dxa"/>
          </w:tcPr>
          <w:p w14:paraId="1604E410" w14:textId="77777777" w:rsidR="00B02873" w:rsidRPr="00B02873" w:rsidRDefault="00B02873" w:rsidP="00A4144E">
            <w:pPr>
              <w:pStyle w:val="TablebodyleftFinancialsTables"/>
              <w:jc w:val="right"/>
            </w:pPr>
          </w:p>
        </w:tc>
        <w:tc>
          <w:tcPr>
            <w:tcW w:w="1191" w:type="dxa"/>
          </w:tcPr>
          <w:p w14:paraId="54AE0890" w14:textId="77777777" w:rsidR="00B02873" w:rsidRPr="00B02873" w:rsidRDefault="00B02873" w:rsidP="00A4144E">
            <w:pPr>
              <w:pStyle w:val="TablebodyleftFinancialsTables"/>
              <w:jc w:val="right"/>
            </w:pPr>
          </w:p>
        </w:tc>
      </w:tr>
      <w:tr w:rsidR="00B02873" w:rsidRPr="00B02873" w14:paraId="702956EB" w14:textId="77777777" w:rsidTr="003B4B46">
        <w:tc>
          <w:tcPr>
            <w:tcW w:w="4876" w:type="dxa"/>
          </w:tcPr>
          <w:p w14:paraId="02E80E2E" w14:textId="77777777" w:rsidR="00B02873" w:rsidRPr="005D724C" w:rsidRDefault="00B02873" w:rsidP="00A4144E">
            <w:pPr>
              <w:pStyle w:val="TablebodyleftFinancialsTables"/>
              <w:tabs>
                <w:tab w:val="left" w:pos="269"/>
              </w:tabs>
              <w:rPr>
                <w:b/>
                <w:bCs/>
              </w:rPr>
            </w:pPr>
            <w:r w:rsidRPr="005D724C">
              <w:rPr>
                <w:b/>
                <w:bCs/>
              </w:rPr>
              <w:t>Land at fair value</w:t>
            </w:r>
          </w:p>
        </w:tc>
        <w:tc>
          <w:tcPr>
            <w:tcW w:w="1190" w:type="dxa"/>
          </w:tcPr>
          <w:p w14:paraId="1B74B7DB" w14:textId="77777777" w:rsidR="00B02873" w:rsidRPr="00B02873" w:rsidRDefault="00B02873" w:rsidP="00A4144E">
            <w:pPr>
              <w:pStyle w:val="TablebodyleftFinancialsTables"/>
              <w:jc w:val="right"/>
            </w:pPr>
          </w:p>
        </w:tc>
        <w:tc>
          <w:tcPr>
            <w:tcW w:w="1191" w:type="dxa"/>
          </w:tcPr>
          <w:p w14:paraId="67BE086D" w14:textId="77777777" w:rsidR="00B02873" w:rsidRPr="00B02873" w:rsidRDefault="00B02873" w:rsidP="00A4144E">
            <w:pPr>
              <w:pStyle w:val="TablebodyleftFinancialsTables"/>
              <w:jc w:val="right"/>
            </w:pPr>
          </w:p>
        </w:tc>
        <w:tc>
          <w:tcPr>
            <w:tcW w:w="1190" w:type="dxa"/>
          </w:tcPr>
          <w:p w14:paraId="00563377" w14:textId="77777777" w:rsidR="00B02873" w:rsidRPr="00B02873" w:rsidRDefault="00B02873" w:rsidP="00A4144E">
            <w:pPr>
              <w:pStyle w:val="TablebodyleftFinancialsTables"/>
              <w:jc w:val="right"/>
            </w:pPr>
          </w:p>
        </w:tc>
        <w:tc>
          <w:tcPr>
            <w:tcW w:w="1191" w:type="dxa"/>
          </w:tcPr>
          <w:p w14:paraId="060104FF" w14:textId="77777777" w:rsidR="00B02873" w:rsidRPr="00B02873" w:rsidRDefault="00B02873" w:rsidP="00A4144E">
            <w:pPr>
              <w:pStyle w:val="TablebodyleftFinancialsTables"/>
              <w:jc w:val="right"/>
            </w:pPr>
          </w:p>
        </w:tc>
      </w:tr>
      <w:tr w:rsidR="00B02873" w:rsidRPr="00B02873" w14:paraId="4190418A" w14:textId="77777777" w:rsidTr="003B4B46">
        <w:tc>
          <w:tcPr>
            <w:tcW w:w="4876" w:type="dxa"/>
          </w:tcPr>
          <w:p w14:paraId="7CF86AFE" w14:textId="77777777" w:rsidR="00B02873" w:rsidRDefault="00B02873" w:rsidP="00A4144E">
            <w:pPr>
              <w:pStyle w:val="TablebodyleftFinancialsTables"/>
              <w:tabs>
                <w:tab w:val="left" w:pos="269"/>
              </w:tabs>
            </w:pPr>
            <w:r>
              <w:t>Non specialised land</w:t>
            </w:r>
          </w:p>
        </w:tc>
        <w:tc>
          <w:tcPr>
            <w:tcW w:w="1190" w:type="dxa"/>
          </w:tcPr>
          <w:p w14:paraId="612D8270" w14:textId="77777777" w:rsidR="00B02873" w:rsidRPr="00B02873" w:rsidRDefault="00B02873" w:rsidP="00A4144E">
            <w:pPr>
              <w:pStyle w:val="TablebodyleftFinancialsTables"/>
              <w:jc w:val="right"/>
            </w:pPr>
          </w:p>
        </w:tc>
        <w:tc>
          <w:tcPr>
            <w:tcW w:w="1191" w:type="dxa"/>
          </w:tcPr>
          <w:p w14:paraId="29F1FFBF" w14:textId="77777777" w:rsidR="00B02873" w:rsidRPr="00B02873" w:rsidRDefault="00B02873" w:rsidP="00A4144E">
            <w:pPr>
              <w:pStyle w:val="TablebodyleftFinancialsTables"/>
              <w:jc w:val="right"/>
            </w:pPr>
          </w:p>
        </w:tc>
        <w:tc>
          <w:tcPr>
            <w:tcW w:w="1190" w:type="dxa"/>
          </w:tcPr>
          <w:p w14:paraId="43ECFBEF" w14:textId="77777777" w:rsidR="00B02873" w:rsidRPr="00B02873" w:rsidRDefault="00B02873" w:rsidP="00A4144E">
            <w:pPr>
              <w:pStyle w:val="TablebodyleftFinancialsTables"/>
              <w:jc w:val="right"/>
            </w:pPr>
          </w:p>
        </w:tc>
        <w:tc>
          <w:tcPr>
            <w:tcW w:w="1191" w:type="dxa"/>
          </w:tcPr>
          <w:p w14:paraId="7589C67B" w14:textId="77777777" w:rsidR="00B02873" w:rsidRPr="00B02873" w:rsidRDefault="00B02873" w:rsidP="00A4144E">
            <w:pPr>
              <w:pStyle w:val="TablebodyleftFinancialsTables"/>
              <w:jc w:val="right"/>
            </w:pPr>
          </w:p>
        </w:tc>
      </w:tr>
      <w:tr w:rsidR="00B02873" w:rsidRPr="00B02873" w14:paraId="188A17DA" w14:textId="77777777" w:rsidTr="003B4B46">
        <w:tc>
          <w:tcPr>
            <w:tcW w:w="4876" w:type="dxa"/>
          </w:tcPr>
          <w:p w14:paraId="562F117D" w14:textId="77777777" w:rsidR="00B02873" w:rsidRDefault="00B02873" w:rsidP="00A4144E">
            <w:pPr>
              <w:pStyle w:val="TablebodyleftFinancialsTables"/>
              <w:tabs>
                <w:tab w:val="left" w:pos="269"/>
              </w:tabs>
            </w:pPr>
            <w:r>
              <w:tab/>
              <w:t>Freehold land</w:t>
            </w:r>
          </w:p>
        </w:tc>
        <w:tc>
          <w:tcPr>
            <w:tcW w:w="1190" w:type="dxa"/>
          </w:tcPr>
          <w:p w14:paraId="66BED7C0" w14:textId="77777777" w:rsidR="00B02873" w:rsidRDefault="00B02873" w:rsidP="00A4144E">
            <w:pPr>
              <w:pStyle w:val="TablebodyleftFinancialsTables"/>
              <w:jc w:val="right"/>
            </w:pPr>
            <w:r>
              <w:t>138,848</w:t>
            </w:r>
          </w:p>
        </w:tc>
        <w:tc>
          <w:tcPr>
            <w:tcW w:w="1191" w:type="dxa"/>
          </w:tcPr>
          <w:p w14:paraId="4267DDCE" w14:textId="77777777" w:rsidR="00B02873" w:rsidRDefault="00B02873" w:rsidP="00A4144E">
            <w:pPr>
              <w:pStyle w:val="TablebodyleftFinancialsTables"/>
              <w:jc w:val="right"/>
            </w:pPr>
            <w:r>
              <w:t>–</w:t>
            </w:r>
          </w:p>
        </w:tc>
        <w:tc>
          <w:tcPr>
            <w:tcW w:w="1190" w:type="dxa"/>
          </w:tcPr>
          <w:p w14:paraId="25B507BF" w14:textId="77777777" w:rsidR="00B02873" w:rsidRDefault="00B02873" w:rsidP="00A4144E">
            <w:pPr>
              <w:pStyle w:val="TablebodyleftFinancialsTables"/>
              <w:jc w:val="right"/>
            </w:pPr>
            <w:r>
              <w:t>138,848</w:t>
            </w:r>
          </w:p>
        </w:tc>
        <w:tc>
          <w:tcPr>
            <w:tcW w:w="1191" w:type="dxa"/>
          </w:tcPr>
          <w:p w14:paraId="2CF6F10C" w14:textId="77777777" w:rsidR="00B02873" w:rsidRDefault="00B02873" w:rsidP="00A4144E">
            <w:pPr>
              <w:pStyle w:val="TablebodyleftFinancialsTables"/>
              <w:jc w:val="right"/>
            </w:pPr>
            <w:r>
              <w:t>–</w:t>
            </w:r>
          </w:p>
        </w:tc>
      </w:tr>
      <w:tr w:rsidR="00B02873" w:rsidRPr="00B02873" w14:paraId="1BD47FDA" w14:textId="77777777" w:rsidTr="003B4B46">
        <w:tc>
          <w:tcPr>
            <w:tcW w:w="4876" w:type="dxa"/>
          </w:tcPr>
          <w:p w14:paraId="04C1CC68" w14:textId="77777777" w:rsidR="00B02873" w:rsidRDefault="00B02873" w:rsidP="00A4144E">
            <w:pPr>
              <w:pStyle w:val="TablebodyleftFinancialsTables"/>
              <w:tabs>
                <w:tab w:val="left" w:pos="269"/>
              </w:tabs>
            </w:pPr>
            <w:r>
              <w:tab/>
              <w:t>Land purchases in progress</w:t>
            </w:r>
          </w:p>
        </w:tc>
        <w:tc>
          <w:tcPr>
            <w:tcW w:w="1190" w:type="dxa"/>
          </w:tcPr>
          <w:p w14:paraId="19CB6CD4" w14:textId="77777777" w:rsidR="00B02873" w:rsidRDefault="00B02873" w:rsidP="00A4144E">
            <w:pPr>
              <w:pStyle w:val="TablebodyleftFinancialsTables"/>
              <w:jc w:val="right"/>
            </w:pPr>
            <w:r>
              <w:t>32</w:t>
            </w:r>
          </w:p>
        </w:tc>
        <w:tc>
          <w:tcPr>
            <w:tcW w:w="1191" w:type="dxa"/>
          </w:tcPr>
          <w:p w14:paraId="2C1AB997" w14:textId="77777777" w:rsidR="00B02873" w:rsidRDefault="00B02873" w:rsidP="00A4144E">
            <w:pPr>
              <w:pStyle w:val="TablebodyleftFinancialsTables"/>
              <w:jc w:val="right"/>
            </w:pPr>
            <w:r>
              <w:t>–</w:t>
            </w:r>
          </w:p>
        </w:tc>
        <w:tc>
          <w:tcPr>
            <w:tcW w:w="1190" w:type="dxa"/>
          </w:tcPr>
          <w:p w14:paraId="184E8EA7" w14:textId="77777777" w:rsidR="00B02873" w:rsidRDefault="00B02873" w:rsidP="00A4144E">
            <w:pPr>
              <w:pStyle w:val="TablebodyleftFinancialsTables"/>
              <w:jc w:val="right"/>
            </w:pPr>
            <w:r>
              <w:t>32</w:t>
            </w:r>
          </w:p>
        </w:tc>
        <w:tc>
          <w:tcPr>
            <w:tcW w:w="1191" w:type="dxa"/>
          </w:tcPr>
          <w:p w14:paraId="18C36A5F" w14:textId="77777777" w:rsidR="00B02873" w:rsidRDefault="00B02873" w:rsidP="00A4144E">
            <w:pPr>
              <w:pStyle w:val="TablebodyleftFinancialsTables"/>
              <w:jc w:val="right"/>
            </w:pPr>
            <w:r>
              <w:t>–</w:t>
            </w:r>
          </w:p>
        </w:tc>
      </w:tr>
      <w:tr w:rsidR="00B02873" w:rsidRPr="00B02873" w14:paraId="469F9687" w14:textId="77777777" w:rsidTr="003B4B46">
        <w:tc>
          <w:tcPr>
            <w:tcW w:w="4876" w:type="dxa"/>
          </w:tcPr>
          <w:p w14:paraId="423990A8" w14:textId="77777777" w:rsidR="00B02873" w:rsidRDefault="00B02873" w:rsidP="005D724C">
            <w:pPr>
              <w:pStyle w:val="TablebodyleftFinancialsTables"/>
              <w:keepNext/>
              <w:tabs>
                <w:tab w:val="left" w:pos="269"/>
              </w:tabs>
            </w:pPr>
            <w:r>
              <w:lastRenderedPageBreak/>
              <w:t>Specialised land</w:t>
            </w:r>
          </w:p>
        </w:tc>
        <w:tc>
          <w:tcPr>
            <w:tcW w:w="1190" w:type="dxa"/>
          </w:tcPr>
          <w:p w14:paraId="356F5B4B" w14:textId="77777777" w:rsidR="00B02873" w:rsidRPr="00B02873" w:rsidRDefault="00B02873" w:rsidP="005D724C">
            <w:pPr>
              <w:pStyle w:val="TablebodyleftFinancialsTables"/>
              <w:keepNext/>
              <w:jc w:val="right"/>
            </w:pPr>
          </w:p>
        </w:tc>
        <w:tc>
          <w:tcPr>
            <w:tcW w:w="1191" w:type="dxa"/>
          </w:tcPr>
          <w:p w14:paraId="0C0E130F" w14:textId="77777777" w:rsidR="00B02873" w:rsidRPr="00B02873" w:rsidRDefault="00B02873" w:rsidP="005D724C">
            <w:pPr>
              <w:pStyle w:val="TablebodyleftFinancialsTables"/>
              <w:keepNext/>
              <w:jc w:val="right"/>
            </w:pPr>
          </w:p>
        </w:tc>
        <w:tc>
          <w:tcPr>
            <w:tcW w:w="1190" w:type="dxa"/>
          </w:tcPr>
          <w:p w14:paraId="12FDCC84" w14:textId="77777777" w:rsidR="00B02873" w:rsidRPr="00B02873" w:rsidRDefault="00B02873" w:rsidP="005D724C">
            <w:pPr>
              <w:pStyle w:val="TablebodyleftFinancialsTables"/>
              <w:keepNext/>
              <w:jc w:val="right"/>
            </w:pPr>
          </w:p>
        </w:tc>
        <w:tc>
          <w:tcPr>
            <w:tcW w:w="1191" w:type="dxa"/>
          </w:tcPr>
          <w:p w14:paraId="2D9BA1EC" w14:textId="77777777" w:rsidR="00B02873" w:rsidRPr="00B02873" w:rsidRDefault="00B02873" w:rsidP="005D724C">
            <w:pPr>
              <w:pStyle w:val="TablebodyleftFinancialsTables"/>
              <w:keepNext/>
              <w:jc w:val="right"/>
            </w:pPr>
          </w:p>
        </w:tc>
      </w:tr>
      <w:tr w:rsidR="00B02873" w:rsidRPr="00B02873" w14:paraId="7D011CA9" w14:textId="77777777" w:rsidTr="003B4B46">
        <w:tc>
          <w:tcPr>
            <w:tcW w:w="4876" w:type="dxa"/>
          </w:tcPr>
          <w:p w14:paraId="735E90EE" w14:textId="77777777" w:rsidR="00B02873" w:rsidRDefault="00B02873" w:rsidP="00A4144E">
            <w:pPr>
              <w:pStyle w:val="TablebodyleftFinancialsTables"/>
              <w:tabs>
                <w:tab w:val="left" w:pos="269"/>
              </w:tabs>
            </w:pPr>
            <w:r>
              <w:tab/>
              <w:t>Freehold land</w:t>
            </w:r>
          </w:p>
        </w:tc>
        <w:tc>
          <w:tcPr>
            <w:tcW w:w="1190" w:type="dxa"/>
          </w:tcPr>
          <w:p w14:paraId="0DEAFD24" w14:textId="77777777" w:rsidR="00B02873" w:rsidRDefault="00B02873" w:rsidP="00A4144E">
            <w:pPr>
              <w:pStyle w:val="TablebodyleftFinancialsTables"/>
              <w:jc w:val="right"/>
            </w:pPr>
            <w:r>
              <w:t>15,923</w:t>
            </w:r>
          </w:p>
        </w:tc>
        <w:tc>
          <w:tcPr>
            <w:tcW w:w="1191" w:type="dxa"/>
          </w:tcPr>
          <w:p w14:paraId="0AFDF92A" w14:textId="77777777" w:rsidR="00B02873" w:rsidRDefault="00B02873" w:rsidP="00A4144E">
            <w:pPr>
              <w:pStyle w:val="TablebodyleftFinancialsTables"/>
              <w:jc w:val="right"/>
            </w:pPr>
            <w:r>
              <w:t>–</w:t>
            </w:r>
          </w:p>
        </w:tc>
        <w:tc>
          <w:tcPr>
            <w:tcW w:w="1190" w:type="dxa"/>
          </w:tcPr>
          <w:p w14:paraId="4C4C84BE" w14:textId="77777777" w:rsidR="00B02873" w:rsidRDefault="00B02873" w:rsidP="00A4144E">
            <w:pPr>
              <w:pStyle w:val="TablebodyleftFinancialsTables"/>
              <w:jc w:val="right"/>
            </w:pPr>
            <w:r>
              <w:t>–</w:t>
            </w:r>
          </w:p>
        </w:tc>
        <w:tc>
          <w:tcPr>
            <w:tcW w:w="1191" w:type="dxa"/>
          </w:tcPr>
          <w:p w14:paraId="2E8D479D" w14:textId="77777777" w:rsidR="00B02873" w:rsidRDefault="00B02873" w:rsidP="00A4144E">
            <w:pPr>
              <w:pStyle w:val="TablebodyleftFinancialsTables"/>
              <w:jc w:val="right"/>
            </w:pPr>
            <w:r>
              <w:t>15,923</w:t>
            </w:r>
          </w:p>
        </w:tc>
      </w:tr>
      <w:tr w:rsidR="00B02873" w:rsidRPr="00B02873" w14:paraId="0D22C923" w14:textId="77777777" w:rsidTr="003B4B46">
        <w:tc>
          <w:tcPr>
            <w:tcW w:w="4876" w:type="dxa"/>
          </w:tcPr>
          <w:p w14:paraId="2EB57C4D" w14:textId="33A795CE" w:rsidR="00B02873" w:rsidRDefault="00B02873" w:rsidP="005D724C">
            <w:pPr>
              <w:pStyle w:val="TablebodyleftFinancialsTables"/>
              <w:tabs>
                <w:tab w:val="left" w:pos="269"/>
              </w:tabs>
              <w:ind w:left="269" w:hanging="269"/>
            </w:pPr>
            <w:r>
              <w:tab/>
              <w:t>Crown land – Land and unused roads and government roads</w:t>
            </w:r>
          </w:p>
        </w:tc>
        <w:tc>
          <w:tcPr>
            <w:tcW w:w="1190" w:type="dxa"/>
          </w:tcPr>
          <w:p w14:paraId="036E6806" w14:textId="77777777" w:rsidR="00B02873" w:rsidRDefault="00B02873" w:rsidP="00A4144E">
            <w:pPr>
              <w:pStyle w:val="TablebodyleftFinancialsTables"/>
              <w:jc w:val="right"/>
            </w:pPr>
            <w:r>
              <w:t>3,764,210</w:t>
            </w:r>
          </w:p>
        </w:tc>
        <w:tc>
          <w:tcPr>
            <w:tcW w:w="1191" w:type="dxa"/>
          </w:tcPr>
          <w:p w14:paraId="3D995DAF" w14:textId="77777777" w:rsidR="00B02873" w:rsidRDefault="00B02873" w:rsidP="00A4144E">
            <w:pPr>
              <w:pStyle w:val="TablebodyleftFinancialsTables"/>
              <w:jc w:val="right"/>
            </w:pPr>
            <w:r>
              <w:t>–</w:t>
            </w:r>
          </w:p>
        </w:tc>
        <w:tc>
          <w:tcPr>
            <w:tcW w:w="1190" w:type="dxa"/>
          </w:tcPr>
          <w:p w14:paraId="3FABE28F" w14:textId="77777777" w:rsidR="00B02873" w:rsidRDefault="00B02873" w:rsidP="00A4144E">
            <w:pPr>
              <w:pStyle w:val="TablebodyleftFinancialsTables"/>
              <w:jc w:val="right"/>
            </w:pPr>
            <w:r>
              <w:t>–</w:t>
            </w:r>
          </w:p>
        </w:tc>
        <w:tc>
          <w:tcPr>
            <w:tcW w:w="1191" w:type="dxa"/>
          </w:tcPr>
          <w:p w14:paraId="401F5593" w14:textId="77777777" w:rsidR="00B02873" w:rsidRDefault="00B02873" w:rsidP="00A4144E">
            <w:pPr>
              <w:pStyle w:val="TablebodyleftFinancialsTables"/>
              <w:jc w:val="right"/>
            </w:pPr>
            <w:r>
              <w:t>3,764,210</w:t>
            </w:r>
          </w:p>
        </w:tc>
      </w:tr>
      <w:tr w:rsidR="00B02873" w:rsidRPr="00B02873" w14:paraId="3FB84E75" w14:textId="77777777" w:rsidTr="003B4B46">
        <w:tc>
          <w:tcPr>
            <w:tcW w:w="4876" w:type="dxa"/>
          </w:tcPr>
          <w:p w14:paraId="0A8B0A4D" w14:textId="77777777" w:rsidR="00B02873" w:rsidRDefault="00B02873" w:rsidP="00A4144E">
            <w:pPr>
              <w:pStyle w:val="TablebodyleftFinancialsTables"/>
              <w:tabs>
                <w:tab w:val="left" w:pos="269"/>
              </w:tabs>
            </w:pPr>
            <w:r>
              <w:tab/>
              <w:t>Crown land – National parks</w:t>
            </w:r>
          </w:p>
        </w:tc>
        <w:tc>
          <w:tcPr>
            <w:tcW w:w="1190" w:type="dxa"/>
          </w:tcPr>
          <w:p w14:paraId="1316E37F" w14:textId="77777777" w:rsidR="00B02873" w:rsidRDefault="00B02873" w:rsidP="00A4144E">
            <w:pPr>
              <w:pStyle w:val="TablebodyleftFinancialsTables"/>
              <w:jc w:val="right"/>
            </w:pPr>
            <w:r>
              <w:t>4,413</w:t>
            </w:r>
          </w:p>
        </w:tc>
        <w:tc>
          <w:tcPr>
            <w:tcW w:w="1191" w:type="dxa"/>
          </w:tcPr>
          <w:p w14:paraId="70224977" w14:textId="77777777" w:rsidR="00B02873" w:rsidRDefault="00B02873" w:rsidP="00A4144E">
            <w:pPr>
              <w:pStyle w:val="TablebodyleftFinancialsTables"/>
              <w:jc w:val="right"/>
            </w:pPr>
            <w:r>
              <w:t>–</w:t>
            </w:r>
          </w:p>
        </w:tc>
        <w:tc>
          <w:tcPr>
            <w:tcW w:w="1190" w:type="dxa"/>
          </w:tcPr>
          <w:p w14:paraId="6E693B43" w14:textId="77777777" w:rsidR="00B02873" w:rsidRDefault="00B02873" w:rsidP="00A4144E">
            <w:pPr>
              <w:pStyle w:val="TablebodyleftFinancialsTables"/>
              <w:jc w:val="right"/>
            </w:pPr>
            <w:r>
              <w:t>–</w:t>
            </w:r>
          </w:p>
        </w:tc>
        <w:tc>
          <w:tcPr>
            <w:tcW w:w="1191" w:type="dxa"/>
          </w:tcPr>
          <w:p w14:paraId="56135BDF" w14:textId="77777777" w:rsidR="00B02873" w:rsidRDefault="00B02873" w:rsidP="00A4144E">
            <w:pPr>
              <w:pStyle w:val="TablebodyleftFinancialsTables"/>
              <w:jc w:val="right"/>
            </w:pPr>
            <w:r>
              <w:t>4,413</w:t>
            </w:r>
          </w:p>
        </w:tc>
      </w:tr>
      <w:tr w:rsidR="00B02873" w:rsidRPr="00B02873" w14:paraId="53632D49" w14:textId="77777777" w:rsidTr="003B4B46">
        <w:tc>
          <w:tcPr>
            <w:tcW w:w="4876" w:type="dxa"/>
          </w:tcPr>
          <w:p w14:paraId="1CA6AD2E" w14:textId="77777777" w:rsidR="00B02873" w:rsidRDefault="00B02873" w:rsidP="00A4144E">
            <w:pPr>
              <w:pStyle w:val="TablebodyleftFinancialsTables"/>
              <w:tabs>
                <w:tab w:val="left" w:pos="269"/>
              </w:tabs>
            </w:pPr>
            <w:r>
              <w:tab/>
              <w:t>Crown land – State forests</w:t>
            </w:r>
          </w:p>
        </w:tc>
        <w:tc>
          <w:tcPr>
            <w:tcW w:w="1190" w:type="dxa"/>
          </w:tcPr>
          <w:p w14:paraId="414E8CE9" w14:textId="77777777" w:rsidR="00B02873" w:rsidRDefault="00B02873" w:rsidP="00A4144E">
            <w:pPr>
              <w:pStyle w:val="TablebodyleftFinancialsTables"/>
              <w:jc w:val="right"/>
            </w:pPr>
            <w:r>
              <w:t>2,193,034</w:t>
            </w:r>
          </w:p>
        </w:tc>
        <w:tc>
          <w:tcPr>
            <w:tcW w:w="1191" w:type="dxa"/>
          </w:tcPr>
          <w:p w14:paraId="7D80A041" w14:textId="77777777" w:rsidR="00B02873" w:rsidRDefault="00B02873" w:rsidP="00A4144E">
            <w:pPr>
              <w:pStyle w:val="TablebodyleftFinancialsTables"/>
              <w:jc w:val="right"/>
            </w:pPr>
            <w:r>
              <w:t>–</w:t>
            </w:r>
          </w:p>
        </w:tc>
        <w:tc>
          <w:tcPr>
            <w:tcW w:w="1190" w:type="dxa"/>
          </w:tcPr>
          <w:p w14:paraId="4A90E71B" w14:textId="77777777" w:rsidR="00B02873" w:rsidRDefault="00B02873" w:rsidP="00A4144E">
            <w:pPr>
              <w:pStyle w:val="TablebodyleftFinancialsTables"/>
              <w:jc w:val="right"/>
            </w:pPr>
            <w:r>
              <w:t>–</w:t>
            </w:r>
          </w:p>
        </w:tc>
        <w:tc>
          <w:tcPr>
            <w:tcW w:w="1191" w:type="dxa"/>
          </w:tcPr>
          <w:p w14:paraId="33FEDCA3" w14:textId="77777777" w:rsidR="00B02873" w:rsidRDefault="00B02873" w:rsidP="00A4144E">
            <w:pPr>
              <w:pStyle w:val="TablebodyleftFinancialsTables"/>
              <w:jc w:val="right"/>
            </w:pPr>
            <w:r>
              <w:t>2,193,034</w:t>
            </w:r>
          </w:p>
        </w:tc>
      </w:tr>
      <w:tr w:rsidR="00B02873" w:rsidRPr="00B02873" w14:paraId="130698B9" w14:textId="77777777" w:rsidTr="003B4B46">
        <w:tc>
          <w:tcPr>
            <w:tcW w:w="4876" w:type="dxa"/>
          </w:tcPr>
          <w:p w14:paraId="1ECD1BB8" w14:textId="77777777" w:rsidR="00B02873" w:rsidRDefault="00B02873" w:rsidP="00A4144E">
            <w:pPr>
              <w:pStyle w:val="TablebodyleftFinancialsTables"/>
              <w:tabs>
                <w:tab w:val="left" w:pos="269"/>
              </w:tabs>
            </w:pPr>
            <w:r>
              <w:tab/>
              <w:t>Crown land – Conservation reserves</w:t>
            </w:r>
          </w:p>
        </w:tc>
        <w:tc>
          <w:tcPr>
            <w:tcW w:w="1190" w:type="dxa"/>
          </w:tcPr>
          <w:p w14:paraId="3DAD1F49" w14:textId="77777777" w:rsidR="00B02873" w:rsidRDefault="00B02873" w:rsidP="00A4144E">
            <w:pPr>
              <w:pStyle w:val="TablebodyleftFinancialsTables"/>
              <w:jc w:val="right"/>
            </w:pPr>
            <w:r>
              <w:t>90,533</w:t>
            </w:r>
          </w:p>
        </w:tc>
        <w:tc>
          <w:tcPr>
            <w:tcW w:w="1191" w:type="dxa"/>
          </w:tcPr>
          <w:p w14:paraId="35960B43" w14:textId="77777777" w:rsidR="00B02873" w:rsidRDefault="00B02873" w:rsidP="00A4144E">
            <w:pPr>
              <w:pStyle w:val="TablebodyleftFinancialsTables"/>
              <w:jc w:val="right"/>
            </w:pPr>
            <w:r>
              <w:t>–</w:t>
            </w:r>
          </w:p>
        </w:tc>
        <w:tc>
          <w:tcPr>
            <w:tcW w:w="1190" w:type="dxa"/>
          </w:tcPr>
          <w:p w14:paraId="583AD7B7" w14:textId="77777777" w:rsidR="00B02873" w:rsidRDefault="00B02873" w:rsidP="00A4144E">
            <w:pPr>
              <w:pStyle w:val="TablebodyleftFinancialsTables"/>
              <w:jc w:val="right"/>
            </w:pPr>
            <w:r>
              <w:t>–</w:t>
            </w:r>
          </w:p>
        </w:tc>
        <w:tc>
          <w:tcPr>
            <w:tcW w:w="1191" w:type="dxa"/>
          </w:tcPr>
          <w:p w14:paraId="6472612B" w14:textId="77777777" w:rsidR="00B02873" w:rsidRDefault="00B02873" w:rsidP="00A4144E">
            <w:pPr>
              <w:pStyle w:val="TablebodyleftFinancialsTables"/>
              <w:jc w:val="right"/>
            </w:pPr>
            <w:r>
              <w:t>90,533</w:t>
            </w:r>
          </w:p>
        </w:tc>
      </w:tr>
      <w:tr w:rsidR="00B02873" w:rsidRPr="00B02873" w14:paraId="1ED3BDB2" w14:textId="77777777" w:rsidTr="003B4B46">
        <w:tc>
          <w:tcPr>
            <w:tcW w:w="4876" w:type="dxa"/>
          </w:tcPr>
          <w:p w14:paraId="7F1DAC79" w14:textId="77777777" w:rsidR="00B02873" w:rsidRDefault="00B02873" w:rsidP="00A4144E">
            <w:pPr>
              <w:pStyle w:val="TablebodyleftFinancialsTables"/>
              <w:tabs>
                <w:tab w:val="left" w:pos="269"/>
              </w:tabs>
            </w:pPr>
            <w:r>
              <w:tab/>
              <w:t>Crown land – Metropolitan parks</w:t>
            </w:r>
          </w:p>
        </w:tc>
        <w:tc>
          <w:tcPr>
            <w:tcW w:w="1190" w:type="dxa"/>
          </w:tcPr>
          <w:p w14:paraId="306E91CC" w14:textId="77777777" w:rsidR="00B02873" w:rsidRDefault="00B02873" w:rsidP="00A4144E">
            <w:pPr>
              <w:pStyle w:val="TablebodyleftFinancialsTables"/>
              <w:jc w:val="right"/>
            </w:pPr>
            <w:r>
              <w:t>7,870</w:t>
            </w:r>
          </w:p>
        </w:tc>
        <w:tc>
          <w:tcPr>
            <w:tcW w:w="1191" w:type="dxa"/>
          </w:tcPr>
          <w:p w14:paraId="1CDC120F" w14:textId="77777777" w:rsidR="00B02873" w:rsidRDefault="00B02873" w:rsidP="00A4144E">
            <w:pPr>
              <w:pStyle w:val="TablebodyleftFinancialsTables"/>
              <w:jc w:val="right"/>
            </w:pPr>
            <w:r>
              <w:t>–</w:t>
            </w:r>
          </w:p>
        </w:tc>
        <w:tc>
          <w:tcPr>
            <w:tcW w:w="1190" w:type="dxa"/>
          </w:tcPr>
          <w:p w14:paraId="41AD7FD9" w14:textId="77777777" w:rsidR="00B02873" w:rsidRDefault="00B02873" w:rsidP="00A4144E">
            <w:pPr>
              <w:pStyle w:val="TablebodyleftFinancialsTables"/>
              <w:jc w:val="right"/>
            </w:pPr>
            <w:r>
              <w:t>–</w:t>
            </w:r>
          </w:p>
        </w:tc>
        <w:tc>
          <w:tcPr>
            <w:tcW w:w="1191" w:type="dxa"/>
          </w:tcPr>
          <w:p w14:paraId="380E7CBA" w14:textId="77777777" w:rsidR="00B02873" w:rsidRDefault="00B02873" w:rsidP="00A4144E">
            <w:pPr>
              <w:pStyle w:val="TablebodyleftFinancialsTables"/>
              <w:jc w:val="right"/>
            </w:pPr>
            <w:r>
              <w:t>7,870</w:t>
            </w:r>
          </w:p>
        </w:tc>
      </w:tr>
      <w:tr w:rsidR="00B02873" w:rsidRPr="00B02873" w14:paraId="751A4F96" w14:textId="77777777" w:rsidTr="003B4B46">
        <w:tc>
          <w:tcPr>
            <w:tcW w:w="4876" w:type="dxa"/>
          </w:tcPr>
          <w:p w14:paraId="3C210C23" w14:textId="77777777" w:rsidR="00B02873" w:rsidRDefault="00B02873" w:rsidP="00A4144E">
            <w:pPr>
              <w:pStyle w:val="TablebodyleftFinancialsTables"/>
              <w:tabs>
                <w:tab w:val="left" w:pos="269"/>
              </w:tabs>
            </w:pPr>
            <w:r>
              <w:tab/>
              <w:t>Crown land – Land used for operational purposes</w:t>
            </w:r>
          </w:p>
        </w:tc>
        <w:tc>
          <w:tcPr>
            <w:tcW w:w="1190" w:type="dxa"/>
          </w:tcPr>
          <w:p w14:paraId="5ADB7693" w14:textId="77777777" w:rsidR="00B02873" w:rsidRDefault="00B02873" w:rsidP="00A4144E">
            <w:pPr>
              <w:pStyle w:val="TablebodyleftFinancialsTables"/>
              <w:jc w:val="right"/>
            </w:pPr>
            <w:r>
              <w:t>48,542</w:t>
            </w:r>
          </w:p>
        </w:tc>
        <w:tc>
          <w:tcPr>
            <w:tcW w:w="1191" w:type="dxa"/>
          </w:tcPr>
          <w:p w14:paraId="3060D9C4" w14:textId="77777777" w:rsidR="00B02873" w:rsidRDefault="00B02873" w:rsidP="00A4144E">
            <w:pPr>
              <w:pStyle w:val="TablebodyleftFinancialsTables"/>
              <w:jc w:val="right"/>
            </w:pPr>
            <w:r>
              <w:t>–</w:t>
            </w:r>
          </w:p>
        </w:tc>
        <w:tc>
          <w:tcPr>
            <w:tcW w:w="1190" w:type="dxa"/>
          </w:tcPr>
          <w:p w14:paraId="0E8F116B" w14:textId="77777777" w:rsidR="00B02873" w:rsidRDefault="00B02873" w:rsidP="00A4144E">
            <w:pPr>
              <w:pStyle w:val="TablebodyleftFinancialsTables"/>
              <w:jc w:val="right"/>
            </w:pPr>
            <w:r>
              <w:t>–</w:t>
            </w:r>
          </w:p>
        </w:tc>
        <w:tc>
          <w:tcPr>
            <w:tcW w:w="1191" w:type="dxa"/>
          </w:tcPr>
          <w:p w14:paraId="219BE7DA" w14:textId="77777777" w:rsidR="00B02873" w:rsidRDefault="00B02873" w:rsidP="00A4144E">
            <w:pPr>
              <w:pStyle w:val="TablebodyleftFinancialsTables"/>
              <w:jc w:val="right"/>
            </w:pPr>
            <w:r>
              <w:t>48,542</w:t>
            </w:r>
          </w:p>
        </w:tc>
      </w:tr>
      <w:tr w:rsidR="00B02873" w:rsidRPr="00B02873" w14:paraId="4FA6FD8F" w14:textId="77777777" w:rsidTr="003B4B46">
        <w:tc>
          <w:tcPr>
            <w:tcW w:w="4876" w:type="dxa"/>
          </w:tcPr>
          <w:p w14:paraId="0D6C32F1" w14:textId="77777777" w:rsidR="00B02873" w:rsidRDefault="00B02873" w:rsidP="00A4144E">
            <w:pPr>
              <w:pStyle w:val="TablebodyleftFinancialsTables"/>
              <w:tabs>
                <w:tab w:val="left" w:pos="269"/>
              </w:tabs>
            </w:pPr>
            <w:r>
              <w:tab/>
              <w:t>Land purchases in progress</w:t>
            </w:r>
          </w:p>
        </w:tc>
        <w:tc>
          <w:tcPr>
            <w:tcW w:w="1190" w:type="dxa"/>
          </w:tcPr>
          <w:p w14:paraId="0AEB0E5D" w14:textId="77777777" w:rsidR="00B02873" w:rsidRDefault="00B02873" w:rsidP="00A4144E">
            <w:pPr>
              <w:pStyle w:val="TablebodyleftFinancialsTables"/>
              <w:jc w:val="right"/>
            </w:pPr>
            <w:r>
              <w:t>50,150</w:t>
            </w:r>
          </w:p>
        </w:tc>
        <w:tc>
          <w:tcPr>
            <w:tcW w:w="1191" w:type="dxa"/>
          </w:tcPr>
          <w:p w14:paraId="7692ABD9" w14:textId="77777777" w:rsidR="00B02873" w:rsidRDefault="00B02873" w:rsidP="00A4144E">
            <w:pPr>
              <w:pStyle w:val="TablebodyleftFinancialsTables"/>
              <w:jc w:val="right"/>
            </w:pPr>
            <w:r>
              <w:t>–</w:t>
            </w:r>
          </w:p>
        </w:tc>
        <w:tc>
          <w:tcPr>
            <w:tcW w:w="1190" w:type="dxa"/>
          </w:tcPr>
          <w:p w14:paraId="73D78828" w14:textId="77777777" w:rsidR="00B02873" w:rsidRDefault="00B02873" w:rsidP="00A4144E">
            <w:pPr>
              <w:pStyle w:val="TablebodyleftFinancialsTables"/>
              <w:jc w:val="right"/>
            </w:pPr>
            <w:r>
              <w:t>–</w:t>
            </w:r>
          </w:p>
        </w:tc>
        <w:tc>
          <w:tcPr>
            <w:tcW w:w="1191" w:type="dxa"/>
          </w:tcPr>
          <w:p w14:paraId="2E8F6F20" w14:textId="77777777" w:rsidR="00B02873" w:rsidRDefault="00B02873" w:rsidP="00A4144E">
            <w:pPr>
              <w:pStyle w:val="TablebodyleftFinancialsTables"/>
              <w:jc w:val="right"/>
            </w:pPr>
            <w:r>
              <w:t>50,150</w:t>
            </w:r>
          </w:p>
        </w:tc>
      </w:tr>
      <w:tr w:rsidR="00B02873" w:rsidRPr="00B02873" w14:paraId="3858065F" w14:textId="77777777" w:rsidTr="003B4B46">
        <w:tc>
          <w:tcPr>
            <w:tcW w:w="4876" w:type="dxa"/>
          </w:tcPr>
          <w:p w14:paraId="545A361B" w14:textId="77777777" w:rsidR="00B02873" w:rsidRPr="005D724C" w:rsidRDefault="00B02873" w:rsidP="00A4144E">
            <w:pPr>
              <w:pStyle w:val="TablebodyleftFinancialsTables"/>
              <w:tabs>
                <w:tab w:val="left" w:pos="269"/>
              </w:tabs>
              <w:rPr>
                <w:b/>
                <w:bCs/>
              </w:rPr>
            </w:pPr>
            <w:r w:rsidRPr="005D724C">
              <w:rPr>
                <w:b/>
                <w:bCs/>
              </w:rPr>
              <w:t>Buildings and structures at fair value</w:t>
            </w:r>
          </w:p>
        </w:tc>
        <w:tc>
          <w:tcPr>
            <w:tcW w:w="1190" w:type="dxa"/>
          </w:tcPr>
          <w:p w14:paraId="23DA9DE0" w14:textId="77777777" w:rsidR="00B02873" w:rsidRPr="00B02873" w:rsidRDefault="00B02873" w:rsidP="00A4144E">
            <w:pPr>
              <w:pStyle w:val="TablebodyleftFinancialsTables"/>
              <w:jc w:val="right"/>
            </w:pPr>
          </w:p>
        </w:tc>
        <w:tc>
          <w:tcPr>
            <w:tcW w:w="1191" w:type="dxa"/>
          </w:tcPr>
          <w:p w14:paraId="14E75BB7" w14:textId="77777777" w:rsidR="00B02873" w:rsidRPr="00B02873" w:rsidRDefault="00B02873" w:rsidP="00A4144E">
            <w:pPr>
              <w:pStyle w:val="TablebodyleftFinancialsTables"/>
              <w:jc w:val="right"/>
            </w:pPr>
          </w:p>
        </w:tc>
        <w:tc>
          <w:tcPr>
            <w:tcW w:w="1190" w:type="dxa"/>
          </w:tcPr>
          <w:p w14:paraId="0AB63DF2" w14:textId="77777777" w:rsidR="00B02873" w:rsidRPr="00B02873" w:rsidRDefault="00B02873" w:rsidP="00A4144E">
            <w:pPr>
              <w:pStyle w:val="TablebodyleftFinancialsTables"/>
              <w:jc w:val="right"/>
            </w:pPr>
          </w:p>
        </w:tc>
        <w:tc>
          <w:tcPr>
            <w:tcW w:w="1191" w:type="dxa"/>
          </w:tcPr>
          <w:p w14:paraId="0C7324D0" w14:textId="77777777" w:rsidR="00B02873" w:rsidRPr="00B02873" w:rsidRDefault="00B02873" w:rsidP="00A4144E">
            <w:pPr>
              <w:pStyle w:val="TablebodyleftFinancialsTables"/>
              <w:jc w:val="right"/>
            </w:pPr>
          </w:p>
        </w:tc>
      </w:tr>
      <w:tr w:rsidR="00B02873" w:rsidRPr="00B02873" w14:paraId="68FD8C12" w14:textId="77777777" w:rsidTr="003B4B46">
        <w:tc>
          <w:tcPr>
            <w:tcW w:w="4876" w:type="dxa"/>
          </w:tcPr>
          <w:p w14:paraId="23F936F1" w14:textId="77777777" w:rsidR="00B02873" w:rsidRDefault="00B02873" w:rsidP="00A4144E">
            <w:pPr>
              <w:pStyle w:val="TablebodyleftFinancialsTables"/>
              <w:tabs>
                <w:tab w:val="left" w:pos="269"/>
              </w:tabs>
            </w:pPr>
            <w:r>
              <w:t>Non specialised buildings and structures</w:t>
            </w:r>
          </w:p>
        </w:tc>
        <w:tc>
          <w:tcPr>
            <w:tcW w:w="1190" w:type="dxa"/>
          </w:tcPr>
          <w:p w14:paraId="2ABD7985" w14:textId="77777777" w:rsidR="00B02873" w:rsidRDefault="00B02873" w:rsidP="00A4144E">
            <w:pPr>
              <w:pStyle w:val="TablebodyleftFinancialsTables"/>
              <w:jc w:val="right"/>
            </w:pPr>
            <w:r>
              <w:t>23,240</w:t>
            </w:r>
          </w:p>
        </w:tc>
        <w:tc>
          <w:tcPr>
            <w:tcW w:w="1191" w:type="dxa"/>
          </w:tcPr>
          <w:p w14:paraId="41EB9F1C" w14:textId="77777777" w:rsidR="00B02873" w:rsidRDefault="00B02873" w:rsidP="00A4144E">
            <w:pPr>
              <w:pStyle w:val="TablebodyleftFinancialsTables"/>
              <w:jc w:val="right"/>
            </w:pPr>
            <w:r>
              <w:t>–</w:t>
            </w:r>
          </w:p>
        </w:tc>
        <w:tc>
          <w:tcPr>
            <w:tcW w:w="1190" w:type="dxa"/>
          </w:tcPr>
          <w:p w14:paraId="0743CD11" w14:textId="77777777" w:rsidR="00B02873" w:rsidRDefault="00B02873" w:rsidP="00A4144E">
            <w:pPr>
              <w:pStyle w:val="TablebodyleftFinancialsTables"/>
              <w:jc w:val="right"/>
            </w:pPr>
            <w:r>
              <w:t>23,240</w:t>
            </w:r>
          </w:p>
        </w:tc>
        <w:tc>
          <w:tcPr>
            <w:tcW w:w="1191" w:type="dxa"/>
          </w:tcPr>
          <w:p w14:paraId="4F1EBB20" w14:textId="77777777" w:rsidR="00B02873" w:rsidRDefault="00B02873" w:rsidP="00A4144E">
            <w:pPr>
              <w:pStyle w:val="TablebodyleftFinancialsTables"/>
              <w:jc w:val="right"/>
            </w:pPr>
            <w:r>
              <w:t>–</w:t>
            </w:r>
          </w:p>
        </w:tc>
      </w:tr>
      <w:tr w:rsidR="00B02873" w:rsidRPr="00B02873" w14:paraId="11F90671" w14:textId="77777777" w:rsidTr="003B4B46">
        <w:tc>
          <w:tcPr>
            <w:tcW w:w="4876" w:type="dxa"/>
          </w:tcPr>
          <w:p w14:paraId="61F37963" w14:textId="77777777" w:rsidR="00B02873" w:rsidRDefault="00B02873" w:rsidP="00A4144E">
            <w:pPr>
              <w:pStyle w:val="TablebodyleftFinancialsTables"/>
              <w:tabs>
                <w:tab w:val="left" w:pos="269"/>
              </w:tabs>
            </w:pPr>
            <w:r>
              <w:t>Specialised buildings and structures</w:t>
            </w:r>
          </w:p>
        </w:tc>
        <w:tc>
          <w:tcPr>
            <w:tcW w:w="1190" w:type="dxa"/>
          </w:tcPr>
          <w:p w14:paraId="5484A58D" w14:textId="77777777" w:rsidR="00B02873" w:rsidRDefault="00B02873" w:rsidP="00A4144E">
            <w:pPr>
              <w:pStyle w:val="TablebodyleftFinancialsTables"/>
              <w:jc w:val="right"/>
            </w:pPr>
            <w:r>
              <w:t>683,374</w:t>
            </w:r>
          </w:p>
        </w:tc>
        <w:tc>
          <w:tcPr>
            <w:tcW w:w="1191" w:type="dxa"/>
          </w:tcPr>
          <w:p w14:paraId="7FD00336" w14:textId="77777777" w:rsidR="00B02873" w:rsidRDefault="00B02873" w:rsidP="00A4144E">
            <w:pPr>
              <w:pStyle w:val="TablebodyleftFinancialsTables"/>
              <w:jc w:val="right"/>
            </w:pPr>
            <w:r>
              <w:t>–</w:t>
            </w:r>
          </w:p>
        </w:tc>
        <w:tc>
          <w:tcPr>
            <w:tcW w:w="1190" w:type="dxa"/>
          </w:tcPr>
          <w:p w14:paraId="6A182B85" w14:textId="77777777" w:rsidR="00B02873" w:rsidRDefault="00B02873" w:rsidP="00A4144E">
            <w:pPr>
              <w:pStyle w:val="TablebodyleftFinancialsTables"/>
              <w:jc w:val="right"/>
            </w:pPr>
            <w:r>
              <w:t>–</w:t>
            </w:r>
          </w:p>
        </w:tc>
        <w:tc>
          <w:tcPr>
            <w:tcW w:w="1191" w:type="dxa"/>
          </w:tcPr>
          <w:p w14:paraId="3C4A85BA" w14:textId="77777777" w:rsidR="00B02873" w:rsidRDefault="00B02873" w:rsidP="00A4144E">
            <w:pPr>
              <w:pStyle w:val="TablebodyleftFinancialsTables"/>
              <w:jc w:val="right"/>
            </w:pPr>
            <w:r>
              <w:t>683,374</w:t>
            </w:r>
          </w:p>
        </w:tc>
      </w:tr>
      <w:tr w:rsidR="00B02873" w:rsidRPr="00B02873" w14:paraId="5EDB9463" w14:textId="77777777" w:rsidTr="003B4B46">
        <w:tc>
          <w:tcPr>
            <w:tcW w:w="4876" w:type="dxa"/>
          </w:tcPr>
          <w:p w14:paraId="1978D6AC" w14:textId="77777777" w:rsidR="00B02873" w:rsidRDefault="00B02873" w:rsidP="00A4144E">
            <w:pPr>
              <w:pStyle w:val="TablebodyleftFinancialsTables"/>
              <w:tabs>
                <w:tab w:val="left" w:pos="269"/>
              </w:tabs>
            </w:pPr>
            <w:r>
              <w:t>Right of use buildings structures</w:t>
            </w:r>
          </w:p>
        </w:tc>
        <w:tc>
          <w:tcPr>
            <w:tcW w:w="1190" w:type="dxa"/>
          </w:tcPr>
          <w:p w14:paraId="4BD0521C" w14:textId="77777777" w:rsidR="00B02873" w:rsidRDefault="00B02873" w:rsidP="00A4144E">
            <w:pPr>
              <w:pStyle w:val="TablebodyleftFinancialsTables"/>
              <w:jc w:val="right"/>
            </w:pPr>
            <w:r>
              <w:t>2,527</w:t>
            </w:r>
          </w:p>
        </w:tc>
        <w:tc>
          <w:tcPr>
            <w:tcW w:w="1191" w:type="dxa"/>
          </w:tcPr>
          <w:p w14:paraId="11EADCE8" w14:textId="77777777" w:rsidR="00B02873" w:rsidRPr="00B02873" w:rsidRDefault="00B02873" w:rsidP="00A4144E">
            <w:pPr>
              <w:pStyle w:val="TablebodyleftFinancialsTables"/>
              <w:jc w:val="right"/>
            </w:pPr>
          </w:p>
        </w:tc>
        <w:tc>
          <w:tcPr>
            <w:tcW w:w="1190" w:type="dxa"/>
          </w:tcPr>
          <w:p w14:paraId="7A2976DC" w14:textId="77777777" w:rsidR="00B02873" w:rsidRDefault="00B02873" w:rsidP="00A4144E">
            <w:pPr>
              <w:pStyle w:val="TablebodyleftFinancialsTables"/>
              <w:jc w:val="right"/>
            </w:pPr>
            <w:r>
              <w:t>–</w:t>
            </w:r>
          </w:p>
        </w:tc>
        <w:tc>
          <w:tcPr>
            <w:tcW w:w="1191" w:type="dxa"/>
          </w:tcPr>
          <w:p w14:paraId="23C1DA2C" w14:textId="77777777" w:rsidR="00B02873" w:rsidRDefault="00B02873" w:rsidP="00A4144E">
            <w:pPr>
              <w:pStyle w:val="TablebodyleftFinancialsTables"/>
              <w:jc w:val="right"/>
            </w:pPr>
            <w:r>
              <w:t>2,527</w:t>
            </w:r>
          </w:p>
        </w:tc>
      </w:tr>
      <w:tr w:rsidR="00B02873" w:rsidRPr="00B02873" w14:paraId="1A4DD809" w14:textId="77777777" w:rsidTr="003B4B46">
        <w:tc>
          <w:tcPr>
            <w:tcW w:w="4876" w:type="dxa"/>
          </w:tcPr>
          <w:p w14:paraId="28D881F8" w14:textId="77777777" w:rsidR="00B02873" w:rsidRPr="005D724C" w:rsidRDefault="00B02873" w:rsidP="00A4144E">
            <w:pPr>
              <w:pStyle w:val="TablebodyleftFinancialsTables"/>
              <w:tabs>
                <w:tab w:val="left" w:pos="269"/>
              </w:tabs>
              <w:rPr>
                <w:b/>
                <w:bCs/>
              </w:rPr>
            </w:pPr>
            <w:r w:rsidRPr="005D724C">
              <w:rPr>
                <w:b/>
                <w:bCs/>
              </w:rPr>
              <w:t>Roads at fair value</w:t>
            </w:r>
          </w:p>
        </w:tc>
        <w:tc>
          <w:tcPr>
            <w:tcW w:w="1190" w:type="dxa"/>
          </w:tcPr>
          <w:p w14:paraId="14FEBF11" w14:textId="77777777" w:rsidR="00B02873" w:rsidRPr="00B02873" w:rsidRDefault="00B02873" w:rsidP="00A4144E">
            <w:pPr>
              <w:pStyle w:val="TablebodyleftFinancialsTables"/>
              <w:jc w:val="right"/>
            </w:pPr>
          </w:p>
        </w:tc>
        <w:tc>
          <w:tcPr>
            <w:tcW w:w="1191" w:type="dxa"/>
          </w:tcPr>
          <w:p w14:paraId="0BF4BCF4" w14:textId="77777777" w:rsidR="00B02873" w:rsidRPr="00B02873" w:rsidRDefault="00B02873" w:rsidP="00A4144E">
            <w:pPr>
              <w:pStyle w:val="TablebodyleftFinancialsTables"/>
              <w:jc w:val="right"/>
            </w:pPr>
          </w:p>
        </w:tc>
        <w:tc>
          <w:tcPr>
            <w:tcW w:w="1190" w:type="dxa"/>
          </w:tcPr>
          <w:p w14:paraId="4701A4F2" w14:textId="77777777" w:rsidR="00B02873" w:rsidRPr="00B02873" w:rsidRDefault="00B02873" w:rsidP="00A4144E">
            <w:pPr>
              <w:pStyle w:val="TablebodyleftFinancialsTables"/>
              <w:jc w:val="right"/>
            </w:pPr>
          </w:p>
        </w:tc>
        <w:tc>
          <w:tcPr>
            <w:tcW w:w="1191" w:type="dxa"/>
          </w:tcPr>
          <w:p w14:paraId="2521BC9F" w14:textId="77777777" w:rsidR="00B02873" w:rsidRPr="00B02873" w:rsidRDefault="00B02873" w:rsidP="00A4144E">
            <w:pPr>
              <w:pStyle w:val="TablebodyleftFinancialsTables"/>
              <w:jc w:val="right"/>
            </w:pPr>
          </w:p>
        </w:tc>
      </w:tr>
      <w:tr w:rsidR="00B02873" w:rsidRPr="00B02873" w14:paraId="18F222F6" w14:textId="77777777" w:rsidTr="003B4B46">
        <w:tc>
          <w:tcPr>
            <w:tcW w:w="4876" w:type="dxa"/>
          </w:tcPr>
          <w:p w14:paraId="3765948E" w14:textId="77777777" w:rsidR="00B02873" w:rsidRDefault="00B02873" w:rsidP="00A4144E">
            <w:pPr>
              <w:pStyle w:val="TablebodyleftFinancialsTables"/>
              <w:tabs>
                <w:tab w:val="left" w:pos="269"/>
              </w:tabs>
            </w:pPr>
            <w:r>
              <w:t>Roads</w:t>
            </w:r>
          </w:p>
        </w:tc>
        <w:tc>
          <w:tcPr>
            <w:tcW w:w="1190" w:type="dxa"/>
          </w:tcPr>
          <w:p w14:paraId="4F00E9C5" w14:textId="77777777" w:rsidR="00B02873" w:rsidRDefault="00B02873" w:rsidP="00A4144E">
            <w:pPr>
              <w:pStyle w:val="TablebodyleftFinancialsTables"/>
              <w:jc w:val="right"/>
            </w:pPr>
            <w:r>
              <w:t>771,940</w:t>
            </w:r>
          </w:p>
        </w:tc>
        <w:tc>
          <w:tcPr>
            <w:tcW w:w="1191" w:type="dxa"/>
          </w:tcPr>
          <w:p w14:paraId="711510C4" w14:textId="77777777" w:rsidR="00B02873" w:rsidRDefault="00B02873" w:rsidP="00A4144E">
            <w:pPr>
              <w:pStyle w:val="TablebodyleftFinancialsTables"/>
              <w:jc w:val="right"/>
            </w:pPr>
            <w:r>
              <w:t>–</w:t>
            </w:r>
          </w:p>
        </w:tc>
        <w:tc>
          <w:tcPr>
            <w:tcW w:w="1190" w:type="dxa"/>
          </w:tcPr>
          <w:p w14:paraId="5031261D" w14:textId="77777777" w:rsidR="00B02873" w:rsidRDefault="00B02873" w:rsidP="00A4144E">
            <w:pPr>
              <w:pStyle w:val="TablebodyleftFinancialsTables"/>
              <w:jc w:val="right"/>
            </w:pPr>
            <w:r>
              <w:t>–</w:t>
            </w:r>
          </w:p>
        </w:tc>
        <w:tc>
          <w:tcPr>
            <w:tcW w:w="1191" w:type="dxa"/>
          </w:tcPr>
          <w:p w14:paraId="08900A91" w14:textId="77777777" w:rsidR="00B02873" w:rsidRDefault="00B02873" w:rsidP="00A4144E">
            <w:pPr>
              <w:pStyle w:val="TablebodyleftFinancialsTables"/>
              <w:jc w:val="right"/>
            </w:pPr>
            <w:r>
              <w:t>771,940</w:t>
            </w:r>
          </w:p>
        </w:tc>
      </w:tr>
      <w:tr w:rsidR="00B02873" w:rsidRPr="00B02873" w14:paraId="6E31B2D2" w14:textId="77777777" w:rsidTr="003B4B46">
        <w:tc>
          <w:tcPr>
            <w:tcW w:w="4876" w:type="dxa"/>
          </w:tcPr>
          <w:p w14:paraId="1C33F962" w14:textId="77777777" w:rsidR="00B02873" w:rsidRPr="005D724C" w:rsidRDefault="00B02873" w:rsidP="00A4144E">
            <w:pPr>
              <w:pStyle w:val="TablebodyleftFinancialsTables"/>
              <w:tabs>
                <w:tab w:val="left" w:pos="269"/>
              </w:tabs>
              <w:rPr>
                <w:b/>
                <w:bCs/>
              </w:rPr>
            </w:pPr>
            <w:r w:rsidRPr="005D724C">
              <w:rPr>
                <w:b/>
                <w:bCs/>
              </w:rPr>
              <w:t>Plant and equipment at fair value</w:t>
            </w:r>
          </w:p>
        </w:tc>
        <w:tc>
          <w:tcPr>
            <w:tcW w:w="1190" w:type="dxa"/>
          </w:tcPr>
          <w:p w14:paraId="10F2D90E" w14:textId="77777777" w:rsidR="00B02873" w:rsidRPr="00B02873" w:rsidRDefault="00B02873" w:rsidP="00A4144E">
            <w:pPr>
              <w:pStyle w:val="TablebodyleftFinancialsTables"/>
              <w:jc w:val="right"/>
            </w:pPr>
          </w:p>
        </w:tc>
        <w:tc>
          <w:tcPr>
            <w:tcW w:w="1191" w:type="dxa"/>
          </w:tcPr>
          <w:p w14:paraId="4F7DA741" w14:textId="77777777" w:rsidR="00B02873" w:rsidRPr="00B02873" w:rsidRDefault="00B02873" w:rsidP="00A4144E">
            <w:pPr>
              <w:pStyle w:val="TablebodyleftFinancialsTables"/>
              <w:jc w:val="right"/>
            </w:pPr>
          </w:p>
        </w:tc>
        <w:tc>
          <w:tcPr>
            <w:tcW w:w="1190" w:type="dxa"/>
          </w:tcPr>
          <w:p w14:paraId="22865928" w14:textId="77777777" w:rsidR="00B02873" w:rsidRPr="00B02873" w:rsidRDefault="00B02873" w:rsidP="00A4144E">
            <w:pPr>
              <w:pStyle w:val="TablebodyleftFinancialsTables"/>
              <w:jc w:val="right"/>
            </w:pPr>
          </w:p>
        </w:tc>
        <w:tc>
          <w:tcPr>
            <w:tcW w:w="1191" w:type="dxa"/>
          </w:tcPr>
          <w:p w14:paraId="171726A1" w14:textId="77777777" w:rsidR="00B02873" w:rsidRPr="00B02873" w:rsidRDefault="00B02873" w:rsidP="00A4144E">
            <w:pPr>
              <w:pStyle w:val="TablebodyleftFinancialsTables"/>
              <w:jc w:val="right"/>
            </w:pPr>
          </w:p>
        </w:tc>
      </w:tr>
      <w:tr w:rsidR="00B02873" w:rsidRPr="00B02873" w14:paraId="6F75437C" w14:textId="77777777" w:rsidTr="003B4B46">
        <w:tc>
          <w:tcPr>
            <w:tcW w:w="4876" w:type="dxa"/>
          </w:tcPr>
          <w:p w14:paraId="03A6154F" w14:textId="77777777" w:rsidR="00B02873" w:rsidRDefault="00B02873" w:rsidP="00A4144E">
            <w:pPr>
              <w:pStyle w:val="TablebodyleftFinancialsTables"/>
              <w:tabs>
                <w:tab w:val="left" w:pos="269"/>
              </w:tabs>
            </w:pPr>
            <w:r>
              <w:t>Plant and equipment other than right of use</w:t>
            </w:r>
          </w:p>
        </w:tc>
        <w:tc>
          <w:tcPr>
            <w:tcW w:w="1190" w:type="dxa"/>
          </w:tcPr>
          <w:p w14:paraId="158C2449" w14:textId="77777777" w:rsidR="00B02873" w:rsidRDefault="00B02873" w:rsidP="00A4144E">
            <w:pPr>
              <w:pStyle w:val="TablebodyleftFinancialsTables"/>
              <w:jc w:val="right"/>
            </w:pPr>
            <w:r>
              <w:t>69,409</w:t>
            </w:r>
          </w:p>
        </w:tc>
        <w:tc>
          <w:tcPr>
            <w:tcW w:w="1191" w:type="dxa"/>
          </w:tcPr>
          <w:p w14:paraId="3C58BAEB" w14:textId="77777777" w:rsidR="00B02873" w:rsidRDefault="00B02873" w:rsidP="00A4144E">
            <w:pPr>
              <w:pStyle w:val="TablebodyleftFinancialsTables"/>
              <w:jc w:val="right"/>
            </w:pPr>
            <w:r>
              <w:t>–</w:t>
            </w:r>
          </w:p>
        </w:tc>
        <w:tc>
          <w:tcPr>
            <w:tcW w:w="1190" w:type="dxa"/>
          </w:tcPr>
          <w:p w14:paraId="33079E44" w14:textId="77777777" w:rsidR="00B02873" w:rsidRDefault="00B02873" w:rsidP="00A4144E">
            <w:pPr>
              <w:pStyle w:val="TablebodyleftFinancialsTables"/>
              <w:jc w:val="right"/>
            </w:pPr>
            <w:r>
              <w:t>–</w:t>
            </w:r>
          </w:p>
        </w:tc>
        <w:tc>
          <w:tcPr>
            <w:tcW w:w="1191" w:type="dxa"/>
          </w:tcPr>
          <w:p w14:paraId="464F68D3" w14:textId="77777777" w:rsidR="00B02873" w:rsidRDefault="00B02873" w:rsidP="00A4144E">
            <w:pPr>
              <w:pStyle w:val="TablebodyleftFinancialsTables"/>
              <w:jc w:val="right"/>
            </w:pPr>
            <w:r>
              <w:t>69,409</w:t>
            </w:r>
          </w:p>
        </w:tc>
      </w:tr>
      <w:tr w:rsidR="00B02873" w:rsidRPr="00B02873" w14:paraId="6CB7B2BC" w14:textId="77777777" w:rsidTr="003B4B46">
        <w:tc>
          <w:tcPr>
            <w:tcW w:w="4876" w:type="dxa"/>
          </w:tcPr>
          <w:p w14:paraId="00AAEE47" w14:textId="77777777" w:rsidR="00B02873" w:rsidRDefault="00B02873" w:rsidP="00A4144E">
            <w:pPr>
              <w:pStyle w:val="TablebodyleftFinancialsTables"/>
              <w:tabs>
                <w:tab w:val="left" w:pos="269"/>
              </w:tabs>
            </w:pPr>
            <w:r>
              <w:t>Right of use plant and equipment</w:t>
            </w:r>
          </w:p>
        </w:tc>
        <w:tc>
          <w:tcPr>
            <w:tcW w:w="1190" w:type="dxa"/>
          </w:tcPr>
          <w:p w14:paraId="3883C195" w14:textId="77777777" w:rsidR="00B02873" w:rsidRDefault="00B02873" w:rsidP="00A4144E">
            <w:pPr>
              <w:pStyle w:val="TablebodyleftFinancialsTables"/>
              <w:jc w:val="right"/>
            </w:pPr>
            <w:r>
              <w:t>47,822</w:t>
            </w:r>
          </w:p>
        </w:tc>
        <w:tc>
          <w:tcPr>
            <w:tcW w:w="1191" w:type="dxa"/>
          </w:tcPr>
          <w:p w14:paraId="31A635EA" w14:textId="77777777" w:rsidR="00B02873" w:rsidRDefault="00B02873" w:rsidP="00A4144E">
            <w:pPr>
              <w:pStyle w:val="TablebodyleftFinancialsTables"/>
              <w:jc w:val="right"/>
            </w:pPr>
            <w:r>
              <w:t>–</w:t>
            </w:r>
          </w:p>
        </w:tc>
        <w:tc>
          <w:tcPr>
            <w:tcW w:w="1190" w:type="dxa"/>
          </w:tcPr>
          <w:p w14:paraId="506F2D92" w14:textId="77777777" w:rsidR="00B02873" w:rsidRDefault="00B02873" w:rsidP="00A4144E">
            <w:pPr>
              <w:pStyle w:val="TablebodyleftFinancialsTables"/>
              <w:jc w:val="right"/>
            </w:pPr>
            <w:r>
              <w:t>47,822</w:t>
            </w:r>
          </w:p>
        </w:tc>
        <w:tc>
          <w:tcPr>
            <w:tcW w:w="1191" w:type="dxa"/>
          </w:tcPr>
          <w:p w14:paraId="54341287" w14:textId="77777777" w:rsidR="00B02873" w:rsidRDefault="00B02873" w:rsidP="00A4144E">
            <w:pPr>
              <w:pStyle w:val="TablebodyleftFinancialsTables"/>
              <w:jc w:val="right"/>
            </w:pPr>
            <w:r>
              <w:t>–</w:t>
            </w:r>
          </w:p>
        </w:tc>
      </w:tr>
      <w:tr w:rsidR="00B02873" w:rsidRPr="00B02873" w14:paraId="0D5EEC9F" w14:textId="77777777" w:rsidTr="003B4B46">
        <w:tc>
          <w:tcPr>
            <w:tcW w:w="4876" w:type="dxa"/>
          </w:tcPr>
          <w:p w14:paraId="5E50D380" w14:textId="77777777" w:rsidR="00B02873" w:rsidRPr="005D724C" w:rsidRDefault="00B02873" w:rsidP="00A4144E">
            <w:pPr>
              <w:pStyle w:val="TablebodyleftFinancialsTables"/>
              <w:tabs>
                <w:tab w:val="left" w:pos="269"/>
              </w:tabs>
              <w:rPr>
                <w:b/>
                <w:bCs/>
              </w:rPr>
            </w:pPr>
            <w:r w:rsidRPr="005D724C">
              <w:rPr>
                <w:b/>
                <w:bCs/>
              </w:rPr>
              <w:t>Historic and cultural assets at fair value</w:t>
            </w:r>
          </w:p>
        </w:tc>
        <w:tc>
          <w:tcPr>
            <w:tcW w:w="1190" w:type="dxa"/>
          </w:tcPr>
          <w:p w14:paraId="5DCEC36B" w14:textId="77777777" w:rsidR="00B02873" w:rsidRPr="00B02873" w:rsidRDefault="00B02873" w:rsidP="00A4144E">
            <w:pPr>
              <w:pStyle w:val="TablebodyleftFinancialsTables"/>
              <w:jc w:val="right"/>
            </w:pPr>
          </w:p>
        </w:tc>
        <w:tc>
          <w:tcPr>
            <w:tcW w:w="1191" w:type="dxa"/>
          </w:tcPr>
          <w:p w14:paraId="602BCB9E" w14:textId="77777777" w:rsidR="00B02873" w:rsidRPr="00B02873" w:rsidRDefault="00B02873" w:rsidP="00A4144E">
            <w:pPr>
              <w:pStyle w:val="TablebodyleftFinancialsTables"/>
              <w:jc w:val="right"/>
            </w:pPr>
          </w:p>
        </w:tc>
        <w:tc>
          <w:tcPr>
            <w:tcW w:w="1190" w:type="dxa"/>
          </w:tcPr>
          <w:p w14:paraId="0B2F4DE2" w14:textId="77777777" w:rsidR="00B02873" w:rsidRPr="00B02873" w:rsidRDefault="00B02873" w:rsidP="00A4144E">
            <w:pPr>
              <w:pStyle w:val="TablebodyleftFinancialsTables"/>
              <w:jc w:val="right"/>
            </w:pPr>
          </w:p>
        </w:tc>
        <w:tc>
          <w:tcPr>
            <w:tcW w:w="1191" w:type="dxa"/>
          </w:tcPr>
          <w:p w14:paraId="30CB96A4" w14:textId="77777777" w:rsidR="00B02873" w:rsidRPr="00B02873" w:rsidRDefault="00B02873" w:rsidP="00A4144E">
            <w:pPr>
              <w:pStyle w:val="TablebodyleftFinancialsTables"/>
              <w:jc w:val="right"/>
            </w:pPr>
          </w:p>
        </w:tc>
      </w:tr>
      <w:tr w:rsidR="00B02873" w:rsidRPr="00B02873" w14:paraId="5D420F2B" w14:textId="77777777" w:rsidTr="003B4B46">
        <w:tc>
          <w:tcPr>
            <w:tcW w:w="4876" w:type="dxa"/>
          </w:tcPr>
          <w:p w14:paraId="0DA8377A" w14:textId="77777777" w:rsidR="00B02873" w:rsidRDefault="00B02873" w:rsidP="00A4144E">
            <w:pPr>
              <w:pStyle w:val="TablebodyleftFinancialsTables"/>
              <w:tabs>
                <w:tab w:val="left" w:pos="269"/>
              </w:tabs>
            </w:pPr>
            <w:r>
              <w:t>Artwork and historic assets</w:t>
            </w:r>
          </w:p>
        </w:tc>
        <w:tc>
          <w:tcPr>
            <w:tcW w:w="1190" w:type="dxa"/>
          </w:tcPr>
          <w:p w14:paraId="09650124" w14:textId="77777777" w:rsidR="00B02873" w:rsidRDefault="00B02873" w:rsidP="00A4144E">
            <w:pPr>
              <w:pStyle w:val="TablebodyleftFinancialsTables"/>
              <w:jc w:val="right"/>
            </w:pPr>
            <w:r>
              <w:t>4,530</w:t>
            </w:r>
          </w:p>
        </w:tc>
        <w:tc>
          <w:tcPr>
            <w:tcW w:w="1191" w:type="dxa"/>
          </w:tcPr>
          <w:p w14:paraId="02E96FF0" w14:textId="77777777" w:rsidR="00B02873" w:rsidRDefault="00B02873" w:rsidP="00A4144E">
            <w:pPr>
              <w:pStyle w:val="TablebodyleftFinancialsTables"/>
              <w:jc w:val="right"/>
            </w:pPr>
            <w:r>
              <w:t>–</w:t>
            </w:r>
          </w:p>
        </w:tc>
        <w:tc>
          <w:tcPr>
            <w:tcW w:w="1190" w:type="dxa"/>
          </w:tcPr>
          <w:p w14:paraId="507803F5" w14:textId="77777777" w:rsidR="00B02873" w:rsidRDefault="00B02873" w:rsidP="00A4144E">
            <w:pPr>
              <w:pStyle w:val="TablebodyleftFinancialsTables"/>
              <w:jc w:val="right"/>
            </w:pPr>
            <w:r>
              <w:t>4,530</w:t>
            </w:r>
          </w:p>
        </w:tc>
        <w:tc>
          <w:tcPr>
            <w:tcW w:w="1191" w:type="dxa"/>
          </w:tcPr>
          <w:p w14:paraId="273CA992" w14:textId="77777777" w:rsidR="00B02873" w:rsidRDefault="00B02873" w:rsidP="00A4144E">
            <w:pPr>
              <w:pStyle w:val="TablebodyleftFinancialsTables"/>
              <w:jc w:val="right"/>
            </w:pPr>
            <w:r>
              <w:t>–</w:t>
            </w:r>
          </w:p>
        </w:tc>
      </w:tr>
    </w:tbl>
    <w:p w14:paraId="7ED173EA" w14:textId="77777777" w:rsidR="00B02873" w:rsidRPr="005D724C" w:rsidRDefault="00B02873" w:rsidP="005D724C">
      <w:pPr>
        <w:pStyle w:val="SourceNote"/>
        <w:spacing w:after="120"/>
        <w:rPr>
          <w:b/>
          <w:bCs/>
        </w:rPr>
      </w:pPr>
      <w:r w:rsidRPr="005D724C">
        <w:rPr>
          <w:b/>
          <w:bCs/>
        </w:rPr>
        <w:t xml:space="preserve">Note: </w:t>
      </w:r>
    </w:p>
    <w:p w14:paraId="4458C5C7" w14:textId="77777777" w:rsidR="00B02873" w:rsidRDefault="00B02873" w:rsidP="001128B1">
      <w:pPr>
        <w:pStyle w:val="SourceNotenumbered"/>
        <w:numPr>
          <w:ilvl w:val="0"/>
          <w:numId w:val="83"/>
        </w:numPr>
      </w:pPr>
      <w:r>
        <w:t xml:space="preserve">Classified in accordance with the fair value hierarchy, refer to Note 8.3. </w:t>
      </w:r>
    </w:p>
    <w:p w14:paraId="1CA8412E" w14:textId="77777777" w:rsidR="00B02873" w:rsidRDefault="00B02873" w:rsidP="00BD1F1E">
      <w:pPr>
        <w:pStyle w:val="SourceNotenumbered"/>
        <w:spacing w:after="200"/>
        <w:ind w:left="357" w:hanging="357"/>
      </w:pPr>
      <w:r>
        <w:t xml:space="preserve">Assets under construction are excluded from the table above. </w:t>
      </w:r>
    </w:p>
    <w:p w14:paraId="7DD94C09" w14:textId="1FFB1F7A" w:rsidR="00B02873" w:rsidRDefault="00B02873" w:rsidP="00FE198A">
      <w:r>
        <w:t xml:space="preserve">The measurement and classification of each class of property, plant and equipment is outlined below. There have been no transfers between levels during the period. </w:t>
      </w:r>
    </w:p>
    <w:p w14:paraId="1446FCAB" w14:textId="77777777" w:rsidR="00B02873" w:rsidRDefault="00B02873" w:rsidP="005D724C">
      <w:pPr>
        <w:pStyle w:val="Heading5"/>
      </w:pPr>
      <w:r>
        <w:t>Non specialised land and buildings</w:t>
      </w:r>
    </w:p>
    <w:p w14:paraId="0257E84B" w14:textId="77777777" w:rsidR="00B02873" w:rsidRDefault="00B02873" w:rsidP="00FE198A">
      <w:r>
        <w:t xml:space="preserve">Non-specialised land and buildings are valued using the market approach. Under this method, the assets are compared to recent comparable sales or sales of comparable assets which are considered to have nominal or no added improvement value. </w:t>
      </w:r>
    </w:p>
    <w:p w14:paraId="01773342" w14:textId="77777777" w:rsidR="00B02873" w:rsidRDefault="00B02873" w:rsidP="00FE198A">
      <w:r>
        <w:t xml:space="preserve">To the extent that non specialised land and buildings do not contain significant, unobservable price inputs, these assets are classified as Level 2. </w:t>
      </w:r>
    </w:p>
    <w:p w14:paraId="54F60C52" w14:textId="77777777" w:rsidR="00B02873" w:rsidRDefault="00B02873" w:rsidP="00FE198A">
      <w:r>
        <w:t>An independent valuation was performed by the Valuer-General Victoria (VGV) to determine fair value using the market approach. Valuation of the assets was determined by analysing comparable sales and allowing for share, size, topography, location and other relevant factors specific to the asset being valued. From this analysis, an appropriate rate per square metre has been applied to the subject asset. The effective date of the valuation is 30 June 2021.</w:t>
      </w:r>
    </w:p>
    <w:p w14:paraId="7E43901A" w14:textId="24D79BE2" w:rsidR="00B02873" w:rsidRDefault="00B02873" w:rsidP="00FE198A">
      <w:r>
        <w:lastRenderedPageBreak/>
        <w:t xml:space="preserve">The department completes an annual assessment of fair value in accordance to Financial Reporting Direction 103 </w:t>
      </w:r>
      <w:r w:rsidRPr="003B4B46">
        <w:rPr>
          <w:rStyle w:val="LightItalic"/>
          <w:rFonts w:asciiTheme="minorHAnsi" w:hAnsiTheme="minorHAnsi" w:cstheme="minorHAnsi"/>
        </w:rPr>
        <w:t>Non-financial physical assets</w:t>
      </w:r>
      <w:r>
        <w:t xml:space="preserve"> for non-specialised land and buildings. Reliance is placed on land indices and building cost indexation factors provided by the VGV. A managerial valuation was adopted for non-specialised land for 30 June 2022 (refer to Note 5.1.1 for revaluation movements). A managerial valuation was not adopted for non-specialised buildings as the movement in fair value was less than 10 per cent.</w:t>
      </w:r>
    </w:p>
    <w:p w14:paraId="00FC3F3E" w14:textId="77777777" w:rsidR="00B02873" w:rsidRDefault="00B02873" w:rsidP="005361DE">
      <w:pPr>
        <w:pStyle w:val="Heading5"/>
      </w:pPr>
      <w:r>
        <w:t xml:space="preserve">Specialised land </w:t>
      </w:r>
    </w:p>
    <w:p w14:paraId="6812E27F" w14:textId="77777777" w:rsidR="00B02873" w:rsidRDefault="00B02873" w:rsidP="00FE198A">
      <w:r>
        <w:rPr>
          <w:spacing w:val="-2"/>
        </w:rPr>
        <w:t xml:space="preserve">The market based direct comparison method is used for specialised land although it is adjusted for a community service obligation (CSO) to reflect the specialised nature of the land being valued. </w:t>
      </w:r>
    </w:p>
    <w:p w14:paraId="37880C16" w14:textId="29055AA9" w:rsidR="00B02873" w:rsidRDefault="00B02873" w:rsidP="00FE198A">
      <w:r>
        <w:t>The CSO adjustment reflects valuer’s assessment of the impact of restrictions associated with an asset to the extent that is also equally applicable to market participants. This approach is in light of the highest and best use consideration required for fair value measurement and takes into account the use of the asset that is physically possible, legally permissible, and financially feasible. As adjustments of CSO are considered as significant unobservable inputs, specialised land is classified as Level 3.</w:t>
      </w:r>
    </w:p>
    <w:p w14:paraId="79448726" w14:textId="7064BCAF" w:rsidR="00B02873" w:rsidRDefault="00B02873" w:rsidP="00FE198A">
      <w:r>
        <w:t>An independent valuation of the department’s specialised land was performed by VGV. The valuation was performed using the market approach adjusted for CSO. The effective date of the valuations was 30 June 2021.</w:t>
      </w:r>
    </w:p>
    <w:p w14:paraId="5501B0DE" w14:textId="29BEB7E8" w:rsidR="00B02873" w:rsidRDefault="00B02873" w:rsidP="00FE198A">
      <w:r>
        <w:t xml:space="preserve">The department completes an annual assessment of fair value for specialised land. Reliance is placed on land indices provided by the VGV. A managerial valuation was adopted for 30 June 2022 (refer to Note 5.1.1 for revaluation movements). </w:t>
      </w:r>
    </w:p>
    <w:p w14:paraId="3CEB1C6D" w14:textId="77777777" w:rsidR="00B02873" w:rsidRDefault="00B02873" w:rsidP="005361DE">
      <w:pPr>
        <w:pStyle w:val="Heading5"/>
      </w:pPr>
      <w:r>
        <w:t>Specialised buildings and structures</w:t>
      </w:r>
    </w:p>
    <w:p w14:paraId="22AE4B08" w14:textId="77777777" w:rsidR="00B02873" w:rsidRDefault="00B02873" w:rsidP="00FE198A">
      <w:r>
        <w:t>For the majority of the department’s specialised buildings, the current replacement cost method is used adjusting for the associated depreciation. As depreciation adjustments are considered significant, unobservable inputs in nature, specialised buildings are classified as Level 3 fair value measurements.</w:t>
      </w:r>
    </w:p>
    <w:p w14:paraId="138125AF" w14:textId="77777777" w:rsidR="00B02873" w:rsidRDefault="00B02873" w:rsidP="00FE198A">
      <w:r>
        <w:t xml:space="preserve">An independent valuation of the department’s specialised buildings within the Public Safety and Environment Purpose Group was performed by VGV. The valuation was performed using the current replacement cost method. The effective date of the valuations was 30 June 2021. </w:t>
      </w:r>
    </w:p>
    <w:p w14:paraId="5C8F71C1" w14:textId="14A1FC47" w:rsidR="00B02873" w:rsidRDefault="00B02873" w:rsidP="00FE198A">
      <w:r>
        <w:t xml:space="preserve">Structures are valued using the current replacement cost method. This cost represents the replacement cost of the component after applying depreciation rates on a useful life basis. Replacement costs relate to costs to replace the current service capacity of the asset. </w:t>
      </w:r>
    </w:p>
    <w:p w14:paraId="060BE863" w14:textId="77777777" w:rsidR="00B02873" w:rsidRDefault="00B02873" w:rsidP="00FE198A">
      <w:r>
        <w:t xml:space="preserve">Where it has not been possible to examine hidden works, the use of reasonable materials and methods of construction have been assumed bearing in mind the age and nature of the structures. The estimated cost of reconstruction includes structure services and finishes. </w:t>
      </w:r>
    </w:p>
    <w:p w14:paraId="11DEC754" w14:textId="001E6236" w:rsidR="00B02873" w:rsidRDefault="00B02873" w:rsidP="00FE198A">
      <w:r>
        <w:t>An independent valuation of the department’s structures was performed by VGV. The valuation was performed based on the current replacement cost of the assets. The effective date of the valuations was 30 June 2021.</w:t>
      </w:r>
      <w:r w:rsidR="00012C04">
        <w:t xml:space="preserve"> </w:t>
      </w:r>
    </w:p>
    <w:p w14:paraId="2A919F2F" w14:textId="2557DDBA" w:rsidR="00B02873" w:rsidRDefault="00B02873" w:rsidP="00FE198A">
      <w:r>
        <w:rPr>
          <w:spacing w:val="-2"/>
        </w:rPr>
        <w:t xml:space="preserve">The department completes an annual assessment of fair value for specialised buildings and structures. Reliance is placed on building cost indexation factors provided by the VGV. The movement in fair value was less than 10 per cent therefore a managerial valuation was not adopted for 30 June 2022. </w:t>
      </w:r>
    </w:p>
    <w:p w14:paraId="2F94945C" w14:textId="77777777" w:rsidR="00B02873" w:rsidRDefault="00B02873" w:rsidP="005361DE">
      <w:pPr>
        <w:pStyle w:val="Heading5"/>
      </w:pPr>
      <w:r>
        <w:lastRenderedPageBreak/>
        <w:t>Roads</w:t>
      </w:r>
    </w:p>
    <w:p w14:paraId="720C4F6E" w14:textId="77777777" w:rsidR="00B02873" w:rsidRDefault="00B02873" w:rsidP="00FE198A">
      <w:r>
        <w:t>Roads are valued using the current replacement cost method. This cost represents the replacement cost of the component after applying depreciation rates on a useful life basis. Replacement costs relate to costs to replace the current service capacity of the asset. As depreciation adjustments are considered significant, unobservable inputs in nature, roads are classified as Level 3.</w:t>
      </w:r>
    </w:p>
    <w:p w14:paraId="5D503023" w14:textId="36E1E94F" w:rsidR="00B02873" w:rsidRDefault="00B02873" w:rsidP="00FE198A">
      <w:r>
        <w:rPr>
          <w:spacing w:val="-4"/>
        </w:rPr>
        <w:t>Where it has not been possible to examine hidden works, the use of reasonable materials and methods of construction have been assumed bearing in mind the age and nature of the roads. The estimated cost of reconstruction includes structure services and finishes.</w:t>
      </w:r>
      <w:r w:rsidR="00012C04">
        <w:rPr>
          <w:spacing w:val="-4"/>
        </w:rPr>
        <w:t xml:space="preserve"> </w:t>
      </w:r>
    </w:p>
    <w:p w14:paraId="68538E3F" w14:textId="77777777" w:rsidR="00B02873" w:rsidRDefault="00B02873" w:rsidP="00FE198A">
      <w:r>
        <w:t xml:space="preserve">An independent valuation of the department’s roads was performed by VGV as at 30 June 2021. The valuation was performed based on the current replacement cost of the assets. </w:t>
      </w:r>
    </w:p>
    <w:p w14:paraId="6884F76D" w14:textId="13C05325" w:rsidR="00B02873" w:rsidRDefault="00B02873" w:rsidP="00FE198A">
      <w:r>
        <w:t xml:space="preserve">The department completes an annual assessment of fair value for roads. Reliance is placed on the applicable indices from the Australian Bureau of Statistics – Table 17, Index Number 3101 road and bridge construction Victoria. The movement in fair value was less than 10 per cent therefore a managerial valuation was not adopted for 30 June 2022. </w:t>
      </w:r>
    </w:p>
    <w:p w14:paraId="50150A0E" w14:textId="77777777" w:rsidR="00B02873" w:rsidRDefault="00B02873" w:rsidP="005361DE">
      <w:pPr>
        <w:pStyle w:val="Heading5"/>
      </w:pPr>
      <w:r>
        <w:t>Plant and equipment</w:t>
      </w:r>
    </w:p>
    <w:p w14:paraId="522FA5C8" w14:textId="77777777" w:rsidR="00B02873" w:rsidRDefault="00B02873" w:rsidP="00FE198A">
      <w:r>
        <w:t>Plant and equipment are held at fair value. The department completes an annual assessment of fair value and given the movement in fair value was less than 10 per cent there is no requirement to adopt a managerial valuation for 30 June 2022.</w:t>
      </w:r>
    </w:p>
    <w:p w14:paraId="08F7DCAD" w14:textId="12275BBA" w:rsidR="00B02873" w:rsidRDefault="00B02873" w:rsidP="00FE198A">
      <w:r>
        <w:t>When plant and equipment is specialised in use, such that it is rarely sold other than as part of a going concern, fair value is determined using the carrying amount. Given valuation techniques for which the lowest level input that is significant to the fair value measurement is unobservable, these assets are classified as Level 3.</w:t>
      </w:r>
    </w:p>
    <w:p w14:paraId="27D9855B" w14:textId="77777777" w:rsidR="00B02873" w:rsidRDefault="00B02873" w:rsidP="00FE198A">
      <w:r>
        <w:t>Motor vehicles are valued using the market direct comparison method. Under this valuation method, the vehicles are compared to recent comparable sales. To the extent that motor vehicles under finance lease have an exit price prescribed by the lessor at the start of the lease term, these assets are classified as Level 2 under the market approach.</w:t>
      </w:r>
    </w:p>
    <w:p w14:paraId="5EDDC9DA" w14:textId="77777777" w:rsidR="00B02873" w:rsidRDefault="00B02873" w:rsidP="005361DE">
      <w:pPr>
        <w:pStyle w:val="Heading5"/>
      </w:pPr>
      <w:r>
        <w:t>Historic and cultural assets</w:t>
      </w:r>
    </w:p>
    <w:p w14:paraId="7D958935" w14:textId="77777777" w:rsidR="00B02873" w:rsidRDefault="00B02873" w:rsidP="00FE198A">
      <w:r>
        <w:t xml:space="preserve">Historic and cultural assets are valued using the market direct comparison method. Under this valuation method, the historic and cultural assets are determined by a comparison to similar examples of the artist’s work in existence throughout Australia and research on prices paid for similar examples offered at auction or through art galleries in recent years. </w:t>
      </w:r>
    </w:p>
    <w:p w14:paraId="6CBDAE5D" w14:textId="77777777" w:rsidR="00B02873" w:rsidRDefault="00B02873" w:rsidP="00FE198A">
      <w:r>
        <w:t>To the extent that historic and cultural assets do not contain significant, unobservable adjustments, these assets are classified as Level 2 under the market approach.</w:t>
      </w:r>
    </w:p>
    <w:p w14:paraId="43D70638" w14:textId="77777777" w:rsidR="00B02873" w:rsidRDefault="00B02873" w:rsidP="00FE198A">
      <w:r>
        <w:t xml:space="preserve">An independent valuation of the department’s historic and cultural assets was performed by the VGV. The effective date of the valuations was 30 June 2021. </w:t>
      </w:r>
    </w:p>
    <w:p w14:paraId="2B16637E" w14:textId="0AF6B0CF" w:rsidR="00B02873" w:rsidRDefault="00B02873" w:rsidP="00FE198A">
      <w:r>
        <w:t xml:space="preserve">The department completes an annual assessment of fair value. The movement in fair value was less than 10 per cent therefore a managerial valuation was not adopted for 30 June 2022. </w:t>
      </w:r>
    </w:p>
    <w:p w14:paraId="14F3A7C0" w14:textId="77777777" w:rsidR="00B02873" w:rsidRDefault="00B02873" w:rsidP="005361DE">
      <w:pPr>
        <w:pStyle w:val="Heading5"/>
      </w:pPr>
      <w:r>
        <w:t xml:space="preserve">Valuation techniques </w:t>
      </w:r>
    </w:p>
    <w:p w14:paraId="62773575" w14:textId="77777777" w:rsidR="00B02873" w:rsidRDefault="00B02873" w:rsidP="00FE198A">
      <w:r>
        <w:t xml:space="preserve">There were no changes in valuation techniques throughout the period to 30 June 2022. </w:t>
      </w:r>
    </w:p>
    <w:p w14:paraId="124AB900" w14:textId="34E9BE8E" w:rsidR="00B02873" w:rsidRDefault="00B02873" w:rsidP="00FE198A">
      <w:r>
        <w:t>For all assets measured at fair value, the current use is considered the highest and best use. The department conducted a fair value assessment for assets revalued at 30 June 2021 to ensure there were no material movements from the carrying value.</w:t>
      </w:r>
    </w:p>
    <w:p w14:paraId="57A7F344" w14:textId="77777777" w:rsidR="00B02873" w:rsidRDefault="00B02873" w:rsidP="005361DE">
      <w:pPr>
        <w:pStyle w:val="Heading5"/>
      </w:pPr>
      <w:r>
        <w:lastRenderedPageBreak/>
        <w:t>Right-of-use assets</w:t>
      </w:r>
    </w:p>
    <w:p w14:paraId="612C4F5E" w14:textId="77777777" w:rsidR="00B02873" w:rsidRDefault="00B02873" w:rsidP="00FE198A">
      <w:r>
        <w:t xml:space="preserve">Right-of-use assets are revalued according to Financial Reporting Direction 103 </w:t>
      </w:r>
      <w:r w:rsidRPr="005361DE">
        <w:rPr>
          <w:rStyle w:val="LightItalic"/>
          <w:rFonts w:asciiTheme="minorHAnsi" w:hAnsiTheme="minorHAnsi" w:cstheme="minorHAnsi"/>
        </w:rPr>
        <w:t>Non-financial physical assets</w:t>
      </w:r>
      <w:r>
        <w:t xml:space="preserve">. The department applies the revaluation model to right-of-use assets. After initial recognition the right-of-asset is carried at revalued amount, being its fair value at the date of the revaluation less any subsequent accumulated depreciation and impairment losses. </w:t>
      </w:r>
    </w:p>
    <w:p w14:paraId="7BEDB6EA" w14:textId="77777777" w:rsidR="00B02873" w:rsidRDefault="00B02873" w:rsidP="00FE198A">
      <w:r>
        <w:t>The fair value of right-of-use assets are linked to the lease payments. The department assess the current lease payments under the lease contract to approximate current market rentals in comparison to equivalent properties that would be paid in the current market. The fair value of the leased assets are determined with reference to the amounts that will have to be paid to replace the current service capacity of the asset.</w:t>
      </w:r>
    </w:p>
    <w:p w14:paraId="733D8F30" w14:textId="77777777" w:rsidR="005361DE" w:rsidRPr="007B509E" w:rsidRDefault="005361DE" w:rsidP="00FE198A">
      <w:pPr>
        <w:rPr>
          <w:rFonts w:cs="VIC SemiBold"/>
          <w:b/>
          <w:bCs/>
          <w:color w:val="100149"/>
          <w:sz w:val="20"/>
          <w:szCs w:val="20"/>
          <w:lang w:val="en-US"/>
        </w:rPr>
        <w:sectPr w:rsidR="005361DE" w:rsidRPr="007B509E" w:rsidSect="000C0438">
          <w:pgSz w:w="11906" w:h="16838" w:code="9"/>
          <w:pgMar w:top="1134" w:right="1134" w:bottom="1134" w:left="1134" w:header="720" w:footer="720" w:gutter="0"/>
          <w:cols w:space="720"/>
          <w:noEndnote/>
        </w:sectPr>
      </w:pPr>
    </w:p>
    <w:p w14:paraId="35AB5570" w14:textId="6BF6B9AA" w:rsidR="00B02873" w:rsidRDefault="00B02873" w:rsidP="005361DE">
      <w:pPr>
        <w:pStyle w:val="TabletitleTables"/>
      </w:pPr>
      <w:r>
        <w:lastRenderedPageBreak/>
        <w:t>Reconciliation of Level 3 fair value movements</w:t>
      </w:r>
    </w:p>
    <w:tbl>
      <w:tblPr>
        <w:tblStyle w:val="TableGrid"/>
        <w:tblW w:w="15084" w:type="dxa"/>
        <w:tblLayout w:type="fixed"/>
        <w:tblLook w:val="0020" w:firstRow="1" w:lastRow="0" w:firstColumn="0" w:lastColumn="0" w:noHBand="0" w:noVBand="0"/>
      </w:tblPr>
      <w:tblGrid>
        <w:gridCol w:w="3201"/>
        <w:gridCol w:w="907"/>
        <w:gridCol w:w="907"/>
        <w:gridCol w:w="907"/>
        <w:gridCol w:w="907"/>
        <w:gridCol w:w="1089"/>
        <w:gridCol w:w="770"/>
        <w:gridCol w:w="963"/>
        <w:gridCol w:w="907"/>
        <w:gridCol w:w="964"/>
        <w:gridCol w:w="907"/>
        <w:gridCol w:w="836"/>
        <w:gridCol w:w="940"/>
        <w:gridCol w:w="879"/>
      </w:tblGrid>
      <w:tr w:rsidR="00B02873" w:rsidRPr="00C8008F" w14:paraId="0C3BFD39" w14:textId="77777777" w:rsidTr="00C8008F">
        <w:trPr>
          <w:cnfStyle w:val="100000000000" w:firstRow="1" w:lastRow="0" w:firstColumn="0" w:lastColumn="0" w:oddVBand="0" w:evenVBand="0" w:oddHBand="0" w:evenHBand="0" w:firstRowFirstColumn="0" w:firstRowLastColumn="0" w:lastRowFirstColumn="0" w:lastRowLastColumn="0"/>
          <w:tblHeader/>
        </w:trPr>
        <w:tc>
          <w:tcPr>
            <w:tcW w:w="3201" w:type="dxa"/>
          </w:tcPr>
          <w:p w14:paraId="08F9687B" w14:textId="77777777" w:rsidR="00B02873" w:rsidRPr="00C8008F" w:rsidRDefault="00B02873" w:rsidP="00C8008F">
            <w:pPr>
              <w:pStyle w:val="TableheadingleftFinancialsTables"/>
              <w:rPr>
                <w:rFonts w:asciiTheme="minorHAnsi" w:hAnsiTheme="minorHAnsi" w:cstheme="minorHAnsi"/>
                <w:sz w:val="16"/>
              </w:rPr>
            </w:pPr>
          </w:p>
        </w:tc>
        <w:tc>
          <w:tcPr>
            <w:tcW w:w="907" w:type="dxa"/>
          </w:tcPr>
          <w:p w14:paraId="6329F266" w14:textId="77777777" w:rsidR="00B02873" w:rsidRPr="00C8008F" w:rsidRDefault="00B02873" w:rsidP="00C8008F">
            <w:pPr>
              <w:pStyle w:val="TableheadingleftFinancialsTables"/>
              <w:jc w:val="right"/>
              <w:rPr>
                <w:rFonts w:asciiTheme="minorHAnsi" w:hAnsiTheme="minorHAnsi" w:cstheme="minorHAnsi"/>
                <w:sz w:val="16"/>
              </w:rPr>
            </w:pPr>
            <w:r w:rsidRPr="00C8008F">
              <w:rPr>
                <w:rFonts w:asciiTheme="minorHAnsi" w:hAnsiTheme="minorHAnsi" w:cstheme="minorHAnsi"/>
                <w:sz w:val="16"/>
              </w:rPr>
              <w:t xml:space="preserve">Freehold </w:t>
            </w:r>
            <w:r w:rsidRPr="00C8008F">
              <w:rPr>
                <w:rFonts w:asciiTheme="minorHAnsi" w:hAnsiTheme="minorHAnsi" w:cstheme="minorHAnsi"/>
                <w:sz w:val="16"/>
              </w:rPr>
              <w:br/>
              <w:t>land</w:t>
            </w:r>
            <w:r w:rsidRPr="00C8008F">
              <w:rPr>
                <w:rFonts w:asciiTheme="minorHAnsi" w:hAnsiTheme="minorHAnsi" w:cstheme="minorHAnsi"/>
                <w:sz w:val="16"/>
              </w:rPr>
              <w:br/>
              <w:t>$000</w:t>
            </w:r>
          </w:p>
        </w:tc>
        <w:tc>
          <w:tcPr>
            <w:tcW w:w="907" w:type="dxa"/>
          </w:tcPr>
          <w:p w14:paraId="5B452A57" w14:textId="77777777" w:rsidR="00B02873" w:rsidRPr="00C8008F" w:rsidRDefault="00B02873" w:rsidP="00C8008F">
            <w:pPr>
              <w:pStyle w:val="TableheadingleftFinancialsTables"/>
              <w:jc w:val="right"/>
              <w:rPr>
                <w:rFonts w:asciiTheme="minorHAnsi" w:hAnsiTheme="minorHAnsi" w:cstheme="minorHAnsi"/>
                <w:sz w:val="16"/>
              </w:rPr>
            </w:pPr>
            <w:r w:rsidRPr="00C8008F">
              <w:rPr>
                <w:rFonts w:asciiTheme="minorHAnsi" w:hAnsiTheme="minorHAnsi" w:cstheme="minorHAnsi"/>
                <w:sz w:val="16"/>
              </w:rPr>
              <w:t xml:space="preserve">Land and </w:t>
            </w:r>
            <w:r w:rsidRPr="00C8008F">
              <w:rPr>
                <w:rFonts w:asciiTheme="minorHAnsi" w:hAnsiTheme="minorHAnsi" w:cstheme="minorHAnsi"/>
                <w:sz w:val="16"/>
              </w:rPr>
              <w:br/>
              <w:t>unused roads</w:t>
            </w:r>
            <w:r w:rsidRPr="00C8008F">
              <w:rPr>
                <w:rFonts w:asciiTheme="minorHAnsi" w:hAnsiTheme="minorHAnsi" w:cstheme="minorHAnsi"/>
                <w:sz w:val="16"/>
              </w:rPr>
              <w:br/>
              <w:t>$000</w:t>
            </w:r>
          </w:p>
        </w:tc>
        <w:tc>
          <w:tcPr>
            <w:tcW w:w="907" w:type="dxa"/>
          </w:tcPr>
          <w:p w14:paraId="07762C0B" w14:textId="77777777" w:rsidR="00B02873" w:rsidRPr="00C8008F" w:rsidRDefault="00B02873" w:rsidP="00C8008F">
            <w:pPr>
              <w:pStyle w:val="TableheadingleftFinancialsTables"/>
              <w:jc w:val="right"/>
              <w:rPr>
                <w:rFonts w:asciiTheme="minorHAnsi" w:hAnsiTheme="minorHAnsi" w:cstheme="minorHAnsi"/>
                <w:sz w:val="16"/>
              </w:rPr>
            </w:pPr>
            <w:r w:rsidRPr="00C8008F">
              <w:rPr>
                <w:rFonts w:asciiTheme="minorHAnsi" w:hAnsiTheme="minorHAnsi" w:cstheme="minorHAnsi"/>
                <w:sz w:val="16"/>
              </w:rPr>
              <w:t>National parks</w:t>
            </w:r>
            <w:r w:rsidRPr="00C8008F">
              <w:rPr>
                <w:rFonts w:asciiTheme="minorHAnsi" w:hAnsiTheme="minorHAnsi" w:cstheme="minorHAnsi"/>
                <w:sz w:val="16"/>
              </w:rPr>
              <w:br/>
              <w:t>$000</w:t>
            </w:r>
          </w:p>
        </w:tc>
        <w:tc>
          <w:tcPr>
            <w:tcW w:w="907" w:type="dxa"/>
          </w:tcPr>
          <w:p w14:paraId="5B844CB4" w14:textId="77777777" w:rsidR="00B02873" w:rsidRPr="00C8008F" w:rsidRDefault="00B02873" w:rsidP="00C8008F">
            <w:pPr>
              <w:pStyle w:val="TableheadingleftFinancialsTables"/>
              <w:jc w:val="right"/>
              <w:rPr>
                <w:rFonts w:asciiTheme="minorHAnsi" w:hAnsiTheme="minorHAnsi" w:cstheme="minorHAnsi"/>
                <w:sz w:val="16"/>
              </w:rPr>
            </w:pPr>
            <w:r w:rsidRPr="00C8008F">
              <w:rPr>
                <w:rFonts w:asciiTheme="minorHAnsi" w:hAnsiTheme="minorHAnsi" w:cstheme="minorHAnsi"/>
                <w:sz w:val="16"/>
              </w:rPr>
              <w:t>State forests</w:t>
            </w:r>
            <w:r w:rsidRPr="00C8008F">
              <w:rPr>
                <w:rFonts w:asciiTheme="minorHAnsi" w:hAnsiTheme="minorHAnsi" w:cstheme="minorHAnsi"/>
                <w:sz w:val="16"/>
              </w:rPr>
              <w:br/>
              <w:t>$000</w:t>
            </w:r>
          </w:p>
        </w:tc>
        <w:tc>
          <w:tcPr>
            <w:tcW w:w="1089" w:type="dxa"/>
          </w:tcPr>
          <w:p w14:paraId="7D7F83C2" w14:textId="77777777" w:rsidR="00B02873" w:rsidRPr="00C8008F" w:rsidRDefault="00B02873" w:rsidP="00C8008F">
            <w:pPr>
              <w:pStyle w:val="TableheadingleftFinancialsTables"/>
              <w:jc w:val="right"/>
              <w:rPr>
                <w:rFonts w:asciiTheme="minorHAnsi" w:hAnsiTheme="minorHAnsi" w:cstheme="minorHAnsi"/>
                <w:sz w:val="16"/>
              </w:rPr>
            </w:pPr>
            <w:r w:rsidRPr="00C8008F">
              <w:rPr>
                <w:rFonts w:asciiTheme="minorHAnsi" w:hAnsiTheme="minorHAnsi" w:cstheme="minorHAnsi"/>
                <w:spacing w:val="-4"/>
                <w:sz w:val="16"/>
              </w:rPr>
              <w:t>Conservation reserves</w:t>
            </w:r>
            <w:r w:rsidRPr="00C8008F">
              <w:rPr>
                <w:rFonts w:asciiTheme="minorHAnsi" w:hAnsiTheme="minorHAnsi" w:cstheme="minorHAnsi"/>
                <w:spacing w:val="-4"/>
                <w:sz w:val="16"/>
              </w:rPr>
              <w:br/>
            </w:r>
            <w:r w:rsidRPr="00C8008F">
              <w:rPr>
                <w:rFonts w:asciiTheme="minorHAnsi" w:hAnsiTheme="minorHAnsi" w:cstheme="minorHAnsi"/>
                <w:sz w:val="16"/>
              </w:rPr>
              <w:t>$000</w:t>
            </w:r>
          </w:p>
        </w:tc>
        <w:tc>
          <w:tcPr>
            <w:tcW w:w="770" w:type="dxa"/>
          </w:tcPr>
          <w:p w14:paraId="1FEE98AC" w14:textId="77777777" w:rsidR="00B02873" w:rsidRPr="00C8008F" w:rsidRDefault="00B02873" w:rsidP="00C8008F">
            <w:pPr>
              <w:pStyle w:val="TableheadingleftFinancialsTables"/>
              <w:jc w:val="right"/>
              <w:rPr>
                <w:rFonts w:asciiTheme="minorHAnsi" w:hAnsiTheme="minorHAnsi" w:cstheme="minorHAnsi"/>
                <w:sz w:val="16"/>
              </w:rPr>
            </w:pPr>
            <w:r w:rsidRPr="00C8008F">
              <w:rPr>
                <w:rFonts w:asciiTheme="minorHAnsi" w:hAnsiTheme="minorHAnsi" w:cstheme="minorHAnsi"/>
                <w:spacing w:val="-4"/>
                <w:sz w:val="16"/>
              </w:rPr>
              <w:t>Metro-</w:t>
            </w:r>
            <w:r w:rsidRPr="00C8008F">
              <w:rPr>
                <w:rFonts w:asciiTheme="minorHAnsi" w:hAnsiTheme="minorHAnsi" w:cstheme="minorHAnsi"/>
                <w:spacing w:val="-4"/>
                <w:sz w:val="16"/>
              </w:rPr>
              <w:br/>
              <w:t>politan parks</w:t>
            </w:r>
            <w:r w:rsidRPr="00C8008F">
              <w:rPr>
                <w:rFonts w:asciiTheme="minorHAnsi" w:hAnsiTheme="minorHAnsi" w:cstheme="minorHAnsi"/>
                <w:spacing w:val="-4"/>
                <w:sz w:val="16"/>
              </w:rPr>
              <w:br/>
            </w:r>
            <w:r w:rsidRPr="00C8008F">
              <w:rPr>
                <w:rFonts w:asciiTheme="minorHAnsi" w:hAnsiTheme="minorHAnsi" w:cstheme="minorHAnsi"/>
                <w:sz w:val="16"/>
              </w:rPr>
              <w:t>$000</w:t>
            </w:r>
          </w:p>
        </w:tc>
        <w:tc>
          <w:tcPr>
            <w:tcW w:w="963" w:type="dxa"/>
          </w:tcPr>
          <w:p w14:paraId="1F63C73E" w14:textId="77777777" w:rsidR="00B02873" w:rsidRPr="00C8008F" w:rsidRDefault="00B02873" w:rsidP="00C8008F">
            <w:pPr>
              <w:pStyle w:val="TableheadingleftFinancialsTables"/>
              <w:jc w:val="right"/>
              <w:rPr>
                <w:rFonts w:asciiTheme="minorHAnsi" w:hAnsiTheme="minorHAnsi" w:cstheme="minorHAnsi"/>
                <w:sz w:val="16"/>
              </w:rPr>
            </w:pPr>
            <w:r w:rsidRPr="00C8008F">
              <w:rPr>
                <w:rFonts w:asciiTheme="minorHAnsi" w:hAnsiTheme="minorHAnsi" w:cstheme="minorHAnsi"/>
                <w:spacing w:val="-7"/>
                <w:sz w:val="16"/>
              </w:rPr>
              <w:t xml:space="preserve">Land </w:t>
            </w:r>
            <w:r w:rsidRPr="00C8008F">
              <w:rPr>
                <w:rFonts w:asciiTheme="minorHAnsi" w:hAnsiTheme="minorHAnsi" w:cstheme="minorHAnsi"/>
                <w:spacing w:val="-7"/>
                <w:sz w:val="16"/>
              </w:rPr>
              <w:br/>
              <w:t>used for operational purposes</w:t>
            </w:r>
            <w:r w:rsidRPr="00C8008F">
              <w:rPr>
                <w:rFonts w:asciiTheme="minorHAnsi" w:hAnsiTheme="minorHAnsi" w:cstheme="minorHAnsi"/>
                <w:spacing w:val="-7"/>
                <w:sz w:val="16"/>
              </w:rPr>
              <w:br/>
              <w:t xml:space="preserve">$000 </w:t>
            </w:r>
          </w:p>
        </w:tc>
        <w:tc>
          <w:tcPr>
            <w:tcW w:w="907" w:type="dxa"/>
          </w:tcPr>
          <w:p w14:paraId="51DF574F" w14:textId="77777777" w:rsidR="00B02873" w:rsidRPr="00C8008F" w:rsidRDefault="00B02873" w:rsidP="00C8008F">
            <w:pPr>
              <w:pStyle w:val="TableheadingleftFinancialsTables"/>
              <w:jc w:val="right"/>
              <w:rPr>
                <w:rFonts w:asciiTheme="minorHAnsi" w:hAnsiTheme="minorHAnsi" w:cstheme="minorHAnsi"/>
                <w:sz w:val="16"/>
              </w:rPr>
            </w:pPr>
            <w:r w:rsidRPr="00C8008F">
              <w:rPr>
                <w:rFonts w:asciiTheme="minorHAnsi" w:hAnsiTheme="minorHAnsi" w:cstheme="minorHAnsi"/>
                <w:sz w:val="16"/>
              </w:rPr>
              <w:t>Land purchase in progress</w:t>
            </w:r>
            <w:r w:rsidRPr="00C8008F">
              <w:rPr>
                <w:rFonts w:asciiTheme="minorHAnsi" w:hAnsiTheme="minorHAnsi" w:cstheme="minorHAnsi"/>
                <w:sz w:val="16"/>
              </w:rPr>
              <w:br/>
              <w:t xml:space="preserve">$000 </w:t>
            </w:r>
          </w:p>
        </w:tc>
        <w:tc>
          <w:tcPr>
            <w:tcW w:w="964" w:type="dxa"/>
          </w:tcPr>
          <w:p w14:paraId="00255DFA" w14:textId="77777777" w:rsidR="00B02873" w:rsidRPr="00C8008F" w:rsidRDefault="00B02873" w:rsidP="00C8008F">
            <w:pPr>
              <w:pStyle w:val="TableheadingleftFinancialsTables"/>
              <w:jc w:val="right"/>
              <w:rPr>
                <w:rFonts w:asciiTheme="minorHAnsi" w:hAnsiTheme="minorHAnsi" w:cstheme="minorHAnsi"/>
                <w:sz w:val="16"/>
              </w:rPr>
            </w:pPr>
            <w:r w:rsidRPr="00C8008F">
              <w:rPr>
                <w:rFonts w:asciiTheme="minorHAnsi" w:hAnsiTheme="minorHAnsi" w:cstheme="minorHAnsi"/>
                <w:sz w:val="16"/>
              </w:rPr>
              <w:t>Buildings and structures</w:t>
            </w:r>
            <w:r w:rsidRPr="00C8008F">
              <w:rPr>
                <w:rFonts w:asciiTheme="minorHAnsi" w:hAnsiTheme="minorHAnsi" w:cstheme="minorHAnsi"/>
                <w:sz w:val="16"/>
              </w:rPr>
              <w:br/>
              <w:t>$000</w:t>
            </w:r>
          </w:p>
        </w:tc>
        <w:tc>
          <w:tcPr>
            <w:tcW w:w="907" w:type="dxa"/>
          </w:tcPr>
          <w:p w14:paraId="3492DEFE" w14:textId="77777777" w:rsidR="00B02873" w:rsidRPr="00C8008F" w:rsidRDefault="00B02873" w:rsidP="00C8008F">
            <w:pPr>
              <w:pStyle w:val="TableheadingleftFinancialsTables"/>
              <w:jc w:val="right"/>
              <w:rPr>
                <w:rFonts w:asciiTheme="minorHAnsi" w:hAnsiTheme="minorHAnsi" w:cstheme="minorHAnsi"/>
                <w:sz w:val="16"/>
              </w:rPr>
            </w:pPr>
            <w:r w:rsidRPr="00C8008F">
              <w:rPr>
                <w:rFonts w:asciiTheme="minorHAnsi" w:hAnsiTheme="minorHAnsi" w:cstheme="minorHAnsi"/>
                <w:spacing w:val="-4"/>
                <w:sz w:val="16"/>
              </w:rPr>
              <w:t xml:space="preserve">RoU </w:t>
            </w:r>
            <w:r w:rsidRPr="00C8008F">
              <w:rPr>
                <w:rFonts w:asciiTheme="minorHAnsi" w:hAnsiTheme="minorHAnsi" w:cstheme="minorHAnsi"/>
                <w:spacing w:val="-4"/>
                <w:sz w:val="16"/>
              </w:rPr>
              <w:br/>
              <w:t xml:space="preserve">buildings and </w:t>
            </w:r>
            <w:r w:rsidRPr="00C8008F">
              <w:rPr>
                <w:rFonts w:asciiTheme="minorHAnsi" w:hAnsiTheme="minorHAnsi" w:cstheme="minorHAnsi"/>
                <w:spacing w:val="-4"/>
                <w:sz w:val="16"/>
              </w:rPr>
              <w:br/>
              <w:t>structures</w:t>
            </w:r>
            <w:r w:rsidRPr="00C8008F">
              <w:rPr>
                <w:rFonts w:asciiTheme="minorHAnsi" w:hAnsiTheme="minorHAnsi" w:cstheme="minorHAnsi"/>
                <w:spacing w:val="-4"/>
                <w:sz w:val="16"/>
              </w:rPr>
              <w:br/>
              <w:t>$000</w:t>
            </w:r>
          </w:p>
        </w:tc>
        <w:tc>
          <w:tcPr>
            <w:tcW w:w="836" w:type="dxa"/>
          </w:tcPr>
          <w:p w14:paraId="01817F56" w14:textId="77777777" w:rsidR="00B02873" w:rsidRPr="00C8008F" w:rsidRDefault="00B02873" w:rsidP="00C8008F">
            <w:pPr>
              <w:pStyle w:val="TableheadingleftFinancialsTables"/>
              <w:jc w:val="right"/>
              <w:rPr>
                <w:rFonts w:asciiTheme="minorHAnsi" w:hAnsiTheme="minorHAnsi" w:cstheme="minorHAnsi"/>
                <w:sz w:val="16"/>
              </w:rPr>
            </w:pPr>
            <w:r w:rsidRPr="00C8008F">
              <w:rPr>
                <w:rFonts w:asciiTheme="minorHAnsi" w:hAnsiTheme="minorHAnsi" w:cstheme="minorHAnsi"/>
                <w:sz w:val="16"/>
              </w:rPr>
              <w:t>Roads</w:t>
            </w:r>
            <w:r w:rsidRPr="00C8008F">
              <w:rPr>
                <w:rFonts w:asciiTheme="minorHAnsi" w:hAnsiTheme="minorHAnsi" w:cstheme="minorHAnsi"/>
                <w:sz w:val="16"/>
              </w:rPr>
              <w:br/>
              <w:t>$000</w:t>
            </w:r>
          </w:p>
        </w:tc>
        <w:tc>
          <w:tcPr>
            <w:tcW w:w="940" w:type="dxa"/>
          </w:tcPr>
          <w:p w14:paraId="5FFEA590" w14:textId="77777777" w:rsidR="00B02873" w:rsidRPr="00C8008F" w:rsidRDefault="00B02873" w:rsidP="00C8008F">
            <w:pPr>
              <w:pStyle w:val="TableheadingleftFinancialsTables"/>
              <w:jc w:val="right"/>
              <w:rPr>
                <w:rFonts w:asciiTheme="minorHAnsi" w:hAnsiTheme="minorHAnsi" w:cstheme="minorHAnsi"/>
                <w:sz w:val="16"/>
              </w:rPr>
            </w:pPr>
            <w:r w:rsidRPr="00C8008F">
              <w:rPr>
                <w:rFonts w:asciiTheme="minorHAnsi" w:hAnsiTheme="minorHAnsi" w:cstheme="minorHAnsi"/>
                <w:sz w:val="16"/>
              </w:rPr>
              <w:t xml:space="preserve">Plant and </w:t>
            </w:r>
            <w:r w:rsidRPr="00C8008F">
              <w:rPr>
                <w:rFonts w:asciiTheme="minorHAnsi" w:hAnsiTheme="minorHAnsi" w:cstheme="minorHAnsi"/>
                <w:sz w:val="16"/>
              </w:rPr>
              <w:br/>
              <w:t>equipment</w:t>
            </w:r>
            <w:r w:rsidRPr="00C8008F">
              <w:rPr>
                <w:rFonts w:asciiTheme="minorHAnsi" w:hAnsiTheme="minorHAnsi" w:cstheme="minorHAnsi"/>
                <w:sz w:val="16"/>
              </w:rPr>
              <w:br/>
              <w:t>$000</w:t>
            </w:r>
          </w:p>
        </w:tc>
        <w:tc>
          <w:tcPr>
            <w:tcW w:w="879" w:type="dxa"/>
          </w:tcPr>
          <w:p w14:paraId="47225C4E" w14:textId="77777777" w:rsidR="00B02873" w:rsidRPr="00C8008F" w:rsidRDefault="00B02873" w:rsidP="00C8008F">
            <w:pPr>
              <w:pStyle w:val="TableheadingleftFinancialsTables"/>
              <w:jc w:val="right"/>
              <w:rPr>
                <w:rFonts w:asciiTheme="minorHAnsi" w:hAnsiTheme="minorHAnsi" w:cstheme="minorHAnsi"/>
                <w:sz w:val="16"/>
              </w:rPr>
            </w:pPr>
            <w:r w:rsidRPr="00C8008F">
              <w:rPr>
                <w:rFonts w:asciiTheme="minorHAnsi" w:hAnsiTheme="minorHAnsi" w:cstheme="minorHAnsi"/>
                <w:sz w:val="16"/>
              </w:rPr>
              <w:t>Total</w:t>
            </w:r>
            <w:r w:rsidRPr="00C8008F">
              <w:rPr>
                <w:rFonts w:asciiTheme="minorHAnsi" w:hAnsiTheme="minorHAnsi" w:cstheme="minorHAnsi"/>
                <w:sz w:val="16"/>
              </w:rPr>
              <w:br/>
              <w:t>$000</w:t>
            </w:r>
          </w:p>
        </w:tc>
      </w:tr>
      <w:tr w:rsidR="00B02873" w:rsidRPr="00C8008F" w14:paraId="523978C6" w14:textId="77777777" w:rsidTr="00C8008F">
        <w:tc>
          <w:tcPr>
            <w:tcW w:w="3201" w:type="dxa"/>
          </w:tcPr>
          <w:p w14:paraId="746E21DC" w14:textId="77777777" w:rsidR="00B02873" w:rsidRPr="00C8008F" w:rsidRDefault="00B02873" w:rsidP="00C8008F">
            <w:pPr>
              <w:pStyle w:val="TablebodyleftFinancialsTables"/>
              <w:rPr>
                <w:rFonts w:asciiTheme="minorHAnsi" w:hAnsiTheme="minorHAnsi" w:cstheme="minorHAnsi"/>
                <w:b/>
                <w:bCs/>
                <w:sz w:val="16"/>
              </w:rPr>
            </w:pPr>
            <w:r w:rsidRPr="00C8008F">
              <w:rPr>
                <w:rFonts w:asciiTheme="minorHAnsi" w:hAnsiTheme="minorHAnsi" w:cstheme="minorHAnsi"/>
                <w:b/>
                <w:bCs/>
                <w:sz w:val="16"/>
              </w:rPr>
              <w:t>Balance at 1 July 2020</w:t>
            </w:r>
          </w:p>
        </w:tc>
        <w:tc>
          <w:tcPr>
            <w:tcW w:w="907" w:type="dxa"/>
          </w:tcPr>
          <w:p w14:paraId="4015F0EE" w14:textId="77777777" w:rsidR="00B02873" w:rsidRPr="00C8008F" w:rsidRDefault="00B02873" w:rsidP="00C8008F">
            <w:pPr>
              <w:pStyle w:val="TablebodyleftFinancialsTables"/>
              <w:jc w:val="right"/>
              <w:rPr>
                <w:rFonts w:asciiTheme="minorHAnsi" w:hAnsiTheme="minorHAnsi" w:cstheme="minorHAnsi"/>
                <w:b/>
                <w:bCs/>
                <w:sz w:val="16"/>
              </w:rPr>
            </w:pPr>
            <w:r w:rsidRPr="00C8008F">
              <w:rPr>
                <w:rFonts w:asciiTheme="minorHAnsi" w:hAnsiTheme="minorHAnsi" w:cstheme="minorHAnsi"/>
                <w:b/>
                <w:bCs/>
                <w:sz w:val="16"/>
              </w:rPr>
              <w:t>8,804</w:t>
            </w:r>
          </w:p>
        </w:tc>
        <w:tc>
          <w:tcPr>
            <w:tcW w:w="907" w:type="dxa"/>
          </w:tcPr>
          <w:p w14:paraId="24C8A59E" w14:textId="77777777" w:rsidR="00B02873" w:rsidRPr="00C8008F" w:rsidRDefault="00B02873" w:rsidP="00C8008F">
            <w:pPr>
              <w:pStyle w:val="TablebodyleftFinancialsTables"/>
              <w:jc w:val="right"/>
              <w:rPr>
                <w:rFonts w:asciiTheme="minorHAnsi" w:hAnsiTheme="minorHAnsi" w:cstheme="minorHAnsi"/>
                <w:b/>
                <w:bCs/>
                <w:sz w:val="16"/>
              </w:rPr>
            </w:pPr>
            <w:r w:rsidRPr="00C8008F">
              <w:rPr>
                <w:rFonts w:asciiTheme="minorHAnsi" w:hAnsiTheme="minorHAnsi" w:cstheme="minorHAnsi"/>
                <w:b/>
                <w:bCs/>
                <w:sz w:val="16"/>
              </w:rPr>
              <w:t>3,119,298</w:t>
            </w:r>
          </w:p>
        </w:tc>
        <w:tc>
          <w:tcPr>
            <w:tcW w:w="907" w:type="dxa"/>
          </w:tcPr>
          <w:p w14:paraId="408658FE" w14:textId="77777777" w:rsidR="00B02873" w:rsidRPr="00C8008F" w:rsidRDefault="00B02873" w:rsidP="00C8008F">
            <w:pPr>
              <w:pStyle w:val="TablebodyleftFinancialsTables"/>
              <w:jc w:val="right"/>
              <w:rPr>
                <w:rFonts w:asciiTheme="minorHAnsi" w:hAnsiTheme="minorHAnsi" w:cstheme="minorHAnsi"/>
                <w:b/>
                <w:bCs/>
                <w:sz w:val="16"/>
              </w:rPr>
            </w:pPr>
            <w:r w:rsidRPr="00C8008F">
              <w:rPr>
                <w:rFonts w:asciiTheme="minorHAnsi" w:hAnsiTheme="minorHAnsi" w:cstheme="minorHAnsi"/>
                <w:b/>
                <w:bCs/>
                <w:sz w:val="16"/>
              </w:rPr>
              <w:t>3,066</w:t>
            </w:r>
          </w:p>
        </w:tc>
        <w:tc>
          <w:tcPr>
            <w:tcW w:w="907" w:type="dxa"/>
          </w:tcPr>
          <w:p w14:paraId="7D10E3C2" w14:textId="77777777" w:rsidR="00B02873" w:rsidRPr="00C8008F" w:rsidRDefault="00B02873" w:rsidP="00C8008F">
            <w:pPr>
              <w:pStyle w:val="TablebodyleftFinancialsTables"/>
              <w:jc w:val="right"/>
              <w:rPr>
                <w:rFonts w:asciiTheme="minorHAnsi" w:hAnsiTheme="minorHAnsi" w:cstheme="minorHAnsi"/>
                <w:b/>
                <w:bCs/>
                <w:sz w:val="16"/>
              </w:rPr>
            </w:pPr>
            <w:r w:rsidRPr="00C8008F">
              <w:rPr>
                <w:rFonts w:asciiTheme="minorHAnsi" w:hAnsiTheme="minorHAnsi" w:cstheme="minorHAnsi"/>
                <w:b/>
                <w:bCs/>
                <w:sz w:val="16"/>
              </w:rPr>
              <w:t>1,231,465</w:t>
            </w:r>
          </w:p>
        </w:tc>
        <w:tc>
          <w:tcPr>
            <w:tcW w:w="1089" w:type="dxa"/>
          </w:tcPr>
          <w:p w14:paraId="0BFE815E" w14:textId="77777777" w:rsidR="00B02873" w:rsidRPr="00C8008F" w:rsidRDefault="00B02873" w:rsidP="00C8008F">
            <w:pPr>
              <w:pStyle w:val="TablebodyleftFinancialsTables"/>
              <w:jc w:val="right"/>
              <w:rPr>
                <w:rFonts w:asciiTheme="minorHAnsi" w:hAnsiTheme="minorHAnsi" w:cstheme="minorHAnsi"/>
                <w:b/>
                <w:bCs/>
                <w:sz w:val="16"/>
              </w:rPr>
            </w:pPr>
            <w:r w:rsidRPr="00C8008F">
              <w:rPr>
                <w:rFonts w:asciiTheme="minorHAnsi" w:hAnsiTheme="minorHAnsi" w:cstheme="minorHAnsi"/>
                <w:b/>
                <w:bCs/>
                <w:sz w:val="16"/>
              </w:rPr>
              <w:t>63,112</w:t>
            </w:r>
          </w:p>
        </w:tc>
        <w:tc>
          <w:tcPr>
            <w:tcW w:w="770" w:type="dxa"/>
          </w:tcPr>
          <w:p w14:paraId="3DB5983D" w14:textId="77777777" w:rsidR="00B02873" w:rsidRPr="00C8008F" w:rsidRDefault="00B02873" w:rsidP="00C8008F">
            <w:pPr>
              <w:pStyle w:val="TablebodyleftFinancialsTables"/>
              <w:jc w:val="right"/>
              <w:rPr>
                <w:rFonts w:asciiTheme="minorHAnsi" w:hAnsiTheme="minorHAnsi" w:cstheme="minorHAnsi"/>
                <w:b/>
                <w:bCs/>
                <w:sz w:val="16"/>
              </w:rPr>
            </w:pPr>
            <w:r w:rsidRPr="00C8008F">
              <w:rPr>
                <w:rFonts w:asciiTheme="minorHAnsi" w:hAnsiTheme="minorHAnsi" w:cstheme="minorHAnsi"/>
                <w:b/>
                <w:bCs/>
                <w:sz w:val="16"/>
              </w:rPr>
              <w:t>6,865</w:t>
            </w:r>
          </w:p>
        </w:tc>
        <w:tc>
          <w:tcPr>
            <w:tcW w:w="963" w:type="dxa"/>
          </w:tcPr>
          <w:p w14:paraId="7A9E32A0" w14:textId="77777777" w:rsidR="00B02873" w:rsidRPr="00C8008F" w:rsidRDefault="00B02873" w:rsidP="00C8008F">
            <w:pPr>
              <w:pStyle w:val="TablebodyleftFinancialsTables"/>
              <w:jc w:val="right"/>
              <w:rPr>
                <w:rFonts w:asciiTheme="minorHAnsi" w:hAnsiTheme="minorHAnsi" w:cstheme="minorHAnsi"/>
                <w:b/>
                <w:bCs/>
                <w:sz w:val="16"/>
              </w:rPr>
            </w:pPr>
            <w:r w:rsidRPr="00C8008F">
              <w:rPr>
                <w:rFonts w:asciiTheme="minorHAnsi" w:hAnsiTheme="minorHAnsi" w:cstheme="minorHAnsi"/>
                <w:b/>
                <w:bCs/>
                <w:sz w:val="16"/>
              </w:rPr>
              <w:t>46,377</w:t>
            </w:r>
          </w:p>
        </w:tc>
        <w:tc>
          <w:tcPr>
            <w:tcW w:w="907" w:type="dxa"/>
          </w:tcPr>
          <w:p w14:paraId="2209157E" w14:textId="77777777" w:rsidR="00B02873" w:rsidRPr="00C8008F" w:rsidRDefault="00B02873" w:rsidP="00C8008F">
            <w:pPr>
              <w:pStyle w:val="TablebodyleftFinancialsTables"/>
              <w:jc w:val="right"/>
              <w:rPr>
                <w:rFonts w:asciiTheme="minorHAnsi" w:hAnsiTheme="minorHAnsi" w:cstheme="minorHAnsi"/>
                <w:b/>
                <w:bCs/>
                <w:sz w:val="16"/>
              </w:rPr>
            </w:pPr>
            <w:r w:rsidRPr="00C8008F">
              <w:rPr>
                <w:rFonts w:asciiTheme="minorHAnsi" w:hAnsiTheme="minorHAnsi" w:cstheme="minorHAnsi"/>
                <w:b/>
                <w:bCs/>
                <w:sz w:val="16"/>
              </w:rPr>
              <w:t>60,530</w:t>
            </w:r>
          </w:p>
        </w:tc>
        <w:tc>
          <w:tcPr>
            <w:tcW w:w="964" w:type="dxa"/>
          </w:tcPr>
          <w:p w14:paraId="518A55DE" w14:textId="77777777" w:rsidR="00B02873" w:rsidRPr="00C8008F" w:rsidRDefault="00B02873" w:rsidP="00C8008F">
            <w:pPr>
              <w:pStyle w:val="TablebodyleftFinancialsTables"/>
              <w:jc w:val="right"/>
              <w:rPr>
                <w:rFonts w:asciiTheme="minorHAnsi" w:hAnsiTheme="minorHAnsi" w:cstheme="minorHAnsi"/>
                <w:b/>
                <w:bCs/>
                <w:sz w:val="16"/>
              </w:rPr>
            </w:pPr>
            <w:r w:rsidRPr="00C8008F">
              <w:rPr>
                <w:rFonts w:asciiTheme="minorHAnsi" w:hAnsiTheme="minorHAnsi" w:cstheme="minorHAnsi"/>
                <w:b/>
                <w:bCs/>
                <w:sz w:val="16"/>
              </w:rPr>
              <w:t>563,897</w:t>
            </w:r>
          </w:p>
        </w:tc>
        <w:tc>
          <w:tcPr>
            <w:tcW w:w="907" w:type="dxa"/>
          </w:tcPr>
          <w:p w14:paraId="430D1059" w14:textId="77777777" w:rsidR="00B02873" w:rsidRPr="00C8008F" w:rsidRDefault="00B02873" w:rsidP="00C8008F">
            <w:pPr>
              <w:pStyle w:val="TablebodyleftFinancialsTables"/>
              <w:jc w:val="right"/>
              <w:rPr>
                <w:rFonts w:asciiTheme="minorHAnsi" w:hAnsiTheme="minorHAnsi" w:cstheme="minorHAnsi"/>
                <w:b/>
                <w:bCs/>
                <w:sz w:val="16"/>
              </w:rPr>
            </w:pPr>
            <w:r w:rsidRPr="00C8008F">
              <w:rPr>
                <w:rFonts w:asciiTheme="minorHAnsi" w:hAnsiTheme="minorHAnsi" w:cstheme="minorHAnsi"/>
                <w:b/>
                <w:bCs/>
                <w:sz w:val="16"/>
              </w:rPr>
              <w:t>1,938</w:t>
            </w:r>
          </w:p>
        </w:tc>
        <w:tc>
          <w:tcPr>
            <w:tcW w:w="836" w:type="dxa"/>
          </w:tcPr>
          <w:p w14:paraId="6738F2FB" w14:textId="77777777" w:rsidR="00B02873" w:rsidRPr="00C8008F" w:rsidRDefault="00B02873" w:rsidP="00C8008F">
            <w:pPr>
              <w:pStyle w:val="TablebodyleftFinancialsTables"/>
              <w:jc w:val="right"/>
              <w:rPr>
                <w:rFonts w:asciiTheme="minorHAnsi" w:hAnsiTheme="minorHAnsi" w:cstheme="minorHAnsi"/>
                <w:b/>
                <w:bCs/>
                <w:sz w:val="16"/>
              </w:rPr>
            </w:pPr>
            <w:r w:rsidRPr="00C8008F">
              <w:rPr>
                <w:rFonts w:asciiTheme="minorHAnsi" w:hAnsiTheme="minorHAnsi" w:cstheme="minorHAnsi"/>
                <w:b/>
                <w:bCs/>
                <w:sz w:val="16"/>
              </w:rPr>
              <w:t>959,648</w:t>
            </w:r>
          </w:p>
        </w:tc>
        <w:tc>
          <w:tcPr>
            <w:tcW w:w="940" w:type="dxa"/>
          </w:tcPr>
          <w:p w14:paraId="0ECE806C" w14:textId="77777777" w:rsidR="00B02873" w:rsidRPr="00C8008F" w:rsidRDefault="00B02873" w:rsidP="00C8008F">
            <w:pPr>
              <w:pStyle w:val="TablebodyleftFinancialsTables"/>
              <w:jc w:val="right"/>
              <w:rPr>
                <w:rFonts w:asciiTheme="minorHAnsi" w:hAnsiTheme="minorHAnsi" w:cstheme="minorHAnsi"/>
                <w:b/>
                <w:bCs/>
                <w:sz w:val="16"/>
              </w:rPr>
            </w:pPr>
            <w:r w:rsidRPr="00C8008F">
              <w:rPr>
                <w:rFonts w:asciiTheme="minorHAnsi" w:hAnsiTheme="minorHAnsi" w:cstheme="minorHAnsi"/>
                <w:b/>
                <w:bCs/>
                <w:sz w:val="16"/>
              </w:rPr>
              <w:t>69,131</w:t>
            </w:r>
          </w:p>
        </w:tc>
        <w:tc>
          <w:tcPr>
            <w:tcW w:w="879" w:type="dxa"/>
          </w:tcPr>
          <w:p w14:paraId="23215EAB" w14:textId="77777777" w:rsidR="00B02873" w:rsidRPr="00C8008F" w:rsidRDefault="00B02873" w:rsidP="00C8008F">
            <w:pPr>
              <w:pStyle w:val="TablebodyleftFinancialsTables"/>
              <w:jc w:val="right"/>
              <w:rPr>
                <w:rFonts w:asciiTheme="minorHAnsi" w:hAnsiTheme="minorHAnsi" w:cstheme="minorHAnsi"/>
                <w:b/>
                <w:bCs/>
                <w:sz w:val="16"/>
              </w:rPr>
            </w:pPr>
            <w:r w:rsidRPr="00C8008F">
              <w:rPr>
                <w:rFonts w:asciiTheme="minorHAnsi" w:hAnsiTheme="minorHAnsi" w:cstheme="minorHAnsi"/>
                <w:b/>
                <w:bCs/>
                <w:sz w:val="16"/>
              </w:rPr>
              <w:t>6,134,131</w:t>
            </w:r>
          </w:p>
        </w:tc>
      </w:tr>
      <w:tr w:rsidR="00B02873" w:rsidRPr="00C8008F" w14:paraId="70FCAC2C" w14:textId="77777777" w:rsidTr="00C8008F">
        <w:tc>
          <w:tcPr>
            <w:tcW w:w="3201" w:type="dxa"/>
          </w:tcPr>
          <w:p w14:paraId="01DB15AE" w14:textId="77777777" w:rsidR="00B02873" w:rsidRPr="00C8008F" w:rsidRDefault="00B02873" w:rsidP="00C8008F">
            <w:pPr>
              <w:pStyle w:val="TablebodyleftFinancialsTables"/>
              <w:rPr>
                <w:rFonts w:asciiTheme="minorHAnsi" w:hAnsiTheme="minorHAnsi" w:cstheme="minorHAnsi"/>
                <w:sz w:val="16"/>
              </w:rPr>
            </w:pPr>
            <w:r w:rsidRPr="00C8008F">
              <w:rPr>
                <w:rFonts w:asciiTheme="minorHAnsi" w:hAnsiTheme="minorHAnsi" w:cstheme="minorHAnsi"/>
                <w:sz w:val="16"/>
              </w:rPr>
              <w:t>Purchases/(sales)</w:t>
            </w:r>
          </w:p>
        </w:tc>
        <w:tc>
          <w:tcPr>
            <w:tcW w:w="907" w:type="dxa"/>
          </w:tcPr>
          <w:p w14:paraId="4CDB6E34"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w:t>
            </w:r>
          </w:p>
        </w:tc>
        <w:tc>
          <w:tcPr>
            <w:tcW w:w="907" w:type="dxa"/>
          </w:tcPr>
          <w:p w14:paraId="191FB15D"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w:t>
            </w:r>
          </w:p>
        </w:tc>
        <w:tc>
          <w:tcPr>
            <w:tcW w:w="907" w:type="dxa"/>
          </w:tcPr>
          <w:p w14:paraId="6FE3F98D"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w:t>
            </w:r>
          </w:p>
        </w:tc>
        <w:tc>
          <w:tcPr>
            <w:tcW w:w="907" w:type="dxa"/>
          </w:tcPr>
          <w:p w14:paraId="17E97BFA"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w:t>
            </w:r>
          </w:p>
        </w:tc>
        <w:tc>
          <w:tcPr>
            <w:tcW w:w="1089" w:type="dxa"/>
          </w:tcPr>
          <w:p w14:paraId="7345F312"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(295)</w:t>
            </w:r>
          </w:p>
        </w:tc>
        <w:tc>
          <w:tcPr>
            <w:tcW w:w="770" w:type="dxa"/>
          </w:tcPr>
          <w:p w14:paraId="5D8ADDCB"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w:t>
            </w:r>
          </w:p>
        </w:tc>
        <w:tc>
          <w:tcPr>
            <w:tcW w:w="963" w:type="dxa"/>
          </w:tcPr>
          <w:p w14:paraId="336B9016"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w:t>
            </w:r>
          </w:p>
        </w:tc>
        <w:tc>
          <w:tcPr>
            <w:tcW w:w="907" w:type="dxa"/>
          </w:tcPr>
          <w:p w14:paraId="40835F94"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4,396</w:t>
            </w:r>
          </w:p>
        </w:tc>
        <w:tc>
          <w:tcPr>
            <w:tcW w:w="964" w:type="dxa"/>
          </w:tcPr>
          <w:p w14:paraId="0AF68477"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(1,547)</w:t>
            </w:r>
          </w:p>
        </w:tc>
        <w:tc>
          <w:tcPr>
            <w:tcW w:w="907" w:type="dxa"/>
          </w:tcPr>
          <w:p w14:paraId="2E447896"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w:t>
            </w:r>
          </w:p>
        </w:tc>
        <w:tc>
          <w:tcPr>
            <w:tcW w:w="836" w:type="dxa"/>
          </w:tcPr>
          <w:p w14:paraId="13D2E48B"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3,504</w:t>
            </w:r>
          </w:p>
        </w:tc>
        <w:tc>
          <w:tcPr>
            <w:tcW w:w="940" w:type="dxa"/>
          </w:tcPr>
          <w:p w14:paraId="1C965801"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10,228</w:t>
            </w:r>
          </w:p>
        </w:tc>
        <w:tc>
          <w:tcPr>
            <w:tcW w:w="879" w:type="dxa"/>
          </w:tcPr>
          <w:p w14:paraId="4EBAD7FC"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16,286</w:t>
            </w:r>
          </w:p>
        </w:tc>
      </w:tr>
      <w:tr w:rsidR="00B02873" w:rsidRPr="00C8008F" w14:paraId="05E44243" w14:textId="77777777" w:rsidTr="00C8008F">
        <w:tc>
          <w:tcPr>
            <w:tcW w:w="3201" w:type="dxa"/>
          </w:tcPr>
          <w:p w14:paraId="2865F4B8" w14:textId="77777777" w:rsidR="00B02873" w:rsidRPr="00C8008F" w:rsidRDefault="00B02873" w:rsidP="00C8008F">
            <w:pPr>
              <w:pStyle w:val="TablebodyleftFinancialsTables"/>
              <w:rPr>
                <w:rFonts w:asciiTheme="minorHAnsi" w:hAnsiTheme="minorHAnsi" w:cstheme="minorHAnsi"/>
                <w:sz w:val="16"/>
              </w:rPr>
            </w:pPr>
            <w:r w:rsidRPr="00C8008F">
              <w:rPr>
                <w:rFonts w:asciiTheme="minorHAnsi" w:hAnsiTheme="minorHAnsi" w:cstheme="minorHAnsi"/>
                <w:sz w:val="16"/>
              </w:rPr>
              <w:t>Transfers in/(out) of Level 3 – assets classified as held for sale (Note 5.2)</w:t>
            </w:r>
          </w:p>
        </w:tc>
        <w:tc>
          <w:tcPr>
            <w:tcW w:w="907" w:type="dxa"/>
          </w:tcPr>
          <w:p w14:paraId="6A69FD80"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w:t>
            </w:r>
          </w:p>
        </w:tc>
        <w:tc>
          <w:tcPr>
            <w:tcW w:w="907" w:type="dxa"/>
          </w:tcPr>
          <w:p w14:paraId="7F2EFC5A"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4,879</w:t>
            </w:r>
          </w:p>
        </w:tc>
        <w:tc>
          <w:tcPr>
            <w:tcW w:w="907" w:type="dxa"/>
          </w:tcPr>
          <w:p w14:paraId="4893F544"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w:t>
            </w:r>
          </w:p>
        </w:tc>
        <w:tc>
          <w:tcPr>
            <w:tcW w:w="907" w:type="dxa"/>
          </w:tcPr>
          <w:p w14:paraId="6F35132F"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w:t>
            </w:r>
          </w:p>
        </w:tc>
        <w:tc>
          <w:tcPr>
            <w:tcW w:w="1089" w:type="dxa"/>
          </w:tcPr>
          <w:p w14:paraId="622DD7FA"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w:t>
            </w:r>
          </w:p>
        </w:tc>
        <w:tc>
          <w:tcPr>
            <w:tcW w:w="770" w:type="dxa"/>
          </w:tcPr>
          <w:p w14:paraId="13C36CDC"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w:t>
            </w:r>
          </w:p>
        </w:tc>
        <w:tc>
          <w:tcPr>
            <w:tcW w:w="963" w:type="dxa"/>
          </w:tcPr>
          <w:p w14:paraId="4B3401FF"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(2,730)</w:t>
            </w:r>
          </w:p>
        </w:tc>
        <w:tc>
          <w:tcPr>
            <w:tcW w:w="907" w:type="dxa"/>
          </w:tcPr>
          <w:p w14:paraId="253D77D1"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w:t>
            </w:r>
          </w:p>
        </w:tc>
        <w:tc>
          <w:tcPr>
            <w:tcW w:w="964" w:type="dxa"/>
          </w:tcPr>
          <w:p w14:paraId="422A6125"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w:t>
            </w:r>
          </w:p>
        </w:tc>
        <w:tc>
          <w:tcPr>
            <w:tcW w:w="907" w:type="dxa"/>
          </w:tcPr>
          <w:p w14:paraId="6EDDA892"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w:t>
            </w:r>
          </w:p>
        </w:tc>
        <w:tc>
          <w:tcPr>
            <w:tcW w:w="836" w:type="dxa"/>
          </w:tcPr>
          <w:p w14:paraId="4898EAF7"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w:t>
            </w:r>
          </w:p>
        </w:tc>
        <w:tc>
          <w:tcPr>
            <w:tcW w:w="940" w:type="dxa"/>
          </w:tcPr>
          <w:p w14:paraId="2D7ADE5F"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w:t>
            </w:r>
          </w:p>
        </w:tc>
        <w:tc>
          <w:tcPr>
            <w:tcW w:w="879" w:type="dxa"/>
          </w:tcPr>
          <w:p w14:paraId="5DB1B7C7"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2,149</w:t>
            </w:r>
          </w:p>
        </w:tc>
      </w:tr>
      <w:tr w:rsidR="00B02873" w:rsidRPr="00C8008F" w14:paraId="6FDA009E" w14:textId="77777777" w:rsidTr="00C8008F">
        <w:tc>
          <w:tcPr>
            <w:tcW w:w="3201" w:type="dxa"/>
          </w:tcPr>
          <w:p w14:paraId="20CEA636" w14:textId="0979E6CC" w:rsidR="00B02873" w:rsidRPr="00C8008F" w:rsidRDefault="00B02873" w:rsidP="00C8008F">
            <w:pPr>
              <w:pStyle w:val="TablebodyleftFinancialsTables"/>
              <w:rPr>
                <w:rFonts w:asciiTheme="minorHAnsi" w:hAnsiTheme="minorHAnsi" w:cstheme="minorHAnsi"/>
                <w:sz w:val="16"/>
              </w:rPr>
            </w:pPr>
            <w:r w:rsidRPr="00C8008F">
              <w:rPr>
                <w:rFonts w:asciiTheme="minorHAnsi" w:hAnsiTheme="minorHAnsi" w:cstheme="minorHAnsi"/>
                <w:sz w:val="16"/>
              </w:rPr>
              <w:t>Transfers in/(out) – from other categories</w:t>
            </w:r>
            <w:r w:rsidRPr="00C8008F">
              <w:rPr>
                <w:rFonts w:asciiTheme="minorHAnsi" w:hAnsiTheme="minorHAnsi" w:cstheme="minorHAnsi"/>
                <w:sz w:val="16"/>
                <w:vertAlign w:val="superscript"/>
              </w:rPr>
              <w:t>(i)</w:t>
            </w:r>
          </w:p>
        </w:tc>
        <w:tc>
          <w:tcPr>
            <w:tcW w:w="907" w:type="dxa"/>
          </w:tcPr>
          <w:p w14:paraId="32CB1CFE"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128</w:t>
            </w:r>
          </w:p>
        </w:tc>
        <w:tc>
          <w:tcPr>
            <w:tcW w:w="907" w:type="dxa"/>
          </w:tcPr>
          <w:p w14:paraId="3523F8AB"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(13,219)</w:t>
            </w:r>
          </w:p>
        </w:tc>
        <w:tc>
          <w:tcPr>
            <w:tcW w:w="907" w:type="dxa"/>
          </w:tcPr>
          <w:p w14:paraId="40077B08"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(37)</w:t>
            </w:r>
          </w:p>
        </w:tc>
        <w:tc>
          <w:tcPr>
            <w:tcW w:w="907" w:type="dxa"/>
          </w:tcPr>
          <w:p w14:paraId="7A07C39C"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(1,020)</w:t>
            </w:r>
          </w:p>
        </w:tc>
        <w:tc>
          <w:tcPr>
            <w:tcW w:w="1089" w:type="dxa"/>
          </w:tcPr>
          <w:p w14:paraId="16E8327B"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26,553</w:t>
            </w:r>
          </w:p>
        </w:tc>
        <w:tc>
          <w:tcPr>
            <w:tcW w:w="770" w:type="dxa"/>
          </w:tcPr>
          <w:p w14:paraId="64E5676E"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2,731</w:t>
            </w:r>
          </w:p>
        </w:tc>
        <w:tc>
          <w:tcPr>
            <w:tcW w:w="963" w:type="dxa"/>
          </w:tcPr>
          <w:p w14:paraId="4FBDE37E"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(2,699)</w:t>
            </w:r>
          </w:p>
        </w:tc>
        <w:tc>
          <w:tcPr>
            <w:tcW w:w="907" w:type="dxa"/>
          </w:tcPr>
          <w:p w14:paraId="42CD2E44"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(14,777)</w:t>
            </w:r>
          </w:p>
        </w:tc>
        <w:tc>
          <w:tcPr>
            <w:tcW w:w="964" w:type="dxa"/>
          </w:tcPr>
          <w:p w14:paraId="5474CA35"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11,400</w:t>
            </w:r>
          </w:p>
        </w:tc>
        <w:tc>
          <w:tcPr>
            <w:tcW w:w="907" w:type="dxa"/>
          </w:tcPr>
          <w:p w14:paraId="1F7E357D"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2,012</w:t>
            </w:r>
          </w:p>
        </w:tc>
        <w:tc>
          <w:tcPr>
            <w:tcW w:w="836" w:type="dxa"/>
          </w:tcPr>
          <w:p w14:paraId="47D6B4E8"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(2,420)</w:t>
            </w:r>
          </w:p>
        </w:tc>
        <w:tc>
          <w:tcPr>
            <w:tcW w:w="940" w:type="dxa"/>
          </w:tcPr>
          <w:p w14:paraId="12E7007A"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2,308</w:t>
            </w:r>
          </w:p>
        </w:tc>
        <w:tc>
          <w:tcPr>
            <w:tcW w:w="879" w:type="dxa"/>
          </w:tcPr>
          <w:p w14:paraId="4309F3C7" w14:textId="038A47F1"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10,960</w:t>
            </w:r>
          </w:p>
        </w:tc>
      </w:tr>
      <w:tr w:rsidR="00B02873" w:rsidRPr="00C8008F" w14:paraId="6069473B" w14:textId="77777777" w:rsidTr="00C8008F">
        <w:tc>
          <w:tcPr>
            <w:tcW w:w="3201" w:type="dxa"/>
          </w:tcPr>
          <w:p w14:paraId="195699BF" w14:textId="77777777" w:rsidR="00B02873" w:rsidRPr="00C8008F" w:rsidRDefault="00B02873" w:rsidP="00C8008F">
            <w:pPr>
              <w:pStyle w:val="TablebodyleftFinancialsTables"/>
              <w:rPr>
                <w:rFonts w:asciiTheme="minorHAnsi" w:hAnsiTheme="minorHAnsi" w:cstheme="minorHAnsi"/>
                <w:sz w:val="16"/>
              </w:rPr>
            </w:pPr>
            <w:r w:rsidRPr="00C8008F">
              <w:rPr>
                <w:rFonts w:asciiTheme="minorHAnsi" w:hAnsiTheme="minorHAnsi" w:cstheme="minorHAnsi"/>
                <w:spacing w:val="-9"/>
                <w:sz w:val="16"/>
              </w:rPr>
              <w:t>Depreciation expense</w:t>
            </w:r>
          </w:p>
        </w:tc>
        <w:tc>
          <w:tcPr>
            <w:tcW w:w="907" w:type="dxa"/>
          </w:tcPr>
          <w:p w14:paraId="2A55010A"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w:t>
            </w:r>
          </w:p>
        </w:tc>
        <w:tc>
          <w:tcPr>
            <w:tcW w:w="907" w:type="dxa"/>
          </w:tcPr>
          <w:p w14:paraId="1A15AF82"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w:t>
            </w:r>
          </w:p>
        </w:tc>
        <w:tc>
          <w:tcPr>
            <w:tcW w:w="907" w:type="dxa"/>
          </w:tcPr>
          <w:p w14:paraId="4CFABDA8"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w:t>
            </w:r>
          </w:p>
        </w:tc>
        <w:tc>
          <w:tcPr>
            <w:tcW w:w="907" w:type="dxa"/>
          </w:tcPr>
          <w:p w14:paraId="4A4AAF0C"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w:t>
            </w:r>
          </w:p>
        </w:tc>
        <w:tc>
          <w:tcPr>
            <w:tcW w:w="1089" w:type="dxa"/>
          </w:tcPr>
          <w:p w14:paraId="2E2A311C"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w:t>
            </w:r>
          </w:p>
        </w:tc>
        <w:tc>
          <w:tcPr>
            <w:tcW w:w="770" w:type="dxa"/>
          </w:tcPr>
          <w:p w14:paraId="23AAB92B"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w:t>
            </w:r>
          </w:p>
        </w:tc>
        <w:tc>
          <w:tcPr>
            <w:tcW w:w="963" w:type="dxa"/>
          </w:tcPr>
          <w:p w14:paraId="678E70B9"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w:t>
            </w:r>
          </w:p>
        </w:tc>
        <w:tc>
          <w:tcPr>
            <w:tcW w:w="907" w:type="dxa"/>
          </w:tcPr>
          <w:p w14:paraId="5E875BB2"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w:t>
            </w:r>
          </w:p>
        </w:tc>
        <w:tc>
          <w:tcPr>
            <w:tcW w:w="964" w:type="dxa"/>
          </w:tcPr>
          <w:p w14:paraId="09D5AA7D"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(22,066)</w:t>
            </w:r>
          </w:p>
        </w:tc>
        <w:tc>
          <w:tcPr>
            <w:tcW w:w="907" w:type="dxa"/>
          </w:tcPr>
          <w:p w14:paraId="64FA2352"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(1,423)</w:t>
            </w:r>
          </w:p>
        </w:tc>
        <w:tc>
          <w:tcPr>
            <w:tcW w:w="836" w:type="dxa"/>
          </w:tcPr>
          <w:p w14:paraId="6B29FD8B"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(29,124)</w:t>
            </w:r>
          </w:p>
        </w:tc>
        <w:tc>
          <w:tcPr>
            <w:tcW w:w="940" w:type="dxa"/>
          </w:tcPr>
          <w:p w14:paraId="44F0A7E5"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(12,176)</w:t>
            </w:r>
          </w:p>
        </w:tc>
        <w:tc>
          <w:tcPr>
            <w:tcW w:w="879" w:type="dxa"/>
          </w:tcPr>
          <w:p w14:paraId="5F65D355"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(64,789)</w:t>
            </w:r>
          </w:p>
        </w:tc>
      </w:tr>
      <w:tr w:rsidR="00B02873" w:rsidRPr="00C8008F" w14:paraId="1B07A538" w14:textId="77777777" w:rsidTr="00C8008F">
        <w:tc>
          <w:tcPr>
            <w:tcW w:w="3201" w:type="dxa"/>
          </w:tcPr>
          <w:p w14:paraId="41DE9D17" w14:textId="77777777" w:rsidR="00B02873" w:rsidRPr="00C8008F" w:rsidRDefault="00B02873" w:rsidP="00C8008F">
            <w:pPr>
              <w:pStyle w:val="TablebodyleftFinancialsTables"/>
              <w:rPr>
                <w:rFonts w:asciiTheme="minorHAnsi" w:hAnsiTheme="minorHAnsi" w:cstheme="minorHAnsi"/>
                <w:sz w:val="16"/>
              </w:rPr>
            </w:pPr>
          </w:p>
        </w:tc>
        <w:tc>
          <w:tcPr>
            <w:tcW w:w="907" w:type="dxa"/>
          </w:tcPr>
          <w:p w14:paraId="143D6276"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8,932</w:t>
            </w:r>
          </w:p>
        </w:tc>
        <w:tc>
          <w:tcPr>
            <w:tcW w:w="907" w:type="dxa"/>
          </w:tcPr>
          <w:p w14:paraId="11F6F9F3"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3,110,958</w:t>
            </w:r>
          </w:p>
        </w:tc>
        <w:tc>
          <w:tcPr>
            <w:tcW w:w="907" w:type="dxa"/>
          </w:tcPr>
          <w:p w14:paraId="4ADF91C7"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3,029</w:t>
            </w:r>
          </w:p>
        </w:tc>
        <w:tc>
          <w:tcPr>
            <w:tcW w:w="907" w:type="dxa"/>
          </w:tcPr>
          <w:p w14:paraId="7DE86977"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1,230,445</w:t>
            </w:r>
          </w:p>
        </w:tc>
        <w:tc>
          <w:tcPr>
            <w:tcW w:w="1089" w:type="dxa"/>
          </w:tcPr>
          <w:p w14:paraId="5822E2D4"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89,370</w:t>
            </w:r>
          </w:p>
        </w:tc>
        <w:tc>
          <w:tcPr>
            <w:tcW w:w="770" w:type="dxa"/>
          </w:tcPr>
          <w:p w14:paraId="4D64CEBC"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9,596</w:t>
            </w:r>
          </w:p>
        </w:tc>
        <w:tc>
          <w:tcPr>
            <w:tcW w:w="963" w:type="dxa"/>
          </w:tcPr>
          <w:p w14:paraId="2F5BD578"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40,948</w:t>
            </w:r>
          </w:p>
        </w:tc>
        <w:tc>
          <w:tcPr>
            <w:tcW w:w="907" w:type="dxa"/>
          </w:tcPr>
          <w:p w14:paraId="711927E5"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50,149</w:t>
            </w:r>
          </w:p>
        </w:tc>
        <w:tc>
          <w:tcPr>
            <w:tcW w:w="964" w:type="dxa"/>
          </w:tcPr>
          <w:p w14:paraId="6D1C6B15"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551,684</w:t>
            </w:r>
          </w:p>
        </w:tc>
        <w:tc>
          <w:tcPr>
            <w:tcW w:w="907" w:type="dxa"/>
          </w:tcPr>
          <w:p w14:paraId="7644FE3C"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2,527</w:t>
            </w:r>
          </w:p>
        </w:tc>
        <w:tc>
          <w:tcPr>
            <w:tcW w:w="836" w:type="dxa"/>
          </w:tcPr>
          <w:p w14:paraId="4FDA3C81"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931,608</w:t>
            </w:r>
          </w:p>
        </w:tc>
        <w:tc>
          <w:tcPr>
            <w:tcW w:w="940" w:type="dxa"/>
          </w:tcPr>
          <w:p w14:paraId="025012AF"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69,491</w:t>
            </w:r>
          </w:p>
        </w:tc>
        <w:tc>
          <w:tcPr>
            <w:tcW w:w="879" w:type="dxa"/>
          </w:tcPr>
          <w:p w14:paraId="54E973AD"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6,098,737</w:t>
            </w:r>
          </w:p>
        </w:tc>
      </w:tr>
      <w:tr w:rsidR="00B02873" w:rsidRPr="00C8008F" w14:paraId="3CDC75C7" w14:textId="77777777" w:rsidTr="00C8008F">
        <w:tc>
          <w:tcPr>
            <w:tcW w:w="3201" w:type="dxa"/>
          </w:tcPr>
          <w:p w14:paraId="0F5A1902" w14:textId="77777777" w:rsidR="00B02873" w:rsidRPr="00C8008F" w:rsidRDefault="00B02873" w:rsidP="00C8008F">
            <w:pPr>
              <w:pStyle w:val="TablebodyleftFinancialsTables"/>
              <w:rPr>
                <w:rFonts w:asciiTheme="minorHAnsi" w:hAnsiTheme="minorHAnsi" w:cstheme="minorHAnsi"/>
                <w:b/>
                <w:bCs/>
                <w:sz w:val="16"/>
              </w:rPr>
            </w:pPr>
            <w:r w:rsidRPr="00C8008F">
              <w:rPr>
                <w:rFonts w:asciiTheme="minorHAnsi" w:hAnsiTheme="minorHAnsi" w:cstheme="minorHAnsi"/>
                <w:b/>
                <w:bCs/>
                <w:sz w:val="16"/>
              </w:rPr>
              <w:t>Gains/(losses) recognised in net result</w:t>
            </w:r>
          </w:p>
        </w:tc>
        <w:tc>
          <w:tcPr>
            <w:tcW w:w="907" w:type="dxa"/>
          </w:tcPr>
          <w:p w14:paraId="0E7E1608" w14:textId="77777777" w:rsidR="00B02873" w:rsidRPr="00C8008F" w:rsidRDefault="00B02873" w:rsidP="00C8008F">
            <w:pPr>
              <w:pStyle w:val="TablebodyleftFinancialsTables"/>
              <w:jc w:val="right"/>
              <w:rPr>
                <w:rFonts w:asciiTheme="minorHAnsi" w:hAnsiTheme="minorHAnsi" w:cstheme="minorHAnsi"/>
                <w:sz w:val="16"/>
              </w:rPr>
            </w:pPr>
          </w:p>
        </w:tc>
        <w:tc>
          <w:tcPr>
            <w:tcW w:w="907" w:type="dxa"/>
          </w:tcPr>
          <w:p w14:paraId="161FDC25" w14:textId="77777777" w:rsidR="00B02873" w:rsidRPr="00C8008F" w:rsidRDefault="00B02873" w:rsidP="00C8008F">
            <w:pPr>
              <w:pStyle w:val="TablebodyleftFinancialsTables"/>
              <w:jc w:val="right"/>
              <w:rPr>
                <w:rFonts w:asciiTheme="minorHAnsi" w:hAnsiTheme="minorHAnsi" w:cstheme="minorHAnsi"/>
                <w:sz w:val="16"/>
              </w:rPr>
            </w:pPr>
          </w:p>
        </w:tc>
        <w:tc>
          <w:tcPr>
            <w:tcW w:w="907" w:type="dxa"/>
          </w:tcPr>
          <w:p w14:paraId="5F4D237F" w14:textId="77777777" w:rsidR="00B02873" w:rsidRPr="00C8008F" w:rsidRDefault="00B02873" w:rsidP="00C8008F">
            <w:pPr>
              <w:pStyle w:val="TablebodyleftFinancialsTables"/>
              <w:jc w:val="right"/>
              <w:rPr>
                <w:rFonts w:asciiTheme="minorHAnsi" w:hAnsiTheme="minorHAnsi" w:cstheme="minorHAnsi"/>
                <w:sz w:val="16"/>
              </w:rPr>
            </w:pPr>
          </w:p>
        </w:tc>
        <w:tc>
          <w:tcPr>
            <w:tcW w:w="907" w:type="dxa"/>
          </w:tcPr>
          <w:p w14:paraId="2D57B7D9" w14:textId="77777777" w:rsidR="00B02873" w:rsidRPr="00C8008F" w:rsidRDefault="00B02873" w:rsidP="00C8008F">
            <w:pPr>
              <w:pStyle w:val="TablebodyleftFinancialsTables"/>
              <w:jc w:val="right"/>
              <w:rPr>
                <w:rFonts w:asciiTheme="minorHAnsi" w:hAnsiTheme="minorHAnsi" w:cstheme="minorHAnsi"/>
                <w:sz w:val="16"/>
              </w:rPr>
            </w:pPr>
          </w:p>
        </w:tc>
        <w:tc>
          <w:tcPr>
            <w:tcW w:w="1089" w:type="dxa"/>
          </w:tcPr>
          <w:p w14:paraId="1934CB36" w14:textId="77777777" w:rsidR="00B02873" w:rsidRPr="00C8008F" w:rsidRDefault="00B02873" w:rsidP="00C8008F">
            <w:pPr>
              <w:pStyle w:val="TablebodyleftFinancialsTables"/>
              <w:jc w:val="right"/>
              <w:rPr>
                <w:rFonts w:asciiTheme="minorHAnsi" w:hAnsiTheme="minorHAnsi" w:cstheme="minorHAnsi"/>
                <w:sz w:val="16"/>
              </w:rPr>
            </w:pPr>
          </w:p>
        </w:tc>
        <w:tc>
          <w:tcPr>
            <w:tcW w:w="770" w:type="dxa"/>
          </w:tcPr>
          <w:p w14:paraId="1964A61E" w14:textId="77777777" w:rsidR="00B02873" w:rsidRPr="00C8008F" w:rsidRDefault="00B02873" w:rsidP="00C8008F">
            <w:pPr>
              <w:pStyle w:val="TablebodyleftFinancialsTables"/>
              <w:jc w:val="right"/>
              <w:rPr>
                <w:rFonts w:asciiTheme="minorHAnsi" w:hAnsiTheme="minorHAnsi" w:cstheme="minorHAnsi"/>
                <w:sz w:val="16"/>
              </w:rPr>
            </w:pPr>
          </w:p>
        </w:tc>
        <w:tc>
          <w:tcPr>
            <w:tcW w:w="963" w:type="dxa"/>
          </w:tcPr>
          <w:p w14:paraId="45459C06" w14:textId="77777777" w:rsidR="00B02873" w:rsidRPr="00C8008F" w:rsidRDefault="00B02873" w:rsidP="00C8008F">
            <w:pPr>
              <w:pStyle w:val="TablebodyleftFinancialsTables"/>
              <w:jc w:val="right"/>
              <w:rPr>
                <w:rFonts w:asciiTheme="minorHAnsi" w:hAnsiTheme="minorHAnsi" w:cstheme="minorHAnsi"/>
                <w:sz w:val="16"/>
              </w:rPr>
            </w:pPr>
          </w:p>
        </w:tc>
        <w:tc>
          <w:tcPr>
            <w:tcW w:w="907" w:type="dxa"/>
          </w:tcPr>
          <w:p w14:paraId="1A7F64D4" w14:textId="77777777" w:rsidR="00B02873" w:rsidRPr="00C8008F" w:rsidRDefault="00B02873" w:rsidP="00C8008F">
            <w:pPr>
              <w:pStyle w:val="TablebodyleftFinancialsTables"/>
              <w:jc w:val="right"/>
              <w:rPr>
                <w:rFonts w:asciiTheme="minorHAnsi" w:hAnsiTheme="minorHAnsi" w:cstheme="minorHAnsi"/>
                <w:sz w:val="16"/>
              </w:rPr>
            </w:pPr>
          </w:p>
        </w:tc>
        <w:tc>
          <w:tcPr>
            <w:tcW w:w="964" w:type="dxa"/>
          </w:tcPr>
          <w:p w14:paraId="244BD9E8" w14:textId="77777777" w:rsidR="00B02873" w:rsidRPr="00C8008F" w:rsidRDefault="00B02873" w:rsidP="00C8008F">
            <w:pPr>
              <w:pStyle w:val="TablebodyleftFinancialsTables"/>
              <w:jc w:val="right"/>
              <w:rPr>
                <w:rFonts w:asciiTheme="minorHAnsi" w:hAnsiTheme="minorHAnsi" w:cstheme="minorHAnsi"/>
                <w:sz w:val="16"/>
              </w:rPr>
            </w:pPr>
          </w:p>
        </w:tc>
        <w:tc>
          <w:tcPr>
            <w:tcW w:w="907" w:type="dxa"/>
          </w:tcPr>
          <w:p w14:paraId="0CF3584D" w14:textId="77777777" w:rsidR="00B02873" w:rsidRPr="00C8008F" w:rsidRDefault="00B02873" w:rsidP="00C8008F">
            <w:pPr>
              <w:pStyle w:val="TablebodyleftFinancialsTables"/>
              <w:jc w:val="right"/>
              <w:rPr>
                <w:rFonts w:asciiTheme="minorHAnsi" w:hAnsiTheme="minorHAnsi" w:cstheme="minorHAnsi"/>
                <w:sz w:val="16"/>
              </w:rPr>
            </w:pPr>
          </w:p>
        </w:tc>
        <w:tc>
          <w:tcPr>
            <w:tcW w:w="836" w:type="dxa"/>
          </w:tcPr>
          <w:p w14:paraId="6E8F2C3B" w14:textId="77777777" w:rsidR="00B02873" w:rsidRPr="00C8008F" w:rsidRDefault="00B02873" w:rsidP="00C8008F">
            <w:pPr>
              <w:pStyle w:val="TablebodyleftFinancialsTables"/>
              <w:jc w:val="right"/>
              <w:rPr>
                <w:rFonts w:asciiTheme="minorHAnsi" w:hAnsiTheme="minorHAnsi" w:cstheme="minorHAnsi"/>
                <w:sz w:val="16"/>
              </w:rPr>
            </w:pPr>
          </w:p>
        </w:tc>
        <w:tc>
          <w:tcPr>
            <w:tcW w:w="940" w:type="dxa"/>
          </w:tcPr>
          <w:p w14:paraId="05A0BE5C" w14:textId="77777777" w:rsidR="00B02873" w:rsidRPr="00C8008F" w:rsidRDefault="00B02873" w:rsidP="00C8008F">
            <w:pPr>
              <w:pStyle w:val="TablebodyleftFinancialsTables"/>
              <w:jc w:val="right"/>
              <w:rPr>
                <w:rFonts w:asciiTheme="minorHAnsi" w:hAnsiTheme="minorHAnsi" w:cstheme="minorHAnsi"/>
                <w:sz w:val="16"/>
              </w:rPr>
            </w:pPr>
          </w:p>
        </w:tc>
        <w:tc>
          <w:tcPr>
            <w:tcW w:w="879" w:type="dxa"/>
          </w:tcPr>
          <w:p w14:paraId="02B38AB2" w14:textId="77777777" w:rsidR="00B02873" w:rsidRPr="00C8008F" w:rsidRDefault="00B02873" w:rsidP="00C8008F">
            <w:pPr>
              <w:pStyle w:val="TablebodyleftFinancialsTables"/>
              <w:jc w:val="right"/>
              <w:rPr>
                <w:rFonts w:asciiTheme="minorHAnsi" w:hAnsiTheme="minorHAnsi" w:cstheme="minorHAnsi"/>
                <w:sz w:val="16"/>
              </w:rPr>
            </w:pPr>
          </w:p>
        </w:tc>
      </w:tr>
      <w:tr w:rsidR="00B02873" w:rsidRPr="00C8008F" w14:paraId="09347213" w14:textId="77777777" w:rsidTr="00C8008F">
        <w:tc>
          <w:tcPr>
            <w:tcW w:w="3201" w:type="dxa"/>
          </w:tcPr>
          <w:p w14:paraId="709F2617" w14:textId="77777777" w:rsidR="00B02873" w:rsidRPr="00C8008F" w:rsidRDefault="00B02873" w:rsidP="00C8008F">
            <w:pPr>
              <w:pStyle w:val="TablebodyleftFinancialsTables"/>
              <w:rPr>
                <w:rFonts w:asciiTheme="minorHAnsi" w:hAnsiTheme="minorHAnsi" w:cstheme="minorHAnsi"/>
                <w:sz w:val="16"/>
              </w:rPr>
            </w:pPr>
            <w:r w:rsidRPr="00C8008F">
              <w:rPr>
                <w:rFonts w:asciiTheme="minorHAnsi" w:hAnsiTheme="minorHAnsi" w:cstheme="minorHAnsi"/>
                <w:sz w:val="16"/>
              </w:rPr>
              <w:t>Recognition/(derecognition), write-on/(write-down) of assets</w:t>
            </w:r>
          </w:p>
        </w:tc>
        <w:tc>
          <w:tcPr>
            <w:tcW w:w="907" w:type="dxa"/>
          </w:tcPr>
          <w:p w14:paraId="2485262F"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(26)</w:t>
            </w:r>
          </w:p>
        </w:tc>
        <w:tc>
          <w:tcPr>
            <w:tcW w:w="907" w:type="dxa"/>
          </w:tcPr>
          <w:p w14:paraId="2316AD39"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621,003</w:t>
            </w:r>
          </w:p>
        </w:tc>
        <w:tc>
          <w:tcPr>
            <w:tcW w:w="907" w:type="dxa"/>
          </w:tcPr>
          <w:p w14:paraId="38001682"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(300)</w:t>
            </w:r>
          </w:p>
        </w:tc>
        <w:tc>
          <w:tcPr>
            <w:tcW w:w="907" w:type="dxa"/>
          </w:tcPr>
          <w:p w14:paraId="766C58E8"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41,807</w:t>
            </w:r>
          </w:p>
        </w:tc>
        <w:tc>
          <w:tcPr>
            <w:tcW w:w="1089" w:type="dxa"/>
          </w:tcPr>
          <w:p w14:paraId="359BBAC3"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8,933</w:t>
            </w:r>
          </w:p>
        </w:tc>
        <w:tc>
          <w:tcPr>
            <w:tcW w:w="770" w:type="dxa"/>
          </w:tcPr>
          <w:p w14:paraId="325895B2"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w:t>
            </w:r>
          </w:p>
        </w:tc>
        <w:tc>
          <w:tcPr>
            <w:tcW w:w="963" w:type="dxa"/>
          </w:tcPr>
          <w:p w14:paraId="0B7392C0"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744</w:t>
            </w:r>
          </w:p>
        </w:tc>
        <w:tc>
          <w:tcPr>
            <w:tcW w:w="907" w:type="dxa"/>
          </w:tcPr>
          <w:p w14:paraId="6BD1955B"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w:t>
            </w:r>
          </w:p>
        </w:tc>
        <w:tc>
          <w:tcPr>
            <w:tcW w:w="964" w:type="dxa"/>
          </w:tcPr>
          <w:p w14:paraId="625BBA72"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110,161</w:t>
            </w:r>
          </w:p>
        </w:tc>
        <w:tc>
          <w:tcPr>
            <w:tcW w:w="907" w:type="dxa"/>
          </w:tcPr>
          <w:p w14:paraId="740C80F3"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w:t>
            </w:r>
          </w:p>
        </w:tc>
        <w:tc>
          <w:tcPr>
            <w:tcW w:w="836" w:type="dxa"/>
          </w:tcPr>
          <w:p w14:paraId="1EBBECCE"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97,427</w:t>
            </w:r>
          </w:p>
        </w:tc>
        <w:tc>
          <w:tcPr>
            <w:tcW w:w="940" w:type="dxa"/>
          </w:tcPr>
          <w:p w14:paraId="2A785E7F"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w:t>
            </w:r>
          </w:p>
        </w:tc>
        <w:tc>
          <w:tcPr>
            <w:tcW w:w="879" w:type="dxa"/>
          </w:tcPr>
          <w:p w14:paraId="66CE08CC"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879,749</w:t>
            </w:r>
          </w:p>
        </w:tc>
      </w:tr>
      <w:tr w:rsidR="00B02873" w:rsidRPr="00C8008F" w14:paraId="578CA9A4" w14:textId="77777777" w:rsidTr="00C8008F">
        <w:tc>
          <w:tcPr>
            <w:tcW w:w="3201" w:type="dxa"/>
          </w:tcPr>
          <w:p w14:paraId="3C08EEF6" w14:textId="77777777" w:rsidR="00B02873" w:rsidRPr="00C8008F" w:rsidRDefault="00B02873" w:rsidP="00C8008F">
            <w:pPr>
              <w:pStyle w:val="TablebodyleftFinancialsTables"/>
              <w:rPr>
                <w:rFonts w:asciiTheme="minorHAnsi" w:hAnsiTheme="minorHAnsi" w:cstheme="minorHAnsi"/>
                <w:sz w:val="16"/>
              </w:rPr>
            </w:pPr>
          </w:p>
        </w:tc>
        <w:tc>
          <w:tcPr>
            <w:tcW w:w="907" w:type="dxa"/>
          </w:tcPr>
          <w:p w14:paraId="3DC425B7"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(26)</w:t>
            </w:r>
          </w:p>
        </w:tc>
        <w:tc>
          <w:tcPr>
            <w:tcW w:w="907" w:type="dxa"/>
          </w:tcPr>
          <w:p w14:paraId="28E7A8DC"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621,003</w:t>
            </w:r>
          </w:p>
        </w:tc>
        <w:tc>
          <w:tcPr>
            <w:tcW w:w="907" w:type="dxa"/>
          </w:tcPr>
          <w:p w14:paraId="5A45CF6B"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(300)</w:t>
            </w:r>
          </w:p>
        </w:tc>
        <w:tc>
          <w:tcPr>
            <w:tcW w:w="907" w:type="dxa"/>
          </w:tcPr>
          <w:p w14:paraId="4333315C"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41,807</w:t>
            </w:r>
          </w:p>
        </w:tc>
        <w:tc>
          <w:tcPr>
            <w:tcW w:w="1089" w:type="dxa"/>
          </w:tcPr>
          <w:p w14:paraId="1DF96912"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8,933</w:t>
            </w:r>
          </w:p>
        </w:tc>
        <w:tc>
          <w:tcPr>
            <w:tcW w:w="770" w:type="dxa"/>
          </w:tcPr>
          <w:p w14:paraId="0440986E"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w:t>
            </w:r>
          </w:p>
        </w:tc>
        <w:tc>
          <w:tcPr>
            <w:tcW w:w="963" w:type="dxa"/>
          </w:tcPr>
          <w:p w14:paraId="3D2472FA"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 xml:space="preserve"> 744</w:t>
            </w:r>
          </w:p>
        </w:tc>
        <w:tc>
          <w:tcPr>
            <w:tcW w:w="907" w:type="dxa"/>
          </w:tcPr>
          <w:p w14:paraId="3A5BB172"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w:t>
            </w:r>
          </w:p>
        </w:tc>
        <w:tc>
          <w:tcPr>
            <w:tcW w:w="964" w:type="dxa"/>
          </w:tcPr>
          <w:p w14:paraId="6AB326F9"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110,161</w:t>
            </w:r>
          </w:p>
        </w:tc>
        <w:tc>
          <w:tcPr>
            <w:tcW w:w="907" w:type="dxa"/>
          </w:tcPr>
          <w:p w14:paraId="75EB0003"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w:t>
            </w:r>
          </w:p>
        </w:tc>
        <w:tc>
          <w:tcPr>
            <w:tcW w:w="836" w:type="dxa"/>
          </w:tcPr>
          <w:p w14:paraId="536C5FF6"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97,427</w:t>
            </w:r>
          </w:p>
        </w:tc>
        <w:tc>
          <w:tcPr>
            <w:tcW w:w="940" w:type="dxa"/>
          </w:tcPr>
          <w:p w14:paraId="7FAA375B"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w:t>
            </w:r>
          </w:p>
        </w:tc>
        <w:tc>
          <w:tcPr>
            <w:tcW w:w="879" w:type="dxa"/>
          </w:tcPr>
          <w:p w14:paraId="401A99D7"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879,749</w:t>
            </w:r>
          </w:p>
        </w:tc>
      </w:tr>
      <w:tr w:rsidR="00B02873" w:rsidRPr="00C8008F" w14:paraId="004D432B" w14:textId="77777777" w:rsidTr="00C8008F">
        <w:tc>
          <w:tcPr>
            <w:tcW w:w="3201" w:type="dxa"/>
          </w:tcPr>
          <w:p w14:paraId="4A54DEEE" w14:textId="77777777" w:rsidR="00B02873" w:rsidRPr="00C8008F" w:rsidRDefault="00B02873" w:rsidP="00C8008F">
            <w:pPr>
              <w:pStyle w:val="TablebodyleftFinancialsTables"/>
              <w:rPr>
                <w:rFonts w:asciiTheme="minorHAnsi" w:hAnsiTheme="minorHAnsi" w:cstheme="minorHAnsi"/>
                <w:b/>
                <w:bCs/>
                <w:sz w:val="16"/>
              </w:rPr>
            </w:pPr>
            <w:r w:rsidRPr="00C8008F">
              <w:rPr>
                <w:rFonts w:asciiTheme="minorHAnsi" w:hAnsiTheme="minorHAnsi" w:cstheme="minorHAnsi"/>
                <w:b/>
                <w:bCs/>
                <w:sz w:val="16"/>
              </w:rPr>
              <w:t>Gains/(losses) recognised in other economic flows – other comprehensive income</w:t>
            </w:r>
          </w:p>
        </w:tc>
        <w:tc>
          <w:tcPr>
            <w:tcW w:w="907" w:type="dxa"/>
          </w:tcPr>
          <w:p w14:paraId="34F92EF2" w14:textId="77777777" w:rsidR="00B02873" w:rsidRPr="00C8008F" w:rsidRDefault="00B02873" w:rsidP="00C8008F">
            <w:pPr>
              <w:pStyle w:val="TablebodyleftFinancialsTables"/>
              <w:jc w:val="right"/>
              <w:rPr>
                <w:rFonts w:asciiTheme="minorHAnsi" w:hAnsiTheme="minorHAnsi" w:cstheme="minorHAnsi"/>
                <w:sz w:val="16"/>
              </w:rPr>
            </w:pPr>
          </w:p>
        </w:tc>
        <w:tc>
          <w:tcPr>
            <w:tcW w:w="907" w:type="dxa"/>
          </w:tcPr>
          <w:p w14:paraId="568AD5A0" w14:textId="77777777" w:rsidR="00B02873" w:rsidRPr="00C8008F" w:rsidRDefault="00B02873" w:rsidP="00C8008F">
            <w:pPr>
              <w:pStyle w:val="TablebodyleftFinancialsTables"/>
              <w:jc w:val="right"/>
              <w:rPr>
                <w:rFonts w:asciiTheme="minorHAnsi" w:hAnsiTheme="minorHAnsi" w:cstheme="minorHAnsi"/>
                <w:sz w:val="16"/>
              </w:rPr>
            </w:pPr>
          </w:p>
        </w:tc>
        <w:tc>
          <w:tcPr>
            <w:tcW w:w="907" w:type="dxa"/>
          </w:tcPr>
          <w:p w14:paraId="2732418E" w14:textId="77777777" w:rsidR="00B02873" w:rsidRPr="00C8008F" w:rsidRDefault="00B02873" w:rsidP="00C8008F">
            <w:pPr>
              <w:pStyle w:val="TablebodyleftFinancialsTables"/>
              <w:jc w:val="right"/>
              <w:rPr>
                <w:rFonts w:asciiTheme="minorHAnsi" w:hAnsiTheme="minorHAnsi" w:cstheme="minorHAnsi"/>
                <w:sz w:val="16"/>
              </w:rPr>
            </w:pPr>
          </w:p>
        </w:tc>
        <w:tc>
          <w:tcPr>
            <w:tcW w:w="907" w:type="dxa"/>
          </w:tcPr>
          <w:p w14:paraId="4E09A3AD" w14:textId="77777777" w:rsidR="00B02873" w:rsidRPr="00C8008F" w:rsidRDefault="00B02873" w:rsidP="00C8008F">
            <w:pPr>
              <w:pStyle w:val="TablebodyleftFinancialsTables"/>
              <w:jc w:val="right"/>
              <w:rPr>
                <w:rFonts w:asciiTheme="minorHAnsi" w:hAnsiTheme="minorHAnsi" w:cstheme="minorHAnsi"/>
                <w:sz w:val="16"/>
              </w:rPr>
            </w:pPr>
          </w:p>
        </w:tc>
        <w:tc>
          <w:tcPr>
            <w:tcW w:w="1089" w:type="dxa"/>
          </w:tcPr>
          <w:p w14:paraId="62D8FB70" w14:textId="77777777" w:rsidR="00B02873" w:rsidRPr="00C8008F" w:rsidRDefault="00B02873" w:rsidP="00C8008F">
            <w:pPr>
              <w:pStyle w:val="TablebodyleftFinancialsTables"/>
              <w:jc w:val="right"/>
              <w:rPr>
                <w:rFonts w:asciiTheme="minorHAnsi" w:hAnsiTheme="minorHAnsi" w:cstheme="minorHAnsi"/>
                <w:sz w:val="16"/>
              </w:rPr>
            </w:pPr>
          </w:p>
        </w:tc>
        <w:tc>
          <w:tcPr>
            <w:tcW w:w="770" w:type="dxa"/>
          </w:tcPr>
          <w:p w14:paraId="3932DE7D" w14:textId="77777777" w:rsidR="00B02873" w:rsidRPr="00C8008F" w:rsidRDefault="00B02873" w:rsidP="00C8008F">
            <w:pPr>
              <w:pStyle w:val="TablebodyleftFinancialsTables"/>
              <w:jc w:val="right"/>
              <w:rPr>
                <w:rFonts w:asciiTheme="minorHAnsi" w:hAnsiTheme="minorHAnsi" w:cstheme="minorHAnsi"/>
                <w:sz w:val="16"/>
              </w:rPr>
            </w:pPr>
          </w:p>
        </w:tc>
        <w:tc>
          <w:tcPr>
            <w:tcW w:w="963" w:type="dxa"/>
          </w:tcPr>
          <w:p w14:paraId="6F8E4357" w14:textId="77777777" w:rsidR="00B02873" w:rsidRPr="00C8008F" w:rsidRDefault="00B02873" w:rsidP="00C8008F">
            <w:pPr>
              <w:pStyle w:val="TablebodyleftFinancialsTables"/>
              <w:jc w:val="right"/>
              <w:rPr>
                <w:rFonts w:asciiTheme="minorHAnsi" w:hAnsiTheme="minorHAnsi" w:cstheme="minorHAnsi"/>
                <w:sz w:val="16"/>
              </w:rPr>
            </w:pPr>
          </w:p>
        </w:tc>
        <w:tc>
          <w:tcPr>
            <w:tcW w:w="907" w:type="dxa"/>
          </w:tcPr>
          <w:p w14:paraId="3FBA49F4" w14:textId="77777777" w:rsidR="00B02873" w:rsidRPr="00C8008F" w:rsidRDefault="00B02873" w:rsidP="00C8008F">
            <w:pPr>
              <w:pStyle w:val="TablebodyleftFinancialsTables"/>
              <w:jc w:val="right"/>
              <w:rPr>
                <w:rFonts w:asciiTheme="minorHAnsi" w:hAnsiTheme="minorHAnsi" w:cstheme="minorHAnsi"/>
                <w:sz w:val="16"/>
              </w:rPr>
            </w:pPr>
          </w:p>
        </w:tc>
        <w:tc>
          <w:tcPr>
            <w:tcW w:w="964" w:type="dxa"/>
          </w:tcPr>
          <w:p w14:paraId="68B3FE77" w14:textId="77777777" w:rsidR="00B02873" w:rsidRPr="00C8008F" w:rsidRDefault="00B02873" w:rsidP="00C8008F">
            <w:pPr>
              <w:pStyle w:val="TablebodyleftFinancialsTables"/>
              <w:jc w:val="right"/>
              <w:rPr>
                <w:rFonts w:asciiTheme="minorHAnsi" w:hAnsiTheme="minorHAnsi" w:cstheme="minorHAnsi"/>
                <w:sz w:val="16"/>
              </w:rPr>
            </w:pPr>
          </w:p>
        </w:tc>
        <w:tc>
          <w:tcPr>
            <w:tcW w:w="907" w:type="dxa"/>
          </w:tcPr>
          <w:p w14:paraId="5C35F97D" w14:textId="77777777" w:rsidR="00B02873" w:rsidRPr="00C8008F" w:rsidRDefault="00B02873" w:rsidP="00C8008F">
            <w:pPr>
              <w:pStyle w:val="TablebodyleftFinancialsTables"/>
              <w:jc w:val="right"/>
              <w:rPr>
                <w:rFonts w:asciiTheme="minorHAnsi" w:hAnsiTheme="minorHAnsi" w:cstheme="minorHAnsi"/>
                <w:sz w:val="16"/>
              </w:rPr>
            </w:pPr>
          </w:p>
        </w:tc>
        <w:tc>
          <w:tcPr>
            <w:tcW w:w="836" w:type="dxa"/>
          </w:tcPr>
          <w:p w14:paraId="1DB11D95" w14:textId="77777777" w:rsidR="00B02873" w:rsidRPr="00C8008F" w:rsidRDefault="00B02873" w:rsidP="00C8008F">
            <w:pPr>
              <w:pStyle w:val="TablebodyleftFinancialsTables"/>
              <w:jc w:val="right"/>
              <w:rPr>
                <w:rFonts w:asciiTheme="minorHAnsi" w:hAnsiTheme="minorHAnsi" w:cstheme="minorHAnsi"/>
                <w:sz w:val="16"/>
              </w:rPr>
            </w:pPr>
          </w:p>
        </w:tc>
        <w:tc>
          <w:tcPr>
            <w:tcW w:w="940" w:type="dxa"/>
          </w:tcPr>
          <w:p w14:paraId="2EC8A98F" w14:textId="77777777" w:rsidR="00B02873" w:rsidRPr="00C8008F" w:rsidRDefault="00B02873" w:rsidP="00C8008F">
            <w:pPr>
              <w:pStyle w:val="TablebodyleftFinancialsTables"/>
              <w:jc w:val="right"/>
              <w:rPr>
                <w:rFonts w:asciiTheme="minorHAnsi" w:hAnsiTheme="minorHAnsi" w:cstheme="minorHAnsi"/>
                <w:sz w:val="16"/>
              </w:rPr>
            </w:pPr>
          </w:p>
        </w:tc>
        <w:tc>
          <w:tcPr>
            <w:tcW w:w="879" w:type="dxa"/>
          </w:tcPr>
          <w:p w14:paraId="631D90EA" w14:textId="77777777" w:rsidR="00B02873" w:rsidRPr="00C8008F" w:rsidRDefault="00B02873" w:rsidP="00C8008F">
            <w:pPr>
              <w:pStyle w:val="TablebodyleftFinancialsTables"/>
              <w:jc w:val="right"/>
              <w:rPr>
                <w:rFonts w:asciiTheme="minorHAnsi" w:hAnsiTheme="minorHAnsi" w:cstheme="minorHAnsi"/>
                <w:sz w:val="16"/>
              </w:rPr>
            </w:pPr>
          </w:p>
        </w:tc>
      </w:tr>
      <w:tr w:rsidR="00B02873" w:rsidRPr="00C8008F" w14:paraId="5C27AE28" w14:textId="77777777" w:rsidTr="00C8008F">
        <w:tc>
          <w:tcPr>
            <w:tcW w:w="3201" w:type="dxa"/>
          </w:tcPr>
          <w:p w14:paraId="2F167A26" w14:textId="77777777" w:rsidR="00B02873" w:rsidRPr="00C8008F" w:rsidRDefault="00B02873" w:rsidP="00C8008F">
            <w:pPr>
              <w:pStyle w:val="TablebodyleftFinancialsTables"/>
              <w:rPr>
                <w:rFonts w:asciiTheme="minorHAnsi" w:hAnsiTheme="minorHAnsi" w:cstheme="minorHAnsi"/>
                <w:sz w:val="16"/>
              </w:rPr>
            </w:pPr>
            <w:r w:rsidRPr="00C8008F">
              <w:rPr>
                <w:rFonts w:asciiTheme="minorHAnsi" w:hAnsiTheme="minorHAnsi" w:cstheme="minorHAnsi"/>
                <w:sz w:val="16"/>
              </w:rPr>
              <w:t>Revaluation increments/(decrements)</w:t>
            </w:r>
          </w:p>
        </w:tc>
        <w:tc>
          <w:tcPr>
            <w:tcW w:w="907" w:type="dxa"/>
          </w:tcPr>
          <w:p w14:paraId="0C58E01F"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7,017</w:t>
            </w:r>
          </w:p>
        </w:tc>
        <w:tc>
          <w:tcPr>
            <w:tcW w:w="907" w:type="dxa"/>
          </w:tcPr>
          <w:p w14:paraId="489ABEBB"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42,266</w:t>
            </w:r>
          </w:p>
        </w:tc>
        <w:tc>
          <w:tcPr>
            <w:tcW w:w="907" w:type="dxa"/>
          </w:tcPr>
          <w:p w14:paraId="7393F1FC"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1,684</w:t>
            </w:r>
          </w:p>
        </w:tc>
        <w:tc>
          <w:tcPr>
            <w:tcW w:w="907" w:type="dxa"/>
          </w:tcPr>
          <w:p w14:paraId="0DB73986"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920,782</w:t>
            </w:r>
          </w:p>
        </w:tc>
        <w:tc>
          <w:tcPr>
            <w:tcW w:w="1089" w:type="dxa"/>
          </w:tcPr>
          <w:p w14:paraId="49268F96"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(7,704)</w:t>
            </w:r>
          </w:p>
        </w:tc>
        <w:tc>
          <w:tcPr>
            <w:tcW w:w="770" w:type="dxa"/>
          </w:tcPr>
          <w:p w14:paraId="675F5963"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(1,726)</w:t>
            </w:r>
          </w:p>
        </w:tc>
        <w:tc>
          <w:tcPr>
            <w:tcW w:w="963" w:type="dxa"/>
          </w:tcPr>
          <w:p w14:paraId="4FF51A62"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6,850</w:t>
            </w:r>
          </w:p>
        </w:tc>
        <w:tc>
          <w:tcPr>
            <w:tcW w:w="907" w:type="dxa"/>
          </w:tcPr>
          <w:p w14:paraId="0901FF44"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w:t>
            </w:r>
          </w:p>
        </w:tc>
        <w:tc>
          <w:tcPr>
            <w:tcW w:w="964" w:type="dxa"/>
          </w:tcPr>
          <w:p w14:paraId="2CAA8921"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26,500</w:t>
            </w:r>
          </w:p>
        </w:tc>
        <w:tc>
          <w:tcPr>
            <w:tcW w:w="907" w:type="dxa"/>
          </w:tcPr>
          <w:p w14:paraId="255B7E06"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w:t>
            </w:r>
          </w:p>
        </w:tc>
        <w:tc>
          <w:tcPr>
            <w:tcW w:w="836" w:type="dxa"/>
          </w:tcPr>
          <w:p w14:paraId="41FE6726"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(257,095)</w:t>
            </w:r>
          </w:p>
        </w:tc>
        <w:tc>
          <w:tcPr>
            <w:tcW w:w="940" w:type="dxa"/>
          </w:tcPr>
          <w:p w14:paraId="57C7F4C5"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w:t>
            </w:r>
          </w:p>
        </w:tc>
        <w:tc>
          <w:tcPr>
            <w:tcW w:w="879" w:type="dxa"/>
          </w:tcPr>
          <w:p w14:paraId="2D060CD9"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738,574</w:t>
            </w:r>
          </w:p>
        </w:tc>
      </w:tr>
      <w:tr w:rsidR="00B02873" w:rsidRPr="00C8008F" w14:paraId="2526F945" w14:textId="77777777" w:rsidTr="00C8008F">
        <w:tc>
          <w:tcPr>
            <w:tcW w:w="3201" w:type="dxa"/>
          </w:tcPr>
          <w:p w14:paraId="79511FC0" w14:textId="77777777" w:rsidR="00B02873" w:rsidRPr="00C8008F" w:rsidRDefault="00B02873" w:rsidP="00C8008F">
            <w:pPr>
              <w:pStyle w:val="TablebodyleftFinancialsTables"/>
              <w:rPr>
                <w:rFonts w:asciiTheme="minorHAnsi" w:hAnsiTheme="minorHAnsi" w:cstheme="minorHAnsi"/>
                <w:sz w:val="16"/>
              </w:rPr>
            </w:pPr>
          </w:p>
        </w:tc>
        <w:tc>
          <w:tcPr>
            <w:tcW w:w="907" w:type="dxa"/>
          </w:tcPr>
          <w:p w14:paraId="383C062E"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7,017</w:t>
            </w:r>
          </w:p>
        </w:tc>
        <w:tc>
          <w:tcPr>
            <w:tcW w:w="907" w:type="dxa"/>
          </w:tcPr>
          <w:p w14:paraId="71C5EF3F"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42,266</w:t>
            </w:r>
          </w:p>
        </w:tc>
        <w:tc>
          <w:tcPr>
            <w:tcW w:w="907" w:type="dxa"/>
          </w:tcPr>
          <w:p w14:paraId="51782A3D"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1,684</w:t>
            </w:r>
          </w:p>
        </w:tc>
        <w:tc>
          <w:tcPr>
            <w:tcW w:w="907" w:type="dxa"/>
          </w:tcPr>
          <w:p w14:paraId="09F944CC"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920,782</w:t>
            </w:r>
          </w:p>
        </w:tc>
        <w:tc>
          <w:tcPr>
            <w:tcW w:w="1089" w:type="dxa"/>
          </w:tcPr>
          <w:p w14:paraId="3AD10965"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(7,704)</w:t>
            </w:r>
          </w:p>
        </w:tc>
        <w:tc>
          <w:tcPr>
            <w:tcW w:w="770" w:type="dxa"/>
          </w:tcPr>
          <w:p w14:paraId="006245E1"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(1,726)</w:t>
            </w:r>
          </w:p>
        </w:tc>
        <w:tc>
          <w:tcPr>
            <w:tcW w:w="963" w:type="dxa"/>
          </w:tcPr>
          <w:p w14:paraId="551F8894"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6,850</w:t>
            </w:r>
          </w:p>
        </w:tc>
        <w:tc>
          <w:tcPr>
            <w:tcW w:w="907" w:type="dxa"/>
          </w:tcPr>
          <w:p w14:paraId="35C76651"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w:t>
            </w:r>
          </w:p>
        </w:tc>
        <w:tc>
          <w:tcPr>
            <w:tcW w:w="964" w:type="dxa"/>
          </w:tcPr>
          <w:p w14:paraId="3DACFD67"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26,500</w:t>
            </w:r>
          </w:p>
        </w:tc>
        <w:tc>
          <w:tcPr>
            <w:tcW w:w="907" w:type="dxa"/>
          </w:tcPr>
          <w:p w14:paraId="3082394D"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w:t>
            </w:r>
          </w:p>
        </w:tc>
        <w:tc>
          <w:tcPr>
            <w:tcW w:w="836" w:type="dxa"/>
          </w:tcPr>
          <w:p w14:paraId="0EDD137F"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(257,095)</w:t>
            </w:r>
          </w:p>
        </w:tc>
        <w:tc>
          <w:tcPr>
            <w:tcW w:w="940" w:type="dxa"/>
          </w:tcPr>
          <w:p w14:paraId="52419E6A"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w:t>
            </w:r>
          </w:p>
        </w:tc>
        <w:tc>
          <w:tcPr>
            <w:tcW w:w="879" w:type="dxa"/>
          </w:tcPr>
          <w:p w14:paraId="3A6739F3"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738,574</w:t>
            </w:r>
          </w:p>
        </w:tc>
      </w:tr>
      <w:tr w:rsidR="00B02873" w:rsidRPr="00C8008F" w14:paraId="7F4A0449" w14:textId="77777777" w:rsidTr="00C8008F">
        <w:tc>
          <w:tcPr>
            <w:tcW w:w="3201" w:type="dxa"/>
          </w:tcPr>
          <w:p w14:paraId="6335854F" w14:textId="77777777" w:rsidR="00B02873" w:rsidRPr="00C8008F" w:rsidRDefault="00B02873" w:rsidP="00C8008F">
            <w:pPr>
              <w:pStyle w:val="TablebodyleftFinancialsTables"/>
              <w:rPr>
                <w:rFonts w:asciiTheme="minorHAnsi" w:hAnsiTheme="minorHAnsi" w:cstheme="minorHAnsi"/>
                <w:b/>
                <w:bCs/>
                <w:sz w:val="16"/>
              </w:rPr>
            </w:pPr>
            <w:r w:rsidRPr="00C8008F">
              <w:rPr>
                <w:rFonts w:asciiTheme="minorHAnsi" w:hAnsiTheme="minorHAnsi" w:cstheme="minorHAnsi"/>
                <w:b/>
                <w:bCs/>
                <w:sz w:val="16"/>
              </w:rPr>
              <w:t>Transfers in/(out) through contributions by owner</w:t>
            </w:r>
          </w:p>
        </w:tc>
        <w:tc>
          <w:tcPr>
            <w:tcW w:w="907" w:type="dxa"/>
          </w:tcPr>
          <w:p w14:paraId="17481F36" w14:textId="77777777" w:rsidR="00B02873" w:rsidRPr="00C8008F" w:rsidRDefault="00B02873" w:rsidP="00C8008F">
            <w:pPr>
              <w:pStyle w:val="TablebodyleftFinancialsTables"/>
              <w:jc w:val="right"/>
              <w:rPr>
                <w:rFonts w:asciiTheme="minorHAnsi" w:hAnsiTheme="minorHAnsi" w:cstheme="minorHAnsi"/>
                <w:sz w:val="16"/>
              </w:rPr>
            </w:pPr>
          </w:p>
        </w:tc>
        <w:tc>
          <w:tcPr>
            <w:tcW w:w="907" w:type="dxa"/>
          </w:tcPr>
          <w:p w14:paraId="44E22997" w14:textId="77777777" w:rsidR="00B02873" w:rsidRPr="00C8008F" w:rsidRDefault="00B02873" w:rsidP="00C8008F">
            <w:pPr>
              <w:pStyle w:val="TablebodyleftFinancialsTables"/>
              <w:jc w:val="right"/>
              <w:rPr>
                <w:rFonts w:asciiTheme="minorHAnsi" w:hAnsiTheme="minorHAnsi" w:cstheme="minorHAnsi"/>
                <w:sz w:val="16"/>
              </w:rPr>
            </w:pPr>
          </w:p>
        </w:tc>
        <w:tc>
          <w:tcPr>
            <w:tcW w:w="907" w:type="dxa"/>
          </w:tcPr>
          <w:p w14:paraId="336270EE" w14:textId="77777777" w:rsidR="00B02873" w:rsidRPr="00C8008F" w:rsidRDefault="00B02873" w:rsidP="00C8008F">
            <w:pPr>
              <w:pStyle w:val="TablebodyleftFinancialsTables"/>
              <w:jc w:val="right"/>
              <w:rPr>
                <w:rFonts w:asciiTheme="minorHAnsi" w:hAnsiTheme="minorHAnsi" w:cstheme="minorHAnsi"/>
                <w:sz w:val="16"/>
              </w:rPr>
            </w:pPr>
          </w:p>
        </w:tc>
        <w:tc>
          <w:tcPr>
            <w:tcW w:w="907" w:type="dxa"/>
          </w:tcPr>
          <w:p w14:paraId="62932397" w14:textId="77777777" w:rsidR="00B02873" w:rsidRPr="00C8008F" w:rsidRDefault="00B02873" w:rsidP="00C8008F">
            <w:pPr>
              <w:pStyle w:val="TablebodyleftFinancialsTables"/>
              <w:jc w:val="right"/>
              <w:rPr>
                <w:rFonts w:asciiTheme="minorHAnsi" w:hAnsiTheme="minorHAnsi" w:cstheme="minorHAnsi"/>
                <w:sz w:val="16"/>
              </w:rPr>
            </w:pPr>
          </w:p>
        </w:tc>
        <w:tc>
          <w:tcPr>
            <w:tcW w:w="1089" w:type="dxa"/>
          </w:tcPr>
          <w:p w14:paraId="41C93C7C" w14:textId="77777777" w:rsidR="00B02873" w:rsidRPr="00C8008F" w:rsidRDefault="00B02873" w:rsidP="00C8008F">
            <w:pPr>
              <w:pStyle w:val="TablebodyleftFinancialsTables"/>
              <w:jc w:val="right"/>
              <w:rPr>
                <w:rFonts w:asciiTheme="minorHAnsi" w:hAnsiTheme="minorHAnsi" w:cstheme="minorHAnsi"/>
                <w:sz w:val="16"/>
              </w:rPr>
            </w:pPr>
          </w:p>
        </w:tc>
        <w:tc>
          <w:tcPr>
            <w:tcW w:w="770" w:type="dxa"/>
          </w:tcPr>
          <w:p w14:paraId="602238B6" w14:textId="77777777" w:rsidR="00B02873" w:rsidRPr="00C8008F" w:rsidRDefault="00B02873" w:rsidP="00C8008F">
            <w:pPr>
              <w:pStyle w:val="TablebodyleftFinancialsTables"/>
              <w:jc w:val="right"/>
              <w:rPr>
                <w:rFonts w:asciiTheme="minorHAnsi" w:hAnsiTheme="minorHAnsi" w:cstheme="minorHAnsi"/>
                <w:sz w:val="16"/>
              </w:rPr>
            </w:pPr>
          </w:p>
        </w:tc>
        <w:tc>
          <w:tcPr>
            <w:tcW w:w="963" w:type="dxa"/>
          </w:tcPr>
          <w:p w14:paraId="1BE68BE4" w14:textId="77777777" w:rsidR="00B02873" w:rsidRPr="00C8008F" w:rsidRDefault="00B02873" w:rsidP="00C8008F">
            <w:pPr>
              <w:pStyle w:val="TablebodyleftFinancialsTables"/>
              <w:jc w:val="right"/>
              <w:rPr>
                <w:rFonts w:asciiTheme="minorHAnsi" w:hAnsiTheme="minorHAnsi" w:cstheme="minorHAnsi"/>
                <w:sz w:val="16"/>
              </w:rPr>
            </w:pPr>
          </w:p>
        </w:tc>
        <w:tc>
          <w:tcPr>
            <w:tcW w:w="907" w:type="dxa"/>
          </w:tcPr>
          <w:p w14:paraId="76916146" w14:textId="77777777" w:rsidR="00B02873" w:rsidRPr="00C8008F" w:rsidRDefault="00B02873" w:rsidP="00C8008F">
            <w:pPr>
              <w:pStyle w:val="TablebodyleftFinancialsTables"/>
              <w:jc w:val="right"/>
              <w:rPr>
                <w:rFonts w:asciiTheme="minorHAnsi" w:hAnsiTheme="minorHAnsi" w:cstheme="minorHAnsi"/>
                <w:sz w:val="16"/>
              </w:rPr>
            </w:pPr>
          </w:p>
        </w:tc>
        <w:tc>
          <w:tcPr>
            <w:tcW w:w="964" w:type="dxa"/>
          </w:tcPr>
          <w:p w14:paraId="424DA427" w14:textId="77777777" w:rsidR="00B02873" w:rsidRPr="00C8008F" w:rsidRDefault="00B02873" w:rsidP="00C8008F">
            <w:pPr>
              <w:pStyle w:val="TablebodyleftFinancialsTables"/>
              <w:jc w:val="right"/>
              <w:rPr>
                <w:rFonts w:asciiTheme="minorHAnsi" w:hAnsiTheme="minorHAnsi" w:cstheme="minorHAnsi"/>
                <w:sz w:val="16"/>
              </w:rPr>
            </w:pPr>
          </w:p>
        </w:tc>
        <w:tc>
          <w:tcPr>
            <w:tcW w:w="907" w:type="dxa"/>
          </w:tcPr>
          <w:p w14:paraId="379F5166" w14:textId="77777777" w:rsidR="00B02873" w:rsidRPr="00C8008F" w:rsidRDefault="00B02873" w:rsidP="00C8008F">
            <w:pPr>
              <w:pStyle w:val="TablebodyleftFinancialsTables"/>
              <w:jc w:val="right"/>
              <w:rPr>
                <w:rFonts w:asciiTheme="minorHAnsi" w:hAnsiTheme="minorHAnsi" w:cstheme="minorHAnsi"/>
                <w:sz w:val="16"/>
              </w:rPr>
            </w:pPr>
          </w:p>
        </w:tc>
        <w:tc>
          <w:tcPr>
            <w:tcW w:w="836" w:type="dxa"/>
          </w:tcPr>
          <w:p w14:paraId="760278BD" w14:textId="77777777" w:rsidR="00B02873" w:rsidRPr="00C8008F" w:rsidRDefault="00B02873" w:rsidP="00C8008F">
            <w:pPr>
              <w:pStyle w:val="TablebodyleftFinancialsTables"/>
              <w:jc w:val="right"/>
              <w:rPr>
                <w:rFonts w:asciiTheme="minorHAnsi" w:hAnsiTheme="minorHAnsi" w:cstheme="minorHAnsi"/>
                <w:sz w:val="16"/>
              </w:rPr>
            </w:pPr>
          </w:p>
        </w:tc>
        <w:tc>
          <w:tcPr>
            <w:tcW w:w="940" w:type="dxa"/>
          </w:tcPr>
          <w:p w14:paraId="57DEDDD3" w14:textId="77777777" w:rsidR="00B02873" w:rsidRPr="00C8008F" w:rsidRDefault="00B02873" w:rsidP="00C8008F">
            <w:pPr>
              <w:pStyle w:val="TablebodyleftFinancialsTables"/>
              <w:jc w:val="right"/>
              <w:rPr>
                <w:rFonts w:asciiTheme="minorHAnsi" w:hAnsiTheme="minorHAnsi" w:cstheme="minorHAnsi"/>
                <w:sz w:val="16"/>
              </w:rPr>
            </w:pPr>
          </w:p>
        </w:tc>
        <w:tc>
          <w:tcPr>
            <w:tcW w:w="879" w:type="dxa"/>
          </w:tcPr>
          <w:p w14:paraId="1BF0C88A" w14:textId="77777777" w:rsidR="00B02873" w:rsidRPr="00C8008F" w:rsidRDefault="00B02873" w:rsidP="00C8008F">
            <w:pPr>
              <w:pStyle w:val="TablebodyleftFinancialsTables"/>
              <w:jc w:val="right"/>
              <w:rPr>
                <w:rFonts w:asciiTheme="minorHAnsi" w:hAnsiTheme="minorHAnsi" w:cstheme="minorHAnsi"/>
                <w:sz w:val="16"/>
              </w:rPr>
            </w:pPr>
          </w:p>
        </w:tc>
      </w:tr>
      <w:tr w:rsidR="00B02873" w:rsidRPr="00C8008F" w14:paraId="6FEF4308" w14:textId="77777777" w:rsidTr="00C8008F">
        <w:tc>
          <w:tcPr>
            <w:tcW w:w="3201" w:type="dxa"/>
          </w:tcPr>
          <w:p w14:paraId="55936086" w14:textId="18810159" w:rsidR="00B02873" w:rsidRPr="00C8008F" w:rsidRDefault="00B02873" w:rsidP="00C8008F">
            <w:pPr>
              <w:pStyle w:val="TablebodyleftFinancialsTables"/>
              <w:rPr>
                <w:rFonts w:asciiTheme="minorHAnsi" w:hAnsiTheme="minorHAnsi" w:cstheme="minorHAnsi"/>
                <w:sz w:val="16"/>
              </w:rPr>
            </w:pPr>
            <w:r w:rsidRPr="00C8008F">
              <w:rPr>
                <w:rFonts w:asciiTheme="minorHAnsi" w:hAnsiTheme="minorHAnsi" w:cstheme="minorHAnsi"/>
                <w:sz w:val="16"/>
              </w:rPr>
              <w:t>Transfers in/(out) – third party</w:t>
            </w:r>
          </w:p>
        </w:tc>
        <w:tc>
          <w:tcPr>
            <w:tcW w:w="907" w:type="dxa"/>
          </w:tcPr>
          <w:p w14:paraId="11EAE633"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w:t>
            </w:r>
          </w:p>
        </w:tc>
        <w:tc>
          <w:tcPr>
            <w:tcW w:w="907" w:type="dxa"/>
          </w:tcPr>
          <w:p w14:paraId="7B8DED1E"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(5,075)</w:t>
            </w:r>
          </w:p>
        </w:tc>
        <w:tc>
          <w:tcPr>
            <w:tcW w:w="907" w:type="dxa"/>
          </w:tcPr>
          <w:p w14:paraId="0ECE99C1"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w:t>
            </w:r>
          </w:p>
        </w:tc>
        <w:tc>
          <w:tcPr>
            <w:tcW w:w="907" w:type="dxa"/>
          </w:tcPr>
          <w:p w14:paraId="26ED2C59"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w:t>
            </w:r>
          </w:p>
        </w:tc>
        <w:tc>
          <w:tcPr>
            <w:tcW w:w="1089" w:type="dxa"/>
          </w:tcPr>
          <w:p w14:paraId="73CB24C0"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(66)</w:t>
            </w:r>
          </w:p>
        </w:tc>
        <w:tc>
          <w:tcPr>
            <w:tcW w:w="770" w:type="dxa"/>
          </w:tcPr>
          <w:p w14:paraId="534DD275"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w:t>
            </w:r>
          </w:p>
        </w:tc>
        <w:tc>
          <w:tcPr>
            <w:tcW w:w="963" w:type="dxa"/>
          </w:tcPr>
          <w:p w14:paraId="6B8FC451"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w:t>
            </w:r>
          </w:p>
        </w:tc>
        <w:tc>
          <w:tcPr>
            <w:tcW w:w="907" w:type="dxa"/>
          </w:tcPr>
          <w:p w14:paraId="056B5443"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w:t>
            </w:r>
          </w:p>
        </w:tc>
        <w:tc>
          <w:tcPr>
            <w:tcW w:w="964" w:type="dxa"/>
          </w:tcPr>
          <w:p w14:paraId="018C3322"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w:t>
            </w:r>
          </w:p>
        </w:tc>
        <w:tc>
          <w:tcPr>
            <w:tcW w:w="907" w:type="dxa"/>
          </w:tcPr>
          <w:p w14:paraId="7A9259F1"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w:t>
            </w:r>
          </w:p>
        </w:tc>
        <w:tc>
          <w:tcPr>
            <w:tcW w:w="836" w:type="dxa"/>
          </w:tcPr>
          <w:p w14:paraId="5B917467"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w:t>
            </w:r>
          </w:p>
        </w:tc>
        <w:tc>
          <w:tcPr>
            <w:tcW w:w="940" w:type="dxa"/>
          </w:tcPr>
          <w:p w14:paraId="762B708D"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w:t>
            </w:r>
          </w:p>
        </w:tc>
        <w:tc>
          <w:tcPr>
            <w:tcW w:w="879" w:type="dxa"/>
          </w:tcPr>
          <w:p w14:paraId="7B89C8F4"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(5,141)</w:t>
            </w:r>
          </w:p>
        </w:tc>
      </w:tr>
      <w:tr w:rsidR="00B02873" w:rsidRPr="00C8008F" w14:paraId="57BA1EDF" w14:textId="77777777" w:rsidTr="00C8008F">
        <w:tc>
          <w:tcPr>
            <w:tcW w:w="3201" w:type="dxa"/>
          </w:tcPr>
          <w:p w14:paraId="48EB76A1" w14:textId="281D629D" w:rsidR="00B02873" w:rsidRPr="00C8008F" w:rsidRDefault="00B02873" w:rsidP="00C8008F">
            <w:pPr>
              <w:pStyle w:val="TablebodyleftFinancialsTables"/>
              <w:rPr>
                <w:rFonts w:asciiTheme="minorHAnsi" w:hAnsiTheme="minorHAnsi" w:cstheme="minorHAnsi"/>
                <w:sz w:val="16"/>
              </w:rPr>
            </w:pPr>
            <w:r w:rsidRPr="00C8008F">
              <w:rPr>
                <w:rFonts w:asciiTheme="minorHAnsi" w:hAnsiTheme="minorHAnsi" w:cstheme="minorHAnsi"/>
                <w:sz w:val="16"/>
              </w:rPr>
              <w:t>Transfers in/(out) – other capital contributions</w:t>
            </w:r>
          </w:p>
        </w:tc>
        <w:tc>
          <w:tcPr>
            <w:tcW w:w="907" w:type="dxa"/>
          </w:tcPr>
          <w:p w14:paraId="0C32C78C"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w:t>
            </w:r>
          </w:p>
        </w:tc>
        <w:tc>
          <w:tcPr>
            <w:tcW w:w="907" w:type="dxa"/>
          </w:tcPr>
          <w:p w14:paraId="131DFD29"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(4,942)</w:t>
            </w:r>
          </w:p>
        </w:tc>
        <w:tc>
          <w:tcPr>
            <w:tcW w:w="907" w:type="dxa"/>
          </w:tcPr>
          <w:p w14:paraId="0085C353"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w:t>
            </w:r>
          </w:p>
        </w:tc>
        <w:tc>
          <w:tcPr>
            <w:tcW w:w="907" w:type="dxa"/>
          </w:tcPr>
          <w:p w14:paraId="26A2E7D3"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w:t>
            </w:r>
          </w:p>
        </w:tc>
        <w:tc>
          <w:tcPr>
            <w:tcW w:w="1089" w:type="dxa"/>
          </w:tcPr>
          <w:p w14:paraId="52A4449F"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w:t>
            </w:r>
          </w:p>
        </w:tc>
        <w:tc>
          <w:tcPr>
            <w:tcW w:w="770" w:type="dxa"/>
          </w:tcPr>
          <w:p w14:paraId="02E96B3C"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w:t>
            </w:r>
          </w:p>
        </w:tc>
        <w:tc>
          <w:tcPr>
            <w:tcW w:w="963" w:type="dxa"/>
          </w:tcPr>
          <w:p w14:paraId="4FC381F6"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w:t>
            </w:r>
          </w:p>
        </w:tc>
        <w:tc>
          <w:tcPr>
            <w:tcW w:w="907" w:type="dxa"/>
          </w:tcPr>
          <w:p w14:paraId="1A5D97CF"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w:t>
            </w:r>
          </w:p>
        </w:tc>
        <w:tc>
          <w:tcPr>
            <w:tcW w:w="964" w:type="dxa"/>
          </w:tcPr>
          <w:p w14:paraId="139597B9"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(4,971)</w:t>
            </w:r>
          </w:p>
        </w:tc>
        <w:tc>
          <w:tcPr>
            <w:tcW w:w="907" w:type="dxa"/>
          </w:tcPr>
          <w:p w14:paraId="6CEA5E89"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w:t>
            </w:r>
          </w:p>
        </w:tc>
        <w:tc>
          <w:tcPr>
            <w:tcW w:w="836" w:type="dxa"/>
          </w:tcPr>
          <w:p w14:paraId="76398ECC"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w:t>
            </w:r>
          </w:p>
        </w:tc>
        <w:tc>
          <w:tcPr>
            <w:tcW w:w="940" w:type="dxa"/>
          </w:tcPr>
          <w:p w14:paraId="19283102"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(82)</w:t>
            </w:r>
          </w:p>
        </w:tc>
        <w:tc>
          <w:tcPr>
            <w:tcW w:w="879" w:type="dxa"/>
          </w:tcPr>
          <w:p w14:paraId="35ECC7CF"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(9,995)</w:t>
            </w:r>
          </w:p>
        </w:tc>
      </w:tr>
      <w:tr w:rsidR="00B02873" w:rsidRPr="00C8008F" w14:paraId="6BDF77DC" w14:textId="77777777" w:rsidTr="00C8008F">
        <w:tc>
          <w:tcPr>
            <w:tcW w:w="3201" w:type="dxa"/>
          </w:tcPr>
          <w:p w14:paraId="1A3F4694" w14:textId="77777777" w:rsidR="00B02873" w:rsidRPr="00C8008F" w:rsidRDefault="00B02873" w:rsidP="00C8008F">
            <w:pPr>
              <w:pStyle w:val="TablebodyleftFinancialsTables"/>
              <w:rPr>
                <w:rFonts w:asciiTheme="minorHAnsi" w:hAnsiTheme="minorHAnsi" w:cstheme="minorHAnsi"/>
                <w:sz w:val="16"/>
              </w:rPr>
            </w:pPr>
          </w:p>
        </w:tc>
        <w:tc>
          <w:tcPr>
            <w:tcW w:w="907" w:type="dxa"/>
          </w:tcPr>
          <w:p w14:paraId="08834F05"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w:t>
            </w:r>
          </w:p>
        </w:tc>
        <w:tc>
          <w:tcPr>
            <w:tcW w:w="907" w:type="dxa"/>
          </w:tcPr>
          <w:p w14:paraId="307B2F96"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(10,017)</w:t>
            </w:r>
          </w:p>
        </w:tc>
        <w:tc>
          <w:tcPr>
            <w:tcW w:w="907" w:type="dxa"/>
          </w:tcPr>
          <w:p w14:paraId="00DD4CE3"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w:t>
            </w:r>
          </w:p>
        </w:tc>
        <w:tc>
          <w:tcPr>
            <w:tcW w:w="907" w:type="dxa"/>
          </w:tcPr>
          <w:p w14:paraId="44DB4734"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w:t>
            </w:r>
          </w:p>
        </w:tc>
        <w:tc>
          <w:tcPr>
            <w:tcW w:w="1089" w:type="dxa"/>
          </w:tcPr>
          <w:p w14:paraId="2B476C36"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(66)</w:t>
            </w:r>
          </w:p>
        </w:tc>
        <w:tc>
          <w:tcPr>
            <w:tcW w:w="770" w:type="dxa"/>
          </w:tcPr>
          <w:p w14:paraId="6E0F1C25"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w:t>
            </w:r>
          </w:p>
        </w:tc>
        <w:tc>
          <w:tcPr>
            <w:tcW w:w="963" w:type="dxa"/>
          </w:tcPr>
          <w:p w14:paraId="54B7B10D"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w:t>
            </w:r>
          </w:p>
        </w:tc>
        <w:tc>
          <w:tcPr>
            <w:tcW w:w="907" w:type="dxa"/>
          </w:tcPr>
          <w:p w14:paraId="26101212"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w:t>
            </w:r>
          </w:p>
        </w:tc>
        <w:tc>
          <w:tcPr>
            <w:tcW w:w="964" w:type="dxa"/>
          </w:tcPr>
          <w:p w14:paraId="519207EB"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(4,971)</w:t>
            </w:r>
          </w:p>
        </w:tc>
        <w:tc>
          <w:tcPr>
            <w:tcW w:w="907" w:type="dxa"/>
          </w:tcPr>
          <w:p w14:paraId="6A4691DE"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w:t>
            </w:r>
          </w:p>
        </w:tc>
        <w:tc>
          <w:tcPr>
            <w:tcW w:w="836" w:type="dxa"/>
          </w:tcPr>
          <w:p w14:paraId="3056E723"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w:t>
            </w:r>
          </w:p>
        </w:tc>
        <w:tc>
          <w:tcPr>
            <w:tcW w:w="940" w:type="dxa"/>
          </w:tcPr>
          <w:p w14:paraId="10EDFC5D"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(82)</w:t>
            </w:r>
          </w:p>
        </w:tc>
        <w:tc>
          <w:tcPr>
            <w:tcW w:w="879" w:type="dxa"/>
          </w:tcPr>
          <w:p w14:paraId="14F73CAD" w14:textId="77777777" w:rsidR="00B02873" w:rsidRPr="00C8008F" w:rsidRDefault="00B02873" w:rsidP="00C8008F">
            <w:pPr>
              <w:pStyle w:val="TablebodyleftFinancialsTables"/>
              <w:jc w:val="right"/>
              <w:rPr>
                <w:rFonts w:asciiTheme="minorHAnsi" w:hAnsiTheme="minorHAnsi" w:cstheme="minorHAnsi"/>
                <w:sz w:val="16"/>
              </w:rPr>
            </w:pPr>
            <w:r w:rsidRPr="00C8008F">
              <w:rPr>
                <w:rFonts w:asciiTheme="minorHAnsi" w:hAnsiTheme="minorHAnsi" w:cstheme="minorHAnsi"/>
                <w:sz w:val="16"/>
              </w:rPr>
              <w:t>(15,136)</w:t>
            </w:r>
          </w:p>
        </w:tc>
      </w:tr>
      <w:tr w:rsidR="00B02873" w:rsidRPr="00C8008F" w14:paraId="3488BCA6" w14:textId="77777777" w:rsidTr="00C8008F">
        <w:tc>
          <w:tcPr>
            <w:tcW w:w="3201" w:type="dxa"/>
          </w:tcPr>
          <w:p w14:paraId="770629E8" w14:textId="77777777" w:rsidR="00B02873" w:rsidRPr="00C8008F" w:rsidRDefault="00B02873" w:rsidP="00C8008F">
            <w:pPr>
              <w:pStyle w:val="TablebodyleftFinancialsTables"/>
              <w:rPr>
                <w:rFonts w:asciiTheme="minorHAnsi" w:hAnsiTheme="minorHAnsi" w:cstheme="minorHAnsi"/>
                <w:b/>
                <w:bCs/>
                <w:sz w:val="16"/>
              </w:rPr>
            </w:pPr>
            <w:r w:rsidRPr="00C8008F">
              <w:rPr>
                <w:rFonts w:asciiTheme="minorHAnsi" w:hAnsiTheme="minorHAnsi" w:cstheme="minorHAnsi"/>
                <w:b/>
                <w:bCs/>
                <w:sz w:val="16"/>
              </w:rPr>
              <w:t>Balance at 30 June 2021</w:t>
            </w:r>
          </w:p>
        </w:tc>
        <w:tc>
          <w:tcPr>
            <w:tcW w:w="907" w:type="dxa"/>
          </w:tcPr>
          <w:p w14:paraId="42829434" w14:textId="77777777" w:rsidR="00B02873" w:rsidRPr="00C8008F" w:rsidRDefault="00B02873" w:rsidP="00C8008F">
            <w:pPr>
              <w:pStyle w:val="TablebodyleftFinancialsTables"/>
              <w:jc w:val="right"/>
              <w:rPr>
                <w:rFonts w:asciiTheme="minorHAnsi" w:hAnsiTheme="minorHAnsi" w:cstheme="minorHAnsi"/>
                <w:b/>
                <w:bCs/>
                <w:sz w:val="16"/>
              </w:rPr>
            </w:pPr>
            <w:r w:rsidRPr="00C8008F">
              <w:rPr>
                <w:rFonts w:asciiTheme="minorHAnsi" w:hAnsiTheme="minorHAnsi" w:cstheme="minorHAnsi"/>
                <w:b/>
                <w:bCs/>
                <w:sz w:val="16"/>
              </w:rPr>
              <w:t>15,923</w:t>
            </w:r>
          </w:p>
        </w:tc>
        <w:tc>
          <w:tcPr>
            <w:tcW w:w="907" w:type="dxa"/>
          </w:tcPr>
          <w:p w14:paraId="267C7086" w14:textId="77777777" w:rsidR="00B02873" w:rsidRPr="00C8008F" w:rsidRDefault="00B02873" w:rsidP="00C8008F">
            <w:pPr>
              <w:pStyle w:val="TablebodyleftFinancialsTables"/>
              <w:jc w:val="right"/>
              <w:rPr>
                <w:rFonts w:asciiTheme="minorHAnsi" w:hAnsiTheme="minorHAnsi" w:cstheme="minorHAnsi"/>
                <w:b/>
                <w:bCs/>
                <w:sz w:val="16"/>
              </w:rPr>
            </w:pPr>
            <w:r w:rsidRPr="00C8008F">
              <w:rPr>
                <w:rFonts w:asciiTheme="minorHAnsi" w:hAnsiTheme="minorHAnsi" w:cstheme="minorHAnsi"/>
                <w:b/>
                <w:bCs/>
                <w:sz w:val="16"/>
              </w:rPr>
              <w:t>3,764,210</w:t>
            </w:r>
          </w:p>
        </w:tc>
        <w:tc>
          <w:tcPr>
            <w:tcW w:w="907" w:type="dxa"/>
          </w:tcPr>
          <w:p w14:paraId="0EF59229" w14:textId="77777777" w:rsidR="00B02873" w:rsidRPr="00C8008F" w:rsidRDefault="00B02873" w:rsidP="00C8008F">
            <w:pPr>
              <w:pStyle w:val="TablebodyleftFinancialsTables"/>
              <w:jc w:val="right"/>
              <w:rPr>
                <w:rFonts w:asciiTheme="minorHAnsi" w:hAnsiTheme="minorHAnsi" w:cstheme="minorHAnsi"/>
                <w:b/>
                <w:bCs/>
                <w:sz w:val="16"/>
              </w:rPr>
            </w:pPr>
            <w:r w:rsidRPr="00C8008F">
              <w:rPr>
                <w:rFonts w:asciiTheme="minorHAnsi" w:hAnsiTheme="minorHAnsi" w:cstheme="minorHAnsi"/>
                <w:b/>
                <w:bCs/>
                <w:sz w:val="16"/>
              </w:rPr>
              <w:t>4,413</w:t>
            </w:r>
          </w:p>
        </w:tc>
        <w:tc>
          <w:tcPr>
            <w:tcW w:w="907" w:type="dxa"/>
          </w:tcPr>
          <w:p w14:paraId="7DF4DB53" w14:textId="77777777" w:rsidR="00B02873" w:rsidRPr="00C8008F" w:rsidRDefault="00B02873" w:rsidP="00C8008F">
            <w:pPr>
              <w:pStyle w:val="TablebodyleftFinancialsTables"/>
              <w:jc w:val="right"/>
              <w:rPr>
                <w:rFonts w:asciiTheme="minorHAnsi" w:hAnsiTheme="minorHAnsi" w:cstheme="minorHAnsi"/>
                <w:b/>
                <w:bCs/>
                <w:sz w:val="16"/>
              </w:rPr>
            </w:pPr>
            <w:r w:rsidRPr="00C8008F">
              <w:rPr>
                <w:rFonts w:asciiTheme="minorHAnsi" w:hAnsiTheme="minorHAnsi" w:cstheme="minorHAnsi"/>
                <w:b/>
                <w:bCs/>
                <w:sz w:val="16"/>
              </w:rPr>
              <w:t>2,193,034</w:t>
            </w:r>
          </w:p>
        </w:tc>
        <w:tc>
          <w:tcPr>
            <w:tcW w:w="1089" w:type="dxa"/>
          </w:tcPr>
          <w:p w14:paraId="358EF457" w14:textId="77777777" w:rsidR="00B02873" w:rsidRPr="00C8008F" w:rsidRDefault="00B02873" w:rsidP="00C8008F">
            <w:pPr>
              <w:pStyle w:val="TablebodyleftFinancialsTables"/>
              <w:jc w:val="right"/>
              <w:rPr>
                <w:rFonts w:asciiTheme="minorHAnsi" w:hAnsiTheme="minorHAnsi" w:cstheme="minorHAnsi"/>
                <w:b/>
                <w:bCs/>
                <w:sz w:val="16"/>
              </w:rPr>
            </w:pPr>
            <w:r w:rsidRPr="00C8008F">
              <w:rPr>
                <w:rFonts w:asciiTheme="minorHAnsi" w:hAnsiTheme="minorHAnsi" w:cstheme="minorHAnsi"/>
                <w:b/>
                <w:bCs/>
                <w:sz w:val="16"/>
              </w:rPr>
              <w:t>90,533</w:t>
            </w:r>
          </w:p>
        </w:tc>
        <w:tc>
          <w:tcPr>
            <w:tcW w:w="770" w:type="dxa"/>
          </w:tcPr>
          <w:p w14:paraId="48408ABE" w14:textId="77777777" w:rsidR="00B02873" w:rsidRPr="00C8008F" w:rsidRDefault="00B02873" w:rsidP="00C8008F">
            <w:pPr>
              <w:pStyle w:val="TablebodyleftFinancialsTables"/>
              <w:jc w:val="right"/>
              <w:rPr>
                <w:rFonts w:asciiTheme="minorHAnsi" w:hAnsiTheme="minorHAnsi" w:cstheme="minorHAnsi"/>
                <w:b/>
                <w:bCs/>
                <w:sz w:val="16"/>
              </w:rPr>
            </w:pPr>
            <w:r w:rsidRPr="00C8008F">
              <w:rPr>
                <w:rFonts w:asciiTheme="minorHAnsi" w:hAnsiTheme="minorHAnsi" w:cstheme="minorHAnsi"/>
                <w:b/>
                <w:bCs/>
                <w:sz w:val="16"/>
              </w:rPr>
              <w:t>7,870</w:t>
            </w:r>
          </w:p>
        </w:tc>
        <w:tc>
          <w:tcPr>
            <w:tcW w:w="963" w:type="dxa"/>
          </w:tcPr>
          <w:p w14:paraId="6F176C65" w14:textId="77777777" w:rsidR="00B02873" w:rsidRPr="00C8008F" w:rsidRDefault="00B02873" w:rsidP="00C8008F">
            <w:pPr>
              <w:pStyle w:val="TablebodyleftFinancialsTables"/>
              <w:jc w:val="right"/>
              <w:rPr>
                <w:rFonts w:asciiTheme="minorHAnsi" w:hAnsiTheme="minorHAnsi" w:cstheme="minorHAnsi"/>
                <w:b/>
                <w:bCs/>
                <w:sz w:val="16"/>
              </w:rPr>
            </w:pPr>
            <w:r w:rsidRPr="00C8008F">
              <w:rPr>
                <w:rFonts w:asciiTheme="minorHAnsi" w:hAnsiTheme="minorHAnsi" w:cstheme="minorHAnsi"/>
                <w:b/>
                <w:bCs/>
                <w:sz w:val="16"/>
              </w:rPr>
              <w:t>48,542</w:t>
            </w:r>
          </w:p>
        </w:tc>
        <w:tc>
          <w:tcPr>
            <w:tcW w:w="907" w:type="dxa"/>
          </w:tcPr>
          <w:p w14:paraId="70A64291" w14:textId="77777777" w:rsidR="00B02873" w:rsidRPr="00C8008F" w:rsidRDefault="00B02873" w:rsidP="00C8008F">
            <w:pPr>
              <w:pStyle w:val="TablebodyleftFinancialsTables"/>
              <w:jc w:val="right"/>
              <w:rPr>
                <w:rFonts w:asciiTheme="minorHAnsi" w:hAnsiTheme="minorHAnsi" w:cstheme="minorHAnsi"/>
                <w:b/>
                <w:bCs/>
                <w:sz w:val="16"/>
              </w:rPr>
            </w:pPr>
            <w:r w:rsidRPr="00C8008F">
              <w:rPr>
                <w:rFonts w:asciiTheme="minorHAnsi" w:hAnsiTheme="minorHAnsi" w:cstheme="minorHAnsi"/>
                <w:b/>
                <w:bCs/>
                <w:sz w:val="16"/>
              </w:rPr>
              <w:t>50,150</w:t>
            </w:r>
          </w:p>
        </w:tc>
        <w:tc>
          <w:tcPr>
            <w:tcW w:w="964" w:type="dxa"/>
          </w:tcPr>
          <w:p w14:paraId="3554B9D3" w14:textId="77777777" w:rsidR="00B02873" w:rsidRPr="00C8008F" w:rsidRDefault="00B02873" w:rsidP="00C8008F">
            <w:pPr>
              <w:pStyle w:val="TablebodyleftFinancialsTables"/>
              <w:jc w:val="right"/>
              <w:rPr>
                <w:rFonts w:asciiTheme="minorHAnsi" w:hAnsiTheme="minorHAnsi" w:cstheme="minorHAnsi"/>
                <w:b/>
                <w:bCs/>
                <w:sz w:val="16"/>
              </w:rPr>
            </w:pPr>
            <w:r w:rsidRPr="00C8008F">
              <w:rPr>
                <w:rFonts w:asciiTheme="minorHAnsi" w:hAnsiTheme="minorHAnsi" w:cstheme="minorHAnsi"/>
                <w:b/>
                <w:bCs/>
                <w:sz w:val="16"/>
              </w:rPr>
              <w:t>683,374</w:t>
            </w:r>
          </w:p>
        </w:tc>
        <w:tc>
          <w:tcPr>
            <w:tcW w:w="907" w:type="dxa"/>
          </w:tcPr>
          <w:p w14:paraId="0E69A4F4" w14:textId="77777777" w:rsidR="00B02873" w:rsidRPr="00C8008F" w:rsidRDefault="00B02873" w:rsidP="00C8008F">
            <w:pPr>
              <w:pStyle w:val="TablebodyleftFinancialsTables"/>
              <w:jc w:val="right"/>
              <w:rPr>
                <w:rFonts w:asciiTheme="minorHAnsi" w:hAnsiTheme="minorHAnsi" w:cstheme="minorHAnsi"/>
                <w:b/>
                <w:bCs/>
                <w:sz w:val="16"/>
              </w:rPr>
            </w:pPr>
            <w:r w:rsidRPr="00C8008F">
              <w:rPr>
                <w:rFonts w:asciiTheme="minorHAnsi" w:hAnsiTheme="minorHAnsi" w:cstheme="minorHAnsi"/>
                <w:b/>
                <w:bCs/>
                <w:sz w:val="16"/>
              </w:rPr>
              <w:t>2,527</w:t>
            </w:r>
          </w:p>
        </w:tc>
        <w:tc>
          <w:tcPr>
            <w:tcW w:w="836" w:type="dxa"/>
          </w:tcPr>
          <w:p w14:paraId="05E9DB31" w14:textId="77777777" w:rsidR="00B02873" w:rsidRPr="00C8008F" w:rsidRDefault="00B02873" w:rsidP="00C8008F">
            <w:pPr>
              <w:pStyle w:val="TablebodyleftFinancialsTables"/>
              <w:jc w:val="right"/>
              <w:rPr>
                <w:rFonts w:asciiTheme="minorHAnsi" w:hAnsiTheme="minorHAnsi" w:cstheme="minorHAnsi"/>
                <w:b/>
                <w:bCs/>
                <w:sz w:val="16"/>
              </w:rPr>
            </w:pPr>
            <w:r w:rsidRPr="00C8008F">
              <w:rPr>
                <w:rFonts w:asciiTheme="minorHAnsi" w:hAnsiTheme="minorHAnsi" w:cstheme="minorHAnsi"/>
                <w:b/>
                <w:bCs/>
                <w:sz w:val="16"/>
              </w:rPr>
              <w:t>771,940</w:t>
            </w:r>
          </w:p>
        </w:tc>
        <w:tc>
          <w:tcPr>
            <w:tcW w:w="940" w:type="dxa"/>
          </w:tcPr>
          <w:p w14:paraId="778AA344" w14:textId="77777777" w:rsidR="00B02873" w:rsidRPr="00C8008F" w:rsidRDefault="00B02873" w:rsidP="00C8008F">
            <w:pPr>
              <w:pStyle w:val="TablebodyleftFinancialsTables"/>
              <w:jc w:val="right"/>
              <w:rPr>
                <w:rFonts w:asciiTheme="minorHAnsi" w:hAnsiTheme="minorHAnsi" w:cstheme="minorHAnsi"/>
                <w:b/>
                <w:bCs/>
                <w:sz w:val="16"/>
              </w:rPr>
            </w:pPr>
            <w:r w:rsidRPr="00C8008F">
              <w:rPr>
                <w:rFonts w:asciiTheme="minorHAnsi" w:hAnsiTheme="minorHAnsi" w:cstheme="minorHAnsi"/>
                <w:b/>
                <w:bCs/>
                <w:sz w:val="16"/>
              </w:rPr>
              <w:t>69,409</w:t>
            </w:r>
          </w:p>
        </w:tc>
        <w:tc>
          <w:tcPr>
            <w:tcW w:w="879" w:type="dxa"/>
          </w:tcPr>
          <w:p w14:paraId="1CA657F3" w14:textId="77777777" w:rsidR="00B02873" w:rsidRPr="00C8008F" w:rsidRDefault="00B02873" w:rsidP="00C8008F">
            <w:pPr>
              <w:pStyle w:val="TablebodyleftFinancialsTables"/>
              <w:jc w:val="right"/>
              <w:rPr>
                <w:rFonts w:asciiTheme="minorHAnsi" w:hAnsiTheme="minorHAnsi" w:cstheme="minorHAnsi"/>
                <w:b/>
                <w:bCs/>
                <w:sz w:val="16"/>
              </w:rPr>
            </w:pPr>
            <w:r w:rsidRPr="00C8008F">
              <w:rPr>
                <w:rFonts w:asciiTheme="minorHAnsi" w:hAnsiTheme="minorHAnsi" w:cstheme="minorHAnsi"/>
                <w:b/>
                <w:bCs/>
                <w:spacing w:val="-4"/>
                <w:sz w:val="16"/>
              </w:rPr>
              <w:t>7,701,925</w:t>
            </w:r>
          </w:p>
        </w:tc>
      </w:tr>
    </w:tbl>
    <w:p w14:paraId="08E09BBA" w14:textId="77777777" w:rsidR="00B02873" w:rsidRPr="00C8008F" w:rsidRDefault="00B02873" w:rsidP="00C8008F">
      <w:pPr>
        <w:pStyle w:val="SourceNote"/>
        <w:spacing w:after="120"/>
        <w:rPr>
          <w:b/>
          <w:bCs/>
        </w:rPr>
      </w:pPr>
      <w:r w:rsidRPr="00C8008F">
        <w:rPr>
          <w:b/>
          <w:bCs/>
        </w:rPr>
        <w:t xml:space="preserve">Note: </w:t>
      </w:r>
    </w:p>
    <w:p w14:paraId="2BC2E9FD" w14:textId="77777777" w:rsidR="00B02873" w:rsidRDefault="00B02873" w:rsidP="001128B1">
      <w:pPr>
        <w:pStyle w:val="SourceNotenumbered"/>
        <w:numPr>
          <w:ilvl w:val="0"/>
          <w:numId w:val="32"/>
        </w:numPr>
      </w:pPr>
      <w:r>
        <w:t xml:space="preserve">Net transfers from assets under construction. </w:t>
      </w:r>
    </w:p>
    <w:p w14:paraId="6F976A52" w14:textId="77777777" w:rsidR="00B02873" w:rsidRDefault="00B02873" w:rsidP="00C95285">
      <w:pPr>
        <w:pStyle w:val="SourceNote"/>
      </w:pPr>
      <w:r>
        <w:t xml:space="preserve">Assets under construction are excluded from the table above. </w:t>
      </w:r>
    </w:p>
    <w:p w14:paraId="1ED6BCB5" w14:textId="77777777" w:rsidR="00B02873" w:rsidRDefault="00B02873" w:rsidP="00C95285">
      <w:pPr>
        <w:pStyle w:val="TabletitleTables"/>
      </w:pPr>
      <w:r>
        <w:lastRenderedPageBreak/>
        <w:t>Reconciliation of Level 3 fair value movements (continued)</w:t>
      </w:r>
    </w:p>
    <w:tbl>
      <w:tblPr>
        <w:tblStyle w:val="TableGrid"/>
        <w:tblW w:w="15219" w:type="dxa"/>
        <w:tblLayout w:type="fixed"/>
        <w:tblLook w:val="0020" w:firstRow="1" w:lastRow="0" w:firstColumn="0" w:lastColumn="0" w:noHBand="0" w:noVBand="0"/>
      </w:tblPr>
      <w:tblGrid>
        <w:gridCol w:w="3061"/>
        <w:gridCol w:w="908"/>
        <w:gridCol w:w="907"/>
        <w:gridCol w:w="907"/>
        <w:gridCol w:w="907"/>
        <w:gridCol w:w="1130"/>
        <w:gridCol w:w="907"/>
        <w:gridCol w:w="964"/>
        <w:gridCol w:w="907"/>
        <w:gridCol w:w="907"/>
        <w:gridCol w:w="907"/>
        <w:gridCol w:w="907"/>
        <w:gridCol w:w="993"/>
        <w:gridCol w:w="907"/>
      </w:tblGrid>
      <w:tr w:rsidR="00B02873" w:rsidRPr="001448E3" w14:paraId="52A1F760" w14:textId="77777777" w:rsidTr="003745F6">
        <w:trPr>
          <w:cnfStyle w:val="100000000000" w:firstRow="1" w:lastRow="0" w:firstColumn="0" w:lastColumn="0" w:oddVBand="0" w:evenVBand="0" w:oddHBand="0" w:evenHBand="0" w:firstRowFirstColumn="0" w:firstRowLastColumn="0" w:lastRowFirstColumn="0" w:lastRowLastColumn="0"/>
          <w:tblHeader/>
        </w:trPr>
        <w:tc>
          <w:tcPr>
            <w:tcW w:w="3061" w:type="dxa"/>
          </w:tcPr>
          <w:p w14:paraId="2F123B67" w14:textId="77777777" w:rsidR="00B02873" w:rsidRPr="001448E3" w:rsidRDefault="00B02873" w:rsidP="00C95285">
            <w:pPr>
              <w:pStyle w:val="TableheadingleftFinancialsTables"/>
              <w:rPr>
                <w:rFonts w:asciiTheme="minorHAnsi" w:hAnsiTheme="minorHAnsi" w:cstheme="minorHAnsi"/>
                <w:sz w:val="16"/>
              </w:rPr>
            </w:pPr>
          </w:p>
        </w:tc>
        <w:tc>
          <w:tcPr>
            <w:tcW w:w="908" w:type="dxa"/>
          </w:tcPr>
          <w:p w14:paraId="697DBB7A" w14:textId="77777777" w:rsidR="00B02873" w:rsidRPr="001448E3" w:rsidRDefault="00B02873" w:rsidP="001448E3">
            <w:pPr>
              <w:pStyle w:val="TableheadingleftFinancialsTables"/>
              <w:jc w:val="right"/>
              <w:rPr>
                <w:rFonts w:asciiTheme="minorHAnsi" w:hAnsiTheme="minorHAnsi" w:cstheme="minorHAnsi"/>
                <w:sz w:val="16"/>
              </w:rPr>
            </w:pPr>
            <w:r w:rsidRPr="001448E3">
              <w:rPr>
                <w:rFonts w:asciiTheme="minorHAnsi" w:hAnsiTheme="minorHAnsi" w:cstheme="minorHAnsi"/>
                <w:sz w:val="16"/>
              </w:rPr>
              <w:t xml:space="preserve">Freehold </w:t>
            </w:r>
            <w:r w:rsidRPr="001448E3">
              <w:rPr>
                <w:rFonts w:asciiTheme="minorHAnsi" w:hAnsiTheme="minorHAnsi" w:cstheme="minorHAnsi"/>
                <w:sz w:val="16"/>
              </w:rPr>
              <w:br/>
              <w:t>land</w:t>
            </w:r>
            <w:r w:rsidRPr="001448E3">
              <w:rPr>
                <w:rFonts w:asciiTheme="minorHAnsi" w:hAnsiTheme="minorHAnsi" w:cstheme="minorHAnsi"/>
                <w:sz w:val="16"/>
              </w:rPr>
              <w:br/>
              <w:t>$000</w:t>
            </w:r>
          </w:p>
        </w:tc>
        <w:tc>
          <w:tcPr>
            <w:tcW w:w="907" w:type="dxa"/>
          </w:tcPr>
          <w:p w14:paraId="178E2817" w14:textId="77777777" w:rsidR="00B02873" w:rsidRPr="001448E3" w:rsidRDefault="00B02873" w:rsidP="001448E3">
            <w:pPr>
              <w:pStyle w:val="TableheadingleftFinancialsTables"/>
              <w:jc w:val="right"/>
              <w:rPr>
                <w:rFonts w:asciiTheme="minorHAnsi" w:hAnsiTheme="minorHAnsi" w:cstheme="minorHAnsi"/>
                <w:sz w:val="16"/>
              </w:rPr>
            </w:pPr>
            <w:r w:rsidRPr="001448E3">
              <w:rPr>
                <w:rFonts w:asciiTheme="minorHAnsi" w:hAnsiTheme="minorHAnsi" w:cstheme="minorHAnsi"/>
                <w:sz w:val="16"/>
              </w:rPr>
              <w:t xml:space="preserve">Land and </w:t>
            </w:r>
            <w:r w:rsidRPr="001448E3">
              <w:rPr>
                <w:rFonts w:asciiTheme="minorHAnsi" w:hAnsiTheme="minorHAnsi" w:cstheme="minorHAnsi"/>
                <w:sz w:val="16"/>
              </w:rPr>
              <w:br/>
              <w:t>unused roads</w:t>
            </w:r>
            <w:r w:rsidRPr="001448E3">
              <w:rPr>
                <w:rFonts w:asciiTheme="minorHAnsi" w:hAnsiTheme="minorHAnsi" w:cstheme="minorHAnsi"/>
                <w:sz w:val="16"/>
              </w:rPr>
              <w:br/>
              <w:t>$000</w:t>
            </w:r>
          </w:p>
        </w:tc>
        <w:tc>
          <w:tcPr>
            <w:tcW w:w="907" w:type="dxa"/>
          </w:tcPr>
          <w:p w14:paraId="43A4BBFE" w14:textId="77777777" w:rsidR="00B02873" w:rsidRPr="001448E3" w:rsidRDefault="00B02873" w:rsidP="001448E3">
            <w:pPr>
              <w:pStyle w:val="TableheadingleftFinancialsTables"/>
              <w:jc w:val="right"/>
              <w:rPr>
                <w:rFonts w:asciiTheme="minorHAnsi" w:hAnsiTheme="minorHAnsi" w:cstheme="minorHAnsi"/>
                <w:sz w:val="16"/>
              </w:rPr>
            </w:pPr>
            <w:r w:rsidRPr="001448E3">
              <w:rPr>
                <w:rFonts w:asciiTheme="minorHAnsi" w:hAnsiTheme="minorHAnsi" w:cstheme="minorHAnsi"/>
                <w:sz w:val="16"/>
              </w:rPr>
              <w:t>National parks</w:t>
            </w:r>
            <w:r w:rsidRPr="001448E3">
              <w:rPr>
                <w:rFonts w:asciiTheme="minorHAnsi" w:hAnsiTheme="minorHAnsi" w:cstheme="minorHAnsi"/>
                <w:sz w:val="16"/>
              </w:rPr>
              <w:br/>
              <w:t>$000</w:t>
            </w:r>
          </w:p>
        </w:tc>
        <w:tc>
          <w:tcPr>
            <w:tcW w:w="907" w:type="dxa"/>
          </w:tcPr>
          <w:p w14:paraId="21CCDD9C" w14:textId="77777777" w:rsidR="00B02873" w:rsidRPr="001448E3" w:rsidRDefault="00B02873" w:rsidP="001448E3">
            <w:pPr>
              <w:pStyle w:val="TableheadingleftFinancialsTables"/>
              <w:jc w:val="right"/>
              <w:rPr>
                <w:rFonts w:asciiTheme="minorHAnsi" w:hAnsiTheme="minorHAnsi" w:cstheme="minorHAnsi"/>
                <w:sz w:val="16"/>
              </w:rPr>
            </w:pPr>
            <w:r w:rsidRPr="001448E3">
              <w:rPr>
                <w:rFonts w:asciiTheme="minorHAnsi" w:hAnsiTheme="minorHAnsi" w:cstheme="minorHAnsi"/>
                <w:sz w:val="16"/>
              </w:rPr>
              <w:t>State forests</w:t>
            </w:r>
            <w:r w:rsidRPr="001448E3">
              <w:rPr>
                <w:rFonts w:asciiTheme="minorHAnsi" w:hAnsiTheme="minorHAnsi" w:cstheme="minorHAnsi"/>
                <w:sz w:val="16"/>
              </w:rPr>
              <w:br/>
              <w:t>$000</w:t>
            </w:r>
          </w:p>
        </w:tc>
        <w:tc>
          <w:tcPr>
            <w:tcW w:w="1130" w:type="dxa"/>
          </w:tcPr>
          <w:p w14:paraId="4B5E7772" w14:textId="77777777" w:rsidR="00B02873" w:rsidRPr="001448E3" w:rsidRDefault="00B02873" w:rsidP="001448E3">
            <w:pPr>
              <w:pStyle w:val="TableheadingleftFinancialsTables"/>
              <w:jc w:val="right"/>
              <w:rPr>
                <w:rFonts w:asciiTheme="minorHAnsi" w:hAnsiTheme="minorHAnsi" w:cstheme="minorHAnsi"/>
                <w:sz w:val="16"/>
              </w:rPr>
            </w:pPr>
            <w:r w:rsidRPr="001448E3">
              <w:rPr>
                <w:rFonts w:asciiTheme="minorHAnsi" w:hAnsiTheme="minorHAnsi" w:cstheme="minorHAnsi"/>
                <w:spacing w:val="-4"/>
                <w:sz w:val="16"/>
              </w:rPr>
              <w:t>Conservation reserves</w:t>
            </w:r>
            <w:r w:rsidRPr="001448E3">
              <w:rPr>
                <w:rFonts w:asciiTheme="minorHAnsi" w:hAnsiTheme="minorHAnsi" w:cstheme="minorHAnsi"/>
                <w:spacing w:val="-4"/>
                <w:sz w:val="16"/>
              </w:rPr>
              <w:br/>
            </w:r>
            <w:r w:rsidRPr="001448E3">
              <w:rPr>
                <w:rFonts w:asciiTheme="minorHAnsi" w:hAnsiTheme="minorHAnsi" w:cstheme="minorHAnsi"/>
                <w:sz w:val="16"/>
              </w:rPr>
              <w:t>$000</w:t>
            </w:r>
          </w:p>
        </w:tc>
        <w:tc>
          <w:tcPr>
            <w:tcW w:w="907" w:type="dxa"/>
          </w:tcPr>
          <w:p w14:paraId="02193F16" w14:textId="489351A8" w:rsidR="00B02873" w:rsidRPr="001448E3" w:rsidRDefault="00B02873" w:rsidP="001448E3">
            <w:pPr>
              <w:pStyle w:val="TableheadingleftFinancialsTables"/>
              <w:jc w:val="right"/>
              <w:rPr>
                <w:rFonts w:asciiTheme="minorHAnsi" w:hAnsiTheme="minorHAnsi" w:cstheme="minorHAnsi"/>
                <w:sz w:val="16"/>
              </w:rPr>
            </w:pPr>
            <w:r w:rsidRPr="001448E3">
              <w:rPr>
                <w:rFonts w:asciiTheme="minorHAnsi" w:hAnsiTheme="minorHAnsi" w:cstheme="minorHAnsi"/>
                <w:spacing w:val="-4"/>
                <w:sz w:val="16"/>
              </w:rPr>
              <w:t>Metro</w:t>
            </w:r>
            <w:r w:rsidR="00B6580C">
              <w:rPr>
                <w:rFonts w:asciiTheme="minorHAnsi" w:hAnsiTheme="minorHAnsi" w:cstheme="minorHAnsi"/>
                <w:spacing w:val="-4"/>
                <w:sz w:val="16"/>
              </w:rPr>
              <w:t>-</w:t>
            </w:r>
            <w:r w:rsidRPr="001448E3">
              <w:rPr>
                <w:rFonts w:asciiTheme="minorHAnsi" w:hAnsiTheme="minorHAnsi" w:cstheme="minorHAnsi"/>
                <w:spacing w:val="-4"/>
                <w:sz w:val="16"/>
              </w:rPr>
              <w:br/>
              <w:t>politan parks</w:t>
            </w:r>
            <w:r w:rsidRPr="001448E3">
              <w:rPr>
                <w:rFonts w:asciiTheme="minorHAnsi" w:hAnsiTheme="minorHAnsi" w:cstheme="minorHAnsi"/>
                <w:spacing w:val="-4"/>
                <w:sz w:val="16"/>
              </w:rPr>
              <w:br/>
            </w:r>
            <w:r w:rsidRPr="001448E3">
              <w:rPr>
                <w:rFonts w:asciiTheme="minorHAnsi" w:hAnsiTheme="minorHAnsi" w:cstheme="minorHAnsi"/>
                <w:sz w:val="16"/>
              </w:rPr>
              <w:t>$000</w:t>
            </w:r>
          </w:p>
        </w:tc>
        <w:tc>
          <w:tcPr>
            <w:tcW w:w="964" w:type="dxa"/>
          </w:tcPr>
          <w:p w14:paraId="1D95ED56" w14:textId="77777777" w:rsidR="00B02873" w:rsidRPr="001448E3" w:rsidRDefault="00B02873" w:rsidP="001448E3">
            <w:pPr>
              <w:pStyle w:val="TableheadingleftFinancialsTables"/>
              <w:jc w:val="right"/>
              <w:rPr>
                <w:rFonts w:asciiTheme="minorHAnsi" w:hAnsiTheme="minorHAnsi" w:cstheme="minorHAnsi"/>
                <w:sz w:val="16"/>
              </w:rPr>
            </w:pPr>
            <w:r w:rsidRPr="001448E3">
              <w:rPr>
                <w:rFonts w:asciiTheme="minorHAnsi" w:hAnsiTheme="minorHAnsi" w:cstheme="minorHAnsi"/>
                <w:spacing w:val="-7"/>
                <w:sz w:val="16"/>
              </w:rPr>
              <w:t>Land used for operational purposes</w:t>
            </w:r>
            <w:r w:rsidRPr="001448E3">
              <w:rPr>
                <w:rFonts w:asciiTheme="minorHAnsi" w:hAnsiTheme="minorHAnsi" w:cstheme="minorHAnsi"/>
                <w:spacing w:val="-7"/>
                <w:sz w:val="16"/>
              </w:rPr>
              <w:br/>
              <w:t xml:space="preserve">$000 </w:t>
            </w:r>
          </w:p>
        </w:tc>
        <w:tc>
          <w:tcPr>
            <w:tcW w:w="907" w:type="dxa"/>
          </w:tcPr>
          <w:p w14:paraId="1BBEB485" w14:textId="77777777" w:rsidR="00B02873" w:rsidRPr="001448E3" w:rsidRDefault="00B02873" w:rsidP="001448E3">
            <w:pPr>
              <w:pStyle w:val="TableheadingleftFinancialsTables"/>
              <w:jc w:val="right"/>
              <w:rPr>
                <w:rFonts w:asciiTheme="minorHAnsi" w:hAnsiTheme="minorHAnsi" w:cstheme="minorHAnsi"/>
                <w:sz w:val="16"/>
              </w:rPr>
            </w:pPr>
            <w:r w:rsidRPr="001448E3">
              <w:rPr>
                <w:rFonts w:asciiTheme="minorHAnsi" w:hAnsiTheme="minorHAnsi" w:cstheme="minorHAnsi"/>
                <w:sz w:val="16"/>
              </w:rPr>
              <w:t>Land purchase in progress</w:t>
            </w:r>
            <w:r w:rsidRPr="001448E3">
              <w:rPr>
                <w:rFonts w:asciiTheme="minorHAnsi" w:hAnsiTheme="minorHAnsi" w:cstheme="minorHAnsi"/>
                <w:sz w:val="16"/>
              </w:rPr>
              <w:br/>
              <w:t xml:space="preserve">$000 </w:t>
            </w:r>
          </w:p>
        </w:tc>
        <w:tc>
          <w:tcPr>
            <w:tcW w:w="907" w:type="dxa"/>
          </w:tcPr>
          <w:p w14:paraId="7E20063D" w14:textId="77777777" w:rsidR="00B02873" w:rsidRPr="001448E3" w:rsidRDefault="00B02873" w:rsidP="001448E3">
            <w:pPr>
              <w:pStyle w:val="TableheadingleftFinancialsTables"/>
              <w:jc w:val="right"/>
              <w:rPr>
                <w:rFonts w:asciiTheme="minorHAnsi" w:hAnsiTheme="minorHAnsi" w:cstheme="minorHAnsi"/>
                <w:sz w:val="16"/>
              </w:rPr>
            </w:pPr>
            <w:r w:rsidRPr="001448E3">
              <w:rPr>
                <w:rFonts w:asciiTheme="minorHAnsi" w:hAnsiTheme="minorHAnsi" w:cstheme="minorHAnsi"/>
                <w:spacing w:val="-7"/>
                <w:sz w:val="16"/>
              </w:rPr>
              <w:t>Buildings and structures</w:t>
            </w:r>
            <w:r w:rsidRPr="001448E3">
              <w:rPr>
                <w:rFonts w:asciiTheme="minorHAnsi" w:hAnsiTheme="minorHAnsi" w:cstheme="minorHAnsi"/>
                <w:spacing w:val="-7"/>
                <w:sz w:val="16"/>
              </w:rPr>
              <w:br/>
              <w:t>$000</w:t>
            </w:r>
          </w:p>
        </w:tc>
        <w:tc>
          <w:tcPr>
            <w:tcW w:w="907" w:type="dxa"/>
          </w:tcPr>
          <w:p w14:paraId="2D9C4DA5" w14:textId="77777777" w:rsidR="00B02873" w:rsidRPr="001448E3" w:rsidRDefault="00B02873" w:rsidP="001448E3">
            <w:pPr>
              <w:pStyle w:val="TableheadingleftFinancialsTables"/>
              <w:jc w:val="right"/>
              <w:rPr>
                <w:rFonts w:asciiTheme="minorHAnsi" w:hAnsiTheme="minorHAnsi" w:cstheme="minorHAnsi"/>
                <w:sz w:val="16"/>
              </w:rPr>
            </w:pPr>
            <w:r w:rsidRPr="001448E3">
              <w:rPr>
                <w:rFonts w:asciiTheme="minorHAnsi" w:hAnsiTheme="minorHAnsi" w:cstheme="minorHAnsi"/>
                <w:spacing w:val="-6"/>
                <w:sz w:val="16"/>
              </w:rPr>
              <w:t>RoU buildings and structures</w:t>
            </w:r>
            <w:r w:rsidRPr="001448E3">
              <w:rPr>
                <w:rFonts w:asciiTheme="minorHAnsi" w:hAnsiTheme="minorHAnsi" w:cstheme="minorHAnsi"/>
                <w:spacing w:val="-6"/>
                <w:sz w:val="16"/>
              </w:rPr>
              <w:br/>
              <w:t>$000</w:t>
            </w:r>
          </w:p>
        </w:tc>
        <w:tc>
          <w:tcPr>
            <w:tcW w:w="907" w:type="dxa"/>
          </w:tcPr>
          <w:p w14:paraId="605B739A" w14:textId="77777777" w:rsidR="00B02873" w:rsidRPr="001448E3" w:rsidRDefault="00B02873" w:rsidP="001448E3">
            <w:pPr>
              <w:pStyle w:val="TableheadingleftFinancialsTables"/>
              <w:jc w:val="right"/>
              <w:rPr>
                <w:rFonts w:asciiTheme="minorHAnsi" w:hAnsiTheme="minorHAnsi" w:cstheme="minorHAnsi"/>
                <w:sz w:val="16"/>
              </w:rPr>
            </w:pPr>
            <w:r w:rsidRPr="001448E3">
              <w:rPr>
                <w:rFonts w:asciiTheme="minorHAnsi" w:hAnsiTheme="minorHAnsi" w:cstheme="minorHAnsi"/>
                <w:sz w:val="16"/>
              </w:rPr>
              <w:t>Roads</w:t>
            </w:r>
            <w:r w:rsidRPr="001448E3">
              <w:rPr>
                <w:rFonts w:asciiTheme="minorHAnsi" w:hAnsiTheme="minorHAnsi" w:cstheme="minorHAnsi"/>
                <w:sz w:val="16"/>
              </w:rPr>
              <w:br/>
              <w:t>$000</w:t>
            </w:r>
          </w:p>
        </w:tc>
        <w:tc>
          <w:tcPr>
            <w:tcW w:w="993" w:type="dxa"/>
          </w:tcPr>
          <w:p w14:paraId="2F6ED1C8" w14:textId="77777777" w:rsidR="00B02873" w:rsidRPr="001448E3" w:rsidRDefault="00B02873" w:rsidP="001448E3">
            <w:pPr>
              <w:pStyle w:val="TableheadingleftFinancialsTables"/>
              <w:jc w:val="right"/>
              <w:rPr>
                <w:rFonts w:asciiTheme="minorHAnsi" w:hAnsiTheme="minorHAnsi" w:cstheme="minorHAnsi"/>
                <w:sz w:val="16"/>
              </w:rPr>
            </w:pPr>
            <w:r w:rsidRPr="001448E3">
              <w:rPr>
                <w:rFonts w:asciiTheme="minorHAnsi" w:hAnsiTheme="minorHAnsi" w:cstheme="minorHAnsi"/>
                <w:sz w:val="16"/>
              </w:rPr>
              <w:t xml:space="preserve">Plant and </w:t>
            </w:r>
            <w:r w:rsidRPr="001448E3">
              <w:rPr>
                <w:rFonts w:asciiTheme="minorHAnsi" w:hAnsiTheme="minorHAnsi" w:cstheme="minorHAnsi"/>
                <w:sz w:val="16"/>
              </w:rPr>
              <w:br/>
              <w:t>equipment</w:t>
            </w:r>
            <w:r w:rsidRPr="001448E3">
              <w:rPr>
                <w:rFonts w:asciiTheme="minorHAnsi" w:hAnsiTheme="minorHAnsi" w:cstheme="minorHAnsi"/>
                <w:sz w:val="16"/>
              </w:rPr>
              <w:br/>
              <w:t>$000</w:t>
            </w:r>
          </w:p>
        </w:tc>
        <w:tc>
          <w:tcPr>
            <w:tcW w:w="907" w:type="dxa"/>
          </w:tcPr>
          <w:p w14:paraId="4972C2A4" w14:textId="77777777" w:rsidR="00B02873" w:rsidRPr="001448E3" w:rsidRDefault="00B02873" w:rsidP="001448E3">
            <w:pPr>
              <w:pStyle w:val="TableheadingleftFinancialsTables"/>
              <w:jc w:val="right"/>
              <w:rPr>
                <w:rFonts w:asciiTheme="minorHAnsi" w:hAnsiTheme="minorHAnsi" w:cstheme="minorHAnsi"/>
                <w:sz w:val="16"/>
              </w:rPr>
            </w:pPr>
            <w:r w:rsidRPr="001448E3">
              <w:rPr>
                <w:rFonts w:asciiTheme="minorHAnsi" w:hAnsiTheme="minorHAnsi" w:cstheme="minorHAnsi"/>
                <w:sz w:val="16"/>
              </w:rPr>
              <w:t>Total</w:t>
            </w:r>
            <w:r w:rsidRPr="001448E3">
              <w:rPr>
                <w:rFonts w:asciiTheme="minorHAnsi" w:hAnsiTheme="minorHAnsi" w:cstheme="minorHAnsi"/>
                <w:sz w:val="16"/>
              </w:rPr>
              <w:br/>
              <w:t>$000</w:t>
            </w:r>
          </w:p>
        </w:tc>
      </w:tr>
      <w:tr w:rsidR="00B02873" w:rsidRPr="000B39FD" w14:paraId="0F155E8D" w14:textId="77777777" w:rsidTr="003745F6">
        <w:tc>
          <w:tcPr>
            <w:tcW w:w="3061" w:type="dxa"/>
          </w:tcPr>
          <w:p w14:paraId="2A9C0A00" w14:textId="77777777" w:rsidR="00B02873" w:rsidRPr="000B39FD" w:rsidRDefault="00B02873" w:rsidP="001448E3">
            <w:pPr>
              <w:pStyle w:val="TablebodyleftFinancialsTables"/>
              <w:rPr>
                <w:rFonts w:asciiTheme="minorHAnsi" w:hAnsiTheme="minorHAnsi" w:cstheme="minorHAnsi"/>
                <w:b/>
                <w:bCs/>
                <w:sz w:val="16"/>
              </w:rPr>
            </w:pPr>
            <w:r w:rsidRPr="000B39FD">
              <w:rPr>
                <w:rFonts w:asciiTheme="minorHAnsi" w:hAnsiTheme="minorHAnsi" w:cstheme="minorHAnsi"/>
                <w:b/>
                <w:bCs/>
                <w:sz w:val="16"/>
              </w:rPr>
              <w:t>Balance at 1 July 2021</w:t>
            </w:r>
          </w:p>
        </w:tc>
        <w:tc>
          <w:tcPr>
            <w:tcW w:w="908" w:type="dxa"/>
          </w:tcPr>
          <w:p w14:paraId="3F385999" w14:textId="77777777" w:rsidR="00B02873" w:rsidRPr="000B39FD" w:rsidRDefault="00B02873" w:rsidP="001448E3">
            <w:pPr>
              <w:pStyle w:val="TablebodyleftFinancialsTables"/>
              <w:jc w:val="right"/>
              <w:rPr>
                <w:rFonts w:asciiTheme="minorHAnsi" w:hAnsiTheme="minorHAnsi" w:cstheme="minorHAnsi"/>
                <w:b/>
                <w:bCs/>
                <w:sz w:val="16"/>
              </w:rPr>
            </w:pPr>
            <w:r w:rsidRPr="000B39FD">
              <w:rPr>
                <w:rFonts w:asciiTheme="minorHAnsi" w:hAnsiTheme="minorHAnsi" w:cstheme="minorHAnsi"/>
                <w:b/>
                <w:bCs/>
                <w:sz w:val="16"/>
              </w:rPr>
              <w:t>15,923</w:t>
            </w:r>
          </w:p>
        </w:tc>
        <w:tc>
          <w:tcPr>
            <w:tcW w:w="907" w:type="dxa"/>
          </w:tcPr>
          <w:p w14:paraId="6FD213E0" w14:textId="77777777" w:rsidR="00B02873" w:rsidRPr="000B39FD" w:rsidRDefault="00B02873" w:rsidP="001448E3">
            <w:pPr>
              <w:pStyle w:val="TablebodyleftFinancialsTables"/>
              <w:jc w:val="right"/>
              <w:rPr>
                <w:rFonts w:asciiTheme="minorHAnsi" w:hAnsiTheme="minorHAnsi" w:cstheme="minorHAnsi"/>
                <w:b/>
                <w:bCs/>
                <w:sz w:val="16"/>
              </w:rPr>
            </w:pPr>
            <w:r w:rsidRPr="000B39FD">
              <w:rPr>
                <w:rFonts w:asciiTheme="minorHAnsi" w:hAnsiTheme="minorHAnsi" w:cstheme="minorHAnsi"/>
                <w:b/>
                <w:bCs/>
                <w:sz w:val="16"/>
              </w:rPr>
              <w:t>3,764,210</w:t>
            </w:r>
          </w:p>
        </w:tc>
        <w:tc>
          <w:tcPr>
            <w:tcW w:w="907" w:type="dxa"/>
          </w:tcPr>
          <w:p w14:paraId="69517BA6" w14:textId="77777777" w:rsidR="00B02873" w:rsidRPr="000B39FD" w:rsidRDefault="00B02873" w:rsidP="001448E3">
            <w:pPr>
              <w:pStyle w:val="TablebodyleftFinancialsTables"/>
              <w:jc w:val="right"/>
              <w:rPr>
                <w:rFonts w:asciiTheme="minorHAnsi" w:hAnsiTheme="minorHAnsi" w:cstheme="minorHAnsi"/>
                <w:b/>
                <w:bCs/>
                <w:sz w:val="16"/>
              </w:rPr>
            </w:pPr>
            <w:r w:rsidRPr="000B39FD">
              <w:rPr>
                <w:rFonts w:asciiTheme="minorHAnsi" w:hAnsiTheme="minorHAnsi" w:cstheme="minorHAnsi"/>
                <w:b/>
                <w:bCs/>
                <w:sz w:val="16"/>
              </w:rPr>
              <w:t>4,413</w:t>
            </w:r>
          </w:p>
        </w:tc>
        <w:tc>
          <w:tcPr>
            <w:tcW w:w="907" w:type="dxa"/>
          </w:tcPr>
          <w:p w14:paraId="76017222" w14:textId="77777777" w:rsidR="00B02873" w:rsidRPr="000B39FD" w:rsidRDefault="00B02873" w:rsidP="001448E3">
            <w:pPr>
              <w:pStyle w:val="TablebodyleftFinancialsTables"/>
              <w:jc w:val="right"/>
              <w:rPr>
                <w:rFonts w:asciiTheme="minorHAnsi" w:hAnsiTheme="minorHAnsi" w:cstheme="minorHAnsi"/>
                <w:b/>
                <w:bCs/>
                <w:sz w:val="16"/>
              </w:rPr>
            </w:pPr>
            <w:r w:rsidRPr="000B39FD">
              <w:rPr>
                <w:rFonts w:asciiTheme="minorHAnsi" w:hAnsiTheme="minorHAnsi" w:cstheme="minorHAnsi"/>
                <w:b/>
                <w:bCs/>
                <w:sz w:val="16"/>
              </w:rPr>
              <w:t>2,193,034</w:t>
            </w:r>
          </w:p>
        </w:tc>
        <w:tc>
          <w:tcPr>
            <w:tcW w:w="1130" w:type="dxa"/>
          </w:tcPr>
          <w:p w14:paraId="30847298" w14:textId="77777777" w:rsidR="00B02873" w:rsidRPr="000B39FD" w:rsidRDefault="00B02873" w:rsidP="001448E3">
            <w:pPr>
              <w:pStyle w:val="TablebodyleftFinancialsTables"/>
              <w:jc w:val="right"/>
              <w:rPr>
                <w:rFonts w:asciiTheme="minorHAnsi" w:hAnsiTheme="minorHAnsi" w:cstheme="minorHAnsi"/>
                <w:b/>
                <w:bCs/>
                <w:sz w:val="16"/>
              </w:rPr>
            </w:pPr>
            <w:r w:rsidRPr="000B39FD">
              <w:rPr>
                <w:rFonts w:asciiTheme="minorHAnsi" w:hAnsiTheme="minorHAnsi" w:cstheme="minorHAnsi"/>
                <w:b/>
                <w:bCs/>
                <w:sz w:val="16"/>
              </w:rPr>
              <w:t>90,533</w:t>
            </w:r>
          </w:p>
        </w:tc>
        <w:tc>
          <w:tcPr>
            <w:tcW w:w="907" w:type="dxa"/>
          </w:tcPr>
          <w:p w14:paraId="642D0EF4" w14:textId="77777777" w:rsidR="00B02873" w:rsidRPr="000B39FD" w:rsidRDefault="00B02873" w:rsidP="001448E3">
            <w:pPr>
              <w:pStyle w:val="TablebodyleftFinancialsTables"/>
              <w:jc w:val="right"/>
              <w:rPr>
                <w:rFonts w:asciiTheme="minorHAnsi" w:hAnsiTheme="minorHAnsi" w:cstheme="minorHAnsi"/>
                <w:b/>
                <w:bCs/>
                <w:sz w:val="16"/>
              </w:rPr>
            </w:pPr>
            <w:r w:rsidRPr="000B39FD">
              <w:rPr>
                <w:rFonts w:asciiTheme="minorHAnsi" w:hAnsiTheme="minorHAnsi" w:cstheme="minorHAnsi"/>
                <w:b/>
                <w:bCs/>
                <w:sz w:val="16"/>
              </w:rPr>
              <w:t>7,870</w:t>
            </w:r>
          </w:p>
        </w:tc>
        <w:tc>
          <w:tcPr>
            <w:tcW w:w="964" w:type="dxa"/>
          </w:tcPr>
          <w:p w14:paraId="2FA38966" w14:textId="77777777" w:rsidR="00B02873" w:rsidRPr="000B39FD" w:rsidRDefault="00B02873" w:rsidP="001448E3">
            <w:pPr>
              <w:pStyle w:val="TablebodyleftFinancialsTables"/>
              <w:jc w:val="right"/>
              <w:rPr>
                <w:rFonts w:asciiTheme="minorHAnsi" w:hAnsiTheme="minorHAnsi" w:cstheme="minorHAnsi"/>
                <w:b/>
                <w:bCs/>
                <w:sz w:val="16"/>
              </w:rPr>
            </w:pPr>
            <w:r w:rsidRPr="000B39FD">
              <w:rPr>
                <w:rFonts w:asciiTheme="minorHAnsi" w:hAnsiTheme="minorHAnsi" w:cstheme="minorHAnsi"/>
                <w:b/>
                <w:bCs/>
                <w:sz w:val="16"/>
              </w:rPr>
              <w:t>48,542</w:t>
            </w:r>
          </w:p>
        </w:tc>
        <w:tc>
          <w:tcPr>
            <w:tcW w:w="907" w:type="dxa"/>
          </w:tcPr>
          <w:p w14:paraId="2FDAD0F8" w14:textId="77777777" w:rsidR="00B02873" w:rsidRPr="000B39FD" w:rsidRDefault="00B02873" w:rsidP="001448E3">
            <w:pPr>
              <w:pStyle w:val="TablebodyleftFinancialsTables"/>
              <w:jc w:val="right"/>
              <w:rPr>
                <w:rFonts w:asciiTheme="minorHAnsi" w:hAnsiTheme="minorHAnsi" w:cstheme="minorHAnsi"/>
                <w:b/>
                <w:bCs/>
                <w:sz w:val="16"/>
              </w:rPr>
            </w:pPr>
            <w:r w:rsidRPr="000B39FD">
              <w:rPr>
                <w:rFonts w:asciiTheme="minorHAnsi" w:hAnsiTheme="minorHAnsi" w:cstheme="minorHAnsi"/>
                <w:b/>
                <w:bCs/>
                <w:sz w:val="16"/>
              </w:rPr>
              <w:t>50,150</w:t>
            </w:r>
          </w:p>
        </w:tc>
        <w:tc>
          <w:tcPr>
            <w:tcW w:w="907" w:type="dxa"/>
          </w:tcPr>
          <w:p w14:paraId="788F756F" w14:textId="77777777" w:rsidR="00B02873" w:rsidRPr="000B39FD" w:rsidRDefault="00B02873" w:rsidP="001448E3">
            <w:pPr>
              <w:pStyle w:val="TablebodyleftFinancialsTables"/>
              <w:jc w:val="right"/>
              <w:rPr>
                <w:rFonts w:asciiTheme="minorHAnsi" w:hAnsiTheme="minorHAnsi" w:cstheme="minorHAnsi"/>
                <w:b/>
                <w:bCs/>
                <w:sz w:val="16"/>
              </w:rPr>
            </w:pPr>
            <w:r w:rsidRPr="000B39FD">
              <w:rPr>
                <w:rFonts w:asciiTheme="minorHAnsi" w:hAnsiTheme="minorHAnsi" w:cstheme="minorHAnsi"/>
                <w:b/>
                <w:bCs/>
                <w:sz w:val="16"/>
              </w:rPr>
              <w:t>683,374</w:t>
            </w:r>
          </w:p>
        </w:tc>
        <w:tc>
          <w:tcPr>
            <w:tcW w:w="907" w:type="dxa"/>
          </w:tcPr>
          <w:p w14:paraId="32991E22" w14:textId="77777777" w:rsidR="00B02873" w:rsidRPr="000B39FD" w:rsidRDefault="00B02873" w:rsidP="001448E3">
            <w:pPr>
              <w:pStyle w:val="TablebodyleftFinancialsTables"/>
              <w:jc w:val="right"/>
              <w:rPr>
                <w:rFonts w:asciiTheme="minorHAnsi" w:hAnsiTheme="minorHAnsi" w:cstheme="minorHAnsi"/>
                <w:b/>
                <w:bCs/>
                <w:sz w:val="16"/>
              </w:rPr>
            </w:pPr>
            <w:r w:rsidRPr="000B39FD">
              <w:rPr>
                <w:rFonts w:asciiTheme="minorHAnsi" w:hAnsiTheme="minorHAnsi" w:cstheme="minorHAnsi"/>
                <w:b/>
                <w:bCs/>
                <w:sz w:val="16"/>
              </w:rPr>
              <w:t>2,527</w:t>
            </w:r>
          </w:p>
        </w:tc>
        <w:tc>
          <w:tcPr>
            <w:tcW w:w="907" w:type="dxa"/>
          </w:tcPr>
          <w:p w14:paraId="3725CD1A" w14:textId="77777777" w:rsidR="00B02873" w:rsidRPr="000B39FD" w:rsidRDefault="00B02873" w:rsidP="001448E3">
            <w:pPr>
              <w:pStyle w:val="TablebodyleftFinancialsTables"/>
              <w:jc w:val="right"/>
              <w:rPr>
                <w:rFonts w:asciiTheme="minorHAnsi" w:hAnsiTheme="minorHAnsi" w:cstheme="minorHAnsi"/>
                <w:b/>
                <w:bCs/>
                <w:sz w:val="16"/>
              </w:rPr>
            </w:pPr>
            <w:r w:rsidRPr="000B39FD">
              <w:rPr>
                <w:rFonts w:asciiTheme="minorHAnsi" w:hAnsiTheme="minorHAnsi" w:cstheme="minorHAnsi"/>
                <w:b/>
                <w:bCs/>
                <w:sz w:val="16"/>
              </w:rPr>
              <w:t>771,940</w:t>
            </w:r>
          </w:p>
        </w:tc>
        <w:tc>
          <w:tcPr>
            <w:tcW w:w="993" w:type="dxa"/>
          </w:tcPr>
          <w:p w14:paraId="403A349D" w14:textId="77777777" w:rsidR="00B02873" w:rsidRPr="000B39FD" w:rsidRDefault="00B02873" w:rsidP="001448E3">
            <w:pPr>
              <w:pStyle w:val="TablebodyleftFinancialsTables"/>
              <w:jc w:val="right"/>
              <w:rPr>
                <w:rFonts w:asciiTheme="minorHAnsi" w:hAnsiTheme="minorHAnsi" w:cstheme="minorHAnsi"/>
                <w:b/>
                <w:bCs/>
                <w:sz w:val="16"/>
              </w:rPr>
            </w:pPr>
            <w:r w:rsidRPr="000B39FD">
              <w:rPr>
                <w:rFonts w:asciiTheme="minorHAnsi" w:hAnsiTheme="minorHAnsi" w:cstheme="minorHAnsi"/>
                <w:b/>
                <w:bCs/>
                <w:sz w:val="16"/>
              </w:rPr>
              <w:t>69,409</w:t>
            </w:r>
          </w:p>
        </w:tc>
        <w:tc>
          <w:tcPr>
            <w:tcW w:w="907" w:type="dxa"/>
          </w:tcPr>
          <w:p w14:paraId="14014088" w14:textId="77777777" w:rsidR="00B02873" w:rsidRPr="000B39FD" w:rsidRDefault="00B02873" w:rsidP="001448E3">
            <w:pPr>
              <w:pStyle w:val="TablebodyleftFinancialsTables"/>
              <w:jc w:val="right"/>
              <w:rPr>
                <w:rFonts w:asciiTheme="minorHAnsi" w:hAnsiTheme="minorHAnsi" w:cstheme="minorHAnsi"/>
                <w:b/>
                <w:bCs/>
                <w:sz w:val="16"/>
              </w:rPr>
            </w:pPr>
            <w:r w:rsidRPr="000B39FD">
              <w:rPr>
                <w:rFonts w:asciiTheme="minorHAnsi" w:hAnsiTheme="minorHAnsi" w:cstheme="minorHAnsi"/>
                <w:b/>
                <w:bCs/>
                <w:sz w:val="16"/>
              </w:rPr>
              <w:t>7,701,925</w:t>
            </w:r>
          </w:p>
        </w:tc>
      </w:tr>
      <w:tr w:rsidR="00B02873" w:rsidRPr="001448E3" w14:paraId="192F4A2C" w14:textId="77777777" w:rsidTr="003745F6">
        <w:tc>
          <w:tcPr>
            <w:tcW w:w="3061" w:type="dxa"/>
          </w:tcPr>
          <w:p w14:paraId="41D90317" w14:textId="77777777" w:rsidR="00B02873" w:rsidRPr="001448E3" w:rsidRDefault="00B02873" w:rsidP="001448E3">
            <w:pPr>
              <w:pStyle w:val="TablebodyleftFinancialsTables"/>
              <w:rPr>
                <w:rFonts w:asciiTheme="minorHAnsi" w:hAnsiTheme="minorHAnsi" w:cstheme="minorHAnsi"/>
                <w:sz w:val="16"/>
              </w:rPr>
            </w:pPr>
            <w:r w:rsidRPr="001448E3">
              <w:rPr>
                <w:rFonts w:asciiTheme="minorHAnsi" w:hAnsiTheme="minorHAnsi" w:cstheme="minorHAnsi"/>
                <w:sz w:val="16"/>
              </w:rPr>
              <w:t>Purchases/(sales)</w:t>
            </w:r>
          </w:p>
        </w:tc>
        <w:tc>
          <w:tcPr>
            <w:tcW w:w="908" w:type="dxa"/>
          </w:tcPr>
          <w:p w14:paraId="3D586837"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w:t>
            </w:r>
          </w:p>
        </w:tc>
        <w:tc>
          <w:tcPr>
            <w:tcW w:w="907" w:type="dxa"/>
          </w:tcPr>
          <w:p w14:paraId="03A2DE2D"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42,949</w:t>
            </w:r>
          </w:p>
        </w:tc>
        <w:tc>
          <w:tcPr>
            <w:tcW w:w="907" w:type="dxa"/>
          </w:tcPr>
          <w:p w14:paraId="1A320FCF"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w:t>
            </w:r>
          </w:p>
        </w:tc>
        <w:tc>
          <w:tcPr>
            <w:tcW w:w="907" w:type="dxa"/>
          </w:tcPr>
          <w:p w14:paraId="0D95392A"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1,421</w:t>
            </w:r>
          </w:p>
        </w:tc>
        <w:tc>
          <w:tcPr>
            <w:tcW w:w="1130" w:type="dxa"/>
          </w:tcPr>
          <w:p w14:paraId="30BEC63E"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7,444</w:t>
            </w:r>
          </w:p>
        </w:tc>
        <w:tc>
          <w:tcPr>
            <w:tcW w:w="907" w:type="dxa"/>
          </w:tcPr>
          <w:p w14:paraId="21C80507"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w:t>
            </w:r>
          </w:p>
        </w:tc>
        <w:tc>
          <w:tcPr>
            <w:tcW w:w="964" w:type="dxa"/>
          </w:tcPr>
          <w:p w14:paraId="1175A27B"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w:t>
            </w:r>
          </w:p>
        </w:tc>
        <w:tc>
          <w:tcPr>
            <w:tcW w:w="907" w:type="dxa"/>
          </w:tcPr>
          <w:p w14:paraId="68E7005A"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137,814</w:t>
            </w:r>
          </w:p>
        </w:tc>
        <w:tc>
          <w:tcPr>
            <w:tcW w:w="907" w:type="dxa"/>
          </w:tcPr>
          <w:p w14:paraId="01057B54"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1,650</w:t>
            </w:r>
          </w:p>
        </w:tc>
        <w:tc>
          <w:tcPr>
            <w:tcW w:w="907" w:type="dxa"/>
          </w:tcPr>
          <w:p w14:paraId="4A58F7F1"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w:t>
            </w:r>
          </w:p>
        </w:tc>
        <w:tc>
          <w:tcPr>
            <w:tcW w:w="907" w:type="dxa"/>
          </w:tcPr>
          <w:p w14:paraId="522CBBC2"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1,080</w:t>
            </w:r>
          </w:p>
        </w:tc>
        <w:tc>
          <w:tcPr>
            <w:tcW w:w="993" w:type="dxa"/>
          </w:tcPr>
          <w:p w14:paraId="192BD34D"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3,997</w:t>
            </w:r>
          </w:p>
        </w:tc>
        <w:tc>
          <w:tcPr>
            <w:tcW w:w="907" w:type="dxa"/>
          </w:tcPr>
          <w:p w14:paraId="4155F1F0"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196,355</w:t>
            </w:r>
          </w:p>
        </w:tc>
      </w:tr>
      <w:tr w:rsidR="00B02873" w:rsidRPr="001448E3" w14:paraId="5DC84FA9" w14:textId="77777777" w:rsidTr="003745F6">
        <w:tc>
          <w:tcPr>
            <w:tcW w:w="3061" w:type="dxa"/>
          </w:tcPr>
          <w:p w14:paraId="463D467C" w14:textId="77777777" w:rsidR="00B02873" w:rsidRPr="001448E3" w:rsidRDefault="00B02873" w:rsidP="001448E3">
            <w:pPr>
              <w:pStyle w:val="TablebodyleftFinancialsTables"/>
              <w:rPr>
                <w:rFonts w:asciiTheme="minorHAnsi" w:hAnsiTheme="minorHAnsi" w:cstheme="minorHAnsi"/>
                <w:sz w:val="16"/>
              </w:rPr>
            </w:pPr>
            <w:r w:rsidRPr="001448E3">
              <w:rPr>
                <w:rFonts w:asciiTheme="minorHAnsi" w:hAnsiTheme="minorHAnsi" w:cstheme="minorHAnsi"/>
                <w:spacing w:val="-1"/>
                <w:sz w:val="16"/>
              </w:rPr>
              <w:t>Transfers in/(out) of Level 3 – assets classified as held for sale (Note 5.2)</w:t>
            </w:r>
          </w:p>
        </w:tc>
        <w:tc>
          <w:tcPr>
            <w:tcW w:w="908" w:type="dxa"/>
          </w:tcPr>
          <w:p w14:paraId="37C5EE58"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w:t>
            </w:r>
          </w:p>
        </w:tc>
        <w:tc>
          <w:tcPr>
            <w:tcW w:w="907" w:type="dxa"/>
          </w:tcPr>
          <w:p w14:paraId="3F558401"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(294)</w:t>
            </w:r>
          </w:p>
        </w:tc>
        <w:tc>
          <w:tcPr>
            <w:tcW w:w="907" w:type="dxa"/>
          </w:tcPr>
          <w:p w14:paraId="4EB5F2A1"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w:t>
            </w:r>
          </w:p>
        </w:tc>
        <w:tc>
          <w:tcPr>
            <w:tcW w:w="907" w:type="dxa"/>
          </w:tcPr>
          <w:p w14:paraId="3529E347"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w:t>
            </w:r>
          </w:p>
        </w:tc>
        <w:tc>
          <w:tcPr>
            <w:tcW w:w="1130" w:type="dxa"/>
          </w:tcPr>
          <w:p w14:paraId="2300FE00"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w:t>
            </w:r>
          </w:p>
        </w:tc>
        <w:tc>
          <w:tcPr>
            <w:tcW w:w="907" w:type="dxa"/>
          </w:tcPr>
          <w:p w14:paraId="781D0C5B"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w:t>
            </w:r>
          </w:p>
        </w:tc>
        <w:tc>
          <w:tcPr>
            <w:tcW w:w="964" w:type="dxa"/>
          </w:tcPr>
          <w:p w14:paraId="0D6FEE68"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w:t>
            </w:r>
          </w:p>
        </w:tc>
        <w:tc>
          <w:tcPr>
            <w:tcW w:w="907" w:type="dxa"/>
          </w:tcPr>
          <w:p w14:paraId="1A19BC43"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w:t>
            </w:r>
          </w:p>
        </w:tc>
        <w:tc>
          <w:tcPr>
            <w:tcW w:w="907" w:type="dxa"/>
          </w:tcPr>
          <w:p w14:paraId="68581DD2"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w:t>
            </w:r>
          </w:p>
        </w:tc>
        <w:tc>
          <w:tcPr>
            <w:tcW w:w="907" w:type="dxa"/>
          </w:tcPr>
          <w:p w14:paraId="177CE612"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w:t>
            </w:r>
          </w:p>
        </w:tc>
        <w:tc>
          <w:tcPr>
            <w:tcW w:w="907" w:type="dxa"/>
          </w:tcPr>
          <w:p w14:paraId="2D92FFC8"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w:t>
            </w:r>
          </w:p>
        </w:tc>
        <w:tc>
          <w:tcPr>
            <w:tcW w:w="993" w:type="dxa"/>
          </w:tcPr>
          <w:p w14:paraId="7B6B5AD1"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w:t>
            </w:r>
          </w:p>
        </w:tc>
        <w:tc>
          <w:tcPr>
            <w:tcW w:w="907" w:type="dxa"/>
          </w:tcPr>
          <w:p w14:paraId="608808D9"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( 294)</w:t>
            </w:r>
          </w:p>
        </w:tc>
      </w:tr>
      <w:tr w:rsidR="00B02873" w:rsidRPr="001448E3" w14:paraId="5051C588" w14:textId="77777777" w:rsidTr="003745F6">
        <w:tc>
          <w:tcPr>
            <w:tcW w:w="3061" w:type="dxa"/>
          </w:tcPr>
          <w:p w14:paraId="68A4F6A3" w14:textId="330C6AC7" w:rsidR="00B02873" w:rsidRPr="001448E3" w:rsidRDefault="00B02873" w:rsidP="001448E3">
            <w:pPr>
              <w:pStyle w:val="TablebodyleftFinancialsTables"/>
              <w:rPr>
                <w:rFonts w:asciiTheme="minorHAnsi" w:hAnsiTheme="minorHAnsi" w:cstheme="minorHAnsi"/>
                <w:sz w:val="16"/>
              </w:rPr>
            </w:pPr>
            <w:r w:rsidRPr="001448E3">
              <w:rPr>
                <w:rFonts w:asciiTheme="minorHAnsi" w:hAnsiTheme="minorHAnsi" w:cstheme="minorHAnsi"/>
                <w:sz w:val="16"/>
              </w:rPr>
              <w:t>Transfers in/(out) – from other categories</w:t>
            </w:r>
            <w:r w:rsidRPr="001448E3">
              <w:rPr>
                <w:rFonts w:asciiTheme="minorHAnsi" w:hAnsiTheme="minorHAnsi" w:cstheme="minorHAnsi"/>
                <w:sz w:val="16"/>
                <w:vertAlign w:val="superscript"/>
              </w:rPr>
              <w:t>(i)</w:t>
            </w:r>
            <w:r w:rsidRPr="001448E3">
              <w:rPr>
                <w:rFonts w:asciiTheme="minorHAnsi" w:hAnsiTheme="minorHAnsi" w:cstheme="minorHAnsi"/>
                <w:sz w:val="16"/>
              </w:rPr>
              <w:t xml:space="preserve"> </w:t>
            </w:r>
          </w:p>
        </w:tc>
        <w:tc>
          <w:tcPr>
            <w:tcW w:w="908" w:type="dxa"/>
          </w:tcPr>
          <w:p w14:paraId="1B96A8CE"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w:t>
            </w:r>
          </w:p>
        </w:tc>
        <w:tc>
          <w:tcPr>
            <w:tcW w:w="907" w:type="dxa"/>
          </w:tcPr>
          <w:p w14:paraId="7DD6954A"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(26,006)</w:t>
            </w:r>
          </w:p>
        </w:tc>
        <w:tc>
          <w:tcPr>
            <w:tcW w:w="907" w:type="dxa"/>
          </w:tcPr>
          <w:p w14:paraId="2C2A2967"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169</w:t>
            </w:r>
          </w:p>
        </w:tc>
        <w:tc>
          <w:tcPr>
            <w:tcW w:w="907" w:type="dxa"/>
          </w:tcPr>
          <w:p w14:paraId="68830F16"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5,724</w:t>
            </w:r>
          </w:p>
        </w:tc>
        <w:tc>
          <w:tcPr>
            <w:tcW w:w="1130" w:type="dxa"/>
          </w:tcPr>
          <w:p w14:paraId="06E6A174"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(6,533)</w:t>
            </w:r>
          </w:p>
        </w:tc>
        <w:tc>
          <w:tcPr>
            <w:tcW w:w="907" w:type="dxa"/>
          </w:tcPr>
          <w:p w14:paraId="58CC862D"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(240)</w:t>
            </w:r>
          </w:p>
        </w:tc>
        <w:tc>
          <w:tcPr>
            <w:tcW w:w="964" w:type="dxa"/>
          </w:tcPr>
          <w:p w14:paraId="39445E8A"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11,628</w:t>
            </w:r>
          </w:p>
        </w:tc>
        <w:tc>
          <w:tcPr>
            <w:tcW w:w="907" w:type="dxa"/>
          </w:tcPr>
          <w:p w14:paraId="0EEBA715"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29,151</w:t>
            </w:r>
          </w:p>
        </w:tc>
        <w:tc>
          <w:tcPr>
            <w:tcW w:w="907" w:type="dxa"/>
          </w:tcPr>
          <w:p w14:paraId="01758708"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6,283</w:t>
            </w:r>
          </w:p>
        </w:tc>
        <w:tc>
          <w:tcPr>
            <w:tcW w:w="907" w:type="dxa"/>
          </w:tcPr>
          <w:p w14:paraId="14C9EC71"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w:t>
            </w:r>
          </w:p>
        </w:tc>
        <w:tc>
          <w:tcPr>
            <w:tcW w:w="907" w:type="dxa"/>
          </w:tcPr>
          <w:p w14:paraId="218056D0"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177</w:t>
            </w:r>
          </w:p>
        </w:tc>
        <w:tc>
          <w:tcPr>
            <w:tcW w:w="993" w:type="dxa"/>
          </w:tcPr>
          <w:p w14:paraId="538F2B89"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8,300</w:t>
            </w:r>
          </w:p>
        </w:tc>
        <w:tc>
          <w:tcPr>
            <w:tcW w:w="907" w:type="dxa"/>
          </w:tcPr>
          <w:p w14:paraId="36861148"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28,653</w:t>
            </w:r>
          </w:p>
        </w:tc>
      </w:tr>
      <w:tr w:rsidR="00B02873" w:rsidRPr="001448E3" w14:paraId="196C1DFF" w14:textId="77777777" w:rsidTr="003745F6">
        <w:tc>
          <w:tcPr>
            <w:tcW w:w="3061" w:type="dxa"/>
          </w:tcPr>
          <w:p w14:paraId="6C13CC18" w14:textId="77777777" w:rsidR="00B02873" w:rsidRPr="001448E3" w:rsidRDefault="00B02873" w:rsidP="001448E3">
            <w:pPr>
              <w:pStyle w:val="TablebodyleftFinancialsTables"/>
              <w:rPr>
                <w:rFonts w:asciiTheme="minorHAnsi" w:hAnsiTheme="minorHAnsi" w:cstheme="minorHAnsi"/>
                <w:sz w:val="16"/>
              </w:rPr>
            </w:pPr>
            <w:r w:rsidRPr="001448E3">
              <w:rPr>
                <w:rFonts w:asciiTheme="minorHAnsi" w:hAnsiTheme="minorHAnsi" w:cstheme="minorHAnsi"/>
                <w:sz w:val="16"/>
              </w:rPr>
              <w:t>Depreciation expense</w:t>
            </w:r>
          </w:p>
        </w:tc>
        <w:tc>
          <w:tcPr>
            <w:tcW w:w="908" w:type="dxa"/>
          </w:tcPr>
          <w:p w14:paraId="4E899ED1"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w:t>
            </w:r>
          </w:p>
        </w:tc>
        <w:tc>
          <w:tcPr>
            <w:tcW w:w="907" w:type="dxa"/>
          </w:tcPr>
          <w:p w14:paraId="109E9990"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w:t>
            </w:r>
          </w:p>
        </w:tc>
        <w:tc>
          <w:tcPr>
            <w:tcW w:w="907" w:type="dxa"/>
          </w:tcPr>
          <w:p w14:paraId="2F75D06D"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w:t>
            </w:r>
          </w:p>
        </w:tc>
        <w:tc>
          <w:tcPr>
            <w:tcW w:w="907" w:type="dxa"/>
          </w:tcPr>
          <w:p w14:paraId="55C9B864"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w:t>
            </w:r>
          </w:p>
        </w:tc>
        <w:tc>
          <w:tcPr>
            <w:tcW w:w="1130" w:type="dxa"/>
          </w:tcPr>
          <w:p w14:paraId="36B3C984"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w:t>
            </w:r>
          </w:p>
        </w:tc>
        <w:tc>
          <w:tcPr>
            <w:tcW w:w="907" w:type="dxa"/>
          </w:tcPr>
          <w:p w14:paraId="2A46AA17"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w:t>
            </w:r>
          </w:p>
        </w:tc>
        <w:tc>
          <w:tcPr>
            <w:tcW w:w="964" w:type="dxa"/>
          </w:tcPr>
          <w:p w14:paraId="73F805BA"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w:t>
            </w:r>
          </w:p>
        </w:tc>
        <w:tc>
          <w:tcPr>
            <w:tcW w:w="907" w:type="dxa"/>
          </w:tcPr>
          <w:p w14:paraId="0D009474"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w:t>
            </w:r>
          </w:p>
        </w:tc>
        <w:tc>
          <w:tcPr>
            <w:tcW w:w="907" w:type="dxa"/>
          </w:tcPr>
          <w:p w14:paraId="6A4BDE8F"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(33,635)</w:t>
            </w:r>
          </w:p>
        </w:tc>
        <w:tc>
          <w:tcPr>
            <w:tcW w:w="907" w:type="dxa"/>
          </w:tcPr>
          <w:p w14:paraId="7BA60B88"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(680)</w:t>
            </w:r>
          </w:p>
        </w:tc>
        <w:tc>
          <w:tcPr>
            <w:tcW w:w="907" w:type="dxa"/>
          </w:tcPr>
          <w:p w14:paraId="2C155CB7"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(24,057)</w:t>
            </w:r>
          </w:p>
        </w:tc>
        <w:tc>
          <w:tcPr>
            <w:tcW w:w="993" w:type="dxa"/>
          </w:tcPr>
          <w:p w14:paraId="4A929925"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(12,850)</w:t>
            </w:r>
          </w:p>
        </w:tc>
        <w:tc>
          <w:tcPr>
            <w:tcW w:w="907" w:type="dxa"/>
          </w:tcPr>
          <w:p w14:paraId="7509F0E9" w14:textId="54F8BC40"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(71,222)</w:t>
            </w:r>
            <w:r w:rsidR="00012C04" w:rsidRPr="001448E3">
              <w:rPr>
                <w:rFonts w:asciiTheme="minorHAnsi" w:hAnsiTheme="minorHAnsi" w:cstheme="minorHAnsi"/>
                <w:sz w:val="16"/>
              </w:rPr>
              <w:t xml:space="preserve"> </w:t>
            </w:r>
            <w:r w:rsidRPr="001448E3">
              <w:rPr>
                <w:rFonts w:asciiTheme="minorHAnsi" w:hAnsiTheme="minorHAnsi" w:cstheme="minorHAnsi"/>
                <w:sz w:val="16"/>
              </w:rPr>
              <w:t xml:space="preserve"> </w:t>
            </w:r>
          </w:p>
        </w:tc>
      </w:tr>
      <w:tr w:rsidR="00B02873" w:rsidRPr="001448E3" w14:paraId="4BE09BF8" w14:textId="77777777" w:rsidTr="003745F6">
        <w:tc>
          <w:tcPr>
            <w:tcW w:w="3061" w:type="dxa"/>
          </w:tcPr>
          <w:p w14:paraId="63C78325" w14:textId="77777777" w:rsidR="00B02873" w:rsidRPr="001448E3" w:rsidRDefault="00B02873" w:rsidP="001448E3">
            <w:pPr>
              <w:pStyle w:val="TablebodyleftFinancialsTables"/>
              <w:rPr>
                <w:rFonts w:asciiTheme="minorHAnsi" w:hAnsiTheme="minorHAnsi" w:cstheme="minorHAnsi"/>
                <w:sz w:val="16"/>
              </w:rPr>
            </w:pPr>
          </w:p>
        </w:tc>
        <w:tc>
          <w:tcPr>
            <w:tcW w:w="908" w:type="dxa"/>
          </w:tcPr>
          <w:p w14:paraId="77FF1587"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15,923</w:t>
            </w:r>
          </w:p>
        </w:tc>
        <w:tc>
          <w:tcPr>
            <w:tcW w:w="907" w:type="dxa"/>
          </w:tcPr>
          <w:p w14:paraId="0FE9DC40"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3,780,859</w:t>
            </w:r>
          </w:p>
        </w:tc>
        <w:tc>
          <w:tcPr>
            <w:tcW w:w="907" w:type="dxa"/>
          </w:tcPr>
          <w:p w14:paraId="19B32EA3"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4,582</w:t>
            </w:r>
          </w:p>
        </w:tc>
        <w:tc>
          <w:tcPr>
            <w:tcW w:w="907" w:type="dxa"/>
          </w:tcPr>
          <w:p w14:paraId="0A10DD37"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2,200,179</w:t>
            </w:r>
          </w:p>
        </w:tc>
        <w:tc>
          <w:tcPr>
            <w:tcW w:w="1130" w:type="dxa"/>
          </w:tcPr>
          <w:p w14:paraId="44032AB9"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91,444</w:t>
            </w:r>
          </w:p>
        </w:tc>
        <w:tc>
          <w:tcPr>
            <w:tcW w:w="907" w:type="dxa"/>
          </w:tcPr>
          <w:p w14:paraId="488AC755"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7,630</w:t>
            </w:r>
          </w:p>
        </w:tc>
        <w:tc>
          <w:tcPr>
            <w:tcW w:w="964" w:type="dxa"/>
          </w:tcPr>
          <w:p w14:paraId="0F0DF6B3"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60,170</w:t>
            </w:r>
          </w:p>
        </w:tc>
        <w:tc>
          <w:tcPr>
            <w:tcW w:w="907" w:type="dxa"/>
          </w:tcPr>
          <w:p w14:paraId="25BDFD4E"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217,115</w:t>
            </w:r>
          </w:p>
        </w:tc>
        <w:tc>
          <w:tcPr>
            <w:tcW w:w="907" w:type="dxa"/>
          </w:tcPr>
          <w:p w14:paraId="04AB6FBB"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657,672</w:t>
            </w:r>
          </w:p>
        </w:tc>
        <w:tc>
          <w:tcPr>
            <w:tcW w:w="907" w:type="dxa"/>
          </w:tcPr>
          <w:p w14:paraId="3FEA1CF8"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1,847</w:t>
            </w:r>
          </w:p>
        </w:tc>
        <w:tc>
          <w:tcPr>
            <w:tcW w:w="907" w:type="dxa"/>
          </w:tcPr>
          <w:p w14:paraId="13662D3D"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749,140</w:t>
            </w:r>
          </w:p>
        </w:tc>
        <w:tc>
          <w:tcPr>
            <w:tcW w:w="993" w:type="dxa"/>
          </w:tcPr>
          <w:p w14:paraId="51E23A27"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68,856</w:t>
            </w:r>
          </w:p>
        </w:tc>
        <w:tc>
          <w:tcPr>
            <w:tcW w:w="907" w:type="dxa"/>
          </w:tcPr>
          <w:p w14:paraId="6EDDBE76"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7,855,417</w:t>
            </w:r>
          </w:p>
        </w:tc>
      </w:tr>
      <w:tr w:rsidR="00B02873" w:rsidRPr="002B12ED" w14:paraId="31213232" w14:textId="77777777" w:rsidTr="003745F6">
        <w:tc>
          <w:tcPr>
            <w:tcW w:w="3061" w:type="dxa"/>
          </w:tcPr>
          <w:p w14:paraId="02CC508A" w14:textId="7E692EE1" w:rsidR="00B02873" w:rsidRPr="002B12ED" w:rsidRDefault="00B02873" w:rsidP="001448E3">
            <w:pPr>
              <w:pStyle w:val="TablebodyleftFinancialsTables"/>
              <w:rPr>
                <w:rFonts w:asciiTheme="minorHAnsi" w:hAnsiTheme="minorHAnsi" w:cstheme="minorHAnsi"/>
                <w:b/>
                <w:bCs/>
                <w:sz w:val="16"/>
              </w:rPr>
            </w:pPr>
            <w:r w:rsidRPr="002B12ED">
              <w:rPr>
                <w:rFonts w:asciiTheme="minorHAnsi" w:hAnsiTheme="minorHAnsi" w:cstheme="minorHAnsi"/>
                <w:b/>
                <w:bCs/>
                <w:sz w:val="16"/>
              </w:rPr>
              <w:t>Gains/(losses) recognised in net result</w:t>
            </w:r>
          </w:p>
        </w:tc>
        <w:tc>
          <w:tcPr>
            <w:tcW w:w="908" w:type="dxa"/>
          </w:tcPr>
          <w:p w14:paraId="733A70A2" w14:textId="77777777" w:rsidR="00B02873" w:rsidRPr="002B12ED" w:rsidRDefault="00B02873" w:rsidP="001448E3">
            <w:pPr>
              <w:pStyle w:val="TablebodyleftFinancialsTables"/>
              <w:jc w:val="right"/>
              <w:rPr>
                <w:rFonts w:asciiTheme="minorHAnsi" w:hAnsiTheme="minorHAnsi" w:cstheme="minorHAnsi"/>
                <w:b/>
                <w:bCs/>
                <w:sz w:val="16"/>
              </w:rPr>
            </w:pPr>
          </w:p>
        </w:tc>
        <w:tc>
          <w:tcPr>
            <w:tcW w:w="907" w:type="dxa"/>
          </w:tcPr>
          <w:p w14:paraId="23FFE108" w14:textId="77777777" w:rsidR="00B02873" w:rsidRPr="002B12ED" w:rsidRDefault="00B02873" w:rsidP="001448E3">
            <w:pPr>
              <w:pStyle w:val="TablebodyleftFinancialsTables"/>
              <w:jc w:val="right"/>
              <w:rPr>
                <w:rFonts w:asciiTheme="minorHAnsi" w:hAnsiTheme="minorHAnsi" w:cstheme="minorHAnsi"/>
                <w:b/>
                <w:bCs/>
                <w:sz w:val="16"/>
              </w:rPr>
            </w:pPr>
          </w:p>
        </w:tc>
        <w:tc>
          <w:tcPr>
            <w:tcW w:w="907" w:type="dxa"/>
          </w:tcPr>
          <w:p w14:paraId="2A68A2C9" w14:textId="77777777" w:rsidR="00B02873" w:rsidRPr="002B12ED" w:rsidRDefault="00B02873" w:rsidP="001448E3">
            <w:pPr>
              <w:pStyle w:val="TablebodyleftFinancialsTables"/>
              <w:jc w:val="right"/>
              <w:rPr>
                <w:rFonts w:asciiTheme="minorHAnsi" w:hAnsiTheme="minorHAnsi" w:cstheme="minorHAnsi"/>
                <w:b/>
                <w:bCs/>
                <w:sz w:val="16"/>
              </w:rPr>
            </w:pPr>
          </w:p>
        </w:tc>
        <w:tc>
          <w:tcPr>
            <w:tcW w:w="907" w:type="dxa"/>
          </w:tcPr>
          <w:p w14:paraId="0B39B950" w14:textId="77777777" w:rsidR="00B02873" w:rsidRPr="002B12ED" w:rsidRDefault="00B02873" w:rsidP="001448E3">
            <w:pPr>
              <w:pStyle w:val="TablebodyleftFinancialsTables"/>
              <w:jc w:val="right"/>
              <w:rPr>
                <w:rFonts w:asciiTheme="minorHAnsi" w:hAnsiTheme="minorHAnsi" w:cstheme="minorHAnsi"/>
                <w:b/>
                <w:bCs/>
                <w:sz w:val="16"/>
              </w:rPr>
            </w:pPr>
          </w:p>
        </w:tc>
        <w:tc>
          <w:tcPr>
            <w:tcW w:w="1130" w:type="dxa"/>
          </w:tcPr>
          <w:p w14:paraId="4086DFB2" w14:textId="77777777" w:rsidR="00B02873" w:rsidRPr="002B12ED" w:rsidRDefault="00B02873" w:rsidP="001448E3">
            <w:pPr>
              <w:pStyle w:val="TablebodyleftFinancialsTables"/>
              <w:jc w:val="right"/>
              <w:rPr>
                <w:rFonts w:asciiTheme="minorHAnsi" w:hAnsiTheme="minorHAnsi" w:cstheme="minorHAnsi"/>
                <w:b/>
                <w:bCs/>
                <w:sz w:val="16"/>
              </w:rPr>
            </w:pPr>
          </w:p>
        </w:tc>
        <w:tc>
          <w:tcPr>
            <w:tcW w:w="907" w:type="dxa"/>
          </w:tcPr>
          <w:p w14:paraId="11407AE5" w14:textId="77777777" w:rsidR="00B02873" w:rsidRPr="002B12ED" w:rsidRDefault="00B02873" w:rsidP="001448E3">
            <w:pPr>
              <w:pStyle w:val="TablebodyleftFinancialsTables"/>
              <w:jc w:val="right"/>
              <w:rPr>
                <w:rFonts w:asciiTheme="minorHAnsi" w:hAnsiTheme="minorHAnsi" w:cstheme="minorHAnsi"/>
                <w:b/>
                <w:bCs/>
                <w:sz w:val="16"/>
              </w:rPr>
            </w:pPr>
          </w:p>
        </w:tc>
        <w:tc>
          <w:tcPr>
            <w:tcW w:w="964" w:type="dxa"/>
          </w:tcPr>
          <w:p w14:paraId="71B764C0" w14:textId="77777777" w:rsidR="00B02873" w:rsidRPr="002B12ED" w:rsidRDefault="00B02873" w:rsidP="001448E3">
            <w:pPr>
              <w:pStyle w:val="TablebodyleftFinancialsTables"/>
              <w:jc w:val="right"/>
              <w:rPr>
                <w:rFonts w:asciiTheme="minorHAnsi" w:hAnsiTheme="minorHAnsi" w:cstheme="minorHAnsi"/>
                <w:b/>
                <w:bCs/>
                <w:sz w:val="16"/>
              </w:rPr>
            </w:pPr>
          </w:p>
        </w:tc>
        <w:tc>
          <w:tcPr>
            <w:tcW w:w="907" w:type="dxa"/>
          </w:tcPr>
          <w:p w14:paraId="23A1177B" w14:textId="77777777" w:rsidR="00B02873" w:rsidRPr="002B12ED" w:rsidRDefault="00B02873" w:rsidP="001448E3">
            <w:pPr>
              <w:pStyle w:val="TablebodyleftFinancialsTables"/>
              <w:jc w:val="right"/>
              <w:rPr>
                <w:rFonts w:asciiTheme="minorHAnsi" w:hAnsiTheme="minorHAnsi" w:cstheme="minorHAnsi"/>
                <w:b/>
                <w:bCs/>
                <w:sz w:val="16"/>
              </w:rPr>
            </w:pPr>
          </w:p>
        </w:tc>
        <w:tc>
          <w:tcPr>
            <w:tcW w:w="907" w:type="dxa"/>
          </w:tcPr>
          <w:p w14:paraId="760E9BBA" w14:textId="77777777" w:rsidR="00B02873" w:rsidRPr="002B12ED" w:rsidRDefault="00B02873" w:rsidP="001448E3">
            <w:pPr>
              <w:pStyle w:val="TablebodyleftFinancialsTables"/>
              <w:jc w:val="right"/>
              <w:rPr>
                <w:rFonts w:asciiTheme="minorHAnsi" w:hAnsiTheme="minorHAnsi" w:cstheme="minorHAnsi"/>
                <w:b/>
                <w:bCs/>
                <w:sz w:val="16"/>
              </w:rPr>
            </w:pPr>
          </w:p>
        </w:tc>
        <w:tc>
          <w:tcPr>
            <w:tcW w:w="907" w:type="dxa"/>
          </w:tcPr>
          <w:p w14:paraId="29792ACE" w14:textId="77777777" w:rsidR="00B02873" w:rsidRPr="002B12ED" w:rsidRDefault="00B02873" w:rsidP="001448E3">
            <w:pPr>
              <w:pStyle w:val="TablebodyleftFinancialsTables"/>
              <w:jc w:val="right"/>
              <w:rPr>
                <w:rFonts w:asciiTheme="minorHAnsi" w:hAnsiTheme="minorHAnsi" w:cstheme="minorHAnsi"/>
                <w:b/>
                <w:bCs/>
                <w:sz w:val="16"/>
              </w:rPr>
            </w:pPr>
          </w:p>
        </w:tc>
        <w:tc>
          <w:tcPr>
            <w:tcW w:w="907" w:type="dxa"/>
          </w:tcPr>
          <w:p w14:paraId="286BDA9B" w14:textId="77777777" w:rsidR="00B02873" w:rsidRPr="002B12ED" w:rsidRDefault="00B02873" w:rsidP="001448E3">
            <w:pPr>
              <w:pStyle w:val="TablebodyleftFinancialsTables"/>
              <w:jc w:val="right"/>
              <w:rPr>
                <w:rFonts w:asciiTheme="minorHAnsi" w:hAnsiTheme="minorHAnsi" w:cstheme="minorHAnsi"/>
                <w:b/>
                <w:bCs/>
                <w:sz w:val="16"/>
              </w:rPr>
            </w:pPr>
          </w:p>
        </w:tc>
        <w:tc>
          <w:tcPr>
            <w:tcW w:w="993" w:type="dxa"/>
          </w:tcPr>
          <w:p w14:paraId="4CAE47DF" w14:textId="77777777" w:rsidR="00B02873" w:rsidRPr="002B12ED" w:rsidRDefault="00B02873" w:rsidP="001448E3">
            <w:pPr>
              <w:pStyle w:val="TablebodyleftFinancialsTables"/>
              <w:jc w:val="right"/>
              <w:rPr>
                <w:rFonts w:asciiTheme="minorHAnsi" w:hAnsiTheme="minorHAnsi" w:cstheme="minorHAnsi"/>
                <w:b/>
                <w:bCs/>
                <w:sz w:val="16"/>
              </w:rPr>
            </w:pPr>
          </w:p>
        </w:tc>
        <w:tc>
          <w:tcPr>
            <w:tcW w:w="907" w:type="dxa"/>
          </w:tcPr>
          <w:p w14:paraId="55080E80" w14:textId="77777777" w:rsidR="00B02873" w:rsidRPr="002B12ED" w:rsidRDefault="00B02873" w:rsidP="001448E3">
            <w:pPr>
              <w:pStyle w:val="TablebodyleftFinancialsTables"/>
              <w:jc w:val="right"/>
              <w:rPr>
                <w:rFonts w:asciiTheme="minorHAnsi" w:hAnsiTheme="minorHAnsi" w:cstheme="minorHAnsi"/>
                <w:b/>
                <w:bCs/>
                <w:sz w:val="16"/>
              </w:rPr>
            </w:pPr>
          </w:p>
        </w:tc>
      </w:tr>
      <w:tr w:rsidR="00B02873" w:rsidRPr="001448E3" w14:paraId="0C9147C6" w14:textId="77777777" w:rsidTr="003745F6">
        <w:tc>
          <w:tcPr>
            <w:tcW w:w="3061" w:type="dxa"/>
          </w:tcPr>
          <w:p w14:paraId="618F7F01" w14:textId="77777777" w:rsidR="00B02873" w:rsidRPr="001448E3" w:rsidRDefault="00B02873" w:rsidP="001448E3">
            <w:pPr>
              <w:pStyle w:val="TablebodyleftFinancialsTables"/>
              <w:rPr>
                <w:rFonts w:asciiTheme="minorHAnsi" w:hAnsiTheme="minorHAnsi" w:cstheme="minorHAnsi"/>
                <w:sz w:val="16"/>
              </w:rPr>
            </w:pPr>
            <w:r w:rsidRPr="001448E3">
              <w:rPr>
                <w:rFonts w:asciiTheme="minorHAnsi" w:hAnsiTheme="minorHAnsi" w:cstheme="minorHAnsi"/>
                <w:spacing w:val="-6"/>
                <w:sz w:val="16"/>
              </w:rPr>
              <w:t xml:space="preserve">Recognition/(derecognition), write-on/(write-down) of assets </w:t>
            </w:r>
          </w:p>
        </w:tc>
        <w:tc>
          <w:tcPr>
            <w:tcW w:w="908" w:type="dxa"/>
          </w:tcPr>
          <w:p w14:paraId="59083735"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110</w:t>
            </w:r>
          </w:p>
        </w:tc>
        <w:tc>
          <w:tcPr>
            <w:tcW w:w="907" w:type="dxa"/>
          </w:tcPr>
          <w:p w14:paraId="2B3AD109"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120,935</w:t>
            </w:r>
          </w:p>
        </w:tc>
        <w:tc>
          <w:tcPr>
            <w:tcW w:w="907" w:type="dxa"/>
          </w:tcPr>
          <w:p w14:paraId="0A720583"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w:t>
            </w:r>
          </w:p>
        </w:tc>
        <w:tc>
          <w:tcPr>
            <w:tcW w:w="907" w:type="dxa"/>
          </w:tcPr>
          <w:p w14:paraId="534A31C1"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(18,334)</w:t>
            </w:r>
          </w:p>
        </w:tc>
        <w:tc>
          <w:tcPr>
            <w:tcW w:w="1130" w:type="dxa"/>
          </w:tcPr>
          <w:p w14:paraId="606397AC"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2,686</w:t>
            </w:r>
          </w:p>
        </w:tc>
        <w:tc>
          <w:tcPr>
            <w:tcW w:w="907" w:type="dxa"/>
          </w:tcPr>
          <w:p w14:paraId="67BE842A"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w:t>
            </w:r>
          </w:p>
        </w:tc>
        <w:tc>
          <w:tcPr>
            <w:tcW w:w="964" w:type="dxa"/>
          </w:tcPr>
          <w:p w14:paraId="12E12191"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(6,128)</w:t>
            </w:r>
          </w:p>
        </w:tc>
        <w:tc>
          <w:tcPr>
            <w:tcW w:w="907" w:type="dxa"/>
          </w:tcPr>
          <w:p w14:paraId="61D17723"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w:t>
            </w:r>
          </w:p>
        </w:tc>
        <w:tc>
          <w:tcPr>
            <w:tcW w:w="907" w:type="dxa"/>
          </w:tcPr>
          <w:p w14:paraId="3BD47426"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(4,929)</w:t>
            </w:r>
          </w:p>
        </w:tc>
        <w:tc>
          <w:tcPr>
            <w:tcW w:w="907" w:type="dxa"/>
          </w:tcPr>
          <w:p w14:paraId="6078A800"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w:t>
            </w:r>
          </w:p>
        </w:tc>
        <w:tc>
          <w:tcPr>
            <w:tcW w:w="907" w:type="dxa"/>
          </w:tcPr>
          <w:p w14:paraId="0FD1EBCF"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w:t>
            </w:r>
          </w:p>
        </w:tc>
        <w:tc>
          <w:tcPr>
            <w:tcW w:w="993" w:type="dxa"/>
          </w:tcPr>
          <w:p w14:paraId="03501595"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(114)</w:t>
            </w:r>
          </w:p>
        </w:tc>
        <w:tc>
          <w:tcPr>
            <w:tcW w:w="907" w:type="dxa"/>
          </w:tcPr>
          <w:p w14:paraId="32589D24"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94,226</w:t>
            </w:r>
          </w:p>
        </w:tc>
      </w:tr>
      <w:tr w:rsidR="00B02873" w:rsidRPr="001448E3" w14:paraId="42E20DB0" w14:textId="77777777" w:rsidTr="003745F6">
        <w:tc>
          <w:tcPr>
            <w:tcW w:w="3061" w:type="dxa"/>
          </w:tcPr>
          <w:p w14:paraId="3C7B2B4E" w14:textId="77777777" w:rsidR="00B02873" w:rsidRPr="001448E3" w:rsidRDefault="00B02873" w:rsidP="001448E3">
            <w:pPr>
              <w:pStyle w:val="TablebodyleftFinancialsTables"/>
              <w:rPr>
                <w:rFonts w:asciiTheme="minorHAnsi" w:hAnsiTheme="minorHAnsi" w:cstheme="minorHAnsi"/>
                <w:sz w:val="16"/>
              </w:rPr>
            </w:pPr>
          </w:p>
        </w:tc>
        <w:tc>
          <w:tcPr>
            <w:tcW w:w="908" w:type="dxa"/>
          </w:tcPr>
          <w:p w14:paraId="5C3927E6"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 xml:space="preserve"> 110</w:t>
            </w:r>
          </w:p>
        </w:tc>
        <w:tc>
          <w:tcPr>
            <w:tcW w:w="907" w:type="dxa"/>
          </w:tcPr>
          <w:p w14:paraId="17BC9739"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120,935</w:t>
            </w:r>
          </w:p>
        </w:tc>
        <w:tc>
          <w:tcPr>
            <w:tcW w:w="907" w:type="dxa"/>
          </w:tcPr>
          <w:p w14:paraId="39021211"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w:t>
            </w:r>
          </w:p>
        </w:tc>
        <w:tc>
          <w:tcPr>
            <w:tcW w:w="907" w:type="dxa"/>
          </w:tcPr>
          <w:p w14:paraId="1F7BDE09"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(18,334)</w:t>
            </w:r>
          </w:p>
        </w:tc>
        <w:tc>
          <w:tcPr>
            <w:tcW w:w="1130" w:type="dxa"/>
          </w:tcPr>
          <w:p w14:paraId="6E01BA29"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2,686</w:t>
            </w:r>
          </w:p>
        </w:tc>
        <w:tc>
          <w:tcPr>
            <w:tcW w:w="907" w:type="dxa"/>
          </w:tcPr>
          <w:p w14:paraId="534FAE41"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w:t>
            </w:r>
          </w:p>
        </w:tc>
        <w:tc>
          <w:tcPr>
            <w:tcW w:w="964" w:type="dxa"/>
          </w:tcPr>
          <w:p w14:paraId="32DCDB17"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(6,128)</w:t>
            </w:r>
          </w:p>
        </w:tc>
        <w:tc>
          <w:tcPr>
            <w:tcW w:w="907" w:type="dxa"/>
          </w:tcPr>
          <w:p w14:paraId="5DCDD546"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w:t>
            </w:r>
          </w:p>
        </w:tc>
        <w:tc>
          <w:tcPr>
            <w:tcW w:w="907" w:type="dxa"/>
          </w:tcPr>
          <w:p w14:paraId="3C7BC90E"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(4,929)</w:t>
            </w:r>
          </w:p>
        </w:tc>
        <w:tc>
          <w:tcPr>
            <w:tcW w:w="907" w:type="dxa"/>
          </w:tcPr>
          <w:p w14:paraId="73DCE3C4"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w:t>
            </w:r>
          </w:p>
        </w:tc>
        <w:tc>
          <w:tcPr>
            <w:tcW w:w="907" w:type="dxa"/>
          </w:tcPr>
          <w:p w14:paraId="7C1AD38E"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w:t>
            </w:r>
          </w:p>
        </w:tc>
        <w:tc>
          <w:tcPr>
            <w:tcW w:w="993" w:type="dxa"/>
          </w:tcPr>
          <w:p w14:paraId="2C32EA72"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(114)</w:t>
            </w:r>
          </w:p>
        </w:tc>
        <w:tc>
          <w:tcPr>
            <w:tcW w:w="907" w:type="dxa"/>
          </w:tcPr>
          <w:p w14:paraId="3858D4A2"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94,226</w:t>
            </w:r>
          </w:p>
        </w:tc>
      </w:tr>
      <w:tr w:rsidR="00B02873" w:rsidRPr="002B12ED" w14:paraId="6507EB70" w14:textId="77777777" w:rsidTr="003745F6">
        <w:tc>
          <w:tcPr>
            <w:tcW w:w="3061" w:type="dxa"/>
          </w:tcPr>
          <w:p w14:paraId="7533F3AC" w14:textId="77777777" w:rsidR="00B02873" w:rsidRPr="002B12ED" w:rsidRDefault="00B02873" w:rsidP="001448E3">
            <w:pPr>
              <w:pStyle w:val="TablebodyleftFinancialsTables"/>
              <w:rPr>
                <w:rFonts w:asciiTheme="minorHAnsi" w:hAnsiTheme="minorHAnsi" w:cstheme="minorHAnsi"/>
                <w:b/>
                <w:bCs/>
                <w:sz w:val="16"/>
              </w:rPr>
            </w:pPr>
            <w:r w:rsidRPr="002B12ED">
              <w:rPr>
                <w:rFonts w:asciiTheme="minorHAnsi" w:hAnsiTheme="minorHAnsi" w:cstheme="minorHAnsi"/>
                <w:b/>
                <w:bCs/>
                <w:sz w:val="16"/>
              </w:rPr>
              <w:t>Gains/(losses) recognised in other economic flows – other comprehensive income</w:t>
            </w:r>
          </w:p>
        </w:tc>
        <w:tc>
          <w:tcPr>
            <w:tcW w:w="908" w:type="dxa"/>
          </w:tcPr>
          <w:p w14:paraId="65180C69" w14:textId="77777777" w:rsidR="00B02873" w:rsidRPr="002B12ED" w:rsidRDefault="00B02873" w:rsidP="001448E3">
            <w:pPr>
              <w:pStyle w:val="TablebodyleftFinancialsTables"/>
              <w:jc w:val="right"/>
              <w:rPr>
                <w:rFonts w:asciiTheme="minorHAnsi" w:hAnsiTheme="minorHAnsi" w:cstheme="minorHAnsi"/>
                <w:b/>
                <w:bCs/>
                <w:sz w:val="16"/>
              </w:rPr>
            </w:pPr>
          </w:p>
        </w:tc>
        <w:tc>
          <w:tcPr>
            <w:tcW w:w="907" w:type="dxa"/>
          </w:tcPr>
          <w:p w14:paraId="66A10CF5" w14:textId="77777777" w:rsidR="00B02873" w:rsidRPr="002B12ED" w:rsidRDefault="00B02873" w:rsidP="001448E3">
            <w:pPr>
              <w:pStyle w:val="TablebodyleftFinancialsTables"/>
              <w:jc w:val="right"/>
              <w:rPr>
                <w:rFonts w:asciiTheme="minorHAnsi" w:hAnsiTheme="minorHAnsi" w:cstheme="minorHAnsi"/>
                <w:b/>
                <w:bCs/>
                <w:sz w:val="16"/>
              </w:rPr>
            </w:pPr>
          </w:p>
        </w:tc>
        <w:tc>
          <w:tcPr>
            <w:tcW w:w="907" w:type="dxa"/>
          </w:tcPr>
          <w:p w14:paraId="4B7AF3A9" w14:textId="77777777" w:rsidR="00B02873" w:rsidRPr="002B12ED" w:rsidRDefault="00B02873" w:rsidP="001448E3">
            <w:pPr>
              <w:pStyle w:val="TablebodyleftFinancialsTables"/>
              <w:jc w:val="right"/>
              <w:rPr>
                <w:rFonts w:asciiTheme="minorHAnsi" w:hAnsiTheme="minorHAnsi" w:cstheme="minorHAnsi"/>
                <w:b/>
                <w:bCs/>
                <w:sz w:val="16"/>
              </w:rPr>
            </w:pPr>
          </w:p>
        </w:tc>
        <w:tc>
          <w:tcPr>
            <w:tcW w:w="907" w:type="dxa"/>
          </w:tcPr>
          <w:p w14:paraId="46E2805F" w14:textId="77777777" w:rsidR="00B02873" w:rsidRPr="002B12ED" w:rsidRDefault="00B02873" w:rsidP="001448E3">
            <w:pPr>
              <w:pStyle w:val="TablebodyleftFinancialsTables"/>
              <w:jc w:val="right"/>
              <w:rPr>
                <w:rFonts w:asciiTheme="minorHAnsi" w:hAnsiTheme="minorHAnsi" w:cstheme="minorHAnsi"/>
                <w:b/>
                <w:bCs/>
                <w:sz w:val="16"/>
              </w:rPr>
            </w:pPr>
          </w:p>
        </w:tc>
        <w:tc>
          <w:tcPr>
            <w:tcW w:w="1130" w:type="dxa"/>
          </w:tcPr>
          <w:p w14:paraId="7A639E84" w14:textId="77777777" w:rsidR="00B02873" w:rsidRPr="002B12ED" w:rsidRDefault="00B02873" w:rsidP="001448E3">
            <w:pPr>
              <w:pStyle w:val="TablebodyleftFinancialsTables"/>
              <w:jc w:val="right"/>
              <w:rPr>
                <w:rFonts w:asciiTheme="minorHAnsi" w:hAnsiTheme="minorHAnsi" w:cstheme="minorHAnsi"/>
                <w:b/>
                <w:bCs/>
                <w:sz w:val="16"/>
              </w:rPr>
            </w:pPr>
          </w:p>
        </w:tc>
        <w:tc>
          <w:tcPr>
            <w:tcW w:w="907" w:type="dxa"/>
          </w:tcPr>
          <w:p w14:paraId="5AC51E45" w14:textId="77777777" w:rsidR="00B02873" w:rsidRPr="002B12ED" w:rsidRDefault="00B02873" w:rsidP="001448E3">
            <w:pPr>
              <w:pStyle w:val="TablebodyleftFinancialsTables"/>
              <w:jc w:val="right"/>
              <w:rPr>
                <w:rFonts w:asciiTheme="minorHAnsi" w:hAnsiTheme="minorHAnsi" w:cstheme="minorHAnsi"/>
                <w:b/>
                <w:bCs/>
                <w:sz w:val="16"/>
              </w:rPr>
            </w:pPr>
          </w:p>
        </w:tc>
        <w:tc>
          <w:tcPr>
            <w:tcW w:w="964" w:type="dxa"/>
          </w:tcPr>
          <w:p w14:paraId="572721B2" w14:textId="77777777" w:rsidR="00B02873" w:rsidRPr="002B12ED" w:rsidRDefault="00B02873" w:rsidP="001448E3">
            <w:pPr>
              <w:pStyle w:val="TablebodyleftFinancialsTables"/>
              <w:jc w:val="right"/>
              <w:rPr>
                <w:rFonts w:asciiTheme="minorHAnsi" w:hAnsiTheme="minorHAnsi" w:cstheme="minorHAnsi"/>
                <w:b/>
                <w:bCs/>
                <w:sz w:val="16"/>
              </w:rPr>
            </w:pPr>
          </w:p>
        </w:tc>
        <w:tc>
          <w:tcPr>
            <w:tcW w:w="907" w:type="dxa"/>
          </w:tcPr>
          <w:p w14:paraId="13448155" w14:textId="77777777" w:rsidR="00B02873" w:rsidRPr="002B12ED" w:rsidRDefault="00B02873" w:rsidP="001448E3">
            <w:pPr>
              <w:pStyle w:val="TablebodyleftFinancialsTables"/>
              <w:jc w:val="right"/>
              <w:rPr>
                <w:rFonts w:asciiTheme="minorHAnsi" w:hAnsiTheme="minorHAnsi" w:cstheme="minorHAnsi"/>
                <w:b/>
                <w:bCs/>
                <w:sz w:val="16"/>
              </w:rPr>
            </w:pPr>
          </w:p>
        </w:tc>
        <w:tc>
          <w:tcPr>
            <w:tcW w:w="907" w:type="dxa"/>
          </w:tcPr>
          <w:p w14:paraId="46226149" w14:textId="77777777" w:rsidR="00B02873" w:rsidRPr="002B12ED" w:rsidRDefault="00B02873" w:rsidP="001448E3">
            <w:pPr>
              <w:pStyle w:val="TablebodyleftFinancialsTables"/>
              <w:jc w:val="right"/>
              <w:rPr>
                <w:rFonts w:asciiTheme="minorHAnsi" w:hAnsiTheme="minorHAnsi" w:cstheme="minorHAnsi"/>
                <w:b/>
                <w:bCs/>
                <w:sz w:val="16"/>
              </w:rPr>
            </w:pPr>
          </w:p>
        </w:tc>
        <w:tc>
          <w:tcPr>
            <w:tcW w:w="907" w:type="dxa"/>
          </w:tcPr>
          <w:p w14:paraId="2FFB0B55" w14:textId="77777777" w:rsidR="00B02873" w:rsidRPr="002B12ED" w:rsidRDefault="00B02873" w:rsidP="001448E3">
            <w:pPr>
              <w:pStyle w:val="TablebodyleftFinancialsTables"/>
              <w:jc w:val="right"/>
              <w:rPr>
                <w:rFonts w:asciiTheme="minorHAnsi" w:hAnsiTheme="minorHAnsi" w:cstheme="minorHAnsi"/>
                <w:b/>
                <w:bCs/>
                <w:sz w:val="16"/>
              </w:rPr>
            </w:pPr>
          </w:p>
        </w:tc>
        <w:tc>
          <w:tcPr>
            <w:tcW w:w="907" w:type="dxa"/>
          </w:tcPr>
          <w:p w14:paraId="4CEE7F3D" w14:textId="77777777" w:rsidR="00B02873" w:rsidRPr="002B12ED" w:rsidRDefault="00B02873" w:rsidP="001448E3">
            <w:pPr>
              <w:pStyle w:val="TablebodyleftFinancialsTables"/>
              <w:jc w:val="right"/>
              <w:rPr>
                <w:rFonts w:asciiTheme="minorHAnsi" w:hAnsiTheme="minorHAnsi" w:cstheme="minorHAnsi"/>
                <w:b/>
                <w:bCs/>
                <w:sz w:val="16"/>
              </w:rPr>
            </w:pPr>
          </w:p>
        </w:tc>
        <w:tc>
          <w:tcPr>
            <w:tcW w:w="993" w:type="dxa"/>
          </w:tcPr>
          <w:p w14:paraId="74942C4F" w14:textId="77777777" w:rsidR="00B02873" w:rsidRPr="002B12ED" w:rsidRDefault="00B02873" w:rsidP="001448E3">
            <w:pPr>
              <w:pStyle w:val="TablebodyleftFinancialsTables"/>
              <w:jc w:val="right"/>
              <w:rPr>
                <w:rFonts w:asciiTheme="minorHAnsi" w:hAnsiTheme="minorHAnsi" w:cstheme="minorHAnsi"/>
                <w:b/>
                <w:bCs/>
                <w:sz w:val="16"/>
              </w:rPr>
            </w:pPr>
          </w:p>
        </w:tc>
        <w:tc>
          <w:tcPr>
            <w:tcW w:w="907" w:type="dxa"/>
          </w:tcPr>
          <w:p w14:paraId="7374DB24" w14:textId="77777777" w:rsidR="00B02873" w:rsidRPr="002B12ED" w:rsidRDefault="00B02873" w:rsidP="001448E3">
            <w:pPr>
              <w:pStyle w:val="TablebodyleftFinancialsTables"/>
              <w:jc w:val="right"/>
              <w:rPr>
                <w:rFonts w:asciiTheme="minorHAnsi" w:hAnsiTheme="minorHAnsi" w:cstheme="minorHAnsi"/>
                <w:b/>
                <w:bCs/>
                <w:sz w:val="16"/>
              </w:rPr>
            </w:pPr>
          </w:p>
        </w:tc>
      </w:tr>
      <w:tr w:rsidR="00B02873" w:rsidRPr="001448E3" w14:paraId="403D0431" w14:textId="77777777" w:rsidTr="003745F6">
        <w:tc>
          <w:tcPr>
            <w:tcW w:w="3061" w:type="dxa"/>
          </w:tcPr>
          <w:p w14:paraId="7BE00F29" w14:textId="77777777" w:rsidR="00B02873" w:rsidRPr="001448E3" w:rsidRDefault="00B02873" w:rsidP="001448E3">
            <w:pPr>
              <w:pStyle w:val="TablebodyleftFinancialsTables"/>
              <w:rPr>
                <w:rFonts w:asciiTheme="minorHAnsi" w:hAnsiTheme="minorHAnsi" w:cstheme="minorHAnsi"/>
                <w:sz w:val="16"/>
              </w:rPr>
            </w:pPr>
            <w:r w:rsidRPr="001448E3">
              <w:rPr>
                <w:rFonts w:asciiTheme="minorHAnsi" w:hAnsiTheme="minorHAnsi" w:cstheme="minorHAnsi"/>
                <w:sz w:val="16"/>
              </w:rPr>
              <w:t>Revaluation increments/ (decrements)</w:t>
            </w:r>
          </w:p>
        </w:tc>
        <w:tc>
          <w:tcPr>
            <w:tcW w:w="908" w:type="dxa"/>
          </w:tcPr>
          <w:p w14:paraId="5DB2922D"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20,133</w:t>
            </w:r>
          </w:p>
        </w:tc>
        <w:tc>
          <w:tcPr>
            <w:tcW w:w="907" w:type="dxa"/>
          </w:tcPr>
          <w:p w14:paraId="269EB2F9"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593,376</w:t>
            </w:r>
          </w:p>
        </w:tc>
        <w:tc>
          <w:tcPr>
            <w:tcW w:w="907" w:type="dxa"/>
          </w:tcPr>
          <w:p w14:paraId="3144C024"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1,047</w:t>
            </w:r>
          </w:p>
        </w:tc>
        <w:tc>
          <w:tcPr>
            <w:tcW w:w="907" w:type="dxa"/>
          </w:tcPr>
          <w:p w14:paraId="358BFC12"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414,353</w:t>
            </w:r>
          </w:p>
        </w:tc>
        <w:tc>
          <w:tcPr>
            <w:tcW w:w="1130" w:type="dxa"/>
          </w:tcPr>
          <w:p w14:paraId="565213F5"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15,387</w:t>
            </w:r>
          </w:p>
        </w:tc>
        <w:tc>
          <w:tcPr>
            <w:tcW w:w="907" w:type="dxa"/>
          </w:tcPr>
          <w:p w14:paraId="25D47A8B"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1,582</w:t>
            </w:r>
          </w:p>
        </w:tc>
        <w:tc>
          <w:tcPr>
            <w:tcW w:w="964" w:type="dxa"/>
          </w:tcPr>
          <w:p w14:paraId="636DE67C"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4,857</w:t>
            </w:r>
          </w:p>
        </w:tc>
        <w:tc>
          <w:tcPr>
            <w:tcW w:w="907" w:type="dxa"/>
          </w:tcPr>
          <w:p w14:paraId="0A300189"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w:t>
            </w:r>
          </w:p>
        </w:tc>
        <w:tc>
          <w:tcPr>
            <w:tcW w:w="907" w:type="dxa"/>
          </w:tcPr>
          <w:p w14:paraId="6EB79A1E"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w:t>
            </w:r>
          </w:p>
        </w:tc>
        <w:tc>
          <w:tcPr>
            <w:tcW w:w="907" w:type="dxa"/>
          </w:tcPr>
          <w:p w14:paraId="14A05754"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w:t>
            </w:r>
          </w:p>
        </w:tc>
        <w:tc>
          <w:tcPr>
            <w:tcW w:w="907" w:type="dxa"/>
          </w:tcPr>
          <w:p w14:paraId="6642F0AE"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w:t>
            </w:r>
          </w:p>
        </w:tc>
        <w:tc>
          <w:tcPr>
            <w:tcW w:w="993" w:type="dxa"/>
          </w:tcPr>
          <w:p w14:paraId="311821C6"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w:t>
            </w:r>
          </w:p>
        </w:tc>
        <w:tc>
          <w:tcPr>
            <w:tcW w:w="907" w:type="dxa"/>
          </w:tcPr>
          <w:p w14:paraId="05D46540"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1,050,735</w:t>
            </w:r>
          </w:p>
        </w:tc>
      </w:tr>
      <w:tr w:rsidR="00B02873" w:rsidRPr="001448E3" w14:paraId="5E9F0CBD" w14:textId="77777777" w:rsidTr="003745F6">
        <w:tc>
          <w:tcPr>
            <w:tcW w:w="3061" w:type="dxa"/>
          </w:tcPr>
          <w:p w14:paraId="7FD6B1A0" w14:textId="77777777" w:rsidR="00B02873" w:rsidRPr="001448E3" w:rsidRDefault="00B02873" w:rsidP="001448E3">
            <w:pPr>
              <w:pStyle w:val="TablebodyleftFinancialsTables"/>
              <w:rPr>
                <w:rFonts w:asciiTheme="minorHAnsi" w:hAnsiTheme="minorHAnsi" w:cstheme="minorHAnsi"/>
                <w:sz w:val="16"/>
              </w:rPr>
            </w:pPr>
          </w:p>
        </w:tc>
        <w:tc>
          <w:tcPr>
            <w:tcW w:w="908" w:type="dxa"/>
          </w:tcPr>
          <w:p w14:paraId="6A69418E"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20,133</w:t>
            </w:r>
          </w:p>
        </w:tc>
        <w:tc>
          <w:tcPr>
            <w:tcW w:w="907" w:type="dxa"/>
          </w:tcPr>
          <w:p w14:paraId="6304DD4B"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593,376</w:t>
            </w:r>
          </w:p>
        </w:tc>
        <w:tc>
          <w:tcPr>
            <w:tcW w:w="907" w:type="dxa"/>
          </w:tcPr>
          <w:p w14:paraId="4CAA77FD"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1,047</w:t>
            </w:r>
          </w:p>
        </w:tc>
        <w:tc>
          <w:tcPr>
            <w:tcW w:w="907" w:type="dxa"/>
          </w:tcPr>
          <w:p w14:paraId="42C9F469"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414,353</w:t>
            </w:r>
          </w:p>
        </w:tc>
        <w:tc>
          <w:tcPr>
            <w:tcW w:w="1130" w:type="dxa"/>
          </w:tcPr>
          <w:p w14:paraId="58B22F45"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15,387</w:t>
            </w:r>
          </w:p>
        </w:tc>
        <w:tc>
          <w:tcPr>
            <w:tcW w:w="907" w:type="dxa"/>
          </w:tcPr>
          <w:p w14:paraId="46CC3CB6"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1,582</w:t>
            </w:r>
          </w:p>
        </w:tc>
        <w:tc>
          <w:tcPr>
            <w:tcW w:w="964" w:type="dxa"/>
          </w:tcPr>
          <w:p w14:paraId="2441F95F"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4,857</w:t>
            </w:r>
          </w:p>
        </w:tc>
        <w:tc>
          <w:tcPr>
            <w:tcW w:w="907" w:type="dxa"/>
          </w:tcPr>
          <w:p w14:paraId="12087088"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w:t>
            </w:r>
          </w:p>
        </w:tc>
        <w:tc>
          <w:tcPr>
            <w:tcW w:w="907" w:type="dxa"/>
          </w:tcPr>
          <w:p w14:paraId="68D1BBAA"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w:t>
            </w:r>
          </w:p>
        </w:tc>
        <w:tc>
          <w:tcPr>
            <w:tcW w:w="907" w:type="dxa"/>
          </w:tcPr>
          <w:p w14:paraId="511953AE"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w:t>
            </w:r>
          </w:p>
        </w:tc>
        <w:tc>
          <w:tcPr>
            <w:tcW w:w="907" w:type="dxa"/>
          </w:tcPr>
          <w:p w14:paraId="53AC1BC4"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w:t>
            </w:r>
          </w:p>
        </w:tc>
        <w:tc>
          <w:tcPr>
            <w:tcW w:w="993" w:type="dxa"/>
          </w:tcPr>
          <w:p w14:paraId="0CB21B14"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w:t>
            </w:r>
          </w:p>
        </w:tc>
        <w:tc>
          <w:tcPr>
            <w:tcW w:w="907" w:type="dxa"/>
          </w:tcPr>
          <w:p w14:paraId="27C57ED2"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1,050,735</w:t>
            </w:r>
          </w:p>
        </w:tc>
      </w:tr>
      <w:tr w:rsidR="00B02873" w:rsidRPr="002B12ED" w14:paraId="2A6CFA5D" w14:textId="77777777" w:rsidTr="003745F6">
        <w:tc>
          <w:tcPr>
            <w:tcW w:w="3061" w:type="dxa"/>
          </w:tcPr>
          <w:p w14:paraId="16B88F52" w14:textId="77777777" w:rsidR="00B02873" w:rsidRPr="002B12ED" w:rsidRDefault="00B02873" w:rsidP="001448E3">
            <w:pPr>
              <w:pStyle w:val="TablebodyleftFinancialsTables"/>
              <w:rPr>
                <w:rFonts w:asciiTheme="minorHAnsi" w:hAnsiTheme="minorHAnsi" w:cstheme="minorHAnsi"/>
                <w:b/>
                <w:bCs/>
                <w:sz w:val="16"/>
              </w:rPr>
            </w:pPr>
            <w:r w:rsidRPr="002B12ED">
              <w:rPr>
                <w:rFonts w:asciiTheme="minorHAnsi" w:hAnsiTheme="minorHAnsi" w:cstheme="minorHAnsi"/>
                <w:b/>
                <w:bCs/>
                <w:sz w:val="16"/>
              </w:rPr>
              <w:t>Transfers in/(out) through contributions by owner</w:t>
            </w:r>
          </w:p>
        </w:tc>
        <w:tc>
          <w:tcPr>
            <w:tcW w:w="908" w:type="dxa"/>
          </w:tcPr>
          <w:p w14:paraId="415EFC67" w14:textId="77777777" w:rsidR="00B02873" w:rsidRPr="002B12ED" w:rsidRDefault="00B02873" w:rsidP="001448E3">
            <w:pPr>
              <w:pStyle w:val="TablebodyleftFinancialsTables"/>
              <w:jc w:val="right"/>
              <w:rPr>
                <w:rFonts w:asciiTheme="minorHAnsi" w:hAnsiTheme="minorHAnsi" w:cstheme="minorHAnsi"/>
                <w:b/>
                <w:bCs/>
                <w:sz w:val="16"/>
              </w:rPr>
            </w:pPr>
          </w:p>
        </w:tc>
        <w:tc>
          <w:tcPr>
            <w:tcW w:w="907" w:type="dxa"/>
          </w:tcPr>
          <w:p w14:paraId="7405DD6C" w14:textId="77777777" w:rsidR="00B02873" w:rsidRPr="002B12ED" w:rsidRDefault="00B02873" w:rsidP="001448E3">
            <w:pPr>
              <w:pStyle w:val="TablebodyleftFinancialsTables"/>
              <w:jc w:val="right"/>
              <w:rPr>
                <w:rFonts w:asciiTheme="minorHAnsi" w:hAnsiTheme="minorHAnsi" w:cstheme="minorHAnsi"/>
                <w:b/>
                <w:bCs/>
                <w:sz w:val="16"/>
              </w:rPr>
            </w:pPr>
          </w:p>
        </w:tc>
        <w:tc>
          <w:tcPr>
            <w:tcW w:w="907" w:type="dxa"/>
          </w:tcPr>
          <w:p w14:paraId="200C688E" w14:textId="77777777" w:rsidR="00B02873" w:rsidRPr="002B12ED" w:rsidRDefault="00B02873" w:rsidP="001448E3">
            <w:pPr>
              <w:pStyle w:val="TablebodyleftFinancialsTables"/>
              <w:jc w:val="right"/>
              <w:rPr>
                <w:rFonts w:asciiTheme="minorHAnsi" w:hAnsiTheme="minorHAnsi" w:cstheme="minorHAnsi"/>
                <w:b/>
                <w:bCs/>
                <w:sz w:val="16"/>
              </w:rPr>
            </w:pPr>
          </w:p>
        </w:tc>
        <w:tc>
          <w:tcPr>
            <w:tcW w:w="907" w:type="dxa"/>
          </w:tcPr>
          <w:p w14:paraId="1713CDDB" w14:textId="77777777" w:rsidR="00B02873" w:rsidRPr="002B12ED" w:rsidRDefault="00B02873" w:rsidP="001448E3">
            <w:pPr>
              <w:pStyle w:val="TablebodyleftFinancialsTables"/>
              <w:jc w:val="right"/>
              <w:rPr>
                <w:rFonts w:asciiTheme="minorHAnsi" w:hAnsiTheme="minorHAnsi" w:cstheme="minorHAnsi"/>
                <w:b/>
                <w:bCs/>
                <w:sz w:val="16"/>
              </w:rPr>
            </w:pPr>
          </w:p>
        </w:tc>
        <w:tc>
          <w:tcPr>
            <w:tcW w:w="1130" w:type="dxa"/>
          </w:tcPr>
          <w:p w14:paraId="6DCCFBDC" w14:textId="77777777" w:rsidR="00B02873" w:rsidRPr="002B12ED" w:rsidRDefault="00B02873" w:rsidP="001448E3">
            <w:pPr>
              <w:pStyle w:val="TablebodyleftFinancialsTables"/>
              <w:jc w:val="right"/>
              <w:rPr>
                <w:rFonts w:asciiTheme="minorHAnsi" w:hAnsiTheme="minorHAnsi" w:cstheme="minorHAnsi"/>
                <w:b/>
                <w:bCs/>
                <w:sz w:val="16"/>
              </w:rPr>
            </w:pPr>
          </w:p>
        </w:tc>
        <w:tc>
          <w:tcPr>
            <w:tcW w:w="907" w:type="dxa"/>
          </w:tcPr>
          <w:p w14:paraId="6BE714B1" w14:textId="77777777" w:rsidR="00B02873" w:rsidRPr="002B12ED" w:rsidRDefault="00B02873" w:rsidP="001448E3">
            <w:pPr>
              <w:pStyle w:val="TablebodyleftFinancialsTables"/>
              <w:jc w:val="right"/>
              <w:rPr>
                <w:rFonts w:asciiTheme="minorHAnsi" w:hAnsiTheme="minorHAnsi" w:cstheme="minorHAnsi"/>
                <w:b/>
                <w:bCs/>
                <w:sz w:val="16"/>
              </w:rPr>
            </w:pPr>
          </w:p>
        </w:tc>
        <w:tc>
          <w:tcPr>
            <w:tcW w:w="964" w:type="dxa"/>
          </w:tcPr>
          <w:p w14:paraId="1B11A830" w14:textId="77777777" w:rsidR="00B02873" w:rsidRPr="002B12ED" w:rsidRDefault="00B02873" w:rsidP="001448E3">
            <w:pPr>
              <w:pStyle w:val="TablebodyleftFinancialsTables"/>
              <w:jc w:val="right"/>
              <w:rPr>
                <w:rFonts w:asciiTheme="minorHAnsi" w:hAnsiTheme="minorHAnsi" w:cstheme="minorHAnsi"/>
                <w:b/>
                <w:bCs/>
                <w:sz w:val="16"/>
              </w:rPr>
            </w:pPr>
          </w:p>
        </w:tc>
        <w:tc>
          <w:tcPr>
            <w:tcW w:w="907" w:type="dxa"/>
          </w:tcPr>
          <w:p w14:paraId="0F6E03D8" w14:textId="77777777" w:rsidR="00B02873" w:rsidRPr="002B12ED" w:rsidRDefault="00B02873" w:rsidP="001448E3">
            <w:pPr>
              <w:pStyle w:val="TablebodyleftFinancialsTables"/>
              <w:jc w:val="right"/>
              <w:rPr>
                <w:rFonts w:asciiTheme="minorHAnsi" w:hAnsiTheme="minorHAnsi" w:cstheme="minorHAnsi"/>
                <w:b/>
                <w:bCs/>
                <w:sz w:val="16"/>
              </w:rPr>
            </w:pPr>
          </w:p>
        </w:tc>
        <w:tc>
          <w:tcPr>
            <w:tcW w:w="907" w:type="dxa"/>
          </w:tcPr>
          <w:p w14:paraId="0A96371C" w14:textId="77777777" w:rsidR="00B02873" w:rsidRPr="002B12ED" w:rsidRDefault="00B02873" w:rsidP="001448E3">
            <w:pPr>
              <w:pStyle w:val="TablebodyleftFinancialsTables"/>
              <w:jc w:val="right"/>
              <w:rPr>
                <w:rFonts w:asciiTheme="minorHAnsi" w:hAnsiTheme="minorHAnsi" w:cstheme="minorHAnsi"/>
                <w:b/>
                <w:bCs/>
                <w:sz w:val="16"/>
              </w:rPr>
            </w:pPr>
          </w:p>
        </w:tc>
        <w:tc>
          <w:tcPr>
            <w:tcW w:w="907" w:type="dxa"/>
          </w:tcPr>
          <w:p w14:paraId="3FCCE525" w14:textId="77777777" w:rsidR="00B02873" w:rsidRPr="002B12ED" w:rsidRDefault="00B02873" w:rsidP="001448E3">
            <w:pPr>
              <w:pStyle w:val="TablebodyleftFinancialsTables"/>
              <w:jc w:val="right"/>
              <w:rPr>
                <w:rFonts w:asciiTheme="minorHAnsi" w:hAnsiTheme="minorHAnsi" w:cstheme="minorHAnsi"/>
                <w:b/>
                <w:bCs/>
                <w:sz w:val="16"/>
              </w:rPr>
            </w:pPr>
          </w:p>
        </w:tc>
        <w:tc>
          <w:tcPr>
            <w:tcW w:w="907" w:type="dxa"/>
          </w:tcPr>
          <w:p w14:paraId="327F8A38" w14:textId="77777777" w:rsidR="00B02873" w:rsidRPr="002B12ED" w:rsidRDefault="00B02873" w:rsidP="001448E3">
            <w:pPr>
              <w:pStyle w:val="TablebodyleftFinancialsTables"/>
              <w:jc w:val="right"/>
              <w:rPr>
                <w:rFonts w:asciiTheme="minorHAnsi" w:hAnsiTheme="minorHAnsi" w:cstheme="minorHAnsi"/>
                <w:b/>
                <w:bCs/>
                <w:sz w:val="16"/>
              </w:rPr>
            </w:pPr>
          </w:p>
        </w:tc>
        <w:tc>
          <w:tcPr>
            <w:tcW w:w="993" w:type="dxa"/>
          </w:tcPr>
          <w:p w14:paraId="61E64EA6" w14:textId="77777777" w:rsidR="00B02873" w:rsidRPr="002B12ED" w:rsidRDefault="00B02873" w:rsidP="001448E3">
            <w:pPr>
              <w:pStyle w:val="TablebodyleftFinancialsTables"/>
              <w:jc w:val="right"/>
              <w:rPr>
                <w:rFonts w:asciiTheme="minorHAnsi" w:hAnsiTheme="minorHAnsi" w:cstheme="minorHAnsi"/>
                <w:b/>
                <w:bCs/>
                <w:sz w:val="16"/>
              </w:rPr>
            </w:pPr>
          </w:p>
        </w:tc>
        <w:tc>
          <w:tcPr>
            <w:tcW w:w="907" w:type="dxa"/>
          </w:tcPr>
          <w:p w14:paraId="5B641B02" w14:textId="77777777" w:rsidR="00B02873" w:rsidRPr="002B12ED" w:rsidRDefault="00B02873" w:rsidP="001448E3">
            <w:pPr>
              <w:pStyle w:val="TablebodyleftFinancialsTables"/>
              <w:jc w:val="right"/>
              <w:rPr>
                <w:rFonts w:asciiTheme="minorHAnsi" w:hAnsiTheme="minorHAnsi" w:cstheme="minorHAnsi"/>
                <w:b/>
                <w:bCs/>
                <w:sz w:val="16"/>
              </w:rPr>
            </w:pPr>
          </w:p>
        </w:tc>
      </w:tr>
      <w:tr w:rsidR="00B02873" w:rsidRPr="001448E3" w14:paraId="006D9240" w14:textId="77777777" w:rsidTr="003745F6">
        <w:tc>
          <w:tcPr>
            <w:tcW w:w="3061" w:type="dxa"/>
          </w:tcPr>
          <w:p w14:paraId="31CD8512" w14:textId="4A3575ED" w:rsidR="00B02873" w:rsidRPr="001448E3" w:rsidRDefault="00B02873" w:rsidP="001448E3">
            <w:pPr>
              <w:pStyle w:val="TablebodyleftFinancialsTables"/>
              <w:rPr>
                <w:rFonts w:asciiTheme="minorHAnsi" w:hAnsiTheme="minorHAnsi" w:cstheme="minorHAnsi"/>
                <w:sz w:val="16"/>
              </w:rPr>
            </w:pPr>
            <w:r w:rsidRPr="001448E3">
              <w:rPr>
                <w:rFonts w:asciiTheme="minorHAnsi" w:hAnsiTheme="minorHAnsi" w:cstheme="minorHAnsi"/>
                <w:sz w:val="16"/>
              </w:rPr>
              <w:t>Transfers in/(out) – third party</w:t>
            </w:r>
          </w:p>
        </w:tc>
        <w:tc>
          <w:tcPr>
            <w:tcW w:w="908" w:type="dxa"/>
          </w:tcPr>
          <w:p w14:paraId="3476E1BA"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w:t>
            </w:r>
          </w:p>
        </w:tc>
        <w:tc>
          <w:tcPr>
            <w:tcW w:w="907" w:type="dxa"/>
          </w:tcPr>
          <w:p w14:paraId="4FBE5C69"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(25,730)</w:t>
            </w:r>
          </w:p>
        </w:tc>
        <w:tc>
          <w:tcPr>
            <w:tcW w:w="907" w:type="dxa"/>
          </w:tcPr>
          <w:p w14:paraId="54EBF8B1"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w:t>
            </w:r>
          </w:p>
        </w:tc>
        <w:tc>
          <w:tcPr>
            <w:tcW w:w="907" w:type="dxa"/>
          </w:tcPr>
          <w:p w14:paraId="7BB08240"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w:t>
            </w:r>
          </w:p>
        </w:tc>
        <w:tc>
          <w:tcPr>
            <w:tcW w:w="1130" w:type="dxa"/>
          </w:tcPr>
          <w:p w14:paraId="3D81DD4B"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(65)</w:t>
            </w:r>
          </w:p>
        </w:tc>
        <w:tc>
          <w:tcPr>
            <w:tcW w:w="907" w:type="dxa"/>
          </w:tcPr>
          <w:p w14:paraId="3A134C74"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w:t>
            </w:r>
          </w:p>
        </w:tc>
        <w:tc>
          <w:tcPr>
            <w:tcW w:w="964" w:type="dxa"/>
          </w:tcPr>
          <w:p w14:paraId="1168DF8D"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w:t>
            </w:r>
          </w:p>
        </w:tc>
        <w:tc>
          <w:tcPr>
            <w:tcW w:w="907" w:type="dxa"/>
          </w:tcPr>
          <w:p w14:paraId="7F54DCCA"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w:t>
            </w:r>
          </w:p>
        </w:tc>
        <w:tc>
          <w:tcPr>
            <w:tcW w:w="907" w:type="dxa"/>
          </w:tcPr>
          <w:p w14:paraId="75A736E7"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w:t>
            </w:r>
          </w:p>
        </w:tc>
        <w:tc>
          <w:tcPr>
            <w:tcW w:w="907" w:type="dxa"/>
          </w:tcPr>
          <w:p w14:paraId="2AF23022"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w:t>
            </w:r>
          </w:p>
        </w:tc>
        <w:tc>
          <w:tcPr>
            <w:tcW w:w="907" w:type="dxa"/>
          </w:tcPr>
          <w:p w14:paraId="282D57B4"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w:t>
            </w:r>
          </w:p>
        </w:tc>
        <w:tc>
          <w:tcPr>
            <w:tcW w:w="993" w:type="dxa"/>
          </w:tcPr>
          <w:p w14:paraId="6E8A5593"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w:t>
            </w:r>
          </w:p>
        </w:tc>
        <w:tc>
          <w:tcPr>
            <w:tcW w:w="907" w:type="dxa"/>
          </w:tcPr>
          <w:p w14:paraId="4C01E9A7"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(25,795)</w:t>
            </w:r>
          </w:p>
        </w:tc>
      </w:tr>
      <w:tr w:rsidR="00B02873" w:rsidRPr="001448E3" w14:paraId="19B82CBF" w14:textId="77777777" w:rsidTr="003745F6">
        <w:tc>
          <w:tcPr>
            <w:tcW w:w="3061" w:type="dxa"/>
          </w:tcPr>
          <w:p w14:paraId="069047EB" w14:textId="7FF9F3D7" w:rsidR="00B02873" w:rsidRPr="001448E3" w:rsidRDefault="00B02873" w:rsidP="001448E3">
            <w:pPr>
              <w:pStyle w:val="TablebodyleftFinancialsTables"/>
              <w:rPr>
                <w:rFonts w:asciiTheme="minorHAnsi" w:hAnsiTheme="minorHAnsi" w:cstheme="minorHAnsi"/>
                <w:sz w:val="16"/>
              </w:rPr>
            </w:pPr>
            <w:r w:rsidRPr="001448E3">
              <w:rPr>
                <w:rFonts w:asciiTheme="minorHAnsi" w:hAnsiTheme="minorHAnsi" w:cstheme="minorHAnsi"/>
                <w:sz w:val="16"/>
              </w:rPr>
              <w:t>Transfers in/(out) – other capital contributions</w:t>
            </w:r>
          </w:p>
        </w:tc>
        <w:tc>
          <w:tcPr>
            <w:tcW w:w="908" w:type="dxa"/>
          </w:tcPr>
          <w:p w14:paraId="6823AB5B"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w:t>
            </w:r>
          </w:p>
        </w:tc>
        <w:tc>
          <w:tcPr>
            <w:tcW w:w="907" w:type="dxa"/>
          </w:tcPr>
          <w:p w14:paraId="3B71B51B"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(5,960)</w:t>
            </w:r>
          </w:p>
        </w:tc>
        <w:tc>
          <w:tcPr>
            <w:tcW w:w="907" w:type="dxa"/>
          </w:tcPr>
          <w:p w14:paraId="143DAEBE"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(3)</w:t>
            </w:r>
          </w:p>
        </w:tc>
        <w:tc>
          <w:tcPr>
            <w:tcW w:w="907" w:type="dxa"/>
          </w:tcPr>
          <w:p w14:paraId="1D657203"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2,901</w:t>
            </w:r>
          </w:p>
        </w:tc>
        <w:tc>
          <w:tcPr>
            <w:tcW w:w="1130" w:type="dxa"/>
          </w:tcPr>
          <w:p w14:paraId="57D39F66"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184</w:t>
            </w:r>
          </w:p>
        </w:tc>
        <w:tc>
          <w:tcPr>
            <w:tcW w:w="907" w:type="dxa"/>
          </w:tcPr>
          <w:p w14:paraId="6C9702BD"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w:t>
            </w:r>
          </w:p>
        </w:tc>
        <w:tc>
          <w:tcPr>
            <w:tcW w:w="964" w:type="dxa"/>
          </w:tcPr>
          <w:p w14:paraId="78510212"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(1,604)</w:t>
            </w:r>
          </w:p>
        </w:tc>
        <w:tc>
          <w:tcPr>
            <w:tcW w:w="907" w:type="dxa"/>
          </w:tcPr>
          <w:p w14:paraId="56C95EA7"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w:t>
            </w:r>
          </w:p>
        </w:tc>
        <w:tc>
          <w:tcPr>
            <w:tcW w:w="907" w:type="dxa"/>
          </w:tcPr>
          <w:p w14:paraId="06411F16"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(296)</w:t>
            </w:r>
          </w:p>
        </w:tc>
        <w:tc>
          <w:tcPr>
            <w:tcW w:w="907" w:type="dxa"/>
          </w:tcPr>
          <w:p w14:paraId="0B52507C"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w:t>
            </w:r>
          </w:p>
        </w:tc>
        <w:tc>
          <w:tcPr>
            <w:tcW w:w="907" w:type="dxa"/>
          </w:tcPr>
          <w:p w14:paraId="6FE64F14"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w:t>
            </w:r>
          </w:p>
        </w:tc>
        <w:tc>
          <w:tcPr>
            <w:tcW w:w="993" w:type="dxa"/>
          </w:tcPr>
          <w:p w14:paraId="7174AEA5"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(294)</w:t>
            </w:r>
          </w:p>
        </w:tc>
        <w:tc>
          <w:tcPr>
            <w:tcW w:w="907" w:type="dxa"/>
          </w:tcPr>
          <w:p w14:paraId="245CDDDD"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(5,072)</w:t>
            </w:r>
          </w:p>
        </w:tc>
      </w:tr>
      <w:tr w:rsidR="00B02873" w:rsidRPr="001448E3" w14:paraId="78A6784A" w14:textId="77777777" w:rsidTr="003745F6">
        <w:tc>
          <w:tcPr>
            <w:tcW w:w="3061" w:type="dxa"/>
          </w:tcPr>
          <w:p w14:paraId="49995D79" w14:textId="77777777" w:rsidR="00B02873" w:rsidRPr="001448E3" w:rsidRDefault="00B02873" w:rsidP="001448E3">
            <w:pPr>
              <w:pStyle w:val="TablebodyleftFinancialsTables"/>
              <w:rPr>
                <w:rFonts w:asciiTheme="minorHAnsi" w:hAnsiTheme="minorHAnsi" w:cstheme="minorHAnsi"/>
                <w:sz w:val="16"/>
              </w:rPr>
            </w:pPr>
          </w:p>
        </w:tc>
        <w:tc>
          <w:tcPr>
            <w:tcW w:w="908" w:type="dxa"/>
          </w:tcPr>
          <w:p w14:paraId="1BA3CCBE"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w:t>
            </w:r>
          </w:p>
        </w:tc>
        <w:tc>
          <w:tcPr>
            <w:tcW w:w="907" w:type="dxa"/>
          </w:tcPr>
          <w:p w14:paraId="75F24A12"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(31,690)</w:t>
            </w:r>
          </w:p>
        </w:tc>
        <w:tc>
          <w:tcPr>
            <w:tcW w:w="907" w:type="dxa"/>
          </w:tcPr>
          <w:p w14:paraId="6B108574"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(3)</w:t>
            </w:r>
          </w:p>
        </w:tc>
        <w:tc>
          <w:tcPr>
            <w:tcW w:w="907" w:type="dxa"/>
          </w:tcPr>
          <w:p w14:paraId="73DCA926"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(2,901)</w:t>
            </w:r>
          </w:p>
        </w:tc>
        <w:tc>
          <w:tcPr>
            <w:tcW w:w="1130" w:type="dxa"/>
          </w:tcPr>
          <w:p w14:paraId="73521A4D"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 xml:space="preserve"> 119</w:t>
            </w:r>
          </w:p>
        </w:tc>
        <w:tc>
          <w:tcPr>
            <w:tcW w:w="907" w:type="dxa"/>
          </w:tcPr>
          <w:p w14:paraId="2FC7F3C9"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w:t>
            </w:r>
          </w:p>
        </w:tc>
        <w:tc>
          <w:tcPr>
            <w:tcW w:w="964" w:type="dxa"/>
          </w:tcPr>
          <w:p w14:paraId="24E02A95"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(1,604)</w:t>
            </w:r>
          </w:p>
        </w:tc>
        <w:tc>
          <w:tcPr>
            <w:tcW w:w="907" w:type="dxa"/>
          </w:tcPr>
          <w:p w14:paraId="46CE5152"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w:t>
            </w:r>
          </w:p>
        </w:tc>
        <w:tc>
          <w:tcPr>
            <w:tcW w:w="907" w:type="dxa"/>
          </w:tcPr>
          <w:p w14:paraId="7412A3A8"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(296)</w:t>
            </w:r>
          </w:p>
        </w:tc>
        <w:tc>
          <w:tcPr>
            <w:tcW w:w="907" w:type="dxa"/>
          </w:tcPr>
          <w:p w14:paraId="0A1D6151"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w:t>
            </w:r>
          </w:p>
        </w:tc>
        <w:tc>
          <w:tcPr>
            <w:tcW w:w="907" w:type="dxa"/>
          </w:tcPr>
          <w:p w14:paraId="242B0884"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w:t>
            </w:r>
          </w:p>
        </w:tc>
        <w:tc>
          <w:tcPr>
            <w:tcW w:w="993" w:type="dxa"/>
          </w:tcPr>
          <w:p w14:paraId="21F26A40"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(294)</w:t>
            </w:r>
          </w:p>
        </w:tc>
        <w:tc>
          <w:tcPr>
            <w:tcW w:w="907" w:type="dxa"/>
          </w:tcPr>
          <w:p w14:paraId="6BE2D8DD" w14:textId="77777777" w:rsidR="00B02873" w:rsidRPr="001448E3" w:rsidRDefault="00B02873" w:rsidP="001448E3">
            <w:pPr>
              <w:pStyle w:val="TablebodyleftFinancialsTables"/>
              <w:jc w:val="right"/>
              <w:rPr>
                <w:rFonts w:asciiTheme="minorHAnsi" w:hAnsiTheme="minorHAnsi" w:cstheme="minorHAnsi"/>
                <w:sz w:val="16"/>
              </w:rPr>
            </w:pPr>
            <w:r w:rsidRPr="001448E3">
              <w:rPr>
                <w:rFonts w:asciiTheme="minorHAnsi" w:hAnsiTheme="minorHAnsi" w:cstheme="minorHAnsi"/>
                <w:sz w:val="16"/>
              </w:rPr>
              <w:t>(30,867)</w:t>
            </w:r>
          </w:p>
        </w:tc>
      </w:tr>
      <w:tr w:rsidR="00B02873" w:rsidRPr="002B12ED" w14:paraId="0D0FDEF7" w14:textId="77777777" w:rsidTr="003745F6">
        <w:tc>
          <w:tcPr>
            <w:tcW w:w="3061" w:type="dxa"/>
          </w:tcPr>
          <w:p w14:paraId="25619F34" w14:textId="77777777" w:rsidR="00B02873" w:rsidRPr="002B12ED" w:rsidRDefault="00B02873" w:rsidP="001448E3">
            <w:pPr>
              <w:pStyle w:val="TablebodyleftFinancialsTables"/>
              <w:rPr>
                <w:rFonts w:asciiTheme="minorHAnsi" w:hAnsiTheme="minorHAnsi" w:cstheme="minorHAnsi"/>
                <w:b/>
                <w:bCs/>
                <w:sz w:val="16"/>
              </w:rPr>
            </w:pPr>
            <w:r w:rsidRPr="002B12ED">
              <w:rPr>
                <w:rFonts w:asciiTheme="minorHAnsi" w:hAnsiTheme="minorHAnsi" w:cstheme="minorHAnsi"/>
                <w:b/>
                <w:bCs/>
                <w:sz w:val="16"/>
              </w:rPr>
              <w:t>Balance at 30 June 2022</w:t>
            </w:r>
          </w:p>
        </w:tc>
        <w:tc>
          <w:tcPr>
            <w:tcW w:w="908" w:type="dxa"/>
          </w:tcPr>
          <w:p w14:paraId="2D254C28" w14:textId="77777777" w:rsidR="00B02873" w:rsidRPr="002B12ED" w:rsidRDefault="00B02873" w:rsidP="001448E3">
            <w:pPr>
              <w:pStyle w:val="TablebodyleftFinancialsTables"/>
              <w:jc w:val="right"/>
              <w:rPr>
                <w:rFonts w:asciiTheme="minorHAnsi" w:hAnsiTheme="minorHAnsi" w:cstheme="minorHAnsi"/>
                <w:b/>
                <w:bCs/>
                <w:sz w:val="16"/>
              </w:rPr>
            </w:pPr>
            <w:r w:rsidRPr="002B12ED">
              <w:rPr>
                <w:rFonts w:asciiTheme="minorHAnsi" w:hAnsiTheme="minorHAnsi" w:cstheme="minorHAnsi"/>
                <w:b/>
                <w:bCs/>
                <w:sz w:val="16"/>
              </w:rPr>
              <w:t>36,166</w:t>
            </w:r>
          </w:p>
        </w:tc>
        <w:tc>
          <w:tcPr>
            <w:tcW w:w="907" w:type="dxa"/>
          </w:tcPr>
          <w:p w14:paraId="0AE77233" w14:textId="77777777" w:rsidR="00B02873" w:rsidRPr="002B12ED" w:rsidRDefault="00B02873" w:rsidP="001448E3">
            <w:pPr>
              <w:pStyle w:val="TablebodyleftFinancialsTables"/>
              <w:jc w:val="right"/>
              <w:rPr>
                <w:rFonts w:asciiTheme="minorHAnsi" w:hAnsiTheme="minorHAnsi" w:cstheme="minorHAnsi"/>
                <w:b/>
                <w:bCs/>
                <w:sz w:val="16"/>
              </w:rPr>
            </w:pPr>
            <w:r w:rsidRPr="002B12ED">
              <w:rPr>
                <w:rFonts w:asciiTheme="minorHAnsi" w:hAnsiTheme="minorHAnsi" w:cstheme="minorHAnsi"/>
                <w:b/>
                <w:bCs/>
                <w:spacing w:val="-7"/>
                <w:sz w:val="16"/>
              </w:rPr>
              <w:t>4,463,480</w:t>
            </w:r>
          </w:p>
        </w:tc>
        <w:tc>
          <w:tcPr>
            <w:tcW w:w="907" w:type="dxa"/>
          </w:tcPr>
          <w:p w14:paraId="6C14D5EF" w14:textId="77777777" w:rsidR="00B02873" w:rsidRPr="002B12ED" w:rsidRDefault="00B02873" w:rsidP="001448E3">
            <w:pPr>
              <w:pStyle w:val="TablebodyleftFinancialsTables"/>
              <w:jc w:val="right"/>
              <w:rPr>
                <w:rFonts w:asciiTheme="minorHAnsi" w:hAnsiTheme="minorHAnsi" w:cstheme="minorHAnsi"/>
                <w:b/>
                <w:bCs/>
                <w:sz w:val="16"/>
              </w:rPr>
            </w:pPr>
            <w:r w:rsidRPr="002B12ED">
              <w:rPr>
                <w:rFonts w:asciiTheme="minorHAnsi" w:hAnsiTheme="minorHAnsi" w:cstheme="minorHAnsi"/>
                <w:b/>
                <w:bCs/>
                <w:sz w:val="16"/>
              </w:rPr>
              <w:t>5,626</w:t>
            </w:r>
          </w:p>
        </w:tc>
        <w:tc>
          <w:tcPr>
            <w:tcW w:w="907" w:type="dxa"/>
          </w:tcPr>
          <w:p w14:paraId="76600FA2" w14:textId="77777777" w:rsidR="00B02873" w:rsidRPr="002B12ED" w:rsidRDefault="00B02873" w:rsidP="001448E3">
            <w:pPr>
              <w:pStyle w:val="TablebodyleftFinancialsTables"/>
              <w:jc w:val="right"/>
              <w:rPr>
                <w:rFonts w:asciiTheme="minorHAnsi" w:hAnsiTheme="minorHAnsi" w:cstheme="minorHAnsi"/>
                <w:b/>
                <w:bCs/>
                <w:sz w:val="16"/>
              </w:rPr>
            </w:pPr>
            <w:r w:rsidRPr="002B12ED">
              <w:rPr>
                <w:rFonts w:asciiTheme="minorHAnsi" w:hAnsiTheme="minorHAnsi" w:cstheme="minorHAnsi"/>
                <w:b/>
                <w:bCs/>
                <w:spacing w:val="-4"/>
                <w:sz w:val="16"/>
              </w:rPr>
              <w:t>2,599,099</w:t>
            </w:r>
          </w:p>
        </w:tc>
        <w:tc>
          <w:tcPr>
            <w:tcW w:w="1130" w:type="dxa"/>
          </w:tcPr>
          <w:p w14:paraId="5E44A393" w14:textId="77777777" w:rsidR="00B02873" w:rsidRPr="002B12ED" w:rsidRDefault="00B02873" w:rsidP="001448E3">
            <w:pPr>
              <w:pStyle w:val="TablebodyleftFinancialsTables"/>
              <w:jc w:val="right"/>
              <w:rPr>
                <w:rFonts w:asciiTheme="minorHAnsi" w:hAnsiTheme="minorHAnsi" w:cstheme="minorHAnsi"/>
                <w:b/>
                <w:bCs/>
                <w:sz w:val="16"/>
              </w:rPr>
            </w:pPr>
            <w:r w:rsidRPr="002B12ED">
              <w:rPr>
                <w:rFonts w:asciiTheme="minorHAnsi" w:hAnsiTheme="minorHAnsi" w:cstheme="minorHAnsi"/>
                <w:b/>
                <w:bCs/>
                <w:sz w:val="16"/>
              </w:rPr>
              <w:t>109,636</w:t>
            </w:r>
          </w:p>
        </w:tc>
        <w:tc>
          <w:tcPr>
            <w:tcW w:w="907" w:type="dxa"/>
          </w:tcPr>
          <w:p w14:paraId="0A4423A2" w14:textId="77777777" w:rsidR="00B02873" w:rsidRPr="002B12ED" w:rsidRDefault="00B02873" w:rsidP="001448E3">
            <w:pPr>
              <w:pStyle w:val="TablebodyleftFinancialsTables"/>
              <w:jc w:val="right"/>
              <w:rPr>
                <w:rFonts w:asciiTheme="minorHAnsi" w:hAnsiTheme="minorHAnsi" w:cstheme="minorHAnsi"/>
                <w:b/>
                <w:bCs/>
                <w:sz w:val="16"/>
              </w:rPr>
            </w:pPr>
            <w:r w:rsidRPr="002B12ED">
              <w:rPr>
                <w:rFonts w:asciiTheme="minorHAnsi" w:hAnsiTheme="minorHAnsi" w:cstheme="minorHAnsi"/>
                <w:b/>
                <w:bCs/>
                <w:sz w:val="16"/>
              </w:rPr>
              <w:t>9,212</w:t>
            </w:r>
          </w:p>
        </w:tc>
        <w:tc>
          <w:tcPr>
            <w:tcW w:w="964" w:type="dxa"/>
          </w:tcPr>
          <w:p w14:paraId="7317C089" w14:textId="77777777" w:rsidR="00B02873" w:rsidRPr="002B12ED" w:rsidRDefault="00B02873" w:rsidP="001448E3">
            <w:pPr>
              <w:pStyle w:val="TablebodyleftFinancialsTables"/>
              <w:jc w:val="right"/>
              <w:rPr>
                <w:rFonts w:asciiTheme="minorHAnsi" w:hAnsiTheme="minorHAnsi" w:cstheme="minorHAnsi"/>
                <w:b/>
                <w:bCs/>
                <w:sz w:val="16"/>
              </w:rPr>
            </w:pPr>
            <w:r w:rsidRPr="002B12ED">
              <w:rPr>
                <w:rFonts w:asciiTheme="minorHAnsi" w:hAnsiTheme="minorHAnsi" w:cstheme="minorHAnsi"/>
                <w:b/>
                <w:bCs/>
                <w:sz w:val="16"/>
              </w:rPr>
              <w:t>57,295</w:t>
            </w:r>
          </w:p>
        </w:tc>
        <w:tc>
          <w:tcPr>
            <w:tcW w:w="907" w:type="dxa"/>
          </w:tcPr>
          <w:p w14:paraId="71423AEE" w14:textId="77777777" w:rsidR="00B02873" w:rsidRPr="002B12ED" w:rsidRDefault="00B02873" w:rsidP="001448E3">
            <w:pPr>
              <w:pStyle w:val="TablebodyleftFinancialsTables"/>
              <w:jc w:val="right"/>
              <w:rPr>
                <w:rFonts w:asciiTheme="minorHAnsi" w:hAnsiTheme="minorHAnsi" w:cstheme="minorHAnsi"/>
                <w:b/>
                <w:bCs/>
                <w:sz w:val="16"/>
              </w:rPr>
            </w:pPr>
            <w:r w:rsidRPr="002B12ED">
              <w:rPr>
                <w:rFonts w:asciiTheme="minorHAnsi" w:hAnsiTheme="minorHAnsi" w:cstheme="minorHAnsi"/>
                <w:b/>
                <w:bCs/>
                <w:sz w:val="16"/>
              </w:rPr>
              <w:t>217,116</w:t>
            </w:r>
          </w:p>
        </w:tc>
        <w:tc>
          <w:tcPr>
            <w:tcW w:w="907" w:type="dxa"/>
          </w:tcPr>
          <w:p w14:paraId="14DBC3B6" w14:textId="77777777" w:rsidR="00B02873" w:rsidRPr="002B12ED" w:rsidRDefault="00B02873" w:rsidP="001448E3">
            <w:pPr>
              <w:pStyle w:val="TablebodyleftFinancialsTables"/>
              <w:jc w:val="right"/>
              <w:rPr>
                <w:rFonts w:asciiTheme="minorHAnsi" w:hAnsiTheme="minorHAnsi" w:cstheme="minorHAnsi"/>
                <w:b/>
                <w:bCs/>
                <w:sz w:val="16"/>
              </w:rPr>
            </w:pPr>
            <w:r w:rsidRPr="002B12ED">
              <w:rPr>
                <w:rFonts w:asciiTheme="minorHAnsi" w:hAnsiTheme="minorHAnsi" w:cstheme="minorHAnsi"/>
                <w:b/>
                <w:bCs/>
                <w:sz w:val="16"/>
              </w:rPr>
              <w:t>652,447</w:t>
            </w:r>
          </w:p>
        </w:tc>
        <w:tc>
          <w:tcPr>
            <w:tcW w:w="907" w:type="dxa"/>
          </w:tcPr>
          <w:p w14:paraId="4DEFCB59" w14:textId="77777777" w:rsidR="00B02873" w:rsidRPr="002B12ED" w:rsidRDefault="00B02873" w:rsidP="001448E3">
            <w:pPr>
              <w:pStyle w:val="TablebodyleftFinancialsTables"/>
              <w:jc w:val="right"/>
              <w:rPr>
                <w:rFonts w:asciiTheme="minorHAnsi" w:hAnsiTheme="minorHAnsi" w:cstheme="minorHAnsi"/>
                <w:b/>
                <w:bCs/>
                <w:sz w:val="16"/>
              </w:rPr>
            </w:pPr>
            <w:r w:rsidRPr="002B12ED">
              <w:rPr>
                <w:rFonts w:asciiTheme="minorHAnsi" w:hAnsiTheme="minorHAnsi" w:cstheme="minorHAnsi"/>
                <w:b/>
                <w:bCs/>
                <w:sz w:val="16"/>
              </w:rPr>
              <w:t>1,847</w:t>
            </w:r>
          </w:p>
        </w:tc>
        <w:tc>
          <w:tcPr>
            <w:tcW w:w="907" w:type="dxa"/>
          </w:tcPr>
          <w:p w14:paraId="0358F1F3" w14:textId="77777777" w:rsidR="00B02873" w:rsidRPr="002B12ED" w:rsidRDefault="00B02873" w:rsidP="001448E3">
            <w:pPr>
              <w:pStyle w:val="TablebodyleftFinancialsTables"/>
              <w:jc w:val="right"/>
              <w:rPr>
                <w:rFonts w:asciiTheme="minorHAnsi" w:hAnsiTheme="minorHAnsi" w:cstheme="minorHAnsi"/>
                <w:b/>
                <w:bCs/>
                <w:sz w:val="16"/>
              </w:rPr>
            </w:pPr>
            <w:r w:rsidRPr="002B12ED">
              <w:rPr>
                <w:rFonts w:asciiTheme="minorHAnsi" w:hAnsiTheme="minorHAnsi" w:cstheme="minorHAnsi"/>
                <w:b/>
                <w:bCs/>
                <w:sz w:val="16"/>
              </w:rPr>
              <w:t>749,140</w:t>
            </w:r>
          </w:p>
        </w:tc>
        <w:tc>
          <w:tcPr>
            <w:tcW w:w="993" w:type="dxa"/>
          </w:tcPr>
          <w:p w14:paraId="064697E0" w14:textId="77777777" w:rsidR="00B02873" w:rsidRPr="002B12ED" w:rsidRDefault="00B02873" w:rsidP="001448E3">
            <w:pPr>
              <w:pStyle w:val="TablebodyleftFinancialsTables"/>
              <w:jc w:val="right"/>
              <w:rPr>
                <w:rFonts w:asciiTheme="minorHAnsi" w:hAnsiTheme="minorHAnsi" w:cstheme="minorHAnsi"/>
                <w:b/>
                <w:bCs/>
                <w:sz w:val="16"/>
              </w:rPr>
            </w:pPr>
            <w:r w:rsidRPr="002B12ED">
              <w:rPr>
                <w:rFonts w:asciiTheme="minorHAnsi" w:hAnsiTheme="minorHAnsi" w:cstheme="minorHAnsi"/>
                <w:b/>
                <w:bCs/>
                <w:sz w:val="16"/>
              </w:rPr>
              <w:t>68,448</w:t>
            </w:r>
          </w:p>
        </w:tc>
        <w:tc>
          <w:tcPr>
            <w:tcW w:w="907" w:type="dxa"/>
          </w:tcPr>
          <w:p w14:paraId="5D3D2060" w14:textId="77777777" w:rsidR="00B02873" w:rsidRPr="002B12ED" w:rsidRDefault="00B02873" w:rsidP="001448E3">
            <w:pPr>
              <w:pStyle w:val="TablebodyleftFinancialsTables"/>
              <w:jc w:val="right"/>
              <w:rPr>
                <w:rFonts w:asciiTheme="minorHAnsi" w:hAnsiTheme="minorHAnsi" w:cstheme="minorHAnsi"/>
                <w:b/>
                <w:bCs/>
                <w:sz w:val="16"/>
              </w:rPr>
            </w:pPr>
            <w:r w:rsidRPr="002B12ED">
              <w:rPr>
                <w:rFonts w:asciiTheme="minorHAnsi" w:hAnsiTheme="minorHAnsi" w:cstheme="minorHAnsi"/>
                <w:b/>
                <w:bCs/>
                <w:sz w:val="16"/>
              </w:rPr>
              <w:t>8,969,511</w:t>
            </w:r>
          </w:p>
        </w:tc>
      </w:tr>
    </w:tbl>
    <w:p w14:paraId="79055C46" w14:textId="77777777" w:rsidR="00B02873" w:rsidRPr="002B12ED" w:rsidRDefault="00B02873" w:rsidP="002B12ED">
      <w:pPr>
        <w:pStyle w:val="SourceNote"/>
        <w:spacing w:after="120"/>
        <w:rPr>
          <w:b/>
          <w:bCs/>
        </w:rPr>
      </w:pPr>
      <w:r w:rsidRPr="002B12ED">
        <w:rPr>
          <w:b/>
          <w:bCs/>
        </w:rPr>
        <w:t xml:space="preserve">Note: </w:t>
      </w:r>
    </w:p>
    <w:p w14:paraId="5DB1E942" w14:textId="77777777" w:rsidR="00B02873" w:rsidRDefault="00B02873" w:rsidP="001128B1">
      <w:pPr>
        <w:pStyle w:val="SourceNotenumbered"/>
        <w:numPr>
          <w:ilvl w:val="0"/>
          <w:numId w:val="33"/>
        </w:numPr>
      </w:pPr>
      <w:r>
        <w:t>Net transfers from assets under construction.</w:t>
      </w:r>
    </w:p>
    <w:p w14:paraId="0D4E5E53" w14:textId="77777777" w:rsidR="00B02873" w:rsidRDefault="00B02873" w:rsidP="002B12ED">
      <w:pPr>
        <w:pStyle w:val="SourceNote"/>
      </w:pPr>
      <w:r>
        <w:t xml:space="preserve">Assets under construction are excluded from the table above. </w:t>
      </w:r>
    </w:p>
    <w:p w14:paraId="0E5C0854" w14:textId="77777777" w:rsidR="005361DE" w:rsidRPr="00DE1FCE" w:rsidRDefault="005361DE" w:rsidP="00B02873">
      <w:pPr>
        <w:pStyle w:val="Table-NotesSYMBOLLASTTables"/>
        <w:rPr>
          <w:rFonts w:ascii="Arial" w:hAnsi="Arial"/>
        </w:rPr>
        <w:sectPr w:rsidR="005361DE" w:rsidRPr="00DE1FCE" w:rsidSect="005361DE">
          <w:pgSz w:w="16838" w:h="11906" w:orient="landscape" w:code="9"/>
          <w:pgMar w:top="1134" w:right="1134" w:bottom="1134" w:left="1134" w:header="720" w:footer="720" w:gutter="0"/>
          <w:cols w:space="720"/>
          <w:noEndnote/>
          <w:docGrid w:linePitch="299"/>
        </w:sectPr>
      </w:pPr>
    </w:p>
    <w:p w14:paraId="1285455C" w14:textId="1BAB1BF3" w:rsidR="00B02873" w:rsidRDefault="00B02873" w:rsidP="002B12ED">
      <w:pPr>
        <w:pStyle w:val="TabletitleTables"/>
      </w:pPr>
      <w:r>
        <w:lastRenderedPageBreak/>
        <w:t>Description of significant unobservable inputs to Level 3 valuations</w:t>
      </w:r>
    </w:p>
    <w:tbl>
      <w:tblPr>
        <w:tblStyle w:val="TableGrid"/>
        <w:tblW w:w="0" w:type="auto"/>
        <w:tblLayout w:type="fixed"/>
        <w:tblLook w:val="0020" w:firstRow="1" w:lastRow="0" w:firstColumn="0" w:lastColumn="0" w:noHBand="0" w:noVBand="0"/>
      </w:tblPr>
      <w:tblGrid>
        <w:gridCol w:w="2494"/>
        <w:gridCol w:w="3572"/>
        <w:gridCol w:w="3572"/>
      </w:tblGrid>
      <w:tr w:rsidR="00B02873" w:rsidRPr="002B12ED" w14:paraId="02953E1C" w14:textId="77777777" w:rsidTr="002B12ED">
        <w:trPr>
          <w:cnfStyle w:val="100000000000" w:firstRow="1" w:lastRow="0" w:firstColumn="0" w:lastColumn="0" w:oddVBand="0" w:evenVBand="0" w:oddHBand="0" w:evenHBand="0" w:firstRowFirstColumn="0" w:firstRowLastColumn="0" w:lastRowFirstColumn="0" w:lastRowLastColumn="0"/>
        </w:trPr>
        <w:tc>
          <w:tcPr>
            <w:tcW w:w="2494" w:type="dxa"/>
          </w:tcPr>
          <w:p w14:paraId="1DC29E89" w14:textId="77777777" w:rsidR="00B02873" w:rsidRPr="002B12ED" w:rsidRDefault="00B02873" w:rsidP="002B12ED">
            <w:pPr>
              <w:pStyle w:val="TableheadingleftFinancialsTables"/>
            </w:pPr>
            <w:r w:rsidRPr="002B12ED">
              <w:t>2022 and 2021</w:t>
            </w:r>
          </w:p>
        </w:tc>
        <w:tc>
          <w:tcPr>
            <w:tcW w:w="3572" w:type="dxa"/>
          </w:tcPr>
          <w:p w14:paraId="4E48A584" w14:textId="77777777" w:rsidR="00B02873" w:rsidRPr="002B12ED" w:rsidRDefault="00B02873" w:rsidP="002B12ED">
            <w:pPr>
              <w:pStyle w:val="TableheadingleftFinancialsTables"/>
            </w:pPr>
            <w:r w:rsidRPr="002B12ED">
              <w:t xml:space="preserve">Valuation technique </w:t>
            </w:r>
          </w:p>
        </w:tc>
        <w:tc>
          <w:tcPr>
            <w:tcW w:w="3572" w:type="dxa"/>
          </w:tcPr>
          <w:p w14:paraId="54029830" w14:textId="77777777" w:rsidR="00B02873" w:rsidRPr="002B12ED" w:rsidRDefault="00B02873" w:rsidP="002B12ED">
            <w:pPr>
              <w:pStyle w:val="TableheadingleftFinancialsTables"/>
            </w:pPr>
            <w:r w:rsidRPr="002B12ED">
              <w:t xml:space="preserve">Significant Unobservable Inputs </w:t>
            </w:r>
          </w:p>
        </w:tc>
      </w:tr>
      <w:tr w:rsidR="00B02873" w:rsidRPr="002B12ED" w14:paraId="38BA38A6" w14:textId="77777777" w:rsidTr="002B12ED">
        <w:tc>
          <w:tcPr>
            <w:tcW w:w="2494" w:type="dxa"/>
          </w:tcPr>
          <w:p w14:paraId="327C7564" w14:textId="77777777" w:rsidR="00B02873" w:rsidRPr="002B12ED" w:rsidRDefault="00B02873" w:rsidP="002B12ED">
            <w:pPr>
              <w:pStyle w:val="TablebodyleftFinancialsTables"/>
            </w:pPr>
            <w:r w:rsidRPr="002B12ED">
              <w:t>Specialised land</w:t>
            </w:r>
          </w:p>
        </w:tc>
        <w:tc>
          <w:tcPr>
            <w:tcW w:w="3572" w:type="dxa"/>
          </w:tcPr>
          <w:p w14:paraId="6BB0402A" w14:textId="77777777" w:rsidR="00B02873" w:rsidRPr="002B12ED" w:rsidRDefault="00B02873" w:rsidP="002B12ED">
            <w:pPr>
              <w:pStyle w:val="TablebodyleftFinancialsTables"/>
            </w:pPr>
            <w:r w:rsidRPr="002B12ED">
              <w:t>Market approach</w:t>
            </w:r>
          </w:p>
        </w:tc>
        <w:tc>
          <w:tcPr>
            <w:tcW w:w="3572" w:type="dxa"/>
          </w:tcPr>
          <w:p w14:paraId="639A7CFF" w14:textId="77777777" w:rsidR="00B02873" w:rsidRPr="002B12ED" w:rsidRDefault="00B02873" w:rsidP="002B12ED">
            <w:pPr>
              <w:pStyle w:val="TablebodyleftFinancialsTables"/>
            </w:pPr>
            <w:r w:rsidRPr="002B12ED">
              <w:t xml:space="preserve">Community Service Obligation adjustment </w:t>
            </w:r>
          </w:p>
        </w:tc>
      </w:tr>
      <w:tr w:rsidR="00B02873" w:rsidRPr="002B12ED" w14:paraId="4A36F70B" w14:textId="77777777" w:rsidTr="002B12ED">
        <w:tc>
          <w:tcPr>
            <w:tcW w:w="2494" w:type="dxa"/>
          </w:tcPr>
          <w:p w14:paraId="5B1C155D" w14:textId="77777777" w:rsidR="00B02873" w:rsidRPr="002B12ED" w:rsidRDefault="00B02873" w:rsidP="002B12ED">
            <w:pPr>
              <w:pStyle w:val="TablebodyleftFinancialsTables"/>
            </w:pPr>
            <w:r w:rsidRPr="002B12ED">
              <w:t>Specialised buildings</w:t>
            </w:r>
          </w:p>
        </w:tc>
        <w:tc>
          <w:tcPr>
            <w:tcW w:w="3572" w:type="dxa"/>
          </w:tcPr>
          <w:p w14:paraId="5F6C818D" w14:textId="77777777" w:rsidR="00B02873" w:rsidRPr="002B12ED" w:rsidRDefault="00B02873" w:rsidP="002B12ED">
            <w:pPr>
              <w:pStyle w:val="TablebodyleftFinancialsTables"/>
            </w:pPr>
            <w:r w:rsidRPr="002B12ED">
              <w:t xml:space="preserve">Current replacement cost </w:t>
            </w:r>
          </w:p>
        </w:tc>
        <w:tc>
          <w:tcPr>
            <w:tcW w:w="3572" w:type="dxa"/>
          </w:tcPr>
          <w:p w14:paraId="60B2E639" w14:textId="77777777" w:rsidR="00B02873" w:rsidRPr="002B12ED" w:rsidRDefault="00B02873" w:rsidP="002B12ED">
            <w:pPr>
              <w:pStyle w:val="TablebodyleftFinancialsTables"/>
            </w:pPr>
            <w:r w:rsidRPr="002B12ED">
              <w:t>Direct cost per square metre</w:t>
            </w:r>
            <w:r w:rsidRPr="002B12ED">
              <w:br/>
              <w:t>Useful life of specialised buildings</w:t>
            </w:r>
          </w:p>
        </w:tc>
      </w:tr>
      <w:tr w:rsidR="00B02873" w:rsidRPr="002B12ED" w14:paraId="17F92123" w14:textId="77777777" w:rsidTr="002B12ED">
        <w:tc>
          <w:tcPr>
            <w:tcW w:w="2494" w:type="dxa"/>
          </w:tcPr>
          <w:p w14:paraId="39B02EC6" w14:textId="77777777" w:rsidR="00B02873" w:rsidRPr="002B12ED" w:rsidRDefault="00B02873" w:rsidP="002B12ED">
            <w:pPr>
              <w:pStyle w:val="TablebodyleftFinancialsTables"/>
            </w:pPr>
            <w:r w:rsidRPr="002B12ED">
              <w:t>Specialised structures</w:t>
            </w:r>
          </w:p>
        </w:tc>
        <w:tc>
          <w:tcPr>
            <w:tcW w:w="3572" w:type="dxa"/>
          </w:tcPr>
          <w:p w14:paraId="36FF2A3D" w14:textId="77777777" w:rsidR="00B02873" w:rsidRPr="002B12ED" w:rsidRDefault="00B02873" w:rsidP="002B12ED">
            <w:pPr>
              <w:pStyle w:val="TablebodyleftFinancialsTables"/>
            </w:pPr>
            <w:r w:rsidRPr="002B12ED">
              <w:t xml:space="preserve">Current replacement cost </w:t>
            </w:r>
          </w:p>
        </w:tc>
        <w:tc>
          <w:tcPr>
            <w:tcW w:w="3572" w:type="dxa"/>
          </w:tcPr>
          <w:p w14:paraId="7604247F" w14:textId="77777777" w:rsidR="00B02873" w:rsidRPr="002B12ED" w:rsidRDefault="00B02873" w:rsidP="002B12ED">
            <w:pPr>
              <w:pStyle w:val="TablebodyleftFinancialsTables"/>
            </w:pPr>
            <w:r w:rsidRPr="002B12ED">
              <w:t>Cost per structure</w:t>
            </w:r>
            <w:r w:rsidRPr="002B12ED">
              <w:br/>
              <w:t>Useful life of specialised structures</w:t>
            </w:r>
          </w:p>
        </w:tc>
      </w:tr>
      <w:tr w:rsidR="00B02873" w:rsidRPr="002B12ED" w14:paraId="76FD9A9E" w14:textId="77777777" w:rsidTr="002B12ED">
        <w:tc>
          <w:tcPr>
            <w:tcW w:w="2494" w:type="dxa"/>
          </w:tcPr>
          <w:p w14:paraId="4B78FF13" w14:textId="77777777" w:rsidR="00B02873" w:rsidRPr="002B12ED" w:rsidRDefault="00B02873" w:rsidP="002B12ED">
            <w:pPr>
              <w:pStyle w:val="TablebodyleftFinancialsTables"/>
            </w:pPr>
            <w:r w:rsidRPr="002B12ED">
              <w:t xml:space="preserve">Roads </w:t>
            </w:r>
          </w:p>
        </w:tc>
        <w:tc>
          <w:tcPr>
            <w:tcW w:w="3572" w:type="dxa"/>
          </w:tcPr>
          <w:p w14:paraId="7BDE610D" w14:textId="77777777" w:rsidR="00B02873" w:rsidRPr="002B12ED" w:rsidRDefault="00B02873" w:rsidP="002B12ED">
            <w:pPr>
              <w:pStyle w:val="TablebodyleftFinancialsTables"/>
            </w:pPr>
            <w:r w:rsidRPr="002B12ED">
              <w:t xml:space="preserve">Current replacement cost </w:t>
            </w:r>
          </w:p>
        </w:tc>
        <w:tc>
          <w:tcPr>
            <w:tcW w:w="3572" w:type="dxa"/>
          </w:tcPr>
          <w:p w14:paraId="1D3E382B" w14:textId="77777777" w:rsidR="00B02873" w:rsidRPr="002B12ED" w:rsidRDefault="00B02873" w:rsidP="002B12ED">
            <w:pPr>
              <w:pStyle w:val="TablebodyleftFinancialsTables"/>
            </w:pPr>
            <w:r w:rsidRPr="002B12ED">
              <w:t>Cost per kilometre</w:t>
            </w:r>
            <w:r w:rsidRPr="002B12ED">
              <w:br/>
              <w:t>Useful life of roads</w:t>
            </w:r>
          </w:p>
        </w:tc>
      </w:tr>
      <w:tr w:rsidR="00B02873" w:rsidRPr="002B12ED" w14:paraId="7DCAD66F" w14:textId="77777777" w:rsidTr="002B12ED">
        <w:tc>
          <w:tcPr>
            <w:tcW w:w="2494" w:type="dxa"/>
          </w:tcPr>
          <w:p w14:paraId="7A2186CC" w14:textId="77777777" w:rsidR="00B02873" w:rsidRPr="002B12ED" w:rsidRDefault="00B02873" w:rsidP="002B12ED">
            <w:pPr>
              <w:pStyle w:val="TablebodyleftFinancialsTables"/>
            </w:pPr>
            <w:r w:rsidRPr="002B12ED">
              <w:t>Plant and equipment</w:t>
            </w:r>
          </w:p>
        </w:tc>
        <w:tc>
          <w:tcPr>
            <w:tcW w:w="3572" w:type="dxa"/>
          </w:tcPr>
          <w:p w14:paraId="733D336C" w14:textId="77777777" w:rsidR="00B02873" w:rsidRPr="002B12ED" w:rsidRDefault="00B02873" w:rsidP="002B12ED">
            <w:pPr>
              <w:pStyle w:val="TablebodyleftFinancialsTables"/>
            </w:pPr>
            <w:r w:rsidRPr="002B12ED">
              <w:t xml:space="preserve">Current replacement cost </w:t>
            </w:r>
          </w:p>
        </w:tc>
        <w:tc>
          <w:tcPr>
            <w:tcW w:w="3572" w:type="dxa"/>
          </w:tcPr>
          <w:p w14:paraId="0DEAA50F" w14:textId="77777777" w:rsidR="00B02873" w:rsidRPr="002B12ED" w:rsidRDefault="00B02873" w:rsidP="002B12ED">
            <w:pPr>
              <w:pStyle w:val="TablebodyleftFinancialsTables"/>
            </w:pPr>
            <w:r w:rsidRPr="002B12ED">
              <w:t>Cost per unit</w:t>
            </w:r>
            <w:r w:rsidRPr="002B12ED">
              <w:br/>
              <w:t>Useful life of plant and equipment</w:t>
            </w:r>
          </w:p>
        </w:tc>
      </w:tr>
    </w:tbl>
    <w:p w14:paraId="6991640C" w14:textId="77777777" w:rsidR="00B02873" w:rsidRDefault="00B02873" w:rsidP="002B12ED"/>
    <w:p w14:paraId="09B806CA" w14:textId="6B93CC90" w:rsidR="00B02873" w:rsidRDefault="00B02873" w:rsidP="002B12ED">
      <w:pPr>
        <w:pStyle w:val="Heading3"/>
      </w:pPr>
      <w:r>
        <w:t>5.2 Non-financial physical assets classified as held for sale</w:t>
      </w:r>
    </w:p>
    <w:tbl>
      <w:tblPr>
        <w:tblStyle w:val="TableGrid"/>
        <w:tblW w:w="0" w:type="auto"/>
        <w:tblLayout w:type="fixed"/>
        <w:tblLook w:val="0020" w:firstRow="1" w:lastRow="0" w:firstColumn="0" w:lastColumn="0" w:noHBand="0" w:noVBand="0"/>
      </w:tblPr>
      <w:tblGrid>
        <w:gridCol w:w="7257"/>
        <w:gridCol w:w="1190"/>
        <w:gridCol w:w="1191"/>
      </w:tblGrid>
      <w:tr w:rsidR="00B02873" w:rsidRPr="00B02873" w14:paraId="16A24D33" w14:textId="77777777" w:rsidTr="001E2445">
        <w:trPr>
          <w:cnfStyle w:val="100000000000" w:firstRow="1" w:lastRow="0" w:firstColumn="0" w:lastColumn="0" w:oddVBand="0" w:evenVBand="0" w:oddHBand="0" w:evenHBand="0" w:firstRowFirstColumn="0" w:firstRowLastColumn="0" w:lastRowFirstColumn="0" w:lastRowLastColumn="0"/>
        </w:trPr>
        <w:tc>
          <w:tcPr>
            <w:tcW w:w="7257" w:type="dxa"/>
          </w:tcPr>
          <w:p w14:paraId="73E93278" w14:textId="77777777" w:rsidR="00B02873" w:rsidRPr="00B02873" w:rsidRDefault="00B02873" w:rsidP="001E2445">
            <w:pPr>
              <w:pStyle w:val="TableheadingleftFinancialsTables"/>
            </w:pPr>
          </w:p>
        </w:tc>
        <w:tc>
          <w:tcPr>
            <w:tcW w:w="1190" w:type="dxa"/>
          </w:tcPr>
          <w:p w14:paraId="5442238C" w14:textId="77777777" w:rsidR="00B02873" w:rsidRPr="001E2445" w:rsidRDefault="00B02873" w:rsidP="001E2445">
            <w:pPr>
              <w:pStyle w:val="TableheadingleftFinancialsTables"/>
              <w:jc w:val="right"/>
            </w:pPr>
            <w:r w:rsidRPr="001E2445">
              <w:t>2022</w:t>
            </w:r>
            <w:r w:rsidRPr="001E2445">
              <w:br/>
              <w:t>$’000</w:t>
            </w:r>
          </w:p>
        </w:tc>
        <w:tc>
          <w:tcPr>
            <w:tcW w:w="1191" w:type="dxa"/>
          </w:tcPr>
          <w:p w14:paraId="085A98BD" w14:textId="77777777" w:rsidR="00B02873" w:rsidRDefault="00B02873" w:rsidP="001E2445">
            <w:pPr>
              <w:pStyle w:val="TableheadingleftFinancialsTables"/>
              <w:jc w:val="right"/>
            </w:pPr>
            <w:r>
              <w:t>2021</w:t>
            </w:r>
            <w:r>
              <w:br/>
              <w:t>$’000</w:t>
            </w:r>
          </w:p>
        </w:tc>
      </w:tr>
      <w:tr w:rsidR="00B02873" w:rsidRPr="001E2445" w14:paraId="33F7F72F" w14:textId="77777777" w:rsidTr="001E2445">
        <w:tc>
          <w:tcPr>
            <w:tcW w:w="7257" w:type="dxa"/>
          </w:tcPr>
          <w:p w14:paraId="6B785C64" w14:textId="77777777" w:rsidR="00B02873" w:rsidRPr="001E2445" w:rsidRDefault="00B02873" w:rsidP="001E2445">
            <w:pPr>
              <w:pStyle w:val="TablebodyleftFinancialsTables"/>
              <w:rPr>
                <w:rFonts w:asciiTheme="minorHAnsi" w:hAnsiTheme="minorHAnsi" w:cstheme="minorHAnsi"/>
                <w:b/>
                <w:bCs/>
              </w:rPr>
            </w:pPr>
            <w:r w:rsidRPr="001E2445">
              <w:rPr>
                <w:rFonts w:asciiTheme="minorHAnsi" w:hAnsiTheme="minorHAnsi" w:cstheme="minorHAnsi"/>
                <w:b/>
                <w:bCs/>
              </w:rPr>
              <w:t>Non-financial physical assets classified as held for sale</w:t>
            </w:r>
          </w:p>
        </w:tc>
        <w:tc>
          <w:tcPr>
            <w:tcW w:w="1190" w:type="dxa"/>
          </w:tcPr>
          <w:p w14:paraId="037D5162" w14:textId="77777777" w:rsidR="00B02873" w:rsidRPr="001E2445" w:rsidRDefault="00B02873" w:rsidP="001E2445">
            <w:pPr>
              <w:pStyle w:val="TablebodyleftFinancialsTables"/>
              <w:jc w:val="right"/>
              <w:rPr>
                <w:rFonts w:asciiTheme="minorHAnsi" w:hAnsiTheme="minorHAnsi" w:cstheme="minorHAnsi"/>
                <w:b/>
                <w:bCs/>
              </w:rPr>
            </w:pPr>
          </w:p>
        </w:tc>
        <w:tc>
          <w:tcPr>
            <w:tcW w:w="1191" w:type="dxa"/>
          </w:tcPr>
          <w:p w14:paraId="79A7C330" w14:textId="77777777" w:rsidR="00B02873" w:rsidRPr="001E2445" w:rsidRDefault="00B02873" w:rsidP="001E2445">
            <w:pPr>
              <w:pStyle w:val="TablebodyleftFinancialsTables"/>
              <w:jc w:val="right"/>
              <w:rPr>
                <w:rFonts w:asciiTheme="minorHAnsi" w:hAnsiTheme="minorHAnsi" w:cstheme="minorHAnsi"/>
              </w:rPr>
            </w:pPr>
          </w:p>
        </w:tc>
      </w:tr>
      <w:tr w:rsidR="00B02873" w:rsidRPr="00B02873" w14:paraId="1E01F405" w14:textId="77777777" w:rsidTr="001E2445">
        <w:tc>
          <w:tcPr>
            <w:tcW w:w="7257" w:type="dxa"/>
          </w:tcPr>
          <w:p w14:paraId="4AD28B88" w14:textId="77777777" w:rsidR="00B02873" w:rsidRDefault="00B02873" w:rsidP="001E2445">
            <w:pPr>
              <w:pStyle w:val="TablebodyleftFinancialsTables"/>
            </w:pPr>
            <w:r>
              <w:t xml:space="preserve">Land held for sale </w:t>
            </w:r>
          </w:p>
        </w:tc>
        <w:tc>
          <w:tcPr>
            <w:tcW w:w="1190" w:type="dxa"/>
          </w:tcPr>
          <w:p w14:paraId="0A3FC8DC" w14:textId="77777777" w:rsidR="00B02873" w:rsidRPr="001E2445" w:rsidRDefault="00B02873" w:rsidP="001E2445">
            <w:pPr>
              <w:pStyle w:val="TablebodyleftFinancialsTables"/>
              <w:jc w:val="right"/>
              <w:rPr>
                <w:b/>
                <w:bCs/>
              </w:rPr>
            </w:pPr>
            <w:r w:rsidRPr="001E2445">
              <w:rPr>
                <w:b/>
                <w:bCs/>
              </w:rPr>
              <w:t>4,950</w:t>
            </w:r>
          </w:p>
        </w:tc>
        <w:tc>
          <w:tcPr>
            <w:tcW w:w="1191" w:type="dxa"/>
          </w:tcPr>
          <w:p w14:paraId="4C095B57" w14:textId="77777777" w:rsidR="00B02873" w:rsidRDefault="00B02873" w:rsidP="001E2445">
            <w:pPr>
              <w:pStyle w:val="TablebodyleftFinancialsTables"/>
              <w:jc w:val="right"/>
            </w:pPr>
            <w:r>
              <w:t>7,426</w:t>
            </w:r>
          </w:p>
        </w:tc>
      </w:tr>
      <w:tr w:rsidR="00B02873" w:rsidRPr="00B02873" w14:paraId="2AE8C698" w14:textId="77777777" w:rsidTr="001E2445">
        <w:tc>
          <w:tcPr>
            <w:tcW w:w="7257" w:type="dxa"/>
          </w:tcPr>
          <w:p w14:paraId="4BFB2E5F" w14:textId="77777777" w:rsidR="00B02873" w:rsidRDefault="00B02873" w:rsidP="001E2445">
            <w:pPr>
              <w:pStyle w:val="TablebodyleftFinancialsTables"/>
            </w:pPr>
            <w:r>
              <w:t xml:space="preserve">Leased motor vehicles held for sale </w:t>
            </w:r>
          </w:p>
        </w:tc>
        <w:tc>
          <w:tcPr>
            <w:tcW w:w="1190" w:type="dxa"/>
          </w:tcPr>
          <w:p w14:paraId="7E2EC215" w14:textId="77777777" w:rsidR="00B02873" w:rsidRPr="001E2445" w:rsidRDefault="00B02873" w:rsidP="001E2445">
            <w:pPr>
              <w:pStyle w:val="TablebodyleftFinancialsTables"/>
              <w:jc w:val="right"/>
              <w:rPr>
                <w:b/>
                <w:bCs/>
              </w:rPr>
            </w:pPr>
            <w:r w:rsidRPr="001E2445">
              <w:rPr>
                <w:b/>
                <w:bCs/>
              </w:rPr>
              <w:t>1,389</w:t>
            </w:r>
          </w:p>
        </w:tc>
        <w:tc>
          <w:tcPr>
            <w:tcW w:w="1191" w:type="dxa"/>
          </w:tcPr>
          <w:p w14:paraId="62D89C15" w14:textId="77777777" w:rsidR="00B02873" w:rsidRDefault="00B02873" w:rsidP="001E2445">
            <w:pPr>
              <w:pStyle w:val="TablebodyleftFinancialsTables"/>
              <w:jc w:val="right"/>
            </w:pPr>
            <w:r>
              <w:t>1,148</w:t>
            </w:r>
          </w:p>
        </w:tc>
      </w:tr>
      <w:tr w:rsidR="00B02873" w:rsidRPr="00B02873" w14:paraId="0FB61F40" w14:textId="77777777" w:rsidTr="001E2445">
        <w:tc>
          <w:tcPr>
            <w:tcW w:w="7257" w:type="dxa"/>
          </w:tcPr>
          <w:p w14:paraId="3F177D73" w14:textId="77777777" w:rsidR="00B02873" w:rsidRDefault="00B02873" w:rsidP="001E2445">
            <w:pPr>
              <w:pStyle w:val="TablebodyleftFinancialsTables"/>
            </w:pPr>
            <w:r>
              <w:t>Large scale generation certificates held for sale</w:t>
            </w:r>
          </w:p>
        </w:tc>
        <w:tc>
          <w:tcPr>
            <w:tcW w:w="1190" w:type="dxa"/>
          </w:tcPr>
          <w:p w14:paraId="03348284" w14:textId="77777777" w:rsidR="00B02873" w:rsidRPr="001E2445" w:rsidRDefault="00B02873" w:rsidP="001E2445">
            <w:pPr>
              <w:pStyle w:val="TablebodyleftFinancialsTables"/>
              <w:jc w:val="right"/>
              <w:rPr>
                <w:b/>
                <w:bCs/>
              </w:rPr>
            </w:pPr>
            <w:r w:rsidRPr="001E2445">
              <w:rPr>
                <w:b/>
                <w:bCs/>
              </w:rPr>
              <w:t>3,867</w:t>
            </w:r>
          </w:p>
        </w:tc>
        <w:tc>
          <w:tcPr>
            <w:tcW w:w="1191" w:type="dxa"/>
          </w:tcPr>
          <w:p w14:paraId="107FBE59" w14:textId="77777777" w:rsidR="00B02873" w:rsidRDefault="00B02873" w:rsidP="001E2445">
            <w:pPr>
              <w:pStyle w:val="TablebodyleftFinancialsTables"/>
              <w:jc w:val="right"/>
            </w:pPr>
            <w:r>
              <w:t>2,400</w:t>
            </w:r>
          </w:p>
        </w:tc>
      </w:tr>
      <w:tr w:rsidR="00B02873" w:rsidRPr="001E2445" w14:paraId="47A4FBF5" w14:textId="77777777" w:rsidTr="001E2445">
        <w:tc>
          <w:tcPr>
            <w:tcW w:w="7257" w:type="dxa"/>
          </w:tcPr>
          <w:p w14:paraId="58D9863B" w14:textId="77777777" w:rsidR="00B02873" w:rsidRPr="001E2445" w:rsidRDefault="00B02873" w:rsidP="001E2445">
            <w:pPr>
              <w:pStyle w:val="TablebodyleftFinancialsTables"/>
              <w:rPr>
                <w:b/>
                <w:bCs/>
              </w:rPr>
            </w:pPr>
            <w:r w:rsidRPr="001E2445">
              <w:rPr>
                <w:b/>
                <w:bCs/>
              </w:rPr>
              <w:t>Total non-financial physical assets classified as held for sale</w:t>
            </w:r>
          </w:p>
        </w:tc>
        <w:tc>
          <w:tcPr>
            <w:tcW w:w="1190" w:type="dxa"/>
          </w:tcPr>
          <w:p w14:paraId="2BFF772D" w14:textId="77777777" w:rsidR="00B02873" w:rsidRPr="001E2445" w:rsidRDefault="00B02873" w:rsidP="001E2445">
            <w:pPr>
              <w:pStyle w:val="TablebodyleftFinancialsTables"/>
              <w:jc w:val="right"/>
              <w:rPr>
                <w:b/>
                <w:bCs/>
              </w:rPr>
            </w:pPr>
            <w:r w:rsidRPr="001E2445">
              <w:rPr>
                <w:b/>
                <w:bCs/>
              </w:rPr>
              <w:t>10,206</w:t>
            </w:r>
          </w:p>
        </w:tc>
        <w:tc>
          <w:tcPr>
            <w:tcW w:w="1191" w:type="dxa"/>
          </w:tcPr>
          <w:p w14:paraId="028BC8DA" w14:textId="77777777" w:rsidR="00B02873" w:rsidRPr="001E2445" w:rsidRDefault="00B02873" w:rsidP="001E2445">
            <w:pPr>
              <w:pStyle w:val="TablebodyleftFinancialsTables"/>
              <w:jc w:val="right"/>
              <w:rPr>
                <w:b/>
                <w:bCs/>
              </w:rPr>
            </w:pPr>
            <w:r w:rsidRPr="001E2445">
              <w:rPr>
                <w:b/>
                <w:bCs/>
              </w:rPr>
              <w:t>10,974</w:t>
            </w:r>
          </w:p>
        </w:tc>
      </w:tr>
    </w:tbl>
    <w:p w14:paraId="1F62B8A8" w14:textId="77777777" w:rsidR="00B02873" w:rsidRDefault="00B02873" w:rsidP="00FE198A"/>
    <w:p w14:paraId="2952B690" w14:textId="77777777" w:rsidR="00B02873" w:rsidRDefault="00B02873" w:rsidP="00FE198A">
      <w:r>
        <w:t>Land held for sale represents land deemed surplus to the needs of the state and sale is highly probable within the next 12 months.</w:t>
      </w:r>
    </w:p>
    <w:p w14:paraId="65326842" w14:textId="693C7D2D" w:rsidR="00B02873" w:rsidRDefault="00B02873" w:rsidP="00FE198A">
      <w:r>
        <w:t>Motor vehicles held for sale represent vehicles identified for immediate disposal and subsequent sale in their current condition through the VicFleet disposal process.</w:t>
      </w:r>
      <w:r w:rsidR="00012C04">
        <w:t xml:space="preserve"> </w:t>
      </w:r>
      <w:r>
        <w:t>It is anticipated that these disposals will be completed within the next 12 months.</w:t>
      </w:r>
    </w:p>
    <w:p w14:paraId="59D6A3C9" w14:textId="77777777" w:rsidR="00B02873" w:rsidRDefault="00B02873" w:rsidP="00FE198A">
      <w:r>
        <w:t>During the year, the department received large scale generation certificates in relation to agreements signed under the Renewable Certificates Purchasing Initiative. These certificates are held for sale as it is expected that the certificates will be sold to retailers within the next 12 months.</w:t>
      </w:r>
    </w:p>
    <w:p w14:paraId="1A5640DF" w14:textId="77777777" w:rsidR="00B02873" w:rsidRDefault="00B02873" w:rsidP="001E2445">
      <w:pPr>
        <w:pStyle w:val="Heading4"/>
      </w:pPr>
      <w:r>
        <w:t>Measurement of non-financial physical assets</w:t>
      </w:r>
    </w:p>
    <w:p w14:paraId="7A035F3C" w14:textId="77777777" w:rsidR="00B02873" w:rsidRDefault="00B02873" w:rsidP="00FE198A">
      <w:r>
        <w:rPr>
          <w:spacing w:val="-2"/>
        </w:rPr>
        <w:t>Non-financial physical assets (including disposal group assets) are treated as current and classified as held for sale if their carrying amount will be recovered through a sale transaction rather than through continuing use.</w:t>
      </w:r>
    </w:p>
    <w:p w14:paraId="6E6971C9" w14:textId="495E34B0" w:rsidR="00B02873" w:rsidRDefault="00B02873" w:rsidP="001E2445">
      <w:pPr>
        <w:pStyle w:val="Normalbeforebullet"/>
      </w:pPr>
      <w:r>
        <w:t>This condition is considered as met only when</w:t>
      </w:r>
      <w:r w:rsidR="001E2445">
        <w:t>:</w:t>
      </w:r>
    </w:p>
    <w:p w14:paraId="5E3F28EC" w14:textId="77777777" w:rsidR="00B02873" w:rsidRDefault="00B02873" w:rsidP="00B02873">
      <w:pPr>
        <w:pStyle w:val="Bullet1Lists"/>
      </w:pPr>
      <w:r>
        <w:t>the asset is available for immediate sale in the current condition; and</w:t>
      </w:r>
    </w:p>
    <w:p w14:paraId="3811DE25" w14:textId="77777777" w:rsidR="00B02873" w:rsidRDefault="00B02873" w:rsidP="001E2445">
      <w:pPr>
        <w:pStyle w:val="Bullet1Listslast"/>
      </w:pPr>
      <w:r>
        <w:t>the sale is highly probable, and the asset’s sale is expected to be completed within 12 months from the date of classification.</w:t>
      </w:r>
    </w:p>
    <w:p w14:paraId="20840750" w14:textId="77777777" w:rsidR="00B02873" w:rsidRDefault="00B02873" w:rsidP="00FE198A">
      <w:r>
        <w:rPr>
          <w:spacing w:val="-2"/>
        </w:rPr>
        <w:t>Once classified as held for sale these non-financial physical assets, related liabilities and financial assets are measured at the lower of carrying amount and fair value less costs of disposal, and are not subject to depreciation</w:t>
      </w:r>
      <w:r>
        <w:t>.</w:t>
      </w:r>
    </w:p>
    <w:p w14:paraId="041941B0" w14:textId="3E1822F2" w:rsidR="00B02873" w:rsidRDefault="00B02873" w:rsidP="001E2445">
      <w:pPr>
        <w:pStyle w:val="Heading4"/>
      </w:pPr>
      <w:r>
        <w:lastRenderedPageBreak/>
        <w:t>5.2.1 Fair value determination</w:t>
      </w:r>
    </w:p>
    <w:p w14:paraId="57F9A433" w14:textId="66EDD012" w:rsidR="00B02873" w:rsidRDefault="00B02873" w:rsidP="001E2445">
      <w:pPr>
        <w:pStyle w:val="TabletitleTables"/>
      </w:pPr>
      <w:r>
        <w:t>Fair value measurement hierarchy of non-financial physical assets classified as held for sale</w:t>
      </w:r>
      <w:r w:rsidR="00012C04">
        <w:t xml:space="preserve"> </w:t>
      </w:r>
    </w:p>
    <w:tbl>
      <w:tblPr>
        <w:tblStyle w:val="TableGrid"/>
        <w:tblW w:w="9634" w:type="dxa"/>
        <w:tblLayout w:type="fixed"/>
        <w:tblLook w:val="0020" w:firstRow="1" w:lastRow="0" w:firstColumn="0" w:lastColumn="0" w:noHBand="0" w:noVBand="0"/>
      </w:tblPr>
      <w:tblGrid>
        <w:gridCol w:w="3823"/>
        <w:gridCol w:w="1134"/>
        <w:gridCol w:w="1559"/>
        <w:gridCol w:w="1559"/>
        <w:gridCol w:w="1559"/>
      </w:tblGrid>
      <w:tr w:rsidR="00B02873" w:rsidRPr="001E2445" w14:paraId="03BFAF52" w14:textId="77777777" w:rsidTr="00631D68">
        <w:trPr>
          <w:cnfStyle w:val="100000000000" w:firstRow="1" w:lastRow="0" w:firstColumn="0" w:lastColumn="0" w:oddVBand="0" w:evenVBand="0" w:oddHBand="0" w:evenHBand="0" w:firstRowFirstColumn="0" w:firstRowLastColumn="0" w:lastRowFirstColumn="0" w:lastRowLastColumn="0"/>
        </w:trPr>
        <w:tc>
          <w:tcPr>
            <w:tcW w:w="3823" w:type="dxa"/>
          </w:tcPr>
          <w:p w14:paraId="66018563" w14:textId="77777777" w:rsidR="00B02873" w:rsidRPr="001E2445" w:rsidRDefault="00B02873" w:rsidP="001E2445">
            <w:pPr>
              <w:pStyle w:val="TableheadingleftFinancialsTables"/>
            </w:pPr>
          </w:p>
        </w:tc>
        <w:tc>
          <w:tcPr>
            <w:tcW w:w="1134" w:type="dxa"/>
          </w:tcPr>
          <w:p w14:paraId="6367096B" w14:textId="0B0BA899" w:rsidR="00B02873" w:rsidRPr="001E2445" w:rsidRDefault="001E2445" w:rsidP="00631D68">
            <w:pPr>
              <w:pStyle w:val="TableheadingleftFinancialsTables"/>
              <w:jc w:val="right"/>
            </w:pPr>
            <w:r w:rsidRPr="001E2445">
              <w:t xml:space="preserve">Carrying amount </w:t>
            </w:r>
            <w:r w:rsidR="00B02873" w:rsidRPr="001E2445">
              <w:t>$’000</w:t>
            </w:r>
          </w:p>
        </w:tc>
        <w:tc>
          <w:tcPr>
            <w:tcW w:w="1559" w:type="dxa"/>
          </w:tcPr>
          <w:p w14:paraId="02E141A4" w14:textId="06BC1E4A" w:rsidR="00B02873" w:rsidRPr="001E2445" w:rsidRDefault="001E2445" w:rsidP="00631D68">
            <w:pPr>
              <w:pStyle w:val="TableheadingleftFinancialsTables"/>
              <w:jc w:val="right"/>
            </w:pPr>
            <w:r w:rsidRPr="001E2445">
              <w:t>Fair value measurement at end of financial year using:</w:t>
            </w:r>
            <w:r>
              <w:t xml:space="preserve"> </w:t>
            </w:r>
            <w:r w:rsidR="00B02873" w:rsidRPr="001E2445">
              <w:t>Level 1</w:t>
            </w:r>
            <w:r w:rsidR="00B02873" w:rsidRPr="001E2445">
              <w:br/>
              <w:t>$’000</w:t>
            </w:r>
          </w:p>
        </w:tc>
        <w:tc>
          <w:tcPr>
            <w:tcW w:w="1559" w:type="dxa"/>
          </w:tcPr>
          <w:p w14:paraId="169FD60C" w14:textId="79E29F1F" w:rsidR="00B02873" w:rsidRPr="001E2445" w:rsidRDefault="001E2445" w:rsidP="00631D68">
            <w:pPr>
              <w:pStyle w:val="TableheadingleftFinancialsTables"/>
              <w:jc w:val="right"/>
            </w:pPr>
            <w:r w:rsidRPr="001E2445">
              <w:t>Fair value measurement at end of financial year using:</w:t>
            </w:r>
            <w:r>
              <w:t xml:space="preserve"> </w:t>
            </w:r>
            <w:r w:rsidR="00B02873" w:rsidRPr="001E2445">
              <w:t>Level 2</w:t>
            </w:r>
            <w:r w:rsidR="00B02873" w:rsidRPr="001E2445">
              <w:br/>
              <w:t>$’000</w:t>
            </w:r>
          </w:p>
        </w:tc>
        <w:tc>
          <w:tcPr>
            <w:tcW w:w="1559" w:type="dxa"/>
          </w:tcPr>
          <w:p w14:paraId="0CE336F3" w14:textId="47DFACA4" w:rsidR="00B02873" w:rsidRPr="001E2445" w:rsidRDefault="001E2445" w:rsidP="00631D68">
            <w:pPr>
              <w:pStyle w:val="TableheadingleftFinancialsTables"/>
              <w:jc w:val="right"/>
            </w:pPr>
            <w:r w:rsidRPr="001E2445">
              <w:t>Fair value measurement at end of financial year using:</w:t>
            </w:r>
            <w:r w:rsidR="00631D68">
              <w:t xml:space="preserve"> </w:t>
            </w:r>
            <w:r w:rsidR="00B02873" w:rsidRPr="001E2445">
              <w:t>Level 3</w:t>
            </w:r>
            <w:r w:rsidR="00B02873" w:rsidRPr="001E2445">
              <w:br/>
              <w:t>$’000</w:t>
            </w:r>
          </w:p>
        </w:tc>
      </w:tr>
      <w:tr w:rsidR="00B02873" w:rsidRPr="001E2445" w14:paraId="5D35E4BB" w14:textId="77777777" w:rsidTr="00631D68">
        <w:tc>
          <w:tcPr>
            <w:tcW w:w="3823" w:type="dxa"/>
          </w:tcPr>
          <w:p w14:paraId="6BB58240" w14:textId="77777777" w:rsidR="00B02873" w:rsidRPr="00631D68" w:rsidRDefault="00B02873" w:rsidP="00631D68">
            <w:pPr>
              <w:pStyle w:val="TablebodyleftFinancialsTables"/>
              <w:rPr>
                <w:b/>
                <w:bCs/>
              </w:rPr>
            </w:pPr>
            <w:r w:rsidRPr="00631D68">
              <w:rPr>
                <w:b/>
                <w:bCs/>
              </w:rPr>
              <w:t>2022</w:t>
            </w:r>
          </w:p>
        </w:tc>
        <w:tc>
          <w:tcPr>
            <w:tcW w:w="1134" w:type="dxa"/>
          </w:tcPr>
          <w:p w14:paraId="2D52CA8F" w14:textId="77777777" w:rsidR="00B02873" w:rsidRPr="001E2445" w:rsidRDefault="00B02873" w:rsidP="00631D68">
            <w:pPr>
              <w:pStyle w:val="TablebodyleftFinancialsTables"/>
              <w:jc w:val="right"/>
            </w:pPr>
          </w:p>
        </w:tc>
        <w:tc>
          <w:tcPr>
            <w:tcW w:w="1559" w:type="dxa"/>
          </w:tcPr>
          <w:p w14:paraId="5C31ACC9" w14:textId="77777777" w:rsidR="00B02873" w:rsidRPr="001E2445" w:rsidRDefault="00B02873" w:rsidP="00631D68">
            <w:pPr>
              <w:pStyle w:val="TablebodyleftFinancialsTables"/>
              <w:jc w:val="right"/>
            </w:pPr>
          </w:p>
        </w:tc>
        <w:tc>
          <w:tcPr>
            <w:tcW w:w="1559" w:type="dxa"/>
          </w:tcPr>
          <w:p w14:paraId="78BE76E1" w14:textId="77777777" w:rsidR="00B02873" w:rsidRPr="001E2445" w:rsidRDefault="00B02873" w:rsidP="00631D68">
            <w:pPr>
              <w:pStyle w:val="TablebodyleftFinancialsTables"/>
              <w:jc w:val="right"/>
            </w:pPr>
          </w:p>
        </w:tc>
        <w:tc>
          <w:tcPr>
            <w:tcW w:w="1559" w:type="dxa"/>
          </w:tcPr>
          <w:p w14:paraId="3DE38A1A" w14:textId="77777777" w:rsidR="00B02873" w:rsidRPr="001E2445" w:rsidRDefault="00B02873" w:rsidP="00631D68">
            <w:pPr>
              <w:pStyle w:val="TablebodyleftFinancialsTables"/>
              <w:jc w:val="right"/>
            </w:pPr>
          </w:p>
        </w:tc>
      </w:tr>
      <w:tr w:rsidR="00B02873" w:rsidRPr="001E2445" w14:paraId="651AEF6C" w14:textId="77777777" w:rsidTr="00631D68">
        <w:tc>
          <w:tcPr>
            <w:tcW w:w="3823" w:type="dxa"/>
          </w:tcPr>
          <w:p w14:paraId="7794B93D" w14:textId="77777777" w:rsidR="00B02873" w:rsidRPr="001E2445" w:rsidRDefault="00B02873" w:rsidP="00631D68">
            <w:pPr>
              <w:pStyle w:val="TablebodyleftFinancialsTables"/>
            </w:pPr>
            <w:r w:rsidRPr="001E2445">
              <w:t>Land held for sale</w:t>
            </w:r>
          </w:p>
        </w:tc>
        <w:tc>
          <w:tcPr>
            <w:tcW w:w="1134" w:type="dxa"/>
          </w:tcPr>
          <w:p w14:paraId="1F935B2A" w14:textId="77777777" w:rsidR="00B02873" w:rsidRPr="00631D68" w:rsidRDefault="00B02873" w:rsidP="00631D68">
            <w:pPr>
              <w:pStyle w:val="TablebodyleftFinancialsTables"/>
              <w:jc w:val="right"/>
              <w:rPr>
                <w:b/>
                <w:bCs/>
              </w:rPr>
            </w:pPr>
            <w:r w:rsidRPr="00631D68">
              <w:rPr>
                <w:b/>
                <w:bCs/>
              </w:rPr>
              <w:t>4,950</w:t>
            </w:r>
          </w:p>
        </w:tc>
        <w:tc>
          <w:tcPr>
            <w:tcW w:w="1559" w:type="dxa"/>
          </w:tcPr>
          <w:p w14:paraId="731D136D" w14:textId="77777777" w:rsidR="00B02873" w:rsidRPr="001E2445" w:rsidRDefault="00B02873" w:rsidP="00631D68">
            <w:pPr>
              <w:pStyle w:val="TablebodyleftFinancialsTables"/>
              <w:jc w:val="right"/>
            </w:pPr>
            <w:r w:rsidRPr="001E2445">
              <w:t>–</w:t>
            </w:r>
          </w:p>
        </w:tc>
        <w:tc>
          <w:tcPr>
            <w:tcW w:w="1559" w:type="dxa"/>
          </w:tcPr>
          <w:p w14:paraId="3D7F2D24" w14:textId="77777777" w:rsidR="00B02873" w:rsidRPr="001E2445" w:rsidRDefault="00B02873" w:rsidP="00631D68">
            <w:pPr>
              <w:pStyle w:val="TablebodyleftFinancialsTables"/>
              <w:jc w:val="right"/>
            </w:pPr>
            <w:r w:rsidRPr="001E2445">
              <w:t>4,950</w:t>
            </w:r>
          </w:p>
        </w:tc>
        <w:tc>
          <w:tcPr>
            <w:tcW w:w="1559" w:type="dxa"/>
          </w:tcPr>
          <w:p w14:paraId="52F39153" w14:textId="77777777" w:rsidR="00B02873" w:rsidRPr="001E2445" w:rsidRDefault="00B02873" w:rsidP="00631D68">
            <w:pPr>
              <w:pStyle w:val="TablebodyleftFinancialsTables"/>
              <w:jc w:val="right"/>
            </w:pPr>
            <w:r w:rsidRPr="001E2445">
              <w:t>–</w:t>
            </w:r>
          </w:p>
        </w:tc>
      </w:tr>
      <w:tr w:rsidR="00B02873" w:rsidRPr="001E2445" w14:paraId="1EE9B774" w14:textId="77777777" w:rsidTr="00631D68">
        <w:tc>
          <w:tcPr>
            <w:tcW w:w="3823" w:type="dxa"/>
          </w:tcPr>
          <w:p w14:paraId="555FED02" w14:textId="77777777" w:rsidR="00B02873" w:rsidRPr="001E2445" w:rsidRDefault="00B02873" w:rsidP="00631D68">
            <w:pPr>
              <w:pStyle w:val="TablebodyleftFinancialsTables"/>
            </w:pPr>
            <w:r w:rsidRPr="001E2445">
              <w:t>Right of use motor vehicles held for sale</w:t>
            </w:r>
          </w:p>
        </w:tc>
        <w:tc>
          <w:tcPr>
            <w:tcW w:w="1134" w:type="dxa"/>
          </w:tcPr>
          <w:p w14:paraId="5C143958" w14:textId="77777777" w:rsidR="00B02873" w:rsidRPr="00631D68" w:rsidRDefault="00B02873" w:rsidP="00631D68">
            <w:pPr>
              <w:pStyle w:val="TablebodyleftFinancialsTables"/>
              <w:jc w:val="right"/>
              <w:rPr>
                <w:b/>
                <w:bCs/>
              </w:rPr>
            </w:pPr>
            <w:r w:rsidRPr="00631D68">
              <w:rPr>
                <w:b/>
                <w:bCs/>
              </w:rPr>
              <w:t>1,389</w:t>
            </w:r>
          </w:p>
        </w:tc>
        <w:tc>
          <w:tcPr>
            <w:tcW w:w="1559" w:type="dxa"/>
          </w:tcPr>
          <w:p w14:paraId="0EE8DA16" w14:textId="77777777" w:rsidR="00B02873" w:rsidRPr="001E2445" w:rsidRDefault="00B02873" w:rsidP="00631D68">
            <w:pPr>
              <w:pStyle w:val="TablebodyleftFinancialsTables"/>
              <w:jc w:val="right"/>
            </w:pPr>
            <w:r w:rsidRPr="001E2445">
              <w:t>–</w:t>
            </w:r>
          </w:p>
        </w:tc>
        <w:tc>
          <w:tcPr>
            <w:tcW w:w="1559" w:type="dxa"/>
          </w:tcPr>
          <w:p w14:paraId="16032DCD" w14:textId="77777777" w:rsidR="00B02873" w:rsidRPr="001E2445" w:rsidRDefault="00B02873" w:rsidP="00631D68">
            <w:pPr>
              <w:pStyle w:val="TablebodyleftFinancialsTables"/>
              <w:jc w:val="right"/>
            </w:pPr>
            <w:r w:rsidRPr="001E2445">
              <w:t>1,389</w:t>
            </w:r>
          </w:p>
        </w:tc>
        <w:tc>
          <w:tcPr>
            <w:tcW w:w="1559" w:type="dxa"/>
          </w:tcPr>
          <w:p w14:paraId="1300C09B" w14:textId="77777777" w:rsidR="00B02873" w:rsidRPr="001E2445" w:rsidRDefault="00B02873" w:rsidP="00631D68">
            <w:pPr>
              <w:pStyle w:val="TablebodyleftFinancialsTables"/>
              <w:jc w:val="right"/>
            </w:pPr>
            <w:r w:rsidRPr="001E2445">
              <w:t>–</w:t>
            </w:r>
          </w:p>
        </w:tc>
      </w:tr>
      <w:tr w:rsidR="00B02873" w:rsidRPr="001E2445" w14:paraId="08BA24CE" w14:textId="77777777" w:rsidTr="00631D68">
        <w:tc>
          <w:tcPr>
            <w:tcW w:w="3823" w:type="dxa"/>
          </w:tcPr>
          <w:p w14:paraId="072F9903" w14:textId="77777777" w:rsidR="00B02873" w:rsidRPr="001E2445" w:rsidRDefault="00B02873" w:rsidP="00631D68">
            <w:pPr>
              <w:pStyle w:val="TablebodyleftFinancialsTables"/>
            </w:pPr>
            <w:r w:rsidRPr="001E2445">
              <w:t>Large scale generation certificates held for sale</w:t>
            </w:r>
          </w:p>
        </w:tc>
        <w:tc>
          <w:tcPr>
            <w:tcW w:w="1134" w:type="dxa"/>
          </w:tcPr>
          <w:p w14:paraId="480DC096" w14:textId="77777777" w:rsidR="00B02873" w:rsidRPr="00631D68" w:rsidRDefault="00B02873" w:rsidP="00631D68">
            <w:pPr>
              <w:pStyle w:val="TablebodyleftFinancialsTables"/>
              <w:jc w:val="right"/>
              <w:rPr>
                <w:b/>
                <w:bCs/>
              </w:rPr>
            </w:pPr>
            <w:r w:rsidRPr="00631D68">
              <w:rPr>
                <w:b/>
                <w:bCs/>
              </w:rPr>
              <w:t>3,867</w:t>
            </w:r>
          </w:p>
        </w:tc>
        <w:tc>
          <w:tcPr>
            <w:tcW w:w="1559" w:type="dxa"/>
          </w:tcPr>
          <w:p w14:paraId="52A212AF" w14:textId="77777777" w:rsidR="00B02873" w:rsidRPr="001E2445" w:rsidRDefault="00B02873" w:rsidP="00631D68">
            <w:pPr>
              <w:pStyle w:val="TablebodyleftFinancialsTables"/>
              <w:jc w:val="right"/>
            </w:pPr>
            <w:r w:rsidRPr="001E2445">
              <w:t>3,867</w:t>
            </w:r>
          </w:p>
        </w:tc>
        <w:tc>
          <w:tcPr>
            <w:tcW w:w="1559" w:type="dxa"/>
          </w:tcPr>
          <w:p w14:paraId="2EB39566" w14:textId="77777777" w:rsidR="00B02873" w:rsidRPr="001E2445" w:rsidRDefault="00B02873" w:rsidP="00631D68">
            <w:pPr>
              <w:pStyle w:val="TablebodyleftFinancialsTables"/>
              <w:jc w:val="right"/>
            </w:pPr>
            <w:r w:rsidRPr="001E2445">
              <w:t>–</w:t>
            </w:r>
          </w:p>
        </w:tc>
        <w:tc>
          <w:tcPr>
            <w:tcW w:w="1559" w:type="dxa"/>
          </w:tcPr>
          <w:p w14:paraId="3A772B05" w14:textId="77777777" w:rsidR="00B02873" w:rsidRPr="001E2445" w:rsidRDefault="00B02873" w:rsidP="00631D68">
            <w:pPr>
              <w:pStyle w:val="TablebodyleftFinancialsTables"/>
              <w:jc w:val="right"/>
            </w:pPr>
            <w:r w:rsidRPr="001E2445">
              <w:t>–</w:t>
            </w:r>
          </w:p>
        </w:tc>
      </w:tr>
      <w:tr w:rsidR="00B02873" w:rsidRPr="00631D68" w14:paraId="3AD827CC" w14:textId="77777777" w:rsidTr="00631D68">
        <w:tc>
          <w:tcPr>
            <w:tcW w:w="3823" w:type="dxa"/>
          </w:tcPr>
          <w:p w14:paraId="682298F9" w14:textId="77777777" w:rsidR="00B02873" w:rsidRPr="00631D68" w:rsidRDefault="00B02873" w:rsidP="00631D68">
            <w:pPr>
              <w:pStyle w:val="TablebodyleftFinancialsTables"/>
              <w:rPr>
                <w:b/>
                <w:bCs/>
              </w:rPr>
            </w:pPr>
            <w:r w:rsidRPr="00631D68">
              <w:rPr>
                <w:b/>
                <w:bCs/>
              </w:rPr>
              <w:t>Total</w:t>
            </w:r>
          </w:p>
        </w:tc>
        <w:tc>
          <w:tcPr>
            <w:tcW w:w="1134" w:type="dxa"/>
          </w:tcPr>
          <w:p w14:paraId="125373C2" w14:textId="77777777" w:rsidR="00B02873" w:rsidRPr="00631D68" w:rsidRDefault="00B02873" w:rsidP="00631D68">
            <w:pPr>
              <w:pStyle w:val="TablebodyleftFinancialsTables"/>
              <w:jc w:val="right"/>
              <w:rPr>
                <w:b/>
                <w:bCs/>
              </w:rPr>
            </w:pPr>
            <w:r w:rsidRPr="00631D68">
              <w:rPr>
                <w:b/>
                <w:bCs/>
              </w:rPr>
              <w:t>10,206</w:t>
            </w:r>
          </w:p>
        </w:tc>
        <w:tc>
          <w:tcPr>
            <w:tcW w:w="1559" w:type="dxa"/>
          </w:tcPr>
          <w:p w14:paraId="268C9126" w14:textId="77777777" w:rsidR="00B02873" w:rsidRPr="00631D68" w:rsidRDefault="00B02873" w:rsidP="00631D68">
            <w:pPr>
              <w:pStyle w:val="TablebodyleftFinancialsTables"/>
              <w:jc w:val="right"/>
              <w:rPr>
                <w:b/>
                <w:bCs/>
              </w:rPr>
            </w:pPr>
            <w:r w:rsidRPr="00631D68">
              <w:rPr>
                <w:b/>
                <w:bCs/>
              </w:rPr>
              <w:t>3,867</w:t>
            </w:r>
          </w:p>
        </w:tc>
        <w:tc>
          <w:tcPr>
            <w:tcW w:w="1559" w:type="dxa"/>
          </w:tcPr>
          <w:p w14:paraId="79A93711" w14:textId="77777777" w:rsidR="00B02873" w:rsidRPr="00631D68" w:rsidRDefault="00B02873" w:rsidP="00631D68">
            <w:pPr>
              <w:pStyle w:val="TablebodyleftFinancialsTables"/>
              <w:jc w:val="right"/>
              <w:rPr>
                <w:b/>
                <w:bCs/>
              </w:rPr>
            </w:pPr>
            <w:r w:rsidRPr="00631D68">
              <w:rPr>
                <w:b/>
                <w:bCs/>
              </w:rPr>
              <w:t>6,339</w:t>
            </w:r>
          </w:p>
        </w:tc>
        <w:tc>
          <w:tcPr>
            <w:tcW w:w="1559" w:type="dxa"/>
          </w:tcPr>
          <w:p w14:paraId="6BB28654" w14:textId="77777777" w:rsidR="00B02873" w:rsidRPr="00631D68" w:rsidRDefault="00B02873" w:rsidP="00631D68">
            <w:pPr>
              <w:pStyle w:val="TablebodyleftFinancialsTables"/>
              <w:jc w:val="right"/>
              <w:rPr>
                <w:b/>
                <w:bCs/>
              </w:rPr>
            </w:pPr>
            <w:r w:rsidRPr="00631D68">
              <w:rPr>
                <w:b/>
                <w:bCs/>
              </w:rPr>
              <w:t>–</w:t>
            </w:r>
          </w:p>
        </w:tc>
      </w:tr>
      <w:tr w:rsidR="00B02873" w:rsidRPr="001E2445" w14:paraId="297BC581" w14:textId="77777777" w:rsidTr="00631D68">
        <w:tc>
          <w:tcPr>
            <w:tcW w:w="3823" w:type="dxa"/>
          </w:tcPr>
          <w:p w14:paraId="117B8A83" w14:textId="77777777" w:rsidR="00B02873" w:rsidRPr="00631D68" w:rsidRDefault="00B02873" w:rsidP="00631D68">
            <w:pPr>
              <w:pStyle w:val="TablebodyleftFinancialsTables"/>
              <w:rPr>
                <w:b/>
                <w:bCs/>
              </w:rPr>
            </w:pPr>
            <w:r w:rsidRPr="00631D68">
              <w:rPr>
                <w:b/>
                <w:bCs/>
              </w:rPr>
              <w:t>2021</w:t>
            </w:r>
          </w:p>
        </w:tc>
        <w:tc>
          <w:tcPr>
            <w:tcW w:w="1134" w:type="dxa"/>
          </w:tcPr>
          <w:p w14:paraId="4B7D8F6B" w14:textId="77777777" w:rsidR="00B02873" w:rsidRPr="001E2445" w:rsidRDefault="00B02873" w:rsidP="00631D68">
            <w:pPr>
              <w:pStyle w:val="TablebodyleftFinancialsTables"/>
              <w:jc w:val="right"/>
            </w:pPr>
          </w:p>
        </w:tc>
        <w:tc>
          <w:tcPr>
            <w:tcW w:w="1559" w:type="dxa"/>
          </w:tcPr>
          <w:p w14:paraId="2AF3CED1" w14:textId="77777777" w:rsidR="00B02873" w:rsidRPr="001E2445" w:rsidRDefault="00B02873" w:rsidP="00631D68">
            <w:pPr>
              <w:pStyle w:val="TablebodyleftFinancialsTables"/>
              <w:jc w:val="right"/>
            </w:pPr>
          </w:p>
        </w:tc>
        <w:tc>
          <w:tcPr>
            <w:tcW w:w="1559" w:type="dxa"/>
          </w:tcPr>
          <w:p w14:paraId="665204AF" w14:textId="77777777" w:rsidR="00B02873" w:rsidRPr="001E2445" w:rsidRDefault="00B02873" w:rsidP="00631D68">
            <w:pPr>
              <w:pStyle w:val="TablebodyleftFinancialsTables"/>
              <w:jc w:val="right"/>
            </w:pPr>
          </w:p>
        </w:tc>
        <w:tc>
          <w:tcPr>
            <w:tcW w:w="1559" w:type="dxa"/>
          </w:tcPr>
          <w:p w14:paraId="738AA8D4" w14:textId="77777777" w:rsidR="00B02873" w:rsidRPr="001E2445" w:rsidRDefault="00B02873" w:rsidP="00631D68">
            <w:pPr>
              <w:pStyle w:val="TablebodyleftFinancialsTables"/>
              <w:jc w:val="right"/>
            </w:pPr>
          </w:p>
        </w:tc>
      </w:tr>
      <w:tr w:rsidR="00B02873" w:rsidRPr="001E2445" w14:paraId="086642CF" w14:textId="77777777" w:rsidTr="00631D68">
        <w:tc>
          <w:tcPr>
            <w:tcW w:w="3823" w:type="dxa"/>
          </w:tcPr>
          <w:p w14:paraId="0C549C57" w14:textId="77777777" w:rsidR="00B02873" w:rsidRPr="001E2445" w:rsidRDefault="00B02873" w:rsidP="00631D68">
            <w:pPr>
              <w:pStyle w:val="TablebodyleftFinancialsTables"/>
            </w:pPr>
            <w:r w:rsidRPr="001E2445">
              <w:t>Land held for sale</w:t>
            </w:r>
          </w:p>
        </w:tc>
        <w:tc>
          <w:tcPr>
            <w:tcW w:w="1134" w:type="dxa"/>
          </w:tcPr>
          <w:p w14:paraId="24FE6B1B" w14:textId="77777777" w:rsidR="00B02873" w:rsidRPr="001E2445" w:rsidRDefault="00B02873" w:rsidP="00631D68">
            <w:pPr>
              <w:pStyle w:val="TablebodyleftFinancialsTables"/>
              <w:jc w:val="right"/>
            </w:pPr>
            <w:r w:rsidRPr="001E2445">
              <w:t>7,426</w:t>
            </w:r>
          </w:p>
        </w:tc>
        <w:tc>
          <w:tcPr>
            <w:tcW w:w="1559" w:type="dxa"/>
          </w:tcPr>
          <w:p w14:paraId="4F5FB8CF" w14:textId="77777777" w:rsidR="00B02873" w:rsidRPr="001E2445" w:rsidRDefault="00B02873" w:rsidP="00631D68">
            <w:pPr>
              <w:pStyle w:val="TablebodyleftFinancialsTables"/>
              <w:jc w:val="right"/>
            </w:pPr>
            <w:r w:rsidRPr="001E2445">
              <w:t>–</w:t>
            </w:r>
          </w:p>
        </w:tc>
        <w:tc>
          <w:tcPr>
            <w:tcW w:w="1559" w:type="dxa"/>
          </w:tcPr>
          <w:p w14:paraId="2641BA69" w14:textId="77777777" w:rsidR="00B02873" w:rsidRPr="001E2445" w:rsidRDefault="00B02873" w:rsidP="00631D68">
            <w:pPr>
              <w:pStyle w:val="TablebodyleftFinancialsTables"/>
              <w:jc w:val="right"/>
            </w:pPr>
            <w:r w:rsidRPr="001E2445">
              <w:t>7,426</w:t>
            </w:r>
          </w:p>
        </w:tc>
        <w:tc>
          <w:tcPr>
            <w:tcW w:w="1559" w:type="dxa"/>
          </w:tcPr>
          <w:p w14:paraId="4299267C" w14:textId="77777777" w:rsidR="00B02873" w:rsidRPr="001E2445" w:rsidRDefault="00B02873" w:rsidP="00631D68">
            <w:pPr>
              <w:pStyle w:val="TablebodyleftFinancialsTables"/>
              <w:jc w:val="right"/>
            </w:pPr>
            <w:r w:rsidRPr="001E2445">
              <w:t>–</w:t>
            </w:r>
          </w:p>
        </w:tc>
      </w:tr>
      <w:tr w:rsidR="00B02873" w:rsidRPr="001E2445" w14:paraId="109DB6B2" w14:textId="77777777" w:rsidTr="00631D68">
        <w:tc>
          <w:tcPr>
            <w:tcW w:w="3823" w:type="dxa"/>
          </w:tcPr>
          <w:p w14:paraId="561DB7EB" w14:textId="77777777" w:rsidR="00B02873" w:rsidRPr="001E2445" w:rsidRDefault="00B02873" w:rsidP="00631D68">
            <w:pPr>
              <w:pStyle w:val="TablebodyleftFinancialsTables"/>
            </w:pPr>
            <w:r w:rsidRPr="001E2445">
              <w:t>Right of use motor vehicles held for sale</w:t>
            </w:r>
          </w:p>
        </w:tc>
        <w:tc>
          <w:tcPr>
            <w:tcW w:w="1134" w:type="dxa"/>
          </w:tcPr>
          <w:p w14:paraId="4D259F77" w14:textId="77777777" w:rsidR="00B02873" w:rsidRPr="001E2445" w:rsidRDefault="00B02873" w:rsidP="00631D68">
            <w:pPr>
              <w:pStyle w:val="TablebodyleftFinancialsTables"/>
              <w:jc w:val="right"/>
            </w:pPr>
            <w:r w:rsidRPr="001E2445">
              <w:t>1,148</w:t>
            </w:r>
          </w:p>
        </w:tc>
        <w:tc>
          <w:tcPr>
            <w:tcW w:w="1559" w:type="dxa"/>
          </w:tcPr>
          <w:p w14:paraId="3763840E" w14:textId="77777777" w:rsidR="00B02873" w:rsidRPr="001E2445" w:rsidRDefault="00B02873" w:rsidP="00631D68">
            <w:pPr>
              <w:pStyle w:val="TablebodyleftFinancialsTables"/>
              <w:jc w:val="right"/>
            </w:pPr>
            <w:r w:rsidRPr="001E2445">
              <w:t>–</w:t>
            </w:r>
          </w:p>
        </w:tc>
        <w:tc>
          <w:tcPr>
            <w:tcW w:w="1559" w:type="dxa"/>
          </w:tcPr>
          <w:p w14:paraId="7FCDCF2B" w14:textId="77777777" w:rsidR="00B02873" w:rsidRPr="001E2445" w:rsidRDefault="00B02873" w:rsidP="00631D68">
            <w:pPr>
              <w:pStyle w:val="TablebodyleftFinancialsTables"/>
              <w:jc w:val="right"/>
            </w:pPr>
            <w:r w:rsidRPr="001E2445">
              <w:t>1,148</w:t>
            </w:r>
          </w:p>
        </w:tc>
        <w:tc>
          <w:tcPr>
            <w:tcW w:w="1559" w:type="dxa"/>
          </w:tcPr>
          <w:p w14:paraId="1591ACC5" w14:textId="77777777" w:rsidR="00B02873" w:rsidRPr="001E2445" w:rsidRDefault="00B02873" w:rsidP="00631D68">
            <w:pPr>
              <w:pStyle w:val="TablebodyleftFinancialsTables"/>
              <w:jc w:val="right"/>
            </w:pPr>
            <w:r w:rsidRPr="001E2445">
              <w:t>–</w:t>
            </w:r>
          </w:p>
        </w:tc>
      </w:tr>
      <w:tr w:rsidR="00B02873" w:rsidRPr="001E2445" w14:paraId="54D229B8" w14:textId="77777777" w:rsidTr="00631D68">
        <w:tc>
          <w:tcPr>
            <w:tcW w:w="3823" w:type="dxa"/>
          </w:tcPr>
          <w:p w14:paraId="0D7675D4" w14:textId="77777777" w:rsidR="00B02873" w:rsidRPr="001E2445" w:rsidRDefault="00B02873" w:rsidP="00631D68">
            <w:pPr>
              <w:pStyle w:val="TablebodyleftFinancialsTables"/>
            </w:pPr>
            <w:r w:rsidRPr="001E2445">
              <w:t>Large scale generation certificates held for sale</w:t>
            </w:r>
          </w:p>
        </w:tc>
        <w:tc>
          <w:tcPr>
            <w:tcW w:w="1134" w:type="dxa"/>
          </w:tcPr>
          <w:p w14:paraId="1492EB1C" w14:textId="77777777" w:rsidR="00B02873" w:rsidRPr="001E2445" w:rsidRDefault="00B02873" w:rsidP="00631D68">
            <w:pPr>
              <w:pStyle w:val="TablebodyleftFinancialsTables"/>
              <w:jc w:val="right"/>
            </w:pPr>
            <w:r w:rsidRPr="001E2445">
              <w:t>2,400</w:t>
            </w:r>
          </w:p>
        </w:tc>
        <w:tc>
          <w:tcPr>
            <w:tcW w:w="1559" w:type="dxa"/>
          </w:tcPr>
          <w:p w14:paraId="63524146" w14:textId="77777777" w:rsidR="00B02873" w:rsidRPr="001E2445" w:rsidRDefault="00B02873" w:rsidP="00631D68">
            <w:pPr>
              <w:pStyle w:val="TablebodyleftFinancialsTables"/>
              <w:jc w:val="right"/>
            </w:pPr>
            <w:r w:rsidRPr="001E2445">
              <w:t>2,400</w:t>
            </w:r>
          </w:p>
        </w:tc>
        <w:tc>
          <w:tcPr>
            <w:tcW w:w="1559" w:type="dxa"/>
          </w:tcPr>
          <w:p w14:paraId="659F0BCB" w14:textId="77777777" w:rsidR="00B02873" w:rsidRPr="001E2445" w:rsidRDefault="00B02873" w:rsidP="00631D68">
            <w:pPr>
              <w:pStyle w:val="TablebodyleftFinancialsTables"/>
              <w:jc w:val="right"/>
            </w:pPr>
            <w:r w:rsidRPr="001E2445">
              <w:t>–</w:t>
            </w:r>
          </w:p>
        </w:tc>
        <w:tc>
          <w:tcPr>
            <w:tcW w:w="1559" w:type="dxa"/>
          </w:tcPr>
          <w:p w14:paraId="21946422" w14:textId="77777777" w:rsidR="00B02873" w:rsidRPr="001E2445" w:rsidRDefault="00B02873" w:rsidP="00631D68">
            <w:pPr>
              <w:pStyle w:val="TablebodyleftFinancialsTables"/>
              <w:jc w:val="right"/>
            </w:pPr>
            <w:r w:rsidRPr="001E2445">
              <w:t>–</w:t>
            </w:r>
          </w:p>
        </w:tc>
      </w:tr>
      <w:tr w:rsidR="00B02873" w:rsidRPr="00631D68" w14:paraId="1E0B7857" w14:textId="77777777" w:rsidTr="00631D68">
        <w:tc>
          <w:tcPr>
            <w:tcW w:w="3823" w:type="dxa"/>
          </w:tcPr>
          <w:p w14:paraId="1D97489E" w14:textId="77777777" w:rsidR="00B02873" w:rsidRPr="00631D68" w:rsidRDefault="00B02873" w:rsidP="00631D68">
            <w:pPr>
              <w:pStyle w:val="TablebodyleftFinancialsTables"/>
              <w:rPr>
                <w:b/>
                <w:bCs/>
              </w:rPr>
            </w:pPr>
            <w:r w:rsidRPr="00631D68">
              <w:rPr>
                <w:b/>
                <w:bCs/>
              </w:rPr>
              <w:t>Total</w:t>
            </w:r>
          </w:p>
        </w:tc>
        <w:tc>
          <w:tcPr>
            <w:tcW w:w="1134" w:type="dxa"/>
          </w:tcPr>
          <w:p w14:paraId="4FC9A7E5" w14:textId="77777777" w:rsidR="00B02873" w:rsidRPr="00631D68" w:rsidRDefault="00B02873" w:rsidP="00631D68">
            <w:pPr>
              <w:pStyle w:val="TablebodyleftFinancialsTables"/>
              <w:jc w:val="right"/>
              <w:rPr>
                <w:b/>
                <w:bCs/>
              </w:rPr>
            </w:pPr>
            <w:r w:rsidRPr="00631D68">
              <w:rPr>
                <w:b/>
                <w:bCs/>
              </w:rPr>
              <w:t>10,974</w:t>
            </w:r>
          </w:p>
        </w:tc>
        <w:tc>
          <w:tcPr>
            <w:tcW w:w="1559" w:type="dxa"/>
          </w:tcPr>
          <w:p w14:paraId="063AD583" w14:textId="77777777" w:rsidR="00B02873" w:rsidRPr="00631D68" w:rsidRDefault="00B02873" w:rsidP="00631D68">
            <w:pPr>
              <w:pStyle w:val="TablebodyleftFinancialsTables"/>
              <w:jc w:val="right"/>
              <w:rPr>
                <w:b/>
                <w:bCs/>
              </w:rPr>
            </w:pPr>
            <w:r w:rsidRPr="00631D68">
              <w:rPr>
                <w:b/>
                <w:bCs/>
              </w:rPr>
              <w:t>2,400</w:t>
            </w:r>
          </w:p>
        </w:tc>
        <w:tc>
          <w:tcPr>
            <w:tcW w:w="1559" w:type="dxa"/>
          </w:tcPr>
          <w:p w14:paraId="1A1DA37C" w14:textId="77777777" w:rsidR="00B02873" w:rsidRPr="00631D68" w:rsidRDefault="00B02873" w:rsidP="00631D68">
            <w:pPr>
              <w:pStyle w:val="TablebodyleftFinancialsTables"/>
              <w:jc w:val="right"/>
              <w:rPr>
                <w:b/>
                <w:bCs/>
              </w:rPr>
            </w:pPr>
            <w:r w:rsidRPr="00631D68">
              <w:rPr>
                <w:b/>
                <w:bCs/>
              </w:rPr>
              <w:t>8,574</w:t>
            </w:r>
          </w:p>
        </w:tc>
        <w:tc>
          <w:tcPr>
            <w:tcW w:w="1559" w:type="dxa"/>
          </w:tcPr>
          <w:p w14:paraId="7E159BEB" w14:textId="77777777" w:rsidR="00B02873" w:rsidRPr="00631D68" w:rsidRDefault="00B02873" w:rsidP="00631D68">
            <w:pPr>
              <w:pStyle w:val="TablebodyleftFinancialsTables"/>
              <w:jc w:val="right"/>
              <w:rPr>
                <w:b/>
                <w:bCs/>
              </w:rPr>
            </w:pPr>
            <w:r w:rsidRPr="00631D68">
              <w:rPr>
                <w:b/>
                <w:bCs/>
              </w:rPr>
              <w:t>–</w:t>
            </w:r>
          </w:p>
        </w:tc>
      </w:tr>
    </w:tbl>
    <w:p w14:paraId="39145FB9" w14:textId="77777777" w:rsidR="00B02873" w:rsidRDefault="00B02873" w:rsidP="00FE198A"/>
    <w:p w14:paraId="5DA905EF" w14:textId="77777777" w:rsidR="00B02873" w:rsidRDefault="00B02873" w:rsidP="00FE198A">
      <w:r>
        <w:rPr>
          <w:spacing w:val="-4"/>
        </w:rPr>
        <w:t>There have been no transfers between levels during the period. There were no changes in valuation techniques throughout the period to 30 June 2022. The department has assessed that the COVID-19 pandemic may have impacts on the fair value and has not been factored into the carrying amount. This may result in change of the balances in the next 12 months.</w:t>
      </w:r>
    </w:p>
    <w:p w14:paraId="385597D6" w14:textId="77777777" w:rsidR="00B02873" w:rsidRDefault="00B02873" w:rsidP="00FE198A">
      <w:r>
        <w:rPr>
          <w:spacing w:val="-4"/>
        </w:rPr>
        <w:t xml:space="preserve">Land held for sale is measured at the lower of carrying amount and fair value less costs to sell. The market based direct comparison method is used to value land held for sale. Valuation of the land is determined by analysing comparable sales and allowing for share, size, topography, location and other relevant factors specific to the land being valued. </w:t>
      </w:r>
    </w:p>
    <w:p w14:paraId="46AEC9CE" w14:textId="77777777" w:rsidR="00B02873" w:rsidRDefault="00B02873" w:rsidP="00FE198A">
      <w:r>
        <w:t>Motor vehicles held for sale are carried at fair value less costs of disposal. To the extent that non-financial physical assets classified as held for sale do not contain significant, unobservable price inputs, these assets are classified as Level 2 under the market approach.</w:t>
      </w:r>
    </w:p>
    <w:p w14:paraId="3A80AE3E" w14:textId="69783145" w:rsidR="00B02873" w:rsidRDefault="00B02873" w:rsidP="00FE198A">
      <w:r>
        <w:t xml:space="preserve">Large scale generation certificates held for sale are carried at fair value less costs to sell. The fair value is determined by the department with reference to observable market prices of large-scale generation certificates currently trading in the market as at reporting date. Given there is an active market for the certificates, these assets are classified as Level 1. </w:t>
      </w:r>
    </w:p>
    <w:p w14:paraId="75A94228" w14:textId="77777777" w:rsidR="00B02873" w:rsidRDefault="00B02873" w:rsidP="00631D68">
      <w:pPr>
        <w:pStyle w:val="Heading3"/>
      </w:pPr>
      <w:r>
        <w:t>5.3 Intangible assets</w:t>
      </w:r>
    </w:p>
    <w:tbl>
      <w:tblPr>
        <w:tblStyle w:val="TableGrid"/>
        <w:tblW w:w="0" w:type="auto"/>
        <w:tblLayout w:type="fixed"/>
        <w:tblLook w:val="0020" w:firstRow="1" w:lastRow="0" w:firstColumn="0" w:lastColumn="0" w:noHBand="0" w:noVBand="0"/>
      </w:tblPr>
      <w:tblGrid>
        <w:gridCol w:w="7257"/>
        <w:gridCol w:w="1190"/>
        <w:gridCol w:w="1191"/>
      </w:tblGrid>
      <w:tr w:rsidR="00B02873" w:rsidRPr="00B02873" w14:paraId="166C0D34" w14:textId="77777777" w:rsidTr="00631D68">
        <w:trPr>
          <w:cnfStyle w:val="100000000000" w:firstRow="1" w:lastRow="0" w:firstColumn="0" w:lastColumn="0" w:oddVBand="0" w:evenVBand="0" w:oddHBand="0" w:evenHBand="0" w:firstRowFirstColumn="0" w:firstRowLastColumn="0" w:lastRowFirstColumn="0" w:lastRowLastColumn="0"/>
          <w:tblHeader/>
        </w:trPr>
        <w:tc>
          <w:tcPr>
            <w:tcW w:w="7257" w:type="dxa"/>
          </w:tcPr>
          <w:p w14:paraId="795BFD3A" w14:textId="77777777" w:rsidR="00B02873" w:rsidRPr="00B02873" w:rsidRDefault="00B02873" w:rsidP="00631D68">
            <w:pPr>
              <w:pStyle w:val="TableheadingleftFinancialsTables"/>
            </w:pPr>
          </w:p>
        </w:tc>
        <w:tc>
          <w:tcPr>
            <w:tcW w:w="1190" w:type="dxa"/>
          </w:tcPr>
          <w:p w14:paraId="590E8E48" w14:textId="77777777" w:rsidR="00B02873" w:rsidRPr="00631D68" w:rsidRDefault="00B02873" w:rsidP="00631D68">
            <w:pPr>
              <w:pStyle w:val="TableheadingleftFinancialsTables"/>
              <w:jc w:val="right"/>
            </w:pPr>
            <w:r w:rsidRPr="00631D68">
              <w:t>2022</w:t>
            </w:r>
            <w:r w:rsidRPr="00631D68">
              <w:br/>
              <w:t>$’000</w:t>
            </w:r>
          </w:p>
        </w:tc>
        <w:tc>
          <w:tcPr>
            <w:tcW w:w="1191" w:type="dxa"/>
          </w:tcPr>
          <w:p w14:paraId="1E7555DF" w14:textId="77777777" w:rsidR="00B02873" w:rsidRDefault="00B02873" w:rsidP="00631D68">
            <w:pPr>
              <w:pStyle w:val="TableheadingleftFinancialsTables"/>
              <w:jc w:val="right"/>
            </w:pPr>
            <w:r>
              <w:t>2021</w:t>
            </w:r>
            <w:r>
              <w:br/>
              <w:t>$’000</w:t>
            </w:r>
          </w:p>
        </w:tc>
      </w:tr>
      <w:tr w:rsidR="00B02873" w:rsidRPr="00B02873" w14:paraId="05652347" w14:textId="77777777" w:rsidTr="00631D68">
        <w:tc>
          <w:tcPr>
            <w:tcW w:w="7257" w:type="dxa"/>
          </w:tcPr>
          <w:p w14:paraId="4A43386A" w14:textId="77777777" w:rsidR="00B02873" w:rsidRPr="00631D68" w:rsidRDefault="00B02873" w:rsidP="00631D68">
            <w:pPr>
              <w:pStyle w:val="TablebodyleftFinancialsTables"/>
              <w:rPr>
                <w:b/>
                <w:bCs/>
              </w:rPr>
            </w:pPr>
            <w:r w:rsidRPr="00631D68">
              <w:rPr>
                <w:b/>
                <w:bCs/>
              </w:rPr>
              <w:t>Software</w:t>
            </w:r>
          </w:p>
        </w:tc>
        <w:tc>
          <w:tcPr>
            <w:tcW w:w="1190" w:type="dxa"/>
          </w:tcPr>
          <w:p w14:paraId="0FD82103" w14:textId="77777777" w:rsidR="00B02873" w:rsidRPr="00631D68" w:rsidRDefault="00B02873" w:rsidP="00631D68">
            <w:pPr>
              <w:pStyle w:val="TablebodyleftFinancialsTables"/>
              <w:jc w:val="right"/>
              <w:rPr>
                <w:rFonts w:ascii="VIC Bold Italic" w:hAnsi="VIC Bold Italic" w:cs="Times New Roman"/>
                <w:b/>
                <w:bCs/>
              </w:rPr>
            </w:pPr>
          </w:p>
        </w:tc>
        <w:tc>
          <w:tcPr>
            <w:tcW w:w="1191" w:type="dxa"/>
          </w:tcPr>
          <w:p w14:paraId="71773625" w14:textId="77777777" w:rsidR="00B02873" w:rsidRPr="00B02873" w:rsidRDefault="00B02873" w:rsidP="00631D68">
            <w:pPr>
              <w:pStyle w:val="TablebodyleftFinancialsTables"/>
              <w:jc w:val="right"/>
              <w:rPr>
                <w:rFonts w:ascii="VIC Bold Italic" w:hAnsi="VIC Bold Italic" w:cs="Times New Roman"/>
              </w:rPr>
            </w:pPr>
          </w:p>
        </w:tc>
      </w:tr>
      <w:tr w:rsidR="00B02873" w:rsidRPr="00B02873" w14:paraId="0DFDCF86" w14:textId="77777777" w:rsidTr="00631D68">
        <w:tc>
          <w:tcPr>
            <w:tcW w:w="7257" w:type="dxa"/>
          </w:tcPr>
          <w:p w14:paraId="14071BC2" w14:textId="77777777" w:rsidR="00B02873" w:rsidRDefault="00B02873" w:rsidP="00631D68">
            <w:pPr>
              <w:pStyle w:val="TablebodyleftFinancialsTables"/>
            </w:pPr>
            <w:r>
              <w:t xml:space="preserve">At cost </w:t>
            </w:r>
          </w:p>
        </w:tc>
        <w:tc>
          <w:tcPr>
            <w:tcW w:w="1190" w:type="dxa"/>
          </w:tcPr>
          <w:p w14:paraId="6FC0A775" w14:textId="77777777" w:rsidR="00B02873" w:rsidRPr="00631D68" w:rsidRDefault="00B02873" w:rsidP="00631D68">
            <w:pPr>
              <w:pStyle w:val="TablebodyleftFinancialsTables"/>
              <w:jc w:val="right"/>
              <w:rPr>
                <w:b/>
                <w:bCs/>
              </w:rPr>
            </w:pPr>
            <w:r w:rsidRPr="00631D68">
              <w:rPr>
                <w:b/>
                <w:bCs/>
              </w:rPr>
              <w:t>69,126</w:t>
            </w:r>
          </w:p>
        </w:tc>
        <w:tc>
          <w:tcPr>
            <w:tcW w:w="1191" w:type="dxa"/>
          </w:tcPr>
          <w:p w14:paraId="4CE5265E" w14:textId="77777777" w:rsidR="00B02873" w:rsidRDefault="00B02873" w:rsidP="00631D68">
            <w:pPr>
              <w:pStyle w:val="TablebodyleftFinancialsTables"/>
              <w:jc w:val="right"/>
            </w:pPr>
            <w:r>
              <w:t>68,232</w:t>
            </w:r>
          </w:p>
        </w:tc>
      </w:tr>
      <w:tr w:rsidR="00B02873" w:rsidRPr="00B02873" w14:paraId="29121198" w14:textId="77777777" w:rsidTr="00631D68">
        <w:tc>
          <w:tcPr>
            <w:tcW w:w="7257" w:type="dxa"/>
          </w:tcPr>
          <w:p w14:paraId="5D0F0651" w14:textId="77777777" w:rsidR="00B02873" w:rsidRDefault="00B02873" w:rsidP="00631D68">
            <w:pPr>
              <w:pStyle w:val="TablebodyleftFinancialsTables"/>
            </w:pPr>
            <w:r>
              <w:t>Less accumulated amortisation</w:t>
            </w:r>
          </w:p>
        </w:tc>
        <w:tc>
          <w:tcPr>
            <w:tcW w:w="1190" w:type="dxa"/>
          </w:tcPr>
          <w:p w14:paraId="24724BEF" w14:textId="77777777" w:rsidR="00B02873" w:rsidRPr="00631D68" w:rsidRDefault="00B02873" w:rsidP="00631D68">
            <w:pPr>
              <w:pStyle w:val="TablebodyleftFinancialsTables"/>
              <w:jc w:val="right"/>
              <w:rPr>
                <w:b/>
                <w:bCs/>
              </w:rPr>
            </w:pPr>
            <w:r w:rsidRPr="00631D68">
              <w:rPr>
                <w:b/>
                <w:bCs/>
              </w:rPr>
              <w:t>(35,259)</w:t>
            </w:r>
          </w:p>
        </w:tc>
        <w:tc>
          <w:tcPr>
            <w:tcW w:w="1191" w:type="dxa"/>
          </w:tcPr>
          <w:p w14:paraId="4FD7E8FD" w14:textId="77777777" w:rsidR="00B02873" w:rsidRDefault="00B02873" w:rsidP="00631D68">
            <w:pPr>
              <w:pStyle w:val="TablebodyleftFinancialsTables"/>
              <w:jc w:val="right"/>
            </w:pPr>
            <w:r>
              <w:t>(29,303)</w:t>
            </w:r>
          </w:p>
        </w:tc>
      </w:tr>
      <w:tr w:rsidR="00B02873" w:rsidRPr="00B02873" w14:paraId="47CBC53B" w14:textId="77777777" w:rsidTr="00631D68">
        <w:tc>
          <w:tcPr>
            <w:tcW w:w="7257" w:type="dxa"/>
          </w:tcPr>
          <w:p w14:paraId="3539CC56" w14:textId="77777777" w:rsidR="00B02873" w:rsidRPr="00B02873" w:rsidRDefault="00B02873" w:rsidP="00631D68">
            <w:pPr>
              <w:pStyle w:val="TablebodyleftFinancialsTables"/>
              <w:rPr>
                <w:rFonts w:ascii="VIC Bold Italic" w:hAnsi="VIC Bold Italic" w:cs="Times New Roman"/>
              </w:rPr>
            </w:pPr>
          </w:p>
        </w:tc>
        <w:tc>
          <w:tcPr>
            <w:tcW w:w="1190" w:type="dxa"/>
          </w:tcPr>
          <w:p w14:paraId="0560CA19" w14:textId="77777777" w:rsidR="00B02873" w:rsidRPr="00631D68" w:rsidRDefault="00B02873" w:rsidP="00631D68">
            <w:pPr>
              <w:pStyle w:val="TablebodyleftFinancialsTables"/>
              <w:jc w:val="right"/>
              <w:rPr>
                <w:b/>
                <w:bCs/>
              </w:rPr>
            </w:pPr>
            <w:r w:rsidRPr="00631D68">
              <w:rPr>
                <w:b/>
                <w:bCs/>
              </w:rPr>
              <w:t>33,867</w:t>
            </w:r>
          </w:p>
        </w:tc>
        <w:tc>
          <w:tcPr>
            <w:tcW w:w="1191" w:type="dxa"/>
          </w:tcPr>
          <w:p w14:paraId="6D35E62A" w14:textId="77777777" w:rsidR="00B02873" w:rsidRDefault="00B02873" w:rsidP="00631D68">
            <w:pPr>
              <w:pStyle w:val="TablebodyleftFinancialsTables"/>
              <w:jc w:val="right"/>
            </w:pPr>
            <w:r>
              <w:t>38,929</w:t>
            </w:r>
          </w:p>
        </w:tc>
      </w:tr>
      <w:tr w:rsidR="00B02873" w:rsidRPr="00B02873" w14:paraId="41A87CAF" w14:textId="77777777" w:rsidTr="00631D68">
        <w:tc>
          <w:tcPr>
            <w:tcW w:w="7257" w:type="dxa"/>
          </w:tcPr>
          <w:p w14:paraId="6F5A3888" w14:textId="77777777" w:rsidR="00B02873" w:rsidRDefault="00B02873" w:rsidP="00631D68">
            <w:pPr>
              <w:pStyle w:val="TablebodyleftFinancialsTables"/>
            </w:pPr>
            <w:r>
              <w:t>Construction in progress – at cost</w:t>
            </w:r>
          </w:p>
        </w:tc>
        <w:tc>
          <w:tcPr>
            <w:tcW w:w="1190" w:type="dxa"/>
          </w:tcPr>
          <w:p w14:paraId="733799E9" w14:textId="77777777" w:rsidR="00B02873" w:rsidRPr="00631D68" w:rsidRDefault="00B02873" w:rsidP="00631D68">
            <w:pPr>
              <w:pStyle w:val="TablebodyleftFinancialsTables"/>
              <w:jc w:val="right"/>
              <w:rPr>
                <w:b/>
                <w:bCs/>
              </w:rPr>
            </w:pPr>
            <w:r w:rsidRPr="00631D68">
              <w:rPr>
                <w:b/>
                <w:bCs/>
              </w:rPr>
              <w:t>12,133</w:t>
            </w:r>
          </w:p>
        </w:tc>
        <w:tc>
          <w:tcPr>
            <w:tcW w:w="1191" w:type="dxa"/>
          </w:tcPr>
          <w:p w14:paraId="37187E0D" w14:textId="77777777" w:rsidR="00B02873" w:rsidRDefault="00B02873" w:rsidP="00631D68">
            <w:pPr>
              <w:pStyle w:val="TablebodyleftFinancialsTables"/>
              <w:jc w:val="right"/>
            </w:pPr>
            <w:r>
              <w:t>924</w:t>
            </w:r>
          </w:p>
        </w:tc>
      </w:tr>
      <w:tr w:rsidR="00B02873" w:rsidRPr="00B02873" w14:paraId="18791E63" w14:textId="77777777" w:rsidTr="00631D68">
        <w:tc>
          <w:tcPr>
            <w:tcW w:w="7257" w:type="dxa"/>
          </w:tcPr>
          <w:p w14:paraId="77C415BF" w14:textId="77777777" w:rsidR="00B02873" w:rsidRPr="00631D68" w:rsidRDefault="00B02873" w:rsidP="00631D68">
            <w:pPr>
              <w:pStyle w:val="TablebodyleftFinancialsTables"/>
              <w:rPr>
                <w:b/>
                <w:bCs/>
              </w:rPr>
            </w:pPr>
            <w:r w:rsidRPr="00631D68">
              <w:rPr>
                <w:b/>
                <w:bCs/>
              </w:rPr>
              <w:t>Total software</w:t>
            </w:r>
          </w:p>
        </w:tc>
        <w:tc>
          <w:tcPr>
            <w:tcW w:w="1190" w:type="dxa"/>
          </w:tcPr>
          <w:p w14:paraId="388327DD" w14:textId="77777777" w:rsidR="00B02873" w:rsidRPr="00631D68" w:rsidRDefault="00B02873" w:rsidP="00631D68">
            <w:pPr>
              <w:pStyle w:val="TablebodyleftFinancialsTables"/>
              <w:jc w:val="right"/>
              <w:rPr>
                <w:b/>
                <w:bCs/>
              </w:rPr>
            </w:pPr>
            <w:r w:rsidRPr="00631D68">
              <w:rPr>
                <w:b/>
                <w:bCs/>
              </w:rPr>
              <w:t>46,000</w:t>
            </w:r>
          </w:p>
        </w:tc>
        <w:tc>
          <w:tcPr>
            <w:tcW w:w="1191" w:type="dxa"/>
          </w:tcPr>
          <w:p w14:paraId="1A9D1D48" w14:textId="77777777" w:rsidR="00B02873" w:rsidRDefault="00B02873" w:rsidP="00631D68">
            <w:pPr>
              <w:pStyle w:val="TablebodyleftFinancialsTables"/>
              <w:jc w:val="right"/>
            </w:pPr>
            <w:r>
              <w:t>39,853</w:t>
            </w:r>
          </w:p>
        </w:tc>
      </w:tr>
      <w:tr w:rsidR="00B02873" w:rsidRPr="00B02873" w14:paraId="573E56AB" w14:textId="77777777" w:rsidTr="00631D68">
        <w:tc>
          <w:tcPr>
            <w:tcW w:w="7257" w:type="dxa"/>
          </w:tcPr>
          <w:p w14:paraId="798F7D86" w14:textId="77777777" w:rsidR="00B02873" w:rsidRPr="00631D68" w:rsidRDefault="00B02873" w:rsidP="00631D68">
            <w:pPr>
              <w:pStyle w:val="TablebodyleftFinancialsTables"/>
              <w:rPr>
                <w:b/>
                <w:bCs/>
              </w:rPr>
            </w:pPr>
            <w:r w:rsidRPr="00631D68">
              <w:rPr>
                <w:b/>
                <w:bCs/>
              </w:rPr>
              <w:t>Total intangible assets</w:t>
            </w:r>
          </w:p>
        </w:tc>
        <w:tc>
          <w:tcPr>
            <w:tcW w:w="1190" w:type="dxa"/>
          </w:tcPr>
          <w:p w14:paraId="10CF7B6A" w14:textId="77777777" w:rsidR="00B02873" w:rsidRPr="00631D68" w:rsidRDefault="00B02873" w:rsidP="00631D68">
            <w:pPr>
              <w:pStyle w:val="TablebodyleftFinancialsTables"/>
              <w:jc w:val="right"/>
              <w:rPr>
                <w:b/>
                <w:bCs/>
              </w:rPr>
            </w:pPr>
            <w:r w:rsidRPr="00631D68">
              <w:rPr>
                <w:b/>
                <w:bCs/>
              </w:rPr>
              <w:t>46,000</w:t>
            </w:r>
          </w:p>
        </w:tc>
        <w:tc>
          <w:tcPr>
            <w:tcW w:w="1191" w:type="dxa"/>
          </w:tcPr>
          <w:p w14:paraId="02BE3D32" w14:textId="77777777" w:rsidR="00B02873" w:rsidRDefault="00B02873" w:rsidP="00631D68">
            <w:pPr>
              <w:pStyle w:val="TablebodyleftFinancialsTables"/>
              <w:jc w:val="right"/>
            </w:pPr>
            <w:r>
              <w:t>39,853</w:t>
            </w:r>
          </w:p>
        </w:tc>
      </w:tr>
    </w:tbl>
    <w:p w14:paraId="0D8FBE1C" w14:textId="77777777" w:rsidR="00B02873" w:rsidRDefault="00B02873" w:rsidP="00FE198A"/>
    <w:p w14:paraId="5E7CF670" w14:textId="77777777" w:rsidR="00B02873" w:rsidRDefault="00B02873" w:rsidP="00631D68">
      <w:pPr>
        <w:pStyle w:val="Heading4"/>
      </w:pPr>
      <w:r>
        <w:t xml:space="preserve">Initial recognition </w:t>
      </w:r>
    </w:p>
    <w:p w14:paraId="7B06FE5A" w14:textId="77777777" w:rsidR="00B02873" w:rsidRDefault="00B02873" w:rsidP="00FE198A">
      <w:r w:rsidRPr="007B509E">
        <w:rPr>
          <w:rFonts w:cs="VIC Medium"/>
        </w:rPr>
        <w:t>Purchased intangible assets</w:t>
      </w:r>
      <w:r>
        <w:t xml:space="preserve"> are initially recognised at cost. When the recognition criteria in AASB 138 </w:t>
      </w:r>
      <w:r w:rsidRPr="00631D68">
        <w:rPr>
          <w:rStyle w:val="LightItalic"/>
          <w:rFonts w:asciiTheme="minorHAnsi" w:hAnsiTheme="minorHAnsi" w:cstheme="minorHAnsi"/>
        </w:rPr>
        <w:t>Intangible Assets</w:t>
      </w:r>
      <w:r>
        <w:t xml:space="preserve"> is met, internally generated intangible assets are recognised at cost. Subsequently, intangible assets with finite useful lives are carried at cost less accumulated amortisation and accumulated impairment losses. Depreciation and amortisation begins when the asset is available for use, that is, when it is in the location and condition necessary for it to be capable of operating in the manner intended by management. </w:t>
      </w:r>
    </w:p>
    <w:p w14:paraId="5658B077" w14:textId="046872AB" w:rsidR="00B02873" w:rsidRDefault="00B02873" w:rsidP="00631D68">
      <w:pPr>
        <w:pStyle w:val="Normalbeforebullet"/>
      </w:pPr>
      <w:r>
        <w:t xml:space="preserve">An </w:t>
      </w:r>
      <w:r w:rsidRPr="007B509E">
        <w:rPr>
          <w:rFonts w:cs="VIC Medium"/>
        </w:rPr>
        <w:t>internally generated intangible asset</w:t>
      </w:r>
      <w:r>
        <w:t xml:space="preserve"> arising from development (or from the development phase of an internal project) is recognised if, and only if, all of the following are demonstrated:</w:t>
      </w:r>
    </w:p>
    <w:p w14:paraId="2376A31E" w14:textId="77777777" w:rsidR="00B02873" w:rsidRDefault="00B02873" w:rsidP="00B02873">
      <w:pPr>
        <w:pStyle w:val="Bullet1Lists"/>
      </w:pPr>
      <w:r>
        <w:t>the technical feasibility of completing the intangible asset so that it will be available for use or sale;</w:t>
      </w:r>
    </w:p>
    <w:p w14:paraId="195C803B" w14:textId="77777777" w:rsidR="00B02873" w:rsidRDefault="00B02873" w:rsidP="00B02873">
      <w:pPr>
        <w:pStyle w:val="Bullet1Lists"/>
      </w:pPr>
      <w:r>
        <w:t>an intention to complete the intangible asset and use or sell it;</w:t>
      </w:r>
    </w:p>
    <w:p w14:paraId="0CB0121B" w14:textId="77777777" w:rsidR="00B02873" w:rsidRDefault="00B02873" w:rsidP="00B02873">
      <w:pPr>
        <w:pStyle w:val="Bullet1Lists"/>
      </w:pPr>
      <w:r>
        <w:t xml:space="preserve">the ability to use or sell the intangible asset; </w:t>
      </w:r>
    </w:p>
    <w:p w14:paraId="59B351E6" w14:textId="77777777" w:rsidR="00B02873" w:rsidRDefault="00B02873" w:rsidP="00B02873">
      <w:pPr>
        <w:pStyle w:val="Bullet1Lists"/>
      </w:pPr>
      <w:r>
        <w:t>the intangible asset will generate probable future economic benefits;</w:t>
      </w:r>
    </w:p>
    <w:p w14:paraId="4F59D851" w14:textId="1A73EEB9" w:rsidR="00B02873" w:rsidRDefault="00B02873" w:rsidP="00B02873">
      <w:pPr>
        <w:pStyle w:val="Bullet1Lists"/>
      </w:pPr>
      <w:r>
        <w:t>the availability of adequate technical, financial and other resources to complete the development and to use or sell the intangible asset; and</w:t>
      </w:r>
    </w:p>
    <w:p w14:paraId="44CC8D9E" w14:textId="77777777" w:rsidR="00B02873" w:rsidRDefault="00B02873" w:rsidP="00AF44FB">
      <w:pPr>
        <w:pStyle w:val="Bullet1Listslast"/>
      </w:pPr>
      <w:r>
        <w:t>the ability to measure reliably the expenditure attributable to the intangible asset during its development.</w:t>
      </w:r>
    </w:p>
    <w:p w14:paraId="7661B957" w14:textId="77777777" w:rsidR="00B02873" w:rsidRDefault="00B02873" w:rsidP="00FE198A">
      <w:r>
        <w:t>Where expenditure exceeds $300,000 (2021: $300,000) on the development of software, the department recognises software as an intangible asset when ready for use and at the value of the total expenditure.</w:t>
      </w:r>
    </w:p>
    <w:p w14:paraId="1E1041BB" w14:textId="77777777" w:rsidR="00B02873" w:rsidRDefault="00B02873" w:rsidP="00AF44FB">
      <w:pPr>
        <w:pStyle w:val="Heading4"/>
      </w:pPr>
      <w:r>
        <w:t>Subsequent measurement</w:t>
      </w:r>
    </w:p>
    <w:p w14:paraId="70B677F9" w14:textId="77777777" w:rsidR="00B02873" w:rsidRDefault="00B02873" w:rsidP="00FE198A">
      <w:r>
        <w:t xml:space="preserve">Subsequent to initial recognition, intangible assets with finite useful lives are carried at cost less accumulated amortisation and accumulated impairment losses. Amortisation begins when the asset is available for use, that is, when it is in the location and condition necessary for it to be capable of operating in the manner intended by management. Intangible produced assets with finite useful lives, are amortised as an ‘expense from transactions’ on a straight-line basis over their useful lives. </w:t>
      </w:r>
    </w:p>
    <w:p w14:paraId="232591E1" w14:textId="77777777" w:rsidR="00B02873" w:rsidRDefault="00B02873" w:rsidP="00FE198A">
      <w:r>
        <w:t>Produced intangible assets have useful lives of between 3 and 10 years.</w:t>
      </w:r>
    </w:p>
    <w:tbl>
      <w:tblPr>
        <w:tblStyle w:val="TableGrid"/>
        <w:tblW w:w="9638" w:type="dxa"/>
        <w:tblLayout w:type="fixed"/>
        <w:tblLook w:val="0020" w:firstRow="1" w:lastRow="0" w:firstColumn="0" w:lastColumn="0" w:noHBand="0" w:noVBand="0"/>
      </w:tblPr>
      <w:tblGrid>
        <w:gridCol w:w="7257"/>
        <w:gridCol w:w="1190"/>
        <w:gridCol w:w="1191"/>
      </w:tblGrid>
      <w:tr w:rsidR="00B02873" w:rsidRPr="00AF44FB" w14:paraId="32829037" w14:textId="77777777" w:rsidTr="00AF44FB">
        <w:trPr>
          <w:cnfStyle w:val="100000000000" w:firstRow="1" w:lastRow="0" w:firstColumn="0" w:lastColumn="0" w:oddVBand="0" w:evenVBand="0" w:oddHBand="0" w:evenHBand="0" w:firstRowFirstColumn="0" w:firstRowLastColumn="0" w:lastRowFirstColumn="0" w:lastRowLastColumn="0"/>
          <w:tblHeader/>
        </w:trPr>
        <w:tc>
          <w:tcPr>
            <w:tcW w:w="7257" w:type="dxa"/>
          </w:tcPr>
          <w:p w14:paraId="675C0E3B" w14:textId="77777777" w:rsidR="00B02873" w:rsidRPr="00AF44FB" w:rsidRDefault="00B02873" w:rsidP="00AF44FB">
            <w:pPr>
              <w:pStyle w:val="TableheadingleftFinancialsTables"/>
            </w:pPr>
          </w:p>
        </w:tc>
        <w:tc>
          <w:tcPr>
            <w:tcW w:w="1190" w:type="dxa"/>
          </w:tcPr>
          <w:p w14:paraId="519AD2A9" w14:textId="77777777" w:rsidR="00B02873" w:rsidRPr="00AF44FB" w:rsidRDefault="00B02873" w:rsidP="00AF44FB">
            <w:pPr>
              <w:pStyle w:val="TableheadingleftFinancialsTables"/>
              <w:jc w:val="right"/>
            </w:pPr>
            <w:r w:rsidRPr="00AF44FB">
              <w:t>2022</w:t>
            </w:r>
            <w:r w:rsidRPr="00AF44FB">
              <w:br/>
              <w:t>$’000</w:t>
            </w:r>
          </w:p>
        </w:tc>
        <w:tc>
          <w:tcPr>
            <w:tcW w:w="1191" w:type="dxa"/>
          </w:tcPr>
          <w:p w14:paraId="3B908672" w14:textId="77777777" w:rsidR="00B02873" w:rsidRPr="00AF44FB" w:rsidRDefault="00B02873" w:rsidP="00AF44FB">
            <w:pPr>
              <w:pStyle w:val="TableheadingleftFinancialsTables"/>
              <w:jc w:val="right"/>
            </w:pPr>
            <w:r w:rsidRPr="00AF44FB">
              <w:t>2021</w:t>
            </w:r>
            <w:r w:rsidRPr="00AF44FB">
              <w:br/>
              <w:t>$’000</w:t>
            </w:r>
          </w:p>
        </w:tc>
      </w:tr>
      <w:tr w:rsidR="00B02873" w:rsidRPr="00AF44FB" w14:paraId="4989758F" w14:textId="77777777" w:rsidTr="00AF44FB">
        <w:tc>
          <w:tcPr>
            <w:tcW w:w="7257" w:type="dxa"/>
          </w:tcPr>
          <w:p w14:paraId="55E36EC9" w14:textId="77777777" w:rsidR="00B02873" w:rsidRPr="00AF44FB" w:rsidRDefault="00B02873" w:rsidP="00AF44FB">
            <w:pPr>
              <w:pStyle w:val="TablebodyleftFinancialsTables"/>
              <w:rPr>
                <w:b/>
                <w:bCs/>
              </w:rPr>
            </w:pPr>
            <w:r w:rsidRPr="00AF44FB">
              <w:rPr>
                <w:b/>
                <w:bCs/>
              </w:rPr>
              <w:t>Movements in carrying amounts</w:t>
            </w:r>
          </w:p>
        </w:tc>
        <w:tc>
          <w:tcPr>
            <w:tcW w:w="1190" w:type="dxa"/>
          </w:tcPr>
          <w:p w14:paraId="111E08F0" w14:textId="77777777" w:rsidR="00B02873" w:rsidRPr="00AF44FB" w:rsidRDefault="00B02873" w:rsidP="00AF44FB">
            <w:pPr>
              <w:pStyle w:val="TablebodyleftFinancialsTables"/>
              <w:jc w:val="right"/>
              <w:rPr>
                <w:b/>
                <w:bCs/>
              </w:rPr>
            </w:pPr>
          </w:p>
        </w:tc>
        <w:tc>
          <w:tcPr>
            <w:tcW w:w="1191" w:type="dxa"/>
          </w:tcPr>
          <w:p w14:paraId="48499297" w14:textId="77777777" w:rsidR="00B02873" w:rsidRPr="00AF44FB" w:rsidRDefault="00B02873" w:rsidP="00AF44FB">
            <w:pPr>
              <w:pStyle w:val="TablebodyleftFinancialsTables"/>
              <w:jc w:val="right"/>
            </w:pPr>
          </w:p>
        </w:tc>
      </w:tr>
      <w:tr w:rsidR="00B02873" w:rsidRPr="00AF44FB" w14:paraId="6253517B" w14:textId="77777777" w:rsidTr="00AF44FB">
        <w:tc>
          <w:tcPr>
            <w:tcW w:w="7257" w:type="dxa"/>
          </w:tcPr>
          <w:p w14:paraId="396FCC76" w14:textId="77777777" w:rsidR="00B02873" w:rsidRPr="00AF44FB" w:rsidRDefault="00B02873" w:rsidP="00AF44FB">
            <w:pPr>
              <w:pStyle w:val="TablebodyleftFinancialsTables"/>
              <w:rPr>
                <w:b/>
                <w:bCs/>
              </w:rPr>
            </w:pPr>
            <w:r w:rsidRPr="00AF44FB">
              <w:rPr>
                <w:b/>
                <w:bCs/>
              </w:rPr>
              <w:t>Balance at 1 July</w:t>
            </w:r>
          </w:p>
        </w:tc>
        <w:tc>
          <w:tcPr>
            <w:tcW w:w="1190" w:type="dxa"/>
          </w:tcPr>
          <w:p w14:paraId="110398B9" w14:textId="77777777" w:rsidR="00B02873" w:rsidRPr="00AF44FB" w:rsidRDefault="00B02873" w:rsidP="00AF44FB">
            <w:pPr>
              <w:pStyle w:val="TablebodyleftFinancialsTables"/>
              <w:jc w:val="right"/>
              <w:rPr>
                <w:b/>
                <w:bCs/>
              </w:rPr>
            </w:pPr>
            <w:r w:rsidRPr="00AF44FB">
              <w:rPr>
                <w:b/>
                <w:bCs/>
              </w:rPr>
              <w:t>39,853</w:t>
            </w:r>
          </w:p>
        </w:tc>
        <w:tc>
          <w:tcPr>
            <w:tcW w:w="1191" w:type="dxa"/>
          </w:tcPr>
          <w:p w14:paraId="52069A1E" w14:textId="77777777" w:rsidR="00B02873" w:rsidRPr="00AF44FB" w:rsidRDefault="00B02873" w:rsidP="00AF44FB">
            <w:pPr>
              <w:pStyle w:val="TablebodyleftFinancialsTables"/>
              <w:jc w:val="right"/>
            </w:pPr>
            <w:r w:rsidRPr="00AF44FB">
              <w:t>46,508</w:t>
            </w:r>
          </w:p>
        </w:tc>
      </w:tr>
      <w:tr w:rsidR="00B02873" w:rsidRPr="00AF44FB" w14:paraId="2C121536" w14:textId="77777777" w:rsidTr="00AF44FB">
        <w:tc>
          <w:tcPr>
            <w:tcW w:w="7257" w:type="dxa"/>
          </w:tcPr>
          <w:p w14:paraId="3169BAB2" w14:textId="77777777" w:rsidR="00B02873" w:rsidRPr="00AF44FB" w:rsidRDefault="00B02873" w:rsidP="00AF44FB">
            <w:pPr>
              <w:pStyle w:val="TablebodyleftFinancialsTables"/>
            </w:pPr>
            <w:r w:rsidRPr="00AF44FB">
              <w:t>Additions</w:t>
            </w:r>
          </w:p>
        </w:tc>
        <w:tc>
          <w:tcPr>
            <w:tcW w:w="1190" w:type="dxa"/>
          </w:tcPr>
          <w:p w14:paraId="402BFE6E" w14:textId="77777777" w:rsidR="00B02873" w:rsidRPr="00AF44FB" w:rsidRDefault="00B02873" w:rsidP="00AF44FB">
            <w:pPr>
              <w:pStyle w:val="TablebodyleftFinancialsTables"/>
              <w:jc w:val="right"/>
              <w:rPr>
                <w:b/>
                <w:bCs/>
              </w:rPr>
            </w:pPr>
            <w:r w:rsidRPr="00AF44FB">
              <w:rPr>
                <w:b/>
                <w:bCs/>
              </w:rPr>
              <w:t>11,361</w:t>
            </w:r>
          </w:p>
        </w:tc>
        <w:tc>
          <w:tcPr>
            <w:tcW w:w="1191" w:type="dxa"/>
          </w:tcPr>
          <w:p w14:paraId="72CC8B8A" w14:textId="77777777" w:rsidR="00B02873" w:rsidRPr="00AF44FB" w:rsidRDefault="00B02873" w:rsidP="00AF44FB">
            <w:pPr>
              <w:pStyle w:val="TablebodyleftFinancialsTables"/>
              <w:jc w:val="right"/>
            </w:pPr>
            <w:r w:rsidRPr="00AF44FB">
              <w:t>19,536</w:t>
            </w:r>
          </w:p>
        </w:tc>
      </w:tr>
      <w:tr w:rsidR="00B02873" w:rsidRPr="00AF44FB" w14:paraId="7E26574B" w14:textId="77777777" w:rsidTr="00AF44FB">
        <w:tc>
          <w:tcPr>
            <w:tcW w:w="7257" w:type="dxa"/>
          </w:tcPr>
          <w:p w14:paraId="4CC477A2" w14:textId="77777777" w:rsidR="00B02873" w:rsidRPr="00AF44FB" w:rsidRDefault="00B02873" w:rsidP="00AF44FB">
            <w:pPr>
              <w:pStyle w:val="TablebodyleftFinancialsTables"/>
            </w:pPr>
            <w:r w:rsidRPr="00AF44FB">
              <w:t>Disposals</w:t>
            </w:r>
          </w:p>
        </w:tc>
        <w:tc>
          <w:tcPr>
            <w:tcW w:w="1190" w:type="dxa"/>
          </w:tcPr>
          <w:p w14:paraId="282E527A" w14:textId="77777777" w:rsidR="00B02873" w:rsidRPr="00AF44FB" w:rsidRDefault="00B02873" w:rsidP="00AF44FB">
            <w:pPr>
              <w:pStyle w:val="TablebodyleftFinancialsTables"/>
              <w:jc w:val="right"/>
              <w:rPr>
                <w:b/>
                <w:bCs/>
              </w:rPr>
            </w:pPr>
            <w:r w:rsidRPr="00AF44FB">
              <w:rPr>
                <w:b/>
                <w:bCs/>
              </w:rPr>
              <w:t>–</w:t>
            </w:r>
          </w:p>
        </w:tc>
        <w:tc>
          <w:tcPr>
            <w:tcW w:w="1191" w:type="dxa"/>
          </w:tcPr>
          <w:p w14:paraId="141ED6E2" w14:textId="77777777" w:rsidR="00B02873" w:rsidRPr="00AF44FB" w:rsidRDefault="00B02873" w:rsidP="00AF44FB">
            <w:pPr>
              <w:pStyle w:val="TablebodyleftFinancialsTables"/>
              <w:jc w:val="right"/>
            </w:pPr>
            <w:r w:rsidRPr="00AF44FB">
              <w:t>(211)</w:t>
            </w:r>
          </w:p>
        </w:tc>
      </w:tr>
      <w:tr w:rsidR="00B02873" w:rsidRPr="00AF44FB" w14:paraId="3D1CE36C" w14:textId="77777777" w:rsidTr="00AF44FB">
        <w:tc>
          <w:tcPr>
            <w:tcW w:w="7257" w:type="dxa"/>
          </w:tcPr>
          <w:p w14:paraId="1FEFC51F" w14:textId="77777777" w:rsidR="00B02873" w:rsidRPr="00AF44FB" w:rsidRDefault="00B02873" w:rsidP="00AF44FB">
            <w:pPr>
              <w:pStyle w:val="TablebodyleftFinancialsTables"/>
            </w:pPr>
            <w:r w:rsidRPr="00AF44FB">
              <w:lastRenderedPageBreak/>
              <w:t>Transfer of assets to administered ledger</w:t>
            </w:r>
          </w:p>
        </w:tc>
        <w:tc>
          <w:tcPr>
            <w:tcW w:w="1190" w:type="dxa"/>
          </w:tcPr>
          <w:p w14:paraId="4C69E6E4" w14:textId="77777777" w:rsidR="00B02873" w:rsidRPr="00AF44FB" w:rsidRDefault="00B02873" w:rsidP="00AF44FB">
            <w:pPr>
              <w:pStyle w:val="TablebodyleftFinancialsTables"/>
              <w:jc w:val="right"/>
              <w:rPr>
                <w:b/>
                <w:bCs/>
              </w:rPr>
            </w:pPr>
            <w:r w:rsidRPr="00AF44FB">
              <w:rPr>
                <w:b/>
                <w:bCs/>
              </w:rPr>
              <w:t>–</w:t>
            </w:r>
          </w:p>
        </w:tc>
        <w:tc>
          <w:tcPr>
            <w:tcW w:w="1191" w:type="dxa"/>
          </w:tcPr>
          <w:p w14:paraId="15CB8E40" w14:textId="77777777" w:rsidR="00B02873" w:rsidRPr="00AF44FB" w:rsidRDefault="00B02873" w:rsidP="00AF44FB">
            <w:pPr>
              <w:pStyle w:val="TablebodyleftFinancialsTables"/>
              <w:jc w:val="right"/>
            </w:pPr>
            <w:r w:rsidRPr="00AF44FB">
              <w:t>(19,536)</w:t>
            </w:r>
          </w:p>
        </w:tc>
      </w:tr>
      <w:tr w:rsidR="00B02873" w:rsidRPr="00AF44FB" w14:paraId="7630E5D5" w14:textId="77777777" w:rsidTr="00AF44FB">
        <w:tc>
          <w:tcPr>
            <w:tcW w:w="7257" w:type="dxa"/>
          </w:tcPr>
          <w:p w14:paraId="184D8C97" w14:textId="41E32DCA" w:rsidR="00B02873" w:rsidRPr="00AF44FB" w:rsidRDefault="00B02873" w:rsidP="00AF44FB">
            <w:pPr>
              <w:pStyle w:val="TablebodyleftFinancialsTables"/>
            </w:pPr>
            <w:r w:rsidRPr="00AF44FB">
              <w:t>Net transfers in/(out)</w:t>
            </w:r>
            <w:r w:rsidR="000C45FC" w:rsidRPr="00AF44FB">
              <w:t xml:space="preserve"> – </w:t>
            </w:r>
            <w:r w:rsidRPr="00AF44FB">
              <w:t>from other categories</w:t>
            </w:r>
          </w:p>
        </w:tc>
        <w:tc>
          <w:tcPr>
            <w:tcW w:w="1190" w:type="dxa"/>
          </w:tcPr>
          <w:p w14:paraId="721734F9" w14:textId="77777777" w:rsidR="00B02873" w:rsidRPr="00AF44FB" w:rsidRDefault="00B02873" w:rsidP="00AF44FB">
            <w:pPr>
              <w:pStyle w:val="TablebodyleftFinancialsTables"/>
              <w:jc w:val="right"/>
              <w:rPr>
                <w:b/>
                <w:bCs/>
              </w:rPr>
            </w:pPr>
            <w:r w:rsidRPr="00AF44FB">
              <w:rPr>
                <w:b/>
                <w:bCs/>
              </w:rPr>
              <w:t>742</w:t>
            </w:r>
          </w:p>
        </w:tc>
        <w:tc>
          <w:tcPr>
            <w:tcW w:w="1191" w:type="dxa"/>
          </w:tcPr>
          <w:p w14:paraId="7F583687" w14:textId="77777777" w:rsidR="00B02873" w:rsidRPr="00AF44FB" w:rsidRDefault="00B02873" w:rsidP="00AF44FB">
            <w:pPr>
              <w:pStyle w:val="TablebodyleftFinancialsTables"/>
              <w:jc w:val="right"/>
            </w:pPr>
            <w:r w:rsidRPr="00AF44FB">
              <w:t>–</w:t>
            </w:r>
          </w:p>
        </w:tc>
      </w:tr>
      <w:tr w:rsidR="00B02873" w:rsidRPr="00AF44FB" w14:paraId="401E1437" w14:textId="77777777" w:rsidTr="00AF44FB">
        <w:tc>
          <w:tcPr>
            <w:tcW w:w="7257" w:type="dxa"/>
          </w:tcPr>
          <w:p w14:paraId="4CEE01E8" w14:textId="77777777" w:rsidR="00B02873" w:rsidRPr="00AF44FB" w:rsidRDefault="00B02873" w:rsidP="00AF44FB">
            <w:pPr>
              <w:pStyle w:val="TablebodyleftFinancialsTables"/>
            </w:pPr>
            <w:r w:rsidRPr="00AF44FB">
              <w:t xml:space="preserve">Amortisation expense </w:t>
            </w:r>
          </w:p>
        </w:tc>
        <w:tc>
          <w:tcPr>
            <w:tcW w:w="1190" w:type="dxa"/>
          </w:tcPr>
          <w:p w14:paraId="61CBFFEA" w14:textId="77777777" w:rsidR="00B02873" w:rsidRPr="00AF44FB" w:rsidRDefault="00B02873" w:rsidP="00AF44FB">
            <w:pPr>
              <w:pStyle w:val="TablebodyleftFinancialsTables"/>
              <w:jc w:val="right"/>
              <w:rPr>
                <w:b/>
                <w:bCs/>
              </w:rPr>
            </w:pPr>
            <w:r w:rsidRPr="00AF44FB">
              <w:rPr>
                <w:b/>
                <w:bCs/>
              </w:rPr>
              <w:t>(5,956)</w:t>
            </w:r>
          </w:p>
        </w:tc>
        <w:tc>
          <w:tcPr>
            <w:tcW w:w="1191" w:type="dxa"/>
          </w:tcPr>
          <w:p w14:paraId="6A259DA8" w14:textId="77777777" w:rsidR="00B02873" w:rsidRPr="00AF44FB" w:rsidRDefault="00B02873" w:rsidP="00AF44FB">
            <w:pPr>
              <w:pStyle w:val="TablebodyleftFinancialsTables"/>
              <w:jc w:val="right"/>
            </w:pPr>
            <w:r w:rsidRPr="00AF44FB">
              <w:t>(6,444)</w:t>
            </w:r>
          </w:p>
        </w:tc>
      </w:tr>
      <w:tr w:rsidR="00B02873" w:rsidRPr="00AF44FB" w14:paraId="6512C828" w14:textId="77777777" w:rsidTr="00AF44FB">
        <w:tc>
          <w:tcPr>
            <w:tcW w:w="7257" w:type="dxa"/>
          </w:tcPr>
          <w:p w14:paraId="5CFA682E" w14:textId="77777777" w:rsidR="00B02873" w:rsidRPr="00AF44FB" w:rsidRDefault="00B02873" w:rsidP="00AF44FB">
            <w:pPr>
              <w:pStyle w:val="TablebodyleftFinancialsTables"/>
              <w:rPr>
                <w:b/>
                <w:bCs/>
              </w:rPr>
            </w:pPr>
            <w:r w:rsidRPr="00AF44FB">
              <w:rPr>
                <w:b/>
                <w:bCs/>
              </w:rPr>
              <w:t>Balance at 30 June</w:t>
            </w:r>
          </w:p>
        </w:tc>
        <w:tc>
          <w:tcPr>
            <w:tcW w:w="1190" w:type="dxa"/>
          </w:tcPr>
          <w:p w14:paraId="0D7BA3A0" w14:textId="77777777" w:rsidR="00B02873" w:rsidRPr="00AF44FB" w:rsidRDefault="00B02873" w:rsidP="00AF44FB">
            <w:pPr>
              <w:pStyle w:val="TablebodyleftFinancialsTables"/>
              <w:jc w:val="right"/>
              <w:rPr>
                <w:b/>
                <w:bCs/>
              </w:rPr>
            </w:pPr>
            <w:r w:rsidRPr="00AF44FB">
              <w:rPr>
                <w:b/>
                <w:bCs/>
              </w:rPr>
              <w:t>46,000</w:t>
            </w:r>
          </w:p>
        </w:tc>
        <w:tc>
          <w:tcPr>
            <w:tcW w:w="1191" w:type="dxa"/>
          </w:tcPr>
          <w:p w14:paraId="5B40EEB7" w14:textId="77777777" w:rsidR="00B02873" w:rsidRPr="00AF44FB" w:rsidRDefault="00B02873" w:rsidP="00AF44FB">
            <w:pPr>
              <w:pStyle w:val="TablebodyleftFinancialsTables"/>
              <w:jc w:val="right"/>
              <w:rPr>
                <w:b/>
                <w:bCs/>
              </w:rPr>
            </w:pPr>
            <w:r w:rsidRPr="00AF44FB">
              <w:rPr>
                <w:b/>
                <w:bCs/>
              </w:rPr>
              <w:t>39,853</w:t>
            </w:r>
          </w:p>
        </w:tc>
      </w:tr>
    </w:tbl>
    <w:p w14:paraId="1C959308" w14:textId="77777777" w:rsidR="00B02873" w:rsidRDefault="00B02873" w:rsidP="00FE198A"/>
    <w:p w14:paraId="31364DFC" w14:textId="77777777" w:rsidR="00B02873" w:rsidRDefault="00B02873" w:rsidP="00AF44FB">
      <w:pPr>
        <w:pStyle w:val="Boldheader"/>
      </w:pPr>
      <w:r>
        <w:t>Impairment of intangible assets</w:t>
      </w:r>
    </w:p>
    <w:p w14:paraId="0B5A793E" w14:textId="77777777" w:rsidR="00B02873" w:rsidRDefault="00B02873" w:rsidP="00FE198A">
      <w:r>
        <w:t xml:space="preserve">Intangible assets with indefinite useful lives are tested annually for impairment and whenever there is an indication of impairment is identified. </w:t>
      </w:r>
    </w:p>
    <w:p w14:paraId="28E9F7F2" w14:textId="77777777" w:rsidR="00B02873" w:rsidRDefault="00B02873" w:rsidP="00FE198A">
      <w:r>
        <w:t>The policy in connection with testing for impairment is outlined in Note 5.1.2.</w:t>
      </w:r>
    </w:p>
    <w:p w14:paraId="32D9D023" w14:textId="77777777" w:rsidR="00B02873" w:rsidRDefault="00B02873" w:rsidP="00D21A73">
      <w:pPr>
        <w:pStyle w:val="Heading2Headings"/>
      </w:pPr>
      <w:bookmarkStart w:id="69" w:name="Note_6"/>
      <w:r>
        <w:t>Note 6</w:t>
      </w:r>
      <w:bookmarkEnd w:id="69"/>
      <w:r>
        <w:t>. Other assets and liabilities</w:t>
      </w:r>
    </w:p>
    <w:p w14:paraId="6912A4A8" w14:textId="799CB6CC" w:rsidR="00B02873" w:rsidRDefault="00B02873" w:rsidP="00AF44FB">
      <w:pPr>
        <w:pStyle w:val="Heading3"/>
      </w:pPr>
      <w:r>
        <w:t>Introduction</w:t>
      </w:r>
    </w:p>
    <w:p w14:paraId="0B43A7FC" w14:textId="77777777" w:rsidR="00B02873" w:rsidRDefault="00B02873" w:rsidP="00FE198A">
      <w:r>
        <w:t xml:space="preserve">This section sets out those assets and liabilities that arose from the department’s operations. </w:t>
      </w:r>
    </w:p>
    <w:p w14:paraId="60C32BD4" w14:textId="77777777" w:rsidR="00B02873" w:rsidRDefault="00B02873" w:rsidP="00AF44FB">
      <w:pPr>
        <w:pStyle w:val="Heading3"/>
      </w:pPr>
      <w:r>
        <w:t>Structure</w:t>
      </w:r>
    </w:p>
    <w:p w14:paraId="3A754D71" w14:textId="77777777" w:rsidR="00B02873" w:rsidRDefault="00B02873" w:rsidP="00AF44FB">
      <w:r>
        <w:t>6.1</w:t>
      </w:r>
      <w:r>
        <w:tab/>
        <w:t>Receivables</w:t>
      </w:r>
    </w:p>
    <w:p w14:paraId="4128B155" w14:textId="77777777" w:rsidR="00B02873" w:rsidRDefault="00B02873" w:rsidP="00AF44FB">
      <w:r>
        <w:t>6.2</w:t>
      </w:r>
      <w:r>
        <w:tab/>
        <w:t>Derivative financial instruments</w:t>
      </w:r>
    </w:p>
    <w:p w14:paraId="5127D615" w14:textId="77777777" w:rsidR="00B02873" w:rsidRDefault="00B02873" w:rsidP="00AF44FB">
      <w:r>
        <w:t>6.3</w:t>
      </w:r>
      <w:r>
        <w:tab/>
        <w:t xml:space="preserve">Payables </w:t>
      </w:r>
    </w:p>
    <w:p w14:paraId="004CB30F" w14:textId="77777777" w:rsidR="00B02873" w:rsidRDefault="00B02873" w:rsidP="00DA0311">
      <w:pPr>
        <w:ind w:left="720"/>
      </w:pPr>
      <w:r>
        <w:t>6.3.1</w:t>
      </w:r>
      <w:r>
        <w:tab/>
        <w:t>Maturity analysis of contractual payables</w:t>
      </w:r>
    </w:p>
    <w:p w14:paraId="197DE83F" w14:textId="77777777" w:rsidR="00B02873" w:rsidRDefault="00B02873" w:rsidP="00DA0311">
      <w:r>
        <w:t>6.4</w:t>
      </w:r>
      <w:r>
        <w:tab/>
        <w:t>Prepayments</w:t>
      </w:r>
    </w:p>
    <w:p w14:paraId="0E43694C" w14:textId="77777777" w:rsidR="00B02873" w:rsidRDefault="00B02873" w:rsidP="00DA0311">
      <w:r>
        <w:t>6.5</w:t>
      </w:r>
      <w:r>
        <w:tab/>
        <w:t>Inventories</w:t>
      </w:r>
    </w:p>
    <w:p w14:paraId="4B2B3120" w14:textId="77777777" w:rsidR="00B02873" w:rsidRDefault="00B02873" w:rsidP="00DA0311">
      <w:r>
        <w:t>6.6</w:t>
      </w:r>
      <w:r>
        <w:tab/>
        <w:t>Other provisions</w:t>
      </w:r>
    </w:p>
    <w:p w14:paraId="53088494" w14:textId="4D6A2475" w:rsidR="00B02873" w:rsidRDefault="00B02873" w:rsidP="00DA0311">
      <w:pPr>
        <w:ind w:left="720"/>
      </w:pPr>
      <w:r>
        <w:t>6.6.1</w:t>
      </w:r>
      <w:r>
        <w:tab/>
        <w:t>Reconciliation of movement in other provisions</w:t>
      </w:r>
    </w:p>
    <w:p w14:paraId="08D2F9A9" w14:textId="77777777" w:rsidR="00B02873" w:rsidRDefault="00B02873" w:rsidP="00DA0311">
      <w:r>
        <w:t>6.7</w:t>
      </w:r>
      <w:r>
        <w:tab/>
        <w:t>Other financial liabilities</w:t>
      </w:r>
    </w:p>
    <w:p w14:paraId="20C07E58" w14:textId="77777777" w:rsidR="00B02873" w:rsidRDefault="00B02873" w:rsidP="00DA0311">
      <w:pPr>
        <w:pStyle w:val="Heading3"/>
      </w:pPr>
      <w:r>
        <w:t>6.1 Receivables</w:t>
      </w:r>
    </w:p>
    <w:tbl>
      <w:tblPr>
        <w:tblStyle w:val="TableGrid"/>
        <w:tblW w:w="0" w:type="auto"/>
        <w:tblLayout w:type="fixed"/>
        <w:tblLook w:val="0020" w:firstRow="1" w:lastRow="0" w:firstColumn="0" w:lastColumn="0" w:noHBand="0" w:noVBand="0"/>
      </w:tblPr>
      <w:tblGrid>
        <w:gridCol w:w="7257"/>
        <w:gridCol w:w="1190"/>
        <w:gridCol w:w="1191"/>
      </w:tblGrid>
      <w:tr w:rsidR="00B02873" w:rsidRPr="00DA0311" w14:paraId="7D6BEBEE" w14:textId="77777777" w:rsidTr="00DA0311">
        <w:trPr>
          <w:cnfStyle w:val="100000000000" w:firstRow="1" w:lastRow="0" w:firstColumn="0" w:lastColumn="0" w:oddVBand="0" w:evenVBand="0" w:oddHBand="0" w:evenHBand="0" w:firstRowFirstColumn="0" w:firstRowLastColumn="0" w:lastRowFirstColumn="0" w:lastRowLastColumn="0"/>
          <w:tblHeader/>
        </w:trPr>
        <w:tc>
          <w:tcPr>
            <w:tcW w:w="7257" w:type="dxa"/>
          </w:tcPr>
          <w:p w14:paraId="13BBC76B" w14:textId="77777777" w:rsidR="00B02873" w:rsidRPr="00DA0311" w:rsidRDefault="00B02873" w:rsidP="00DA0311">
            <w:pPr>
              <w:pStyle w:val="TableheadingleftFinancialsTables"/>
            </w:pPr>
          </w:p>
        </w:tc>
        <w:tc>
          <w:tcPr>
            <w:tcW w:w="1190" w:type="dxa"/>
          </w:tcPr>
          <w:p w14:paraId="25DE185C" w14:textId="77777777" w:rsidR="00B02873" w:rsidRPr="00DA0311" w:rsidRDefault="00B02873" w:rsidP="00DA0311">
            <w:pPr>
              <w:pStyle w:val="TableheadingleftFinancialsTables"/>
              <w:jc w:val="right"/>
            </w:pPr>
            <w:r w:rsidRPr="00DA0311">
              <w:t>2022</w:t>
            </w:r>
            <w:r w:rsidRPr="00DA0311">
              <w:br/>
              <w:t>$’000</w:t>
            </w:r>
          </w:p>
        </w:tc>
        <w:tc>
          <w:tcPr>
            <w:tcW w:w="1191" w:type="dxa"/>
          </w:tcPr>
          <w:p w14:paraId="545935A5" w14:textId="77777777" w:rsidR="00B02873" w:rsidRPr="00DA0311" w:rsidRDefault="00B02873" w:rsidP="00DA0311">
            <w:pPr>
              <w:pStyle w:val="TableheadingleftFinancialsTables"/>
              <w:jc w:val="right"/>
            </w:pPr>
            <w:r w:rsidRPr="00DA0311">
              <w:t>2021</w:t>
            </w:r>
            <w:r w:rsidRPr="00DA0311">
              <w:br/>
              <w:t>$’000</w:t>
            </w:r>
          </w:p>
        </w:tc>
      </w:tr>
      <w:tr w:rsidR="00B02873" w:rsidRPr="00DA0311" w14:paraId="1363DCE4" w14:textId="77777777" w:rsidTr="00DA0311">
        <w:tc>
          <w:tcPr>
            <w:tcW w:w="7257" w:type="dxa"/>
          </w:tcPr>
          <w:p w14:paraId="3047065E" w14:textId="77777777" w:rsidR="00B02873" w:rsidRPr="00DA0311" w:rsidRDefault="00B02873" w:rsidP="00DA0311">
            <w:pPr>
              <w:pStyle w:val="TablebodyleftFinancialsTables"/>
              <w:rPr>
                <w:b/>
                <w:bCs/>
              </w:rPr>
            </w:pPr>
            <w:r w:rsidRPr="00DA0311">
              <w:rPr>
                <w:b/>
                <w:bCs/>
              </w:rPr>
              <w:t>Current receivables</w:t>
            </w:r>
          </w:p>
        </w:tc>
        <w:tc>
          <w:tcPr>
            <w:tcW w:w="1190" w:type="dxa"/>
          </w:tcPr>
          <w:p w14:paraId="2FCC1632" w14:textId="77777777" w:rsidR="00B02873" w:rsidRPr="00DA0311" w:rsidRDefault="00B02873" w:rsidP="00DA0311">
            <w:pPr>
              <w:pStyle w:val="TablebodyleftFinancialsTables"/>
              <w:jc w:val="right"/>
              <w:rPr>
                <w:b/>
                <w:bCs/>
              </w:rPr>
            </w:pPr>
          </w:p>
        </w:tc>
        <w:tc>
          <w:tcPr>
            <w:tcW w:w="1191" w:type="dxa"/>
          </w:tcPr>
          <w:p w14:paraId="437C5208" w14:textId="77777777" w:rsidR="00B02873" w:rsidRPr="00DA0311" w:rsidRDefault="00B02873" w:rsidP="00DA0311">
            <w:pPr>
              <w:pStyle w:val="TablebodyleftFinancialsTables"/>
              <w:jc w:val="right"/>
            </w:pPr>
          </w:p>
        </w:tc>
      </w:tr>
      <w:tr w:rsidR="00B02873" w:rsidRPr="00DA0311" w14:paraId="5F2555C2" w14:textId="77777777" w:rsidTr="00DA0311">
        <w:tc>
          <w:tcPr>
            <w:tcW w:w="7257" w:type="dxa"/>
          </w:tcPr>
          <w:p w14:paraId="791DE473" w14:textId="77777777" w:rsidR="00B02873" w:rsidRPr="00DA0311" w:rsidRDefault="00B02873" w:rsidP="00DA0311">
            <w:pPr>
              <w:pStyle w:val="TablebodyleftFinancialsTables"/>
              <w:rPr>
                <w:b/>
                <w:bCs/>
              </w:rPr>
            </w:pPr>
            <w:r w:rsidRPr="00DA0311">
              <w:rPr>
                <w:b/>
                <w:bCs/>
              </w:rPr>
              <w:t>Contractual</w:t>
            </w:r>
          </w:p>
        </w:tc>
        <w:tc>
          <w:tcPr>
            <w:tcW w:w="1190" w:type="dxa"/>
          </w:tcPr>
          <w:p w14:paraId="0AD216E0" w14:textId="77777777" w:rsidR="00B02873" w:rsidRPr="00DA0311" w:rsidRDefault="00B02873" w:rsidP="00DA0311">
            <w:pPr>
              <w:pStyle w:val="TablebodyleftFinancialsTables"/>
              <w:jc w:val="right"/>
              <w:rPr>
                <w:b/>
                <w:bCs/>
              </w:rPr>
            </w:pPr>
          </w:p>
        </w:tc>
        <w:tc>
          <w:tcPr>
            <w:tcW w:w="1191" w:type="dxa"/>
          </w:tcPr>
          <w:p w14:paraId="38C45608" w14:textId="77777777" w:rsidR="00B02873" w:rsidRPr="00DA0311" w:rsidRDefault="00B02873" w:rsidP="00DA0311">
            <w:pPr>
              <w:pStyle w:val="TablebodyleftFinancialsTables"/>
              <w:jc w:val="right"/>
            </w:pPr>
          </w:p>
        </w:tc>
      </w:tr>
      <w:tr w:rsidR="00B02873" w:rsidRPr="00DA0311" w14:paraId="3C94D8E0" w14:textId="77777777" w:rsidTr="00DA0311">
        <w:tc>
          <w:tcPr>
            <w:tcW w:w="7257" w:type="dxa"/>
          </w:tcPr>
          <w:p w14:paraId="3657E00C" w14:textId="55A89AAE" w:rsidR="00B02873" w:rsidRPr="00DA0311" w:rsidRDefault="00B02873" w:rsidP="00DA0311">
            <w:pPr>
              <w:pStyle w:val="TablebodyleftFinancialsTables"/>
            </w:pPr>
            <w:r w:rsidRPr="00DA0311">
              <w:t>Trade and other receivables</w:t>
            </w:r>
            <w:r w:rsidR="00012C04" w:rsidRPr="00DA0311">
              <w:t xml:space="preserve"> </w:t>
            </w:r>
          </w:p>
        </w:tc>
        <w:tc>
          <w:tcPr>
            <w:tcW w:w="1190" w:type="dxa"/>
          </w:tcPr>
          <w:p w14:paraId="643B0DC4" w14:textId="77777777" w:rsidR="00B02873" w:rsidRPr="00DA0311" w:rsidRDefault="00B02873" w:rsidP="00DA0311">
            <w:pPr>
              <w:pStyle w:val="TablebodyleftFinancialsTables"/>
              <w:jc w:val="right"/>
              <w:rPr>
                <w:b/>
                <w:bCs/>
              </w:rPr>
            </w:pPr>
            <w:r w:rsidRPr="00DA0311">
              <w:rPr>
                <w:b/>
                <w:bCs/>
              </w:rPr>
              <w:t>39,470</w:t>
            </w:r>
          </w:p>
        </w:tc>
        <w:tc>
          <w:tcPr>
            <w:tcW w:w="1191" w:type="dxa"/>
          </w:tcPr>
          <w:p w14:paraId="488BF723" w14:textId="77777777" w:rsidR="00B02873" w:rsidRPr="00DA0311" w:rsidRDefault="00B02873" w:rsidP="00DA0311">
            <w:pPr>
              <w:pStyle w:val="TablebodyleftFinancialsTables"/>
              <w:jc w:val="right"/>
            </w:pPr>
            <w:r w:rsidRPr="00DA0311">
              <w:t>44,698</w:t>
            </w:r>
          </w:p>
        </w:tc>
      </w:tr>
      <w:tr w:rsidR="00B02873" w:rsidRPr="00DA0311" w14:paraId="564EE2E6" w14:textId="77777777" w:rsidTr="00DA0311">
        <w:tc>
          <w:tcPr>
            <w:tcW w:w="7257" w:type="dxa"/>
          </w:tcPr>
          <w:p w14:paraId="3550D714" w14:textId="77777777" w:rsidR="00B02873" w:rsidRPr="00DA0311" w:rsidRDefault="00B02873" w:rsidP="00DA0311">
            <w:pPr>
              <w:pStyle w:val="TablebodyleftFinancialsTables"/>
            </w:pPr>
            <w:r w:rsidRPr="00DA0311">
              <w:t xml:space="preserve">Concessional loans </w:t>
            </w:r>
          </w:p>
        </w:tc>
        <w:tc>
          <w:tcPr>
            <w:tcW w:w="1190" w:type="dxa"/>
          </w:tcPr>
          <w:p w14:paraId="7957DB9A" w14:textId="77777777" w:rsidR="00B02873" w:rsidRPr="00DA0311" w:rsidRDefault="00B02873" w:rsidP="00DA0311">
            <w:pPr>
              <w:pStyle w:val="TablebodyleftFinancialsTables"/>
              <w:jc w:val="right"/>
              <w:rPr>
                <w:b/>
                <w:bCs/>
              </w:rPr>
            </w:pPr>
            <w:r w:rsidRPr="00DA0311">
              <w:rPr>
                <w:b/>
                <w:bCs/>
              </w:rPr>
              <w:t>110,584</w:t>
            </w:r>
          </w:p>
        </w:tc>
        <w:tc>
          <w:tcPr>
            <w:tcW w:w="1191" w:type="dxa"/>
          </w:tcPr>
          <w:p w14:paraId="3A908BC5" w14:textId="77777777" w:rsidR="00B02873" w:rsidRPr="00DA0311" w:rsidRDefault="00B02873" w:rsidP="00DA0311">
            <w:pPr>
              <w:pStyle w:val="TablebodyleftFinancialsTables"/>
              <w:jc w:val="right"/>
            </w:pPr>
            <w:r w:rsidRPr="00DA0311">
              <w:t>100,044</w:t>
            </w:r>
          </w:p>
        </w:tc>
      </w:tr>
      <w:tr w:rsidR="00B02873" w:rsidRPr="00DA0311" w14:paraId="20E633BF" w14:textId="77777777" w:rsidTr="00DA0311">
        <w:tc>
          <w:tcPr>
            <w:tcW w:w="7257" w:type="dxa"/>
          </w:tcPr>
          <w:p w14:paraId="2B6385B2" w14:textId="77777777" w:rsidR="00B02873" w:rsidRPr="00DA0311" w:rsidRDefault="00B02873" w:rsidP="00DA0311">
            <w:pPr>
              <w:pStyle w:val="TablebodyleftFinancialsTables"/>
            </w:pPr>
            <w:r w:rsidRPr="00DA0311">
              <w:t xml:space="preserve">Allowance for impairment losses of contractual receivables </w:t>
            </w:r>
          </w:p>
        </w:tc>
        <w:tc>
          <w:tcPr>
            <w:tcW w:w="1190" w:type="dxa"/>
          </w:tcPr>
          <w:p w14:paraId="240CC5F9" w14:textId="77777777" w:rsidR="00B02873" w:rsidRPr="00DA0311" w:rsidRDefault="00B02873" w:rsidP="00DA0311">
            <w:pPr>
              <w:pStyle w:val="TablebodyleftFinancialsTables"/>
              <w:jc w:val="right"/>
              <w:rPr>
                <w:b/>
                <w:bCs/>
              </w:rPr>
            </w:pPr>
            <w:r w:rsidRPr="00DA0311">
              <w:rPr>
                <w:b/>
                <w:bCs/>
              </w:rPr>
              <w:t>(2,645)</w:t>
            </w:r>
          </w:p>
        </w:tc>
        <w:tc>
          <w:tcPr>
            <w:tcW w:w="1191" w:type="dxa"/>
          </w:tcPr>
          <w:p w14:paraId="19139FCD" w14:textId="77777777" w:rsidR="00B02873" w:rsidRPr="00DA0311" w:rsidRDefault="00B02873" w:rsidP="00DA0311">
            <w:pPr>
              <w:pStyle w:val="TablebodyleftFinancialsTables"/>
              <w:jc w:val="right"/>
            </w:pPr>
            <w:r w:rsidRPr="00DA0311">
              <w:t>(2,083)</w:t>
            </w:r>
          </w:p>
        </w:tc>
      </w:tr>
      <w:tr w:rsidR="00B02873" w:rsidRPr="00DA0311" w14:paraId="613A3FB3" w14:textId="77777777" w:rsidTr="00DA0311">
        <w:tc>
          <w:tcPr>
            <w:tcW w:w="7257" w:type="dxa"/>
          </w:tcPr>
          <w:p w14:paraId="3A5BE9AC" w14:textId="77777777" w:rsidR="00B02873" w:rsidRPr="00DA0311" w:rsidRDefault="00B02873" w:rsidP="00DA0311">
            <w:pPr>
              <w:pStyle w:val="TablebodyleftFinancialsTables"/>
            </w:pPr>
            <w:r w:rsidRPr="00DA0311">
              <w:t xml:space="preserve">Accrued income </w:t>
            </w:r>
          </w:p>
        </w:tc>
        <w:tc>
          <w:tcPr>
            <w:tcW w:w="1190" w:type="dxa"/>
          </w:tcPr>
          <w:p w14:paraId="732049AB" w14:textId="77777777" w:rsidR="00B02873" w:rsidRPr="00DA0311" w:rsidRDefault="00B02873" w:rsidP="00DA0311">
            <w:pPr>
              <w:pStyle w:val="TablebodyleftFinancialsTables"/>
              <w:jc w:val="right"/>
              <w:rPr>
                <w:b/>
                <w:bCs/>
              </w:rPr>
            </w:pPr>
            <w:r w:rsidRPr="00DA0311">
              <w:rPr>
                <w:b/>
                <w:bCs/>
              </w:rPr>
              <w:t>58,178</w:t>
            </w:r>
          </w:p>
        </w:tc>
        <w:tc>
          <w:tcPr>
            <w:tcW w:w="1191" w:type="dxa"/>
          </w:tcPr>
          <w:p w14:paraId="38B70B53" w14:textId="77777777" w:rsidR="00B02873" w:rsidRPr="00DA0311" w:rsidRDefault="00B02873" w:rsidP="00DA0311">
            <w:pPr>
              <w:pStyle w:val="TablebodyleftFinancialsTables"/>
              <w:jc w:val="right"/>
            </w:pPr>
            <w:r w:rsidRPr="00DA0311">
              <w:t>3,020</w:t>
            </w:r>
          </w:p>
        </w:tc>
      </w:tr>
      <w:tr w:rsidR="00B02873" w:rsidRPr="00DA0311" w14:paraId="2D1FC650" w14:textId="77777777" w:rsidTr="00DA0311">
        <w:tc>
          <w:tcPr>
            <w:tcW w:w="7257" w:type="dxa"/>
          </w:tcPr>
          <w:p w14:paraId="12AA99FC" w14:textId="77777777" w:rsidR="00B02873" w:rsidRPr="00DA0311" w:rsidRDefault="00B02873" w:rsidP="00DA0311">
            <w:pPr>
              <w:pStyle w:val="TablebodyleftFinancialsTables"/>
            </w:pPr>
          </w:p>
        </w:tc>
        <w:tc>
          <w:tcPr>
            <w:tcW w:w="1190" w:type="dxa"/>
          </w:tcPr>
          <w:p w14:paraId="35E217DD" w14:textId="77777777" w:rsidR="00B02873" w:rsidRPr="00DA0311" w:rsidRDefault="00B02873" w:rsidP="00DA0311">
            <w:pPr>
              <w:pStyle w:val="TablebodyleftFinancialsTables"/>
              <w:jc w:val="right"/>
              <w:rPr>
                <w:b/>
                <w:bCs/>
              </w:rPr>
            </w:pPr>
            <w:r w:rsidRPr="00DA0311">
              <w:rPr>
                <w:b/>
                <w:bCs/>
              </w:rPr>
              <w:t>205,587</w:t>
            </w:r>
          </w:p>
        </w:tc>
        <w:tc>
          <w:tcPr>
            <w:tcW w:w="1191" w:type="dxa"/>
          </w:tcPr>
          <w:p w14:paraId="3DBA3F6B" w14:textId="77777777" w:rsidR="00B02873" w:rsidRPr="00DA0311" w:rsidRDefault="00B02873" w:rsidP="00DA0311">
            <w:pPr>
              <w:pStyle w:val="TablebodyleftFinancialsTables"/>
              <w:jc w:val="right"/>
            </w:pPr>
            <w:r w:rsidRPr="00DA0311">
              <w:t>145,679</w:t>
            </w:r>
          </w:p>
        </w:tc>
      </w:tr>
      <w:tr w:rsidR="00B02873" w:rsidRPr="00DA0311" w14:paraId="1697AD3D" w14:textId="77777777" w:rsidTr="00DA0311">
        <w:tc>
          <w:tcPr>
            <w:tcW w:w="7257" w:type="dxa"/>
          </w:tcPr>
          <w:p w14:paraId="3707A7C1" w14:textId="77777777" w:rsidR="00B02873" w:rsidRPr="00DA0311" w:rsidRDefault="00B02873" w:rsidP="00DA0311">
            <w:pPr>
              <w:pStyle w:val="TablebodyleftFinancialsTables"/>
              <w:rPr>
                <w:b/>
                <w:bCs/>
              </w:rPr>
            </w:pPr>
            <w:r w:rsidRPr="00DA0311">
              <w:rPr>
                <w:b/>
                <w:bCs/>
              </w:rPr>
              <w:lastRenderedPageBreak/>
              <w:t>Statutory</w:t>
            </w:r>
          </w:p>
        </w:tc>
        <w:tc>
          <w:tcPr>
            <w:tcW w:w="1190" w:type="dxa"/>
          </w:tcPr>
          <w:p w14:paraId="3BBB75E6" w14:textId="77777777" w:rsidR="00B02873" w:rsidRPr="00DA0311" w:rsidRDefault="00B02873" w:rsidP="00DA0311">
            <w:pPr>
              <w:pStyle w:val="TablebodyleftFinancialsTables"/>
              <w:jc w:val="right"/>
              <w:rPr>
                <w:b/>
                <w:bCs/>
              </w:rPr>
            </w:pPr>
          </w:p>
        </w:tc>
        <w:tc>
          <w:tcPr>
            <w:tcW w:w="1191" w:type="dxa"/>
          </w:tcPr>
          <w:p w14:paraId="21A6C9C7" w14:textId="77777777" w:rsidR="00B02873" w:rsidRPr="00DA0311" w:rsidRDefault="00B02873" w:rsidP="00DA0311">
            <w:pPr>
              <w:pStyle w:val="TablebodyleftFinancialsTables"/>
              <w:jc w:val="right"/>
            </w:pPr>
          </w:p>
        </w:tc>
      </w:tr>
      <w:tr w:rsidR="00B02873" w:rsidRPr="00DA0311" w14:paraId="2704DA45" w14:textId="77777777" w:rsidTr="00DA0311">
        <w:tc>
          <w:tcPr>
            <w:tcW w:w="7257" w:type="dxa"/>
          </w:tcPr>
          <w:p w14:paraId="53DDBDBF" w14:textId="77777777" w:rsidR="00B02873" w:rsidRPr="00DA0311" w:rsidRDefault="00B02873" w:rsidP="00DA0311">
            <w:pPr>
              <w:pStyle w:val="TablebodyleftFinancialsTables"/>
            </w:pPr>
            <w:r w:rsidRPr="00DA0311">
              <w:t xml:space="preserve">Amounts owing from Victorian government </w:t>
            </w:r>
          </w:p>
        </w:tc>
        <w:tc>
          <w:tcPr>
            <w:tcW w:w="1190" w:type="dxa"/>
          </w:tcPr>
          <w:p w14:paraId="7CC53840" w14:textId="77777777" w:rsidR="00B02873" w:rsidRPr="00DA0311" w:rsidRDefault="00B02873" w:rsidP="00DA0311">
            <w:pPr>
              <w:pStyle w:val="TablebodyleftFinancialsTables"/>
              <w:jc w:val="right"/>
              <w:rPr>
                <w:b/>
                <w:bCs/>
              </w:rPr>
            </w:pPr>
            <w:r w:rsidRPr="00DA0311">
              <w:rPr>
                <w:b/>
                <w:bCs/>
              </w:rPr>
              <w:t>576,376</w:t>
            </w:r>
          </w:p>
        </w:tc>
        <w:tc>
          <w:tcPr>
            <w:tcW w:w="1191" w:type="dxa"/>
          </w:tcPr>
          <w:p w14:paraId="350BF6B9" w14:textId="77777777" w:rsidR="00B02873" w:rsidRPr="00DA0311" w:rsidRDefault="00B02873" w:rsidP="00DA0311">
            <w:pPr>
              <w:pStyle w:val="TablebodyleftFinancialsTables"/>
              <w:jc w:val="right"/>
            </w:pPr>
            <w:r w:rsidRPr="00DA0311">
              <w:t>540,462</w:t>
            </w:r>
          </w:p>
        </w:tc>
      </w:tr>
      <w:tr w:rsidR="00B02873" w:rsidRPr="00DA0311" w14:paraId="60D93BB4" w14:textId="77777777" w:rsidTr="00DA0311">
        <w:tc>
          <w:tcPr>
            <w:tcW w:w="7257" w:type="dxa"/>
          </w:tcPr>
          <w:p w14:paraId="0036525A" w14:textId="77777777" w:rsidR="00B02873" w:rsidRPr="00DA0311" w:rsidRDefault="00B02873" w:rsidP="00DA0311">
            <w:pPr>
              <w:pStyle w:val="TablebodyleftFinancialsTables"/>
            </w:pPr>
            <w:r w:rsidRPr="00DA0311">
              <w:t>Landfill levies receivable</w:t>
            </w:r>
          </w:p>
        </w:tc>
        <w:tc>
          <w:tcPr>
            <w:tcW w:w="1190" w:type="dxa"/>
          </w:tcPr>
          <w:p w14:paraId="3F01EC89" w14:textId="77777777" w:rsidR="00B02873" w:rsidRPr="00DA0311" w:rsidRDefault="00B02873" w:rsidP="00DA0311">
            <w:pPr>
              <w:pStyle w:val="TablebodyleftFinancialsTables"/>
              <w:jc w:val="right"/>
              <w:rPr>
                <w:b/>
                <w:bCs/>
              </w:rPr>
            </w:pPr>
            <w:r w:rsidRPr="00DA0311">
              <w:rPr>
                <w:b/>
                <w:bCs/>
              </w:rPr>
              <w:t>236,237</w:t>
            </w:r>
          </w:p>
        </w:tc>
        <w:tc>
          <w:tcPr>
            <w:tcW w:w="1191" w:type="dxa"/>
          </w:tcPr>
          <w:p w14:paraId="47DC1332" w14:textId="77777777" w:rsidR="00B02873" w:rsidRPr="00DA0311" w:rsidRDefault="00B02873" w:rsidP="00DA0311">
            <w:pPr>
              <w:pStyle w:val="TablebodyleftFinancialsTables"/>
              <w:jc w:val="right"/>
            </w:pPr>
            <w:r w:rsidRPr="00DA0311">
              <w:t>138,247</w:t>
            </w:r>
          </w:p>
        </w:tc>
      </w:tr>
      <w:tr w:rsidR="00B02873" w:rsidRPr="00DA0311" w14:paraId="6F052147" w14:textId="77777777" w:rsidTr="00DA0311">
        <w:tc>
          <w:tcPr>
            <w:tcW w:w="7257" w:type="dxa"/>
          </w:tcPr>
          <w:p w14:paraId="08D460BB" w14:textId="77777777" w:rsidR="00B02873" w:rsidRPr="00DA0311" w:rsidRDefault="00B02873" w:rsidP="00DA0311">
            <w:pPr>
              <w:pStyle w:val="TablebodyleftFinancialsTables"/>
            </w:pPr>
            <w:r w:rsidRPr="00DA0311">
              <w:t>Other receivables</w:t>
            </w:r>
          </w:p>
        </w:tc>
        <w:tc>
          <w:tcPr>
            <w:tcW w:w="1190" w:type="dxa"/>
          </w:tcPr>
          <w:p w14:paraId="568F8E78" w14:textId="77777777" w:rsidR="00B02873" w:rsidRPr="00DA0311" w:rsidRDefault="00B02873" w:rsidP="00DA0311">
            <w:pPr>
              <w:pStyle w:val="TablebodyleftFinancialsTables"/>
              <w:jc w:val="right"/>
              <w:rPr>
                <w:b/>
                <w:bCs/>
              </w:rPr>
            </w:pPr>
            <w:r w:rsidRPr="00DA0311">
              <w:rPr>
                <w:b/>
                <w:bCs/>
              </w:rPr>
              <w:t>2,023</w:t>
            </w:r>
          </w:p>
        </w:tc>
        <w:tc>
          <w:tcPr>
            <w:tcW w:w="1191" w:type="dxa"/>
          </w:tcPr>
          <w:p w14:paraId="5C5975B2" w14:textId="77777777" w:rsidR="00B02873" w:rsidRPr="00DA0311" w:rsidRDefault="00B02873" w:rsidP="00DA0311">
            <w:pPr>
              <w:pStyle w:val="TablebodyleftFinancialsTables"/>
              <w:jc w:val="right"/>
            </w:pPr>
            <w:r w:rsidRPr="00DA0311">
              <w:t>1,623</w:t>
            </w:r>
          </w:p>
        </w:tc>
      </w:tr>
      <w:tr w:rsidR="00B02873" w:rsidRPr="00DA0311" w14:paraId="56C290BB" w14:textId="77777777" w:rsidTr="00DA0311">
        <w:tc>
          <w:tcPr>
            <w:tcW w:w="7257" w:type="dxa"/>
          </w:tcPr>
          <w:p w14:paraId="32DA850C" w14:textId="77777777" w:rsidR="00B02873" w:rsidRPr="00DA0311" w:rsidRDefault="00B02873" w:rsidP="00DA0311">
            <w:pPr>
              <w:pStyle w:val="TablebodyleftFinancialsTables"/>
            </w:pPr>
            <w:r w:rsidRPr="00DA0311">
              <w:t xml:space="preserve">GST input tax credit recoverable </w:t>
            </w:r>
          </w:p>
        </w:tc>
        <w:tc>
          <w:tcPr>
            <w:tcW w:w="1190" w:type="dxa"/>
          </w:tcPr>
          <w:p w14:paraId="042EF8B3" w14:textId="77777777" w:rsidR="00B02873" w:rsidRPr="00DA0311" w:rsidRDefault="00B02873" w:rsidP="00DA0311">
            <w:pPr>
              <w:pStyle w:val="TablebodyleftFinancialsTables"/>
              <w:jc w:val="right"/>
              <w:rPr>
                <w:b/>
                <w:bCs/>
              </w:rPr>
            </w:pPr>
            <w:r w:rsidRPr="00DA0311">
              <w:rPr>
                <w:b/>
                <w:bCs/>
              </w:rPr>
              <w:t>25,624</w:t>
            </w:r>
          </w:p>
        </w:tc>
        <w:tc>
          <w:tcPr>
            <w:tcW w:w="1191" w:type="dxa"/>
          </w:tcPr>
          <w:p w14:paraId="1907AE9E" w14:textId="77777777" w:rsidR="00B02873" w:rsidRPr="00DA0311" w:rsidRDefault="00B02873" w:rsidP="00DA0311">
            <w:pPr>
              <w:pStyle w:val="TablebodyleftFinancialsTables"/>
              <w:jc w:val="right"/>
            </w:pPr>
            <w:r w:rsidRPr="00DA0311">
              <w:t>25,604</w:t>
            </w:r>
          </w:p>
        </w:tc>
      </w:tr>
      <w:tr w:rsidR="00B02873" w:rsidRPr="00DA0311" w14:paraId="6C60AAC7" w14:textId="77777777" w:rsidTr="00DA0311">
        <w:tc>
          <w:tcPr>
            <w:tcW w:w="7257" w:type="dxa"/>
          </w:tcPr>
          <w:p w14:paraId="01372BA8" w14:textId="77777777" w:rsidR="00B02873" w:rsidRPr="00DA0311" w:rsidRDefault="00B02873" w:rsidP="00DA0311">
            <w:pPr>
              <w:pStyle w:val="TablebodyleftFinancialsTables"/>
            </w:pPr>
          </w:p>
        </w:tc>
        <w:tc>
          <w:tcPr>
            <w:tcW w:w="1190" w:type="dxa"/>
          </w:tcPr>
          <w:p w14:paraId="3C9277B7" w14:textId="77777777" w:rsidR="00B02873" w:rsidRPr="00DA0311" w:rsidRDefault="00B02873" w:rsidP="00DA0311">
            <w:pPr>
              <w:pStyle w:val="TablebodyleftFinancialsTables"/>
              <w:jc w:val="right"/>
              <w:rPr>
                <w:b/>
                <w:bCs/>
              </w:rPr>
            </w:pPr>
            <w:r w:rsidRPr="00DA0311">
              <w:rPr>
                <w:b/>
                <w:bCs/>
              </w:rPr>
              <w:t>840,260</w:t>
            </w:r>
          </w:p>
        </w:tc>
        <w:tc>
          <w:tcPr>
            <w:tcW w:w="1191" w:type="dxa"/>
          </w:tcPr>
          <w:p w14:paraId="5A077D59" w14:textId="77777777" w:rsidR="00B02873" w:rsidRPr="00DA0311" w:rsidRDefault="00B02873" w:rsidP="00DA0311">
            <w:pPr>
              <w:pStyle w:val="TablebodyleftFinancialsTables"/>
              <w:jc w:val="right"/>
            </w:pPr>
            <w:r w:rsidRPr="00DA0311">
              <w:t>705,936</w:t>
            </w:r>
          </w:p>
        </w:tc>
      </w:tr>
      <w:tr w:rsidR="00B02873" w:rsidRPr="00DA0311" w14:paraId="583E2D39" w14:textId="77777777" w:rsidTr="00DA0311">
        <w:tc>
          <w:tcPr>
            <w:tcW w:w="7257" w:type="dxa"/>
          </w:tcPr>
          <w:p w14:paraId="53848044" w14:textId="77777777" w:rsidR="00B02873" w:rsidRPr="00DA0311" w:rsidRDefault="00B02873" w:rsidP="00DA0311">
            <w:pPr>
              <w:pStyle w:val="TablebodyleftFinancialsTables"/>
              <w:rPr>
                <w:b/>
                <w:bCs/>
              </w:rPr>
            </w:pPr>
            <w:r w:rsidRPr="00DA0311">
              <w:rPr>
                <w:b/>
                <w:bCs/>
              </w:rPr>
              <w:t>Total current receivables</w:t>
            </w:r>
          </w:p>
        </w:tc>
        <w:tc>
          <w:tcPr>
            <w:tcW w:w="1190" w:type="dxa"/>
          </w:tcPr>
          <w:p w14:paraId="1D3980CE" w14:textId="77777777" w:rsidR="00B02873" w:rsidRPr="00DA0311" w:rsidRDefault="00B02873" w:rsidP="00DA0311">
            <w:pPr>
              <w:pStyle w:val="TablebodyleftFinancialsTables"/>
              <w:jc w:val="right"/>
              <w:rPr>
                <w:b/>
                <w:bCs/>
              </w:rPr>
            </w:pPr>
            <w:r w:rsidRPr="00DA0311">
              <w:rPr>
                <w:b/>
                <w:bCs/>
              </w:rPr>
              <w:t xml:space="preserve"> 1,045,847</w:t>
            </w:r>
          </w:p>
        </w:tc>
        <w:tc>
          <w:tcPr>
            <w:tcW w:w="1191" w:type="dxa"/>
          </w:tcPr>
          <w:p w14:paraId="420F18FB" w14:textId="77777777" w:rsidR="00B02873" w:rsidRPr="00DA0311" w:rsidRDefault="00B02873" w:rsidP="00DA0311">
            <w:pPr>
              <w:pStyle w:val="TablebodyleftFinancialsTables"/>
              <w:jc w:val="right"/>
            </w:pPr>
            <w:r w:rsidRPr="00DA0311">
              <w:t xml:space="preserve"> 851,615</w:t>
            </w:r>
          </w:p>
        </w:tc>
      </w:tr>
      <w:tr w:rsidR="00B02873" w:rsidRPr="00DA0311" w14:paraId="04AFEBBF" w14:textId="77777777" w:rsidTr="00DA0311">
        <w:tc>
          <w:tcPr>
            <w:tcW w:w="7257" w:type="dxa"/>
          </w:tcPr>
          <w:p w14:paraId="6459CDF4" w14:textId="77777777" w:rsidR="00B02873" w:rsidRPr="00DA0311" w:rsidRDefault="00B02873" w:rsidP="00DA0311">
            <w:pPr>
              <w:pStyle w:val="TablebodyleftFinancialsTables"/>
              <w:rPr>
                <w:b/>
                <w:bCs/>
              </w:rPr>
            </w:pPr>
            <w:r w:rsidRPr="00DA0311">
              <w:rPr>
                <w:b/>
                <w:bCs/>
              </w:rPr>
              <w:t>Non-current receivables</w:t>
            </w:r>
          </w:p>
        </w:tc>
        <w:tc>
          <w:tcPr>
            <w:tcW w:w="1190" w:type="dxa"/>
          </w:tcPr>
          <w:p w14:paraId="643EF935" w14:textId="77777777" w:rsidR="00B02873" w:rsidRPr="00DA0311" w:rsidRDefault="00B02873" w:rsidP="00DA0311">
            <w:pPr>
              <w:pStyle w:val="TablebodyleftFinancialsTables"/>
              <w:jc w:val="right"/>
              <w:rPr>
                <w:b/>
                <w:bCs/>
              </w:rPr>
            </w:pPr>
          </w:p>
        </w:tc>
        <w:tc>
          <w:tcPr>
            <w:tcW w:w="1191" w:type="dxa"/>
          </w:tcPr>
          <w:p w14:paraId="5EEB51D9" w14:textId="77777777" w:rsidR="00B02873" w:rsidRPr="00DA0311" w:rsidRDefault="00B02873" w:rsidP="00DA0311">
            <w:pPr>
              <w:pStyle w:val="TablebodyleftFinancialsTables"/>
              <w:jc w:val="right"/>
            </w:pPr>
          </w:p>
        </w:tc>
      </w:tr>
      <w:tr w:rsidR="00B02873" w:rsidRPr="00DA0311" w14:paraId="2F36BBFF" w14:textId="77777777" w:rsidTr="00DA0311">
        <w:tc>
          <w:tcPr>
            <w:tcW w:w="7257" w:type="dxa"/>
          </w:tcPr>
          <w:p w14:paraId="6BF39FCD" w14:textId="77777777" w:rsidR="00B02873" w:rsidRPr="00DA0311" w:rsidRDefault="00B02873" w:rsidP="00DA0311">
            <w:pPr>
              <w:pStyle w:val="TablebodyleftFinancialsTables"/>
              <w:rPr>
                <w:b/>
                <w:bCs/>
              </w:rPr>
            </w:pPr>
            <w:r w:rsidRPr="00DA0311">
              <w:rPr>
                <w:b/>
                <w:bCs/>
              </w:rPr>
              <w:t>Statutory</w:t>
            </w:r>
          </w:p>
        </w:tc>
        <w:tc>
          <w:tcPr>
            <w:tcW w:w="1190" w:type="dxa"/>
          </w:tcPr>
          <w:p w14:paraId="7C467C1F" w14:textId="77777777" w:rsidR="00B02873" w:rsidRPr="00DA0311" w:rsidRDefault="00B02873" w:rsidP="00DA0311">
            <w:pPr>
              <w:pStyle w:val="TablebodyleftFinancialsTables"/>
              <w:jc w:val="right"/>
              <w:rPr>
                <w:b/>
                <w:bCs/>
              </w:rPr>
            </w:pPr>
          </w:p>
        </w:tc>
        <w:tc>
          <w:tcPr>
            <w:tcW w:w="1191" w:type="dxa"/>
          </w:tcPr>
          <w:p w14:paraId="3714ACD2" w14:textId="77777777" w:rsidR="00B02873" w:rsidRPr="00DA0311" w:rsidRDefault="00B02873" w:rsidP="00DA0311">
            <w:pPr>
              <w:pStyle w:val="TablebodyleftFinancialsTables"/>
              <w:jc w:val="right"/>
            </w:pPr>
          </w:p>
        </w:tc>
      </w:tr>
      <w:tr w:rsidR="00B02873" w:rsidRPr="00DA0311" w14:paraId="61964757" w14:textId="77777777" w:rsidTr="00DA0311">
        <w:tc>
          <w:tcPr>
            <w:tcW w:w="7257" w:type="dxa"/>
          </w:tcPr>
          <w:p w14:paraId="61D6F8F5" w14:textId="77777777" w:rsidR="00B02873" w:rsidRPr="00DA0311" w:rsidRDefault="00B02873" w:rsidP="00DA0311">
            <w:pPr>
              <w:pStyle w:val="TablebodyleftFinancialsTables"/>
            </w:pPr>
            <w:r w:rsidRPr="00DA0311">
              <w:t xml:space="preserve">Amounts owing from Victorian government </w:t>
            </w:r>
          </w:p>
        </w:tc>
        <w:tc>
          <w:tcPr>
            <w:tcW w:w="1190" w:type="dxa"/>
          </w:tcPr>
          <w:p w14:paraId="0F19A83F" w14:textId="77777777" w:rsidR="00B02873" w:rsidRPr="00DA0311" w:rsidRDefault="00B02873" w:rsidP="00DA0311">
            <w:pPr>
              <w:pStyle w:val="TablebodyleftFinancialsTables"/>
              <w:jc w:val="right"/>
              <w:rPr>
                <w:b/>
                <w:bCs/>
              </w:rPr>
            </w:pPr>
            <w:r w:rsidRPr="00DA0311">
              <w:rPr>
                <w:b/>
                <w:bCs/>
              </w:rPr>
              <w:t>59,000</w:t>
            </w:r>
          </w:p>
        </w:tc>
        <w:tc>
          <w:tcPr>
            <w:tcW w:w="1191" w:type="dxa"/>
          </w:tcPr>
          <w:p w14:paraId="6658392C" w14:textId="77777777" w:rsidR="00B02873" w:rsidRPr="00DA0311" w:rsidRDefault="00B02873" w:rsidP="00DA0311">
            <w:pPr>
              <w:pStyle w:val="TablebodyleftFinancialsTables"/>
              <w:jc w:val="right"/>
            </w:pPr>
            <w:r w:rsidRPr="00DA0311">
              <w:t>60,167</w:t>
            </w:r>
          </w:p>
        </w:tc>
      </w:tr>
      <w:tr w:rsidR="00B02873" w:rsidRPr="00DA0311" w14:paraId="7E16041A" w14:textId="77777777" w:rsidTr="00DA0311">
        <w:tc>
          <w:tcPr>
            <w:tcW w:w="7257" w:type="dxa"/>
          </w:tcPr>
          <w:p w14:paraId="5D3BC632" w14:textId="77777777" w:rsidR="00B02873" w:rsidRPr="00DA0311" w:rsidRDefault="00B02873" w:rsidP="00DA0311">
            <w:pPr>
              <w:pStyle w:val="TablebodyleftFinancialsTables"/>
              <w:rPr>
                <w:b/>
                <w:bCs/>
              </w:rPr>
            </w:pPr>
            <w:r w:rsidRPr="00DA0311">
              <w:rPr>
                <w:b/>
                <w:bCs/>
              </w:rPr>
              <w:t>Total non-current receivables</w:t>
            </w:r>
          </w:p>
        </w:tc>
        <w:tc>
          <w:tcPr>
            <w:tcW w:w="1190" w:type="dxa"/>
          </w:tcPr>
          <w:p w14:paraId="592F5417" w14:textId="77777777" w:rsidR="00B02873" w:rsidRPr="00DA0311" w:rsidRDefault="00B02873" w:rsidP="00DA0311">
            <w:pPr>
              <w:pStyle w:val="TablebodyleftFinancialsTables"/>
              <w:jc w:val="right"/>
              <w:rPr>
                <w:b/>
                <w:bCs/>
              </w:rPr>
            </w:pPr>
            <w:r w:rsidRPr="00DA0311">
              <w:rPr>
                <w:b/>
                <w:bCs/>
              </w:rPr>
              <w:t>59,000</w:t>
            </w:r>
          </w:p>
        </w:tc>
        <w:tc>
          <w:tcPr>
            <w:tcW w:w="1191" w:type="dxa"/>
          </w:tcPr>
          <w:p w14:paraId="07B9CDBA" w14:textId="77777777" w:rsidR="00B02873" w:rsidRPr="00DA0311" w:rsidRDefault="00B02873" w:rsidP="00DA0311">
            <w:pPr>
              <w:pStyle w:val="TablebodyleftFinancialsTables"/>
              <w:jc w:val="right"/>
            </w:pPr>
            <w:r w:rsidRPr="00DA0311">
              <w:t>60,167</w:t>
            </w:r>
          </w:p>
        </w:tc>
      </w:tr>
      <w:tr w:rsidR="00B02873" w:rsidRPr="00DA0311" w14:paraId="5813CB61" w14:textId="77777777" w:rsidTr="00DA0311">
        <w:tc>
          <w:tcPr>
            <w:tcW w:w="7257" w:type="dxa"/>
          </w:tcPr>
          <w:p w14:paraId="2DA847BE" w14:textId="77777777" w:rsidR="00B02873" w:rsidRPr="00DA0311" w:rsidRDefault="00B02873" w:rsidP="00DA0311">
            <w:pPr>
              <w:pStyle w:val="TablebodyleftFinancialsTables"/>
              <w:rPr>
                <w:b/>
                <w:bCs/>
              </w:rPr>
            </w:pPr>
            <w:r w:rsidRPr="00DA0311">
              <w:rPr>
                <w:b/>
                <w:bCs/>
              </w:rPr>
              <w:t>Total receivables</w:t>
            </w:r>
          </w:p>
        </w:tc>
        <w:tc>
          <w:tcPr>
            <w:tcW w:w="1190" w:type="dxa"/>
          </w:tcPr>
          <w:p w14:paraId="2BD505E3" w14:textId="77777777" w:rsidR="00B02873" w:rsidRPr="00DA0311" w:rsidRDefault="00B02873" w:rsidP="00DA0311">
            <w:pPr>
              <w:pStyle w:val="TablebodyleftFinancialsTables"/>
              <w:jc w:val="right"/>
              <w:rPr>
                <w:b/>
                <w:bCs/>
              </w:rPr>
            </w:pPr>
            <w:r w:rsidRPr="00DA0311">
              <w:rPr>
                <w:b/>
                <w:bCs/>
              </w:rPr>
              <w:t>1,104,847</w:t>
            </w:r>
          </w:p>
        </w:tc>
        <w:tc>
          <w:tcPr>
            <w:tcW w:w="1191" w:type="dxa"/>
          </w:tcPr>
          <w:p w14:paraId="264FA258" w14:textId="77777777" w:rsidR="00B02873" w:rsidRPr="00DA0311" w:rsidRDefault="00B02873" w:rsidP="00DA0311">
            <w:pPr>
              <w:pStyle w:val="TablebodyleftFinancialsTables"/>
              <w:jc w:val="right"/>
            </w:pPr>
            <w:r w:rsidRPr="00DA0311">
              <w:t>911,782</w:t>
            </w:r>
          </w:p>
        </w:tc>
      </w:tr>
    </w:tbl>
    <w:p w14:paraId="0A6E3809" w14:textId="77777777" w:rsidR="00B02873" w:rsidRDefault="00B02873" w:rsidP="00FE198A"/>
    <w:p w14:paraId="4168650C" w14:textId="77777777" w:rsidR="00B02873" w:rsidRDefault="00B02873" w:rsidP="00FE198A">
      <w:pPr>
        <w:rPr>
          <w:spacing w:val="-2"/>
        </w:rPr>
      </w:pPr>
      <w:r>
        <w:rPr>
          <w:spacing w:val="-2"/>
        </w:rPr>
        <w:t xml:space="preserve">Contractual receivables (consisting of trade receivables, concessional loans and accrued income) are classified as financial instruments and categorised as ‘financial assets at amortised cost’. They are initially recognised at fair value plus any directly attributable transaction costs. The department determines the present value of the concessional loans receivable by discounting the future expected cash flows at a market comparable interest rate. The department holds the contractual receivables with the objective to collect the contractual cash flows (comprising of interest and principal for concessional loans) and therefore subsequently measured at amortised cost using the effective interest method, less any impairment. </w:t>
      </w:r>
    </w:p>
    <w:p w14:paraId="5CF9448A" w14:textId="7C057285" w:rsidR="00B02873" w:rsidRDefault="00B02873" w:rsidP="00FE198A">
      <w:pPr>
        <w:rPr>
          <w:spacing w:val="-2"/>
        </w:rPr>
      </w:pPr>
      <w:r>
        <w:rPr>
          <w:spacing w:val="-2"/>
        </w:rPr>
        <w:t>Statutory receivables do not arise from contracts and are recognised and measured similarly to contractual receivables (except for impairment), but are not classified as financial instruments for disclosure purposes. The department applies AASB 9 for initial measurement of the statutory receivables. As a result, statutory receivables are initially recognised at fair value plus any directly attributable transaction cost. Amounts recognised from the Victorian government represent funding for all commitments incurred and are drawn from the Consolidated Fund as the commitments fall due.</w:t>
      </w:r>
    </w:p>
    <w:p w14:paraId="61C75166" w14:textId="77777777" w:rsidR="00B02873" w:rsidRDefault="00B02873" w:rsidP="00FE198A">
      <w:pPr>
        <w:rPr>
          <w:spacing w:val="-2"/>
        </w:rPr>
      </w:pPr>
      <w:r>
        <w:rPr>
          <w:spacing w:val="-4"/>
        </w:rPr>
        <w:t>Details about the department’s impairment policies, the department’s exposure to credit risk, and the calculation of the loss allowance are set out in Note 8.1.3.</w:t>
      </w:r>
    </w:p>
    <w:p w14:paraId="368AAC24" w14:textId="78075D3C" w:rsidR="00B02873" w:rsidRDefault="00B02873" w:rsidP="00FE198A">
      <w:pPr>
        <w:rPr>
          <w:spacing w:val="-2"/>
        </w:rPr>
      </w:pPr>
      <w:r>
        <w:rPr>
          <w:spacing w:val="-2"/>
        </w:rPr>
        <w:t xml:space="preserve">The average credit period on sales of goods and services and for other receivables is 30 days. No interest is charged on trade receivables for the first 30 days from the date of the invoice. Thereafter, interest is charged at 10.0 percent (2021: 10.0 percent) on the outstanding balance of invoices relating to land licences. The interest rate is determined under the </w:t>
      </w:r>
      <w:r w:rsidRPr="00DA0311">
        <w:rPr>
          <w:rStyle w:val="LightItalic"/>
          <w:rFonts w:asciiTheme="minorHAnsi" w:hAnsiTheme="minorHAnsi" w:cstheme="minorHAnsi"/>
          <w:spacing w:val="-2"/>
        </w:rPr>
        <w:t>Penalty Interest Rate Act 1983</w:t>
      </w:r>
      <w:r w:rsidRPr="00DA0311">
        <w:rPr>
          <w:rFonts w:asciiTheme="minorHAnsi" w:hAnsiTheme="minorHAnsi" w:cstheme="minorHAnsi"/>
          <w:spacing w:val="-2"/>
        </w:rPr>
        <w:t>.</w:t>
      </w:r>
      <w:r>
        <w:rPr>
          <w:spacing w:val="-2"/>
        </w:rPr>
        <w:t xml:space="preserve"> A provision has been made for estimated irrecoverable amounts from the sale of goods when there is objective evidence that an individual receivable is impaired. The movement in the allowance of $562,000 (2021: increase of $778,000) was recognised in the operating result for the current financial year.</w:t>
      </w:r>
    </w:p>
    <w:p w14:paraId="00FAC51D" w14:textId="77777777" w:rsidR="00B02873" w:rsidRDefault="00B02873" w:rsidP="00FE198A">
      <w:pPr>
        <w:rPr>
          <w:spacing w:val="-2"/>
        </w:rPr>
      </w:pPr>
      <w:r>
        <w:rPr>
          <w:spacing w:val="-2"/>
        </w:rPr>
        <w:t>No interest is charged on accrued income for the outstanding balance. An allowance is made for estimated irrecoverable amounts from the sale of goods, determined by reference to past default experience. No such allowance has been made in this financial year for accrued receivables.</w:t>
      </w:r>
    </w:p>
    <w:p w14:paraId="2F688975" w14:textId="77777777" w:rsidR="00B02873" w:rsidRDefault="00B02873" w:rsidP="00DA0311">
      <w:pPr>
        <w:pStyle w:val="Heading3"/>
      </w:pPr>
      <w:r>
        <w:lastRenderedPageBreak/>
        <w:t>6.2 Derivative financial instruments</w:t>
      </w:r>
    </w:p>
    <w:tbl>
      <w:tblPr>
        <w:tblStyle w:val="TableGrid"/>
        <w:tblW w:w="0" w:type="auto"/>
        <w:tblLayout w:type="fixed"/>
        <w:tblLook w:val="0020" w:firstRow="1" w:lastRow="0" w:firstColumn="0" w:lastColumn="0" w:noHBand="0" w:noVBand="0"/>
      </w:tblPr>
      <w:tblGrid>
        <w:gridCol w:w="7257"/>
        <w:gridCol w:w="1190"/>
        <w:gridCol w:w="1191"/>
      </w:tblGrid>
      <w:tr w:rsidR="00B02873" w:rsidRPr="00DA0311" w14:paraId="33042E1F" w14:textId="77777777" w:rsidTr="00DA0311">
        <w:trPr>
          <w:cnfStyle w:val="100000000000" w:firstRow="1" w:lastRow="0" w:firstColumn="0" w:lastColumn="0" w:oddVBand="0" w:evenVBand="0" w:oddHBand="0" w:evenHBand="0" w:firstRowFirstColumn="0" w:firstRowLastColumn="0" w:lastRowFirstColumn="0" w:lastRowLastColumn="0"/>
        </w:trPr>
        <w:tc>
          <w:tcPr>
            <w:tcW w:w="7257" w:type="dxa"/>
          </w:tcPr>
          <w:p w14:paraId="586E0F84" w14:textId="77777777" w:rsidR="00B02873" w:rsidRPr="00DA0311" w:rsidRDefault="00B02873" w:rsidP="00DA0311">
            <w:pPr>
              <w:pStyle w:val="TableheadingleftFinancialsTables"/>
            </w:pPr>
          </w:p>
        </w:tc>
        <w:tc>
          <w:tcPr>
            <w:tcW w:w="1190" w:type="dxa"/>
          </w:tcPr>
          <w:p w14:paraId="11562145" w14:textId="77777777" w:rsidR="00B02873" w:rsidRPr="00DA0311" w:rsidRDefault="00B02873" w:rsidP="00DA0311">
            <w:pPr>
              <w:pStyle w:val="TableheadingleftFinancialsTables"/>
              <w:jc w:val="right"/>
            </w:pPr>
            <w:r w:rsidRPr="00DA0311">
              <w:t>2022</w:t>
            </w:r>
            <w:r w:rsidRPr="00DA0311">
              <w:br/>
              <w:t>$’000</w:t>
            </w:r>
          </w:p>
        </w:tc>
        <w:tc>
          <w:tcPr>
            <w:tcW w:w="1191" w:type="dxa"/>
          </w:tcPr>
          <w:p w14:paraId="30471BD9" w14:textId="77777777" w:rsidR="00B02873" w:rsidRPr="00DA0311" w:rsidRDefault="00B02873" w:rsidP="00DA0311">
            <w:pPr>
              <w:pStyle w:val="TableheadingleftFinancialsTables"/>
              <w:jc w:val="right"/>
            </w:pPr>
            <w:r w:rsidRPr="00DA0311">
              <w:t>2021</w:t>
            </w:r>
            <w:r w:rsidRPr="00DA0311">
              <w:br/>
              <w:t>$’000</w:t>
            </w:r>
          </w:p>
        </w:tc>
      </w:tr>
      <w:tr w:rsidR="00B02873" w:rsidRPr="00DA0311" w14:paraId="4862D87C" w14:textId="77777777" w:rsidTr="00DA0311">
        <w:tc>
          <w:tcPr>
            <w:tcW w:w="7257" w:type="dxa"/>
          </w:tcPr>
          <w:p w14:paraId="426A3061" w14:textId="77777777" w:rsidR="00B02873" w:rsidRPr="00DA0311" w:rsidRDefault="00B02873" w:rsidP="00DA0311">
            <w:pPr>
              <w:pStyle w:val="TablebodyleftFinancialsTables"/>
              <w:rPr>
                <w:b/>
                <w:bCs/>
              </w:rPr>
            </w:pPr>
            <w:r w:rsidRPr="00DA0311">
              <w:rPr>
                <w:b/>
                <w:bCs/>
              </w:rPr>
              <w:t>Financial assets</w:t>
            </w:r>
          </w:p>
        </w:tc>
        <w:tc>
          <w:tcPr>
            <w:tcW w:w="1190" w:type="dxa"/>
          </w:tcPr>
          <w:p w14:paraId="7ECEE043" w14:textId="77777777" w:rsidR="00B02873" w:rsidRPr="00DA0311" w:rsidRDefault="00B02873" w:rsidP="00DA0311">
            <w:pPr>
              <w:pStyle w:val="TablebodyleftFinancialsTables"/>
              <w:jc w:val="right"/>
            </w:pPr>
          </w:p>
        </w:tc>
        <w:tc>
          <w:tcPr>
            <w:tcW w:w="1191" w:type="dxa"/>
          </w:tcPr>
          <w:p w14:paraId="617E612D" w14:textId="77777777" w:rsidR="00B02873" w:rsidRPr="00DA0311" w:rsidRDefault="00B02873" w:rsidP="00DA0311">
            <w:pPr>
              <w:pStyle w:val="TablebodyleftFinancialsTables"/>
              <w:jc w:val="right"/>
            </w:pPr>
          </w:p>
        </w:tc>
      </w:tr>
      <w:tr w:rsidR="00B02873" w:rsidRPr="00DA0311" w14:paraId="5E6FAF1F" w14:textId="77777777" w:rsidTr="00DA0311">
        <w:tc>
          <w:tcPr>
            <w:tcW w:w="7257" w:type="dxa"/>
          </w:tcPr>
          <w:p w14:paraId="1317DE6C" w14:textId="77777777" w:rsidR="00B02873" w:rsidRPr="00DA0311" w:rsidRDefault="00B02873" w:rsidP="00DA0311">
            <w:pPr>
              <w:pStyle w:val="TablebodyleftFinancialsTables"/>
            </w:pPr>
            <w:r w:rsidRPr="00DA0311">
              <w:t xml:space="preserve">Derivative financial instruments </w:t>
            </w:r>
          </w:p>
        </w:tc>
        <w:tc>
          <w:tcPr>
            <w:tcW w:w="1190" w:type="dxa"/>
          </w:tcPr>
          <w:p w14:paraId="15BC92C1" w14:textId="77777777" w:rsidR="00B02873" w:rsidRPr="00DA0311" w:rsidRDefault="00B02873" w:rsidP="00DA0311">
            <w:pPr>
              <w:pStyle w:val="TablebodyleftFinancialsTables"/>
              <w:jc w:val="right"/>
              <w:rPr>
                <w:b/>
                <w:bCs/>
              </w:rPr>
            </w:pPr>
            <w:r w:rsidRPr="00DA0311">
              <w:rPr>
                <w:b/>
                <w:bCs/>
              </w:rPr>
              <w:t>429,933</w:t>
            </w:r>
          </w:p>
        </w:tc>
        <w:tc>
          <w:tcPr>
            <w:tcW w:w="1191" w:type="dxa"/>
          </w:tcPr>
          <w:p w14:paraId="7E56AE75" w14:textId="77777777" w:rsidR="00B02873" w:rsidRPr="00DA0311" w:rsidRDefault="00B02873" w:rsidP="00DA0311">
            <w:pPr>
              <w:pStyle w:val="TablebodyleftFinancialsTables"/>
              <w:jc w:val="right"/>
            </w:pPr>
            <w:r w:rsidRPr="00DA0311">
              <w:t>80,669</w:t>
            </w:r>
          </w:p>
        </w:tc>
      </w:tr>
      <w:tr w:rsidR="00B02873" w:rsidRPr="00DA0311" w14:paraId="790CE6A8" w14:textId="77777777" w:rsidTr="00DA0311">
        <w:tc>
          <w:tcPr>
            <w:tcW w:w="7257" w:type="dxa"/>
          </w:tcPr>
          <w:p w14:paraId="7D9E1266" w14:textId="77777777" w:rsidR="00B02873" w:rsidRPr="00DA0311" w:rsidRDefault="00B02873" w:rsidP="00DA0311">
            <w:pPr>
              <w:pStyle w:val="TablebodyleftFinancialsTables"/>
              <w:rPr>
                <w:b/>
                <w:bCs/>
              </w:rPr>
            </w:pPr>
            <w:r w:rsidRPr="00DA0311">
              <w:rPr>
                <w:b/>
                <w:bCs/>
              </w:rPr>
              <w:t>Liabilities</w:t>
            </w:r>
          </w:p>
        </w:tc>
        <w:tc>
          <w:tcPr>
            <w:tcW w:w="1190" w:type="dxa"/>
          </w:tcPr>
          <w:p w14:paraId="3434C09A" w14:textId="77777777" w:rsidR="00B02873" w:rsidRPr="00DA0311" w:rsidRDefault="00B02873" w:rsidP="00DA0311">
            <w:pPr>
              <w:pStyle w:val="TablebodyleftFinancialsTables"/>
              <w:jc w:val="right"/>
            </w:pPr>
          </w:p>
        </w:tc>
        <w:tc>
          <w:tcPr>
            <w:tcW w:w="1191" w:type="dxa"/>
          </w:tcPr>
          <w:p w14:paraId="66CD9D00" w14:textId="77777777" w:rsidR="00B02873" w:rsidRPr="00DA0311" w:rsidRDefault="00B02873" w:rsidP="00DA0311">
            <w:pPr>
              <w:pStyle w:val="TablebodyleftFinancialsTables"/>
              <w:jc w:val="right"/>
            </w:pPr>
          </w:p>
        </w:tc>
      </w:tr>
      <w:tr w:rsidR="00B02873" w:rsidRPr="00DA0311" w14:paraId="51D232CE" w14:textId="77777777" w:rsidTr="00DA0311">
        <w:tc>
          <w:tcPr>
            <w:tcW w:w="7257" w:type="dxa"/>
          </w:tcPr>
          <w:p w14:paraId="7EF9BD2E" w14:textId="77777777" w:rsidR="00B02873" w:rsidRPr="00DA0311" w:rsidRDefault="00B02873" w:rsidP="00DA0311">
            <w:pPr>
              <w:pStyle w:val="TablebodyleftFinancialsTables"/>
            </w:pPr>
            <w:r w:rsidRPr="00DA0311">
              <w:t xml:space="preserve">Derivative financial instruments </w:t>
            </w:r>
          </w:p>
        </w:tc>
        <w:tc>
          <w:tcPr>
            <w:tcW w:w="1190" w:type="dxa"/>
          </w:tcPr>
          <w:p w14:paraId="4DDB7B2E" w14:textId="77777777" w:rsidR="00B02873" w:rsidRPr="00DA0311" w:rsidRDefault="00B02873" w:rsidP="00DA0311">
            <w:pPr>
              <w:pStyle w:val="TablebodyleftFinancialsTables"/>
              <w:jc w:val="right"/>
            </w:pPr>
            <w:r w:rsidRPr="00DA0311">
              <w:t>–</w:t>
            </w:r>
          </w:p>
        </w:tc>
        <w:tc>
          <w:tcPr>
            <w:tcW w:w="1191" w:type="dxa"/>
          </w:tcPr>
          <w:p w14:paraId="78117C15" w14:textId="77777777" w:rsidR="00B02873" w:rsidRPr="00DA0311" w:rsidRDefault="00B02873" w:rsidP="00DA0311">
            <w:pPr>
              <w:pStyle w:val="TablebodyleftFinancialsTables"/>
              <w:jc w:val="right"/>
            </w:pPr>
            <w:r w:rsidRPr="00DA0311">
              <w:t>1,931</w:t>
            </w:r>
          </w:p>
        </w:tc>
      </w:tr>
    </w:tbl>
    <w:p w14:paraId="07F3E860" w14:textId="77777777" w:rsidR="00B02873" w:rsidRDefault="00B02873" w:rsidP="00FE198A"/>
    <w:p w14:paraId="33264EB1" w14:textId="77777777" w:rsidR="00B02873" w:rsidRDefault="00B02873" w:rsidP="00DA0311">
      <w:pPr>
        <w:pStyle w:val="Heading4"/>
      </w:pPr>
      <w:r>
        <w:t xml:space="preserve">Financial instruments: Categorisation </w:t>
      </w:r>
    </w:p>
    <w:p w14:paraId="5FA5AF65" w14:textId="11A16BF7" w:rsidR="00B02873" w:rsidRDefault="00B02873" w:rsidP="00FE198A">
      <w:r>
        <w:t>Derivative financial instruments are classified as fair value through net result. They are initially recognised at fair value on the date on which all contractual obligations under Conditions Precedent are met. Income or expense recognised represents the fair value of the expected future settlements at the initial recognition.</w:t>
      </w:r>
    </w:p>
    <w:p w14:paraId="7246A063" w14:textId="399977EE" w:rsidR="00B02873" w:rsidRDefault="00B02873" w:rsidP="00FE198A">
      <w:r>
        <w:t>Initial recognition of off-market instruments may be delayed until such point in time when the Department is able to reliably estimate the fair value for those derivatives for which unobservable data inputs are used as part of the valuation techniques.</w:t>
      </w:r>
    </w:p>
    <w:p w14:paraId="1A83E8FB" w14:textId="77777777" w:rsidR="00B02873" w:rsidRDefault="00B02873" w:rsidP="00FE198A">
      <w:r>
        <w:t>Derivatives are carried as assets when their fair value is positive and as liabilities when their fair value is negative. Any gains or losses arising from changes in the fair value of derivatives after initial recognition are recognised in the comprehensive operating statement as an ‘other economic flow’ included in the net result (refer to Note 9.2).</w:t>
      </w:r>
    </w:p>
    <w:p w14:paraId="518DB821" w14:textId="77777777" w:rsidR="00B02873" w:rsidRDefault="00B02873" w:rsidP="00FE198A">
      <w:r>
        <w:t xml:space="preserve">The department entered into contracts to support the construction of renewable energy generators to feed into the National Electricity Market (NEM). The future settlements of Contract for Differences and large-scale generation certificates (LGCs) from/to proponents are classified as financial derivative instruments. </w:t>
      </w:r>
    </w:p>
    <w:p w14:paraId="44DDA6C0" w14:textId="77777777" w:rsidR="00B02873" w:rsidRDefault="00B02873" w:rsidP="00DA0311">
      <w:pPr>
        <w:pStyle w:val="Heading5"/>
      </w:pPr>
      <w:r>
        <w:t>Financial instruments: Net holding gain/(loss) on financial instruments by category</w:t>
      </w:r>
    </w:p>
    <w:p w14:paraId="0652E8A6" w14:textId="77777777" w:rsidR="00B02873" w:rsidRDefault="00B02873" w:rsidP="00FE198A">
      <w:r>
        <w:t xml:space="preserve">Refer to Note 8.1.2 for the net holding gain/(loss) from derivative financial instruments. </w:t>
      </w:r>
    </w:p>
    <w:p w14:paraId="35B3D410" w14:textId="77777777" w:rsidR="00B02873" w:rsidRDefault="00B02873" w:rsidP="00DA0311">
      <w:pPr>
        <w:pStyle w:val="Heading5"/>
      </w:pPr>
      <w:r>
        <w:t>Financial risk management objectives and policies</w:t>
      </w:r>
    </w:p>
    <w:p w14:paraId="4EDB46A6" w14:textId="3EE59A01" w:rsidR="00B02873" w:rsidRDefault="00B02873" w:rsidP="00FE198A">
      <w:r>
        <w:t xml:space="preserve">Refer to Note 8.1.3 for further financial instrument disclosure relating to risk management objectives and polices. </w:t>
      </w:r>
    </w:p>
    <w:p w14:paraId="4D322A2B" w14:textId="77777777" w:rsidR="00B02873" w:rsidRDefault="00B02873" w:rsidP="00DA0311">
      <w:pPr>
        <w:pStyle w:val="Heading5"/>
      </w:pPr>
      <w:r>
        <w:t xml:space="preserve">(a) Financial instruments: Credit risk </w:t>
      </w:r>
    </w:p>
    <w:p w14:paraId="188881A0" w14:textId="77777777" w:rsidR="00B02873" w:rsidRDefault="00B02873" w:rsidP="00FE198A">
      <w:r>
        <w:t>Credit risk refers to the possibility of the department’s counter party defaulting on their contractual obligations resulting in financial loss to the department. Credit risk is measured at fair value and is monitored on a regular basis.</w:t>
      </w:r>
    </w:p>
    <w:p w14:paraId="47E18DF9" w14:textId="0951E5C5" w:rsidR="00B02873" w:rsidRDefault="00B02873" w:rsidP="00FE198A">
      <w:r>
        <w:t>The department’s credit risk arises mainly from in-the-money receipts due from renewable energy generators (consisting of both the Contracts for Difference and the delivery of LGCs). The present value of the future cash flows relating to in-the-money receipts are reflected on the balance sheet as a favourable derivative financial instrument (asset position).</w:t>
      </w:r>
    </w:p>
    <w:p w14:paraId="331061CC" w14:textId="77777777" w:rsidR="00B02873" w:rsidRDefault="00B02873" w:rsidP="00FE198A">
      <w:r>
        <w:t xml:space="preserve">The department determines its maximum exposure to credit risk relating to derivative financial instruments on each reporting date as the sum of the nominal values of all forecasted net cash receipts where the floating price due by the proponent exceeds the fixed price payable by the state over the remaining contract term. The department reduces some of its exposure to credit risk from derivative financial instruments contracted with unrated renewable energy generators by obtaining </w:t>
      </w:r>
      <w:r>
        <w:lastRenderedPageBreak/>
        <w:t>collateral security in the form of a bank guarantee or security deposit. Collateral is obtained annually in advance and is only valid for a year from issue date. The value of each year’s collateral is determined as the estimate net cash inflows from proponents in the year. The credit risk associated to the market-to-market of the remaining term of the contracts not covered by collateral is managed on the basis of the department’s net exposure to each proponent’s group of financial assets and financial liabilities.</w:t>
      </w:r>
    </w:p>
    <w:tbl>
      <w:tblPr>
        <w:tblStyle w:val="TableGrid"/>
        <w:tblW w:w="9680" w:type="dxa"/>
        <w:tblLayout w:type="fixed"/>
        <w:tblLook w:val="0020" w:firstRow="1" w:lastRow="0" w:firstColumn="0" w:lastColumn="0" w:noHBand="0" w:noVBand="0"/>
      </w:tblPr>
      <w:tblGrid>
        <w:gridCol w:w="3685"/>
        <w:gridCol w:w="1191"/>
        <w:gridCol w:w="1190"/>
        <w:gridCol w:w="1233"/>
        <w:gridCol w:w="1191"/>
        <w:gridCol w:w="1190"/>
      </w:tblGrid>
      <w:tr w:rsidR="00B02873" w:rsidRPr="00DA0311" w14:paraId="192CAD2F" w14:textId="77777777" w:rsidTr="00DA0311">
        <w:trPr>
          <w:cnfStyle w:val="100000000000" w:firstRow="1" w:lastRow="0" w:firstColumn="0" w:lastColumn="0" w:oddVBand="0" w:evenVBand="0" w:oddHBand="0" w:evenHBand="0" w:firstRowFirstColumn="0" w:firstRowLastColumn="0" w:lastRowFirstColumn="0" w:lastRowLastColumn="0"/>
        </w:trPr>
        <w:tc>
          <w:tcPr>
            <w:tcW w:w="3685" w:type="dxa"/>
          </w:tcPr>
          <w:p w14:paraId="1398205E" w14:textId="462CCE89" w:rsidR="00B02873" w:rsidRPr="00DA0311" w:rsidRDefault="00DA0311" w:rsidP="00DA0311">
            <w:pPr>
              <w:pStyle w:val="TableheadingleftFinancialsTables"/>
            </w:pPr>
            <w:r w:rsidRPr="00DA0311">
              <w:t>2022</w:t>
            </w:r>
          </w:p>
        </w:tc>
        <w:tc>
          <w:tcPr>
            <w:tcW w:w="1191" w:type="dxa"/>
          </w:tcPr>
          <w:p w14:paraId="4E1E783C" w14:textId="77777777" w:rsidR="00B02873" w:rsidRPr="00DA0311" w:rsidRDefault="00B02873" w:rsidP="00DA0311">
            <w:pPr>
              <w:pStyle w:val="TableheadingleftFinancialsTables"/>
              <w:jc w:val="right"/>
            </w:pPr>
            <w:r w:rsidRPr="00DA0311">
              <w:t>External credit rating</w:t>
            </w:r>
          </w:p>
        </w:tc>
        <w:tc>
          <w:tcPr>
            <w:tcW w:w="1190" w:type="dxa"/>
          </w:tcPr>
          <w:p w14:paraId="01F77795" w14:textId="77777777" w:rsidR="00B02873" w:rsidRPr="00DA0311" w:rsidRDefault="00B02873" w:rsidP="00DA0311">
            <w:pPr>
              <w:pStyle w:val="TableheadingleftFinancialsTables"/>
              <w:jc w:val="right"/>
            </w:pPr>
            <w:r w:rsidRPr="00DA0311">
              <w:t>Maximum exposure</w:t>
            </w:r>
            <w:r w:rsidRPr="00DA0311">
              <w:br/>
              <w:t>$’000</w:t>
            </w:r>
          </w:p>
        </w:tc>
        <w:tc>
          <w:tcPr>
            <w:tcW w:w="1233" w:type="dxa"/>
          </w:tcPr>
          <w:p w14:paraId="0DB3442E" w14:textId="77777777" w:rsidR="00B02873" w:rsidRPr="00DA0311" w:rsidRDefault="00B02873" w:rsidP="00DA0311">
            <w:pPr>
              <w:pStyle w:val="TableheadingleftFinancialsTables"/>
              <w:jc w:val="right"/>
            </w:pPr>
            <w:r w:rsidRPr="00DA0311">
              <w:t>Collateral held</w:t>
            </w:r>
            <w:r w:rsidRPr="00DA0311">
              <w:br/>
              <w:t>$’000</w:t>
            </w:r>
          </w:p>
        </w:tc>
        <w:tc>
          <w:tcPr>
            <w:tcW w:w="1191" w:type="dxa"/>
          </w:tcPr>
          <w:p w14:paraId="314B6345" w14:textId="77777777" w:rsidR="00B02873" w:rsidRPr="00DA0311" w:rsidRDefault="00B02873" w:rsidP="00DA0311">
            <w:pPr>
              <w:pStyle w:val="TableheadingleftFinancialsTables"/>
              <w:jc w:val="right"/>
            </w:pPr>
            <w:r w:rsidRPr="00DA0311">
              <w:t>Collateral type</w:t>
            </w:r>
          </w:p>
        </w:tc>
        <w:tc>
          <w:tcPr>
            <w:tcW w:w="1190" w:type="dxa"/>
          </w:tcPr>
          <w:p w14:paraId="342C0E48" w14:textId="77777777" w:rsidR="00B02873" w:rsidRPr="00DA0311" w:rsidRDefault="00B02873" w:rsidP="00DA0311">
            <w:pPr>
              <w:pStyle w:val="TableheadingleftFinancialsTables"/>
              <w:jc w:val="right"/>
            </w:pPr>
            <w:r w:rsidRPr="00DA0311">
              <w:t xml:space="preserve">Net </w:t>
            </w:r>
            <w:r w:rsidRPr="00DA0311">
              <w:br/>
              <w:t>carrying value</w:t>
            </w:r>
            <w:r w:rsidRPr="00DA0311">
              <w:br/>
              <w:t>$’000</w:t>
            </w:r>
          </w:p>
        </w:tc>
      </w:tr>
      <w:tr w:rsidR="00B02873" w:rsidRPr="00DA0311" w14:paraId="6B089E79" w14:textId="77777777" w:rsidTr="00DA0311">
        <w:tc>
          <w:tcPr>
            <w:tcW w:w="3685" w:type="dxa"/>
          </w:tcPr>
          <w:p w14:paraId="61FCB36C" w14:textId="77777777" w:rsidR="00B02873" w:rsidRPr="00DA0311" w:rsidRDefault="00B02873" w:rsidP="00DA0311">
            <w:pPr>
              <w:pStyle w:val="TablebodyleftFinancialsTables"/>
              <w:rPr>
                <w:b/>
                <w:bCs/>
              </w:rPr>
            </w:pPr>
            <w:r w:rsidRPr="00DA0311">
              <w:rPr>
                <w:b/>
                <w:bCs/>
              </w:rPr>
              <w:t>Contractual financial assets</w:t>
            </w:r>
          </w:p>
        </w:tc>
        <w:tc>
          <w:tcPr>
            <w:tcW w:w="1191" w:type="dxa"/>
          </w:tcPr>
          <w:p w14:paraId="367C1DC9" w14:textId="77777777" w:rsidR="00B02873" w:rsidRPr="00DA0311" w:rsidRDefault="00B02873" w:rsidP="00DA0311">
            <w:pPr>
              <w:pStyle w:val="TablebodyleftFinancialsTables"/>
              <w:jc w:val="right"/>
            </w:pPr>
          </w:p>
        </w:tc>
        <w:tc>
          <w:tcPr>
            <w:tcW w:w="1190" w:type="dxa"/>
          </w:tcPr>
          <w:p w14:paraId="528F82E8" w14:textId="77777777" w:rsidR="00B02873" w:rsidRPr="00DA0311" w:rsidRDefault="00B02873" w:rsidP="00DA0311">
            <w:pPr>
              <w:pStyle w:val="TablebodyleftFinancialsTables"/>
              <w:jc w:val="right"/>
            </w:pPr>
          </w:p>
        </w:tc>
        <w:tc>
          <w:tcPr>
            <w:tcW w:w="1233" w:type="dxa"/>
          </w:tcPr>
          <w:p w14:paraId="669DE4C8" w14:textId="77777777" w:rsidR="00B02873" w:rsidRPr="00DA0311" w:rsidRDefault="00B02873" w:rsidP="00DA0311">
            <w:pPr>
              <w:pStyle w:val="TablebodyleftFinancialsTables"/>
              <w:jc w:val="right"/>
            </w:pPr>
          </w:p>
        </w:tc>
        <w:tc>
          <w:tcPr>
            <w:tcW w:w="1191" w:type="dxa"/>
          </w:tcPr>
          <w:p w14:paraId="525EB914" w14:textId="77777777" w:rsidR="00B02873" w:rsidRPr="00DA0311" w:rsidRDefault="00B02873" w:rsidP="00DA0311">
            <w:pPr>
              <w:pStyle w:val="TablebodyleftFinancialsTables"/>
              <w:jc w:val="right"/>
            </w:pPr>
          </w:p>
        </w:tc>
        <w:tc>
          <w:tcPr>
            <w:tcW w:w="1190" w:type="dxa"/>
          </w:tcPr>
          <w:p w14:paraId="16EF07BD" w14:textId="77777777" w:rsidR="00B02873" w:rsidRPr="00DA0311" w:rsidRDefault="00B02873" w:rsidP="00DA0311">
            <w:pPr>
              <w:pStyle w:val="TablebodyleftFinancialsTables"/>
              <w:jc w:val="right"/>
            </w:pPr>
          </w:p>
        </w:tc>
      </w:tr>
      <w:tr w:rsidR="00B02873" w:rsidRPr="00DA0311" w14:paraId="23D41E97" w14:textId="77777777" w:rsidTr="00DA0311">
        <w:tc>
          <w:tcPr>
            <w:tcW w:w="3685" w:type="dxa"/>
          </w:tcPr>
          <w:p w14:paraId="44B4665E" w14:textId="77777777" w:rsidR="00B02873" w:rsidRPr="00DA0311" w:rsidRDefault="00B02873" w:rsidP="00DA0311">
            <w:pPr>
              <w:pStyle w:val="TablebodyleftFinancialsTables"/>
            </w:pPr>
            <w:r w:rsidRPr="00DA0311">
              <w:t>Derivative financial instruments</w:t>
            </w:r>
          </w:p>
        </w:tc>
        <w:tc>
          <w:tcPr>
            <w:tcW w:w="1191" w:type="dxa"/>
          </w:tcPr>
          <w:p w14:paraId="57C7F8E4" w14:textId="77777777" w:rsidR="00B02873" w:rsidRPr="00DA0311" w:rsidRDefault="00B02873" w:rsidP="00DA0311">
            <w:pPr>
              <w:pStyle w:val="TablebodyleftFinancialsTables"/>
              <w:jc w:val="right"/>
              <w:rPr>
                <w:b/>
                <w:bCs/>
              </w:rPr>
            </w:pPr>
            <w:r w:rsidRPr="00DA0311">
              <w:rPr>
                <w:b/>
                <w:bCs/>
              </w:rPr>
              <w:t>Unrated</w:t>
            </w:r>
          </w:p>
        </w:tc>
        <w:tc>
          <w:tcPr>
            <w:tcW w:w="1190" w:type="dxa"/>
          </w:tcPr>
          <w:p w14:paraId="2DA42D61" w14:textId="77777777" w:rsidR="00B02873" w:rsidRPr="00DA0311" w:rsidRDefault="00B02873" w:rsidP="00DA0311">
            <w:pPr>
              <w:pStyle w:val="TablebodyleftFinancialsTables"/>
              <w:jc w:val="right"/>
              <w:rPr>
                <w:b/>
                <w:bCs/>
              </w:rPr>
            </w:pPr>
            <w:r w:rsidRPr="00DA0311">
              <w:rPr>
                <w:b/>
                <w:bCs/>
              </w:rPr>
              <w:t>205,961</w:t>
            </w:r>
            <w:r w:rsidRPr="00A46CB1">
              <w:rPr>
                <w:b/>
                <w:bCs/>
                <w:vertAlign w:val="superscript"/>
              </w:rPr>
              <w:t>(i)</w:t>
            </w:r>
          </w:p>
        </w:tc>
        <w:tc>
          <w:tcPr>
            <w:tcW w:w="1233" w:type="dxa"/>
          </w:tcPr>
          <w:p w14:paraId="0E6DA0F5" w14:textId="77777777" w:rsidR="00B02873" w:rsidRPr="00DA0311" w:rsidRDefault="00B02873" w:rsidP="00DA0311">
            <w:pPr>
              <w:pStyle w:val="TablebodyleftFinancialsTables"/>
              <w:jc w:val="right"/>
              <w:rPr>
                <w:b/>
                <w:bCs/>
              </w:rPr>
            </w:pPr>
            <w:r w:rsidRPr="00DA0311">
              <w:rPr>
                <w:b/>
                <w:bCs/>
              </w:rPr>
              <w:t>5,356</w:t>
            </w:r>
          </w:p>
        </w:tc>
        <w:tc>
          <w:tcPr>
            <w:tcW w:w="1191" w:type="dxa"/>
          </w:tcPr>
          <w:p w14:paraId="1EC48BC1" w14:textId="77777777" w:rsidR="00B02873" w:rsidRPr="00DA0311" w:rsidRDefault="00B02873" w:rsidP="00DA0311">
            <w:pPr>
              <w:pStyle w:val="TablebodyleftFinancialsTables"/>
              <w:jc w:val="right"/>
              <w:rPr>
                <w:b/>
                <w:bCs/>
              </w:rPr>
            </w:pPr>
            <w:r w:rsidRPr="00DA0311">
              <w:rPr>
                <w:b/>
                <w:bCs/>
              </w:rPr>
              <w:t>Bank guarantee</w:t>
            </w:r>
          </w:p>
        </w:tc>
        <w:tc>
          <w:tcPr>
            <w:tcW w:w="1190" w:type="dxa"/>
          </w:tcPr>
          <w:p w14:paraId="75324027" w14:textId="61E3B6D7" w:rsidR="00B02873" w:rsidRPr="00DA0311" w:rsidRDefault="00012C04" w:rsidP="00DA0311">
            <w:pPr>
              <w:pStyle w:val="TablebodyleftFinancialsTables"/>
              <w:jc w:val="right"/>
              <w:rPr>
                <w:b/>
                <w:bCs/>
              </w:rPr>
            </w:pPr>
            <w:r w:rsidRPr="00DA0311">
              <w:rPr>
                <w:b/>
                <w:bCs/>
              </w:rPr>
              <w:t xml:space="preserve"> </w:t>
            </w:r>
            <w:r w:rsidR="00B02873" w:rsidRPr="00DA0311">
              <w:rPr>
                <w:b/>
                <w:bCs/>
              </w:rPr>
              <w:t>429,933</w:t>
            </w:r>
            <w:r w:rsidR="00B02873" w:rsidRPr="00DA0311">
              <w:rPr>
                <w:b/>
                <w:bCs/>
                <w:vertAlign w:val="superscript"/>
              </w:rPr>
              <w:t>(ii)</w:t>
            </w:r>
          </w:p>
        </w:tc>
      </w:tr>
      <w:tr w:rsidR="00B02873" w:rsidRPr="00A46CB1" w14:paraId="709A0F20" w14:textId="77777777" w:rsidTr="00DA0311">
        <w:tc>
          <w:tcPr>
            <w:tcW w:w="3685" w:type="dxa"/>
          </w:tcPr>
          <w:p w14:paraId="1BA65B9A" w14:textId="77777777" w:rsidR="00B02873" w:rsidRPr="00A46CB1" w:rsidRDefault="00B02873" w:rsidP="00DA0311">
            <w:pPr>
              <w:pStyle w:val="TablebodyleftFinancialsTables"/>
              <w:rPr>
                <w:b/>
                <w:bCs/>
              </w:rPr>
            </w:pPr>
            <w:r w:rsidRPr="00A46CB1">
              <w:rPr>
                <w:b/>
                <w:bCs/>
              </w:rPr>
              <w:t>Total contractual financial assets</w:t>
            </w:r>
          </w:p>
        </w:tc>
        <w:tc>
          <w:tcPr>
            <w:tcW w:w="1191" w:type="dxa"/>
          </w:tcPr>
          <w:p w14:paraId="5814E721" w14:textId="77777777" w:rsidR="00B02873" w:rsidRPr="00A46CB1" w:rsidRDefault="00B02873" w:rsidP="00DA0311">
            <w:pPr>
              <w:pStyle w:val="TablebodyleftFinancialsTables"/>
              <w:jc w:val="right"/>
              <w:rPr>
                <w:b/>
                <w:bCs/>
              </w:rPr>
            </w:pPr>
          </w:p>
        </w:tc>
        <w:tc>
          <w:tcPr>
            <w:tcW w:w="1190" w:type="dxa"/>
          </w:tcPr>
          <w:p w14:paraId="34F3C211" w14:textId="77777777" w:rsidR="00B02873" w:rsidRPr="00A46CB1" w:rsidRDefault="00B02873" w:rsidP="00DA0311">
            <w:pPr>
              <w:pStyle w:val="TablebodyleftFinancialsTables"/>
              <w:jc w:val="right"/>
              <w:rPr>
                <w:b/>
                <w:bCs/>
              </w:rPr>
            </w:pPr>
            <w:r w:rsidRPr="00A46CB1">
              <w:rPr>
                <w:b/>
                <w:bCs/>
              </w:rPr>
              <w:t>205,961</w:t>
            </w:r>
          </w:p>
        </w:tc>
        <w:tc>
          <w:tcPr>
            <w:tcW w:w="1233" w:type="dxa"/>
          </w:tcPr>
          <w:p w14:paraId="0668E14B" w14:textId="77777777" w:rsidR="00B02873" w:rsidRPr="00A46CB1" w:rsidRDefault="00B02873" w:rsidP="00DA0311">
            <w:pPr>
              <w:pStyle w:val="TablebodyleftFinancialsTables"/>
              <w:jc w:val="right"/>
              <w:rPr>
                <w:b/>
                <w:bCs/>
              </w:rPr>
            </w:pPr>
            <w:r w:rsidRPr="00A46CB1">
              <w:rPr>
                <w:b/>
                <w:bCs/>
              </w:rPr>
              <w:t>5,356</w:t>
            </w:r>
          </w:p>
        </w:tc>
        <w:tc>
          <w:tcPr>
            <w:tcW w:w="1191" w:type="dxa"/>
          </w:tcPr>
          <w:p w14:paraId="0097A8EE" w14:textId="77777777" w:rsidR="00B02873" w:rsidRPr="00A46CB1" w:rsidRDefault="00B02873" w:rsidP="00DA0311">
            <w:pPr>
              <w:pStyle w:val="TablebodyleftFinancialsTables"/>
              <w:jc w:val="right"/>
              <w:rPr>
                <w:b/>
                <w:bCs/>
              </w:rPr>
            </w:pPr>
          </w:p>
        </w:tc>
        <w:tc>
          <w:tcPr>
            <w:tcW w:w="1190" w:type="dxa"/>
          </w:tcPr>
          <w:p w14:paraId="55386C28" w14:textId="77777777" w:rsidR="00B02873" w:rsidRPr="00A46CB1" w:rsidRDefault="00B02873" w:rsidP="00DA0311">
            <w:pPr>
              <w:pStyle w:val="TablebodyleftFinancialsTables"/>
              <w:jc w:val="right"/>
              <w:rPr>
                <w:b/>
                <w:bCs/>
              </w:rPr>
            </w:pPr>
            <w:r w:rsidRPr="00A46CB1">
              <w:rPr>
                <w:b/>
                <w:bCs/>
              </w:rPr>
              <w:t>429,933</w:t>
            </w:r>
          </w:p>
        </w:tc>
      </w:tr>
    </w:tbl>
    <w:p w14:paraId="68308667" w14:textId="77777777" w:rsidR="00B02873" w:rsidRPr="00A46CB1" w:rsidRDefault="00B02873" w:rsidP="00A46CB1">
      <w:pPr>
        <w:pStyle w:val="SourceNote"/>
        <w:spacing w:after="120"/>
        <w:rPr>
          <w:b/>
          <w:bCs/>
        </w:rPr>
      </w:pPr>
      <w:r w:rsidRPr="00A46CB1">
        <w:rPr>
          <w:b/>
          <w:bCs/>
        </w:rPr>
        <w:t>Note:</w:t>
      </w:r>
    </w:p>
    <w:p w14:paraId="28A11468" w14:textId="77777777" w:rsidR="00B02873" w:rsidRDefault="00B02873" w:rsidP="001128B1">
      <w:pPr>
        <w:pStyle w:val="SourceNotenumbered"/>
        <w:numPr>
          <w:ilvl w:val="0"/>
          <w:numId w:val="84"/>
        </w:numPr>
      </w:pPr>
      <w:r>
        <w:t>This represents the sum of all in-the-money cash receipts due in respect to the Contract for Difference.</w:t>
      </w:r>
    </w:p>
    <w:p w14:paraId="46989E57" w14:textId="77777777" w:rsidR="00B02873" w:rsidRDefault="00B02873" w:rsidP="00C53E83">
      <w:pPr>
        <w:pStyle w:val="SourceNotenumbered"/>
        <w:spacing w:after="200"/>
        <w:ind w:left="357" w:hanging="357"/>
      </w:pPr>
      <w:r>
        <w:t>The carrying value of $429.933 million represents a derivative asset position which is the net present value of the sum of all net cash receipts, net cash payments and LGCs. LGCs are not linked to cash flows as they will result in intangible assets upon receipt.</w:t>
      </w:r>
    </w:p>
    <w:tbl>
      <w:tblPr>
        <w:tblStyle w:val="TableGrid"/>
        <w:tblW w:w="9612" w:type="dxa"/>
        <w:tblLayout w:type="fixed"/>
        <w:tblLook w:val="0020" w:firstRow="1" w:lastRow="0" w:firstColumn="0" w:lastColumn="0" w:noHBand="0" w:noVBand="0"/>
      </w:tblPr>
      <w:tblGrid>
        <w:gridCol w:w="3617"/>
        <w:gridCol w:w="1191"/>
        <w:gridCol w:w="1190"/>
        <w:gridCol w:w="1233"/>
        <w:gridCol w:w="1191"/>
        <w:gridCol w:w="1190"/>
      </w:tblGrid>
      <w:tr w:rsidR="00B02873" w:rsidRPr="00A46CB1" w14:paraId="2FA49729" w14:textId="77777777" w:rsidTr="00A46CB1">
        <w:trPr>
          <w:cnfStyle w:val="100000000000" w:firstRow="1" w:lastRow="0" w:firstColumn="0" w:lastColumn="0" w:oddVBand="0" w:evenVBand="0" w:oddHBand="0" w:evenHBand="0" w:firstRowFirstColumn="0" w:firstRowLastColumn="0" w:lastRowFirstColumn="0" w:lastRowLastColumn="0"/>
          <w:trHeight w:val="60"/>
        </w:trPr>
        <w:tc>
          <w:tcPr>
            <w:tcW w:w="3617" w:type="dxa"/>
          </w:tcPr>
          <w:p w14:paraId="0042C9C7" w14:textId="64B0183C" w:rsidR="00B02873" w:rsidRPr="00A46CB1" w:rsidRDefault="00A46CB1" w:rsidP="00A46CB1">
            <w:pPr>
              <w:pStyle w:val="TableheadingleftFinancialsTables"/>
            </w:pPr>
            <w:r w:rsidRPr="00A46CB1">
              <w:t>2021</w:t>
            </w:r>
          </w:p>
        </w:tc>
        <w:tc>
          <w:tcPr>
            <w:tcW w:w="1191" w:type="dxa"/>
          </w:tcPr>
          <w:p w14:paraId="1D4396E9" w14:textId="77777777" w:rsidR="00B02873" w:rsidRPr="00A46CB1" w:rsidRDefault="00B02873" w:rsidP="00A46CB1">
            <w:pPr>
              <w:pStyle w:val="TableheadingleftFinancialsTables"/>
              <w:jc w:val="right"/>
            </w:pPr>
            <w:r w:rsidRPr="00A46CB1">
              <w:t>External credit rating</w:t>
            </w:r>
          </w:p>
        </w:tc>
        <w:tc>
          <w:tcPr>
            <w:tcW w:w="1190" w:type="dxa"/>
          </w:tcPr>
          <w:p w14:paraId="4501244A" w14:textId="77777777" w:rsidR="00B02873" w:rsidRPr="00A46CB1" w:rsidRDefault="00B02873" w:rsidP="00A46CB1">
            <w:pPr>
              <w:pStyle w:val="TableheadingleftFinancialsTables"/>
              <w:jc w:val="right"/>
            </w:pPr>
            <w:r w:rsidRPr="00A46CB1">
              <w:t>Maximum exposure</w:t>
            </w:r>
            <w:r w:rsidRPr="00A46CB1">
              <w:br/>
              <w:t>$’000</w:t>
            </w:r>
          </w:p>
        </w:tc>
        <w:tc>
          <w:tcPr>
            <w:tcW w:w="1233" w:type="dxa"/>
          </w:tcPr>
          <w:p w14:paraId="57DA0339" w14:textId="77777777" w:rsidR="00B02873" w:rsidRPr="00A46CB1" w:rsidRDefault="00B02873" w:rsidP="00A46CB1">
            <w:pPr>
              <w:pStyle w:val="TableheadingleftFinancialsTables"/>
              <w:jc w:val="right"/>
            </w:pPr>
            <w:r w:rsidRPr="00A46CB1">
              <w:t>Collateral held</w:t>
            </w:r>
            <w:r w:rsidRPr="00A46CB1">
              <w:br/>
              <w:t>$’000</w:t>
            </w:r>
          </w:p>
        </w:tc>
        <w:tc>
          <w:tcPr>
            <w:tcW w:w="1191" w:type="dxa"/>
          </w:tcPr>
          <w:p w14:paraId="61BA8177" w14:textId="77777777" w:rsidR="00B02873" w:rsidRPr="00A46CB1" w:rsidRDefault="00B02873" w:rsidP="00A46CB1">
            <w:pPr>
              <w:pStyle w:val="TableheadingleftFinancialsTables"/>
              <w:jc w:val="right"/>
            </w:pPr>
            <w:r w:rsidRPr="00A46CB1">
              <w:t>Collateral type</w:t>
            </w:r>
          </w:p>
        </w:tc>
        <w:tc>
          <w:tcPr>
            <w:tcW w:w="1190" w:type="dxa"/>
          </w:tcPr>
          <w:p w14:paraId="4B059150" w14:textId="77777777" w:rsidR="00B02873" w:rsidRPr="00A46CB1" w:rsidRDefault="00B02873" w:rsidP="00A46CB1">
            <w:pPr>
              <w:pStyle w:val="TableheadingleftFinancialsTables"/>
              <w:jc w:val="right"/>
            </w:pPr>
            <w:r w:rsidRPr="00A46CB1">
              <w:t xml:space="preserve">Net </w:t>
            </w:r>
            <w:r w:rsidRPr="00A46CB1">
              <w:br/>
              <w:t>carrying value</w:t>
            </w:r>
            <w:r w:rsidRPr="00A46CB1">
              <w:br/>
              <w:t>$’000</w:t>
            </w:r>
          </w:p>
        </w:tc>
      </w:tr>
      <w:tr w:rsidR="00B02873" w:rsidRPr="00A46CB1" w14:paraId="5462C176" w14:textId="77777777" w:rsidTr="00A46CB1">
        <w:trPr>
          <w:trHeight w:val="60"/>
        </w:trPr>
        <w:tc>
          <w:tcPr>
            <w:tcW w:w="3617" w:type="dxa"/>
          </w:tcPr>
          <w:p w14:paraId="5847C55A" w14:textId="77777777" w:rsidR="00B02873" w:rsidRPr="00A46CB1" w:rsidRDefault="00B02873" w:rsidP="00A46CB1">
            <w:pPr>
              <w:pStyle w:val="TablebodyleftFinancialsTables"/>
              <w:rPr>
                <w:b/>
                <w:bCs/>
              </w:rPr>
            </w:pPr>
            <w:r w:rsidRPr="00A46CB1">
              <w:rPr>
                <w:b/>
                <w:bCs/>
              </w:rPr>
              <w:t>Contractual financial assets</w:t>
            </w:r>
          </w:p>
        </w:tc>
        <w:tc>
          <w:tcPr>
            <w:tcW w:w="1191" w:type="dxa"/>
          </w:tcPr>
          <w:p w14:paraId="546AF625" w14:textId="77777777" w:rsidR="00B02873" w:rsidRPr="00A46CB1" w:rsidRDefault="00B02873" w:rsidP="00A46CB1">
            <w:pPr>
              <w:pStyle w:val="TablebodyleftFinancialsTables"/>
            </w:pPr>
          </w:p>
        </w:tc>
        <w:tc>
          <w:tcPr>
            <w:tcW w:w="1190" w:type="dxa"/>
          </w:tcPr>
          <w:p w14:paraId="2671CB3A" w14:textId="77777777" w:rsidR="00B02873" w:rsidRPr="00A46CB1" w:rsidRDefault="00B02873" w:rsidP="00A46CB1">
            <w:pPr>
              <w:pStyle w:val="TablebodyleftFinancialsTables"/>
            </w:pPr>
          </w:p>
        </w:tc>
        <w:tc>
          <w:tcPr>
            <w:tcW w:w="1233" w:type="dxa"/>
          </w:tcPr>
          <w:p w14:paraId="768E251E" w14:textId="77777777" w:rsidR="00B02873" w:rsidRPr="00A46CB1" w:rsidRDefault="00B02873" w:rsidP="00A46CB1">
            <w:pPr>
              <w:pStyle w:val="TablebodyleftFinancialsTables"/>
            </w:pPr>
          </w:p>
        </w:tc>
        <w:tc>
          <w:tcPr>
            <w:tcW w:w="1191" w:type="dxa"/>
          </w:tcPr>
          <w:p w14:paraId="4632E0D1" w14:textId="77777777" w:rsidR="00B02873" w:rsidRPr="00A46CB1" w:rsidRDefault="00B02873" w:rsidP="00A46CB1">
            <w:pPr>
              <w:pStyle w:val="TablebodyleftFinancialsTables"/>
            </w:pPr>
          </w:p>
        </w:tc>
        <w:tc>
          <w:tcPr>
            <w:tcW w:w="1190" w:type="dxa"/>
          </w:tcPr>
          <w:p w14:paraId="28E78194" w14:textId="77777777" w:rsidR="00B02873" w:rsidRPr="00A46CB1" w:rsidRDefault="00B02873" w:rsidP="00A46CB1">
            <w:pPr>
              <w:pStyle w:val="TablebodyleftFinancialsTables"/>
            </w:pPr>
          </w:p>
        </w:tc>
      </w:tr>
      <w:tr w:rsidR="00B02873" w:rsidRPr="00A46CB1" w14:paraId="6760F62F" w14:textId="77777777" w:rsidTr="00A46CB1">
        <w:trPr>
          <w:trHeight w:val="60"/>
        </w:trPr>
        <w:tc>
          <w:tcPr>
            <w:tcW w:w="3617" w:type="dxa"/>
          </w:tcPr>
          <w:p w14:paraId="6BA4BCA2" w14:textId="77777777" w:rsidR="00B02873" w:rsidRPr="00A46CB1" w:rsidRDefault="00B02873" w:rsidP="00A46CB1">
            <w:pPr>
              <w:pStyle w:val="TablebodyleftFinancialsTables"/>
            </w:pPr>
            <w:r w:rsidRPr="00A46CB1">
              <w:t>Derivative financial instruments</w:t>
            </w:r>
          </w:p>
        </w:tc>
        <w:tc>
          <w:tcPr>
            <w:tcW w:w="1191" w:type="dxa"/>
          </w:tcPr>
          <w:p w14:paraId="29E57ADB" w14:textId="77777777" w:rsidR="00B02873" w:rsidRPr="00A46CB1" w:rsidRDefault="00B02873" w:rsidP="00A46CB1">
            <w:pPr>
              <w:pStyle w:val="TablebodyleftFinancialsTables"/>
              <w:jc w:val="right"/>
              <w:rPr>
                <w:b/>
                <w:bCs/>
              </w:rPr>
            </w:pPr>
            <w:r w:rsidRPr="00A46CB1">
              <w:rPr>
                <w:b/>
                <w:bCs/>
              </w:rPr>
              <w:t>Unrated</w:t>
            </w:r>
          </w:p>
        </w:tc>
        <w:tc>
          <w:tcPr>
            <w:tcW w:w="1190" w:type="dxa"/>
          </w:tcPr>
          <w:p w14:paraId="63A6DB87" w14:textId="77777777" w:rsidR="00B02873" w:rsidRPr="00A46CB1" w:rsidRDefault="00B02873" w:rsidP="00A46CB1">
            <w:pPr>
              <w:pStyle w:val="TablebodyleftFinancialsTables"/>
              <w:jc w:val="right"/>
              <w:rPr>
                <w:b/>
                <w:bCs/>
              </w:rPr>
            </w:pPr>
            <w:r w:rsidRPr="00A46CB1">
              <w:rPr>
                <w:b/>
                <w:bCs/>
              </w:rPr>
              <w:t>77,162</w:t>
            </w:r>
            <w:r w:rsidRPr="00A46CB1">
              <w:rPr>
                <w:b/>
                <w:bCs/>
                <w:vertAlign w:val="superscript"/>
              </w:rPr>
              <w:t>(i)</w:t>
            </w:r>
          </w:p>
        </w:tc>
        <w:tc>
          <w:tcPr>
            <w:tcW w:w="1233" w:type="dxa"/>
          </w:tcPr>
          <w:p w14:paraId="1340BE2F" w14:textId="77777777" w:rsidR="00B02873" w:rsidRPr="00A46CB1" w:rsidRDefault="00B02873" w:rsidP="00A46CB1">
            <w:pPr>
              <w:pStyle w:val="TablebodyleftFinancialsTables"/>
              <w:jc w:val="right"/>
              <w:rPr>
                <w:b/>
                <w:bCs/>
              </w:rPr>
            </w:pPr>
            <w:r w:rsidRPr="00A46CB1">
              <w:rPr>
                <w:b/>
                <w:bCs/>
              </w:rPr>
              <w:t>8,687</w:t>
            </w:r>
          </w:p>
        </w:tc>
        <w:tc>
          <w:tcPr>
            <w:tcW w:w="1191" w:type="dxa"/>
          </w:tcPr>
          <w:p w14:paraId="35CCD962" w14:textId="77777777" w:rsidR="00B02873" w:rsidRPr="00A46CB1" w:rsidRDefault="00B02873" w:rsidP="00A46CB1">
            <w:pPr>
              <w:pStyle w:val="TablebodyleftFinancialsTables"/>
              <w:jc w:val="right"/>
              <w:rPr>
                <w:b/>
                <w:bCs/>
              </w:rPr>
            </w:pPr>
            <w:r w:rsidRPr="00A46CB1">
              <w:rPr>
                <w:b/>
                <w:bCs/>
              </w:rPr>
              <w:t xml:space="preserve">Bank </w:t>
            </w:r>
            <w:r w:rsidRPr="00A46CB1">
              <w:rPr>
                <w:b/>
                <w:bCs/>
              </w:rPr>
              <w:br/>
              <w:t>guarantee</w:t>
            </w:r>
          </w:p>
        </w:tc>
        <w:tc>
          <w:tcPr>
            <w:tcW w:w="1190" w:type="dxa"/>
          </w:tcPr>
          <w:p w14:paraId="0EBC42F2" w14:textId="77777777" w:rsidR="00B02873" w:rsidRPr="00A46CB1" w:rsidRDefault="00B02873" w:rsidP="00A46CB1">
            <w:pPr>
              <w:pStyle w:val="TablebodyleftFinancialsTables"/>
              <w:jc w:val="right"/>
              <w:rPr>
                <w:b/>
                <w:bCs/>
              </w:rPr>
            </w:pPr>
            <w:r w:rsidRPr="00A46CB1">
              <w:rPr>
                <w:b/>
                <w:bCs/>
              </w:rPr>
              <w:t>80,669</w:t>
            </w:r>
            <w:r w:rsidRPr="00A46CB1">
              <w:rPr>
                <w:b/>
                <w:bCs/>
                <w:vertAlign w:val="superscript"/>
              </w:rPr>
              <w:t>(ii)</w:t>
            </w:r>
          </w:p>
        </w:tc>
      </w:tr>
      <w:tr w:rsidR="00B02873" w:rsidRPr="00A46CB1" w14:paraId="3952D16E" w14:textId="77777777" w:rsidTr="00A46CB1">
        <w:trPr>
          <w:trHeight w:val="60"/>
        </w:trPr>
        <w:tc>
          <w:tcPr>
            <w:tcW w:w="3617" w:type="dxa"/>
          </w:tcPr>
          <w:p w14:paraId="0DD152BA" w14:textId="77777777" w:rsidR="00B02873" w:rsidRPr="00A46CB1" w:rsidRDefault="00B02873" w:rsidP="00A46CB1">
            <w:pPr>
              <w:pStyle w:val="TablebodyleftFinancialsTables"/>
              <w:rPr>
                <w:b/>
                <w:bCs/>
              </w:rPr>
            </w:pPr>
            <w:r w:rsidRPr="00A46CB1">
              <w:rPr>
                <w:b/>
                <w:bCs/>
              </w:rPr>
              <w:t>Total contractual financial assets</w:t>
            </w:r>
          </w:p>
        </w:tc>
        <w:tc>
          <w:tcPr>
            <w:tcW w:w="1191" w:type="dxa"/>
          </w:tcPr>
          <w:p w14:paraId="325F6165" w14:textId="77777777" w:rsidR="00B02873" w:rsidRPr="00A46CB1" w:rsidRDefault="00B02873" w:rsidP="00A46CB1">
            <w:pPr>
              <w:pStyle w:val="TablebodyleftFinancialsTables"/>
              <w:jc w:val="right"/>
              <w:rPr>
                <w:b/>
                <w:bCs/>
              </w:rPr>
            </w:pPr>
          </w:p>
        </w:tc>
        <w:tc>
          <w:tcPr>
            <w:tcW w:w="1190" w:type="dxa"/>
          </w:tcPr>
          <w:p w14:paraId="10281F89" w14:textId="77777777" w:rsidR="00B02873" w:rsidRPr="00A46CB1" w:rsidRDefault="00B02873" w:rsidP="00A46CB1">
            <w:pPr>
              <w:pStyle w:val="TablebodyleftFinancialsTables"/>
              <w:jc w:val="right"/>
              <w:rPr>
                <w:b/>
                <w:bCs/>
              </w:rPr>
            </w:pPr>
            <w:r w:rsidRPr="00A46CB1">
              <w:rPr>
                <w:b/>
                <w:bCs/>
              </w:rPr>
              <w:t>77,162</w:t>
            </w:r>
          </w:p>
        </w:tc>
        <w:tc>
          <w:tcPr>
            <w:tcW w:w="1233" w:type="dxa"/>
          </w:tcPr>
          <w:p w14:paraId="6E4E74F4" w14:textId="77777777" w:rsidR="00B02873" w:rsidRPr="00A46CB1" w:rsidRDefault="00B02873" w:rsidP="00A46CB1">
            <w:pPr>
              <w:pStyle w:val="TablebodyleftFinancialsTables"/>
              <w:jc w:val="right"/>
              <w:rPr>
                <w:b/>
                <w:bCs/>
              </w:rPr>
            </w:pPr>
            <w:r w:rsidRPr="00A46CB1">
              <w:rPr>
                <w:b/>
                <w:bCs/>
              </w:rPr>
              <w:t>8,687</w:t>
            </w:r>
          </w:p>
        </w:tc>
        <w:tc>
          <w:tcPr>
            <w:tcW w:w="1191" w:type="dxa"/>
          </w:tcPr>
          <w:p w14:paraId="52E99898" w14:textId="77777777" w:rsidR="00B02873" w:rsidRPr="00A46CB1" w:rsidRDefault="00B02873" w:rsidP="00A46CB1">
            <w:pPr>
              <w:pStyle w:val="TablebodyleftFinancialsTables"/>
              <w:jc w:val="right"/>
              <w:rPr>
                <w:b/>
                <w:bCs/>
              </w:rPr>
            </w:pPr>
          </w:p>
        </w:tc>
        <w:tc>
          <w:tcPr>
            <w:tcW w:w="1190" w:type="dxa"/>
          </w:tcPr>
          <w:p w14:paraId="668FE50B" w14:textId="6F9CD8CE" w:rsidR="00B02873" w:rsidRPr="00A46CB1" w:rsidRDefault="00012C04" w:rsidP="00A46CB1">
            <w:pPr>
              <w:pStyle w:val="TablebodyleftFinancialsTables"/>
              <w:jc w:val="right"/>
              <w:rPr>
                <w:b/>
                <w:bCs/>
              </w:rPr>
            </w:pPr>
            <w:r w:rsidRPr="00A46CB1">
              <w:rPr>
                <w:b/>
                <w:bCs/>
              </w:rPr>
              <w:t xml:space="preserve"> </w:t>
            </w:r>
            <w:r w:rsidR="00B02873" w:rsidRPr="00A46CB1">
              <w:rPr>
                <w:b/>
                <w:bCs/>
              </w:rPr>
              <w:t xml:space="preserve"> 80,669</w:t>
            </w:r>
          </w:p>
        </w:tc>
      </w:tr>
    </w:tbl>
    <w:p w14:paraId="639F5155" w14:textId="77777777" w:rsidR="00B02873" w:rsidRPr="00A46CB1" w:rsidRDefault="00B02873" w:rsidP="00A46CB1">
      <w:pPr>
        <w:pStyle w:val="SourceNote"/>
        <w:spacing w:after="120"/>
        <w:rPr>
          <w:b/>
          <w:bCs/>
        </w:rPr>
      </w:pPr>
      <w:r w:rsidRPr="00A46CB1">
        <w:rPr>
          <w:b/>
          <w:bCs/>
        </w:rPr>
        <w:t>Note:</w:t>
      </w:r>
    </w:p>
    <w:p w14:paraId="720027FB" w14:textId="77777777" w:rsidR="00B02873" w:rsidRDefault="00B02873" w:rsidP="001128B1">
      <w:pPr>
        <w:pStyle w:val="SourceNotenumbered"/>
        <w:numPr>
          <w:ilvl w:val="0"/>
          <w:numId w:val="85"/>
        </w:numPr>
      </w:pPr>
      <w:r>
        <w:t>This represents the sum of all in-the-money cash receipts due in respect to the Contract for Difference.</w:t>
      </w:r>
    </w:p>
    <w:p w14:paraId="0B0ABCED" w14:textId="77777777" w:rsidR="00B02873" w:rsidRPr="00A46CB1" w:rsidRDefault="00B02873" w:rsidP="00C53E83">
      <w:pPr>
        <w:pStyle w:val="SourceNotenumbered"/>
        <w:spacing w:after="200"/>
        <w:ind w:left="357" w:hanging="357"/>
      </w:pPr>
      <w:r>
        <w:t xml:space="preserve">The carrying value of $80.669 million represents a derivative asset position which is the net present value of the sum of all net cash receipts, net cash payments and LGCs. LGCs are not linked to cash flows as they will result in intangible assets upon receipt. </w:t>
      </w:r>
    </w:p>
    <w:p w14:paraId="35FE8393" w14:textId="77777777" w:rsidR="00B02873" w:rsidRDefault="00B02873" w:rsidP="00A46CB1">
      <w:pPr>
        <w:pStyle w:val="Heading5"/>
      </w:pPr>
      <w:r>
        <w:t xml:space="preserve">(b) Financial instruments: Liquidity risk </w:t>
      </w:r>
    </w:p>
    <w:p w14:paraId="000A7014" w14:textId="4C559723" w:rsidR="00B02873" w:rsidRDefault="00B02873" w:rsidP="00FE198A">
      <w:r>
        <w:t>Liquidity risk arises from being unable to meet financial obligations as they fall due. The department is exposed to liquidity risk mainly through the financial liabilities as disclosed in the face of the balance sheet and the amounts related to financial derivative settlements. Refer to Note 8.1.3(b) for further financial instrument disclosures relating to liquidity risk.</w:t>
      </w:r>
    </w:p>
    <w:p w14:paraId="2B7A624B" w14:textId="0A9409E3" w:rsidR="00B02873" w:rsidRDefault="00B02873" w:rsidP="00FE198A">
      <w:r>
        <w:t>The carrying amount recorded in the following table represents the department’s maximum exposure to liquidity risk relating to derivative financial instruments.</w:t>
      </w:r>
    </w:p>
    <w:tbl>
      <w:tblPr>
        <w:tblStyle w:val="TableGrid"/>
        <w:tblW w:w="0" w:type="auto"/>
        <w:tblLayout w:type="fixed"/>
        <w:tblLook w:val="0020" w:firstRow="1" w:lastRow="0" w:firstColumn="0" w:lastColumn="0" w:noHBand="0" w:noVBand="0"/>
      </w:tblPr>
      <w:tblGrid>
        <w:gridCol w:w="4819"/>
        <w:gridCol w:w="1190"/>
        <w:gridCol w:w="1234"/>
        <w:gridCol w:w="1190"/>
        <w:gridCol w:w="1191"/>
      </w:tblGrid>
      <w:tr w:rsidR="00B02873" w:rsidRPr="00B02873" w14:paraId="226FEA7F" w14:textId="77777777" w:rsidTr="00A46CB1">
        <w:trPr>
          <w:cnfStyle w:val="100000000000" w:firstRow="1" w:lastRow="0" w:firstColumn="0" w:lastColumn="0" w:oddVBand="0" w:evenVBand="0" w:oddHBand="0" w:evenHBand="0" w:firstRowFirstColumn="0" w:firstRowLastColumn="0" w:lastRowFirstColumn="0" w:lastRowLastColumn="0"/>
          <w:trHeight w:val="60"/>
        </w:trPr>
        <w:tc>
          <w:tcPr>
            <w:tcW w:w="4819" w:type="dxa"/>
          </w:tcPr>
          <w:p w14:paraId="220399B4" w14:textId="68EA02E7" w:rsidR="00B02873" w:rsidRPr="00B02873" w:rsidRDefault="00A46CB1" w:rsidP="00A46CB1">
            <w:pPr>
              <w:pStyle w:val="TableheadingleftFinancialsTables"/>
              <w:rPr>
                <w:rFonts w:ascii="VIC Bold Italic" w:hAnsi="VIC Bold Italic" w:cs="Times New Roman"/>
                <w:lang w:val="en-AU"/>
              </w:rPr>
            </w:pPr>
            <w:r>
              <w:t>2022</w:t>
            </w:r>
          </w:p>
        </w:tc>
        <w:tc>
          <w:tcPr>
            <w:tcW w:w="1190" w:type="dxa"/>
          </w:tcPr>
          <w:p w14:paraId="7F2C5A5D" w14:textId="77777777" w:rsidR="00B02873" w:rsidRDefault="00B02873" w:rsidP="00A46CB1">
            <w:pPr>
              <w:pStyle w:val="TableheadingleftFinancialsTables"/>
              <w:jc w:val="right"/>
            </w:pPr>
            <w:r>
              <w:t>Up to 1 year</w:t>
            </w:r>
            <w:r>
              <w:br/>
              <w:t>$’000</w:t>
            </w:r>
          </w:p>
        </w:tc>
        <w:tc>
          <w:tcPr>
            <w:tcW w:w="1234" w:type="dxa"/>
          </w:tcPr>
          <w:p w14:paraId="6393A907" w14:textId="77777777" w:rsidR="00B02873" w:rsidRDefault="00B02873" w:rsidP="00A46CB1">
            <w:pPr>
              <w:pStyle w:val="TableheadingleftFinancialsTables"/>
              <w:jc w:val="right"/>
            </w:pPr>
            <w:r>
              <w:t xml:space="preserve">Between </w:t>
            </w:r>
            <w:r>
              <w:br/>
              <w:t>1 to 5 years</w:t>
            </w:r>
            <w:r>
              <w:br/>
              <w:t>$’000</w:t>
            </w:r>
          </w:p>
        </w:tc>
        <w:tc>
          <w:tcPr>
            <w:tcW w:w="1190" w:type="dxa"/>
          </w:tcPr>
          <w:p w14:paraId="32C86C80" w14:textId="77777777" w:rsidR="00B02873" w:rsidRDefault="00B02873" w:rsidP="00A46CB1">
            <w:pPr>
              <w:pStyle w:val="TableheadingleftFinancialsTables"/>
              <w:jc w:val="right"/>
            </w:pPr>
            <w:r>
              <w:t xml:space="preserve">5 Years </w:t>
            </w:r>
            <w:r>
              <w:br/>
              <w:t>or more</w:t>
            </w:r>
            <w:r>
              <w:br/>
              <w:t>$’000</w:t>
            </w:r>
          </w:p>
        </w:tc>
        <w:tc>
          <w:tcPr>
            <w:tcW w:w="1191" w:type="dxa"/>
          </w:tcPr>
          <w:p w14:paraId="4DF7471C" w14:textId="77777777" w:rsidR="00B02873" w:rsidRDefault="00B02873" w:rsidP="00A46CB1">
            <w:pPr>
              <w:pStyle w:val="TableheadingleftFinancialsTables"/>
              <w:jc w:val="right"/>
            </w:pPr>
            <w:r>
              <w:t>Total</w:t>
            </w:r>
            <w:r>
              <w:rPr>
                <w:vertAlign w:val="superscript"/>
              </w:rPr>
              <w:t>(i)</w:t>
            </w:r>
            <w:r>
              <w:br/>
              <w:t>$’000</w:t>
            </w:r>
          </w:p>
        </w:tc>
      </w:tr>
      <w:tr w:rsidR="00B02873" w:rsidRPr="00B02873" w14:paraId="01139FB4" w14:textId="77777777" w:rsidTr="00A46CB1">
        <w:trPr>
          <w:trHeight w:val="60"/>
        </w:trPr>
        <w:tc>
          <w:tcPr>
            <w:tcW w:w="4819" w:type="dxa"/>
          </w:tcPr>
          <w:p w14:paraId="3A83BE23" w14:textId="77777777" w:rsidR="00B02873" w:rsidRPr="00A46CB1" w:rsidRDefault="00B02873" w:rsidP="00A46CB1">
            <w:pPr>
              <w:pStyle w:val="TablebodyleftFinancialsTables"/>
              <w:rPr>
                <w:b/>
                <w:bCs/>
              </w:rPr>
            </w:pPr>
            <w:r w:rsidRPr="00A46CB1">
              <w:rPr>
                <w:b/>
                <w:bCs/>
              </w:rPr>
              <w:t>Contractual financial liabilities</w:t>
            </w:r>
          </w:p>
        </w:tc>
        <w:tc>
          <w:tcPr>
            <w:tcW w:w="1190" w:type="dxa"/>
          </w:tcPr>
          <w:p w14:paraId="6B2220CD" w14:textId="77777777" w:rsidR="00B02873" w:rsidRPr="00B02873" w:rsidRDefault="00B02873" w:rsidP="00A46CB1">
            <w:pPr>
              <w:pStyle w:val="TablebodyleftFinancialsTables"/>
              <w:jc w:val="right"/>
              <w:rPr>
                <w:rFonts w:ascii="VIC Bold Italic" w:hAnsi="VIC Bold Italic" w:cs="Times New Roman"/>
              </w:rPr>
            </w:pPr>
          </w:p>
        </w:tc>
        <w:tc>
          <w:tcPr>
            <w:tcW w:w="1234" w:type="dxa"/>
          </w:tcPr>
          <w:p w14:paraId="17513B61" w14:textId="77777777" w:rsidR="00B02873" w:rsidRPr="00B02873" w:rsidRDefault="00B02873" w:rsidP="00A46CB1">
            <w:pPr>
              <w:pStyle w:val="TablebodyleftFinancialsTables"/>
              <w:jc w:val="right"/>
              <w:rPr>
                <w:rFonts w:ascii="VIC Bold Italic" w:hAnsi="VIC Bold Italic" w:cs="Times New Roman"/>
              </w:rPr>
            </w:pPr>
          </w:p>
        </w:tc>
        <w:tc>
          <w:tcPr>
            <w:tcW w:w="1190" w:type="dxa"/>
          </w:tcPr>
          <w:p w14:paraId="225FC917" w14:textId="77777777" w:rsidR="00B02873" w:rsidRPr="00B02873" w:rsidRDefault="00B02873" w:rsidP="00A46CB1">
            <w:pPr>
              <w:pStyle w:val="TablebodyleftFinancialsTables"/>
              <w:jc w:val="right"/>
              <w:rPr>
                <w:rFonts w:ascii="VIC Bold Italic" w:hAnsi="VIC Bold Italic" w:cs="Times New Roman"/>
              </w:rPr>
            </w:pPr>
          </w:p>
        </w:tc>
        <w:tc>
          <w:tcPr>
            <w:tcW w:w="1191" w:type="dxa"/>
          </w:tcPr>
          <w:p w14:paraId="4FB22A75" w14:textId="77777777" w:rsidR="00B02873" w:rsidRPr="00B02873" w:rsidRDefault="00B02873" w:rsidP="00A46CB1">
            <w:pPr>
              <w:pStyle w:val="TablebodyleftFinancialsTables"/>
              <w:jc w:val="right"/>
              <w:rPr>
                <w:rFonts w:ascii="VIC Bold Italic" w:hAnsi="VIC Bold Italic" w:cs="Times New Roman"/>
              </w:rPr>
            </w:pPr>
          </w:p>
        </w:tc>
      </w:tr>
      <w:tr w:rsidR="00B02873" w:rsidRPr="00B02873" w14:paraId="6798BA07" w14:textId="77777777" w:rsidTr="00A46CB1">
        <w:trPr>
          <w:trHeight w:val="60"/>
        </w:trPr>
        <w:tc>
          <w:tcPr>
            <w:tcW w:w="4819" w:type="dxa"/>
          </w:tcPr>
          <w:p w14:paraId="68E25DA8" w14:textId="77777777" w:rsidR="00B02873" w:rsidRDefault="00B02873" w:rsidP="00A46CB1">
            <w:pPr>
              <w:pStyle w:val="TablebodyleftFinancialsTables"/>
            </w:pPr>
            <w:r>
              <w:t>Derivative financial instruments</w:t>
            </w:r>
          </w:p>
        </w:tc>
        <w:tc>
          <w:tcPr>
            <w:tcW w:w="1190" w:type="dxa"/>
          </w:tcPr>
          <w:p w14:paraId="4F2FE8BF" w14:textId="77777777" w:rsidR="00B02873" w:rsidRPr="00A46CB1" w:rsidRDefault="00B02873" w:rsidP="00A46CB1">
            <w:pPr>
              <w:pStyle w:val="TablebodyleftFinancialsTables"/>
              <w:jc w:val="right"/>
              <w:rPr>
                <w:b/>
                <w:bCs/>
              </w:rPr>
            </w:pPr>
            <w:r w:rsidRPr="00A46CB1">
              <w:rPr>
                <w:b/>
                <w:bCs/>
              </w:rPr>
              <w:t>8,739</w:t>
            </w:r>
          </w:p>
        </w:tc>
        <w:tc>
          <w:tcPr>
            <w:tcW w:w="1234" w:type="dxa"/>
          </w:tcPr>
          <w:p w14:paraId="7C00D035" w14:textId="77777777" w:rsidR="00B02873" w:rsidRPr="00A46CB1" w:rsidRDefault="00B02873" w:rsidP="00A46CB1">
            <w:pPr>
              <w:pStyle w:val="TablebodyleftFinancialsTables"/>
              <w:jc w:val="right"/>
              <w:rPr>
                <w:b/>
                <w:bCs/>
              </w:rPr>
            </w:pPr>
            <w:r w:rsidRPr="00A46CB1">
              <w:rPr>
                <w:b/>
                <w:bCs/>
              </w:rPr>
              <w:t>70,554</w:t>
            </w:r>
          </w:p>
        </w:tc>
        <w:tc>
          <w:tcPr>
            <w:tcW w:w="1190" w:type="dxa"/>
          </w:tcPr>
          <w:p w14:paraId="464085E0" w14:textId="77777777" w:rsidR="00B02873" w:rsidRPr="00A46CB1" w:rsidRDefault="00B02873" w:rsidP="00A46CB1">
            <w:pPr>
              <w:pStyle w:val="TablebodyleftFinancialsTables"/>
              <w:jc w:val="right"/>
              <w:rPr>
                <w:b/>
                <w:bCs/>
              </w:rPr>
            </w:pPr>
            <w:r w:rsidRPr="00A46CB1">
              <w:rPr>
                <w:b/>
                <w:bCs/>
              </w:rPr>
              <w:t>135,138</w:t>
            </w:r>
          </w:p>
        </w:tc>
        <w:tc>
          <w:tcPr>
            <w:tcW w:w="1191" w:type="dxa"/>
          </w:tcPr>
          <w:p w14:paraId="345CCFB2" w14:textId="77777777" w:rsidR="00B02873" w:rsidRPr="00A46CB1" w:rsidRDefault="00B02873" w:rsidP="00A46CB1">
            <w:pPr>
              <w:pStyle w:val="TablebodyleftFinancialsTables"/>
              <w:jc w:val="right"/>
              <w:rPr>
                <w:b/>
                <w:bCs/>
              </w:rPr>
            </w:pPr>
            <w:r w:rsidRPr="00A46CB1">
              <w:rPr>
                <w:b/>
                <w:bCs/>
              </w:rPr>
              <w:t>214,431</w:t>
            </w:r>
          </w:p>
        </w:tc>
      </w:tr>
    </w:tbl>
    <w:p w14:paraId="69257AA1" w14:textId="77777777" w:rsidR="00B02873" w:rsidRDefault="00B02873" w:rsidP="00FE198A"/>
    <w:tbl>
      <w:tblPr>
        <w:tblStyle w:val="TableGrid"/>
        <w:tblW w:w="0" w:type="auto"/>
        <w:tblLayout w:type="fixed"/>
        <w:tblLook w:val="0020" w:firstRow="1" w:lastRow="0" w:firstColumn="0" w:lastColumn="0" w:noHBand="0" w:noVBand="0"/>
      </w:tblPr>
      <w:tblGrid>
        <w:gridCol w:w="4819"/>
        <w:gridCol w:w="1190"/>
        <w:gridCol w:w="1234"/>
        <w:gridCol w:w="1190"/>
        <w:gridCol w:w="1191"/>
      </w:tblGrid>
      <w:tr w:rsidR="00B02873" w:rsidRPr="00B02873" w14:paraId="40620288" w14:textId="77777777" w:rsidTr="00A46CB1">
        <w:trPr>
          <w:cnfStyle w:val="100000000000" w:firstRow="1" w:lastRow="0" w:firstColumn="0" w:lastColumn="0" w:oddVBand="0" w:evenVBand="0" w:oddHBand="0" w:evenHBand="0" w:firstRowFirstColumn="0" w:firstRowLastColumn="0" w:lastRowFirstColumn="0" w:lastRowLastColumn="0"/>
          <w:trHeight w:val="60"/>
        </w:trPr>
        <w:tc>
          <w:tcPr>
            <w:tcW w:w="4819" w:type="dxa"/>
          </w:tcPr>
          <w:p w14:paraId="3F7441C7" w14:textId="051F6521" w:rsidR="00B02873" w:rsidRPr="00AB7EE1" w:rsidRDefault="00A46CB1" w:rsidP="00A46CB1">
            <w:pPr>
              <w:pStyle w:val="TableheadingleftFinancialsTables"/>
              <w:rPr>
                <w:rFonts w:ascii="VIC Bold Italic" w:hAnsi="VIC Bold Italic" w:cs="Times New Roman"/>
                <w:b w:val="0"/>
                <w:bCs w:val="0"/>
                <w:lang w:val="en-AU"/>
              </w:rPr>
            </w:pPr>
            <w:r w:rsidRPr="00AB7EE1">
              <w:rPr>
                <w:b w:val="0"/>
                <w:bCs w:val="0"/>
              </w:rPr>
              <w:lastRenderedPageBreak/>
              <w:t>2021</w:t>
            </w:r>
          </w:p>
        </w:tc>
        <w:tc>
          <w:tcPr>
            <w:tcW w:w="1190" w:type="dxa"/>
          </w:tcPr>
          <w:p w14:paraId="6A0C36EC" w14:textId="77777777" w:rsidR="00B02873" w:rsidRDefault="00B02873" w:rsidP="00096858">
            <w:pPr>
              <w:pStyle w:val="TableheadingleftFinancialsTables"/>
              <w:jc w:val="right"/>
            </w:pPr>
            <w:r>
              <w:t>Up to 1 year</w:t>
            </w:r>
            <w:r>
              <w:br/>
              <w:t>$’000</w:t>
            </w:r>
          </w:p>
        </w:tc>
        <w:tc>
          <w:tcPr>
            <w:tcW w:w="1234" w:type="dxa"/>
          </w:tcPr>
          <w:p w14:paraId="71A3EE72" w14:textId="77777777" w:rsidR="00B02873" w:rsidRDefault="00B02873" w:rsidP="00096858">
            <w:pPr>
              <w:pStyle w:val="TableheadingleftFinancialsTables"/>
              <w:jc w:val="right"/>
            </w:pPr>
            <w:r>
              <w:t xml:space="preserve">Between </w:t>
            </w:r>
            <w:r>
              <w:br/>
              <w:t>1 to 5 years</w:t>
            </w:r>
            <w:r>
              <w:br/>
              <w:t>$’000</w:t>
            </w:r>
          </w:p>
        </w:tc>
        <w:tc>
          <w:tcPr>
            <w:tcW w:w="1190" w:type="dxa"/>
          </w:tcPr>
          <w:p w14:paraId="38FF8F24" w14:textId="77777777" w:rsidR="00B02873" w:rsidRDefault="00B02873" w:rsidP="00096858">
            <w:pPr>
              <w:pStyle w:val="TableheadingleftFinancialsTables"/>
              <w:jc w:val="right"/>
            </w:pPr>
            <w:r>
              <w:t xml:space="preserve">5 Years </w:t>
            </w:r>
            <w:r>
              <w:br/>
              <w:t>or more</w:t>
            </w:r>
            <w:r>
              <w:br/>
              <w:t>$’000</w:t>
            </w:r>
          </w:p>
        </w:tc>
        <w:tc>
          <w:tcPr>
            <w:tcW w:w="1191" w:type="dxa"/>
          </w:tcPr>
          <w:p w14:paraId="3F231824" w14:textId="77777777" w:rsidR="00B02873" w:rsidRDefault="00B02873" w:rsidP="00096858">
            <w:pPr>
              <w:pStyle w:val="TableheadingleftFinancialsTables"/>
              <w:jc w:val="right"/>
            </w:pPr>
            <w:r>
              <w:t>Total</w:t>
            </w:r>
            <w:r>
              <w:rPr>
                <w:vertAlign w:val="superscript"/>
              </w:rPr>
              <w:t>(i)</w:t>
            </w:r>
            <w:r>
              <w:br/>
              <w:t>$’000</w:t>
            </w:r>
          </w:p>
        </w:tc>
      </w:tr>
      <w:tr w:rsidR="00B02873" w:rsidRPr="00A46CB1" w14:paraId="1FAA6D36" w14:textId="77777777" w:rsidTr="00A46CB1">
        <w:trPr>
          <w:trHeight w:val="60"/>
        </w:trPr>
        <w:tc>
          <w:tcPr>
            <w:tcW w:w="4819" w:type="dxa"/>
          </w:tcPr>
          <w:p w14:paraId="0B07F300" w14:textId="77777777" w:rsidR="00B02873" w:rsidRPr="00AB7EE1" w:rsidRDefault="00B02873" w:rsidP="00A46CB1">
            <w:pPr>
              <w:pStyle w:val="TablebodyleftFinancialsTables"/>
            </w:pPr>
            <w:r w:rsidRPr="00AB7EE1">
              <w:t>Contractual financial liabilities</w:t>
            </w:r>
          </w:p>
        </w:tc>
        <w:tc>
          <w:tcPr>
            <w:tcW w:w="1190" w:type="dxa"/>
          </w:tcPr>
          <w:p w14:paraId="4B020770" w14:textId="77777777" w:rsidR="00B02873" w:rsidRPr="00A46CB1" w:rsidRDefault="00B02873" w:rsidP="00096858">
            <w:pPr>
              <w:pStyle w:val="TablebodyleftFinancialsTables"/>
              <w:jc w:val="right"/>
            </w:pPr>
          </w:p>
        </w:tc>
        <w:tc>
          <w:tcPr>
            <w:tcW w:w="1234" w:type="dxa"/>
          </w:tcPr>
          <w:p w14:paraId="27E4359F" w14:textId="77777777" w:rsidR="00B02873" w:rsidRPr="00A46CB1" w:rsidRDefault="00B02873" w:rsidP="00096858">
            <w:pPr>
              <w:pStyle w:val="TablebodyleftFinancialsTables"/>
              <w:jc w:val="right"/>
            </w:pPr>
          </w:p>
        </w:tc>
        <w:tc>
          <w:tcPr>
            <w:tcW w:w="1190" w:type="dxa"/>
          </w:tcPr>
          <w:p w14:paraId="78E9D7BF" w14:textId="77777777" w:rsidR="00B02873" w:rsidRPr="00A46CB1" w:rsidRDefault="00B02873" w:rsidP="00096858">
            <w:pPr>
              <w:pStyle w:val="TablebodyleftFinancialsTables"/>
              <w:jc w:val="right"/>
            </w:pPr>
          </w:p>
        </w:tc>
        <w:tc>
          <w:tcPr>
            <w:tcW w:w="1191" w:type="dxa"/>
          </w:tcPr>
          <w:p w14:paraId="3E06A310" w14:textId="77777777" w:rsidR="00B02873" w:rsidRPr="00A46CB1" w:rsidRDefault="00B02873" w:rsidP="00096858">
            <w:pPr>
              <w:pStyle w:val="TablebodyleftFinancialsTables"/>
              <w:jc w:val="right"/>
            </w:pPr>
          </w:p>
        </w:tc>
      </w:tr>
      <w:tr w:rsidR="00B02873" w:rsidRPr="00A46CB1" w14:paraId="686CBB17" w14:textId="77777777" w:rsidTr="00A46CB1">
        <w:trPr>
          <w:trHeight w:val="60"/>
        </w:trPr>
        <w:tc>
          <w:tcPr>
            <w:tcW w:w="4819" w:type="dxa"/>
          </w:tcPr>
          <w:p w14:paraId="682C86A2" w14:textId="77777777" w:rsidR="00B02873" w:rsidRPr="00A46CB1" w:rsidRDefault="00B02873" w:rsidP="00A46CB1">
            <w:pPr>
              <w:pStyle w:val="TablebodyleftFinancialsTables"/>
            </w:pPr>
            <w:r w:rsidRPr="00A46CB1">
              <w:t>Derivative financial instruments</w:t>
            </w:r>
          </w:p>
        </w:tc>
        <w:tc>
          <w:tcPr>
            <w:tcW w:w="1190" w:type="dxa"/>
          </w:tcPr>
          <w:p w14:paraId="0F35E2C6" w14:textId="77777777" w:rsidR="00B02873" w:rsidRPr="00AB7EE1" w:rsidRDefault="00B02873" w:rsidP="00096858">
            <w:pPr>
              <w:pStyle w:val="TablebodyleftFinancialsTables"/>
              <w:jc w:val="right"/>
            </w:pPr>
            <w:r w:rsidRPr="00AB7EE1">
              <w:t>11,453</w:t>
            </w:r>
          </w:p>
        </w:tc>
        <w:tc>
          <w:tcPr>
            <w:tcW w:w="1234" w:type="dxa"/>
          </w:tcPr>
          <w:p w14:paraId="21498B51" w14:textId="77777777" w:rsidR="00B02873" w:rsidRPr="00AB7EE1" w:rsidRDefault="00B02873" w:rsidP="00096858">
            <w:pPr>
              <w:pStyle w:val="TablebodyleftFinancialsTables"/>
              <w:jc w:val="right"/>
            </w:pPr>
            <w:r w:rsidRPr="00AB7EE1">
              <w:t>81,900</w:t>
            </w:r>
          </w:p>
        </w:tc>
        <w:tc>
          <w:tcPr>
            <w:tcW w:w="1190" w:type="dxa"/>
          </w:tcPr>
          <w:p w14:paraId="1D725D8C" w14:textId="77777777" w:rsidR="00B02873" w:rsidRPr="00AB7EE1" w:rsidRDefault="00B02873" w:rsidP="00096858">
            <w:pPr>
              <w:pStyle w:val="TablebodyleftFinancialsTables"/>
              <w:jc w:val="right"/>
            </w:pPr>
            <w:r w:rsidRPr="00AB7EE1">
              <w:t>54,773</w:t>
            </w:r>
          </w:p>
        </w:tc>
        <w:tc>
          <w:tcPr>
            <w:tcW w:w="1191" w:type="dxa"/>
          </w:tcPr>
          <w:p w14:paraId="477B8366" w14:textId="77777777" w:rsidR="00B02873" w:rsidRPr="00AB7EE1" w:rsidRDefault="00B02873" w:rsidP="00096858">
            <w:pPr>
              <w:pStyle w:val="TablebodyleftFinancialsTables"/>
              <w:jc w:val="right"/>
            </w:pPr>
            <w:r w:rsidRPr="00AB7EE1">
              <w:t>148,126</w:t>
            </w:r>
          </w:p>
        </w:tc>
      </w:tr>
    </w:tbl>
    <w:p w14:paraId="27B230ED" w14:textId="77777777" w:rsidR="00B02873" w:rsidRPr="00096858" w:rsidRDefault="00B02873" w:rsidP="00965A7F">
      <w:pPr>
        <w:pStyle w:val="SourceNote"/>
        <w:spacing w:after="120"/>
        <w:rPr>
          <w:b/>
          <w:bCs/>
        </w:rPr>
      </w:pPr>
      <w:r w:rsidRPr="00096858">
        <w:rPr>
          <w:b/>
          <w:bCs/>
        </w:rPr>
        <w:t>Note:</w:t>
      </w:r>
    </w:p>
    <w:p w14:paraId="7A0BC850" w14:textId="77777777" w:rsidR="00B02873" w:rsidRDefault="00B02873" w:rsidP="001128B1">
      <w:pPr>
        <w:pStyle w:val="SourceNotenumbered"/>
        <w:numPr>
          <w:ilvl w:val="0"/>
          <w:numId w:val="34"/>
        </w:numPr>
        <w:spacing w:after="200"/>
        <w:ind w:left="357" w:hanging="357"/>
      </w:pPr>
      <w:r>
        <w:t>The amount disclosed in the above table is the nominal amount.</w:t>
      </w:r>
    </w:p>
    <w:p w14:paraId="3110AB8F" w14:textId="77777777" w:rsidR="00B02873" w:rsidRDefault="00B02873" w:rsidP="00965A7F">
      <w:pPr>
        <w:pStyle w:val="Heading5"/>
      </w:pPr>
      <w:r>
        <w:t>(c) Financial instruments: Market risk</w:t>
      </w:r>
    </w:p>
    <w:p w14:paraId="67926896" w14:textId="77777777" w:rsidR="00B02873" w:rsidRDefault="00B02873" w:rsidP="00FE198A">
      <w:r>
        <w:t xml:space="preserve">The department’s exposures to market risk are primarily through interest rate risk and market conditions. Objectives, policies and processes used to manage each of these risks is disclosed below and also in Note 8.1.3(c). </w:t>
      </w:r>
    </w:p>
    <w:p w14:paraId="76C321F3" w14:textId="77777777" w:rsidR="00B02873" w:rsidRDefault="00B02873" w:rsidP="00965A7F">
      <w:pPr>
        <w:pStyle w:val="Heading5"/>
      </w:pPr>
      <w:r>
        <w:t>Interest rate risk</w:t>
      </w:r>
    </w:p>
    <w:p w14:paraId="36FA50DA" w14:textId="36AADDDD" w:rsidR="00B02873" w:rsidRDefault="00B02873" w:rsidP="00FE198A">
      <w:r>
        <w:t>Fair value interest rate risk is the risk that the fair value of a financial instrument will fluctuate because of changes in market interest rates. The department manages the fair value interest rate risks relating to the derivative financial instruments by placing a Payment Cap clause in its contractual agreements with proponents to limit the value of the department’s liability over the term of the contracts. The respective Payment Caps applied to contractual arrangements are determined as part of the department’s Auction tender processes and escalate at a fixed 4 percent per annum.</w:t>
      </w:r>
    </w:p>
    <w:p w14:paraId="3BFC927D" w14:textId="77777777" w:rsidR="00B02873" w:rsidRDefault="00B02873" w:rsidP="00965A7F">
      <w:pPr>
        <w:pStyle w:val="Heading5"/>
      </w:pPr>
      <w:r>
        <w:t>Equity price risk</w:t>
      </w:r>
    </w:p>
    <w:p w14:paraId="638C9056" w14:textId="77777777" w:rsidR="00B02873" w:rsidRDefault="00B02873" w:rsidP="00FE198A">
      <w:r>
        <w:t>The department is exposed to equity market price risk through its derivative forward sale contracts of large-scale generation certificates with external market participants. The entering of forward sale contracts form part of the department’s risk management policies to ensure that potential losses on sale of excess large-scale generation certificates are limited to forward contract values, reducing exposure to significant market volatility resulting from the expected oversupply of large-scale generation certificates.</w:t>
      </w:r>
    </w:p>
    <w:p w14:paraId="228A25A9" w14:textId="540E2C4B" w:rsidR="00B02873" w:rsidRDefault="00B02873" w:rsidP="00FE198A">
      <w:r>
        <w:t xml:space="preserve">There were no open and unsettled forward sale or purchase transactions for the year ended 30 June 2022 or 30 June 2021. </w:t>
      </w:r>
    </w:p>
    <w:p w14:paraId="28D385E2" w14:textId="77777777" w:rsidR="00B02873" w:rsidRDefault="00B02873" w:rsidP="00FE198A">
      <w:r>
        <w:t>In the absence of an active market, the fair value of the department’s derivative contracts for difference and the large scale generation certificates receivable are valued using unobservable inputs such as wholesale electricity prices provided by an independent advisory firm. The forecast wholesale electricity price is considered a significant input to the valuation technique applied. The assumptions underpinning the estimate wholesale electricity prices used for performing the fair value assessment for the current financial year, included detailed consideration of factors influencing demand fluctuations resulting from the economic impact of COVID-19.</w:t>
      </w:r>
    </w:p>
    <w:p w14:paraId="55C3FF80" w14:textId="77777777" w:rsidR="00B02873" w:rsidRDefault="00B02873" w:rsidP="00965A7F">
      <w:pPr>
        <w:pStyle w:val="Heading5"/>
      </w:pPr>
      <w:r>
        <w:t>Fair value determination</w:t>
      </w:r>
    </w:p>
    <w:p w14:paraId="5B2DA784" w14:textId="51835165" w:rsidR="00B02873" w:rsidRDefault="00B02873" w:rsidP="00FE198A">
      <w:r>
        <w:t xml:space="preserve">The fair value of derivative financial instruments is based on the discounted cash flow technique. The selection of variables requires significant judgement and therefore there is a range of reasonably possible assumptions in respect of these variables that could be used in estimating the fair value of derivatives. Significant inputs in applying this technique include wholesale electricity price forecasts, LGC price forecasts, discount rate and credit value adjustment as outlined in the table below. </w:t>
      </w:r>
    </w:p>
    <w:p w14:paraId="018060E1" w14:textId="77777777" w:rsidR="00B02873" w:rsidRDefault="00B02873" w:rsidP="00FE198A">
      <w:r>
        <w:t xml:space="preserve">The assumptions underpinning the wholesale electricity prices forecast used for performing the fair value assessment for the current financial year, included detailed consideration of factors influencing demand and supply fluctuations resulting from the fast movement in energy market </w:t>
      </w:r>
      <w:r>
        <w:lastRenderedPageBreak/>
        <w:t>transitioning into renewable energy future and other economic impact of Coronavirus and the Ukraine war. The rising interest rates and inflation rates also have significant impact on the fair value movement.</w:t>
      </w:r>
    </w:p>
    <w:p w14:paraId="351136C2" w14:textId="35D668DB" w:rsidR="00B02873" w:rsidRDefault="00B02873" w:rsidP="00FE198A">
      <w:r>
        <w:t>In the absence of an active market, the fair value of the department’s derivative contracts for difference and the LGCs receivable are valued using unobservable inputs such as wholesale electricity prices forecast provided by an independent advisory firm and comparable risk free rates of zero coupon government bonds. In addition, assumptions are applied to forecast the renewable energy generation volumes over the life of the instrument. Adjustments are made to the valuations when necessary to recognise differences in the instrument’s terms. To the extent that the significant inputs are unobservable, the department categorises these investments as Level 3.</w:t>
      </w:r>
    </w:p>
    <w:tbl>
      <w:tblPr>
        <w:tblStyle w:val="TableGrid"/>
        <w:tblW w:w="9634" w:type="dxa"/>
        <w:tblLayout w:type="fixed"/>
        <w:tblLook w:val="0020" w:firstRow="1" w:lastRow="0" w:firstColumn="0" w:lastColumn="0" w:noHBand="0" w:noVBand="0"/>
      </w:tblPr>
      <w:tblGrid>
        <w:gridCol w:w="3256"/>
        <w:gridCol w:w="1190"/>
        <w:gridCol w:w="1729"/>
        <w:gridCol w:w="1729"/>
        <w:gridCol w:w="1730"/>
      </w:tblGrid>
      <w:tr w:rsidR="00B02873" w:rsidRPr="00B02873" w14:paraId="490E94F6" w14:textId="77777777" w:rsidTr="00965A7F">
        <w:trPr>
          <w:cnfStyle w:val="100000000000" w:firstRow="1" w:lastRow="0" w:firstColumn="0" w:lastColumn="0" w:oddVBand="0" w:evenVBand="0" w:oddHBand="0" w:evenHBand="0" w:firstRowFirstColumn="0" w:firstRowLastColumn="0" w:lastRowFirstColumn="0" w:lastRowLastColumn="0"/>
        </w:trPr>
        <w:tc>
          <w:tcPr>
            <w:tcW w:w="3256" w:type="dxa"/>
          </w:tcPr>
          <w:p w14:paraId="0454EDB0" w14:textId="77777777" w:rsidR="00B02873" w:rsidRPr="00B02873" w:rsidRDefault="00B02873" w:rsidP="00965A7F">
            <w:pPr>
              <w:pStyle w:val="TableheadingleftFinancialsTables"/>
            </w:pPr>
          </w:p>
        </w:tc>
        <w:tc>
          <w:tcPr>
            <w:tcW w:w="1190" w:type="dxa"/>
          </w:tcPr>
          <w:p w14:paraId="492F316F" w14:textId="357152F9" w:rsidR="00B02873" w:rsidRDefault="00965A7F" w:rsidP="00965A7F">
            <w:pPr>
              <w:pStyle w:val="TableheadingleftFinancialsTables"/>
              <w:jc w:val="right"/>
            </w:pPr>
            <w:r>
              <w:t xml:space="preserve">Carrying amount </w:t>
            </w:r>
            <w:r w:rsidR="00B02873">
              <w:t>$’000</w:t>
            </w:r>
          </w:p>
        </w:tc>
        <w:tc>
          <w:tcPr>
            <w:tcW w:w="1729" w:type="dxa"/>
          </w:tcPr>
          <w:p w14:paraId="32884784" w14:textId="4170175A" w:rsidR="00B02873" w:rsidRDefault="00965A7F" w:rsidP="00965A7F">
            <w:pPr>
              <w:pStyle w:val="TableheadingleftFinancialsTables"/>
              <w:jc w:val="right"/>
            </w:pPr>
            <w:r>
              <w:t xml:space="preserve">Fair value measurement at end of reporting period using: </w:t>
            </w:r>
            <w:r w:rsidR="00B02873">
              <w:t>Level 1</w:t>
            </w:r>
            <w:r w:rsidR="00B02873">
              <w:br/>
              <w:t>$’000</w:t>
            </w:r>
          </w:p>
        </w:tc>
        <w:tc>
          <w:tcPr>
            <w:tcW w:w="1729" w:type="dxa"/>
          </w:tcPr>
          <w:p w14:paraId="312C64C7" w14:textId="043CBD3A" w:rsidR="00B02873" w:rsidRDefault="00965A7F" w:rsidP="00965A7F">
            <w:pPr>
              <w:pStyle w:val="TableheadingleftFinancialsTables"/>
              <w:jc w:val="right"/>
            </w:pPr>
            <w:r>
              <w:t xml:space="preserve">Fair value measurement at end of reporting period using: </w:t>
            </w:r>
            <w:r w:rsidR="00B02873">
              <w:t>Level 2</w:t>
            </w:r>
            <w:r w:rsidR="00B02873">
              <w:br/>
              <w:t>$’000</w:t>
            </w:r>
          </w:p>
        </w:tc>
        <w:tc>
          <w:tcPr>
            <w:tcW w:w="1730" w:type="dxa"/>
          </w:tcPr>
          <w:p w14:paraId="0F22E742" w14:textId="29341245" w:rsidR="00B02873" w:rsidRDefault="00965A7F" w:rsidP="00965A7F">
            <w:pPr>
              <w:pStyle w:val="TableheadingleftFinancialsTables"/>
              <w:jc w:val="right"/>
            </w:pPr>
            <w:r>
              <w:t xml:space="preserve">Fair value measurement at end of reporting period using: </w:t>
            </w:r>
            <w:r w:rsidR="00B02873">
              <w:t>Level 3</w:t>
            </w:r>
            <w:r w:rsidR="00B02873">
              <w:br/>
              <w:t>$’000</w:t>
            </w:r>
          </w:p>
        </w:tc>
      </w:tr>
      <w:tr w:rsidR="00B02873" w:rsidRPr="00B02873" w14:paraId="0F856BBA" w14:textId="77777777" w:rsidTr="00965A7F">
        <w:tc>
          <w:tcPr>
            <w:tcW w:w="3256" w:type="dxa"/>
          </w:tcPr>
          <w:p w14:paraId="4F756DDE" w14:textId="77777777" w:rsidR="00B02873" w:rsidRPr="00965A7F" w:rsidRDefault="00B02873" w:rsidP="00965A7F">
            <w:pPr>
              <w:pStyle w:val="TablebodyleftFinancialsTables"/>
              <w:rPr>
                <w:b/>
                <w:bCs/>
              </w:rPr>
            </w:pPr>
            <w:r w:rsidRPr="00965A7F">
              <w:rPr>
                <w:b/>
                <w:bCs/>
              </w:rPr>
              <w:t>2022</w:t>
            </w:r>
          </w:p>
        </w:tc>
        <w:tc>
          <w:tcPr>
            <w:tcW w:w="1190" w:type="dxa"/>
          </w:tcPr>
          <w:p w14:paraId="6704C8F2" w14:textId="77777777" w:rsidR="00B02873" w:rsidRPr="00B02873" w:rsidRDefault="00B02873" w:rsidP="00965A7F">
            <w:pPr>
              <w:pStyle w:val="TablebodyleftFinancialsTables"/>
              <w:jc w:val="right"/>
              <w:rPr>
                <w:rFonts w:ascii="VIC Bold Italic" w:hAnsi="VIC Bold Italic" w:cs="Times New Roman"/>
              </w:rPr>
            </w:pPr>
          </w:p>
        </w:tc>
        <w:tc>
          <w:tcPr>
            <w:tcW w:w="1729" w:type="dxa"/>
          </w:tcPr>
          <w:p w14:paraId="3D9DC9F3" w14:textId="77777777" w:rsidR="00B02873" w:rsidRPr="00B02873" w:rsidRDefault="00B02873" w:rsidP="00965A7F">
            <w:pPr>
              <w:pStyle w:val="TablebodyleftFinancialsTables"/>
              <w:jc w:val="right"/>
              <w:rPr>
                <w:rFonts w:ascii="VIC Bold Italic" w:hAnsi="VIC Bold Italic" w:cs="Times New Roman"/>
              </w:rPr>
            </w:pPr>
          </w:p>
        </w:tc>
        <w:tc>
          <w:tcPr>
            <w:tcW w:w="1729" w:type="dxa"/>
          </w:tcPr>
          <w:p w14:paraId="6959478A" w14:textId="77777777" w:rsidR="00B02873" w:rsidRPr="00B02873" w:rsidRDefault="00B02873" w:rsidP="00965A7F">
            <w:pPr>
              <w:pStyle w:val="TablebodyleftFinancialsTables"/>
              <w:jc w:val="right"/>
              <w:rPr>
                <w:rFonts w:ascii="VIC Bold Italic" w:hAnsi="VIC Bold Italic" w:cs="Times New Roman"/>
              </w:rPr>
            </w:pPr>
          </w:p>
        </w:tc>
        <w:tc>
          <w:tcPr>
            <w:tcW w:w="1730" w:type="dxa"/>
          </w:tcPr>
          <w:p w14:paraId="211A784A" w14:textId="77777777" w:rsidR="00B02873" w:rsidRPr="00B02873" w:rsidRDefault="00B02873" w:rsidP="00965A7F">
            <w:pPr>
              <w:pStyle w:val="TablebodyleftFinancialsTables"/>
              <w:jc w:val="right"/>
              <w:rPr>
                <w:rFonts w:ascii="VIC Bold Italic" w:hAnsi="VIC Bold Italic" w:cs="Times New Roman"/>
              </w:rPr>
            </w:pPr>
          </w:p>
        </w:tc>
      </w:tr>
      <w:tr w:rsidR="00B02873" w:rsidRPr="00B02873" w14:paraId="12B2368A" w14:textId="77777777" w:rsidTr="00965A7F">
        <w:tc>
          <w:tcPr>
            <w:tcW w:w="3256" w:type="dxa"/>
          </w:tcPr>
          <w:p w14:paraId="0C8284EE" w14:textId="77777777" w:rsidR="00B02873" w:rsidRDefault="00B02873" w:rsidP="00965A7F">
            <w:pPr>
              <w:pStyle w:val="TablebodyleftFinancialsTables"/>
            </w:pPr>
            <w:r>
              <w:t>Derivative financial assets</w:t>
            </w:r>
          </w:p>
        </w:tc>
        <w:tc>
          <w:tcPr>
            <w:tcW w:w="1190" w:type="dxa"/>
          </w:tcPr>
          <w:p w14:paraId="06326772" w14:textId="77777777" w:rsidR="00B02873" w:rsidRDefault="00B02873" w:rsidP="00965A7F">
            <w:pPr>
              <w:pStyle w:val="TablebodyleftFinancialsTables"/>
              <w:jc w:val="right"/>
            </w:pPr>
            <w:r>
              <w:t>429,933</w:t>
            </w:r>
          </w:p>
        </w:tc>
        <w:tc>
          <w:tcPr>
            <w:tcW w:w="1729" w:type="dxa"/>
          </w:tcPr>
          <w:p w14:paraId="56B730BE" w14:textId="77777777" w:rsidR="00B02873" w:rsidRDefault="00B02873" w:rsidP="00965A7F">
            <w:pPr>
              <w:pStyle w:val="TablebodyleftFinancialsTables"/>
              <w:jc w:val="right"/>
            </w:pPr>
            <w:r>
              <w:t>–</w:t>
            </w:r>
          </w:p>
        </w:tc>
        <w:tc>
          <w:tcPr>
            <w:tcW w:w="1729" w:type="dxa"/>
          </w:tcPr>
          <w:p w14:paraId="4CD5C8EE" w14:textId="77777777" w:rsidR="00B02873" w:rsidRDefault="00B02873" w:rsidP="00965A7F">
            <w:pPr>
              <w:pStyle w:val="TablebodyleftFinancialsTables"/>
              <w:jc w:val="right"/>
            </w:pPr>
            <w:r>
              <w:t>–</w:t>
            </w:r>
          </w:p>
        </w:tc>
        <w:tc>
          <w:tcPr>
            <w:tcW w:w="1730" w:type="dxa"/>
          </w:tcPr>
          <w:p w14:paraId="408A3F7B" w14:textId="77777777" w:rsidR="00B02873" w:rsidRDefault="00B02873" w:rsidP="00965A7F">
            <w:pPr>
              <w:pStyle w:val="TablebodyleftFinancialsTables"/>
              <w:jc w:val="right"/>
            </w:pPr>
            <w:r>
              <w:t>429,933</w:t>
            </w:r>
          </w:p>
        </w:tc>
      </w:tr>
      <w:tr w:rsidR="00B02873" w:rsidRPr="00B02873" w14:paraId="4267C8CC" w14:textId="77777777" w:rsidTr="00965A7F">
        <w:tc>
          <w:tcPr>
            <w:tcW w:w="3256" w:type="dxa"/>
          </w:tcPr>
          <w:p w14:paraId="59E31257" w14:textId="77777777" w:rsidR="00B02873" w:rsidRDefault="00B02873" w:rsidP="00965A7F">
            <w:pPr>
              <w:pStyle w:val="TablebodyleftFinancialsTables"/>
            </w:pPr>
            <w:r>
              <w:t>Derivative financial liabilities</w:t>
            </w:r>
          </w:p>
        </w:tc>
        <w:tc>
          <w:tcPr>
            <w:tcW w:w="1190" w:type="dxa"/>
          </w:tcPr>
          <w:p w14:paraId="77437502" w14:textId="77777777" w:rsidR="00B02873" w:rsidRDefault="00B02873" w:rsidP="00965A7F">
            <w:pPr>
              <w:pStyle w:val="TablebodyleftFinancialsTables"/>
              <w:jc w:val="right"/>
            </w:pPr>
            <w:r>
              <w:t>–</w:t>
            </w:r>
          </w:p>
        </w:tc>
        <w:tc>
          <w:tcPr>
            <w:tcW w:w="1729" w:type="dxa"/>
          </w:tcPr>
          <w:p w14:paraId="71ECD305" w14:textId="77777777" w:rsidR="00B02873" w:rsidRDefault="00B02873" w:rsidP="00965A7F">
            <w:pPr>
              <w:pStyle w:val="TablebodyleftFinancialsTables"/>
              <w:jc w:val="right"/>
            </w:pPr>
            <w:r>
              <w:t>–</w:t>
            </w:r>
          </w:p>
        </w:tc>
        <w:tc>
          <w:tcPr>
            <w:tcW w:w="1729" w:type="dxa"/>
          </w:tcPr>
          <w:p w14:paraId="25686C6A" w14:textId="77777777" w:rsidR="00B02873" w:rsidRDefault="00B02873" w:rsidP="00965A7F">
            <w:pPr>
              <w:pStyle w:val="TablebodyleftFinancialsTables"/>
              <w:jc w:val="right"/>
            </w:pPr>
            <w:r>
              <w:t>–</w:t>
            </w:r>
          </w:p>
        </w:tc>
        <w:tc>
          <w:tcPr>
            <w:tcW w:w="1730" w:type="dxa"/>
          </w:tcPr>
          <w:p w14:paraId="3213F341" w14:textId="77777777" w:rsidR="00B02873" w:rsidRDefault="00B02873" w:rsidP="00965A7F">
            <w:pPr>
              <w:pStyle w:val="TablebodyleftFinancialsTables"/>
              <w:jc w:val="right"/>
            </w:pPr>
            <w:r>
              <w:t>–</w:t>
            </w:r>
          </w:p>
        </w:tc>
      </w:tr>
      <w:tr w:rsidR="00B02873" w:rsidRPr="00B02873" w14:paraId="1C8D14F0" w14:textId="77777777" w:rsidTr="00965A7F">
        <w:tc>
          <w:tcPr>
            <w:tcW w:w="3256" w:type="dxa"/>
          </w:tcPr>
          <w:p w14:paraId="228F1F31" w14:textId="77777777" w:rsidR="00B02873" w:rsidRPr="00965A7F" w:rsidRDefault="00B02873" w:rsidP="00965A7F">
            <w:pPr>
              <w:pStyle w:val="TablebodyleftFinancialsTables"/>
              <w:rPr>
                <w:b/>
                <w:bCs/>
              </w:rPr>
            </w:pPr>
            <w:r w:rsidRPr="00965A7F">
              <w:rPr>
                <w:b/>
                <w:bCs/>
              </w:rPr>
              <w:t>2021</w:t>
            </w:r>
          </w:p>
        </w:tc>
        <w:tc>
          <w:tcPr>
            <w:tcW w:w="1190" w:type="dxa"/>
          </w:tcPr>
          <w:p w14:paraId="67AC4F8C" w14:textId="77777777" w:rsidR="00B02873" w:rsidRPr="00B02873" w:rsidRDefault="00B02873" w:rsidP="00965A7F">
            <w:pPr>
              <w:pStyle w:val="TablebodyleftFinancialsTables"/>
              <w:jc w:val="right"/>
              <w:rPr>
                <w:rFonts w:ascii="VIC Bold Italic" w:hAnsi="VIC Bold Italic" w:cs="Times New Roman"/>
              </w:rPr>
            </w:pPr>
          </w:p>
        </w:tc>
        <w:tc>
          <w:tcPr>
            <w:tcW w:w="1729" w:type="dxa"/>
          </w:tcPr>
          <w:p w14:paraId="5874A944" w14:textId="77777777" w:rsidR="00B02873" w:rsidRPr="00B02873" w:rsidRDefault="00B02873" w:rsidP="00965A7F">
            <w:pPr>
              <w:pStyle w:val="TablebodyleftFinancialsTables"/>
              <w:jc w:val="right"/>
              <w:rPr>
                <w:rFonts w:ascii="VIC Bold Italic" w:hAnsi="VIC Bold Italic" w:cs="Times New Roman"/>
              </w:rPr>
            </w:pPr>
          </w:p>
        </w:tc>
        <w:tc>
          <w:tcPr>
            <w:tcW w:w="1729" w:type="dxa"/>
          </w:tcPr>
          <w:p w14:paraId="0E8E75C4" w14:textId="77777777" w:rsidR="00B02873" w:rsidRPr="00B02873" w:rsidRDefault="00B02873" w:rsidP="00965A7F">
            <w:pPr>
              <w:pStyle w:val="TablebodyleftFinancialsTables"/>
              <w:jc w:val="right"/>
              <w:rPr>
                <w:rFonts w:ascii="VIC Bold Italic" w:hAnsi="VIC Bold Italic" w:cs="Times New Roman"/>
              </w:rPr>
            </w:pPr>
          </w:p>
        </w:tc>
        <w:tc>
          <w:tcPr>
            <w:tcW w:w="1730" w:type="dxa"/>
          </w:tcPr>
          <w:p w14:paraId="0A488E70" w14:textId="77777777" w:rsidR="00B02873" w:rsidRPr="00B02873" w:rsidRDefault="00B02873" w:rsidP="00965A7F">
            <w:pPr>
              <w:pStyle w:val="TablebodyleftFinancialsTables"/>
              <w:jc w:val="right"/>
              <w:rPr>
                <w:rFonts w:ascii="VIC Bold Italic" w:hAnsi="VIC Bold Italic" w:cs="Times New Roman"/>
              </w:rPr>
            </w:pPr>
          </w:p>
        </w:tc>
      </w:tr>
      <w:tr w:rsidR="00B02873" w:rsidRPr="00B02873" w14:paraId="4CC6548B" w14:textId="77777777" w:rsidTr="00965A7F">
        <w:tc>
          <w:tcPr>
            <w:tcW w:w="3256" w:type="dxa"/>
          </w:tcPr>
          <w:p w14:paraId="6B690224" w14:textId="77777777" w:rsidR="00B02873" w:rsidRDefault="00B02873" w:rsidP="00965A7F">
            <w:pPr>
              <w:pStyle w:val="TablebodyleftFinancialsTables"/>
            </w:pPr>
            <w:r>
              <w:t>Derivative financial assets</w:t>
            </w:r>
          </w:p>
        </w:tc>
        <w:tc>
          <w:tcPr>
            <w:tcW w:w="1190" w:type="dxa"/>
          </w:tcPr>
          <w:p w14:paraId="36841FCE" w14:textId="77777777" w:rsidR="00B02873" w:rsidRDefault="00B02873" w:rsidP="00965A7F">
            <w:pPr>
              <w:pStyle w:val="TablebodyleftFinancialsTables"/>
              <w:jc w:val="right"/>
            </w:pPr>
            <w:r>
              <w:t>80,669</w:t>
            </w:r>
          </w:p>
        </w:tc>
        <w:tc>
          <w:tcPr>
            <w:tcW w:w="1729" w:type="dxa"/>
          </w:tcPr>
          <w:p w14:paraId="05C4FE14" w14:textId="77777777" w:rsidR="00B02873" w:rsidRDefault="00B02873" w:rsidP="00965A7F">
            <w:pPr>
              <w:pStyle w:val="TablebodyleftFinancialsTables"/>
              <w:jc w:val="right"/>
            </w:pPr>
            <w:r>
              <w:t>–</w:t>
            </w:r>
          </w:p>
        </w:tc>
        <w:tc>
          <w:tcPr>
            <w:tcW w:w="1729" w:type="dxa"/>
          </w:tcPr>
          <w:p w14:paraId="7153E961" w14:textId="77777777" w:rsidR="00B02873" w:rsidRDefault="00B02873" w:rsidP="00965A7F">
            <w:pPr>
              <w:pStyle w:val="TablebodyleftFinancialsTables"/>
              <w:jc w:val="right"/>
            </w:pPr>
            <w:r>
              <w:t>–</w:t>
            </w:r>
          </w:p>
        </w:tc>
        <w:tc>
          <w:tcPr>
            <w:tcW w:w="1730" w:type="dxa"/>
          </w:tcPr>
          <w:p w14:paraId="3B2D1D35" w14:textId="77777777" w:rsidR="00B02873" w:rsidRDefault="00B02873" w:rsidP="00965A7F">
            <w:pPr>
              <w:pStyle w:val="TablebodyleftFinancialsTables"/>
              <w:jc w:val="right"/>
            </w:pPr>
            <w:r>
              <w:t>80,669</w:t>
            </w:r>
          </w:p>
        </w:tc>
      </w:tr>
      <w:tr w:rsidR="00B02873" w:rsidRPr="00B02873" w14:paraId="05C58FB9" w14:textId="77777777" w:rsidTr="00965A7F">
        <w:tc>
          <w:tcPr>
            <w:tcW w:w="3256" w:type="dxa"/>
          </w:tcPr>
          <w:p w14:paraId="6FA62D9D" w14:textId="77777777" w:rsidR="00B02873" w:rsidRDefault="00B02873" w:rsidP="00965A7F">
            <w:pPr>
              <w:pStyle w:val="TablebodyleftFinancialsTables"/>
            </w:pPr>
            <w:r>
              <w:t>Derivative financial liabilities</w:t>
            </w:r>
          </w:p>
        </w:tc>
        <w:tc>
          <w:tcPr>
            <w:tcW w:w="1190" w:type="dxa"/>
          </w:tcPr>
          <w:p w14:paraId="5530C710" w14:textId="77777777" w:rsidR="00B02873" w:rsidRDefault="00B02873" w:rsidP="00965A7F">
            <w:pPr>
              <w:pStyle w:val="TablebodyleftFinancialsTables"/>
              <w:jc w:val="right"/>
            </w:pPr>
            <w:r>
              <w:t>(1,931)</w:t>
            </w:r>
          </w:p>
        </w:tc>
        <w:tc>
          <w:tcPr>
            <w:tcW w:w="1729" w:type="dxa"/>
          </w:tcPr>
          <w:p w14:paraId="4B51815C" w14:textId="77777777" w:rsidR="00B02873" w:rsidRDefault="00B02873" w:rsidP="00965A7F">
            <w:pPr>
              <w:pStyle w:val="TablebodyleftFinancialsTables"/>
              <w:jc w:val="right"/>
            </w:pPr>
            <w:r>
              <w:t>–</w:t>
            </w:r>
          </w:p>
        </w:tc>
        <w:tc>
          <w:tcPr>
            <w:tcW w:w="1729" w:type="dxa"/>
          </w:tcPr>
          <w:p w14:paraId="10DC8A61" w14:textId="77777777" w:rsidR="00B02873" w:rsidRDefault="00B02873" w:rsidP="00965A7F">
            <w:pPr>
              <w:pStyle w:val="TablebodyleftFinancialsTables"/>
              <w:jc w:val="right"/>
            </w:pPr>
            <w:r>
              <w:t>–</w:t>
            </w:r>
          </w:p>
        </w:tc>
        <w:tc>
          <w:tcPr>
            <w:tcW w:w="1730" w:type="dxa"/>
          </w:tcPr>
          <w:p w14:paraId="77B56A8D" w14:textId="77777777" w:rsidR="00B02873" w:rsidRDefault="00B02873" w:rsidP="00965A7F">
            <w:pPr>
              <w:pStyle w:val="TablebodyleftFinancialsTables"/>
              <w:jc w:val="right"/>
            </w:pPr>
            <w:r>
              <w:t>(1,931)</w:t>
            </w:r>
          </w:p>
        </w:tc>
      </w:tr>
    </w:tbl>
    <w:p w14:paraId="07276049" w14:textId="77777777" w:rsidR="00B02873" w:rsidRDefault="00B02873" w:rsidP="00FE198A"/>
    <w:p w14:paraId="0CA58D37" w14:textId="77777777" w:rsidR="00B02873" w:rsidRDefault="00B02873" w:rsidP="00FE198A">
      <w:r>
        <w:t>There have been no transfers between levels during the period.</w:t>
      </w:r>
    </w:p>
    <w:p w14:paraId="46272F67" w14:textId="77777777" w:rsidR="00B02873" w:rsidRDefault="00B02873" w:rsidP="00965A7F">
      <w:pPr>
        <w:pStyle w:val="Heading3"/>
      </w:pPr>
      <w:r>
        <w:t>Reconciliation of Level 3 fair value movements</w:t>
      </w:r>
    </w:p>
    <w:tbl>
      <w:tblPr>
        <w:tblStyle w:val="TableGrid"/>
        <w:tblW w:w="9634" w:type="dxa"/>
        <w:tblLayout w:type="fixed"/>
        <w:tblLook w:val="0020" w:firstRow="1" w:lastRow="0" w:firstColumn="0" w:lastColumn="0" w:noHBand="0" w:noVBand="0"/>
      </w:tblPr>
      <w:tblGrid>
        <w:gridCol w:w="3397"/>
        <w:gridCol w:w="1039"/>
        <w:gridCol w:w="1040"/>
        <w:gridCol w:w="1039"/>
        <w:gridCol w:w="1040"/>
        <w:gridCol w:w="1039"/>
        <w:gridCol w:w="1040"/>
      </w:tblGrid>
      <w:tr w:rsidR="00B02873" w:rsidRPr="00B02873" w14:paraId="54F13191" w14:textId="77777777" w:rsidTr="006B734C">
        <w:trPr>
          <w:cnfStyle w:val="100000000000" w:firstRow="1" w:lastRow="0" w:firstColumn="0" w:lastColumn="0" w:oddVBand="0" w:evenVBand="0" w:oddHBand="0" w:evenHBand="0" w:firstRowFirstColumn="0" w:firstRowLastColumn="0" w:lastRowFirstColumn="0" w:lastRowLastColumn="0"/>
        </w:trPr>
        <w:tc>
          <w:tcPr>
            <w:tcW w:w="3397" w:type="dxa"/>
          </w:tcPr>
          <w:p w14:paraId="5E47C7DD" w14:textId="77777777" w:rsidR="00B02873" w:rsidRPr="00B02873" w:rsidRDefault="00B02873" w:rsidP="00965A7F">
            <w:pPr>
              <w:pStyle w:val="TableheadingleftFinancialsTables"/>
            </w:pPr>
          </w:p>
        </w:tc>
        <w:tc>
          <w:tcPr>
            <w:tcW w:w="1039" w:type="dxa"/>
          </w:tcPr>
          <w:p w14:paraId="02CB58EF" w14:textId="1F572095" w:rsidR="00B02873" w:rsidRDefault="006B734C" w:rsidP="006B734C">
            <w:pPr>
              <w:pStyle w:val="TableheadingleftFinancialsTables"/>
              <w:jc w:val="right"/>
            </w:pPr>
            <w:r>
              <w:t xml:space="preserve">Financial asset at fair value through net result </w:t>
            </w:r>
            <w:r w:rsidR="00B02873">
              <w:t>2022 $’000</w:t>
            </w:r>
          </w:p>
        </w:tc>
        <w:tc>
          <w:tcPr>
            <w:tcW w:w="1040" w:type="dxa"/>
          </w:tcPr>
          <w:p w14:paraId="4E1F6EAA" w14:textId="15B371A7" w:rsidR="00B02873" w:rsidRDefault="006B734C" w:rsidP="006B734C">
            <w:pPr>
              <w:pStyle w:val="TableheadingleftFinancialsTables"/>
              <w:jc w:val="right"/>
            </w:pPr>
            <w:r>
              <w:t xml:space="preserve">Financial asset at fair value through net result </w:t>
            </w:r>
            <w:r w:rsidR="00B02873">
              <w:t>2021 $’000</w:t>
            </w:r>
          </w:p>
        </w:tc>
        <w:tc>
          <w:tcPr>
            <w:tcW w:w="1039" w:type="dxa"/>
          </w:tcPr>
          <w:p w14:paraId="26E53F30" w14:textId="6DC386CC" w:rsidR="00B02873" w:rsidRDefault="006B734C" w:rsidP="006B734C">
            <w:pPr>
              <w:pStyle w:val="TableheadingleftFinancialsTables"/>
              <w:jc w:val="right"/>
            </w:pPr>
            <w:r>
              <w:t xml:space="preserve">Financial liability at fair value through net result </w:t>
            </w:r>
            <w:r w:rsidR="00B02873">
              <w:t>2022 $’000</w:t>
            </w:r>
          </w:p>
        </w:tc>
        <w:tc>
          <w:tcPr>
            <w:tcW w:w="1040" w:type="dxa"/>
          </w:tcPr>
          <w:p w14:paraId="43B5CD3C" w14:textId="5891CBBA" w:rsidR="00B02873" w:rsidRDefault="006B734C" w:rsidP="006B734C">
            <w:pPr>
              <w:pStyle w:val="TableheadingleftFinancialsTables"/>
              <w:jc w:val="right"/>
            </w:pPr>
            <w:r>
              <w:t xml:space="preserve">Financial liability at fair value through net result </w:t>
            </w:r>
            <w:r w:rsidR="00B02873">
              <w:t>2021 $’000</w:t>
            </w:r>
          </w:p>
        </w:tc>
        <w:tc>
          <w:tcPr>
            <w:tcW w:w="1039" w:type="dxa"/>
          </w:tcPr>
          <w:p w14:paraId="308F4480" w14:textId="6103A202" w:rsidR="00B02873" w:rsidRDefault="006B734C" w:rsidP="006B734C">
            <w:pPr>
              <w:pStyle w:val="TableheadingleftFinancialsTables"/>
              <w:jc w:val="right"/>
            </w:pPr>
            <w:r>
              <w:t xml:space="preserve">Total </w:t>
            </w:r>
            <w:r w:rsidR="00B02873">
              <w:t>2022 $’000</w:t>
            </w:r>
          </w:p>
        </w:tc>
        <w:tc>
          <w:tcPr>
            <w:tcW w:w="1040" w:type="dxa"/>
          </w:tcPr>
          <w:p w14:paraId="0343A3D7" w14:textId="70D5AA17" w:rsidR="00B02873" w:rsidRDefault="006B734C" w:rsidP="006B734C">
            <w:pPr>
              <w:pStyle w:val="TableheadingleftFinancialsTables"/>
              <w:jc w:val="right"/>
            </w:pPr>
            <w:r>
              <w:t xml:space="preserve">Total </w:t>
            </w:r>
            <w:r w:rsidR="00B02873">
              <w:t>2021 $’000</w:t>
            </w:r>
          </w:p>
        </w:tc>
      </w:tr>
      <w:tr w:rsidR="00B02873" w:rsidRPr="00B02873" w14:paraId="784A46ED" w14:textId="77777777" w:rsidTr="006B734C">
        <w:tc>
          <w:tcPr>
            <w:tcW w:w="3397" w:type="dxa"/>
          </w:tcPr>
          <w:p w14:paraId="35A9A246" w14:textId="77777777" w:rsidR="00B02873" w:rsidRDefault="00B02873" w:rsidP="006B734C">
            <w:pPr>
              <w:pStyle w:val="TablebodyleftFinancialsTables"/>
            </w:pPr>
            <w:r>
              <w:t>Opening balance</w:t>
            </w:r>
          </w:p>
        </w:tc>
        <w:tc>
          <w:tcPr>
            <w:tcW w:w="1039" w:type="dxa"/>
          </w:tcPr>
          <w:p w14:paraId="47C330D2" w14:textId="77777777" w:rsidR="00B02873" w:rsidRPr="006B734C" w:rsidRDefault="00B02873" w:rsidP="006B734C">
            <w:pPr>
              <w:pStyle w:val="TablebodyleftFinancialsTables"/>
              <w:jc w:val="right"/>
              <w:rPr>
                <w:b/>
                <w:bCs/>
              </w:rPr>
            </w:pPr>
            <w:r w:rsidRPr="006B734C">
              <w:rPr>
                <w:b/>
                <w:bCs/>
              </w:rPr>
              <w:t>80,669</w:t>
            </w:r>
          </w:p>
        </w:tc>
        <w:tc>
          <w:tcPr>
            <w:tcW w:w="1040" w:type="dxa"/>
          </w:tcPr>
          <w:p w14:paraId="2634B684" w14:textId="77777777" w:rsidR="00B02873" w:rsidRDefault="00B02873" w:rsidP="006B734C">
            <w:pPr>
              <w:pStyle w:val="TablebodyleftFinancialsTables"/>
              <w:jc w:val="right"/>
            </w:pPr>
            <w:r>
              <w:t>180,938</w:t>
            </w:r>
          </w:p>
        </w:tc>
        <w:tc>
          <w:tcPr>
            <w:tcW w:w="1039" w:type="dxa"/>
          </w:tcPr>
          <w:p w14:paraId="4F4AB1B4" w14:textId="77777777" w:rsidR="00B02873" w:rsidRPr="006B734C" w:rsidRDefault="00B02873" w:rsidP="006B734C">
            <w:pPr>
              <w:pStyle w:val="TablebodyleftFinancialsTables"/>
              <w:jc w:val="right"/>
              <w:rPr>
                <w:b/>
                <w:bCs/>
              </w:rPr>
            </w:pPr>
            <w:r w:rsidRPr="006B734C">
              <w:rPr>
                <w:b/>
                <w:bCs/>
              </w:rPr>
              <w:t>(1,931)</w:t>
            </w:r>
          </w:p>
        </w:tc>
        <w:tc>
          <w:tcPr>
            <w:tcW w:w="1040" w:type="dxa"/>
          </w:tcPr>
          <w:p w14:paraId="7F9038BA" w14:textId="77777777" w:rsidR="00B02873" w:rsidRDefault="00B02873" w:rsidP="006B734C">
            <w:pPr>
              <w:pStyle w:val="TablebodyleftFinancialsTables"/>
              <w:jc w:val="right"/>
            </w:pPr>
            <w:r>
              <w:t>(10,766)</w:t>
            </w:r>
          </w:p>
        </w:tc>
        <w:tc>
          <w:tcPr>
            <w:tcW w:w="1039" w:type="dxa"/>
          </w:tcPr>
          <w:p w14:paraId="5ADD3ED1" w14:textId="77777777" w:rsidR="00B02873" w:rsidRPr="006B734C" w:rsidRDefault="00B02873" w:rsidP="006B734C">
            <w:pPr>
              <w:pStyle w:val="TablebodyleftFinancialsTables"/>
              <w:jc w:val="right"/>
              <w:rPr>
                <w:b/>
                <w:bCs/>
              </w:rPr>
            </w:pPr>
            <w:r w:rsidRPr="006B734C">
              <w:rPr>
                <w:b/>
                <w:bCs/>
              </w:rPr>
              <w:t>78,738</w:t>
            </w:r>
          </w:p>
        </w:tc>
        <w:tc>
          <w:tcPr>
            <w:tcW w:w="1040" w:type="dxa"/>
          </w:tcPr>
          <w:p w14:paraId="74BFAC84" w14:textId="77777777" w:rsidR="00B02873" w:rsidRDefault="00B02873" w:rsidP="006B734C">
            <w:pPr>
              <w:pStyle w:val="TablebodyleftFinancialsTables"/>
              <w:jc w:val="right"/>
            </w:pPr>
            <w:r>
              <w:t>170,172</w:t>
            </w:r>
          </w:p>
        </w:tc>
      </w:tr>
      <w:tr w:rsidR="00B02873" w:rsidRPr="00B02873" w14:paraId="48AB5841" w14:textId="77777777" w:rsidTr="006B734C">
        <w:tc>
          <w:tcPr>
            <w:tcW w:w="3397" w:type="dxa"/>
          </w:tcPr>
          <w:p w14:paraId="548FDF6B" w14:textId="77777777" w:rsidR="00B02873" w:rsidRDefault="00B02873" w:rsidP="006B734C">
            <w:pPr>
              <w:pStyle w:val="TablebodyleftFinancialsTables"/>
            </w:pPr>
            <w:r>
              <w:t>Total gains or losses recognised in:</w:t>
            </w:r>
          </w:p>
        </w:tc>
        <w:tc>
          <w:tcPr>
            <w:tcW w:w="1039" w:type="dxa"/>
          </w:tcPr>
          <w:p w14:paraId="2E7AE650" w14:textId="77777777" w:rsidR="00B02873" w:rsidRPr="006B734C" w:rsidRDefault="00B02873" w:rsidP="006B734C">
            <w:pPr>
              <w:pStyle w:val="TablebodyleftFinancialsTables"/>
              <w:jc w:val="right"/>
              <w:rPr>
                <w:rFonts w:ascii="VIC Bold Italic" w:hAnsi="VIC Bold Italic" w:cs="Times New Roman"/>
                <w:b/>
                <w:bCs/>
              </w:rPr>
            </w:pPr>
          </w:p>
        </w:tc>
        <w:tc>
          <w:tcPr>
            <w:tcW w:w="1040" w:type="dxa"/>
          </w:tcPr>
          <w:p w14:paraId="3BE247C1" w14:textId="77777777" w:rsidR="00B02873" w:rsidRPr="00B02873" w:rsidRDefault="00B02873" w:rsidP="006B734C">
            <w:pPr>
              <w:pStyle w:val="TablebodyleftFinancialsTables"/>
              <w:jc w:val="right"/>
              <w:rPr>
                <w:rFonts w:ascii="VIC Bold Italic" w:hAnsi="VIC Bold Italic" w:cs="Times New Roman"/>
              </w:rPr>
            </w:pPr>
          </w:p>
        </w:tc>
        <w:tc>
          <w:tcPr>
            <w:tcW w:w="1039" w:type="dxa"/>
          </w:tcPr>
          <w:p w14:paraId="72E795E5" w14:textId="77777777" w:rsidR="00B02873" w:rsidRPr="006B734C" w:rsidRDefault="00B02873" w:rsidP="006B734C">
            <w:pPr>
              <w:pStyle w:val="TablebodyleftFinancialsTables"/>
              <w:jc w:val="right"/>
              <w:rPr>
                <w:rFonts w:ascii="VIC Bold Italic" w:hAnsi="VIC Bold Italic" w:cs="Times New Roman"/>
                <w:b/>
                <w:bCs/>
              </w:rPr>
            </w:pPr>
          </w:p>
        </w:tc>
        <w:tc>
          <w:tcPr>
            <w:tcW w:w="1040" w:type="dxa"/>
          </w:tcPr>
          <w:p w14:paraId="396E69C7" w14:textId="77777777" w:rsidR="00B02873" w:rsidRPr="00B02873" w:rsidRDefault="00B02873" w:rsidP="006B734C">
            <w:pPr>
              <w:pStyle w:val="TablebodyleftFinancialsTables"/>
              <w:jc w:val="right"/>
              <w:rPr>
                <w:rFonts w:ascii="VIC Bold Italic" w:hAnsi="VIC Bold Italic" w:cs="Times New Roman"/>
              </w:rPr>
            </w:pPr>
          </w:p>
        </w:tc>
        <w:tc>
          <w:tcPr>
            <w:tcW w:w="1039" w:type="dxa"/>
          </w:tcPr>
          <w:p w14:paraId="5BDCCD3C" w14:textId="77777777" w:rsidR="00B02873" w:rsidRPr="006B734C" w:rsidRDefault="00B02873" w:rsidP="006B734C">
            <w:pPr>
              <w:pStyle w:val="TablebodyleftFinancialsTables"/>
              <w:jc w:val="right"/>
              <w:rPr>
                <w:rFonts w:ascii="VIC Bold Italic" w:hAnsi="VIC Bold Italic" w:cs="Times New Roman"/>
                <w:b/>
                <w:bCs/>
              </w:rPr>
            </w:pPr>
          </w:p>
        </w:tc>
        <w:tc>
          <w:tcPr>
            <w:tcW w:w="1040" w:type="dxa"/>
          </w:tcPr>
          <w:p w14:paraId="40BA5DC0" w14:textId="77777777" w:rsidR="00B02873" w:rsidRPr="00B02873" w:rsidRDefault="00B02873" w:rsidP="006B734C">
            <w:pPr>
              <w:pStyle w:val="TablebodyleftFinancialsTables"/>
              <w:jc w:val="right"/>
              <w:rPr>
                <w:rFonts w:ascii="VIC Bold Italic" w:hAnsi="VIC Bold Italic" w:cs="Times New Roman"/>
              </w:rPr>
            </w:pPr>
          </w:p>
        </w:tc>
      </w:tr>
      <w:tr w:rsidR="00B02873" w:rsidRPr="00B02873" w14:paraId="70E0865E" w14:textId="77777777" w:rsidTr="006B734C">
        <w:tc>
          <w:tcPr>
            <w:tcW w:w="3397" w:type="dxa"/>
          </w:tcPr>
          <w:p w14:paraId="706596B8" w14:textId="77777777" w:rsidR="00B02873" w:rsidRDefault="00B02873" w:rsidP="006B734C">
            <w:pPr>
              <w:pStyle w:val="TablebodyleftFinancialsTables"/>
            </w:pPr>
            <w:r>
              <w:t>Net result</w:t>
            </w:r>
          </w:p>
        </w:tc>
        <w:tc>
          <w:tcPr>
            <w:tcW w:w="1039" w:type="dxa"/>
          </w:tcPr>
          <w:p w14:paraId="0453FA46" w14:textId="77777777" w:rsidR="00B02873" w:rsidRPr="006B734C" w:rsidRDefault="00B02873" w:rsidP="006B734C">
            <w:pPr>
              <w:pStyle w:val="TablebodyleftFinancialsTables"/>
              <w:jc w:val="right"/>
              <w:rPr>
                <w:b/>
                <w:bCs/>
              </w:rPr>
            </w:pPr>
            <w:r w:rsidRPr="006B734C">
              <w:rPr>
                <w:b/>
                <w:bCs/>
              </w:rPr>
              <w:t>425,849</w:t>
            </w:r>
          </w:p>
        </w:tc>
        <w:tc>
          <w:tcPr>
            <w:tcW w:w="1040" w:type="dxa"/>
          </w:tcPr>
          <w:p w14:paraId="24B4F26C" w14:textId="77777777" w:rsidR="00B02873" w:rsidRDefault="00B02873" w:rsidP="006B734C">
            <w:pPr>
              <w:pStyle w:val="TablebodyleftFinancialsTables"/>
              <w:jc w:val="right"/>
            </w:pPr>
            <w:r>
              <w:t>(99,331)</w:t>
            </w:r>
          </w:p>
        </w:tc>
        <w:tc>
          <w:tcPr>
            <w:tcW w:w="1039" w:type="dxa"/>
          </w:tcPr>
          <w:p w14:paraId="4CC4EC68" w14:textId="77777777" w:rsidR="00B02873" w:rsidRPr="006B734C" w:rsidRDefault="00B02873" w:rsidP="006B734C">
            <w:pPr>
              <w:pStyle w:val="TablebodyleftFinancialsTables"/>
              <w:jc w:val="right"/>
              <w:rPr>
                <w:b/>
                <w:bCs/>
              </w:rPr>
            </w:pPr>
            <w:r w:rsidRPr="006B734C">
              <w:rPr>
                <w:b/>
                <w:bCs/>
              </w:rPr>
              <w:t>3,017</w:t>
            </w:r>
          </w:p>
        </w:tc>
        <w:tc>
          <w:tcPr>
            <w:tcW w:w="1040" w:type="dxa"/>
          </w:tcPr>
          <w:p w14:paraId="39AE1D16" w14:textId="77777777" w:rsidR="00B02873" w:rsidRDefault="00B02873" w:rsidP="006B734C">
            <w:pPr>
              <w:pStyle w:val="TablebodyleftFinancialsTables"/>
              <w:jc w:val="right"/>
            </w:pPr>
            <w:r>
              <w:t>8,835</w:t>
            </w:r>
          </w:p>
        </w:tc>
        <w:tc>
          <w:tcPr>
            <w:tcW w:w="1039" w:type="dxa"/>
          </w:tcPr>
          <w:p w14:paraId="679E9D85" w14:textId="77777777" w:rsidR="00B02873" w:rsidRPr="006B734C" w:rsidRDefault="00B02873" w:rsidP="006B734C">
            <w:pPr>
              <w:pStyle w:val="TablebodyleftFinancialsTables"/>
              <w:jc w:val="right"/>
              <w:rPr>
                <w:b/>
                <w:bCs/>
              </w:rPr>
            </w:pPr>
            <w:r w:rsidRPr="006B734C">
              <w:rPr>
                <w:b/>
                <w:bCs/>
              </w:rPr>
              <w:t>428,866</w:t>
            </w:r>
          </w:p>
        </w:tc>
        <w:tc>
          <w:tcPr>
            <w:tcW w:w="1040" w:type="dxa"/>
          </w:tcPr>
          <w:p w14:paraId="4B0DF0ED" w14:textId="77777777" w:rsidR="00B02873" w:rsidRDefault="00B02873" w:rsidP="006B734C">
            <w:pPr>
              <w:pStyle w:val="TablebodyleftFinancialsTables"/>
              <w:jc w:val="right"/>
            </w:pPr>
            <w:r>
              <w:t>(90,496)</w:t>
            </w:r>
          </w:p>
        </w:tc>
      </w:tr>
      <w:tr w:rsidR="00B02873" w:rsidRPr="00B02873" w14:paraId="724AE1D7" w14:textId="77777777" w:rsidTr="006B734C">
        <w:tc>
          <w:tcPr>
            <w:tcW w:w="3397" w:type="dxa"/>
          </w:tcPr>
          <w:p w14:paraId="708FAEEB" w14:textId="77777777" w:rsidR="00B02873" w:rsidRDefault="00B02873" w:rsidP="006B734C">
            <w:pPr>
              <w:pStyle w:val="TablebodyleftFinancialsTables"/>
            </w:pPr>
            <w:r>
              <w:t>Other comprehensive income</w:t>
            </w:r>
          </w:p>
        </w:tc>
        <w:tc>
          <w:tcPr>
            <w:tcW w:w="1039" w:type="dxa"/>
          </w:tcPr>
          <w:p w14:paraId="5336676E" w14:textId="77777777" w:rsidR="00B02873" w:rsidRPr="006B734C" w:rsidRDefault="00B02873" w:rsidP="006B734C">
            <w:pPr>
              <w:pStyle w:val="TablebodyleftFinancialsTables"/>
              <w:jc w:val="right"/>
              <w:rPr>
                <w:b/>
                <w:bCs/>
              </w:rPr>
            </w:pPr>
            <w:r w:rsidRPr="006B734C">
              <w:rPr>
                <w:b/>
                <w:bCs/>
              </w:rPr>
              <w:t>–</w:t>
            </w:r>
          </w:p>
        </w:tc>
        <w:tc>
          <w:tcPr>
            <w:tcW w:w="1040" w:type="dxa"/>
          </w:tcPr>
          <w:p w14:paraId="692ABCC0" w14:textId="77777777" w:rsidR="00B02873" w:rsidRDefault="00B02873" w:rsidP="006B734C">
            <w:pPr>
              <w:pStyle w:val="TablebodyleftFinancialsTables"/>
              <w:jc w:val="right"/>
            </w:pPr>
            <w:r>
              <w:t>–</w:t>
            </w:r>
          </w:p>
        </w:tc>
        <w:tc>
          <w:tcPr>
            <w:tcW w:w="1039" w:type="dxa"/>
          </w:tcPr>
          <w:p w14:paraId="27981121" w14:textId="77777777" w:rsidR="00B02873" w:rsidRPr="006B734C" w:rsidRDefault="00B02873" w:rsidP="006B734C">
            <w:pPr>
              <w:pStyle w:val="TablebodyleftFinancialsTables"/>
              <w:jc w:val="right"/>
              <w:rPr>
                <w:b/>
                <w:bCs/>
              </w:rPr>
            </w:pPr>
            <w:r w:rsidRPr="006B734C">
              <w:rPr>
                <w:b/>
                <w:bCs/>
              </w:rPr>
              <w:t>–</w:t>
            </w:r>
          </w:p>
        </w:tc>
        <w:tc>
          <w:tcPr>
            <w:tcW w:w="1040" w:type="dxa"/>
          </w:tcPr>
          <w:p w14:paraId="0FD5F0BD" w14:textId="77777777" w:rsidR="00B02873" w:rsidRDefault="00B02873" w:rsidP="006B734C">
            <w:pPr>
              <w:pStyle w:val="TablebodyleftFinancialsTables"/>
              <w:jc w:val="right"/>
            </w:pPr>
            <w:r>
              <w:t>–</w:t>
            </w:r>
          </w:p>
        </w:tc>
        <w:tc>
          <w:tcPr>
            <w:tcW w:w="1039" w:type="dxa"/>
          </w:tcPr>
          <w:p w14:paraId="1D813CA8" w14:textId="77777777" w:rsidR="00B02873" w:rsidRPr="006B734C" w:rsidRDefault="00B02873" w:rsidP="006B734C">
            <w:pPr>
              <w:pStyle w:val="TablebodyleftFinancialsTables"/>
              <w:jc w:val="right"/>
              <w:rPr>
                <w:b/>
                <w:bCs/>
              </w:rPr>
            </w:pPr>
            <w:r w:rsidRPr="006B734C">
              <w:rPr>
                <w:b/>
                <w:bCs/>
              </w:rPr>
              <w:t>–</w:t>
            </w:r>
          </w:p>
        </w:tc>
        <w:tc>
          <w:tcPr>
            <w:tcW w:w="1040" w:type="dxa"/>
          </w:tcPr>
          <w:p w14:paraId="0200C324" w14:textId="77777777" w:rsidR="00B02873" w:rsidRDefault="00B02873" w:rsidP="006B734C">
            <w:pPr>
              <w:pStyle w:val="TablebodyleftFinancialsTables"/>
              <w:jc w:val="right"/>
            </w:pPr>
            <w:r>
              <w:t>–</w:t>
            </w:r>
          </w:p>
        </w:tc>
      </w:tr>
      <w:tr w:rsidR="00B02873" w:rsidRPr="00B02873" w14:paraId="33236725" w14:textId="77777777" w:rsidTr="006B734C">
        <w:tc>
          <w:tcPr>
            <w:tcW w:w="3397" w:type="dxa"/>
          </w:tcPr>
          <w:p w14:paraId="3DC6E3ED" w14:textId="77777777" w:rsidR="00B02873" w:rsidRDefault="00B02873" w:rsidP="006B734C">
            <w:pPr>
              <w:pStyle w:val="TablebodyleftFinancialsTables"/>
            </w:pPr>
            <w:r>
              <w:t>Settlements</w:t>
            </w:r>
          </w:p>
        </w:tc>
        <w:tc>
          <w:tcPr>
            <w:tcW w:w="1039" w:type="dxa"/>
          </w:tcPr>
          <w:p w14:paraId="1222DE61" w14:textId="77777777" w:rsidR="00B02873" w:rsidRPr="006B734C" w:rsidRDefault="00B02873" w:rsidP="006B734C">
            <w:pPr>
              <w:pStyle w:val="TablebodyleftFinancialsTables"/>
              <w:jc w:val="right"/>
              <w:rPr>
                <w:b/>
                <w:bCs/>
              </w:rPr>
            </w:pPr>
            <w:r w:rsidRPr="006B734C">
              <w:rPr>
                <w:b/>
                <w:bCs/>
              </w:rPr>
              <w:t>(76,585)</w:t>
            </w:r>
          </w:p>
        </w:tc>
        <w:tc>
          <w:tcPr>
            <w:tcW w:w="1040" w:type="dxa"/>
          </w:tcPr>
          <w:p w14:paraId="5EB9FC90" w14:textId="77777777" w:rsidR="00B02873" w:rsidRDefault="00B02873" w:rsidP="006B734C">
            <w:pPr>
              <w:pStyle w:val="TablebodyleftFinancialsTables"/>
              <w:jc w:val="right"/>
            </w:pPr>
            <w:r>
              <w:t>(938)</w:t>
            </w:r>
          </w:p>
        </w:tc>
        <w:tc>
          <w:tcPr>
            <w:tcW w:w="1039" w:type="dxa"/>
          </w:tcPr>
          <w:p w14:paraId="201B0B8A" w14:textId="77777777" w:rsidR="00B02873" w:rsidRPr="006B734C" w:rsidRDefault="00B02873" w:rsidP="006B734C">
            <w:pPr>
              <w:pStyle w:val="TablebodyleftFinancialsTables"/>
              <w:jc w:val="right"/>
              <w:rPr>
                <w:b/>
                <w:bCs/>
              </w:rPr>
            </w:pPr>
            <w:r w:rsidRPr="006B734C">
              <w:rPr>
                <w:b/>
                <w:bCs/>
              </w:rPr>
              <w:t>(1,086)</w:t>
            </w:r>
          </w:p>
        </w:tc>
        <w:tc>
          <w:tcPr>
            <w:tcW w:w="1040" w:type="dxa"/>
          </w:tcPr>
          <w:p w14:paraId="48965DD6" w14:textId="77777777" w:rsidR="00B02873" w:rsidRDefault="00B02873" w:rsidP="006B734C">
            <w:pPr>
              <w:pStyle w:val="TablebodyleftFinancialsTables"/>
              <w:jc w:val="right"/>
            </w:pPr>
            <w:r>
              <w:t>–</w:t>
            </w:r>
          </w:p>
        </w:tc>
        <w:tc>
          <w:tcPr>
            <w:tcW w:w="1039" w:type="dxa"/>
          </w:tcPr>
          <w:p w14:paraId="4B9AB721" w14:textId="77777777" w:rsidR="00B02873" w:rsidRPr="006B734C" w:rsidRDefault="00B02873" w:rsidP="006B734C">
            <w:pPr>
              <w:pStyle w:val="TablebodyleftFinancialsTables"/>
              <w:jc w:val="right"/>
              <w:rPr>
                <w:b/>
                <w:bCs/>
              </w:rPr>
            </w:pPr>
            <w:r w:rsidRPr="006B734C">
              <w:rPr>
                <w:b/>
                <w:bCs/>
              </w:rPr>
              <w:t>(77,671)</w:t>
            </w:r>
          </w:p>
        </w:tc>
        <w:tc>
          <w:tcPr>
            <w:tcW w:w="1040" w:type="dxa"/>
          </w:tcPr>
          <w:p w14:paraId="09704568" w14:textId="77777777" w:rsidR="00B02873" w:rsidRDefault="00B02873" w:rsidP="006B734C">
            <w:pPr>
              <w:pStyle w:val="TablebodyleftFinancialsTables"/>
              <w:jc w:val="right"/>
            </w:pPr>
            <w:r>
              <w:t>(938)</w:t>
            </w:r>
          </w:p>
        </w:tc>
      </w:tr>
      <w:tr w:rsidR="00B02873" w:rsidRPr="00B02873" w14:paraId="7130E010" w14:textId="77777777" w:rsidTr="006B734C">
        <w:tc>
          <w:tcPr>
            <w:tcW w:w="3397" w:type="dxa"/>
          </w:tcPr>
          <w:p w14:paraId="7038D167" w14:textId="77777777" w:rsidR="00B02873" w:rsidRPr="006B734C" w:rsidRDefault="00B02873" w:rsidP="006B734C">
            <w:pPr>
              <w:pStyle w:val="TablebodyleftFinancialsTables"/>
              <w:rPr>
                <w:b/>
                <w:bCs/>
              </w:rPr>
            </w:pPr>
            <w:r w:rsidRPr="006B734C">
              <w:rPr>
                <w:b/>
                <w:bCs/>
              </w:rPr>
              <w:t>Closing balance</w:t>
            </w:r>
          </w:p>
        </w:tc>
        <w:tc>
          <w:tcPr>
            <w:tcW w:w="1039" w:type="dxa"/>
          </w:tcPr>
          <w:p w14:paraId="4EC649E3" w14:textId="77777777" w:rsidR="00B02873" w:rsidRPr="006B734C" w:rsidRDefault="00B02873" w:rsidP="006B734C">
            <w:pPr>
              <w:pStyle w:val="TablebodyleftFinancialsTables"/>
              <w:jc w:val="right"/>
              <w:rPr>
                <w:b/>
                <w:bCs/>
              </w:rPr>
            </w:pPr>
            <w:r w:rsidRPr="006B734C">
              <w:rPr>
                <w:b/>
                <w:bCs/>
              </w:rPr>
              <w:t>429,933</w:t>
            </w:r>
          </w:p>
        </w:tc>
        <w:tc>
          <w:tcPr>
            <w:tcW w:w="1040" w:type="dxa"/>
          </w:tcPr>
          <w:p w14:paraId="280D71D7" w14:textId="77777777" w:rsidR="00B02873" w:rsidRDefault="00B02873" w:rsidP="006B734C">
            <w:pPr>
              <w:pStyle w:val="TablebodyleftFinancialsTables"/>
              <w:jc w:val="right"/>
            </w:pPr>
            <w:r>
              <w:t>80,669</w:t>
            </w:r>
          </w:p>
        </w:tc>
        <w:tc>
          <w:tcPr>
            <w:tcW w:w="1039" w:type="dxa"/>
          </w:tcPr>
          <w:p w14:paraId="26D51FEC" w14:textId="77777777" w:rsidR="00B02873" w:rsidRPr="006B734C" w:rsidRDefault="00B02873" w:rsidP="006B734C">
            <w:pPr>
              <w:pStyle w:val="TablebodyleftFinancialsTables"/>
              <w:jc w:val="right"/>
              <w:rPr>
                <w:b/>
                <w:bCs/>
              </w:rPr>
            </w:pPr>
            <w:r w:rsidRPr="006B734C">
              <w:rPr>
                <w:b/>
                <w:bCs/>
              </w:rPr>
              <w:t>–</w:t>
            </w:r>
          </w:p>
        </w:tc>
        <w:tc>
          <w:tcPr>
            <w:tcW w:w="1040" w:type="dxa"/>
          </w:tcPr>
          <w:p w14:paraId="593659E7" w14:textId="77777777" w:rsidR="00B02873" w:rsidRDefault="00B02873" w:rsidP="006B734C">
            <w:pPr>
              <w:pStyle w:val="TablebodyleftFinancialsTables"/>
              <w:jc w:val="right"/>
            </w:pPr>
            <w:r>
              <w:t>(1,931)</w:t>
            </w:r>
          </w:p>
        </w:tc>
        <w:tc>
          <w:tcPr>
            <w:tcW w:w="1039" w:type="dxa"/>
          </w:tcPr>
          <w:p w14:paraId="1523E377" w14:textId="77777777" w:rsidR="00B02873" w:rsidRPr="006B734C" w:rsidRDefault="00B02873" w:rsidP="006B734C">
            <w:pPr>
              <w:pStyle w:val="TablebodyleftFinancialsTables"/>
              <w:jc w:val="right"/>
              <w:rPr>
                <w:b/>
                <w:bCs/>
              </w:rPr>
            </w:pPr>
            <w:r w:rsidRPr="006B734C">
              <w:rPr>
                <w:b/>
                <w:bCs/>
              </w:rPr>
              <w:t>429,933</w:t>
            </w:r>
          </w:p>
        </w:tc>
        <w:tc>
          <w:tcPr>
            <w:tcW w:w="1040" w:type="dxa"/>
          </w:tcPr>
          <w:p w14:paraId="1CD9F8F7" w14:textId="77777777" w:rsidR="00B02873" w:rsidRDefault="00B02873" w:rsidP="006B734C">
            <w:pPr>
              <w:pStyle w:val="TablebodyleftFinancialsTables"/>
              <w:jc w:val="right"/>
            </w:pPr>
            <w:r>
              <w:t>78,738</w:t>
            </w:r>
          </w:p>
        </w:tc>
      </w:tr>
    </w:tbl>
    <w:p w14:paraId="7B10B8D3" w14:textId="77777777" w:rsidR="00B02873" w:rsidRDefault="00B02873" w:rsidP="00FE198A"/>
    <w:p w14:paraId="4B8F6FF6" w14:textId="77777777" w:rsidR="00B02873" w:rsidRDefault="00B02873" w:rsidP="006B734C">
      <w:pPr>
        <w:pStyle w:val="TabletitleTables"/>
      </w:pPr>
      <w:r>
        <w:lastRenderedPageBreak/>
        <w:t>Description of Level 3 valuation techniques used and key inputs to valuation – 2022</w:t>
      </w:r>
    </w:p>
    <w:tbl>
      <w:tblPr>
        <w:tblStyle w:val="TableGrid"/>
        <w:tblW w:w="9820" w:type="dxa"/>
        <w:tblLayout w:type="fixed"/>
        <w:tblLook w:val="0020" w:firstRow="1" w:lastRow="0" w:firstColumn="0" w:lastColumn="0" w:noHBand="0" w:noVBand="0"/>
      </w:tblPr>
      <w:tblGrid>
        <w:gridCol w:w="1271"/>
        <w:gridCol w:w="1145"/>
        <w:gridCol w:w="2721"/>
        <w:gridCol w:w="1237"/>
        <w:gridCol w:w="1519"/>
        <w:gridCol w:w="964"/>
        <w:gridCol w:w="963"/>
      </w:tblGrid>
      <w:tr w:rsidR="00B02873" w:rsidRPr="006B734C" w14:paraId="7D17DF9C" w14:textId="77777777" w:rsidTr="006B734C">
        <w:trPr>
          <w:cnfStyle w:val="100000000000" w:firstRow="1" w:lastRow="0" w:firstColumn="0" w:lastColumn="0" w:oddVBand="0" w:evenVBand="0" w:oddHBand="0" w:evenHBand="0" w:firstRowFirstColumn="0" w:firstRowLastColumn="0" w:lastRowFirstColumn="0" w:lastRowLastColumn="0"/>
        </w:trPr>
        <w:tc>
          <w:tcPr>
            <w:tcW w:w="1271" w:type="dxa"/>
          </w:tcPr>
          <w:p w14:paraId="67525FC0" w14:textId="77777777" w:rsidR="00B02873" w:rsidRPr="006B734C" w:rsidRDefault="00B02873" w:rsidP="006B734C">
            <w:pPr>
              <w:pStyle w:val="TableheadingleftFinancialsTables"/>
              <w:rPr>
                <w:sz w:val="18"/>
                <w:szCs w:val="14"/>
              </w:rPr>
            </w:pPr>
          </w:p>
        </w:tc>
        <w:tc>
          <w:tcPr>
            <w:tcW w:w="1145" w:type="dxa"/>
          </w:tcPr>
          <w:p w14:paraId="5E303D1D" w14:textId="77777777" w:rsidR="00B02873" w:rsidRPr="006B734C" w:rsidRDefault="00B02873" w:rsidP="006B734C">
            <w:pPr>
              <w:pStyle w:val="TableheadingleftFinancialsTables"/>
              <w:rPr>
                <w:sz w:val="18"/>
                <w:szCs w:val="14"/>
              </w:rPr>
            </w:pPr>
            <w:r w:rsidRPr="006B734C">
              <w:rPr>
                <w:sz w:val="18"/>
                <w:szCs w:val="14"/>
              </w:rPr>
              <w:t>Valuation technique</w:t>
            </w:r>
            <w:r w:rsidRPr="006B734C">
              <w:rPr>
                <w:sz w:val="18"/>
                <w:szCs w:val="14"/>
                <w:vertAlign w:val="superscript"/>
              </w:rPr>
              <w:t>(i)</w:t>
            </w:r>
          </w:p>
        </w:tc>
        <w:tc>
          <w:tcPr>
            <w:tcW w:w="2721" w:type="dxa"/>
          </w:tcPr>
          <w:p w14:paraId="7BA55EBE" w14:textId="77777777" w:rsidR="00B02873" w:rsidRPr="006B734C" w:rsidRDefault="00B02873" w:rsidP="006B734C">
            <w:pPr>
              <w:pStyle w:val="TableheadingleftFinancialsTables"/>
              <w:rPr>
                <w:sz w:val="18"/>
                <w:szCs w:val="14"/>
              </w:rPr>
            </w:pPr>
            <w:r w:rsidRPr="006B734C">
              <w:rPr>
                <w:sz w:val="18"/>
                <w:szCs w:val="14"/>
              </w:rPr>
              <w:t>Significant unobservable inputs</w:t>
            </w:r>
            <w:r w:rsidRPr="006B734C">
              <w:rPr>
                <w:sz w:val="18"/>
                <w:szCs w:val="14"/>
                <w:vertAlign w:val="superscript"/>
              </w:rPr>
              <w:t>(i)</w:t>
            </w:r>
          </w:p>
        </w:tc>
        <w:tc>
          <w:tcPr>
            <w:tcW w:w="1237" w:type="dxa"/>
          </w:tcPr>
          <w:p w14:paraId="12309DBB" w14:textId="55777371" w:rsidR="00B02873" w:rsidRPr="006B734C" w:rsidRDefault="00B02873" w:rsidP="006B734C">
            <w:pPr>
              <w:pStyle w:val="TableheadingleftFinancialsTables"/>
              <w:jc w:val="center"/>
              <w:rPr>
                <w:sz w:val="18"/>
                <w:szCs w:val="14"/>
              </w:rPr>
            </w:pPr>
            <w:r w:rsidRPr="006B734C">
              <w:rPr>
                <w:spacing w:val="-4"/>
                <w:sz w:val="18"/>
                <w:szCs w:val="14"/>
              </w:rPr>
              <w:t>Sensitivity</w:t>
            </w:r>
            <w:r w:rsidRPr="006B734C">
              <w:rPr>
                <w:spacing w:val="-4"/>
                <w:sz w:val="18"/>
                <w:szCs w:val="14"/>
                <w:vertAlign w:val="superscript"/>
              </w:rPr>
              <w:t>(i)</w:t>
            </w:r>
          </w:p>
        </w:tc>
        <w:tc>
          <w:tcPr>
            <w:tcW w:w="1519" w:type="dxa"/>
          </w:tcPr>
          <w:p w14:paraId="6E1FC867" w14:textId="77777777" w:rsidR="00B02873" w:rsidRPr="006B734C" w:rsidRDefault="00B02873" w:rsidP="006B734C">
            <w:pPr>
              <w:pStyle w:val="TableheadingleftFinancialsTables"/>
              <w:jc w:val="center"/>
              <w:rPr>
                <w:sz w:val="18"/>
                <w:szCs w:val="14"/>
              </w:rPr>
            </w:pPr>
            <w:r w:rsidRPr="006B734C">
              <w:rPr>
                <w:sz w:val="18"/>
                <w:szCs w:val="14"/>
              </w:rPr>
              <w:t>Range</w:t>
            </w:r>
          </w:p>
        </w:tc>
        <w:tc>
          <w:tcPr>
            <w:tcW w:w="964" w:type="dxa"/>
          </w:tcPr>
          <w:p w14:paraId="5457FD78" w14:textId="77777777" w:rsidR="00B02873" w:rsidRPr="006B734C" w:rsidRDefault="00B02873" w:rsidP="006B734C">
            <w:pPr>
              <w:pStyle w:val="TableheadingleftFinancialsTables"/>
              <w:jc w:val="right"/>
              <w:rPr>
                <w:sz w:val="18"/>
                <w:szCs w:val="14"/>
              </w:rPr>
            </w:pPr>
            <w:r w:rsidRPr="006B734C">
              <w:rPr>
                <w:spacing w:val="-8"/>
                <w:sz w:val="18"/>
                <w:szCs w:val="14"/>
              </w:rPr>
              <w:t>Increase</w:t>
            </w:r>
            <w:r w:rsidRPr="006B734C">
              <w:rPr>
                <w:spacing w:val="-8"/>
                <w:sz w:val="18"/>
                <w:szCs w:val="14"/>
              </w:rPr>
              <w:br/>
              <w:t>$’000</w:t>
            </w:r>
          </w:p>
        </w:tc>
        <w:tc>
          <w:tcPr>
            <w:tcW w:w="963" w:type="dxa"/>
          </w:tcPr>
          <w:p w14:paraId="4EA3CDB8" w14:textId="77777777" w:rsidR="00B02873" w:rsidRPr="006B734C" w:rsidRDefault="00B02873" w:rsidP="006B734C">
            <w:pPr>
              <w:pStyle w:val="TableheadingleftFinancialsTables"/>
              <w:jc w:val="right"/>
              <w:rPr>
                <w:sz w:val="18"/>
                <w:szCs w:val="14"/>
              </w:rPr>
            </w:pPr>
            <w:r w:rsidRPr="006B734C">
              <w:rPr>
                <w:spacing w:val="-8"/>
                <w:sz w:val="18"/>
                <w:szCs w:val="14"/>
              </w:rPr>
              <w:t>Decrease</w:t>
            </w:r>
            <w:r w:rsidRPr="006B734C">
              <w:rPr>
                <w:sz w:val="18"/>
                <w:szCs w:val="14"/>
              </w:rPr>
              <w:br/>
              <w:t>$’000</w:t>
            </w:r>
          </w:p>
        </w:tc>
      </w:tr>
      <w:tr w:rsidR="00B02873" w:rsidRPr="006B734C" w14:paraId="17B13A38" w14:textId="77777777" w:rsidTr="006B734C">
        <w:tc>
          <w:tcPr>
            <w:tcW w:w="1271" w:type="dxa"/>
          </w:tcPr>
          <w:p w14:paraId="17EA66B9" w14:textId="77777777" w:rsidR="00B02873" w:rsidRPr="006B734C" w:rsidRDefault="00B02873" w:rsidP="006B734C">
            <w:pPr>
              <w:pStyle w:val="TablebodyleftFinancialsTables"/>
              <w:rPr>
                <w:sz w:val="18"/>
                <w:szCs w:val="14"/>
              </w:rPr>
            </w:pPr>
            <w:r w:rsidRPr="006B734C">
              <w:rPr>
                <w:sz w:val="18"/>
                <w:szCs w:val="14"/>
              </w:rPr>
              <w:t xml:space="preserve">Financial derivative instruments </w:t>
            </w:r>
          </w:p>
        </w:tc>
        <w:tc>
          <w:tcPr>
            <w:tcW w:w="1145" w:type="dxa"/>
          </w:tcPr>
          <w:p w14:paraId="16739536" w14:textId="77777777" w:rsidR="00B02873" w:rsidRPr="006B734C" w:rsidRDefault="00B02873" w:rsidP="006B734C">
            <w:pPr>
              <w:pStyle w:val="TablebodyleftFinancialsTables"/>
              <w:rPr>
                <w:sz w:val="18"/>
                <w:szCs w:val="14"/>
              </w:rPr>
            </w:pPr>
            <w:r w:rsidRPr="006B734C">
              <w:rPr>
                <w:sz w:val="18"/>
                <w:szCs w:val="14"/>
              </w:rPr>
              <w:t>Discounted cash flow method</w:t>
            </w:r>
          </w:p>
        </w:tc>
        <w:tc>
          <w:tcPr>
            <w:tcW w:w="2721" w:type="dxa"/>
          </w:tcPr>
          <w:p w14:paraId="6B2FEF76" w14:textId="77777777" w:rsidR="00B02873" w:rsidRPr="006B734C" w:rsidRDefault="00B02873" w:rsidP="006B734C">
            <w:pPr>
              <w:pStyle w:val="TablebodyleftFinancialsTables"/>
              <w:rPr>
                <w:sz w:val="18"/>
                <w:szCs w:val="14"/>
              </w:rPr>
            </w:pPr>
            <w:r w:rsidRPr="006B734C">
              <w:rPr>
                <w:sz w:val="18"/>
                <w:szCs w:val="14"/>
              </w:rPr>
              <w:t>Wholesale electricity price forecasts</w:t>
            </w:r>
          </w:p>
        </w:tc>
        <w:tc>
          <w:tcPr>
            <w:tcW w:w="1237" w:type="dxa"/>
          </w:tcPr>
          <w:p w14:paraId="29028093" w14:textId="77777777" w:rsidR="00B02873" w:rsidRPr="006B734C" w:rsidRDefault="00B02873" w:rsidP="006B734C">
            <w:pPr>
              <w:pStyle w:val="TablebodyleftFinancialsTables"/>
              <w:jc w:val="center"/>
              <w:rPr>
                <w:sz w:val="18"/>
                <w:szCs w:val="14"/>
              </w:rPr>
            </w:pPr>
            <w:r w:rsidRPr="006B734C">
              <w:rPr>
                <w:sz w:val="18"/>
                <w:szCs w:val="14"/>
              </w:rPr>
              <w:t>10%</w:t>
            </w:r>
          </w:p>
        </w:tc>
        <w:tc>
          <w:tcPr>
            <w:tcW w:w="1519" w:type="dxa"/>
          </w:tcPr>
          <w:p w14:paraId="600B40DF" w14:textId="64C90D35" w:rsidR="00B02873" w:rsidRPr="006B734C" w:rsidRDefault="00B02873" w:rsidP="006B734C">
            <w:pPr>
              <w:pStyle w:val="TablebodyleftFinancialsTables"/>
              <w:jc w:val="center"/>
              <w:rPr>
                <w:sz w:val="18"/>
                <w:szCs w:val="14"/>
              </w:rPr>
            </w:pPr>
            <w:r w:rsidRPr="006B734C">
              <w:rPr>
                <w:sz w:val="18"/>
                <w:szCs w:val="14"/>
              </w:rPr>
              <w:t>$19.72</w:t>
            </w:r>
            <w:r w:rsidR="000C45FC" w:rsidRPr="006B734C">
              <w:rPr>
                <w:sz w:val="18"/>
                <w:szCs w:val="14"/>
              </w:rPr>
              <w:t xml:space="preserve"> – </w:t>
            </w:r>
            <w:r w:rsidRPr="006B734C">
              <w:rPr>
                <w:sz w:val="18"/>
                <w:szCs w:val="14"/>
              </w:rPr>
              <w:t>$124.11</w:t>
            </w:r>
            <w:r w:rsidRPr="006B734C">
              <w:rPr>
                <w:sz w:val="18"/>
                <w:szCs w:val="14"/>
              </w:rPr>
              <w:br/>
              <w:t>/ MWh</w:t>
            </w:r>
          </w:p>
        </w:tc>
        <w:tc>
          <w:tcPr>
            <w:tcW w:w="964" w:type="dxa"/>
          </w:tcPr>
          <w:p w14:paraId="2AC49111" w14:textId="77777777" w:rsidR="00B02873" w:rsidRPr="006B734C" w:rsidRDefault="00B02873" w:rsidP="006B734C">
            <w:pPr>
              <w:pStyle w:val="TablebodyleftFinancialsTables"/>
              <w:jc w:val="right"/>
              <w:rPr>
                <w:b/>
                <w:bCs/>
                <w:sz w:val="18"/>
                <w:szCs w:val="14"/>
              </w:rPr>
            </w:pPr>
            <w:r w:rsidRPr="006B734C">
              <w:rPr>
                <w:b/>
                <w:bCs/>
                <w:sz w:val="18"/>
                <w:szCs w:val="14"/>
              </w:rPr>
              <w:t>131,239</w:t>
            </w:r>
          </w:p>
        </w:tc>
        <w:tc>
          <w:tcPr>
            <w:tcW w:w="963" w:type="dxa"/>
          </w:tcPr>
          <w:p w14:paraId="51FDFBC9" w14:textId="77777777" w:rsidR="00B02873" w:rsidRPr="006B734C" w:rsidRDefault="00B02873" w:rsidP="006B734C">
            <w:pPr>
              <w:pStyle w:val="TablebodyleftFinancialsTables"/>
              <w:jc w:val="right"/>
              <w:rPr>
                <w:b/>
                <w:bCs/>
                <w:sz w:val="18"/>
                <w:szCs w:val="14"/>
              </w:rPr>
            </w:pPr>
            <w:r w:rsidRPr="006B734C">
              <w:rPr>
                <w:b/>
                <w:bCs/>
                <w:sz w:val="18"/>
                <w:szCs w:val="14"/>
              </w:rPr>
              <w:t>(140,665)</w:t>
            </w:r>
          </w:p>
        </w:tc>
      </w:tr>
      <w:tr w:rsidR="00B02873" w:rsidRPr="006B734C" w14:paraId="1E7A6241" w14:textId="77777777" w:rsidTr="006B734C">
        <w:tc>
          <w:tcPr>
            <w:tcW w:w="1271" w:type="dxa"/>
          </w:tcPr>
          <w:p w14:paraId="051334EA" w14:textId="77777777" w:rsidR="00B02873" w:rsidRPr="006B734C" w:rsidRDefault="00B02873" w:rsidP="006B734C">
            <w:pPr>
              <w:pStyle w:val="TablebodyleftFinancialsTables"/>
              <w:rPr>
                <w:rFonts w:ascii="VIC Bold Italic" w:hAnsi="VIC Bold Italic" w:cs="Times New Roman"/>
                <w:sz w:val="18"/>
                <w:szCs w:val="14"/>
              </w:rPr>
            </w:pPr>
          </w:p>
        </w:tc>
        <w:tc>
          <w:tcPr>
            <w:tcW w:w="1145" w:type="dxa"/>
          </w:tcPr>
          <w:p w14:paraId="4CE19BD2" w14:textId="77777777" w:rsidR="00B02873" w:rsidRPr="006B734C" w:rsidRDefault="00B02873" w:rsidP="006B734C">
            <w:pPr>
              <w:pStyle w:val="TablebodyleftFinancialsTables"/>
              <w:rPr>
                <w:rFonts w:ascii="VIC Bold Italic" w:hAnsi="VIC Bold Italic" w:cs="Times New Roman"/>
                <w:sz w:val="18"/>
                <w:szCs w:val="14"/>
              </w:rPr>
            </w:pPr>
          </w:p>
        </w:tc>
        <w:tc>
          <w:tcPr>
            <w:tcW w:w="2721" w:type="dxa"/>
          </w:tcPr>
          <w:p w14:paraId="0623A494" w14:textId="77777777" w:rsidR="00B02873" w:rsidRPr="006B734C" w:rsidRDefault="00B02873" w:rsidP="006B734C">
            <w:pPr>
              <w:pStyle w:val="TablebodyleftFinancialsTables"/>
              <w:rPr>
                <w:sz w:val="18"/>
                <w:szCs w:val="14"/>
              </w:rPr>
            </w:pPr>
            <w:r w:rsidRPr="006B734C">
              <w:rPr>
                <w:sz w:val="18"/>
                <w:szCs w:val="14"/>
              </w:rPr>
              <w:t>LGC price forecasts</w:t>
            </w:r>
          </w:p>
        </w:tc>
        <w:tc>
          <w:tcPr>
            <w:tcW w:w="1237" w:type="dxa"/>
          </w:tcPr>
          <w:p w14:paraId="206D7AB7" w14:textId="77777777" w:rsidR="00B02873" w:rsidRPr="006B734C" w:rsidRDefault="00B02873" w:rsidP="006B734C">
            <w:pPr>
              <w:pStyle w:val="TablebodyleftFinancialsTables"/>
              <w:jc w:val="center"/>
              <w:rPr>
                <w:sz w:val="18"/>
                <w:szCs w:val="14"/>
              </w:rPr>
            </w:pPr>
            <w:r w:rsidRPr="006B734C">
              <w:rPr>
                <w:sz w:val="18"/>
                <w:szCs w:val="14"/>
              </w:rPr>
              <w:t>10%</w:t>
            </w:r>
          </w:p>
        </w:tc>
        <w:tc>
          <w:tcPr>
            <w:tcW w:w="1519" w:type="dxa"/>
          </w:tcPr>
          <w:p w14:paraId="230973C2" w14:textId="77777777" w:rsidR="00B02873" w:rsidRPr="006B734C" w:rsidRDefault="00B02873" w:rsidP="006B734C">
            <w:pPr>
              <w:pStyle w:val="TablebodyleftFinancialsTables"/>
              <w:jc w:val="center"/>
              <w:rPr>
                <w:sz w:val="18"/>
                <w:szCs w:val="14"/>
              </w:rPr>
            </w:pPr>
            <w:r w:rsidRPr="006B734C">
              <w:rPr>
                <w:sz w:val="18"/>
                <w:szCs w:val="14"/>
              </w:rPr>
              <w:t>$0 – $55.86</w:t>
            </w:r>
            <w:r w:rsidRPr="006B734C">
              <w:rPr>
                <w:sz w:val="18"/>
                <w:szCs w:val="14"/>
              </w:rPr>
              <w:br/>
              <w:t>/ MWh</w:t>
            </w:r>
          </w:p>
        </w:tc>
        <w:tc>
          <w:tcPr>
            <w:tcW w:w="964" w:type="dxa"/>
          </w:tcPr>
          <w:p w14:paraId="3CAA9293" w14:textId="77777777" w:rsidR="00B02873" w:rsidRPr="006B734C" w:rsidRDefault="00B02873" w:rsidP="006B734C">
            <w:pPr>
              <w:pStyle w:val="TablebodyleftFinancialsTables"/>
              <w:jc w:val="right"/>
              <w:rPr>
                <w:b/>
                <w:bCs/>
                <w:sz w:val="18"/>
                <w:szCs w:val="14"/>
              </w:rPr>
            </w:pPr>
            <w:r w:rsidRPr="006B734C">
              <w:rPr>
                <w:b/>
                <w:bCs/>
                <w:sz w:val="18"/>
                <w:szCs w:val="14"/>
              </w:rPr>
              <w:t>37,650</w:t>
            </w:r>
          </w:p>
        </w:tc>
        <w:tc>
          <w:tcPr>
            <w:tcW w:w="963" w:type="dxa"/>
          </w:tcPr>
          <w:p w14:paraId="76C5D49C" w14:textId="77777777" w:rsidR="00B02873" w:rsidRPr="006B734C" w:rsidRDefault="00B02873" w:rsidP="006B734C">
            <w:pPr>
              <w:pStyle w:val="TablebodyleftFinancialsTables"/>
              <w:jc w:val="right"/>
              <w:rPr>
                <w:b/>
                <w:bCs/>
                <w:sz w:val="18"/>
                <w:szCs w:val="14"/>
              </w:rPr>
            </w:pPr>
            <w:r w:rsidRPr="006B734C">
              <w:rPr>
                <w:b/>
                <w:bCs/>
                <w:sz w:val="18"/>
                <w:szCs w:val="14"/>
              </w:rPr>
              <w:t>(37,657)</w:t>
            </w:r>
          </w:p>
        </w:tc>
      </w:tr>
      <w:tr w:rsidR="00B02873" w:rsidRPr="006B734C" w14:paraId="3B4DD5E1" w14:textId="77777777" w:rsidTr="006B734C">
        <w:tc>
          <w:tcPr>
            <w:tcW w:w="1271" w:type="dxa"/>
          </w:tcPr>
          <w:p w14:paraId="58181B92" w14:textId="77777777" w:rsidR="00B02873" w:rsidRPr="006B734C" w:rsidRDefault="00B02873" w:rsidP="006B734C">
            <w:pPr>
              <w:pStyle w:val="TablebodyleftFinancialsTables"/>
              <w:rPr>
                <w:rFonts w:ascii="VIC Bold Italic" w:hAnsi="VIC Bold Italic" w:cs="Times New Roman"/>
                <w:sz w:val="18"/>
                <w:szCs w:val="14"/>
              </w:rPr>
            </w:pPr>
          </w:p>
        </w:tc>
        <w:tc>
          <w:tcPr>
            <w:tcW w:w="1145" w:type="dxa"/>
          </w:tcPr>
          <w:p w14:paraId="2FE6A694" w14:textId="77777777" w:rsidR="00B02873" w:rsidRPr="006B734C" w:rsidRDefault="00B02873" w:rsidP="006B734C">
            <w:pPr>
              <w:pStyle w:val="TablebodyleftFinancialsTables"/>
              <w:rPr>
                <w:rFonts w:ascii="VIC Bold Italic" w:hAnsi="VIC Bold Italic" w:cs="Times New Roman"/>
                <w:sz w:val="18"/>
                <w:szCs w:val="14"/>
              </w:rPr>
            </w:pPr>
          </w:p>
        </w:tc>
        <w:tc>
          <w:tcPr>
            <w:tcW w:w="2721" w:type="dxa"/>
          </w:tcPr>
          <w:p w14:paraId="3E913CE1" w14:textId="47745897" w:rsidR="00B02873" w:rsidRPr="006B734C" w:rsidRDefault="00B02873" w:rsidP="006B734C">
            <w:pPr>
              <w:pStyle w:val="TablebodyleftFinancialsTables"/>
              <w:rPr>
                <w:sz w:val="18"/>
                <w:szCs w:val="14"/>
              </w:rPr>
            </w:pPr>
            <w:r w:rsidRPr="006B734C">
              <w:rPr>
                <w:sz w:val="18"/>
                <w:szCs w:val="14"/>
              </w:rPr>
              <w:t>Discount rate</w:t>
            </w:r>
            <w:r w:rsidR="000C45FC" w:rsidRPr="006B734C">
              <w:rPr>
                <w:sz w:val="18"/>
                <w:szCs w:val="14"/>
              </w:rPr>
              <w:t xml:space="preserve"> – </w:t>
            </w:r>
            <w:r w:rsidRPr="006B734C">
              <w:rPr>
                <w:sz w:val="18"/>
                <w:szCs w:val="14"/>
              </w:rPr>
              <w:t>Risk free rates of zero coupon government bonds (2,3,5,10 years tenors)</w:t>
            </w:r>
          </w:p>
        </w:tc>
        <w:tc>
          <w:tcPr>
            <w:tcW w:w="1237" w:type="dxa"/>
          </w:tcPr>
          <w:p w14:paraId="64D957A8" w14:textId="77777777" w:rsidR="00B02873" w:rsidRPr="006B734C" w:rsidRDefault="00B02873" w:rsidP="006B734C">
            <w:pPr>
              <w:pStyle w:val="TablebodyleftFinancialsTables"/>
              <w:jc w:val="center"/>
              <w:rPr>
                <w:sz w:val="18"/>
                <w:szCs w:val="14"/>
              </w:rPr>
            </w:pPr>
            <w:r w:rsidRPr="006B734C">
              <w:rPr>
                <w:sz w:val="18"/>
                <w:szCs w:val="14"/>
              </w:rPr>
              <w:t>2%, -1%</w:t>
            </w:r>
          </w:p>
        </w:tc>
        <w:tc>
          <w:tcPr>
            <w:tcW w:w="1519" w:type="dxa"/>
          </w:tcPr>
          <w:p w14:paraId="0104B2A9" w14:textId="7900EFBC" w:rsidR="00B02873" w:rsidRPr="006B734C" w:rsidRDefault="00B02873" w:rsidP="006B734C">
            <w:pPr>
              <w:pStyle w:val="TablebodyleftFinancialsTables"/>
              <w:jc w:val="center"/>
              <w:rPr>
                <w:sz w:val="18"/>
                <w:szCs w:val="14"/>
              </w:rPr>
            </w:pPr>
            <w:r w:rsidRPr="006B734C">
              <w:rPr>
                <w:sz w:val="18"/>
                <w:szCs w:val="14"/>
              </w:rPr>
              <w:t>5.66%</w:t>
            </w:r>
            <w:r w:rsidR="000C45FC" w:rsidRPr="006B734C">
              <w:rPr>
                <w:sz w:val="18"/>
                <w:szCs w:val="14"/>
              </w:rPr>
              <w:t xml:space="preserve"> – </w:t>
            </w:r>
            <w:r w:rsidRPr="006B734C">
              <w:rPr>
                <w:sz w:val="18"/>
                <w:szCs w:val="14"/>
              </w:rPr>
              <w:t>1.73%</w:t>
            </w:r>
          </w:p>
        </w:tc>
        <w:tc>
          <w:tcPr>
            <w:tcW w:w="964" w:type="dxa"/>
          </w:tcPr>
          <w:p w14:paraId="2C469CB7" w14:textId="77777777" w:rsidR="00B02873" w:rsidRPr="006B734C" w:rsidRDefault="00B02873" w:rsidP="006B734C">
            <w:pPr>
              <w:pStyle w:val="TablebodyleftFinancialsTables"/>
              <w:jc w:val="right"/>
              <w:rPr>
                <w:b/>
                <w:bCs/>
                <w:sz w:val="18"/>
                <w:szCs w:val="14"/>
              </w:rPr>
            </w:pPr>
            <w:r w:rsidRPr="006B734C">
              <w:rPr>
                <w:b/>
                <w:bCs/>
                <w:sz w:val="18"/>
                <w:szCs w:val="14"/>
              </w:rPr>
              <w:t>(13,846)</w:t>
            </w:r>
          </w:p>
        </w:tc>
        <w:tc>
          <w:tcPr>
            <w:tcW w:w="963" w:type="dxa"/>
          </w:tcPr>
          <w:p w14:paraId="2BF6EF7A" w14:textId="77777777" w:rsidR="00B02873" w:rsidRPr="006B734C" w:rsidRDefault="00B02873" w:rsidP="006B734C">
            <w:pPr>
              <w:pStyle w:val="TablebodyleftFinancialsTables"/>
              <w:jc w:val="right"/>
              <w:rPr>
                <w:b/>
                <w:bCs/>
                <w:sz w:val="18"/>
                <w:szCs w:val="14"/>
              </w:rPr>
            </w:pPr>
            <w:r w:rsidRPr="006B734C">
              <w:rPr>
                <w:b/>
                <w:bCs/>
                <w:sz w:val="18"/>
                <w:szCs w:val="14"/>
              </w:rPr>
              <w:t>6,996</w:t>
            </w:r>
          </w:p>
        </w:tc>
      </w:tr>
      <w:tr w:rsidR="00B02873" w:rsidRPr="006B734C" w14:paraId="353726B2" w14:textId="77777777" w:rsidTr="006B734C">
        <w:tc>
          <w:tcPr>
            <w:tcW w:w="1271" w:type="dxa"/>
          </w:tcPr>
          <w:p w14:paraId="3412DD90" w14:textId="77777777" w:rsidR="00B02873" w:rsidRPr="006B734C" w:rsidRDefault="00B02873" w:rsidP="006B734C">
            <w:pPr>
              <w:pStyle w:val="TablebodyleftFinancialsTables"/>
              <w:rPr>
                <w:rFonts w:ascii="VIC Bold Italic" w:hAnsi="VIC Bold Italic" w:cs="Times New Roman"/>
                <w:sz w:val="18"/>
                <w:szCs w:val="14"/>
              </w:rPr>
            </w:pPr>
          </w:p>
        </w:tc>
        <w:tc>
          <w:tcPr>
            <w:tcW w:w="1145" w:type="dxa"/>
          </w:tcPr>
          <w:p w14:paraId="52CA9DC0" w14:textId="77777777" w:rsidR="00B02873" w:rsidRPr="006B734C" w:rsidRDefault="00B02873" w:rsidP="006B734C">
            <w:pPr>
              <w:pStyle w:val="TablebodyleftFinancialsTables"/>
              <w:rPr>
                <w:rFonts w:ascii="VIC Bold Italic" w:hAnsi="VIC Bold Italic" w:cs="Times New Roman"/>
                <w:sz w:val="18"/>
                <w:szCs w:val="14"/>
              </w:rPr>
            </w:pPr>
          </w:p>
        </w:tc>
        <w:tc>
          <w:tcPr>
            <w:tcW w:w="2721" w:type="dxa"/>
          </w:tcPr>
          <w:p w14:paraId="4212B0AE" w14:textId="77777777" w:rsidR="00B02873" w:rsidRPr="006B734C" w:rsidRDefault="00B02873" w:rsidP="006B734C">
            <w:pPr>
              <w:pStyle w:val="TablebodyleftFinancialsTables"/>
              <w:rPr>
                <w:sz w:val="18"/>
                <w:szCs w:val="14"/>
              </w:rPr>
            </w:pPr>
            <w:r w:rsidRPr="006B734C">
              <w:rPr>
                <w:sz w:val="18"/>
                <w:szCs w:val="14"/>
              </w:rPr>
              <w:t>Credit value adjustment – Australian Corporate Bond Spreads and Yields FNFSBBB10M</w:t>
            </w:r>
          </w:p>
        </w:tc>
        <w:tc>
          <w:tcPr>
            <w:tcW w:w="1237" w:type="dxa"/>
          </w:tcPr>
          <w:p w14:paraId="6210EC8F" w14:textId="77777777" w:rsidR="00B02873" w:rsidRPr="006B734C" w:rsidRDefault="00B02873" w:rsidP="006B734C">
            <w:pPr>
              <w:pStyle w:val="TablebodyleftFinancialsTables"/>
              <w:jc w:val="center"/>
              <w:rPr>
                <w:sz w:val="18"/>
                <w:szCs w:val="14"/>
              </w:rPr>
            </w:pPr>
            <w:r w:rsidRPr="006B734C">
              <w:rPr>
                <w:sz w:val="18"/>
                <w:szCs w:val="14"/>
              </w:rPr>
              <w:t>2%, -1%</w:t>
            </w:r>
          </w:p>
        </w:tc>
        <w:tc>
          <w:tcPr>
            <w:tcW w:w="1519" w:type="dxa"/>
          </w:tcPr>
          <w:p w14:paraId="3E5012A0" w14:textId="17B7AFAA" w:rsidR="00B02873" w:rsidRPr="006B734C" w:rsidRDefault="00B02873" w:rsidP="006B734C">
            <w:pPr>
              <w:pStyle w:val="TablebodyleftFinancialsTables"/>
              <w:jc w:val="center"/>
              <w:rPr>
                <w:sz w:val="18"/>
                <w:szCs w:val="14"/>
              </w:rPr>
            </w:pPr>
            <w:r w:rsidRPr="006B734C">
              <w:rPr>
                <w:sz w:val="18"/>
                <w:szCs w:val="14"/>
              </w:rPr>
              <w:t>4.74%</w:t>
            </w:r>
            <w:r w:rsidR="000C45FC" w:rsidRPr="006B734C">
              <w:rPr>
                <w:sz w:val="18"/>
                <w:szCs w:val="14"/>
              </w:rPr>
              <w:t xml:space="preserve"> – </w:t>
            </w:r>
            <w:r w:rsidRPr="006B734C">
              <w:rPr>
                <w:sz w:val="18"/>
                <w:szCs w:val="14"/>
              </w:rPr>
              <w:t>1.74%</w:t>
            </w:r>
          </w:p>
        </w:tc>
        <w:tc>
          <w:tcPr>
            <w:tcW w:w="964" w:type="dxa"/>
          </w:tcPr>
          <w:p w14:paraId="20E75473" w14:textId="77777777" w:rsidR="00B02873" w:rsidRPr="006B734C" w:rsidRDefault="00B02873" w:rsidP="006B734C">
            <w:pPr>
              <w:pStyle w:val="TablebodyleftFinancialsTables"/>
              <w:jc w:val="right"/>
              <w:rPr>
                <w:b/>
                <w:bCs/>
                <w:sz w:val="18"/>
                <w:szCs w:val="14"/>
              </w:rPr>
            </w:pPr>
            <w:r w:rsidRPr="006B734C">
              <w:rPr>
                <w:b/>
                <w:bCs/>
                <w:sz w:val="18"/>
                <w:szCs w:val="14"/>
              </w:rPr>
              <w:t>(13,672)</w:t>
            </w:r>
          </w:p>
        </w:tc>
        <w:tc>
          <w:tcPr>
            <w:tcW w:w="963" w:type="dxa"/>
          </w:tcPr>
          <w:p w14:paraId="659F8ED3" w14:textId="77777777" w:rsidR="00B02873" w:rsidRPr="006B734C" w:rsidRDefault="00B02873" w:rsidP="006B734C">
            <w:pPr>
              <w:pStyle w:val="TablebodyleftFinancialsTables"/>
              <w:jc w:val="right"/>
              <w:rPr>
                <w:b/>
                <w:bCs/>
                <w:sz w:val="18"/>
                <w:szCs w:val="14"/>
              </w:rPr>
            </w:pPr>
            <w:r w:rsidRPr="006B734C">
              <w:rPr>
                <w:b/>
                <w:bCs/>
                <w:sz w:val="18"/>
                <w:szCs w:val="14"/>
              </w:rPr>
              <w:t>6,906</w:t>
            </w:r>
          </w:p>
        </w:tc>
      </w:tr>
    </w:tbl>
    <w:p w14:paraId="1FD43FAD" w14:textId="77777777" w:rsidR="00B02873" w:rsidRDefault="00B02873" w:rsidP="00FE198A"/>
    <w:p w14:paraId="2C9B8E7D" w14:textId="77777777" w:rsidR="00B02873" w:rsidRDefault="00B02873" w:rsidP="006B734C">
      <w:pPr>
        <w:pStyle w:val="TabletitleTables"/>
      </w:pPr>
      <w:r>
        <w:t>Description of Level 3 valuation techniques used and key inputs to valuation – 2021</w:t>
      </w:r>
    </w:p>
    <w:tbl>
      <w:tblPr>
        <w:tblStyle w:val="TableGrid"/>
        <w:tblW w:w="9860" w:type="dxa"/>
        <w:tblLayout w:type="fixed"/>
        <w:tblLook w:val="0020" w:firstRow="1" w:lastRow="0" w:firstColumn="0" w:lastColumn="0" w:noHBand="0" w:noVBand="0"/>
      </w:tblPr>
      <w:tblGrid>
        <w:gridCol w:w="1271"/>
        <w:gridCol w:w="1145"/>
        <w:gridCol w:w="2721"/>
        <w:gridCol w:w="1180"/>
        <w:gridCol w:w="1616"/>
        <w:gridCol w:w="964"/>
        <w:gridCol w:w="963"/>
      </w:tblGrid>
      <w:tr w:rsidR="00B02873" w:rsidRPr="00CC0C1B" w14:paraId="1C33FADF" w14:textId="77777777" w:rsidTr="00CC0C1B">
        <w:trPr>
          <w:cnfStyle w:val="100000000000" w:firstRow="1" w:lastRow="0" w:firstColumn="0" w:lastColumn="0" w:oddVBand="0" w:evenVBand="0" w:oddHBand="0" w:evenHBand="0" w:firstRowFirstColumn="0" w:firstRowLastColumn="0" w:lastRowFirstColumn="0" w:lastRowLastColumn="0"/>
          <w:trHeight w:val="60"/>
        </w:trPr>
        <w:tc>
          <w:tcPr>
            <w:tcW w:w="1271" w:type="dxa"/>
          </w:tcPr>
          <w:p w14:paraId="66B6258D" w14:textId="77777777" w:rsidR="00B02873" w:rsidRPr="00CC0C1B" w:rsidRDefault="00B02873" w:rsidP="0012225B">
            <w:pPr>
              <w:pStyle w:val="TableheadingleftFinancialsTables"/>
              <w:rPr>
                <w:sz w:val="18"/>
                <w:szCs w:val="14"/>
              </w:rPr>
            </w:pPr>
          </w:p>
        </w:tc>
        <w:tc>
          <w:tcPr>
            <w:tcW w:w="1145" w:type="dxa"/>
          </w:tcPr>
          <w:p w14:paraId="74CB91BF" w14:textId="77777777" w:rsidR="00B02873" w:rsidRPr="00CC0C1B" w:rsidRDefault="00B02873" w:rsidP="0012225B">
            <w:pPr>
              <w:pStyle w:val="TableheadingleftFinancialsTables"/>
              <w:rPr>
                <w:sz w:val="18"/>
                <w:szCs w:val="14"/>
              </w:rPr>
            </w:pPr>
            <w:r w:rsidRPr="00CC0C1B">
              <w:rPr>
                <w:sz w:val="18"/>
                <w:szCs w:val="14"/>
              </w:rPr>
              <w:t>Valuation technique</w:t>
            </w:r>
          </w:p>
        </w:tc>
        <w:tc>
          <w:tcPr>
            <w:tcW w:w="2721" w:type="dxa"/>
          </w:tcPr>
          <w:p w14:paraId="40A3526F" w14:textId="77777777" w:rsidR="00B02873" w:rsidRPr="00CC0C1B" w:rsidRDefault="00B02873" w:rsidP="0012225B">
            <w:pPr>
              <w:pStyle w:val="TableheadingleftFinancialsTables"/>
              <w:rPr>
                <w:sz w:val="18"/>
                <w:szCs w:val="14"/>
              </w:rPr>
            </w:pPr>
            <w:r w:rsidRPr="00CC0C1B">
              <w:rPr>
                <w:sz w:val="18"/>
                <w:szCs w:val="14"/>
              </w:rPr>
              <w:t>Significant unobservable inputs</w:t>
            </w:r>
            <w:r w:rsidRPr="00CC0C1B">
              <w:rPr>
                <w:sz w:val="18"/>
                <w:szCs w:val="14"/>
                <w:vertAlign w:val="superscript"/>
              </w:rPr>
              <w:t>(i)</w:t>
            </w:r>
          </w:p>
        </w:tc>
        <w:tc>
          <w:tcPr>
            <w:tcW w:w="1180" w:type="dxa"/>
          </w:tcPr>
          <w:p w14:paraId="549E4484" w14:textId="77777777" w:rsidR="00B02873" w:rsidRPr="00CC0C1B" w:rsidRDefault="00B02873" w:rsidP="00CC0C1B">
            <w:pPr>
              <w:pStyle w:val="TableheadingleftFinancialsTables"/>
              <w:jc w:val="center"/>
              <w:rPr>
                <w:sz w:val="18"/>
                <w:szCs w:val="14"/>
              </w:rPr>
            </w:pPr>
            <w:r w:rsidRPr="00CC0C1B">
              <w:rPr>
                <w:spacing w:val="-4"/>
                <w:sz w:val="18"/>
                <w:szCs w:val="14"/>
              </w:rPr>
              <w:t>Sensitivity</w:t>
            </w:r>
            <w:r w:rsidRPr="00CC0C1B">
              <w:rPr>
                <w:spacing w:val="-4"/>
                <w:sz w:val="18"/>
                <w:szCs w:val="14"/>
                <w:vertAlign w:val="superscript"/>
              </w:rPr>
              <w:t xml:space="preserve"> (i)</w:t>
            </w:r>
          </w:p>
        </w:tc>
        <w:tc>
          <w:tcPr>
            <w:tcW w:w="1616" w:type="dxa"/>
          </w:tcPr>
          <w:p w14:paraId="56B74DC6" w14:textId="77777777" w:rsidR="00B02873" w:rsidRPr="00CC0C1B" w:rsidRDefault="00B02873" w:rsidP="00CC0C1B">
            <w:pPr>
              <w:pStyle w:val="TableheadingleftFinancialsTables"/>
              <w:jc w:val="center"/>
              <w:rPr>
                <w:sz w:val="18"/>
                <w:szCs w:val="14"/>
              </w:rPr>
            </w:pPr>
            <w:r w:rsidRPr="00CC0C1B">
              <w:rPr>
                <w:sz w:val="18"/>
                <w:szCs w:val="14"/>
              </w:rPr>
              <w:t>Range</w:t>
            </w:r>
          </w:p>
        </w:tc>
        <w:tc>
          <w:tcPr>
            <w:tcW w:w="964" w:type="dxa"/>
          </w:tcPr>
          <w:p w14:paraId="512F8C41" w14:textId="77777777" w:rsidR="00B02873" w:rsidRPr="00CC0C1B" w:rsidRDefault="00B02873" w:rsidP="00CC0C1B">
            <w:pPr>
              <w:pStyle w:val="TableheadingleftFinancialsTables"/>
              <w:jc w:val="right"/>
              <w:rPr>
                <w:sz w:val="18"/>
                <w:szCs w:val="14"/>
              </w:rPr>
            </w:pPr>
            <w:r w:rsidRPr="00CC0C1B">
              <w:rPr>
                <w:spacing w:val="-8"/>
                <w:sz w:val="18"/>
                <w:szCs w:val="14"/>
              </w:rPr>
              <w:t>Increase</w:t>
            </w:r>
            <w:r w:rsidRPr="00CC0C1B">
              <w:rPr>
                <w:spacing w:val="-8"/>
                <w:sz w:val="18"/>
                <w:szCs w:val="14"/>
              </w:rPr>
              <w:br/>
              <w:t>$’000</w:t>
            </w:r>
          </w:p>
        </w:tc>
        <w:tc>
          <w:tcPr>
            <w:tcW w:w="963" w:type="dxa"/>
          </w:tcPr>
          <w:p w14:paraId="282485F6" w14:textId="77777777" w:rsidR="00B02873" w:rsidRPr="00CC0C1B" w:rsidRDefault="00B02873" w:rsidP="00CC0C1B">
            <w:pPr>
              <w:pStyle w:val="TableheadingleftFinancialsTables"/>
              <w:jc w:val="right"/>
              <w:rPr>
                <w:sz w:val="18"/>
                <w:szCs w:val="14"/>
              </w:rPr>
            </w:pPr>
            <w:r w:rsidRPr="00CC0C1B">
              <w:rPr>
                <w:spacing w:val="-8"/>
                <w:sz w:val="18"/>
                <w:szCs w:val="14"/>
              </w:rPr>
              <w:t>Decrease</w:t>
            </w:r>
            <w:r w:rsidRPr="00CC0C1B">
              <w:rPr>
                <w:sz w:val="18"/>
                <w:szCs w:val="14"/>
              </w:rPr>
              <w:br/>
              <w:t>$’000</w:t>
            </w:r>
          </w:p>
        </w:tc>
      </w:tr>
      <w:tr w:rsidR="00B02873" w:rsidRPr="00CC0C1B" w14:paraId="69D22DF1" w14:textId="77777777" w:rsidTr="00CC0C1B">
        <w:trPr>
          <w:trHeight w:val="60"/>
        </w:trPr>
        <w:tc>
          <w:tcPr>
            <w:tcW w:w="1271" w:type="dxa"/>
          </w:tcPr>
          <w:p w14:paraId="112C01F3" w14:textId="77777777" w:rsidR="00B02873" w:rsidRPr="00CC0C1B" w:rsidRDefault="00B02873" w:rsidP="00CC0C1B">
            <w:pPr>
              <w:pStyle w:val="TablebodyleftFinancialsTables"/>
              <w:rPr>
                <w:sz w:val="18"/>
                <w:szCs w:val="14"/>
              </w:rPr>
            </w:pPr>
            <w:r w:rsidRPr="00CC0C1B">
              <w:rPr>
                <w:sz w:val="18"/>
                <w:szCs w:val="14"/>
              </w:rPr>
              <w:t xml:space="preserve">Financial derivative instruments </w:t>
            </w:r>
          </w:p>
        </w:tc>
        <w:tc>
          <w:tcPr>
            <w:tcW w:w="1145" w:type="dxa"/>
          </w:tcPr>
          <w:p w14:paraId="60537EF3" w14:textId="77777777" w:rsidR="00B02873" w:rsidRPr="00CC0C1B" w:rsidRDefault="00B02873" w:rsidP="00CC0C1B">
            <w:pPr>
              <w:pStyle w:val="TablebodyleftFinancialsTables"/>
              <w:rPr>
                <w:sz w:val="18"/>
                <w:szCs w:val="14"/>
              </w:rPr>
            </w:pPr>
            <w:r w:rsidRPr="00CC0C1B">
              <w:rPr>
                <w:sz w:val="18"/>
                <w:szCs w:val="14"/>
              </w:rPr>
              <w:t>Discounted cash flow method</w:t>
            </w:r>
          </w:p>
        </w:tc>
        <w:tc>
          <w:tcPr>
            <w:tcW w:w="2721" w:type="dxa"/>
          </w:tcPr>
          <w:p w14:paraId="7E3A088A" w14:textId="77777777" w:rsidR="00B02873" w:rsidRPr="00CC0C1B" w:rsidRDefault="00B02873" w:rsidP="00CC0C1B">
            <w:pPr>
              <w:pStyle w:val="TablebodyleftFinancialsTables"/>
              <w:rPr>
                <w:sz w:val="18"/>
                <w:szCs w:val="14"/>
              </w:rPr>
            </w:pPr>
            <w:r w:rsidRPr="00CC0C1B">
              <w:rPr>
                <w:sz w:val="18"/>
                <w:szCs w:val="14"/>
              </w:rPr>
              <w:t>Wholesale electricity price forecasts</w:t>
            </w:r>
          </w:p>
        </w:tc>
        <w:tc>
          <w:tcPr>
            <w:tcW w:w="1180" w:type="dxa"/>
          </w:tcPr>
          <w:p w14:paraId="1366954A" w14:textId="77777777" w:rsidR="00B02873" w:rsidRPr="00CC0C1B" w:rsidRDefault="00B02873" w:rsidP="00CC0C1B">
            <w:pPr>
              <w:pStyle w:val="TablebodyleftFinancialsTables"/>
              <w:jc w:val="center"/>
              <w:rPr>
                <w:sz w:val="18"/>
                <w:szCs w:val="14"/>
              </w:rPr>
            </w:pPr>
            <w:r w:rsidRPr="00CC0C1B">
              <w:rPr>
                <w:sz w:val="18"/>
                <w:szCs w:val="14"/>
              </w:rPr>
              <w:t>10%</w:t>
            </w:r>
          </w:p>
        </w:tc>
        <w:tc>
          <w:tcPr>
            <w:tcW w:w="1616" w:type="dxa"/>
          </w:tcPr>
          <w:p w14:paraId="6179F4CC" w14:textId="71D38F86" w:rsidR="00B02873" w:rsidRPr="00CC0C1B" w:rsidRDefault="00B02873" w:rsidP="00CC0C1B">
            <w:pPr>
              <w:pStyle w:val="TablebodyleftFinancialsTables"/>
              <w:jc w:val="center"/>
              <w:rPr>
                <w:sz w:val="18"/>
                <w:szCs w:val="14"/>
              </w:rPr>
            </w:pPr>
            <w:r w:rsidRPr="00CC0C1B">
              <w:rPr>
                <w:sz w:val="18"/>
                <w:szCs w:val="14"/>
              </w:rPr>
              <w:t>$43.07</w:t>
            </w:r>
            <w:r w:rsidR="000C45FC" w:rsidRPr="00CC0C1B">
              <w:rPr>
                <w:sz w:val="18"/>
                <w:szCs w:val="14"/>
              </w:rPr>
              <w:t xml:space="preserve"> – </w:t>
            </w:r>
            <w:r w:rsidRPr="00CC0C1B">
              <w:rPr>
                <w:sz w:val="18"/>
                <w:szCs w:val="14"/>
              </w:rPr>
              <w:t>$109.41</w:t>
            </w:r>
            <w:r w:rsidRPr="00CC0C1B">
              <w:rPr>
                <w:sz w:val="18"/>
                <w:szCs w:val="14"/>
              </w:rPr>
              <w:br/>
              <w:t>/ MWh</w:t>
            </w:r>
          </w:p>
        </w:tc>
        <w:tc>
          <w:tcPr>
            <w:tcW w:w="964" w:type="dxa"/>
          </w:tcPr>
          <w:p w14:paraId="1EB129CD" w14:textId="77777777" w:rsidR="00B02873" w:rsidRPr="00CC0C1B" w:rsidRDefault="00B02873" w:rsidP="00CC0C1B">
            <w:pPr>
              <w:pStyle w:val="TablebodyleftFinancialsTables"/>
              <w:jc w:val="right"/>
              <w:rPr>
                <w:b/>
                <w:bCs/>
                <w:sz w:val="18"/>
                <w:szCs w:val="14"/>
              </w:rPr>
            </w:pPr>
            <w:r w:rsidRPr="00CC0C1B">
              <w:rPr>
                <w:b/>
                <w:bCs/>
                <w:sz w:val="18"/>
                <w:szCs w:val="14"/>
              </w:rPr>
              <w:t>104,889</w:t>
            </w:r>
          </w:p>
        </w:tc>
        <w:tc>
          <w:tcPr>
            <w:tcW w:w="963" w:type="dxa"/>
          </w:tcPr>
          <w:p w14:paraId="0D9D6256" w14:textId="77777777" w:rsidR="00B02873" w:rsidRPr="00CC0C1B" w:rsidRDefault="00B02873" w:rsidP="00CC0C1B">
            <w:pPr>
              <w:pStyle w:val="TablebodyleftFinancialsTables"/>
              <w:jc w:val="right"/>
              <w:rPr>
                <w:b/>
                <w:bCs/>
                <w:sz w:val="18"/>
                <w:szCs w:val="14"/>
              </w:rPr>
            </w:pPr>
            <w:r w:rsidRPr="00CC0C1B">
              <w:rPr>
                <w:b/>
                <w:bCs/>
                <w:sz w:val="18"/>
                <w:szCs w:val="14"/>
              </w:rPr>
              <w:t>(102,863)</w:t>
            </w:r>
          </w:p>
        </w:tc>
      </w:tr>
      <w:tr w:rsidR="00B02873" w:rsidRPr="00CC0C1B" w14:paraId="0D7A121B" w14:textId="77777777" w:rsidTr="00CC0C1B">
        <w:trPr>
          <w:trHeight w:val="60"/>
        </w:trPr>
        <w:tc>
          <w:tcPr>
            <w:tcW w:w="1271" w:type="dxa"/>
          </w:tcPr>
          <w:p w14:paraId="3F39794D" w14:textId="77777777" w:rsidR="00B02873" w:rsidRPr="00CC0C1B" w:rsidRDefault="00B02873" w:rsidP="00CC0C1B">
            <w:pPr>
              <w:pStyle w:val="TablebodyleftFinancialsTables"/>
              <w:rPr>
                <w:rFonts w:ascii="VIC Bold Italic" w:hAnsi="VIC Bold Italic" w:cs="Times New Roman"/>
                <w:sz w:val="18"/>
                <w:szCs w:val="14"/>
              </w:rPr>
            </w:pPr>
          </w:p>
        </w:tc>
        <w:tc>
          <w:tcPr>
            <w:tcW w:w="1145" w:type="dxa"/>
          </w:tcPr>
          <w:p w14:paraId="1AEF5764" w14:textId="77777777" w:rsidR="00B02873" w:rsidRPr="00CC0C1B" w:rsidRDefault="00B02873" w:rsidP="00CC0C1B">
            <w:pPr>
              <w:pStyle w:val="TablebodyleftFinancialsTables"/>
              <w:rPr>
                <w:rFonts w:ascii="VIC Bold Italic" w:hAnsi="VIC Bold Italic" w:cs="Times New Roman"/>
                <w:sz w:val="18"/>
                <w:szCs w:val="14"/>
              </w:rPr>
            </w:pPr>
          </w:p>
        </w:tc>
        <w:tc>
          <w:tcPr>
            <w:tcW w:w="2721" w:type="dxa"/>
          </w:tcPr>
          <w:p w14:paraId="6AF857B0" w14:textId="77777777" w:rsidR="00B02873" w:rsidRPr="00CC0C1B" w:rsidRDefault="00B02873" w:rsidP="00CC0C1B">
            <w:pPr>
              <w:pStyle w:val="TablebodyleftFinancialsTables"/>
              <w:rPr>
                <w:sz w:val="18"/>
                <w:szCs w:val="14"/>
              </w:rPr>
            </w:pPr>
            <w:r w:rsidRPr="00CC0C1B">
              <w:rPr>
                <w:sz w:val="18"/>
                <w:szCs w:val="14"/>
              </w:rPr>
              <w:t>LGC price forecasts</w:t>
            </w:r>
          </w:p>
        </w:tc>
        <w:tc>
          <w:tcPr>
            <w:tcW w:w="1180" w:type="dxa"/>
          </w:tcPr>
          <w:p w14:paraId="5448FC43" w14:textId="77777777" w:rsidR="00B02873" w:rsidRPr="00CC0C1B" w:rsidRDefault="00B02873" w:rsidP="00CC0C1B">
            <w:pPr>
              <w:pStyle w:val="TablebodyleftFinancialsTables"/>
              <w:jc w:val="center"/>
              <w:rPr>
                <w:sz w:val="18"/>
                <w:szCs w:val="14"/>
              </w:rPr>
            </w:pPr>
            <w:r w:rsidRPr="00CC0C1B">
              <w:rPr>
                <w:sz w:val="18"/>
                <w:szCs w:val="14"/>
              </w:rPr>
              <w:t>10%</w:t>
            </w:r>
          </w:p>
        </w:tc>
        <w:tc>
          <w:tcPr>
            <w:tcW w:w="1616" w:type="dxa"/>
          </w:tcPr>
          <w:p w14:paraId="0F0283F7" w14:textId="77777777" w:rsidR="00B02873" w:rsidRPr="00CC0C1B" w:rsidRDefault="00B02873" w:rsidP="00CC0C1B">
            <w:pPr>
              <w:pStyle w:val="TablebodyleftFinancialsTables"/>
              <w:jc w:val="center"/>
              <w:rPr>
                <w:sz w:val="18"/>
                <w:szCs w:val="14"/>
              </w:rPr>
            </w:pPr>
            <w:r w:rsidRPr="00CC0C1B">
              <w:rPr>
                <w:sz w:val="18"/>
                <w:szCs w:val="14"/>
              </w:rPr>
              <w:t>$0 – 36.06/ MWh</w:t>
            </w:r>
          </w:p>
        </w:tc>
        <w:tc>
          <w:tcPr>
            <w:tcW w:w="964" w:type="dxa"/>
          </w:tcPr>
          <w:p w14:paraId="6E8D443D" w14:textId="77777777" w:rsidR="00B02873" w:rsidRPr="00CC0C1B" w:rsidRDefault="00B02873" w:rsidP="00CC0C1B">
            <w:pPr>
              <w:pStyle w:val="TablebodyleftFinancialsTables"/>
              <w:jc w:val="right"/>
              <w:rPr>
                <w:b/>
                <w:bCs/>
                <w:sz w:val="18"/>
                <w:szCs w:val="14"/>
              </w:rPr>
            </w:pPr>
            <w:r w:rsidRPr="00CC0C1B">
              <w:rPr>
                <w:b/>
                <w:bCs/>
                <w:sz w:val="18"/>
                <w:szCs w:val="14"/>
              </w:rPr>
              <w:t>14,270</w:t>
            </w:r>
          </w:p>
        </w:tc>
        <w:tc>
          <w:tcPr>
            <w:tcW w:w="963" w:type="dxa"/>
          </w:tcPr>
          <w:p w14:paraId="3C7FCA20" w14:textId="77777777" w:rsidR="00B02873" w:rsidRPr="00CC0C1B" w:rsidRDefault="00B02873" w:rsidP="00CC0C1B">
            <w:pPr>
              <w:pStyle w:val="TablebodyleftFinancialsTables"/>
              <w:jc w:val="right"/>
              <w:rPr>
                <w:b/>
                <w:bCs/>
                <w:sz w:val="18"/>
                <w:szCs w:val="14"/>
              </w:rPr>
            </w:pPr>
            <w:r w:rsidRPr="00CC0C1B">
              <w:rPr>
                <w:b/>
                <w:bCs/>
                <w:sz w:val="18"/>
                <w:szCs w:val="14"/>
              </w:rPr>
              <w:t>(14,262)</w:t>
            </w:r>
          </w:p>
        </w:tc>
      </w:tr>
      <w:tr w:rsidR="00B02873" w:rsidRPr="00CC0C1B" w14:paraId="6648A5C2" w14:textId="77777777" w:rsidTr="00CC0C1B">
        <w:trPr>
          <w:trHeight w:val="60"/>
        </w:trPr>
        <w:tc>
          <w:tcPr>
            <w:tcW w:w="1271" w:type="dxa"/>
          </w:tcPr>
          <w:p w14:paraId="1F155F8A" w14:textId="77777777" w:rsidR="00B02873" w:rsidRPr="00CC0C1B" w:rsidRDefault="00B02873" w:rsidP="00CC0C1B">
            <w:pPr>
              <w:pStyle w:val="TablebodyleftFinancialsTables"/>
              <w:rPr>
                <w:rFonts w:ascii="VIC Bold Italic" w:hAnsi="VIC Bold Italic" w:cs="Times New Roman"/>
                <w:sz w:val="18"/>
                <w:szCs w:val="14"/>
              </w:rPr>
            </w:pPr>
          </w:p>
        </w:tc>
        <w:tc>
          <w:tcPr>
            <w:tcW w:w="1145" w:type="dxa"/>
          </w:tcPr>
          <w:p w14:paraId="11FF00C9" w14:textId="77777777" w:rsidR="00B02873" w:rsidRPr="00CC0C1B" w:rsidRDefault="00B02873" w:rsidP="00CC0C1B">
            <w:pPr>
              <w:pStyle w:val="TablebodyleftFinancialsTables"/>
              <w:rPr>
                <w:rFonts w:ascii="VIC Bold Italic" w:hAnsi="VIC Bold Italic" w:cs="Times New Roman"/>
                <w:sz w:val="18"/>
                <w:szCs w:val="14"/>
              </w:rPr>
            </w:pPr>
          </w:p>
        </w:tc>
        <w:tc>
          <w:tcPr>
            <w:tcW w:w="2721" w:type="dxa"/>
          </w:tcPr>
          <w:p w14:paraId="7ECDD5B7" w14:textId="740480FC" w:rsidR="00B02873" w:rsidRPr="00CC0C1B" w:rsidRDefault="00B02873" w:rsidP="00CC0C1B">
            <w:pPr>
              <w:pStyle w:val="TablebodyleftFinancialsTables"/>
              <w:rPr>
                <w:sz w:val="18"/>
                <w:szCs w:val="14"/>
              </w:rPr>
            </w:pPr>
            <w:r w:rsidRPr="00CC0C1B">
              <w:rPr>
                <w:sz w:val="18"/>
                <w:szCs w:val="14"/>
              </w:rPr>
              <w:t>Discount rate</w:t>
            </w:r>
            <w:r w:rsidR="000C45FC" w:rsidRPr="00CC0C1B">
              <w:rPr>
                <w:sz w:val="18"/>
                <w:szCs w:val="14"/>
              </w:rPr>
              <w:t xml:space="preserve"> – </w:t>
            </w:r>
            <w:r w:rsidRPr="00CC0C1B">
              <w:rPr>
                <w:sz w:val="18"/>
                <w:szCs w:val="14"/>
              </w:rPr>
              <w:t>Risk free rates of zero coupon government bonds (2,3,5,10 years tenors)</w:t>
            </w:r>
          </w:p>
        </w:tc>
        <w:tc>
          <w:tcPr>
            <w:tcW w:w="1180" w:type="dxa"/>
          </w:tcPr>
          <w:p w14:paraId="398CBE40" w14:textId="77777777" w:rsidR="00B02873" w:rsidRPr="00CC0C1B" w:rsidRDefault="00B02873" w:rsidP="00CC0C1B">
            <w:pPr>
              <w:pStyle w:val="TablebodyleftFinancialsTables"/>
              <w:jc w:val="center"/>
              <w:rPr>
                <w:sz w:val="18"/>
                <w:szCs w:val="14"/>
              </w:rPr>
            </w:pPr>
            <w:r w:rsidRPr="00CC0C1B">
              <w:rPr>
                <w:sz w:val="18"/>
                <w:szCs w:val="14"/>
              </w:rPr>
              <w:t>1%</w:t>
            </w:r>
          </w:p>
        </w:tc>
        <w:tc>
          <w:tcPr>
            <w:tcW w:w="1616" w:type="dxa"/>
          </w:tcPr>
          <w:p w14:paraId="676B5EF6" w14:textId="4A114489" w:rsidR="00B02873" w:rsidRPr="00CC0C1B" w:rsidRDefault="00B02873" w:rsidP="00CC0C1B">
            <w:pPr>
              <w:pStyle w:val="TablebodyleftFinancialsTables"/>
              <w:jc w:val="center"/>
              <w:rPr>
                <w:sz w:val="18"/>
                <w:szCs w:val="14"/>
              </w:rPr>
            </w:pPr>
            <w:r w:rsidRPr="00CC0C1B">
              <w:rPr>
                <w:sz w:val="18"/>
                <w:szCs w:val="14"/>
              </w:rPr>
              <w:t>0.06%</w:t>
            </w:r>
            <w:r w:rsidR="000C45FC" w:rsidRPr="00CC0C1B">
              <w:rPr>
                <w:sz w:val="18"/>
                <w:szCs w:val="14"/>
              </w:rPr>
              <w:t xml:space="preserve"> – </w:t>
            </w:r>
            <w:r w:rsidRPr="00CC0C1B">
              <w:rPr>
                <w:sz w:val="18"/>
                <w:szCs w:val="14"/>
              </w:rPr>
              <w:t>2.49%</w:t>
            </w:r>
          </w:p>
        </w:tc>
        <w:tc>
          <w:tcPr>
            <w:tcW w:w="964" w:type="dxa"/>
          </w:tcPr>
          <w:p w14:paraId="1D26E8AC" w14:textId="77777777" w:rsidR="00B02873" w:rsidRPr="00CC0C1B" w:rsidRDefault="00B02873" w:rsidP="00CC0C1B">
            <w:pPr>
              <w:pStyle w:val="TablebodyleftFinancialsTables"/>
              <w:jc w:val="right"/>
              <w:rPr>
                <w:b/>
                <w:bCs/>
                <w:sz w:val="18"/>
                <w:szCs w:val="14"/>
              </w:rPr>
            </w:pPr>
            <w:r w:rsidRPr="00CC0C1B">
              <w:rPr>
                <w:b/>
                <w:bCs/>
                <w:sz w:val="18"/>
                <w:szCs w:val="14"/>
              </w:rPr>
              <w:t>(3,011)</w:t>
            </w:r>
          </w:p>
        </w:tc>
        <w:tc>
          <w:tcPr>
            <w:tcW w:w="963" w:type="dxa"/>
          </w:tcPr>
          <w:p w14:paraId="78B8D823" w14:textId="77777777" w:rsidR="00B02873" w:rsidRPr="00CC0C1B" w:rsidRDefault="00B02873" w:rsidP="00CC0C1B">
            <w:pPr>
              <w:pStyle w:val="TablebodyleftFinancialsTables"/>
              <w:jc w:val="right"/>
              <w:rPr>
                <w:b/>
                <w:bCs/>
                <w:sz w:val="18"/>
                <w:szCs w:val="14"/>
              </w:rPr>
            </w:pPr>
            <w:r w:rsidRPr="00CC0C1B">
              <w:rPr>
                <w:b/>
                <w:bCs/>
                <w:sz w:val="18"/>
                <w:szCs w:val="14"/>
              </w:rPr>
              <w:t>2,977</w:t>
            </w:r>
          </w:p>
        </w:tc>
      </w:tr>
      <w:tr w:rsidR="00B02873" w:rsidRPr="00CC0C1B" w14:paraId="73D4E05C" w14:textId="77777777" w:rsidTr="00CC0C1B">
        <w:trPr>
          <w:trHeight w:val="60"/>
        </w:trPr>
        <w:tc>
          <w:tcPr>
            <w:tcW w:w="1271" w:type="dxa"/>
          </w:tcPr>
          <w:p w14:paraId="0C0BE4D0" w14:textId="77777777" w:rsidR="00B02873" w:rsidRPr="00CC0C1B" w:rsidRDefault="00B02873" w:rsidP="00CC0C1B">
            <w:pPr>
              <w:pStyle w:val="TablebodyleftFinancialsTables"/>
              <w:rPr>
                <w:rFonts w:ascii="VIC Bold Italic" w:hAnsi="VIC Bold Italic" w:cs="Times New Roman"/>
                <w:sz w:val="18"/>
                <w:szCs w:val="14"/>
              </w:rPr>
            </w:pPr>
          </w:p>
        </w:tc>
        <w:tc>
          <w:tcPr>
            <w:tcW w:w="1145" w:type="dxa"/>
          </w:tcPr>
          <w:p w14:paraId="3F55B12A" w14:textId="77777777" w:rsidR="00B02873" w:rsidRPr="00CC0C1B" w:rsidRDefault="00B02873" w:rsidP="00CC0C1B">
            <w:pPr>
              <w:pStyle w:val="TablebodyleftFinancialsTables"/>
              <w:rPr>
                <w:rFonts w:ascii="VIC Bold Italic" w:hAnsi="VIC Bold Italic" w:cs="Times New Roman"/>
                <w:sz w:val="18"/>
                <w:szCs w:val="14"/>
              </w:rPr>
            </w:pPr>
          </w:p>
        </w:tc>
        <w:tc>
          <w:tcPr>
            <w:tcW w:w="2721" w:type="dxa"/>
          </w:tcPr>
          <w:p w14:paraId="557A7B89" w14:textId="77777777" w:rsidR="00B02873" w:rsidRPr="00CC0C1B" w:rsidRDefault="00B02873" w:rsidP="00CC0C1B">
            <w:pPr>
              <w:pStyle w:val="TablebodyleftFinancialsTables"/>
              <w:rPr>
                <w:sz w:val="18"/>
                <w:szCs w:val="14"/>
              </w:rPr>
            </w:pPr>
            <w:r w:rsidRPr="00CC0C1B">
              <w:rPr>
                <w:sz w:val="18"/>
                <w:szCs w:val="14"/>
              </w:rPr>
              <w:t>Credit value adjustment – Australian Corporate Bond Spreads and Yields FNFSBBB10M</w:t>
            </w:r>
          </w:p>
        </w:tc>
        <w:tc>
          <w:tcPr>
            <w:tcW w:w="1180" w:type="dxa"/>
          </w:tcPr>
          <w:p w14:paraId="56E22A75" w14:textId="77777777" w:rsidR="00B02873" w:rsidRPr="00CC0C1B" w:rsidRDefault="00B02873" w:rsidP="00CC0C1B">
            <w:pPr>
              <w:pStyle w:val="TablebodyleftFinancialsTables"/>
              <w:jc w:val="center"/>
              <w:rPr>
                <w:sz w:val="18"/>
                <w:szCs w:val="14"/>
              </w:rPr>
            </w:pPr>
            <w:r w:rsidRPr="00CC0C1B">
              <w:rPr>
                <w:sz w:val="18"/>
                <w:szCs w:val="14"/>
              </w:rPr>
              <w:t>1%</w:t>
            </w:r>
          </w:p>
        </w:tc>
        <w:tc>
          <w:tcPr>
            <w:tcW w:w="1616" w:type="dxa"/>
          </w:tcPr>
          <w:p w14:paraId="3D83B5BA" w14:textId="0E5B689D" w:rsidR="00B02873" w:rsidRPr="00CC0C1B" w:rsidRDefault="00B02873" w:rsidP="00CC0C1B">
            <w:pPr>
              <w:pStyle w:val="TablebodyleftFinancialsTables"/>
              <w:jc w:val="center"/>
              <w:rPr>
                <w:sz w:val="18"/>
                <w:szCs w:val="14"/>
              </w:rPr>
            </w:pPr>
            <w:r w:rsidRPr="00CC0C1B">
              <w:rPr>
                <w:sz w:val="18"/>
                <w:szCs w:val="14"/>
              </w:rPr>
              <w:t>0.47%</w:t>
            </w:r>
            <w:r w:rsidR="000C45FC" w:rsidRPr="00CC0C1B">
              <w:rPr>
                <w:sz w:val="18"/>
                <w:szCs w:val="14"/>
              </w:rPr>
              <w:t xml:space="preserve"> – </w:t>
            </w:r>
            <w:r w:rsidRPr="00CC0C1B">
              <w:rPr>
                <w:sz w:val="18"/>
                <w:szCs w:val="14"/>
              </w:rPr>
              <w:t>2.47%</w:t>
            </w:r>
          </w:p>
        </w:tc>
        <w:tc>
          <w:tcPr>
            <w:tcW w:w="964" w:type="dxa"/>
          </w:tcPr>
          <w:p w14:paraId="00DF77A4" w14:textId="77777777" w:rsidR="00B02873" w:rsidRPr="00CC0C1B" w:rsidRDefault="00B02873" w:rsidP="00CC0C1B">
            <w:pPr>
              <w:pStyle w:val="TablebodyleftFinancialsTables"/>
              <w:jc w:val="right"/>
              <w:rPr>
                <w:b/>
                <w:bCs/>
                <w:sz w:val="18"/>
                <w:szCs w:val="14"/>
              </w:rPr>
            </w:pPr>
            <w:r w:rsidRPr="00CC0C1B">
              <w:rPr>
                <w:b/>
                <w:bCs/>
                <w:sz w:val="18"/>
                <w:szCs w:val="14"/>
              </w:rPr>
              <w:t>(3,153)</w:t>
            </w:r>
          </w:p>
        </w:tc>
        <w:tc>
          <w:tcPr>
            <w:tcW w:w="963" w:type="dxa"/>
          </w:tcPr>
          <w:p w14:paraId="17FD849B" w14:textId="77777777" w:rsidR="00B02873" w:rsidRPr="00CC0C1B" w:rsidRDefault="00B02873" w:rsidP="00CC0C1B">
            <w:pPr>
              <w:pStyle w:val="TablebodyleftFinancialsTables"/>
              <w:jc w:val="right"/>
              <w:rPr>
                <w:b/>
                <w:bCs/>
                <w:sz w:val="18"/>
                <w:szCs w:val="14"/>
              </w:rPr>
            </w:pPr>
            <w:r w:rsidRPr="00CC0C1B">
              <w:rPr>
                <w:b/>
                <w:bCs/>
                <w:sz w:val="18"/>
                <w:szCs w:val="14"/>
              </w:rPr>
              <w:t>3,599</w:t>
            </w:r>
          </w:p>
        </w:tc>
      </w:tr>
    </w:tbl>
    <w:p w14:paraId="27219908" w14:textId="77777777" w:rsidR="00B02873" w:rsidRPr="00CC0C1B" w:rsidRDefault="00B02873" w:rsidP="00CC0C1B">
      <w:pPr>
        <w:pStyle w:val="SourceNote"/>
        <w:spacing w:after="120"/>
        <w:rPr>
          <w:b/>
          <w:bCs/>
        </w:rPr>
      </w:pPr>
      <w:r w:rsidRPr="00CC0C1B">
        <w:rPr>
          <w:b/>
          <w:bCs/>
        </w:rPr>
        <w:t>Note:</w:t>
      </w:r>
    </w:p>
    <w:p w14:paraId="4EF886B2" w14:textId="77777777" w:rsidR="00B02873" w:rsidRDefault="00B02873" w:rsidP="001128B1">
      <w:pPr>
        <w:pStyle w:val="SourceNotenumbered"/>
        <w:numPr>
          <w:ilvl w:val="0"/>
          <w:numId w:val="35"/>
        </w:numPr>
        <w:spacing w:after="200"/>
        <w:ind w:left="357" w:hanging="357"/>
      </w:pPr>
      <w:r>
        <w:t xml:space="preserve">Illustrations on the valuation techniques, significant unobservable inputs and the related quantitative range of those inputs are indicative and should not be directly used without consultation with entities’ independent valuer. </w:t>
      </w:r>
    </w:p>
    <w:p w14:paraId="2F543CBF" w14:textId="77777777" w:rsidR="00B02873" w:rsidRDefault="00B02873" w:rsidP="00CC0C1B">
      <w:pPr>
        <w:pStyle w:val="Heading3"/>
      </w:pPr>
      <w:r>
        <w:t>6.3 Payables</w:t>
      </w:r>
    </w:p>
    <w:tbl>
      <w:tblPr>
        <w:tblStyle w:val="TableGrid"/>
        <w:tblW w:w="0" w:type="auto"/>
        <w:tblLayout w:type="fixed"/>
        <w:tblLook w:val="0020" w:firstRow="1" w:lastRow="0" w:firstColumn="0" w:lastColumn="0" w:noHBand="0" w:noVBand="0"/>
      </w:tblPr>
      <w:tblGrid>
        <w:gridCol w:w="7257"/>
        <w:gridCol w:w="1190"/>
        <w:gridCol w:w="1191"/>
      </w:tblGrid>
      <w:tr w:rsidR="00B02873" w:rsidRPr="00B02873" w14:paraId="66EF9D9A" w14:textId="77777777" w:rsidTr="00CC0C1B">
        <w:trPr>
          <w:cnfStyle w:val="100000000000" w:firstRow="1" w:lastRow="0" w:firstColumn="0" w:lastColumn="0" w:oddVBand="0" w:evenVBand="0" w:oddHBand="0" w:evenHBand="0" w:firstRowFirstColumn="0" w:firstRowLastColumn="0" w:lastRowFirstColumn="0" w:lastRowLastColumn="0"/>
          <w:trHeight w:val="60"/>
          <w:tblHeader/>
        </w:trPr>
        <w:tc>
          <w:tcPr>
            <w:tcW w:w="7257" w:type="dxa"/>
          </w:tcPr>
          <w:p w14:paraId="4DAB3C4F" w14:textId="77777777" w:rsidR="00B02873" w:rsidRPr="00B02873" w:rsidRDefault="00B02873" w:rsidP="00CC0C1B">
            <w:pPr>
              <w:pStyle w:val="TableheadingleftFinancialsTables"/>
            </w:pPr>
          </w:p>
        </w:tc>
        <w:tc>
          <w:tcPr>
            <w:tcW w:w="1190" w:type="dxa"/>
          </w:tcPr>
          <w:p w14:paraId="3D358322" w14:textId="77777777" w:rsidR="00B02873" w:rsidRPr="00D41C73" w:rsidRDefault="00B02873" w:rsidP="00D41C73">
            <w:pPr>
              <w:pStyle w:val="TableheadingleftFinancialsTables"/>
              <w:jc w:val="right"/>
            </w:pPr>
            <w:r w:rsidRPr="00D41C73">
              <w:t>2022</w:t>
            </w:r>
            <w:r w:rsidRPr="00D41C73">
              <w:br/>
              <w:t>$’000</w:t>
            </w:r>
          </w:p>
        </w:tc>
        <w:tc>
          <w:tcPr>
            <w:tcW w:w="1191" w:type="dxa"/>
          </w:tcPr>
          <w:p w14:paraId="48F4806C" w14:textId="77777777" w:rsidR="00B02873" w:rsidRDefault="00B02873" w:rsidP="00D41C73">
            <w:pPr>
              <w:pStyle w:val="TableheadingleftFinancialsTables"/>
              <w:jc w:val="right"/>
            </w:pPr>
            <w:r>
              <w:t>2021</w:t>
            </w:r>
            <w:r>
              <w:br/>
              <w:t>$’000</w:t>
            </w:r>
          </w:p>
        </w:tc>
      </w:tr>
      <w:tr w:rsidR="00B02873" w:rsidRPr="00B02873" w14:paraId="16105F51" w14:textId="77777777" w:rsidTr="00CC0C1B">
        <w:trPr>
          <w:trHeight w:val="60"/>
        </w:trPr>
        <w:tc>
          <w:tcPr>
            <w:tcW w:w="7257" w:type="dxa"/>
          </w:tcPr>
          <w:p w14:paraId="117E0C24" w14:textId="77777777" w:rsidR="00B02873" w:rsidRPr="00D41C73" w:rsidRDefault="00B02873" w:rsidP="00CC0C1B">
            <w:pPr>
              <w:pStyle w:val="TablebodyleftFinancialsTables"/>
              <w:rPr>
                <w:b/>
                <w:bCs/>
              </w:rPr>
            </w:pPr>
            <w:r w:rsidRPr="00D41C73">
              <w:rPr>
                <w:b/>
                <w:bCs/>
              </w:rPr>
              <w:t>Current payables</w:t>
            </w:r>
          </w:p>
        </w:tc>
        <w:tc>
          <w:tcPr>
            <w:tcW w:w="1190" w:type="dxa"/>
          </w:tcPr>
          <w:p w14:paraId="2BA489D6" w14:textId="77777777" w:rsidR="00B02873" w:rsidRPr="00D41C73" w:rsidRDefault="00B02873" w:rsidP="00D41C73">
            <w:pPr>
              <w:pStyle w:val="TablebodyleftFinancialsTables"/>
              <w:jc w:val="right"/>
              <w:rPr>
                <w:rFonts w:ascii="VIC Bold Italic" w:hAnsi="VIC Bold Italic" w:cs="Times New Roman"/>
                <w:b/>
                <w:bCs/>
              </w:rPr>
            </w:pPr>
          </w:p>
        </w:tc>
        <w:tc>
          <w:tcPr>
            <w:tcW w:w="1191" w:type="dxa"/>
          </w:tcPr>
          <w:p w14:paraId="62489887" w14:textId="77777777" w:rsidR="00B02873" w:rsidRPr="00B02873" w:rsidRDefault="00B02873" w:rsidP="00D41C73">
            <w:pPr>
              <w:pStyle w:val="TablebodyleftFinancialsTables"/>
              <w:jc w:val="right"/>
              <w:rPr>
                <w:rFonts w:ascii="VIC Bold Italic" w:hAnsi="VIC Bold Italic" w:cs="Times New Roman"/>
              </w:rPr>
            </w:pPr>
          </w:p>
        </w:tc>
      </w:tr>
      <w:tr w:rsidR="00B02873" w:rsidRPr="00B02873" w14:paraId="4E60F621" w14:textId="77777777" w:rsidTr="00CC0C1B">
        <w:trPr>
          <w:trHeight w:val="60"/>
        </w:trPr>
        <w:tc>
          <w:tcPr>
            <w:tcW w:w="7257" w:type="dxa"/>
          </w:tcPr>
          <w:p w14:paraId="0D256BF6" w14:textId="77777777" w:rsidR="00B02873" w:rsidRPr="00D41C73" w:rsidRDefault="00B02873" w:rsidP="00CC0C1B">
            <w:pPr>
              <w:pStyle w:val="TablebodyleftFinancialsTables"/>
              <w:rPr>
                <w:b/>
                <w:bCs/>
              </w:rPr>
            </w:pPr>
            <w:r w:rsidRPr="00D41C73">
              <w:rPr>
                <w:b/>
                <w:bCs/>
              </w:rPr>
              <w:t>Contractual</w:t>
            </w:r>
          </w:p>
        </w:tc>
        <w:tc>
          <w:tcPr>
            <w:tcW w:w="1190" w:type="dxa"/>
          </w:tcPr>
          <w:p w14:paraId="6FAB856B" w14:textId="77777777" w:rsidR="00B02873" w:rsidRPr="00D41C73" w:rsidRDefault="00B02873" w:rsidP="00D41C73">
            <w:pPr>
              <w:pStyle w:val="TablebodyleftFinancialsTables"/>
              <w:jc w:val="right"/>
              <w:rPr>
                <w:rFonts w:ascii="VIC Bold Italic" w:hAnsi="VIC Bold Italic" w:cs="Times New Roman"/>
                <w:b/>
                <w:bCs/>
              </w:rPr>
            </w:pPr>
          </w:p>
        </w:tc>
        <w:tc>
          <w:tcPr>
            <w:tcW w:w="1191" w:type="dxa"/>
          </w:tcPr>
          <w:p w14:paraId="222A5DE6" w14:textId="77777777" w:rsidR="00B02873" w:rsidRPr="00B02873" w:rsidRDefault="00B02873" w:rsidP="00D41C73">
            <w:pPr>
              <w:pStyle w:val="TablebodyleftFinancialsTables"/>
              <w:jc w:val="right"/>
              <w:rPr>
                <w:rFonts w:ascii="VIC Bold Italic" w:hAnsi="VIC Bold Italic" w:cs="Times New Roman"/>
              </w:rPr>
            </w:pPr>
          </w:p>
        </w:tc>
      </w:tr>
      <w:tr w:rsidR="00B02873" w:rsidRPr="00B02873" w14:paraId="1E452F6F" w14:textId="77777777" w:rsidTr="00CC0C1B">
        <w:trPr>
          <w:trHeight w:val="60"/>
        </w:trPr>
        <w:tc>
          <w:tcPr>
            <w:tcW w:w="7257" w:type="dxa"/>
          </w:tcPr>
          <w:p w14:paraId="78CF24F4" w14:textId="77777777" w:rsidR="00B02873" w:rsidRDefault="00B02873" w:rsidP="00CC0C1B">
            <w:pPr>
              <w:pStyle w:val="TablebodyleftFinancialsTables"/>
            </w:pPr>
            <w:r>
              <w:t>Trade creditors</w:t>
            </w:r>
          </w:p>
        </w:tc>
        <w:tc>
          <w:tcPr>
            <w:tcW w:w="1190" w:type="dxa"/>
          </w:tcPr>
          <w:p w14:paraId="3DC9A418" w14:textId="77777777" w:rsidR="00B02873" w:rsidRPr="00D41C73" w:rsidRDefault="00B02873" w:rsidP="00D41C73">
            <w:pPr>
              <w:pStyle w:val="TablebodyleftFinancialsTables"/>
              <w:jc w:val="right"/>
              <w:rPr>
                <w:b/>
                <w:bCs/>
              </w:rPr>
            </w:pPr>
            <w:r w:rsidRPr="00D41C73">
              <w:rPr>
                <w:b/>
                <w:bCs/>
              </w:rPr>
              <w:t>8,828</w:t>
            </w:r>
          </w:p>
        </w:tc>
        <w:tc>
          <w:tcPr>
            <w:tcW w:w="1191" w:type="dxa"/>
          </w:tcPr>
          <w:p w14:paraId="7BA90581" w14:textId="77777777" w:rsidR="00B02873" w:rsidRDefault="00B02873" w:rsidP="00D41C73">
            <w:pPr>
              <w:pStyle w:val="TablebodyleftFinancialsTables"/>
              <w:jc w:val="right"/>
            </w:pPr>
            <w:r>
              <w:t>29,910</w:t>
            </w:r>
          </w:p>
        </w:tc>
      </w:tr>
      <w:tr w:rsidR="00B02873" w:rsidRPr="00B02873" w14:paraId="484262B3" w14:textId="77777777" w:rsidTr="00CC0C1B">
        <w:trPr>
          <w:trHeight w:val="60"/>
        </w:trPr>
        <w:tc>
          <w:tcPr>
            <w:tcW w:w="7257" w:type="dxa"/>
          </w:tcPr>
          <w:p w14:paraId="5F397BAE" w14:textId="77777777" w:rsidR="00B02873" w:rsidRDefault="00B02873" w:rsidP="00CC0C1B">
            <w:pPr>
              <w:pStyle w:val="TablebodyleftFinancialsTables"/>
            </w:pPr>
            <w:r>
              <w:t>Accrued grants and other transfers</w:t>
            </w:r>
          </w:p>
        </w:tc>
        <w:tc>
          <w:tcPr>
            <w:tcW w:w="1190" w:type="dxa"/>
          </w:tcPr>
          <w:p w14:paraId="3B4AB18E" w14:textId="77777777" w:rsidR="00B02873" w:rsidRPr="00D41C73" w:rsidRDefault="00B02873" w:rsidP="00D41C73">
            <w:pPr>
              <w:pStyle w:val="TablebodyleftFinancialsTables"/>
              <w:jc w:val="right"/>
              <w:rPr>
                <w:b/>
                <w:bCs/>
              </w:rPr>
            </w:pPr>
            <w:r w:rsidRPr="00D41C73">
              <w:rPr>
                <w:b/>
                <w:bCs/>
              </w:rPr>
              <w:t>106,071</w:t>
            </w:r>
          </w:p>
        </w:tc>
        <w:tc>
          <w:tcPr>
            <w:tcW w:w="1191" w:type="dxa"/>
          </w:tcPr>
          <w:p w14:paraId="3B8A6B47" w14:textId="77777777" w:rsidR="00B02873" w:rsidRDefault="00B02873" w:rsidP="00D41C73">
            <w:pPr>
              <w:pStyle w:val="TablebodyleftFinancialsTables"/>
              <w:jc w:val="right"/>
            </w:pPr>
            <w:r>
              <w:t>64,095</w:t>
            </w:r>
          </w:p>
        </w:tc>
      </w:tr>
      <w:tr w:rsidR="00B02873" w:rsidRPr="00B02873" w14:paraId="7FEB41D7" w14:textId="77777777" w:rsidTr="00CC0C1B">
        <w:trPr>
          <w:trHeight w:val="60"/>
        </w:trPr>
        <w:tc>
          <w:tcPr>
            <w:tcW w:w="7257" w:type="dxa"/>
          </w:tcPr>
          <w:p w14:paraId="35D15A0D" w14:textId="77777777" w:rsidR="00B02873" w:rsidRDefault="00B02873" w:rsidP="00CC0C1B">
            <w:pPr>
              <w:pStyle w:val="TablebodyleftFinancialsTables"/>
            </w:pPr>
            <w:r>
              <w:t xml:space="preserve">Capital accruals </w:t>
            </w:r>
          </w:p>
        </w:tc>
        <w:tc>
          <w:tcPr>
            <w:tcW w:w="1190" w:type="dxa"/>
          </w:tcPr>
          <w:p w14:paraId="3B786337" w14:textId="77777777" w:rsidR="00B02873" w:rsidRPr="00D41C73" w:rsidRDefault="00B02873" w:rsidP="00D41C73">
            <w:pPr>
              <w:pStyle w:val="TablebodyleftFinancialsTables"/>
              <w:jc w:val="right"/>
              <w:rPr>
                <w:b/>
                <w:bCs/>
              </w:rPr>
            </w:pPr>
            <w:r w:rsidRPr="00D41C73">
              <w:rPr>
                <w:b/>
                <w:bCs/>
              </w:rPr>
              <w:t>4,446</w:t>
            </w:r>
          </w:p>
        </w:tc>
        <w:tc>
          <w:tcPr>
            <w:tcW w:w="1191" w:type="dxa"/>
          </w:tcPr>
          <w:p w14:paraId="1482FB31" w14:textId="77777777" w:rsidR="00B02873" w:rsidRDefault="00B02873" w:rsidP="00D41C73">
            <w:pPr>
              <w:pStyle w:val="TablebodyleftFinancialsTables"/>
              <w:jc w:val="right"/>
            </w:pPr>
            <w:r>
              <w:t>2,168</w:t>
            </w:r>
          </w:p>
        </w:tc>
      </w:tr>
      <w:tr w:rsidR="00B02873" w:rsidRPr="00B02873" w14:paraId="53EFB5B1" w14:textId="77777777" w:rsidTr="00CC0C1B">
        <w:trPr>
          <w:trHeight w:val="60"/>
        </w:trPr>
        <w:tc>
          <w:tcPr>
            <w:tcW w:w="7257" w:type="dxa"/>
          </w:tcPr>
          <w:p w14:paraId="7F49DA66" w14:textId="77777777" w:rsidR="00B02873" w:rsidRDefault="00B02873" w:rsidP="00CC0C1B">
            <w:pPr>
              <w:pStyle w:val="TablebodyleftFinancialsTables"/>
            </w:pPr>
            <w:r>
              <w:t>Other payable and accrued expenses</w:t>
            </w:r>
          </w:p>
        </w:tc>
        <w:tc>
          <w:tcPr>
            <w:tcW w:w="1190" w:type="dxa"/>
          </w:tcPr>
          <w:p w14:paraId="4F4C80A7" w14:textId="77777777" w:rsidR="00B02873" w:rsidRPr="00D41C73" w:rsidRDefault="00B02873" w:rsidP="00D41C73">
            <w:pPr>
              <w:pStyle w:val="TablebodyleftFinancialsTables"/>
              <w:jc w:val="right"/>
              <w:rPr>
                <w:b/>
                <w:bCs/>
              </w:rPr>
            </w:pPr>
            <w:r w:rsidRPr="00D41C73">
              <w:rPr>
                <w:b/>
                <w:bCs/>
              </w:rPr>
              <w:t>109,681</w:t>
            </w:r>
          </w:p>
        </w:tc>
        <w:tc>
          <w:tcPr>
            <w:tcW w:w="1191" w:type="dxa"/>
          </w:tcPr>
          <w:p w14:paraId="44F05B69" w14:textId="77777777" w:rsidR="00B02873" w:rsidRDefault="00B02873" w:rsidP="00D41C73">
            <w:pPr>
              <w:pStyle w:val="TablebodyleftFinancialsTables"/>
              <w:jc w:val="right"/>
            </w:pPr>
            <w:r>
              <w:t>116,262</w:t>
            </w:r>
          </w:p>
        </w:tc>
      </w:tr>
      <w:tr w:rsidR="00B02873" w:rsidRPr="00B02873" w14:paraId="15F6FFB9" w14:textId="77777777" w:rsidTr="00CC0C1B">
        <w:trPr>
          <w:trHeight w:val="60"/>
        </w:trPr>
        <w:tc>
          <w:tcPr>
            <w:tcW w:w="7257" w:type="dxa"/>
          </w:tcPr>
          <w:p w14:paraId="2E1A2C61" w14:textId="77777777" w:rsidR="00B02873" w:rsidRPr="00B02873" w:rsidRDefault="00B02873" w:rsidP="00CC0C1B">
            <w:pPr>
              <w:pStyle w:val="TablebodyleftFinancialsTables"/>
              <w:rPr>
                <w:rFonts w:ascii="VIC Bold Italic" w:hAnsi="VIC Bold Italic" w:cs="Times New Roman"/>
              </w:rPr>
            </w:pPr>
          </w:p>
        </w:tc>
        <w:tc>
          <w:tcPr>
            <w:tcW w:w="1190" w:type="dxa"/>
          </w:tcPr>
          <w:p w14:paraId="3D25605A" w14:textId="77777777" w:rsidR="00B02873" w:rsidRPr="00D41C73" w:rsidRDefault="00B02873" w:rsidP="00D41C73">
            <w:pPr>
              <w:pStyle w:val="TablebodyleftFinancialsTables"/>
              <w:jc w:val="right"/>
              <w:rPr>
                <w:b/>
                <w:bCs/>
              </w:rPr>
            </w:pPr>
            <w:r w:rsidRPr="00D41C73">
              <w:rPr>
                <w:b/>
                <w:bCs/>
              </w:rPr>
              <w:t>229,026</w:t>
            </w:r>
          </w:p>
        </w:tc>
        <w:tc>
          <w:tcPr>
            <w:tcW w:w="1191" w:type="dxa"/>
          </w:tcPr>
          <w:p w14:paraId="5DEE31BD" w14:textId="77777777" w:rsidR="00B02873" w:rsidRDefault="00B02873" w:rsidP="00D41C73">
            <w:pPr>
              <w:pStyle w:val="TablebodyleftFinancialsTables"/>
              <w:jc w:val="right"/>
            </w:pPr>
            <w:r>
              <w:t>212,435</w:t>
            </w:r>
          </w:p>
        </w:tc>
      </w:tr>
      <w:tr w:rsidR="00B02873" w:rsidRPr="00B02873" w14:paraId="037E53D4" w14:textId="77777777" w:rsidTr="00CC0C1B">
        <w:trPr>
          <w:trHeight w:val="60"/>
        </w:trPr>
        <w:tc>
          <w:tcPr>
            <w:tcW w:w="7257" w:type="dxa"/>
          </w:tcPr>
          <w:p w14:paraId="3FBD0A70" w14:textId="77777777" w:rsidR="00B02873" w:rsidRPr="00D41C73" w:rsidRDefault="00B02873" w:rsidP="00CC0C1B">
            <w:pPr>
              <w:pStyle w:val="TablebodyleftFinancialsTables"/>
              <w:rPr>
                <w:b/>
                <w:bCs/>
              </w:rPr>
            </w:pPr>
            <w:r w:rsidRPr="00D41C73">
              <w:rPr>
                <w:b/>
                <w:bCs/>
              </w:rPr>
              <w:t xml:space="preserve">Statutory </w:t>
            </w:r>
          </w:p>
        </w:tc>
        <w:tc>
          <w:tcPr>
            <w:tcW w:w="1190" w:type="dxa"/>
          </w:tcPr>
          <w:p w14:paraId="5246474C" w14:textId="77777777" w:rsidR="00B02873" w:rsidRPr="00D41C73" w:rsidRDefault="00B02873" w:rsidP="00D41C73">
            <w:pPr>
              <w:pStyle w:val="TablebodyleftFinancialsTables"/>
              <w:jc w:val="right"/>
              <w:rPr>
                <w:rFonts w:ascii="VIC Bold Italic" w:hAnsi="VIC Bold Italic" w:cs="Times New Roman"/>
                <w:b/>
                <w:bCs/>
              </w:rPr>
            </w:pPr>
          </w:p>
        </w:tc>
        <w:tc>
          <w:tcPr>
            <w:tcW w:w="1191" w:type="dxa"/>
          </w:tcPr>
          <w:p w14:paraId="6D2A1BED" w14:textId="77777777" w:rsidR="00B02873" w:rsidRPr="00B02873" w:rsidRDefault="00B02873" w:rsidP="00D41C73">
            <w:pPr>
              <w:pStyle w:val="TablebodyleftFinancialsTables"/>
              <w:jc w:val="right"/>
              <w:rPr>
                <w:rFonts w:ascii="VIC Bold Italic" w:hAnsi="VIC Bold Italic" w:cs="Times New Roman"/>
              </w:rPr>
            </w:pPr>
          </w:p>
        </w:tc>
      </w:tr>
      <w:tr w:rsidR="00B02873" w:rsidRPr="00B02873" w14:paraId="4B18CF8D" w14:textId="77777777" w:rsidTr="00CC0C1B">
        <w:trPr>
          <w:trHeight w:val="60"/>
        </w:trPr>
        <w:tc>
          <w:tcPr>
            <w:tcW w:w="7257" w:type="dxa"/>
          </w:tcPr>
          <w:p w14:paraId="2062A1E4" w14:textId="77777777" w:rsidR="00B02873" w:rsidRDefault="00B02873" w:rsidP="00CC0C1B">
            <w:pPr>
              <w:pStyle w:val="TablebodyleftFinancialsTables"/>
            </w:pPr>
            <w:r>
              <w:t>Advances</w:t>
            </w:r>
          </w:p>
        </w:tc>
        <w:tc>
          <w:tcPr>
            <w:tcW w:w="1190" w:type="dxa"/>
          </w:tcPr>
          <w:p w14:paraId="02E97250" w14:textId="77777777" w:rsidR="00B02873" w:rsidRPr="00D41C73" w:rsidRDefault="00B02873" w:rsidP="00D41C73">
            <w:pPr>
              <w:pStyle w:val="TablebodyleftFinancialsTables"/>
              <w:jc w:val="right"/>
              <w:rPr>
                <w:b/>
                <w:bCs/>
              </w:rPr>
            </w:pPr>
            <w:r w:rsidRPr="00D41C73">
              <w:rPr>
                <w:b/>
                <w:bCs/>
              </w:rPr>
              <w:t>18,388</w:t>
            </w:r>
          </w:p>
        </w:tc>
        <w:tc>
          <w:tcPr>
            <w:tcW w:w="1191" w:type="dxa"/>
          </w:tcPr>
          <w:p w14:paraId="50D3094E" w14:textId="77777777" w:rsidR="00B02873" w:rsidRDefault="00B02873" w:rsidP="00D41C73">
            <w:pPr>
              <w:pStyle w:val="TablebodyleftFinancialsTables"/>
              <w:jc w:val="right"/>
            </w:pPr>
            <w:r>
              <w:t>37,901</w:t>
            </w:r>
          </w:p>
        </w:tc>
      </w:tr>
      <w:tr w:rsidR="00B02873" w:rsidRPr="00B02873" w14:paraId="34B8F088" w14:textId="77777777" w:rsidTr="00CC0C1B">
        <w:trPr>
          <w:trHeight w:val="60"/>
        </w:trPr>
        <w:tc>
          <w:tcPr>
            <w:tcW w:w="7257" w:type="dxa"/>
          </w:tcPr>
          <w:p w14:paraId="11DF3961" w14:textId="77777777" w:rsidR="00B02873" w:rsidRDefault="00B02873" w:rsidP="00CC0C1B">
            <w:pPr>
              <w:pStyle w:val="TablebodyleftFinancialsTables"/>
            </w:pPr>
            <w:r>
              <w:lastRenderedPageBreak/>
              <w:t>Taxes payables</w:t>
            </w:r>
          </w:p>
        </w:tc>
        <w:tc>
          <w:tcPr>
            <w:tcW w:w="1190" w:type="dxa"/>
          </w:tcPr>
          <w:p w14:paraId="3BA8F9F5" w14:textId="77777777" w:rsidR="00B02873" w:rsidRPr="00D41C73" w:rsidRDefault="00B02873" w:rsidP="00D41C73">
            <w:pPr>
              <w:pStyle w:val="TablebodyleftFinancialsTables"/>
              <w:jc w:val="right"/>
              <w:rPr>
                <w:b/>
                <w:bCs/>
              </w:rPr>
            </w:pPr>
            <w:r w:rsidRPr="00D41C73">
              <w:rPr>
                <w:b/>
                <w:bCs/>
              </w:rPr>
              <w:t>12,901</w:t>
            </w:r>
          </w:p>
        </w:tc>
        <w:tc>
          <w:tcPr>
            <w:tcW w:w="1191" w:type="dxa"/>
          </w:tcPr>
          <w:p w14:paraId="5C89FCED" w14:textId="77777777" w:rsidR="00B02873" w:rsidRDefault="00B02873" w:rsidP="00D41C73">
            <w:pPr>
              <w:pStyle w:val="TablebodyleftFinancialsTables"/>
              <w:jc w:val="right"/>
            </w:pPr>
            <w:r>
              <w:t>10,338</w:t>
            </w:r>
          </w:p>
        </w:tc>
      </w:tr>
      <w:tr w:rsidR="00B02873" w:rsidRPr="00B02873" w14:paraId="0EB4E41C" w14:textId="77777777" w:rsidTr="00CC0C1B">
        <w:trPr>
          <w:trHeight w:val="60"/>
        </w:trPr>
        <w:tc>
          <w:tcPr>
            <w:tcW w:w="7257" w:type="dxa"/>
          </w:tcPr>
          <w:p w14:paraId="35F0627B" w14:textId="77777777" w:rsidR="00B02873" w:rsidRPr="00B02873" w:rsidRDefault="00B02873" w:rsidP="00CC0C1B">
            <w:pPr>
              <w:pStyle w:val="TablebodyleftFinancialsTables"/>
              <w:rPr>
                <w:rFonts w:ascii="VIC Bold Italic" w:hAnsi="VIC Bold Italic" w:cs="Times New Roman"/>
              </w:rPr>
            </w:pPr>
          </w:p>
        </w:tc>
        <w:tc>
          <w:tcPr>
            <w:tcW w:w="1190" w:type="dxa"/>
          </w:tcPr>
          <w:p w14:paraId="61FED0B0" w14:textId="77777777" w:rsidR="00B02873" w:rsidRPr="00D41C73" w:rsidRDefault="00B02873" w:rsidP="00D41C73">
            <w:pPr>
              <w:pStyle w:val="TablebodyleftFinancialsTables"/>
              <w:jc w:val="right"/>
              <w:rPr>
                <w:b/>
                <w:bCs/>
              </w:rPr>
            </w:pPr>
            <w:r w:rsidRPr="00D41C73">
              <w:rPr>
                <w:b/>
                <w:bCs/>
              </w:rPr>
              <w:t>31,289</w:t>
            </w:r>
          </w:p>
        </w:tc>
        <w:tc>
          <w:tcPr>
            <w:tcW w:w="1191" w:type="dxa"/>
          </w:tcPr>
          <w:p w14:paraId="0798DF23" w14:textId="77777777" w:rsidR="00B02873" w:rsidRDefault="00B02873" w:rsidP="00D41C73">
            <w:pPr>
              <w:pStyle w:val="TablebodyleftFinancialsTables"/>
              <w:jc w:val="right"/>
            </w:pPr>
            <w:r>
              <w:t>48,239</w:t>
            </w:r>
          </w:p>
        </w:tc>
      </w:tr>
      <w:tr w:rsidR="00B02873" w:rsidRPr="00B02873" w14:paraId="60176292" w14:textId="77777777" w:rsidTr="00CC0C1B">
        <w:trPr>
          <w:trHeight w:val="60"/>
        </w:trPr>
        <w:tc>
          <w:tcPr>
            <w:tcW w:w="7257" w:type="dxa"/>
          </w:tcPr>
          <w:p w14:paraId="4C9FC7F5" w14:textId="77777777" w:rsidR="00B02873" w:rsidRPr="00D41C73" w:rsidRDefault="00B02873" w:rsidP="00CC0C1B">
            <w:pPr>
              <w:pStyle w:val="TablebodyleftFinancialsTables"/>
              <w:rPr>
                <w:b/>
                <w:bCs/>
              </w:rPr>
            </w:pPr>
            <w:r w:rsidRPr="00D41C73">
              <w:rPr>
                <w:b/>
                <w:bCs/>
              </w:rPr>
              <w:t>Total current payables</w:t>
            </w:r>
          </w:p>
        </w:tc>
        <w:tc>
          <w:tcPr>
            <w:tcW w:w="1190" w:type="dxa"/>
          </w:tcPr>
          <w:p w14:paraId="28C6EE47" w14:textId="77777777" w:rsidR="00B02873" w:rsidRPr="00D41C73" w:rsidRDefault="00B02873" w:rsidP="00D41C73">
            <w:pPr>
              <w:pStyle w:val="TablebodyleftFinancialsTables"/>
              <w:jc w:val="right"/>
              <w:rPr>
                <w:b/>
                <w:bCs/>
              </w:rPr>
            </w:pPr>
            <w:r w:rsidRPr="00D41C73">
              <w:rPr>
                <w:b/>
                <w:bCs/>
              </w:rPr>
              <w:t>260,315</w:t>
            </w:r>
          </w:p>
        </w:tc>
        <w:tc>
          <w:tcPr>
            <w:tcW w:w="1191" w:type="dxa"/>
          </w:tcPr>
          <w:p w14:paraId="72AFDF53" w14:textId="77777777" w:rsidR="00B02873" w:rsidRDefault="00B02873" w:rsidP="00D41C73">
            <w:pPr>
              <w:pStyle w:val="TablebodyleftFinancialsTables"/>
              <w:jc w:val="right"/>
            </w:pPr>
            <w:r>
              <w:t>260,674</w:t>
            </w:r>
          </w:p>
        </w:tc>
      </w:tr>
    </w:tbl>
    <w:p w14:paraId="7C2D58C5" w14:textId="77777777" w:rsidR="00B02873" w:rsidRDefault="00B02873" w:rsidP="00FE198A"/>
    <w:p w14:paraId="72B386AF" w14:textId="77777777" w:rsidR="00B02873" w:rsidRDefault="00B02873" w:rsidP="00FE198A">
      <w:r>
        <w:t>Payables includes short and long term trade debt and accounts payable, grants, taxes and interest payable, and other financial liabilities.</w:t>
      </w:r>
    </w:p>
    <w:p w14:paraId="6C42D0FF" w14:textId="77777777" w:rsidR="00B02873" w:rsidRDefault="00B02873" w:rsidP="00D41C73">
      <w:pPr>
        <w:pStyle w:val="Normalbeforebullet"/>
      </w:pPr>
      <w:r>
        <w:t>Payables consist of:</w:t>
      </w:r>
    </w:p>
    <w:p w14:paraId="5A58B65B" w14:textId="77777777" w:rsidR="00B02873" w:rsidRDefault="00B02873" w:rsidP="00B02873">
      <w:pPr>
        <w:pStyle w:val="Bullet1Lists"/>
      </w:pPr>
      <w:r>
        <w:t>Contractual payables, such as trade creditors and accruals, classified as financial instruments and measured at amortised cost. Trade creditors and accruals represent liabilities for goods and services provided to the department prior to the end of the financial year that are unpaid.</w:t>
      </w:r>
    </w:p>
    <w:p w14:paraId="1858944F" w14:textId="77777777" w:rsidR="00B02873" w:rsidRDefault="00B02873" w:rsidP="00D41C73">
      <w:pPr>
        <w:pStyle w:val="Bullet1Listslast"/>
      </w:pPr>
      <w:r>
        <w:t>Statutory payables, such as goods and services tax and fringe benefits tax payables, and advances from the Public Account, that are recognised and measured similarly to contractual payables, but are not classified as financial instruments and not included in the category of financial liabilities at amortised cost, because they do not arise from contracts.</w:t>
      </w:r>
    </w:p>
    <w:p w14:paraId="193E469C" w14:textId="2AC7F35E" w:rsidR="00B02873" w:rsidRDefault="00B02873" w:rsidP="00FE198A">
      <w:r>
        <w:t xml:space="preserve">The average credit period is 30 days. No interest is charged on the trade creditors or other payables for the first 30 days from the date of the invoice. Thereafter, interest may be charged at differing rates determined by the individual trade arrangements entered into. In response to the COVID-19 pandemic, the department is in compliance with the whole of government policy of making payments to suppliers in 10 business days. </w:t>
      </w:r>
    </w:p>
    <w:p w14:paraId="05279316" w14:textId="03AFBBC0" w:rsidR="00B02873" w:rsidRDefault="00B02873" w:rsidP="00FE198A">
      <w:r>
        <w:t xml:space="preserve">Advances mainly include advances from the Public Account made pursuant to section 37 of the </w:t>
      </w:r>
      <w:r w:rsidRPr="00D41C73">
        <w:rPr>
          <w:rStyle w:val="LightItalic"/>
          <w:rFonts w:asciiTheme="minorHAnsi" w:hAnsiTheme="minorHAnsi" w:cstheme="minorHAnsi"/>
        </w:rPr>
        <w:t>Financial Management Act 1994</w:t>
      </w:r>
      <w:r w:rsidRPr="00D41C73">
        <w:rPr>
          <w:rFonts w:asciiTheme="minorHAnsi" w:hAnsiTheme="minorHAnsi" w:cstheme="minorHAnsi"/>
        </w:rPr>
        <w:t xml:space="preserve"> </w:t>
      </w:r>
      <w:r>
        <w:t>and represent payments made in advance of receiving appropriation funding. These advances are recognised at the gross value of amounts owing and are not discounted to the present value of future cash flows.</w:t>
      </w:r>
    </w:p>
    <w:p w14:paraId="5A42603F" w14:textId="77777777" w:rsidR="00B02873" w:rsidRDefault="00B02873" w:rsidP="00D41C73">
      <w:pPr>
        <w:pStyle w:val="TabletitleTables"/>
      </w:pPr>
      <w:r>
        <w:t>6.3.1 Maturity analysis of contractual payables</w:t>
      </w:r>
    </w:p>
    <w:tbl>
      <w:tblPr>
        <w:tblStyle w:val="TableGrid"/>
        <w:tblW w:w="9747" w:type="dxa"/>
        <w:tblLayout w:type="fixed"/>
        <w:tblLook w:val="0020" w:firstRow="1" w:lastRow="0" w:firstColumn="0" w:lastColumn="0" w:noHBand="0" w:noVBand="0"/>
      </w:tblPr>
      <w:tblGrid>
        <w:gridCol w:w="2494"/>
        <w:gridCol w:w="1021"/>
        <w:gridCol w:w="1020"/>
        <w:gridCol w:w="1130"/>
        <w:gridCol w:w="1020"/>
        <w:gridCol w:w="1021"/>
        <w:gridCol w:w="1020"/>
        <w:gridCol w:w="1021"/>
      </w:tblGrid>
      <w:tr w:rsidR="00AB7EE1" w:rsidRPr="00B02873" w14:paraId="38880C60" w14:textId="77777777" w:rsidTr="00AB7EE1">
        <w:trPr>
          <w:cnfStyle w:val="100000000000" w:firstRow="1" w:lastRow="0" w:firstColumn="0" w:lastColumn="0" w:oddVBand="0" w:evenVBand="0" w:oddHBand="0" w:evenHBand="0" w:firstRowFirstColumn="0" w:firstRowLastColumn="0" w:lastRowFirstColumn="0" w:lastRowLastColumn="0"/>
        </w:trPr>
        <w:tc>
          <w:tcPr>
            <w:tcW w:w="2494" w:type="dxa"/>
          </w:tcPr>
          <w:p w14:paraId="642E3D24" w14:textId="77777777" w:rsidR="00AB7EE1" w:rsidRPr="00B02873" w:rsidRDefault="00AB7EE1" w:rsidP="00AB7EE1">
            <w:pPr>
              <w:pStyle w:val="TableheadingleftFinancialsTables"/>
            </w:pPr>
          </w:p>
        </w:tc>
        <w:tc>
          <w:tcPr>
            <w:tcW w:w="1021" w:type="dxa"/>
          </w:tcPr>
          <w:p w14:paraId="5CEC8CA1" w14:textId="78C19D0C" w:rsidR="00AB7EE1" w:rsidRPr="00B02873" w:rsidRDefault="00AB7EE1" w:rsidP="00AB7EE1">
            <w:pPr>
              <w:pStyle w:val="TableheadingleftFinancialsTables"/>
              <w:jc w:val="right"/>
            </w:pPr>
            <w:r>
              <w:t xml:space="preserve">Carrying amount </w:t>
            </w:r>
            <w:r>
              <w:br/>
              <w:t>$’000</w:t>
            </w:r>
          </w:p>
        </w:tc>
        <w:tc>
          <w:tcPr>
            <w:tcW w:w="1020" w:type="dxa"/>
          </w:tcPr>
          <w:p w14:paraId="79DBF4AC" w14:textId="36B2D5B6" w:rsidR="00AB7EE1" w:rsidRPr="00B02873" w:rsidRDefault="00AB7EE1" w:rsidP="00AB7EE1">
            <w:pPr>
              <w:pStyle w:val="TableheadingleftFinancialsTables"/>
              <w:jc w:val="right"/>
            </w:pPr>
            <w:r>
              <w:t>Nominal</w:t>
            </w:r>
            <w:r>
              <w:br/>
              <w:t xml:space="preserve">amount </w:t>
            </w:r>
            <w:r>
              <w:rPr>
                <w:vertAlign w:val="superscript"/>
              </w:rPr>
              <w:t>(i)</w:t>
            </w:r>
            <w:r>
              <w:br/>
              <w:t>$‘000</w:t>
            </w:r>
          </w:p>
        </w:tc>
        <w:tc>
          <w:tcPr>
            <w:tcW w:w="1130" w:type="dxa"/>
          </w:tcPr>
          <w:p w14:paraId="064651D0" w14:textId="478DCD45" w:rsidR="00AB7EE1" w:rsidRDefault="00AB7EE1" w:rsidP="00AB7EE1">
            <w:pPr>
              <w:pStyle w:val="TableheadingleftFinancialsTables"/>
              <w:jc w:val="right"/>
            </w:pPr>
            <w:r>
              <w:t>Maturity dates Less than 1 month</w:t>
            </w:r>
            <w:r>
              <w:br/>
              <w:t>$‘000</w:t>
            </w:r>
          </w:p>
        </w:tc>
        <w:tc>
          <w:tcPr>
            <w:tcW w:w="1020" w:type="dxa"/>
          </w:tcPr>
          <w:p w14:paraId="52BD5E9F" w14:textId="5323D448" w:rsidR="00AB7EE1" w:rsidRDefault="00AB7EE1" w:rsidP="00AB7EE1">
            <w:pPr>
              <w:pStyle w:val="TableheadingleftFinancialsTables"/>
              <w:jc w:val="right"/>
            </w:pPr>
            <w:r>
              <w:t>Maturity dates 1 month – 3 months</w:t>
            </w:r>
            <w:r>
              <w:br/>
              <w:t>$‘000</w:t>
            </w:r>
          </w:p>
        </w:tc>
        <w:tc>
          <w:tcPr>
            <w:tcW w:w="1021" w:type="dxa"/>
          </w:tcPr>
          <w:p w14:paraId="45E3CD3B" w14:textId="347DDBD9" w:rsidR="00AB7EE1" w:rsidRDefault="00AB7EE1" w:rsidP="00AB7EE1">
            <w:pPr>
              <w:pStyle w:val="TableheadingleftFinancialsTables"/>
              <w:jc w:val="right"/>
            </w:pPr>
            <w:r>
              <w:t>Maturity dates 3 months – 1 year</w:t>
            </w:r>
            <w:r>
              <w:br/>
              <w:t>$‘000</w:t>
            </w:r>
          </w:p>
        </w:tc>
        <w:tc>
          <w:tcPr>
            <w:tcW w:w="1020" w:type="dxa"/>
          </w:tcPr>
          <w:p w14:paraId="4F45379C" w14:textId="015303AA" w:rsidR="00AB7EE1" w:rsidRDefault="00AB7EE1" w:rsidP="00AB7EE1">
            <w:pPr>
              <w:pStyle w:val="TableheadingleftFinancialsTables"/>
              <w:jc w:val="right"/>
            </w:pPr>
            <w:r>
              <w:t>Maturity dates 1–5 years</w:t>
            </w:r>
            <w:r>
              <w:br/>
              <w:t>$‘000</w:t>
            </w:r>
          </w:p>
        </w:tc>
        <w:tc>
          <w:tcPr>
            <w:tcW w:w="1021" w:type="dxa"/>
          </w:tcPr>
          <w:p w14:paraId="2D733A15" w14:textId="3DB37854" w:rsidR="00AB7EE1" w:rsidRDefault="00AB7EE1" w:rsidP="00AB7EE1">
            <w:pPr>
              <w:pStyle w:val="TableheadingleftFinancialsTables"/>
              <w:jc w:val="right"/>
            </w:pPr>
            <w:r>
              <w:t>Maturity dates 5+ years</w:t>
            </w:r>
            <w:r>
              <w:br/>
              <w:t>$‘000</w:t>
            </w:r>
          </w:p>
        </w:tc>
      </w:tr>
      <w:tr w:rsidR="00AB7EE1" w:rsidRPr="00AB7EE1" w14:paraId="254C6C6D" w14:textId="77777777" w:rsidTr="00AB7EE1">
        <w:tc>
          <w:tcPr>
            <w:tcW w:w="2494" w:type="dxa"/>
          </w:tcPr>
          <w:p w14:paraId="564F830F" w14:textId="77777777" w:rsidR="00AB7EE1" w:rsidRPr="00AB7EE1" w:rsidRDefault="00AB7EE1" w:rsidP="00AB7EE1">
            <w:pPr>
              <w:pStyle w:val="TablebodyleftFinancialsTables"/>
              <w:rPr>
                <w:rFonts w:asciiTheme="minorHAnsi" w:hAnsiTheme="minorHAnsi" w:cstheme="minorHAnsi"/>
                <w:b/>
                <w:bCs/>
              </w:rPr>
            </w:pPr>
            <w:r w:rsidRPr="00AB7EE1">
              <w:rPr>
                <w:rFonts w:asciiTheme="minorHAnsi" w:hAnsiTheme="minorHAnsi" w:cstheme="minorHAnsi"/>
                <w:b/>
                <w:bCs/>
              </w:rPr>
              <w:t>2022</w:t>
            </w:r>
          </w:p>
        </w:tc>
        <w:tc>
          <w:tcPr>
            <w:tcW w:w="1021" w:type="dxa"/>
          </w:tcPr>
          <w:p w14:paraId="4363BB87" w14:textId="77777777" w:rsidR="00AB7EE1" w:rsidRPr="00AB7EE1" w:rsidRDefault="00AB7EE1" w:rsidP="00AB7EE1">
            <w:pPr>
              <w:pStyle w:val="TablebodyleftFinancialsTables"/>
              <w:jc w:val="right"/>
              <w:rPr>
                <w:rFonts w:asciiTheme="minorHAnsi" w:hAnsiTheme="minorHAnsi" w:cstheme="minorHAnsi"/>
              </w:rPr>
            </w:pPr>
          </w:p>
        </w:tc>
        <w:tc>
          <w:tcPr>
            <w:tcW w:w="1020" w:type="dxa"/>
          </w:tcPr>
          <w:p w14:paraId="641E0527" w14:textId="77777777" w:rsidR="00AB7EE1" w:rsidRPr="00AB7EE1" w:rsidRDefault="00AB7EE1" w:rsidP="00AB7EE1">
            <w:pPr>
              <w:pStyle w:val="TablebodyleftFinancialsTables"/>
              <w:jc w:val="right"/>
              <w:rPr>
                <w:rFonts w:asciiTheme="minorHAnsi" w:hAnsiTheme="minorHAnsi" w:cstheme="minorHAnsi"/>
              </w:rPr>
            </w:pPr>
          </w:p>
        </w:tc>
        <w:tc>
          <w:tcPr>
            <w:tcW w:w="1130" w:type="dxa"/>
          </w:tcPr>
          <w:p w14:paraId="6EB8A493" w14:textId="77777777" w:rsidR="00AB7EE1" w:rsidRPr="00AB7EE1" w:rsidRDefault="00AB7EE1" w:rsidP="00AB7EE1">
            <w:pPr>
              <w:pStyle w:val="TablebodyleftFinancialsTables"/>
              <w:jc w:val="right"/>
              <w:rPr>
                <w:rFonts w:asciiTheme="minorHAnsi" w:hAnsiTheme="minorHAnsi" w:cstheme="minorHAnsi"/>
              </w:rPr>
            </w:pPr>
          </w:p>
        </w:tc>
        <w:tc>
          <w:tcPr>
            <w:tcW w:w="1020" w:type="dxa"/>
          </w:tcPr>
          <w:p w14:paraId="3C8E7B76" w14:textId="77777777" w:rsidR="00AB7EE1" w:rsidRPr="00AB7EE1" w:rsidRDefault="00AB7EE1" w:rsidP="00AB7EE1">
            <w:pPr>
              <w:pStyle w:val="TablebodyleftFinancialsTables"/>
              <w:jc w:val="right"/>
              <w:rPr>
                <w:rFonts w:asciiTheme="minorHAnsi" w:hAnsiTheme="minorHAnsi" w:cstheme="minorHAnsi"/>
              </w:rPr>
            </w:pPr>
          </w:p>
        </w:tc>
        <w:tc>
          <w:tcPr>
            <w:tcW w:w="1021" w:type="dxa"/>
          </w:tcPr>
          <w:p w14:paraId="4123329D" w14:textId="77777777" w:rsidR="00AB7EE1" w:rsidRPr="00AB7EE1" w:rsidRDefault="00AB7EE1" w:rsidP="00AB7EE1">
            <w:pPr>
              <w:pStyle w:val="TablebodyleftFinancialsTables"/>
              <w:jc w:val="right"/>
              <w:rPr>
                <w:rFonts w:asciiTheme="minorHAnsi" w:hAnsiTheme="minorHAnsi" w:cstheme="minorHAnsi"/>
              </w:rPr>
            </w:pPr>
          </w:p>
        </w:tc>
        <w:tc>
          <w:tcPr>
            <w:tcW w:w="1020" w:type="dxa"/>
          </w:tcPr>
          <w:p w14:paraId="7E597537" w14:textId="77777777" w:rsidR="00AB7EE1" w:rsidRPr="00AB7EE1" w:rsidRDefault="00AB7EE1" w:rsidP="00AB7EE1">
            <w:pPr>
              <w:pStyle w:val="TablebodyleftFinancialsTables"/>
              <w:jc w:val="right"/>
              <w:rPr>
                <w:rFonts w:asciiTheme="minorHAnsi" w:hAnsiTheme="minorHAnsi" w:cstheme="minorHAnsi"/>
              </w:rPr>
            </w:pPr>
          </w:p>
        </w:tc>
        <w:tc>
          <w:tcPr>
            <w:tcW w:w="1021" w:type="dxa"/>
          </w:tcPr>
          <w:p w14:paraId="48F2CA6C" w14:textId="77777777" w:rsidR="00AB7EE1" w:rsidRPr="00AB7EE1" w:rsidRDefault="00AB7EE1" w:rsidP="00AB7EE1">
            <w:pPr>
              <w:pStyle w:val="TablebodyleftFinancialsTables"/>
              <w:jc w:val="right"/>
              <w:rPr>
                <w:rFonts w:asciiTheme="minorHAnsi" w:hAnsiTheme="minorHAnsi" w:cstheme="minorHAnsi"/>
              </w:rPr>
            </w:pPr>
          </w:p>
        </w:tc>
      </w:tr>
      <w:tr w:rsidR="00AB7EE1" w:rsidRPr="00B02873" w14:paraId="6AE855DE" w14:textId="77777777" w:rsidTr="00AB7EE1">
        <w:tc>
          <w:tcPr>
            <w:tcW w:w="2494" w:type="dxa"/>
          </w:tcPr>
          <w:p w14:paraId="7FE8473E" w14:textId="77777777" w:rsidR="00AB7EE1" w:rsidRDefault="00AB7EE1" w:rsidP="00AB7EE1">
            <w:pPr>
              <w:pStyle w:val="TablebodyleftFinancialsTables"/>
            </w:pPr>
            <w:r>
              <w:t>Trade creditors</w:t>
            </w:r>
          </w:p>
        </w:tc>
        <w:tc>
          <w:tcPr>
            <w:tcW w:w="1021" w:type="dxa"/>
          </w:tcPr>
          <w:p w14:paraId="0D0217D4" w14:textId="77777777" w:rsidR="00AB7EE1" w:rsidRPr="00AB7EE1" w:rsidRDefault="00AB7EE1" w:rsidP="00AB7EE1">
            <w:pPr>
              <w:pStyle w:val="TablebodyleftFinancialsTables"/>
              <w:jc w:val="right"/>
              <w:rPr>
                <w:b/>
                <w:bCs/>
              </w:rPr>
            </w:pPr>
            <w:r w:rsidRPr="00AB7EE1">
              <w:rPr>
                <w:b/>
                <w:bCs/>
              </w:rPr>
              <w:t>8,828</w:t>
            </w:r>
          </w:p>
        </w:tc>
        <w:tc>
          <w:tcPr>
            <w:tcW w:w="1020" w:type="dxa"/>
          </w:tcPr>
          <w:p w14:paraId="2458CEB3" w14:textId="77777777" w:rsidR="00AB7EE1" w:rsidRPr="00AB7EE1" w:rsidRDefault="00AB7EE1" w:rsidP="00AB7EE1">
            <w:pPr>
              <w:pStyle w:val="TablebodyleftFinancialsTables"/>
              <w:jc w:val="right"/>
              <w:rPr>
                <w:b/>
                <w:bCs/>
              </w:rPr>
            </w:pPr>
            <w:r w:rsidRPr="00AB7EE1">
              <w:rPr>
                <w:b/>
                <w:bCs/>
              </w:rPr>
              <w:t>8,828</w:t>
            </w:r>
          </w:p>
        </w:tc>
        <w:tc>
          <w:tcPr>
            <w:tcW w:w="1130" w:type="dxa"/>
          </w:tcPr>
          <w:p w14:paraId="7DFE62B8" w14:textId="77777777" w:rsidR="00AB7EE1" w:rsidRPr="00AB7EE1" w:rsidRDefault="00AB7EE1" w:rsidP="00AB7EE1">
            <w:pPr>
              <w:pStyle w:val="TablebodyleftFinancialsTables"/>
              <w:jc w:val="right"/>
              <w:rPr>
                <w:b/>
                <w:bCs/>
              </w:rPr>
            </w:pPr>
            <w:r w:rsidRPr="00AB7EE1">
              <w:rPr>
                <w:b/>
                <w:bCs/>
              </w:rPr>
              <w:t>7,074</w:t>
            </w:r>
          </w:p>
        </w:tc>
        <w:tc>
          <w:tcPr>
            <w:tcW w:w="1020" w:type="dxa"/>
          </w:tcPr>
          <w:p w14:paraId="231E27CE" w14:textId="77777777" w:rsidR="00AB7EE1" w:rsidRPr="00AB7EE1" w:rsidRDefault="00AB7EE1" w:rsidP="00AB7EE1">
            <w:pPr>
              <w:pStyle w:val="TablebodyleftFinancialsTables"/>
              <w:jc w:val="right"/>
              <w:rPr>
                <w:b/>
                <w:bCs/>
              </w:rPr>
            </w:pPr>
            <w:r w:rsidRPr="00AB7EE1">
              <w:rPr>
                <w:b/>
                <w:bCs/>
              </w:rPr>
              <w:t>1,034</w:t>
            </w:r>
          </w:p>
        </w:tc>
        <w:tc>
          <w:tcPr>
            <w:tcW w:w="1021" w:type="dxa"/>
          </w:tcPr>
          <w:p w14:paraId="56E9C028" w14:textId="77777777" w:rsidR="00AB7EE1" w:rsidRPr="00AB7EE1" w:rsidRDefault="00AB7EE1" w:rsidP="00AB7EE1">
            <w:pPr>
              <w:pStyle w:val="TablebodyleftFinancialsTables"/>
              <w:jc w:val="right"/>
              <w:rPr>
                <w:b/>
                <w:bCs/>
              </w:rPr>
            </w:pPr>
            <w:r w:rsidRPr="00AB7EE1">
              <w:rPr>
                <w:b/>
                <w:bCs/>
              </w:rPr>
              <w:t>720</w:t>
            </w:r>
          </w:p>
        </w:tc>
        <w:tc>
          <w:tcPr>
            <w:tcW w:w="1020" w:type="dxa"/>
          </w:tcPr>
          <w:p w14:paraId="607DB2D1" w14:textId="77777777" w:rsidR="00AB7EE1" w:rsidRPr="00AB7EE1" w:rsidRDefault="00AB7EE1" w:rsidP="00AB7EE1">
            <w:pPr>
              <w:pStyle w:val="TablebodyleftFinancialsTables"/>
              <w:jc w:val="right"/>
              <w:rPr>
                <w:b/>
                <w:bCs/>
              </w:rPr>
            </w:pPr>
            <w:r w:rsidRPr="00AB7EE1">
              <w:rPr>
                <w:b/>
                <w:bCs/>
              </w:rPr>
              <w:t>–</w:t>
            </w:r>
          </w:p>
        </w:tc>
        <w:tc>
          <w:tcPr>
            <w:tcW w:w="1021" w:type="dxa"/>
          </w:tcPr>
          <w:p w14:paraId="5141F888" w14:textId="77777777" w:rsidR="00AB7EE1" w:rsidRPr="00AB7EE1" w:rsidRDefault="00AB7EE1" w:rsidP="00AB7EE1">
            <w:pPr>
              <w:pStyle w:val="TablebodyleftFinancialsTables"/>
              <w:jc w:val="right"/>
              <w:rPr>
                <w:b/>
                <w:bCs/>
              </w:rPr>
            </w:pPr>
            <w:r w:rsidRPr="00AB7EE1">
              <w:rPr>
                <w:b/>
                <w:bCs/>
              </w:rPr>
              <w:t>–</w:t>
            </w:r>
          </w:p>
        </w:tc>
      </w:tr>
      <w:tr w:rsidR="00AB7EE1" w:rsidRPr="00B02873" w14:paraId="0A22C428" w14:textId="77777777" w:rsidTr="00AB7EE1">
        <w:tc>
          <w:tcPr>
            <w:tcW w:w="2494" w:type="dxa"/>
          </w:tcPr>
          <w:p w14:paraId="6E330508" w14:textId="1AA12C94" w:rsidR="00AB7EE1" w:rsidRDefault="00AB7EE1" w:rsidP="00AB7EE1">
            <w:pPr>
              <w:pStyle w:val="TablebodyleftFinancialsTables"/>
            </w:pPr>
            <w:r>
              <w:t>Accrued grants and other transfers</w:t>
            </w:r>
          </w:p>
        </w:tc>
        <w:tc>
          <w:tcPr>
            <w:tcW w:w="1021" w:type="dxa"/>
          </w:tcPr>
          <w:p w14:paraId="3654E696" w14:textId="77777777" w:rsidR="00AB7EE1" w:rsidRPr="00AB7EE1" w:rsidRDefault="00AB7EE1" w:rsidP="00AB7EE1">
            <w:pPr>
              <w:pStyle w:val="TablebodyleftFinancialsTables"/>
              <w:jc w:val="right"/>
              <w:rPr>
                <w:b/>
                <w:bCs/>
              </w:rPr>
            </w:pPr>
            <w:r w:rsidRPr="00AB7EE1">
              <w:rPr>
                <w:b/>
                <w:bCs/>
              </w:rPr>
              <w:t>106,071</w:t>
            </w:r>
          </w:p>
        </w:tc>
        <w:tc>
          <w:tcPr>
            <w:tcW w:w="1020" w:type="dxa"/>
          </w:tcPr>
          <w:p w14:paraId="721EEADF" w14:textId="77777777" w:rsidR="00AB7EE1" w:rsidRPr="00AB7EE1" w:rsidRDefault="00AB7EE1" w:rsidP="00AB7EE1">
            <w:pPr>
              <w:pStyle w:val="TablebodyleftFinancialsTables"/>
              <w:jc w:val="right"/>
              <w:rPr>
                <w:b/>
                <w:bCs/>
              </w:rPr>
            </w:pPr>
            <w:r w:rsidRPr="00AB7EE1">
              <w:rPr>
                <w:b/>
                <w:bCs/>
              </w:rPr>
              <w:t>106,071</w:t>
            </w:r>
          </w:p>
        </w:tc>
        <w:tc>
          <w:tcPr>
            <w:tcW w:w="1130" w:type="dxa"/>
          </w:tcPr>
          <w:p w14:paraId="272559CF" w14:textId="77777777" w:rsidR="00AB7EE1" w:rsidRPr="00AB7EE1" w:rsidRDefault="00AB7EE1" w:rsidP="00AB7EE1">
            <w:pPr>
              <w:pStyle w:val="TablebodyleftFinancialsTables"/>
              <w:jc w:val="right"/>
              <w:rPr>
                <w:b/>
                <w:bCs/>
              </w:rPr>
            </w:pPr>
            <w:r w:rsidRPr="00AB7EE1">
              <w:rPr>
                <w:b/>
                <w:bCs/>
              </w:rPr>
              <w:t>106,071</w:t>
            </w:r>
          </w:p>
        </w:tc>
        <w:tc>
          <w:tcPr>
            <w:tcW w:w="1020" w:type="dxa"/>
          </w:tcPr>
          <w:p w14:paraId="5EF32A25" w14:textId="77777777" w:rsidR="00AB7EE1" w:rsidRPr="00AB7EE1" w:rsidRDefault="00AB7EE1" w:rsidP="00AB7EE1">
            <w:pPr>
              <w:pStyle w:val="TablebodyleftFinancialsTables"/>
              <w:jc w:val="right"/>
              <w:rPr>
                <w:b/>
                <w:bCs/>
              </w:rPr>
            </w:pPr>
            <w:r w:rsidRPr="00AB7EE1">
              <w:rPr>
                <w:b/>
                <w:bCs/>
              </w:rPr>
              <w:t>–</w:t>
            </w:r>
          </w:p>
        </w:tc>
        <w:tc>
          <w:tcPr>
            <w:tcW w:w="1021" w:type="dxa"/>
          </w:tcPr>
          <w:p w14:paraId="31A4C660" w14:textId="77777777" w:rsidR="00AB7EE1" w:rsidRPr="00AB7EE1" w:rsidRDefault="00AB7EE1" w:rsidP="00AB7EE1">
            <w:pPr>
              <w:pStyle w:val="TablebodyleftFinancialsTables"/>
              <w:jc w:val="right"/>
              <w:rPr>
                <w:b/>
                <w:bCs/>
              </w:rPr>
            </w:pPr>
            <w:r w:rsidRPr="00AB7EE1">
              <w:rPr>
                <w:b/>
                <w:bCs/>
              </w:rPr>
              <w:t>–</w:t>
            </w:r>
          </w:p>
        </w:tc>
        <w:tc>
          <w:tcPr>
            <w:tcW w:w="1020" w:type="dxa"/>
          </w:tcPr>
          <w:p w14:paraId="195B3129" w14:textId="77777777" w:rsidR="00AB7EE1" w:rsidRPr="00AB7EE1" w:rsidRDefault="00AB7EE1" w:rsidP="00AB7EE1">
            <w:pPr>
              <w:pStyle w:val="TablebodyleftFinancialsTables"/>
              <w:jc w:val="right"/>
              <w:rPr>
                <w:b/>
                <w:bCs/>
              </w:rPr>
            </w:pPr>
            <w:r w:rsidRPr="00AB7EE1">
              <w:rPr>
                <w:b/>
                <w:bCs/>
              </w:rPr>
              <w:t>–</w:t>
            </w:r>
          </w:p>
        </w:tc>
        <w:tc>
          <w:tcPr>
            <w:tcW w:w="1021" w:type="dxa"/>
          </w:tcPr>
          <w:p w14:paraId="5A79B507" w14:textId="77777777" w:rsidR="00AB7EE1" w:rsidRPr="00AB7EE1" w:rsidRDefault="00AB7EE1" w:rsidP="00AB7EE1">
            <w:pPr>
              <w:pStyle w:val="TablebodyleftFinancialsTables"/>
              <w:jc w:val="right"/>
              <w:rPr>
                <w:b/>
                <w:bCs/>
              </w:rPr>
            </w:pPr>
            <w:r w:rsidRPr="00AB7EE1">
              <w:rPr>
                <w:b/>
                <w:bCs/>
              </w:rPr>
              <w:t>–</w:t>
            </w:r>
          </w:p>
        </w:tc>
      </w:tr>
      <w:tr w:rsidR="00AB7EE1" w:rsidRPr="00B02873" w14:paraId="05E9C1B5" w14:textId="77777777" w:rsidTr="00AB7EE1">
        <w:tc>
          <w:tcPr>
            <w:tcW w:w="2494" w:type="dxa"/>
          </w:tcPr>
          <w:p w14:paraId="72CBFA9C" w14:textId="77777777" w:rsidR="00AB7EE1" w:rsidRDefault="00AB7EE1" w:rsidP="00AB7EE1">
            <w:pPr>
              <w:pStyle w:val="TablebodyleftFinancialsTables"/>
            </w:pPr>
            <w:r>
              <w:t>Capital accruals</w:t>
            </w:r>
          </w:p>
        </w:tc>
        <w:tc>
          <w:tcPr>
            <w:tcW w:w="1021" w:type="dxa"/>
          </w:tcPr>
          <w:p w14:paraId="165A28D6" w14:textId="77777777" w:rsidR="00AB7EE1" w:rsidRPr="00AB7EE1" w:rsidRDefault="00AB7EE1" w:rsidP="00AB7EE1">
            <w:pPr>
              <w:pStyle w:val="TablebodyleftFinancialsTables"/>
              <w:jc w:val="right"/>
              <w:rPr>
                <w:b/>
                <w:bCs/>
              </w:rPr>
            </w:pPr>
            <w:r w:rsidRPr="00AB7EE1">
              <w:rPr>
                <w:b/>
                <w:bCs/>
              </w:rPr>
              <w:t>4,446</w:t>
            </w:r>
          </w:p>
        </w:tc>
        <w:tc>
          <w:tcPr>
            <w:tcW w:w="1020" w:type="dxa"/>
          </w:tcPr>
          <w:p w14:paraId="1BDD5E74" w14:textId="77777777" w:rsidR="00AB7EE1" w:rsidRPr="00AB7EE1" w:rsidRDefault="00AB7EE1" w:rsidP="00AB7EE1">
            <w:pPr>
              <w:pStyle w:val="TablebodyleftFinancialsTables"/>
              <w:jc w:val="right"/>
              <w:rPr>
                <w:b/>
                <w:bCs/>
              </w:rPr>
            </w:pPr>
            <w:r w:rsidRPr="00AB7EE1">
              <w:rPr>
                <w:b/>
                <w:bCs/>
              </w:rPr>
              <w:t>4,446</w:t>
            </w:r>
          </w:p>
        </w:tc>
        <w:tc>
          <w:tcPr>
            <w:tcW w:w="1130" w:type="dxa"/>
          </w:tcPr>
          <w:p w14:paraId="167D5146" w14:textId="77777777" w:rsidR="00AB7EE1" w:rsidRPr="00AB7EE1" w:rsidRDefault="00AB7EE1" w:rsidP="00AB7EE1">
            <w:pPr>
              <w:pStyle w:val="TablebodyleftFinancialsTables"/>
              <w:jc w:val="right"/>
              <w:rPr>
                <w:b/>
                <w:bCs/>
              </w:rPr>
            </w:pPr>
            <w:r w:rsidRPr="00AB7EE1">
              <w:rPr>
                <w:b/>
                <w:bCs/>
              </w:rPr>
              <w:t>4,446</w:t>
            </w:r>
          </w:p>
        </w:tc>
        <w:tc>
          <w:tcPr>
            <w:tcW w:w="1020" w:type="dxa"/>
          </w:tcPr>
          <w:p w14:paraId="60A3A8B2" w14:textId="77777777" w:rsidR="00AB7EE1" w:rsidRPr="00AB7EE1" w:rsidRDefault="00AB7EE1" w:rsidP="00AB7EE1">
            <w:pPr>
              <w:pStyle w:val="TablebodyleftFinancialsTables"/>
              <w:jc w:val="right"/>
              <w:rPr>
                <w:b/>
                <w:bCs/>
              </w:rPr>
            </w:pPr>
            <w:r w:rsidRPr="00AB7EE1">
              <w:rPr>
                <w:b/>
                <w:bCs/>
              </w:rPr>
              <w:t>–</w:t>
            </w:r>
          </w:p>
        </w:tc>
        <w:tc>
          <w:tcPr>
            <w:tcW w:w="1021" w:type="dxa"/>
          </w:tcPr>
          <w:p w14:paraId="018B8C56" w14:textId="77777777" w:rsidR="00AB7EE1" w:rsidRPr="00AB7EE1" w:rsidRDefault="00AB7EE1" w:rsidP="00AB7EE1">
            <w:pPr>
              <w:pStyle w:val="TablebodyleftFinancialsTables"/>
              <w:jc w:val="right"/>
              <w:rPr>
                <w:b/>
                <w:bCs/>
              </w:rPr>
            </w:pPr>
            <w:r w:rsidRPr="00AB7EE1">
              <w:rPr>
                <w:b/>
                <w:bCs/>
              </w:rPr>
              <w:t>–</w:t>
            </w:r>
          </w:p>
        </w:tc>
        <w:tc>
          <w:tcPr>
            <w:tcW w:w="1020" w:type="dxa"/>
          </w:tcPr>
          <w:p w14:paraId="61936049" w14:textId="77777777" w:rsidR="00AB7EE1" w:rsidRPr="00AB7EE1" w:rsidRDefault="00AB7EE1" w:rsidP="00AB7EE1">
            <w:pPr>
              <w:pStyle w:val="TablebodyleftFinancialsTables"/>
              <w:jc w:val="right"/>
              <w:rPr>
                <w:b/>
                <w:bCs/>
              </w:rPr>
            </w:pPr>
            <w:r w:rsidRPr="00AB7EE1">
              <w:rPr>
                <w:b/>
                <w:bCs/>
              </w:rPr>
              <w:t>–</w:t>
            </w:r>
          </w:p>
        </w:tc>
        <w:tc>
          <w:tcPr>
            <w:tcW w:w="1021" w:type="dxa"/>
          </w:tcPr>
          <w:p w14:paraId="6DE1AE54" w14:textId="77777777" w:rsidR="00AB7EE1" w:rsidRPr="00AB7EE1" w:rsidRDefault="00AB7EE1" w:rsidP="00AB7EE1">
            <w:pPr>
              <w:pStyle w:val="TablebodyleftFinancialsTables"/>
              <w:jc w:val="right"/>
              <w:rPr>
                <w:b/>
                <w:bCs/>
              </w:rPr>
            </w:pPr>
            <w:r w:rsidRPr="00AB7EE1">
              <w:rPr>
                <w:b/>
                <w:bCs/>
              </w:rPr>
              <w:t>–</w:t>
            </w:r>
          </w:p>
        </w:tc>
      </w:tr>
      <w:tr w:rsidR="00AB7EE1" w:rsidRPr="00B02873" w14:paraId="0FAFA0F2" w14:textId="77777777" w:rsidTr="00AB7EE1">
        <w:tc>
          <w:tcPr>
            <w:tcW w:w="2494" w:type="dxa"/>
          </w:tcPr>
          <w:p w14:paraId="73B8F386" w14:textId="3437D766" w:rsidR="00AB7EE1" w:rsidRDefault="00AB7EE1" w:rsidP="00AB7EE1">
            <w:pPr>
              <w:pStyle w:val="TablebodyleftFinancialsTables"/>
            </w:pPr>
            <w:r>
              <w:t>Other payable and accrued expenses</w:t>
            </w:r>
          </w:p>
        </w:tc>
        <w:tc>
          <w:tcPr>
            <w:tcW w:w="1021" w:type="dxa"/>
          </w:tcPr>
          <w:p w14:paraId="1963536B" w14:textId="77777777" w:rsidR="00AB7EE1" w:rsidRPr="00AB7EE1" w:rsidRDefault="00AB7EE1" w:rsidP="00AB7EE1">
            <w:pPr>
              <w:pStyle w:val="TablebodyleftFinancialsTables"/>
              <w:jc w:val="right"/>
              <w:rPr>
                <w:b/>
                <w:bCs/>
              </w:rPr>
            </w:pPr>
            <w:r w:rsidRPr="00AB7EE1">
              <w:rPr>
                <w:b/>
                <w:bCs/>
              </w:rPr>
              <w:t>109,681</w:t>
            </w:r>
          </w:p>
        </w:tc>
        <w:tc>
          <w:tcPr>
            <w:tcW w:w="1020" w:type="dxa"/>
          </w:tcPr>
          <w:p w14:paraId="1283ED8A" w14:textId="77777777" w:rsidR="00AB7EE1" w:rsidRPr="00AB7EE1" w:rsidRDefault="00AB7EE1" w:rsidP="00AB7EE1">
            <w:pPr>
              <w:pStyle w:val="TablebodyleftFinancialsTables"/>
              <w:jc w:val="right"/>
              <w:rPr>
                <w:b/>
                <w:bCs/>
              </w:rPr>
            </w:pPr>
            <w:r w:rsidRPr="00AB7EE1">
              <w:rPr>
                <w:b/>
                <w:bCs/>
              </w:rPr>
              <w:t>109,681</w:t>
            </w:r>
          </w:p>
        </w:tc>
        <w:tc>
          <w:tcPr>
            <w:tcW w:w="1130" w:type="dxa"/>
          </w:tcPr>
          <w:p w14:paraId="6A3C8D6A" w14:textId="77777777" w:rsidR="00AB7EE1" w:rsidRPr="00AB7EE1" w:rsidRDefault="00AB7EE1" w:rsidP="00AB7EE1">
            <w:pPr>
              <w:pStyle w:val="TablebodyleftFinancialsTables"/>
              <w:jc w:val="right"/>
              <w:rPr>
                <w:b/>
                <w:bCs/>
              </w:rPr>
            </w:pPr>
            <w:r w:rsidRPr="00AB7EE1">
              <w:rPr>
                <w:b/>
                <w:bCs/>
              </w:rPr>
              <w:t>109,681</w:t>
            </w:r>
          </w:p>
        </w:tc>
        <w:tc>
          <w:tcPr>
            <w:tcW w:w="1020" w:type="dxa"/>
          </w:tcPr>
          <w:p w14:paraId="300A03E2" w14:textId="77777777" w:rsidR="00AB7EE1" w:rsidRPr="00AB7EE1" w:rsidRDefault="00AB7EE1" w:rsidP="00AB7EE1">
            <w:pPr>
              <w:pStyle w:val="TablebodyleftFinancialsTables"/>
              <w:jc w:val="right"/>
              <w:rPr>
                <w:b/>
                <w:bCs/>
              </w:rPr>
            </w:pPr>
            <w:r w:rsidRPr="00AB7EE1">
              <w:rPr>
                <w:b/>
                <w:bCs/>
              </w:rPr>
              <w:t>–</w:t>
            </w:r>
          </w:p>
        </w:tc>
        <w:tc>
          <w:tcPr>
            <w:tcW w:w="1021" w:type="dxa"/>
          </w:tcPr>
          <w:p w14:paraId="0B43CFEB" w14:textId="77777777" w:rsidR="00AB7EE1" w:rsidRPr="00AB7EE1" w:rsidRDefault="00AB7EE1" w:rsidP="00AB7EE1">
            <w:pPr>
              <w:pStyle w:val="TablebodyleftFinancialsTables"/>
              <w:jc w:val="right"/>
              <w:rPr>
                <w:b/>
                <w:bCs/>
              </w:rPr>
            </w:pPr>
            <w:r w:rsidRPr="00AB7EE1">
              <w:rPr>
                <w:b/>
                <w:bCs/>
              </w:rPr>
              <w:t>–</w:t>
            </w:r>
          </w:p>
        </w:tc>
        <w:tc>
          <w:tcPr>
            <w:tcW w:w="1020" w:type="dxa"/>
          </w:tcPr>
          <w:p w14:paraId="438C238B" w14:textId="77777777" w:rsidR="00AB7EE1" w:rsidRPr="00AB7EE1" w:rsidRDefault="00AB7EE1" w:rsidP="00AB7EE1">
            <w:pPr>
              <w:pStyle w:val="TablebodyleftFinancialsTables"/>
              <w:jc w:val="right"/>
              <w:rPr>
                <w:b/>
                <w:bCs/>
              </w:rPr>
            </w:pPr>
            <w:r w:rsidRPr="00AB7EE1">
              <w:rPr>
                <w:b/>
                <w:bCs/>
              </w:rPr>
              <w:t>–</w:t>
            </w:r>
          </w:p>
        </w:tc>
        <w:tc>
          <w:tcPr>
            <w:tcW w:w="1021" w:type="dxa"/>
          </w:tcPr>
          <w:p w14:paraId="723C55AC" w14:textId="77777777" w:rsidR="00AB7EE1" w:rsidRPr="00AB7EE1" w:rsidRDefault="00AB7EE1" w:rsidP="00AB7EE1">
            <w:pPr>
              <w:pStyle w:val="TablebodyleftFinancialsTables"/>
              <w:jc w:val="right"/>
              <w:rPr>
                <w:b/>
                <w:bCs/>
              </w:rPr>
            </w:pPr>
            <w:r w:rsidRPr="00AB7EE1">
              <w:rPr>
                <w:b/>
                <w:bCs/>
              </w:rPr>
              <w:t>–</w:t>
            </w:r>
          </w:p>
        </w:tc>
      </w:tr>
      <w:tr w:rsidR="00AB7EE1" w:rsidRPr="00AB7EE1" w14:paraId="481AB8C6" w14:textId="77777777" w:rsidTr="00AB7EE1">
        <w:tc>
          <w:tcPr>
            <w:tcW w:w="2494" w:type="dxa"/>
          </w:tcPr>
          <w:p w14:paraId="5FBE2852" w14:textId="77777777" w:rsidR="00AB7EE1" w:rsidRPr="00AB7EE1" w:rsidRDefault="00AB7EE1" w:rsidP="00AB7EE1">
            <w:pPr>
              <w:pStyle w:val="TablebodyleftFinancialsTables"/>
              <w:rPr>
                <w:b/>
                <w:bCs/>
              </w:rPr>
            </w:pPr>
            <w:r w:rsidRPr="00AB7EE1">
              <w:rPr>
                <w:b/>
                <w:bCs/>
              </w:rPr>
              <w:t>Total</w:t>
            </w:r>
          </w:p>
        </w:tc>
        <w:tc>
          <w:tcPr>
            <w:tcW w:w="1021" w:type="dxa"/>
          </w:tcPr>
          <w:p w14:paraId="1D1DCBC6" w14:textId="77777777" w:rsidR="00AB7EE1" w:rsidRPr="00AB7EE1" w:rsidRDefault="00AB7EE1" w:rsidP="00AB7EE1">
            <w:pPr>
              <w:pStyle w:val="TablebodyleftFinancialsTables"/>
              <w:jc w:val="right"/>
              <w:rPr>
                <w:b/>
                <w:bCs/>
              </w:rPr>
            </w:pPr>
            <w:r w:rsidRPr="00AB7EE1">
              <w:rPr>
                <w:b/>
                <w:bCs/>
              </w:rPr>
              <w:t>229,026</w:t>
            </w:r>
          </w:p>
        </w:tc>
        <w:tc>
          <w:tcPr>
            <w:tcW w:w="1020" w:type="dxa"/>
          </w:tcPr>
          <w:p w14:paraId="1B1F39AF" w14:textId="77777777" w:rsidR="00AB7EE1" w:rsidRPr="00AB7EE1" w:rsidRDefault="00AB7EE1" w:rsidP="00AB7EE1">
            <w:pPr>
              <w:pStyle w:val="TablebodyleftFinancialsTables"/>
              <w:jc w:val="right"/>
              <w:rPr>
                <w:b/>
                <w:bCs/>
              </w:rPr>
            </w:pPr>
            <w:r w:rsidRPr="00AB7EE1">
              <w:rPr>
                <w:b/>
                <w:bCs/>
              </w:rPr>
              <w:t>229,026</w:t>
            </w:r>
          </w:p>
        </w:tc>
        <w:tc>
          <w:tcPr>
            <w:tcW w:w="1130" w:type="dxa"/>
          </w:tcPr>
          <w:p w14:paraId="17F49E62" w14:textId="77777777" w:rsidR="00AB7EE1" w:rsidRPr="00AB7EE1" w:rsidRDefault="00AB7EE1" w:rsidP="00AB7EE1">
            <w:pPr>
              <w:pStyle w:val="TablebodyleftFinancialsTables"/>
              <w:jc w:val="right"/>
              <w:rPr>
                <w:b/>
                <w:bCs/>
              </w:rPr>
            </w:pPr>
            <w:r w:rsidRPr="00AB7EE1">
              <w:rPr>
                <w:b/>
                <w:bCs/>
              </w:rPr>
              <w:t>227,272</w:t>
            </w:r>
          </w:p>
        </w:tc>
        <w:tc>
          <w:tcPr>
            <w:tcW w:w="1020" w:type="dxa"/>
          </w:tcPr>
          <w:p w14:paraId="1E6CC4BC" w14:textId="77777777" w:rsidR="00AB7EE1" w:rsidRPr="00AB7EE1" w:rsidRDefault="00AB7EE1" w:rsidP="00AB7EE1">
            <w:pPr>
              <w:pStyle w:val="TablebodyleftFinancialsTables"/>
              <w:jc w:val="right"/>
              <w:rPr>
                <w:b/>
                <w:bCs/>
              </w:rPr>
            </w:pPr>
            <w:r w:rsidRPr="00AB7EE1">
              <w:rPr>
                <w:b/>
                <w:bCs/>
              </w:rPr>
              <w:t xml:space="preserve"> 1,034</w:t>
            </w:r>
          </w:p>
        </w:tc>
        <w:tc>
          <w:tcPr>
            <w:tcW w:w="1021" w:type="dxa"/>
          </w:tcPr>
          <w:p w14:paraId="4DC41D70" w14:textId="77777777" w:rsidR="00AB7EE1" w:rsidRPr="00AB7EE1" w:rsidRDefault="00AB7EE1" w:rsidP="00AB7EE1">
            <w:pPr>
              <w:pStyle w:val="TablebodyleftFinancialsTables"/>
              <w:jc w:val="right"/>
              <w:rPr>
                <w:b/>
                <w:bCs/>
              </w:rPr>
            </w:pPr>
            <w:r w:rsidRPr="00AB7EE1">
              <w:rPr>
                <w:b/>
                <w:bCs/>
              </w:rPr>
              <w:t xml:space="preserve"> 720</w:t>
            </w:r>
          </w:p>
        </w:tc>
        <w:tc>
          <w:tcPr>
            <w:tcW w:w="1020" w:type="dxa"/>
          </w:tcPr>
          <w:p w14:paraId="77AA33EA" w14:textId="77777777" w:rsidR="00AB7EE1" w:rsidRPr="00AB7EE1" w:rsidRDefault="00AB7EE1" w:rsidP="00AB7EE1">
            <w:pPr>
              <w:pStyle w:val="TablebodyleftFinancialsTables"/>
              <w:jc w:val="right"/>
              <w:rPr>
                <w:b/>
                <w:bCs/>
              </w:rPr>
            </w:pPr>
            <w:r w:rsidRPr="00AB7EE1">
              <w:rPr>
                <w:b/>
                <w:bCs/>
              </w:rPr>
              <w:t>–</w:t>
            </w:r>
          </w:p>
        </w:tc>
        <w:tc>
          <w:tcPr>
            <w:tcW w:w="1021" w:type="dxa"/>
          </w:tcPr>
          <w:p w14:paraId="57969D3B" w14:textId="77777777" w:rsidR="00AB7EE1" w:rsidRPr="00AB7EE1" w:rsidRDefault="00AB7EE1" w:rsidP="00AB7EE1">
            <w:pPr>
              <w:pStyle w:val="TablebodyleftFinancialsTables"/>
              <w:jc w:val="right"/>
              <w:rPr>
                <w:b/>
                <w:bCs/>
              </w:rPr>
            </w:pPr>
            <w:r w:rsidRPr="00AB7EE1">
              <w:rPr>
                <w:b/>
                <w:bCs/>
              </w:rPr>
              <w:t>–</w:t>
            </w:r>
          </w:p>
        </w:tc>
      </w:tr>
      <w:tr w:rsidR="00AB7EE1" w:rsidRPr="00B02873" w14:paraId="2E61493D" w14:textId="77777777" w:rsidTr="00AB7EE1">
        <w:tc>
          <w:tcPr>
            <w:tcW w:w="2494" w:type="dxa"/>
          </w:tcPr>
          <w:p w14:paraId="442F63B0" w14:textId="77777777" w:rsidR="00AB7EE1" w:rsidRDefault="00AB7EE1" w:rsidP="00AB7EE1">
            <w:pPr>
              <w:pStyle w:val="TablebodyleftFinancialsTables"/>
            </w:pPr>
            <w:r>
              <w:t>2021</w:t>
            </w:r>
          </w:p>
        </w:tc>
        <w:tc>
          <w:tcPr>
            <w:tcW w:w="1021" w:type="dxa"/>
          </w:tcPr>
          <w:p w14:paraId="69103605" w14:textId="77777777" w:rsidR="00AB7EE1" w:rsidRPr="00B02873" w:rsidRDefault="00AB7EE1" w:rsidP="00AB7EE1">
            <w:pPr>
              <w:pStyle w:val="TablebodyleftFinancialsTables"/>
              <w:jc w:val="right"/>
              <w:rPr>
                <w:rFonts w:ascii="VIC Bold Italic" w:hAnsi="VIC Bold Italic" w:cs="Times New Roman"/>
              </w:rPr>
            </w:pPr>
          </w:p>
        </w:tc>
        <w:tc>
          <w:tcPr>
            <w:tcW w:w="1020" w:type="dxa"/>
          </w:tcPr>
          <w:p w14:paraId="2DF54AEA" w14:textId="77777777" w:rsidR="00AB7EE1" w:rsidRPr="00B02873" w:rsidRDefault="00AB7EE1" w:rsidP="00AB7EE1">
            <w:pPr>
              <w:pStyle w:val="TablebodyleftFinancialsTables"/>
              <w:jc w:val="right"/>
              <w:rPr>
                <w:rFonts w:ascii="VIC Bold Italic" w:hAnsi="VIC Bold Italic" w:cs="Times New Roman"/>
              </w:rPr>
            </w:pPr>
          </w:p>
        </w:tc>
        <w:tc>
          <w:tcPr>
            <w:tcW w:w="1130" w:type="dxa"/>
          </w:tcPr>
          <w:p w14:paraId="3647B878" w14:textId="77777777" w:rsidR="00AB7EE1" w:rsidRPr="00B02873" w:rsidRDefault="00AB7EE1" w:rsidP="00AB7EE1">
            <w:pPr>
              <w:pStyle w:val="TablebodyleftFinancialsTables"/>
              <w:jc w:val="right"/>
              <w:rPr>
                <w:rFonts w:ascii="VIC Bold Italic" w:hAnsi="VIC Bold Italic" w:cs="Times New Roman"/>
              </w:rPr>
            </w:pPr>
          </w:p>
        </w:tc>
        <w:tc>
          <w:tcPr>
            <w:tcW w:w="1020" w:type="dxa"/>
          </w:tcPr>
          <w:p w14:paraId="787C95AD" w14:textId="77777777" w:rsidR="00AB7EE1" w:rsidRPr="00B02873" w:rsidRDefault="00AB7EE1" w:rsidP="00AB7EE1">
            <w:pPr>
              <w:pStyle w:val="TablebodyleftFinancialsTables"/>
              <w:jc w:val="right"/>
              <w:rPr>
                <w:rFonts w:ascii="VIC Bold Italic" w:hAnsi="VIC Bold Italic" w:cs="Times New Roman"/>
              </w:rPr>
            </w:pPr>
          </w:p>
        </w:tc>
        <w:tc>
          <w:tcPr>
            <w:tcW w:w="1021" w:type="dxa"/>
          </w:tcPr>
          <w:p w14:paraId="5E8715FE" w14:textId="77777777" w:rsidR="00AB7EE1" w:rsidRPr="00B02873" w:rsidRDefault="00AB7EE1" w:rsidP="00AB7EE1">
            <w:pPr>
              <w:pStyle w:val="TablebodyleftFinancialsTables"/>
              <w:jc w:val="right"/>
              <w:rPr>
                <w:rFonts w:ascii="VIC Bold Italic" w:hAnsi="VIC Bold Italic" w:cs="Times New Roman"/>
              </w:rPr>
            </w:pPr>
          </w:p>
        </w:tc>
        <w:tc>
          <w:tcPr>
            <w:tcW w:w="1020" w:type="dxa"/>
          </w:tcPr>
          <w:p w14:paraId="7F638CC2" w14:textId="77777777" w:rsidR="00AB7EE1" w:rsidRPr="00B02873" w:rsidRDefault="00AB7EE1" w:rsidP="00AB7EE1">
            <w:pPr>
              <w:pStyle w:val="TablebodyleftFinancialsTables"/>
              <w:jc w:val="right"/>
              <w:rPr>
                <w:rFonts w:ascii="VIC Bold Italic" w:hAnsi="VIC Bold Italic" w:cs="Times New Roman"/>
              </w:rPr>
            </w:pPr>
          </w:p>
        </w:tc>
        <w:tc>
          <w:tcPr>
            <w:tcW w:w="1021" w:type="dxa"/>
          </w:tcPr>
          <w:p w14:paraId="291BE65D" w14:textId="77777777" w:rsidR="00AB7EE1" w:rsidRPr="00B02873" w:rsidRDefault="00AB7EE1" w:rsidP="00AB7EE1">
            <w:pPr>
              <w:pStyle w:val="TablebodyleftFinancialsTables"/>
              <w:jc w:val="right"/>
              <w:rPr>
                <w:rFonts w:ascii="VIC Bold Italic" w:hAnsi="VIC Bold Italic" w:cs="Times New Roman"/>
              </w:rPr>
            </w:pPr>
          </w:p>
        </w:tc>
      </w:tr>
      <w:tr w:rsidR="00AB7EE1" w:rsidRPr="00B02873" w14:paraId="5D4C6E64" w14:textId="77777777" w:rsidTr="00AB7EE1">
        <w:tc>
          <w:tcPr>
            <w:tcW w:w="2494" w:type="dxa"/>
          </w:tcPr>
          <w:p w14:paraId="65437FA0" w14:textId="77777777" w:rsidR="00AB7EE1" w:rsidRDefault="00AB7EE1" w:rsidP="00AB7EE1">
            <w:pPr>
              <w:pStyle w:val="TablebodyleftFinancialsTables"/>
            </w:pPr>
            <w:r>
              <w:t>Trade creditors</w:t>
            </w:r>
          </w:p>
        </w:tc>
        <w:tc>
          <w:tcPr>
            <w:tcW w:w="1021" w:type="dxa"/>
          </w:tcPr>
          <w:p w14:paraId="69840E7D" w14:textId="77777777" w:rsidR="00AB7EE1" w:rsidRDefault="00AB7EE1" w:rsidP="00AB7EE1">
            <w:pPr>
              <w:pStyle w:val="TablebodyleftFinancialsTables"/>
              <w:jc w:val="right"/>
            </w:pPr>
            <w:r>
              <w:t>29,910</w:t>
            </w:r>
          </w:p>
        </w:tc>
        <w:tc>
          <w:tcPr>
            <w:tcW w:w="1020" w:type="dxa"/>
          </w:tcPr>
          <w:p w14:paraId="0A2CCACC" w14:textId="77777777" w:rsidR="00AB7EE1" w:rsidRDefault="00AB7EE1" w:rsidP="00AB7EE1">
            <w:pPr>
              <w:pStyle w:val="TablebodyleftFinancialsTables"/>
              <w:jc w:val="right"/>
            </w:pPr>
            <w:r>
              <w:t>29,910</w:t>
            </w:r>
          </w:p>
        </w:tc>
        <w:tc>
          <w:tcPr>
            <w:tcW w:w="1130" w:type="dxa"/>
          </w:tcPr>
          <w:p w14:paraId="736CB179" w14:textId="77777777" w:rsidR="00AB7EE1" w:rsidRDefault="00AB7EE1" w:rsidP="00AB7EE1">
            <w:pPr>
              <w:pStyle w:val="TablebodyleftFinancialsTables"/>
              <w:jc w:val="right"/>
            </w:pPr>
            <w:r>
              <w:t>27,353</w:t>
            </w:r>
          </w:p>
        </w:tc>
        <w:tc>
          <w:tcPr>
            <w:tcW w:w="1020" w:type="dxa"/>
          </w:tcPr>
          <w:p w14:paraId="2BE16618" w14:textId="77777777" w:rsidR="00AB7EE1" w:rsidRDefault="00AB7EE1" w:rsidP="00AB7EE1">
            <w:pPr>
              <w:pStyle w:val="TablebodyleftFinancialsTables"/>
              <w:jc w:val="right"/>
            </w:pPr>
            <w:r>
              <w:t>–</w:t>
            </w:r>
          </w:p>
        </w:tc>
        <w:tc>
          <w:tcPr>
            <w:tcW w:w="1021" w:type="dxa"/>
          </w:tcPr>
          <w:p w14:paraId="0116795E" w14:textId="77777777" w:rsidR="00AB7EE1" w:rsidRDefault="00AB7EE1" w:rsidP="00AB7EE1">
            <w:pPr>
              <w:pStyle w:val="TablebodyleftFinancialsTables"/>
              <w:jc w:val="right"/>
            </w:pPr>
            <w:r>
              <w:t>2,557</w:t>
            </w:r>
          </w:p>
        </w:tc>
        <w:tc>
          <w:tcPr>
            <w:tcW w:w="1020" w:type="dxa"/>
          </w:tcPr>
          <w:p w14:paraId="563ACC09" w14:textId="77777777" w:rsidR="00AB7EE1" w:rsidRDefault="00AB7EE1" w:rsidP="00AB7EE1">
            <w:pPr>
              <w:pStyle w:val="TablebodyleftFinancialsTables"/>
              <w:jc w:val="right"/>
            </w:pPr>
            <w:r>
              <w:t>–</w:t>
            </w:r>
          </w:p>
        </w:tc>
        <w:tc>
          <w:tcPr>
            <w:tcW w:w="1021" w:type="dxa"/>
          </w:tcPr>
          <w:p w14:paraId="28B25AA7" w14:textId="77777777" w:rsidR="00AB7EE1" w:rsidRDefault="00AB7EE1" w:rsidP="00AB7EE1">
            <w:pPr>
              <w:pStyle w:val="TablebodyleftFinancialsTables"/>
              <w:jc w:val="right"/>
            </w:pPr>
            <w:r>
              <w:t>–</w:t>
            </w:r>
          </w:p>
        </w:tc>
      </w:tr>
      <w:tr w:rsidR="00AB7EE1" w:rsidRPr="00B02873" w14:paraId="4EC3D0BF" w14:textId="77777777" w:rsidTr="00AB7EE1">
        <w:tc>
          <w:tcPr>
            <w:tcW w:w="2494" w:type="dxa"/>
          </w:tcPr>
          <w:p w14:paraId="5833D53B" w14:textId="10B87204" w:rsidR="00AB7EE1" w:rsidRDefault="00AB7EE1" w:rsidP="00AB7EE1">
            <w:pPr>
              <w:pStyle w:val="TablebodyleftFinancialsTables"/>
            </w:pPr>
            <w:r>
              <w:t xml:space="preserve">Accrued </w:t>
            </w:r>
            <w:r w:rsidR="00C53E83">
              <w:t>grants and</w:t>
            </w:r>
            <w:r>
              <w:t xml:space="preserve"> other transfers</w:t>
            </w:r>
          </w:p>
        </w:tc>
        <w:tc>
          <w:tcPr>
            <w:tcW w:w="1021" w:type="dxa"/>
          </w:tcPr>
          <w:p w14:paraId="57882FA5" w14:textId="77777777" w:rsidR="00AB7EE1" w:rsidRDefault="00AB7EE1" w:rsidP="00AB7EE1">
            <w:pPr>
              <w:pStyle w:val="TablebodyleftFinancialsTables"/>
              <w:jc w:val="right"/>
            </w:pPr>
            <w:r>
              <w:t>64,095</w:t>
            </w:r>
          </w:p>
        </w:tc>
        <w:tc>
          <w:tcPr>
            <w:tcW w:w="1020" w:type="dxa"/>
          </w:tcPr>
          <w:p w14:paraId="1E98A668" w14:textId="77777777" w:rsidR="00AB7EE1" w:rsidRDefault="00AB7EE1" w:rsidP="00AB7EE1">
            <w:pPr>
              <w:pStyle w:val="TablebodyleftFinancialsTables"/>
              <w:jc w:val="right"/>
            </w:pPr>
            <w:r>
              <w:t>64,095</w:t>
            </w:r>
          </w:p>
        </w:tc>
        <w:tc>
          <w:tcPr>
            <w:tcW w:w="1130" w:type="dxa"/>
          </w:tcPr>
          <w:p w14:paraId="6134B8F9" w14:textId="77777777" w:rsidR="00AB7EE1" w:rsidRDefault="00AB7EE1" w:rsidP="00AB7EE1">
            <w:pPr>
              <w:pStyle w:val="TablebodyleftFinancialsTables"/>
              <w:jc w:val="right"/>
            </w:pPr>
            <w:r>
              <w:t>64,095</w:t>
            </w:r>
          </w:p>
        </w:tc>
        <w:tc>
          <w:tcPr>
            <w:tcW w:w="1020" w:type="dxa"/>
          </w:tcPr>
          <w:p w14:paraId="3EA91674" w14:textId="77777777" w:rsidR="00AB7EE1" w:rsidRDefault="00AB7EE1" w:rsidP="00AB7EE1">
            <w:pPr>
              <w:pStyle w:val="TablebodyleftFinancialsTables"/>
              <w:jc w:val="right"/>
            </w:pPr>
            <w:r>
              <w:t>–</w:t>
            </w:r>
          </w:p>
        </w:tc>
        <w:tc>
          <w:tcPr>
            <w:tcW w:w="1021" w:type="dxa"/>
          </w:tcPr>
          <w:p w14:paraId="77CF2C7D" w14:textId="77777777" w:rsidR="00AB7EE1" w:rsidRDefault="00AB7EE1" w:rsidP="00AB7EE1">
            <w:pPr>
              <w:pStyle w:val="TablebodyleftFinancialsTables"/>
              <w:jc w:val="right"/>
            </w:pPr>
            <w:r>
              <w:t>–</w:t>
            </w:r>
          </w:p>
        </w:tc>
        <w:tc>
          <w:tcPr>
            <w:tcW w:w="1020" w:type="dxa"/>
          </w:tcPr>
          <w:p w14:paraId="61EABB22" w14:textId="77777777" w:rsidR="00AB7EE1" w:rsidRDefault="00AB7EE1" w:rsidP="00AB7EE1">
            <w:pPr>
              <w:pStyle w:val="TablebodyleftFinancialsTables"/>
              <w:jc w:val="right"/>
            </w:pPr>
            <w:r>
              <w:t>–</w:t>
            </w:r>
          </w:p>
        </w:tc>
        <w:tc>
          <w:tcPr>
            <w:tcW w:w="1021" w:type="dxa"/>
          </w:tcPr>
          <w:p w14:paraId="0519EDC8" w14:textId="77777777" w:rsidR="00AB7EE1" w:rsidRDefault="00AB7EE1" w:rsidP="00AB7EE1">
            <w:pPr>
              <w:pStyle w:val="TablebodyleftFinancialsTables"/>
              <w:jc w:val="right"/>
            </w:pPr>
            <w:r>
              <w:t>–</w:t>
            </w:r>
          </w:p>
        </w:tc>
      </w:tr>
      <w:tr w:rsidR="00AB7EE1" w:rsidRPr="00B02873" w14:paraId="7E3F0C42" w14:textId="77777777" w:rsidTr="00AB7EE1">
        <w:tc>
          <w:tcPr>
            <w:tcW w:w="2494" w:type="dxa"/>
          </w:tcPr>
          <w:p w14:paraId="492C06FA" w14:textId="77777777" w:rsidR="00AB7EE1" w:rsidRDefault="00AB7EE1" w:rsidP="00AB7EE1">
            <w:pPr>
              <w:pStyle w:val="TablebodyleftFinancialsTables"/>
            </w:pPr>
            <w:r>
              <w:lastRenderedPageBreak/>
              <w:t>Capital accruals</w:t>
            </w:r>
          </w:p>
        </w:tc>
        <w:tc>
          <w:tcPr>
            <w:tcW w:w="1021" w:type="dxa"/>
          </w:tcPr>
          <w:p w14:paraId="39148B9F" w14:textId="77777777" w:rsidR="00AB7EE1" w:rsidRDefault="00AB7EE1" w:rsidP="00AB7EE1">
            <w:pPr>
              <w:pStyle w:val="TablebodyleftFinancialsTables"/>
              <w:jc w:val="right"/>
            </w:pPr>
            <w:r>
              <w:t>2,168</w:t>
            </w:r>
          </w:p>
        </w:tc>
        <w:tc>
          <w:tcPr>
            <w:tcW w:w="1020" w:type="dxa"/>
          </w:tcPr>
          <w:p w14:paraId="643D34B1" w14:textId="77777777" w:rsidR="00AB7EE1" w:rsidRDefault="00AB7EE1" w:rsidP="00AB7EE1">
            <w:pPr>
              <w:pStyle w:val="TablebodyleftFinancialsTables"/>
              <w:jc w:val="right"/>
            </w:pPr>
            <w:r>
              <w:t>2,168</w:t>
            </w:r>
          </w:p>
        </w:tc>
        <w:tc>
          <w:tcPr>
            <w:tcW w:w="1130" w:type="dxa"/>
          </w:tcPr>
          <w:p w14:paraId="1B1B53A7" w14:textId="77777777" w:rsidR="00AB7EE1" w:rsidRDefault="00AB7EE1" w:rsidP="00AB7EE1">
            <w:pPr>
              <w:pStyle w:val="TablebodyleftFinancialsTables"/>
              <w:jc w:val="right"/>
            </w:pPr>
            <w:r>
              <w:t>2,168</w:t>
            </w:r>
          </w:p>
        </w:tc>
        <w:tc>
          <w:tcPr>
            <w:tcW w:w="1020" w:type="dxa"/>
          </w:tcPr>
          <w:p w14:paraId="0264EFFC" w14:textId="77777777" w:rsidR="00AB7EE1" w:rsidRDefault="00AB7EE1" w:rsidP="00AB7EE1">
            <w:pPr>
              <w:pStyle w:val="TablebodyleftFinancialsTables"/>
              <w:jc w:val="right"/>
            </w:pPr>
            <w:r>
              <w:t>–</w:t>
            </w:r>
          </w:p>
        </w:tc>
        <w:tc>
          <w:tcPr>
            <w:tcW w:w="1021" w:type="dxa"/>
          </w:tcPr>
          <w:p w14:paraId="75574081" w14:textId="77777777" w:rsidR="00AB7EE1" w:rsidRDefault="00AB7EE1" w:rsidP="00AB7EE1">
            <w:pPr>
              <w:pStyle w:val="TablebodyleftFinancialsTables"/>
              <w:jc w:val="right"/>
            </w:pPr>
            <w:r>
              <w:t>–</w:t>
            </w:r>
          </w:p>
        </w:tc>
        <w:tc>
          <w:tcPr>
            <w:tcW w:w="1020" w:type="dxa"/>
          </w:tcPr>
          <w:p w14:paraId="2F528A48" w14:textId="77777777" w:rsidR="00AB7EE1" w:rsidRDefault="00AB7EE1" w:rsidP="00AB7EE1">
            <w:pPr>
              <w:pStyle w:val="TablebodyleftFinancialsTables"/>
              <w:jc w:val="right"/>
            </w:pPr>
            <w:r>
              <w:t>–</w:t>
            </w:r>
          </w:p>
        </w:tc>
        <w:tc>
          <w:tcPr>
            <w:tcW w:w="1021" w:type="dxa"/>
          </w:tcPr>
          <w:p w14:paraId="0C8FA87A" w14:textId="77777777" w:rsidR="00AB7EE1" w:rsidRDefault="00AB7EE1" w:rsidP="00AB7EE1">
            <w:pPr>
              <w:pStyle w:val="TablebodyleftFinancialsTables"/>
              <w:jc w:val="right"/>
            </w:pPr>
            <w:r>
              <w:t>–</w:t>
            </w:r>
          </w:p>
        </w:tc>
      </w:tr>
      <w:tr w:rsidR="00AB7EE1" w:rsidRPr="00B02873" w14:paraId="5BC9C3BE" w14:textId="77777777" w:rsidTr="00AB7EE1">
        <w:tc>
          <w:tcPr>
            <w:tcW w:w="2494" w:type="dxa"/>
          </w:tcPr>
          <w:p w14:paraId="53C64C2B" w14:textId="4A88ECB3" w:rsidR="00AB7EE1" w:rsidRDefault="00AB7EE1" w:rsidP="00AB7EE1">
            <w:pPr>
              <w:pStyle w:val="TablebodyleftFinancialsTables"/>
            </w:pPr>
            <w:r>
              <w:t>Other payable and accrued expenses</w:t>
            </w:r>
          </w:p>
        </w:tc>
        <w:tc>
          <w:tcPr>
            <w:tcW w:w="1021" w:type="dxa"/>
          </w:tcPr>
          <w:p w14:paraId="7964E1C3" w14:textId="77777777" w:rsidR="00AB7EE1" w:rsidRDefault="00AB7EE1" w:rsidP="00AB7EE1">
            <w:pPr>
              <w:pStyle w:val="TablebodyleftFinancialsTables"/>
              <w:jc w:val="right"/>
            </w:pPr>
            <w:r>
              <w:t>116,262</w:t>
            </w:r>
          </w:p>
        </w:tc>
        <w:tc>
          <w:tcPr>
            <w:tcW w:w="1020" w:type="dxa"/>
          </w:tcPr>
          <w:p w14:paraId="2E35F55F" w14:textId="77777777" w:rsidR="00AB7EE1" w:rsidRDefault="00AB7EE1" w:rsidP="00AB7EE1">
            <w:pPr>
              <w:pStyle w:val="TablebodyleftFinancialsTables"/>
              <w:jc w:val="right"/>
            </w:pPr>
            <w:r>
              <w:t>116,262</w:t>
            </w:r>
          </w:p>
        </w:tc>
        <w:tc>
          <w:tcPr>
            <w:tcW w:w="1130" w:type="dxa"/>
          </w:tcPr>
          <w:p w14:paraId="6712F6FB" w14:textId="77777777" w:rsidR="00AB7EE1" w:rsidRDefault="00AB7EE1" w:rsidP="00AB7EE1">
            <w:pPr>
              <w:pStyle w:val="TablebodyleftFinancialsTables"/>
              <w:jc w:val="right"/>
            </w:pPr>
            <w:r>
              <w:t>116,262</w:t>
            </w:r>
          </w:p>
        </w:tc>
        <w:tc>
          <w:tcPr>
            <w:tcW w:w="1020" w:type="dxa"/>
          </w:tcPr>
          <w:p w14:paraId="5D99E13C" w14:textId="77777777" w:rsidR="00AB7EE1" w:rsidRDefault="00AB7EE1" w:rsidP="00AB7EE1">
            <w:pPr>
              <w:pStyle w:val="TablebodyleftFinancialsTables"/>
              <w:jc w:val="right"/>
            </w:pPr>
            <w:r>
              <w:t>–</w:t>
            </w:r>
          </w:p>
        </w:tc>
        <w:tc>
          <w:tcPr>
            <w:tcW w:w="1021" w:type="dxa"/>
          </w:tcPr>
          <w:p w14:paraId="7362A3C5" w14:textId="77777777" w:rsidR="00AB7EE1" w:rsidRDefault="00AB7EE1" w:rsidP="00AB7EE1">
            <w:pPr>
              <w:pStyle w:val="TablebodyleftFinancialsTables"/>
              <w:jc w:val="right"/>
            </w:pPr>
            <w:r>
              <w:t>–</w:t>
            </w:r>
          </w:p>
        </w:tc>
        <w:tc>
          <w:tcPr>
            <w:tcW w:w="1020" w:type="dxa"/>
          </w:tcPr>
          <w:p w14:paraId="2A31A8C4" w14:textId="77777777" w:rsidR="00AB7EE1" w:rsidRDefault="00AB7EE1" w:rsidP="00AB7EE1">
            <w:pPr>
              <w:pStyle w:val="TablebodyleftFinancialsTables"/>
              <w:jc w:val="right"/>
            </w:pPr>
            <w:r>
              <w:t>–</w:t>
            </w:r>
          </w:p>
        </w:tc>
        <w:tc>
          <w:tcPr>
            <w:tcW w:w="1021" w:type="dxa"/>
          </w:tcPr>
          <w:p w14:paraId="4E2425C5" w14:textId="77777777" w:rsidR="00AB7EE1" w:rsidRDefault="00AB7EE1" w:rsidP="00AB7EE1">
            <w:pPr>
              <w:pStyle w:val="TablebodyleftFinancialsTables"/>
              <w:jc w:val="right"/>
            </w:pPr>
            <w:r>
              <w:t>–</w:t>
            </w:r>
          </w:p>
        </w:tc>
      </w:tr>
      <w:tr w:rsidR="00AB7EE1" w:rsidRPr="00B02873" w14:paraId="11C4E6A8" w14:textId="77777777" w:rsidTr="00AB7EE1">
        <w:tc>
          <w:tcPr>
            <w:tcW w:w="2494" w:type="dxa"/>
          </w:tcPr>
          <w:p w14:paraId="66672D4F" w14:textId="77777777" w:rsidR="00AB7EE1" w:rsidRDefault="00AB7EE1" w:rsidP="00AB7EE1">
            <w:pPr>
              <w:pStyle w:val="TablebodyleftFinancialsTables"/>
            </w:pPr>
            <w:r>
              <w:t>Total</w:t>
            </w:r>
          </w:p>
        </w:tc>
        <w:tc>
          <w:tcPr>
            <w:tcW w:w="1021" w:type="dxa"/>
          </w:tcPr>
          <w:p w14:paraId="1F420F03" w14:textId="77777777" w:rsidR="00AB7EE1" w:rsidRDefault="00AB7EE1" w:rsidP="00AB7EE1">
            <w:pPr>
              <w:pStyle w:val="TablebodyleftFinancialsTables"/>
              <w:jc w:val="right"/>
            </w:pPr>
            <w:r>
              <w:t>212,435</w:t>
            </w:r>
          </w:p>
        </w:tc>
        <w:tc>
          <w:tcPr>
            <w:tcW w:w="1020" w:type="dxa"/>
          </w:tcPr>
          <w:p w14:paraId="44469B5D" w14:textId="77777777" w:rsidR="00AB7EE1" w:rsidRDefault="00AB7EE1" w:rsidP="00AB7EE1">
            <w:pPr>
              <w:pStyle w:val="TablebodyleftFinancialsTables"/>
              <w:jc w:val="right"/>
            </w:pPr>
            <w:r>
              <w:t>212,435</w:t>
            </w:r>
          </w:p>
        </w:tc>
        <w:tc>
          <w:tcPr>
            <w:tcW w:w="1130" w:type="dxa"/>
          </w:tcPr>
          <w:p w14:paraId="63C31E3E" w14:textId="77777777" w:rsidR="00AB7EE1" w:rsidRDefault="00AB7EE1" w:rsidP="00AB7EE1">
            <w:pPr>
              <w:pStyle w:val="TablebodyleftFinancialsTables"/>
              <w:jc w:val="right"/>
            </w:pPr>
            <w:r>
              <w:t>209,878</w:t>
            </w:r>
          </w:p>
        </w:tc>
        <w:tc>
          <w:tcPr>
            <w:tcW w:w="1020" w:type="dxa"/>
          </w:tcPr>
          <w:p w14:paraId="4F6C1A19" w14:textId="77777777" w:rsidR="00AB7EE1" w:rsidRDefault="00AB7EE1" w:rsidP="00AB7EE1">
            <w:pPr>
              <w:pStyle w:val="TablebodyleftFinancialsTables"/>
              <w:jc w:val="right"/>
            </w:pPr>
            <w:r>
              <w:t>–</w:t>
            </w:r>
          </w:p>
        </w:tc>
        <w:tc>
          <w:tcPr>
            <w:tcW w:w="1021" w:type="dxa"/>
          </w:tcPr>
          <w:p w14:paraId="0132084D" w14:textId="77777777" w:rsidR="00AB7EE1" w:rsidRDefault="00AB7EE1" w:rsidP="00AB7EE1">
            <w:pPr>
              <w:pStyle w:val="TablebodyleftFinancialsTables"/>
              <w:jc w:val="right"/>
            </w:pPr>
            <w:r>
              <w:t>2,557</w:t>
            </w:r>
          </w:p>
        </w:tc>
        <w:tc>
          <w:tcPr>
            <w:tcW w:w="1020" w:type="dxa"/>
          </w:tcPr>
          <w:p w14:paraId="777535EE" w14:textId="77777777" w:rsidR="00AB7EE1" w:rsidRDefault="00AB7EE1" w:rsidP="00AB7EE1">
            <w:pPr>
              <w:pStyle w:val="TablebodyleftFinancialsTables"/>
              <w:jc w:val="right"/>
            </w:pPr>
            <w:r>
              <w:t>–</w:t>
            </w:r>
          </w:p>
        </w:tc>
        <w:tc>
          <w:tcPr>
            <w:tcW w:w="1021" w:type="dxa"/>
          </w:tcPr>
          <w:p w14:paraId="66A2E1FF" w14:textId="77777777" w:rsidR="00AB7EE1" w:rsidRDefault="00AB7EE1" w:rsidP="00AB7EE1">
            <w:pPr>
              <w:pStyle w:val="TablebodyleftFinancialsTables"/>
              <w:jc w:val="right"/>
            </w:pPr>
            <w:r>
              <w:t>–</w:t>
            </w:r>
          </w:p>
        </w:tc>
      </w:tr>
    </w:tbl>
    <w:p w14:paraId="017DEEEE" w14:textId="77777777" w:rsidR="00B02873" w:rsidRPr="00AB7EE1" w:rsidRDefault="00B02873" w:rsidP="00AB7EE1">
      <w:pPr>
        <w:pStyle w:val="SourceNote"/>
        <w:spacing w:after="120"/>
        <w:rPr>
          <w:b/>
          <w:bCs/>
        </w:rPr>
      </w:pPr>
      <w:r w:rsidRPr="00AB7EE1">
        <w:rPr>
          <w:b/>
          <w:bCs/>
        </w:rPr>
        <w:t xml:space="preserve">Note: </w:t>
      </w:r>
    </w:p>
    <w:p w14:paraId="5743D31D" w14:textId="77777777" w:rsidR="00B02873" w:rsidRPr="00AB7EE1" w:rsidRDefault="00B02873" w:rsidP="001128B1">
      <w:pPr>
        <w:pStyle w:val="SourceNotenumbered"/>
        <w:numPr>
          <w:ilvl w:val="0"/>
          <w:numId w:val="36"/>
        </w:numPr>
        <w:spacing w:after="200"/>
        <w:ind w:left="357" w:hanging="357"/>
        <w:rPr>
          <w:sz w:val="18"/>
          <w:szCs w:val="18"/>
        </w:rPr>
      </w:pPr>
      <w:r>
        <w:t>Maturity analysis is presented using the contractual undiscounted cash flows.</w:t>
      </w:r>
    </w:p>
    <w:p w14:paraId="6006D148" w14:textId="77777777" w:rsidR="00B02873" w:rsidRDefault="00B02873" w:rsidP="00AB7EE1">
      <w:pPr>
        <w:pStyle w:val="Heading3"/>
      </w:pPr>
      <w:r>
        <w:t>6.4 Prepayments</w:t>
      </w:r>
    </w:p>
    <w:tbl>
      <w:tblPr>
        <w:tblStyle w:val="TableGrid"/>
        <w:tblW w:w="0" w:type="auto"/>
        <w:tblLayout w:type="fixed"/>
        <w:tblLook w:val="0020" w:firstRow="1" w:lastRow="0" w:firstColumn="0" w:lastColumn="0" w:noHBand="0" w:noVBand="0"/>
      </w:tblPr>
      <w:tblGrid>
        <w:gridCol w:w="7257"/>
        <w:gridCol w:w="1190"/>
        <w:gridCol w:w="1191"/>
      </w:tblGrid>
      <w:tr w:rsidR="00B02873" w:rsidRPr="00B02873" w14:paraId="502284B5" w14:textId="77777777" w:rsidTr="00AB7EE1">
        <w:trPr>
          <w:cnfStyle w:val="100000000000" w:firstRow="1" w:lastRow="0" w:firstColumn="0" w:lastColumn="0" w:oddVBand="0" w:evenVBand="0" w:oddHBand="0" w:evenHBand="0" w:firstRowFirstColumn="0" w:firstRowLastColumn="0" w:lastRowFirstColumn="0" w:lastRowLastColumn="0"/>
          <w:trHeight w:val="60"/>
        </w:trPr>
        <w:tc>
          <w:tcPr>
            <w:tcW w:w="7257" w:type="dxa"/>
          </w:tcPr>
          <w:p w14:paraId="0097A2FB" w14:textId="77777777" w:rsidR="00B02873" w:rsidRPr="00B02873" w:rsidRDefault="00B02873" w:rsidP="00AB7EE1">
            <w:pPr>
              <w:pStyle w:val="TableheadingleftFinancialsTables"/>
            </w:pPr>
          </w:p>
        </w:tc>
        <w:tc>
          <w:tcPr>
            <w:tcW w:w="1190" w:type="dxa"/>
          </w:tcPr>
          <w:p w14:paraId="54543945" w14:textId="77777777" w:rsidR="00B02873" w:rsidRDefault="00B02873" w:rsidP="00AB7EE1">
            <w:pPr>
              <w:pStyle w:val="TableheadingleftFinancialsTables"/>
              <w:jc w:val="right"/>
            </w:pPr>
            <w:r>
              <w:t>2022</w:t>
            </w:r>
            <w:r>
              <w:br/>
              <w:t>$’000</w:t>
            </w:r>
          </w:p>
        </w:tc>
        <w:tc>
          <w:tcPr>
            <w:tcW w:w="1191" w:type="dxa"/>
          </w:tcPr>
          <w:p w14:paraId="3E25EDD9" w14:textId="77777777" w:rsidR="00B02873" w:rsidRDefault="00B02873" w:rsidP="00AB7EE1">
            <w:pPr>
              <w:pStyle w:val="TableheadingleftFinancialsTables"/>
              <w:jc w:val="right"/>
            </w:pPr>
            <w:r>
              <w:t>2021</w:t>
            </w:r>
            <w:r>
              <w:br/>
              <w:t>$’000</w:t>
            </w:r>
          </w:p>
        </w:tc>
      </w:tr>
      <w:tr w:rsidR="00B02873" w:rsidRPr="00B02873" w14:paraId="57709853" w14:textId="77777777" w:rsidTr="00AB7EE1">
        <w:trPr>
          <w:trHeight w:val="60"/>
        </w:trPr>
        <w:tc>
          <w:tcPr>
            <w:tcW w:w="7257" w:type="dxa"/>
          </w:tcPr>
          <w:p w14:paraId="5749FCA7" w14:textId="77777777" w:rsidR="00B02873" w:rsidRPr="00AB7EE1" w:rsidRDefault="00B02873" w:rsidP="00AB7EE1">
            <w:pPr>
              <w:pStyle w:val="TablebodyleftFinancialsTables"/>
              <w:rPr>
                <w:b/>
                <w:bCs/>
              </w:rPr>
            </w:pPr>
            <w:r w:rsidRPr="00AB7EE1">
              <w:rPr>
                <w:b/>
                <w:bCs/>
              </w:rPr>
              <w:t xml:space="preserve">Prepayment </w:t>
            </w:r>
          </w:p>
        </w:tc>
        <w:tc>
          <w:tcPr>
            <w:tcW w:w="1190" w:type="dxa"/>
          </w:tcPr>
          <w:p w14:paraId="4C6E77E5" w14:textId="77777777" w:rsidR="00B02873" w:rsidRPr="00AB7EE1" w:rsidRDefault="00B02873" w:rsidP="00AB7EE1">
            <w:pPr>
              <w:pStyle w:val="TablebodyleftFinancialsTables"/>
              <w:jc w:val="right"/>
              <w:rPr>
                <w:rFonts w:asciiTheme="minorHAnsi" w:hAnsiTheme="minorHAnsi" w:cstheme="minorHAnsi"/>
              </w:rPr>
            </w:pPr>
          </w:p>
        </w:tc>
        <w:tc>
          <w:tcPr>
            <w:tcW w:w="1191" w:type="dxa"/>
          </w:tcPr>
          <w:p w14:paraId="44FA753E" w14:textId="77777777" w:rsidR="00B02873" w:rsidRPr="00AB7EE1" w:rsidRDefault="00B02873" w:rsidP="00AB7EE1">
            <w:pPr>
              <w:pStyle w:val="TablebodyleftFinancialsTables"/>
              <w:jc w:val="right"/>
              <w:rPr>
                <w:rFonts w:asciiTheme="minorHAnsi" w:hAnsiTheme="minorHAnsi" w:cstheme="minorHAnsi"/>
              </w:rPr>
            </w:pPr>
          </w:p>
        </w:tc>
      </w:tr>
      <w:tr w:rsidR="00B02873" w:rsidRPr="00B02873" w14:paraId="66A1586B" w14:textId="77777777" w:rsidTr="00AB7EE1">
        <w:trPr>
          <w:trHeight w:val="60"/>
        </w:trPr>
        <w:tc>
          <w:tcPr>
            <w:tcW w:w="7257" w:type="dxa"/>
          </w:tcPr>
          <w:p w14:paraId="159088F6" w14:textId="77777777" w:rsidR="00B02873" w:rsidRDefault="00B02873" w:rsidP="00AB7EE1">
            <w:pPr>
              <w:pStyle w:val="TablebodyleftFinancialsTables"/>
            </w:pPr>
            <w:r>
              <w:t>Information technology services</w:t>
            </w:r>
          </w:p>
        </w:tc>
        <w:tc>
          <w:tcPr>
            <w:tcW w:w="1190" w:type="dxa"/>
          </w:tcPr>
          <w:p w14:paraId="64E312EB" w14:textId="77777777" w:rsidR="00B02873" w:rsidRPr="00AB7EE1" w:rsidRDefault="00B02873" w:rsidP="00AB7EE1">
            <w:pPr>
              <w:pStyle w:val="TablebodyleftFinancialsTables"/>
              <w:jc w:val="right"/>
              <w:rPr>
                <w:b/>
                <w:bCs/>
              </w:rPr>
            </w:pPr>
            <w:r w:rsidRPr="00AB7EE1">
              <w:rPr>
                <w:b/>
                <w:bCs/>
              </w:rPr>
              <w:t>3,887</w:t>
            </w:r>
          </w:p>
        </w:tc>
        <w:tc>
          <w:tcPr>
            <w:tcW w:w="1191" w:type="dxa"/>
          </w:tcPr>
          <w:p w14:paraId="76599B22" w14:textId="77777777" w:rsidR="00B02873" w:rsidRDefault="00B02873" w:rsidP="00AB7EE1">
            <w:pPr>
              <w:pStyle w:val="TablebodyleftFinancialsTables"/>
              <w:jc w:val="right"/>
            </w:pPr>
            <w:r>
              <w:t>4,273</w:t>
            </w:r>
          </w:p>
        </w:tc>
      </w:tr>
      <w:tr w:rsidR="00B02873" w:rsidRPr="00B02873" w14:paraId="2BE65B4B" w14:textId="77777777" w:rsidTr="00AB7EE1">
        <w:trPr>
          <w:trHeight w:val="60"/>
        </w:trPr>
        <w:tc>
          <w:tcPr>
            <w:tcW w:w="7257" w:type="dxa"/>
          </w:tcPr>
          <w:p w14:paraId="56C9DE75" w14:textId="77777777" w:rsidR="00B02873" w:rsidRDefault="00B02873" w:rsidP="00AB7EE1">
            <w:pPr>
              <w:pStyle w:val="TablebodyleftFinancialsTables"/>
            </w:pPr>
            <w:r>
              <w:t xml:space="preserve">Solar Homes program </w:t>
            </w:r>
          </w:p>
        </w:tc>
        <w:tc>
          <w:tcPr>
            <w:tcW w:w="1190" w:type="dxa"/>
          </w:tcPr>
          <w:p w14:paraId="19680353" w14:textId="77777777" w:rsidR="00B02873" w:rsidRPr="00AB7EE1" w:rsidRDefault="00B02873" w:rsidP="00AB7EE1">
            <w:pPr>
              <w:pStyle w:val="TablebodyleftFinancialsTables"/>
              <w:jc w:val="right"/>
              <w:rPr>
                <w:b/>
                <w:bCs/>
              </w:rPr>
            </w:pPr>
            <w:r w:rsidRPr="00AB7EE1">
              <w:rPr>
                <w:b/>
                <w:bCs/>
              </w:rPr>
              <w:t>59,760</w:t>
            </w:r>
          </w:p>
        </w:tc>
        <w:tc>
          <w:tcPr>
            <w:tcW w:w="1191" w:type="dxa"/>
          </w:tcPr>
          <w:p w14:paraId="4654524E" w14:textId="77777777" w:rsidR="00B02873" w:rsidRDefault="00B02873" w:rsidP="00AB7EE1">
            <w:pPr>
              <w:pStyle w:val="TablebodyleftFinancialsTables"/>
              <w:jc w:val="right"/>
            </w:pPr>
            <w:r>
              <w:t>37,890</w:t>
            </w:r>
          </w:p>
        </w:tc>
      </w:tr>
      <w:tr w:rsidR="00B02873" w:rsidRPr="00B02873" w14:paraId="6D0D0E90" w14:textId="77777777" w:rsidTr="00AB7EE1">
        <w:trPr>
          <w:trHeight w:val="60"/>
        </w:trPr>
        <w:tc>
          <w:tcPr>
            <w:tcW w:w="7257" w:type="dxa"/>
          </w:tcPr>
          <w:p w14:paraId="3F4927BC" w14:textId="77777777" w:rsidR="00B02873" w:rsidRDefault="00B02873" w:rsidP="00AB7EE1">
            <w:pPr>
              <w:pStyle w:val="TablebodyleftFinancialsTables"/>
            </w:pPr>
            <w:r>
              <w:t>Other</w:t>
            </w:r>
          </w:p>
        </w:tc>
        <w:tc>
          <w:tcPr>
            <w:tcW w:w="1190" w:type="dxa"/>
          </w:tcPr>
          <w:p w14:paraId="748628D1" w14:textId="77777777" w:rsidR="00B02873" w:rsidRPr="00AB7EE1" w:rsidRDefault="00B02873" w:rsidP="00AB7EE1">
            <w:pPr>
              <w:pStyle w:val="TablebodyleftFinancialsTables"/>
              <w:jc w:val="right"/>
              <w:rPr>
                <w:b/>
                <w:bCs/>
              </w:rPr>
            </w:pPr>
            <w:r w:rsidRPr="00AB7EE1">
              <w:rPr>
                <w:b/>
                <w:bCs/>
              </w:rPr>
              <w:t>16</w:t>
            </w:r>
          </w:p>
        </w:tc>
        <w:tc>
          <w:tcPr>
            <w:tcW w:w="1191" w:type="dxa"/>
          </w:tcPr>
          <w:p w14:paraId="59D8CBBE" w14:textId="77777777" w:rsidR="00B02873" w:rsidRDefault="00B02873" w:rsidP="00AB7EE1">
            <w:pPr>
              <w:pStyle w:val="TablebodyleftFinancialsTables"/>
              <w:jc w:val="right"/>
            </w:pPr>
            <w:r>
              <w:t>296</w:t>
            </w:r>
          </w:p>
        </w:tc>
      </w:tr>
      <w:tr w:rsidR="00B02873" w:rsidRPr="00B02873" w14:paraId="05379EAC" w14:textId="77777777" w:rsidTr="00AB7EE1">
        <w:trPr>
          <w:trHeight w:val="60"/>
        </w:trPr>
        <w:tc>
          <w:tcPr>
            <w:tcW w:w="7257" w:type="dxa"/>
          </w:tcPr>
          <w:p w14:paraId="28F4A2A6" w14:textId="77777777" w:rsidR="00B02873" w:rsidRPr="00AB7EE1" w:rsidRDefault="00B02873" w:rsidP="00AB7EE1">
            <w:pPr>
              <w:pStyle w:val="TablebodyleftFinancialsTables"/>
              <w:rPr>
                <w:b/>
                <w:bCs/>
              </w:rPr>
            </w:pPr>
            <w:r w:rsidRPr="00AB7EE1">
              <w:rPr>
                <w:b/>
                <w:bCs/>
              </w:rPr>
              <w:t>Total prepayments</w:t>
            </w:r>
          </w:p>
        </w:tc>
        <w:tc>
          <w:tcPr>
            <w:tcW w:w="1190" w:type="dxa"/>
          </w:tcPr>
          <w:p w14:paraId="4C10895B" w14:textId="77777777" w:rsidR="00B02873" w:rsidRPr="00AB7EE1" w:rsidRDefault="00B02873" w:rsidP="00AB7EE1">
            <w:pPr>
              <w:pStyle w:val="TablebodyleftFinancialsTables"/>
              <w:jc w:val="right"/>
              <w:rPr>
                <w:b/>
                <w:bCs/>
              </w:rPr>
            </w:pPr>
            <w:r w:rsidRPr="00AB7EE1">
              <w:rPr>
                <w:b/>
                <w:bCs/>
              </w:rPr>
              <w:t>63,663</w:t>
            </w:r>
          </w:p>
        </w:tc>
        <w:tc>
          <w:tcPr>
            <w:tcW w:w="1191" w:type="dxa"/>
          </w:tcPr>
          <w:p w14:paraId="317233BD" w14:textId="77777777" w:rsidR="00B02873" w:rsidRDefault="00B02873" w:rsidP="00AB7EE1">
            <w:pPr>
              <w:pStyle w:val="TablebodyleftFinancialsTables"/>
              <w:jc w:val="right"/>
            </w:pPr>
            <w:r>
              <w:t>42,459</w:t>
            </w:r>
          </w:p>
        </w:tc>
      </w:tr>
    </w:tbl>
    <w:p w14:paraId="41CEEB20" w14:textId="77777777" w:rsidR="00B02873" w:rsidRDefault="00B02873" w:rsidP="00FE198A"/>
    <w:p w14:paraId="3A1EFEC5" w14:textId="0D21EEBD" w:rsidR="00B02873" w:rsidRDefault="00B02873" w:rsidP="00FE198A">
      <w:r>
        <w:t>Prepayments represent payments in advance of receipt of goods or services or the payments made for services covering a term extending beyond that financial accounting period.</w:t>
      </w:r>
    </w:p>
    <w:p w14:paraId="5220A4BB" w14:textId="77777777" w:rsidR="00B02873" w:rsidRDefault="00B02873" w:rsidP="00AB7EE1">
      <w:pPr>
        <w:pStyle w:val="Heading3"/>
      </w:pPr>
      <w:r>
        <w:t>6.5 Inventories</w:t>
      </w:r>
    </w:p>
    <w:tbl>
      <w:tblPr>
        <w:tblStyle w:val="TableGrid"/>
        <w:tblW w:w="0" w:type="auto"/>
        <w:tblLayout w:type="fixed"/>
        <w:tblLook w:val="0020" w:firstRow="1" w:lastRow="0" w:firstColumn="0" w:lastColumn="0" w:noHBand="0" w:noVBand="0"/>
      </w:tblPr>
      <w:tblGrid>
        <w:gridCol w:w="7257"/>
        <w:gridCol w:w="1190"/>
        <w:gridCol w:w="1191"/>
      </w:tblGrid>
      <w:tr w:rsidR="00B02873" w:rsidRPr="00B02873" w14:paraId="34E09E5C" w14:textId="77777777" w:rsidTr="00AB7EE1">
        <w:trPr>
          <w:cnfStyle w:val="100000000000" w:firstRow="1" w:lastRow="0" w:firstColumn="0" w:lastColumn="0" w:oddVBand="0" w:evenVBand="0" w:oddHBand="0" w:evenHBand="0" w:firstRowFirstColumn="0" w:firstRowLastColumn="0" w:lastRowFirstColumn="0" w:lastRowLastColumn="0"/>
          <w:trHeight w:val="60"/>
        </w:trPr>
        <w:tc>
          <w:tcPr>
            <w:tcW w:w="7257" w:type="dxa"/>
          </w:tcPr>
          <w:p w14:paraId="495C799E" w14:textId="77777777" w:rsidR="00B02873" w:rsidRPr="00B02873" w:rsidRDefault="00B02873" w:rsidP="00771D38">
            <w:pPr>
              <w:pStyle w:val="TableheadingleftTables"/>
            </w:pPr>
          </w:p>
        </w:tc>
        <w:tc>
          <w:tcPr>
            <w:tcW w:w="1190" w:type="dxa"/>
          </w:tcPr>
          <w:p w14:paraId="7BB27A83" w14:textId="77777777" w:rsidR="00B02873" w:rsidRPr="00771D38" w:rsidRDefault="00B02873" w:rsidP="00771D38">
            <w:pPr>
              <w:pStyle w:val="TableheadingleftTables"/>
              <w:jc w:val="right"/>
            </w:pPr>
            <w:r w:rsidRPr="00771D38">
              <w:t>2022</w:t>
            </w:r>
            <w:r w:rsidRPr="00771D38">
              <w:br/>
              <w:t>$’000</w:t>
            </w:r>
          </w:p>
        </w:tc>
        <w:tc>
          <w:tcPr>
            <w:tcW w:w="1191" w:type="dxa"/>
          </w:tcPr>
          <w:p w14:paraId="0912E4CF" w14:textId="77777777" w:rsidR="00B02873" w:rsidRDefault="00B02873" w:rsidP="00771D38">
            <w:pPr>
              <w:pStyle w:val="TableheadingleftTables"/>
              <w:jc w:val="right"/>
            </w:pPr>
            <w:r>
              <w:t>2021</w:t>
            </w:r>
            <w:r>
              <w:br/>
              <w:t>$’000</w:t>
            </w:r>
          </w:p>
        </w:tc>
      </w:tr>
      <w:tr w:rsidR="00B02873" w:rsidRPr="00B02873" w14:paraId="64A74E04" w14:textId="77777777" w:rsidTr="00AB7EE1">
        <w:trPr>
          <w:trHeight w:val="60"/>
        </w:trPr>
        <w:tc>
          <w:tcPr>
            <w:tcW w:w="7257" w:type="dxa"/>
          </w:tcPr>
          <w:p w14:paraId="2827FC00" w14:textId="77777777" w:rsidR="00B02873" w:rsidRPr="00771D38" w:rsidRDefault="00B02873" w:rsidP="00771D38">
            <w:pPr>
              <w:pStyle w:val="TablebodyleftFinancialsTables"/>
              <w:rPr>
                <w:b/>
                <w:bCs/>
              </w:rPr>
            </w:pPr>
            <w:r w:rsidRPr="00771D38">
              <w:rPr>
                <w:b/>
                <w:bCs/>
              </w:rPr>
              <w:t>Current inventories</w:t>
            </w:r>
          </w:p>
        </w:tc>
        <w:tc>
          <w:tcPr>
            <w:tcW w:w="1190" w:type="dxa"/>
          </w:tcPr>
          <w:p w14:paraId="20FB57E8" w14:textId="77777777" w:rsidR="00B02873" w:rsidRPr="00771D38" w:rsidRDefault="00B02873" w:rsidP="00771D38">
            <w:pPr>
              <w:pStyle w:val="TablebodyleftFinancialsTables"/>
              <w:jc w:val="right"/>
              <w:rPr>
                <w:rFonts w:ascii="VIC Bold Italic" w:hAnsi="VIC Bold Italic" w:cs="Times New Roman"/>
                <w:b/>
                <w:bCs/>
              </w:rPr>
            </w:pPr>
          </w:p>
        </w:tc>
        <w:tc>
          <w:tcPr>
            <w:tcW w:w="1191" w:type="dxa"/>
          </w:tcPr>
          <w:p w14:paraId="656812D4" w14:textId="77777777" w:rsidR="00B02873" w:rsidRPr="00B02873" w:rsidRDefault="00B02873" w:rsidP="00771D38">
            <w:pPr>
              <w:pStyle w:val="TablebodyleftFinancialsTables"/>
              <w:jc w:val="right"/>
              <w:rPr>
                <w:rFonts w:ascii="VIC Bold Italic" w:hAnsi="VIC Bold Italic" w:cs="Times New Roman"/>
              </w:rPr>
            </w:pPr>
          </w:p>
        </w:tc>
      </w:tr>
      <w:tr w:rsidR="00B02873" w:rsidRPr="00B02873" w14:paraId="76BE1903" w14:textId="77777777" w:rsidTr="00AB7EE1">
        <w:trPr>
          <w:trHeight w:val="60"/>
        </w:trPr>
        <w:tc>
          <w:tcPr>
            <w:tcW w:w="7257" w:type="dxa"/>
          </w:tcPr>
          <w:p w14:paraId="0168EB17" w14:textId="77777777" w:rsidR="00B02873" w:rsidRPr="00771D38" w:rsidRDefault="00B02873" w:rsidP="00771D38">
            <w:pPr>
              <w:pStyle w:val="TablebodyleftFinancialsTables"/>
              <w:rPr>
                <w:b/>
                <w:bCs/>
              </w:rPr>
            </w:pPr>
            <w:r w:rsidRPr="00771D38">
              <w:rPr>
                <w:b/>
                <w:bCs/>
              </w:rPr>
              <w:t>Supplies and consumables – at cost</w:t>
            </w:r>
          </w:p>
        </w:tc>
        <w:tc>
          <w:tcPr>
            <w:tcW w:w="1190" w:type="dxa"/>
          </w:tcPr>
          <w:p w14:paraId="310F7998" w14:textId="77777777" w:rsidR="00B02873" w:rsidRPr="00771D38" w:rsidRDefault="00B02873" w:rsidP="00771D38">
            <w:pPr>
              <w:pStyle w:val="TablebodyleftFinancialsTables"/>
              <w:jc w:val="right"/>
              <w:rPr>
                <w:rFonts w:ascii="VIC Bold Italic" w:hAnsi="VIC Bold Italic" w:cs="Times New Roman"/>
                <w:b/>
                <w:bCs/>
              </w:rPr>
            </w:pPr>
          </w:p>
        </w:tc>
        <w:tc>
          <w:tcPr>
            <w:tcW w:w="1191" w:type="dxa"/>
          </w:tcPr>
          <w:p w14:paraId="39B88474" w14:textId="77777777" w:rsidR="00B02873" w:rsidRPr="00B02873" w:rsidRDefault="00B02873" w:rsidP="00771D38">
            <w:pPr>
              <w:pStyle w:val="TablebodyleftFinancialsTables"/>
              <w:jc w:val="right"/>
              <w:rPr>
                <w:rFonts w:ascii="VIC Bold Italic" w:hAnsi="VIC Bold Italic" w:cs="Times New Roman"/>
              </w:rPr>
            </w:pPr>
          </w:p>
        </w:tc>
      </w:tr>
      <w:tr w:rsidR="00B02873" w:rsidRPr="00B02873" w14:paraId="4A6B78C6" w14:textId="77777777" w:rsidTr="00AB7EE1">
        <w:trPr>
          <w:trHeight w:val="60"/>
        </w:trPr>
        <w:tc>
          <w:tcPr>
            <w:tcW w:w="7257" w:type="dxa"/>
          </w:tcPr>
          <w:p w14:paraId="75D27987" w14:textId="77777777" w:rsidR="00B02873" w:rsidRDefault="00B02873" w:rsidP="00771D38">
            <w:pPr>
              <w:pStyle w:val="TablebodyleftFinancialsTables"/>
            </w:pPr>
            <w:r>
              <w:t>Fire stores</w:t>
            </w:r>
          </w:p>
        </w:tc>
        <w:tc>
          <w:tcPr>
            <w:tcW w:w="1190" w:type="dxa"/>
          </w:tcPr>
          <w:p w14:paraId="268D308C" w14:textId="77777777" w:rsidR="00B02873" w:rsidRPr="00771D38" w:rsidRDefault="00B02873" w:rsidP="00771D38">
            <w:pPr>
              <w:pStyle w:val="TablebodyleftFinancialsTables"/>
              <w:jc w:val="right"/>
              <w:rPr>
                <w:b/>
                <w:bCs/>
              </w:rPr>
            </w:pPr>
            <w:r w:rsidRPr="00771D38">
              <w:rPr>
                <w:b/>
                <w:bCs/>
              </w:rPr>
              <w:t>18,334</w:t>
            </w:r>
          </w:p>
        </w:tc>
        <w:tc>
          <w:tcPr>
            <w:tcW w:w="1191" w:type="dxa"/>
          </w:tcPr>
          <w:p w14:paraId="118C321F" w14:textId="77777777" w:rsidR="00B02873" w:rsidRDefault="00B02873" w:rsidP="00771D38">
            <w:pPr>
              <w:pStyle w:val="TablebodyleftFinancialsTables"/>
              <w:jc w:val="right"/>
            </w:pPr>
            <w:r>
              <w:t>20,201</w:t>
            </w:r>
          </w:p>
        </w:tc>
      </w:tr>
      <w:tr w:rsidR="00B02873" w:rsidRPr="00B02873" w14:paraId="204431ED" w14:textId="77777777" w:rsidTr="00AB7EE1">
        <w:trPr>
          <w:trHeight w:val="60"/>
        </w:trPr>
        <w:tc>
          <w:tcPr>
            <w:tcW w:w="7257" w:type="dxa"/>
          </w:tcPr>
          <w:p w14:paraId="18050F89" w14:textId="77777777" w:rsidR="00B02873" w:rsidRDefault="00B02873" w:rsidP="00771D38">
            <w:pPr>
              <w:pStyle w:val="TablebodyleftFinancialsTables"/>
            </w:pPr>
            <w:r>
              <w:t>Seed bank</w:t>
            </w:r>
          </w:p>
        </w:tc>
        <w:tc>
          <w:tcPr>
            <w:tcW w:w="1190" w:type="dxa"/>
          </w:tcPr>
          <w:p w14:paraId="1531B8D0" w14:textId="77777777" w:rsidR="00B02873" w:rsidRPr="00771D38" w:rsidRDefault="00B02873" w:rsidP="00771D38">
            <w:pPr>
              <w:pStyle w:val="TablebodyleftFinancialsTables"/>
              <w:jc w:val="right"/>
              <w:rPr>
                <w:b/>
                <w:bCs/>
              </w:rPr>
            </w:pPr>
            <w:r w:rsidRPr="00771D38">
              <w:rPr>
                <w:b/>
                <w:bCs/>
              </w:rPr>
              <w:t>1,437</w:t>
            </w:r>
          </w:p>
        </w:tc>
        <w:tc>
          <w:tcPr>
            <w:tcW w:w="1191" w:type="dxa"/>
          </w:tcPr>
          <w:p w14:paraId="2F8BC653" w14:textId="77777777" w:rsidR="00B02873" w:rsidRDefault="00B02873" w:rsidP="00771D38">
            <w:pPr>
              <w:pStyle w:val="TablebodyleftFinancialsTables"/>
              <w:jc w:val="right"/>
            </w:pPr>
            <w:r>
              <w:t>1,437</w:t>
            </w:r>
          </w:p>
        </w:tc>
      </w:tr>
      <w:tr w:rsidR="00B02873" w:rsidRPr="00B02873" w14:paraId="2069122E" w14:textId="77777777" w:rsidTr="00AB7EE1">
        <w:trPr>
          <w:trHeight w:val="60"/>
        </w:trPr>
        <w:tc>
          <w:tcPr>
            <w:tcW w:w="7257" w:type="dxa"/>
          </w:tcPr>
          <w:p w14:paraId="733C076B" w14:textId="77777777" w:rsidR="00B02873" w:rsidRDefault="00B02873" w:rsidP="00771D38">
            <w:pPr>
              <w:pStyle w:val="TablebodyleftFinancialsTables"/>
            </w:pPr>
            <w:r>
              <w:t>Publications held for distribution and other stores</w:t>
            </w:r>
          </w:p>
        </w:tc>
        <w:tc>
          <w:tcPr>
            <w:tcW w:w="1190" w:type="dxa"/>
          </w:tcPr>
          <w:p w14:paraId="60F58828" w14:textId="77777777" w:rsidR="00B02873" w:rsidRPr="00771D38" w:rsidRDefault="00B02873" w:rsidP="00771D38">
            <w:pPr>
              <w:pStyle w:val="TablebodyleftFinancialsTables"/>
              <w:jc w:val="right"/>
              <w:rPr>
                <w:b/>
                <w:bCs/>
              </w:rPr>
            </w:pPr>
            <w:r w:rsidRPr="00771D38">
              <w:rPr>
                <w:b/>
                <w:bCs/>
              </w:rPr>
              <w:t>1,957</w:t>
            </w:r>
          </w:p>
        </w:tc>
        <w:tc>
          <w:tcPr>
            <w:tcW w:w="1191" w:type="dxa"/>
          </w:tcPr>
          <w:p w14:paraId="46756323" w14:textId="77777777" w:rsidR="00B02873" w:rsidRDefault="00B02873" w:rsidP="00771D38">
            <w:pPr>
              <w:pStyle w:val="TablebodyleftFinancialsTables"/>
              <w:jc w:val="right"/>
            </w:pPr>
            <w:r>
              <w:t>2,598</w:t>
            </w:r>
          </w:p>
        </w:tc>
      </w:tr>
      <w:tr w:rsidR="00B02873" w:rsidRPr="00B02873" w14:paraId="4C19958B" w14:textId="77777777" w:rsidTr="00AB7EE1">
        <w:trPr>
          <w:trHeight w:val="60"/>
        </w:trPr>
        <w:tc>
          <w:tcPr>
            <w:tcW w:w="7257" w:type="dxa"/>
          </w:tcPr>
          <w:p w14:paraId="79EB27BA" w14:textId="77777777" w:rsidR="00B02873" w:rsidRPr="00B02873" w:rsidRDefault="00B02873" w:rsidP="00771D38">
            <w:pPr>
              <w:pStyle w:val="TablebodyleftFinancialsTables"/>
              <w:rPr>
                <w:rFonts w:ascii="VIC Bold Italic" w:hAnsi="VIC Bold Italic" w:cs="Times New Roman"/>
              </w:rPr>
            </w:pPr>
          </w:p>
        </w:tc>
        <w:tc>
          <w:tcPr>
            <w:tcW w:w="1190" w:type="dxa"/>
          </w:tcPr>
          <w:p w14:paraId="4D60138A" w14:textId="77777777" w:rsidR="00B02873" w:rsidRPr="00771D38" w:rsidRDefault="00B02873" w:rsidP="00771D38">
            <w:pPr>
              <w:pStyle w:val="TablebodyleftFinancialsTables"/>
              <w:jc w:val="right"/>
              <w:rPr>
                <w:b/>
                <w:bCs/>
              </w:rPr>
            </w:pPr>
            <w:r w:rsidRPr="00771D38">
              <w:rPr>
                <w:b/>
                <w:bCs/>
              </w:rPr>
              <w:t>21,728</w:t>
            </w:r>
          </w:p>
        </w:tc>
        <w:tc>
          <w:tcPr>
            <w:tcW w:w="1191" w:type="dxa"/>
          </w:tcPr>
          <w:p w14:paraId="79DA7078" w14:textId="77777777" w:rsidR="00B02873" w:rsidRDefault="00B02873" w:rsidP="00771D38">
            <w:pPr>
              <w:pStyle w:val="TablebodyleftFinancialsTables"/>
              <w:jc w:val="right"/>
            </w:pPr>
            <w:r>
              <w:t>24,236</w:t>
            </w:r>
          </w:p>
        </w:tc>
      </w:tr>
      <w:tr w:rsidR="00B02873" w:rsidRPr="00B02873" w14:paraId="6AE7680E" w14:textId="77777777" w:rsidTr="00AB7EE1">
        <w:trPr>
          <w:trHeight w:val="60"/>
        </w:trPr>
        <w:tc>
          <w:tcPr>
            <w:tcW w:w="7257" w:type="dxa"/>
          </w:tcPr>
          <w:p w14:paraId="0C8AC958" w14:textId="77777777" w:rsidR="00B02873" w:rsidRPr="00771D38" w:rsidRDefault="00B02873" w:rsidP="00771D38">
            <w:pPr>
              <w:pStyle w:val="TablebodyleftFinancialsTables"/>
              <w:rPr>
                <w:b/>
                <w:bCs/>
              </w:rPr>
            </w:pPr>
            <w:r w:rsidRPr="00771D38">
              <w:rPr>
                <w:b/>
                <w:bCs/>
              </w:rPr>
              <w:t>Inventories held for distribution</w:t>
            </w:r>
          </w:p>
        </w:tc>
        <w:tc>
          <w:tcPr>
            <w:tcW w:w="1190" w:type="dxa"/>
          </w:tcPr>
          <w:p w14:paraId="435AF243" w14:textId="77777777" w:rsidR="00B02873" w:rsidRPr="00771D38" w:rsidRDefault="00B02873" w:rsidP="00771D38">
            <w:pPr>
              <w:pStyle w:val="TablebodyleftFinancialsTables"/>
              <w:jc w:val="right"/>
              <w:rPr>
                <w:rFonts w:ascii="VIC Bold Italic" w:hAnsi="VIC Bold Italic" w:cs="Times New Roman"/>
                <w:b/>
                <w:bCs/>
              </w:rPr>
            </w:pPr>
          </w:p>
        </w:tc>
        <w:tc>
          <w:tcPr>
            <w:tcW w:w="1191" w:type="dxa"/>
          </w:tcPr>
          <w:p w14:paraId="130CBE26" w14:textId="77777777" w:rsidR="00B02873" w:rsidRPr="00B02873" w:rsidRDefault="00B02873" w:rsidP="00771D38">
            <w:pPr>
              <w:pStyle w:val="TablebodyleftFinancialsTables"/>
              <w:jc w:val="right"/>
              <w:rPr>
                <w:rFonts w:ascii="VIC Bold Italic" w:hAnsi="VIC Bold Italic" w:cs="Times New Roman"/>
              </w:rPr>
            </w:pPr>
          </w:p>
        </w:tc>
      </w:tr>
      <w:tr w:rsidR="00B02873" w:rsidRPr="00B02873" w14:paraId="21AF1981" w14:textId="77777777" w:rsidTr="00AB7EE1">
        <w:trPr>
          <w:trHeight w:val="60"/>
        </w:trPr>
        <w:tc>
          <w:tcPr>
            <w:tcW w:w="7257" w:type="dxa"/>
          </w:tcPr>
          <w:p w14:paraId="4A8FE064" w14:textId="77777777" w:rsidR="00B02873" w:rsidRDefault="00B02873" w:rsidP="00771D38">
            <w:pPr>
              <w:pStyle w:val="TablebodyleftFinancialsTables"/>
            </w:pPr>
            <w:r>
              <w:t>Publications held for sale – at cost</w:t>
            </w:r>
          </w:p>
        </w:tc>
        <w:tc>
          <w:tcPr>
            <w:tcW w:w="1190" w:type="dxa"/>
          </w:tcPr>
          <w:p w14:paraId="0CA0272F" w14:textId="77777777" w:rsidR="00B02873" w:rsidRPr="00771D38" w:rsidRDefault="00B02873" w:rsidP="00771D38">
            <w:pPr>
              <w:pStyle w:val="TablebodyleftFinancialsTables"/>
              <w:jc w:val="right"/>
              <w:rPr>
                <w:b/>
                <w:bCs/>
              </w:rPr>
            </w:pPr>
            <w:r w:rsidRPr="00771D38">
              <w:rPr>
                <w:b/>
                <w:bCs/>
              </w:rPr>
              <w:t xml:space="preserve"> 330</w:t>
            </w:r>
          </w:p>
        </w:tc>
        <w:tc>
          <w:tcPr>
            <w:tcW w:w="1191" w:type="dxa"/>
          </w:tcPr>
          <w:p w14:paraId="770BFB28" w14:textId="77777777" w:rsidR="00B02873" w:rsidRDefault="00B02873" w:rsidP="00771D38">
            <w:pPr>
              <w:pStyle w:val="TablebodyleftFinancialsTables"/>
              <w:jc w:val="right"/>
            </w:pPr>
            <w:r>
              <w:t>339</w:t>
            </w:r>
          </w:p>
        </w:tc>
      </w:tr>
      <w:tr w:rsidR="00B02873" w:rsidRPr="00B02873" w14:paraId="56E873C1" w14:textId="77777777" w:rsidTr="00AB7EE1">
        <w:trPr>
          <w:trHeight w:val="60"/>
        </w:trPr>
        <w:tc>
          <w:tcPr>
            <w:tcW w:w="7257" w:type="dxa"/>
          </w:tcPr>
          <w:p w14:paraId="557239F6" w14:textId="77777777" w:rsidR="00B02873" w:rsidRPr="00771D38" w:rsidRDefault="00B02873" w:rsidP="00771D38">
            <w:pPr>
              <w:pStyle w:val="TablebodyleftFinancialsTables"/>
              <w:rPr>
                <w:b/>
                <w:bCs/>
              </w:rPr>
            </w:pPr>
            <w:r w:rsidRPr="00771D38">
              <w:rPr>
                <w:b/>
                <w:bCs/>
              </w:rPr>
              <w:t>Total inventories</w:t>
            </w:r>
          </w:p>
        </w:tc>
        <w:tc>
          <w:tcPr>
            <w:tcW w:w="1190" w:type="dxa"/>
          </w:tcPr>
          <w:p w14:paraId="1A2672E1" w14:textId="77777777" w:rsidR="00B02873" w:rsidRPr="00771D38" w:rsidRDefault="00B02873" w:rsidP="00771D38">
            <w:pPr>
              <w:pStyle w:val="TablebodyleftFinancialsTables"/>
              <w:jc w:val="right"/>
              <w:rPr>
                <w:b/>
                <w:bCs/>
              </w:rPr>
            </w:pPr>
            <w:r w:rsidRPr="00771D38">
              <w:rPr>
                <w:b/>
                <w:bCs/>
              </w:rPr>
              <w:t>22,058</w:t>
            </w:r>
          </w:p>
        </w:tc>
        <w:tc>
          <w:tcPr>
            <w:tcW w:w="1191" w:type="dxa"/>
          </w:tcPr>
          <w:p w14:paraId="5011D36A" w14:textId="77777777" w:rsidR="00B02873" w:rsidRDefault="00B02873" w:rsidP="00771D38">
            <w:pPr>
              <w:pStyle w:val="TablebodyleftFinancialsTables"/>
              <w:jc w:val="right"/>
            </w:pPr>
            <w:r>
              <w:t>24,575</w:t>
            </w:r>
          </w:p>
        </w:tc>
      </w:tr>
    </w:tbl>
    <w:p w14:paraId="2EADA2AF" w14:textId="77777777" w:rsidR="00B02873" w:rsidRDefault="00B02873" w:rsidP="00FE198A"/>
    <w:p w14:paraId="5646D8CF" w14:textId="77777777" w:rsidR="00B02873" w:rsidRDefault="00B02873" w:rsidP="00FE198A">
      <w:r>
        <w:t>Fire stores are items held to respond to fire and emergency situations. Items include fire retardant, phoscheck and personal protective equipment.</w:t>
      </w:r>
    </w:p>
    <w:p w14:paraId="76F850BE" w14:textId="3848B9B4" w:rsidR="00B02873" w:rsidRDefault="00B02873" w:rsidP="00FE198A">
      <w:r>
        <w:t>Inventories include goods and other items held either for sale or for distribution at zero or nominal cost, or for consumption in the ordinary course of business operations.</w:t>
      </w:r>
    </w:p>
    <w:p w14:paraId="2F3E772B" w14:textId="590911F8" w:rsidR="00B02873" w:rsidRDefault="00B02873" w:rsidP="00FE198A">
      <w:r>
        <w:t>Inventories held for distribution are measured at cost, adjusted for any loss of service potential. All other inventories are measured at the lower of cost and net realisable value. Where inventories are acquired for no cost or nominal consideration, they are measured at current replacement cost at the date of acquisition.</w:t>
      </w:r>
    </w:p>
    <w:p w14:paraId="0A6E8710" w14:textId="33C657FC" w:rsidR="00B02873" w:rsidRDefault="00B02873" w:rsidP="00FE198A">
      <w:r>
        <w:lastRenderedPageBreak/>
        <w:t xml:space="preserve">Bases used in assessing loss of service potential for inventories held for distribution include current replacement cost and technical or functional obsolescence. Technical obsolescence occurs when an item still functions for some or all of the tasks it was originally acquired to do, but no longer matches existing technologies. Functional obsolescence occurs when an item no longer functions the way it did when it was first acquired. </w:t>
      </w:r>
    </w:p>
    <w:p w14:paraId="4D402D81" w14:textId="77777777" w:rsidR="00B02873" w:rsidRDefault="00B02873" w:rsidP="009866F3">
      <w:pPr>
        <w:pStyle w:val="Heading3"/>
      </w:pPr>
      <w:r>
        <w:t>6.6 Other provisions</w:t>
      </w:r>
    </w:p>
    <w:tbl>
      <w:tblPr>
        <w:tblStyle w:val="TableGrid"/>
        <w:tblW w:w="0" w:type="auto"/>
        <w:tblLayout w:type="fixed"/>
        <w:tblLook w:val="0020" w:firstRow="1" w:lastRow="0" w:firstColumn="0" w:lastColumn="0" w:noHBand="0" w:noVBand="0"/>
      </w:tblPr>
      <w:tblGrid>
        <w:gridCol w:w="7257"/>
        <w:gridCol w:w="1190"/>
        <w:gridCol w:w="1191"/>
      </w:tblGrid>
      <w:tr w:rsidR="00B02873" w:rsidRPr="00B02873" w14:paraId="4DD32F7F" w14:textId="77777777" w:rsidTr="009866F3">
        <w:trPr>
          <w:cnfStyle w:val="100000000000" w:firstRow="1" w:lastRow="0" w:firstColumn="0" w:lastColumn="0" w:oddVBand="0" w:evenVBand="0" w:oddHBand="0" w:evenHBand="0" w:firstRowFirstColumn="0" w:firstRowLastColumn="0" w:lastRowFirstColumn="0" w:lastRowLastColumn="0"/>
          <w:trHeight w:val="60"/>
        </w:trPr>
        <w:tc>
          <w:tcPr>
            <w:tcW w:w="7257" w:type="dxa"/>
          </w:tcPr>
          <w:p w14:paraId="321E8CA6" w14:textId="77777777" w:rsidR="00B02873" w:rsidRPr="00B02873" w:rsidRDefault="00B02873" w:rsidP="009866F3">
            <w:pPr>
              <w:pStyle w:val="TableheadingleftFinancialsTables"/>
            </w:pPr>
          </w:p>
        </w:tc>
        <w:tc>
          <w:tcPr>
            <w:tcW w:w="1190" w:type="dxa"/>
          </w:tcPr>
          <w:p w14:paraId="59068D87" w14:textId="77777777" w:rsidR="00B02873" w:rsidRPr="009866F3" w:rsidRDefault="00B02873" w:rsidP="009866F3">
            <w:pPr>
              <w:pStyle w:val="TableheadingleftFinancialsTables"/>
              <w:jc w:val="right"/>
            </w:pPr>
            <w:r w:rsidRPr="009866F3">
              <w:t>2022</w:t>
            </w:r>
            <w:r w:rsidRPr="009866F3">
              <w:br/>
              <w:t>$’000</w:t>
            </w:r>
          </w:p>
        </w:tc>
        <w:tc>
          <w:tcPr>
            <w:tcW w:w="1191" w:type="dxa"/>
          </w:tcPr>
          <w:p w14:paraId="6B7049FC" w14:textId="77777777" w:rsidR="00B02873" w:rsidRDefault="00B02873" w:rsidP="009866F3">
            <w:pPr>
              <w:pStyle w:val="TableheadingleftFinancialsTables"/>
              <w:jc w:val="right"/>
            </w:pPr>
            <w:r>
              <w:t>2021</w:t>
            </w:r>
            <w:r>
              <w:br/>
              <w:t>$’000</w:t>
            </w:r>
          </w:p>
        </w:tc>
      </w:tr>
      <w:tr w:rsidR="00B02873" w:rsidRPr="00B02873" w14:paraId="70F51080" w14:textId="77777777" w:rsidTr="009866F3">
        <w:trPr>
          <w:trHeight w:val="60"/>
        </w:trPr>
        <w:tc>
          <w:tcPr>
            <w:tcW w:w="7257" w:type="dxa"/>
          </w:tcPr>
          <w:p w14:paraId="39D20B28" w14:textId="77777777" w:rsidR="00B02873" w:rsidRPr="009866F3" w:rsidRDefault="00B02873" w:rsidP="009866F3">
            <w:pPr>
              <w:pStyle w:val="TablebodyleftFinancialsTables"/>
              <w:rPr>
                <w:b/>
                <w:bCs/>
              </w:rPr>
            </w:pPr>
            <w:r w:rsidRPr="009866F3">
              <w:rPr>
                <w:b/>
                <w:bCs/>
              </w:rPr>
              <w:t xml:space="preserve">Current other provisions </w:t>
            </w:r>
          </w:p>
        </w:tc>
        <w:tc>
          <w:tcPr>
            <w:tcW w:w="1190" w:type="dxa"/>
          </w:tcPr>
          <w:p w14:paraId="4A02C636" w14:textId="77777777" w:rsidR="00B02873" w:rsidRPr="009866F3" w:rsidRDefault="00B02873" w:rsidP="009866F3">
            <w:pPr>
              <w:pStyle w:val="TablebodyleftFinancialsTables"/>
              <w:jc w:val="right"/>
              <w:rPr>
                <w:rFonts w:ascii="VIC Bold Italic" w:hAnsi="VIC Bold Italic" w:cs="Times New Roman"/>
                <w:b/>
                <w:bCs/>
              </w:rPr>
            </w:pPr>
          </w:p>
        </w:tc>
        <w:tc>
          <w:tcPr>
            <w:tcW w:w="1191" w:type="dxa"/>
          </w:tcPr>
          <w:p w14:paraId="677AE6CC" w14:textId="77777777" w:rsidR="00B02873" w:rsidRPr="00B02873" w:rsidRDefault="00B02873" w:rsidP="009866F3">
            <w:pPr>
              <w:pStyle w:val="TablebodyleftFinancialsTables"/>
              <w:jc w:val="right"/>
              <w:rPr>
                <w:rFonts w:ascii="VIC Bold Italic" w:hAnsi="VIC Bold Italic" w:cs="Times New Roman"/>
              </w:rPr>
            </w:pPr>
          </w:p>
        </w:tc>
      </w:tr>
      <w:tr w:rsidR="00B02873" w:rsidRPr="00B02873" w14:paraId="2228C70C" w14:textId="77777777" w:rsidTr="009866F3">
        <w:trPr>
          <w:trHeight w:val="60"/>
        </w:trPr>
        <w:tc>
          <w:tcPr>
            <w:tcW w:w="7257" w:type="dxa"/>
          </w:tcPr>
          <w:p w14:paraId="0486EA07" w14:textId="77777777" w:rsidR="00B02873" w:rsidRDefault="00B02873" w:rsidP="009866F3">
            <w:pPr>
              <w:pStyle w:val="TablebodyleftFinancialsTables"/>
            </w:pPr>
            <w:r>
              <w:t xml:space="preserve">Land purchases </w:t>
            </w:r>
          </w:p>
        </w:tc>
        <w:tc>
          <w:tcPr>
            <w:tcW w:w="1190" w:type="dxa"/>
          </w:tcPr>
          <w:p w14:paraId="46CCB4D5" w14:textId="77777777" w:rsidR="00B02873" w:rsidRPr="009866F3" w:rsidRDefault="00B02873" w:rsidP="009866F3">
            <w:pPr>
              <w:pStyle w:val="TablebodyleftFinancialsTables"/>
              <w:jc w:val="right"/>
              <w:rPr>
                <w:b/>
                <w:bCs/>
              </w:rPr>
            </w:pPr>
            <w:r w:rsidRPr="009866F3">
              <w:rPr>
                <w:b/>
                <w:bCs/>
              </w:rPr>
              <w:t>133,395</w:t>
            </w:r>
          </w:p>
        </w:tc>
        <w:tc>
          <w:tcPr>
            <w:tcW w:w="1191" w:type="dxa"/>
          </w:tcPr>
          <w:p w14:paraId="36422240" w14:textId="77777777" w:rsidR="00B02873" w:rsidRDefault="00B02873" w:rsidP="009866F3">
            <w:pPr>
              <w:pStyle w:val="TablebodyleftFinancialsTables"/>
              <w:jc w:val="right"/>
            </w:pPr>
            <w:r>
              <w:t>–</w:t>
            </w:r>
          </w:p>
        </w:tc>
      </w:tr>
      <w:tr w:rsidR="00B02873" w:rsidRPr="00B02873" w14:paraId="1DCAEFB4" w14:textId="77777777" w:rsidTr="009866F3">
        <w:trPr>
          <w:trHeight w:val="60"/>
        </w:trPr>
        <w:tc>
          <w:tcPr>
            <w:tcW w:w="7257" w:type="dxa"/>
          </w:tcPr>
          <w:p w14:paraId="1168CA04" w14:textId="77777777" w:rsidR="00B02873" w:rsidRDefault="00B02873" w:rsidP="009866F3">
            <w:pPr>
              <w:pStyle w:val="TablebodyleftFinancialsTables"/>
            </w:pPr>
            <w:r>
              <w:t>Solar programs</w:t>
            </w:r>
          </w:p>
        </w:tc>
        <w:tc>
          <w:tcPr>
            <w:tcW w:w="1190" w:type="dxa"/>
          </w:tcPr>
          <w:p w14:paraId="7C1AA6D5" w14:textId="77777777" w:rsidR="00B02873" w:rsidRPr="009866F3" w:rsidRDefault="00B02873" w:rsidP="009866F3">
            <w:pPr>
              <w:pStyle w:val="TablebodyleftFinancialsTables"/>
              <w:jc w:val="right"/>
              <w:rPr>
                <w:b/>
                <w:bCs/>
              </w:rPr>
            </w:pPr>
            <w:r w:rsidRPr="009866F3">
              <w:rPr>
                <w:b/>
                <w:bCs/>
              </w:rPr>
              <w:t>34,272</w:t>
            </w:r>
          </w:p>
        </w:tc>
        <w:tc>
          <w:tcPr>
            <w:tcW w:w="1191" w:type="dxa"/>
          </w:tcPr>
          <w:p w14:paraId="257F401A" w14:textId="77777777" w:rsidR="00B02873" w:rsidRDefault="00B02873" w:rsidP="009866F3">
            <w:pPr>
              <w:pStyle w:val="TablebodyleftFinancialsTables"/>
              <w:jc w:val="right"/>
            </w:pPr>
            <w:r>
              <w:t>33,412</w:t>
            </w:r>
          </w:p>
        </w:tc>
      </w:tr>
      <w:tr w:rsidR="00B02873" w:rsidRPr="00B02873" w14:paraId="22B61B8C" w14:textId="77777777" w:rsidTr="009866F3">
        <w:trPr>
          <w:trHeight w:val="60"/>
        </w:trPr>
        <w:tc>
          <w:tcPr>
            <w:tcW w:w="7257" w:type="dxa"/>
          </w:tcPr>
          <w:p w14:paraId="0D5A8018" w14:textId="77777777" w:rsidR="00B02873" w:rsidRDefault="00B02873" w:rsidP="009866F3">
            <w:pPr>
              <w:pStyle w:val="TablebodyleftFinancialsTables"/>
            </w:pPr>
            <w:r>
              <w:t xml:space="preserve">Onerous lease contracts </w:t>
            </w:r>
          </w:p>
        </w:tc>
        <w:tc>
          <w:tcPr>
            <w:tcW w:w="1190" w:type="dxa"/>
          </w:tcPr>
          <w:p w14:paraId="63F0D8EE" w14:textId="77777777" w:rsidR="00B02873" w:rsidRPr="009866F3" w:rsidRDefault="00B02873" w:rsidP="009866F3">
            <w:pPr>
              <w:pStyle w:val="TablebodyleftFinancialsTables"/>
              <w:jc w:val="right"/>
              <w:rPr>
                <w:b/>
                <w:bCs/>
              </w:rPr>
            </w:pPr>
            <w:r w:rsidRPr="009866F3">
              <w:rPr>
                <w:b/>
                <w:bCs/>
              </w:rPr>
              <w:t>1,952</w:t>
            </w:r>
          </w:p>
        </w:tc>
        <w:tc>
          <w:tcPr>
            <w:tcW w:w="1191" w:type="dxa"/>
          </w:tcPr>
          <w:p w14:paraId="29BF15DA" w14:textId="77777777" w:rsidR="00B02873" w:rsidRDefault="00B02873" w:rsidP="009866F3">
            <w:pPr>
              <w:pStyle w:val="TablebodyleftFinancialsTables"/>
              <w:jc w:val="right"/>
            </w:pPr>
            <w:r>
              <w:t>2,433</w:t>
            </w:r>
          </w:p>
        </w:tc>
      </w:tr>
      <w:tr w:rsidR="00B02873" w:rsidRPr="00B02873" w14:paraId="3E013363" w14:textId="77777777" w:rsidTr="009866F3">
        <w:trPr>
          <w:trHeight w:val="60"/>
        </w:trPr>
        <w:tc>
          <w:tcPr>
            <w:tcW w:w="7257" w:type="dxa"/>
          </w:tcPr>
          <w:p w14:paraId="3F4B8B0C" w14:textId="77777777" w:rsidR="00B02873" w:rsidRDefault="00B02873" w:rsidP="009866F3">
            <w:pPr>
              <w:pStyle w:val="TablebodyleftFinancialsTables"/>
            </w:pPr>
            <w:r>
              <w:t>Other provisions</w:t>
            </w:r>
          </w:p>
        </w:tc>
        <w:tc>
          <w:tcPr>
            <w:tcW w:w="1190" w:type="dxa"/>
          </w:tcPr>
          <w:p w14:paraId="5022263F" w14:textId="77777777" w:rsidR="00B02873" w:rsidRPr="009866F3" w:rsidRDefault="00B02873" w:rsidP="009866F3">
            <w:pPr>
              <w:pStyle w:val="TablebodyleftFinancialsTables"/>
              <w:jc w:val="right"/>
              <w:rPr>
                <w:b/>
                <w:bCs/>
              </w:rPr>
            </w:pPr>
            <w:r w:rsidRPr="009866F3">
              <w:rPr>
                <w:b/>
                <w:bCs/>
              </w:rPr>
              <w:t>3,880</w:t>
            </w:r>
          </w:p>
        </w:tc>
        <w:tc>
          <w:tcPr>
            <w:tcW w:w="1191" w:type="dxa"/>
          </w:tcPr>
          <w:p w14:paraId="49222563" w14:textId="77777777" w:rsidR="00B02873" w:rsidRDefault="00B02873" w:rsidP="009866F3">
            <w:pPr>
              <w:pStyle w:val="TablebodyleftFinancialsTables"/>
              <w:jc w:val="right"/>
            </w:pPr>
            <w:r>
              <w:t>3,951</w:t>
            </w:r>
          </w:p>
        </w:tc>
      </w:tr>
      <w:tr w:rsidR="00B02873" w:rsidRPr="00B02873" w14:paraId="70039C63" w14:textId="77777777" w:rsidTr="009866F3">
        <w:trPr>
          <w:trHeight w:val="60"/>
        </w:trPr>
        <w:tc>
          <w:tcPr>
            <w:tcW w:w="7257" w:type="dxa"/>
          </w:tcPr>
          <w:p w14:paraId="4F1D306F" w14:textId="77777777" w:rsidR="00B02873" w:rsidRPr="009866F3" w:rsidRDefault="00B02873" w:rsidP="009866F3">
            <w:pPr>
              <w:pStyle w:val="TablebodyleftFinancialsTables"/>
              <w:rPr>
                <w:b/>
                <w:bCs/>
              </w:rPr>
            </w:pPr>
            <w:r w:rsidRPr="009866F3">
              <w:rPr>
                <w:b/>
                <w:bCs/>
              </w:rPr>
              <w:t>Total current other provisions</w:t>
            </w:r>
          </w:p>
        </w:tc>
        <w:tc>
          <w:tcPr>
            <w:tcW w:w="1190" w:type="dxa"/>
          </w:tcPr>
          <w:p w14:paraId="2DD7F980" w14:textId="77777777" w:rsidR="00B02873" w:rsidRPr="009866F3" w:rsidRDefault="00B02873" w:rsidP="009866F3">
            <w:pPr>
              <w:pStyle w:val="TablebodyleftFinancialsTables"/>
              <w:jc w:val="right"/>
              <w:rPr>
                <w:b/>
                <w:bCs/>
              </w:rPr>
            </w:pPr>
            <w:r w:rsidRPr="009866F3">
              <w:rPr>
                <w:b/>
                <w:bCs/>
              </w:rPr>
              <w:t>173,499</w:t>
            </w:r>
          </w:p>
        </w:tc>
        <w:tc>
          <w:tcPr>
            <w:tcW w:w="1191" w:type="dxa"/>
          </w:tcPr>
          <w:p w14:paraId="518B81E9" w14:textId="77777777" w:rsidR="00B02873" w:rsidRDefault="00B02873" w:rsidP="009866F3">
            <w:pPr>
              <w:pStyle w:val="TablebodyleftFinancialsTables"/>
              <w:jc w:val="right"/>
            </w:pPr>
            <w:r>
              <w:t>39,796</w:t>
            </w:r>
          </w:p>
        </w:tc>
      </w:tr>
      <w:tr w:rsidR="00B02873" w:rsidRPr="00B02873" w14:paraId="3097A7A0" w14:textId="77777777" w:rsidTr="009866F3">
        <w:trPr>
          <w:trHeight w:val="60"/>
        </w:trPr>
        <w:tc>
          <w:tcPr>
            <w:tcW w:w="7257" w:type="dxa"/>
          </w:tcPr>
          <w:p w14:paraId="55936C83" w14:textId="77777777" w:rsidR="00B02873" w:rsidRPr="009866F3" w:rsidRDefault="00B02873" w:rsidP="009866F3">
            <w:pPr>
              <w:pStyle w:val="TablebodyleftFinancialsTables"/>
              <w:rPr>
                <w:b/>
                <w:bCs/>
              </w:rPr>
            </w:pPr>
            <w:r w:rsidRPr="009866F3">
              <w:rPr>
                <w:b/>
                <w:bCs/>
              </w:rPr>
              <w:t xml:space="preserve">Non-current other provisions </w:t>
            </w:r>
          </w:p>
        </w:tc>
        <w:tc>
          <w:tcPr>
            <w:tcW w:w="1190" w:type="dxa"/>
          </w:tcPr>
          <w:p w14:paraId="13B6C2D2" w14:textId="77777777" w:rsidR="00B02873" w:rsidRPr="009866F3" w:rsidRDefault="00B02873" w:rsidP="009866F3">
            <w:pPr>
              <w:pStyle w:val="TablebodyleftFinancialsTables"/>
              <w:jc w:val="right"/>
              <w:rPr>
                <w:rFonts w:ascii="VIC Bold Italic" w:hAnsi="VIC Bold Italic" w:cs="Times New Roman"/>
                <w:b/>
                <w:bCs/>
              </w:rPr>
            </w:pPr>
          </w:p>
        </w:tc>
        <w:tc>
          <w:tcPr>
            <w:tcW w:w="1191" w:type="dxa"/>
          </w:tcPr>
          <w:p w14:paraId="655CB4F9" w14:textId="77777777" w:rsidR="00B02873" w:rsidRPr="00B02873" w:rsidRDefault="00B02873" w:rsidP="009866F3">
            <w:pPr>
              <w:pStyle w:val="TablebodyleftFinancialsTables"/>
              <w:jc w:val="right"/>
              <w:rPr>
                <w:rFonts w:ascii="VIC Bold Italic" w:hAnsi="VIC Bold Italic" w:cs="Times New Roman"/>
              </w:rPr>
            </w:pPr>
          </w:p>
        </w:tc>
      </w:tr>
      <w:tr w:rsidR="00B02873" w:rsidRPr="00B02873" w14:paraId="162C6978" w14:textId="77777777" w:rsidTr="009866F3">
        <w:trPr>
          <w:trHeight w:val="60"/>
        </w:trPr>
        <w:tc>
          <w:tcPr>
            <w:tcW w:w="7257" w:type="dxa"/>
          </w:tcPr>
          <w:p w14:paraId="45065F92" w14:textId="77777777" w:rsidR="00B02873" w:rsidRDefault="00B02873" w:rsidP="009866F3">
            <w:pPr>
              <w:pStyle w:val="TablebodyleftFinancialsTables"/>
            </w:pPr>
            <w:r>
              <w:t>Onerous lease contracts</w:t>
            </w:r>
          </w:p>
        </w:tc>
        <w:tc>
          <w:tcPr>
            <w:tcW w:w="1190" w:type="dxa"/>
          </w:tcPr>
          <w:p w14:paraId="208D3198" w14:textId="77777777" w:rsidR="00B02873" w:rsidRPr="009866F3" w:rsidRDefault="00B02873" w:rsidP="009866F3">
            <w:pPr>
              <w:pStyle w:val="TablebodyleftFinancialsTables"/>
              <w:jc w:val="right"/>
              <w:rPr>
                <w:b/>
                <w:bCs/>
              </w:rPr>
            </w:pPr>
            <w:r w:rsidRPr="009866F3">
              <w:rPr>
                <w:b/>
                <w:bCs/>
              </w:rPr>
              <w:t>5,182</w:t>
            </w:r>
          </w:p>
        </w:tc>
        <w:tc>
          <w:tcPr>
            <w:tcW w:w="1191" w:type="dxa"/>
          </w:tcPr>
          <w:p w14:paraId="63B4479E" w14:textId="77777777" w:rsidR="00B02873" w:rsidRDefault="00B02873" w:rsidP="009866F3">
            <w:pPr>
              <w:pStyle w:val="TablebodyleftFinancialsTables"/>
              <w:jc w:val="right"/>
            </w:pPr>
            <w:r>
              <w:t>4,186</w:t>
            </w:r>
          </w:p>
        </w:tc>
      </w:tr>
      <w:tr w:rsidR="00B02873" w:rsidRPr="00B02873" w14:paraId="347EC9E3" w14:textId="77777777" w:rsidTr="009866F3">
        <w:trPr>
          <w:trHeight w:val="60"/>
        </w:trPr>
        <w:tc>
          <w:tcPr>
            <w:tcW w:w="7257" w:type="dxa"/>
          </w:tcPr>
          <w:p w14:paraId="40D6D7BE" w14:textId="77777777" w:rsidR="00B02873" w:rsidRPr="009866F3" w:rsidRDefault="00B02873" w:rsidP="009866F3">
            <w:pPr>
              <w:pStyle w:val="TablebodyleftFinancialsTables"/>
              <w:rPr>
                <w:b/>
                <w:bCs/>
              </w:rPr>
            </w:pPr>
            <w:r w:rsidRPr="009866F3">
              <w:rPr>
                <w:b/>
                <w:bCs/>
              </w:rPr>
              <w:t>Total non-current other provisions</w:t>
            </w:r>
          </w:p>
        </w:tc>
        <w:tc>
          <w:tcPr>
            <w:tcW w:w="1190" w:type="dxa"/>
          </w:tcPr>
          <w:p w14:paraId="0D1F61E1" w14:textId="77777777" w:rsidR="00B02873" w:rsidRPr="009866F3" w:rsidRDefault="00B02873" w:rsidP="009866F3">
            <w:pPr>
              <w:pStyle w:val="TablebodyleftFinancialsTables"/>
              <w:jc w:val="right"/>
              <w:rPr>
                <w:b/>
                <w:bCs/>
              </w:rPr>
            </w:pPr>
            <w:r w:rsidRPr="009866F3">
              <w:rPr>
                <w:b/>
                <w:bCs/>
              </w:rPr>
              <w:t>5,182</w:t>
            </w:r>
          </w:p>
        </w:tc>
        <w:tc>
          <w:tcPr>
            <w:tcW w:w="1191" w:type="dxa"/>
          </w:tcPr>
          <w:p w14:paraId="07FA9DA7" w14:textId="77777777" w:rsidR="00B02873" w:rsidRDefault="00B02873" w:rsidP="009866F3">
            <w:pPr>
              <w:pStyle w:val="TablebodyleftFinancialsTables"/>
              <w:jc w:val="right"/>
            </w:pPr>
            <w:r>
              <w:t>4,186</w:t>
            </w:r>
          </w:p>
        </w:tc>
      </w:tr>
      <w:tr w:rsidR="00B02873" w:rsidRPr="00B02873" w14:paraId="400419FC" w14:textId="77777777" w:rsidTr="009866F3">
        <w:trPr>
          <w:trHeight w:val="60"/>
        </w:trPr>
        <w:tc>
          <w:tcPr>
            <w:tcW w:w="7257" w:type="dxa"/>
          </w:tcPr>
          <w:p w14:paraId="7F13E878" w14:textId="77777777" w:rsidR="00B02873" w:rsidRPr="009866F3" w:rsidRDefault="00B02873" w:rsidP="009866F3">
            <w:pPr>
              <w:pStyle w:val="TablebodyleftFinancialsTables"/>
              <w:rPr>
                <w:b/>
                <w:bCs/>
              </w:rPr>
            </w:pPr>
            <w:r w:rsidRPr="009866F3">
              <w:rPr>
                <w:b/>
                <w:bCs/>
              </w:rPr>
              <w:t>Total other provisions</w:t>
            </w:r>
          </w:p>
        </w:tc>
        <w:tc>
          <w:tcPr>
            <w:tcW w:w="1190" w:type="dxa"/>
          </w:tcPr>
          <w:p w14:paraId="39CA5016" w14:textId="77777777" w:rsidR="00B02873" w:rsidRPr="009866F3" w:rsidRDefault="00B02873" w:rsidP="009866F3">
            <w:pPr>
              <w:pStyle w:val="TablebodyleftFinancialsTables"/>
              <w:jc w:val="right"/>
              <w:rPr>
                <w:b/>
                <w:bCs/>
              </w:rPr>
            </w:pPr>
            <w:r w:rsidRPr="009866F3">
              <w:rPr>
                <w:b/>
                <w:bCs/>
              </w:rPr>
              <w:t>178,681</w:t>
            </w:r>
          </w:p>
        </w:tc>
        <w:tc>
          <w:tcPr>
            <w:tcW w:w="1191" w:type="dxa"/>
          </w:tcPr>
          <w:p w14:paraId="216F25A6" w14:textId="77777777" w:rsidR="00B02873" w:rsidRDefault="00B02873" w:rsidP="009866F3">
            <w:pPr>
              <w:pStyle w:val="TablebodyleftFinancialsTables"/>
              <w:jc w:val="right"/>
            </w:pPr>
            <w:r>
              <w:t>43,982</w:t>
            </w:r>
          </w:p>
        </w:tc>
      </w:tr>
    </w:tbl>
    <w:p w14:paraId="7865B9BA" w14:textId="77777777" w:rsidR="00B02873" w:rsidRDefault="00B02873" w:rsidP="00FE198A"/>
    <w:p w14:paraId="719304F6" w14:textId="5B2A371C" w:rsidR="00B02873" w:rsidRDefault="00B02873" w:rsidP="00FE198A">
      <w:r>
        <w:t>Other provisions are recognised when the department has a present obligation, the future sacrifice of economic benefits is probable, and the amount of the provision can be measured reliably.</w:t>
      </w:r>
    </w:p>
    <w:p w14:paraId="30323CE4" w14:textId="77777777" w:rsidR="00B02873" w:rsidRDefault="00B02873" w:rsidP="00FE198A">
      <w:r>
        <w:t>The future sacrifice of economic benefits includes costs associated with land purchases, Solar programs, LGCs, onerous lease contracts, insurance claims, restoration and rehabilitation related to bushfire activities involving the department, and other environmental activities such as native vegetation offsets.</w:t>
      </w:r>
    </w:p>
    <w:p w14:paraId="1256C37C" w14:textId="77777777" w:rsidR="00B02873" w:rsidRDefault="00B02873" w:rsidP="00FE198A">
      <w:r>
        <w:t xml:space="preserve">The amount recognised as a liability is the best estimate to settle the present obligation at reporting date, taking into account the risks and uncertainties surrounding the obligation. </w:t>
      </w:r>
    </w:p>
    <w:p w14:paraId="2596188E" w14:textId="77777777" w:rsidR="00B02873" w:rsidRDefault="00B02873" w:rsidP="009866F3">
      <w:pPr>
        <w:pStyle w:val="Heading5"/>
      </w:pPr>
      <w:r>
        <w:t>Onerous contracts</w:t>
      </w:r>
    </w:p>
    <w:p w14:paraId="0A38D562" w14:textId="77777777" w:rsidR="00B02873" w:rsidRDefault="00B02873" w:rsidP="00FE198A">
      <w:r>
        <w:t xml:space="preserve">An onerous contract is considered to exist when the unavoidable cost of meeting the contractual obligations exceeds the estimated economic benefits to be received. </w:t>
      </w:r>
    </w:p>
    <w:p w14:paraId="415EC341" w14:textId="7F955A15" w:rsidR="00B02873" w:rsidRDefault="00B02873" w:rsidP="00FE198A">
      <w:r>
        <w:t xml:space="preserve">Present obligations arising under onerous contracts are recognised as a provision to the extent that the present obligation exceeds the estimated economic benefits to be received. This provision represents the present value of the future lease payments that the department is presently obligated to make in respect of onerous lease contracts under lease agreements, less income expected to be earned on the lease including estimated future sublease income. The estimate may vary as a result of changes in utilisation of the leased premises and sublease arrangements where applicable. The unexpired term of the leases vary up to a maximum of 15 years. </w:t>
      </w:r>
    </w:p>
    <w:p w14:paraId="6B75665C" w14:textId="77777777" w:rsidR="00B02873" w:rsidRDefault="00B02873" w:rsidP="009866F3">
      <w:pPr>
        <w:pStyle w:val="Heading4"/>
      </w:pPr>
      <w:r>
        <w:lastRenderedPageBreak/>
        <w:t>6.6.1 Reconciliation of movement in other provisions</w:t>
      </w:r>
    </w:p>
    <w:tbl>
      <w:tblPr>
        <w:tblStyle w:val="TableGrid"/>
        <w:tblW w:w="9719" w:type="dxa"/>
        <w:tblLayout w:type="fixed"/>
        <w:tblLook w:val="0020" w:firstRow="1" w:lastRow="0" w:firstColumn="0" w:lastColumn="0" w:noHBand="0" w:noVBand="0"/>
      </w:tblPr>
      <w:tblGrid>
        <w:gridCol w:w="3776"/>
        <w:gridCol w:w="1181"/>
        <w:gridCol w:w="1190"/>
        <w:gridCol w:w="1191"/>
        <w:gridCol w:w="1190"/>
        <w:gridCol w:w="1191"/>
      </w:tblGrid>
      <w:tr w:rsidR="00B02873" w:rsidRPr="00B02873" w14:paraId="1BD79B0B" w14:textId="77777777" w:rsidTr="009866F3">
        <w:trPr>
          <w:cnfStyle w:val="100000000000" w:firstRow="1" w:lastRow="0" w:firstColumn="0" w:lastColumn="0" w:oddVBand="0" w:evenVBand="0" w:oddHBand="0" w:evenHBand="0" w:firstRowFirstColumn="0" w:firstRowLastColumn="0" w:lastRowFirstColumn="0" w:lastRowLastColumn="0"/>
        </w:trPr>
        <w:tc>
          <w:tcPr>
            <w:tcW w:w="3776" w:type="dxa"/>
          </w:tcPr>
          <w:p w14:paraId="11E4B7C8" w14:textId="77777777" w:rsidR="00B02873" w:rsidRPr="00B02873" w:rsidRDefault="00B02873" w:rsidP="009866F3">
            <w:pPr>
              <w:pStyle w:val="TableheadingleftFinancialsTables"/>
            </w:pPr>
          </w:p>
        </w:tc>
        <w:tc>
          <w:tcPr>
            <w:tcW w:w="1181" w:type="dxa"/>
          </w:tcPr>
          <w:p w14:paraId="0E6B3DEA" w14:textId="6C5A6B65" w:rsidR="00B02873" w:rsidRDefault="00B02873" w:rsidP="009866F3">
            <w:pPr>
              <w:pStyle w:val="TableheadingleftFinancialsTables"/>
              <w:jc w:val="right"/>
            </w:pPr>
            <w:r>
              <w:t>Land</w:t>
            </w:r>
            <w:r w:rsidR="00012C04">
              <w:t xml:space="preserve"> </w:t>
            </w:r>
            <w:r>
              <w:t>purchases</w:t>
            </w:r>
            <w:r>
              <w:br/>
              <w:t>$’000</w:t>
            </w:r>
          </w:p>
        </w:tc>
        <w:tc>
          <w:tcPr>
            <w:tcW w:w="1190" w:type="dxa"/>
          </w:tcPr>
          <w:p w14:paraId="4332EDB5" w14:textId="48CFB2C4" w:rsidR="00B02873" w:rsidRDefault="00B02873" w:rsidP="009866F3">
            <w:pPr>
              <w:pStyle w:val="TableheadingleftFinancialsTables"/>
              <w:jc w:val="right"/>
            </w:pPr>
            <w:r>
              <w:t>Solar</w:t>
            </w:r>
            <w:r w:rsidR="00012C04">
              <w:t xml:space="preserve"> </w:t>
            </w:r>
            <w:r>
              <w:t>programs</w:t>
            </w:r>
            <w:r w:rsidR="00012C04">
              <w:t xml:space="preserve"> </w:t>
            </w:r>
            <w:r>
              <w:t>$’000</w:t>
            </w:r>
          </w:p>
        </w:tc>
        <w:tc>
          <w:tcPr>
            <w:tcW w:w="1191" w:type="dxa"/>
          </w:tcPr>
          <w:p w14:paraId="13D61F55" w14:textId="0CED9375" w:rsidR="00B02873" w:rsidRDefault="00B02873" w:rsidP="009866F3">
            <w:pPr>
              <w:pStyle w:val="TableheadingleftFinancialsTables"/>
              <w:jc w:val="right"/>
            </w:pPr>
            <w:r>
              <w:t>Onerous lease contracts</w:t>
            </w:r>
            <w:r w:rsidR="009866F3">
              <w:t xml:space="preserve"> </w:t>
            </w:r>
            <w:r>
              <w:t>$’000</w:t>
            </w:r>
          </w:p>
        </w:tc>
        <w:tc>
          <w:tcPr>
            <w:tcW w:w="1190" w:type="dxa"/>
          </w:tcPr>
          <w:p w14:paraId="187CCCE8" w14:textId="77777777" w:rsidR="00B02873" w:rsidRDefault="00B02873" w:rsidP="009866F3">
            <w:pPr>
              <w:pStyle w:val="TableheadingleftFinancialsTables"/>
              <w:jc w:val="right"/>
            </w:pPr>
            <w:r>
              <w:t xml:space="preserve">Other </w:t>
            </w:r>
            <w:r>
              <w:rPr>
                <w:spacing w:val="-2"/>
              </w:rPr>
              <w:br/>
              <w:t>$’000</w:t>
            </w:r>
          </w:p>
        </w:tc>
        <w:tc>
          <w:tcPr>
            <w:tcW w:w="1191" w:type="dxa"/>
          </w:tcPr>
          <w:p w14:paraId="06CDAFA2" w14:textId="77777777" w:rsidR="00B02873" w:rsidRDefault="00B02873" w:rsidP="009866F3">
            <w:pPr>
              <w:pStyle w:val="TableheadingleftFinancialsTables"/>
              <w:jc w:val="right"/>
            </w:pPr>
            <w:r>
              <w:t>Total</w:t>
            </w:r>
            <w:r>
              <w:br/>
              <w:t>$’000</w:t>
            </w:r>
          </w:p>
        </w:tc>
      </w:tr>
      <w:tr w:rsidR="00B02873" w:rsidRPr="00B02873" w14:paraId="6D704E39" w14:textId="77777777" w:rsidTr="009866F3">
        <w:tc>
          <w:tcPr>
            <w:tcW w:w="3776" w:type="dxa"/>
          </w:tcPr>
          <w:p w14:paraId="3963A986" w14:textId="77777777" w:rsidR="00B02873" w:rsidRPr="009866F3" w:rsidRDefault="00B02873" w:rsidP="009866F3">
            <w:pPr>
              <w:pStyle w:val="TablebodyleftFinancialsTables"/>
              <w:rPr>
                <w:b/>
                <w:bCs/>
              </w:rPr>
            </w:pPr>
            <w:r w:rsidRPr="009866F3">
              <w:rPr>
                <w:b/>
                <w:bCs/>
              </w:rPr>
              <w:t>Balance at 1 July 2021</w:t>
            </w:r>
          </w:p>
        </w:tc>
        <w:tc>
          <w:tcPr>
            <w:tcW w:w="1181" w:type="dxa"/>
          </w:tcPr>
          <w:p w14:paraId="3F6B39D2" w14:textId="77777777" w:rsidR="00B02873" w:rsidRPr="009866F3" w:rsidRDefault="00B02873" w:rsidP="009866F3">
            <w:pPr>
              <w:pStyle w:val="TablebodyleftFinancialsTables"/>
              <w:jc w:val="right"/>
              <w:rPr>
                <w:b/>
                <w:bCs/>
              </w:rPr>
            </w:pPr>
            <w:r w:rsidRPr="009866F3">
              <w:rPr>
                <w:b/>
                <w:bCs/>
              </w:rPr>
              <w:t>–</w:t>
            </w:r>
          </w:p>
        </w:tc>
        <w:tc>
          <w:tcPr>
            <w:tcW w:w="1190" w:type="dxa"/>
          </w:tcPr>
          <w:p w14:paraId="0F95F35A" w14:textId="77777777" w:rsidR="00B02873" w:rsidRPr="009866F3" w:rsidRDefault="00B02873" w:rsidP="009866F3">
            <w:pPr>
              <w:pStyle w:val="TablebodyleftFinancialsTables"/>
              <w:jc w:val="right"/>
              <w:rPr>
                <w:b/>
                <w:bCs/>
              </w:rPr>
            </w:pPr>
            <w:r w:rsidRPr="009866F3">
              <w:rPr>
                <w:b/>
                <w:bCs/>
              </w:rPr>
              <w:t>33,412</w:t>
            </w:r>
          </w:p>
        </w:tc>
        <w:tc>
          <w:tcPr>
            <w:tcW w:w="1191" w:type="dxa"/>
          </w:tcPr>
          <w:p w14:paraId="06A570CE" w14:textId="77777777" w:rsidR="00B02873" w:rsidRPr="009866F3" w:rsidRDefault="00B02873" w:rsidP="009866F3">
            <w:pPr>
              <w:pStyle w:val="TablebodyleftFinancialsTables"/>
              <w:jc w:val="right"/>
              <w:rPr>
                <w:b/>
                <w:bCs/>
              </w:rPr>
            </w:pPr>
            <w:r w:rsidRPr="009866F3">
              <w:rPr>
                <w:b/>
                <w:bCs/>
              </w:rPr>
              <w:t>6,619</w:t>
            </w:r>
          </w:p>
        </w:tc>
        <w:tc>
          <w:tcPr>
            <w:tcW w:w="1190" w:type="dxa"/>
          </w:tcPr>
          <w:p w14:paraId="13E54FA7" w14:textId="77777777" w:rsidR="00B02873" w:rsidRPr="009866F3" w:rsidRDefault="00B02873" w:rsidP="009866F3">
            <w:pPr>
              <w:pStyle w:val="TablebodyleftFinancialsTables"/>
              <w:jc w:val="right"/>
              <w:rPr>
                <w:b/>
                <w:bCs/>
              </w:rPr>
            </w:pPr>
            <w:r w:rsidRPr="009866F3">
              <w:rPr>
                <w:b/>
                <w:bCs/>
              </w:rPr>
              <w:t>3,951</w:t>
            </w:r>
          </w:p>
        </w:tc>
        <w:tc>
          <w:tcPr>
            <w:tcW w:w="1191" w:type="dxa"/>
          </w:tcPr>
          <w:p w14:paraId="5F2D71B6" w14:textId="77777777" w:rsidR="00B02873" w:rsidRPr="009866F3" w:rsidRDefault="00B02873" w:rsidP="009866F3">
            <w:pPr>
              <w:pStyle w:val="TablebodyleftFinancialsTables"/>
              <w:jc w:val="right"/>
              <w:rPr>
                <w:b/>
                <w:bCs/>
              </w:rPr>
            </w:pPr>
            <w:r w:rsidRPr="009866F3">
              <w:rPr>
                <w:b/>
                <w:bCs/>
              </w:rPr>
              <w:t>43,982</w:t>
            </w:r>
          </w:p>
        </w:tc>
      </w:tr>
      <w:tr w:rsidR="00B02873" w:rsidRPr="00B02873" w14:paraId="697FE82C" w14:textId="77777777" w:rsidTr="009866F3">
        <w:tc>
          <w:tcPr>
            <w:tcW w:w="3776" w:type="dxa"/>
          </w:tcPr>
          <w:p w14:paraId="0875CB42" w14:textId="77777777" w:rsidR="00B02873" w:rsidRDefault="00B02873" w:rsidP="009866F3">
            <w:pPr>
              <w:pStyle w:val="TablebodyleftFinancialsTables"/>
            </w:pPr>
            <w:r>
              <w:t>Additional provisions recognised</w:t>
            </w:r>
          </w:p>
        </w:tc>
        <w:tc>
          <w:tcPr>
            <w:tcW w:w="1181" w:type="dxa"/>
          </w:tcPr>
          <w:p w14:paraId="2A0361D8" w14:textId="77777777" w:rsidR="00B02873" w:rsidRPr="009866F3" w:rsidRDefault="00B02873" w:rsidP="009866F3">
            <w:pPr>
              <w:pStyle w:val="TablebodyleftFinancialsTables"/>
              <w:jc w:val="right"/>
              <w:rPr>
                <w:b/>
                <w:bCs/>
              </w:rPr>
            </w:pPr>
            <w:r w:rsidRPr="009866F3">
              <w:rPr>
                <w:b/>
                <w:bCs/>
              </w:rPr>
              <w:t>133,395</w:t>
            </w:r>
          </w:p>
        </w:tc>
        <w:tc>
          <w:tcPr>
            <w:tcW w:w="1190" w:type="dxa"/>
          </w:tcPr>
          <w:p w14:paraId="5ECD5E27" w14:textId="77777777" w:rsidR="00B02873" w:rsidRPr="009866F3" w:rsidRDefault="00B02873" w:rsidP="009866F3">
            <w:pPr>
              <w:pStyle w:val="TablebodyleftFinancialsTables"/>
              <w:jc w:val="right"/>
              <w:rPr>
                <w:b/>
                <w:bCs/>
              </w:rPr>
            </w:pPr>
            <w:r w:rsidRPr="009866F3">
              <w:rPr>
                <w:b/>
                <w:bCs/>
              </w:rPr>
              <w:t>130,922</w:t>
            </w:r>
          </w:p>
        </w:tc>
        <w:tc>
          <w:tcPr>
            <w:tcW w:w="1191" w:type="dxa"/>
          </w:tcPr>
          <w:p w14:paraId="07A1F156" w14:textId="77777777" w:rsidR="00B02873" w:rsidRPr="009866F3" w:rsidRDefault="00B02873" w:rsidP="009866F3">
            <w:pPr>
              <w:pStyle w:val="TablebodyleftFinancialsTables"/>
              <w:jc w:val="right"/>
              <w:rPr>
                <w:b/>
                <w:bCs/>
              </w:rPr>
            </w:pPr>
            <w:r w:rsidRPr="009866F3">
              <w:rPr>
                <w:b/>
                <w:bCs/>
              </w:rPr>
              <w:t>113</w:t>
            </w:r>
          </w:p>
        </w:tc>
        <w:tc>
          <w:tcPr>
            <w:tcW w:w="1190" w:type="dxa"/>
          </w:tcPr>
          <w:p w14:paraId="6AB42AAF" w14:textId="77777777" w:rsidR="00B02873" w:rsidRPr="009866F3" w:rsidRDefault="00B02873" w:rsidP="009866F3">
            <w:pPr>
              <w:pStyle w:val="TablebodyleftFinancialsTables"/>
              <w:jc w:val="right"/>
              <w:rPr>
                <w:b/>
                <w:bCs/>
              </w:rPr>
            </w:pPr>
            <w:r w:rsidRPr="009866F3">
              <w:rPr>
                <w:b/>
                <w:bCs/>
              </w:rPr>
              <w:t>3,419</w:t>
            </w:r>
          </w:p>
        </w:tc>
        <w:tc>
          <w:tcPr>
            <w:tcW w:w="1191" w:type="dxa"/>
          </w:tcPr>
          <w:p w14:paraId="1CD66F7E" w14:textId="77777777" w:rsidR="00B02873" w:rsidRPr="009866F3" w:rsidRDefault="00B02873" w:rsidP="009866F3">
            <w:pPr>
              <w:pStyle w:val="TablebodyleftFinancialsTables"/>
              <w:jc w:val="right"/>
              <w:rPr>
                <w:b/>
                <w:bCs/>
              </w:rPr>
            </w:pPr>
            <w:r w:rsidRPr="009866F3">
              <w:rPr>
                <w:b/>
                <w:bCs/>
              </w:rPr>
              <w:t>267,849</w:t>
            </w:r>
          </w:p>
        </w:tc>
      </w:tr>
      <w:tr w:rsidR="00B02873" w:rsidRPr="00B02873" w14:paraId="0F0A4DBC" w14:textId="77777777" w:rsidTr="009866F3">
        <w:tc>
          <w:tcPr>
            <w:tcW w:w="3776" w:type="dxa"/>
          </w:tcPr>
          <w:p w14:paraId="6AFAD10D" w14:textId="77777777" w:rsidR="00B02873" w:rsidRDefault="00B02873" w:rsidP="009866F3">
            <w:pPr>
              <w:pStyle w:val="TablebodyleftFinancialsTables"/>
            </w:pPr>
            <w:r>
              <w:t>Reductions arising from payments/other sacrifices of future economic benefits</w:t>
            </w:r>
          </w:p>
        </w:tc>
        <w:tc>
          <w:tcPr>
            <w:tcW w:w="1181" w:type="dxa"/>
          </w:tcPr>
          <w:p w14:paraId="3332BD3C" w14:textId="77777777" w:rsidR="00B02873" w:rsidRPr="009866F3" w:rsidRDefault="00B02873" w:rsidP="009866F3">
            <w:pPr>
              <w:pStyle w:val="TablebodyleftFinancialsTables"/>
              <w:jc w:val="right"/>
              <w:rPr>
                <w:b/>
                <w:bCs/>
              </w:rPr>
            </w:pPr>
            <w:r w:rsidRPr="009866F3">
              <w:rPr>
                <w:b/>
                <w:bCs/>
              </w:rPr>
              <w:t>–</w:t>
            </w:r>
          </w:p>
        </w:tc>
        <w:tc>
          <w:tcPr>
            <w:tcW w:w="1190" w:type="dxa"/>
          </w:tcPr>
          <w:p w14:paraId="3C9274A6" w14:textId="77777777" w:rsidR="00B02873" w:rsidRPr="009866F3" w:rsidRDefault="00B02873" w:rsidP="009866F3">
            <w:pPr>
              <w:pStyle w:val="TablebodyleftFinancialsTables"/>
              <w:jc w:val="right"/>
              <w:rPr>
                <w:b/>
                <w:bCs/>
              </w:rPr>
            </w:pPr>
            <w:r w:rsidRPr="009866F3">
              <w:rPr>
                <w:b/>
                <w:bCs/>
              </w:rPr>
              <w:t>(130,062)</w:t>
            </w:r>
          </w:p>
        </w:tc>
        <w:tc>
          <w:tcPr>
            <w:tcW w:w="1191" w:type="dxa"/>
          </w:tcPr>
          <w:p w14:paraId="5991D394" w14:textId="77777777" w:rsidR="00B02873" w:rsidRPr="009866F3" w:rsidRDefault="00B02873" w:rsidP="009866F3">
            <w:pPr>
              <w:pStyle w:val="TablebodyleftFinancialsTables"/>
              <w:jc w:val="right"/>
              <w:rPr>
                <w:b/>
                <w:bCs/>
              </w:rPr>
            </w:pPr>
            <w:r w:rsidRPr="009866F3">
              <w:rPr>
                <w:b/>
                <w:bCs/>
              </w:rPr>
              <w:t>–</w:t>
            </w:r>
          </w:p>
        </w:tc>
        <w:tc>
          <w:tcPr>
            <w:tcW w:w="1190" w:type="dxa"/>
          </w:tcPr>
          <w:p w14:paraId="4A6EB559" w14:textId="77777777" w:rsidR="00B02873" w:rsidRPr="009866F3" w:rsidRDefault="00B02873" w:rsidP="009866F3">
            <w:pPr>
              <w:pStyle w:val="TablebodyleftFinancialsTables"/>
              <w:jc w:val="right"/>
              <w:rPr>
                <w:b/>
                <w:bCs/>
              </w:rPr>
            </w:pPr>
            <w:r w:rsidRPr="009866F3">
              <w:rPr>
                <w:b/>
                <w:bCs/>
              </w:rPr>
              <w:t>(3,490)</w:t>
            </w:r>
          </w:p>
        </w:tc>
        <w:tc>
          <w:tcPr>
            <w:tcW w:w="1191" w:type="dxa"/>
          </w:tcPr>
          <w:p w14:paraId="142FF658" w14:textId="77777777" w:rsidR="00B02873" w:rsidRPr="009866F3" w:rsidRDefault="00B02873" w:rsidP="009866F3">
            <w:pPr>
              <w:pStyle w:val="TablebodyleftFinancialsTables"/>
              <w:jc w:val="right"/>
              <w:rPr>
                <w:b/>
                <w:bCs/>
              </w:rPr>
            </w:pPr>
            <w:r w:rsidRPr="009866F3">
              <w:rPr>
                <w:b/>
                <w:bCs/>
              </w:rPr>
              <w:t>(133,552)</w:t>
            </w:r>
          </w:p>
        </w:tc>
      </w:tr>
      <w:tr w:rsidR="00B02873" w:rsidRPr="00B02873" w14:paraId="51048125" w14:textId="77777777" w:rsidTr="009866F3">
        <w:tc>
          <w:tcPr>
            <w:tcW w:w="3776" w:type="dxa"/>
          </w:tcPr>
          <w:p w14:paraId="1954EEE1" w14:textId="635CE2E5" w:rsidR="00B02873" w:rsidRDefault="00B02873" w:rsidP="009866F3">
            <w:pPr>
              <w:pStyle w:val="TablebodyleftFinancialsTables"/>
            </w:pPr>
            <w:r>
              <w:rPr>
                <w:spacing w:val="-3"/>
              </w:rPr>
              <w:t xml:space="preserve">Increase/(reductions) resulting from re-measurement or settlement without cost </w:t>
            </w:r>
          </w:p>
        </w:tc>
        <w:tc>
          <w:tcPr>
            <w:tcW w:w="1181" w:type="dxa"/>
          </w:tcPr>
          <w:p w14:paraId="6A5CEF73" w14:textId="77777777" w:rsidR="00B02873" w:rsidRPr="009866F3" w:rsidRDefault="00B02873" w:rsidP="009866F3">
            <w:pPr>
              <w:pStyle w:val="TablebodyleftFinancialsTables"/>
              <w:jc w:val="right"/>
              <w:rPr>
                <w:b/>
                <w:bCs/>
              </w:rPr>
            </w:pPr>
            <w:r w:rsidRPr="009866F3">
              <w:rPr>
                <w:b/>
                <w:bCs/>
              </w:rPr>
              <w:t>–</w:t>
            </w:r>
          </w:p>
        </w:tc>
        <w:tc>
          <w:tcPr>
            <w:tcW w:w="1190" w:type="dxa"/>
          </w:tcPr>
          <w:p w14:paraId="0A5AF416" w14:textId="77777777" w:rsidR="00B02873" w:rsidRPr="009866F3" w:rsidRDefault="00B02873" w:rsidP="009866F3">
            <w:pPr>
              <w:pStyle w:val="TablebodyleftFinancialsTables"/>
              <w:jc w:val="right"/>
              <w:rPr>
                <w:b/>
                <w:bCs/>
              </w:rPr>
            </w:pPr>
            <w:r w:rsidRPr="009866F3">
              <w:rPr>
                <w:b/>
                <w:bCs/>
              </w:rPr>
              <w:t>–</w:t>
            </w:r>
          </w:p>
        </w:tc>
        <w:tc>
          <w:tcPr>
            <w:tcW w:w="1191" w:type="dxa"/>
          </w:tcPr>
          <w:p w14:paraId="5E529348" w14:textId="77777777" w:rsidR="00B02873" w:rsidRPr="009866F3" w:rsidRDefault="00B02873" w:rsidP="009866F3">
            <w:pPr>
              <w:pStyle w:val="TablebodyleftFinancialsTables"/>
              <w:jc w:val="right"/>
              <w:rPr>
                <w:b/>
                <w:bCs/>
              </w:rPr>
            </w:pPr>
            <w:r w:rsidRPr="009866F3">
              <w:rPr>
                <w:b/>
                <w:bCs/>
              </w:rPr>
              <w:t>656</w:t>
            </w:r>
          </w:p>
        </w:tc>
        <w:tc>
          <w:tcPr>
            <w:tcW w:w="1190" w:type="dxa"/>
          </w:tcPr>
          <w:p w14:paraId="20E92034" w14:textId="77777777" w:rsidR="00B02873" w:rsidRPr="009866F3" w:rsidRDefault="00B02873" w:rsidP="009866F3">
            <w:pPr>
              <w:pStyle w:val="TablebodyleftFinancialsTables"/>
              <w:jc w:val="right"/>
              <w:rPr>
                <w:b/>
                <w:bCs/>
              </w:rPr>
            </w:pPr>
            <w:r w:rsidRPr="009866F3">
              <w:rPr>
                <w:b/>
                <w:bCs/>
              </w:rPr>
              <w:t>–</w:t>
            </w:r>
          </w:p>
        </w:tc>
        <w:tc>
          <w:tcPr>
            <w:tcW w:w="1191" w:type="dxa"/>
          </w:tcPr>
          <w:p w14:paraId="2A8525B6" w14:textId="77777777" w:rsidR="00B02873" w:rsidRPr="009866F3" w:rsidRDefault="00B02873" w:rsidP="009866F3">
            <w:pPr>
              <w:pStyle w:val="TablebodyleftFinancialsTables"/>
              <w:jc w:val="right"/>
              <w:rPr>
                <w:b/>
                <w:bCs/>
              </w:rPr>
            </w:pPr>
            <w:r w:rsidRPr="009866F3">
              <w:rPr>
                <w:b/>
                <w:bCs/>
              </w:rPr>
              <w:t>656</w:t>
            </w:r>
          </w:p>
        </w:tc>
      </w:tr>
      <w:tr w:rsidR="00B02873" w:rsidRPr="00B02873" w14:paraId="41A025BB" w14:textId="77777777" w:rsidTr="009866F3">
        <w:tc>
          <w:tcPr>
            <w:tcW w:w="3776" w:type="dxa"/>
          </w:tcPr>
          <w:p w14:paraId="34DB53F7" w14:textId="77777777" w:rsidR="00B02873" w:rsidRDefault="00B02873" w:rsidP="009866F3">
            <w:pPr>
              <w:pStyle w:val="TablebodyleftFinancialsTables"/>
            </w:pPr>
            <w:r>
              <w:t xml:space="preserve">Unwind of discount and effect of changes </w:t>
            </w:r>
            <w:r>
              <w:br/>
              <w:t>in the discount rate</w:t>
            </w:r>
          </w:p>
        </w:tc>
        <w:tc>
          <w:tcPr>
            <w:tcW w:w="1181" w:type="dxa"/>
          </w:tcPr>
          <w:p w14:paraId="5D30F74E" w14:textId="77777777" w:rsidR="00B02873" w:rsidRPr="009866F3" w:rsidRDefault="00B02873" w:rsidP="009866F3">
            <w:pPr>
              <w:pStyle w:val="TablebodyleftFinancialsTables"/>
              <w:jc w:val="right"/>
              <w:rPr>
                <w:b/>
                <w:bCs/>
              </w:rPr>
            </w:pPr>
            <w:r w:rsidRPr="009866F3">
              <w:rPr>
                <w:b/>
                <w:bCs/>
              </w:rPr>
              <w:t>–</w:t>
            </w:r>
          </w:p>
        </w:tc>
        <w:tc>
          <w:tcPr>
            <w:tcW w:w="1190" w:type="dxa"/>
          </w:tcPr>
          <w:p w14:paraId="3A8C5D9A" w14:textId="77777777" w:rsidR="00B02873" w:rsidRPr="009866F3" w:rsidRDefault="00B02873" w:rsidP="009866F3">
            <w:pPr>
              <w:pStyle w:val="TablebodyleftFinancialsTables"/>
              <w:jc w:val="right"/>
              <w:rPr>
                <w:b/>
                <w:bCs/>
              </w:rPr>
            </w:pPr>
            <w:r w:rsidRPr="009866F3">
              <w:rPr>
                <w:b/>
                <w:bCs/>
              </w:rPr>
              <w:t>–</w:t>
            </w:r>
          </w:p>
        </w:tc>
        <w:tc>
          <w:tcPr>
            <w:tcW w:w="1191" w:type="dxa"/>
          </w:tcPr>
          <w:p w14:paraId="35EFB6DC" w14:textId="77777777" w:rsidR="00B02873" w:rsidRPr="009866F3" w:rsidRDefault="00B02873" w:rsidP="009866F3">
            <w:pPr>
              <w:pStyle w:val="TablebodyleftFinancialsTables"/>
              <w:jc w:val="right"/>
              <w:rPr>
                <w:b/>
                <w:bCs/>
              </w:rPr>
            </w:pPr>
            <w:r w:rsidRPr="009866F3">
              <w:rPr>
                <w:b/>
                <w:bCs/>
              </w:rPr>
              <w:t>(254)</w:t>
            </w:r>
          </w:p>
        </w:tc>
        <w:tc>
          <w:tcPr>
            <w:tcW w:w="1190" w:type="dxa"/>
          </w:tcPr>
          <w:p w14:paraId="4846EE90" w14:textId="77777777" w:rsidR="00B02873" w:rsidRPr="009866F3" w:rsidRDefault="00B02873" w:rsidP="009866F3">
            <w:pPr>
              <w:pStyle w:val="TablebodyleftFinancialsTables"/>
              <w:jc w:val="right"/>
              <w:rPr>
                <w:b/>
                <w:bCs/>
              </w:rPr>
            </w:pPr>
            <w:r w:rsidRPr="009866F3">
              <w:rPr>
                <w:b/>
                <w:bCs/>
              </w:rPr>
              <w:t>–</w:t>
            </w:r>
          </w:p>
        </w:tc>
        <w:tc>
          <w:tcPr>
            <w:tcW w:w="1191" w:type="dxa"/>
          </w:tcPr>
          <w:p w14:paraId="643ADF94" w14:textId="77777777" w:rsidR="00B02873" w:rsidRPr="009866F3" w:rsidRDefault="00B02873" w:rsidP="009866F3">
            <w:pPr>
              <w:pStyle w:val="TablebodyleftFinancialsTables"/>
              <w:jc w:val="right"/>
              <w:rPr>
                <w:b/>
                <w:bCs/>
              </w:rPr>
            </w:pPr>
            <w:r w:rsidRPr="009866F3">
              <w:rPr>
                <w:b/>
                <w:bCs/>
              </w:rPr>
              <w:t>(254)</w:t>
            </w:r>
          </w:p>
        </w:tc>
      </w:tr>
      <w:tr w:rsidR="00B02873" w:rsidRPr="00B02873" w14:paraId="64016748" w14:textId="77777777" w:rsidTr="009866F3">
        <w:tc>
          <w:tcPr>
            <w:tcW w:w="3776" w:type="dxa"/>
          </w:tcPr>
          <w:p w14:paraId="37D43F2A" w14:textId="77777777" w:rsidR="00B02873" w:rsidRPr="009866F3" w:rsidRDefault="00B02873" w:rsidP="009866F3">
            <w:pPr>
              <w:pStyle w:val="TablebodyleftFinancialsTables"/>
              <w:rPr>
                <w:b/>
                <w:bCs/>
              </w:rPr>
            </w:pPr>
            <w:r w:rsidRPr="009866F3">
              <w:rPr>
                <w:b/>
                <w:bCs/>
              </w:rPr>
              <w:t xml:space="preserve">Balance at 30 June 2022 </w:t>
            </w:r>
          </w:p>
        </w:tc>
        <w:tc>
          <w:tcPr>
            <w:tcW w:w="1181" w:type="dxa"/>
          </w:tcPr>
          <w:p w14:paraId="64880BFE" w14:textId="77777777" w:rsidR="00B02873" w:rsidRPr="009866F3" w:rsidRDefault="00B02873" w:rsidP="009866F3">
            <w:pPr>
              <w:pStyle w:val="TablebodyleftFinancialsTables"/>
              <w:jc w:val="right"/>
              <w:rPr>
                <w:b/>
                <w:bCs/>
              </w:rPr>
            </w:pPr>
            <w:r w:rsidRPr="009866F3">
              <w:rPr>
                <w:b/>
                <w:bCs/>
              </w:rPr>
              <w:t>133,395</w:t>
            </w:r>
          </w:p>
        </w:tc>
        <w:tc>
          <w:tcPr>
            <w:tcW w:w="1190" w:type="dxa"/>
          </w:tcPr>
          <w:p w14:paraId="5240F207" w14:textId="77777777" w:rsidR="00B02873" w:rsidRPr="009866F3" w:rsidRDefault="00B02873" w:rsidP="009866F3">
            <w:pPr>
              <w:pStyle w:val="TablebodyleftFinancialsTables"/>
              <w:jc w:val="right"/>
              <w:rPr>
                <w:b/>
                <w:bCs/>
              </w:rPr>
            </w:pPr>
            <w:r w:rsidRPr="009866F3">
              <w:rPr>
                <w:b/>
                <w:bCs/>
              </w:rPr>
              <w:t>34,272</w:t>
            </w:r>
          </w:p>
        </w:tc>
        <w:tc>
          <w:tcPr>
            <w:tcW w:w="1191" w:type="dxa"/>
          </w:tcPr>
          <w:p w14:paraId="2091DFD2" w14:textId="77777777" w:rsidR="00B02873" w:rsidRPr="009866F3" w:rsidRDefault="00B02873" w:rsidP="009866F3">
            <w:pPr>
              <w:pStyle w:val="TablebodyleftFinancialsTables"/>
              <w:jc w:val="right"/>
              <w:rPr>
                <w:b/>
                <w:bCs/>
              </w:rPr>
            </w:pPr>
            <w:r w:rsidRPr="009866F3">
              <w:rPr>
                <w:b/>
                <w:bCs/>
              </w:rPr>
              <w:t>7,134</w:t>
            </w:r>
          </w:p>
        </w:tc>
        <w:tc>
          <w:tcPr>
            <w:tcW w:w="1190" w:type="dxa"/>
          </w:tcPr>
          <w:p w14:paraId="174436A3" w14:textId="77777777" w:rsidR="00B02873" w:rsidRPr="009866F3" w:rsidRDefault="00B02873" w:rsidP="009866F3">
            <w:pPr>
              <w:pStyle w:val="TablebodyleftFinancialsTables"/>
              <w:jc w:val="right"/>
              <w:rPr>
                <w:b/>
                <w:bCs/>
              </w:rPr>
            </w:pPr>
            <w:r w:rsidRPr="009866F3">
              <w:rPr>
                <w:b/>
                <w:bCs/>
              </w:rPr>
              <w:t>3,880</w:t>
            </w:r>
          </w:p>
        </w:tc>
        <w:tc>
          <w:tcPr>
            <w:tcW w:w="1191" w:type="dxa"/>
          </w:tcPr>
          <w:p w14:paraId="2EF0B94C" w14:textId="77777777" w:rsidR="00B02873" w:rsidRPr="009866F3" w:rsidRDefault="00B02873" w:rsidP="009866F3">
            <w:pPr>
              <w:pStyle w:val="TablebodyleftFinancialsTables"/>
              <w:jc w:val="right"/>
              <w:rPr>
                <w:b/>
                <w:bCs/>
              </w:rPr>
            </w:pPr>
            <w:r w:rsidRPr="009866F3">
              <w:rPr>
                <w:b/>
                <w:bCs/>
              </w:rPr>
              <w:t>178,681</w:t>
            </w:r>
          </w:p>
        </w:tc>
      </w:tr>
      <w:tr w:rsidR="00B02873" w:rsidRPr="00B02873" w14:paraId="3B14C939" w14:textId="77777777" w:rsidTr="009866F3">
        <w:tc>
          <w:tcPr>
            <w:tcW w:w="3776" w:type="dxa"/>
          </w:tcPr>
          <w:p w14:paraId="146E06E0" w14:textId="77777777" w:rsidR="00B02873" w:rsidRDefault="00B02873" w:rsidP="009866F3">
            <w:pPr>
              <w:pStyle w:val="TablebodyleftFinancialsTables"/>
            </w:pPr>
            <w:r>
              <w:t xml:space="preserve">Current </w:t>
            </w:r>
          </w:p>
        </w:tc>
        <w:tc>
          <w:tcPr>
            <w:tcW w:w="1181" w:type="dxa"/>
          </w:tcPr>
          <w:p w14:paraId="5C0A7C24" w14:textId="77777777" w:rsidR="00B02873" w:rsidRPr="009866F3" w:rsidRDefault="00B02873" w:rsidP="009866F3">
            <w:pPr>
              <w:pStyle w:val="TablebodyleftFinancialsTables"/>
              <w:jc w:val="right"/>
              <w:rPr>
                <w:b/>
                <w:bCs/>
              </w:rPr>
            </w:pPr>
            <w:r w:rsidRPr="009866F3">
              <w:rPr>
                <w:b/>
                <w:bCs/>
              </w:rPr>
              <w:t>133,395</w:t>
            </w:r>
          </w:p>
        </w:tc>
        <w:tc>
          <w:tcPr>
            <w:tcW w:w="1190" w:type="dxa"/>
          </w:tcPr>
          <w:p w14:paraId="194956D5" w14:textId="77777777" w:rsidR="00B02873" w:rsidRPr="009866F3" w:rsidRDefault="00B02873" w:rsidP="009866F3">
            <w:pPr>
              <w:pStyle w:val="TablebodyleftFinancialsTables"/>
              <w:jc w:val="right"/>
              <w:rPr>
                <w:b/>
                <w:bCs/>
              </w:rPr>
            </w:pPr>
            <w:r w:rsidRPr="009866F3">
              <w:rPr>
                <w:b/>
                <w:bCs/>
              </w:rPr>
              <w:t>34,272</w:t>
            </w:r>
          </w:p>
        </w:tc>
        <w:tc>
          <w:tcPr>
            <w:tcW w:w="1191" w:type="dxa"/>
          </w:tcPr>
          <w:p w14:paraId="2D94F67B" w14:textId="77777777" w:rsidR="00B02873" w:rsidRPr="009866F3" w:rsidRDefault="00B02873" w:rsidP="009866F3">
            <w:pPr>
              <w:pStyle w:val="TablebodyleftFinancialsTables"/>
              <w:jc w:val="right"/>
              <w:rPr>
                <w:b/>
                <w:bCs/>
              </w:rPr>
            </w:pPr>
            <w:r w:rsidRPr="009866F3">
              <w:rPr>
                <w:b/>
                <w:bCs/>
              </w:rPr>
              <w:t>1,952</w:t>
            </w:r>
          </w:p>
        </w:tc>
        <w:tc>
          <w:tcPr>
            <w:tcW w:w="1190" w:type="dxa"/>
          </w:tcPr>
          <w:p w14:paraId="46C0A300" w14:textId="77777777" w:rsidR="00B02873" w:rsidRPr="009866F3" w:rsidRDefault="00B02873" w:rsidP="009866F3">
            <w:pPr>
              <w:pStyle w:val="TablebodyleftFinancialsTables"/>
              <w:jc w:val="right"/>
              <w:rPr>
                <w:b/>
                <w:bCs/>
              </w:rPr>
            </w:pPr>
            <w:r w:rsidRPr="009866F3">
              <w:rPr>
                <w:b/>
                <w:bCs/>
              </w:rPr>
              <w:t>3,880</w:t>
            </w:r>
          </w:p>
        </w:tc>
        <w:tc>
          <w:tcPr>
            <w:tcW w:w="1191" w:type="dxa"/>
          </w:tcPr>
          <w:p w14:paraId="673A1A6E" w14:textId="77777777" w:rsidR="00B02873" w:rsidRPr="009866F3" w:rsidRDefault="00B02873" w:rsidP="009866F3">
            <w:pPr>
              <w:pStyle w:val="TablebodyleftFinancialsTables"/>
              <w:jc w:val="right"/>
              <w:rPr>
                <w:b/>
                <w:bCs/>
              </w:rPr>
            </w:pPr>
            <w:r w:rsidRPr="009866F3">
              <w:rPr>
                <w:b/>
                <w:bCs/>
              </w:rPr>
              <w:t>173,499</w:t>
            </w:r>
          </w:p>
        </w:tc>
      </w:tr>
      <w:tr w:rsidR="00B02873" w:rsidRPr="00B02873" w14:paraId="69F6A9C2" w14:textId="77777777" w:rsidTr="009866F3">
        <w:tc>
          <w:tcPr>
            <w:tcW w:w="3776" w:type="dxa"/>
          </w:tcPr>
          <w:p w14:paraId="277872B0" w14:textId="77777777" w:rsidR="00B02873" w:rsidRDefault="00B02873" w:rsidP="009866F3">
            <w:pPr>
              <w:pStyle w:val="TablebodyleftFinancialsTables"/>
            </w:pPr>
            <w:r>
              <w:t xml:space="preserve">Non-current </w:t>
            </w:r>
          </w:p>
        </w:tc>
        <w:tc>
          <w:tcPr>
            <w:tcW w:w="1181" w:type="dxa"/>
          </w:tcPr>
          <w:p w14:paraId="52D4A1C1" w14:textId="77777777" w:rsidR="00B02873" w:rsidRPr="009866F3" w:rsidRDefault="00B02873" w:rsidP="009866F3">
            <w:pPr>
              <w:pStyle w:val="TablebodyleftFinancialsTables"/>
              <w:jc w:val="right"/>
              <w:rPr>
                <w:b/>
                <w:bCs/>
              </w:rPr>
            </w:pPr>
            <w:r w:rsidRPr="009866F3">
              <w:rPr>
                <w:b/>
                <w:bCs/>
              </w:rPr>
              <w:t>–</w:t>
            </w:r>
          </w:p>
        </w:tc>
        <w:tc>
          <w:tcPr>
            <w:tcW w:w="1190" w:type="dxa"/>
          </w:tcPr>
          <w:p w14:paraId="424E3E75" w14:textId="77777777" w:rsidR="00B02873" w:rsidRPr="009866F3" w:rsidRDefault="00B02873" w:rsidP="009866F3">
            <w:pPr>
              <w:pStyle w:val="TablebodyleftFinancialsTables"/>
              <w:jc w:val="right"/>
              <w:rPr>
                <w:b/>
                <w:bCs/>
              </w:rPr>
            </w:pPr>
            <w:r w:rsidRPr="009866F3">
              <w:rPr>
                <w:b/>
                <w:bCs/>
              </w:rPr>
              <w:t>–</w:t>
            </w:r>
          </w:p>
        </w:tc>
        <w:tc>
          <w:tcPr>
            <w:tcW w:w="1191" w:type="dxa"/>
          </w:tcPr>
          <w:p w14:paraId="4EBEE412" w14:textId="77777777" w:rsidR="00B02873" w:rsidRPr="009866F3" w:rsidRDefault="00B02873" w:rsidP="009866F3">
            <w:pPr>
              <w:pStyle w:val="TablebodyleftFinancialsTables"/>
              <w:jc w:val="right"/>
              <w:rPr>
                <w:b/>
                <w:bCs/>
              </w:rPr>
            </w:pPr>
            <w:r w:rsidRPr="009866F3">
              <w:rPr>
                <w:b/>
                <w:bCs/>
              </w:rPr>
              <w:t>5,182</w:t>
            </w:r>
          </w:p>
        </w:tc>
        <w:tc>
          <w:tcPr>
            <w:tcW w:w="1190" w:type="dxa"/>
          </w:tcPr>
          <w:p w14:paraId="0C407104" w14:textId="77777777" w:rsidR="00B02873" w:rsidRPr="009866F3" w:rsidRDefault="00B02873" w:rsidP="009866F3">
            <w:pPr>
              <w:pStyle w:val="TablebodyleftFinancialsTables"/>
              <w:jc w:val="right"/>
              <w:rPr>
                <w:b/>
                <w:bCs/>
              </w:rPr>
            </w:pPr>
            <w:r w:rsidRPr="009866F3">
              <w:rPr>
                <w:b/>
                <w:bCs/>
              </w:rPr>
              <w:t>–</w:t>
            </w:r>
          </w:p>
        </w:tc>
        <w:tc>
          <w:tcPr>
            <w:tcW w:w="1191" w:type="dxa"/>
          </w:tcPr>
          <w:p w14:paraId="1F3C5E34" w14:textId="77777777" w:rsidR="00B02873" w:rsidRPr="009866F3" w:rsidRDefault="00B02873" w:rsidP="009866F3">
            <w:pPr>
              <w:pStyle w:val="TablebodyleftFinancialsTables"/>
              <w:jc w:val="right"/>
              <w:rPr>
                <w:b/>
                <w:bCs/>
              </w:rPr>
            </w:pPr>
            <w:r w:rsidRPr="009866F3">
              <w:rPr>
                <w:b/>
                <w:bCs/>
              </w:rPr>
              <w:t>5,182</w:t>
            </w:r>
          </w:p>
        </w:tc>
      </w:tr>
      <w:tr w:rsidR="00B02873" w:rsidRPr="00B02873" w14:paraId="014D4D96" w14:textId="77777777" w:rsidTr="009866F3">
        <w:tc>
          <w:tcPr>
            <w:tcW w:w="3776" w:type="dxa"/>
          </w:tcPr>
          <w:p w14:paraId="36DB7282" w14:textId="77777777" w:rsidR="00B02873" w:rsidRPr="00F67F82" w:rsidRDefault="00B02873" w:rsidP="009866F3">
            <w:pPr>
              <w:pStyle w:val="TablebodyleftFinancialsTables"/>
              <w:rPr>
                <w:b/>
                <w:bCs/>
              </w:rPr>
            </w:pPr>
            <w:r w:rsidRPr="00F67F82">
              <w:rPr>
                <w:b/>
                <w:bCs/>
              </w:rPr>
              <w:t>Balance at 30 June 2022</w:t>
            </w:r>
          </w:p>
        </w:tc>
        <w:tc>
          <w:tcPr>
            <w:tcW w:w="1181" w:type="dxa"/>
          </w:tcPr>
          <w:p w14:paraId="1BC4C8CF" w14:textId="77777777" w:rsidR="00B02873" w:rsidRPr="009866F3" w:rsidRDefault="00B02873" w:rsidP="009866F3">
            <w:pPr>
              <w:pStyle w:val="TablebodyleftFinancialsTables"/>
              <w:jc w:val="right"/>
              <w:rPr>
                <w:b/>
                <w:bCs/>
              </w:rPr>
            </w:pPr>
            <w:r w:rsidRPr="009866F3">
              <w:rPr>
                <w:b/>
                <w:bCs/>
              </w:rPr>
              <w:t>133,395</w:t>
            </w:r>
          </w:p>
        </w:tc>
        <w:tc>
          <w:tcPr>
            <w:tcW w:w="1190" w:type="dxa"/>
          </w:tcPr>
          <w:p w14:paraId="67587008" w14:textId="77777777" w:rsidR="00B02873" w:rsidRPr="009866F3" w:rsidRDefault="00B02873" w:rsidP="009866F3">
            <w:pPr>
              <w:pStyle w:val="TablebodyleftFinancialsTables"/>
              <w:jc w:val="right"/>
              <w:rPr>
                <w:b/>
                <w:bCs/>
              </w:rPr>
            </w:pPr>
            <w:r w:rsidRPr="009866F3">
              <w:rPr>
                <w:b/>
                <w:bCs/>
              </w:rPr>
              <w:t>34,272</w:t>
            </w:r>
          </w:p>
        </w:tc>
        <w:tc>
          <w:tcPr>
            <w:tcW w:w="1191" w:type="dxa"/>
          </w:tcPr>
          <w:p w14:paraId="46CEE402" w14:textId="77777777" w:rsidR="00B02873" w:rsidRPr="009866F3" w:rsidRDefault="00B02873" w:rsidP="009866F3">
            <w:pPr>
              <w:pStyle w:val="TablebodyleftFinancialsTables"/>
              <w:jc w:val="right"/>
              <w:rPr>
                <w:b/>
                <w:bCs/>
              </w:rPr>
            </w:pPr>
            <w:r w:rsidRPr="009866F3">
              <w:rPr>
                <w:b/>
                <w:bCs/>
              </w:rPr>
              <w:t>7,134</w:t>
            </w:r>
          </w:p>
        </w:tc>
        <w:tc>
          <w:tcPr>
            <w:tcW w:w="1190" w:type="dxa"/>
          </w:tcPr>
          <w:p w14:paraId="0A0DF94C" w14:textId="77777777" w:rsidR="00B02873" w:rsidRPr="009866F3" w:rsidRDefault="00B02873" w:rsidP="009866F3">
            <w:pPr>
              <w:pStyle w:val="TablebodyleftFinancialsTables"/>
              <w:jc w:val="right"/>
              <w:rPr>
                <w:b/>
                <w:bCs/>
              </w:rPr>
            </w:pPr>
            <w:r w:rsidRPr="009866F3">
              <w:rPr>
                <w:b/>
                <w:bCs/>
              </w:rPr>
              <w:t>3,880</w:t>
            </w:r>
          </w:p>
        </w:tc>
        <w:tc>
          <w:tcPr>
            <w:tcW w:w="1191" w:type="dxa"/>
          </w:tcPr>
          <w:p w14:paraId="5521808C" w14:textId="59703001" w:rsidR="00B02873" w:rsidRPr="009866F3" w:rsidRDefault="00B02873" w:rsidP="009866F3">
            <w:pPr>
              <w:pStyle w:val="TablebodyleftFinancialsTables"/>
              <w:jc w:val="right"/>
              <w:rPr>
                <w:b/>
                <w:bCs/>
              </w:rPr>
            </w:pPr>
            <w:r w:rsidRPr="009866F3">
              <w:rPr>
                <w:b/>
                <w:bCs/>
              </w:rPr>
              <w:t>178,681</w:t>
            </w:r>
          </w:p>
        </w:tc>
      </w:tr>
    </w:tbl>
    <w:p w14:paraId="0DA614FD" w14:textId="77777777" w:rsidR="00B02873" w:rsidRDefault="00B02873" w:rsidP="00FE198A"/>
    <w:p w14:paraId="377FE8CE" w14:textId="7D794F84" w:rsidR="00B02873" w:rsidRDefault="00B02873" w:rsidP="00F67F82">
      <w:pPr>
        <w:pStyle w:val="Heading3"/>
      </w:pPr>
      <w:r>
        <w:t>6.7 Other financial liabilities</w:t>
      </w:r>
    </w:p>
    <w:tbl>
      <w:tblPr>
        <w:tblStyle w:val="TableGrid"/>
        <w:tblW w:w="0" w:type="auto"/>
        <w:tblLayout w:type="fixed"/>
        <w:tblLook w:val="0020" w:firstRow="1" w:lastRow="0" w:firstColumn="0" w:lastColumn="0" w:noHBand="0" w:noVBand="0"/>
      </w:tblPr>
      <w:tblGrid>
        <w:gridCol w:w="7257"/>
        <w:gridCol w:w="1190"/>
        <w:gridCol w:w="1191"/>
      </w:tblGrid>
      <w:tr w:rsidR="00B02873" w:rsidRPr="00B02873" w14:paraId="0AE2BB20" w14:textId="77777777" w:rsidTr="00F67F82">
        <w:trPr>
          <w:cnfStyle w:val="100000000000" w:firstRow="1" w:lastRow="0" w:firstColumn="0" w:lastColumn="0" w:oddVBand="0" w:evenVBand="0" w:oddHBand="0" w:evenHBand="0" w:firstRowFirstColumn="0" w:firstRowLastColumn="0" w:lastRowFirstColumn="0" w:lastRowLastColumn="0"/>
        </w:trPr>
        <w:tc>
          <w:tcPr>
            <w:tcW w:w="7257" w:type="dxa"/>
          </w:tcPr>
          <w:p w14:paraId="41130356" w14:textId="77777777" w:rsidR="00B02873" w:rsidRPr="00B02873" w:rsidRDefault="00B02873" w:rsidP="00F67F82">
            <w:pPr>
              <w:pStyle w:val="TableheadingleftFinancialsTables"/>
            </w:pPr>
          </w:p>
        </w:tc>
        <w:tc>
          <w:tcPr>
            <w:tcW w:w="1190" w:type="dxa"/>
          </w:tcPr>
          <w:p w14:paraId="1173C9F8" w14:textId="77777777" w:rsidR="00B02873" w:rsidRPr="00F67F82" w:rsidRDefault="00B02873" w:rsidP="00F67F82">
            <w:pPr>
              <w:pStyle w:val="TableheadingleftFinancialsTables"/>
              <w:jc w:val="right"/>
            </w:pPr>
            <w:r w:rsidRPr="00F67F82">
              <w:t>2022</w:t>
            </w:r>
            <w:r w:rsidRPr="00F67F82">
              <w:br/>
              <w:t>$’000</w:t>
            </w:r>
          </w:p>
        </w:tc>
        <w:tc>
          <w:tcPr>
            <w:tcW w:w="1191" w:type="dxa"/>
          </w:tcPr>
          <w:p w14:paraId="2217ECC3" w14:textId="77777777" w:rsidR="00B02873" w:rsidRDefault="00B02873" w:rsidP="00F67F82">
            <w:pPr>
              <w:pStyle w:val="TableheadingleftFinancialsTables"/>
              <w:jc w:val="right"/>
            </w:pPr>
            <w:r>
              <w:t>2021</w:t>
            </w:r>
            <w:r>
              <w:br/>
              <w:t>$’000</w:t>
            </w:r>
          </w:p>
        </w:tc>
      </w:tr>
      <w:tr w:rsidR="00B02873" w:rsidRPr="00B02873" w14:paraId="7F6B7971" w14:textId="77777777" w:rsidTr="00F67F82">
        <w:tc>
          <w:tcPr>
            <w:tcW w:w="7257" w:type="dxa"/>
          </w:tcPr>
          <w:p w14:paraId="37317CA3" w14:textId="77777777" w:rsidR="00B02873" w:rsidRPr="00F67F82" w:rsidRDefault="00B02873" w:rsidP="00F67F82">
            <w:pPr>
              <w:pStyle w:val="TablebodyleftFinancialsTables"/>
              <w:rPr>
                <w:b/>
                <w:bCs/>
              </w:rPr>
            </w:pPr>
            <w:r w:rsidRPr="00F67F82">
              <w:rPr>
                <w:b/>
                <w:bCs/>
              </w:rPr>
              <w:t>Other financial liabilities</w:t>
            </w:r>
          </w:p>
        </w:tc>
        <w:tc>
          <w:tcPr>
            <w:tcW w:w="1190" w:type="dxa"/>
          </w:tcPr>
          <w:p w14:paraId="00875408" w14:textId="77777777" w:rsidR="00B02873" w:rsidRPr="00F67F82" w:rsidRDefault="00B02873" w:rsidP="00F67F82">
            <w:pPr>
              <w:pStyle w:val="TablebodyleftFinancialsTables"/>
              <w:jc w:val="right"/>
              <w:rPr>
                <w:rFonts w:ascii="VIC Bold Italic" w:hAnsi="VIC Bold Italic" w:cs="Times New Roman"/>
                <w:b/>
                <w:bCs/>
              </w:rPr>
            </w:pPr>
          </w:p>
        </w:tc>
        <w:tc>
          <w:tcPr>
            <w:tcW w:w="1191" w:type="dxa"/>
          </w:tcPr>
          <w:p w14:paraId="62AF7013" w14:textId="77777777" w:rsidR="00B02873" w:rsidRPr="00B02873" w:rsidRDefault="00B02873" w:rsidP="00F67F82">
            <w:pPr>
              <w:pStyle w:val="TablebodyleftFinancialsTables"/>
              <w:jc w:val="right"/>
              <w:rPr>
                <w:rFonts w:ascii="VIC Bold Italic" w:hAnsi="VIC Bold Italic" w:cs="Times New Roman"/>
              </w:rPr>
            </w:pPr>
          </w:p>
        </w:tc>
      </w:tr>
      <w:tr w:rsidR="00B02873" w:rsidRPr="00B02873" w14:paraId="1002096E" w14:textId="77777777" w:rsidTr="00F67F82">
        <w:tc>
          <w:tcPr>
            <w:tcW w:w="7257" w:type="dxa"/>
          </w:tcPr>
          <w:p w14:paraId="591EE8F9" w14:textId="77777777" w:rsidR="00B02873" w:rsidRDefault="00B02873" w:rsidP="00F67F82">
            <w:pPr>
              <w:pStyle w:val="TablebodyleftFinancialsTables"/>
            </w:pPr>
            <w:r>
              <w:t xml:space="preserve">Other financial liabilities </w:t>
            </w:r>
          </w:p>
        </w:tc>
        <w:tc>
          <w:tcPr>
            <w:tcW w:w="1190" w:type="dxa"/>
          </w:tcPr>
          <w:p w14:paraId="11DC7B4A" w14:textId="77777777" w:rsidR="00B02873" w:rsidRPr="00F67F82" w:rsidRDefault="00B02873" w:rsidP="00F67F82">
            <w:pPr>
              <w:pStyle w:val="TablebodyleftFinancialsTables"/>
              <w:jc w:val="right"/>
              <w:rPr>
                <w:b/>
                <w:bCs/>
              </w:rPr>
            </w:pPr>
            <w:r w:rsidRPr="00F67F82">
              <w:rPr>
                <w:b/>
                <w:bCs/>
              </w:rPr>
              <w:t>204,383</w:t>
            </w:r>
          </w:p>
        </w:tc>
        <w:tc>
          <w:tcPr>
            <w:tcW w:w="1191" w:type="dxa"/>
          </w:tcPr>
          <w:p w14:paraId="52728FC3" w14:textId="77777777" w:rsidR="00B02873" w:rsidRDefault="00B02873" w:rsidP="00F67F82">
            <w:pPr>
              <w:pStyle w:val="TablebodyleftFinancialsTables"/>
              <w:jc w:val="right"/>
            </w:pPr>
            <w:r>
              <w:t>201,146</w:t>
            </w:r>
          </w:p>
        </w:tc>
      </w:tr>
      <w:tr w:rsidR="00B02873" w:rsidRPr="00B02873" w14:paraId="2A6E0434" w14:textId="77777777" w:rsidTr="00F67F82">
        <w:tc>
          <w:tcPr>
            <w:tcW w:w="7257" w:type="dxa"/>
          </w:tcPr>
          <w:p w14:paraId="39306F6B" w14:textId="77777777" w:rsidR="00B02873" w:rsidRPr="00F67F82" w:rsidRDefault="00B02873" w:rsidP="00F67F82">
            <w:pPr>
              <w:pStyle w:val="TablebodyleftFinancialsTables"/>
              <w:rPr>
                <w:b/>
                <w:bCs/>
              </w:rPr>
            </w:pPr>
            <w:r w:rsidRPr="00F67F82">
              <w:rPr>
                <w:b/>
                <w:bCs/>
              </w:rPr>
              <w:t>Total other financial liabilities</w:t>
            </w:r>
          </w:p>
        </w:tc>
        <w:tc>
          <w:tcPr>
            <w:tcW w:w="1190" w:type="dxa"/>
          </w:tcPr>
          <w:p w14:paraId="122F2707" w14:textId="77777777" w:rsidR="00B02873" w:rsidRPr="00F67F82" w:rsidRDefault="00B02873" w:rsidP="00F67F82">
            <w:pPr>
              <w:pStyle w:val="TablebodyleftFinancialsTables"/>
              <w:jc w:val="right"/>
              <w:rPr>
                <w:b/>
                <w:bCs/>
              </w:rPr>
            </w:pPr>
            <w:r w:rsidRPr="00F67F82">
              <w:rPr>
                <w:b/>
                <w:bCs/>
              </w:rPr>
              <w:t>204,383</w:t>
            </w:r>
          </w:p>
        </w:tc>
        <w:tc>
          <w:tcPr>
            <w:tcW w:w="1191" w:type="dxa"/>
          </w:tcPr>
          <w:p w14:paraId="35F8F223" w14:textId="77777777" w:rsidR="00B02873" w:rsidRDefault="00B02873" w:rsidP="00F67F82">
            <w:pPr>
              <w:pStyle w:val="TablebodyleftFinancialsTables"/>
              <w:jc w:val="right"/>
            </w:pPr>
            <w:r>
              <w:t>201,146</w:t>
            </w:r>
          </w:p>
        </w:tc>
      </w:tr>
    </w:tbl>
    <w:p w14:paraId="59A41069" w14:textId="77777777" w:rsidR="00B02873" w:rsidRDefault="00B02873" w:rsidP="00FE198A"/>
    <w:p w14:paraId="06167DF7" w14:textId="77777777" w:rsidR="00B02873" w:rsidRDefault="00B02873" w:rsidP="00FE198A">
      <w:r>
        <w:t xml:space="preserve">The liability relates to support to secure Victoria’s energy supply and support for the transition to renewable energy generation. Other financial liabilities are recognised on the date on which DELWP entered into these contracts and are measured at amortised cost. </w:t>
      </w:r>
    </w:p>
    <w:p w14:paraId="27EB1CD6" w14:textId="77777777" w:rsidR="00B02873" w:rsidRDefault="00B02873" w:rsidP="00FE198A">
      <w:r>
        <w:t>The department’s policy in managing the risks inherent in these arrangements is disclosed in Note 8.1.3.</w:t>
      </w:r>
    </w:p>
    <w:p w14:paraId="01BE08C0" w14:textId="77777777" w:rsidR="00B02873" w:rsidRDefault="00B02873" w:rsidP="00D21A73">
      <w:pPr>
        <w:pStyle w:val="Heading2Headings"/>
      </w:pPr>
      <w:bookmarkStart w:id="70" w:name="Note_7"/>
      <w:r>
        <w:t>Note 7</w:t>
      </w:r>
      <w:bookmarkEnd w:id="70"/>
      <w:r>
        <w:t>. How we financed our operations</w:t>
      </w:r>
    </w:p>
    <w:p w14:paraId="72625A68" w14:textId="77777777" w:rsidR="00B02873" w:rsidRDefault="00B02873" w:rsidP="00F67F82">
      <w:pPr>
        <w:pStyle w:val="Heading3"/>
      </w:pPr>
      <w:r>
        <w:t xml:space="preserve">Introduction </w:t>
      </w:r>
    </w:p>
    <w:p w14:paraId="42332B83" w14:textId="77777777" w:rsidR="00B02873" w:rsidRDefault="00B02873" w:rsidP="00FE198A">
      <w:r>
        <w:t>This section provides information on the sources of finance utilised by the department during its operations, along with interest expenses, the cost of borrowings and other information related to financial activities of the department.</w:t>
      </w:r>
    </w:p>
    <w:p w14:paraId="4019285E" w14:textId="77777777" w:rsidR="00B02873" w:rsidRDefault="00B02873" w:rsidP="00FE198A">
      <w:r>
        <w:t>This section includes disclosures of balances that are financial instruments and Note 8.1 and 8.3 provides additional, specific financial instrument disclosures.</w:t>
      </w:r>
    </w:p>
    <w:p w14:paraId="2F4872E8" w14:textId="77777777" w:rsidR="00B02873" w:rsidRDefault="00B02873" w:rsidP="00F67F82">
      <w:pPr>
        <w:pStyle w:val="Heading3"/>
      </w:pPr>
      <w:r>
        <w:lastRenderedPageBreak/>
        <w:t>Structure</w:t>
      </w:r>
    </w:p>
    <w:p w14:paraId="096CF577" w14:textId="77777777" w:rsidR="00B02873" w:rsidRDefault="00B02873" w:rsidP="00C53E83">
      <w:pPr>
        <w:keepNext/>
      </w:pPr>
      <w:r>
        <w:t>7.1</w:t>
      </w:r>
      <w:r>
        <w:tab/>
        <w:t>Cash flow information and balances</w:t>
      </w:r>
    </w:p>
    <w:p w14:paraId="34119F23" w14:textId="77777777" w:rsidR="00B02873" w:rsidRDefault="00B02873" w:rsidP="00F67F82">
      <w:pPr>
        <w:ind w:left="720"/>
      </w:pPr>
      <w:r>
        <w:t>7.1.1</w:t>
      </w:r>
      <w:r>
        <w:tab/>
        <w:t>Reconciliation of net result for the period to net cash flow from operating activities</w:t>
      </w:r>
    </w:p>
    <w:p w14:paraId="2312D171" w14:textId="77777777" w:rsidR="00B02873" w:rsidRDefault="00B02873" w:rsidP="00F67F82">
      <w:pPr>
        <w:ind w:left="720"/>
      </w:pPr>
      <w:r>
        <w:t>7.1.2</w:t>
      </w:r>
      <w:r>
        <w:tab/>
        <w:t>Interest income</w:t>
      </w:r>
    </w:p>
    <w:p w14:paraId="23F999B8" w14:textId="77777777" w:rsidR="00B02873" w:rsidRDefault="00B02873" w:rsidP="00F67F82">
      <w:r>
        <w:t>7.2</w:t>
      </w:r>
      <w:r>
        <w:tab/>
        <w:t>Borrowings</w:t>
      </w:r>
    </w:p>
    <w:p w14:paraId="398AEE21" w14:textId="77777777" w:rsidR="00B02873" w:rsidRDefault="00B02873" w:rsidP="00F67F82">
      <w:pPr>
        <w:ind w:left="720"/>
      </w:pPr>
      <w:r>
        <w:t>7.2.1</w:t>
      </w:r>
      <w:r>
        <w:tab/>
        <w:t>Maturity analysis of borrowings</w:t>
      </w:r>
    </w:p>
    <w:p w14:paraId="21DE2A01" w14:textId="77777777" w:rsidR="00B02873" w:rsidRDefault="00B02873" w:rsidP="00F67F82">
      <w:pPr>
        <w:ind w:left="720"/>
      </w:pPr>
      <w:r>
        <w:t>7.2.2</w:t>
      </w:r>
      <w:r>
        <w:tab/>
        <w:t>Interest expense</w:t>
      </w:r>
    </w:p>
    <w:p w14:paraId="62FE1CD0" w14:textId="77777777" w:rsidR="00B02873" w:rsidRDefault="00B02873" w:rsidP="00F67F82">
      <w:r>
        <w:t>7.3</w:t>
      </w:r>
      <w:r>
        <w:tab/>
        <w:t>Leases liabilities (department as lessee)</w:t>
      </w:r>
    </w:p>
    <w:p w14:paraId="49A43719" w14:textId="77777777" w:rsidR="00B02873" w:rsidRDefault="00B02873" w:rsidP="00F67F82">
      <w:pPr>
        <w:ind w:left="720"/>
      </w:pPr>
      <w:r>
        <w:t>7.3.1</w:t>
      </w:r>
      <w:r>
        <w:tab/>
        <w:t>Right-of-use assets</w:t>
      </w:r>
    </w:p>
    <w:p w14:paraId="3BE28443" w14:textId="77777777" w:rsidR="00B02873" w:rsidRDefault="00B02873" w:rsidP="00F67F82">
      <w:pPr>
        <w:ind w:left="720"/>
      </w:pPr>
      <w:r>
        <w:t>7.3.2</w:t>
      </w:r>
      <w:r>
        <w:tab/>
        <w:t>Amounts recognised in the comprehensive operating statement</w:t>
      </w:r>
    </w:p>
    <w:p w14:paraId="7BF8D16F" w14:textId="77777777" w:rsidR="00B02873" w:rsidRDefault="00B02873" w:rsidP="00F67F82">
      <w:pPr>
        <w:ind w:left="720"/>
      </w:pPr>
      <w:r>
        <w:t xml:space="preserve">7.3.3 </w:t>
      </w:r>
      <w:r>
        <w:tab/>
        <w:t>Amounts recognised in the cash flow statement</w:t>
      </w:r>
    </w:p>
    <w:p w14:paraId="13877A06" w14:textId="77777777" w:rsidR="00B02873" w:rsidRDefault="00B02873" w:rsidP="00F67F82">
      <w:r>
        <w:t>7.4</w:t>
      </w:r>
      <w:r>
        <w:tab/>
        <w:t>Trust account balances</w:t>
      </w:r>
    </w:p>
    <w:p w14:paraId="4F6104D5" w14:textId="77777777" w:rsidR="00B02873" w:rsidRDefault="00B02873" w:rsidP="00F67F82">
      <w:pPr>
        <w:rPr>
          <w:lang w:val="en-US"/>
        </w:rPr>
      </w:pPr>
      <w:r>
        <w:t>7.5</w:t>
      </w:r>
      <w:r>
        <w:tab/>
        <w:t>Commitments for expenditure</w:t>
      </w:r>
    </w:p>
    <w:p w14:paraId="58033240" w14:textId="77777777" w:rsidR="00B02873" w:rsidRDefault="00B02873" w:rsidP="00F67F82">
      <w:pPr>
        <w:pStyle w:val="Heading3"/>
      </w:pPr>
      <w:bookmarkStart w:id="71" w:name="_Ref116975875"/>
      <w:r>
        <w:t>7.1 Cash flow information and balances</w:t>
      </w:r>
      <w:bookmarkEnd w:id="71"/>
    </w:p>
    <w:p w14:paraId="0DAB970C" w14:textId="77777777" w:rsidR="00B02873" w:rsidRDefault="00B02873" w:rsidP="00FE198A">
      <w:r>
        <w:t>Cash and deposits, including cash equivalents, comprise cash on hand and cash at bank, deposits at call and those highly liquid investments with an original maturity of three months or less, which are held for the purpose of meeting short-term cash commitments rather than for investment purposes, and which are readily convertible to known amounts of cash and are subject to an insignificant risk of changes in value.</w:t>
      </w:r>
    </w:p>
    <w:p w14:paraId="0ACE5A04" w14:textId="77777777" w:rsidR="00B02873" w:rsidRDefault="00B02873" w:rsidP="00FE198A">
      <w:r>
        <w:t>For cash flow statement presentation purposes, cash and cash equivalents includes cash and short term investments, as indicated in the reconciliation below.</w:t>
      </w:r>
    </w:p>
    <w:p w14:paraId="295FF6D7" w14:textId="77777777" w:rsidR="00B02873" w:rsidRDefault="00B02873" w:rsidP="00FE198A">
      <w:r>
        <w:t>Due to the state of Victoria’s investment policy and government funding arrangements, the department does not hold a large cash reserve in its bank accounts. Cash received by the department from the generation of income is generally paid into the state’s bank account, known as the Public Account. Similarly, any departmental expenditure, including those in the form of cheques drawn by the department for the payment of goods and services to its suppliers and creditors are made via the Public Account. The process is such that, the Public Account would remit to the department the cash required for the amount drawn on the cheques. This remittance by the Public Account occurs upon the presentation of the cheques by the department’s suppliers or creditors. These funding arrangements often result in the department having a notional shortfall in the cash at bank required for payment of unpresented cheques at reporting date.</w:t>
      </w:r>
    </w:p>
    <w:p w14:paraId="618D5019" w14:textId="77777777" w:rsidR="00B02873" w:rsidRDefault="00B02873" w:rsidP="00FE198A">
      <w:r>
        <w:t xml:space="preserve">Funds held in trust include cash and term deposits and include a number of trust accounts managed and controlled by the department. They include the Sustainability Fund Trust, Goulburn Murray Water Connections Project Trust, Melbourne Strategic Assessment Trust, Parks and Reserves Trust, Plant and Machinery Trust, Growth Areas Public Transport Fund and the Building New Communities Fund. </w:t>
      </w:r>
    </w:p>
    <w:tbl>
      <w:tblPr>
        <w:tblStyle w:val="TableGrid"/>
        <w:tblW w:w="0" w:type="auto"/>
        <w:tblLayout w:type="fixed"/>
        <w:tblLook w:val="0020" w:firstRow="1" w:lastRow="0" w:firstColumn="0" w:lastColumn="0" w:noHBand="0" w:noVBand="0"/>
      </w:tblPr>
      <w:tblGrid>
        <w:gridCol w:w="7257"/>
        <w:gridCol w:w="1190"/>
        <w:gridCol w:w="1191"/>
      </w:tblGrid>
      <w:tr w:rsidR="00B02873" w:rsidRPr="00B02873" w14:paraId="53118572" w14:textId="77777777" w:rsidTr="009B3AE1">
        <w:trPr>
          <w:cnfStyle w:val="100000000000" w:firstRow="1" w:lastRow="0" w:firstColumn="0" w:lastColumn="0" w:oddVBand="0" w:evenVBand="0" w:oddHBand="0" w:evenHBand="0" w:firstRowFirstColumn="0" w:firstRowLastColumn="0" w:lastRowFirstColumn="0" w:lastRowLastColumn="0"/>
          <w:trHeight w:val="60"/>
          <w:tblHeader/>
        </w:trPr>
        <w:tc>
          <w:tcPr>
            <w:tcW w:w="7257" w:type="dxa"/>
          </w:tcPr>
          <w:p w14:paraId="0546BF8E" w14:textId="77777777" w:rsidR="00B02873" w:rsidRPr="00B02873" w:rsidRDefault="00B02873" w:rsidP="00F67F82">
            <w:pPr>
              <w:pStyle w:val="TableheadingleftFinancialsTables"/>
            </w:pPr>
          </w:p>
        </w:tc>
        <w:tc>
          <w:tcPr>
            <w:tcW w:w="1190" w:type="dxa"/>
          </w:tcPr>
          <w:p w14:paraId="062F505B" w14:textId="77777777" w:rsidR="00B02873" w:rsidRPr="00F67F82" w:rsidRDefault="00B02873" w:rsidP="00F67F82">
            <w:pPr>
              <w:pStyle w:val="TableheadingleftFinancialsTables"/>
              <w:jc w:val="right"/>
            </w:pPr>
            <w:r w:rsidRPr="00F67F82">
              <w:t>2022</w:t>
            </w:r>
            <w:r w:rsidRPr="00F67F82">
              <w:br/>
              <w:t>$’000</w:t>
            </w:r>
          </w:p>
        </w:tc>
        <w:tc>
          <w:tcPr>
            <w:tcW w:w="1191" w:type="dxa"/>
          </w:tcPr>
          <w:p w14:paraId="602A5526" w14:textId="77777777" w:rsidR="00B02873" w:rsidRDefault="00B02873" w:rsidP="00F67F82">
            <w:pPr>
              <w:pStyle w:val="TableheadingleftFinancialsTables"/>
              <w:jc w:val="right"/>
            </w:pPr>
            <w:r>
              <w:t>2021</w:t>
            </w:r>
            <w:r>
              <w:br/>
              <w:t>$’000</w:t>
            </w:r>
          </w:p>
        </w:tc>
      </w:tr>
      <w:tr w:rsidR="00B02873" w:rsidRPr="00B02873" w14:paraId="655ADB8A" w14:textId="77777777" w:rsidTr="009B3AE1">
        <w:trPr>
          <w:trHeight w:val="60"/>
        </w:trPr>
        <w:tc>
          <w:tcPr>
            <w:tcW w:w="7257" w:type="dxa"/>
          </w:tcPr>
          <w:p w14:paraId="62393CCE" w14:textId="77777777" w:rsidR="00B02873" w:rsidRPr="00F67F82" w:rsidRDefault="00B02873" w:rsidP="00F67F82">
            <w:pPr>
              <w:pStyle w:val="TablebodyleftFinancialsTables"/>
              <w:keepNext/>
              <w:rPr>
                <w:b/>
                <w:bCs/>
              </w:rPr>
            </w:pPr>
            <w:r w:rsidRPr="00F67F82">
              <w:rPr>
                <w:b/>
                <w:bCs/>
              </w:rPr>
              <w:t>Cash and cash deposits</w:t>
            </w:r>
          </w:p>
        </w:tc>
        <w:tc>
          <w:tcPr>
            <w:tcW w:w="1190" w:type="dxa"/>
          </w:tcPr>
          <w:p w14:paraId="48DE953C" w14:textId="77777777" w:rsidR="00B02873" w:rsidRPr="00F67F82" w:rsidRDefault="00B02873" w:rsidP="00F67F82">
            <w:pPr>
              <w:pStyle w:val="TablebodyleftFinancialsTables"/>
              <w:keepNext/>
              <w:jc w:val="right"/>
              <w:rPr>
                <w:rFonts w:ascii="VIC Bold Italic" w:hAnsi="VIC Bold Italic" w:cs="Times New Roman"/>
                <w:b/>
                <w:bCs/>
              </w:rPr>
            </w:pPr>
          </w:p>
        </w:tc>
        <w:tc>
          <w:tcPr>
            <w:tcW w:w="1191" w:type="dxa"/>
          </w:tcPr>
          <w:p w14:paraId="1E0FF5F1" w14:textId="77777777" w:rsidR="00B02873" w:rsidRPr="00B02873" w:rsidRDefault="00B02873" w:rsidP="00F67F82">
            <w:pPr>
              <w:pStyle w:val="TablebodyleftFinancialsTables"/>
              <w:keepNext/>
              <w:jc w:val="right"/>
              <w:rPr>
                <w:rFonts w:ascii="VIC Bold Italic" w:hAnsi="VIC Bold Italic" w:cs="Times New Roman"/>
              </w:rPr>
            </w:pPr>
          </w:p>
        </w:tc>
      </w:tr>
      <w:tr w:rsidR="00B02873" w:rsidRPr="00B02873" w14:paraId="20256F48" w14:textId="77777777" w:rsidTr="009B3AE1">
        <w:trPr>
          <w:trHeight w:val="60"/>
        </w:trPr>
        <w:tc>
          <w:tcPr>
            <w:tcW w:w="7257" w:type="dxa"/>
          </w:tcPr>
          <w:p w14:paraId="69A537CA" w14:textId="77777777" w:rsidR="00B02873" w:rsidRDefault="00B02873" w:rsidP="00F67F82">
            <w:pPr>
              <w:pStyle w:val="TablebodyleftFinancialsTables"/>
              <w:keepNext/>
            </w:pPr>
            <w:r>
              <w:t xml:space="preserve">Cash at bank and on hand </w:t>
            </w:r>
          </w:p>
        </w:tc>
        <w:tc>
          <w:tcPr>
            <w:tcW w:w="1190" w:type="dxa"/>
          </w:tcPr>
          <w:p w14:paraId="025A277D" w14:textId="4602ED3A" w:rsidR="00B02873" w:rsidRPr="00F67F82" w:rsidRDefault="00012C04" w:rsidP="00F67F82">
            <w:pPr>
              <w:pStyle w:val="TablebodyleftFinancialsTables"/>
              <w:keepNext/>
              <w:jc w:val="right"/>
              <w:rPr>
                <w:b/>
                <w:bCs/>
              </w:rPr>
            </w:pPr>
            <w:r w:rsidRPr="00F67F82">
              <w:rPr>
                <w:b/>
                <w:bCs/>
              </w:rPr>
              <w:t xml:space="preserve"> </w:t>
            </w:r>
            <w:r w:rsidR="00B02873" w:rsidRPr="00F67F82">
              <w:rPr>
                <w:b/>
                <w:bCs/>
              </w:rPr>
              <w:t>20</w:t>
            </w:r>
          </w:p>
        </w:tc>
        <w:tc>
          <w:tcPr>
            <w:tcW w:w="1191" w:type="dxa"/>
          </w:tcPr>
          <w:p w14:paraId="57A9977D" w14:textId="77777777" w:rsidR="00B02873" w:rsidRDefault="00B02873" w:rsidP="00F67F82">
            <w:pPr>
              <w:pStyle w:val="TablebodyleftFinancialsTables"/>
              <w:keepNext/>
              <w:jc w:val="right"/>
            </w:pPr>
            <w:r>
              <w:t>(15)</w:t>
            </w:r>
          </w:p>
        </w:tc>
      </w:tr>
      <w:tr w:rsidR="00B02873" w:rsidRPr="00B02873" w14:paraId="3567F167" w14:textId="77777777" w:rsidTr="009B3AE1">
        <w:trPr>
          <w:trHeight w:val="60"/>
        </w:trPr>
        <w:tc>
          <w:tcPr>
            <w:tcW w:w="7257" w:type="dxa"/>
          </w:tcPr>
          <w:p w14:paraId="572AD19B" w14:textId="77777777" w:rsidR="00B02873" w:rsidRDefault="00B02873" w:rsidP="00F67F82">
            <w:pPr>
              <w:pStyle w:val="TablebodyleftFinancialsTables"/>
            </w:pPr>
            <w:r>
              <w:t xml:space="preserve">Funds held in trust – cash </w:t>
            </w:r>
          </w:p>
        </w:tc>
        <w:tc>
          <w:tcPr>
            <w:tcW w:w="1190" w:type="dxa"/>
          </w:tcPr>
          <w:p w14:paraId="20B806D8" w14:textId="77777777" w:rsidR="00B02873" w:rsidRPr="00F67F82" w:rsidRDefault="00B02873" w:rsidP="00F67F82">
            <w:pPr>
              <w:pStyle w:val="TablebodyleftFinancialsTables"/>
              <w:jc w:val="right"/>
              <w:rPr>
                <w:b/>
                <w:bCs/>
              </w:rPr>
            </w:pPr>
            <w:r w:rsidRPr="00F67F82">
              <w:rPr>
                <w:b/>
                <w:bCs/>
              </w:rPr>
              <w:t>735,662</w:t>
            </w:r>
          </w:p>
        </w:tc>
        <w:tc>
          <w:tcPr>
            <w:tcW w:w="1191" w:type="dxa"/>
          </w:tcPr>
          <w:p w14:paraId="4EEB56A6" w14:textId="77777777" w:rsidR="00B02873" w:rsidRDefault="00B02873" w:rsidP="00F67F82">
            <w:pPr>
              <w:pStyle w:val="TablebodyleftFinancialsTables"/>
              <w:jc w:val="right"/>
            </w:pPr>
            <w:r>
              <w:t>717,121</w:t>
            </w:r>
          </w:p>
        </w:tc>
      </w:tr>
      <w:tr w:rsidR="00B02873" w:rsidRPr="00B02873" w14:paraId="49A3F091" w14:textId="77777777" w:rsidTr="009B3AE1">
        <w:trPr>
          <w:trHeight w:val="60"/>
        </w:trPr>
        <w:tc>
          <w:tcPr>
            <w:tcW w:w="7257" w:type="dxa"/>
          </w:tcPr>
          <w:p w14:paraId="6FA4C0C0" w14:textId="77777777" w:rsidR="00B02873" w:rsidRDefault="00B02873" w:rsidP="00F67F82">
            <w:pPr>
              <w:pStyle w:val="TablebodyleftFinancialsTables"/>
            </w:pPr>
            <w:r>
              <w:t>Funds held in trust – deposits on call</w:t>
            </w:r>
          </w:p>
        </w:tc>
        <w:tc>
          <w:tcPr>
            <w:tcW w:w="1190" w:type="dxa"/>
          </w:tcPr>
          <w:p w14:paraId="1E8378C4" w14:textId="77777777" w:rsidR="00B02873" w:rsidRPr="00F67F82" w:rsidRDefault="00B02873" w:rsidP="00F67F82">
            <w:pPr>
              <w:pStyle w:val="TablebodyleftFinancialsTables"/>
              <w:jc w:val="right"/>
              <w:rPr>
                <w:b/>
                <w:bCs/>
              </w:rPr>
            </w:pPr>
            <w:r w:rsidRPr="00F67F82">
              <w:rPr>
                <w:b/>
                <w:bCs/>
              </w:rPr>
              <w:t>545,854</w:t>
            </w:r>
          </w:p>
        </w:tc>
        <w:tc>
          <w:tcPr>
            <w:tcW w:w="1191" w:type="dxa"/>
          </w:tcPr>
          <w:p w14:paraId="34BCCA26" w14:textId="77777777" w:rsidR="00B02873" w:rsidRDefault="00B02873" w:rsidP="00F67F82">
            <w:pPr>
              <w:pStyle w:val="TablebodyleftFinancialsTables"/>
              <w:jc w:val="right"/>
            </w:pPr>
            <w:r>
              <w:t>525,575</w:t>
            </w:r>
          </w:p>
        </w:tc>
      </w:tr>
      <w:tr w:rsidR="00B02873" w:rsidRPr="00B02873" w14:paraId="356784CD" w14:textId="77777777" w:rsidTr="009B3AE1">
        <w:trPr>
          <w:trHeight w:val="60"/>
        </w:trPr>
        <w:tc>
          <w:tcPr>
            <w:tcW w:w="7257" w:type="dxa"/>
          </w:tcPr>
          <w:p w14:paraId="3150BF92" w14:textId="77777777" w:rsidR="00B02873" w:rsidRPr="00F67F82" w:rsidRDefault="00B02873" w:rsidP="00F67F82">
            <w:pPr>
              <w:pStyle w:val="TablebodyleftFinancialsTables"/>
              <w:rPr>
                <w:b/>
                <w:bCs/>
              </w:rPr>
            </w:pPr>
            <w:r w:rsidRPr="00F67F82">
              <w:rPr>
                <w:b/>
                <w:bCs/>
              </w:rPr>
              <w:t>Total cash and deposits disclosed in the balance sheet</w:t>
            </w:r>
          </w:p>
        </w:tc>
        <w:tc>
          <w:tcPr>
            <w:tcW w:w="1190" w:type="dxa"/>
          </w:tcPr>
          <w:p w14:paraId="01D2162A" w14:textId="77777777" w:rsidR="00B02873" w:rsidRPr="00F67F82" w:rsidRDefault="00B02873" w:rsidP="00F67F82">
            <w:pPr>
              <w:pStyle w:val="TablebodyleftFinancialsTables"/>
              <w:jc w:val="right"/>
              <w:rPr>
                <w:b/>
                <w:bCs/>
              </w:rPr>
            </w:pPr>
            <w:r w:rsidRPr="00F67F82">
              <w:rPr>
                <w:b/>
                <w:bCs/>
              </w:rPr>
              <w:t>1,281,536</w:t>
            </w:r>
          </w:p>
        </w:tc>
        <w:tc>
          <w:tcPr>
            <w:tcW w:w="1191" w:type="dxa"/>
          </w:tcPr>
          <w:p w14:paraId="73A8FFBA" w14:textId="77777777" w:rsidR="00B02873" w:rsidRDefault="00B02873" w:rsidP="00F67F82">
            <w:pPr>
              <w:pStyle w:val="TablebodyleftFinancialsTables"/>
              <w:jc w:val="right"/>
            </w:pPr>
            <w:r>
              <w:t>1,242,681</w:t>
            </w:r>
          </w:p>
        </w:tc>
      </w:tr>
      <w:tr w:rsidR="00B02873" w:rsidRPr="00B02873" w14:paraId="55FAF1C3" w14:textId="77777777" w:rsidTr="009B3AE1">
        <w:trPr>
          <w:trHeight w:val="60"/>
        </w:trPr>
        <w:tc>
          <w:tcPr>
            <w:tcW w:w="7257" w:type="dxa"/>
          </w:tcPr>
          <w:p w14:paraId="5F5E6B30" w14:textId="77777777" w:rsidR="00B02873" w:rsidRPr="00F67F82" w:rsidRDefault="00B02873" w:rsidP="00F67F82">
            <w:pPr>
              <w:pStyle w:val="TablebodyleftFinancialsTables"/>
              <w:rPr>
                <w:b/>
                <w:bCs/>
              </w:rPr>
            </w:pPr>
            <w:r w:rsidRPr="00F67F82">
              <w:rPr>
                <w:b/>
                <w:bCs/>
              </w:rPr>
              <w:t>Balance as per cash flow statement</w:t>
            </w:r>
          </w:p>
        </w:tc>
        <w:tc>
          <w:tcPr>
            <w:tcW w:w="1190" w:type="dxa"/>
          </w:tcPr>
          <w:p w14:paraId="4442EB8D" w14:textId="77777777" w:rsidR="00B02873" w:rsidRPr="00F67F82" w:rsidRDefault="00B02873" w:rsidP="00F67F82">
            <w:pPr>
              <w:pStyle w:val="TablebodyleftFinancialsTables"/>
              <w:jc w:val="right"/>
              <w:rPr>
                <w:b/>
                <w:bCs/>
              </w:rPr>
            </w:pPr>
            <w:r w:rsidRPr="00F67F82">
              <w:rPr>
                <w:b/>
                <w:bCs/>
              </w:rPr>
              <w:t>1,281,536</w:t>
            </w:r>
          </w:p>
        </w:tc>
        <w:tc>
          <w:tcPr>
            <w:tcW w:w="1191" w:type="dxa"/>
          </w:tcPr>
          <w:p w14:paraId="56535544" w14:textId="77777777" w:rsidR="00B02873" w:rsidRDefault="00B02873" w:rsidP="00F67F82">
            <w:pPr>
              <w:pStyle w:val="TablebodyleftFinancialsTables"/>
              <w:jc w:val="right"/>
            </w:pPr>
            <w:r>
              <w:t>1,242,681</w:t>
            </w:r>
          </w:p>
        </w:tc>
      </w:tr>
    </w:tbl>
    <w:p w14:paraId="17199A70" w14:textId="77777777" w:rsidR="00B02873" w:rsidRDefault="00B02873" w:rsidP="00FE198A"/>
    <w:p w14:paraId="4C4670EF" w14:textId="159D4CF7" w:rsidR="00B02873" w:rsidRDefault="00B02873" w:rsidP="00F67F82">
      <w:pPr>
        <w:pStyle w:val="Heading4"/>
      </w:pPr>
      <w:r>
        <w:t>7.1.1 Reconciliation of net result for the period to net cash flow from operating activities</w:t>
      </w:r>
    </w:p>
    <w:tbl>
      <w:tblPr>
        <w:tblStyle w:val="TableGrid"/>
        <w:tblW w:w="9638" w:type="dxa"/>
        <w:tblLayout w:type="fixed"/>
        <w:tblLook w:val="0020" w:firstRow="1" w:lastRow="0" w:firstColumn="0" w:lastColumn="0" w:noHBand="0" w:noVBand="0"/>
      </w:tblPr>
      <w:tblGrid>
        <w:gridCol w:w="7257"/>
        <w:gridCol w:w="1188"/>
        <w:gridCol w:w="1193"/>
      </w:tblGrid>
      <w:tr w:rsidR="00B02873" w:rsidRPr="00B02873" w14:paraId="7BA645A3" w14:textId="77777777" w:rsidTr="009A1654">
        <w:trPr>
          <w:cnfStyle w:val="100000000000" w:firstRow="1" w:lastRow="0" w:firstColumn="0" w:lastColumn="0" w:oddVBand="0" w:evenVBand="0" w:oddHBand="0" w:evenHBand="0" w:firstRowFirstColumn="0" w:firstRowLastColumn="0" w:lastRowFirstColumn="0" w:lastRowLastColumn="0"/>
        </w:trPr>
        <w:tc>
          <w:tcPr>
            <w:tcW w:w="7257" w:type="dxa"/>
          </w:tcPr>
          <w:p w14:paraId="45676E25" w14:textId="77777777" w:rsidR="00B02873" w:rsidRPr="00B02873" w:rsidRDefault="00B02873" w:rsidP="009A1654">
            <w:pPr>
              <w:pStyle w:val="TableheadingleftTables"/>
            </w:pPr>
          </w:p>
        </w:tc>
        <w:tc>
          <w:tcPr>
            <w:tcW w:w="1188" w:type="dxa"/>
          </w:tcPr>
          <w:p w14:paraId="2BF95BCE" w14:textId="77777777" w:rsidR="00B02873" w:rsidRPr="009A1654" w:rsidRDefault="00B02873" w:rsidP="009A1654">
            <w:pPr>
              <w:pStyle w:val="TableheadingleftTables"/>
              <w:jc w:val="right"/>
            </w:pPr>
            <w:r w:rsidRPr="009A1654">
              <w:t>2022</w:t>
            </w:r>
            <w:r w:rsidRPr="009A1654">
              <w:br/>
              <w:t>$’000</w:t>
            </w:r>
          </w:p>
        </w:tc>
        <w:tc>
          <w:tcPr>
            <w:tcW w:w="1193" w:type="dxa"/>
          </w:tcPr>
          <w:p w14:paraId="1843C9ED" w14:textId="77777777" w:rsidR="00B02873" w:rsidRDefault="00B02873" w:rsidP="009A1654">
            <w:pPr>
              <w:pStyle w:val="TableheadingleftTables"/>
              <w:jc w:val="right"/>
            </w:pPr>
            <w:r>
              <w:t>2021</w:t>
            </w:r>
            <w:r>
              <w:br/>
              <w:t>$’000</w:t>
            </w:r>
          </w:p>
        </w:tc>
      </w:tr>
      <w:tr w:rsidR="00B02873" w:rsidRPr="00B02873" w14:paraId="531792C4" w14:textId="77777777" w:rsidTr="009A1654">
        <w:tc>
          <w:tcPr>
            <w:tcW w:w="7257" w:type="dxa"/>
          </w:tcPr>
          <w:p w14:paraId="2549ED0E" w14:textId="77777777" w:rsidR="00B02873" w:rsidRPr="009A1654" w:rsidRDefault="00B02873" w:rsidP="009A1654">
            <w:pPr>
              <w:pStyle w:val="TablebodyleftFinancialsTables"/>
              <w:rPr>
                <w:b/>
                <w:bCs/>
              </w:rPr>
            </w:pPr>
            <w:r w:rsidRPr="009A1654">
              <w:rPr>
                <w:b/>
                <w:bCs/>
              </w:rPr>
              <w:t>Net result for the period</w:t>
            </w:r>
          </w:p>
        </w:tc>
        <w:tc>
          <w:tcPr>
            <w:tcW w:w="1188" w:type="dxa"/>
          </w:tcPr>
          <w:p w14:paraId="2017EC88" w14:textId="77777777" w:rsidR="00B02873" w:rsidRPr="009A1654" w:rsidRDefault="00B02873" w:rsidP="009A1654">
            <w:pPr>
              <w:pStyle w:val="TablebodyleftFinancialsTables"/>
              <w:jc w:val="right"/>
              <w:rPr>
                <w:b/>
                <w:bCs/>
              </w:rPr>
            </w:pPr>
            <w:r w:rsidRPr="009A1654">
              <w:rPr>
                <w:b/>
                <w:bCs/>
              </w:rPr>
              <w:t>613,586</w:t>
            </w:r>
          </w:p>
        </w:tc>
        <w:tc>
          <w:tcPr>
            <w:tcW w:w="1193" w:type="dxa"/>
          </w:tcPr>
          <w:p w14:paraId="50D9EAF5" w14:textId="77777777" w:rsidR="00B02873" w:rsidRDefault="00B02873" w:rsidP="009A1654">
            <w:pPr>
              <w:pStyle w:val="TablebodyleftFinancialsTables"/>
              <w:jc w:val="right"/>
            </w:pPr>
            <w:r>
              <w:t>769,765</w:t>
            </w:r>
          </w:p>
        </w:tc>
      </w:tr>
      <w:tr w:rsidR="00B02873" w:rsidRPr="00B02873" w14:paraId="730741AB" w14:textId="77777777" w:rsidTr="009A1654">
        <w:tc>
          <w:tcPr>
            <w:tcW w:w="7257" w:type="dxa"/>
          </w:tcPr>
          <w:p w14:paraId="4A665A45" w14:textId="77777777" w:rsidR="00B02873" w:rsidRPr="009A1654" w:rsidRDefault="00B02873" w:rsidP="009A1654">
            <w:pPr>
              <w:pStyle w:val="TablebodyleftFinancialsTables"/>
              <w:rPr>
                <w:b/>
                <w:bCs/>
              </w:rPr>
            </w:pPr>
            <w:r w:rsidRPr="009A1654">
              <w:rPr>
                <w:b/>
                <w:bCs/>
              </w:rPr>
              <w:t>Non-cash movements</w:t>
            </w:r>
          </w:p>
        </w:tc>
        <w:tc>
          <w:tcPr>
            <w:tcW w:w="1188" w:type="dxa"/>
          </w:tcPr>
          <w:p w14:paraId="53A1E693" w14:textId="77777777" w:rsidR="00B02873" w:rsidRPr="009A1654" w:rsidRDefault="00B02873" w:rsidP="009A1654">
            <w:pPr>
              <w:pStyle w:val="TablebodyleftFinancialsTables"/>
              <w:jc w:val="right"/>
              <w:rPr>
                <w:rFonts w:ascii="VIC Bold Italic" w:hAnsi="VIC Bold Italic" w:cs="Times New Roman"/>
                <w:b/>
                <w:bCs/>
              </w:rPr>
            </w:pPr>
          </w:p>
        </w:tc>
        <w:tc>
          <w:tcPr>
            <w:tcW w:w="1193" w:type="dxa"/>
          </w:tcPr>
          <w:p w14:paraId="0517899F" w14:textId="77777777" w:rsidR="00B02873" w:rsidRPr="00B02873" w:rsidRDefault="00B02873" w:rsidP="009A1654">
            <w:pPr>
              <w:pStyle w:val="TablebodyleftFinancialsTables"/>
              <w:jc w:val="right"/>
              <w:rPr>
                <w:rFonts w:ascii="VIC Bold Italic" w:hAnsi="VIC Bold Italic" w:cs="Times New Roman"/>
              </w:rPr>
            </w:pPr>
          </w:p>
        </w:tc>
      </w:tr>
      <w:tr w:rsidR="00B02873" w:rsidRPr="00B02873" w14:paraId="1EC8C23C" w14:textId="77777777" w:rsidTr="009A1654">
        <w:tc>
          <w:tcPr>
            <w:tcW w:w="7257" w:type="dxa"/>
          </w:tcPr>
          <w:p w14:paraId="786F4410" w14:textId="77777777" w:rsidR="00B02873" w:rsidRDefault="00B02873" w:rsidP="009A1654">
            <w:pPr>
              <w:pStyle w:val="TablebodyleftFinancialsTables"/>
            </w:pPr>
            <w:r>
              <w:t>Depreciation and amortisation</w:t>
            </w:r>
          </w:p>
        </w:tc>
        <w:tc>
          <w:tcPr>
            <w:tcW w:w="1188" w:type="dxa"/>
          </w:tcPr>
          <w:p w14:paraId="5F931F42" w14:textId="77777777" w:rsidR="00B02873" w:rsidRPr="009A1654" w:rsidRDefault="00B02873" w:rsidP="009A1654">
            <w:pPr>
              <w:pStyle w:val="TablebodyleftFinancialsTables"/>
              <w:jc w:val="right"/>
              <w:rPr>
                <w:b/>
                <w:bCs/>
              </w:rPr>
            </w:pPr>
            <w:r w:rsidRPr="009A1654">
              <w:rPr>
                <w:b/>
                <w:bCs/>
              </w:rPr>
              <w:t>87,658</w:t>
            </w:r>
          </w:p>
        </w:tc>
        <w:tc>
          <w:tcPr>
            <w:tcW w:w="1193" w:type="dxa"/>
          </w:tcPr>
          <w:p w14:paraId="2A231426" w14:textId="77777777" w:rsidR="00B02873" w:rsidRDefault="00B02873" w:rsidP="009A1654">
            <w:pPr>
              <w:pStyle w:val="TablebodyleftFinancialsTables"/>
              <w:jc w:val="right"/>
            </w:pPr>
            <w:r>
              <w:t>80,076</w:t>
            </w:r>
          </w:p>
        </w:tc>
      </w:tr>
      <w:tr w:rsidR="00B02873" w:rsidRPr="00B02873" w14:paraId="2A7AA05B" w14:textId="77777777" w:rsidTr="009A1654">
        <w:tc>
          <w:tcPr>
            <w:tcW w:w="7257" w:type="dxa"/>
          </w:tcPr>
          <w:p w14:paraId="16D035C4" w14:textId="77777777" w:rsidR="00B02873" w:rsidRDefault="00B02873" w:rsidP="009A1654">
            <w:pPr>
              <w:pStyle w:val="TablebodyleftFinancialsTables"/>
            </w:pPr>
            <w:r>
              <w:t>Net (gain)/loss on disposal of property, plant and equipment and large scale generation certificates held for sale</w:t>
            </w:r>
          </w:p>
        </w:tc>
        <w:tc>
          <w:tcPr>
            <w:tcW w:w="1188" w:type="dxa"/>
          </w:tcPr>
          <w:p w14:paraId="4CAB5BFF" w14:textId="77777777" w:rsidR="00B02873" w:rsidRPr="009A1654" w:rsidRDefault="00B02873" w:rsidP="009A1654">
            <w:pPr>
              <w:pStyle w:val="TablebodyleftFinancialsTables"/>
              <w:jc w:val="right"/>
              <w:rPr>
                <w:b/>
                <w:bCs/>
              </w:rPr>
            </w:pPr>
            <w:r w:rsidRPr="009A1654">
              <w:rPr>
                <w:b/>
                <w:bCs/>
              </w:rPr>
              <w:t>(3,925)</w:t>
            </w:r>
          </w:p>
        </w:tc>
        <w:tc>
          <w:tcPr>
            <w:tcW w:w="1193" w:type="dxa"/>
          </w:tcPr>
          <w:p w14:paraId="64F51D87" w14:textId="77777777" w:rsidR="00B02873" w:rsidRDefault="00B02873" w:rsidP="009A1654">
            <w:pPr>
              <w:pStyle w:val="TablebodyleftFinancialsTables"/>
              <w:jc w:val="right"/>
            </w:pPr>
            <w:r>
              <w:t>3,762</w:t>
            </w:r>
          </w:p>
        </w:tc>
      </w:tr>
      <w:tr w:rsidR="00B02873" w:rsidRPr="00B02873" w14:paraId="5BF0E562" w14:textId="77777777" w:rsidTr="009A1654">
        <w:tc>
          <w:tcPr>
            <w:tcW w:w="7257" w:type="dxa"/>
          </w:tcPr>
          <w:p w14:paraId="3D669482" w14:textId="77777777" w:rsidR="00B02873" w:rsidRDefault="00B02873" w:rsidP="009A1654">
            <w:pPr>
              <w:pStyle w:val="TablebodyleftFinancialsTables"/>
            </w:pPr>
            <w:r>
              <w:t>Net recognition of non-financial assets</w:t>
            </w:r>
          </w:p>
        </w:tc>
        <w:tc>
          <w:tcPr>
            <w:tcW w:w="1188" w:type="dxa"/>
          </w:tcPr>
          <w:p w14:paraId="235C03B7" w14:textId="77777777" w:rsidR="00B02873" w:rsidRPr="009A1654" w:rsidRDefault="00B02873" w:rsidP="009A1654">
            <w:pPr>
              <w:pStyle w:val="TablebodyleftFinancialsTables"/>
              <w:jc w:val="right"/>
              <w:rPr>
                <w:b/>
                <w:bCs/>
              </w:rPr>
            </w:pPr>
            <w:r w:rsidRPr="009A1654">
              <w:rPr>
                <w:b/>
                <w:bCs/>
              </w:rPr>
              <w:t>(90,745)</w:t>
            </w:r>
          </w:p>
        </w:tc>
        <w:tc>
          <w:tcPr>
            <w:tcW w:w="1193" w:type="dxa"/>
          </w:tcPr>
          <w:p w14:paraId="1C0737B5" w14:textId="77777777" w:rsidR="00B02873" w:rsidRDefault="00B02873" w:rsidP="009A1654">
            <w:pPr>
              <w:pStyle w:val="TablebodyleftFinancialsTables"/>
              <w:jc w:val="right"/>
            </w:pPr>
            <w:r>
              <w:t>(879,748)</w:t>
            </w:r>
          </w:p>
        </w:tc>
      </w:tr>
      <w:tr w:rsidR="00B02873" w:rsidRPr="00B02873" w14:paraId="7FEA5EF5" w14:textId="77777777" w:rsidTr="009A1654">
        <w:tc>
          <w:tcPr>
            <w:tcW w:w="7257" w:type="dxa"/>
          </w:tcPr>
          <w:p w14:paraId="439CB725" w14:textId="77777777" w:rsidR="00B02873" w:rsidRDefault="00B02873" w:rsidP="009A1654">
            <w:pPr>
              <w:pStyle w:val="TablebodyleftFinancialsTables"/>
            </w:pPr>
            <w:r>
              <w:t>Write-down of property, plant, equipment and intangible assets</w:t>
            </w:r>
          </w:p>
        </w:tc>
        <w:tc>
          <w:tcPr>
            <w:tcW w:w="1188" w:type="dxa"/>
          </w:tcPr>
          <w:p w14:paraId="6E2AD869" w14:textId="77777777" w:rsidR="00B02873" w:rsidRPr="009A1654" w:rsidRDefault="00B02873" w:rsidP="009A1654">
            <w:pPr>
              <w:pStyle w:val="TablebodyleftFinancialsTables"/>
              <w:jc w:val="right"/>
              <w:rPr>
                <w:b/>
                <w:bCs/>
              </w:rPr>
            </w:pPr>
            <w:r w:rsidRPr="009A1654">
              <w:rPr>
                <w:b/>
                <w:bCs/>
              </w:rPr>
              <w:t>3,615</w:t>
            </w:r>
          </w:p>
        </w:tc>
        <w:tc>
          <w:tcPr>
            <w:tcW w:w="1193" w:type="dxa"/>
          </w:tcPr>
          <w:p w14:paraId="7CBD2967" w14:textId="77777777" w:rsidR="00B02873" w:rsidRDefault="00B02873" w:rsidP="009A1654">
            <w:pPr>
              <w:pStyle w:val="TablebodyleftFinancialsTables"/>
              <w:jc w:val="right"/>
            </w:pPr>
            <w:r>
              <w:t>3,362</w:t>
            </w:r>
          </w:p>
        </w:tc>
      </w:tr>
      <w:tr w:rsidR="00B02873" w:rsidRPr="00B02873" w14:paraId="26563086" w14:textId="77777777" w:rsidTr="009A1654">
        <w:tc>
          <w:tcPr>
            <w:tcW w:w="7257" w:type="dxa"/>
          </w:tcPr>
          <w:p w14:paraId="5D49D7A9" w14:textId="77777777" w:rsidR="00B02873" w:rsidRDefault="00B02873" w:rsidP="009A1654">
            <w:pPr>
              <w:pStyle w:val="TablebodyleftFinancialsTables"/>
            </w:pPr>
            <w:r>
              <w:t>Net (gain)/loss on financial instruments</w:t>
            </w:r>
          </w:p>
        </w:tc>
        <w:tc>
          <w:tcPr>
            <w:tcW w:w="1188" w:type="dxa"/>
          </w:tcPr>
          <w:p w14:paraId="74E35591" w14:textId="77777777" w:rsidR="00B02873" w:rsidRPr="009A1654" w:rsidRDefault="00B02873" w:rsidP="009A1654">
            <w:pPr>
              <w:pStyle w:val="TablebodyleftFinancialsTables"/>
              <w:jc w:val="right"/>
              <w:rPr>
                <w:b/>
                <w:bCs/>
              </w:rPr>
            </w:pPr>
            <w:r w:rsidRPr="009A1654">
              <w:rPr>
                <w:b/>
                <w:bCs/>
              </w:rPr>
              <w:t>(381,066)</w:t>
            </w:r>
          </w:p>
        </w:tc>
        <w:tc>
          <w:tcPr>
            <w:tcW w:w="1193" w:type="dxa"/>
          </w:tcPr>
          <w:p w14:paraId="5056A073" w14:textId="77777777" w:rsidR="00B02873" w:rsidRDefault="00B02873" w:rsidP="009A1654">
            <w:pPr>
              <w:pStyle w:val="TablebodyleftFinancialsTables"/>
              <w:jc w:val="right"/>
            </w:pPr>
            <w:r>
              <w:t>88,808</w:t>
            </w:r>
          </w:p>
        </w:tc>
      </w:tr>
      <w:tr w:rsidR="00B02873" w:rsidRPr="00B02873" w14:paraId="2C4F719A" w14:textId="77777777" w:rsidTr="009A1654">
        <w:tc>
          <w:tcPr>
            <w:tcW w:w="7257" w:type="dxa"/>
          </w:tcPr>
          <w:p w14:paraId="539048DD" w14:textId="77777777" w:rsidR="00B02873" w:rsidRDefault="00B02873" w:rsidP="009A1654">
            <w:pPr>
              <w:pStyle w:val="TablebodyleftFinancialsTables"/>
            </w:pPr>
            <w:r>
              <w:t>Net gain arising from revaluation of employee benefits</w:t>
            </w:r>
          </w:p>
        </w:tc>
        <w:tc>
          <w:tcPr>
            <w:tcW w:w="1188" w:type="dxa"/>
          </w:tcPr>
          <w:p w14:paraId="61482B5D" w14:textId="77777777" w:rsidR="00B02873" w:rsidRPr="009A1654" w:rsidRDefault="00B02873" w:rsidP="009A1654">
            <w:pPr>
              <w:pStyle w:val="TablebodyleftFinancialsTables"/>
              <w:jc w:val="right"/>
              <w:rPr>
                <w:b/>
                <w:bCs/>
              </w:rPr>
            </w:pPr>
            <w:r w:rsidRPr="009A1654">
              <w:rPr>
                <w:b/>
                <w:bCs/>
              </w:rPr>
              <w:t>(10,575)</w:t>
            </w:r>
          </w:p>
        </w:tc>
        <w:tc>
          <w:tcPr>
            <w:tcW w:w="1193" w:type="dxa"/>
          </w:tcPr>
          <w:p w14:paraId="28B469E6" w14:textId="77777777" w:rsidR="00B02873" w:rsidRDefault="00B02873" w:rsidP="009A1654">
            <w:pPr>
              <w:pStyle w:val="TablebodyleftFinancialsTables"/>
              <w:jc w:val="right"/>
            </w:pPr>
            <w:r>
              <w:t>(12,411)</w:t>
            </w:r>
          </w:p>
        </w:tc>
      </w:tr>
      <w:tr w:rsidR="00B02873" w:rsidRPr="00B02873" w14:paraId="14C3A26A" w14:textId="77777777" w:rsidTr="009A1654">
        <w:tc>
          <w:tcPr>
            <w:tcW w:w="7257" w:type="dxa"/>
          </w:tcPr>
          <w:p w14:paraId="7EC5DAA3" w14:textId="77777777" w:rsidR="00B02873" w:rsidRDefault="00B02873" w:rsidP="009A1654">
            <w:pPr>
              <w:pStyle w:val="TablebodyleftFinancialsTables"/>
            </w:pPr>
            <w:r>
              <w:t>Initial recognition (income)/expense from financial instruments</w:t>
            </w:r>
          </w:p>
        </w:tc>
        <w:tc>
          <w:tcPr>
            <w:tcW w:w="1188" w:type="dxa"/>
          </w:tcPr>
          <w:p w14:paraId="07619A2D" w14:textId="77777777" w:rsidR="00B02873" w:rsidRPr="009A1654" w:rsidRDefault="00B02873" w:rsidP="009A1654">
            <w:pPr>
              <w:pStyle w:val="TablebodyleftFinancialsTables"/>
              <w:jc w:val="right"/>
              <w:rPr>
                <w:b/>
                <w:bCs/>
              </w:rPr>
            </w:pPr>
            <w:r w:rsidRPr="009A1654">
              <w:rPr>
                <w:b/>
                <w:bCs/>
              </w:rPr>
              <w:t>(55,245)</w:t>
            </w:r>
          </w:p>
        </w:tc>
        <w:tc>
          <w:tcPr>
            <w:tcW w:w="1193" w:type="dxa"/>
          </w:tcPr>
          <w:p w14:paraId="466466AC" w14:textId="77777777" w:rsidR="00B02873" w:rsidRDefault="00B02873" w:rsidP="009A1654">
            <w:pPr>
              <w:pStyle w:val="TablebodyleftFinancialsTables"/>
              <w:jc w:val="right"/>
            </w:pPr>
            <w:r>
              <w:t>200,072</w:t>
            </w:r>
          </w:p>
        </w:tc>
      </w:tr>
      <w:tr w:rsidR="00B02873" w:rsidRPr="00B02873" w14:paraId="6D3341C9" w14:textId="77777777" w:rsidTr="009A1654">
        <w:tc>
          <w:tcPr>
            <w:tcW w:w="7257" w:type="dxa"/>
          </w:tcPr>
          <w:p w14:paraId="303A6C63" w14:textId="77777777" w:rsidR="00B02873" w:rsidRDefault="00B02873" w:rsidP="009A1654">
            <w:pPr>
              <w:pStyle w:val="TablebodyleftFinancialsTables"/>
            </w:pPr>
            <w:r>
              <w:t>Other provision discount rate adjustments</w:t>
            </w:r>
          </w:p>
        </w:tc>
        <w:tc>
          <w:tcPr>
            <w:tcW w:w="1188" w:type="dxa"/>
          </w:tcPr>
          <w:p w14:paraId="4C5CEE6D" w14:textId="77777777" w:rsidR="00B02873" w:rsidRPr="009A1654" w:rsidRDefault="00B02873" w:rsidP="009A1654">
            <w:pPr>
              <w:pStyle w:val="TablebodyleftFinancialsTables"/>
              <w:jc w:val="right"/>
              <w:rPr>
                <w:b/>
                <w:bCs/>
              </w:rPr>
            </w:pPr>
            <w:r w:rsidRPr="009A1654">
              <w:rPr>
                <w:b/>
                <w:bCs/>
              </w:rPr>
              <w:t>769</w:t>
            </w:r>
          </w:p>
        </w:tc>
        <w:tc>
          <w:tcPr>
            <w:tcW w:w="1193" w:type="dxa"/>
          </w:tcPr>
          <w:p w14:paraId="2433AAFC" w14:textId="77777777" w:rsidR="00B02873" w:rsidRDefault="00B02873" w:rsidP="009A1654">
            <w:pPr>
              <w:pStyle w:val="TablebodyleftFinancialsTables"/>
              <w:jc w:val="right"/>
            </w:pPr>
            <w:r>
              <w:t>(351)</w:t>
            </w:r>
          </w:p>
        </w:tc>
      </w:tr>
      <w:tr w:rsidR="00B02873" w:rsidRPr="00B02873" w14:paraId="0CA01ED0" w14:textId="77777777" w:rsidTr="009A1654">
        <w:tc>
          <w:tcPr>
            <w:tcW w:w="7257" w:type="dxa"/>
          </w:tcPr>
          <w:p w14:paraId="626FBDB8" w14:textId="77777777" w:rsidR="00B02873" w:rsidRPr="009A1654" w:rsidRDefault="00B02873" w:rsidP="009A1654">
            <w:pPr>
              <w:pStyle w:val="TablebodyleftFinancialsTables"/>
              <w:rPr>
                <w:b/>
                <w:bCs/>
              </w:rPr>
            </w:pPr>
            <w:r w:rsidRPr="009A1654">
              <w:rPr>
                <w:b/>
                <w:bCs/>
              </w:rPr>
              <w:t>Movements in assets and liabilities</w:t>
            </w:r>
          </w:p>
        </w:tc>
        <w:tc>
          <w:tcPr>
            <w:tcW w:w="1188" w:type="dxa"/>
          </w:tcPr>
          <w:p w14:paraId="73CE25DD" w14:textId="77777777" w:rsidR="00B02873" w:rsidRPr="009A1654" w:rsidRDefault="00B02873" w:rsidP="009A1654">
            <w:pPr>
              <w:pStyle w:val="TablebodyleftFinancialsTables"/>
              <w:jc w:val="right"/>
              <w:rPr>
                <w:rFonts w:ascii="VIC Bold Italic" w:hAnsi="VIC Bold Italic" w:cs="Times New Roman"/>
                <w:b/>
                <w:bCs/>
              </w:rPr>
            </w:pPr>
          </w:p>
        </w:tc>
        <w:tc>
          <w:tcPr>
            <w:tcW w:w="1193" w:type="dxa"/>
          </w:tcPr>
          <w:p w14:paraId="468F9050" w14:textId="77777777" w:rsidR="00B02873" w:rsidRPr="00B02873" w:rsidRDefault="00B02873" w:rsidP="009A1654">
            <w:pPr>
              <w:pStyle w:val="TablebodyleftFinancialsTables"/>
              <w:jc w:val="right"/>
              <w:rPr>
                <w:rFonts w:ascii="VIC Bold Italic" w:hAnsi="VIC Bold Italic" w:cs="Times New Roman"/>
              </w:rPr>
            </w:pPr>
          </w:p>
        </w:tc>
      </w:tr>
      <w:tr w:rsidR="00B02873" w:rsidRPr="00B02873" w14:paraId="0B430663" w14:textId="77777777" w:rsidTr="009A1654">
        <w:tc>
          <w:tcPr>
            <w:tcW w:w="7257" w:type="dxa"/>
          </w:tcPr>
          <w:p w14:paraId="75CACB8E" w14:textId="77777777" w:rsidR="00B02873" w:rsidRDefault="00B02873" w:rsidP="009A1654">
            <w:pPr>
              <w:pStyle w:val="TablebodyleftFinancialsTables"/>
            </w:pPr>
            <w:r>
              <w:t>(Increase)/decrease in receivables</w:t>
            </w:r>
          </w:p>
        </w:tc>
        <w:tc>
          <w:tcPr>
            <w:tcW w:w="1188" w:type="dxa"/>
          </w:tcPr>
          <w:p w14:paraId="7FEFF70D" w14:textId="77777777" w:rsidR="00B02873" w:rsidRPr="009A1654" w:rsidRDefault="00B02873" w:rsidP="009A1654">
            <w:pPr>
              <w:pStyle w:val="TablebodyleftFinancialsTables"/>
              <w:jc w:val="right"/>
              <w:rPr>
                <w:b/>
                <w:bCs/>
              </w:rPr>
            </w:pPr>
            <w:r w:rsidRPr="009A1654">
              <w:rPr>
                <w:b/>
                <w:bCs/>
              </w:rPr>
              <w:t>(100,992)</w:t>
            </w:r>
          </w:p>
        </w:tc>
        <w:tc>
          <w:tcPr>
            <w:tcW w:w="1193" w:type="dxa"/>
          </w:tcPr>
          <w:p w14:paraId="33E5A04A" w14:textId="77777777" w:rsidR="00B02873" w:rsidRDefault="00B02873" w:rsidP="009A1654">
            <w:pPr>
              <w:pStyle w:val="TablebodyleftFinancialsTables"/>
              <w:jc w:val="right"/>
            </w:pPr>
            <w:r>
              <w:t>(377,506)</w:t>
            </w:r>
          </w:p>
        </w:tc>
      </w:tr>
      <w:tr w:rsidR="00B02873" w:rsidRPr="00B02873" w14:paraId="06BB4BD1" w14:textId="77777777" w:rsidTr="009A1654">
        <w:tc>
          <w:tcPr>
            <w:tcW w:w="7257" w:type="dxa"/>
          </w:tcPr>
          <w:p w14:paraId="2558ACBA" w14:textId="77777777" w:rsidR="00B02873" w:rsidRDefault="00B02873" w:rsidP="009A1654">
            <w:pPr>
              <w:pStyle w:val="TablebodyleftFinancialsTables"/>
            </w:pPr>
            <w:r>
              <w:t>(Increase)/decrease in inventories</w:t>
            </w:r>
          </w:p>
        </w:tc>
        <w:tc>
          <w:tcPr>
            <w:tcW w:w="1188" w:type="dxa"/>
          </w:tcPr>
          <w:p w14:paraId="55E72E37" w14:textId="77777777" w:rsidR="00B02873" w:rsidRPr="009A1654" w:rsidRDefault="00B02873" w:rsidP="009A1654">
            <w:pPr>
              <w:pStyle w:val="TablebodyleftFinancialsTables"/>
              <w:jc w:val="right"/>
              <w:rPr>
                <w:b/>
                <w:bCs/>
              </w:rPr>
            </w:pPr>
            <w:r w:rsidRPr="009A1654">
              <w:rPr>
                <w:b/>
                <w:bCs/>
              </w:rPr>
              <w:t>2,518</w:t>
            </w:r>
          </w:p>
        </w:tc>
        <w:tc>
          <w:tcPr>
            <w:tcW w:w="1193" w:type="dxa"/>
          </w:tcPr>
          <w:p w14:paraId="20E4DB3C" w14:textId="77777777" w:rsidR="00B02873" w:rsidRDefault="00B02873" w:rsidP="009A1654">
            <w:pPr>
              <w:pStyle w:val="TablebodyleftFinancialsTables"/>
              <w:jc w:val="right"/>
            </w:pPr>
            <w:r>
              <w:t>(3,052)</w:t>
            </w:r>
          </w:p>
        </w:tc>
      </w:tr>
      <w:tr w:rsidR="00B02873" w:rsidRPr="00B02873" w14:paraId="2E9180AC" w14:textId="77777777" w:rsidTr="009A1654">
        <w:tc>
          <w:tcPr>
            <w:tcW w:w="7257" w:type="dxa"/>
          </w:tcPr>
          <w:p w14:paraId="5A583B2F" w14:textId="77777777" w:rsidR="00B02873" w:rsidRDefault="00B02873" w:rsidP="009A1654">
            <w:pPr>
              <w:pStyle w:val="TablebodyleftFinancialsTables"/>
            </w:pPr>
            <w:r>
              <w:t>(Increase)/decrease in prepayments</w:t>
            </w:r>
          </w:p>
        </w:tc>
        <w:tc>
          <w:tcPr>
            <w:tcW w:w="1188" w:type="dxa"/>
          </w:tcPr>
          <w:p w14:paraId="05E36500" w14:textId="77777777" w:rsidR="00B02873" w:rsidRPr="009A1654" w:rsidRDefault="00B02873" w:rsidP="009A1654">
            <w:pPr>
              <w:pStyle w:val="TablebodyleftFinancialsTables"/>
              <w:jc w:val="right"/>
              <w:rPr>
                <w:b/>
                <w:bCs/>
              </w:rPr>
            </w:pPr>
            <w:r w:rsidRPr="009A1654">
              <w:rPr>
                <w:b/>
                <w:bCs/>
              </w:rPr>
              <w:t>(23,978)</w:t>
            </w:r>
          </w:p>
        </w:tc>
        <w:tc>
          <w:tcPr>
            <w:tcW w:w="1193" w:type="dxa"/>
          </w:tcPr>
          <w:p w14:paraId="7FA66C31" w14:textId="77777777" w:rsidR="00B02873" w:rsidRDefault="00B02873" w:rsidP="009A1654">
            <w:pPr>
              <w:pStyle w:val="TablebodyleftFinancialsTables"/>
              <w:jc w:val="right"/>
            </w:pPr>
            <w:r>
              <w:t>(30,820)</w:t>
            </w:r>
          </w:p>
        </w:tc>
      </w:tr>
      <w:tr w:rsidR="00B02873" w:rsidRPr="00B02873" w14:paraId="258DCD85" w14:textId="77777777" w:rsidTr="009A1654">
        <w:tc>
          <w:tcPr>
            <w:tcW w:w="7257" w:type="dxa"/>
          </w:tcPr>
          <w:p w14:paraId="1F021D7A" w14:textId="77777777" w:rsidR="00B02873" w:rsidRDefault="00B02873" w:rsidP="009A1654">
            <w:pPr>
              <w:pStyle w:val="TablebodyleftFinancialsTables"/>
            </w:pPr>
            <w:r>
              <w:t>Increase/(decrease) in payables</w:t>
            </w:r>
          </w:p>
        </w:tc>
        <w:tc>
          <w:tcPr>
            <w:tcW w:w="1188" w:type="dxa"/>
          </w:tcPr>
          <w:p w14:paraId="2F31A6BD" w14:textId="77777777" w:rsidR="00B02873" w:rsidRPr="009A1654" w:rsidRDefault="00B02873" w:rsidP="009A1654">
            <w:pPr>
              <w:pStyle w:val="TablebodyleftFinancialsTables"/>
              <w:jc w:val="right"/>
              <w:rPr>
                <w:b/>
                <w:bCs/>
              </w:rPr>
            </w:pPr>
            <w:r w:rsidRPr="009A1654">
              <w:rPr>
                <w:b/>
                <w:bCs/>
              </w:rPr>
              <w:t>7,948</w:t>
            </w:r>
          </w:p>
        </w:tc>
        <w:tc>
          <w:tcPr>
            <w:tcW w:w="1193" w:type="dxa"/>
          </w:tcPr>
          <w:p w14:paraId="1ED67D33" w14:textId="77777777" w:rsidR="00B02873" w:rsidRDefault="00B02873" w:rsidP="009A1654">
            <w:pPr>
              <w:pStyle w:val="TablebodyleftFinancialsTables"/>
              <w:jc w:val="right"/>
            </w:pPr>
            <w:r>
              <w:t>73,831</w:t>
            </w:r>
          </w:p>
        </w:tc>
      </w:tr>
      <w:tr w:rsidR="00B02873" w:rsidRPr="00B02873" w14:paraId="5D42C636" w14:textId="77777777" w:rsidTr="009A1654">
        <w:tc>
          <w:tcPr>
            <w:tcW w:w="7257" w:type="dxa"/>
          </w:tcPr>
          <w:p w14:paraId="4C121F70" w14:textId="77777777" w:rsidR="00B02873" w:rsidRDefault="00B02873" w:rsidP="009A1654">
            <w:pPr>
              <w:pStyle w:val="TablebodyleftFinancialsTables"/>
            </w:pPr>
            <w:r>
              <w:t>Increase/(decrease) in provisions</w:t>
            </w:r>
          </w:p>
        </w:tc>
        <w:tc>
          <w:tcPr>
            <w:tcW w:w="1188" w:type="dxa"/>
          </w:tcPr>
          <w:p w14:paraId="6E4CE766" w14:textId="77777777" w:rsidR="00B02873" w:rsidRPr="009A1654" w:rsidRDefault="00B02873" w:rsidP="009A1654">
            <w:pPr>
              <w:pStyle w:val="TablebodyleftFinancialsTables"/>
              <w:jc w:val="right"/>
              <w:rPr>
                <w:b/>
                <w:bCs/>
              </w:rPr>
            </w:pPr>
            <w:r w:rsidRPr="009A1654">
              <w:rPr>
                <w:b/>
                <w:bCs/>
              </w:rPr>
              <w:t>160,707</w:t>
            </w:r>
          </w:p>
        </w:tc>
        <w:tc>
          <w:tcPr>
            <w:tcW w:w="1193" w:type="dxa"/>
          </w:tcPr>
          <w:p w14:paraId="17561A7C" w14:textId="77777777" w:rsidR="00B02873" w:rsidRDefault="00B02873" w:rsidP="009A1654">
            <w:pPr>
              <w:pStyle w:val="TablebodyleftFinancialsTables"/>
              <w:jc w:val="right"/>
            </w:pPr>
            <w:r>
              <w:t>52,534</w:t>
            </w:r>
          </w:p>
        </w:tc>
      </w:tr>
      <w:tr w:rsidR="00B02873" w:rsidRPr="00B02873" w14:paraId="4A9DBDA9" w14:textId="77777777" w:rsidTr="009A1654">
        <w:tc>
          <w:tcPr>
            <w:tcW w:w="7257" w:type="dxa"/>
          </w:tcPr>
          <w:p w14:paraId="65BAE42D" w14:textId="77777777" w:rsidR="00B02873" w:rsidRDefault="00B02873" w:rsidP="009A1654">
            <w:pPr>
              <w:pStyle w:val="TablebodyleftFinancialsTables"/>
            </w:pPr>
            <w:r>
              <w:t>Increase/(decrease) in other liabilities</w:t>
            </w:r>
          </w:p>
        </w:tc>
        <w:tc>
          <w:tcPr>
            <w:tcW w:w="1188" w:type="dxa"/>
          </w:tcPr>
          <w:p w14:paraId="4DD07507" w14:textId="77777777" w:rsidR="00B02873" w:rsidRPr="009A1654" w:rsidRDefault="00B02873" w:rsidP="009A1654">
            <w:pPr>
              <w:pStyle w:val="TablebodyleftFinancialsTables"/>
              <w:jc w:val="right"/>
              <w:rPr>
                <w:b/>
                <w:bCs/>
              </w:rPr>
            </w:pPr>
            <w:r w:rsidRPr="009A1654">
              <w:rPr>
                <w:b/>
                <w:bCs/>
              </w:rPr>
              <w:t>5,203</w:t>
            </w:r>
          </w:p>
        </w:tc>
        <w:tc>
          <w:tcPr>
            <w:tcW w:w="1193" w:type="dxa"/>
          </w:tcPr>
          <w:p w14:paraId="51266FD9" w14:textId="77777777" w:rsidR="00B02873" w:rsidRDefault="00B02873" w:rsidP="009A1654">
            <w:pPr>
              <w:pStyle w:val="TablebodyleftFinancialsTables"/>
              <w:jc w:val="right"/>
            </w:pPr>
            <w:r>
              <w:t>–</w:t>
            </w:r>
          </w:p>
        </w:tc>
      </w:tr>
      <w:tr w:rsidR="00B02873" w:rsidRPr="00B02873" w14:paraId="4D952B29" w14:textId="77777777" w:rsidTr="009A1654">
        <w:tc>
          <w:tcPr>
            <w:tcW w:w="7257" w:type="dxa"/>
          </w:tcPr>
          <w:p w14:paraId="2081D077" w14:textId="77777777" w:rsidR="00B02873" w:rsidRPr="009A1654" w:rsidRDefault="00B02873" w:rsidP="009A1654">
            <w:pPr>
              <w:pStyle w:val="TablebodyleftFinancialsTables"/>
              <w:rPr>
                <w:b/>
                <w:bCs/>
              </w:rPr>
            </w:pPr>
            <w:r w:rsidRPr="009A1654">
              <w:rPr>
                <w:b/>
                <w:bCs/>
              </w:rPr>
              <w:t>Net cash flows from operating activities</w:t>
            </w:r>
          </w:p>
        </w:tc>
        <w:tc>
          <w:tcPr>
            <w:tcW w:w="1188" w:type="dxa"/>
          </w:tcPr>
          <w:p w14:paraId="2F27376E" w14:textId="77777777" w:rsidR="00B02873" w:rsidRPr="009A1654" w:rsidRDefault="00B02873" w:rsidP="009A1654">
            <w:pPr>
              <w:pStyle w:val="TablebodyleftFinancialsTables"/>
              <w:jc w:val="right"/>
              <w:rPr>
                <w:b/>
                <w:bCs/>
              </w:rPr>
            </w:pPr>
            <w:r w:rsidRPr="009A1654">
              <w:rPr>
                <w:b/>
                <w:bCs/>
              </w:rPr>
              <w:t>215,478</w:t>
            </w:r>
          </w:p>
        </w:tc>
        <w:tc>
          <w:tcPr>
            <w:tcW w:w="1193" w:type="dxa"/>
          </w:tcPr>
          <w:p w14:paraId="0E863468" w14:textId="77777777" w:rsidR="00B02873" w:rsidRDefault="00B02873" w:rsidP="009A1654">
            <w:pPr>
              <w:pStyle w:val="TablebodyleftFinancialsTables"/>
              <w:jc w:val="right"/>
            </w:pPr>
            <w:r>
              <w:t>(31,678)</w:t>
            </w:r>
          </w:p>
        </w:tc>
      </w:tr>
    </w:tbl>
    <w:p w14:paraId="6EA59244" w14:textId="77777777" w:rsidR="00B02873" w:rsidRDefault="00B02873" w:rsidP="00FE198A"/>
    <w:p w14:paraId="60E93AC1" w14:textId="53975E32" w:rsidR="00B02873" w:rsidRDefault="00B02873" w:rsidP="009A1654">
      <w:pPr>
        <w:pStyle w:val="Heading4"/>
      </w:pPr>
      <w:r>
        <w:lastRenderedPageBreak/>
        <w:t>7.1.2 Interest Income</w:t>
      </w:r>
      <w:r w:rsidR="009A1654">
        <w:t xml:space="preserve"> </w:t>
      </w:r>
    </w:p>
    <w:tbl>
      <w:tblPr>
        <w:tblStyle w:val="TableGrid"/>
        <w:tblW w:w="9638" w:type="dxa"/>
        <w:tblLayout w:type="fixed"/>
        <w:tblLook w:val="0020" w:firstRow="1" w:lastRow="0" w:firstColumn="0" w:lastColumn="0" w:noHBand="0" w:noVBand="0"/>
      </w:tblPr>
      <w:tblGrid>
        <w:gridCol w:w="7257"/>
        <w:gridCol w:w="1190"/>
        <w:gridCol w:w="1191"/>
      </w:tblGrid>
      <w:tr w:rsidR="00B02873" w:rsidRPr="00B02873" w14:paraId="1C7B5F92" w14:textId="77777777" w:rsidTr="009A1654">
        <w:trPr>
          <w:cnfStyle w:val="100000000000" w:firstRow="1" w:lastRow="0" w:firstColumn="0" w:lastColumn="0" w:oddVBand="0" w:evenVBand="0" w:oddHBand="0" w:evenHBand="0" w:firstRowFirstColumn="0" w:firstRowLastColumn="0" w:lastRowFirstColumn="0" w:lastRowLastColumn="0"/>
          <w:trHeight w:val="60"/>
        </w:trPr>
        <w:tc>
          <w:tcPr>
            <w:tcW w:w="7257" w:type="dxa"/>
          </w:tcPr>
          <w:p w14:paraId="6E7FE849" w14:textId="77777777" w:rsidR="00B02873" w:rsidRPr="00B02873" w:rsidRDefault="00B02873" w:rsidP="009A1654">
            <w:pPr>
              <w:pStyle w:val="TableheadingleftTables"/>
            </w:pPr>
          </w:p>
        </w:tc>
        <w:tc>
          <w:tcPr>
            <w:tcW w:w="1190" w:type="dxa"/>
          </w:tcPr>
          <w:p w14:paraId="3BFF211F" w14:textId="77777777" w:rsidR="00B02873" w:rsidRPr="009A1654" w:rsidRDefault="00B02873" w:rsidP="009A1654">
            <w:pPr>
              <w:pStyle w:val="TableheadingleftTables"/>
              <w:jc w:val="right"/>
            </w:pPr>
            <w:r w:rsidRPr="009A1654">
              <w:t>2022</w:t>
            </w:r>
            <w:r w:rsidRPr="009A1654">
              <w:br/>
              <w:t>$’000</w:t>
            </w:r>
          </w:p>
        </w:tc>
        <w:tc>
          <w:tcPr>
            <w:tcW w:w="1191" w:type="dxa"/>
          </w:tcPr>
          <w:p w14:paraId="45A66B9E" w14:textId="77777777" w:rsidR="00B02873" w:rsidRDefault="00B02873" w:rsidP="009A1654">
            <w:pPr>
              <w:pStyle w:val="TableheadingleftTables"/>
              <w:jc w:val="right"/>
            </w:pPr>
            <w:r>
              <w:t>2021</w:t>
            </w:r>
            <w:r>
              <w:br/>
              <w:t>$’000</w:t>
            </w:r>
          </w:p>
        </w:tc>
      </w:tr>
      <w:tr w:rsidR="00B02873" w:rsidRPr="00B02873" w14:paraId="72737C26" w14:textId="77777777" w:rsidTr="009A1654">
        <w:trPr>
          <w:trHeight w:val="60"/>
        </w:trPr>
        <w:tc>
          <w:tcPr>
            <w:tcW w:w="7257" w:type="dxa"/>
          </w:tcPr>
          <w:p w14:paraId="299A04AD" w14:textId="77777777" w:rsidR="00B02873" w:rsidRPr="009A1654" w:rsidRDefault="00B02873" w:rsidP="009A1654">
            <w:pPr>
              <w:pStyle w:val="TablebodyleftFinancialsTables"/>
              <w:keepNext/>
              <w:rPr>
                <w:b/>
                <w:bCs/>
              </w:rPr>
            </w:pPr>
            <w:r w:rsidRPr="009A1654">
              <w:rPr>
                <w:b/>
                <w:bCs/>
              </w:rPr>
              <w:t>Interest income from financial assets not at fair value through profit or loss:</w:t>
            </w:r>
          </w:p>
        </w:tc>
        <w:tc>
          <w:tcPr>
            <w:tcW w:w="1190" w:type="dxa"/>
          </w:tcPr>
          <w:p w14:paraId="14B23059" w14:textId="77777777" w:rsidR="00B02873" w:rsidRPr="009A1654" w:rsidRDefault="00B02873" w:rsidP="009A1654">
            <w:pPr>
              <w:pStyle w:val="TablebodyleftFinancialsTables"/>
              <w:jc w:val="right"/>
              <w:rPr>
                <w:rFonts w:ascii="VIC Bold Italic" w:hAnsi="VIC Bold Italic" w:cs="Times New Roman"/>
                <w:b/>
                <w:bCs/>
              </w:rPr>
            </w:pPr>
          </w:p>
        </w:tc>
        <w:tc>
          <w:tcPr>
            <w:tcW w:w="1191" w:type="dxa"/>
          </w:tcPr>
          <w:p w14:paraId="12F59576" w14:textId="77777777" w:rsidR="00B02873" w:rsidRPr="00B02873" w:rsidRDefault="00B02873" w:rsidP="009A1654">
            <w:pPr>
              <w:pStyle w:val="TablebodyleftFinancialsTables"/>
              <w:jc w:val="right"/>
              <w:rPr>
                <w:rFonts w:ascii="VIC Bold Italic" w:hAnsi="VIC Bold Italic" w:cs="Times New Roman"/>
              </w:rPr>
            </w:pPr>
          </w:p>
        </w:tc>
      </w:tr>
      <w:tr w:rsidR="00B02873" w:rsidRPr="00B02873" w14:paraId="41B701E6" w14:textId="77777777" w:rsidTr="009A1654">
        <w:trPr>
          <w:trHeight w:val="60"/>
        </w:trPr>
        <w:tc>
          <w:tcPr>
            <w:tcW w:w="7257" w:type="dxa"/>
          </w:tcPr>
          <w:p w14:paraId="536EA50E" w14:textId="77777777" w:rsidR="00B02873" w:rsidRDefault="00B02873" w:rsidP="009A1654">
            <w:pPr>
              <w:pStyle w:val="TablebodyleftFinancialsTables"/>
            </w:pPr>
            <w:r>
              <w:t>Interest on cash deposits and investments</w:t>
            </w:r>
          </w:p>
        </w:tc>
        <w:tc>
          <w:tcPr>
            <w:tcW w:w="1190" w:type="dxa"/>
          </w:tcPr>
          <w:p w14:paraId="56BEEF9D" w14:textId="77777777" w:rsidR="00B02873" w:rsidRPr="009A1654" w:rsidRDefault="00B02873" w:rsidP="009A1654">
            <w:pPr>
              <w:pStyle w:val="TablebodyleftFinancialsTables"/>
              <w:jc w:val="right"/>
              <w:rPr>
                <w:b/>
                <w:bCs/>
              </w:rPr>
            </w:pPr>
            <w:r w:rsidRPr="009A1654">
              <w:rPr>
                <w:b/>
                <w:bCs/>
              </w:rPr>
              <w:t>1,750</w:t>
            </w:r>
          </w:p>
        </w:tc>
        <w:tc>
          <w:tcPr>
            <w:tcW w:w="1191" w:type="dxa"/>
          </w:tcPr>
          <w:p w14:paraId="75FB3897" w14:textId="77777777" w:rsidR="00B02873" w:rsidRDefault="00B02873" w:rsidP="009A1654">
            <w:pPr>
              <w:pStyle w:val="TablebodyleftFinancialsTables"/>
              <w:jc w:val="right"/>
            </w:pPr>
            <w:r>
              <w:t>2,514</w:t>
            </w:r>
          </w:p>
        </w:tc>
      </w:tr>
      <w:tr w:rsidR="00B02873" w:rsidRPr="00B02873" w14:paraId="07BA42C4" w14:textId="77777777" w:rsidTr="009A1654">
        <w:trPr>
          <w:trHeight w:val="60"/>
        </w:trPr>
        <w:tc>
          <w:tcPr>
            <w:tcW w:w="7257" w:type="dxa"/>
          </w:tcPr>
          <w:p w14:paraId="24D0B6F0" w14:textId="77777777" w:rsidR="00B02873" w:rsidRDefault="00B02873" w:rsidP="009A1654">
            <w:pPr>
              <w:pStyle w:val="TablebodyleftFinancialsTables"/>
            </w:pPr>
            <w:r>
              <w:t>Interest accretion on concessional loans</w:t>
            </w:r>
          </w:p>
        </w:tc>
        <w:tc>
          <w:tcPr>
            <w:tcW w:w="1190" w:type="dxa"/>
          </w:tcPr>
          <w:p w14:paraId="7606DB9E" w14:textId="77777777" w:rsidR="00B02873" w:rsidRPr="009A1654" w:rsidRDefault="00B02873" w:rsidP="009A1654">
            <w:pPr>
              <w:pStyle w:val="TablebodyleftFinancialsTables"/>
              <w:jc w:val="right"/>
              <w:rPr>
                <w:b/>
                <w:bCs/>
              </w:rPr>
            </w:pPr>
            <w:r w:rsidRPr="009A1654">
              <w:rPr>
                <w:b/>
                <w:bCs/>
              </w:rPr>
              <w:t>7,790</w:t>
            </w:r>
          </w:p>
        </w:tc>
        <w:tc>
          <w:tcPr>
            <w:tcW w:w="1191" w:type="dxa"/>
          </w:tcPr>
          <w:p w14:paraId="002432B7" w14:textId="77777777" w:rsidR="00B02873" w:rsidRDefault="00B02873" w:rsidP="009A1654">
            <w:pPr>
              <w:pStyle w:val="TablebodyleftFinancialsTables"/>
              <w:jc w:val="right"/>
            </w:pPr>
            <w:r>
              <w:t>6,360</w:t>
            </w:r>
          </w:p>
        </w:tc>
      </w:tr>
      <w:tr w:rsidR="00B02873" w:rsidRPr="00B02873" w14:paraId="3F02790D" w14:textId="77777777" w:rsidTr="009A1654">
        <w:trPr>
          <w:trHeight w:val="60"/>
        </w:trPr>
        <w:tc>
          <w:tcPr>
            <w:tcW w:w="7257" w:type="dxa"/>
          </w:tcPr>
          <w:p w14:paraId="0FA01A19" w14:textId="77777777" w:rsidR="00B02873" w:rsidRPr="009A1654" w:rsidRDefault="00B02873" w:rsidP="009A1654">
            <w:pPr>
              <w:pStyle w:val="TablebodyleftFinancialsTables"/>
              <w:rPr>
                <w:b/>
                <w:bCs/>
              </w:rPr>
            </w:pPr>
            <w:r w:rsidRPr="009A1654">
              <w:rPr>
                <w:b/>
                <w:bCs/>
              </w:rPr>
              <w:t xml:space="preserve">Total interest income </w:t>
            </w:r>
          </w:p>
        </w:tc>
        <w:tc>
          <w:tcPr>
            <w:tcW w:w="1190" w:type="dxa"/>
          </w:tcPr>
          <w:p w14:paraId="0C15D81D" w14:textId="77777777" w:rsidR="00B02873" w:rsidRPr="009A1654" w:rsidRDefault="00B02873" w:rsidP="009A1654">
            <w:pPr>
              <w:pStyle w:val="TablebodyleftFinancialsTables"/>
              <w:jc w:val="right"/>
              <w:rPr>
                <w:b/>
                <w:bCs/>
              </w:rPr>
            </w:pPr>
            <w:r w:rsidRPr="009A1654">
              <w:rPr>
                <w:b/>
                <w:bCs/>
              </w:rPr>
              <w:t>9,540</w:t>
            </w:r>
          </w:p>
        </w:tc>
        <w:tc>
          <w:tcPr>
            <w:tcW w:w="1191" w:type="dxa"/>
          </w:tcPr>
          <w:p w14:paraId="3D108D1D" w14:textId="77777777" w:rsidR="00B02873" w:rsidRDefault="00B02873" w:rsidP="009A1654">
            <w:pPr>
              <w:pStyle w:val="TablebodyleftFinancialsTables"/>
              <w:jc w:val="right"/>
            </w:pPr>
            <w:r>
              <w:t>8,874</w:t>
            </w:r>
          </w:p>
        </w:tc>
      </w:tr>
    </w:tbl>
    <w:p w14:paraId="5CEAABE8" w14:textId="77777777" w:rsidR="00B02873" w:rsidRDefault="00B02873" w:rsidP="00FE198A"/>
    <w:p w14:paraId="31D1C85C" w14:textId="77777777" w:rsidR="00B02873" w:rsidRDefault="00B02873" w:rsidP="00FE198A">
      <w:r>
        <w:t>Interest income includes interest received on bank term deposits and other investments and the unwinding over time of the discount on financial assets. Interest income is recognised using the effective interest method which allocates the interest over the relevant period.</w:t>
      </w:r>
    </w:p>
    <w:p w14:paraId="58004C89" w14:textId="77777777" w:rsidR="00B02873" w:rsidRDefault="00B02873" w:rsidP="009A1654">
      <w:pPr>
        <w:pStyle w:val="Heading3"/>
      </w:pPr>
      <w:r>
        <w:t>7.2 Borrowings</w:t>
      </w:r>
    </w:p>
    <w:tbl>
      <w:tblPr>
        <w:tblStyle w:val="TableGrid"/>
        <w:tblW w:w="0" w:type="auto"/>
        <w:tblLayout w:type="fixed"/>
        <w:tblLook w:val="0020" w:firstRow="1" w:lastRow="0" w:firstColumn="0" w:lastColumn="0" w:noHBand="0" w:noVBand="0"/>
      </w:tblPr>
      <w:tblGrid>
        <w:gridCol w:w="7257"/>
        <w:gridCol w:w="1190"/>
        <w:gridCol w:w="1191"/>
      </w:tblGrid>
      <w:tr w:rsidR="00B02873" w:rsidRPr="00B02873" w14:paraId="596802BE" w14:textId="77777777" w:rsidTr="009A1654">
        <w:trPr>
          <w:cnfStyle w:val="100000000000" w:firstRow="1" w:lastRow="0" w:firstColumn="0" w:lastColumn="0" w:oddVBand="0" w:evenVBand="0" w:oddHBand="0" w:evenHBand="0" w:firstRowFirstColumn="0" w:firstRowLastColumn="0" w:lastRowFirstColumn="0" w:lastRowLastColumn="0"/>
          <w:trHeight w:val="60"/>
        </w:trPr>
        <w:tc>
          <w:tcPr>
            <w:tcW w:w="7257" w:type="dxa"/>
          </w:tcPr>
          <w:p w14:paraId="1E84F8D1" w14:textId="77777777" w:rsidR="00B02873" w:rsidRPr="00B02873" w:rsidRDefault="00B02873" w:rsidP="009A1654">
            <w:pPr>
              <w:pStyle w:val="TableheadingleftFinancialsTables"/>
            </w:pPr>
          </w:p>
        </w:tc>
        <w:tc>
          <w:tcPr>
            <w:tcW w:w="1190" w:type="dxa"/>
          </w:tcPr>
          <w:p w14:paraId="6E4A239E" w14:textId="77777777" w:rsidR="00B02873" w:rsidRPr="009A1654" w:rsidRDefault="00B02873" w:rsidP="009A1654">
            <w:pPr>
              <w:pStyle w:val="TableheadingleftFinancialsTables"/>
              <w:jc w:val="right"/>
            </w:pPr>
            <w:r w:rsidRPr="009A1654">
              <w:t>2022</w:t>
            </w:r>
            <w:r w:rsidRPr="009A1654">
              <w:br/>
              <w:t>$’000</w:t>
            </w:r>
          </w:p>
        </w:tc>
        <w:tc>
          <w:tcPr>
            <w:tcW w:w="1191" w:type="dxa"/>
          </w:tcPr>
          <w:p w14:paraId="2D455F5B" w14:textId="77777777" w:rsidR="00B02873" w:rsidRDefault="00B02873" w:rsidP="009A1654">
            <w:pPr>
              <w:pStyle w:val="TableheadingleftFinancialsTables"/>
              <w:jc w:val="right"/>
            </w:pPr>
            <w:r>
              <w:t>2021</w:t>
            </w:r>
            <w:r>
              <w:br/>
              <w:t>$’000</w:t>
            </w:r>
          </w:p>
        </w:tc>
      </w:tr>
      <w:tr w:rsidR="00B02873" w:rsidRPr="009A1654" w14:paraId="71D1BB7E" w14:textId="77777777" w:rsidTr="009A1654">
        <w:trPr>
          <w:trHeight w:val="60"/>
        </w:trPr>
        <w:tc>
          <w:tcPr>
            <w:tcW w:w="7257" w:type="dxa"/>
          </w:tcPr>
          <w:p w14:paraId="063E2751" w14:textId="77777777" w:rsidR="00B02873" w:rsidRPr="009A1654" w:rsidRDefault="00B02873" w:rsidP="009A1654">
            <w:pPr>
              <w:pStyle w:val="TablebodyleftFinancialsTables"/>
              <w:rPr>
                <w:rFonts w:asciiTheme="minorHAnsi" w:hAnsiTheme="minorHAnsi" w:cstheme="minorHAnsi"/>
                <w:b/>
                <w:bCs/>
              </w:rPr>
            </w:pPr>
            <w:r w:rsidRPr="009A1654">
              <w:rPr>
                <w:rFonts w:asciiTheme="minorHAnsi" w:hAnsiTheme="minorHAnsi" w:cstheme="minorHAnsi"/>
                <w:b/>
                <w:bCs/>
              </w:rPr>
              <w:t>Current Borrowings</w:t>
            </w:r>
            <w:r w:rsidRPr="009A1654">
              <w:rPr>
                <w:rFonts w:asciiTheme="minorHAnsi" w:hAnsiTheme="minorHAnsi" w:cstheme="minorHAnsi"/>
                <w:b/>
                <w:bCs/>
                <w:vertAlign w:val="superscript"/>
              </w:rPr>
              <w:t>(i)</w:t>
            </w:r>
          </w:p>
        </w:tc>
        <w:tc>
          <w:tcPr>
            <w:tcW w:w="1190" w:type="dxa"/>
          </w:tcPr>
          <w:p w14:paraId="1976FE4F" w14:textId="77777777" w:rsidR="00B02873" w:rsidRPr="009A1654" w:rsidRDefault="00B02873" w:rsidP="009A1654">
            <w:pPr>
              <w:pStyle w:val="TablebodyleftFinancialsTables"/>
              <w:jc w:val="right"/>
              <w:rPr>
                <w:rFonts w:asciiTheme="minorHAnsi" w:hAnsiTheme="minorHAnsi" w:cstheme="minorHAnsi"/>
                <w:b/>
                <w:bCs/>
              </w:rPr>
            </w:pPr>
          </w:p>
        </w:tc>
        <w:tc>
          <w:tcPr>
            <w:tcW w:w="1191" w:type="dxa"/>
          </w:tcPr>
          <w:p w14:paraId="0506D2CD" w14:textId="77777777" w:rsidR="00B02873" w:rsidRPr="009A1654" w:rsidRDefault="00B02873" w:rsidP="009A1654">
            <w:pPr>
              <w:pStyle w:val="TablebodyleftFinancialsTables"/>
              <w:jc w:val="right"/>
              <w:rPr>
                <w:rFonts w:asciiTheme="minorHAnsi" w:hAnsiTheme="minorHAnsi" w:cstheme="minorHAnsi"/>
              </w:rPr>
            </w:pPr>
          </w:p>
        </w:tc>
      </w:tr>
      <w:tr w:rsidR="00B02873" w:rsidRPr="009A1654" w14:paraId="571CE064" w14:textId="77777777" w:rsidTr="009A1654">
        <w:trPr>
          <w:trHeight w:val="60"/>
        </w:trPr>
        <w:tc>
          <w:tcPr>
            <w:tcW w:w="7257" w:type="dxa"/>
          </w:tcPr>
          <w:p w14:paraId="1612B362" w14:textId="77777777" w:rsidR="00B02873" w:rsidRPr="009A1654" w:rsidRDefault="00B02873" w:rsidP="009A1654">
            <w:pPr>
              <w:pStyle w:val="TablebodyleftFinancialsTables"/>
              <w:rPr>
                <w:rFonts w:asciiTheme="minorHAnsi" w:hAnsiTheme="minorHAnsi" w:cstheme="minorHAnsi"/>
              </w:rPr>
            </w:pPr>
            <w:r w:rsidRPr="009A1654">
              <w:rPr>
                <w:rFonts w:asciiTheme="minorHAnsi" w:hAnsiTheme="minorHAnsi" w:cstheme="minorHAnsi"/>
              </w:rPr>
              <w:t>Lease liabilities – motor vehicles</w:t>
            </w:r>
          </w:p>
        </w:tc>
        <w:tc>
          <w:tcPr>
            <w:tcW w:w="1190" w:type="dxa"/>
          </w:tcPr>
          <w:p w14:paraId="66786B93" w14:textId="77777777" w:rsidR="00B02873" w:rsidRPr="009A1654" w:rsidRDefault="00B02873" w:rsidP="009A1654">
            <w:pPr>
              <w:pStyle w:val="TablebodyleftFinancialsTables"/>
              <w:jc w:val="right"/>
              <w:rPr>
                <w:rFonts w:asciiTheme="minorHAnsi" w:hAnsiTheme="minorHAnsi" w:cstheme="minorHAnsi"/>
                <w:b/>
                <w:bCs/>
              </w:rPr>
            </w:pPr>
            <w:r w:rsidRPr="009A1654">
              <w:rPr>
                <w:rFonts w:asciiTheme="minorHAnsi" w:hAnsiTheme="minorHAnsi" w:cstheme="minorHAnsi"/>
                <w:b/>
                <w:bCs/>
              </w:rPr>
              <w:t>16,389</w:t>
            </w:r>
          </w:p>
        </w:tc>
        <w:tc>
          <w:tcPr>
            <w:tcW w:w="1191" w:type="dxa"/>
          </w:tcPr>
          <w:p w14:paraId="34C3D05A" w14:textId="77777777" w:rsidR="00B02873" w:rsidRPr="009A1654" w:rsidRDefault="00B02873" w:rsidP="009A1654">
            <w:pPr>
              <w:pStyle w:val="TablebodyleftFinancialsTables"/>
              <w:jc w:val="right"/>
              <w:rPr>
                <w:rFonts w:asciiTheme="minorHAnsi" w:hAnsiTheme="minorHAnsi" w:cstheme="minorHAnsi"/>
              </w:rPr>
            </w:pPr>
            <w:r w:rsidRPr="009A1654">
              <w:rPr>
                <w:rFonts w:asciiTheme="minorHAnsi" w:hAnsiTheme="minorHAnsi" w:cstheme="minorHAnsi"/>
              </w:rPr>
              <w:t>14,232</w:t>
            </w:r>
          </w:p>
        </w:tc>
      </w:tr>
      <w:tr w:rsidR="00B02873" w:rsidRPr="009A1654" w14:paraId="2DC8A770" w14:textId="77777777" w:rsidTr="009A1654">
        <w:trPr>
          <w:trHeight w:val="60"/>
        </w:trPr>
        <w:tc>
          <w:tcPr>
            <w:tcW w:w="7257" w:type="dxa"/>
          </w:tcPr>
          <w:p w14:paraId="09D9320D" w14:textId="77777777" w:rsidR="00B02873" w:rsidRPr="009A1654" w:rsidRDefault="00B02873" w:rsidP="009A1654">
            <w:pPr>
              <w:pStyle w:val="TablebodyleftFinancialsTables"/>
              <w:rPr>
                <w:rFonts w:asciiTheme="minorHAnsi" w:hAnsiTheme="minorHAnsi" w:cstheme="minorHAnsi"/>
              </w:rPr>
            </w:pPr>
            <w:r w:rsidRPr="009A1654">
              <w:rPr>
                <w:rFonts w:asciiTheme="minorHAnsi" w:hAnsiTheme="minorHAnsi" w:cstheme="minorHAnsi"/>
              </w:rPr>
              <w:t>Lease liabilities – buildings and structures</w:t>
            </w:r>
          </w:p>
        </w:tc>
        <w:tc>
          <w:tcPr>
            <w:tcW w:w="1190" w:type="dxa"/>
          </w:tcPr>
          <w:p w14:paraId="6C61C867" w14:textId="77777777" w:rsidR="00B02873" w:rsidRPr="009A1654" w:rsidRDefault="00B02873" w:rsidP="009A1654">
            <w:pPr>
              <w:pStyle w:val="TablebodyleftFinancialsTables"/>
              <w:jc w:val="right"/>
              <w:rPr>
                <w:rFonts w:asciiTheme="minorHAnsi" w:hAnsiTheme="minorHAnsi" w:cstheme="minorHAnsi"/>
                <w:b/>
                <w:bCs/>
              </w:rPr>
            </w:pPr>
            <w:r w:rsidRPr="009A1654">
              <w:rPr>
                <w:rFonts w:asciiTheme="minorHAnsi" w:hAnsiTheme="minorHAnsi" w:cstheme="minorHAnsi"/>
                <w:b/>
                <w:bCs/>
              </w:rPr>
              <w:t>696</w:t>
            </w:r>
          </w:p>
        </w:tc>
        <w:tc>
          <w:tcPr>
            <w:tcW w:w="1191" w:type="dxa"/>
          </w:tcPr>
          <w:p w14:paraId="7E5213A5" w14:textId="77777777" w:rsidR="00B02873" w:rsidRPr="009A1654" w:rsidRDefault="00B02873" w:rsidP="009A1654">
            <w:pPr>
              <w:pStyle w:val="TablebodyleftFinancialsTables"/>
              <w:jc w:val="right"/>
              <w:rPr>
                <w:rFonts w:asciiTheme="minorHAnsi" w:hAnsiTheme="minorHAnsi" w:cstheme="minorHAnsi"/>
              </w:rPr>
            </w:pPr>
            <w:r w:rsidRPr="009A1654">
              <w:rPr>
                <w:rFonts w:asciiTheme="minorHAnsi" w:hAnsiTheme="minorHAnsi" w:cstheme="minorHAnsi"/>
              </w:rPr>
              <w:t>784</w:t>
            </w:r>
          </w:p>
        </w:tc>
      </w:tr>
      <w:tr w:rsidR="00B02873" w:rsidRPr="009A1654" w14:paraId="1928BC1B" w14:textId="77777777" w:rsidTr="009A1654">
        <w:trPr>
          <w:trHeight w:val="60"/>
        </w:trPr>
        <w:tc>
          <w:tcPr>
            <w:tcW w:w="7257" w:type="dxa"/>
          </w:tcPr>
          <w:p w14:paraId="05CC4F54" w14:textId="77777777" w:rsidR="00B02873" w:rsidRPr="009A1654" w:rsidRDefault="00B02873" w:rsidP="009A1654">
            <w:pPr>
              <w:pStyle w:val="TablebodyleftFinancialsTables"/>
              <w:rPr>
                <w:rFonts w:asciiTheme="minorHAnsi" w:hAnsiTheme="minorHAnsi" w:cstheme="minorHAnsi"/>
                <w:b/>
                <w:bCs/>
              </w:rPr>
            </w:pPr>
            <w:r w:rsidRPr="009A1654">
              <w:rPr>
                <w:rFonts w:asciiTheme="minorHAnsi" w:hAnsiTheme="minorHAnsi" w:cstheme="minorHAnsi"/>
                <w:b/>
                <w:bCs/>
              </w:rPr>
              <w:t xml:space="preserve">Total current borrowings </w:t>
            </w:r>
          </w:p>
        </w:tc>
        <w:tc>
          <w:tcPr>
            <w:tcW w:w="1190" w:type="dxa"/>
          </w:tcPr>
          <w:p w14:paraId="0A0C029D" w14:textId="77777777" w:rsidR="00B02873" w:rsidRPr="009A1654" w:rsidRDefault="00B02873" w:rsidP="009A1654">
            <w:pPr>
              <w:pStyle w:val="TablebodyleftFinancialsTables"/>
              <w:jc w:val="right"/>
              <w:rPr>
                <w:rFonts w:asciiTheme="minorHAnsi" w:hAnsiTheme="minorHAnsi" w:cstheme="minorHAnsi"/>
                <w:b/>
                <w:bCs/>
              </w:rPr>
            </w:pPr>
            <w:r w:rsidRPr="009A1654">
              <w:rPr>
                <w:rFonts w:asciiTheme="minorHAnsi" w:hAnsiTheme="minorHAnsi" w:cstheme="minorHAnsi"/>
                <w:b/>
                <w:bCs/>
              </w:rPr>
              <w:t>17,085</w:t>
            </w:r>
          </w:p>
        </w:tc>
        <w:tc>
          <w:tcPr>
            <w:tcW w:w="1191" w:type="dxa"/>
          </w:tcPr>
          <w:p w14:paraId="09CD0440" w14:textId="77777777" w:rsidR="00B02873" w:rsidRPr="009A1654" w:rsidRDefault="00B02873" w:rsidP="009A1654">
            <w:pPr>
              <w:pStyle w:val="TablebodyleftFinancialsTables"/>
              <w:jc w:val="right"/>
              <w:rPr>
                <w:rFonts w:asciiTheme="minorHAnsi" w:hAnsiTheme="minorHAnsi" w:cstheme="minorHAnsi"/>
              </w:rPr>
            </w:pPr>
            <w:r w:rsidRPr="009A1654">
              <w:rPr>
                <w:rFonts w:asciiTheme="minorHAnsi" w:hAnsiTheme="minorHAnsi" w:cstheme="minorHAnsi"/>
              </w:rPr>
              <w:t>15,016</w:t>
            </w:r>
          </w:p>
        </w:tc>
      </w:tr>
      <w:tr w:rsidR="00B02873" w:rsidRPr="009A1654" w14:paraId="4B9768A2" w14:textId="77777777" w:rsidTr="009A1654">
        <w:trPr>
          <w:trHeight w:val="60"/>
        </w:trPr>
        <w:tc>
          <w:tcPr>
            <w:tcW w:w="7257" w:type="dxa"/>
          </w:tcPr>
          <w:p w14:paraId="4AC51BC5" w14:textId="77777777" w:rsidR="00B02873" w:rsidRPr="009A1654" w:rsidRDefault="00B02873" w:rsidP="009A1654">
            <w:pPr>
              <w:pStyle w:val="TablebodyleftFinancialsTables"/>
              <w:rPr>
                <w:rFonts w:asciiTheme="minorHAnsi" w:hAnsiTheme="minorHAnsi" w:cstheme="minorHAnsi"/>
                <w:b/>
                <w:bCs/>
              </w:rPr>
            </w:pPr>
            <w:r w:rsidRPr="009A1654">
              <w:rPr>
                <w:rFonts w:asciiTheme="minorHAnsi" w:hAnsiTheme="minorHAnsi" w:cstheme="minorHAnsi"/>
                <w:b/>
                <w:bCs/>
              </w:rPr>
              <w:t>Non-current borrowings</w:t>
            </w:r>
            <w:r w:rsidRPr="009A1654">
              <w:rPr>
                <w:rFonts w:asciiTheme="minorHAnsi" w:hAnsiTheme="minorHAnsi" w:cstheme="minorHAnsi"/>
                <w:b/>
                <w:bCs/>
                <w:vertAlign w:val="superscript"/>
              </w:rPr>
              <w:t>(i)</w:t>
            </w:r>
          </w:p>
        </w:tc>
        <w:tc>
          <w:tcPr>
            <w:tcW w:w="1190" w:type="dxa"/>
          </w:tcPr>
          <w:p w14:paraId="06C724BE" w14:textId="77777777" w:rsidR="00B02873" w:rsidRPr="009A1654" w:rsidRDefault="00B02873" w:rsidP="009A1654">
            <w:pPr>
              <w:pStyle w:val="TablebodyleftFinancialsTables"/>
              <w:jc w:val="right"/>
              <w:rPr>
                <w:rFonts w:asciiTheme="minorHAnsi" w:hAnsiTheme="minorHAnsi" w:cstheme="minorHAnsi"/>
                <w:b/>
                <w:bCs/>
              </w:rPr>
            </w:pPr>
          </w:p>
        </w:tc>
        <w:tc>
          <w:tcPr>
            <w:tcW w:w="1191" w:type="dxa"/>
          </w:tcPr>
          <w:p w14:paraId="20D94E23" w14:textId="77777777" w:rsidR="00B02873" w:rsidRPr="009A1654" w:rsidRDefault="00B02873" w:rsidP="009A1654">
            <w:pPr>
              <w:pStyle w:val="TablebodyleftFinancialsTables"/>
              <w:jc w:val="right"/>
              <w:rPr>
                <w:rFonts w:asciiTheme="minorHAnsi" w:hAnsiTheme="minorHAnsi" w:cstheme="minorHAnsi"/>
              </w:rPr>
            </w:pPr>
          </w:p>
        </w:tc>
      </w:tr>
      <w:tr w:rsidR="00B02873" w:rsidRPr="009A1654" w14:paraId="218E3C7B" w14:textId="77777777" w:rsidTr="009A1654">
        <w:trPr>
          <w:trHeight w:val="60"/>
        </w:trPr>
        <w:tc>
          <w:tcPr>
            <w:tcW w:w="7257" w:type="dxa"/>
          </w:tcPr>
          <w:p w14:paraId="0A95F97A" w14:textId="77777777" w:rsidR="00B02873" w:rsidRPr="009A1654" w:rsidRDefault="00B02873" w:rsidP="009A1654">
            <w:pPr>
              <w:pStyle w:val="TablebodyleftFinancialsTables"/>
              <w:rPr>
                <w:rFonts w:asciiTheme="minorHAnsi" w:hAnsiTheme="minorHAnsi" w:cstheme="minorHAnsi"/>
              </w:rPr>
            </w:pPr>
            <w:r w:rsidRPr="009A1654">
              <w:rPr>
                <w:rFonts w:asciiTheme="minorHAnsi" w:hAnsiTheme="minorHAnsi" w:cstheme="minorHAnsi"/>
              </w:rPr>
              <w:t>Lease liabilities – motor vehicles</w:t>
            </w:r>
          </w:p>
        </w:tc>
        <w:tc>
          <w:tcPr>
            <w:tcW w:w="1190" w:type="dxa"/>
          </w:tcPr>
          <w:p w14:paraId="36908301" w14:textId="77777777" w:rsidR="00B02873" w:rsidRPr="009A1654" w:rsidRDefault="00B02873" w:rsidP="009A1654">
            <w:pPr>
              <w:pStyle w:val="TablebodyleftFinancialsTables"/>
              <w:jc w:val="right"/>
              <w:rPr>
                <w:rFonts w:asciiTheme="minorHAnsi" w:hAnsiTheme="minorHAnsi" w:cstheme="minorHAnsi"/>
                <w:b/>
                <w:bCs/>
              </w:rPr>
            </w:pPr>
            <w:r w:rsidRPr="009A1654">
              <w:rPr>
                <w:rFonts w:asciiTheme="minorHAnsi" w:hAnsiTheme="minorHAnsi" w:cstheme="minorHAnsi"/>
                <w:b/>
                <w:bCs/>
              </w:rPr>
              <w:t>31,308</w:t>
            </w:r>
          </w:p>
        </w:tc>
        <w:tc>
          <w:tcPr>
            <w:tcW w:w="1191" w:type="dxa"/>
          </w:tcPr>
          <w:p w14:paraId="60FE945A" w14:textId="77777777" w:rsidR="00B02873" w:rsidRPr="009A1654" w:rsidRDefault="00B02873" w:rsidP="009A1654">
            <w:pPr>
              <w:pStyle w:val="TablebodyleftFinancialsTables"/>
              <w:jc w:val="right"/>
              <w:rPr>
                <w:rFonts w:asciiTheme="minorHAnsi" w:hAnsiTheme="minorHAnsi" w:cstheme="minorHAnsi"/>
              </w:rPr>
            </w:pPr>
            <w:r w:rsidRPr="009A1654">
              <w:rPr>
                <w:rFonts w:asciiTheme="minorHAnsi" w:hAnsiTheme="minorHAnsi" w:cstheme="minorHAnsi"/>
              </w:rPr>
              <w:t>33,829</w:t>
            </w:r>
          </w:p>
        </w:tc>
      </w:tr>
      <w:tr w:rsidR="00B02873" w:rsidRPr="009A1654" w14:paraId="5A4231B3" w14:textId="77777777" w:rsidTr="009A1654">
        <w:trPr>
          <w:trHeight w:val="60"/>
        </w:trPr>
        <w:tc>
          <w:tcPr>
            <w:tcW w:w="7257" w:type="dxa"/>
          </w:tcPr>
          <w:p w14:paraId="68B2F0DB" w14:textId="77777777" w:rsidR="00B02873" w:rsidRPr="009A1654" w:rsidRDefault="00B02873" w:rsidP="009A1654">
            <w:pPr>
              <w:pStyle w:val="TablebodyleftFinancialsTables"/>
              <w:rPr>
                <w:rFonts w:asciiTheme="minorHAnsi" w:hAnsiTheme="minorHAnsi" w:cstheme="minorHAnsi"/>
              </w:rPr>
            </w:pPr>
            <w:r w:rsidRPr="009A1654">
              <w:rPr>
                <w:rFonts w:asciiTheme="minorHAnsi" w:hAnsiTheme="minorHAnsi" w:cstheme="minorHAnsi"/>
              </w:rPr>
              <w:t>Lease liabilities – buildings and structures</w:t>
            </w:r>
          </w:p>
        </w:tc>
        <w:tc>
          <w:tcPr>
            <w:tcW w:w="1190" w:type="dxa"/>
          </w:tcPr>
          <w:p w14:paraId="33CEE7E9" w14:textId="77777777" w:rsidR="00B02873" w:rsidRPr="009A1654" w:rsidRDefault="00B02873" w:rsidP="009A1654">
            <w:pPr>
              <w:pStyle w:val="TablebodyleftFinancialsTables"/>
              <w:jc w:val="right"/>
              <w:rPr>
                <w:rFonts w:asciiTheme="minorHAnsi" w:hAnsiTheme="minorHAnsi" w:cstheme="minorHAnsi"/>
                <w:b/>
                <w:bCs/>
              </w:rPr>
            </w:pPr>
            <w:r w:rsidRPr="009A1654">
              <w:rPr>
                <w:rFonts w:asciiTheme="minorHAnsi" w:hAnsiTheme="minorHAnsi" w:cstheme="minorHAnsi"/>
                <w:b/>
                <w:bCs/>
              </w:rPr>
              <w:t>1,271</w:t>
            </w:r>
          </w:p>
        </w:tc>
        <w:tc>
          <w:tcPr>
            <w:tcW w:w="1191" w:type="dxa"/>
          </w:tcPr>
          <w:p w14:paraId="23A3B422" w14:textId="77777777" w:rsidR="00B02873" w:rsidRPr="009A1654" w:rsidRDefault="00B02873" w:rsidP="009A1654">
            <w:pPr>
              <w:pStyle w:val="TablebodyleftFinancialsTables"/>
              <w:jc w:val="right"/>
              <w:rPr>
                <w:rFonts w:asciiTheme="minorHAnsi" w:hAnsiTheme="minorHAnsi" w:cstheme="minorHAnsi"/>
              </w:rPr>
            </w:pPr>
            <w:r w:rsidRPr="009A1654">
              <w:rPr>
                <w:rFonts w:asciiTheme="minorHAnsi" w:hAnsiTheme="minorHAnsi" w:cstheme="minorHAnsi"/>
              </w:rPr>
              <w:t>1,967</w:t>
            </w:r>
          </w:p>
        </w:tc>
      </w:tr>
      <w:tr w:rsidR="00B02873" w:rsidRPr="009A1654" w14:paraId="5BD0AF00" w14:textId="77777777" w:rsidTr="009A1654">
        <w:trPr>
          <w:trHeight w:val="60"/>
        </w:trPr>
        <w:tc>
          <w:tcPr>
            <w:tcW w:w="7257" w:type="dxa"/>
          </w:tcPr>
          <w:p w14:paraId="38798675" w14:textId="77777777" w:rsidR="00B02873" w:rsidRPr="009A1654" w:rsidRDefault="00B02873" w:rsidP="009A1654">
            <w:pPr>
              <w:pStyle w:val="TablebodyleftFinancialsTables"/>
              <w:rPr>
                <w:rFonts w:asciiTheme="minorHAnsi" w:hAnsiTheme="minorHAnsi" w:cstheme="minorHAnsi"/>
                <w:b/>
                <w:bCs/>
              </w:rPr>
            </w:pPr>
            <w:r w:rsidRPr="009A1654">
              <w:rPr>
                <w:rFonts w:asciiTheme="minorHAnsi" w:hAnsiTheme="minorHAnsi" w:cstheme="minorHAnsi"/>
                <w:b/>
                <w:bCs/>
              </w:rPr>
              <w:t xml:space="preserve">Total non-current borrowings </w:t>
            </w:r>
          </w:p>
        </w:tc>
        <w:tc>
          <w:tcPr>
            <w:tcW w:w="1190" w:type="dxa"/>
          </w:tcPr>
          <w:p w14:paraId="2927F598" w14:textId="77777777" w:rsidR="00B02873" w:rsidRPr="009A1654" w:rsidRDefault="00B02873" w:rsidP="009A1654">
            <w:pPr>
              <w:pStyle w:val="TablebodyleftFinancialsTables"/>
              <w:jc w:val="right"/>
              <w:rPr>
                <w:rFonts w:asciiTheme="minorHAnsi" w:hAnsiTheme="minorHAnsi" w:cstheme="minorHAnsi"/>
                <w:b/>
                <w:bCs/>
              </w:rPr>
            </w:pPr>
            <w:r w:rsidRPr="009A1654">
              <w:rPr>
                <w:rFonts w:asciiTheme="minorHAnsi" w:hAnsiTheme="minorHAnsi" w:cstheme="minorHAnsi"/>
                <w:b/>
                <w:bCs/>
              </w:rPr>
              <w:t>32,579</w:t>
            </w:r>
          </w:p>
        </w:tc>
        <w:tc>
          <w:tcPr>
            <w:tcW w:w="1191" w:type="dxa"/>
          </w:tcPr>
          <w:p w14:paraId="7D059FCE" w14:textId="77777777" w:rsidR="00B02873" w:rsidRPr="009A1654" w:rsidRDefault="00B02873" w:rsidP="009A1654">
            <w:pPr>
              <w:pStyle w:val="TablebodyleftFinancialsTables"/>
              <w:jc w:val="right"/>
              <w:rPr>
                <w:rFonts w:asciiTheme="minorHAnsi" w:hAnsiTheme="minorHAnsi" w:cstheme="minorHAnsi"/>
              </w:rPr>
            </w:pPr>
            <w:r w:rsidRPr="009A1654">
              <w:rPr>
                <w:rFonts w:asciiTheme="minorHAnsi" w:hAnsiTheme="minorHAnsi" w:cstheme="minorHAnsi"/>
              </w:rPr>
              <w:t>35,796</w:t>
            </w:r>
          </w:p>
        </w:tc>
      </w:tr>
      <w:tr w:rsidR="00B02873" w:rsidRPr="009A1654" w14:paraId="37D1E971" w14:textId="77777777" w:rsidTr="009A1654">
        <w:trPr>
          <w:trHeight w:val="60"/>
        </w:trPr>
        <w:tc>
          <w:tcPr>
            <w:tcW w:w="7257" w:type="dxa"/>
          </w:tcPr>
          <w:p w14:paraId="6FD674EE" w14:textId="77777777" w:rsidR="00B02873" w:rsidRPr="009A1654" w:rsidRDefault="00B02873" w:rsidP="009A1654">
            <w:pPr>
              <w:pStyle w:val="TablebodyleftFinancialsTables"/>
              <w:rPr>
                <w:rFonts w:asciiTheme="minorHAnsi" w:hAnsiTheme="minorHAnsi" w:cstheme="minorHAnsi"/>
                <w:b/>
                <w:bCs/>
              </w:rPr>
            </w:pPr>
            <w:r w:rsidRPr="009A1654">
              <w:rPr>
                <w:rFonts w:asciiTheme="minorHAnsi" w:hAnsiTheme="minorHAnsi" w:cstheme="minorHAnsi"/>
                <w:b/>
                <w:bCs/>
              </w:rPr>
              <w:t xml:space="preserve">Total borrowings </w:t>
            </w:r>
          </w:p>
        </w:tc>
        <w:tc>
          <w:tcPr>
            <w:tcW w:w="1190" w:type="dxa"/>
          </w:tcPr>
          <w:p w14:paraId="1150B7D0" w14:textId="77777777" w:rsidR="00B02873" w:rsidRPr="009A1654" w:rsidRDefault="00B02873" w:rsidP="009A1654">
            <w:pPr>
              <w:pStyle w:val="TablebodyleftFinancialsTables"/>
              <w:jc w:val="right"/>
              <w:rPr>
                <w:rFonts w:asciiTheme="minorHAnsi" w:hAnsiTheme="minorHAnsi" w:cstheme="minorHAnsi"/>
                <w:b/>
                <w:bCs/>
              </w:rPr>
            </w:pPr>
            <w:r w:rsidRPr="009A1654">
              <w:rPr>
                <w:rFonts w:asciiTheme="minorHAnsi" w:hAnsiTheme="minorHAnsi" w:cstheme="minorHAnsi"/>
                <w:b/>
                <w:bCs/>
              </w:rPr>
              <w:t>49,664</w:t>
            </w:r>
          </w:p>
        </w:tc>
        <w:tc>
          <w:tcPr>
            <w:tcW w:w="1191" w:type="dxa"/>
          </w:tcPr>
          <w:p w14:paraId="60A86906" w14:textId="77777777" w:rsidR="00B02873" w:rsidRPr="009A1654" w:rsidRDefault="00B02873" w:rsidP="009A1654">
            <w:pPr>
              <w:pStyle w:val="TablebodyleftFinancialsTables"/>
              <w:jc w:val="right"/>
              <w:rPr>
                <w:rFonts w:asciiTheme="minorHAnsi" w:hAnsiTheme="minorHAnsi" w:cstheme="minorHAnsi"/>
              </w:rPr>
            </w:pPr>
            <w:r w:rsidRPr="009A1654">
              <w:rPr>
                <w:rFonts w:asciiTheme="minorHAnsi" w:hAnsiTheme="minorHAnsi" w:cstheme="minorHAnsi"/>
              </w:rPr>
              <w:t>50,812</w:t>
            </w:r>
          </w:p>
        </w:tc>
      </w:tr>
    </w:tbl>
    <w:p w14:paraId="01AB765A" w14:textId="77777777" w:rsidR="00B02873" w:rsidRPr="009A1654" w:rsidRDefault="00B02873" w:rsidP="009A1654">
      <w:pPr>
        <w:pStyle w:val="SourceNote"/>
        <w:spacing w:after="120"/>
        <w:rPr>
          <w:b/>
          <w:bCs/>
        </w:rPr>
      </w:pPr>
      <w:r w:rsidRPr="009A1654">
        <w:rPr>
          <w:b/>
          <w:bCs/>
        </w:rPr>
        <w:t>Note:</w:t>
      </w:r>
    </w:p>
    <w:p w14:paraId="29E818AA" w14:textId="77777777" w:rsidR="00B02873" w:rsidRDefault="00B02873" w:rsidP="001128B1">
      <w:pPr>
        <w:pStyle w:val="SourceNotenumbered"/>
        <w:numPr>
          <w:ilvl w:val="0"/>
          <w:numId w:val="37"/>
        </w:numPr>
        <w:spacing w:after="200"/>
        <w:ind w:left="357" w:hanging="357"/>
      </w:pPr>
      <w:r>
        <w:t>Secured by the leased assets.</w:t>
      </w:r>
    </w:p>
    <w:p w14:paraId="4806ED8E" w14:textId="77777777" w:rsidR="00B02873" w:rsidRDefault="00B02873" w:rsidP="00FE198A">
      <w:r>
        <w:t>Borrowings refer to interest bearing liabilities which are lease liabilities that relate to buildings and structures, and motor vehicles leased through the VicFleet and Fleet Plus lease facilities.</w:t>
      </w:r>
    </w:p>
    <w:p w14:paraId="4CD4291E" w14:textId="3001329E" w:rsidR="00B02873" w:rsidRDefault="00B02873" w:rsidP="00FE198A">
      <w:r>
        <w:t>Borrowings are classified as financial instruments. The department classifies its interest bearing liabilities as financial liabilities at amortised cost subsequent to initial recognition.</w:t>
      </w:r>
    </w:p>
    <w:p w14:paraId="023A3726" w14:textId="77777777" w:rsidR="00B02873" w:rsidRDefault="00B02873" w:rsidP="00FE198A">
      <w:r>
        <w:t>During the current and prior year, there were no defaults and breaches.</w:t>
      </w:r>
    </w:p>
    <w:p w14:paraId="0E6258B7" w14:textId="77777777" w:rsidR="00B02873" w:rsidRDefault="00B02873" w:rsidP="00C4280E">
      <w:pPr>
        <w:pStyle w:val="Heading4"/>
      </w:pPr>
      <w:r>
        <w:lastRenderedPageBreak/>
        <w:t>7.2.1 Maturity analysis of borrowings</w:t>
      </w:r>
    </w:p>
    <w:tbl>
      <w:tblPr>
        <w:tblStyle w:val="TableGrid"/>
        <w:tblW w:w="9747" w:type="dxa"/>
        <w:tblLayout w:type="fixed"/>
        <w:tblLook w:val="0020" w:firstRow="1" w:lastRow="0" w:firstColumn="0" w:lastColumn="0" w:noHBand="0" w:noVBand="0"/>
      </w:tblPr>
      <w:tblGrid>
        <w:gridCol w:w="2494"/>
        <w:gridCol w:w="1021"/>
        <w:gridCol w:w="1020"/>
        <w:gridCol w:w="1130"/>
        <w:gridCol w:w="1020"/>
        <w:gridCol w:w="1021"/>
        <w:gridCol w:w="1020"/>
        <w:gridCol w:w="1021"/>
      </w:tblGrid>
      <w:tr w:rsidR="00B02873" w:rsidRPr="00B02873" w14:paraId="344FEED0" w14:textId="77777777" w:rsidTr="00C4280E">
        <w:trPr>
          <w:cnfStyle w:val="100000000000" w:firstRow="1" w:lastRow="0" w:firstColumn="0" w:lastColumn="0" w:oddVBand="0" w:evenVBand="0" w:oddHBand="0" w:evenHBand="0" w:firstRowFirstColumn="0" w:firstRowLastColumn="0" w:lastRowFirstColumn="0" w:lastRowLastColumn="0"/>
        </w:trPr>
        <w:tc>
          <w:tcPr>
            <w:tcW w:w="2494" w:type="dxa"/>
          </w:tcPr>
          <w:p w14:paraId="3C58FFED" w14:textId="77777777" w:rsidR="00B02873" w:rsidRPr="00B02873" w:rsidRDefault="00B02873" w:rsidP="00C4280E">
            <w:pPr>
              <w:pStyle w:val="TableheadingleftFinancialsTables"/>
            </w:pPr>
          </w:p>
        </w:tc>
        <w:tc>
          <w:tcPr>
            <w:tcW w:w="1021" w:type="dxa"/>
          </w:tcPr>
          <w:p w14:paraId="3D5EEB5C" w14:textId="75260EBB" w:rsidR="00B02873" w:rsidRPr="00B02873" w:rsidRDefault="00C4280E" w:rsidP="00C4280E">
            <w:pPr>
              <w:pStyle w:val="TableheadingleftFinancialsTables"/>
              <w:jc w:val="right"/>
            </w:pPr>
            <w:r>
              <w:t xml:space="preserve">Carrying amount </w:t>
            </w:r>
            <w:r>
              <w:br/>
              <w:t>$’000</w:t>
            </w:r>
          </w:p>
        </w:tc>
        <w:tc>
          <w:tcPr>
            <w:tcW w:w="1020" w:type="dxa"/>
          </w:tcPr>
          <w:p w14:paraId="7D77EE1A" w14:textId="540829BE" w:rsidR="00B02873" w:rsidRPr="00B02873" w:rsidRDefault="00C4280E" w:rsidP="00C4280E">
            <w:pPr>
              <w:pStyle w:val="TableheadingleftFinancialsTables"/>
              <w:jc w:val="right"/>
            </w:pPr>
            <w:r>
              <w:t>Nominal amount</w:t>
            </w:r>
            <w:r>
              <w:br/>
              <w:t>$‘000</w:t>
            </w:r>
          </w:p>
        </w:tc>
        <w:tc>
          <w:tcPr>
            <w:tcW w:w="1130" w:type="dxa"/>
          </w:tcPr>
          <w:p w14:paraId="7CF658CC" w14:textId="2BE879A5" w:rsidR="00B02873" w:rsidRDefault="00C4280E" w:rsidP="00C4280E">
            <w:pPr>
              <w:pStyle w:val="TableheadingleftFinancialsTables"/>
              <w:jc w:val="right"/>
            </w:pPr>
            <w:r>
              <w:t xml:space="preserve">Maturity dates </w:t>
            </w:r>
            <w:r w:rsidR="00B02873">
              <w:t>Less than 1 month</w:t>
            </w:r>
            <w:r w:rsidR="00B02873">
              <w:br/>
              <w:t>$‘000</w:t>
            </w:r>
          </w:p>
        </w:tc>
        <w:tc>
          <w:tcPr>
            <w:tcW w:w="1020" w:type="dxa"/>
          </w:tcPr>
          <w:p w14:paraId="11B985F8" w14:textId="31C72007" w:rsidR="00B02873" w:rsidRDefault="00C4280E" w:rsidP="00C4280E">
            <w:pPr>
              <w:pStyle w:val="TableheadingleftFinancialsTables"/>
              <w:jc w:val="right"/>
            </w:pPr>
            <w:r>
              <w:t xml:space="preserve">Maturity dates </w:t>
            </w:r>
            <w:r w:rsidR="00B02873">
              <w:t>1 month – 3 months</w:t>
            </w:r>
            <w:r w:rsidR="00B02873">
              <w:br/>
              <w:t>$‘000</w:t>
            </w:r>
          </w:p>
        </w:tc>
        <w:tc>
          <w:tcPr>
            <w:tcW w:w="1021" w:type="dxa"/>
          </w:tcPr>
          <w:p w14:paraId="15553850" w14:textId="3464A57A" w:rsidR="00B02873" w:rsidRDefault="00C4280E" w:rsidP="00C4280E">
            <w:pPr>
              <w:pStyle w:val="TableheadingleftFinancialsTables"/>
              <w:jc w:val="right"/>
            </w:pPr>
            <w:r>
              <w:t xml:space="preserve">Maturity dates </w:t>
            </w:r>
            <w:r w:rsidR="00B02873">
              <w:t>3 months – 1 year</w:t>
            </w:r>
            <w:r w:rsidR="00B02873">
              <w:br/>
              <w:t>$‘000</w:t>
            </w:r>
          </w:p>
        </w:tc>
        <w:tc>
          <w:tcPr>
            <w:tcW w:w="1020" w:type="dxa"/>
          </w:tcPr>
          <w:p w14:paraId="015E17E7" w14:textId="324F49FA" w:rsidR="00B02873" w:rsidRDefault="00C4280E" w:rsidP="00C4280E">
            <w:pPr>
              <w:pStyle w:val="TableheadingleftFinancialsTables"/>
              <w:jc w:val="right"/>
            </w:pPr>
            <w:r>
              <w:t xml:space="preserve">Maturity dates </w:t>
            </w:r>
            <w:r w:rsidR="00B02873">
              <w:t>1–5 years</w:t>
            </w:r>
            <w:r w:rsidR="00B02873">
              <w:br/>
              <w:t>$‘000</w:t>
            </w:r>
          </w:p>
        </w:tc>
        <w:tc>
          <w:tcPr>
            <w:tcW w:w="1021" w:type="dxa"/>
          </w:tcPr>
          <w:p w14:paraId="11C7AD4C" w14:textId="7762516B" w:rsidR="00B02873" w:rsidRDefault="00C4280E" w:rsidP="00C4280E">
            <w:pPr>
              <w:pStyle w:val="TableheadingleftFinancialsTables"/>
              <w:jc w:val="right"/>
            </w:pPr>
            <w:r>
              <w:t xml:space="preserve">Maturity dates </w:t>
            </w:r>
            <w:r w:rsidR="00B02873">
              <w:t>5+ years</w:t>
            </w:r>
            <w:r w:rsidR="00B02873">
              <w:br/>
              <w:t>$‘000</w:t>
            </w:r>
          </w:p>
        </w:tc>
      </w:tr>
      <w:tr w:rsidR="00B02873" w:rsidRPr="00B02873" w14:paraId="6ECE1540" w14:textId="77777777" w:rsidTr="00C4280E">
        <w:tc>
          <w:tcPr>
            <w:tcW w:w="2494" w:type="dxa"/>
          </w:tcPr>
          <w:p w14:paraId="79897B5C" w14:textId="77777777" w:rsidR="00B02873" w:rsidRPr="00C4280E" w:rsidRDefault="00B02873" w:rsidP="00C4280E">
            <w:pPr>
              <w:pStyle w:val="TablebodyleftFinancialsTables"/>
              <w:keepNext/>
              <w:rPr>
                <w:b/>
                <w:bCs/>
              </w:rPr>
            </w:pPr>
            <w:r w:rsidRPr="00C4280E">
              <w:rPr>
                <w:b/>
                <w:bCs/>
              </w:rPr>
              <w:t>2022</w:t>
            </w:r>
          </w:p>
        </w:tc>
        <w:tc>
          <w:tcPr>
            <w:tcW w:w="1021" w:type="dxa"/>
          </w:tcPr>
          <w:p w14:paraId="2A4E8028" w14:textId="77777777" w:rsidR="00B02873" w:rsidRPr="00B02873" w:rsidRDefault="00B02873" w:rsidP="00C4280E">
            <w:pPr>
              <w:pStyle w:val="TablebodyleftFinancialsTables"/>
              <w:keepNext/>
              <w:jc w:val="right"/>
              <w:rPr>
                <w:rFonts w:ascii="VIC Bold Italic" w:hAnsi="VIC Bold Italic" w:cs="Times New Roman"/>
              </w:rPr>
            </w:pPr>
          </w:p>
        </w:tc>
        <w:tc>
          <w:tcPr>
            <w:tcW w:w="1020" w:type="dxa"/>
          </w:tcPr>
          <w:p w14:paraId="209746D7" w14:textId="77777777" w:rsidR="00B02873" w:rsidRPr="00B02873" w:rsidRDefault="00B02873" w:rsidP="00C4280E">
            <w:pPr>
              <w:pStyle w:val="TablebodyleftFinancialsTables"/>
              <w:keepNext/>
              <w:jc w:val="right"/>
              <w:rPr>
                <w:rFonts w:ascii="VIC Bold Italic" w:hAnsi="VIC Bold Italic" w:cs="Times New Roman"/>
              </w:rPr>
            </w:pPr>
          </w:p>
        </w:tc>
        <w:tc>
          <w:tcPr>
            <w:tcW w:w="1130" w:type="dxa"/>
          </w:tcPr>
          <w:p w14:paraId="66856472" w14:textId="77777777" w:rsidR="00B02873" w:rsidRPr="00B02873" w:rsidRDefault="00B02873" w:rsidP="00C4280E">
            <w:pPr>
              <w:pStyle w:val="TablebodyleftFinancialsTables"/>
              <w:keepNext/>
              <w:jc w:val="right"/>
              <w:rPr>
                <w:rFonts w:ascii="VIC Bold Italic" w:hAnsi="VIC Bold Italic" w:cs="Times New Roman"/>
              </w:rPr>
            </w:pPr>
          </w:p>
        </w:tc>
        <w:tc>
          <w:tcPr>
            <w:tcW w:w="1020" w:type="dxa"/>
          </w:tcPr>
          <w:p w14:paraId="266B480D" w14:textId="77777777" w:rsidR="00B02873" w:rsidRPr="00B02873" w:rsidRDefault="00B02873" w:rsidP="00C4280E">
            <w:pPr>
              <w:pStyle w:val="TablebodyleftFinancialsTables"/>
              <w:keepNext/>
              <w:jc w:val="right"/>
              <w:rPr>
                <w:rFonts w:ascii="VIC Bold Italic" w:hAnsi="VIC Bold Italic" w:cs="Times New Roman"/>
              </w:rPr>
            </w:pPr>
          </w:p>
        </w:tc>
        <w:tc>
          <w:tcPr>
            <w:tcW w:w="1021" w:type="dxa"/>
          </w:tcPr>
          <w:p w14:paraId="7CB7DE01" w14:textId="77777777" w:rsidR="00B02873" w:rsidRPr="00B02873" w:rsidRDefault="00B02873" w:rsidP="00C4280E">
            <w:pPr>
              <w:pStyle w:val="TablebodyleftFinancialsTables"/>
              <w:keepNext/>
              <w:jc w:val="right"/>
              <w:rPr>
                <w:rFonts w:ascii="VIC Bold Italic" w:hAnsi="VIC Bold Italic" w:cs="Times New Roman"/>
              </w:rPr>
            </w:pPr>
          </w:p>
        </w:tc>
        <w:tc>
          <w:tcPr>
            <w:tcW w:w="1020" w:type="dxa"/>
          </w:tcPr>
          <w:p w14:paraId="34CCD0EA" w14:textId="77777777" w:rsidR="00B02873" w:rsidRPr="00B02873" w:rsidRDefault="00B02873" w:rsidP="00C4280E">
            <w:pPr>
              <w:pStyle w:val="TablebodyleftFinancialsTables"/>
              <w:keepNext/>
              <w:jc w:val="right"/>
              <w:rPr>
                <w:rFonts w:ascii="VIC Bold Italic" w:hAnsi="VIC Bold Italic" w:cs="Times New Roman"/>
              </w:rPr>
            </w:pPr>
          </w:p>
        </w:tc>
        <w:tc>
          <w:tcPr>
            <w:tcW w:w="1021" w:type="dxa"/>
          </w:tcPr>
          <w:p w14:paraId="307760EC" w14:textId="77777777" w:rsidR="00B02873" w:rsidRPr="00B02873" w:rsidRDefault="00B02873" w:rsidP="00C4280E">
            <w:pPr>
              <w:pStyle w:val="TablebodyleftFinancialsTables"/>
              <w:keepNext/>
              <w:jc w:val="right"/>
              <w:rPr>
                <w:rFonts w:ascii="VIC Bold Italic" w:hAnsi="VIC Bold Italic" w:cs="Times New Roman"/>
              </w:rPr>
            </w:pPr>
          </w:p>
        </w:tc>
      </w:tr>
      <w:tr w:rsidR="00B02873" w:rsidRPr="00B02873" w14:paraId="0F1B587B" w14:textId="77777777" w:rsidTr="00C4280E">
        <w:tc>
          <w:tcPr>
            <w:tcW w:w="2494" w:type="dxa"/>
          </w:tcPr>
          <w:p w14:paraId="73121815" w14:textId="77777777" w:rsidR="00B02873" w:rsidRDefault="00B02873" w:rsidP="00C4280E">
            <w:pPr>
              <w:pStyle w:val="TablebodyleftFinancialsTables"/>
              <w:keepNext/>
            </w:pPr>
            <w:r>
              <w:t>Lease liabilities</w:t>
            </w:r>
          </w:p>
        </w:tc>
        <w:tc>
          <w:tcPr>
            <w:tcW w:w="1021" w:type="dxa"/>
          </w:tcPr>
          <w:p w14:paraId="1832C3C2" w14:textId="77777777" w:rsidR="00B02873" w:rsidRPr="00C4280E" w:rsidRDefault="00B02873" w:rsidP="00C4280E">
            <w:pPr>
              <w:pStyle w:val="TablebodyleftFinancialsTables"/>
              <w:keepNext/>
              <w:jc w:val="right"/>
              <w:rPr>
                <w:b/>
                <w:bCs/>
              </w:rPr>
            </w:pPr>
            <w:r w:rsidRPr="00C4280E">
              <w:rPr>
                <w:b/>
                <w:bCs/>
              </w:rPr>
              <w:t xml:space="preserve"> 49,664</w:t>
            </w:r>
          </w:p>
        </w:tc>
        <w:tc>
          <w:tcPr>
            <w:tcW w:w="1020" w:type="dxa"/>
          </w:tcPr>
          <w:p w14:paraId="6E8CB321" w14:textId="77777777" w:rsidR="00B02873" w:rsidRPr="00C4280E" w:rsidRDefault="00B02873" w:rsidP="00C4280E">
            <w:pPr>
              <w:pStyle w:val="TablebodyleftFinancialsTables"/>
              <w:keepNext/>
              <w:jc w:val="right"/>
              <w:rPr>
                <w:b/>
                <w:bCs/>
              </w:rPr>
            </w:pPr>
            <w:r w:rsidRPr="00C4280E">
              <w:rPr>
                <w:b/>
                <w:bCs/>
              </w:rPr>
              <w:t>52,107</w:t>
            </w:r>
          </w:p>
        </w:tc>
        <w:tc>
          <w:tcPr>
            <w:tcW w:w="1130" w:type="dxa"/>
          </w:tcPr>
          <w:p w14:paraId="26C0E809" w14:textId="77777777" w:rsidR="00B02873" w:rsidRPr="00C4280E" w:rsidRDefault="00B02873" w:rsidP="00C4280E">
            <w:pPr>
              <w:pStyle w:val="TablebodyleftFinancialsTables"/>
              <w:keepNext/>
              <w:jc w:val="right"/>
              <w:rPr>
                <w:b/>
                <w:bCs/>
              </w:rPr>
            </w:pPr>
            <w:r w:rsidRPr="00C4280E">
              <w:rPr>
                <w:b/>
                <w:bCs/>
              </w:rPr>
              <w:t xml:space="preserve">5,111 </w:t>
            </w:r>
          </w:p>
        </w:tc>
        <w:tc>
          <w:tcPr>
            <w:tcW w:w="1020" w:type="dxa"/>
          </w:tcPr>
          <w:p w14:paraId="51925C3D" w14:textId="77777777" w:rsidR="00B02873" w:rsidRPr="00C4280E" w:rsidRDefault="00B02873" w:rsidP="00C4280E">
            <w:pPr>
              <w:pStyle w:val="TablebodyleftFinancialsTables"/>
              <w:keepNext/>
              <w:jc w:val="right"/>
              <w:rPr>
                <w:b/>
                <w:bCs/>
              </w:rPr>
            </w:pPr>
            <w:r w:rsidRPr="00C4280E">
              <w:rPr>
                <w:b/>
                <w:bCs/>
              </w:rPr>
              <w:t xml:space="preserve">2,381 </w:t>
            </w:r>
          </w:p>
        </w:tc>
        <w:tc>
          <w:tcPr>
            <w:tcW w:w="1021" w:type="dxa"/>
          </w:tcPr>
          <w:p w14:paraId="76E9681F" w14:textId="77777777" w:rsidR="00B02873" w:rsidRPr="00C4280E" w:rsidRDefault="00B02873" w:rsidP="00C4280E">
            <w:pPr>
              <w:pStyle w:val="TablebodyleftFinancialsTables"/>
              <w:keepNext/>
              <w:jc w:val="right"/>
              <w:rPr>
                <w:b/>
                <w:bCs/>
              </w:rPr>
            </w:pPr>
            <w:r w:rsidRPr="00C4280E">
              <w:rPr>
                <w:b/>
                <w:bCs/>
              </w:rPr>
              <w:t xml:space="preserve"> 10,684 </w:t>
            </w:r>
          </w:p>
        </w:tc>
        <w:tc>
          <w:tcPr>
            <w:tcW w:w="1020" w:type="dxa"/>
          </w:tcPr>
          <w:p w14:paraId="734C76E7" w14:textId="77777777" w:rsidR="00B02873" w:rsidRPr="00C4280E" w:rsidRDefault="00B02873" w:rsidP="00C4280E">
            <w:pPr>
              <w:pStyle w:val="TablebodyleftFinancialsTables"/>
              <w:keepNext/>
              <w:jc w:val="right"/>
              <w:rPr>
                <w:b/>
                <w:bCs/>
              </w:rPr>
            </w:pPr>
            <w:r w:rsidRPr="00C4280E">
              <w:rPr>
                <w:b/>
                <w:bCs/>
              </w:rPr>
              <w:t xml:space="preserve">33,931 </w:t>
            </w:r>
          </w:p>
        </w:tc>
        <w:tc>
          <w:tcPr>
            <w:tcW w:w="1021" w:type="dxa"/>
          </w:tcPr>
          <w:p w14:paraId="577A6FAE" w14:textId="77777777" w:rsidR="00B02873" w:rsidRPr="00C4280E" w:rsidRDefault="00B02873" w:rsidP="00C4280E">
            <w:pPr>
              <w:pStyle w:val="TablebodyleftFinancialsTables"/>
              <w:keepNext/>
              <w:jc w:val="right"/>
              <w:rPr>
                <w:b/>
                <w:bCs/>
              </w:rPr>
            </w:pPr>
            <w:r w:rsidRPr="00C4280E">
              <w:rPr>
                <w:b/>
                <w:bCs/>
              </w:rPr>
              <w:t>–</w:t>
            </w:r>
          </w:p>
        </w:tc>
      </w:tr>
      <w:tr w:rsidR="00B02873" w:rsidRPr="00B02873" w14:paraId="15A9B603" w14:textId="77777777" w:rsidTr="00C4280E">
        <w:tc>
          <w:tcPr>
            <w:tcW w:w="2494" w:type="dxa"/>
          </w:tcPr>
          <w:p w14:paraId="271E1A3C" w14:textId="77777777" w:rsidR="00B02873" w:rsidRDefault="00B02873" w:rsidP="00C4280E">
            <w:pPr>
              <w:pStyle w:val="TablebodyleftFinancialsTables"/>
            </w:pPr>
            <w:r>
              <w:t>Total</w:t>
            </w:r>
          </w:p>
        </w:tc>
        <w:tc>
          <w:tcPr>
            <w:tcW w:w="1021" w:type="dxa"/>
          </w:tcPr>
          <w:p w14:paraId="48E14870" w14:textId="77777777" w:rsidR="00B02873" w:rsidRPr="00C4280E" w:rsidRDefault="00B02873" w:rsidP="00C4280E">
            <w:pPr>
              <w:pStyle w:val="TablebodyleftFinancialsTables"/>
              <w:jc w:val="right"/>
              <w:rPr>
                <w:b/>
                <w:bCs/>
              </w:rPr>
            </w:pPr>
            <w:r w:rsidRPr="00C4280E">
              <w:rPr>
                <w:b/>
                <w:bCs/>
              </w:rPr>
              <w:t>49,664</w:t>
            </w:r>
          </w:p>
        </w:tc>
        <w:tc>
          <w:tcPr>
            <w:tcW w:w="1020" w:type="dxa"/>
          </w:tcPr>
          <w:p w14:paraId="05A4C5F6" w14:textId="77777777" w:rsidR="00B02873" w:rsidRPr="00C4280E" w:rsidRDefault="00B02873" w:rsidP="00C4280E">
            <w:pPr>
              <w:pStyle w:val="TablebodyleftFinancialsTables"/>
              <w:jc w:val="right"/>
              <w:rPr>
                <w:b/>
                <w:bCs/>
              </w:rPr>
            </w:pPr>
            <w:r w:rsidRPr="00C4280E">
              <w:rPr>
                <w:b/>
                <w:bCs/>
              </w:rPr>
              <w:t>52,107</w:t>
            </w:r>
          </w:p>
        </w:tc>
        <w:tc>
          <w:tcPr>
            <w:tcW w:w="1130" w:type="dxa"/>
          </w:tcPr>
          <w:p w14:paraId="1D4B169B" w14:textId="77777777" w:rsidR="00B02873" w:rsidRPr="00C4280E" w:rsidRDefault="00B02873" w:rsidP="00C4280E">
            <w:pPr>
              <w:pStyle w:val="TablebodyleftFinancialsTables"/>
              <w:jc w:val="right"/>
              <w:rPr>
                <w:b/>
                <w:bCs/>
              </w:rPr>
            </w:pPr>
            <w:r w:rsidRPr="00C4280E">
              <w:rPr>
                <w:b/>
                <w:bCs/>
              </w:rPr>
              <w:t>5,111</w:t>
            </w:r>
          </w:p>
        </w:tc>
        <w:tc>
          <w:tcPr>
            <w:tcW w:w="1020" w:type="dxa"/>
          </w:tcPr>
          <w:p w14:paraId="64AF008A" w14:textId="77777777" w:rsidR="00B02873" w:rsidRPr="00C4280E" w:rsidRDefault="00B02873" w:rsidP="00C4280E">
            <w:pPr>
              <w:pStyle w:val="TablebodyleftFinancialsTables"/>
              <w:jc w:val="right"/>
              <w:rPr>
                <w:b/>
                <w:bCs/>
              </w:rPr>
            </w:pPr>
            <w:r w:rsidRPr="00C4280E">
              <w:rPr>
                <w:b/>
                <w:bCs/>
              </w:rPr>
              <w:t>2,381</w:t>
            </w:r>
          </w:p>
        </w:tc>
        <w:tc>
          <w:tcPr>
            <w:tcW w:w="1021" w:type="dxa"/>
          </w:tcPr>
          <w:p w14:paraId="28B48BDF" w14:textId="77777777" w:rsidR="00B02873" w:rsidRPr="00C4280E" w:rsidRDefault="00B02873" w:rsidP="00C4280E">
            <w:pPr>
              <w:pStyle w:val="TablebodyleftFinancialsTables"/>
              <w:jc w:val="right"/>
              <w:rPr>
                <w:b/>
                <w:bCs/>
              </w:rPr>
            </w:pPr>
            <w:r w:rsidRPr="00C4280E">
              <w:rPr>
                <w:b/>
                <w:bCs/>
              </w:rPr>
              <w:t>10,684</w:t>
            </w:r>
          </w:p>
        </w:tc>
        <w:tc>
          <w:tcPr>
            <w:tcW w:w="1020" w:type="dxa"/>
          </w:tcPr>
          <w:p w14:paraId="3166A668" w14:textId="77777777" w:rsidR="00B02873" w:rsidRPr="00C4280E" w:rsidRDefault="00B02873" w:rsidP="00C4280E">
            <w:pPr>
              <w:pStyle w:val="TablebodyleftFinancialsTables"/>
              <w:jc w:val="right"/>
              <w:rPr>
                <w:b/>
                <w:bCs/>
              </w:rPr>
            </w:pPr>
            <w:r w:rsidRPr="00C4280E">
              <w:rPr>
                <w:b/>
                <w:bCs/>
              </w:rPr>
              <w:t>33,931</w:t>
            </w:r>
          </w:p>
        </w:tc>
        <w:tc>
          <w:tcPr>
            <w:tcW w:w="1021" w:type="dxa"/>
          </w:tcPr>
          <w:p w14:paraId="4A0AA6B1" w14:textId="77777777" w:rsidR="00B02873" w:rsidRPr="00C4280E" w:rsidRDefault="00B02873" w:rsidP="00C4280E">
            <w:pPr>
              <w:pStyle w:val="TablebodyleftFinancialsTables"/>
              <w:jc w:val="right"/>
              <w:rPr>
                <w:b/>
                <w:bCs/>
              </w:rPr>
            </w:pPr>
            <w:r w:rsidRPr="00C4280E">
              <w:rPr>
                <w:b/>
                <w:bCs/>
              </w:rPr>
              <w:t>–</w:t>
            </w:r>
          </w:p>
        </w:tc>
      </w:tr>
      <w:tr w:rsidR="00B02873" w:rsidRPr="00B02873" w14:paraId="1976DD15" w14:textId="77777777" w:rsidTr="00C4280E">
        <w:tc>
          <w:tcPr>
            <w:tcW w:w="2494" w:type="dxa"/>
          </w:tcPr>
          <w:p w14:paraId="2AB83F2C" w14:textId="77777777" w:rsidR="00B02873" w:rsidRDefault="00B02873" w:rsidP="00C4280E">
            <w:pPr>
              <w:pStyle w:val="TablebodyleftFinancialsTables"/>
            </w:pPr>
            <w:r>
              <w:t>2021</w:t>
            </w:r>
          </w:p>
        </w:tc>
        <w:tc>
          <w:tcPr>
            <w:tcW w:w="1021" w:type="dxa"/>
          </w:tcPr>
          <w:p w14:paraId="795C49A8" w14:textId="77777777" w:rsidR="00B02873" w:rsidRPr="00B02873" w:rsidRDefault="00B02873" w:rsidP="00C4280E">
            <w:pPr>
              <w:pStyle w:val="TablebodyleftFinancialsTables"/>
              <w:jc w:val="right"/>
              <w:rPr>
                <w:rFonts w:ascii="VIC Bold Italic" w:hAnsi="VIC Bold Italic" w:cs="Times New Roman"/>
              </w:rPr>
            </w:pPr>
          </w:p>
        </w:tc>
        <w:tc>
          <w:tcPr>
            <w:tcW w:w="1020" w:type="dxa"/>
          </w:tcPr>
          <w:p w14:paraId="6482A798" w14:textId="77777777" w:rsidR="00B02873" w:rsidRPr="00B02873" w:rsidRDefault="00B02873" w:rsidP="00C4280E">
            <w:pPr>
              <w:pStyle w:val="TablebodyleftFinancialsTables"/>
              <w:jc w:val="right"/>
              <w:rPr>
                <w:rFonts w:ascii="VIC Bold Italic" w:hAnsi="VIC Bold Italic" w:cs="Times New Roman"/>
              </w:rPr>
            </w:pPr>
          </w:p>
        </w:tc>
        <w:tc>
          <w:tcPr>
            <w:tcW w:w="1130" w:type="dxa"/>
          </w:tcPr>
          <w:p w14:paraId="03644BE9" w14:textId="77777777" w:rsidR="00B02873" w:rsidRPr="00B02873" w:rsidRDefault="00B02873" w:rsidP="00C4280E">
            <w:pPr>
              <w:pStyle w:val="TablebodyleftFinancialsTables"/>
              <w:jc w:val="right"/>
              <w:rPr>
                <w:rFonts w:ascii="VIC Bold Italic" w:hAnsi="VIC Bold Italic" w:cs="Times New Roman"/>
              </w:rPr>
            </w:pPr>
          </w:p>
        </w:tc>
        <w:tc>
          <w:tcPr>
            <w:tcW w:w="1020" w:type="dxa"/>
          </w:tcPr>
          <w:p w14:paraId="39C0ED61" w14:textId="77777777" w:rsidR="00B02873" w:rsidRPr="00B02873" w:rsidRDefault="00B02873" w:rsidP="00C4280E">
            <w:pPr>
              <w:pStyle w:val="TablebodyleftFinancialsTables"/>
              <w:jc w:val="right"/>
              <w:rPr>
                <w:rFonts w:ascii="VIC Bold Italic" w:hAnsi="VIC Bold Italic" w:cs="Times New Roman"/>
              </w:rPr>
            </w:pPr>
          </w:p>
        </w:tc>
        <w:tc>
          <w:tcPr>
            <w:tcW w:w="1021" w:type="dxa"/>
          </w:tcPr>
          <w:p w14:paraId="395F83DF" w14:textId="77777777" w:rsidR="00B02873" w:rsidRPr="00B02873" w:rsidRDefault="00B02873" w:rsidP="00C4280E">
            <w:pPr>
              <w:pStyle w:val="TablebodyleftFinancialsTables"/>
              <w:jc w:val="right"/>
              <w:rPr>
                <w:rFonts w:ascii="VIC Bold Italic" w:hAnsi="VIC Bold Italic" w:cs="Times New Roman"/>
              </w:rPr>
            </w:pPr>
          </w:p>
        </w:tc>
        <w:tc>
          <w:tcPr>
            <w:tcW w:w="1020" w:type="dxa"/>
          </w:tcPr>
          <w:p w14:paraId="2052CF7D" w14:textId="77777777" w:rsidR="00B02873" w:rsidRPr="00B02873" w:rsidRDefault="00B02873" w:rsidP="00C4280E">
            <w:pPr>
              <w:pStyle w:val="TablebodyleftFinancialsTables"/>
              <w:jc w:val="right"/>
              <w:rPr>
                <w:rFonts w:ascii="VIC Bold Italic" w:hAnsi="VIC Bold Italic" w:cs="Times New Roman"/>
              </w:rPr>
            </w:pPr>
          </w:p>
        </w:tc>
        <w:tc>
          <w:tcPr>
            <w:tcW w:w="1021" w:type="dxa"/>
          </w:tcPr>
          <w:p w14:paraId="23EEC135" w14:textId="77777777" w:rsidR="00B02873" w:rsidRPr="00B02873" w:rsidRDefault="00B02873" w:rsidP="00C4280E">
            <w:pPr>
              <w:pStyle w:val="TablebodyleftFinancialsTables"/>
              <w:jc w:val="right"/>
              <w:rPr>
                <w:rFonts w:ascii="VIC Bold Italic" w:hAnsi="VIC Bold Italic" w:cs="Times New Roman"/>
              </w:rPr>
            </w:pPr>
          </w:p>
        </w:tc>
      </w:tr>
      <w:tr w:rsidR="00B02873" w:rsidRPr="00B02873" w14:paraId="43E75263" w14:textId="77777777" w:rsidTr="00C4280E">
        <w:tc>
          <w:tcPr>
            <w:tcW w:w="2494" w:type="dxa"/>
          </w:tcPr>
          <w:p w14:paraId="000C2568" w14:textId="77777777" w:rsidR="00B02873" w:rsidRDefault="00B02873" w:rsidP="00C4280E">
            <w:pPr>
              <w:pStyle w:val="TablebodyleftFinancialsTables"/>
            </w:pPr>
            <w:r>
              <w:t>Lease liabilities</w:t>
            </w:r>
          </w:p>
        </w:tc>
        <w:tc>
          <w:tcPr>
            <w:tcW w:w="1021" w:type="dxa"/>
          </w:tcPr>
          <w:p w14:paraId="6D03B1CA" w14:textId="77777777" w:rsidR="00B02873" w:rsidRDefault="00B02873" w:rsidP="00C4280E">
            <w:pPr>
              <w:pStyle w:val="TablebodyleftFinancialsTables"/>
              <w:jc w:val="right"/>
            </w:pPr>
            <w:r>
              <w:t xml:space="preserve"> 50,812 </w:t>
            </w:r>
          </w:p>
        </w:tc>
        <w:tc>
          <w:tcPr>
            <w:tcW w:w="1020" w:type="dxa"/>
          </w:tcPr>
          <w:p w14:paraId="41C87644" w14:textId="77777777" w:rsidR="00B02873" w:rsidRDefault="00B02873" w:rsidP="00C4280E">
            <w:pPr>
              <w:pStyle w:val="TablebodyleftFinancialsTables"/>
              <w:jc w:val="right"/>
            </w:pPr>
            <w:r>
              <w:t>53,212</w:t>
            </w:r>
          </w:p>
        </w:tc>
        <w:tc>
          <w:tcPr>
            <w:tcW w:w="1130" w:type="dxa"/>
          </w:tcPr>
          <w:p w14:paraId="426DD4C3" w14:textId="77777777" w:rsidR="00B02873" w:rsidRDefault="00B02873" w:rsidP="00C4280E">
            <w:pPr>
              <w:pStyle w:val="TablebodyleftFinancialsTables"/>
              <w:jc w:val="right"/>
            </w:pPr>
            <w:r>
              <w:t xml:space="preserve">3,993 </w:t>
            </w:r>
          </w:p>
        </w:tc>
        <w:tc>
          <w:tcPr>
            <w:tcW w:w="1020" w:type="dxa"/>
          </w:tcPr>
          <w:p w14:paraId="0A881050" w14:textId="77777777" w:rsidR="00B02873" w:rsidRDefault="00B02873" w:rsidP="00C4280E">
            <w:pPr>
              <w:pStyle w:val="TablebodyleftFinancialsTables"/>
              <w:jc w:val="right"/>
            </w:pPr>
            <w:r>
              <w:t xml:space="preserve">2,283 </w:t>
            </w:r>
          </w:p>
        </w:tc>
        <w:tc>
          <w:tcPr>
            <w:tcW w:w="1021" w:type="dxa"/>
          </w:tcPr>
          <w:p w14:paraId="20E68DE1" w14:textId="77777777" w:rsidR="00B02873" w:rsidRDefault="00B02873" w:rsidP="00C4280E">
            <w:pPr>
              <w:pStyle w:val="TablebodyleftFinancialsTables"/>
              <w:jc w:val="right"/>
            </w:pPr>
            <w:r>
              <w:t xml:space="preserve"> 10,005 </w:t>
            </w:r>
          </w:p>
        </w:tc>
        <w:tc>
          <w:tcPr>
            <w:tcW w:w="1020" w:type="dxa"/>
          </w:tcPr>
          <w:p w14:paraId="47DDA8C9" w14:textId="77777777" w:rsidR="00B02873" w:rsidRDefault="00B02873" w:rsidP="00C4280E">
            <w:pPr>
              <w:pStyle w:val="TablebodyleftFinancialsTables"/>
              <w:jc w:val="right"/>
            </w:pPr>
            <w:r>
              <w:t xml:space="preserve">36,906 </w:t>
            </w:r>
          </w:p>
        </w:tc>
        <w:tc>
          <w:tcPr>
            <w:tcW w:w="1021" w:type="dxa"/>
          </w:tcPr>
          <w:p w14:paraId="1DA0FBC4" w14:textId="77777777" w:rsidR="00B02873" w:rsidRDefault="00B02873" w:rsidP="00C4280E">
            <w:pPr>
              <w:pStyle w:val="TablebodyleftFinancialsTables"/>
              <w:jc w:val="right"/>
            </w:pPr>
            <w:r>
              <w:t>25</w:t>
            </w:r>
          </w:p>
        </w:tc>
      </w:tr>
      <w:tr w:rsidR="00B02873" w:rsidRPr="00B02873" w14:paraId="1E48572D" w14:textId="77777777" w:rsidTr="00C4280E">
        <w:tc>
          <w:tcPr>
            <w:tcW w:w="2494" w:type="dxa"/>
          </w:tcPr>
          <w:p w14:paraId="1C50850C" w14:textId="77777777" w:rsidR="00B02873" w:rsidRDefault="00B02873" w:rsidP="00C4280E">
            <w:pPr>
              <w:pStyle w:val="TablebodyleftFinancialsTables"/>
            </w:pPr>
            <w:r>
              <w:t>Total</w:t>
            </w:r>
          </w:p>
        </w:tc>
        <w:tc>
          <w:tcPr>
            <w:tcW w:w="1021" w:type="dxa"/>
          </w:tcPr>
          <w:p w14:paraId="580CD21C" w14:textId="77777777" w:rsidR="00B02873" w:rsidRDefault="00B02873" w:rsidP="00C4280E">
            <w:pPr>
              <w:pStyle w:val="TablebodyleftFinancialsTables"/>
              <w:jc w:val="right"/>
            </w:pPr>
            <w:r>
              <w:t>50,812</w:t>
            </w:r>
          </w:p>
        </w:tc>
        <w:tc>
          <w:tcPr>
            <w:tcW w:w="1020" w:type="dxa"/>
          </w:tcPr>
          <w:p w14:paraId="7EE55136" w14:textId="77777777" w:rsidR="00B02873" w:rsidRDefault="00B02873" w:rsidP="00C4280E">
            <w:pPr>
              <w:pStyle w:val="TablebodyleftFinancialsTables"/>
              <w:jc w:val="right"/>
            </w:pPr>
            <w:r>
              <w:t>53,212</w:t>
            </w:r>
          </w:p>
        </w:tc>
        <w:tc>
          <w:tcPr>
            <w:tcW w:w="1130" w:type="dxa"/>
          </w:tcPr>
          <w:p w14:paraId="3E698B0A" w14:textId="77777777" w:rsidR="00B02873" w:rsidRDefault="00B02873" w:rsidP="00C4280E">
            <w:pPr>
              <w:pStyle w:val="TablebodyleftFinancialsTables"/>
              <w:jc w:val="right"/>
            </w:pPr>
            <w:r>
              <w:t>3,993</w:t>
            </w:r>
          </w:p>
        </w:tc>
        <w:tc>
          <w:tcPr>
            <w:tcW w:w="1020" w:type="dxa"/>
          </w:tcPr>
          <w:p w14:paraId="7207D360" w14:textId="77777777" w:rsidR="00B02873" w:rsidRDefault="00B02873" w:rsidP="00C4280E">
            <w:pPr>
              <w:pStyle w:val="TablebodyleftFinancialsTables"/>
              <w:jc w:val="right"/>
            </w:pPr>
            <w:r>
              <w:t>2,283</w:t>
            </w:r>
          </w:p>
        </w:tc>
        <w:tc>
          <w:tcPr>
            <w:tcW w:w="1021" w:type="dxa"/>
          </w:tcPr>
          <w:p w14:paraId="3144F46D" w14:textId="77777777" w:rsidR="00B02873" w:rsidRDefault="00B02873" w:rsidP="00C4280E">
            <w:pPr>
              <w:pStyle w:val="TablebodyleftFinancialsTables"/>
              <w:jc w:val="right"/>
            </w:pPr>
            <w:r>
              <w:t>10,005</w:t>
            </w:r>
          </w:p>
        </w:tc>
        <w:tc>
          <w:tcPr>
            <w:tcW w:w="1020" w:type="dxa"/>
          </w:tcPr>
          <w:p w14:paraId="3D61B877" w14:textId="77777777" w:rsidR="00B02873" w:rsidRDefault="00B02873" w:rsidP="00C4280E">
            <w:pPr>
              <w:pStyle w:val="TablebodyleftFinancialsTables"/>
              <w:jc w:val="right"/>
            </w:pPr>
            <w:r>
              <w:t>36,906</w:t>
            </w:r>
          </w:p>
        </w:tc>
        <w:tc>
          <w:tcPr>
            <w:tcW w:w="1021" w:type="dxa"/>
          </w:tcPr>
          <w:p w14:paraId="68EE6FEA" w14:textId="1614F23A" w:rsidR="00B02873" w:rsidRDefault="00012C04" w:rsidP="00C4280E">
            <w:pPr>
              <w:pStyle w:val="TablebodyleftFinancialsTables"/>
              <w:jc w:val="right"/>
            </w:pPr>
            <w:r>
              <w:t xml:space="preserve"> </w:t>
            </w:r>
            <w:r w:rsidR="00B02873">
              <w:t>25</w:t>
            </w:r>
          </w:p>
        </w:tc>
      </w:tr>
    </w:tbl>
    <w:p w14:paraId="584513CA" w14:textId="77777777" w:rsidR="00B02873" w:rsidRDefault="00B02873" w:rsidP="00FE198A"/>
    <w:p w14:paraId="6D15204B" w14:textId="77777777" w:rsidR="00B02873" w:rsidRDefault="00B02873" w:rsidP="00C4280E">
      <w:pPr>
        <w:pStyle w:val="Heading4"/>
      </w:pPr>
      <w:r>
        <w:t>7.2.2 Interest expenses</w:t>
      </w:r>
    </w:p>
    <w:tbl>
      <w:tblPr>
        <w:tblStyle w:val="TableGrid"/>
        <w:tblW w:w="0" w:type="auto"/>
        <w:tblLayout w:type="fixed"/>
        <w:tblLook w:val="0020" w:firstRow="1" w:lastRow="0" w:firstColumn="0" w:lastColumn="0" w:noHBand="0" w:noVBand="0"/>
      </w:tblPr>
      <w:tblGrid>
        <w:gridCol w:w="7257"/>
        <w:gridCol w:w="1190"/>
        <w:gridCol w:w="1191"/>
      </w:tblGrid>
      <w:tr w:rsidR="00B02873" w:rsidRPr="00B02873" w14:paraId="3ED0EA6D" w14:textId="77777777" w:rsidTr="002733D7">
        <w:trPr>
          <w:cnfStyle w:val="100000000000" w:firstRow="1" w:lastRow="0" w:firstColumn="0" w:lastColumn="0" w:oddVBand="0" w:evenVBand="0" w:oddHBand="0" w:evenHBand="0" w:firstRowFirstColumn="0" w:firstRowLastColumn="0" w:lastRowFirstColumn="0" w:lastRowLastColumn="0"/>
        </w:trPr>
        <w:tc>
          <w:tcPr>
            <w:tcW w:w="7257" w:type="dxa"/>
          </w:tcPr>
          <w:p w14:paraId="5E84DD5F" w14:textId="77777777" w:rsidR="00B02873" w:rsidRPr="00B02873" w:rsidRDefault="00B02873" w:rsidP="002733D7">
            <w:pPr>
              <w:pStyle w:val="TableheadingleftFinancialsTables"/>
            </w:pPr>
          </w:p>
        </w:tc>
        <w:tc>
          <w:tcPr>
            <w:tcW w:w="1190" w:type="dxa"/>
          </w:tcPr>
          <w:p w14:paraId="2A2D76BB" w14:textId="77777777" w:rsidR="00B02873" w:rsidRPr="002733D7" w:rsidRDefault="00B02873" w:rsidP="002733D7">
            <w:pPr>
              <w:pStyle w:val="TableheadingleftFinancialsTables"/>
              <w:jc w:val="right"/>
            </w:pPr>
            <w:r w:rsidRPr="002733D7">
              <w:t>2022</w:t>
            </w:r>
            <w:r w:rsidRPr="002733D7">
              <w:br/>
              <w:t>$’000</w:t>
            </w:r>
          </w:p>
        </w:tc>
        <w:tc>
          <w:tcPr>
            <w:tcW w:w="1191" w:type="dxa"/>
          </w:tcPr>
          <w:p w14:paraId="2D30A905" w14:textId="77777777" w:rsidR="00B02873" w:rsidRDefault="00B02873" w:rsidP="002733D7">
            <w:pPr>
              <w:pStyle w:val="TableheadingleftFinancialsTables"/>
              <w:jc w:val="right"/>
            </w:pPr>
            <w:r>
              <w:t>2021</w:t>
            </w:r>
            <w:r>
              <w:br/>
              <w:t>$’000</w:t>
            </w:r>
          </w:p>
        </w:tc>
      </w:tr>
      <w:tr w:rsidR="00B02873" w:rsidRPr="00B02873" w14:paraId="6AC9882B" w14:textId="77777777" w:rsidTr="002733D7">
        <w:tc>
          <w:tcPr>
            <w:tcW w:w="7257" w:type="dxa"/>
          </w:tcPr>
          <w:p w14:paraId="6FBE279E" w14:textId="728CCB2D" w:rsidR="00B02873" w:rsidRPr="002733D7" w:rsidRDefault="00B02873" w:rsidP="002733D7">
            <w:pPr>
              <w:pStyle w:val="TablebodyleftFinancialsTables"/>
              <w:rPr>
                <w:b/>
                <w:bCs/>
              </w:rPr>
            </w:pPr>
            <w:r w:rsidRPr="002733D7">
              <w:rPr>
                <w:b/>
                <w:bCs/>
              </w:rPr>
              <w:t>Interest expense</w:t>
            </w:r>
          </w:p>
        </w:tc>
        <w:tc>
          <w:tcPr>
            <w:tcW w:w="1190" w:type="dxa"/>
          </w:tcPr>
          <w:p w14:paraId="6D02D84C" w14:textId="77777777" w:rsidR="00B02873" w:rsidRPr="002733D7" w:rsidRDefault="00B02873" w:rsidP="002733D7">
            <w:pPr>
              <w:pStyle w:val="TablebodyleftFinancialsTables"/>
              <w:jc w:val="right"/>
              <w:rPr>
                <w:rFonts w:ascii="VIC Bold Italic" w:hAnsi="VIC Bold Italic" w:cs="Times New Roman"/>
                <w:b/>
                <w:bCs/>
              </w:rPr>
            </w:pPr>
          </w:p>
        </w:tc>
        <w:tc>
          <w:tcPr>
            <w:tcW w:w="1191" w:type="dxa"/>
          </w:tcPr>
          <w:p w14:paraId="2130DE36" w14:textId="77777777" w:rsidR="00B02873" w:rsidRPr="00B02873" w:rsidRDefault="00B02873" w:rsidP="002733D7">
            <w:pPr>
              <w:pStyle w:val="TablebodyleftFinancialsTables"/>
              <w:jc w:val="right"/>
              <w:rPr>
                <w:rFonts w:ascii="VIC Bold Italic" w:hAnsi="VIC Bold Italic" w:cs="Times New Roman"/>
              </w:rPr>
            </w:pPr>
          </w:p>
        </w:tc>
      </w:tr>
      <w:tr w:rsidR="00B02873" w:rsidRPr="00B02873" w14:paraId="205A3CE0" w14:textId="77777777" w:rsidTr="002733D7">
        <w:tc>
          <w:tcPr>
            <w:tcW w:w="7257" w:type="dxa"/>
          </w:tcPr>
          <w:p w14:paraId="5079CF8F" w14:textId="77777777" w:rsidR="00B02873" w:rsidRDefault="00B02873" w:rsidP="002733D7">
            <w:pPr>
              <w:pStyle w:val="TablebodyleftFinancialsTables"/>
            </w:pPr>
            <w:r>
              <w:t xml:space="preserve">Interest on leases </w:t>
            </w:r>
          </w:p>
        </w:tc>
        <w:tc>
          <w:tcPr>
            <w:tcW w:w="1190" w:type="dxa"/>
          </w:tcPr>
          <w:p w14:paraId="6C1C7730" w14:textId="77777777" w:rsidR="00B02873" w:rsidRPr="002733D7" w:rsidRDefault="00B02873" w:rsidP="002733D7">
            <w:pPr>
              <w:pStyle w:val="TablebodyleftFinancialsTables"/>
              <w:jc w:val="right"/>
              <w:rPr>
                <w:b/>
                <w:bCs/>
              </w:rPr>
            </w:pPr>
            <w:r w:rsidRPr="002733D7">
              <w:rPr>
                <w:b/>
                <w:bCs/>
              </w:rPr>
              <w:t>(1,383)</w:t>
            </w:r>
          </w:p>
        </w:tc>
        <w:tc>
          <w:tcPr>
            <w:tcW w:w="1191" w:type="dxa"/>
          </w:tcPr>
          <w:p w14:paraId="1B156F44" w14:textId="77777777" w:rsidR="00B02873" w:rsidRDefault="00B02873" w:rsidP="002733D7">
            <w:pPr>
              <w:pStyle w:val="TablebodyleftFinancialsTables"/>
              <w:jc w:val="right"/>
            </w:pPr>
            <w:r>
              <w:t>(1,540)</w:t>
            </w:r>
          </w:p>
        </w:tc>
      </w:tr>
      <w:tr w:rsidR="00B02873" w:rsidRPr="00B02873" w14:paraId="1AAECD4C" w14:textId="77777777" w:rsidTr="002733D7">
        <w:tc>
          <w:tcPr>
            <w:tcW w:w="7257" w:type="dxa"/>
          </w:tcPr>
          <w:p w14:paraId="40DE278E" w14:textId="77777777" w:rsidR="00B02873" w:rsidRDefault="00B02873" w:rsidP="002733D7">
            <w:pPr>
              <w:pStyle w:val="TablebodyleftFinancialsTables"/>
            </w:pPr>
            <w:r>
              <w:t>Interest foregone on concessional loans</w:t>
            </w:r>
          </w:p>
        </w:tc>
        <w:tc>
          <w:tcPr>
            <w:tcW w:w="1190" w:type="dxa"/>
          </w:tcPr>
          <w:p w14:paraId="25A045AF" w14:textId="77777777" w:rsidR="00B02873" w:rsidRPr="002733D7" w:rsidRDefault="00B02873" w:rsidP="002733D7">
            <w:pPr>
              <w:pStyle w:val="TablebodyleftFinancialsTables"/>
              <w:jc w:val="right"/>
              <w:rPr>
                <w:b/>
                <w:bCs/>
              </w:rPr>
            </w:pPr>
            <w:r w:rsidRPr="002733D7">
              <w:rPr>
                <w:b/>
                <w:bCs/>
              </w:rPr>
              <w:t>(6,569)</w:t>
            </w:r>
          </w:p>
        </w:tc>
        <w:tc>
          <w:tcPr>
            <w:tcW w:w="1191" w:type="dxa"/>
          </w:tcPr>
          <w:p w14:paraId="109E0EE9" w14:textId="77777777" w:rsidR="00B02873" w:rsidRDefault="00B02873" w:rsidP="002733D7">
            <w:pPr>
              <w:pStyle w:val="TablebodyleftFinancialsTables"/>
              <w:jc w:val="right"/>
            </w:pPr>
            <w:r>
              <w:t>(10,327)</w:t>
            </w:r>
          </w:p>
        </w:tc>
      </w:tr>
      <w:tr w:rsidR="00B02873" w:rsidRPr="00B02873" w14:paraId="61E880FD" w14:textId="77777777" w:rsidTr="002733D7">
        <w:tc>
          <w:tcPr>
            <w:tcW w:w="7257" w:type="dxa"/>
          </w:tcPr>
          <w:p w14:paraId="3F06AF7B" w14:textId="77777777" w:rsidR="00B02873" w:rsidRDefault="00B02873" w:rsidP="002733D7">
            <w:pPr>
              <w:pStyle w:val="TablebodyleftFinancialsTables"/>
            </w:pPr>
            <w:r>
              <w:t>Other interest expense</w:t>
            </w:r>
          </w:p>
        </w:tc>
        <w:tc>
          <w:tcPr>
            <w:tcW w:w="1190" w:type="dxa"/>
          </w:tcPr>
          <w:p w14:paraId="7E86D779" w14:textId="77777777" w:rsidR="00B02873" w:rsidRPr="002733D7" w:rsidRDefault="00B02873" w:rsidP="002733D7">
            <w:pPr>
              <w:pStyle w:val="TablebodyleftFinancialsTables"/>
              <w:jc w:val="right"/>
              <w:rPr>
                <w:b/>
                <w:bCs/>
              </w:rPr>
            </w:pPr>
            <w:r w:rsidRPr="002733D7">
              <w:rPr>
                <w:b/>
                <w:bCs/>
              </w:rPr>
              <w:t>(3,449)</w:t>
            </w:r>
          </w:p>
        </w:tc>
        <w:tc>
          <w:tcPr>
            <w:tcW w:w="1191" w:type="dxa"/>
          </w:tcPr>
          <w:p w14:paraId="16053C57" w14:textId="77777777" w:rsidR="00B02873" w:rsidRDefault="00B02873" w:rsidP="002733D7">
            <w:pPr>
              <w:pStyle w:val="TablebodyleftFinancialsTables"/>
              <w:jc w:val="right"/>
            </w:pPr>
            <w:r>
              <w:t>(1,155)</w:t>
            </w:r>
          </w:p>
        </w:tc>
      </w:tr>
      <w:tr w:rsidR="00B02873" w:rsidRPr="00B02873" w14:paraId="7798CFFD" w14:textId="77777777" w:rsidTr="002733D7">
        <w:tc>
          <w:tcPr>
            <w:tcW w:w="7257" w:type="dxa"/>
          </w:tcPr>
          <w:p w14:paraId="2FA94A45" w14:textId="77777777" w:rsidR="00B02873" w:rsidRPr="002733D7" w:rsidRDefault="00B02873" w:rsidP="002733D7">
            <w:pPr>
              <w:pStyle w:val="TablebodyleftFinancialsTables"/>
              <w:rPr>
                <w:b/>
                <w:bCs/>
              </w:rPr>
            </w:pPr>
            <w:r w:rsidRPr="002733D7">
              <w:rPr>
                <w:b/>
                <w:bCs/>
              </w:rPr>
              <w:t>Total interest expense</w:t>
            </w:r>
          </w:p>
        </w:tc>
        <w:tc>
          <w:tcPr>
            <w:tcW w:w="1190" w:type="dxa"/>
          </w:tcPr>
          <w:p w14:paraId="0C93032D" w14:textId="77777777" w:rsidR="00B02873" w:rsidRPr="002733D7" w:rsidRDefault="00B02873" w:rsidP="002733D7">
            <w:pPr>
              <w:pStyle w:val="TablebodyleftFinancialsTables"/>
              <w:jc w:val="right"/>
              <w:rPr>
                <w:b/>
                <w:bCs/>
              </w:rPr>
            </w:pPr>
            <w:r w:rsidRPr="002733D7">
              <w:rPr>
                <w:b/>
                <w:bCs/>
              </w:rPr>
              <w:t>(11,401)</w:t>
            </w:r>
          </w:p>
        </w:tc>
        <w:tc>
          <w:tcPr>
            <w:tcW w:w="1191" w:type="dxa"/>
          </w:tcPr>
          <w:p w14:paraId="7EED7B1C" w14:textId="77777777" w:rsidR="00B02873" w:rsidRDefault="00B02873" w:rsidP="002733D7">
            <w:pPr>
              <w:pStyle w:val="TablebodyleftFinancialsTables"/>
              <w:jc w:val="right"/>
            </w:pPr>
            <w:r>
              <w:t>(13,022)</w:t>
            </w:r>
          </w:p>
        </w:tc>
      </w:tr>
    </w:tbl>
    <w:p w14:paraId="3C700FA0" w14:textId="77777777" w:rsidR="00B02873" w:rsidRDefault="00B02873" w:rsidP="00FE198A"/>
    <w:p w14:paraId="32144A90" w14:textId="77777777" w:rsidR="00B02873" w:rsidRDefault="00B02873" w:rsidP="00FE198A">
      <w:r>
        <w:t>Interest expense is costs incurred in connection with leasing arrangements and the wind back of interest relating to make good provisions.</w:t>
      </w:r>
    </w:p>
    <w:p w14:paraId="4F7D3D32" w14:textId="77777777" w:rsidR="00B02873" w:rsidRDefault="00B02873" w:rsidP="00FE198A">
      <w:r>
        <w:t xml:space="preserve">Interest forgone on concessional loans include interest expense calculated using the effective interest method as described in AASB 9 </w:t>
      </w:r>
      <w:r w:rsidRPr="002733D7">
        <w:rPr>
          <w:rStyle w:val="LightItalic"/>
          <w:rFonts w:asciiTheme="minorHAnsi" w:hAnsiTheme="minorHAnsi" w:cstheme="minorHAnsi"/>
        </w:rPr>
        <w:t>Financial Instruments</w:t>
      </w:r>
      <w:r w:rsidRPr="002733D7">
        <w:rPr>
          <w:rFonts w:asciiTheme="minorHAnsi" w:hAnsiTheme="minorHAnsi" w:cstheme="minorHAnsi"/>
        </w:rPr>
        <w:t>.</w:t>
      </w:r>
    </w:p>
    <w:p w14:paraId="12A17A90" w14:textId="77777777" w:rsidR="00B02873" w:rsidRDefault="00B02873" w:rsidP="00FE198A">
      <w:r>
        <w:t>Interest expense is recognised in the period in which it is incurred.</w:t>
      </w:r>
    </w:p>
    <w:p w14:paraId="57E7A028" w14:textId="77777777" w:rsidR="00B02873" w:rsidRDefault="00B02873" w:rsidP="002733D7">
      <w:pPr>
        <w:pStyle w:val="Heading3"/>
      </w:pPr>
      <w:r>
        <w:t>7.3 Leases liabilities (department as lessee)</w:t>
      </w:r>
    </w:p>
    <w:p w14:paraId="6BF8010F" w14:textId="77777777" w:rsidR="00B02873" w:rsidRDefault="00B02873" w:rsidP="00FE198A">
      <w:r>
        <w:t>Information about leases for which the department is a lessee is presented below.</w:t>
      </w:r>
    </w:p>
    <w:p w14:paraId="244D972F" w14:textId="77777777" w:rsidR="00B02873" w:rsidRDefault="00B02873" w:rsidP="002733D7">
      <w:pPr>
        <w:pStyle w:val="Heading4"/>
      </w:pPr>
      <w:r>
        <w:t>The department's leasing activities</w:t>
      </w:r>
    </w:p>
    <w:p w14:paraId="4FADADEE" w14:textId="77777777" w:rsidR="00B02873" w:rsidRDefault="00B02873" w:rsidP="00FE198A">
      <w:r>
        <w:t xml:space="preserve">The department leases office accommodation, motor vehicles, and various other assets for fire emergency purposes. </w:t>
      </w:r>
    </w:p>
    <w:p w14:paraId="54F664B8" w14:textId="23C9980A" w:rsidR="00B02873" w:rsidRDefault="00B02873" w:rsidP="00FE198A">
      <w:r>
        <w:t xml:space="preserve">Office accommodation is mostly leased from the Shared Service Provider (SSP), part of the Department of Treasury and Finance. </w:t>
      </w:r>
    </w:p>
    <w:p w14:paraId="0B82B7D8" w14:textId="77777777" w:rsidR="00B02873" w:rsidRDefault="00B02873" w:rsidP="00FE198A">
      <w:r>
        <w:t xml:space="preserve">Motor vehicles are leased through the VicFleet and Fleet Plus lease facilities. The lease term is the period over which the vehicle is to be leased. Generally, vehicles must be retained for three years or 60,000 kilometres for VicFleet vehicles and 15 years for FleetPlus vehicles, whichever occurs first. On disposal of the vehicle any profit or loss on sale is borne by the department. </w:t>
      </w:r>
    </w:p>
    <w:p w14:paraId="30D39A82" w14:textId="77777777" w:rsidR="00B02873" w:rsidRDefault="00B02873" w:rsidP="00FE198A">
      <w:r>
        <w:lastRenderedPageBreak/>
        <w:t xml:space="preserve">Other leased assets include airport hangars, and emergency management system hosting and storage. These assets are leased to assist the department in delivering its fire and emergency management outputs. The assets are leased for a period between 1 and 3 years. </w:t>
      </w:r>
    </w:p>
    <w:p w14:paraId="40DB3A2E" w14:textId="07DA8F87" w:rsidR="00B02873" w:rsidRDefault="00B02873" w:rsidP="00FE198A">
      <w:r>
        <w:t>At 30 June 2022, the department was committed to short term leases. The total commitment at the end of the financial year is disclosed in Note 7.5.</w:t>
      </w:r>
    </w:p>
    <w:p w14:paraId="3553BF18" w14:textId="77777777" w:rsidR="00B02873" w:rsidRDefault="00B02873" w:rsidP="002733D7">
      <w:pPr>
        <w:pStyle w:val="Heading4"/>
      </w:pPr>
      <w:r>
        <w:t>Leases at significantly below-market terms and conditions</w:t>
      </w:r>
    </w:p>
    <w:p w14:paraId="68D6C106" w14:textId="66C0E3FD" w:rsidR="00B02873" w:rsidRDefault="00B02873" w:rsidP="00FE198A">
      <w:r>
        <w:t>The department does not have any leasing agreements that are at significantly below market terms and conditions at the balance date.</w:t>
      </w:r>
    </w:p>
    <w:p w14:paraId="11B8040F" w14:textId="77777777" w:rsidR="00B02873" w:rsidRDefault="00B02873" w:rsidP="002733D7">
      <w:pPr>
        <w:pStyle w:val="Heading4"/>
      </w:pPr>
      <w:r>
        <w:t>7.3.1 Right-of-use assets</w:t>
      </w:r>
    </w:p>
    <w:p w14:paraId="5B80771C" w14:textId="77777777" w:rsidR="00B02873" w:rsidRDefault="00B02873" w:rsidP="00FE198A">
      <w:r>
        <w:t>Right-of-use assets are presented in Note 5.</w:t>
      </w:r>
    </w:p>
    <w:p w14:paraId="6A6647D5" w14:textId="77777777" w:rsidR="00B02873" w:rsidRDefault="00B02873" w:rsidP="002733D7">
      <w:pPr>
        <w:pStyle w:val="Heading4"/>
      </w:pPr>
      <w:r>
        <w:t>7.3.2 Amounts recognised in the comprehensive operating statement</w:t>
      </w:r>
    </w:p>
    <w:p w14:paraId="70DEAE56" w14:textId="77777777" w:rsidR="00B02873" w:rsidRDefault="00B02873" w:rsidP="00FE198A">
      <w:r>
        <w:t>The following amounts are recognised in the comprehensive operating statement relating to leases:</w:t>
      </w:r>
    </w:p>
    <w:tbl>
      <w:tblPr>
        <w:tblStyle w:val="TableGrid"/>
        <w:tblW w:w="0" w:type="auto"/>
        <w:tblLayout w:type="fixed"/>
        <w:tblLook w:val="0020" w:firstRow="1" w:lastRow="0" w:firstColumn="0" w:lastColumn="0" w:noHBand="0" w:noVBand="0"/>
      </w:tblPr>
      <w:tblGrid>
        <w:gridCol w:w="7257"/>
        <w:gridCol w:w="1190"/>
        <w:gridCol w:w="1191"/>
      </w:tblGrid>
      <w:tr w:rsidR="00B02873" w:rsidRPr="00B02873" w14:paraId="1DA0C6C1" w14:textId="77777777" w:rsidTr="002733D7">
        <w:trPr>
          <w:cnfStyle w:val="100000000000" w:firstRow="1" w:lastRow="0" w:firstColumn="0" w:lastColumn="0" w:oddVBand="0" w:evenVBand="0" w:oddHBand="0" w:evenHBand="0" w:firstRowFirstColumn="0" w:firstRowLastColumn="0" w:lastRowFirstColumn="0" w:lastRowLastColumn="0"/>
          <w:trHeight w:val="60"/>
        </w:trPr>
        <w:tc>
          <w:tcPr>
            <w:tcW w:w="7257" w:type="dxa"/>
          </w:tcPr>
          <w:p w14:paraId="29D31207" w14:textId="77777777" w:rsidR="00B02873" w:rsidRPr="00B02873" w:rsidRDefault="00B02873" w:rsidP="002733D7">
            <w:pPr>
              <w:pStyle w:val="TableheadingleftFinancialsTables"/>
            </w:pPr>
          </w:p>
        </w:tc>
        <w:tc>
          <w:tcPr>
            <w:tcW w:w="1190" w:type="dxa"/>
          </w:tcPr>
          <w:p w14:paraId="216768E4" w14:textId="77777777" w:rsidR="00B02873" w:rsidRPr="00215DF0" w:rsidRDefault="00B02873" w:rsidP="00215DF0">
            <w:pPr>
              <w:pStyle w:val="TableheadingleftFinancialsTables"/>
              <w:jc w:val="right"/>
            </w:pPr>
            <w:r w:rsidRPr="00215DF0">
              <w:t>2022</w:t>
            </w:r>
            <w:r w:rsidRPr="00215DF0">
              <w:br/>
              <w:t>$’000</w:t>
            </w:r>
          </w:p>
        </w:tc>
        <w:tc>
          <w:tcPr>
            <w:tcW w:w="1191" w:type="dxa"/>
          </w:tcPr>
          <w:p w14:paraId="172FBE35" w14:textId="77777777" w:rsidR="00B02873" w:rsidRDefault="00B02873" w:rsidP="00215DF0">
            <w:pPr>
              <w:pStyle w:val="TableheadingleftFinancialsTables"/>
              <w:jc w:val="right"/>
            </w:pPr>
            <w:r>
              <w:t>2021</w:t>
            </w:r>
            <w:r>
              <w:br/>
              <w:t>$’000</w:t>
            </w:r>
          </w:p>
        </w:tc>
      </w:tr>
      <w:tr w:rsidR="00B02873" w:rsidRPr="00B02873" w14:paraId="610B925E" w14:textId="77777777" w:rsidTr="002733D7">
        <w:trPr>
          <w:trHeight w:val="60"/>
        </w:trPr>
        <w:tc>
          <w:tcPr>
            <w:tcW w:w="7257" w:type="dxa"/>
          </w:tcPr>
          <w:p w14:paraId="3BF5A93D" w14:textId="77777777" w:rsidR="00B02873" w:rsidRDefault="00B02873" w:rsidP="002733D7">
            <w:pPr>
              <w:pStyle w:val="TablebodyleftFinancialsTables"/>
            </w:pPr>
            <w:r>
              <w:t>Interest on lease liabilities</w:t>
            </w:r>
          </w:p>
        </w:tc>
        <w:tc>
          <w:tcPr>
            <w:tcW w:w="1190" w:type="dxa"/>
          </w:tcPr>
          <w:p w14:paraId="5A6A5BCE" w14:textId="77777777" w:rsidR="00B02873" w:rsidRPr="00215DF0" w:rsidRDefault="00B02873" w:rsidP="00215DF0">
            <w:pPr>
              <w:pStyle w:val="TablebodyleftFinancialsTables"/>
              <w:jc w:val="right"/>
              <w:rPr>
                <w:b/>
                <w:bCs/>
              </w:rPr>
            </w:pPr>
            <w:r w:rsidRPr="00215DF0">
              <w:rPr>
                <w:b/>
                <w:bCs/>
              </w:rPr>
              <w:t>(1,383)</w:t>
            </w:r>
          </w:p>
        </w:tc>
        <w:tc>
          <w:tcPr>
            <w:tcW w:w="1191" w:type="dxa"/>
          </w:tcPr>
          <w:p w14:paraId="3D50D516" w14:textId="77777777" w:rsidR="00B02873" w:rsidRDefault="00B02873" w:rsidP="00215DF0">
            <w:pPr>
              <w:pStyle w:val="TablebodyleftFinancialsTables"/>
              <w:jc w:val="right"/>
            </w:pPr>
            <w:r>
              <w:t>(1,540)</w:t>
            </w:r>
          </w:p>
        </w:tc>
      </w:tr>
      <w:tr w:rsidR="00B02873" w:rsidRPr="00B02873" w14:paraId="37DEA46B" w14:textId="77777777" w:rsidTr="002733D7">
        <w:trPr>
          <w:trHeight w:val="60"/>
        </w:trPr>
        <w:tc>
          <w:tcPr>
            <w:tcW w:w="7257" w:type="dxa"/>
          </w:tcPr>
          <w:p w14:paraId="13FB1723" w14:textId="77777777" w:rsidR="00B02873" w:rsidRDefault="00B02873" w:rsidP="002733D7">
            <w:pPr>
              <w:pStyle w:val="TablebodyleftFinancialsTables"/>
            </w:pPr>
            <w:r>
              <w:t>Expenses relating to short term leases</w:t>
            </w:r>
          </w:p>
        </w:tc>
        <w:tc>
          <w:tcPr>
            <w:tcW w:w="1190" w:type="dxa"/>
          </w:tcPr>
          <w:p w14:paraId="22B35E47" w14:textId="77777777" w:rsidR="00B02873" w:rsidRPr="00215DF0" w:rsidRDefault="00B02873" w:rsidP="00215DF0">
            <w:pPr>
              <w:pStyle w:val="TablebodyleftFinancialsTables"/>
              <w:jc w:val="right"/>
              <w:rPr>
                <w:b/>
                <w:bCs/>
              </w:rPr>
            </w:pPr>
            <w:r w:rsidRPr="00215DF0">
              <w:rPr>
                <w:b/>
                <w:bCs/>
              </w:rPr>
              <w:t xml:space="preserve"> (447)</w:t>
            </w:r>
          </w:p>
        </w:tc>
        <w:tc>
          <w:tcPr>
            <w:tcW w:w="1191" w:type="dxa"/>
          </w:tcPr>
          <w:p w14:paraId="563484FC" w14:textId="77777777" w:rsidR="00B02873" w:rsidRDefault="00B02873" w:rsidP="00215DF0">
            <w:pPr>
              <w:pStyle w:val="TablebodyleftFinancialsTables"/>
              <w:jc w:val="right"/>
            </w:pPr>
            <w:r>
              <w:t>(287)</w:t>
            </w:r>
          </w:p>
        </w:tc>
      </w:tr>
      <w:tr w:rsidR="00B02873" w:rsidRPr="00B02873" w14:paraId="0300651F" w14:textId="77777777" w:rsidTr="002733D7">
        <w:trPr>
          <w:trHeight w:val="60"/>
        </w:trPr>
        <w:tc>
          <w:tcPr>
            <w:tcW w:w="7257" w:type="dxa"/>
          </w:tcPr>
          <w:p w14:paraId="735673C9" w14:textId="77777777" w:rsidR="00B02873" w:rsidRPr="00215DF0" w:rsidRDefault="00B02873" w:rsidP="002733D7">
            <w:pPr>
              <w:pStyle w:val="TablebodyleftFinancialsTables"/>
              <w:rPr>
                <w:b/>
                <w:bCs/>
              </w:rPr>
            </w:pPr>
            <w:r w:rsidRPr="00215DF0">
              <w:rPr>
                <w:b/>
                <w:bCs/>
              </w:rPr>
              <w:t xml:space="preserve">Total amount recognised in the comprehensive operating statement </w:t>
            </w:r>
          </w:p>
        </w:tc>
        <w:tc>
          <w:tcPr>
            <w:tcW w:w="1190" w:type="dxa"/>
          </w:tcPr>
          <w:p w14:paraId="56A4DAD5" w14:textId="77777777" w:rsidR="00B02873" w:rsidRPr="00215DF0" w:rsidRDefault="00B02873" w:rsidP="00215DF0">
            <w:pPr>
              <w:pStyle w:val="TablebodyleftFinancialsTables"/>
              <w:jc w:val="right"/>
              <w:rPr>
                <w:b/>
                <w:bCs/>
              </w:rPr>
            </w:pPr>
            <w:r w:rsidRPr="00215DF0">
              <w:rPr>
                <w:b/>
                <w:bCs/>
              </w:rPr>
              <w:t>(1,830)</w:t>
            </w:r>
          </w:p>
        </w:tc>
        <w:tc>
          <w:tcPr>
            <w:tcW w:w="1191" w:type="dxa"/>
          </w:tcPr>
          <w:p w14:paraId="0D6BFE1D" w14:textId="77777777" w:rsidR="00B02873" w:rsidRDefault="00B02873" w:rsidP="00215DF0">
            <w:pPr>
              <w:pStyle w:val="TablebodyleftFinancialsTables"/>
              <w:jc w:val="right"/>
            </w:pPr>
            <w:r>
              <w:t xml:space="preserve"> (1,827)</w:t>
            </w:r>
          </w:p>
        </w:tc>
      </w:tr>
    </w:tbl>
    <w:p w14:paraId="41340DC9" w14:textId="77777777" w:rsidR="00B02873" w:rsidRDefault="00B02873" w:rsidP="00FE198A"/>
    <w:p w14:paraId="0501A25B" w14:textId="77777777" w:rsidR="00B02873" w:rsidRDefault="00B02873" w:rsidP="00215DF0">
      <w:pPr>
        <w:pStyle w:val="Heading4"/>
      </w:pPr>
      <w:r>
        <w:t>7.3.3 Amounts recognised in the cash flow statement</w:t>
      </w:r>
    </w:p>
    <w:p w14:paraId="2ABE285E" w14:textId="0D2C52FC" w:rsidR="00B02873" w:rsidRDefault="00B02873" w:rsidP="00FE198A">
      <w:r>
        <w:t>The following amounts are recognised in the cash flow statement for the year ended 30 June 2022 relating to leases:</w:t>
      </w:r>
    </w:p>
    <w:tbl>
      <w:tblPr>
        <w:tblStyle w:val="TableGrid"/>
        <w:tblW w:w="0" w:type="auto"/>
        <w:tblLayout w:type="fixed"/>
        <w:tblLook w:val="0020" w:firstRow="1" w:lastRow="0" w:firstColumn="0" w:lastColumn="0" w:noHBand="0" w:noVBand="0"/>
      </w:tblPr>
      <w:tblGrid>
        <w:gridCol w:w="7257"/>
        <w:gridCol w:w="1190"/>
        <w:gridCol w:w="1191"/>
      </w:tblGrid>
      <w:tr w:rsidR="00B02873" w:rsidRPr="00B02873" w14:paraId="66455A53" w14:textId="77777777" w:rsidTr="00215DF0">
        <w:trPr>
          <w:cnfStyle w:val="100000000000" w:firstRow="1" w:lastRow="0" w:firstColumn="0" w:lastColumn="0" w:oddVBand="0" w:evenVBand="0" w:oddHBand="0" w:evenHBand="0" w:firstRowFirstColumn="0" w:firstRowLastColumn="0" w:lastRowFirstColumn="0" w:lastRowLastColumn="0"/>
          <w:trHeight w:val="60"/>
        </w:trPr>
        <w:tc>
          <w:tcPr>
            <w:tcW w:w="7257" w:type="dxa"/>
          </w:tcPr>
          <w:p w14:paraId="5C1F7789" w14:textId="77777777" w:rsidR="00B02873" w:rsidRPr="00B02873" w:rsidRDefault="00B02873" w:rsidP="00215DF0">
            <w:pPr>
              <w:pStyle w:val="TableheadingleftFinancialsTables"/>
            </w:pPr>
          </w:p>
        </w:tc>
        <w:tc>
          <w:tcPr>
            <w:tcW w:w="1190" w:type="dxa"/>
          </w:tcPr>
          <w:p w14:paraId="3E39B75C" w14:textId="77777777" w:rsidR="00B02873" w:rsidRPr="00215DF0" w:rsidRDefault="00B02873" w:rsidP="00215DF0">
            <w:pPr>
              <w:pStyle w:val="TableheadingleftFinancialsTables"/>
              <w:jc w:val="right"/>
            </w:pPr>
            <w:r w:rsidRPr="00215DF0">
              <w:t>2022</w:t>
            </w:r>
            <w:r w:rsidRPr="00215DF0">
              <w:br/>
              <w:t>$’000</w:t>
            </w:r>
          </w:p>
        </w:tc>
        <w:tc>
          <w:tcPr>
            <w:tcW w:w="1191" w:type="dxa"/>
          </w:tcPr>
          <w:p w14:paraId="473C102D" w14:textId="77777777" w:rsidR="00B02873" w:rsidRDefault="00B02873" w:rsidP="00215DF0">
            <w:pPr>
              <w:pStyle w:val="TableheadingleftFinancialsTables"/>
              <w:jc w:val="right"/>
            </w:pPr>
            <w:r>
              <w:t>2021</w:t>
            </w:r>
            <w:r>
              <w:br/>
              <w:t>$’000</w:t>
            </w:r>
          </w:p>
        </w:tc>
      </w:tr>
      <w:tr w:rsidR="00B02873" w:rsidRPr="00B02873" w14:paraId="5FAE0A9F" w14:textId="77777777" w:rsidTr="00215DF0">
        <w:trPr>
          <w:trHeight w:val="60"/>
        </w:trPr>
        <w:tc>
          <w:tcPr>
            <w:tcW w:w="7257" w:type="dxa"/>
          </w:tcPr>
          <w:p w14:paraId="0DA7030A" w14:textId="77777777" w:rsidR="00B02873" w:rsidRPr="00215DF0" w:rsidRDefault="00B02873" w:rsidP="00215DF0">
            <w:pPr>
              <w:pStyle w:val="TablebodyleftFinancialsTables"/>
              <w:rPr>
                <w:b/>
                <w:bCs/>
              </w:rPr>
            </w:pPr>
            <w:r w:rsidRPr="00215DF0">
              <w:rPr>
                <w:b/>
                <w:bCs/>
              </w:rPr>
              <w:t>Total cash outflow for leases</w:t>
            </w:r>
          </w:p>
        </w:tc>
        <w:tc>
          <w:tcPr>
            <w:tcW w:w="1190" w:type="dxa"/>
          </w:tcPr>
          <w:p w14:paraId="5B2C44CA" w14:textId="77777777" w:rsidR="00B02873" w:rsidRPr="00215DF0" w:rsidRDefault="00B02873" w:rsidP="00215DF0">
            <w:pPr>
              <w:pStyle w:val="TablebodyleftFinancialsTables"/>
              <w:jc w:val="right"/>
              <w:rPr>
                <w:b/>
                <w:bCs/>
              </w:rPr>
            </w:pPr>
            <w:r w:rsidRPr="00215DF0">
              <w:rPr>
                <w:b/>
                <w:bCs/>
              </w:rPr>
              <w:t>(11,451)</w:t>
            </w:r>
          </w:p>
        </w:tc>
        <w:tc>
          <w:tcPr>
            <w:tcW w:w="1191" w:type="dxa"/>
          </w:tcPr>
          <w:p w14:paraId="4C57CF07" w14:textId="77777777" w:rsidR="00B02873" w:rsidRDefault="00B02873" w:rsidP="00215DF0">
            <w:pPr>
              <w:pStyle w:val="TablebodyleftFinancialsTables"/>
              <w:jc w:val="right"/>
            </w:pPr>
            <w:r>
              <w:t>(33,778)</w:t>
            </w:r>
          </w:p>
        </w:tc>
      </w:tr>
    </w:tbl>
    <w:p w14:paraId="32DA4FC0" w14:textId="77777777" w:rsidR="00B02873" w:rsidRDefault="00B02873" w:rsidP="00FE198A"/>
    <w:p w14:paraId="7C32585B" w14:textId="77777777" w:rsidR="00B02873" w:rsidRDefault="00B02873" w:rsidP="00215DF0">
      <w:pPr>
        <w:pStyle w:val="Normalbeforebullet"/>
      </w:pPr>
      <w:r>
        <w:t>For any new contracts entered into the department considers whether a contract is, or contains a lease. A lease is defined as ‘a contract, or part of a contract, that conveys the right to use an asset (the underlying asset) for a period of time in exchange for consideration’. To apply this definition the department assesses whether the contract meets three key evaluations which are whether:</w:t>
      </w:r>
    </w:p>
    <w:p w14:paraId="32749292" w14:textId="77777777" w:rsidR="00B02873" w:rsidRDefault="00B02873" w:rsidP="00B02873">
      <w:pPr>
        <w:pStyle w:val="Bullet1Lists"/>
      </w:pPr>
      <w:r>
        <w:t xml:space="preserve">the contract contains an identified asset, which is either explicitly identified in the contract or implicitly specified by being identified at the time the asset is made available to the department and for which the supplier does not have substantive substitution rights; </w:t>
      </w:r>
    </w:p>
    <w:p w14:paraId="3D27BA17" w14:textId="77777777" w:rsidR="00B02873" w:rsidRDefault="00B02873" w:rsidP="00B02873">
      <w:pPr>
        <w:pStyle w:val="Bullet1Lists"/>
      </w:pPr>
      <w:r>
        <w:t xml:space="preserve">the department has the right to obtain substantially all of the economic benefits from use of the identified asset throughout the period of use, considering its rights within the defined scope of the contract and the department has the right to direct the use of the identified asset throughout the period of use. </w:t>
      </w:r>
    </w:p>
    <w:p w14:paraId="381AD009" w14:textId="77777777" w:rsidR="00B02873" w:rsidRDefault="00B02873" w:rsidP="00215DF0">
      <w:pPr>
        <w:pStyle w:val="Bullet1Listslast"/>
      </w:pPr>
      <w:r>
        <w:t>the department has the right to take decisions in respect of ‘how and for what purpose’ the asset is used throughout the period of use.</w:t>
      </w:r>
    </w:p>
    <w:p w14:paraId="77ABAE47" w14:textId="77777777" w:rsidR="00B02873" w:rsidRDefault="00B02873" w:rsidP="00FE198A">
      <w:r>
        <w:t>This policy is applied to contracts entered into, or changed, on or after 1 July 2019.</w:t>
      </w:r>
    </w:p>
    <w:p w14:paraId="1049BECD" w14:textId="77777777" w:rsidR="00B02873" w:rsidRDefault="00B02873" w:rsidP="00215DF0">
      <w:pPr>
        <w:pStyle w:val="Heading5"/>
      </w:pPr>
      <w:r>
        <w:lastRenderedPageBreak/>
        <w:t>Separation of lease and non-lease components</w:t>
      </w:r>
    </w:p>
    <w:p w14:paraId="78296C40" w14:textId="787847C3" w:rsidR="00B02873" w:rsidRDefault="00B02873" w:rsidP="00FE198A">
      <w:r>
        <w:t>At inception or on reassessment of a contract that contains a lease component, the lessee is required to separate out and account separately for non-lease components within a lease contract and exclude these amounts when determining the lease liability and right-of-use asset amount.</w:t>
      </w:r>
    </w:p>
    <w:p w14:paraId="682AD2C7" w14:textId="39660937" w:rsidR="00B02873" w:rsidRDefault="00B02873" w:rsidP="00215DF0">
      <w:pPr>
        <w:pStyle w:val="Heading5"/>
      </w:pPr>
      <w:r>
        <w:t>Recognition and measurement of leases as a lessee</w:t>
      </w:r>
    </w:p>
    <w:p w14:paraId="4DE4FC20" w14:textId="77777777" w:rsidR="00B02873" w:rsidRDefault="00B02873" w:rsidP="00215DF0">
      <w:pPr>
        <w:pStyle w:val="Heading4"/>
      </w:pPr>
      <w:r>
        <w:t>Lease Liability – initial measurement</w:t>
      </w:r>
    </w:p>
    <w:p w14:paraId="64A93DAD" w14:textId="77777777" w:rsidR="00B02873" w:rsidRDefault="00B02873" w:rsidP="00FE198A">
      <w:r>
        <w:t>The lease liability is initially measured at the present value of the lease payments unpaid at the commencement date, discounted using the interest rate implicit in the lease if that rate is readily determinable or the department’s incremental borrowing rate.</w:t>
      </w:r>
    </w:p>
    <w:p w14:paraId="4BAFFED2" w14:textId="1A7C42BF" w:rsidR="00B02873" w:rsidRDefault="00B02873" w:rsidP="00215DF0">
      <w:pPr>
        <w:pStyle w:val="Normalbeforebullet"/>
      </w:pPr>
      <w:r>
        <w:t>Lease payments included in the measurement of the lease liability comprise the following:</w:t>
      </w:r>
    </w:p>
    <w:p w14:paraId="39CFAA7C" w14:textId="77777777" w:rsidR="00B02873" w:rsidRDefault="00B02873" w:rsidP="00B02873">
      <w:pPr>
        <w:pStyle w:val="Bullet1Lists"/>
      </w:pPr>
      <w:r>
        <w:t>fixed payments (including in-substance fixed payments);</w:t>
      </w:r>
    </w:p>
    <w:p w14:paraId="6ECC3BF9" w14:textId="77777777" w:rsidR="00B02873" w:rsidRDefault="00B02873" w:rsidP="00B02873">
      <w:pPr>
        <w:pStyle w:val="Bullet1Lists"/>
      </w:pPr>
      <w:r>
        <w:t>variable payments based on an index or rate, initially measured using the index or rate as at the commencement date;</w:t>
      </w:r>
    </w:p>
    <w:p w14:paraId="2C25B2FF" w14:textId="77777777" w:rsidR="00B02873" w:rsidRDefault="00B02873" w:rsidP="00B02873">
      <w:pPr>
        <w:pStyle w:val="Bullet1Lists"/>
      </w:pPr>
      <w:r>
        <w:t>amounts expected to be payable under a residual value guarantee; and</w:t>
      </w:r>
    </w:p>
    <w:p w14:paraId="3D50BE13" w14:textId="77777777" w:rsidR="00B02873" w:rsidRDefault="00B02873" w:rsidP="00215DF0">
      <w:pPr>
        <w:pStyle w:val="Bullet1Listslast"/>
      </w:pPr>
      <w:r>
        <w:t>payments arising from purchase and termination options reasonably certain to be exercised.</w:t>
      </w:r>
    </w:p>
    <w:p w14:paraId="5D98A5C8" w14:textId="77777777" w:rsidR="00B02873" w:rsidRDefault="00B02873" w:rsidP="00215DF0">
      <w:pPr>
        <w:pStyle w:val="Heading4"/>
      </w:pPr>
      <w:r>
        <w:t>Lease Liability – subsequent measurement</w:t>
      </w:r>
    </w:p>
    <w:p w14:paraId="441CE36A" w14:textId="77777777" w:rsidR="00B02873" w:rsidRDefault="00B02873" w:rsidP="00FE198A">
      <w:r>
        <w:t>Subsequent to initial measurement, the liability will be reduced for payments made and increased for interest. It is remeasured to reflect any reassessment or modification, or if there are changes in-substance fixed payments.</w:t>
      </w:r>
    </w:p>
    <w:p w14:paraId="234D39B8" w14:textId="77777777" w:rsidR="00B02873" w:rsidRDefault="00B02873" w:rsidP="00FE198A">
      <w:r>
        <w:t>When the lease liability is remeasured, the corresponding adjustment is reflected in the right-of-use asset, or profit and loss if the right of use asset is already reduced to zero.</w:t>
      </w:r>
    </w:p>
    <w:p w14:paraId="64AC0402" w14:textId="77777777" w:rsidR="00B02873" w:rsidRDefault="00B02873" w:rsidP="00215DF0">
      <w:pPr>
        <w:pStyle w:val="Heading4"/>
      </w:pPr>
      <w:r>
        <w:t>Short-term leases and leases of low value assets</w:t>
      </w:r>
    </w:p>
    <w:p w14:paraId="3622BB76" w14:textId="77777777" w:rsidR="00B02873" w:rsidRDefault="00B02873" w:rsidP="00FE198A">
      <w:r>
        <w:rPr>
          <w:spacing w:val="-2"/>
        </w:rPr>
        <w:t>The department has elected to account for short-term leases and leases of low value assets using the practical expedients. Instead of recognising a right of use asset and lease liability, the payments in relation to these are recognised as an expense in profit or loss on a straight line basis over the lease term.</w:t>
      </w:r>
    </w:p>
    <w:p w14:paraId="6D7E6592" w14:textId="77777777" w:rsidR="00B02873" w:rsidRDefault="00B02873" w:rsidP="00215DF0">
      <w:pPr>
        <w:pStyle w:val="Heading4"/>
      </w:pPr>
      <w:r>
        <w:t>Presentation of right-of-use assets and lease liabilities</w:t>
      </w:r>
    </w:p>
    <w:p w14:paraId="250B8BB9" w14:textId="77777777" w:rsidR="00B02873" w:rsidRDefault="00B02873" w:rsidP="00FE198A">
      <w:r>
        <w:t>The department presents right-of-use assets as ‘property plant equipment’ unless they meet the definition of investment property, in which case they are disclosed as ‘investment property’ in the balance sheet. Lease liabilities are presented as ‘borrowings’ in the balance sheet.</w:t>
      </w:r>
    </w:p>
    <w:p w14:paraId="7CB47436" w14:textId="728EC869" w:rsidR="00B02873" w:rsidRDefault="00B02873" w:rsidP="00FE198A"/>
    <w:p w14:paraId="687F4722" w14:textId="77777777" w:rsidR="00215DF0" w:rsidRDefault="00215DF0" w:rsidP="00FE198A">
      <w:pPr>
        <w:sectPr w:rsidR="00215DF0" w:rsidSect="000C0438">
          <w:pgSz w:w="11906" w:h="16838" w:code="9"/>
          <w:pgMar w:top="1134" w:right="1134" w:bottom="1134" w:left="1134" w:header="720" w:footer="720" w:gutter="0"/>
          <w:cols w:space="720"/>
          <w:noEndnote/>
        </w:sectPr>
      </w:pPr>
    </w:p>
    <w:p w14:paraId="6AAB46AC" w14:textId="77777777" w:rsidR="00926220" w:rsidRDefault="00926220" w:rsidP="00926220">
      <w:pPr>
        <w:pStyle w:val="Heading3"/>
      </w:pPr>
      <w:r>
        <w:lastRenderedPageBreak/>
        <w:t>7.4 Trust account balances</w:t>
      </w:r>
    </w:p>
    <w:p w14:paraId="47C32F4B" w14:textId="77777777" w:rsidR="00926220" w:rsidRDefault="00926220" w:rsidP="00926220">
      <w:r>
        <w:rPr>
          <w:spacing w:val="-3"/>
        </w:rPr>
        <w:t xml:space="preserve">The department has responsibility for transactions and balances relating to trust funds held. No third party funds were held under management for either 2021–22 or 2020–21. </w:t>
      </w:r>
    </w:p>
    <w:p w14:paraId="346127FA" w14:textId="25FA1EEC" w:rsidR="00215DF0" w:rsidRDefault="00926220" w:rsidP="00926220">
      <w:r>
        <w:t>The following is a listing of trust account balances in cash and deposits relating to trust accounts controlled and administered by the department.</w:t>
      </w:r>
    </w:p>
    <w:tbl>
      <w:tblPr>
        <w:tblStyle w:val="TableGrid"/>
        <w:tblW w:w="0" w:type="auto"/>
        <w:tblLayout w:type="fixed"/>
        <w:tblLook w:val="0020" w:firstRow="1" w:lastRow="0" w:firstColumn="0" w:lastColumn="0" w:noHBand="0" w:noVBand="0"/>
      </w:tblPr>
      <w:tblGrid>
        <w:gridCol w:w="5669"/>
        <w:gridCol w:w="1077"/>
        <w:gridCol w:w="1078"/>
        <w:gridCol w:w="1077"/>
        <w:gridCol w:w="1077"/>
        <w:gridCol w:w="1077"/>
        <w:gridCol w:w="1077"/>
        <w:gridCol w:w="1077"/>
        <w:gridCol w:w="1078"/>
      </w:tblGrid>
      <w:tr w:rsidR="00B02873" w:rsidRPr="00B02873" w14:paraId="69B83B0B" w14:textId="77777777" w:rsidTr="00926220">
        <w:trPr>
          <w:cnfStyle w:val="100000000000" w:firstRow="1" w:lastRow="0" w:firstColumn="0" w:lastColumn="0" w:oddVBand="0" w:evenVBand="0" w:oddHBand="0" w:evenHBand="0" w:firstRowFirstColumn="0" w:firstRowLastColumn="0" w:lastRowFirstColumn="0" w:lastRowLastColumn="0"/>
          <w:trHeight w:val="60"/>
          <w:tblHeader/>
        </w:trPr>
        <w:tc>
          <w:tcPr>
            <w:tcW w:w="5669" w:type="dxa"/>
          </w:tcPr>
          <w:p w14:paraId="3C5D5FCB" w14:textId="77777777" w:rsidR="00B02873" w:rsidRPr="00A50A39" w:rsidRDefault="00B02873" w:rsidP="00A50A39">
            <w:pPr>
              <w:pStyle w:val="TableheadingleftFinancialsTables"/>
              <w:rPr>
                <w:sz w:val="16"/>
              </w:rPr>
            </w:pPr>
          </w:p>
        </w:tc>
        <w:tc>
          <w:tcPr>
            <w:tcW w:w="1077" w:type="dxa"/>
          </w:tcPr>
          <w:p w14:paraId="6530C3A3" w14:textId="4F8FB8EC" w:rsidR="00B02873" w:rsidRPr="00926220" w:rsidRDefault="00A50A39" w:rsidP="00A50A39">
            <w:pPr>
              <w:pStyle w:val="TableheadingleftFinancialsTables"/>
              <w:jc w:val="right"/>
              <w:rPr>
                <w:sz w:val="16"/>
              </w:rPr>
            </w:pPr>
            <w:r w:rsidRPr="00926220">
              <w:rPr>
                <w:sz w:val="16"/>
              </w:rPr>
              <w:t xml:space="preserve">2022 </w:t>
            </w:r>
            <w:r w:rsidR="00B02873" w:rsidRPr="00926220">
              <w:rPr>
                <w:sz w:val="16"/>
              </w:rPr>
              <w:t xml:space="preserve">Balance at </w:t>
            </w:r>
            <w:r w:rsidR="00B02873" w:rsidRPr="00926220">
              <w:rPr>
                <w:sz w:val="16"/>
              </w:rPr>
              <w:br/>
              <w:t>1 July 2021</w:t>
            </w:r>
            <w:r w:rsidR="00B02873" w:rsidRPr="00926220">
              <w:rPr>
                <w:sz w:val="16"/>
              </w:rPr>
              <w:br/>
              <w:t>$’000</w:t>
            </w:r>
          </w:p>
        </w:tc>
        <w:tc>
          <w:tcPr>
            <w:tcW w:w="1078" w:type="dxa"/>
          </w:tcPr>
          <w:p w14:paraId="1ACE3CB4" w14:textId="4964D67B" w:rsidR="00B02873" w:rsidRPr="00926220" w:rsidRDefault="00A50A39" w:rsidP="00A50A39">
            <w:pPr>
              <w:pStyle w:val="TableheadingleftFinancialsTables"/>
              <w:jc w:val="right"/>
              <w:rPr>
                <w:sz w:val="16"/>
              </w:rPr>
            </w:pPr>
            <w:r w:rsidRPr="00926220">
              <w:rPr>
                <w:sz w:val="16"/>
              </w:rPr>
              <w:t xml:space="preserve">2022 </w:t>
            </w:r>
            <w:r w:rsidRPr="00926220">
              <w:rPr>
                <w:sz w:val="16"/>
              </w:rPr>
              <w:br/>
            </w:r>
            <w:r w:rsidR="00B02873" w:rsidRPr="00926220">
              <w:rPr>
                <w:sz w:val="16"/>
              </w:rPr>
              <w:t>Total receipts</w:t>
            </w:r>
            <w:r w:rsidR="00B02873" w:rsidRPr="00926220">
              <w:rPr>
                <w:sz w:val="16"/>
              </w:rPr>
              <w:br/>
              <w:t>$’000</w:t>
            </w:r>
          </w:p>
        </w:tc>
        <w:tc>
          <w:tcPr>
            <w:tcW w:w="1077" w:type="dxa"/>
          </w:tcPr>
          <w:p w14:paraId="74FB7BDC" w14:textId="3C850147" w:rsidR="00B02873" w:rsidRPr="00926220" w:rsidRDefault="00A50A39" w:rsidP="00A50A39">
            <w:pPr>
              <w:pStyle w:val="TableheadingleftFinancialsTables"/>
              <w:jc w:val="right"/>
              <w:rPr>
                <w:sz w:val="16"/>
              </w:rPr>
            </w:pPr>
            <w:r w:rsidRPr="00926220">
              <w:rPr>
                <w:sz w:val="16"/>
              </w:rPr>
              <w:t xml:space="preserve">2022 </w:t>
            </w:r>
            <w:r w:rsidRPr="00926220">
              <w:rPr>
                <w:sz w:val="16"/>
              </w:rPr>
              <w:br/>
            </w:r>
            <w:r w:rsidR="00B02873" w:rsidRPr="00926220">
              <w:rPr>
                <w:sz w:val="16"/>
              </w:rPr>
              <w:t>Total payments</w:t>
            </w:r>
            <w:r w:rsidR="00B02873" w:rsidRPr="00926220">
              <w:rPr>
                <w:sz w:val="16"/>
              </w:rPr>
              <w:br/>
              <w:t>$’000</w:t>
            </w:r>
          </w:p>
        </w:tc>
        <w:tc>
          <w:tcPr>
            <w:tcW w:w="1077" w:type="dxa"/>
          </w:tcPr>
          <w:p w14:paraId="6ECBA925" w14:textId="307AAC88" w:rsidR="00B02873" w:rsidRPr="00926220" w:rsidRDefault="00A50A39" w:rsidP="00A50A39">
            <w:pPr>
              <w:pStyle w:val="TableheadingleftFinancialsTables"/>
              <w:jc w:val="right"/>
              <w:rPr>
                <w:sz w:val="16"/>
              </w:rPr>
            </w:pPr>
            <w:r w:rsidRPr="00926220">
              <w:rPr>
                <w:sz w:val="16"/>
              </w:rPr>
              <w:t xml:space="preserve">2022 </w:t>
            </w:r>
            <w:r w:rsidR="00B02873" w:rsidRPr="00926220">
              <w:rPr>
                <w:sz w:val="16"/>
              </w:rPr>
              <w:t xml:space="preserve">Balance at </w:t>
            </w:r>
            <w:r w:rsidR="00B02873" w:rsidRPr="00926220">
              <w:rPr>
                <w:sz w:val="16"/>
              </w:rPr>
              <w:br/>
            </w:r>
            <w:r w:rsidR="00B02873" w:rsidRPr="00926220">
              <w:rPr>
                <w:spacing w:val="-6"/>
                <w:sz w:val="16"/>
              </w:rPr>
              <w:t>30 June 2022</w:t>
            </w:r>
            <w:r w:rsidR="00B02873" w:rsidRPr="00926220">
              <w:rPr>
                <w:spacing w:val="-1"/>
                <w:sz w:val="16"/>
              </w:rPr>
              <w:br/>
            </w:r>
            <w:r w:rsidR="00B02873" w:rsidRPr="00926220">
              <w:rPr>
                <w:sz w:val="16"/>
              </w:rPr>
              <w:t>$’000</w:t>
            </w:r>
          </w:p>
        </w:tc>
        <w:tc>
          <w:tcPr>
            <w:tcW w:w="1077" w:type="dxa"/>
          </w:tcPr>
          <w:p w14:paraId="1624E4F5" w14:textId="01BDD430" w:rsidR="00B02873" w:rsidRPr="00A50A39" w:rsidRDefault="00A50A39" w:rsidP="00A50A39">
            <w:pPr>
              <w:pStyle w:val="TableheadingleftFinancialsTables"/>
              <w:jc w:val="right"/>
              <w:rPr>
                <w:b w:val="0"/>
                <w:bCs w:val="0"/>
                <w:sz w:val="16"/>
              </w:rPr>
            </w:pPr>
            <w:r w:rsidRPr="00A50A39">
              <w:rPr>
                <w:b w:val="0"/>
                <w:bCs w:val="0"/>
                <w:sz w:val="16"/>
              </w:rPr>
              <w:t xml:space="preserve">2021 </w:t>
            </w:r>
            <w:r w:rsidR="00B02873" w:rsidRPr="00A50A39">
              <w:rPr>
                <w:b w:val="0"/>
                <w:bCs w:val="0"/>
                <w:sz w:val="16"/>
              </w:rPr>
              <w:t xml:space="preserve">Balance at </w:t>
            </w:r>
            <w:r w:rsidR="00B02873" w:rsidRPr="00A50A39">
              <w:rPr>
                <w:b w:val="0"/>
                <w:bCs w:val="0"/>
                <w:sz w:val="16"/>
              </w:rPr>
              <w:br/>
              <w:t>1 July 2020</w:t>
            </w:r>
            <w:r w:rsidR="00B02873" w:rsidRPr="00A50A39">
              <w:rPr>
                <w:b w:val="0"/>
                <w:bCs w:val="0"/>
                <w:sz w:val="16"/>
              </w:rPr>
              <w:br/>
              <w:t>$’000</w:t>
            </w:r>
          </w:p>
        </w:tc>
        <w:tc>
          <w:tcPr>
            <w:tcW w:w="1077" w:type="dxa"/>
          </w:tcPr>
          <w:p w14:paraId="20704FDE" w14:textId="558EDD67" w:rsidR="00B02873" w:rsidRPr="00A50A39" w:rsidRDefault="00A50A39" w:rsidP="00A50A39">
            <w:pPr>
              <w:pStyle w:val="TableheadingleftFinancialsTables"/>
              <w:jc w:val="right"/>
              <w:rPr>
                <w:b w:val="0"/>
                <w:bCs w:val="0"/>
                <w:sz w:val="16"/>
              </w:rPr>
            </w:pPr>
            <w:r w:rsidRPr="00A50A39">
              <w:rPr>
                <w:b w:val="0"/>
                <w:bCs w:val="0"/>
                <w:sz w:val="16"/>
              </w:rPr>
              <w:t xml:space="preserve">2021 </w:t>
            </w:r>
            <w:r>
              <w:rPr>
                <w:b w:val="0"/>
                <w:bCs w:val="0"/>
                <w:sz w:val="16"/>
              </w:rPr>
              <w:br/>
            </w:r>
            <w:r w:rsidR="00B02873" w:rsidRPr="00A50A39">
              <w:rPr>
                <w:b w:val="0"/>
                <w:bCs w:val="0"/>
                <w:sz w:val="16"/>
              </w:rPr>
              <w:t>Total receipts</w:t>
            </w:r>
            <w:r w:rsidR="00B02873" w:rsidRPr="00A50A39">
              <w:rPr>
                <w:b w:val="0"/>
                <w:bCs w:val="0"/>
                <w:sz w:val="16"/>
              </w:rPr>
              <w:br/>
              <w:t>$’000</w:t>
            </w:r>
          </w:p>
        </w:tc>
        <w:tc>
          <w:tcPr>
            <w:tcW w:w="1077" w:type="dxa"/>
          </w:tcPr>
          <w:p w14:paraId="0FB4A85B" w14:textId="64D0A5BD" w:rsidR="00B02873" w:rsidRPr="00A50A39" w:rsidRDefault="00A50A39" w:rsidP="00A50A39">
            <w:pPr>
              <w:pStyle w:val="TableheadingleftFinancialsTables"/>
              <w:jc w:val="right"/>
              <w:rPr>
                <w:b w:val="0"/>
                <w:bCs w:val="0"/>
                <w:sz w:val="16"/>
              </w:rPr>
            </w:pPr>
            <w:r w:rsidRPr="00A50A39">
              <w:rPr>
                <w:b w:val="0"/>
                <w:bCs w:val="0"/>
                <w:sz w:val="16"/>
              </w:rPr>
              <w:t xml:space="preserve">2021 </w:t>
            </w:r>
            <w:r>
              <w:rPr>
                <w:b w:val="0"/>
                <w:bCs w:val="0"/>
                <w:sz w:val="16"/>
              </w:rPr>
              <w:br/>
            </w:r>
            <w:r w:rsidR="00B02873" w:rsidRPr="00A50A39">
              <w:rPr>
                <w:b w:val="0"/>
                <w:bCs w:val="0"/>
                <w:sz w:val="16"/>
              </w:rPr>
              <w:t>Total payments</w:t>
            </w:r>
            <w:r w:rsidR="00B02873" w:rsidRPr="00A50A39">
              <w:rPr>
                <w:b w:val="0"/>
                <w:bCs w:val="0"/>
                <w:sz w:val="16"/>
              </w:rPr>
              <w:br/>
              <w:t>$’000</w:t>
            </w:r>
          </w:p>
        </w:tc>
        <w:tc>
          <w:tcPr>
            <w:tcW w:w="1078" w:type="dxa"/>
          </w:tcPr>
          <w:p w14:paraId="20AB6116" w14:textId="310A56B9" w:rsidR="00B02873" w:rsidRPr="00A50A39" w:rsidRDefault="00A50A39" w:rsidP="00A50A39">
            <w:pPr>
              <w:pStyle w:val="TableheadingleftFinancialsTables"/>
              <w:jc w:val="right"/>
              <w:rPr>
                <w:b w:val="0"/>
                <w:bCs w:val="0"/>
                <w:sz w:val="16"/>
              </w:rPr>
            </w:pPr>
            <w:r w:rsidRPr="00A50A39">
              <w:rPr>
                <w:b w:val="0"/>
                <w:bCs w:val="0"/>
                <w:sz w:val="16"/>
              </w:rPr>
              <w:t xml:space="preserve">2021 </w:t>
            </w:r>
            <w:r w:rsidR="00B02873" w:rsidRPr="00A50A39">
              <w:rPr>
                <w:b w:val="0"/>
                <w:bCs w:val="0"/>
                <w:sz w:val="16"/>
              </w:rPr>
              <w:t xml:space="preserve">Balance at </w:t>
            </w:r>
            <w:r w:rsidR="00B02873" w:rsidRPr="00A50A39">
              <w:rPr>
                <w:b w:val="0"/>
                <w:bCs w:val="0"/>
                <w:sz w:val="16"/>
              </w:rPr>
              <w:br/>
            </w:r>
            <w:r w:rsidR="00B02873" w:rsidRPr="00A50A39">
              <w:rPr>
                <w:b w:val="0"/>
                <w:bCs w:val="0"/>
                <w:spacing w:val="-4"/>
                <w:sz w:val="16"/>
              </w:rPr>
              <w:t>30 June 2021</w:t>
            </w:r>
            <w:r w:rsidR="00B02873" w:rsidRPr="00A50A39">
              <w:rPr>
                <w:b w:val="0"/>
                <w:bCs w:val="0"/>
                <w:sz w:val="16"/>
              </w:rPr>
              <w:br/>
              <w:t>$’000</w:t>
            </w:r>
          </w:p>
        </w:tc>
      </w:tr>
      <w:tr w:rsidR="00B02873" w:rsidRPr="00B02873" w14:paraId="610A64F0" w14:textId="77777777" w:rsidTr="0007484E">
        <w:trPr>
          <w:trHeight w:val="60"/>
        </w:trPr>
        <w:tc>
          <w:tcPr>
            <w:tcW w:w="5669" w:type="dxa"/>
          </w:tcPr>
          <w:p w14:paraId="5BBDFBB9" w14:textId="77777777" w:rsidR="00B02873" w:rsidRPr="00926220" w:rsidRDefault="00B02873" w:rsidP="00A50A39">
            <w:pPr>
              <w:pStyle w:val="TablebodyleftFinancialsTables"/>
              <w:rPr>
                <w:b/>
                <w:bCs/>
                <w:sz w:val="16"/>
              </w:rPr>
            </w:pPr>
            <w:r w:rsidRPr="00926220">
              <w:rPr>
                <w:b/>
                <w:bCs/>
                <w:sz w:val="16"/>
              </w:rPr>
              <w:t>Controlled trusts</w:t>
            </w:r>
          </w:p>
        </w:tc>
        <w:tc>
          <w:tcPr>
            <w:tcW w:w="1077" w:type="dxa"/>
          </w:tcPr>
          <w:p w14:paraId="226EC32C" w14:textId="77777777" w:rsidR="00B02873" w:rsidRPr="00926220" w:rsidRDefault="00B02873" w:rsidP="00A50A39">
            <w:pPr>
              <w:pStyle w:val="TablebodyleftFinancialsTables"/>
              <w:jc w:val="right"/>
              <w:rPr>
                <w:rFonts w:ascii="VIC Bold Italic" w:hAnsi="VIC Bold Italic" w:cs="Times New Roman"/>
                <w:b/>
                <w:bCs/>
                <w:sz w:val="16"/>
              </w:rPr>
            </w:pPr>
          </w:p>
        </w:tc>
        <w:tc>
          <w:tcPr>
            <w:tcW w:w="1078" w:type="dxa"/>
          </w:tcPr>
          <w:p w14:paraId="0E423618" w14:textId="77777777" w:rsidR="00B02873" w:rsidRPr="00926220" w:rsidRDefault="00B02873" w:rsidP="00A50A39">
            <w:pPr>
              <w:pStyle w:val="TablebodyleftFinancialsTables"/>
              <w:jc w:val="right"/>
              <w:rPr>
                <w:rFonts w:ascii="VIC Bold Italic" w:hAnsi="VIC Bold Italic" w:cs="Times New Roman"/>
                <w:b/>
                <w:bCs/>
                <w:sz w:val="16"/>
              </w:rPr>
            </w:pPr>
          </w:p>
        </w:tc>
        <w:tc>
          <w:tcPr>
            <w:tcW w:w="1077" w:type="dxa"/>
          </w:tcPr>
          <w:p w14:paraId="1D21F8A8" w14:textId="77777777" w:rsidR="00B02873" w:rsidRPr="00926220" w:rsidRDefault="00B02873" w:rsidP="00A50A39">
            <w:pPr>
              <w:pStyle w:val="TablebodyleftFinancialsTables"/>
              <w:jc w:val="right"/>
              <w:rPr>
                <w:rFonts w:ascii="VIC Bold Italic" w:hAnsi="VIC Bold Italic" w:cs="Times New Roman"/>
                <w:b/>
                <w:bCs/>
                <w:sz w:val="16"/>
              </w:rPr>
            </w:pPr>
          </w:p>
        </w:tc>
        <w:tc>
          <w:tcPr>
            <w:tcW w:w="1077" w:type="dxa"/>
          </w:tcPr>
          <w:p w14:paraId="3B4D18E0" w14:textId="77777777" w:rsidR="00B02873" w:rsidRPr="00926220" w:rsidRDefault="00B02873" w:rsidP="00A50A39">
            <w:pPr>
              <w:pStyle w:val="TablebodyleftFinancialsTables"/>
              <w:jc w:val="right"/>
              <w:rPr>
                <w:rFonts w:ascii="VIC Bold Italic" w:hAnsi="VIC Bold Italic" w:cs="Times New Roman"/>
                <w:b/>
                <w:bCs/>
                <w:sz w:val="16"/>
              </w:rPr>
            </w:pPr>
          </w:p>
        </w:tc>
        <w:tc>
          <w:tcPr>
            <w:tcW w:w="1077" w:type="dxa"/>
          </w:tcPr>
          <w:p w14:paraId="17C02D08" w14:textId="77777777" w:rsidR="00B02873" w:rsidRPr="00A50A39" w:rsidRDefault="00B02873" w:rsidP="00A50A39">
            <w:pPr>
              <w:pStyle w:val="TablebodyleftFinancialsTables"/>
              <w:jc w:val="right"/>
              <w:rPr>
                <w:rFonts w:ascii="VIC Bold Italic" w:hAnsi="VIC Bold Italic" w:cs="Times New Roman"/>
                <w:sz w:val="16"/>
              </w:rPr>
            </w:pPr>
          </w:p>
        </w:tc>
        <w:tc>
          <w:tcPr>
            <w:tcW w:w="1077" w:type="dxa"/>
          </w:tcPr>
          <w:p w14:paraId="428C55B6" w14:textId="77777777" w:rsidR="00B02873" w:rsidRPr="00A50A39" w:rsidRDefault="00B02873" w:rsidP="00A50A39">
            <w:pPr>
              <w:pStyle w:val="TablebodyleftFinancialsTables"/>
              <w:jc w:val="right"/>
              <w:rPr>
                <w:rFonts w:ascii="VIC Bold Italic" w:hAnsi="VIC Bold Italic" w:cs="Times New Roman"/>
                <w:sz w:val="16"/>
              </w:rPr>
            </w:pPr>
          </w:p>
        </w:tc>
        <w:tc>
          <w:tcPr>
            <w:tcW w:w="1077" w:type="dxa"/>
          </w:tcPr>
          <w:p w14:paraId="1CC0FDBD" w14:textId="77777777" w:rsidR="00B02873" w:rsidRPr="00A50A39" w:rsidRDefault="00B02873" w:rsidP="00A50A39">
            <w:pPr>
              <w:pStyle w:val="TablebodyleftFinancialsTables"/>
              <w:jc w:val="right"/>
              <w:rPr>
                <w:rFonts w:ascii="VIC Bold Italic" w:hAnsi="VIC Bold Italic" w:cs="Times New Roman"/>
                <w:sz w:val="16"/>
              </w:rPr>
            </w:pPr>
          </w:p>
        </w:tc>
        <w:tc>
          <w:tcPr>
            <w:tcW w:w="1078" w:type="dxa"/>
          </w:tcPr>
          <w:p w14:paraId="32D2EE3D" w14:textId="77777777" w:rsidR="00B02873" w:rsidRPr="00A50A39" w:rsidRDefault="00B02873" w:rsidP="00A50A39">
            <w:pPr>
              <w:pStyle w:val="TablebodyleftFinancialsTables"/>
              <w:jc w:val="right"/>
              <w:rPr>
                <w:rFonts w:ascii="VIC Bold Italic" w:hAnsi="VIC Bold Italic" w:cs="Times New Roman"/>
                <w:sz w:val="16"/>
              </w:rPr>
            </w:pPr>
          </w:p>
        </w:tc>
      </w:tr>
      <w:tr w:rsidR="00B02873" w:rsidRPr="00B02873" w14:paraId="3F84826B" w14:textId="77777777" w:rsidTr="0007484E">
        <w:trPr>
          <w:trHeight w:val="60"/>
        </w:trPr>
        <w:tc>
          <w:tcPr>
            <w:tcW w:w="5669" w:type="dxa"/>
          </w:tcPr>
          <w:p w14:paraId="66CF2FAA" w14:textId="77777777" w:rsidR="00B02873" w:rsidRPr="00926220" w:rsidRDefault="00B02873" w:rsidP="00A50A39">
            <w:pPr>
              <w:pStyle w:val="TablebodyleftFinancialsTables"/>
              <w:rPr>
                <w:b/>
                <w:bCs/>
                <w:sz w:val="16"/>
              </w:rPr>
            </w:pPr>
            <w:r w:rsidRPr="00926220">
              <w:rPr>
                <w:b/>
                <w:bCs/>
                <w:sz w:val="16"/>
              </w:rPr>
              <w:t xml:space="preserve">Cash and deposits </w:t>
            </w:r>
          </w:p>
        </w:tc>
        <w:tc>
          <w:tcPr>
            <w:tcW w:w="1077" w:type="dxa"/>
          </w:tcPr>
          <w:p w14:paraId="35647CDA" w14:textId="77777777" w:rsidR="00B02873" w:rsidRPr="00926220" w:rsidRDefault="00B02873" w:rsidP="00A50A39">
            <w:pPr>
              <w:pStyle w:val="TablebodyleftFinancialsTables"/>
              <w:jc w:val="right"/>
              <w:rPr>
                <w:rFonts w:ascii="VIC Bold Italic" w:hAnsi="VIC Bold Italic" w:cs="Times New Roman"/>
                <w:b/>
                <w:bCs/>
                <w:sz w:val="16"/>
              </w:rPr>
            </w:pPr>
          </w:p>
        </w:tc>
        <w:tc>
          <w:tcPr>
            <w:tcW w:w="1078" w:type="dxa"/>
          </w:tcPr>
          <w:p w14:paraId="6B1686D7" w14:textId="77777777" w:rsidR="00B02873" w:rsidRPr="00926220" w:rsidRDefault="00B02873" w:rsidP="00A50A39">
            <w:pPr>
              <w:pStyle w:val="TablebodyleftFinancialsTables"/>
              <w:jc w:val="right"/>
              <w:rPr>
                <w:rFonts w:ascii="VIC Bold Italic" w:hAnsi="VIC Bold Italic" w:cs="Times New Roman"/>
                <w:b/>
                <w:bCs/>
                <w:sz w:val="16"/>
              </w:rPr>
            </w:pPr>
          </w:p>
        </w:tc>
        <w:tc>
          <w:tcPr>
            <w:tcW w:w="1077" w:type="dxa"/>
          </w:tcPr>
          <w:p w14:paraId="5A3FE987" w14:textId="77777777" w:rsidR="00B02873" w:rsidRPr="00926220" w:rsidRDefault="00B02873" w:rsidP="00A50A39">
            <w:pPr>
              <w:pStyle w:val="TablebodyleftFinancialsTables"/>
              <w:jc w:val="right"/>
              <w:rPr>
                <w:rFonts w:ascii="VIC Bold Italic" w:hAnsi="VIC Bold Italic" w:cs="Times New Roman"/>
                <w:b/>
                <w:bCs/>
                <w:sz w:val="16"/>
              </w:rPr>
            </w:pPr>
          </w:p>
        </w:tc>
        <w:tc>
          <w:tcPr>
            <w:tcW w:w="1077" w:type="dxa"/>
          </w:tcPr>
          <w:p w14:paraId="60EED0F5" w14:textId="77777777" w:rsidR="00B02873" w:rsidRPr="00926220" w:rsidRDefault="00B02873" w:rsidP="00A50A39">
            <w:pPr>
              <w:pStyle w:val="TablebodyleftFinancialsTables"/>
              <w:jc w:val="right"/>
              <w:rPr>
                <w:rFonts w:ascii="VIC Bold Italic" w:hAnsi="VIC Bold Italic" w:cs="Times New Roman"/>
                <w:b/>
                <w:bCs/>
                <w:sz w:val="16"/>
              </w:rPr>
            </w:pPr>
          </w:p>
        </w:tc>
        <w:tc>
          <w:tcPr>
            <w:tcW w:w="1077" w:type="dxa"/>
          </w:tcPr>
          <w:p w14:paraId="44D33CF1" w14:textId="77777777" w:rsidR="00B02873" w:rsidRPr="00A50A39" w:rsidRDefault="00B02873" w:rsidP="00A50A39">
            <w:pPr>
              <w:pStyle w:val="TablebodyleftFinancialsTables"/>
              <w:jc w:val="right"/>
              <w:rPr>
                <w:rFonts w:ascii="VIC Bold Italic" w:hAnsi="VIC Bold Italic" w:cs="Times New Roman"/>
                <w:sz w:val="16"/>
              </w:rPr>
            </w:pPr>
          </w:p>
        </w:tc>
        <w:tc>
          <w:tcPr>
            <w:tcW w:w="1077" w:type="dxa"/>
          </w:tcPr>
          <w:p w14:paraId="76D5BFA4" w14:textId="77777777" w:rsidR="00B02873" w:rsidRPr="00A50A39" w:rsidRDefault="00B02873" w:rsidP="00A50A39">
            <w:pPr>
              <w:pStyle w:val="TablebodyleftFinancialsTables"/>
              <w:jc w:val="right"/>
              <w:rPr>
                <w:rFonts w:ascii="VIC Bold Italic" w:hAnsi="VIC Bold Italic" w:cs="Times New Roman"/>
                <w:sz w:val="16"/>
              </w:rPr>
            </w:pPr>
          </w:p>
        </w:tc>
        <w:tc>
          <w:tcPr>
            <w:tcW w:w="1077" w:type="dxa"/>
          </w:tcPr>
          <w:p w14:paraId="0125EB78" w14:textId="77777777" w:rsidR="00B02873" w:rsidRPr="00A50A39" w:rsidRDefault="00B02873" w:rsidP="00A50A39">
            <w:pPr>
              <w:pStyle w:val="TablebodyleftFinancialsTables"/>
              <w:jc w:val="right"/>
              <w:rPr>
                <w:rFonts w:ascii="VIC Bold Italic" w:hAnsi="VIC Bold Italic" w:cs="Times New Roman"/>
                <w:sz w:val="16"/>
              </w:rPr>
            </w:pPr>
          </w:p>
        </w:tc>
        <w:tc>
          <w:tcPr>
            <w:tcW w:w="1078" w:type="dxa"/>
          </w:tcPr>
          <w:p w14:paraId="26C71BDC" w14:textId="77777777" w:rsidR="00B02873" w:rsidRPr="00A50A39" w:rsidRDefault="00B02873" w:rsidP="00A50A39">
            <w:pPr>
              <w:pStyle w:val="TablebodyleftFinancialsTables"/>
              <w:jc w:val="right"/>
              <w:rPr>
                <w:rFonts w:ascii="VIC Bold Italic" w:hAnsi="VIC Bold Italic" w:cs="Times New Roman"/>
                <w:sz w:val="16"/>
              </w:rPr>
            </w:pPr>
          </w:p>
        </w:tc>
      </w:tr>
      <w:tr w:rsidR="00B02873" w:rsidRPr="00B02873" w14:paraId="68DEE4A4" w14:textId="77777777" w:rsidTr="0007484E">
        <w:trPr>
          <w:trHeight w:val="60"/>
        </w:trPr>
        <w:tc>
          <w:tcPr>
            <w:tcW w:w="5669" w:type="dxa"/>
          </w:tcPr>
          <w:p w14:paraId="598C0A64" w14:textId="77777777" w:rsidR="00B02873" w:rsidRPr="00A50A39" w:rsidRDefault="00B02873" w:rsidP="00A50A39">
            <w:pPr>
              <w:pStyle w:val="TablebodyleftFinancialsTables"/>
              <w:rPr>
                <w:sz w:val="16"/>
              </w:rPr>
            </w:pPr>
            <w:r w:rsidRPr="00A50A39">
              <w:rPr>
                <w:sz w:val="16"/>
              </w:rPr>
              <w:t>Albury Wodonga Land Transfer</w:t>
            </w:r>
          </w:p>
          <w:p w14:paraId="6C777372" w14:textId="77777777" w:rsidR="00B02873" w:rsidRPr="00A50A39" w:rsidRDefault="00B02873" w:rsidP="00A50A39">
            <w:pPr>
              <w:pStyle w:val="TablebodyleftFinancialsTables"/>
              <w:rPr>
                <w:sz w:val="16"/>
              </w:rPr>
            </w:pPr>
            <w:r w:rsidRPr="00A50A39">
              <w:rPr>
                <w:spacing w:val="-1"/>
                <w:sz w:val="16"/>
              </w:rPr>
              <w:t xml:space="preserve">Operates under s19(2) of the </w:t>
            </w:r>
            <w:r w:rsidRPr="00A50A39">
              <w:rPr>
                <w:rStyle w:val="LightItalic"/>
                <w:rFonts w:asciiTheme="minorHAnsi" w:hAnsiTheme="minorHAnsi" w:cstheme="minorHAnsi"/>
                <w:sz w:val="16"/>
              </w:rPr>
              <w:t>Financial Management Act 1994</w:t>
            </w:r>
            <w:r w:rsidRPr="00A50A39">
              <w:rPr>
                <w:rFonts w:asciiTheme="minorHAnsi" w:hAnsiTheme="minorHAnsi" w:cstheme="minorHAnsi"/>
                <w:spacing w:val="-1"/>
                <w:sz w:val="16"/>
              </w:rPr>
              <w:t xml:space="preserve"> a</w:t>
            </w:r>
            <w:r w:rsidRPr="00A50A39">
              <w:rPr>
                <w:spacing w:val="-1"/>
                <w:sz w:val="16"/>
              </w:rPr>
              <w:t>s a specific purpose operating account. It receives funding and earns interest for the appropriate management and protection of land transferred from the Albury Wodonga Corporation.</w:t>
            </w:r>
          </w:p>
        </w:tc>
        <w:tc>
          <w:tcPr>
            <w:tcW w:w="1077" w:type="dxa"/>
          </w:tcPr>
          <w:p w14:paraId="3D94C371" w14:textId="77777777" w:rsidR="00B02873" w:rsidRPr="00926220" w:rsidRDefault="00B02873" w:rsidP="00A50A39">
            <w:pPr>
              <w:pStyle w:val="TablebodyleftFinancialsTables"/>
              <w:jc w:val="right"/>
              <w:rPr>
                <w:b/>
                <w:bCs/>
                <w:sz w:val="16"/>
              </w:rPr>
            </w:pPr>
            <w:r w:rsidRPr="00926220">
              <w:rPr>
                <w:b/>
                <w:bCs/>
                <w:sz w:val="16"/>
              </w:rPr>
              <w:t>566</w:t>
            </w:r>
          </w:p>
        </w:tc>
        <w:tc>
          <w:tcPr>
            <w:tcW w:w="1078" w:type="dxa"/>
          </w:tcPr>
          <w:p w14:paraId="0F1A969A" w14:textId="77777777" w:rsidR="00B02873" w:rsidRPr="00926220" w:rsidRDefault="00B02873" w:rsidP="00A50A39">
            <w:pPr>
              <w:pStyle w:val="TablebodyleftFinancialsTables"/>
              <w:jc w:val="right"/>
              <w:rPr>
                <w:b/>
                <w:bCs/>
                <w:sz w:val="16"/>
              </w:rPr>
            </w:pPr>
            <w:r w:rsidRPr="00926220">
              <w:rPr>
                <w:b/>
                <w:bCs/>
                <w:sz w:val="16"/>
              </w:rPr>
              <w:t>2</w:t>
            </w:r>
          </w:p>
        </w:tc>
        <w:tc>
          <w:tcPr>
            <w:tcW w:w="1077" w:type="dxa"/>
          </w:tcPr>
          <w:p w14:paraId="0A104F8A" w14:textId="77777777" w:rsidR="00B02873" w:rsidRPr="00926220" w:rsidRDefault="00B02873" w:rsidP="00A50A39">
            <w:pPr>
              <w:pStyle w:val="TablebodyleftFinancialsTables"/>
              <w:jc w:val="right"/>
              <w:rPr>
                <w:b/>
                <w:bCs/>
                <w:sz w:val="16"/>
              </w:rPr>
            </w:pPr>
            <w:r w:rsidRPr="00926220">
              <w:rPr>
                <w:b/>
                <w:bCs/>
                <w:sz w:val="16"/>
              </w:rPr>
              <w:t>(15)</w:t>
            </w:r>
          </w:p>
        </w:tc>
        <w:tc>
          <w:tcPr>
            <w:tcW w:w="1077" w:type="dxa"/>
          </w:tcPr>
          <w:p w14:paraId="2EC82073" w14:textId="77777777" w:rsidR="00B02873" w:rsidRPr="00926220" w:rsidRDefault="00B02873" w:rsidP="00A50A39">
            <w:pPr>
              <w:pStyle w:val="TablebodyleftFinancialsTables"/>
              <w:jc w:val="right"/>
              <w:rPr>
                <w:b/>
                <w:bCs/>
                <w:sz w:val="16"/>
              </w:rPr>
            </w:pPr>
            <w:r w:rsidRPr="00926220">
              <w:rPr>
                <w:b/>
                <w:bCs/>
                <w:sz w:val="16"/>
              </w:rPr>
              <w:t xml:space="preserve"> 553</w:t>
            </w:r>
          </w:p>
        </w:tc>
        <w:tc>
          <w:tcPr>
            <w:tcW w:w="1077" w:type="dxa"/>
          </w:tcPr>
          <w:p w14:paraId="4E91A1E9" w14:textId="77777777" w:rsidR="00B02873" w:rsidRPr="00A50A39" w:rsidRDefault="00B02873" w:rsidP="00A50A39">
            <w:pPr>
              <w:pStyle w:val="TablebodyleftFinancialsTables"/>
              <w:jc w:val="right"/>
              <w:rPr>
                <w:sz w:val="16"/>
              </w:rPr>
            </w:pPr>
            <w:r w:rsidRPr="00A50A39">
              <w:rPr>
                <w:sz w:val="16"/>
              </w:rPr>
              <w:t>596</w:t>
            </w:r>
          </w:p>
        </w:tc>
        <w:tc>
          <w:tcPr>
            <w:tcW w:w="1077" w:type="dxa"/>
          </w:tcPr>
          <w:p w14:paraId="43FD4215" w14:textId="77777777" w:rsidR="00B02873" w:rsidRPr="00A50A39" w:rsidRDefault="00B02873" w:rsidP="00A50A39">
            <w:pPr>
              <w:pStyle w:val="TablebodyleftFinancialsTables"/>
              <w:jc w:val="right"/>
              <w:rPr>
                <w:sz w:val="16"/>
              </w:rPr>
            </w:pPr>
            <w:r w:rsidRPr="00A50A39">
              <w:rPr>
                <w:sz w:val="16"/>
              </w:rPr>
              <w:t>2</w:t>
            </w:r>
          </w:p>
        </w:tc>
        <w:tc>
          <w:tcPr>
            <w:tcW w:w="1077" w:type="dxa"/>
          </w:tcPr>
          <w:p w14:paraId="65DD02AF" w14:textId="77777777" w:rsidR="00B02873" w:rsidRPr="00A50A39" w:rsidRDefault="00B02873" w:rsidP="00A50A39">
            <w:pPr>
              <w:pStyle w:val="TablebodyleftFinancialsTables"/>
              <w:jc w:val="right"/>
              <w:rPr>
                <w:sz w:val="16"/>
              </w:rPr>
            </w:pPr>
            <w:r w:rsidRPr="00A50A39">
              <w:rPr>
                <w:sz w:val="16"/>
              </w:rPr>
              <w:t>(32)</w:t>
            </w:r>
          </w:p>
        </w:tc>
        <w:tc>
          <w:tcPr>
            <w:tcW w:w="1078" w:type="dxa"/>
          </w:tcPr>
          <w:p w14:paraId="6ABCD25B" w14:textId="77777777" w:rsidR="00B02873" w:rsidRPr="00A50A39" w:rsidRDefault="00B02873" w:rsidP="00A50A39">
            <w:pPr>
              <w:pStyle w:val="TablebodyleftFinancialsTables"/>
              <w:jc w:val="right"/>
              <w:rPr>
                <w:sz w:val="16"/>
              </w:rPr>
            </w:pPr>
            <w:r w:rsidRPr="00A50A39">
              <w:rPr>
                <w:sz w:val="16"/>
              </w:rPr>
              <w:t xml:space="preserve"> 566</w:t>
            </w:r>
          </w:p>
        </w:tc>
      </w:tr>
      <w:tr w:rsidR="00B02873" w:rsidRPr="00B02873" w14:paraId="37889F8D" w14:textId="77777777" w:rsidTr="0007484E">
        <w:trPr>
          <w:trHeight w:val="60"/>
        </w:trPr>
        <w:tc>
          <w:tcPr>
            <w:tcW w:w="5669" w:type="dxa"/>
          </w:tcPr>
          <w:p w14:paraId="49F663E2" w14:textId="77777777" w:rsidR="00B02873" w:rsidRPr="00A50A39" w:rsidRDefault="00B02873" w:rsidP="00A50A39">
            <w:pPr>
              <w:pStyle w:val="TablebodyleftFinancialsTables"/>
              <w:rPr>
                <w:sz w:val="16"/>
              </w:rPr>
            </w:pPr>
            <w:r w:rsidRPr="00A50A39">
              <w:rPr>
                <w:sz w:val="16"/>
              </w:rPr>
              <w:t>Building New Communities Fund</w:t>
            </w:r>
          </w:p>
          <w:p w14:paraId="0C62BC0E" w14:textId="77777777" w:rsidR="00B02873" w:rsidRPr="00A50A39" w:rsidRDefault="00B02873" w:rsidP="00A50A39">
            <w:pPr>
              <w:pStyle w:val="TablebodyleftFinancialsTables"/>
              <w:rPr>
                <w:sz w:val="16"/>
              </w:rPr>
            </w:pPr>
            <w:r w:rsidRPr="00A50A39">
              <w:rPr>
                <w:sz w:val="16"/>
              </w:rPr>
              <w:t xml:space="preserve">Operates under s201VB of the </w:t>
            </w:r>
            <w:r w:rsidRPr="00A50A39">
              <w:rPr>
                <w:rStyle w:val="LightItalic"/>
                <w:rFonts w:asciiTheme="minorHAnsi" w:hAnsiTheme="minorHAnsi" w:cstheme="minorHAnsi"/>
                <w:sz w:val="16"/>
              </w:rPr>
              <w:t>Planning and Environment Act 1987</w:t>
            </w:r>
            <w:r w:rsidRPr="00A50A39">
              <w:rPr>
                <w:rFonts w:asciiTheme="minorHAnsi" w:hAnsiTheme="minorHAnsi" w:cstheme="minorHAnsi"/>
                <w:sz w:val="16"/>
              </w:rPr>
              <w:t xml:space="preserve"> t</w:t>
            </w:r>
            <w:r w:rsidRPr="00A50A39">
              <w:rPr>
                <w:sz w:val="16"/>
              </w:rPr>
              <w:t xml:space="preserve">o provide assistance for capital works for state funded infrastructure in any growth areas. </w:t>
            </w:r>
          </w:p>
        </w:tc>
        <w:tc>
          <w:tcPr>
            <w:tcW w:w="1077" w:type="dxa"/>
          </w:tcPr>
          <w:p w14:paraId="42D52E97" w14:textId="77777777" w:rsidR="00B02873" w:rsidRPr="00926220" w:rsidRDefault="00B02873" w:rsidP="00A50A39">
            <w:pPr>
              <w:pStyle w:val="TablebodyleftFinancialsTables"/>
              <w:jc w:val="right"/>
              <w:rPr>
                <w:b/>
                <w:bCs/>
                <w:sz w:val="16"/>
              </w:rPr>
            </w:pPr>
            <w:r w:rsidRPr="00926220">
              <w:rPr>
                <w:b/>
                <w:bCs/>
                <w:sz w:val="16"/>
              </w:rPr>
              <w:t>88,513</w:t>
            </w:r>
          </w:p>
        </w:tc>
        <w:tc>
          <w:tcPr>
            <w:tcW w:w="1078" w:type="dxa"/>
          </w:tcPr>
          <w:p w14:paraId="076937F7" w14:textId="77777777" w:rsidR="00B02873" w:rsidRPr="00926220" w:rsidRDefault="00B02873" w:rsidP="00A50A39">
            <w:pPr>
              <w:pStyle w:val="TablebodyleftFinancialsTables"/>
              <w:jc w:val="right"/>
              <w:rPr>
                <w:b/>
                <w:bCs/>
                <w:sz w:val="16"/>
              </w:rPr>
            </w:pPr>
            <w:r w:rsidRPr="00926220">
              <w:rPr>
                <w:b/>
                <w:bCs/>
                <w:sz w:val="16"/>
              </w:rPr>
              <w:t>90,996</w:t>
            </w:r>
          </w:p>
        </w:tc>
        <w:tc>
          <w:tcPr>
            <w:tcW w:w="1077" w:type="dxa"/>
          </w:tcPr>
          <w:p w14:paraId="6A94C1CA" w14:textId="77777777" w:rsidR="00B02873" w:rsidRPr="00926220" w:rsidRDefault="00B02873" w:rsidP="00A50A39">
            <w:pPr>
              <w:pStyle w:val="TablebodyleftFinancialsTables"/>
              <w:jc w:val="right"/>
              <w:rPr>
                <w:b/>
                <w:bCs/>
                <w:sz w:val="16"/>
              </w:rPr>
            </w:pPr>
            <w:r w:rsidRPr="00926220">
              <w:rPr>
                <w:b/>
                <w:bCs/>
                <w:sz w:val="16"/>
              </w:rPr>
              <w:t>(21,160)</w:t>
            </w:r>
          </w:p>
        </w:tc>
        <w:tc>
          <w:tcPr>
            <w:tcW w:w="1077" w:type="dxa"/>
          </w:tcPr>
          <w:p w14:paraId="67DB5206" w14:textId="77777777" w:rsidR="00B02873" w:rsidRPr="00926220" w:rsidRDefault="00B02873" w:rsidP="00A50A39">
            <w:pPr>
              <w:pStyle w:val="TablebodyleftFinancialsTables"/>
              <w:jc w:val="right"/>
              <w:rPr>
                <w:b/>
                <w:bCs/>
                <w:sz w:val="16"/>
              </w:rPr>
            </w:pPr>
            <w:r w:rsidRPr="00926220">
              <w:rPr>
                <w:b/>
                <w:bCs/>
                <w:sz w:val="16"/>
              </w:rPr>
              <w:t>158,349</w:t>
            </w:r>
          </w:p>
        </w:tc>
        <w:tc>
          <w:tcPr>
            <w:tcW w:w="1077" w:type="dxa"/>
          </w:tcPr>
          <w:p w14:paraId="63E6A2BE" w14:textId="77777777" w:rsidR="00B02873" w:rsidRPr="00A50A39" w:rsidRDefault="00B02873" w:rsidP="00A50A39">
            <w:pPr>
              <w:pStyle w:val="TablebodyleftFinancialsTables"/>
              <w:jc w:val="right"/>
              <w:rPr>
                <w:sz w:val="16"/>
              </w:rPr>
            </w:pPr>
            <w:r w:rsidRPr="00A50A39">
              <w:rPr>
                <w:sz w:val="16"/>
              </w:rPr>
              <w:t>30,258</w:t>
            </w:r>
          </w:p>
        </w:tc>
        <w:tc>
          <w:tcPr>
            <w:tcW w:w="1077" w:type="dxa"/>
          </w:tcPr>
          <w:p w14:paraId="21FE48D0" w14:textId="77777777" w:rsidR="00B02873" w:rsidRPr="00A50A39" w:rsidRDefault="00B02873" w:rsidP="00A50A39">
            <w:pPr>
              <w:pStyle w:val="TablebodyleftFinancialsTables"/>
              <w:jc w:val="right"/>
              <w:rPr>
                <w:sz w:val="16"/>
              </w:rPr>
            </w:pPr>
            <w:r w:rsidRPr="00A50A39">
              <w:rPr>
                <w:sz w:val="16"/>
              </w:rPr>
              <w:t>73,174</w:t>
            </w:r>
          </w:p>
        </w:tc>
        <w:tc>
          <w:tcPr>
            <w:tcW w:w="1077" w:type="dxa"/>
          </w:tcPr>
          <w:p w14:paraId="333C1BB8" w14:textId="77777777" w:rsidR="00B02873" w:rsidRPr="00A50A39" w:rsidRDefault="00B02873" w:rsidP="00A50A39">
            <w:pPr>
              <w:pStyle w:val="TablebodyleftFinancialsTables"/>
              <w:jc w:val="right"/>
              <w:rPr>
                <w:sz w:val="16"/>
              </w:rPr>
            </w:pPr>
            <w:r w:rsidRPr="00A50A39">
              <w:rPr>
                <w:sz w:val="16"/>
              </w:rPr>
              <w:t>(14,919)</w:t>
            </w:r>
          </w:p>
        </w:tc>
        <w:tc>
          <w:tcPr>
            <w:tcW w:w="1078" w:type="dxa"/>
          </w:tcPr>
          <w:p w14:paraId="2400389D" w14:textId="77777777" w:rsidR="00B02873" w:rsidRPr="00A50A39" w:rsidRDefault="00B02873" w:rsidP="00A50A39">
            <w:pPr>
              <w:pStyle w:val="TablebodyleftFinancialsTables"/>
              <w:jc w:val="right"/>
              <w:rPr>
                <w:sz w:val="16"/>
              </w:rPr>
            </w:pPr>
            <w:r w:rsidRPr="00A50A39">
              <w:rPr>
                <w:sz w:val="16"/>
              </w:rPr>
              <w:t>88,513</w:t>
            </w:r>
          </w:p>
        </w:tc>
      </w:tr>
      <w:tr w:rsidR="00B02873" w:rsidRPr="00B02873" w14:paraId="4F9E4E7D" w14:textId="77777777" w:rsidTr="0007484E">
        <w:trPr>
          <w:trHeight w:val="60"/>
        </w:trPr>
        <w:tc>
          <w:tcPr>
            <w:tcW w:w="5669" w:type="dxa"/>
          </w:tcPr>
          <w:p w14:paraId="0F5DA6C3" w14:textId="77777777" w:rsidR="00B02873" w:rsidRPr="00A50A39" w:rsidRDefault="00B02873" w:rsidP="00A50A39">
            <w:pPr>
              <w:pStyle w:val="TablebodyleftFinancialsTables"/>
              <w:rPr>
                <w:sz w:val="16"/>
              </w:rPr>
            </w:pPr>
            <w:r w:rsidRPr="00A50A39">
              <w:rPr>
                <w:sz w:val="16"/>
              </w:rPr>
              <w:t xml:space="preserve">Bulgana Green Power Hub Trust Account </w:t>
            </w:r>
            <w:r w:rsidRPr="00A50A39">
              <w:rPr>
                <w:sz w:val="16"/>
                <w:vertAlign w:val="superscript"/>
              </w:rPr>
              <w:t>(i)</w:t>
            </w:r>
          </w:p>
          <w:p w14:paraId="16D345B5" w14:textId="4DD2E64F" w:rsidR="00B02873" w:rsidRPr="00A50A39" w:rsidRDefault="00B02873" w:rsidP="00A50A39">
            <w:pPr>
              <w:pStyle w:val="TablebodyleftFinancialsTables"/>
              <w:rPr>
                <w:sz w:val="16"/>
              </w:rPr>
            </w:pPr>
            <w:r w:rsidRPr="00A50A39">
              <w:rPr>
                <w:sz w:val="16"/>
              </w:rPr>
              <w:t xml:space="preserve">Operates under s19(2) of the </w:t>
            </w:r>
            <w:r w:rsidRPr="00A50A39">
              <w:rPr>
                <w:rStyle w:val="LightItalic"/>
                <w:rFonts w:asciiTheme="minorHAnsi" w:hAnsiTheme="minorHAnsi" w:cstheme="minorHAnsi"/>
                <w:sz w:val="16"/>
              </w:rPr>
              <w:t>Financial Management Act 1994</w:t>
            </w:r>
            <w:r w:rsidRPr="00A50A39">
              <w:rPr>
                <w:sz w:val="16"/>
              </w:rPr>
              <w:t xml:space="preserve"> for the</w:t>
            </w:r>
            <w:r w:rsidR="00012C04" w:rsidRPr="00A50A39">
              <w:rPr>
                <w:sz w:val="16"/>
              </w:rPr>
              <w:t xml:space="preserve"> </w:t>
            </w:r>
            <w:r w:rsidRPr="00A50A39">
              <w:rPr>
                <w:sz w:val="16"/>
              </w:rPr>
              <w:t xml:space="preserve">delivery of the Bulgana Green Power Hub. It is the single point of administration for receipt and holding of revenues received, net Contract for Difference net payments received by and paid to proponent and settlement of Base payments due to the proponent. </w:t>
            </w:r>
          </w:p>
        </w:tc>
        <w:tc>
          <w:tcPr>
            <w:tcW w:w="1077" w:type="dxa"/>
          </w:tcPr>
          <w:p w14:paraId="4225F371" w14:textId="77777777" w:rsidR="00B02873" w:rsidRPr="00926220" w:rsidRDefault="00B02873" w:rsidP="00A50A39">
            <w:pPr>
              <w:pStyle w:val="TablebodyleftFinancialsTables"/>
              <w:jc w:val="right"/>
              <w:rPr>
                <w:b/>
                <w:bCs/>
                <w:sz w:val="16"/>
              </w:rPr>
            </w:pPr>
            <w:r w:rsidRPr="00926220">
              <w:rPr>
                <w:b/>
                <w:bCs/>
                <w:sz w:val="16"/>
              </w:rPr>
              <w:t>3,999</w:t>
            </w:r>
          </w:p>
        </w:tc>
        <w:tc>
          <w:tcPr>
            <w:tcW w:w="1078" w:type="dxa"/>
          </w:tcPr>
          <w:p w14:paraId="44F902DA" w14:textId="77777777" w:rsidR="00B02873" w:rsidRPr="00926220" w:rsidRDefault="00B02873" w:rsidP="00A50A39">
            <w:pPr>
              <w:pStyle w:val="TablebodyleftFinancialsTables"/>
              <w:jc w:val="right"/>
              <w:rPr>
                <w:b/>
                <w:bCs/>
                <w:sz w:val="16"/>
              </w:rPr>
            </w:pPr>
            <w:r w:rsidRPr="00926220">
              <w:rPr>
                <w:b/>
                <w:bCs/>
                <w:sz w:val="16"/>
              </w:rPr>
              <w:t>3,692</w:t>
            </w:r>
          </w:p>
        </w:tc>
        <w:tc>
          <w:tcPr>
            <w:tcW w:w="1077" w:type="dxa"/>
          </w:tcPr>
          <w:p w14:paraId="1FEF4601" w14:textId="77777777" w:rsidR="00B02873" w:rsidRPr="00926220" w:rsidRDefault="00B02873" w:rsidP="00A50A39">
            <w:pPr>
              <w:pStyle w:val="TablebodyleftFinancialsTables"/>
              <w:jc w:val="right"/>
              <w:rPr>
                <w:b/>
                <w:bCs/>
                <w:sz w:val="16"/>
              </w:rPr>
            </w:pPr>
            <w:r w:rsidRPr="00926220">
              <w:rPr>
                <w:b/>
                <w:bCs/>
                <w:sz w:val="16"/>
              </w:rPr>
              <w:t>–</w:t>
            </w:r>
          </w:p>
        </w:tc>
        <w:tc>
          <w:tcPr>
            <w:tcW w:w="1077" w:type="dxa"/>
          </w:tcPr>
          <w:p w14:paraId="395D61EA" w14:textId="77777777" w:rsidR="00B02873" w:rsidRPr="00926220" w:rsidRDefault="00B02873" w:rsidP="00A50A39">
            <w:pPr>
              <w:pStyle w:val="TablebodyleftFinancialsTables"/>
              <w:jc w:val="right"/>
              <w:rPr>
                <w:b/>
                <w:bCs/>
                <w:sz w:val="16"/>
              </w:rPr>
            </w:pPr>
            <w:r w:rsidRPr="00926220">
              <w:rPr>
                <w:b/>
                <w:bCs/>
                <w:sz w:val="16"/>
              </w:rPr>
              <w:t>7,691</w:t>
            </w:r>
          </w:p>
        </w:tc>
        <w:tc>
          <w:tcPr>
            <w:tcW w:w="1077" w:type="dxa"/>
          </w:tcPr>
          <w:p w14:paraId="4E8227C5" w14:textId="77777777" w:rsidR="00B02873" w:rsidRPr="00A50A39" w:rsidRDefault="00B02873" w:rsidP="00A50A39">
            <w:pPr>
              <w:pStyle w:val="TablebodyleftFinancialsTables"/>
              <w:jc w:val="right"/>
              <w:rPr>
                <w:sz w:val="16"/>
              </w:rPr>
            </w:pPr>
            <w:r w:rsidRPr="00A50A39">
              <w:rPr>
                <w:sz w:val="16"/>
              </w:rPr>
              <w:t>–</w:t>
            </w:r>
          </w:p>
        </w:tc>
        <w:tc>
          <w:tcPr>
            <w:tcW w:w="1077" w:type="dxa"/>
          </w:tcPr>
          <w:p w14:paraId="723CA1A1" w14:textId="77777777" w:rsidR="00B02873" w:rsidRPr="00A50A39" w:rsidRDefault="00B02873" w:rsidP="00A50A39">
            <w:pPr>
              <w:pStyle w:val="TablebodyleftFinancialsTables"/>
              <w:jc w:val="right"/>
              <w:rPr>
                <w:sz w:val="16"/>
              </w:rPr>
            </w:pPr>
            <w:r w:rsidRPr="00A50A39">
              <w:rPr>
                <w:sz w:val="16"/>
              </w:rPr>
              <w:t>3,999</w:t>
            </w:r>
          </w:p>
        </w:tc>
        <w:tc>
          <w:tcPr>
            <w:tcW w:w="1077" w:type="dxa"/>
          </w:tcPr>
          <w:p w14:paraId="1B11A15D" w14:textId="77777777" w:rsidR="00B02873" w:rsidRPr="00A50A39" w:rsidRDefault="00B02873" w:rsidP="00A50A39">
            <w:pPr>
              <w:pStyle w:val="TablebodyleftFinancialsTables"/>
              <w:jc w:val="right"/>
              <w:rPr>
                <w:sz w:val="16"/>
              </w:rPr>
            </w:pPr>
            <w:r w:rsidRPr="00A50A39">
              <w:rPr>
                <w:sz w:val="16"/>
              </w:rPr>
              <w:t>–</w:t>
            </w:r>
          </w:p>
        </w:tc>
        <w:tc>
          <w:tcPr>
            <w:tcW w:w="1078" w:type="dxa"/>
          </w:tcPr>
          <w:p w14:paraId="0E683AA4" w14:textId="77777777" w:rsidR="00B02873" w:rsidRPr="00A50A39" w:rsidRDefault="00B02873" w:rsidP="00A50A39">
            <w:pPr>
              <w:pStyle w:val="TablebodyleftFinancialsTables"/>
              <w:jc w:val="right"/>
              <w:rPr>
                <w:sz w:val="16"/>
              </w:rPr>
            </w:pPr>
            <w:r w:rsidRPr="00A50A39">
              <w:rPr>
                <w:sz w:val="16"/>
              </w:rPr>
              <w:t>3,999</w:t>
            </w:r>
          </w:p>
        </w:tc>
      </w:tr>
      <w:tr w:rsidR="00B02873" w:rsidRPr="00B02873" w14:paraId="361BD2A4" w14:textId="77777777" w:rsidTr="0007484E">
        <w:trPr>
          <w:trHeight w:val="60"/>
        </w:trPr>
        <w:tc>
          <w:tcPr>
            <w:tcW w:w="5669" w:type="dxa"/>
          </w:tcPr>
          <w:p w14:paraId="0735F1FF" w14:textId="77777777" w:rsidR="00B02873" w:rsidRPr="00A50A39" w:rsidRDefault="00B02873" w:rsidP="00A50A39">
            <w:pPr>
              <w:pStyle w:val="TablebodyleftFinancialsTables"/>
              <w:rPr>
                <w:sz w:val="16"/>
              </w:rPr>
            </w:pPr>
            <w:r w:rsidRPr="00A50A39">
              <w:rPr>
                <w:sz w:val="16"/>
              </w:rPr>
              <w:t>Casino Area Works Trust</w:t>
            </w:r>
          </w:p>
          <w:p w14:paraId="3B917C48" w14:textId="77777777" w:rsidR="00B02873" w:rsidRPr="00A50A39" w:rsidRDefault="00B02873" w:rsidP="00A50A39">
            <w:pPr>
              <w:pStyle w:val="TablebodyleftFinancialsTables"/>
              <w:rPr>
                <w:sz w:val="16"/>
              </w:rPr>
            </w:pPr>
            <w:r w:rsidRPr="00A50A39">
              <w:rPr>
                <w:spacing w:val="-1"/>
                <w:sz w:val="16"/>
              </w:rPr>
              <w:t xml:space="preserve">Operates under schedule 5 of the </w:t>
            </w:r>
            <w:r w:rsidRPr="00A50A39">
              <w:rPr>
                <w:rStyle w:val="LightItalic"/>
                <w:rFonts w:asciiTheme="minorHAnsi" w:hAnsiTheme="minorHAnsi" w:cstheme="minorHAnsi"/>
                <w:spacing w:val="-1"/>
                <w:sz w:val="16"/>
              </w:rPr>
              <w:t>Casino (Management Agreement) (Amendment) Act 1996</w:t>
            </w:r>
            <w:r w:rsidRPr="00A50A39">
              <w:rPr>
                <w:spacing w:val="-1"/>
                <w:sz w:val="16"/>
              </w:rPr>
              <w:t xml:space="preserve"> to be applied to works for the general improvement of facilities in the Melbourne casino area. </w:t>
            </w:r>
          </w:p>
        </w:tc>
        <w:tc>
          <w:tcPr>
            <w:tcW w:w="1077" w:type="dxa"/>
          </w:tcPr>
          <w:p w14:paraId="5759BC48" w14:textId="77777777" w:rsidR="00B02873" w:rsidRPr="00926220" w:rsidRDefault="00B02873" w:rsidP="00A50A39">
            <w:pPr>
              <w:pStyle w:val="TablebodyleftFinancialsTables"/>
              <w:jc w:val="right"/>
              <w:rPr>
                <w:b/>
                <w:bCs/>
                <w:sz w:val="16"/>
              </w:rPr>
            </w:pPr>
            <w:r w:rsidRPr="00926220">
              <w:rPr>
                <w:b/>
                <w:bCs/>
                <w:sz w:val="16"/>
              </w:rPr>
              <w:t>149</w:t>
            </w:r>
          </w:p>
        </w:tc>
        <w:tc>
          <w:tcPr>
            <w:tcW w:w="1078" w:type="dxa"/>
          </w:tcPr>
          <w:p w14:paraId="2899061A" w14:textId="77777777" w:rsidR="00B02873" w:rsidRPr="00926220" w:rsidRDefault="00B02873" w:rsidP="00A50A39">
            <w:pPr>
              <w:pStyle w:val="TablebodyleftFinancialsTables"/>
              <w:jc w:val="right"/>
              <w:rPr>
                <w:b/>
                <w:bCs/>
                <w:sz w:val="16"/>
              </w:rPr>
            </w:pPr>
            <w:r w:rsidRPr="00926220">
              <w:rPr>
                <w:b/>
                <w:bCs/>
                <w:sz w:val="16"/>
              </w:rPr>
              <w:t>–</w:t>
            </w:r>
          </w:p>
        </w:tc>
        <w:tc>
          <w:tcPr>
            <w:tcW w:w="1077" w:type="dxa"/>
          </w:tcPr>
          <w:p w14:paraId="118BD529" w14:textId="77777777" w:rsidR="00B02873" w:rsidRPr="00926220" w:rsidRDefault="00B02873" w:rsidP="00A50A39">
            <w:pPr>
              <w:pStyle w:val="TablebodyleftFinancialsTables"/>
              <w:jc w:val="right"/>
              <w:rPr>
                <w:b/>
                <w:bCs/>
                <w:sz w:val="16"/>
              </w:rPr>
            </w:pPr>
            <w:r w:rsidRPr="00926220">
              <w:rPr>
                <w:b/>
                <w:bCs/>
                <w:sz w:val="16"/>
              </w:rPr>
              <w:t>–</w:t>
            </w:r>
          </w:p>
        </w:tc>
        <w:tc>
          <w:tcPr>
            <w:tcW w:w="1077" w:type="dxa"/>
          </w:tcPr>
          <w:p w14:paraId="3C7D44D6" w14:textId="77777777" w:rsidR="00B02873" w:rsidRPr="00926220" w:rsidRDefault="00B02873" w:rsidP="00A50A39">
            <w:pPr>
              <w:pStyle w:val="TablebodyleftFinancialsTables"/>
              <w:jc w:val="right"/>
              <w:rPr>
                <w:b/>
                <w:bCs/>
                <w:sz w:val="16"/>
              </w:rPr>
            </w:pPr>
            <w:r w:rsidRPr="00926220">
              <w:rPr>
                <w:b/>
                <w:bCs/>
                <w:sz w:val="16"/>
              </w:rPr>
              <w:t xml:space="preserve"> 149</w:t>
            </w:r>
          </w:p>
        </w:tc>
        <w:tc>
          <w:tcPr>
            <w:tcW w:w="1077" w:type="dxa"/>
          </w:tcPr>
          <w:p w14:paraId="2CC68F66" w14:textId="77777777" w:rsidR="00B02873" w:rsidRPr="00A50A39" w:rsidRDefault="00B02873" w:rsidP="00A50A39">
            <w:pPr>
              <w:pStyle w:val="TablebodyleftFinancialsTables"/>
              <w:jc w:val="right"/>
              <w:rPr>
                <w:sz w:val="16"/>
              </w:rPr>
            </w:pPr>
            <w:r w:rsidRPr="00A50A39">
              <w:rPr>
                <w:sz w:val="16"/>
              </w:rPr>
              <w:t>149</w:t>
            </w:r>
          </w:p>
        </w:tc>
        <w:tc>
          <w:tcPr>
            <w:tcW w:w="1077" w:type="dxa"/>
          </w:tcPr>
          <w:p w14:paraId="587804BC" w14:textId="77777777" w:rsidR="00B02873" w:rsidRPr="00A50A39" w:rsidRDefault="00B02873" w:rsidP="00A50A39">
            <w:pPr>
              <w:pStyle w:val="TablebodyleftFinancialsTables"/>
              <w:jc w:val="right"/>
              <w:rPr>
                <w:sz w:val="16"/>
              </w:rPr>
            </w:pPr>
            <w:r w:rsidRPr="00A50A39">
              <w:rPr>
                <w:sz w:val="16"/>
              </w:rPr>
              <w:t>–</w:t>
            </w:r>
          </w:p>
        </w:tc>
        <w:tc>
          <w:tcPr>
            <w:tcW w:w="1077" w:type="dxa"/>
          </w:tcPr>
          <w:p w14:paraId="0F5A817B" w14:textId="77777777" w:rsidR="00B02873" w:rsidRPr="00A50A39" w:rsidRDefault="00B02873" w:rsidP="00A50A39">
            <w:pPr>
              <w:pStyle w:val="TablebodyleftFinancialsTables"/>
              <w:jc w:val="right"/>
              <w:rPr>
                <w:sz w:val="16"/>
              </w:rPr>
            </w:pPr>
            <w:r w:rsidRPr="00A50A39">
              <w:rPr>
                <w:sz w:val="16"/>
              </w:rPr>
              <w:t>–</w:t>
            </w:r>
          </w:p>
        </w:tc>
        <w:tc>
          <w:tcPr>
            <w:tcW w:w="1078" w:type="dxa"/>
          </w:tcPr>
          <w:p w14:paraId="1E2615B7" w14:textId="77777777" w:rsidR="00B02873" w:rsidRPr="00A50A39" w:rsidRDefault="00B02873" w:rsidP="00A50A39">
            <w:pPr>
              <w:pStyle w:val="TablebodyleftFinancialsTables"/>
              <w:jc w:val="right"/>
              <w:rPr>
                <w:sz w:val="16"/>
              </w:rPr>
            </w:pPr>
            <w:r w:rsidRPr="00A50A39">
              <w:rPr>
                <w:sz w:val="16"/>
              </w:rPr>
              <w:t xml:space="preserve"> 149</w:t>
            </w:r>
          </w:p>
        </w:tc>
      </w:tr>
      <w:tr w:rsidR="00B02873" w:rsidRPr="00B02873" w14:paraId="1349B436" w14:textId="77777777" w:rsidTr="0007484E">
        <w:trPr>
          <w:trHeight w:val="60"/>
        </w:trPr>
        <w:tc>
          <w:tcPr>
            <w:tcW w:w="5669" w:type="dxa"/>
          </w:tcPr>
          <w:p w14:paraId="646CAA27" w14:textId="77777777" w:rsidR="00B02873" w:rsidRPr="00A50A39" w:rsidRDefault="00B02873" w:rsidP="00A50A39">
            <w:pPr>
              <w:pStyle w:val="TablebodyleftFinancialsTables"/>
              <w:rPr>
                <w:sz w:val="16"/>
              </w:rPr>
            </w:pPr>
            <w:r w:rsidRPr="00A50A39">
              <w:rPr>
                <w:sz w:val="16"/>
              </w:rPr>
              <w:t>Department Suspense</w:t>
            </w:r>
          </w:p>
          <w:p w14:paraId="37C88C6F" w14:textId="77777777" w:rsidR="00B02873" w:rsidRPr="00A50A39" w:rsidRDefault="00B02873" w:rsidP="00A50A39">
            <w:pPr>
              <w:pStyle w:val="TablebodyleftFinancialsTables"/>
              <w:rPr>
                <w:sz w:val="16"/>
              </w:rPr>
            </w:pPr>
            <w:r w:rsidRPr="00A50A39">
              <w:rPr>
                <w:sz w:val="16"/>
              </w:rPr>
              <w:t xml:space="preserve">Operates under s19(2) of the </w:t>
            </w:r>
            <w:r w:rsidRPr="00A50A39">
              <w:rPr>
                <w:rStyle w:val="LightItalic"/>
                <w:rFonts w:asciiTheme="minorHAnsi" w:hAnsiTheme="minorHAnsi" w:cstheme="minorHAnsi"/>
                <w:sz w:val="16"/>
              </w:rPr>
              <w:t>Financial Management Act 1994</w:t>
            </w:r>
            <w:r w:rsidRPr="00A50A39">
              <w:rPr>
                <w:sz w:val="16"/>
              </w:rPr>
              <w:t xml:space="preserve"> as a working account. It holds all generic unclaimed funds until they have been identified.</w:t>
            </w:r>
          </w:p>
        </w:tc>
        <w:tc>
          <w:tcPr>
            <w:tcW w:w="1077" w:type="dxa"/>
          </w:tcPr>
          <w:p w14:paraId="23C0583D" w14:textId="77777777" w:rsidR="00B02873" w:rsidRPr="00926220" w:rsidRDefault="00B02873" w:rsidP="00A50A39">
            <w:pPr>
              <w:pStyle w:val="TablebodyleftFinancialsTables"/>
              <w:jc w:val="right"/>
              <w:rPr>
                <w:b/>
                <w:bCs/>
                <w:sz w:val="16"/>
              </w:rPr>
            </w:pPr>
            <w:r w:rsidRPr="00926220">
              <w:rPr>
                <w:b/>
                <w:bCs/>
                <w:sz w:val="16"/>
              </w:rPr>
              <w:t>145</w:t>
            </w:r>
          </w:p>
        </w:tc>
        <w:tc>
          <w:tcPr>
            <w:tcW w:w="1078" w:type="dxa"/>
          </w:tcPr>
          <w:p w14:paraId="2505F4CD" w14:textId="77777777" w:rsidR="00B02873" w:rsidRPr="00926220" w:rsidRDefault="00B02873" w:rsidP="00A50A39">
            <w:pPr>
              <w:pStyle w:val="TablebodyleftFinancialsTables"/>
              <w:jc w:val="right"/>
              <w:rPr>
                <w:b/>
                <w:bCs/>
                <w:sz w:val="16"/>
              </w:rPr>
            </w:pPr>
            <w:r w:rsidRPr="00926220">
              <w:rPr>
                <w:b/>
                <w:bCs/>
                <w:sz w:val="16"/>
              </w:rPr>
              <w:t>–</w:t>
            </w:r>
          </w:p>
        </w:tc>
        <w:tc>
          <w:tcPr>
            <w:tcW w:w="1077" w:type="dxa"/>
          </w:tcPr>
          <w:p w14:paraId="708D31BD" w14:textId="77777777" w:rsidR="00B02873" w:rsidRPr="00926220" w:rsidRDefault="00B02873" w:rsidP="00A50A39">
            <w:pPr>
              <w:pStyle w:val="TablebodyleftFinancialsTables"/>
              <w:jc w:val="right"/>
              <w:rPr>
                <w:b/>
                <w:bCs/>
                <w:sz w:val="16"/>
              </w:rPr>
            </w:pPr>
            <w:r w:rsidRPr="00926220">
              <w:rPr>
                <w:b/>
                <w:bCs/>
                <w:sz w:val="16"/>
              </w:rPr>
              <w:t>(3)</w:t>
            </w:r>
          </w:p>
        </w:tc>
        <w:tc>
          <w:tcPr>
            <w:tcW w:w="1077" w:type="dxa"/>
          </w:tcPr>
          <w:p w14:paraId="73BA149F" w14:textId="77777777" w:rsidR="00B02873" w:rsidRPr="00926220" w:rsidRDefault="00B02873" w:rsidP="00A50A39">
            <w:pPr>
              <w:pStyle w:val="TablebodyleftFinancialsTables"/>
              <w:jc w:val="right"/>
              <w:rPr>
                <w:b/>
                <w:bCs/>
                <w:sz w:val="16"/>
              </w:rPr>
            </w:pPr>
            <w:r w:rsidRPr="00926220">
              <w:rPr>
                <w:b/>
                <w:bCs/>
                <w:sz w:val="16"/>
              </w:rPr>
              <w:t xml:space="preserve"> 142</w:t>
            </w:r>
          </w:p>
        </w:tc>
        <w:tc>
          <w:tcPr>
            <w:tcW w:w="1077" w:type="dxa"/>
          </w:tcPr>
          <w:p w14:paraId="44B6066E" w14:textId="77777777" w:rsidR="00B02873" w:rsidRPr="00A50A39" w:rsidRDefault="00B02873" w:rsidP="00A50A39">
            <w:pPr>
              <w:pStyle w:val="TablebodyleftFinancialsTables"/>
              <w:jc w:val="right"/>
              <w:rPr>
                <w:sz w:val="16"/>
              </w:rPr>
            </w:pPr>
            <w:r w:rsidRPr="00A50A39">
              <w:rPr>
                <w:sz w:val="16"/>
              </w:rPr>
              <w:t>143</w:t>
            </w:r>
          </w:p>
        </w:tc>
        <w:tc>
          <w:tcPr>
            <w:tcW w:w="1077" w:type="dxa"/>
          </w:tcPr>
          <w:p w14:paraId="16218EBE" w14:textId="77777777" w:rsidR="00B02873" w:rsidRPr="00A50A39" w:rsidRDefault="00B02873" w:rsidP="00A50A39">
            <w:pPr>
              <w:pStyle w:val="TablebodyleftFinancialsTables"/>
              <w:jc w:val="right"/>
              <w:rPr>
                <w:sz w:val="16"/>
              </w:rPr>
            </w:pPr>
            <w:r w:rsidRPr="00A50A39">
              <w:rPr>
                <w:sz w:val="16"/>
              </w:rPr>
              <w:t>2</w:t>
            </w:r>
          </w:p>
        </w:tc>
        <w:tc>
          <w:tcPr>
            <w:tcW w:w="1077" w:type="dxa"/>
          </w:tcPr>
          <w:p w14:paraId="206DCE44" w14:textId="77777777" w:rsidR="00B02873" w:rsidRPr="00A50A39" w:rsidRDefault="00B02873" w:rsidP="00A50A39">
            <w:pPr>
              <w:pStyle w:val="TablebodyleftFinancialsTables"/>
              <w:jc w:val="right"/>
              <w:rPr>
                <w:sz w:val="16"/>
              </w:rPr>
            </w:pPr>
            <w:r w:rsidRPr="00A50A39">
              <w:rPr>
                <w:sz w:val="16"/>
              </w:rPr>
              <w:t>–</w:t>
            </w:r>
          </w:p>
        </w:tc>
        <w:tc>
          <w:tcPr>
            <w:tcW w:w="1078" w:type="dxa"/>
          </w:tcPr>
          <w:p w14:paraId="2F8EC5DE" w14:textId="77777777" w:rsidR="00B02873" w:rsidRPr="00A50A39" w:rsidRDefault="00B02873" w:rsidP="00A50A39">
            <w:pPr>
              <w:pStyle w:val="TablebodyleftFinancialsTables"/>
              <w:jc w:val="right"/>
              <w:rPr>
                <w:sz w:val="16"/>
              </w:rPr>
            </w:pPr>
            <w:r w:rsidRPr="00A50A39">
              <w:rPr>
                <w:sz w:val="16"/>
              </w:rPr>
              <w:t>145</w:t>
            </w:r>
          </w:p>
        </w:tc>
      </w:tr>
      <w:tr w:rsidR="00B02873" w:rsidRPr="00B02873" w14:paraId="56ECBA9B" w14:textId="77777777" w:rsidTr="0007484E">
        <w:trPr>
          <w:trHeight w:val="60"/>
        </w:trPr>
        <w:tc>
          <w:tcPr>
            <w:tcW w:w="5669" w:type="dxa"/>
          </w:tcPr>
          <w:p w14:paraId="0D9337F0" w14:textId="77777777" w:rsidR="00B02873" w:rsidRPr="00A50A39" w:rsidRDefault="00B02873" w:rsidP="00A50A39">
            <w:pPr>
              <w:pStyle w:val="TablebodyleftFinancialsTables"/>
              <w:rPr>
                <w:sz w:val="16"/>
              </w:rPr>
            </w:pPr>
            <w:r w:rsidRPr="00A50A39">
              <w:rPr>
                <w:sz w:val="16"/>
              </w:rPr>
              <w:t xml:space="preserve">DTF VicFleet </w:t>
            </w:r>
          </w:p>
          <w:p w14:paraId="63D5AE21" w14:textId="77777777" w:rsidR="00B02873" w:rsidRPr="00A50A39" w:rsidRDefault="00B02873" w:rsidP="00A50A39">
            <w:pPr>
              <w:pStyle w:val="TablebodyleftFinancialsTables"/>
              <w:rPr>
                <w:sz w:val="16"/>
              </w:rPr>
            </w:pPr>
            <w:r w:rsidRPr="00A50A39">
              <w:rPr>
                <w:sz w:val="16"/>
              </w:rPr>
              <w:t xml:space="preserve">Operates under s19(2) of the </w:t>
            </w:r>
            <w:r w:rsidRPr="00A50A39">
              <w:rPr>
                <w:rStyle w:val="LightItalic"/>
                <w:rFonts w:asciiTheme="minorHAnsi" w:hAnsiTheme="minorHAnsi" w:cstheme="minorHAnsi"/>
                <w:sz w:val="16"/>
              </w:rPr>
              <w:t>Financial Management Act 1994</w:t>
            </w:r>
            <w:r w:rsidRPr="00A50A39">
              <w:rPr>
                <w:sz w:val="16"/>
              </w:rPr>
              <w:t xml:space="preserve"> as a specific purpose operating account. It receives funding and makes payments in relation to the government motor vehicle pool.</w:t>
            </w:r>
          </w:p>
        </w:tc>
        <w:tc>
          <w:tcPr>
            <w:tcW w:w="1077" w:type="dxa"/>
          </w:tcPr>
          <w:p w14:paraId="17860DD2" w14:textId="77777777" w:rsidR="00B02873" w:rsidRPr="00926220" w:rsidRDefault="00B02873" w:rsidP="00A50A39">
            <w:pPr>
              <w:pStyle w:val="TablebodyleftFinancialsTables"/>
              <w:jc w:val="right"/>
              <w:rPr>
                <w:b/>
                <w:bCs/>
                <w:sz w:val="16"/>
              </w:rPr>
            </w:pPr>
            <w:r w:rsidRPr="00926220">
              <w:rPr>
                <w:b/>
                <w:bCs/>
                <w:sz w:val="16"/>
              </w:rPr>
              <w:t>3,911</w:t>
            </w:r>
          </w:p>
        </w:tc>
        <w:tc>
          <w:tcPr>
            <w:tcW w:w="1078" w:type="dxa"/>
          </w:tcPr>
          <w:p w14:paraId="0CCCDF00" w14:textId="77777777" w:rsidR="00B02873" w:rsidRPr="00926220" w:rsidRDefault="00B02873" w:rsidP="00A50A39">
            <w:pPr>
              <w:pStyle w:val="TablebodyleftFinancialsTables"/>
              <w:jc w:val="right"/>
              <w:rPr>
                <w:b/>
                <w:bCs/>
                <w:sz w:val="16"/>
              </w:rPr>
            </w:pPr>
            <w:r w:rsidRPr="00926220">
              <w:rPr>
                <w:b/>
                <w:bCs/>
                <w:sz w:val="16"/>
              </w:rPr>
              <w:t>5,396</w:t>
            </w:r>
          </w:p>
        </w:tc>
        <w:tc>
          <w:tcPr>
            <w:tcW w:w="1077" w:type="dxa"/>
          </w:tcPr>
          <w:p w14:paraId="2A93AED6" w14:textId="77777777" w:rsidR="00B02873" w:rsidRPr="00926220" w:rsidRDefault="00B02873" w:rsidP="00A50A39">
            <w:pPr>
              <w:pStyle w:val="TablebodyleftFinancialsTables"/>
              <w:jc w:val="right"/>
              <w:rPr>
                <w:b/>
                <w:bCs/>
                <w:sz w:val="16"/>
              </w:rPr>
            </w:pPr>
            <w:r w:rsidRPr="00926220">
              <w:rPr>
                <w:b/>
                <w:bCs/>
                <w:sz w:val="16"/>
              </w:rPr>
              <w:t>(8,291)</w:t>
            </w:r>
          </w:p>
        </w:tc>
        <w:tc>
          <w:tcPr>
            <w:tcW w:w="1077" w:type="dxa"/>
          </w:tcPr>
          <w:p w14:paraId="7EA7052E" w14:textId="77777777" w:rsidR="00B02873" w:rsidRPr="00926220" w:rsidRDefault="00B02873" w:rsidP="00A50A39">
            <w:pPr>
              <w:pStyle w:val="TablebodyleftFinancialsTables"/>
              <w:jc w:val="right"/>
              <w:rPr>
                <w:b/>
                <w:bCs/>
                <w:sz w:val="16"/>
              </w:rPr>
            </w:pPr>
            <w:r w:rsidRPr="00926220">
              <w:rPr>
                <w:b/>
                <w:bCs/>
                <w:sz w:val="16"/>
              </w:rPr>
              <w:t>1,016</w:t>
            </w:r>
          </w:p>
        </w:tc>
        <w:tc>
          <w:tcPr>
            <w:tcW w:w="1077" w:type="dxa"/>
          </w:tcPr>
          <w:p w14:paraId="687EB3D0" w14:textId="77777777" w:rsidR="00B02873" w:rsidRPr="00A50A39" w:rsidRDefault="00B02873" w:rsidP="00A50A39">
            <w:pPr>
              <w:pStyle w:val="TablebodyleftFinancialsTables"/>
              <w:jc w:val="right"/>
              <w:rPr>
                <w:sz w:val="16"/>
              </w:rPr>
            </w:pPr>
            <w:r w:rsidRPr="00A50A39">
              <w:rPr>
                <w:sz w:val="16"/>
              </w:rPr>
              <w:t>532</w:t>
            </w:r>
          </w:p>
        </w:tc>
        <w:tc>
          <w:tcPr>
            <w:tcW w:w="1077" w:type="dxa"/>
          </w:tcPr>
          <w:p w14:paraId="5FC52760" w14:textId="77777777" w:rsidR="00B02873" w:rsidRPr="00A50A39" w:rsidRDefault="00B02873" w:rsidP="00A50A39">
            <w:pPr>
              <w:pStyle w:val="TablebodyleftFinancialsTables"/>
              <w:jc w:val="right"/>
              <w:rPr>
                <w:sz w:val="16"/>
              </w:rPr>
            </w:pPr>
            <w:r w:rsidRPr="00A50A39">
              <w:rPr>
                <w:sz w:val="16"/>
              </w:rPr>
              <w:t>6,265</w:t>
            </w:r>
          </w:p>
        </w:tc>
        <w:tc>
          <w:tcPr>
            <w:tcW w:w="1077" w:type="dxa"/>
          </w:tcPr>
          <w:p w14:paraId="29846E89" w14:textId="77777777" w:rsidR="00B02873" w:rsidRPr="00A50A39" w:rsidRDefault="00B02873" w:rsidP="00A50A39">
            <w:pPr>
              <w:pStyle w:val="TablebodyleftFinancialsTables"/>
              <w:jc w:val="right"/>
              <w:rPr>
                <w:sz w:val="16"/>
              </w:rPr>
            </w:pPr>
            <w:r w:rsidRPr="00A50A39">
              <w:rPr>
                <w:sz w:val="16"/>
              </w:rPr>
              <w:t>(2,886)</w:t>
            </w:r>
          </w:p>
        </w:tc>
        <w:tc>
          <w:tcPr>
            <w:tcW w:w="1078" w:type="dxa"/>
          </w:tcPr>
          <w:p w14:paraId="58913D62" w14:textId="77777777" w:rsidR="00B02873" w:rsidRPr="00A50A39" w:rsidRDefault="00B02873" w:rsidP="00A50A39">
            <w:pPr>
              <w:pStyle w:val="TablebodyleftFinancialsTables"/>
              <w:jc w:val="right"/>
              <w:rPr>
                <w:sz w:val="16"/>
              </w:rPr>
            </w:pPr>
            <w:r w:rsidRPr="00A50A39">
              <w:rPr>
                <w:sz w:val="16"/>
              </w:rPr>
              <w:t>3,911</w:t>
            </w:r>
          </w:p>
        </w:tc>
      </w:tr>
      <w:tr w:rsidR="00B02873" w:rsidRPr="00B02873" w14:paraId="22A74443" w14:textId="77777777" w:rsidTr="0007484E">
        <w:trPr>
          <w:trHeight w:val="60"/>
        </w:trPr>
        <w:tc>
          <w:tcPr>
            <w:tcW w:w="5669" w:type="dxa"/>
          </w:tcPr>
          <w:p w14:paraId="52BFBCA0" w14:textId="77777777" w:rsidR="00B02873" w:rsidRPr="00926220" w:rsidRDefault="00B02873" w:rsidP="00A50A39">
            <w:pPr>
              <w:pStyle w:val="TablebodyleftFinancialsTables"/>
              <w:rPr>
                <w:b/>
                <w:bCs/>
                <w:sz w:val="16"/>
              </w:rPr>
            </w:pPr>
            <w:r w:rsidRPr="00926220">
              <w:rPr>
                <w:b/>
                <w:bCs/>
                <w:sz w:val="16"/>
              </w:rPr>
              <w:lastRenderedPageBreak/>
              <w:t xml:space="preserve">Cash and deposits </w:t>
            </w:r>
          </w:p>
        </w:tc>
        <w:tc>
          <w:tcPr>
            <w:tcW w:w="1077" w:type="dxa"/>
          </w:tcPr>
          <w:p w14:paraId="20B42AAE" w14:textId="77777777" w:rsidR="00B02873" w:rsidRPr="00926220" w:rsidRDefault="00B02873" w:rsidP="00A50A39">
            <w:pPr>
              <w:pStyle w:val="TablebodyleftFinancialsTables"/>
              <w:jc w:val="right"/>
              <w:rPr>
                <w:rFonts w:ascii="VIC Bold Italic" w:hAnsi="VIC Bold Italic" w:cs="Times New Roman"/>
                <w:b/>
                <w:bCs/>
                <w:sz w:val="16"/>
              </w:rPr>
            </w:pPr>
          </w:p>
        </w:tc>
        <w:tc>
          <w:tcPr>
            <w:tcW w:w="1078" w:type="dxa"/>
          </w:tcPr>
          <w:p w14:paraId="3AD625E9" w14:textId="77777777" w:rsidR="00B02873" w:rsidRPr="00926220" w:rsidRDefault="00B02873" w:rsidP="00A50A39">
            <w:pPr>
              <w:pStyle w:val="TablebodyleftFinancialsTables"/>
              <w:jc w:val="right"/>
              <w:rPr>
                <w:rFonts w:ascii="VIC Bold Italic" w:hAnsi="VIC Bold Italic" w:cs="Times New Roman"/>
                <w:b/>
                <w:bCs/>
                <w:sz w:val="16"/>
              </w:rPr>
            </w:pPr>
          </w:p>
        </w:tc>
        <w:tc>
          <w:tcPr>
            <w:tcW w:w="1077" w:type="dxa"/>
          </w:tcPr>
          <w:p w14:paraId="4479272C" w14:textId="77777777" w:rsidR="00B02873" w:rsidRPr="00926220" w:rsidRDefault="00B02873" w:rsidP="00A50A39">
            <w:pPr>
              <w:pStyle w:val="TablebodyleftFinancialsTables"/>
              <w:jc w:val="right"/>
              <w:rPr>
                <w:rFonts w:ascii="VIC Bold Italic" w:hAnsi="VIC Bold Italic" w:cs="Times New Roman"/>
                <w:b/>
                <w:bCs/>
                <w:sz w:val="16"/>
              </w:rPr>
            </w:pPr>
          </w:p>
        </w:tc>
        <w:tc>
          <w:tcPr>
            <w:tcW w:w="1077" w:type="dxa"/>
          </w:tcPr>
          <w:p w14:paraId="76E0A06B" w14:textId="77777777" w:rsidR="00B02873" w:rsidRPr="00926220" w:rsidRDefault="00B02873" w:rsidP="00A50A39">
            <w:pPr>
              <w:pStyle w:val="TablebodyleftFinancialsTables"/>
              <w:jc w:val="right"/>
              <w:rPr>
                <w:rFonts w:ascii="VIC Bold Italic" w:hAnsi="VIC Bold Italic" w:cs="Times New Roman"/>
                <w:b/>
                <w:bCs/>
                <w:sz w:val="16"/>
              </w:rPr>
            </w:pPr>
          </w:p>
        </w:tc>
        <w:tc>
          <w:tcPr>
            <w:tcW w:w="1077" w:type="dxa"/>
          </w:tcPr>
          <w:p w14:paraId="2277161E" w14:textId="77777777" w:rsidR="00B02873" w:rsidRPr="00A50A39" w:rsidRDefault="00B02873" w:rsidP="00A50A39">
            <w:pPr>
              <w:pStyle w:val="TablebodyleftFinancialsTables"/>
              <w:jc w:val="right"/>
              <w:rPr>
                <w:rFonts w:ascii="VIC Bold Italic" w:hAnsi="VIC Bold Italic" w:cs="Times New Roman"/>
                <w:sz w:val="16"/>
              </w:rPr>
            </w:pPr>
          </w:p>
        </w:tc>
        <w:tc>
          <w:tcPr>
            <w:tcW w:w="1077" w:type="dxa"/>
          </w:tcPr>
          <w:p w14:paraId="4D985071" w14:textId="77777777" w:rsidR="00B02873" w:rsidRPr="00A50A39" w:rsidRDefault="00B02873" w:rsidP="00A50A39">
            <w:pPr>
              <w:pStyle w:val="TablebodyleftFinancialsTables"/>
              <w:jc w:val="right"/>
              <w:rPr>
                <w:rFonts w:ascii="VIC Bold Italic" w:hAnsi="VIC Bold Italic" w:cs="Times New Roman"/>
                <w:sz w:val="16"/>
              </w:rPr>
            </w:pPr>
          </w:p>
        </w:tc>
        <w:tc>
          <w:tcPr>
            <w:tcW w:w="1077" w:type="dxa"/>
          </w:tcPr>
          <w:p w14:paraId="6752ED31" w14:textId="77777777" w:rsidR="00B02873" w:rsidRPr="00A50A39" w:rsidRDefault="00B02873" w:rsidP="00A50A39">
            <w:pPr>
              <w:pStyle w:val="TablebodyleftFinancialsTables"/>
              <w:jc w:val="right"/>
              <w:rPr>
                <w:rFonts w:ascii="VIC Bold Italic" w:hAnsi="VIC Bold Italic" w:cs="Times New Roman"/>
                <w:sz w:val="16"/>
              </w:rPr>
            </w:pPr>
          </w:p>
        </w:tc>
        <w:tc>
          <w:tcPr>
            <w:tcW w:w="1078" w:type="dxa"/>
          </w:tcPr>
          <w:p w14:paraId="73627173" w14:textId="77777777" w:rsidR="00B02873" w:rsidRPr="00A50A39" w:rsidRDefault="00B02873" w:rsidP="00A50A39">
            <w:pPr>
              <w:pStyle w:val="TablebodyleftFinancialsTables"/>
              <w:jc w:val="right"/>
              <w:rPr>
                <w:rFonts w:ascii="VIC Bold Italic" w:hAnsi="VIC Bold Italic" w:cs="Times New Roman"/>
                <w:sz w:val="16"/>
              </w:rPr>
            </w:pPr>
          </w:p>
        </w:tc>
      </w:tr>
      <w:tr w:rsidR="00B02873" w:rsidRPr="00B02873" w14:paraId="5D828DA3" w14:textId="77777777" w:rsidTr="0007484E">
        <w:trPr>
          <w:trHeight w:val="60"/>
        </w:trPr>
        <w:tc>
          <w:tcPr>
            <w:tcW w:w="5669" w:type="dxa"/>
          </w:tcPr>
          <w:p w14:paraId="05F27F02" w14:textId="77777777" w:rsidR="00B02873" w:rsidRPr="00A50A39" w:rsidRDefault="00B02873" w:rsidP="00A50A39">
            <w:pPr>
              <w:pStyle w:val="TablebodyleftFinancialsTables"/>
              <w:rPr>
                <w:sz w:val="16"/>
              </w:rPr>
            </w:pPr>
            <w:r w:rsidRPr="00A50A39">
              <w:rPr>
                <w:sz w:val="16"/>
              </w:rPr>
              <w:t>Goulburn Murray Water Connections Project Trust</w:t>
            </w:r>
          </w:p>
          <w:p w14:paraId="42FF19D6" w14:textId="77777777" w:rsidR="00B02873" w:rsidRPr="00A50A39" w:rsidRDefault="00B02873" w:rsidP="00A50A39">
            <w:pPr>
              <w:pStyle w:val="TablebodyleftFinancialsTables"/>
              <w:rPr>
                <w:sz w:val="16"/>
              </w:rPr>
            </w:pPr>
            <w:r w:rsidRPr="00A50A39">
              <w:rPr>
                <w:sz w:val="16"/>
              </w:rPr>
              <w:t xml:space="preserve">Operates under s19(2) of the </w:t>
            </w:r>
            <w:r w:rsidRPr="00B57118">
              <w:rPr>
                <w:rStyle w:val="LightItalic"/>
                <w:rFonts w:asciiTheme="minorHAnsi" w:hAnsiTheme="minorHAnsi" w:cstheme="minorHAnsi"/>
                <w:sz w:val="16"/>
              </w:rPr>
              <w:t>Financial Management Act 1994</w:t>
            </w:r>
            <w:r w:rsidRPr="00A50A39">
              <w:rPr>
                <w:sz w:val="16"/>
              </w:rPr>
              <w:t xml:space="preserve"> as a specific purpose operating account. It receives fees and disburses payments in relation to the delivery of the Goulburn Murray Water connections and irrigations modernisation program.</w:t>
            </w:r>
          </w:p>
        </w:tc>
        <w:tc>
          <w:tcPr>
            <w:tcW w:w="1077" w:type="dxa"/>
          </w:tcPr>
          <w:p w14:paraId="4F8F03BA" w14:textId="77777777" w:rsidR="00B02873" w:rsidRPr="00926220" w:rsidRDefault="00B02873" w:rsidP="00A50A39">
            <w:pPr>
              <w:pStyle w:val="TablebodyleftFinancialsTables"/>
              <w:jc w:val="right"/>
              <w:rPr>
                <w:b/>
                <w:bCs/>
                <w:sz w:val="16"/>
              </w:rPr>
            </w:pPr>
            <w:r w:rsidRPr="00926220">
              <w:rPr>
                <w:b/>
                <w:bCs/>
                <w:sz w:val="16"/>
              </w:rPr>
              <w:t>545</w:t>
            </w:r>
          </w:p>
        </w:tc>
        <w:tc>
          <w:tcPr>
            <w:tcW w:w="1078" w:type="dxa"/>
          </w:tcPr>
          <w:p w14:paraId="3C8EE05F" w14:textId="77777777" w:rsidR="00B02873" w:rsidRPr="00926220" w:rsidRDefault="00B02873" w:rsidP="00A50A39">
            <w:pPr>
              <w:pStyle w:val="TablebodyleftFinancialsTables"/>
              <w:jc w:val="right"/>
              <w:rPr>
                <w:b/>
                <w:bCs/>
                <w:sz w:val="16"/>
              </w:rPr>
            </w:pPr>
            <w:r w:rsidRPr="00926220">
              <w:rPr>
                <w:b/>
                <w:bCs/>
                <w:sz w:val="16"/>
              </w:rPr>
              <w:t>–</w:t>
            </w:r>
          </w:p>
        </w:tc>
        <w:tc>
          <w:tcPr>
            <w:tcW w:w="1077" w:type="dxa"/>
          </w:tcPr>
          <w:p w14:paraId="50426245" w14:textId="77777777" w:rsidR="00B02873" w:rsidRPr="00926220" w:rsidRDefault="00B02873" w:rsidP="00A50A39">
            <w:pPr>
              <w:pStyle w:val="TablebodyleftFinancialsTables"/>
              <w:jc w:val="right"/>
              <w:rPr>
                <w:b/>
                <w:bCs/>
                <w:sz w:val="16"/>
              </w:rPr>
            </w:pPr>
            <w:r w:rsidRPr="00926220">
              <w:rPr>
                <w:b/>
                <w:bCs/>
                <w:sz w:val="16"/>
              </w:rPr>
              <w:t>–</w:t>
            </w:r>
          </w:p>
        </w:tc>
        <w:tc>
          <w:tcPr>
            <w:tcW w:w="1077" w:type="dxa"/>
          </w:tcPr>
          <w:p w14:paraId="1DC0CF07" w14:textId="77777777" w:rsidR="00B02873" w:rsidRPr="00926220" w:rsidRDefault="00B02873" w:rsidP="00A50A39">
            <w:pPr>
              <w:pStyle w:val="TablebodyleftFinancialsTables"/>
              <w:jc w:val="right"/>
              <w:rPr>
                <w:b/>
                <w:bCs/>
                <w:sz w:val="16"/>
              </w:rPr>
            </w:pPr>
            <w:r w:rsidRPr="00926220">
              <w:rPr>
                <w:b/>
                <w:bCs/>
                <w:sz w:val="16"/>
              </w:rPr>
              <w:t xml:space="preserve"> 545</w:t>
            </w:r>
          </w:p>
        </w:tc>
        <w:tc>
          <w:tcPr>
            <w:tcW w:w="1077" w:type="dxa"/>
          </w:tcPr>
          <w:p w14:paraId="08D310D8" w14:textId="77777777" w:rsidR="00B02873" w:rsidRPr="00A50A39" w:rsidRDefault="00B02873" w:rsidP="00A50A39">
            <w:pPr>
              <w:pStyle w:val="TablebodyleftFinancialsTables"/>
              <w:jc w:val="right"/>
              <w:rPr>
                <w:sz w:val="16"/>
              </w:rPr>
            </w:pPr>
            <w:r w:rsidRPr="00A50A39">
              <w:rPr>
                <w:sz w:val="16"/>
              </w:rPr>
              <w:t>544</w:t>
            </w:r>
          </w:p>
        </w:tc>
        <w:tc>
          <w:tcPr>
            <w:tcW w:w="1077" w:type="dxa"/>
          </w:tcPr>
          <w:p w14:paraId="2439E505" w14:textId="77777777" w:rsidR="00B02873" w:rsidRPr="00A50A39" w:rsidRDefault="00B02873" w:rsidP="00A50A39">
            <w:pPr>
              <w:pStyle w:val="TablebodyleftFinancialsTables"/>
              <w:jc w:val="right"/>
              <w:rPr>
                <w:sz w:val="16"/>
              </w:rPr>
            </w:pPr>
            <w:r w:rsidRPr="00A50A39">
              <w:rPr>
                <w:sz w:val="16"/>
              </w:rPr>
              <w:t>19,336</w:t>
            </w:r>
          </w:p>
        </w:tc>
        <w:tc>
          <w:tcPr>
            <w:tcW w:w="1077" w:type="dxa"/>
          </w:tcPr>
          <w:p w14:paraId="5C13AD48" w14:textId="77777777" w:rsidR="00B02873" w:rsidRPr="00A50A39" w:rsidRDefault="00B02873" w:rsidP="00A50A39">
            <w:pPr>
              <w:pStyle w:val="TablebodyleftFinancialsTables"/>
              <w:jc w:val="right"/>
              <w:rPr>
                <w:sz w:val="16"/>
              </w:rPr>
            </w:pPr>
            <w:r w:rsidRPr="00A50A39">
              <w:rPr>
                <w:sz w:val="16"/>
              </w:rPr>
              <w:t>(19,335)</w:t>
            </w:r>
          </w:p>
        </w:tc>
        <w:tc>
          <w:tcPr>
            <w:tcW w:w="1078" w:type="dxa"/>
          </w:tcPr>
          <w:p w14:paraId="79EB9365" w14:textId="77777777" w:rsidR="00B02873" w:rsidRPr="00A50A39" w:rsidRDefault="00B02873" w:rsidP="00A50A39">
            <w:pPr>
              <w:pStyle w:val="TablebodyleftFinancialsTables"/>
              <w:jc w:val="right"/>
              <w:rPr>
                <w:sz w:val="16"/>
              </w:rPr>
            </w:pPr>
            <w:r w:rsidRPr="00A50A39">
              <w:rPr>
                <w:sz w:val="16"/>
              </w:rPr>
              <w:t xml:space="preserve"> 545</w:t>
            </w:r>
          </w:p>
        </w:tc>
      </w:tr>
      <w:tr w:rsidR="00B02873" w:rsidRPr="00B02873" w14:paraId="3D106E3A" w14:textId="77777777" w:rsidTr="0007484E">
        <w:trPr>
          <w:trHeight w:val="60"/>
        </w:trPr>
        <w:tc>
          <w:tcPr>
            <w:tcW w:w="5669" w:type="dxa"/>
          </w:tcPr>
          <w:p w14:paraId="7480A178" w14:textId="77777777" w:rsidR="00B02873" w:rsidRPr="00A50A39" w:rsidRDefault="00B02873" w:rsidP="00A50A39">
            <w:pPr>
              <w:pStyle w:val="TablebodyleftFinancialsTables"/>
              <w:rPr>
                <w:sz w:val="16"/>
              </w:rPr>
            </w:pPr>
            <w:r w:rsidRPr="00A50A39">
              <w:rPr>
                <w:sz w:val="16"/>
              </w:rPr>
              <w:t>Growth Areas Public Transport Fund</w:t>
            </w:r>
          </w:p>
          <w:p w14:paraId="05BF7115" w14:textId="77777777" w:rsidR="00B02873" w:rsidRPr="00A50A39" w:rsidRDefault="00B02873" w:rsidP="00A50A39">
            <w:pPr>
              <w:pStyle w:val="TablebodyleftFinancialsTables"/>
              <w:rPr>
                <w:sz w:val="16"/>
              </w:rPr>
            </w:pPr>
            <w:r w:rsidRPr="00A50A39">
              <w:rPr>
                <w:sz w:val="16"/>
              </w:rPr>
              <w:t xml:space="preserve">Operates under s201VA of the </w:t>
            </w:r>
            <w:r w:rsidRPr="00B57118">
              <w:rPr>
                <w:rStyle w:val="LightItalic"/>
                <w:rFonts w:asciiTheme="minorHAnsi" w:hAnsiTheme="minorHAnsi" w:cstheme="minorHAnsi"/>
                <w:sz w:val="16"/>
              </w:rPr>
              <w:t>Planning and Environment Act 1987</w:t>
            </w:r>
            <w:r w:rsidRPr="00546E03">
              <w:rPr>
                <w:rStyle w:val="LightItalic"/>
                <w:rFonts w:asciiTheme="minorHAnsi" w:hAnsiTheme="minorHAnsi" w:cstheme="minorHAnsi"/>
                <w:i w:val="0"/>
                <w:iCs w:val="0"/>
                <w:sz w:val="16"/>
              </w:rPr>
              <w:t xml:space="preserve"> </w:t>
            </w:r>
            <w:r w:rsidRPr="00A50A39">
              <w:rPr>
                <w:sz w:val="16"/>
              </w:rPr>
              <w:t>to provide assistance for the state funded public transport infrastructure works in any growth areas.</w:t>
            </w:r>
          </w:p>
        </w:tc>
        <w:tc>
          <w:tcPr>
            <w:tcW w:w="1077" w:type="dxa"/>
          </w:tcPr>
          <w:p w14:paraId="1C61E91B" w14:textId="77777777" w:rsidR="00B02873" w:rsidRPr="00926220" w:rsidRDefault="00B02873" w:rsidP="00A50A39">
            <w:pPr>
              <w:pStyle w:val="TablebodyleftFinancialsTables"/>
              <w:jc w:val="right"/>
              <w:rPr>
                <w:b/>
                <w:bCs/>
                <w:sz w:val="16"/>
              </w:rPr>
            </w:pPr>
            <w:r w:rsidRPr="00926220">
              <w:rPr>
                <w:b/>
                <w:bCs/>
                <w:sz w:val="16"/>
              </w:rPr>
              <w:t>240,678</w:t>
            </w:r>
          </w:p>
        </w:tc>
        <w:tc>
          <w:tcPr>
            <w:tcW w:w="1078" w:type="dxa"/>
          </w:tcPr>
          <w:p w14:paraId="7338664E" w14:textId="77777777" w:rsidR="00B02873" w:rsidRPr="00926220" w:rsidRDefault="00B02873" w:rsidP="00A50A39">
            <w:pPr>
              <w:pStyle w:val="TablebodyleftFinancialsTables"/>
              <w:jc w:val="right"/>
              <w:rPr>
                <w:b/>
                <w:bCs/>
                <w:sz w:val="16"/>
              </w:rPr>
            </w:pPr>
            <w:r w:rsidRPr="00926220">
              <w:rPr>
                <w:b/>
                <w:bCs/>
                <w:sz w:val="16"/>
              </w:rPr>
              <w:t>91,445</w:t>
            </w:r>
          </w:p>
        </w:tc>
        <w:tc>
          <w:tcPr>
            <w:tcW w:w="1077" w:type="dxa"/>
          </w:tcPr>
          <w:p w14:paraId="55B9B2B3" w14:textId="77777777" w:rsidR="00B02873" w:rsidRPr="00926220" w:rsidRDefault="00B02873" w:rsidP="00A50A39">
            <w:pPr>
              <w:pStyle w:val="TablebodyleftFinancialsTables"/>
              <w:jc w:val="right"/>
              <w:rPr>
                <w:b/>
                <w:bCs/>
                <w:sz w:val="16"/>
              </w:rPr>
            </w:pPr>
            <w:r w:rsidRPr="00926220">
              <w:rPr>
                <w:b/>
                <w:bCs/>
                <w:sz w:val="16"/>
              </w:rPr>
              <w:t>(49,740)</w:t>
            </w:r>
          </w:p>
        </w:tc>
        <w:tc>
          <w:tcPr>
            <w:tcW w:w="1077" w:type="dxa"/>
          </w:tcPr>
          <w:p w14:paraId="50095A50" w14:textId="77777777" w:rsidR="00B02873" w:rsidRPr="00926220" w:rsidRDefault="00B02873" w:rsidP="00A50A39">
            <w:pPr>
              <w:pStyle w:val="TablebodyleftFinancialsTables"/>
              <w:jc w:val="right"/>
              <w:rPr>
                <w:b/>
                <w:bCs/>
                <w:sz w:val="16"/>
              </w:rPr>
            </w:pPr>
            <w:r w:rsidRPr="00926220">
              <w:rPr>
                <w:b/>
                <w:bCs/>
                <w:sz w:val="16"/>
              </w:rPr>
              <w:t>282,383</w:t>
            </w:r>
          </w:p>
        </w:tc>
        <w:tc>
          <w:tcPr>
            <w:tcW w:w="1077" w:type="dxa"/>
          </w:tcPr>
          <w:p w14:paraId="11DA8E60" w14:textId="77777777" w:rsidR="00B02873" w:rsidRPr="00A50A39" w:rsidRDefault="00B02873" w:rsidP="00A50A39">
            <w:pPr>
              <w:pStyle w:val="TablebodyleftFinancialsTables"/>
              <w:jc w:val="right"/>
              <w:rPr>
                <w:sz w:val="16"/>
              </w:rPr>
            </w:pPr>
            <w:r w:rsidRPr="00A50A39">
              <w:rPr>
                <w:sz w:val="16"/>
              </w:rPr>
              <w:t>202,842</w:t>
            </w:r>
          </w:p>
        </w:tc>
        <w:tc>
          <w:tcPr>
            <w:tcW w:w="1077" w:type="dxa"/>
          </w:tcPr>
          <w:p w14:paraId="0894AE27" w14:textId="77777777" w:rsidR="00B02873" w:rsidRPr="00A50A39" w:rsidRDefault="00B02873" w:rsidP="00A50A39">
            <w:pPr>
              <w:pStyle w:val="TablebodyleftFinancialsTables"/>
              <w:jc w:val="right"/>
              <w:rPr>
                <w:sz w:val="16"/>
              </w:rPr>
            </w:pPr>
            <w:r w:rsidRPr="00A50A39">
              <w:rPr>
                <w:sz w:val="16"/>
              </w:rPr>
              <w:t>73,682</w:t>
            </w:r>
          </w:p>
        </w:tc>
        <w:tc>
          <w:tcPr>
            <w:tcW w:w="1077" w:type="dxa"/>
          </w:tcPr>
          <w:p w14:paraId="4AE9C743" w14:textId="77777777" w:rsidR="00B02873" w:rsidRPr="00A50A39" w:rsidRDefault="00B02873" w:rsidP="00A50A39">
            <w:pPr>
              <w:pStyle w:val="TablebodyleftFinancialsTables"/>
              <w:jc w:val="right"/>
              <w:rPr>
                <w:sz w:val="16"/>
              </w:rPr>
            </w:pPr>
            <w:r w:rsidRPr="00A50A39">
              <w:rPr>
                <w:sz w:val="16"/>
              </w:rPr>
              <w:t>(35,846)</w:t>
            </w:r>
          </w:p>
        </w:tc>
        <w:tc>
          <w:tcPr>
            <w:tcW w:w="1078" w:type="dxa"/>
          </w:tcPr>
          <w:p w14:paraId="058E3EEB" w14:textId="77777777" w:rsidR="00B02873" w:rsidRPr="00A50A39" w:rsidRDefault="00B02873" w:rsidP="00A50A39">
            <w:pPr>
              <w:pStyle w:val="TablebodyleftFinancialsTables"/>
              <w:jc w:val="right"/>
              <w:rPr>
                <w:sz w:val="16"/>
              </w:rPr>
            </w:pPr>
            <w:r w:rsidRPr="00A50A39">
              <w:rPr>
                <w:sz w:val="16"/>
              </w:rPr>
              <w:t>240,678</w:t>
            </w:r>
          </w:p>
        </w:tc>
      </w:tr>
      <w:tr w:rsidR="00B02873" w:rsidRPr="00B02873" w14:paraId="3EC4CF9C" w14:textId="77777777" w:rsidTr="0007484E">
        <w:trPr>
          <w:trHeight w:val="60"/>
        </w:trPr>
        <w:tc>
          <w:tcPr>
            <w:tcW w:w="5669" w:type="dxa"/>
          </w:tcPr>
          <w:p w14:paraId="3A616B08" w14:textId="77777777" w:rsidR="00B02873" w:rsidRPr="00A50A39" w:rsidRDefault="00B02873" w:rsidP="00A50A39">
            <w:pPr>
              <w:pStyle w:val="TablebodyleftFinancialsTables"/>
              <w:rPr>
                <w:sz w:val="16"/>
              </w:rPr>
            </w:pPr>
            <w:r w:rsidRPr="00A50A39">
              <w:rPr>
                <w:sz w:val="16"/>
              </w:rPr>
              <w:t>Inter-departmental Transfer Trust</w:t>
            </w:r>
          </w:p>
          <w:p w14:paraId="4653E214" w14:textId="77777777" w:rsidR="00B02873" w:rsidRPr="00A50A39" w:rsidRDefault="00B02873" w:rsidP="00A50A39">
            <w:pPr>
              <w:pStyle w:val="TablebodyleftFinancialsTables"/>
              <w:rPr>
                <w:sz w:val="16"/>
              </w:rPr>
            </w:pPr>
            <w:r w:rsidRPr="00A50A39">
              <w:rPr>
                <w:sz w:val="16"/>
              </w:rPr>
              <w:t xml:space="preserve">Operates under s19(2) of the </w:t>
            </w:r>
            <w:r w:rsidRPr="00B57118">
              <w:rPr>
                <w:rStyle w:val="LightItalic"/>
                <w:rFonts w:asciiTheme="minorHAnsi" w:hAnsiTheme="minorHAnsi" w:cstheme="minorHAnsi"/>
                <w:sz w:val="16"/>
              </w:rPr>
              <w:t>Financial Management Act 199</w:t>
            </w:r>
            <w:r w:rsidRPr="00B57118">
              <w:rPr>
                <w:rFonts w:asciiTheme="minorHAnsi" w:hAnsiTheme="minorHAnsi" w:cstheme="minorHAnsi"/>
                <w:sz w:val="16"/>
              </w:rPr>
              <w:t>4</w:t>
            </w:r>
            <w:r w:rsidRPr="00A50A39">
              <w:rPr>
                <w:sz w:val="16"/>
              </w:rPr>
              <w:t xml:space="preserve"> to record inter-departmental transfers when no other trust arrangement exists</w:t>
            </w:r>
          </w:p>
        </w:tc>
        <w:tc>
          <w:tcPr>
            <w:tcW w:w="1077" w:type="dxa"/>
          </w:tcPr>
          <w:p w14:paraId="1B1500BF" w14:textId="77777777" w:rsidR="00B02873" w:rsidRPr="00926220" w:rsidRDefault="00B02873" w:rsidP="00A50A39">
            <w:pPr>
              <w:pStyle w:val="TablebodyleftFinancialsTables"/>
              <w:jc w:val="right"/>
              <w:rPr>
                <w:b/>
                <w:bCs/>
                <w:sz w:val="16"/>
              </w:rPr>
            </w:pPr>
            <w:r w:rsidRPr="00926220">
              <w:rPr>
                <w:b/>
                <w:bCs/>
                <w:sz w:val="16"/>
              </w:rPr>
              <w:t>37,798</w:t>
            </w:r>
          </w:p>
        </w:tc>
        <w:tc>
          <w:tcPr>
            <w:tcW w:w="1078" w:type="dxa"/>
          </w:tcPr>
          <w:p w14:paraId="0FCA4CF2" w14:textId="77777777" w:rsidR="00B02873" w:rsidRPr="00926220" w:rsidRDefault="00B02873" w:rsidP="00A50A39">
            <w:pPr>
              <w:pStyle w:val="TablebodyleftFinancialsTables"/>
              <w:jc w:val="right"/>
              <w:rPr>
                <w:b/>
                <w:bCs/>
                <w:sz w:val="16"/>
              </w:rPr>
            </w:pPr>
            <w:r w:rsidRPr="00926220">
              <w:rPr>
                <w:b/>
                <w:bCs/>
                <w:sz w:val="16"/>
              </w:rPr>
              <w:t>38,626</w:t>
            </w:r>
          </w:p>
        </w:tc>
        <w:tc>
          <w:tcPr>
            <w:tcW w:w="1077" w:type="dxa"/>
          </w:tcPr>
          <w:p w14:paraId="5EF6A42C" w14:textId="77777777" w:rsidR="00B02873" w:rsidRPr="00926220" w:rsidRDefault="00B02873" w:rsidP="00A50A39">
            <w:pPr>
              <w:pStyle w:val="TablebodyleftFinancialsTables"/>
              <w:jc w:val="right"/>
              <w:rPr>
                <w:b/>
                <w:bCs/>
                <w:sz w:val="16"/>
              </w:rPr>
            </w:pPr>
            <w:r w:rsidRPr="00926220">
              <w:rPr>
                <w:b/>
                <w:bCs/>
                <w:sz w:val="16"/>
              </w:rPr>
              <w:t>(47,060)</w:t>
            </w:r>
          </w:p>
        </w:tc>
        <w:tc>
          <w:tcPr>
            <w:tcW w:w="1077" w:type="dxa"/>
          </w:tcPr>
          <w:p w14:paraId="37051808" w14:textId="77777777" w:rsidR="00B02873" w:rsidRPr="00926220" w:rsidRDefault="00B02873" w:rsidP="00A50A39">
            <w:pPr>
              <w:pStyle w:val="TablebodyleftFinancialsTables"/>
              <w:jc w:val="right"/>
              <w:rPr>
                <w:b/>
                <w:bCs/>
                <w:sz w:val="16"/>
              </w:rPr>
            </w:pPr>
            <w:r w:rsidRPr="00926220">
              <w:rPr>
                <w:b/>
                <w:bCs/>
                <w:sz w:val="16"/>
              </w:rPr>
              <w:t>29,364</w:t>
            </w:r>
          </w:p>
        </w:tc>
        <w:tc>
          <w:tcPr>
            <w:tcW w:w="1077" w:type="dxa"/>
          </w:tcPr>
          <w:p w14:paraId="5977C1E6" w14:textId="77777777" w:rsidR="00B02873" w:rsidRPr="00A50A39" w:rsidRDefault="00B02873" w:rsidP="00A50A39">
            <w:pPr>
              <w:pStyle w:val="TablebodyleftFinancialsTables"/>
              <w:jc w:val="right"/>
              <w:rPr>
                <w:sz w:val="16"/>
              </w:rPr>
            </w:pPr>
            <w:r w:rsidRPr="00A50A39">
              <w:rPr>
                <w:sz w:val="16"/>
              </w:rPr>
              <w:t>–</w:t>
            </w:r>
          </w:p>
        </w:tc>
        <w:tc>
          <w:tcPr>
            <w:tcW w:w="1077" w:type="dxa"/>
          </w:tcPr>
          <w:p w14:paraId="625669F9" w14:textId="77777777" w:rsidR="00B02873" w:rsidRPr="00A50A39" w:rsidRDefault="00B02873" w:rsidP="00A50A39">
            <w:pPr>
              <w:pStyle w:val="TablebodyleftFinancialsTables"/>
              <w:jc w:val="right"/>
              <w:rPr>
                <w:sz w:val="16"/>
              </w:rPr>
            </w:pPr>
            <w:r w:rsidRPr="00A50A39">
              <w:rPr>
                <w:sz w:val="16"/>
              </w:rPr>
              <w:t>73,442</w:t>
            </w:r>
          </w:p>
        </w:tc>
        <w:tc>
          <w:tcPr>
            <w:tcW w:w="1077" w:type="dxa"/>
          </w:tcPr>
          <w:p w14:paraId="282C51FF" w14:textId="77777777" w:rsidR="00B02873" w:rsidRPr="00A50A39" w:rsidRDefault="00B02873" w:rsidP="00A50A39">
            <w:pPr>
              <w:pStyle w:val="TablebodyleftFinancialsTables"/>
              <w:jc w:val="right"/>
              <w:rPr>
                <w:sz w:val="16"/>
              </w:rPr>
            </w:pPr>
            <w:r w:rsidRPr="00A50A39">
              <w:rPr>
                <w:sz w:val="16"/>
              </w:rPr>
              <w:t>(35,644)</w:t>
            </w:r>
          </w:p>
        </w:tc>
        <w:tc>
          <w:tcPr>
            <w:tcW w:w="1078" w:type="dxa"/>
          </w:tcPr>
          <w:p w14:paraId="475263A0" w14:textId="77777777" w:rsidR="00B02873" w:rsidRPr="00A50A39" w:rsidRDefault="00B02873" w:rsidP="00A50A39">
            <w:pPr>
              <w:pStyle w:val="TablebodyleftFinancialsTables"/>
              <w:jc w:val="right"/>
              <w:rPr>
                <w:sz w:val="16"/>
              </w:rPr>
            </w:pPr>
            <w:r w:rsidRPr="00A50A39">
              <w:rPr>
                <w:sz w:val="16"/>
              </w:rPr>
              <w:t>37,798</w:t>
            </w:r>
          </w:p>
        </w:tc>
      </w:tr>
      <w:tr w:rsidR="00B02873" w:rsidRPr="00B02873" w14:paraId="62C8FFE0" w14:textId="77777777" w:rsidTr="0007484E">
        <w:trPr>
          <w:trHeight w:val="60"/>
        </w:trPr>
        <w:tc>
          <w:tcPr>
            <w:tcW w:w="5669" w:type="dxa"/>
          </w:tcPr>
          <w:p w14:paraId="1F5D6F63" w14:textId="77777777" w:rsidR="00B02873" w:rsidRPr="00A50A39" w:rsidRDefault="00B02873" w:rsidP="00A50A39">
            <w:pPr>
              <w:pStyle w:val="TablebodyleftFinancialsTables"/>
              <w:rPr>
                <w:sz w:val="16"/>
              </w:rPr>
            </w:pPr>
            <w:r w:rsidRPr="00A50A39">
              <w:rPr>
                <w:sz w:val="16"/>
              </w:rPr>
              <w:t>Melbourne Strategic Assessment Trust Account</w:t>
            </w:r>
          </w:p>
          <w:p w14:paraId="5E86E907" w14:textId="77777777" w:rsidR="00B02873" w:rsidRPr="00A50A39" w:rsidRDefault="00B02873" w:rsidP="00A50A39">
            <w:pPr>
              <w:pStyle w:val="TablebodyleftFinancialsTables"/>
              <w:rPr>
                <w:sz w:val="16"/>
              </w:rPr>
            </w:pPr>
            <w:r w:rsidRPr="00A50A39">
              <w:rPr>
                <w:sz w:val="16"/>
              </w:rPr>
              <w:t xml:space="preserve">Operates under s19(2) of the </w:t>
            </w:r>
            <w:r w:rsidRPr="00B57118">
              <w:rPr>
                <w:rStyle w:val="LightItalic"/>
                <w:rFonts w:asciiTheme="minorHAnsi" w:hAnsiTheme="minorHAnsi" w:cstheme="minorHAnsi"/>
                <w:sz w:val="16"/>
              </w:rPr>
              <w:t>Financial Management Act 1994</w:t>
            </w:r>
            <w:r w:rsidRPr="00A50A39">
              <w:rPr>
                <w:sz w:val="16"/>
              </w:rPr>
              <w:t xml:space="preserve"> as a specific purpose operating account. It receives fees and disburses payments in relation to the delivery of the Melbourne Strategic Assessment Program.</w:t>
            </w:r>
          </w:p>
        </w:tc>
        <w:tc>
          <w:tcPr>
            <w:tcW w:w="1077" w:type="dxa"/>
          </w:tcPr>
          <w:p w14:paraId="78A696FE" w14:textId="77777777" w:rsidR="00B02873" w:rsidRPr="00926220" w:rsidRDefault="00B02873" w:rsidP="00A50A39">
            <w:pPr>
              <w:pStyle w:val="TablebodyleftFinancialsTables"/>
              <w:jc w:val="right"/>
              <w:rPr>
                <w:b/>
                <w:bCs/>
                <w:sz w:val="16"/>
              </w:rPr>
            </w:pPr>
            <w:r w:rsidRPr="00926220">
              <w:rPr>
                <w:b/>
                <w:bCs/>
                <w:sz w:val="16"/>
              </w:rPr>
              <w:t>64,313</w:t>
            </w:r>
          </w:p>
        </w:tc>
        <w:tc>
          <w:tcPr>
            <w:tcW w:w="1078" w:type="dxa"/>
          </w:tcPr>
          <w:p w14:paraId="29FB8C3B" w14:textId="77777777" w:rsidR="00B02873" w:rsidRPr="00926220" w:rsidRDefault="00B02873" w:rsidP="00A50A39">
            <w:pPr>
              <w:pStyle w:val="TablebodyleftFinancialsTables"/>
              <w:jc w:val="right"/>
              <w:rPr>
                <w:b/>
                <w:bCs/>
                <w:sz w:val="16"/>
              </w:rPr>
            </w:pPr>
            <w:r w:rsidRPr="00926220">
              <w:rPr>
                <w:b/>
                <w:bCs/>
                <w:sz w:val="16"/>
              </w:rPr>
              <w:t>47,207</w:t>
            </w:r>
          </w:p>
        </w:tc>
        <w:tc>
          <w:tcPr>
            <w:tcW w:w="1077" w:type="dxa"/>
          </w:tcPr>
          <w:p w14:paraId="323F73F3" w14:textId="77777777" w:rsidR="00B02873" w:rsidRPr="00926220" w:rsidRDefault="00B02873" w:rsidP="00A50A39">
            <w:pPr>
              <w:pStyle w:val="TablebodyleftFinancialsTables"/>
              <w:jc w:val="right"/>
              <w:rPr>
                <w:b/>
                <w:bCs/>
                <w:sz w:val="16"/>
              </w:rPr>
            </w:pPr>
            <w:r w:rsidRPr="00926220">
              <w:rPr>
                <w:b/>
                <w:bCs/>
                <w:sz w:val="16"/>
              </w:rPr>
              <w:t>(43,508)</w:t>
            </w:r>
          </w:p>
        </w:tc>
        <w:tc>
          <w:tcPr>
            <w:tcW w:w="1077" w:type="dxa"/>
          </w:tcPr>
          <w:p w14:paraId="474FF3D0" w14:textId="77777777" w:rsidR="00B02873" w:rsidRPr="00926220" w:rsidRDefault="00B02873" w:rsidP="00A50A39">
            <w:pPr>
              <w:pStyle w:val="TablebodyleftFinancialsTables"/>
              <w:jc w:val="right"/>
              <w:rPr>
                <w:b/>
                <w:bCs/>
                <w:sz w:val="16"/>
              </w:rPr>
            </w:pPr>
            <w:r w:rsidRPr="00926220">
              <w:rPr>
                <w:b/>
                <w:bCs/>
                <w:sz w:val="16"/>
              </w:rPr>
              <w:t>68,012</w:t>
            </w:r>
          </w:p>
        </w:tc>
        <w:tc>
          <w:tcPr>
            <w:tcW w:w="1077" w:type="dxa"/>
          </w:tcPr>
          <w:p w14:paraId="614957CA" w14:textId="77777777" w:rsidR="00B02873" w:rsidRPr="00A50A39" w:rsidRDefault="00B02873" w:rsidP="00A50A39">
            <w:pPr>
              <w:pStyle w:val="TablebodyleftFinancialsTables"/>
              <w:jc w:val="right"/>
              <w:rPr>
                <w:sz w:val="16"/>
              </w:rPr>
            </w:pPr>
            <w:r w:rsidRPr="00A50A39">
              <w:rPr>
                <w:sz w:val="16"/>
              </w:rPr>
              <w:t>54,798</w:t>
            </w:r>
          </w:p>
        </w:tc>
        <w:tc>
          <w:tcPr>
            <w:tcW w:w="1077" w:type="dxa"/>
          </w:tcPr>
          <w:p w14:paraId="55B9C96E" w14:textId="77777777" w:rsidR="00B02873" w:rsidRPr="00A50A39" w:rsidRDefault="00B02873" w:rsidP="00A50A39">
            <w:pPr>
              <w:pStyle w:val="TablebodyleftFinancialsTables"/>
              <w:jc w:val="right"/>
              <w:rPr>
                <w:sz w:val="16"/>
              </w:rPr>
            </w:pPr>
            <w:r w:rsidRPr="00A50A39">
              <w:rPr>
                <w:sz w:val="16"/>
              </w:rPr>
              <w:t>21,003</w:t>
            </w:r>
          </w:p>
        </w:tc>
        <w:tc>
          <w:tcPr>
            <w:tcW w:w="1077" w:type="dxa"/>
          </w:tcPr>
          <w:p w14:paraId="53717420" w14:textId="77777777" w:rsidR="00B02873" w:rsidRPr="00A50A39" w:rsidRDefault="00B02873" w:rsidP="00A50A39">
            <w:pPr>
              <w:pStyle w:val="TablebodyleftFinancialsTables"/>
              <w:jc w:val="right"/>
              <w:rPr>
                <w:sz w:val="16"/>
              </w:rPr>
            </w:pPr>
            <w:r w:rsidRPr="00A50A39">
              <w:rPr>
                <w:sz w:val="16"/>
              </w:rPr>
              <w:t>(11,488)</w:t>
            </w:r>
          </w:p>
        </w:tc>
        <w:tc>
          <w:tcPr>
            <w:tcW w:w="1078" w:type="dxa"/>
          </w:tcPr>
          <w:p w14:paraId="4280D06F" w14:textId="77777777" w:rsidR="00B02873" w:rsidRPr="00A50A39" w:rsidRDefault="00B02873" w:rsidP="00A50A39">
            <w:pPr>
              <w:pStyle w:val="TablebodyleftFinancialsTables"/>
              <w:jc w:val="right"/>
              <w:rPr>
                <w:sz w:val="16"/>
              </w:rPr>
            </w:pPr>
            <w:r w:rsidRPr="00A50A39">
              <w:rPr>
                <w:sz w:val="16"/>
              </w:rPr>
              <w:t>64,313</w:t>
            </w:r>
          </w:p>
        </w:tc>
      </w:tr>
      <w:tr w:rsidR="00B02873" w:rsidRPr="00B02873" w14:paraId="65BD8133" w14:textId="77777777" w:rsidTr="0007484E">
        <w:trPr>
          <w:trHeight w:val="60"/>
        </w:trPr>
        <w:tc>
          <w:tcPr>
            <w:tcW w:w="5669" w:type="dxa"/>
          </w:tcPr>
          <w:p w14:paraId="540D0E23" w14:textId="77777777" w:rsidR="00B02873" w:rsidRPr="00A50A39" w:rsidRDefault="00B02873" w:rsidP="00A50A39">
            <w:pPr>
              <w:pStyle w:val="TablebodyleftFinancialsTables"/>
              <w:rPr>
                <w:sz w:val="16"/>
              </w:rPr>
            </w:pPr>
            <w:r w:rsidRPr="00A50A39">
              <w:rPr>
                <w:sz w:val="16"/>
              </w:rPr>
              <w:t>Municipal and Industrial Landfill Levy Trust Account</w:t>
            </w:r>
          </w:p>
          <w:p w14:paraId="13E445C9" w14:textId="77777777" w:rsidR="00B02873" w:rsidRPr="00A50A39" w:rsidRDefault="00B02873" w:rsidP="00A50A39">
            <w:pPr>
              <w:pStyle w:val="TablebodyleftFinancialsTables"/>
              <w:rPr>
                <w:sz w:val="16"/>
              </w:rPr>
            </w:pPr>
            <w:r w:rsidRPr="00A50A39">
              <w:rPr>
                <w:sz w:val="16"/>
              </w:rPr>
              <w:t xml:space="preserve">Established under s70F of the </w:t>
            </w:r>
            <w:r w:rsidRPr="00B57118">
              <w:rPr>
                <w:rStyle w:val="LightItalic"/>
                <w:rFonts w:asciiTheme="minorHAnsi" w:hAnsiTheme="minorHAnsi" w:cstheme="minorHAnsi"/>
                <w:sz w:val="16"/>
              </w:rPr>
              <w:t>Environment Protection Act 1970</w:t>
            </w:r>
            <w:r w:rsidRPr="00A50A39">
              <w:rPr>
                <w:sz w:val="16"/>
              </w:rPr>
              <w:t xml:space="preserve"> and operates under s19 of the </w:t>
            </w:r>
            <w:r w:rsidRPr="00B57118">
              <w:rPr>
                <w:rStyle w:val="LightItalic"/>
                <w:rFonts w:asciiTheme="minorHAnsi" w:hAnsiTheme="minorHAnsi" w:cstheme="minorHAnsi"/>
                <w:sz w:val="16"/>
              </w:rPr>
              <w:t>Financial Management Act 1994</w:t>
            </w:r>
            <w:r w:rsidRPr="00A50A39">
              <w:rPr>
                <w:sz w:val="16"/>
              </w:rPr>
              <w:t xml:space="preserve"> as a specific purpose operating account. It receives municipal and industrial landfill levies from the Environment Protection Authority as specified in s448 of the </w:t>
            </w:r>
            <w:r w:rsidRPr="00B57118">
              <w:rPr>
                <w:rStyle w:val="LightItalic"/>
                <w:rFonts w:asciiTheme="minorHAnsi" w:hAnsiTheme="minorHAnsi" w:cstheme="minorHAnsi"/>
                <w:sz w:val="16"/>
              </w:rPr>
              <w:t>Environment Protection Act 2017</w:t>
            </w:r>
            <w:r w:rsidRPr="00A50A39">
              <w:rPr>
                <w:sz w:val="16"/>
              </w:rPr>
              <w:t xml:space="preserve"> and manages payments to environmental agencies with the remaining balance transferred to the Sustainability Fund Trust Account in accordance with s449(2) of the Act.</w:t>
            </w:r>
          </w:p>
        </w:tc>
        <w:tc>
          <w:tcPr>
            <w:tcW w:w="1077" w:type="dxa"/>
          </w:tcPr>
          <w:p w14:paraId="3755E72B" w14:textId="77777777" w:rsidR="00B02873" w:rsidRPr="00926220" w:rsidRDefault="00B02873" w:rsidP="00A50A39">
            <w:pPr>
              <w:pStyle w:val="TablebodyleftFinancialsTables"/>
              <w:jc w:val="right"/>
              <w:rPr>
                <w:b/>
                <w:bCs/>
                <w:sz w:val="16"/>
              </w:rPr>
            </w:pPr>
            <w:r w:rsidRPr="00926220">
              <w:rPr>
                <w:b/>
                <w:bCs/>
                <w:sz w:val="16"/>
              </w:rPr>
              <w:t>–</w:t>
            </w:r>
          </w:p>
        </w:tc>
        <w:tc>
          <w:tcPr>
            <w:tcW w:w="1078" w:type="dxa"/>
          </w:tcPr>
          <w:p w14:paraId="75922A78" w14:textId="77777777" w:rsidR="00B02873" w:rsidRPr="00926220" w:rsidRDefault="00B02873" w:rsidP="00A50A39">
            <w:pPr>
              <w:pStyle w:val="TablebodyleftFinancialsTables"/>
              <w:jc w:val="right"/>
              <w:rPr>
                <w:b/>
                <w:bCs/>
                <w:sz w:val="16"/>
              </w:rPr>
            </w:pPr>
            <w:r w:rsidRPr="00926220">
              <w:rPr>
                <w:b/>
                <w:bCs/>
                <w:sz w:val="16"/>
              </w:rPr>
              <w:t>326,925</w:t>
            </w:r>
          </w:p>
        </w:tc>
        <w:tc>
          <w:tcPr>
            <w:tcW w:w="1077" w:type="dxa"/>
          </w:tcPr>
          <w:p w14:paraId="0374333C" w14:textId="77777777" w:rsidR="00B02873" w:rsidRPr="00926220" w:rsidRDefault="00B02873" w:rsidP="00A50A39">
            <w:pPr>
              <w:pStyle w:val="TablebodyleftFinancialsTables"/>
              <w:jc w:val="right"/>
              <w:rPr>
                <w:b/>
                <w:bCs/>
                <w:sz w:val="16"/>
              </w:rPr>
            </w:pPr>
            <w:r w:rsidRPr="00926220">
              <w:rPr>
                <w:b/>
                <w:bCs/>
                <w:sz w:val="16"/>
              </w:rPr>
              <w:t>(326,925)</w:t>
            </w:r>
          </w:p>
        </w:tc>
        <w:tc>
          <w:tcPr>
            <w:tcW w:w="1077" w:type="dxa"/>
          </w:tcPr>
          <w:p w14:paraId="1BDE3F2B" w14:textId="77777777" w:rsidR="00B02873" w:rsidRPr="00926220" w:rsidRDefault="00B02873" w:rsidP="00A50A39">
            <w:pPr>
              <w:pStyle w:val="TablebodyleftFinancialsTables"/>
              <w:jc w:val="right"/>
              <w:rPr>
                <w:b/>
                <w:bCs/>
                <w:sz w:val="16"/>
              </w:rPr>
            </w:pPr>
            <w:r w:rsidRPr="00926220">
              <w:rPr>
                <w:b/>
                <w:bCs/>
                <w:sz w:val="16"/>
              </w:rPr>
              <w:t>–</w:t>
            </w:r>
          </w:p>
        </w:tc>
        <w:tc>
          <w:tcPr>
            <w:tcW w:w="1077" w:type="dxa"/>
          </w:tcPr>
          <w:p w14:paraId="382A1B34" w14:textId="77777777" w:rsidR="00B02873" w:rsidRPr="00A50A39" w:rsidRDefault="00B02873" w:rsidP="00A50A39">
            <w:pPr>
              <w:pStyle w:val="TablebodyleftFinancialsTables"/>
              <w:jc w:val="right"/>
              <w:rPr>
                <w:sz w:val="16"/>
              </w:rPr>
            </w:pPr>
            <w:r w:rsidRPr="00A50A39">
              <w:rPr>
                <w:sz w:val="16"/>
              </w:rPr>
              <w:t>–</w:t>
            </w:r>
          </w:p>
        </w:tc>
        <w:tc>
          <w:tcPr>
            <w:tcW w:w="1077" w:type="dxa"/>
          </w:tcPr>
          <w:p w14:paraId="426277C7" w14:textId="77777777" w:rsidR="00B02873" w:rsidRPr="00A50A39" w:rsidRDefault="00B02873" w:rsidP="00A50A39">
            <w:pPr>
              <w:pStyle w:val="TablebodyleftFinancialsTables"/>
              <w:jc w:val="right"/>
              <w:rPr>
                <w:sz w:val="16"/>
              </w:rPr>
            </w:pPr>
            <w:r w:rsidRPr="00A50A39">
              <w:rPr>
                <w:sz w:val="16"/>
              </w:rPr>
              <w:t>199,480</w:t>
            </w:r>
          </w:p>
        </w:tc>
        <w:tc>
          <w:tcPr>
            <w:tcW w:w="1077" w:type="dxa"/>
          </w:tcPr>
          <w:p w14:paraId="5699D79F" w14:textId="77777777" w:rsidR="00B02873" w:rsidRPr="00A50A39" w:rsidRDefault="00B02873" w:rsidP="00A50A39">
            <w:pPr>
              <w:pStyle w:val="TablebodyleftFinancialsTables"/>
              <w:jc w:val="right"/>
              <w:rPr>
                <w:sz w:val="16"/>
              </w:rPr>
            </w:pPr>
            <w:r w:rsidRPr="00A50A39">
              <w:rPr>
                <w:sz w:val="16"/>
              </w:rPr>
              <w:t>(199,480)</w:t>
            </w:r>
          </w:p>
        </w:tc>
        <w:tc>
          <w:tcPr>
            <w:tcW w:w="1078" w:type="dxa"/>
          </w:tcPr>
          <w:p w14:paraId="66F1CFCB" w14:textId="77777777" w:rsidR="00B02873" w:rsidRPr="00A50A39" w:rsidRDefault="00B02873" w:rsidP="00A50A39">
            <w:pPr>
              <w:pStyle w:val="TablebodyleftFinancialsTables"/>
              <w:jc w:val="right"/>
              <w:rPr>
                <w:sz w:val="16"/>
              </w:rPr>
            </w:pPr>
            <w:r w:rsidRPr="00A50A39">
              <w:rPr>
                <w:sz w:val="16"/>
              </w:rPr>
              <w:t>–</w:t>
            </w:r>
          </w:p>
        </w:tc>
      </w:tr>
      <w:tr w:rsidR="00B02873" w:rsidRPr="00B02873" w14:paraId="401B4A84" w14:textId="77777777" w:rsidTr="0007484E">
        <w:trPr>
          <w:trHeight w:val="60"/>
        </w:trPr>
        <w:tc>
          <w:tcPr>
            <w:tcW w:w="5669" w:type="dxa"/>
          </w:tcPr>
          <w:p w14:paraId="3212754B" w14:textId="77777777" w:rsidR="00B02873" w:rsidRPr="00A50A39" w:rsidRDefault="00B02873" w:rsidP="00A50A39">
            <w:pPr>
              <w:pStyle w:val="TablebodyleftFinancialsTables"/>
              <w:rPr>
                <w:sz w:val="16"/>
              </w:rPr>
            </w:pPr>
            <w:r w:rsidRPr="00A50A39">
              <w:rPr>
                <w:sz w:val="16"/>
              </w:rPr>
              <w:t>Parks and Reserves Trust Account</w:t>
            </w:r>
          </w:p>
          <w:p w14:paraId="092A8A14" w14:textId="77777777" w:rsidR="00B02873" w:rsidRPr="00A50A39" w:rsidRDefault="00B02873" w:rsidP="00A50A39">
            <w:pPr>
              <w:pStyle w:val="TablebodyleftFinancialsTables"/>
              <w:rPr>
                <w:sz w:val="16"/>
              </w:rPr>
            </w:pPr>
            <w:r w:rsidRPr="00A50A39">
              <w:rPr>
                <w:sz w:val="16"/>
              </w:rPr>
              <w:t xml:space="preserve">Operates under s153A of the </w:t>
            </w:r>
            <w:r w:rsidRPr="00B57118">
              <w:rPr>
                <w:rStyle w:val="LightItalic"/>
                <w:rFonts w:asciiTheme="minorHAnsi" w:hAnsiTheme="minorHAnsi" w:cstheme="minorHAnsi"/>
                <w:sz w:val="16"/>
              </w:rPr>
              <w:t>Water Industry Act 1994</w:t>
            </w:r>
            <w:r w:rsidRPr="00A50A39">
              <w:rPr>
                <w:sz w:val="16"/>
              </w:rPr>
              <w:t xml:space="preserve"> as a specific purpose operating account. It receives the Metropolitan Parks Improvement Rate and makes payments for the management and control of open spaces, parks and waterways in metropolitan area</w:t>
            </w:r>
          </w:p>
        </w:tc>
        <w:tc>
          <w:tcPr>
            <w:tcW w:w="1077" w:type="dxa"/>
          </w:tcPr>
          <w:p w14:paraId="3FFFCDD9" w14:textId="77777777" w:rsidR="00B02873" w:rsidRPr="00926220" w:rsidRDefault="00B02873" w:rsidP="00A50A39">
            <w:pPr>
              <w:pStyle w:val="TablebodyleftFinancialsTables"/>
              <w:jc w:val="right"/>
              <w:rPr>
                <w:b/>
                <w:bCs/>
                <w:sz w:val="16"/>
              </w:rPr>
            </w:pPr>
            <w:r w:rsidRPr="00926220">
              <w:rPr>
                <w:b/>
                <w:bCs/>
                <w:sz w:val="16"/>
              </w:rPr>
              <w:t>181,264</w:t>
            </w:r>
          </w:p>
        </w:tc>
        <w:tc>
          <w:tcPr>
            <w:tcW w:w="1078" w:type="dxa"/>
          </w:tcPr>
          <w:p w14:paraId="5388DA98" w14:textId="77777777" w:rsidR="00B02873" w:rsidRPr="00926220" w:rsidRDefault="00B02873" w:rsidP="00A50A39">
            <w:pPr>
              <w:pStyle w:val="TablebodyleftFinancialsTables"/>
              <w:jc w:val="right"/>
              <w:rPr>
                <w:b/>
                <w:bCs/>
                <w:sz w:val="16"/>
              </w:rPr>
            </w:pPr>
            <w:r w:rsidRPr="00926220">
              <w:rPr>
                <w:b/>
                <w:bCs/>
                <w:sz w:val="16"/>
              </w:rPr>
              <w:t>198,775</w:t>
            </w:r>
          </w:p>
        </w:tc>
        <w:tc>
          <w:tcPr>
            <w:tcW w:w="1077" w:type="dxa"/>
          </w:tcPr>
          <w:p w14:paraId="4436CE1D" w14:textId="77777777" w:rsidR="00B02873" w:rsidRPr="00926220" w:rsidRDefault="00B02873" w:rsidP="00A50A39">
            <w:pPr>
              <w:pStyle w:val="TablebodyleftFinancialsTables"/>
              <w:jc w:val="right"/>
              <w:rPr>
                <w:b/>
                <w:bCs/>
                <w:sz w:val="16"/>
              </w:rPr>
            </w:pPr>
            <w:r w:rsidRPr="00926220">
              <w:rPr>
                <w:b/>
                <w:bCs/>
                <w:sz w:val="16"/>
              </w:rPr>
              <w:t>(195,074)</w:t>
            </w:r>
          </w:p>
        </w:tc>
        <w:tc>
          <w:tcPr>
            <w:tcW w:w="1077" w:type="dxa"/>
          </w:tcPr>
          <w:p w14:paraId="058E00A9" w14:textId="77777777" w:rsidR="00B02873" w:rsidRPr="00926220" w:rsidRDefault="00B02873" w:rsidP="00A50A39">
            <w:pPr>
              <w:pStyle w:val="TablebodyleftFinancialsTables"/>
              <w:jc w:val="right"/>
              <w:rPr>
                <w:b/>
                <w:bCs/>
                <w:sz w:val="16"/>
              </w:rPr>
            </w:pPr>
            <w:r w:rsidRPr="00926220">
              <w:rPr>
                <w:b/>
                <w:bCs/>
                <w:sz w:val="16"/>
              </w:rPr>
              <w:t>184,965</w:t>
            </w:r>
          </w:p>
        </w:tc>
        <w:tc>
          <w:tcPr>
            <w:tcW w:w="1077" w:type="dxa"/>
          </w:tcPr>
          <w:p w14:paraId="33BC09DE" w14:textId="77777777" w:rsidR="00B02873" w:rsidRPr="00A50A39" w:rsidRDefault="00B02873" w:rsidP="00A50A39">
            <w:pPr>
              <w:pStyle w:val="TablebodyleftFinancialsTables"/>
              <w:jc w:val="right"/>
              <w:rPr>
                <w:sz w:val="16"/>
              </w:rPr>
            </w:pPr>
            <w:r w:rsidRPr="00A50A39">
              <w:rPr>
                <w:sz w:val="16"/>
              </w:rPr>
              <w:t>149,289</w:t>
            </w:r>
          </w:p>
        </w:tc>
        <w:tc>
          <w:tcPr>
            <w:tcW w:w="1077" w:type="dxa"/>
          </w:tcPr>
          <w:p w14:paraId="4FD36583" w14:textId="77777777" w:rsidR="00B02873" w:rsidRPr="00A50A39" w:rsidRDefault="00B02873" w:rsidP="00A50A39">
            <w:pPr>
              <w:pStyle w:val="TablebodyleftFinancialsTables"/>
              <w:jc w:val="right"/>
              <w:rPr>
                <w:sz w:val="16"/>
              </w:rPr>
            </w:pPr>
            <w:r w:rsidRPr="00A50A39">
              <w:rPr>
                <w:sz w:val="16"/>
              </w:rPr>
              <w:t>191,204</w:t>
            </w:r>
          </w:p>
        </w:tc>
        <w:tc>
          <w:tcPr>
            <w:tcW w:w="1077" w:type="dxa"/>
          </w:tcPr>
          <w:p w14:paraId="7BEA2096" w14:textId="77777777" w:rsidR="00B02873" w:rsidRPr="00A50A39" w:rsidRDefault="00B02873" w:rsidP="00A50A39">
            <w:pPr>
              <w:pStyle w:val="TablebodyleftFinancialsTables"/>
              <w:jc w:val="right"/>
              <w:rPr>
                <w:sz w:val="16"/>
              </w:rPr>
            </w:pPr>
            <w:r w:rsidRPr="00A50A39">
              <w:rPr>
                <w:sz w:val="16"/>
              </w:rPr>
              <w:t>(159,229)</w:t>
            </w:r>
          </w:p>
        </w:tc>
        <w:tc>
          <w:tcPr>
            <w:tcW w:w="1078" w:type="dxa"/>
          </w:tcPr>
          <w:p w14:paraId="5FF11E11" w14:textId="77777777" w:rsidR="00B02873" w:rsidRPr="00A50A39" w:rsidRDefault="00B02873" w:rsidP="00A50A39">
            <w:pPr>
              <w:pStyle w:val="TablebodyleftFinancialsTables"/>
              <w:jc w:val="right"/>
              <w:rPr>
                <w:sz w:val="16"/>
              </w:rPr>
            </w:pPr>
            <w:r w:rsidRPr="00A50A39">
              <w:rPr>
                <w:sz w:val="16"/>
              </w:rPr>
              <w:t>181,264</w:t>
            </w:r>
          </w:p>
        </w:tc>
      </w:tr>
      <w:tr w:rsidR="00B02873" w:rsidRPr="00B02873" w14:paraId="254AD476" w14:textId="77777777" w:rsidTr="0007484E">
        <w:trPr>
          <w:trHeight w:val="60"/>
        </w:trPr>
        <w:tc>
          <w:tcPr>
            <w:tcW w:w="5669" w:type="dxa"/>
          </w:tcPr>
          <w:p w14:paraId="720689B5" w14:textId="77777777" w:rsidR="00B02873" w:rsidRPr="00A50A39" w:rsidRDefault="00B02873" w:rsidP="00A50A39">
            <w:pPr>
              <w:pStyle w:val="TablebodyleftFinancialsTables"/>
              <w:rPr>
                <w:sz w:val="16"/>
              </w:rPr>
            </w:pPr>
            <w:r w:rsidRPr="00A50A39">
              <w:rPr>
                <w:sz w:val="16"/>
              </w:rPr>
              <w:t>Plant and Machinery Trust Account</w:t>
            </w:r>
          </w:p>
          <w:p w14:paraId="7FDDEA33" w14:textId="77777777" w:rsidR="00B02873" w:rsidRPr="00A50A39" w:rsidRDefault="00B02873" w:rsidP="00A50A39">
            <w:pPr>
              <w:pStyle w:val="TablebodyleftFinancialsTables"/>
              <w:rPr>
                <w:sz w:val="16"/>
              </w:rPr>
            </w:pPr>
            <w:r w:rsidRPr="00A50A39">
              <w:rPr>
                <w:sz w:val="16"/>
              </w:rPr>
              <w:t xml:space="preserve">Operates under s23 of the </w:t>
            </w:r>
            <w:r w:rsidRPr="00B57118">
              <w:rPr>
                <w:rStyle w:val="LightItalic"/>
                <w:rFonts w:asciiTheme="minorHAnsi" w:hAnsiTheme="minorHAnsi" w:cstheme="minorHAnsi"/>
                <w:sz w:val="16"/>
              </w:rPr>
              <w:t>Conservation, Forests and Lands Act 1987</w:t>
            </w:r>
            <w:r w:rsidRPr="00A50A39">
              <w:rPr>
                <w:sz w:val="16"/>
              </w:rPr>
              <w:t xml:space="preserve"> as a specific purpose operating account. It receives funding and makes payments for the renewal, replacement, operation, maintenance and repair of plant and machinery.</w:t>
            </w:r>
          </w:p>
        </w:tc>
        <w:tc>
          <w:tcPr>
            <w:tcW w:w="1077" w:type="dxa"/>
          </w:tcPr>
          <w:p w14:paraId="7F6E93B2" w14:textId="77777777" w:rsidR="00B02873" w:rsidRPr="00926220" w:rsidRDefault="00B02873" w:rsidP="00A50A39">
            <w:pPr>
              <w:pStyle w:val="TablebodyleftFinancialsTables"/>
              <w:jc w:val="right"/>
              <w:rPr>
                <w:b/>
                <w:bCs/>
                <w:sz w:val="16"/>
              </w:rPr>
            </w:pPr>
            <w:r w:rsidRPr="00926220">
              <w:rPr>
                <w:b/>
                <w:bCs/>
                <w:sz w:val="16"/>
              </w:rPr>
              <w:t>38,089</w:t>
            </w:r>
          </w:p>
        </w:tc>
        <w:tc>
          <w:tcPr>
            <w:tcW w:w="1078" w:type="dxa"/>
          </w:tcPr>
          <w:p w14:paraId="50250687" w14:textId="77777777" w:rsidR="00B02873" w:rsidRPr="00926220" w:rsidRDefault="00B02873" w:rsidP="00A50A39">
            <w:pPr>
              <w:pStyle w:val="TablebodyleftFinancialsTables"/>
              <w:jc w:val="right"/>
              <w:rPr>
                <w:b/>
                <w:bCs/>
                <w:sz w:val="16"/>
              </w:rPr>
            </w:pPr>
            <w:r w:rsidRPr="00926220">
              <w:rPr>
                <w:b/>
                <w:bCs/>
                <w:sz w:val="16"/>
              </w:rPr>
              <w:t>4,676</w:t>
            </w:r>
          </w:p>
        </w:tc>
        <w:tc>
          <w:tcPr>
            <w:tcW w:w="1077" w:type="dxa"/>
          </w:tcPr>
          <w:p w14:paraId="3778546B" w14:textId="77777777" w:rsidR="00B02873" w:rsidRPr="00926220" w:rsidRDefault="00B02873" w:rsidP="00A50A39">
            <w:pPr>
              <w:pStyle w:val="TablebodyleftFinancialsTables"/>
              <w:jc w:val="right"/>
              <w:rPr>
                <w:b/>
                <w:bCs/>
                <w:sz w:val="16"/>
              </w:rPr>
            </w:pPr>
            <w:r w:rsidRPr="00926220">
              <w:rPr>
                <w:b/>
                <w:bCs/>
                <w:sz w:val="16"/>
              </w:rPr>
              <w:t>(4,673)</w:t>
            </w:r>
          </w:p>
        </w:tc>
        <w:tc>
          <w:tcPr>
            <w:tcW w:w="1077" w:type="dxa"/>
          </w:tcPr>
          <w:p w14:paraId="1E4B4B83" w14:textId="195BA95A" w:rsidR="00B02873" w:rsidRPr="00926220" w:rsidRDefault="00B02873" w:rsidP="00A50A39">
            <w:pPr>
              <w:pStyle w:val="TablebodyleftFinancialsTables"/>
              <w:jc w:val="right"/>
              <w:rPr>
                <w:b/>
                <w:bCs/>
                <w:sz w:val="16"/>
              </w:rPr>
            </w:pPr>
            <w:r w:rsidRPr="00926220">
              <w:rPr>
                <w:b/>
                <w:bCs/>
                <w:sz w:val="16"/>
              </w:rPr>
              <w:t>38,092</w:t>
            </w:r>
            <w:r w:rsidR="00012C04" w:rsidRPr="00926220">
              <w:rPr>
                <w:b/>
                <w:bCs/>
                <w:sz w:val="16"/>
              </w:rPr>
              <w:t xml:space="preserve"> </w:t>
            </w:r>
            <w:r w:rsidRPr="00926220">
              <w:rPr>
                <w:b/>
                <w:bCs/>
                <w:sz w:val="16"/>
              </w:rPr>
              <w:t xml:space="preserve"> </w:t>
            </w:r>
          </w:p>
        </w:tc>
        <w:tc>
          <w:tcPr>
            <w:tcW w:w="1077" w:type="dxa"/>
          </w:tcPr>
          <w:p w14:paraId="499CB4BC" w14:textId="77777777" w:rsidR="00B02873" w:rsidRPr="00A50A39" w:rsidRDefault="00B02873" w:rsidP="00A50A39">
            <w:pPr>
              <w:pStyle w:val="TablebodyleftFinancialsTables"/>
              <w:jc w:val="right"/>
              <w:rPr>
                <w:sz w:val="16"/>
              </w:rPr>
            </w:pPr>
            <w:r w:rsidRPr="00A50A39">
              <w:rPr>
                <w:sz w:val="16"/>
              </w:rPr>
              <w:t>56,070</w:t>
            </w:r>
          </w:p>
        </w:tc>
        <w:tc>
          <w:tcPr>
            <w:tcW w:w="1077" w:type="dxa"/>
          </w:tcPr>
          <w:p w14:paraId="1BCE6977" w14:textId="77777777" w:rsidR="00B02873" w:rsidRPr="00A50A39" w:rsidRDefault="00B02873" w:rsidP="00A50A39">
            <w:pPr>
              <w:pStyle w:val="TablebodyleftFinancialsTables"/>
              <w:jc w:val="right"/>
              <w:rPr>
                <w:sz w:val="16"/>
              </w:rPr>
            </w:pPr>
            <w:r w:rsidRPr="00A50A39">
              <w:rPr>
                <w:sz w:val="16"/>
              </w:rPr>
              <w:t>534</w:t>
            </w:r>
          </w:p>
        </w:tc>
        <w:tc>
          <w:tcPr>
            <w:tcW w:w="1077" w:type="dxa"/>
          </w:tcPr>
          <w:p w14:paraId="58B0B38D" w14:textId="77777777" w:rsidR="00B02873" w:rsidRPr="00A50A39" w:rsidRDefault="00B02873" w:rsidP="00A50A39">
            <w:pPr>
              <w:pStyle w:val="TablebodyleftFinancialsTables"/>
              <w:jc w:val="right"/>
              <w:rPr>
                <w:sz w:val="16"/>
              </w:rPr>
            </w:pPr>
            <w:r w:rsidRPr="00A50A39">
              <w:rPr>
                <w:sz w:val="16"/>
              </w:rPr>
              <w:t>(18,515)</w:t>
            </w:r>
          </w:p>
        </w:tc>
        <w:tc>
          <w:tcPr>
            <w:tcW w:w="1078" w:type="dxa"/>
          </w:tcPr>
          <w:p w14:paraId="0DE50057" w14:textId="77777777" w:rsidR="00B02873" w:rsidRPr="00A50A39" w:rsidRDefault="00B02873" w:rsidP="00A50A39">
            <w:pPr>
              <w:pStyle w:val="TablebodyleftFinancialsTables"/>
              <w:jc w:val="right"/>
              <w:rPr>
                <w:sz w:val="16"/>
              </w:rPr>
            </w:pPr>
            <w:r w:rsidRPr="00A50A39">
              <w:rPr>
                <w:sz w:val="16"/>
              </w:rPr>
              <w:t>38,089</w:t>
            </w:r>
          </w:p>
        </w:tc>
      </w:tr>
      <w:tr w:rsidR="00B02873" w:rsidRPr="00B02873" w14:paraId="2B44B9AA" w14:textId="77777777" w:rsidTr="0007484E">
        <w:trPr>
          <w:trHeight w:val="60"/>
        </w:trPr>
        <w:tc>
          <w:tcPr>
            <w:tcW w:w="5669" w:type="dxa"/>
          </w:tcPr>
          <w:p w14:paraId="42C577F4" w14:textId="77777777" w:rsidR="00B02873" w:rsidRPr="00926220" w:rsidRDefault="00B02873" w:rsidP="00926220">
            <w:pPr>
              <w:pStyle w:val="TablebodyleftFinancialsTables"/>
              <w:keepNext/>
              <w:rPr>
                <w:b/>
                <w:bCs/>
                <w:sz w:val="16"/>
              </w:rPr>
            </w:pPr>
            <w:r w:rsidRPr="00926220">
              <w:rPr>
                <w:b/>
                <w:bCs/>
                <w:sz w:val="16"/>
              </w:rPr>
              <w:lastRenderedPageBreak/>
              <w:t xml:space="preserve">Cash and deposits </w:t>
            </w:r>
          </w:p>
        </w:tc>
        <w:tc>
          <w:tcPr>
            <w:tcW w:w="1077" w:type="dxa"/>
          </w:tcPr>
          <w:p w14:paraId="2C979140" w14:textId="77777777" w:rsidR="00B02873" w:rsidRPr="00926220" w:rsidRDefault="00B02873" w:rsidP="00A50A39">
            <w:pPr>
              <w:pStyle w:val="TablebodyleftFinancialsTables"/>
              <w:jc w:val="right"/>
              <w:rPr>
                <w:rFonts w:ascii="VIC Bold Italic" w:hAnsi="VIC Bold Italic" w:cs="Times New Roman"/>
                <w:b/>
                <w:bCs/>
                <w:sz w:val="16"/>
              </w:rPr>
            </w:pPr>
          </w:p>
        </w:tc>
        <w:tc>
          <w:tcPr>
            <w:tcW w:w="1078" w:type="dxa"/>
          </w:tcPr>
          <w:p w14:paraId="4DAC1446" w14:textId="77777777" w:rsidR="00B02873" w:rsidRPr="00926220" w:rsidRDefault="00B02873" w:rsidP="00A50A39">
            <w:pPr>
              <w:pStyle w:val="TablebodyleftFinancialsTables"/>
              <w:jc w:val="right"/>
              <w:rPr>
                <w:rFonts w:ascii="VIC Bold Italic" w:hAnsi="VIC Bold Italic" w:cs="Times New Roman"/>
                <w:b/>
                <w:bCs/>
                <w:sz w:val="16"/>
              </w:rPr>
            </w:pPr>
          </w:p>
        </w:tc>
        <w:tc>
          <w:tcPr>
            <w:tcW w:w="1077" w:type="dxa"/>
          </w:tcPr>
          <w:p w14:paraId="5D929AF8" w14:textId="77777777" w:rsidR="00B02873" w:rsidRPr="00926220" w:rsidRDefault="00B02873" w:rsidP="00A50A39">
            <w:pPr>
              <w:pStyle w:val="TablebodyleftFinancialsTables"/>
              <w:jc w:val="right"/>
              <w:rPr>
                <w:rFonts w:ascii="VIC Bold Italic" w:hAnsi="VIC Bold Italic" w:cs="Times New Roman"/>
                <w:b/>
                <w:bCs/>
                <w:sz w:val="16"/>
              </w:rPr>
            </w:pPr>
          </w:p>
        </w:tc>
        <w:tc>
          <w:tcPr>
            <w:tcW w:w="1077" w:type="dxa"/>
          </w:tcPr>
          <w:p w14:paraId="5C4FF841" w14:textId="77777777" w:rsidR="00B02873" w:rsidRPr="00926220" w:rsidRDefault="00B02873" w:rsidP="00A50A39">
            <w:pPr>
              <w:pStyle w:val="TablebodyleftFinancialsTables"/>
              <w:jc w:val="right"/>
              <w:rPr>
                <w:rFonts w:ascii="VIC Bold Italic" w:hAnsi="VIC Bold Italic" w:cs="Times New Roman"/>
                <w:b/>
                <w:bCs/>
                <w:sz w:val="16"/>
              </w:rPr>
            </w:pPr>
          </w:p>
        </w:tc>
        <w:tc>
          <w:tcPr>
            <w:tcW w:w="1077" w:type="dxa"/>
          </w:tcPr>
          <w:p w14:paraId="02F3BF7E" w14:textId="77777777" w:rsidR="00B02873" w:rsidRPr="00A50A39" w:rsidRDefault="00B02873" w:rsidP="00A50A39">
            <w:pPr>
              <w:pStyle w:val="TablebodyleftFinancialsTables"/>
              <w:jc w:val="right"/>
              <w:rPr>
                <w:rFonts w:ascii="VIC Bold Italic" w:hAnsi="VIC Bold Italic" w:cs="Times New Roman"/>
                <w:sz w:val="16"/>
              </w:rPr>
            </w:pPr>
          </w:p>
        </w:tc>
        <w:tc>
          <w:tcPr>
            <w:tcW w:w="1077" w:type="dxa"/>
          </w:tcPr>
          <w:p w14:paraId="5C05EB23" w14:textId="77777777" w:rsidR="00B02873" w:rsidRPr="00A50A39" w:rsidRDefault="00B02873" w:rsidP="00A50A39">
            <w:pPr>
              <w:pStyle w:val="TablebodyleftFinancialsTables"/>
              <w:jc w:val="right"/>
              <w:rPr>
                <w:rFonts w:ascii="VIC Bold Italic" w:hAnsi="VIC Bold Italic" w:cs="Times New Roman"/>
                <w:sz w:val="16"/>
              </w:rPr>
            </w:pPr>
          </w:p>
        </w:tc>
        <w:tc>
          <w:tcPr>
            <w:tcW w:w="1077" w:type="dxa"/>
          </w:tcPr>
          <w:p w14:paraId="6A1A778E" w14:textId="77777777" w:rsidR="00B02873" w:rsidRPr="00A50A39" w:rsidRDefault="00B02873" w:rsidP="00A50A39">
            <w:pPr>
              <w:pStyle w:val="TablebodyleftFinancialsTables"/>
              <w:jc w:val="right"/>
              <w:rPr>
                <w:rFonts w:ascii="VIC Bold Italic" w:hAnsi="VIC Bold Italic" w:cs="Times New Roman"/>
                <w:sz w:val="16"/>
              </w:rPr>
            </w:pPr>
          </w:p>
        </w:tc>
        <w:tc>
          <w:tcPr>
            <w:tcW w:w="1078" w:type="dxa"/>
          </w:tcPr>
          <w:p w14:paraId="14696B44" w14:textId="77777777" w:rsidR="00B02873" w:rsidRPr="00A50A39" w:rsidRDefault="00B02873" w:rsidP="00A50A39">
            <w:pPr>
              <w:pStyle w:val="TablebodyleftFinancialsTables"/>
              <w:jc w:val="right"/>
              <w:rPr>
                <w:rFonts w:ascii="VIC Bold Italic" w:hAnsi="VIC Bold Italic" w:cs="Times New Roman"/>
                <w:sz w:val="16"/>
              </w:rPr>
            </w:pPr>
          </w:p>
        </w:tc>
      </w:tr>
      <w:tr w:rsidR="00B02873" w:rsidRPr="00B02873" w14:paraId="06C85B95" w14:textId="77777777" w:rsidTr="0007484E">
        <w:trPr>
          <w:trHeight w:val="60"/>
        </w:trPr>
        <w:tc>
          <w:tcPr>
            <w:tcW w:w="5669" w:type="dxa"/>
          </w:tcPr>
          <w:p w14:paraId="06937DD0" w14:textId="77777777" w:rsidR="00B02873" w:rsidRPr="00A50A39" w:rsidRDefault="00B02873" w:rsidP="00A50A39">
            <w:pPr>
              <w:pStyle w:val="TablebodyleftFinancialsTables"/>
              <w:rPr>
                <w:sz w:val="16"/>
              </w:rPr>
            </w:pPr>
            <w:r w:rsidRPr="00A50A39">
              <w:rPr>
                <w:sz w:val="16"/>
              </w:rPr>
              <w:t>Project Trust Account (i)</w:t>
            </w:r>
          </w:p>
          <w:p w14:paraId="634E39E0" w14:textId="77777777" w:rsidR="00B02873" w:rsidRPr="00A50A39" w:rsidRDefault="00B02873" w:rsidP="00A50A39">
            <w:pPr>
              <w:pStyle w:val="TablebodyleftFinancialsTables"/>
              <w:rPr>
                <w:sz w:val="16"/>
              </w:rPr>
            </w:pPr>
            <w:r w:rsidRPr="00A50A39">
              <w:rPr>
                <w:sz w:val="16"/>
              </w:rPr>
              <w:t xml:space="preserve">Operates under s19(2) of the </w:t>
            </w:r>
            <w:r w:rsidRPr="00B57118">
              <w:rPr>
                <w:rStyle w:val="LightItalic"/>
                <w:rFonts w:asciiTheme="minorHAnsi" w:hAnsiTheme="minorHAnsi" w:cstheme="minorHAnsi"/>
                <w:sz w:val="16"/>
              </w:rPr>
              <w:t>Financial Management Act 1994</w:t>
            </w:r>
            <w:r w:rsidRPr="00A50A39">
              <w:rPr>
                <w:sz w:val="16"/>
              </w:rPr>
              <w:t xml:space="preserve"> as a specific purpose operating account. It receives income and makes payments associated with services the department has been contracted to supply on a fee for service basis.</w:t>
            </w:r>
          </w:p>
        </w:tc>
        <w:tc>
          <w:tcPr>
            <w:tcW w:w="1077" w:type="dxa"/>
          </w:tcPr>
          <w:p w14:paraId="4B0F31BF" w14:textId="77777777" w:rsidR="00B02873" w:rsidRPr="00926220" w:rsidRDefault="00B02873" w:rsidP="00A50A39">
            <w:pPr>
              <w:pStyle w:val="TablebodyleftFinancialsTables"/>
              <w:jc w:val="right"/>
              <w:rPr>
                <w:b/>
                <w:bCs/>
                <w:sz w:val="16"/>
              </w:rPr>
            </w:pPr>
            <w:r w:rsidRPr="00926220">
              <w:rPr>
                <w:b/>
                <w:bCs/>
                <w:sz w:val="16"/>
              </w:rPr>
              <w:t>402,894</w:t>
            </w:r>
          </w:p>
        </w:tc>
        <w:tc>
          <w:tcPr>
            <w:tcW w:w="1078" w:type="dxa"/>
          </w:tcPr>
          <w:p w14:paraId="20F45164" w14:textId="77777777" w:rsidR="00B02873" w:rsidRPr="00926220" w:rsidRDefault="00B02873" w:rsidP="00A50A39">
            <w:pPr>
              <w:pStyle w:val="TablebodyleftFinancialsTables"/>
              <w:jc w:val="right"/>
              <w:rPr>
                <w:b/>
                <w:bCs/>
                <w:sz w:val="16"/>
              </w:rPr>
            </w:pPr>
            <w:r w:rsidRPr="00926220">
              <w:rPr>
                <w:b/>
                <w:bCs/>
                <w:sz w:val="16"/>
              </w:rPr>
              <w:t>232,973</w:t>
            </w:r>
          </w:p>
        </w:tc>
        <w:tc>
          <w:tcPr>
            <w:tcW w:w="1077" w:type="dxa"/>
          </w:tcPr>
          <w:p w14:paraId="57E33D79" w14:textId="77777777" w:rsidR="00B02873" w:rsidRPr="00926220" w:rsidRDefault="00B02873" w:rsidP="00A50A39">
            <w:pPr>
              <w:pStyle w:val="TablebodyleftFinancialsTables"/>
              <w:jc w:val="right"/>
              <w:rPr>
                <w:b/>
                <w:bCs/>
                <w:sz w:val="16"/>
              </w:rPr>
            </w:pPr>
            <w:r w:rsidRPr="00926220">
              <w:rPr>
                <w:b/>
                <w:bCs/>
                <w:sz w:val="16"/>
              </w:rPr>
              <w:t xml:space="preserve">(252,047) </w:t>
            </w:r>
          </w:p>
        </w:tc>
        <w:tc>
          <w:tcPr>
            <w:tcW w:w="1077" w:type="dxa"/>
          </w:tcPr>
          <w:p w14:paraId="43BA241F" w14:textId="77777777" w:rsidR="00B02873" w:rsidRPr="00926220" w:rsidRDefault="00B02873" w:rsidP="00A50A39">
            <w:pPr>
              <w:pStyle w:val="TablebodyleftFinancialsTables"/>
              <w:jc w:val="right"/>
              <w:rPr>
                <w:b/>
                <w:bCs/>
                <w:sz w:val="16"/>
              </w:rPr>
            </w:pPr>
            <w:r w:rsidRPr="00926220">
              <w:rPr>
                <w:b/>
                <w:bCs/>
                <w:sz w:val="16"/>
              </w:rPr>
              <w:t>383,820</w:t>
            </w:r>
          </w:p>
        </w:tc>
        <w:tc>
          <w:tcPr>
            <w:tcW w:w="1077" w:type="dxa"/>
          </w:tcPr>
          <w:p w14:paraId="570898F2" w14:textId="77777777" w:rsidR="00B02873" w:rsidRPr="00A50A39" w:rsidRDefault="00B02873" w:rsidP="00A50A39">
            <w:pPr>
              <w:pStyle w:val="TablebodyleftFinancialsTables"/>
              <w:jc w:val="right"/>
              <w:rPr>
                <w:sz w:val="16"/>
              </w:rPr>
            </w:pPr>
            <w:r w:rsidRPr="00A50A39">
              <w:rPr>
                <w:sz w:val="16"/>
              </w:rPr>
              <w:t>314,788</w:t>
            </w:r>
          </w:p>
        </w:tc>
        <w:tc>
          <w:tcPr>
            <w:tcW w:w="1077" w:type="dxa"/>
          </w:tcPr>
          <w:p w14:paraId="7FE05407" w14:textId="77777777" w:rsidR="00B02873" w:rsidRPr="00A50A39" w:rsidRDefault="00B02873" w:rsidP="00A50A39">
            <w:pPr>
              <w:pStyle w:val="TablebodyleftFinancialsTables"/>
              <w:jc w:val="right"/>
              <w:rPr>
                <w:sz w:val="16"/>
              </w:rPr>
            </w:pPr>
            <w:r w:rsidRPr="00A50A39">
              <w:rPr>
                <w:sz w:val="16"/>
              </w:rPr>
              <w:t>326,683</w:t>
            </w:r>
          </w:p>
        </w:tc>
        <w:tc>
          <w:tcPr>
            <w:tcW w:w="1077" w:type="dxa"/>
          </w:tcPr>
          <w:p w14:paraId="5C0481C2" w14:textId="77777777" w:rsidR="00B02873" w:rsidRPr="00A50A39" w:rsidRDefault="00B02873" w:rsidP="00A50A39">
            <w:pPr>
              <w:pStyle w:val="TablebodyleftFinancialsTables"/>
              <w:jc w:val="right"/>
              <w:rPr>
                <w:sz w:val="16"/>
              </w:rPr>
            </w:pPr>
            <w:r w:rsidRPr="00A50A39">
              <w:rPr>
                <w:sz w:val="16"/>
              </w:rPr>
              <w:t xml:space="preserve">(238,577) </w:t>
            </w:r>
          </w:p>
        </w:tc>
        <w:tc>
          <w:tcPr>
            <w:tcW w:w="1078" w:type="dxa"/>
          </w:tcPr>
          <w:p w14:paraId="33F2DB00" w14:textId="77777777" w:rsidR="00B02873" w:rsidRPr="00A50A39" w:rsidRDefault="00B02873" w:rsidP="00A50A39">
            <w:pPr>
              <w:pStyle w:val="TablebodyleftFinancialsTables"/>
              <w:jc w:val="right"/>
              <w:rPr>
                <w:sz w:val="16"/>
              </w:rPr>
            </w:pPr>
            <w:r w:rsidRPr="00A50A39">
              <w:rPr>
                <w:sz w:val="16"/>
              </w:rPr>
              <w:t>402,894</w:t>
            </w:r>
          </w:p>
        </w:tc>
      </w:tr>
      <w:tr w:rsidR="00B02873" w:rsidRPr="00B02873" w14:paraId="2DFBE624" w14:textId="77777777" w:rsidTr="0007484E">
        <w:trPr>
          <w:trHeight w:val="60"/>
        </w:trPr>
        <w:tc>
          <w:tcPr>
            <w:tcW w:w="5669" w:type="dxa"/>
          </w:tcPr>
          <w:p w14:paraId="4F6E08AB" w14:textId="77777777" w:rsidR="00B02873" w:rsidRPr="00A50A39" w:rsidRDefault="00B02873" w:rsidP="00A50A39">
            <w:pPr>
              <w:pStyle w:val="TablebodyleftFinancialsTables"/>
              <w:rPr>
                <w:sz w:val="16"/>
              </w:rPr>
            </w:pPr>
            <w:r w:rsidRPr="00A50A39">
              <w:rPr>
                <w:sz w:val="16"/>
              </w:rPr>
              <w:t>Renewable Energy Certificate Purchasing Initiative Trust Account</w:t>
            </w:r>
          </w:p>
          <w:p w14:paraId="4B4F6209" w14:textId="77777777" w:rsidR="00B02873" w:rsidRPr="00A50A39" w:rsidRDefault="00B02873" w:rsidP="00A50A39">
            <w:pPr>
              <w:pStyle w:val="TablebodyleftFinancialsTables"/>
              <w:rPr>
                <w:sz w:val="16"/>
              </w:rPr>
            </w:pPr>
            <w:r w:rsidRPr="00A50A39">
              <w:rPr>
                <w:sz w:val="16"/>
              </w:rPr>
              <w:t xml:space="preserve">Operates under s19(2) of the </w:t>
            </w:r>
            <w:r w:rsidRPr="00B57118">
              <w:rPr>
                <w:rStyle w:val="LightItalic"/>
                <w:rFonts w:asciiTheme="minorHAnsi" w:hAnsiTheme="minorHAnsi" w:cstheme="minorHAnsi"/>
                <w:sz w:val="16"/>
              </w:rPr>
              <w:t>Financial Management Act 1994</w:t>
            </w:r>
            <w:r w:rsidRPr="00A50A39">
              <w:rPr>
                <w:sz w:val="16"/>
              </w:rPr>
              <w:t xml:space="preserve"> as a specific purpose operating account. Maintains a single point of administration for revenue holding, consultancy fee, administrative costs, staffing and training. Payments are received from the Sustainability Fund for implementing the Renewable Certificate Purchasing Initiative and for purchasing Large-scale Generation Certificates</w:t>
            </w:r>
          </w:p>
        </w:tc>
        <w:tc>
          <w:tcPr>
            <w:tcW w:w="1077" w:type="dxa"/>
          </w:tcPr>
          <w:p w14:paraId="3F70CBE9" w14:textId="77777777" w:rsidR="00B02873" w:rsidRPr="00926220" w:rsidRDefault="00B02873" w:rsidP="00A50A39">
            <w:pPr>
              <w:pStyle w:val="TablebodyleftFinancialsTables"/>
              <w:jc w:val="right"/>
              <w:rPr>
                <w:b/>
                <w:bCs/>
                <w:sz w:val="16"/>
              </w:rPr>
            </w:pPr>
            <w:r w:rsidRPr="00926220">
              <w:rPr>
                <w:b/>
                <w:bCs/>
                <w:sz w:val="16"/>
              </w:rPr>
              <w:t>33,856</w:t>
            </w:r>
          </w:p>
        </w:tc>
        <w:tc>
          <w:tcPr>
            <w:tcW w:w="1078" w:type="dxa"/>
          </w:tcPr>
          <w:p w14:paraId="654B7EE9" w14:textId="77777777" w:rsidR="00B02873" w:rsidRPr="00926220" w:rsidRDefault="00B02873" w:rsidP="00A50A39">
            <w:pPr>
              <w:pStyle w:val="TablebodyleftFinancialsTables"/>
              <w:jc w:val="right"/>
              <w:rPr>
                <w:b/>
                <w:bCs/>
                <w:sz w:val="16"/>
              </w:rPr>
            </w:pPr>
            <w:r w:rsidRPr="00926220">
              <w:rPr>
                <w:b/>
                <w:bCs/>
                <w:sz w:val="16"/>
              </w:rPr>
              <w:t>7,797</w:t>
            </w:r>
          </w:p>
        </w:tc>
        <w:tc>
          <w:tcPr>
            <w:tcW w:w="1077" w:type="dxa"/>
          </w:tcPr>
          <w:p w14:paraId="1C50A59C" w14:textId="77777777" w:rsidR="00B02873" w:rsidRPr="00926220" w:rsidRDefault="00B02873" w:rsidP="00A50A39">
            <w:pPr>
              <w:pStyle w:val="TablebodyleftFinancialsTables"/>
              <w:jc w:val="right"/>
              <w:rPr>
                <w:b/>
                <w:bCs/>
                <w:sz w:val="16"/>
              </w:rPr>
            </w:pPr>
            <w:r w:rsidRPr="00926220">
              <w:rPr>
                <w:b/>
                <w:bCs/>
                <w:sz w:val="16"/>
              </w:rPr>
              <w:t>(4,060)</w:t>
            </w:r>
          </w:p>
        </w:tc>
        <w:tc>
          <w:tcPr>
            <w:tcW w:w="1077" w:type="dxa"/>
          </w:tcPr>
          <w:p w14:paraId="5CEE19E7" w14:textId="77777777" w:rsidR="00B02873" w:rsidRPr="00926220" w:rsidRDefault="00B02873" w:rsidP="00A50A39">
            <w:pPr>
              <w:pStyle w:val="TablebodyleftFinancialsTables"/>
              <w:jc w:val="right"/>
              <w:rPr>
                <w:b/>
                <w:bCs/>
                <w:sz w:val="16"/>
              </w:rPr>
            </w:pPr>
            <w:r w:rsidRPr="00926220">
              <w:rPr>
                <w:b/>
                <w:bCs/>
                <w:sz w:val="16"/>
              </w:rPr>
              <w:t>37,593</w:t>
            </w:r>
          </w:p>
        </w:tc>
        <w:tc>
          <w:tcPr>
            <w:tcW w:w="1077" w:type="dxa"/>
          </w:tcPr>
          <w:p w14:paraId="356490A7" w14:textId="77777777" w:rsidR="00B02873" w:rsidRPr="00A50A39" w:rsidRDefault="00B02873" w:rsidP="00A50A39">
            <w:pPr>
              <w:pStyle w:val="TablebodyleftFinancialsTables"/>
              <w:jc w:val="right"/>
              <w:rPr>
                <w:sz w:val="16"/>
              </w:rPr>
            </w:pPr>
            <w:r w:rsidRPr="00A50A39">
              <w:rPr>
                <w:sz w:val="16"/>
              </w:rPr>
              <w:t>35,243</w:t>
            </w:r>
          </w:p>
        </w:tc>
        <w:tc>
          <w:tcPr>
            <w:tcW w:w="1077" w:type="dxa"/>
          </w:tcPr>
          <w:p w14:paraId="6E0E396C" w14:textId="77777777" w:rsidR="00B02873" w:rsidRPr="00A50A39" w:rsidRDefault="00B02873" w:rsidP="00A50A39">
            <w:pPr>
              <w:pStyle w:val="TablebodyleftFinancialsTables"/>
              <w:jc w:val="right"/>
              <w:rPr>
                <w:sz w:val="16"/>
              </w:rPr>
            </w:pPr>
            <w:r w:rsidRPr="00A50A39">
              <w:rPr>
                <w:sz w:val="16"/>
              </w:rPr>
              <w:t>4,582</w:t>
            </w:r>
          </w:p>
        </w:tc>
        <w:tc>
          <w:tcPr>
            <w:tcW w:w="1077" w:type="dxa"/>
          </w:tcPr>
          <w:p w14:paraId="32BDCD83" w14:textId="77777777" w:rsidR="00B02873" w:rsidRPr="00A50A39" w:rsidRDefault="00B02873" w:rsidP="00A50A39">
            <w:pPr>
              <w:pStyle w:val="TablebodyleftFinancialsTables"/>
              <w:jc w:val="right"/>
              <w:rPr>
                <w:sz w:val="16"/>
              </w:rPr>
            </w:pPr>
            <w:r w:rsidRPr="00A50A39">
              <w:rPr>
                <w:sz w:val="16"/>
              </w:rPr>
              <w:t>(5,969)</w:t>
            </w:r>
          </w:p>
        </w:tc>
        <w:tc>
          <w:tcPr>
            <w:tcW w:w="1078" w:type="dxa"/>
          </w:tcPr>
          <w:p w14:paraId="3681D602" w14:textId="77777777" w:rsidR="00B02873" w:rsidRPr="00A50A39" w:rsidRDefault="00B02873" w:rsidP="00A50A39">
            <w:pPr>
              <w:pStyle w:val="TablebodyleftFinancialsTables"/>
              <w:jc w:val="right"/>
              <w:rPr>
                <w:sz w:val="16"/>
              </w:rPr>
            </w:pPr>
            <w:r w:rsidRPr="00A50A39">
              <w:rPr>
                <w:sz w:val="16"/>
              </w:rPr>
              <w:t>33,856</w:t>
            </w:r>
          </w:p>
        </w:tc>
      </w:tr>
      <w:tr w:rsidR="00B02873" w:rsidRPr="00B02873" w14:paraId="0A66C800" w14:textId="77777777" w:rsidTr="0007484E">
        <w:trPr>
          <w:trHeight w:val="60"/>
        </w:trPr>
        <w:tc>
          <w:tcPr>
            <w:tcW w:w="5669" w:type="dxa"/>
          </w:tcPr>
          <w:p w14:paraId="33B8BDA2" w14:textId="77777777" w:rsidR="00B02873" w:rsidRPr="00A50A39" w:rsidRDefault="00B02873" w:rsidP="00A50A39">
            <w:pPr>
              <w:pStyle w:val="TablebodyleftFinancialsTables"/>
              <w:rPr>
                <w:sz w:val="16"/>
              </w:rPr>
            </w:pPr>
            <w:r w:rsidRPr="00A50A39">
              <w:rPr>
                <w:sz w:val="16"/>
              </w:rPr>
              <w:t>Revenue Suspense</w:t>
            </w:r>
          </w:p>
          <w:p w14:paraId="514FBF6D" w14:textId="77777777" w:rsidR="00B02873" w:rsidRPr="00A50A39" w:rsidRDefault="00B02873" w:rsidP="00A50A39">
            <w:pPr>
              <w:pStyle w:val="TablebodyleftFinancialsTables"/>
              <w:rPr>
                <w:sz w:val="16"/>
              </w:rPr>
            </w:pPr>
            <w:r w:rsidRPr="00A50A39">
              <w:rPr>
                <w:sz w:val="16"/>
              </w:rPr>
              <w:t xml:space="preserve">Operates under s19(2) of the </w:t>
            </w:r>
            <w:r w:rsidRPr="00B57118">
              <w:rPr>
                <w:rStyle w:val="LightItalic"/>
                <w:rFonts w:asciiTheme="minorHAnsi" w:hAnsiTheme="minorHAnsi" w:cstheme="minorHAnsi"/>
                <w:sz w:val="16"/>
              </w:rPr>
              <w:t>Financial Management Act 1994</w:t>
            </w:r>
            <w:r w:rsidRPr="00B57118">
              <w:rPr>
                <w:rFonts w:asciiTheme="minorHAnsi" w:hAnsiTheme="minorHAnsi" w:cstheme="minorHAnsi"/>
                <w:sz w:val="16"/>
              </w:rPr>
              <w:t xml:space="preserve"> </w:t>
            </w:r>
            <w:r w:rsidRPr="00A50A39">
              <w:rPr>
                <w:sz w:val="16"/>
              </w:rPr>
              <w:t>as a departmental account. It records all unknown revenue receipts; funds are held until receipts are identified.</w:t>
            </w:r>
          </w:p>
        </w:tc>
        <w:tc>
          <w:tcPr>
            <w:tcW w:w="1077" w:type="dxa"/>
          </w:tcPr>
          <w:p w14:paraId="7B6F8EB0" w14:textId="77777777" w:rsidR="00B02873" w:rsidRPr="00926220" w:rsidRDefault="00B02873" w:rsidP="00A50A39">
            <w:pPr>
              <w:pStyle w:val="TablebodyleftFinancialsTables"/>
              <w:jc w:val="right"/>
              <w:rPr>
                <w:b/>
                <w:bCs/>
                <w:sz w:val="16"/>
              </w:rPr>
            </w:pPr>
            <w:r w:rsidRPr="00926220">
              <w:rPr>
                <w:b/>
                <w:bCs/>
                <w:sz w:val="16"/>
              </w:rPr>
              <w:t>4,663</w:t>
            </w:r>
          </w:p>
        </w:tc>
        <w:tc>
          <w:tcPr>
            <w:tcW w:w="1078" w:type="dxa"/>
          </w:tcPr>
          <w:p w14:paraId="01C1EAD4" w14:textId="77777777" w:rsidR="00B02873" w:rsidRPr="00926220" w:rsidRDefault="00B02873" w:rsidP="00A50A39">
            <w:pPr>
              <w:pStyle w:val="TablebodyleftFinancialsTables"/>
              <w:jc w:val="right"/>
              <w:rPr>
                <w:b/>
                <w:bCs/>
                <w:sz w:val="16"/>
              </w:rPr>
            </w:pPr>
            <w:r w:rsidRPr="00926220">
              <w:rPr>
                <w:b/>
                <w:bCs/>
                <w:sz w:val="16"/>
              </w:rPr>
              <w:t>–</w:t>
            </w:r>
          </w:p>
        </w:tc>
        <w:tc>
          <w:tcPr>
            <w:tcW w:w="1077" w:type="dxa"/>
          </w:tcPr>
          <w:p w14:paraId="075A8848" w14:textId="77777777" w:rsidR="00B02873" w:rsidRPr="00926220" w:rsidRDefault="00B02873" w:rsidP="00A50A39">
            <w:pPr>
              <w:pStyle w:val="TablebodyleftFinancialsTables"/>
              <w:jc w:val="right"/>
              <w:rPr>
                <w:b/>
                <w:bCs/>
                <w:sz w:val="16"/>
              </w:rPr>
            </w:pPr>
            <w:r w:rsidRPr="00926220">
              <w:rPr>
                <w:b/>
                <w:bCs/>
                <w:sz w:val="16"/>
              </w:rPr>
              <w:t>–</w:t>
            </w:r>
          </w:p>
        </w:tc>
        <w:tc>
          <w:tcPr>
            <w:tcW w:w="1077" w:type="dxa"/>
          </w:tcPr>
          <w:p w14:paraId="372AEDA7" w14:textId="77777777" w:rsidR="00B02873" w:rsidRPr="00926220" w:rsidRDefault="00B02873" w:rsidP="00A50A39">
            <w:pPr>
              <w:pStyle w:val="TablebodyleftFinancialsTables"/>
              <w:jc w:val="right"/>
              <w:rPr>
                <w:b/>
                <w:bCs/>
                <w:sz w:val="16"/>
              </w:rPr>
            </w:pPr>
            <w:r w:rsidRPr="00926220">
              <w:rPr>
                <w:b/>
                <w:bCs/>
                <w:sz w:val="16"/>
              </w:rPr>
              <w:t>4,663</w:t>
            </w:r>
          </w:p>
        </w:tc>
        <w:tc>
          <w:tcPr>
            <w:tcW w:w="1077" w:type="dxa"/>
          </w:tcPr>
          <w:p w14:paraId="04EBF2AF" w14:textId="77777777" w:rsidR="00B02873" w:rsidRPr="00A50A39" w:rsidRDefault="00B02873" w:rsidP="00A50A39">
            <w:pPr>
              <w:pStyle w:val="TablebodyleftFinancialsTables"/>
              <w:jc w:val="right"/>
              <w:rPr>
                <w:sz w:val="16"/>
              </w:rPr>
            </w:pPr>
            <w:r w:rsidRPr="00A50A39">
              <w:rPr>
                <w:sz w:val="16"/>
              </w:rPr>
              <w:t>4,722</w:t>
            </w:r>
          </w:p>
        </w:tc>
        <w:tc>
          <w:tcPr>
            <w:tcW w:w="1077" w:type="dxa"/>
          </w:tcPr>
          <w:p w14:paraId="6AC9D1A7" w14:textId="77777777" w:rsidR="00B02873" w:rsidRPr="00A50A39" w:rsidRDefault="00B02873" w:rsidP="00A50A39">
            <w:pPr>
              <w:pStyle w:val="TablebodyleftFinancialsTables"/>
              <w:jc w:val="right"/>
              <w:rPr>
                <w:sz w:val="16"/>
              </w:rPr>
            </w:pPr>
            <w:r w:rsidRPr="00A50A39">
              <w:rPr>
                <w:sz w:val="16"/>
              </w:rPr>
              <w:t>–</w:t>
            </w:r>
          </w:p>
        </w:tc>
        <w:tc>
          <w:tcPr>
            <w:tcW w:w="1077" w:type="dxa"/>
          </w:tcPr>
          <w:p w14:paraId="5B7CE8B4" w14:textId="77777777" w:rsidR="00B02873" w:rsidRPr="00A50A39" w:rsidRDefault="00B02873" w:rsidP="00A50A39">
            <w:pPr>
              <w:pStyle w:val="TablebodyleftFinancialsTables"/>
              <w:jc w:val="right"/>
              <w:rPr>
                <w:sz w:val="16"/>
              </w:rPr>
            </w:pPr>
            <w:r w:rsidRPr="00A50A39">
              <w:rPr>
                <w:sz w:val="16"/>
              </w:rPr>
              <w:t>(59)</w:t>
            </w:r>
          </w:p>
        </w:tc>
        <w:tc>
          <w:tcPr>
            <w:tcW w:w="1078" w:type="dxa"/>
          </w:tcPr>
          <w:p w14:paraId="61F8371A" w14:textId="77777777" w:rsidR="00B02873" w:rsidRPr="00A50A39" w:rsidRDefault="00B02873" w:rsidP="00A50A39">
            <w:pPr>
              <w:pStyle w:val="TablebodyleftFinancialsTables"/>
              <w:jc w:val="right"/>
              <w:rPr>
                <w:sz w:val="16"/>
              </w:rPr>
            </w:pPr>
            <w:r w:rsidRPr="00A50A39">
              <w:rPr>
                <w:sz w:val="16"/>
              </w:rPr>
              <w:t>4,663</w:t>
            </w:r>
          </w:p>
        </w:tc>
      </w:tr>
      <w:tr w:rsidR="00B02873" w:rsidRPr="00B02873" w14:paraId="7C0DBEDD" w14:textId="77777777" w:rsidTr="0007484E">
        <w:trPr>
          <w:trHeight w:val="60"/>
        </w:trPr>
        <w:tc>
          <w:tcPr>
            <w:tcW w:w="5669" w:type="dxa"/>
          </w:tcPr>
          <w:p w14:paraId="24135C87" w14:textId="77777777" w:rsidR="00B02873" w:rsidRPr="00A50A39" w:rsidRDefault="00B02873" w:rsidP="00A50A39">
            <w:pPr>
              <w:pStyle w:val="TablebodyleftFinancialsTables"/>
              <w:rPr>
                <w:sz w:val="16"/>
              </w:rPr>
            </w:pPr>
            <w:r w:rsidRPr="00A50A39">
              <w:rPr>
                <w:sz w:val="16"/>
              </w:rPr>
              <w:t>Stores Suspense</w:t>
            </w:r>
          </w:p>
          <w:p w14:paraId="15D1672F" w14:textId="50FB7551" w:rsidR="00B02873" w:rsidRPr="00A50A39" w:rsidRDefault="00B02873" w:rsidP="00A50A39">
            <w:pPr>
              <w:pStyle w:val="TablebodyleftFinancialsTables"/>
              <w:rPr>
                <w:sz w:val="16"/>
              </w:rPr>
            </w:pPr>
            <w:r w:rsidRPr="00A50A39">
              <w:rPr>
                <w:sz w:val="16"/>
              </w:rPr>
              <w:t xml:space="preserve">Operates under s23 of the </w:t>
            </w:r>
            <w:r w:rsidRPr="00B57118">
              <w:rPr>
                <w:rStyle w:val="LightItalic"/>
                <w:rFonts w:asciiTheme="minorHAnsi" w:hAnsiTheme="minorHAnsi" w:cstheme="minorHAnsi"/>
                <w:sz w:val="16"/>
              </w:rPr>
              <w:t>Conservation, Forests and Lands Act 1987</w:t>
            </w:r>
            <w:r w:rsidRPr="00A50A39">
              <w:rPr>
                <w:sz w:val="16"/>
              </w:rPr>
              <w:t xml:space="preserve"> as a specific purpose operating account. It receives funding and makes payments for the purchase of stores and the cost of manufacturing articles for stock</w:t>
            </w:r>
          </w:p>
        </w:tc>
        <w:tc>
          <w:tcPr>
            <w:tcW w:w="1077" w:type="dxa"/>
          </w:tcPr>
          <w:p w14:paraId="1D703C22" w14:textId="77777777" w:rsidR="00B02873" w:rsidRPr="00926220" w:rsidRDefault="00B02873" w:rsidP="00A50A39">
            <w:pPr>
              <w:pStyle w:val="TablebodyleftFinancialsTables"/>
              <w:jc w:val="right"/>
              <w:rPr>
                <w:b/>
                <w:bCs/>
                <w:sz w:val="16"/>
              </w:rPr>
            </w:pPr>
            <w:r w:rsidRPr="00926220">
              <w:rPr>
                <w:b/>
                <w:bCs/>
                <w:sz w:val="16"/>
              </w:rPr>
              <w:t>4,235</w:t>
            </w:r>
          </w:p>
        </w:tc>
        <w:tc>
          <w:tcPr>
            <w:tcW w:w="1078" w:type="dxa"/>
          </w:tcPr>
          <w:p w14:paraId="75BFB7D2" w14:textId="77777777" w:rsidR="00B02873" w:rsidRPr="00926220" w:rsidRDefault="00B02873" w:rsidP="00A50A39">
            <w:pPr>
              <w:pStyle w:val="TablebodyleftFinancialsTables"/>
              <w:jc w:val="right"/>
              <w:rPr>
                <w:b/>
                <w:bCs/>
                <w:sz w:val="16"/>
              </w:rPr>
            </w:pPr>
            <w:r w:rsidRPr="00926220">
              <w:rPr>
                <w:b/>
                <w:bCs/>
                <w:sz w:val="16"/>
              </w:rPr>
              <w:t>4,762</w:t>
            </w:r>
          </w:p>
        </w:tc>
        <w:tc>
          <w:tcPr>
            <w:tcW w:w="1077" w:type="dxa"/>
          </w:tcPr>
          <w:p w14:paraId="56FBDA77" w14:textId="77777777" w:rsidR="00B02873" w:rsidRPr="00926220" w:rsidRDefault="00B02873" w:rsidP="00A50A39">
            <w:pPr>
              <w:pStyle w:val="TablebodyleftFinancialsTables"/>
              <w:jc w:val="right"/>
              <w:rPr>
                <w:b/>
                <w:bCs/>
                <w:sz w:val="16"/>
              </w:rPr>
            </w:pPr>
            <w:r w:rsidRPr="00926220">
              <w:rPr>
                <w:b/>
                <w:bCs/>
                <w:sz w:val="16"/>
              </w:rPr>
              <w:t>(2,703)</w:t>
            </w:r>
          </w:p>
        </w:tc>
        <w:tc>
          <w:tcPr>
            <w:tcW w:w="1077" w:type="dxa"/>
          </w:tcPr>
          <w:p w14:paraId="16F8E5B8" w14:textId="77777777" w:rsidR="00B02873" w:rsidRPr="00926220" w:rsidRDefault="00B02873" w:rsidP="00A50A39">
            <w:pPr>
              <w:pStyle w:val="TablebodyleftFinancialsTables"/>
              <w:jc w:val="right"/>
              <w:rPr>
                <w:b/>
                <w:bCs/>
                <w:sz w:val="16"/>
              </w:rPr>
            </w:pPr>
            <w:r w:rsidRPr="00926220">
              <w:rPr>
                <w:b/>
                <w:bCs/>
                <w:sz w:val="16"/>
              </w:rPr>
              <w:t>6,294</w:t>
            </w:r>
          </w:p>
        </w:tc>
        <w:tc>
          <w:tcPr>
            <w:tcW w:w="1077" w:type="dxa"/>
          </w:tcPr>
          <w:p w14:paraId="65917931" w14:textId="77777777" w:rsidR="00B02873" w:rsidRPr="00A50A39" w:rsidRDefault="00B02873" w:rsidP="00A50A39">
            <w:pPr>
              <w:pStyle w:val="TablebodyleftFinancialsTables"/>
              <w:jc w:val="right"/>
              <w:rPr>
                <w:sz w:val="16"/>
              </w:rPr>
            </w:pPr>
            <w:r w:rsidRPr="00A50A39">
              <w:rPr>
                <w:sz w:val="16"/>
              </w:rPr>
              <w:t>8,991</w:t>
            </w:r>
          </w:p>
        </w:tc>
        <w:tc>
          <w:tcPr>
            <w:tcW w:w="1077" w:type="dxa"/>
          </w:tcPr>
          <w:p w14:paraId="18E3333B" w14:textId="77777777" w:rsidR="00B02873" w:rsidRPr="00A50A39" w:rsidRDefault="00B02873" w:rsidP="00A50A39">
            <w:pPr>
              <w:pStyle w:val="TablebodyleftFinancialsTables"/>
              <w:jc w:val="right"/>
              <w:rPr>
                <w:sz w:val="16"/>
              </w:rPr>
            </w:pPr>
            <w:r w:rsidRPr="00A50A39">
              <w:rPr>
                <w:sz w:val="16"/>
              </w:rPr>
              <w:t>369</w:t>
            </w:r>
          </w:p>
        </w:tc>
        <w:tc>
          <w:tcPr>
            <w:tcW w:w="1077" w:type="dxa"/>
          </w:tcPr>
          <w:p w14:paraId="5F311D86" w14:textId="77777777" w:rsidR="00B02873" w:rsidRPr="00A50A39" w:rsidRDefault="00B02873" w:rsidP="00A50A39">
            <w:pPr>
              <w:pStyle w:val="TablebodyleftFinancialsTables"/>
              <w:jc w:val="right"/>
              <w:rPr>
                <w:sz w:val="16"/>
              </w:rPr>
            </w:pPr>
            <w:r w:rsidRPr="00A50A39">
              <w:rPr>
                <w:sz w:val="16"/>
              </w:rPr>
              <w:t>(5,125)</w:t>
            </w:r>
          </w:p>
        </w:tc>
        <w:tc>
          <w:tcPr>
            <w:tcW w:w="1078" w:type="dxa"/>
          </w:tcPr>
          <w:p w14:paraId="7A467545" w14:textId="77777777" w:rsidR="00B02873" w:rsidRPr="00A50A39" w:rsidRDefault="00B02873" w:rsidP="00A50A39">
            <w:pPr>
              <w:pStyle w:val="TablebodyleftFinancialsTables"/>
              <w:jc w:val="right"/>
              <w:rPr>
                <w:sz w:val="16"/>
              </w:rPr>
            </w:pPr>
            <w:r w:rsidRPr="00A50A39">
              <w:rPr>
                <w:sz w:val="16"/>
              </w:rPr>
              <w:t>4,235</w:t>
            </w:r>
          </w:p>
        </w:tc>
      </w:tr>
      <w:tr w:rsidR="00B02873" w:rsidRPr="00B02873" w14:paraId="260AE2A7" w14:textId="77777777" w:rsidTr="0007484E">
        <w:trPr>
          <w:trHeight w:val="60"/>
        </w:trPr>
        <w:tc>
          <w:tcPr>
            <w:tcW w:w="5669" w:type="dxa"/>
          </w:tcPr>
          <w:p w14:paraId="36602C95" w14:textId="77777777" w:rsidR="00B02873" w:rsidRPr="00A50A39" w:rsidRDefault="00B02873" w:rsidP="00A50A39">
            <w:pPr>
              <w:pStyle w:val="TablebodyleftFinancialsTables"/>
              <w:rPr>
                <w:sz w:val="16"/>
              </w:rPr>
            </w:pPr>
            <w:r w:rsidRPr="00A50A39">
              <w:rPr>
                <w:sz w:val="16"/>
              </w:rPr>
              <w:t>Sustainability Fund Trust Account</w:t>
            </w:r>
          </w:p>
          <w:p w14:paraId="229B1331" w14:textId="77777777" w:rsidR="00B02873" w:rsidRPr="00A50A39" w:rsidRDefault="00B02873" w:rsidP="00A50A39">
            <w:pPr>
              <w:pStyle w:val="TablebodyleftFinancialsTables"/>
              <w:rPr>
                <w:sz w:val="16"/>
              </w:rPr>
            </w:pPr>
            <w:r w:rsidRPr="00A50A39">
              <w:rPr>
                <w:sz w:val="16"/>
              </w:rPr>
              <w:t xml:space="preserve">Established under s70F of the </w:t>
            </w:r>
            <w:r w:rsidRPr="00B57118">
              <w:rPr>
                <w:rStyle w:val="LightItalic"/>
                <w:rFonts w:asciiTheme="minorHAnsi" w:hAnsiTheme="minorHAnsi" w:cstheme="minorHAnsi"/>
                <w:sz w:val="16"/>
              </w:rPr>
              <w:t>Environment Protection Act 1970</w:t>
            </w:r>
            <w:r w:rsidRPr="00A50A39">
              <w:rPr>
                <w:sz w:val="16"/>
              </w:rPr>
              <w:t xml:space="preserve"> and operates under s19 of the </w:t>
            </w:r>
            <w:r w:rsidRPr="00B57118">
              <w:rPr>
                <w:rStyle w:val="LightItalic"/>
                <w:rFonts w:asciiTheme="minorHAnsi" w:hAnsiTheme="minorHAnsi" w:cstheme="minorHAnsi"/>
                <w:sz w:val="16"/>
              </w:rPr>
              <w:t>Financial Management Act 1994</w:t>
            </w:r>
            <w:r w:rsidRPr="00B57118">
              <w:rPr>
                <w:rFonts w:asciiTheme="minorHAnsi" w:hAnsiTheme="minorHAnsi" w:cstheme="minorHAnsi"/>
                <w:sz w:val="16"/>
              </w:rPr>
              <w:t xml:space="preserve"> </w:t>
            </w:r>
            <w:r w:rsidRPr="00A50A39">
              <w:rPr>
                <w:sz w:val="16"/>
              </w:rPr>
              <w:t>as a specific purpose operating account. It manages grants fostering environmentally sustainable uses of resources, waste management best practice, greenhouse gas reduction and adapting to climate change.</w:t>
            </w:r>
          </w:p>
        </w:tc>
        <w:tc>
          <w:tcPr>
            <w:tcW w:w="1077" w:type="dxa"/>
          </w:tcPr>
          <w:p w14:paraId="323C0815" w14:textId="77777777" w:rsidR="00B02873" w:rsidRPr="00926220" w:rsidRDefault="00B02873" w:rsidP="00A50A39">
            <w:pPr>
              <w:pStyle w:val="TablebodyleftFinancialsTables"/>
              <w:jc w:val="right"/>
              <w:rPr>
                <w:b/>
                <w:bCs/>
                <w:sz w:val="16"/>
              </w:rPr>
            </w:pPr>
            <w:r w:rsidRPr="00926220">
              <w:rPr>
                <w:b/>
                <w:bCs/>
                <w:sz w:val="16"/>
              </w:rPr>
              <w:t>132,255</w:t>
            </w:r>
          </w:p>
        </w:tc>
        <w:tc>
          <w:tcPr>
            <w:tcW w:w="1078" w:type="dxa"/>
          </w:tcPr>
          <w:p w14:paraId="440ED9D5" w14:textId="77777777" w:rsidR="00B02873" w:rsidRPr="00926220" w:rsidRDefault="00B02873" w:rsidP="00A50A39">
            <w:pPr>
              <w:pStyle w:val="TablebodyleftFinancialsTables"/>
              <w:jc w:val="right"/>
              <w:rPr>
                <w:b/>
                <w:bCs/>
                <w:sz w:val="16"/>
              </w:rPr>
            </w:pPr>
            <w:r w:rsidRPr="00926220">
              <w:rPr>
                <w:b/>
                <w:bCs/>
                <w:sz w:val="16"/>
              </w:rPr>
              <w:t>126,777</w:t>
            </w:r>
          </w:p>
        </w:tc>
        <w:tc>
          <w:tcPr>
            <w:tcW w:w="1077" w:type="dxa"/>
          </w:tcPr>
          <w:p w14:paraId="08C78FCE" w14:textId="77777777" w:rsidR="00B02873" w:rsidRPr="00926220" w:rsidRDefault="00B02873" w:rsidP="00A50A39">
            <w:pPr>
              <w:pStyle w:val="TablebodyleftFinancialsTables"/>
              <w:jc w:val="right"/>
              <w:rPr>
                <w:b/>
                <w:bCs/>
                <w:sz w:val="16"/>
              </w:rPr>
            </w:pPr>
            <w:r w:rsidRPr="00926220">
              <w:rPr>
                <w:b/>
                <w:bCs/>
                <w:sz w:val="16"/>
              </w:rPr>
              <w:t>(192,183)</w:t>
            </w:r>
          </w:p>
        </w:tc>
        <w:tc>
          <w:tcPr>
            <w:tcW w:w="1077" w:type="dxa"/>
          </w:tcPr>
          <w:p w14:paraId="6AE499FD" w14:textId="77777777" w:rsidR="00B02873" w:rsidRPr="00926220" w:rsidRDefault="00B02873" w:rsidP="00A50A39">
            <w:pPr>
              <w:pStyle w:val="TablebodyleftFinancialsTables"/>
              <w:jc w:val="right"/>
              <w:rPr>
                <w:b/>
                <w:bCs/>
                <w:sz w:val="16"/>
              </w:rPr>
            </w:pPr>
            <w:r w:rsidRPr="00926220">
              <w:rPr>
                <w:b/>
                <w:bCs/>
                <w:sz w:val="16"/>
              </w:rPr>
              <w:t>66,849</w:t>
            </w:r>
          </w:p>
        </w:tc>
        <w:tc>
          <w:tcPr>
            <w:tcW w:w="1077" w:type="dxa"/>
          </w:tcPr>
          <w:p w14:paraId="5EF47C0A" w14:textId="77777777" w:rsidR="00B02873" w:rsidRPr="00A50A39" w:rsidRDefault="00B02873" w:rsidP="00A50A39">
            <w:pPr>
              <w:pStyle w:val="TablebodyleftFinancialsTables"/>
              <w:jc w:val="right"/>
              <w:rPr>
                <w:sz w:val="16"/>
              </w:rPr>
            </w:pPr>
            <w:r w:rsidRPr="00A50A39">
              <w:rPr>
                <w:sz w:val="16"/>
              </w:rPr>
              <w:t>385,295</w:t>
            </w:r>
          </w:p>
        </w:tc>
        <w:tc>
          <w:tcPr>
            <w:tcW w:w="1077" w:type="dxa"/>
          </w:tcPr>
          <w:p w14:paraId="644772A8" w14:textId="77777777" w:rsidR="00B02873" w:rsidRPr="00A50A39" w:rsidRDefault="00B02873" w:rsidP="00A50A39">
            <w:pPr>
              <w:pStyle w:val="TablebodyleftFinancialsTables"/>
              <w:jc w:val="right"/>
              <w:rPr>
                <w:sz w:val="16"/>
              </w:rPr>
            </w:pPr>
            <w:r w:rsidRPr="00A50A39">
              <w:rPr>
                <w:sz w:val="16"/>
              </w:rPr>
              <w:t>45,244</w:t>
            </w:r>
          </w:p>
        </w:tc>
        <w:tc>
          <w:tcPr>
            <w:tcW w:w="1077" w:type="dxa"/>
          </w:tcPr>
          <w:p w14:paraId="24068DDF" w14:textId="77777777" w:rsidR="00B02873" w:rsidRPr="00A50A39" w:rsidRDefault="00B02873" w:rsidP="00A50A39">
            <w:pPr>
              <w:pStyle w:val="TablebodyleftFinancialsTables"/>
              <w:jc w:val="right"/>
              <w:rPr>
                <w:sz w:val="16"/>
              </w:rPr>
            </w:pPr>
            <w:r w:rsidRPr="00A50A39">
              <w:rPr>
                <w:sz w:val="16"/>
              </w:rPr>
              <w:t>(298,284)</w:t>
            </w:r>
          </w:p>
        </w:tc>
        <w:tc>
          <w:tcPr>
            <w:tcW w:w="1078" w:type="dxa"/>
          </w:tcPr>
          <w:p w14:paraId="2A7D5AA3" w14:textId="77777777" w:rsidR="00B02873" w:rsidRPr="00A50A39" w:rsidRDefault="00B02873" w:rsidP="00A50A39">
            <w:pPr>
              <w:pStyle w:val="TablebodyleftFinancialsTables"/>
              <w:jc w:val="right"/>
              <w:rPr>
                <w:sz w:val="16"/>
              </w:rPr>
            </w:pPr>
            <w:r w:rsidRPr="00A50A39">
              <w:rPr>
                <w:sz w:val="16"/>
              </w:rPr>
              <w:t>132,255</w:t>
            </w:r>
          </w:p>
        </w:tc>
      </w:tr>
      <w:tr w:rsidR="00B02873" w:rsidRPr="00B02873" w14:paraId="68F22274" w14:textId="77777777" w:rsidTr="0007484E">
        <w:trPr>
          <w:trHeight w:val="60"/>
        </w:trPr>
        <w:tc>
          <w:tcPr>
            <w:tcW w:w="5669" w:type="dxa"/>
          </w:tcPr>
          <w:p w14:paraId="0AA5E66E" w14:textId="77777777" w:rsidR="00B02873" w:rsidRPr="00A50A39" w:rsidRDefault="00B02873" w:rsidP="00A50A39">
            <w:pPr>
              <w:pStyle w:val="TablebodyleftFinancialsTables"/>
              <w:rPr>
                <w:sz w:val="16"/>
              </w:rPr>
            </w:pPr>
            <w:r w:rsidRPr="00A50A39">
              <w:rPr>
                <w:sz w:val="16"/>
              </w:rPr>
              <w:t>Treasury Trust – Floods</w:t>
            </w:r>
          </w:p>
          <w:p w14:paraId="1985C18F" w14:textId="77777777" w:rsidR="00B02873" w:rsidRPr="00A50A39" w:rsidRDefault="00B02873" w:rsidP="00A50A39">
            <w:pPr>
              <w:pStyle w:val="TablebodyleftFinancialsTables"/>
              <w:rPr>
                <w:sz w:val="16"/>
              </w:rPr>
            </w:pPr>
            <w:r w:rsidRPr="00A50A39">
              <w:rPr>
                <w:sz w:val="16"/>
              </w:rPr>
              <w:t xml:space="preserve">Operates under s19 of the </w:t>
            </w:r>
            <w:r w:rsidRPr="00B57118">
              <w:rPr>
                <w:rStyle w:val="LightItalic"/>
                <w:rFonts w:asciiTheme="minorHAnsi" w:hAnsiTheme="minorHAnsi" w:cstheme="minorHAnsi"/>
                <w:sz w:val="16"/>
              </w:rPr>
              <w:t>Financial Management Act 1994</w:t>
            </w:r>
            <w:r w:rsidRPr="00A50A39">
              <w:rPr>
                <w:sz w:val="16"/>
              </w:rPr>
              <w:t xml:space="preserve"> as a shared operating account. It makes state funds available for the restoration of assets and public facilities damaged in floods.</w:t>
            </w:r>
          </w:p>
        </w:tc>
        <w:tc>
          <w:tcPr>
            <w:tcW w:w="1077" w:type="dxa"/>
          </w:tcPr>
          <w:p w14:paraId="3B5F5C3F" w14:textId="77777777" w:rsidR="00B02873" w:rsidRPr="00926220" w:rsidRDefault="00B02873" w:rsidP="00A50A39">
            <w:pPr>
              <w:pStyle w:val="TablebodyleftFinancialsTables"/>
              <w:jc w:val="right"/>
              <w:rPr>
                <w:b/>
                <w:bCs/>
                <w:sz w:val="16"/>
              </w:rPr>
            </w:pPr>
            <w:r w:rsidRPr="00926220">
              <w:rPr>
                <w:b/>
                <w:bCs/>
                <w:sz w:val="16"/>
              </w:rPr>
              <w:t>2,053</w:t>
            </w:r>
          </w:p>
        </w:tc>
        <w:tc>
          <w:tcPr>
            <w:tcW w:w="1078" w:type="dxa"/>
          </w:tcPr>
          <w:p w14:paraId="5462B9CC" w14:textId="77777777" w:rsidR="00B02873" w:rsidRPr="00926220" w:rsidRDefault="00B02873" w:rsidP="00A50A39">
            <w:pPr>
              <w:pStyle w:val="TablebodyleftFinancialsTables"/>
              <w:jc w:val="right"/>
              <w:rPr>
                <w:b/>
                <w:bCs/>
                <w:sz w:val="16"/>
              </w:rPr>
            </w:pPr>
            <w:r w:rsidRPr="00926220">
              <w:rPr>
                <w:b/>
                <w:bCs/>
                <w:sz w:val="16"/>
              </w:rPr>
              <w:t>–</w:t>
            </w:r>
          </w:p>
        </w:tc>
        <w:tc>
          <w:tcPr>
            <w:tcW w:w="1077" w:type="dxa"/>
          </w:tcPr>
          <w:p w14:paraId="6A7EA9F0" w14:textId="77777777" w:rsidR="00B02873" w:rsidRPr="00926220" w:rsidRDefault="00B02873" w:rsidP="00A50A39">
            <w:pPr>
              <w:pStyle w:val="TablebodyleftFinancialsTables"/>
              <w:jc w:val="right"/>
              <w:rPr>
                <w:b/>
                <w:bCs/>
                <w:sz w:val="16"/>
              </w:rPr>
            </w:pPr>
            <w:r w:rsidRPr="00926220">
              <w:rPr>
                <w:b/>
                <w:bCs/>
                <w:sz w:val="16"/>
              </w:rPr>
              <w:t>(756)</w:t>
            </w:r>
          </w:p>
        </w:tc>
        <w:tc>
          <w:tcPr>
            <w:tcW w:w="1077" w:type="dxa"/>
          </w:tcPr>
          <w:p w14:paraId="184A4C6F" w14:textId="77777777" w:rsidR="00B02873" w:rsidRPr="00926220" w:rsidRDefault="00B02873" w:rsidP="00A50A39">
            <w:pPr>
              <w:pStyle w:val="TablebodyleftFinancialsTables"/>
              <w:jc w:val="right"/>
              <w:rPr>
                <w:b/>
                <w:bCs/>
                <w:sz w:val="16"/>
              </w:rPr>
            </w:pPr>
            <w:r w:rsidRPr="00926220">
              <w:rPr>
                <w:b/>
                <w:bCs/>
                <w:sz w:val="16"/>
              </w:rPr>
              <w:t>1,297</w:t>
            </w:r>
          </w:p>
        </w:tc>
        <w:tc>
          <w:tcPr>
            <w:tcW w:w="1077" w:type="dxa"/>
          </w:tcPr>
          <w:p w14:paraId="7562F58B" w14:textId="77777777" w:rsidR="00B02873" w:rsidRPr="00A50A39" w:rsidRDefault="00B02873" w:rsidP="00A50A39">
            <w:pPr>
              <w:pStyle w:val="TablebodyleftFinancialsTables"/>
              <w:jc w:val="right"/>
              <w:rPr>
                <w:sz w:val="16"/>
              </w:rPr>
            </w:pPr>
            <w:r w:rsidRPr="00A50A39">
              <w:rPr>
                <w:sz w:val="16"/>
              </w:rPr>
              <w:t>2,113</w:t>
            </w:r>
          </w:p>
        </w:tc>
        <w:tc>
          <w:tcPr>
            <w:tcW w:w="1077" w:type="dxa"/>
          </w:tcPr>
          <w:p w14:paraId="7072D0AD" w14:textId="77777777" w:rsidR="00B02873" w:rsidRPr="00A50A39" w:rsidRDefault="00B02873" w:rsidP="00A50A39">
            <w:pPr>
              <w:pStyle w:val="TablebodyleftFinancialsTables"/>
              <w:jc w:val="right"/>
              <w:rPr>
                <w:sz w:val="16"/>
              </w:rPr>
            </w:pPr>
            <w:r w:rsidRPr="00A50A39">
              <w:rPr>
                <w:sz w:val="16"/>
              </w:rPr>
              <w:t>–</w:t>
            </w:r>
          </w:p>
        </w:tc>
        <w:tc>
          <w:tcPr>
            <w:tcW w:w="1077" w:type="dxa"/>
          </w:tcPr>
          <w:p w14:paraId="7FBC6E5C" w14:textId="77777777" w:rsidR="00B02873" w:rsidRPr="00A50A39" w:rsidRDefault="00B02873" w:rsidP="00A50A39">
            <w:pPr>
              <w:pStyle w:val="TablebodyleftFinancialsTables"/>
              <w:jc w:val="right"/>
              <w:rPr>
                <w:sz w:val="16"/>
              </w:rPr>
            </w:pPr>
            <w:r w:rsidRPr="00A50A39">
              <w:rPr>
                <w:sz w:val="16"/>
              </w:rPr>
              <w:t>(60)</w:t>
            </w:r>
          </w:p>
        </w:tc>
        <w:tc>
          <w:tcPr>
            <w:tcW w:w="1078" w:type="dxa"/>
          </w:tcPr>
          <w:p w14:paraId="7AE2C6D0" w14:textId="77777777" w:rsidR="00B02873" w:rsidRPr="00A50A39" w:rsidRDefault="00B02873" w:rsidP="00A50A39">
            <w:pPr>
              <w:pStyle w:val="TablebodyleftFinancialsTables"/>
              <w:jc w:val="right"/>
              <w:rPr>
                <w:sz w:val="16"/>
              </w:rPr>
            </w:pPr>
            <w:r w:rsidRPr="00A50A39">
              <w:rPr>
                <w:sz w:val="16"/>
              </w:rPr>
              <w:t>2,053</w:t>
            </w:r>
          </w:p>
        </w:tc>
      </w:tr>
      <w:tr w:rsidR="00B02873" w:rsidRPr="00B02873" w14:paraId="044BD984" w14:textId="77777777" w:rsidTr="0007484E">
        <w:trPr>
          <w:trHeight w:val="60"/>
        </w:trPr>
        <w:tc>
          <w:tcPr>
            <w:tcW w:w="5669" w:type="dxa"/>
          </w:tcPr>
          <w:p w14:paraId="2C20B6F3" w14:textId="77777777" w:rsidR="00B02873" w:rsidRPr="00926220" w:rsidRDefault="00B02873" w:rsidP="00926220">
            <w:pPr>
              <w:pStyle w:val="TablebodyleftFinancialsTables"/>
              <w:keepNext/>
              <w:rPr>
                <w:b/>
                <w:bCs/>
                <w:sz w:val="16"/>
              </w:rPr>
            </w:pPr>
            <w:r w:rsidRPr="00926220">
              <w:rPr>
                <w:b/>
                <w:bCs/>
                <w:sz w:val="16"/>
              </w:rPr>
              <w:lastRenderedPageBreak/>
              <w:t xml:space="preserve">Cash and deposits </w:t>
            </w:r>
          </w:p>
        </w:tc>
        <w:tc>
          <w:tcPr>
            <w:tcW w:w="1077" w:type="dxa"/>
          </w:tcPr>
          <w:p w14:paraId="7E1756F3" w14:textId="77777777" w:rsidR="00B02873" w:rsidRPr="00926220" w:rsidRDefault="00B02873" w:rsidP="00A50A39">
            <w:pPr>
              <w:pStyle w:val="TablebodyleftFinancialsTables"/>
              <w:jc w:val="right"/>
              <w:rPr>
                <w:rFonts w:ascii="VIC Bold Italic" w:hAnsi="VIC Bold Italic" w:cs="Times New Roman"/>
                <w:b/>
                <w:bCs/>
                <w:sz w:val="16"/>
              </w:rPr>
            </w:pPr>
          </w:p>
        </w:tc>
        <w:tc>
          <w:tcPr>
            <w:tcW w:w="1078" w:type="dxa"/>
          </w:tcPr>
          <w:p w14:paraId="606F9DD7" w14:textId="77777777" w:rsidR="00B02873" w:rsidRPr="00926220" w:rsidRDefault="00B02873" w:rsidP="00A50A39">
            <w:pPr>
              <w:pStyle w:val="TablebodyleftFinancialsTables"/>
              <w:jc w:val="right"/>
              <w:rPr>
                <w:rFonts w:ascii="VIC Bold Italic" w:hAnsi="VIC Bold Italic" w:cs="Times New Roman"/>
                <w:b/>
                <w:bCs/>
                <w:sz w:val="16"/>
              </w:rPr>
            </w:pPr>
          </w:p>
        </w:tc>
        <w:tc>
          <w:tcPr>
            <w:tcW w:w="1077" w:type="dxa"/>
          </w:tcPr>
          <w:p w14:paraId="35071ACC" w14:textId="77777777" w:rsidR="00B02873" w:rsidRPr="00926220" w:rsidRDefault="00B02873" w:rsidP="00A50A39">
            <w:pPr>
              <w:pStyle w:val="TablebodyleftFinancialsTables"/>
              <w:jc w:val="right"/>
              <w:rPr>
                <w:rFonts w:ascii="VIC Bold Italic" w:hAnsi="VIC Bold Italic" w:cs="Times New Roman"/>
                <w:b/>
                <w:bCs/>
                <w:sz w:val="16"/>
              </w:rPr>
            </w:pPr>
          </w:p>
        </w:tc>
        <w:tc>
          <w:tcPr>
            <w:tcW w:w="1077" w:type="dxa"/>
          </w:tcPr>
          <w:p w14:paraId="6C9BC7D8" w14:textId="77777777" w:rsidR="00B02873" w:rsidRPr="00926220" w:rsidRDefault="00B02873" w:rsidP="00A50A39">
            <w:pPr>
              <w:pStyle w:val="TablebodyleftFinancialsTables"/>
              <w:jc w:val="right"/>
              <w:rPr>
                <w:rFonts w:ascii="VIC Bold Italic" w:hAnsi="VIC Bold Italic" w:cs="Times New Roman"/>
                <w:b/>
                <w:bCs/>
                <w:sz w:val="16"/>
              </w:rPr>
            </w:pPr>
          </w:p>
        </w:tc>
        <w:tc>
          <w:tcPr>
            <w:tcW w:w="1077" w:type="dxa"/>
          </w:tcPr>
          <w:p w14:paraId="2F4E8B1A" w14:textId="77777777" w:rsidR="00B02873" w:rsidRPr="00A50A39" w:rsidRDefault="00B02873" w:rsidP="00A50A39">
            <w:pPr>
              <w:pStyle w:val="TablebodyleftFinancialsTables"/>
              <w:jc w:val="right"/>
              <w:rPr>
                <w:rFonts w:ascii="VIC Bold Italic" w:hAnsi="VIC Bold Italic" w:cs="Times New Roman"/>
                <w:sz w:val="16"/>
              </w:rPr>
            </w:pPr>
          </w:p>
        </w:tc>
        <w:tc>
          <w:tcPr>
            <w:tcW w:w="1077" w:type="dxa"/>
          </w:tcPr>
          <w:p w14:paraId="733B31FE" w14:textId="77777777" w:rsidR="00B02873" w:rsidRPr="00A50A39" w:rsidRDefault="00B02873" w:rsidP="00A50A39">
            <w:pPr>
              <w:pStyle w:val="TablebodyleftFinancialsTables"/>
              <w:jc w:val="right"/>
              <w:rPr>
                <w:rFonts w:ascii="VIC Bold Italic" w:hAnsi="VIC Bold Italic" w:cs="Times New Roman"/>
                <w:sz w:val="16"/>
              </w:rPr>
            </w:pPr>
          </w:p>
        </w:tc>
        <w:tc>
          <w:tcPr>
            <w:tcW w:w="1077" w:type="dxa"/>
          </w:tcPr>
          <w:p w14:paraId="40F9DD67" w14:textId="77777777" w:rsidR="00B02873" w:rsidRPr="00A50A39" w:rsidRDefault="00B02873" w:rsidP="00A50A39">
            <w:pPr>
              <w:pStyle w:val="TablebodyleftFinancialsTables"/>
              <w:jc w:val="right"/>
              <w:rPr>
                <w:rFonts w:ascii="VIC Bold Italic" w:hAnsi="VIC Bold Italic" w:cs="Times New Roman"/>
                <w:sz w:val="16"/>
              </w:rPr>
            </w:pPr>
          </w:p>
        </w:tc>
        <w:tc>
          <w:tcPr>
            <w:tcW w:w="1078" w:type="dxa"/>
          </w:tcPr>
          <w:p w14:paraId="4CAF8345" w14:textId="77777777" w:rsidR="00B02873" w:rsidRPr="00A50A39" w:rsidRDefault="00B02873" w:rsidP="00A50A39">
            <w:pPr>
              <w:pStyle w:val="TablebodyleftFinancialsTables"/>
              <w:jc w:val="right"/>
              <w:rPr>
                <w:rFonts w:ascii="VIC Bold Italic" w:hAnsi="VIC Bold Italic" w:cs="Times New Roman"/>
                <w:sz w:val="16"/>
              </w:rPr>
            </w:pPr>
          </w:p>
        </w:tc>
      </w:tr>
      <w:tr w:rsidR="00B02873" w:rsidRPr="00B02873" w14:paraId="307AD571" w14:textId="77777777" w:rsidTr="0007484E">
        <w:trPr>
          <w:trHeight w:val="60"/>
        </w:trPr>
        <w:tc>
          <w:tcPr>
            <w:tcW w:w="5669" w:type="dxa"/>
          </w:tcPr>
          <w:p w14:paraId="6CE4628F" w14:textId="77777777" w:rsidR="00B02873" w:rsidRPr="00A50A39" w:rsidRDefault="00B02873" w:rsidP="00A50A39">
            <w:pPr>
              <w:pStyle w:val="TablebodyleftFinancialsTables"/>
              <w:rPr>
                <w:sz w:val="16"/>
              </w:rPr>
            </w:pPr>
            <w:r w:rsidRPr="00A50A39">
              <w:rPr>
                <w:sz w:val="16"/>
              </w:rPr>
              <w:t>Victorian Renewable Energy Target Auction Trust Account (i)</w:t>
            </w:r>
          </w:p>
          <w:p w14:paraId="10A5FE57" w14:textId="4FAF56E2" w:rsidR="00B02873" w:rsidRPr="00A50A39" w:rsidRDefault="00B02873" w:rsidP="00A50A39">
            <w:pPr>
              <w:pStyle w:val="TablebodyleftFinancialsTables"/>
              <w:rPr>
                <w:sz w:val="16"/>
              </w:rPr>
            </w:pPr>
            <w:r w:rsidRPr="00A50A39">
              <w:rPr>
                <w:sz w:val="16"/>
              </w:rPr>
              <w:t xml:space="preserve">Operates under s19(2) of the </w:t>
            </w:r>
            <w:r w:rsidRPr="00B57118">
              <w:rPr>
                <w:rStyle w:val="LightItalic"/>
                <w:rFonts w:asciiTheme="minorHAnsi" w:hAnsiTheme="minorHAnsi" w:cstheme="minorHAnsi"/>
                <w:sz w:val="16"/>
              </w:rPr>
              <w:t>Financial Management Act 1994</w:t>
            </w:r>
            <w:r w:rsidRPr="00A50A39">
              <w:rPr>
                <w:sz w:val="16"/>
              </w:rPr>
              <w:t xml:space="preserve"> for the</w:t>
            </w:r>
            <w:r w:rsidR="00012C04" w:rsidRPr="00A50A39">
              <w:rPr>
                <w:sz w:val="16"/>
              </w:rPr>
              <w:t xml:space="preserve"> </w:t>
            </w:r>
            <w:r w:rsidRPr="00A50A39">
              <w:rPr>
                <w:sz w:val="16"/>
              </w:rPr>
              <w:t>delivery of the Victorian Renewable Energy Target 2017 Reverse Auction Support Agreements. It is the single point of administration for receipt and holding of revenues received, net Contract for Difference net payments received by and paid to proponents and settlement of Base payments due to the proponents.</w:t>
            </w:r>
          </w:p>
        </w:tc>
        <w:tc>
          <w:tcPr>
            <w:tcW w:w="1077" w:type="dxa"/>
          </w:tcPr>
          <w:p w14:paraId="4B1B02C8" w14:textId="77777777" w:rsidR="00B02873" w:rsidRPr="00926220" w:rsidRDefault="00B02873" w:rsidP="00A50A39">
            <w:pPr>
              <w:pStyle w:val="TablebodyleftFinancialsTables"/>
              <w:jc w:val="right"/>
              <w:rPr>
                <w:b/>
                <w:bCs/>
                <w:sz w:val="16"/>
              </w:rPr>
            </w:pPr>
            <w:r w:rsidRPr="00926220">
              <w:rPr>
                <w:b/>
                <w:bCs/>
                <w:sz w:val="16"/>
              </w:rPr>
              <w:t>2,770</w:t>
            </w:r>
          </w:p>
        </w:tc>
        <w:tc>
          <w:tcPr>
            <w:tcW w:w="1078" w:type="dxa"/>
          </w:tcPr>
          <w:p w14:paraId="66468ED1" w14:textId="77777777" w:rsidR="00B02873" w:rsidRPr="00926220" w:rsidRDefault="00B02873" w:rsidP="00A50A39">
            <w:pPr>
              <w:pStyle w:val="TablebodyleftFinancialsTables"/>
              <w:jc w:val="right"/>
              <w:rPr>
                <w:b/>
                <w:bCs/>
                <w:sz w:val="16"/>
              </w:rPr>
            </w:pPr>
            <w:r w:rsidRPr="00926220">
              <w:rPr>
                <w:b/>
                <w:bCs/>
                <w:sz w:val="16"/>
              </w:rPr>
              <w:t>18,450</w:t>
            </w:r>
          </w:p>
        </w:tc>
        <w:tc>
          <w:tcPr>
            <w:tcW w:w="1077" w:type="dxa"/>
          </w:tcPr>
          <w:p w14:paraId="3BE1D1CD" w14:textId="77777777" w:rsidR="00B02873" w:rsidRPr="00926220" w:rsidRDefault="00B02873" w:rsidP="00A50A39">
            <w:pPr>
              <w:pStyle w:val="TablebodyleftFinancialsTables"/>
              <w:jc w:val="right"/>
              <w:rPr>
                <w:b/>
                <w:bCs/>
                <w:sz w:val="16"/>
              </w:rPr>
            </w:pPr>
            <w:r w:rsidRPr="00926220">
              <w:rPr>
                <w:b/>
                <w:bCs/>
                <w:sz w:val="16"/>
              </w:rPr>
              <w:t>(11,481)</w:t>
            </w:r>
          </w:p>
        </w:tc>
        <w:tc>
          <w:tcPr>
            <w:tcW w:w="1077" w:type="dxa"/>
          </w:tcPr>
          <w:p w14:paraId="613A7233" w14:textId="77777777" w:rsidR="00B02873" w:rsidRPr="00926220" w:rsidRDefault="00B02873" w:rsidP="00A50A39">
            <w:pPr>
              <w:pStyle w:val="TablebodyleftFinancialsTables"/>
              <w:jc w:val="right"/>
              <w:rPr>
                <w:b/>
                <w:bCs/>
                <w:sz w:val="16"/>
              </w:rPr>
            </w:pPr>
            <w:r w:rsidRPr="00926220">
              <w:rPr>
                <w:b/>
                <w:bCs/>
                <w:sz w:val="16"/>
              </w:rPr>
              <w:t>9,739</w:t>
            </w:r>
          </w:p>
        </w:tc>
        <w:tc>
          <w:tcPr>
            <w:tcW w:w="1077" w:type="dxa"/>
          </w:tcPr>
          <w:p w14:paraId="1A3BE85E" w14:textId="77777777" w:rsidR="00B02873" w:rsidRPr="00A50A39" w:rsidRDefault="00B02873" w:rsidP="00A50A39">
            <w:pPr>
              <w:pStyle w:val="TablebodyleftFinancialsTables"/>
              <w:jc w:val="right"/>
              <w:rPr>
                <w:sz w:val="16"/>
              </w:rPr>
            </w:pPr>
            <w:r w:rsidRPr="00A50A39">
              <w:rPr>
                <w:sz w:val="16"/>
              </w:rPr>
              <w:t>–</w:t>
            </w:r>
          </w:p>
        </w:tc>
        <w:tc>
          <w:tcPr>
            <w:tcW w:w="1077" w:type="dxa"/>
          </w:tcPr>
          <w:p w14:paraId="074E2FD3" w14:textId="77777777" w:rsidR="00B02873" w:rsidRPr="00A50A39" w:rsidRDefault="00B02873" w:rsidP="00A50A39">
            <w:pPr>
              <w:pStyle w:val="TablebodyleftFinancialsTables"/>
              <w:jc w:val="right"/>
              <w:rPr>
                <w:sz w:val="16"/>
              </w:rPr>
            </w:pPr>
            <w:r w:rsidRPr="00A50A39">
              <w:rPr>
                <w:sz w:val="16"/>
              </w:rPr>
              <w:t>8,266</w:t>
            </w:r>
          </w:p>
        </w:tc>
        <w:tc>
          <w:tcPr>
            <w:tcW w:w="1077" w:type="dxa"/>
          </w:tcPr>
          <w:p w14:paraId="5D8D64AD" w14:textId="77777777" w:rsidR="00B02873" w:rsidRPr="00A50A39" w:rsidRDefault="00B02873" w:rsidP="00A50A39">
            <w:pPr>
              <w:pStyle w:val="TablebodyleftFinancialsTables"/>
              <w:jc w:val="right"/>
              <w:rPr>
                <w:sz w:val="16"/>
              </w:rPr>
            </w:pPr>
            <w:r w:rsidRPr="00A50A39">
              <w:rPr>
                <w:sz w:val="16"/>
              </w:rPr>
              <w:t>(5,496)</w:t>
            </w:r>
          </w:p>
        </w:tc>
        <w:tc>
          <w:tcPr>
            <w:tcW w:w="1078" w:type="dxa"/>
          </w:tcPr>
          <w:p w14:paraId="145C3570" w14:textId="77777777" w:rsidR="00B02873" w:rsidRPr="00A50A39" w:rsidRDefault="00B02873" w:rsidP="00A50A39">
            <w:pPr>
              <w:pStyle w:val="TablebodyleftFinancialsTables"/>
              <w:jc w:val="right"/>
              <w:rPr>
                <w:sz w:val="16"/>
              </w:rPr>
            </w:pPr>
            <w:r w:rsidRPr="00A50A39">
              <w:rPr>
                <w:sz w:val="16"/>
              </w:rPr>
              <w:t>2,770</w:t>
            </w:r>
          </w:p>
        </w:tc>
      </w:tr>
      <w:tr w:rsidR="00B02873" w:rsidRPr="00B02873" w14:paraId="7F86120C" w14:textId="77777777" w:rsidTr="0007484E">
        <w:trPr>
          <w:trHeight w:val="60"/>
        </w:trPr>
        <w:tc>
          <w:tcPr>
            <w:tcW w:w="5669" w:type="dxa"/>
          </w:tcPr>
          <w:p w14:paraId="735B1C06" w14:textId="77777777" w:rsidR="00B02873" w:rsidRPr="00926220" w:rsidRDefault="00B02873" w:rsidP="00A50A39">
            <w:pPr>
              <w:pStyle w:val="TablebodyleftFinancialsTables"/>
              <w:rPr>
                <w:b/>
                <w:bCs/>
                <w:sz w:val="16"/>
              </w:rPr>
            </w:pPr>
            <w:r w:rsidRPr="00926220">
              <w:rPr>
                <w:b/>
                <w:bCs/>
                <w:sz w:val="16"/>
              </w:rPr>
              <w:t>Total controlled trusts</w:t>
            </w:r>
          </w:p>
        </w:tc>
        <w:tc>
          <w:tcPr>
            <w:tcW w:w="1077" w:type="dxa"/>
          </w:tcPr>
          <w:p w14:paraId="094F196E" w14:textId="77777777" w:rsidR="00B02873" w:rsidRPr="00926220" w:rsidRDefault="00B02873" w:rsidP="00A50A39">
            <w:pPr>
              <w:pStyle w:val="TablebodyleftFinancialsTables"/>
              <w:jc w:val="right"/>
              <w:rPr>
                <w:b/>
                <w:bCs/>
                <w:sz w:val="16"/>
              </w:rPr>
            </w:pPr>
            <w:r w:rsidRPr="00926220">
              <w:rPr>
                <w:b/>
                <w:bCs/>
                <w:sz w:val="16"/>
              </w:rPr>
              <w:t>1,242,696</w:t>
            </w:r>
          </w:p>
        </w:tc>
        <w:tc>
          <w:tcPr>
            <w:tcW w:w="1078" w:type="dxa"/>
          </w:tcPr>
          <w:p w14:paraId="3A8F3F31" w14:textId="77777777" w:rsidR="00B02873" w:rsidRPr="00926220" w:rsidRDefault="00B02873" w:rsidP="00A50A39">
            <w:pPr>
              <w:pStyle w:val="TablebodyleftFinancialsTables"/>
              <w:jc w:val="right"/>
              <w:rPr>
                <w:b/>
                <w:bCs/>
                <w:sz w:val="16"/>
              </w:rPr>
            </w:pPr>
            <w:r w:rsidRPr="00926220">
              <w:rPr>
                <w:b/>
                <w:bCs/>
                <w:sz w:val="16"/>
              </w:rPr>
              <w:t>1,198,499</w:t>
            </w:r>
          </w:p>
        </w:tc>
        <w:tc>
          <w:tcPr>
            <w:tcW w:w="1077" w:type="dxa"/>
          </w:tcPr>
          <w:p w14:paraId="2478176A" w14:textId="77777777" w:rsidR="00B02873" w:rsidRPr="00926220" w:rsidRDefault="00B02873" w:rsidP="00A50A39">
            <w:pPr>
              <w:pStyle w:val="TablebodyleftFinancialsTables"/>
              <w:jc w:val="right"/>
              <w:rPr>
                <w:b/>
                <w:bCs/>
                <w:sz w:val="16"/>
              </w:rPr>
            </w:pPr>
            <w:r w:rsidRPr="00926220">
              <w:rPr>
                <w:b/>
                <w:bCs/>
                <w:sz w:val="16"/>
              </w:rPr>
              <w:t>(1,159,679)</w:t>
            </w:r>
          </w:p>
        </w:tc>
        <w:tc>
          <w:tcPr>
            <w:tcW w:w="1077" w:type="dxa"/>
          </w:tcPr>
          <w:p w14:paraId="2E270477" w14:textId="77777777" w:rsidR="00B02873" w:rsidRPr="00926220" w:rsidRDefault="00B02873" w:rsidP="00A50A39">
            <w:pPr>
              <w:pStyle w:val="TablebodyleftFinancialsTables"/>
              <w:jc w:val="right"/>
              <w:rPr>
                <w:b/>
                <w:bCs/>
                <w:sz w:val="16"/>
              </w:rPr>
            </w:pPr>
            <w:r w:rsidRPr="00926220">
              <w:rPr>
                <w:b/>
                <w:bCs/>
                <w:sz w:val="16"/>
              </w:rPr>
              <w:t>1,281,516</w:t>
            </w:r>
          </w:p>
        </w:tc>
        <w:tc>
          <w:tcPr>
            <w:tcW w:w="1077" w:type="dxa"/>
          </w:tcPr>
          <w:p w14:paraId="29E32398" w14:textId="77777777" w:rsidR="00B02873" w:rsidRPr="00A50A39" w:rsidRDefault="00B02873" w:rsidP="00A50A39">
            <w:pPr>
              <w:pStyle w:val="TablebodyleftFinancialsTables"/>
              <w:jc w:val="right"/>
              <w:rPr>
                <w:sz w:val="16"/>
              </w:rPr>
            </w:pPr>
            <w:r w:rsidRPr="00A50A39">
              <w:rPr>
                <w:sz w:val="16"/>
              </w:rPr>
              <w:t>1,246,373</w:t>
            </w:r>
          </w:p>
        </w:tc>
        <w:tc>
          <w:tcPr>
            <w:tcW w:w="1077" w:type="dxa"/>
          </w:tcPr>
          <w:p w14:paraId="09D95A4F" w14:textId="77777777" w:rsidR="00B02873" w:rsidRPr="00A50A39" w:rsidRDefault="00B02873" w:rsidP="00A50A39">
            <w:pPr>
              <w:pStyle w:val="TablebodyleftFinancialsTables"/>
              <w:jc w:val="right"/>
              <w:rPr>
                <w:sz w:val="16"/>
              </w:rPr>
            </w:pPr>
            <w:r w:rsidRPr="00A50A39">
              <w:rPr>
                <w:sz w:val="16"/>
              </w:rPr>
              <w:t>1,047,267</w:t>
            </w:r>
          </w:p>
        </w:tc>
        <w:tc>
          <w:tcPr>
            <w:tcW w:w="1077" w:type="dxa"/>
          </w:tcPr>
          <w:p w14:paraId="726A453D" w14:textId="77777777" w:rsidR="00B02873" w:rsidRPr="00A50A39" w:rsidRDefault="00B02873" w:rsidP="00A50A39">
            <w:pPr>
              <w:pStyle w:val="TablebodyleftFinancialsTables"/>
              <w:jc w:val="right"/>
              <w:rPr>
                <w:sz w:val="16"/>
              </w:rPr>
            </w:pPr>
            <w:r w:rsidRPr="00A50A39">
              <w:rPr>
                <w:sz w:val="16"/>
              </w:rPr>
              <w:t>(1,050,944)</w:t>
            </w:r>
          </w:p>
        </w:tc>
        <w:tc>
          <w:tcPr>
            <w:tcW w:w="1078" w:type="dxa"/>
          </w:tcPr>
          <w:p w14:paraId="71EF2C5E" w14:textId="77777777" w:rsidR="00B02873" w:rsidRPr="00A50A39" w:rsidRDefault="00B02873" w:rsidP="00A50A39">
            <w:pPr>
              <w:pStyle w:val="TablebodyleftFinancialsTables"/>
              <w:jc w:val="right"/>
              <w:rPr>
                <w:sz w:val="16"/>
              </w:rPr>
            </w:pPr>
            <w:r w:rsidRPr="00A50A39">
              <w:rPr>
                <w:sz w:val="16"/>
              </w:rPr>
              <w:t>1,242,696</w:t>
            </w:r>
          </w:p>
        </w:tc>
      </w:tr>
    </w:tbl>
    <w:p w14:paraId="2BB49FEC" w14:textId="77777777" w:rsidR="00B02873" w:rsidRPr="00B57118" w:rsidRDefault="00B02873" w:rsidP="00B57118">
      <w:pPr>
        <w:pStyle w:val="SourceNote"/>
        <w:spacing w:after="120"/>
        <w:rPr>
          <w:b/>
          <w:bCs/>
        </w:rPr>
      </w:pPr>
      <w:r w:rsidRPr="00B57118">
        <w:rPr>
          <w:b/>
          <w:bCs/>
        </w:rPr>
        <w:t>Note:</w:t>
      </w:r>
    </w:p>
    <w:p w14:paraId="4B67F04F" w14:textId="40E17108" w:rsidR="00B02873" w:rsidRDefault="00B02873" w:rsidP="001128B1">
      <w:pPr>
        <w:pStyle w:val="SourceNotenumbered"/>
        <w:numPr>
          <w:ilvl w:val="0"/>
          <w:numId w:val="38"/>
        </w:numPr>
        <w:spacing w:after="200"/>
        <w:ind w:left="357" w:hanging="357"/>
      </w:pPr>
      <w:r>
        <w:t>The Bulgana Green Power Hub Trust Account and the Victorian Renewable Energy Target Auction Trust Account were opened after approval by the Assistant Treasurer on 30 December 2020.</w:t>
      </w:r>
      <w:r w:rsidR="00012C04">
        <w:t xml:space="preserve"> </w:t>
      </w:r>
      <w:r>
        <w:t>The balances of both Trust Accounts were incorporated within the Project Trust Account balances for 30 June 2021.</w:t>
      </w:r>
      <w:r w:rsidR="00012C04">
        <w:t xml:space="preserve"> </w:t>
      </w:r>
      <w:r>
        <w:t>The 2020-21 balances have been restated for the three Trust Accounts in the above table</w:t>
      </w:r>
    </w:p>
    <w:tbl>
      <w:tblPr>
        <w:tblStyle w:val="TableGrid"/>
        <w:tblW w:w="0" w:type="auto"/>
        <w:tblLayout w:type="fixed"/>
        <w:tblLook w:val="0020" w:firstRow="1" w:lastRow="0" w:firstColumn="0" w:lastColumn="0" w:noHBand="0" w:noVBand="0"/>
      </w:tblPr>
      <w:tblGrid>
        <w:gridCol w:w="5669"/>
        <w:gridCol w:w="1077"/>
        <w:gridCol w:w="1078"/>
        <w:gridCol w:w="1077"/>
        <w:gridCol w:w="1077"/>
        <w:gridCol w:w="1077"/>
        <w:gridCol w:w="1077"/>
        <w:gridCol w:w="1077"/>
        <w:gridCol w:w="1078"/>
      </w:tblGrid>
      <w:tr w:rsidR="00926220" w:rsidRPr="00660010" w14:paraId="7288FCB7" w14:textId="77777777" w:rsidTr="00CC0579">
        <w:trPr>
          <w:cnfStyle w:val="100000000000" w:firstRow="1" w:lastRow="0" w:firstColumn="0" w:lastColumn="0" w:oddVBand="0" w:evenVBand="0" w:oddHBand="0" w:evenHBand="0" w:firstRowFirstColumn="0" w:firstRowLastColumn="0" w:lastRowFirstColumn="0" w:lastRowLastColumn="0"/>
          <w:trHeight w:val="60"/>
          <w:tblHeader/>
        </w:trPr>
        <w:tc>
          <w:tcPr>
            <w:tcW w:w="5669" w:type="dxa"/>
          </w:tcPr>
          <w:p w14:paraId="1CAE718D" w14:textId="77777777" w:rsidR="00926220" w:rsidRPr="00660010" w:rsidRDefault="00926220" w:rsidP="00CC0579">
            <w:pPr>
              <w:pStyle w:val="TableheadingleftFinancialsTables"/>
              <w:rPr>
                <w:rFonts w:asciiTheme="minorHAnsi" w:hAnsiTheme="minorHAnsi" w:cstheme="minorHAnsi"/>
                <w:sz w:val="16"/>
              </w:rPr>
            </w:pPr>
          </w:p>
        </w:tc>
        <w:tc>
          <w:tcPr>
            <w:tcW w:w="1077" w:type="dxa"/>
          </w:tcPr>
          <w:p w14:paraId="6B46FCF8" w14:textId="77777777" w:rsidR="00926220" w:rsidRPr="00660010" w:rsidRDefault="00926220" w:rsidP="00660010">
            <w:pPr>
              <w:pStyle w:val="TableheadingleftFinancialsTables"/>
              <w:jc w:val="right"/>
              <w:rPr>
                <w:rFonts w:asciiTheme="minorHAnsi" w:hAnsiTheme="minorHAnsi" w:cstheme="minorHAnsi"/>
                <w:sz w:val="16"/>
              </w:rPr>
            </w:pPr>
            <w:r w:rsidRPr="00660010">
              <w:rPr>
                <w:rFonts w:asciiTheme="minorHAnsi" w:hAnsiTheme="minorHAnsi" w:cstheme="minorHAnsi"/>
                <w:sz w:val="16"/>
              </w:rPr>
              <w:t xml:space="preserve">2022 Balance at </w:t>
            </w:r>
            <w:r w:rsidRPr="00660010">
              <w:rPr>
                <w:rFonts w:asciiTheme="minorHAnsi" w:hAnsiTheme="minorHAnsi" w:cstheme="minorHAnsi"/>
                <w:sz w:val="16"/>
              </w:rPr>
              <w:br/>
              <w:t>1 July 2021</w:t>
            </w:r>
            <w:r w:rsidRPr="00660010">
              <w:rPr>
                <w:rFonts w:asciiTheme="minorHAnsi" w:hAnsiTheme="minorHAnsi" w:cstheme="minorHAnsi"/>
                <w:sz w:val="16"/>
              </w:rPr>
              <w:br/>
              <w:t>$’000</w:t>
            </w:r>
          </w:p>
        </w:tc>
        <w:tc>
          <w:tcPr>
            <w:tcW w:w="1078" w:type="dxa"/>
          </w:tcPr>
          <w:p w14:paraId="1D63B2A1" w14:textId="77777777" w:rsidR="00926220" w:rsidRPr="00660010" w:rsidRDefault="00926220" w:rsidP="00660010">
            <w:pPr>
              <w:pStyle w:val="TableheadingleftFinancialsTables"/>
              <w:jc w:val="right"/>
              <w:rPr>
                <w:rFonts w:asciiTheme="minorHAnsi" w:hAnsiTheme="minorHAnsi" w:cstheme="minorHAnsi"/>
                <w:sz w:val="16"/>
              </w:rPr>
            </w:pPr>
            <w:r w:rsidRPr="00660010">
              <w:rPr>
                <w:rFonts w:asciiTheme="minorHAnsi" w:hAnsiTheme="minorHAnsi" w:cstheme="minorHAnsi"/>
                <w:sz w:val="16"/>
              </w:rPr>
              <w:t xml:space="preserve">2022 </w:t>
            </w:r>
            <w:r w:rsidRPr="00660010">
              <w:rPr>
                <w:rFonts w:asciiTheme="minorHAnsi" w:hAnsiTheme="minorHAnsi" w:cstheme="minorHAnsi"/>
                <w:sz w:val="16"/>
              </w:rPr>
              <w:br/>
              <w:t>Total receipts</w:t>
            </w:r>
            <w:r w:rsidRPr="00660010">
              <w:rPr>
                <w:rFonts w:asciiTheme="minorHAnsi" w:hAnsiTheme="minorHAnsi" w:cstheme="minorHAnsi"/>
                <w:sz w:val="16"/>
              </w:rPr>
              <w:br/>
              <w:t>$’000</w:t>
            </w:r>
          </w:p>
        </w:tc>
        <w:tc>
          <w:tcPr>
            <w:tcW w:w="1077" w:type="dxa"/>
          </w:tcPr>
          <w:p w14:paraId="14C879C5" w14:textId="77777777" w:rsidR="00926220" w:rsidRPr="00660010" w:rsidRDefault="00926220" w:rsidP="00660010">
            <w:pPr>
              <w:pStyle w:val="TableheadingleftFinancialsTables"/>
              <w:jc w:val="right"/>
              <w:rPr>
                <w:rFonts w:asciiTheme="minorHAnsi" w:hAnsiTheme="minorHAnsi" w:cstheme="minorHAnsi"/>
                <w:sz w:val="16"/>
              </w:rPr>
            </w:pPr>
            <w:r w:rsidRPr="00660010">
              <w:rPr>
                <w:rFonts w:asciiTheme="minorHAnsi" w:hAnsiTheme="minorHAnsi" w:cstheme="minorHAnsi"/>
                <w:sz w:val="16"/>
              </w:rPr>
              <w:t xml:space="preserve">2022 </w:t>
            </w:r>
            <w:r w:rsidRPr="00660010">
              <w:rPr>
                <w:rFonts w:asciiTheme="minorHAnsi" w:hAnsiTheme="minorHAnsi" w:cstheme="minorHAnsi"/>
                <w:sz w:val="16"/>
              </w:rPr>
              <w:br/>
              <w:t>Total payments</w:t>
            </w:r>
            <w:r w:rsidRPr="00660010">
              <w:rPr>
                <w:rFonts w:asciiTheme="minorHAnsi" w:hAnsiTheme="minorHAnsi" w:cstheme="minorHAnsi"/>
                <w:sz w:val="16"/>
              </w:rPr>
              <w:br/>
              <w:t>$’000</w:t>
            </w:r>
          </w:p>
        </w:tc>
        <w:tc>
          <w:tcPr>
            <w:tcW w:w="1077" w:type="dxa"/>
          </w:tcPr>
          <w:p w14:paraId="69F445A4" w14:textId="77777777" w:rsidR="00926220" w:rsidRPr="00660010" w:rsidRDefault="00926220" w:rsidP="00660010">
            <w:pPr>
              <w:pStyle w:val="TableheadingleftFinancialsTables"/>
              <w:jc w:val="right"/>
              <w:rPr>
                <w:rFonts w:asciiTheme="minorHAnsi" w:hAnsiTheme="minorHAnsi" w:cstheme="minorHAnsi"/>
                <w:sz w:val="16"/>
              </w:rPr>
            </w:pPr>
            <w:r w:rsidRPr="00660010">
              <w:rPr>
                <w:rFonts w:asciiTheme="minorHAnsi" w:hAnsiTheme="minorHAnsi" w:cstheme="minorHAnsi"/>
                <w:sz w:val="16"/>
              </w:rPr>
              <w:t xml:space="preserve">2022 Balance at </w:t>
            </w:r>
            <w:r w:rsidRPr="00660010">
              <w:rPr>
                <w:rFonts w:asciiTheme="minorHAnsi" w:hAnsiTheme="minorHAnsi" w:cstheme="minorHAnsi"/>
                <w:sz w:val="16"/>
              </w:rPr>
              <w:br/>
            </w:r>
            <w:r w:rsidRPr="00660010">
              <w:rPr>
                <w:rFonts w:asciiTheme="minorHAnsi" w:hAnsiTheme="minorHAnsi" w:cstheme="minorHAnsi"/>
                <w:spacing w:val="-6"/>
                <w:sz w:val="16"/>
              </w:rPr>
              <w:t>30 June 2022</w:t>
            </w:r>
            <w:r w:rsidRPr="00660010">
              <w:rPr>
                <w:rFonts w:asciiTheme="minorHAnsi" w:hAnsiTheme="minorHAnsi" w:cstheme="minorHAnsi"/>
                <w:spacing w:val="-1"/>
                <w:sz w:val="16"/>
              </w:rPr>
              <w:br/>
            </w:r>
            <w:r w:rsidRPr="00660010">
              <w:rPr>
                <w:rFonts w:asciiTheme="minorHAnsi" w:hAnsiTheme="minorHAnsi" w:cstheme="minorHAnsi"/>
                <w:sz w:val="16"/>
              </w:rPr>
              <w:t>$’000</w:t>
            </w:r>
          </w:p>
        </w:tc>
        <w:tc>
          <w:tcPr>
            <w:tcW w:w="1077" w:type="dxa"/>
          </w:tcPr>
          <w:p w14:paraId="5B20A4EE" w14:textId="77777777" w:rsidR="00926220" w:rsidRPr="00660010" w:rsidRDefault="00926220" w:rsidP="00660010">
            <w:pPr>
              <w:pStyle w:val="TableheadingleftFinancialsTables"/>
              <w:jc w:val="right"/>
              <w:rPr>
                <w:rFonts w:asciiTheme="minorHAnsi" w:hAnsiTheme="minorHAnsi" w:cstheme="minorHAnsi"/>
                <w:b w:val="0"/>
                <w:bCs w:val="0"/>
                <w:sz w:val="16"/>
              </w:rPr>
            </w:pPr>
            <w:r w:rsidRPr="00660010">
              <w:rPr>
                <w:rFonts w:asciiTheme="minorHAnsi" w:hAnsiTheme="minorHAnsi" w:cstheme="minorHAnsi"/>
                <w:b w:val="0"/>
                <w:bCs w:val="0"/>
                <w:sz w:val="16"/>
              </w:rPr>
              <w:t xml:space="preserve">2021 Balance at </w:t>
            </w:r>
            <w:r w:rsidRPr="00660010">
              <w:rPr>
                <w:rFonts w:asciiTheme="minorHAnsi" w:hAnsiTheme="minorHAnsi" w:cstheme="minorHAnsi"/>
                <w:b w:val="0"/>
                <w:bCs w:val="0"/>
                <w:sz w:val="16"/>
              </w:rPr>
              <w:br/>
              <w:t>1 July 2020</w:t>
            </w:r>
            <w:r w:rsidRPr="00660010">
              <w:rPr>
                <w:rFonts w:asciiTheme="minorHAnsi" w:hAnsiTheme="minorHAnsi" w:cstheme="minorHAnsi"/>
                <w:b w:val="0"/>
                <w:bCs w:val="0"/>
                <w:sz w:val="16"/>
              </w:rPr>
              <w:br/>
              <w:t>$’000</w:t>
            </w:r>
          </w:p>
        </w:tc>
        <w:tc>
          <w:tcPr>
            <w:tcW w:w="1077" w:type="dxa"/>
          </w:tcPr>
          <w:p w14:paraId="0E641E13" w14:textId="77777777" w:rsidR="00926220" w:rsidRPr="00660010" w:rsidRDefault="00926220" w:rsidP="00660010">
            <w:pPr>
              <w:pStyle w:val="TableheadingleftFinancialsTables"/>
              <w:jc w:val="right"/>
              <w:rPr>
                <w:rFonts w:asciiTheme="minorHAnsi" w:hAnsiTheme="minorHAnsi" w:cstheme="minorHAnsi"/>
                <w:b w:val="0"/>
                <w:bCs w:val="0"/>
                <w:sz w:val="16"/>
              </w:rPr>
            </w:pPr>
            <w:r w:rsidRPr="00660010">
              <w:rPr>
                <w:rFonts w:asciiTheme="minorHAnsi" w:hAnsiTheme="minorHAnsi" w:cstheme="minorHAnsi"/>
                <w:b w:val="0"/>
                <w:bCs w:val="0"/>
                <w:sz w:val="16"/>
              </w:rPr>
              <w:t xml:space="preserve">2021 </w:t>
            </w:r>
            <w:r w:rsidRPr="00660010">
              <w:rPr>
                <w:rFonts w:asciiTheme="minorHAnsi" w:hAnsiTheme="minorHAnsi" w:cstheme="minorHAnsi"/>
                <w:b w:val="0"/>
                <w:bCs w:val="0"/>
                <w:sz w:val="16"/>
              </w:rPr>
              <w:br/>
              <w:t>Total receipts</w:t>
            </w:r>
            <w:r w:rsidRPr="00660010">
              <w:rPr>
                <w:rFonts w:asciiTheme="minorHAnsi" w:hAnsiTheme="minorHAnsi" w:cstheme="minorHAnsi"/>
                <w:b w:val="0"/>
                <w:bCs w:val="0"/>
                <w:sz w:val="16"/>
              </w:rPr>
              <w:br/>
              <w:t>$’000</w:t>
            </w:r>
          </w:p>
        </w:tc>
        <w:tc>
          <w:tcPr>
            <w:tcW w:w="1077" w:type="dxa"/>
          </w:tcPr>
          <w:p w14:paraId="31E269B0" w14:textId="77777777" w:rsidR="00926220" w:rsidRPr="00660010" w:rsidRDefault="00926220" w:rsidP="00660010">
            <w:pPr>
              <w:pStyle w:val="TableheadingleftFinancialsTables"/>
              <w:jc w:val="right"/>
              <w:rPr>
                <w:rFonts w:asciiTheme="minorHAnsi" w:hAnsiTheme="minorHAnsi" w:cstheme="minorHAnsi"/>
                <w:b w:val="0"/>
                <w:bCs w:val="0"/>
                <w:sz w:val="16"/>
              </w:rPr>
            </w:pPr>
            <w:r w:rsidRPr="00660010">
              <w:rPr>
                <w:rFonts w:asciiTheme="minorHAnsi" w:hAnsiTheme="minorHAnsi" w:cstheme="minorHAnsi"/>
                <w:b w:val="0"/>
                <w:bCs w:val="0"/>
                <w:sz w:val="16"/>
              </w:rPr>
              <w:t xml:space="preserve">2021 </w:t>
            </w:r>
            <w:r w:rsidRPr="00660010">
              <w:rPr>
                <w:rFonts w:asciiTheme="minorHAnsi" w:hAnsiTheme="minorHAnsi" w:cstheme="minorHAnsi"/>
                <w:b w:val="0"/>
                <w:bCs w:val="0"/>
                <w:sz w:val="16"/>
              </w:rPr>
              <w:br/>
              <w:t>Total payments</w:t>
            </w:r>
            <w:r w:rsidRPr="00660010">
              <w:rPr>
                <w:rFonts w:asciiTheme="minorHAnsi" w:hAnsiTheme="minorHAnsi" w:cstheme="minorHAnsi"/>
                <w:b w:val="0"/>
                <w:bCs w:val="0"/>
                <w:sz w:val="16"/>
              </w:rPr>
              <w:br/>
              <w:t>$’000</w:t>
            </w:r>
          </w:p>
        </w:tc>
        <w:tc>
          <w:tcPr>
            <w:tcW w:w="1078" w:type="dxa"/>
          </w:tcPr>
          <w:p w14:paraId="55FD53E9" w14:textId="77777777" w:rsidR="00926220" w:rsidRPr="00660010" w:rsidRDefault="00926220" w:rsidP="00660010">
            <w:pPr>
              <w:pStyle w:val="TableheadingleftFinancialsTables"/>
              <w:jc w:val="right"/>
              <w:rPr>
                <w:rFonts w:asciiTheme="minorHAnsi" w:hAnsiTheme="minorHAnsi" w:cstheme="minorHAnsi"/>
                <w:b w:val="0"/>
                <w:bCs w:val="0"/>
                <w:sz w:val="16"/>
              </w:rPr>
            </w:pPr>
            <w:r w:rsidRPr="00660010">
              <w:rPr>
                <w:rFonts w:asciiTheme="minorHAnsi" w:hAnsiTheme="minorHAnsi" w:cstheme="minorHAnsi"/>
                <w:b w:val="0"/>
                <w:bCs w:val="0"/>
                <w:sz w:val="16"/>
              </w:rPr>
              <w:t xml:space="preserve">2021 Balance at </w:t>
            </w:r>
            <w:r w:rsidRPr="00660010">
              <w:rPr>
                <w:rFonts w:asciiTheme="minorHAnsi" w:hAnsiTheme="minorHAnsi" w:cstheme="minorHAnsi"/>
                <w:b w:val="0"/>
                <w:bCs w:val="0"/>
                <w:sz w:val="16"/>
              </w:rPr>
              <w:br/>
            </w:r>
            <w:r w:rsidRPr="00660010">
              <w:rPr>
                <w:rFonts w:asciiTheme="minorHAnsi" w:hAnsiTheme="minorHAnsi" w:cstheme="minorHAnsi"/>
                <w:b w:val="0"/>
                <w:bCs w:val="0"/>
                <w:spacing w:val="-4"/>
                <w:sz w:val="16"/>
              </w:rPr>
              <w:t>30 June 2021</w:t>
            </w:r>
            <w:r w:rsidRPr="00660010">
              <w:rPr>
                <w:rFonts w:asciiTheme="minorHAnsi" w:hAnsiTheme="minorHAnsi" w:cstheme="minorHAnsi"/>
                <w:b w:val="0"/>
                <w:bCs w:val="0"/>
                <w:sz w:val="16"/>
              </w:rPr>
              <w:br/>
              <w:t>$’000</w:t>
            </w:r>
          </w:p>
        </w:tc>
      </w:tr>
      <w:tr w:rsidR="00B02873" w:rsidRPr="00660010" w14:paraId="3355BB3F" w14:textId="77777777" w:rsidTr="00B57118">
        <w:trPr>
          <w:trHeight w:val="60"/>
        </w:trPr>
        <w:tc>
          <w:tcPr>
            <w:tcW w:w="5669" w:type="dxa"/>
          </w:tcPr>
          <w:p w14:paraId="6CB4379B" w14:textId="77777777" w:rsidR="00B02873" w:rsidRPr="00660010" w:rsidRDefault="00B02873" w:rsidP="00660010">
            <w:pPr>
              <w:pStyle w:val="TablebodyleftFinancialsTables"/>
              <w:rPr>
                <w:rFonts w:asciiTheme="minorHAnsi" w:hAnsiTheme="minorHAnsi" w:cstheme="minorHAnsi"/>
                <w:b/>
                <w:bCs/>
                <w:sz w:val="16"/>
              </w:rPr>
            </w:pPr>
            <w:r w:rsidRPr="00660010">
              <w:rPr>
                <w:rFonts w:asciiTheme="minorHAnsi" w:hAnsiTheme="minorHAnsi" w:cstheme="minorHAnsi"/>
                <w:b/>
                <w:bCs/>
                <w:sz w:val="16"/>
              </w:rPr>
              <w:t>Administered trusts</w:t>
            </w:r>
          </w:p>
        </w:tc>
        <w:tc>
          <w:tcPr>
            <w:tcW w:w="1077" w:type="dxa"/>
          </w:tcPr>
          <w:p w14:paraId="58C61943" w14:textId="77777777" w:rsidR="00B02873" w:rsidRPr="00660010" w:rsidRDefault="00B02873" w:rsidP="00660010">
            <w:pPr>
              <w:pStyle w:val="TablebodyleftFinancialsTables"/>
              <w:jc w:val="right"/>
              <w:rPr>
                <w:rFonts w:asciiTheme="minorHAnsi" w:hAnsiTheme="minorHAnsi" w:cstheme="minorHAnsi"/>
                <w:b/>
                <w:bCs/>
                <w:sz w:val="16"/>
              </w:rPr>
            </w:pPr>
          </w:p>
        </w:tc>
        <w:tc>
          <w:tcPr>
            <w:tcW w:w="1078" w:type="dxa"/>
          </w:tcPr>
          <w:p w14:paraId="42C4052B" w14:textId="77777777" w:rsidR="00B02873" w:rsidRPr="00660010" w:rsidRDefault="00B02873" w:rsidP="00660010">
            <w:pPr>
              <w:pStyle w:val="TablebodyleftFinancialsTables"/>
              <w:jc w:val="right"/>
              <w:rPr>
                <w:rFonts w:asciiTheme="minorHAnsi" w:hAnsiTheme="minorHAnsi" w:cstheme="minorHAnsi"/>
                <w:b/>
                <w:bCs/>
                <w:sz w:val="16"/>
              </w:rPr>
            </w:pPr>
          </w:p>
        </w:tc>
        <w:tc>
          <w:tcPr>
            <w:tcW w:w="1077" w:type="dxa"/>
          </w:tcPr>
          <w:p w14:paraId="750716B0" w14:textId="77777777" w:rsidR="00B02873" w:rsidRPr="00660010" w:rsidRDefault="00B02873" w:rsidP="00660010">
            <w:pPr>
              <w:pStyle w:val="TablebodyleftFinancialsTables"/>
              <w:jc w:val="right"/>
              <w:rPr>
                <w:rFonts w:asciiTheme="minorHAnsi" w:hAnsiTheme="minorHAnsi" w:cstheme="minorHAnsi"/>
                <w:b/>
                <w:bCs/>
                <w:sz w:val="16"/>
              </w:rPr>
            </w:pPr>
          </w:p>
        </w:tc>
        <w:tc>
          <w:tcPr>
            <w:tcW w:w="1077" w:type="dxa"/>
          </w:tcPr>
          <w:p w14:paraId="2BFE5680" w14:textId="77777777" w:rsidR="00B02873" w:rsidRPr="00660010" w:rsidRDefault="00B02873" w:rsidP="00660010">
            <w:pPr>
              <w:pStyle w:val="TablebodyleftFinancialsTables"/>
              <w:jc w:val="right"/>
              <w:rPr>
                <w:rFonts w:asciiTheme="minorHAnsi" w:hAnsiTheme="minorHAnsi" w:cstheme="minorHAnsi"/>
                <w:b/>
                <w:bCs/>
                <w:sz w:val="16"/>
              </w:rPr>
            </w:pPr>
          </w:p>
        </w:tc>
        <w:tc>
          <w:tcPr>
            <w:tcW w:w="1077" w:type="dxa"/>
          </w:tcPr>
          <w:p w14:paraId="57492A04" w14:textId="77777777" w:rsidR="00B02873" w:rsidRPr="00660010" w:rsidRDefault="00B02873" w:rsidP="00660010">
            <w:pPr>
              <w:pStyle w:val="TablebodyleftFinancialsTables"/>
              <w:jc w:val="right"/>
              <w:rPr>
                <w:rFonts w:asciiTheme="minorHAnsi" w:hAnsiTheme="minorHAnsi" w:cstheme="minorHAnsi"/>
                <w:sz w:val="16"/>
              </w:rPr>
            </w:pPr>
          </w:p>
        </w:tc>
        <w:tc>
          <w:tcPr>
            <w:tcW w:w="1077" w:type="dxa"/>
          </w:tcPr>
          <w:p w14:paraId="2CDDBA2A" w14:textId="77777777" w:rsidR="00B02873" w:rsidRPr="00660010" w:rsidRDefault="00B02873" w:rsidP="00660010">
            <w:pPr>
              <w:pStyle w:val="TablebodyleftFinancialsTables"/>
              <w:jc w:val="right"/>
              <w:rPr>
                <w:rFonts w:asciiTheme="minorHAnsi" w:hAnsiTheme="minorHAnsi" w:cstheme="minorHAnsi"/>
                <w:sz w:val="16"/>
              </w:rPr>
            </w:pPr>
          </w:p>
        </w:tc>
        <w:tc>
          <w:tcPr>
            <w:tcW w:w="1077" w:type="dxa"/>
          </w:tcPr>
          <w:p w14:paraId="513BA783" w14:textId="77777777" w:rsidR="00B02873" w:rsidRPr="00660010" w:rsidRDefault="00B02873" w:rsidP="00660010">
            <w:pPr>
              <w:pStyle w:val="TablebodyleftFinancialsTables"/>
              <w:jc w:val="right"/>
              <w:rPr>
                <w:rFonts w:asciiTheme="minorHAnsi" w:hAnsiTheme="minorHAnsi" w:cstheme="minorHAnsi"/>
                <w:sz w:val="16"/>
              </w:rPr>
            </w:pPr>
          </w:p>
        </w:tc>
        <w:tc>
          <w:tcPr>
            <w:tcW w:w="1078" w:type="dxa"/>
          </w:tcPr>
          <w:p w14:paraId="789626A7" w14:textId="77777777" w:rsidR="00B02873" w:rsidRPr="00660010" w:rsidRDefault="00B02873" w:rsidP="00660010">
            <w:pPr>
              <w:pStyle w:val="TablebodyleftFinancialsTables"/>
              <w:jc w:val="right"/>
              <w:rPr>
                <w:rFonts w:asciiTheme="minorHAnsi" w:hAnsiTheme="minorHAnsi" w:cstheme="minorHAnsi"/>
                <w:sz w:val="16"/>
              </w:rPr>
            </w:pPr>
          </w:p>
        </w:tc>
      </w:tr>
      <w:tr w:rsidR="00B02873" w:rsidRPr="00660010" w14:paraId="76922BAC" w14:textId="77777777" w:rsidTr="00B57118">
        <w:trPr>
          <w:trHeight w:val="60"/>
        </w:trPr>
        <w:tc>
          <w:tcPr>
            <w:tcW w:w="5669" w:type="dxa"/>
          </w:tcPr>
          <w:p w14:paraId="7AFD2CFC" w14:textId="77777777" w:rsidR="00B02873" w:rsidRPr="00660010" w:rsidRDefault="00B02873" w:rsidP="00660010">
            <w:pPr>
              <w:pStyle w:val="TablebodyleftFinancialsTables"/>
              <w:rPr>
                <w:rFonts w:asciiTheme="minorHAnsi" w:hAnsiTheme="minorHAnsi" w:cstheme="minorHAnsi"/>
                <w:b/>
                <w:bCs/>
                <w:sz w:val="16"/>
              </w:rPr>
            </w:pPr>
            <w:r w:rsidRPr="00660010">
              <w:rPr>
                <w:rFonts w:asciiTheme="minorHAnsi" w:hAnsiTheme="minorHAnsi" w:cstheme="minorHAnsi"/>
                <w:b/>
                <w:bCs/>
                <w:sz w:val="16"/>
              </w:rPr>
              <w:t>Cash, deposits and investments</w:t>
            </w:r>
          </w:p>
        </w:tc>
        <w:tc>
          <w:tcPr>
            <w:tcW w:w="1077" w:type="dxa"/>
          </w:tcPr>
          <w:p w14:paraId="5DB3BC3A" w14:textId="77777777" w:rsidR="00B02873" w:rsidRPr="00660010" w:rsidRDefault="00B02873" w:rsidP="00660010">
            <w:pPr>
              <w:pStyle w:val="TablebodyleftFinancialsTables"/>
              <w:jc w:val="right"/>
              <w:rPr>
                <w:rFonts w:asciiTheme="minorHAnsi" w:hAnsiTheme="minorHAnsi" w:cstheme="minorHAnsi"/>
                <w:b/>
                <w:bCs/>
                <w:sz w:val="16"/>
              </w:rPr>
            </w:pPr>
          </w:p>
        </w:tc>
        <w:tc>
          <w:tcPr>
            <w:tcW w:w="1078" w:type="dxa"/>
          </w:tcPr>
          <w:p w14:paraId="5348E080" w14:textId="77777777" w:rsidR="00B02873" w:rsidRPr="00660010" w:rsidRDefault="00B02873" w:rsidP="00660010">
            <w:pPr>
              <w:pStyle w:val="TablebodyleftFinancialsTables"/>
              <w:jc w:val="right"/>
              <w:rPr>
                <w:rFonts w:asciiTheme="minorHAnsi" w:hAnsiTheme="minorHAnsi" w:cstheme="minorHAnsi"/>
                <w:b/>
                <w:bCs/>
                <w:sz w:val="16"/>
              </w:rPr>
            </w:pPr>
          </w:p>
        </w:tc>
        <w:tc>
          <w:tcPr>
            <w:tcW w:w="1077" w:type="dxa"/>
          </w:tcPr>
          <w:p w14:paraId="2DD969C4" w14:textId="77777777" w:rsidR="00B02873" w:rsidRPr="00660010" w:rsidRDefault="00B02873" w:rsidP="00660010">
            <w:pPr>
              <w:pStyle w:val="TablebodyleftFinancialsTables"/>
              <w:jc w:val="right"/>
              <w:rPr>
                <w:rFonts w:asciiTheme="minorHAnsi" w:hAnsiTheme="minorHAnsi" w:cstheme="minorHAnsi"/>
                <w:b/>
                <w:bCs/>
                <w:sz w:val="16"/>
              </w:rPr>
            </w:pPr>
          </w:p>
        </w:tc>
        <w:tc>
          <w:tcPr>
            <w:tcW w:w="1077" w:type="dxa"/>
          </w:tcPr>
          <w:p w14:paraId="08BB40D3" w14:textId="77777777" w:rsidR="00B02873" w:rsidRPr="00660010" w:rsidRDefault="00B02873" w:rsidP="00660010">
            <w:pPr>
              <w:pStyle w:val="TablebodyleftFinancialsTables"/>
              <w:jc w:val="right"/>
              <w:rPr>
                <w:rFonts w:asciiTheme="minorHAnsi" w:hAnsiTheme="minorHAnsi" w:cstheme="minorHAnsi"/>
                <w:b/>
                <w:bCs/>
                <w:sz w:val="16"/>
              </w:rPr>
            </w:pPr>
          </w:p>
        </w:tc>
        <w:tc>
          <w:tcPr>
            <w:tcW w:w="1077" w:type="dxa"/>
          </w:tcPr>
          <w:p w14:paraId="12B2901C" w14:textId="77777777" w:rsidR="00B02873" w:rsidRPr="00660010" w:rsidRDefault="00B02873" w:rsidP="00660010">
            <w:pPr>
              <w:pStyle w:val="TablebodyleftFinancialsTables"/>
              <w:jc w:val="right"/>
              <w:rPr>
                <w:rFonts w:asciiTheme="minorHAnsi" w:hAnsiTheme="minorHAnsi" w:cstheme="minorHAnsi"/>
                <w:sz w:val="16"/>
              </w:rPr>
            </w:pPr>
          </w:p>
        </w:tc>
        <w:tc>
          <w:tcPr>
            <w:tcW w:w="1077" w:type="dxa"/>
          </w:tcPr>
          <w:p w14:paraId="674F3126" w14:textId="77777777" w:rsidR="00B02873" w:rsidRPr="00660010" w:rsidRDefault="00B02873" w:rsidP="00660010">
            <w:pPr>
              <w:pStyle w:val="TablebodyleftFinancialsTables"/>
              <w:jc w:val="right"/>
              <w:rPr>
                <w:rFonts w:asciiTheme="minorHAnsi" w:hAnsiTheme="minorHAnsi" w:cstheme="minorHAnsi"/>
                <w:sz w:val="16"/>
              </w:rPr>
            </w:pPr>
          </w:p>
        </w:tc>
        <w:tc>
          <w:tcPr>
            <w:tcW w:w="1077" w:type="dxa"/>
          </w:tcPr>
          <w:p w14:paraId="641D7ABC" w14:textId="77777777" w:rsidR="00B02873" w:rsidRPr="00660010" w:rsidRDefault="00B02873" w:rsidP="00660010">
            <w:pPr>
              <w:pStyle w:val="TablebodyleftFinancialsTables"/>
              <w:jc w:val="right"/>
              <w:rPr>
                <w:rFonts w:asciiTheme="minorHAnsi" w:hAnsiTheme="minorHAnsi" w:cstheme="minorHAnsi"/>
                <w:sz w:val="16"/>
              </w:rPr>
            </w:pPr>
          </w:p>
        </w:tc>
        <w:tc>
          <w:tcPr>
            <w:tcW w:w="1078" w:type="dxa"/>
          </w:tcPr>
          <w:p w14:paraId="59FA68C5" w14:textId="77777777" w:rsidR="00B02873" w:rsidRPr="00660010" w:rsidRDefault="00B02873" w:rsidP="00660010">
            <w:pPr>
              <w:pStyle w:val="TablebodyleftFinancialsTables"/>
              <w:jc w:val="right"/>
              <w:rPr>
                <w:rFonts w:asciiTheme="minorHAnsi" w:hAnsiTheme="minorHAnsi" w:cstheme="minorHAnsi"/>
                <w:sz w:val="16"/>
              </w:rPr>
            </w:pPr>
          </w:p>
        </w:tc>
      </w:tr>
      <w:tr w:rsidR="00B02873" w:rsidRPr="00660010" w14:paraId="583378E0" w14:textId="77777777" w:rsidTr="00B57118">
        <w:trPr>
          <w:trHeight w:val="60"/>
        </w:trPr>
        <w:tc>
          <w:tcPr>
            <w:tcW w:w="5669" w:type="dxa"/>
          </w:tcPr>
          <w:p w14:paraId="60A26B14" w14:textId="77777777" w:rsidR="00B02873" w:rsidRPr="00660010" w:rsidRDefault="00B02873" w:rsidP="00660010">
            <w:pPr>
              <w:pStyle w:val="TablebodyleftFinancialsTables"/>
              <w:rPr>
                <w:rFonts w:asciiTheme="minorHAnsi" w:hAnsiTheme="minorHAnsi" w:cstheme="minorHAnsi"/>
                <w:sz w:val="16"/>
              </w:rPr>
            </w:pPr>
            <w:r w:rsidRPr="00660010">
              <w:rPr>
                <w:rFonts w:asciiTheme="minorHAnsi" w:hAnsiTheme="minorHAnsi" w:cstheme="minorHAnsi"/>
                <w:sz w:val="16"/>
              </w:rPr>
              <w:t>CH Barbour Forestry Foundation</w:t>
            </w:r>
          </w:p>
          <w:p w14:paraId="51F2D95F" w14:textId="6364D35D" w:rsidR="00B02873" w:rsidRPr="00660010" w:rsidRDefault="00B02873" w:rsidP="00660010">
            <w:pPr>
              <w:pStyle w:val="TablebodyleftFinancialsTables"/>
              <w:rPr>
                <w:rFonts w:asciiTheme="minorHAnsi" w:hAnsiTheme="minorHAnsi" w:cstheme="minorHAnsi"/>
                <w:sz w:val="16"/>
              </w:rPr>
            </w:pPr>
            <w:r w:rsidRPr="00660010">
              <w:rPr>
                <w:rFonts w:asciiTheme="minorHAnsi" w:hAnsiTheme="minorHAnsi" w:cstheme="minorHAnsi"/>
                <w:sz w:val="16"/>
              </w:rPr>
              <w:t xml:space="preserve">Operates under s19(2) of the </w:t>
            </w:r>
            <w:r w:rsidRPr="00660010">
              <w:rPr>
                <w:rStyle w:val="LightItalic"/>
                <w:rFonts w:asciiTheme="minorHAnsi" w:hAnsiTheme="minorHAnsi" w:cstheme="minorHAnsi"/>
                <w:sz w:val="16"/>
              </w:rPr>
              <w:t>Financial Management Act 1994</w:t>
            </w:r>
            <w:r w:rsidRPr="00660010">
              <w:rPr>
                <w:rFonts w:asciiTheme="minorHAnsi" w:hAnsiTheme="minorHAnsi" w:cstheme="minorHAnsi"/>
                <w:sz w:val="16"/>
              </w:rPr>
              <w:t xml:space="preserve"> as a specific purpose operating account. It manages funds for prizes, scholarships, research and private donations.</w:t>
            </w:r>
          </w:p>
        </w:tc>
        <w:tc>
          <w:tcPr>
            <w:tcW w:w="1077" w:type="dxa"/>
          </w:tcPr>
          <w:p w14:paraId="6C89FC0F" w14:textId="30CB5BD2" w:rsidR="00B02873" w:rsidRPr="00660010" w:rsidRDefault="00B02873" w:rsidP="00660010">
            <w:pPr>
              <w:pStyle w:val="TablebodyleftFinancialsTables"/>
              <w:jc w:val="right"/>
              <w:rPr>
                <w:rFonts w:asciiTheme="minorHAnsi" w:hAnsiTheme="minorHAnsi" w:cstheme="minorHAnsi"/>
                <w:b/>
                <w:bCs/>
                <w:sz w:val="16"/>
              </w:rPr>
            </w:pPr>
            <w:r w:rsidRPr="00660010">
              <w:rPr>
                <w:rFonts w:asciiTheme="minorHAnsi" w:hAnsiTheme="minorHAnsi" w:cstheme="minorHAnsi"/>
                <w:b/>
                <w:bCs/>
                <w:sz w:val="16"/>
              </w:rPr>
              <w:t>9</w:t>
            </w:r>
          </w:p>
        </w:tc>
        <w:tc>
          <w:tcPr>
            <w:tcW w:w="1078" w:type="dxa"/>
          </w:tcPr>
          <w:p w14:paraId="0497B088" w14:textId="77777777" w:rsidR="00B02873" w:rsidRPr="00660010" w:rsidRDefault="00B02873" w:rsidP="00660010">
            <w:pPr>
              <w:pStyle w:val="TablebodyleftFinancialsTables"/>
              <w:jc w:val="right"/>
              <w:rPr>
                <w:rFonts w:asciiTheme="minorHAnsi" w:hAnsiTheme="minorHAnsi" w:cstheme="minorHAnsi"/>
                <w:b/>
                <w:bCs/>
                <w:sz w:val="16"/>
              </w:rPr>
            </w:pPr>
            <w:r w:rsidRPr="00660010">
              <w:rPr>
                <w:rFonts w:asciiTheme="minorHAnsi" w:hAnsiTheme="minorHAnsi" w:cstheme="minorHAnsi"/>
                <w:b/>
                <w:bCs/>
                <w:sz w:val="16"/>
              </w:rPr>
              <w:t>–</w:t>
            </w:r>
          </w:p>
        </w:tc>
        <w:tc>
          <w:tcPr>
            <w:tcW w:w="1077" w:type="dxa"/>
          </w:tcPr>
          <w:p w14:paraId="4A5C063B" w14:textId="77777777" w:rsidR="00B02873" w:rsidRPr="00660010" w:rsidRDefault="00B02873" w:rsidP="00660010">
            <w:pPr>
              <w:pStyle w:val="TablebodyleftFinancialsTables"/>
              <w:jc w:val="right"/>
              <w:rPr>
                <w:rFonts w:asciiTheme="minorHAnsi" w:hAnsiTheme="minorHAnsi" w:cstheme="minorHAnsi"/>
                <w:b/>
                <w:bCs/>
                <w:sz w:val="16"/>
              </w:rPr>
            </w:pPr>
            <w:r w:rsidRPr="00660010">
              <w:rPr>
                <w:rFonts w:asciiTheme="minorHAnsi" w:hAnsiTheme="minorHAnsi" w:cstheme="minorHAnsi"/>
                <w:b/>
                <w:bCs/>
                <w:sz w:val="16"/>
              </w:rPr>
              <w:t>–</w:t>
            </w:r>
          </w:p>
        </w:tc>
        <w:tc>
          <w:tcPr>
            <w:tcW w:w="1077" w:type="dxa"/>
          </w:tcPr>
          <w:p w14:paraId="4767E172" w14:textId="77777777" w:rsidR="00B02873" w:rsidRPr="00660010" w:rsidRDefault="00B02873" w:rsidP="00660010">
            <w:pPr>
              <w:pStyle w:val="TablebodyleftFinancialsTables"/>
              <w:jc w:val="right"/>
              <w:rPr>
                <w:rFonts w:asciiTheme="minorHAnsi" w:hAnsiTheme="minorHAnsi" w:cstheme="minorHAnsi"/>
                <w:b/>
                <w:bCs/>
                <w:sz w:val="16"/>
              </w:rPr>
            </w:pPr>
            <w:r w:rsidRPr="00660010">
              <w:rPr>
                <w:rFonts w:asciiTheme="minorHAnsi" w:hAnsiTheme="minorHAnsi" w:cstheme="minorHAnsi"/>
                <w:b/>
                <w:bCs/>
                <w:sz w:val="16"/>
              </w:rPr>
              <w:t xml:space="preserve"> 9</w:t>
            </w:r>
          </w:p>
        </w:tc>
        <w:tc>
          <w:tcPr>
            <w:tcW w:w="1077" w:type="dxa"/>
          </w:tcPr>
          <w:p w14:paraId="7740AE59" w14:textId="77777777" w:rsidR="00B02873" w:rsidRPr="00660010" w:rsidRDefault="00B02873" w:rsidP="00660010">
            <w:pPr>
              <w:pStyle w:val="TablebodyleftFinancialsTables"/>
              <w:jc w:val="right"/>
              <w:rPr>
                <w:rFonts w:asciiTheme="minorHAnsi" w:hAnsiTheme="minorHAnsi" w:cstheme="minorHAnsi"/>
                <w:sz w:val="16"/>
              </w:rPr>
            </w:pPr>
            <w:r w:rsidRPr="00660010">
              <w:rPr>
                <w:rFonts w:asciiTheme="minorHAnsi" w:hAnsiTheme="minorHAnsi" w:cstheme="minorHAnsi"/>
                <w:sz w:val="16"/>
              </w:rPr>
              <w:t>9</w:t>
            </w:r>
          </w:p>
        </w:tc>
        <w:tc>
          <w:tcPr>
            <w:tcW w:w="1077" w:type="dxa"/>
          </w:tcPr>
          <w:p w14:paraId="076D87AB" w14:textId="77777777" w:rsidR="00B02873" w:rsidRPr="00660010" w:rsidRDefault="00B02873" w:rsidP="00660010">
            <w:pPr>
              <w:pStyle w:val="TablebodyleftFinancialsTables"/>
              <w:jc w:val="right"/>
              <w:rPr>
                <w:rFonts w:asciiTheme="minorHAnsi" w:hAnsiTheme="minorHAnsi" w:cstheme="minorHAnsi"/>
                <w:sz w:val="16"/>
              </w:rPr>
            </w:pPr>
            <w:r w:rsidRPr="00660010">
              <w:rPr>
                <w:rFonts w:asciiTheme="minorHAnsi" w:hAnsiTheme="minorHAnsi" w:cstheme="minorHAnsi"/>
                <w:sz w:val="16"/>
              </w:rPr>
              <w:t>–</w:t>
            </w:r>
          </w:p>
        </w:tc>
        <w:tc>
          <w:tcPr>
            <w:tcW w:w="1077" w:type="dxa"/>
          </w:tcPr>
          <w:p w14:paraId="0FFA5E00" w14:textId="77777777" w:rsidR="00B02873" w:rsidRPr="00660010" w:rsidRDefault="00B02873" w:rsidP="00660010">
            <w:pPr>
              <w:pStyle w:val="TablebodyleftFinancialsTables"/>
              <w:jc w:val="right"/>
              <w:rPr>
                <w:rFonts w:asciiTheme="minorHAnsi" w:hAnsiTheme="minorHAnsi" w:cstheme="minorHAnsi"/>
                <w:sz w:val="16"/>
              </w:rPr>
            </w:pPr>
            <w:r w:rsidRPr="00660010">
              <w:rPr>
                <w:rFonts w:asciiTheme="minorHAnsi" w:hAnsiTheme="minorHAnsi" w:cstheme="minorHAnsi"/>
                <w:sz w:val="16"/>
              </w:rPr>
              <w:t>–</w:t>
            </w:r>
          </w:p>
        </w:tc>
        <w:tc>
          <w:tcPr>
            <w:tcW w:w="1078" w:type="dxa"/>
          </w:tcPr>
          <w:p w14:paraId="12F4E64B" w14:textId="77777777" w:rsidR="00B02873" w:rsidRPr="00660010" w:rsidRDefault="00B02873" w:rsidP="00660010">
            <w:pPr>
              <w:pStyle w:val="TablebodyleftFinancialsTables"/>
              <w:jc w:val="right"/>
              <w:rPr>
                <w:rFonts w:asciiTheme="minorHAnsi" w:hAnsiTheme="minorHAnsi" w:cstheme="minorHAnsi"/>
                <w:sz w:val="16"/>
              </w:rPr>
            </w:pPr>
            <w:r w:rsidRPr="00660010">
              <w:rPr>
                <w:rFonts w:asciiTheme="minorHAnsi" w:hAnsiTheme="minorHAnsi" w:cstheme="minorHAnsi"/>
                <w:sz w:val="16"/>
              </w:rPr>
              <w:t xml:space="preserve"> 9</w:t>
            </w:r>
          </w:p>
        </w:tc>
      </w:tr>
      <w:tr w:rsidR="00B02873" w:rsidRPr="00660010" w14:paraId="60880857" w14:textId="77777777" w:rsidTr="00B57118">
        <w:trPr>
          <w:trHeight w:val="60"/>
        </w:trPr>
        <w:tc>
          <w:tcPr>
            <w:tcW w:w="5669" w:type="dxa"/>
          </w:tcPr>
          <w:p w14:paraId="49B11AF7" w14:textId="77777777" w:rsidR="00B02873" w:rsidRPr="00660010" w:rsidRDefault="00B02873" w:rsidP="00660010">
            <w:pPr>
              <w:pStyle w:val="TablebodyleftFinancialsTables"/>
              <w:rPr>
                <w:rFonts w:asciiTheme="minorHAnsi" w:hAnsiTheme="minorHAnsi" w:cstheme="minorHAnsi"/>
                <w:sz w:val="16"/>
              </w:rPr>
            </w:pPr>
            <w:r w:rsidRPr="00660010">
              <w:rPr>
                <w:rFonts w:asciiTheme="minorHAnsi" w:hAnsiTheme="minorHAnsi" w:cstheme="minorHAnsi"/>
                <w:sz w:val="16"/>
              </w:rPr>
              <w:t>J Gilmore Farm Water Supply and Hanslow Cup</w:t>
            </w:r>
          </w:p>
          <w:p w14:paraId="2A645DA8" w14:textId="25F92DF5" w:rsidR="00B02873" w:rsidRPr="00660010" w:rsidRDefault="00B02873" w:rsidP="00660010">
            <w:pPr>
              <w:pStyle w:val="TablebodyleftFinancialsTables"/>
              <w:rPr>
                <w:rFonts w:asciiTheme="minorHAnsi" w:hAnsiTheme="minorHAnsi" w:cstheme="minorHAnsi"/>
                <w:sz w:val="16"/>
              </w:rPr>
            </w:pPr>
            <w:r w:rsidRPr="00660010">
              <w:rPr>
                <w:rFonts w:asciiTheme="minorHAnsi" w:hAnsiTheme="minorHAnsi" w:cstheme="minorHAnsi"/>
                <w:sz w:val="16"/>
              </w:rPr>
              <w:t xml:space="preserve">Operates under s19(2) of the </w:t>
            </w:r>
            <w:r w:rsidRPr="00660010">
              <w:rPr>
                <w:rStyle w:val="LightItalic"/>
                <w:rFonts w:asciiTheme="minorHAnsi" w:hAnsiTheme="minorHAnsi" w:cstheme="minorHAnsi"/>
                <w:sz w:val="16"/>
              </w:rPr>
              <w:t>Financial Management Act 1994</w:t>
            </w:r>
            <w:r w:rsidRPr="00660010">
              <w:rPr>
                <w:rFonts w:asciiTheme="minorHAnsi" w:hAnsiTheme="minorHAnsi" w:cstheme="minorHAnsi"/>
                <w:sz w:val="16"/>
              </w:rPr>
              <w:t xml:space="preserve"> as a specific purpose operating account. It manages funds for prizes, scholarships, research and private donations.</w:t>
            </w:r>
          </w:p>
        </w:tc>
        <w:tc>
          <w:tcPr>
            <w:tcW w:w="1077" w:type="dxa"/>
          </w:tcPr>
          <w:p w14:paraId="6769CD65" w14:textId="77777777" w:rsidR="00B02873" w:rsidRPr="00660010" w:rsidRDefault="00B02873" w:rsidP="00660010">
            <w:pPr>
              <w:pStyle w:val="TablebodyleftFinancialsTables"/>
              <w:jc w:val="right"/>
              <w:rPr>
                <w:rFonts w:asciiTheme="minorHAnsi" w:hAnsiTheme="minorHAnsi" w:cstheme="minorHAnsi"/>
                <w:b/>
                <w:bCs/>
                <w:sz w:val="16"/>
              </w:rPr>
            </w:pPr>
            <w:r w:rsidRPr="00660010">
              <w:rPr>
                <w:rFonts w:asciiTheme="minorHAnsi" w:hAnsiTheme="minorHAnsi" w:cstheme="minorHAnsi"/>
                <w:b/>
                <w:bCs/>
                <w:sz w:val="16"/>
              </w:rPr>
              <w:t>46</w:t>
            </w:r>
          </w:p>
        </w:tc>
        <w:tc>
          <w:tcPr>
            <w:tcW w:w="1078" w:type="dxa"/>
          </w:tcPr>
          <w:p w14:paraId="60F993F3" w14:textId="77777777" w:rsidR="00B02873" w:rsidRPr="00660010" w:rsidRDefault="00B02873" w:rsidP="00660010">
            <w:pPr>
              <w:pStyle w:val="TablebodyleftFinancialsTables"/>
              <w:jc w:val="right"/>
              <w:rPr>
                <w:rFonts w:asciiTheme="minorHAnsi" w:hAnsiTheme="minorHAnsi" w:cstheme="minorHAnsi"/>
                <w:b/>
                <w:bCs/>
                <w:sz w:val="16"/>
              </w:rPr>
            </w:pPr>
            <w:r w:rsidRPr="00660010">
              <w:rPr>
                <w:rFonts w:asciiTheme="minorHAnsi" w:hAnsiTheme="minorHAnsi" w:cstheme="minorHAnsi"/>
                <w:b/>
                <w:bCs/>
                <w:sz w:val="16"/>
              </w:rPr>
              <w:t>–</w:t>
            </w:r>
          </w:p>
        </w:tc>
        <w:tc>
          <w:tcPr>
            <w:tcW w:w="1077" w:type="dxa"/>
          </w:tcPr>
          <w:p w14:paraId="61ADBF92" w14:textId="77777777" w:rsidR="00B02873" w:rsidRPr="00660010" w:rsidRDefault="00B02873" w:rsidP="00660010">
            <w:pPr>
              <w:pStyle w:val="TablebodyleftFinancialsTables"/>
              <w:jc w:val="right"/>
              <w:rPr>
                <w:rFonts w:asciiTheme="minorHAnsi" w:hAnsiTheme="minorHAnsi" w:cstheme="minorHAnsi"/>
                <w:b/>
                <w:bCs/>
                <w:sz w:val="16"/>
              </w:rPr>
            </w:pPr>
            <w:r w:rsidRPr="00660010">
              <w:rPr>
                <w:rFonts w:asciiTheme="minorHAnsi" w:hAnsiTheme="minorHAnsi" w:cstheme="minorHAnsi"/>
                <w:b/>
                <w:bCs/>
                <w:sz w:val="16"/>
              </w:rPr>
              <w:t>–</w:t>
            </w:r>
          </w:p>
        </w:tc>
        <w:tc>
          <w:tcPr>
            <w:tcW w:w="1077" w:type="dxa"/>
          </w:tcPr>
          <w:p w14:paraId="619B2C43" w14:textId="48C6C6FC" w:rsidR="00B02873" w:rsidRPr="00660010" w:rsidRDefault="00012C04" w:rsidP="00660010">
            <w:pPr>
              <w:pStyle w:val="TablebodyleftFinancialsTables"/>
              <w:jc w:val="right"/>
              <w:rPr>
                <w:rFonts w:asciiTheme="minorHAnsi" w:hAnsiTheme="minorHAnsi" w:cstheme="minorHAnsi"/>
                <w:b/>
                <w:bCs/>
                <w:sz w:val="16"/>
              </w:rPr>
            </w:pPr>
            <w:r w:rsidRPr="00660010">
              <w:rPr>
                <w:rFonts w:asciiTheme="minorHAnsi" w:hAnsiTheme="minorHAnsi" w:cstheme="minorHAnsi"/>
                <w:b/>
                <w:bCs/>
                <w:sz w:val="16"/>
              </w:rPr>
              <w:t xml:space="preserve"> </w:t>
            </w:r>
            <w:r w:rsidR="00B02873" w:rsidRPr="00660010">
              <w:rPr>
                <w:rFonts w:asciiTheme="minorHAnsi" w:hAnsiTheme="minorHAnsi" w:cstheme="minorHAnsi"/>
                <w:b/>
                <w:bCs/>
                <w:sz w:val="16"/>
              </w:rPr>
              <w:t>46</w:t>
            </w:r>
          </w:p>
        </w:tc>
        <w:tc>
          <w:tcPr>
            <w:tcW w:w="1077" w:type="dxa"/>
          </w:tcPr>
          <w:p w14:paraId="18FDF995" w14:textId="77777777" w:rsidR="00B02873" w:rsidRPr="00660010" w:rsidRDefault="00B02873" w:rsidP="00660010">
            <w:pPr>
              <w:pStyle w:val="TablebodyleftFinancialsTables"/>
              <w:jc w:val="right"/>
              <w:rPr>
                <w:rFonts w:asciiTheme="minorHAnsi" w:hAnsiTheme="minorHAnsi" w:cstheme="minorHAnsi"/>
                <w:sz w:val="16"/>
              </w:rPr>
            </w:pPr>
            <w:r w:rsidRPr="00660010">
              <w:rPr>
                <w:rFonts w:asciiTheme="minorHAnsi" w:hAnsiTheme="minorHAnsi" w:cstheme="minorHAnsi"/>
                <w:sz w:val="16"/>
              </w:rPr>
              <w:t>46</w:t>
            </w:r>
          </w:p>
        </w:tc>
        <w:tc>
          <w:tcPr>
            <w:tcW w:w="1077" w:type="dxa"/>
          </w:tcPr>
          <w:p w14:paraId="625C8A8A" w14:textId="77777777" w:rsidR="00B02873" w:rsidRPr="00660010" w:rsidRDefault="00B02873" w:rsidP="00660010">
            <w:pPr>
              <w:pStyle w:val="TablebodyleftFinancialsTables"/>
              <w:jc w:val="right"/>
              <w:rPr>
                <w:rFonts w:asciiTheme="minorHAnsi" w:hAnsiTheme="minorHAnsi" w:cstheme="minorHAnsi"/>
                <w:sz w:val="16"/>
              </w:rPr>
            </w:pPr>
            <w:r w:rsidRPr="00660010">
              <w:rPr>
                <w:rFonts w:asciiTheme="minorHAnsi" w:hAnsiTheme="minorHAnsi" w:cstheme="minorHAnsi"/>
                <w:sz w:val="16"/>
              </w:rPr>
              <w:t>–</w:t>
            </w:r>
          </w:p>
        </w:tc>
        <w:tc>
          <w:tcPr>
            <w:tcW w:w="1077" w:type="dxa"/>
          </w:tcPr>
          <w:p w14:paraId="133BBFEE" w14:textId="77777777" w:rsidR="00B02873" w:rsidRPr="00660010" w:rsidRDefault="00B02873" w:rsidP="00660010">
            <w:pPr>
              <w:pStyle w:val="TablebodyleftFinancialsTables"/>
              <w:jc w:val="right"/>
              <w:rPr>
                <w:rFonts w:asciiTheme="minorHAnsi" w:hAnsiTheme="minorHAnsi" w:cstheme="minorHAnsi"/>
                <w:sz w:val="16"/>
              </w:rPr>
            </w:pPr>
            <w:r w:rsidRPr="00660010">
              <w:rPr>
                <w:rFonts w:asciiTheme="minorHAnsi" w:hAnsiTheme="minorHAnsi" w:cstheme="minorHAnsi"/>
                <w:sz w:val="16"/>
              </w:rPr>
              <w:t>–</w:t>
            </w:r>
          </w:p>
        </w:tc>
        <w:tc>
          <w:tcPr>
            <w:tcW w:w="1078" w:type="dxa"/>
          </w:tcPr>
          <w:p w14:paraId="763EC13C" w14:textId="77777777" w:rsidR="00B02873" w:rsidRPr="00660010" w:rsidRDefault="00B02873" w:rsidP="00660010">
            <w:pPr>
              <w:pStyle w:val="TablebodyleftFinancialsTables"/>
              <w:jc w:val="right"/>
              <w:rPr>
                <w:rFonts w:asciiTheme="minorHAnsi" w:hAnsiTheme="minorHAnsi" w:cstheme="minorHAnsi"/>
                <w:sz w:val="16"/>
              </w:rPr>
            </w:pPr>
            <w:r w:rsidRPr="00660010">
              <w:rPr>
                <w:rFonts w:asciiTheme="minorHAnsi" w:hAnsiTheme="minorHAnsi" w:cstheme="minorHAnsi"/>
                <w:sz w:val="16"/>
              </w:rPr>
              <w:t xml:space="preserve"> 46</w:t>
            </w:r>
          </w:p>
        </w:tc>
      </w:tr>
      <w:tr w:rsidR="00B02873" w:rsidRPr="00660010" w14:paraId="15CCD1A5" w14:textId="77777777" w:rsidTr="00B57118">
        <w:trPr>
          <w:trHeight w:val="60"/>
        </w:trPr>
        <w:tc>
          <w:tcPr>
            <w:tcW w:w="5669" w:type="dxa"/>
          </w:tcPr>
          <w:p w14:paraId="5DB4E106" w14:textId="77777777" w:rsidR="00B02873" w:rsidRPr="00660010" w:rsidRDefault="00B02873" w:rsidP="00660010">
            <w:pPr>
              <w:pStyle w:val="TablebodyleftFinancialsTables"/>
              <w:rPr>
                <w:rFonts w:asciiTheme="minorHAnsi" w:hAnsiTheme="minorHAnsi" w:cstheme="minorHAnsi"/>
                <w:sz w:val="16"/>
              </w:rPr>
            </w:pPr>
            <w:r w:rsidRPr="00660010">
              <w:rPr>
                <w:rFonts w:asciiTheme="minorHAnsi" w:hAnsiTheme="minorHAnsi" w:cstheme="minorHAnsi"/>
                <w:sz w:val="16"/>
              </w:rPr>
              <w:t>Land Registry Commercialisation Trust Account</w:t>
            </w:r>
          </w:p>
          <w:p w14:paraId="7F2980D6" w14:textId="77777777" w:rsidR="00B02873" w:rsidRPr="00660010" w:rsidRDefault="00B02873" w:rsidP="00660010">
            <w:pPr>
              <w:pStyle w:val="TablebodyleftFinancialsTables"/>
              <w:rPr>
                <w:rFonts w:asciiTheme="minorHAnsi" w:hAnsiTheme="minorHAnsi" w:cstheme="minorHAnsi"/>
                <w:sz w:val="16"/>
              </w:rPr>
            </w:pPr>
            <w:r w:rsidRPr="00660010">
              <w:rPr>
                <w:rFonts w:asciiTheme="minorHAnsi" w:hAnsiTheme="minorHAnsi" w:cstheme="minorHAnsi"/>
                <w:sz w:val="16"/>
              </w:rPr>
              <w:t xml:space="preserve">Operates under s19(1) of the </w:t>
            </w:r>
            <w:r w:rsidRPr="00660010">
              <w:rPr>
                <w:rStyle w:val="LightItalic"/>
                <w:rFonts w:asciiTheme="minorHAnsi" w:hAnsiTheme="minorHAnsi" w:cstheme="minorHAnsi"/>
                <w:sz w:val="16"/>
              </w:rPr>
              <w:t>Financial Management Act 1994</w:t>
            </w:r>
            <w:r w:rsidRPr="00660010">
              <w:rPr>
                <w:rFonts w:asciiTheme="minorHAnsi" w:hAnsiTheme="minorHAnsi" w:cstheme="minorHAnsi"/>
                <w:sz w:val="16"/>
              </w:rPr>
              <w:t xml:space="preserve"> as a holding account. It manages funds, in accordance with the Concession Deed, collected by the Victorian Land Registry Services from customers following commercialisation of part of the state’s land titles and registry functions.</w:t>
            </w:r>
          </w:p>
        </w:tc>
        <w:tc>
          <w:tcPr>
            <w:tcW w:w="1077" w:type="dxa"/>
          </w:tcPr>
          <w:p w14:paraId="764093E4" w14:textId="77777777" w:rsidR="00B02873" w:rsidRPr="00660010" w:rsidRDefault="00B02873" w:rsidP="00660010">
            <w:pPr>
              <w:pStyle w:val="TablebodyleftFinancialsTables"/>
              <w:jc w:val="right"/>
              <w:rPr>
                <w:rFonts w:asciiTheme="minorHAnsi" w:hAnsiTheme="minorHAnsi" w:cstheme="minorHAnsi"/>
                <w:b/>
                <w:bCs/>
                <w:sz w:val="16"/>
              </w:rPr>
            </w:pPr>
            <w:r w:rsidRPr="00660010">
              <w:rPr>
                <w:rFonts w:asciiTheme="minorHAnsi" w:hAnsiTheme="minorHAnsi" w:cstheme="minorHAnsi"/>
                <w:b/>
                <w:bCs/>
                <w:sz w:val="16"/>
              </w:rPr>
              <w:t>4,851</w:t>
            </w:r>
          </w:p>
        </w:tc>
        <w:tc>
          <w:tcPr>
            <w:tcW w:w="1078" w:type="dxa"/>
          </w:tcPr>
          <w:p w14:paraId="26767F4D" w14:textId="77777777" w:rsidR="00B02873" w:rsidRPr="00660010" w:rsidRDefault="00B02873" w:rsidP="00660010">
            <w:pPr>
              <w:pStyle w:val="TablebodyleftFinancialsTables"/>
              <w:jc w:val="right"/>
              <w:rPr>
                <w:rFonts w:asciiTheme="minorHAnsi" w:hAnsiTheme="minorHAnsi" w:cstheme="minorHAnsi"/>
                <w:b/>
                <w:bCs/>
                <w:sz w:val="16"/>
              </w:rPr>
            </w:pPr>
            <w:r w:rsidRPr="00660010">
              <w:rPr>
                <w:rFonts w:asciiTheme="minorHAnsi" w:hAnsiTheme="minorHAnsi" w:cstheme="minorHAnsi"/>
                <w:b/>
                <w:bCs/>
                <w:sz w:val="16"/>
              </w:rPr>
              <w:t>103,111</w:t>
            </w:r>
          </w:p>
        </w:tc>
        <w:tc>
          <w:tcPr>
            <w:tcW w:w="1077" w:type="dxa"/>
          </w:tcPr>
          <w:p w14:paraId="2AFE6EFC" w14:textId="77777777" w:rsidR="00B02873" w:rsidRPr="00660010" w:rsidRDefault="00B02873" w:rsidP="00660010">
            <w:pPr>
              <w:pStyle w:val="TablebodyleftFinancialsTables"/>
              <w:jc w:val="right"/>
              <w:rPr>
                <w:rFonts w:asciiTheme="minorHAnsi" w:hAnsiTheme="minorHAnsi" w:cstheme="minorHAnsi"/>
                <w:b/>
                <w:bCs/>
                <w:sz w:val="16"/>
              </w:rPr>
            </w:pPr>
            <w:r w:rsidRPr="00660010">
              <w:rPr>
                <w:rFonts w:asciiTheme="minorHAnsi" w:hAnsiTheme="minorHAnsi" w:cstheme="minorHAnsi"/>
                <w:b/>
                <w:bCs/>
                <w:sz w:val="16"/>
              </w:rPr>
              <w:t>(46,328)</w:t>
            </w:r>
          </w:p>
        </w:tc>
        <w:tc>
          <w:tcPr>
            <w:tcW w:w="1077" w:type="dxa"/>
          </w:tcPr>
          <w:p w14:paraId="7DF4945B" w14:textId="77777777" w:rsidR="00B02873" w:rsidRPr="00660010" w:rsidRDefault="00B02873" w:rsidP="00660010">
            <w:pPr>
              <w:pStyle w:val="TablebodyleftFinancialsTables"/>
              <w:jc w:val="right"/>
              <w:rPr>
                <w:rFonts w:asciiTheme="minorHAnsi" w:hAnsiTheme="minorHAnsi" w:cstheme="minorHAnsi"/>
                <w:b/>
                <w:bCs/>
                <w:sz w:val="16"/>
              </w:rPr>
            </w:pPr>
            <w:r w:rsidRPr="00660010">
              <w:rPr>
                <w:rFonts w:asciiTheme="minorHAnsi" w:hAnsiTheme="minorHAnsi" w:cstheme="minorHAnsi"/>
                <w:b/>
                <w:bCs/>
                <w:sz w:val="16"/>
              </w:rPr>
              <w:t>61,634</w:t>
            </w:r>
          </w:p>
        </w:tc>
        <w:tc>
          <w:tcPr>
            <w:tcW w:w="1077" w:type="dxa"/>
          </w:tcPr>
          <w:p w14:paraId="2AEC6CF5" w14:textId="77777777" w:rsidR="00B02873" w:rsidRPr="00660010" w:rsidRDefault="00B02873" w:rsidP="00660010">
            <w:pPr>
              <w:pStyle w:val="TablebodyleftFinancialsTables"/>
              <w:jc w:val="right"/>
              <w:rPr>
                <w:rFonts w:asciiTheme="minorHAnsi" w:hAnsiTheme="minorHAnsi" w:cstheme="minorHAnsi"/>
                <w:sz w:val="16"/>
              </w:rPr>
            </w:pPr>
            <w:r w:rsidRPr="00660010">
              <w:rPr>
                <w:rFonts w:asciiTheme="minorHAnsi" w:hAnsiTheme="minorHAnsi" w:cstheme="minorHAnsi"/>
                <w:sz w:val="16"/>
              </w:rPr>
              <w:t>5,428</w:t>
            </w:r>
          </w:p>
        </w:tc>
        <w:tc>
          <w:tcPr>
            <w:tcW w:w="1077" w:type="dxa"/>
          </w:tcPr>
          <w:p w14:paraId="4B1CBD42" w14:textId="77777777" w:rsidR="00B02873" w:rsidRPr="00660010" w:rsidRDefault="00B02873" w:rsidP="00660010">
            <w:pPr>
              <w:pStyle w:val="TablebodyleftFinancialsTables"/>
              <w:jc w:val="right"/>
              <w:rPr>
                <w:rFonts w:asciiTheme="minorHAnsi" w:hAnsiTheme="minorHAnsi" w:cstheme="minorHAnsi"/>
                <w:sz w:val="16"/>
              </w:rPr>
            </w:pPr>
            <w:r w:rsidRPr="00660010">
              <w:rPr>
                <w:rFonts w:asciiTheme="minorHAnsi" w:hAnsiTheme="minorHAnsi" w:cstheme="minorHAnsi"/>
                <w:sz w:val="16"/>
              </w:rPr>
              <w:t>87,067</w:t>
            </w:r>
          </w:p>
        </w:tc>
        <w:tc>
          <w:tcPr>
            <w:tcW w:w="1077" w:type="dxa"/>
          </w:tcPr>
          <w:p w14:paraId="2895670B" w14:textId="77777777" w:rsidR="00B02873" w:rsidRPr="00660010" w:rsidRDefault="00B02873" w:rsidP="00660010">
            <w:pPr>
              <w:pStyle w:val="TablebodyleftFinancialsTables"/>
              <w:jc w:val="right"/>
              <w:rPr>
                <w:rFonts w:asciiTheme="minorHAnsi" w:hAnsiTheme="minorHAnsi" w:cstheme="minorHAnsi"/>
                <w:sz w:val="16"/>
              </w:rPr>
            </w:pPr>
            <w:r w:rsidRPr="00660010">
              <w:rPr>
                <w:rFonts w:asciiTheme="minorHAnsi" w:hAnsiTheme="minorHAnsi" w:cstheme="minorHAnsi"/>
                <w:sz w:val="16"/>
              </w:rPr>
              <w:t>(87,644)</w:t>
            </w:r>
          </w:p>
        </w:tc>
        <w:tc>
          <w:tcPr>
            <w:tcW w:w="1078" w:type="dxa"/>
          </w:tcPr>
          <w:p w14:paraId="069ED137" w14:textId="77777777" w:rsidR="00B02873" w:rsidRPr="00660010" w:rsidRDefault="00B02873" w:rsidP="00660010">
            <w:pPr>
              <w:pStyle w:val="TablebodyleftFinancialsTables"/>
              <w:jc w:val="right"/>
              <w:rPr>
                <w:rFonts w:asciiTheme="minorHAnsi" w:hAnsiTheme="minorHAnsi" w:cstheme="minorHAnsi"/>
                <w:sz w:val="16"/>
              </w:rPr>
            </w:pPr>
            <w:r w:rsidRPr="00660010">
              <w:rPr>
                <w:rFonts w:asciiTheme="minorHAnsi" w:hAnsiTheme="minorHAnsi" w:cstheme="minorHAnsi"/>
                <w:sz w:val="16"/>
              </w:rPr>
              <w:t>4,851</w:t>
            </w:r>
          </w:p>
        </w:tc>
      </w:tr>
      <w:tr w:rsidR="00B02873" w:rsidRPr="00660010" w14:paraId="3F55D6E5" w14:textId="77777777" w:rsidTr="00B57118">
        <w:trPr>
          <w:trHeight w:val="60"/>
        </w:trPr>
        <w:tc>
          <w:tcPr>
            <w:tcW w:w="5669" w:type="dxa"/>
          </w:tcPr>
          <w:p w14:paraId="6D93764A" w14:textId="77777777" w:rsidR="00B02873" w:rsidRPr="00660010" w:rsidRDefault="00B02873" w:rsidP="00660010">
            <w:pPr>
              <w:pStyle w:val="TablebodyleftFinancialsTables"/>
              <w:rPr>
                <w:rFonts w:asciiTheme="minorHAnsi" w:hAnsiTheme="minorHAnsi" w:cstheme="minorHAnsi"/>
                <w:sz w:val="16"/>
              </w:rPr>
            </w:pPr>
            <w:r w:rsidRPr="00660010">
              <w:rPr>
                <w:rFonts w:asciiTheme="minorHAnsi" w:hAnsiTheme="minorHAnsi" w:cstheme="minorHAnsi"/>
                <w:sz w:val="16"/>
              </w:rPr>
              <w:t>Paid Parental Leave Treasury Trust Fund</w:t>
            </w:r>
          </w:p>
          <w:p w14:paraId="4D2DDC6F" w14:textId="77777777" w:rsidR="00B02873" w:rsidRPr="00660010" w:rsidRDefault="00B02873" w:rsidP="00660010">
            <w:pPr>
              <w:pStyle w:val="TablebodyleftFinancialsTables"/>
              <w:rPr>
                <w:rFonts w:asciiTheme="minorHAnsi" w:hAnsiTheme="minorHAnsi" w:cstheme="minorHAnsi"/>
                <w:sz w:val="16"/>
              </w:rPr>
            </w:pPr>
            <w:r w:rsidRPr="00660010">
              <w:rPr>
                <w:rFonts w:asciiTheme="minorHAnsi" w:hAnsiTheme="minorHAnsi" w:cstheme="minorHAnsi"/>
                <w:spacing w:val="-1"/>
                <w:sz w:val="16"/>
              </w:rPr>
              <w:t xml:space="preserve">Operates under s19(2) of the </w:t>
            </w:r>
            <w:r w:rsidRPr="00660010">
              <w:rPr>
                <w:rStyle w:val="LightItalic"/>
                <w:rFonts w:asciiTheme="minorHAnsi" w:hAnsiTheme="minorHAnsi" w:cstheme="minorHAnsi"/>
                <w:spacing w:val="-1"/>
                <w:sz w:val="16"/>
              </w:rPr>
              <w:t>Financial Management Act 1994</w:t>
            </w:r>
            <w:r w:rsidRPr="00660010">
              <w:rPr>
                <w:rFonts w:asciiTheme="minorHAnsi" w:hAnsiTheme="minorHAnsi" w:cstheme="minorHAnsi"/>
                <w:spacing w:val="-1"/>
                <w:sz w:val="16"/>
              </w:rPr>
              <w:t xml:space="preserve"> as a working account. It receives funds from the Commonwealth to meet the eligible costs of parental leave for departmental employees.</w:t>
            </w:r>
          </w:p>
        </w:tc>
        <w:tc>
          <w:tcPr>
            <w:tcW w:w="1077" w:type="dxa"/>
          </w:tcPr>
          <w:p w14:paraId="736E695C" w14:textId="77777777" w:rsidR="00B02873" w:rsidRPr="00660010" w:rsidRDefault="00B02873" w:rsidP="00660010">
            <w:pPr>
              <w:pStyle w:val="TablebodyleftFinancialsTables"/>
              <w:jc w:val="right"/>
              <w:rPr>
                <w:rFonts w:asciiTheme="minorHAnsi" w:hAnsiTheme="minorHAnsi" w:cstheme="minorHAnsi"/>
                <w:b/>
                <w:bCs/>
                <w:sz w:val="16"/>
              </w:rPr>
            </w:pPr>
            <w:r w:rsidRPr="00660010">
              <w:rPr>
                <w:rFonts w:asciiTheme="minorHAnsi" w:hAnsiTheme="minorHAnsi" w:cstheme="minorHAnsi"/>
                <w:b/>
                <w:bCs/>
                <w:sz w:val="16"/>
              </w:rPr>
              <w:t>65</w:t>
            </w:r>
          </w:p>
        </w:tc>
        <w:tc>
          <w:tcPr>
            <w:tcW w:w="1078" w:type="dxa"/>
          </w:tcPr>
          <w:p w14:paraId="6DCCE2DC" w14:textId="77777777" w:rsidR="00B02873" w:rsidRPr="00660010" w:rsidRDefault="00B02873" w:rsidP="00660010">
            <w:pPr>
              <w:pStyle w:val="TablebodyleftFinancialsTables"/>
              <w:jc w:val="right"/>
              <w:rPr>
                <w:rFonts w:asciiTheme="minorHAnsi" w:hAnsiTheme="minorHAnsi" w:cstheme="minorHAnsi"/>
                <w:b/>
                <w:bCs/>
                <w:sz w:val="16"/>
              </w:rPr>
            </w:pPr>
            <w:r w:rsidRPr="00660010">
              <w:rPr>
                <w:rFonts w:asciiTheme="minorHAnsi" w:hAnsiTheme="minorHAnsi" w:cstheme="minorHAnsi"/>
                <w:b/>
                <w:bCs/>
                <w:sz w:val="16"/>
              </w:rPr>
              <w:t>4</w:t>
            </w:r>
          </w:p>
        </w:tc>
        <w:tc>
          <w:tcPr>
            <w:tcW w:w="1077" w:type="dxa"/>
          </w:tcPr>
          <w:p w14:paraId="6827F640" w14:textId="77777777" w:rsidR="00B02873" w:rsidRPr="00660010" w:rsidRDefault="00B02873" w:rsidP="00660010">
            <w:pPr>
              <w:pStyle w:val="TablebodyleftFinancialsTables"/>
              <w:jc w:val="right"/>
              <w:rPr>
                <w:rFonts w:asciiTheme="minorHAnsi" w:hAnsiTheme="minorHAnsi" w:cstheme="minorHAnsi"/>
                <w:b/>
                <w:bCs/>
                <w:sz w:val="16"/>
              </w:rPr>
            </w:pPr>
            <w:r w:rsidRPr="00660010">
              <w:rPr>
                <w:rFonts w:asciiTheme="minorHAnsi" w:hAnsiTheme="minorHAnsi" w:cstheme="minorHAnsi"/>
                <w:b/>
                <w:bCs/>
                <w:sz w:val="16"/>
              </w:rPr>
              <w:t>–</w:t>
            </w:r>
          </w:p>
        </w:tc>
        <w:tc>
          <w:tcPr>
            <w:tcW w:w="1077" w:type="dxa"/>
          </w:tcPr>
          <w:p w14:paraId="601ED77B" w14:textId="1F201A39" w:rsidR="00B02873" w:rsidRPr="00660010" w:rsidRDefault="00012C04" w:rsidP="00660010">
            <w:pPr>
              <w:pStyle w:val="TablebodyleftFinancialsTables"/>
              <w:jc w:val="right"/>
              <w:rPr>
                <w:rFonts w:asciiTheme="minorHAnsi" w:hAnsiTheme="minorHAnsi" w:cstheme="minorHAnsi"/>
                <w:b/>
                <w:bCs/>
                <w:sz w:val="16"/>
              </w:rPr>
            </w:pPr>
            <w:r w:rsidRPr="00660010">
              <w:rPr>
                <w:rFonts w:asciiTheme="minorHAnsi" w:hAnsiTheme="minorHAnsi" w:cstheme="minorHAnsi"/>
                <w:b/>
                <w:bCs/>
                <w:sz w:val="16"/>
              </w:rPr>
              <w:t xml:space="preserve"> </w:t>
            </w:r>
            <w:r w:rsidR="00B02873" w:rsidRPr="00660010">
              <w:rPr>
                <w:rFonts w:asciiTheme="minorHAnsi" w:hAnsiTheme="minorHAnsi" w:cstheme="minorHAnsi"/>
                <w:b/>
                <w:bCs/>
                <w:sz w:val="16"/>
              </w:rPr>
              <w:t>69</w:t>
            </w:r>
          </w:p>
        </w:tc>
        <w:tc>
          <w:tcPr>
            <w:tcW w:w="1077" w:type="dxa"/>
          </w:tcPr>
          <w:p w14:paraId="1A3D688C" w14:textId="77777777" w:rsidR="00B02873" w:rsidRPr="00660010" w:rsidRDefault="00B02873" w:rsidP="00660010">
            <w:pPr>
              <w:pStyle w:val="TablebodyleftFinancialsTables"/>
              <w:jc w:val="right"/>
              <w:rPr>
                <w:rFonts w:asciiTheme="minorHAnsi" w:hAnsiTheme="minorHAnsi" w:cstheme="minorHAnsi"/>
                <w:sz w:val="16"/>
              </w:rPr>
            </w:pPr>
            <w:r w:rsidRPr="00660010">
              <w:rPr>
                <w:rFonts w:asciiTheme="minorHAnsi" w:hAnsiTheme="minorHAnsi" w:cstheme="minorHAnsi"/>
                <w:sz w:val="16"/>
              </w:rPr>
              <w:t>98</w:t>
            </w:r>
          </w:p>
        </w:tc>
        <w:tc>
          <w:tcPr>
            <w:tcW w:w="1077" w:type="dxa"/>
          </w:tcPr>
          <w:p w14:paraId="40E074B0" w14:textId="77777777" w:rsidR="00B02873" w:rsidRPr="00660010" w:rsidRDefault="00B02873" w:rsidP="00660010">
            <w:pPr>
              <w:pStyle w:val="TablebodyleftFinancialsTables"/>
              <w:jc w:val="right"/>
              <w:rPr>
                <w:rFonts w:asciiTheme="minorHAnsi" w:hAnsiTheme="minorHAnsi" w:cstheme="minorHAnsi"/>
                <w:sz w:val="16"/>
              </w:rPr>
            </w:pPr>
            <w:r w:rsidRPr="00660010">
              <w:rPr>
                <w:rFonts w:asciiTheme="minorHAnsi" w:hAnsiTheme="minorHAnsi" w:cstheme="minorHAnsi"/>
                <w:sz w:val="16"/>
              </w:rPr>
              <w:t>–</w:t>
            </w:r>
          </w:p>
        </w:tc>
        <w:tc>
          <w:tcPr>
            <w:tcW w:w="1077" w:type="dxa"/>
          </w:tcPr>
          <w:p w14:paraId="7DE955C1" w14:textId="77777777" w:rsidR="00B02873" w:rsidRPr="00660010" w:rsidRDefault="00B02873" w:rsidP="00660010">
            <w:pPr>
              <w:pStyle w:val="TablebodyleftFinancialsTables"/>
              <w:jc w:val="right"/>
              <w:rPr>
                <w:rFonts w:asciiTheme="minorHAnsi" w:hAnsiTheme="minorHAnsi" w:cstheme="minorHAnsi"/>
                <w:sz w:val="16"/>
              </w:rPr>
            </w:pPr>
            <w:r w:rsidRPr="00660010">
              <w:rPr>
                <w:rFonts w:asciiTheme="minorHAnsi" w:hAnsiTheme="minorHAnsi" w:cstheme="minorHAnsi"/>
                <w:sz w:val="16"/>
              </w:rPr>
              <w:t>(33)</w:t>
            </w:r>
          </w:p>
        </w:tc>
        <w:tc>
          <w:tcPr>
            <w:tcW w:w="1078" w:type="dxa"/>
          </w:tcPr>
          <w:p w14:paraId="7B8BDACD" w14:textId="26486000" w:rsidR="00B02873" w:rsidRPr="00660010" w:rsidRDefault="00012C04" w:rsidP="00660010">
            <w:pPr>
              <w:pStyle w:val="TablebodyleftFinancialsTables"/>
              <w:jc w:val="right"/>
              <w:rPr>
                <w:rFonts w:asciiTheme="minorHAnsi" w:hAnsiTheme="minorHAnsi" w:cstheme="minorHAnsi"/>
                <w:sz w:val="16"/>
              </w:rPr>
            </w:pPr>
            <w:r w:rsidRPr="00660010">
              <w:rPr>
                <w:rFonts w:asciiTheme="minorHAnsi" w:hAnsiTheme="minorHAnsi" w:cstheme="minorHAnsi"/>
                <w:sz w:val="16"/>
              </w:rPr>
              <w:t xml:space="preserve"> </w:t>
            </w:r>
            <w:r w:rsidR="00B02873" w:rsidRPr="00660010">
              <w:rPr>
                <w:rFonts w:asciiTheme="minorHAnsi" w:hAnsiTheme="minorHAnsi" w:cstheme="minorHAnsi"/>
                <w:sz w:val="16"/>
              </w:rPr>
              <w:t>65</w:t>
            </w:r>
          </w:p>
        </w:tc>
      </w:tr>
      <w:tr w:rsidR="00B02873" w:rsidRPr="00660010" w14:paraId="6E0B8581" w14:textId="77777777" w:rsidTr="00B57118">
        <w:trPr>
          <w:trHeight w:val="60"/>
        </w:trPr>
        <w:tc>
          <w:tcPr>
            <w:tcW w:w="5669" w:type="dxa"/>
          </w:tcPr>
          <w:p w14:paraId="5B21E2BC" w14:textId="77777777" w:rsidR="00B02873" w:rsidRPr="00660010" w:rsidRDefault="00B02873" w:rsidP="00660010">
            <w:pPr>
              <w:pStyle w:val="TablebodyleftFinancialsTables"/>
              <w:rPr>
                <w:rFonts w:asciiTheme="minorHAnsi" w:hAnsiTheme="minorHAnsi" w:cstheme="minorHAnsi"/>
                <w:sz w:val="16"/>
              </w:rPr>
            </w:pPr>
            <w:r w:rsidRPr="00660010">
              <w:rPr>
                <w:rFonts w:asciiTheme="minorHAnsi" w:hAnsiTheme="minorHAnsi" w:cstheme="minorHAnsi"/>
                <w:sz w:val="16"/>
              </w:rPr>
              <w:lastRenderedPageBreak/>
              <w:t xml:space="preserve">Public Service Commuters’ Club </w:t>
            </w:r>
          </w:p>
          <w:p w14:paraId="3E043471" w14:textId="77777777" w:rsidR="00B02873" w:rsidRPr="00660010" w:rsidRDefault="00B02873" w:rsidP="00660010">
            <w:pPr>
              <w:pStyle w:val="TablebodyleftFinancialsTables"/>
              <w:rPr>
                <w:rFonts w:asciiTheme="minorHAnsi" w:hAnsiTheme="minorHAnsi" w:cstheme="minorHAnsi"/>
                <w:sz w:val="16"/>
              </w:rPr>
            </w:pPr>
            <w:r w:rsidRPr="00660010">
              <w:rPr>
                <w:rFonts w:asciiTheme="minorHAnsi" w:hAnsiTheme="minorHAnsi" w:cstheme="minorHAnsi"/>
                <w:spacing w:val="-1"/>
                <w:sz w:val="16"/>
              </w:rPr>
              <w:t xml:space="preserve">Operates under s19 of the </w:t>
            </w:r>
            <w:r w:rsidRPr="00660010">
              <w:rPr>
                <w:rStyle w:val="LightItalic"/>
                <w:rFonts w:asciiTheme="minorHAnsi" w:hAnsiTheme="minorHAnsi" w:cstheme="minorHAnsi"/>
                <w:spacing w:val="-1"/>
                <w:sz w:val="16"/>
              </w:rPr>
              <w:t>Financial Management Act 1994</w:t>
            </w:r>
            <w:r w:rsidRPr="00660010">
              <w:rPr>
                <w:rFonts w:asciiTheme="minorHAnsi" w:hAnsiTheme="minorHAnsi" w:cstheme="minorHAnsi"/>
                <w:spacing w:val="-1"/>
                <w:sz w:val="16"/>
              </w:rPr>
              <w:t xml:space="preserve"> as a working account. It services loans to staff for the purchase of yearly tickets and funds are recouped through staff salaries and wages.</w:t>
            </w:r>
          </w:p>
        </w:tc>
        <w:tc>
          <w:tcPr>
            <w:tcW w:w="1077" w:type="dxa"/>
          </w:tcPr>
          <w:p w14:paraId="425CAD57" w14:textId="77777777" w:rsidR="00B02873" w:rsidRPr="00660010" w:rsidRDefault="00B02873" w:rsidP="00660010">
            <w:pPr>
              <w:pStyle w:val="TablebodyleftFinancialsTables"/>
              <w:jc w:val="right"/>
              <w:rPr>
                <w:rFonts w:asciiTheme="minorHAnsi" w:hAnsiTheme="minorHAnsi" w:cstheme="minorHAnsi"/>
                <w:b/>
                <w:bCs/>
                <w:sz w:val="16"/>
              </w:rPr>
            </w:pPr>
            <w:r w:rsidRPr="00660010">
              <w:rPr>
                <w:rFonts w:asciiTheme="minorHAnsi" w:hAnsiTheme="minorHAnsi" w:cstheme="minorHAnsi"/>
                <w:b/>
                <w:bCs/>
                <w:sz w:val="16"/>
              </w:rPr>
              <w:t>341</w:t>
            </w:r>
          </w:p>
        </w:tc>
        <w:tc>
          <w:tcPr>
            <w:tcW w:w="1078" w:type="dxa"/>
          </w:tcPr>
          <w:p w14:paraId="7872B7B9" w14:textId="77777777" w:rsidR="00B02873" w:rsidRPr="00660010" w:rsidRDefault="00B02873" w:rsidP="00660010">
            <w:pPr>
              <w:pStyle w:val="TablebodyleftFinancialsTables"/>
              <w:jc w:val="right"/>
              <w:rPr>
                <w:rFonts w:asciiTheme="minorHAnsi" w:hAnsiTheme="minorHAnsi" w:cstheme="minorHAnsi"/>
                <w:b/>
                <w:bCs/>
                <w:sz w:val="16"/>
              </w:rPr>
            </w:pPr>
            <w:r w:rsidRPr="00660010">
              <w:rPr>
                <w:rFonts w:asciiTheme="minorHAnsi" w:hAnsiTheme="minorHAnsi" w:cstheme="minorHAnsi"/>
                <w:b/>
                <w:bCs/>
                <w:sz w:val="16"/>
              </w:rPr>
              <w:t>20</w:t>
            </w:r>
          </w:p>
        </w:tc>
        <w:tc>
          <w:tcPr>
            <w:tcW w:w="1077" w:type="dxa"/>
          </w:tcPr>
          <w:p w14:paraId="63FF1B3B" w14:textId="77777777" w:rsidR="00B02873" w:rsidRPr="00660010" w:rsidRDefault="00B02873" w:rsidP="00660010">
            <w:pPr>
              <w:pStyle w:val="TablebodyleftFinancialsTables"/>
              <w:jc w:val="right"/>
              <w:rPr>
                <w:rFonts w:asciiTheme="minorHAnsi" w:hAnsiTheme="minorHAnsi" w:cstheme="minorHAnsi"/>
                <w:b/>
                <w:bCs/>
                <w:sz w:val="16"/>
              </w:rPr>
            </w:pPr>
            <w:r w:rsidRPr="00660010">
              <w:rPr>
                <w:rFonts w:asciiTheme="minorHAnsi" w:hAnsiTheme="minorHAnsi" w:cstheme="minorHAnsi"/>
                <w:b/>
                <w:bCs/>
                <w:sz w:val="16"/>
              </w:rPr>
              <w:t>–</w:t>
            </w:r>
          </w:p>
        </w:tc>
        <w:tc>
          <w:tcPr>
            <w:tcW w:w="1077" w:type="dxa"/>
          </w:tcPr>
          <w:p w14:paraId="4CC49D58" w14:textId="77777777" w:rsidR="00B02873" w:rsidRPr="00660010" w:rsidRDefault="00B02873" w:rsidP="00660010">
            <w:pPr>
              <w:pStyle w:val="TablebodyleftFinancialsTables"/>
              <w:jc w:val="right"/>
              <w:rPr>
                <w:rFonts w:asciiTheme="minorHAnsi" w:hAnsiTheme="minorHAnsi" w:cstheme="minorHAnsi"/>
                <w:b/>
                <w:bCs/>
                <w:sz w:val="16"/>
              </w:rPr>
            </w:pPr>
            <w:r w:rsidRPr="00660010">
              <w:rPr>
                <w:rFonts w:asciiTheme="minorHAnsi" w:hAnsiTheme="minorHAnsi" w:cstheme="minorHAnsi"/>
                <w:b/>
                <w:bCs/>
                <w:sz w:val="16"/>
              </w:rPr>
              <w:t xml:space="preserve"> 361</w:t>
            </w:r>
          </w:p>
        </w:tc>
        <w:tc>
          <w:tcPr>
            <w:tcW w:w="1077" w:type="dxa"/>
          </w:tcPr>
          <w:p w14:paraId="2DD51CED" w14:textId="77777777" w:rsidR="00B02873" w:rsidRPr="00660010" w:rsidRDefault="00B02873" w:rsidP="00660010">
            <w:pPr>
              <w:pStyle w:val="TablebodyleftFinancialsTables"/>
              <w:jc w:val="right"/>
              <w:rPr>
                <w:rFonts w:asciiTheme="minorHAnsi" w:hAnsiTheme="minorHAnsi" w:cstheme="minorHAnsi"/>
                <w:sz w:val="16"/>
              </w:rPr>
            </w:pPr>
            <w:r w:rsidRPr="00660010">
              <w:rPr>
                <w:rFonts w:asciiTheme="minorHAnsi" w:hAnsiTheme="minorHAnsi" w:cstheme="minorHAnsi"/>
                <w:sz w:val="16"/>
              </w:rPr>
              <w:t>49</w:t>
            </w:r>
          </w:p>
        </w:tc>
        <w:tc>
          <w:tcPr>
            <w:tcW w:w="1077" w:type="dxa"/>
          </w:tcPr>
          <w:p w14:paraId="63C36F69" w14:textId="77777777" w:rsidR="00B02873" w:rsidRPr="00660010" w:rsidRDefault="00B02873" w:rsidP="00660010">
            <w:pPr>
              <w:pStyle w:val="TablebodyleftFinancialsTables"/>
              <w:jc w:val="right"/>
              <w:rPr>
                <w:rFonts w:asciiTheme="minorHAnsi" w:hAnsiTheme="minorHAnsi" w:cstheme="minorHAnsi"/>
                <w:sz w:val="16"/>
              </w:rPr>
            </w:pPr>
            <w:r w:rsidRPr="00660010">
              <w:rPr>
                <w:rFonts w:asciiTheme="minorHAnsi" w:hAnsiTheme="minorHAnsi" w:cstheme="minorHAnsi"/>
                <w:sz w:val="16"/>
              </w:rPr>
              <w:t>292</w:t>
            </w:r>
          </w:p>
        </w:tc>
        <w:tc>
          <w:tcPr>
            <w:tcW w:w="1077" w:type="dxa"/>
          </w:tcPr>
          <w:p w14:paraId="5B95FBA4" w14:textId="77777777" w:rsidR="00B02873" w:rsidRPr="00660010" w:rsidRDefault="00B02873" w:rsidP="00660010">
            <w:pPr>
              <w:pStyle w:val="TablebodyleftFinancialsTables"/>
              <w:jc w:val="right"/>
              <w:rPr>
                <w:rFonts w:asciiTheme="minorHAnsi" w:hAnsiTheme="minorHAnsi" w:cstheme="minorHAnsi"/>
                <w:sz w:val="16"/>
              </w:rPr>
            </w:pPr>
            <w:r w:rsidRPr="00660010">
              <w:rPr>
                <w:rFonts w:asciiTheme="minorHAnsi" w:hAnsiTheme="minorHAnsi" w:cstheme="minorHAnsi"/>
                <w:sz w:val="16"/>
              </w:rPr>
              <w:t>–</w:t>
            </w:r>
          </w:p>
        </w:tc>
        <w:tc>
          <w:tcPr>
            <w:tcW w:w="1078" w:type="dxa"/>
          </w:tcPr>
          <w:p w14:paraId="23E39D05" w14:textId="77777777" w:rsidR="00B02873" w:rsidRPr="00660010" w:rsidRDefault="00B02873" w:rsidP="00660010">
            <w:pPr>
              <w:pStyle w:val="TablebodyleftFinancialsTables"/>
              <w:jc w:val="right"/>
              <w:rPr>
                <w:rFonts w:asciiTheme="minorHAnsi" w:hAnsiTheme="minorHAnsi" w:cstheme="minorHAnsi"/>
                <w:sz w:val="16"/>
              </w:rPr>
            </w:pPr>
            <w:r w:rsidRPr="00660010">
              <w:rPr>
                <w:rFonts w:asciiTheme="minorHAnsi" w:hAnsiTheme="minorHAnsi" w:cstheme="minorHAnsi"/>
                <w:sz w:val="16"/>
              </w:rPr>
              <w:t xml:space="preserve"> 341</w:t>
            </w:r>
          </w:p>
        </w:tc>
      </w:tr>
      <w:tr w:rsidR="00B02873" w:rsidRPr="00660010" w14:paraId="0AC13496" w14:textId="77777777" w:rsidTr="00B57118">
        <w:trPr>
          <w:trHeight w:val="60"/>
        </w:trPr>
        <w:tc>
          <w:tcPr>
            <w:tcW w:w="5669" w:type="dxa"/>
          </w:tcPr>
          <w:p w14:paraId="4B0DAB03" w14:textId="77777777" w:rsidR="00B02873" w:rsidRPr="00660010" w:rsidRDefault="00B02873" w:rsidP="00660010">
            <w:pPr>
              <w:pStyle w:val="TablebodyleftFinancialsTables"/>
              <w:rPr>
                <w:rFonts w:asciiTheme="minorHAnsi" w:hAnsiTheme="minorHAnsi" w:cstheme="minorHAnsi"/>
                <w:sz w:val="16"/>
              </w:rPr>
            </w:pPr>
            <w:r w:rsidRPr="00660010">
              <w:rPr>
                <w:rFonts w:asciiTheme="minorHAnsi" w:hAnsiTheme="minorHAnsi" w:cstheme="minorHAnsi"/>
                <w:sz w:val="16"/>
              </w:rPr>
              <w:t>Securities Trust Fund</w:t>
            </w:r>
          </w:p>
          <w:p w14:paraId="66666363" w14:textId="048E5EF6" w:rsidR="00B02873" w:rsidRPr="00660010" w:rsidRDefault="00B02873" w:rsidP="00660010">
            <w:pPr>
              <w:pStyle w:val="TablebodyleftFinancialsTables"/>
              <w:rPr>
                <w:rFonts w:asciiTheme="minorHAnsi" w:hAnsiTheme="minorHAnsi" w:cstheme="minorHAnsi"/>
                <w:sz w:val="16"/>
              </w:rPr>
            </w:pPr>
            <w:r w:rsidRPr="00660010">
              <w:rPr>
                <w:rFonts w:asciiTheme="minorHAnsi" w:hAnsiTheme="minorHAnsi" w:cstheme="minorHAnsi"/>
                <w:sz w:val="16"/>
              </w:rPr>
              <w:t xml:space="preserve">Operates under s19 of the </w:t>
            </w:r>
            <w:r w:rsidRPr="00660010">
              <w:rPr>
                <w:rStyle w:val="LightItalic"/>
                <w:rFonts w:asciiTheme="minorHAnsi" w:hAnsiTheme="minorHAnsi" w:cstheme="minorHAnsi"/>
                <w:sz w:val="16"/>
              </w:rPr>
              <w:t>Financial Management Act 1994</w:t>
            </w:r>
            <w:r w:rsidRPr="00660010">
              <w:rPr>
                <w:rFonts w:asciiTheme="minorHAnsi" w:hAnsiTheme="minorHAnsi" w:cstheme="minorHAnsi"/>
                <w:sz w:val="16"/>
              </w:rPr>
              <w:t xml:space="preserve"> as a working account. It receives and holds bonds for use by third parties of public land.</w:t>
            </w:r>
          </w:p>
        </w:tc>
        <w:tc>
          <w:tcPr>
            <w:tcW w:w="1077" w:type="dxa"/>
          </w:tcPr>
          <w:p w14:paraId="00FFA9E1" w14:textId="77777777" w:rsidR="00B02873" w:rsidRPr="00660010" w:rsidRDefault="00B02873" w:rsidP="00660010">
            <w:pPr>
              <w:pStyle w:val="TablebodyleftFinancialsTables"/>
              <w:jc w:val="right"/>
              <w:rPr>
                <w:rFonts w:asciiTheme="minorHAnsi" w:hAnsiTheme="minorHAnsi" w:cstheme="minorHAnsi"/>
                <w:b/>
                <w:bCs/>
                <w:sz w:val="16"/>
              </w:rPr>
            </w:pPr>
            <w:r w:rsidRPr="00660010">
              <w:rPr>
                <w:rFonts w:asciiTheme="minorHAnsi" w:hAnsiTheme="minorHAnsi" w:cstheme="minorHAnsi"/>
                <w:b/>
                <w:bCs/>
                <w:sz w:val="16"/>
              </w:rPr>
              <w:t>18</w:t>
            </w:r>
          </w:p>
        </w:tc>
        <w:tc>
          <w:tcPr>
            <w:tcW w:w="1078" w:type="dxa"/>
          </w:tcPr>
          <w:p w14:paraId="6B24D934" w14:textId="77777777" w:rsidR="00B02873" w:rsidRPr="00660010" w:rsidRDefault="00B02873" w:rsidP="00660010">
            <w:pPr>
              <w:pStyle w:val="TablebodyleftFinancialsTables"/>
              <w:jc w:val="right"/>
              <w:rPr>
                <w:rFonts w:asciiTheme="minorHAnsi" w:hAnsiTheme="minorHAnsi" w:cstheme="minorHAnsi"/>
                <w:b/>
                <w:bCs/>
                <w:sz w:val="16"/>
              </w:rPr>
            </w:pPr>
            <w:r w:rsidRPr="00660010">
              <w:rPr>
                <w:rFonts w:asciiTheme="minorHAnsi" w:hAnsiTheme="minorHAnsi" w:cstheme="minorHAnsi"/>
                <w:b/>
                <w:bCs/>
                <w:sz w:val="16"/>
              </w:rPr>
              <w:t>–</w:t>
            </w:r>
          </w:p>
        </w:tc>
        <w:tc>
          <w:tcPr>
            <w:tcW w:w="1077" w:type="dxa"/>
          </w:tcPr>
          <w:p w14:paraId="7FAD9021" w14:textId="77777777" w:rsidR="00B02873" w:rsidRPr="00660010" w:rsidRDefault="00B02873" w:rsidP="00660010">
            <w:pPr>
              <w:pStyle w:val="TablebodyleftFinancialsTables"/>
              <w:jc w:val="right"/>
              <w:rPr>
                <w:rFonts w:asciiTheme="minorHAnsi" w:hAnsiTheme="minorHAnsi" w:cstheme="minorHAnsi"/>
                <w:b/>
                <w:bCs/>
                <w:sz w:val="16"/>
              </w:rPr>
            </w:pPr>
            <w:r w:rsidRPr="00660010">
              <w:rPr>
                <w:rFonts w:asciiTheme="minorHAnsi" w:hAnsiTheme="minorHAnsi" w:cstheme="minorHAnsi"/>
                <w:b/>
                <w:bCs/>
                <w:sz w:val="16"/>
              </w:rPr>
              <w:t>(2)</w:t>
            </w:r>
          </w:p>
        </w:tc>
        <w:tc>
          <w:tcPr>
            <w:tcW w:w="1077" w:type="dxa"/>
          </w:tcPr>
          <w:p w14:paraId="407F517A" w14:textId="73B8CAAC" w:rsidR="00B02873" w:rsidRPr="00660010" w:rsidRDefault="00012C04" w:rsidP="00660010">
            <w:pPr>
              <w:pStyle w:val="TablebodyleftFinancialsTables"/>
              <w:jc w:val="right"/>
              <w:rPr>
                <w:rFonts w:asciiTheme="minorHAnsi" w:hAnsiTheme="minorHAnsi" w:cstheme="minorHAnsi"/>
                <w:b/>
                <w:bCs/>
                <w:sz w:val="16"/>
              </w:rPr>
            </w:pPr>
            <w:r w:rsidRPr="00660010">
              <w:rPr>
                <w:rFonts w:asciiTheme="minorHAnsi" w:hAnsiTheme="minorHAnsi" w:cstheme="minorHAnsi"/>
                <w:b/>
                <w:bCs/>
                <w:sz w:val="16"/>
              </w:rPr>
              <w:t xml:space="preserve"> </w:t>
            </w:r>
            <w:r w:rsidR="00B02873" w:rsidRPr="00660010">
              <w:rPr>
                <w:rFonts w:asciiTheme="minorHAnsi" w:hAnsiTheme="minorHAnsi" w:cstheme="minorHAnsi"/>
                <w:b/>
                <w:bCs/>
                <w:sz w:val="16"/>
              </w:rPr>
              <w:t>16</w:t>
            </w:r>
          </w:p>
        </w:tc>
        <w:tc>
          <w:tcPr>
            <w:tcW w:w="1077" w:type="dxa"/>
          </w:tcPr>
          <w:p w14:paraId="6F65892A" w14:textId="77777777" w:rsidR="00B02873" w:rsidRPr="00660010" w:rsidRDefault="00B02873" w:rsidP="00660010">
            <w:pPr>
              <w:pStyle w:val="TablebodyleftFinancialsTables"/>
              <w:jc w:val="right"/>
              <w:rPr>
                <w:rFonts w:asciiTheme="minorHAnsi" w:hAnsiTheme="minorHAnsi" w:cstheme="minorHAnsi"/>
                <w:sz w:val="16"/>
              </w:rPr>
            </w:pPr>
            <w:r w:rsidRPr="00660010">
              <w:rPr>
                <w:rFonts w:asciiTheme="minorHAnsi" w:hAnsiTheme="minorHAnsi" w:cstheme="minorHAnsi"/>
                <w:sz w:val="16"/>
              </w:rPr>
              <w:t>16</w:t>
            </w:r>
          </w:p>
        </w:tc>
        <w:tc>
          <w:tcPr>
            <w:tcW w:w="1077" w:type="dxa"/>
          </w:tcPr>
          <w:p w14:paraId="254BF3EA" w14:textId="77777777" w:rsidR="00B02873" w:rsidRPr="00660010" w:rsidRDefault="00B02873" w:rsidP="00660010">
            <w:pPr>
              <w:pStyle w:val="TablebodyleftFinancialsTables"/>
              <w:jc w:val="right"/>
              <w:rPr>
                <w:rFonts w:asciiTheme="minorHAnsi" w:hAnsiTheme="minorHAnsi" w:cstheme="minorHAnsi"/>
                <w:sz w:val="16"/>
              </w:rPr>
            </w:pPr>
            <w:r w:rsidRPr="00660010">
              <w:rPr>
                <w:rFonts w:asciiTheme="minorHAnsi" w:hAnsiTheme="minorHAnsi" w:cstheme="minorHAnsi"/>
                <w:sz w:val="16"/>
              </w:rPr>
              <w:t>2</w:t>
            </w:r>
          </w:p>
        </w:tc>
        <w:tc>
          <w:tcPr>
            <w:tcW w:w="1077" w:type="dxa"/>
          </w:tcPr>
          <w:p w14:paraId="6DD921F6" w14:textId="77777777" w:rsidR="00B02873" w:rsidRPr="00660010" w:rsidRDefault="00B02873" w:rsidP="00660010">
            <w:pPr>
              <w:pStyle w:val="TablebodyleftFinancialsTables"/>
              <w:jc w:val="right"/>
              <w:rPr>
                <w:rFonts w:asciiTheme="minorHAnsi" w:hAnsiTheme="minorHAnsi" w:cstheme="minorHAnsi"/>
                <w:sz w:val="16"/>
              </w:rPr>
            </w:pPr>
            <w:r w:rsidRPr="00660010">
              <w:rPr>
                <w:rFonts w:asciiTheme="minorHAnsi" w:hAnsiTheme="minorHAnsi" w:cstheme="minorHAnsi"/>
                <w:sz w:val="16"/>
              </w:rPr>
              <w:t>–</w:t>
            </w:r>
          </w:p>
        </w:tc>
        <w:tc>
          <w:tcPr>
            <w:tcW w:w="1078" w:type="dxa"/>
          </w:tcPr>
          <w:p w14:paraId="3DF8BEEC" w14:textId="381C0238" w:rsidR="00B02873" w:rsidRPr="00660010" w:rsidRDefault="00012C04" w:rsidP="00660010">
            <w:pPr>
              <w:pStyle w:val="TablebodyleftFinancialsTables"/>
              <w:jc w:val="right"/>
              <w:rPr>
                <w:rFonts w:asciiTheme="minorHAnsi" w:hAnsiTheme="minorHAnsi" w:cstheme="minorHAnsi"/>
                <w:sz w:val="16"/>
              </w:rPr>
            </w:pPr>
            <w:r w:rsidRPr="00660010">
              <w:rPr>
                <w:rFonts w:asciiTheme="minorHAnsi" w:hAnsiTheme="minorHAnsi" w:cstheme="minorHAnsi"/>
                <w:sz w:val="16"/>
              </w:rPr>
              <w:t xml:space="preserve"> </w:t>
            </w:r>
            <w:r w:rsidR="00B02873" w:rsidRPr="00660010">
              <w:rPr>
                <w:rFonts w:asciiTheme="minorHAnsi" w:hAnsiTheme="minorHAnsi" w:cstheme="minorHAnsi"/>
                <w:sz w:val="16"/>
              </w:rPr>
              <w:t>18</w:t>
            </w:r>
          </w:p>
        </w:tc>
      </w:tr>
      <w:tr w:rsidR="00B02873" w:rsidRPr="00660010" w14:paraId="358E482E" w14:textId="77777777" w:rsidTr="00B57118">
        <w:trPr>
          <w:trHeight w:val="60"/>
        </w:trPr>
        <w:tc>
          <w:tcPr>
            <w:tcW w:w="5669" w:type="dxa"/>
          </w:tcPr>
          <w:p w14:paraId="310B1198" w14:textId="77777777" w:rsidR="00B02873" w:rsidRPr="00660010" w:rsidRDefault="00B02873" w:rsidP="00660010">
            <w:pPr>
              <w:pStyle w:val="TablebodyleftFinancialsTables"/>
              <w:rPr>
                <w:rFonts w:asciiTheme="minorHAnsi" w:hAnsiTheme="minorHAnsi" w:cstheme="minorHAnsi"/>
                <w:sz w:val="16"/>
              </w:rPr>
            </w:pPr>
            <w:r w:rsidRPr="00660010">
              <w:rPr>
                <w:rFonts w:asciiTheme="minorHAnsi" w:hAnsiTheme="minorHAnsi" w:cstheme="minorHAnsi"/>
                <w:sz w:val="16"/>
              </w:rPr>
              <w:t>Sidney Plowman Award</w:t>
            </w:r>
          </w:p>
          <w:p w14:paraId="10AEC96A" w14:textId="64DDA469" w:rsidR="00B02873" w:rsidRPr="00660010" w:rsidRDefault="00B02873" w:rsidP="00660010">
            <w:pPr>
              <w:pStyle w:val="TablebodyleftFinancialsTables"/>
              <w:rPr>
                <w:rFonts w:asciiTheme="minorHAnsi" w:hAnsiTheme="minorHAnsi" w:cstheme="minorHAnsi"/>
                <w:sz w:val="16"/>
              </w:rPr>
            </w:pPr>
            <w:r w:rsidRPr="00660010">
              <w:rPr>
                <w:rFonts w:asciiTheme="minorHAnsi" w:hAnsiTheme="minorHAnsi" w:cstheme="minorHAnsi"/>
                <w:sz w:val="16"/>
              </w:rPr>
              <w:t xml:space="preserve">Operates under s19(2) of the </w:t>
            </w:r>
            <w:r w:rsidRPr="00660010">
              <w:rPr>
                <w:rStyle w:val="LightItalic"/>
                <w:rFonts w:asciiTheme="minorHAnsi" w:hAnsiTheme="minorHAnsi" w:cstheme="minorHAnsi"/>
                <w:sz w:val="16"/>
              </w:rPr>
              <w:t>Financial Management Act 1994</w:t>
            </w:r>
            <w:r w:rsidRPr="00660010">
              <w:rPr>
                <w:rFonts w:asciiTheme="minorHAnsi" w:hAnsiTheme="minorHAnsi" w:cstheme="minorHAnsi"/>
                <w:sz w:val="16"/>
              </w:rPr>
              <w:t xml:space="preserve"> as a specific purpose operating account. It manages funds for prizes, scholarships, research and private donations.</w:t>
            </w:r>
          </w:p>
        </w:tc>
        <w:tc>
          <w:tcPr>
            <w:tcW w:w="1077" w:type="dxa"/>
          </w:tcPr>
          <w:p w14:paraId="1C71AF24" w14:textId="77777777" w:rsidR="00B02873" w:rsidRPr="00660010" w:rsidRDefault="00B02873" w:rsidP="00660010">
            <w:pPr>
              <w:pStyle w:val="TablebodyleftFinancialsTables"/>
              <w:jc w:val="right"/>
              <w:rPr>
                <w:rFonts w:asciiTheme="minorHAnsi" w:hAnsiTheme="minorHAnsi" w:cstheme="minorHAnsi"/>
                <w:b/>
                <w:bCs/>
                <w:sz w:val="16"/>
              </w:rPr>
            </w:pPr>
            <w:r w:rsidRPr="00660010">
              <w:rPr>
                <w:rFonts w:asciiTheme="minorHAnsi" w:hAnsiTheme="minorHAnsi" w:cstheme="minorHAnsi"/>
                <w:b/>
                <w:bCs/>
                <w:sz w:val="16"/>
              </w:rPr>
              <w:t>25</w:t>
            </w:r>
          </w:p>
        </w:tc>
        <w:tc>
          <w:tcPr>
            <w:tcW w:w="1078" w:type="dxa"/>
          </w:tcPr>
          <w:p w14:paraId="5058C46E" w14:textId="77777777" w:rsidR="00B02873" w:rsidRPr="00660010" w:rsidRDefault="00B02873" w:rsidP="00660010">
            <w:pPr>
              <w:pStyle w:val="TablebodyleftFinancialsTables"/>
              <w:jc w:val="right"/>
              <w:rPr>
                <w:rFonts w:asciiTheme="minorHAnsi" w:hAnsiTheme="minorHAnsi" w:cstheme="minorHAnsi"/>
                <w:b/>
                <w:bCs/>
                <w:sz w:val="16"/>
              </w:rPr>
            </w:pPr>
            <w:r w:rsidRPr="00660010">
              <w:rPr>
                <w:rFonts w:asciiTheme="minorHAnsi" w:hAnsiTheme="minorHAnsi" w:cstheme="minorHAnsi"/>
                <w:b/>
                <w:bCs/>
                <w:sz w:val="16"/>
              </w:rPr>
              <w:t>–</w:t>
            </w:r>
          </w:p>
        </w:tc>
        <w:tc>
          <w:tcPr>
            <w:tcW w:w="1077" w:type="dxa"/>
          </w:tcPr>
          <w:p w14:paraId="78748D52" w14:textId="77777777" w:rsidR="00B02873" w:rsidRPr="00660010" w:rsidRDefault="00B02873" w:rsidP="00660010">
            <w:pPr>
              <w:pStyle w:val="TablebodyleftFinancialsTables"/>
              <w:jc w:val="right"/>
              <w:rPr>
                <w:rFonts w:asciiTheme="minorHAnsi" w:hAnsiTheme="minorHAnsi" w:cstheme="minorHAnsi"/>
                <w:b/>
                <w:bCs/>
                <w:sz w:val="16"/>
              </w:rPr>
            </w:pPr>
            <w:r w:rsidRPr="00660010">
              <w:rPr>
                <w:rFonts w:asciiTheme="minorHAnsi" w:hAnsiTheme="minorHAnsi" w:cstheme="minorHAnsi"/>
                <w:b/>
                <w:bCs/>
                <w:sz w:val="16"/>
              </w:rPr>
              <w:t>–</w:t>
            </w:r>
          </w:p>
        </w:tc>
        <w:tc>
          <w:tcPr>
            <w:tcW w:w="1077" w:type="dxa"/>
          </w:tcPr>
          <w:p w14:paraId="2A5E6911" w14:textId="53F5438B" w:rsidR="00B02873" w:rsidRPr="00660010" w:rsidRDefault="00012C04" w:rsidP="00660010">
            <w:pPr>
              <w:pStyle w:val="TablebodyleftFinancialsTables"/>
              <w:jc w:val="right"/>
              <w:rPr>
                <w:rFonts w:asciiTheme="minorHAnsi" w:hAnsiTheme="minorHAnsi" w:cstheme="minorHAnsi"/>
                <w:b/>
                <w:bCs/>
                <w:sz w:val="16"/>
              </w:rPr>
            </w:pPr>
            <w:r w:rsidRPr="00660010">
              <w:rPr>
                <w:rFonts w:asciiTheme="minorHAnsi" w:hAnsiTheme="minorHAnsi" w:cstheme="minorHAnsi"/>
                <w:b/>
                <w:bCs/>
                <w:sz w:val="16"/>
              </w:rPr>
              <w:t xml:space="preserve"> </w:t>
            </w:r>
            <w:r w:rsidR="00B02873" w:rsidRPr="00660010">
              <w:rPr>
                <w:rFonts w:asciiTheme="minorHAnsi" w:hAnsiTheme="minorHAnsi" w:cstheme="minorHAnsi"/>
                <w:b/>
                <w:bCs/>
                <w:sz w:val="16"/>
              </w:rPr>
              <w:t>25</w:t>
            </w:r>
          </w:p>
        </w:tc>
        <w:tc>
          <w:tcPr>
            <w:tcW w:w="1077" w:type="dxa"/>
          </w:tcPr>
          <w:p w14:paraId="02F188C5" w14:textId="77777777" w:rsidR="00B02873" w:rsidRPr="00660010" w:rsidRDefault="00B02873" w:rsidP="00660010">
            <w:pPr>
              <w:pStyle w:val="TablebodyleftFinancialsTables"/>
              <w:jc w:val="right"/>
              <w:rPr>
                <w:rFonts w:asciiTheme="minorHAnsi" w:hAnsiTheme="minorHAnsi" w:cstheme="minorHAnsi"/>
                <w:sz w:val="16"/>
              </w:rPr>
            </w:pPr>
            <w:r w:rsidRPr="00660010">
              <w:rPr>
                <w:rFonts w:asciiTheme="minorHAnsi" w:hAnsiTheme="minorHAnsi" w:cstheme="minorHAnsi"/>
                <w:sz w:val="16"/>
              </w:rPr>
              <w:t>25</w:t>
            </w:r>
          </w:p>
        </w:tc>
        <w:tc>
          <w:tcPr>
            <w:tcW w:w="1077" w:type="dxa"/>
          </w:tcPr>
          <w:p w14:paraId="0718AE02" w14:textId="77777777" w:rsidR="00B02873" w:rsidRPr="00660010" w:rsidRDefault="00B02873" w:rsidP="00660010">
            <w:pPr>
              <w:pStyle w:val="TablebodyleftFinancialsTables"/>
              <w:jc w:val="right"/>
              <w:rPr>
                <w:rFonts w:asciiTheme="minorHAnsi" w:hAnsiTheme="minorHAnsi" w:cstheme="minorHAnsi"/>
                <w:sz w:val="16"/>
              </w:rPr>
            </w:pPr>
            <w:r w:rsidRPr="00660010">
              <w:rPr>
                <w:rFonts w:asciiTheme="minorHAnsi" w:hAnsiTheme="minorHAnsi" w:cstheme="minorHAnsi"/>
                <w:sz w:val="16"/>
              </w:rPr>
              <w:t>–</w:t>
            </w:r>
          </w:p>
        </w:tc>
        <w:tc>
          <w:tcPr>
            <w:tcW w:w="1077" w:type="dxa"/>
          </w:tcPr>
          <w:p w14:paraId="58D83E4C" w14:textId="77777777" w:rsidR="00B02873" w:rsidRPr="00660010" w:rsidRDefault="00B02873" w:rsidP="00660010">
            <w:pPr>
              <w:pStyle w:val="TablebodyleftFinancialsTables"/>
              <w:jc w:val="right"/>
              <w:rPr>
                <w:rFonts w:asciiTheme="minorHAnsi" w:hAnsiTheme="minorHAnsi" w:cstheme="minorHAnsi"/>
                <w:sz w:val="16"/>
              </w:rPr>
            </w:pPr>
            <w:r w:rsidRPr="00660010">
              <w:rPr>
                <w:rFonts w:asciiTheme="minorHAnsi" w:hAnsiTheme="minorHAnsi" w:cstheme="minorHAnsi"/>
                <w:sz w:val="16"/>
              </w:rPr>
              <w:t>–</w:t>
            </w:r>
          </w:p>
        </w:tc>
        <w:tc>
          <w:tcPr>
            <w:tcW w:w="1078" w:type="dxa"/>
          </w:tcPr>
          <w:p w14:paraId="7ADAC396" w14:textId="753A777C" w:rsidR="00B02873" w:rsidRPr="00660010" w:rsidRDefault="00012C04" w:rsidP="00660010">
            <w:pPr>
              <w:pStyle w:val="TablebodyleftFinancialsTables"/>
              <w:jc w:val="right"/>
              <w:rPr>
                <w:rFonts w:asciiTheme="minorHAnsi" w:hAnsiTheme="minorHAnsi" w:cstheme="minorHAnsi"/>
                <w:sz w:val="16"/>
              </w:rPr>
            </w:pPr>
            <w:r w:rsidRPr="00660010">
              <w:rPr>
                <w:rFonts w:asciiTheme="minorHAnsi" w:hAnsiTheme="minorHAnsi" w:cstheme="minorHAnsi"/>
                <w:sz w:val="16"/>
              </w:rPr>
              <w:t xml:space="preserve"> </w:t>
            </w:r>
            <w:r w:rsidR="00B02873" w:rsidRPr="00660010">
              <w:rPr>
                <w:rFonts w:asciiTheme="minorHAnsi" w:hAnsiTheme="minorHAnsi" w:cstheme="minorHAnsi"/>
                <w:sz w:val="16"/>
              </w:rPr>
              <w:t>25</w:t>
            </w:r>
          </w:p>
        </w:tc>
      </w:tr>
      <w:tr w:rsidR="00B02873" w:rsidRPr="00660010" w14:paraId="0FDAA0F0" w14:textId="77777777" w:rsidTr="00B57118">
        <w:trPr>
          <w:trHeight w:val="60"/>
        </w:trPr>
        <w:tc>
          <w:tcPr>
            <w:tcW w:w="5669" w:type="dxa"/>
          </w:tcPr>
          <w:p w14:paraId="2E73DBC3" w14:textId="77777777" w:rsidR="00B02873" w:rsidRPr="00660010" w:rsidRDefault="00B02873" w:rsidP="00660010">
            <w:pPr>
              <w:pStyle w:val="TablebodyleftFinancialsTables"/>
              <w:rPr>
                <w:rFonts w:asciiTheme="minorHAnsi" w:hAnsiTheme="minorHAnsi" w:cstheme="minorHAnsi"/>
                <w:sz w:val="16"/>
              </w:rPr>
            </w:pPr>
            <w:r w:rsidRPr="00660010">
              <w:rPr>
                <w:rFonts w:asciiTheme="minorHAnsi" w:hAnsiTheme="minorHAnsi" w:cstheme="minorHAnsi"/>
                <w:sz w:val="16"/>
              </w:rPr>
              <w:t>Treasury Trust</w:t>
            </w:r>
          </w:p>
          <w:p w14:paraId="2DC29385" w14:textId="77777777" w:rsidR="00B02873" w:rsidRPr="00660010" w:rsidRDefault="00B02873" w:rsidP="00660010">
            <w:pPr>
              <w:pStyle w:val="TablebodyleftFinancialsTables"/>
              <w:rPr>
                <w:rFonts w:asciiTheme="minorHAnsi" w:hAnsiTheme="minorHAnsi" w:cstheme="minorHAnsi"/>
                <w:sz w:val="16"/>
              </w:rPr>
            </w:pPr>
            <w:r w:rsidRPr="00660010">
              <w:rPr>
                <w:rFonts w:asciiTheme="minorHAnsi" w:hAnsiTheme="minorHAnsi" w:cstheme="minorHAnsi"/>
                <w:sz w:val="16"/>
              </w:rPr>
              <w:t xml:space="preserve">Operates under s19(2) of the </w:t>
            </w:r>
            <w:r w:rsidRPr="00660010">
              <w:rPr>
                <w:rStyle w:val="LightItalic"/>
                <w:rFonts w:asciiTheme="minorHAnsi" w:hAnsiTheme="minorHAnsi" w:cstheme="minorHAnsi"/>
                <w:sz w:val="16"/>
              </w:rPr>
              <w:t>Financial Management Act 1994</w:t>
            </w:r>
            <w:r w:rsidRPr="00660010">
              <w:rPr>
                <w:rFonts w:asciiTheme="minorHAnsi" w:hAnsiTheme="minorHAnsi" w:cstheme="minorHAnsi"/>
                <w:sz w:val="16"/>
              </w:rPr>
              <w:t xml:space="preserve"> as a working account. It records the receipt and disbursement of unclaimed and unidentified monies such as unpresented cheques, surplus cash, unidentified remittances etc.</w:t>
            </w:r>
          </w:p>
        </w:tc>
        <w:tc>
          <w:tcPr>
            <w:tcW w:w="1077" w:type="dxa"/>
          </w:tcPr>
          <w:p w14:paraId="1CA21A54" w14:textId="77777777" w:rsidR="00B02873" w:rsidRPr="00660010" w:rsidRDefault="00B02873" w:rsidP="00660010">
            <w:pPr>
              <w:pStyle w:val="TablebodyleftFinancialsTables"/>
              <w:jc w:val="right"/>
              <w:rPr>
                <w:rFonts w:asciiTheme="minorHAnsi" w:hAnsiTheme="minorHAnsi" w:cstheme="minorHAnsi"/>
                <w:b/>
                <w:bCs/>
                <w:sz w:val="16"/>
              </w:rPr>
            </w:pPr>
            <w:r w:rsidRPr="00660010">
              <w:rPr>
                <w:rFonts w:asciiTheme="minorHAnsi" w:hAnsiTheme="minorHAnsi" w:cstheme="minorHAnsi"/>
                <w:b/>
                <w:bCs/>
                <w:sz w:val="16"/>
              </w:rPr>
              <w:t>1,035</w:t>
            </w:r>
          </w:p>
        </w:tc>
        <w:tc>
          <w:tcPr>
            <w:tcW w:w="1078" w:type="dxa"/>
          </w:tcPr>
          <w:p w14:paraId="11D8C729" w14:textId="77777777" w:rsidR="00B02873" w:rsidRPr="00660010" w:rsidRDefault="00B02873" w:rsidP="00660010">
            <w:pPr>
              <w:pStyle w:val="TablebodyleftFinancialsTables"/>
              <w:jc w:val="right"/>
              <w:rPr>
                <w:rFonts w:asciiTheme="minorHAnsi" w:hAnsiTheme="minorHAnsi" w:cstheme="minorHAnsi"/>
                <w:b/>
                <w:bCs/>
                <w:sz w:val="16"/>
              </w:rPr>
            </w:pPr>
            <w:r w:rsidRPr="00660010">
              <w:rPr>
                <w:rFonts w:asciiTheme="minorHAnsi" w:hAnsiTheme="minorHAnsi" w:cstheme="minorHAnsi"/>
                <w:b/>
                <w:bCs/>
                <w:sz w:val="16"/>
              </w:rPr>
              <w:t>1</w:t>
            </w:r>
          </w:p>
        </w:tc>
        <w:tc>
          <w:tcPr>
            <w:tcW w:w="1077" w:type="dxa"/>
          </w:tcPr>
          <w:p w14:paraId="445D1DAD" w14:textId="77777777" w:rsidR="00B02873" w:rsidRPr="00660010" w:rsidRDefault="00B02873" w:rsidP="00660010">
            <w:pPr>
              <w:pStyle w:val="TablebodyleftFinancialsTables"/>
              <w:jc w:val="right"/>
              <w:rPr>
                <w:rFonts w:asciiTheme="minorHAnsi" w:hAnsiTheme="minorHAnsi" w:cstheme="minorHAnsi"/>
                <w:b/>
                <w:bCs/>
                <w:sz w:val="16"/>
              </w:rPr>
            </w:pPr>
            <w:r w:rsidRPr="00660010">
              <w:rPr>
                <w:rFonts w:asciiTheme="minorHAnsi" w:hAnsiTheme="minorHAnsi" w:cstheme="minorHAnsi"/>
                <w:b/>
                <w:bCs/>
                <w:sz w:val="16"/>
              </w:rPr>
              <w:t>(663)</w:t>
            </w:r>
          </w:p>
        </w:tc>
        <w:tc>
          <w:tcPr>
            <w:tcW w:w="1077" w:type="dxa"/>
          </w:tcPr>
          <w:p w14:paraId="43484F03" w14:textId="77777777" w:rsidR="00B02873" w:rsidRPr="00660010" w:rsidRDefault="00B02873" w:rsidP="00660010">
            <w:pPr>
              <w:pStyle w:val="TablebodyleftFinancialsTables"/>
              <w:jc w:val="right"/>
              <w:rPr>
                <w:rFonts w:asciiTheme="minorHAnsi" w:hAnsiTheme="minorHAnsi" w:cstheme="minorHAnsi"/>
                <w:b/>
                <w:bCs/>
                <w:sz w:val="16"/>
              </w:rPr>
            </w:pPr>
            <w:r w:rsidRPr="00660010">
              <w:rPr>
                <w:rFonts w:asciiTheme="minorHAnsi" w:hAnsiTheme="minorHAnsi" w:cstheme="minorHAnsi"/>
                <w:b/>
                <w:bCs/>
                <w:sz w:val="16"/>
              </w:rPr>
              <w:t xml:space="preserve"> 373</w:t>
            </w:r>
          </w:p>
        </w:tc>
        <w:tc>
          <w:tcPr>
            <w:tcW w:w="1077" w:type="dxa"/>
          </w:tcPr>
          <w:p w14:paraId="480C05C6" w14:textId="77777777" w:rsidR="00B02873" w:rsidRPr="00660010" w:rsidRDefault="00B02873" w:rsidP="00660010">
            <w:pPr>
              <w:pStyle w:val="TablebodyleftFinancialsTables"/>
              <w:jc w:val="right"/>
              <w:rPr>
                <w:rFonts w:asciiTheme="minorHAnsi" w:hAnsiTheme="minorHAnsi" w:cstheme="minorHAnsi"/>
                <w:sz w:val="16"/>
              </w:rPr>
            </w:pPr>
            <w:r w:rsidRPr="00660010">
              <w:rPr>
                <w:rFonts w:asciiTheme="minorHAnsi" w:hAnsiTheme="minorHAnsi" w:cstheme="minorHAnsi"/>
                <w:sz w:val="16"/>
              </w:rPr>
              <w:t>539</w:t>
            </w:r>
          </w:p>
        </w:tc>
        <w:tc>
          <w:tcPr>
            <w:tcW w:w="1077" w:type="dxa"/>
          </w:tcPr>
          <w:p w14:paraId="1046550C" w14:textId="77777777" w:rsidR="00B02873" w:rsidRPr="00660010" w:rsidRDefault="00B02873" w:rsidP="00660010">
            <w:pPr>
              <w:pStyle w:val="TablebodyleftFinancialsTables"/>
              <w:jc w:val="right"/>
              <w:rPr>
                <w:rFonts w:asciiTheme="minorHAnsi" w:hAnsiTheme="minorHAnsi" w:cstheme="minorHAnsi"/>
                <w:sz w:val="16"/>
              </w:rPr>
            </w:pPr>
            <w:r w:rsidRPr="00660010">
              <w:rPr>
                <w:rFonts w:asciiTheme="minorHAnsi" w:hAnsiTheme="minorHAnsi" w:cstheme="minorHAnsi"/>
                <w:sz w:val="16"/>
              </w:rPr>
              <w:t>510</w:t>
            </w:r>
          </w:p>
        </w:tc>
        <w:tc>
          <w:tcPr>
            <w:tcW w:w="1077" w:type="dxa"/>
          </w:tcPr>
          <w:p w14:paraId="75397836" w14:textId="77777777" w:rsidR="00B02873" w:rsidRPr="00660010" w:rsidRDefault="00B02873" w:rsidP="00660010">
            <w:pPr>
              <w:pStyle w:val="TablebodyleftFinancialsTables"/>
              <w:jc w:val="right"/>
              <w:rPr>
                <w:rFonts w:asciiTheme="minorHAnsi" w:hAnsiTheme="minorHAnsi" w:cstheme="minorHAnsi"/>
                <w:sz w:val="16"/>
              </w:rPr>
            </w:pPr>
            <w:r w:rsidRPr="00660010">
              <w:rPr>
                <w:rFonts w:asciiTheme="minorHAnsi" w:hAnsiTheme="minorHAnsi" w:cstheme="minorHAnsi"/>
                <w:sz w:val="16"/>
              </w:rPr>
              <w:t>(14)</w:t>
            </w:r>
          </w:p>
        </w:tc>
        <w:tc>
          <w:tcPr>
            <w:tcW w:w="1078" w:type="dxa"/>
          </w:tcPr>
          <w:p w14:paraId="38C59B11" w14:textId="77777777" w:rsidR="00B02873" w:rsidRPr="00660010" w:rsidRDefault="00B02873" w:rsidP="00660010">
            <w:pPr>
              <w:pStyle w:val="TablebodyleftFinancialsTables"/>
              <w:jc w:val="right"/>
              <w:rPr>
                <w:rFonts w:asciiTheme="minorHAnsi" w:hAnsiTheme="minorHAnsi" w:cstheme="minorHAnsi"/>
                <w:sz w:val="16"/>
              </w:rPr>
            </w:pPr>
            <w:r w:rsidRPr="00660010">
              <w:rPr>
                <w:rFonts w:asciiTheme="minorHAnsi" w:hAnsiTheme="minorHAnsi" w:cstheme="minorHAnsi"/>
                <w:sz w:val="16"/>
              </w:rPr>
              <w:t>1,035</w:t>
            </w:r>
          </w:p>
        </w:tc>
      </w:tr>
      <w:tr w:rsidR="00B02873" w:rsidRPr="00660010" w14:paraId="121EA80F" w14:textId="77777777" w:rsidTr="00B57118">
        <w:trPr>
          <w:trHeight w:val="60"/>
        </w:trPr>
        <w:tc>
          <w:tcPr>
            <w:tcW w:w="5669" w:type="dxa"/>
          </w:tcPr>
          <w:p w14:paraId="515CCEC9" w14:textId="77777777" w:rsidR="00B02873" w:rsidRPr="00660010" w:rsidRDefault="00B02873" w:rsidP="00660010">
            <w:pPr>
              <w:pStyle w:val="TablebodyleftFinancialsTables"/>
              <w:rPr>
                <w:rFonts w:asciiTheme="minorHAnsi" w:hAnsiTheme="minorHAnsi" w:cstheme="minorHAnsi"/>
                <w:sz w:val="16"/>
              </w:rPr>
            </w:pPr>
            <w:r w:rsidRPr="00660010">
              <w:rPr>
                <w:rFonts w:asciiTheme="minorHAnsi" w:hAnsiTheme="minorHAnsi" w:cstheme="minorHAnsi"/>
                <w:sz w:val="16"/>
              </w:rPr>
              <w:t>Victorian Desalination Project Trust Account</w:t>
            </w:r>
          </w:p>
          <w:p w14:paraId="7075C650" w14:textId="2E0D7BF1" w:rsidR="00B02873" w:rsidRPr="00660010" w:rsidRDefault="00B02873" w:rsidP="00660010">
            <w:pPr>
              <w:pStyle w:val="TablebodyleftFinancialsTables"/>
              <w:rPr>
                <w:rFonts w:asciiTheme="minorHAnsi" w:hAnsiTheme="minorHAnsi" w:cstheme="minorHAnsi"/>
                <w:sz w:val="16"/>
              </w:rPr>
            </w:pPr>
            <w:r w:rsidRPr="00660010">
              <w:rPr>
                <w:rFonts w:asciiTheme="minorHAnsi" w:hAnsiTheme="minorHAnsi" w:cstheme="minorHAnsi"/>
                <w:sz w:val="16"/>
              </w:rPr>
              <w:t xml:space="preserve">Operates under s19(2) of the </w:t>
            </w:r>
            <w:r w:rsidRPr="00660010">
              <w:rPr>
                <w:rStyle w:val="LightItalic"/>
                <w:rFonts w:asciiTheme="minorHAnsi" w:hAnsiTheme="minorHAnsi" w:cstheme="minorHAnsi"/>
                <w:sz w:val="16"/>
              </w:rPr>
              <w:t>Financial Management Act 1994</w:t>
            </w:r>
            <w:r w:rsidRPr="00660010">
              <w:rPr>
                <w:rFonts w:asciiTheme="minorHAnsi" w:hAnsiTheme="minorHAnsi" w:cstheme="minorHAnsi"/>
                <w:sz w:val="16"/>
              </w:rPr>
              <w:t xml:space="preserve"> as a specific purpose operating account. It manages and quarantines adjustment payments to AquaSure and any associated efficiencies and savings that arise relating to water orders placed with the Victorian Desalination Plant.</w:t>
            </w:r>
          </w:p>
        </w:tc>
        <w:tc>
          <w:tcPr>
            <w:tcW w:w="1077" w:type="dxa"/>
          </w:tcPr>
          <w:p w14:paraId="7145EE56" w14:textId="77777777" w:rsidR="00B02873" w:rsidRPr="00660010" w:rsidRDefault="00B02873" w:rsidP="00660010">
            <w:pPr>
              <w:pStyle w:val="TablebodyleftFinancialsTables"/>
              <w:jc w:val="right"/>
              <w:rPr>
                <w:rFonts w:asciiTheme="minorHAnsi" w:hAnsiTheme="minorHAnsi" w:cstheme="minorHAnsi"/>
                <w:b/>
                <w:bCs/>
                <w:sz w:val="16"/>
              </w:rPr>
            </w:pPr>
            <w:r w:rsidRPr="00660010">
              <w:rPr>
                <w:rFonts w:asciiTheme="minorHAnsi" w:hAnsiTheme="minorHAnsi" w:cstheme="minorHAnsi"/>
                <w:b/>
                <w:bCs/>
                <w:sz w:val="16"/>
              </w:rPr>
              <w:t>43,578</w:t>
            </w:r>
          </w:p>
        </w:tc>
        <w:tc>
          <w:tcPr>
            <w:tcW w:w="1078" w:type="dxa"/>
          </w:tcPr>
          <w:p w14:paraId="22D53C13" w14:textId="77777777" w:rsidR="00B02873" w:rsidRPr="00660010" w:rsidRDefault="00B02873" w:rsidP="00660010">
            <w:pPr>
              <w:pStyle w:val="TablebodyleftFinancialsTables"/>
              <w:jc w:val="right"/>
              <w:rPr>
                <w:rFonts w:asciiTheme="minorHAnsi" w:hAnsiTheme="minorHAnsi" w:cstheme="minorHAnsi"/>
                <w:b/>
                <w:bCs/>
                <w:sz w:val="16"/>
              </w:rPr>
            </w:pPr>
            <w:r w:rsidRPr="00660010">
              <w:rPr>
                <w:rFonts w:asciiTheme="minorHAnsi" w:hAnsiTheme="minorHAnsi" w:cstheme="minorHAnsi"/>
                <w:b/>
                <w:bCs/>
                <w:sz w:val="16"/>
              </w:rPr>
              <w:t>137</w:t>
            </w:r>
          </w:p>
        </w:tc>
        <w:tc>
          <w:tcPr>
            <w:tcW w:w="1077" w:type="dxa"/>
          </w:tcPr>
          <w:p w14:paraId="696E6EDB" w14:textId="77777777" w:rsidR="00B02873" w:rsidRPr="00660010" w:rsidRDefault="00B02873" w:rsidP="00660010">
            <w:pPr>
              <w:pStyle w:val="TablebodyleftFinancialsTables"/>
              <w:jc w:val="right"/>
              <w:rPr>
                <w:rFonts w:asciiTheme="minorHAnsi" w:hAnsiTheme="minorHAnsi" w:cstheme="minorHAnsi"/>
                <w:b/>
                <w:bCs/>
                <w:sz w:val="16"/>
              </w:rPr>
            </w:pPr>
            <w:r w:rsidRPr="00660010">
              <w:rPr>
                <w:rFonts w:asciiTheme="minorHAnsi" w:hAnsiTheme="minorHAnsi" w:cstheme="minorHAnsi"/>
                <w:b/>
                <w:bCs/>
                <w:sz w:val="16"/>
              </w:rPr>
              <w:t>(2,931)</w:t>
            </w:r>
          </w:p>
        </w:tc>
        <w:tc>
          <w:tcPr>
            <w:tcW w:w="1077" w:type="dxa"/>
          </w:tcPr>
          <w:p w14:paraId="4C9FAC1D" w14:textId="77777777" w:rsidR="00B02873" w:rsidRPr="00660010" w:rsidRDefault="00B02873" w:rsidP="00660010">
            <w:pPr>
              <w:pStyle w:val="TablebodyleftFinancialsTables"/>
              <w:jc w:val="right"/>
              <w:rPr>
                <w:rFonts w:asciiTheme="minorHAnsi" w:hAnsiTheme="minorHAnsi" w:cstheme="minorHAnsi"/>
                <w:b/>
                <w:bCs/>
                <w:sz w:val="16"/>
              </w:rPr>
            </w:pPr>
            <w:r w:rsidRPr="00660010">
              <w:rPr>
                <w:rFonts w:asciiTheme="minorHAnsi" w:hAnsiTheme="minorHAnsi" w:cstheme="minorHAnsi"/>
                <w:b/>
                <w:bCs/>
                <w:sz w:val="16"/>
              </w:rPr>
              <w:t>40,784</w:t>
            </w:r>
          </w:p>
        </w:tc>
        <w:tc>
          <w:tcPr>
            <w:tcW w:w="1077" w:type="dxa"/>
          </w:tcPr>
          <w:p w14:paraId="249AA53C" w14:textId="77777777" w:rsidR="00B02873" w:rsidRPr="00660010" w:rsidRDefault="00B02873" w:rsidP="00660010">
            <w:pPr>
              <w:pStyle w:val="TablebodyleftFinancialsTables"/>
              <w:jc w:val="right"/>
              <w:rPr>
                <w:rFonts w:asciiTheme="minorHAnsi" w:hAnsiTheme="minorHAnsi" w:cstheme="minorHAnsi"/>
                <w:sz w:val="16"/>
              </w:rPr>
            </w:pPr>
            <w:r w:rsidRPr="00660010">
              <w:rPr>
                <w:rFonts w:asciiTheme="minorHAnsi" w:hAnsiTheme="minorHAnsi" w:cstheme="minorHAnsi"/>
                <w:sz w:val="16"/>
              </w:rPr>
              <w:t>43,436</w:t>
            </w:r>
          </w:p>
        </w:tc>
        <w:tc>
          <w:tcPr>
            <w:tcW w:w="1077" w:type="dxa"/>
          </w:tcPr>
          <w:p w14:paraId="5BC1BA53" w14:textId="77777777" w:rsidR="00B02873" w:rsidRPr="00660010" w:rsidRDefault="00B02873" w:rsidP="00660010">
            <w:pPr>
              <w:pStyle w:val="TablebodyleftFinancialsTables"/>
              <w:jc w:val="right"/>
              <w:rPr>
                <w:rFonts w:asciiTheme="minorHAnsi" w:hAnsiTheme="minorHAnsi" w:cstheme="minorHAnsi"/>
                <w:sz w:val="16"/>
              </w:rPr>
            </w:pPr>
            <w:r w:rsidRPr="00660010">
              <w:rPr>
                <w:rFonts w:asciiTheme="minorHAnsi" w:hAnsiTheme="minorHAnsi" w:cstheme="minorHAnsi"/>
                <w:sz w:val="16"/>
              </w:rPr>
              <w:t>142</w:t>
            </w:r>
          </w:p>
        </w:tc>
        <w:tc>
          <w:tcPr>
            <w:tcW w:w="1077" w:type="dxa"/>
          </w:tcPr>
          <w:p w14:paraId="3215DF97" w14:textId="77777777" w:rsidR="00B02873" w:rsidRPr="00660010" w:rsidRDefault="00B02873" w:rsidP="00660010">
            <w:pPr>
              <w:pStyle w:val="TablebodyleftFinancialsTables"/>
              <w:jc w:val="right"/>
              <w:rPr>
                <w:rFonts w:asciiTheme="minorHAnsi" w:hAnsiTheme="minorHAnsi" w:cstheme="minorHAnsi"/>
                <w:sz w:val="16"/>
              </w:rPr>
            </w:pPr>
            <w:r w:rsidRPr="00660010">
              <w:rPr>
                <w:rFonts w:asciiTheme="minorHAnsi" w:hAnsiTheme="minorHAnsi" w:cstheme="minorHAnsi"/>
                <w:sz w:val="16"/>
              </w:rPr>
              <w:t>–</w:t>
            </w:r>
          </w:p>
        </w:tc>
        <w:tc>
          <w:tcPr>
            <w:tcW w:w="1078" w:type="dxa"/>
          </w:tcPr>
          <w:p w14:paraId="0C2F6ABE" w14:textId="77777777" w:rsidR="00B02873" w:rsidRPr="00660010" w:rsidRDefault="00B02873" w:rsidP="00660010">
            <w:pPr>
              <w:pStyle w:val="TablebodyleftFinancialsTables"/>
              <w:jc w:val="right"/>
              <w:rPr>
                <w:rFonts w:asciiTheme="minorHAnsi" w:hAnsiTheme="minorHAnsi" w:cstheme="minorHAnsi"/>
                <w:sz w:val="16"/>
              </w:rPr>
            </w:pPr>
            <w:r w:rsidRPr="00660010">
              <w:rPr>
                <w:rFonts w:asciiTheme="minorHAnsi" w:hAnsiTheme="minorHAnsi" w:cstheme="minorHAnsi"/>
                <w:sz w:val="16"/>
              </w:rPr>
              <w:t>43,578</w:t>
            </w:r>
          </w:p>
        </w:tc>
      </w:tr>
      <w:tr w:rsidR="00B02873" w:rsidRPr="00660010" w14:paraId="232791F0" w14:textId="77777777" w:rsidTr="00B57118">
        <w:trPr>
          <w:trHeight w:val="60"/>
        </w:trPr>
        <w:tc>
          <w:tcPr>
            <w:tcW w:w="5669" w:type="dxa"/>
          </w:tcPr>
          <w:p w14:paraId="3D22014B" w14:textId="77777777" w:rsidR="00B02873" w:rsidRPr="00660010" w:rsidRDefault="00B02873" w:rsidP="00660010">
            <w:pPr>
              <w:pStyle w:val="TablebodyleftFinancialsTables"/>
              <w:rPr>
                <w:rFonts w:asciiTheme="minorHAnsi" w:hAnsiTheme="minorHAnsi" w:cstheme="minorHAnsi"/>
                <w:sz w:val="16"/>
              </w:rPr>
            </w:pPr>
            <w:r w:rsidRPr="00660010">
              <w:rPr>
                <w:rFonts w:asciiTheme="minorHAnsi" w:hAnsiTheme="minorHAnsi" w:cstheme="minorHAnsi"/>
                <w:sz w:val="16"/>
              </w:rPr>
              <w:t>Victorian State Foresters’ Association</w:t>
            </w:r>
          </w:p>
          <w:p w14:paraId="5C987CC6" w14:textId="77777777" w:rsidR="00B02873" w:rsidRPr="00660010" w:rsidRDefault="00B02873" w:rsidP="00660010">
            <w:pPr>
              <w:pStyle w:val="TablebodyleftFinancialsTables"/>
              <w:rPr>
                <w:rFonts w:asciiTheme="minorHAnsi" w:hAnsiTheme="minorHAnsi" w:cstheme="minorHAnsi"/>
                <w:sz w:val="16"/>
              </w:rPr>
            </w:pPr>
            <w:r w:rsidRPr="00660010">
              <w:rPr>
                <w:rFonts w:asciiTheme="minorHAnsi" w:hAnsiTheme="minorHAnsi" w:cstheme="minorHAnsi"/>
                <w:sz w:val="16"/>
              </w:rPr>
              <w:t xml:space="preserve">Operates under s19(2) of the </w:t>
            </w:r>
            <w:r w:rsidRPr="00660010">
              <w:rPr>
                <w:rStyle w:val="LightItalic"/>
                <w:rFonts w:asciiTheme="minorHAnsi" w:hAnsiTheme="minorHAnsi" w:cstheme="minorHAnsi"/>
                <w:sz w:val="16"/>
              </w:rPr>
              <w:t>Financial Management Act 1994</w:t>
            </w:r>
            <w:r w:rsidRPr="00660010">
              <w:rPr>
                <w:rFonts w:asciiTheme="minorHAnsi" w:hAnsiTheme="minorHAnsi" w:cstheme="minorHAnsi"/>
                <w:sz w:val="16"/>
              </w:rPr>
              <w:t xml:space="preserve"> as a specific purpose operating account. It manages funds for prizes, scholarships, research and private donations.</w:t>
            </w:r>
          </w:p>
        </w:tc>
        <w:tc>
          <w:tcPr>
            <w:tcW w:w="1077" w:type="dxa"/>
          </w:tcPr>
          <w:p w14:paraId="60F7B2A9" w14:textId="77777777" w:rsidR="00B02873" w:rsidRPr="00660010" w:rsidRDefault="00B02873" w:rsidP="00660010">
            <w:pPr>
              <w:pStyle w:val="TablebodyleftFinancialsTables"/>
              <w:jc w:val="right"/>
              <w:rPr>
                <w:rFonts w:asciiTheme="minorHAnsi" w:hAnsiTheme="minorHAnsi" w:cstheme="minorHAnsi"/>
                <w:b/>
                <w:bCs/>
                <w:sz w:val="16"/>
              </w:rPr>
            </w:pPr>
            <w:r w:rsidRPr="00660010">
              <w:rPr>
                <w:rFonts w:asciiTheme="minorHAnsi" w:hAnsiTheme="minorHAnsi" w:cstheme="minorHAnsi"/>
                <w:b/>
                <w:bCs/>
                <w:sz w:val="16"/>
              </w:rPr>
              <w:t>9</w:t>
            </w:r>
          </w:p>
        </w:tc>
        <w:tc>
          <w:tcPr>
            <w:tcW w:w="1078" w:type="dxa"/>
          </w:tcPr>
          <w:p w14:paraId="198DEB78" w14:textId="77777777" w:rsidR="00B02873" w:rsidRPr="00660010" w:rsidRDefault="00B02873" w:rsidP="00660010">
            <w:pPr>
              <w:pStyle w:val="TablebodyleftFinancialsTables"/>
              <w:jc w:val="right"/>
              <w:rPr>
                <w:rFonts w:asciiTheme="minorHAnsi" w:hAnsiTheme="minorHAnsi" w:cstheme="minorHAnsi"/>
                <w:b/>
                <w:bCs/>
                <w:sz w:val="16"/>
              </w:rPr>
            </w:pPr>
            <w:r w:rsidRPr="00660010">
              <w:rPr>
                <w:rFonts w:asciiTheme="minorHAnsi" w:hAnsiTheme="minorHAnsi" w:cstheme="minorHAnsi"/>
                <w:b/>
                <w:bCs/>
                <w:sz w:val="16"/>
              </w:rPr>
              <w:t>–</w:t>
            </w:r>
          </w:p>
        </w:tc>
        <w:tc>
          <w:tcPr>
            <w:tcW w:w="1077" w:type="dxa"/>
          </w:tcPr>
          <w:p w14:paraId="748F078C" w14:textId="77777777" w:rsidR="00B02873" w:rsidRPr="00660010" w:rsidRDefault="00B02873" w:rsidP="00660010">
            <w:pPr>
              <w:pStyle w:val="TablebodyleftFinancialsTables"/>
              <w:jc w:val="right"/>
              <w:rPr>
                <w:rFonts w:asciiTheme="minorHAnsi" w:hAnsiTheme="minorHAnsi" w:cstheme="minorHAnsi"/>
                <w:b/>
                <w:bCs/>
                <w:sz w:val="16"/>
              </w:rPr>
            </w:pPr>
            <w:r w:rsidRPr="00660010">
              <w:rPr>
                <w:rFonts w:asciiTheme="minorHAnsi" w:hAnsiTheme="minorHAnsi" w:cstheme="minorHAnsi"/>
                <w:b/>
                <w:bCs/>
                <w:sz w:val="16"/>
              </w:rPr>
              <w:t>–</w:t>
            </w:r>
          </w:p>
        </w:tc>
        <w:tc>
          <w:tcPr>
            <w:tcW w:w="1077" w:type="dxa"/>
          </w:tcPr>
          <w:p w14:paraId="2E218577" w14:textId="20201627" w:rsidR="00B02873" w:rsidRPr="00660010" w:rsidRDefault="00012C04" w:rsidP="00660010">
            <w:pPr>
              <w:pStyle w:val="TablebodyleftFinancialsTables"/>
              <w:jc w:val="right"/>
              <w:rPr>
                <w:rFonts w:asciiTheme="minorHAnsi" w:hAnsiTheme="minorHAnsi" w:cstheme="minorHAnsi"/>
                <w:b/>
                <w:bCs/>
                <w:sz w:val="16"/>
              </w:rPr>
            </w:pPr>
            <w:r w:rsidRPr="00660010">
              <w:rPr>
                <w:rFonts w:asciiTheme="minorHAnsi" w:hAnsiTheme="minorHAnsi" w:cstheme="minorHAnsi"/>
                <w:b/>
                <w:bCs/>
                <w:sz w:val="16"/>
              </w:rPr>
              <w:t xml:space="preserve"> </w:t>
            </w:r>
            <w:r w:rsidR="00B02873" w:rsidRPr="00660010">
              <w:rPr>
                <w:rFonts w:asciiTheme="minorHAnsi" w:hAnsiTheme="minorHAnsi" w:cstheme="minorHAnsi"/>
                <w:b/>
                <w:bCs/>
                <w:sz w:val="16"/>
              </w:rPr>
              <w:t xml:space="preserve"> 9</w:t>
            </w:r>
          </w:p>
        </w:tc>
        <w:tc>
          <w:tcPr>
            <w:tcW w:w="1077" w:type="dxa"/>
          </w:tcPr>
          <w:p w14:paraId="5709E698" w14:textId="77777777" w:rsidR="00B02873" w:rsidRPr="00660010" w:rsidRDefault="00B02873" w:rsidP="00660010">
            <w:pPr>
              <w:pStyle w:val="TablebodyleftFinancialsTables"/>
              <w:jc w:val="right"/>
              <w:rPr>
                <w:rFonts w:asciiTheme="minorHAnsi" w:hAnsiTheme="minorHAnsi" w:cstheme="minorHAnsi"/>
                <w:sz w:val="16"/>
              </w:rPr>
            </w:pPr>
            <w:r w:rsidRPr="00660010">
              <w:rPr>
                <w:rFonts w:asciiTheme="minorHAnsi" w:hAnsiTheme="minorHAnsi" w:cstheme="minorHAnsi"/>
                <w:sz w:val="16"/>
              </w:rPr>
              <w:t>9</w:t>
            </w:r>
          </w:p>
        </w:tc>
        <w:tc>
          <w:tcPr>
            <w:tcW w:w="1077" w:type="dxa"/>
          </w:tcPr>
          <w:p w14:paraId="31E0302F" w14:textId="77777777" w:rsidR="00B02873" w:rsidRPr="00660010" w:rsidRDefault="00B02873" w:rsidP="00660010">
            <w:pPr>
              <w:pStyle w:val="TablebodyleftFinancialsTables"/>
              <w:jc w:val="right"/>
              <w:rPr>
                <w:rFonts w:asciiTheme="minorHAnsi" w:hAnsiTheme="minorHAnsi" w:cstheme="minorHAnsi"/>
                <w:sz w:val="16"/>
              </w:rPr>
            </w:pPr>
            <w:r w:rsidRPr="00660010">
              <w:rPr>
                <w:rFonts w:asciiTheme="minorHAnsi" w:hAnsiTheme="minorHAnsi" w:cstheme="minorHAnsi"/>
                <w:sz w:val="16"/>
              </w:rPr>
              <w:t>–</w:t>
            </w:r>
          </w:p>
        </w:tc>
        <w:tc>
          <w:tcPr>
            <w:tcW w:w="1077" w:type="dxa"/>
          </w:tcPr>
          <w:p w14:paraId="00A5422F" w14:textId="77777777" w:rsidR="00B02873" w:rsidRPr="00660010" w:rsidRDefault="00B02873" w:rsidP="00660010">
            <w:pPr>
              <w:pStyle w:val="TablebodyleftFinancialsTables"/>
              <w:jc w:val="right"/>
              <w:rPr>
                <w:rFonts w:asciiTheme="minorHAnsi" w:hAnsiTheme="minorHAnsi" w:cstheme="minorHAnsi"/>
                <w:sz w:val="16"/>
              </w:rPr>
            </w:pPr>
            <w:r w:rsidRPr="00660010">
              <w:rPr>
                <w:rFonts w:asciiTheme="minorHAnsi" w:hAnsiTheme="minorHAnsi" w:cstheme="minorHAnsi"/>
                <w:sz w:val="16"/>
              </w:rPr>
              <w:t>–</w:t>
            </w:r>
          </w:p>
        </w:tc>
        <w:tc>
          <w:tcPr>
            <w:tcW w:w="1078" w:type="dxa"/>
          </w:tcPr>
          <w:p w14:paraId="5EE8C702" w14:textId="0888475D" w:rsidR="00B02873" w:rsidRPr="00660010" w:rsidRDefault="00012C04" w:rsidP="00660010">
            <w:pPr>
              <w:pStyle w:val="TablebodyleftFinancialsTables"/>
              <w:jc w:val="right"/>
              <w:rPr>
                <w:rFonts w:asciiTheme="minorHAnsi" w:hAnsiTheme="minorHAnsi" w:cstheme="minorHAnsi"/>
                <w:sz w:val="16"/>
              </w:rPr>
            </w:pPr>
            <w:r w:rsidRPr="00660010">
              <w:rPr>
                <w:rFonts w:asciiTheme="minorHAnsi" w:hAnsiTheme="minorHAnsi" w:cstheme="minorHAnsi"/>
                <w:sz w:val="16"/>
              </w:rPr>
              <w:t xml:space="preserve"> </w:t>
            </w:r>
            <w:r w:rsidR="00B02873" w:rsidRPr="00660010">
              <w:rPr>
                <w:rFonts w:asciiTheme="minorHAnsi" w:hAnsiTheme="minorHAnsi" w:cstheme="minorHAnsi"/>
                <w:sz w:val="16"/>
              </w:rPr>
              <w:t xml:space="preserve"> 9</w:t>
            </w:r>
          </w:p>
        </w:tc>
      </w:tr>
      <w:tr w:rsidR="00B02873" w:rsidRPr="00660010" w14:paraId="6959C111" w14:textId="77777777" w:rsidTr="00B57118">
        <w:trPr>
          <w:trHeight w:val="60"/>
        </w:trPr>
        <w:tc>
          <w:tcPr>
            <w:tcW w:w="5669" w:type="dxa"/>
          </w:tcPr>
          <w:p w14:paraId="40166CF1" w14:textId="77777777" w:rsidR="00B02873" w:rsidRPr="00660010" w:rsidRDefault="00B02873" w:rsidP="00660010">
            <w:pPr>
              <w:pStyle w:val="TablebodyleftFinancialsTables"/>
              <w:rPr>
                <w:rFonts w:asciiTheme="minorHAnsi" w:hAnsiTheme="minorHAnsi" w:cstheme="minorHAnsi"/>
                <w:b/>
                <w:bCs/>
                <w:sz w:val="16"/>
              </w:rPr>
            </w:pPr>
            <w:r w:rsidRPr="00660010">
              <w:rPr>
                <w:rFonts w:asciiTheme="minorHAnsi" w:hAnsiTheme="minorHAnsi" w:cstheme="minorHAnsi"/>
                <w:b/>
                <w:bCs/>
                <w:sz w:val="16"/>
              </w:rPr>
              <w:t>Total administered trusts</w:t>
            </w:r>
          </w:p>
        </w:tc>
        <w:tc>
          <w:tcPr>
            <w:tcW w:w="1077" w:type="dxa"/>
          </w:tcPr>
          <w:p w14:paraId="375E41B4" w14:textId="77777777" w:rsidR="00B02873" w:rsidRPr="00660010" w:rsidRDefault="00B02873" w:rsidP="00660010">
            <w:pPr>
              <w:pStyle w:val="TablebodyleftFinancialsTables"/>
              <w:jc w:val="right"/>
              <w:rPr>
                <w:rFonts w:asciiTheme="minorHAnsi" w:hAnsiTheme="minorHAnsi" w:cstheme="minorHAnsi"/>
                <w:b/>
                <w:bCs/>
                <w:sz w:val="16"/>
              </w:rPr>
            </w:pPr>
            <w:r w:rsidRPr="00660010">
              <w:rPr>
                <w:rFonts w:asciiTheme="minorHAnsi" w:hAnsiTheme="minorHAnsi" w:cstheme="minorHAnsi"/>
                <w:b/>
                <w:bCs/>
                <w:sz w:val="16"/>
              </w:rPr>
              <w:t>49,977</w:t>
            </w:r>
          </w:p>
        </w:tc>
        <w:tc>
          <w:tcPr>
            <w:tcW w:w="1078" w:type="dxa"/>
          </w:tcPr>
          <w:p w14:paraId="360B5C4D" w14:textId="77777777" w:rsidR="00B02873" w:rsidRPr="00660010" w:rsidRDefault="00B02873" w:rsidP="00660010">
            <w:pPr>
              <w:pStyle w:val="TablebodyleftFinancialsTables"/>
              <w:jc w:val="right"/>
              <w:rPr>
                <w:rFonts w:asciiTheme="minorHAnsi" w:hAnsiTheme="minorHAnsi" w:cstheme="minorHAnsi"/>
                <w:b/>
                <w:bCs/>
                <w:sz w:val="16"/>
              </w:rPr>
            </w:pPr>
            <w:r w:rsidRPr="00660010">
              <w:rPr>
                <w:rFonts w:asciiTheme="minorHAnsi" w:hAnsiTheme="minorHAnsi" w:cstheme="minorHAnsi"/>
                <w:b/>
                <w:bCs/>
                <w:sz w:val="16"/>
              </w:rPr>
              <w:t>103,273</w:t>
            </w:r>
          </w:p>
        </w:tc>
        <w:tc>
          <w:tcPr>
            <w:tcW w:w="1077" w:type="dxa"/>
          </w:tcPr>
          <w:p w14:paraId="6CE0BB81" w14:textId="77777777" w:rsidR="00B02873" w:rsidRPr="00660010" w:rsidRDefault="00B02873" w:rsidP="00660010">
            <w:pPr>
              <w:pStyle w:val="TablebodyleftFinancialsTables"/>
              <w:jc w:val="right"/>
              <w:rPr>
                <w:rFonts w:asciiTheme="minorHAnsi" w:hAnsiTheme="minorHAnsi" w:cstheme="minorHAnsi"/>
                <w:b/>
                <w:bCs/>
                <w:sz w:val="16"/>
              </w:rPr>
            </w:pPr>
            <w:r w:rsidRPr="00660010">
              <w:rPr>
                <w:rFonts w:asciiTheme="minorHAnsi" w:hAnsiTheme="minorHAnsi" w:cstheme="minorHAnsi"/>
                <w:b/>
                <w:bCs/>
                <w:sz w:val="16"/>
              </w:rPr>
              <w:t>(49,924)</w:t>
            </w:r>
          </w:p>
        </w:tc>
        <w:tc>
          <w:tcPr>
            <w:tcW w:w="1077" w:type="dxa"/>
          </w:tcPr>
          <w:p w14:paraId="04863349" w14:textId="77777777" w:rsidR="00B02873" w:rsidRPr="00660010" w:rsidRDefault="00B02873" w:rsidP="00660010">
            <w:pPr>
              <w:pStyle w:val="TablebodyleftFinancialsTables"/>
              <w:jc w:val="right"/>
              <w:rPr>
                <w:rFonts w:asciiTheme="minorHAnsi" w:hAnsiTheme="minorHAnsi" w:cstheme="minorHAnsi"/>
                <w:b/>
                <w:bCs/>
                <w:sz w:val="16"/>
              </w:rPr>
            </w:pPr>
            <w:r w:rsidRPr="00660010">
              <w:rPr>
                <w:rFonts w:asciiTheme="minorHAnsi" w:hAnsiTheme="minorHAnsi" w:cstheme="minorHAnsi"/>
                <w:b/>
                <w:bCs/>
                <w:sz w:val="16"/>
              </w:rPr>
              <w:t>103,326</w:t>
            </w:r>
          </w:p>
        </w:tc>
        <w:tc>
          <w:tcPr>
            <w:tcW w:w="1077" w:type="dxa"/>
          </w:tcPr>
          <w:p w14:paraId="2B6A2EE5" w14:textId="77777777" w:rsidR="00B02873" w:rsidRPr="00660010" w:rsidRDefault="00B02873" w:rsidP="00660010">
            <w:pPr>
              <w:pStyle w:val="TablebodyleftFinancialsTables"/>
              <w:jc w:val="right"/>
              <w:rPr>
                <w:rFonts w:asciiTheme="minorHAnsi" w:hAnsiTheme="minorHAnsi" w:cstheme="minorHAnsi"/>
                <w:sz w:val="16"/>
              </w:rPr>
            </w:pPr>
            <w:r w:rsidRPr="00660010">
              <w:rPr>
                <w:rFonts w:asciiTheme="minorHAnsi" w:hAnsiTheme="minorHAnsi" w:cstheme="minorHAnsi"/>
                <w:sz w:val="16"/>
              </w:rPr>
              <w:t>49,655</w:t>
            </w:r>
          </w:p>
        </w:tc>
        <w:tc>
          <w:tcPr>
            <w:tcW w:w="1077" w:type="dxa"/>
          </w:tcPr>
          <w:p w14:paraId="2395C396" w14:textId="77777777" w:rsidR="00B02873" w:rsidRPr="00660010" w:rsidRDefault="00B02873" w:rsidP="00660010">
            <w:pPr>
              <w:pStyle w:val="TablebodyleftFinancialsTables"/>
              <w:jc w:val="right"/>
              <w:rPr>
                <w:rFonts w:asciiTheme="minorHAnsi" w:hAnsiTheme="minorHAnsi" w:cstheme="minorHAnsi"/>
                <w:sz w:val="16"/>
              </w:rPr>
            </w:pPr>
            <w:r w:rsidRPr="00660010">
              <w:rPr>
                <w:rFonts w:asciiTheme="minorHAnsi" w:hAnsiTheme="minorHAnsi" w:cstheme="minorHAnsi"/>
                <w:sz w:val="16"/>
              </w:rPr>
              <w:t>88,013</w:t>
            </w:r>
          </w:p>
        </w:tc>
        <w:tc>
          <w:tcPr>
            <w:tcW w:w="1077" w:type="dxa"/>
          </w:tcPr>
          <w:p w14:paraId="437D1467" w14:textId="77777777" w:rsidR="00B02873" w:rsidRPr="00660010" w:rsidRDefault="00B02873" w:rsidP="00660010">
            <w:pPr>
              <w:pStyle w:val="TablebodyleftFinancialsTables"/>
              <w:jc w:val="right"/>
              <w:rPr>
                <w:rFonts w:asciiTheme="minorHAnsi" w:hAnsiTheme="minorHAnsi" w:cstheme="minorHAnsi"/>
                <w:sz w:val="16"/>
              </w:rPr>
            </w:pPr>
            <w:r w:rsidRPr="00660010">
              <w:rPr>
                <w:rFonts w:asciiTheme="minorHAnsi" w:hAnsiTheme="minorHAnsi" w:cstheme="minorHAnsi"/>
                <w:sz w:val="16"/>
              </w:rPr>
              <w:t>(87,691)</w:t>
            </w:r>
          </w:p>
        </w:tc>
        <w:tc>
          <w:tcPr>
            <w:tcW w:w="1078" w:type="dxa"/>
          </w:tcPr>
          <w:p w14:paraId="30849520" w14:textId="77777777" w:rsidR="00B02873" w:rsidRPr="00660010" w:rsidRDefault="00B02873" w:rsidP="00660010">
            <w:pPr>
              <w:pStyle w:val="TablebodyleftFinancialsTables"/>
              <w:jc w:val="right"/>
              <w:rPr>
                <w:rFonts w:asciiTheme="minorHAnsi" w:hAnsiTheme="minorHAnsi" w:cstheme="minorHAnsi"/>
                <w:sz w:val="16"/>
              </w:rPr>
            </w:pPr>
            <w:r w:rsidRPr="00660010">
              <w:rPr>
                <w:rFonts w:asciiTheme="minorHAnsi" w:hAnsiTheme="minorHAnsi" w:cstheme="minorHAnsi"/>
                <w:sz w:val="16"/>
              </w:rPr>
              <w:t>49,977</w:t>
            </w:r>
          </w:p>
        </w:tc>
      </w:tr>
    </w:tbl>
    <w:p w14:paraId="33509E37" w14:textId="77777777" w:rsidR="00B02873" w:rsidRDefault="00B02873" w:rsidP="00FE198A"/>
    <w:p w14:paraId="1DBD32C5" w14:textId="77777777" w:rsidR="00215DF0" w:rsidRPr="007B509E" w:rsidRDefault="00215DF0" w:rsidP="00B02873">
      <w:pPr>
        <w:pStyle w:val="HeadingFHeadings"/>
        <w:rPr>
          <w:rFonts w:ascii="Arial" w:hAnsi="Arial"/>
        </w:rPr>
        <w:sectPr w:rsidR="00215DF0" w:rsidRPr="007B509E" w:rsidSect="00215DF0">
          <w:pgSz w:w="16838" w:h="11906" w:orient="landscape" w:code="9"/>
          <w:pgMar w:top="1134" w:right="1134" w:bottom="1134" w:left="1134" w:header="720" w:footer="720" w:gutter="0"/>
          <w:cols w:space="720"/>
          <w:noEndnote/>
          <w:docGrid w:linePitch="299"/>
        </w:sectPr>
      </w:pPr>
    </w:p>
    <w:p w14:paraId="36D2732E" w14:textId="4A50EDBC" w:rsidR="00B02873" w:rsidRDefault="00B02873" w:rsidP="00660010">
      <w:pPr>
        <w:pStyle w:val="Heading4"/>
      </w:pPr>
      <w:r>
        <w:lastRenderedPageBreak/>
        <w:t>Trust Accounts opened or closed by the department during 2022</w:t>
      </w:r>
    </w:p>
    <w:p w14:paraId="42998553" w14:textId="77777777" w:rsidR="00B02873" w:rsidRDefault="00B02873" w:rsidP="00FE198A">
      <w:r>
        <w:t>No Trust accounts were opened during the year.</w:t>
      </w:r>
    </w:p>
    <w:p w14:paraId="169CA449" w14:textId="77777777" w:rsidR="00B02873" w:rsidRDefault="00B02873" w:rsidP="00FE198A">
      <w:r>
        <w:t>No Trust accounts were closed during the year.</w:t>
      </w:r>
    </w:p>
    <w:p w14:paraId="125743E9" w14:textId="77777777" w:rsidR="00B02873" w:rsidRDefault="00B02873" w:rsidP="00660010">
      <w:pPr>
        <w:pStyle w:val="Heading4"/>
      </w:pPr>
      <w:r>
        <w:t>Treasury trust – Victorian floods</w:t>
      </w:r>
    </w:p>
    <w:p w14:paraId="38D50EBF" w14:textId="77777777" w:rsidR="00B02873" w:rsidRDefault="00B02873" w:rsidP="00FE198A">
      <w:r>
        <w:t>The state has made funds available for the restoration of assets and public facilities damaged in floods through the Treasury Trust Fund.</w:t>
      </w:r>
    </w:p>
    <w:tbl>
      <w:tblPr>
        <w:tblStyle w:val="TableGrid"/>
        <w:tblW w:w="9638" w:type="dxa"/>
        <w:tblLayout w:type="fixed"/>
        <w:tblLook w:val="0020" w:firstRow="1" w:lastRow="0" w:firstColumn="0" w:lastColumn="0" w:noHBand="0" w:noVBand="0"/>
      </w:tblPr>
      <w:tblGrid>
        <w:gridCol w:w="7257"/>
        <w:gridCol w:w="1190"/>
        <w:gridCol w:w="1191"/>
      </w:tblGrid>
      <w:tr w:rsidR="00B02873" w:rsidRPr="00B02873" w14:paraId="2B0F9E5B" w14:textId="77777777" w:rsidTr="00506E7B">
        <w:trPr>
          <w:cnfStyle w:val="100000000000" w:firstRow="1" w:lastRow="0" w:firstColumn="0" w:lastColumn="0" w:oddVBand="0" w:evenVBand="0" w:oddHBand="0" w:evenHBand="0" w:firstRowFirstColumn="0" w:firstRowLastColumn="0" w:lastRowFirstColumn="0" w:lastRowLastColumn="0"/>
          <w:trHeight w:val="60"/>
        </w:trPr>
        <w:tc>
          <w:tcPr>
            <w:tcW w:w="7257" w:type="dxa"/>
          </w:tcPr>
          <w:p w14:paraId="60A38BB4" w14:textId="77777777" w:rsidR="00B02873" w:rsidRPr="00B02873" w:rsidRDefault="00B02873" w:rsidP="00506E7B">
            <w:pPr>
              <w:pStyle w:val="TableheadingleftFinancialsTables"/>
            </w:pPr>
          </w:p>
        </w:tc>
        <w:tc>
          <w:tcPr>
            <w:tcW w:w="1190" w:type="dxa"/>
          </w:tcPr>
          <w:p w14:paraId="7D335BD1" w14:textId="77777777" w:rsidR="00B02873" w:rsidRPr="00506E7B" w:rsidRDefault="00B02873" w:rsidP="00506E7B">
            <w:pPr>
              <w:pStyle w:val="TableheadingleftFinancialsTables"/>
              <w:jc w:val="right"/>
            </w:pPr>
            <w:r w:rsidRPr="00506E7B">
              <w:t>2022</w:t>
            </w:r>
            <w:r w:rsidRPr="00506E7B">
              <w:br/>
              <w:t>$’000</w:t>
            </w:r>
          </w:p>
        </w:tc>
        <w:tc>
          <w:tcPr>
            <w:tcW w:w="1191" w:type="dxa"/>
          </w:tcPr>
          <w:p w14:paraId="3656628D" w14:textId="77777777" w:rsidR="00B02873" w:rsidRDefault="00B02873" w:rsidP="00506E7B">
            <w:pPr>
              <w:pStyle w:val="TableheadingleftFinancialsTables"/>
              <w:jc w:val="right"/>
            </w:pPr>
            <w:r>
              <w:t>2021</w:t>
            </w:r>
            <w:r>
              <w:br/>
              <w:t>$’000</w:t>
            </w:r>
          </w:p>
        </w:tc>
      </w:tr>
      <w:tr w:rsidR="00B02873" w:rsidRPr="00B02873" w14:paraId="6CEEC283" w14:textId="77777777" w:rsidTr="00506E7B">
        <w:trPr>
          <w:trHeight w:val="60"/>
        </w:trPr>
        <w:tc>
          <w:tcPr>
            <w:tcW w:w="7257" w:type="dxa"/>
          </w:tcPr>
          <w:p w14:paraId="113AC873" w14:textId="77777777" w:rsidR="00B02873" w:rsidRPr="00506E7B" w:rsidRDefault="00B02873" w:rsidP="00506E7B">
            <w:pPr>
              <w:pStyle w:val="TablebodyleftFinancialsTables"/>
              <w:rPr>
                <w:b/>
                <w:bCs/>
              </w:rPr>
            </w:pPr>
            <w:r w:rsidRPr="00506E7B">
              <w:rPr>
                <w:b/>
                <w:bCs/>
              </w:rPr>
              <w:t>Treasury trust – Victorian floods</w:t>
            </w:r>
          </w:p>
        </w:tc>
        <w:tc>
          <w:tcPr>
            <w:tcW w:w="1190" w:type="dxa"/>
          </w:tcPr>
          <w:p w14:paraId="1728B0E2" w14:textId="77777777" w:rsidR="00B02873" w:rsidRPr="00506E7B" w:rsidRDefault="00B02873" w:rsidP="00506E7B">
            <w:pPr>
              <w:pStyle w:val="TablebodyleftFinancialsTables"/>
              <w:jc w:val="right"/>
              <w:rPr>
                <w:rFonts w:ascii="VIC Bold Italic" w:hAnsi="VIC Bold Italic" w:cs="Times New Roman"/>
                <w:b/>
                <w:bCs/>
              </w:rPr>
            </w:pPr>
          </w:p>
        </w:tc>
        <w:tc>
          <w:tcPr>
            <w:tcW w:w="1191" w:type="dxa"/>
          </w:tcPr>
          <w:p w14:paraId="0F167E0F" w14:textId="77777777" w:rsidR="00B02873" w:rsidRPr="00B02873" w:rsidRDefault="00B02873" w:rsidP="00506E7B">
            <w:pPr>
              <w:pStyle w:val="TablebodyleftFinancialsTables"/>
              <w:jc w:val="right"/>
              <w:rPr>
                <w:rFonts w:ascii="VIC Bold Italic" w:hAnsi="VIC Bold Italic" w:cs="Times New Roman"/>
              </w:rPr>
            </w:pPr>
          </w:p>
        </w:tc>
      </w:tr>
      <w:tr w:rsidR="00B02873" w:rsidRPr="00B02873" w14:paraId="14B92634" w14:textId="77777777" w:rsidTr="00506E7B">
        <w:trPr>
          <w:trHeight w:val="60"/>
        </w:trPr>
        <w:tc>
          <w:tcPr>
            <w:tcW w:w="7257" w:type="dxa"/>
          </w:tcPr>
          <w:p w14:paraId="1EA91D38" w14:textId="77777777" w:rsidR="00B02873" w:rsidRDefault="00B02873" w:rsidP="00506E7B">
            <w:pPr>
              <w:pStyle w:val="TablebodyleftFinancialsTables"/>
            </w:pPr>
            <w:r>
              <w:t>Cash at bank at 30 June</w:t>
            </w:r>
          </w:p>
        </w:tc>
        <w:tc>
          <w:tcPr>
            <w:tcW w:w="1190" w:type="dxa"/>
          </w:tcPr>
          <w:p w14:paraId="58D2AA1C" w14:textId="77777777" w:rsidR="00B02873" w:rsidRPr="00506E7B" w:rsidRDefault="00B02873" w:rsidP="00506E7B">
            <w:pPr>
              <w:pStyle w:val="TablebodyleftFinancialsTables"/>
              <w:jc w:val="right"/>
              <w:rPr>
                <w:b/>
                <w:bCs/>
              </w:rPr>
            </w:pPr>
            <w:r w:rsidRPr="00506E7B">
              <w:rPr>
                <w:b/>
                <w:bCs/>
              </w:rPr>
              <w:t>1,297</w:t>
            </w:r>
          </w:p>
        </w:tc>
        <w:tc>
          <w:tcPr>
            <w:tcW w:w="1191" w:type="dxa"/>
          </w:tcPr>
          <w:p w14:paraId="24D4D9ED" w14:textId="77777777" w:rsidR="00B02873" w:rsidRDefault="00B02873" w:rsidP="00506E7B">
            <w:pPr>
              <w:pStyle w:val="TablebodyleftFinancialsTables"/>
              <w:jc w:val="right"/>
            </w:pPr>
            <w:r>
              <w:t>2,053</w:t>
            </w:r>
          </w:p>
        </w:tc>
      </w:tr>
      <w:tr w:rsidR="00B02873" w:rsidRPr="00B02873" w14:paraId="7E366FE7" w14:textId="77777777" w:rsidTr="00506E7B">
        <w:trPr>
          <w:trHeight w:val="60"/>
        </w:trPr>
        <w:tc>
          <w:tcPr>
            <w:tcW w:w="7257" w:type="dxa"/>
          </w:tcPr>
          <w:p w14:paraId="1DFB48D9" w14:textId="77777777" w:rsidR="00B02873" w:rsidRPr="00506E7B" w:rsidRDefault="00B02873" w:rsidP="00506E7B">
            <w:pPr>
              <w:pStyle w:val="TablebodyleftFinancialsTables"/>
              <w:rPr>
                <w:b/>
                <w:bCs/>
              </w:rPr>
            </w:pPr>
            <w:r w:rsidRPr="00506E7B">
              <w:rPr>
                <w:b/>
                <w:bCs/>
              </w:rPr>
              <w:t>Total funds under management</w:t>
            </w:r>
          </w:p>
        </w:tc>
        <w:tc>
          <w:tcPr>
            <w:tcW w:w="1190" w:type="dxa"/>
          </w:tcPr>
          <w:p w14:paraId="4C2669E6" w14:textId="77777777" w:rsidR="00B02873" w:rsidRPr="00506E7B" w:rsidRDefault="00B02873" w:rsidP="00506E7B">
            <w:pPr>
              <w:pStyle w:val="TablebodyleftFinancialsTables"/>
              <w:jc w:val="right"/>
              <w:rPr>
                <w:b/>
                <w:bCs/>
              </w:rPr>
            </w:pPr>
            <w:r w:rsidRPr="00506E7B">
              <w:rPr>
                <w:b/>
                <w:bCs/>
              </w:rPr>
              <w:t>1,297</w:t>
            </w:r>
          </w:p>
        </w:tc>
        <w:tc>
          <w:tcPr>
            <w:tcW w:w="1191" w:type="dxa"/>
          </w:tcPr>
          <w:p w14:paraId="78B977D0" w14:textId="77777777" w:rsidR="00B02873" w:rsidRDefault="00B02873" w:rsidP="00506E7B">
            <w:pPr>
              <w:pStyle w:val="TablebodyleftFinancialsTables"/>
              <w:jc w:val="right"/>
            </w:pPr>
            <w:r>
              <w:t>2,053</w:t>
            </w:r>
          </w:p>
        </w:tc>
      </w:tr>
      <w:tr w:rsidR="00B02873" w:rsidRPr="00B02873" w14:paraId="0D84B61B" w14:textId="77777777" w:rsidTr="00506E7B">
        <w:trPr>
          <w:trHeight w:val="60"/>
        </w:trPr>
        <w:tc>
          <w:tcPr>
            <w:tcW w:w="7257" w:type="dxa"/>
          </w:tcPr>
          <w:p w14:paraId="5112129D" w14:textId="77777777" w:rsidR="00B02873" w:rsidRPr="00506E7B" w:rsidRDefault="00B02873" w:rsidP="00506E7B">
            <w:pPr>
              <w:pStyle w:val="TablebodyleftFinancialsTables"/>
              <w:rPr>
                <w:b/>
                <w:bCs/>
              </w:rPr>
            </w:pPr>
            <w:r w:rsidRPr="00506E7B">
              <w:rPr>
                <w:b/>
                <w:bCs/>
              </w:rPr>
              <w:t>Treasury trust – Victorian floods</w:t>
            </w:r>
          </w:p>
        </w:tc>
        <w:tc>
          <w:tcPr>
            <w:tcW w:w="1190" w:type="dxa"/>
          </w:tcPr>
          <w:p w14:paraId="3D60FE82" w14:textId="77777777" w:rsidR="00B02873" w:rsidRPr="00506E7B" w:rsidRDefault="00B02873" w:rsidP="00506E7B">
            <w:pPr>
              <w:pStyle w:val="TablebodyleftFinancialsTables"/>
              <w:jc w:val="right"/>
              <w:rPr>
                <w:rFonts w:ascii="VIC Bold Italic" w:hAnsi="VIC Bold Italic" w:cs="Times New Roman"/>
                <w:b/>
                <w:bCs/>
              </w:rPr>
            </w:pPr>
          </w:p>
        </w:tc>
        <w:tc>
          <w:tcPr>
            <w:tcW w:w="1191" w:type="dxa"/>
          </w:tcPr>
          <w:p w14:paraId="4D10832A" w14:textId="77777777" w:rsidR="00B02873" w:rsidRPr="00B02873" w:rsidRDefault="00B02873" w:rsidP="00506E7B">
            <w:pPr>
              <w:pStyle w:val="TablebodyleftFinancialsTables"/>
              <w:jc w:val="right"/>
              <w:rPr>
                <w:rFonts w:ascii="VIC Bold Italic" w:hAnsi="VIC Bold Italic" w:cs="Times New Roman"/>
              </w:rPr>
            </w:pPr>
          </w:p>
        </w:tc>
      </w:tr>
      <w:tr w:rsidR="00B02873" w:rsidRPr="00B02873" w14:paraId="66BCA096" w14:textId="77777777" w:rsidTr="00506E7B">
        <w:trPr>
          <w:trHeight w:val="60"/>
        </w:trPr>
        <w:tc>
          <w:tcPr>
            <w:tcW w:w="7257" w:type="dxa"/>
          </w:tcPr>
          <w:p w14:paraId="374AE71A" w14:textId="77777777" w:rsidR="00B02873" w:rsidRPr="00506E7B" w:rsidRDefault="00B02873" w:rsidP="00506E7B">
            <w:pPr>
              <w:pStyle w:val="TablebodyleftFinancialsTables"/>
              <w:rPr>
                <w:b/>
                <w:bCs/>
              </w:rPr>
            </w:pPr>
            <w:r w:rsidRPr="00506E7B">
              <w:rPr>
                <w:b/>
                <w:bCs/>
              </w:rPr>
              <w:t>Opening balance</w:t>
            </w:r>
          </w:p>
        </w:tc>
        <w:tc>
          <w:tcPr>
            <w:tcW w:w="1190" w:type="dxa"/>
          </w:tcPr>
          <w:p w14:paraId="4F909A40" w14:textId="77777777" w:rsidR="00B02873" w:rsidRPr="00506E7B" w:rsidRDefault="00B02873" w:rsidP="00506E7B">
            <w:pPr>
              <w:pStyle w:val="TablebodyleftFinancialsTables"/>
              <w:jc w:val="right"/>
              <w:rPr>
                <w:b/>
                <w:bCs/>
              </w:rPr>
            </w:pPr>
            <w:r w:rsidRPr="00506E7B">
              <w:rPr>
                <w:b/>
                <w:bCs/>
              </w:rPr>
              <w:t>2,053</w:t>
            </w:r>
          </w:p>
        </w:tc>
        <w:tc>
          <w:tcPr>
            <w:tcW w:w="1191" w:type="dxa"/>
          </w:tcPr>
          <w:p w14:paraId="797A5FDD" w14:textId="77777777" w:rsidR="00B02873" w:rsidRDefault="00B02873" w:rsidP="00506E7B">
            <w:pPr>
              <w:pStyle w:val="TablebodyleftFinancialsTables"/>
              <w:jc w:val="right"/>
            </w:pPr>
            <w:r>
              <w:t>2,113</w:t>
            </w:r>
          </w:p>
        </w:tc>
      </w:tr>
      <w:tr w:rsidR="00B02873" w:rsidRPr="00B02873" w14:paraId="3F356844" w14:textId="77777777" w:rsidTr="00506E7B">
        <w:trPr>
          <w:trHeight w:val="60"/>
        </w:trPr>
        <w:tc>
          <w:tcPr>
            <w:tcW w:w="7257" w:type="dxa"/>
          </w:tcPr>
          <w:p w14:paraId="6D698BB5" w14:textId="77777777" w:rsidR="00B02873" w:rsidRDefault="00B02873" w:rsidP="00506E7B">
            <w:pPr>
              <w:pStyle w:val="TablebodyleftFinancialsTables"/>
            </w:pPr>
            <w:r>
              <w:t>Other contributions</w:t>
            </w:r>
          </w:p>
        </w:tc>
        <w:tc>
          <w:tcPr>
            <w:tcW w:w="1190" w:type="dxa"/>
          </w:tcPr>
          <w:p w14:paraId="05218A34" w14:textId="77777777" w:rsidR="00B02873" w:rsidRPr="00506E7B" w:rsidRDefault="00B02873" w:rsidP="00506E7B">
            <w:pPr>
              <w:pStyle w:val="TablebodyleftFinancialsTables"/>
              <w:jc w:val="right"/>
              <w:rPr>
                <w:b/>
                <w:bCs/>
              </w:rPr>
            </w:pPr>
            <w:r w:rsidRPr="00506E7B">
              <w:rPr>
                <w:b/>
                <w:bCs/>
              </w:rPr>
              <w:t>–</w:t>
            </w:r>
          </w:p>
        </w:tc>
        <w:tc>
          <w:tcPr>
            <w:tcW w:w="1191" w:type="dxa"/>
          </w:tcPr>
          <w:p w14:paraId="72BFB2A5" w14:textId="77777777" w:rsidR="00B02873" w:rsidRDefault="00B02873" w:rsidP="00506E7B">
            <w:pPr>
              <w:pStyle w:val="TablebodyleftFinancialsTables"/>
              <w:jc w:val="right"/>
            </w:pPr>
            <w:r>
              <w:t>–</w:t>
            </w:r>
          </w:p>
        </w:tc>
      </w:tr>
      <w:tr w:rsidR="00B02873" w:rsidRPr="00B02873" w14:paraId="38829959" w14:textId="77777777" w:rsidTr="00506E7B">
        <w:trPr>
          <w:trHeight w:val="60"/>
        </w:trPr>
        <w:tc>
          <w:tcPr>
            <w:tcW w:w="7257" w:type="dxa"/>
          </w:tcPr>
          <w:p w14:paraId="7EEDCA26" w14:textId="77777777" w:rsidR="00B02873" w:rsidRPr="00506E7B" w:rsidRDefault="00B02873" w:rsidP="00506E7B">
            <w:pPr>
              <w:pStyle w:val="TablebodyleftFinancialsTables"/>
              <w:rPr>
                <w:b/>
                <w:bCs/>
              </w:rPr>
            </w:pPr>
            <w:r w:rsidRPr="00506E7B">
              <w:rPr>
                <w:b/>
                <w:bCs/>
              </w:rPr>
              <w:t>Total receipts</w:t>
            </w:r>
          </w:p>
        </w:tc>
        <w:tc>
          <w:tcPr>
            <w:tcW w:w="1190" w:type="dxa"/>
          </w:tcPr>
          <w:p w14:paraId="0370FEA8" w14:textId="77777777" w:rsidR="00B02873" w:rsidRPr="00506E7B" w:rsidRDefault="00B02873" w:rsidP="00506E7B">
            <w:pPr>
              <w:pStyle w:val="TablebodyleftFinancialsTables"/>
              <w:jc w:val="right"/>
              <w:rPr>
                <w:b/>
                <w:bCs/>
              </w:rPr>
            </w:pPr>
            <w:r w:rsidRPr="00506E7B">
              <w:rPr>
                <w:b/>
                <w:bCs/>
              </w:rPr>
              <w:t>–</w:t>
            </w:r>
          </w:p>
        </w:tc>
        <w:tc>
          <w:tcPr>
            <w:tcW w:w="1191" w:type="dxa"/>
          </w:tcPr>
          <w:p w14:paraId="20E62769" w14:textId="77777777" w:rsidR="00B02873" w:rsidRDefault="00B02873" w:rsidP="00506E7B">
            <w:pPr>
              <w:pStyle w:val="TablebodyleftFinancialsTables"/>
              <w:jc w:val="right"/>
            </w:pPr>
            <w:r>
              <w:t>–</w:t>
            </w:r>
          </w:p>
        </w:tc>
      </w:tr>
      <w:tr w:rsidR="00B02873" w:rsidRPr="00B02873" w14:paraId="69DC363B" w14:textId="77777777" w:rsidTr="00506E7B">
        <w:trPr>
          <w:trHeight w:val="60"/>
        </w:trPr>
        <w:tc>
          <w:tcPr>
            <w:tcW w:w="7257" w:type="dxa"/>
          </w:tcPr>
          <w:p w14:paraId="0541B9A3" w14:textId="77777777" w:rsidR="00B02873" w:rsidRDefault="00B02873" w:rsidP="00506E7B">
            <w:pPr>
              <w:pStyle w:val="TablebodyleftFinancialsTables"/>
            </w:pPr>
            <w:r>
              <w:t>Payments to portfolio agencies</w:t>
            </w:r>
          </w:p>
        </w:tc>
        <w:tc>
          <w:tcPr>
            <w:tcW w:w="1190" w:type="dxa"/>
          </w:tcPr>
          <w:p w14:paraId="457B4E93" w14:textId="77777777" w:rsidR="00B02873" w:rsidRPr="00506E7B" w:rsidRDefault="00B02873" w:rsidP="00506E7B">
            <w:pPr>
              <w:pStyle w:val="TablebodyleftFinancialsTables"/>
              <w:jc w:val="right"/>
              <w:rPr>
                <w:b/>
                <w:bCs/>
              </w:rPr>
            </w:pPr>
            <w:r w:rsidRPr="00506E7B">
              <w:rPr>
                <w:b/>
                <w:bCs/>
              </w:rPr>
              <w:t>708</w:t>
            </w:r>
          </w:p>
        </w:tc>
        <w:tc>
          <w:tcPr>
            <w:tcW w:w="1191" w:type="dxa"/>
          </w:tcPr>
          <w:p w14:paraId="26822543" w14:textId="77777777" w:rsidR="00B02873" w:rsidRDefault="00B02873" w:rsidP="00506E7B">
            <w:pPr>
              <w:pStyle w:val="TablebodyleftFinancialsTables"/>
              <w:jc w:val="right"/>
            </w:pPr>
            <w:r>
              <w:t>–</w:t>
            </w:r>
          </w:p>
        </w:tc>
      </w:tr>
      <w:tr w:rsidR="00B02873" w:rsidRPr="00B02873" w14:paraId="0EBFE7DC" w14:textId="77777777" w:rsidTr="00506E7B">
        <w:trPr>
          <w:trHeight w:val="60"/>
        </w:trPr>
        <w:tc>
          <w:tcPr>
            <w:tcW w:w="7257" w:type="dxa"/>
          </w:tcPr>
          <w:p w14:paraId="40196CCB" w14:textId="77777777" w:rsidR="00B02873" w:rsidRDefault="00B02873" w:rsidP="00506E7B">
            <w:pPr>
              <w:pStyle w:val="TablebodyleftFinancialsTables"/>
            </w:pPr>
            <w:r>
              <w:t>Other payments</w:t>
            </w:r>
          </w:p>
        </w:tc>
        <w:tc>
          <w:tcPr>
            <w:tcW w:w="1190" w:type="dxa"/>
          </w:tcPr>
          <w:p w14:paraId="2A6F8F26" w14:textId="77777777" w:rsidR="00B02873" w:rsidRPr="00506E7B" w:rsidRDefault="00B02873" w:rsidP="00506E7B">
            <w:pPr>
              <w:pStyle w:val="TablebodyleftFinancialsTables"/>
              <w:jc w:val="right"/>
              <w:rPr>
                <w:b/>
                <w:bCs/>
              </w:rPr>
            </w:pPr>
            <w:r w:rsidRPr="00506E7B">
              <w:rPr>
                <w:b/>
                <w:bCs/>
              </w:rPr>
              <w:t>48</w:t>
            </w:r>
          </w:p>
        </w:tc>
        <w:tc>
          <w:tcPr>
            <w:tcW w:w="1191" w:type="dxa"/>
          </w:tcPr>
          <w:p w14:paraId="14D371C2" w14:textId="77777777" w:rsidR="00B02873" w:rsidRDefault="00B02873" w:rsidP="00506E7B">
            <w:pPr>
              <w:pStyle w:val="TablebodyleftFinancialsTables"/>
              <w:jc w:val="right"/>
            </w:pPr>
            <w:r>
              <w:t>60</w:t>
            </w:r>
          </w:p>
        </w:tc>
      </w:tr>
      <w:tr w:rsidR="00B02873" w:rsidRPr="00B02873" w14:paraId="4A9A6BDA" w14:textId="77777777" w:rsidTr="00506E7B">
        <w:trPr>
          <w:trHeight w:val="60"/>
        </w:trPr>
        <w:tc>
          <w:tcPr>
            <w:tcW w:w="7257" w:type="dxa"/>
          </w:tcPr>
          <w:p w14:paraId="732EA83A" w14:textId="77777777" w:rsidR="00B02873" w:rsidRPr="00506E7B" w:rsidRDefault="00B02873" w:rsidP="00506E7B">
            <w:pPr>
              <w:pStyle w:val="TablebodyleftFinancialsTables"/>
              <w:rPr>
                <w:b/>
                <w:bCs/>
              </w:rPr>
            </w:pPr>
            <w:r w:rsidRPr="00506E7B">
              <w:rPr>
                <w:b/>
                <w:bCs/>
              </w:rPr>
              <w:t>Total payments</w:t>
            </w:r>
          </w:p>
        </w:tc>
        <w:tc>
          <w:tcPr>
            <w:tcW w:w="1190" w:type="dxa"/>
          </w:tcPr>
          <w:p w14:paraId="5FF8B9F2" w14:textId="254566B2" w:rsidR="00B02873" w:rsidRPr="00506E7B" w:rsidRDefault="00B02873" w:rsidP="00506E7B">
            <w:pPr>
              <w:pStyle w:val="TablebodyleftFinancialsTables"/>
              <w:jc w:val="right"/>
              <w:rPr>
                <w:b/>
                <w:bCs/>
              </w:rPr>
            </w:pPr>
            <w:r w:rsidRPr="00506E7B">
              <w:rPr>
                <w:b/>
                <w:bCs/>
              </w:rPr>
              <w:t>756</w:t>
            </w:r>
          </w:p>
        </w:tc>
        <w:tc>
          <w:tcPr>
            <w:tcW w:w="1191" w:type="dxa"/>
          </w:tcPr>
          <w:p w14:paraId="640262F0" w14:textId="77777777" w:rsidR="00B02873" w:rsidRDefault="00B02873" w:rsidP="00506E7B">
            <w:pPr>
              <w:pStyle w:val="TablebodyleftFinancialsTables"/>
              <w:jc w:val="right"/>
            </w:pPr>
            <w:r>
              <w:t>60</w:t>
            </w:r>
          </w:p>
        </w:tc>
      </w:tr>
      <w:tr w:rsidR="00B02873" w:rsidRPr="00B02873" w14:paraId="7EBEC178" w14:textId="77777777" w:rsidTr="00506E7B">
        <w:trPr>
          <w:trHeight w:val="60"/>
        </w:trPr>
        <w:tc>
          <w:tcPr>
            <w:tcW w:w="7257" w:type="dxa"/>
          </w:tcPr>
          <w:p w14:paraId="21285BCB" w14:textId="77777777" w:rsidR="00B02873" w:rsidRPr="00506E7B" w:rsidRDefault="00B02873" w:rsidP="00506E7B">
            <w:pPr>
              <w:pStyle w:val="TablebodyleftFinancialsTables"/>
              <w:rPr>
                <w:b/>
                <w:bCs/>
              </w:rPr>
            </w:pPr>
            <w:r w:rsidRPr="00506E7B">
              <w:rPr>
                <w:b/>
                <w:bCs/>
              </w:rPr>
              <w:t>Cash at bank 30 June</w:t>
            </w:r>
          </w:p>
        </w:tc>
        <w:tc>
          <w:tcPr>
            <w:tcW w:w="1190" w:type="dxa"/>
          </w:tcPr>
          <w:p w14:paraId="24564D2B" w14:textId="77777777" w:rsidR="00B02873" w:rsidRPr="00506E7B" w:rsidRDefault="00B02873" w:rsidP="00506E7B">
            <w:pPr>
              <w:pStyle w:val="TablebodyleftFinancialsTables"/>
              <w:jc w:val="right"/>
              <w:rPr>
                <w:b/>
                <w:bCs/>
              </w:rPr>
            </w:pPr>
            <w:r w:rsidRPr="00506E7B">
              <w:rPr>
                <w:b/>
                <w:bCs/>
              </w:rPr>
              <w:t>1,297</w:t>
            </w:r>
          </w:p>
        </w:tc>
        <w:tc>
          <w:tcPr>
            <w:tcW w:w="1191" w:type="dxa"/>
          </w:tcPr>
          <w:p w14:paraId="1DDB3CF8" w14:textId="77777777" w:rsidR="00B02873" w:rsidRDefault="00B02873" w:rsidP="00506E7B">
            <w:pPr>
              <w:pStyle w:val="TablebodyleftFinancialsTables"/>
              <w:jc w:val="right"/>
            </w:pPr>
            <w:r>
              <w:t>2,053</w:t>
            </w:r>
          </w:p>
        </w:tc>
      </w:tr>
    </w:tbl>
    <w:p w14:paraId="77110E74" w14:textId="77777777" w:rsidR="00B02873" w:rsidRDefault="00B02873" w:rsidP="00FE198A"/>
    <w:p w14:paraId="64646DB4" w14:textId="77777777" w:rsidR="00B02873" w:rsidRDefault="00B02873" w:rsidP="00506E7B">
      <w:pPr>
        <w:pStyle w:val="Heading4"/>
      </w:pPr>
      <w:r>
        <w:t>Third party funds under management</w:t>
      </w:r>
    </w:p>
    <w:p w14:paraId="7BD16C14" w14:textId="77777777" w:rsidR="00B02873" w:rsidRDefault="00B02873" w:rsidP="00FE198A">
      <w:r>
        <w:t>No third party funds were held under management for either 2021–22 or 2020–21.</w:t>
      </w:r>
    </w:p>
    <w:p w14:paraId="2C2C255E" w14:textId="77777777" w:rsidR="00B02873" w:rsidRDefault="00B02873" w:rsidP="00506E7B">
      <w:pPr>
        <w:pStyle w:val="Heading3"/>
      </w:pPr>
      <w:r>
        <w:t>7.5 Commitments for expenditure</w:t>
      </w:r>
    </w:p>
    <w:p w14:paraId="34A2426B" w14:textId="77777777" w:rsidR="00B02873" w:rsidRDefault="00B02873" w:rsidP="00FE198A">
      <w:r>
        <w:t>Commitments for future expenditure include operating and capital commitments arising from contracts.</w:t>
      </w:r>
    </w:p>
    <w:p w14:paraId="4FDAD059" w14:textId="77777777" w:rsidR="00B02873" w:rsidRDefault="00B02873" w:rsidP="00FE198A">
      <w:r>
        <w:t>Operating commitments represents future expenditure arising from contracts and include commitments for future good and services. Capital commitments represents future expenditure arising from contracts and include construction of buildings, roads, structures and software and the purchase of plant, equipment and intangible assets.</w:t>
      </w:r>
    </w:p>
    <w:p w14:paraId="1877B921" w14:textId="77777777" w:rsidR="00B02873" w:rsidRDefault="00B02873" w:rsidP="00FE198A">
      <w:r>
        <w:t>The department’s lease commitment relates to short-term leases (with lease term equal or less than 12 months) and low value leases (with asset value equal or less than $10,000) on various plant and equipment.</w:t>
      </w:r>
    </w:p>
    <w:p w14:paraId="4405F5D0" w14:textId="77777777" w:rsidR="00B02873" w:rsidRDefault="00B02873" w:rsidP="00FE198A">
      <w:r>
        <w:t>These commitments are recorded below at nominal value and inclusive of GST. Where it is considered appropriate and provides additional relevant information to users, the net present values of significant individual projects are stated.</w:t>
      </w:r>
    </w:p>
    <w:p w14:paraId="33B409B3" w14:textId="77777777" w:rsidR="00B02873" w:rsidRDefault="00B02873" w:rsidP="00FE198A">
      <w:r>
        <w:t xml:space="preserve">These future expenditures cease to be disclosed as commitments once the related liabilities are recognised in the balance sheet. </w:t>
      </w:r>
    </w:p>
    <w:tbl>
      <w:tblPr>
        <w:tblStyle w:val="TableGrid"/>
        <w:tblW w:w="0" w:type="auto"/>
        <w:tblLayout w:type="fixed"/>
        <w:tblLook w:val="0020" w:firstRow="1" w:lastRow="0" w:firstColumn="0" w:lastColumn="0" w:noHBand="0" w:noVBand="0"/>
      </w:tblPr>
      <w:tblGrid>
        <w:gridCol w:w="7257"/>
        <w:gridCol w:w="1190"/>
        <w:gridCol w:w="1191"/>
      </w:tblGrid>
      <w:tr w:rsidR="00B02873" w:rsidRPr="00B02873" w14:paraId="10E5FE07" w14:textId="77777777" w:rsidTr="009540CE">
        <w:trPr>
          <w:cnfStyle w:val="100000000000" w:firstRow="1" w:lastRow="0" w:firstColumn="0" w:lastColumn="0" w:oddVBand="0" w:evenVBand="0" w:oddHBand="0" w:evenHBand="0" w:firstRowFirstColumn="0" w:firstRowLastColumn="0" w:lastRowFirstColumn="0" w:lastRowLastColumn="0"/>
          <w:trHeight w:val="60"/>
        </w:trPr>
        <w:tc>
          <w:tcPr>
            <w:tcW w:w="7257" w:type="dxa"/>
          </w:tcPr>
          <w:p w14:paraId="1CE4E967" w14:textId="77777777" w:rsidR="00B02873" w:rsidRPr="00B02873" w:rsidRDefault="00B02873" w:rsidP="009540CE">
            <w:pPr>
              <w:pStyle w:val="TableheadingleftFinancialsTables"/>
            </w:pPr>
          </w:p>
        </w:tc>
        <w:tc>
          <w:tcPr>
            <w:tcW w:w="1190" w:type="dxa"/>
          </w:tcPr>
          <w:p w14:paraId="14DAD1F0" w14:textId="77777777" w:rsidR="00B02873" w:rsidRPr="009540CE" w:rsidRDefault="00B02873" w:rsidP="009540CE">
            <w:pPr>
              <w:pStyle w:val="TableheadingleftFinancialsTables"/>
              <w:jc w:val="right"/>
            </w:pPr>
            <w:r w:rsidRPr="009540CE">
              <w:t>2022</w:t>
            </w:r>
            <w:r w:rsidRPr="009540CE">
              <w:br/>
              <w:t>$’000</w:t>
            </w:r>
          </w:p>
        </w:tc>
        <w:tc>
          <w:tcPr>
            <w:tcW w:w="1191" w:type="dxa"/>
          </w:tcPr>
          <w:p w14:paraId="29B49C89" w14:textId="77777777" w:rsidR="00B02873" w:rsidRDefault="00B02873" w:rsidP="009540CE">
            <w:pPr>
              <w:pStyle w:val="TableheadingleftFinancialsTables"/>
              <w:jc w:val="right"/>
            </w:pPr>
            <w:r>
              <w:t>2021</w:t>
            </w:r>
            <w:r>
              <w:br/>
              <w:t>$’000</w:t>
            </w:r>
          </w:p>
        </w:tc>
      </w:tr>
      <w:tr w:rsidR="00B02873" w:rsidRPr="00B02873" w14:paraId="3A70324F" w14:textId="77777777" w:rsidTr="009540CE">
        <w:trPr>
          <w:trHeight w:val="60"/>
        </w:trPr>
        <w:tc>
          <w:tcPr>
            <w:tcW w:w="7257" w:type="dxa"/>
          </w:tcPr>
          <w:p w14:paraId="624F063E" w14:textId="77777777" w:rsidR="00B02873" w:rsidRPr="009540CE" w:rsidRDefault="00B02873" w:rsidP="009540CE">
            <w:pPr>
              <w:pStyle w:val="TablebodyleftFinancialsTables"/>
              <w:rPr>
                <w:b/>
                <w:bCs/>
              </w:rPr>
            </w:pPr>
            <w:r w:rsidRPr="009540CE">
              <w:rPr>
                <w:b/>
                <w:bCs/>
              </w:rPr>
              <w:t>Operating commitments payable</w:t>
            </w:r>
          </w:p>
        </w:tc>
        <w:tc>
          <w:tcPr>
            <w:tcW w:w="1190" w:type="dxa"/>
          </w:tcPr>
          <w:p w14:paraId="0CAF5F1B" w14:textId="77777777" w:rsidR="00B02873" w:rsidRPr="009540CE" w:rsidRDefault="00B02873" w:rsidP="009540CE">
            <w:pPr>
              <w:pStyle w:val="TablebodyleftFinancialsTables"/>
              <w:jc w:val="right"/>
              <w:rPr>
                <w:rFonts w:ascii="VIC Bold Italic" w:hAnsi="VIC Bold Italic" w:cs="Times New Roman"/>
                <w:b/>
                <w:bCs/>
              </w:rPr>
            </w:pPr>
          </w:p>
        </w:tc>
        <w:tc>
          <w:tcPr>
            <w:tcW w:w="1191" w:type="dxa"/>
          </w:tcPr>
          <w:p w14:paraId="3EE03579" w14:textId="77777777" w:rsidR="00B02873" w:rsidRPr="00B02873" w:rsidRDefault="00B02873" w:rsidP="009540CE">
            <w:pPr>
              <w:pStyle w:val="TablebodyleftFinancialsTables"/>
              <w:jc w:val="right"/>
              <w:rPr>
                <w:rFonts w:ascii="VIC Bold Italic" w:hAnsi="VIC Bold Italic" w:cs="Times New Roman"/>
              </w:rPr>
            </w:pPr>
          </w:p>
        </w:tc>
      </w:tr>
      <w:tr w:rsidR="00B02873" w:rsidRPr="00B02873" w14:paraId="7DF91D74" w14:textId="77777777" w:rsidTr="009540CE">
        <w:trPr>
          <w:trHeight w:val="60"/>
        </w:trPr>
        <w:tc>
          <w:tcPr>
            <w:tcW w:w="7257" w:type="dxa"/>
          </w:tcPr>
          <w:p w14:paraId="7D46C1E2" w14:textId="77777777" w:rsidR="00B02873" w:rsidRDefault="00B02873" w:rsidP="009540CE">
            <w:pPr>
              <w:pStyle w:val="TablebodyleftFinancialsTables"/>
            </w:pPr>
            <w:r>
              <w:t>Not later than one year</w:t>
            </w:r>
          </w:p>
        </w:tc>
        <w:tc>
          <w:tcPr>
            <w:tcW w:w="1190" w:type="dxa"/>
          </w:tcPr>
          <w:p w14:paraId="1E88FC5B" w14:textId="77777777" w:rsidR="00B02873" w:rsidRPr="009540CE" w:rsidRDefault="00B02873" w:rsidP="009540CE">
            <w:pPr>
              <w:pStyle w:val="TablebodyleftFinancialsTables"/>
              <w:jc w:val="right"/>
              <w:rPr>
                <w:b/>
                <w:bCs/>
              </w:rPr>
            </w:pPr>
            <w:r w:rsidRPr="009540CE">
              <w:rPr>
                <w:b/>
                <w:bCs/>
              </w:rPr>
              <w:t>117,604</w:t>
            </w:r>
          </w:p>
        </w:tc>
        <w:tc>
          <w:tcPr>
            <w:tcW w:w="1191" w:type="dxa"/>
          </w:tcPr>
          <w:p w14:paraId="0845EF47" w14:textId="77777777" w:rsidR="00B02873" w:rsidRDefault="00B02873" w:rsidP="009540CE">
            <w:pPr>
              <w:pStyle w:val="TablebodyleftFinancialsTables"/>
              <w:jc w:val="right"/>
            </w:pPr>
            <w:r>
              <w:t>117,451</w:t>
            </w:r>
          </w:p>
        </w:tc>
      </w:tr>
      <w:tr w:rsidR="00B02873" w:rsidRPr="00B02873" w14:paraId="1CB821F9" w14:textId="77777777" w:rsidTr="009540CE">
        <w:trPr>
          <w:trHeight w:val="60"/>
        </w:trPr>
        <w:tc>
          <w:tcPr>
            <w:tcW w:w="7257" w:type="dxa"/>
          </w:tcPr>
          <w:p w14:paraId="58EBE0DA" w14:textId="77777777" w:rsidR="00B02873" w:rsidRDefault="00B02873" w:rsidP="009540CE">
            <w:pPr>
              <w:pStyle w:val="TablebodyleftFinancialsTables"/>
            </w:pPr>
            <w:r>
              <w:t>Later than one year but no later than five years</w:t>
            </w:r>
          </w:p>
        </w:tc>
        <w:tc>
          <w:tcPr>
            <w:tcW w:w="1190" w:type="dxa"/>
          </w:tcPr>
          <w:p w14:paraId="6C1DF2D2" w14:textId="77777777" w:rsidR="00B02873" w:rsidRPr="009540CE" w:rsidRDefault="00B02873" w:rsidP="009540CE">
            <w:pPr>
              <w:pStyle w:val="TablebodyleftFinancialsTables"/>
              <w:jc w:val="right"/>
              <w:rPr>
                <w:b/>
                <w:bCs/>
              </w:rPr>
            </w:pPr>
            <w:r w:rsidRPr="009540CE">
              <w:rPr>
                <w:b/>
                <w:bCs/>
              </w:rPr>
              <w:t>130,612</w:t>
            </w:r>
          </w:p>
        </w:tc>
        <w:tc>
          <w:tcPr>
            <w:tcW w:w="1191" w:type="dxa"/>
          </w:tcPr>
          <w:p w14:paraId="53F94425" w14:textId="77777777" w:rsidR="00B02873" w:rsidRDefault="00B02873" w:rsidP="009540CE">
            <w:pPr>
              <w:pStyle w:val="TablebodyleftFinancialsTables"/>
              <w:jc w:val="right"/>
            </w:pPr>
            <w:r>
              <w:t>74,261</w:t>
            </w:r>
          </w:p>
        </w:tc>
      </w:tr>
      <w:tr w:rsidR="00B02873" w:rsidRPr="00B02873" w14:paraId="32AE8149" w14:textId="77777777" w:rsidTr="009540CE">
        <w:trPr>
          <w:trHeight w:val="60"/>
        </w:trPr>
        <w:tc>
          <w:tcPr>
            <w:tcW w:w="7257" w:type="dxa"/>
          </w:tcPr>
          <w:p w14:paraId="5EFC21D3" w14:textId="77777777" w:rsidR="00B02873" w:rsidRDefault="00B02873" w:rsidP="009540CE">
            <w:pPr>
              <w:pStyle w:val="TablebodyleftFinancialsTables"/>
            </w:pPr>
            <w:r>
              <w:t>Later than five years</w:t>
            </w:r>
          </w:p>
        </w:tc>
        <w:tc>
          <w:tcPr>
            <w:tcW w:w="1190" w:type="dxa"/>
          </w:tcPr>
          <w:p w14:paraId="09AA89BA" w14:textId="77777777" w:rsidR="00B02873" w:rsidRPr="009540CE" w:rsidRDefault="00B02873" w:rsidP="009540CE">
            <w:pPr>
              <w:pStyle w:val="TablebodyleftFinancialsTables"/>
              <w:jc w:val="right"/>
              <w:rPr>
                <w:b/>
                <w:bCs/>
              </w:rPr>
            </w:pPr>
            <w:r w:rsidRPr="009540CE">
              <w:rPr>
                <w:b/>
                <w:bCs/>
              </w:rPr>
              <w:t>86</w:t>
            </w:r>
          </w:p>
        </w:tc>
        <w:tc>
          <w:tcPr>
            <w:tcW w:w="1191" w:type="dxa"/>
          </w:tcPr>
          <w:p w14:paraId="6E725186" w14:textId="77777777" w:rsidR="00B02873" w:rsidRDefault="00B02873" w:rsidP="009540CE">
            <w:pPr>
              <w:pStyle w:val="TablebodyleftFinancialsTables"/>
              <w:jc w:val="right"/>
            </w:pPr>
            <w:r>
              <w:t>6,966</w:t>
            </w:r>
          </w:p>
        </w:tc>
      </w:tr>
      <w:tr w:rsidR="00B02873" w:rsidRPr="00B02873" w14:paraId="62999B32" w14:textId="77777777" w:rsidTr="009540CE">
        <w:trPr>
          <w:trHeight w:val="60"/>
        </w:trPr>
        <w:tc>
          <w:tcPr>
            <w:tcW w:w="7257" w:type="dxa"/>
          </w:tcPr>
          <w:p w14:paraId="6BA28DE1" w14:textId="77777777" w:rsidR="00B02873" w:rsidRPr="009540CE" w:rsidRDefault="00B02873" w:rsidP="009540CE">
            <w:pPr>
              <w:pStyle w:val="TablebodyleftFinancialsTables"/>
              <w:rPr>
                <w:b/>
                <w:bCs/>
              </w:rPr>
            </w:pPr>
            <w:r w:rsidRPr="009540CE">
              <w:rPr>
                <w:b/>
                <w:bCs/>
              </w:rPr>
              <w:t>Total operating commitments</w:t>
            </w:r>
          </w:p>
        </w:tc>
        <w:tc>
          <w:tcPr>
            <w:tcW w:w="1190" w:type="dxa"/>
          </w:tcPr>
          <w:p w14:paraId="5629F210" w14:textId="77777777" w:rsidR="00B02873" w:rsidRPr="009540CE" w:rsidRDefault="00B02873" w:rsidP="009540CE">
            <w:pPr>
              <w:pStyle w:val="TablebodyleftFinancialsTables"/>
              <w:jc w:val="right"/>
              <w:rPr>
                <w:b/>
                <w:bCs/>
              </w:rPr>
            </w:pPr>
            <w:r w:rsidRPr="009540CE">
              <w:rPr>
                <w:b/>
                <w:bCs/>
              </w:rPr>
              <w:t>248,302</w:t>
            </w:r>
          </w:p>
        </w:tc>
        <w:tc>
          <w:tcPr>
            <w:tcW w:w="1191" w:type="dxa"/>
          </w:tcPr>
          <w:p w14:paraId="22383D6F" w14:textId="77777777" w:rsidR="00B02873" w:rsidRDefault="00B02873" w:rsidP="009540CE">
            <w:pPr>
              <w:pStyle w:val="TablebodyleftFinancialsTables"/>
              <w:jc w:val="right"/>
            </w:pPr>
            <w:r>
              <w:t>198,678</w:t>
            </w:r>
          </w:p>
        </w:tc>
      </w:tr>
      <w:tr w:rsidR="00B02873" w:rsidRPr="00B02873" w14:paraId="29E827FD" w14:textId="77777777" w:rsidTr="009540CE">
        <w:trPr>
          <w:trHeight w:val="60"/>
        </w:trPr>
        <w:tc>
          <w:tcPr>
            <w:tcW w:w="7257" w:type="dxa"/>
          </w:tcPr>
          <w:p w14:paraId="39E3BF21" w14:textId="77777777" w:rsidR="00B02873" w:rsidRPr="009540CE" w:rsidRDefault="00B02873" w:rsidP="009540CE">
            <w:pPr>
              <w:pStyle w:val="TablebodyleftFinancialsTables"/>
              <w:rPr>
                <w:b/>
                <w:bCs/>
              </w:rPr>
            </w:pPr>
            <w:r w:rsidRPr="009540CE">
              <w:rPr>
                <w:b/>
                <w:bCs/>
              </w:rPr>
              <w:t>Lease and accommodation commitments payable</w:t>
            </w:r>
          </w:p>
        </w:tc>
        <w:tc>
          <w:tcPr>
            <w:tcW w:w="1190" w:type="dxa"/>
          </w:tcPr>
          <w:p w14:paraId="71283964" w14:textId="77777777" w:rsidR="00B02873" w:rsidRPr="009540CE" w:rsidRDefault="00B02873" w:rsidP="009540CE">
            <w:pPr>
              <w:pStyle w:val="TablebodyleftFinancialsTables"/>
              <w:jc w:val="right"/>
              <w:rPr>
                <w:rFonts w:ascii="VIC Bold Italic" w:hAnsi="VIC Bold Italic" w:cs="Times New Roman"/>
                <w:b/>
                <w:bCs/>
              </w:rPr>
            </w:pPr>
          </w:p>
        </w:tc>
        <w:tc>
          <w:tcPr>
            <w:tcW w:w="1191" w:type="dxa"/>
          </w:tcPr>
          <w:p w14:paraId="2F2E9A74" w14:textId="77777777" w:rsidR="00B02873" w:rsidRPr="00B02873" w:rsidRDefault="00B02873" w:rsidP="009540CE">
            <w:pPr>
              <w:pStyle w:val="TablebodyleftFinancialsTables"/>
              <w:jc w:val="right"/>
              <w:rPr>
                <w:rFonts w:ascii="VIC Bold Italic" w:hAnsi="VIC Bold Italic" w:cs="Times New Roman"/>
              </w:rPr>
            </w:pPr>
          </w:p>
        </w:tc>
      </w:tr>
      <w:tr w:rsidR="00B02873" w:rsidRPr="00B02873" w14:paraId="73FE8818" w14:textId="77777777" w:rsidTr="009540CE">
        <w:trPr>
          <w:trHeight w:val="60"/>
        </w:trPr>
        <w:tc>
          <w:tcPr>
            <w:tcW w:w="7257" w:type="dxa"/>
          </w:tcPr>
          <w:p w14:paraId="4A52D234" w14:textId="77777777" w:rsidR="00B02873" w:rsidRDefault="00B02873" w:rsidP="009540CE">
            <w:pPr>
              <w:pStyle w:val="TablebodyleftFinancialsTables"/>
            </w:pPr>
            <w:r>
              <w:t>Not later than one year</w:t>
            </w:r>
          </w:p>
        </w:tc>
        <w:tc>
          <w:tcPr>
            <w:tcW w:w="1190" w:type="dxa"/>
          </w:tcPr>
          <w:p w14:paraId="6656DEB1" w14:textId="77777777" w:rsidR="00B02873" w:rsidRPr="009540CE" w:rsidRDefault="00B02873" w:rsidP="009540CE">
            <w:pPr>
              <w:pStyle w:val="TablebodyleftFinancialsTables"/>
              <w:jc w:val="right"/>
              <w:rPr>
                <w:b/>
                <w:bCs/>
              </w:rPr>
            </w:pPr>
            <w:r w:rsidRPr="009540CE">
              <w:rPr>
                <w:b/>
                <w:bCs/>
              </w:rPr>
              <w:t>34,251</w:t>
            </w:r>
          </w:p>
        </w:tc>
        <w:tc>
          <w:tcPr>
            <w:tcW w:w="1191" w:type="dxa"/>
          </w:tcPr>
          <w:p w14:paraId="2DAA2948" w14:textId="77777777" w:rsidR="00B02873" w:rsidRDefault="00B02873" w:rsidP="009540CE">
            <w:pPr>
              <w:pStyle w:val="TablebodyleftFinancialsTables"/>
              <w:jc w:val="right"/>
            </w:pPr>
            <w:r>
              <w:t>10,899</w:t>
            </w:r>
          </w:p>
        </w:tc>
      </w:tr>
      <w:tr w:rsidR="00B02873" w:rsidRPr="00B02873" w14:paraId="50A37B3C" w14:textId="77777777" w:rsidTr="009540CE">
        <w:trPr>
          <w:trHeight w:val="60"/>
        </w:trPr>
        <w:tc>
          <w:tcPr>
            <w:tcW w:w="7257" w:type="dxa"/>
          </w:tcPr>
          <w:p w14:paraId="06B7F1DD" w14:textId="77777777" w:rsidR="00B02873" w:rsidRDefault="00B02873" w:rsidP="009540CE">
            <w:pPr>
              <w:pStyle w:val="TablebodyleftFinancialsTables"/>
            </w:pPr>
            <w:r>
              <w:t>Later than one year but no later than five years</w:t>
            </w:r>
          </w:p>
        </w:tc>
        <w:tc>
          <w:tcPr>
            <w:tcW w:w="1190" w:type="dxa"/>
          </w:tcPr>
          <w:p w14:paraId="59C6698D" w14:textId="77777777" w:rsidR="00B02873" w:rsidRPr="009540CE" w:rsidRDefault="00B02873" w:rsidP="009540CE">
            <w:pPr>
              <w:pStyle w:val="TablebodyleftFinancialsTables"/>
              <w:jc w:val="right"/>
              <w:rPr>
                <w:b/>
                <w:bCs/>
              </w:rPr>
            </w:pPr>
            <w:r w:rsidRPr="009540CE">
              <w:rPr>
                <w:b/>
                <w:bCs/>
              </w:rPr>
              <w:t>–</w:t>
            </w:r>
          </w:p>
        </w:tc>
        <w:tc>
          <w:tcPr>
            <w:tcW w:w="1191" w:type="dxa"/>
          </w:tcPr>
          <w:p w14:paraId="2BCC1DE4" w14:textId="77777777" w:rsidR="00B02873" w:rsidRDefault="00B02873" w:rsidP="009540CE">
            <w:pPr>
              <w:pStyle w:val="TablebodyleftFinancialsTables"/>
              <w:jc w:val="right"/>
            </w:pPr>
            <w:r>
              <w:t>–</w:t>
            </w:r>
          </w:p>
        </w:tc>
      </w:tr>
      <w:tr w:rsidR="00B02873" w:rsidRPr="00B02873" w14:paraId="782BCFAD" w14:textId="77777777" w:rsidTr="009540CE">
        <w:trPr>
          <w:trHeight w:val="60"/>
        </w:trPr>
        <w:tc>
          <w:tcPr>
            <w:tcW w:w="7257" w:type="dxa"/>
          </w:tcPr>
          <w:p w14:paraId="2ABB8A9C" w14:textId="77777777" w:rsidR="00B02873" w:rsidRDefault="00B02873" w:rsidP="009540CE">
            <w:pPr>
              <w:pStyle w:val="TablebodyleftFinancialsTables"/>
            </w:pPr>
            <w:r>
              <w:t>Later than five years</w:t>
            </w:r>
          </w:p>
        </w:tc>
        <w:tc>
          <w:tcPr>
            <w:tcW w:w="1190" w:type="dxa"/>
          </w:tcPr>
          <w:p w14:paraId="77C14608" w14:textId="77777777" w:rsidR="00B02873" w:rsidRPr="009540CE" w:rsidRDefault="00B02873" w:rsidP="009540CE">
            <w:pPr>
              <w:pStyle w:val="TablebodyleftFinancialsTables"/>
              <w:jc w:val="right"/>
              <w:rPr>
                <w:b/>
                <w:bCs/>
              </w:rPr>
            </w:pPr>
            <w:r w:rsidRPr="009540CE">
              <w:rPr>
                <w:b/>
                <w:bCs/>
              </w:rPr>
              <w:t>–</w:t>
            </w:r>
          </w:p>
        </w:tc>
        <w:tc>
          <w:tcPr>
            <w:tcW w:w="1191" w:type="dxa"/>
          </w:tcPr>
          <w:p w14:paraId="4CA8860F" w14:textId="77777777" w:rsidR="00B02873" w:rsidRDefault="00B02873" w:rsidP="009540CE">
            <w:pPr>
              <w:pStyle w:val="TablebodyleftFinancialsTables"/>
              <w:jc w:val="right"/>
            </w:pPr>
            <w:r>
              <w:t>–</w:t>
            </w:r>
          </w:p>
        </w:tc>
      </w:tr>
      <w:tr w:rsidR="00B02873" w:rsidRPr="00B02873" w14:paraId="1A6BD539" w14:textId="77777777" w:rsidTr="009540CE">
        <w:trPr>
          <w:trHeight w:val="60"/>
        </w:trPr>
        <w:tc>
          <w:tcPr>
            <w:tcW w:w="7257" w:type="dxa"/>
          </w:tcPr>
          <w:p w14:paraId="43CB2512" w14:textId="77777777" w:rsidR="00B02873" w:rsidRPr="009540CE" w:rsidRDefault="00B02873" w:rsidP="009540CE">
            <w:pPr>
              <w:pStyle w:val="TablebodyleftFinancialsTables"/>
              <w:rPr>
                <w:b/>
                <w:bCs/>
              </w:rPr>
            </w:pPr>
            <w:r w:rsidRPr="009540CE">
              <w:rPr>
                <w:b/>
                <w:bCs/>
              </w:rPr>
              <w:t xml:space="preserve">Total lease commitments </w:t>
            </w:r>
          </w:p>
        </w:tc>
        <w:tc>
          <w:tcPr>
            <w:tcW w:w="1190" w:type="dxa"/>
          </w:tcPr>
          <w:p w14:paraId="6359FBE1" w14:textId="77777777" w:rsidR="00B02873" w:rsidRPr="009540CE" w:rsidRDefault="00B02873" w:rsidP="009540CE">
            <w:pPr>
              <w:pStyle w:val="TablebodyleftFinancialsTables"/>
              <w:jc w:val="right"/>
              <w:rPr>
                <w:b/>
                <w:bCs/>
              </w:rPr>
            </w:pPr>
            <w:r w:rsidRPr="009540CE">
              <w:rPr>
                <w:b/>
                <w:bCs/>
              </w:rPr>
              <w:t>34,251</w:t>
            </w:r>
          </w:p>
        </w:tc>
        <w:tc>
          <w:tcPr>
            <w:tcW w:w="1191" w:type="dxa"/>
          </w:tcPr>
          <w:p w14:paraId="0E20C680" w14:textId="77777777" w:rsidR="00B02873" w:rsidRDefault="00B02873" w:rsidP="009540CE">
            <w:pPr>
              <w:pStyle w:val="TablebodyleftFinancialsTables"/>
              <w:jc w:val="right"/>
            </w:pPr>
            <w:r>
              <w:t>10,899</w:t>
            </w:r>
          </w:p>
        </w:tc>
      </w:tr>
      <w:tr w:rsidR="00B02873" w:rsidRPr="00B02873" w14:paraId="4F4193A1" w14:textId="77777777" w:rsidTr="009540CE">
        <w:trPr>
          <w:trHeight w:val="60"/>
        </w:trPr>
        <w:tc>
          <w:tcPr>
            <w:tcW w:w="7257" w:type="dxa"/>
          </w:tcPr>
          <w:p w14:paraId="35DFB271" w14:textId="77777777" w:rsidR="00B02873" w:rsidRPr="009540CE" w:rsidRDefault="00B02873" w:rsidP="009540CE">
            <w:pPr>
              <w:pStyle w:val="TablebodyleftFinancialsTables"/>
              <w:rPr>
                <w:b/>
                <w:bCs/>
              </w:rPr>
            </w:pPr>
            <w:r w:rsidRPr="009540CE">
              <w:rPr>
                <w:b/>
                <w:bCs/>
              </w:rPr>
              <w:t>Capital expenditure commitments payable</w:t>
            </w:r>
          </w:p>
        </w:tc>
        <w:tc>
          <w:tcPr>
            <w:tcW w:w="1190" w:type="dxa"/>
          </w:tcPr>
          <w:p w14:paraId="61CD5E82" w14:textId="77777777" w:rsidR="00B02873" w:rsidRPr="009540CE" w:rsidRDefault="00B02873" w:rsidP="009540CE">
            <w:pPr>
              <w:pStyle w:val="TablebodyleftFinancialsTables"/>
              <w:jc w:val="right"/>
              <w:rPr>
                <w:rFonts w:ascii="VIC Bold Italic" w:hAnsi="VIC Bold Italic" w:cs="Times New Roman"/>
                <w:b/>
                <w:bCs/>
              </w:rPr>
            </w:pPr>
          </w:p>
        </w:tc>
        <w:tc>
          <w:tcPr>
            <w:tcW w:w="1191" w:type="dxa"/>
          </w:tcPr>
          <w:p w14:paraId="1EAF89AE" w14:textId="77777777" w:rsidR="00B02873" w:rsidRPr="00B02873" w:rsidRDefault="00B02873" w:rsidP="009540CE">
            <w:pPr>
              <w:pStyle w:val="TablebodyleftFinancialsTables"/>
              <w:jc w:val="right"/>
              <w:rPr>
                <w:rFonts w:ascii="VIC Bold Italic" w:hAnsi="VIC Bold Italic" w:cs="Times New Roman"/>
              </w:rPr>
            </w:pPr>
          </w:p>
        </w:tc>
      </w:tr>
      <w:tr w:rsidR="00B02873" w:rsidRPr="00B02873" w14:paraId="40A45680" w14:textId="77777777" w:rsidTr="009540CE">
        <w:trPr>
          <w:trHeight w:val="60"/>
        </w:trPr>
        <w:tc>
          <w:tcPr>
            <w:tcW w:w="7257" w:type="dxa"/>
          </w:tcPr>
          <w:p w14:paraId="21C962E7" w14:textId="77777777" w:rsidR="00B02873" w:rsidRDefault="00B02873" w:rsidP="009540CE">
            <w:pPr>
              <w:pStyle w:val="TablebodyleftFinancialsTables"/>
            </w:pPr>
            <w:r>
              <w:t>Not later than one year</w:t>
            </w:r>
          </w:p>
        </w:tc>
        <w:tc>
          <w:tcPr>
            <w:tcW w:w="1190" w:type="dxa"/>
          </w:tcPr>
          <w:p w14:paraId="45E40279" w14:textId="77777777" w:rsidR="00B02873" w:rsidRPr="009540CE" w:rsidRDefault="00B02873" w:rsidP="009540CE">
            <w:pPr>
              <w:pStyle w:val="TablebodyleftFinancialsTables"/>
              <w:jc w:val="right"/>
              <w:rPr>
                <w:b/>
                <w:bCs/>
              </w:rPr>
            </w:pPr>
            <w:r w:rsidRPr="009540CE">
              <w:rPr>
                <w:b/>
                <w:bCs/>
              </w:rPr>
              <w:t>51,561</w:t>
            </w:r>
          </w:p>
        </w:tc>
        <w:tc>
          <w:tcPr>
            <w:tcW w:w="1191" w:type="dxa"/>
          </w:tcPr>
          <w:p w14:paraId="573FAB88" w14:textId="77777777" w:rsidR="00B02873" w:rsidRDefault="00B02873" w:rsidP="009540CE">
            <w:pPr>
              <w:pStyle w:val="TablebodyleftFinancialsTables"/>
              <w:jc w:val="right"/>
            </w:pPr>
            <w:r>
              <w:t>31,523</w:t>
            </w:r>
          </w:p>
        </w:tc>
      </w:tr>
      <w:tr w:rsidR="00B02873" w:rsidRPr="00B02873" w14:paraId="0ACA24A1" w14:textId="77777777" w:rsidTr="009540CE">
        <w:trPr>
          <w:trHeight w:val="60"/>
        </w:trPr>
        <w:tc>
          <w:tcPr>
            <w:tcW w:w="7257" w:type="dxa"/>
          </w:tcPr>
          <w:p w14:paraId="7B973B06" w14:textId="77777777" w:rsidR="00B02873" w:rsidRDefault="00B02873" w:rsidP="009540CE">
            <w:pPr>
              <w:pStyle w:val="TablebodyleftFinancialsTables"/>
            </w:pPr>
            <w:r>
              <w:t>Later than one year but no later than five years</w:t>
            </w:r>
          </w:p>
        </w:tc>
        <w:tc>
          <w:tcPr>
            <w:tcW w:w="1190" w:type="dxa"/>
          </w:tcPr>
          <w:p w14:paraId="73C03CCD" w14:textId="77777777" w:rsidR="00B02873" w:rsidRPr="009540CE" w:rsidRDefault="00B02873" w:rsidP="009540CE">
            <w:pPr>
              <w:pStyle w:val="TablebodyleftFinancialsTables"/>
              <w:jc w:val="right"/>
              <w:rPr>
                <w:b/>
                <w:bCs/>
              </w:rPr>
            </w:pPr>
            <w:r w:rsidRPr="009540CE">
              <w:rPr>
                <w:b/>
                <w:bCs/>
              </w:rPr>
              <w:t>35,637</w:t>
            </w:r>
          </w:p>
        </w:tc>
        <w:tc>
          <w:tcPr>
            <w:tcW w:w="1191" w:type="dxa"/>
          </w:tcPr>
          <w:p w14:paraId="30E98CC5" w14:textId="77777777" w:rsidR="00B02873" w:rsidRDefault="00B02873" w:rsidP="009540CE">
            <w:pPr>
              <w:pStyle w:val="TablebodyleftFinancialsTables"/>
              <w:jc w:val="right"/>
            </w:pPr>
            <w:r>
              <w:t>67,513</w:t>
            </w:r>
          </w:p>
        </w:tc>
      </w:tr>
      <w:tr w:rsidR="00B02873" w:rsidRPr="00B02873" w14:paraId="4F55E66E" w14:textId="77777777" w:rsidTr="009540CE">
        <w:trPr>
          <w:trHeight w:val="60"/>
        </w:trPr>
        <w:tc>
          <w:tcPr>
            <w:tcW w:w="7257" w:type="dxa"/>
          </w:tcPr>
          <w:p w14:paraId="07EBFDC6" w14:textId="77777777" w:rsidR="00B02873" w:rsidRDefault="00B02873" w:rsidP="009540CE">
            <w:pPr>
              <w:pStyle w:val="TablebodyleftFinancialsTables"/>
            </w:pPr>
            <w:r>
              <w:t>Later than five years</w:t>
            </w:r>
          </w:p>
        </w:tc>
        <w:tc>
          <w:tcPr>
            <w:tcW w:w="1190" w:type="dxa"/>
          </w:tcPr>
          <w:p w14:paraId="03733AC6" w14:textId="77777777" w:rsidR="00B02873" w:rsidRPr="009540CE" w:rsidRDefault="00B02873" w:rsidP="009540CE">
            <w:pPr>
              <w:pStyle w:val="TablebodyleftFinancialsTables"/>
              <w:jc w:val="right"/>
              <w:rPr>
                <w:b/>
                <w:bCs/>
              </w:rPr>
            </w:pPr>
            <w:r w:rsidRPr="009540CE">
              <w:rPr>
                <w:b/>
                <w:bCs/>
              </w:rPr>
              <w:t>–</w:t>
            </w:r>
          </w:p>
        </w:tc>
        <w:tc>
          <w:tcPr>
            <w:tcW w:w="1191" w:type="dxa"/>
          </w:tcPr>
          <w:p w14:paraId="76A266FD" w14:textId="77777777" w:rsidR="00B02873" w:rsidRDefault="00B02873" w:rsidP="009540CE">
            <w:pPr>
              <w:pStyle w:val="TablebodyleftFinancialsTables"/>
              <w:jc w:val="right"/>
            </w:pPr>
            <w:r>
              <w:t>73,531</w:t>
            </w:r>
          </w:p>
        </w:tc>
      </w:tr>
      <w:tr w:rsidR="00B02873" w:rsidRPr="00B02873" w14:paraId="2D7D4E7F" w14:textId="77777777" w:rsidTr="009540CE">
        <w:trPr>
          <w:trHeight w:val="60"/>
        </w:trPr>
        <w:tc>
          <w:tcPr>
            <w:tcW w:w="7257" w:type="dxa"/>
          </w:tcPr>
          <w:p w14:paraId="2D75E0CE" w14:textId="77777777" w:rsidR="00B02873" w:rsidRPr="009540CE" w:rsidRDefault="00B02873" w:rsidP="009540CE">
            <w:pPr>
              <w:pStyle w:val="TablebodyleftFinancialsTables"/>
              <w:rPr>
                <w:b/>
                <w:bCs/>
              </w:rPr>
            </w:pPr>
            <w:r w:rsidRPr="009540CE">
              <w:rPr>
                <w:b/>
                <w:bCs/>
              </w:rPr>
              <w:t>Total capital expenditure commitments</w:t>
            </w:r>
          </w:p>
        </w:tc>
        <w:tc>
          <w:tcPr>
            <w:tcW w:w="1190" w:type="dxa"/>
          </w:tcPr>
          <w:p w14:paraId="1E3E0652" w14:textId="77777777" w:rsidR="00B02873" w:rsidRPr="009540CE" w:rsidRDefault="00B02873" w:rsidP="009540CE">
            <w:pPr>
              <w:pStyle w:val="TablebodyleftFinancialsTables"/>
              <w:jc w:val="right"/>
              <w:rPr>
                <w:b/>
                <w:bCs/>
              </w:rPr>
            </w:pPr>
            <w:r w:rsidRPr="009540CE">
              <w:rPr>
                <w:b/>
                <w:bCs/>
              </w:rPr>
              <w:t>87,198</w:t>
            </w:r>
          </w:p>
        </w:tc>
        <w:tc>
          <w:tcPr>
            <w:tcW w:w="1191" w:type="dxa"/>
          </w:tcPr>
          <w:p w14:paraId="4C853634" w14:textId="77777777" w:rsidR="00B02873" w:rsidRDefault="00B02873" w:rsidP="009540CE">
            <w:pPr>
              <w:pStyle w:val="TablebodyleftFinancialsTables"/>
              <w:jc w:val="right"/>
            </w:pPr>
            <w:r>
              <w:t>172,567</w:t>
            </w:r>
          </w:p>
        </w:tc>
      </w:tr>
      <w:tr w:rsidR="00B02873" w:rsidRPr="00B02873" w14:paraId="76F51B4C" w14:textId="77777777" w:rsidTr="009540CE">
        <w:trPr>
          <w:trHeight w:val="60"/>
        </w:trPr>
        <w:tc>
          <w:tcPr>
            <w:tcW w:w="7257" w:type="dxa"/>
          </w:tcPr>
          <w:p w14:paraId="3B391D4D" w14:textId="77777777" w:rsidR="00B02873" w:rsidRPr="009540CE" w:rsidRDefault="00B02873" w:rsidP="009540CE">
            <w:pPr>
              <w:pStyle w:val="TablebodyleftFinancialsTables"/>
              <w:rPr>
                <w:b/>
                <w:bCs/>
              </w:rPr>
            </w:pPr>
            <w:r w:rsidRPr="009540CE">
              <w:rPr>
                <w:b/>
                <w:bCs/>
              </w:rPr>
              <w:t>Total commitments (inclusive of GST)</w:t>
            </w:r>
          </w:p>
        </w:tc>
        <w:tc>
          <w:tcPr>
            <w:tcW w:w="1190" w:type="dxa"/>
          </w:tcPr>
          <w:p w14:paraId="1925F189" w14:textId="77777777" w:rsidR="00B02873" w:rsidRPr="009540CE" w:rsidRDefault="00B02873" w:rsidP="009540CE">
            <w:pPr>
              <w:pStyle w:val="TablebodyleftFinancialsTables"/>
              <w:jc w:val="right"/>
              <w:rPr>
                <w:b/>
                <w:bCs/>
              </w:rPr>
            </w:pPr>
            <w:r w:rsidRPr="009540CE">
              <w:rPr>
                <w:b/>
                <w:bCs/>
              </w:rPr>
              <w:t>369,751</w:t>
            </w:r>
          </w:p>
        </w:tc>
        <w:tc>
          <w:tcPr>
            <w:tcW w:w="1191" w:type="dxa"/>
          </w:tcPr>
          <w:p w14:paraId="5FAFD116" w14:textId="77777777" w:rsidR="00B02873" w:rsidRDefault="00B02873" w:rsidP="009540CE">
            <w:pPr>
              <w:pStyle w:val="TablebodyleftFinancialsTables"/>
              <w:jc w:val="right"/>
            </w:pPr>
            <w:r>
              <w:t>382,144</w:t>
            </w:r>
          </w:p>
        </w:tc>
      </w:tr>
      <w:tr w:rsidR="00B02873" w:rsidRPr="00B02873" w14:paraId="7161DC2D" w14:textId="77777777" w:rsidTr="009540CE">
        <w:trPr>
          <w:trHeight w:val="60"/>
        </w:trPr>
        <w:tc>
          <w:tcPr>
            <w:tcW w:w="7257" w:type="dxa"/>
          </w:tcPr>
          <w:p w14:paraId="34251870" w14:textId="77777777" w:rsidR="00B02873" w:rsidRDefault="00B02873" w:rsidP="009540CE">
            <w:pPr>
              <w:pStyle w:val="TablebodyleftFinancialsTables"/>
            </w:pPr>
            <w:r>
              <w:t>Less GST recoverable from the Australian Taxation Office</w:t>
            </w:r>
          </w:p>
        </w:tc>
        <w:tc>
          <w:tcPr>
            <w:tcW w:w="1190" w:type="dxa"/>
          </w:tcPr>
          <w:p w14:paraId="0E2754D6" w14:textId="77777777" w:rsidR="00B02873" w:rsidRPr="009540CE" w:rsidRDefault="00B02873" w:rsidP="009540CE">
            <w:pPr>
              <w:pStyle w:val="TablebodyleftFinancialsTables"/>
              <w:jc w:val="right"/>
              <w:rPr>
                <w:b/>
                <w:bCs/>
              </w:rPr>
            </w:pPr>
            <w:r w:rsidRPr="009540CE">
              <w:rPr>
                <w:b/>
                <w:bCs/>
              </w:rPr>
              <w:t>(33,614)</w:t>
            </w:r>
          </w:p>
        </w:tc>
        <w:tc>
          <w:tcPr>
            <w:tcW w:w="1191" w:type="dxa"/>
          </w:tcPr>
          <w:p w14:paraId="15EE488C" w14:textId="77777777" w:rsidR="00B02873" w:rsidRDefault="00B02873" w:rsidP="009540CE">
            <w:pPr>
              <w:pStyle w:val="TablebodyleftFinancialsTables"/>
              <w:jc w:val="right"/>
            </w:pPr>
            <w:r>
              <w:t>(34,740)</w:t>
            </w:r>
          </w:p>
        </w:tc>
      </w:tr>
      <w:tr w:rsidR="00B02873" w:rsidRPr="00B02873" w14:paraId="193283B1" w14:textId="77777777" w:rsidTr="009540CE">
        <w:trPr>
          <w:trHeight w:val="60"/>
        </w:trPr>
        <w:tc>
          <w:tcPr>
            <w:tcW w:w="7257" w:type="dxa"/>
          </w:tcPr>
          <w:p w14:paraId="5248A8D3" w14:textId="77777777" w:rsidR="00B02873" w:rsidRPr="009540CE" w:rsidRDefault="00B02873" w:rsidP="009540CE">
            <w:pPr>
              <w:pStyle w:val="TablebodyleftFinancialsTables"/>
              <w:rPr>
                <w:b/>
                <w:bCs/>
              </w:rPr>
            </w:pPr>
            <w:r w:rsidRPr="009540CE">
              <w:rPr>
                <w:b/>
                <w:bCs/>
              </w:rPr>
              <w:t>Total commitments (exclusive of GST)</w:t>
            </w:r>
          </w:p>
        </w:tc>
        <w:tc>
          <w:tcPr>
            <w:tcW w:w="1190" w:type="dxa"/>
          </w:tcPr>
          <w:p w14:paraId="488197DE" w14:textId="77777777" w:rsidR="00B02873" w:rsidRPr="009540CE" w:rsidRDefault="00B02873" w:rsidP="009540CE">
            <w:pPr>
              <w:pStyle w:val="TablebodyleftFinancialsTables"/>
              <w:jc w:val="right"/>
              <w:rPr>
                <w:b/>
                <w:bCs/>
              </w:rPr>
            </w:pPr>
            <w:r w:rsidRPr="009540CE">
              <w:rPr>
                <w:b/>
                <w:bCs/>
              </w:rPr>
              <w:t>336,137</w:t>
            </w:r>
          </w:p>
        </w:tc>
        <w:tc>
          <w:tcPr>
            <w:tcW w:w="1191" w:type="dxa"/>
          </w:tcPr>
          <w:p w14:paraId="2EAC0B19" w14:textId="77777777" w:rsidR="00B02873" w:rsidRDefault="00B02873" w:rsidP="009540CE">
            <w:pPr>
              <w:pStyle w:val="TablebodyleftFinancialsTables"/>
              <w:jc w:val="right"/>
            </w:pPr>
            <w:r>
              <w:t>347,404</w:t>
            </w:r>
          </w:p>
        </w:tc>
      </w:tr>
    </w:tbl>
    <w:p w14:paraId="41F2ED53" w14:textId="77777777" w:rsidR="00B02873" w:rsidRDefault="00B02873" w:rsidP="009540CE">
      <w:pPr>
        <w:spacing w:after="0"/>
      </w:pPr>
    </w:p>
    <w:p w14:paraId="1F8762B2" w14:textId="77777777" w:rsidR="00B02873" w:rsidRDefault="00B02873" w:rsidP="00D21A73">
      <w:pPr>
        <w:pStyle w:val="Heading2Headings"/>
      </w:pPr>
      <w:bookmarkStart w:id="72" w:name="Note_8"/>
      <w:r>
        <w:t>Note 8</w:t>
      </w:r>
      <w:bookmarkEnd w:id="72"/>
      <w:r>
        <w:t>. Risks, contingencies and valuation judgements</w:t>
      </w:r>
    </w:p>
    <w:p w14:paraId="27E1FC77" w14:textId="77777777" w:rsidR="00B02873" w:rsidRDefault="00B02873" w:rsidP="009540CE">
      <w:pPr>
        <w:pStyle w:val="Heading3"/>
      </w:pPr>
      <w:r>
        <w:t>Introduction</w:t>
      </w:r>
    </w:p>
    <w:p w14:paraId="239F24BE" w14:textId="77777777" w:rsidR="00B02873" w:rsidRPr="009540CE" w:rsidRDefault="00B02873" w:rsidP="009540CE">
      <w:r w:rsidRPr="009540CE">
        <w:t>The department is exposed to risk from its activities and outside factors. In addition, it is often necessary to make judgements and estimates associated with recognition and measurement of items in the financial statements. This section sets out financial instruments’ specific information (including exposures to financial risks) as well as those items that are contingent in nature or require a higher level of judgement to be applied, which for the department related mainly to fair value determination.</w:t>
      </w:r>
    </w:p>
    <w:p w14:paraId="6AECF496" w14:textId="77777777" w:rsidR="00B02873" w:rsidRDefault="00B02873" w:rsidP="009540CE">
      <w:pPr>
        <w:pStyle w:val="Heading3"/>
      </w:pPr>
      <w:r>
        <w:t>Structure</w:t>
      </w:r>
    </w:p>
    <w:p w14:paraId="1F701688" w14:textId="77777777" w:rsidR="00B02873" w:rsidRDefault="00B02873" w:rsidP="009540CE">
      <w:pPr>
        <w:spacing w:after="120"/>
      </w:pPr>
      <w:r>
        <w:t>8.1</w:t>
      </w:r>
      <w:r>
        <w:tab/>
        <w:t>Financial instruments specific disclosures</w:t>
      </w:r>
    </w:p>
    <w:p w14:paraId="2A1D1295" w14:textId="77777777" w:rsidR="00B02873" w:rsidRDefault="00B02873" w:rsidP="009540CE">
      <w:pPr>
        <w:spacing w:after="120"/>
        <w:ind w:left="720"/>
      </w:pPr>
      <w:r>
        <w:t>8.1.1</w:t>
      </w:r>
      <w:r>
        <w:tab/>
        <w:t>Financial instruments: Categorisation</w:t>
      </w:r>
    </w:p>
    <w:p w14:paraId="385EBA4B" w14:textId="77777777" w:rsidR="00B02873" w:rsidRDefault="00B02873" w:rsidP="009540CE">
      <w:pPr>
        <w:spacing w:after="120"/>
        <w:ind w:left="720"/>
      </w:pPr>
      <w:r>
        <w:t>8.1.2</w:t>
      </w:r>
      <w:r>
        <w:tab/>
        <w:t>Financial instruments: Net holding gain/(loss) on financial instruments by category</w:t>
      </w:r>
    </w:p>
    <w:p w14:paraId="251D92C2" w14:textId="5C3A4852" w:rsidR="00B02873" w:rsidRDefault="00B02873" w:rsidP="009540CE">
      <w:pPr>
        <w:ind w:left="720"/>
      </w:pPr>
      <w:r>
        <w:t>8.1.3</w:t>
      </w:r>
      <w:r>
        <w:tab/>
        <w:t>Financial risk management objectives and policies</w:t>
      </w:r>
    </w:p>
    <w:p w14:paraId="7A93E933" w14:textId="77777777" w:rsidR="00B02873" w:rsidRDefault="00B02873" w:rsidP="009540CE">
      <w:r>
        <w:t>8.2</w:t>
      </w:r>
      <w:r>
        <w:tab/>
        <w:t>Contingent assets and contingent liabilities</w:t>
      </w:r>
    </w:p>
    <w:p w14:paraId="176649BC" w14:textId="77777777" w:rsidR="00B02873" w:rsidRDefault="00B02873" w:rsidP="009540CE">
      <w:pPr>
        <w:spacing w:after="120"/>
      </w:pPr>
      <w:r>
        <w:t>8.3</w:t>
      </w:r>
      <w:r>
        <w:tab/>
        <w:t>Fair value determination</w:t>
      </w:r>
    </w:p>
    <w:p w14:paraId="4A275CAE" w14:textId="77777777" w:rsidR="00B02873" w:rsidRDefault="00B02873" w:rsidP="009540CE">
      <w:pPr>
        <w:ind w:left="720"/>
      </w:pPr>
      <w:r>
        <w:t>8.3.1</w:t>
      </w:r>
      <w:r>
        <w:tab/>
        <w:t>Fair value determination of financial assets and liabilities</w:t>
      </w:r>
    </w:p>
    <w:p w14:paraId="631B5F91" w14:textId="77777777" w:rsidR="00B02873" w:rsidRDefault="00B02873" w:rsidP="009540CE">
      <w:pPr>
        <w:pStyle w:val="Heading4"/>
      </w:pPr>
      <w:r>
        <w:lastRenderedPageBreak/>
        <w:t>Use of judgements and estimates</w:t>
      </w:r>
    </w:p>
    <w:p w14:paraId="2C2E2E25" w14:textId="77777777" w:rsidR="00B02873" w:rsidRDefault="00B02873" w:rsidP="00FE198A">
      <w:r>
        <w:t>The calculation of the fair value of certain financial assets and liabilities require the judgements, estimates and assumptions relating to future events.</w:t>
      </w:r>
    </w:p>
    <w:p w14:paraId="02AD0D93" w14:textId="138567B0" w:rsidR="00B02873" w:rsidRDefault="00B02873" w:rsidP="00FE198A">
      <w:pPr>
        <w:rPr>
          <w:spacing w:val="-3"/>
        </w:rPr>
      </w:pPr>
      <w:r>
        <w:rPr>
          <w:spacing w:val="-3"/>
        </w:rPr>
        <w:t>The estimates and assumptions made are based on previous experience and other factors that management considers reasonable in the circumstances, but that are inherently uncertain and unpredictable. Unexpected events or circumstances may arise. Furthermore, the department is subject to risks and uncertainties which may result in the actual amounts deviating from the estimates.</w:t>
      </w:r>
    </w:p>
    <w:p w14:paraId="43EE627F" w14:textId="77777777" w:rsidR="00B02873" w:rsidRDefault="00B02873" w:rsidP="00FE198A">
      <w:r>
        <w:t>It may become necessary to change estimates made previously due to changes in the assumptions on which the previous estimates were based or due to knowledge or subsequent events.</w:t>
      </w:r>
    </w:p>
    <w:p w14:paraId="2B456E6B" w14:textId="77777777" w:rsidR="00B02873" w:rsidRDefault="00B02873" w:rsidP="00FE198A">
      <w:r>
        <w:t>Management revises the estimates and assumptions periodically and the effects of any changes are reflected through profit and loss if they only involve that period. If the revision involves both the current and the future periods, the change is recognised in the period in which the revision is made and in the related future periods.</w:t>
      </w:r>
    </w:p>
    <w:p w14:paraId="21A9C5E8" w14:textId="77777777" w:rsidR="00B02873" w:rsidRDefault="00B02873" w:rsidP="009540CE">
      <w:pPr>
        <w:pStyle w:val="Heading4"/>
      </w:pPr>
      <w:bookmarkStart w:id="73" w:name="_Ref116976296"/>
      <w:r>
        <w:t>Derivative financial instruments</w:t>
      </w:r>
      <w:bookmarkEnd w:id="73"/>
    </w:p>
    <w:p w14:paraId="091A1041" w14:textId="6E512108" w:rsidR="00B02873" w:rsidRDefault="00B02873" w:rsidP="00FE198A">
      <w:r>
        <w:t xml:space="preserve">The fair value of derivative financial instruments is determined based on prices directly observable in the market, where available, or, for unlisted financial instruments, using specific valuation techniques (mainly based on present value) that maximize the use of observable market inputs. In circumstances where this is not possible, management assess the complexity of assumptions and methodologies used to estimate input data as complex and engage third party industry experts to assist with the development of the most appropriate range of estimations. </w:t>
      </w:r>
    </w:p>
    <w:p w14:paraId="47EE3F37" w14:textId="396D23F9" w:rsidR="00B02873" w:rsidRDefault="00B02873" w:rsidP="00FE198A">
      <w:r>
        <w:t>Judgement was required in determining how to best obtain market data inputs for the fair value calculations. The department elected to appoint a third party expert to provide price forecast data estimations. Specific decisions were made with the third-party expert to incorporate some of the observable assumptions, and adopt a return on investment approach to estimate the wholesale electricity price forecasts.</w:t>
      </w:r>
    </w:p>
    <w:p w14:paraId="19FC0443" w14:textId="77777777" w:rsidR="00B02873" w:rsidRDefault="00B02873" w:rsidP="00FE198A">
      <w:r>
        <w:t xml:space="preserve">Management considers that the data relating to wholesale electricity price forecasts are the most significant inputs used in determining the fair value of derivative financial instruments. </w:t>
      </w:r>
    </w:p>
    <w:p w14:paraId="743C4BAA" w14:textId="77777777" w:rsidR="00B02873" w:rsidRDefault="00B02873" w:rsidP="00FE198A">
      <w:r>
        <w:t>Wholesale electricity price is considered one of the key areas of estimation involved in the valuation. Management undertook a detailed process to understand the methodologies and assumptions used by external providers to determine the appropriate forecast to apply as part of the valuation.</w:t>
      </w:r>
    </w:p>
    <w:p w14:paraId="482FA3FB" w14:textId="77777777" w:rsidR="00B02873" w:rsidRDefault="00B02873" w:rsidP="00FE198A">
      <w:r>
        <w:t xml:space="preserve">In accordance with AASB 13, the department includes a measurement of credit risk, both counterparty (Credit Valuation Adjustment or CVA) and its own (Debit Valuation Adjustment or DVA), to adjust the fair value of financial instruments for the corresponding amount of counterparty risk, using the method discussed in Note 6.2 </w:t>
      </w:r>
      <w:r w:rsidRPr="009540CE">
        <w:rPr>
          <w:rStyle w:val="LightItalic"/>
          <w:rFonts w:asciiTheme="minorHAnsi" w:hAnsiTheme="minorHAnsi" w:cstheme="minorHAnsi"/>
        </w:rPr>
        <w:t>Derivative financial instruments</w:t>
      </w:r>
      <w:r>
        <w:t>.</w:t>
      </w:r>
    </w:p>
    <w:p w14:paraId="66B2AB53" w14:textId="77777777" w:rsidR="00B02873" w:rsidRDefault="00B02873" w:rsidP="009540CE">
      <w:pPr>
        <w:pStyle w:val="Heading5"/>
      </w:pPr>
      <w:r>
        <w:t>Expected credit losses on contractual receivables at amortised cost</w:t>
      </w:r>
    </w:p>
    <w:p w14:paraId="6F637281" w14:textId="4A070DBE" w:rsidR="00B02873" w:rsidRDefault="00B02873" w:rsidP="00FE198A">
      <w:r>
        <w:t>The loss allowances for contractual receivables are based on assumptions about risk of default and expected loss rates. The department uses judgement in making these assumptions and selecting the inputs to the expected credit loss calculation, based on the department’s past history and existing market conditions including the current coronavirus (COVID-19) conditions, as well as forward-looking estimates at the end of each reporting period.</w:t>
      </w:r>
    </w:p>
    <w:p w14:paraId="552CB985" w14:textId="77777777" w:rsidR="00B02873" w:rsidRDefault="00B02873" w:rsidP="009540CE">
      <w:pPr>
        <w:pStyle w:val="Heading3"/>
      </w:pPr>
      <w:r>
        <w:t xml:space="preserve">8.1 Financial instruments specific disclosures </w:t>
      </w:r>
    </w:p>
    <w:p w14:paraId="2FD60A7E" w14:textId="77777777" w:rsidR="00B02873" w:rsidRPr="00546E03" w:rsidRDefault="00B02873" w:rsidP="00FE198A">
      <w:pPr>
        <w:rPr>
          <w:rStyle w:val="LightItalic"/>
          <w:rFonts w:asciiTheme="minorHAnsi" w:hAnsiTheme="minorHAnsi" w:cstheme="minorHAnsi"/>
          <w:i w:val="0"/>
          <w:iCs w:val="0"/>
        </w:rPr>
      </w:pPr>
      <w:r>
        <w:t xml:space="preserve">Financial instruments arise out of contractual agreements that give rise to a financial asset of one entity and a financial liability or equity instrument of another entity. Due to the nature of the </w:t>
      </w:r>
      <w:r>
        <w:lastRenderedPageBreak/>
        <w:t xml:space="preserve">department’s activities, certain financial assets and financial liabilities arise under statute rather than a contract (for example taxes, fines and penalties). Such assets and liabilities do not meet the definition of financial instruments in AASB 132 </w:t>
      </w:r>
      <w:r w:rsidRPr="009540CE">
        <w:rPr>
          <w:rStyle w:val="LightItalic"/>
          <w:rFonts w:asciiTheme="minorHAnsi" w:hAnsiTheme="minorHAnsi" w:cstheme="minorHAnsi"/>
        </w:rPr>
        <w:t>Financial Instruments: Presentation</w:t>
      </w:r>
      <w:r w:rsidRPr="00546E03">
        <w:rPr>
          <w:rStyle w:val="LightItalic"/>
          <w:rFonts w:asciiTheme="minorHAnsi" w:hAnsiTheme="minorHAnsi" w:cstheme="minorHAnsi"/>
          <w:i w:val="0"/>
          <w:iCs w:val="0"/>
        </w:rPr>
        <w:t>.</w:t>
      </w:r>
    </w:p>
    <w:p w14:paraId="415D622F" w14:textId="77777777" w:rsidR="00B02873" w:rsidRDefault="00B02873" w:rsidP="009540CE">
      <w:pPr>
        <w:pStyle w:val="Heading4"/>
      </w:pPr>
      <w:r>
        <w:t>Categories of financial assets</w:t>
      </w:r>
    </w:p>
    <w:p w14:paraId="368C79D2" w14:textId="77777777" w:rsidR="00B02873" w:rsidRDefault="00B02873" w:rsidP="009540CE">
      <w:pPr>
        <w:pStyle w:val="Heading5"/>
      </w:pPr>
      <w:r>
        <w:t>Financial assets at amortised cost</w:t>
      </w:r>
    </w:p>
    <w:p w14:paraId="462A3179" w14:textId="399A5C24" w:rsidR="00B02873" w:rsidRDefault="00B02873" w:rsidP="009540CE">
      <w:pPr>
        <w:pStyle w:val="Normalbeforebullet"/>
      </w:pPr>
      <w:r>
        <w:t>Financial assets are measured at amortised costs if both of the following criteria are met and the assets are not designated as fair value through net result:</w:t>
      </w:r>
    </w:p>
    <w:p w14:paraId="5BB8D409" w14:textId="77777777" w:rsidR="00B02873" w:rsidRDefault="00B02873" w:rsidP="00B02873">
      <w:pPr>
        <w:pStyle w:val="Bullet1Lists"/>
      </w:pPr>
      <w:r>
        <w:t>the assets are held by the department to collect the contractual cash flows, and</w:t>
      </w:r>
    </w:p>
    <w:p w14:paraId="5CAB3862" w14:textId="77777777" w:rsidR="00B02873" w:rsidRDefault="00B02873" w:rsidP="009540CE">
      <w:pPr>
        <w:pStyle w:val="Bullet1Listslast"/>
      </w:pPr>
      <w:r>
        <w:t>the assets’ contractual terms give rise to cash flows that are solely payments of principal and interests.</w:t>
      </w:r>
    </w:p>
    <w:p w14:paraId="2F9EDCA6" w14:textId="77777777" w:rsidR="00B02873" w:rsidRDefault="00B02873" w:rsidP="00FE198A">
      <w:r>
        <w:t xml:space="preserve">These assets are initially recognised at fair value plus any directly attributable transaction costs and subsequently measured at amortised cost using the effective interest method less any impairment. </w:t>
      </w:r>
    </w:p>
    <w:p w14:paraId="7C8385FF" w14:textId="28927FE3" w:rsidR="00B02873" w:rsidRDefault="00B02873" w:rsidP="0047680E">
      <w:pPr>
        <w:pStyle w:val="Normalbeforebullet"/>
      </w:pPr>
      <w:r>
        <w:t>The department recognises the following assets in this category:</w:t>
      </w:r>
    </w:p>
    <w:p w14:paraId="5CB88298" w14:textId="77777777" w:rsidR="00B02873" w:rsidRDefault="00B02873" w:rsidP="00B02873">
      <w:pPr>
        <w:pStyle w:val="Bullet1Lists"/>
      </w:pPr>
      <w:r>
        <w:t>cash and deposits</w:t>
      </w:r>
    </w:p>
    <w:p w14:paraId="2D76DDE8" w14:textId="77777777" w:rsidR="00B02873" w:rsidRDefault="00B02873" w:rsidP="0047680E">
      <w:pPr>
        <w:pStyle w:val="Bullet1Listslast"/>
      </w:pPr>
      <w:r>
        <w:t>receivables (excluding statutory receivables)</w:t>
      </w:r>
    </w:p>
    <w:p w14:paraId="442BDB35" w14:textId="77777777" w:rsidR="00B02873" w:rsidRDefault="00B02873" w:rsidP="0047680E">
      <w:pPr>
        <w:pStyle w:val="Heading5"/>
      </w:pPr>
      <w:r>
        <w:t>Financial assets at fair value through net result</w:t>
      </w:r>
    </w:p>
    <w:p w14:paraId="6185567F" w14:textId="77777777" w:rsidR="00B02873" w:rsidRDefault="00B02873" w:rsidP="00FE198A">
      <w:r>
        <w:t xml:space="preserve">Equity instruments that are held for trading as well as derivative instruments are classified as fair value through net result. Other financial assets are required to be measured at fair value through net result unless they are measured at amortised cost or fair value through other comprehensive income as explained above. </w:t>
      </w:r>
    </w:p>
    <w:p w14:paraId="4AA77E9E" w14:textId="77777777" w:rsidR="0047680E" w:rsidRDefault="00B02873" w:rsidP="00FE198A">
      <w:r>
        <w:t>However, as an exception to those rules above, the department may, at initial recognition, irrevocably designate financial assets as measured at fair value through net result if doing so eliminates or significantly reduces a measurement or recognition inconsistency (‘accounting mismatch’) that would otherwise arise from measuring assets or liabilities or recognising the gains and losses on them on different bases.</w:t>
      </w:r>
    </w:p>
    <w:p w14:paraId="53542299" w14:textId="16B14094" w:rsidR="00B02873" w:rsidRDefault="00B02873" w:rsidP="0047680E">
      <w:pPr>
        <w:pStyle w:val="Heading5"/>
      </w:pPr>
      <w:r>
        <w:t>Categories of financial liabilities</w:t>
      </w:r>
    </w:p>
    <w:p w14:paraId="5DC026F7" w14:textId="77777777" w:rsidR="00B02873" w:rsidRDefault="00B02873" w:rsidP="0047680E">
      <w:r w:rsidRPr="0047680E">
        <w:rPr>
          <w:rStyle w:val="BoldItalic"/>
          <w:rFonts w:asciiTheme="minorHAnsi" w:hAnsiTheme="minorHAnsi" w:cstheme="minorHAnsi"/>
        </w:rPr>
        <w:t>Financial assets and liabilities at fair value through net result</w:t>
      </w:r>
      <w:r w:rsidRPr="0047680E">
        <w:rPr>
          <w:rFonts w:asciiTheme="minorHAnsi" w:hAnsiTheme="minorHAnsi" w:cstheme="minorHAnsi"/>
        </w:rPr>
        <w:t xml:space="preserve"> </w:t>
      </w:r>
      <w:r>
        <w:t xml:space="preserve">are categorised as such at trade date if they are classified as held for trading or designated as such upon initial recognition. </w:t>
      </w:r>
    </w:p>
    <w:p w14:paraId="2FA3B456" w14:textId="77777777" w:rsidR="00B02873" w:rsidRDefault="00B02873" w:rsidP="00FE198A">
      <w:r>
        <w:t xml:space="preserve">Financial instrument assets are designated at fair value through profit or loss on the basis that the financial assets form part of a group of financial assets that are managed based on their fair values, and have their performance evaluated in accordance with documented risk management and investment strategies. Financial instruments at fair value through profit and loss are initially measured at fair value; attributable transaction costs are expensed as incurred. Subsequent to initial recognition, any changes in fair value are recognised in the net result as other economic flows. </w:t>
      </w:r>
    </w:p>
    <w:p w14:paraId="364A2295" w14:textId="77777777" w:rsidR="00B02873" w:rsidRPr="0047680E" w:rsidRDefault="00B02873" w:rsidP="00FE198A">
      <w:pPr>
        <w:rPr>
          <w:rFonts w:asciiTheme="minorHAnsi" w:hAnsiTheme="minorHAnsi" w:cstheme="minorHAnsi"/>
        </w:rPr>
      </w:pPr>
      <w:r w:rsidRPr="0047680E">
        <w:rPr>
          <w:rStyle w:val="BoldItalic"/>
          <w:rFonts w:asciiTheme="minorHAnsi" w:hAnsiTheme="minorHAnsi" w:cstheme="minorHAnsi"/>
        </w:rPr>
        <w:t>Financial liabilities at amortised cost</w:t>
      </w:r>
      <w:r w:rsidRPr="0047680E">
        <w:rPr>
          <w:rFonts w:asciiTheme="minorHAnsi" w:hAnsiTheme="minorHAnsi" w:cstheme="minorHAnsi"/>
        </w:rPr>
        <w:t xml:space="preserve"> are initially recognised on the date they originate. They are initially measured at fair value plus any directly attributable transaction costs. Subsequent to initial recognition, these financial instruments are measured at amortised cost with any difference between the initial recognised amount and the redemption value being recognised in net result over the period of the interest-bearing liability, using the effective interest method (refer to Note 9.12 </w:t>
      </w:r>
      <w:r w:rsidRPr="0047680E">
        <w:rPr>
          <w:rStyle w:val="LightItalic"/>
          <w:rFonts w:asciiTheme="minorHAnsi" w:hAnsiTheme="minorHAnsi" w:cstheme="minorHAnsi"/>
        </w:rPr>
        <w:t>Glossary of technical terms</w:t>
      </w:r>
      <w:r w:rsidRPr="0047680E">
        <w:rPr>
          <w:rFonts w:asciiTheme="minorHAnsi" w:hAnsiTheme="minorHAnsi" w:cstheme="minorHAnsi"/>
        </w:rPr>
        <w:t>).</w:t>
      </w:r>
    </w:p>
    <w:p w14:paraId="551D71B7" w14:textId="7720CD19" w:rsidR="00B02873" w:rsidRPr="0047680E" w:rsidRDefault="00B02873" w:rsidP="00FE198A">
      <w:pPr>
        <w:rPr>
          <w:rFonts w:asciiTheme="minorHAnsi" w:hAnsiTheme="minorHAnsi" w:cstheme="minorHAnsi"/>
        </w:rPr>
      </w:pPr>
      <w:r w:rsidRPr="0047680E">
        <w:rPr>
          <w:rStyle w:val="BoldItalic"/>
          <w:rFonts w:asciiTheme="minorHAnsi" w:hAnsiTheme="minorHAnsi" w:cstheme="minorHAnsi"/>
        </w:rPr>
        <w:t>Derivative financial instruments</w:t>
      </w:r>
      <w:r w:rsidRPr="0047680E">
        <w:rPr>
          <w:rFonts w:asciiTheme="minorHAnsi" w:hAnsiTheme="minorHAnsi" w:cstheme="minorHAnsi"/>
        </w:rPr>
        <w:t xml:space="preserve"> are classified as fair value through net result. Refer to Note 6.2 for further details on derivative financial instruments. </w:t>
      </w:r>
    </w:p>
    <w:p w14:paraId="65A04D2C" w14:textId="77777777" w:rsidR="00B02873" w:rsidRDefault="00B02873" w:rsidP="0047680E">
      <w:pPr>
        <w:pStyle w:val="Heading5"/>
      </w:pPr>
      <w:r>
        <w:lastRenderedPageBreak/>
        <w:t xml:space="preserve">Derecognition of financial assets </w:t>
      </w:r>
    </w:p>
    <w:p w14:paraId="51BD8D11" w14:textId="40692C4C" w:rsidR="00B02873" w:rsidRDefault="00B02873" w:rsidP="0047680E">
      <w:pPr>
        <w:pStyle w:val="Normalbeforebullet"/>
      </w:pPr>
      <w:r>
        <w:t xml:space="preserve">A financial asset (or, where applicable, a part of a financial asset or part of a group of similar financial assets) is derecognised when: </w:t>
      </w:r>
    </w:p>
    <w:p w14:paraId="6FD99738" w14:textId="77777777" w:rsidR="00B02873" w:rsidRDefault="00B02873" w:rsidP="00B02873">
      <w:pPr>
        <w:pStyle w:val="Bullet1Lists"/>
      </w:pPr>
      <w:r>
        <w:t>the contractual rights to receive cash flows from the asset have expired; or</w:t>
      </w:r>
    </w:p>
    <w:p w14:paraId="098B3B94" w14:textId="77777777" w:rsidR="00B02873" w:rsidRDefault="00B02873" w:rsidP="00B02873">
      <w:pPr>
        <w:pStyle w:val="Bullet1Lists"/>
      </w:pPr>
      <w:r>
        <w:t>the department retains the right to receive cash flows from the asset, but has assumed an obligation to pay them in full without material delay to a third party under a ‘pass through’ arrangement; or</w:t>
      </w:r>
    </w:p>
    <w:p w14:paraId="3D795689" w14:textId="77777777" w:rsidR="00B02873" w:rsidRDefault="00B02873" w:rsidP="0047680E">
      <w:pPr>
        <w:pStyle w:val="Bullet1Listslast"/>
      </w:pPr>
      <w:r>
        <w:t>the department has transferred its rights to receive cash flows from the asset and either:</w:t>
      </w:r>
    </w:p>
    <w:p w14:paraId="72F9A154" w14:textId="1DD52EF6" w:rsidR="00B02873" w:rsidRDefault="00B02873" w:rsidP="001128B1">
      <w:pPr>
        <w:pStyle w:val="NumberaLists"/>
        <w:numPr>
          <w:ilvl w:val="0"/>
          <w:numId w:val="39"/>
        </w:numPr>
      </w:pPr>
      <w:r>
        <w:t>has transferred substantially all the risks and rewards of the asset</w:t>
      </w:r>
    </w:p>
    <w:p w14:paraId="6DAF125E" w14:textId="77777777" w:rsidR="00B02873" w:rsidRDefault="00B02873" w:rsidP="001E0F51">
      <w:pPr>
        <w:pStyle w:val="NumberaLists"/>
      </w:pPr>
      <w:r>
        <w:t>has neither transferred nor retained substantially all the risks and rewards of the asset but has transferred control of the asset.</w:t>
      </w:r>
    </w:p>
    <w:p w14:paraId="70608DEA" w14:textId="767BE6D7" w:rsidR="00B02873" w:rsidRDefault="00B02873" w:rsidP="00FE198A">
      <w:r>
        <w:t>Where the department has neither transferred nor retained substantially all the risks and rewards or transferred control, the asset is recognised to the extent of the department’s continuing involvement in the asset.</w:t>
      </w:r>
    </w:p>
    <w:p w14:paraId="43314E42" w14:textId="77777777" w:rsidR="00B02873" w:rsidRDefault="00B02873" w:rsidP="0047680E">
      <w:pPr>
        <w:pStyle w:val="Heading5"/>
      </w:pPr>
      <w:r>
        <w:t xml:space="preserve">Derecognition of financial liabilities </w:t>
      </w:r>
    </w:p>
    <w:p w14:paraId="55940461" w14:textId="77777777" w:rsidR="00B02873" w:rsidRDefault="00B02873" w:rsidP="00FE198A">
      <w:r>
        <w:t>A financial liability is derecognised when the obligation under the liability is discharged, cancelled or expires.</w:t>
      </w:r>
    </w:p>
    <w:p w14:paraId="2A78E53E" w14:textId="0A53B920" w:rsidR="00B02873" w:rsidRDefault="00B02873" w:rsidP="00FE198A">
      <w:r>
        <w:t>When an existing financial liability is replaced by another from the same lender on substantially different terms, or the terms of an existing liability are substantially modified, such an exchange or modification is treated as a derecognition of the original liability and the recognition of a new liability. The difference in the respective carrying amounts is recognised as an ‘other economic flow’ in the comprehensive operating statement.</w:t>
      </w:r>
    </w:p>
    <w:p w14:paraId="7AFF337E" w14:textId="77777777" w:rsidR="00B02873" w:rsidRDefault="00B02873" w:rsidP="0047680E">
      <w:pPr>
        <w:pStyle w:val="Heading5"/>
      </w:pPr>
      <w:r>
        <w:t>Reclassification of financial instruments</w:t>
      </w:r>
    </w:p>
    <w:p w14:paraId="2B675CEA" w14:textId="48F1AD35" w:rsidR="00B02873" w:rsidRDefault="00B02873" w:rsidP="00FE198A">
      <w:r>
        <w:t xml:space="preserve">Subsequent to initial recognition, reclassification of financial liabilities is not permitted. Financial assets are required to reclassified between fair value through net result, fair value through other comprehensive income and amortised cost when and only when the department’ business model for managing its financial assets has changed such that its previous model would no longer apply. </w:t>
      </w:r>
    </w:p>
    <w:p w14:paraId="37644577" w14:textId="77777777" w:rsidR="00B02873" w:rsidRDefault="00B02873" w:rsidP="00FE198A">
      <w:r>
        <w:t xml:space="preserve">If under rare circumstances an asset is reclassified, the reclassification is applied prospectively from the reclassification date and previously recognised gains, losses or interest should not be restated. If the asset is reclassified to fair value, the fair value should be determined at the reclassification date and any gain or loss arising from a difference between the previous carrying amount and fair value is recognised in net result. </w:t>
      </w:r>
    </w:p>
    <w:p w14:paraId="3F119CCC" w14:textId="77777777" w:rsidR="00CE1173" w:rsidRPr="007B509E" w:rsidRDefault="00CE1173" w:rsidP="00B02873">
      <w:pPr>
        <w:pStyle w:val="Heading4Headings"/>
        <w:rPr>
          <w:rFonts w:ascii="Arial" w:hAnsi="Arial" w:cs="VIC SemiBold Italic"/>
        </w:rPr>
        <w:sectPr w:rsidR="00CE1173" w:rsidRPr="007B509E" w:rsidSect="000C0438">
          <w:pgSz w:w="11906" w:h="16838" w:code="9"/>
          <w:pgMar w:top="1134" w:right="1134" w:bottom="1134" w:left="1134" w:header="720" w:footer="720" w:gutter="0"/>
          <w:cols w:space="720"/>
          <w:noEndnote/>
        </w:sectPr>
      </w:pPr>
    </w:p>
    <w:p w14:paraId="1CC9B283" w14:textId="5D5FCB93" w:rsidR="00B02873" w:rsidRDefault="00B02873" w:rsidP="00CE1173">
      <w:pPr>
        <w:pStyle w:val="Heading4"/>
      </w:pPr>
      <w:r>
        <w:lastRenderedPageBreak/>
        <w:t>8.1.1 Financial instruments: Categorisation</w:t>
      </w:r>
    </w:p>
    <w:tbl>
      <w:tblPr>
        <w:tblStyle w:val="TableGrid"/>
        <w:tblW w:w="14879" w:type="dxa"/>
        <w:tblLayout w:type="fixed"/>
        <w:tblLook w:val="0020" w:firstRow="1" w:lastRow="0" w:firstColumn="0" w:lastColumn="0" w:noHBand="0" w:noVBand="0"/>
      </w:tblPr>
      <w:tblGrid>
        <w:gridCol w:w="5216"/>
        <w:gridCol w:w="1134"/>
        <w:gridCol w:w="1442"/>
        <w:gridCol w:w="1134"/>
        <w:gridCol w:w="1137"/>
        <w:gridCol w:w="1134"/>
        <w:gridCol w:w="1556"/>
        <w:gridCol w:w="1134"/>
        <w:gridCol w:w="992"/>
      </w:tblGrid>
      <w:tr w:rsidR="00B02873" w:rsidRPr="00CE1173" w14:paraId="14A03542" w14:textId="77777777" w:rsidTr="00CE1173">
        <w:trPr>
          <w:cnfStyle w:val="100000000000" w:firstRow="1" w:lastRow="0" w:firstColumn="0" w:lastColumn="0" w:oddVBand="0" w:evenVBand="0" w:oddHBand="0" w:evenHBand="0" w:firstRowFirstColumn="0" w:firstRowLastColumn="0" w:lastRowFirstColumn="0" w:lastRowLastColumn="0"/>
          <w:tblHeader/>
        </w:trPr>
        <w:tc>
          <w:tcPr>
            <w:tcW w:w="5216" w:type="dxa"/>
          </w:tcPr>
          <w:p w14:paraId="1CD7EBB7" w14:textId="77777777" w:rsidR="00B02873" w:rsidRPr="00CE1173" w:rsidRDefault="00B02873" w:rsidP="00CE1173">
            <w:pPr>
              <w:pStyle w:val="TableheadingleftFinancialsTables"/>
              <w:rPr>
                <w:rFonts w:asciiTheme="minorHAnsi" w:hAnsiTheme="minorHAnsi" w:cstheme="minorHAnsi"/>
                <w:sz w:val="16"/>
              </w:rPr>
            </w:pPr>
          </w:p>
        </w:tc>
        <w:tc>
          <w:tcPr>
            <w:tcW w:w="1134" w:type="dxa"/>
          </w:tcPr>
          <w:p w14:paraId="227A9C55" w14:textId="5A5F48FB" w:rsidR="00B02873" w:rsidRPr="00705B7A" w:rsidRDefault="00CE1173" w:rsidP="00705B7A">
            <w:pPr>
              <w:pStyle w:val="TableheadingleftFinancialsTables"/>
              <w:jc w:val="right"/>
              <w:rPr>
                <w:rFonts w:asciiTheme="minorHAnsi" w:hAnsiTheme="minorHAnsi" w:cstheme="minorHAnsi"/>
                <w:sz w:val="16"/>
              </w:rPr>
            </w:pPr>
            <w:r w:rsidRPr="00705B7A">
              <w:rPr>
                <w:rFonts w:asciiTheme="minorHAnsi" w:hAnsiTheme="minorHAnsi" w:cstheme="minorHAnsi"/>
                <w:sz w:val="16"/>
              </w:rPr>
              <w:t xml:space="preserve">2022 </w:t>
            </w:r>
            <w:r w:rsidR="00B02873" w:rsidRPr="00705B7A">
              <w:rPr>
                <w:rFonts w:asciiTheme="minorHAnsi" w:hAnsiTheme="minorHAnsi" w:cstheme="minorHAnsi"/>
                <w:sz w:val="16"/>
              </w:rPr>
              <w:t>Financial assets at amortised cost</w:t>
            </w:r>
            <w:r w:rsidR="00B02873" w:rsidRPr="00705B7A">
              <w:rPr>
                <w:rFonts w:asciiTheme="minorHAnsi" w:hAnsiTheme="minorHAnsi" w:cstheme="minorHAnsi"/>
                <w:sz w:val="16"/>
              </w:rPr>
              <w:br/>
              <w:t>$’000</w:t>
            </w:r>
          </w:p>
        </w:tc>
        <w:tc>
          <w:tcPr>
            <w:tcW w:w="1442" w:type="dxa"/>
          </w:tcPr>
          <w:p w14:paraId="54CC1BFB" w14:textId="2480DDCD" w:rsidR="00B02873" w:rsidRPr="00705B7A" w:rsidRDefault="00CE1173" w:rsidP="00705B7A">
            <w:pPr>
              <w:pStyle w:val="TableheadingleftFinancialsTables"/>
              <w:jc w:val="right"/>
              <w:rPr>
                <w:rFonts w:asciiTheme="minorHAnsi" w:hAnsiTheme="minorHAnsi" w:cstheme="minorHAnsi"/>
                <w:sz w:val="16"/>
              </w:rPr>
            </w:pPr>
            <w:r w:rsidRPr="00705B7A">
              <w:rPr>
                <w:rFonts w:asciiTheme="minorHAnsi" w:hAnsiTheme="minorHAnsi" w:cstheme="minorHAnsi"/>
                <w:sz w:val="16"/>
              </w:rPr>
              <w:t xml:space="preserve">2022 </w:t>
            </w:r>
            <w:r w:rsidRPr="00705B7A">
              <w:rPr>
                <w:rFonts w:asciiTheme="minorHAnsi" w:hAnsiTheme="minorHAnsi" w:cstheme="minorHAnsi"/>
                <w:sz w:val="16"/>
              </w:rPr>
              <w:br/>
            </w:r>
            <w:r w:rsidR="00B02873" w:rsidRPr="00705B7A">
              <w:rPr>
                <w:rFonts w:asciiTheme="minorHAnsi" w:hAnsiTheme="minorHAnsi" w:cstheme="minorHAnsi"/>
                <w:sz w:val="16"/>
              </w:rPr>
              <w:t>Financial assets /liabilities designated at fair value through profit/loss</w:t>
            </w:r>
            <w:r w:rsidR="00B02873" w:rsidRPr="00705B7A">
              <w:rPr>
                <w:rFonts w:asciiTheme="minorHAnsi" w:hAnsiTheme="minorHAnsi" w:cstheme="minorHAnsi"/>
                <w:sz w:val="16"/>
              </w:rPr>
              <w:br/>
              <w:t>$’000</w:t>
            </w:r>
          </w:p>
        </w:tc>
        <w:tc>
          <w:tcPr>
            <w:tcW w:w="1134" w:type="dxa"/>
          </w:tcPr>
          <w:p w14:paraId="355A4161" w14:textId="59FBA1AE" w:rsidR="00B02873" w:rsidRPr="00705B7A" w:rsidRDefault="00CE1173" w:rsidP="00705B7A">
            <w:pPr>
              <w:pStyle w:val="TableheadingleftFinancialsTables"/>
              <w:jc w:val="right"/>
              <w:rPr>
                <w:rFonts w:asciiTheme="minorHAnsi" w:hAnsiTheme="minorHAnsi" w:cstheme="minorHAnsi"/>
                <w:sz w:val="16"/>
              </w:rPr>
            </w:pPr>
            <w:r w:rsidRPr="00705B7A">
              <w:rPr>
                <w:rFonts w:asciiTheme="minorHAnsi" w:hAnsiTheme="minorHAnsi" w:cstheme="minorHAnsi"/>
                <w:sz w:val="16"/>
              </w:rPr>
              <w:t xml:space="preserve">2022 </w:t>
            </w:r>
            <w:r w:rsidR="00B02873" w:rsidRPr="00705B7A">
              <w:rPr>
                <w:rFonts w:asciiTheme="minorHAnsi" w:hAnsiTheme="minorHAnsi" w:cstheme="minorHAnsi"/>
                <w:sz w:val="16"/>
              </w:rPr>
              <w:t>Financial liabilities at amortised cost</w:t>
            </w:r>
            <w:r w:rsidR="00B02873" w:rsidRPr="00705B7A">
              <w:rPr>
                <w:rFonts w:asciiTheme="minorHAnsi" w:hAnsiTheme="minorHAnsi" w:cstheme="minorHAnsi"/>
                <w:sz w:val="16"/>
              </w:rPr>
              <w:br/>
              <w:t>$’000</w:t>
            </w:r>
          </w:p>
        </w:tc>
        <w:tc>
          <w:tcPr>
            <w:tcW w:w="1137" w:type="dxa"/>
          </w:tcPr>
          <w:p w14:paraId="628AEDDE" w14:textId="7EC9CC9F" w:rsidR="00B02873" w:rsidRPr="00705B7A" w:rsidRDefault="00CE1173" w:rsidP="00705B7A">
            <w:pPr>
              <w:pStyle w:val="TableheadingleftFinancialsTables"/>
              <w:jc w:val="right"/>
              <w:rPr>
                <w:rFonts w:asciiTheme="minorHAnsi" w:hAnsiTheme="minorHAnsi" w:cstheme="minorHAnsi"/>
                <w:sz w:val="16"/>
              </w:rPr>
            </w:pPr>
            <w:r w:rsidRPr="00705B7A">
              <w:rPr>
                <w:rFonts w:asciiTheme="minorHAnsi" w:hAnsiTheme="minorHAnsi" w:cstheme="minorHAnsi"/>
                <w:sz w:val="16"/>
              </w:rPr>
              <w:t xml:space="preserve">2022 </w:t>
            </w:r>
            <w:r w:rsidRPr="00705B7A">
              <w:rPr>
                <w:rFonts w:asciiTheme="minorHAnsi" w:hAnsiTheme="minorHAnsi" w:cstheme="minorHAnsi"/>
                <w:sz w:val="16"/>
              </w:rPr>
              <w:br/>
            </w:r>
            <w:r w:rsidR="00B02873" w:rsidRPr="00705B7A">
              <w:rPr>
                <w:rFonts w:asciiTheme="minorHAnsi" w:hAnsiTheme="minorHAnsi" w:cstheme="minorHAnsi"/>
                <w:sz w:val="16"/>
              </w:rPr>
              <w:t>Total</w:t>
            </w:r>
            <w:r w:rsidR="00B02873" w:rsidRPr="00705B7A">
              <w:rPr>
                <w:rFonts w:asciiTheme="minorHAnsi" w:hAnsiTheme="minorHAnsi" w:cstheme="minorHAnsi"/>
                <w:sz w:val="16"/>
              </w:rPr>
              <w:br/>
              <w:t>$’000</w:t>
            </w:r>
          </w:p>
        </w:tc>
        <w:tc>
          <w:tcPr>
            <w:tcW w:w="1134" w:type="dxa"/>
          </w:tcPr>
          <w:p w14:paraId="06D4505E" w14:textId="7CD658C3" w:rsidR="00B02873" w:rsidRPr="00CE1173" w:rsidRDefault="00CE1173" w:rsidP="00705B7A">
            <w:pPr>
              <w:pStyle w:val="TableheadingleftFinancialsTables"/>
              <w:jc w:val="right"/>
              <w:rPr>
                <w:rFonts w:asciiTheme="minorHAnsi" w:hAnsiTheme="minorHAnsi" w:cstheme="minorHAnsi"/>
                <w:sz w:val="16"/>
              </w:rPr>
            </w:pPr>
            <w:r w:rsidRPr="00CE1173">
              <w:rPr>
                <w:rFonts w:asciiTheme="minorHAnsi" w:hAnsiTheme="minorHAnsi" w:cstheme="minorHAnsi"/>
                <w:sz w:val="16"/>
              </w:rPr>
              <w:t>2021</w:t>
            </w:r>
            <w:r>
              <w:rPr>
                <w:rFonts w:asciiTheme="minorHAnsi" w:hAnsiTheme="minorHAnsi" w:cstheme="minorHAnsi"/>
                <w:sz w:val="16"/>
              </w:rPr>
              <w:t xml:space="preserve"> </w:t>
            </w:r>
            <w:r w:rsidR="00B02873" w:rsidRPr="00CE1173">
              <w:rPr>
                <w:rFonts w:asciiTheme="minorHAnsi" w:hAnsiTheme="minorHAnsi" w:cstheme="minorHAnsi"/>
                <w:sz w:val="16"/>
              </w:rPr>
              <w:t>Financial assets at amortised cost</w:t>
            </w:r>
            <w:r w:rsidR="00B02873" w:rsidRPr="00CE1173">
              <w:rPr>
                <w:rFonts w:asciiTheme="minorHAnsi" w:hAnsiTheme="minorHAnsi" w:cstheme="minorHAnsi"/>
                <w:sz w:val="16"/>
              </w:rPr>
              <w:br/>
              <w:t>$’000</w:t>
            </w:r>
          </w:p>
        </w:tc>
        <w:tc>
          <w:tcPr>
            <w:tcW w:w="1556" w:type="dxa"/>
          </w:tcPr>
          <w:p w14:paraId="1A1BDD26" w14:textId="1EBBF716" w:rsidR="00B02873" w:rsidRPr="00CE1173" w:rsidRDefault="00CE1173" w:rsidP="00705B7A">
            <w:pPr>
              <w:pStyle w:val="TableheadingleftFinancialsTables"/>
              <w:jc w:val="right"/>
              <w:rPr>
                <w:rFonts w:asciiTheme="minorHAnsi" w:hAnsiTheme="minorHAnsi" w:cstheme="minorHAnsi"/>
                <w:sz w:val="16"/>
              </w:rPr>
            </w:pPr>
            <w:r w:rsidRPr="00CE1173">
              <w:rPr>
                <w:rFonts w:asciiTheme="minorHAnsi" w:hAnsiTheme="minorHAnsi" w:cstheme="minorHAnsi"/>
                <w:sz w:val="16"/>
              </w:rPr>
              <w:t>2021</w:t>
            </w:r>
            <w:r>
              <w:rPr>
                <w:rFonts w:asciiTheme="minorHAnsi" w:hAnsiTheme="minorHAnsi" w:cstheme="minorHAnsi"/>
                <w:sz w:val="16"/>
              </w:rPr>
              <w:t xml:space="preserve"> </w:t>
            </w:r>
            <w:r>
              <w:rPr>
                <w:rFonts w:asciiTheme="minorHAnsi" w:hAnsiTheme="minorHAnsi" w:cstheme="minorHAnsi"/>
                <w:sz w:val="16"/>
              </w:rPr>
              <w:br/>
            </w:r>
            <w:r w:rsidR="00B02873" w:rsidRPr="00CE1173">
              <w:rPr>
                <w:rFonts w:asciiTheme="minorHAnsi" w:hAnsiTheme="minorHAnsi" w:cstheme="minorHAnsi"/>
                <w:sz w:val="16"/>
              </w:rPr>
              <w:t>Financial assets /liabilities designated at fair value through profit/loss</w:t>
            </w:r>
            <w:r w:rsidR="00B02873" w:rsidRPr="00CE1173">
              <w:rPr>
                <w:rFonts w:asciiTheme="minorHAnsi" w:hAnsiTheme="minorHAnsi" w:cstheme="minorHAnsi"/>
                <w:sz w:val="16"/>
              </w:rPr>
              <w:br/>
              <w:t>$’000</w:t>
            </w:r>
          </w:p>
        </w:tc>
        <w:tc>
          <w:tcPr>
            <w:tcW w:w="1134" w:type="dxa"/>
          </w:tcPr>
          <w:p w14:paraId="39FFBAB8" w14:textId="66069E6B" w:rsidR="00B02873" w:rsidRPr="00CE1173" w:rsidRDefault="00CE1173" w:rsidP="00705B7A">
            <w:pPr>
              <w:pStyle w:val="TableheadingleftFinancialsTables"/>
              <w:jc w:val="right"/>
              <w:rPr>
                <w:rFonts w:asciiTheme="minorHAnsi" w:hAnsiTheme="minorHAnsi" w:cstheme="minorHAnsi"/>
                <w:sz w:val="16"/>
              </w:rPr>
            </w:pPr>
            <w:r w:rsidRPr="00CE1173">
              <w:rPr>
                <w:rFonts w:asciiTheme="minorHAnsi" w:hAnsiTheme="minorHAnsi" w:cstheme="minorHAnsi"/>
                <w:sz w:val="16"/>
              </w:rPr>
              <w:t>2021</w:t>
            </w:r>
            <w:r>
              <w:rPr>
                <w:rFonts w:asciiTheme="minorHAnsi" w:hAnsiTheme="minorHAnsi" w:cstheme="minorHAnsi"/>
                <w:sz w:val="16"/>
              </w:rPr>
              <w:t xml:space="preserve"> </w:t>
            </w:r>
            <w:r w:rsidR="00B02873" w:rsidRPr="00CE1173">
              <w:rPr>
                <w:rFonts w:asciiTheme="minorHAnsi" w:hAnsiTheme="minorHAnsi" w:cstheme="minorHAnsi"/>
                <w:sz w:val="16"/>
              </w:rPr>
              <w:t>Financial liabilities at amortised cost</w:t>
            </w:r>
            <w:r w:rsidR="00B02873" w:rsidRPr="00CE1173">
              <w:rPr>
                <w:rFonts w:asciiTheme="minorHAnsi" w:hAnsiTheme="minorHAnsi" w:cstheme="minorHAnsi"/>
                <w:sz w:val="16"/>
              </w:rPr>
              <w:br/>
              <w:t>$’000</w:t>
            </w:r>
          </w:p>
        </w:tc>
        <w:tc>
          <w:tcPr>
            <w:tcW w:w="992" w:type="dxa"/>
          </w:tcPr>
          <w:p w14:paraId="22AAFC5D" w14:textId="021AFCA1" w:rsidR="00B02873" w:rsidRPr="00CE1173" w:rsidRDefault="00CE1173" w:rsidP="00705B7A">
            <w:pPr>
              <w:pStyle w:val="TableheadingleftFinancialsTables"/>
              <w:jc w:val="right"/>
              <w:rPr>
                <w:rFonts w:asciiTheme="minorHAnsi" w:hAnsiTheme="minorHAnsi" w:cstheme="minorHAnsi"/>
                <w:sz w:val="16"/>
              </w:rPr>
            </w:pPr>
            <w:r w:rsidRPr="00CE1173">
              <w:rPr>
                <w:rFonts w:asciiTheme="minorHAnsi" w:hAnsiTheme="minorHAnsi" w:cstheme="minorHAnsi"/>
                <w:sz w:val="16"/>
              </w:rPr>
              <w:t>2021</w:t>
            </w:r>
            <w:r>
              <w:rPr>
                <w:rFonts w:asciiTheme="minorHAnsi" w:hAnsiTheme="minorHAnsi" w:cstheme="minorHAnsi"/>
                <w:sz w:val="16"/>
              </w:rPr>
              <w:t xml:space="preserve"> </w:t>
            </w:r>
            <w:r>
              <w:rPr>
                <w:rFonts w:asciiTheme="minorHAnsi" w:hAnsiTheme="minorHAnsi" w:cstheme="minorHAnsi"/>
                <w:sz w:val="16"/>
              </w:rPr>
              <w:br/>
            </w:r>
            <w:r w:rsidR="00B02873" w:rsidRPr="00CE1173">
              <w:rPr>
                <w:rFonts w:asciiTheme="minorHAnsi" w:hAnsiTheme="minorHAnsi" w:cstheme="minorHAnsi"/>
                <w:sz w:val="16"/>
              </w:rPr>
              <w:t>Total</w:t>
            </w:r>
            <w:r w:rsidR="00B02873" w:rsidRPr="00CE1173">
              <w:rPr>
                <w:rFonts w:asciiTheme="minorHAnsi" w:hAnsiTheme="minorHAnsi" w:cstheme="minorHAnsi"/>
                <w:sz w:val="16"/>
              </w:rPr>
              <w:br/>
              <w:t>$’000</w:t>
            </w:r>
          </w:p>
        </w:tc>
      </w:tr>
      <w:tr w:rsidR="00B02873" w:rsidRPr="00CE1173" w14:paraId="06E95D2B" w14:textId="77777777" w:rsidTr="00CE1173">
        <w:tc>
          <w:tcPr>
            <w:tcW w:w="5216" w:type="dxa"/>
          </w:tcPr>
          <w:p w14:paraId="6127E4AA" w14:textId="77777777" w:rsidR="00B02873" w:rsidRPr="00705B7A" w:rsidRDefault="00B02873" w:rsidP="00CE1173">
            <w:pPr>
              <w:pStyle w:val="TablebodyleftFinancialsTables"/>
              <w:rPr>
                <w:rFonts w:asciiTheme="minorHAnsi" w:hAnsiTheme="minorHAnsi" w:cstheme="minorHAnsi"/>
                <w:b/>
                <w:bCs/>
                <w:sz w:val="16"/>
              </w:rPr>
            </w:pPr>
            <w:r w:rsidRPr="00705B7A">
              <w:rPr>
                <w:rFonts w:asciiTheme="minorHAnsi" w:hAnsiTheme="minorHAnsi" w:cstheme="minorHAnsi"/>
                <w:b/>
                <w:bCs/>
                <w:sz w:val="16"/>
              </w:rPr>
              <w:t>Contractual financial assets</w:t>
            </w:r>
          </w:p>
        </w:tc>
        <w:tc>
          <w:tcPr>
            <w:tcW w:w="1134" w:type="dxa"/>
          </w:tcPr>
          <w:p w14:paraId="527C36BB" w14:textId="77777777" w:rsidR="00B02873" w:rsidRPr="00705B7A" w:rsidRDefault="00B02873" w:rsidP="00705B7A">
            <w:pPr>
              <w:pStyle w:val="TablebodyleftFinancialsTables"/>
              <w:jc w:val="right"/>
              <w:rPr>
                <w:rFonts w:asciiTheme="minorHAnsi" w:hAnsiTheme="minorHAnsi" w:cstheme="minorHAnsi"/>
                <w:b/>
                <w:bCs/>
                <w:sz w:val="16"/>
              </w:rPr>
            </w:pPr>
          </w:p>
        </w:tc>
        <w:tc>
          <w:tcPr>
            <w:tcW w:w="1442" w:type="dxa"/>
          </w:tcPr>
          <w:p w14:paraId="024C9022" w14:textId="77777777" w:rsidR="00B02873" w:rsidRPr="00705B7A" w:rsidRDefault="00B02873" w:rsidP="00705B7A">
            <w:pPr>
              <w:pStyle w:val="TablebodyleftFinancialsTables"/>
              <w:jc w:val="right"/>
              <w:rPr>
                <w:rFonts w:asciiTheme="minorHAnsi" w:hAnsiTheme="minorHAnsi" w:cstheme="minorHAnsi"/>
                <w:b/>
                <w:bCs/>
                <w:sz w:val="16"/>
              </w:rPr>
            </w:pPr>
          </w:p>
        </w:tc>
        <w:tc>
          <w:tcPr>
            <w:tcW w:w="1134" w:type="dxa"/>
          </w:tcPr>
          <w:p w14:paraId="4E4226EB" w14:textId="77777777" w:rsidR="00B02873" w:rsidRPr="00705B7A" w:rsidRDefault="00B02873" w:rsidP="00705B7A">
            <w:pPr>
              <w:pStyle w:val="TablebodyleftFinancialsTables"/>
              <w:jc w:val="right"/>
              <w:rPr>
                <w:rFonts w:asciiTheme="minorHAnsi" w:hAnsiTheme="minorHAnsi" w:cstheme="minorHAnsi"/>
                <w:b/>
                <w:bCs/>
                <w:sz w:val="16"/>
              </w:rPr>
            </w:pPr>
          </w:p>
        </w:tc>
        <w:tc>
          <w:tcPr>
            <w:tcW w:w="1137" w:type="dxa"/>
          </w:tcPr>
          <w:p w14:paraId="5ADBD28C" w14:textId="77777777" w:rsidR="00B02873" w:rsidRPr="00705B7A" w:rsidRDefault="00B02873" w:rsidP="00705B7A">
            <w:pPr>
              <w:pStyle w:val="TablebodyleftFinancialsTables"/>
              <w:jc w:val="right"/>
              <w:rPr>
                <w:rFonts w:asciiTheme="minorHAnsi" w:hAnsiTheme="minorHAnsi" w:cstheme="minorHAnsi"/>
                <w:b/>
                <w:bCs/>
                <w:sz w:val="16"/>
              </w:rPr>
            </w:pPr>
          </w:p>
        </w:tc>
        <w:tc>
          <w:tcPr>
            <w:tcW w:w="1134" w:type="dxa"/>
          </w:tcPr>
          <w:p w14:paraId="3E293926" w14:textId="77777777" w:rsidR="00B02873" w:rsidRPr="00CE1173" w:rsidRDefault="00B02873" w:rsidP="00705B7A">
            <w:pPr>
              <w:pStyle w:val="TablebodyleftFinancialsTables"/>
              <w:jc w:val="right"/>
              <w:rPr>
                <w:rFonts w:asciiTheme="minorHAnsi" w:hAnsiTheme="minorHAnsi" w:cstheme="minorHAnsi"/>
                <w:sz w:val="16"/>
              </w:rPr>
            </w:pPr>
          </w:p>
        </w:tc>
        <w:tc>
          <w:tcPr>
            <w:tcW w:w="1556" w:type="dxa"/>
          </w:tcPr>
          <w:p w14:paraId="4E823D0C" w14:textId="77777777" w:rsidR="00B02873" w:rsidRPr="00CE1173" w:rsidRDefault="00B02873" w:rsidP="00705B7A">
            <w:pPr>
              <w:pStyle w:val="TablebodyleftFinancialsTables"/>
              <w:jc w:val="right"/>
              <w:rPr>
                <w:rFonts w:asciiTheme="minorHAnsi" w:hAnsiTheme="minorHAnsi" w:cstheme="minorHAnsi"/>
                <w:sz w:val="16"/>
              </w:rPr>
            </w:pPr>
          </w:p>
        </w:tc>
        <w:tc>
          <w:tcPr>
            <w:tcW w:w="1134" w:type="dxa"/>
          </w:tcPr>
          <w:p w14:paraId="756CD1D1" w14:textId="77777777" w:rsidR="00B02873" w:rsidRPr="00CE1173" w:rsidRDefault="00B02873" w:rsidP="00705B7A">
            <w:pPr>
              <w:pStyle w:val="TablebodyleftFinancialsTables"/>
              <w:jc w:val="right"/>
              <w:rPr>
                <w:rFonts w:asciiTheme="minorHAnsi" w:hAnsiTheme="minorHAnsi" w:cstheme="minorHAnsi"/>
                <w:sz w:val="16"/>
              </w:rPr>
            </w:pPr>
          </w:p>
        </w:tc>
        <w:tc>
          <w:tcPr>
            <w:tcW w:w="992" w:type="dxa"/>
          </w:tcPr>
          <w:p w14:paraId="6ABA44AC" w14:textId="77777777" w:rsidR="00B02873" w:rsidRPr="00CE1173" w:rsidRDefault="00B02873" w:rsidP="00705B7A">
            <w:pPr>
              <w:pStyle w:val="TablebodyleftFinancialsTables"/>
              <w:jc w:val="right"/>
              <w:rPr>
                <w:rFonts w:asciiTheme="minorHAnsi" w:hAnsiTheme="minorHAnsi" w:cstheme="minorHAnsi"/>
                <w:sz w:val="16"/>
              </w:rPr>
            </w:pPr>
          </w:p>
        </w:tc>
      </w:tr>
      <w:tr w:rsidR="00B02873" w:rsidRPr="00CE1173" w14:paraId="2557907A" w14:textId="77777777" w:rsidTr="00CE1173">
        <w:tc>
          <w:tcPr>
            <w:tcW w:w="5216" w:type="dxa"/>
          </w:tcPr>
          <w:p w14:paraId="41A7F690" w14:textId="77777777" w:rsidR="00B02873" w:rsidRPr="00705B7A" w:rsidRDefault="00B02873" w:rsidP="00CE1173">
            <w:pPr>
              <w:pStyle w:val="TablebodyleftFinancialsTables"/>
              <w:rPr>
                <w:rFonts w:asciiTheme="minorHAnsi" w:hAnsiTheme="minorHAnsi" w:cstheme="minorHAnsi"/>
                <w:b/>
                <w:bCs/>
                <w:sz w:val="16"/>
              </w:rPr>
            </w:pPr>
            <w:r w:rsidRPr="00705B7A">
              <w:rPr>
                <w:rFonts w:asciiTheme="minorHAnsi" w:hAnsiTheme="minorHAnsi" w:cstheme="minorHAnsi"/>
                <w:b/>
                <w:bCs/>
                <w:sz w:val="16"/>
              </w:rPr>
              <w:t>Cash and deposits</w:t>
            </w:r>
          </w:p>
        </w:tc>
        <w:tc>
          <w:tcPr>
            <w:tcW w:w="1134" w:type="dxa"/>
          </w:tcPr>
          <w:p w14:paraId="63AAD823" w14:textId="77777777" w:rsidR="00B02873" w:rsidRPr="00705B7A" w:rsidRDefault="00B02873" w:rsidP="00705B7A">
            <w:pPr>
              <w:pStyle w:val="TablebodyleftFinancialsTables"/>
              <w:jc w:val="right"/>
              <w:rPr>
                <w:rFonts w:asciiTheme="minorHAnsi" w:hAnsiTheme="minorHAnsi" w:cstheme="minorHAnsi"/>
                <w:b/>
                <w:bCs/>
                <w:sz w:val="16"/>
              </w:rPr>
            </w:pPr>
          </w:p>
        </w:tc>
        <w:tc>
          <w:tcPr>
            <w:tcW w:w="1442" w:type="dxa"/>
          </w:tcPr>
          <w:p w14:paraId="2C32B126" w14:textId="77777777" w:rsidR="00B02873" w:rsidRPr="00705B7A" w:rsidRDefault="00B02873" w:rsidP="00705B7A">
            <w:pPr>
              <w:pStyle w:val="TablebodyleftFinancialsTables"/>
              <w:jc w:val="right"/>
              <w:rPr>
                <w:rFonts w:asciiTheme="minorHAnsi" w:hAnsiTheme="minorHAnsi" w:cstheme="minorHAnsi"/>
                <w:b/>
                <w:bCs/>
                <w:sz w:val="16"/>
              </w:rPr>
            </w:pPr>
          </w:p>
        </w:tc>
        <w:tc>
          <w:tcPr>
            <w:tcW w:w="1134" w:type="dxa"/>
          </w:tcPr>
          <w:p w14:paraId="2FC2D101" w14:textId="77777777" w:rsidR="00B02873" w:rsidRPr="00705B7A" w:rsidRDefault="00B02873" w:rsidP="00705B7A">
            <w:pPr>
              <w:pStyle w:val="TablebodyleftFinancialsTables"/>
              <w:jc w:val="right"/>
              <w:rPr>
                <w:rFonts w:asciiTheme="minorHAnsi" w:hAnsiTheme="minorHAnsi" w:cstheme="minorHAnsi"/>
                <w:b/>
                <w:bCs/>
                <w:sz w:val="16"/>
              </w:rPr>
            </w:pPr>
          </w:p>
        </w:tc>
        <w:tc>
          <w:tcPr>
            <w:tcW w:w="1137" w:type="dxa"/>
          </w:tcPr>
          <w:p w14:paraId="5FD8D0CE" w14:textId="77777777" w:rsidR="00B02873" w:rsidRPr="00705B7A" w:rsidRDefault="00B02873" w:rsidP="00705B7A">
            <w:pPr>
              <w:pStyle w:val="TablebodyleftFinancialsTables"/>
              <w:jc w:val="right"/>
              <w:rPr>
                <w:rFonts w:asciiTheme="minorHAnsi" w:hAnsiTheme="minorHAnsi" w:cstheme="minorHAnsi"/>
                <w:b/>
                <w:bCs/>
                <w:sz w:val="16"/>
              </w:rPr>
            </w:pPr>
          </w:p>
        </w:tc>
        <w:tc>
          <w:tcPr>
            <w:tcW w:w="1134" w:type="dxa"/>
          </w:tcPr>
          <w:p w14:paraId="1BCF4694" w14:textId="77777777" w:rsidR="00B02873" w:rsidRPr="00CE1173" w:rsidRDefault="00B02873" w:rsidP="00705B7A">
            <w:pPr>
              <w:pStyle w:val="TablebodyleftFinancialsTables"/>
              <w:jc w:val="right"/>
              <w:rPr>
                <w:rFonts w:asciiTheme="minorHAnsi" w:hAnsiTheme="minorHAnsi" w:cstheme="minorHAnsi"/>
                <w:sz w:val="16"/>
              </w:rPr>
            </w:pPr>
          </w:p>
        </w:tc>
        <w:tc>
          <w:tcPr>
            <w:tcW w:w="1556" w:type="dxa"/>
          </w:tcPr>
          <w:p w14:paraId="79D36A23" w14:textId="77777777" w:rsidR="00B02873" w:rsidRPr="00CE1173" w:rsidRDefault="00B02873" w:rsidP="00705B7A">
            <w:pPr>
              <w:pStyle w:val="TablebodyleftFinancialsTables"/>
              <w:jc w:val="right"/>
              <w:rPr>
                <w:rFonts w:asciiTheme="minorHAnsi" w:hAnsiTheme="minorHAnsi" w:cstheme="minorHAnsi"/>
                <w:sz w:val="16"/>
              </w:rPr>
            </w:pPr>
          </w:p>
        </w:tc>
        <w:tc>
          <w:tcPr>
            <w:tcW w:w="1134" w:type="dxa"/>
          </w:tcPr>
          <w:p w14:paraId="3E9BC0C5" w14:textId="77777777" w:rsidR="00B02873" w:rsidRPr="00CE1173" w:rsidRDefault="00B02873" w:rsidP="00705B7A">
            <w:pPr>
              <w:pStyle w:val="TablebodyleftFinancialsTables"/>
              <w:jc w:val="right"/>
              <w:rPr>
                <w:rFonts w:asciiTheme="minorHAnsi" w:hAnsiTheme="minorHAnsi" w:cstheme="minorHAnsi"/>
                <w:sz w:val="16"/>
              </w:rPr>
            </w:pPr>
          </w:p>
        </w:tc>
        <w:tc>
          <w:tcPr>
            <w:tcW w:w="992" w:type="dxa"/>
          </w:tcPr>
          <w:p w14:paraId="783F0960" w14:textId="77777777" w:rsidR="00B02873" w:rsidRPr="00CE1173" w:rsidRDefault="00B02873" w:rsidP="00705B7A">
            <w:pPr>
              <w:pStyle w:val="TablebodyleftFinancialsTables"/>
              <w:jc w:val="right"/>
              <w:rPr>
                <w:rFonts w:asciiTheme="minorHAnsi" w:hAnsiTheme="minorHAnsi" w:cstheme="minorHAnsi"/>
                <w:sz w:val="16"/>
              </w:rPr>
            </w:pPr>
          </w:p>
        </w:tc>
      </w:tr>
      <w:tr w:rsidR="00B02873" w:rsidRPr="00CE1173" w14:paraId="014EB52C" w14:textId="77777777" w:rsidTr="00CE1173">
        <w:tc>
          <w:tcPr>
            <w:tcW w:w="5216" w:type="dxa"/>
          </w:tcPr>
          <w:p w14:paraId="2B4E61AD" w14:textId="77777777" w:rsidR="00B02873" w:rsidRPr="00CE1173" w:rsidRDefault="00B02873" w:rsidP="00CE1173">
            <w:pPr>
              <w:pStyle w:val="TablebodyleftFinancialsTables"/>
              <w:rPr>
                <w:rFonts w:asciiTheme="minorHAnsi" w:hAnsiTheme="minorHAnsi" w:cstheme="minorHAnsi"/>
                <w:sz w:val="16"/>
              </w:rPr>
            </w:pPr>
            <w:r w:rsidRPr="00CE1173">
              <w:rPr>
                <w:rFonts w:asciiTheme="minorHAnsi" w:hAnsiTheme="minorHAnsi" w:cstheme="minorHAnsi"/>
                <w:sz w:val="16"/>
              </w:rPr>
              <w:t>Cash, deposits on call and term deposits less than 3 months</w:t>
            </w:r>
          </w:p>
        </w:tc>
        <w:tc>
          <w:tcPr>
            <w:tcW w:w="1134" w:type="dxa"/>
          </w:tcPr>
          <w:p w14:paraId="7905FD04" w14:textId="77777777" w:rsidR="00B02873" w:rsidRPr="00705B7A" w:rsidRDefault="00B02873" w:rsidP="00705B7A">
            <w:pPr>
              <w:pStyle w:val="TablebodyleftFinancialsTables"/>
              <w:jc w:val="right"/>
              <w:rPr>
                <w:rFonts w:asciiTheme="minorHAnsi" w:hAnsiTheme="minorHAnsi" w:cstheme="minorHAnsi"/>
                <w:b/>
                <w:bCs/>
                <w:sz w:val="16"/>
              </w:rPr>
            </w:pPr>
            <w:r w:rsidRPr="00705B7A">
              <w:rPr>
                <w:rFonts w:asciiTheme="minorHAnsi" w:hAnsiTheme="minorHAnsi" w:cstheme="minorHAnsi"/>
                <w:b/>
                <w:bCs/>
                <w:sz w:val="16"/>
              </w:rPr>
              <w:t>1,281,536</w:t>
            </w:r>
          </w:p>
        </w:tc>
        <w:tc>
          <w:tcPr>
            <w:tcW w:w="1442" w:type="dxa"/>
          </w:tcPr>
          <w:p w14:paraId="75C8741E" w14:textId="77777777" w:rsidR="00B02873" w:rsidRPr="00705B7A" w:rsidRDefault="00B02873" w:rsidP="00705B7A">
            <w:pPr>
              <w:pStyle w:val="TablebodyleftFinancialsTables"/>
              <w:jc w:val="right"/>
              <w:rPr>
                <w:rFonts w:asciiTheme="minorHAnsi" w:hAnsiTheme="minorHAnsi" w:cstheme="minorHAnsi"/>
                <w:b/>
                <w:bCs/>
                <w:sz w:val="16"/>
              </w:rPr>
            </w:pPr>
            <w:r w:rsidRPr="00705B7A">
              <w:rPr>
                <w:rFonts w:asciiTheme="minorHAnsi" w:hAnsiTheme="minorHAnsi" w:cstheme="minorHAnsi"/>
                <w:b/>
                <w:bCs/>
                <w:sz w:val="16"/>
              </w:rPr>
              <w:t>–</w:t>
            </w:r>
          </w:p>
        </w:tc>
        <w:tc>
          <w:tcPr>
            <w:tcW w:w="1134" w:type="dxa"/>
          </w:tcPr>
          <w:p w14:paraId="261B91DF" w14:textId="77777777" w:rsidR="00B02873" w:rsidRPr="00705B7A" w:rsidRDefault="00B02873" w:rsidP="00705B7A">
            <w:pPr>
              <w:pStyle w:val="TablebodyleftFinancialsTables"/>
              <w:jc w:val="right"/>
              <w:rPr>
                <w:rFonts w:asciiTheme="minorHAnsi" w:hAnsiTheme="minorHAnsi" w:cstheme="minorHAnsi"/>
                <w:b/>
                <w:bCs/>
                <w:sz w:val="16"/>
              </w:rPr>
            </w:pPr>
            <w:r w:rsidRPr="00705B7A">
              <w:rPr>
                <w:rFonts w:asciiTheme="minorHAnsi" w:hAnsiTheme="minorHAnsi" w:cstheme="minorHAnsi"/>
                <w:b/>
                <w:bCs/>
                <w:sz w:val="16"/>
              </w:rPr>
              <w:t>–</w:t>
            </w:r>
          </w:p>
        </w:tc>
        <w:tc>
          <w:tcPr>
            <w:tcW w:w="1137" w:type="dxa"/>
          </w:tcPr>
          <w:p w14:paraId="0AB7CBF1" w14:textId="77777777" w:rsidR="00B02873" w:rsidRPr="00705B7A" w:rsidRDefault="00B02873" w:rsidP="00705B7A">
            <w:pPr>
              <w:pStyle w:val="TablebodyleftFinancialsTables"/>
              <w:jc w:val="right"/>
              <w:rPr>
                <w:rFonts w:asciiTheme="minorHAnsi" w:hAnsiTheme="minorHAnsi" w:cstheme="minorHAnsi"/>
                <w:b/>
                <w:bCs/>
                <w:sz w:val="16"/>
              </w:rPr>
            </w:pPr>
            <w:r w:rsidRPr="00705B7A">
              <w:rPr>
                <w:rFonts w:asciiTheme="minorHAnsi" w:hAnsiTheme="minorHAnsi" w:cstheme="minorHAnsi"/>
                <w:b/>
                <w:bCs/>
                <w:sz w:val="16"/>
              </w:rPr>
              <w:t>1,281,536</w:t>
            </w:r>
          </w:p>
        </w:tc>
        <w:tc>
          <w:tcPr>
            <w:tcW w:w="1134" w:type="dxa"/>
          </w:tcPr>
          <w:p w14:paraId="48178B4E" w14:textId="77777777" w:rsidR="00B02873" w:rsidRPr="00CE1173" w:rsidRDefault="00B02873" w:rsidP="00705B7A">
            <w:pPr>
              <w:pStyle w:val="TablebodyleftFinancialsTables"/>
              <w:jc w:val="right"/>
              <w:rPr>
                <w:rFonts w:asciiTheme="minorHAnsi" w:hAnsiTheme="minorHAnsi" w:cstheme="minorHAnsi"/>
                <w:sz w:val="16"/>
              </w:rPr>
            </w:pPr>
            <w:r w:rsidRPr="00CE1173">
              <w:rPr>
                <w:rFonts w:asciiTheme="minorHAnsi" w:hAnsiTheme="minorHAnsi" w:cstheme="minorHAnsi"/>
                <w:sz w:val="16"/>
              </w:rPr>
              <w:t>1,242,681</w:t>
            </w:r>
          </w:p>
        </w:tc>
        <w:tc>
          <w:tcPr>
            <w:tcW w:w="1556" w:type="dxa"/>
          </w:tcPr>
          <w:p w14:paraId="4A48165D" w14:textId="77777777" w:rsidR="00B02873" w:rsidRPr="00CE1173" w:rsidRDefault="00B02873" w:rsidP="00705B7A">
            <w:pPr>
              <w:pStyle w:val="TablebodyleftFinancialsTables"/>
              <w:jc w:val="right"/>
              <w:rPr>
                <w:rFonts w:asciiTheme="minorHAnsi" w:hAnsiTheme="minorHAnsi" w:cstheme="minorHAnsi"/>
                <w:sz w:val="16"/>
              </w:rPr>
            </w:pPr>
            <w:r w:rsidRPr="00CE1173">
              <w:rPr>
                <w:rFonts w:asciiTheme="minorHAnsi" w:hAnsiTheme="minorHAnsi" w:cstheme="minorHAnsi"/>
                <w:sz w:val="16"/>
              </w:rPr>
              <w:t>–</w:t>
            </w:r>
          </w:p>
        </w:tc>
        <w:tc>
          <w:tcPr>
            <w:tcW w:w="1134" w:type="dxa"/>
          </w:tcPr>
          <w:p w14:paraId="4A8EBE42" w14:textId="77777777" w:rsidR="00B02873" w:rsidRPr="00CE1173" w:rsidRDefault="00B02873" w:rsidP="00705B7A">
            <w:pPr>
              <w:pStyle w:val="TablebodyleftFinancialsTables"/>
              <w:jc w:val="right"/>
              <w:rPr>
                <w:rFonts w:asciiTheme="minorHAnsi" w:hAnsiTheme="minorHAnsi" w:cstheme="minorHAnsi"/>
                <w:sz w:val="16"/>
              </w:rPr>
            </w:pPr>
            <w:r w:rsidRPr="00CE1173">
              <w:rPr>
                <w:rFonts w:asciiTheme="minorHAnsi" w:hAnsiTheme="minorHAnsi" w:cstheme="minorHAnsi"/>
                <w:sz w:val="16"/>
              </w:rPr>
              <w:t>–</w:t>
            </w:r>
          </w:p>
        </w:tc>
        <w:tc>
          <w:tcPr>
            <w:tcW w:w="992" w:type="dxa"/>
          </w:tcPr>
          <w:p w14:paraId="6125C6F6" w14:textId="77777777" w:rsidR="00B02873" w:rsidRPr="00CE1173" w:rsidRDefault="00B02873" w:rsidP="00705B7A">
            <w:pPr>
              <w:pStyle w:val="TablebodyleftFinancialsTables"/>
              <w:jc w:val="right"/>
              <w:rPr>
                <w:rFonts w:asciiTheme="minorHAnsi" w:hAnsiTheme="minorHAnsi" w:cstheme="minorHAnsi"/>
                <w:sz w:val="16"/>
              </w:rPr>
            </w:pPr>
            <w:r w:rsidRPr="00CE1173">
              <w:rPr>
                <w:rFonts w:asciiTheme="minorHAnsi" w:hAnsiTheme="minorHAnsi" w:cstheme="minorHAnsi"/>
                <w:sz w:val="16"/>
              </w:rPr>
              <w:t>1,242,681</w:t>
            </w:r>
          </w:p>
        </w:tc>
      </w:tr>
      <w:tr w:rsidR="00B02873" w:rsidRPr="00CE1173" w14:paraId="792710A3" w14:textId="77777777" w:rsidTr="00CE1173">
        <w:tc>
          <w:tcPr>
            <w:tcW w:w="5216" w:type="dxa"/>
          </w:tcPr>
          <w:p w14:paraId="4388F861" w14:textId="77777777" w:rsidR="00B02873" w:rsidRPr="00705B7A" w:rsidRDefault="00B02873" w:rsidP="00CE1173">
            <w:pPr>
              <w:pStyle w:val="TablebodyleftFinancialsTables"/>
              <w:rPr>
                <w:rFonts w:asciiTheme="minorHAnsi" w:hAnsiTheme="minorHAnsi" w:cstheme="minorHAnsi"/>
                <w:b/>
                <w:bCs/>
                <w:sz w:val="16"/>
              </w:rPr>
            </w:pPr>
            <w:r w:rsidRPr="00705B7A">
              <w:rPr>
                <w:rFonts w:asciiTheme="minorHAnsi" w:hAnsiTheme="minorHAnsi" w:cstheme="minorHAnsi"/>
                <w:b/>
                <w:bCs/>
                <w:sz w:val="16"/>
              </w:rPr>
              <w:t>Receivables</w:t>
            </w:r>
            <w:r w:rsidRPr="00705B7A">
              <w:rPr>
                <w:rFonts w:asciiTheme="minorHAnsi" w:hAnsiTheme="minorHAnsi" w:cstheme="minorHAnsi"/>
                <w:b/>
                <w:bCs/>
                <w:sz w:val="16"/>
                <w:vertAlign w:val="superscript"/>
              </w:rPr>
              <w:t>(i)</w:t>
            </w:r>
            <w:r w:rsidRPr="00705B7A">
              <w:rPr>
                <w:rFonts w:asciiTheme="minorHAnsi" w:hAnsiTheme="minorHAnsi" w:cstheme="minorHAnsi"/>
                <w:b/>
                <w:bCs/>
                <w:sz w:val="16"/>
              </w:rPr>
              <w:t xml:space="preserve"> </w:t>
            </w:r>
          </w:p>
        </w:tc>
        <w:tc>
          <w:tcPr>
            <w:tcW w:w="1134" w:type="dxa"/>
          </w:tcPr>
          <w:p w14:paraId="78AD7F32" w14:textId="77777777" w:rsidR="00B02873" w:rsidRPr="00705B7A" w:rsidRDefault="00B02873" w:rsidP="00705B7A">
            <w:pPr>
              <w:pStyle w:val="TablebodyleftFinancialsTables"/>
              <w:jc w:val="right"/>
              <w:rPr>
                <w:rFonts w:asciiTheme="minorHAnsi" w:hAnsiTheme="minorHAnsi" w:cstheme="minorHAnsi"/>
                <w:b/>
                <w:bCs/>
                <w:sz w:val="16"/>
              </w:rPr>
            </w:pPr>
          </w:p>
        </w:tc>
        <w:tc>
          <w:tcPr>
            <w:tcW w:w="1442" w:type="dxa"/>
          </w:tcPr>
          <w:p w14:paraId="32F5A44A" w14:textId="77777777" w:rsidR="00B02873" w:rsidRPr="00705B7A" w:rsidRDefault="00B02873" w:rsidP="00705B7A">
            <w:pPr>
              <w:pStyle w:val="TablebodyleftFinancialsTables"/>
              <w:jc w:val="right"/>
              <w:rPr>
                <w:rFonts w:asciiTheme="minorHAnsi" w:hAnsiTheme="minorHAnsi" w:cstheme="minorHAnsi"/>
                <w:b/>
                <w:bCs/>
                <w:sz w:val="16"/>
              </w:rPr>
            </w:pPr>
          </w:p>
        </w:tc>
        <w:tc>
          <w:tcPr>
            <w:tcW w:w="1134" w:type="dxa"/>
          </w:tcPr>
          <w:p w14:paraId="14AC7FEE" w14:textId="77777777" w:rsidR="00B02873" w:rsidRPr="00705B7A" w:rsidRDefault="00B02873" w:rsidP="00705B7A">
            <w:pPr>
              <w:pStyle w:val="TablebodyleftFinancialsTables"/>
              <w:jc w:val="right"/>
              <w:rPr>
                <w:rFonts w:asciiTheme="minorHAnsi" w:hAnsiTheme="minorHAnsi" w:cstheme="minorHAnsi"/>
                <w:b/>
                <w:bCs/>
                <w:sz w:val="16"/>
              </w:rPr>
            </w:pPr>
          </w:p>
        </w:tc>
        <w:tc>
          <w:tcPr>
            <w:tcW w:w="1137" w:type="dxa"/>
          </w:tcPr>
          <w:p w14:paraId="38B48728" w14:textId="77777777" w:rsidR="00B02873" w:rsidRPr="00705B7A" w:rsidRDefault="00B02873" w:rsidP="00705B7A">
            <w:pPr>
              <w:pStyle w:val="TablebodyleftFinancialsTables"/>
              <w:jc w:val="right"/>
              <w:rPr>
                <w:rFonts w:asciiTheme="minorHAnsi" w:hAnsiTheme="minorHAnsi" w:cstheme="minorHAnsi"/>
                <w:b/>
                <w:bCs/>
                <w:sz w:val="16"/>
              </w:rPr>
            </w:pPr>
          </w:p>
        </w:tc>
        <w:tc>
          <w:tcPr>
            <w:tcW w:w="1134" w:type="dxa"/>
          </w:tcPr>
          <w:p w14:paraId="00B1DE21" w14:textId="77777777" w:rsidR="00B02873" w:rsidRPr="00CE1173" w:rsidRDefault="00B02873" w:rsidP="00705B7A">
            <w:pPr>
              <w:pStyle w:val="TablebodyleftFinancialsTables"/>
              <w:jc w:val="right"/>
              <w:rPr>
                <w:rFonts w:asciiTheme="minorHAnsi" w:hAnsiTheme="minorHAnsi" w:cstheme="minorHAnsi"/>
                <w:sz w:val="16"/>
              </w:rPr>
            </w:pPr>
          </w:p>
        </w:tc>
        <w:tc>
          <w:tcPr>
            <w:tcW w:w="1556" w:type="dxa"/>
          </w:tcPr>
          <w:p w14:paraId="42A34E3D" w14:textId="77777777" w:rsidR="00B02873" w:rsidRPr="00CE1173" w:rsidRDefault="00B02873" w:rsidP="00705B7A">
            <w:pPr>
              <w:pStyle w:val="TablebodyleftFinancialsTables"/>
              <w:jc w:val="right"/>
              <w:rPr>
                <w:rFonts w:asciiTheme="minorHAnsi" w:hAnsiTheme="minorHAnsi" w:cstheme="minorHAnsi"/>
                <w:sz w:val="16"/>
              </w:rPr>
            </w:pPr>
          </w:p>
        </w:tc>
        <w:tc>
          <w:tcPr>
            <w:tcW w:w="1134" w:type="dxa"/>
          </w:tcPr>
          <w:p w14:paraId="0DFD411F" w14:textId="77777777" w:rsidR="00B02873" w:rsidRPr="00CE1173" w:rsidRDefault="00B02873" w:rsidP="00705B7A">
            <w:pPr>
              <w:pStyle w:val="TablebodyleftFinancialsTables"/>
              <w:jc w:val="right"/>
              <w:rPr>
                <w:rFonts w:asciiTheme="minorHAnsi" w:hAnsiTheme="minorHAnsi" w:cstheme="minorHAnsi"/>
                <w:sz w:val="16"/>
              </w:rPr>
            </w:pPr>
          </w:p>
        </w:tc>
        <w:tc>
          <w:tcPr>
            <w:tcW w:w="992" w:type="dxa"/>
          </w:tcPr>
          <w:p w14:paraId="47B801BA" w14:textId="77777777" w:rsidR="00B02873" w:rsidRPr="00CE1173" w:rsidRDefault="00B02873" w:rsidP="00705B7A">
            <w:pPr>
              <w:pStyle w:val="TablebodyleftFinancialsTables"/>
              <w:jc w:val="right"/>
              <w:rPr>
                <w:rFonts w:asciiTheme="minorHAnsi" w:hAnsiTheme="minorHAnsi" w:cstheme="minorHAnsi"/>
                <w:sz w:val="16"/>
              </w:rPr>
            </w:pPr>
          </w:p>
        </w:tc>
      </w:tr>
      <w:tr w:rsidR="00B02873" w:rsidRPr="00CE1173" w14:paraId="5334473A" w14:textId="77777777" w:rsidTr="00CE1173">
        <w:tc>
          <w:tcPr>
            <w:tcW w:w="5216" w:type="dxa"/>
          </w:tcPr>
          <w:p w14:paraId="6AB635C6" w14:textId="77777777" w:rsidR="00B02873" w:rsidRPr="00CE1173" w:rsidRDefault="00B02873" w:rsidP="00CE1173">
            <w:pPr>
              <w:pStyle w:val="TablebodyleftFinancialsTables"/>
              <w:rPr>
                <w:rFonts w:asciiTheme="minorHAnsi" w:hAnsiTheme="minorHAnsi" w:cstheme="minorHAnsi"/>
                <w:sz w:val="16"/>
              </w:rPr>
            </w:pPr>
            <w:r w:rsidRPr="00CE1173">
              <w:rPr>
                <w:rFonts w:asciiTheme="minorHAnsi" w:hAnsiTheme="minorHAnsi" w:cstheme="minorHAnsi"/>
                <w:sz w:val="16"/>
              </w:rPr>
              <w:t>Trade receivables</w:t>
            </w:r>
          </w:p>
        </w:tc>
        <w:tc>
          <w:tcPr>
            <w:tcW w:w="1134" w:type="dxa"/>
          </w:tcPr>
          <w:p w14:paraId="6B39D0CF" w14:textId="77777777" w:rsidR="00B02873" w:rsidRPr="00705B7A" w:rsidRDefault="00B02873" w:rsidP="00705B7A">
            <w:pPr>
              <w:pStyle w:val="TablebodyleftFinancialsTables"/>
              <w:jc w:val="right"/>
              <w:rPr>
                <w:rFonts w:asciiTheme="minorHAnsi" w:hAnsiTheme="minorHAnsi" w:cstheme="minorHAnsi"/>
                <w:b/>
                <w:bCs/>
                <w:sz w:val="16"/>
              </w:rPr>
            </w:pPr>
            <w:r w:rsidRPr="00705B7A">
              <w:rPr>
                <w:rFonts w:asciiTheme="minorHAnsi" w:hAnsiTheme="minorHAnsi" w:cstheme="minorHAnsi"/>
                <w:b/>
                <w:bCs/>
                <w:sz w:val="16"/>
              </w:rPr>
              <w:t>39,470</w:t>
            </w:r>
          </w:p>
        </w:tc>
        <w:tc>
          <w:tcPr>
            <w:tcW w:w="1442" w:type="dxa"/>
          </w:tcPr>
          <w:p w14:paraId="240C73E9" w14:textId="77777777" w:rsidR="00B02873" w:rsidRPr="00705B7A" w:rsidRDefault="00B02873" w:rsidP="00705B7A">
            <w:pPr>
              <w:pStyle w:val="TablebodyleftFinancialsTables"/>
              <w:jc w:val="right"/>
              <w:rPr>
                <w:rFonts w:asciiTheme="minorHAnsi" w:hAnsiTheme="minorHAnsi" w:cstheme="minorHAnsi"/>
                <w:b/>
                <w:bCs/>
                <w:sz w:val="16"/>
              </w:rPr>
            </w:pPr>
            <w:r w:rsidRPr="00705B7A">
              <w:rPr>
                <w:rFonts w:asciiTheme="minorHAnsi" w:hAnsiTheme="minorHAnsi" w:cstheme="minorHAnsi"/>
                <w:b/>
                <w:bCs/>
                <w:sz w:val="16"/>
              </w:rPr>
              <w:t>–</w:t>
            </w:r>
          </w:p>
        </w:tc>
        <w:tc>
          <w:tcPr>
            <w:tcW w:w="1134" w:type="dxa"/>
          </w:tcPr>
          <w:p w14:paraId="0CC77BE7" w14:textId="77777777" w:rsidR="00B02873" w:rsidRPr="00705B7A" w:rsidRDefault="00B02873" w:rsidP="00705B7A">
            <w:pPr>
              <w:pStyle w:val="TablebodyleftFinancialsTables"/>
              <w:jc w:val="right"/>
              <w:rPr>
                <w:rFonts w:asciiTheme="minorHAnsi" w:hAnsiTheme="minorHAnsi" w:cstheme="minorHAnsi"/>
                <w:b/>
                <w:bCs/>
                <w:sz w:val="16"/>
              </w:rPr>
            </w:pPr>
            <w:r w:rsidRPr="00705B7A">
              <w:rPr>
                <w:rFonts w:asciiTheme="minorHAnsi" w:hAnsiTheme="minorHAnsi" w:cstheme="minorHAnsi"/>
                <w:b/>
                <w:bCs/>
                <w:sz w:val="16"/>
              </w:rPr>
              <w:t>–</w:t>
            </w:r>
          </w:p>
        </w:tc>
        <w:tc>
          <w:tcPr>
            <w:tcW w:w="1137" w:type="dxa"/>
          </w:tcPr>
          <w:p w14:paraId="5BE9009E" w14:textId="77777777" w:rsidR="00B02873" w:rsidRPr="00705B7A" w:rsidRDefault="00B02873" w:rsidP="00705B7A">
            <w:pPr>
              <w:pStyle w:val="TablebodyleftFinancialsTables"/>
              <w:jc w:val="right"/>
              <w:rPr>
                <w:rFonts w:asciiTheme="minorHAnsi" w:hAnsiTheme="minorHAnsi" w:cstheme="minorHAnsi"/>
                <w:b/>
                <w:bCs/>
                <w:sz w:val="16"/>
              </w:rPr>
            </w:pPr>
            <w:r w:rsidRPr="00705B7A">
              <w:rPr>
                <w:rFonts w:asciiTheme="minorHAnsi" w:hAnsiTheme="minorHAnsi" w:cstheme="minorHAnsi"/>
                <w:b/>
                <w:bCs/>
                <w:sz w:val="16"/>
              </w:rPr>
              <w:t>39,470</w:t>
            </w:r>
          </w:p>
        </w:tc>
        <w:tc>
          <w:tcPr>
            <w:tcW w:w="1134" w:type="dxa"/>
          </w:tcPr>
          <w:p w14:paraId="14C993FA" w14:textId="77777777" w:rsidR="00B02873" w:rsidRPr="00CE1173" w:rsidRDefault="00B02873" w:rsidP="00705B7A">
            <w:pPr>
              <w:pStyle w:val="TablebodyleftFinancialsTables"/>
              <w:jc w:val="right"/>
              <w:rPr>
                <w:rFonts w:asciiTheme="minorHAnsi" w:hAnsiTheme="minorHAnsi" w:cstheme="minorHAnsi"/>
                <w:sz w:val="16"/>
              </w:rPr>
            </w:pPr>
            <w:r w:rsidRPr="00CE1173">
              <w:rPr>
                <w:rFonts w:asciiTheme="minorHAnsi" w:hAnsiTheme="minorHAnsi" w:cstheme="minorHAnsi"/>
                <w:sz w:val="16"/>
              </w:rPr>
              <w:t>44,698</w:t>
            </w:r>
          </w:p>
        </w:tc>
        <w:tc>
          <w:tcPr>
            <w:tcW w:w="1556" w:type="dxa"/>
          </w:tcPr>
          <w:p w14:paraId="143EAAD9" w14:textId="77777777" w:rsidR="00B02873" w:rsidRPr="00CE1173" w:rsidRDefault="00B02873" w:rsidP="00705B7A">
            <w:pPr>
              <w:pStyle w:val="TablebodyleftFinancialsTables"/>
              <w:jc w:val="right"/>
              <w:rPr>
                <w:rFonts w:asciiTheme="minorHAnsi" w:hAnsiTheme="minorHAnsi" w:cstheme="minorHAnsi"/>
                <w:sz w:val="16"/>
              </w:rPr>
            </w:pPr>
            <w:r w:rsidRPr="00CE1173">
              <w:rPr>
                <w:rFonts w:asciiTheme="minorHAnsi" w:hAnsiTheme="minorHAnsi" w:cstheme="minorHAnsi"/>
                <w:sz w:val="16"/>
              </w:rPr>
              <w:t>–</w:t>
            </w:r>
          </w:p>
        </w:tc>
        <w:tc>
          <w:tcPr>
            <w:tcW w:w="1134" w:type="dxa"/>
          </w:tcPr>
          <w:p w14:paraId="432D162E" w14:textId="77777777" w:rsidR="00B02873" w:rsidRPr="00CE1173" w:rsidRDefault="00B02873" w:rsidP="00705B7A">
            <w:pPr>
              <w:pStyle w:val="TablebodyleftFinancialsTables"/>
              <w:jc w:val="right"/>
              <w:rPr>
                <w:rFonts w:asciiTheme="minorHAnsi" w:hAnsiTheme="minorHAnsi" w:cstheme="minorHAnsi"/>
                <w:sz w:val="16"/>
              </w:rPr>
            </w:pPr>
            <w:r w:rsidRPr="00CE1173">
              <w:rPr>
                <w:rFonts w:asciiTheme="minorHAnsi" w:hAnsiTheme="minorHAnsi" w:cstheme="minorHAnsi"/>
                <w:sz w:val="16"/>
              </w:rPr>
              <w:t>–</w:t>
            </w:r>
          </w:p>
        </w:tc>
        <w:tc>
          <w:tcPr>
            <w:tcW w:w="992" w:type="dxa"/>
          </w:tcPr>
          <w:p w14:paraId="33B8CA43" w14:textId="77777777" w:rsidR="00B02873" w:rsidRPr="00CE1173" w:rsidRDefault="00B02873" w:rsidP="00705B7A">
            <w:pPr>
              <w:pStyle w:val="TablebodyleftFinancialsTables"/>
              <w:jc w:val="right"/>
              <w:rPr>
                <w:rFonts w:asciiTheme="minorHAnsi" w:hAnsiTheme="minorHAnsi" w:cstheme="minorHAnsi"/>
                <w:sz w:val="16"/>
              </w:rPr>
            </w:pPr>
            <w:r w:rsidRPr="00CE1173">
              <w:rPr>
                <w:rFonts w:asciiTheme="minorHAnsi" w:hAnsiTheme="minorHAnsi" w:cstheme="minorHAnsi"/>
                <w:sz w:val="16"/>
              </w:rPr>
              <w:t>44,698</w:t>
            </w:r>
          </w:p>
        </w:tc>
      </w:tr>
      <w:tr w:rsidR="00B02873" w:rsidRPr="00CE1173" w14:paraId="1636DEB3" w14:textId="77777777" w:rsidTr="00CE1173">
        <w:tc>
          <w:tcPr>
            <w:tcW w:w="5216" w:type="dxa"/>
          </w:tcPr>
          <w:p w14:paraId="179D6293" w14:textId="77777777" w:rsidR="00B02873" w:rsidRPr="00CE1173" w:rsidRDefault="00B02873" w:rsidP="00CE1173">
            <w:pPr>
              <w:pStyle w:val="TablebodyleftFinancialsTables"/>
              <w:rPr>
                <w:rFonts w:asciiTheme="minorHAnsi" w:hAnsiTheme="minorHAnsi" w:cstheme="minorHAnsi"/>
                <w:sz w:val="16"/>
              </w:rPr>
            </w:pPr>
            <w:r w:rsidRPr="00CE1173">
              <w:rPr>
                <w:rFonts w:asciiTheme="minorHAnsi" w:hAnsiTheme="minorHAnsi" w:cstheme="minorHAnsi"/>
                <w:sz w:val="16"/>
              </w:rPr>
              <w:t>Concessional loans</w:t>
            </w:r>
          </w:p>
        </w:tc>
        <w:tc>
          <w:tcPr>
            <w:tcW w:w="1134" w:type="dxa"/>
          </w:tcPr>
          <w:p w14:paraId="0BDB6777" w14:textId="77777777" w:rsidR="00B02873" w:rsidRPr="00705B7A" w:rsidRDefault="00B02873" w:rsidP="00705B7A">
            <w:pPr>
              <w:pStyle w:val="TablebodyleftFinancialsTables"/>
              <w:jc w:val="right"/>
              <w:rPr>
                <w:rFonts w:asciiTheme="minorHAnsi" w:hAnsiTheme="minorHAnsi" w:cstheme="minorHAnsi"/>
                <w:b/>
                <w:bCs/>
                <w:sz w:val="16"/>
              </w:rPr>
            </w:pPr>
            <w:r w:rsidRPr="00705B7A">
              <w:rPr>
                <w:rFonts w:asciiTheme="minorHAnsi" w:hAnsiTheme="minorHAnsi" w:cstheme="minorHAnsi"/>
                <w:b/>
                <w:bCs/>
                <w:sz w:val="16"/>
              </w:rPr>
              <w:t>110,584</w:t>
            </w:r>
          </w:p>
        </w:tc>
        <w:tc>
          <w:tcPr>
            <w:tcW w:w="1442" w:type="dxa"/>
          </w:tcPr>
          <w:p w14:paraId="7B1CED56" w14:textId="77777777" w:rsidR="00B02873" w:rsidRPr="00705B7A" w:rsidRDefault="00B02873" w:rsidP="00705B7A">
            <w:pPr>
              <w:pStyle w:val="TablebodyleftFinancialsTables"/>
              <w:jc w:val="right"/>
              <w:rPr>
                <w:rFonts w:asciiTheme="minorHAnsi" w:hAnsiTheme="minorHAnsi" w:cstheme="minorHAnsi"/>
                <w:b/>
                <w:bCs/>
                <w:sz w:val="16"/>
              </w:rPr>
            </w:pPr>
            <w:r w:rsidRPr="00705B7A">
              <w:rPr>
                <w:rFonts w:asciiTheme="minorHAnsi" w:hAnsiTheme="minorHAnsi" w:cstheme="minorHAnsi"/>
                <w:b/>
                <w:bCs/>
                <w:sz w:val="16"/>
              </w:rPr>
              <w:t>–</w:t>
            </w:r>
          </w:p>
        </w:tc>
        <w:tc>
          <w:tcPr>
            <w:tcW w:w="1134" w:type="dxa"/>
          </w:tcPr>
          <w:p w14:paraId="1FC9E36C" w14:textId="77777777" w:rsidR="00B02873" w:rsidRPr="00705B7A" w:rsidRDefault="00B02873" w:rsidP="00705B7A">
            <w:pPr>
              <w:pStyle w:val="TablebodyleftFinancialsTables"/>
              <w:jc w:val="right"/>
              <w:rPr>
                <w:rFonts w:asciiTheme="minorHAnsi" w:hAnsiTheme="minorHAnsi" w:cstheme="minorHAnsi"/>
                <w:b/>
                <w:bCs/>
                <w:sz w:val="16"/>
              </w:rPr>
            </w:pPr>
            <w:r w:rsidRPr="00705B7A">
              <w:rPr>
                <w:rFonts w:asciiTheme="minorHAnsi" w:hAnsiTheme="minorHAnsi" w:cstheme="minorHAnsi"/>
                <w:b/>
                <w:bCs/>
                <w:sz w:val="16"/>
              </w:rPr>
              <w:t>–</w:t>
            </w:r>
          </w:p>
        </w:tc>
        <w:tc>
          <w:tcPr>
            <w:tcW w:w="1137" w:type="dxa"/>
          </w:tcPr>
          <w:p w14:paraId="1F265E5C" w14:textId="77777777" w:rsidR="00B02873" w:rsidRPr="00705B7A" w:rsidRDefault="00B02873" w:rsidP="00705B7A">
            <w:pPr>
              <w:pStyle w:val="TablebodyleftFinancialsTables"/>
              <w:jc w:val="right"/>
              <w:rPr>
                <w:rFonts w:asciiTheme="minorHAnsi" w:hAnsiTheme="minorHAnsi" w:cstheme="minorHAnsi"/>
                <w:b/>
                <w:bCs/>
                <w:sz w:val="16"/>
              </w:rPr>
            </w:pPr>
            <w:r w:rsidRPr="00705B7A">
              <w:rPr>
                <w:rFonts w:asciiTheme="minorHAnsi" w:hAnsiTheme="minorHAnsi" w:cstheme="minorHAnsi"/>
                <w:b/>
                <w:bCs/>
                <w:sz w:val="16"/>
              </w:rPr>
              <w:t>110,584</w:t>
            </w:r>
          </w:p>
        </w:tc>
        <w:tc>
          <w:tcPr>
            <w:tcW w:w="1134" w:type="dxa"/>
          </w:tcPr>
          <w:p w14:paraId="1DFEA4C6" w14:textId="77777777" w:rsidR="00B02873" w:rsidRPr="00CE1173" w:rsidRDefault="00B02873" w:rsidP="00705B7A">
            <w:pPr>
              <w:pStyle w:val="TablebodyleftFinancialsTables"/>
              <w:jc w:val="right"/>
              <w:rPr>
                <w:rFonts w:asciiTheme="minorHAnsi" w:hAnsiTheme="minorHAnsi" w:cstheme="minorHAnsi"/>
                <w:sz w:val="16"/>
              </w:rPr>
            </w:pPr>
            <w:r w:rsidRPr="00CE1173">
              <w:rPr>
                <w:rFonts w:asciiTheme="minorHAnsi" w:hAnsiTheme="minorHAnsi" w:cstheme="minorHAnsi"/>
                <w:sz w:val="16"/>
              </w:rPr>
              <w:t>100,044</w:t>
            </w:r>
          </w:p>
        </w:tc>
        <w:tc>
          <w:tcPr>
            <w:tcW w:w="1556" w:type="dxa"/>
          </w:tcPr>
          <w:p w14:paraId="4D03FFFE" w14:textId="77777777" w:rsidR="00B02873" w:rsidRPr="00CE1173" w:rsidRDefault="00B02873" w:rsidP="00705B7A">
            <w:pPr>
              <w:pStyle w:val="TablebodyleftFinancialsTables"/>
              <w:jc w:val="right"/>
              <w:rPr>
                <w:rFonts w:asciiTheme="minorHAnsi" w:hAnsiTheme="minorHAnsi" w:cstheme="minorHAnsi"/>
                <w:sz w:val="16"/>
              </w:rPr>
            </w:pPr>
            <w:r w:rsidRPr="00CE1173">
              <w:rPr>
                <w:rFonts w:asciiTheme="minorHAnsi" w:hAnsiTheme="minorHAnsi" w:cstheme="minorHAnsi"/>
                <w:sz w:val="16"/>
              </w:rPr>
              <w:t>–</w:t>
            </w:r>
          </w:p>
        </w:tc>
        <w:tc>
          <w:tcPr>
            <w:tcW w:w="1134" w:type="dxa"/>
          </w:tcPr>
          <w:p w14:paraId="2D8098BA" w14:textId="77777777" w:rsidR="00B02873" w:rsidRPr="00CE1173" w:rsidRDefault="00B02873" w:rsidP="00705B7A">
            <w:pPr>
              <w:pStyle w:val="TablebodyleftFinancialsTables"/>
              <w:jc w:val="right"/>
              <w:rPr>
                <w:rFonts w:asciiTheme="minorHAnsi" w:hAnsiTheme="minorHAnsi" w:cstheme="minorHAnsi"/>
                <w:sz w:val="16"/>
              </w:rPr>
            </w:pPr>
            <w:r w:rsidRPr="00CE1173">
              <w:rPr>
                <w:rFonts w:asciiTheme="minorHAnsi" w:hAnsiTheme="minorHAnsi" w:cstheme="minorHAnsi"/>
                <w:sz w:val="16"/>
              </w:rPr>
              <w:t>–</w:t>
            </w:r>
          </w:p>
        </w:tc>
        <w:tc>
          <w:tcPr>
            <w:tcW w:w="992" w:type="dxa"/>
          </w:tcPr>
          <w:p w14:paraId="396FEF2A" w14:textId="77777777" w:rsidR="00B02873" w:rsidRPr="00CE1173" w:rsidRDefault="00B02873" w:rsidP="00705B7A">
            <w:pPr>
              <w:pStyle w:val="TablebodyleftFinancialsTables"/>
              <w:jc w:val="right"/>
              <w:rPr>
                <w:rFonts w:asciiTheme="minorHAnsi" w:hAnsiTheme="minorHAnsi" w:cstheme="minorHAnsi"/>
                <w:sz w:val="16"/>
              </w:rPr>
            </w:pPr>
            <w:r w:rsidRPr="00CE1173">
              <w:rPr>
                <w:rFonts w:asciiTheme="minorHAnsi" w:hAnsiTheme="minorHAnsi" w:cstheme="minorHAnsi"/>
                <w:sz w:val="16"/>
              </w:rPr>
              <w:t>100,044</w:t>
            </w:r>
          </w:p>
        </w:tc>
      </w:tr>
      <w:tr w:rsidR="00B02873" w:rsidRPr="00CE1173" w14:paraId="2D2FC83B" w14:textId="77777777" w:rsidTr="00CE1173">
        <w:tc>
          <w:tcPr>
            <w:tcW w:w="5216" w:type="dxa"/>
          </w:tcPr>
          <w:p w14:paraId="520A3498" w14:textId="77777777" w:rsidR="00B02873" w:rsidRPr="00705B7A" w:rsidRDefault="00B02873" w:rsidP="00CE1173">
            <w:pPr>
              <w:pStyle w:val="TablebodyleftFinancialsTables"/>
              <w:rPr>
                <w:rFonts w:asciiTheme="minorHAnsi" w:hAnsiTheme="minorHAnsi" w:cstheme="minorHAnsi"/>
                <w:b/>
                <w:bCs/>
                <w:sz w:val="16"/>
              </w:rPr>
            </w:pPr>
            <w:r w:rsidRPr="00705B7A">
              <w:rPr>
                <w:rFonts w:asciiTheme="minorHAnsi" w:hAnsiTheme="minorHAnsi" w:cstheme="minorHAnsi"/>
                <w:b/>
                <w:bCs/>
                <w:sz w:val="16"/>
              </w:rPr>
              <w:t xml:space="preserve">Derivative financial instruments </w:t>
            </w:r>
          </w:p>
        </w:tc>
        <w:tc>
          <w:tcPr>
            <w:tcW w:w="1134" w:type="dxa"/>
          </w:tcPr>
          <w:p w14:paraId="6C909491" w14:textId="77777777" w:rsidR="00B02873" w:rsidRPr="00705B7A" w:rsidRDefault="00B02873" w:rsidP="00705B7A">
            <w:pPr>
              <w:pStyle w:val="TablebodyleftFinancialsTables"/>
              <w:jc w:val="right"/>
              <w:rPr>
                <w:rFonts w:asciiTheme="minorHAnsi" w:hAnsiTheme="minorHAnsi" w:cstheme="minorHAnsi"/>
                <w:b/>
                <w:bCs/>
                <w:sz w:val="16"/>
              </w:rPr>
            </w:pPr>
            <w:r w:rsidRPr="00705B7A">
              <w:rPr>
                <w:rFonts w:asciiTheme="minorHAnsi" w:hAnsiTheme="minorHAnsi" w:cstheme="minorHAnsi"/>
                <w:b/>
                <w:bCs/>
                <w:sz w:val="16"/>
              </w:rPr>
              <w:t>–</w:t>
            </w:r>
          </w:p>
        </w:tc>
        <w:tc>
          <w:tcPr>
            <w:tcW w:w="1442" w:type="dxa"/>
          </w:tcPr>
          <w:p w14:paraId="01A0675B" w14:textId="77777777" w:rsidR="00B02873" w:rsidRPr="00705B7A" w:rsidRDefault="00B02873" w:rsidP="00705B7A">
            <w:pPr>
              <w:pStyle w:val="TablebodyleftFinancialsTables"/>
              <w:jc w:val="right"/>
              <w:rPr>
                <w:rFonts w:asciiTheme="minorHAnsi" w:hAnsiTheme="minorHAnsi" w:cstheme="minorHAnsi"/>
                <w:b/>
                <w:bCs/>
                <w:sz w:val="16"/>
              </w:rPr>
            </w:pPr>
            <w:r w:rsidRPr="00705B7A">
              <w:rPr>
                <w:rFonts w:asciiTheme="minorHAnsi" w:hAnsiTheme="minorHAnsi" w:cstheme="minorHAnsi"/>
                <w:b/>
                <w:bCs/>
                <w:sz w:val="16"/>
              </w:rPr>
              <w:t>429,933</w:t>
            </w:r>
          </w:p>
        </w:tc>
        <w:tc>
          <w:tcPr>
            <w:tcW w:w="1134" w:type="dxa"/>
          </w:tcPr>
          <w:p w14:paraId="01A9B819" w14:textId="77777777" w:rsidR="00B02873" w:rsidRPr="00705B7A" w:rsidRDefault="00B02873" w:rsidP="00705B7A">
            <w:pPr>
              <w:pStyle w:val="TablebodyleftFinancialsTables"/>
              <w:jc w:val="right"/>
              <w:rPr>
                <w:rFonts w:asciiTheme="minorHAnsi" w:hAnsiTheme="minorHAnsi" w:cstheme="minorHAnsi"/>
                <w:b/>
                <w:bCs/>
                <w:sz w:val="16"/>
              </w:rPr>
            </w:pPr>
            <w:r w:rsidRPr="00705B7A">
              <w:rPr>
                <w:rFonts w:asciiTheme="minorHAnsi" w:hAnsiTheme="minorHAnsi" w:cstheme="minorHAnsi"/>
                <w:b/>
                <w:bCs/>
                <w:sz w:val="16"/>
              </w:rPr>
              <w:t>–</w:t>
            </w:r>
          </w:p>
        </w:tc>
        <w:tc>
          <w:tcPr>
            <w:tcW w:w="1137" w:type="dxa"/>
          </w:tcPr>
          <w:p w14:paraId="670846BC" w14:textId="77777777" w:rsidR="00B02873" w:rsidRPr="00705B7A" w:rsidRDefault="00B02873" w:rsidP="00705B7A">
            <w:pPr>
              <w:pStyle w:val="TablebodyleftFinancialsTables"/>
              <w:jc w:val="right"/>
              <w:rPr>
                <w:rFonts w:asciiTheme="minorHAnsi" w:hAnsiTheme="minorHAnsi" w:cstheme="minorHAnsi"/>
                <w:b/>
                <w:bCs/>
                <w:sz w:val="16"/>
              </w:rPr>
            </w:pPr>
            <w:r w:rsidRPr="00705B7A">
              <w:rPr>
                <w:rFonts w:asciiTheme="minorHAnsi" w:hAnsiTheme="minorHAnsi" w:cstheme="minorHAnsi"/>
                <w:b/>
                <w:bCs/>
                <w:sz w:val="16"/>
              </w:rPr>
              <w:t>429,933</w:t>
            </w:r>
          </w:p>
        </w:tc>
        <w:tc>
          <w:tcPr>
            <w:tcW w:w="1134" w:type="dxa"/>
          </w:tcPr>
          <w:p w14:paraId="438E93B7" w14:textId="77777777" w:rsidR="00B02873" w:rsidRPr="00CE1173" w:rsidRDefault="00B02873" w:rsidP="00705B7A">
            <w:pPr>
              <w:pStyle w:val="TablebodyleftFinancialsTables"/>
              <w:jc w:val="right"/>
              <w:rPr>
                <w:rFonts w:asciiTheme="minorHAnsi" w:hAnsiTheme="minorHAnsi" w:cstheme="minorHAnsi"/>
                <w:sz w:val="16"/>
              </w:rPr>
            </w:pPr>
            <w:r w:rsidRPr="00CE1173">
              <w:rPr>
                <w:rFonts w:asciiTheme="minorHAnsi" w:hAnsiTheme="minorHAnsi" w:cstheme="minorHAnsi"/>
                <w:sz w:val="16"/>
              </w:rPr>
              <w:t>–</w:t>
            </w:r>
          </w:p>
        </w:tc>
        <w:tc>
          <w:tcPr>
            <w:tcW w:w="1556" w:type="dxa"/>
          </w:tcPr>
          <w:p w14:paraId="4FC5B6E9" w14:textId="77777777" w:rsidR="00B02873" w:rsidRPr="00CE1173" w:rsidRDefault="00B02873" w:rsidP="00705B7A">
            <w:pPr>
              <w:pStyle w:val="TablebodyleftFinancialsTables"/>
              <w:jc w:val="right"/>
              <w:rPr>
                <w:rFonts w:asciiTheme="minorHAnsi" w:hAnsiTheme="minorHAnsi" w:cstheme="minorHAnsi"/>
                <w:sz w:val="16"/>
              </w:rPr>
            </w:pPr>
            <w:r w:rsidRPr="00CE1173">
              <w:rPr>
                <w:rFonts w:asciiTheme="minorHAnsi" w:hAnsiTheme="minorHAnsi" w:cstheme="minorHAnsi"/>
                <w:sz w:val="16"/>
              </w:rPr>
              <w:t>80,669</w:t>
            </w:r>
          </w:p>
        </w:tc>
        <w:tc>
          <w:tcPr>
            <w:tcW w:w="1134" w:type="dxa"/>
          </w:tcPr>
          <w:p w14:paraId="6F06E3E8" w14:textId="77777777" w:rsidR="00B02873" w:rsidRPr="00CE1173" w:rsidRDefault="00B02873" w:rsidP="00705B7A">
            <w:pPr>
              <w:pStyle w:val="TablebodyleftFinancialsTables"/>
              <w:jc w:val="right"/>
              <w:rPr>
                <w:rFonts w:asciiTheme="minorHAnsi" w:hAnsiTheme="minorHAnsi" w:cstheme="minorHAnsi"/>
                <w:sz w:val="16"/>
              </w:rPr>
            </w:pPr>
            <w:r w:rsidRPr="00CE1173">
              <w:rPr>
                <w:rFonts w:asciiTheme="minorHAnsi" w:hAnsiTheme="minorHAnsi" w:cstheme="minorHAnsi"/>
                <w:sz w:val="16"/>
              </w:rPr>
              <w:t>–</w:t>
            </w:r>
          </w:p>
        </w:tc>
        <w:tc>
          <w:tcPr>
            <w:tcW w:w="992" w:type="dxa"/>
          </w:tcPr>
          <w:p w14:paraId="76621E42" w14:textId="77777777" w:rsidR="00B02873" w:rsidRPr="00CE1173" w:rsidRDefault="00B02873" w:rsidP="00705B7A">
            <w:pPr>
              <w:pStyle w:val="TablebodyleftFinancialsTables"/>
              <w:jc w:val="right"/>
              <w:rPr>
                <w:rFonts w:asciiTheme="minorHAnsi" w:hAnsiTheme="minorHAnsi" w:cstheme="minorHAnsi"/>
                <w:sz w:val="16"/>
              </w:rPr>
            </w:pPr>
            <w:r w:rsidRPr="00CE1173">
              <w:rPr>
                <w:rFonts w:asciiTheme="minorHAnsi" w:hAnsiTheme="minorHAnsi" w:cstheme="minorHAnsi"/>
                <w:sz w:val="16"/>
              </w:rPr>
              <w:t>80,669</w:t>
            </w:r>
          </w:p>
        </w:tc>
      </w:tr>
      <w:tr w:rsidR="00B02873" w:rsidRPr="00CE1173" w14:paraId="68E829D5" w14:textId="77777777" w:rsidTr="00CE1173">
        <w:tc>
          <w:tcPr>
            <w:tcW w:w="5216" w:type="dxa"/>
          </w:tcPr>
          <w:p w14:paraId="1D215BD3" w14:textId="77777777" w:rsidR="00B02873" w:rsidRPr="00705B7A" w:rsidRDefault="00B02873" w:rsidP="00CE1173">
            <w:pPr>
              <w:pStyle w:val="TablebodyleftFinancialsTables"/>
              <w:rPr>
                <w:rFonts w:asciiTheme="minorHAnsi" w:hAnsiTheme="minorHAnsi" w:cstheme="minorHAnsi"/>
                <w:b/>
                <w:bCs/>
                <w:sz w:val="16"/>
              </w:rPr>
            </w:pPr>
            <w:r w:rsidRPr="00705B7A">
              <w:rPr>
                <w:rFonts w:asciiTheme="minorHAnsi" w:hAnsiTheme="minorHAnsi" w:cstheme="minorHAnsi"/>
                <w:b/>
                <w:bCs/>
                <w:sz w:val="16"/>
              </w:rPr>
              <w:t>Total contractual financial assets</w:t>
            </w:r>
          </w:p>
        </w:tc>
        <w:tc>
          <w:tcPr>
            <w:tcW w:w="1134" w:type="dxa"/>
          </w:tcPr>
          <w:p w14:paraId="23CC5FB5" w14:textId="77777777" w:rsidR="00B02873" w:rsidRPr="00705B7A" w:rsidRDefault="00B02873" w:rsidP="00705B7A">
            <w:pPr>
              <w:pStyle w:val="TablebodyleftFinancialsTables"/>
              <w:jc w:val="right"/>
              <w:rPr>
                <w:rFonts w:asciiTheme="minorHAnsi" w:hAnsiTheme="minorHAnsi" w:cstheme="minorHAnsi"/>
                <w:b/>
                <w:bCs/>
                <w:sz w:val="16"/>
              </w:rPr>
            </w:pPr>
            <w:r w:rsidRPr="00705B7A">
              <w:rPr>
                <w:rFonts w:asciiTheme="minorHAnsi" w:hAnsiTheme="minorHAnsi" w:cstheme="minorHAnsi"/>
                <w:b/>
                <w:bCs/>
                <w:sz w:val="16"/>
              </w:rPr>
              <w:t>1,431,590</w:t>
            </w:r>
          </w:p>
        </w:tc>
        <w:tc>
          <w:tcPr>
            <w:tcW w:w="1442" w:type="dxa"/>
          </w:tcPr>
          <w:p w14:paraId="7280631D" w14:textId="77777777" w:rsidR="00B02873" w:rsidRPr="00705B7A" w:rsidRDefault="00B02873" w:rsidP="00705B7A">
            <w:pPr>
              <w:pStyle w:val="TablebodyleftFinancialsTables"/>
              <w:jc w:val="right"/>
              <w:rPr>
                <w:rFonts w:asciiTheme="minorHAnsi" w:hAnsiTheme="minorHAnsi" w:cstheme="minorHAnsi"/>
                <w:b/>
                <w:bCs/>
                <w:sz w:val="16"/>
              </w:rPr>
            </w:pPr>
            <w:r w:rsidRPr="00705B7A">
              <w:rPr>
                <w:rFonts w:asciiTheme="minorHAnsi" w:hAnsiTheme="minorHAnsi" w:cstheme="minorHAnsi"/>
                <w:b/>
                <w:bCs/>
                <w:sz w:val="16"/>
              </w:rPr>
              <w:t>429,933</w:t>
            </w:r>
          </w:p>
        </w:tc>
        <w:tc>
          <w:tcPr>
            <w:tcW w:w="1134" w:type="dxa"/>
          </w:tcPr>
          <w:p w14:paraId="426750DD" w14:textId="77777777" w:rsidR="00B02873" w:rsidRPr="00705B7A" w:rsidRDefault="00B02873" w:rsidP="00705B7A">
            <w:pPr>
              <w:pStyle w:val="TablebodyleftFinancialsTables"/>
              <w:jc w:val="right"/>
              <w:rPr>
                <w:rFonts w:asciiTheme="minorHAnsi" w:hAnsiTheme="minorHAnsi" w:cstheme="minorHAnsi"/>
                <w:b/>
                <w:bCs/>
                <w:sz w:val="16"/>
              </w:rPr>
            </w:pPr>
            <w:r w:rsidRPr="00705B7A">
              <w:rPr>
                <w:rFonts w:asciiTheme="minorHAnsi" w:hAnsiTheme="minorHAnsi" w:cstheme="minorHAnsi"/>
                <w:b/>
                <w:bCs/>
                <w:sz w:val="16"/>
              </w:rPr>
              <w:t>–</w:t>
            </w:r>
          </w:p>
        </w:tc>
        <w:tc>
          <w:tcPr>
            <w:tcW w:w="1137" w:type="dxa"/>
          </w:tcPr>
          <w:p w14:paraId="1095F58C" w14:textId="77777777" w:rsidR="00B02873" w:rsidRPr="00705B7A" w:rsidRDefault="00B02873" w:rsidP="00705B7A">
            <w:pPr>
              <w:pStyle w:val="TablebodyleftFinancialsTables"/>
              <w:jc w:val="right"/>
              <w:rPr>
                <w:rFonts w:asciiTheme="minorHAnsi" w:hAnsiTheme="minorHAnsi" w:cstheme="minorHAnsi"/>
                <w:b/>
                <w:bCs/>
                <w:sz w:val="16"/>
              </w:rPr>
            </w:pPr>
            <w:r w:rsidRPr="00705B7A">
              <w:rPr>
                <w:rFonts w:asciiTheme="minorHAnsi" w:hAnsiTheme="minorHAnsi" w:cstheme="minorHAnsi"/>
                <w:b/>
                <w:bCs/>
                <w:sz w:val="16"/>
              </w:rPr>
              <w:t>1,861,523</w:t>
            </w:r>
          </w:p>
        </w:tc>
        <w:tc>
          <w:tcPr>
            <w:tcW w:w="1134" w:type="dxa"/>
          </w:tcPr>
          <w:p w14:paraId="63F9A55E" w14:textId="77777777" w:rsidR="00B02873" w:rsidRPr="00CE1173" w:rsidRDefault="00B02873" w:rsidP="00705B7A">
            <w:pPr>
              <w:pStyle w:val="TablebodyleftFinancialsTables"/>
              <w:jc w:val="right"/>
              <w:rPr>
                <w:rFonts w:asciiTheme="minorHAnsi" w:hAnsiTheme="minorHAnsi" w:cstheme="minorHAnsi"/>
                <w:sz w:val="16"/>
              </w:rPr>
            </w:pPr>
            <w:r w:rsidRPr="00CE1173">
              <w:rPr>
                <w:rFonts w:asciiTheme="minorHAnsi" w:hAnsiTheme="minorHAnsi" w:cstheme="minorHAnsi"/>
                <w:sz w:val="16"/>
              </w:rPr>
              <w:t>1,387,423</w:t>
            </w:r>
          </w:p>
        </w:tc>
        <w:tc>
          <w:tcPr>
            <w:tcW w:w="1556" w:type="dxa"/>
          </w:tcPr>
          <w:p w14:paraId="7B49F91C" w14:textId="77777777" w:rsidR="00B02873" w:rsidRPr="00CE1173" w:rsidRDefault="00B02873" w:rsidP="00705B7A">
            <w:pPr>
              <w:pStyle w:val="TablebodyleftFinancialsTables"/>
              <w:jc w:val="right"/>
              <w:rPr>
                <w:rFonts w:asciiTheme="minorHAnsi" w:hAnsiTheme="minorHAnsi" w:cstheme="minorHAnsi"/>
                <w:sz w:val="16"/>
              </w:rPr>
            </w:pPr>
            <w:r w:rsidRPr="00CE1173">
              <w:rPr>
                <w:rFonts w:asciiTheme="minorHAnsi" w:hAnsiTheme="minorHAnsi" w:cstheme="minorHAnsi"/>
                <w:sz w:val="16"/>
              </w:rPr>
              <w:t>80,669</w:t>
            </w:r>
          </w:p>
        </w:tc>
        <w:tc>
          <w:tcPr>
            <w:tcW w:w="1134" w:type="dxa"/>
          </w:tcPr>
          <w:p w14:paraId="5FE6B1F0" w14:textId="77777777" w:rsidR="00B02873" w:rsidRPr="00CE1173" w:rsidRDefault="00B02873" w:rsidP="00705B7A">
            <w:pPr>
              <w:pStyle w:val="TablebodyleftFinancialsTables"/>
              <w:jc w:val="right"/>
              <w:rPr>
                <w:rFonts w:asciiTheme="minorHAnsi" w:hAnsiTheme="minorHAnsi" w:cstheme="minorHAnsi"/>
                <w:sz w:val="16"/>
              </w:rPr>
            </w:pPr>
            <w:r w:rsidRPr="00CE1173">
              <w:rPr>
                <w:rFonts w:asciiTheme="minorHAnsi" w:hAnsiTheme="minorHAnsi" w:cstheme="minorHAnsi"/>
                <w:sz w:val="16"/>
              </w:rPr>
              <w:t>–</w:t>
            </w:r>
          </w:p>
        </w:tc>
        <w:tc>
          <w:tcPr>
            <w:tcW w:w="992" w:type="dxa"/>
          </w:tcPr>
          <w:p w14:paraId="30452D50" w14:textId="77777777" w:rsidR="00B02873" w:rsidRPr="00CE1173" w:rsidRDefault="00B02873" w:rsidP="00705B7A">
            <w:pPr>
              <w:pStyle w:val="TablebodyleftFinancialsTables"/>
              <w:jc w:val="right"/>
              <w:rPr>
                <w:rFonts w:asciiTheme="minorHAnsi" w:hAnsiTheme="minorHAnsi" w:cstheme="minorHAnsi"/>
                <w:sz w:val="16"/>
              </w:rPr>
            </w:pPr>
            <w:r w:rsidRPr="00CE1173">
              <w:rPr>
                <w:rFonts w:asciiTheme="minorHAnsi" w:hAnsiTheme="minorHAnsi" w:cstheme="minorHAnsi"/>
                <w:sz w:val="16"/>
              </w:rPr>
              <w:t>1,468,092</w:t>
            </w:r>
          </w:p>
        </w:tc>
      </w:tr>
      <w:tr w:rsidR="00B02873" w:rsidRPr="00CE1173" w14:paraId="6F54CC3D" w14:textId="77777777" w:rsidTr="00CE1173">
        <w:tc>
          <w:tcPr>
            <w:tcW w:w="5216" w:type="dxa"/>
          </w:tcPr>
          <w:p w14:paraId="2D99AD11" w14:textId="77777777" w:rsidR="00B02873" w:rsidRPr="00705B7A" w:rsidRDefault="00B02873" w:rsidP="00CE1173">
            <w:pPr>
              <w:pStyle w:val="TablebodyleftFinancialsTables"/>
              <w:rPr>
                <w:rFonts w:asciiTheme="minorHAnsi" w:hAnsiTheme="minorHAnsi" w:cstheme="minorHAnsi"/>
                <w:b/>
                <w:bCs/>
                <w:sz w:val="16"/>
              </w:rPr>
            </w:pPr>
            <w:r w:rsidRPr="00705B7A">
              <w:rPr>
                <w:rFonts w:asciiTheme="minorHAnsi" w:hAnsiTheme="minorHAnsi" w:cstheme="minorHAnsi"/>
                <w:b/>
                <w:bCs/>
                <w:sz w:val="16"/>
              </w:rPr>
              <w:t>Contractual financial liabilities</w:t>
            </w:r>
          </w:p>
        </w:tc>
        <w:tc>
          <w:tcPr>
            <w:tcW w:w="1134" w:type="dxa"/>
          </w:tcPr>
          <w:p w14:paraId="7B913319" w14:textId="77777777" w:rsidR="00B02873" w:rsidRPr="00705B7A" w:rsidRDefault="00B02873" w:rsidP="00705B7A">
            <w:pPr>
              <w:pStyle w:val="TablebodyleftFinancialsTables"/>
              <w:jc w:val="right"/>
              <w:rPr>
                <w:rFonts w:asciiTheme="minorHAnsi" w:hAnsiTheme="minorHAnsi" w:cstheme="minorHAnsi"/>
                <w:b/>
                <w:bCs/>
                <w:sz w:val="16"/>
              </w:rPr>
            </w:pPr>
          </w:p>
        </w:tc>
        <w:tc>
          <w:tcPr>
            <w:tcW w:w="1442" w:type="dxa"/>
          </w:tcPr>
          <w:p w14:paraId="0C6242B1" w14:textId="77777777" w:rsidR="00B02873" w:rsidRPr="00705B7A" w:rsidRDefault="00B02873" w:rsidP="00705B7A">
            <w:pPr>
              <w:pStyle w:val="TablebodyleftFinancialsTables"/>
              <w:jc w:val="right"/>
              <w:rPr>
                <w:rFonts w:asciiTheme="minorHAnsi" w:hAnsiTheme="minorHAnsi" w:cstheme="minorHAnsi"/>
                <w:b/>
                <w:bCs/>
                <w:sz w:val="16"/>
              </w:rPr>
            </w:pPr>
          </w:p>
        </w:tc>
        <w:tc>
          <w:tcPr>
            <w:tcW w:w="1134" w:type="dxa"/>
          </w:tcPr>
          <w:p w14:paraId="30A5367A" w14:textId="77777777" w:rsidR="00B02873" w:rsidRPr="00705B7A" w:rsidRDefault="00B02873" w:rsidP="00705B7A">
            <w:pPr>
              <w:pStyle w:val="TablebodyleftFinancialsTables"/>
              <w:jc w:val="right"/>
              <w:rPr>
                <w:rFonts w:asciiTheme="minorHAnsi" w:hAnsiTheme="minorHAnsi" w:cstheme="minorHAnsi"/>
                <w:b/>
                <w:bCs/>
                <w:sz w:val="16"/>
              </w:rPr>
            </w:pPr>
          </w:p>
        </w:tc>
        <w:tc>
          <w:tcPr>
            <w:tcW w:w="1137" w:type="dxa"/>
          </w:tcPr>
          <w:p w14:paraId="4D27A64F" w14:textId="77777777" w:rsidR="00B02873" w:rsidRPr="00705B7A" w:rsidRDefault="00B02873" w:rsidP="00705B7A">
            <w:pPr>
              <w:pStyle w:val="TablebodyleftFinancialsTables"/>
              <w:jc w:val="right"/>
              <w:rPr>
                <w:rFonts w:asciiTheme="minorHAnsi" w:hAnsiTheme="minorHAnsi" w:cstheme="minorHAnsi"/>
                <w:b/>
                <w:bCs/>
                <w:sz w:val="16"/>
              </w:rPr>
            </w:pPr>
          </w:p>
        </w:tc>
        <w:tc>
          <w:tcPr>
            <w:tcW w:w="1134" w:type="dxa"/>
          </w:tcPr>
          <w:p w14:paraId="05240330" w14:textId="77777777" w:rsidR="00B02873" w:rsidRPr="00CE1173" w:rsidRDefault="00B02873" w:rsidP="00705B7A">
            <w:pPr>
              <w:pStyle w:val="TablebodyleftFinancialsTables"/>
              <w:jc w:val="right"/>
              <w:rPr>
                <w:rFonts w:asciiTheme="minorHAnsi" w:hAnsiTheme="minorHAnsi" w:cstheme="minorHAnsi"/>
                <w:sz w:val="16"/>
              </w:rPr>
            </w:pPr>
          </w:p>
        </w:tc>
        <w:tc>
          <w:tcPr>
            <w:tcW w:w="1556" w:type="dxa"/>
          </w:tcPr>
          <w:p w14:paraId="519AFDC9" w14:textId="77777777" w:rsidR="00B02873" w:rsidRPr="00CE1173" w:rsidRDefault="00B02873" w:rsidP="00705B7A">
            <w:pPr>
              <w:pStyle w:val="TablebodyleftFinancialsTables"/>
              <w:jc w:val="right"/>
              <w:rPr>
                <w:rFonts w:asciiTheme="minorHAnsi" w:hAnsiTheme="minorHAnsi" w:cstheme="minorHAnsi"/>
                <w:sz w:val="16"/>
              </w:rPr>
            </w:pPr>
          </w:p>
        </w:tc>
        <w:tc>
          <w:tcPr>
            <w:tcW w:w="1134" w:type="dxa"/>
          </w:tcPr>
          <w:p w14:paraId="4206EE72" w14:textId="77777777" w:rsidR="00B02873" w:rsidRPr="00CE1173" w:rsidRDefault="00B02873" w:rsidP="00705B7A">
            <w:pPr>
              <w:pStyle w:val="TablebodyleftFinancialsTables"/>
              <w:jc w:val="right"/>
              <w:rPr>
                <w:rFonts w:asciiTheme="minorHAnsi" w:hAnsiTheme="minorHAnsi" w:cstheme="minorHAnsi"/>
                <w:sz w:val="16"/>
              </w:rPr>
            </w:pPr>
          </w:p>
        </w:tc>
        <w:tc>
          <w:tcPr>
            <w:tcW w:w="992" w:type="dxa"/>
          </w:tcPr>
          <w:p w14:paraId="1EF670DF" w14:textId="77777777" w:rsidR="00B02873" w:rsidRPr="00CE1173" w:rsidRDefault="00B02873" w:rsidP="00705B7A">
            <w:pPr>
              <w:pStyle w:val="TablebodyleftFinancialsTables"/>
              <w:jc w:val="right"/>
              <w:rPr>
                <w:rFonts w:asciiTheme="minorHAnsi" w:hAnsiTheme="minorHAnsi" w:cstheme="minorHAnsi"/>
                <w:sz w:val="16"/>
              </w:rPr>
            </w:pPr>
          </w:p>
        </w:tc>
      </w:tr>
      <w:tr w:rsidR="00B02873" w:rsidRPr="00CE1173" w14:paraId="222FF824" w14:textId="77777777" w:rsidTr="00CE1173">
        <w:tc>
          <w:tcPr>
            <w:tcW w:w="5216" w:type="dxa"/>
          </w:tcPr>
          <w:p w14:paraId="232C26F7" w14:textId="77777777" w:rsidR="00B02873" w:rsidRPr="00705B7A" w:rsidRDefault="00B02873" w:rsidP="00CE1173">
            <w:pPr>
              <w:pStyle w:val="TablebodyleftFinancialsTables"/>
              <w:rPr>
                <w:rFonts w:asciiTheme="minorHAnsi" w:hAnsiTheme="minorHAnsi" w:cstheme="minorHAnsi"/>
                <w:b/>
                <w:bCs/>
                <w:sz w:val="16"/>
              </w:rPr>
            </w:pPr>
            <w:r w:rsidRPr="00705B7A">
              <w:rPr>
                <w:rFonts w:asciiTheme="minorHAnsi" w:hAnsiTheme="minorHAnsi" w:cstheme="minorHAnsi"/>
                <w:b/>
                <w:bCs/>
                <w:sz w:val="16"/>
              </w:rPr>
              <w:t>Payables</w:t>
            </w:r>
            <w:r w:rsidRPr="00705B7A">
              <w:rPr>
                <w:rFonts w:asciiTheme="minorHAnsi" w:hAnsiTheme="minorHAnsi" w:cstheme="minorHAnsi"/>
                <w:b/>
                <w:bCs/>
                <w:sz w:val="16"/>
                <w:vertAlign w:val="superscript"/>
              </w:rPr>
              <w:t>(ii)</w:t>
            </w:r>
          </w:p>
        </w:tc>
        <w:tc>
          <w:tcPr>
            <w:tcW w:w="1134" w:type="dxa"/>
          </w:tcPr>
          <w:p w14:paraId="6FDF8D4C" w14:textId="77777777" w:rsidR="00B02873" w:rsidRPr="00705B7A" w:rsidRDefault="00B02873" w:rsidP="00705B7A">
            <w:pPr>
              <w:pStyle w:val="TablebodyleftFinancialsTables"/>
              <w:jc w:val="right"/>
              <w:rPr>
                <w:rFonts w:asciiTheme="minorHAnsi" w:hAnsiTheme="minorHAnsi" w:cstheme="minorHAnsi"/>
                <w:b/>
                <w:bCs/>
                <w:sz w:val="16"/>
              </w:rPr>
            </w:pPr>
          </w:p>
        </w:tc>
        <w:tc>
          <w:tcPr>
            <w:tcW w:w="1442" w:type="dxa"/>
          </w:tcPr>
          <w:p w14:paraId="6E3C85F5" w14:textId="77777777" w:rsidR="00B02873" w:rsidRPr="00705B7A" w:rsidRDefault="00B02873" w:rsidP="00705B7A">
            <w:pPr>
              <w:pStyle w:val="TablebodyleftFinancialsTables"/>
              <w:jc w:val="right"/>
              <w:rPr>
                <w:rFonts w:asciiTheme="minorHAnsi" w:hAnsiTheme="minorHAnsi" w:cstheme="minorHAnsi"/>
                <w:b/>
                <w:bCs/>
                <w:sz w:val="16"/>
              </w:rPr>
            </w:pPr>
          </w:p>
        </w:tc>
        <w:tc>
          <w:tcPr>
            <w:tcW w:w="1134" w:type="dxa"/>
          </w:tcPr>
          <w:p w14:paraId="22EBF0D5" w14:textId="77777777" w:rsidR="00B02873" w:rsidRPr="00705B7A" w:rsidRDefault="00B02873" w:rsidP="00705B7A">
            <w:pPr>
              <w:pStyle w:val="TablebodyleftFinancialsTables"/>
              <w:jc w:val="right"/>
              <w:rPr>
                <w:rFonts w:asciiTheme="minorHAnsi" w:hAnsiTheme="minorHAnsi" w:cstheme="minorHAnsi"/>
                <w:b/>
                <w:bCs/>
                <w:sz w:val="16"/>
              </w:rPr>
            </w:pPr>
          </w:p>
        </w:tc>
        <w:tc>
          <w:tcPr>
            <w:tcW w:w="1137" w:type="dxa"/>
          </w:tcPr>
          <w:p w14:paraId="5082D35A" w14:textId="77777777" w:rsidR="00B02873" w:rsidRPr="00705B7A" w:rsidRDefault="00B02873" w:rsidP="00705B7A">
            <w:pPr>
              <w:pStyle w:val="TablebodyleftFinancialsTables"/>
              <w:jc w:val="right"/>
              <w:rPr>
                <w:rFonts w:asciiTheme="minorHAnsi" w:hAnsiTheme="minorHAnsi" w:cstheme="minorHAnsi"/>
                <w:b/>
                <w:bCs/>
                <w:sz w:val="16"/>
              </w:rPr>
            </w:pPr>
          </w:p>
        </w:tc>
        <w:tc>
          <w:tcPr>
            <w:tcW w:w="1134" w:type="dxa"/>
          </w:tcPr>
          <w:p w14:paraId="45F2F179" w14:textId="77777777" w:rsidR="00B02873" w:rsidRPr="00CE1173" w:rsidRDefault="00B02873" w:rsidP="00705B7A">
            <w:pPr>
              <w:pStyle w:val="TablebodyleftFinancialsTables"/>
              <w:jc w:val="right"/>
              <w:rPr>
                <w:rFonts w:asciiTheme="minorHAnsi" w:hAnsiTheme="minorHAnsi" w:cstheme="minorHAnsi"/>
                <w:sz w:val="16"/>
              </w:rPr>
            </w:pPr>
          </w:p>
        </w:tc>
        <w:tc>
          <w:tcPr>
            <w:tcW w:w="1556" w:type="dxa"/>
          </w:tcPr>
          <w:p w14:paraId="14267744" w14:textId="77777777" w:rsidR="00B02873" w:rsidRPr="00CE1173" w:rsidRDefault="00B02873" w:rsidP="00705B7A">
            <w:pPr>
              <w:pStyle w:val="TablebodyleftFinancialsTables"/>
              <w:jc w:val="right"/>
              <w:rPr>
                <w:rFonts w:asciiTheme="minorHAnsi" w:hAnsiTheme="minorHAnsi" w:cstheme="minorHAnsi"/>
                <w:sz w:val="16"/>
              </w:rPr>
            </w:pPr>
          </w:p>
        </w:tc>
        <w:tc>
          <w:tcPr>
            <w:tcW w:w="1134" w:type="dxa"/>
          </w:tcPr>
          <w:p w14:paraId="22BA2A0C" w14:textId="77777777" w:rsidR="00B02873" w:rsidRPr="00CE1173" w:rsidRDefault="00B02873" w:rsidP="00705B7A">
            <w:pPr>
              <w:pStyle w:val="TablebodyleftFinancialsTables"/>
              <w:jc w:val="right"/>
              <w:rPr>
                <w:rFonts w:asciiTheme="minorHAnsi" w:hAnsiTheme="minorHAnsi" w:cstheme="minorHAnsi"/>
                <w:sz w:val="16"/>
              </w:rPr>
            </w:pPr>
          </w:p>
        </w:tc>
        <w:tc>
          <w:tcPr>
            <w:tcW w:w="992" w:type="dxa"/>
          </w:tcPr>
          <w:p w14:paraId="5AEBC6A1" w14:textId="77777777" w:rsidR="00B02873" w:rsidRPr="00CE1173" w:rsidRDefault="00B02873" w:rsidP="00705B7A">
            <w:pPr>
              <w:pStyle w:val="TablebodyleftFinancialsTables"/>
              <w:jc w:val="right"/>
              <w:rPr>
                <w:rFonts w:asciiTheme="minorHAnsi" w:hAnsiTheme="minorHAnsi" w:cstheme="minorHAnsi"/>
                <w:sz w:val="16"/>
              </w:rPr>
            </w:pPr>
          </w:p>
        </w:tc>
      </w:tr>
      <w:tr w:rsidR="00B02873" w:rsidRPr="00CE1173" w14:paraId="29096D54" w14:textId="77777777" w:rsidTr="00CE1173">
        <w:tc>
          <w:tcPr>
            <w:tcW w:w="5216" w:type="dxa"/>
          </w:tcPr>
          <w:p w14:paraId="254F34E7" w14:textId="77777777" w:rsidR="00B02873" w:rsidRPr="00CE1173" w:rsidRDefault="00B02873" w:rsidP="00CE1173">
            <w:pPr>
              <w:pStyle w:val="TablebodyleftFinancialsTables"/>
              <w:rPr>
                <w:rFonts w:asciiTheme="minorHAnsi" w:hAnsiTheme="minorHAnsi" w:cstheme="minorHAnsi"/>
                <w:sz w:val="16"/>
              </w:rPr>
            </w:pPr>
            <w:r w:rsidRPr="00CE1173">
              <w:rPr>
                <w:rFonts w:asciiTheme="minorHAnsi" w:hAnsiTheme="minorHAnsi" w:cstheme="minorHAnsi"/>
                <w:sz w:val="16"/>
              </w:rPr>
              <w:t>Trade creditors</w:t>
            </w:r>
          </w:p>
        </w:tc>
        <w:tc>
          <w:tcPr>
            <w:tcW w:w="1134" w:type="dxa"/>
          </w:tcPr>
          <w:p w14:paraId="6AAD41C1" w14:textId="77777777" w:rsidR="00B02873" w:rsidRPr="00705B7A" w:rsidRDefault="00B02873" w:rsidP="00705B7A">
            <w:pPr>
              <w:pStyle w:val="TablebodyleftFinancialsTables"/>
              <w:jc w:val="right"/>
              <w:rPr>
                <w:rFonts w:asciiTheme="minorHAnsi" w:hAnsiTheme="minorHAnsi" w:cstheme="minorHAnsi"/>
                <w:b/>
                <w:bCs/>
                <w:sz w:val="16"/>
              </w:rPr>
            </w:pPr>
            <w:r w:rsidRPr="00705B7A">
              <w:rPr>
                <w:rFonts w:asciiTheme="minorHAnsi" w:hAnsiTheme="minorHAnsi" w:cstheme="minorHAnsi"/>
                <w:b/>
                <w:bCs/>
                <w:sz w:val="16"/>
              </w:rPr>
              <w:t>–</w:t>
            </w:r>
          </w:p>
        </w:tc>
        <w:tc>
          <w:tcPr>
            <w:tcW w:w="1442" w:type="dxa"/>
          </w:tcPr>
          <w:p w14:paraId="13C08007" w14:textId="77777777" w:rsidR="00B02873" w:rsidRPr="00705B7A" w:rsidRDefault="00B02873" w:rsidP="00705B7A">
            <w:pPr>
              <w:pStyle w:val="TablebodyleftFinancialsTables"/>
              <w:jc w:val="right"/>
              <w:rPr>
                <w:rFonts w:asciiTheme="minorHAnsi" w:hAnsiTheme="minorHAnsi" w:cstheme="minorHAnsi"/>
                <w:b/>
                <w:bCs/>
                <w:sz w:val="16"/>
              </w:rPr>
            </w:pPr>
            <w:r w:rsidRPr="00705B7A">
              <w:rPr>
                <w:rFonts w:asciiTheme="minorHAnsi" w:hAnsiTheme="minorHAnsi" w:cstheme="minorHAnsi"/>
                <w:b/>
                <w:bCs/>
                <w:sz w:val="16"/>
              </w:rPr>
              <w:t>–</w:t>
            </w:r>
          </w:p>
        </w:tc>
        <w:tc>
          <w:tcPr>
            <w:tcW w:w="1134" w:type="dxa"/>
          </w:tcPr>
          <w:p w14:paraId="5AFC4A22" w14:textId="77777777" w:rsidR="00B02873" w:rsidRPr="00705B7A" w:rsidRDefault="00B02873" w:rsidP="00705B7A">
            <w:pPr>
              <w:pStyle w:val="TablebodyleftFinancialsTables"/>
              <w:jc w:val="right"/>
              <w:rPr>
                <w:rFonts w:asciiTheme="minorHAnsi" w:hAnsiTheme="minorHAnsi" w:cstheme="minorHAnsi"/>
                <w:b/>
                <w:bCs/>
                <w:sz w:val="16"/>
              </w:rPr>
            </w:pPr>
            <w:r w:rsidRPr="00705B7A">
              <w:rPr>
                <w:rFonts w:asciiTheme="minorHAnsi" w:hAnsiTheme="minorHAnsi" w:cstheme="minorHAnsi"/>
                <w:b/>
                <w:bCs/>
                <w:sz w:val="16"/>
              </w:rPr>
              <w:t>8,828</w:t>
            </w:r>
          </w:p>
        </w:tc>
        <w:tc>
          <w:tcPr>
            <w:tcW w:w="1137" w:type="dxa"/>
          </w:tcPr>
          <w:p w14:paraId="1BB4E008" w14:textId="77777777" w:rsidR="00B02873" w:rsidRPr="00705B7A" w:rsidRDefault="00B02873" w:rsidP="00705B7A">
            <w:pPr>
              <w:pStyle w:val="TablebodyleftFinancialsTables"/>
              <w:jc w:val="right"/>
              <w:rPr>
                <w:rFonts w:asciiTheme="minorHAnsi" w:hAnsiTheme="minorHAnsi" w:cstheme="minorHAnsi"/>
                <w:b/>
                <w:bCs/>
                <w:sz w:val="16"/>
              </w:rPr>
            </w:pPr>
            <w:r w:rsidRPr="00705B7A">
              <w:rPr>
                <w:rFonts w:asciiTheme="minorHAnsi" w:hAnsiTheme="minorHAnsi" w:cstheme="minorHAnsi"/>
                <w:b/>
                <w:bCs/>
                <w:sz w:val="16"/>
              </w:rPr>
              <w:t>8,828</w:t>
            </w:r>
          </w:p>
        </w:tc>
        <w:tc>
          <w:tcPr>
            <w:tcW w:w="1134" w:type="dxa"/>
          </w:tcPr>
          <w:p w14:paraId="0503590B" w14:textId="77777777" w:rsidR="00B02873" w:rsidRPr="00CE1173" w:rsidRDefault="00B02873" w:rsidP="00705B7A">
            <w:pPr>
              <w:pStyle w:val="TablebodyleftFinancialsTables"/>
              <w:jc w:val="right"/>
              <w:rPr>
                <w:rFonts w:asciiTheme="minorHAnsi" w:hAnsiTheme="minorHAnsi" w:cstheme="minorHAnsi"/>
                <w:sz w:val="16"/>
              </w:rPr>
            </w:pPr>
            <w:r w:rsidRPr="00CE1173">
              <w:rPr>
                <w:rFonts w:asciiTheme="minorHAnsi" w:hAnsiTheme="minorHAnsi" w:cstheme="minorHAnsi"/>
                <w:sz w:val="16"/>
              </w:rPr>
              <w:t>–</w:t>
            </w:r>
          </w:p>
        </w:tc>
        <w:tc>
          <w:tcPr>
            <w:tcW w:w="1556" w:type="dxa"/>
          </w:tcPr>
          <w:p w14:paraId="6C7BAF12" w14:textId="77777777" w:rsidR="00B02873" w:rsidRPr="00CE1173" w:rsidRDefault="00B02873" w:rsidP="00705B7A">
            <w:pPr>
              <w:pStyle w:val="TablebodyleftFinancialsTables"/>
              <w:jc w:val="right"/>
              <w:rPr>
                <w:rFonts w:asciiTheme="minorHAnsi" w:hAnsiTheme="minorHAnsi" w:cstheme="minorHAnsi"/>
                <w:sz w:val="16"/>
              </w:rPr>
            </w:pPr>
            <w:r w:rsidRPr="00CE1173">
              <w:rPr>
                <w:rFonts w:asciiTheme="minorHAnsi" w:hAnsiTheme="minorHAnsi" w:cstheme="minorHAnsi"/>
                <w:sz w:val="16"/>
              </w:rPr>
              <w:t>–</w:t>
            </w:r>
          </w:p>
        </w:tc>
        <w:tc>
          <w:tcPr>
            <w:tcW w:w="1134" w:type="dxa"/>
          </w:tcPr>
          <w:p w14:paraId="5FF82898" w14:textId="77777777" w:rsidR="00B02873" w:rsidRPr="00CE1173" w:rsidRDefault="00B02873" w:rsidP="00705B7A">
            <w:pPr>
              <w:pStyle w:val="TablebodyleftFinancialsTables"/>
              <w:jc w:val="right"/>
              <w:rPr>
                <w:rFonts w:asciiTheme="minorHAnsi" w:hAnsiTheme="minorHAnsi" w:cstheme="minorHAnsi"/>
                <w:sz w:val="16"/>
              </w:rPr>
            </w:pPr>
            <w:r w:rsidRPr="00CE1173">
              <w:rPr>
                <w:rFonts w:asciiTheme="minorHAnsi" w:hAnsiTheme="minorHAnsi" w:cstheme="minorHAnsi"/>
                <w:sz w:val="16"/>
              </w:rPr>
              <w:t>29,910</w:t>
            </w:r>
          </w:p>
        </w:tc>
        <w:tc>
          <w:tcPr>
            <w:tcW w:w="992" w:type="dxa"/>
          </w:tcPr>
          <w:p w14:paraId="4E3A2E27" w14:textId="77777777" w:rsidR="00B02873" w:rsidRPr="00CE1173" w:rsidRDefault="00B02873" w:rsidP="00705B7A">
            <w:pPr>
              <w:pStyle w:val="TablebodyleftFinancialsTables"/>
              <w:jc w:val="right"/>
              <w:rPr>
                <w:rFonts w:asciiTheme="minorHAnsi" w:hAnsiTheme="minorHAnsi" w:cstheme="minorHAnsi"/>
                <w:sz w:val="16"/>
              </w:rPr>
            </w:pPr>
            <w:r w:rsidRPr="00CE1173">
              <w:rPr>
                <w:rFonts w:asciiTheme="minorHAnsi" w:hAnsiTheme="minorHAnsi" w:cstheme="minorHAnsi"/>
                <w:sz w:val="16"/>
              </w:rPr>
              <w:t>29,910</w:t>
            </w:r>
          </w:p>
        </w:tc>
      </w:tr>
      <w:tr w:rsidR="00B02873" w:rsidRPr="00CE1173" w14:paraId="34476077" w14:textId="77777777" w:rsidTr="00CE1173">
        <w:tc>
          <w:tcPr>
            <w:tcW w:w="5216" w:type="dxa"/>
          </w:tcPr>
          <w:p w14:paraId="69B3FD37" w14:textId="77777777" w:rsidR="00B02873" w:rsidRPr="00CE1173" w:rsidRDefault="00B02873" w:rsidP="00CE1173">
            <w:pPr>
              <w:pStyle w:val="TablebodyleftFinancialsTables"/>
              <w:rPr>
                <w:rFonts w:asciiTheme="minorHAnsi" w:hAnsiTheme="minorHAnsi" w:cstheme="minorHAnsi"/>
                <w:sz w:val="16"/>
              </w:rPr>
            </w:pPr>
            <w:r w:rsidRPr="00CE1173">
              <w:rPr>
                <w:rFonts w:asciiTheme="minorHAnsi" w:hAnsiTheme="minorHAnsi" w:cstheme="minorHAnsi"/>
                <w:sz w:val="16"/>
              </w:rPr>
              <w:t>Accrued grants and other transfers</w:t>
            </w:r>
          </w:p>
        </w:tc>
        <w:tc>
          <w:tcPr>
            <w:tcW w:w="1134" w:type="dxa"/>
          </w:tcPr>
          <w:p w14:paraId="39060EAF" w14:textId="77777777" w:rsidR="00B02873" w:rsidRPr="00705B7A" w:rsidRDefault="00B02873" w:rsidP="00705B7A">
            <w:pPr>
              <w:pStyle w:val="TablebodyleftFinancialsTables"/>
              <w:jc w:val="right"/>
              <w:rPr>
                <w:rFonts w:asciiTheme="minorHAnsi" w:hAnsiTheme="minorHAnsi" w:cstheme="minorHAnsi"/>
                <w:b/>
                <w:bCs/>
                <w:sz w:val="16"/>
              </w:rPr>
            </w:pPr>
            <w:r w:rsidRPr="00705B7A">
              <w:rPr>
                <w:rFonts w:asciiTheme="minorHAnsi" w:hAnsiTheme="minorHAnsi" w:cstheme="minorHAnsi"/>
                <w:b/>
                <w:bCs/>
                <w:sz w:val="16"/>
              </w:rPr>
              <w:t>–</w:t>
            </w:r>
          </w:p>
        </w:tc>
        <w:tc>
          <w:tcPr>
            <w:tcW w:w="1442" w:type="dxa"/>
          </w:tcPr>
          <w:p w14:paraId="386E1209" w14:textId="77777777" w:rsidR="00B02873" w:rsidRPr="00705B7A" w:rsidRDefault="00B02873" w:rsidP="00705B7A">
            <w:pPr>
              <w:pStyle w:val="TablebodyleftFinancialsTables"/>
              <w:jc w:val="right"/>
              <w:rPr>
                <w:rFonts w:asciiTheme="minorHAnsi" w:hAnsiTheme="minorHAnsi" w:cstheme="minorHAnsi"/>
                <w:b/>
                <w:bCs/>
                <w:sz w:val="16"/>
              </w:rPr>
            </w:pPr>
            <w:r w:rsidRPr="00705B7A">
              <w:rPr>
                <w:rFonts w:asciiTheme="minorHAnsi" w:hAnsiTheme="minorHAnsi" w:cstheme="minorHAnsi"/>
                <w:b/>
                <w:bCs/>
                <w:sz w:val="16"/>
              </w:rPr>
              <w:t>–</w:t>
            </w:r>
          </w:p>
        </w:tc>
        <w:tc>
          <w:tcPr>
            <w:tcW w:w="1134" w:type="dxa"/>
          </w:tcPr>
          <w:p w14:paraId="71B6C187" w14:textId="77777777" w:rsidR="00B02873" w:rsidRPr="00705B7A" w:rsidRDefault="00B02873" w:rsidP="00705B7A">
            <w:pPr>
              <w:pStyle w:val="TablebodyleftFinancialsTables"/>
              <w:jc w:val="right"/>
              <w:rPr>
                <w:rFonts w:asciiTheme="minorHAnsi" w:hAnsiTheme="minorHAnsi" w:cstheme="minorHAnsi"/>
                <w:b/>
                <w:bCs/>
                <w:sz w:val="16"/>
              </w:rPr>
            </w:pPr>
            <w:r w:rsidRPr="00705B7A">
              <w:rPr>
                <w:rFonts w:asciiTheme="minorHAnsi" w:hAnsiTheme="minorHAnsi" w:cstheme="minorHAnsi"/>
                <w:b/>
                <w:bCs/>
                <w:sz w:val="16"/>
              </w:rPr>
              <w:t>106,071</w:t>
            </w:r>
          </w:p>
        </w:tc>
        <w:tc>
          <w:tcPr>
            <w:tcW w:w="1137" w:type="dxa"/>
          </w:tcPr>
          <w:p w14:paraId="0B2B4538" w14:textId="77777777" w:rsidR="00B02873" w:rsidRPr="00705B7A" w:rsidRDefault="00B02873" w:rsidP="00705B7A">
            <w:pPr>
              <w:pStyle w:val="TablebodyleftFinancialsTables"/>
              <w:jc w:val="right"/>
              <w:rPr>
                <w:rFonts w:asciiTheme="minorHAnsi" w:hAnsiTheme="minorHAnsi" w:cstheme="minorHAnsi"/>
                <w:b/>
                <w:bCs/>
                <w:sz w:val="16"/>
              </w:rPr>
            </w:pPr>
            <w:r w:rsidRPr="00705B7A">
              <w:rPr>
                <w:rFonts w:asciiTheme="minorHAnsi" w:hAnsiTheme="minorHAnsi" w:cstheme="minorHAnsi"/>
                <w:b/>
                <w:bCs/>
                <w:sz w:val="16"/>
              </w:rPr>
              <w:t>106,071</w:t>
            </w:r>
          </w:p>
        </w:tc>
        <w:tc>
          <w:tcPr>
            <w:tcW w:w="1134" w:type="dxa"/>
          </w:tcPr>
          <w:p w14:paraId="160B1B7C" w14:textId="77777777" w:rsidR="00B02873" w:rsidRPr="00CE1173" w:rsidRDefault="00B02873" w:rsidP="00705B7A">
            <w:pPr>
              <w:pStyle w:val="TablebodyleftFinancialsTables"/>
              <w:jc w:val="right"/>
              <w:rPr>
                <w:rFonts w:asciiTheme="minorHAnsi" w:hAnsiTheme="minorHAnsi" w:cstheme="minorHAnsi"/>
                <w:sz w:val="16"/>
              </w:rPr>
            </w:pPr>
            <w:r w:rsidRPr="00CE1173">
              <w:rPr>
                <w:rFonts w:asciiTheme="minorHAnsi" w:hAnsiTheme="minorHAnsi" w:cstheme="minorHAnsi"/>
                <w:sz w:val="16"/>
              </w:rPr>
              <w:t>–</w:t>
            </w:r>
          </w:p>
        </w:tc>
        <w:tc>
          <w:tcPr>
            <w:tcW w:w="1556" w:type="dxa"/>
          </w:tcPr>
          <w:p w14:paraId="432A28FB" w14:textId="77777777" w:rsidR="00B02873" w:rsidRPr="00CE1173" w:rsidRDefault="00B02873" w:rsidP="00705B7A">
            <w:pPr>
              <w:pStyle w:val="TablebodyleftFinancialsTables"/>
              <w:jc w:val="right"/>
              <w:rPr>
                <w:rFonts w:asciiTheme="minorHAnsi" w:hAnsiTheme="minorHAnsi" w:cstheme="minorHAnsi"/>
                <w:sz w:val="16"/>
              </w:rPr>
            </w:pPr>
            <w:r w:rsidRPr="00CE1173">
              <w:rPr>
                <w:rFonts w:asciiTheme="minorHAnsi" w:hAnsiTheme="minorHAnsi" w:cstheme="minorHAnsi"/>
                <w:sz w:val="16"/>
              </w:rPr>
              <w:t>–</w:t>
            </w:r>
          </w:p>
        </w:tc>
        <w:tc>
          <w:tcPr>
            <w:tcW w:w="1134" w:type="dxa"/>
          </w:tcPr>
          <w:p w14:paraId="43730338" w14:textId="77777777" w:rsidR="00B02873" w:rsidRPr="00CE1173" w:rsidRDefault="00B02873" w:rsidP="00705B7A">
            <w:pPr>
              <w:pStyle w:val="TablebodyleftFinancialsTables"/>
              <w:jc w:val="right"/>
              <w:rPr>
                <w:rFonts w:asciiTheme="minorHAnsi" w:hAnsiTheme="minorHAnsi" w:cstheme="minorHAnsi"/>
                <w:sz w:val="16"/>
              </w:rPr>
            </w:pPr>
            <w:r w:rsidRPr="00CE1173">
              <w:rPr>
                <w:rFonts w:asciiTheme="minorHAnsi" w:hAnsiTheme="minorHAnsi" w:cstheme="minorHAnsi"/>
                <w:sz w:val="16"/>
              </w:rPr>
              <w:t>64,095</w:t>
            </w:r>
          </w:p>
        </w:tc>
        <w:tc>
          <w:tcPr>
            <w:tcW w:w="992" w:type="dxa"/>
          </w:tcPr>
          <w:p w14:paraId="2E4F539C" w14:textId="77777777" w:rsidR="00B02873" w:rsidRPr="00CE1173" w:rsidRDefault="00B02873" w:rsidP="00705B7A">
            <w:pPr>
              <w:pStyle w:val="TablebodyleftFinancialsTables"/>
              <w:jc w:val="right"/>
              <w:rPr>
                <w:rFonts w:asciiTheme="minorHAnsi" w:hAnsiTheme="minorHAnsi" w:cstheme="minorHAnsi"/>
                <w:sz w:val="16"/>
              </w:rPr>
            </w:pPr>
            <w:r w:rsidRPr="00CE1173">
              <w:rPr>
                <w:rFonts w:asciiTheme="minorHAnsi" w:hAnsiTheme="minorHAnsi" w:cstheme="minorHAnsi"/>
                <w:sz w:val="16"/>
              </w:rPr>
              <w:t>64,095</w:t>
            </w:r>
          </w:p>
        </w:tc>
      </w:tr>
      <w:tr w:rsidR="00B02873" w:rsidRPr="00CE1173" w14:paraId="3DD90776" w14:textId="77777777" w:rsidTr="00CE1173">
        <w:tc>
          <w:tcPr>
            <w:tcW w:w="5216" w:type="dxa"/>
          </w:tcPr>
          <w:p w14:paraId="314C7213" w14:textId="77777777" w:rsidR="00B02873" w:rsidRPr="00CE1173" w:rsidRDefault="00B02873" w:rsidP="00CE1173">
            <w:pPr>
              <w:pStyle w:val="TablebodyleftFinancialsTables"/>
              <w:rPr>
                <w:rFonts w:asciiTheme="minorHAnsi" w:hAnsiTheme="minorHAnsi" w:cstheme="minorHAnsi"/>
                <w:sz w:val="16"/>
              </w:rPr>
            </w:pPr>
            <w:r w:rsidRPr="00CE1173">
              <w:rPr>
                <w:rFonts w:asciiTheme="minorHAnsi" w:hAnsiTheme="minorHAnsi" w:cstheme="minorHAnsi"/>
                <w:sz w:val="16"/>
              </w:rPr>
              <w:t>Capital accruals</w:t>
            </w:r>
          </w:p>
        </w:tc>
        <w:tc>
          <w:tcPr>
            <w:tcW w:w="1134" w:type="dxa"/>
          </w:tcPr>
          <w:p w14:paraId="5CC10942" w14:textId="77777777" w:rsidR="00B02873" w:rsidRPr="00705B7A" w:rsidRDefault="00B02873" w:rsidP="00705B7A">
            <w:pPr>
              <w:pStyle w:val="TablebodyleftFinancialsTables"/>
              <w:jc w:val="right"/>
              <w:rPr>
                <w:rFonts w:asciiTheme="minorHAnsi" w:hAnsiTheme="minorHAnsi" w:cstheme="minorHAnsi"/>
                <w:b/>
                <w:bCs/>
                <w:sz w:val="16"/>
              </w:rPr>
            </w:pPr>
            <w:r w:rsidRPr="00705B7A">
              <w:rPr>
                <w:rFonts w:asciiTheme="minorHAnsi" w:hAnsiTheme="minorHAnsi" w:cstheme="minorHAnsi"/>
                <w:b/>
                <w:bCs/>
                <w:sz w:val="16"/>
              </w:rPr>
              <w:t>–</w:t>
            </w:r>
          </w:p>
        </w:tc>
        <w:tc>
          <w:tcPr>
            <w:tcW w:w="1442" w:type="dxa"/>
          </w:tcPr>
          <w:p w14:paraId="748D1851" w14:textId="77777777" w:rsidR="00B02873" w:rsidRPr="00705B7A" w:rsidRDefault="00B02873" w:rsidP="00705B7A">
            <w:pPr>
              <w:pStyle w:val="TablebodyleftFinancialsTables"/>
              <w:jc w:val="right"/>
              <w:rPr>
                <w:rFonts w:asciiTheme="minorHAnsi" w:hAnsiTheme="minorHAnsi" w:cstheme="minorHAnsi"/>
                <w:b/>
                <w:bCs/>
                <w:sz w:val="16"/>
              </w:rPr>
            </w:pPr>
            <w:r w:rsidRPr="00705B7A">
              <w:rPr>
                <w:rFonts w:asciiTheme="minorHAnsi" w:hAnsiTheme="minorHAnsi" w:cstheme="minorHAnsi"/>
                <w:b/>
                <w:bCs/>
                <w:sz w:val="16"/>
              </w:rPr>
              <w:t>–</w:t>
            </w:r>
          </w:p>
        </w:tc>
        <w:tc>
          <w:tcPr>
            <w:tcW w:w="1134" w:type="dxa"/>
          </w:tcPr>
          <w:p w14:paraId="63EAD87B" w14:textId="77777777" w:rsidR="00B02873" w:rsidRPr="00705B7A" w:rsidRDefault="00B02873" w:rsidP="00705B7A">
            <w:pPr>
              <w:pStyle w:val="TablebodyleftFinancialsTables"/>
              <w:jc w:val="right"/>
              <w:rPr>
                <w:rFonts w:asciiTheme="minorHAnsi" w:hAnsiTheme="minorHAnsi" w:cstheme="minorHAnsi"/>
                <w:b/>
                <w:bCs/>
                <w:sz w:val="16"/>
              </w:rPr>
            </w:pPr>
            <w:r w:rsidRPr="00705B7A">
              <w:rPr>
                <w:rFonts w:asciiTheme="minorHAnsi" w:hAnsiTheme="minorHAnsi" w:cstheme="minorHAnsi"/>
                <w:b/>
                <w:bCs/>
                <w:sz w:val="16"/>
              </w:rPr>
              <w:t>4,446</w:t>
            </w:r>
          </w:p>
        </w:tc>
        <w:tc>
          <w:tcPr>
            <w:tcW w:w="1137" w:type="dxa"/>
          </w:tcPr>
          <w:p w14:paraId="437FC6AB" w14:textId="77777777" w:rsidR="00B02873" w:rsidRPr="00705B7A" w:rsidRDefault="00B02873" w:rsidP="00705B7A">
            <w:pPr>
              <w:pStyle w:val="TablebodyleftFinancialsTables"/>
              <w:jc w:val="right"/>
              <w:rPr>
                <w:rFonts w:asciiTheme="minorHAnsi" w:hAnsiTheme="minorHAnsi" w:cstheme="minorHAnsi"/>
                <w:b/>
                <w:bCs/>
                <w:sz w:val="16"/>
              </w:rPr>
            </w:pPr>
            <w:r w:rsidRPr="00705B7A">
              <w:rPr>
                <w:rFonts w:asciiTheme="minorHAnsi" w:hAnsiTheme="minorHAnsi" w:cstheme="minorHAnsi"/>
                <w:b/>
                <w:bCs/>
                <w:sz w:val="16"/>
              </w:rPr>
              <w:t>4,446</w:t>
            </w:r>
          </w:p>
        </w:tc>
        <w:tc>
          <w:tcPr>
            <w:tcW w:w="1134" w:type="dxa"/>
          </w:tcPr>
          <w:p w14:paraId="17F55BC0" w14:textId="77777777" w:rsidR="00B02873" w:rsidRPr="00CE1173" w:rsidRDefault="00B02873" w:rsidP="00705B7A">
            <w:pPr>
              <w:pStyle w:val="TablebodyleftFinancialsTables"/>
              <w:jc w:val="right"/>
              <w:rPr>
                <w:rFonts w:asciiTheme="minorHAnsi" w:hAnsiTheme="minorHAnsi" w:cstheme="minorHAnsi"/>
                <w:sz w:val="16"/>
              </w:rPr>
            </w:pPr>
            <w:r w:rsidRPr="00CE1173">
              <w:rPr>
                <w:rFonts w:asciiTheme="minorHAnsi" w:hAnsiTheme="minorHAnsi" w:cstheme="minorHAnsi"/>
                <w:sz w:val="16"/>
              </w:rPr>
              <w:t>–</w:t>
            </w:r>
          </w:p>
        </w:tc>
        <w:tc>
          <w:tcPr>
            <w:tcW w:w="1556" w:type="dxa"/>
          </w:tcPr>
          <w:p w14:paraId="3ACD8F1F" w14:textId="77777777" w:rsidR="00B02873" w:rsidRPr="00CE1173" w:rsidRDefault="00B02873" w:rsidP="00705B7A">
            <w:pPr>
              <w:pStyle w:val="TablebodyleftFinancialsTables"/>
              <w:jc w:val="right"/>
              <w:rPr>
                <w:rFonts w:asciiTheme="minorHAnsi" w:hAnsiTheme="minorHAnsi" w:cstheme="minorHAnsi"/>
                <w:sz w:val="16"/>
              </w:rPr>
            </w:pPr>
            <w:r w:rsidRPr="00CE1173">
              <w:rPr>
                <w:rFonts w:asciiTheme="minorHAnsi" w:hAnsiTheme="minorHAnsi" w:cstheme="minorHAnsi"/>
                <w:sz w:val="16"/>
              </w:rPr>
              <w:t>–</w:t>
            </w:r>
          </w:p>
        </w:tc>
        <w:tc>
          <w:tcPr>
            <w:tcW w:w="1134" w:type="dxa"/>
          </w:tcPr>
          <w:p w14:paraId="7AF85ED7" w14:textId="77777777" w:rsidR="00B02873" w:rsidRPr="00CE1173" w:rsidRDefault="00B02873" w:rsidP="00705B7A">
            <w:pPr>
              <w:pStyle w:val="TablebodyleftFinancialsTables"/>
              <w:jc w:val="right"/>
              <w:rPr>
                <w:rFonts w:asciiTheme="minorHAnsi" w:hAnsiTheme="minorHAnsi" w:cstheme="minorHAnsi"/>
                <w:sz w:val="16"/>
              </w:rPr>
            </w:pPr>
            <w:r w:rsidRPr="00CE1173">
              <w:rPr>
                <w:rFonts w:asciiTheme="minorHAnsi" w:hAnsiTheme="minorHAnsi" w:cstheme="minorHAnsi"/>
                <w:sz w:val="16"/>
              </w:rPr>
              <w:t>2,168</w:t>
            </w:r>
          </w:p>
        </w:tc>
        <w:tc>
          <w:tcPr>
            <w:tcW w:w="992" w:type="dxa"/>
          </w:tcPr>
          <w:p w14:paraId="255B625B" w14:textId="77777777" w:rsidR="00B02873" w:rsidRPr="00CE1173" w:rsidRDefault="00B02873" w:rsidP="00705B7A">
            <w:pPr>
              <w:pStyle w:val="TablebodyleftFinancialsTables"/>
              <w:jc w:val="right"/>
              <w:rPr>
                <w:rFonts w:asciiTheme="minorHAnsi" w:hAnsiTheme="minorHAnsi" w:cstheme="minorHAnsi"/>
                <w:sz w:val="16"/>
              </w:rPr>
            </w:pPr>
            <w:r w:rsidRPr="00CE1173">
              <w:rPr>
                <w:rFonts w:asciiTheme="minorHAnsi" w:hAnsiTheme="minorHAnsi" w:cstheme="minorHAnsi"/>
                <w:sz w:val="16"/>
              </w:rPr>
              <w:t>2,168</w:t>
            </w:r>
          </w:p>
        </w:tc>
      </w:tr>
      <w:tr w:rsidR="00B02873" w:rsidRPr="00CE1173" w14:paraId="0DE68D36" w14:textId="77777777" w:rsidTr="00CE1173">
        <w:tc>
          <w:tcPr>
            <w:tcW w:w="5216" w:type="dxa"/>
          </w:tcPr>
          <w:p w14:paraId="4A0021DE" w14:textId="77777777" w:rsidR="00B02873" w:rsidRPr="00CE1173" w:rsidRDefault="00B02873" w:rsidP="00CE1173">
            <w:pPr>
              <w:pStyle w:val="TablebodyleftFinancialsTables"/>
              <w:rPr>
                <w:rFonts w:asciiTheme="minorHAnsi" w:hAnsiTheme="minorHAnsi" w:cstheme="minorHAnsi"/>
                <w:sz w:val="16"/>
              </w:rPr>
            </w:pPr>
            <w:r w:rsidRPr="00CE1173">
              <w:rPr>
                <w:rFonts w:asciiTheme="minorHAnsi" w:hAnsiTheme="minorHAnsi" w:cstheme="minorHAnsi"/>
                <w:sz w:val="16"/>
              </w:rPr>
              <w:t>Other payable and accrued expenses</w:t>
            </w:r>
          </w:p>
        </w:tc>
        <w:tc>
          <w:tcPr>
            <w:tcW w:w="1134" w:type="dxa"/>
          </w:tcPr>
          <w:p w14:paraId="02201FFD" w14:textId="77777777" w:rsidR="00B02873" w:rsidRPr="00705B7A" w:rsidRDefault="00B02873" w:rsidP="00705B7A">
            <w:pPr>
              <w:pStyle w:val="TablebodyleftFinancialsTables"/>
              <w:jc w:val="right"/>
              <w:rPr>
                <w:rFonts w:asciiTheme="minorHAnsi" w:hAnsiTheme="minorHAnsi" w:cstheme="minorHAnsi"/>
                <w:b/>
                <w:bCs/>
                <w:sz w:val="16"/>
              </w:rPr>
            </w:pPr>
            <w:r w:rsidRPr="00705B7A">
              <w:rPr>
                <w:rFonts w:asciiTheme="minorHAnsi" w:hAnsiTheme="minorHAnsi" w:cstheme="minorHAnsi"/>
                <w:b/>
                <w:bCs/>
                <w:sz w:val="16"/>
              </w:rPr>
              <w:t>–</w:t>
            </w:r>
          </w:p>
        </w:tc>
        <w:tc>
          <w:tcPr>
            <w:tcW w:w="1442" w:type="dxa"/>
          </w:tcPr>
          <w:p w14:paraId="2577D453" w14:textId="77777777" w:rsidR="00B02873" w:rsidRPr="00705B7A" w:rsidRDefault="00B02873" w:rsidP="00705B7A">
            <w:pPr>
              <w:pStyle w:val="TablebodyleftFinancialsTables"/>
              <w:jc w:val="right"/>
              <w:rPr>
                <w:rFonts w:asciiTheme="minorHAnsi" w:hAnsiTheme="minorHAnsi" w:cstheme="minorHAnsi"/>
                <w:b/>
                <w:bCs/>
                <w:sz w:val="16"/>
              </w:rPr>
            </w:pPr>
            <w:r w:rsidRPr="00705B7A">
              <w:rPr>
                <w:rFonts w:asciiTheme="minorHAnsi" w:hAnsiTheme="minorHAnsi" w:cstheme="minorHAnsi"/>
                <w:b/>
                <w:bCs/>
                <w:sz w:val="16"/>
              </w:rPr>
              <w:t>–</w:t>
            </w:r>
          </w:p>
        </w:tc>
        <w:tc>
          <w:tcPr>
            <w:tcW w:w="1134" w:type="dxa"/>
          </w:tcPr>
          <w:p w14:paraId="01193C77" w14:textId="77777777" w:rsidR="00B02873" w:rsidRPr="00705B7A" w:rsidRDefault="00B02873" w:rsidP="00705B7A">
            <w:pPr>
              <w:pStyle w:val="TablebodyleftFinancialsTables"/>
              <w:jc w:val="right"/>
              <w:rPr>
                <w:rFonts w:asciiTheme="minorHAnsi" w:hAnsiTheme="minorHAnsi" w:cstheme="minorHAnsi"/>
                <w:b/>
                <w:bCs/>
                <w:sz w:val="16"/>
              </w:rPr>
            </w:pPr>
            <w:r w:rsidRPr="00705B7A">
              <w:rPr>
                <w:rFonts w:asciiTheme="minorHAnsi" w:hAnsiTheme="minorHAnsi" w:cstheme="minorHAnsi"/>
                <w:b/>
                <w:bCs/>
                <w:sz w:val="16"/>
              </w:rPr>
              <w:t>109,681</w:t>
            </w:r>
          </w:p>
        </w:tc>
        <w:tc>
          <w:tcPr>
            <w:tcW w:w="1137" w:type="dxa"/>
          </w:tcPr>
          <w:p w14:paraId="40315036" w14:textId="77777777" w:rsidR="00B02873" w:rsidRPr="00705B7A" w:rsidRDefault="00B02873" w:rsidP="00705B7A">
            <w:pPr>
              <w:pStyle w:val="TablebodyleftFinancialsTables"/>
              <w:jc w:val="right"/>
              <w:rPr>
                <w:rFonts w:asciiTheme="minorHAnsi" w:hAnsiTheme="minorHAnsi" w:cstheme="minorHAnsi"/>
                <w:b/>
                <w:bCs/>
                <w:sz w:val="16"/>
              </w:rPr>
            </w:pPr>
            <w:r w:rsidRPr="00705B7A">
              <w:rPr>
                <w:rFonts w:asciiTheme="minorHAnsi" w:hAnsiTheme="minorHAnsi" w:cstheme="minorHAnsi"/>
                <w:b/>
                <w:bCs/>
                <w:sz w:val="16"/>
              </w:rPr>
              <w:t>109,681</w:t>
            </w:r>
          </w:p>
        </w:tc>
        <w:tc>
          <w:tcPr>
            <w:tcW w:w="1134" w:type="dxa"/>
          </w:tcPr>
          <w:p w14:paraId="3EDEFD30" w14:textId="77777777" w:rsidR="00B02873" w:rsidRPr="00CE1173" w:rsidRDefault="00B02873" w:rsidP="00705B7A">
            <w:pPr>
              <w:pStyle w:val="TablebodyleftFinancialsTables"/>
              <w:jc w:val="right"/>
              <w:rPr>
                <w:rFonts w:asciiTheme="minorHAnsi" w:hAnsiTheme="minorHAnsi" w:cstheme="minorHAnsi"/>
                <w:sz w:val="16"/>
              </w:rPr>
            </w:pPr>
            <w:r w:rsidRPr="00CE1173">
              <w:rPr>
                <w:rFonts w:asciiTheme="minorHAnsi" w:hAnsiTheme="minorHAnsi" w:cstheme="minorHAnsi"/>
                <w:sz w:val="16"/>
              </w:rPr>
              <w:t>–</w:t>
            </w:r>
          </w:p>
        </w:tc>
        <w:tc>
          <w:tcPr>
            <w:tcW w:w="1556" w:type="dxa"/>
          </w:tcPr>
          <w:p w14:paraId="0BA3EA04" w14:textId="77777777" w:rsidR="00B02873" w:rsidRPr="00CE1173" w:rsidRDefault="00B02873" w:rsidP="00705B7A">
            <w:pPr>
              <w:pStyle w:val="TablebodyleftFinancialsTables"/>
              <w:jc w:val="right"/>
              <w:rPr>
                <w:rFonts w:asciiTheme="minorHAnsi" w:hAnsiTheme="minorHAnsi" w:cstheme="minorHAnsi"/>
                <w:sz w:val="16"/>
              </w:rPr>
            </w:pPr>
            <w:r w:rsidRPr="00CE1173">
              <w:rPr>
                <w:rFonts w:asciiTheme="minorHAnsi" w:hAnsiTheme="minorHAnsi" w:cstheme="minorHAnsi"/>
                <w:sz w:val="16"/>
              </w:rPr>
              <w:t>–</w:t>
            </w:r>
          </w:p>
        </w:tc>
        <w:tc>
          <w:tcPr>
            <w:tcW w:w="1134" w:type="dxa"/>
          </w:tcPr>
          <w:p w14:paraId="2A554B2F" w14:textId="77777777" w:rsidR="00B02873" w:rsidRPr="00CE1173" w:rsidRDefault="00B02873" w:rsidP="00705B7A">
            <w:pPr>
              <w:pStyle w:val="TablebodyleftFinancialsTables"/>
              <w:jc w:val="right"/>
              <w:rPr>
                <w:rFonts w:asciiTheme="minorHAnsi" w:hAnsiTheme="minorHAnsi" w:cstheme="minorHAnsi"/>
                <w:sz w:val="16"/>
              </w:rPr>
            </w:pPr>
            <w:r w:rsidRPr="00CE1173">
              <w:rPr>
                <w:rFonts w:asciiTheme="minorHAnsi" w:hAnsiTheme="minorHAnsi" w:cstheme="minorHAnsi"/>
                <w:sz w:val="16"/>
              </w:rPr>
              <w:t>116,262</w:t>
            </w:r>
          </w:p>
        </w:tc>
        <w:tc>
          <w:tcPr>
            <w:tcW w:w="992" w:type="dxa"/>
          </w:tcPr>
          <w:p w14:paraId="2532189A" w14:textId="77777777" w:rsidR="00B02873" w:rsidRPr="00CE1173" w:rsidRDefault="00B02873" w:rsidP="00705B7A">
            <w:pPr>
              <w:pStyle w:val="TablebodyleftFinancialsTables"/>
              <w:jc w:val="right"/>
              <w:rPr>
                <w:rFonts w:asciiTheme="minorHAnsi" w:hAnsiTheme="minorHAnsi" w:cstheme="minorHAnsi"/>
                <w:sz w:val="16"/>
              </w:rPr>
            </w:pPr>
            <w:r w:rsidRPr="00CE1173">
              <w:rPr>
                <w:rFonts w:asciiTheme="minorHAnsi" w:hAnsiTheme="minorHAnsi" w:cstheme="minorHAnsi"/>
                <w:sz w:val="16"/>
              </w:rPr>
              <w:t>116,262</w:t>
            </w:r>
          </w:p>
        </w:tc>
      </w:tr>
      <w:tr w:rsidR="00B02873" w:rsidRPr="00CE1173" w14:paraId="64290B43" w14:textId="77777777" w:rsidTr="00CE1173">
        <w:tc>
          <w:tcPr>
            <w:tcW w:w="5216" w:type="dxa"/>
          </w:tcPr>
          <w:p w14:paraId="60C40C1C" w14:textId="77777777" w:rsidR="00B02873" w:rsidRPr="00705B7A" w:rsidRDefault="00B02873" w:rsidP="00CE1173">
            <w:pPr>
              <w:pStyle w:val="TablebodyleftFinancialsTables"/>
              <w:rPr>
                <w:rFonts w:asciiTheme="minorHAnsi" w:hAnsiTheme="minorHAnsi" w:cstheme="minorHAnsi"/>
                <w:b/>
                <w:bCs/>
                <w:sz w:val="16"/>
              </w:rPr>
            </w:pPr>
            <w:r w:rsidRPr="00705B7A">
              <w:rPr>
                <w:rFonts w:asciiTheme="minorHAnsi" w:hAnsiTheme="minorHAnsi" w:cstheme="minorHAnsi"/>
                <w:b/>
                <w:bCs/>
                <w:sz w:val="16"/>
              </w:rPr>
              <w:t xml:space="preserve">Other financial liabilities </w:t>
            </w:r>
          </w:p>
        </w:tc>
        <w:tc>
          <w:tcPr>
            <w:tcW w:w="1134" w:type="dxa"/>
          </w:tcPr>
          <w:p w14:paraId="5C11708D" w14:textId="77777777" w:rsidR="00B02873" w:rsidRPr="00705B7A" w:rsidRDefault="00B02873" w:rsidP="00705B7A">
            <w:pPr>
              <w:pStyle w:val="TablebodyleftFinancialsTables"/>
              <w:jc w:val="right"/>
              <w:rPr>
                <w:rFonts w:asciiTheme="minorHAnsi" w:hAnsiTheme="minorHAnsi" w:cstheme="minorHAnsi"/>
                <w:b/>
                <w:bCs/>
                <w:sz w:val="16"/>
              </w:rPr>
            </w:pPr>
            <w:r w:rsidRPr="00705B7A">
              <w:rPr>
                <w:rFonts w:asciiTheme="minorHAnsi" w:hAnsiTheme="minorHAnsi" w:cstheme="minorHAnsi"/>
                <w:b/>
                <w:bCs/>
                <w:sz w:val="16"/>
              </w:rPr>
              <w:t>–</w:t>
            </w:r>
          </w:p>
        </w:tc>
        <w:tc>
          <w:tcPr>
            <w:tcW w:w="1442" w:type="dxa"/>
          </w:tcPr>
          <w:p w14:paraId="2417BE05" w14:textId="77777777" w:rsidR="00B02873" w:rsidRPr="00705B7A" w:rsidRDefault="00B02873" w:rsidP="00705B7A">
            <w:pPr>
              <w:pStyle w:val="TablebodyleftFinancialsTables"/>
              <w:jc w:val="right"/>
              <w:rPr>
                <w:rFonts w:asciiTheme="minorHAnsi" w:hAnsiTheme="minorHAnsi" w:cstheme="minorHAnsi"/>
                <w:b/>
                <w:bCs/>
                <w:sz w:val="16"/>
              </w:rPr>
            </w:pPr>
            <w:r w:rsidRPr="00705B7A">
              <w:rPr>
                <w:rFonts w:asciiTheme="minorHAnsi" w:hAnsiTheme="minorHAnsi" w:cstheme="minorHAnsi"/>
                <w:b/>
                <w:bCs/>
                <w:sz w:val="16"/>
              </w:rPr>
              <w:t>–</w:t>
            </w:r>
          </w:p>
        </w:tc>
        <w:tc>
          <w:tcPr>
            <w:tcW w:w="1134" w:type="dxa"/>
          </w:tcPr>
          <w:p w14:paraId="3DE195C4" w14:textId="77777777" w:rsidR="00B02873" w:rsidRPr="00705B7A" w:rsidRDefault="00B02873" w:rsidP="00705B7A">
            <w:pPr>
              <w:pStyle w:val="TablebodyleftFinancialsTables"/>
              <w:jc w:val="right"/>
              <w:rPr>
                <w:rFonts w:asciiTheme="minorHAnsi" w:hAnsiTheme="minorHAnsi" w:cstheme="minorHAnsi"/>
                <w:b/>
                <w:bCs/>
                <w:sz w:val="16"/>
              </w:rPr>
            </w:pPr>
            <w:r w:rsidRPr="00705B7A">
              <w:rPr>
                <w:rFonts w:asciiTheme="minorHAnsi" w:hAnsiTheme="minorHAnsi" w:cstheme="minorHAnsi"/>
                <w:b/>
                <w:bCs/>
                <w:sz w:val="16"/>
              </w:rPr>
              <w:t>204,383</w:t>
            </w:r>
          </w:p>
        </w:tc>
        <w:tc>
          <w:tcPr>
            <w:tcW w:w="1137" w:type="dxa"/>
          </w:tcPr>
          <w:p w14:paraId="123B52C7" w14:textId="77777777" w:rsidR="00B02873" w:rsidRPr="00705B7A" w:rsidRDefault="00B02873" w:rsidP="00705B7A">
            <w:pPr>
              <w:pStyle w:val="TablebodyleftFinancialsTables"/>
              <w:jc w:val="right"/>
              <w:rPr>
                <w:rFonts w:asciiTheme="minorHAnsi" w:hAnsiTheme="minorHAnsi" w:cstheme="minorHAnsi"/>
                <w:b/>
                <w:bCs/>
                <w:sz w:val="16"/>
              </w:rPr>
            </w:pPr>
            <w:r w:rsidRPr="00705B7A">
              <w:rPr>
                <w:rFonts w:asciiTheme="minorHAnsi" w:hAnsiTheme="minorHAnsi" w:cstheme="minorHAnsi"/>
                <w:b/>
                <w:bCs/>
                <w:sz w:val="16"/>
              </w:rPr>
              <w:t>204,383</w:t>
            </w:r>
          </w:p>
        </w:tc>
        <w:tc>
          <w:tcPr>
            <w:tcW w:w="1134" w:type="dxa"/>
          </w:tcPr>
          <w:p w14:paraId="08E35637" w14:textId="77777777" w:rsidR="00B02873" w:rsidRPr="00CE1173" w:rsidRDefault="00B02873" w:rsidP="00705B7A">
            <w:pPr>
              <w:pStyle w:val="TablebodyleftFinancialsTables"/>
              <w:jc w:val="right"/>
              <w:rPr>
                <w:rFonts w:asciiTheme="minorHAnsi" w:hAnsiTheme="minorHAnsi" w:cstheme="minorHAnsi"/>
                <w:sz w:val="16"/>
              </w:rPr>
            </w:pPr>
            <w:r w:rsidRPr="00CE1173">
              <w:rPr>
                <w:rFonts w:asciiTheme="minorHAnsi" w:hAnsiTheme="minorHAnsi" w:cstheme="minorHAnsi"/>
                <w:sz w:val="16"/>
              </w:rPr>
              <w:t>–</w:t>
            </w:r>
          </w:p>
        </w:tc>
        <w:tc>
          <w:tcPr>
            <w:tcW w:w="1556" w:type="dxa"/>
          </w:tcPr>
          <w:p w14:paraId="146F3F1F" w14:textId="77777777" w:rsidR="00B02873" w:rsidRPr="00CE1173" w:rsidRDefault="00B02873" w:rsidP="00705B7A">
            <w:pPr>
              <w:pStyle w:val="TablebodyleftFinancialsTables"/>
              <w:jc w:val="right"/>
              <w:rPr>
                <w:rFonts w:asciiTheme="minorHAnsi" w:hAnsiTheme="minorHAnsi" w:cstheme="minorHAnsi"/>
                <w:sz w:val="16"/>
              </w:rPr>
            </w:pPr>
            <w:r w:rsidRPr="00CE1173">
              <w:rPr>
                <w:rFonts w:asciiTheme="minorHAnsi" w:hAnsiTheme="minorHAnsi" w:cstheme="minorHAnsi"/>
                <w:sz w:val="16"/>
              </w:rPr>
              <w:t>–</w:t>
            </w:r>
          </w:p>
        </w:tc>
        <w:tc>
          <w:tcPr>
            <w:tcW w:w="1134" w:type="dxa"/>
          </w:tcPr>
          <w:p w14:paraId="0AD53226" w14:textId="77777777" w:rsidR="00B02873" w:rsidRPr="00CE1173" w:rsidRDefault="00B02873" w:rsidP="00705B7A">
            <w:pPr>
              <w:pStyle w:val="TablebodyleftFinancialsTables"/>
              <w:jc w:val="right"/>
              <w:rPr>
                <w:rFonts w:asciiTheme="minorHAnsi" w:hAnsiTheme="minorHAnsi" w:cstheme="minorHAnsi"/>
                <w:sz w:val="16"/>
              </w:rPr>
            </w:pPr>
            <w:r w:rsidRPr="00CE1173">
              <w:rPr>
                <w:rFonts w:asciiTheme="minorHAnsi" w:hAnsiTheme="minorHAnsi" w:cstheme="minorHAnsi"/>
                <w:sz w:val="16"/>
              </w:rPr>
              <w:t>201,146</w:t>
            </w:r>
          </w:p>
        </w:tc>
        <w:tc>
          <w:tcPr>
            <w:tcW w:w="992" w:type="dxa"/>
          </w:tcPr>
          <w:p w14:paraId="2FF1A3E3" w14:textId="77777777" w:rsidR="00B02873" w:rsidRPr="00CE1173" w:rsidRDefault="00B02873" w:rsidP="00705B7A">
            <w:pPr>
              <w:pStyle w:val="TablebodyleftFinancialsTables"/>
              <w:jc w:val="right"/>
              <w:rPr>
                <w:rFonts w:asciiTheme="minorHAnsi" w:hAnsiTheme="minorHAnsi" w:cstheme="minorHAnsi"/>
                <w:sz w:val="16"/>
              </w:rPr>
            </w:pPr>
            <w:r w:rsidRPr="00CE1173">
              <w:rPr>
                <w:rFonts w:asciiTheme="minorHAnsi" w:hAnsiTheme="minorHAnsi" w:cstheme="minorHAnsi"/>
                <w:sz w:val="16"/>
              </w:rPr>
              <w:t>201,146</w:t>
            </w:r>
          </w:p>
        </w:tc>
      </w:tr>
      <w:tr w:rsidR="00B02873" w:rsidRPr="00CE1173" w14:paraId="19438EB2" w14:textId="77777777" w:rsidTr="00CE1173">
        <w:tc>
          <w:tcPr>
            <w:tcW w:w="5216" w:type="dxa"/>
          </w:tcPr>
          <w:p w14:paraId="15A1F457" w14:textId="77777777" w:rsidR="00B02873" w:rsidRPr="00705B7A" w:rsidRDefault="00B02873" w:rsidP="00CE1173">
            <w:pPr>
              <w:pStyle w:val="TablebodyleftFinancialsTables"/>
              <w:rPr>
                <w:rFonts w:asciiTheme="minorHAnsi" w:hAnsiTheme="minorHAnsi" w:cstheme="minorHAnsi"/>
                <w:b/>
                <w:bCs/>
                <w:sz w:val="16"/>
              </w:rPr>
            </w:pPr>
            <w:r w:rsidRPr="00705B7A">
              <w:rPr>
                <w:rFonts w:asciiTheme="minorHAnsi" w:hAnsiTheme="minorHAnsi" w:cstheme="minorHAnsi"/>
                <w:b/>
                <w:bCs/>
                <w:sz w:val="16"/>
              </w:rPr>
              <w:t>Borrowings</w:t>
            </w:r>
          </w:p>
        </w:tc>
        <w:tc>
          <w:tcPr>
            <w:tcW w:w="1134" w:type="dxa"/>
          </w:tcPr>
          <w:p w14:paraId="01276FC5" w14:textId="77777777" w:rsidR="00B02873" w:rsidRPr="00705B7A" w:rsidRDefault="00B02873" w:rsidP="00705B7A">
            <w:pPr>
              <w:pStyle w:val="TablebodyleftFinancialsTables"/>
              <w:jc w:val="right"/>
              <w:rPr>
                <w:rFonts w:asciiTheme="minorHAnsi" w:hAnsiTheme="minorHAnsi" w:cstheme="minorHAnsi"/>
                <w:b/>
                <w:bCs/>
                <w:sz w:val="16"/>
              </w:rPr>
            </w:pPr>
            <w:r w:rsidRPr="00705B7A">
              <w:rPr>
                <w:rFonts w:asciiTheme="minorHAnsi" w:hAnsiTheme="minorHAnsi" w:cstheme="minorHAnsi"/>
                <w:b/>
                <w:bCs/>
                <w:sz w:val="16"/>
              </w:rPr>
              <w:t>–</w:t>
            </w:r>
          </w:p>
        </w:tc>
        <w:tc>
          <w:tcPr>
            <w:tcW w:w="1442" w:type="dxa"/>
          </w:tcPr>
          <w:p w14:paraId="60F79AF4" w14:textId="77777777" w:rsidR="00B02873" w:rsidRPr="00705B7A" w:rsidRDefault="00B02873" w:rsidP="00705B7A">
            <w:pPr>
              <w:pStyle w:val="TablebodyleftFinancialsTables"/>
              <w:jc w:val="right"/>
              <w:rPr>
                <w:rFonts w:asciiTheme="minorHAnsi" w:hAnsiTheme="minorHAnsi" w:cstheme="minorHAnsi"/>
                <w:b/>
                <w:bCs/>
                <w:sz w:val="16"/>
              </w:rPr>
            </w:pPr>
            <w:r w:rsidRPr="00705B7A">
              <w:rPr>
                <w:rFonts w:asciiTheme="minorHAnsi" w:hAnsiTheme="minorHAnsi" w:cstheme="minorHAnsi"/>
                <w:b/>
                <w:bCs/>
                <w:sz w:val="16"/>
              </w:rPr>
              <w:t>–</w:t>
            </w:r>
          </w:p>
        </w:tc>
        <w:tc>
          <w:tcPr>
            <w:tcW w:w="1134" w:type="dxa"/>
          </w:tcPr>
          <w:p w14:paraId="160059F0" w14:textId="77777777" w:rsidR="00B02873" w:rsidRPr="00705B7A" w:rsidRDefault="00B02873" w:rsidP="00705B7A">
            <w:pPr>
              <w:pStyle w:val="TablebodyleftFinancialsTables"/>
              <w:jc w:val="right"/>
              <w:rPr>
                <w:rFonts w:asciiTheme="minorHAnsi" w:hAnsiTheme="minorHAnsi" w:cstheme="minorHAnsi"/>
                <w:b/>
                <w:bCs/>
                <w:sz w:val="16"/>
              </w:rPr>
            </w:pPr>
            <w:r w:rsidRPr="00705B7A">
              <w:rPr>
                <w:rFonts w:asciiTheme="minorHAnsi" w:hAnsiTheme="minorHAnsi" w:cstheme="minorHAnsi"/>
                <w:b/>
                <w:bCs/>
                <w:sz w:val="16"/>
              </w:rPr>
              <w:t>49,664</w:t>
            </w:r>
          </w:p>
        </w:tc>
        <w:tc>
          <w:tcPr>
            <w:tcW w:w="1137" w:type="dxa"/>
          </w:tcPr>
          <w:p w14:paraId="2686FC38" w14:textId="77777777" w:rsidR="00B02873" w:rsidRPr="00705B7A" w:rsidRDefault="00B02873" w:rsidP="00705B7A">
            <w:pPr>
              <w:pStyle w:val="TablebodyleftFinancialsTables"/>
              <w:jc w:val="right"/>
              <w:rPr>
                <w:rFonts w:asciiTheme="minorHAnsi" w:hAnsiTheme="minorHAnsi" w:cstheme="minorHAnsi"/>
                <w:b/>
                <w:bCs/>
                <w:sz w:val="16"/>
              </w:rPr>
            </w:pPr>
            <w:r w:rsidRPr="00705B7A">
              <w:rPr>
                <w:rFonts w:asciiTheme="minorHAnsi" w:hAnsiTheme="minorHAnsi" w:cstheme="minorHAnsi"/>
                <w:b/>
                <w:bCs/>
                <w:sz w:val="16"/>
              </w:rPr>
              <w:t>49,664</w:t>
            </w:r>
          </w:p>
        </w:tc>
        <w:tc>
          <w:tcPr>
            <w:tcW w:w="1134" w:type="dxa"/>
          </w:tcPr>
          <w:p w14:paraId="2386B461" w14:textId="77777777" w:rsidR="00B02873" w:rsidRPr="00CE1173" w:rsidRDefault="00B02873" w:rsidP="00705B7A">
            <w:pPr>
              <w:pStyle w:val="TablebodyleftFinancialsTables"/>
              <w:jc w:val="right"/>
              <w:rPr>
                <w:rFonts w:asciiTheme="minorHAnsi" w:hAnsiTheme="minorHAnsi" w:cstheme="minorHAnsi"/>
                <w:sz w:val="16"/>
              </w:rPr>
            </w:pPr>
            <w:r w:rsidRPr="00CE1173">
              <w:rPr>
                <w:rFonts w:asciiTheme="minorHAnsi" w:hAnsiTheme="minorHAnsi" w:cstheme="minorHAnsi"/>
                <w:sz w:val="16"/>
              </w:rPr>
              <w:t>–</w:t>
            </w:r>
          </w:p>
        </w:tc>
        <w:tc>
          <w:tcPr>
            <w:tcW w:w="1556" w:type="dxa"/>
          </w:tcPr>
          <w:p w14:paraId="01C2C462" w14:textId="77777777" w:rsidR="00B02873" w:rsidRPr="00CE1173" w:rsidRDefault="00B02873" w:rsidP="00705B7A">
            <w:pPr>
              <w:pStyle w:val="TablebodyleftFinancialsTables"/>
              <w:jc w:val="right"/>
              <w:rPr>
                <w:rFonts w:asciiTheme="minorHAnsi" w:hAnsiTheme="minorHAnsi" w:cstheme="minorHAnsi"/>
                <w:sz w:val="16"/>
              </w:rPr>
            </w:pPr>
            <w:r w:rsidRPr="00CE1173">
              <w:rPr>
                <w:rFonts w:asciiTheme="minorHAnsi" w:hAnsiTheme="minorHAnsi" w:cstheme="minorHAnsi"/>
                <w:sz w:val="16"/>
              </w:rPr>
              <w:t>–</w:t>
            </w:r>
          </w:p>
        </w:tc>
        <w:tc>
          <w:tcPr>
            <w:tcW w:w="1134" w:type="dxa"/>
          </w:tcPr>
          <w:p w14:paraId="27F4A098" w14:textId="77777777" w:rsidR="00B02873" w:rsidRPr="00CE1173" w:rsidRDefault="00B02873" w:rsidP="00705B7A">
            <w:pPr>
              <w:pStyle w:val="TablebodyleftFinancialsTables"/>
              <w:jc w:val="right"/>
              <w:rPr>
                <w:rFonts w:asciiTheme="minorHAnsi" w:hAnsiTheme="minorHAnsi" w:cstheme="minorHAnsi"/>
                <w:sz w:val="16"/>
              </w:rPr>
            </w:pPr>
            <w:r w:rsidRPr="00CE1173">
              <w:rPr>
                <w:rFonts w:asciiTheme="minorHAnsi" w:hAnsiTheme="minorHAnsi" w:cstheme="minorHAnsi"/>
                <w:sz w:val="16"/>
              </w:rPr>
              <w:t>50,812</w:t>
            </w:r>
          </w:p>
        </w:tc>
        <w:tc>
          <w:tcPr>
            <w:tcW w:w="992" w:type="dxa"/>
          </w:tcPr>
          <w:p w14:paraId="6EC1BB83" w14:textId="77777777" w:rsidR="00B02873" w:rsidRPr="00CE1173" w:rsidRDefault="00B02873" w:rsidP="00705B7A">
            <w:pPr>
              <w:pStyle w:val="TablebodyleftFinancialsTables"/>
              <w:jc w:val="right"/>
              <w:rPr>
                <w:rFonts w:asciiTheme="minorHAnsi" w:hAnsiTheme="minorHAnsi" w:cstheme="minorHAnsi"/>
                <w:sz w:val="16"/>
              </w:rPr>
            </w:pPr>
            <w:r w:rsidRPr="00CE1173">
              <w:rPr>
                <w:rFonts w:asciiTheme="minorHAnsi" w:hAnsiTheme="minorHAnsi" w:cstheme="minorHAnsi"/>
                <w:sz w:val="16"/>
              </w:rPr>
              <w:t>50,812</w:t>
            </w:r>
          </w:p>
        </w:tc>
      </w:tr>
      <w:tr w:rsidR="00B02873" w:rsidRPr="00CE1173" w14:paraId="49F73F80" w14:textId="77777777" w:rsidTr="00CE1173">
        <w:tc>
          <w:tcPr>
            <w:tcW w:w="5216" w:type="dxa"/>
          </w:tcPr>
          <w:p w14:paraId="4FC6111D" w14:textId="77777777" w:rsidR="00B02873" w:rsidRPr="00705B7A" w:rsidRDefault="00B02873" w:rsidP="00CE1173">
            <w:pPr>
              <w:pStyle w:val="TablebodyleftFinancialsTables"/>
              <w:rPr>
                <w:rFonts w:asciiTheme="minorHAnsi" w:hAnsiTheme="minorHAnsi" w:cstheme="minorHAnsi"/>
                <w:b/>
                <w:bCs/>
                <w:sz w:val="16"/>
              </w:rPr>
            </w:pPr>
            <w:r w:rsidRPr="00705B7A">
              <w:rPr>
                <w:rFonts w:asciiTheme="minorHAnsi" w:hAnsiTheme="minorHAnsi" w:cstheme="minorHAnsi"/>
                <w:b/>
                <w:bCs/>
                <w:sz w:val="16"/>
              </w:rPr>
              <w:t xml:space="preserve">Derivative financial instruments </w:t>
            </w:r>
          </w:p>
        </w:tc>
        <w:tc>
          <w:tcPr>
            <w:tcW w:w="1134" w:type="dxa"/>
          </w:tcPr>
          <w:p w14:paraId="7C8B6630" w14:textId="77777777" w:rsidR="00B02873" w:rsidRPr="00705B7A" w:rsidRDefault="00B02873" w:rsidP="00705B7A">
            <w:pPr>
              <w:pStyle w:val="TablebodyleftFinancialsTables"/>
              <w:jc w:val="right"/>
              <w:rPr>
                <w:rFonts w:asciiTheme="minorHAnsi" w:hAnsiTheme="minorHAnsi" w:cstheme="minorHAnsi"/>
                <w:b/>
                <w:bCs/>
                <w:sz w:val="16"/>
              </w:rPr>
            </w:pPr>
            <w:r w:rsidRPr="00705B7A">
              <w:rPr>
                <w:rFonts w:asciiTheme="minorHAnsi" w:hAnsiTheme="minorHAnsi" w:cstheme="minorHAnsi"/>
                <w:b/>
                <w:bCs/>
                <w:sz w:val="16"/>
              </w:rPr>
              <w:t>–</w:t>
            </w:r>
          </w:p>
        </w:tc>
        <w:tc>
          <w:tcPr>
            <w:tcW w:w="1442" w:type="dxa"/>
          </w:tcPr>
          <w:p w14:paraId="0ADC4BC8" w14:textId="77777777" w:rsidR="00B02873" w:rsidRPr="00705B7A" w:rsidRDefault="00B02873" w:rsidP="00705B7A">
            <w:pPr>
              <w:pStyle w:val="TablebodyleftFinancialsTables"/>
              <w:jc w:val="right"/>
              <w:rPr>
                <w:rFonts w:asciiTheme="minorHAnsi" w:hAnsiTheme="minorHAnsi" w:cstheme="minorHAnsi"/>
                <w:b/>
                <w:bCs/>
                <w:sz w:val="16"/>
              </w:rPr>
            </w:pPr>
            <w:r w:rsidRPr="00705B7A">
              <w:rPr>
                <w:rFonts w:asciiTheme="minorHAnsi" w:hAnsiTheme="minorHAnsi" w:cstheme="minorHAnsi"/>
                <w:b/>
                <w:bCs/>
                <w:sz w:val="16"/>
              </w:rPr>
              <w:t>–</w:t>
            </w:r>
          </w:p>
        </w:tc>
        <w:tc>
          <w:tcPr>
            <w:tcW w:w="1134" w:type="dxa"/>
          </w:tcPr>
          <w:p w14:paraId="4053F360" w14:textId="77777777" w:rsidR="00B02873" w:rsidRPr="00705B7A" w:rsidRDefault="00B02873" w:rsidP="00705B7A">
            <w:pPr>
              <w:pStyle w:val="TablebodyleftFinancialsTables"/>
              <w:jc w:val="right"/>
              <w:rPr>
                <w:rFonts w:asciiTheme="minorHAnsi" w:hAnsiTheme="minorHAnsi" w:cstheme="minorHAnsi"/>
                <w:b/>
                <w:bCs/>
                <w:sz w:val="16"/>
              </w:rPr>
            </w:pPr>
            <w:r w:rsidRPr="00705B7A">
              <w:rPr>
                <w:rFonts w:asciiTheme="minorHAnsi" w:hAnsiTheme="minorHAnsi" w:cstheme="minorHAnsi"/>
                <w:b/>
                <w:bCs/>
                <w:sz w:val="16"/>
              </w:rPr>
              <w:t>–</w:t>
            </w:r>
          </w:p>
        </w:tc>
        <w:tc>
          <w:tcPr>
            <w:tcW w:w="1137" w:type="dxa"/>
          </w:tcPr>
          <w:p w14:paraId="6FAC7ACC" w14:textId="77777777" w:rsidR="00B02873" w:rsidRPr="00705B7A" w:rsidRDefault="00B02873" w:rsidP="00705B7A">
            <w:pPr>
              <w:pStyle w:val="TablebodyleftFinancialsTables"/>
              <w:jc w:val="right"/>
              <w:rPr>
                <w:rFonts w:asciiTheme="minorHAnsi" w:hAnsiTheme="minorHAnsi" w:cstheme="minorHAnsi"/>
                <w:b/>
                <w:bCs/>
                <w:sz w:val="16"/>
              </w:rPr>
            </w:pPr>
            <w:r w:rsidRPr="00705B7A">
              <w:rPr>
                <w:rFonts w:asciiTheme="minorHAnsi" w:hAnsiTheme="minorHAnsi" w:cstheme="minorHAnsi"/>
                <w:b/>
                <w:bCs/>
                <w:sz w:val="16"/>
              </w:rPr>
              <w:t>–</w:t>
            </w:r>
          </w:p>
        </w:tc>
        <w:tc>
          <w:tcPr>
            <w:tcW w:w="1134" w:type="dxa"/>
          </w:tcPr>
          <w:p w14:paraId="46EFC48B" w14:textId="77777777" w:rsidR="00B02873" w:rsidRPr="00CE1173" w:rsidRDefault="00B02873" w:rsidP="00705B7A">
            <w:pPr>
              <w:pStyle w:val="TablebodyleftFinancialsTables"/>
              <w:jc w:val="right"/>
              <w:rPr>
                <w:rFonts w:asciiTheme="minorHAnsi" w:hAnsiTheme="minorHAnsi" w:cstheme="minorHAnsi"/>
                <w:sz w:val="16"/>
              </w:rPr>
            </w:pPr>
            <w:r w:rsidRPr="00CE1173">
              <w:rPr>
                <w:rFonts w:asciiTheme="minorHAnsi" w:hAnsiTheme="minorHAnsi" w:cstheme="minorHAnsi"/>
                <w:sz w:val="16"/>
              </w:rPr>
              <w:t>–</w:t>
            </w:r>
          </w:p>
        </w:tc>
        <w:tc>
          <w:tcPr>
            <w:tcW w:w="1556" w:type="dxa"/>
          </w:tcPr>
          <w:p w14:paraId="7753D9A4" w14:textId="77777777" w:rsidR="00B02873" w:rsidRPr="00CE1173" w:rsidRDefault="00B02873" w:rsidP="00705B7A">
            <w:pPr>
              <w:pStyle w:val="TablebodyleftFinancialsTables"/>
              <w:jc w:val="right"/>
              <w:rPr>
                <w:rFonts w:asciiTheme="minorHAnsi" w:hAnsiTheme="minorHAnsi" w:cstheme="minorHAnsi"/>
                <w:sz w:val="16"/>
              </w:rPr>
            </w:pPr>
            <w:r w:rsidRPr="00CE1173">
              <w:rPr>
                <w:rFonts w:asciiTheme="minorHAnsi" w:hAnsiTheme="minorHAnsi" w:cstheme="minorHAnsi"/>
                <w:sz w:val="16"/>
              </w:rPr>
              <w:t>1,931</w:t>
            </w:r>
          </w:p>
        </w:tc>
        <w:tc>
          <w:tcPr>
            <w:tcW w:w="1134" w:type="dxa"/>
          </w:tcPr>
          <w:p w14:paraId="66D15DEA" w14:textId="77777777" w:rsidR="00B02873" w:rsidRPr="00CE1173" w:rsidRDefault="00B02873" w:rsidP="00705B7A">
            <w:pPr>
              <w:pStyle w:val="TablebodyleftFinancialsTables"/>
              <w:jc w:val="right"/>
              <w:rPr>
                <w:rFonts w:asciiTheme="minorHAnsi" w:hAnsiTheme="minorHAnsi" w:cstheme="minorHAnsi"/>
                <w:sz w:val="16"/>
              </w:rPr>
            </w:pPr>
            <w:r w:rsidRPr="00CE1173">
              <w:rPr>
                <w:rFonts w:asciiTheme="minorHAnsi" w:hAnsiTheme="minorHAnsi" w:cstheme="minorHAnsi"/>
                <w:sz w:val="16"/>
              </w:rPr>
              <w:t>–</w:t>
            </w:r>
          </w:p>
        </w:tc>
        <w:tc>
          <w:tcPr>
            <w:tcW w:w="992" w:type="dxa"/>
          </w:tcPr>
          <w:p w14:paraId="090CC53C" w14:textId="77777777" w:rsidR="00B02873" w:rsidRPr="00CE1173" w:rsidRDefault="00B02873" w:rsidP="00705B7A">
            <w:pPr>
              <w:pStyle w:val="TablebodyleftFinancialsTables"/>
              <w:jc w:val="right"/>
              <w:rPr>
                <w:rFonts w:asciiTheme="minorHAnsi" w:hAnsiTheme="minorHAnsi" w:cstheme="minorHAnsi"/>
                <w:sz w:val="16"/>
              </w:rPr>
            </w:pPr>
            <w:r w:rsidRPr="00CE1173">
              <w:rPr>
                <w:rFonts w:asciiTheme="minorHAnsi" w:hAnsiTheme="minorHAnsi" w:cstheme="minorHAnsi"/>
                <w:sz w:val="16"/>
              </w:rPr>
              <w:t>1,931</w:t>
            </w:r>
          </w:p>
        </w:tc>
      </w:tr>
      <w:tr w:rsidR="00B02873" w:rsidRPr="00CE1173" w14:paraId="201A0E53" w14:textId="77777777" w:rsidTr="00CE1173">
        <w:tc>
          <w:tcPr>
            <w:tcW w:w="5216" w:type="dxa"/>
          </w:tcPr>
          <w:p w14:paraId="2D4BEDE3" w14:textId="77777777" w:rsidR="00B02873" w:rsidRPr="00705B7A" w:rsidRDefault="00B02873" w:rsidP="00CE1173">
            <w:pPr>
              <w:pStyle w:val="TablebodyleftFinancialsTables"/>
              <w:rPr>
                <w:rFonts w:asciiTheme="minorHAnsi" w:hAnsiTheme="minorHAnsi" w:cstheme="minorHAnsi"/>
                <w:b/>
                <w:bCs/>
                <w:sz w:val="16"/>
              </w:rPr>
            </w:pPr>
            <w:r w:rsidRPr="00705B7A">
              <w:rPr>
                <w:rFonts w:asciiTheme="minorHAnsi" w:hAnsiTheme="minorHAnsi" w:cstheme="minorHAnsi"/>
                <w:b/>
                <w:bCs/>
                <w:sz w:val="16"/>
              </w:rPr>
              <w:t>Other liabilities</w:t>
            </w:r>
          </w:p>
        </w:tc>
        <w:tc>
          <w:tcPr>
            <w:tcW w:w="1134" w:type="dxa"/>
          </w:tcPr>
          <w:p w14:paraId="54F1F5E1" w14:textId="77777777" w:rsidR="00B02873" w:rsidRPr="00705B7A" w:rsidRDefault="00B02873" w:rsidP="00705B7A">
            <w:pPr>
              <w:pStyle w:val="TablebodyleftFinancialsTables"/>
              <w:jc w:val="right"/>
              <w:rPr>
                <w:rFonts w:asciiTheme="minorHAnsi" w:hAnsiTheme="minorHAnsi" w:cstheme="minorHAnsi"/>
                <w:b/>
                <w:bCs/>
                <w:sz w:val="16"/>
              </w:rPr>
            </w:pPr>
            <w:r w:rsidRPr="00705B7A">
              <w:rPr>
                <w:rFonts w:asciiTheme="minorHAnsi" w:hAnsiTheme="minorHAnsi" w:cstheme="minorHAnsi"/>
                <w:b/>
                <w:bCs/>
                <w:sz w:val="16"/>
              </w:rPr>
              <w:t>–</w:t>
            </w:r>
          </w:p>
        </w:tc>
        <w:tc>
          <w:tcPr>
            <w:tcW w:w="1442" w:type="dxa"/>
          </w:tcPr>
          <w:p w14:paraId="61729F77" w14:textId="77777777" w:rsidR="00B02873" w:rsidRPr="00705B7A" w:rsidRDefault="00B02873" w:rsidP="00705B7A">
            <w:pPr>
              <w:pStyle w:val="TablebodyleftFinancialsTables"/>
              <w:jc w:val="right"/>
              <w:rPr>
                <w:rFonts w:asciiTheme="minorHAnsi" w:hAnsiTheme="minorHAnsi" w:cstheme="minorHAnsi"/>
                <w:b/>
                <w:bCs/>
                <w:sz w:val="16"/>
              </w:rPr>
            </w:pPr>
            <w:r w:rsidRPr="00705B7A">
              <w:rPr>
                <w:rFonts w:asciiTheme="minorHAnsi" w:hAnsiTheme="minorHAnsi" w:cstheme="minorHAnsi"/>
                <w:b/>
                <w:bCs/>
                <w:sz w:val="16"/>
              </w:rPr>
              <w:t>–</w:t>
            </w:r>
          </w:p>
        </w:tc>
        <w:tc>
          <w:tcPr>
            <w:tcW w:w="1134" w:type="dxa"/>
          </w:tcPr>
          <w:p w14:paraId="055C7333" w14:textId="77777777" w:rsidR="00B02873" w:rsidRPr="00705B7A" w:rsidRDefault="00B02873" w:rsidP="00705B7A">
            <w:pPr>
              <w:pStyle w:val="TablebodyleftFinancialsTables"/>
              <w:jc w:val="right"/>
              <w:rPr>
                <w:rFonts w:asciiTheme="minorHAnsi" w:hAnsiTheme="minorHAnsi" w:cstheme="minorHAnsi"/>
                <w:b/>
                <w:bCs/>
                <w:sz w:val="16"/>
              </w:rPr>
            </w:pPr>
            <w:r w:rsidRPr="00705B7A">
              <w:rPr>
                <w:rFonts w:asciiTheme="minorHAnsi" w:hAnsiTheme="minorHAnsi" w:cstheme="minorHAnsi"/>
                <w:b/>
                <w:bCs/>
                <w:sz w:val="16"/>
              </w:rPr>
              <w:t>8,129</w:t>
            </w:r>
          </w:p>
        </w:tc>
        <w:tc>
          <w:tcPr>
            <w:tcW w:w="1137" w:type="dxa"/>
          </w:tcPr>
          <w:p w14:paraId="46BC0C45" w14:textId="77777777" w:rsidR="00B02873" w:rsidRPr="00705B7A" w:rsidRDefault="00B02873" w:rsidP="00705B7A">
            <w:pPr>
              <w:pStyle w:val="TablebodyleftFinancialsTables"/>
              <w:jc w:val="right"/>
              <w:rPr>
                <w:rFonts w:asciiTheme="minorHAnsi" w:hAnsiTheme="minorHAnsi" w:cstheme="minorHAnsi"/>
                <w:b/>
                <w:bCs/>
                <w:sz w:val="16"/>
              </w:rPr>
            </w:pPr>
            <w:r w:rsidRPr="00705B7A">
              <w:rPr>
                <w:rFonts w:asciiTheme="minorHAnsi" w:hAnsiTheme="minorHAnsi" w:cstheme="minorHAnsi"/>
                <w:b/>
                <w:bCs/>
                <w:sz w:val="16"/>
              </w:rPr>
              <w:t>8,129</w:t>
            </w:r>
          </w:p>
        </w:tc>
        <w:tc>
          <w:tcPr>
            <w:tcW w:w="1134" w:type="dxa"/>
          </w:tcPr>
          <w:p w14:paraId="372F9B5E" w14:textId="77777777" w:rsidR="00B02873" w:rsidRPr="00CE1173" w:rsidRDefault="00B02873" w:rsidP="00705B7A">
            <w:pPr>
              <w:pStyle w:val="TablebodyleftFinancialsTables"/>
              <w:jc w:val="right"/>
              <w:rPr>
                <w:rFonts w:asciiTheme="minorHAnsi" w:hAnsiTheme="minorHAnsi" w:cstheme="minorHAnsi"/>
                <w:sz w:val="16"/>
              </w:rPr>
            </w:pPr>
            <w:r w:rsidRPr="00CE1173">
              <w:rPr>
                <w:rFonts w:asciiTheme="minorHAnsi" w:hAnsiTheme="minorHAnsi" w:cstheme="minorHAnsi"/>
                <w:sz w:val="16"/>
              </w:rPr>
              <w:t>–</w:t>
            </w:r>
          </w:p>
        </w:tc>
        <w:tc>
          <w:tcPr>
            <w:tcW w:w="1556" w:type="dxa"/>
          </w:tcPr>
          <w:p w14:paraId="386838FE" w14:textId="77777777" w:rsidR="00B02873" w:rsidRPr="00CE1173" w:rsidRDefault="00B02873" w:rsidP="00705B7A">
            <w:pPr>
              <w:pStyle w:val="TablebodyleftFinancialsTables"/>
              <w:jc w:val="right"/>
              <w:rPr>
                <w:rFonts w:asciiTheme="minorHAnsi" w:hAnsiTheme="minorHAnsi" w:cstheme="minorHAnsi"/>
                <w:sz w:val="16"/>
              </w:rPr>
            </w:pPr>
            <w:r w:rsidRPr="00CE1173">
              <w:rPr>
                <w:rFonts w:asciiTheme="minorHAnsi" w:hAnsiTheme="minorHAnsi" w:cstheme="minorHAnsi"/>
                <w:sz w:val="16"/>
              </w:rPr>
              <w:t>–</w:t>
            </w:r>
          </w:p>
        </w:tc>
        <w:tc>
          <w:tcPr>
            <w:tcW w:w="1134" w:type="dxa"/>
          </w:tcPr>
          <w:p w14:paraId="115F4BEE" w14:textId="77777777" w:rsidR="00B02873" w:rsidRPr="00CE1173" w:rsidRDefault="00B02873" w:rsidP="00705B7A">
            <w:pPr>
              <w:pStyle w:val="TablebodyleftFinancialsTables"/>
              <w:jc w:val="right"/>
              <w:rPr>
                <w:rFonts w:asciiTheme="minorHAnsi" w:hAnsiTheme="minorHAnsi" w:cstheme="minorHAnsi"/>
                <w:sz w:val="16"/>
              </w:rPr>
            </w:pPr>
            <w:r w:rsidRPr="00CE1173">
              <w:rPr>
                <w:rFonts w:asciiTheme="minorHAnsi" w:hAnsiTheme="minorHAnsi" w:cstheme="minorHAnsi"/>
                <w:sz w:val="16"/>
              </w:rPr>
              <w:t>5,692</w:t>
            </w:r>
          </w:p>
        </w:tc>
        <w:tc>
          <w:tcPr>
            <w:tcW w:w="992" w:type="dxa"/>
          </w:tcPr>
          <w:p w14:paraId="0FF0B345" w14:textId="77777777" w:rsidR="00B02873" w:rsidRPr="00CE1173" w:rsidRDefault="00B02873" w:rsidP="00705B7A">
            <w:pPr>
              <w:pStyle w:val="TablebodyleftFinancialsTables"/>
              <w:jc w:val="right"/>
              <w:rPr>
                <w:rFonts w:asciiTheme="minorHAnsi" w:hAnsiTheme="minorHAnsi" w:cstheme="minorHAnsi"/>
                <w:sz w:val="16"/>
              </w:rPr>
            </w:pPr>
            <w:r w:rsidRPr="00CE1173">
              <w:rPr>
                <w:rFonts w:asciiTheme="minorHAnsi" w:hAnsiTheme="minorHAnsi" w:cstheme="minorHAnsi"/>
                <w:sz w:val="16"/>
              </w:rPr>
              <w:t>5,692</w:t>
            </w:r>
          </w:p>
        </w:tc>
      </w:tr>
      <w:tr w:rsidR="00B02873" w:rsidRPr="00CE1173" w14:paraId="77E37AA8" w14:textId="77777777" w:rsidTr="00CE1173">
        <w:tc>
          <w:tcPr>
            <w:tcW w:w="5216" w:type="dxa"/>
          </w:tcPr>
          <w:p w14:paraId="22A438BB" w14:textId="77777777" w:rsidR="00B02873" w:rsidRPr="00705B7A" w:rsidRDefault="00B02873" w:rsidP="00CE1173">
            <w:pPr>
              <w:pStyle w:val="TablebodyleftFinancialsTables"/>
              <w:rPr>
                <w:rFonts w:asciiTheme="minorHAnsi" w:hAnsiTheme="minorHAnsi" w:cstheme="minorHAnsi"/>
                <w:b/>
                <w:bCs/>
                <w:sz w:val="16"/>
              </w:rPr>
            </w:pPr>
            <w:r w:rsidRPr="00705B7A">
              <w:rPr>
                <w:rFonts w:asciiTheme="minorHAnsi" w:hAnsiTheme="minorHAnsi" w:cstheme="minorHAnsi"/>
                <w:b/>
                <w:bCs/>
                <w:sz w:val="16"/>
              </w:rPr>
              <w:t>Total contractual financial liabilities</w:t>
            </w:r>
          </w:p>
        </w:tc>
        <w:tc>
          <w:tcPr>
            <w:tcW w:w="1134" w:type="dxa"/>
          </w:tcPr>
          <w:p w14:paraId="112128B7" w14:textId="77777777" w:rsidR="00B02873" w:rsidRPr="00705B7A" w:rsidRDefault="00B02873" w:rsidP="00705B7A">
            <w:pPr>
              <w:pStyle w:val="TablebodyleftFinancialsTables"/>
              <w:jc w:val="right"/>
              <w:rPr>
                <w:rFonts w:asciiTheme="minorHAnsi" w:hAnsiTheme="minorHAnsi" w:cstheme="minorHAnsi"/>
                <w:b/>
                <w:bCs/>
                <w:sz w:val="16"/>
              </w:rPr>
            </w:pPr>
            <w:r w:rsidRPr="00705B7A">
              <w:rPr>
                <w:rFonts w:asciiTheme="minorHAnsi" w:hAnsiTheme="minorHAnsi" w:cstheme="minorHAnsi"/>
                <w:b/>
                <w:bCs/>
                <w:sz w:val="16"/>
              </w:rPr>
              <w:t>–</w:t>
            </w:r>
          </w:p>
        </w:tc>
        <w:tc>
          <w:tcPr>
            <w:tcW w:w="1442" w:type="dxa"/>
          </w:tcPr>
          <w:p w14:paraId="4023B299" w14:textId="77777777" w:rsidR="00B02873" w:rsidRPr="00705B7A" w:rsidRDefault="00B02873" w:rsidP="00705B7A">
            <w:pPr>
              <w:pStyle w:val="TablebodyleftFinancialsTables"/>
              <w:jc w:val="right"/>
              <w:rPr>
                <w:rFonts w:asciiTheme="minorHAnsi" w:hAnsiTheme="minorHAnsi" w:cstheme="minorHAnsi"/>
                <w:b/>
                <w:bCs/>
                <w:sz w:val="16"/>
              </w:rPr>
            </w:pPr>
            <w:r w:rsidRPr="00705B7A">
              <w:rPr>
                <w:rFonts w:asciiTheme="minorHAnsi" w:hAnsiTheme="minorHAnsi" w:cstheme="minorHAnsi"/>
                <w:b/>
                <w:bCs/>
                <w:sz w:val="16"/>
              </w:rPr>
              <w:t>–</w:t>
            </w:r>
          </w:p>
        </w:tc>
        <w:tc>
          <w:tcPr>
            <w:tcW w:w="1134" w:type="dxa"/>
          </w:tcPr>
          <w:p w14:paraId="34876150" w14:textId="77777777" w:rsidR="00B02873" w:rsidRPr="00705B7A" w:rsidRDefault="00B02873" w:rsidP="00705B7A">
            <w:pPr>
              <w:pStyle w:val="TablebodyleftFinancialsTables"/>
              <w:jc w:val="right"/>
              <w:rPr>
                <w:rFonts w:asciiTheme="minorHAnsi" w:hAnsiTheme="minorHAnsi" w:cstheme="minorHAnsi"/>
                <w:b/>
                <w:bCs/>
                <w:sz w:val="16"/>
              </w:rPr>
            </w:pPr>
            <w:r w:rsidRPr="00705B7A">
              <w:rPr>
                <w:rFonts w:asciiTheme="minorHAnsi" w:hAnsiTheme="minorHAnsi" w:cstheme="minorHAnsi"/>
                <w:b/>
                <w:bCs/>
                <w:sz w:val="16"/>
              </w:rPr>
              <w:t>491,202</w:t>
            </w:r>
          </w:p>
        </w:tc>
        <w:tc>
          <w:tcPr>
            <w:tcW w:w="1137" w:type="dxa"/>
          </w:tcPr>
          <w:p w14:paraId="48AD09B6" w14:textId="77777777" w:rsidR="00B02873" w:rsidRPr="00705B7A" w:rsidRDefault="00B02873" w:rsidP="00705B7A">
            <w:pPr>
              <w:pStyle w:val="TablebodyleftFinancialsTables"/>
              <w:jc w:val="right"/>
              <w:rPr>
                <w:rFonts w:asciiTheme="minorHAnsi" w:hAnsiTheme="minorHAnsi" w:cstheme="minorHAnsi"/>
                <w:b/>
                <w:bCs/>
                <w:sz w:val="16"/>
              </w:rPr>
            </w:pPr>
            <w:r w:rsidRPr="00705B7A">
              <w:rPr>
                <w:rFonts w:asciiTheme="minorHAnsi" w:hAnsiTheme="minorHAnsi" w:cstheme="minorHAnsi"/>
                <w:b/>
                <w:bCs/>
                <w:sz w:val="16"/>
              </w:rPr>
              <w:t>491,202</w:t>
            </w:r>
          </w:p>
        </w:tc>
        <w:tc>
          <w:tcPr>
            <w:tcW w:w="1134" w:type="dxa"/>
          </w:tcPr>
          <w:p w14:paraId="315A682E" w14:textId="77777777" w:rsidR="00B02873" w:rsidRPr="00CE1173" w:rsidRDefault="00B02873" w:rsidP="00705B7A">
            <w:pPr>
              <w:pStyle w:val="TablebodyleftFinancialsTables"/>
              <w:jc w:val="right"/>
              <w:rPr>
                <w:rFonts w:asciiTheme="minorHAnsi" w:hAnsiTheme="minorHAnsi" w:cstheme="minorHAnsi"/>
                <w:sz w:val="16"/>
              </w:rPr>
            </w:pPr>
            <w:r w:rsidRPr="00CE1173">
              <w:rPr>
                <w:rFonts w:asciiTheme="minorHAnsi" w:hAnsiTheme="minorHAnsi" w:cstheme="minorHAnsi"/>
                <w:sz w:val="16"/>
              </w:rPr>
              <w:t>–</w:t>
            </w:r>
          </w:p>
        </w:tc>
        <w:tc>
          <w:tcPr>
            <w:tcW w:w="1556" w:type="dxa"/>
          </w:tcPr>
          <w:p w14:paraId="745B771D" w14:textId="77777777" w:rsidR="00B02873" w:rsidRPr="00CE1173" w:rsidRDefault="00B02873" w:rsidP="00705B7A">
            <w:pPr>
              <w:pStyle w:val="TablebodyleftFinancialsTables"/>
              <w:jc w:val="right"/>
              <w:rPr>
                <w:rFonts w:asciiTheme="minorHAnsi" w:hAnsiTheme="minorHAnsi" w:cstheme="minorHAnsi"/>
                <w:sz w:val="16"/>
              </w:rPr>
            </w:pPr>
            <w:r w:rsidRPr="00CE1173">
              <w:rPr>
                <w:rFonts w:asciiTheme="minorHAnsi" w:hAnsiTheme="minorHAnsi" w:cstheme="minorHAnsi"/>
                <w:sz w:val="16"/>
              </w:rPr>
              <w:t>1,931</w:t>
            </w:r>
          </w:p>
        </w:tc>
        <w:tc>
          <w:tcPr>
            <w:tcW w:w="1134" w:type="dxa"/>
          </w:tcPr>
          <w:p w14:paraId="73F57B88" w14:textId="77777777" w:rsidR="00B02873" w:rsidRPr="00CE1173" w:rsidRDefault="00B02873" w:rsidP="00705B7A">
            <w:pPr>
              <w:pStyle w:val="TablebodyleftFinancialsTables"/>
              <w:jc w:val="right"/>
              <w:rPr>
                <w:rFonts w:asciiTheme="minorHAnsi" w:hAnsiTheme="minorHAnsi" w:cstheme="minorHAnsi"/>
                <w:sz w:val="16"/>
              </w:rPr>
            </w:pPr>
            <w:r w:rsidRPr="00CE1173">
              <w:rPr>
                <w:rFonts w:asciiTheme="minorHAnsi" w:hAnsiTheme="minorHAnsi" w:cstheme="minorHAnsi"/>
                <w:sz w:val="16"/>
              </w:rPr>
              <w:t>470,085</w:t>
            </w:r>
          </w:p>
        </w:tc>
        <w:tc>
          <w:tcPr>
            <w:tcW w:w="992" w:type="dxa"/>
          </w:tcPr>
          <w:p w14:paraId="2B91151B" w14:textId="77777777" w:rsidR="00B02873" w:rsidRPr="00CE1173" w:rsidRDefault="00B02873" w:rsidP="00705B7A">
            <w:pPr>
              <w:pStyle w:val="TablebodyleftFinancialsTables"/>
              <w:jc w:val="right"/>
              <w:rPr>
                <w:rFonts w:asciiTheme="minorHAnsi" w:hAnsiTheme="minorHAnsi" w:cstheme="minorHAnsi"/>
                <w:sz w:val="16"/>
              </w:rPr>
            </w:pPr>
            <w:r w:rsidRPr="00CE1173">
              <w:rPr>
                <w:rFonts w:asciiTheme="minorHAnsi" w:hAnsiTheme="minorHAnsi" w:cstheme="minorHAnsi"/>
                <w:sz w:val="16"/>
              </w:rPr>
              <w:t>472,016</w:t>
            </w:r>
          </w:p>
        </w:tc>
      </w:tr>
    </w:tbl>
    <w:p w14:paraId="39B9A4DB" w14:textId="77777777" w:rsidR="00B02873" w:rsidRPr="00CE1173" w:rsidRDefault="00B02873" w:rsidP="00CE1173">
      <w:pPr>
        <w:pStyle w:val="SourceNote"/>
        <w:spacing w:after="120"/>
        <w:rPr>
          <w:b/>
          <w:bCs/>
        </w:rPr>
      </w:pPr>
      <w:r w:rsidRPr="00CE1173">
        <w:rPr>
          <w:b/>
          <w:bCs/>
        </w:rPr>
        <w:t>Note:</w:t>
      </w:r>
    </w:p>
    <w:p w14:paraId="21F62C38" w14:textId="77777777" w:rsidR="00B02873" w:rsidRPr="00705B7A" w:rsidRDefault="00B02873" w:rsidP="001128B1">
      <w:pPr>
        <w:pStyle w:val="SourceNotenumbered"/>
        <w:numPr>
          <w:ilvl w:val="0"/>
          <w:numId w:val="86"/>
        </w:numPr>
      </w:pPr>
      <w:r w:rsidRPr="00705B7A">
        <w:t xml:space="preserve">The amount of receivables disclosed excludes accrued income and statutory receivables (i.e. amounts owing from Victorian government, landfill levies receivable and GST input tax credit receivable) totalling $957.438 million (2021: $769.123 million) – Refer to Note 6.1 </w:t>
      </w:r>
      <w:r w:rsidRPr="00C53E83">
        <w:rPr>
          <w:rStyle w:val="LightItalic"/>
          <w:rFonts w:asciiTheme="minorHAnsi" w:hAnsiTheme="minorHAnsi" w:cstheme="minorHAnsi"/>
        </w:rPr>
        <w:t>Receivables</w:t>
      </w:r>
      <w:r w:rsidRPr="00705B7A">
        <w:t>.</w:t>
      </w:r>
    </w:p>
    <w:p w14:paraId="7C0B1ED5" w14:textId="77777777" w:rsidR="00B02873" w:rsidRPr="00705B7A" w:rsidRDefault="00B02873" w:rsidP="00C53E83">
      <w:pPr>
        <w:pStyle w:val="SourceNotenumbered"/>
      </w:pPr>
      <w:r w:rsidRPr="00705B7A">
        <w:t xml:space="preserve">The amount of payables disclosed excludes statutory payables (i.e. Advances from the Public Account and taxes payable) totalling $31.289 million (2021: $48.239 million) – Refer to Note 6.3 </w:t>
      </w:r>
      <w:r w:rsidRPr="00705B7A">
        <w:rPr>
          <w:rStyle w:val="LightItalic"/>
          <w:rFonts w:asciiTheme="minorHAnsi" w:hAnsiTheme="minorHAnsi" w:cstheme="minorHAnsi"/>
        </w:rPr>
        <w:t>Payables</w:t>
      </w:r>
    </w:p>
    <w:p w14:paraId="51941C95" w14:textId="77777777" w:rsidR="00CE1173" w:rsidRPr="00705B7A" w:rsidRDefault="00CE1173" w:rsidP="00C53E83">
      <w:pPr>
        <w:pStyle w:val="SourceNotenumbered"/>
        <w:sectPr w:rsidR="00CE1173" w:rsidRPr="00705B7A" w:rsidSect="00CE1173">
          <w:pgSz w:w="16838" w:h="11906" w:orient="landscape" w:code="9"/>
          <w:pgMar w:top="1134" w:right="1134" w:bottom="1134" w:left="1134" w:header="720" w:footer="720" w:gutter="0"/>
          <w:cols w:space="720"/>
          <w:noEndnote/>
          <w:docGrid w:linePitch="299"/>
        </w:sectPr>
      </w:pPr>
    </w:p>
    <w:p w14:paraId="51AABDF3" w14:textId="21B90225" w:rsidR="00B02873" w:rsidRDefault="00B02873" w:rsidP="00705B7A">
      <w:pPr>
        <w:pStyle w:val="Heading4"/>
      </w:pPr>
      <w:r>
        <w:lastRenderedPageBreak/>
        <w:t>8.1.2 Financial instruments: Net holding gain/(loss) on financial instruments by category</w:t>
      </w:r>
    </w:p>
    <w:tbl>
      <w:tblPr>
        <w:tblStyle w:val="TableGrid"/>
        <w:tblW w:w="9691" w:type="dxa"/>
        <w:tblLayout w:type="fixed"/>
        <w:tblLook w:val="0020" w:firstRow="1" w:lastRow="0" w:firstColumn="0" w:lastColumn="0" w:noHBand="0" w:noVBand="0"/>
      </w:tblPr>
      <w:tblGrid>
        <w:gridCol w:w="4966"/>
        <w:gridCol w:w="1100"/>
        <w:gridCol w:w="1191"/>
        <w:gridCol w:w="1243"/>
        <w:gridCol w:w="1191"/>
      </w:tblGrid>
      <w:tr w:rsidR="00B02873" w:rsidRPr="00B02873" w14:paraId="06EE0695" w14:textId="77777777" w:rsidTr="00D41FFB">
        <w:trPr>
          <w:cnfStyle w:val="100000000000" w:firstRow="1" w:lastRow="0" w:firstColumn="0" w:lastColumn="0" w:oddVBand="0" w:evenVBand="0" w:oddHBand="0" w:evenHBand="0" w:firstRowFirstColumn="0" w:firstRowLastColumn="0" w:lastRowFirstColumn="0" w:lastRowLastColumn="0"/>
        </w:trPr>
        <w:tc>
          <w:tcPr>
            <w:tcW w:w="4966" w:type="dxa"/>
          </w:tcPr>
          <w:p w14:paraId="36EC41F2" w14:textId="77777777" w:rsidR="00B02873" w:rsidRPr="00B02873" w:rsidRDefault="00B02873" w:rsidP="00705B7A">
            <w:pPr>
              <w:pStyle w:val="TableheadingleftFinancialsTables"/>
            </w:pPr>
          </w:p>
        </w:tc>
        <w:tc>
          <w:tcPr>
            <w:tcW w:w="1100" w:type="dxa"/>
          </w:tcPr>
          <w:p w14:paraId="20AAA5B3" w14:textId="5FC0C28D" w:rsidR="00B02873" w:rsidRPr="00D41FFB" w:rsidRDefault="00705B7A" w:rsidP="001E1BBB">
            <w:pPr>
              <w:pStyle w:val="TableheadingleftFinancialsTables"/>
              <w:jc w:val="right"/>
            </w:pPr>
            <w:r w:rsidRPr="00D41FFB">
              <w:t xml:space="preserve">2022 </w:t>
            </w:r>
            <w:r w:rsidRPr="00D41FFB">
              <w:br/>
            </w:r>
            <w:r w:rsidR="00B02873" w:rsidRPr="00D41FFB">
              <w:t>Net holding gain/ (loss)</w:t>
            </w:r>
            <w:r w:rsidR="00B02873" w:rsidRPr="00D41FFB">
              <w:br/>
              <w:t>$’000</w:t>
            </w:r>
          </w:p>
        </w:tc>
        <w:tc>
          <w:tcPr>
            <w:tcW w:w="1191" w:type="dxa"/>
          </w:tcPr>
          <w:p w14:paraId="44CEDA35" w14:textId="68891101" w:rsidR="00705B7A" w:rsidRPr="00D41FFB" w:rsidRDefault="00705B7A" w:rsidP="001E1BBB">
            <w:pPr>
              <w:pStyle w:val="TableheadingleftFinancialsTables"/>
              <w:jc w:val="right"/>
            </w:pPr>
            <w:r w:rsidRPr="00D41FFB">
              <w:t>2022</w:t>
            </w:r>
          </w:p>
          <w:p w14:paraId="4DA39420" w14:textId="3DDF911D" w:rsidR="00B02873" w:rsidRPr="00D41FFB" w:rsidRDefault="00B02873" w:rsidP="001E1BBB">
            <w:pPr>
              <w:pStyle w:val="TableheadingleftFinancialsTables"/>
              <w:jc w:val="right"/>
            </w:pPr>
            <w:r w:rsidRPr="00D41FFB">
              <w:t>Total interest income/ (expense)</w:t>
            </w:r>
            <w:r w:rsidRPr="00D41FFB">
              <w:br/>
              <w:t>$’000</w:t>
            </w:r>
          </w:p>
        </w:tc>
        <w:tc>
          <w:tcPr>
            <w:tcW w:w="1243" w:type="dxa"/>
          </w:tcPr>
          <w:p w14:paraId="22BBEFDE" w14:textId="284AC61C" w:rsidR="00705B7A" w:rsidRPr="00D41FFB" w:rsidRDefault="00705B7A" w:rsidP="001E1BBB">
            <w:pPr>
              <w:pStyle w:val="TableheadingleftFinancialsTables"/>
              <w:jc w:val="right"/>
            </w:pPr>
            <w:r w:rsidRPr="00D41FFB">
              <w:t>2022</w:t>
            </w:r>
          </w:p>
          <w:p w14:paraId="17767023" w14:textId="545A2EA2" w:rsidR="00B02873" w:rsidRPr="00D41FFB" w:rsidRDefault="00B02873" w:rsidP="001E1BBB">
            <w:pPr>
              <w:pStyle w:val="TableheadingleftFinancialsTables"/>
              <w:jc w:val="right"/>
            </w:pPr>
            <w:r w:rsidRPr="00D41FFB">
              <w:t>Impairment loss</w:t>
            </w:r>
            <w:r w:rsidRPr="00D41FFB">
              <w:br/>
              <w:t>$’000</w:t>
            </w:r>
          </w:p>
        </w:tc>
        <w:tc>
          <w:tcPr>
            <w:tcW w:w="1191" w:type="dxa"/>
          </w:tcPr>
          <w:p w14:paraId="5A71836E" w14:textId="60AC5F16" w:rsidR="00705B7A" w:rsidRPr="00D41FFB" w:rsidRDefault="00705B7A" w:rsidP="001E1BBB">
            <w:pPr>
              <w:pStyle w:val="TableheadingleftFinancialsTables"/>
              <w:jc w:val="right"/>
            </w:pPr>
            <w:r w:rsidRPr="00D41FFB">
              <w:t>2022</w:t>
            </w:r>
          </w:p>
          <w:p w14:paraId="35B8A065" w14:textId="08CA7830" w:rsidR="00B02873" w:rsidRPr="00D41FFB" w:rsidRDefault="00B02873" w:rsidP="001E1BBB">
            <w:pPr>
              <w:pStyle w:val="TableheadingleftFinancialsTables"/>
              <w:jc w:val="right"/>
            </w:pPr>
            <w:r w:rsidRPr="00D41FFB">
              <w:t>Total</w:t>
            </w:r>
            <w:r w:rsidRPr="00D41FFB">
              <w:br/>
              <w:t>$’000</w:t>
            </w:r>
          </w:p>
        </w:tc>
      </w:tr>
      <w:tr w:rsidR="00B02873" w:rsidRPr="00B02873" w14:paraId="242A6446" w14:textId="77777777" w:rsidTr="00D41FFB">
        <w:tc>
          <w:tcPr>
            <w:tcW w:w="4966" w:type="dxa"/>
          </w:tcPr>
          <w:p w14:paraId="747F24F8" w14:textId="77777777" w:rsidR="00B02873" w:rsidRPr="00D41FFB" w:rsidRDefault="00B02873" w:rsidP="001E1BBB">
            <w:pPr>
              <w:pStyle w:val="TablebodyleftFinancialsTables"/>
              <w:rPr>
                <w:b/>
                <w:bCs/>
              </w:rPr>
            </w:pPr>
            <w:r w:rsidRPr="00D41FFB">
              <w:rPr>
                <w:b/>
                <w:bCs/>
              </w:rPr>
              <w:t>Contractual financial assets</w:t>
            </w:r>
          </w:p>
        </w:tc>
        <w:tc>
          <w:tcPr>
            <w:tcW w:w="1100" w:type="dxa"/>
          </w:tcPr>
          <w:p w14:paraId="4CBA29B1" w14:textId="77777777" w:rsidR="00B02873" w:rsidRPr="00D41FFB" w:rsidRDefault="00B02873" w:rsidP="001E1BBB">
            <w:pPr>
              <w:pStyle w:val="TablebodyleftFinancialsTables"/>
              <w:jc w:val="right"/>
              <w:rPr>
                <w:rFonts w:ascii="VIC Bold Italic" w:hAnsi="VIC Bold Italic" w:cs="Times New Roman"/>
                <w:b/>
                <w:bCs/>
              </w:rPr>
            </w:pPr>
          </w:p>
        </w:tc>
        <w:tc>
          <w:tcPr>
            <w:tcW w:w="1191" w:type="dxa"/>
          </w:tcPr>
          <w:p w14:paraId="1CDE3ED9" w14:textId="77777777" w:rsidR="00B02873" w:rsidRPr="00D41FFB" w:rsidRDefault="00B02873" w:rsidP="001E1BBB">
            <w:pPr>
              <w:pStyle w:val="TablebodyleftFinancialsTables"/>
              <w:jc w:val="right"/>
              <w:rPr>
                <w:rFonts w:ascii="VIC Bold Italic" w:hAnsi="VIC Bold Italic" w:cs="Times New Roman"/>
                <w:b/>
                <w:bCs/>
              </w:rPr>
            </w:pPr>
          </w:p>
        </w:tc>
        <w:tc>
          <w:tcPr>
            <w:tcW w:w="1243" w:type="dxa"/>
          </w:tcPr>
          <w:p w14:paraId="151DD29E" w14:textId="77777777" w:rsidR="00B02873" w:rsidRPr="00D41FFB" w:rsidRDefault="00B02873" w:rsidP="001E1BBB">
            <w:pPr>
              <w:pStyle w:val="TablebodyleftFinancialsTables"/>
              <w:jc w:val="right"/>
              <w:rPr>
                <w:rFonts w:ascii="VIC Bold Italic" w:hAnsi="VIC Bold Italic" w:cs="Times New Roman"/>
                <w:b/>
                <w:bCs/>
              </w:rPr>
            </w:pPr>
          </w:p>
        </w:tc>
        <w:tc>
          <w:tcPr>
            <w:tcW w:w="1191" w:type="dxa"/>
          </w:tcPr>
          <w:p w14:paraId="3425AB53" w14:textId="77777777" w:rsidR="00B02873" w:rsidRPr="00D41FFB" w:rsidRDefault="00B02873" w:rsidP="001E1BBB">
            <w:pPr>
              <w:pStyle w:val="TablebodyleftFinancialsTables"/>
              <w:jc w:val="right"/>
              <w:rPr>
                <w:rFonts w:ascii="VIC Bold Italic" w:hAnsi="VIC Bold Italic" w:cs="Times New Roman"/>
                <w:b/>
                <w:bCs/>
              </w:rPr>
            </w:pPr>
          </w:p>
        </w:tc>
      </w:tr>
      <w:tr w:rsidR="00B02873" w:rsidRPr="00B02873" w14:paraId="53205F52" w14:textId="77777777" w:rsidTr="00D41FFB">
        <w:tc>
          <w:tcPr>
            <w:tcW w:w="4966" w:type="dxa"/>
          </w:tcPr>
          <w:p w14:paraId="09559219" w14:textId="77777777" w:rsidR="00B02873" w:rsidRDefault="00B02873" w:rsidP="001E1BBB">
            <w:pPr>
              <w:pStyle w:val="TablebodyleftFinancialsTables"/>
            </w:pPr>
            <w:r>
              <w:rPr>
                <w:spacing w:val="-3"/>
              </w:rPr>
              <w:t>Financial assets at amortised cost – other than on derecognition</w:t>
            </w:r>
          </w:p>
        </w:tc>
        <w:tc>
          <w:tcPr>
            <w:tcW w:w="1100" w:type="dxa"/>
          </w:tcPr>
          <w:p w14:paraId="32D27331" w14:textId="77777777" w:rsidR="00B02873" w:rsidRPr="00D41FFB" w:rsidRDefault="00B02873" w:rsidP="001E1BBB">
            <w:pPr>
              <w:pStyle w:val="TablebodyleftFinancialsTables"/>
              <w:jc w:val="right"/>
              <w:rPr>
                <w:b/>
                <w:bCs/>
              </w:rPr>
            </w:pPr>
            <w:r w:rsidRPr="00D41FFB">
              <w:rPr>
                <w:b/>
                <w:bCs/>
              </w:rPr>
              <w:t>–</w:t>
            </w:r>
          </w:p>
        </w:tc>
        <w:tc>
          <w:tcPr>
            <w:tcW w:w="1191" w:type="dxa"/>
          </w:tcPr>
          <w:p w14:paraId="4E99FBC9" w14:textId="77777777" w:rsidR="00B02873" w:rsidRPr="00D41FFB" w:rsidRDefault="00B02873" w:rsidP="001E1BBB">
            <w:pPr>
              <w:pStyle w:val="TablebodyleftFinancialsTables"/>
              <w:jc w:val="right"/>
              <w:rPr>
                <w:b/>
                <w:bCs/>
              </w:rPr>
            </w:pPr>
            <w:r w:rsidRPr="00D41FFB">
              <w:rPr>
                <w:b/>
                <w:bCs/>
              </w:rPr>
              <w:t>9,540</w:t>
            </w:r>
          </w:p>
        </w:tc>
        <w:tc>
          <w:tcPr>
            <w:tcW w:w="1243" w:type="dxa"/>
          </w:tcPr>
          <w:p w14:paraId="045D37D2" w14:textId="77777777" w:rsidR="00B02873" w:rsidRPr="00D41FFB" w:rsidRDefault="00B02873" w:rsidP="001E1BBB">
            <w:pPr>
              <w:pStyle w:val="TablebodyleftFinancialsTables"/>
              <w:jc w:val="right"/>
              <w:rPr>
                <w:b/>
                <w:bCs/>
              </w:rPr>
            </w:pPr>
            <w:r w:rsidRPr="00D41FFB">
              <w:rPr>
                <w:b/>
                <w:bCs/>
              </w:rPr>
              <w:t>–</w:t>
            </w:r>
          </w:p>
        </w:tc>
        <w:tc>
          <w:tcPr>
            <w:tcW w:w="1191" w:type="dxa"/>
          </w:tcPr>
          <w:p w14:paraId="0733390D" w14:textId="77777777" w:rsidR="00B02873" w:rsidRPr="00D41FFB" w:rsidRDefault="00B02873" w:rsidP="001E1BBB">
            <w:pPr>
              <w:pStyle w:val="TablebodyleftFinancialsTables"/>
              <w:jc w:val="right"/>
              <w:rPr>
                <w:b/>
                <w:bCs/>
              </w:rPr>
            </w:pPr>
            <w:r w:rsidRPr="00D41FFB">
              <w:rPr>
                <w:b/>
                <w:bCs/>
              </w:rPr>
              <w:t>9,540</w:t>
            </w:r>
          </w:p>
        </w:tc>
      </w:tr>
      <w:tr w:rsidR="00B02873" w:rsidRPr="00B02873" w14:paraId="0B09B430" w14:textId="77777777" w:rsidTr="00D41FFB">
        <w:tc>
          <w:tcPr>
            <w:tcW w:w="4966" w:type="dxa"/>
          </w:tcPr>
          <w:p w14:paraId="1BF59E17" w14:textId="77777777" w:rsidR="00B02873" w:rsidRDefault="00B02873" w:rsidP="001E1BBB">
            <w:pPr>
              <w:pStyle w:val="TablebodyleftFinancialsTables"/>
            </w:pPr>
            <w:r>
              <w:t>Financial assets at fair value through net result</w:t>
            </w:r>
          </w:p>
        </w:tc>
        <w:tc>
          <w:tcPr>
            <w:tcW w:w="1100" w:type="dxa"/>
          </w:tcPr>
          <w:p w14:paraId="38BE8EE7" w14:textId="77777777" w:rsidR="00B02873" w:rsidRPr="00D41FFB" w:rsidRDefault="00B02873" w:rsidP="001E1BBB">
            <w:pPr>
              <w:pStyle w:val="TablebodyleftFinancialsTables"/>
              <w:jc w:val="right"/>
              <w:rPr>
                <w:b/>
                <w:bCs/>
              </w:rPr>
            </w:pPr>
            <w:r w:rsidRPr="00D41FFB">
              <w:rPr>
                <w:b/>
                <w:bCs/>
              </w:rPr>
              <w:t>381,742</w:t>
            </w:r>
          </w:p>
        </w:tc>
        <w:tc>
          <w:tcPr>
            <w:tcW w:w="1191" w:type="dxa"/>
          </w:tcPr>
          <w:p w14:paraId="017D16C1" w14:textId="77777777" w:rsidR="00B02873" w:rsidRPr="00D41FFB" w:rsidRDefault="00B02873" w:rsidP="001E1BBB">
            <w:pPr>
              <w:pStyle w:val="TablebodyleftFinancialsTables"/>
              <w:jc w:val="right"/>
              <w:rPr>
                <w:b/>
                <w:bCs/>
              </w:rPr>
            </w:pPr>
            <w:r w:rsidRPr="00D41FFB">
              <w:rPr>
                <w:b/>
                <w:bCs/>
              </w:rPr>
              <w:t>–</w:t>
            </w:r>
          </w:p>
        </w:tc>
        <w:tc>
          <w:tcPr>
            <w:tcW w:w="1243" w:type="dxa"/>
          </w:tcPr>
          <w:p w14:paraId="36DE8DA1" w14:textId="77777777" w:rsidR="00B02873" w:rsidRPr="00D41FFB" w:rsidRDefault="00B02873" w:rsidP="001E1BBB">
            <w:pPr>
              <w:pStyle w:val="TablebodyleftFinancialsTables"/>
              <w:jc w:val="right"/>
              <w:rPr>
                <w:b/>
                <w:bCs/>
              </w:rPr>
            </w:pPr>
            <w:r w:rsidRPr="00D41FFB">
              <w:rPr>
                <w:b/>
                <w:bCs/>
              </w:rPr>
              <w:t>–</w:t>
            </w:r>
          </w:p>
        </w:tc>
        <w:tc>
          <w:tcPr>
            <w:tcW w:w="1191" w:type="dxa"/>
          </w:tcPr>
          <w:p w14:paraId="12EC3714" w14:textId="77777777" w:rsidR="00B02873" w:rsidRPr="00D41FFB" w:rsidRDefault="00B02873" w:rsidP="001E1BBB">
            <w:pPr>
              <w:pStyle w:val="TablebodyleftFinancialsTables"/>
              <w:jc w:val="right"/>
              <w:rPr>
                <w:b/>
                <w:bCs/>
              </w:rPr>
            </w:pPr>
            <w:r w:rsidRPr="00D41FFB">
              <w:rPr>
                <w:b/>
                <w:bCs/>
              </w:rPr>
              <w:t>381,742</w:t>
            </w:r>
          </w:p>
        </w:tc>
      </w:tr>
      <w:tr w:rsidR="00B02873" w:rsidRPr="00B02873" w14:paraId="219DED16" w14:textId="77777777" w:rsidTr="00D41FFB">
        <w:tc>
          <w:tcPr>
            <w:tcW w:w="4966" w:type="dxa"/>
          </w:tcPr>
          <w:p w14:paraId="0E525894" w14:textId="77777777" w:rsidR="00B02873" w:rsidRPr="00D41FFB" w:rsidRDefault="00B02873" w:rsidP="001E1BBB">
            <w:pPr>
              <w:pStyle w:val="TablebodyleftFinancialsTables"/>
              <w:rPr>
                <w:b/>
                <w:bCs/>
              </w:rPr>
            </w:pPr>
            <w:r w:rsidRPr="00D41FFB">
              <w:rPr>
                <w:b/>
                <w:bCs/>
              </w:rPr>
              <w:t>Total contractual financial assets</w:t>
            </w:r>
          </w:p>
        </w:tc>
        <w:tc>
          <w:tcPr>
            <w:tcW w:w="1100" w:type="dxa"/>
          </w:tcPr>
          <w:p w14:paraId="081CCFA7" w14:textId="77777777" w:rsidR="00B02873" w:rsidRPr="00D41FFB" w:rsidRDefault="00B02873" w:rsidP="001E1BBB">
            <w:pPr>
              <w:pStyle w:val="TablebodyleftFinancialsTables"/>
              <w:jc w:val="right"/>
              <w:rPr>
                <w:b/>
                <w:bCs/>
              </w:rPr>
            </w:pPr>
            <w:r w:rsidRPr="00D41FFB">
              <w:rPr>
                <w:b/>
                <w:bCs/>
              </w:rPr>
              <w:t>381,742</w:t>
            </w:r>
          </w:p>
        </w:tc>
        <w:tc>
          <w:tcPr>
            <w:tcW w:w="1191" w:type="dxa"/>
          </w:tcPr>
          <w:p w14:paraId="545701C0" w14:textId="77777777" w:rsidR="00B02873" w:rsidRPr="00D41FFB" w:rsidRDefault="00B02873" w:rsidP="001E1BBB">
            <w:pPr>
              <w:pStyle w:val="TablebodyleftFinancialsTables"/>
              <w:jc w:val="right"/>
              <w:rPr>
                <w:b/>
                <w:bCs/>
              </w:rPr>
            </w:pPr>
            <w:r w:rsidRPr="00D41FFB">
              <w:rPr>
                <w:b/>
                <w:bCs/>
              </w:rPr>
              <w:t>9,540</w:t>
            </w:r>
          </w:p>
        </w:tc>
        <w:tc>
          <w:tcPr>
            <w:tcW w:w="1243" w:type="dxa"/>
          </w:tcPr>
          <w:p w14:paraId="28EAF28D" w14:textId="77777777" w:rsidR="00B02873" w:rsidRPr="00D41FFB" w:rsidRDefault="00B02873" w:rsidP="001E1BBB">
            <w:pPr>
              <w:pStyle w:val="TablebodyleftFinancialsTables"/>
              <w:jc w:val="right"/>
              <w:rPr>
                <w:b/>
                <w:bCs/>
              </w:rPr>
            </w:pPr>
            <w:r w:rsidRPr="00D41FFB">
              <w:rPr>
                <w:b/>
                <w:bCs/>
              </w:rPr>
              <w:t>–</w:t>
            </w:r>
          </w:p>
        </w:tc>
        <w:tc>
          <w:tcPr>
            <w:tcW w:w="1191" w:type="dxa"/>
          </w:tcPr>
          <w:p w14:paraId="5867CFDB" w14:textId="77777777" w:rsidR="00B02873" w:rsidRPr="00D41FFB" w:rsidRDefault="00B02873" w:rsidP="001E1BBB">
            <w:pPr>
              <w:pStyle w:val="TablebodyleftFinancialsTables"/>
              <w:jc w:val="right"/>
              <w:rPr>
                <w:b/>
                <w:bCs/>
              </w:rPr>
            </w:pPr>
            <w:r w:rsidRPr="00D41FFB">
              <w:rPr>
                <w:b/>
                <w:bCs/>
              </w:rPr>
              <w:t>391,282</w:t>
            </w:r>
          </w:p>
        </w:tc>
      </w:tr>
      <w:tr w:rsidR="00B02873" w:rsidRPr="00B02873" w14:paraId="47D49E5A" w14:textId="77777777" w:rsidTr="00D41FFB">
        <w:tc>
          <w:tcPr>
            <w:tcW w:w="4966" w:type="dxa"/>
          </w:tcPr>
          <w:p w14:paraId="429D2761" w14:textId="77777777" w:rsidR="00B02873" w:rsidRPr="00D41FFB" w:rsidRDefault="00B02873" w:rsidP="001E1BBB">
            <w:pPr>
              <w:pStyle w:val="TablebodyleftFinancialsTables"/>
              <w:rPr>
                <w:b/>
                <w:bCs/>
              </w:rPr>
            </w:pPr>
            <w:r w:rsidRPr="00D41FFB">
              <w:rPr>
                <w:b/>
                <w:bCs/>
              </w:rPr>
              <w:t>Contractual financial liabilities</w:t>
            </w:r>
          </w:p>
        </w:tc>
        <w:tc>
          <w:tcPr>
            <w:tcW w:w="1100" w:type="dxa"/>
          </w:tcPr>
          <w:p w14:paraId="21FC8B88" w14:textId="77777777" w:rsidR="00B02873" w:rsidRPr="00D41FFB" w:rsidRDefault="00B02873" w:rsidP="001E1BBB">
            <w:pPr>
              <w:pStyle w:val="TablebodyleftFinancialsTables"/>
              <w:jc w:val="right"/>
              <w:rPr>
                <w:rFonts w:ascii="VIC Bold Italic" w:hAnsi="VIC Bold Italic" w:cs="Times New Roman"/>
                <w:b/>
                <w:bCs/>
              </w:rPr>
            </w:pPr>
          </w:p>
        </w:tc>
        <w:tc>
          <w:tcPr>
            <w:tcW w:w="1191" w:type="dxa"/>
          </w:tcPr>
          <w:p w14:paraId="7081AB55" w14:textId="77777777" w:rsidR="00B02873" w:rsidRPr="00D41FFB" w:rsidRDefault="00B02873" w:rsidP="001E1BBB">
            <w:pPr>
              <w:pStyle w:val="TablebodyleftFinancialsTables"/>
              <w:jc w:val="right"/>
              <w:rPr>
                <w:rFonts w:ascii="VIC Bold Italic" w:hAnsi="VIC Bold Italic" w:cs="Times New Roman"/>
                <w:b/>
                <w:bCs/>
              </w:rPr>
            </w:pPr>
          </w:p>
        </w:tc>
        <w:tc>
          <w:tcPr>
            <w:tcW w:w="1243" w:type="dxa"/>
          </w:tcPr>
          <w:p w14:paraId="3996CE4C" w14:textId="77777777" w:rsidR="00B02873" w:rsidRPr="00D41FFB" w:rsidRDefault="00B02873" w:rsidP="001E1BBB">
            <w:pPr>
              <w:pStyle w:val="TablebodyleftFinancialsTables"/>
              <w:jc w:val="right"/>
              <w:rPr>
                <w:rFonts w:ascii="VIC Bold Italic" w:hAnsi="VIC Bold Italic" w:cs="Times New Roman"/>
                <w:b/>
                <w:bCs/>
              </w:rPr>
            </w:pPr>
          </w:p>
        </w:tc>
        <w:tc>
          <w:tcPr>
            <w:tcW w:w="1191" w:type="dxa"/>
          </w:tcPr>
          <w:p w14:paraId="6974FB2B" w14:textId="77777777" w:rsidR="00B02873" w:rsidRPr="00D41FFB" w:rsidRDefault="00B02873" w:rsidP="001E1BBB">
            <w:pPr>
              <w:pStyle w:val="TablebodyleftFinancialsTables"/>
              <w:jc w:val="right"/>
              <w:rPr>
                <w:rFonts w:ascii="VIC Bold Italic" w:hAnsi="VIC Bold Italic" w:cs="Times New Roman"/>
                <w:b/>
                <w:bCs/>
              </w:rPr>
            </w:pPr>
          </w:p>
        </w:tc>
      </w:tr>
      <w:tr w:rsidR="00B02873" w:rsidRPr="00B02873" w14:paraId="463467C1" w14:textId="77777777" w:rsidTr="00D41FFB">
        <w:tc>
          <w:tcPr>
            <w:tcW w:w="4966" w:type="dxa"/>
          </w:tcPr>
          <w:p w14:paraId="42CBB498" w14:textId="77777777" w:rsidR="00B02873" w:rsidRDefault="00B02873" w:rsidP="001E1BBB">
            <w:pPr>
              <w:pStyle w:val="TablebodyleftFinancialsTables"/>
            </w:pPr>
            <w:r>
              <w:t>Financial liabilities at amortised cost</w:t>
            </w:r>
          </w:p>
        </w:tc>
        <w:tc>
          <w:tcPr>
            <w:tcW w:w="1100" w:type="dxa"/>
          </w:tcPr>
          <w:p w14:paraId="1BDBF327" w14:textId="77777777" w:rsidR="00B02873" w:rsidRPr="00D41FFB" w:rsidRDefault="00B02873" w:rsidP="001E1BBB">
            <w:pPr>
              <w:pStyle w:val="TablebodyleftFinancialsTables"/>
              <w:jc w:val="right"/>
              <w:rPr>
                <w:b/>
                <w:bCs/>
              </w:rPr>
            </w:pPr>
            <w:r w:rsidRPr="00D41FFB">
              <w:rPr>
                <w:b/>
                <w:bCs/>
              </w:rPr>
              <w:t>–</w:t>
            </w:r>
          </w:p>
        </w:tc>
        <w:tc>
          <w:tcPr>
            <w:tcW w:w="1191" w:type="dxa"/>
          </w:tcPr>
          <w:p w14:paraId="600BE107" w14:textId="77777777" w:rsidR="00B02873" w:rsidRPr="00D41FFB" w:rsidRDefault="00B02873" w:rsidP="001E1BBB">
            <w:pPr>
              <w:pStyle w:val="TablebodyleftFinancialsTables"/>
              <w:jc w:val="right"/>
              <w:rPr>
                <w:b/>
                <w:bCs/>
              </w:rPr>
            </w:pPr>
            <w:r w:rsidRPr="00D41FFB">
              <w:rPr>
                <w:b/>
                <w:bCs/>
              </w:rPr>
              <w:t>(4,832)</w:t>
            </w:r>
          </w:p>
        </w:tc>
        <w:tc>
          <w:tcPr>
            <w:tcW w:w="1243" w:type="dxa"/>
          </w:tcPr>
          <w:p w14:paraId="42C4BCC8" w14:textId="77777777" w:rsidR="00B02873" w:rsidRPr="00D41FFB" w:rsidRDefault="00B02873" w:rsidP="001E1BBB">
            <w:pPr>
              <w:pStyle w:val="TablebodyleftFinancialsTables"/>
              <w:jc w:val="right"/>
              <w:rPr>
                <w:b/>
                <w:bCs/>
              </w:rPr>
            </w:pPr>
            <w:r w:rsidRPr="00D41FFB">
              <w:rPr>
                <w:b/>
                <w:bCs/>
              </w:rPr>
              <w:t>–</w:t>
            </w:r>
          </w:p>
        </w:tc>
        <w:tc>
          <w:tcPr>
            <w:tcW w:w="1191" w:type="dxa"/>
          </w:tcPr>
          <w:p w14:paraId="108B2C6F" w14:textId="77777777" w:rsidR="00B02873" w:rsidRPr="00D41FFB" w:rsidRDefault="00B02873" w:rsidP="001E1BBB">
            <w:pPr>
              <w:pStyle w:val="TablebodyleftFinancialsTables"/>
              <w:jc w:val="right"/>
              <w:rPr>
                <w:b/>
                <w:bCs/>
              </w:rPr>
            </w:pPr>
            <w:r w:rsidRPr="00D41FFB">
              <w:rPr>
                <w:b/>
                <w:bCs/>
              </w:rPr>
              <w:t>(4,832)</w:t>
            </w:r>
          </w:p>
        </w:tc>
      </w:tr>
      <w:tr w:rsidR="00B02873" w:rsidRPr="00B02873" w14:paraId="43A68299" w14:textId="77777777" w:rsidTr="00D41FFB">
        <w:tc>
          <w:tcPr>
            <w:tcW w:w="4966" w:type="dxa"/>
          </w:tcPr>
          <w:p w14:paraId="637D3140" w14:textId="77777777" w:rsidR="00B02873" w:rsidRDefault="00B02873" w:rsidP="001E1BBB">
            <w:pPr>
              <w:pStyle w:val="TablebodyleftFinancialsTables"/>
            </w:pPr>
            <w:r>
              <w:rPr>
                <w:spacing w:val="-2"/>
              </w:rPr>
              <w:t>Financial liabilities designated at fair value through net result</w:t>
            </w:r>
          </w:p>
        </w:tc>
        <w:tc>
          <w:tcPr>
            <w:tcW w:w="1100" w:type="dxa"/>
          </w:tcPr>
          <w:p w14:paraId="54D751CB" w14:textId="77777777" w:rsidR="00B02873" w:rsidRPr="00D41FFB" w:rsidRDefault="00B02873" w:rsidP="001E1BBB">
            <w:pPr>
              <w:pStyle w:val="TablebodyleftFinancialsTables"/>
              <w:jc w:val="right"/>
              <w:rPr>
                <w:b/>
                <w:bCs/>
              </w:rPr>
            </w:pPr>
            <w:r w:rsidRPr="00D41FFB">
              <w:rPr>
                <w:b/>
                <w:bCs/>
              </w:rPr>
              <w:t>–</w:t>
            </w:r>
          </w:p>
        </w:tc>
        <w:tc>
          <w:tcPr>
            <w:tcW w:w="1191" w:type="dxa"/>
          </w:tcPr>
          <w:p w14:paraId="6369C803" w14:textId="77777777" w:rsidR="00B02873" w:rsidRPr="00D41FFB" w:rsidRDefault="00B02873" w:rsidP="001E1BBB">
            <w:pPr>
              <w:pStyle w:val="TablebodyleftFinancialsTables"/>
              <w:jc w:val="right"/>
              <w:rPr>
                <w:b/>
                <w:bCs/>
              </w:rPr>
            </w:pPr>
            <w:r w:rsidRPr="00D41FFB">
              <w:rPr>
                <w:b/>
                <w:bCs/>
              </w:rPr>
              <w:t>–</w:t>
            </w:r>
          </w:p>
        </w:tc>
        <w:tc>
          <w:tcPr>
            <w:tcW w:w="1243" w:type="dxa"/>
          </w:tcPr>
          <w:p w14:paraId="6C2B112D" w14:textId="77777777" w:rsidR="00B02873" w:rsidRPr="00D41FFB" w:rsidRDefault="00B02873" w:rsidP="001E1BBB">
            <w:pPr>
              <w:pStyle w:val="TablebodyleftFinancialsTables"/>
              <w:jc w:val="right"/>
              <w:rPr>
                <w:b/>
                <w:bCs/>
              </w:rPr>
            </w:pPr>
            <w:r w:rsidRPr="00D41FFB">
              <w:rPr>
                <w:b/>
                <w:bCs/>
              </w:rPr>
              <w:t>–</w:t>
            </w:r>
          </w:p>
        </w:tc>
        <w:tc>
          <w:tcPr>
            <w:tcW w:w="1191" w:type="dxa"/>
          </w:tcPr>
          <w:p w14:paraId="4B3ECF60" w14:textId="77777777" w:rsidR="00B02873" w:rsidRPr="00D41FFB" w:rsidRDefault="00B02873" w:rsidP="001E1BBB">
            <w:pPr>
              <w:pStyle w:val="TablebodyleftFinancialsTables"/>
              <w:jc w:val="right"/>
              <w:rPr>
                <w:b/>
                <w:bCs/>
              </w:rPr>
            </w:pPr>
            <w:r w:rsidRPr="00D41FFB">
              <w:rPr>
                <w:b/>
                <w:bCs/>
              </w:rPr>
              <w:t>–</w:t>
            </w:r>
          </w:p>
        </w:tc>
      </w:tr>
      <w:tr w:rsidR="00B02873" w:rsidRPr="00B02873" w14:paraId="0858C80B" w14:textId="77777777" w:rsidTr="00D41FFB">
        <w:tc>
          <w:tcPr>
            <w:tcW w:w="4966" w:type="dxa"/>
          </w:tcPr>
          <w:p w14:paraId="65ECF08F" w14:textId="77777777" w:rsidR="00B02873" w:rsidRPr="00D41FFB" w:rsidRDefault="00B02873" w:rsidP="001E1BBB">
            <w:pPr>
              <w:pStyle w:val="TablebodyleftFinancialsTables"/>
              <w:rPr>
                <w:b/>
                <w:bCs/>
              </w:rPr>
            </w:pPr>
            <w:r w:rsidRPr="00D41FFB">
              <w:rPr>
                <w:b/>
                <w:bCs/>
              </w:rPr>
              <w:t>Total contractual financial liabilities</w:t>
            </w:r>
          </w:p>
        </w:tc>
        <w:tc>
          <w:tcPr>
            <w:tcW w:w="1100" w:type="dxa"/>
          </w:tcPr>
          <w:p w14:paraId="4DD59B01" w14:textId="77777777" w:rsidR="00B02873" w:rsidRPr="00D41FFB" w:rsidRDefault="00B02873" w:rsidP="001E1BBB">
            <w:pPr>
              <w:pStyle w:val="TablebodyleftFinancialsTables"/>
              <w:jc w:val="right"/>
              <w:rPr>
                <w:b/>
                <w:bCs/>
              </w:rPr>
            </w:pPr>
            <w:r w:rsidRPr="00D41FFB">
              <w:rPr>
                <w:b/>
                <w:bCs/>
              </w:rPr>
              <w:t>–</w:t>
            </w:r>
          </w:p>
        </w:tc>
        <w:tc>
          <w:tcPr>
            <w:tcW w:w="1191" w:type="dxa"/>
          </w:tcPr>
          <w:p w14:paraId="16A85546" w14:textId="77777777" w:rsidR="00B02873" w:rsidRPr="00D41FFB" w:rsidRDefault="00B02873" w:rsidP="001E1BBB">
            <w:pPr>
              <w:pStyle w:val="TablebodyleftFinancialsTables"/>
              <w:jc w:val="right"/>
              <w:rPr>
                <w:b/>
                <w:bCs/>
              </w:rPr>
            </w:pPr>
            <w:r w:rsidRPr="00D41FFB">
              <w:rPr>
                <w:b/>
                <w:bCs/>
              </w:rPr>
              <w:t>(4,832)</w:t>
            </w:r>
          </w:p>
        </w:tc>
        <w:tc>
          <w:tcPr>
            <w:tcW w:w="1243" w:type="dxa"/>
          </w:tcPr>
          <w:p w14:paraId="52DC2516" w14:textId="77777777" w:rsidR="00B02873" w:rsidRPr="00D41FFB" w:rsidRDefault="00B02873" w:rsidP="001E1BBB">
            <w:pPr>
              <w:pStyle w:val="TablebodyleftFinancialsTables"/>
              <w:jc w:val="right"/>
              <w:rPr>
                <w:b/>
                <w:bCs/>
              </w:rPr>
            </w:pPr>
            <w:r w:rsidRPr="00D41FFB">
              <w:rPr>
                <w:b/>
                <w:bCs/>
              </w:rPr>
              <w:t>–</w:t>
            </w:r>
          </w:p>
        </w:tc>
        <w:tc>
          <w:tcPr>
            <w:tcW w:w="1191" w:type="dxa"/>
          </w:tcPr>
          <w:p w14:paraId="6287A1D8" w14:textId="77777777" w:rsidR="00B02873" w:rsidRPr="00D41FFB" w:rsidRDefault="00B02873" w:rsidP="001E1BBB">
            <w:pPr>
              <w:pStyle w:val="TablebodyleftFinancialsTables"/>
              <w:jc w:val="right"/>
              <w:rPr>
                <w:b/>
                <w:bCs/>
              </w:rPr>
            </w:pPr>
            <w:r w:rsidRPr="00D41FFB">
              <w:rPr>
                <w:b/>
                <w:bCs/>
              </w:rPr>
              <w:t>(4,832)</w:t>
            </w:r>
          </w:p>
        </w:tc>
      </w:tr>
    </w:tbl>
    <w:p w14:paraId="50FF090A" w14:textId="77777777" w:rsidR="00B02873" w:rsidRDefault="00B02873" w:rsidP="00D41FFB"/>
    <w:tbl>
      <w:tblPr>
        <w:tblStyle w:val="TableGrid"/>
        <w:tblW w:w="9691" w:type="dxa"/>
        <w:tblLayout w:type="fixed"/>
        <w:tblLook w:val="0020" w:firstRow="1" w:lastRow="0" w:firstColumn="0" w:lastColumn="0" w:noHBand="0" w:noVBand="0"/>
      </w:tblPr>
      <w:tblGrid>
        <w:gridCol w:w="4966"/>
        <w:gridCol w:w="1100"/>
        <w:gridCol w:w="1191"/>
        <w:gridCol w:w="1243"/>
        <w:gridCol w:w="1191"/>
      </w:tblGrid>
      <w:tr w:rsidR="00B02873" w:rsidRPr="00B02873" w14:paraId="652C90C6" w14:textId="77777777" w:rsidTr="00D41FFB">
        <w:trPr>
          <w:cnfStyle w:val="100000000000" w:firstRow="1" w:lastRow="0" w:firstColumn="0" w:lastColumn="0" w:oddVBand="0" w:evenVBand="0" w:oddHBand="0" w:evenHBand="0" w:firstRowFirstColumn="0" w:firstRowLastColumn="0" w:lastRowFirstColumn="0" w:lastRowLastColumn="0"/>
        </w:trPr>
        <w:tc>
          <w:tcPr>
            <w:tcW w:w="4966" w:type="dxa"/>
          </w:tcPr>
          <w:p w14:paraId="3B3129C1" w14:textId="77777777" w:rsidR="00B02873" w:rsidRPr="00B02873" w:rsidRDefault="00B02873" w:rsidP="00D41FFB">
            <w:pPr>
              <w:pStyle w:val="TableheadingleftFinancialsTables"/>
            </w:pPr>
          </w:p>
        </w:tc>
        <w:tc>
          <w:tcPr>
            <w:tcW w:w="1100" w:type="dxa"/>
          </w:tcPr>
          <w:p w14:paraId="681B9393" w14:textId="7988256E" w:rsidR="00B02873" w:rsidRDefault="00D41FFB" w:rsidP="00D41FFB">
            <w:pPr>
              <w:pStyle w:val="TableheadingleftFinancialsTables"/>
              <w:jc w:val="right"/>
            </w:pPr>
            <w:r>
              <w:t xml:space="preserve">2021 </w:t>
            </w:r>
            <w:r w:rsidR="00AA7B44">
              <w:br/>
            </w:r>
            <w:r w:rsidR="00B02873">
              <w:t>Net holding gain / (loss)</w:t>
            </w:r>
            <w:r w:rsidR="00B02873">
              <w:br/>
              <w:t>$’000</w:t>
            </w:r>
          </w:p>
        </w:tc>
        <w:tc>
          <w:tcPr>
            <w:tcW w:w="1191" w:type="dxa"/>
          </w:tcPr>
          <w:p w14:paraId="04F94CAB" w14:textId="4B24399B" w:rsidR="00B02873" w:rsidRDefault="00D41FFB" w:rsidP="00D41FFB">
            <w:pPr>
              <w:pStyle w:val="TableheadingleftFinancialsTables"/>
              <w:jc w:val="right"/>
            </w:pPr>
            <w:r>
              <w:t xml:space="preserve">2021 </w:t>
            </w:r>
            <w:r>
              <w:br/>
            </w:r>
            <w:r w:rsidR="00B02873">
              <w:t>Total interest income/ (expense)</w:t>
            </w:r>
            <w:r w:rsidR="00B02873">
              <w:br/>
              <w:t>$’000</w:t>
            </w:r>
          </w:p>
        </w:tc>
        <w:tc>
          <w:tcPr>
            <w:tcW w:w="1243" w:type="dxa"/>
          </w:tcPr>
          <w:p w14:paraId="6AFEDC90" w14:textId="7CBB0CE2" w:rsidR="00B02873" w:rsidRDefault="00D41FFB" w:rsidP="00D41FFB">
            <w:pPr>
              <w:pStyle w:val="TableheadingleftFinancialsTables"/>
              <w:jc w:val="right"/>
            </w:pPr>
            <w:r>
              <w:t xml:space="preserve">2021 </w:t>
            </w:r>
            <w:r w:rsidR="00B02873">
              <w:t>Impairment loss</w:t>
            </w:r>
            <w:r w:rsidR="00B02873">
              <w:br/>
              <w:t>$’000</w:t>
            </w:r>
          </w:p>
        </w:tc>
        <w:tc>
          <w:tcPr>
            <w:tcW w:w="1191" w:type="dxa"/>
          </w:tcPr>
          <w:p w14:paraId="4E60731A" w14:textId="2359E7F4" w:rsidR="00B02873" w:rsidRDefault="00D41FFB" w:rsidP="00D41FFB">
            <w:pPr>
              <w:pStyle w:val="TableheadingleftFinancialsTables"/>
              <w:jc w:val="right"/>
            </w:pPr>
            <w:r>
              <w:t xml:space="preserve">2021 </w:t>
            </w:r>
            <w:r>
              <w:br/>
            </w:r>
            <w:r w:rsidR="00B02873">
              <w:t>Total</w:t>
            </w:r>
            <w:r w:rsidR="00B02873">
              <w:br/>
              <w:t>$’000</w:t>
            </w:r>
          </w:p>
        </w:tc>
      </w:tr>
      <w:tr w:rsidR="00B02873" w:rsidRPr="00B02873" w14:paraId="7CD9E6B3" w14:textId="77777777" w:rsidTr="00D41FFB">
        <w:tc>
          <w:tcPr>
            <w:tcW w:w="4966" w:type="dxa"/>
          </w:tcPr>
          <w:p w14:paraId="79BADE15" w14:textId="77777777" w:rsidR="00B02873" w:rsidRPr="00D41FFB" w:rsidRDefault="00B02873" w:rsidP="00D41FFB">
            <w:pPr>
              <w:pStyle w:val="TablebodyleftFinancialsTables"/>
              <w:rPr>
                <w:b/>
                <w:bCs/>
              </w:rPr>
            </w:pPr>
            <w:r w:rsidRPr="00D41FFB">
              <w:rPr>
                <w:b/>
                <w:bCs/>
              </w:rPr>
              <w:t>Contractual financial assets</w:t>
            </w:r>
          </w:p>
        </w:tc>
        <w:tc>
          <w:tcPr>
            <w:tcW w:w="1100" w:type="dxa"/>
          </w:tcPr>
          <w:p w14:paraId="10E6C9E3" w14:textId="77777777" w:rsidR="00B02873" w:rsidRPr="00B02873" w:rsidRDefault="00B02873" w:rsidP="00D41FFB">
            <w:pPr>
              <w:pStyle w:val="TablebodyleftFinancialsTables"/>
              <w:jc w:val="right"/>
              <w:rPr>
                <w:rFonts w:ascii="VIC Bold Italic" w:hAnsi="VIC Bold Italic" w:cs="Times New Roman"/>
              </w:rPr>
            </w:pPr>
          </w:p>
        </w:tc>
        <w:tc>
          <w:tcPr>
            <w:tcW w:w="1191" w:type="dxa"/>
          </w:tcPr>
          <w:p w14:paraId="00DBBF7E" w14:textId="77777777" w:rsidR="00B02873" w:rsidRPr="00B02873" w:rsidRDefault="00B02873" w:rsidP="00D41FFB">
            <w:pPr>
              <w:pStyle w:val="TablebodyleftFinancialsTables"/>
              <w:jc w:val="right"/>
              <w:rPr>
                <w:rFonts w:ascii="VIC Bold Italic" w:hAnsi="VIC Bold Italic" w:cs="Times New Roman"/>
              </w:rPr>
            </w:pPr>
          </w:p>
        </w:tc>
        <w:tc>
          <w:tcPr>
            <w:tcW w:w="1243" w:type="dxa"/>
          </w:tcPr>
          <w:p w14:paraId="094DF6D4" w14:textId="77777777" w:rsidR="00B02873" w:rsidRPr="00B02873" w:rsidRDefault="00B02873" w:rsidP="00D41FFB">
            <w:pPr>
              <w:pStyle w:val="TablebodyleftFinancialsTables"/>
              <w:jc w:val="right"/>
              <w:rPr>
                <w:rFonts w:ascii="VIC Bold Italic" w:hAnsi="VIC Bold Italic" w:cs="Times New Roman"/>
              </w:rPr>
            </w:pPr>
          </w:p>
        </w:tc>
        <w:tc>
          <w:tcPr>
            <w:tcW w:w="1191" w:type="dxa"/>
          </w:tcPr>
          <w:p w14:paraId="0F02E362" w14:textId="77777777" w:rsidR="00B02873" w:rsidRPr="00B02873" w:rsidRDefault="00B02873" w:rsidP="00D41FFB">
            <w:pPr>
              <w:pStyle w:val="TablebodyleftFinancialsTables"/>
              <w:jc w:val="right"/>
              <w:rPr>
                <w:rFonts w:ascii="VIC Bold Italic" w:hAnsi="VIC Bold Italic" w:cs="Times New Roman"/>
              </w:rPr>
            </w:pPr>
          </w:p>
        </w:tc>
      </w:tr>
      <w:tr w:rsidR="00B02873" w:rsidRPr="00B02873" w14:paraId="27C75148" w14:textId="77777777" w:rsidTr="00D41FFB">
        <w:tc>
          <w:tcPr>
            <w:tcW w:w="4966" w:type="dxa"/>
          </w:tcPr>
          <w:p w14:paraId="4E745D25" w14:textId="77777777" w:rsidR="00B02873" w:rsidRDefault="00B02873" w:rsidP="00D41FFB">
            <w:pPr>
              <w:pStyle w:val="TablebodyleftFinancialsTables"/>
            </w:pPr>
            <w:r>
              <w:rPr>
                <w:spacing w:val="-3"/>
              </w:rPr>
              <w:t>Financial assets at amortised cost – other than on derecognition</w:t>
            </w:r>
          </w:p>
        </w:tc>
        <w:tc>
          <w:tcPr>
            <w:tcW w:w="1100" w:type="dxa"/>
          </w:tcPr>
          <w:p w14:paraId="61263D44" w14:textId="77777777" w:rsidR="00B02873" w:rsidRDefault="00B02873" w:rsidP="00D41FFB">
            <w:pPr>
              <w:pStyle w:val="TablebodyleftFinancialsTables"/>
              <w:jc w:val="right"/>
            </w:pPr>
            <w:r>
              <w:t>–</w:t>
            </w:r>
          </w:p>
        </w:tc>
        <w:tc>
          <w:tcPr>
            <w:tcW w:w="1191" w:type="dxa"/>
          </w:tcPr>
          <w:p w14:paraId="130937F7" w14:textId="77777777" w:rsidR="00B02873" w:rsidRDefault="00B02873" w:rsidP="00D41FFB">
            <w:pPr>
              <w:pStyle w:val="TablebodyleftFinancialsTables"/>
              <w:jc w:val="right"/>
            </w:pPr>
            <w:r>
              <w:t>8,874</w:t>
            </w:r>
          </w:p>
        </w:tc>
        <w:tc>
          <w:tcPr>
            <w:tcW w:w="1243" w:type="dxa"/>
          </w:tcPr>
          <w:p w14:paraId="63B4C589" w14:textId="77777777" w:rsidR="00B02873" w:rsidRDefault="00B02873" w:rsidP="00D41FFB">
            <w:pPr>
              <w:pStyle w:val="TablebodyleftFinancialsTables"/>
              <w:jc w:val="right"/>
            </w:pPr>
            <w:r>
              <w:t>–</w:t>
            </w:r>
          </w:p>
        </w:tc>
        <w:tc>
          <w:tcPr>
            <w:tcW w:w="1191" w:type="dxa"/>
          </w:tcPr>
          <w:p w14:paraId="290B0B90" w14:textId="77777777" w:rsidR="00B02873" w:rsidRDefault="00B02873" w:rsidP="00D41FFB">
            <w:pPr>
              <w:pStyle w:val="TablebodyleftFinancialsTables"/>
              <w:jc w:val="right"/>
            </w:pPr>
            <w:r>
              <w:t>8,874</w:t>
            </w:r>
          </w:p>
        </w:tc>
      </w:tr>
      <w:tr w:rsidR="00B02873" w:rsidRPr="00B02873" w14:paraId="0618279A" w14:textId="77777777" w:rsidTr="00D41FFB">
        <w:tc>
          <w:tcPr>
            <w:tcW w:w="4966" w:type="dxa"/>
          </w:tcPr>
          <w:p w14:paraId="2485F2F3" w14:textId="77777777" w:rsidR="00B02873" w:rsidRDefault="00B02873" w:rsidP="00D41FFB">
            <w:pPr>
              <w:pStyle w:val="TablebodyleftFinancialsTables"/>
            </w:pPr>
            <w:r>
              <w:t>Financial assets at fair value through profit/loss</w:t>
            </w:r>
          </w:p>
        </w:tc>
        <w:tc>
          <w:tcPr>
            <w:tcW w:w="1100" w:type="dxa"/>
          </w:tcPr>
          <w:p w14:paraId="41C62C2B" w14:textId="77777777" w:rsidR="00B02873" w:rsidRDefault="00B02873" w:rsidP="00D41FFB">
            <w:pPr>
              <w:pStyle w:val="TablebodyleftFinancialsTables"/>
              <w:jc w:val="right"/>
            </w:pPr>
            <w:r>
              <w:t>(89,521)</w:t>
            </w:r>
          </w:p>
        </w:tc>
        <w:tc>
          <w:tcPr>
            <w:tcW w:w="1191" w:type="dxa"/>
          </w:tcPr>
          <w:p w14:paraId="6A9949EE" w14:textId="77777777" w:rsidR="00B02873" w:rsidRDefault="00B02873" w:rsidP="00D41FFB">
            <w:pPr>
              <w:pStyle w:val="TablebodyleftFinancialsTables"/>
              <w:jc w:val="right"/>
            </w:pPr>
            <w:r>
              <w:t>–</w:t>
            </w:r>
          </w:p>
        </w:tc>
        <w:tc>
          <w:tcPr>
            <w:tcW w:w="1243" w:type="dxa"/>
          </w:tcPr>
          <w:p w14:paraId="15B62746" w14:textId="77777777" w:rsidR="00B02873" w:rsidRDefault="00B02873" w:rsidP="00D41FFB">
            <w:pPr>
              <w:pStyle w:val="TablebodyleftFinancialsTables"/>
              <w:jc w:val="right"/>
            </w:pPr>
            <w:r>
              <w:t>–</w:t>
            </w:r>
          </w:p>
        </w:tc>
        <w:tc>
          <w:tcPr>
            <w:tcW w:w="1191" w:type="dxa"/>
          </w:tcPr>
          <w:p w14:paraId="080D6CEB" w14:textId="77777777" w:rsidR="00B02873" w:rsidRDefault="00B02873" w:rsidP="00D41FFB">
            <w:pPr>
              <w:pStyle w:val="TablebodyleftFinancialsTables"/>
              <w:jc w:val="right"/>
            </w:pPr>
            <w:r>
              <w:t>(89,521)</w:t>
            </w:r>
          </w:p>
        </w:tc>
      </w:tr>
      <w:tr w:rsidR="00B02873" w:rsidRPr="00B02873" w14:paraId="29D878C4" w14:textId="77777777" w:rsidTr="00D41FFB">
        <w:tc>
          <w:tcPr>
            <w:tcW w:w="4966" w:type="dxa"/>
          </w:tcPr>
          <w:p w14:paraId="67B3E335" w14:textId="77777777" w:rsidR="00B02873" w:rsidRPr="00D41FFB" w:rsidRDefault="00B02873" w:rsidP="00D41FFB">
            <w:pPr>
              <w:pStyle w:val="TablebodyleftFinancialsTables"/>
              <w:rPr>
                <w:b/>
                <w:bCs/>
              </w:rPr>
            </w:pPr>
            <w:r w:rsidRPr="00D41FFB">
              <w:rPr>
                <w:b/>
                <w:bCs/>
              </w:rPr>
              <w:t>Total contractual financial assets</w:t>
            </w:r>
          </w:p>
        </w:tc>
        <w:tc>
          <w:tcPr>
            <w:tcW w:w="1100" w:type="dxa"/>
          </w:tcPr>
          <w:p w14:paraId="7B206528" w14:textId="77777777" w:rsidR="00B02873" w:rsidRDefault="00B02873" w:rsidP="00D41FFB">
            <w:pPr>
              <w:pStyle w:val="TablebodyleftFinancialsTables"/>
              <w:jc w:val="right"/>
            </w:pPr>
            <w:r>
              <w:t>(89,521)</w:t>
            </w:r>
          </w:p>
        </w:tc>
        <w:tc>
          <w:tcPr>
            <w:tcW w:w="1191" w:type="dxa"/>
          </w:tcPr>
          <w:p w14:paraId="24D5A7DE" w14:textId="77777777" w:rsidR="00B02873" w:rsidRDefault="00B02873" w:rsidP="00D41FFB">
            <w:pPr>
              <w:pStyle w:val="TablebodyleftFinancialsTables"/>
              <w:jc w:val="right"/>
            </w:pPr>
            <w:r>
              <w:t>8,874</w:t>
            </w:r>
          </w:p>
        </w:tc>
        <w:tc>
          <w:tcPr>
            <w:tcW w:w="1243" w:type="dxa"/>
          </w:tcPr>
          <w:p w14:paraId="3395BEB3" w14:textId="77777777" w:rsidR="00B02873" w:rsidRDefault="00B02873" w:rsidP="00D41FFB">
            <w:pPr>
              <w:pStyle w:val="TablebodyleftFinancialsTables"/>
              <w:jc w:val="right"/>
            </w:pPr>
            <w:r>
              <w:t>–</w:t>
            </w:r>
          </w:p>
        </w:tc>
        <w:tc>
          <w:tcPr>
            <w:tcW w:w="1191" w:type="dxa"/>
          </w:tcPr>
          <w:p w14:paraId="12C1A4B5" w14:textId="77777777" w:rsidR="00B02873" w:rsidRDefault="00B02873" w:rsidP="00D41FFB">
            <w:pPr>
              <w:pStyle w:val="TablebodyleftFinancialsTables"/>
              <w:jc w:val="right"/>
            </w:pPr>
            <w:r>
              <w:t>(80,647)</w:t>
            </w:r>
          </w:p>
        </w:tc>
      </w:tr>
      <w:tr w:rsidR="00B02873" w:rsidRPr="00B02873" w14:paraId="2E066B65" w14:textId="77777777" w:rsidTr="00D41FFB">
        <w:tc>
          <w:tcPr>
            <w:tcW w:w="4966" w:type="dxa"/>
          </w:tcPr>
          <w:p w14:paraId="709DB5D7" w14:textId="77777777" w:rsidR="00B02873" w:rsidRPr="00D41FFB" w:rsidRDefault="00B02873" w:rsidP="00D41FFB">
            <w:pPr>
              <w:pStyle w:val="TablebodyleftFinancialsTables"/>
              <w:rPr>
                <w:b/>
                <w:bCs/>
              </w:rPr>
            </w:pPr>
            <w:r w:rsidRPr="00D41FFB">
              <w:rPr>
                <w:b/>
                <w:bCs/>
              </w:rPr>
              <w:t>Contractual financial liabilities</w:t>
            </w:r>
          </w:p>
        </w:tc>
        <w:tc>
          <w:tcPr>
            <w:tcW w:w="1100" w:type="dxa"/>
          </w:tcPr>
          <w:p w14:paraId="6D55F39C" w14:textId="77777777" w:rsidR="00B02873" w:rsidRPr="00B02873" w:rsidRDefault="00B02873" w:rsidP="00D41FFB">
            <w:pPr>
              <w:pStyle w:val="TablebodyleftFinancialsTables"/>
              <w:jc w:val="right"/>
              <w:rPr>
                <w:rFonts w:ascii="VIC Bold Italic" w:hAnsi="VIC Bold Italic" w:cs="Times New Roman"/>
              </w:rPr>
            </w:pPr>
          </w:p>
        </w:tc>
        <w:tc>
          <w:tcPr>
            <w:tcW w:w="1191" w:type="dxa"/>
          </w:tcPr>
          <w:p w14:paraId="156FA747" w14:textId="77777777" w:rsidR="00B02873" w:rsidRPr="00B02873" w:rsidRDefault="00B02873" w:rsidP="00D41FFB">
            <w:pPr>
              <w:pStyle w:val="TablebodyleftFinancialsTables"/>
              <w:jc w:val="right"/>
              <w:rPr>
                <w:rFonts w:ascii="VIC Bold Italic" w:hAnsi="VIC Bold Italic" w:cs="Times New Roman"/>
              </w:rPr>
            </w:pPr>
          </w:p>
        </w:tc>
        <w:tc>
          <w:tcPr>
            <w:tcW w:w="1243" w:type="dxa"/>
          </w:tcPr>
          <w:p w14:paraId="77710F27" w14:textId="77777777" w:rsidR="00B02873" w:rsidRPr="00B02873" w:rsidRDefault="00B02873" w:rsidP="00D41FFB">
            <w:pPr>
              <w:pStyle w:val="TablebodyleftFinancialsTables"/>
              <w:jc w:val="right"/>
              <w:rPr>
                <w:rFonts w:ascii="VIC Bold Italic" w:hAnsi="VIC Bold Italic" w:cs="Times New Roman"/>
              </w:rPr>
            </w:pPr>
          </w:p>
        </w:tc>
        <w:tc>
          <w:tcPr>
            <w:tcW w:w="1191" w:type="dxa"/>
          </w:tcPr>
          <w:p w14:paraId="475F4C7E" w14:textId="77777777" w:rsidR="00B02873" w:rsidRPr="00B02873" w:rsidRDefault="00B02873" w:rsidP="00D41FFB">
            <w:pPr>
              <w:pStyle w:val="TablebodyleftFinancialsTables"/>
              <w:jc w:val="right"/>
              <w:rPr>
                <w:rFonts w:ascii="VIC Bold Italic" w:hAnsi="VIC Bold Italic" w:cs="Times New Roman"/>
              </w:rPr>
            </w:pPr>
          </w:p>
        </w:tc>
      </w:tr>
      <w:tr w:rsidR="00B02873" w:rsidRPr="00B02873" w14:paraId="5F984F5A" w14:textId="77777777" w:rsidTr="00D41FFB">
        <w:tc>
          <w:tcPr>
            <w:tcW w:w="4966" w:type="dxa"/>
          </w:tcPr>
          <w:p w14:paraId="4752D191" w14:textId="77777777" w:rsidR="00B02873" w:rsidRDefault="00B02873" w:rsidP="00D41FFB">
            <w:pPr>
              <w:pStyle w:val="TablebodyleftFinancialsTables"/>
            </w:pPr>
            <w:r>
              <w:t>Financial liabilities at amortised cost</w:t>
            </w:r>
          </w:p>
        </w:tc>
        <w:tc>
          <w:tcPr>
            <w:tcW w:w="1100" w:type="dxa"/>
          </w:tcPr>
          <w:p w14:paraId="4F3E7347" w14:textId="77777777" w:rsidR="00B02873" w:rsidRDefault="00B02873" w:rsidP="00D41FFB">
            <w:pPr>
              <w:pStyle w:val="TablebodyleftFinancialsTables"/>
              <w:jc w:val="right"/>
            </w:pPr>
            <w:r>
              <w:t>–</w:t>
            </w:r>
          </w:p>
        </w:tc>
        <w:tc>
          <w:tcPr>
            <w:tcW w:w="1191" w:type="dxa"/>
          </w:tcPr>
          <w:p w14:paraId="29D94F33" w14:textId="77777777" w:rsidR="00B02873" w:rsidRDefault="00B02873" w:rsidP="00D41FFB">
            <w:pPr>
              <w:pStyle w:val="TablebodyleftFinancialsTables"/>
              <w:jc w:val="right"/>
            </w:pPr>
            <w:r>
              <w:t>(2,695)</w:t>
            </w:r>
          </w:p>
        </w:tc>
        <w:tc>
          <w:tcPr>
            <w:tcW w:w="1243" w:type="dxa"/>
          </w:tcPr>
          <w:p w14:paraId="10C01A4B" w14:textId="77777777" w:rsidR="00B02873" w:rsidRDefault="00B02873" w:rsidP="00D41FFB">
            <w:pPr>
              <w:pStyle w:val="TablebodyleftFinancialsTables"/>
              <w:jc w:val="right"/>
            </w:pPr>
            <w:r>
              <w:t>–</w:t>
            </w:r>
          </w:p>
        </w:tc>
        <w:tc>
          <w:tcPr>
            <w:tcW w:w="1191" w:type="dxa"/>
          </w:tcPr>
          <w:p w14:paraId="34BD5CA7" w14:textId="77777777" w:rsidR="00B02873" w:rsidRDefault="00B02873" w:rsidP="00D41FFB">
            <w:pPr>
              <w:pStyle w:val="TablebodyleftFinancialsTables"/>
              <w:jc w:val="right"/>
            </w:pPr>
            <w:r>
              <w:t>(2,695)</w:t>
            </w:r>
          </w:p>
        </w:tc>
      </w:tr>
      <w:tr w:rsidR="00B02873" w:rsidRPr="00B02873" w14:paraId="5FC6F716" w14:textId="77777777" w:rsidTr="00D41FFB">
        <w:tc>
          <w:tcPr>
            <w:tcW w:w="4966" w:type="dxa"/>
          </w:tcPr>
          <w:p w14:paraId="712923FB" w14:textId="77777777" w:rsidR="00B02873" w:rsidRDefault="00B02873" w:rsidP="00D41FFB">
            <w:pPr>
              <w:pStyle w:val="TablebodyleftFinancialsTables"/>
            </w:pPr>
            <w:r>
              <w:rPr>
                <w:spacing w:val="-2"/>
              </w:rPr>
              <w:t>Financial liabilities designated at fair value through net result</w:t>
            </w:r>
          </w:p>
        </w:tc>
        <w:tc>
          <w:tcPr>
            <w:tcW w:w="1100" w:type="dxa"/>
          </w:tcPr>
          <w:p w14:paraId="525650CA" w14:textId="77777777" w:rsidR="00B02873" w:rsidRDefault="00B02873" w:rsidP="00D41FFB">
            <w:pPr>
              <w:pStyle w:val="TablebodyleftFinancialsTables"/>
              <w:jc w:val="right"/>
            </w:pPr>
            <w:r>
              <w:t>–</w:t>
            </w:r>
          </w:p>
        </w:tc>
        <w:tc>
          <w:tcPr>
            <w:tcW w:w="1191" w:type="dxa"/>
          </w:tcPr>
          <w:p w14:paraId="546631EB" w14:textId="77777777" w:rsidR="00B02873" w:rsidRDefault="00B02873" w:rsidP="00D41FFB">
            <w:pPr>
              <w:pStyle w:val="TablebodyleftFinancialsTables"/>
              <w:jc w:val="right"/>
            </w:pPr>
            <w:r>
              <w:t>–</w:t>
            </w:r>
          </w:p>
        </w:tc>
        <w:tc>
          <w:tcPr>
            <w:tcW w:w="1243" w:type="dxa"/>
          </w:tcPr>
          <w:p w14:paraId="6F95EAB8" w14:textId="77777777" w:rsidR="00B02873" w:rsidRDefault="00B02873" w:rsidP="00D41FFB">
            <w:pPr>
              <w:pStyle w:val="TablebodyleftFinancialsTables"/>
              <w:jc w:val="right"/>
            </w:pPr>
            <w:r>
              <w:t>–</w:t>
            </w:r>
          </w:p>
        </w:tc>
        <w:tc>
          <w:tcPr>
            <w:tcW w:w="1191" w:type="dxa"/>
          </w:tcPr>
          <w:p w14:paraId="655A99B1" w14:textId="77777777" w:rsidR="00B02873" w:rsidRDefault="00B02873" w:rsidP="00D41FFB">
            <w:pPr>
              <w:pStyle w:val="TablebodyleftFinancialsTables"/>
              <w:jc w:val="right"/>
            </w:pPr>
            <w:r>
              <w:t>–</w:t>
            </w:r>
          </w:p>
        </w:tc>
      </w:tr>
      <w:tr w:rsidR="00B02873" w:rsidRPr="00B02873" w14:paraId="3C8A0CFB" w14:textId="77777777" w:rsidTr="00D41FFB">
        <w:tc>
          <w:tcPr>
            <w:tcW w:w="4966" w:type="dxa"/>
          </w:tcPr>
          <w:p w14:paraId="6F01F463" w14:textId="77777777" w:rsidR="00B02873" w:rsidRPr="00D41FFB" w:rsidRDefault="00B02873" w:rsidP="00D41FFB">
            <w:pPr>
              <w:pStyle w:val="TablebodyleftFinancialsTables"/>
              <w:rPr>
                <w:b/>
                <w:bCs/>
              </w:rPr>
            </w:pPr>
            <w:r w:rsidRPr="00D41FFB">
              <w:rPr>
                <w:b/>
                <w:bCs/>
              </w:rPr>
              <w:t>Total contractual financial liabilities</w:t>
            </w:r>
          </w:p>
        </w:tc>
        <w:tc>
          <w:tcPr>
            <w:tcW w:w="1100" w:type="dxa"/>
          </w:tcPr>
          <w:p w14:paraId="39095B4C" w14:textId="77777777" w:rsidR="00B02873" w:rsidRDefault="00B02873" w:rsidP="00D41FFB">
            <w:pPr>
              <w:pStyle w:val="TablebodyleftFinancialsTables"/>
              <w:jc w:val="right"/>
            </w:pPr>
            <w:r>
              <w:t>–</w:t>
            </w:r>
          </w:p>
        </w:tc>
        <w:tc>
          <w:tcPr>
            <w:tcW w:w="1191" w:type="dxa"/>
          </w:tcPr>
          <w:p w14:paraId="37004AA7" w14:textId="77777777" w:rsidR="00B02873" w:rsidRDefault="00B02873" w:rsidP="00D41FFB">
            <w:pPr>
              <w:pStyle w:val="TablebodyleftFinancialsTables"/>
              <w:jc w:val="right"/>
            </w:pPr>
            <w:r>
              <w:t>(2,695)</w:t>
            </w:r>
          </w:p>
        </w:tc>
        <w:tc>
          <w:tcPr>
            <w:tcW w:w="1243" w:type="dxa"/>
          </w:tcPr>
          <w:p w14:paraId="213CAC8E" w14:textId="77777777" w:rsidR="00B02873" w:rsidRDefault="00B02873" w:rsidP="00D41FFB">
            <w:pPr>
              <w:pStyle w:val="TablebodyleftFinancialsTables"/>
              <w:jc w:val="right"/>
            </w:pPr>
            <w:r>
              <w:t>–</w:t>
            </w:r>
          </w:p>
        </w:tc>
        <w:tc>
          <w:tcPr>
            <w:tcW w:w="1191" w:type="dxa"/>
          </w:tcPr>
          <w:p w14:paraId="2FB48CCB" w14:textId="77777777" w:rsidR="00B02873" w:rsidRDefault="00B02873" w:rsidP="00D41FFB">
            <w:pPr>
              <w:pStyle w:val="TablebodyleftFinancialsTables"/>
              <w:jc w:val="right"/>
            </w:pPr>
            <w:r>
              <w:t>(2,695)</w:t>
            </w:r>
          </w:p>
        </w:tc>
      </w:tr>
    </w:tbl>
    <w:p w14:paraId="1720CCBB" w14:textId="77777777" w:rsidR="00B02873" w:rsidRDefault="00B02873" w:rsidP="00FE198A"/>
    <w:p w14:paraId="605AE9B7" w14:textId="77777777" w:rsidR="00B02873" w:rsidRDefault="00B02873" w:rsidP="00D41FFB">
      <w:pPr>
        <w:pStyle w:val="Normalbeforebullet"/>
      </w:pPr>
      <w:r>
        <w:t>The net holding gains or losses disclosed above are determined as follows:</w:t>
      </w:r>
    </w:p>
    <w:p w14:paraId="1AC4EBC6" w14:textId="484A751B" w:rsidR="00B02873" w:rsidRDefault="00B02873" w:rsidP="00B02873">
      <w:pPr>
        <w:pStyle w:val="Bullet1Lists"/>
      </w:pPr>
      <w:r>
        <w:t>for cash and cash equivalents and financial assets at amortised cost, the net gain or loss is calculated by taking the movement in the fair value of the asset, the interest income, plus or minus foreign exchange gains or losses arising from revaluation of the financial assets, and minus any impairment recognised in the net result;</w:t>
      </w:r>
    </w:p>
    <w:p w14:paraId="0F95B9B0" w14:textId="77777777" w:rsidR="00B02873" w:rsidRDefault="00B02873" w:rsidP="00B02873">
      <w:pPr>
        <w:pStyle w:val="Bullet1Lists"/>
      </w:pPr>
      <w:r>
        <w:t>for financial liabilities measured at amortised cost, the net gain or loss is calculated by taking the interest expense, plus or minus foreign exchange gains or losses arising from the revaluation of financial liabilities measured at amortised cost; and</w:t>
      </w:r>
    </w:p>
    <w:p w14:paraId="7E015599" w14:textId="0783F437" w:rsidR="00B02873" w:rsidRDefault="00B02873" w:rsidP="00D41FFB">
      <w:pPr>
        <w:pStyle w:val="Bullet1Listslast"/>
      </w:pPr>
      <w:r>
        <w:lastRenderedPageBreak/>
        <w:t>for financial assets and liabilities designated at fair value through net result, the net gain or loss is calculated by taking the movement in the fair value of the financial asset or liability.</w:t>
      </w:r>
    </w:p>
    <w:p w14:paraId="143DC56C" w14:textId="77777777" w:rsidR="00B02873" w:rsidRDefault="00B02873" w:rsidP="00D41FFB">
      <w:pPr>
        <w:pStyle w:val="Heading4"/>
      </w:pPr>
      <w:r>
        <w:t xml:space="preserve">8.1.3 Financial risk management objectives and policies </w:t>
      </w:r>
    </w:p>
    <w:p w14:paraId="4BFD3980" w14:textId="4C93B40C" w:rsidR="00E034AA" w:rsidRDefault="00BC3131" w:rsidP="00FE198A">
      <w:r>
        <w:rPr>
          <w:noProof/>
        </w:rPr>
        <w:drawing>
          <wp:inline distT="0" distB="0" distL="0" distR="0" wp14:anchorId="032C0993" wp14:editId="2DA7DC17">
            <wp:extent cx="2953518" cy="2124460"/>
            <wp:effectExtent l="0" t="0" r="0" b="9525"/>
            <wp:docPr id="54" name="Picture 54" descr="Diagram - Financial risks&#10;&#10;Level 1 - Credit risk, Liquidity risk and Market Risk&#10;Level 2 under Market risk - interest rate risk, foreign currency risk and equity price 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Diagram - Financial risks&#10;&#10;Level 1 - Credit risk, Liquidity risk and Market Risk&#10;Level 2 under Market risk - interest rate risk, foreign currency risk and equity price risk"/>
                    <pic:cNvPicPr/>
                  </pic:nvPicPr>
                  <pic:blipFill>
                    <a:blip r:embed="rId123"/>
                    <a:stretch>
                      <a:fillRect/>
                    </a:stretch>
                  </pic:blipFill>
                  <pic:spPr>
                    <a:xfrm>
                      <a:off x="0" y="0"/>
                      <a:ext cx="2953518" cy="2124460"/>
                    </a:xfrm>
                    <a:prstGeom prst="rect">
                      <a:avLst/>
                    </a:prstGeom>
                  </pic:spPr>
                </pic:pic>
              </a:graphicData>
            </a:graphic>
          </wp:inline>
        </w:drawing>
      </w:r>
    </w:p>
    <w:p w14:paraId="20CB7702" w14:textId="68B66B7F" w:rsidR="00B02873" w:rsidRDefault="00B02873" w:rsidP="00FE198A">
      <w:r>
        <w:t xml:space="preserve">As a whole, the department’s financial risk management program seeks to manage these risks and the associated volatility of its financial performance. </w:t>
      </w:r>
    </w:p>
    <w:p w14:paraId="38A15919" w14:textId="77777777" w:rsidR="00B02873" w:rsidRDefault="00B02873" w:rsidP="00FE198A">
      <w:r>
        <w:t>Details of the significant accounting policies and methods adopted, including the criteria for recognition, the basis of measurement, and the basis on which income and expenses are recognised, with respect to each class of financial asset, financial liability and equity instrument above are disclosed throughout the financial statement notes.</w:t>
      </w:r>
    </w:p>
    <w:p w14:paraId="20E3F7F7" w14:textId="77777777" w:rsidR="00B02873" w:rsidRDefault="00B02873" w:rsidP="00FE198A">
      <w:r>
        <w:t xml:space="preserve">The main purpose in holding financial instruments is to prudently manage the department’s financial risks within the government policy parameters. </w:t>
      </w:r>
    </w:p>
    <w:p w14:paraId="64AC7713" w14:textId="77777777" w:rsidR="00B02873" w:rsidRDefault="00B02873" w:rsidP="00FE198A">
      <w:r>
        <w:t xml:space="preserve">The department’s main financial risks include credit risk, liquidity risk and market risk. The department manages these financial risks in accordance with its financial risk management policy. </w:t>
      </w:r>
    </w:p>
    <w:p w14:paraId="47610485" w14:textId="77777777" w:rsidR="00B02873" w:rsidRDefault="00B02873" w:rsidP="00FE198A">
      <w:r>
        <w:t xml:space="preserve">The department uses different methods to measure and manage the different risks to which it is exposed. Primary responsibility for the identification and management of financial risks rests with the accountable officer of the department. </w:t>
      </w:r>
    </w:p>
    <w:p w14:paraId="6FF73C61" w14:textId="77777777" w:rsidR="00B02873" w:rsidRDefault="00B02873" w:rsidP="00BC3131">
      <w:pPr>
        <w:pStyle w:val="Heading5"/>
      </w:pPr>
      <w:r>
        <w:t xml:space="preserve">(a) Financial instruments: Credit risk </w:t>
      </w:r>
    </w:p>
    <w:p w14:paraId="7AD43BD0" w14:textId="77777777" w:rsidR="00B02873" w:rsidRDefault="00B02873" w:rsidP="00FE198A">
      <w:r>
        <w:t>Credit risk refers to the possibility of the department’s counter party defaulting on their contractual obligations resulting in financial loss to the department. Credit risk is measured at fair value and is monitored on a regular basis.</w:t>
      </w:r>
    </w:p>
    <w:p w14:paraId="3B078E07" w14:textId="2C4605D2" w:rsidR="00B02873" w:rsidRDefault="00B02873" w:rsidP="00FE198A">
      <w:r>
        <w:rPr>
          <w:spacing w:val="-1"/>
        </w:rPr>
        <w:t>Credit risk associated with contractual financial assets with the main debtor as the Victorian government is considered minimal. For all other contractual financial assets other than those with government, credit assessments are required where $5,000 or more of goods and services are provided. If a customer has a credit rating of less than a Triple-B rating, collateral security in the form of a bank guarantee or security deposit is obtained to reduce the department’s credit risk exposure. The collateral security does not apply to the Solar Victoria loans as these loans are less than $5,000. Refer to Note 6.2 for credit risk relating to derivative financial instruments.</w:t>
      </w:r>
    </w:p>
    <w:p w14:paraId="5D8C5339" w14:textId="77777777" w:rsidR="00B02873" w:rsidRDefault="00B02873" w:rsidP="00B603AC">
      <w:pPr>
        <w:pStyle w:val="TabletitleTables"/>
      </w:pPr>
      <w:r>
        <w:lastRenderedPageBreak/>
        <w:t>Credit quality of financial assets</w:t>
      </w:r>
    </w:p>
    <w:tbl>
      <w:tblPr>
        <w:tblStyle w:val="TableGrid"/>
        <w:tblW w:w="10031" w:type="dxa"/>
        <w:tblLayout w:type="fixed"/>
        <w:tblLook w:val="0020" w:firstRow="1" w:lastRow="0" w:firstColumn="0" w:lastColumn="0" w:noHBand="0" w:noVBand="0"/>
      </w:tblPr>
      <w:tblGrid>
        <w:gridCol w:w="3175"/>
        <w:gridCol w:w="1077"/>
        <w:gridCol w:w="1272"/>
        <w:gridCol w:w="1275"/>
        <w:gridCol w:w="1077"/>
        <w:gridCol w:w="1078"/>
        <w:gridCol w:w="1077"/>
      </w:tblGrid>
      <w:tr w:rsidR="00B02873" w:rsidRPr="00B603AC" w14:paraId="60DAAF51" w14:textId="77777777" w:rsidTr="00B603AC">
        <w:trPr>
          <w:cnfStyle w:val="100000000000" w:firstRow="1" w:lastRow="0" w:firstColumn="0" w:lastColumn="0" w:oddVBand="0" w:evenVBand="0" w:oddHBand="0" w:evenHBand="0" w:firstRowFirstColumn="0" w:firstRowLastColumn="0" w:lastRowFirstColumn="0" w:lastRowLastColumn="0"/>
          <w:trHeight w:val="60"/>
        </w:trPr>
        <w:tc>
          <w:tcPr>
            <w:tcW w:w="3175" w:type="dxa"/>
          </w:tcPr>
          <w:p w14:paraId="41C8CDC7" w14:textId="77777777" w:rsidR="00B02873" w:rsidRPr="00B603AC" w:rsidRDefault="00B02873" w:rsidP="00B603AC">
            <w:pPr>
              <w:pStyle w:val="TableheadingleftFinancialsTables"/>
              <w:rPr>
                <w:rFonts w:asciiTheme="minorHAnsi" w:hAnsiTheme="minorHAnsi" w:cstheme="minorHAnsi"/>
                <w:sz w:val="18"/>
                <w:szCs w:val="14"/>
              </w:rPr>
            </w:pPr>
          </w:p>
        </w:tc>
        <w:tc>
          <w:tcPr>
            <w:tcW w:w="1077" w:type="dxa"/>
          </w:tcPr>
          <w:p w14:paraId="4F8B1A7E" w14:textId="422428C2" w:rsidR="00B02873" w:rsidRPr="00B603AC" w:rsidRDefault="00B603AC" w:rsidP="00B603AC">
            <w:pPr>
              <w:pStyle w:val="TableheadingleftFinancialsTables"/>
              <w:jc w:val="right"/>
              <w:rPr>
                <w:rFonts w:asciiTheme="minorHAnsi" w:hAnsiTheme="minorHAnsi" w:cstheme="minorHAnsi"/>
                <w:sz w:val="18"/>
                <w:szCs w:val="14"/>
              </w:rPr>
            </w:pPr>
            <w:r w:rsidRPr="00B603AC">
              <w:rPr>
                <w:rFonts w:asciiTheme="minorHAnsi" w:hAnsiTheme="minorHAnsi" w:cstheme="minorHAnsi"/>
                <w:sz w:val="18"/>
                <w:szCs w:val="14"/>
              </w:rPr>
              <w:t xml:space="preserve">2022 </w:t>
            </w:r>
            <w:r w:rsidR="00B02873" w:rsidRPr="00B603AC">
              <w:rPr>
                <w:rFonts w:asciiTheme="minorHAnsi" w:hAnsiTheme="minorHAnsi" w:cstheme="minorHAnsi"/>
                <w:sz w:val="18"/>
                <w:szCs w:val="14"/>
              </w:rPr>
              <w:t>Financial institution (AA credit rating)</w:t>
            </w:r>
            <w:r w:rsidR="00B02873" w:rsidRPr="00B603AC">
              <w:rPr>
                <w:rFonts w:asciiTheme="minorHAnsi" w:hAnsiTheme="minorHAnsi" w:cstheme="minorHAnsi"/>
                <w:sz w:val="18"/>
                <w:szCs w:val="14"/>
              </w:rPr>
              <w:br/>
              <w:t>$’000</w:t>
            </w:r>
          </w:p>
        </w:tc>
        <w:tc>
          <w:tcPr>
            <w:tcW w:w="1272" w:type="dxa"/>
          </w:tcPr>
          <w:p w14:paraId="268438DB" w14:textId="6392E826" w:rsidR="00B02873" w:rsidRPr="00B603AC" w:rsidRDefault="00B603AC" w:rsidP="00B603AC">
            <w:pPr>
              <w:pStyle w:val="TableheadingleftFinancialsTables"/>
              <w:jc w:val="right"/>
              <w:rPr>
                <w:rFonts w:asciiTheme="minorHAnsi" w:hAnsiTheme="minorHAnsi" w:cstheme="minorHAnsi"/>
                <w:sz w:val="18"/>
                <w:szCs w:val="14"/>
              </w:rPr>
            </w:pPr>
            <w:r w:rsidRPr="00B603AC">
              <w:rPr>
                <w:rFonts w:asciiTheme="minorHAnsi" w:hAnsiTheme="minorHAnsi" w:cstheme="minorHAnsi"/>
                <w:sz w:val="18"/>
                <w:szCs w:val="14"/>
              </w:rPr>
              <w:t xml:space="preserve">2022 </w:t>
            </w:r>
            <w:r w:rsidR="00B02873" w:rsidRPr="00B603AC">
              <w:rPr>
                <w:rFonts w:asciiTheme="minorHAnsi" w:hAnsiTheme="minorHAnsi" w:cstheme="minorHAnsi"/>
                <w:sz w:val="18"/>
                <w:szCs w:val="14"/>
              </w:rPr>
              <w:t>Government agencies (AA credit rating)</w:t>
            </w:r>
            <w:r w:rsidR="00B02873" w:rsidRPr="00B603AC">
              <w:rPr>
                <w:rFonts w:asciiTheme="minorHAnsi" w:hAnsiTheme="minorHAnsi" w:cstheme="minorHAnsi"/>
                <w:sz w:val="18"/>
                <w:szCs w:val="14"/>
              </w:rPr>
              <w:br/>
              <w:t>$’000</w:t>
            </w:r>
          </w:p>
        </w:tc>
        <w:tc>
          <w:tcPr>
            <w:tcW w:w="1275" w:type="dxa"/>
          </w:tcPr>
          <w:p w14:paraId="3985DE4F" w14:textId="29FFE9A9" w:rsidR="00B02873" w:rsidRPr="00B603AC" w:rsidRDefault="00B603AC" w:rsidP="00B603AC">
            <w:pPr>
              <w:pStyle w:val="TableheadingleftFinancialsTables"/>
              <w:jc w:val="right"/>
              <w:rPr>
                <w:rFonts w:asciiTheme="minorHAnsi" w:hAnsiTheme="minorHAnsi" w:cstheme="minorHAnsi"/>
                <w:sz w:val="18"/>
                <w:szCs w:val="14"/>
              </w:rPr>
            </w:pPr>
            <w:r w:rsidRPr="00B603AC">
              <w:rPr>
                <w:rFonts w:asciiTheme="minorHAnsi" w:hAnsiTheme="minorHAnsi" w:cstheme="minorHAnsi"/>
                <w:sz w:val="18"/>
                <w:szCs w:val="14"/>
              </w:rPr>
              <w:t xml:space="preserve">2022 </w:t>
            </w:r>
            <w:r w:rsidR="00B02873" w:rsidRPr="00B603AC">
              <w:rPr>
                <w:rFonts w:asciiTheme="minorHAnsi" w:hAnsiTheme="minorHAnsi" w:cstheme="minorHAnsi"/>
                <w:sz w:val="18"/>
                <w:szCs w:val="14"/>
              </w:rPr>
              <w:t>Government agencies (BBB</w:t>
            </w:r>
            <w:r w:rsidR="00B02873" w:rsidRPr="00B603AC">
              <w:rPr>
                <w:rFonts w:asciiTheme="minorHAnsi" w:hAnsiTheme="minorHAnsi" w:cstheme="minorHAnsi"/>
                <w:spacing w:val="-8"/>
                <w:sz w:val="18"/>
                <w:szCs w:val="14"/>
              </w:rPr>
              <w:t xml:space="preserve"> credit</w:t>
            </w:r>
            <w:r w:rsidR="00B02873" w:rsidRPr="00B603AC">
              <w:rPr>
                <w:rFonts w:asciiTheme="minorHAnsi" w:hAnsiTheme="minorHAnsi" w:cstheme="minorHAnsi"/>
                <w:sz w:val="18"/>
                <w:szCs w:val="14"/>
              </w:rPr>
              <w:t xml:space="preserve"> rating)</w:t>
            </w:r>
            <w:r w:rsidR="00B02873" w:rsidRPr="00B603AC">
              <w:rPr>
                <w:rFonts w:asciiTheme="minorHAnsi" w:hAnsiTheme="minorHAnsi" w:cstheme="minorHAnsi"/>
                <w:sz w:val="18"/>
                <w:szCs w:val="14"/>
              </w:rPr>
              <w:br/>
              <w:t>$’000</w:t>
            </w:r>
          </w:p>
        </w:tc>
        <w:tc>
          <w:tcPr>
            <w:tcW w:w="1077" w:type="dxa"/>
          </w:tcPr>
          <w:p w14:paraId="5FAE51BE" w14:textId="60FE978F" w:rsidR="00B02873" w:rsidRPr="00B603AC" w:rsidRDefault="00B603AC" w:rsidP="00B603AC">
            <w:pPr>
              <w:pStyle w:val="TableheadingleftFinancialsTables"/>
              <w:jc w:val="right"/>
              <w:rPr>
                <w:rFonts w:asciiTheme="minorHAnsi" w:hAnsiTheme="minorHAnsi" w:cstheme="minorHAnsi"/>
                <w:sz w:val="18"/>
                <w:szCs w:val="14"/>
              </w:rPr>
            </w:pPr>
            <w:r w:rsidRPr="00B603AC">
              <w:rPr>
                <w:rFonts w:asciiTheme="minorHAnsi" w:hAnsiTheme="minorHAnsi" w:cstheme="minorHAnsi"/>
                <w:sz w:val="18"/>
                <w:szCs w:val="14"/>
              </w:rPr>
              <w:t xml:space="preserve">2022 </w:t>
            </w:r>
            <w:r w:rsidRPr="00B603AC">
              <w:rPr>
                <w:rFonts w:asciiTheme="minorHAnsi" w:hAnsiTheme="minorHAnsi" w:cstheme="minorHAnsi"/>
                <w:sz w:val="18"/>
                <w:szCs w:val="14"/>
              </w:rPr>
              <w:br/>
            </w:r>
            <w:r w:rsidR="00B02873" w:rsidRPr="00B603AC">
              <w:rPr>
                <w:rFonts w:asciiTheme="minorHAnsi" w:hAnsiTheme="minorHAnsi" w:cstheme="minorHAnsi"/>
                <w:sz w:val="18"/>
                <w:szCs w:val="14"/>
              </w:rPr>
              <w:t>Other (min BBB credit rating)</w:t>
            </w:r>
            <w:r w:rsidR="00B02873" w:rsidRPr="00B603AC">
              <w:rPr>
                <w:rFonts w:asciiTheme="minorHAnsi" w:hAnsiTheme="minorHAnsi" w:cstheme="minorHAnsi"/>
                <w:sz w:val="18"/>
                <w:szCs w:val="14"/>
              </w:rPr>
              <w:br/>
              <w:t>$’000</w:t>
            </w:r>
          </w:p>
        </w:tc>
        <w:tc>
          <w:tcPr>
            <w:tcW w:w="1078" w:type="dxa"/>
          </w:tcPr>
          <w:p w14:paraId="3D82C615" w14:textId="1B77E0FA" w:rsidR="00B02873" w:rsidRPr="00B603AC" w:rsidRDefault="00B603AC" w:rsidP="00B603AC">
            <w:pPr>
              <w:pStyle w:val="TableheadingleftFinancialsTables"/>
              <w:jc w:val="right"/>
              <w:rPr>
                <w:rFonts w:asciiTheme="minorHAnsi" w:hAnsiTheme="minorHAnsi" w:cstheme="minorHAnsi"/>
                <w:sz w:val="18"/>
                <w:szCs w:val="14"/>
              </w:rPr>
            </w:pPr>
            <w:r w:rsidRPr="00B603AC">
              <w:rPr>
                <w:rFonts w:asciiTheme="minorHAnsi" w:hAnsiTheme="minorHAnsi" w:cstheme="minorHAnsi"/>
                <w:sz w:val="18"/>
                <w:szCs w:val="14"/>
              </w:rPr>
              <w:t xml:space="preserve">2022 </w:t>
            </w:r>
            <w:r w:rsidRPr="00B603AC">
              <w:rPr>
                <w:rFonts w:asciiTheme="minorHAnsi" w:hAnsiTheme="minorHAnsi" w:cstheme="minorHAnsi"/>
                <w:sz w:val="18"/>
                <w:szCs w:val="14"/>
              </w:rPr>
              <w:br/>
            </w:r>
            <w:r w:rsidR="00B02873" w:rsidRPr="00B603AC">
              <w:rPr>
                <w:rFonts w:asciiTheme="minorHAnsi" w:hAnsiTheme="minorHAnsi" w:cstheme="minorHAnsi"/>
                <w:sz w:val="18"/>
                <w:szCs w:val="14"/>
              </w:rPr>
              <w:t>Other unrated</w:t>
            </w:r>
            <w:r w:rsidR="00B02873" w:rsidRPr="00B603AC">
              <w:rPr>
                <w:rFonts w:asciiTheme="minorHAnsi" w:hAnsiTheme="minorHAnsi" w:cstheme="minorHAnsi"/>
                <w:sz w:val="18"/>
                <w:szCs w:val="14"/>
              </w:rPr>
              <w:br/>
              <w:t>$’000</w:t>
            </w:r>
          </w:p>
        </w:tc>
        <w:tc>
          <w:tcPr>
            <w:tcW w:w="1077" w:type="dxa"/>
          </w:tcPr>
          <w:p w14:paraId="5CF5E839" w14:textId="5F535885" w:rsidR="00B02873" w:rsidRPr="00B603AC" w:rsidRDefault="00B603AC" w:rsidP="00B603AC">
            <w:pPr>
              <w:pStyle w:val="TableheadingleftFinancialsTables"/>
              <w:jc w:val="right"/>
              <w:rPr>
                <w:rFonts w:asciiTheme="minorHAnsi" w:hAnsiTheme="minorHAnsi" w:cstheme="minorHAnsi"/>
                <w:sz w:val="18"/>
                <w:szCs w:val="14"/>
              </w:rPr>
            </w:pPr>
            <w:r w:rsidRPr="00B603AC">
              <w:rPr>
                <w:rFonts w:asciiTheme="minorHAnsi" w:hAnsiTheme="minorHAnsi" w:cstheme="minorHAnsi"/>
                <w:sz w:val="18"/>
                <w:szCs w:val="14"/>
              </w:rPr>
              <w:t xml:space="preserve">2022 </w:t>
            </w:r>
            <w:r w:rsidRPr="00B603AC">
              <w:rPr>
                <w:rFonts w:asciiTheme="minorHAnsi" w:hAnsiTheme="minorHAnsi" w:cstheme="minorHAnsi"/>
                <w:sz w:val="18"/>
                <w:szCs w:val="14"/>
              </w:rPr>
              <w:br/>
            </w:r>
            <w:r w:rsidR="00B02873" w:rsidRPr="00B603AC">
              <w:rPr>
                <w:rFonts w:asciiTheme="minorHAnsi" w:hAnsiTheme="minorHAnsi" w:cstheme="minorHAnsi"/>
                <w:sz w:val="18"/>
                <w:szCs w:val="14"/>
              </w:rPr>
              <w:t>Total</w:t>
            </w:r>
            <w:r w:rsidR="00B02873" w:rsidRPr="00B603AC">
              <w:rPr>
                <w:rFonts w:asciiTheme="minorHAnsi" w:hAnsiTheme="minorHAnsi" w:cstheme="minorHAnsi"/>
                <w:sz w:val="18"/>
                <w:szCs w:val="14"/>
              </w:rPr>
              <w:br/>
              <w:t>$’000</w:t>
            </w:r>
          </w:p>
        </w:tc>
      </w:tr>
      <w:tr w:rsidR="00B02873" w:rsidRPr="00B603AC" w14:paraId="4F409EFD" w14:textId="77777777" w:rsidTr="00B603AC">
        <w:trPr>
          <w:trHeight w:val="60"/>
        </w:trPr>
        <w:tc>
          <w:tcPr>
            <w:tcW w:w="3175" w:type="dxa"/>
          </w:tcPr>
          <w:p w14:paraId="4084A3BF" w14:textId="77777777" w:rsidR="00B02873" w:rsidRPr="00B603AC" w:rsidRDefault="00B02873" w:rsidP="00B603AC">
            <w:pPr>
              <w:pStyle w:val="TablebodyleftFinancialsTables"/>
              <w:rPr>
                <w:rFonts w:asciiTheme="minorHAnsi" w:hAnsiTheme="minorHAnsi" w:cstheme="minorHAnsi"/>
                <w:b/>
                <w:bCs/>
                <w:sz w:val="18"/>
                <w:szCs w:val="14"/>
              </w:rPr>
            </w:pPr>
            <w:r w:rsidRPr="00B603AC">
              <w:rPr>
                <w:rFonts w:asciiTheme="minorHAnsi" w:hAnsiTheme="minorHAnsi" w:cstheme="minorHAnsi"/>
                <w:b/>
                <w:bCs/>
                <w:sz w:val="18"/>
                <w:szCs w:val="14"/>
              </w:rPr>
              <w:t>Contractual financial assets</w:t>
            </w:r>
          </w:p>
        </w:tc>
        <w:tc>
          <w:tcPr>
            <w:tcW w:w="1077" w:type="dxa"/>
          </w:tcPr>
          <w:p w14:paraId="3B8AB0C0" w14:textId="77777777" w:rsidR="00B02873" w:rsidRPr="00B603AC" w:rsidRDefault="00B02873" w:rsidP="00B603AC">
            <w:pPr>
              <w:pStyle w:val="TablebodyleftFinancialsTables"/>
              <w:jc w:val="right"/>
              <w:rPr>
                <w:rFonts w:asciiTheme="minorHAnsi" w:hAnsiTheme="minorHAnsi" w:cstheme="minorHAnsi"/>
                <w:b/>
                <w:bCs/>
                <w:sz w:val="18"/>
                <w:szCs w:val="14"/>
              </w:rPr>
            </w:pPr>
          </w:p>
        </w:tc>
        <w:tc>
          <w:tcPr>
            <w:tcW w:w="1272" w:type="dxa"/>
          </w:tcPr>
          <w:p w14:paraId="52AB91D6" w14:textId="77777777" w:rsidR="00B02873" w:rsidRPr="00B603AC" w:rsidRDefault="00B02873" w:rsidP="00B603AC">
            <w:pPr>
              <w:pStyle w:val="TablebodyleftFinancialsTables"/>
              <w:jc w:val="right"/>
              <w:rPr>
                <w:rFonts w:asciiTheme="minorHAnsi" w:hAnsiTheme="minorHAnsi" w:cstheme="minorHAnsi"/>
                <w:b/>
                <w:bCs/>
                <w:sz w:val="18"/>
                <w:szCs w:val="14"/>
              </w:rPr>
            </w:pPr>
          </w:p>
        </w:tc>
        <w:tc>
          <w:tcPr>
            <w:tcW w:w="1275" w:type="dxa"/>
          </w:tcPr>
          <w:p w14:paraId="1B06A1A6" w14:textId="77777777" w:rsidR="00B02873" w:rsidRPr="00B603AC" w:rsidRDefault="00B02873" w:rsidP="00B603AC">
            <w:pPr>
              <w:pStyle w:val="TablebodyleftFinancialsTables"/>
              <w:jc w:val="right"/>
              <w:rPr>
                <w:rFonts w:asciiTheme="minorHAnsi" w:hAnsiTheme="minorHAnsi" w:cstheme="minorHAnsi"/>
                <w:b/>
                <w:bCs/>
                <w:sz w:val="18"/>
                <w:szCs w:val="14"/>
              </w:rPr>
            </w:pPr>
          </w:p>
        </w:tc>
        <w:tc>
          <w:tcPr>
            <w:tcW w:w="1077" w:type="dxa"/>
          </w:tcPr>
          <w:p w14:paraId="68742E26" w14:textId="77777777" w:rsidR="00B02873" w:rsidRPr="00B603AC" w:rsidRDefault="00B02873" w:rsidP="00B603AC">
            <w:pPr>
              <w:pStyle w:val="TablebodyleftFinancialsTables"/>
              <w:jc w:val="right"/>
              <w:rPr>
                <w:rFonts w:asciiTheme="minorHAnsi" w:hAnsiTheme="minorHAnsi" w:cstheme="minorHAnsi"/>
                <w:b/>
                <w:bCs/>
                <w:sz w:val="18"/>
                <w:szCs w:val="14"/>
              </w:rPr>
            </w:pPr>
          </w:p>
        </w:tc>
        <w:tc>
          <w:tcPr>
            <w:tcW w:w="1078" w:type="dxa"/>
          </w:tcPr>
          <w:p w14:paraId="4C1B67A2" w14:textId="77777777" w:rsidR="00B02873" w:rsidRPr="00B603AC" w:rsidRDefault="00B02873" w:rsidP="00B603AC">
            <w:pPr>
              <w:pStyle w:val="TablebodyleftFinancialsTables"/>
              <w:jc w:val="right"/>
              <w:rPr>
                <w:rFonts w:asciiTheme="minorHAnsi" w:hAnsiTheme="minorHAnsi" w:cstheme="minorHAnsi"/>
                <w:b/>
                <w:bCs/>
                <w:sz w:val="18"/>
                <w:szCs w:val="14"/>
              </w:rPr>
            </w:pPr>
          </w:p>
        </w:tc>
        <w:tc>
          <w:tcPr>
            <w:tcW w:w="1077" w:type="dxa"/>
          </w:tcPr>
          <w:p w14:paraId="5263870B" w14:textId="77777777" w:rsidR="00B02873" w:rsidRPr="00B603AC" w:rsidRDefault="00B02873" w:rsidP="00B603AC">
            <w:pPr>
              <w:pStyle w:val="TablebodyleftFinancialsTables"/>
              <w:jc w:val="right"/>
              <w:rPr>
                <w:rFonts w:asciiTheme="minorHAnsi" w:hAnsiTheme="minorHAnsi" w:cstheme="minorHAnsi"/>
                <w:b/>
                <w:bCs/>
                <w:sz w:val="18"/>
                <w:szCs w:val="14"/>
              </w:rPr>
            </w:pPr>
          </w:p>
        </w:tc>
      </w:tr>
      <w:tr w:rsidR="00B02873" w:rsidRPr="00B603AC" w14:paraId="1396A271" w14:textId="77777777" w:rsidTr="00B603AC">
        <w:trPr>
          <w:trHeight w:val="60"/>
        </w:trPr>
        <w:tc>
          <w:tcPr>
            <w:tcW w:w="3175" w:type="dxa"/>
          </w:tcPr>
          <w:p w14:paraId="7D20429F" w14:textId="77777777" w:rsidR="00B02873" w:rsidRPr="00B603AC" w:rsidRDefault="00B02873" w:rsidP="00B603AC">
            <w:pPr>
              <w:pStyle w:val="TablebodyleftFinancialsTables"/>
              <w:rPr>
                <w:rFonts w:asciiTheme="minorHAnsi" w:hAnsiTheme="minorHAnsi" w:cstheme="minorHAnsi"/>
                <w:b/>
                <w:bCs/>
                <w:sz w:val="18"/>
                <w:szCs w:val="14"/>
              </w:rPr>
            </w:pPr>
            <w:r w:rsidRPr="00B603AC">
              <w:rPr>
                <w:rFonts w:asciiTheme="minorHAnsi" w:hAnsiTheme="minorHAnsi" w:cstheme="minorHAnsi"/>
                <w:b/>
                <w:bCs/>
                <w:sz w:val="18"/>
                <w:szCs w:val="14"/>
              </w:rPr>
              <w:t>Financial assets with loss allowance measured at 12-month expected credit loss:</w:t>
            </w:r>
          </w:p>
        </w:tc>
        <w:tc>
          <w:tcPr>
            <w:tcW w:w="1077" w:type="dxa"/>
          </w:tcPr>
          <w:p w14:paraId="59A8D17C" w14:textId="77777777" w:rsidR="00B02873" w:rsidRPr="00B603AC" w:rsidRDefault="00B02873" w:rsidP="00B603AC">
            <w:pPr>
              <w:pStyle w:val="TablebodyleftFinancialsTables"/>
              <w:jc w:val="right"/>
              <w:rPr>
                <w:rFonts w:asciiTheme="minorHAnsi" w:hAnsiTheme="minorHAnsi" w:cstheme="minorHAnsi"/>
                <w:b/>
                <w:bCs/>
                <w:sz w:val="18"/>
                <w:szCs w:val="14"/>
              </w:rPr>
            </w:pPr>
          </w:p>
        </w:tc>
        <w:tc>
          <w:tcPr>
            <w:tcW w:w="1272" w:type="dxa"/>
          </w:tcPr>
          <w:p w14:paraId="3C796879" w14:textId="77777777" w:rsidR="00B02873" w:rsidRPr="00B603AC" w:rsidRDefault="00B02873" w:rsidP="00B603AC">
            <w:pPr>
              <w:pStyle w:val="TablebodyleftFinancialsTables"/>
              <w:jc w:val="right"/>
              <w:rPr>
                <w:rFonts w:asciiTheme="minorHAnsi" w:hAnsiTheme="minorHAnsi" w:cstheme="minorHAnsi"/>
                <w:b/>
                <w:bCs/>
                <w:sz w:val="18"/>
                <w:szCs w:val="14"/>
              </w:rPr>
            </w:pPr>
          </w:p>
        </w:tc>
        <w:tc>
          <w:tcPr>
            <w:tcW w:w="1275" w:type="dxa"/>
          </w:tcPr>
          <w:p w14:paraId="18A9CF6A" w14:textId="77777777" w:rsidR="00B02873" w:rsidRPr="00B603AC" w:rsidRDefault="00B02873" w:rsidP="00B603AC">
            <w:pPr>
              <w:pStyle w:val="TablebodyleftFinancialsTables"/>
              <w:jc w:val="right"/>
              <w:rPr>
                <w:rFonts w:asciiTheme="minorHAnsi" w:hAnsiTheme="minorHAnsi" w:cstheme="minorHAnsi"/>
                <w:b/>
                <w:bCs/>
                <w:sz w:val="18"/>
                <w:szCs w:val="14"/>
              </w:rPr>
            </w:pPr>
          </w:p>
        </w:tc>
        <w:tc>
          <w:tcPr>
            <w:tcW w:w="1077" w:type="dxa"/>
          </w:tcPr>
          <w:p w14:paraId="4586C6BC" w14:textId="77777777" w:rsidR="00B02873" w:rsidRPr="00B603AC" w:rsidRDefault="00B02873" w:rsidP="00B603AC">
            <w:pPr>
              <w:pStyle w:val="TablebodyleftFinancialsTables"/>
              <w:jc w:val="right"/>
              <w:rPr>
                <w:rFonts w:asciiTheme="minorHAnsi" w:hAnsiTheme="minorHAnsi" w:cstheme="minorHAnsi"/>
                <w:b/>
                <w:bCs/>
                <w:sz w:val="18"/>
                <w:szCs w:val="14"/>
              </w:rPr>
            </w:pPr>
          </w:p>
        </w:tc>
        <w:tc>
          <w:tcPr>
            <w:tcW w:w="1078" w:type="dxa"/>
          </w:tcPr>
          <w:p w14:paraId="5E830119" w14:textId="77777777" w:rsidR="00B02873" w:rsidRPr="00B603AC" w:rsidRDefault="00B02873" w:rsidP="00B603AC">
            <w:pPr>
              <w:pStyle w:val="TablebodyleftFinancialsTables"/>
              <w:jc w:val="right"/>
              <w:rPr>
                <w:rFonts w:asciiTheme="minorHAnsi" w:hAnsiTheme="minorHAnsi" w:cstheme="minorHAnsi"/>
                <w:b/>
                <w:bCs/>
                <w:sz w:val="18"/>
                <w:szCs w:val="14"/>
              </w:rPr>
            </w:pPr>
          </w:p>
        </w:tc>
        <w:tc>
          <w:tcPr>
            <w:tcW w:w="1077" w:type="dxa"/>
          </w:tcPr>
          <w:p w14:paraId="62CDFE03" w14:textId="77777777" w:rsidR="00B02873" w:rsidRPr="00B603AC" w:rsidRDefault="00B02873" w:rsidP="00B603AC">
            <w:pPr>
              <w:pStyle w:val="TablebodyleftFinancialsTables"/>
              <w:jc w:val="right"/>
              <w:rPr>
                <w:rFonts w:asciiTheme="minorHAnsi" w:hAnsiTheme="minorHAnsi" w:cstheme="minorHAnsi"/>
                <w:b/>
                <w:bCs/>
                <w:sz w:val="18"/>
                <w:szCs w:val="14"/>
              </w:rPr>
            </w:pPr>
          </w:p>
        </w:tc>
      </w:tr>
      <w:tr w:rsidR="00B02873" w:rsidRPr="00B603AC" w14:paraId="6591CC54" w14:textId="77777777" w:rsidTr="00B603AC">
        <w:trPr>
          <w:trHeight w:val="60"/>
        </w:trPr>
        <w:tc>
          <w:tcPr>
            <w:tcW w:w="3175" w:type="dxa"/>
          </w:tcPr>
          <w:p w14:paraId="14E28B5E" w14:textId="77777777" w:rsidR="00B02873" w:rsidRPr="00B603AC" w:rsidRDefault="00B02873" w:rsidP="00B603AC">
            <w:pPr>
              <w:pStyle w:val="TablebodyleftFinancialsTables"/>
              <w:rPr>
                <w:rFonts w:asciiTheme="minorHAnsi" w:hAnsiTheme="minorHAnsi" w:cstheme="minorHAnsi"/>
                <w:sz w:val="18"/>
                <w:szCs w:val="14"/>
              </w:rPr>
            </w:pPr>
            <w:r w:rsidRPr="00B603AC">
              <w:rPr>
                <w:rFonts w:asciiTheme="minorHAnsi" w:hAnsiTheme="minorHAnsi" w:cstheme="minorHAnsi"/>
                <w:sz w:val="18"/>
                <w:szCs w:val="14"/>
              </w:rPr>
              <w:t>Cash and deposits (not assessed for impairment due to materiality)</w:t>
            </w:r>
          </w:p>
        </w:tc>
        <w:tc>
          <w:tcPr>
            <w:tcW w:w="1077" w:type="dxa"/>
          </w:tcPr>
          <w:p w14:paraId="52093F1C" w14:textId="77777777" w:rsidR="00B02873" w:rsidRPr="00B603AC" w:rsidRDefault="00B02873" w:rsidP="00B603AC">
            <w:pPr>
              <w:pStyle w:val="TablebodyleftFinancialsTables"/>
              <w:jc w:val="right"/>
              <w:rPr>
                <w:rFonts w:asciiTheme="minorHAnsi" w:hAnsiTheme="minorHAnsi" w:cstheme="minorHAnsi"/>
                <w:b/>
                <w:bCs/>
                <w:sz w:val="18"/>
                <w:szCs w:val="14"/>
              </w:rPr>
            </w:pPr>
            <w:r w:rsidRPr="00B603AC">
              <w:rPr>
                <w:rFonts w:asciiTheme="minorHAnsi" w:hAnsiTheme="minorHAnsi" w:cstheme="minorHAnsi"/>
                <w:b/>
                <w:bCs/>
                <w:sz w:val="18"/>
                <w:szCs w:val="14"/>
              </w:rPr>
              <w:t>1,281,536</w:t>
            </w:r>
          </w:p>
        </w:tc>
        <w:tc>
          <w:tcPr>
            <w:tcW w:w="1272" w:type="dxa"/>
          </w:tcPr>
          <w:p w14:paraId="47C6E439" w14:textId="77777777" w:rsidR="00B02873" w:rsidRPr="00B603AC" w:rsidRDefault="00B02873" w:rsidP="00B603AC">
            <w:pPr>
              <w:pStyle w:val="TablebodyleftFinancialsTables"/>
              <w:jc w:val="right"/>
              <w:rPr>
                <w:rFonts w:asciiTheme="minorHAnsi" w:hAnsiTheme="minorHAnsi" w:cstheme="minorHAnsi"/>
                <w:b/>
                <w:bCs/>
                <w:sz w:val="18"/>
                <w:szCs w:val="14"/>
              </w:rPr>
            </w:pPr>
            <w:r w:rsidRPr="00B603AC">
              <w:rPr>
                <w:rFonts w:asciiTheme="minorHAnsi" w:hAnsiTheme="minorHAnsi" w:cstheme="minorHAnsi"/>
                <w:b/>
                <w:bCs/>
                <w:sz w:val="18"/>
                <w:szCs w:val="14"/>
              </w:rPr>
              <w:t>–</w:t>
            </w:r>
          </w:p>
        </w:tc>
        <w:tc>
          <w:tcPr>
            <w:tcW w:w="1275" w:type="dxa"/>
          </w:tcPr>
          <w:p w14:paraId="342E2A63" w14:textId="77777777" w:rsidR="00B02873" w:rsidRPr="00B603AC" w:rsidRDefault="00B02873" w:rsidP="00B603AC">
            <w:pPr>
              <w:pStyle w:val="TablebodyleftFinancialsTables"/>
              <w:jc w:val="right"/>
              <w:rPr>
                <w:rFonts w:asciiTheme="minorHAnsi" w:hAnsiTheme="minorHAnsi" w:cstheme="minorHAnsi"/>
                <w:b/>
                <w:bCs/>
                <w:sz w:val="18"/>
                <w:szCs w:val="14"/>
              </w:rPr>
            </w:pPr>
            <w:r w:rsidRPr="00B603AC">
              <w:rPr>
                <w:rFonts w:asciiTheme="minorHAnsi" w:hAnsiTheme="minorHAnsi" w:cstheme="minorHAnsi"/>
                <w:b/>
                <w:bCs/>
                <w:sz w:val="18"/>
                <w:szCs w:val="14"/>
              </w:rPr>
              <w:t>–</w:t>
            </w:r>
          </w:p>
        </w:tc>
        <w:tc>
          <w:tcPr>
            <w:tcW w:w="1077" w:type="dxa"/>
          </w:tcPr>
          <w:p w14:paraId="6A1CDCF9" w14:textId="77777777" w:rsidR="00B02873" w:rsidRPr="00B603AC" w:rsidRDefault="00B02873" w:rsidP="00B603AC">
            <w:pPr>
              <w:pStyle w:val="TablebodyleftFinancialsTables"/>
              <w:jc w:val="right"/>
              <w:rPr>
                <w:rFonts w:asciiTheme="minorHAnsi" w:hAnsiTheme="minorHAnsi" w:cstheme="minorHAnsi"/>
                <w:b/>
                <w:bCs/>
                <w:sz w:val="18"/>
                <w:szCs w:val="14"/>
              </w:rPr>
            </w:pPr>
            <w:r w:rsidRPr="00B603AC">
              <w:rPr>
                <w:rFonts w:asciiTheme="minorHAnsi" w:hAnsiTheme="minorHAnsi" w:cstheme="minorHAnsi"/>
                <w:b/>
                <w:bCs/>
                <w:sz w:val="18"/>
                <w:szCs w:val="14"/>
              </w:rPr>
              <w:t>–</w:t>
            </w:r>
          </w:p>
        </w:tc>
        <w:tc>
          <w:tcPr>
            <w:tcW w:w="1078" w:type="dxa"/>
          </w:tcPr>
          <w:p w14:paraId="70562175" w14:textId="77777777" w:rsidR="00B02873" w:rsidRPr="00B603AC" w:rsidRDefault="00B02873" w:rsidP="00B603AC">
            <w:pPr>
              <w:pStyle w:val="TablebodyleftFinancialsTables"/>
              <w:jc w:val="right"/>
              <w:rPr>
                <w:rFonts w:asciiTheme="minorHAnsi" w:hAnsiTheme="minorHAnsi" w:cstheme="minorHAnsi"/>
                <w:b/>
                <w:bCs/>
                <w:sz w:val="18"/>
                <w:szCs w:val="14"/>
              </w:rPr>
            </w:pPr>
            <w:r w:rsidRPr="00B603AC">
              <w:rPr>
                <w:rFonts w:asciiTheme="minorHAnsi" w:hAnsiTheme="minorHAnsi" w:cstheme="minorHAnsi"/>
                <w:b/>
                <w:bCs/>
                <w:sz w:val="18"/>
                <w:szCs w:val="14"/>
              </w:rPr>
              <w:t>–</w:t>
            </w:r>
          </w:p>
        </w:tc>
        <w:tc>
          <w:tcPr>
            <w:tcW w:w="1077" w:type="dxa"/>
          </w:tcPr>
          <w:p w14:paraId="334E8003" w14:textId="77777777" w:rsidR="00B02873" w:rsidRPr="00B603AC" w:rsidRDefault="00B02873" w:rsidP="00B603AC">
            <w:pPr>
              <w:pStyle w:val="TablebodyleftFinancialsTables"/>
              <w:jc w:val="right"/>
              <w:rPr>
                <w:rFonts w:asciiTheme="minorHAnsi" w:hAnsiTheme="minorHAnsi" w:cstheme="minorHAnsi"/>
                <w:b/>
                <w:bCs/>
                <w:sz w:val="18"/>
                <w:szCs w:val="14"/>
              </w:rPr>
            </w:pPr>
            <w:r w:rsidRPr="00B603AC">
              <w:rPr>
                <w:rFonts w:asciiTheme="minorHAnsi" w:hAnsiTheme="minorHAnsi" w:cstheme="minorHAnsi"/>
                <w:b/>
                <w:bCs/>
                <w:sz w:val="18"/>
                <w:szCs w:val="14"/>
              </w:rPr>
              <w:t xml:space="preserve"> 1,281,536</w:t>
            </w:r>
          </w:p>
        </w:tc>
      </w:tr>
      <w:tr w:rsidR="00B02873" w:rsidRPr="00B603AC" w14:paraId="217F2798" w14:textId="77777777" w:rsidTr="00B603AC">
        <w:trPr>
          <w:trHeight w:val="60"/>
        </w:trPr>
        <w:tc>
          <w:tcPr>
            <w:tcW w:w="3175" w:type="dxa"/>
          </w:tcPr>
          <w:p w14:paraId="2558992B" w14:textId="77777777" w:rsidR="00B02873" w:rsidRPr="00B603AC" w:rsidRDefault="00B02873" w:rsidP="00B603AC">
            <w:pPr>
              <w:pStyle w:val="TablebodyleftFinancialsTables"/>
              <w:rPr>
                <w:rFonts w:asciiTheme="minorHAnsi" w:hAnsiTheme="minorHAnsi" w:cstheme="minorHAnsi"/>
                <w:sz w:val="18"/>
                <w:szCs w:val="14"/>
              </w:rPr>
            </w:pPr>
            <w:r w:rsidRPr="00B603AC">
              <w:rPr>
                <w:rFonts w:asciiTheme="minorHAnsi" w:hAnsiTheme="minorHAnsi" w:cstheme="minorHAnsi"/>
                <w:sz w:val="18"/>
                <w:szCs w:val="14"/>
              </w:rPr>
              <w:t>Concessional loans</w:t>
            </w:r>
          </w:p>
        </w:tc>
        <w:tc>
          <w:tcPr>
            <w:tcW w:w="1077" w:type="dxa"/>
          </w:tcPr>
          <w:p w14:paraId="52F8DA9D" w14:textId="77777777" w:rsidR="00B02873" w:rsidRPr="00B603AC" w:rsidRDefault="00B02873" w:rsidP="00B603AC">
            <w:pPr>
              <w:pStyle w:val="TablebodyleftFinancialsTables"/>
              <w:jc w:val="right"/>
              <w:rPr>
                <w:rFonts w:asciiTheme="minorHAnsi" w:hAnsiTheme="minorHAnsi" w:cstheme="minorHAnsi"/>
                <w:b/>
                <w:bCs/>
                <w:sz w:val="18"/>
                <w:szCs w:val="14"/>
              </w:rPr>
            </w:pPr>
            <w:r w:rsidRPr="00B603AC">
              <w:rPr>
                <w:rFonts w:asciiTheme="minorHAnsi" w:hAnsiTheme="minorHAnsi" w:cstheme="minorHAnsi"/>
                <w:b/>
                <w:bCs/>
                <w:sz w:val="18"/>
                <w:szCs w:val="14"/>
              </w:rPr>
              <w:t>–</w:t>
            </w:r>
          </w:p>
        </w:tc>
        <w:tc>
          <w:tcPr>
            <w:tcW w:w="1272" w:type="dxa"/>
          </w:tcPr>
          <w:p w14:paraId="2FE7AAA1" w14:textId="77777777" w:rsidR="00B02873" w:rsidRPr="00B603AC" w:rsidRDefault="00B02873" w:rsidP="00B603AC">
            <w:pPr>
              <w:pStyle w:val="TablebodyleftFinancialsTables"/>
              <w:jc w:val="right"/>
              <w:rPr>
                <w:rFonts w:asciiTheme="minorHAnsi" w:hAnsiTheme="minorHAnsi" w:cstheme="minorHAnsi"/>
                <w:b/>
                <w:bCs/>
                <w:sz w:val="18"/>
                <w:szCs w:val="14"/>
              </w:rPr>
            </w:pPr>
            <w:r w:rsidRPr="00B603AC">
              <w:rPr>
                <w:rFonts w:asciiTheme="minorHAnsi" w:hAnsiTheme="minorHAnsi" w:cstheme="minorHAnsi"/>
                <w:b/>
                <w:bCs/>
                <w:sz w:val="18"/>
                <w:szCs w:val="14"/>
              </w:rPr>
              <w:t>–</w:t>
            </w:r>
          </w:p>
        </w:tc>
        <w:tc>
          <w:tcPr>
            <w:tcW w:w="1275" w:type="dxa"/>
          </w:tcPr>
          <w:p w14:paraId="6589A40C" w14:textId="77777777" w:rsidR="00B02873" w:rsidRPr="00B603AC" w:rsidRDefault="00B02873" w:rsidP="00B603AC">
            <w:pPr>
              <w:pStyle w:val="TablebodyleftFinancialsTables"/>
              <w:jc w:val="right"/>
              <w:rPr>
                <w:rFonts w:asciiTheme="minorHAnsi" w:hAnsiTheme="minorHAnsi" w:cstheme="minorHAnsi"/>
                <w:b/>
                <w:bCs/>
                <w:sz w:val="18"/>
                <w:szCs w:val="14"/>
              </w:rPr>
            </w:pPr>
            <w:r w:rsidRPr="00B603AC">
              <w:rPr>
                <w:rFonts w:asciiTheme="minorHAnsi" w:hAnsiTheme="minorHAnsi" w:cstheme="minorHAnsi"/>
                <w:b/>
                <w:bCs/>
                <w:sz w:val="18"/>
                <w:szCs w:val="14"/>
              </w:rPr>
              <w:t>–</w:t>
            </w:r>
          </w:p>
        </w:tc>
        <w:tc>
          <w:tcPr>
            <w:tcW w:w="1077" w:type="dxa"/>
          </w:tcPr>
          <w:p w14:paraId="6C675E16" w14:textId="77777777" w:rsidR="00B02873" w:rsidRPr="00B603AC" w:rsidRDefault="00B02873" w:rsidP="00B603AC">
            <w:pPr>
              <w:pStyle w:val="TablebodyleftFinancialsTables"/>
              <w:jc w:val="right"/>
              <w:rPr>
                <w:rFonts w:asciiTheme="minorHAnsi" w:hAnsiTheme="minorHAnsi" w:cstheme="minorHAnsi"/>
                <w:b/>
                <w:bCs/>
                <w:sz w:val="18"/>
                <w:szCs w:val="14"/>
              </w:rPr>
            </w:pPr>
            <w:r w:rsidRPr="00B603AC">
              <w:rPr>
                <w:rFonts w:asciiTheme="minorHAnsi" w:hAnsiTheme="minorHAnsi" w:cstheme="minorHAnsi"/>
                <w:b/>
                <w:bCs/>
                <w:sz w:val="18"/>
                <w:szCs w:val="14"/>
              </w:rPr>
              <w:t>–</w:t>
            </w:r>
          </w:p>
        </w:tc>
        <w:tc>
          <w:tcPr>
            <w:tcW w:w="1078" w:type="dxa"/>
          </w:tcPr>
          <w:p w14:paraId="54916A40" w14:textId="77777777" w:rsidR="00B02873" w:rsidRPr="00B603AC" w:rsidRDefault="00B02873" w:rsidP="00B603AC">
            <w:pPr>
              <w:pStyle w:val="TablebodyleftFinancialsTables"/>
              <w:jc w:val="right"/>
              <w:rPr>
                <w:rFonts w:asciiTheme="minorHAnsi" w:hAnsiTheme="minorHAnsi" w:cstheme="minorHAnsi"/>
                <w:b/>
                <w:bCs/>
                <w:sz w:val="18"/>
                <w:szCs w:val="14"/>
              </w:rPr>
            </w:pPr>
            <w:r w:rsidRPr="00B603AC">
              <w:rPr>
                <w:rFonts w:asciiTheme="minorHAnsi" w:hAnsiTheme="minorHAnsi" w:cstheme="minorHAnsi"/>
                <w:b/>
                <w:bCs/>
                <w:sz w:val="18"/>
                <w:szCs w:val="14"/>
              </w:rPr>
              <w:t>110,584</w:t>
            </w:r>
          </w:p>
        </w:tc>
        <w:tc>
          <w:tcPr>
            <w:tcW w:w="1077" w:type="dxa"/>
          </w:tcPr>
          <w:p w14:paraId="69A6079E" w14:textId="77777777" w:rsidR="00B02873" w:rsidRPr="00B603AC" w:rsidRDefault="00B02873" w:rsidP="00B603AC">
            <w:pPr>
              <w:pStyle w:val="TablebodyleftFinancialsTables"/>
              <w:jc w:val="right"/>
              <w:rPr>
                <w:rFonts w:asciiTheme="minorHAnsi" w:hAnsiTheme="minorHAnsi" w:cstheme="minorHAnsi"/>
                <w:b/>
                <w:bCs/>
                <w:sz w:val="18"/>
                <w:szCs w:val="14"/>
              </w:rPr>
            </w:pPr>
            <w:r w:rsidRPr="00B603AC">
              <w:rPr>
                <w:rFonts w:asciiTheme="minorHAnsi" w:hAnsiTheme="minorHAnsi" w:cstheme="minorHAnsi"/>
                <w:b/>
                <w:bCs/>
                <w:sz w:val="18"/>
                <w:szCs w:val="14"/>
              </w:rPr>
              <w:t>110,584</w:t>
            </w:r>
          </w:p>
        </w:tc>
      </w:tr>
      <w:tr w:rsidR="00B02873" w:rsidRPr="00B603AC" w14:paraId="0FF9892C" w14:textId="77777777" w:rsidTr="00B603AC">
        <w:trPr>
          <w:trHeight w:val="60"/>
        </w:trPr>
        <w:tc>
          <w:tcPr>
            <w:tcW w:w="3175" w:type="dxa"/>
          </w:tcPr>
          <w:p w14:paraId="261EBAFA" w14:textId="77777777" w:rsidR="00B02873" w:rsidRPr="00B603AC" w:rsidRDefault="00B02873" w:rsidP="00B603AC">
            <w:pPr>
              <w:pStyle w:val="TablebodyleftFinancialsTables"/>
              <w:rPr>
                <w:rFonts w:asciiTheme="minorHAnsi" w:hAnsiTheme="minorHAnsi" w:cstheme="minorHAnsi"/>
                <w:b/>
                <w:bCs/>
                <w:sz w:val="18"/>
                <w:szCs w:val="14"/>
              </w:rPr>
            </w:pPr>
            <w:r w:rsidRPr="00B603AC">
              <w:rPr>
                <w:rFonts w:asciiTheme="minorHAnsi" w:hAnsiTheme="minorHAnsi" w:cstheme="minorHAnsi"/>
                <w:b/>
                <w:bCs/>
                <w:sz w:val="18"/>
                <w:szCs w:val="14"/>
              </w:rPr>
              <w:t>Financial assets with loss allowance measured at lifetime expected credit loss:</w:t>
            </w:r>
          </w:p>
        </w:tc>
        <w:tc>
          <w:tcPr>
            <w:tcW w:w="1077" w:type="dxa"/>
          </w:tcPr>
          <w:p w14:paraId="03F7CA9D" w14:textId="77777777" w:rsidR="00B02873" w:rsidRPr="00B603AC" w:rsidRDefault="00B02873" w:rsidP="00B603AC">
            <w:pPr>
              <w:pStyle w:val="TablebodyleftFinancialsTables"/>
              <w:jc w:val="right"/>
              <w:rPr>
                <w:rFonts w:asciiTheme="minorHAnsi" w:hAnsiTheme="minorHAnsi" w:cstheme="minorHAnsi"/>
                <w:b/>
                <w:bCs/>
                <w:sz w:val="18"/>
                <w:szCs w:val="14"/>
              </w:rPr>
            </w:pPr>
          </w:p>
        </w:tc>
        <w:tc>
          <w:tcPr>
            <w:tcW w:w="1272" w:type="dxa"/>
          </w:tcPr>
          <w:p w14:paraId="54248894" w14:textId="77777777" w:rsidR="00B02873" w:rsidRPr="00B603AC" w:rsidRDefault="00B02873" w:rsidP="00B603AC">
            <w:pPr>
              <w:pStyle w:val="TablebodyleftFinancialsTables"/>
              <w:jc w:val="right"/>
              <w:rPr>
                <w:rFonts w:asciiTheme="minorHAnsi" w:hAnsiTheme="minorHAnsi" w:cstheme="minorHAnsi"/>
                <w:b/>
                <w:bCs/>
                <w:sz w:val="18"/>
                <w:szCs w:val="14"/>
              </w:rPr>
            </w:pPr>
          </w:p>
        </w:tc>
        <w:tc>
          <w:tcPr>
            <w:tcW w:w="1275" w:type="dxa"/>
          </w:tcPr>
          <w:p w14:paraId="189881AA" w14:textId="77777777" w:rsidR="00B02873" w:rsidRPr="00B603AC" w:rsidRDefault="00B02873" w:rsidP="00B603AC">
            <w:pPr>
              <w:pStyle w:val="TablebodyleftFinancialsTables"/>
              <w:jc w:val="right"/>
              <w:rPr>
                <w:rFonts w:asciiTheme="minorHAnsi" w:hAnsiTheme="minorHAnsi" w:cstheme="minorHAnsi"/>
                <w:b/>
                <w:bCs/>
                <w:sz w:val="18"/>
                <w:szCs w:val="14"/>
              </w:rPr>
            </w:pPr>
          </w:p>
        </w:tc>
        <w:tc>
          <w:tcPr>
            <w:tcW w:w="1077" w:type="dxa"/>
          </w:tcPr>
          <w:p w14:paraId="2DB31FD0" w14:textId="77777777" w:rsidR="00B02873" w:rsidRPr="00B603AC" w:rsidRDefault="00B02873" w:rsidP="00B603AC">
            <w:pPr>
              <w:pStyle w:val="TablebodyleftFinancialsTables"/>
              <w:jc w:val="right"/>
              <w:rPr>
                <w:rFonts w:asciiTheme="minorHAnsi" w:hAnsiTheme="minorHAnsi" w:cstheme="minorHAnsi"/>
                <w:b/>
                <w:bCs/>
                <w:sz w:val="18"/>
                <w:szCs w:val="14"/>
              </w:rPr>
            </w:pPr>
          </w:p>
        </w:tc>
        <w:tc>
          <w:tcPr>
            <w:tcW w:w="1078" w:type="dxa"/>
          </w:tcPr>
          <w:p w14:paraId="4BD84C39" w14:textId="77777777" w:rsidR="00B02873" w:rsidRPr="00B603AC" w:rsidRDefault="00B02873" w:rsidP="00B603AC">
            <w:pPr>
              <w:pStyle w:val="TablebodyleftFinancialsTables"/>
              <w:jc w:val="right"/>
              <w:rPr>
                <w:rFonts w:asciiTheme="minorHAnsi" w:hAnsiTheme="minorHAnsi" w:cstheme="minorHAnsi"/>
                <w:b/>
                <w:bCs/>
                <w:sz w:val="18"/>
                <w:szCs w:val="14"/>
              </w:rPr>
            </w:pPr>
          </w:p>
        </w:tc>
        <w:tc>
          <w:tcPr>
            <w:tcW w:w="1077" w:type="dxa"/>
          </w:tcPr>
          <w:p w14:paraId="43F1027F" w14:textId="77777777" w:rsidR="00B02873" w:rsidRPr="00B603AC" w:rsidRDefault="00B02873" w:rsidP="00B603AC">
            <w:pPr>
              <w:pStyle w:val="TablebodyleftFinancialsTables"/>
              <w:jc w:val="right"/>
              <w:rPr>
                <w:rFonts w:asciiTheme="minorHAnsi" w:hAnsiTheme="minorHAnsi" w:cstheme="minorHAnsi"/>
                <w:b/>
                <w:bCs/>
                <w:sz w:val="18"/>
                <w:szCs w:val="14"/>
              </w:rPr>
            </w:pPr>
          </w:p>
        </w:tc>
      </w:tr>
      <w:tr w:rsidR="00B02873" w:rsidRPr="00B603AC" w14:paraId="43420335" w14:textId="77777777" w:rsidTr="00B603AC">
        <w:trPr>
          <w:trHeight w:val="60"/>
        </w:trPr>
        <w:tc>
          <w:tcPr>
            <w:tcW w:w="3175" w:type="dxa"/>
          </w:tcPr>
          <w:p w14:paraId="731017F3" w14:textId="77777777" w:rsidR="00B02873" w:rsidRPr="00B603AC" w:rsidRDefault="00B02873" w:rsidP="00B603AC">
            <w:pPr>
              <w:pStyle w:val="TablebodyleftFinancialsTables"/>
              <w:rPr>
                <w:rFonts w:asciiTheme="minorHAnsi" w:hAnsiTheme="minorHAnsi" w:cstheme="minorHAnsi"/>
                <w:sz w:val="18"/>
                <w:szCs w:val="14"/>
              </w:rPr>
            </w:pPr>
            <w:r w:rsidRPr="00B603AC">
              <w:rPr>
                <w:rFonts w:asciiTheme="minorHAnsi" w:hAnsiTheme="minorHAnsi" w:cstheme="minorHAnsi"/>
                <w:sz w:val="18"/>
                <w:szCs w:val="14"/>
              </w:rPr>
              <w:t>Trade receivables applying the simplified approach for impairment</w:t>
            </w:r>
          </w:p>
        </w:tc>
        <w:tc>
          <w:tcPr>
            <w:tcW w:w="1077" w:type="dxa"/>
          </w:tcPr>
          <w:p w14:paraId="4B73C39B" w14:textId="77777777" w:rsidR="00B02873" w:rsidRPr="00B603AC" w:rsidRDefault="00B02873" w:rsidP="00B603AC">
            <w:pPr>
              <w:pStyle w:val="TablebodyleftFinancialsTables"/>
              <w:jc w:val="right"/>
              <w:rPr>
                <w:rFonts w:asciiTheme="minorHAnsi" w:hAnsiTheme="minorHAnsi" w:cstheme="minorHAnsi"/>
                <w:b/>
                <w:bCs/>
                <w:sz w:val="18"/>
                <w:szCs w:val="14"/>
              </w:rPr>
            </w:pPr>
            <w:r w:rsidRPr="00B603AC">
              <w:rPr>
                <w:rFonts w:asciiTheme="minorHAnsi" w:hAnsiTheme="minorHAnsi" w:cstheme="minorHAnsi"/>
                <w:b/>
                <w:bCs/>
                <w:sz w:val="18"/>
                <w:szCs w:val="14"/>
              </w:rPr>
              <w:t>–</w:t>
            </w:r>
          </w:p>
        </w:tc>
        <w:tc>
          <w:tcPr>
            <w:tcW w:w="1272" w:type="dxa"/>
          </w:tcPr>
          <w:p w14:paraId="3323F4BD" w14:textId="77777777" w:rsidR="00B02873" w:rsidRPr="00B603AC" w:rsidRDefault="00B02873" w:rsidP="00B603AC">
            <w:pPr>
              <w:pStyle w:val="TablebodyleftFinancialsTables"/>
              <w:jc w:val="right"/>
              <w:rPr>
                <w:rFonts w:asciiTheme="minorHAnsi" w:hAnsiTheme="minorHAnsi" w:cstheme="minorHAnsi"/>
                <w:b/>
                <w:bCs/>
                <w:sz w:val="18"/>
                <w:szCs w:val="14"/>
              </w:rPr>
            </w:pPr>
            <w:r w:rsidRPr="00B603AC">
              <w:rPr>
                <w:rFonts w:asciiTheme="minorHAnsi" w:hAnsiTheme="minorHAnsi" w:cstheme="minorHAnsi"/>
                <w:b/>
                <w:bCs/>
                <w:sz w:val="18"/>
                <w:szCs w:val="14"/>
              </w:rPr>
              <w:t>238</w:t>
            </w:r>
          </w:p>
        </w:tc>
        <w:tc>
          <w:tcPr>
            <w:tcW w:w="1275" w:type="dxa"/>
          </w:tcPr>
          <w:p w14:paraId="0570D1ED" w14:textId="77777777" w:rsidR="00B02873" w:rsidRPr="00B603AC" w:rsidRDefault="00B02873" w:rsidP="00B603AC">
            <w:pPr>
              <w:pStyle w:val="TablebodyleftFinancialsTables"/>
              <w:jc w:val="right"/>
              <w:rPr>
                <w:rFonts w:asciiTheme="minorHAnsi" w:hAnsiTheme="minorHAnsi" w:cstheme="minorHAnsi"/>
                <w:b/>
                <w:bCs/>
                <w:sz w:val="18"/>
                <w:szCs w:val="14"/>
              </w:rPr>
            </w:pPr>
            <w:r w:rsidRPr="00B603AC">
              <w:rPr>
                <w:rFonts w:asciiTheme="minorHAnsi" w:hAnsiTheme="minorHAnsi" w:cstheme="minorHAnsi"/>
                <w:b/>
                <w:bCs/>
                <w:sz w:val="18"/>
                <w:szCs w:val="14"/>
              </w:rPr>
              <w:t>–</w:t>
            </w:r>
          </w:p>
        </w:tc>
        <w:tc>
          <w:tcPr>
            <w:tcW w:w="1077" w:type="dxa"/>
          </w:tcPr>
          <w:p w14:paraId="54322DB7" w14:textId="77777777" w:rsidR="00B02873" w:rsidRPr="00B603AC" w:rsidRDefault="00B02873" w:rsidP="00B603AC">
            <w:pPr>
              <w:pStyle w:val="TablebodyleftFinancialsTables"/>
              <w:jc w:val="right"/>
              <w:rPr>
                <w:rFonts w:asciiTheme="minorHAnsi" w:hAnsiTheme="minorHAnsi" w:cstheme="minorHAnsi"/>
                <w:b/>
                <w:bCs/>
                <w:sz w:val="18"/>
                <w:szCs w:val="14"/>
              </w:rPr>
            </w:pPr>
            <w:r w:rsidRPr="00B603AC">
              <w:rPr>
                <w:rFonts w:asciiTheme="minorHAnsi" w:hAnsiTheme="minorHAnsi" w:cstheme="minorHAnsi"/>
                <w:b/>
                <w:bCs/>
                <w:sz w:val="18"/>
                <w:szCs w:val="14"/>
              </w:rPr>
              <w:t>–</w:t>
            </w:r>
          </w:p>
        </w:tc>
        <w:tc>
          <w:tcPr>
            <w:tcW w:w="1078" w:type="dxa"/>
          </w:tcPr>
          <w:p w14:paraId="24109D4C" w14:textId="77777777" w:rsidR="00B02873" w:rsidRPr="00B603AC" w:rsidRDefault="00B02873" w:rsidP="00B603AC">
            <w:pPr>
              <w:pStyle w:val="TablebodyleftFinancialsTables"/>
              <w:jc w:val="right"/>
              <w:rPr>
                <w:rFonts w:asciiTheme="minorHAnsi" w:hAnsiTheme="minorHAnsi" w:cstheme="minorHAnsi"/>
                <w:b/>
                <w:bCs/>
                <w:sz w:val="18"/>
                <w:szCs w:val="14"/>
              </w:rPr>
            </w:pPr>
            <w:r w:rsidRPr="00B603AC">
              <w:rPr>
                <w:rFonts w:asciiTheme="minorHAnsi" w:hAnsiTheme="minorHAnsi" w:cstheme="minorHAnsi"/>
                <w:b/>
                <w:bCs/>
                <w:sz w:val="18"/>
                <w:szCs w:val="14"/>
              </w:rPr>
              <w:t>39,232</w:t>
            </w:r>
          </w:p>
        </w:tc>
        <w:tc>
          <w:tcPr>
            <w:tcW w:w="1077" w:type="dxa"/>
          </w:tcPr>
          <w:p w14:paraId="2C6F41F4" w14:textId="77777777" w:rsidR="00B02873" w:rsidRPr="00B603AC" w:rsidRDefault="00B02873" w:rsidP="00B603AC">
            <w:pPr>
              <w:pStyle w:val="TablebodyleftFinancialsTables"/>
              <w:jc w:val="right"/>
              <w:rPr>
                <w:rFonts w:asciiTheme="minorHAnsi" w:hAnsiTheme="minorHAnsi" w:cstheme="minorHAnsi"/>
                <w:b/>
                <w:bCs/>
                <w:sz w:val="18"/>
                <w:szCs w:val="14"/>
              </w:rPr>
            </w:pPr>
            <w:r w:rsidRPr="00B603AC">
              <w:rPr>
                <w:rFonts w:asciiTheme="minorHAnsi" w:hAnsiTheme="minorHAnsi" w:cstheme="minorHAnsi"/>
                <w:b/>
                <w:bCs/>
                <w:sz w:val="18"/>
                <w:szCs w:val="14"/>
              </w:rPr>
              <w:t>39,470</w:t>
            </w:r>
          </w:p>
        </w:tc>
      </w:tr>
      <w:tr w:rsidR="00B02873" w:rsidRPr="00B603AC" w14:paraId="098DB6B6" w14:textId="77777777" w:rsidTr="00B603AC">
        <w:trPr>
          <w:trHeight w:val="60"/>
        </w:trPr>
        <w:tc>
          <w:tcPr>
            <w:tcW w:w="3175" w:type="dxa"/>
          </w:tcPr>
          <w:p w14:paraId="5681F2BA" w14:textId="77777777" w:rsidR="00B02873" w:rsidRPr="00B603AC" w:rsidRDefault="00B02873" w:rsidP="00B603AC">
            <w:pPr>
              <w:pStyle w:val="TablebodyleftFinancialsTables"/>
              <w:rPr>
                <w:rFonts w:asciiTheme="minorHAnsi" w:hAnsiTheme="minorHAnsi" w:cstheme="minorHAnsi"/>
                <w:b/>
                <w:bCs/>
                <w:sz w:val="18"/>
                <w:szCs w:val="14"/>
              </w:rPr>
            </w:pPr>
            <w:r w:rsidRPr="00B603AC">
              <w:rPr>
                <w:rFonts w:asciiTheme="minorHAnsi" w:hAnsiTheme="minorHAnsi" w:cstheme="minorHAnsi"/>
                <w:b/>
                <w:bCs/>
                <w:sz w:val="18"/>
                <w:szCs w:val="14"/>
              </w:rPr>
              <w:t>Total contractual financial assets</w:t>
            </w:r>
            <w:r w:rsidRPr="00B603AC">
              <w:rPr>
                <w:rFonts w:asciiTheme="minorHAnsi" w:hAnsiTheme="minorHAnsi" w:cstheme="minorHAnsi"/>
                <w:b/>
                <w:bCs/>
                <w:sz w:val="18"/>
                <w:szCs w:val="14"/>
                <w:vertAlign w:val="superscript"/>
              </w:rPr>
              <w:t>(i)</w:t>
            </w:r>
          </w:p>
        </w:tc>
        <w:tc>
          <w:tcPr>
            <w:tcW w:w="1077" w:type="dxa"/>
          </w:tcPr>
          <w:p w14:paraId="5249A7AE" w14:textId="77777777" w:rsidR="00B02873" w:rsidRPr="00B603AC" w:rsidRDefault="00B02873" w:rsidP="00B603AC">
            <w:pPr>
              <w:pStyle w:val="TablebodyleftFinancialsTables"/>
              <w:jc w:val="right"/>
              <w:rPr>
                <w:rFonts w:asciiTheme="minorHAnsi" w:hAnsiTheme="minorHAnsi" w:cstheme="minorHAnsi"/>
                <w:b/>
                <w:bCs/>
                <w:sz w:val="18"/>
                <w:szCs w:val="14"/>
              </w:rPr>
            </w:pPr>
            <w:r w:rsidRPr="00B603AC">
              <w:rPr>
                <w:rFonts w:asciiTheme="minorHAnsi" w:hAnsiTheme="minorHAnsi" w:cstheme="minorHAnsi"/>
                <w:b/>
                <w:bCs/>
                <w:sz w:val="18"/>
                <w:szCs w:val="14"/>
              </w:rPr>
              <w:t>1,281,536</w:t>
            </w:r>
          </w:p>
        </w:tc>
        <w:tc>
          <w:tcPr>
            <w:tcW w:w="1272" w:type="dxa"/>
          </w:tcPr>
          <w:p w14:paraId="6EB29D71" w14:textId="77777777" w:rsidR="00B02873" w:rsidRPr="00B603AC" w:rsidRDefault="00B02873" w:rsidP="00B603AC">
            <w:pPr>
              <w:pStyle w:val="TablebodyleftFinancialsTables"/>
              <w:jc w:val="right"/>
              <w:rPr>
                <w:rFonts w:asciiTheme="minorHAnsi" w:hAnsiTheme="minorHAnsi" w:cstheme="minorHAnsi"/>
                <w:b/>
                <w:bCs/>
                <w:sz w:val="18"/>
                <w:szCs w:val="14"/>
              </w:rPr>
            </w:pPr>
            <w:r w:rsidRPr="00B603AC">
              <w:rPr>
                <w:rFonts w:asciiTheme="minorHAnsi" w:hAnsiTheme="minorHAnsi" w:cstheme="minorHAnsi"/>
                <w:b/>
                <w:bCs/>
                <w:sz w:val="18"/>
                <w:szCs w:val="14"/>
              </w:rPr>
              <w:t>238</w:t>
            </w:r>
          </w:p>
        </w:tc>
        <w:tc>
          <w:tcPr>
            <w:tcW w:w="1275" w:type="dxa"/>
          </w:tcPr>
          <w:p w14:paraId="554EF315" w14:textId="77777777" w:rsidR="00B02873" w:rsidRPr="00B603AC" w:rsidRDefault="00B02873" w:rsidP="00B603AC">
            <w:pPr>
              <w:pStyle w:val="TablebodyleftFinancialsTables"/>
              <w:jc w:val="right"/>
              <w:rPr>
                <w:rFonts w:asciiTheme="minorHAnsi" w:hAnsiTheme="minorHAnsi" w:cstheme="minorHAnsi"/>
                <w:b/>
                <w:bCs/>
                <w:sz w:val="18"/>
                <w:szCs w:val="14"/>
              </w:rPr>
            </w:pPr>
            <w:r w:rsidRPr="00B603AC">
              <w:rPr>
                <w:rFonts w:asciiTheme="minorHAnsi" w:hAnsiTheme="minorHAnsi" w:cstheme="minorHAnsi"/>
                <w:b/>
                <w:bCs/>
                <w:sz w:val="18"/>
                <w:szCs w:val="14"/>
              </w:rPr>
              <w:t>–</w:t>
            </w:r>
          </w:p>
        </w:tc>
        <w:tc>
          <w:tcPr>
            <w:tcW w:w="1077" w:type="dxa"/>
          </w:tcPr>
          <w:p w14:paraId="50D0505C" w14:textId="77777777" w:rsidR="00B02873" w:rsidRPr="00B603AC" w:rsidRDefault="00B02873" w:rsidP="00B603AC">
            <w:pPr>
              <w:pStyle w:val="TablebodyleftFinancialsTables"/>
              <w:jc w:val="right"/>
              <w:rPr>
                <w:rFonts w:asciiTheme="minorHAnsi" w:hAnsiTheme="minorHAnsi" w:cstheme="minorHAnsi"/>
                <w:b/>
                <w:bCs/>
                <w:sz w:val="18"/>
                <w:szCs w:val="14"/>
              </w:rPr>
            </w:pPr>
            <w:r w:rsidRPr="00B603AC">
              <w:rPr>
                <w:rFonts w:asciiTheme="minorHAnsi" w:hAnsiTheme="minorHAnsi" w:cstheme="minorHAnsi"/>
                <w:b/>
                <w:bCs/>
                <w:sz w:val="18"/>
                <w:szCs w:val="14"/>
              </w:rPr>
              <w:t>–</w:t>
            </w:r>
          </w:p>
        </w:tc>
        <w:tc>
          <w:tcPr>
            <w:tcW w:w="1078" w:type="dxa"/>
          </w:tcPr>
          <w:p w14:paraId="62A7AA31" w14:textId="77777777" w:rsidR="00B02873" w:rsidRPr="00B603AC" w:rsidRDefault="00B02873" w:rsidP="00B603AC">
            <w:pPr>
              <w:pStyle w:val="TablebodyleftFinancialsTables"/>
              <w:jc w:val="right"/>
              <w:rPr>
                <w:rFonts w:asciiTheme="minorHAnsi" w:hAnsiTheme="minorHAnsi" w:cstheme="minorHAnsi"/>
                <w:b/>
                <w:bCs/>
                <w:sz w:val="18"/>
                <w:szCs w:val="14"/>
              </w:rPr>
            </w:pPr>
            <w:r w:rsidRPr="00B603AC">
              <w:rPr>
                <w:rFonts w:asciiTheme="minorHAnsi" w:hAnsiTheme="minorHAnsi" w:cstheme="minorHAnsi"/>
                <w:b/>
                <w:bCs/>
                <w:sz w:val="18"/>
                <w:szCs w:val="14"/>
              </w:rPr>
              <w:t>149,816</w:t>
            </w:r>
          </w:p>
        </w:tc>
        <w:tc>
          <w:tcPr>
            <w:tcW w:w="1077" w:type="dxa"/>
          </w:tcPr>
          <w:p w14:paraId="553912A9" w14:textId="77777777" w:rsidR="00B02873" w:rsidRPr="00B603AC" w:rsidRDefault="00B02873" w:rsidP="00B603AC">
            <w:pPr>
              <w:pStyle w:val="TablebodyleftFinancialsTables"/>
              <w:jc w:val="right"/>
              <w:rPr>
                <w:rFonts w:asciiTheme="minorHAnsi" w:hAnsiTheme="minorHAnsi" w:cstheme="minorHAnsi"/>
                <w:b/>
                <w:bCs/>
                <w:sz w:val="18"/>
                <w:szCs w:val="14"/>
              </w:rPr>
            </w:pPr>
            <w:r w:rsidRPr="00B603AC">
              <w:rPr>
                <w:rFonts w:asciiTheme="minorHAnsi" w:hAnsiTheme="minorHAnsi" w:cstheme="minorHAnsi"/>
                <w:b/>
                <w:bCs/>
                <w:sz w:val="18"/>
                <w:szCs w:val="14"/>
              </w:rPr>
              <w:t>1,431,590</w:t>
            </w:r>
          </w:p>
        </w:tc>
      </w:tr>
    </w:tbl>
    <w:p w14:paraId="5437D1BF" w14:textId="77777777" w:rsidR="00B02873" w:rsidRDefault="00B02873" w:rsidP="001128B1">
      <w:pPr>
        <w:pStyle w:val="SourceNotenumbered"/>
        <w:numPr>
          <w:ilvl w:val="0"/>
          <w:numId w:val="40"/>
        </w:numPr>
        <w:spacing w:after="200"/>
        <w:ind w:left="357" w:hanging="357"/>
      </w:pPr>
      <w:r>
        <w:t>The total amounts disclosed here exclude statutory amounts (e.g. amounts owing from Victorian Government and GST input tax credit recoverable) and derivatives.</w:t>
      </w:r>
    </w:p>
    <w:tbl>
      <w:tblPr>
        <w:tblStyle w:val="TableGrid"/>
        <w:tblW w:w="10031" w:type="dxa"/>
        <w:tblLayout w:type="fixed"/>
        <w:tblLook w:val="0020" w:firstRow="1" w:lastRow="0" w:firstColumn="0" w:lastColumn="0" w:noHBand="0" w:noVBand="0"/>
      </w:tblPr>
      <w:tblGrid>
        <w:gridCol w:w="3175"/>
        <w:gridCol w:w="1077"/>
        <w:gridCol w:w="1272"/>
        <w:gridCol w:w="1275"/>
        <w:gridCol w:w="1077"/>
        <w:gridCol w:w="1078"/>
        <w:gridCol w:w="1077"/>
      </w:tblGrid>
      <w:tr w:rsidR="00B02873" w:rsidRPr="00B603AC" w14:paraId="43423A9A" w14:textId="77777777" w:rsidTr="00B603AC">
        <w:trPr>
          <w:cnfStyle w:val="100000000000" w:firstRow="1" w:lastRow="0" w:firstColumn="0" w:lastColumn="0" w:oddVBand="0" w:evenVBand="0" w:oddHBand="0" w:evenHBand="0" w:firstRowFirstColumn="0" w:firstRowLastColumn="0" w:lastRowFirstColumn="0" w:lastRowLastColumn="0"/>
          <w:trHeight w:val="60"/>
        </w:trPr>
        <w:tc>
          <w:tcPr>
            <w:tcW w:w="3175" w:type="dxa"/>
          </w:tcPr>
          <w:p w14:paraId="64256C06" w14:textId="77777777" w:rsidR="00B02873" w:rsidRPr="00B603AC" w:rsidRDefault="00B02873" w:rsidP="00B603AC">
            <w:pPr>
              <w:pStyle w:val="TableheadingleftFinancialsTables"/>
              <w:rPr>
                <w:rFonts w:asciiTheme="minorHAnsi" w:hAnsiTheme="minorHAnsi" w:cstheme="minorHAnsi"/>
                <w:sz w:val="18"/>
                <w:szCs w:val="14"/>
              </w:rPr>
            </w:pPr>
          </w:p>
        </w:tc>
        <w:tc>
          <w:tcPr>
            <w:tcW w:w="1077" w:type="dxa"/>
          </w:tcPr>
          <w:p w14:paraId="0AADFEDF" w14:textId="72771522" w:rsidR="00B02873" w:rsidRPr="00B603AC" w:rsidRDefault="00B603AC" w:rsidP="00B603AC">
            <w:pPr>
              <w:pStyle w:val="TableheadingleftFinancialsTables"/>
              <w:jc w:val="right"/>
              <w:rPr>
                <w:rFonts w:asciiTheme="minorHAnsi" w:hAnsiTheme="minorHAnsi" w:cstheme="minorHAnsi"/>
                <w:sz w:val="18"/>
                <w:szCs w:val="14"/>
              </w:rPr>
            </w:pPr>
            <w:r w:rsidRPr="00B603AC">
              <w:rPr>
                <w:rFonts w:asciiTheme="minorHAnsi" w:hAnsiTheme="minorHAnsi" w:cstheme="minorHAnsi"/>
                <w:sz w:val="18"/>
                <w:szCs w:val="14"/>
              </w:rPr>
              <w:t xml:space="preserve">2021 </w:t>
            </w:r>
            <w:r w:rsidR="00B02873" w:rsidRPr="00B603AC">
              <w:rPr>
                <w:rFonts w:asciiTheme="minorHAnsi" w:hAnsiTheme="minorHAnsi" w:cstheme="minorHAnsi"/>
                <w:sz w:val="18"/>
                <w:szCs w:val="14"/>
              </w:rPr>
              <w:t>Financial institution (AA credit rating)</w:t>
            </w:r>
            <w:r w:rsidR="00B02873" w:rsidRPr="00B603AC">
              <w:rPr>
                <w:rFonts w:asciiTheme="minorHAnsi" w:hAnsiTheme="minorHAnsi" w:cstheme="minorHAnsi"/>
                <w:sz w:val="18"/>
                <w:szCs w:val="14"/>
              </w:rPr>
              <w:br/>
              <w:t>$’000</w:t>
            </w:r>
          </w:p>
        </w:tc>
        <w:tc>
          <w:tcPr>
            <w:tcW w:w="1272" w:type="dxa"/>
          </w:tcPr>
          <w:p w14:paraId="50175893" w14:textId="4740DC19" w:rsidR="00B02873" w:rsidRPr="00B603AC" w:rsidRDefault="00B603AC" w:rsidP="00B603AC">
            <w:pPr>
              <w:pStyle w:val="TableheadingleftFinancialsTables"/>
              <w:jc w:val="right"/>
              <w:rPr>
                <w:rFonts w:asciiTheme="minorHAnsi" w:hAnsiTheme="minorHAnsi" w:cstheme="minorHAnsi"/>
                <w:sz w:val="18"/>
                <w:szCs w:val="14"/>
              </w:rPr>
            </w:pPr>
            <w:r w:rsidRPr="00B603AC">
              <w:rPr>
                <w:rFonts w:asciiTheme="minorHAnsi" w:hAnsiTheme="minorHAnsi" w:cstheme="minorHAnsi"/>
                <w:sz w:val="18"/>
                <w:szCs w:val="14"/>
              </w:rPr>
              <w:t xml:space="preserve">2021 </w:t>
            </w:r>
            <w:r w:rsidR="00B02873" w:rsidRPr="00B603AC">
              <w:rPr>
                <w:rFonts w:asciiTheme="minorHAnsi" w:hAnsiTheme="minorHAnsi" w:cstheme="minorHAnsi"/>
                <w:sz w:val="18"/>
                <w:szCs w:val="14"/>
              </w:rPr>
              <w:t>Government agencies (AA credit rating)</w:t>
            </w:r>
            <w:r w:rsidR="00B02873" w:rsidRPr="00B603AC">
              <w:rPr>
                <w:rFonts w:asciiTheme="minorHAnsi" w:hAnsiTheme="minorHAnsi" w:cstheme="minorHAnsi"/>
                <w:sz w:val="18"/>
                <w:szCs w:val="14"/>
              </w:rPr>
              <w:br/>
              <w:t>$’000</w:t>
            </w:r>
          </w:p>
        </w:tc>
        <w:tc>
          <w:tcPr>
            <w:tcW w:w="1275" w:type="dxa"/>
          </w:tcPr>
          <w:p w14:paraId="2AADD5A5" w14:textId="09DC0CE4" w:rsidR="00B02873" w:rsidRPr="00B603AC" w:rsidRDefault="00B603AC" w:rsidP="00B603AC">
            <w:pPr>
              <w:pStyle w:val="TableheadingleftFinancialsTables"/>
              <w:jc w:val="right"/>
              <w:rPr>
                <w:rFonts w:asciiTheme="minorHAnsi" w:hAnsiTheme="minorHAnsi" w:cstheme="minorHAnsi"/>
                <w:sz w:val="18"/>
                <w:szCs w:val="14"/>
              </w:rPr>
            </w:pPr>
            <w:r w:rsidRPr="00B603AC">
              <w:rPr>
                <w:rFonts w:asciiTheme="minorHAnsi" w:hAnsiTheme="minorHAnsi" w:cstheme="minorHAnsi"/>
                <w:sz w:val="18"/>
                <w:szCs w:val="14"/>
              </w:rPr>
              <w:t xml:space="preserve">2021 </w:t>
            </w:r>
            <w:r w:rsidR="00B02873" w:rsidRPr="00B603AC">
              <w:rPr>
                <w:rFonts w:asciiTheme="minorHAnsi" w:hAnsiTheme="minorHAnsi" w:cstheme="minorHAnsi"/>
                <w:sz w:val="18"/>
                <w:szCs w:val="14"/>
              </w:rPr>
              <w:t xml:space="preserve">Government agencies (BBB </w:t>
            </w:r>
            <w:r w:rsidR="00B02873" w:rsidRPr="00B603AC">
              <w:rPr>
                <w:rFonts w:asciiTheme="minorHAnsi" w:hAnsiTheme="minorHAnsi" w:cstheme="minorHAnsi"/>
                <w:spacing w:val="-10"/>
                <w:sz w:val="18"/>
                <w:szCs w:val="14"/>
              </w:rPr>
              <w:t>credit</w:t>
            </w:r>
            <w:r w:rsidR="00B02873" w:rsidRPr="00B603AC">
              <w:rPr>
                <w:rFonts w:asciiTheme="minorHAnsi" w:hAnsiTheme="minorHAnsi" w:cstheme="minorHAnsi"/>
                <w:sz w:val="18"/>
                <w:szCs w:val="14"/>
              </w:rPr>
              <w:t xml:space="preserve"> rating)</w:t>
            </w:r>
            <w:r w:rsidR="00B02873" w:rsidRPr="00B603AC">
              <w:rPr>
                <w:rFonts w:asciiTheme="minorHAnsi" w:hAnsiTheme="minorHAnsi" w:cstheme="minorHAnsi"/>
                <w:sz w:val="18"/>
                <w:szCs w:val="14"/>
              </w:rPr>
              <w:br/>
              <w:t>$’000</w:t>
            </w:r>
          </w:p>
        </w:tc>
        <w:tc>
          <w:tcPr>
            <w:tcW w:w="1077" w:type="dxa"/>
          </w:tcPr>
          <w:p w14:paraId="69E9F767" w14:textId="32E66452" w:rsidR="00B02873" w:rsidRPr="00B603AC" w:rsidRDefault="00B603AC" w:rsidP="00B603AC">
            <w:pPr>
              <w:pStyle w:val="TableheadingleftFinancialsTables"/>
              <w:jc w:val="right"/>
              <w:rPr>
                <w:rFonts w:asciiTheme="minorHAnsi" w:hAnsiTheme="minorHAnsi" w:cstheme="minorHAnsi"/>
                <w:sz w:val="18"/>
                <w:szCs w:val="14"/>
              </w:rPr>
            </w:pPr>
            <w:r w:rsidRPr="00B603AC">
              <w:rPr>
                <w:rFonts w:asciiTheme="minorHAnsi" w:hAnsiTheme="minorHAnsi" w:cstheme="minorHAnsi"/>
                <w:sz w:val="18"/>
                <w:szCs w:val="14"/>
              </w:rPr>
              <w:t xml:space="preserve">2021 </w:t>
            </w:r>
            <w:r>
              <w:rPr>
                <w:rFonts w:asciiTheme="minorHAnsi" w:hAnsiTheme="minorHAnsi" w:cstheme="minorHAnsi"/>
                <w:sz w:val="18"/>
                <w:szCs w:val="14"/>
              </w:rPr>
              <w:br/>
            </w:r>
            <w:r w:rsidR="00B02873" w:rsidRPr="00B603AC">
              <w:rPr>
                <w:rFonts w:asciiTheme="minorHAnsi" w:hAnsiTheme="minorHAnsi" w:cstheme="minorHAnsi"/>
                <w:sz w:val="18"/>
                <w:szCs w:val="14"/>
              </w:rPr>
              <w:t>Other (min BBB credit rating)</w:t>
            </w:r>
            <w:r w:rsidR="00B02873" w:rsidRPr="00B603AC">
              <w:rPr>
                <w:rFonts w:asciiTheme="minorHAnsi" w:hAnsiTheme="minorHAnsi" w:cstheme="minorHAnsi"/>
                <w:sz w:val="18"/>
                <w:szCs w:val="14"/>
              </w:rPr>
              <w:br/>
              <w:t>$’000</w:t>
            </w:r>
          </w:p>
        </w:tc>
        <w:tc>
          <w:tcPr>
            <w:tcW w:w="1078" w:type="dxa"/>
          </w:tcPr>
          <w:p w14:paraId="4FC509CD" w14:textId="4BA35995" w:rsidR="00B02873" w:rsidRPr="00B603AC" w:rsidRDefault="00B603AC" w:rsidP="00B603AC">
            <w:pPr>
              <w:pStyle w:val="TableheadingleftFinancialsTables"/>
              <w:jc w:val="right"/>
              <w:rPr>
                <w:rFonts w:asciiTheme="minorHAnsi" w:hAnsiTheme="minorHAnsi" w:cstheme="minorHAnsi"/>
                <w:sz w:val="18"/>
                <w:szCs w:val="14"/>
              </w:rPr>
            </w:pPr>
            <w:r w:rsidRPr="00B603AC">
              <w:rPr>
                <w:rFonts w:asciiTheme="minorHAnsi" w:hAnsiTheme="minorHAnsi" w:cstheme="minorHAnsi"/>
                <w:sz w:val="18"/>
                <w:szCs w:val="14"/>
              </w:rPr>
              <w:t xml:space="preserve">2021 </w:t>
            </w:r>
            <w:r>
              <w:rPr>
                <w:rFonts w:asciiTheme="minorHAnsi" w:hAnsiTheme="minorHAnsi" w:cstheme="minorHAnsi"/>
                <w:sz w:val="18"/>
                <w:szCs w:val="14"/>
              </w:rPr>
              <w:br/>
            </w:r>
            <w:r w:rsidR="00B02873" w:rsidRPr="00B603AC">
              <w:rPr>
                <w:rFonts w:asciiTheme="minorHAnsi" w:hAnsiTheme="minorHAnsi" w:cstheme="minorHAnsi"/>
                <w:sz w:val="18"/>
                <w:szCs w:val="14"/>
              </w:rPr>
              <w:t>Other unrated</w:t>
            </w:r>
            <w:r w:rsidR="00B02873" w:rsidRPr="00B603AC">
              <w:rPr>
                <w:rFonts w:asciiTheme="minorHAnsi" w:hAnsiTheme="minorHAnsi" w:cstheme="minorHAnsi"/>
                <w:sz w:val="18"/>
                <w:szCs w:val="14"/>
              </w:rPr>
              <w:br/>
              <w:t>$’000</w:t>
            </w:r>
          </w:p>
        </w:tc>
        <w:tc>
          <w:tcPr>
            <w:tcW w:w="1077" w:type="dxa"/>
          </w:tcPr>
          <w:p w14:paraId="5515E014" w14:textId="54B08105" w:rsidR="00B02873" w:rsidRPr="00B603AC" w:rsidRDefault="00B603AC" w:rsidP="00B603AC">
            <w:pPr>
              <w:pStyle w:val="TableheadingleftFinancialsTables"/>
              <w:jc w:val="right"/>
              <w:rPr>
                <w:rFonts w:asciiTheme="minorHAnsi" w:hAnsiTheme="minorHAnsi" w:cstheme="minorHAnsi"/>
                <w:sz w:val="18"/>
                <w:szCs w:val="14"/>
              </w:rPr>
            </w:pPr>
            <w:r w:rsidRPr="00B603AC">
              <w:rPr>
                <w:rFonts w:asciiTheme="minorHAnsi" w:hAnsiTheme="minorHAnsi" w:cstheme="minorHAnsi"/>
                <w:sz w:val="18"/>
                <w:szCs w:val="14"/>
              </w:rPr>
              <w:t xml:space="preserve">2021 </w:t>
            </w:r>
            <w:r>
              <w:rPr>
                <w:rFonts w:asciiTheme="minorHAnsi" w:hAnsiTheme="minorHAnsi" w:cstheme="minorHAnsi"/>
                <w:sz w:val="18"/>
                <w:szCs w:val="14"/>
              </w:rPr>
              <w:br/>
            </w:r>
            <w:r w:rsidR="00B02873" w:rsidRPr="00B603AC">
              <w:rPr>
                <w:rFonts w:asciiTheme="minorHAnsi" w:hAnsiTheme="minorHAnsi" w:cstheme="minorHAnsi"/>
                <w:sz w:val="18"/>
                <w:szCs w:val="14"/>
              </w:rPr>
              <w:t>Total</w:t>
            </w:r>
            <w:r w:rsidR="00B02873" w:rsidRPr="00B603AC">
              <w:rPr>
                <w:rFonts w:asciiTheme="minorHAnsi" w:hAnsiTheme="minorHAnsi" w:cstheme="minorHAnsi"/>
                <w:sz w:val="18"/>
                <w:szCs w:val="14"/>
              </w:rPr>
              <w:br/>
              <w:t>$’000</w:t>
            </w:r>
          </w:p>
        </w:tc>
      </w:tr>
      <w:tr w:rsidR="00B02873" w:rsidRPr="00B603AC" w14:paraId="13172475" w14:textId="77777777" w:rsidTr="00B603AC">
        <w:trPr>
          <w:trHeight w:val="60"/>
        </w:trPr>
        <w:tc>
          <w:tcPr>
            <w:tcW w:w="3175" w:type="dxa"/>
          </w:tcPr>
          <w:p w14:paraId="5ECF0FE4" w14:textId="77777777" w:rsidR="00B02873" w:rsidRPr="00B603AC" w:rsidRDefault="00B02873" w:rsidP="00B603AC">
            <w:pPr>
              <w:pStyle w:val="TablebodyleftFinancialsTables"/>
              <w:rPr>
                <w:rFonts w:asciiTheme="minorHAnsi" w:hAnsiTheme="minorHAnsi" w:cstheme="minorHAnsi"/>
                <w:b/>
                <w:bCs/>
                <w:sz w:val="18"/>
                <w:szCs w:val="14"/>
              </w:rPr>
            </w:pPr>
            <w:r w:rsidRPr="00B603AC">
              <w:rPr>
                <w:rFonts w:asciiTheme="minorHAnsi" w:hAnsiTheme="minorHAnsi" w:cstheme="minorHAnsi"/>
                <w:b/>
                <w:bCs/>
                <w:sz w:val="18"/>
                <w:szCs w:val="14"/>
              </w:rPr>
              <w:t>Contractual financial assets</w:t>
            </w:r>
          </w:p>
        </w:tc>
        <w:tc>
          <w:tcPr>
            <w:tcW w:w="1077" w:type="dxa"/>
          </w:tcPr>
          <w:p w14:paraId="48A197E3" w14:textId="77777777" w:rsidR="00B02873" w:rsidRPr="00B603AC" w:rsidRDefault="00B02873" w:rsidP="00B603AC">
            <w:pPr>
              <w:pStyle w:val="TablebodyleftFinancialsTables"/>
              <w:jc w:val="right"/>
              <w:rPr>
                <w:rFonts w:asciiTheme="minorHAnsi" w:hAnsiTheme="minorHAnsi" w:cstheme="minorHAnsi"/>
                <w:sz w:val="18"/>
                <w:szCs w:val="14"/>
              </w:rPr>
            </w:pPr>
          </w:p>
        </w:tc>
        <w:tc>
          <w:tcPr>
            <w:tcW w:w="1272" w:type="dxa"/>
          </w:tcPr>
          <w:p w14:paraId="7A4CB52E" w14:textId="77777777" w:rsidR="00B02873" w:rsidRPr="00B603AC" w:rsidRDefault="00B02873" w:rsidP="00B603AC">
            <w:pPr>
              <w:pStyle w:val="TablebodyleftFinancialsTables"/>
              <w:jc w:val="right"/>
              <w:rPr>
                <w:rFonts w:asciiTheme="minorHAnsi" w:hAnsiTheme="minorHAnsi" w:cstheme="minorHAnsi"/>
                <w:sz w:val="18"/>
                <w:szCs w:val="14"/>
              </w:rPr>
            </w:pPr>
          </w:p>
        </w:tc>
        <w:tc>
          <w:tcPr>
            <w:tcW w:w="1275" w:type="dxa"/>
          </w:tcPr>
          <w:p w14:paraId="6BCF9E1E" w14:textId="77777777" w:rsidR="00B02873" w:rsidRPr="00B603AC" w:rsidRDefault="00B02873" w:rsidP="00B603AC">
            <w:pPr>
              <w:pStyle w:val="TablebodyleftFinancialsTables"/>
              <w:jc w:val="right"/>
              <w:rPr>
                <w:rFonts w:asciiTheme="minorHAnsi" w:hAnsiTheme="minorHAnsi" w:cstheme="minorHAnsi"/>
                <w:sz w:val="18"/>
                <w:szCs w:val="14"/>
              </w:rPr>
            </w:pPr>
          </w:p>
        </w:tc>
        <w:tc>
          <w:tcPr>
            <w:tcW w:w="1077" w:type="dxa"/>
          </w:tcPr>
          <w:p w14:paraId="16F1E135" w14:textId="77777777" w:rsidR="00B02873" w:rsidRPr="00B603AC" w:rsidRDefault="00B02873" w:rsidP="00B603AC">
            <w:pPr>
              <w:pStyle w:val="TablebodyleftFinancialsTables"/>
              <w:jc w:val="right"/>
              <w:rPr>
                <w:rFonts w:asciiTheme="minorHAnsi" w:hAnsiTheme="minorHAnsi" w:cstheme="minorHAnsi"/>
                <w:sz w:val="18"/>
                <w:szCs w:val="14"/>
              </w:rPr>
            </w:pPr>
          </w:p>
        </w:tc>
        <w:tc>
          <w:tcPr>
            <w:tcW w:w="1078" w:type="dxa"/>
          </w:tcPr>
          <w:p w14:paraId="58596EEA" w14:textId="77777777" w:rsidR="00B02873" w:rsidRPr="00B603AC" w:rsidRDefault="00B02873" w:rsidP="00B603AC">
            <w:pPr>
              <w:pStyle w:val="TablebodyleftFinancialsTables"/>
              <w:jc w:val="right"/>
              <w:rPr>
                <w:rFonts w:asciiTheme="minorHAnsi" w:hAnsiTheme="minorHAnsi" w:cstheme="minorHAnsi"/>
                <w:sz w:val="18"/>
                <w:szCs w:val="14"/>
              </w:rPr>
            </w:pPr>
          </w:p>
        </w:tc>
        <w:tc>
          <w:tcPr>
            <w:tcW w:w="1077" w:type="dxa"/>
          </w:tcPr>
          <w:p w14:paraId="7A00FDD7" w14:textId="77777777" w:rsidR="00B02873" w:rsidRPr="00B603AC" w:rsidRDefault="00B02873" w:rsidP="00B603AC">
            <w:pPr>
              <w:pStyle w:val="TablebodyleftFinancialsTables"/>
              <w:jc w:val="right"/>
              <w:rPr>
                <w:rFonts w:asciiTheme="minorHAnsi" w:hAnsiTheme="minorHAnsi" w:cstheme="minorHAnsi"/>
                <w:sz w:val="18"/>
                <w:szCs w:val="14"/>
              </w:rPr>
            </w:pPr>
          </w:p>
        </w:tc>
      </w:tr>
      <w:tr w:rsidR="00B02873" w:rsidRPr="00B603AC" w14:paraId="6375BF8A" w14:textId="77777777" w:rsidTr="00B603AC">
        <w:trPr>
          <w:trHeight w:val="60"/>
        </w:trPr>
        <w:tc>
          <w:tcPr>
            <w:tcW w:w="3175" w:type="dxa"/>
          </w:tcPr>
          <w:p w14:paraId="79DE6003" w14:textId="77777777" w:rsidR="00B02873" w:rsidRPr="00B603AC" w:rsidRDefault="00B02873" w:rsidP="00B603AC">
            <w:pPr>
              <w:pStyle w:val="TablebodyleftFinancialsTables"/>
              <w:rPr>
                <w:rFonts w:asciiTheme="minorHAnsi" w:hAnsiTheme="minorHAnsi" w:cstheme="minorHAnsi"/>
                <w:b/>
                <w:bCs/>
                <w:sz w:val="18"/>
                <w:szCs w:val="14"/>
              </w:rPr>
            </w:pPr>
            <w:r w:rsidRPr="00B603AC">
              <w:rPr>
                <w:rFonts w:asciiTheme="minorHAnsi" w:hAnsiTheme="minorHAnsi" w:cstheme="minorHAnsi"/>
                <w:b/>
                <w:bCs/>
                <w:sz w:val="18"/>
                <w:szCs w:val="14"/>
              </w:rPr>
              <w:t>Financial assets with loss allowance measured at 12-month expected credit loss:</w:t>
            </w:r>
          </w:p>
        </w:tc>
        <w:tc>
          <w:tcPr>
            <w:tcW w:w="1077" w:type="dxa"/>
          </w:tcPr>
          <w:p w14:paraId="6316462E" w14:textId="77777777" w:rsidR="00B02873" w:rsidRPr="00B603AC" w:rsidRDefault="00B02873" w:rsidP="00B603AC">
            <w:pPr>
              <w:pStyle w:val="TablebodyleftFinancialsTables"/>
              <w:jc w:val="right"/>
              <w:rPr>
                <w:rFonts w:asciiTheme="minorHAnsi" w:hAnsiTheme="minorHAnsi" w:cstheme="minorHAnsi"/>
                <w:sz w:val="18"/>
                <w:szCs w:val="14"/>
              </w:rPr>
            </w:pPr>
          </w:p>
        </w:tc>
        <w:tc>
          <w:tcPr>
            <w:tcW w:w="1272" w:type="dxa"/>
          </w:tcPr>
          <w:p w14:paraId="688F2C8C" w14:textId="77777777" w:rsidR="00B02873" w:rsidRPr="00B603AC" w:rsidRDefault="00B02873" w:rsidP="00B603AC">
            <w:pPr>
              <w:pStyle w:val="TablebodyleftFinancialsTables"/>
              <w:jc w:val="right"/>
              <w:rPr>
                <w:rFonts w:asciiTheme="minorHAnsi" w:hAnsiTheme="minorHAnsi" w:cstheme="minorHAnsi"/>
                <w:sz w:val="18"/>
                <w:szCs w:val="14"/>
              </w:rPr>
            </w:pPr>
          </w:p>
        </w:tc>
        <w:tc>
          <w:tcPr>
            <w:tcW w:w="1275" w:type="dxa"/>
          </w:tcPr>
          <w:p w14:paraId="57ACEEE5" w14:textId="77777777" w:rsidR="00B02873" w:rsidRPr="00B603AC" w:rsidRDefault="00B02873" w:rsidP="00B603AC">
            <w:pPr>
              <w:pStyle w:val="TablebodyleftFinancialsTables"/>
              <w:jc w:val="right"/>
              <w:rPr>
                <w:rFonts w:asciiTheme="minorHAnsi" w:hAnsiTheme="minorHAnsi" w:cstheme="minorHAnsi"/>
                <w:sz w:val="18"/>
                <w:szCs w:val="14"/>
              </w:rPr>
            </w:pPr>
          </w:p>
        </w:tc>
        <w:tc>
          <w:tcPr>
            <w:tcW w:w="1077" w:type="dxa"/>
          </w:tcPr>
          <w:p w14:paraId="2055A095" w14:textId="77777777" w:rsidR="00B02873" w:rsidRPr="00B603AC" w:rsidRDefault="00B02873" w:rsidP="00B603AC">
            <w:pPr>
              <w:pStyle w:val="TablebodyleftFinancialsTables"/>
              <w:jc w:val="right"/>
              <w:rPr>
                <w:rFonts w:asciiTheme="minorHAnsi" w:hAnsiTheme="minorHAnsi" w:cstheme="minorHAnsi"/>
                <w:sz w:val="18"/>
                <w:szCs w:val="14"/>
              </w:rPr>
            </w:pPr>
          </w:p>
        </w:tc>
        <w:tc>
          <w:tcPr>
            <w:tcW w:w="1078" w:type="dxa"/>
          </w:tcPr>
          <w:p w14:paraId="0FFE425B" w14:textId="77777777" w:rsidR="00B02873" w:rsidRPr="00B603AC" w:rsidRDefault="00B02873" w:rsidP="00B603AC">
            <w:pPr>
              <w:pStyle w:val="TablebodyleftFinancialsTables"/>
              <w:jc w:val="right"/>
              <w:rPr>
                <w:rFonts w:asciiTheme="minorHAnsi" w:hAnsiTheme="minorHAnsi" w:cstheme="minorHAnsi"/>
                <w:sz w:val="18"/>
                <w:szCs w:val="14"/>
              </w:rPr>
            </w:pPr>
          </w:p>
        </w:tc>
        <w:tc>
          <w:tcPr>
            <w:tcW w:w="1077" w:type="dxa"/>
          </w:tcPr>
          <w:p w14:paraId="284468D0" w14:textId="77777777" w:rsidR="00B02873" w:rsidRPr="00B603AC" w:rsidRDefault="00B02873" w:rsidP="00B603AC">
            <w:pPr>
              <w:pStyle w:val="TablebodyleftFinancialsTables"/>
              <w:jc w:val="right"/>
              <w:rPr>
                <w:rFonts w:asciiTheme="minorHAnsi" w:hAnsiTheme="minorHAnsi" w:cstheme="minorHAnsi"/>
                <w:sz w:val="18"/>
                <w:szCs w:val="14"/>
              </w:rPr>
            </w:pPr>
          </w:p>
        </w:tc>
      </w:tr>
      <w:tr w:rsidR="00B02873" w:rsidRPr="00B603AC" w14:paraId="0A4A74C2" w14:textId="77777777" w:rsidTr="00B603AC">
        <w:trPr>
          <w:trHeight w:val="60"/>
        </w:trPr>
        <w:tc>
          <w:tcPr>
            <w:tcW w:w="3175" w:type="dxa"/>
          </w:tcPr>
          <w:p w14:paraId="3741F204" w14:textId="7C31BE72" w:rsidR="00B02873" w:rsidRPr="00B603AC" w:rsidRDefault="00B02873" w:rsidP="00B603AC">
            <w:pPr>
              <w:pStyle w:val="TablebodyleftFinancialsTables"/>
              <w:rPr>
                <w:rFonts w:asciiTheme="minorHAnsi" w:hAnsiTheme="minorHAnsi" w:cstheme="minorHAnsi"/>
                <w:sz w:val="18"/>
                <w:szCs w:val="14"/>
              </w:rPr>
            </w:pPr>
            <w:r w:rsidRPr="00B603AC">
              <w:rPr>
                <w:rFonts w:asciiTheme="minorHAnsi" w:hAnsiTheme="minorHAnsi" w:cstheme="minorHAnsi"/>
                <w:sz w:val="18"/>
                <w:szCs w:val="14"/>
              </w:rPr>
              <w:t>Cash and deposits (not assessed for impairment due to materiality)</w:t>
            </w:r>
          </w:p>
        </w:tc>
        <w:tc>
          <w:tcPr>
            <w:tcW w:w="1077" w:type="dxa"/>
          </w:tcPr>
          <w:p w14:paraId="77EE57F8" w14:textId="77777777" w:rsidR="00B02873" w:rsidRPr="00B603AC" w:rsidRDefault="00B02873" w:rsidP="00B603AC">
            <w:pPr>
              <w:pStyle w:val="TablebodyleftFinancialsTables"/>
              <w:jc w:val="right"/>
              <w:rPr>
                <w:rFonts w:asciiTheme="minorHAnsi" w:hAnsiTheme="minorHAnsi" w:cstheme="minorHAnsi"/>
                <w:sz w:val="18"/>
                <w:szCs w:val="14"/>
              </w:rPr>
            </w:pPr>
            <w:r w:rsidRPr="00B603AC">
              <w:rPr>
                <w:rFonts w:asciiTheme="minorHAnsi" w:hAnsiTheme="minorHAnsi" w:cstheme="minorHAnsi"/>
                <w:sz w:val="18"/>
                <w:szCs w:val="14"/>
              </w:rPr>
              <w:t>1,242,681</w:t>
            </w:r>
          </w:p>
        </w:tc>
        <w:tc>
          <w:tcPr>
            <w:tcW w:w="1272" w:type="dxa"/>
          </w:tcPr>
          <w:p w14:paraId="0DB1C11A" w14:textId="77777777" w:rsidR="00B02873" w:rsidRPr="00B603AC" w:rsidRDefault="00B02873" w:rsidP="00B603AC">
            <w:pPr>
              <w:pStyle w:val="TablebodyleftFinancialsTables"/>
              <w:jc w:val="right"/>
              <w:rPr>
                <w:rFonts w:asciiTheme="minorHAnsi" w:hAnsiTheme="minorHAnsi" w:cstheme="minorHAnsi"/>
                <w:sz w:val="18"/>
                <w:szCs w:val="14"/>
              </w:rPr>
            </w:pPr>
            <w:r w:rsidRPr="00B603AC">
              <w:rPr>
                <w:rFonts w:asciiTheme="minorHAnsi" w:hAnsiTheme="minorHAnsi" w:cstheme="minorHAnsi"/>
                <w:sz w:val="18"/>
                <w:szCs w:val="14"/>
              </w:rPr>
              <w:t>–</w:t>
            </w:r>
          </w:p>
        </w:tc>
        <w:tc>
          <w:tcPr>
            <w:tcW w:w="1275" w:type="dxa"/>
          </w:tcPr>
          <w:p w14:paraId="7749CD98" w14:textId="77777777" w:rsidR="00B02873" w:rsidRPr="00B603AC" w:rsidRDefault="00B02873" w:rsidP="00B603AC">
            <w:pPr>
              <w:pStyle w:val="TablebodyleftFinancialsTables"/>
              <w:jc w:val="right"/>
              <w:rPr>
                <w:rFonts w:asciiTheme="minorHAnsi" w:hAnsiTheme="minorHAnsi" w:cstheme="minorHAnsi"/>
                <w:sz w:val="18"/>
                <w:szCs w:val="14"/>
              </w:rPr>
            </w:pPr>
            <w:r w:rsidRPr="00B603AC">
              <w:rPr>
                <w:rFonts w:asciiTheme="minorHAnsi" w:hAnsiTheme="minorHAnsi" w:cstheme="minorHAnsi"/>
                <w:sz w:val="18"/>
                <w:szCs w:val="14"/>
              </w:rPr>
              <w:t>–</w:t>
            </w:r>
          </w:p>
        </w:tc>
        <w:tc>
          <w:tcPr>
            <w:tcW w:w="1077" w:type="dxa"/>
          </w:tcPr>
          <w:p w14:paraId="6561478A" w14:textId="77777777" w:rsidR="00B02873" w:rsidRPr="00B603AC" w:rsidRDefault="00B02873" w:rsidP="00B603AC">
            <w:pPr>
              <w:pStyle w:val="TablebodyleftFinancialsTables"/>
              <w:jc w:val="right"/>
              <w:rPr>
                <w:rFonts w:asciiTheme="minorHAnsi" w:hAnsiTheme="minorHAnsi" w:cstheme="minorHAnsi"/>
                <w:sz w:val="18"/>
                <w:szCs w:val="14"/>
              </w:rPr>
            </w:pPr>
            <w:r w:rsidRPr="00B603AC">
              <w:rPr>
                <w:rFonts w:asciiTheme="minorHAnsi" w:hAnsiTheme="minorHAnsi" w:cstheme="minorHAnsi"/>
                <w:sz w:val="18"/>
                <w:szCs w:val="14"/>
              </w:rPr>
              <w:t>–</w:t>
            </w:r>
          </w:p>
        </w:tc>
        <w:tc>
          <w:tcPr>
            <w:tcW w:w="1078" w:type="dxa"/>
          </w:tcPr>
          <w:p w14:paraId="600254C5" w14:textId="77777777" w:rsidR="00B02873" w:rsidRPr="00B603AC" w:rsidRDefault="00B02873" w:rsidP="00B603AC">
            <w:pPr>
              <w:pStyle w:val="TablebodyleftFinancialsTables"/>
              <w:jc w:val="right"/>
              <w:rPr>
                <w:rFonts w:asciiTheme="minorHAnsi" w:hAnsiTheme="minorHAnsi" w:cstheme="minorHAnsi"/>
                <w:sz w:val="18"/>
                <w:szCs w:val="14"/>
              </w:rPr>
            </w:pPr>
            <w:r w:rsidRPr="00B603AC">
              <w:rPr>
                <w:rFonts w:asciiTheme="minorHAnsi" w:hAnsiTheme="minorHAnsi" w:cstheme="minorHAnsi"/>
                <w:sz w:val="18"/>
                <w:szCs w:val="14"/>
              </w:rPr>
              <w:t>–</w:t>
            </w:r>
          </w:p>
        </w:tc>
        <w:tc>
          <w:tcPr>
            <w:tcW w:w="1077" w:type="dxa"/>
          </w:tcPr>
          <w:p w14:paraId="547AE906" w14:textId="77777777" w:rsidR="00B02873" w:rsidRPr="00B603AC" w:rsidRDefault="00B02873" w:rsidP="00B603AC">
            <w:pPr>
              <w:pStyle w:val="TablebodyleftFinancialsTables"/>
              <w:jc w:val="right"/>
              <w:rPr>
                <w:rFonts w:asciiTheme="minorHAnsi" w:hAnsiTheme="minorHAnsi" w:cstheme="minorHAnsi"/>
                <w:sz w:val="18"/>
                <w:szCs w:val="14"/>
              </w:rPr>
            </w:pPr>
            <w:r w:rsidRPr="00B603AC">
              <w:rPr>
                <w:rFonts w:asciiTheme="minorHAnsi" w:hAnsiTheme="minorHAnsi" w:cstheme="minorHAnsi"/>
                <w:sz w:val="18"/>
                <w:szCs w:val="14"/>
              </w:rPr>
              <w:t xml:space="preserve"> 1,242,681</w:t>
            </w:r>
          </w:p>
        </w:tc>
      </w:tr>
      <w:tr w:rsidR="00B02873" w:rsidRPr="00B603AC" w14:paraId="63B9D253" w14:textId="77777777" w:rsidTr="00B603AC">
        <w:trPr>
          <w:trHeight w:val="60"/>
        </w:trPr>
        <w:tc>
          <w:tcPr>
            <w:tcW w:w="3175" w:type="dxa"/>
          </w:tcPr>
          <w:p w14:paraId="656DE754" w14:textId="77777777" w:rsidR="00B02873" w:rsidRPr="00B603AC" w:rsidRDefault="00B02873" w:rsidP="00B603AC">
            <w:pPr>
              <w:pStyle w:val="TablebodyleftFinancialsTables"/>
              <w:rPr>
                <w:rFonts w:asciiTheme="minorHAnsi" w:hAnsiTheme="minorHAnsi" w:cstheme="minorHAnsi"/>
                <w:sz w:val="18"/>
                <w:szCs w:val="14"/>
              </w:rPr>
            </w:pPr>
            <w:r w:rsidRPr="00B603AC">
              <w:rPr>
                <w:rFonts w:asciiTheme="minorHAnsi" w:hAnsiTheme="minorHAnsi" w:cstheme="minorHAnsi"/>
                <w:sz w:val="18"/>
                <w:szCs w:val="14"/>
              </w:rPr>
              <w:t>Concessional loans</w:t>
            </w:r>
          </w:p>
        </w:tc>
        <w:tc>
          <w:tcPr>
            <w:tcW w:w="1077" w:type="dxa"/>
          </w:tcPr>
          <w:p w14:paraId="44506BD7" w14:textId="77777777" w:rsidR="00B02873" w:rsidRPr="00B603AC" w:rsidRDefault="00B02873" w:rsidP="00B603AC">
            <w:pPr>
              <w:pStyle w:val="TablebodyleftFinancialsTables"/>
              <w:jc w:val="right"/>
              <w:rPr>
                <w:rFonts w:asciiTheme="minorHAnsi" w:hAnsiTheme="minorHAnsi" w:cstheme="minorHAnsi"/>
                <w:sz w:val="18"/>
                <w:szCs w:val="14"/>
              </w:rPr>
            </w:pPr>
            <w:r w:rsidRPr="00B603AC">
              <w:rPr>
                <w:rFonts w:asciiTheme="minorHAnsi" w:hAnsiTheme="minorHAnsi" w:cstheme="minorHAnsi"/>
                <w:sz w:val="18"/>
                <w:szCs w:val="14"/>
              </w:rPr>
              <w:t>–</w:t>
            </w:r>
          </w:p>
        </w:tc>
        <w:tc>
          <w:tcPr>
            <w:tcW w:w="1272" w:type="dxa"/>
          </w:tcPr>
          <w:p w14:paraId="5C45E747" w14:textId="77777777" w:rsidR="00B02873" w:rsidRPr="00B603AC" w:rsidRDefault="00B02873" w:rsidP="00B603AC">
            <w:pPr>
              <w:pStyle w:val="TablebodyleftFinancialsTables"/>
              <w:jc w:val="right"/>
              <w:rPr>
                <w:rFonts w:asciiTheme="minorHAnsi" w:hAnsiTheme="minorHAnsi" w:cstheme="minorHAnsi"/>
                <w:sz w:val="18"/>
                <w:szCs w:val="14"/>
              </w:rPr>
            </w:pPr>
            <w:r w:rsidRPr="00B603AC">
              <w:rPr>
                <w:rFonts w:asciiTheme="minorHAnsi" w:hAnsiTheme="minorHAnsi" w:cstheme="minorHAnsi"/>
                <w:sz w:val="18"/>
                <w:szCs w:val="14"/>
              </w:rPr>
              <w:t>–</w:t>
            </w:r>
          </w:p>
        </w:tc>
        <w:tc>
          <w:tcPr>
            <w:tcW w:w="1275" w:type="dxa"/>
          </w:tcPr>
          <w:p w14:paraId="00C67646" w14:textId="77777777" w:rsidR="00B02873" w:rsidRPr="00B603AC" w:rsidRDefault="00B02873" w:rsidP="00B603AC">
            <w:pPr>
              <w:pStyle w:val="TablebodyleftFinancialsTables"/>
              <w:jc w:val="right"/>
              <w:rPr>
                <w:rFonts w:asciiTheme="minorHAnsi" w:hAnsiTheme="minorHAnsi" w:cstheme="minorHAnsi"/>
                <w:sz w:val="18"/>
                <w:szCs w:val="14"/>
              </w:rPr>
            </w:pPr>
            <w:r w:rsidRPr="00B603AC">
              <w:rPr>
                <w:rFonts w:asciiTheme="minorHAnsi" w:hAnsiTheme="minorHAnsi" w:cstheme="minorHAnsi"/>
                <w:sz w:val="18"/>
                <w:szCs w:val="14"/>
              </w:rPr>
              <w:t>–</w:t>
            </w:r>
          </w:p>
        </w:tc>
        <w:tc>
          <w:tcPr>
            <w:tcW w:w="1077" w:type="dxa"/>
          </w:tcPr>
          <w:p w14:paraId="58B408FC" w14:textId="77777777" w:rsidR="00B02873" w:rsidRPr="00B603AC" w:rsidRDefault="00B02873" w:rsidP="00B603AC">
            <w:pPr>
              <w:pStyle w:val="TablebodyleftFinancialsTables"/>
              <w:jc w:val="right"/>
              <w:rPr>
                <w:rFonts w:asciiTheme="minorHAnsi" w:hAnsiTheme="minorHAnsi" w:cstheme="minorHAnsi"/>
                <w:sz w:val="18"/>
                <w:szCs w:val="14"/>
              </w:rPr>
            </w:pPr>
            <w:r w:rsidRPr="00B603AC">
              <w:rPr>
                <w:rFonts w:asciiTheme="minorHAnsi" w:hAnsiTheme="minorHAnsi" w:cstheme="minorHAnsi"/>
                <w:sz w:val="18"/>
                <w:szCs w:val="14"/>
              </w:rPr>
              <w:t>–</w:t>
            </w:r>
          </w:p>
        </w:tc>
        <w:tc>
          <w:tcPr>
            <w:tcW w:w="1078" w:type="dxa"/>
          </w:tcPr>
          <w:p w14:paraId="0DC9962D" w14:textId="77777777" w:rsidR="00B02873" w:rsidRPr="00B603AC" w:rsidRDefault="00B02873" w:rsidP="00B603AC">
            <w:pPr>
              <w:pStyle w:val="TablebodyleftFinancialsTables"/>
              <w:jc w:val="right"/>
              <w:rPr>
                <w:rFonts w:asciiTheme="minorHAnsi" w:hAnsiTheme="minorHAnsi" w:cstheme="minorHAnsi"/>
                <w:sz w:val="18"/>
                <w:szCs w:val="14"/>
              </w:rPr>
            </w:pPr>
            <w:r w:rsidRPr="00B603AC">
              <w:rPr>
                <w:rFonts w:asciiTheme="minorHAnsi" w:hAnsiTheme="minorHAnsi" w:cstheme="minorHAnsi"/>
                <w:sz w:val="18"/>
                <w:szCs w:val="14"/>
              </w:rPr>
              <w:t>100,044</w:t>
            </w:r>
          </w:p>
        </w:tc>
        <w:tc>
          <w:tcPr>
            <w:tcW w:w="1077" w:type="dxa"/>
          </w:tcPr>
          <w:p w14:paraId="0992E723" w14:textId="77777777" w:rsidR="00B02873" w:rsidRPr="00B603AC" w:rsidRDefault="00B02873" w:rsidP="00B603AC">
            <w:pPr>
              <w:pStyle w:val="TablebodyleftFinancialsTables"/>
              <w:jc w:val="right"/>
              <w:rPr>
                <w:rFonts w:asciiTheme="minorHAnsi" w:hAnsiTheme="minorHAnsi" w:cstheme="minorHAnsi"/>
                <w:sz w:val="18"/>
                <w:szCs w:val="14"/>
              </w:rPr>
            </w:pPr>
            <w:r w:rsidRPr="00B603AC">
              <w:rPr>
                <w:rFonts w:asciiTheme="minorHAnsi" w:hAnsiTheme="minorHAnsi" w:cstheme="minorHAnsi"/>
                <w:sz w:val="18"/>
                <w:szCs w:val="14"/>
              </w:rPr>
              <w:t>100,044</w:t>
            </w:r>
          </w:p>
        </w:tc>
      </w:tr>
      <w:tr w:rsidR="00B02873" w:rsidRPr="00B603AC" w14:paraId="00FB0F8F" w14:textId="77777777" w:rsidTr="00B603AC">
        <w:trPr>
          <w:trHeight w:val="60"/>
        </w:trPr>
        <w:tc>
          <w:tcPr>
            <w:tcW w:w="3175" w:type="dxa"/>
          </w:tcPr>
          <w:p w14:paraId="6AC6A539" w14:textId="77777777" w:rsidR="00B02873" w:rsidRPr="00B603AC" w:rsidRDefault="00B02873" w:rsidP="00B603AC">
            <w:pPr>
              <w:pStyle w:val="TablebodyleftFinancialsTables"/>
              <w:rPr>
                <w:rFonts w:asciiTheme="minorHAnsi" w:hAnsiTheme="minorHAnsi" w:cstheme="minorHAnsi"/>
                <w:b/>
                <w:bCs/>
                <w:sz w:val="18"/>
                <w:szCs w:val="14"/>
              </w:rPr>
            </w:pPr>
            <w:r w:rsidRPr="00B603AC">
              <w:rPr>
                <w:rFonts w:asciiTheme="minorHAnsi" w:hAnsiTheme="minorHAnsi" w:cstheme="minorHAnsi"/>
                <w:b/>
                <w:bCs/>
                <w:sz w:val="18"/>
                <w:szCs w:val="14"/>
              </w:rPr>
              <w:t>Financial assets with loss allowance measured at lifetime expected credit loss:</w:t>
            </w:r>
          </w:p>
        </w:tc>
        <w:tc>
          <w:tcPr>
            <w:tcW w:w="1077" w:type="dxa"/>
          </w:tcPr>
          <w:p w14:paraId="61BD6B33" w14:textId="77777777" w:rsidR="00B02873" w:rsidRPr="00B603AC" w:rsidRDefault="00B02873" w:rsidP="00B603AC">
            <w:pPr>
              <w:pStyle w:val="TablebodyleftFinancialsTables"/>
              <w:jc w:val="right"/>
              <w:rPr>
                <w:rFonts w:asciiTheme="minorHAnsi" w:hAnsiTheme="minorHAnsi" w:cstheme="minorHAnsi"/>
                <w:sz w:val="18"/>
                <w:szCs w:val="14"/>
              </w:rPr>
            </w:pPr>
          </w:p>
        </w:tc>
        <w:tc>
          <w:tcPr>
            <w:tcW w:w="1272" w:type="dxa"/>
          </w:tcPr>
          <w:p w14:paraId="3AC66828" w14:textId="77777777" w:rsidR="00B02873" w:rsidRPr="00B603AC" w:rsidRDefault="00B02873" w:rsidP="00B603AC">
            <w:pPr>
              <w:pStyle w:val="TablebodyleftFinancialsTables"/>
              <w:jc w:val="right"/>
              <w:rPr>
                <w:rFonts w:asciiTheme="minorHAnsi" w:hAnsiTheme="minorHAnsi" w:cstheme="minorHAnsi"/>
                <w:sz w:val="18"/>
                <w:szCs w:val="14"/>
              </w:rPr>
            </w:pPr>
          </w:p>
        </w:tc>
        <w:tc>
          <w:tcPr>
            <w:tcW w:w="1275" w:type="dxa"/>
          </w:tcPr>
          <w:p w14:paraId="68969E32" w14:textId="77777777" w:rsidR="00B02873" w:rsidRPr="00B603AC" w:rsidRDefault="00B02873" w:rsidP="00B603AC">
            <w:pPr>
              <w:pStyle w:val="TablebodyleftFinancialsTables"/>
              <w:jc w:val="right"/>
              <w:rPr>
                <w:rFonts w:asciiTheme="minorHAnsi" w:hAnsiTheme="minorHAnsi" w:cstheme="minorHAnsi"/>
                <w:sz w:val="18"/>
                <w:szCs w:val="14"/>
              </w:rPr>
            </w:pPr>
          </w:p>
        </w:tc>
        <w:tc>
          <w:tcPr>
            <w:tcW w:w="1077" w:type="dxa"/>
          </w:tcPr>
          <w:p w14:paraId="753FD1EE" w14:textId="77777777" w:rsidR="00B02873" w:rsidRPr="00B603AC" w:rsidRDefault="00B02873" w:rsidP="00B603AC">
            <w:pPr>
              <w:pStyle w:val="TablebodyleftFinancialsTables"/>
              <w:jc w:val="right"/>
              <w:rPr>
                <w:rFonts w:asciiTheme="minorHAnsi" w:hAnsiTheme="minorHAnsi" w:cstheme="minorHAnsi"/>
                <w:sz w:val="18"/>
                <w:szCs w:val="14"/>
              </w:rPr>
            </w:pPr>
          </w:p>
        </w:tc>
        <w:tc>
          <w:tcPr>
            <w:tcW w:w="1078" w:type="dxa"/>
          </w:tcPr>
          <w:p w14:paraId="2C659BA3" w14:textId="77777777" w:rsidR="00B02873" w:rsidRPr="00B603AC" w:rsidRDefault="00B02873" w:rsidP="00B603AC">
            <w:pPr>
              <w:pStyle w:val="TablebodyleftFinancialsTables"/>
              <w:jc w:val="right"/>
              <w:rPr>
                <w:rFonts w:asciiTheme="minorHAnsi" w:hAnsiTheme="minorHAnsi" w:cstheme="minorHAnsi"/>
                <w:sz w:val="18"/>
                <w:szCs w:val="14"/>
              </w:rPr>
            </w:pPr>
          </w:p>
        </w:tc>
        <w:tc>
          <w:tcPr>
            <w:tcW w:w="1077" w:type="dxa"/>
          </w:tcPr>
          <w:p w14:paraId="51107F93" w14:textId="77777777" w:rsidR="00B02873" w:rsidRPr="00B603AC" w:rsidRDefault="00B02873" w:rsidP="00B603AC">
            <w:pPr>
              <w:pStyle w:val="TablebodyleftFinancialsTables"/>
              <w:jc w:val="right"/>
              <w:rPr>
                <w:rFonts w:asciiTheme="minorHAnsi" w:hAnsiTheme="minorHAnsi" w:cstheme="minorHAnsi"/>
                <w:sz w:val="18"/>
                <w:szCs w:val="14"/>
              </w:rPr>
            </w:pPr>
          </w:p>
        </w:tc>
      </w:tr>
      <w:tr w:rsidR="00B02873" w:rsidRPr="00B603AC" w14:paraId="76F44792" w14:textId="77777777" w:rsidTr="00B603AC">
        <w:trPr>
          <w:trHeight w:val="60"/>
        </w:trPr>
        <w:tc>
          <w:tcPr>
            <w:tcW w:w="3175" w:type="dxa"/>
          </w:tcPr>
          <w:p w14:paraId="3A909CAB" w14:textId="77777777" w:rsidR="00B02873" w:rsidRPr="00B603AC" w:rsidRDefault="00B02873" w:rsidP="00B603AC">
            <w:pPr>
              <w:pStyle w:val="TablebodyleftFinancialsTables"/>
              <w:rPr>
                <w:rFonts w:asciiTheme="minorHAnsi" w:hAnsiTheme="minorHAnsi" w:cstheme="minorHAnsi"/>
                <w:sz w:val="18"/>
                <w:szCs w:val="14"/>
              </w:rPr>
            </w:pPr>
            <w:r w:rsidRPr="00B603AC">
              <w:rPr>
                <w:rFonts w:asciiTheme="minorHAnsi" w:hAnsiTheme="minorHAnsi" w:cstheme="minorHAnsi"/>
                <w:sz w:val="18"/>
                <w:szCs w:val="14"/>
              </w:rPr>
              <w:t>Trade receivables applying the simplified approach for impairment</w:t>
            </w:r>
          </w:p>
        </w:tc>
        <w:tc>
          <w:tcPr>
            <w:tcW w:w="1077" w:type="dxa"/>
          </w:tcPr>
          <w:p w14:paraId="58D71D0B" w14:textId="77777777" w:rsidR="00B02873" w:rsidRPr="00B603AC" w:rsidRDefault="00B02873" w:rsidP="00B603AC">
            <w:pPr>
              <w:pStyle w:val="TablebodyleftFinancialsTables"/>
              <w:jc w:val="right"/>
              <w:rPr>
                <w:rFonts w:asciiTheme="minorHAnsi" w:hAnsiTheme="minorHAnsi" w:cstheme="minorHAnsi"/>
                <w:sz w:val="18"/>
                <w:szCs w:val="14"/>
              </w:rPr>
            </w:pPr>
            <w:r w:rsidRPr="00B603AC">
              <w:rPr>
                <w:rFonts w:asciiTheme="minorHAnsi" w:hAnsiTheme="minorHAnsi" w:cstheme="minorHAnsi"/>
                <w:sz w:val="18"/>
                <w:szCs w:val="14"/>
              </w:rPr>
              <w:t>–</w:t>
            </w:r>
          </w:p>
        </w:tc>
        <w:tc>
          <w:tcPr>
            <w:tcW w:w="1272" w:type="dxa"/>
          </w:tcPr>
          <w:p w14:paraId="4F821AE4" w14:textId="77777777" w:rsidR="00B02873" w:rsidRPr="00B603AC" w:rsidRDefault="00B02873" w:rsidP="00B603AC">
            <w:pPr>
              <w:pStyle w:val="TablebodyleftFinancialsTables"/>
              <w:jc w:val="right"/>
              <w:rPr>
                <w:rFonts w:asciiTheme="minorHAnsi" w:hAnsiTheme="minorHAnsi" w:cstheme="minorHAnsi"/>
                <w:sz w:val="18"/>
                <w:szCs w:val="14"/>
              </w:rPr>
            </w:pPr>
            <w:r w:rsidRPr="00B603AC">
              <w:rPr>
                <w:rFonts w:asciiTheme="minorHAnsi" w:hAnsiTheme="minorHAnsi" w:cstheme="minorHAnsi"/>
                <w:sz w:val="18"/>
                <w:szCs w:val="14"/>
              </w:rPr>
              <w:t>3,045</w:t>
            </w:r>
          </w:p>
        </w:tc>
        <w:tc>
          <w:tcPr>
            <w:tcW w:w="1275" w:type="dxa"/>
          </w:tcPr>
          <w:p w14:paraId="4D4E8C3F" w14:textId="77777777" w:rsidR="00B02873" w:rsidRPr="00B603AC" w:rsidRDefault="00B02873" w:rsidP="00B603AC">
            <w:pPr>
              <w:pStyle w:val="TablebodyleftFinancialsTables"/>
              <w:jc w:val="right"/>
              <w:rPr>
                <w:rFonts w:asciiTheme="minorHAnsi" w:hAnsiTheme="minorHAnsi" w:cstheme="minorHAnsi"/>
                <w:sz w:val="18"/>
                <w:szCs w:val="14"/>
              </w:rPr>
            </w:pPr>
            <w:r w:rsidRPr="00B603AC">
              <w:rPr>
                <w:rFonts w:asciiTheme="minorHAnsi" w:hAnsiTheme="minorHAnsi" w:cstheme="minorHAnsi"/>
                <w:sz w:val="18"/>
                <w:szCs w:val="14"/>
              </w:rPr>
              <w:t>–</w:t>
            </w:r>
          </w:p>
        </w:tc>
        <w:tc>
          <w:tcPr>
            <w:tcW w:w="1077" w:type="dxa"/>
          </w:tcPr>
          <w:p w14:paraId="59672A8C" w14:textId="77777777" w:rsidR="00B02873" w:rsidRPr="00B603AC" w:rsidRDefault="00B02873" w:rsidP="00B603AC">
            <w:pPr>
              <w:pStyle w:val="TablebodyleftFinancialsTables"/>
              <w:jc w:val="right"/>
              <w:rPr>
                <w:rFonts w:asciiTheme="minorHAnsi" w:hAnsiTheme="minorHAnsi" w:cstheme="minorHAnsi"/>
                <w:sz w:val="18"/>
                <w:szCs w:val="14"/>
              </w:rPr>
            </w:pPr>
            <w:r w:rsidRPr="00B603AC">
              <w:rPr>
                <w:rFonts w:asciiTheme="minorHAnsi" w:hAnsiTheme="minorHAnsi" w:cstheme="minorHAnsi"/>
                <w:sz w:val="18"/>
                <w:szCs w:val="14"/>
              </w:rPr>
              <w:t>–</w:t>
            </w:r>
          </w:p>
        </w:tc>
        <w:tc>
          <w:tcPr>
            <w:tcW w:w="1078" w:type="dxa"/>
          </w:tcPr>
          <w:p w14:paraId="65D818A5" w14:textId="77777777" w:rsidR="00B02873" w:rsidRPr="00B603AC" w:rsidRDefault="00B02873" w:rsidP="00B603AC">
            <w:pPr>
              <w:pStyle w:val="TablebodyleftFinancialsTables"/>
              <w:jc w:val="right"/>
              <w:rPr>
                <w:rFonts w:asciiTheme="minorHAnsi" w:hAnsiTheme="minorHAnsi" w:cstheme="minorHAnsi"/>
                <w:sz w:val="18"/>
                <w:szCs w:val="14"/>
              </w:rPr>
            </w:pPr>
            <w:r w:rsidRPr="00B603AC">
              <w:rPr>
                <w:rFonts w:asciiTheme="minorHAnsi" w:hAnsiTheme="minorHAnsi" w:cstheme="minorHAnsi"/>
                <w:sz w:val="18"/>
                <w:szCs w:val="14"/>
              </w:rPr>
              <w:t>41,653</w:t>
            </w:r>
          </w:p>
        </w:tc>
        <w:tc>
          <w:tcPr>
            <w:tcW w:w="1077" w:type="dxa"/>
          </w:tcPr>
          <w:p w14:paraId="2E365F57" w14:textId="77777777" w:rsidR="00B02873" w:rsidRPr="00B603AC" w:rsidRDefault="00B02873" w:rsidP="00B603AC">
            <w:pPr>
              <w:pStyle w:val="TablebodyleftFinancialsTables"/>
              <w:jc w:val="right"/>
              <w:rPr>
                <w:rFonts w:asciiTheme="minorHAnsi" w:hAnsiTheme="minorHAnsi" w:cstheme="minorHAnsi"/>
                <w:sz w:val="18"/>
                <w:szCs w:val="14"/>
              </w:rPr>
            </w:pPr>
            <w:r w:rsidRPr="00B603AC">
              <w:rPr>
                <w:rFonts w:asciiTheme="minorHAnsi" w:hAnsiTheme="minorHAnsi" w:cstheme="minorHAnsi"/>
                <w:sz w:val="18"/>
                <w:szCs w:val="14"/>
              </w:rPr>
              <w:t>44,698</w:t>
            </w:r>
          </w:p>
        </w:tc>
      </w:tr>
      <w:tr w:rsidR="00B02873" w:rsidRPr="00B603AC" w14:paraId="20790DBA" w14:textId="77777777" w:rsidTr="00B603AC">
        <w:trPr>
          <w:trHeight w:val="60"/>
        </w:trPr>
        <w:tc>
          <w:tcPr>
            <w:tcW w:w="3175" w:type="dxa"/>
          </w:tcPr>
          <w:p w14:paraId="146AAA5F" w14:textId="77777777" w:rsidR="00B02873" w:rsidRPr="00B603AC" w:rsidRDefault="00B02873" w:rsidP="00B603AC">
            <w:pPr>
              <w:pStyle w:val="TablebodyleftFinancialsTables"/>
              <w:rPr>
                <w:rFonts w:asciiTheme="minorHAnsi" w:hAnsiTheme="minorHAnsi" w:cstheme="minorHAnsi"/>
                <w:b/>
                <w:bCs/>
                <w:sz w:val="18"/>
                <w:szCs w:val="14"/>
              </w:rPr>
            </w:pPr>
            <w:r w:rsidRPr="00B603AC">
              <w:rPr>
                <w:rFonts w:asciiTheme="minorHAnsi" w:hAnsiTheme="minorHAnsi" w:cstheme="minorHAnsi"/>
                <w:b/>
                <w:bCs/>
                <w:sz w:val="18"/>
                <w:szCs w:val="14"/>
              </w:rPr>
              <w:t>Total contractual financial assets</w:t>
            </w:r>
            <w:r w:rsidRPr="00B603AC">
              <w:rPr>
                <w:rFonts w:asciiTheme="minorHAnsi" w:hAnsiTheme="minorHAnsi" w:cstheme="minorHAnsi"/>
                <w:b/>
                <w:bCs/>
                <w:sz w:val="18"/>
                <w:szCs w:val="14"/>
                <w:vertAlign w:val="superscript"/>
              </w:rPr>
              <w:t>(i)</w:t>
            </w:r>
          </w:p>
        </w:tc>
        <w:tc>
          <w:tcPr>
            <w:tcW w:w="1077" w:type="dxa"/>
          </w:tcPr>
          <w:p w14:paraId="5B16BB94" w14:textId="77777777" w:rsidR="00B02873" w:rsidRPr="00B603AC" w:rsidRDefault="00B02873" w:rsidP="00B603AC">
            <w:pPr>
              <w:pStyle w:val="TablebodyleftFinancialsTables"/>
              <w:jc w:val="right"/>
              <w:rPr>
                <w:rFonts w:asciiTheme="minorHAnsi" w:hAnsiTheme="minorHAnsi" w:cstheme="minorHAnsi"/>
                <w:sz w:val="18"/>
                <w:szCs w:val="14"/>
              </w:rPr>
            </w:pPr>
            <w:r w:rsidRPr="00B603AC">
              <w:rPr>
                <w:rFonts w:asciiTheme="minorHAnsi" w:hAnsiTheme="minorHAnsi" w:cstheme="minorHAnsi"/>
                <w:sz w:val="18"/>
                <w:szCs w:val="14"/>
              </w:rPr>
              <w:t>1,242,681</w:t>
            </w:r>
          </w:p>
        </w:tc>
        <w:tc>
          <w:tcPr>
            <w:tcW w:w="1272" w:type="dxa"/>
          </w:tcPr>
          <w:p w14:paraId="1226F808" w14:textId="77777777" w:rsidR="00B02873" w:rsidRPr="00B603AC" w:rsidRDefault="00B02873" w:rsidP="00B603AC">
            <w:pPr>
              <w:pStyle w:val="TablebodyleftFinancialsTables"/>
              <w:jc w:val="right"/>
              <w:rPr>
                <w:rFonts w:asciiTheme="minorHAnsi" w:hAnsiTheme="minorHAnsi" w:cstheme="minorHAnsi"/>
                <w:sz w:val="18"/>
                <w:szCs w:val="14"/>
              </w:rPr>
            </w:pPr>
            <w:r w:rsidRPr="00B603AC">
              <w:rPr>
                <w:rFonts w:asciiTheme="minorHAnsi" w:hAnsiTheme="minorHAnsi" w:cstheme="minorHAnsi"/>
                <w:sz w:val="18"/>
                <w:szCs w:val="14"/>
              </w:rPr>
              <w:t>3,045</w:t>
            </w:r>
          </w:p>
        </w:tc>
        <w:tc>
          <w:tcPr>
            <w:tcW w:w="1275" w:type="dxa"/>
          </w:tcPr>
          <w:p w14:paraId="7C060785" w14:textId="77777777" w:rsidR="00B02873" w:rsidRPr="00B603AC" w:rsidRDefault="00B02873" w:rsidP="00B603AC">
            <w:pPr>
              <w:pStyle w:val="TablebodyleftFinancialsTables"/>
              <w:jc w:val="right"/>
              <w:rPr>
                <w:rFonts w:asciiTheme="minorHAnsi" w:hAnsiTheme="minorHAnsi" w:cstheme="minorHAnsi"/>
                <w:sz w:val="18"/>
                <w:szCs w:val="14"/>
              </w:rPr>
            </w:pPr>
            <w:r w:rsidRPr="00B603AC">
              <w:rPr>
                <w:rFonts w:asciiTheme="minorHAnsi" w:hAnsiTheme="minorHAnsi" w:cstheme="minorHAnsi"/>
                <w:sz w:val="18"/>
                <w:szCs w:val="14"/>
              </w:rPr>
              <w:t>–</w:t>
            </w:r>
          </w:p>
        </w:tc>
        <w:tc>
          <w:tcPr>
            <w:tcW w:w="1077" w:type="dxa"/>
          </w:tcPr>
          <w:p w14:paraId="0E5B7780" w14:textId="77777777" w:rsidR="00B02873" w:rsidRPr="00B603AC" w:rsidRDefault="00B02873" w:rsidP="00B603AC">
            <w:pPr>
              <w:pStyle w:val="TablebodyleftFinancialsTables"/>
              <w:jc w:val="right"/>
              <w:rPr>
                <w:rFonts w:asciiTheme="minorHAnsi" w:hAnsiTheme="minorHAnsi" w:cstheme="minorHAnsi"/>
                <w:sz w:val="18"/>
                <w:szCs w:val="14"/>
              </w:rPr>
            </w:pPr>
            <w:r w:rsidRPr="00B603AC">
              <w:rPr>
                <w:rFonts w:asciiTheme="minorHAnsi" w:hAnsiTheme="minorHAnsi" w:cstheme="minorHAnsi"/>
                <w:sz w:val="18"/>
                <w:szCs w:val="14"/>
              </w:rPr>
              <w:t>–</w:t>
            </w:r>
          </w:p>
        </w:tc>
        <w:tc>
          <w:tcPr>
            <w:tcW w:w="1078" w:type="dxa"/>
          </w:tcPr>
          <w:p w14:paraId="6604187A" w14:textId="77777777" w:rsidR="00B02873" w:rsidRPr="00B603AC" w:rsidRDefault="00B02873" w:rsidP="00B603AC">
            <w:pPr>
              <w:pStyle w:val="TablebodyleftFinancialsTables"/>
              <w:jc w:val="right"/>
              <w:rPr>
                <w:rFonts w:asciiTheme="minorHAnsi" w:hAnsiTheme="minorHAnsi" w:cstheme="minorHAnsi"/>
                <w:sz w:val="18"/>
                <w:szCs w:val="14"/>
              </w:rPr>
            </w:pPr>
            <w:r w:rsidRPr="00B603AC">
              <w:rPr>
                <w:rFonts w:asciiTheme="minorHAnsi" w:hAnsiTheme="minorHAnsi" w:cstheme="minorHAnsi"/>
                <w:sz w:val="18"/>
                <w:szCs w:val="14"/>
              </w:rPr>
              <w:t>141,697</w:t>
            </w:r>
          </w:p>
        </w:tc>
        <w:tc>
          <w:tcPr>
            <w:tcW w:w="1077" w:type="dxa"/>
          </w:tcPr>
          <w:p w14:paraId="462BFC40" w14:textId="77777777" w:rsidR="00B02873" w:rsidRPr="00B603AC" w:rsidRDefault="00B02873" w:rsidP="00B603AC">
            <w:pPr>
              <w:pStyle w:val="TablebodyleftFinancialsTables"/>
              <w:jc w:val="right"/>
              <w:rPr>
                <w:rFonts w:asciiTheme="minorHAnsi" w:hAnsiTheme="minorHAnsi" w:cstheme="minorHAnsi"/>
                <w:sz w:val="18"/>
                <w:szCs w:val="14"/>
              </w:rPr>
            </w:pPr>
            <w:r w:rsidRPr="00B603AC">
              <w:rPr>
                <w:rFonts w:asciiTheme="minorHAnsi" w:hAnsiTheme="minorHAnsi" w:cstheme="minorHAnsi"/>
                <w:sz w:val="18"/>
                <w:szCs w:val="14"/>
              </w:rPr>
              <w:t>1,387,423</w:t>
            </w:r>
          </w:p>
        </w:tc>
      </w:tr>
    </w:tbl>
    <w:p w14:paraId="0FE612AA" w14:textId="3E2E23C7" w:rsidR="00B02873" w:rsidRPr="00B603AC" w:rsidRDefault="00B02873" w:rsidP="001128B1">
      <w:pPr>
        <w:pStyle w:val="SourceNotenumbered"/>
        <w:numPr>
          <w:ilvl w:val="0"/>
          <w:numId w:val="41"/>
        </w:numPr>
        <w:spacing w:after="200"/>
        <w:ind w:left="357" w:hanging="357"/>
        <w:rPr>
          <w:sz w:val="18"/>
          <w:szCs w:val="18"/>
        </w:rPr>
      </w:pPr>
      <w:r>
        <w:t>The total amounts disclosed here exclude statutory amounts (e.g. amounts owing from Victorian government and GST input tax credit recoverable) and derivatives.</w:t>
      </w:r>
    </w:p>
    <w:p w14:paraId="0866B211" w14:textId="77777777" w:rsidR="00B02873" w:rsidRDefault="00B02873" w:rsidP="0031722C">
      <w:pPr>
        <w:pStyle w:val="Boldheader"/>
      </w:pPr>
      <w:r>
        <w:t xml:space="preserve">Impairment of financial assets under AASB 9 </w:t>
      </w:r>
    </w:p>
    <w:p w14:paraId="66C9F364" w14:textId="534752E4" w:rsidR="00B02873" w:rsidRDefault="00B02873" w:rsidP="00FE198A">
      <w:r>
        <w:t xml:space="preserve">The department records the allowance for expected credit loss for the relevant financial instruments applying AASB 9’s Expected Credit Loss approach. Subject to AASB 9 impairment assessment include the department’s contractual receivables and statutory receivables. </w:t>
      </w:r>
    </w:p>
    <w:p w14:paraId="6C8B2C86" w14:textId="7243E225" w:rsidR="00B02873" w:rsidRDefault="00B02873" w:rsidP="00FE198A">
      <w:r>
        <w:t xml:space="preserve">Equity instruments are not subject to impairment under AASB 9. Other financial assets designated at fair value through net result are not subject to impairment assessment under AASB 9. While </w:t>
      </w:r>
      <w:r>
        <w:lastRenderedPageBreak/>
        <w:t>cash and cash equivalents are also subject to the impairment requirements of AASB 9, the identified impairment loss was immaterial.</w:t>
      </w:r>
    </w:p>
    <w:p w14:paraId="323811C8" w14:textId="77777777" w:rsidR="00B02873" w:rsidRDefault="00B02873" w:rsidP="0031722C">
      <w:pPr>
        <w:pStyle w:val="Boldheader"/>
      </w:pPr>
      <w:r>
        <w:t>Contractual receivables at amortised cost</w:t>
      </w:r>
    </w:p>
    <w:p w14:paraId="2C0EFE4C" w14:textId="77777777" w:rsidR="00B02873" w:rsidRDefault="00B02873" w:rsidP="00FE198A">
      <w:r>
        <w:t>The maximum exposure to credit risk at balance date for receivables is the gross carrying amount of those assets. No collateral is held as security and there are no other credit enhancements relating to the department’s receivables.</w:t>
      </w:r>
    </w:p>
    <w:p w14:paraId="563E7EE0" w14:textId="77777777" w:rsidR="00B02873" w:rsidRPr="007B509E" w:rsidRDefault="00B02873" w:rsidP="00FE198A">
      <w:pPr>
        <w:rPr>
          <w:rFonts w:cs="VIC SemiBold"/>
          <w:b/>
          <w:bCs/>
        </w:rPr>
      </w:pPr>
      <w:r>
        <w:t xml:space="preserve">The department applies both the AASB 9 simplified approach and the general approach to measure expected credit losses. </w:t>
      </w:r>
    </w:p>
    <w:p w14:paraId="36964C57" w14:textId="77777777" w:rsidR="00B02873" w:rsidRPr="0031722C" w:rsidRDefault="00B02873" w:rsidP="0031722C">
      <w:pPr>
        <w:pStyle w:val="Boldheader"/>
      </w:pPr>
      <w:r w:rsidRPr="0031722C">
        <w:t>Simplified approach</w:t>
      </w:r>
    </w:p>
    <w:p w14:paraId="3EFB6DD6" w14:textId="77777777" w:rsidR="00B02873" w:rsidRDefault="00B02873" w:rsidP="00FE198A">
      <w:r>
        <w:t xml:space="preserve">The simplified approach is applied for all contractual receivables that result from transactions within the scope of AASB 15 </w:t>
      </w:r>
      <w:r w:rsidRPr="0031722C">
        <w:rPr>
          <w:rStyle w:val="LightItalic"/>
          <w:rFonts w:asciiTheme="minorHAnsi" w:hAnsiTheme="minorHAnsi" w:cstheme="minorHAnsi"/>
        </w:rPr>
        <w:t>Revenue from Contracts</w:t>
      </w:r>
      <w:r w:rsidRPr="0031722C">
        <w:rPr>
          <w:rFonts w:asciiTheme="minorHAnsi" w:hAnsiTheme="minorHAnsi" w:cstheme="minorHAnsi"/>
        </w:rPr>
        <w:t xml:space="preserve"> </w:t>
      </w:r>
      <w:r>
        <w:t>(i.e. trade receivables) using a lifetime expected loss allowance based on the assumptions about risk of default and expected loss rates.</w:t>
      </w:r>
    </w:p>
    <w:p w14:paraId="4EB1887A" w14:textId="77777777" w:rsidR="00B02873" w:rsidRDefault="00B02873" w:rsidP="00FE198A">
      <w:r>
        <w:t>The department has grouped contractual receivables on shared credit risk characteristics and days past due and select the expected credit loss rate based on the department’s past history, existing market conditions, as well as forward-looking estimates at the end of the financial year.</w:t>
      </w:r>
    </w:p>
    <w:p w14:paraId="0BCD9314" w14:textId="77777777" w:rsidR="00B02873" w:rsidRDefault="00B02873" w:rsidP="00FE198A">
      <w:r>
        <w:t>On this basis, the department determines the closing loss allowance at end of the financial year as follows:</w:t>
      </w:r>
    </w:p>
    <w:p w14:paraId="6890292D" w14:textId="77777777" w:rsidR="00B02873" w:rsidRDefault="00B02873" w:rsidP="0031722C">
      <w:pPr>
        <w:pStyle w:val="TabletitleTables"/>
      </w:pPr>
      <w:r>
        <w:t>Contractual receivables</w:t>
      </w:r>
    </w:p>
    <w:tbl>
      <w:tblPr>
        <w:tblStyle w:val="TableGrid"/>
        <w:tblW w:w="9776" w:type="dxa"/>
        <w:tblLayout w:type="fixed"/>
        <w:tblLook w:val="0020" w:firstRow="1" w:lastRow="0" w:firstColumn="0" w:lastColumn="0" w:noHBand="0" w:noVBand="0"/>
      </w:tblPr>
      <w:tblGrid>
        <w:gridCol w:w="2891"/>
        <w:gridCol w:w="964"/>
        <w:gridCol w:w="964"/>
        <w:gridCol w:w="964"/>
        <w:gridCol w:w="963"/>
        <w:gridCol w:w="1187"/>
        <w:gridCol w:w="964"/>
        <w:gridCol w:w="879"/>
      </w:tblGrid>
      <w:tr w:rsidR="00B02873" w:rsidRPr="00B02873" w14:paraId="100DAD57" w14:textId="77777777" w:rsidTr="0031722C">
        <w:trPr>
          <w:cnfStyle w:val="100000000000" w:firstRow="1" w:lastRow="0" w:firstColumn="0" w:lastColumn="0" w:oddVBand="0" w:evenVBand="0" w:oddHBand="0" w:evenHBand="0" w:firstRowFirstColumn="0" w:firstRowLastColumn="0" w:lastRowFirstColumn="0" w:lastRowLastColumn="0"/>
          <w:trHeight w:val="60"/>
        </w:trPr>
        <w:tc>
          <w:tcPr>
            <w:tcW w:w="2891" w:type="dxa"/>
          </w:tcPr>
          <w:p w14:paraId="7D88850D" w14:textId="77777777" w:rsidR="00B02873" w:rsidRPr="00B02873" w:rsidRDefault="00B02873" w:rsidP="0031722C">
            <w:pPr>
              <w:pStyle w:val="TableheadingleftFinancialsTables"/>
            </w:pPr>
          </w:p>
        </w:tc>
        <w:tc>
          <w:tcPr>
            <w:tcW w:w="964" w:type="dxa"/>
          </w:tcPr>
          <w:p w14:paraId="79653E87" w14:textId="77777777" w:rsidR="00B02873" w:rsidRDefault="00B02873" w:rsidP="0031722C">
            <w:pPr>
              <w:pStyle w:val="TableheadingleftFinancialsTables"/>
              <w:jc w:val="right"/>
            </w:pPr>
            <w:r>
              <w:t>Current</w:t>
            </w:r>
          </w:p>
        </w:tc>
        <w:tc>
          <w:tcPr>
            <w:tcW w:w="964" w:type="dxa"/>
          </w:tcPr>
          <w:p w14:paraId="3C1CB628" w14:textId="77777777" w:rsidR="00B02873" w:rsidRDefault="00B02873" w:rsidP="0031722C">
            <w:pPr>
              <w:pStyle w:val="TableheadingleftFinancialsTables"/>
              <w:jc w:val="right"/>
            </w:pPr>
            <w:r>
              <w:t>Less than 1 month</w:t>
            </w:r>
          </w:p>
        </w:tc>
        <w:tc>
          <w:tcPr>
            <w:tcW w:w="964" w:type="dxa"/>
          </w:tcPr>
          <w:p w14:paraId="3484F2C6" w14:textId="0FF73503" w:rsidR="00B02873" w:rsidRDefault="00B02873" w:rsidP="0031722C">
            <w:pPr>
              <w:pStyle w:val="TableheadingleftFinancialsTables"/>
              <w:jc w:val="right"/>
            </w:pPr>
            <w:r>
              <w:t>1</w:t>
            </w:r>
            <w:r w:rsidR="0031722C">
              <w:t>–</w:t>
            </w:r>
            <w:r>
              <w:t>3 months</w:t>
            </w:r>
          </w:p>
        </w:tc>
        <w:tc>
          <w:tcPr>
            <w:tcW w:w="963" w:type="dxa"/>
          </w:tcPr>
          <w:p w14:paraId="6B627264" w14:textId="79F1E9E5" w:rsidR="00B02873" w:rsidRDefault="00B02873" w:rsidP="0031722C">
            <w:pPr>
              <w:pStyle w:val="TableheadingleftFinancialsTables"/>
              <w:jc w:val="right"/>
            </w:pPr>
            <w:r>
              <w:t>3</w:t>
            </w:r>
            <w:r w:rsidR="000C45FC">
              <w:t>–</w:t>
            </w:r>
            <w:r>
              <w:t>6 months</w:t>
            </w:r>
          </w:p>
        </w:tc>
        <w:tc>
          <w:tcPr>
            <w:tcW w:w="1187" w:type="dxa"/>
          </w:tcPr>
          <w:p w14:paraId="3ACB45B6" w14:textId="2F391E99" w:rsidR="00B02873" w:rsidRDefault="00B02873" w:rsidP="0031722C">
            <w:pPr>
              <w:pStyle w:val="TableheadingleftFinancialsTables"/>
              <w:jc w:val="right"/>
            </w:pPr>
            <w:r>
              <w:t>6 months</w:t>
            </w:r>
            <w:r w:rsidR="0031722C">
              <w:t>–</w:t>
            </w:r>
            <w:r>
              <w:br/>
              <w:t>1 year</w:t>
            </w:r>
          </w:p>
        </w:tc>
        <w:tc>
          <w:tcPr>
            <w:tcW w:w="964" w:type="dxa"/>
          </w:tcPr>
          <w:p w14:paraId="233E39CD" w14:textId="636EEA67" w:rsidR="00B02873" w:rsidRDefault="00B02873" w:rsidP="0031722C">
            <w:pPr>
              <w:pStyle w:val="TableheadingleftFinancialsTables"/>
              <w:jc w:val="right"/>
            </w:pPr>
            <w:r>
              <w:t>1</w:t>
            </w:r>
            <w:r w:rsidR="0031722C">
              <w:t>–</w:t>
            </w:r>
            <w:r>
              <w:t xml:space="preserve">5 </w:t>
            </w:r>
            <w:r>
              <w:br/>
              <w:t>years</w:t>
            </w:r>
          </w:p>
        </w:tc>
        <w:tc>
          <w:tcPr>
            <w:tcW w:w="879" w:type="dxa"/>
          </w:tcPr>
          <w:p w14:paraId="253C296B" w14:textId="77777777" w:rsidR="00B02873" w:rsidRDefault="00B02873" w:rsidP="0031722C">
            <w:pPr>
              <w:pStyle w:val="TableheadingleftFinancialsTables"/>
              <w:jc w:val="right"/>
            </w:pPr>
            <w:r>
              <w:t>Total</w:t>
            </w:r>
          </w:p>
        </w:tc>
      </w:tr>
      <w:tr w:rsidR="00B02873" w:rsidRPr="00B02873" w14:paraId="439D6139" w14:textId="77777777" w:rsidTr="0031722C">
        <w:trPr>
          <w:trHeight w:val="60"/>
        </w:trPr>
        <w:tc>
          <w:tcPr>
            <w:tcW w:w="2891" w:type="dxa"/>
          </w:tcPr>
          <w:p w14:paraId="77BF904F" w14:textId="77777777" w:rsidR="00B02873" w:rsidRPr="0031722C" w:rsidRDefault="00B02873" w:rsidP="0031722C">
            <w:pPr>
              <w:pStyle w:val="TablebodyleftFinancialsTables"/>
              <w:rPr>
                <w:b/>
                <w:bCs/>
              </w:rPr>
            </w:pPr>
            <w:r w:rsidRPr="0031722C">
              <w:rPr>
                <w:b/>
                <w:bCs/>
              </w:rPr>
              <w:t>30-Jun-22</w:t>
            </w:r>
          </w:p>
        </w:tc>
        <w:tc>
          <w:tcPr>
            <w:tcW w:w="964" w:type="dxa"/>
          </w:tcPr>
          <w:p w14:paraId="0B101F43" w14:textId="77777777" w:rsidR="00B02873" w:rsidRPr="00B02873" w:rsidRDefault="00B02873" w:rsidP="0031722C">
            <w:pPr>
              <w:pStyle w:val="TablebodyleftFinancialsTables"/>
              <w:jc w:val="right"/>
              <w:rPr>
                <w:rFonts w:ascii="VIC Bold Italic" w:hAnsi="VIC Bold Italic" w:cs="Times New Roman"/>
              </w:rPr>
            </w:pPr>
          </w:p>
        </w:tc>
        <w:tc>
          <w:tcPr>
            <w:tcW w:w="964" w:type="dxa"/>
          </w:tcPr>
          <w:p w14:paraId="048C0ADC" w14:textId="77777777" w:rsidR="00B02873" w:rsidRPr="00B02873" w:rsidRDefault="00B02873" w:rsidP="0031722C">
            <w:pPr>
              <w:pStyle w:val="TablebodyleftFinancialsTables"/>
              <w:jc w:val="right"/>
              <w:rPr>
                <w:rFonts w:ascii="VIC Bold Italic" w:hAnsi="VIC Bold Italic" w:cs="Times New Roman"/>
              </w:rPr>
            </w:pPr>
          </w:p>
        </w:tc>
        <w:tc>
          <w:tcPr>
            <w:tcW w:w="964" w:type="dxa"/>
          </w:tcPr>
          <w:p w14:paraId="0B895245" w14:textId="77777777" w:rsidR="00B02873" w:rsidRPr="00B02873" w:rsidRDefault="00B02873" w:rsidP="0031722C">
            <w:pPr>
              <w:pStyle w:val="TablebodyleftFinancialsTables"/>
              <w:jc w:val="right"/>
              <w:rPr>
                <w:rFonts w:ascii="VIC Bold Italic" w:hAnsi="VIC Bold Italic" w:cs="Times New Roman"/>
              </w:rPr>
            </w:pPr>
          </w:p>
        </w:tc>
        <w:tc>
          <w:tcPr>
            <w:tcW w:w="963" w:type="dxa"/>
          </w:tcPr>
          <w:p w14:paraId="2E25EB52" w14:textId="77777777" w:rsidR="00B02873" w:rsidRPr="00B02873" w:rsidRDefault="00B02873" w:rsidP="0031722C">
            <w:pPr>
              <w:pStyle w:val="TablebodyleftFinancialsTables"/>
              <w:jc w:val="right"/>
              <w:rPr>
                <w:rFonts w:ascii="VIC Bold Italic" w:hAnsi="VIC Bold Italic" w:cs="Times New Roman"/>
              </w:rPr>
            </w:pPr>
          </w:p>
        </w:tc>
        <w:tc>
          <w:tcPr>
            <w:tcW w:w="1187" w:type="dxa"/>
          </w:tcPr>
          <w:p w14:paraId="7FC182D9" w14:textId="77777777" w:rsidR="00B02873" w:rsidRPr="00B02873" w:rsidRDefault="00B02873" w:rsidP="0031722C">
            <w:pPr>
              <w:pStyle w:val="TablebodyleftFinancialsTables"/>
              <w:jc w:val="right"/>
              <w:rPr>
                <w:rFonts w:ascii="VIC Bold Italic" w:hAnsi="VIC Bold Italic" w:cs="Times New Roman"/>
              </w:rPr>
            </w:pPr>
          </w:p>
        </w:tc>
        <w:tc>
          <w:tcPr>
            <w:tcW w:w="964" w:type="dxa"/>
          </w:tcPr>
          <w:p w14:paraId="3DC5CBC6" w14:textId="77777777" w:rsidR="00B02873" w:rsidRPr="00B02873" w:rsidRDefault="00B02873" w:rsidP="0031722C">
            <w:pPr>
              <w:pStyle w:val="TablebodyleftFinancialsTables"/>
              <w:jc w:val="right"/>
              <w:rPr>
                <w:rFonts w:ascii="VIC Bold Italic" w:hAnsi="VIC Bold Italic" w:cs="Times New Roman"/>
              </w:rPr>
            </w:pPr>
          </w:p>
        </w:tc>
        <w:tc>
          <w:tcPr>
            <w:tcW w:w="879" w:type="dxa"/>
          </w:tcPr>
          <w:p w14:paraId="68273807" w14:textId="77777777" w:rsidR="00B02873" w:rsidRPr="00B02873" w:rsidRDefault="00B02873" w:rsidP="0031722C">
            <w:pPr>
              <w:pStyle w:val="TablebodyleftFinancialsTables"/>
              <w:jc w:val="right"/>
              <w:rPr>
                <w:rFonts w:ascii="VIC Bold Italic" w:hAnsi="VIC Bold Italic" w:cs="Times New Roman"/>
              </w:rPr>
            </w:pPr>
          </w:p>
        </w:tc>
      </w:tr>
      <w:tr w:rsidR="00B02873" w:rsidRPr="00B02873" w14:paraId="7380529D" w14:textId="77777777" w:rsidTr="0031722C">
        <w:trPr>
          <w:trHeight w:val="60"/>
        </w:trPr>
        <w:tc>
          <w:tcPr>
            <w:tcW w:w="2891" w:type="dxa"/>
          </w:tcPr>
          <w:p w14:paraId="07A7AB24" w14:textId="031137AA" w:rsidR="00B02873" w:rsidRDefault="00B02873" w:rsidP="0031722C">
            <w:pPr>
              <w:pStyle w:val="TablebodyleftFinancialsTables"/>
            </w:pPr>
            <w:r>
              <w:t>Expected loss rate</w:t>
            </w:r>
            <w:r w:rsidR="000C45FC">
              <w:t xml:space="preserve"> – </w:t>
            </w:r>
            <w:r>
              <w:t>Public Bodies</w:t>
            </w:r>
          </w:p>
        </w:tc>
        <w:tc>
          <w:tcPr>
            <w:tcW w:w="964" w:type="dxa"/>
          </w:tcPr>
          <w:p w14:paraId="465D38FA" w14:textId="77777777" w:rsidR="00B02873" w:rsidRDefault="00B02873" w:rsidP="0031722C">
            <w:pPr>
              <w:pStyle w:val="TablebodyleftFinancialsTables"/>
              <w:jc w:val="right"/>
            </w:pPr>
            <w:r>
              <w:t>0%</w:t>
            </w:r>
          </w:p>
        </w:tc>
        <w:tc>
          <w:tcPr>
            <w:tcW w:w="964" w:type="dxa"/>
          </w:tcPr>
          <w:p w14:paraId="015FB1CE" w14:textId="77777777" w:rsidR="00B02873" w:rsidRDefault="00B02873" w:rsidP="0031722C">
            <w:pPr>
              <w:pStyle w:val="TablebodyleftFinancialsTables"/>
              <w:jc w:val="right"/>
            </w:pPr>
            <w:r>
              <w:t>0%</w:t>
            </w:r>
          </w:p>
        </w:tc>
        <w:tc>
          <w:tcPr>
            <w:tcW w:w="964" w:type="dxa"/>
          </w:tcPr>
          <w:p w14:paraId="4F34DD4A" w14:textId="77777777" w:rsidR="00B02873" w:rsidRDefault="00B02873" w:rsidP="0031722C">
            <w:pPr>
              <w:pStyle w:val="TablebodyleftFinancialsTables"/>
              <w:jc w:val="right"/>
            </w:pPr>
            <w:r>
              <w:t>0%</w:t>
            </w:r>
          </w:p>
        </w:tc>
        <w:tc>
          <w:tcPr>
            <w:tcW w:w="963" w:type="dxa"/>
          </w:tcPr>
          <w:p w14:paraId="3A1A353A" w14:textId="77777777" w:rsidR="00B02873" w:rsidRDefault="00B02873" w:rsidP="0031722C">
            <w:pPr>
              <w:pStyle w:val="TablebodyleftFinancialsTables"/>
              <w:jc w:val="right"/>
            </w:pPr>
            <w:r>
              <w:t>0%</w:t>
            </w:r>
          </w:p>
        </w:tc>
        <w:tc>
          <w:tcPr>
            <w:tcW w:w="1187" w:type="dxa"/>
          </w:tcPr>
          <w:p w14:paraId="1A78D31B" w14:textId="77777777" w:rsidR="00B02873" w:rsidRDefault="00B02873" w:rsidP="0031722C">
            <w:pPr>
              <w:pStyle w:val="TablebodyleftFinancialsTables"/>
              <w:jc w:val="right"/>
            </w:pPr>
            <w:r>
              <w:t>0%</w:t>
            </w:r>
          </w:p>
        </w:tc>
        <w:tc>
          <w:tcPr>
            <w:tcW w:w="964" w:type="dxa"/>
          </w:tcPr>
          <w:p w14:paraId="28476EE7" w14:textId="77777777" w:rsidR="00B02873" w:rsidRDefault="00B02873" w:rsidP="0031722C">
            <w:pPr>
              <w:pStyle w:val="TablebodyleftFinancialsTables"/>
              <w:jc w:val="right"/>
            </w:pPr>
            <w:r>
              <w:t>0%</w:t>
            </w:r>
          </w:p>
        </w:tc>
        <w:tc>
          <w:tcPr>
            <w:tcW w:w="879" w:type="dxa"/>
          </w:tcPr>
          <w:p w14:paraId="57766151" w14:textId="77777777" w:rsidR="00B02873" w:rsidRPr="00B02873" w:rsidRDefault="00B02873" w:rsidP="0031722C">
            <w:pPr>
              <w:pStyle w:val="TablebodyleftFinancialsTables"/>
              <w:jc w:val="right"/>
              <w:rPr>
                <w:rFonts w:ascii="VIC Bold Italic" w:hAnsi="VIC Bold Italic" w:cs="Times New Roman"/>
              </w:rPr>
            </w:pPr>
          </w:p>
        </w:tc>
      </w:tr>
      <w:tr w:rsidR="00B02873" w:rsidRPr="00B02873" w14:paraId="7025F11F" w14:textId="77777777" w:rsidTr="0031722C">
        <w:trPr>
          <w:trHeight w:val="60"/>
        </w:trPr>
        <w:tc>
          <w:tcPr>
            <w:tcW w:w="2891" w:type="dxa"/>
          </w:tcPr>
          <w:p w14:paraId="1CEE4A59" w14:textId="1B8CEEB2" w:rsidR="00B02873" w:rsidRDefault="00B02873" w:rsidP="0031722C">
            <w:pPr>
              <w:pStyle w:val="TablebodyleftFinancialsTables"/>
            </w:pPr>
            <w:r>
              <w:t>Expected loss rate – Individual/ Commercial customers</w:t>
            </w:r>
          </w:p>
        </w:tc>
        <w:tc>
          <w:tcPr>
            <w:tcW w:w="964" w:type="dxa"/>
          </w:tcPr>
          <w:p w14:paraId="7CA6EECD" w14:textId="77777777" w:rsidR="00B02873" w:rsidRDefault="00B02873" w:rsidP="0031722C">
            <w:pPr>
              <w:pStyle w:val="TablebodyleftFinancialsTables"/>
              <w:jc w:val="right"/>
            </w:pPr>
            <w:r>
              <w:t>0%</w:t>
            </w:r>
          </w:p>
        </w:tc>
        <w:tc>
          <w:tcPr>
            <w:tcW w:w="964" w:type="dxa"/>
          </w:tcPr>
          <w:p w14:paraId="2B2430B3" w14:textId="77777777" w:rsidR="00B02873" w:rsidRDefault="00B02873" w:rsidP="0031722C">
            <w:pPr>
              <w:pStyle w:val="TablebodyleftFinancialsTables"/>
              <w:jc w:val="right"/>
            </w:pPr>
            <w:r>
              <w:t>0%</w:t>
            </w:r>
          </w:p>
        </w:tc>
        <w:tc>
          <w:tcPr>
            <w:tcW w:w="964" w:type="dxa"/>
          </w:tcPr>
          <w:p w14:paraId="266D112E" w14:textId="77777777" w:rsidR="00B02873" w:rsidRDefault="00B02873" w:rsidP="0031722C">
            <w:pPr>
              <w:pStyle w:val="TablebodyleftFinancialsTables"/>
              <w:jc w:val="right"/>
            </w:pPr>
            <w:r>
              <w:t>0.3%</w:t>
            </w:r>
          </w:p>
        </w:tc>
        <w:tc>
          <w:tcPr>
            <w:tcW w:w="963" w:type="dxa"/>
          </w:tcPr>
          <w:p w14:paraId="4138D67F" w14:textId="77777777" w:rsidR="00B02873" w:rsidRDefault="00B02873" w:rsidP="0031722C">
            <w:pPr>
              <w:pStyle w:val="TablebodyleftFinancialsTables"/>
              <w:jc w:val="right"/>
            </w:pPr>
            <w:r>
              <w:t>0.8%</w:t>
            </w:r>
          </w:p>
        </w:tc>
        <w:tc>
          <w:tcPr>
            <w:tcW w:w="1187" w:type="dxa"/>
          </w:tcPr>
          <w:p w14:paraId="3C89963C" w14:textId="77777777" w:rsidR="00B02873" w:rsidRDefault="00B02873" w:rsidP="0031722C">
            <w:pPr>
              <w:pStyle w:val="TablebodyleftFinancialsTables"/>
              <w:jc w:val="right"/>
            </w:pPr>
            <w:r>
              <w:t>2.9%</w:t>
            </w:r>
          </w:p>
        </w:tc>
        <w:tc>
          <w:tcPr>
            <w:tcW w:w="964" w:type="dxa"/>
          </w:tcPr>
          <w:p w14:paraId="05555C4F" w14:textId="77777777" w:rsidR="00B02873" w:rsidRDefault="00B02873" w:rsidP="0031722C">
            <w:pPr>
              <w:pStyle w:val="TablebodyleftFinancialsTables"/>
              <w:jc w:val="right"/>
            </w:pPr>
            <w:r>
              <w:t>100.0%</w:t>
            </w:r>
          </w:p>
        </w:tc>
        <w:tc>
          <w:tcPr>
            <w:tcW w:w="879" w:type="dxa"/>
          </w:tcPr>
          <w:p w14:paraId="36C2F461" w14:textId="77777777" w:rsidR="00B02873" w:rsidRPr="00B02873" w:rsidRDefault="00B02873" w:rsidP="0031722C">
            <w:pPr>
              <w:pStyle w:val="TablebodyleftFinancialsTables"/>
              <w:jc w:val="right"/>
              <w:rPr>
                <w:rFonts w:ascii="VIC Bold Italic" w:hAnsi="VIC Bold Italic" w:cs="Times New Roman"/>
              </w:rPr>
            </w:pPr>
          </w:p>
        </w:tc>
      </w:tr>
      <w:tr w:rsidR="00B02873" w:rsidRPr="00B02873" w14:paraId="19B95235" w14:textId="77777777" w:rsidTr="0031722C">
        <w:trPr>
          <w:trHeight w:val="60"/>
        </w:trPr>
        <w:tc>
          <w:tcPr>
            <w:tcW w:w="2891" w:type="dxa"/>
          </w:tcPr>
          <w:p w14:paraId="7AA021D4" w14:textId="77777777" w:rsidR="00B02873" w:rsidRDefault="00B02873" w:rsidP="0031722C">
            <w:pPr>
              <w:pStyle w:val="TablebodyleftFinancialsTables"/>
            </w:pPr>
            <w:r>
              <w:t>Gross carrying amount of contractual receivables ($’000)</w:t>
            </w:r>
          </w:p>
        </w:tc>
        <w:tc>
          <w:tcPr>
            <w:tcW w:w="964" w:type="dxa"/>
          </w:tcPr>
          <w:p w14:paraId="6C3EADAF" w14:textId="77777777" w:rsidR="00B02873" w:rsidRDefault="00B02873" w:rsidP="0031722C">
            <w:pPr>
              <w:pStyle w:val="TablebodyleftFinancialsTables"/>
              <w:jc w:val="right"/>
            </w:pPr>
            <w:r>
              <w:t>27,911</w:t>
            </w:r>
          </w:p>
        </w:tc>
        <w:tc>
          <w:tcPr>
            <w:tcW w:w="964" w:type="dxa"/>
          </w:tcPr>
          <w:p w14:paraId="3B9A1387" w14:textId="77777777" w:rsidR="00B02873" w:rsidRDefault="00B02873" w:rsidP="0031722C">
            <w:pPr>
              <w:pStyle w:val="TablebodyleftFinancialsTables"/>
              <w:jc w:val="right"/>
            </w:pPr>
            <w:r>
              <w:t>6,687</w:t>
            </w:r>
          </w:p>
        </w:tc>
        <w:tc>
          <w:tcPr>
            <w:tcW w:w="964" w:type="dxa"/>
          </w:tcPr>
          <w:p w14:paraId="20EBECC0" w14:textId="77777777" w:rsidR="00B02873" w:rsidRDefault="00B02873" w:rsidP="0031722C">
            <w:pPr>
              <w:pStyle w:val="TablebodyleftFinancialsTables"/>
              <w:jc w:val="right"/>
            </w:pPr>
            <w:r>
              <w:t>3,046</w:t>
            </w:r>
          </w:p>
        </w:tc>
        <w:tc>
          <w:tcPr>
            <w:tcW w:w="963" w:type="dxa"/>
          </w:tcPr>
          <w:p w14:paraId="15E638E6" w14:textId="77777777" w:rsidR="00B02873" w:rsidRDefault="00B02873" w:rsidP="0031722C">
            <w:pPr>
              <w:pStyle w:val="TablebodyleftFinancialsTables"/>
              <w:jc w:val="right"/>
            </w:pPr>
            <w:r>
              <w:t>467</w:t>
            </w:r>
          </w:p>
        </w:tc>
        <w:tc>
          <w:tcPr>
            <w:tcW w:w="1187" w:type="dxa"/>
          </w:tcPr>
          <w:p w14:paraId="3C219D68" w14:textId="77777777" w:rsidR="00B02873" w:rsidRDefault="00B02873" w:rsidP="0031722C">
            <w:pPr>
              <w:pStyle w:val="TablebodyleftFinancialsTables"/>
              <w:jc w:val="right"/>
            </w:pPr>
            <w:r>
              <w:t>514</w:t>
            </w:r>
          </w:p>
        </w:tc>
        <w:tc>
          <w:tcPr>
            <w:tcW w:w="964" w:type="dxa"/>
          </w:tcPr>
          <w:p w14:paraId="70A06E0E" w14:textId="77777777" w:rsidR="00B02873" w:rsidRDefault="00B02873" w:rsidP="0031722C">
            <w:pPr>
              <w:pStyle w:val="TablebodyleftFinancialsTables"/>
              <w:jc w:val="right"/>
            </w:pPr>
            <w:r>
              <w:t>845</w:t>
            </w:r>
          </w:p>
        </w:tc>
        <w:tc>
          <w:tcPr>
            <w:tcW w:w="879" w:type="dxa"/>
          </w:tcPr>
          <w:p w14:paraId="55AAEFAB" w14:textId="77777777" w:rsidR="00B02873" w:rsidRDefault="00B02873" w:rsidP="0031722C">
            <w:pPr>
              <w:pStyle w:val="TablebodyleftFinancialsTables"/>
              <w:jc w:val="right"/>
            </w:pPr>
            <w:r>
              <w:t>39,470</w:t>
            </w:r>
          </w:p>
        </w:tc>
      </w:tr>
      <w:tr w:rsidR="00B02873" w:rsidRPr="00B02873" w14:paraId="66D030E8" w14:textId="77777777" w:rsidTr="0031722C">
        <w:trPr>
          <w:trHeight w:val="60"/>
        </w:trPr>
        <w:tc>
          <w:tcPr>
            <w:tcW w:w="2891" w:type="dxa"/>
          </w:tcPr>
          <w:p w14:paraId="759381FC" w14:textId="77777777" w:rsidR="00B02873" w:rsidRPr="0031722C" w:rsidRDefault="00B02873" w:rsidP="0031722C">
            <w:pPr>
              <w:pStyle w:val="TablebodyleftFinancialsTables"/>
              <w:rPr>
                <w:b/>
                <w:bCs/>
              </w:rPr>
            </w:pPr>
            <w:r w:rsidRPr="0031722C">
              <w:rPr>
                <w:b/>
                <w:bCs/>
              </w:rPr>
              <w:t>Loss allowance ($’000)</w:t>
            </w:r>
          </w:p>
        </w:tc>
        <w:tc>
          <w:tcPr>
            <w:tcW w:w="964" w:type="dxa"/>
          </w:tcPr>
          <w:p w14:paraId="36EE8C5F" w14:textId="77777777" w:rsidR="00B02873" w:rsidRDefault="00B02873" w:rsidP="0031722C">
            <w:pPr>
              <w:pStyle w:val="TablebodyleftFinancialsTables"/>
              <w:jc w:val="right"/>
            </w:pPr>
            <w:r>
              <w:t>–</w:t>
            </w:r>
          </w:p>
        </w:tc>
        <w:tc>
          <w:tcPr>
            <w:tcW w:w="964" w:type="dxa"/>
          </w:tcPr>
          <w:p w14:paraId="788BDAAC" w14:textId="77777777" w:rsidR="00B02873" w:rsidRDefault="00B02873" w:rsidP="0031722C">
            <w:pPr>
              <w:pStyle w:val="TablebodyleftFinancialsTables"/>
              <w:jc w:val="right"/>
            </w:pPr>
            <w:r>
              <w:t>–</w:t>
            </w:r>
          </w:p>
        </w:tc>
        <w:tc>
          <w:tcPr>
            <w:tcW w:w="964" w:type="dxa"/>
          </w:tcPr>
          <w:p w14:paraId="2850E13C" w14:textId="77777777" w:rsidR="00B02873" w:rsidRDefault="00B02873" w:rsidP="0031722C">
            <w:pPr>
              <w:pStyle w:val="TablebodyleftFinancialsTables"/>
              <w:jc w:val="right"/>
            </w:pPr>
            <w:r>
              <w:t>1</w:t>
            </w:r>
          </w:p>
        </w:tc>
        <w:tc>
          <w:tcPr>
            <w:tcW w:w="963" w:type="dxa"/>
          </w:tcPr>
          <w:p w14:paraId="41DD923D" w14:textId="77777777" w:rsidR="00B02873" w:rsidRDefault="00B02873" w:rsidP="0031722C">
            <w:pPr>
              <w:pStyle w:val="TablebodyleftFinancialsTables"/>
              <w:jc w:val="right"/>
            </w:pPr>
            <w:r>
              <w:t>1</w:t>
            </w:r>
          </w:p>
        </w:tc>
        <w:tc>
          <w:tcPr>
            <w:tcW w:w="1187" w:type="dxa"/>
          </w:tcPr>
          <w:p w14:paraId="6C400706" w14:textId="77777777" w:rsidR="00B02873" w:rsidRDefault="00B02873" w:rsidP="0031722C">
            <w:pPr>
              <w:pStyle w:val="TablebodyleftFinancialsTables"/>
              <w:jc w:val="right"/>
            </w:pPr>
            <w:r>
              <w:t>2</w:t>
            </w:r>
          </w:p>
        </w:tc>
        <w:tc>
          <w:tcPr>
            <w:tcW w:w="964" w:type="dxa"/>
          </w:tcPr>
          <w:p w14:paraId="6F5A5B5A" w14:textId="77777777" w:rsidR="00B02873" w:rsidRDefault="00B02873" w:rsidP="0031722C">
            <w:pPr>
              <w:pStyle w:val="TablebodyleftFinancialsTables"/>
              <w:jc w:val="right"/>
            </w:pPr>
            <w:r>
              <w:t>53</w:t>
            </w:r>
          </w:p>
        </w:tc>
        <w:tc>
          <w:tcPr>
            <w:tcW w:w="879" w:type="dxa"/>
          </w:tcPr>
          <w:p w14:paraId="786F745E" w14:textId="77777777" w:rsidR="00B02873" w:rsidRDefault="00B02873" w:rsidP="0031722C">
            <w:pPr>
              <w:pStyle w:val="TablebodyleftFinancialsTables"/>
              <w:jc w:val="right"/>
            </w:pPr>
            <w:r>
              <w:t>57</w:t>
            </w:r>
          </w:p>
        </w:tc>
      </w:tr>
    </w:tbl>
    <w:p w14:paraId="5BF130BC" w14:textId="77777777" w:rsidR="00B02873" w:rsidRDefault="00B02873" w:rsidP="0031722C"/>
    <w:tbl>
      <w:tblPr>
        <w:tblStyle w:val="TableGrid"/>
        <w:tblW w:w="9776" w:type="dxa"/>
        <w:tblLayout w:type="fixed"/>
        <w:tblLook w:val="0020" w:firstRow="1" w:lastRow="0" w:firstColumn="0" w:lastColumn="0" w:noHBand="0" w:noVBand="0"/>
      </w:tblPr>
      <w:tblGrid>
        <w:gridCol w:w="2891"/>
        <w:gridCol w:w="964"/>
        <w:gridCol w:w="964"/>
        <w:gridCol w:w="964"/>
        <w:gridCol w:w="963"/>
        <w:gridCol w:w="1187"/>
        <w:gridCol w:w="964"/>
        <w:gridCol w:w="879"/>
      </w:tblGrid>
      <w:tr w:rsidR="00B02873" w:rsidRPr="00B02873" w14:paraId="259DAA3D" w14:textId="77777777" w:rsidTr="0031722C">
        <w:trPr>
          <w:cnfStyle w:val="100000000000" w:firstRow="1" w:lastRow="0" w:firstColumn="0" w:lastColumn="0" w:oddVBand="0" w:evenVBand="0" w:oddHBand="0" w:evenHBand="0" w:firstRowFirstColumn="0" w:firstRowLastColumn="0" w:lastRowFirstColumn="0" w:lastRowLastColumn="0"/>
        </w:trPr>
        <w:tc>
          <w:tcPr>
            <w:tcW w:w="2891" w:type="dxa"/>
          </w:tcPr>
          <w:p w14:paraId="24B99FB4" w14:textId="77777777" w:rsidR="00B02873" w:rsidRPr="00B02873" w:rsidRDefault="00B02873" w:rsidP="0031722C">
            <w:pPr>
              <w:pStyle w:val="TableheadingleftFinancialsTables"/>
            </w:pPr>
          </w:p>
        </w:tc>
        <w:tc>
          <w:tcPr>
            <w:tcW w:w="964" w:type="dxa"/>
          </w:tcPr>
          <w:p w14:paraId="003077E3" w14:textId="77777777" w:rsidR="00B02873" w:rsidRDefault="00B02873" w:rsidP="0031722C">
            <w:pPr>
              <w:pStyle w:val="TableheadingleftFinancialsTables"/>
              <w:jc w:val="right"/>
            </w:pPr>
            <w:r>
              <w:t>Current</w:t>
            </w:r>
          </w:p>
        </w:tc>
        <w:tc>
          <w:tcPr>
            <w:tcW w:w="964" w:type="dxa"/>
          </w:tcPr>
          <w:p w14:paraId="5E73FB7B" w14:textId="77777777" w:rsidR="00B02873" w:rsidRDefault="00B02873" w:rsidP="0031722C">
            <w:pPr>
              <w:pStyle w:val="TableheadingleftFinancialsTables"/>
              <w:jc w:val="right"/>
            </w:pPr>
            <w:r>
              <w:t>Less than 1 month</w:t>
            </w:r>
          </w:p>
        </w:tc>
        <w:tc>
          <w:tcPr>
            <w:tcW w:w="964" w:type="dxa"/>
          </w:tcPr>
          <w:p w14:paraId="22838A7C" w14:textId="0FAB40F0" w:rsidR="00B02873" w:rsidRDefault="00B02873" w:rsidP="0031722C">
            <w:pPr>
              <w:pStyle w:val="TableheadingleftFinancialsTables"/>
              <w:jc w:val="right"/>
            </w:pPr>
            <w:r>
              <w:t>1</w:t>
            </w:r>
            <w:r w:rsidR="0031722C">
              <w:t>–</w:t>
            </w:r>
            <w:r>
              <w:t>3 months</w:t>
            </w:r>
          </w:p>
        </w:tc>
        <w:tc>
          <w:tcPr>
            <w:tcW w:w="963" w:type="dxa"/>
          </w:tcPr>
          <w:p w14:paraId="2B646F05" w14:textId="33CA8AA4" w:rsidR="00B02873" w:rsidRDefault="00B02873" w:rsidP="0031722C">
            <w:pPr>
              <w:pStyle w:val="TableheadingleftFinancialsTables"/>
              <w:jc w:val="right"/>
            </w:pPr>
            <w:r>
              <w:t>3</w:t>
            </w:r>
            <w:r w:rsidR="000C45FC">
              <w:t>–</w:t>
            </w:r>
            <w:r>
              <w:t>6 months</w:t>
            </w:r>
          </w:p>
        </w:tc>
        <w:tc>
          <w:tcPr>
            <w:tcW w:w="1187" w:type="dxa"/>
          </w:tcPr>
          <w:p w14:paraId="4703E098" w14:textId="2E52E777" w:rsidR="00B02873" w:rsidRDefault="00B02873" w:rsidP="0031722C">
            <w:pPr>
              <w:pStyle w:val="TableheadingleftFinancialsTables"/>
              <w:jc w:val="right"/>
            </w:pPr>
            <w:r>
              <w:t>6 months</w:t>
            </w:r>
            <w:r w:rsidR="0031722C">
              <w:t>–</w:t>
            </w:r>
            <w:r>
              <w:br/>
              <w:t>1 year</w:t>
            </w:r>
          </w:p>
        </w:tc>
        <w:tc>
          <w:tcPr>
            <w:tcW w:w="964" w:type="dxa"/>
          </w:tcPr>
          <w:p w14:paraId="7ACBEF85" w14:textId="6F7B3A17" w:rsidR="00B02873" w:rsidRDefault="00B02873" w:rsidP="0031722C">
            <w:pPr>
              <w:pStyle w:val="TableheadingleftFinancialsTables"/>
              <w:jc w:val="right"/>
            </w:pPr>
            <w:r>
              <w:t>1</w:t>
            </w:r>
            <w:r w:rsidR="0031722C">
              <w:t>–</w:t>
            </w:r>
            <w:r>
              <w:t xml:space="preserve">5 </w:t>
            </w:r>
            <w:r>
              <w:br/>
              <w:t>years</w:t>
            </w:r>
          </w:p>
        </w:tc>
        <w:tc>
          <w:tcPr>
            <w:tcW w:w="879" w:type="dxa"/>
          </w:tcPr>
          <w:p w14:paraId="7CB0CC61" w14:textId="77777777" w:rsidR="00B02873" w:rsidRDefault="00B02873" w:rsidP="0031722C">
            <w:pPr>
              <w:pStyle w:val="TableheadingleftFinancialsTables"/>
              <w:jc w:val="right"/>
            </w:pPr>
            <w:r>
              <w:t>Total</w:t>
            </w:r>
          </w:p>
        </w:tc>
      </w:tr>
      <w:tr w:rsidR="00B02873" w:rsidRPr="00B02873" w14:paraId="57A47BFB" w14:textId="77777777" w:rsidTr="0031722C">
        <w:tc>
          <w:tcPr>
            <w:tcW w:w="2891" w:type="dxa"/>
          </w:tcPr>
          <w:p w14:paraId="2C98A986" w14:textId="77777777" w:rsidR="00B02873" w:rsidRDefault="00B02873" w:rsidP="0031722C">
            <w:pPr>
              <w:pStyle w:val="TablebodyleftFinancialsTables"/>
            </w:pPr>
            <w:r>
              <w:t>30-Jun-21</w:t>
            </w:r>
          </w:p>
        </w:tc>
        <w:tc>
          <w:tcPr>
            <w:tcW w:w="964" w:type="dxa"/>
          </w:tcPr>
          <w:p w14:paraId="77AC3877" w14:textId="77777777" w:rsidR="00B02873" w:rsidRPr="00B02873" w:rsidRDefault="00B02873" w:rsidP="0031722C">
            <w:pPr>
              <w:pStyle w:val="TablebodyleftFinancialsTables"/>
              <w:jc w:val="right"/>
              <w:rPr>
                <w:rFonts w:ascii="VIC Bold Italic" w:hAnsi="VIC Bold Italic" w:cs="Times New Roman"/>
              </w:rPr>
            </w:pPr>
          </w:p>
        </w:tc>
        <w:tc>
          <w:tcPr>
            <w:tcW w:w="964" w:type="dxa"/>
          </w:tcPr>
          <w:p w14:paraId="24FF35AD" w14:textId="77777777" w:rsidR="00B02873" w:rsidRPr="00B02873" w:rsidRDefault="00B02873" w:rsidP="0031722C">
            <w:pPr>
              <w:pStyle w:val="TablebodyleftFinancialsTables"/>
              <w:jc w:val="right"/>
              <w:rPr>
                <w:rFonts w:ascii="VIC Bold Italic" w:hAnsi="VIC Bold Italic" w:cs="Times New Roman"/>
              </w:rPr>
            </w:pPr>
          </w:p>
        </w:tc>
        <w:tc>
          <w:tcPr>
            <w:tcW w:w="964" w:type="dxa"/>
          </w:tcPr>
          <w:p w14:paraId="6DBAFED8" w14:textId="77777777" w:rsidR="00B02873" w:rsidRPr="00B02873" w:rsidRDefault="00B02873" w:rsidP="0031722C">
            <w:pPr>
              <w:pStyle w:val="TablebodyleftFinancialsTables"/>
              <w:jc w:val="right"/>
              <w:rPr>
                <w:rFonts w:ascii="VIC Bold Italic" w:hAnsi="VIC Bold Italic" w:cs="Times New Roman"/>
              </w:rPr>
            </w:pPr>
          </w:p>
        </w:tc>
        <w:tc>
          <w:tcPr>
            <w:tcW w:w="963" w:type="dxa"/>
          </w:tcPr>
          <w:p w14:paraId="39CF8BDF" w14:textId="77777777" w:rsidR="00B02873" w:rsidRPr="00B02873" w:rsidRDefault="00B02873" w:rsidP="0031722C">
            <w:pPr>
              <w:pStyle w:val="TablebodyleftFinancialsTables"/>
              <w:jc w:val="right"/>
              <w:rPr>
                <w:rFonts w:ascii="VIC Bold Italic" w:hAnsi="VIC Bold Italic" w:cs="Times New Roman"/>
              </w:rPr>
            </w:pPr>
          </w:p>
        </w:tc>
        <w:tc>
          <w:tcPr>
            <w:tcW w:w="1187" w:type="dxa"/>
          </w:tcPr>
          <w:p w14:paraId="6A35B6F6" w14:textId="77777777" w:rsidR="00B02873" w:rsidRPr="00B02873" w:rsidRDefault="00B02873" w:rsidP="0031722C">
            <w:pPr>
              <w:pStyle w:val="TablebodyleftFinancialsTables"/>
              <w:jc w:val="right"/>
              <w:rPr>
                <w:rFonts w:ascii="VIC Bold Italic" w:hAnsi="VIC Bold Italic" w:cs="Times New Roman"/>
              </w:rPr>
            </w:pPr>
          </w:p>
        </w:tc>
        <w:tc>
          <w:tcPr>
            <w:tcW w:w="964" w:type="dxa"/>
          </w:tcPr>
          <w:p w14:paraId="29B8EA1D" w14:textId="77777777" w:rsidR="00B02873" w:rsidRPr="00B02873" w:rsidRDefault="00B02873" w:rsidP="0031722C">
            <w:pPr>
              <w:pStyle w:val="TablebodyleftFinancialsTables"/>
              <w:jc w:val="right"/>
              <w:rPr>
                <w:rFonts w:ascii="VIC Bold Italic" w:hAnsi="VIC Bold Italic" w:cs="Times New Roman"/>
              </w:rPr>
            </w:pPr>
          </w:p>
        </w:tc>
        <w:tc>
          <w:tcPr>
            <w:tcW w:w="879" w:type="dxa"/>
          </w:tcPr>
          <w:p w14:paraId="35FA1FD8" w14:textId="77777777" w:rsidR="00B02873" w:rsidRPr="00B02873" w:rsidRDefault="00B02873" w:rsidP="0031722C">
            <w:pPr>
              <w:pStyle w:val="TablebodyleftFinancialsTables"/>
              <w:jc w:val="right"/>
              <w:rPr>
                <w:rFonts w:ascii="VIC Bold Italic" w:hAnsi="VIC Bold Italic" w:cs="Times New Roman"/>
              </w:rPr>
            </w:pPr>
          </w:p>
        </w:tc>
      </w:tr>
      <w:tr w:rsidR="00B02873" w:rsidRPr="00B02873" w14:paraId="0014CC5F" w14:textId="77777777" w:rsidTr="0031722C">
        <w:tc>
          <w:tcPr>
            <w:tcW w:w="2891" w:type="dxa"/>
          </w:tcPr>
          <w:p w14:paraId="5C353635" w14:textId="2DB695CF" w:rsidR="00B02873" w:rsidRDefault="00B02873" w:rsidP="0031722C">
            <w:pPr>
              <w:pStyle w:val="TablebodyleftFinancialsTables"/>
            </w:pPr>
            <w:r>
              <w:t>Expected loss rate</w:t>
            </w:r>
            <w:r w:rsidR="000C45FC">
              <w:t xml:space="preserve"> – </w:t>
            </w:r>
            <w:r>
              <w:t>Public Bodies</w:t>
            </w:r>
          </w:p>
        </w:tc>
        <w:tc>
          <w:tcPr>
            <w:tcW w:w="964" w:type="dxa"/>
          </w:tcPr>
          <w:p w14:paraId="006D69EC" w14:textId="77777777" w:rsidR="00B02873" w:rsidRDefault="00B02873" w:rsidP="0031722C">
            <w:pPr>
              <w:pStyle w:val="TablebodyleftFinancialsTables"/>
              <w:jc w:val="right"/>
            </w:pPr>
            <w:r>
              <w:t>0%</w:t>
            </w:r>
          </w:p>
        </w:tc>
        <w:tc>
          <w:tcPr>
            <w:tcW w:w="964" w:type="dxa"/>
          </w:tcPr>
          <w:p w14:paraId="00852DF9" w14:textId="77777777" w:rsidR="00B02873" w:rsidRDefault="00B02873" w:rsidP="0031722C">
            <w:pPr>
              <w:pStyle w:val="TablebodyleftFinancialsTables"/>
              <w:jc w:val="right"/>
            </w:pPr>
            <w:r>
              <w:t>0%</w:t>
            </w:r>
          </w:p>
        </w:tc>
        <w:tc>
          <w:tcPr>
            <w:tcW w:w="964" w:type="dxa"/>
          </w:tcPr>
          <w:p w14:paraId="10415585" w14:textId="77777777" w:rsidR="00B02873" w:rsidRDefault="00B02873" w:rsidP="0031722C">
            <w:pPr>
              <w:pStyle w:val="TablebodyleftFinancialsTables"/>
              <w:jc w:val="right"/>
            </w:pPr>
            <w:r>
              <w:t>0%</w:t>
            </w:r>
          </w:p>
        </w:tc>
        <w:tc>
          <w:tcPr>
            <w:tcW w:w="963" w:type="dxa"/>
          </w:tcPr>
          <w:p w14:paraId="357A86CD" w14:textId="77777777" w:rsidR="00B02873" w:rsidRDefault="00B02873" w:rsidP="0031722C">
            <w:pPr>
              <w:pStyle w:val="TablebodyleftFinancialsTables"/>
              <w:jc w:val="right"/>
            </w:pPr>
            <w:r>
              <w:t>0%</w:t>
            </w:r>
          </w:p>
        </w:tc>
        <w:tc>
          <w:tcPr>
            <w:tcW w:w="1187" w:type="dxa"/>
          </w:tcPr>
          <w:p w14:paraId="3892297F" w14:textId="77777777" w:rsidR="00B02873" w:rsidRDefault="00B02873" w:rsidP="0031722C">
            <w:pPr>
              <w:pStyle w:val="TablebodyleftFinancialsTables"/>
              <w:jc w:val="right"/>
            </w:pPr>
            <w:r>
              <w:t>0%</w:t>
            </w:r>
          </w:p>
        </w:tc>
        <w:tc>
          <w:tcPr>
            <w:tcW w:w="964" w:type="dxa"/>
          </w:tcPr>
          <w:p w14:paraId="5A4EC626" w14:textId="77777777" w:rsidR="00B02873" w:rsidRDefault="00B02873" w:rsidP="0031722C">
            <w:pPr>
              <w:pStyle w:val="TablebodyleftFinancialsTables"/>
              <w:jc w:val="right"/>
            </w:pPr>
            <w:r>
              <w:t>0%</w:t>
            </w:r>
          </w:p>
        </w:tc>
        <w:tc>
          <w:tcPr>
            <w:tcW w:w="879" w:type="dxa"/>
          </w:tcPr>
          <w:p w14:paraId="1B1497EB" w14:textId="77777777" w:rsidR="00B02873" w:rsidRPr="00B02873" w:rsidRDefault="00B02873" w:rsidP="0031722C">
            <w:pPr>
              <w:pStyle w:val="TablebodyleftFinancialsTables"/>
              <w:jc w:val="right"/>
              <w:rPr>
                <w:rFonts w:ascii="VIC Bold Italic" w:hAnsi="VIC Bold Italic" w:cs="Times New Roman"/>
              </w:rPr>
            </w:pPr>
          </w:p>
        </w:tc>
      </w:tr>
      <w:tr w:rsidR="00B02873" w:rsidRPr="00B02873" w14:paraId="7244C0F9" w14:textId="77777777" w:rsidTr="0031722C">
        <w:tc>
          <w:tcPr>
            <w:tcW w:w="2891" w:type="dxa"/>
          </w:tcPr>
          <w:p w14:paraId="38F0FC41" w14:textId="77777777" w:rsidR="00B02873" w:rsidRDefault="00B02873" w:rsidP="0031722C">
            <w:pPr>
              <w:pStyle w:val="TablebodyleftFinancialsTables"/>
            </w:pPr>
            <w:r>
              <w:t>Expected loss rate – Individual / Commercial customers</w:t>
            </w:r>
          </w:p>
        </w:tc>
        <w:tc>
          <w:tcPr>
            <w:tcW w:w="964" w:type="dxa"/>
          </w:tcPr>
          <w:p w14:paraId="100A15BF" w14:textId="77777777" w:rsidR="00B02873" w:rsidRDefault="00B02873" w:rsidP="0031722C">
            <w:pPr>
              <w:pStyle w:val="TablebodyleftFinancialsTables"/>
              <w:jc w:val="right"/>
            </w:pPr>
            <w:r>
              <w:t>0%</w:t>
            </w:r>
          </w:p>
        </w:tc>
        <w:tc>
          <w:tcPr>
            <w:tcW w:w="964" w:type="dxa"/>
          </w:tcPr>
          <w:p w14:paraId="6DF0F01D" w14:textId="77777777" w:rsidR="00B02873" w:rsidRDefault="00B02873" w:rsidP="0031722C">
            <w:pPr>
              <w:pStyle w:val="TablebodyleftFinancialsTables"/>
              <w:jc w:val="right"/>
            </w:pPr>
            <w:r>
              <w:t>0%</w:t>
            </w:r>
          </w:p>
        </w:tc>
        <w:tc>
          <w:tcPr>
            <w:tcW w:w="964" w:type="dxa"/>
          </w:tcPr>
          <w:p w14:paraId="4F387D6C" w14:textId="77777777" w:rsidR="00B02873" w:rsidRDefault="00B02873" w:rsidP="0031722C">
            <w:pPr>
              <w:pStyle w:val="TablebodyleftFinancialsTables"/>
              <w:jc w:val="right"/>
            </w:pPr>
            <w:r>
              <w:t>0%</w:t>
            </w:r>
          </w:p>
        </w:tc>
        <w:tc>
          <w:tcPr>
            <w:tcW w:w="963" w:type="dxa"/>
          </w:tcPr>
          <w:p w14:paraId="45307FDC" w14:textId="77777777" w:rsidR="00B02873" w:rsidRDefault="00B02873" w:rsidP="0031722C">
            <w:pPr>
              <w:pStyle w:val="TablebodyleftFinancialsTables"/>
              <w:jc w:val="right"/>
            </w:pPr>
            <w:r>
              <w:t>1.2%</w:t>
            </w:r>
          </w:p>
        </w:tc>
        <w:tc>
          <w:tcPr>
            <w:tcW w:w="1187" w:type="dxa"/>
          </w:tcPr>
          <w:p w14:paraId="70A5FCC7" w14:textId="77777777" w:rsidR="00B02873" w:rsidRDefault="00B02873" w:rsidP="0031722C">
            <w:pPr>
              <w:pStyle w:val="TablebodyleftFinancialsTables"/>
              <w:jc w:val="right"/>
            </w:pPr>
            <w:r>
              <w:t>15.0%</w:t>
            </w:r>
          </w:p>
        </w:tc>
        <w:tc>
          <w:tcPr>
            <w:tcW w:w="964" w:type="dxa"/>
          </w:tcPr>
          <w:p w14:paraId="2ADF40AD" w14:textId="77777777" w:rsidR="00B02873" w:rsidRDefault="00B02873" w:rsidP="0031722C">
            <w:pPr>
              <w:pStyle w:val="TablebodyleftFinancialsTables"/>
              <w:jc w:val="right"/>
            </w:pPr>
            <w:r>
              <w:t>100.0%</w:t>
            </w:r>
          </w:p>
        </w:tc>
        <w:tc>
          <w:tcPr>
            <w:tcW w:w="879" w:type="dxa"/>
          </w:tcPr>
          <w:p w14:paraId="51C0F35B" w14:textId="77777777" w:rsidR="00B02873" w:rsidRPr="00B02873" w:rsidRDefault="00B02873" w:rsidP="0031722C">
            <w:pPr>
              <w:pStyle w:val="TablebodyleftFinancialsTables"/>
              <w:jc w:val="right"/>
              <w:rPr>
                <w:rFonts w:ascii="VIC Bold Italic" w:hAnsi="VIC Bold Italic" w:cs="Times New Roman"/>
              </w:rPr>
            </w:pPr>
          </w:p>
        </w:tc>
      </w:tr>
      <w:tr w:rsidR="00B02873" w:rsidRPr="00B02873" w14:paraId="4F309094" w14:textId="77777777" w:rsidTr="0031722C">
        <w:tc>
          <w:tcPr>
            <w:tcW w:w="2891" w:type="dxa"/>
          </w:tcPr>
          <w:p w14:paraId="52AC0545" w14:textId="06116467" w:rsidR="00B02873" w:rsidRDefault="00B02873" w:rsidP="0031722C">
            <w:pPr>
              <w:pStyle w:val="TablebodyleftFinancialsTables"/>
            </w:pPr>
            <w:r>
              <w:t>Gross carrying amount of contractual receivables ($’000)</w:t>
            </w:r>
          </w:p>
        </w:tc>
        <w:tc>
          <w:tcPr>
            <w:tcW w:w="964" w:type="dxa"/>
          </w:tcPr>
          <w:p w14:paraId="2C5308CD" w14:textId="77777777" w:rsidR="00B02873" w:rsidRDefault="00B02873" w:rsidP="0031722C">
            <w:pPr>
              <w:pStyle w:val="TablebodyleftFinancialsTables"/>
              <w:jc w:val="right"/>
            </w:pPr>
            <w:r>
              <w:t>30,943</w:t>
            </w:r>
          </w:p>
        </w:tc>
        <w:tc>
          <w:tcPr>
            <w:tcW w:w="964" w:type="dxa"/>
          </w:tcPr>
          <w:p w14:paraId="0885670F" w14:textId="77777777" w:rsidR="00B02873" w:rsidRDefault="00B02873" w:rsidP="0031722C">
            <w:pPr>
              <w:pStyle w:val="TablebodyleftFinancialsTables"/>
              <w:jc w:val="right"/>
            </w:pPr>
            <w:r>
              <w:t>4,946</w:t>
            </w:r>
          </w:p>
        </w:tc>
        <w:tc>
          <w:tcPr>
            <w:tcW w:w="964" w:type="dxa"/>
          </w:tcPr>
          <w:p w14:paraId="00CF61FA" w14:textId="77777777" w:rsidR="00B02873" w:rsidRDefault="00B02873" w:rsidP="0031722C">
            <w:pPr>
              <w:pStyle w:val="TablebodyleftFinancialsTables"/>
              <w:jc w:val="right"/>
            </w:pPr>
            <w:r>
              <w:t>2,077</w:t>
            </w:r>
          </w:p>
        </w:tc>
        <w:tc>
          <w:tcPr>
            <w:tcW w:w="963" w:type="dxa"/>
          </w:tcPr>
          <w:p w14:paraId="2EEE57CA" w14:textId="77777777" w:rsidR="00B02873" w:rsidRDefault="00B02873" w:rsidP="0031722C">
            <w:pPr>
              <w:pStyle w:val="TablebodyleftFinancialsTables"/>
              <w:jc w:val="right"/>
            </w:pPr>
            <w:r>
              <w:t>3,753</w:t>
            </w:r>
          </w:p>
        </w:tc>
        <w:tc>
          <w:tcPr>
            <w:tcW w:w="1187" w:type="dxa"/>
          </w:tcPr>
          <w:p w14:paraId="08AA9B0E" w14:textId="77777777" w:rsidR="00B02873" w:rsidRDefault="00B02873" w:rsidP="0031722C">
            <w:pPr>
              <w:pStyle w:val="TablebodyleftFinancialsTables"/>
              <w:jc w:val="right"/>
            </w:pPr>
            <w:r>
              <w:t>1,995</w:t>
            </w:r>
          </w:p>
        </w:tc>
        <w:tc>
          <w:tcPr>
            <w:tcW w:w="964" w:type="dxa"/>
          </w:tcPr>
          <w:p w14:paraId="140B2FAF" w14:textId="77777777" w:rsidR="00B02873" w:rsidRDefault="00B02873" w:rsidP="0031722C">
            <w:pPr>
              <w:pStyle w:val="TablebodyleftFinancialsTables"/>
              <w:jc w:val="right"/>
            </w:pPr>
            <w:r>
              <w:t>984</w:t>
            </w:r>
          </w:p>
        </w:tc>
        <w:tc>
          <w:tcPr>
            <w:tcW w:w="879" w:type="dxa"/>
          </w:tcPr>
          <w:p w14:paraId="0C310244" w14:textId="77777777" w:rsidR="00B02873" w:rsidRDefault="00B02873" w:rsidP="0031722C">
            <w:pPr>
              <w:pStyle w:val="TablebodyleftFinancialsTables"/>
              <w:jc w:val="right"/>
            </w:pPr>
            <w:r>
              <w:t>44,698</w:t>
            </w:r>
          </w:p>
        </w:tc>
      </w:tr>
      <w:tr w:rsidR="00B02873" w:rsidRPr="00B02873" w14:paraId="1C761F42" w14:textId="77777777" w:rsidTr="0031722C">
        <w:tc>
          <w:tcPr>
            <w:tcW w:w="2891" w:type="dxa"/>
          </w:tcPr>
          <w:p w14:paraId="152763DC" w14:textId="77777777" w:rsidR="00B02873" w:rsidRPr="009A45F2" w:rsidRDefault="00B02873" w:rsidP="0031722C">
            <w:pPr>
              <w:pStyle w:val="TablebodyleftFinancialsTables"/>
              <w:rPr>
                <w:b/>
                <w:bCs/>
              </w:rPr>
            </w:pPr>
            <w:r w:rsidRPr="009A45F2">
              <w:rPr>
                <w:b/>
                <w:bCs/>
              </w:rPr>
              <w:t>Loss allowance ($’000)</w:t>
            </w:r>
          </w:p>
        </w:tc>
        <w:tc>
          <w:tcPr>
            <w:tcW w:w="964" w:type="dxa"/>
          </w:tcPr>
          <w:p w14:paraId="232EA1E0" w14:textId="77777777" w:rsidR="00B02873" w:rsidRDefault="00B02873" w:rsidP="0031722C">
            <w:pPr>
              <w:pStyle w:val="TablebodyleftFinancialsTables"/>
              <w:jc w:val="right"/>
            </w:pPr>
            <w:r>
              <w:t>-</w:t>
            </w:r>
          </w:p>
        </w:tc>
        <w:tc>
          <w:tcPr>
            <w:tcW w:w="964" w:type="dxa"/>
          </w:tcPr>
          <w:p w14:paraId="4F04D5A2" w14:textId="77777777" w:rsidR="00B02873" w:rsidRDefault="00B02873" w:rsidP="0031722C">
            <w:pPr>
              <w:pStyle w:val="TablebodyleftFinancialsTables"/>
              <w:jc w:val="right"/>
            </w:pPr>
            <w:r>
              <w:t>-</w:t>
            </w:r>
          </w:p>
        </w:tc>
        <w:tc>
          <w:tcPr>
            <w:tcW w:w="964" w:type="dxa"/>
          </w:tcPr>
          <w:p w14:paraId="078477BB" w14:textId="77777777" w:rsidR="00B02873" w:rsidRDefault="00B02873" w:rsidP="0031722C">
            <w:pPr>
              <w:pStyle w:val="TablebodyleftFinancialsTables"/>
              <w:jc w:val="right"/>
            </w:pPr>
            <w:r>
              <w:t>-</w:t>
            </w:r>
          </w:p>
        </w:tc>
        <w:tc>
          <w:tcPr>
            <w:tcW w:w="963" w:type="dxa"/>
          </w:tcPr>
          <w:p w14:paraId="7FF1E62B" w14:textId="77777777" w:rsidR="00B02873" w:rsidRDefault="00B02873" w:rsidP="0031722C">
            <w:pPr>
              <w:pStyle w:val="TablebodyleftFinancialsTables"/>
              <w:jc w:val="right"/>
            </w:pPr>
            <w:r>
              <w:t>21</w:t>
            </w:r>
          </w:p>
        </w:tc>
        <w:tc>
          <w:tcPr>
            <w:tcW w:w="1187" w:type="dxa"/>
          </w:tcPr>
          <w:p w14:paraId="7E180A63" w14:textId="77777777" w:rsidR="00B02873" w:rsidRDefault="00B02873" w:rsidP="0031722C">
            <w:pPr>
              <w:pStyle w:val="TablebodyleftFinancialsTables"/>
              <w:jc w:val="right"/>
            </w:pPr>
            <w:r>
              <w:t>11</w:t>
            </w:r>
          </w:p>
        </w:tc>
        <w:tc>
          <w:tcPr>
            <w:tcW w:w="964" w:type="dxa"/>
          </w:tcPr>
          <w:p w14:paraId="7B536116" w14:textId="77777777" w:rsidR="00B02873" w:rsidRDefault="00B02873" w:rsidP="0031722C">
            <w:pPr>
              <w:pStyle w:val="TablebodyleftFinancialsTables"/>
              <w:jc w:val="right"/>
            </w:pPr>
            <w:r>
              <w:t>86</w:t>
            </w:r>
          </w:p>
        </w:tc>
        <w:tc>
          <w:tcPr>
            <w:tcW w:w="879" w:type="dxa"/>
          </w:tcPr>
          <w:p w14:paraId="48C08333" w14:textId="77777777" w:rsidR="00B02873" w:rsidRDefault="00B02873" w:rsidP="0031722C">
            <w:pPr>
              <w:pStyle w:val="TablebodyleftFinancialsTables"/>
              <w:jc w:val="right"/>
            </w:pPr>
            <w:r>
              <w:t>118</w:t>
            </w:r>
          </w:p>
        </w:tc>
      </w:tr>
    </w:tbl>
    <w:p w14:paraId="7A99F7BF" w14:textId="77777777" w:rsidR="00B02873" w:rsidRDefault="00B02873" w:rsidP="009A45F2"/>
    <w:p w14:paraId="7FC2533E" w14:textId="77777777" w:rsidR="00B02873" w:rsidRDefault="00B02873" w:rsidP="009A45F2">
      <w:pPr>
        <w:pStyle w:val="Boldheader"/>
      </w:pPr>
      <w:r>
        <w:lastRenderedPageBreak/>
        <w:t>General approach – Solar concessional loans</w:t>
      </w:r>
    </w:p>
    <w:p w14:paraId="5D007146" w14:textId="77777777" w:rsidR="00B02873" w:rsidRDefault="00B02873" w:rsidP="00FE198A">
      <w:r>
        <w:t>The general approach is applied to contractual receivables that contain a significant financing component such as concessional loans advanced to customers. The general approach defines the expected credit loss (ECL) to be function of the risk dimensions, being the probability of default (PD), loss given default (LGD) and exposure at default (EAD). In addition, the department considers the time value of money by applying an appropriate discount factor to the expected credit loss model.</w:t>
      </w:r>
    </w:p>
    <w:p w14:paraId="75067F17" w14:textId="77777777" w:rsidR="00B02873" w:rsidRDefault="00B02873" w:rsidP="00FE198A">
      <w:r>
        <w:t>In assessing the ECL for the current financial year, the department considered the impact that COVID-19 might have on the ability of customers to make future repayments on their outstanding concessional loan balances. This was done through utilisation of an estimated unemployment rate in the ECL calculation. The estimated unemployment rate for the state of Victoria was published by the Australian Bureau of Statistics in June 2022 and includes adjustments for factors relating to the impact of COVID-19.</w:t>
      </w:r>
    </w:p>
    <w:p w14:paraId="15468E71" w14:textId="755DAD09" w:rsidR="00B02873" w:rsidRDefault="00B02873" w:rsidP="00FE198A">
      <w:r>
        <w:t>The department considers the probability of default upon initial recognition of a contractual asset containing a significant financing component and whether there has been a significant increase in credit risk on an ongoing basis throughout each reporting period. To assess whether there is a significant increase in credit risk, the department compares the risk of a default occurring on the asset as at the reporting date with the risk of default as at the date of initial recognition. It considers available reasonable and supportive forwarding-looking information.</w:t>
      </w:r>
      <w:r w:rsidR="009A45F2">
        <w:t xml:space="preserve"> </w:t>
      </w:r>
      <w:r>
        <w:t>Regardless of the analysis above, a significant increase in credit risk is presumed if a customer under the concessional loan scheme is more than 90 days past due in making a contractual payment</w:t>
      </w:r>
    </w:p>
    <w:p w14:paraId="4ED34CE8" w14:textId="77777777" w:rsidR="00B02873" w:rsidRDefault="00B02873" w:rsidP="009A45F2">
      <w:pPr>
        <w:pStyle w:val="TabletitleTables"/>
      </w:pPr>
      <w:r>
        <w:t>Contractual assets containing a significant financing component</w:t>
      </w:r>
    </w:p>
    <w:tbl>
      <w:tblPr>
        <w:tblStyle w:val="TableGrid"/>
        <w:tblW w:w="9638" w:type="dxa"/>
        <w:tblLayout w:type="fixed"/>
        <w:tblLook w:val="0020" w:firstRow="1" w:lastRow="0" w:firstColumn="0" w:lastColumn="0" w:noHBand="0" w:noVBand="0"/>
      </w:tblPr>
      <w:tblGrid>
        <w:gridCol w:w="5098"/>
        <w:gridCol w:w="1513"/>
        <w:gridCol w:w="1513"/>
        <w:gridCol w:w="1514"/>
      </w:tblGrid>
      <w:tr w:rsidR="00B02873" w:rsidRPr="00B02873" w14:paraId="13D3848A" w14:textId="77777777" w:rsidTr="009A45F2">
        <w:trPr>
          <w:cnfStyle w:val="100000000000" w:firstRow="1" w:lastRow="0" w:firstColumn="0" w:lastColumn="0" w:oddVBand="0" w:evenVBand="0" w:oddHBand="0" w:evenHBand="0" w:firstRowFirstColumn="0" w:firstRowLastColumn="0" w:lastRowFirstColumn="0" w:lastRowLastColumn="0"/>
        </w:trPr>
        <w:tc>
          <w:tcPr>
            <w:tcW w:w="5098" w:type="dxa"/>
          </w:tcPr>
          <w:p w14:paraId="1B3A418A" w14:textId="77777777" w:rsidR="00B02873" w:rsidRPr="00B02873" w:rsidRDefault="00B02873" w:rsidP="009A45F2">
            <w:pPr>
              <w:pStyle w:val="TableheadingleftFinancialsTables"/>
            </w:pPr>
          </w:p>
        </w:tc>
        <w:tc>
          <w:tcPr>
            <w:tcW w:w="1513" w:type="dxa"/>
          </w:tcPr>
          <w:p w14:paraId="24F11C22" w14:textId="77777777" w:rsidR="00B02873" w:rsidRPr="009A45F2" w:rsidRDefault="00B02873" w:rsidP="009A45F2">
            <w:pPr>
              <w:pStyle w:val="TableheadingleftFinancialsTables"/>
              <w:jc w:val="right"/>
            </w:pPr>
            <w:r w:rsidRPr="009A45F2">
              <w:t>Outstanding balance</w:t>
            </w:r>
            <w:r w:rsidRPr="009A45F2">
              <w:br/>
              <w:t>$’000</w:t>
            </w:r>
          </w:p>
        </w:tc>
        <w:tc>
          <w:tcPr>
            <w:tcW w:w="1513" w:type="dxa"/>
          </w:tcPr>
          <w:p w14:paraId="50D10563" w14:textId="77777777" w:rsidR="00B02873" w:rsidRPr="009A45F2" w:rsidRDefault="00B02873" w:rsidP="009A45F2">
            <w:pPr>
              <w:pStyle w:val="TableheadingleftFinancialsTables"/>
              <w:jc w:val="right"/>
            </w:pPr>
            <w:r w:rsidRPr="009A45F2">
              <w:t>Expected Credit Loss</w:t>
            </w:r>
            <w:r w:rsidRPr="009A45F2">
              <w:br/>
              <w:t>$’000</w:t>
            </w:r>
          </w:p>
        </w:tc>
        <w:tc>
          <w:tcPr>
            <w:tcW w:w="1514" w:type="dxa"/>
          </w:tcPr>
          <w:p w14:paraId="7DC89A47" w14:textId="77777777" w:rsidR="00B02873" w:rsidRPr="009A45F2" w:rsidRDefault="00B02873" w:rsidP="009A45F2">
            <w:pPr>
              <w:pStyle w:val="TableheadingleftFinancialsTables"/>
              <w:jc w:val="right"/>
            </w:pPr>
            <w:r w:rsidRPr="009A45F2">
              <w:t>Coverage ratio</w:t>
            </w:r>
            <w:r w:rsidRPr="009A45F2">
              <w:br/>
              <w:t>%</w:t>
            </w:r>
          </w:p>
        </w:tc>
      </w:tr>
      <w:tr w:rsidR="00B02873" w:rsidRPr="00B02873" w14:paraId="74E5DF9D" w14:textId="77777777" w:rsidTr="009A45F2">
        <w:tc>
          <w:tcPr>
            <w:tcW w:w="5098" w:type="dxa"/>
          </w:tcPr>
          <w:p w14:paraId="34906798" w14:textId="77777777" w:rsidR="00B02873" w:rsidRPr="009A45F2" w:rsidRDefault="00B02873" w:rsidP="009A45F2">
            <w:pPr>
              <w:pStyle w:val="TablebodyleftFinancialsTables"/>
              <w:rPr>
                <w:b/>
                <w:bCs/>
              </w:rPr>
            </w:pPr>
            <w:r w:rsidRPr="009A45F2">
              <w:rPr>
                <w:b/>
                <w:bCs/>
              </w:rPr>
              <w:t>30-Jun-22</w:t>
            </w:r>
          </w:p>
        </w:tc>
        <w:tc>
          <w:tcPr>
            <w:tcW w:w="1513" w:type="dxa"/>
          </w:tcPr>
          <w:p w14:paraId="22E2F44F" w14:textId="77777777" w:rsidR="00B02873" w:rsidRPr="009A45F2" w:rsidRDefault="00B02873" w:rsidP="009A45F2">
            <w:pPr>
              <w:pStyle w:val="TablebodyleftFinancialsTables"/>
              <w:jc w:val="right"/>
              <w:rPr>
                <w:rFonts w:ascii="VIC Bold Italic" w:hAnsi="VIC Bold Italic" w:cs="Times New Roman"/>
                <w:b/>
                <w:bCs/>
              </w:rPr>
            </w:pPr>
          </w:p>
        </w:tc>
        <w:tc>
          <w:tcPr>
            <w:tcW w:w="1513" w:type="dxa"/>
          </w:tcPr>
          <w:p w14:paraId="77C3361D" w14:textId="77777777" w:rsidR="00B02873" w:rsidRPr="009A45F2" w:rsidRDefault="00B02873" w:rsidP="009A45F2">
            <w:pPr>
              <w:pStyle w:val="TablebodyleftFinancialsTables"/>
              <w:jc w:val="right"/>
              <w:rPr>
                <w:rFonts w:ascii="VIC Bold Italic" w:hAnsi="VIC Bold Italic" w:cs="Times New Roman"/>
                <w:b/>
                <w:bCs/>
              </w:rPr>
            </w:pPr>
          </w:p>
        </w:tc>
        <w:tc>
          <w:tcPr>
            <w:tcW w:w="1514" w:type="dxa"/>
          </w:tcPr>
          <w:p w14:paraId="16FFF850" w14:textId="77777777" w:rsidR="00B02873" w:rsidRPr="009A45F2" w:rsidRDefault="00B02873" w:rsidP="009A45F2">
            <w:pPr>
              <w:pStyle w:val="TablebodyleftFinancialsTables"/>
              <w:jc w:val="right"/>
              <w:rPr>
                <w:rFonts w:ascii="VIC Bold Italic" w:hAnsi="VIC Bold Italic" w:cs="Times New Roman"/>
                <w:b/>
                <w:bCs/>
              </w:rPr>
            </w:pPr>
          </w:p>
        </w:tc>
      </w:tr>
      <w:tr w:rsidR="00B02873" w:rsidRPr="00B02873" w14:paraId="4EC9145A" w14:textId="77777777" w:rsidTr="009A45F2">
        <w:tc>
          <w:tcPr>
            <w:tcW w:w="5098" w:type="dxa"/>
          </w:tcPr>
          <w:p w14:paraId="31C07FF9" w14:textId="77777777" w:rsidR="00B02873" w:rsidRPr="009A45F2" w:rsidRDefault="00B02873" w:rsidP="009A45F2">
            <w:pPr>
              <w:pStyle w:val="TablebodyleftFinancialsTables"/>
              <w:rPr>
                <w:b/>
                <w:bCs/>
              </w:rPr>
            </w:pPr>
            <w:r w:rsidRPr="009A45F2">
              <w:rPr>
                <w:b/>
                <w:bCs/>
              </w:rPr>
              <w:t>Stage 1 – Performing loans</w:t>
            </w:r>
          </w:p>
        </w:tc>
        <w:tc>
          <w:tcPr>
            <w:tcW w:w="1513" w:type="dxa"/>
          </w:tcPr>
          <w:p w14:paraId="40FA49B3" w14:textId="77777777" w:rsidR="00B02873" w:rsidRPr="009A45F2" w:rsidRDefault="00B02873" w:rsidP="009A45F2">
            <w:pPr>
              <w:pStyle w:val="TablebodyleftFinancialsTables"/>
              <w:jc w:val="right"/>
              <w:rPr>
                <w:b/>
                <w:bCs/>
              </w:rPr>
            </w:pPr>
            <w:r w:rsidRPr="009A45F2">
              <w:rPr>
                <w:b/>
                <w:bCs/>
              </w:rPr>
              <w:t>115,707</w:t>
            </w:r>
          </w:p>
        </w:tc>
        <w:tc>
          <w:tcPr>
            <w:tcW w:w="1513" w:type="dxa"/>
          </w:tcPr>
          <w:p w14:paraId="5CEA347D" w14:textId="77777777" w:rsidR="00B02873" w:rsidRPr="009A45F2" w:rsidRDefault="00B02873" w:rsidP="009A45F2">
            <w:pPr>
              <w:pStyle w:val="TablebodyleftFinancialsTables"/>
              <w:jc w:val="right"/>
              <w:rPr>
                <w:b/>
                <w:bCs/>
              </w:rPr>
            </w:pPr>
            <w:r w:rsidRPr="009A45F2">
              <w:rPr>
                <w:b/>
                <w:bCs/>
              </w:rPr>
              <w:t>505</w:t>
            </w:r>
          </w:p>
        </w:tc>
        <w:tc>
          <w:tcPr>
            <w:tcW w:w="1514" w:type="dxa"/>
          </w:tcPr>
          <w:p w14:paraId="1FEC7ECC" w14:textId="77777777" w:rsidR="00B02873" w:rsidRPr="009A45F2" w:rsidRDefault="00B02873" w:rsidP="009A45F2">
            <w:pPr>
              <w:pStyle w:val="TablebodyleftFinancialsTables"/>
              <w:jc w:val="right"/>
              <w:rPr>
                <w:b/>
                <w:bCs/>
              </w:rPr>
            </w:pPr>
            <w:r w:rsidRPr="009A45F2">
              <w:rPr>
                <w:b/>
                <w:bCs/>
              </w:rPr>
              <w:t>0.44</w:t>
            </w:r>
          </w:p>
        </w:tc>
      </w:tr>
      <w:tr w:rsidR="00B02873" w:rsidRPr="00B02873" w14:paraId="7EAE6AEC" w14:textId="77777777" w:rsidTr="009A45F2">
        <w:tc>
          <w:tcPr>
            <w:tcW w:w="5098" w:type="dxa"/>
          </w:tcPr>
          <w:p w14:paraId="131E9C09" w14:textId="77777777" w:rsidR="00B02873" w:rsidRPr="009A45F2" w:rsidRDefault="00B02873" w:rsidP="009A45F2">
            <w:pPr>
              <w:pStyle w:val="TablebodyleftFinancialsTables"/>
              <w:rPr>
                <w:b/>
                <w:bCs/>
              </w:rPr>
            </w:pPr>
            <w:r w:rsidRPr="009A45F2">
              <w:rPr>
                <w:b/>
                <w:bCs/>
              </w:rPr>
              <w:t>Stage 2 – Underperforming loans</w:t>
            </w:r>
          </w:p>
        </w:tc>
        <w:tc>
          <w:tcPr>
            <w:tcW w:w="1513" w:type="dxa"/>
          </w:tcPr>
          <w:p w14:paraId="1854C8DC" w14:textId="77777777" w:rsidR="00B02873" w:rsidRPr="009A45F2" w:rsidRDefault="00B02873" w:rsidP="009A45F2">
            <w:pPr>
              <w:pStyle w:val="TablebodyleftFinancialsTables"/>
              <w:jc w:val="right"/>
              <w:rPr>
                <w:b/>
                <w:bCs/>
              </w:rPr>
            </w:pPr>
            <w:r w:rsidRPr="009A45F2">
              <w:rPr>
                <w:b/>
                <w:bCs/>
              </w:rPr>
              <w:t>2,057</w:t>
            </w:r>
          </w:p>
        </w:tc>
        <w:tc>
          <w:tcPr>
            <w:tcW w:w="1513" w:type="dxa"/>
          </w:tcPr>
          <w:p w14:paraId="07AA4D42" w14:textId="77777777" w:rsidR="00B02873" w:rsidRPr="009A45F2" w:rsidRDefault="00B02873" w:rsidP="009A45F2">
            <w:pPr>
              <w:pStyle w:val="TablebodyleftFinancialsTables"/>
              <w:jc w:val="right"/>
              <w:rPr>
                <w:b/>
                <w:bCs/>
              </w:rPr>
            </w:pPr>
            <w:r w:rsidRPr="009A45F2">
              <w:rPr>
                <w:b/>
                <w:bCs/>
              </w:rPr>
              <w:t>705</w:t>
            </w:r>
          </w:p>
        </w:tc>
        <w:tc>
          <w:tcPr>
            <w:tcW w:w="1514" w:type="dxa"/>
          </w:tcPr>
          <w:p w14:paraId="2B628C55" w14:textId="77777777" w:rsidR="00B02873" w:rsidRPr="009A45F2" w:rsidRDefault="00B02873" w:rsidP="009A45F2">
            <w:pPr>
              <w:pStyle w:val="TablebodyleftFinancialsTables"/>
              <w:jc w:val="right"/>
              <w:rPr>
                <w:b/>
                <w:bCs/>
              </w:rPr>
            </w:pPr>
            <w:r w:rsidRPr="009A45F2">
              <w:rPr>
                <w:b/>
                <w:bCs/>
              </w:rPr>
              <w:t>34.27</w:t>
            </w:r>
          </w:p>
        </w:tc>
      </w:tr>
      <w:tr w:rsidR="00B02873" w:rsidRPr="00B02873" w14:paraId="0F3E7B4E" w14:textId="77777777" w:rsidTr="009A45F2">
        <w:tc>
          <w:tcPr>
            <w:tcW w:w="5098" w:type="dxa"/>
          </w:tcPr>
          <w:p w14:paraId="0448DBF8" w14:textId="77777777" w:rsidR="00B02873" w:rsidRPr="009A45F2" w:rsidRDefault="00B02873" w:rsidP="009A45F2">
            <w:pPr>
              <w:pStyle w:val="TablebodyleftFinancialsTables"/>
              <w:rPr>
                <w:b/>
                <w:bCs/>
              </w:rPr>
            </w:pPr>
            <w:r w:rsidRPr="009A45F2">
              <w:rPr>
                <w:b/>
                <w:bCs/>
              </w:rPr>
              <w:t>Stage 3 – Non-performing loans</w:t>
            </w:r>
          </w:p>
        </w:tc>
        <w:tc>
          <w:tcPr>
            <w:tcW w:w="1513" w:type="dxa"/>
          </w:tcPr>
          <w:p w14:paraId="7A2B72DC" w14:textId="77777777" w:rsidR="00B02873" w:rsidRPr="009A45F2" w:rsidRDefault="00B02873" w:rsidP="009A45F2">
            <w:pPr>
              <w:pStyle w:val="TablebodyleftFinancialsTables"/>
              <w:jc w:val="right"/>
              <w:rPr>
                <w:b/>
                <w:bCs/>
              </w:rPr>
            </w:pPr>
            <w:r w:rsidRPr="009A45F2">
              <w:rPr>
                <w:b/>
                <w:bCs/>
              </w:rPr>
              <w:t>1,584</w:t>
            </w:r>
          </w:p>
        </w:tc>
        <w:tc>
          <w:tcPr>
            <w:tcW w:w="1513" w:type="dxa"/>
          </w:tcPr>
          <w:p w14:paraId="6FE263D8" w14:textId="77777777" w:rsidR="00B02873" w:rsidRPr="009A45F2" w:rsidRDefault="00B02873" w:rsidP="009A45F2">
            <w:pPr>
              <w:pStyle w:val="TablebodyleftFinancialsTables"/>
              <w:jc w:val="right"/>
              <w:rPr>
                <w:b/>
                <w:bCs/>
              </w:rPr>
            </w:pPr>
            <w:r w:rsidRPr="009A45F2">
              <w:rPr>
                <w:b/>
                <w:bCs/>
              </w:rPr>
              <w:t>1,378</w:t>
            </w:r>
          </w:p>
        </w:tc>
        <w:tc>
          <w:tcPr>
            <w:tcW w:w="1514" w:type="dxa"/>
          </w:tcPr>
          <w:p w14:paraId="5B1D5479" w14:textId="77777777" w:rsidR="00B02873" w:rsidRPr="009A45F2" w:rsidRDefault="00B02873" w:rsidP="009A45F2">
            <w:pPr>
              <w:pStyle w:val="TablebodyleftFinancialsTables"/>
              <w:jc w:val="right"/>
              <w:rPr>
                <w:b/>
                <w:bCs/>
              </w:rPr>
            </w:pPr>
            <w:r w:rsidRPr="009A45F2">
              <w:rPr>
                <w:b/>
                <w:bCs/>
              </w:rPr>
              <w:t>86.98</w:t>
            </w:r>
          </w:p>
        </w:tc>
      </w:tr>
      <w:tr w:rsidR="00B02873" w:rsidRPr="00B02873" w14:paraId="7F0BB03C" w14:textId="77777777" w:rsidTr="009A45F2">
        <w:tc>
          <w:tcPr>
            <w:tcW w:w="5098" w:type="dxa"/>
          </w:tcPr>
          <w:p w14:paraId="6B0D0E8A" w14:textId="77777777" w:rsidR="00B02873" w:rsidRPr="009A45F2" w:rsidRDefault="00B02873" w:rsidP="009A45F2">
            <w:pPr>
              <w:pStyle w:val="TablebodyleftFinancialsTables"/>
              <w:rPr>
                <w:b/>
                <w:bCs/>
              </w:rPr>
            </w:pPr>
            <w:r w:rsidRPr="009A45F2">
              <w:rPr>
                <w:b/>
                <w:bCs/>
              </w:rPr>
              <w:t>Loss allowance</w:t>
            </w:r>
          </w:p>
        </w:tc>
        <w:tc>
          <w:tcPr>
            <w:tcW w:w="1513" w:type="dxa"/>
          </w:tcPr>
          <w:p w14:paraId="6EF3AE9A" w14:textId="77777777" w:rsidR="00B02873" w:rsidRPr="009A45F2" w:rsidRDefault="00B02873" w:rsidP="009A45F2">
            <w:pPr>
              <w:pStyle w:val="TablebodyleftFinancialsTables"/>
              <w:jc w:val="right"/>
              <w:rPr>
                <w:b/>
                <w:bCs/>
              </w:rPr>
            </w:pPr>
            <w:r w:rsidRPr="009A45F2">
              <w:rPr>
                <w:b/>
                <w:bCs/>
              </w:rPr>
              <w:t>119,348</w:t>
            </w:r>
          </w:p>
        </w:tc>
        <w:tc>
          <w:tcPr>
            <w:tcW w:w="1513" w:type="dxa"/>
          </w:tcPr>
          <w:p w14:paraId="157E4E7F" w14:textId="77777777" w:rsidR="00B02873" w:rsidRPr="009A45F2" w:rsidRDefault="00B02873" w:rsidP="009A45F2">
            <w:pPr>
              <w:pStyle w:val="TablebodyleftFinancialsTables"/>
              <w:jc w:val="right"/>
              <w:rPr>
                <w:b/>
                <w:bCs/>
              </w:rPr>
            </w:pPr>
            <w:r w:rsidRPr="009A45F2">
              <w:rPr>
                <w:b/>
                <w:bCs/>
              </w:rPr>
              <w:t>2,588</w:t>
            </w:r>
          </w:p>
        </w:tc>
        <w:tc>
          <w:tcPr>
            <w:tcW w:w="1514" w:type="dxa"/>
          </w:tcPr>
          <w:p w14:paraId="29961E0D" w14:textId="77777777" w:rsidR="00B02873" w:rsidRPr="009A45F2" w:rsidRDefault="00B02873" w:rsidP="009A45F2">
            <w:pPr>
              <w:pStyle w:val="TablebodyleftFinancialsTables"/>
              <w:jc w:val="right"/>
              <w:rPr>
                <w:b/>
                <w:bCs/>
              </w:rPr>
            </w:pPr>
            <w:r w:rsidRPr="009A45F2">
              <w:rPr>
                <w:b/>
                <w:bCs/>
              </w:rPr>
              <w:t>2.17</w:t>
            </w:r>
          </w:p>
        </w:tc>
      </w:tr>
    </w:tbl>
    <w:p w14:paraId="7E74F3FD" w14:textId="77777777" w:rsidR="00B02873" w:rsidRDefault="00B02873" w:rsidP="009A45F2"/>
    <w:tbl>
      <w:tblPr>
        <w:tblStyle w:val="TableGrid"/>
        <w:tblW w:w="9638" w:type="dxa"/>
        <w:tblLayout w:type="fixed"/>
        <w:tblLook w:val="0020" w:firstRow="1" w:lastRow="0" w:firstColumn="0" w:lastColumn="0" w:noHBand="0" w:noVBand="0"/>
      </w:tblPr>
      <w:tblGrid>
        <w:gridCol w:w="5098"/>
        <w:gridCol w:w="1513"/>
        <w:gridCol w:w="1513"/>
        <w:gridCol w:w="1514"/>
      </w:tblGrid>
      <w:tr w:rsidR="00B02873" w:rsidRPr="00B02873" w14:paraId="3C4C1AD5" w14:textId="77777777" w:rsidTr="009A45F2">
        <w:trPr>
          <w:cnfStyle w:val="100000000000" w:firstRow="1" w:lastRow="0" w:firstColumn="0" w:lastColumn="0" w:oddVBand="0" w:evenVBand="0" w:oddHBand="0" w:evenHBand="0" w:firstRowFirstColumn="0" w:firstRowLastColumn="0" w:lastRowFirstColumn="0" w:lastRowLastColumn="0"/>
          <w:trHeight w:val="60"/>
        </w:trPr>
        <w:tc>
          <w:tcPr>
            <w:tcW w:w="5098" w:type="dxa"/>
          </w:tcPr>
          <w:p w14:paraId="67C13D66" w14:textId="77777777" w:rsidR="00B02873" w:rsidRPr="00B02873" w:rsidRDefault="00B02873" w:rsidP="009A45F2">
            <w:pPr>
              <w:pStyle w:val="TableheadingleftFinancialsTables"/>
            </w:pPr>
          </w:p>
        </w:tc>
        <w:tc>
          <w:tcPr>
            <w:tcW w:w="1513" w:type="dxa"/>
          </w:tcPr>
          <w:p w14:paraId="7B5D6212" w14:textId="77777777" w:rsidR="00B02873" w:rsidRDefault="00B02873" w:rsidP="009A45F2">
            <w:pPr>
              <w:pStyle w:val="TableheadingleftFinancialsTables"/>
              <w:jc w:val="right"/>
            </w:pPr>
            <w:r>
              <w:t>Outstanding balance</w:t>
            </w:r>
            <w:r>
              <w:br/>
              <w:t>$’000</w:t>
            </w:r>
          </w:p>
        </w:tc>
        <w:tc>
          <w:tcPr>
            <w:tcW w:w="1513" w:type="dxa"/>
          </w:tcPr>
          <w:p w14:paraId="48883B95" w14:textId="77777777" w:rsidR="00B02873" w:rsidRDefault="00B02873" w:rsidP="009A45F2">
            <w:pPr>
              <w:pStyle w:val="TableheadingleftFinancialsTables"/>
              <w:jc w:val="right"/>
            </w:pPr>
            <w:r>
              <w:t>Expected Credit Loss</w:t>
            </w:r>
            <w:r>
              <w:br/>
              <w:t>$’000</w:t>
            </w:r>
          </w:p>
        </w:tc>
        <w:tc>
          <w:tcPr>
            <w:tcW w:w="1514" w:type="dxa"/>
          </w:tcPr>
          <w:p w14:paraId="2D62A476" w14:textId="77777777" w:rsidR="00B02873" w:rsidRDefault="00B02873" w:rsidP="009A45F2">
            <w:pPr>
              <w:pStyle w:val="TableheadingleftFinancialsTables"/>
              <w:jc w:val="right"/>
            </w:pPr>
            <w:r>
              <w:t>Coverage ratio</w:t>
            </w:r>
            <w:r>
              <w:br/>
              <w:t>%</w:t>
            </w:r>
          </w:p>
        </w:tc>
      </w:tr>
      <w:tr w:rsidR="00B02873" w:rsidRPr="00B02873" w14:paraId="7AF0EBE8" w14:textId="77777777" w:rsidTr="009A45F2">
        <w:trPr>
          <w:trHeight w:val="60"/>
        </w:trPr>
        <w:tc>
          <w:tcPr>
            <w:tcW w:w="5098" w:type="dxa"/>
          </w:tcPr>
          <w:p w14:paraId="4EAE40A9" w14:textId="77777777" w:rsidR="00B02873" w:rsidRDefault="00B02873" w:rsidP="009A45F2">
            <w:pPr>
              <w:pStyle w:val="TablebodyleftFinancialsTables"/>
            </w:pPr>
            <w:r>
              <w:t>30-Jun-21</w:t>
            </w:r>
          </w:p>
        </w:tc>
        <w:tc>
          <w:tcPr>
            <w:tcW w:w="1513" w:type="dxa"/>
          </w:tcPr>
          <w:p w14:paraId="0DF360B9" w14:textId="77777777" w:rsidR="00B02873" w:rsidRPr="00B02873" w:rsidRDefault="00B02873" w:rsidP="009A45F2">
            <w:pPr>
              <w:pStyle w:val="TablebodyleftFinancialsTables"/>
              <w:jc w:val="right"/>
              <w:rPr>
                <w:rFonts w:ascii="VIC Bold Italic" w:hAnsi="VIC Bold Italic" w:cs="Times New Roman"/>
              </w:rPr>
            </w:pPr>
          </w:p>
        </w:tc>
        <w:tc>
          <w:tcPr>
            <w:tcW w:w="1513" w:type="dxa"/>
          </w:tcPr>
          <w:p w14:paraId="4CD25E11" w14:textId="77777777" w:rsidR="00B02873" w:rsidRPr="00B02873" w:rsidRDefault="00B02873" w:rsidP="009A45F2">
            <w:pPr>
              <w:pStyle w:val="TablebodyleftFinancialsTables"/>
              <w:jc w:val="right"/>
              <w:rPr>
                <w:rFonts w:ascii="VIC Bold Italic" w:hAnsi="VIC Bold Italic" w:cs="Times New Roman"/>
              </w:rPr>
            </w:pPr>
          </w:p>
        </w:tc>
        <w:tc>
          <w:tcPr>
            <w:tcW w:w="1514" w:type="dxa"/>
          </w:tcPr>
          <w:p w14:paraId="3D6F893E" w14:textId="77777777" w:rsidR="00B02873" w:rsidRPr="00B02873" w:rsidRDefault="00B02873" w:rsidP="009A45F2">
            <w:pPr>
              <w:pStyle w:val="TablebodyleftFinancialsTables"/>
              <w:jc w:val="right"/>
              <w:rPr>
                <w:rFonts w:ascii="VIC Bold Italic" w:hAnsi="VIC Bold Italic" w:cs="Times New Roman"/>
              </w:rPr>
            </w:pPr>
          </w:p>
        </w:tc>
      </w:tr>
      <w:tr w:rsidR="00B02873" w:rsidRPr="00B02873" w14:paraId="718F2EEB" w14:textId="77777777" w:rsidTr="009A45F2">
        <w:trPr>
          <w:trHeight w:val="60"/>
        </w:trPr>
        <w:tc>
          <w:tcPr>
            <w:tcW w:w="5098" w:type="dxa"/>
          </w:tcPr>
          <w:p w14:paraId="07972210" w14:textId="77777777" w:rsidR="00B02873" w:rsidRDefault="00B02873" w:rsidP="009A45F2">
            <w:pPr>
              <w:pStyle w:val="TablebodyleftFinancialsTables"/>
            </w:pPr>
            <w:r>
              <w:t>Stage 1 – Performing loans</w:t>
            </w:r>
          </w:p>
        </w:tc>
        <w:tc>
          <w:tcPr>
            <w:tcW w:w="1513" w:type="dxa"/>
          </w:tcPr>
          <w:p w14:paraId="4C02802D" w14:textId="77777777" w:rsidR="00B02873" w:rsidRDefault="00B02873" w:rsidP="009A45F2">
            <w:pPr>
              <w:pStyle w:val="TablebodyleftFinancialsTables"/>
              <w:jc w:val="right"/>
            </w:pPr>
            <w:r>
              <w:t>104,170</w:t>
            </w:r>
          </w:p>
        </w:tc>
        <w:tc>
          <w:tcPr>
            <w:tcW w:w="1513" w:type="dxa"/>
          </w:tcPr>
          <w:p w14:paraId="16FC1950" w14:textId="77777777" w:rsidR="00B02873" w:rsidRDefault="00B02873" w:rsidP="009A45F2">
            <w:pPr>
              <w:pStyle w:val="TablebodyleftFinancialsTables"/>
              <w:jc w:val="right"/>
            </w:pPr>
            <w:r>
              <w:t>793</w:t>
            </w:r>
          </w:p>
        </w:tc>
        <w:tc>
          <w:tcPr>
            <w:tcW w:w="1514" w:type="dxa"/>
          </w:tcPr>
          <w:p w14:paraId="6063D92B" w14:textId="77777777" w:rsidR="00B02873" w:rsidRDefault="00B02873" w:rsidP="009A45F2">
            <w:pPr>
              <w:pStyle w:val="TablebodyleftFinancialsTables"/>
              <w:jc w:val="right"/>
            </w:pPr>
            <w:r>
              <w:t>0.76</w:t>
            </w:r>
          </w:p>
        </w:tc>
      </w:tr>
      <w:tr w:rsidR="00B02873" w:rsidRPr="00B02873" w14:paraId="394C6B65" w14:textId="77777777" w:rsidTr="009A45F2">
        <w:trPr>
          <w:trHeight w:val="60"/>
        </w:trPr>
        <w:tc>
          <w:tcPr>
            <w:tcW w:w="5098" w:type="dxa"/>
          </w:tcPr>
          <w:p w14:paraId="1D07E795" w14:textId="77777777" w:rsidR="00B02873" w:rsidRDefault="00B02873" w:rsidP="009A45F2">
            <w:pPr>
              <w:pStyle w:val="TablebodyleftFinancialsTables"/>
            </w:pPr>
            <w:r>
              <w:t>Stage 2 – Underperforming loans</w:t>
            </w:r>
          </w:p>
        </w:tc>
        <w:tc>
          <w:tcPr>
            <w:tcW w:w="1513" w:type="dxa"/>
          </w:tcPr>
          <w:p w14:paraId="534BFC7F" w14:textId="77777777" w:rsidR="00B02873" w:rsidRDefault="00B02873" w:rsidP="009A45F2">
            <w:pPr>
              <w:pStyle w:val="TablebodyleftFinancialsTables"/>
              <w:jc w:val="right"/>
            </w:pPr>
            <w:r>
              <w:t>934</w:t>
            </w:r>
          </w:p>
        </w:tc>
        <w:tc>
          <w:tcPr>
            <w:tcW w:w="1513" w:type="dxa"/>
          </w:tcPr>
          <w:p w14:paraId="252264E9" w14:textId="77777777" w:rsidR="00B02873" w:rsidRDefault="00B02873" w:rsidP="009A45F2">
            <w:pPr>
              <w:pStyle w:val="TablebodyleftFinancialsTables"/>
              <w:jc w:val="right"/>
            </w:pPr>
            <w:r>
              <w:t>406</w:t>
            </w:r>
          </w:p>
        </w:tc>
        <w:tc>
          <w:tcPr>
            <w:tcW w:w="1514" w:type="dxa"/>
          </w:tcPr>
          <w:p w14:paraId="33861124" w14:textId="77777777" w:rsidR="00B02873" w:rsidRDefault="00B02873" w:rsidP="009A45F2">
            <w:pPr>
              <w:pStyle w:val="TablebodyleftFinancialsTables"/>
              <w:jc w:val="right"/>
            </w:pPr>
            <w:r>
              <w:t>43.51</w:t>
            </w:r>
          </w:p>
        </w:tc>
      </w:tr>
      <w:tr w:rsidR="00B02873" w:rsidRPr="00B02873" w14:paraId="124A9D39" w14:textId="77777777" w:rsidTr="009A45F2">
        <w:trPr>
          <w:trHeight w:val="60"/>
        </w:trPr>
        <w:tc>
          <w:tcPr>
            <w:tcW w:w="5098" w:type="dxa"/>
          </w:tcPr>
          <w:p w14:paraId="43C0C8F3" w14:textId="77777777" w:rsidR="00B02873" w:rsidRDefault="00B02873" w:rsidP="009A45F2">
            <w:pPr>
              <w:pStyle w:val="TablebodyleftFinancialsTables"/>
            </w:pPr>
            <w:r>
              <w:t>Stage 3 – Non-performing loans</w:t>
            </w:r>
          </w:p>
        </w:tc>
        <w:tc>
          <w:tcPr>
            <w:tcW w:w="1513" w:type="dxa"/>
          </w:tcPr>
          <w:p w14:paraId="55E9E226" w14:textId="77777777" w:rsidR="00B02873" w:rsidRDefault="00B02873" w:rsidP="009A45F2">
            <w:pPr>
              <w:pStyle w:val="TablebodyleftFinancialsTables"/>
              <w:jc w:val="right"/>
            </w:pPr>
            <w:r>
              <w:t>731</w:t>
            </w:r>
          </w:p>
        </w:tc>
        <w:tc>
          <w:tcPr>
            <w:tcW w:w="1513" w:type="dxa"/>
          </w:tcPr>
          <w:p w14:paraId="0895BDC6" w14:textId="77777777" w:rsidR="00B02873" w:rsidRDefault="00B02873" w:rsidP="009A45F2">
            <w:pPr>
              <w:pStyle w:val="TablebodyleftFinancialsTables"/>
              <w:jc w:val="right"/>
            </w:pPr>
            <w:r>
              <w:t>766</w:t>
            </w:r>
          </w:p>
        </w:tc>
        <w:tc>
          <w:tcPr>
            <w:tcW w:w="1514" w:type="dxa"/>
          </w:tcPr>
          <w:p w14:paraId="739E12F8" w14:textId="77777777" w:rsidR="00B02873" w:rsidRDefault="00B02873" w:rsidP="009A45F2">
            <w:pPr>
              <w:pStyle w:val="TablebodyleftFinancialsTables"/>
              <w:jc w:val="right"/>
            </w:pPr>
            <w:r>
              <w:t>104.79</w:t>
            </w:r>
          </w:p>
        </w:tc>
      </w:tr>
      <w:tr w:rsidR="00B02873" w:rsidRPr="00B02873" w14:paraId="6C2D078C" w14:textId="77777777" w:rsidTr="009A45F2">
        <w:trPr>
          <w:trHeight w:val="60"/>
        </w:trPr>
        <w:tc>
          <w:tcPr>
            <w:tcW w:w="5098" w:type="dxa"/>
          </w:tcPr>
          <w:p w14:paraId="537E4130" w14:textId="77777777" w:rsidR="00B02873" w:rsidRPr="009A45F2" w:rsidRDefault="00B02873" w:rsidP="009A45F2">
            <w:pPr>
              <w:pStyle w:val="TablebodyleftFinancialsTables"/>
              <w:rPr>
                <w:b/>
                <w:bCs/>
              </w:rPr>
            </w:pPr>
            <w:r w:rsidRPr="009A45F2">
              <w:rPr>
                <w:b/>
                <w:bCs/>
              </w:rPr>
              <w:t>Loss allowance</w:t>
            </w:r>
          </w:p>
        </w:tc>
        <w:tc>
          <w:tcPr>
            <w:tcW w:w="1513" w:type="dxa"/>
          </w:tcPr>
          <w:p w14:paraId="2D97B218" w14:textId="77777777" w:rsidR="00B02873" w:rsidRDefault="00B02873" w:rsidP="009A45F2">
            <w:pPr>
              <w:pStyle w:val="TablebodyleftFinancialsTables"/>
              <w:jc w:val="right"/>
            </w:pPr>
            <w:r>
              <w:t>105,835</w:t>
            </w:r>
          </w:p>
        </w:tc>
        <w:tc>
          <w:tcPr>
            <w:tcW w:w="1513" w:type="dxa"/>
          </w:tcPr>
          <w:p w14:paraId="2F980C86" w14:textId="77777777" w:rsidR="00B02873" w:rsidRDefault="00B02873" w:rsidP="009A45F2">
            <w:pPr>
              <w:pStyle w:val="TablebodyleftFinancialsTables"/>
              <w:jc w:val="right"/>
            </w:pPr>
            <w:r>
              <w:t>1,965</w:t>
            </w:r>
          </w:p>
        </w:tc>
        <w:tc>
          <w:tcPr>
            <w:tcW w:w="1514" w:type="dxa"/>
          </w:tcPr>
          <w:p w14:paraId="7725474B" w14:textId="77777777" w:rsidR="00B02873" w:rsidRDefault="00B02873" w:rsidP="009A45F2">
            <w:pPr>
              <w:pStyle w:val="TablebodyleftFinancialsTables"/>
              <w:jc w:val="right"/>
            </w:pPr>
            <w:r>
              <w:t>1.86</w:t>
            </w:r>
          </w:p>
        </w:tc>
      </w:tr>
    </w:tbl>
    <w:p w14:paraId="16877714" w14:textId="77777777" w:rsidR="00B02873" w:rsidRDefault="00B02873" w:rsidP="00DC42BF"/>
    <w:p w14:paraId="65EFFF6C" w14:textId="77777777" w:rsidR="00B02873" w:rsidRDefault="00B02873" w:rsidP="00DC42BF">
      <w:pPr>
        <w:pStyle w:val="Normalbeforebullet"/>
      </w:pPr>
      <w:r>
        <w:lastRenderedPageBreak/>
        <w:t xml:space="preserve">Reconciliation of the movement in the loss allowance for contractual receivables is shown as follows: </w:t>
      </w:r>
    </w:p>
    <w:tbl>
      <w:tblPr>
        <w:tblStyle w:val="TableGrid"/>
        <w:tblW w:w="9638" w:type="dxa"/>
        <w:tblLayout w:type="fixed"/>
        <w:tblLook w:val="0020" w:firstRow="1" w:lastRow="0" w:firstColumn="0" w:lastColumn="0" w:noHBand="0" w:noVBand="0"/>
      </w:tblPr>
      <w:tblGrid>
        <w:gridCol w:w="7257"/>
        <w:gridCol w:w="1190"/>
        <w:gridCol w:w="1191"/>
      </w:tblGrid>
      <w:tr w:rsidR="00B02873" w:rsidRPr="00B02873" w14:paraId="64E363E5" w14:textId="77777777" w:rsidTr="00DC42BF">
        <w:trPr>
          <w:cnfStyle w:val="100000000000" w:firstRow="1" w:lastRow="0" w:firstColumn="0" w:lastColumn="0" w:oddVBand="0" w:evenVBand="0" w:oddHBand="0" w:evenHBand="0" w:firstRowFirstColumn="0" w:firstRowLastColumn="0" w:lastRowFirstColumn="0" w:lastRowLastColumn="0"/>
          <w:trHeight w:val="60"/>
        </w:trPr>
        <w:tc>
          <w:tcPr>
            <w:tcW w:w="7257" w:type="dxa"/>
          </w:tcPr>
          <w:p w14:paraId="4326C52D" w14:textId="77777777" w:rsidR="00B02873" w:rsidRPr="00B02873" w:rsidRDefault="00B02873" w:rsidP="00DC42BF">
            <w:pPr>
              <w:pStyle w:val="TableheadingleftFinancialsTables"/>
            </w:pPr>
          </w:p>
        </w:tc>
        <w:tc>
          <w:tcPr>
            <w:tcW w:w="1190" w:type="dxa"/>
          </w:tcPr>
          <w:p w14:paraId="41671B40" w14:textId="77777777" w:rsidR="00B02873" w:rsidRPr="00DC42BF" w:rsidRDefault="00B02873" w:rsidP="00DC42BF">
            <w:pPr>
              <w:pStyle w:val="TableheadingleftFinancialsTables"/>
              <w:jc w:val="right"/>
            </w:pPr>
            <w:r w:rsidRPr="00DC42BF">
              <w:t>2022</w:t>
            </w:r>
            <w:r w:rsidRPr="00DC42BF">
              <w:br/>
              <w:t>$’000</w:t>
            </w:r>
          </w:p>
        </w:tc>
        <w:tc>
          <w:tcPr>
            <w:tcW w:w="1191" w:type="dxa"/>
          </w:tcPr>
          <w:p w14:paraId="2B8D402A" w14:textId="77777777" w:rsidR="00B02873" w:rsidRDefault="00B02873" w:rsidP="00DC42BF">
            <w:pPr>
              <w:pStyle w:val="TableheadingleftFinancialsTables"/>
              <w:jc w:val="right"/>
            </w:pPr>
            <w:r>
              <w:t>2021</w:t>
            </w:r>
            <w:r>
              <w:br/>
              <w:t>$’000</w:t>
            </w:r>
          </w:p>
        </w:tc>
      </w:tr>
      <w:tr w:rsidR="00B02873" w:rsidRPr="00B02873" w14:paraId="5EC03208" w14:textId="77777777" w:rsidTr="00DC42BF">
        <w:trPr>
          <w:trHeight w:val="60"/>
        </w:trPr>
        <w:tc>
          <w:tcPr>
            <w:tcW w:w="7257" w:type="dxa"/>
          </w:tcPr>
          <w:p w14:paraId="4F2E12D0" w14:textId="77777777" w:rsidR="00B02873" w:rsidRPr="00DC42BF" w:rsidRDefault="00B02873" w:rsidP="00DC42BF">
            <w:pPr>
              <w:pStyle w:val="TablebodyleftFinancialsTables"/>
              <w:rPr>
                <w:b/>
                <w:bCs/>
              </w:rPr>
            </w:pPr>
            <w:r w:rsidRPr="00DC42BF">
              <w:rPr>
                <w:b/>
                <w:bCs/>
              </w:rPr>
              <w:t>Balance at 1 July</w:t>
            </w:r>
          </w:p>
        </w:tc>
        <w:tc>
          <w:tcPr>
            <w:tcW w:w="1190" w:type="dxa"/>
          </w:tcPr>
          <w:p w14:paraId="35949B8A" w14:textId="77777777" w:rsidR="00B02873" w:rsidRPr="00DC42BF" w:rsidRDefault="00B02873" w:rsidP="00DC42BF">
            <w:pPr>
              <w:pStyle w:val="TablebodyleftFinancialsTables"/>
              <w:jc w:val="right"/>
              <w:rPr>
                <w:b/>
                <w:bCs/>
              </w:rPr>
            </w:pPr>
            <w:r w:rsidRPr="00DC42BF">
              <w:rPr>
                <w:b/>
                <w:bCs/>
              </w:rPr>
              <w:t>2,083</w:t>
            </w:r>
          </w:p>
        </w:tc>
        <w:tc>
          <w:tcPr>
            <w:tcW w:w="1191" w:type="dxa"/>
          </w:tcPr>
          <w:p w14:paraId="211FDF24" w14:textId="77777777" w:rsidR="00B02873" w:rsidRDefault="00B02873" w:rsidP="00DC42BF">
            <w:pPr>
              <w:pStyle w:val="TablebodyleftFinancialsTables"/>
              <w:jc w:val="right"/>
            </w:pPr>
            <w:r>
              <w:t>1,305</w:t>
            </w:r>
          </w:p>
        </w:tc>
      </w:tr>
      <w:tr w:rsidR="00B02873" w:rsidRPr="00B02873" w14:paraId="137D5254" w14:textId="77777777" w:rsidTr="00DC42BF">
        <w:trPr>
          <w:trHeight w:val="60"/>
        </w:trPr>
        <w:tc>
          <w:tcPr>
            <w:tcW w:w="7257" w:type="dxa"/>
          </w:tcPr>
          <w:p w14:paraId="0E4C4177" w14:textId="77777777" w:rsidR="00B02873" w:rsidRDefault="00B02873" w:rsidP="00DC42BF">
            <w:pPr>
              <w:pStyle w:val="TablebodyleftFinancialsTables"/>
            </w:pPr>
            <w:r>
              <w:t>Reversal of unused provision recognised in the net result</w:t>
            </w:r>
          </w:p>
        </w:tc>
        <w:tc>
          <w:tcPr>
            <w:tcW w:w="1190" w:type="dxa"/>
          </w:tcPr>
          <w:p w14:paraId="1E781C91" w14:textId="77777777" w:rsidR="00B02873" w:rsidRPr="00DC42BF" w:rsidRDefault="00B02873" w:rsidP="00DC42BF">
            <w:pPr>
              <w:pStyle w:val="TablebodyleftFinancialsTables"/>
              <w:jc w:val="right"/>
              <w:rPr>
                <w:b/>
                <w:bCs/>
              </w:rPr>
            </w:pPr>
            <w:r w:rsidRPr="00DC42BF">
              <w:rPr>
                <w:b/>
                <w:bCs/>
              </w:rPr>
              <w:t>–</w:t>
            </w:r>
          </w:p>
        </w:tc>
        <w:tc>
          <w:tcPr>
            <w:tcW w:w="1191" w:type="dxa"/>
          </w:tcPr>
          <w:p w14:paraId="00ECB235" w14:textId="77777777" w:rsidR="00B02873" w:rsidRDefault="00B02873" w:rsidP="00DC42BF">
            <w:pPr>
              <w:pStyle w:val="TablebodyleftFinancialsTables"/>
              <w:jc w:val="right"/>
            </w:pPr>
            <w:r>
              <w:t>–</w:t>
            </w:r>
          </w:p>
        </w:tc>
      </w:tr>
      <w:tr w:rsidR="00B02873" w:rsidRPr="00B02873" w14:paraId="0E91223C" w14:textId="77777777" w:rsidTr="00DC42BF">
        <w:trPr>
          <w:trHeight w:val="352"/>
        </w:trPr>
        <w:tc>
          <w:tcPr>
            <w:tcW w:w="7257" w:type="dxa"/>
          </w:tcPr>
          <w:p w14:paraId="49CC2766" w14:textId="77777777" w:rsidR="00B02873" w:rsidRDefault="00B02873" w:rsidP="00DC42BF">
            <w:pPr>
              <w:pStyle w:val="TablebodyleftFinancialsTables"/>
            </w:pPr>
            <w:r>
              <w:t>Reversal of provision of receivables written off during the year as uncollectible</w:t>
            </w:r>
          </w:p>
        </w:tc>
        <w:tc>
          <w:tcPr>
            <w:tcW w:w="1190" w:type="dxa"/>
          </w:tcPr>
          <w:p w14:paraId="381052F4" w14:textId="77777777" w:rsidR="00B02873" w:rsidRPr="00DC42BF" w:rsidRDefault="00B02873" w:rsidP="00DC42BF">
            <w:pPr>
              <w:pStyle w:val="TablebodyleftFinancialsTables"/>
              <w:jc w:val="right"/>
              <w:rPr>
                <w:b/>
                <w:bCs/>
              </w:rPr>
            </w:pPr>
            <w:r w:rsidRPr="00DC42BF">
              <w:rPr>
                <w:b/>
                <w:bCs/>
              </w:rPr>
              <w:t>–</w:t>
            </w:r>
          </w:p>
        </w:tc>
        <w:tc>
          <w:tcPr>
            <w:tcW w:w="1191" w:type="dxa"/>
          </w:tcPr>
          <w:p w14:paraId="654B232B" w14:textId="77777777" w:rsidR="00B02873" w:rsidRDefault="00B02873" w:rsidP="00DC42BF">
            <w:pPr>
              <w:pStyle w:val="TablebodyleftFinancialsTables"/>
              <w:jc w:val="right"/>
            </w:pPr>
            <w:r>
              <w:t>–</w:t>
            </w:r>
          </w:p>
        </w:tc>
      </w:tr>
      <w:tr w:rsidR="00B02873" w:rsidRPr="00B02873" w14:paraId="70DC5F5B" w14:textId="77777777" w:rsidTr="00DC42BF">
        <w:trPr>
          <w:trHeight w:val="60"/>
        </w:trPr>
        <w:tc>
          <w:tcPr>
            <w:tcW w:w="7257" w:type="dxa"/>
          </w:tcPr>
          <w:p w14:paraId="70DB03B4" w14:textId="77777777" w:rsidR="00B02873" w:rsidRDefault="00B02873" w:rsidP="00DC42BF">
            <w:pPr>
              <w:pStyle w:val="TablebodyleftFinancialsTables"/>
            </w:pPr>
            <w:r>
              <w:t>Increase in provision recognised in the net result</w:t>
            </w:r>
          </w:p>
        </w:tc>
        <w:tc>
          <w:tcPr>
            <w:tcW w:w="1190" w:type="dxa"/>
          </w:tcPr>
          <w:p w14:paraId="1D29FB2A" w14:textId="77777777" w:rsidR="00B02873" w:rsidRPr="00DC42BF" w:rsidRDefault="00B02873" w:rsidP="00DC42BF">
            <w:pPr>
              <w:pStyle w:val="TablebodyleftFinancialsTables"/>
              <w:jc w:val="right"/>
              <w:rPr>
                <w:b/>
                <w:bCs/>
              </w:rPr>
            </w:pPr>
            <w:r w:rsidRPr="00DC42BF">
              <w:rPr>
                <w:b/>
                <w:bCs/>
              </w:rPr>
              <w:t>562</w:t>
            </w:r>
          </w:p>
        </w:tc>
        <w:tc>
          <w:tcPr>
            <w:tcW w:w="1191" w:type="dxa"/>
          </w:tcPr>
          <w:p w14:paraId="6E954DF3" w14:textId="77777777" w:rsidR="00B02873" w:rsidRDefault="00B02873" w:rsidP="00DC42BF">
            <w:pPr>
              <w:pStyle w:val="TablebodyleftFinancialsTables"/>
              <w:jc w:val="right"/>
            </w:pPr>
            <w:r>
              <w:t>778</w:t>
            </w:r>
          </w:p>
        </w:tc>
      </w:tr>
      <w:tr w:rsidR="00B02873" w:rsidRPr="00B02873" w14:paraId="26E027B7" w14:textId="77777777" w:rsidTr="00DC42BF">
        <w:trPr>
          <w:trHeight w:val="60"/>
        </w:trPr>
        <w:tc>
          <w:tcPr>
            <w:tcW w:w="7257" w:type="dxa"/>
          </w:tcPr>
          <w:p w14:paraId="51431E78" w14:textId="77777777" w:rsidR="00B02873" w:rsidRPr="00DC42BF" w:rsidRDefault="00B02873" w:rsidP="00DC42BF">
            <w:pPr>
              <w:pStyle w:val="TablebodyleftFinancialsTables"/>
              <w:rPr>
                <w:b/>
                <w:bCs/>
              </w:rPr>
            </w:pPr>
            <w:r w:rsidRPr="00DC42BF">
              <w:rPr>
                <w:b/>
                <w:bCs/>
              </w:rPr>
              <w:t>Balance at 30 June</w:t>
            </w:r>
          </w:p>
        </w:tc>
        <w:tc>
          <w:tcPr>
            <w:tcW w:w="1190" w:type="dxa"/>
          </w:tcPr>
          <w:p w14:paraId="16F4B78A" w14:textId="77777777" w:rsidR="00B02873" w:rsidRPr="00DC42BF" w:rsidRDefault="00B02873" w:rsidP="00DC42BF">
            <w:pPr>
              <w:pStyle w:val="TablebodyleftFinancialsTables"/>
              <w:jc w:val="right"/>
              <w:rPr>
                <w:b/>
                <w:bCs/>
              </w:rPr>
            </w:pPr>
            <w:r w:rsidRPr="00DC42BF">
              <w:rPr>
                <w:b/>
                <w:bCs/>
              </w:rPr>
              <w:t>2,645</w:t>
            </w:r>
          </w:p>
        </w:tc>
        <w:tc>
          <w:tcPr>
            <w:tcW w:w="1191" w:type="dxa"/>
          </w:tcPr>
          <w:p w14:paraId="4531E9B9" w14:textId="77777777" w:rsidR="00B02873" w:rsidRDefault="00B02873" w:rsidP="00DC42BF">
            <w:pPr>
              <w:pStyle w:val="TablebodyleftFinancialsTables"/>
              <w:jc w:val="right"/>
            </w:pPr>
            <w:r>
              <w:t>2,083</w:t>
            </w:r>
          </w:p>
        </w:tc>
      </w:tr>
    </w:tbl>
    <w:p w14:paraId="0060523A" w14:textId="77777777" w:rsidR="00B02873" w:rsidRDefault="00B02873" w:rsidP="00FE198A"/>
    <w:p w14:paraId="0A3F3E22" w14:textId="1268457F" w:rsidR="00B02873" w:rsidRDefault="00B02873" w:rsidP="00FE198A">
      <w:r>
        <w:t>Credit loss allowance is classified as other economic flows in the net result. Contractual receivables are written off when there is no reasonable expectation of recovery and impairment losses are classified as a transaction expense. Subsequent recoveries of amounts previously written off are credited against the same line item.</w:t>
      </w:r>
    </w:p>
    <w:p w14:paraId="373F67A2" w14:textId="77777777" w:rsidR="00B02873" w:rsidRDefault="00B02873" w:rsidP="00DC42BF">
      <w:pPr>
        <w:pStyle w:val="Boldheader"/>
      </w:pPr>
      <w:r>
        <w:t xml:space="preserve">Statutory receivables at amortised cost </w:t>
      </w:r>
    </w:p>
    <w:p w14:paraId="16778C6F" w14:textId="77777777" w:rsidR="00B02873" w:rsidRDefault="00B02873" w:rsidP="00FE198A">
      <w:r>
        <w:t xml:space="preserve">The department’s non-contractual receivables arising from statutory requirements are not financial instruments. However, they are nevertheless recognised and measured in accordance with AASB 9 requirements as if those receivables are financial instruments. </w:t>
      </w:r>
    </w:p>
    <w:p w14:paraId="035339AC" w14:textId="77777777" w:rsidR="00B02873" w:rsidRDefault="00B02873" w:rsidP="00FE198A">
      <w:r>
        <w:t>The statutory receivables are considered to have low credit risk, taking into account the counterparty’s credit rating, risk of default and capacity to meet contractual cash flow obligations in the near term. As the result, the loss allowance recognised for these financial assets during the period was limited to 12 months expected losses. The department has recognised no loss allowance.</w:t>
      </w:r>
    </w:p>
    <w:p w14:paraId="41BF6E5A" w14:textId="77777777" w:rsidR="00B02873" w:rsidRDefault="00B02873" w:rsidP="00DC42BF">
      <w:pPr>
        <w:pStyle w:val="Heading5"/>
      </w:pPr>
      <w:r>
        <w:t>(b) Financial instruments: Liquidity risk</w:t>
      </w:r>
    </w:p>
    <w:p w14:paraId="67F958E5" w14:textId="77777777" w:rsidR="00B02873" w:rsidRDefault="00B02873" w:rsidP="00FE198A">
      <w:r>
        <w:t xml:space="preserve">Liquidity risk arises from being unable to meet financial obligations as they fall due. The department operates under the government fair payments policy of settling financial obligations within 30 days and in the event of a dispute, making payments within 30 days from the date of resolution. </w:t>
      </w:r>
    </w:p>
    <w:p w14:paraId="63D4401A" w14:textId="77777777" w:rsidR="00B02873" w:rsidRDefault="00B02873" w:rsidP="00DC42BF">
      <w:pPr>
        <w:pStyle w:val="Normalbeforebullet"/>
      </w:pPr>
      <w:r>
        <w:t>The department is exposed to liquidity risk mainly through the financial liabilities as disclosed in the face of the balance sheet. The department manages its liquidity risk by:</w:t>
      </w:r>
    </w:p>
    <w:p w14:paraId="60AC0966" w14:textId="77777777" w:rsidR="00B02873" w:rsidRDefault="00B02873" w:rsidP="00B02873">
      <w:pPr>
        <w:pStyle w:val="Bullet1Lists"/>
      </w:pPr>
      <w:r>
        <w:t>close monitoring of its short-term and long-term borrowings and financial exposure by senior management, including monthly reviews on current and future borrowing levels and financial exposure requirements;</w:t>
      </w:r>
    </w:p>
    <w:p w14:paraId="42F173BC" w14:textId="77777777" w:rsidR="00B02873" w:rsidRDefault="00B02873" w:rsidP="00B02873">
      <w:pPr>
        <w:pStyle w:val="Bullet1Lists"/>
      </w:pPr>
      <w:r>
        <w:t>maintaining an adequate level of uncommitted funds that can be drawn at short notice to meet its short-term obligations;</w:t>
      </w:r>
    </w:p>
    <w:p w14:paraId="43F1B96E" w14:textId="77777777" w:rsidR="00B02873" w:rsidRDefault="00B02873" w:rsidP="00B02873">
      <w:pPr>
        <w:pStyle w:val="Bullet1Lists"/>
      </w:pPr>
      <w:r>
        <w:t>holding investments and other contractual financial assets that are readily tradeable in the financial markets;</w:t>
      </w:r>
    </w:p>
    <w:p w14:paraId="2B638B67" w14:textId="77777777" w:rsidR="00B02873" w:rsidRDefault="00B02873" w:rsidP="00B02873">
      <w:pPr>
        <w:pStyle w:val="Bullet1Lists"/>
      </w:pPr>
      <w:r>
        <w:t>careful maturity planning of its financial obligations based on forecasts of future cash flows; and</w:t>
      </w:r>
    </w:p>
    <w:p w14:paraId="24E7AB1D" w14:textId="77777777" w:rsidR="00B02873" w:rsidRDefault="00B02873" w:rsidP="00DC42BF">
      <w:pPr>
        <w:pStyle w:val="Bullet1Listslast"/>
      </w:pPr>
      <w:r>
        <w:t>a high credit rating for the state of Victoria (Moody’s Investor Services and Standard &amp; Poor’s double-A, which assists in accessing debt market at a lower interest rate).</w:t>
      </w:r>
    </w:p>
    <w:p w14:paraId="669C2FF4" w14:textId="77777777" w:rsidR="00B02873" w:rsidRDefault="00B02873" w:rsidP="00FE198A">
      <w:r>
        <w:t>The department’s exposure to liquidity risk is deemed insignificant based on prior periods’ data and current assessment of risk.</w:t>
      </w:r>
    </w:p>
    <w:p w14:paraId="10E89B3B" w14:textId="6010CE73" w:rsidR="00B02873" w:rsidRDefault="00B02873" w:rsidP="00FE198A">
      <w:r>
        <w:lastRenderedPageBreak/>
        <w:t xml:space="preserve">The carrying amount detailed for contractual payables in Note 6.3.1, and the carrying amount </w:t>
      </w:r>
      <w:r w:rsidR="00AA7B44">
        <w:t xml:space="preserve"> </w:t>
      </w:r>
      <w:r>
        <w:t>of derivative financial instruments recorded in Note 6.2(b) represents the department’s maximum exposure to liquidity risk.</w:t>
      </w:r>
    </w:p>
    <w:p w14:paraId="4697D603" w14:textId="77777777" w:rsidR="00B02873" w:rsidRDefault="00B02873" w:rsidP="00DC42BF">
      <w:pPr>
        <w:pStyle w:val="Heading5"/>
      </w:pPr>
      <w:r>
        <w:t>(c) Financial instruments: Market risk</w:t>
      </w:r>
    </w:p>
    <w:p w14:paraId="49FA180B" w14:textId="77777777" w:rsidR="00B02873" w:rsidRDefault="00B02873" w:rsidP="00FE198A">
      <w:r>
        <w:t xml:space="preserve">The department’s exposures to market risk are primarily through interest rate and equity price risk with insignificant exposure to foreign currency risks. Objectives, policies and processes used to manage each of these risks is disclosed below. </w:t>
      </w:r>
    </w:p>
    <w:p w14:paraId="1A792781" w14:textId="77777777" w:rsidR="00B02873" w:rsidRDefault="00B02873" w:rsidP="00DC42BF">
      <w:pPr>
        <w:pStyle w:val="Boldheader"/>
      </w:pPr>
      <w:r>
        <w:t>Sensitivity disclosure analysis and assumptions</w:t>
      </w:r>
    </w:p>
    <w:p w14:paraId="34ED3A9C" w14:textId="56FDAFBD" w:rsidR="00B02873" w:rsidRDefault="00B02873" w:rsidP="00DC42BF">
      <w:pPr>
        <w:pStyle w:val="Normalbeforebullet"/>
      </w:pPr>
      <w:r>
        <w:t xml:space="preserve">Taking into account past performance, future expectations, economic forecasts, and management’s knowledge and experience of the financial markets, the department believes the following movements are ‘reasonably possible’ over the next 12 months (the cash rate is sourced from the Reserve Bank of Australia): </w:t>
      </w:r>
    </w:p>
    <w:p w14:paraId="0BEE35BC" w14:textId="77777777" w:rsidR="00B02873" w:rsidRDefault="00B02873" w:rsidP="00DC42BF">
      <w:pPr>
        <w:pStyle w:val="Bullet1Listslast"/>
      </w:pPr>
      <w:r>
        <w:t>a movement of 200 basis points up and 100 basis points down (2021: 100 basis points up and down) in market interest rates (AUD);</w:t>
      </w:r>
    </w:p>
    <w:p w14:paraId="4C903694" w14:textId="77777777" w:rsidR="00B02873" w:rsidRDefault="00B02873" w:rsidP="00FE198A">
      <w:r>
        <w:rPr>
          <w:spacing w:val="-1"/>
        </w:rPr>
        <w:t>The tables that follow show the impact on the department’s net result and equity for each category of financial instrument held by the department at the end of the reporting period, if the above movements were to occur.</w:t>
      </w:r>
    </w:p>
    <w:p w14:paraId="538A97F8" w14:textId="77777777" w:rsidR="00B02873" w:rsidRDefault="00B02873" w:rsidP="00DC42BF">
      <w:pPr>
        <w:pStyle w:val="Boldheader"/>
      </w:pPr>
      <w:r>
        <w:t>Interest rate risk</w:t>
      </w:r>
    </w:p>
    <w:p w14:paraId="06F4D486" w14:textId="77777777" w:rsidR="00B02873" w:rsidRDefault="00B02873" w:rsidP="00FE198A">
      <w:r>
        <w:rPr>
          <w:spacing w:val="-2"/>
        </w:rPr>
        <w:t xml:space="preserve">Fair value interest rate risk is the risk that the fair value of a financial instrument will fluctuate because of changes in market interest rates. </w:t>
      </w:r>
    </w:p>
    <w:p w14:paraId="7989BA78" w14:textId="77777777" w:rsidR="00B02873" w:rsidRDefault="00B02873" w:rsidP="00FE198A">
      <w:r>
        <w:t xml:space="preserve">Cash flow interest rate risk is the risk that the future cash flows of a financial instrument will fluctuate because of changes in market interest rates. The department has minimal exposure to cash flow interest rate risks through cash and deposits in the Centralised Banking System (CBS). The interest rate paid on surplus account balances are the cash rate plus 15 basis points and funds are all at call. </w:t>
      </w:r>
    </w:p>
    <w:p w14:paraId="33C38ABA" w14:textId="023A21E4" w:rsidR="00B02873" w:rsidRDefault="00B02873" w:rsidP="00FE198A">
      <w:r>
        <w:t>The department’s borrowings are office accommodation, motor vehicle leases and other asset leases as disclosed in Note 7.3. The department’s motor vehicles leases are managed by VicFleet and Fleet Plus and interest rates are fixed at the inception of the lease. Office accommodation and other asset leases liabilities are determined using the interest rate implicit in the lease if that rate is readily determinable.</w:t>
      </w:r>
    </w:p>
    <w:p w14:paraId="6FADC23B" w14:textId="77777777" w:rsidR="00B02873" w:rsidRDefault="00B02873" w:rsidP="00FE198A">
      <w:r>
        <w:t xml:space="preserve">The department leases office accommodation, motor vehicles, and various other assets for fire emergency purposes. </w:t>
      </w:r>
    </w:p>
    <w:p w14:paraId="78014844" w14:textId="77777777" w:rsidR="00B02873" w:rsidRDefault="00B02873" w:rsidP="00FE198A">
      <w:r>
        <w:t>Office accommodation are mostly leased from the Shared Service Provider (SSP), part of the Department of Treasury and Finance. As a result of the Central Accommodation Management initiative implemented in the current financial year, the department has entered into two year lease agreements with SSP for all its office accommodation.</w:t>
      </w:r>
    </w:p>
    <w:p w14:paraId="643E5C33" w14:textId="77777777" w:rsidR="00B02873" w:rsidRDefault="00B02873" w:rsidP="00FE198A">
      <w:r>
        <w:t xml:space="preserve">Motor vehicles are leased through the VicFleet and Fleet Plus lease facilities. The lease term is the period over which the vehicle is to be leased. Generally, vehicles must be retained for three years or 60,000 kilometres for VicFleet vehicles and 15 years for FleetPlus vehicles, whichever occurs first. On disposal of the vehicle any profit or loss on sale is borne by the department. </w:t>
      </w:r>
    </w:p>
    <w:p w14:paraId="47640856" w14:textId="0B32CF52" w:rsidR="00B02873" w:rsidRDefault="00B02873" w:rsidP="00FE198A">
      <w:r>
        <w:t xml:space="preserve">Other leased assets include airport hangars, and emergency management system hosting and storage. These assets are leased to assist the department in delivering its fire and emergency management outputs. The assets are leased for a period between 1 and 3 years. </w:t>
      </w:r>
    </w:p>
    <w:p w14:paraId="63A0B617" w14:textId="77777777" w:rsidR="00B02873" w:rsidRDefault="00B02873" w:rsidP="00FE198A">
      <w:r>
        <w:lastRenderedPageBreak/>
        <w:t>The carrying amounts of financial assets and financial liabilities that are exposed to interest rates and the department’s sensitivity to interest rate risk are set out in the table that follows.</w:t>
      </w:r>
    </w:p>
    <w:p w14:paraId="04F1908C" w14:textId="77777777" w:rsidR="00B02873" w:rsidRDefault="00B02873" w:rsidP="00DC42BF">
      <w:pPr>
        <w:pStyle w:val="TabletitleTables"/>
      </w:pPr>
      <w:r>
        <w:t>Interest rate exposure of financial instruments</w:t>
      </w:r>
    </w:p>
    <w:tbl>
      <w:tblPr>
        <w:tblStyle w:val="TableGrid"/>
        <w:tblW w:w="9638" w:type="dxa"/>
        <w:tblLayout w:type="fixed"/>
        <w:tblLook w:val="0020" w:firstRow="1" w:lastRow="0" w:firstColumn="0" w:lastColumn="0" w:noHBand="0" w:noVBand="0"/>
      </w:tblPr>
      <w:tblGrid>
        <w:gridCol w:w="3345"/>
        <w:gridCol w:w="1531"/>
        <w:gridCol w:w="1190"/>
        <w:gridCol w:w="1191"/>
        <w:gridCol w:w="1190"/>
        <w:gridCol w:w="1191"/>
      </w:tblGrid>
      <w:tr w:rsidR="00B02873" w:rsidRPr="00B02873" w14:paraId="61C60039" w14:textId="77777777" w:rsidTr="00E204D7">
        <w:trPr>
          <w:cnfStyle w:val="100000000000" w:firstRow="1" w:lastRow="0" w:firstColumn="0" w:lastColumn="0" w:oddVBand="0" w:evenVBand="0" w:oddHBand="0" w:evenHBand="0" w:firstRowFirstColumn="0" w:firstRowLastColumn="0" w:lastRowFirstColumn="0" w:lastRowLastColumn="0"/>
          <w:trHeight w:val="60"/>
        </w:trPr>
        <w:tc>
          <w:tcPr>
            <w:tcW w:w="3345" w:type="dxa"/>
          </w:tcPr>
          <w:p w14:paraId="0F7588AD" w14:textId="77777777" w:rsidR="00B02873" w:rsidRPr="00B02873" w:rsidRDefault="00B02873" w:rsidP="00DC42BF">
            <w:pPr>
              <w:pStyle w:val="TableheadingleftFinancialsTables"/>
            </w:pPr>
          </w:p>
        </w:tc>
        <w:tc>
          <w:tcPr>
            <w:tcW w:w="1531" w:type="dxa"/>
          </w:tcPr>
          <w:p w14:paraId="2B0912BD" w14:textId="27E3E8A0" w:rsidR="00B02873" w:rsidRPr="00E204D7" w:rsidRDefault="00DC42BF" w:rsidP="00E204D7">
            <w:pPr>
              <w:pStyle w:val="TableheadingleftFinancialsTables"/>
              <w:jc w:val="right"/>
            </w:pPr>
            <w:r w:rsidRPr="00E204D7">
              <w:rPr>
                <w:spacing w:val="-5"/>
              </w:rPr>
              <w:t>Weighted average effective interest rate</w:t>
            </w:r>
          </w:p>
        </w:tc>
        <w:tc>
          <w:tcPr>
            <w:tcW w:w="1190" w:type="dxa"/>
          </w:tcPr>
          <w:p w14:paraId="1620B7DA" w14:textId="26C9E0C5" w:rsidR="00B02873" w:rsidRPr="00E204D7" w:rsidRDefault="00DC42BF" w:rsidP="00E204D7">
            <w:pPr>
              <w:pStyle w:val="TableheadingleftFinancialsTables"/>
              <w:jc w:val="right"/>
            </w:pPr>
            <w:r w:rsidRPr="00E204D7">
              <w:t xml:space="preserve">Interest rate exposure </w:t>
            </w:r>
            <w:r w:rsidR="00B02873" w:rsidRPr="00E204D7">
              <w:t>Carrying amount</w:t>
            </w:r>
            <w:r w:rsidR="00B02873" w:rsidRPr="00E204D7">
              <w:br/>
              <w:t>$‘000</w:t>
            </w:r>
          </w:p>
        </w:tc>
        <w:tc>
          <w:tcPr>
            <w:tcW w:w="1191" w:type="dxa"/>
          </w:tcPr>
          <w:p w14:paraId="0039DBD9" w14:textId="001CAD0F" w:rsidR="00B02873" w:rsidRPr="00E204D7" w:rsidRDefault="00DC42BF" w:rsidP="00E204D7">
            <w:pPr>
              <w:pStyle w:val="TableheadingleftFinancialsTables"/>
              <w:jc w:val="right"/>
            </w:pPr>
            <w:r w:rsidRPr="00E204D7">
              <w:t xml:space="preserve">Interest rate exposure </w:t>
            </w:r>
            <w:r w:rsidR="00B02873" w:rsidRPr="00E204D7">
              <w:t>Fixed interest rate</w:t>
            </w:r>
            <w:r w:rsidR="00B02873" w:rsidRPr="00E204D7">
              <w:br/>
              <w:t>$‘000</w:t>
            </w:r>
          </w:p>
        </w:tc>
        <w:tc>
          <w:tcPr>
            <w:tcW w:w="1190" w:type="dxa"/>
          </w:tcPr>
          <w:p w14:paraId="46B3C968" w14:textId="6727B9CA" w:rsidR="00B02873" w:rsidRPr="00E204D7" w:rsidRDefault="00DC42BF" w:rsidP="00E204D7">
            <w:pPr>
              <w:pStyle w:val="TableheadingleftFinancialsTables"/>
              <w:jc w:val="right"/>
            </w:pPr>
            <w:r w:rsidRPr="00E204D7">
              <w:t xml:space="preserve">Interest rate exposure </w:t>
            </w:r>
            <w:r w:rsidR="00B02873" w:rsidRPr="00E204D7">
              <w:t>Variable interest rate</w:t>
            </w:r>
            <w:r w:rsidR="00B02873" w:rsidRPr="00E204D7">
              <w:br/>
              <w:t>$‘000</w:t>
            </w:r>
          </w:p>
        </w:tc>
        <w:tc>
          <w:tcPr>
            <w:tcW w:w="1191" w:type="dxa"/>
          </w:tcPr>
          <w:p w14:paraId="7A426FC0" w14:textId="71DE818B" w:rsidR="00B02873" w:rsidRPr="00E204D7" w:rsidRDefault="00DC42BF" w:rsidP="00E204D7">
            <w:pPr>
              <w:pStyle w:val="TableheadingleftFinancialsTables"/>
              <w:jc w:val="right"/>
            </w:pPr>
            <w:r w:rsidRPr="00E204D7">
              <w:t xml:space="preserve">Interest rate exposure </w:t>
            </w:r>
            <w:r w:rsidR="00B02873" w:rsidRPr="00E204D7">
              <w:t>Non-interest bearing</w:t>
            </w:r>
            <w:r w:rsidR="00B02873" w:rsidRPr="00E204D7">
              <w:br/>
              <w:t>$‘000</w:t>
            </w:r>
          </w:p>
        </w:tc>
      </w:tr>
      <w:tr w:rsidR="00B02873" w:rsidRPr="00E204D7" w14:paraId="47C35CF4" w14:textId="77777777" w:rsidTr="00E204D7">
        <w:trPr>
          <w:trHeight w:val="60"/>
        </w:trPr>
        <w:tc>
          <w:tcPr>
            <w:tcW w:w="3345" w:type="dxa"/>
          </w:tcPr>
          <w:p w14:paraId="04038512" w14:textId="77777777" w:rsidR="00B02873" w:rsidRPr="00E204D7" w:rsidRDefault="00B02873" w:rsidP="00E204D7">
            <w:pPr>
              <w:pStyle w:val="TablebodyleftFinancialsTables"/>
              <w:rPr>
                <w:rFonts w:asciiTheme="minorHAnsi" w:hAnsiTheme="minorHAnsi" w:cstheme="minorHAnsi"/>
                <w:b/>
                <w:bCs/>
              </w:rPr>
            </w:pPr>
            <w:r w:rsidRPr="00E204D7">
              <w:rPr>
                <w:rFonts w:asciiTheme="minorHAnsi" w:hAnsiTheme="minorHAnsi" w:cstheme="minorHAnsi"/>
                <w:b/>
                <w:bCs/>
              </w:rPr>
              <w:t>2022</w:t>
            </w:r>
          </w:p>
        </w:tc>
        <w:tc>
          <w:tcPr>
            <w:tcW w:w="1531" w:type="dxa"/>
          </w:tcPr>
          <w:p w14:paraId="1614A868" w14:textId="77777777" w:rsidR="00B02873" w:rsidRPr="00E204D7" w:rsidRDefault="00B02873" w:rsidP="00E204D7">
            <w:pPr>
              <w:pStyle w:val="TablebodyleftFinancialsTables"/>
              <w:jc w:val="right"/>
              <w:rPr>
                <w:rFonts w:asciiTheme="minorHAnsi" w:hAnsiTheme="minorHAnsi" w:cstheme="minorHAnsi"/>
                <w:b/>
                <w:bCs/>
              </w:rPr>
            </w:pPr>
          </w:p>
        </w:tc>
        <w:tc>
          <w:tcPr>
            <w:tcW w:w="1190" w:type="dxa"/>
          </w:tcPr>
          <w:p w14:paraId="318D5F58" w14:textId="77777777" w:rsidR="00B02873" w:rsidRPr="00E204D7" w:rsidRDefault="00B02873" w:rsidP="00E204D7">
            <w:pPr>
              <w:pStyle w:val="TablebodyleftFinancialsTables"/>
              <w:jc w:val="right"/>
              <w:rPr>
                <w:rFonts w:asciiTheme="minorHAnsi" w:hAnsiTheme="minorHAnsi" w:cstheme="minorHAnsi"/>
                <w:b/>
                <w:bCs/>
              </w:rPr>
            </w:pPr>
          </w:p>
        </w:tc>
        <w:tc>
          <w:tcPr>
            <w:tcW w:w="1191" w:type="dxa"/>
          </w:tcPr>
          <w:p w14:paraId="178F8A57" w14:textId="77777777" w:rsidR="00B02873" w:rsidRPr="00E204D7" w:rsidRDefault="00B02873" w:rsidP="00E204D7">
            <w:pPr>
              <w:pStyle w:val="TablebodyleftFinancialsTables"/>
              <w:jc w:val="right"/>
              <w:rPr>
                <w:rFonts w:asciiTheme="minorHAnsi" w:hAnsiTheme="minorHAnsi" w:cstheme="minorHAnsi"/>
                <w:b/>
                <w:bCs/>
              </w:rPr>
            </w:pPr>
          </w:p>
        </w:tc>
        <w:tc>
          <w:tcPr>
            <w:tcW w:w="1190" w:type="dxa"/>
          </w:tcPr>
          <w:p w14:paraId="78BAD723" w14:textId="77777777" w:rsidR="00B02873" w:rsidRPr="00E204D7" w:rsidRDefault="00B02873" w:rsidP="00E204D7">
            <w:pPr>
              <w:pStyle w:val="TablebodyleftFinancialsTables"/>
              <w:jc w:val="right"/>
              <w:rPr>
                <w:rFonts w:asciiTheme="minorHAnsi" w:hAnsiTheme="minorHAnsi" w:cstheme="minorHAnsi"/>
                <w:b/>
                <w:bCs/>
              </w:rPr>
            </w:pPr>
          </w:p>
        </w:tc>
        <w:tc>
          <w:tcPr>
            <w:tcW w:w="1191" w:type="dxa"/>
          </w:tcPr>
          <w:p w14:paraId="32DC4803" w14:textId="77777777" w:rsidR="00B02873" w:rsidRPr="00E204D7" w:rsidRDefault="00B02873" w:rsidP="00E204D7">
            <w:pPr>
              <w:pStyle w:val="TablebodyleftFinancialsTables"/>
              <w:jc w:val="right"/>
              <w:rPr>
                <w:rFonts w:asciiTheme="minorHAnsi" w:hAnsiTheme="minorHAnsi" w:cstheme="minorHAnsi"/>
                <w:b/>
                <w:bCs/>
              </w:rPr>
            </w:pPr>
          </w:p>
        </w:tc>
      </w:tr>
      <w:tr w:rsidR="00B02873" w:rsidRPr="00E204D7" w14:paraId="4F7BCF47" w14:textId="77777777" w:rsidTr="00E204D7">
        <w:trPr>
          <w:trHeight w:val="60"/>
        </w:trPr>
        <w:tc>
          <w:tcPr>
            <w:tcW w:w="3345" w:type="dxa"/>
          </w:tcPr>
          <w:p w14:paraId="2CD1C985" w14:textId="77777777" w:rsidR="00B02873" w:rsidRPr="00E204D7" w:rsidRDefault="00B02873" w:rsidP="00E204D7">
            <w:pPr>
              <w:pStyle w:val="TablebodyleftFinancialsTables"/>
              <w:rPr>
                <w:rFonts w:asciiTheme="minorHAnsi" w:hAnsiTheme="minorHAnsi" w:cstheme="minorHAnsi"/>
                <w:b/>
                <w:bCs/>
              </w:rPr>
            </w:pPr>
            <w:r w:rsidRPr="00E204D7">
              <w:rPr>
                <w:rFonts w:asciiTheme="minorHAnsi" w:hAnsiTheme="minorHAnsi" w:cstheme="minorHAnsi"/>
                <w:b/>
                <w:bCs/>
              </w:rPr>
              <w:t>Financial assets</w:t>
            </w:r>
          </w:p>
        </w:tc>
        <w:tc>
          <w:tcPr>
            <w:tcW w:w="1531" w:type="dxa"/>
          </w:tcPr>
          <w:p w14:paraId="072CB4BC" w14:textId="77777777" w:rsidR="00B02873" w:rsidRPr="00E204D7" w:rsidRDefault="00B02873" w:rsidP="00E204D7">
            <w:pPr>
              <w:pStyle w:val="TablebodyleftFinancialsTables"/>
              <w:jc w:val="right"/>
              <w:rPr>
                <w:rFonts w:asciiTheme="minorHAnsi" w:hAnsiTheme="minorHAnsi" w:cstheme="minorHAnsi"/>
                <w:b/>
                <w:bCs/>
              </w:rPr>
            </w:pPr>
          </w:p>
        </w:tc>
        <w:tc>
          <w:tcPr>
            <w:tcW w:w="1190" w:type="dxa"/>
          </w:tcPr>
          <w:p w14:paraId="591E335D" w14:textId="77777777" w:rsidR="00B02873" w:rsidRPr="00E204D7" w:rsidRDefault="00B02873" w:rsidP="00E204D7">
            <w:pPr>
              <w:pStyle w:val="TablebodyleftFinancialsTables"/>
              <w:jc w:val="right"/>
              <w:rPr>
                <w:rFonts w:asciiTheme="minorHAnsi" w:hAnsiTheme="minorHAnsi" w:cstheme="minorHAnsi"/>
                <w:b/>
                <w:bCs/>
              </w:rPr>
            </w:pPr>
          </w:p>
        </w:tc>
        <w:tc>
          <w:tcPr>
            <w:tcW w:w="1191" w:type="dxa"/>
          </w:tcPr>
          <w:p w14:paraId="76A550EC" w14:textId="77777777" w:rsidR="00B02873" w:rsidRPr="00E204D7" w:rsidRDefault="00B02873" w:rsidP="00E204D7">
            <w:pPr>
              <w:pStyle w:val="TablebodyleftFinancialsTables"/>
              <w:jc w:val="right"/>
              <w:rPr>
                <w:rFonts w:asciiTheme="minorHAnsi" w:hAnsiTheme="minorHAnsi" w:cstheme="minorHAnsi"/>
                <w:b/>
                <w:bCs/>
              </w:rPr>
            </w:pPr>
          </w:p>
        </w:tc>
        <w:tc>
          <w:tcPr>
            <w:tcW w:w="1190" w:type="dxa"/>
          </w:tcPr>
          <w:p w14:paraId="3F1E5B48" w14:textId="77777777" w:rsidR="00B02873" w:rsidRPr="00E204D7" w:rsidRDefault="00B02873" w:rsidP="00E204D7">
            <w:pPr>
              <w:pStyle w:val="TablebodyleftFinancialsTables"/>
              <w:jc w:val="right"/>
              <w:rPr>
                <w:rFonts w:asciiTheme="minorHAnsi" w:hAnsiTheme="minorHAnsi" w:cstheme="minorHAnsi"/>
                <w:b/>
                <w:bCs/>
              </w:rPr>
            </w:pPr>
          </w:p>
        </w:tc>
        <w:tc>
          <w:tcPr>
            <w:tcW w:w="1191" w:type="dxa"/>
          </w:tcPr>
          <w:p w14:paraId="0AA0A237" w14:textId="77777777" w:rsidR="00B02873" w:rsidRPr="00E204D7" w:rsidRDefault="00B02873" w:rsidP="00E204D7">
            <w:pPr>
              <w:pStyle w:val="TablebodyleftFinancialsTables"/>
              <w:jc w:val="right"/>
              <w:rPr>
                <w:rFonts w:asciiTheme="minorHAnsi" w:hAnsiTheme="minorHAnsi" w:cstheme="minorHAnsi"/>
                <w:b/>
                <w:bCs/>
              </w:rPr>
            </w:pPr>
          </w:p>
        </w:tc>
      </w:tr>
      <w:tr w:rsidR="00B02873" w:rsidRPr="00E204D7" w14:paraId="5B0D3FDD" w14:textId="77777777" w:rsidTr="00E204D7">
        <w:trPr>
          <w:trHeight w:val="60"/>
        </w:trPr>
        <w:tc>
          <w:tcPr>
            <w:tcW w:w="3345" w:type="dxa"/>
          </w:tcPr>
          <w:p w14:paraId="5BCBB294" w14:textId="77777777" w:rsidR="00B02873" w:rsidRPr="00E204D7" w:rsidRDefault="00B02873" w:rsidP="00E204D7">
            <w:pPr>
              <w:pStyle w:val="TablebodyleftFinancialsTables"/>
              <w:rPr>
                <w:rFonts w:asciiTheme="minorHAnsi" w:hAnsiTheme="minorHAnsi" w:cstheme="minorHAnsi"/>
                <w:b/>
                <w:bCs/>
              </w:rPr>
            </w:pPr>
            <w:r w:rsidRPr="00E204D7">
              <w:rPr>
                <w:rFonts w:asciiTheme="minorHAnsi" w:hAnsiTheme="minorHAnsi" w:cstheme="minorHAnsi"/>
                <w:b/>
                <w:bCs/>
              </w:rPr>
              <w:t>Cash and deposits</w:t>
            </w:r>
          </w:p>
        </w:tc>
        <w:tc>
          <w:tcPr>
            <w:tcW w:w="1531" w:type="dxa"/>
          </w:tcPr>
          <w:p w14:paraId="308EC52A" w14:textId="77777777" w:rsidR="00B02873" w:rsidRPr="00E204D7" w:rsidRDefault="00B02873" w:rsidP="00E204D7">
            <w:pPr>
              <w:pStyle w:val="TablebodyleftFinancialsTables"/>
              <w:jc w:val="right"/>
              <w:rPr>
                <w:rFonts w:asciiTheme="minorHAnsi" w:hAnsiTheme="minorHAnsi" w:cstheme="minorHAnsi"/>
                <w:b/>
                <w:bCs/>
              </w:rPr>
            </w:pPr>
          </w:p>
        </w:tc>
        <w:tc>
          <w:tcPr>
            <w:tcW w:w="1190" w:type="dxa"/>
          </w:tcPr>
          <w:p w14:paraId="702E9739" w14:textId="77777777" w:rsidR="00B02873" w:rsidRPr="00E204D7" w:rsidRDefault="00B02873" w:rsidP="00E204D7">
            <w:pPr>
              <w:pStyle w:val="TablebodyleftFinancialsTables"/>
              <w:jc w:val="right"/>
              <w:rPr>
                <w:rFonts w:asciiTheme="minorHAnsi" w:hAnsiTheme="minorHAnsi" w:cstheme="minorHAnsi"/>
                <w:b/>
                <w:bCs/>
              </w:rPr>
            </w:pPr>
          </w:p>
        </w:tc>
        <w:tc>
          <w:tcPr>
            <w:tcW w:w="1191" w:type="dxa"/>
          </w:tcPr>
          <w:p w14:paraId="466C6409" w14:textId="77777777" w:rsidR="00B02873" w:rsidRPr="00E204D7" w:rsidRDefault="00B02873" w:rsidP="00E204D7">
            <w:pPr>
              <w:pStyle w:val="TablebodyleftFinancialsTables"/>
              <w:jc w:val="right"/>
              <w:rPr>
                <w:rFonts w:asciiTheme="minorHAnsi" w:hAnsiTheme="minorHAnsi" w:cstheme="minorHAnsi"/>
                <w:b/>
                <w:bCs/>
              </w:rPr>
            </w:pPr>
          </w:p>
        </w:tc>
        <w:tc>
          <w:tcPr>
            <w:tcW w:w="1190" w:type="dxa"/>
          </w:tcPr>
          <w:p w14:paraId="474690B3" w14:textId="77777777" w:rsidR="00B02873" w:rsidRPr="00E204D7" w:rsidRDefault="00B02873" w:rsidP="00E204D7">
            <w:pPr>
              <w:pStyle w:val="TablebodyleftFinancialsTables"/>
              <w:jc w:val="right"/>
              <w:rPr>
                <w:rFonts w:asciiTheme="minorHAnsi" w:hAnsiTheme="minorHAnsi" w:cstheme="minorHAnsi"/>
                <w:b/>
                <w:bCs/>
              </w:rPr>
            </w:pPr>
          </w:p>
        </w:tc>
        <w:tc>
          <w:tcPr>
            <w:tcW w:w="1191" w:type="dxa"/>
          </w:tcPr>
          <w:p w14:paraId="7929FE49" w14:textId="77777777" w:rsidR="00B02873" w:rsidRPr="00E204D7" w:rsidRDefault="00B02873" w:rsidP="00E204D7">
            <w:pPr>
              <w:pStyle w:val="TablebodyleftFinancialsTables"/>
              <w:jc w:val="right"/>
              <w:rPr>
                <w:rFonts w:asciiTheme="minorHAnsi" w:hAnsiTheme="minorHAnsi" w:cstheme="minorHAnsi"/>
                <w:b/>
                <w:bCs/>
              </w:rPr>
            </w:pPr>
          </w:p>
        </w:tc>
      </w:tr>
      <w:tr w:rsidR="00B02873" w:rsidRPr="00E204D7" w14:paraId="23F8CA3A" w14:textId="77777777" w:rsidTr="00E204D7">
        <w:trPr>
          <w:trHeight w:val="60"/>
        </w:trPr>
        <w:tc>
          <w:tcPr>
            <w:tcW w:w="3345" w:type="dxa"/>
          </w:tcPr>
          <w:p w14:paraId="2657D92E" w14:textId="77777777" w:rsidR="00B02873" w:rsidRPr="00E204D7" w:rsidRDefault="00B02873" w:rsidP="00E204D7">
            <w:pPr>
              <w:pStyle w:val="TablebodyleftFinancialsTables"/>
              <w:rPr>
                <w:rFonts w:asciiTheme="minorHAnsi" w:hAnsiTheme="minorHAnsi" w:cstheme="minorHAnsi"/>
              </w:rPr>
            </w:pPr>
            <w:r w:rsidRPr="00E204D7">
              <w:rPr>
                <w:rFonts w:asciiTheme="minorHAnsi" w:hAnsiTheme="minorHAnsi" w:cstheme="minorHAnsi"/>
              </w:rPr>
              <w:t>Cash and deposits on call</w:t>
            </w:r>
          </w:p>
        </w:tc>
        <w:tc>
          <w:tcPr>
            <w:tcW w:w="1531" w:type="dxa"/>
          </w:tcPr>
          <w:p w14:paraId="13336FAA" w14:textId="77777777" w:rsidR="00B02873" w:rsidRPr="00E204D7" w:rsidRDefault="00B02873" w:rsidP="00E204D7">
            <w:pPr>
              <w:pStyle w:val="TablebodyleftFinancialsTables"/>
              <w:jc w:val="right"/>
              <w:rPr>
                <w:rFonts w:asciiTheme="minorHAnsi" w:hAnsiTheme="minorHAnsi" w:cstheme="minorHAnsi"/>
                <w:b/>
                <w:bCs/>
              </w:rPr>
            </w:pPr>
            <w:r w:rsidRPr="00E204D7">
              <w:rPr>
                <w:rFonts w:asciiTheme="minorHAnsi" w:hAnsiTheme="minorHAnsi" w:cstheme="minorHAnsi"/>
                <w:b/>
                <w:bCs/>
              </w:rPr>
              <w:t>0.33%</w:t>
            </w:r>
          </w:p>
        </w:tc>
        <w:tc>
          <w:tcPr>
            <w:tcW w:w="1190" w:type="dxa"/>
          </w:tcPr>
          <w:p w14:paraId="374F77D8" w14:textId="77777777" w:rsidR="00B02873" w:rsidRPr="00E204D7" w:rsidRDefault="00B02873" w:rsidP="00E204D7">
            <w:pPr>
              <w:pStyle w:val="TablebodyleftFinancialsTables"/>
              <w:jc w:val="right"/>
              <w:rPr>
                <w:rFonts w:asciiTheme="minorHAnsi" w:hAnsiTheme="minorHAnsi" w:cstheme="minorHAnsi"/>
                <w:b/>
                <w:bCs/>
              </w:rPr>
            </w:pPr>
            <w:r w:rsidRPr="00E204D7">
              <w:rPr>
                <w:rFonts w:asciiTheme="minorHAnsi" w:hAnsiTheme="minorHAnsi" w:cstheme="minorHAnsi"/>
                <w:b/>
                <w:bCs/>
              </w:rPr>
              <w:t>1,281,536</w:t>
            </w:r>
          </w:p>
        </w:tc>
        <w:tc>
          <w:tcPr>
            <w:tcW w:w="1191" w:type="dxa"/>
          </w:tcPr>
          <w:p w14:paraId="7EB55DF3" w14:textId="77777777" w:rsidR="00B02873" w:rsidRPr="00E204D7" w:rsidRDefault="00B02873" w:rsidP="00E204D7">
            <w:pPr>
              <w:pStyle w:val="TablebodyleftFinancialsTables"/>
              <w:jc w:val="right"/>
              <w:rPr>
                <w:rFonts w:asciiTheme="minorHAnsi" w:hAnsiTheme="minorHAnsi" w:cstheme="minorHAnsi"/>
                <w:b/>
                <w:bCs/>
              </w:rPr>
            </w:pPr>
            <w:r w:rsidRPr="00E204D7">
              <w:rPr>
                <w:rFonts w:asciiTheme="minorHAnsi" w:hAnsiTheme="minorHAnsi" w:cstheme="minorHAnsi"/>
                <w:b/>
                <w:bCs/>
              </w:rPr>
              <w:t>–</w:t>
            </w:r>
          </w:p>
        </w:tc>
        <w:tc>
          <w:tcPr>
            <w:tcW w:w="1190" w:type="dxa"/>
          </w:tcPr>
          <w:p w14:paraId="0EE2343B" w14:textId="77777777" w:rsidR="00B02873" w:rsidRPr="00E204D7" w:rsidRDefault="00B02873" w:rsidP="00E204D7">
            <w:pPr>
              <w:pStyle w:val="TablebodyleftFinancialsTables"/>
              <w:jc w:val="right"/>
              <w:rPr>
                <w:rFonts w:asciiTheme="minorHAnsi" w:hAnsiTheme="minorHAnsi" w:cstheme="minorHAnsi"/>
                <w:b/>
                <w:bCs/>
              </w:rPr>
            </w:pPr>
            <w:r w:rsidRPr="00E204D7">
              <w:rPr>
                <w:rFonts w:asciiTheme="minorHAnsi" w:hAnsiTheme="minorHAnsi" w:cstheme="minorHAnsi"/>
                <w:b/>
                <w:bCs/>
              </w:rPr>
              <w:t>545,854</w:t>
            </w:r>
          </w:p>
        </w:tc>
        <w:tc>
          <w:tcPr>
            <w:tcW w:w="1191" w:type="dxa"/>
          </w:tcPr>
          <w:p w14:paraId="16FA8624" w14:textId="77777777" w:rsidR="00B02873" w:rsidRPr="00E204D7" w:rsidRDefault="00B02873" w:rsidP="00E204D7">
            <w:pPr>
              <w:pStyle w:val="TablebodyleftFinancialsTables"/>
              <w:jc w:val="right"/>
              <w:rPr>
                <w:rFonts w:asciiTheme="minorHAnsi" w:hAnsiTheme="minorHAnsi" w:cstheme="minorHAnsi"/>
                <w:b/>
                <w:bCs/>
              </w:rPr>
            </w:pPr>
            <w:r w:rsidRPr="00E204D7">
              <w:rPr>
                <w:rFonts w:asciiTheme="minorHAnsi" w:hAnsiTheme="minorHAnsi" w:cstheme="minorHAnsi"/>
                <w:b/>
                <w:bCs/>
              </w:rPr>
              <w:t>735,682</w:t>
            </w:r>
          </w:p>
        </w:tc>
      </w:tr>
      <w:tr w:rsidR="00B02873" w:rsidRPr="00E204D7" w14:paraId="759E6249" w14:textId="77777777" w:rsidTr="00E204D7">
        <w:trPr>
          <w:trHeight w:val="60"/>
        </w:trPr>
        <w:tc>
          <w:tcPr>
            <w:tcW w:w="3345" w:type="dxa"/>
          </w:tcPr>
          <w:p w14:paraId="1A72E0EC" w14:textId="77777777" w:rsidR="00B02873" w:rsidRPr="00E204D7" w:rsidRDefault="00B02873" w:rsidP="00E204D7">
            <w:pPr>
              <w:pStyle w:val="TablebodyleftFinancialsTables"/>
              <w:rPr>
                <w:rFonts w:asciiTheme="minorHAnsi" w:hAnsiTheme="minorHAnsi" w:cstheme="minorHAnsi"/>
                <w:b/>
                <w:bCs/>
              </w:rPr>
            </w:pPr>
            <w:r w:rsidRPr="00E204D7">
              <w:rPr>
                <w:rFonts w:asciiTheme="minorHAnsi" w:hAnsiTheme="minorHAnsi" w:cstheme="minorHAnsi"/>
                <w:b/>
                <w:bCs/>
              </w:rPr>
              <w:t>Receivables</w:t>
            </w:r>
            <w:r w:rsidRPr="00E204D7">
              <w:rPr>
                <w:rFonts w:asciiTheme="minorHAnsi" w:hAnsiTheme="minorHAnsi" w:cstheme="minorHAnsi"/>
                <w:b/>
                <w:bCs/>
                <w:vertAlign w:val="superscript"/>
              </w:rPr>
              <w:t>(i)</w:t>
            </w:r>
          </w:p>
        </w:tc>
        <w:tc>
          <w:tcPr>
            <w:tcW w:w="1531" w:type="dxa"/>
          </w:tcPr>
          <w:p w14:paraId="442B8D02" w14:textId="77777777" w:rsidR="00B02873" w:rsidRPr="00E204D7" w:rsidRDefault="00B02873" w:rsidP="00E204D7">
            <w:pPr>
              <w:pStyle w:val="TablebodyleftFinancialsTables"/>
              <w:jc w:val="right"/>
              <w:rPr>
                <w:rFonts w:asciiTheme="minorHAnsi" w:hAnsiTheme="minorHAnsi" w:cstheme="minorHAnsi"/>
                <w:b/>
                <w:bCs/>
              </w:rPr>
            </w:pPr>
          </w:p>
        </w:tc>
        <w:tc>
          <w:tcPr>
            <w:tcW w:w="1190" w:type="dxa"/>
          </w:tcPr>
          <w:p w14:paraId="55CD664F" w14:textId="77777777" w:rsidR="00B02873" w:rsidRPr="00E204D7" w:rsidRDefault="00B02873" w:rsidP="00E204D7">
            <w:pPr>
              <w:pStyle w:val="TablebodyleftFinancialsTables"/>
              <w:jc w:val="right"/>
              <w:rPr>
                <w:rFonts w:asciiTheme="minorHAnsi" w:hAnsiTheme="minorHAnsi" w:cstheme="minorHAnsi"/>
                <w:b/>
                <w:bCs/>
              </w:rPr>
            </w:pPr>
          </w:p>
        </w:tc>
        <w:tc>
          <w:tcPr>
            <w:tcW w:w="1191" w:type="dxa"/>
          </w:tcPr>
          <w:p w14:paraId="43DAC3B5" w14:textId="77777777" w:rsidR="00B02873" w:rsidRPr="00E204D7" w:rsidRDefault="00B02873" w:rsidP="00E204D7">
            <w:pPr>
              <w:pStyle w:val="TablebodyleftFinancialsTables"/>
              <w:jc w:val="right"/>
              <w:rPr>
                <w:rFonts w:asciiTheme="minorHAnsi" w:hAnsiTheme="minorHAnsi" w:cstheme="minorHAnsi"/>
                <w:b/>
                <w:bCs/>
              </w:rPr>
            </w:pPr>
          </w:p>
        </w:tc>
        <w:tc>
          <w:tcPr>
            <w:tcW w:w="1190" w:type="dxa"/>
          </w:tcPr>
          <w:p w14:paraId="3A92DCE2" w14:textId="77777777" w:rsidR="00B02873" w:rsidRPr="00E204D7" w:rsidRDefault="00B02873" w:rsidP="00E204D7">
            <w:pPr>
              <w:pStyle w:val="TablebodyleftFinancialsTables"/>
              <w:jc w:val="right"/>
              <w:rPr>
                <w:rFonts w:asciiTheme="minorHAnsi" w:hAnsiTheme="minorHAnsi" w:cstheme="minorHAnsi"/>
                <w:b/>
                <w:bCs/>
              </w:rPr>
            </w:pPr>
          </w:p>
        </w:tc>
        <w:tc>
          <w:tcPr>
            <w:tcW w:w="1191" w:type="dxa"/>
          </w:tcPr>
          <w:p w14:paraId="2F3093AF" w14:textId="77777777" w:rsidR="00B02873" w:rsidRPr="00E204D7" w:rsidRDefault="00B02873" w:rsidP="00E204D7">
            <w:pPr>
              <w:pStyle w:val="TablebodyleftFinancialsTables"/>
              <w:jc w:val="right"/>
              <w:rPr>
                <w:rFonts w:asciiTheme="minorHAnsi" w:hAnsiTheme="minorHAnsi" w:cstheme="minorHAnsi"/>
                <w:b/>
                <w:bCs/>
              </w:rPr>
            </w:pPr>
          </w:p>
        </w:tc>
      </w:tr>
      <w:tr w:rsidR="00B02873" w:rsidRPr="00E204D7" w14:paraId="2CFF6CDD" w14:textId="77777777" w:rsidTr="00E204D7">
        <w:trPr>
          <w:trHeight w:val="60"/>
        </w:trPr>
        <w:tc>
          <w:tcPr>
            <w:tcW w:w="3345" w:type="dxa"/>
          </w:tcPr>
          <w:p w14:paraId="582D6FD2" w14:textId="77777777" w:rsidR="00B02873" w:rsidRPr="00E204D7" w:rsidRDefault="00B02873" w:rsidP="00E204D7">
            <w:pPr>
              <w:pStyle w:val="TablebodyleftFinancialsTables"/>
              <w:rPr>
                <w:rFonts w:asciiTheme="minorHAnsi" w:hAnsiTheme="minorHAnsi" w:cstheme="minorHAnsi"/>
              </w:rPr>
            </w:pPr>
            <w:r w:rsidRPr="00E204D7">
              <w:rPr>
                <w:rFonts w:asciiTheme="minorHAnsi" w:hAnsiTheme="minorHAnsi" w:cstheme="minorHAnsi"/>
              </w:rPr>
              <w:t xml:space="preserve">Trade and other receivables </w:t>
            </w:r>
          </w:p>
        </w:tc>
        <w:tc>
          <w:tcPr>
            <w:tcW w:w="1531" w:type="dxa"/>
          </w:tcPr>
          <w:p w14:paraId="6227BB4E" w14:textId="77777777" w:rsidR="00B02873" w:rsidRPr="00E204D7" w:rsidRDefault="00B02873" w:rsidP="00E204D7">
            <w:pPr>
              <w:pStyle w:val="TablebodyleftFinancialsTables"/>
              <w:jc w:val="right"/>
              <w:rPr>
                <w:rFonts w:asciiTheme="minorHAnsi" w:hAnsiTheme="minorHAnsi" w:cstheme="minorHAnsi"/>
                <w:b/>
                <w:bCs/>
              </w:rPr>
            </w:pPr>
          </w:p>
        </w:tc>
        <w:tc>
          <w:tcPr>
            <w:tcW w:w="1190" w:type="dxa"/>
          </w:tcPr>
          <w:p w14:paraId="29498E62" w14:textId="77777777" w:rsidR="00B02873" w:rsidRPr="00E204D7" w:rsidRDefault="00B02873" w:rsidP="00E204D7">
            <w:pPr>
              <w:pStyle w:val="TablebodyleftFinancialsTables"/>
              <w:jc w:val="right"/>
              <w:rPr>
                <w:rFonts w:asciiTheme="minorHAnsi" w:hAnsiTheme="minorHAnsi" w:cstheme="minorHAnsi"/>
                <w:b/>
                <w:bCs/>
              </w:rPr>
            </w:pPr>
            <w:r w:rsidRPr="00E204D7">
              <w:rPr>
                <w:rFonts w:asciiTheme="minorHAnsi" w:hAnsiTheme="minorHAnsi" w:cstheme="minorHAnsi"/>
                <w:b/>
                <w:bCs/>
              </w:rPr>
              <w:t>39,470</w:t>
            </w:r>
          </w:p>
        </w:tc>
        <w:tc>
          <w:tcPr>
            <w:tcW w:w="1191" w:type="dxa"/>
          </w:tcPr>
          <w:p w14:paraId="05E8006D" w14:textId="77777777" w:rsidR="00B02873" w:rsidRPr="00E204D7" w:rsidRDefault="00B02873" w:rsidP="00E204D7">
            <w:pPr>
              <w:pStyle w:val="TablebodyleftFinancialsTables"/>
              <w:jc w:val="right"/>
              <w:rPr>
                <w:rFonts w:asciiTheme="minorHAnsi" w:hAnsiTheme="minorHAnsi" w:cstheme="minorHAnsi"/>
                <w:b/>
                <w:bCs/>
              </w:rPr>
            </w:pPr>
            <w:r w:rsidRPr="00E204D7">
              <w:rPr>
                <w:rFonts w:asciiTheme="minorHAnsi" w:hAnsiTheme="minorHAnsi" w:cstheme="minorHAnsi"/>
                <w:b/>
                <w:bCs/>
              </w:rPr>
              <w:t>–</w:t>
            </w:r>
          </w:p>
        </w:tc>
        <w:tc>
          <w:tcPr>
            <w:tcW w:w="1190" w:type="dxa"/>
          </w:tcPr>
          <w:p w14:paraId="3064F944" w14:textId="77777777" w:rsidR="00B02873" w:rsidRPr="00E204D7" w:rsidRDefault="00B02873" w:rsidP="00E204D7">
            <w:pPr>
              <w:pStyle w:val="TablebodyleftFinancialsTables"/>
              <w:jc w:val="right"/>
              <w:rPr>
                <w:rFonts w:asciiTheme="minorHAnsi" w:hAnsiTheme="minorHAnsi" w:cstheme="minorHAnsi"/>
                <w:b/>
                <w:bCs/>
              </w:rPr>
            </w:pPr>
            <w:r w:rsidRPr="00E204D7">
              <w:rPr>
                <w:rFonts w:asciiTheme="minorHAnsi" w:hAnsiTheme="minorHAnsi" w:cstheme="minorHAnsi"/>
                <w:b/>
                <w:bCs/>
              </w:rPr>
              <w:t>–</w:t>
            </w:r>
          </w:p>
        </w:tc>
        <w:tc>
          <w:tcPr>
            <w:tcW w:w="1191" w:type="dxa"/>
          </w:tcPr>
          <w:p w14:paraId="2CBB6ADD" w14:textId="77777777" w:rsidR="00B02873" w:rsidRPr="00E204D7" w:rsidRDefault="00B02873" w:rsidP="00E204D7">
            <w:pPr>
              <w:pStyle w:val="TablebodyleftFinancialsTables"/>
              <w:jc w:val="right"/>
              <w:rPr>
                <w:rFonts w:asciiTheme="minorHAnsi" w:hAnsiTheme="minorHAnsi" w:cstheme="minorHAnsi"/>
                <w:b/>
                <w:bCs/>
              </w:rPr>
            </w:pPr>
            <w:r w:rsidRPr="00E204D7">
              <w:rPr>
                <w:rFonts w:asciiTheme="minorHAnsi" w:hAnsiTheme="minorHAnsi" w:cstheme="minorHAnsi"/>
                <w:b/>
                <w:bCs/>
              </w:rPr>
              <w:t>39,470</w:t>
            </w:r>
          </w:p>
        </w:tc>
      </w:tr>
      <w:tr w:rsidR="00B02873" w:rsidRPr="00E204D7" w14:paraId="2BBE82A5" w14:textId="77777777" w:rsidTr="00E204D7">
        <w:trPr>
          <w:trHeight w:val="60"/>
        </w:trPr>
        <w:tc>
          <w:tcPr>
            <w:tcW w:w="3345" w:type="dxa"/>
          </w:tcPr>
          <w:p w14:paraId="5E002630" w14:textId="77777777" w:rsidR="00B02873" w:rsidRPr="00E204D7" w:rsidRDefault="00B02873" w:rsidP="00E204D7">
            <w:pPr>
              <w:pStyle w:val="TablebodyleftFinancialsTables"/>
              <w:rPr>
                <w:rFonts w:asciiTheme="minorHAnsi" w:hAnsiTheme="minorHAnsi" w:cstheme="minorHAnsi"/>
              </w:rPr>
            </w:pPr>
            <w:r w:rsidRPr="00E204D7">
              <w:rPr>
                <w:rFonts w:asciiTheme="minorHAnsi" w:hAnsiTheme="minorHAnsi" w:cstheme="minorHAnsi"/>
              </w:rPr>
              <w:t>Concessional loans</w:t>
            </w:r>
          </w:p>
        </w:tc>
        <w:tc>
          <w:tcPr>
            <w:tcW w:w="1531" w:type="dxa"/>
          </w:tcPr>
          <w:p w14:paraId="46C5D95A" w14:textId="77777777" w:rsidR="00B02873" w:rsidRPr="00E204D7" w:rsidRDefault="00B02873" w:rsidP="00E204D7">
            <w:pPr>
              <w:pStyle w:val="TablebodyleftFinancialsTables"/>
              <w:jc w:val="right"/>
              <w:rPr>
                <w:rFonts w:asciiTheme="minorHAnsi" w:hAnsiTheme="minorHAnsi" w:cstheme="minorHAnsi"/>
                <w:b/>
                <w:bCs/>
              </w:rPr>
            </w:pPr>
          </w:p>
        </w:tc>
        <w:tc>
          <w:tcPr>
            <w:tcW w:w="1190" w:type="dxa"/>
          </w:tcPr>
          <w:p w14:paraId="2F302A56" w14:textId="77777777" w:rsidR="00B02873" w:rsidRPr="00E204D7" w:rsidRDefault="00B02873" w:rsidP="00E204D7">
            <w:pPr>
              <w:pStyle w:val="TablebodyleftFinancialsTables"/>
              <w:jc w:val="right"/>
              <w:rPr>
                <w:rFonts w:asciiTheme="minorHAnsi" w:hAnsiTheme="minorHAnsi" w:cstheme="minorHAnsi"/>
                <w:b/>
                <w:bCs/>
              </w:rPr>
            </w:pPr>
            <w:r w:rsidRPr="00E204D7">
              <w:rPr>
                <w:rFonts w:asciiTheme="minorHAnsi" w:hAnsiTheme="minorHAnsi" w:cstheme="minorHAnsi"/>
                <w:b/>
                <w:bCs/>
              </w:rPr>
              <w:t>110,584</w:t>
            </w:r>
          </w:p>
        </w:tc>
        <w:tc>
          <w:tcPr>
            <w:tcW w:w="1191" w:type="dxa"/>
          </w:tcPr>
          <w:p w14:paraId="65D4FA82" w14:textId="77777777" w:rsidR="00B02873" w:rsidRPr="00E204D7" w:rsidRDefault="00B02873" w:rsidP="00E204D7">
            <w:pPr>
              <w:pStyle w:val="TablebodyleftFinancialsTables"/>
              <w:jc w:val="right"/>
              <w:rPr>
                <w:rFonts w:asciiTheme="minorHAnsi" w:hAnsiTheme="minorHAnsi" w:cstheme="minorHAnsi"/>
                <w:b/>
                <w:bCs/>
              </w:rPr>
            </w:pPr>
            <w:r w:rsidRPr="00E204D7">
              <w:rPr>
                <w:rFonts w:asciiTheme="minorHAnsi" w:hAnsiTheme="minorHAnsi" w:cstheme="minorHAnsi"/>
                <w:b/>
                <w:bCs/>
              </w:rPr>
              <w:t>–</w:t>
            </w:r>
          </w:p>
        </w:tc>
        <w:tc>
          <w:tcPr>
            <w:tcW w:w="1190" w:type="dxa"/>
          </w:tcPr>
          <w:p w14:paraId="369B4231" w14:textId="77777777" w:rsidR="00B02873" w:rsidRPr="00E204D7" w:rsidRDefault="00B02873" w:rsidP="00E204D7">
            <w:pPr>
              <w:pStyle w:val="TablebodyleftFinancialsTables"/>
              <w:jc w:val="right"/>
              <w:rPr>
                <w:rFonts w:asciiTheme="minorHAnsi" w:hAnsiTheme="minorHAnsi" w:cstheme="minorHAnsi"/>
                <w:b/>
                <w:bCs/>
              </w:rPr>
            </w:pPr>
            <w:r w:rsidRPr="00E204D7">
              <w:rPr>
                <w:rFonts w:asciiTheme="minorHAnsi" w:hAnsiTheme="minorHAnsi" w:cstheme="minorHAnsi"/>
                <w:b/>
                <w:bCs/>
              </w:rPr>
              <w:t>–</w:t>
            </w:r>
          </w:p>
        </w:tc>
        <w:tc>
          <w:tcPr>
            <w:tcW w:w="1191" w:type="dxa"/>
          </w:tcPr>
          <w:p w14:paraId="7D471A07" w14:textId="77777777" w:rsidR="00B02873" w:rsidRPr="00E204D7" w:rsidRDefault="00B02873" w:rsidP="00E204D7">
            <w:pPr>
              <w:pStyle w:val="TablebodyleftFinancialsTables"/>
              <w:jc w:val="right"/>
              <w:rPr>
                <w:rFonts w:asciiTheme="minorHAnsi" w:hAnsiTheme="minorHAnsi" w:cstheme="minorHAnsi"/>
                <w:b/>
                <w:bCs/>
              </w:rPr>
            </w:pPr>
            <w:r w:rsidRPr="00E204D7">
              <w:rPr>
                <w:rFonts w:asciiTheme="minorHAnsi" w:hAnsiTheme="minorHAnsi" w:cstheme="minorHAnsi"/>
                <w:b/>
                <w:bCs/>
              </w:rPr>
              <w:t>110,584</w:t>
            </w:r>
          </w:p>
        </w:tc>
      </w:tr>
      <w:tr w:rsidR="00B02873" w:rsidRPr="00E204D7" w14:paraId="6A744419" w14:textId="77777777" w:rsidTr="00E204D7">
        <w:trPr>
          <w:trHeight w:val="60"/>
        </w:trPr>
        <w:tc>
          <w:tcPr>
            <w:tcW w:w="3345" w:type="dxa"/>
          </w:tcPr>
          <w:p w14:paraId="46A6B069" w14:textId="77777777" w:rsidR="00B02873" w:rsidRPr="00E204D7" w:rsidRDefault="00B02873" w:rsidP="00E204D7">
            <w:pPr>
              <w:pStyle w:val="TablebodyleftFinancialsTables"/>
              <w:rPr>
                <w:rFonts w:asciiTheme="minorHAnsi" w:hAnsiTheme="minorHAnsi" w:cstheme="minorHAnsi"/>
                <w:b/>
                <w:bCs/>
              </w:rPr>
            </w:pPr>
            <w:r w:rsidRPr="00E204D7">
              <w:rPr>
                <w:rFonts w:asciiTheme="minorHAnsi" w:hAnsiTheme="minorHAnsi" w:cstheme="minorHAnsi"/>
                <w:b/>
                <w:bCs/>
              </w:rPr>
              <w:t>Derivative financial Instruments</w:t>
            </w:r>
          </w:p>
        </w:tc>
        <w:tc>
          <w:tcPr>
            <w:tcW w:w="1531" w:type="dxa"/>
          </w:tcPr>
          <w:p w14:paraId="03CA7607" w14:textId="77777777" w:rsidR="00B02873" w:rsidRPr="00E204D7" w:rsidRDefault="00B02873" w:rsidP="00E204D7">
            <w:pPr>
              <w:pStyle w:val="TablebodyleftFinancialsTables"/>
              <w:jc w:val="right"/>
              <w:rPr>
                <w:rFonts w:asciiTheme="minorHAnsi" w:hAnsiTheme="minorHAnsi" w:cstheme="minorHAnsi"/>
                <w:b/>
                <w:bCs/>
              </w:rPr>
            </w:pPr>
          </w:p>
        </w:tc>
        <w:tc>
          <w:tcPr>
            <w:tcW w:w="1190" w:type="dxa"/>
          </w:tcPr>
          <w:p w14:paraId="091EA1C5" w14:textId="77777777" w:rsidR="00B02873" w:rsidRPr="00E204D7" w:rsidRDefault="00B02873" w:rsidP="00E204D7">
            <w:pPr>
              <w:pStyle w:val="TablebodyleftFinancialsTables"/>
              <w:jc w:val="right"/>
              <w:rPr>
                <w:rFonts w:asciiTheme="minorHAnsi" w:hAnsiTheme="minorHAnsi" w:cstheme="minorHAnsi"/>
                <w:b/>
                <w:bCs/>
              </w:rPr>
            </w:pPr>
            <w:r w:rsidRPr="00E204D7">
              <w:rPr>
                <w:rFonts w:asciiTheme="minorHAnsi" w:hAnsiTheme="minorHAnsi" w:cstheme="minorHAnsi"/>
                <w:b/>
                <w:bCs/>
              </w:rPr>
              <w:t>429,933</w:t>
            </w:r>
          </w:p>
        </w:tc>
        <w:tc>
          <w:tcPr>
            <w:tcW w:w="1191" w:type="dxa"/>
          </w:tcPr>
          <w:p w14:paraId="7730B105" w14:textId="77777777" w:rsidR="00B02873" w:rsidRPr="00E204D7" w:rsidRDefault="00B02873" w:rsidP="00E204D7">
            <w:pPr>
              <w:pStyle w:val="TablebodyleftFinancialsTables"/>
              <w:jc w:val="right"/>
              <w:rPr>
                <w:rFonts w:asciiTheme="minorHAnsi" w:hAnsiTheme="minorHAnsi" w:cstheme="minorHAnsi"/>
                <w:b/>
                <w:bCs/>
              </w:rPr>
            </w:pPr>
            <w:r w:rsidRPr="00E204D7">
              <w:rPr>
                <w:rFonts w:asciiTheme="minorHAnsi" w:hAnsiTheme="minorHAnsi" w:cstheme="minorHAnsi"/>
                <w:b/>
                <w:bCs/>
              </w:rPr>
              <w:t>–</w:t>
            </w:r>
          </w:p>
        </w:tc>
        <w:tc>
          <w:tcPr>
            <w:tcW w:w="1190" w:type="dxa"/>
          </w:tcPr>
          <w:p w14:paraId="2203FE56" w14:textId="77777777" w:rsidR="00B02873" w:rsidRPr="00E204D7" w:rsidRDefault="00B02873" w:rsidP="00E204D7">
            <w:pPr>
              <w:pStyle w:val="TablebodyleftFinancialsTables"/>
              <w:jc w:val="right"/>
              <w:rPr>
                <w:rFonts w:asciiTheme="minorHAnsi" w:hAnsiTheme="minorHAnsi" w:cstheme="minorHAnsi"/>
                <w:b/>
                <w:bCs/>
              </w:rPr>
            </w:pPr>
            <w:r w:rsidRPr="00E204D7">
              <w:rPr>
                <w:rFonts w:asciiTheme="minorHAnsi" w:hAnsiTheme="minorHAnsi" w:cstheme="minorHAnsi"/>
                <w:b/>
                <w:bCs/>
              </w:rPr>
              <w:t>–</w:t>
            </w:r>
          </w:p>
        </w:tc>
        <w:tc>
          <w:tcPr>
            <w:tcW w:w="1191" w:type="dxa"/>
          </w:tcPr>
          <w:p w14:paraId="0E40E3EA" w14:textId="77777777" w:rsidR="00B02873" w:rsidRPr="00E204D7" w:rsidRDefault="00B02873" w:rsidP="00E204D7">
            <w:pPr>
              <w:pStyle w:val="TablebodyleftFinancialsTables"/>
              <w:jc w:val="right"/>
              <w:rPr>
                <w:rFonts w:asciiTheme="minorHAnsi" w:hAnsiTheme="minorHAnsi" w:cstheme="minorHAnsi"/>
                <w:b/>
                <w:bCs/>
              </w:rPr>
            </w:pPr>
            <w:r w:rsidRPr="00E204D7">
              <w:rPr>
                <w:rFonts w:asciiTheme="minorHAnsi" w:hAnsiTheme="minorHAnsi" w:cstheme="minorHAnsi"/>
                <w:b/>
                <w:bCs/>
              </w:rPr>
              <w:t>429,933</w:t>
            </w:r>
          </w:p>
        </w:tc>
      </w:tr>
      <w:tr w:rsidR="00B02873" w:rsidRPr="00E204D7" w14:paraId="45DF00BC" w14:textId="77777777" w:rsidTr="00E204D7">
        <w:trPr>
          <w:trHeight w:val="60"/>
        </w:trPr>
        <w:tc>
          <w:tcPr>
            <w:tcW w:w="3345" w:type="dxa"/>
          </w:tcPr>
          <w:p w14:paraId="096566DA" w14:textId="77777777" w:rsidR="00B02873" w:rsidRPr="00E204D7" w:rsidRDefault="00B02873" w:rsidP="00E204D7">
            <w:pPr>
              <w:pStyle w:val="TablebodyleftFinancialsTables"/>
              <w:rPr>
                <w:rFonts w:asciiTheme="minorHAnsi" w:hAnsiTheme="minorHAnsi" w:cstheme="minorHAnsi"/>
                <w:b/>
                <w:bCs/>
              </w:rPr>
            </w:pPr>
            <w:r w:rsidRPr="00E204D7">
              <w:rPr>
                <w:rFonts w:asciiTheme="minorHAnsi" w:hAnsiTheme="minorHAnsi" w:cstheme="minorHAnsi"/>
                <w:b/>
                <w:bCs/>
              </w:rPr>
              <w:t>Total financial assets</w:t>
            </w:r>
          </w:p>
        </w:tc>
        <w:tc>
          <w:tcPr>
            <w:tcW w:w="1531" w:type="dxa"/>
          </w:tcPr>
          <w:p w14:paraId="12275EAA" w14:textId="77777777" w:rsidR="00B02873" w:rsidRPr="00E204D7" w:rsidRDefault="00B02873" w:rsidP="00E204D7">
            <w:pPr>
              <w:pStyle w:val="TablebodyleftFinancialsTables"/>
              <w:jc w:val="right"/>
              <w:rPr>
                <w:rFonts w:asciiTheme="minorHAnsi" w:hAnsiTheme="minorHAnsi" w:cstheme="minorHAnsi"/>
                <w:b/>
                <w:bCs/>
              </w:rPr>
            </w:pPr>
          </w:p>
        </w:tc>
        <w:tc>
          <w:tcPr>
            <w:tcW w:w="1190" w:type="dxa"/>
          </w:tcPr>
          <w:p w14:paraId="0B674C58" w14:textId="77777777" w:rsidR="00B02873" w:rsidRPr="00E204D7" w:rsidRDefault="00B02873" w:rsidP="00E204D7">
            <w:pPr>
              <w:pStyle w:val="TablebodyleftFinancialsTables"/>
              <w:jc w:val="right"/>
              <w:rPr>
                <w:rFonts w:asciiTheme="minorHAnsi" w:hAnsiTheme="minorHAnsi" w:cstheme="minorHAnsi"/>
                <w:b/>
                <w:bCs/>
              </w:rPr>
            </w:pPr>
            <w:r w:rsidRPr="00E204D7">
              <w:rPr>
                <w:rFonts w:asciiTheme="minorHAnsi" w:hAnsiTheme="minorHAnsi" w:cstheme="minorHAnsi"/>
                <w:b/>
                <w:bCs/>
              </w:rPr>
              <w:t>1,861,523</w:t>
            </w:r>
          </w:p>
        </w:tc>
        <w:tc>
          <w:tcPr>
            <w:tcW w:w="1191" w:type="dxa"/>
          </w:tcPr>
          <w:p w14:paraId="14E8825F" w14:textId="77777777" w:rsidR="00B02873" w:rsidRPr="00E204D7" w:rsidRDefault="00B02873" w:rsidP="00E204D7">
            <w:pPr>
              <w:pStyle w:val="TablebodyleftFinancialsTables"/>
              <w:jc w:val="right"/>
              <w:rPr>
                <w:rFonts w:asciiTheme="minorHAnsi" w:hAnsiTheme="minorHAnsi" w:cstheme="minorHAnsi"/>
                <w:b/>
                <w:bCs/>
              </w:rPr>
            </w:pPr>
            <w:r w:rsidRPr="00E204D7">
              <w:rPr>
                <w:rFonts w:asciiTheme="minorHAnsi" w:hAnsiTheme="minorHAnsi" w:cstheme="minorHAnsi"/>
                <w:b/>
                <w:bCs/>
              </w:rPr>
              <w:t>–</w:t>
            </w:r>
          </w:p>
        </w:tc>
        <w:tc>
          <w:tcPr>
            <w:tcW w:w="1190" w:type="dxa"/>
          </w:tcPr>
          <w:p w14:paraId="36DE250B" w14:textId="77777777" w:rsidR="00B02873" w:rsidRPr="00E204D7" w:rsidRDefault="00B02873" w:rsidP="00E204D7">
            <w:pPr>
              <w:pStyle w:val="TablebodyleftFinancialsTables"/>
              <w:jc w:val="right"/>
              <w:rPr>
                <w:rFonts w:asciiTheme="minorHAnsi" w:hAnsiTheme="minorHAnsi" w:cstheme="minorHAnsi"/>
                <w:b/>
                <w:bCs/>
              </w:rPr>
            </w:pPr>
            <w:r w:rsidRPr="00E204D7">
              <w:rPr>
                <w:rFonts w:asciiTheme="minorHAnsi" w:hAnsiTheme="minorHAnsi" w:cstheme="minorHAnsi"/>
                <w:b/>
                <w:bCs/>
              </w:rPr>
              <w:t>545,854</w:t>
            </w:r>
          </w:p>
        </w:tc>
        <w:tc>
          <w:tcPr>
            <w:tcW w:w="1191" w:type="dxa"/>
          </w:tcPr>
          <w:p w14:paraId="033FE91F" w14:textId="77777777" w:rsidR="00B02873" w:rsidRPr="00E204D7" w:rsidRDefault="00B02873" w:rsidP="00E204D7">
            <w:pPr>
              <w:pStyle w:val="TablebodyleftFinancialsTables"/>
              <w:jc w:val="right"/>
              <w:rPr>
                <w:rFonts w:asciiTheme="minorHAnsi" w:hAnsiTheme="minorHAnsi" w:cstheme="minorHAnsi"/>
                <w:b/>
                <w:bCs/>
              </w:rPr>
            </w:pPr>
            <w:r w:rsidRPr="00E204D7">
              <w:rPr>
                <w:rFonts w:asciiTheme="minorHAnsi" w:hAnsiTheme="minorHAnsi" w:cstheme="minorHAnsi"/>
                <w:b/>
                <w:bCs/>
              </w:rPr>
              <w:t>1,315,669</w:t>
            </w:r>
          </w:p>
        </w:tc>
      </w:tr>
      <w:tr w:rsidR="00B02873" w:rsidRPr="00E204D7" w14:paraId="72AD45C3" w14:textId="77777777" w:rsidTr="00E204D7">
        <w:trPr>
          <w:trHeight w:val="60"/>
        </w:trPr>
        <w:tc>
          <w:tcPr>
            <w:tcW w:w="3345" w:type="dxa"/>
          </w:tcPr>
          <w:p w14:paraId="172C082A" w14:textId="77777777" w:rsidR="00B02873" w:rsidRPr="00E204D7" w:rsidRDefault="00B02873" w:rsidP="00E204D7">
            <w:pPr>
              <w:pStyle w:val="TablebodyleftFinancialsTables"/>
              <w:rPr>
                <w:rFonts w:asciiTheme="minorHAnsi" w:hAnsiTheme="minorHAnsi" w:cstheme="minorHAnsi"/>
                <w:b/>
                <w:bCs/>
              </w:rPr>
            </w:pPr>
            <w:r w:rsidRPr="00E204D7">
              <w:rPr>
                <w:rFonts w:asciiTheme="minorHAnsi" w:hAnsiTheme="minorHAnsi" w:cstheme="minorHAnsi"/>
                <w:b/>
                <w:bCs/>
              </w:rPr>
              <w:t>Financial liabilities</w:t>
            </w:r>
          </w:p>
        </w:tc>
        <w:tc>
          <w:tcPr>
            <w:tcW w:w="1531" w:type="dxa"/>
          </w:tcPr>
          <w:p w14:paraId="0F41F1E7" w14:textId="77777777" w:rsidR="00B02873" w:rsidRPr="00E204D7" w:rsidRDefault="00B02873" w:rsidP="00E204D7">
            <w:pPr>
              <w:pStyle w:val="TablebodyleftFinancialsTables"/>
              <w:jc w:val="right"/>
              <w:rPr>
                <w:rFonts w:asciiTheme="minorHAnsi" w:hAnsiTheme="minorHAnsi" w:cstheme="minorHAnsi"/>
                <w:b/>
                <w:bCs/>
              </w:rPr>
            </w:pPr>
          </w:p>
        </w:tc>
        <w:tc>
          <w:tcPr>
            <w:tcW w:w="1190" w:type="dxa"/>
          </w:tcPr>
          <w:p w14:paraId="6FE9D8B2" w14:textId="77777777" w:rsidR="00B02873" w:rsidRPr="00E204D7" w:rsidRDefault="00B02873" w:rsidP="00E204D7">
            <w:pPr>
              <w:pStyle w:val="TablebodyleftFinancialsTables"/>
              <w:jc w:val="right"/>
              <w:rPr>
                <w:rFonts w:asciiTheme="minorHAnsi" w:hAnsiTheme="minorHAnsi" w:cstheme="minorHAnsi"/>
                <w:b/>
                <w:bCs/>
              </w:rPr>
            </w:pPr>
          </w:p>
        </w:tc>
        <w:tc>
          <w:tcPr>
            <w:tcW w:w="1191" w:type="dxa"/>
          </w:tcPr>
          <w:p w14:paraId="792B2430" w14:textId="77777777" w:rsidR="00B02873" w:rsidRPr="00E204D7" w:rsidRDefault="00B02873" w:rsidP="00E204D7">
            <w:pPr>
              <w:pStyle w:val="TablebodyleftFinancialsTables"/>
              <w:jc w:val="right"/>
              <w:rPr>
                <w:rFonts w:asciiTheme="minorHAnsi" w:hAnsiTheme="minorHAnsi" w:cstheme="minorHAnsi"/>
                <w:b/>
                <w:bCs/>
              </w:rPr>
            </w:pPr>
          </w:p>
        </w:tc>
        <w:tc>
          <w:tcPr>
            <w:tcW w:w="1190" w:type="dxa"/>
          </w:tcPr>
          <w:p w14:paraId="07184BA3" w14:textId="77777777" w:rsidR="00B02873" w:rsidRPr="00E204D7" w:rsidRDefault="00B02873" w:rsidP="00E204D7">
            <w:pPr>
              <w:pStyle w:val="TablebodyleftFinancialsTables"/>
              <w:jc w:val="right"/>
              <w:rPr>
                <w:rFonts w:asciiTheme="minorHAnsi" w:hAnsiTheme="minorHAnsi" w:cstheme="minorHAnsi"/>
                <w:b/>
                <w:bCs/>
              </w:rPr>
            </w:pPr>
          </w:p>
        </w:tc>
        <w:tc>
          <w:tcPr>
            <w:tcW w:w="1191" w:type="dxa"/>
          </w:tcPr>
          <w:p w14:paraId="4A1A6BFB" w14:textId="77777777" w:rsidR="00B02873" w:rsidRPr="00E204D7" w:rsidRDefault="00B02873" w:rsidP="00E204D7">
            <w:pPr>
              <w:pStyle w:val="TablebodyleftFinancialsTables"/>
              <w:jc w:val="right"/>
              <w:rPr>
                <w:rFonts w:asciiTheme="minorHAnsi" w:hAnsiTheme="minorHAnsi" w:cstheme="minorHAnsi"/>
                <w:b/>
                <w:bCs/>
              </w:rPr>
            </w:pPr>
          </w:p>
        </w:tc>
      </w:tr>
      <w:tr w:rsidR="00B02873" w:rsidRPr="00E204D7" w14:paraId="67719BDC" w14:textId="77777777" w:rsidTr="00E204D7">
        <w:trPr>
          <w:trHeight w:val="60"/>
        </w:trPr>
        <w:tc>
          <w:tcPr>
            <w:tcW w:w="3345" w:type="dxa"/>
          </w:tcPr>
          <w:p w14:paraId="7C5A31E9" w14:textId="77777777" w:rsidR="00B02873" w:rsidRPr="00E204D7" w:rsidRDefault="00B02873" w:rsidP="00E204D7">
            <w:pPr>
              <w:pStyle w:val="TablebodyleftFinancialsTables"/>
              <w:rPr>
                <w:rFonts w:asciiTheme="minorHAnsi" w:hAnsiTheme="minorHAnsi" w:cstheme="minorHAnsi"/>
                <w:b/>
                <w:bCs/>
              </w:rPr>
            </w:pPr>
            <w:r w:rsidRPr="00E204D7">
              <w:rPr>
                <w:rFonts w:asciiTheme="minorHAnsi" w:hAnsiTheme="minorHAnsi" w:cstheme="minorHAnsi"/>
                <w:b/>
                <w:bCs/>
              </w:rPr>
              <w:t>Payables</w:t>
            </w:r>
            <w:r w:rsidRPr="00E204D7">
              <w:rPr>
                <w:rFonts w:asciiTheme="minorHAnsi" w:hAnsiTheme="minorHAnsi" w:cstheme="minorHAnsi"/>
                <w:b/>
                <w:bCs/>
                <w:vertAlign w:val="superscript"/>
              </w:rPr>
              <w:t>(ii)</w:t>
            </w:r>
          </w:p>
        </w:tc>
        <w:tc>
          <w:tcPr>
            <w:tcW w:w="1531" w:type="dxa"/>
          </w:tcPr>
          <w:p w14:paraId="2B39C363" w14:textId="77777777" w:rsidR="00B02873" w:rsidRPr="00E204D7" w:rsidRDefault="00B02873" w:rsidP="00E204D7">
            <w:pPr>
              <w:pStyle w:val="TablebodyleftFinancialsTables"/>
              <w:jc w:val="right"/>
              <w:rPr>
                <w:rFonts w:asciiTheme="minorHAnsi" w:hAnsiTheme="minorHAnsi" w:cstheme="minorHAnsi"/>
                <w:b/>
                <w:bCs/>
              </w:rPr>
            </w:pPr>
          </w:p>
        </w:tc>
        <w:tc>
          <w:tcPr>
            <w:tcW w:w="1190" w:type="dxa"/>
          </w:tcPr>
          <w:p w14:paraId="62097DA9" w14:textId="77777777" w:rsidR="00B02873" w:rsidRPr="00E204D7" w:rsidRDefault="00B02873" w:rsidP="00E204D7">
            <w:pPr>
              <w:pStyle w:val="TablebodyleftFinancialsTables"/>
              <w:jc w:val="right"/>
              <w:rPr>
                <w:rFonts w:asciiTheme="minorHAnsi" w:hAnsiTheme="minorHAnsi" w:cstheme="minorHAnsi"/>
                <w:b/>
                <w:bCs/>
              </w:rPr>
            </w:pPr>
          </w:p>
        </w:tc>
        <w:tc>
          <w:tcPr>
            <w:tcW w:w="1191" w:type="dxa"/>
          </w:tcPr>
          <w:p w14:paraId="2126AE4A" w14:textId="77777777" w:rsidR="00B02873" w:rsidRPr="00E204D7" w:rsidRDefault="00B02873" w:rsidP="00E204D7">
            <w:pPr>
              <w:pStyle w:val="TablebodyleftFinancialsTables"/>
              <w:jc w:val="right"/>
              <w:rPr>
                <w:rFonts w:asciiTheme="minorHAnsi" w:hAnsiTheme="minorHAnsi" w:cstheme="minorHAnsi"/>
                <w:b/>
                <w:bCs/>
              </w:rPr>
            </w:pPr>
          </w:p>
        </w:tc>
        <w:tc>
          <w:tcPr>
            <w:tcW w:w="1190" w:type="dxa"/>
          </w:tcPr>
          <w:p w14:paraId="63F903F4" w14:textId="77777777" w:rsidR="00B02873" w:rsidRPr="00E204D7" w:rsidRDefault="00B02873" w:rsidP="00E204D7">
            <w:pPr>
              <w:pStyle w:val="TablebodyleftFinancialsTables"/>
              <w:jc w:val="right"/>
              <w:rPr>
                <w:rFonts w:asciiTheme="minorHAnsi" w:hAnsiTheme="minorHAnsi" w:cstheme="minorHAnsi"/>
                <w:b/>
                <w:bCs/>
              </w:rPr>
            </w:pPr>
          </w:p>
        </w:tc>
        <w:tc>
          <w:tcPr>
            <w:tcW w:w="1191" w:type="dxa"/>
          </w:tcPr>
          <w:p w14:paraId="631994E2" w14:textId="77777777" w:rsidR="00B02873" w:rsidRPr="00E204D7" w:rsidRDefault="00B02873" w:rsidP="00E204D7">
            <w:pPr>
              <w:pStyle w:val="TablebodyleftFinancialsTables"/>
              <w:jc w:val="right"/>
              <w:rPr>
                <w:rFonts w:asciiTheme="minorHAnsi" w:hAnsiTheme="minorHAnsi" w:cstheme="minorHAnsi"/>
                <w:b/>
                <w:bCs/>
              </w:rPr>
            </w:pPr>
          </w:p>
        </w:tc>
      </w:tr>
      <w:tr w:rsidR="00B02873" w:rsidRPr="00E204D7" w14:paraId="435AE24F" w14:textId="77777777" w:rsidTr="00E204D7">
        <w:trPr>
          <w:trHeight w:val="60"/>
        </w:trPr>
        <w:tc>
          <w:tcPr>
            <w:tcW w:w="3345" w:type="dxa"/>
          </w:tcPr>
          <w:p w14:paraId="0C752722" w14:textId="77777777" w:rsidR="00B02873" w:rsidRPr="00E204D7" w:rsidRDefault="00B02873" w:rsidP="00E204D7">
            <w:pPr>
              <w:pStyle w:val="TablebodyleftFinancialsTables"/>
              <w:rPr>
                <w:rFonts w:asciiTheme="minorHAnsi" w:hAnsiTheme="minorHAnsi" w:cstheme="minorHAnsi"/>
              </w:rPr>
            </w:pPr>
            <w:r w:rsidRPr="00E204D7">
              <w:rPr>
                <w:rFonts w:asciiTheme="minorHAnsi" w:hAnsiTheme="minorHAnsi" w:cstheme="minorHAnsi"/>
              </w:rPr>
              <w:t>Trade creditors</w:t>
            </w:r>
          </w:p>
        </w:tc>
        <w:tc>
          <w:tcPr>
            <w:tcW w:w="1531" w:type="dxa"/>
          </w:tcPr>
          <w:p w14:paraId="056AFF86" w14:textId="77777777" w:rsidR="00B02873" w:rsidRPr="00E204D7" w:rsidRDefault="00B02873" w:rsidP="00E204D7">
            <w:pPr>
              <w:pStyle w:val="TablebodyleftFinancialsTables"/>
              <w:jc w:val="right"/>
              <w:rPr>
                <w:rFonts w:asciiTheme="minorHAnsi" w:hAnsiTheme="minorHAnsi" w:cstheme="minorHAnsi"/>
                <w:b/>
                <w:bCs/>
              </w:rPr>
            </w:pPr>
          </w:p>
        </w:tc>
        <w:tc>
          <w:tcPr>
            <w:tcW w:w="1190" w:type="dxa"/>
          </w:tcPr>
          <w:p w14:paraId="74D965AF" w14:textId="77777777" w:rsidR="00B02873" w:rsidRPr="00E204D7" w:rsidRDefault="00B02873" w:rsidP="00E204D7">
            <w:pPr>
              <w:pStyle w:val="TablebodyleftFinancialsTables"/>
              <w:jc w:val="right"/>
              <w:rPr>
                <w:rFonts w:asciiTheme="minorHAnsi" w:hAnsiTheme="minorHAnsi" w:cstheme="minorHAnsi"/>
                <w:b/>
                <w:bCs/>
              </w:rPr>
            </w:pPr>
            <w:r w:rsidRPr="00E204D7">
              <w:rPr>
                <w:rFonts w:asciiTheme="minorHAnsi" w:hAnsiTheme="minorHAnsi" w:cstheme="minorHAnsi"/>
                <w:b/>
                <w:bCs/>
              </w:rPr>
              <w:t>8,828</w:t>
            </w:r>
          </w:p>
        </w:tc>
        <w:tc>
          <w:tcPr>
            <w:tcW w:w="1191" w:type="dxa"/>
          </w:tcPr>
          <w:p w14:paraId="531ED8A5" w14:textId="77777777" w:rsidR="00B02873" w:rsidRPr="00E204D7" w:rsidRDefault="00B02873" w:rsidP="00E204D7">
            <w:pPr>
              <w:pStyle w:val="TablebodyleftFinancialsTables"/>
              <w:jc w:val="right"/>
              <w:rPr>
                <w:rFonts w:asciiTheme="minorHAnsi" w:hAnsiTheme="minorHAnsi" w:cstheme="minorHAnsi"/>
                <w:b/>
                <w:bCs/>
              </w:rPr>
            </w:pPr>
            <w:r w:rsidRPr="00E204D7">
              <w:rPr>
                <w:rFonts w:asciiTheme="minorHAnsi" w:hAnsiTheme="minorHAnsi" w:cstheme="minorHAnsi"/>
                <w:b/>
                <w:bCs/>
              </w:rPr>
              <w:t>–</w:t>
            </w:r>
          </w:p>
        </w:tc>
        <w:tc>
          <w:tcPr>
            <w:tcW w:w="1190" w:type="dxa"/>
          </w:tcPr>
          <w:p w14:paraId="616A0556" w14:textId="77777777" w:rsidR="00B02873" w:rsidRPr="00E204D7" w:rsidRDefault="00B02873" w:rsidP="00E204D7">
            <w:pPr>
              <w:pStyle w:val="TablebodyleftFinancialsTables"/>
              <w:jc w:val="right"/>
              <w:rPr>
                <w:rFonts w:asciiTheme="minorHAnsi" w:hAnsiTheme="minorHAnsi" w:cstheme="minorHAnsi"/>
                <w:b/>
                <w:bCs/>
              </w:rPr>
            </w:pPr>
            <w:r w:rsidRPr="00E204D7">
              <w:rPr>
                <w:rFonts w:asciiTheme="minorHAnsi" w:hAnsiTheme="minorHAnsi" w:cstheme="minorHAnsi"/>
                <w:b/>
                <w:bCs/>
              </w:rPr>
              <w:t>–</w:t>
            </w:r>
          </w:p>
        </w:tc>
        <w:tc>
          <w:tcPr>
            <w:tcW w:w="1191" w:type="dxa"/>
          </w:tcPr>
          <w:p w14:paraId="3B5B9473" w14:textId="77777777" w:rsidR="00B02873" w:rsidRPr="00E204D7" w:rsidRDefault="00B02873" w:rsidP="00E204D7">
            <w:pPr>
              <w:pStyle w:val="TablebodyleftFinancialsTables"/>
              <w:jc w:val="right"/>
              <w:rPr>
                <w:rFonts w:asciiTheme="minorHAnsi" w:hAnsiTheme="minorHAnsi" w:cstheme="minorHAnsi"/>
                <w:b/>
                <w:bCs/>
              </w:rPr>
            </w:pPr>
            <w:r w:rsidRPr="00E204D7">
              <w:rPr>
                <w:rFonts w:asciiTheme="minorHAnsi" w:hAnsiTheme="minorHAnsi" w:cstheme="minorHAnsi"/>
                <w:b/>
                <w:bCs/>
              </w:rPr>
              <w:t>8,828</w:t>
            </w:r>
          </w:p>
        </w:tc>
      </w:tr>
      <w:tr w:rsidR="00B02873" w:rsidRPr="00E204D7" w14:paraId="09ABE431" w14:textId="77777777" w:rsidTr="00E204D7">
        <w:trPr>
          <w:trHeight w:val="60"/>
        </w:trPr>
        <w:tc>
          <w:tcPr>
            <w:tcW w:w="3345" w:type="dxa"/>
          </w:tcPr>
          <w:p w14:paraId="10A8C512" w14:textId="77777777" w:rsidR="00B02873" w:rsidRPr="00E204D7" w:rsidRDefault="00B02873" w:rsidP="00E204D7">
            <w:pPr>
              <w:pStyle w:val="TablebodyleftFinancialsTables"/>
              <w:rPr>
                <w:rFonts w:asciiTheme="minorHAnsi" w:hAnsiTheme="minorHAnsi" w:cstheme="minorHAnsi"/>
              </w:rPr>
            </w:pPr>
            <w:r w:rsidRPr="00E204D7">
              <w:rPr>
                <w:rFonts w:asciiTheme="minorHAnsi" w:hAnsiTheme="minorHAnsi" w:cstheme="minorHAnsi"/>
              </w:rPr>
              <w:t>Accrued grants and other transfers</w:t>
            </w:r>
          </w:p>
        </w:tc>
        <w:tc>
          <w:tcPr>
            <w:tcW w:w="1531" w:type="dxa"/>
          </w:tcPr>
          <w:p w14:paraId="359D0B3F" w14:textId="77777777" w:rsidR="00B02873" w:rsidRPr="00E204D7" w:rsidRDefault="00B02873" w:rsidP="00E204D7">
            <w:pPr>
              <w:pStyle w:val="TablebodyleftFinancialsTables"/>
              <w:jc w:val="right"/>
              <w:rPr>
                <w:rFonts w:asciiTheme="minorHAnsi" w:hAnsiTheme="minorHAnsi" w:cstheme="minorHAnsi"/>
                <w:b/>
                <w:bCs/>
              </w:rPr>
            </w:pPr>
          </w:p>
        </w:tc>
        <w:tc>
          <w:tcPr>
            <w:tcW w:w="1190" w:type="dxa"/>
          </w:tcPr>
          <w:p w14:paraId="64C54334" w14:textId="77777777" w:rsidR="00B02873" w:rsidRPr="00E204D7" w:rsidRDefault="00B02873" w:rsidP="00E204D7">
            <w:pPr>
              <w:pStyle w:val="TablebodyleftFinancialsTables"/>
              <w:jc w:val="right"/>
              <w:rPr>
                <w:rFonts w:asciiTheme="minorHAnsi" w:hAnsiTheme="minorHAnsi" w:cstheme="minorHAnsi"/>
                <w:b/>
                <w:bCs/>
              </w:rPr>
            </w:pPr>
            <w:r w:rsidRPr="00E204D7">
              <w:rPr>
                <w:rFonts w:asciiTheme="minorHAnsi" w:hAnsiTheme="minorHAnsi" w:cstheme="minorHAnsi"/>
                <w:b/>
                <w:bCs/>
              </w:rPr>
              <w:t>106,071</w:t>
            </w:r>
          </w:p>
        </w:tc>
        <w:tc>
          <w:tcPr>
            <w:tcW w:w="1191" w:type="dxa"/>
          </w:tcPr>
          <w:p w14:paraId="7EB0217D" w14:textId="77777777" w:rsidR="00B02873" w:rsidRPr="00E204D7" w:rsidRDefault="00B02873" w:rsidP="00E204D7">
            <w:pPr>
              <w:pStyle w:val="TablebodyleftFinancialsTables"/>
              <w:jc w:val="right"/>
              <w:rPr>
                <w:rFonts w:asciiTheme="minorHAnsi" w:hAnsiTheme="minorHAnsi" w:cstheme="minorHAnsi"/>
                <w:b/>
                <w:bCs/>
              </w:rPr>
            </w:pPr>
            <w:r w:rsidRPr="00E204D7">
              <w:rPr>
                <w:rFonts w:asciiTheme="minorHAnsi" w:hAnsiTheme="minorHAnsi" w:cstheme="minorHAnsi"/>
                <w:b/>
                <w:bCs/>
              </w:rPr>
              <w:t>–</w:t>
            </w:r>
          </w:p>
        </w:tc>
        <w:tc>
          <w:tcPr>
            <w:tcW w:w="1190" w:type="dxa"/>
          </w:tcPr>
          <w:p w14:paraId="4601C56D" w14:textId="77777777" w:rsidR="00B02873" w:rsidRPr="00E204D7" w:rsidRDefault="00B02873" w:rsidP="00E204D7">
            <w:pPr>
              <w:pStyle w:val="TablebodyleftFinancialsTables"/>
              <w:jc w:val="right"/>
              <w:rPr>
                <w:rFonts w:asciiTheme="minorHAnsi" w:hAnsiTheme="minorHAnsi" w:cstheme="minorHAnsi"/>
                <w:b/>
                <w:bCs/>
              </w:rPr>
            </w:pPr>
            <w:r w:rsidRPr="00E204D7">
              <w:rPr>
                <w:rFonts w:asciiTheme="minorHAnsi" w:hAnsiTheme="minorHAnsi" w:cstheme="minorHAnsi"/>
                <w:b/>
                <w:bCs/>
              </w:rPr>
              <w:t>–</w:t>
            </w:r>
          </w:p>
        </w:tc>
        <w:tc>
          <w:tcPr>
            <w:tcW w:w="1191" w:type="dxa"/>
          </w:tcPr>
          <w:p w14:paraId="4CFFBABE" w14:textId="77777777" w:rsidR="00B02873" w:rsidRPr="00E204D7" w:rsidRDefault="00B02873" w:rsidP="00E204D7">
            <w:pPr>
              <w:pStyle w:val="TablebodyleftFinancialsTables"/>
              <w:jc w:val="right"/>
              <w:rPr>
                <w:rFonts w:asciiTheme="minorHAnsi" w:hAnsiTheme="minorHAnsi" w:cstheme="minorHAnsi"/>
                <w:b/>
                <w:bCs/>
              </w:rPr>
            </w:pPr>
            <w:r w:rsidRPr="00E204D7">
              <w:rPr>
                <w:rFonts w:asciiTheme="minorHAnsi" w:hAnsiTheme="minorHAnsi" w:cstheme="minorHAnsi"/>
                <w:b/>
                <w:bCs/>
              </w:rPr>
              <w:t>106,071</w:t>
            </w:r>
          </w:p>
        </w:tc>
      </w:tr>
      <w:tr w:rsidR="00B02873" w:rsidRPr="00E204D7" w14:paraId="609D123A" w14:textId="77777777" w:rsidTr="00E204D7">
        <w:trPr>
          <w:trHeight w:val="60"/>
        </w:trPr>
        <w:tc>
          <w:tcPr>
            <w:tcW w:w="3345" w:type="dxa"/>
          </w:tcPr>
          <w:p w14:paraId="225DE520" w14:textId="77777777" w:rsidR="00B02873" w:rsidRPr="00E204D7" w:rsidRDefault="00B02873" w:rsidP="00E204D7">
            <w:pPr>
              <w:pStyle w:val="TablebodyleftFinancialsTables"/>
              <w:rPr>
                <w:rFonts w:asciiTheme="minorHAnsi" w:hAnsiTheme="minorHAnsi" w:cstheme="minorHAnsi"/>
              </w:rPr>
            </w:pPr>
            <w:r w:rsidRPr="00E204D7">
              <w:rPr>
                <w:rFonts w:asciiTheme="minorHAnsi" w:hAnsiTheme="minorHAnsi" w:cstheme="minorHAnsi"/>
              </w:rPr>
              <w:t>Capital accruals</w:t>
            </w:r>
          </w:p>
        </w:tc>
        <w:tc>
          <w:tcPr>
            <w:tcW w:w="1531" w:type="dxa"/>
          </w:tcPr>
          <w:p w14:paraId="072BAE62" w14:textId="77777777" w:rsidR="00B02873" w:rsidRPr="00E204D7" w:rsidRDefault="00B02873" w:rsidP="00E204D7">
            <w:pPr>
              <w:pStyle w:val="TablebodyleftFinancialsTables"/>
              <w:jc w:val="right"/>
              <w:rPr>
                <w:rFonts w:asciiTheme="minorHAnsi" w:hAnsiTheme="minorHAnsi" w:cstheme="minorHAnsi"/>
                <w:b/>
                <w:bCs/>
              </w:rPr>
            </w:pPr>
          </w:p>
        </w:tc>
        <w:tc>
          <w:tcPr>
            <w:tcW w:w="1190" w:type="dxa"/>
          </w:tcPr>
          <w:p w14:paraId="31CD8A18" w14:textId="77777777" w:rsidR="00B02873" w:rsidRPr="00E204D7" w:rsidRDefault="00B02873" w:rsidP="00E204D7">
            <w:pPr>
              <w:pStyle w:val="TablebodyleftFinancialsTables"/>
              <w:jc w:val="right"/>
              <w:rPr>
                <w:rFonts w:asciiTheme="minorHAnsi" w:hAnsiTheme="minorHAnsi" w:cstheme="minorHAnsi"/>
                <w:b/>
                <w:bCs/>
              </w:rPr>
            </w:pPr>
            <w:r w:rsidRPr="00E204D7">
              <w:rPr>
                <w:rFonts w:asciiTheme="minorHAnsi" w:hAnsiTheme="minorHAnsi" w:cstheme="minorHAnsi"/>
                <w:b/>
                <w:bCs/>
              </w:rPr>
              <w:t>4,446</w:t>
            </w:r>
          </w:p>
        </w:tc>
        <w:tc>
          <w:tcPr>
            <w:tcW w:w="1191" w:type="dxa"/>
          </w:tcPr>
          <w:p w14:paraId="35377FCE" w14:textId="77777777" w:rsidR="00B02873" w:rsidRPr="00E204D7" w:rsidRDefault="00B02873" w:rsidP="00E204D7">
            <w:pPr>
              <w:pStyle w:val="TablebodyleftFinancialsTables"/>
              <w:jc w:val="right"/>
              <w:rPr>
                <w:rFonts w:asciiTheme="minorHAnsi" w:hAnsiTheme="minorHAnsi" w:cstheme="minorHAnsi"/>
                <w:b/>
                <w:bCs/>
              </w:rPr>
            </w:pPr>
            <w:r w:rsidRPr="00E204D7">
              <w:rPr>
                <w:rFonts w:asciiTheme="minorHAnsi" w:hAnsiTheme="minorHAnsi" w:cstheme="minorHAnsi"/>
                <w:b/>
                <w:bCs/>
              </w:rPr>
              <w:t>–</w:t>
            </w:r>
          </w:p>
        </w:tc>
        <w:tc>
          <w:tcPr>
            <w:tcW w:w="1190" w:type="dxa"/>
          </w:tcPr>
          <w:p w14:paraId="2D2EC772" w14:textId="77777777" w:rsidR="00B02873" w:rsidRPr="00E204D7" w:rsidRDefault="00B02873" w:rsidP="00E204D7">
            <w:pPr>
              <w:pStyle w:val="TablebodyleftFinancialsTables"/>
              <w:jc w:val="right"/>
              <w:rPr>
                <w:rFonts w:asciiTheme="minorHAnsi" w:hAnsiTheme="minorHAnsi" w:cstheme="minorHAnsi"/>
                <w:b/>
                <w:bCs/>
              </w:rPr>
            </w:pPr>
            <w:r w:rsidRPr="00E204D7">
              <w:rPr>
                <w:rFonts w:asciiTheme="minorHAnsi" w:hAnsiTheme="minorHAnsi" w:cstheme="minorHAnsi"/>
                <w:b/>
                <w:bCs/>
              </w:rPr>
              <w:t>–</w:t>
            </w:r>
          </w:p>
        </w:tc>
        <w:tc>
          <w:tcPr>
            <w:tcW w:w="1191" w:type="dxa"/>
          </w:tcPr>
          <w:p w14:paraId="76A6306F" w14:textId="77777777" w:rsidR="00B02873" w:rsidRPr="00E204D7" w:rsidRDefault="00B02873" w:rsidP="00E204D7">
            <w:pPr>
              <w:pStyle w:val="TablebodyleftFinancialsTables"/>
              <w:jc w:val="right"/>
              <w:rPr>
                <w:rFonts w:asciiTheme="minorHAnsi" w:hAnsiTheme="minorHAnsi" w:cstheme="minorHAnsi"/>
                <w:b/>
                <w:bCs/>
              </w:rPr>
            </w:pPr>
            <w:r w:rsidRPr="00E204D7">
              <w:rPr>
                <w:rFonts w:asciiTheme="minorHAnsi" w:hAnsiTheme="minorHAnsi" w:cstheme="minorHAnsi"/>
                <w:b/>
                <w:bCs/>
              </w:rPr>
              <w:t>4,446</w:t>
            </w:r>
          </w:p>
        </w:tc>
      </w:tr>
      <w:tr w:rsidR="00B02873" w:rsidRPr="00E204D7" w14:paraId="70E06817" w14:textId="77777777" w:rsidTr="00E204D7">
        <w:trPr>
          <w:trHeight w:val="60"/>
        </w:trPr>
        <w:tc>
          <w:tcPr>
            <w:tcW w:w="3345" w:type="dxa"/>
          </w:tcPr>
          <w:p w14:paraId="04D11750" w14:textId="77777777" w:rsidR="00B02873" w:rsidRPr="00E204D7" w:rsidRDefault="00B02873" w:rsidP="00E204D7">
            <w:pPr>
              <w:pStyle w:val="TablebodyleftFinancialsTables"/>
              <w:rPr>
                <w:rFonts w:asciiTheme="minorHAnsi" w:hAnsiTheme="minorHAnsi" w:cstheme="minorHAnsi"/>
              </w:rPr>
            </w:pPr>
            <w:r w:rsidRPr="00E204D7">
              <w:rPr>
                <w:rFonts w:asciiTheme="minorHAnsi" w:hAnsiTheme="minorHAnsi" w:cstheme="minorHAnsi"/>
              </w:rPr>
              <w:t>Other payables and accrued expenses</w:t>
            </w:r>
          </w:p>
        </w:tc>
        <w:tc>
          <w:tcPr>
            <w:tcW w:w="1531" w:type="dxa"/>
          </w:tcPr>
          <w:p w14:paraId="6477FC2D" w14:textId="77777777" w:rsidR="00B02873" w:rsidRPr="00E204D7" w:rsidRDefault="00B02873" w:rsidP="00E204D7">
            <w:pPr>
              <w:pStyle w:val="TablebodyleftFinancialsTables"/>
              <w:jc w:val="right"/>
              <w:rPr>
                <w:rFonts w:asciiTheme="minorHAnsi" w:hAnsiTheme="minorHAnsi" w:cstheme="minorHAnsi"/>
                <w:b/>
                <w:bCs/>
              </w:rPr>
            </w:pPr>
          </w:p>
        </w:tc>
        <w:tc>
          <w:tcPr>
            <w:tcW w:w="1190" w:type="dxa"/>
          </w:tcPr>
          <w:p w14:paraId="6A123950" w14:textId="77777777" w:rsidR="00B02873" w:rsidRPr="00E204D7" w:rsidRDefault="00B02873" w:rsidP="00E204D7">
            <w:pPr>
              <w:pStyle w:val="TablebodyleftFinancialsTables"/>
              <w:jc w:val="right"/>
              <w:rPr>
                <w:rFonts w:asciiTheme="minorHAnsi" w:hAnsiTheme="minorHAnsi" w:cstheme="minorHAnsi"/>
                <w:b/>
                <w:bCs/>
              </w:rPr>
            </w:pPr>
            <w:r w:rsidRPr="00E204D7">
              <w:rPr>
                <w:rFonts w:asciiTheme="minorHAnsi" w:hAnsiTheme="minorHAnsi" w:cstheme="minorHAnsi"/>
                <w:b/>
                <w:bCs/>
              </w:rPr>
              <w:t>109,681</w:t>
            </w:r>
          </w:p>
        </w:tc>
        <w:tc>
          <w:tcPr>
            <w:tcW w:w="1191" w:type="dxa"/>
          </w:tcPr>
          <w:p w14:paraId="582DB2A3" w14:textId="77777777" w:rsidR="00B02873" w:rsidRPr="00E204D7" w:rsidRDefault="00B02873" w:rsidP="00E204D7">
            <w:pPr>
              <w:pStyle w:val="TablebodyleftFinancialsTables"/>
              <w:jc w:val="right"/>
              <w:rPr>
                <w:rFonts w:asciiTheme="minorHAnsi" w:hAnsiTheme="minorHAnsi" w:cstheme="minorHAnsi"/>
                <w:b/>
                <w:bCs/>
              </w:rPr>
            </w:pPr>
            <w:r w:rsidRPr="00E204D7">
              <w:rPr>
                <w:rFonts w:asciiTheme="minorHAnsi" w:hAnsiTheme="minorHAnsi" w:cstheme="minorHAnsi"/>
                <w:b/>
                <w:bCs/>
              </w:rPr>
              <w:t>–</w:t>
            </w:r>
          </w:p>
        </w:tc>
        <w:tc>
          <w:tcPr>
            <w:tcW w:w="1190" w:type="dxa"/>
          </w:tcPr>
          <w:p w14:paraId="6C2B0BBA" w14:textId="77777777" w:rsidR="00B02873" w:rsidRPr="00E204D7" w:rsidRDefault="00B02873" w:rsidP="00E204D7">
            <w:pPr>
              <w:pStyle w:val="TablebodyleftFinancialsTables"/>
              <w:jc w:val="right"/>
              <w:rPr>
                <w:rFonts w:asciiTheme="minorHAnsi" w:hAnsiTheme="minorHAnsi" w:cstheme="minorHAnsi"/>
                <w:b/>
                <w:bCs/>
              </w:rPr>
            </w:pPr>
            <w:r w:rsidRPr="00E204D7">
              <w:rPr>
                <w:rFonts w:asciiTheme="minorHAnsi" w:hAnsiTheme="minorHAnsi" w:cstheme="minorHAnsi"/>
                <w:b/>
                <w:bCs/>
              </w:rPr>
              <w:t>–</w:t>
            </w:r>
          </w:p>
        </w:tc>
        <w:tc>
          <w:tcPr>
            <w:tcW w:w="1191" w:type="dxa"/>
          </w:tcPr>
          <w:p w14:paraId="4A6DC9B8" w14:textId="77777777" w:rsidR="00B02873" w:rsidRPr="00E204D7" w:rsidRDefault="00B02873" w:rsidP="00E204D7">
            <w:pPr>
              <w:pStyle w:val="TablebodyleftFinancialsTables"/>
              <w:jc w:val="right"/>
              <w:rPr>
                <w:rFonts w:asciiTheme="minorHAnsi" w:hAnsiTheme="minorHAnsi" w:cstheme="minorHAnsi"/>
                <w:b/>
                <w:bCs/>
              </w:rPr>
            </w:pPr>
            <w:r w:rsidRPr="00E204D7">
              <w:rPr>
                <w:rFonts w:asciiTheme="minorHAnsi" w:hAnsiTheme="minorHAnsi" w:cstheme="minorHAnsi"/>
                <w:b/>
                <w:bCs/>
              </w:rPr>
              <w:t>109,681</w:t>
            </w:r>
          </w:p>
        </w:tc>
      </w:tr>
      <w:tr w:rsidR="00B02873" w:rsidRPr="00E204D7" w14:paraId="4D8568C9" w14:textId="77777777" w:rsidTr="00E204D7">
        <w:trPr>
          <w:trHeight w:val="60"/>
        </w:trPr>
        <w:tc>
          <w:tcPr>
            <w:tcW w:w="3345" w:type="dxa"/>
          </w:tcPr>
          <w:p w14:paraId="6C0628CC" w14:textId="77777777" w:rsidR="00B02873" w:rsidRPr="00E204D7" w:rsidRDefault="00B02873" w:rsidP="00E204D7">
            <w:pPr>
              <w:pStyle w:val="TablebodyleftFinancialsTables"/>
              <w:rPr>
                <w:rFonts w:asciiTheme="minorHAnsi" w:hAnsiTheme="minorHAnsi" w:cstheme="minorHAnsi"/>
              </w:rPr>
            </w:pPr>
            <w:r w:rsidRPr="00E204D7">
              <w:rPr>
                <w:rFonts w:asciiTheme="minorHAnsi" w:hAnsiTheme="minorHAnsi" w:cstheme="minorHAnsi"/>
              </w:rPr>
              <w:t>Other financial liabilities</w:t>
            </w:r>
          </w:p>
        </w:tc>
        <w:tc>
          <w:tcPr>
            <w:tcW w:w="1531" w:type="dxa"/>
          </w:tcPr>
          <w:p w14:paraId="4358106C" w14:textId="77777777" w:rsidR="00B02873" w:rsidRPr="00E204D7" w:rsidRDefault="00B02873" w:rsidP="00E204D7">
            <w:pPr>
              <w:pStyle w:val="TablebodyleftFinancialsTables"/>
              <w:jc w:val="right"/>
              <w:rPr>
                <w:rFonts w:asciiTheme="minorHAnsi" w:hAnsiTheme="minorHAnsi" w:cstheme="minorHAnsi"/>
                <w:b/>
                <w:bCs/>
              </w:rPr>
            </w:pPr>
          </w:p>
        </w:tc>
        <w:tc>
          <w:tcPr>
            <w:tcW w:w="1190" w:type="dxa"/>
          </w:tcPr>
          <w:p w14:paraId="247AD1E2" w14:textId="77777777" w:rsidR="00B02873" w:rsidRPr="00E204D7" w:rsidRDefault="00B02873" w:rsidP="00E204D7">
            <w:pPr>
              <w:pStyle w:val="TablebodyleftFinancialsTables"/>
              <w:jc w:val="right"/>
              <w:rPr>
                <w:rFonts w:asciiTheme="minorHAnsi" w:hAnsiTheme="minorHAnsi" w:cstheme="minorHAnsi"/>
                <w:b/>
                <w:bCs/>
              </w:rPr>
            </w:pPr>
            <w:r w:rsidRPr="00E204D7">
              <w:rPr>
                <w:rFonts w:asciiTheme="minorHAnsi" w:hAnsiTheme="minorHAnsi" w:cstheme="minorHAnsi"/>
                <w:b/>
                <w:bCs/>
              </w:rPr>
              <w:t>204,383</w:t>
            </w:r>
          </w:p>
        </w:tc>
        <w:tc>
          <w:tcPr>
            <w:tcW w:w="1191" w:type="dxa"/>
          </w:tcPr>
          <w:p w14:paraId="16D28BFE" w14:textId="77777777" w:rsidR="00B02873" w:rsidRPr="00E204D7" w:rsidRDefault="00B02873" w:rsidP="00E204D7">
            <w:pPr>
              <w:pStyle w:val="TablebodyleftFinancialsTables"/>
              <w:jc w:val="right"/>
              <w:rPr>
                <w:rFonts w:asciiTheme="minorHAnsi" w:hAnsiTheme="minorHAnsi" w:cstheme="minorHAnsi"/>
                <w:b/>
                <w:bCs/>
              </w:rPr>
            </w:pPr>
            <w:r w:rsidRPr="00E204D7">
              <w:rPr>
                <w:rFonts w:asciiTheme="minorHAnsi" w:hAnsiTheme="minorHAnsi" w:cstheme="minorHAnsi"/>
                <w:b/>
                <w:bCs/>
              </w:rPr>
              <w:t>–</w:t>
            </w:r>
          </w:p>
        </w:tc>
        <w:tc>
          <w:tcPr>
            <w:tcW w:w="1190" w:type="dxa"/>
          </w:tcPr>
          <w:p w14:paraId="26514E4A" w14:textId="77777777" w:rsidR="00B02873" w:rsidRPr="00E204D7" w:rsidRDefault="00B02873" w:rsidP="00E204D7">
            <w:pPr>
              <w:pStyle w:val="TablebodyleftFinancialsTables"/>
              <w:jc w:val="right"/>
              <w:rPr>
                <w:rFonts w:asciiTheme="minorHAnsi" w:hAnsiTheme="minorHAnsi" w:cstheme="minorHAnsi"/>
                <w:b/>
                <w:bCs/>
              </w:rPr>
            </w:pPr>
            <w:r w:rsidRPr="00E204D7">
              <w:rPr>
                <w:rFonts w:asciiTheme="minorHAnsi" w:hAnsiTheme="minorHAnsi" w:cstheme="minorHAnsi"/>
                <w:b/>
                <w:bCs/>
              </w:rPr>
              <w:t>–</w:t>
            </w:r>
          </w:p>
        </w:tc>
        <w:tc>
          <w:tcPr>
            <w:tcW w:w="1191" w:type="dxa"/>
          </w:tcPr>
          <w:p w14:paraId="18353D82" w14:textId="77777777" w:rsidR="00B02873" w:rsidRPr="00E204D7" w:rsidRDefault="00B02873" w:rsidP="00E204D7">
            <w:pPr>
              <w:pStyle w:val="TablebodyleftFinancialsTables"/>
              <w:jc w:val="right"/>
              <w:rPr>
                <w:rFonts w:asciiTheme="minorHAnsi" w:hAnsiTheme="minorHAnsi" w:cstheme="minorHAnsi"/>
                <w:b/>
                <w:bCs/>
              </w:rPr>
            </w:pPr>
            <w:r w:rsidRPr="00E204D7">
              <w:rPr>
                <w:rFonts w:asciiTheme="minorHAnsi" w:hAnsiTheme="minorHAnsi" w:cstheme="minorHAnsi"/>
                <w:b/>
                <w:bCs/>
              </w:rPr>
              <w:t>204,383</w:t>
            </w:r>
          </w:p>
        </w:tc>
      </w:tr>
      <w:tr w:rsidR="00B02873" w:rsidRPr="00E204D7" w14:paraId="63E6EDA3" w14:textId="77777777" w:rsidTr="00E204D7">
        <w:trPr>
          <w:trHeight w:val="60"/>
        </w:trPr>
        <w:tc>
          <w:tcPr>
            <w:tcW w:w="3345" w:type="dxa"/>
          </w:tcPr>
          <w:p w14:paraId="1211C894" w14:textId="77777777" w:rsidR="00B02873" w:rsidRPr="00E204D7" w:rsidRDefault="00B02873" w:rsidP="00E204D7">
            <w:pPr>
              <w:pStyle w:val="TablebodyleftFinancialsTables"/>
              <w:rPr>
                <w:rFonts w:asciiTheme="minorHAnsi" w:hAnsiTheme="minorHAnsi" w:cstheme="minorHAnsi"/>
                <w:b/>
                <w:bCs/>
              </w:rPr>
            </w:pPr>
            <w:r w:rsidRPr="00E204D7">
              <w:rPr>
                <w:rFonts w:asciiTheme="minorHAnsi" w:hAnsiTheme="minorHAnsi" w:cstheme="minorHAnsi"/>
                <w:b/>
                <w:bCs/>
              </w:rPr>
              <w:t>Borrowings</w:t>
            </w:r>
          </w:p>
        </w:tc>
        <w:tc>
          <w:tcPr>
            <w:tcW w:w="1531" w:type="dxa"/>
          </w:tcPr>
          <w:p w14:paraId="4F489C46" w14:textId="77777777" w:rsidR="00B02873" w:rsidRPr="00E204D7" w:rsidRDefault="00B02873" w:rsidP="00E204D7">
            <w:pPr>
              <w:pStyle w:val="TablebodyleftFinancialsTables"/>
              <w:jc w:val="right"/>
              <w:rPr>
                <w:rFonts w:asciiTheme="minorHAnsi" w:hAnsiTheme="minorHAnsi" w:cstheme="minorHAnsi"/>
                <w:b/>
                <w:bCs/>
              </w:rPr>
            </w:pPr>
            <w:r w:rsidRPr="00E204D7">
              <w:rPr>
                <w:rFonts w:asciiTheme="minorHAnsi" w:hAnsiTheme="minorHAnsi" w:cstheme="minorHAnsi"/>
                <w:b/>
                <w:bCs/>
              </w:rPr>
              <w:t>2.79%</w:t>
            </w:r>
          </w:p>
        </w:tc>
        <w:tc>
          <w:tcPr>
            <w:tcW w:w="1190" w:type="dxa"/>
          </w:tcPr>
          <w:p w14:paraId="2FA00059" w14:textId="77777777" w:rsidR="00B02873" w:rsidRPr="00E204D7" w:rsidRDefault="00B02873" w:rsidP="00E204D7">
            <w:pPr>
              <w:pStyle w:val="TablebodyleftFinancialsTables"/>
              <w:jc w:val="right"/>
              <w:rPr>
                <w:rFonts w:asciiTheme="minorHAnsi" w:hAnsiTheme="minorHAnsi" w:cstheme="minorHAnsi"/>
                <w:b/>
                <w:bCs/>
              </w:rPr>
            </w:pPr>
            <w:r w:rsidRPr="00E204D7">
              <w:rPr>
                <w:rFonts w:asciiTheme="minorHAnsi" w:hAnsiTheme="minorHAnsi" w:cstheme="minorHAnsi"/>
                <w:b/>
                <w:bCs/>
              </w:rPr>
              <w:t>49,664</w:t>
            </w:r>
          </w:p>
        </w:tc>
        <w:tc>
          <w:tcPr>
            <w:tcW w:w="1191" w:type="dxa"/>
          </w:tcPr>
          <w:p w14:paraId="283A24C9" w14:textId="77777777" w:rsidR="00B02873" w:rsidRPr="00E204D7" w:rsidRDefault="00B02873" w:rsidP="00E204D7">
            <w:pPr>
              <w:pStyle w:val="TablebodyleftFinancialsTables"/>
              <w:jc w:val="right"/>
              <w:rPr>
                <w:rFonts w:asciiTheme="minorHAnsi" w:hAnsiTheme="minorHAnsi" w:cstheme="minorHAnsi"/>
                <w:b/>
                <w:bCs/>
              </w:rPr>
            </w:pPr>
            <w:r w:rsidRPr="00E204D7">
              <w:rPr>
                <w:rFonts w:asciiTheme="minorHAnsi" w:hAnsiTheme="minorHAnsi" w:cstheme="minorHAnsi"/>
                <w:b/>
                <w:bCs/>
              </w:rPr>
              <w:t>49,664</w:t>
            </w:r>
          </w:p>
        </w:tc>
        <w:tc>
          <w:tcPr>
            <w:tcW w:w="1190" w:type="dxa"/>
          </w:tcPr>
          <w:p w14:paraId="59A1ED50" w14:textId="77777777" w:rsidR="00B02873" w:rsidRPr="00E204D7" w:rsidRDefault="00B02873" w:rsidP="00E204D7">
            <w:pPr>
              <w:pStyle w:val="TablebodyleftFinancialsTables"/>
              <w:jc w:val="right"/>
              <w:rPr>
                <w:rFonts w:asciiTheme="minorHAnsi" w:hAnsiTheme="minorHAnsi" w:cstheme="minorHAnsi"/>
                <w:b/>
                <w:bCs/>
              </w:rPr>
            </w:pPr>
            <w:r w:rsidRPr="00E204D7">
              <w:rPr>
                <w:rFonts w:asciiTheme="minorHAnsi" w:hAnsiTheme="minorHAnsi" w:cstheme="minorHAnsi"/>
                <w:b/>
                <w:bCs/>
              </w:rPr>
              <w:t>–</w:t>
            </w:r>
          </w:p>
        </w:tc>
        <w:tc>
          <w:tcPr>
            <w:tcW w:w="1191" w:type="dxa"/>
          </w:tcPr>
          <w:p w14:paraId="3419FC0A" w14:textId="77777777" w:rsidR="00B02873" w:rsidRPr="00E204D7" w:rsidRDefault="00B02873" w:rsidP="00E204D7">
            <w:pPr>
              <w:pStyle w:val="TablebodyleftFinancialsTables"/>
              <w:jc w:val="right"/>
              <w:rPr>
                <w:rFonts w:asciiTheme="minorHAnsi" w:hAnsiTheme="minorHAnsi" w:cstheme="minorHAnsi"/>
                <w:b/>
                <w:bCs/>
              </w:rPr>
            </w:pPr>
            <w:r w:rsidRPr="00E204D7">
              <w:rPr>
                <w:rFonts w:asciiTheme="minorHAnsi" w:hAnsiTheme="minorHAnsi" w:cstheme="minorHAnsi"/>
                <w:b/>
                <w:bCs/>
              </w:rPr>
              <w:t>–</w:t>
            </w:r>
          </w:p>
        </w:tc>
      </w:tr>
      <w:tr w:rsidR="00B02873" w:rsidRPr="00E204D7" w14:paraId="5FDDF819" w14:textId="77777777" w:rsidTr="00E204D7">
        <w:trPr>
          <w:trHeight w:val="60"/>
        </w:trPr>
        <w:tc>
          <w:tcPr>
            <w:tcW w:w="3345" w:type="dxa"/>
          </w:tcPr>
          <w:p w14:paraId="2D377689" w14:textId="77777777" w:rsidR="00B02873" w:rsidRPr="00E204D7" w:rsidRDefault="00B02873" w:rsidP="00E204D7">
            <w:pPr>
              <w:pStyle w:val="TablebodyleftFinancialsTables"/>
              <w:rPr>
                <w:rFonts w:asciiTheme="minorHAnsi" w:hAnsiTheme="minorHAnsi" w:cstheme="minorHAnsi"/>
                <w:b/>
                <w:bCs/>
              </w:rPr>
            </w:pPr>
            <w:r w:rsidRPr="00E204D7">
              <w:rPr>
                <w:rFonts w:asciiTheme="minorHAnsi" w:hAnsiTheme="minorHAnsi" w:cstheme="minorHAnsi"/>
                <w:b/>
                <w:bCs/>
              </w:rPr>
              <w:t>Derivative financial Instruments</w:t>
            </w:r>
          </w:p>
        </w:tc>
        <w:tc>
          <w:tcPr>
            <w:tcW w:w="1531" w:type="dxa"/>
          </w:tcPr>
          <w:p w14:paraId="43CB23F6" w14:textId="77777777" w:rsidR="00B02873" w:rsidRPr="00E204D7" w:rsidRDefault="00B02873" w:rsidP="00E204D7">
            <w:pPr>
              <w:pStyle w:val="TablebodyleftFinancialsTables"/>
              <w:jc w:val="right"/>
              <w:rPr>
                <w:rFonts w:asciiTheme="minorHAnsi" w:hAnsiTheme="minorHAnsi" w:cstheme="minorHAnsi"/>
                <w:b/>
                <w:bCs/>
              </w:rPr>
            </w:pPr>
          </w:p>
        </w:tc>
        <w:tc>
          <w:tcPr>
            <w:tcW w:w="1190" w:type="dxa"/>
          </w:tcPr>
          <w:p w14:paraId="632F6510" w14:textId="77777777" w:rsidR="00B02873" w:rsidRPr="00E204D7" w:rsidRDefault="00B02873" w:rsidP="00E204D7">
            <w:pPr>
              <w:pStyle w:val="TablebodyleftFinancialsTables"/>
              <w:jc w:val="right"/>
              <w:rPr>
                <w:rFonts w:asciiTheme="minorHAnsi" w:hAnsiTheme="minorHAnsi" w:cstheme="minorHAnsi"/>
                <w:b/>
                <w:bCs/>
              </w:rPr>
            </w:pPr>
            <w:r w:rsidRPr="00E204D7">
              <w:rPr>
                <w:rFonts w:asciiTheme="minorHAnsi" w:hAnsiTheme="minorHAnsi" w:cstheme="minorHAnsi"/>
                <w:b/>
                <w:bCs/>
              </w:rPr>
              <w:t>–</w:t>
            </w:r>
          </w:p>
        </w:tc>
        <w:tc>
          <w:tcPr>
            <w:tcW w:w="1191" w:type="dxa"/>
          </w:tcPr>
          <w:p w14:paraId="2C4508B4" w14:textId="77777777" w:rsidR="00B02873" w:rsidRPr="00E204D7" w:rsidRDefault="00B02873" w:rsidP="00E204D7">
            <w:pPr>
              <w:pStyle w:val="TablebodyleftFinancialsTables"/>
              <w:jc w:val="right"/>
              <w:rPr>
                <w:rFonts w:asciiTheme="minorHAnsi" w:hAnsiTheme="minorHAnsi" w:cstheme="minorHAnsi"/>
                <w:b/>
                <w:bCs/>
              </w:rPr>
            </w:pPr>
            <w:r w:rsidRPr="00E204D7">
              <w:rPr>
                <w:rFonts w:asciiTheme="minorHAnsi" w:hAnsiTheme="minorHAnsi" w:cstheme="minorHAnsi"/>
                <w:b/>
                <w:bCs/>
              </w:rPr>
              <w:t>–</w:t>
            </w:r>
          </w:p>
        </w:tc>
        <w:tc>
          <w:tcPr>
            <w:tcW w:w="1190" w:type="dxa"/>
          </w:tcPr>
          <w:p w14:paraId="6F6BBED3" w14:textId="77777777" w:rsidR="00B02873" w:rsidRPr="00E204D7" w:rsidRDefault="00B02873" w:rsidP="00E204D7">
            <w:pPr>
              <w:pStyle w:val="TablebodyleftFinancialsTables"/>
              <w:jc w:val="right"/>
              <w:rPr>
                <w:rFonts w:asciiTheme="minorHAnsi" w:hAnsiTheme="minorHAnsi" w:cstheme="minorHAnsi"/>
                <w:b/>
                <w:bCs/>
              </w:rPr>
            </w:pPr>
            <w:r w:rsidRPr="00E204D7">
              <w:rPr>
                <w:rFonts w:asciiTheme="minorHAnsi" w:hAnsiTheme="minorHAnsi" w:cstheme="minorHAnsi"/>
                <w:b/>
                <w:bCs/>
              </w:rPr>
              <w:t>–</w:t>
            </w:r>
          </w:p>
        </w:tc>
        <w:tc>
          <w:tcPr>
            <w:tcW w:w="1191" w:type="dxa"/>
          </w:tcPr>
          <w:p w14:paraId="138491E7" w14:textId="77777777" w:rsidR="00B02873" w:rsidRPr="00E204D7" w:rsidRDefault="00B02873" w:rsidP="00E204D7">
            <w:pPr>
              <w:pStyle w:val="TablebodyleftFinancialsTables"/>
              <w:jc w:val="right"/>
              <w:rPr>
                <w:rFonts w:asciiTheme="minorHAnsi" w:hAnsiTheme="minorHAnsi" w:cstheme="minorHAnsi"/>
                <w:b/>
                <w:bCs/>
              </w:rPr>
            </w:pPr>
            <w:r w:rsidRPr="00E204D7">
              <w:rPr>
                <w:rFonts w:asciiTheme="minorHAnsi" w:hAnsiTheme="minorHAnsi" w:cstheme="minorHAnsi"/>
                <w:b/>
                <w:bCs/>
              </w:rPr>
              <w:t>–</w:t>
            </w:r>
          </w:p>
        </w:tc>
      </w:tr>
      <w:tr w:rsidR="00B02873" w:rsidRPr="00E204D7" w14:paraId="6548F16D" w14:textId="77777777" w:rsidTr="00E204D7">
        <w:trPr>
          <w:trHeight w:val="60"/>
        </w:trPr>
        <w:tc>
          <w:tcPr>
            <w:tcW w:w="3345" w:type="dxa"/>
          </w:tcPr>
          <w:p w14:paraId="6183C53A" w14:textId="77777777" w:rsidR="00B02873" w:rsidRPr="00E204D7" w:rsidRDefault="00B02873" w:rsidP="00E204D7">
            <w:pPr>
              <w:pStyle w:val="TablebodyleftFinancialsTables"/>
              <w:rPr>
                <w:rFonts w:asciiTheme="minorHAnsi" w:hAnsiTheme="minorHAnsi" w:cstheme="minorHAnsi"/>
                <w:b/>
                <w:bCs/>
              </w:rPr>
            </w:pPr>
            <w:r w:rsidRPr="00E204D7">
              <w:rPr>
                <w:rFonts w:asciiTheme="minorHAnsi" w:hAnsiTheme="minorHAnsi" w:cstheme="minorHAnsi"/>
                <w:b/>
                <w:bCs/>
              </w:rPr>
              <w:t>Other liabilities</w:t>
            </w:r>
          </w:p>
        </w:tc>
        <w:tc>
          <w:tcPr>
            <w:tcW w:w="1531" w:type="dxa"/>
          </w:tcPr>
          <w:p w14:paraId="17321C5D" w14:textId="77777777" w:rsidR="00B02873" w:rsidRPr="00E204D7" w:rsidRDefault="00B02873" w:rsidP="00E204D7">
            <w:pPr>
              <w:pStyle w:val="TablebodyleftFinancialsTables"/>
              <w:jc w:val="right"/>
              <w:rPr>
                <w:rFonts w:asciiTheme="minorHAnsi" w:hAnsiTheme="minorHAnsi" w:cstheme="minorHAnsi"/>
                <w:b/>
                <w:bCs/>
              </w:rPr>
            </w:pPr>
          </w:p>
        </w:tc>
        <w:tc>
          <w:tcPr>
            <w:tcW w:w="1190" w:type="dxa"/>
          </w:tcPr>
          <w:p w14:paraId="7876CA8A" w14:textId="77777777" w:rsidR="00B02873" w:rsidRPr="00E204D7" w:rsidRDefault="00B02873" w:rsidP="00E204D7">
            <w:pPr>
              <w:pStyle w:val="TablebodyleftFinancialsTables"/>
              <w:jc w:val="right"/>
              <w:rPr>
                <w:rFonts w:asciiTheme="minorHAnsi" w:hAnsiTheme="minorHAnsi" w:cstheme="minorHAnsi"/>
                <w:b/>
                <w:bCs/>
              </w:rPr>
            </w:pPr>
            <w:r w:rsidRPr="00E204D7">
              <w:rPr>
                <w:rFonts w:asciiTheme="minorHAnsi" w:hAnsiTheme="minorHAnsi" w:cstheme="minorHAnsi"/>
                <w:b/>
                <w:bCs/>
              </w:rPr>
              <w:t>8,129</w:t>
            </w:r>
          </w:p>
        </w:tc>
        <w:tc>
          <w:tcPr>
            <w:tcW w:w="1191" w:type="dxa"/>
          </w:tcPr>
          <w:p w14:paraId="0044F72A" w14:textId="77777777" w:rsidR="00B02873" w:rsidRPr="00E204D7" w:rsidRDefault="00B02873" w:rsidP="00E204D7">
            <w:pPr>
              <w:pStyle w:val="TablebodyleftFinancialsTables"/>
              <w:jc w:val="right"/>
              <w:rPr>
                <w:rFonts w:asciiTheme="minorHAnsi" w:hAnsiTheme="minorHAnsi" w:cstheme="minorHAnsi"/>
                <w:b/>
                <w:bCs/>
              </w:rPr>
            </w:pPr>
            <w:r w:rsidRPr="00E204D7">
              <w:rPr>
                <w:rFonts w:asciiTheme="minorHAnsi" w:hAnsiTheme="minorHAnsi" w:cstheme="minorHAnsi"/>
                <w:b/>
                <w:bCs/>
              </w:rPr>
              <w:t>–</w:t>
            </w:r>
          </w:p>
        </w:tc>
        <w:tc>
          <w:tcPr>
            <w:tcW w:w="1190" w:type="dxa"/>
          </w:tcPr>
          <w:p w14:paraId="70CAB071" w14:textId="77777777" w:rsidR="00B02873" w:rsidRPr="00E204D7" w:rsidRDefault="00B02873" w:rsidP="00E204D7">
            <w:pPr>
              <w:pStyle w:val="TablebodyleftFinancialsTables"/>
              <w:jc w:val="right"/>
              <w:rPr>
                <w:rFonts w:asciiTheme="minorHAnsi" w:hAnsiTheme="minorHAnsi" w:cstheme="minorHAnsi"/>
                <w:b/>
                <w:bCs/>
              </w:rPr>
            </w:pPr>
            <w:r w:rsidRPr="00E204D7">
              <w:rPr>
                <w:rFonts w:asciiTheme="minorHAnsi" w:hAnsiTheme="minorHAnsi" w:cstheme="minorHAnsi"/>
                <w:b/>
                <w:bCs/>
              </w:rPr>
              <w:t>–</w:t>
            </w:r>
          </w:p>
        </w:tc>
        <w:tc>
          <w:tcPr>
            <w:tcW w:w="1191" w:type="dxa"/>
          </w:tcPr>
          <w:p w14:paraId="2ADFC302" w14:textId="77777777" w:rsidR="00B02873" w:rsidRPr="00E204D7" w:rsidRDefault="00B02873" w:rsidP="00E204D7">
            <w:pPr>
              <w:pStyle w:val="TablebodyleftFinancialsTables"/>
              <w:jc w:val="right"/>
              <w:rPr>
                <w:rFonts w:asciiTheme="minorHAnsi" w:hAnsiTheme="minorHAnsi" w:cstheme="minorHAnsi"/>
                <w:b/>
                <w:bCs/>
              </w:rPr>
            </w:pPr>
            <w:r w:rsidRPr="00E204D7">
              <w:rPr>
                <w:rFonts w:asciiTheme="minorHAnsi" w:hAnsiTheme="minorHAnsi" w:cstheme="minorHAnsi"/>
                <w:b/>
                <w:bCs/>
              </w:rPr>
              <w:t>8,129</w:t>
            </w:r>
          </w:p>
        </w:tc>
      </w:tr>
      <w:tr w:rsidR="00B02873" w:rsidRPr="00E204D7" w14:paraId="3759EC2A" w14:textId="77777777" w:rsidTr="00E204D7">
        <w:trPr>
          <w:trHeight w:val="60"/>
        </w:trPr>
        <w:tc>
          <w:tcPr>
            <w:tcW w:w="3345" w:type="dxa"/>
          </w:tcPr>
          <w:p w14:paraId="3A62CA4D" w14:textId="77777777" w:rsidR="00B02873" w:rsidRPr="00E204D7" w:rsidRDefault="00B02873" w:rsidP="00E204D7">
            <w:pPr>
              <w:pStyle w:val="TablebodyleftFinancialsTables"/>
              <w:rPr>
                <w:rFonts w:asciiTheme="minorHAnsi" w:hAnsiTheme="minorHAnsi" w:cstheme="minorHAnsi"/>
                <w:b/>
                <w:bCs/>
              </w:rPr>
            </w:pPr>
            <w:r w:rsidRPr="00E204D7">
              <w:rPr>
                <w:rFonts w:asciiTheme="minorHAnsi" w:hAnsiTheme="minorHAnsi" w:cstheme="minorHAnsi"/>
                <w:b/>
                <w:bCs/>
              </w:rPr>
              <w:t>Total financial liabilities</w:t>
            </w:r>
          </w:p>
        </w:tc>
        <w:tc>
          <w:tcPr>
            <w:tcW w:w="1531" w:type="dxa"/>
          </w:tcPr>
          <w:p w14:paraId="7AF7AE6E" w14:textId="77777777" w:rsidR="00B02873" w:rsidRPr="00E204D7" w:rsidRDefault="00B02873" w:rsidP="00E204D7">
            <w:pPr>
              <w:pStyle w:val="TablebodyleftFinancialsTables"/>
              <w:jc w:val="right"/>
              <w:rPr>
                <w:rFonts w:asciiTheme="minorHAnsi" w:hAnsiTheme="minorHAnsi" w:cstheme="minorHAnsi"/>
                <w:b/>
                <w:bCs/>
              </w:rPr>
            </w:pPr>
          </w:p>
        </w:tc>
        <w:tc>
          <w:tcPr>
            <w:tcW w:w="1190" w:type="dxa"/>
          </w:tcPr>
          <w:p w14:paraId="0AEBB696" w14:textId="77777777" w:rsidR="00B02873" w:rsidRPr="00E204D7" w:rsidRDefault="00B02873" w:rsidP="00E204D7">
            <w:pPr>
              <w:pStyle w:val="TablebodyleftFinancialsTables"/>
              <w:jc w:val="right"/>
              <w:rPr>
                <w:rFonts w:asciiTheme="minorHAnsi" w:hAnsiTheme="minorHAnsi" w:cstheme="minorHAnsi"/>
                <w:b/>
                <w:bCs/>
              </w:rPr>
            </w:pPr>
            <w:r w:rsidRPr="00E204D7">
              <w:rPr>
                <w:rFonts w:asciiTheme="minorHAnsi" w:hAnsiTheme="minorHAnsi" w:cstheme="minorHAnsi"/>
                <w:b/>
                <w:bCs/>
              </w:rPr>
              <w:t>491,202</w:t>
            </w:r>
          </w:p>
        </w:tc>
        <w:tc>
          <w:tcPr>
            <w:tcW w:w="1191" w:type="dxa"/>
          </w:tcPr>
          <w:p w14:paraId="0FC85F74" w14:textId="77777777" w:rsidR="00B02873" w:rsidRPr="00E204D7" w:rsidRDefault="00B02873" w:rsidP="00E204D7">
            <w:pPr>
              <w:pStyle w:val="TablebodyleftFinancialsTables"/>
              <w:jc w:val="right"/>
              <w:rPr>
                <w:rFonts w:asciiTheme="minorHAnsi" w:hAnsiTheme="minorHAnsi" w:cstheme="minorHAnsi"/>
                <w:b/>
                <w:bCs/>
              </w:rPr>
            </w:pPr>
            <w:r w:rsidRPr="00E204D7">
              <w:rPr>
                <w:rFonts w:asciiTheme="minorHAnsi" w:hAnsiTheme="minorHAnsi" w:cstheme="minorHAnsi"/>
                <w:b/>
                <w:bCs/>
              </w:rPr>
              <w:t>49,664</w:t>
            </w:r>
          </w:p>
        </w:tc>
        <w:tc>
          <w:tcPr>
            <w:tcW w:w="1190" w:type="dxa"/>
          </w:tcPr>
          <w:p w14:paraId="15029925" w14:textId="77777777" w:rsidR="00B02873" w:rsidRPr="00E204D7" w:rsidRDefault="00B02873" w:rsidP="00E204D7">
            <w:pPr>
              <w:pStyle w:val="TablebodyleftFinancialsTables"/>
              <w:jc w:val="right"/>
              <w:rPr>
                <w:rFonts w:asciiTheme="minorHAnsi" w:hAnsiTheme="minorHAnsi" w:cstheme="minorHAnsi"/>
                <w:b/>
                <w:bCs/>
              </w:rPr>
            </w:pPr>
            <w:r w:rsidRPr="00E204D7">
              <w:rPr>
                <w:rFonts w:asciiTheme="minorHAnsi" w:hAnsiTheme="minorHAnsi" w:cstheme="minorHAnsi"/>
                <w:b/>
                <w:bCs/>
              </w:rPr>
              <w:t>–</w:t>
            </w:r>
          </w:p>
        </w:tc>
        <w:tc>
          <w:tcPr>
            <w:tcW w:w="1191" w:type="dxa"/>
          </w:tcPr>
          <w:p w14:paraId="1FB9D62B" w14:textId="77777777" w:rsidR="00B02873" w:rsidRPr="00E204D7" w:rsidRDefault="00B02873" w:rsidP="00E204D7">
            <w:pPr>
              <w:pStyle w:val="TablebodyleftFinancialsTables"/>
              <w:jc w:val="right"/>
              <w:rPr>
                <w:rFonts w:asciiTheme="minorHAnsi" w:hAnsiTheme="minorHAnsi" w:cstheme="minorHAnsi"/>
                <w:b/>
                <w:bCs/>
              </w:rPr>
            </w:pPr>
            <w:r w:rsidRPr="00E204D7">
              <w:rPr>
                <w:rFonts w:asciiTheme="minorHAnsi" w:hAnsiTheme="minorHAnsi" w:cstheme="minorHAnsi"/>
                <w:b/>
                <w:bCs/>
              </w:rPr>
              <w:t>441,538</w:t>
            </w:r>
          </w:p>
        </w:tc>
      </w:tr>
    </w:tbl>
    <w:p w14:paraId="34005D46" w14:textId="77777777" w:rsidR="00B02873" w:rsidRPr="00E204D7" w:rsidRDefault="00B02873" w:rsidP="00E204D7">
      <w:pPr>
        <w:pStyle w:val="SourceNote"/>
        <w:spacing w:after="120"/>
        <w:rPr>
          <w:b/>
          <w:bCs/>
        </w:rPr>
      </w:pPr>
      <w:r w:rsidRPr="00E204D7">
        <w:rPr>
          <w:b/>
          <w:bCs/>
        </w:rPr>
        <w:t>Note:</w:t>
      </w:r>
    </w:p>
    <w:p w14:paraId="0D071BA0" w14:textId="6629024B" w:rsidR="00B02873" w:rsidRPr="00E204D7" w:rsidRDefault="00B02873" w:rsidP="001128B1">
      <w:pPr>
        <w:pStyle w:val="SourceNotenumbered"/>
        <w:numPr>
          <w:ilvl w:val="0"/>
          <w:numId w:val="87"/>
        </w:numPr>
      </w:pPr>
      <w:r w:rsidRPr="00E204D7">
        <w:t xml:space="preserve">The amount of receivables disclosed excludes accrued income and statutory receivables (i.e. amounts owing from Victorian government, landfill levies receivable and GST input tax credit receivable) totalling $957.438 million – Refer to Note 6.1 </w:t>
      </w:r>
      <w:r w:rsidRPr="00C53E83">
        <w:rPr>
          <w:rStyle w:val="LightItalic"/>
          <w:rFonts w:asciiTheme="minorHAnsi" w:hAnsiTheme="minorHAnsi" w:cstheme="minorHAnsi"/>
        </w:rPr>
        <w:t>Receivables</w:t>
      </w:r>
      <w:r w:rsidRPr="00E204D7">
        <w:t>.</w:t>
      </w:r>
      <w:r w:rsidR="00012C04" w:rsidRPr="00E204D7">
        <w:t xml:space="preserve"> </w:t>
      </w:r>
    </w:p>
    <w:p w14:paraId="64BB90C1" w14:textId="77777777" w:rsidR="00B02873" w:rsidRPr="00E204D7" w:rsidRDefault="00B02873" w:rsidP="00C53E83">
      <w:pPr>
        <w:pStyle w:val="SourceNotenumbered"/>
        <w:rPr>
          <w:sz w:val="18"/>
          <w:szCs w:val="18"/>
        </w:rPr>
      </w:pPr>
      <w:r w:rsidRPr="00E204D7">
        <w:t xml:space="preserve">The amount of payables disclosed excludes statutory payables (i.e. advances from the Public Account and taxes payable) totalling $31.289 million – Refer to Note 6.3 </w:t>
      </w:r>
      <w:r w:rsidRPr="00E204D7">
        <w:rPr>
          <w:rStyle w:val="LightItalic"/>
          <w:rFonts w:asciiTheme="minorHAnsi" w:hAnsiTheme="minorHAnsi" w:cstheme="minorHAnsi"/>
        </w:rPr>
        <w:t>Payables</w:t>
      </w:r>
      <w:r w:rsidRPr="00E204D7">
        <w:t xml:space="preserve">. </w:t>
      </w:r>
    </w:p>
    <w:p w14:paraId="0AAD2ED5" w14:textId="77777777" w:rsidR="00B02873" w:rsidRDefault="00B02873" w:rsidP="00E204D7">
      <w:pPr>
        <w:pStyle w:val="TabletitleTables"/>
      </w:pPr>
      <w:r>
        <w:lastRenderedPageBreak/>
        <w:t>Interest rate exposure of financial instruments (continued)</w:t>
      </w:r>
    </w:p>
    <w:tbl>
      <w:tblPr>
        <w:tblStyle w:val="TableGrid"/>
        <w:tblW w:w="9638" w:type="dxa"/>
        <w:tblLayout w:type="fixed"/>
        <w:tblLook w:val="0020" w:firstRow="1" w:lastRow="0" w:firstColumn="0" w:lastColumn="0" w:noHBand="0" w:noVBand="0"/>
      </w:tblPr>
      <w:tblGrid>
        <w:gridCol w:w="3345"/>
        <w:gridCol w:w="1531"/>
        <w:gridCol w:w="1190"/>
        <w:gridCol w:w="1191"/>
        <w:gridCol w:w="1190"/>
        <w:gridCol w:w="1191"/>
      </w:tblGrid>
      <w:tr w:rsidR="00B02873" w:rsidRPr="00B02873" w14:paraId="7CC710B0" w14:textId="77777777" w:rsidTr="00E204D7">
        <w:trPr>
          <w:cnfStyle w:val="100000000000" w:firstRow="1" w:lastRow="0" w:firstColumn="0" w:lastColumn="0" w:oddVBand="0" w:evenVBand="0" w:oddHBand="0" w:evenHBand="0" w:firstRowFirstColumn="0" w:firstRowLastColumn="0" w:lastRowFirstColumn="0" w:lastRowLastColumn="0"/>
          <w:trHeight w:val="60"/>
        </w:trPr>
        <w:tc>
          <w:tcPr>
            <w:tcW w:w="3345" w:type="dxa"/>
          </w:tcPr>
          <w:p w14:paraId="202F3CD6" w14:textId="77777777" w:rsidR="00B02873" w:rsidRPr="00B02873" w:rsidRDefault="00B02873" w:rsidP="00E204D7">
            <w:pPr>
              <w:pStyle w:val="TableheadingleftFinancialsTables"/>
            </w:pPr>
          </w:p>
        </w:tc>
        <w:tc>
          <w:tcPr>
            <w:tcW w:w="1531" w:type="dxa"/>
          </w:tcPr>
          <w:p w14:paraId="4F3DA05A" w14:textId="2192A509" w:rsidR="00B02873" w:rsidRPr="00B02873" w:rsidRDefault="00E204D7" w:rsidP="00E204D7">
            <w:pPr>
              <w:pStyle w:val="TableheadingleftFinancialsTables"/>
              <w:jc w:val="right"/>
            </w:pPr>
            <w:r>
              <w:rPr>
                <w:spacing w:val="-5"/>
              </w:rPr>
              <w:t>Weighted average effective interest rate</w:t>
            </w:r>
          </w:p>
        </w:tc>
        <w:tc>
          <w:tcPr>
            <w:tcW w:w="1190" w:type="dxa"/>
          </w:tcPr>
          <w:p w14:paraId="0A3D88E5" w14:textId="40787935" w:rsidR="00B02873" w:rsidRDefault="00E204D7" w:rsidP="00E204D7">
            <w:pPr>
              <w:pStyle w:val="TableheadingleftFinancialsTables"/>
              <w:jc w:val="right"/>
            </w:pPr>
            <w:r>
              <w:t xml:space="preserve">Interest rate exposure </w:t>
            </w:r>
            <w:r w:rsidR="00B02873">
              <w:t>Carrying amount</w:t>
            </w:r>
            <w:r w:rsidR="00B02873">
              <w:br/>
              <w:t>$‘000</w:t>
            </w:r>
          </w:p>
        </w:tc>
        <w:tc>
          <w:tcPr>
            <w:tcW w:w="1191" w:type="dxa"/>
          </w:tcPr>
          <w:p w14:paraId="75B977C1" w14:textId="3087ACAE" w:rsidR="00B02873" w:rsidRDefault="00E204D7" w:rsidP="00E204D7">
            <w:pPr>
              <w:pStyle w:val="TableheadingleftFinancialsTables"/>
              <w:jc w:val="right"/>
            </w:pPr>
            <w:r>
              <w:t xml:space="preserve">Interest rate exposure </w:t>
            </w:r>
            <w:r w:rsidR="00B02873">
              <w:t>Fixed interest rate</w:t>
            </w:r>
            <w:r w:rsidR="00B02873">
              <w:br/>
              <w:t>$‘000</w:t>
            </w:r>
          </w:p>
        </w:tc>
        <w:tc>
          <w:tcPr>
            <w:tcW w:w="1190" w:type="dxa"/>
          </w:tcPr>
          <w:p w14:paraId="67341AA7" w14:textId="478ABD29" w:rsidR="00B02873" w:rsidRDefault="00E204D7" w:rsidP="00E204D7">
            <w:pPr>
              <w:pStyle w:val="TableheadingleftFinancialsTables"/>
              <w:jc w:val="right"/>
            </w:pPr>
            <w:r>
              <w:t xml:space="preserve">Interest rate exposure </w:t>
            </w:r>
            <w:r w:rsidR="00B02873">
              <w:t>Variable interest rate</w:t>
            </w:r>
            <w:r w:rsidR="00B02873">
              <w:br/>
              <w:t>$‘000</w:t>
            </w:r>
          </w:p>
        </w:tc>
        <w:tc>
          <w:tcPr>
            <w:tcW w:w="1191" w:type="dxa"/>
          </w:tcPr>
          <w:p w14:paraId="54EF561A" w14:textId="2C760AD8" w:rsidR="00B02873" w:rsidRDefault="00E204D7" w:rsidP="00E204D7">
            <w:pPr>
              <w:pStyle w:val="TableheadingleftFinancialsTables"/>
              <w:jc w:val="right"/>
            </w:pPr>
            <w:r>
              <w:t xml:space="preserve">Interest rate exposure </w:t>
            </w:r>
            <w:r w:rsidR="00B02873">
              <w:t>Non-interest bearing</w:t>
            </w:r>
            <w:r w:rsidR="00B02873">
              <w:br/>
              <w:t>$‘000</w:t>
            </w:r>
          </w:p>
        </w:tc>
      </w:tr>
      <w:tr w:rsidR="00B02873" w:rsidRPr="00B02873" w14:paraId="13CF88C2" w14:textId="77777777" w:rsidTr="00E204D7">
        <w:trPr>
          <w:trHeight w:val="60"/>
        </w:trPr>
        <w:tc>
          <w:tcPr>
            <w:tcW w:w="3345" w:type="dxa"/>
          </w:tcPr>
          <w:p w14:paraId="7BD829B1" w14:textId="77777777" w:rsidR="00B02873" w:rsidRDefault="00B02873" w:rsidP="00E204D7">
            <w:pPr>
              <w:pStyle w:val="TablebodyleftFinancialsTables"/>
            </w:pPr>
            <w:r>
              <w:t>2021</w:t>
            </w:r>
          </w:p>
        </w:tc>
        <w:tc>
          <w:tcPr>
            <w:tcW w:w="1531" w:type="dxa"/>
          </w:tcPr>
          <w:p w14:paraId="2EC471F3" w14:textId="77777777" w:rsidR="00B02873" w:rsidRPr="00B02873" w:rsidRDefault="00B02873" w:rsidP="00E204D7">
            <w:pPr>
              <w:pStyle w:val="TablebodyleftFinancialsTables"/>
              <w:jc w:val="right"/>
              <w:rPr>
                <w:rFonts w:ascii="VIC Bold Italic" w:hAnsi="VIC Bold Italic" w:cs="Times New Roman"/>
              </w:rPr>
            </w:pPr>
          </w:p>
        </w:tc>
        <w:tc>
          <w:tcPr>
            <w:tcW w:w="1190" w:type="dxa"/>
          </w:tcPr>
          <w:p w14:paraId="41543A7D" w14:textId="77777777" w:rsidR="00B02873" w:rsidRPr="00B02873" w:rsidRDefault="00B02873" w:rsidP="00E204D7">
            <w:pPr>
              <w:pStyle w:val="TablebodyleftFinancialsTables"/>
              <w:jc w:val="right"/>
              <w:rPr>
                <w:rFonts w:ascii="VIC Bold Italic" w:hAnsi="VIC Bold Italic" w:cs="Times New Roman"/>
              </w:rPr>
            </w:pPr>
          </w:p>
        </w:tc>
        <w:tc>
          <w:tcPr>
            <w:tcW w:w="1191" w:type="dxa"/>
          </w:tcPr>
          <w:p w14:paraId="5754A4A0" w14:textId="77777777" w:rsidR="00B02873" w:rsidRPr="00B02873" w:rsidRDefault="00B02873" w:rsidP="00E204D7">
            <w:pPr>
              <w:pStyle w:val="TablebodyleftFinancialsTables"/>
              <w:jc w:val="right"/>
              <w:rPr>
                <w:rFonts w:ascii="VIC Bold Italic" w:hAnsi="VIC Bold Italic" w:cs="Times New Roman"/>
              </w:rPr>
            </w:pPr>
          </w:p>
        </w:tc>
        <w:tc>
          <w:tcPr>
            <w:tcW w:w="1190" w:type="dxa"/>
          </w:tcPr>
          <w:p w14:paraId="653C7872" w14:textId="77777777" w:rsidR="00B02873" w:rsidRPr="00B02873" w:rsidRDefault="00B02873" w:rsidP="00E204D7">
            <w:pPr>
              <w:pStyle w:val="TablebodyleftFinancialsTables"/>
              <w:jc w:val="right"/>
              <w:rPr>
                <w:rFonts w:ascii="VIC Bold Italic" w:hAnsi="VIC Bold Italic" w:cs="Times New Roman"/>
              </w:rPr>
            </w:pPr>
          </w:p>
        </w:tc>
        <w:tc>
          <w:tcPr>
            <w:tcW w:w="1191" w:type="dxa"/>
          </w:tcPr>
          <w:p w14:paraId="5BE5A3F3" w14:textId="77777777" w:rsidR="00B02873" w:rsidRPr="00B02873" w:rsidRDefault="00B02873" w:rsidP="00E204D7">
            <w:pPr>
              <w:pStyle w:val="TablebodyleftFinancialsTables"/>
              <w:jc w:val="right"/>
              <w:rPr>
                <w:rFonts w:ascii="VIC Bold Italic" w:hAnsi="VIC Bold Italic" w:cs="Times New Roman"/>
              </w:rPr>
            </w:pPr>
          </w:p>
        </w:tc>
      </w:tr>
      <w:tr w:rsidR="00B02873" w:rsidRPr="00B02873" w14:paraId="3B1878DF" w14:textId="77777777" w:rsidTr="00E204D7">
        <w:trPr>
          <w:trHeight w:val="60"/>
        </w:trPr>
        <w:tc>
          <w:tcPr>
            <w:tcW w:w="3345" w:type="dxa"/>
          </w:tcPr>
          <w:p w14:paraId="1BBE2809" w14:textId="77777777" w:rsidR="00B02873" w:rsidRPr="00E204D7" w:rsidRDefault="00B02873" w:rsidP="00E204D7">
            <w:pPr>
              <w:pStyle w:val="TablebodyleftFinancialsTables"/>
              <w:rPr>
                <w:b/>
                <w:bCs/>
              </w:rPr>
            </w:pPr>
            <w:r w:rsidRPr="00E204D7">
              <w:rPr>
                <w:b/>
                <w:bCs/>
              </w:rPr>
              <w:t>Financial assets</w:t>
            </w:r>
          </w:p>
        </w:tc>
        <w:tc>
          <w:tcPr>
            <w:tcW w:w="1531" w:type="dxa"/>
          </w:tcPr>
          <w:p w14:paraId="6912A587" w14:textId="77777777" w:rsidR="00B02873" w:rsidRPr="00B02873" w:rsidRDefault="00B02873" w:rsidP="00E204D7">
            <w:pPr>
              <w:pStyle w:val="TablebodyleftFinancialsTables"/>
              <w:jc w:val="right"/>
              <w:rPr>
                <w:rFonts w:ascii="VIC Bold Italic" w:hAnsi="VIC Bold Italic" w:cs="Times New Roman"/>
              </w:rPr>
            </w:pPr>
          </w:p>
        </w:tc>
        <w:tc>
          <w:tcPr>
            <w:tcW w:w="1190" w:type="dxa"/>
          </w:tcPr>
          <w:p w14:paraId="0B651818" w14:textId="77777777" w:rsidR="00B02873" w:rsidRPr="00B02873" w:rsidRDefault="00B02873" w:rsidP="00E204D7">
            <w:pPr>
              <w:pStyle w:val="TablebodyleftFinancialsTables"/>
              <w:jc w:val="right"/>
              <w:rPr>
                <w:rFonts w:ascii="VIC Bold Italic" w:hAnsi="VIC Bold Italic" w:cs="Times New Roman"/>
              </w:rPr>
            </w:pPr>
          </w:p>
        </w:tc>
        <w:tc>
          <w:tcPr>
            <w:tcW w:w="1191" w:type="dxa"/>
          </w:tcPr>
          <w:p w14:paraId="405A0159" w14:textId="77777777" w:rsidR="00B02873" w:rsidRPr="00B02873" w:rsidRDefault="00B02873" w:rsidP="00E204D7">
            <w:pPr>
              <w:pStyle w:val="TablebodyleftFinancialsTables"/>
              <w:jc w:val="right"/>
              <w:rPr>
                <w:rFonts w:ascii="VIC Bold Italic" w:hAnsi="VIC Bold Italic" w:cs="Times New Roman"/>
              </w:rPr>
            </w:pPr>
          </w:p>
        </w:tc>
        <w:tc>
          <w:tcPr>
            <w:tcW w:w="1190" w:type="dxa"/>
          </w:tcPr>
          <w:p w14:paraId="57F288C0" w14:textId="77777777" w:rsidR="00B02873" w:rsidRPr="00B02873" w:rsidRDefault="00B02873" w:rsidP="00E204D7">
            <w:pPr>
              <w:pStyle w:val="TablebodyleftFinancialsTables"/>
              <w:jc w:val="right"/>
              <w:rPr>
                <w:rFonts w:ascii="VIC Bold Italic" w:hAnsi="VIC Bold Italic" w:cs="Times New Roman"/>
              </w:rPr>
            </w:pPr>
          </w:p>
        </w:tc>
        <w:tc>
          <w:tcPr>
            <w:tcW w:w="1191" w:type="dxa"/>
          </w:tcPr>
          <w:p w14:paraId="0E750A4A" w14:textId="77777777" w:rsidR="00B02873" w:rsidRPr="00B02873" w:rsidRDefault="00B02873" w:rsidP="00E204D7">
            <w:pPr>
              <w:pStyle w:val="TablebodyleftFinancialsTables"/>
              <w:jc w:val="right"/>
              <w:rPr>
                <w:rFonts w:ascii="VIC Bold Italic" w:hAnsi="VIC Bold Italic" w:cs="Times New Roman"/>
              </w:rPr>
            </w:pPr>
          </w:p>
        </w:tc>
      </w:tr>
      <w:tr w:rsidR="00B02873" w:rsidRPr="00B02873" w14:paraId="1D9B431D" w14:textId="77777777" w:rsidTr="00E204D7">
        <w:trPr>
          <w:trHeight w:val="60"/>
        </w:trPr>
        <w:tc>
          <w:tcPr>
            <w:tcW w:w="3345" w:type="dxa"/>
          </w:tcPr>
          <w:p w14:paraId="34E1E17F" w14:textId="77777777" w:rsidR="00B02873" w:rsidRPr="00E204D7" w:rsidRDefault="00B02873" w:rsidP="00E204D7">
            <w:pPr>
              <w:pStyle w:val="TablebodyleftFinancialsTables"/>
              <w:rPr>
                <w:b/>
                <w:bCs/>
              </w:rPr>
            </w:pPr>
            <w:r w:rsidRPr="00E204D7">
              <w:rPr>
                <w:b/>
                <w:bCs/>
              </w:rPr>
              <w:t>Cash and deposits</w:t>
            </w:r>
          </w:p>
        </w:tc>
        <w:tc>
          <w:tcPr>
            <w:tcW w:w="1531" w:type="dxa"/>
          </w:tcPr>
          <w:p w14:paraId="5894A0D9" w14:textId="77777777" w:rsidR="00B02873" w:rsidRPr="00B02873" w:rsidRDefault="00B02873" w:rsidP="00E204D7">
            <w:pPr>
              <w:pStyle w:val="TablebodyleftFinancialsTables"/>
              <w:jc w:val="right"/>
              <w:rPr>
                <w:rFonts w:ascii="VIC Bold Italic" w:hAnsi="VIC Bold Italic" w:cs="Times New Roman"/>
              </w:rPr>
            </w:pPr>
          </w:p>
        </w:tc>
        <w:tc>
          <w:tcPr>
            <w:tcW w:w="1190" w:type="dxa"/>
          </w:tcPr>
          <w:p w14:paraId="58EB8B42" w14:textId="77777777" w:rsidR="00B02873" w:rsidRPr="00B02873" w:rsidRDefault="00B02873" w:rsidP="00E204D7">
            <w:pPr>
              <w:pStyle w:val="TablebodyleftFinancialsTables"/>
              <w:jc w:val="right"/>
              <w:rPr>
                <w:rFonts w:ascii="VIC Bold Italic" w:hAnsi="VIC Bold Italic" w:cs="Times New Roman"/>
              </w:rPr>
            </w:pPr>
          </w:p>
        </w:tc>
        <w:tc>
          <w:tcPr>
            <w:tcW w:w="1191" w:type="dxa"/>
          </w:tcPr>
          <w:p w14:paraId="5F4A486E" w14:textId="77777777" w:rsidR="00B02873" w:rsidRPr="00B02873" w:rsidRDefault="00B02873" w:rsidP="00E204D7">
            <w:pPr>
              <w:pStyle w:val="TablebodyleftFinancialsTables"/>
              <w:jc w:val="right"/>
              <w:rPr>
                <w:rFonts w:ascii="VIC Bold Italic" w:hAnsi="VIC Bold Italic" w:cs="Times New Roman"/>
              </w:rPr>
            </w:pPr>
          </w:p>
        </w:tc>
        <w:tc>
          <w:tcPr>
            <w:tcW w:w="1190" w:type="dxa"/>
          </w:tcPr>
          <w:p w14:paraId="3FC97B8D" w14:textId="77777777" w:rsidR="00B02873" w:rsidRPr="00B02873" w:rsidRDefault="00B02873" w:rsidP="00E204D7">
            <w:pPr>
              <w:pStyle w:val="TablebodyleftFinancialsTables"/>
              <w:jc w:val="right"/>
              <w:rPr>
                <w:rFonts w:ascii="VIC Bold Italic" w:hAnsi="VIC Bold Italic" w:cs="Times New Roman"/>
              </w:rPr>
            </w:pPr>
          </w:p>
        </w:tc>
        <w:tc>
          <w:tcPr>
            <w:tcW w:w="1191" w:type="dxa"/>
          </w:tcPr>
          <w:p w14:paraId="2F95B707" w14:textId="77777777" w:rsidR="00B02873" w:rsidRPr="00B02873" w:rsidRDefault="00B02873" w:rsidP="00E204D7">
            <w:pPr>
              <w:pStyle w:val="TablebodyleftFinancialsTables"/>
              <w:jc w:val="right"/>
              <w:rPr>
                <w:rFonts w:ascii="VIC Bold Italic" w:hAnsi="VIC Bold Italic" w:cs="Times New Roman"/>
              </w:rPr>
            </w:pPr>
          </w:p>
        </w:tc>
      </w:tr>
      <w:tr w:rsidR="00B02873" w:rsidRPr="00B02873" w14:paraId="1745ED68" w14:textId="77777777" w:rsidTr="00E204D7">
        <w:trPr>
          <w:trHeight w:val="60"/>
        </w:trPr>
        <w:tc>
          <w:tcPr>
            <w:tcW w:w="3345" w:type="dxa"/>
          </w:tcPr>
          <w:p w14:paraId="686A7285" w14:textId="77777777" w:rsidR="00B02873" w:rsidRDefault="00B02873" w:rsidP="00E204D7">
            <w:pPr>
              <w:pStyle w:val="TablebodyleftFinancialsTables"/>
            </w:pPr>
            <w:r>
              <w:t>Cash, deposits on call</w:t>
            </w:r>
          </w:p>
        </w:tc>
        <w:tc>
          <w:tcPr>
            <w:tcW w:w="1531" w:type="dxa"/>
          </w:tcPr>
          <w:p w14:paraId="56B840FD" w14:textId="77777777" w:rsidR="00B02873" w:rsidRDefault="00B02873" w:rsidP="00E204D7">
            <w:pPr>
              <w:pStyle w:val="TablebodyleftFinancialsTables"/>
              <w:jc w:val="right"/>
            </w:pPr>
            <w:r>
              <w:t>0.33%</w:t>
            </w:r>
          </w:p>
        </w:tc>
        <w:tc>
          <w:tcPr>
            <w:tcW w:w="1190" w:type="dxa"/>
          </w:tcPr>
          <w:p w14:paraId="75A22098" w14:textId="77777777" w:rsidR="00B02873" w:rsidRDefault="00B02873" w:rsidP="00E204D7">
            <w:pPr>
              <w:pStyle w:val="TablebodyleftFinancialsTables"/>
              <w:jc w:val="right"/>
            </w:pPr>
            <w:r>
              <w:t>1,242,681</w:t>
            </w:r>
          </w:p>
        </w:tc>
        <w:tc>
          <w:tcPr>
            <w:tcW w:w="1191" w:type="dxa"/>
          </w:tcPr>
          <w:p w14:paraId="67C95CA1" w14:textId="77777777" w:rsidR="00B02873" w:rsidRDefault="00B02873" w:rsidP="00E204D7">
            <w:pPr>
              <w:pStyle w:val="TablebodyleftFinancialsTables"/>
              <w:jc w:val="right"/>
            </w:pPr>
            <w:r>
              <w:t>–</w:t>
            </w:r>
          </w:p>
        </w:tc>
        <w:tc>
          <w:tcPr>
            <w:tcW w:w="1190" w:type="dxa"/>
          </w:tcPr>
          <w:p w14:paraId="32F37E9B" w14:textId="77777777" w:rsidR="00B02873" w:rsidRDefault="00B02873" w:rsidP="00E204D7">
            <w:pPr>
              <w:pStyle w:val="TablebodyleftFinancialsTables"/>
              <w:jc w:val="right"/>
            </w:pPr>
            <w:r>
              <w:t>525,575</w:t>
            </w:r>
          </w:p>
        </w:tc>
        <w:tc>
          <w:tcPr>
            <w:tcW w:w="1191" w:type="dxa"/>
          </w:tcPr>
          <w:p w14:paraId="424CCC49" w14:textId="77777777" w:rsidR="00B02873" w:rsidRDefault="00B02873" w:rsidP="00E204D7">
            <w:pPr>
              <w:pStyle w:val="TablebodyleftFinancialsTables"/>
              <w:jc w:val="right"/>
            </w:pPr>
            <w:r>
              <w:t>717,106</w:t>
            </w:r>
          </w:p>
        </w:tc>
      </w:tr>
      <w:tr w:rsidR="00B02873" w:rsidRPr="00B02873" w14:paraId="5524CD18" w14:textId="77777777" w:rsidTr="00E204D7">
        <w:trPr>
          <w:trHeight w:val="60"/>
        </w:trPr>
        <w:tc>
          <w:tcPr>
            <w:tcW w:w="3345" w:type="dxa"/>
          </w:tcPr>
          <w:p w14:paraId="70B15CEF" w14:textId="77777777" w:rsidR="00B02873" w:rsidRPr="00E204D7" w:rsidRDefault="00B02873" w:rsidP="00E204D7">
            <w:pPr>
              <w:pStyle w:val="TablebodyleftFinancialsTables"/>
              <w:rPr>
                <w:b/>
                <w:bCs/>
              </w:rPr>
            </w:pPr>
            <w:r w:rsidRPr="00E204D7">
              <w:rPr>
                <w:b/>
                <w:bCs/>
              </w:rPr>
              <w:t xml:space="preserve">Receivables </w:t>
            </w:r>
            <w:r w:rsidRPr="00E204D7">
              <w:rPr>
                <w:b/>
                <w:bCs/>
                <w:vertAlign w:val="superscript"/>
              </w:rPr>
              <w:t>(i)</w:t>
            </w:r>
          </w:p>
        </w:tc>
        <w:tc>
          <w:tcPr>
            <w:tcW w:w="1531" w:type="dxa"/>
          </w:tcPr>
          <w:p w14:paraId="5F4738D4" w14:textId="77777777" w:rsidR="00B02873" w:rsidRPr="00B02873" w:rsidRDefault="00B02873" w:rsidP="00E204D7">
            <w:pPr>
              <w:pStyle w:val="TablebodyleftFinancialsTables"/>
              <w:jc w:val="right"/>
              <w:rPr>
                <w:rFonts w:ascii="VIC Bold Italic" w:hAnsi="VIC Bold Italic" w:cs="Times New Roman"/>
              </w:rPr>
            </w:pPr>
          </w:p>
        </w:tc>
        <w:tc>
          <w:tcPr>
            <w:tcW w:w="1190" w:type="dxa"/>
          </w:tcPr>
          <w:p w14:paraId="4A5C0E88" w14:textId="77777777" w:rsidR="00B02873" w:rsidRPr="00B02873" w:rsidRDefault="00B02873" w:rsidP="00E204D7">
            <w:pPr>
              <w:pStyle w:val="TablebodyleftFinancialsTables"/>
              <w:jc w:val="right"/>
              <w:rPr>
                <w:rFonts w:ascii="VIC Bold Italic" w:hAnsi="VIC Bold Italic" w:cs="Times New Roman"/>
              </w:rPr>
            </w:pPr>
          </w:p>
        </w:tc>
        <w:tc>
          <w:tcPr>
            <w:tcW w:w="1191" w:type="dxa"/>
          </w:tcPr>
          <w:p w14:paraId="48A6585D" w14:textId="77777777" w:rsidR="00B02873" w:rsidRPr="00B02873" w:rsidRDefault="00B02873" w:rsidP="00E204D7">
            <w:pPr>
              <w:pStyle w:val="TablebodyleftFinancialsTables"/>
              <w:jc w:val="right"/>
              <w:rPr>
                <w:rFonts w:ascii="VIC Bold Italic" w:hAnsi="VIC Bold Italic" w:cs="Times New Roman"/>
              </w:rPr>
            </w:pPr>
          </w:p>
        </w:tc>
        <w:tc>
          <w:tcPr>
            <w:tcW w:w="1190" w:type="dxa"/>
          </w:tcPr>
          <w:p w14:paraId="3098C346" w14:textId="77777777" w:rsidR="00B02873" w:rsidRPr="00B02873" w:rsidRDefault="00B02873" w:rsidP="00E204D7">
            <w:pPr>
              <w:pStyle w:val="TablebodyleftFinancialsTables"/>
              <w:jc w:val="right"/>
              <w:rPr>
                <w:rFonts w:ascii="VIC Bold Italic" w:hAnsi="VIC Bold Italic" w:cs="Times New Roman"/>
              </w:rPr>
            </w:pPr>
          </w:p>
        </w:tc>
        <w:tc>
          <w:tcPr>
            <w:tcW w:w="1191" w:type="dxa"/>
          </w:tcPr>
          <w:p w14:paraId="6F8825F3" w14:textId="77777777" w:rsidR="00B02873" w:rsidRPr="00B02873" w:rsidRDefault="00B02873" w:rsidP="00E204D7">
            <w:pPr>
              <w:pStyle w:val="TablebodyleftFinancialsTables"/>
              <w:jc w:val="right"/>
              <w:rPr>
                <w:rFonts w:ascii="VIC Bold Italic" w:hAnsi="VIC Bold Italic" w:cs="Times New Roman"/>
              </w:rPr>
            </w:pPr>
          </w:p>
        </w:tc>
      </w:tr>
      <w:tr w:rsidR="00B02873" w:rsidRPr="00B02873" w14:paraId="3F52B4EF" w14:textId="77777777" w:rsidTr="00E204D7">
        <w:trPr>
          <w:trHeight w:val="60"/>
        </w:trPr>
        <w:tc>
          <w:tcPr>
            <w:tcW w:w="3345" w:type="dxa"/>
          </w:tcPr>
          <w:p w14:paraId="7FDCE842" w14:textId="77777777" w:rsidR="00B02873" w:rsidRDefault="00B02873" w:rsidP="00E204D7">
            <w:pPr>
              <w:pStyle w:val="TablebodyleftFinancialsTables"/>
            </w:pPr>
            <w:r>
              <w:t xml:space="preserve">Trade and other receivables </w:t>
            </w:r>
          </w:p>
        </w:tc>
        <w:tc>
          <w:tcPr>
            <w:tcW w:w="1531" w:type="dxa"/>
          </w:tcPr>
          <w:p w14:paraId="58C7244F" w14:textId="77777777" w:rsidR="00B02873" w:rsidRPr="00B02873" w:rsidRDefault="00B02873" w:rsidP="00E204D7">
            <w:pPr>
              <w:pStyle w:val="TablebodyleftFinancialsTables"/>
              <w:jc w:val="right"/>
              <w:rPr>
                <w:rFonts w:ascii="VIC Bold Italic" w:hAnsi="VIC Bold Italic" w:cs="Times New Roman"/>
              </w:rPr>
            </w:pPr>
          </w:p>
        </w:tc>
        <w:tc>
          <w:tcPr>
            <w:tcW w:w="1190" w:type="dxa"/>
          </w:tcPr>
          <w:p w14:paraId="6AC8E01C" w14:textId="77777777" w:rsidR="00B02873" w:rsidRDefault="00B02873" w:rsidP="00E204D7">
            <w:pPr>
              <w:pStyle w:val="TablebodyleftFinancialsTables"/>
              <w:jc w:val="right"/>
            </w:pPr>
            <w:r>
              <w:t>44,698</w:t>
            </w:r>
          </w:p>
        </w:tc>
        <w:tc>
          <w:tcPr>
            <w:tcW w:w="1191" w:type="dxa"/>
          </w:tcPr>
          <w:p w14:paraId="374A8437" w14:textId="77777777" w:rsidR="00B02873" w:rsidRDefault="00B02873" w:rsidP="00E204D7">
            <w:pPr>
              <w:pStyle w:val="TablebodyleftFinancialsTables"/>
              <w:jc w:val="right"/>
            </w:pPr>
            <w:r>
              <w:t>–</w:t>
            </w:r>
          </w:p>
        </w:tc>
        <w:tc>
          <w:tcPr>
            <w:tcW w:w="1190" w:type="dxa"/>
          </w:tcPr>
          <w:p w14:paraId="40BEF724" w14:textId="77777777" w:rsidR="00B02873" w:rsidRDefault="00B02873" w:rsidP="00E204D7">
            <w:pPr>
              <w:pStyle w:val="TablebodyleftFinancialsTables"/>
              <w:jc w:val="right"/>
            </w:pPr>
            <w:r>
              <w:t>–</w:t>
            </w:r>
          </w:p>
        </w:tc>
        <w:tc>
          <w:tcPr>
            <w:tcW w:w="1191" w:type="dxa"/>
          </w:tcPr>
          <w:p w14:paraId="791BECA7" w14:textId="77777777" w:rsidR="00B02873" w:rsidRDefault="00B02873" w:rsidP="00E204D7">
            <w:pPr>
              <w:pStyle w:val="TablebodyleftFinancialsTables"/>
              <w:jc w:val="right"/>
            </w:pPr>
            <w:r>
              <w:t>44,698</w:t>
            </w:r>
          </w:p>
        </w:tc>
      </w:tr>
      <w:tr w:rsidR="00B02873" w:rsidRPr="00B02873" w14:paraId="2E0E1728" w14:textId="77777777" w:rsidTr="00E204D7">
        <w:trPr>
          <w:trHeight w:val="60"/>
        </w:trPr>
        <w:tc>
          <w:tcPr>
            <w:tcW w:w="3345" w:type="dxa"/>
          </w:tcPr>
          <w:p w14:paraId="62F40ED0" w14:textId="77777777" w:rsidR="00B02873" w:rsidRDefault="00B02873" w:rsidP="00E204D7">
            <w:pPr>
              <w:pStyle w:val="TablebodyleftFinancialsTables"/>
            </w:pPr>
            <w:r>
              <w:t>Concessional loans</w:t>
            </w:r>
          </w:p>
        </w:tc>
        <w:tc>
          <w:tcPr>
            <w:tcW w:w="1531" w:type="dxa"/>
          </w:tcPr>
          <w:p w14:paraId="47E9212C" w14:textId="77777777" w:rsidR="00B02873" w:rsidRPr="00B02873" w:rsidRDefault="00B02873" w:rsidP="00E204D7">
            <w:pPr>
              <w:pStyle w:val="TablebodyleftFinancialsTables"/>
              <w:jc w:val="right"/>
              <w:rPr>
                <w:rFonts w:ascii="VIC Bold Italic" w:hAnsi="VIC Bold Italic" w:cs="Times New Roman"/>
              </w:rPr>
            </w:pPr>
          </w:p>
        </w:tc>
        <w:tc>
          <w:tcPr>
            <w:tcW w:w="1190" w:type="dxa"/>
          </w:tcPr>
          <w:p w14:paraId="55AA6621" w14:textId="77777777" w:rsidR="00B02873" w:rsidRDefault="00B02873" w:rsidP="00E204D7">
            <w:pPr>
              <w:pStyle w:val="TablebodyleftFinancialsTables"/>
              <w:jc w:val="right"/>
            </w:pPr>
            <w:r>
              <w:t>100,044</w:t>
            </w:r>
          </w:p>
        </w:tc>
        <w:tc>
          <w:tcPr>
            <w:tcW w:w="1191" w:type="dxa"/>
          </w:tcPr>
          <w:p w14:paraId="051CF554" w14:textId="77777777" w:rsidR="00B02873" w:rsidRDefault="00B02873" w:rsidP="00E204D7">
            <w:pPr>
              <w:pStyle w:val="TablebodyleftFinancialsTables"/>
              <w:jc w:val="right"/>
            </w:pPr>
            <w:r>
              <w:t>–</w:t>
            </w:r>
          </w:p>
        </w:tc>
        <w:tc>
          <w:tcPr>
            <w:tcW w:w="1190" w:type="dxa"/>
          </w:tcPr>
          <w:p w14:paraId="42FC5C3A" w14:textId="77777777" w:rsidR="00B02873" w:rsidRDefault="00B02873" w:rsidP="00E204D7">
            <w:pPr>
              <w:pStyle w:val="TablebodyleftFinancialsTables"/>
              <w:jc w:val="right"/>
            </w:pPr>
            <w:r>
              <w:t>–</w:t>
            </w:r>
          </w:p>
        </w:tc>
        <w:tc>
          <w:tcPr>
            <w:tcW w:w="1191" w:type="dxa"/>
          </w:tcPr>
          <w:p w14:paraId="666AE633" w14:textId="77777777" w:rsidR="00B02873" w:rsidRDefault="00B02873" w:rsidP="00E204D7">
            <w:pPr>
              <w:pStyle w:val="TablebodyleftFinancialsTables"/>
              <w:jc w:val="right"/>
            </w:pPr>
            <w:r>
              <w:t>100,044</w:t>
            </w:r>
          </w:p>
        </w:tc>
      </w:tr>
      <w:tr w:rsidR="00B02873" w:rsidRPr="00B02873" w14:paraId="76A69F9D" w14:textId="77777777" w:rsidTr="00E204D7">
        <w:trPr>
          <w:trHeight w:val="60"/>
        </w:trPr>
        <w:tc>
          <w:tcPr>
            <w:tcW w:w="3345" w:type="dxa"/>
          </w:tcPr>
          <w:p w14:paraId="6D9B3132" w14:textId="77777777" w:rsidR="00B02873" w:rsidRPr="00E204D7" w:rsidRDefault="00B02873" w:rsidP="00E204D7">
            <w:pPr>
              <w:pStyle w:val="TablebodyleftFinancialsTables"/>
              <w:rPr>
                <w:b/>
                <w:bCs/>
              </w:rPr>
            </w:pPr>
            <w:r w:rsidRPr="00E204D7">
              <w:rPr>
                <w:b/>
                <w:bCs/>
              </w:rPr>
              <w:t>Derivative financial instruments</w:t>
            </w:r>
          </w:p>
        </w:tc>
        <w:tc>
          <w:tcPr>
            <w:tcW w:w="1531" w:type="dxa"/>
          </w:tcPr>
          <w:p w14:paraId="75BB38EE" w14:textId="77777777" w:rsidR="00B02873" w:rsidRPr="00B02873" w:rsidRDefault="00B02873" w:rsidP="00E204D7">
            <w:pPr>
              <w:pStyle w:val="TablebodyleftFinancialsTables"/>
              <w:jc w:val="right"/>
              <w:rPr>
                <w:rFonts w:ascii="VIC Bold Italic" w:hAnsi="VIC Bold Italic" w:cs="Times New Roman"/>
              </w:rPr>
            </w:pPr>
          </w:p>
        </w:tc>
        <w:tc>
          <w:tcPr>
            <w:tcW w:w="1190" w:type="dxa"/>
          </w:tcPr>
          <w:p w14:paraId="2A8406B6" w14:textId="77777777" w:rsidR="00B02873" w:rsidRDefault="00B02873" w:rsidP="00E204D7">
            <w:pPr>
              <w:pStyle w:val="TablebodyleftFinancialsTables"/>
              <w:jc w:val="right"/>
            </w:pPr>
            <w:r>
              <w:t>80,669</w:t>
            </w:r>
          </w:p>
        </w:tc>
        <w:tc>
          <w:tcPr>
            <w:tcW w:w="1191" w:type="dxa"/>
          </w:tcPr>
          <w:p w14:paraId="26023E86" w14:textId="77777777" w:rsidR="00B02873" w:rsidRDefault="00B02873" w:rsidP="00E204D7">
            <w:pPr>
              <w:pStyle w:val="TablebodyleftFinancialsTables"/>
              <w:jc w:val="right"/>
            </w:pPr>
            <w:r>
              <w:t>–</w:t>
            </w:r>
          </w:p>
        </w:tc>
        <w:tc>
          <w:tcPr>
            <w:tcW w:w="1190" w:type="dxa"/>
          </w:tcPr>
          <w:p w14:paraId="3F255C51" w14:textId="77777777" w:rsidR="00B02873" w:rsidRDefault="00B02873" w:rsidP="00E204D7">
            <w:pPr>
              <w:pStyle w:val="TablebodyleftFinancialsTables"/>
              <w:jc w:val="right"/>
            </w:pPr>
            <w:r>
              <w:t>–</w:t>
            </w:r>
          </w:p>
        </w:tc>
        <w:tc>
          <w:tcPr>
            <w:tcW w:w="1191" w:type="dxa"/>
          </w:tcPr>
          <w:p w14:paraId="17536DC3" w14:textId="77777777" w:rsidR="00B02873" w:rsidRDefault="00B02873" w:rsidP="00E204D7">
            <w:pPr>
              <w:pStyle w:val="TablebodyleftFinancialsTables"/>
              <w:jc w:val="right"/>
            </w:pPr>
            <w:r>
              <w:t>80,669</w:t>
            </w:r>
          </w:p>
        </w:tc>
      </w:tr>
      <w:tr w:rsidR="00B02873" w:rsidRPr="00B02873" w14:paraId="53C52E34" w14:textId="77777777" w:rsidTr="00E204D7">
        <w:trPr>
          <w:trHeight w:val="60"/>
        </w:trPr>
        <w:tc>
          <w:tcPr>
            <w:tcW w:w="3345" w:type="dxa"/>
          </w:tcPr>
          <w:p w14:paraId="714638B4" w14:textId="77777777" w:rsidR="00B02873" w:rsidRPr="00E204D7" w:rsidRDefault="00B02873" w:rsidP="00E204D7">
            <w:pPr>
              <w:pStyle w:val="TablebodyleftFinancialsTables"/>
              <w:rPr>
                <w:b/>
                <w:bCs/>
              </w:rPr>
            </w:pPr>
            <w:r w:rsidRPr="00E204D7">
              <w:rPr>
                <w:b/>
                <w:bCs/>
              </w:rPr>
              <w:t>Total financial assets</w:t>
            </w:r>
          </w:p>
        </w:tc>
        <w:tc>
          <w:tcPr>
            <w:tcW w:w="1531" w:type="dxa"/>
          </w:tcPr>
          <w:p w14:paraId="2DFA362C" w14:textId="77777777" w:rsidR="00B02873" w:rsidRPr="00B02873" w:rsidRDefault="00B02873" w:rsidP="00E204D7">
            <w:pPr>
              <w:pStyle w:val="TablebodyleftFinancialsTables"/>
              <w:jc w:val="right"/>
              <w:rPr>
                <w:rFonts w:ascii="VIC Bold Italic" w:hAnsi="VIC Bold Italic" w:cs="Times New Roman"/>
              </w:rPr>
            </w:pPr>
          </w:p>
        </w:tc>
        <w:tc>
          <w:tcPr>
            <w:tcW w:w="1190" w:type="dxa"/>
          </w:tcPr>
          <w:p w14:paraId="72FCF54C" w14:textId="77777777" w:rsidR="00B02873" w:rsidRDefault="00B02873" w:rsidP="00E204D7">
            <w:pPr>
              <w:pStyle w:val="TablebodyleftFinancialsTables"/>
              <w:jc w:val="right"/>
            </w:pPr>
            <w:r>
              <w:t>1,387,423</w:t>
            </w:r>
          </w:p>
        </w:tc>
        <w:tc>
          <w:tcPr>
            <w:tcW w:w="1191" w:type="dxa"/>
          </w:tcPr>
          <w:p w14:paraId="6D5B511A" w14:textId="77777777" w:rsidR="00B02873" w:rsidRDefault="00B02873" w:rsidP="00E204D7">
            <w:pPr>
              <w:pStyle w:val="TablebodyleftFinancialsTables"/>
              <w:jc w:val="right"/>
            </w:pPr>
            <w:r>
              <w:t>–</w:t>
            </w:r>
          </w:p>
        </w:tc>
        <w:tc>
          <w:tcPr>
            <w:tcW w:w="1190" w:type="dxa"/>
          </w:tcPr>
          <w:p w14:paraId="6343533F" w14:textId="77777777" w:rsidR="00B02873" w:rsidRDefault="00B02873" w:rsidP="00E204D7">
            <w:pPr>
              <w:pStyle w:val="TablebodyleftFinancialsTables"/>
              <w:jc w:val="right"/>
            </w:pPr>
            <w:r>
              <w:t>525,575</w:t>
            </w:r>
          </w:p>
        </w:tc>
        <w:tc>
          <w:tcPr>
            <w:tcW w:w="1191" w:type="dxa"/>
          </w:tcPr>
          <w:p w14:paraId="28DD7B05" w14:textId="77777777" w:rsidR="00B02873" w:rsidRDefault="00B02873" w:rsidP="00E204D7">
            <w:pPr>
              <w:pStyle w:val="TablebodyleftFinancialsTables"/>
              <w:jc w:val="right"/>
            </w:pPr>
            <w:r>
              <w:t>861,848</w:t>
            </w:r>
          </w:p>
        </w:tc>
      </w:tr>
      <w:tr w:rsidR="00B02873" w:rsidRPr="00B02873" w14:paraId="55ED8955" w14:textId="77777777" w:rsidTr="00E204D7">
        <w:trPr>
          <w:trHeight w:val="60"/>
        </w:trPr>
        <w:tc>
          <w:tcPr>
            <w:tcW w:w="3345" w:type="dxa"/>
          </w:tcPr>
          <w:p w14:paraId="4E8A745B" w14:textId="77777777" w:rsidR="00B02873" w:rsidRPr="00E204D7" w:rsidRDefault="00B02873" w:rsidP="00E204D7">
            <w:pPr>
              <w:pStyle w:val="TablebodyleftFinancialsTables"/>
              <w:rPr>
                <w:b/>
                <w:bCs/>
              </w:rPr>
            </w:pPr>
            <w:r w:rsidRPr="00E204D7">
              <w:rPr>
                <w:b/>
                <w:bCs/>
              </w:rPr>
              <w:t>Financial liabilities</w:t>
            </w:r>
          </w:p>
        </w:tc>
        <w:tc>
          <w:tcPr>
            <w:tcW w:w="1531" w:type="dxa"/>
          </w:tcPr>
          <w:p w14:paraId="309E9D61" w14:textId="77777777" w:rsidR="00B02873" w:rsidRPr="00B02873" w:rsidRDefault="00B02873" w:rsidP="00E204D7">
            <w:pPr>
              <w:pStyle w:val="TablebodyleftFinancialsTables"/>
              <w:jc w:val="right"/>
              <w:rPr>
                <w:rFonts w:ascii="VIC Bold Italic" w:hAnsi="VIC Bold Italic" w:cs="Times New Roman"/>
              </w:rPr>
            </w:pPr>
          </w:p>
        </w:tc>
        <w:tc>
          <w:tcPr>
            <w:tcW w:w="1190" w:type="dxa"/>
          </w:tcPr>
          <w:p w14:paraId="50084F4E" w14:textId="77777777" w:rsidR="00B02873" w:rsidRPr="00B02873" w:rsidRDefault="00B02873" w:rsidP="00E204D7">
            <w:pPr>
              <w:pStyle w:val="TablebodyleftFinancialsTables"/>
              <w:jc w:val="right"/>
              <w:rPr>
                <w:rFonts w:ascii="VIC Bold Italic" w:hAnsi="VIC Bold Italic" w:cs="Times New Roman"/>
              </w:rPr>
            </w:pPr>
          </w:p>
        </w:tc>
        <w:tc>
          <w:tcPr>
            <w:tcW w:w="1191" w:type="dxa"/>
          </w:tcPr>
          <w:p w14:paraId="69D73E99" w14:textId="77777777" w:rsidR="00B02873" w:rsidRPr="00B02873" w:rsidRDefault="00B02873" w:rsidP="00E204D7">
            <w:pPr>
              <w:pStyle w:val="TablebodyleftFinancialsTables"/>
              <w:jc w:val="right"/>
              <w:rPr>
                <w:rFonts w:ascii="VIC Bold Italic" w:hAnsi="VIC Bold Italic" w:cs="Times New Roman"/>
              </w:rPr>
            </w:pPr>
          </w:p>
        </w:tc>
        <w:tc>
          <w:tcPr>
            <w:tcW w:w="1190" w:type="dxa"/>
          </w:tcPr>
          <w:p w14:paraId="01895691" w14:textId="77777777" w:rsidR="00B02873" w:rsidRPr="00B02873" w:rsidRDefault="00B02873" w:rsidP="00E204D7">
            <w:pPr>
              <w:pStyle w:val="TablebodyleftFinancialsTables"/>
              <w:jc w:val="right"/>
              <w:rPr>
                <w:rFonts w:ascii="VIC Bold Italic" w:hAnsi="VIC Bold Italic" w:cs="Times New Roman"/>
              </w:rPr>
            </w:pPr>
          </w:p>
        </w:tc>
        <w:tc>
          <w:tcPr>
            <w:tcW w:w="1191" w:type="dxa"/>
          </w:tcPr>
          <w:p w14:paraId="0CCAAA22" w14:textId="77777777" w:rsidR="00B02873" w:rsidRPr="00B02873" w:rsidRDefault="00B02873" w:rsidP="00E204D7">
            <w:pPr>
              <w:pStyle w:val="TablebodyleftFinancialsTables"/>
              <w:jc w:val="right"/>
              <w:rPr>
                <w:rFonts w:ascii="VIC Bold Italic" w:hAnsi="VIC Bold Italic" w:cs="Times New Roman"/>
              </w:rPr>
            </w:pPr>
          </w:p>
        </w:tc>
      </w:tr>
      <w:tr w:rsidR="00B02873" w:rsidRPr="00B02873" w14:paraId="2442CAAB" w14:textId="77777777" w:rsidTr="00E204D7">
        <w:trPr>
          <w:trHeight w:val="60"/>
        </w:trPr>
        <w:tc>
          <w:tcPr>
            <w:tcW w:w="3345" w:type="dxa"/>
          </w:tcPr>
          <w:p w14:paraId="14BA62F4" w14:textId="77777777" w:rsidR="00B02873" w:rsidRPr="00E204D7" w:rsidRDefault="00B02873" w:rsidP="00E204D7">
            <w:pPr>
              <w:pStyle w:val="TablebodyleftFinancialsTables"/>
              <w:rPr>
                <w:b/>
                <w:bCs/>
              </w:rPr>
            </w:pPr>
            <w:r w:rsidRPr="00E204D7">
              <w:rPr>
                <w:b/>
                <w:bCs/>
              </w:rPr>
              <w:t>Payables</w:t>
            </w:r>
            <w:r w:rsidRPr="00E204D7">
              <w:rPr>
                <w:b/>
                <w:bCs/>
                <w:vertAlign w:val="superscript"/>
              </w:rPr>
              <w:t>(ii)</w:t>
            </w:r>
          </w:p>
        </w:tc>
        <w:tc>
          <w:tcPr>
            <w:tcW w:w="1531" w:type="dxa"/>
          </w:tcPr>
          <w:p w14:paraId="4D72D6FF" w14:textId="77777777" w:rsidR="00B02873" w:rsidRPr="00B02873" w:rsidRDefault="00B02873" w:rsidP="00E204D7">
            <w:pPr>
              <w:pStyle w:val="TablebodyleftFinancialsTables"/>
              <w:jc w:val="right"/>
              <w:rPr>
                <w:rFonts w:ascii="VIC Bold Italic" w:hAnsi="VIC Bold Italic" w:cs="Times New Roman"/>
              </w:rPr>
            </w:pPr>
          </w:p>
        </w:tc>
        <w:tc>
          <w:tcPr>
            <w:tcW w:w="1190" w:type="dxa"/>
          </w:tcPr>
          <w:p w14:paraId="49AEE2DB" w14:textId="77777777" w:rsidR="00B02873" w:rsidRPr="00B02873" w:rsidRDefault="00B02873" w:rsidP="00E204D7">
            <w:pPr>
              <w:pStyle w:val="TablebodyleftFinancialsTables"/>
              <w:jc w:val="right"/>
              <w:rPr>
                <w:rFonts w:ascii="VIC Bold Italic" w:hAnsi="VIC Bold Italic" w:cs="Times New Roman"/>
              </w:rPr>
            </w:pPr>
          </w:p>
        </w:tc>
        <w:tc>
          <w:tcPr>
            <w:tcW w:w="1191" w:type="dxa"/>
          </w:tcPr>
          <w:p w14:paraId="5541CCD1" w14:textId="77777777" w:rsidR="00B02873" w:rsidRPr="00B02873" w:rsidRDefault="00B02873" w:rsidP="00E204D7">
            <w:pPr>
              <w:pStyle w:val="TablebodyleftFinancialsTables"/>
              <w:jc w:val="right"/>
              <w:rPr>
                <w:rFonts w:ascii="VIC Bold Italic" w:hAnsi="VIC Bold Italic" w:cs="Times New Roman"/>
              </w:rPr>
            </w:pPr>
          </w:p>
        </w:tc>
        <w:tc>
          <w:tcPr>
            <w:tcW w:w="1190" w:type="dxa"/>
          </w:tcPr>
          <w:p w14:paraId="585B3EEC" w14:textId="77777777" w:rsidR="00B02873" w:rsidRPr="00B02873" w:rsidRDefault="00B02873" w:rsidP="00E204D7">
            <w:pPr>
              <w:pStyle w:val="TablebodyleftFinancialsTables"/>
              <w:jc w:val="right"/>
              <w:rPr>
                <w:rFonts w:ascii="VIC Bold Italic" w:hAnsi="VIC Bold Italic" w:cs="Times New Roman"/>
              </w:rPr>
            </w:pPr>
          </w:p>
        </w:tc>
        <w:tc>
          <w:tcPr>
            <w:tcW w:w="1191" w:type="dxa"/>
          </w:tcPr>
          <w:p w14:paraId="3F89CB23" w14:textId="77777777" w:rsidR="00B02873" w:rsidRPr="00B02873" w:rsidRDefault="00B02873" w:rsidP="00E204D7">
            <w:pPr>
              <w:pStyle w:val="TablebodyleftFinancialsTables"/>
              <w:jc w:val="right"/>
              <w:rPr>
                <w:rFonts w:ascii="VIC Bold Italic" w:hAnsi="VIC Bold Italic" w:cs="Times New Roman"/>
              </w:rPr>
            </w:pPr>
          </w:p>
        </w:tc>
      </w:tr>
      <w:tr w:rsidR="00B02873" w:rsidRPr="00B02873" w14:paraId="0A687F5C" w14:textId="77777777" w:rsidTr="00E204D7">
        <w:trPr>
          <w:trHeight w:val="60"/>
        </w:trPr>
        <w:tc>
          <w:tcPr>
            <w:tcW w:w="3345" w:type="dxa"/>
          </w:tcPr>
          <w:p w14:paraId="3165CA81" w14:textId="77777777" w:rsidR="00B02873" w:rsidRDefault="00B02873" w:rsidP="00E204D7">
            <w:pPr>
              <w:pStyle w:val="TablebodyleftFinancialsTables"/>
            </w:pPr>
            <w:r>
              <w:t>Trade creditors</w:t>
            </w:r>
          </w:p>
        </w:tc>
        <w:tc>
          <w:tcPr>
            <w:tcW w:w="1531" w:type="dxa"/>
          </w:tcPr>
          <w:p w14:paraId="29167C2C" w14:textId="77777777" w:rsidR="00B02873" w:rsidRPr="00B02873" w:rsidRDefault="00B02873" w:rsidP="00E204D7">
            <w:pPr>
              <w:pStyle w:val="TablebodyleftFinancialsTables"/>
              <w:jc w:val="right"/>
              <w:rPr>
                <w:rFonts w:ascii="VIC Bold Italic" w:hAnsi="VIC Bold Italic" w:cs="Times New Roman"/>
              </w:rPr>
            </w:pPr>
          </w:p>
        </w:tc>
        <w:tc>
          <w:tcPr>
            <w:tcW w:w="1190" w:type="dxa"/>
          </w:tcPr>
          <w:p w14:paraId="5EA67E7F" w14:textId="77777777" w:rsidR="00B02873" w:rsidRDefault="00B02873" w:rsidP="00E204D7">
            <w:pPr>
              <w:pStyle w:val="TablebodyleftFinancialsTables"/>
              <w:jc w:val="right"/>
            </w:pPr>
            <w:r>
              <w:t>29,910</w:t>
            </w:r>
          </w:p>
        </w:tc>
        <w:tc>
          <w:tcPr>
            <w:tcW w:w="1191" w:type="dxa"/>
          </w:tcPr>
          <w:p w14:paraId="344FB829" w14:textId="77777777" w:rsidR="00B02873" w:rsidRDefault="00B02873" w:rsidP="00E204D7">
            <w:pPr>
              <w:pStyle w:val="TablebodyleftFinancialsTables"/>
              <w:jc w:val="right"/>
            </w:pPr>
            <w:r>
              <w:t>–</w:t>
            </w:r>
          </w:p>
        </w:tc>
        <w:tc>
          <w:tcPr>
            <w:tcW w:w="1190" w:type="dxa"/>
          </w:tcPr>
          <w:p w14:paraId="7158D78E" w14:textId="77777777" w:rsidR="00B02873" w:rsidRDefault="00B02873" w:rsidP="00E204D7">
            <w:pPr>
              <w:pStyle w:val="TablebodyleftFinancialsTables"/>
              <w:jc w:val="right"/>
            </w:pPr>
            <w:r>
              <w:t>–</w:t>
            </w:r>
          </w:p>
        </w:tc>
        <w:tc>
          <w:tcPr>
            <w:tcW w:w="1191" w:type="dxa"/>
          </w:tcPr>
          <w:p w14:paraId="78525A8B" w14:textId="77777777" w:rsidR="00B02873" w:rsidRDefault="00B02873" w:rsidP="00E204D7">
            <w:pPr>
              <w:pStyle w:val="TablebodyleftFinancialsTables"/>
              <w:jc w:val="right"/>
            </w:pPr>
            <w:r>
              <w:t>29,910</w:t>
            </w:r>
          </w:p>
        </w:tc>
      </w:tr>
      <w:tr w:rsidR="00B02873" w:rsidRPr="00B02873" w14:paraId="3CF554FC" w14:textId="77777777" w:rsidTr="00E204D7">
        <w:trPr>
          <w:trHeight w:val="60"/>
        </w:trPr>
        <w:tc>
          <w:tcPr>
            <w:tcW w:w="3345" w:type="dxa"/>
          </w:tcPr>
          <w:p w14:paraId="65EA9F72" w14:textId="77777777" w:rsidR="00B02873" w:rsidRDefault="00B02873" w:rsidP="00E204D7">
            <w:pPr>
              <w:pStyle w:val="TablebodyleftFinancialsTables"/>
            </w:pPr>
            <w:r>
              <w:t>Accrued grants and other transfers</w:t>
            </w:r>
          </w:p>
        </w:tc>
        <w:tc>
          <w:tcPr>
            <w:tcW w:w="1531" w:type="dxa"/>
          </w:tcPr>
          <w:p w14:paraId="74F3CD00" w14:textId="77777777" w:rsidR="00B02873" w:rsidRPr="00B02873" w:rsidRDefault="00B02873" w:rsidP="00E204D7">
            <w:pPr>
              <w:pStyle w:val="TablebodyleftFinancialsTables"/>
              <w:jc w:val="right"/>
              <w:rPr>
                <w:rFonts w:ascii="VIC Bold Italic" w:hAnsi="VIC Bold Italic" w:cs="Times New Roman"/>
              </w:rPr>
            </w:pPr>
          </w:p>
        </w:tc>
        <w:tc>
          <w:tcPr>
            <w:tcW w:w="1190" w:type="dxa"/>
          </w:tcPr>
          <w:p w14:paraId="480C6B1E" w14:textId="77777777" w:rsidR="00B02873" w:rsidRDefault="00B02873" w:rsidP="00E204D7">
            <w:pPr>
              <w:pStyle w:val="TablebodyleftFinancialsTables"/>
              <w:jc w:val="right"/>
            </w:pPr>
            <w:r>
              <w:t>64,095</w:t>
            </w:r>
          </w:p>
        </w:tc>
        <w:tc>
          <w:tcPr>
            <w:tcW w:w="1191" w:type="dxa"/>
          </w:tcPr>
          <w:p w14:paraId="1F7629F4" w14:textId="77777777" w:rsidR="00B02873" w:rsidRDefault="00B02873" w:rsidP="00E204D7">
            <w:pPr>
              <w:pStyle w:val="TablebodyleftFinancialsTables"/>
              <w:jc w:val="right"/>
            </w:pPr>
            <w:r>
              <w:t>–</w:t>
            </w:r>
          </w:p>
        </w:tc>
        <w:tc>
          <w:tcPr>
            <w:tcW w:w="1190" w:type="dxa"/>
          </w:tcPr>
          <w:p w14:paraId="13343722" w14:textId="77777777" w:rsidR="00B02873" w:rsidRDefault="00B02873" w:rsidP="00E204D7">
            <w:pPr>
              <w:pStyle w:val="TablebodyleftFinancialsTables"/>
              <w:jc w:val="right"/>
            </w:pPr>
            <w:r>
              <w:t>–</w:t>
            </w:r>
          </w:p>
        </w:tc>
        <w:tc>
          <w:tcPr>
            <w:tcW w:w="1191" w:type="dxa"/>
          </w:tcPr>
          <w:p w14:paraId="5533BD63" w14:textId="77777777" w:rsidR="00B02873" w:rsidRDefault="00B02873" w:rsidP="00E204D7">
            <w:pPr>
              <w:pStyle w:val="TablebodyleftFinancialsTables"/>
              <w:jc w:val="right"/>
            </w:pPr>
            <w:r>
              <w:t>64,095</w:t>
            </w:r>
          </w:p>
        </w:tc>
      </w:tr>
      <w:tr w:rsidR="00B02873" w:rsidRPr="00B02873" w14:paraId="0158953B" w14:textId="77777777" w:rsidTr="00E204D7">
        <w:trPr>
          <w:trHeight w:val="60"/>
        </w:trPr>
        <w:tc>
          <w:tcPr>
            <w:tcW w:w="3345" w:type="dxa"/>
          </w:tcPr>
          <w:p w14:paraId="2ACA0F1B" w14:textId="77777777" w:rsidR="00B02873" w:rsidRDefault="00B02873" w:rsidP="00E204D7">
            <w:pPr>
              <w:pStyle w:val="TablebodyleftFinancialsTables"/>
            </w:pPr>
            <w:r>
              <w:t>Capital accruals</w:t>
            </w:r>
          </w:p>
        </w:tc>
        <w:tc>
          <w:tcPr>
            <w:tcW w:w="1531" w:type="dxa"/>
          </w:tcPr>
          <w:p w14:paraId="24B24432" w14:textId="77777777" w:rsidR="00B02873" w:rsidRPr="00B02873" w:rsidRDefault="00B02873" w:rsidP="00E204D7">
            <w:pPr>
              <w:pStyle w:val="TablebodyleftFinancialsTables"/>
              <w:jc w:val="right"/>
              <w:rPr>
                <w:rFonts w:ascii="VIC Bold Italic" w:hAnsi="VIC Bold Italic" w:cs="Times New Roman"/>
              </w:rPr>
            </w:pPr>
          </w:p>
        </w:tc>
        <w:tc>
          <w:tcPr>
            <w:tcW w:w="1190" w:type="dxa"/>
          </w:tcPr>
          <w:p w14:paraId="65EEED48" w14:textId="77777777" w:rsidR="00B02873" w:rsidRDefault="00B02873" w:rsidP="00E204D7">
            <w:pPr>
              <w:pStyle w:val="TablebodyleftFinancialsTables"/>
              <w:jc w:val="right"/>
            </w:pPr>
            <w:r>
              <w:t>2,168</w:t>
            </w:r>
          </w:p>
        </w:tc>
        <w:tc>
          <w:tcPr>
            <w:tcW w:w="1191" w:type="dxa"/>
          </w:tcPr>
          <w:p w14:paraId="1A11C910" w14:textId="77777777" w:rsidR="00B02873" w:rsidRDefault="00B02873" w:rsidP="00E204D7">
            <w:pPr>
              <w:pStyle w:val="TablebodyleftFinancialsTables"/>
              <w:jc w:val="right"/>
            </w:pPr>
            <w:r>
              <w:t>–</w:t>
            </w:r>
          </w:p>
        </w:tc>
        <w:tc>
          <w:tcPr>
            <w:tcW w:w="1190" w:type="dxa"/>
          </w:tcPr>
          <w:p w14:paraId="375B1F7D" w14:textId="77777777" w:rsidR="00B02873" w:rsidRDefault="00B02873" w:rsidP="00E204D7">
            <w:pPr>
              <w:pStyle w:val="TablebodyleftFinancialsTables"/>
              <w:jc w:val="right"/>
            </w:pPr>
            <w:r>
              <w:t>–</w:t>
            </w:r>
          </w:p>
        </w:tc>
        <w:tc>
          <w:tcPr>
            <w:tcW w:w="1191" w:type="dxa"/>
          </w:tcPr>
          <w:p w14:paraId="3DD3CC7C" w14:textId="77777777" w:rsidR="00B02873" w:rsidRDefault="00B02873" w:rsidP="00E204D7">
            <w:pPr>
              <w:pStyle w:val="TablebodyleftFinancialsTables"/>
              <w:jc w:val="right"/>
            </w:pPr>
            <w:r>
              <w:t>2,168</w:t>
            </w:r>
          </w:p>
        </w:tc>
      </w:tr>
      <w:tr w:rsidR="00B02873" w:rsidRPr="00B02873" w14:paraId="5EB061A7" w14:textId="77777777" w:rsidTr="00E204D7">
        <w:trPr>
          <w:trHeight w:val="60"/>
        </w:trPr>
        <w:tc>
          <w:tcPr>
            <w:tcW w:w="3345" w:type="dxa"/>
          </w:tcPr>
          <w:p w14:paraId="3E61A64A" w14:textId="77777777" w:rsidR="00B02873" w:rsidRDefault="00B02873" w:rsidP="00E204D7">
            <w:pPr>
              <w:pStyle w:val="TablebodyleftFinancialsTables"/>
            </w:pPr>
            <w:r>
              <w:t>Other payables and accrued expenses</w:t>
            </w:r>
          </w:p>
        </w:tc>
        <w:tc>
          <w:tcPr>
            <w:tcW w:w="1531" w:type="dxa"/>
          </w:tcPr>
          <w:p w14:paraId="43354504" w14:textId="77777777" w:rsidR="00B02873" w:rsidRPr="00B02873" w:rsidRDefault="00B02873" w:rsidP="00E204D7">
            <w:pPr>
              <w:pStyle w:val="TablebodyleftFinancialsTables"/>
              <w:jc w:val="right"/>
              <w:rPr>
                <w:rFonts w:ascii="VIC Bold Italic" w:hAnsi="VIC Bold Italic" w:cs="Times New Roman"/>
              </w:rPr>
            </w:pPr>
          </w:p>
        </w:tc>
        <w:tc>
          <w:tcPr>
            <w:tcW w:w="1190" w:type="dxa"/>
          </w:tcPr>
          <w:p w14:paraId="6DA5917A" w14:textId="77777777" w:rsidR="00B02873" w:rsidRDefault="00B02873" w:rsidP="00E204D7">
            <w:pPr>
              <w:pStyle w:val="TablebodyleftFinancialsTables"/>
              <w:jc w:val="right"/>
            </w:pPr>
            <w:r>
              <w:t>116,262</w:t>
            </w:r>
          </w:p>
        </w:tc>
        <w:tc>
          <w:tcPr>
            <w:tcW w:w="1191" w:type="dxa"/>
          </w:tcPr>
          <w:p w14:paraId="03CAEC29" w14:textId="77777777" w:rsidR="00B02873" w:rsidRDefault="00B02873" w:rsidP="00E204D7">
            <w:pPr>
              <w:pStyle w:val="TablebodyleftFinancialsTables"/>
              <w:jc w:val="right"/>
            </w:pPr>
            <w:r>
              <w:t>–</w:t>
            </w:r>
          </w:p>
        </w:tc>
        <w:tc>
          <w:tcPr>
            <w:tcW w:w="1190" w:type="dxa"/>
          </w:tcPr>
          <w:p w14:paraId="1AD297AB" w14:textId="77777777" w:rsidR="00B02873" w:rsidRDefault="00B02873" w:rsidP="00E204D7">
            <w:pPr>
              <w:pStyle w:val="TablebodyleftFinancialsTables"/>
              <w:jc w:val="right"/>
            </w:pPr>
            <w:r>
              <w:t>–</w:t>
            </w:r>
          </w:p>
        </w:tc>
        <w:tc>
          <w:tcPr>
            <w:tcW w:w="1191" w:type="dxa"/>
          </w:tcPr>
          <w:p w14:paraId="1C114C7F" w14:textId="77777777" w:rsidR="00B02873" w:rsidRDefault="00B02873" w:rsidP="00E204D7">
            <w:pPr>
              <w:pStyle w:val="TablebodyleftFinancialsTables"/>
              <w:jc w:val="right"/>
            </w:pPr>
            <w:r>
              <w:t>116,262</w:t>
            </w:r>
          </w:p>
        </w:tc>
      </w:tr>
      <w:tr w:rsidR="00B02873" w:rsidRPr="00B02873" w14:paraId="472553FB" w14:textId="77777777" w:rsidTr="00E204D7">
        <w:trPr>
          <w:trHeight w:val="60"/>
        </w:trPr>
        <w:tc>
          <w:tcPr>
            <w:tcW w:w="3345" w:type="dxa"/>
          </w:tcPr>
          <w:p w14:paraId="2F9F2261" w14:textId="77777777" w:rsidR="00B02873" w:rsidRDefault="00B02873" w:rsidP="00E204D7">
            <w:pPr>
              <w:pStyle w:val="TablebodyleftFinancialsTables"/>
            </w:pPr>
            <w:r>
              <w:t>Other financial liabilities</w:t>
            </w:r>
          </w:p>
        </w:tc>
        <w:tc>
          <w:tcPr>
            <w:tcW w:w="1531" w:type="dxa"/>
          </w:tcPr>
          <w:p w14:paraId="06F6AD7F" w14:textId="77777777" w:rsidR="00B02873" w:rsidRPr="00B02873" w:rsidRDefault="00B02873" w:rsidP="00E204D7">
            <w:pPr>
              <w:pStyle w:val="TablebodyleftFinancialsTables"/>
              <w:jc w:val="right"/>
              <w:rPr>
                <w:rFonts w:ascii="VIC Bold Italic" w:hAnsi="VIC Bold Italic" w:cs="Times New Roman"/>
              </w:rPr>
            </w:pPr>
          </w:p>
        </w:tc>
        <w:tc>
          <w:tcPr>
            <w:tcW w:w="1190" w:type="dxa"/>
          </w:tcPr>
          <w:p w14:paraId="406A94D6" w14:textId="77777777" w:rsidR="00B02873" w:rsidRDefault="00B02873" w:rsidP="00E204D7">
            <w:pPr>
              <w:pStyle w:val="TablebodyleftFinancialsTables"/>
              <w:jc w:val="right"/>
            </w:pPr>
            <w:r>
              <w:t>201,146</w:t>
            </w:r>
          </w:p>
        </w:tc>
        <w:tc>
          <w:tcPr>
            <w:tcW w:w="1191" w:type="dxa"/>
          </w:tcPr>
          <w:p w14:paraId="53DCBC51" w14:textId="77777777" w:rsidR="00B02873" w:rsidRDefault="00B02873" w:rsidP="00E204D7">
            <w:pPr>
              <w:pStyle w:val="TablebodyleftFinancialsTables"/>
              <w:jc w:val="right"/>
            </w:pPr>
            <w:r>
              <w:t>–</w:t>
            </w:r>
          </w:p>
        </w:tc>
        <w:tc>
          <w:tcPr>
            <w:tcW w:w="1190" w:type="dxa"/>
          </w:tcPr>
          <w:p w14:paraId="563162D0" w14:textId="77777777" w:rsidR="00B02873" w:rsidRDefault="00B02873" w:rsidP="00E204D7">
            <w:pPr>
              <w:pStyle w:val="TablebodyleftFinancialsTables"/>
              <w:jc w:val="right"/>
            </w:pPr>
            <w:r>
              <w:t>–</w:t>
            </w:r>
          </w:p>
        </w:tc>
        <w:tc>
          <w:tcPr>
            <w:tcW w:w="1191" w:type="dxa"/>
          </w:tcPr>
          <w:p w14:paraId="3FA8BB46" w14:textId="77777777" w:rsidR="00B02873" w:rsidRDefault="00B02873" w:rsidP="00E204D7">
            <w:pPr>
              <w:pStyle w:val="TablebodyleftFinancialsTables"/>
              <w:jc w:val="right"/>
            </w:pPr>
            <w:r>
              <w:t>201,146</w:t>
            </w:r>
          </w:p>
        </w:tc>
      </w:tr>
      <w:tr w:rsidR="00B02873" w:rsidRPr="00B02873" w14:paraId="0862D8FF" w14:textId="77777777" w:rsidTr="00E204D7">
        <w:trPr>
          <w:trHeight w:val="60"/>
        </w:trPr>
        <w:tc>
          <w:tcPr>
            <w:tcW w:w="3345" w:type="dxa"/>
          </w:tcPr>
          <w:p w14:paraId="7E139F11" w14:textId="77777777" w:rsidR="00B02873" w:rsidRPr="00E204D7" w:rsidRDefault="00B02873" w:rsidP="00E204D7">
            <w:pPr>
              <w:pStyle w:val="TablebodyleftFinancialsTables"/>
              <w:rPr>
                <w:b/>
                <w:bCs/>
              </w:rPr>
            </w:pPr>
            <w:r w:rsidRPr="00E204D7">
              <w:rPr>
                <w:b/>
                <w:bCs/>
              </w:rPr>
              <w:t>Borrowings</w:t>
            </w:r>
          </w:p>
        </w:tc>
        <w:tc>
          <w:tcPr>
            <w:tcW w:w="1531" w:type="dxa"/>
          </w:tcPr>
          <w:p w14:paraId="51CA5C0A" w14:textId="77777777" w:rsidR="00B02873" w:rsidRDefault="00B02873" w:rsidP="00E204D7">
            <w:pPr>
              <w:pStyle w:val="TablebodyleftFinancialsTables"/>
              <w:jc w:val="right"/>
            </w:pPr>
            <w:r>
              <w:t>2.94%</w:t>
            </w:r>
          </w:p>
        </w:tc>
        <w:tc>
          <w:tcPr>
            <w:tcW w:w="1190" w:type="dxa"/>
          </w:tcPr>
          <w:p w14:paraId="5B39D80D" w14:textId="77777777" w:rsidR="00B02873" w:rsidRDefault="00B02873" w:rsidP="00E204D7">
            <w:pPr>
              <w:pStyle w:val="TablebodyleftFinancialsTables"/>
              <w:jc w:val="right"/>
            </w:pPr>
            <w:r>
              <w:t>50,812</w:t>
            </w:r>
          </w:p>
        </w:tc>
        <w:tc>
          <w:tcPr>
            <w:tcW w:w="1191" w:type="dxa"/>
          </w:tcPr>
          <w:p w14:paraId="5522648E" w14:textId="77777777" w:rsidR="00B02873" w:rsidRDefault="00B02873" w:rsidP="00E204D7">
            <w:pPr>
              <w:pStyle w:val="TablebodyleftFinancialsTables"/>
              <w:jc w:val="right"/>
            </w:pPr>
            <w:r>
              <w:t>50,812</w:t>
            </w:r>
          </w:p>
        </w:tc>
        <w:tc>
          <w:tcPr>
            <w:tcW w:w="1190" w:type="dxa"/>
          </w:tcPr>
          <w:p w14:paraId="237882C4" w14:textId="77777777" w:rsidR="00B02873" w:rsidRDefault="00B02873" w:rsidP="00E204D7">
            <w:pPr>
              <w:pStyle w:val="TablebodyleftFinancialsTables"/>
              <w:jc w:val="right"/>
            </w:pPr>
            <w:r>
              <w:t>–</w:t>
            </w:r>
          </w:p>
        </w:tc>
        <w:tc>
          <w:tcPr>
            <w:tcW w:w="1191" w:type="dxa"/>
          </w:tcPr>
          <w:p w14:paraId="613D513F" w14:textId="77777777" w:rsidR="00B02873" w:rsidRDefault="00B02873" w:rsidP="00E204D7">
            <w:pPr>
              <w:pStyle w:val="TablebodyleftFinancialsTables"/>
              <w:jc w:val="right"/>
            </w:pPr>
            <w:r>
              <w:t>–</w:t>
            </w:r>
          </w:p>
        </w:tc>
      </w:tr>
      <w:tr w:rsidR="00B02873" w:rsidRPr="00B02873" w14:paraId="4534D948" w14:textId="77777777" w:rsidTr="00E204D7">
        <w:trPr>
          <w:trHeight w:val="60"/>
        </w:trPr>
        <w:tc>
          <w:tcPr>
            <w:tcW w:w="3345" w:type="dxa"/>
          </w:tcPr>
          <w:p w14:paraId="532B72D2" w14:textId="77777777" w:rsidR="00B02873" w:rsidRPr="00E204D7" w:rsidRDefault="00B02873" w:rsidP="00E204D7">
            <w:pPr>
              <w:pStyle w:val="TablebodyleftFinancialsTables"/>
              <w:rPr>
                <w:b/>
                <w:bCs/>
              </w:rPr>
            </w:pPr>
            <w:r w:rsidRPr="00E204D7">
              <w:rPr>
                <w:b/>
                <w:bCs/>
              </w:rPr>
              <w:t>Derivative financial instruments</w:t>
            </w:r>
          </w:p>
        </w:tc>
        <w:tc>
          <w:tcPr>
            <w:tcW w:w="1531" w:type="dxa"/>
          </w:tcPr>
          <w:p w14:paraId="44E0C75E" w14:textId="77777777" w:rsidR="00B02873" w:rsidRPr="00B02873" w:rsidRDefault="00B02873" w:rsidP="00E204D7">
            <w:pPr>
              <w:pStyle w:val="TablebodyleftFinancialsTables"/>
              <w:jc w:val="right"/>
              <w:rPr>
                <w:rFonts w:ascii="VIC Bold Italic" w:hAnsi="VIC Bold Italic" w:cs="Times New Roman"/>
              </w:rPr>
            </w:pPr>
          </w:p>
        </w:tc>
        <w:tc>
          <w:tcPr>
            <w:tcW w:w="1190" w:type="dxa"/>
          </w:tcPr>
          <w:p w14:paraId="7E4D3C42" w14:textId="77777777" w:rsidR="00B02873" w:rsidRDefault="00B02873" w:rsidP="00E204D7">
            <w:pPr>
              <w:pStyle w:val="TablebodyleftFinancialsTables"/>
              <w:jc w:val="right"/>
            </w:pPr>
            <w:r>
              <w:t>1,931</w:t>
            </w:r>
          </w:p>
        </w:tc>
        <w:tc>
          <w:tcPr>
            <w:tcW w:w="1191" w:type="dxa"/>
          </w:tcPr>
          <w:p w14:paraId="740DAB61" w14:textId="77777777" w:rsidR="00B02873" w:rsidRDefault="00B02873" w:rsidP="00E204D7">
            <w:pPr>
              <w:pStyle w:val="TablebodyleftFinancialsTables"/>
              <w:jc w:val="right"/>
            </w:pPr>
            <w:r>
              <w:t>–</w:t>
            </w:r>
          </w:p>
        </w:tc>
        <w:tc>
          <w:tcPr>
            <w:tcW w:w="1190" w:type="dxa"/>
          </w:tcPr>
          <w:p w14:paraId="4B74AEBC" w14:textId="77777777" w:rsidR="00B02873" w:rsidRDefault="00B02873" w:rsidP="00E204D7">
            <w:pPr>
              <w:pStyle w:val="TablebodyleftFinancialsTables"/>
              <w:jc w:val="right"/>
            </w:pPr>
            <w:r>
              <w:t>–</w:t>
            </w:r>
          </w:p>
        </w:tc>
        <w:tc>
          <w:tcPr>
            <w:tcW w:w="1191" w:type="dxa"/>
          </w:tcPr>
          <w:p w14:paraId="56603DEF" w14:textId="77777777" w:rsidR="00B02873" w:rsidRDefault="00B02873" w:rsidP="00E204D7">
            <w:pPr>
              <w:pStyle w:val="TablebodyleftFinancialsTables"/>
              <w:jc w:val="right"/>
            </w:pPr>
            <w:r>
              <w:t>1,931</w:t>
            </w:r>
          </w:p>
        </w:tc>
      </w:tr>
      <w:tr w:rsidR="00B02873" w:rsidRPr="00B02873" w14:paraId="612EA995" w14:textId="77777777" w:rsidTr="00E204D7">
        <w:trPr>
          <w:trHeight w:val="60"/>
        </w:trPr>
        <w:tc>
          <w:tcPr>
            <w:tcW w:w="3345" w:type="dxa"/>
          </w:tcPr>
          <w:p w14:paraId="178088BC" w14:textId="77777777" w:rsidR="00B02873" w:rsidRPr="00E204D7" w:rsidRDefault="00B02873" w:rsidP="00E204D7">
            <w:pPr>
              <w:pStyle w:val="TablebodyleftFinancialsTables"/>
              <w:rPr>
                <w:b/>
                <w:bCs/>
              </w:rPr>
            </w:pPr>
            <w:r w:rsidRPr="00E204D7">
              <w:rPr>
                <w:b/>
                <w:bCs/>
              </w:rPr>
              <w:t>Other liabilities</w:t>
            </w:r>
          </w:p>
        </w:tc>
        <w:tc>
          <w:tcPr>
            <w:tcW w:w="1531" w:type="dxa"/>
          </w:tcPr>
          <w:p w14:paraId="390A4527" w14:textId="77777777" w:rsidR="00B02873" w:rsidRPr="00B02873" w:rsidRDefault="00B02873" w:rsidP="00E204D7">
            <w:pPr>
              <w:pStyle w:val="TablebodyleftFinancialsTables"/>
              <w:jc w:val="right"/>
              <w:rPr>
                <w:rFonts w:ascii="VIC Bold Italic" w:hAnsi="VIC Bold Italic" w:cs="Times New Roman"/>
              </w:rPr>
            </w:pPr>
          </w:p>
        </w:tc>
        <w:tc>
          <w:tcPr>
            <w:tcW w:w="1190" w:type="dxa"/>
          </w:tcPr>
          <w:p w14:paraId="5A0BAD20" w14:textId="77777777" w:rsidR="00B02873" w:rsidRDefault="00B02873" w:rsidP="00E204D7">
            <w:pPr>
              <w:pStyle w:val="TablebodyleftFinancialsTables"/>
              <w:jc w:val="right"/>
            </w:pPr>
            <w:r>
              <w:t>5,692</w:t>
            </w:r>
          </w:p>
        </w:tc>
        <w:tc>
          <w:tcPr>
            <w:tcW w:w="1191" w:type="dxa"/>
          </w:tcPr>
          <w:p w14:paraId="0CFD9B2A" w14:textId="77777777" w:rsidR="00B02873" w:rsidRDefault="00B02873" w:rsidP="00E204D7">
            <w:pPr>
              <w:pStyle w:val="TablebodyleftFinancialsTables"/>
              <w:jc w:val="right"/>
            </w:pPr>
            <w:r>
              <w:t>–</w:t>
            </w:r>
          </w:p>
        </w:tc>
        <w:tc>
          <w:tcPr>
            <w:tcW w:w="1190" w:type="dxa"/>
          </w:tcPr>
          <w:p w14:paraId="78365B5E" w14:textId="77777777" w:rsidR="00B02873" w:rsidRPr="00B02873" w:rsidRDefault="00B02873" w:rsidP="00E204D7">
            <w:pPr>
              <w:pStyle w:val="TablebodyleftFinancialsTables"/>
              <w:jc w:val="right"/>
              <w:rPr>
                <w:rFonts w:ascii="VIC Bold Italic" w:hAnsi="VIC Bold Italic" w:cs="Times New Roman"/>
              </w:rPr>
            </w:pPr>
          </w:p>
        </w:tc>
        <w:tc>
          <w:tcPr>
            <w:tcW w:w="1191" w:type="dxa"/>
          </w:tcPr>
          <w:p w14:paraId="585C1F6E" w14:textId="77777777" w:rsidR="00B02873" w:rsidRDefault="00B02873" w:rsidP="00E204D7">
            <w:pPr>
              <w:pStyle w:val="TablebodyleftFinancialsTables"/>
              <w:jc w:val="right"/>
            </w:pPr>
            <w:r>
              <w:t>5,692</w:t>
            </w:r>
          </w:p>
        </w:tc>
      </w:tr>
      <w:tr w:rsidR="00B02873" w:rsidRPr="00B02873" w14:paraId="1D214800" w14:textId="77777777" w:rsidTr="00E204D7">
        <w:trPr>
          <w:trHeight w:val="60"/>
        </w:trPr>
        <w:tc>
          <w:tcPr>
            <w:tcW w:w="3345" w:type="dxa"/>
          </w:tcPr>
          <w:p w14:paraId="562CA52D" w14:textId="77777777" w:rsidR="00B02873" w:rsidRPr="00E204D7" w:rsidRDefault="00B02873" w:rsidP="00E204D7">
            <w:pPr>
              <w:pStyle w:val="TablebodyleftFinancialsTables"/>
              <w:rPr>
                <w:b/>
                <w:bCs/>
              </w:rPr>
            </w:pPr>
            <w:r w:rsidRPr="00E204D7">
              <w:rPr>
                <w:b/>
                <w:bCs/>
              </w:rPr>
              <w:t>Total financial liabilities</w:t>
            </w:r>
          </w:p>
        </w:tc>
        <w:tc>
          <w:tcPr>
            <w:tcW w:w="1531" w:type="dxa"/>
          </w:tcPr>
          <w:p w14:paraId="09C98658" w14:textId="77777777" w:rsidR="00B02873" w:rsidRPr="00B02873" w:rsidRDefault="00B02873" w:rsidP="00E204D7">
            <w:pPr>
              <w:pStyle w:val="TablebodyleftFinancialsTables"/>
              <w:jc w:val="right"/>
              <w:rPr>
                <w:rFonts w:ascii="VIC Bold Italic" w:hAnsi="VIC Bold Italic" w:cs="Times New Roman"/>
              </w:rPr>
            </w:pPr>
          </w:p>
        </w:tc>
        <w:tc>
          <w:tcPr>
            <w:tcW w:w="1190" w:type="dxa"/>
          </w:tcPr>
          <w:p w14:paraId="13338D07" w14:textId="77777777" w:rsidR="00B02873" w:rsidRDefault="00B02873" w:rsidP="00E204D7">
            <w:pPr>
              <w:pStyle w:val="TablebodyleftFinancialsTables"/>
              <w:jc w:val="right"/>
            </w:pPr>
            <w:r>
              <w:t>472,016</w:t>
            </w:r>
          </w:p>
        </w:tc>
        <w:tc>
          <w:tcPr>
            <w:tcW w:w="1191" w:type="dxa"/>
          </w:tcPr>
          <w:p w14:paraId="3BB5FBB7" w14:textId="77777777" w:rsidR="00B02873" w:rsidRDefault="00B02873" w:rsidP="00E204D7">
            <w:pPr>
              <w:pStyle w:val="TablebodyleftFinancialsTables"/>
              <w:jc w:val="right"/>
            </w:pPr>
            <w:r>
              <w:t>50,812</w:t>
            </w:r>
          </w:p>
        </w:tc>
        <w:tc>
          <w:tcPr>
            <w:tcW w:w="1190" w:type="dxa"/>
          </w:tcPr>
          <w:p w14:paraId="4F8681D5" w14:textId="77777777" w:rsidR="00B02873" w:rsidRDefault="00B02873" w:rsidP="00E204D7">
            <w:pPr>
              <w:pStyle w:val="TablebodyleftFinancialsTables"/>
              <w:jc w:val="right"/>
            </w:pPr>
            <w:r>
              <w:t>–</w:t>
            </w:r>
          </w:p>
        </w:tc>
        <w:tc>
          <w:tcPr>
            <w:tcW w:w="1191" w:type="dxa"/>
          </w:tcPr>
          <w:p w14:paraId="762FA6DC" w14:textId="77777777" w:rsidR="00B02873" w:rsidRDefault="00B02873" w:rsidP="00E204D7">
            <w:pPr>
              <w:pStyle w:val="TablebodyleftFinancialsTables"/>
              <w:jc w:val="right"/>
            </w:pPr>
            <w:r>
              <w:t>421,204</w:t>
            </w:r>
          </w:p>
        </w:tc>
      </w:tr>
    </w:tbl>
    <w:p w14:paraId="7C7A9343" w14:textId="77777777" w:rsidR="00B02873" w:rsidRPr="00E204D7" w:rsidRDefault="00B02873" w:rsidP="00E204D7">
      <w:pPr>
        <w:pStyle w:val="SourceNote"/>
        <w:spacing w:after="120"/>
        <w:rPr>
          <w:b/>
          <w:bCs/>
        </w:rPr>
      </w:pPr>
      <w:r w:rsidRPr="00E204D7">
        <w:rPr>
          <w:b/>
          <w:bCs/>
        </w:rPr>
        <w:t>Note:</w:t>
      </w:r>
    </w:p>
    <w:p w14:paraId="05706F4C" w14:textId="65024E6A" w:rsidR="00B02873" w:rsidRPr="00E204D7" w:rsidRDefault="00B02873" w:rsidP="001128B1">
      <w:pPr>
        <w:pStyle w:val="SourceNotenumbered"/>
        <w:numPr>
          <w:ilvl w:val="0"/>
          <w:numId w:val="88"/>
        </w:numPr>
      </w:pPr>
      <w:r w:rsidRPr="00E204D7">
        <w:t xml:space="preserve">The amount of receivables disclosed excludes accrued income and statutory receivables (i.e. amounts owing from Victorian Government, landfill levies receivable and GST input tax credit receivable) totalling $769.123 million – Refer to Note 6.1 </w:t>
      </w:r>
      <w:r w:rsidRPr="00C53E83">
        <w:rPr>
          <w:rStyle w:val="LightItalic"/>
          <w:rFonts w:asciiTheme="minorHAnsi" w:hAnsiTheme="minorHAnsi" w:cstheme="minorHAnsi"/>
        </w:rPr>
        <w:t>Receivables</w:t>
      </w:r>
      <w:r w:rsidRPr="00E204D7">
        <w:t xml:space="preserve">. </w:t>
      </w:r>
    </w:p>
    <w:p w14:paraId="456A771F" w14:textId="24872BAD" w:rsidR="00B02873" w:rsidRPr="00E204D7" w:rsidRDefault="00B02873" w:rsidP="00C53E83">
      <w:pPr>
        <w:pStyle w:val="SourceNotenumbered"/>
        <w:spacing w:after="200"/>
        <w:ind w:left="357" w:hanging="357"/>
      </w:pPr>
      <w:r w:rsidRPr="00E204D7">
        <w:t xml:space="preserve">The amount of payables disclosed excludes statutory payables (i.e., amounts owing to Victorian Government for advances from the Public Account and taxes payable) totalling $48.239 million – Refer to Note 6.3 </w:t>
      </w:r>
      <w:r w:rsidRPr="00E204D7">
        <w:rPr>
          <w:rStyle w:val="LightItalic"/>
          <w:rFonts w:asciiTheme="minorHAnsi" w:hAnsiTheme="minorHAnsi" w:cstheme="minorHAnsi"/>
        </w:rPr>
        <w:t>Payables</w:t>
      </w:r>
      <w:r w:rsidRPr="00E204D7">
        <w:t>.</w:t>
      </w:r>
      <w:r w:rsidR="00012C04" w:rsidRPr="00E204D7">
        <w:t xml:space="preserve"> </w:t>
      </w:r>
    </w:p>
    <w:p w14:paraId="6EFA0F1F" w14:textId="77777777" w:rsidR="00B02873" w:rsidRDefault="00B02873" w:rsidP="00CC3C6C">
      <w:pPr>
        <w:pStyle w:val="TabletitleTables"/>
      </w:pPr>
      <w:r>
        <w:lastRenderedPageBreak/>
        <w:t xml:space="preserve">Interest rate risk sensitivity </w:t>
      </w:r>
    </w:p>
    <w:tbl>
      <w:tblPr>
        <w:tblStyle w:val="TableGrid"/>
        <w:tblW w:w="9635" w:type="dxa"/>
        <w:tblLayout w:type="fixed"/>
        <w:tblLook w:val="0020" w:firstRow="1" w:lastRow="0" w:firstColumn="0" w:lastColumn="0" w:noHBand="0" w:noVBand="0"/>
      </w:tblPr>
      <w:tblGrid>
        <w:gridCol w:w="3681"/>
        <w:gridCol w:w="1418"/>
        <w:gridCol w:w="2268"/>
        <w:gridCol w:w="2268"/>
      </w:tblGrid>
      <w:tr w:rsidR="00B02873" w:rsidRPr="00B02873" w14:paraId="0231794A" w14:textId="77777777" w:rsidTr="00CC3C6C">
        <w:trPr>
          <w:cnfStyle w:val="100000000000" w:firstRow="1" w:lastRow="0" w:firstColumn="0" w:lastColumn="0" w:oddVBand="0" w:evenVBand="0" w:oddHBand="0" w:evenHBand="0" w:firstRowFirstColumn="0" w:firstRowLastColumn="0" w:lastRowFirstColumn="0" w:lastRowLastColumn="0"/>
          <w:trHeight w:val="60"/>
        </w:trPr>
        <w:tc>
          <w:tcPr>
            <w:tcW w:w="3681" w:type="dxa"/>
          </w:tcPr>
          <w:p w14:paraId="7EAD93F9" w14:textId="77777777" w:rsidR="00B02873" w:rsidRPr="00B02873" w:rsidRDefault="00B02873" w:rsidP="00CC3C6C">
            <w:pPr>
              <w:pStyle w:val="TableheadingleftFinancialsTables"/>
            </w:pPr>
          </w:p>
        </w:tc>
        <w:tc>
          <w:tcPr>
            <w:tcW w:w="1418" w:type="dxa"/>
          </w:tcPr>
          <w:p w14:paraId="6412BF9A" w14:textId="5A002DAF" w:rsidR="00B02873" w:rsidRPr="00B02873" w:rsidRDefault="00CC3C6C" w:rsidP="00CC3C6C">
            <w:pPr>
              <w:pStyle w:val="TableheadingleftFinancialsTables"/>
              <w:jc w:val="right"/>
            </w:pPr>
            <w:r>
              <w:t xml:space="preserve">Carrying amount </w:t>
            </w:r>
            <w:r>
              <w:br/>
              <w:t>$’000</w:t>
            </w:r>
          </w:p>
        </w:tc>
        <w:tc>
          <w:tcPr>
            <w:tcW w:w="2268" w:type="dxa"/>
          </w:tcPr>
          <w:p w14:paraId="3E4D526F" w14:textId="3879ACC5" w:rsidR="00B02873" w:rsidRDefault="00CC3C6C" w:rsidP="00CC3C6C">
            <w:pPr>
              <w:pStyle w:val="TableheadingleftFinancialsTables"/>
              <w:jc w:val="right"/>
            </w:pPr>
            <w:r>
              <w:t xml:space="preserve">2022 Interest rate risk </w:t>
            </w:r>
            <w:r>
              <w:br/>
            </w:r>
            <w:r w:rsidR="00B02873">
              <w:t xml:space="preserve">-1.0% </w:t>
            </w:r>
            <w:r w:rsidR="00B02873">
              <w:br/>
            </w:r>
            <w:r w:rsidR="00B02873">
              <w:rPr>
                <w:spacing w:val="-3"/>
              </w:rPr>
              <w:t xml:space="preserve">(-100 basis points) </w:t>
            </w:r>
            <w:r w:rsidR="00B02873">
              <w:rPr>
                <w:spacing w:val="-3"/>
              </w:rPr>
              <w:br/>
            </w:r>
            <w:r w:rsidR="00B02873">
              <w:t>Net result</w:t>
            </w:r>
            <w:r w:rsidR="00B02873">
              <w:br/>
              <w:t>$‘000</w:t>
            </w:r>
          </w:p>
        </w:tc>
        <w:tc>
          <w:tcPr>
            <w:tcW w:w="2268" w:type="dxa"/>
          </w:tcPr>
          <w:p w14:paraId="37603DD9" w14:textId="2EE5DE67" w:rsidR="00B02873" w:rsidRDefault="00CC3C6C" w:rsidP="00CC3C6C">
            <w:pPr>
              <w:pStyle w:val="TableheadingleftFinancialsTables"/>
              <w:jc w:val="right"/>
            </w:pPr>
            <w:r>
              <w:t xml:space="preserve">2022 Interest rate risk </w:t>
            </w:r>
            <w:r>
              <w:br/>
            </w:r>
            <w:r w:rsidR="00B02873">
              <w:t xml:space="preserve">+2.0% </w:t>
            </w:r>
            <w:r w:rsidR="00B02873">
              <w:br/>
              <w:t>(200 basis points) Net result</w:t>
            </w:r>
            <w:r w:rsidR="00B02873">
              <w:br/>
              <w:t>$‘000</w:t>
            </w:r>
          </w:p>
        </w:tc>
      </w:tr>
      <w:tr w:rsidR="00B02873" w:rsidRPr="00B02873" w14:paraId="197FBC06" w14:textId="77777777" w:rsidTr="00CC3C6C">
        <w:trPr>
          <w:trHeight w:val="60"/>
        </w:trPr>
        <w:tc>
          <w:tcPr>
            <w:tcW w:w="3681" w:type="dxa"/>
          </w:tcPr>
          <w:p w14:paraId="3F06BBFD" w14:textId="77777777" w:rsidR="00B02873" w:rsidRPr="00CC3C6C" w:rsidRDefault="00B02873" w:rsidP="00CC3C6C">
            <w:pPr>
              <w:pStyle w:val="TablebodyleftFinancialsTables"/>
              <w:rPr>
                <w:b/>
                <w:bCs/>
              </w:rPr>
            </w:pPr>
            <w:r w:rsidRPr="00CC3C6C">
              <w:rPr>
                <w:b/>
                <w:bCs/>
              </w:rPr>
              <w:t>Contractual financial assets:</w:t>
            </w:r>
          </w:p>
        </w:tc>
        <w:tc>
          <w:tcPr>
            <w:tcW w:w="1418" w:type="dxa"/>
          </w:tcPr>
          <w:p w14:paraId="0066A3EC" w14:textId="77777777" w:rsidR="00B02873" w:rsidRPr="00CC3C6C" w:rsidRDefault="00B02873" w:rsidP="00CC3C6C">
            <w:pPr>
              <w:pStyle w:val="TablebodyleftFinancialsTables"/>
              <w:jc w:val="right"/>
              <w:rPr>
                <w:rFonts w:ascii="VIC Bold Italic" w:hAnsi="VIC Bold Italic" w:cs="Times New Roman"/>
                <w:b/>
                <w:bCs/>
              </w:rPr>
            </w:pPr>
          </w:p>
        </w:tc>
        <w:tc>
          <w:tcPr>
            <w:tcW w:w="2268" w:type="dxa"/>
          </w:tcPr>
          <w:p w14:paraId="7CAB3207" w14:textId="77777777" w:rsidR="00B02873" w:rsidRPr="00CC3C6C" w:rsidRDefault="00B02873" w:rsidP="00CC3C6C">
            <w:pPr>
              <w:pStyle w:val="TablebodyleftFinancialsTables"/>
              <w:jc w:val="right"/>
              <w:rPr>
                <w:rFonts w:ascii="VIC Bold Italic" w:hAnsi="VIC Bold Italic" w:cs="Times New Roman"/>
                <w:b/>
                <w:bCs/>
              </w:rPr>
            </w:pPr>
          </w:p>
        </w:tc>
        <w:tc>
          <w:tcPr>
            <w:tcW w:w="2268" w:type="dxa"/>
          </w:tcPr>
          <w:p w14:paraId="4EAB3792" w14:textId="77777777" w:rsidR="00B02873" w:rsidRPr="00CC3C6C" w:rsidRDefault="00B02873" w:rsidP="00CC3C6C">
            <w:pPr>
              <w:pStyle w:val="TablebodyleftFinancialsTables"/>
              <w:jc w:val="right"/>
              <w:rPr>
                <w:rFonts w:ascii="VIC Bold Italic" w:hAnsi="VIC Bold Italic" w:cs="Times New Roman"/>
                <w:b/>
                <w:bCs/>
              </w:rPr>
            </w:pPr>
          </w:p>
        </w:tc>
      </w:tr>
      <w:tr w:rsidR="00B02873" w:rsidRPr="00B02873" w14:paraId="32D800A2" w14:textId="77777777" w:rsidTr="00CC3C6C">
        <w:trPr>
          <w:trHeight w:val="60"/>
        </w:trPr>
        <w:tc>
          <w:tcPr>
            <w:tcW w:w="3681" w:type="dxa"/>
          </w:tcPr>
          <w:p w14:paraId="545CFFCE" w14:textId="77777777" w:rsidR="00B02873" w:rsidRDefault="00B02873" w:rsidP="00CC3C6C">
            <w:pPr>
              <w:pStyle w:val="TablebodyleftFinancialsTables"/>
            </w:pPr>
            <w:r>
              <w:t>Cash and deposits</w:t>
            </w:r>
            <w:r>
              <w:rPr>
                <w:vertAlign w:val="superscript"/>
              </w:rPr>
              <w:t>(i)</w:t>
            </w:r>
          </w:p>
        </w:tc>
        <w:tc>
          <w:tcPr>
            <w:tcW w:w="1418" w:type="dxa"/>
          </w:tcPr>
          <w:p w14:paraId="0ECE6292" w14:textId="77777777" w:rsidR="00B02873" w:rsidRPr="00CC3C6C" w:rsidRDefault="00B02873" w:rsidP="00CC3C6C">
            <w:pPr>
              <w:pStyle w:val="TablebodyleftFinancialsTables"/>
              <w:jc w:val="right"/>
              <w:rPr>
                <w:b/>
                <w:bCs/>
              </w:rPr>
            </w:pPr>
            <w:r w:rsidRPr="00CC3C6C">
              <w:rPr>
                <w:b/>
                <w:bCs/>
              </w:rPr>
              <w:t>1,281,536</w:t>
            </w:r>
          </w:p>
        </w:tc>
        <w:tc>
          <w:tcPr>
            <w:tcW w:w="2268" w:type="dxa"/>
          </w:tcPr>
          <w:p w14:paraId="1EA841A0" w14:textId="77777777" w:rsidR="00B02873" w:rsidRPr="00CC3C6C" w:rsidRDefault="00B02873" w:rsidP="00CC3C6C">
            <w:pPr>
              <w:pStyle w:val="TablebodyleftFinancialsTables"/>
              <w:jc w:val="right"/>
              <w:rPr>
                <w:b/>
                <w:bCs/>
              </w:rPr>
            </w:pPr>
            <w:r w:rsidRPr="00CC3C6C">
              <w:rPr>
                <w:b/>
                <w:bCs/>
              </w:rPr>
              <w:t>(5,459)</w:t>
            </w:r>
          </w:p>
        </w:tc>
        <w:tc>
          <w:tcPr>
            <w:tcW w:w="2268" w:type="dxa"/>
          </w:tcPr>
          <w:p w14:paraId="37EA4EA6" w14:textId="77777777" w:rsidR="00B02873" w:rsidRPr="00CC3C6C" w:rsidRDefault="00B02873" w:rsidP="00CC3C6C">
            <w:pPr>
              <w:pStyle w:val="TablebodyleftFinancialsTables"/>
              <w:jc w:val="right"/>
              <w:rPr>
                <w:b/>
                <w:bCs/>
              </w:rPr>
            </w:pPr>
            <w:r w:rsidRPr="00CC3C6C">
              <w:rPr>
                <w:b/>
                <w:bCs/>
              </w:rPr>
              <w:t>10,917</w:t>
            </w:r>
          </w:p>
        </w:tc>
      </w:tr>
      <w:tr w:rsidR="00B02873" w:rsidRPr="00B02873" w14:paraId="6EB3F9A0" w14:textId="77777777" w:rsidTr="00CC3C6C">
        <w:trPr>
          <w:trHeight w:val="60"/>
        </w:trPr>
        <w:tc>
          <w:tcPr>
            <w:tcW w:w="3681" w:type="dxa"/>
          </w:tcPr>
          <w:p w14:paraId="239D27E3" w14:textId="77777777" w:rsidR="00B02873" w:rsidRPr="00CC3C6C" w:rsidRDefault="00B02873" w:rsidP="00CC3C6C">
            <w:pPr>
              <w:pStyle w:val="TablebodyleftFinancialsTables"/>
              <w:rPr>
                <w:b/>
                <w:bCs/>
              </w:rPr>
            </w:pPr>
            <w:r w:rsidRPr="00CC3C6C">
              <w:rPr>
                <w:b/>
                <w:bCs/>
              </w:rPr>
              <w:t>Total impact</w:t>
            </w:r>
          </w:p>
        </w:tc>
        <w:tc>
          <w:tcPr>
            <w:tcW w:w="1418" w:type="dxa"/>
          </w:tcPr>
          <w:p w14:paraId="5F0FEB8E" w14:textId="77777777" w:rsidR="00B02873" w:rsidRPr="00CC3C6C" w:rsidRDefault="00B02873" w:rsidP="00CC3C6C">
            <w:pPr>
              <w:pStyle w:val="TablebodyleftFinancialsTables"/>
              <w:jc w:val="right"/>
              <w:rPr>
                <w:rFonts w:ascii="VIC Bold Italic" w:hAnsi="VIC Bold Italic" w:cs="Times New Roman"/>
                <w:b/>
                <w:bCs/>
              </w:rPr>
            </w:pPr>
          </w:p>
        </w:tc>
        <w:tc>
          <w:tcPr>
            <w:tcW w:w="2268" w:type="dxa"/>
          </w:tcPr>
          <w:p w14:paraId="00CC9A5B" w14:textId="77777777" w:rsidR="00B02873" w:rsidRPr="00CC3C6C" w:rsidRDefault="00B02873" w:rsidP="00CC3C6C">
            <w:pPr>
              <w:pStyle w:val="TablebodyleftFinancialsTables"/>
              <w:jc w:val="right"/>
              <w:rPr>
                <w:b/>
                <w:bCs/>
              </w:rPr>
            </w:pPr>
            <w:r w:rsidRPr="00CC3C6C">
              <w:rPr>
                <w:b/>
                <w:bCs/>
              </w:rPr>
              <w:t>(5,459)</w:t>
            </w:r>
          </w:p>
        </w:tc>
        <w:tc>
          <w:tcPr>
            <w:tcW w:w="2268" w:type="dxa"/>
          </w:tcPr>
          <w:p w14:paraId="444A3A86" w14:textId="77777777" w:rsidR="00B02873" w:rsidRPr="00CC3C6C" w:rsidRDefault="00B02873" w:rsidP="00CC3C6C">
            <w:pPr>
              <w:pStyle w:val="TablebodyleftFinancialsTables"/>
              <w:jc w:val="right"/>
              <w:rPr>
                <w:b/>
                <w:bCs/>
              </w:rPr>
            </w:pPr>
            <w:r w:rsidRPr="00CC3C6C">
              <w:rPr>
                <w:b/>
                <w:bCs/>
              </w:rPr>
              <w:t>10,917</w:t>
            </w:r>
          </w:p>
        </w:tc>
      </w:tr>
      <w:tr w:rsidR="00B02873" w:rsidRPr="00B02873" w14:paraId="1E752F67" w14:textId="77777777" w:rsidTr="00CC3C6C">
        <w:trPr>
          <w:trHeight w:val="60"/>
        </w:trPr>
        <w:tc>
          <w:tcPr>
            <w:tcW w:w="3681" w:type="dxa"/>
          </w:tcPr>
          <w:p w14:paraId="097C575B" w14:textId="77777777" w:rsidR="00B02873" w:rsidRPr="00CC3C6C" w:rsidRDefault="00B02873" w:rsidP="00CC3C6C">
            <w:pPr>
              <w:pStyle w:val="TablebodyleftFinancialsTables"/>
              <w:rPr>
                <w:b/>
                <w:bCs/>
              </w:rPr>
            </w:pPr>
            <w:r w:rsidRPr="00CC3C6C">
              <w:rPr>
                <w:b/>
                <w:bCs/>
              </w:rPr>
              <w:t>Contractual financial liabilities:</w:t>
            </w:r>
          </w:p>
        </w:tc>
        <w:tc>
          <w:tcPr>
            <w:tcW w:w="1418" w:type="dxa"/>
          </w:tcPr>
          <w:p w14:paraId="022FE4A7" w14:textId="77777777" w:rsidR="00B02873" w:rsidRPr="00CC3C6C" w:rsidRDefault="00B02873" w:rsidP="00CC3C6C">
            <w:pPr>
              <w:pStyle w:val="TablebodyleftFinancialsTables"/>
              <w:jc w:val="right"/>
              <w:rPr>
                <w:rFonts w:ascii="VIC Bold Italic" w:hAnsi="VIC Bold Italic" w:cs="Times New Roman"/>
                <w:b/>
                <w:bCs/>
              </w:rPr>
            </w:pPr>
          </w:p>
        </w:tc>
        <w:tc>
          <w:tcPr>
            <w:tcW w:w="2268" w:type="dxa"/>
          </w:tcPr>
          <w:p w14:paraId="02637CB1" w14:textId="77777777" w:rsidR="00B02873" w:rsidRPr="00CC3C6C" w:rsidRDefault="00B02873" w:rsidP="00CC3C6C">
            <w:pPr>
              <w:pStyle w:val="TablebodyleftFinancialsTables"/>
              <w:jc w:val="right"/>
              <w:rPr>
                <w:rFonts w:ascii="VIC Bold Italic" w:hAnsi="VIC Bold Italic" w:cs="Times New Roman"/>
                <w:b/>
                <w:bCs/>
              </w:rPr>
            </w:pPr>
          </w:p>
        </w:tc>
        <w:tc>
          <w:tcPr>
            <w:tcW w:w="2268" w:type="dxa"/>
          </w:tcPr>
          <w:p w14:paraId="3DB33140" w14:textId="77777777" w:rsidR="00B02873" w:rsidRPr="00CC3C6C" w:rsidRDefault="00B02873" w:rsidP="00CC3C6C">
            <w:pPr>
              <w:pStyle w:val="TablebodyleftFinancialsTables"/>
              <w:jc w:val="right"/>
              <w:rPr>
                <w:rFonts w:ascii="VIC Bold Italic" w:hAnsi="VIC Bold Italic" w:cs="Times New Roman"/>
                <w:b/>
                <w:bCs/>
              </w:rPr>
            </w:pPr>
          </w:p>
        </w:tc>
      </w:tr>
      <w:tr w:rsidR="00B02873" w:rsidRPr="00B02873" w14:paraId="60118E12" w14:textId="77777777" w:rsidTr="00CC3C6C">
        <w:trPr>
          <w:trHeight w:val="60"/>
        </w:trPr>
        <w:tc>
          <w:tcPr>
            <w:tcW w:w="3681" w:type="dxa"/>
          </w:tcPr>
          <w:p w14:paraId="10A8355F" w14:textId="77777777" w:rsidR="00B02873" w:rsidRDefault="00B02873" w:rsidP="00CC3C6C">
            <w:pPr>
              <w:pStyle w:val="TablebodyleftFinancialsTables"/>
            </w:pPr>
            <w:r>
              <w:t>Borrowings</w:t>
            </w:r>
            <w:r>
              <w:rPr>
                <w:vertAlign w:val="superscript"/>
              </w:rPr>
              <w:t>(ii)</w:t>
            </w:r>
          </w:p>
        </w:tc>
        <w:tc>
          <w:tcPr>
            <w:tcW w:w="1418" w:type="dxa"/>
          </w:tcPr>
          <w:p w14:paraId="201444C5" w14:textId="77777777" w:rsidR="00B02873" w:rsidRPr="00CC3C6C" w:rsidRDefault="00B02873" w:rsidP="00CC3C6C">
            <w:pPr>
              <w:pStyle w:val="TablebodyleftFinancialsTables"/>
              <w:jc w:val="right"/>
              <w:rPr>
                <w:b/>
                <w:bCs/>
              </w:rPr>
            </w:pPr>
            <w:r w:rsidRPr="00CC3C6C">
              <w:rPr>
                <w:b/>
                <w:bCs/>
              </w:rPr>
              <w:t>49,664</w:t>
            </w:r>
          </w:p>
        </w:tc>
        <w:tc>
          <w:tcPr>
            <w:tcW w:w="2268" w:type="dxa"/>
          </w:tcPr>
          <w:p w14:paraId="449F0971" w14:textId="77777777" w:rsidR="00B02873" w:rsidRPr="00CC3C6C" w:rsidRDefault="00B02873" w:rsidP="00CC3C6C">
            <w:pPr>
              <w:pStyle w:val="TablebodyleftFinancialsTables"/>
              <w:jc w:val="right"/>
              <w:rPr>
                <w:b/>
                <w:bCs/>
              </w:rPr>
            </w:pPr>
            <w:r w:rsidRPr="00CC3C6C">
              <w:rPr>
                <w:b/>
                <w:bCs/>
              </w:rPr>
              <w:t>–</w:t>
            </w:r>
          </w:p>
        </w:tc>
        <w:tc>
          <w:tcPr>
            <w:tcW w:w="2268" w:type="dxa"/>
          </w:tcPr>
          <w:p w14:paraId="2439FFA8" w14:textId="77777777" w:rsidR="00B02873" w:rsidRPr="00CC3C6C" w:rsidRDefault="00B02873" w:rsidP="00CC3C6C">
            <w:pPr>
              <w:pStyle w:val="TablebodyleftFinancialsTables"/>
              <w:jc w:val="right"/>
              <w:rPr>
                <w:b/>
                <w:bCs/>
              </w:rPr>
            </w:pPr>
            <w:r w:rsidRPr="00CC3C6C">
              <w:rPr>
                <w:b/>
                <w:bCs/>
              </w:rPr>
              <w:t>–</w:t>
            </w:r>
          </w:p>
        </w:tc>
      </w:tr>
      <w:tr w:rsidR="00B02873" w:rsidRPr="00B02873" w14:paraId="6ED50629" w14:textId="77777777" w:rsidTr="00CC3C6C">
        <w:trPr>
          <w:trHeight w:val="60"/>
        </w:trPr>
        <w:tc>
          <w:tcPr>
            <w:tcW w:w="3681" w:type="dxa"/>
          </w:tcPr>
          <w:p w14:paraId="1C8431AA" w14:textId="77777777" w:rsidR="00B02873" w:rsidRPr="00CC3C6C" w:rsidRDefault="00B02873" w:rsidP="00CC3C6C">
            <w:pPr>
              <w:pStyle w:val="TablebodyleftFinancialsTables"/>
              <w:rPr>
                <w:b/>
                <w:bCs/>
              </w:rPr>
            </w:pPr>
            <w:r w:rsidRPr="00CC3C6C">
              <w:rPr>
                <w:b/>
                <w:bCs/>
              </w:rPr>
              <w:t>Total impact</w:t>
            </w:r>
          </w:p>
        </w:tc>
        <w:tc>
          <w:tcPr>
            <w:tcW w:w="1418" w:type="dxa"/>
          </w:tcPr>
          <w:p w14:paraId="16721A88" w14:textId="77777777" w:rsidR="00B02873" w:rsidRPr="00CC3C6C" w:rsidRDefault="00B02873" w:rsidP="00CC3C6C">
            <w:pPr>
              <w:pStyle w:val="TablebodyleftFinancialsTables"/>
              <w:jc w:val="right"/>
              <w:rPr>
                <w:rFonts w:ascii="VIC Bold Italic" w:hAnsi="VIC Bold Italic" w:cs="Times New Roman"/>
                <w:b/>
                <w:bCs/>
              </w:rPr>
            </w:pPr>
          </w:p>
        </w:tc>
        <w:tc>
          <w:tcPr>
            <w:tcW w:w="2268" w:type="dxa"/>
          </w:tcPr>
          <w:p w14:paraId="327089BB" w14:textId="77777777" w:rsidR="00B02873" w:rsidRPr="00CC3C6C" w:rsidRDefault="00B02873" w:rsidP="00CC3C6C">
            <w:pPr>
              <w:pStyle w:val="TablebodyleftFinancialsTables"/>
              <w:jc w:val="right"/>
              <w:rPr>
                <w:b/>
                <w:bCs/>
              </w:rPr>
            </w:pPr>
            <w:r w:rsidRPr="00CC3C6C">
              <w:rPr>
                <w:b/>
                <w:bCs/>
              </w:rPr>
              <w:t>–</w:t>
            </w:r>
          </w:p>
        </w:tc>
        <w:tc>
          <w:tcPr>
            <w:tcW w:w="2268" w:type="dxa"/>
          </w:tcPr>
          <w:p w14:paraId="226098DC" w14:textId="77777777" w:rsidR="00B02873" w:rsidRPr="00CC3C6C" w:rsidRDefault="00B02873" w:rsidP="00CC3C6C">
            <w:pPr>
              <w:pStyle w:val="TablebodyleftFinancialsTables"/>
              <w:jc w:val="right"/>
              <w:rPr>
                <w:b/>
                <w:bCs/>
              </w:rPr>
            </w:pPr>
            <w:r w:rsidRPr="00CC3C6C">
              <w:rPr>
                <w:b/>
                <w:bCs/>
              </w:rPr>
              <w:t>–</w:t>
            </w:r>
          </w:p>
        </w:tc>
      </w:tr>
    </w:tbl>
    <w:p w14:paraId="7D5A55B7" w14:textId="77777777" w:rsidR="00B02873" w:rsidRDefault="00B02873" w:rsidP="00CC3C6C"/>
    <w:tbl>
      <w:tblPr>
        <w:tblStyle w:val="TableGrid"/>
        <w:tblW w:w="9634" w:type="dxa"/>
        <w:tblLayout w:type="fixed"/>
        <w:tblLook w:val="0020" w:firstRow="1" w:lastRow="0" w:firstColumn="0" w:lastColumn="0" w:noHBand="0" w:noVBand="0"/>
      </w:tblPr>
      <w:tblGrid>
        <w:gridCol w:w="3681"/>
        <w:gridCol w:w="1417"/>
        <w:gridCol w:w="2268"/>
        <w:gridCol w:w="2268"/>
      </w:tblGrid>
      <w:tr w:rsidR="00B02873" w:rsidRPr="00B02873" w14:paraId="56A634C6" w14:textId="77777777" w:rsidTr="00CC3C6C">
        <w:trPr>
          <w:cnfStyle w:val="100000000000" w:firstRow="1" w:lastRow="0" w:firstColumn="0" w:lastColumn="0" w:oddVBand="0" w:evenVBand="0" w:oddHBand="0" w:evenHBand="0" w:firstRowFirstColumn="0" w:firstRowLastColumn="0" w:lastRowFirstColumn="0" w:lastRowLastColumn="0"/>
          <w:trHeight w:val="60"/>
        </w:trPr>
        <w:tc>
          <w:tcPr>
            <w:tcW w:w="3681" w:type="dxa"/>
          </w:tcPr>
          <w:p w14:paraId="09886F48" w14:textId="77777777" w:rsidR="00B02873" w:rsidRPr="00B02873" w:rsidRDefault="00B02873" w:rsidP="00CC3C6C">
            <w:pPr>
              <w:pStyle w:val="TableheadingleftFinancialsTables"/>
            </w:pPr>
          </w:p>
        </w:tc>
        <w:tc>
          <w:tcPr>
            <w:tcW w:w="1417" w:type="dxa"/>
          </w:tcPr>
          <w:p w14:paraId="5221E490" w14:textId="03FA97CF" w:rsidR="00B02873" w:rsidRPr="00B02873" w:rsidRDefault="00CC3C6C" w:rsidP="00CC3C6C">
            <w:pPr>
              <w:pStyle w:val="TableheadingleftFinancialsTables"/>
              <w:jc w:val="right"/>
            </w:pPr>
            <w:r>
              <w:t xml:space="preserve">Carrying amount </w:t>
            </w:r>
            <w:r>
              <w:br/>
              <w:t>$’000</w:t>
            </w:r>
          </w:p>
        </w:tc>
        <w:tc>
          <w:tcPr>
            <w:tcW w:w="2268" w:type="dxa"/>
          </w:tcPr>
          <w:p w14:paraId="794A461F" w14:textId="3EBB088C" w:rsidR="00B02873" w:rsidRDefault="00CC3C6C" w:rsidP="00CC3C6C">
            <w:pPr>
              <w:pStyle w:val="TableheadingleftFinancialsTables"/>
              <w:jc w:val="right"/>
            </w:pPr>
            <w:r>
              <w:t xml:space="preserve">2021 Interest rate risk </w:t>
            </w:r>
            <w:r w:rsidR="00B02873">
              <w:t>-1.0%</w:t>
            </w:r>
            <w:r w:rsidR="00012C04">
              <w:t xml:space="preserve"> </w:t>
            </w:r>
            <w:r w:rsidR="00B02873">
              <w:br/>
            </w:r>
            <w:r w:rsidR="00B02873">
              <w:rPr>
                <w:spacing w:val="-2"/>
              </w:rPr>
              <w:t xml:space="preserve">(-100 basis points) </w:t>
            </w:r>
            <w:r w:rsidR="00B02873">
              <w:t>Net result</w:t>
            </w:r>
            <w:r w:rsidR="00B02873">
              <w:br/>
              <w:t>$‘000</w:t>
            </w:r>
          </w:p>
        </w:tc>
        <w:tc>
          <w:tcPr>
            <w:tcW w:w="2268" w:type="dxa"/>
          </w:tcPr>
          <w:p w14:paraId="3170FCFD" w14:textId="787897AE" w:rsidR="00B02873" w:rsidRDefault="00CC3C6C" w:rsidP="00CC3C6C">
            <w:pPr>
              <w:pStyle w:val="TableheadingleftFinancialsTables"/>
              <w:jc w:val="right"/>
            </w:pPr>
            <w:r>
              <w:t xml:space="preserve">2021 Interest rate risk </w:t>
            </w:r>
            <w:r w:rsidR="00B02873">
              <w:t xml:space="preserve">+1.0% </w:t>
            </w:r>
            <w:r w:rsidR="00B02873">
              <w:br/>
              <w:t xml:space="preserve">(100 basis points) </w:t>
            </w:r>
            <w:r w:rsidR="00B02873">
              <w:br/>
              <w:t>Net result</w:t>
            </w:r>
            <w:r w:rsidR="00B02873">
              <w:br/>
              <w:t>$‘000</w:t>
            </w:r>
          </w:p>
        </w:tc>
      </w:tr>
      <w:tr w:rsidR="00B02873" w:rsidRPr="00B02873" w14:paraId="5C96B36F" w14:textId="77777777" w:rsidTr="00CC3C6C">
        <w:trPr>
          <w:trHeight w:val="60"/>
        </w:trPr>
        <w:tc>
          <w:tcPr>
            <w:tcW w:w="3681" w:type="dxa"/>
          </w:tcPr>
          <w:p w14:paraId="414378FB" w14:textId="77777777" w:rsidR="00B02873" w:rsidRPr="00CC3C6C" w:rsidRDefault="00B02873" w:rsidP="00CC3C6C">
            <w:pPr>
              <w:pStyle w:val="TablebodyleftFinancialsTables"/>
              <w:rPr>
                <w:b/>
                <w:bCs/>
              </w:rPr>
            </w:pPr>
            <w:r w:rsidRPr="00CC3C6C">
              <w:rPr>
                <w:b/>
                <w:bCs/>
              </w:rPr>
              <w:t>Contractual financial assets:</w:t>
            </w:r>
          </w:p>
        </w:tc>
        <w:tc>
          <w:tcPr>
            <w:tcW w:w="1417" w:type="dxa"/>
          </w:tcPr>
          <w:p w14:paraId="548501FC" w14:textId="77777777" w:rsidR="00B02873" w:rsidRPr="00B02873" w:rsidRDefault="00B02873" w:rsidP="00CC3C6C">
            <w:pPr>
              <w:pStyle w:val="TablebodyleftFinancialsTables"/>
              <w:jc w:val="right"/>
              <w:rPr>
                <w:rFonts w:ascii="VIC Bold Italic" w:hAnsi="VIC Bold Italic" w:cs="Times New Roman"/>
              </w:rPr>
            </w:pPr>
          </w:p>
        </w:tc>
        <w:tc>
          <w:tcPr>
            <w:tcW w:w="2268" w:type="dxa"/>
          </w:tcPr>
          <w:p w14:paraId="0DAA015C" w14:textId="77777777" w:rsidR="00B02873" w:rsidRPr="00B02873" w:rsidRDefault="00B02873" w:rsidP="00CC3C6C">
            <w:pPr>
              <w:pStyle w:val="TablebodyleftFinancialsTables"/>
              <w:jc w:val="right"/>
              <w:rPr>
                <w:rFonts w:ascii="VIC Bold Italic" w:hAnsi="VIC Bold Italic" w:cs="Times New Roman"/>
              </w:rPr>
            </w:pPr>
          </w:p>
        </w:tc>
        <w:tc>
          <w:tcPr>
            <w:tcW w:w="2268" w:type="dxa"/>
          </w:tcPr>
          <w:p w14:paraId="4E02CD9C" w14:textId="77777777" w:rsidR="00B02873" w:rsidRPr="00B02873" w:rsidRDefault="00B02873" w:rsidP="00CC3C6C">
            <w:pPr>
              <w:pStyle w:val="TablebodyleftFinancialsTables"/>
              <w:jc w:val="right"/>
              <w:rPr>
                <w:rFonts w:ascii="VIC Bold Italic" w:hAnsi="VIC Bold Italic" w:cs="Times New Roman"/>
              </w:rPr>
            </w:pPr>
          </w:p>
        </w:tc>
      </w:tr>
      <w:tr w:rsidR="00B02873" w:rsidRPr="00B02873" w14:paraId="3E581687" w14:textId="77777777" w:rsidTr="00CC3C6C">
        <w:trPr>
          <w:trHeight w:val="60"/>
        </w:trPr>
        <w:tc>
          <w:tcPr>
            <w:tcW w:w="3681" w:type="dxa"/>
          </w:tcPr>
          <w:p w14:paraId="1C6E9A65" w14:textId="77777777" w:rsidR="00B02873" w:rsidRDefault="00B02873" w:rsidP="00CC3C6C">
            <w:pPr>
              <w:pStyle w:val="TablebodyleftFinancialsTables"/>
            </w:pPr>
            <w:r>
              <w:t>Cash and deposits</w:t>
            </w:r>
            <w:r>
              <w:rPr>
                <w:vertAlign w:val="superscript"/>
              </w:rPr>
              <w:t>(i)</w:t>
            </w:r>
          </w:p>
        </w:tc>
        <w:tc>
          <w:tcPr>
            <w:tcW w:w="1417" w:type="dxa"/>
          </w:tcPr>
          <w:p w14:paraId="5A25CBD6" w14:textId="77777777" w:rsidR="00B02873" w:rsidRDefault="00B02873" w:rsidP="00CC3C6C">
            <w:pPr>
              <w:pStyle w:val="TablebodyleftFinancialsTables"/>
              <w:jc w:val="right"/>
            </w:pPr>
            <w:r>
              <w:t>1,242,681</w:t>
            </w:r>
          </w:p>
        </w:tc>
        <w:tc>
          <w:tcPr>
            <w:tcW w:w="2268" w:type="dxa"/>
          </w:tcPr>
          <w:p w14:paraId="7709C4F4" w14:textId="77777777" w:rsidR="00B02873" w:rsidRDefault="00B02873" w:rsidP="00CC3C6C">
            <w:pPr>
              <w:pStyle w:val="TablebodyleftFinancialsTables"/>
              <w:jc w:val="right"/>
            </w:pPr>
            <w:r>
              <w:t>(5,256)</w:t>
            </w:r>
          </w:p>
        </w:tc>
        <w:tc>
          <w:tcPr>
            <w:tcW w:w="2268" w:type="dxa"/>
          </w:tcPr>
          <w:p w14:paraId="4CD5BA47" w14:textId="77777777" w:rsidR="00B02873" w:rsidRDefault="00B02873" w:rsidP="00CC3C6C">
            <w:pPr>
              <w:pStyle w:val="TablebodyleftFinancialsTables"/>
              <w:jc w:val="right"/>
            </w:pPr>
            <w:r>
              <w:t>5,256</w:t>
            </w:r>
          </w:p>
        </w:tc>
      </w:tr>
      <w:tr w:rsidR="00B02873" w:rsidRPr="00B02873" w14:paraId="07397161" w14:textId="77777777" w:rsidTr="00CC3C6C">
        <w:trPr>
          <w:trHeight w:val="60"/>
        </w:trPr>
        <w:tc>
          <w:tcPr>
            <w:tcW w:w="3681" w:type="dxa"/>
          </w:tcPr>
          <w:p w14:paraId="5464FFA0" w14:textId="77777777" w:rsidR="00B02873" w:rsidRPr="00CC3C6C" w:rsidRDefault="00B02873" w:rsidP="00CC3C6C">
            <w:pPr>
              <w:pStyle w:val="TablebodyleftFinancialsTables"/>
              <w:rPr>
                <w:b/>
                <w:bCs/>
              </w:rPr>
            </w:pPr>
            <w:r w:rsidRPr="00CC3C6C">
              <w:rPr>
                <w:b/>
                <w:bCs/>
              </w:rPr>
              <w:t>Total impact</w:t>
            </w:r>
          </w:p>
        </w:tc>
        <w:tc>
          <w:tcPr>
            <w:tcW w:w="1417" w:type="dxa"/>
          </w:tcPr>
          <w:p w14:paraId="41AF7B03" w14:textId="77777777" w:rsidR="00B02873" w:rsidRPr="00B02873" w:rsidRDefault="00B02873" w:rsidP="00CC3C6C">
            <w:pPr>
              <w:pStyle w:val="TablebodyleftFinancialsTables"/>
              <w:jc w:val="right"/>
              <w:rPr>
                <w:rFonts w:ascii="VIC Bold Italic" w:hAnsi="VIC Bold Italic" w:cs="Times New Roman"/>
              </w:rPr>
            </w:pPr>
          </w:p>
        </w:tc>
        <w:tc>
          <w:tcPr>
            <w:tcW w:w="2268" w:type="dxa"/>
          </w:tcPr>
          <w:p w14:paraId="040EEC6C" w14:textId="77777777" w:rsidR="00B02873" w:rsidRDefault="00B02873" w:rsidP="00CC3C6C">
            <w:pPr>
              <w:pStyle w:val="TablebodyleftFinancialsTables"/>
              <w:jc w:val="right"/>
            </w:pPr>
            <w:r>
              <w:t>(5,256)</w:t>
            </w:r>
          </w:p>
        </w:tc>
        <w:tc>
          <w:tcPr>
            <w:tcW w:w="2268" w:type="dxa"/>
          </w:tcPr>
          <w:p w14:paraId="4B90A5E7" w14:textId="77777777" w:rsidR="00B02873" w:rsidRDefault="00B02873" w:rsidP="00CC3C6C">
            <w:pPr>
              <w:pStyle w:val="TablebodyleftFinancialsTables"/>
              <w:jc w:val="right"/>
            </w:pPr>
            <w:r>
              <w:t>5,256</w:t>
            </w:r>
          </w:p>
        </w:tc>
      </w:tr>
      <w:tr w:rsidR="00B02873" w:rsidRPr="00B02873" w14:paraId="323C76D9" w14:textId="77777777" w:rsidTr="00CC3C6C">
        <w:trPr>
          <w:trHeight w:val="60"/>
        </w:trPr>
        <w:tc>
          <w:tcPr>
            <w:tcW w:w="3681" w:type="dxa"/>
          </w:tcPr>
          <w:p w14:paraId="41BF3D47" w14:textId="77777777" w:rsidR="00B02873" w:rsidRPr="00CC3C6C" w:rsidRDefault="00B02873" w:rsidP="00CC3C6C">
            <w:pPr>
              <w:pStyle w:val="TablebodyleftFinancialsTables"/>
              <w:rPr>
                <w:b/>
                <w:bCs/>
              </w:rPr>
            </w:pPr>
            <w:r w:rsidRPr="00CC3C6C">
              <w:rPr>
                <w:b/>
                <w:bCs/>
              </w:rPr>
              <w:t>Contractual financial liabilities:</w:t>
            </w:r>
          </w:p>
        </w:tc>
        <w:tc>
          <w:tcPr>
            <w:tcW w:w="1417" w:type="dxa"/>
          </w:tcPr>
          <w:p w14:paraId="609E989E" w14:textId="77777777" w:rsidR="00B02873" w:rsidRPr="00B02873" w:rsidRDefault="00B02873" w:rsidP="00CC3C6C">
            <w:pPr>
              <w:pStyle w:val="TablebodyleftFinancialsTables"/>
              <w:jc w:val="right"/>
              <w:rPr>
                <w:rFonts w:ascii="VIC Bold Italic" w:hAnsi="VIC Bold Italic" w:cs="Times New Roman"/>
              </w:rPr>
            </w:pPr>
          </w:p>
        </w:tc>
        <w:tc>
          <w:tcPr>
            <w:tcW w:w="2268" w:type="dxa"/>
          </w:tcPr>
          <w:p w14:paraId="3F51DEB5" w14:textId="77777777" w:rsidR="00B02873" w:rsidRDefault="00B02873" w:rsidP="00CC3C6C">
            <w:pPr>
              <w:pStyle w:val="TablebodyleftFinancialsTables"/>
              <w:jc w:val="right"/>
            </w:pPr>
            <w:r>
              <w:t> </w:t>
            </w:r>
          </w:p>
        </w:tc>
        <w:tc>
          <w:tcPr>
            <w:tcW w:w="2268" w:type="dxa"/>
          </w:tcPr>
          <w:p w14:paraId="42D9A284" w14:textId="77777777" w:rsidR="00B02873" w:rsidRDefault="00B02873" w:rsidP="00CC3C6C">
            <w:pPr>
              <w:pStyle w:val="TablebodyleftFinancialsTables"/>
              <w:jc w:val="right"/>
            </w:pPr>
            <w:r>
              <w:t> </w:t>
            </w:r>
          </w:p>
        </w:tc>
      </w:tr>
      <w:tr w:rsidR="00B02873" w:rsidRPr="00B02873" w14:paraId="4EE0641D" w14:textId="77777777" w:rsidTr="00CC3C6C">
        <w:trPr>
          <w:trHeight w:val="60"/>
        </w:trPr>
        <w:tc>
          <w:tcPr>
            <w:tcW w:w="3681" w:type="dxa"/>
          </w:tcPr>
          <w:p w14:paraId="54A834F4" w14:textId="77777777" w:rsidR="00B02873" w:rsidRDefault="00B02873" w:rsidP="00CC3C6C">
            <w:pPr>
              <w:pStyle w:val="TablebodyleftFinancialsTables"/>
            </w:pPr>
            <w:r>
              <w:t>Borrowings</w:t>
            </w:r>
            <w:r>
              <w:rPr>
                <w:vertAlign w:val="superscript"/>
              </w:rPr>
              <w:t>(ii)</w:t>
            </w:r>
          </w:p>
        </w:tc>
        <w:tc>
          <w:tcPr>
            <w:tcW w:w="1417" w:type="dxa"/>
          </w:tcPr>
          <w:p w14:paraId="5404517A" w14:textId="77777777" w:rsidR="00B02873" w:rsidRDefault="00B02873" w:rsidP="00CC3C6C">
            <w:pPr>
              <w:pStyle w:val="TablebodyleftFinancialsTables"/>
              <w:jc w:val="right"/>
            </w:pPr>
            <w:r>
              <w:t>50,812</w:t>
            </w:r>
          </w:p>
        </w:tc>
        <w:tc>
          <w:tcPr>
            <w:tcW w:w="2268" w:type="dxa"/>
          </w:tcPr>
          <w:p w14:paraId="44B6912F" w14:textId="77777777" w:rsidR="00B02873" w:rsidRDefault="00B02873" w:rsidP="00CC3C6C">
            <w:pPr>
              <w:pStyle w:val="TablebodyleftFinancialsTables"/>
              <w:jc w:val="right"/>
            </w:pPr>
            <w:r>
              <w:t>–</w:t>
            </w:r>
          </w:p>
        </w:tc>
        <w:tc>
          <w:tcPr>
            <w:tcW w:w="2268" w:type="dxa"/>
          </w:tcPr>
          <w:p w14:paraId="2AEC8614" w14:textId="77777777" w:rsidR="00B02873" w:rsidRDefault="00B02873" w:rsidP="00CC3C6C">
            <w:pPr>
              <w:pStyle w:val="TablebodyleftFinancialsTables"/>
              <w:jc w:val="right"/>
            </w:pPr>
            <w:r>
              <w:t>–</w:t>
            </w:r>
          </w:p>
        </w:tc>
      </w:tr>
      <w:tr w:rsidR="00B02873" w:rsidRPr="00B02873" w14:paraId="633ECFB1" w14:textId="77777777" w:rsidTr="00CC3C6C">
        <w:trPr>
          <w:trHeight w:val="60"/>
        </w:trPr>
        <w:tc>
          <w:tcPr>
            <w:tcW w:w="3681" w:type="dxa"/>
          </w:tcPr>
          <w:p w14:paraId="116D84E1" w14:textId="77777777" w:rsidR="00B02873" w:rsidRPr="00CC3C6C" w:rsidRDefault="00B02873" w:rsidP="00CC3C6C">
            <w:pPr>
              <w:pStyle w:val="TablebodyleftFinancialsTables"/>
              <w:rPr>
                <w:b/>
                <w:bCs/>
              </w:rPr>
            </w:pPr>
            <w:r w:rsidRPr="00CC3C6C">
              <w:rPr>
                <w:b/>
                <w:bCs/>
              </w:rPr>
              <w:t>Total impact</w:t>
            </w:r>
          </w:p>
        </w:tc>
        <w:tc>
          <w:tcPr>
            <w:tcW w:w="1417" w:type="dxa"/>
          </w:tcPr>
          <w:p w14:paraId="318F6522" w14:textId="77777777" w:rsidR="00B02873" w:rsidRDefault="00B02873" w:rsidP="00CC3C6C">
            <w:pPr>
              <w:pStyle w:val="TablebodyleftFinancialsTables"/>
              <w:jc w:val="right"/>
            </w:pPr>
            <w:r>
              <w:t> </w:t>
            </w:r>
          </w:p>
        </w:tc>
        <w:tc>
          <w:tcPr>
            <w:tcW w:w="2268" w:type="dxa"/>
          </w:tcPr>
          <w:p w14:paraId="6527A86F" w14:textId="77777777" w:rsidR="00B02873" w:rsidRDefault="00B02873" w:rsidP="00CC3C6C">
            <w:pPr>
              <w:pStyle w:val="TablebodyleftFinancialsTables"/>
              <w:jc w:val="right"/>
            </w:pPr>
            <w:r>
              <w:t>–</w:t>
            </w:r>
          </w:p>
        </w:tc>
        <w:tc>
          <w:tcPr>
            <w:tcW w:w="2268" w:type="dxa"/>
          </w:tcPr>
          <w:p w14:paraId="3D75976C" w14:textId="77777777" w:rsidR="00B02873" w:rsidRDefault="00B02873" w:rsidP="00CC3C6C">
            <w:pPr>
              <w:pStyle w:val="TablebodyleftFinancialsTables"/>
              <w:jc w:val="right"/>
            </w:pPr>
            <w:r>
              <w:t>–</w:t>
            </w:r>
          </w:p>
        </w:tc>
      </w:tr>
    </w:tbl>
    <w:p w14:paraId="0EF42489" w14:textId="77777777" w:rsidR="00B02873" w:rsidRPr="00CC3C6C" w:rsidRDefault="00B02873" w:rsidP="00CC3C6C">
      <w:pPr>
        <w:pStyle w:val="SourceNote"/>
        <w:spacing w:after="120"/>
        <w:rPr>
          <w:b/>
          <w:bCs/>
        </w:rPr>
      </w:pPr>
      <w:r w:rsidRPr="00CC3C6C">
        <w:rPr>
          <w:b/>
          <w:bCs/>
        </w:rPr>
        <w:t>Note:</w:t>
      </w:r>
    </w:p>
    <w:p w14:paraId="472A50E5" w14:textId="77777777" w:rsidR="00B02873" w:rsidRDefault="00B02873" w:rsidP="001128B1">
      <w:pPr>
        <w:pStyle w:val="SourceNotenumbered"/>
        <w:numPr>
          <w:ilvl w:val="0"/>
          <w:numId w:val="89"/>
        </w:numPr>
      </w:pPr>
      <w:r>
        <w:t>All cash and cash equivalents are held in Australian dollars. $545.854 million (2021: $525.575 million) cash and cash equivalents were held on deposit at variable interest rates. The remainder of the balance was held in non-interest bearing accounts. This item is not subject to any other identified risk sensitivities.</w:t>
      </w:r>
    </w:p>
    <w:p w14:paraId="3D6E32B7" w14:textId="738FEE24" w:rsidR="00B02873" w:rsidRDefault="00B02873" w:rsidP="00C53E83">
      <w:pPr>
        <w:pStyle w:val="SourceNotenumbered"/>
        <w:spacing w:after="200"/>
        <w:ind w:left="357" w:hanging="357"/>
      </w:pPr>
      <w:r>
        <w:t>Borrowings relate to lease liabilities associated with office accommodation, other assets and motor vehicles. Office accommodation and other assets have incremental borrowings rates applied. Motor vehicle leases have interest fixed at the inception of the lease.</w:t>
      </w:r>
      <w:r w:rsidR="00012C04">
        <w:t xml:space="preserve"> </w:t>
      </w:r>
      <w:r>
        <w:t>This item is not subject to identified risk sensitivities.</w:t>
      </w:r>
    </w:p>
    <w:p w14:paraId="479C61EF" w14:textId="77777777" w:rsidR="00B02873" w:rsidRDefault="00B02873" w:rsidP="00377237">
      <w:pPr>
        <w:pStyle w:val="Boldheader"/>
      </w:pPr>
      <w:r>
        <w:t>Foreign currency risk</w:t>
      </w:r>
    </w:p>
    <w:p w14:paraId="5565E44A" w14:textId="77777777" w:rsidR="00B02873" w:rsidRDefault="00B02873" w:rsidP="00FE198A">
      <w:r>
        <w:t>The department had no exposure to foreign currency risk as at either 30 June 2022 or 30 June 2021.</w:t>
      </w:r>
    </w:p>
    <w:p w14:paraId="40F3DC40" w14:textId="77777777" w:rsidR="00B02873" w:rsidRDefault="00B02873" w:rsidP="00377237">
      <w:pPr>
        <w:pStyle w:val="Boldheader"/>
      </w:pPr>
      <w:r>
        <w:t>Equity price risk</w:t>
      </w:r>
    </w:p>
    <w:p w14:paraId="66555645" w14:textId="77777777" w:rsidR="00B02873" w:rsidRPr="00377237" w:rsidRDefault="00B02873" w:rsidP="00FE198A">
      <w:pPr>
        <w:rPr>
          <w:rFonts w:asciiTheme="minorHAnsi" w:hAnsiTheme="minorHAnsi" w:cstheme="minorHAnsi"/>
        </w:rPr>
      </w:pPr>
      <w:r>
        <w:t xml:space="preserve">The department’s exposure to equity price risk is outlined in Note 6.2 </w:t>
      </w:r>
      <w:r w:rsidRPr="00377237">
        <w:rPr>
          <w:rStyle w:val="LightItalic"/>
          <w:rFonts w:asciiTheme="minorHAnsi" w:hAnsiTheme="minorHAnsi" w:cstheme="minorHAnsi"/>
        </w:rPr>
        <w:t>Derivative financial instruments</w:t>
      </w:r>
      <w:r w:rsidRPr="00377237">
        <w:rPr>
          <w:rFonts w:asciiTheme="minorHAnsi" w:hAnsiTheme="minorHAnsi" w:cstheme="minorHAnsi"/>
        </w:rPr>
        <w:t>.</w:t>
      </w:r>
    </w:p>
    <w:p w14:paraId="72DB78CB" w14:textId="77777777" w:rsidR="00B02873" w:rsidRDefault="00B02873" w:rsidP="00377237">
      <w:pPr>
        <w:pStyle w:val="Heading3"/>
      </w:pPr>
      <w:r>
        <w:t>8.2 Contingent assets and contingent liabilities</w:t>
      </w:r>
    </w:p>
    <w:p w14:paraId="68B5FAE1" w14:textId="133215B7" w:rsidR="00B02873" w:rsidRDefault="00B02873" w:rsidP="00FE198A">
      <w:r>
        <w:t>Contingent assets and contingent liabilities are not recognised in the balance sheet but are disclosed in the notes to the financial statement and, if quantifiable, are measured at nominal value.</w:t>
      </w:r>
    </w:p>
    <w:p w14:paraId="286682C0" w14:textId="77777777" w:rsidR="00B02873" w:rsidRDefault="00B02873" w:rsidP="00FE198A">
      <w:r>
        <w:t>Contingent assets and liabilities are presented inclusive of GST receivable or payable respectively.</w:t>
      </w:r>
    </w:p>
    <w:p w14:paraId="7FB2C0A2" w14:textId="77777777" w:rsidR="00B02873" w:rsidRDefault="00B02873" w:rsidP="00377237">
      <w:pPr>
        <w:pStyle w:val="Heading4"/>
      </w:pPr>
      <w:r>
        <w:lastRenderedPageBreak/>
        <w:t>Contingent assets</w:t>
      </w:r>
    </w:p>
    <w:p w14:paraId="07951299" w14:textId="77777777" w:rsidR="00B02873" w:rsidRDefault="00B02873" w:rsidP="00FE198A">
      <w:r>
        <w:rPr>
          <w:spacing w:val="-2"/>
        </w:rPr>
        <w:t>Contingent assets are possible assets that arise from past events, whose existence will be confirmed only by the occurrence or non-occurrence of one or more uncertain future events not wholly within the control of the entity.</w:t>
      </w:r>
    </w:p>
    <w:p w14:paraId="7CF721EA" w14:textId="77777777" w:rsidR="00B02873" w:rsidRDefault="00B02873" w:rsidP="00FE198A">
      <w:pPr>
        <w:rPr>
          <w:spacing w:val="-1"/>
        </w:rPr>
      </w:pPr>
      <w:r>
        <w:t>These are classified as either quantifiable, where the potential economic benefit is known, or non-quantifiable</w:t>
      </w:r>
      <w:r>
        <w:rPr>
          <w:spacing w:val="-1"/>
        </w:rPr>
        <w:t>.</w:t>
      </w:r>
    </w:p>
    <w:p w14:paraId="2FDCFFE6" w14:textId="77777777" w:rsidR="00B02873" w:rsidRDefault="00B02873" w:rsidP="00377237">
      <w:pPr>
        <w:pStyle w:val="Heading4"/>
      </w:pPr>
      <w:r>
        <w:t>Contingent liabilities</w:t>
      </w:r>
    </w:p>
    <w:p w14:paraId="4C51F7FD" w14:textId="77777777" w:rsidR="00B02873" w:rsidRDefault="00B02873" w:rsidP="00377237">
      <w:pPr>
        <w:pStyle w:val="Normalbeforebullet"/>
      </w:pPr>
      <w:r>
        <w:t>Contingent liabilities are:</w:t>
      </w:r>
    </w:p>
    <w:p w14:paraId="7FA39227" w14:textId="77777777" w:rsidR="00B02873" w:rsidRDefault="00B02873" w:rsidP="00B02873">
      <w:pPr>
        <w:pStyle w:val="Bullet1Lists"/>
      </w:pPr>
      <w:r>
        <w:t>possible obligations that arise from past events, whose existence will be confirmed only by the occurrence or non-occurrence of one or more uncertain future events not wholly within the control of the entity</w:t>
      </w:r>
    </w:p>
    <w:p w14:paraId="412ADBED" w14:textId="0377BFE9" w:rsidR="00B02873" w:rsidRDefault="00B02873" w:rsidP="00377237">
      <w:pPr>
        <w:pStyle w:val="Bullet1Lists"/>
      </w:pPr>
      <w:r>
        <w:t>present obligations that arise from past events but are not recognised because:</w:t>
      </w:r>
    </w:p>
    <w:p w14:paraId="2443F362" w14:textId="240A0A7D" w:rsidR="00B02873" w:rsidRDefault="00B02873" w:rsidP="00377237">
      <w:pPr>
        <w:pStyle w:val="Bullet2Lists"/>
      </w:pPr>
      <w:r>
        <w:t>it is not probable that an outflow of resources embodying economic benefits will be required to settle the obligations</w:t>
      </w:r>
    </w:p>
    <w:p w14:paraId="5DDCB9BC" w14:textId="77777777" w:rsidR="00B02873" w:rsidRDefault="00B02873" w:rsidP="00377237">
      <w:pPr>
        <w:pStyle w:val="Bullet2Lists"/>
        <w:spacing w:after="200"/>
      </w:pPr>
      <w:r>
        <w:t>the amount of the obligations cannot be measured with sufficient reliability.</w:t>
      </w:r>
    </w:p>
    <w:p w14:paraId="77CE57E8" w14:textId="77777777" w:rsidR="00B02873" w:rsidRDefault="00B02873" w:rsidP="00FE198A">
      <w:r>
        <w:t>Contingent liabilities are also classified as either quantifiable or non-quantifiable.</w:t>
      </w:r>
    </w:p>
    <w:tbl>
      <w:tblPr>
        <w:tblStyle w:val="TableGrid"/>
        <w:tblW w:w="0" w:type="auto"/>
        <w:tblLayout w:type="fixed"/>
        <w:tblLook w:val="0020" w:firstRow="1" w:lastRow="0" w:firstColumn="0" w:lastColumn="0" w:noHBand="0" w:noVBand="0"/>
      </w:tblPr>
      <w:tblGrid>
        <w:gridCol w:w="7257"/>
        <w:gridCol w:w="1190"/>
        <w:gridCol w:w="1191"/>
      </w:tblGrid>
      <w:tr w:rsidR="00B02873" w:rsidRPr="00B02873" w14:paraId="752D8CBF" w14:textId="77777777" w:rsidTr="00377237">
        <w:trPr>
          <w:cnfStyle w:val="100000000000" w:firstRow="1" w:lastRow="0" w:firstColumn="0" w:lastColumn="0" w:oddVBand="0" w:evenVBand="0" w:oddHBand="0" w:evenHBand="0" w:firstRowFirstColumn="0" w:firstRowLastColumn="0" w:lastRowFirstColumn="0" w:lastRowLastColumn="0"/>
          <w:trHeight w:val="60"/>
        </w:trPr>
        <w:tc>
          <w:tcPr>
            <w:tcW w:w="7257" w:type="dxa"/>
          </w:tcPr>
          <w:p w14:paraId="420F4DBA" w14:textId="77777777" w:rsidR="00B02873" w:rsidRPr="00B02873" w:rsidRDefault="00B02873" w:rsidP="00377237">
            <w:pPr>
              <w:pStyle w:val="TableheadingleftFinancialsTables"/>
            </w:pPr>
          </w:p>
        </w:tc>
        <w:tc>
          <w:tcPr>
            <w:tcW w:w="1190" w:type="dxa"/>
          </w:tcPr>
          <w:p w14:paraId="6025A884" w14:textId="77777777" w:rsidR="00B02873" w:rsidRPr="00377237" w:rsidRDefault="00B02873" w:rsidP="00377237">
            <w:pPr>
              <w:pStyle w:val="TableheadingleftFinancialsTables"/>
              <w:jc w:val="right"/>
            </w:pPr>
            <w:r w:rsidRPr="00377237">
              <w:t>2022</w:t>
            </w:r>
            <w:r w:rsidRPr="00377237">
              <w:br/>
              <w:t>$’000</w:t>
            </w:r>
          </w:p>
        </w:tc>
        <w:tc>
          <w:tcPr>
            <w:tcW w:w="1191" w:type="dxa"/>
          </w:tcPr>
          <w:p w14:paraId="1FBEC8E4" w14:textId="77777777" w:rsidR="00B02873" w:rsidRDefault="00B02873" w:rsidP="00377237">
            <w:pPr>
              <w:pStyle w:val="TableheadingleftFinancialsTables"/>
              <w:jc w:val="right"/>
            </w:pPr>
            <w:r>
              <w:t>2021</w:t>
            </w:r>
            <w:r>
              <w:br/>
              <w:t>$’000</w:t>
            </w:r>
          </w:p>
        </w:tc>
      </w:tr>
      <w:tr w:rsidR="00B02873" w:rsidRPr="00B02873" w14:paraId="16538FFC" w14:textId="77777777" w:rsidTr="00377237">
        <w:trPr>
          <w:trHeight w:val="60"/>
        </w:trPr>
        <w:tc>
          <w:tcPr>
            <w:tcW w:w="7257" w:type="dxa"/>
          </w:tcPr>
          <w:p w14:paraId="6F7D64E2" w14:textId="77777777" w:rsidR="00B02873" w:rsidRPr="00377237" w:rsidRDefault="00B02873" w:rsidP="00377237">
            <w:pPr>
              <w:pStyle w:val="TablebodyleftFinancialsTables"/>
              <w:rPr>
                <w:b/>
                <w:bCs/>
              </w:rPr>
            </w:pPr>
            <w:r w:rsidRPr="00377237">
              <w:rPr>
                <w:b/>
                <w:bCs/>
              </w:rPr>
              <w:t>Quantifiable contingent assets</w:t>
            </w:r>
          </w:p>
        </w:tc>
        <w:tc>
          <w:tcPr>
            <w:tcW w:w="1190" w:type="dxa"/>
          </w:tcPr>
          <w:p w14:paraId="389428B7" w14:textId="77777777" w:rsidR="00B02873" w:rsidRPr="00377237" w:rsidRDefault="00B02873" w:rsidP="00377237">
            <w:pPr>
              <w:pStyle w:val="TablebodyleftFinancialsTables"/>
              <w:jc w:val="right"/>
              <w:rPr>
                <w:rFonts w:ascii="VIC Bold Italic" w:hAnsi="VIC Bold Italic" w:cs="Times New Roman"/>
                <w:b/>
                <w:bCs/>
              </w:rPr>
            </w:pPr>
          </w:p>
        </w:tc>
        <w:tc>
          <w:tcPr>
            <w:tcW w:w="1191" w:type="dxa"/>
          </w:tcPr>
          <w:p w14:paraId="26EABCA3" w14:textId="77777777" w:rsidR="00B02873" w:rsidRPr="00B02873" w:rsidRDefault="00B02873" w:rsidP="00377237">
            <w:pPr>
              <w:pStyle w:val="TablebodyleftFinancialsTables"/>
              <w:jc w:val="right"/>
              <w:rPr>
                <w:rFonts w:ascii="VIC Bold Italic" w:hAnsi="VIC Bold Italic" w:cs="Times New Roman"/>
              </w:rPr>
            </w:pPr>
          </w:p>
        </w:tc>
      </w:tr>
      <w:tr w:rsidR="00B02873" w:rsidRPr="00B02873" w14:paraId="23B78100" w14:textId="77777777" w:rsidTr="00377237">
        <w:trPr>
          <w:trHeight w:val="60"/>
        </w:trPr>
        <w:tc>
          <w:tcPr>
            <w:tcW w:w="7257" w:type="dxa"/>
          </w:tcPr>
          <w:p w14:paraId="1EC77710" w14:textId="77777777" w:rsidR="00B02873" w:rsidRDefault="00B02873" w:rsidP="00377237">
            <w:pPr>
              <w:pStyle w:val="TablebodyleftFinancialsTables"/>
            </w:pPr>
            <w:r>
              <w:t xml:space="preserve">Other </w:t>
            </w:r>
          </w:p>
        </w:tc>
        <w:tc>
          <w:tcPr>
            <w:tcW w:w="1190" w:type="dxa"/>
          </w:tcPr>
          <w:p w14:paraId="652F6359" w14:textId="77777777" w:rsidR="00B02873" w:rsidRPr="00377237" w:rsidRDefault="00B02873" w:rsidP="00377237">
            <w:pPr>
              <w:pStyle w:val="TablebodyleftFinancialsTables"/>
              <w:jc w:val="right"/>
              <w:rPr>
                <w:b/>
                <w:bCs/>
              </w:rPr>
            </w:pPr>
            <w:r w:rsidRPr="00377237">
              <w:rPr>
                <w:b/>
                <w:bCs/>
              </w:rPr>
              <w:t>–</w:t>
            </w:r>
          </w:p>
        </w:tc>
        <w:tc>
          <w:tcPr>
            <w:tcW w:w="1191" w:type="dxa"/>
          </w:tcPr>
          <w:p w14:paraId="6603328F" w14:textId="77777777" w:rsidR="00B02873" w:rsidRDefault="00B02873" w:rsidP="00377237">
            <w:pPr>
              <w:pStyle w:val="TablebodyleftFinancialsTables"/>
              <w:jc w:val="right"/>
            </w:pPr>
            <w:r>
              <w:t>–</w:t>
            </w:r>
          </w:p>
        </w:tc>
      </w:tr>
      <w:tr w:rsidR="00B02873" w:rsidRPr="00B02873" w14:paraId="67AB4284" w14:textId="77777777" w:rsidTr="00377237">
        <w:trPr>
          <w:trHeight w:val="60"/>
        </w:trPr>
        <w:tc>
          <w:tcPr>
            <w:tcW w:w="7257" w:type="dxa"/>
          </w:tcPr>
          <w:p w14:paraId="51DCA9CD" w14:textId="77777777" w:rsidR="00B02873" w:rsidRPr="00B02873" w:rsidRDefault="00B02873" w:rsidP="00377237">
            <w:pPr>
              <w:pStyle w:val="TablebodyleftFinancialsTables"/>
              <w:rPr>
                <w:rFonts w:ascii="VIC Bold Italic" w:hAnsi="VIC Bold Italic" w:cs="Times New Roman"/>
              </w:rPr>
            </w:pPr>
          </w:p>
        </w:tc>
        <w:tc>
          <w:tcPr>
            <w:tcW w:w="1190" w:type="dxa"/>
          </w:tcPr>
          <w:p w14:paraId="196AFE48" w14:textId="77777777" w:rsidR="00B02873" w:rsidRPr="00377237" w:rsidRDefault="00B02873" w:rsidP="00377237">
            <w:pPr>
              <w:pStyle w:val="TablebodyleftFinancialsTables"/>
              <w:jc w:val="right"/>
              <w:rPr>
                <w:b/>
                <w:bCs/>
              </w:rPr>
            </w:pPr>
            <w:r w:rsidRPr="00377237">
              <w:rPr>
                <w:b/>
                <w:bCs/>
              </w:rPr>
              <w:t>–</w:t>
            </w:r>
          </w:p>
        </w:tc>
        <w:tc>
          <w:tcPr>
            <w:tcW w:w="1191" w:type="dxa"/>
          </w:tcPr>
          <w:p w14:paraId="38A9DDB5" w14:textId="77777777" w:rsidR="00B02873" w:rsidRDefault="00B02873" w:rsidP="00377237">
            <w:pPr>
              <w:pStyle w:val="TablebodyleftFinancialsTables"/>
              <w:jc w:val="right"/>
            </w:pPr>
            <w:r>
              <w:t>–</w:t>
            </w:r>
          </w:p>
        </w:tc>
      </w:tr>
      <w:tr w:rsidR="00B02873" w:rsidRPr="00B02873" w14:paraId="034FFD6D" w14:textId="77777777" w:rsidTr="00377237">
        <w:trPr>
          <w:trHeight w:val="60"/>
        </w:trPr>
        <w:tc>
          <w:tcPr>
            <w:tcW w:w="7257" w:type="dxa"/>
          </w:tcPr>
          <w:p w14:paraId="3023B305" w14:textId="77777777" w:rsidR="00B02873" w:rsidRPr="00377237" w:rsidRDefault="00B02873" w:rsidP="00377237">
            <w:pPr>
              <w:pStyle w:val="TablebodyleftFinancialsTables"/>
              <w:rPr>
                <w:b/>
                <w:bCs/>
              </w:rPr>
            </w:pPr>
            <w:r w:rsidRPr="00377237">
              <w:rPr>
                <w:b/>
                <w:bCs/>
              </w:rPr>
              <w:t>Quantifiable contingent liabilities</w:t>
            </w:r>
          </w:p>
        </w:tc>
        <w:tc>
          <w:tcPr>
            <w:tcW w:w="1190" w:type="dxa"/>
          </w:tcPr>
          <w:p w14:paraId="6497A453" w14:textId="77777777" w:rsidR="00B02873" w:rsidRPr="00377237" w:rsidRDefault="00B02873" w:rsidP="00377237">
            <w:pPr>
              <w:pStyle w:val="TablebodyleftFinancialsTables"/>
              <w:jc w:val="right"/>
              <w:rPr>
                <w:rFonts w:ascii="VIC Bold Italic" w:hAnsi="VIC Bold Italic" w:cs="Times New Roman"/>
                <w:b/>
                <w:bCs/>
              </w:rPr>
            </w:pPr>
          </w:p>
        </w:tc>
        <w:tc>
          <w:tcPr>
            <w:tcW w:w="1191" w:type="dxa"/>
          </w:tcPr>
          <w:p w14:paraId="2887F85E" w14:textId="77777777" w:rsidR="00B02873" w:rsidRPr="00B02873" w:rsidRDefault="00B02873" w:rsidP="00377237">
            <w:pPr>
              <w:pStyle w:val="TablebodyleftFinancialsTables"/>
              <w:jc w:val="right"/>
              <w:rPr>
                <w:rFonts w:ascii="VIC Bold Italic" w:hAnsi="VIC Bold Italic" w:cs="Times New Roman"/>
              </w:rPr>
            </w:pPr>
          </w:p>
        </w:tc>
      </w:tr>
      <w:tr w:rsidR="00B02873" w:rsidRPr="00B02873" w14:paraId="1ADD7885" w14:textId="77777777" w:rsidTr="00377237">
        <w:trPr>
          <w:trHeight w:val="60"/>
        </w:trPr>
        <w:tc>
          <w:tcPr>
            <w:tcW w:w="7257" w:type="dxa"/>
          </w:tcPr>
          <w:p w14:paraId="2EB9F8D1" w14:textId="77777777" w:rsidR="00B02873" w:rsidRDefault="00B02873" w:rsidP="00377237">
            <w:pPr>
              <w:pStyle w:val="TablebodyleftFinancialsTables"/>
            </w:pPr>
            <w:r>
              <w:t>Damages claims</w:t>
            </w:r>
          </w:p>
        </w:tc>
        <w:tc>
          <w:tcPr>
            <w:tcW w:w="1190" w:type="dxa"/>
          </w:tcPr>
          <w:p w14:paraId="2F8B48F0" w14:textId="77777777" w:rsidR="00B02873" w:rsidRPr="00377237" w:rsidRDefault="00B02873" w:rsidP="00377237">
            <w:pPr>
              <w:pStyle w:val="TablebodyleftFinancialsTables"/>
              <w:jc w:val="right"/>
              <w:rPr>
                <w:b/>
                <w:bCs/>
              </w:rPr>
            </w:pPr>
            <w:r w:rsidRPr="00377237">
              <w:rPr>
                <w:b/>
                <w:bCs/>
              </w:rPr>
              <w:t>670</w:t>
            </w:r>
          </w:p>
        </w:tc>
        <w:tc>
          <w:tcPr>
            <w:tcW w:w="1191" w:type="dxa"/>
          </w:tcPr>
          <w:p w14:paraId="0D79F5F5" w14:textId="77777777" w:rsidR="00B02873" w:rsidRDefault="00B02873" w:rsidP="00377237">
            <w:pPr>
              <w:pStyle w:val="TablebodyleftFinancialsTables"/>
              <w:jc w:val="right"/>
            </w:pPr>
            <w:r>
              <w:t>670</w:t>
            </w:r>
          </w:p>
        </w:tc>
      </w:tr>
      <w:tr w:rsidR="00B02873" w:rsidRPr="00B02873" w14:paraId="5B89ED78" w14:textId="77777777" w:rsidTr="00377237">
        <w:trPr>
          <w:trHeight w:val="60"/>
        </w:trPr>
        <w:tc>
          <w:tcPr>
            <w:tcW w:w="7257" w:type="dxa"/>
          </w:tcPr>
          <w:p w14:paraId="3D6548DA" w14:textId="77777777" w:rsidR="00B02873" w:rsidRDefault="00B02873" w:rsidP="00377237">
            <w:pPr>
              <w:pStyle w:val="TablebodyleftFinancialsTables"/>
            </w:pPr>
            <w:r>
              <w:t>Public liability insurance claims</w:t>
            </w:r>
            <w:r>
              <w:rPr>
                <w:vertAlign w:val="superscript"/>
              </w:rPr>
              <w:t>(i)</w:t>
            </w:r>
          </w:p>
        </w:tc>
        <w:tc>
          <w:tcPr>
            <w:tcW w:w="1190" w:type="dxa"/>
          </w:tcPr>
          <w:p w14:paraId="71A8B86C" w14:textId="77777777" w:rsidR="00B02873" w:rsidRPr="00377237" w:rsidRDefault="00B02873" w:rsidP="00377237">
            <w:pPr>
              <w:pStyle w:val="TablebodyleftFinancialsTables"/>
              <w:jc w:val="right"/>
              <w:rPr>
                <w:b/>
                <w:bCs/>
              </w:rPr>
            </w:pPr>
            <w:r w:rsidRPr="00377237">
              <w:rPr>
                <w:b/>
                <w:bCs/>
              </w:rPr>
              <w:t>1,231</w:t>
            </w:r>
          </w:p>
        </w:tc>
        <w:tc>
          <w:tcPr>
            <w:tcW w:w="1191" w:type="dxa"/>
          </w:tcPr>
          <w:p w14:paraId="70B7F048" w14:textId="77777777" w:rsidR="00B02873" w:rsidRDefault="00B02873" w:rsidP="00377237">
            <w:pPr>
              <w:pStyle w:val="TablebodyleftFinancialsTables"/>
              <w:jc w:val="right"/>
            </w:pPr>
            <w:r>
              <w:t>1,016</w:t>
            </w:r>
          </w:p>
        </w:tc>
      </w:tr>
      <w:tr w:rsidR="00B02873" w:rsidRPr="00B02873" w14:paraId="0870548C" w14:textId="77777777" w:rsidTr="00377237">
        <w:trPr>
          <w:trHeight w:val="60"/>
        </w:trPr>
        <w:tc>
          <w:tcPr>
            <w:tcW w:w="7257" w:type="dxa"/>
          </w:tcPr>
          <w:p w14:paraId="55680369" w14:textId="77777777" w:rsidR="00B02873" w:rsidRDefault="00B02873" w:rsidP="00377237">
            <w:pPr>
              <w:pStyle w:val="TablebodyleftFinancialsTables"/>
            </w:pPr>
            <w:r>
              <w:t>Other</w:t>
            </w:r>
            <w:r>
              <w:rPr>
                <w:vertAlign w:val="superscript"/>
              </w:rPr>
              <w:t>(ii)</w:t>
            </w:r>
          </w:p>
        </w:tc>
        <w:tc>
          <w:tcPr>
            <w:tcW w:w="1190" w:type="dxa"/>
          </w:tcPr>
          <w:p w14:paraId="1257C5CA" w14:textId="77777777" w:rsidR="00B02873" w:rsidRPr="00377237" w:rsidRDefault="00B02873" w:rsidP="00377237">
            <w:pPr>
              <w:pStyle w:val="TablebodyleftFinancialsTables"/>
              <w:jc w:val="right"/>
              <w:rPr>
                <w:b/>
                <w:bCs/>
              </w:rPr>
            </w:pPr>
            <w:r w:rsidRPr="00377237">
              <w:rPr>
                <w:b/>
                <w:bCs/>
              </w:rPr>
              <w:t>2,875</w:t>
            </w:r>
          </w:p>
        </w:tc>
        <w:tc>
          <w:tcPr>
            <w:tcW w:w="1191" w:type="dxa"/>
          </w:tcPr>
          <w:p w14:paraId="4C4B8669" w14:textId="77777777" w:rsidR="00B02873" w:rsidRDefault="00B02873" w:rsidP="00377237">
            <w:pPr>
              <w:pStyle w:val="TablebodyleftFinancialsTables"/>
              <w:jc w:val="right"/>
            </w:pPr>
            <w:r>
              <w:t>2,550</w:t>
            </w:r>
          </w:p>
        </w:tc>
      </w:tr>
      <w:tr w:rsidR="00B02873" w:rsidRPr="00B02873" w14:paraId="05B01FFC" w14:textId="77777777" w:rsidTr="00377237">
        <w:trPr>
          <w:trHeight w:val="60"/>
        </w:trPr>
        <w:tc>
          <w:tcPr>
            <w:tcW w:w="7257" w:type="dxa"/>
          </w:tcPr>
          <w:p w14:paraId="58682FA3" w14:textId="77777777" w:rsidR="00B02873" w:rsidRPr="00B02873" w:rsidRDefault="00B02873" w:rsidP="00377237">
            <w:pPr>
              <w:pStyle w:val="TablebodyleftFinancialsTables"/>
              <w:rPr>
                <w:rFonts w:ascii="VIC Bold Italic" w:hAnsi="VIC Bold Italic" w:cs="Times New Roman"/>
              </w:rPr>
            </w:pPr>
          </w:p>
        </w:tc>
        <w:tc>
          <w:tcPr>
            <w:tcW w:w="1190" w:type="dxa"/>
          </w:tcPr>
          <w:p w14:paraId="2FF86392" w14:textId="77777777" w:rsidR="00B02873" w:rsidRPr="00377237" w:rsidRDefault="00B02873" w:rsidP="00377237">
            <w:pPr>
              <w:pStyle w:val="TablebodyleftFinancialsTables"/>
              <w:jc w:val="right"/>
              <w:rPr>
                <w:b/>
                <w:bCs/>
              </w:rPr>
            </w:pPr>
            <w:r w:rsidRPr="00377237">
              <w:rPr>
                <w:b/>
                <w:bCs/>
              </w:rPr>
              <w:t>4,776</w:t>
            </w:r>
          </w:p>
        </w:tc>
        <w:tc>
          <w:tcPr>
            <w:tcW w:w="1191" w:type="dxa"/>
          </w:tcPr>
          <w:p w14:paraId="6710AC55" w14:textId="77777777" w:rsidR="00B02873" w:rsidRDefault="00B02873" w:rsidP="00377237">
            <w:pPr>
              <w:pStyle w:val="TablebodyleftFinancialsTables"/>
              <w:jc w:val="right"/>
            </w:pPr>
            <w:r>
              <w:t>4,236</w:t>
            </w:r>
          </w:p>
        </w:tc>
      </w:tr>
    </w:tbl>
    <w:p w14:paraId="18DC4DFE" w14:textId="77777777" w:rsidR="00B02873" w:rsidRPr="00377237" w:rsidRDefault="00B02873" w:rsidP="00377237">
      <w:pPr>
        <w:pStyle w:val="SourceNote"/>
        <w:spacing w:after="120"/>
        <w:rPr>
          <w:b/>
          <w:bCs/>
        </w:rPr>
      </w:pPr>
      <w:r w:rsidRPr="00377237">
        <w:rPr>
          <w:b/>
          <w:bCs/>
        </w:rPr>
        <w:t>Note:</w:t>
      </w:r>
    </w:p>
    <w:p w14:paraId="56A8CD15" w14:textId="77777777" w:rsidR="00B02873" w:rsidRDefault="00B02873" w:rsidP="001128B1">
      <w:pPr>
        <w:pStyle w:val="SourceNotenumbered"/>
        <w:numPr>
          <w:ilvl w:val="0"/>
          <w:numId w:val="90"/>
        </w:numPr>
      </w:pPr>
      <w:r>
        <w:t xml:space="preserve">The public liability insurance claims relate to various personal expense matters resulting from serious injury and natural disasters. </w:t>
      </w:r>
    </w:p>
    <w:p w14:paraId="24D0873B" w14:textId="77777777" w:rsidR="00B02873" w:rsidRDefault="00B02873" w:rsidP="00C53E83">
      <w:pPr>
        <w:pStyle w:val="SourceNotenumbered"/>
        <w:spacing w:after="200"/>
        <w:ind w:left="357" w:hanging="357"/>
      </w:pPr>
      <w:r>
        <w:t xml:space="preserve">The other contingent liabilities relate to various planning application and compensation claims. </w:t>
      </w:r>
    </w:p>
    <w:p w14:paraId="6EE0ABC9" w14:textId="77777777" w:rsidR="00B02873" w:rsidRDefault="00B02873" w:rsidP="00377237">
      <w:pPr>
        <w:pStyle w:val="Heading4"/>
      </w:pPr>
      <w:r>
        <w:t>Unquantifiable contingent liabilities</w:t>
      </w:r>
    </w:p>
    <w:p w14:paraId="3C2B378E" w14:textId="77777777" w:rsidR="00B02873" w:rsidRDefault="00B02873" w:rsidP="00FE198A">
      <w:r>
        <w:t xml:space="preserve">The department has the following unquantifiable contingent liabilities. </w:t>
      </w:r>
    </w:p>
    <w:p w14:paraId="60FF0E09" w14:textId="77777777" w:rsidR="00B02873" w:rsidRDefault="00B02873" w:rsidP="00377237">
      <w:pPr>
        <w:pStyle w:val="Heading5"/>
      </w:pPr>
      <w:r>
        <w:t>Native Titles</w:t>
      </w:r>
    </w:p>
    <w:p w14:paraId="33CA6C1A" w14:textId="77777777" w:rsidR="00B02873" w:rsidRDefault="00B02873" w:rsidP="00FE198A">
      <w:r>
        <w:t xml:space="preserve">There have been four native title claims made in relation to Victorian land and resources (2021: three native title claims). No material losses are anticipated in respect of any of these contingencies. </w:t>
      </w:r>
    </w:p>
    <w:p w14:paraId="77A1EC72" w14:textId="77777777" w:rsidR="00B02873" w:rsidRDefault="00B02873" w:rsidP="00377237">
      <w:pPr>
        <w:pStyle w:val="Heading5"/>
      </w:pPr>
      <w:r>
        <w:t>Planning scheme compensation</w:t>
      </w:r>
    </w:p>
    <w:p w14:paraId="19F8CACD" w14:textId="77777777" w:rsidR="00B02873" w:rsidRDefault="00B02873" w:rsidP="00FE198A">
      <w:r>
        <w:t xml:space="preserve">Under section 98 of the </w:t>
      </w:r>
      <w:r w:rsidRPr="00377237">
        <w:rPr>
          <w:rStyle w:val="LightItalic"/>
          <w:rFonts w:asciiTheme="minorHAnsi" w:hAnsiTheme="minorHAnsi" w:cstheme="minorHAnsi"/>
        </w:rPr>
        <w:t>Planning and Environment Act 1987</w:t>
      </w:r>
      <w:r w:rsidRPr="00377237">
        <w:rPr>
          <w:rFonts w:asciiTheme="minorHAnsi" w:hAnsiTheme="minorHAnsi" w:cstheme="minorHAnsi"/>
        </w:rPr>
        <w:t>,</w:t>
      </w:r>
      <w:r>
        <w:t xml:space="preserve"> the owner or occupier of any land may claim compensation from the planning authority for financial loss suffered as the natural, direct and reasonable consequence of the land being reserved, or declared as reserved for a public </w:t>
      </w:r>
      <w:r>
        <w:lastRenderedPageBreak/>
        <w:t>purpose under a planning scheme. The future liability depends on a number of factors and cannot be reliably quantified.</w:t>
      </w:r>
    </w:p>
    <w:p w14:paraId="7888D7D6" w14:textId="77777777" w:rsidR="00B02873" w:rsidRDefault="00B02873" w:rsidP="00377237">
      <w:pPr>
        <w:pStyle w:val="Heading5"/>
      </w:pPr>
      <w:r>
        <w:t>Yallourn Power Station safety net</w:t>
      </w:r>
    </w:p>
    <w:p w14:paraId="34CD23E1" w14:textId="77777777" w:rsidR="00B02873" w:rsidRDefault="00B02873" w:rsidP="00FE198A">
      <w:r>
        <w:rPr>
          <w:spacing w:val="-1"/>
        </w:rPr>
        <w:t>The government has reached an agreement with EnergyAustralia (EA) to ensure an orderly transition as EA implements the closure of the Yallourn Power Station in June 2028.</w:t>
      </w:r>
    </w:p>
    <w:p w14:paraId="3CE64162" w14:textId="64C45D27" w:rsidR="00B02873" w:rsidRDefault="00B02873" w:rsidP="00FE198A">
      <w:r>
        <w:t>The agreement includes, should it be needed, a safety net to avoid an unplanned exit from Yallourn. As part of this safety net, under certain scenarios, the state agrees to provide partial support to EA in the event of exceptional costs incurred in the operation of the Yallourn Power Station.</w:t>
      </w:r>
    </w:p>
    <w:p w14:paraId="686733DA" w14:textId="35D11715" w:rsidR="00B02873" w:rsidRPr="00546E03" w:rsidRDefault="00B02873" w:rsidP="00FE198A">
      <w:pPr>
        <w:rPr>
          <w:rFonts w:cs="VIC"/>
          <w:b/>
          <w:bCs/>
          <w:color w:val="100149"/>
          <w:sz w:val="20"/>
          <w:szCs w:val="20"/>
        </w:rPr>
      </w:pPr>
      <w:r>
        <w:t>This support will help to ensure Yallourn’s workers and Victoria’s energy system have sufficient time to plan for the plant’s closure. The possible liability depends on a number of future events and cannot be reliably and readily quantified.</w:t>
      </w:r>
    </w:p>
    <w:p w14:paraId="5A3D1792" w14:textId="77777777" w:rsidR="00B02873" w:rsidRDefault="00B02873" w:rsidP="00377237">
      <w:pPr>
        <w:pStyle w:val="Heading3"/>
      </w:pPr>
      <w:r>
        <w:t>8.3 Fair value determination</w:t>
      </w:r>
    </w:p>
    <w:p w14:paraId="74BE3306" w14:textId="77777777" w:rsidR="00B02873" w:rsidRDefault="00B02873" w:rsidP="00FE198A">
      <w:r>
        <w:t xml:space="preserve">This section sets out information on how the department determined fair value for financial reporting purposes. Fair value is the price that would be received to sell an asset or paid to transfer a liability in an orderly transaction between market participants at the measurement date. </w:t>
      </w:r>
    </w:p>
    <w:p w14:paraId="3FB8581A" w14:textId="77777777" w:rsidR="00B02873" w:rsidRDefault="00B02873" w:rsidP="00377237">
      <w:pPr>
        <w:pStyle w:val="Normalbeforebullet"/>
      </w:pPr>
      <w:r>
        <w:t xml:space="preserve">The following assets and liabilities are carried at fair value: </w:t>
      </w:r>
    </w:p>
    <w:p w14:paraId="1E18BF14" w14:textId="77777777" w:rsidR="00B02873" w:rsidRDefault="00B02873" w:rsidP="00B02873">
      <w:pPr>
        <w:pStyle w:val="Bullet1Lists"/>
        <w:rPr>
          <w:spacing w:val="-2"/>
        </w:rPr>
      </w:pPr>
      <w:r>
        <w:rPr>
          <w:spacing w:val="-2"/>
        </w:rPr>
        <w:t>Contractual financial assets and liabilities at fair value through net result (financial derivatives)</w:t>
      </w:r>
    </w:p>
    <w:p w14:paraId="36672FBE" w14:textId="77777777" w:rsidR="00B02873" w:rsidRDefault="00B02873" w:rsidP="00B02873">
      <w:pPr>
        <w:pStyle w:val="Bullet1Lists"/>
        <w:rPr>
          <w:spacing w:val="-2"/>
        </w:rPr>
      </w:pPr>
      <w:r>
        <w:rPr>
          <w:spacing w:val="-2"/>
        </w:rPr>
        <w:t>Property, plant and equipment</w:t>
      </w:r>
    </w:p>
    <w:p w14:paraId="2F9F5ED2" w14:textId="5E32D3C5" w:rsidR="00B02873" w:rsidRDefault="00B02873" w:rsidP="002B3315">
      <w:pPr>
        <w:pStyle w:val="Bullet1Listslast"/>
      </w:pPr>
      <w:r>
        <w:t>Non-financial physical assets classified as held for sale (refer to Note 5.2)</w:t>
      </w:r>
    </w:p>
    <w:p w14:paraId="10056D1E" w14:textId="77777777" w:rsidR="00B02873" w:rsidRDefault="00B02873" w:rsidP="00FE198A">
      <w:r>
        <w:t xml:space="preserve">In addition, the fair values of other assets and liabilities which are carried at amortised cost, also need to be determined for disclosure purposes. </w:t>
      </w:r>
    </w:p>
    <w:p w14:paraId="3B37CEAC" w14:textId="5EF30C53" w:rsidR="00B02873" w:rsidRDefault="00B02873" w:rsidP="00FE198A">
      <w:r>
        <w:t>The department determines the policies and procedures for determining fair values for both financial and non-financial assets and liabilities as required.</w:t>
      </w:r>
    </w:p>
    <w:p w14:paraId="67006DDB" w14:textId="77777777" w:rsidR="00B02873" w:rsidRDefault="00B02873" w:rsidP="002B3315">
      <w:pPr>
        <w:pStyle w:val="Heading4"/>
      </w:pPr>
      <w:r>
        <w:t>Fair value hierarchy</w:t>
      </w:r>
    </w:p>
    <w:p w14:paraId="16834E71" w14:textId="77777777" w:rsidR="00B02873" w:rsidRDefault="00B02873" w:rsidP="002B3315">
      <w:pPr>
        <w:pStyle w:val="Normalbeforebullet"/>
      </w:pPr>
      <w:r>
        <w:t>In determining fair values, a number of inputs are used. To increase consistency and comparability in the financial statements, these inputs are categorised into three levels, also known as the fair value hierarchy. The levels are as follows:</w:t>
      </w:r>
    </w:p>
    <w:p w14:paraId="4664FD66" w14:textId="77777777" w:rsidR="00B02873" w:rsidRDefault="00B02873" w:rsidP="00B02873">
      <w:pPr>
        <w:pStyle w:val="Bullet1Lists"/>
      </w:pPr>
      <w:r>
        <w:t>Level 1 – Quoted (unadjusted) market prices in active markets for identical assets or liabilities</w:t>
      </w:r>
    </w:p>
    <w:p w14:paraId="2B59FC4F" w14:textId="77777777" w:rsidR="00B02873" w:rsidRDefault="00B02873" w:rsidP="00B02873">
      <w:pPr>
        <w:pStyle w:val="Bullet1Lists"/>
      </w:pPr>
      <w:r>
        <w:t>Level 2 – Valuation techniques for which the lowest level input that is significant to the fair value measurement is directly or indirectly observable</w:t>
      </w:r>
    </w:p>
    <w:p w14:paraId="36313CC4" w14:textId="77777777" w:rsidR="00B02873" w:rsidRDefault="00B02873" w:rsidP="002B3315">
      <w:pPr>
        <w:pStyle w:val="Bullet1Listslast"/>
      </w:pPr>
      <w:r>
        <w:t>Level 3 – Valuation techniques for which the lowest level input that is significant to the fair value measurement is unobservable.</w:t>
      </w:r>
    </w:p>
    <w:p w14:paraId="19F4EB6B" w14:textId="77777777" w:rsidR="00B02873" w:rsidRDefault="00B02873" w:rsidP="00FE198A">
      <w:r>
        <w:rPr>
          <w:spacing w:val="-1"/>
        </w:rPr>
        <w:t>The department determines whether transfers have occurred between levels in the hierarchy by reassessing categorisation (based on the lowest level input that is significant to the fair value measurement as a whole) at the end of each financial year.</w:t>
      </w:r>
    </w:p>
    <w:p w14:paraId="63F834E5" w14:textId="77777777" w:rsidR="00B02873" w:rsidRDefault="00B02873" w:rsidP="002B3315">
      <w:pPr>
        <w:pStyle w:val="Heading4"/>
      </w:pPr>
      <w:r>
        <w:lastRenderedPageBreak/>
        <w:t>How fair value disclosures are structured</w:t>
      </w:r>
    </w:p>
    <w:p w14:paraId="44122AE7" w14:textId="77777777" w:rsidR="00B02873" w:rsidRDefault="00B02873" w:rsidP="002B3315">
      <w:pPr>
        <w:pStyle w:val="Normalbeforebullet"/>
      </w:pPr>
      <w:r>
        <w:t>For those assets and liabilities for which fair values are determined, the following disclosures are provided:</w:t>
      </w:r>
    </w:p>
    <w:p w14:paraId="0804C779" w14:textId="77777777" w:rsidR="00B02873" w:rsidRDefault="00B02873" w:rsidP="002B3315">
      <w:pPr>
        <w:pStyle w:val="Bullet1Lists"/>
        <w:keepNext/>
      </w:pPr>
      <w:r>
        <w:rPr>
          <w:spacing w:val="-2"/>
        </w:rPr>
        <w:t>carrying amount and the fair value (which would be the same for those assets measured at fair value)</w:t>
      </w:r>
    </w:p>
    <w:p w14:paraId="3A65217C" w14:textId="77777777" w:rsidR="00B02873" w:rsidRDefault="00B02873" w:rsidP="00B02873">
      <w:pPr>
        <w:pStyle w:val="Bullet1Lists"/>
      </w:pPr>
      <w:r>
        <w:t>which level of the fair value hierarchy was used to determine the fair value:</w:t>
      </w:r>
    </w:p>
    <w:p w14:paraId="54C2522F" w14:textId="77777777" w:rsidR="00B02873" w:rsidRDefault="00B02873" w:rsidP="002B3315">
      <w:pPr>
        <w:pStyle w:val="Bullet2Lists"/>
      </w:pPr>
      <w:r>
        <w:t>in respect of those assets and liabilities subject to fair value determination using Level 3 inputs:</w:t>
      </w:r>
    </w:p>
    <w:p w14:paraId="3DD7C17F" w14:textId="77777777" w:rsidR="00B02873" w:rsidRDefault="00B02873" w:rsidP="002B3315">
      <w:pPr>
        <w:pStyle w:val="Bullet2Lists"/>
      </w:pPr>
      <w:r>
        <w:t>a reconciliation of the movements in fair values from the beginning of the year to the end</w:t>
      </w:r>
    </w:p>
    <w:p w14:paraId="1926F89C" w14:textId="574BE8E5" w:rsidR="00B02873" w:rsidRDefault="00B02873" w:rsidP="002B3315">
      <w:pPr>
        <w:pStyle w:val="Bullet2Lists"/>
        <w:spacing w:after="200"/>
      </w:pPr>
      <w:r>
        <w:t xml:space="preserve">details of significant unobservable inputs used in the fair value determination. </w:t>
      </w:r>
    </w:p>
    <w:p w14:paraId="071C397D" w14:textId="1E5DD073" w:rsidR="00B02873" w:rsidRDefault="00B02873" w:rsidP="00FE198A">
      <w:r>
        <w:t>This is divided between disclosures in connection with fair value determination for financial assets and liabilities (refer to Note 8.3.1 and Note 6.2) and non-financial physical assets (refer to Note 5.1.3 and Note 5.2.1).</w:t>
      </w:r>
    </w:p>
    <w:p w14:paraId="60D62874" w14:textId="77777777" w:rsidR="00B02873" w:rsidRDefault="00B02873" w:rsidP="002B3315">
      <w:pPr>
        <w:pStyle w:val="Heading4"/>
      </w:pPr>
      <w:r>
        <w:t xml:space="preserve">8.3.1 Fair value determination of financial assets and liabilities </w:t>
      </w:r>
    </w:p>
    <w:p w14:paraId="12DAE540" w14:textId="10128746" w:rsidR="00B02873" w:rsidRDefault="00B02873" w:rsidP="00FE198A">
      <w:r>
        <w:t>The fair value of the financial assets and liabilities is included at the amount at which the instrument could be exchanged in a current transaction between willing parties, other than in a forced or liquidation sale.</w:t>
      </w:r>
    </w:p>
    <w:p w14:paraId="72998C6F" w14:textId="31DC4473" w:rsidR="00B02873" w:rsidRDefault="00B02873" w:rsidP="002B3315">
      <w:pPr>
        <w:pStyle w:val="Normalbeforebullet"/>
      </w:pPr>
      <w:r>
        <w:t>The fair values and net fair values of financial instrument assets and liabilities are determined as follows:</w:t>
      </w:r>
    </w:p>
    <w:p w14:paraId="07AD6368" w14:textId="15DB772C" w:rsidR="00B02873" w:rsidRDefault="00B02873" w:rsidP="00B02873">
      <w:pPr>
        <w:pStyle w:val="Bullet1Lists"/>
      </w:pPr>
      <w:r>
        <w:t>Level 1 – the fair value of financial instrument with standard terms and conditions and traded</w:t>
      </w:r>
      <w:r w:rsidR="002B3315">
        <w:t xml:space="preserve"> </w:t>
      </w:r>
      <w:r>
        <w:t>in active liquid markets are determined with reference to quoted market prices</w:t>
      </w:r>
    </w:p>
    <w:p w14:paraId="21CB419C" w14:textId="1F77961F" w:rsidR="00B02873" w:rsidRDefault="00B02873" w:rsidP="00B02873">
      <w:pPr>
        <w:pStyle w:val="Bullet1Lists"/>
      </w:pPr>
      <w:r>
        <w:t>Level 2 – the fair value is determined using inputs other than quoted prices that are observable for the financial asset or liability, either directly or indirectly</w:t>
      </w:r>
    </w:p>
    <w:p w14:paraId="0DA0B353" w14:textId="77777777" w:rsidR="00B02873" w:rsidRDefault="00B02873" w:rsidP="002B3315">
      <w:pPr>
        <w:pStyle w:val="Bullet1Listslast"/>
      </w:pPr>
      <w:r>
        <w:t>Level 3 – the fair value is determined in accordance with generally accepted pricing models based on discounted cash flow analysis using unobservable market inputs.</w:t>
      </w:r>
    </w:p>
    <w:p w14:paraId="690C2CB9" w14:textId="77777777" w:rsidR="00B02873" w:rsidRDefault="00B02873" w:rsidP="002B3315">
      <w:pPr>
        <w:pStyle w:val="Normalbeforebullet"/>
      </w:pPr>
      <w:r>
        <w:t>The department currently holds a range of financial instruments that are recorded in the financial statements where the carrying amounts approximate to fair value, due to their short-term nature or with the expectation that they will be paid in full by the end of the 2022-23 reporting period. These financial instruments include:</w:t>
      </w:r>
    </w:p>
    <w:tbl>
      <w:tblPr>
        <w:tblStyle w:val="TableGrid"/>
        <w:tblW w:w="0" w:type="auto"/>
        <w:tblLayout w:type="fixed"/>
        <w:tblLook w:val="0020" w:firstRow="1" w:lastRow="0" w:firstColumn="0" w:lastColumn="0" w:noHBand="0" w:noVBand="0"/>
      </w:tblPr>
      <w:tblGrid>
        <w:gridCol w:w="2689"/>
        <w:gridCol w:w="2835"/>
      </w:tblGrid>
      <w:tr w:rsidR="00B02873" w:rsidRPr="00B02873" w14:paraId="6FC39E6B" w14:textId="77777777" w:rsidTr="00BB035C">
        <w:trPr>
          <w:cnfStyle w:val="100000000000" w:firstRow="1" w:lastRow="0" w:firstColumn="0" w:lastColumn="0" w:oddVBand="0" w:evenVBand="0" w:oddHBand="0" w:evenHBand="0" w:firstRowFirstColumn="0" w:firstRowLastColumn="0" w:lastRowFirstColumn="0" w:lastRowLastColumn="0"/>
          <w:trHeight w:val="60"/>
        </w:trPr>
        <w:tc>
          <w:tcPr>
            <w:tcW w:w="2689" w:type="dxa"/>
          </w:tcPr>
          <w:p w14:paraId="131CB08B" w14:textId="77777777" w:rsidR="00B02873" w:rsidRDefault="00B02873" w:rsidP="002B3315">
            <w:pPr>
              <w:pStyle w:val="TableheadingleftTables"/>
            </w:pPr>
            <w:r>
              <w:t>Financial assets</w:t>
            </w:r>
          </w:p>
        </w:tc>
        <w:tc>
          <w:tcPr>
            <w:tcW w:w="2835" w:type="dxa"/>
          </w:tcPr>
          <w:p w14:paraId="4EAD7739" w14:textId="77777777" w:rsidR="00B02873" w:rsidRDefault="00B02873" w:rsidP="002B3315">
            <w:pPr>
              <w:pStyle w:val="TableheadingleftTables"/>
            </w:pPr>
            <w:r>
              <w:t>Financial liabilities</w:t>
            </w:r>
          </w:p>
        </w:tc>
      </w:tr>
      <w:tr w:rsidR="00B02873" w:rsidRPr="00B02873" w14:paraId="0484ED8A" w14:textId="77777777" w:rsidTr="00BB035C">
        <w:trPr>
          <w:trHeight w:val="60"/>
        </w:trPr>
        <w:tc>
          <w:tcPr>
            <w:tcW w:w="2689" w:type="dxa"/>
          </w:tcPr>
          <w:p w14:paraId="3EA17179" w14:textId="77777777" w:rsidR="00B02873" w:rsidRDefault="00B02873" w:rsidP="002B3315">
            <w:pPr>
              <w:pStyle w:val="TablebodyleftTables"/>
            </w:pPr>
            <w:r>
              <w:t xml:space="preserve">Cash and deposits </w:t>
            </w:r>
          </w:p>
          <w:p w14:paraId="528AF983" w14:textId="77777777" w:rsidR="00B02873" w:rsidRDefault="00B02873" w:rsidP="002B3315">
            <w:pPr>
              <w:pStyle w:val="TablebodyleftTables"/>
            </w:pPr>
            <w:r>
              <w:t>Receivables</w:t>
            </w:r>
          </w:p>
          <w:p w14:paraId="3892E62A" w14:textId="7078B0AB" w:rsidR="00B02873" w:rsidRDefault="00B02873" w:rsidP="002B3315">
            <w:pPr>
              <w:pStyle w:val="TableBulletleftTables"/>
            </w:pPr>
            <w:r>
              <w:t>Trade receivables</w:t>
            </w:r>
          </w:p>
        </w:tc>
        <w:tc>
          <w:tcPr>
            <w:tcW w:w="2835" w:type="dxa"/>
          </w:tcPr>
          <w:p w14:paraId="7694AF59" w14:textId="77777777" w:rsidR="00B02873" w:rsidRDefault="00B02873" w:rsidP="002B3315">
            <w:pPr>
              <w:pStyle w:val="TablebodyleftTables"/>
            </w:pPr>
            <w:r>
              <w:t>Payables</w:t>
            </w:r>
          </w:p>
          <w:p w14:paraId="4117DE38" w14:textId="6B12633A" w:rsidR="00B02873" w:rsidRDefault="00B02873" w:rsidP="002B3315">
            <w:pPr>
              <w:pStyle w:val="TableBulletleftTables"/>
            </w:pPr>
            <w:r>
              <w:t>Trade creditors</w:t>
            </w:r>
          </w:p>
          <w:p w14:paraId="4BB4F1F8" w14:textId="052857C1" w:rsidR="00B02873" w:rsidRDefault="00B02873" w:rsidP="002B3315">
            <w:pPr>
              <w:pStyle w:val="TableBulletleftTables"/>
            </w:pPr>
            <w:r>
              <w:t>Accrued grants and other transfers</w:t>
            </w:r>
          </w:p>
          <w:p w14:paraId="77B398F2" w14:textId="655BDDAC" w:rsidR="00B02873" w:rsidRDefault="00B02873" w:rsidP="002B3315">
            <w:pPr>
              <w:pStyle w:val="TableBulletleftTables"/>
            </w:pPr>
            <w:r>
              <w:t>Capital accruals</w:t>
            </w:r>
          </w:p>
          <w:p w14:paraId="3FFF84A9" w14:textId="7FDFD32A" w:rsidR="00B02873" w:rsidRDefault="00B02873" w:rsidP="002B3315">
            <w:pPr>
              <w:pStyle w:val="TableBulletleftTables"/>
              <w:spacing w:after="200"/>
            </w:pPr>
            <w:r>
              <w:t>Other payables and accrued expenses</w:t>
            </w:r>
          </w:p>
          <w:p w14:paraId="48910DE7" w14:textId="48B4E56C" w:rsidR="00B02873" w:rsidRDefault="00B02873" w:rsidP="002B3315">
            <w:pPr>
              <w:pStyle w:val="TablebodyleftTables"/>
            </w:pPr>
            <w:r>
              <w:t>Borrowings</w:t>
            </w:r>
          </w:p>
          <w:p w14:paraId="7FCF2DD5" w14:textId="1F77A6BC" w:rsidR="00B02873" w:rsidRDefault="00B02873" w:rsidP="002B3315">
            <w:pPr>
              <w:pStyle w:val="TableBulletleftTables"/>
              <w:spacing w:after="200"/>
            </w:pPr>
            <w:r>
              <w:t>Lease liabilities</w:t>
            </w:r>
          </w:p>
          <w:p w14:paraId="4A1E3931" w14:textId="1D663CF7" w:rsidR="00B02873" w:rsidRDefault="00B02873" w:rsidP="002B3315">
            <w:pPr>
              <w:pStyle w:val="TablebodyleftTables"/>
            </w:pPr>
            <w:r>
              <w:t>Other liabilities</w:t>
            </w:r>
          </w:p>
        </w:tc>
      </w:tr>
    </w:tbl>
    <w:p w14:paraId="7A996759" w14:textId="77777777" w:rsidR="00B02873" w:rsidRDefault="00B02873" w:rsidP="00FE198A"/>
    <w:p w14:paraId="6A1EC594" w14:textId="77777777" w:rsidR="00B02873" w:rsidRDefault="00B02873" w:rsidP="00E034AA">
      <w:pPr>
        <w:pStyle w:val="Heading2Headings"/>
      </w:pPr>
      <w:bookmarkStart w:id="74" w:name="Note_9"/>
      <w:r>
        <w:lastRenderedPageBreak/>
        <w:t>Note 9</w:t>
      </w:r>
      <w:bookmarkEnd w:id="74"/>
      <w:r>
        <w:t>. Other disclosures</w:t>
      </w:r>
    </w:p>
    <w:p w14:paraId="398EAF89" w14:textId="77777777" w:rsidR="00B02873" w:rsidRDefault="00B02873" w:rsidP="002B3315">
      <w:pPr>
        <w:pStyle w:val="Heading3"/>
      </w:pPr>
      <w:r>
        <w:t>Introduction</w:t>
      </w:r>
    </w:p>
    <w:p w14:paraId="31F0DC68" w14:textId="77777777" w:rsidR="00B02873" w:rsidRDefault="00B02873" w:rsidP="00FE198A">
      <w:r>
        <w:t>This section includes additional material disclosures required by accounting standards or otherwise, for the understanding of this financial report.</w:t>
      </w:r>
    </w:p>
    <w:p w14:paraId="5A282CAC" w14:textId="77777777" w:rsidR="00B02873" w:rsidRDefault="00B02873" w:rsidP="002B3315">
      <w:pPr>
        <w:pStyle w:val="Heading3"/>
      </w:pPr>
      <w:r>
        <w:t>Structure</w:t>
      </w:r>
    </w:p>
    <w:p w14:paraId="5246B127" w14:textId="77777777" w:rsidR="00B02873" w:rsidRDefault="00B02873" w:rsidP="002B3315">
      <w:r>
        <w:t>9.1</w:t>
      </w:r>
      <w:r>
        <w:tab/>
        <w:t>Ex-gratia expenses</w:t>
      </w:r>
    </w:p>
    <w:p w14:paraId="7D071841" w14:textId="77777777" w:rsidR="00B02873" w:rsidRDefault="00B02873" w:rsidP="002B3315">
      <w:r>
        <w:t>9.2</w:t>
      </w:r>
      <w:r>
        <w:tab/>
        <w:t>Other economic flows included in net result</w:t>
      </w:r>
    </w:p>
    <w:p w14:paraId="143A75D2" w14:textId="77777777" w:rsidR="00B02873" w:rsidRDefault="00B02873" w:rsidP="002B3315">
      <w:r>
        <w:t>9.3</w:t>
      </w:r>
      <w:r>
        <w:tab/>
        <w:t>Equity</w:t>
      </w:r>
    </w:p>
    <w:p w14:paraId="21C6A4AD" w14:textId="605A00DD" w:rsidR="00B02873" w:rsidRDefault="00B02873" w:rsidP="002B3315">
      <w:r>
        <w:tab/>
        <w:t>9.3.1</w:t>
      </w:r>
      <w:r>
        <w:tab/>
        <w:t>Physical asset revaluation surplus</w:t>
      </w:r>
    </w:p>
    <w:p w14:paraId="5CA83AD7" w14:textId="6CBF55A3" w:rsidR="00B02873" w:rsidRDefault="00B02873" w:rsidP="002B3315">
      <w:r>
        <w:tab/>
        <w:t xml:space="preserve">9.3. </w:t>
      </w:r>
      <w:r>
        <w:tab/>
        <w:t>Capital contributions transferred</w:t>
      </w:r>
      <w:r w:rsidR="00062E53">
        <w:t xml:space="preserve"> </w:t>
      </w:r>
      <w:r>
        <w:t xml:space="preserve">to portfolio entities </w:t>
      </w:r>
    </w:p>
    <w:p w14:paraId="3CE63A93" w14:textId="77777777" w:rsidR="00B02873" w:rsidRDefault="00B02873" w:rsidP="002B3315">
      <w:r>
        <w:t>9.4</w:t>
      </w:r>
      <w:r>
        <w:tab/>
        <w:t xml:space="preserve">Subsequent events </w:t>
      </w:r>
    </w:p>
    <w:p w14:paraId="6761E587" w14:textId="77777777" w:rsidR="00B02873" w:rsidRDefault="00B02873" w:rsidP="002B3315">
      <w:r>
        <w:t>9.5</w:t>
      </w:r>
      <w:r>
        <w:tab/>
        <w:t>Responsible persons</w:t>
      </w:r>
    </w:p>
    <w:p w14:paraId="31AF5ADD" w14:textId="77777777" w:rsidR="00B02873" w:rsidRDefault="00B02873" w:rsidP="002B3315">
      <w:r>
        <w:t>9.6</w:t>
      </w:r>
      <w:r>
        <w:tab/>
        <w:t>Remuneration of executive officers</w:t>
      </w:r>
    </w:p>
    <w:p w14:paraId="2F3D9C90" w14:textId="77777777" w:rsidR="00B02873" w:rsidRDefault="00B02873" w:rsidP="002B3315">
      <w:r>
        <w:t>9.7</w:t>
      </w:r>
      <w:r>
        <w:tab/>
        <w:t>Remuneration of auditors</w:t>
      </w:r>
    </w:p>
    <w:p w14:paraId="69AC16B4" w14:textId="77777777" w:rsidR="00B02873" w:rsidRDefault="00B02873" w:rsidP="002B3315">
      <w:r>
        <w:t>9.8</w:t>
      </w:r>
      <w:r>
        <w:tab/>
        <w:t>Related parties</w:t>
      </w:r>
    </w:p>
    <w:p w14:paraId="09EFE1CB" w14:textId="77777777" w:rsidR="00B02873" w:rsidRDefault="00B02873" w:rsidP="002B3315">
      <w:r>
        <w:t>9.9</w:t>
      </w:r>
      <w:r>
        <w:tab/>
        <w:t xml:space="preserve">Other accounting policies </w:t>
      </w:r>
    </w:p>
    <w:p w14:paraId="52B5D986" w14:textId="77777777" w:rsidR="00B02873" w:rsidRDefault="00B02873" w:rsidP="002B3315">
      <w:r>
        <w:t>9.10</w:t>
      </w:r>
      <w:r>
        <w:tab/>
        <w:t xml:space="preserve">Australian Accounting Standards issued that are not yet effective </w:t>
      </w:r>
    </w:p>
    <w:p w14:paraId="2566CD09" w14:textId="77777777" w:rsidR="00B02873" w:rsidRDefault="00B02873" w:rsidP="002B3315">
      <w:r>
        <w:t>9.11</w:t>
      </w:r>
      <w:r>
        <w:tab/>
        <w:t>Style conventions</w:t>
      </w:r>
    </w:p>
    <w:p w14:paraId="73D4A690" w14:textId="77777777" w:rsidR="00B02873" w:rsidRDefault="00B02873" w:rsidP="002B3315">
      <w:r>
        <w:t>9.12</w:t>
      </w:r>
      <w:r>
        <w:tab/>
        <w:t>Glossary of technical terms</w:t>
      </w:r>
    </w:p>
    <w:p w14:paraId="4006C96A" w14:textId="77777777" w:rsidR="00B02873" w:rsidRDefault="00B02873" w:rsidP="00062E53">
      <w:pPr>
        <w:pStyle w:val="Heading3"/>
      </w:pPr>
      <w:bookmarkStart w:id="75" w:name="_Ref116975591"/>
      <w:r>
        <w:t>9.1 Ex gratia expenses</w:t>
      </w:r>
      <w:bookmarkEnd w:id="75"/>
    </w:p>
    <w:p w14:paraId="5F69BEF3" w14:textId="77777777" w:rsidR="00B02873" w:rsidRDefault="00B02873" w:rsidP="00FE198A">
      <w:r>
        <w:t xml:space="preserve">The department made no ex gratia payments during 2021-22 or 2020-21. </w:t>
      </w:r>
    </w:p>
    <w:p w14:paraId="76CF4924" w14:textId="77777777" w:rsidR="00B02873" w:rsidRDefault="00B02873" w:rsidP="00062E53">
      <w:pPr>
        <w:pStyle w:val="Heading3"/>
      </w:pPr>
      <w:r>
        <w:t>9.2 Other economic flows included in net result</w:t>
      </w:r>
    </w:p>
    <w:p w14:paraId="0935D441" w14:textId="03454A60" w:rsidR="00B02873" w:rsidRDefault="00B02873" w:rsidP="00062E53">
      <w:pPr>
        <w:pStyle w:val="Normalbeforebullet"/>
      </w:pPr>
      <w:r>
        <w:t>Other economic flows are changes in the volume or value of an asset or liability that do not result from transactions. Other gains/(losses) from other economic flows include the gains or losses from:</w:t>
      </w:r>
    </w:p>
    <w:p w14:paraId="711C83EC" w14:textId="77777777" w:rsidR="00B02873" w:rsidRDefault="00B02873" w:rsidP="00B02873">
      <w:pPr>
        <w:pStyle w:val="Bullet1Lists"/>
      </w:pPr>
      <w:r>
        <w:t>disposals of financial assets and derecognition of financial liabilities</w:t>
      </w:r>
    </w:p>
    <w:p w14:paraId="6DFDEB6B" w14:textId="77777777" w:rsidR="00B02873" w:rsidRDefault="00B02873" w:rsidP="00B02873">
      <w:pPr>
        <w:pStyle w:val="Bullet1Lists"/>
      </w:pPr>
      <w:r>
        <w:t>realised and unrealised gains and losses from revaluations of financial instruments at fair value</w:t>
      </w:r>
    </w:p>
    <w:p w14:paraId="413D5D49" w14:textId="77777777" w:rsidR="00B02873" w:rsidRDefault="00B02873" w:rsidP="00B02873">
      <w:pPr>
        <w:pStyle w:val="Bullet1Lists"/>
      </w:pPr>
      <w:r>
        <w:rPr>
          <w:spacing w:val="-2"/>
        </w:rPr>
        <w:t>the revaluation of the present value of the long service leave liability due to changes in the bond interest rates</w:t>
      </w:r>
    </w:p>
    <w:p w14:paraId="6A308545" w14:textId="77777777" w:rsidR="00B02873" w:rsidRDefault="00B02873" w:rsidP="00062E53">
      <w:pPr>
        <w:pStyle w:val="Bullet1Listslast"/>
      </w:pPr>
      <w:r>
        <w:t>re-measurement of other provisions.</w:t>
      </w:r>
    </w:p>
    <w:tbl>
      <w:tblPr>
        <w:tblStyle w:val="TableGrid"/>
        <w:tblW w:w="0" w:type="auto"/>
        <w:tblLayout w:type="fixed"/>
        <w:tblLook w:val="0020" w:firstRow="1" w:lastRow="0" w:firstColumn="0" w:lastColumn="0" w:noHBand="0" w:noVBand="0"/>
      </w:tblPr>
      <w:tblGrid>
        <w:gridCol w:w="7257"/>
        <w:gridCol w:w="1190"/>
        <w:gridCol w:w="1191"/>
      </w:tblGrid>
      <w:tr w:rsidR="00B02873" w:rsidRPr="00B02873" w14:paraId="38A87770" w14:textId="77777777" w:rsidTr="00062E53">
        <w:trPr>
          <w:cnfStyle w:val="100000000000" w:firstRow="1" w:lastRow="0" w:firstColumn="0" w:lastColumn="0" w:oddVBand="0" w:evenVBand="0" w:oddHBand="0" w:evenHBand="0" w:firstRowFirstColumn="0" w:firstRowLastColumn="0" w:lastRowFirstColumn="0" w:lastRowLastColumn="0"/>
          <w:trHeight w:val="60"/>
        </w:trPr>
        <w:tc>
          <w:tcPr>
            <w:tcW w:w="7257" w:type="dxa"/>
          </w:tcPr>
          <w:p w14:paraId="62759A68" w14:textId="77777777" w:rsidR="00B02873" w:rsidRPr="00B02873" w:rsidRDefault="00B02873" w:rsidP="00062E53">
            <w:pPr>
              <w:pStyle w:val="TableheadingleftFinancialsTables"/>
            </w:pPr>
          </w:p>
        </w:tc>
        <w:tc>
          <w:tcPr>
            <w:tcW w:w="1190" w:type="dxa"/>
          </w:tcPr>
          <w:p w14:paraId="54B168AA" w14:textId="77777777" w:rsidR="00B02873" w:rsidRPr="00062E53" w:rsidRDefault="00B02873" w:rsidP="00062E53">
            <w:pPr>
              <w:pStyle w:val="TableheadingleftFinancialsTables"/>
              <w:jc w:val="right"/>
            </w:pPr>
            <w:r w:rsidRPr="00062E53">
              <w:t>2022</w:t>
            </w:r>
            <w:r w:rsidRPr="00062E53">
              <w:br/>
              <w:t>$’000</w:t>
            </w:r>
          </w:p>
        </w:tc>
        <w:tc>
          <w:tcPr>
            <w:tcW w:w="1191" w:type="dxa"/>
          </w:tcPr>
          <w:p w14:paraId="35091647" w14:textId="77777777" w:rsidR="00B02873" w:rsidRDefault="00B02873" w:rsidP="00062E53">
            <w:pPr>
              <w:pStyle w:val="TableheadingleftFinancialsTables"/>
              <w:jc w:val="right"/>
            </w:pPr>
            <w:r>
              <w:t>2021</w:t>
            </w:r>
            <w:r>
              <w:br/>
              <w:t>$’000</w:t>
            </w:r>
          </w:p>
        </w:tc>
      </w:tr>
      <w:tr w:rsidR="00B02873" w:rsidRPr="00B02873" w14:paraId="2DB04F4B" w14:textId="77777777" w:rsidTr="00062E53">
        <w:trPr>
          <w:trHeight w:val="60"/>
        </w:trPr>
        <w:tc>
          <w:tcPr>
            <w:tcW w:w="7257" w:type="dxa"/>
          </w:tcPr>
          <w:p w14:paraId="31FACEC4" w14:textId="78A78B85" w:rsidR="00B02873" w:rsidRPr="00062E53" w:rsidRDefault="00B02873" w:rsidP="00062E53">
            <w:pPr>
              <w:pStyle w:val="TablebodyleftFinancialsTables"/>
              <w:keepNext/>
              <w:rPr>
                <w:b/>
                <w:bCs/>
              </w:rPr>
            </w:pPr>
            <w:r w:rsidRPr="00062E53">
              <w:rPr>
                <w:b/>
                <w:bCs/>
              </w:rPr>
              <w:t>Net gain/(loss) on non-financial assets</w:t>
            </w:r>
            <w:r w:rsidR="00012C04" w:rsidRPr="00062E53">
              <w:rPr>
                <w:b/>
                <w:bCs/>
              </w:rPr>
              <w:t xml:space="preserve"> </w:t>
            </w:r>
          </w:p>
        </w:tc>
        <w:tc>
          <w:tcPr>
            <w:tcW w:w="1190" w:type="dxa"/>
          </w:tcPr>
          <w:p w14:paraId="7DDB0F30" w14:textId="77777777" w:rsidR="00B02873" w:rsidRPr="00062E53" w:rsidRDefault="00B02873" w:rsidP="00062E53">
            <w:pPr>
              <w:pStyle w:val="TablebodyleftFinancialsTables"/>
              <w:keepNext/>
              <w:jc w:val="right"/>
              <w:rPr>
                <w:rFonts w:ascii="VIC Bold Italic" w:hAnsi="VIC Bold Italic" w:cs="Times New Roman"/>
                <w:b/>
                <w:bCs/>
              </w:rPr>
            </w:pPr>
          </w:p>
        </w:tc>
        <w:tc>
          <w:tcPr>
            <w:tcW w:w="1191" w:type="dxa"/>
          </w:tcPr>
          <w:p w14:paraId="57E2AA68" w14:textId="77777777" w:rsidR="00B02873" w:rsidRPr="00B02873" w:rsidRDefault="00B02873" w:rsidP="00062E53">
            <w:pPr>
              <w:pStyle w:val="TablebodyleftFinancialsTables"/>
              <w:keepNext/>
              <w:jc w:val="right"/>
              <w:rPr>
                <w:rFonts w:ascii="VIC Bold Italic" w:hAnsi="VIC Bold Italic" w:cs="Times New Roman"/>
              </w:rPr>
            </w:pPr>
          </w:p>
        </w:tc>
      </w:tr>
      <w:tr w:rsidR="00B02873" w:rsidRPr="00B02873" w14:paraId="7D50F0A0" w14:textId="77777777" w:rsidTr="00062E53">
        <w:trPr>
          <w:trHeight w:val="60"/>
        </w:trPr>
        <w:tc>
          <w:tcPr>
            <w:tcW w:w="7257" w:type="dxa"/>
          </w:tcPr>
          <w:p w14:paraId="5FDEBF38" w14:textId="77777777" w:rsidR="00B02873" w:rsidRDefault="00B02873" w:rsidP="00062E53">
            <w:pPr>
              <w:pStyle w:val="TablebodyleftFinancialsTables"/>
              <w:keepNext/>
            </w:pPr>
            <w:r>
              <w:t>Net gain/(loss) on disposal of property, plant and equipment and large scale generation certificates held for sale</w:t>
            </w:r>
          </w:p>
        </w:tc>
        <w:tc>
          <w:tcPr>
            <w:tcW w:w="1190" w:type="dxa"/>
          </w:tcPr>
          <w:p w14:paraId="7F5AB26A" w14:textId="77777777" w:rsidR="00B02873" w:rsidRPr="00062E53" w:rsidRDefault="00B02873" w:rsidP="00062E53">
            <w:pPr>
              <w:pStyle w:val="TablebodyleftFinancialsTables"/>
              <w:keepNext/>
              <w:jc w:val="right"/>
              <w:rPr>
                <w:b/>
                <w:bCs/>
              </w:rPr>
            </w:pPr>
            <w:r w:rsidRPr="00062E53">
              <w:rPr>
                <w:b/>
                <w:bCs/>
              </w:rPr>
              <w:t>3,925</w:t>
            </w:r>
          </w:p>
        </w:tc>
        <w:tc>
          <w:tcPr>
            <w:tcW w:w="1191" w:type="dxa"/>
          </w:tcPr>
          <w:p w14:paraId="557B7C00" w14:textId="77777777" w:rsidR="00B02873" w:rsidRDefault="00B02873" w:rsidP="00062E53">
            <w:pPr>
              <w:pStyle w:val="TablebodyleftFinancialsTables"/>
              <w:keepNext/>
              <w:jc w:val="right"/>
            </w:pPr>
            <w:r>
              <w:t>(3,762)</w:t>
            </w:r>
          </w:p>
        </w:tc>
      </w:tr>
      <w:tr w:rsidR="00B02873" w:rsidRPr="00B02873" w14:paraId="613F6D24" w14:textId="77777777" w:rsidTr="00062E53">
        <w:trPr>
          <w:trHeight w:val="60"/>
        </w:trPr>
        <w:tc>
          <w:tcPr>
            <w:tcW w:w="7257" w:type="dxa"/>
          </w:tcPr>
          <w:p w14:paraId="252C2828" w14:textId="77777777" w:rsidR="00B02873" w:rsidRDefault="00B02873" w:rsidP="00062E53">
            <w:pPr>
              <w:pStyle w:val="TablebodyleftFinancialsTables"/>
            </w:pPr>
            <w:r>
              <w:t xml:space="preserve">Net recognition of non-financial assets </w:t>
            </w:r>
          </w:p>
        </w:tc>
        <w:tc>
          <w:tcPr>
            <w:tcW w:w="1190" w:type="dxa"/>
          </w:tcPr>
          <w:p w14:paraId="2A0D4E17" w14:textId="77777777" w:rsidR="00B02873" w:rsidRPr="00062E53" w:rsidRDefault="00B02873" w:rsidP="00062E53">
            <w:pPr>
              <w:pStyle w:val="TablebodyleftFinancialsTables"/>
              <w:jc w:val="right"/>
              <w:rPr>
                <w:b/>
                <w:bCs/>
              </w:rPr>
            </w:pPr>
            <w:r w:rsidRPr="00062E53">
              <w:rPr>
                <w:b/>
                <w:bCs/>
              </w:rPr>
              <w:t>90,745</w:t>
            </w:r>
          </w:p>
        </w:tc>
        <w:tc>
          <w:tcPr>
            <w:tcW w:w="1191" w:type="dxa"/>
          </w:tcPr>
          <w:p w14:paraId="5B798DBD" w14:textId="77777777" w:rsidR="00B02873" w:rsidRDefault="00B02873" w:rsidP="00062E53">
            <w:pPr>
              <w:pStyle w:val="TablebodyleftFinancialsTables"/>
              <w:jc w:val="right"/>
            </w:pPr>
            <w:r>
              <w:t>879,748</w:t>
            </w:r>
          </w:p>
        </w:tc>
      </w:tr>
      <w:tr w:rsidR="00B02873" w:rsidRPr="00B02873" w14:paraId="1B027BD7" w14:textId="77777777" w:rsidTr="00062E53">
        <w:trPr>
          <w:trHeight w:val="60"/>
        </w:trPr>
        <w:tc>
          <w:tcPr>
            <w:tcW w:w="7257" w:type="dxa"/>
          </w:tcPr>
          <w:p w14:paraId="594AE3FB" w14:textId="77777777" w:rsidR="00B02873" w:rsidRDefault="00B02873" w:rsidP="00062E53">
            <w:pPr>
              <w:pStyle w:val="TablebodyleftFinancialsTables"/>
            </w:pPr>
            <w:r>
              <w:t>Write-down of property, plant and equipment and intangible assets</w:t>
            </w:r>
          </w:p>
        </w:tc>
        <w:tc>
          <w:tcPr>
            <w:tcW w:w="1190" w:type="dxa"/>
          </w:tcPr>
          <w:p w14:paraId="2918EF39" w14:textId="77777777" w:rsidR="00B02873" w:rsidRPr="00062E53" w:rsidRDefault="00B02873" w:rsidP="00062E53">
            <w:pPr>
              <w:pStyle w:val="TablebodyleftFinancialsTables"/>
              <w:jc w:val="right"/>
              <w:rPr>
                <w:b/>
                <w:bCs/>
              </w:rPr>
            </w:pPr>
            <w:r w:rsidRPr="00062E53">
              <w:rPr>
                <w:b/>
                <w:bCs/>
              </w:rPr>
              <w:t>(3,615)</w:t>
            </w:r>
          </w:p>
        </w:tc>
        <w:tc>
          <w:tcPr>
            <w:tcW w:w="1191" w:type="dxa"/>
          </w:tcPr>
          <w:p w14:paraId="3C9E2BC8" w14:textId="77777777" w:rsidR="00B02873" w:rsidRDefault="00B02873" w:rsidP="00062E53">
            <w:pPr>
              <w:pStyle w:val="TablebodyleftFinancialsTables"/>
              <w:jc w:val="right"/>
            </w:pPr>
            <w:r>
              <w:t>(3,362)</w:t>
            </w:r>
          </w:p>
        </w:tc>
      </w:tr>
      <w:tr w:rsidR="00B02873" w:rsidRPr="00B02873" w14:paraId="13112975" w14:textId="77777777" w:rsidTr="00062E53">
        <w:trPr>
          <w:trHeight w:val="60"/>
        </w:trPr>
        <w:tc>
          <w:tcPr>
            <w:tcW w:w="7257" w:type="dxa"/>
          </w:tcPr>
          <w:p w14:paraId="495594F6" w14:textId="77777777" w:rsidR="00B02873" w:rsidRPr="00062E53" w:rsidRDefault="00B02873" w:rsidP="00062E53">
            <w:pPr>
              <w:pStyle w:val="TablebodyleftFinancialsTables"/>
              <w:rPr>
                <w:b/>
                <w:bCs/>
              </w:rPr>
            </w:pPr>
            <w:r w:rsidRPr="00062E53">
              <w:rPr>
                <w:b/>
                <w:bCs/>
              </w:rPr>
              <w:t>Total net gain/(loss) on non-financial assets</w:t>
            </w:r>
          </w:p>
        </w:tc>
        <w:tc>
          <w:tcPr>
            <w:tcW w:w="1190" w:type="dxa"/>
          </w:tcPr>
          <w:p w14:paraId="7340817F" w14:textId="77777777" w:rsidR="00B02873" w:rsidRPr="00062E53" w:rsidRDefault="00B02873" w:rsidP="00062E53">
            <w:pPr>
              <w:pStyle w:val="TablebodyleftFinancialsTables"/>
              <w:jc w:val="right"/>
              <w:rPr>
                <w:b/>
                <w:bCs/>
              </w:rPr>
            </w:pPr>
            <w:r w:rsidRPr="00062E53">
              <w:rPr>
                <w:b/>
                <w:bCs/>
              </w:rPr>
              <w:t>91,055</w:t>
            </w:r>
          </w:p>
        </w:tc>
        <w:tc>
          <w:tcPr>
            <w:tcW w:w="1191" w:type="dxa"/>
          </w:tcPr>
          <w:p w14:paraId="0CB4E711" w14:textId="77777777" w:rsidR="00B02873" w:rsidRDefault="00B02873" w:rsidP="00062E53">
            <w:pPr>
              <w:pStyle w:val="TablebodyleftFinancialsTables"/>
              <w:jc w:val="right"/>
            </w:pPr>
            <w:r>
              <w:t>872,624</w:t>
            </w:r>
          </w:p>
        </w:tc>
      </w:tr>
      <w:tr w:rsidR="00B02873" w:rsidRPr="00B02873" w14:paraId="7FD3DC21" w14:textId="77777777" w:rsidTr="00062E53">
        <w:trPr>
          <w:trHeight w:val="60"/>
        </w:trPr>
        <w:tc>
          <w:tcPr>
            <w:tcW w:w="7257" w:type="dxa"/>
          </w:tcPr>
          <w:p w14:paraId="14701C69" w14:textId="77777777" w:rsidR="00B02873" w:rsidRPr="00062E53" w:rsidRDefault="00B02873" w:rsidP="00062E53">
            <w:pPr>
              <w:pStyle w:val="TablebodyleftFinancialsTables"/>
              <w:rPr>
                <w:b/>
                <w:bCs/>
              </w:rPr>
            </w:pPr>
            <w:r w:rsidRPr="00062E53">
              <w:rPr>
                <w:b/>
                <w:bCs/>
              </w:rPr>
              <w:t xml:space="preserve">Net gain/(loss) on financial instruments </w:t>
            </w:r>
          </w:p>
        </w:tc>
        <w:tc>
          <w:tcPr>
            <w:tcW w:w="1190" w:type="dxa"/>
          </w:tcPr>
          <w:p w14:paraId="2BFEB6BF" w14:textId="77777777" w:rsidR="00B02873" w:rsidRPr="00062E53" w:rsidRDefault="00B02873" w:rsidP="00062E53">
            <w:pPr>
              <w:pStyle w:val="TablebodyleftFinancialsTables"/>
              <w:jc w:val="right"/>
              <w:rPr>
                <w:rFonts w:ascii="VIC Bold Italic" w:hAnsi="VIC Bold Italic" w:cs="Times New Roman"/>
                <w:b/>
                <w:bCs/>
              </w:rPr>
            </w:pPr>
          </w:p>
        </w:tc>
        <w:tc>
          <w:tcPr>
            <w:tcW w:w="1191" w:type="dxa"/>
          </w:tcPr>
          <w:p w14:paraId="65B5859E" w14:textId="77777777" w:rsidR="00B02873" w:rsidRPr="00B02873" w:rsidRDefault="00B02873" w:rsidP="00062E53">
            <w:pPr>
              <w:pStyle w:val="TablebodyleftFinancialsTables"/>
              <w:jc w:val="right"/>
              <w:rPr>
                <w:rFonts w:ascii="VIC Bold Italic" w:hAnsi="VIC Bold Italic" w:cs="Times New Roman"/>
              </w:rPr>
            </w:pPr>
          </w:p>
        </w:tc>
      </w:tr>
      <w:tr w:rsidR="00B02873" w:rsidRPr="00B02873" w14:paraId="4BA3D657" w14:textId="77777777" w:rsidTr="00062E53">
        <w:trPr>
          <w:trHeight w:val="60"/>
        </w:trPr>
        <w:tc>
          <w:tcPr>
            <w:tcW w:w="7257" w:type="dxa"/>
          </w:tcPr>
          <w:p w14:paraId="7DB0E71B" w14:textId="77777777" w:rsidR="00B02873" w:rsidRDefault="00B02873" w:rsidP="00062E53">
            <w:pPr>
              <w:pStyle w:val="TablebodyleftFinancialsTables"/>
            </w:pPr>
            <w:r>
              <w:t>Impairment of receivables</w:t>
            </w:r>
          </w:p>
        </w:tc>
        <w:tc>
          <w:tcPr>
            <w:tcW w:w="1190" w:type="dxa"/>
          </w:tcPr>
          <w:p w14:paraId="069EE03D" w14:textId="77777777" w:rsidR="00B02873" w:rsidRPr="00062E53" w:rsidRDefault="00B02873" w:rsidP="00062E53">
            <w:pPr>
              <w:pStyle w:val="TablebodyleftFinancialsTables"/>
              <w:jc w:val="right"/>
              <w:rPr>
                <w:b/>
                <w:bCs/>
              </w:rPr>
            </w:pPr>
            <w:r w:rsidRPr="00062E53">
              <w:rPr>
                <w:b/>
                <w:bCs/>
              </w:rPr>
              <w:t>(676)</w:t>
            </w:r>
          </w:p>
        </w:tc>
        <w:tc>
          <w:tcPr>
            <w:tcW w:w="1191" w:type="dxa"/>
          </w:tcPr>
          <w:p w14:paraId="180D2728" w14:textId="77777777" w:rsidR="00B02873" w:rsidRDefault="00B02873" w:rsidP="00062E53">
            <w:pPr>
              <w:pStyle w:val="TablebodyleftFinancialsTables"/>
              <w:jc w:val="right"/>
            </w:pPr>
            <w:r>
              <w:t>(1,295)</w:t>
            </w:r>
          </w:p>
        </w:tc>
      </w:tr>
      <w:tr w:rsidR="00B02873" w:rsidRPr="00B02873" w14:paraId="525CAB7D" w14:textId="77777777" w:rsidTr="00062E53">
        <w:trPr>
          <w:trHeight w:val="60"/>
        </w:trPr>
        <w:tc>
          <w:tcPr>
            <w:tcW w:w="7257" w:type="dxa"/>
          </w:tcPr>
          <w:p w14:paraId="676292E8" w14:textId="77777777" w:rsidR="00B02873" w:rsidRDefault="00B02873" w:rsidP="00062E53">
            <w:pPr>
              <w:pStyle w:val="TablebodyleftFinancialsTables"/>
            </w:pPr>
            <w:r>
              <w:t>Net gain on disposal of financial assets through profit and loss account</w:t>
            </w:r>
          </w:p>
        </w:tc>
        <w:tc>
          <w:tcPr>
            <w:tcW w:w="1190" w:type="dxa"/>
          </w:tcPr>
          <w:p w14:paraId="4BAABD2D" w14:textId="77777777" w:rsidR="00B02873" w:rsidRPr="00062E53" w:rsidRDefault="00B02873" w:rsidP="00062E53">
            <w:pPr>
              <w:pStyle w:val="TablebodyleftFinancialsTables"/>
              <w:jc w:val="right"/>
              <w:rPr>
                <w:b/>
                <w:bCs/>
              </w:rPr>
            </w:pPr>
            <w:r w:rsidRPr="00062E53">
              <w:rPr>
                <w:b/>
                <w:bCs/>
              </w:rPr>
              <w:t>–</w:t>
            </w:r>
          </w:p>
        </w:tc>
        <w:tc>
          <w:tcPr>
            <w:tcW w:w="1191" w:type="dxa"/>
          </w:tcPr>
          <w:p w14:paraId="70283A97" w14:textId="77777777" w:rsidR="00B02873" w:rsidRDefault="00B02873" w:rsidP="00062E53">
            <w:pPr>
              <w:pStyle w:val="TablebodyleftFinancialsTables"/>
              <w:jc w:val="right"/>
            </w:pPr>
            <w:r>
              <w:t>2,008</w:t>
            </w:r>
          </w:p>
        </w:tc>
      </w:tr>
      <w:tr w:rsidR="00B02873" w:rsidRPr="00B02873" w14:paraId="64912F14" w14:textId="77777777" w:rsidTr="00062E53">
        <w:trPr>
          <w:trHeight w:val="60"/>
        </w:trPr>
        <w:tc>
          <w:tcPr>
            <w:tcW w:w="7257" w:type="dxa"/>
          </w:tcPr>
          <w:p w14:paraId="482BC555" w14:textId="77777777" w:rsidR="00B02873" w:rsidRDefault="00B02873" w:rsidP="00062E53">
            <w:pPr>
              <w:pStyle w:val="TablebodyleftFinancialsTables"/>
            </w:pPr>
            <w:r>
              <w:t>Net gain/(loss) arising from the revaluation of financial assets at fair value</w:t>
            </w:r>
          </w:p>
        </w:tc>
        <w:tc>
          <w:tcPr>
            <w:tcW w:w="1190" w:type="dxa"/>
          </w:tcPr>
          <w:p w14:paraId="523E2F6F" w14:textId="15726962" w:rsidR="00B02873" w:rsidRPr="00062E53" w:rsidRDefault="00B02873" w:rsidP="00062E53">
            <w:pPr>
              <w:pStyle w:val="TablebodyleftFinancialsTables"/>
              <w:jc w:val="right"/>
              <w:rPr>
                <w:b/>
                <w:bCs/>
              </w:rPr>
            </w:pPr>
            <w:r w:rsidRPr="00062E53">
              <w:rPr>
                <w:b/>
                <w:bCs/>
              </w:rPr>
              <w:t>381,742</w:t>
            </w:r>
          </w:p>
        </w:tc>
        <w:tc>
          <w:tcPr>
            <w:tcW w:w="1191" w:type="dxa"/>
          </w:tcPr>
          <w:p w14:paraId="36AEA232" w14:textId="77777777" w:rsidR="00B02873" w:rsidRDefault="00B02873" w:rsidP="00062E53">
            <w:pPr>
              <w:pStyle w:val="TablebodyleftFinancialsTables"/>
              <w:jc w:val="right"/>
            </w:pPr>
            <w:r>
              <w:t>(89,521)</w:t>
            </w:r>
          </w:p>
        </w:tc>
      </w:tr>
      <w:tr w:rsidR="00B02873" w:rsidRPr="00B02873" w14:paraId="7C1BB91F" w14:textId="77777777" w:rsidTr="00062E53">
        <w:trPr>
          <w:trHeight w:val="60"/>
        </w:trPr>
        <w:tc>
          <w:tcPr>
            <w:tcW w:w="7257" w:type="dxa"/>
          </w:tcPr>
          <w:p w14:paraId="30C80715" w14:textId="77777777" w:rsidR="00B02873" w:rsidRPr="00062E53" w:rsidRDefault="00B02873" w:rsidP="00062E53">
            <w:pPr>
              <w:pStyle w:val="TablebodyleftFinancialsTables"/>
              <w:rPr>
                <w:b/>
                <w:bCs/>
              </w:rPr>
            </w:pPr>
            <w:r w:rsidRPr="00062E53">
              <w:rPr>
                <w:b/>
                <w:bCs/>
              </w:rPr>
              <w:t>Total net gain/(loss) on financial instruments</w:t>
            </w:r>
          </w:p>
        </w:tc>
        <w:tc>
          <w:tcPr>
            <w:tcW w:w="1190" w:type="dxa"/>
          </w:tcPr>
          <w:p w14:paraId="04C46AED" w14:textId="77777777" w:rsidR="00B02873" w:rsidRPr="00062E53" w:rsidRDefault="00B02873" w:rsidP="00062E53">
            <w:pPr>
              <w:pStyle w:val="TablebodyleftFinancialsTables"/>
              <w:jc w:val="right"/>
              <w:rPr>
                <w:b/>
                <w:bCs/>
              </w:rPr>
            </w:pPr>
            <w:r w:rsidRPr="00062E53">
              <w:rPr>
                <w:b/>
                <w:bCs/>
              </w:rPr>
              <w:t>381,066</w:t>
            </w:r>
          </w:p>
        </w:tc>
        <w:tc>
          <w:tcPr>
            <w:tcW w:w="1191" w:type="dxa"/>
          </w:tcPr>
          <w:p w14:paraId="7E46C5B5" w14:textId="77777777" w:rsidR="00B02873" w:rsidRDefault="00B02873" w:rsidP="00062E53">
            <w:pPr>
              <w:pStyle w:val="TablebodyleftFinancialsTables"/>
              <w:jc w:val="right"/>
            </w:pPr>
            <w:r>
              <w:t xml:space="preserve">(88,808) </w:t>
            </w:r>
          </w:p>
        </w:tc>
      </w:tr>
      <w:tr w:rsidR="00B02873" w:rsidRPr="00B02873" w14:paraId="690476FA" w14:textId="77777777" w:rsidTr="00062E53">
        <w:trPr>
          <w:trHeight w:val="60"/>
        </w:trPr>
        <w:tc>
          <w:tcPr>
            <w:tcW w:w="7257" w:type="dxa"/>
          </w:tcPr>
          <w:p w14:paraId="4E99CA94" w14:textId="77777777" w:rsidR="00B02873" w:rsidRPr="00062E53" w:rsidRDefault="00B02873" w:rsidP="00062E53">
            <w:pPr>
              <w:pStyle w:val="TablebodyleftFinancialsTables"/>
              <w:rPr>
                <w:b/>
                <w:bCs/>
              </w:rPr>
            </w:pPr>
            <w:r w:rsidRPr="00062E53">
              <w:rPr>
                <w:b/>
                <w:bCs/>
              </w:rPr>
              <w:t>Other gains/(losses) from other economic flows</w:t>
            </w:r>
          </w:p>
        </w:tc>
        <w:tc>
          <w:tcPr>
            <w:tcW w:w="1190" w:type="dxa"/>
          </w:tcPr>
          <w:p w14:paraId="7CFD7464" w14:textId="77777777" w:rsidR="00B02873" w:rsidRPr="00062E53" w:rsidRDefault="00B02873" w:rsidP="00062E53">
            <w:pPr>
              <w:pStyle w:val="TablebodyleftFinancialsTables"/>
              <w:jc w:val="right"/>
              <w:rPr>
                <w:rFonts w:ascii="VIC Bold Italic" w:hAnsi="VIC Bold Italic" w:cs="Times New Roman"/>
                <w:b/>
                <w:bCs/>
              </w:rPr>
            </w:pPr>
          </w:p>
        </w:tc>
        <w:tc>
          <w:tcPr>
            <w:tcW w:w="1191" w:type="dxa"/>
          </w:tcPr>
          <w:p w14:paraId="22671E5C" w14:textId="77777777" w:rsidR="00B02873" w:rsidRPr="00B02873" w:rsidRDefault="00B02873" w:rsidP="00062E53">
            <w:pPr>
              <w:pStyle w:val="TablebodyleftFinancialsTables"/>
              <w:jc w:val="right"/>
              <w:rPr>
                <w:rFonts w:ascii="VIC Bold Italic" w:hAnsi="VIC Bold Italic" w:cs="Times New Roman"/>
              </w:rPr>
            </w:pPr>
          </w:p>
        </w:tc>
      </w:tr>
      <w:tr w:rsidR="00B02873" w:rsidRPr="00B02873" w14:paraId="70D7ED3B" w14:textId="77777777" w:rsidTr="00062E53">
        <w:trPr>
          <w:trHeight w:val="60"/>
        </w:trPr>
        <w:tc>
          <w:tcPr>
            <w:tcW w:w="7257" w:type="dxa"/>
          </w:tcPr>
          <w:p w14:paraId="6B554091" w14:textId="77777777" w:rsidR="00B02873" w:rsidRDefault="00B02873" w:rsidP="00062E53">
            <w:pPr>
              <w:pStyle w:val="TablebodyleftFinancialsTables"/>
            </w:pPr>
            <w:r>
              <w:t xml:space="preserve">Loss from revaluation of investment in associates </w:t>
            </w:r>
          </w:p>
        </w:tc>
        <w:tc>
          <w:tcPr>
            <w:tcW w:w="1190" w:type="dxa"/>
          </w:tcPr>
          <w:p w14:paraId="409ADC28" w14:textId="77777777" w:rsidR="00B02873" w:rsidRPr="00062E53" w:rsidRDefault="00B02873" w:rsidP="00062E53">
            <w:pPr>
              <w:pStyle w:val="TablebodyleftFinancialsTables"/>
              <w:jc w:val="right"/>
              <w:rPr>
                <w:b/>
                <w:bCs/>
              </w:rPr>
            </w:pPr>
            <w:r w:rsidRPr="00062E53">
              <w:rPr>
                <w:b/>
                <w:bCs/>
              </w:rPr>
              <w:t>–</w:t>
            </w:r>
          </w:p>
        </w:tc>
        <w:tc>
          <w:tcPr>
            <w:tcW w:w="1191" w:type="dxa"/>
          </w:tcPr>
          <w:p w14:paraId="0FFCD083" w14:textId="77777777" w:rsidR="00B02873" w:rsidRDefault="00B02873" w:rsidP="00062E53">
            <w:pPr>
              <w:pStyle w:val="TablebodyleftFinancialsTables"/>
              <w:jc w:val="right"/>
            </w:pPr>
            <w:r>
              <w:t>–</w:t>
            </w:r>
          </w:p>
        </w:tc>
      </w:tr>
      <w:tr w:rsidR="00B02873" w:rsidRPr="00B02873" w14:paraId="212245B1" w14:textId="77777777" w:rsidTr="00062E53">
        <w:trPr>
          <w:trHeight w:val="60"/>
        </w:trPr>
        <w:tc>
          <w:tcPr>
            <w:tcW w:w="7257" w:type="dxa"/>
          </w:tcPr>
          <w:p w14:paraId="26B4E0C1" w14:textId="77777777" w:rsidR="00B02873" w:rsidRDefault="00B02873" w:rsidP="00062E53">
            <w:pPr>
              <w:pStyle w:val="TablebodyleftFinancialsTables"/>
            </w:pPr>
            <w:r>
              <w:t>Net gain arising from revaluation of employee benefits</w:t>
            </w:r>
          </w:p>
        </w:tc>
        <w:tc>
          <w:tcPr>
            <w:tcW w:w="1190" w:type="dxa"/>
          </w:tcPr>
          <w:p w14:paraId="041F0A62" w14:textId="77777777" w:rsidR="00B02873" w:rsidRPr="00062E53" w:rsidRDefault="00B02873" w:rsidP="00062E53">
            <w:pPr>
              <w:pStyle w:val="TablebodyleftFinancialsTables"/>
              <w:jc w:val="right"/>
              <w:rPr>
                <w:b/>
                <w:bCs/>
              </w:rPr>
            </w:pPr>
            <w:r w:rsidRPr="00062E53">
              <w:rPr>
                <w:b/>
                <w:bCs/>
              </w:rPr>
              <w:t>10,575</w:t>
            </w:r>
          </w:p>
        </w:tc>
        <w:tc>
          <w:tcPr>
            <w:tcW w:w="1191" w:type="dxa"/>
          </w:tcPr>
          <w:p w14:paraId="35DE02E8" w14:textId="77777777" w:rsidR="00B02873" w:rsidRDefault="00B02873" w:rsidP="00062E53">
            <w:pPr>
              <w:pStyle w:val="TablebodyleftFinancialsTables"/>
              <w:jc w:val="right"/>
            </w:pPr>
            <w:r>
              <w:t>12,411</w:t>
            </w:r>
          </w:p>
        </w:tc>
      </w:tr>
      <w:tr w:rsidR="00B02873" w:rsidRPr="00B02873" w14:paraId="1BA3C43C" w14:textId="77777777" w:rsidTr="00062E53">
        <w:trPr>
          <w:trHeight w:val="60"/>
        </w:trPr>
        <w:tc>
          <w:tcPr>
            <w:tcW w:w="7257" w:type="dxa"/>
          </w:tcPr>
          <w:p w14:paraId="3AD84EC0" w14:textId="77777777" w:rsidR="00B02873" w:rsidRDefault="00B02873" w:rsidP="00062E53">
            <w:pPr>
              <w:pStyle w:val="TablebodyleftFinancialsTables"/>
            </w:pPr>
            <w:r>
              <w:t>Other provision discount rate adjustments</w:t>
            </w:r>
          </w:p>
        </w:tc>
        <w:tc>
          <w:tcPr>
            <w:tcW w:w="1190" w:type="dxa"/>
          </w:tcPr>
          <w:p w14:paraId="1751DF1D" w14:textId="77777777" w:rsidR="00B02873" w:rsidRPr="00062E53" w:rsidRDefault="00B02873" w:rsidP="00062E53">
            <w:pPr>
              <w:pStyle w:val="TablebodyleftFinancialsTables"/>
              <w:jc w:val="right"/>
              <w:rPr>
                <w:b/>
                <w:bCs/>
              </w:rPr>
            </w:pPr>
            <w:r w:rsidRPr="00062E53">
              <w:rPr>
                <w:b/>
                <w:bCs/>
              </w:rPr>
              <w:t>(769)</w:t>
            </w:r>
          </w:p>
        </w:tc>
        <w:tc>
          <w:tcPr>
            <w:tcW w:w="1191" w:type="dxa"/>
          </w:tcPr>
          <w:p w14:paraId="3AE91A53" w14:textId="77777777" w:rsidR="00B02873" w:rsidRDefault="00B02873" w:rsidP="00062E53">
            <w:pPr>
              <w:pStyle w:val="TablebodyleftFinancialsTables"/>
              <w:jc w:val="right"/>
            </w:pPr>
            <w:r>
              <w:t>351</w:t>
            </w:r>
          </w:p>
        </w:tc>
      </w:tr>
      <w:tr w:rsidR="00B02873" w:rsidRPr="00B02873" w14:paraId="39836587" w14:textId="77777777" w:rsidTr="00062E53">
        <w:trPr>
          <w:trHeight w:val="60"/>
        </w:trPr>
        <w:tc>
          <w:tcPr>
            <w:tcW w:w="7257" w:type="dxa"/>
          </w:tcPr>
          <w:p w14:paraId="74AC02B7" w14:textId="77777777" w:rsidR="00B02873" w:rsidRPr="00062E53" w:rsidRDefault="00B02873" w:rsidP="00062E53">
            <w:pPr>
              <w:pStyle w:val="TablebodyleftFinancialsTables"/>
              <w:rPr>
                <w:b/>
                <w:bCs/>
              </w:rPr>
            </w:pPr>
            <w:r w:rsidRPr="00062E53">
              <w:rPr>
                <w:b/>
                <w:bCs/>
              </w:rPr>
              <w:t>Total other gains from other economic flows</w:t>
            </w:r>
          </w:p>
        </w:tc>
        <w:tc>
          <w:tcPr>
            <w:tcW w:w="1190" w:type="dxa"/>
          </w:tcPr>
          <w:p w14:paraId="05F12D48" w14:textId="77777777" w:rsidR="00B02873" w:rsidRPr="00062E53" w:rsidRDefault="00B02873" w:rsidP="00062E53">
            <w:pPr>
              <w:pStyle w:val="TablebodyleftFinancialsTables"/>
              <w:jc w:val="right"/>
              <w:rPr>
                <w:b/>
                <w:bCs/>
              </w:rPr>
            </w:pPr>
            <w:r w:rsidRPr="00062E53">
              <w:rPr>
                <w:b/>
                <w:bCs/>
              </w:rPr>
              <w:t>9,806</w:t>
            </w:r>
          </w:p>
        </w:tc>
        <w:tc>
          <w:tcPr>
            <w:tcW w:w="1191" w:type="dxa"/>
          </w:tcPr>
          <w:p w14:paraId="1062CDF2" w14:textId="77777777" w:rsidR="00B02873" w:rsidRDefault="00B02873" w:rsidP="00062E53">
            <w:pPr>
              <w:pStyle w:val="TablebodyleftFinancialsTables"/>
              <w:jc w:val="right"/>
            </w:pPr>
            <w:r>
              <w:t>12,762</w:t>
            </w:r>
          </w:p>
        </w:tc>
      </w:tr>
      <w:tr w:rsidR="00B02873" w:rsidRPr="00B02873" w14:paraId="54415B4C" w14:textId="77777777" w:rsidTr="00062E53">
        <w:trPr>
          <w:trHeight w:val="60"/>
        </w:trPr>
        <w:tc>
          <w:tcPr>
            <w:tcW w:w="7257" w:type="dxa"/>
          </w:tcPr>
          <w:p w14:paraId="00DAB0C2" w14:textId="77777777" w:rsidR="00B02873" w:rsidRPr="00062E53" w:rsidRDefault="00B02873" w:rsidP="00062E53">
            <w:pPr>
              <w:pStyle w:val="TablebodyleftFinancialsTables"/>
              <w:rPr>
                <w:b/>
                <w:bCs/>
              </w:rPr>
            </w:pPr>
            <w:r w:rsidRPr="00062E53">
              <w:rPr>
                <w:b/>
                <w:bCs/>
              </w:rPr>
              <w:t>Total other economic flows included in net result</w:t>
            </w:r>
          </w:p>
        </w:tc>
        <w:tc>
          <w:tcPr>
            <w:tcW w:w="1190" w:type="dxa"/>
          </w:tcPr>
          <w:p w14:paraId="60BBA53E" w14:textId="77777777" w:rsidR="00B02873" w:rsidRPr="00062E53" w:rsidRDefault="00B02873" w:rsidP="00062E53">
            <w:pPr>
              <w:pStyle w:val="TablebodyleftFinancialsTables"/>
              <w:jc w:val="right"/>
              <w:rPr>
                <w:b/>
                <w:bCs/>
              </w:rPr>
            </w:pPr>
            <w:r w:rsidRPr="00062E53">
              <w:rPr>
                <w:b/>
                <w:bCs/>
              </w:rPr>
              <w:t>481,927</w:t>
            </w:r>
          </w:p>
        </w:tc>
        <w:tc>
          <w:tcPr>
            <w:tcW w:w="1191" w:type="dxa"/>
          </w:tcPr>
          <w:p w14:paraId="19BF2028" w14:textId="77777777" w:rsidR="00B02873" w:rsidRDefault="00B02873" w:rsidP="00062E53">
            <w:pPr>
              <w:pStyle w:val="TablebodyleftFinancialsTables"/>
              <w:jc w:val="right"/>
            </w:pPr>
            <w:r>
              <w:t>796,578</w:t>
            </w:r>
          </w:p>
        </w:tc>
      </w:tr>
    </w:tbl>
    <w:p w14:paraId="6A58585C" w14:textId="77777777" w:rsidR="00B02873" w:rsidRDefault="00B02873" w:rsidP="00FE198A"/>
    <w:p w14:paraId="5A42B4E3" w14:textId="614197A9" w:rsidR="00B02873" w:rsidRDefault="00B02873" w:rsidP="00FE198A">
      <w:r>
        <w:t>The net gain/(loss) on non-financial assets and liabilities includes realised and unrealised gains and losses as follows:</w:t>
      </w:r>
    </w:p>
    <w:p w14:paraId="4C223EC8" w14:textId="77777777" w:rsidR="00B02873" w:rsidRDefault="00B02873" w:rsidP="00062E53">
      <w:pPr>
        <w:pStyle w:val="Boldheader"/>
      </w:pPr>
      <w:r>
        <w:t>Net gain/(loss) on disposal of property, plant and equipment</w:t>
      </w:r>
    </w:p>
    <w:p w14:paraId="58CF6216" w14:textId="5697B8B3" w:rsidR="00B02873" w:rsidRDefault="00B02873" w:rsidP="00FE198A">
      <w:r>
        <w:t>Any gain or loss on the disposal of property, plant and equipment is recognised at the date of disposal and is the difference between the proceeds and the carrying value of the asset at the time.</w:t>
      </w:r>
    </w:p>
    <w:p w14:paraId="26F2C142" w14:textId="77777777" w:rsidR="00B02873" w:rsidRDefault="00B02873" w:rsidP="00062E53">
      <w:pPr>
        <w:pStyle w:val="Boldheader"/>
      </w:pPr>
      <w:r w:rsidRPr="00062E53">
        <w:t>Recognition and derecognition of non-financial assets</w:t>
      </w:r>
    </w:p>
    <w:p w14:paraId="49ECBD98" w14:textId="77777777" w:rsidR="00B02873" w:rsidRDefault="00B02873" w:rsidP="00FE198A">
      <w:r>
        <w:t xml:space="preserve">Land is recognised under the categories set out at Note 5.1 </w:t>
      </w:r>
      <w:r w:rsidRPr="00062E53">
        <w:rPr>
          <w:rStyle w:val="LightItalic"/>
          <w:rFonts w:asciiTheme="minorHAnsi" w:hAnsiTheme="minorHAnsi" w:cstheme="minorHAnsi"/>
        </w:rPr>
        <w:t>Property, plant and equipment</w:t>
      </w:r>
      <w:r>
        <w:t xml:space="preserve"> when the department identifies specific parcels of land, park, forest or reserve that it controls, and their cost can be reliably determined. The department considers relevant information from land management databases and systems, such as the use and purpose for which a particular parcel has been reserved for, to determine the parcels of Crown land over which it has control and responsibility. Where land has been received at no cost the fair value is determined by the Valuer-General Victoria.</w:t>
      </w:r>
    </w:p>
    <w:p w14:paraId="1A32480A" w14:textId="77777777" w:rsidR="00B02873" w:rsidRDefault="00B02873" w:rsidP="00FE198A">
      <w:r>
        <w:rPr>
          <w:spacing w:val="-4"/>
        </w:rPr>
        <w:t xml:space="preserve">Other government entities are able to change the status of Crown land through grants and reservations made under legislation that is not administered by either of the Ministers who hold portfolio responsibility (for example, Crown grants may be issued under the </w:t>
      </w:r>
      <w:r w:rsidRPr="00062E53">
        <w:rPr>
          <w:rStyle w:val="LightItalic"/>
          <w:rFonts w:asciiTheme="minorHAnsi" w:hAnsiTheme="minorHAnsi" w:cstheme="minorHAnsi"/>
          <w:spacing w:val="-4"/>
        </w:rPr>
        <w:t>Project Development and Construction Management Act 1994</w:t>
      </w:r>
      <w:r w:rsidRPr="00062E53">
        <w:rPr>
          <w:rFonts w:asciiTheme="minorHAnsi" w:hAnsiTheme="minorHAnsi" w:cstheme="minorHAnsi"/>
          <w:spacing w:val="-4"/>
        </w:rPr>
        <w:t>).</w:t>
      </w:r>
      <w:r>
        <w:rPr>
          <w:spacing w:val="-4"/>
        </w:rPr>
        <w:t xml:space="preserve"> The department’s policy is to recognise the effect of such changes when it is made aware of the change in status.</w:t>
      </w:r>
    </w:p>
    <w:p w14:paraId="1602569E" w14:textId="306EAB0D" w:rsidR="00B02873" w:rsidRDefault="00B02873" w:rsidP="00FE198A">
      <w:r>
        <w:t xml:space="preserve">Land is derecognised when it is not eligible to be treated as a return of equity to other government entities or when the information is available in the Land Information Management System </w:t>
      </w:r>
      <w:r>
        <w:lastRenderedPageBreak/>
        <w:t>regarding changes to area size. Gains or losses on the recognition or derecognition of land are recognised in the net result (other economic flows).</w:t>
      </w:r>
    </w:p>
    <w:p w14:paraId="72C19A9A" w14:textId="77777777" w:rsidR="00B02873" w:rsidRDefault="00B02873" w:rsidP="00062E53">
      <w:pPr>
        <w:pStyle w:val="Boldheader"/>
      </w:pPr>
      <w:r>
        <w:t>Write-down of property, plant and equipment and intangible assets</w:t>
      </w:r>
    </w:p>
    <w:p w14:paraId="0854F06C" w14:textId="77777777" w:rsidR="00B02873" w:rsidRDefault="00B02873" w:rsidP="00FE198A">
      <w:r>
        <w:t>The department will recognise a write-down of property, plant and equipment and intangible assets when there is evidence that there is a change in the market or an equipment breakdown. This is identified through impairment and life reviews.</w:t>
      </w:r>
    </w:p>
    <w:p w14:paraId="3D98170E" w14:textId="77777777" w:rsidR="00B02873" w:rsidRDefault="00B02873" w:rsidP="00062E53">
      <w:pPr>
        <w:pStyle w:val="Boldheader"/>
      </w:pPr>
      <w:r>
        <w:t>Net gain/(loss) arising from the revaluation of financial assets at fair value</w:t>
      </w:r>
    </w:p>
    <w:p w14:paraId="0EB95A4B" w14:textId="77777777" w:rsidR="00B02873" w:rsidRDefault="00B02873" w:rsidP="00FE198A">
      <w:r>
        <w:t xml:space="preserve">Any gains or losses arising from changes in the fair value of derivatives after initial recognition are recognised in the comprehensive operating statement as an ‘other economic flow’ included in the net result. </w:t>
      </w:r>
    </w:p>
    <w:p w14:paraId="77C9996D" w14:textId="77777777" w:rsidR="00B02873" w:rsidRDefault="00B02873" w:rsidP="00062E53">
      <w:pPr>
        <w:pStyle w:val="Heading3"/>
      </w:pPr>
      <w:r>
        <w:t>9.3 Equity</w:t>
      </w:r>
    </w:p>
    <w:p w14:paraId="0C0FF4EB" w14:textId="77777777" w:rsidR="00B02873" w:rsidRDefault="00B02873" w:rsidP="00062E53">
      <w:pPr>
        <w:pStyle w:val="Heading4"/>
      </w:pPr>
      <w:r>
        <w:t xml:space="preserve">9.3.1 Physical asset revaluation surplus </w:t>
      </w:r>
    </w:p>
    <w:tbl>
      <w:tblPr>
        <w:tblStyle w:val="TableGrid"/>
        <w:tblW w:w="0" w:type="auto"/>
        <w:tblLayout w:type="fixed"/>
        <w:tblLook w:val="0020" w:firstRow="1" w:lastRow="0" w:firstColumn="0" w:lastColumn="0" w:noHBand="0" w:noVBand="0"/>
      </w:tblPr>
      <w:tblGrid>
        <w:gridCol w:w="7257"/>
        <w:gridCol w:w="1190"/>
        <w:gridCol w:w="1191"/>
      </w:tblGrid>
      <w:tr w:rsidR="00B02873" w:rsidRPr="005B6BE7" w14:paraId="5E55AE48" w14:textId="77777777" w:rsidTr="00062E53">
        <w:trPr>
          <w:cnfStyle w:val="100000000000" w:firstRow="1" w:lastRow="0" w:firstColumn="0" w:lastColumn="0" w:oddVBand="0" w:evenVBand="0" w:oddHBand="0" w:evenHBand="0" w:firstRowFirstColumn="0" w:firstRowLastColumn="0" w:lastRowFirstColumn="0" w:lastRowLastColumn="0"/>
          <w:trHeight w:val="60"/>
        </w:trPr>
        <w:tc>
          <w:tcPr>
            <w:tcW w:w="7257" w:type="dxa"/>
          </w:tcPr>
          <w:p w14:paraId="5B339AD6" w14:textId="77777777" w:rsidR="00B02873" w:rsidRPr="005B6BE7" w:rsidRDefault="00B02873" w:rsidP="00062E53">
            <w:pPr>
              <w:pStyle w:val="TableheadingleftFinancialsTables"/>
              <w:rPr>
                <w:rFonts w:asciiTheme="minorHAnsi" w:hAnsiTheme="minorHAnsi" w:cstheme="minorHAnsi"/>
              </w:rPr>
            </w:pPr>
          </w:p>
        </w:tc>
        <w:tc>
          <w:tcPr>
            <w:tcW w:w="1190" w:type="dxa"/>
          </w:tcPr>
          <w:p w14:paraId="65C7D7CF" w14:textId="77777777" w:rsidR="00B02873" w:rsidRPr="005B6BE7" w:rsidRDefault="00B02873" w:rsidP="005B6BE7">
            <w:pPr>
              <w:pStyle w:val="TableheadingleftFinancialsTables"/>
              <w:jc w:val="right"/>
              <w:rPr>
                <w:rFonts w:asciiTheme="minorHAnsi" w:hAnsiTheme="minorHAnsi" w:cstheme="minorHAnsi"/>
              </w:rPr>
            </w:pPr>
            <w:r w:rsidRPr="005B6BE7">
              <w:rPr>
                <w:rFonts w:asciiTheme="minorHAnsi" w:hAnsiTheme="minorHAnsi" w:cstheme="minorHAnsi"/>
              </w:rPr>
              <w:t>2022</w:t>
            </w:r>
            <w:r w:rsidRPr="005B6BE7">
              <w:rPr>
                <w:rFonts w:asciiTheme="minorHAnsi" w:hAnsiTheme="minorHAnsi" w:cstheme="minorHAnsi"/>
              </w:rPr>
              <w:br/>
              <w:t>$’000</w:t>
            </w:r>
          </w:p>
        </w:tc>
        <w:tc>
          <w:tcPr>
            <w:tcW w:w="1191" w:type="dxa"/>
          </w:tcPr>
          <w:p w14:paraId="3EAF18C2" w14:textId="77777777" w:rsidR="00B02873" w:rsidRPr="005B6BE7" w:rsidRDefault="00B02873" w:rsidP="005B6BE7">
            <w:pPr>
              <w:pStyle w:val="TableheadingleftFinancialsTables"/>
              <w:jc w:val="right"/>
              <w:rPr>
                <w:rFonts w:asciiTheme="minorHAnsi" w:hAnsiTheme="minorHAnsi" w:cstheme="minorHAnsi"/>
              </w:rPr>
            </w:pPr>
            <w:r w:rsidRPr="005B6BE7">
              <w:rPr>
                <w:rFonts w:asciiTheme="minorHAnsi" w:hAnsiTheme="minorHAnsi" w:cstheme="minorHAnsi"/>
              </w:rPr>
              <w:t>2021</w:t>
            </w:r>
            <w:r w:rsidRPr="005B6BE7">
              <w:rPr>
                <w:rFonts w:asciiTheme="minorHAnsi" w:hAnsiTheme="minorHAnsi" w:cstheme="minorHAnsi"/>
              </w:rPr>
              <w:br/>
              <w:t>$’000</w:t>
            </w:r>
          </w:p>
        </w:tc>
      </w:tr>
      <w:tr w:rsidR="00B02873" w:rsidRPr="005B6BE7" w14:paraId="558BEFE7" w14:textId="77777777" w:rsidTr="00062E53">
        <w:trPr>
          <w:trHeight w:val="60"/>
        </w:trPr>
        <w:tc>
          <w:tcPr>
            <w:tcW w:w="7257" w:type="dxa"/>
          </w:tcPr>
          <w:p w14:paraId="180BD7E6" w14:textId="77777777" w:rsidR="00B02873" w:rsidRPr="005B6BE7" w:rsidRDefault="00B02873" w:rsidP="005B6BE7">
            <w:pPr>
              <w:pStyle w:val="TablebodyleftFinancialsTables"/>
              <w:rPr>
                <w:rFonts w:asciiTheme="minorHAnsi" w:hAnsiTheme="minorHAnsi" w:cstheme="minorHAnsi"/>
                <w:b/>
                <w:bCs/>
              </w:rPr>
            </w:pPr>
            <w:r w:rsidRPr="005B6BE7">
              <w:rPr>
                <w:rFonts w:asciiTheme="minorHAnsi" w:hAnsiTheme="minorHAnsi" w:cstheme="minorHAnsi"/>
                <w:b/>
                <w:bCs/>
              </w:rPr>
              <w:t>Physical asset revaluation surplus</w:t>
            </w:r>
          </w:p>
        </w:tc>
        <w:tc>
          <w:tcPr>
            <w:tcW w:w="1190" w:type="dxa"/>
          </w:tcPr>
          <w:p w14:paraId="196660EF" w14:textId="77777777" w:rsidR="00B02873" w:rsidRPr="005B6BE7" w:rsidRDefault="00B02873" w:rsidP="005B6BE7">
            <w:pPr>
              <w:pStyle w:val="TablebodyleftFinancialsTables"/>
              <w:jc w:val="right"/>
              <w:rPr>
                <w:rFonts w:asciiTheme="minorHAnsi" w:hAnsiTheme="minorHAnsi" w:cstheme="minorHAnsi"/>
                <w:b/>
                <w:bCs/>
              </w:rPr>
            </w:pPr>
          </w:p>
        </w:tc>
        <w:tc>
          <w:tcPr>
            <w:tcW w:w="1191" w:type="dxa"/>
          </w:tcPr>
          <w:p w14:paraId="07A16427" w14:textId="77777777" w:rsidR="00B02873" w:rsidRPr="005B6BE7" w:rsidRDefault="00B02873" w:rsidP="005B6BE7">
            <w:pPr>
              <w:pStyle w:val="TablebodyleftFinancialsTables"/>
              <w:jc w:val="right"/>
              <w:rPr>
                <w:rFonts w:asciiTheme="minorHAnsi" w:hAnsiTheme="minorHAnsi" w:cstheme="minorHAnsi"/>
              </w:rPr>
            </w:pPr>
          </w:p>
        </w:tc>
      </w:tr>
      <w:tr w:rsidR="00B02873" w:rsidRPr="005B6BE7" w14:paraId="1BFD9639" w14:textId="77777777" w:rsidTr="00062E53">
        <w:trPr>
          <w:trHeight w:val="60"/>
        </w:trPr>
        <w:tc>
          <w:tcPr>
            <w:tcW w:w="7257" w:type="dxa"/>
          </w:tcPr>
          <w:p w14:paraId="747F528C" w14:textId="77777777" w:rsidR="00B02873" w:rsidRPr="005B6BE7" w:rsidRDefault="00B02873" w:rsidP="005B6BE7">
            <w:pPr>
              <w:pStyle w:val="TablebodyleftFinancialsTables"/>
              <w:rPr>
                <w:rFonts w:asciiTheme="minorHAnsi" w:hAnsiTheme="minorHAnsi" w:cstheme="minorHAnsi"/>
                <w:b/>
                <w:bCs/>
              </w:rPr>
            </w:pPr>
            <w:r w:rsidRPr="005B6BE7">
              <w:rPr>
                <w:rFonts w:asciiTheme="minorHAnsi" w:hAnsiTheme="minorHAnsi" w:cstheme="minorHAnsi"/>
                <w:b/>
                <w:bCs/>
              </w:rPr>
              <w:t>Balance at 1 July</w:t>
            </w:r>
          </w:p>
        </w:tc>
        <w:tc>
          <w:tcPr>
            <w:tcW w:w="1190" w:type="dxa"/>
          </w:tcPr>
          <w:p w14:paraId="538EB8B3" w14:textId="77777777" w:rsidR="00B02873" w:rsidRPr="005B6BE7" w:rsidRDefault="00B02873" w:rsidP="005B6BE7">
            <w:pPr>
              <w:pStyle w:val="TablebodyleftFinancialsTables"/>
              <w:jc w:val="right"/>
              <w:rPr>
                <w:rFonts w:asciiTheme="minorHAnsi" w:hAnsiTheme="minorHAnsi" w:cstheme="minorHAnsi"/>
                <w:b/>
                <w:bCs/>
              </w:rPr>
            </w:pPr>
            <w:r w:rsidRPr="005B6BE7">
              <w:rPr>
                <w:rFonts w:asciiTheme="minorHAnsi" w:hAnsiTheme="minorHAnsi" w:cstheme="minorHAnsi"/>
                <w:b/>
                <w:bCs/>
              </w:rPr>
              <w:t>5,564,684</w:t>
            </w:r>
          </w:p>
        </w:tc>
        <w:tc>
          <w:tcPr>
            <w:tcW w:w="1191" w:type="dxa"/>
          </w:tcPr>
          <w:p w14:paraId="25507DFA" w14:textId="77777777" w:rsidR="00B02873" w:rsidRPr="005B6BE7" w:rsidRDefault="00B02873" w:rsidP="005B6BE7">
            <w:pPr>
              <w:pStyle w:val="TablebodyleftFinancialsTables"/>
              <w:jc w:val="right"/>
              <w:rPr>
                <w:rFonts w:asciiTheme="minorHAnsi" w:hAnsiTheme="minorHAnsi" w:cstheme="minorHAnsi"/>
              </w:rPr>
            </w:pPr>
            <w:r w:rsidRPr="005B6BE7">
              <w:rPr>
                <w:rFonts w:asciiTheme="minorHAnsi" w:hAnsiTheme="minorHAnsi" w:cstheme="minorHAnsi"/>
              </w:rPr>
              <w:t>4,862,639</w:t>
            </w:r>
          </w:p>
        </w:tc>
      </w:tr>
      <w:tr w:rsidR="00B02873" w:rsidRPr="005B6BE7" w14:paraId="329DF323" w14:textId="77777777" w:rsidTr="00062E53">
        <w:trPr>
          <w:trHeight w:val="60"/>
        </w:trPr>
        <w:tc>
          <w:tcPr>
            <w:tcW w:w="7257" w:type="dxa"/>
          </w:tcPr>
          <w:p w14:paraId="6A78B73C" w14:textId="77777777" w:rsidR="00B02873" w:rsidRPr="005B6BE7" w:rsidRDefault="00B02873" w:rsidP="005B6BE7">
            <w:pPr>
              <w:pStyle w:val="TablebodyleftFinancialsTables"/>
              <w:rPr>
                <w:rFonts w:asciiTheme="minorHAnsi" w:hAnsiTheme="minorHAnsi" w:cstheme="minorHAnsi"/>
              </w:rPr>
            </w:pPr>
            <w:r w:rsidRPr="005B6BE7">
              <w:rPr>
                <w:rStyle w:val="LightItalic"/>
                <w:rFonts w:asciiTheme="minorHAnsi" w:hAnsiTheme="minorHAnsi" w:cstheme="minorHAnsi"/>
              </w:rPr>
              <w:t>Increment/(decrement) on revaluation during the year resulting from:</w:t>
            </w:r>
          </w:p>
        </w:tc>
        <w:tc>
          <w:tcPr>
            <w:tcW w:w="1190" w:type="dxa"/>
          </w:tcPr>
          <w:p w14:paraId="341A7148" w14:textId="77777777" w:rsidR="00B02873" w:rsidRPr="005B6BE7" w:rsidRDefault="00B02873" w:rsidP="005B6BE7">
            <w:pPr>
              <w:pStyle w:val="TablebodyleftFinancialsTables"/>
              <w:jc w:val="right"/>
              <w:rPr>
                <w:rFonts w:asciiTheme="minorHAnsi" w:hAnsiTheme="minorHAnsi" w:cstheme="minorHAnsi"/>
                <w:b/>
                <w:bCs/>
              </w:rPr>
            </w:pPr>
          </w:p>
        </w:tc>
        <w:tc>
          <w:tcPr>
            <w:tcW w:w="1191" w:type="dxa"/>
          </w:tcPr>
          <w:p w14:paraId="7578B3FD" w14:textId="77777777" w:rsidR="00B02873" w:rsidRPr="005B6BE7" w:rsidRDefault="00B02873" w:rsidP="005B6BE7">
            <w:pPr>
              <w:pStyle w:val="TablebodyleftFinancialsTables"/>
              <w:jc w:val="right"/>
              <w:rPr>
                <w:rFonts w:asciiTheme="minorHAnsi" w:hAnsiTheme="minorHAnsi" w:cstheme="minorHAnsi"/>
              </w:rPr>
            </w:pPr>
          </w:p>
        </w:tc>
      </w:tr>
      <w:tr w:rsidR="00B02873" w:rsidRPr="005B6BE7" w14:paraId="22FDE97C" w14:textId="77777777" w:rsidTr="00062E53">
        <w:trPr>
          <w:trHeight w:val="60"/>
        </w:trPr>
        <w:tc>
          <w:tcPr>
            <w:tcW w:w="7257" w:type="dxa"/>
          </w:tcPr>
          <w:p w14:paraId="708553DD" w14:textId="77777777" w:rsidR="00B02873" w:rsidRPr="005B6BE7" w:rsidRDefault="00B02873" w:rsidP="005B6BE7">
            <w:pPr>
              <w:pStyle w:val="TablebodyleftFinancialsTables"/>
              <w:rPr>
                <w:rFonts w:asciiTheme="minorHAnsi" w:hAnsiTheme="minorHAnsi" w:cstheme="minorHAnsi"/>
              </w:rPr>
            </w:pPr>
            <w:r w:rsidRPr="005B6BE7">
              <w:rPr>
                <w:rFonts w:asciiTheme="minorHAnsi" w:hAnsiTheme="minorHAnsi" w:cstheme="minorHAnsi"/>
              </w:rPr>
              <w:t>Freehold land</w:t>
            </w:r>
          </w:p>
        </w:tc>
        <w:tc>
          <w:tcPr>
            <w:tcW w:w="1190" w:type="dxa"/>
          </w:tcPr>
          <w:p w14:paraId="45EF306F" w14:textId="77777777" w:rsidR="00B02873" w:rsidRPr="005B6BE7" w:rsidRDefault="00B02873" w:rsidP="005B6BE7">
            <w:pPr>
              <w:pStyle w:val="TablebodyleftFinancialsTables"/>
              <w:jc w:val="right"/>
              <w:rPr>
                <w:rFonts w:asciiTheme="minorHAnsi" w:hAnsiTheme="minorHAnsi" w:cstheme="minorHAnsi"/>
                <w:b/>
                <w:bCs/>
              </w:rPr>
            </w:pPr>
            <w:r w:rsidRPr="005B6BE7">
              <w:rPr>
                <w:rFonts w:asciiTheme="minorHAnsi" w:hAnsiTheme="minorHAnsi" w:cstheme="minorHAnsi"/>
                <w:b/>
                <w:bCs/>
              </w:rPr>
              <w:t>20,133</w:t>
            </w:r>
          </w:p>
        </w:tc>
        <w:tc>
          <w:tcPr>
            <w:tcW w:w="1191" w:type="dxa"/>
          </w:tcPr>
          <w:p w14:paraId="0421E294" w14:textId="77777777" w:rsidR="00B02873" w:rsidRPr="005B6BE7" w:rsidRDefault="00B02873" w:rsidP="005B6BE7">
            <w:pPr>
              <w:pStyle w:val="TablebodyleftFinancialsTables"/>
              <w:jc w:val="right"/>
              <w:rPr>
                <w:rFonts w:asciiTheme="minorHAnsi" w:hAnsiTheme="minorHAnsi" w:cstheme="minorHAnsi"/>
              </w:rPr>
            </w:pPr>
            <w:r w:rsidRPr="005B6BE7">
              <w:rPr>
                <w:rFonts w:asciiTheme="minorHAnsi" w:hAnsiTheme="minorHAnsi" w:cstheme="minorHAnsi"/>
              </w:rPr>
              <w:t>(30,658)</w:t>
            </w:r>
          </w:p>
        </w:tc>
      </w:tr>
      <w:tr w:rsidR="00B02873" w:rsidRPr="005B6BE7" w14:paraId="159D12DE" w14:textId="77777777" w:rsidTr="00062E53">
        <w:trPr>
          <w:trHeight w:val="60"/>
        </w:trPr>
        <w:tc>
          <w:tcPr>
            <w:tcW w:w="7257" w:type="dxa"/>
          </w:tcPr>
          <w:p w14:paraId="01F309DA" w14:textId="77777777" w:rsidR="00B02873" w:rsidRPr="005B6BE7" w:rsidRDefault="00B02873" w:rsidP="005B6BE7">
            <w:pPr>
              <w:pStyle w:val="TablebodyleftFinancialsTables"/>
              <w:rPr>
                <w:rFonts w:asciiTheme="minorHAnsi" w:hAnsiTheme="minorHAnsi" w:cstheme="minorHAnsi"/>
              </w:rPr>
            </w:pPr>
            <w:r w:rsidRPr="005B6BE7">
              <w:rPr>
                <w:rFonts w:asciiTheme="minorHAnsi" w:hAnsiTheme="minorHAnsi" w:cstheme="minorHAnsi"/>
              </w:rPr>
              <w:t>Buildings and structures</w:t>
            </w:r>
          </w:p>
        </w:tc>
        <w:tc>
          <w:tcPr>
            <w:tcW w:w="1190" w:type="dxa"/>
          </w:tcPr>
          <w:p w14:paraId="63CD8E77" w14:textId="77777777" w:rsidR="00B02873" w:rsidRPr="005B6BE7" w:rsidRDefault="00B02873" w:rsidP="005B6BE7">
            <w:pPr>
              <w:pStyle w:val="TablebodyleftFinancialsTables"/>
              <w:jc w:val="right"/>
              <w:rPr>
                <w:rFonts w:asciiTheme="minorHAnsi" w:hAnsiTheme="minorHAnsi" w:cstheme="minorHAnsi"/>
                <w:b/>
                <w:bCs/>
              </w:rPr>
            </w:pPr>
            <w:r w:rsidRPr="005B6BE7">
              <w:rPr>
                <w:rFonts w:asciiTheme="minorHAnsi" w:hAnsiTheme="minorHAnsi" w:cstheme="minorHAnsi"/>
                <w:b/>
                <w:bCs/>
              </w:rPr>
              <w:t>–</w:t>
            </w:r>
          </w:p>
        </w:tc>
        <w:tc>
          <w:tcPr>
            <w:tcW w:w="1191" w:type="dxa"/>
          </w:tcPr>
          <w:p w14:paraId="5FDF53C2" w14:textId="77777777" w:rsidR="00B02873" w:rsidRPr="005B6BE7" w:rsidRDefault="00B02873" w:rsidP="005B6BE7">
            <w:pPr>
              <w:pStyle w:val="TablebodyleftFinancialsTables"/>
              <w:jc w:val="right"/>
              <w:rPr>
                <w:rFonts w:asciiTheme="minorHAnsi" w:hAnsiTheme="minorHAnsi" w:cstheme="minorHAnsi"/>
              </w:rPr>
            </w:pPr>
            <w:r w:rsidRPr="005B6BE7">
              <w:rPr>
                <w:rFonts w:asciiTheme="minorHAnsi" w:hAnsiTheme="minorHAnsi" w:cstheme="minorHAnsi"/>
              </w:rPr>
              <w:t>26,500</w:t>
            </w:r>
          </w:p>
        </w:tc>
      </w:tr>
      <w:tr w:rsidR="00B02873" w:rsidRPr="005B6BE7" w14:paraId="7B319E9C" w14:textId="77777777" w:rsidTr="00062E53">
        <w:trPr>
          <w:trHeight w:val="330"/>
        </w:trPr>
        <w:tc>
          <w:tcPr>
            <w:tcW w:w="7257" w:type="dxa"/>
          </w:tcPr>
          <w:p w14:paraId="45E99CE0" w14:textId="77777777" w:rsidR="00B02873" w:rsidRPr="005B6BE7" w:rsidRDefault="00B02873" w:rsidP="005B6BE7">
            <w:pPr>
              <w:pStyle w:val="TablebodyleftFinancialsTables"/>
              <w:rPr>
                <w:rFonts w:asciiTheme="minorHAnsi" w:hAnsiTheme="minorHAnsi" w:cstheme="minorHAnsi"/>
              </w:rPr>
            </w:pPr>
            <w:r w:rsidRPr="005B6BE7">
              <w:rPr>
                <w:rFonts w:asciiTheme="minorHAnsi" w:hAnsiTheme="minorHAnsi" w:cstheme="minorHAnsi"/>
              </w:rPr>
              <w:t>Roads</w:t>
            </w:r>
          </w:p>
        </w:tc>
        <w:tc>
          <w:tcPr>
            <w:tcW w:w="1190" w:type="dxa"/>
          </w:tcPr>
          <w:p w14:paraId="2E340921" w14:textId="77777777" w:rsidR="00B02873" w:rsidRPr="005B6BE7" w:rsidRDefault="00B02873" w:rsidP="005B6BE7">
            <w:pPr>
              <w:pStyle w:val="TablebodyleftFinancialsTables"/>
              <w:jc w:val="right"/>
              <w:rPr>
                <w:rFonts w:asciiTheme="minorHAnsi" w:hAnsiTheme="minorHAnsi" w:cstheme="minorHAnsi"/>
                <w:b/>
                <w:bCs/>
              </w:rPr>
            </w:pPr>
            <w:r w:rsidRPr="005B6BE7">
              <w:rPr>
                <w:rFonts w:asciiTheme="minorHAnsi" w:hAnsiTheme="minorHAnsi" w:cstheme="minorHAnsi"/>
                <w:b/>
                <w:bCs/>
              </w:rPr>
              <w:t>–</w:t>
            </w:r>
          </w:p>
        </w:tc>
        <w:tc>
          <w:tcPr>
            <w:tcW w:w="1191" w:type="dxa"/>
          </w:tcPr>
          <w:p w14:paraId="1D4F02F8" w14:textId="7B1BB7A6" w:rsidR="00B02873" w:rsidRPr="005B6BE7" w:rsidRDefault="00012C04" w:rsidP="005B6BE7">
            <w:pPr>
              <w:pStyle w:val="TablebodyleftFinancialsTables"/>
              <w:jc w:val="right"/>
              <w:rPr>
                <w:rFonts w:asciiTheme="minorHAnsi" w:hAnsiTheme="minorHAnsi" w:cstheme="minorHAnsi"/>
              </w:rPr>
            </w:pPr>
            <w:r w:rsidRPr="005B6BE7">
              <w:rPr>
                <w:rFonts w:asciiTheme="minorHAnsi" w:hAnsiTheme="minorHAnsi" w:cstheme="minorHAnsi"/>
              </w:rPr>
              <w:t xml:space="preserve"> </w:t>
            </w:r>
            <w:r w:rsidR="00B02873" w:rsidRPr="005B6BE7">
              <w:rPr>
                <w:rFonts w:asciiTheme="minorHAnsi" w:hAnsiTheme="minorHAnsi" w:cstheme="minorHAnsi"/>
              </w:rPr>
              <w:t xml:space="preserve"> (257,095)</w:t>
            </w:r>
          </w:p>
        </w:tc>
      </w:tr>
      <w:tr w:rsidR="00B02873" w:rsidRPr="005B6BE7" w14:paraId="021BDF95" w14:textId="77777777" w:rsidTr="00062E53">
        <w:trPr>
          <w:trHeight w:val="60"/>
        </w:trPr>
        <w:tc>
          <w:tcPr>
            <w:tcW w:w="7257" w:type="dxa"/>
          </w:tcPr>
          <w:p w14:paraId="399EC18E" w14:textId="77777777" w:rsidR="00B02873" w:rsidRPr="005B6BE7" w:rsidRDefault="00B02873" w:rsidP="005B6BE7">
            <w:pPr>
              <w:pStyle w:val="TablebodyleftFinancialsTables"/>
              <w:rPr>
                <w:rFonts w:asciiTheme="minorHAnsi" w:hAnsiTheme="minorHAnsi" w:cstheme="minorHAnsi"/>
              </w:rPr>
            </w:pPr>
            <w:r w:rsidRPr="005B6BE7">
              <w:rPr>
                <w:rFonts w:asciiTheme="minorHAnsi" w:hAnsiTheme="minorHAnsi" w:cstheme="minorHAnsi"/>
              </w:rPr>
              <w:t>Historic and cultural assets</w:t>
            </w:r>
          </w:p>
        </w:tc>
        <w:tc>
          <w:tcPr>
            <w:tcW w:w="1190" w:type="dxa"/>
          </w:tcPr>
          <w:p w14:paraId="1A743A3B" w14:textId="77777777" w:rsidR="00B02873" w:rsidRPr="005B6BE7" w:rsidRDefault="00B02873" w:rsidP="005B6BE7">
            <w:pPr>
              <w:pStyle w:val="TablebodyleftFinancialsTables"/>
              <w:jc w:val="right"/>
              <w:rPr>
                <w:rFonts w:asciiTheme="minorHAnsi" w:hAnsiTheme="minorHAnsi" w:cstheme="minorHAnsi"/>
                <w:b/>
                <w:bCs/>
              </w:rPr>
            </w:pPr>
            <w:r w:rsidRPr="005B6BE7">
              <w:rPr>
                <w:rFonts w:asciiTheme="minorHAnsi" w:hAnsiTheme="minorHAnsi" w:cstheme="minorHAnsi"/>
                <w:b/>
                <w:bCs/>
              </w:rPr>
              <w:t xml:space="preserve"> 244</w:t>
            </w:r>
          </w:p>
        </w:tc>
        <w:tc>
          <w:tcPr>
            <w:tcW w:w="1191" w:type="dxa"/>
          </w:tcPr>
          <w:p w14:paraId="77EAB482" w14:textId="77777777" w:rsidR="00B02873" w:rsidRPr="005B6BE7" w:rsidRDefault="00B02873" w:rsidP="005B6BE7">
            <w:pPr>
              <w:pStyle w:val="TablebodyleftFinancialsTables"/>
              <w:jc w:val="right"/>
              <w:rPr>
                <w:rFonts w:asciiTheme="minorHAnsi" w:hAnsiTheme="minorHAnsi" w:cstheme="minorHAnsi"/>
              </w:rPr>
            </w:pPr>
            <w:r w:rsidRPr="005B6BE7">
              <w:rPr>
                <w:rFonts w:asciiTheme="minorHAnsi" w:hAnsiTheme="minorHAnsi" w:cstheme="minorHAnsi"/>
              </w:rPr>
              <w:t>1,146</w:t>
            </w:r>
          </w:p>
        </w:tc>
      </w:tr>
      <w:tr w:rsidR="00B02873" w:rsidRPr="005B6BE7" w14:paraId="18BB42BD" w14:textId="77777777" w:rsidTr="00062E53">
        <w:trPr>
          <w:trHeight w:val="60"/>
        </w:trPr>
        <w:tc>
          <w:tcPr>
            <w:tcW w:w="7257" w:type="dxa"/>
          </w:tcPr>
          <w:p w14:paraId="025D1074" w14:textId="77777777" w:rsidR="00B02873" w:rsidRPr="005B6BE7" w:rsidRDefault="00B02873" w:rsidP="005B6BE7">
            <w:pPr>
              <w:pStyle w:val="TablebodyleftFinancialsTables"/>
              <w:rPr>
                <w:rFonts w:asciiTheme="minorHAnsi" w:hAnsiTheme="minorHAnsi" w:cstheme="minorHAnsi"/>
              </w:rPr>
            </w:pPr>
            <w:r w:rsidRPr="005B6BE7">
              <w:rPr>
                <w:rFonts w:asciiTheme="minorHAnsi" w:hAnsiTheme="minorHAnsi" w:cstheme="minorHAnsi"/>
              </w:rPr>
              <w:t>Crown land – Land used for operational purposes</w:t>
            </w:r>
          </w:p>
        </w:tc>
        <w:tc>
          <w:tcPr>
            <w:tcW w:w="1190" w:type="dxa"/>
          </w:tcPr>
          <w:p w14:paraId="474CE3E5" w14:textId="3F7356CD" w:rsidR="00B02873" w:rsidRPr="005B6BE7" w:rsidRDefault="00012C04" w:rsidP="005B6BE7">
            <w:pPr>
              <w:pStyle w:val="TablebodyleftFinancialsTables"/>
              <w:jc w:val="right"/>
              <w:rPr>
                <w:rFonts w:asciiTheme="minorHAnsi" w:hAnsiTheme="minorHAnsi" w:cstheme="minorHAnsi"/>
                <w:b/>
                <w:bCs/>
              </w:rPr>
            </w:pPr>
            <w:r w:rsidRPr="005B6BE7">
              <w:rPr>
                <w:rFonts w:asciiTheme="minorHAnsi" w:hAnsiTheme="minorHAnsi" w:cstheme="minorHAnsi"/>
                <w:b/>
                <w:bCs/>
              </w:rPr>
              <w:t xml:space="preserve"> </w:t>
            </w:r>
            <w:r w:rsidR="00B02873" w:rsidRPr="005B6BE7">
              <w:rPr>
                <w:rFonts w:asciiTheme="minorHAnsi" w:hAnsiTheme="minorHAnsi" w:cstheme="minorHAnsi"/>
                <w:b/>
                <w:bCs/>
              </w:rPr>
              <w:t xml:space="preserve">4,857 </w:t>
            </w:r>
          </w:p>
        </w:tc>
        <w:tc>
          <w:tcPr>
            <w:tcW w:w="1191" w:type="dxa"/>
          </w:tcPr>
          <w:p w14:paraId="6BCFAA0A" w14:textId="77777777" w:rsidR="00B02873" w:rsidRPr="005B6BE7" w:rsidRDefault="00B02873" w:rsidP="005B6BE7">
            <w:pPr>
              <w:pStyle w:val="TablebodyleftFinancialsTables"/>
              <w:jc w:val="right"/>
              <w:rPr>
                <w:rFonts w:asciiTheme="minorHAnsi" w:hAnsiTheme="minorHAnsi" w:cstheme="minorHAnsi"/>
              </w:rPr>
            </w:pPr>
            <w:r w:rsidRPr="005B6BE7">
              <w:rPr>
                <w:rFonts w:asciiTheme="minorHAnsi" w:hAnsiTheme="minorHAnsi" w:cstheme="minorHAnsi"/>
              </w:rPr>
              <w:t>6,850</w:t>
            </w:r>
          </w:p>
        </w:tc>
      </w:tr>
      <w:tr w:rsidR="00B02873" w:rsidRPr="005B6BE7" w14:paraId="3148911E" w14:textId="77777777" w:rsidTr="00062E53">
        <w:trPr>
          <w:trHeight w:val="60"/>
        </w:trPr>
        <w:tc>
          <w:tcPr>
            <w:tcW w:w="7257" w:type="dxa"/>
          </w:tcPr>
          <w:p w14:paraId="62FBFEEF" w14:textId="77777777" w:rsidR="00B02873" w:rsidRPr="005B6BE7" w:rsidRDefault="00B02873" w:rsidP="005B6BE7">
            <w:pPr>
              <w:pStyle w:val="TablebodyleftFinancialsTables"/>
              <w:rPr>
                <w:rFonts w:asciiTheme="minorHAnsi" w:hAnsiTheme="minorHAnsi" w:cstheme="minorHAnsi"/>
              </w:rPr>
            </w:pPr>
            <w:r w:rsidRPr="005B6BE7">
              <w:rPr>
                <w:rFonts w:asciiTheme="minorHAnsi" w:hAnsiTheme="minorHAnsi" w:cstheme="minorHAnsi"/>
              </w:rPr>
              <w:t>Crown land – State forests</w:t>
            </w:r>
          </w:p>
        </w:tc>
        <w:tc>
          <w:tcPr>
            <w:tcW w:w="1190" w:type="dxa"/>
          </w:tcPr>
          <w:p w14:paraId="78701274" w14:textId="77777777" w:rsidR="00B02873" w:rsidRPr="005B6BE7" w:rsidRDefault="00B02873" w:rsidP="005B6BE7">
            <w:pPr>
              <w:pStyle w:val="TablebodyleftFinancialsTables"/>
              <w:jc w:val="right"/>
              <w:rPr>
                <w:rFonts w:asciiTheme="minorHAnsi" w:hAnsiTheme="minorHAnsi" w:cstheme="minorHAnsi"/>
                <w:b/>
                <w:bCs/>
              </w:rPr>
            </w:pPr>
            <w:r w:rsidRPr="005B6BE7">
              <w:rPr>
                <w:rFonts w:asciiTheme="minorHAnsi" w:hAnsiTheme="minorHAnsi" w:cstheme="minorHAnsi"/>
                <w:b/>
                <w:bCs/>
              </w:rPr>
              <w:t>414,353</w:t>
            </w:r>
          </w:p>
        </w:tc>
        <w:tc>
          <w:tcPr>
            <w:tcW w:w="1191" w:type="dxa"/>
          </w:tcPr>
          <w:p w14:paraId="7E80E11A" w14:textId="77777777" w:rsidR="00B02873" w:rsidRPr="005B6BE7" w:rsidRDefault="00B02873" w:rsidP="005B6BE7">
            <w:pPr>
              <w:pStyle w:val="TablebodyleftFinancialsTables"/>
              <w:jc w:val="right"/>
              <w:rPr>
                <w:rFonts w:asciiTheme="minorHAnsi" w:hAnsiTheme="minorHAnsi" w:cstheme="minorHAnsi"/>
              </w:rPr>
            </w:pPr>
            <w:r w:rsidRPr="005B6BE7">
              <w:rPr>
                <w:rFonts w:asciiTheme="minorHAnsi" w:hAnsiTheme="minorHAnsi" w:cstheme="minorHAnsi"/>
              </w:rPr>
              <w:t>920,782</w:t>
            </w:r>
          </w:p>
        </w:tc>
      </w:tr>
      <w:tr w:rsidR="00B02873" w:rsidRPr="005B6BE7" w14:paraId="42195627" w14:textId="77777777" w:rsidTr="00062E53">
        <w:trPr>
          <w:trHeight w:val="60"/>
        </w:trPr>
        <w:tc>
          <w:tcPr>
            <w:tcW w:w="7257" w:type="dxa"/>
          </w:tcPr>
          <w:p w14:paraId="47F3EA50" w14:textId="77777777" w:rsidR="00B02873" w:rsidRPr="005B6BE7" w:rsidRDefault="00B02873" w:rsidP="005B6BE7">
            <w:pPr>
              <w:pStyle w:val="TablebodyleftFinancialsTables"/>
              <w:rPr>
                <w:rFonts w:asciiTheme="minorHAnsi" w:hAnsiTheme="minorHAnsi" w:cstheme="minorHAnsi"/>
              </w:rPr>
            </w:pPr>
            <w:r w:rsidRPr="005B6BE7">
              <w:rPr>
                <w:rFonts w:asciiTheme="minorHAnsi" w:hAnsiTheme="minorHAnsi" w:cstheme="minorHAnsi"/>
              </w:rPr>
              <w:t>Crown land – Land, unused roads</w:t>
            </w:r>
          </w:p>
        </w:tc>
        <w:tc>
          <w:tcPr>
            <w:tcW w:w="1190" w:type="dxa"/>
          </w:tcPr>
          <w:p w14:paraId="7370E4AA" w14:textId="77777777" w:rsidR="00B02873" w:rsidRPr="005B6BE7" w:rsidRDefault="00B02873" w:rsidP="005B6BE7">
            <w:pPr>
              <w:pStyle w:val="TablebodyleftFinancialsTables"/>
              <w:jc w:val="right"/>
              <w:rPr>
                <w:rFonts w:asciiTheme="minorHAnsi" w:hAnsiTheme="minorHAnsi" w:cstheme="minorHAnsi"/>
                <w:b/>
                <w:bCs/>
              </w:rPr>
            </w:pPr>
            <w:r w:rsidRPr="005B6BE7">
              <w:rPr>
                <w:rFonts w:asciiTheme="minorHAnsi" w:hAnsiTheme="minorHAnsi" w:cstheme="minorHAnsi"/>
                <w:b/>
                <w:bCs/>
              </w:rPr>
              <w:t>593,376</w:t>
            </w:r>
          </w:p>
        </w:tc>
        <w:tc>
          <w:tcPr>
            <w:tcW w:w="1191" w:type="dxa"/>
          </w:tcPr>
          <w:p w14:paraId="4D013349" w14:textId="77777777" w:rsidR="00B02873" w:rsidRPr="005B6BE7" w:rsidRDefault="00B02873" w:rsidP="005B6BE7">
            <w:pPr>
              <w:pStyle w:val="TablebodyleftFinancialsTables"/>
              <w:jc w:val="right"/>
              <w:rPr>
                <w:rFonts w:asciiTheme="minorHAnsi" w:hAnsiTheme="minorHAnsi" w:cstheme="minorHAnsi"/>
              </w:rPr>
            </w:pPr>
            <w:r w:rsidRPr="005B6BE7">
              <w:rPr>
                <w:rFonts w:asciiTheme="minorHAnsi" w:hAnsiTheme="minorHAnsi" w:cstheme="minorHAnsi"/>
              </w:rPr>
              <w:t>42,266</w:t>
            </w:r>
          </w:p>
        </w:tc>
      </w:tr>
      <w:tr w:rsidR="00B02873" w:rsidRPr="005B6BE7" w14:paraId="6871966C" w14:textId="77777777" w:rsidTr="00062E53">
        <w:trPr>
          <w:trHeight w:val="60"/>
        </w:trPr>
        <w:tc>
          <w:tcPr>
            <w:tcW w:w="7257" w:type="dxa"/>
          </w:tcPr>
          <w:p w14:paraId="610AFFD1" w14:textId="77777777" w:rsidR="00B02873" w:rsidRPr="005B6BE7" w:rsidRDefault="00B02873" w:rsidP="005B6BE7">
            <w:pPr>
              <w:pStyle w:val="TablebodyleftFinancialsTables"/>
              <w:rPr>
                <w:rFonts w:asciiTheme="minorHAnsi" w:hAnsiTheme="minorHAnsi" w:cstheme="minorHAnsi"/>
              </w:rPr>
            </w:pPr>
            <w:r w:rsidRPr="005B6BE7">
              <w:rPr>
                <w:rFonts w:asciiTheme="minorHAnsi" w:hAnsiTheme="minorHAnsi" w:cstheme="minorHAnsi"/>
              </w:rPr>
              <w:t>Crown land – National parks</w:t>
            </w:r>
          </w:p>
        </w:tc>
        <w:tc>
          <w:tcPr>
            <w:tcW w:w="1190" w:type="dxa"/>
          </w:tcPr>
          <w:p w14:paraId="7E04D31B" w14:textId="77777777" w:rsidR="00B02873" w:rsidRPr="005B6BE7" w:rsidRDefault="00B02873" w:rsidP="005B6BE7">
            <w:pPr>
              <w:pStyle w:val="TablebodyleftFinancialsTables"/>
              <w:jc w:val="right"/>
              <w:rPr>
                <w:rFonts w:asciiTheme="minorHAnsi" w:hAnsiTheme="minorHAnsi" w:cstheme="minorHAnsi"/>
                <w:b/>
                <w:bCs/>
              </w:rPr>
            </w:pPr>
            <w:r w:rsidRPr="005B6BE7">
              <w:rPr>
                <w:rFonts w:asciiTheme="minorHAnsi" w:hAnsiTheme="minorHAnsi" w:cstheme="minorHAnsi"/>
                <w:b/>
                <w:bCs/>
              </w:rPr>
              <w:t>1,047</w:t>
            </w:r>
          </w:p>
        </w:tc>
        <w:tc>
          <w:tcPr>
            <w:tcW w:w="1191" w:type="dxa"/>
          </w:tcPr>
          <w:p w14:paraId="1A23BF60" w14:textId="12ED6704" w:rsidR="00B02873" w:rsidRPr="005B6BE7" w:rsidRDefault="00012C04" w:rsidP="005B6BE7">
            <w:pPr>
              <w:pStyle w:val="TablebodyleftFinancialsTables"/>
              <w:jc w:val="right"/>
              <w:rPr>
                <w:rFonts w:asciiTheme="minorHAnsi" w:hAnsiTheme="minorHAnsi" w:cstheme="minorHAnsi"/>
              </w:rPr>
            </w:pPr>
            <w:r w:rsidRPr="005B6BE7">
              <w:rPr>
                <w:rFonts w:asciiTheme="minorHAnsi" w:hAnsiTheme="minorHAnsi" w:cstheme="minorHAnsi"/>
              </w:rPr>
              <w:t xml:space="preserve"> </w:t>
            </w:r>
            <w:r w:rsidR="00B02873" w:rsidRPr="005B6BE7">
              <w:rPr>
                <w:rFonts w:asciiTheme="minorHAnsi" w:hAnsiTheme="minorHAnsi" w:cstheme="minorHAnsi"/>
              </w:rPr>
              <w:t xml:space="preserve"> 1,684</w:t>
            </w:r>
          </w:p>
        </w:tc>
      </w:tr>
      <w:tr w:rsidR="00B02873" w:rsidRPr="005B6BE7" w14:paraId="60D20258" w14:textId="77777777" w:rsidTr="00062E53">
        <w:trPr>
          <w:trHeight w:val="60"/>
        </w:trPr>
        <w:tc>
          <w:tcPr>
            <w:tcW w:w="7257" w:type="dxa"/>
          </w:tcPr>
          <w:p w14:paraId="68A49130" w14:textId="77777777" w:rsidR="00B02873" w:rsidRPr="005B6BE7" w:rsidRDefault="00B02873" w:rsidP="005B6BE7">
            <w:pPr>
              <w:pStyle w:val="TablebodyleftFinancialsTables"/>
              <w:rPr>
                <w:rFonts w:asciiTheme="minorHAnsi" w:hAnsiTheme="minorHAnsi" w:cstheme="minorHAnsi"/>
              </w:rPr>
            </w:pPr>
            <w:r w:rsidRPr="005B6BE7">
              <w:rPr>
                <w:rFonts w:asciiTheme="minorHAnsi" w:hAnsiTheme="minorHAnsi" w:cstheme="minorHAnsi"/>
              </w:rPr>
              <w:t xml:space="preserve">Crown land – Conservation reserves </w:t>
            </w:r>
          </w:p>
        </w:tc>
        <w:tc>
          <w:tcPr>
            <w:tcW w:w="1190" w:type="dxa"/>
          </w:tcPr>
          <w:p w14:paraId="0C62C41E" w14:textId="77777777" w:rsidR="00B02873" w:rsidRPr="005B6BE7" w:rsidRDefault="00B02873" w:rsidP="005B6BE7">
            <w:pPr>
              <w:pStyle w:val="TablebodyleftFinancialsTables"/>
              <w:jc w:val="right"/>
              <w:rPr>
                <w:rFonts w:asciiTheme="minorHAnsi" w:hAnsiTheme="minorHAnsi" w:cstheme="minorHAnsi"/>
                <w:b/>
                <w:bCs/>
              </w:rPr>
            </w:pPr>
            <w:r w:rsidRPr="005B6BE7">
              <w:rPr>
                <w:rFonts w:asciiTheme="minorHAnsi" w:hAnsiTheme="minorHAnsi" w:cstheme="minorHAnsi"/>
                <w:b/>
                <w:bCs/>
              </w:rPr>
              <w:t>15,387</w:t>
            </w:r>
          </w:p>
        </w:tc>
        <w:tc>
          <w:tcPr>
            <w:tcW w:w="1191" w:type="dxa"/>
          </w:tcPr>
          <w:p w14:paraId="440A7908" w14:textId="77777777" w:rsidR="00B02873" w:rsidRPr="005B6BE7" w:rsidRDefault="00B02873" w:rsidP="005B6BE7">
            <w:pPr>
              <w:pStyle w:val="TablebodyleftFinancialsTables"/>
              <w:jc w:val="right"/>
              <w:rPr>
                <w:rFonts w:asciiTheme="minorHAnsi" w:hAnsiTheme="minorHAnsi" w:cstheme="minorHAnsi"/>
              </w:rPr>
            </w:pPr>
            <w:r w:rsidRPr="005B6BE7">
              <w:rPr>
                <w:rFonts w:asciiTheme="minorHAnsi" w:hAnsiTheme="minorHAnsi" w:cstheme="minorHAnsi"/>
              </w:rPr>
              <w:t>(7,704)</w:t>
            </w:r>
          </w:p>
        </w:tc>
      </w:tr>
      <w:tr w:rsidR="00B02873" w:rsidRPr="005B6BE7" w14:paraId="5EE52F74" w14:textId="77777777" w:rsidTr="00062E53">
        <w:trPr>
          <w:trHeight w:val="60"/>
        </w:trPr>
        <w:tc>
          <w:tcPr>
            <w:tcW w:w="7257" w:type="dxa"/>
          </w:tcPr>
          <w:p w14:paraId="73B0CD05" w14:textId="77777777" w:rsidR="00B02873" w:rsidRPr="005B6BE7" w:rsidRDefault="00B02873" w:rsidP="005B6BE7">
            <w:pPr>
              <w:pStyle w:val="TablebodyleftFinancialsTables"/>
              <w:rPr>
                <w:rFonts w:asciiTheme="minorHAnsi" w:hAnsiTheme="minorHAnsi" w:cstheme="minorHAnsi"/>
              </w:rPr>
            </w:pPr>
            <w:r w:rsidRPr="005B6BE7">
              <w:rPr>
                <w:rFonts w:asciiTheme="minorHAnsi" w:hAnsiTheme="minorHAnsi" w:cstheme="minorHAnsi"/>
              </w:rPr>
              <w:t>Crown land – Metropolitan parks</w:t>
            </w:r>
          </w:p>
        </w:tc>
        <w:tc>
          <w:tcPr>
            <w:tcW w:w="1190" w:type="dxa"/>
          </w:tcPr>
          <w:p w14:paraId="60B63DF6" w14:textId="77777777" w:rsidR="00B02873" w:rsidRPr="005B6BE7" w:rsidRDefault="00B02873" w:rsidP="005B6BE7">
            <w:pPr>
              <w:pStyle w:val="TablebodyleftFinancialsTables"/>
              <w:jc w:val="right"/>
              <w:rPr>
                <w:rFonts w:asciiTheme="minorHAnsi" w:hAnsiTheme="minorHAnsi" w:cstheme="minorHAnsi"/>
                <w:b/>
                <w:bCs/>
              </w:rPr>
            </w:pPr>
            <w:r w:rsidRPr="005B6BE7">
              <w:rPr>
                <w:rFonts w:asciiTheme="minorHAnsi" w:hAnsiTheme="minorHAnsi" w:cstheme="minorHAnsi"/>
                <w:b/>
                <w:bCs/>
              </w:rPr>
              <w:t>1,582</w:t>
            </w:r>
          </w:p>
        </w:tc>
        <w:tc>
          <w:tcPr>
            <w:tcW w:w="1191" w:type="dxa"/>
          </w:tcPr>
          <w:p w14:paraId="4A73FE07" w14:textId="77777777" w:rsidR="00B02873" w:rsidRPr="005B6BE7" w:rsidRDefault="00B02873" w:rsidP="005B6BE7">
            <w:pPr>
              <w:pStyle w:val="TablebodyleftFinancialsTables"/>
              <w:jc w:val="right"/>
              <w:rPr>
                <w:rFonts w:asciiTheme="minorHAnsi" w:hAnsiTheme="minorHAnsi" w:cstheme="minorHAnsi"/>
              </w:rPr>
            </w:pPr>
            <w:r w:rsidRPr="005B6BE7">
              <w:rPr>
                <w:rFonts w:asciiTheme="minorHAnsi" w:hAnsiTheme="minorHAnsi" w:cstheme="minorHAnsi"/>
              </w:rPr>
              <w:t>(1,726)</w:t>
            </w:r>
          </w:p>
        </w:tc>
      </w:tr>
      <w:tr w:rsidR="00B02873" w:rsidRPr="005B6BE7" w14:paraId="4B4B76D6" w14:textId="77777777" w:rsidTr="00062E53">
        <w:trPr>
          <w:trHeight w:val="60"/>
        </w:trPr>
        <w:tc>
          <w:tcPr>
            <w:tcW w:w="7257" w:type="dxa"/>
          </w:tcPr>
          <w:p w14:paraId="195A57F9" w14:textId="6F7B1024" w:rsidR="00B02873" w:rsidRPr="005B6BE7" w:rsidRDefault="00B02873" w:rsidP="005B6BE7">
            <w:pPr>
              <w:pStyle w:val="TablebodyleftFinancialsTables"/>
              <w:rPr>
                <w:rFonts w:asciiTheme="minorHAnsi" w:hAnsiTheme="minorHAnsi" w:cstheme="minorHAnsi"/>
                <w:b/>
                <w:bCs/>
              </w:rPr>
            </w:pPr>
            <w:r w:rsidRPr="005B6BE7">
              <w:rPr>
                <w:rStyle w:val="LightItalic"/>
                <w:rFonts w:asciiTheme="minorHAnsi" w:hAnsiTheme="minorHAnsi" w:cstheme="minorHAnsi"/>
                <w:b/>
                <w:bCs/>
              </w:rPr>
              <w:t>Total increment/(decrement) on revaluation during the year to be included in Operating Statement under other economic flows:</w:t>
            </w:r>
          </w:p>
        </w:tc>
        <w:tc>
          <w:tcPr>
            <w:tcW w:w="1190" w:type="dxa"/>
          </w:tcPr>
          <w:p w14:paraId="39EDB556" w14:textId="77777777" w:rsidR="00B02873" w:rsidRPr="005B6BE7" w:rsidRDefault="00B02873" w:rsidP="005B6BE7">
            <w:pPr>
              <w:pStyle w:val="TablebodyleftFinancialsTables"/>
              <w:jc w:val="right"/>
              <w:rPr>
                <w:rFonts w:asciiTheme="minorHAnsi" w:hAnsiTheme="minorHAnsi" w:cstheme="minorHAnsi"/>
                <w:b/>
                <w:bCs/>
              </w:rPr>
            </w:pPr>
            <w:r w:rsidRPr="005B6BE7">
              <w:rPr>
                <w:rFonts w:asciiTheme="minorHAnsi" w:hAnsiTheme="minorHAnsi" w:cstheme="minorHAnsi"/>
                <w:b/>
                <w:bCs/>
              </w:rPr>
              <w:t>1,050,979</w:t>
            </w:r>
          </w:p>
        </w:tc>
        <w:tc>
          <w:tcPr>
            <w:tcW w:w="1191" w:type="dxa"/>
          </w:tcPr>
          <w:p w14:paraId="6F5281D3" w14:textId="77777777" w:rsidR="00B02873" w:rsidRPr="005B6BE7" w:rsidRDefault="00B02873" w:rsidP="005B6BE7">
            <w:pPr>
              <w:pStyle w:val="TablebodyleftFinancialsTables"/>
              <w:jc w:val="right"/>
              <w:rPr>
                <w:rFonts w:asciiTheme="minorHAnsi" w:hAnsiTheme="minorHAnsi" w:cstheme="minorHAnsi"/>
              </w:rPr>
            </w:pPr>
            <w:r w:rsidRPr="005B6BE7">
              <w:rPr>
                <w:rFonts w:asciiTheme="minorHAnsi" w:hAnsiTheme="minorHAnsi" w:cstheme="minorHAnsi"/>
              </w:rPr>
              <w:t>702,045</w:t>
            </w:r>
          </w:p>
        </w:tc>
      </w:tr>
      <w:tr w:rsidR="00B02873" w:rsidRPr="005B6BE7" w14:paraId="2C912BC5" w14:textId="77777777" w:rsidTr="00062E53">
        <w:trPr>
          <w:trHeight w:val="60"/>
        </w:trPr>
        <w:tc>
          <w:tcPr>
            <w:tcW w:w="7257" w:type="dxa"/>
          </w:tcPr>
          <w:p w14:paraId="291ABAE6" w14:textId="77777777" w:rsidR="00B02873" w:rsidRPr="005B6BE7" w:rsidRDefault="00B02873" w:rsidP="005B6BE7">
            <w:pPr>
              <w:pStyle w:val="TablebodyleftFinancialsTables"/>
              <w:rPr>
                <w:rFonts w:asciiTheme="minorHAnsi" w:hAnsiTheme="minorHAnsi" w:cstheme="minorHAnsi"/>
                <w:b/>
                <w:bCs/>
              </w:rPr>
            </w:pPr>
            <w:r w:rsidRPr="005B6BE7">
              <w:rPr>
                <w:rFonts w:asciiTheme="minorHAnsi" w:hAnsiTheme="minorHAnsi" w:cstheme="minorHAnsi"/>
                <w:b/>
                <w:bCs/>
              </w:rPr>
              <w:t xml:space="preserve">Balance at 30 June </w:t>
            </w:r>
          </w:p>
        </w:tc>
        <w:tc>
          <w:tcPr>
            <w:tcW w:w="1190" w:type="dxa"/>
          </w:tcPr>
          <w:p w14:paraId="0180C427" w14:textId="77777777" w:rsidR="00B02873" w:rsidRPr="005B6BE7" w:rsidRDefault="00B02873" w:rsidP="005B6BE7">
            <w:pPr>
              <w:pStyle w:val="TablebodyleftFinancialsTables"/>
              <w:jc w:val="right"/>
              <w:rPr>
                <w:rFonts w:asciiTheme="minorHAnsi" w:hAnsiTheme="minorHAnsi" w:cstheme="minorHAnsi"/>
                <w:b/>
                <w:bCs/>
              </w:rPr>
            </w:pPr>
            <w:r w:rsidRPr="005B6BE7">
              <w:rPr>
                <w:rFonts w:asciiTheme="minorHAnsi" w:hAnsiTheme="minorHAnsi" w:cstheme="minorHAnsi"/>
                <w:b/>
                <w:bCs/>
              </w:rPr>
              <w:t>6,615,663</w:t>
            </w:r>
          </w:p>
        </w:tc>
        <w:tc>
          <w:tcPr>
            <w:tcW w:w="1191" w:type="dxa"/>
          </w:tcPr>
          <w:p w14:paraId="43F1C14B" w14:textId="77777777" w:rsidR="00B02873" w:rsidRPr="005B6BE7" w:rsidRDefault="00B02873" w:rsidP="005B6BE7">
            <w:pPr>
              <w:pStyle w:val="TablebodyleftFinancialsTables"/>
              <w:jc w:val="right"/>
              <w:rPr>
                <w:rFonts w:asciiTheme="minorHAnsi" w:hAnsiTheme="minorHAnsi" w:cstheme="minorHAnsi"/>
              </w:rPr>
            </w:pPr>
            <w:r w:rsidRPr="005B6BE7">
              <w:rPr>
                <w:rFonts w:asciiTheme="minorHAnsi" w:hAnsiTheme="minorHAnsi" w:cstheme="minorHAnsi"/>
              </w:rPr>
              <w:t>5,564,684</w:t>
            </w:r>
          </w:p>
        </w:tc>
      </w:tr>
      <w:tr w:rsidR="00B02873" w:rsidRPr="005B6BE7" w14:paraId="25733BBA" w14:textId="77777777" w:rsidTr="00062E53">
        <w:trPr>
          <w:trHeight w:val="60"/>
        </w:trPr>
        <w:tc>
          <w:tcPr>
            <w:tcW w:w="7257" w:type="dxa"/>
          </w:tcPr>
          <w:p w14:paraId="5848FB7B" w14:textId="77777777" w:rsidR="00B02873" w:rsidRPr="005B6BE7" w:rsidRDefault="00B02873" w:rsidP="005B6BE7">
            <w:pPr>
              <w:pStyle w:val="TablebodyleftFinancialsTables"/>
              <w:rPr>
                <w:rFonts w:asciiTheme="minorHAnsi" w:hAnsiTheme="minorHAnsi" w:cstheme="minorHAnsi"/>
                <w:b/>
                <w:bCs/>
              </w:rPr>
            </w:pPr>
            <w:r w:rsidRPr="005B6BE7">
              <w:rPr>
                <w:rFonts w:asciiTheme="minorHAnsi" w:hAnsiTheme="minorHAnsi" w:cstheme="minorHAnsi"/>
                <w:b/>
                <w:bCs/>
              </w:rPr>
              <w:t>Net change in physical asset revaluation surplus</w:t>
            </w:r>
          </w:p>
        </w:tc>
        <w:tc>
          <w:tcPr>
            <w:tcW w:w="1190" w:type="dxa"/>
          </w:tcPr>
          <w:p w14:paraId="02E49280" w14:textId="77777777" w:rsidR="00B02873" w:rsidRPr="005B6BE7" w:rsidRDefault="00B02873" w:rsidP="005B6BE7">
            <w:pPr>
              <w:pStyle w:val="TablebodyleftFinancialsTables"/>
              <w:jc w:val="right"/>
              <w:rPr>
                <w:rFonts w:asciiTheme="minorHAnsi" w:hAnsiTheme="minorHAnsi" w:cstheme="minorHAnsi"/>
                <w:b/>
                <w:bCs/>
              </w:rPr>
            </w:pPr>
            <w:r w:rsidRPr="005B6BE7">
              <w:rPr>
                <w:rFonts w:asciiTheme="minorHAnsi" w:hAnsiTheme="minorHAnsi" w:cstheme="minorHAnsi"/>
                <w:b/>
                <w:bCs/>
              </w:rPr>
              <w:t>1,050,979</w:t>
            </w:r>
          </w:p>
        </w:tc>
        <w:tc>
          <w:tcPr>
            <w:tcW w:w="1191" w:type="dxa"/>
          </w:tcPr>
          <w:p w14:paraId="15D4F2CC" w14:textId="77777777" w:rsidR="00B02873" w:rsidRPr="005B6BE7" w:rsidRDefault="00B02873" w:rsidP="005B6BE7">
            <w:pPr>
              <w:pStyle w:val="TablebodyleftFinancialsTables"/>
              <w:jc w:val="right"/>
              <w:rPr>
                <w:rFonts w:asciiTheme="minorHAnsi" w:hAnsiTheme="minorHAnsi" w:cstheme="minorHAnsi"/>
              </w:rPr>
            </w:pPr>
            <w:r w:rsidRPr="005B6BE7">
              <w:rPr>
                <w:rFonts w:asciiTheme="minorHAnsi" w:hAnsiTheme="minorHAnsi" w:cstheme="minorHAnsi"/>
              </w:rPr>
              <w:t>702,045</w:t>
            </w:r>
          </w:p>
        </w:tc>
      </w:tr>
    </w:tbl>
    <w:p w14:paraId="50C72137" w14:textId="77777777" w:rsidR="00B02873" w:rsidRDefault="00B02873" w:rsidP="00FE198A"/>
    <w:p w14:paraId="0252223C" w14:textId="5F2719B5" w:rsidR="00B02873" w:rsidRDefault="00B02873" w:rsidP="005B6BE7">
      <w:pPr>
        <w:pStyle w:val="Boldheader"/>
      </w:pPr>
      <w:r>
        <w:t>Nature and purpose of physical asset revaluation surplus</w:t>
      </w:r>
    </w:p>
    <w:p w14:paraId="23F816D0" w14:textId="76C28398" w:rsidR="00B02873" w:rsidRDefault="00B02873" w:rsidP="00FE198A">
      <w:r>
        <w:t>The physical asset revaluation surplus is used to record increments and decrements on the revaluation of non-current physical assets.</w:t>
      </w:r>
    </w:p>
    <w:p w14:paraId="7F8FFA2F" w14:textId="77777777" w:rsidR="00B02873" w:rsidRDefault="00B02873" w:rsidP="005B6BE7">
      <w:pPr>
        <w:pStyle w:val="Heading4"/>
      </w:pPr>
      <w:r>
        <w:lastRenderedPageBreak/>
        <w:t>9.3.2 Capital contributions transferred to portfolio entities</w:t>
      </w:r>
    </w:p>
    <w:tbl>
      <w:tblPr>
        <w:tblStyle w:val="TableGrid"/>
        <w:tblW w:w="0" w:type="auto"/>
        <w:tblLayout w:type="fixed"/>
        <w:tblLook w:val="0020" w:firstRow="1" w:lastRow="0" w:firstColumn="0" w:lastColumn="0" w:noHBand="0" w:noVBand="0"/>
      </w:tblPr>
      <w:tblGrid>
        <w:gridCol w:w="7257"/>
        <w:gridCol w:w="1190"/>
        <w:gridCol w:w="1191"/>
      </w:tblGrid>
      <w:tr w:rsidR="00B02873" w:rsidRPr="00B02873" w14:paraId="206F0E6F" w14:textId="77777777" w:rsidTr="005B6BE7">
        <w:trPr>
          <w:cnfStyle w:val="100000000000" w:firstRow="1" w:lastRow="0" w:firstColumn="0" w:lastColumn="0" w:oddVBand="0" w:evenVBand="0" w:oddHBand="0" w:evenHBand="0" w:firstRowFirstColumn="0" w:firstRowLastColumn="0" w:lastRowFirstColumn="0" w:lastRowLastColumn="0"/>
          <w:trHeight w:val="60"/>
        </w:trPr>
        <w:tc>
          <w:tcPr>
            <w:tcW w:w="7257" w:type="dxa"/>
          </w:tcPr>
          <w:p w14:paraId="517DDF00" w14:textId="77777777" w:rsidR="00B02873" w:rsidRPr="00B02873" w:rsidRDefault="00B02873" w:rsidP="005B6BE7">
            <w:pPr>
              <w:pStyle w:val="TableheadingleftFinancialsTables"/>
            </w:pPr>
          </w:p>
        </w:tc>
        <w:tc>
          <w:tcPr>
            <w:tcW w:w="1190" w:type="dxa"/>
          </w:tcPr>
          <w:p w14:paraId="64E0DBA3" w14:textId="77777777" w:rsidR="00B02873" w:rsidRPr="005B6BE7" w:rsidRDefault="00B02873" w:rsidP="005B6BE7">
            <w:pPr>
              <w:pStyle w:val="TableheadingleftFinancialsTables"/>
              <w:jc w:val="right"/>
            </w:pPr>
            <w:r w:rsidRPr="005B6BE7">
              <w:t>2022</w:t>
            </w:r>
            <w:r w:rsidRPr="005B6BE7">
              <w:br/>
              <w:t>$’000</w:t>
            </w:r>
          </w:p>
        </w:tc>
        <w:tc>
          <w:tcPr>
            <w:tcW w:w="1191" w:type="dxa"/>
          </w:tcPr>
          <w:p w14:paraId="2156F7D9" w14:textId="77777777" w:rsidR="00B02873" w:rsidRDefault="00B02873" w:rsidP="005B6BE7">
            <w:pPr>
              <w:pStyle w:val="TableheadingleftFinancialsTables"/>
              <w:jc w:val="right"/>
            </w:pPr>
            <w:r>
              <w:t>2021</w:t>
            </w:r>
            <w:r>
              <w:br/>
              <w:t>$’000</w:t>
            </w:r>
          </w:p>
        </w:tc>
      </w:tr>
      <w:tr w:rsidR="00B02873" w:rsidRPr="00B02873" w14:paraId="179E46C6" w14:textId="77777777" w:rsidTr="005B6BE7">
        <w:trPr>
          <w:trHeight w:val="60"/>
        </w:trPr>
        <w:tc>
          <w:tcPr>
            <w:tcW w:w="7257" w:type="dxa"/>
          </w:tcPr>
          <w:p w14:paraId="5F89808E" w14:textId="77777777" w:rsidR="00B02873" w:rsidRPr="005B6BE7" w:rsidRDefault="00B02873" w:rsidP="005B6BE7">
            <w:pPr>
              <w:pStyle w:val="TablebodyleftFinancialsTables"/>
              <w:rPr>
                <w:b/>
                <w:bCs/>
              </w:rPr>
            </w:pPr>
            <w:r w:rsidRPr="005B6BE7">
              <w:rPr>
                <w:b/>
                <w:bCs/>
              </w:rPr>
              <w:t>Capital contributions transferred to portfolio entities</w:t>
            </w:r>
          </w:p>
        </w:tc>
        <w:tc>
          <w:tcPr>
            <w:tcW w:w="1190" w:type="dxa"/>
          </w:tcPr>
          <w:p w14:paraId="3915A552" w14:textId="77777777" w:rsidR="00B02873" w:rsidRPr="005B6BE7" w:rsidRDefault="00B02873" w:rsidP="005B6BE7">
            <w:pPr>
              <w:pStyle w:val="TablebodyleftFinancialsTables"/>
              <w:jc w:val="right"/>
              <w:rPr>
                <w:rFonts w:ascii="VIC Bold Italic" w:hAnsi="VIC Bold Italic" w:cs="Times New Roman"/>
                <w:b/>
                <w:bCs/>
              </w:rPr>
            </w:pPr>
          </w:p>
        </w:tc>
        <w:tc>
          <w:tcPr>
            <w:tcW w:w="1191" w:type="dxa"/>
          </w:tcPr>
          <w:p w14:paraId="0E741D8C" w14:textId="77777777" w:rsidR="00B02873" w:rsidRPr="00B02873" w:rsidRDefault="00B02873" w:rsidP="005B6BE7">
            <w:pPr>
              <w:pStyle w:val="TablebodyleftFinancialsTables"/>
              <w:jc w:val="right"/>
              <w:rPr>
                <w:rFonts w:ascii="VIC Bold Italic" w:hAnsi="VIC Bold Italic" w:cs="Times New Roman"/>
              </w:rPr>
            </w:pPr>
          </w:p>
        </w:tc>
      </w:tr>
      <w:tr w:rsidR="00B02873" w:rsidRPr="00B02873" w14:paraId="0BF063ED" w14:textId="77777777" w:rsidTr="005B6BE7">
        <w:trPr>
          <w:trHeight w:val="60"/>
        </w:trPr>
        <w:tc>
          <w:tcPr>
            <w:tcW w:w="7257" w:type="dxa"/>
          </w:tcPr>
          <w:p w14:paraId="2E0DD546" w14:textId="77777777" w:rsidR="00B02873" w:rsidRDefault="00B02873" w:rsidP="005B6BE7">
            <w:pPr>
              <w:pStyle w:val="TablebodyleftFinancialsTables"/>
            </w:pPr>
            <w:r>
              <w:t>Contributions to Parks Victoria</w:t>
            </w:r>
          </w:p>
        </w:tc>
        <w:tc>
          <w:tcPr>
            <w:tcW w:w="1190" w:type="dxa"/>
          </w:tcPr>
          <w:p w14:paraId="63BBB2DF" w14:textId="77777777" w:rsidR="00B02873" w:rsidRPr="005B6BE7" w:rsidRDefault="00B02873" w:rsidP="005B6BE7">
            <w:pPr>
              <w:pStyle w:val="TablebodyleftFinancialsTables"/>
              <w:jc w:val="right"/>
              <w:rPr>
                <w:b/>
                <w:bCs/>
              </w:rPr>
            </w:pPr>
            <w:r w:rsidRPr="005B6BE7">
              <w:rPr>
                <w:b/>
                <w:bCs/>
              </w:rPr>
              <w:t>35,315</w:t>
            </w:r>
          </w:p>
        </w:tc>
        <w:tc>
          <w:tcPr>
            <w:tcW w:w="1191" w:type="dxa"/>
          </w:tcPr>
          <w:p w14:paraId="32CA0A0D" w14:textId="77777777" w:rsidR="00B02873" w:rsidRDefault="00B02873" w:rsidP="005B6BE7">
            <w:pPr>
              <w:pStyle w:val="TablebodyleftFinancialsTables"/>
              <w:jc w:val="right"/>
            </w:pPr>
            <w:r>
              <w:t>5,055</w:t>
            </w:r>
          </w:p>
        </w:tc>
      </w:tr>
      <w:tr w:rsidR="00B02873" w:rsidRPr="00B02873" w14:paraId="08E30BDE" w14:textId="77777777" w:rsidTr="005B6BE7">
        <w:trPr>
          <w:trHeight w:val="60"/>
        </w:trPr>
        <w:tc>
          <w:tcPr>
            <w:tcW w:w="7257" w:type="dxa"/>
          </w:tcPr>
          <w:p w14:paraId="20362E5A" w14:textId="77777777" w:rsidR="00B02873" w:rsidRDefault="00B02873" w:rsidP="005B6BE7">
            <w:pPr>
              <w:pStyle w:val="TablebodyleftFinancialsTables"/>
            </w:pPr>
            <w:r>
              <w:t>Contributions to water authorities</w:t>
            </w:r>
          </w:p>
        </w:tc>
        <w:tc>
          <w:tcPr>
            <w:tcW w:w="1190" w:type="dxa"/>
          </w:tcPr>
          <w:p w14:paraId="599CEF76" w14:textId="77777777" w:rsidR="00B02873" w:rsidRPr="005B6BE7" w:rsidRDefault="00B02873" w:rsidP="005B6BE7">
            <w:pPr>
              <w:pStyle w:val="TablebodyleftFinancialsTables"/>
              <w:jc w:val="right"/>
              <w:rPr>
                <w:b/>
                <w:bCs/>
              </w:rPr>
            </w:pPr>
            <w:r w:rsidRPr="005B6BE7">
              <w:rPr>
                <w:b/>
                <w:bCs/>
              </w:rPr>
              <w:t>48,740</w:t>
            </w:r>
          </w:p>
        </w:tc>
        <w:tc>
          <w:tcPr>
            <w:tcW w:w="1191" w:type="dxa"/>
          </w:tcPr>
          <w:p w14:paraId="749B679E" w14:textId="77777777" w:rsidR="00B02873" w:rsidRDefault="00B02873" w:rsidP="005B6BE7">
            <w:pPr>
              <w:pStyle w:val="TablebodyleftFinancialsTables"/>
              <w:jc w:val="right"/>
            </w:pPr>
            <w:r>
              <w:t>61,851</w:t>
            </w:r>
          </w:p>
        </w:tc>
      </w:tr>
      <w:tr w:rsidR="00B02873" w:rsidRPr="00B02873" w14:paraId="2D5EA5E6" w14:textId="77777777" w:rsidTr="005B6BE7">
        <w:trPr>
          <w:trHeight w:val="60"/>
        </w:trPr>
        <w:tc>
          <w:tcPr>
            <w:tcW w:w="7257" w:type="dxa"/>
          </w:tcPr>
          <w:p w14:paraId="094AF3AE" w14:textId="77777777" w:rsidR="00B02873" w:rsidRDefault="00B02873" w:rsidP="005B6BE7">
            <w:pPr>
              <w:pStyle w:val="TablebodyleftFinancialsTables"/>
            </w:pPr>
            <w:r>
              <w:t>Contributions to Zoological Parks and Gardens Board of Victoria</w:t>
            </w:r>
          </w:p>
        </w:tc>
        <w:tc>
          <w:tcPr>
            <w:tcW w:w="1190" w:type="dxa"/>
          </w:tcPr>
          <w:p w14:paraId="1B731E40" w14:textId="77777777" w:rsidR="00B02873" w:rsidRPr="005B6BE7" w:rsidRDefault="00B02873" w:rsidP="005B6BE7">
            <w:pPr>
              <w:pStyle w:val="TablebodyleftFinancialsTables"/>
              <w:jc w:val="right"/>
              <w:rPr>
                <w:b/>
                <w:bCs/>
              </w:rPr>
            </w:pPr>
            <w:r w:rsidRPr="005B6BE7">
              <w:rPr>
                <w:b/>
                <w:bCs/>
              </w:rPr>
              <w:t>20,595</w:t>
            </w:r>
          </w:p>
        </w:tc>
        <w:tc>
          <w:tcPr>
            <w:tcW w:w="1191" w:type="dxa"/>
          </w:tcPr>
          <w:p w14:paraId="2A5C2E08" w14:textId="77777777" w:rsidR="00B02873" w:rsidRDefault="00B02873" w:rsidP="005B6BE7">
            <w:pPr>
              <w:pStyle w:val="TablebodyleftFinancialsTables"/>
              <w:jc w:val="right"/>
            </w:pPr>
            <w:r>
              <w:t>7,676</w:t>
            </w:r>
          </w:p>
        </w:tc>
      </w:tr>
      <w:tr w:rsidR="00B02873" w:rsidRPr="00B02873" w14:paraId="72884091" w14:textId="77777777" w:rsidTr="005B6BE7">
        <w:trPr>
          <w:trHeight w:val="60"/>
        </w:trPr>
        <w:tc>
          <w:tcPr>
            <w:tcW w:w="7257" w:type="dxa"/>
          </w:tcPr>
          <w:p w14:paraId="230F3CDA" w14:textId="77777777" w:rsidR="00B02873" w:rsidRDefault="00B02873" w:rsidP="005B6BE7">
            <w:pPr>
              <w:pStyle w:val="TablebodyleftFinancialsTables"/>
            </w:pPr>
            <w:r>
              <w:t>Contribution to Alpine Resort Management Boards</w:t>
            </w:r>
          </w:p>
        </w:tc>
        <w:tc>
          <w:tcPr>
            <w:tcW w:w="1190" w:type="dxa"/>
          </w:tcPr>
          <w:p w14:paraId="1A9E37F0" w14:textId="77777777" w:rsidR="00B02873" w:rsidRPr="005B6BE7" w:rsidRDefault="00B02873" w:rsidP="005B6BE7">
            <w:pPr>
              <w:pStyle w:val="TablebodyleftFinancialsTables"/>
              <w:jc w:val="right"/>
              <w:rPr>
                <w:b/>
                <w:bCs/>
              </w:rPr>
            </w:pPr>
            <w:r w:rsidRPr="005B6BE7">
              <w:rPr>
                <w:b/>
                <w:bCs/>
              </w:rPr>
              <w:t>3,000</w:t>
            </w:r>
          </w:p>
        </w:tc>
        <w:tc>
          <w:tcPr>
            <w:tcW w:w="1191" w:type="dxa"/>
          </w:tcPr>
          <w:p w14:paraId="42D4A344" w14:textId="77777777" w:rsidR="00B02873" w:rsidRDefault="00B02873" w:rsidP="005B6BE7">
            <w:pPr>
              <w:pStyle w:val="TablebodyleftFinancialsTables"/>
              <w:jc w:val="right"/>
            </w:pPr>
            <w:r>
              <w:t>–</w:t>
            </w:r>
          </w:p>
        </w:tc>
      </w:tr>
      <w:tr w:rsidR="00B02873" w:rsidRPr="00B02873" w14:paraId="0AEF1825" w14:textId="77777777" w:rsidTr="005B6BE7">
        <w:trPr>
          <w:trHeight w:val="60"/>
        </w:trPr>
        <w:tc>
          <w:tcPr>
            <w:tcW w:w="7257" w:type="dxa"/>
          </w:tcPr>
          <w:p w14:paraId="7021E4D9" w14:textId="77777777" w:rsidR="00B02873" w:rsidRPr="005B6BE7" w:rsidRDefault="00B02873" w:rsidP="005B6BE7">
            <w:pPr>
              <w:pStyle w:val="TablebodyleftFinancialsTables"/>
              <w:rPr>
                <w:b/>
                <w:bCs/>
              </w:rPr>
            </w:pPr>
            <w:r w:rsidRPr="005B6BE7">
              <w:rPr>
                <w:b/>
                <w:bCs/>
              </w:rPr>
              <w:t>Total capital contributions transferred to portfolio entities</w:t>
            </w:r>
          </w:p>
        </w:tc>
        <w:tc>
          <w:tcPr>
            <w:tcW w:w="1190" w:type="dxa"/>
          </w:tcPr>
          <w:p w14:paraId="5F554181" w14:textId="77777777" w:rsidR="00B02873" w:rsidRPr="005B6BE7" w:rsidRDefault="00B02873" w:rsidP="005B6BE7">
            <w:pPr>
              <w:pStyle w:val="TablebodyleftFinancialsTables"/>
              <w:jc w:val="right"/>
              <w:rPr>
                <w:b/>
                <w:bCs/>
              </w:rPr>
            </w:pPr>
            <w:r w:rsidRPr="005B6BE7">
              <w:rPr>
                <w:b/>
                <w:bCs/>
              </w:rPr>
              <w:t>107,650</w:t>
            </w:r>
          </w:p>
        </w:tc>
        <w:tc>
          <w:tcPr>
            <w:tcW w:w="1191" w:type="dxa"/>
          </w:tcPr>
          <w:p w14:paraId="64BEE89F" w14:textId="77777777" w:rsidR="00B02873" w:rsidRDefault="00B02873" w:rsidP="005B6BE7">
            <w:pPr>
              <w:pStyle w:val="TablebodyleftFinancialsTables"/>
              <w:jc w:val="right"/>
            </w:pPr>
            <w:r>
              <w:t>74,582</w:t>
            </w:r>
          </w:p>
        </w:tc>
      </w:tr>
    </w:tbl>
    <w:p w14:paraId="117E0B00" w14:textId="77777777" w:rsidR="00B02873" w:rsidRDefault="00B02873" w:rsidP="00FE198A"/>
    <w:p w14:paraId="2B78C463" w14:textId="77777777" w:rsidR="00B02873" w:rsidRPr="005B6BE7" w:rsidRDefault="00B02873" w:rsidP="00FE198A">
      <w:pPr>
        <w:rPr>
          <w:rFonts w:asciiTheme="minorHAnsi" w:hAnsiTheme="minorHAnsi" w:cstheme="minorHAnsi"/>
        </w:rPr>
      </w:pPr>
      <w:r w:rsidRPr="005B6BE7">
        <w:rPr>
          <w:rFonts w:asciiTheme="minorHAnsi" w:hAnsiTheme="minorHAnsi" w:cstheme="minorHAnsi"/>
        </w:rPr>
        <w:t xml:space="preserve">Consistent with the requirements of AASB 1004 </w:t>
      </w:r>
      <w:r w:rsidRPr="005B6BE7">
        <w:rPr>
          <w:rStyle w:val="LightItalic"/>
          <w:rFonts w:asciiTheme="minorHAnsi" w:hAnsiTheme="minorHAnsi" w:cstheme="minorHAnsi"/>
        </w:rPr>
        <w:t>Contributions</w:t>
      </w:r>
      <w:r w:rsidRPr="005B6BE7">
        <w:rPr>
          <w:rFonts w:asciiTheme="minorHAnsi" w:hAnsiTheme="minorHAnsi" w:cstheme="minorHAnsi"/>
        </w:rPr>
        <w:t>, contributions by owners (that is, contributed capital and its repayment) are treated as equity transactions and, therefore, do not form part of the income and expenses of the department.</w:t>
      </w:r>
    </w:p>
    <w:p w14:paraId="5312C515" w14:textId="77777777" w:rsidR="00B02873" w:rsidRDefault="00B02873" w:rsidP="00FE198A">
      <w:r>
        <w:t>Additions to net assets that have been designated as contributions by owners are recognised as contributed capital. Other transfers that are in the nature of contributions to or distributions by owners have also been designated as contributions by owners.</w:t>
      </w:r>
    </w:p>
    <w:p w14:paraId="121F9C89" w14:textId="18E2AC84" w:rsidR="00B02873" w:rsidRDefault="00B02873" w:rsidP="00FE198A">
      <w:r>
        <w:t>Transfers of net assets arising from administrative restructuring are treated as distributions to or contributions by owners. Transfers of net liabilities arising from administrative restructuring are treated</w:t>
      </w:r>
      <w:r w:rsidR="005B6BE7">
        <w:t xml:space="preserve"> </w:t>
      </w:r>
      <w:r>
        <w:t>as distributions to owners.</w:t>
      </w:r>
    </w:p>
    <w:p w14:paraId="61C4E871" w14:textId="77777777" w:rsidR="00B02873" w:rsidRDefault="00B02873" w:rsidP="005B6BE7">
      <w:pPr>
        <w:pStyle w:val="Heading3"/>
      </w:pPr>
      <w:r>
        <w:t>9.4 Subsequent events</w:t>
      </w:r>
    </w:p>
    <w:p w14:paraId="5A162B7D" w14:textId="77777777" w:rsidR="00B02873" w:rsidRDefault="00B02873" w:rsidP="005B6BE7">
      <w:pPr>
        <w:pStyle w:val="Heading4"/>
      </w:pPr>
      <w:r>
        <w:t>Establishment of Recycling Victoria</w:t>
      </w:r>
    </w:p>
    <w:p w14:paraId="1F8F3E97" w14:textId="77777777" w:rsidR="00B02873" w:rsidRDefault="00B02873" w:rsidP="00FE198A">
      <w:r>
        <w:t xml:space="preserve">On 14 December 2021, the </w:t>
      </w:r>
      <w:r w:rsidRPr="005B6BE7">
        <w:rPr>
          <w:rStyle w:val="LightItalic"/>
          <w:rFonts w:asciiTheme="minorHAnsi" w:hAnsiTheme="minorHAnsi" w:cstheme="minorHAnsi"/>
        </w:rPr>
        <w:t>Circular Economy (Waste Reduction and Recycling) Act 2021</w:t>
      </w:r>
      <w:r>
        <w:t xml:space="preserve"> received Royal Assent. The Act saw the establishment of Recycling Victoria on 1 July 2022, a dedicated business unit within DELWP that provides strategic leadership and oversight of the waste and recycling sector. On commencement, the seven Waste and Resource Recovery Groups, as well as the infrastructure planning function performed by Sustainability Victoria transferred to DELWP. </w:t>
      </w:r>
    </w:p>
    <w:p w14:paraId="5560FB13" w14:textId="77777777" w:rsidR="00B02873" w:rsidRDefault="00B02873" w:rsidP="00FE198A">
      <w:r>
        <w:t>The assets and liabilities of the WRRGs and the Sustainability Victoria function will transfer to DELWP via contributed capital as per FRD 119 on 1 July 2022. The estimated amount of total net assets to be transferred is $7 million.</w:t>
      </w:r>
    </w:p>
    <w:p w14:paraId="048CE80A" w14:textId="77777777" w:rsidR="00B02873" w:rsidRDefault="00B02873" w:rsidP="00FE198A">
      <w:r>
        <w:t>There are no other subsequent events to disclose.</w:t>
      </w:r>
    </w:p>
    <w:p w14:paraId="2CAE7CD5" w14:textId="77777777" w:rsidR="00B02873" w:rsidRDefault="00B02873" w:rsidP="005B6BE7">
      <w:pPr>
        <w:pStyle w:val="Heading3"/>
      </w:pPr>
      <w:bookmarkStart w:id="76" w:name="_Ref116975780"/>
      <w:r>
        <w:t>9.5 Responsible persons</w:t>
      </w:r>
      <w:bookmarkEnd w:id="76"/>
      <w:r>
        <w:t xml:space="preserve"> </w:t>
      </w:r>
    </w:p>
    <w:p w14:paraId="3CF7CFDF" w14:textId="77777777" w:rsidR="00B02873" w:rsidRDefault="00B02873" w:rsidP="00FE198A">
      <w:r>
        <w:rPr>
          <w:spacing w:val="-3"/>
        </w:rPr>
        <w:t xml:space="preserve">In accordance with the Ministerial Directions issued by the Assistant Treasurer under the </w:t>
      </w:r>
      <w:r w:rsidRPr="005B6BE7">
        <w:rPr>
          <w:rStyle w:val="LightItalic"/>
          <w:rFonts w:asciiTheme="minorHAnsi" w:hAnsiTheme="minorHAnsi" w:cstheme="minorHAnsi"/>
          <w:spacing w:val="-3"/>
        </w:rPr>
        <w:t>Financial Management Act 1994</w:t>
      </w:r>
      <w:r>
        <w:rPr>
          <w:spacing w:val="-3"/>
        </w:rPr>
        <w:t>, the following disclosures are made regarding responsible persons for the reporting period.</w:t>
      </w:r>
    </w:p>
    <w:p w14:paraId="09EE6559" w14:textId="77777777" w:rsidR="00B02873" w:rsidRDefault="00B02873" w:rsidP="005B6BE7">
      <w:pPr>
        <w:pStyle w:val="Heading4"/>
      </w:pPr>
      <w:r>
        <w:lastRenderedPageBreak/>
        <w:t>Names</w:t>
      </w:r>
    </w:p>
    <w:p w14:paraId="19B2B7D0" w14:textId="77777777" w:rsidR="00B02873" w:rsidRDefault="00B02873" w:rsidP="005B6BE7">
      <w:pPr>
        <w:pStyle w:val="Normalbeforebullet"/>
      </w:pPr>
      <w:r>
        <w:t>The persons who held the positions of Ministers and Accountable Officers in the department are as follows:</w:t>
      </w:r>
    </w:p>
    <w:tbl>
      <w:tblPr>
        <w:tblStyle w:val="TableGrid"/>
        <w:tblW w:w="9776" w:type="dxa"/>
        <w:tblLayout w:type="fixed"/>
        <w:tblLook w:val="0020" w:firstRow="1" w:lastRow="0" w:firstColumn="0" w:lastColumn="0" w:noHBand="0" w:noVBand="0"/>
      </w:tblPr>
      <w:tblGrid>
        <w:gridCol w:w="4390"/>
        <w:gridCol w:w="3118"/>
        <w:gridCol w:w="2268"/>
      </w:tblGrid>
      <w:tr w:rsidR="00B02873" w:rsidRPr="00B02873" w14:paraId="24A953CF" w14:textId="77777777" w:rsidTr="005B6BE7">
        <w:trPr>
          <w:cnfStyle w:val="100000000000" w:firstRow="1" w:lastRow="0" w:firstColumn="0" w:lastColumn="0" w:oddVBand="0" w:evenVBand="0" w:oddHBand="0" w:evenHBand="0" w:firstRowFirstColumn="0" w:firstRowLastColumn="0" w:lastRowFirstColumn="0" w:lastRowLastColumn="0"/>
          <w:trHeight w:val="60"/>
        </w:trPr>
        <w:tc>
          <w:tcPr>
            <w:tcW w:w="4390" w:type="dxa"/>
          </w:tcPr>
          <w:p w14:paraId="78426E0A" w14:textId="77777777" w:rsidR="00B02873" w:rsidRDefault="00B02873" w:rsidP="005B6BE7">
            <w:pPr>
              <w:pStyle w:val="TablebodyleftTables"/>
              <w:keepNext/>
            </w:pPr>
            <w:r>
              <w:t>Minister for Water</w:t>
            </w:r>
          </w:p>
        </w:tc>
        <w:tc>
          <w:tcPr>
            <w:tcW w:w="3118" w:type="dxa"/>
          </w:tcPr>
          <w:p w14:paraId="278480C7" w14:textId="77777777" w:rsidR="00B02873" w:rsidRDefault="00B02873" w:rsidP="005B6BE7">
            <w:pPr>
              <w:pStyle w:val="TablebodyleftTables"/>
              <w:keepNext/>
            </w:pPr>
            <w:r>
              <w:t>The Hon. Lisa Neville MP</w:t>
            </w:r>
          </w:p>
        </w:tc>
        <w:tc>
          <w:tcPr>
            <w:tcW w:w="2268" w:type="dxa"/>
          </w:tcPr>
          <w:p w14:paraId="214D119C" w14:textId="77777777" w:rsidR="00B02873" w:rsidRDefault="00B02873" w:rsidP="005B6BE7">
            <w:pPr>
              <w:pStyle w:val="TablebodyleftTables"/>
              <w:keepNext/>
            </w:pPr>
            <w:r>
              <w:t>1 July 2021 to 27 June 2022</w:t>
            </w:r>
          </w:p>
        </w:tc>
      </w:tr>
      <w:tr w:rsidR="00B02873" w:rsidRPr="00B02873" w14:paraId="61EA4399" w14:textId="77777777" w:rsidTr="005B6BE7">
        <w:trPr>
          <w:trHeight w:val="60"/>
        </w:trPr>
        <w:tc>
          <w:tcPr>
            <w:tcW w:w="4390" w:type="dxa"/>
          </w:tcPr>
          <w:p w14:paraId="0F00E047" w14:textId="77777777" w:rsidR="00B02873" w:rsidRDefault="00B02873" w:rsidP="005B6BE7">
            <w:pPr>
              <w:pStyle w:val="TablebodyleftTables"/>
            </w:pPr>
            <w:r>
              <w:t>Minister for Water</w:t>
            </w:r>
          </w:p>
        </w:tc>
        <w:tc>
          <w:tcPr>
            <w:tcW w:w="3118" w:type="dxa"/>
          </w:tcPr>
          <w:p w14:paraId="2FA8C07C" w14:textId="77777777" w:rsidR="00B02873" w:rsidRDefault="00B02873" w:rsidP="005B6BE7">
            <w:pPr>
              <w:pStyle w:val="TablebodyleftTables"/>
            </w:pPr>
            <w:r>
              <w:t>The Hon. Harriet Shing MP</w:t>
            </w:r>
          </w:p>
        </w:tc>
        <w:tc>
          <w:tcPr>
            <w:tcW w:w="2268" w:type="dxa"/>
          </w:tcPr>
          <w:p w14:paraId="77ED33D4" w14:textId="77777777" w:rsidR="00B02873" w:rsidRDefault="00B02873" w:rsidP="005B6BE7">
            <w:pPr>
              <w:pStyle w:val="TablebodyleftTables"/>
            </w:pPr>
            <w:r>
              <w:t>27 June 2022 to 30 June 2022</w:t>
            </w:r>
          </w:p>
        </w:tc>
      </w:tr>
      <w:tr w:rsidR="00B02873" w:rsidRPr="00B02873" w14:paraId="3E0C10B9" w14:textId="77777777" w:rsidTr="005B6BE7">
        <w:trPr>
          <w:trHeight w:val="60"/>
        </w:trPr>
        <w:tc>
          <w:tcPr>
            <w:tcW w:w="4390" w:type="dxa"/>
          </w:tcPr>
          <w:p w14:paraId="733040E3" w14:textId="77777777" w:rsidR="00B02873" w:rsidRDefault="00B02873" w:rsidP="005B6BE7">
            <w:pPr>
              <w:pStyle w:val="TablebodyleftTables"/>
            </w:pPr>
            <w:r>
              <w:t>Minister for Energy, Environment and Climate Change</w:t>
            </w:r>
          </w:p>
        </w:tc>
        <w:tc>
          <w:tcPr>
            <w:tcW w:w="3118" w:type="dxa"/>
          </w:tcPr>
          <w:p w14:paraId="1D362B6B" w14:textId="77777777" w:rsidR="00B02873" w:rsidRDefault="00B02873" w:rsidP="005B6BE7">
            <w:pPr>
              <w:pStyle w:val="TablebodyleftTables"/>
            </w:pPr>
            <w:r>
              <w:t>The Hon. Lily D’Ambrosio MP</w:t>
            </w:r>
          </w:p>
        </w:tc>
        <w:tc>
          <w:tcPr>
            <w:tcW w:w="2268" w:type="dxa"/>
          </w:tcPr>
          <w:p w14:paraId="422C7187" w14:textId="77777777" w:rsidR="00B02873" w:rsidRDefault="00B02873" w:rsidP="005B6BE7">
            <w:pPr>
              <w:pStyle w:val="TablebodyleftTables"/>
            </w:pPr>
            <w:r>
              <w:t>1 July 2021 to 27 June 2022</w:t>
            </w:r>
          </w:p>
        </w:tc>
      </w:tr>
      <w:tr w:rsidR="00B02873" w:rsidRPr="00B02873" w14:paraId="193D3EB5" w14:textId="77777777" w:rsidTr="005B6BE7">
        <w:trPr>
          <w:trHeight w:val="60"/>
        </w:trPr>
        <w:tc>
          <w:tcPr>
            <w:tcW w:w="4390" w:type="dxa"/>
          </w:tcPr>
          <w:p w14:paraId="6FEA6A63" w14:textId="77777777" w:rsidR="00B02873" w:rsidRDefault="00B02873" w:rsidP="005B6BE7">
            <w:pPr>
              <w:pStyle w:val="TablebodyleftTables"/>
            </w:pPr>
            <w:r>
              <w:t>Minister for Energy</w:t>
            </w:r>
          </w:p>
        </w:tc>
        <w:tc>
          <w:tcPr>
            <w:tcW w:w="3118" w:type="dxa"/>
          </w:tcPr>
          <w:p w14:paraId="0F00485C" w14:textId="77777777" w:rsidR="00B02873" w:rsidRDefault="00B02873" w:rsidP="005B6BE7">
            <w:pPr>
              <w:pStyle w:val="TablebodyleftTables"/>
            </w:pPr>
            <w:r>
              <w:t>The Hon. Lily D’Ambrosio MP</w:t>
            </w:r>
          </w:p>
        </w:tc>
        <w:tc>
          <w:tcPr>
            <w:tcW w:w="2268" w:type="dxa"/>
          </w:tcPr>
          <w:p w14:paraId="18E4B695" w14:textId="77777777" w:rsidR="00B02873" w:rsidRDefault="00B02873" w:rsidP="005B6BE7">
            <w:pPr>
              <w:pStyle w:val="TablebodyleftTables"/>
            </w:pPr>
            <w:r>
              <w:t>27 June 2022 to 30 June 2022</w:t>
            </w:r>
          </w:p>
        </w:tc>
      </w:tr>
      <w:tr w:rsidR="00B02873" w:rsidRPr="00B02873" w14:paraId="0ABB33DC" w14:textId="77777777" w:rsidTr="005B6BE7">
        <w:trPr>
          <w:trHeight w:val="60"/>
        </w:trPr>
        <w:tc>
          <w:tcPr>
            <w:tcW w:w="4390" w:type="dxa"/>
          </w:tcPr>
          <w:p w14:paraId="5D9B71A8" w14:textId="77777777" w:rsidR="00B02873" w:rsidRDefault="00B02873" w:rsidP="005B6BE7">
            <w:pPr>
              <w:pStyle w:val="TablebodyleftTables"/>
            </w:pPr>
            <w:r>
              <w:t xml:space="preserve">Minister for Environment and Climate Acton </w:t>
            </w:r>
          </w:p>
        </w:tc>
        <w:tc>
          <w:tcPr>
            <w:tcW w:w="3118" w:type="dxa"/>
          </w:tcPr>
          <w:p w14:paraId="2F6413F2" w14:textId="77777777" w:rsidR="00B02873" w:rsidRDefault="00B02873" w:rsidP="005B6BE7">
            <w:pPr>
              <w:pStyle w:val="TablebodyleftTables"/>
            </w:pPr>
            <w:r>
              <w:t>The Hon. Lily D’Ambrosio MP</w:t>
            </w:r>
          </w:p>
        </w:tc>
        <w:tc>
          <w:tcPr>
            <w:tcW w:w="2268" w:type="dxa"/>
          </w:tcPr>
          <w:p w14:paraId="2D5E038E" w14:textId="77777777" w:rsidR="00B02873" w:rsidRDefault="00B02873" w:rsidP="005B6BE7">
            <w:pPr>
              <w:pStyle w:val="TablebodyleftTables"/>
            </w:pPr>
            <w:r>
              <w:t>27 June 2022 to 30 June 2022</w:t>
            </w:r>
          </w:p>
        </w:tc>
      </w:tr>
      <w:tr w:rsidR="00B02873" w:rsidRPr="00B02873" w14:paraId="1EADE941" w14:textId="77777777" w:rsidTr="005B6BE7">
        <w:trPr>
          <w:trHeight w:val="60"/>
        </w:trPr>
        <w:tc>
          <w:tcPr>
            <w:tcW w:w="4390" w:type="dxa"/>
          </w:tcPr>
          <w:p w14:paraId="4AC12728" w14:textId="77777777" w:rsidR="00B02873" w:rsidRDefault="00B02873" w:rsidP="005B6BE7">
            <w:pPr>
              <w:pStyle w:val="TablebodyleftTables"/>
            </w:pPr>
            <w:r>
              <w:t>Minister for Solar Homes</w:t>
            </w:r>
          </w:p>
        </w:tc>
        <w:tc>
          <w:tcPr>
            <w:tcW w:w="3118" w:type="dxa"/>
          </w:tcPr>
          <w:p w14:paraId="6F08181F" w14:textId="77777777" w:rsidR="00B02873" w:rsidRDefault="00B02873" w:rsidP="005B6BE7">
            <w:pPr>
              <w:pStyle w:val="TablebodyleftTables"/>
            </w:pPr>
            <w:r>
              <w:t>The Hon. Lily D’Ambrosio MP</w:t>
            </w:r>
          </w:p>
        </w:tc>
        <w:tc>
          <w:tcPr>
            <w:tcW w:w="2268" w:type="dxa"/>
          </w:tcPr>
          <w:p w14:paraId="2492615D" w14:textId="77777777" w:rsidR="00B02873" w:rsidRDefault="00B02873" w:rsidP="005B6BE7">
            <w:pPr>
              <w:pStyle w:val="TablebodyleftTables"/>
            </w:pPr>
            <w:r>
              <w:t>1 July 2021 to 30 June 2022</w:t>
            </w:r>
          </w:p>
        </w:tc>
      </w:tr>
      <w:tr w:rsidR="00B02873" w:rsidRPr="00B02873" w14:paraId="2EC84EAE" w14:textId="77777777" w:rsidTr="005B6BE7">
        <w:trPr>
          <w:trHeight w:val="60"/>
        </w:trPr>
        <w:tc>
          <w:tcPr>
            <w:tcW w:w="4390" w:type="dxa"/>
          </w:tcPr>
          <w:p w14:paraId="10DA2C7F" w14:textId="77777777" w:rsidR="00B02873" w:rsidRDefault="00B02873" w:rsidP="005B6BE7">
            <w:pPr>
              <w:pStyle w:val="TablebodyleftTables"/>
            </w:pPr>
            <w:r>
              <w:t>Minister for Planning</w:t>
            </w:r>
          </w:p>
        </w:tc>
        <w:tc>
          <w:tcPr>
            <w:tcW w:w="3118" w:type="dxa"/>
          </w:tcPr>
          <w:p w14:paraId="1CE9BB5D" w14:textId="77777777" w:rsidR="00B02873" w:rsidRDefault="00B02873" w:rsidP="005B6BE7">
            <w:pPr>
              <w:pStyle w:val="TablebodyleftTables"/>
            </w:pPr>
            <w:r>
              <w:t>The Hon. Richard Wynne MP</w:t>
            </w:r>
          </w:p>
        </w:tc>
        <w:tc>
          <w:tcPr>
            <w:tcW w:w="2268" w:type="dxa"/>
          </w:tcPr>
          <w:p w14:paraId="4DC58D3D" w14:textId="77777777" w:rsidR="00B02873" w:rsidRDefault="00B02873" w:rsidP="005B6BE7">
            <w:pPr>
              <w:pStyle w:val="TablebodyleftTables"/>
            </w:pPr>
            <w:r>
              <w:t>1 July 2021 to 27 June 2022</w:t>
            </w:r>
          </w:p>
        </w:tc>
      </w:tr>
      <w:tr w:rsidR="00B02873" w:rsidRPr="00B02873" w14:paraId="6E740E4C" w14:textId="77777777" w:rsidTr="005B6BE7">
        <w:trPr>
          <w:trHeight w:val="60"/>
        </w:trPr>
        <w:tc>
          <w:tcPr>
            <w:tcW w:w="4390" w:type="dxa"/>
          </w:tcPr>
          <w:p w14:paraId="557F23CE" w14:textId="77777777" w:rsidR="00B02873" w:rsidRDefault="00B02873" w:rsidP="005B6BE7">
            <w:pPr>
              <w:pStyle w:val="TablebodyleftTables"/>
            </w:pPr>
            <w:r>
              <w:t>Minister for Planning</w:t>
            </w:r>
          </w:p>
        </w:tc>
        <w:tc>
          <w:tcPr>
            <w:tcW w:w="3118" w:type="dxa"/>
          </w:tcPr>
          <w:p w14:paraId="098D7154" w14:textId="77777777" w:rsidR="00B02873" w:rsidRPr="005B6BE7" w:rsidRDefault="00B02873" w:rsidP="005B6BE7">
            <w:pPr>
              <w:pStyle w:val="TablebodyleftTables"/>
              <w:rPr>
                <w:spacing w:val="-2"/>
              </w:rPr>
            </w:pPr>
            <w:r w:rsidRPr="005B6BE7">
              <w:rPr>
                <w:spacing w:val="-2"/>
              </w:rPr>
              <w:t>The Hon. Lizzie Blandthorn MP</w:t>
            </w:r>
          </w:p>
        </w:tc>
        <w:tc>
          <w:tcPr>
            <w:tcW w:w="2268" w:type="dxa"/>
          </w:tcPr>
          <w:p w14:paraId="12414EAD" w14:textId="77777777" w:rsidR="00B02873" w:rsidRDefault="00B02873" w:rsidP="005B6BE7">
            <w:pPr>
              <w:pStyle w:val="TablebodyleftTables"/>
            </w:pPr>
            <w:r>
              <w:t>27 June 2022 to 30 June 2022</w:t>
            </w:r>
          </w:p>
        </w:tc>
      </w:tr>
      <w:tr w:rsidR="00B02873" w:rsidRPr="00B02873" w14:paraId="5698B730" w14:textId="77777777" w:rsidTr="005B6BE7">
        <w:trPr>
          <w:trHeight w:val="330"/>
        </w:trPr>
        <w:tc>
          <w:tcPr>
            <w:tcW w:w="4390" w:type="dxa"/>
          </w:tcPr>
          <w:p w14:paraId="75557670" w14:textId="77777777" w:rsidR="00B02873" w:rsidRDefault="00B02873" w:rsidP="005B6BE7">
            <w:pPr>
              <w:pStyle w:val="TablebodyleftTables"/>
            </w:pPr>
            <w:r>
              <w:t>Secretary</w:t>
            </w:r>
          </w:p>
        </w:tc>
        <w:tc>
          <w:tcPr>
            <w:tcW w:w="3118" w:type="dxa"/>
          </w:tcPr>
          <w:p w14:paraId="6AAD9834" w14:textId="77777777" w:rsidR="00B02873" w:rsidRDefault="00B02873" w:rsidP="005B6BE7">
            <w:pPr>
              <w:pStyle w:val="TablebodyleftTables"/>
            </w:pPr>
            <w:r>
              <w:t>Mr John Bradley PSM</w:t>
            </w:r>
          </w:p>
        </w:tc>
        <w:tc>
          <w:tcPr>
            <w:tcW w:w="2268" w:type="dxa"/>
          </w:tcPr>
          <w:p w14:paraId="20B4E3ED" w14:textId="77777777" w:rsidR="00B02873" w:rsidRDefault="00B02873" w:rsidP="005B6BE7">
            <w:pPr>
              <w:pStyle w:val="TablebodyleftTables"/>
            </w:pPr>
            <w:r>
              <w:t>1 July 2021 to 30 June 2022</w:t>
            </w:r>
          </w:p>
        </w:tc>
      </w:tr>
    </w:tbl>
    <w:p w14:paraId="3BB8A034" w14:textId="77777777" w:rsidR="00B02873" w:rsidRDefault="00B02873" w:rsidP="00FE198A"/>
    <w:p w14:paraId="34E6B6B8" w14:textId="3677A1B6" w:rsidR="00B02873" w:rsidRDefault="00B02873" w:rsidP="00FE198A">
      <w:pPr>
        <w:rPr>
          <w:spacing w:val="-3"/>
        </w:rPr>
      </w:pPr>
      <w:r>
        <w:rPr>
          <w:spacing w:val="-4"/>
        </w:rPr>
        <w:t>Remuneration received or receivable by the Accountable Officer in connection with the management of the department during the reporting period was in the range: $580,000</w:t>
      </w:r>
      <w:r w:rsidR="000C45FC">
        <w:rPr>
          <w:spacing w:val="-4"/>
        </w:rPr>
        <w:t>–</w:t>
      </w:r>
      <w:r>
        <w:rPr>
          <w:spacing w:val="-4"/>
        </w:rPr>
        <w:t>$590,000 ($570,000</w:t>
      </w:r>
      <w:r w:rsidR="000C45FC">
        <w:rPr>
          <w:spacing w:val="-4"/>
        </w:rPr>
        <w:t>–</w:t>
      </w:r>
      <w:r>
        <w:rPr>
          <w:spacing w:val="-4"/>
        </w:rPr>
        <w:t>$580,000 in 2020-21).</w:t>
      </w:r>
    </w:p>
    <w:p w14:paraId="11FC83CB" w14:textId="77777777" w:rsidR="00B02873" w:rsidRDefault="00B02873" w:rsidP="00404344">
      <w:pPr>
        <w:pStyle w:val="Heading5"/>
      </w:pPr>
      <w:r>
        <w:t>Acting arrangements</w:t>
      </w:r>
    </w:p>
    <w:p w14:paraId="1F58B925" w14:textId="3EF0BB1D" w:rsidR="00B02873" w:rsidRDefault="00B02873" w:rsidP="00FE198A">
      <w:r>
        <w:t xml:space="preserve">The Hon. Richard Wynne MP acted as Minister for Water for the periods 1 to 6 July 2021, 15 July 2021 to 22 August 2021, 21 to 25 January 2022 and 29 May to 5 June 2022. He also acted as Minister for Energy, Environment and Climate Change and Minister for Solar Homes for the period 21 January to 2 February 2022. </w:t>
      </w:r>
    </w:p>
    <w:p w14:paraId="29C39556" w14:textId="77777777" w:rsidR="00B02873" w:rsidRDefault="00B02873" w:rsidP="00FE198A">
      <w:r>
        <w:t>The Hon. Lily D’Ambrosio MP acted as Minister for Water for the period 7 to 14 July 2021 and 10 to 20 January 2022. She also acted as Minister for Planning for the period 10 to 20 January 2022.</w:t>
      </w:r>
    </w:p>
    <w:p w14:paraId="4F44D65D" w14:textId="77777777" w:rsidR="00B02873" w:rsidRDefault="00B02873" w:rsidP="00FE198A">
      <w:r>
        <w:t>The Hon. Lisa Neville MP acted as Minister for Planning for the period 1 to 9 January 2022.</w:t>
      </w:r>
    </w:p>
    <w:p w14:paraId="1EE08AA0" w14:textId="77777777" w:rsidR="00B02873" w:rsidRDefault="00B02873" w:rsidP="00FE198A">
      <w:r>
        <w:t>The Hon. Melissa Horne MP acted as Minister for Water for the period 7 to 14 July 2021</w:t>
      </w:r>
    </w:p>
    <w:p w14:paraId="2732D1A0" w14:textId="34470B92" w:rsidR="00B02873" w:rsidRDefault="00B02873" w:rsidP="00FE198A">
      <w:r>
        <w:t xml:space="preserve">Graeme Emonson acted as Secretary for the period 1 to 11 July 2021 and Helen Vaughan acted as the Secretary for the period 18 December 2021 to 9 January 2022. </w:t>
      </w:r>
    </w:p>
    <w:p w14:paraId="63A0B520" w14:textId="77777777" w:rsidR="00B02873" w:rsidRDefault="00B02873" w:rsidP="00404344">
      <w:pPr>
        <w:pStyle w:val="Heading3"/>
      </w:pPr>
      <w:r>
        <w:lastRenderedPageBreak/>
        <w:t xml:space="preserve">9.6 Remuneration of executive officers (including executives defined as Key Management Personnel) </w:t>
      </w:r>
    </w:p>
    <w:p w14:paraId="275169D6" w14:textId="77777777" w:rsidR="00B02873" w:rsidRDefault="00B02873" w:rsidP="00FE198A">
      <w:r>
        <w:t>The number of executive officers, other than ministers and the accountable officer, and their total remuneration during the reporting period are shown in the table below. Total annualised employee equivalents provide a measure of full time equivalent executive officers over the reporting period.</w:t>
      </w:r>
    </w:p>
    <w:p w14:paraId="79560F14" w14:textId="77777777" w:rsidR="00B02873" w:rsidRPr="00404344" w:rsidRDefault="00B02873" w:rsidP="00FE198A">
      <w:pPr>
        <w:rPr>
          <w:rFonts w:asciiTheme="minorHAnsi" w:hAnsiTheme="minorHAnsi" w:cstheme="minorHAnsi"/>
        </w:rPr>
      </w:pPr>
      <w:r w:rsidRPr="00404344">
        <w:rPr>
          <w:rFonts w:asciiTheme="minorHAnsi" w:hAnsiTheme="minorHAnsi" w:cstheme="minorHAnsi"/>
        </w:rPr>
        <w:t xml:space="preserve">Remuneration comprises employee benefits (as defined in AASB 119 </w:t>
      </w:r>
      <w:r w:rsidRPr="00404344">
        <w:rPr>
          <w:rStyle w:val="LightItalic"/>
          <w:rFonts w:asciiTheme="minorHAnsi" w:hAnsiTheme="minorHAnsi" w:cstheme="minorHAnsi"/>
        </w:rPr>
        <w:t>Employee Benefits</w:t>
      </w:r>
      <w:r w:rsidRPr="00404344">
        <w:rPr>
          <w:rFonts w:asciiTheme="minorHAnsi" w:hAnsiTheme="minorHAnsi" w:cstheme="minorHAnsi"/>
        </w:rPr>
        <w:t xml:space="preserve">) in all forms of consideration paid, payable or provided by the entity, or on behalf of the entity, in exchange for services rendered, and is disclosed in the following categories. </w:t>
      </w:r>
    </w:p>
    <w:p w14:paraId="758D7862" w14:textId="69425734" w:rsidR="00B02873" w:rsidRDefault="00B02873" w:rsidP="00FE198A">
      <w:r>
        <w:rPr>
          <w:rStyle w:val="Bold"/>
        </w:rPr>
        <w:t>Short-term employee benefits</w:t>
      </w:r>
      <w:r>
        <w:t xml:space="preserve"> include amounts such as wages, salaries, annual leave or sick leave that are usually paid or payable on a regular basis, as well as non-monetary benefits such as allowances and free or subsidised goods or services. </w:t>
      </w:r>
    </w:p>
    <w:p w14:paraId="4F504D33" w14:textId="4D987C6B" w:rsidR="00B02873" w:rsidRDefault="00B02873" w:rsidP="00FE198A">
      <w:r>
        <w:rPr>
          <w:rStyle w:val="Bold"/>
        </w:rPr>
        <w:t>Post-employment benefits</w:t>
      </w:r>
      <w:r>
        <w:t xml:space="preserve"> include superannuation contributions and other retirement benefits paid or payable on a discrete basis when employment has ceased. </w:t>
      </w:r>
    </w:p>
    <w:p w14:paraId="56AE7245" w14:textId="77777777" w:rsidR="00B02873" w:rsidRDefault="00B02873" w:rsidP="00FE198A">
      <w:r>
        <w:rPr>
          <w:rStyle w:val="Bold"/>
        </w:rPr>
        <w:t>Other long-term benefits</w:t>
      </w:r>
      <w:r>
        <w:t xml:space="preserve"> include long service leave and deferred compensation. </w:t>
      </w:r>
    </w:p>
    <w:p w14:paraId="7D62AB9C" w14:textId="77777777" w:rsidR="00B02873" w:rsidRDefault="00B02873" w:rsidP="00FE198A">
      <w:r>
        <w:rPr>
          <w:rStyle w:val="Bold"/>
        </w:rPr>
        <w:t>Termination benefits</w:t>
      </w:r>
      <w:r>
        <w:t xml:space="preserve"> include termination of employment payments, such as severance packages.</w:t>
      </w:r>
    </w:p>
    <w:tbl>
      <w:tblPr>
        <w:tblStyle w:val="TableGrid"/>
        <w:tblW w:w="0" w:type="auto"/>
        <w:tblLayout w:type="fixed"/>
        <w:tblLook w:val="0020" w:firstRow="1" w:lastRow="0" w:firstColumn="0" w:lastColumn="0" w:noHBand="0" w:noVBand="0"/>
      </w:tblPr>
      <w:tblGrid>
        <w:gridCol w:w="7257"/>
        <w:gridCol w:w="1190"/>
        <w:gridCol w:w="1191"/>
      </w:tblGrid>
      <w:tr w:rsidR="00B02873" w:rsidRPr="00B02873" w14:paraId="6F8A2347" w14:textId="77777777" w:rsidTr="00404344">
        <w:trPr>
          <w:cnfStyle w:val="100000000000" w:firstRow="1" w:lastRow="0" w:firstColumn="0" w:lastColumn="0" w:oddVBand="0" w:evenVBand="0" w:oddHBand="0" w:evenHBand="0" w:firstRowFirstColumn="0" w:firstRowLastColumn="0" w:lastRowFirstColumn="0" w:lastRowLastColumn="0"/>
          <w:trHeight w:val="60"/>
        </w:trPr>
        <w:tc>
          <w:tcPr>
            <w:tcW w:w="7257" w:type="dxa"/>
          </w:tcPr>
          <w:p w14:paraId="4D5E8B1D" w14:textId="77777777" w:rsidR="00B02873" w:rsidRPr="00B02873" w:rsidRDefault="00B02873" w:rsidP="00404344">
            <w:pPr>
              <w:pStyle w:val="TableheadingleftFinancialsTables"/>
            </w:pPr>
          </w:p>
        </w:tc>
        <w:tc>
          <w:tcPr>
            <w:tcW w:w="1190" w:type="dxa"/>
          </w:tcPr>
          <w:p w14:paraId="3F0BB2B9" w14:textId="77777777" w:rsidR="00B02873" w:rsidRPr="00404344" w:rsidRDefault="00B02873" w:rsidP="00404344">
            <w:pPr>
              <w:pStyle w:val="TableheadingleftFinancialsTables"/>
              <w:jc w:val="right"/>
            </w:pPr>
            <w:r w:rsidRPr="00404344">
              <w:t xml:space="preserve">2022 </w:t>
            </w:r>
            <w:r w:rsidRPr="00404344">
              <w:br/>
              <w:t>$’000</w:t>
            </w:r>
          </w:p>
        </w:tc>
        <w:tc>
          <w:tcPr>
            <w:tcW w:w="1191" w:type="dxa"/>
          </w:tcPr>
          <w:p w14:paraId="3ED43F38" w14:textId="77777777" w:rsidR="00B02873" w:rsidRDefault="00B02873" w:rsidP="00404344">
            <w:pPr>
              <w:pStyle w:val="TableheadingleftFinancialsTables"/>
              <w:jc w:val="right"/>
            </w:pPr>
            <w:r>
              <w:t>2021</w:t>
            </w:r>
            <w:r>
              <w:br/>
              <w:t>$’000</w:t>
            </w:r>
          </w:p>
        </w:tc>
      </w:tr>
      <w:tr w:rsidR="00B02873" w:rsidRPr="00B02873" w14:paraId="7EF7B12E" w14:textId="77777777" w:rsidTr="00404344">
        <w:trPr>
          <w:trHeight w:val="60"/>
        </w:trPr>
        <w:tc>
          <w:tcPr>
            <w:tcW w:w="7257" w:type="dxa"/>
          </w:tcPr>
          <w:p w14:paraId="21785621" w14:textId="77777777" w:rsidR="00B02873" w:rsidRPr="00404344" w:rsidRDefault="00B02873" w:rsidP="00404344">
            <w:pPr>
              <w:pStyle w:val="TablebodyleftFinancialsTables"/>
              <w:rPr>
                <w:b/>
                <w:bCs/>
              </w:rPr>
            </w:pPr>
            <w:r w:rsidRPr="00404344">
              <w:rPr>
                <w:b/>
                <w:bCs/>
              </w:rPr>
              <w:t xml:space="preserve">Remuneration of executive officers </w:t>
            </w:r>
          </w:p>
        </w:tc>
        <w:tc>
          <w:tcPr>
            <w:tcW w:w="1190" w:type="dxa"/>
          </w:tcPr>
          <w:p w14:paraId="208CE2DE" w14:textId="77777777" w:rsidR="00B02873" w:rsidRPr="00404344" w:rsidRDefault="00B02873" w:rsidP="00404344">
            <w:pPr>
              <w:pStyle w:val="TablebodyleftFinancialsTables"/>
              <w:jc w:val="right"/>
              <w:rPr>
                <w:rFonts w:ascii="VIC Bold Italic" w:hAnsi="VIC Bold Italic" w:cs="Times New Roman"/>
                <w:b/>
                <w:bCs/>
              </w:rPr>
            </w:pPr>
          </w:p>
        </w:tc>
        <w:tc>
          <w:tcPr>
            <w:tcW w:w="1191" w:type="dxa"/>
          </w:tcPr>
          <w:p w14:paraId="57E81EF0" w14:textId="77777777" w:rsidR="00B02873" w:rsidRPr="00B02873" w:rsidRDefault="00B02873" w:rsidP="00404344">
            <w:pPr>
              <w:pStyle w:val="TablebodyleftFinancialsTables"/>
              <w:jc w:val="right"/>
              <w:rPr>
                <w:rFonts w:ascii="VIC Bold Italic" w:hAnsi="VIC Bold Italic" w:cs="Times New Roman"/>
              </w:rPr>
            </w:pPr>
          </w:p>
        </w:tc>
      </w:tr>
      <w:tr w:rsidR="00B02873" w:rsidRPr="00B02873" w14:paraId="7A95CD80" w14:textId="77777777" w:rsidTr="00404344">
        <w:trPr>
          <w:trHeight w:val="60"/>
        </w:trPr>
        <w:tc>
          <w:tcPr>
            <w:tcW w:w="7257" w:type="dxa"/>
          </w:tcPr>
          <w:p w14:paraId="7F55234C" w14:textId="77777777" w:rsidR="00B02873" w:rsidRDefault="00B02873" w:rsidP="00404344">
            <w:pPr>
              <w:pStyle w:val="TablebodyleftFinancialsTables"/>
            </w:pPr>
            <w:r>
              <w:t>Short-term employee benefits</w:t>
            </w:r>
          </w:p>
        </w:tc>
        <w:tc>
          <w:tcPr>
            <w:tcW w:w="1190" w:type="dxa"/>
          </w:tcPr>
          <w:p w14:paraId="003828E7" w14:textId="77777777" w:rsidR="00B02873" w:rsidRPr="00404344" w:rsidRDefault="00B02873" w:rsidP="00404344">
            <w:pPr>
              <w:pStyle w:val="TablebodyleftFinancialsTables"/>
              <w:jc w:val="right"/>
              <w:rPr>
                <w:b/>
                <w:bCs/>
              </w:rPr>
            </w:pPr>
            <w:r w:rsidRPr="00404344">
              <w:rPr>
                <w:b/>
                <w:bCs/>
              </w:rPr>
              <w:t>36,387</w:t>
            </w:r>
          </w:p>
        </w:tc>
        <w:tc>
          <w:tcPr>
            <w:tcW w:w="1191" w:type="dxa"/>
          </w:tcPr>
          <w:p w14:paraId="0585D700" w14:textId="77777777" w:rsidR="00B02873" w:rsidRDefault="00B02873" w:rsidP="00404344">
            <w:pPr>
              <w:pStyle w:val="TablebodyleftFinancialsTables"/>
              <w:jc w:val="right"/>
            </w:pPr>
            <w:r>
              <w:t>32,971</w:t>
            </w:r>
          </w:p>
        </w:tc>
      </w:tr>
      <w:tr w:rsidR="00B02873" w:rsidRPr="00B02873" w14:paraId="11A6ACBA" w14:textId="77777777" w:rsidTr="00404344">
        <w:trPr>
          <w:trHeight w:val="60"/>
        </w:trPr>
        <w:tc>
          <w:tcPr>
            <w:tcW w:w="7257" w:type="dxa"/>
          </w:tcPr>
          <w:p w14:paraId="5FF9A00B" w14:textId="77777777" w:rsidR="00B02873" w:rsidRDefault="00B02873" w:rsidP="00404344">
            <w:pPr>
              <w:pStyle w:val="TablebodyleftFinancialsTables"/>
            </w:pPr>
            <w:r>
              <w:t>Post-employment benefits</w:t>
            </w:r>
          </w:p>
        </w:tc>
        <w:tc>
          <w:tcPr>
            <w:tcW w:w="1190" w:type="dxa"/>
          </w:tcPr>
          <w:p w14:paraId="067DB951" w14:textId="77777777" w:rsidR="00B02873" w:rsidRPr="00404344" w:rsidRDefault="00B02873" w:rsidP="00404344">
            <w:pPr>
              <w:pStyle w:val="TablebodyleftFinancialsTables"/>
              <w:jc w:val="right"/>
              <w:rPr>
                <w:b/>
                <w:bCs/>
              </w:rPr>
            </w:pPr>
            <w:r w:rsidRPr="00404344">
              <w:rPr>
                <w:b/>
                <w:bCs/>
              </w:rPr>
              <w:t>3,483</w:t>
            </w:r>
          </w:p>
        </w:tc>
        <w:tc>
          <w:tcPr>
            <w:tcW w:w="1191" w:type="dxa"/>
          </w:tcPr>
          <w:p w14:paraId="203AFA72" w14:textId="77777777" w:rsidR="00B02873" w:rsidRDefault="00B02873" w:rsidP="00404344">
            <w:pPr>
              <w:pStyle w:val="TablebodyleftFinancialsTables"/>
              <w:jc w:val="right"/>
            </w:pPr>
            <w:r>
              <w:t>3,205</w:t>
            </w:r>
          </w:p>
        </w:tc>
      </w:tr>
      <w:tr w:rsidR="00B02873" w:rsidRPr="00B02873" w14:paraId="69B2B8A8" w14:textId="77777777" w:rsidTr="00404344">
        <w:trPr>
          <w:trHeight w:val="60"/>
        </w:trPr>
        <w:tc>
          <w:tcPr>
            <w:tcW w:w="7257" w:type="dxa"/>
          </w:tcPr>
          <w:p w14:paraId="423D0FB8" w14:textId="77777777" w:rsidR="00B02873" w:rsidRDefault="00B02873" w:rsidP="00404344">
            <w:pPr>
              <w:pStyle w:val="TablebodyleftFinancialsTables"/>
            </w:pPr>
            <w:r>
              <w:t>Other long-term benefits</w:t>
            </w:r>
          </w:p>
        </w:tc>
        <w:tc>
          <w:tcPr>
            <w:tcW w:w="1190" w:type="dxa"/>
          </w:tcPr>
          <w:p w14:paraId="3B90EFDE" w14:textId="77777777" w:rsidR="00B02873" w:rsidRPr="00404344" w:rsidRDefault="00B02873" w:rsidP="00404344">
            <w:pPr>
              <w:pStyle w:val="TablebodyleftFinancialsTables"/>
              <w:jc w:val="right"/>
              <w:rPr>
                <w:b/>
                <w:bCs/>
              </w:rPr>
            </w:pPr>
            <w:r w:rsidRPr="00404344">
              <w:rPr>
                <w:b/>
                <w:bCs/>
              </w:rPr>
              <w:t>1,077</w:t>
            </w:r>
          </w:p>
        </w:tc>
        <w:tc>
          <w:tcPr>
            <w:tcW w:w="1191" w:type="dxa"/>
          </w:tcPr>
          <w:p w14:paraId="424EF250" w14:textId="77777777" w:rsidR="00B02873" w:rsidRDefault="00B02873" w:rsidP="00404344">
            <w:pPr>
              <w:pStyle w:val="TablebodyleftFinancialsTables"/>
              <w:jc w:val="right"/>
            </w:pPr>
            <w:r>
              <w:t>853</w:t>
            </w:r>
          </w:p>
        </w:tc>
      </w:tr>
      <w:tr w:rsidR="00B02873" w:rsidRPr="00B02873" w14:paraId="362431B3" w14:textId="77777777" w:rsidTr="00404344">
        <w:trPr>
          <w:trHeight w:val="60"/>
        </w:trPr>
        <w:tc>
          <w:tcPr>
            <w:tcW w:w="7257" w:type="dxa"/>
          </w:tcPr>
          <w:p w14:paraId="0862FDD2" w14:textId="77777777" w:rsidR="00B02873" w:rsidRDefault="00B02873" w:rsidP="00404344">
            <w:pPr>
              <w:pStyle w:val="TablebodyleftFinancialsTables"/>
            </w:pPr>
            <w:r>
              <w:t>Termination benefits</w:t>
            </w:r>
          </w:p>
        </w:tc>
        <w:tc>
          <w:tcPr>
            <w:tcW w:w="1190" w:type="dxa"/>
          </w:tcPr>
          <w:p w14:paraId="58B00D45" w14:textId="77777777" w:rsidR="00B02873" w:rsidRPr="00404344" w:rsidRDefault="00B02873" w:rsidP="00404344">
            <w:pPr>
              <w:pStyle w:val="TablebodyleftFinancialsTables"/>
              <w:jc w:val="right"/>
              <w:rPr>
                <w:b/>
                <w:bCs/>
              </w:rPr>
            </w:pPr>
            <w:r w:rsidRPr="00404344">
              <w:rPr>
                <w:b/>
                <w:bCs/>
              </w:rPr>
              <w:t>145</w:t>
            </w:r>
          </w:p>
        </w:tc>
        <w:tc>
          <w:tcPr>
            <w:tcW w:w="1191" w:type="dxa"/>
          </w:tcPr>
          <w:p w14:paraId="74FA01CE" w14:textId="77777777" w:rsidR="00B02873" w:rsidRDefault="00B02873" w:rsidP="00404344">
            <w:pPr>
              <w:pStyle w:val="TablebodyleftFinancialsTables"/>
              <w:jc w:val="right"/>
            </w:pPr>
            <w:r>
              <w:t>339</w:t>
            </w:r>
          </w:p>
        </w:tc>
      </w:tr>
      <w:tr w:rsidR="00B02873" w:rsidRPr="00B02873" w14:paraId="4EE99025" w14:textId="77777777" w:rsidTr="00404344">
        <w:trPr>
          <w:trHeight w:val="60"/>
        </w:trPr>
        <w:tc>
          <w:tcPr>
            <w:tcW w:w="7257" w:type="dxa"/>
          </w:tcPr>
          <w:p w14:paraId="25936F3A" w14:textId="77777777" w:rsidR="00B02873" w:rsidRPr="00404344" w:rsidRDefault="00B02873" w:rsidP="00404344">
            <w:pPr>
              <w:pStyle w:val="TablebodyleftFinancialsTables"/>
              <w:rPr>
                <w:b/>
                <w:bCs/>
              </w:rPr>
            </w:pPr>
            <w:r w:rsidRPr="00404344">
              <w:rPr>
                <w:b/>
                <w:bCs/>
              </w:rPr>
              <w:t>Total remuneration of executive officers</w:t>
            </w:r>
            <w:r w:rsidRPr="00404344">
              <w:rPr>
                <w:b/>
                <w:bCs/>
                <w:vertAlign w:val="superscript"/>
              </w:rPr>
              <w:t>(i)(iii)(iv)</w:t>
            </w:r>
          </w:p>
        </w:tc>
        <w:tc>
          <w:tcPr>
            <w:tcW w:w="1190" w:type="dxa"/>
          </w:tcPr>
          <w:p w14:paraId="241EDDB0" w14:textId="77777777" w:rsidR="00B02873" w:rsidRPr="00404344" w:rsidRDefault="00B02873" w:rsidP="00404344">
            <w:pPr>
              <w:pStyle w:val="TablebodyleftFinancialsTables"/>
              <w:jc w:val="right"/>
              <w:rPr>
                <w:b/>
                <w:bCs/>
              </w:rPr>
            </w:pPr>
            <w:r w:rsidRPr="00404344">
              <w:rPr>
                <w:b/>
                <w:bCs/>
              </w:rPr>
              <w:t>41,092</w:t>
            </w:r>
          </w:p>
        </w:tc>
        <w:tc>
          <w:tcPr>
            <w:tcW w:w="1191" w:type="dxa"/>
          </w:tcPr>
          <w:p w14:paraId="4F2B65B4" w14:textId="77777777" w:rsidR="00B02873" w:rsidRDefault="00B02873" w:rsidP="00404344">
            <w:pPr>
              <w:pStyle w:val="TablebodyleftFinancialsTables"/>
              <w:jc w:val="right"/>
            </w:pPr>
            <w:r>
              <w:t>37,368</w:t>
            </w:r>
          </w:p>
        </w:tc>
      </w:tr>
      <w:tr w:rsidR="00B02873" w:rsidRPr="00B02873" w14:paraId="4BF2C39C" w14:textId="77777777" w:rsidTr="00404344">
        <w:trPr>
          <w:trHeight w:val="60"/>
        </w:trPr>
        <w:tc>
          <w:tcPr>
            <w:tcW w:w="7257" w:type="dxa"/>
          </w:tcPr>
          <w:p w14:paraId="714BA88A" w14:textId="77777777" w:rsidR="00B02873" w:rsidRPr="00404344" w:rsidRDefault="00B02873" w:rsidP="00404344">
            <w:pPr>
              <w:pStyle w:val="TablebodyleftFinancialsTables"/>
              <w:rPr>
                <w:b/>
                <w:bCs/>
              </w:rPr>
            </w:pPr>
            <w:r w:rsidRPr="00404344">
              <w:rPr>
                <w:b/>
                <w:bCs/>
              </w:rPr>
              <w:t>Total number of executives</w:t>
            </w:r>
            <w:r w:rsidRPr="00404344">
              <w:rPr>
                <w:b/>
                <w:bCs/>
                <w:vertAlign w:val="superscript"/>
              </w:rPr>
              <w:t>(iv)</w:t>
            </w:r>
          </w:p>
        </w:tc>
        <w:tc>
          <w:tcPr>
            <w:tcW w:w="1190" w:type="dxa"/>
          </w:tcPr>
          <w:p w14:paraId="7E8DB2CF" w14:textId="77777777" w:rsidR="00B02873" w:rsidRPr="00404344" w:rsidRDefault="00B02873" w:rsidP="00404344">
            <w:pPr>
              <w:pStyle w:val="TablebodyleftFinancialsTables"/>
              <w:jc w:val="right"/>
              <w:rPr>
                <w:b/>
                <w:bCs/>
              </w:rPr>
            </w:pPr>
            <w:r w:rsidRPr="00404344">
              <w:rPr>
                <w:b/>
                <w:bCs/>
              </w:rPr>
              <w:t>197</w:t>
            </w:r>
          </w:p>
        </w:tc>
        <w:tc>
          <w:tcPr>
            <w:tcW w:w="1191" w:type="dxa"/>
          </w:tcPr>
          <w:p w14:paraId="1D11B8FF" w14:textId="77777777" w:rsidR="00B02873" w:rsidRDefault="00B02873" w:rsidP="00404344">
            <w:pPr>
              <w:pStyle w:val="TablebodyleftFinancialsTables"/>
              <w:jc w:val="right"/>
            </w:pPr>
            <w:r>
              <w:t>173</w:t>
            </w:r>
          </w:p>
        </w:tc>
      </w:tr>
      <w:tr w:rsidR="00B02873" w:rsidRPr="00B02873" w14:paraId="5C4F46C1" w14:textId="77777777" w:rsidTr="00404344">
        <w:trPr>
          <w:trHeight w:val="60"/>
        </w:trPr>
        <w:tc>
          <w:tcPr>
            <w:tcW w:w="7257" w:type="dxa"/>
          </w:tcPr>
          <w:p w14:paraId="3B47219F" w14:textId="77777777" w:rsidR="00B02873" w:rsidRPr="00404344" w:rsidRDefault="00B02873" w:rsidP="00404344">
            <w:pPr>
              <w:pStyle w:val="TablebodyleftFinancialsTables"/>
              <w:rPr>
                <w:b/>
                <w:bCs/>
              </w:rPr>
            </w:pPr>
            <w:r w:rsidRPr="00404344">
              <w:rPr>
                <w:b/>
                <w:bCs/>
              </w:rPr>
              <w:t>Total annualised employee equivalent (AEE)</w:t>
            </w:r>
            <w:r w:rsidRPr="00404344">
              <w:rPr>
                <w:b/>
                <w:bCs/>
                <w:vertAlign w:val="superscript"/>
              </w:rPr>
              <w:t>(ii)(iv)</w:t>
            </w:r>
          </w:p>
        </w:tc>
        <w:tc>
          <w:tcPr>
            <w:tcW w:w="1190" w:type="dxa"/>
          </w:tcPr>
          <w:p w14:paraId="32E1A475" w14:textId="77777777" w:rsidR="00B02873" w:rsidRPr="00404344" w:rsidRDefault="00B02873" w:rsidP="00404344">
            <w:pPr>
              <w:pStyle w:val="TablebodyleftFinancialsTables"/>
              <w:jc w:val="right"/>
              <w:rPr>
                <w:b/>
                <w:bCs/>
              </w:rPr>
            </w:pPr>
            <w:r w:rsidRPr="00404344">
              <w:rPr>
                <w:b/>
                <w:bCs/>
              </w:rPr>
              <w:t>180.0</w:t>
            </w:r>
          </w:p>
        </w:tc>
        <w:tc>
          <w:tcPr>
            <w:tcW w:w="1191" w:type="dxa"/>
          </w:tcPr>
          <w:p w14:paraId="156EF23A" w14:textId="77777777" w:rsidR="00B02873" w:rsidRDefault="00B02873" w:rsidP="00404344">
            <w:pPr>
              <w:pStyle w:val="TablebodyleftFinancialsTables"/>
              <w:jc w:val="right"/>
            </w:pPr>
            <w:r>
              <w:t>152.9</w:t>
            </w:r>
          </w:p>
        </w:tc>
      </w:tr>
    </w:tbl>
    <w:p w14:paraId="66EF902A" w14:textId="77777777" w:rsidR="00B02873" w:rsidRPr="00404344" w:rsidRDefault="00B02873" w:rsidP="00404344">
      <w:pPr>
        <w:pStyle w:val="SourceNote"/>
        <w:spacing w:after="120"/>
        <w:rPr>
          <w:b/>
          <w:bCs/>
        </w:rPr>
      </w:pPr>
      <w:r w:rsidRPr="00404344">
        <w:rPr>
          <w:b/>
          <w:bCs/>
        </w:rPr>
        <w:t>Note</w:t>
      </w:r>
    </w:p>
    <w:p w14:paraId="0F7A8F40" w14:textId="61F4C02F" w:rsidR="00B02873" w:rsidRPr="00404344" w:rsidRDefault="00B02873" w:rsidP="001128B1">
      <w:pPr>
        <w:pStyle w:val="SourceNotenumbered"/>
        <w:numPr>
          <w:ilvl w:val="0"/>
          <w:numId w:val="91"/>
        </w:numPr>
      </w:pPr>
      <w:r w:rsidRPr="00404344">
        <w:t xml:space="preserve">The total number of executive officers includes persons who meet the definition of Key Management Personnel (KMP) of the department under AASB 124 </w:t>
      </w:r>
      <w:r w:rsidRPr="00DE1FCE">
        <w:rPr>
          <w:rStyle w:val="LightItalic"/>
          <w:rFonts w:asciiTheme="minorHAnsi" w:hAnsiTheme="minorHAnsi" w:cstheme="minorHAnsi"/>
          <w:spacing w:val="-2"/>
        </w:rPr>
        <w:t>Related Party Disclosures</w:t>
      </w:r>
      <w:r w:rsidRPr="00404344">
        <w:t xml:space="preserve"> and are also reported within the related parties note disclosure (Note 9.8).</w:t>
      </w:r>
      <w:r w:rsidR="00012C04" w:rsidRPr="00404344">
        <w:t xml:space="preserve"> </w:t>
      </w:r>
    </w:p>
    <w:p w14:paraId="6BD6449E" w14:textId="77777777" w:rsidR="00B02873" w:rsidRDefault="00B02873" w:rsidP="00BB035C">
      <w:pPr>
        <w:pStyle w:val="SourceNotenumbered"/>
      </w:pPr>
      <w:r>
        <w:t>Annualised employee equivalent is based on the time fraction worked over the reporting period.</w:t>
      </w:r>
    </w:p>
    <w:p w14:paraId="16134E59" w14:textId="77777777" w:rsidR="00B02873" w:rsidRDefault="00B02873" w:rsidP="00BB035C">
      <w:pPr>
        <w:pStyle w:val="SourceNotenumbered"/>
      </w:pPr>
      <w:r>
        <w:t>Remuneration for staff who have acted in executive positions over two months have been included in the table above.</w:t>
      </w:r>
    </w:p>
    <w:p w14:paraId="7DB16400" w14:textId="48ECB609" w:rsidR="00B02873" w:rsidRDefault="00B02873" w:rsidP="00BB035C">
      <w:pPr>
        <w:pStyle w:val="SourceNotenumbered"/>
        <w:spacing w:after="200"/>
        <w:ind w:left="357" w:hanging="357"/>
      </w:pPr>
      <w:r>
        <w:t>Totals include the cost incurred on executives that delivered services, as executive officers, under secondment or similar arrangements to the department, but that are employed by another public sector body.</w:t>
      </w:r>
    </w:p>
    <w:p w14:paraId="195652A2" w14:textId="77777777" w:rsidR="00B02873" w:rsidRDefault="00B02873" w:rsidP="00404344">
      <w:pPr>
        <w:pStyle w:val="Heading3"/>
      </w:pPr>
      <w:r>
        <w:t xml:space="preserve">9.7 Remuneration of auditors </w:t>
      </w:r>
    </w:p>
    <w:tbl>
      <w:tblPr>
        <w:tblStyle w:val="TableGrid"/>
        <w:tblW w:w="0" w:type="auto"/>
        <w:tblLayout w:type="fixed"/>
        <w:tblLook w:val="0020" w:firstRow="1" w:lastRow="0" w:firstColumn="0" w:lastColumn="0" w:noHBand="0" w:noVBand="0"/>
      </w:tblPr>
      <w:tblGrid>
        <w:gridCol w:w="7257"/>
        <w:gridCol w:w="1190"/>
        <w:gridCol w:w="1191"/>
      </w:tblGrid>
      <w:tr w:rsidR="00B02873" w:rsidRPr="00B02873" w14:paraId="0796EED0" w14:textId="77777777" w:rsidTr="00404344">
        <w:trPr>
          <w:cnfStyle w:val="100000000000" w:firstRow="1" w:lastRow="0" w:firstColumn="0" w:lastColumn="0" w:oddVBand="0" w:evenVBand="0" w:oddHBand="0" w:evenHBand="0" w:firstRowFirstColumn="0" w:firstRowLastColumn="0" w:lastRowFirstColumn="0" w:lastRowLastColumn="0"/>
          <w:trHeight w:val="60"/>
        </w:trPr>
        <w:tc>
          <w:tcPr>
            <w:tcW w:w="7257" w:type="dxa"/>
          </w:tcPr>
          <w:p w14:paraId="1FACC36E" w14:textId="77777777" w:rsidR="00B02873" w:rsidRPr="00B02873" w:rsidRDefault="00B02873" w:rsidP="00404344">
            <w:pPr>
              <w:pStyle w:val="TableheadingleftFinancialsTables"/>
            </w:pPr>
          </w:p>
        </w:tc>
        <w:tc>
          <w:tcPr>
            <w:tcW w:w="1190" w:type="dxa"/>
          </w:tcPr>
          <w:p w14:paraId="41D21DBD" w14:textId="77777777" w:rsidR="00B02873" w:rsidRPr="00404344" w:rsidRDefault="00B02873" w:rsidP="00404344">
            <w:pPr>
              <w:pStyle w:val="TableheadingleftFinancialsTables"/>
              <w:jc w:val="right"/>
            </w:pPr>
            <w:r w:rsidRPr="00404344">
              <w:t xml:space="preserve">2022 </w:t>
            </w:r>
            <w:r w:rsidRPr="00404344">
              <w:br/>
              <w:t>$’000</w:t>
            </w:r>
          </w:p>
        </w:tc>
        <w:tc>
          <w:tcPr>
            <w:tcW w:w="1191" w:type="dxa"/>
          </w:tcPr>
          <w:p w14:paraId="34CBC024" w14:textId="77777777" w:rsidR="00B02873" w:rsidRDefault="00B02873" w:rsidP="00404344">
            <w:pPr>
              <w:pStyle w:val="TableheadingleftFinancialsTables"/>
              <w:jc w:val="right"/>
            </w:pPr>
            <w:r>
              <w:t>2021</w:t>
            </w:r>
            <w:r>
              <w:br/>
              <w:t>$’000</w:t>
            </w:r>
          </w:p>
        </w:tc>
      </w:tr>
      <w:tr w:rsidR="00B02873" w:rsidRPr="00B02873" w14:paraId="5CF6194B" w14:textId="77777777" w:rsidTr="00404344">
        <w:trPr>
          <w:trHeight w:val="60"/>
        </w:trPr>
        <w:tc>
          <w:tcPr>
            <w:tcW w:w="7257" w:type="dxa"/>
          </w:tcPr>
          <w:p w14:paraId="44544AD9" w14:textId="77777777" w:rsidR="00B02873" w:rsidRPr="00404344" w:rsidRDefault="00B02873" w:rsidP="00404344">
            <w:pPr>
              <w:pStyle w:val="TablebodyleftFinancialsTables"/>
              <w:rPr>
                <w:b/>
                <w:bCs/>
              </w:rPr>
            </w:pPr>
            <w:r w:rsidRPr="00404344">
              <w:rPr>
                <w:b/>
                <w:bCs/>
              </w:rPr>
              <w:t>Victorian Auditor-General’s Office</w:t>
            </w:r>
          </w:p>
        </w:tc>
        <w:tc>
          <w:tcPr>
            <w:tcW w:w="1190" w:type="dxa"/>
          </w:tcPr>
          <w:p w14:paraId="70C843E4" w14:textId="77777777" w:rsidR="00B02873" w:rsidRPr="00404344" w:rsidRDefault="00B02873" w:rsidP="00404344">
            <w:pPr>
              <w:pStyle w:val="TablebodyleftFinancialsTables"/>
              <w:jc w:val="right"/>
              <w:rPr>
                <w:rFonts w:ascii="VIC Bold Italic" w:hAnsi="VIC Bold Italic" w:cs="Times New Roman"/>
                <w:b/>
                <w:bCs/>
              </w:rPr>
            </w:pPr>
          </w:p>
        </w:tc>
        <w:tc>
          <w:tcPr>
            <w:tcW w:w="1191" w:type="dxa"/>
          </w:tcPr>
          <w:p w14:paraId="4DE17298" w14:textId="77777777" w:rsidR="00B02873" w:rsidRPr="00B02873" w:rsidRDefault="00B02873" w:rsidP="00404344">
            <w:pPr>
              <w:pStyle w:val="TablebodyleftFinancialsTables"/>
              <w:jc w:val="right"/>
              <w:rPr>
                <w:rFonts w:ascii="VIC Bold Italic" w:hAnsi="VIC Bold Italic" w:cs="Times New Roman"/>
              </w:rPr>
            </w:pPr>
          </w:p>
        </w:tc>
      </w:tr>
      <w:tr w:rsidR="00B02873" w:rsidRPr="00B02873" w14:paraId="4066370E" w14:textId="77777777" w:rsidTr="00404344">
        <w:trPr>
          <w:trHeight w:val="60"/>
        </w:trPr>
        <w:tc>
          <w:tcPr>
            <w:tcW w:w="7257" w:type="dxa"/>
          </w:tcPr>
          <w:p w14:paraId="6835378C" w14:textId="77777777" w:rsidR="00B02873" w:rsidRDefault="00B02873" w:rsidP="00404344">
            <w:pPr>
              <w:pStyle w:val="TablebodyleftFinancialsTables"/>
            </w:pPr>
            <w:r>
              <w:t>Audit of the financial statements</w:t>
            </w:r>
          </w:p>
        </w:tc>
        <w:tc>
          <w:tcPr>
            <w:tcW w:w="1190" w:type="dxa"/>
          </w:tcPr>
          <w:p w14:paraId="5CA0E5E0" w14:textId="77777777" w:rsidR="00B02873" w:rsidRPr="00404344" w:rsidRDefault="00B02873" w:rsidP="00404344">
            <w:pPr>
              <w:pStyle w:val="TablebodyleftFinancialsTables"/>
              <w:jc w:val="right"/>
              <w:rPr>
                <w:b/>
                <w:bCs/>
              </w:rPr>
            </w:pPr>
            <w:r w:rsidRPr="00404344">
              <w:rPr>
                <w:b/>
                <w:bCs/>
              </w:rPr>
              <w:t>550</w:t>
            </w:r>
          </w:p>
        </w:tc>
        <w:tc>
          <w:tcPr>
            <w:tcW w:w="1191" w:type="dxa"/>
          </w:tcPr>
          <w:p w14:paraId="239FB16C" w14:textId="77777777" w:rsidR="00B02873" w:rsidRDefault="00B02873" w:rsidP="00404344">
            <w:pPr>
              <w:pStyle w:val="TablebodyleftFinancialsTables"/>
              <w:jc w:val="right"/>
            </w:pPr>
            <w:r>
              <w:t>604</w:t>
            </w:r>
          </w:p>
        </w:tc>
      </w:tr>
      <w:tr w:rsidR="00B02873" w:rsidRPr="00B02873" w14:paraId="3C45EE72" w14:textId="77777777" w:rsidTr="00404344">
        <w:trPr>
          <w:trHeight w:val="60"/>
        </w:trPr>
        <w:tc>
          <w:tcPr>
            <w:tcW w:w="7257" w:type="dxa"/>
          </w:tcPr>
          <w:p w14:paraId="2C5ADE1E" w14:textId="77777777" w:rsidR="00B02873" w:rsidRPr="00404344" w:rsidRDefault="00B02873" w:rsidP="00404344">
            <w:pPr>
              <w:pStyle w:val="TablebodyleftFinancialsTables"/>
              <w:rPr>
                <w:b/>
                <w:bCs/>
              </w:rPr>
            </w:pPr>
            <w:r w:rsidRPr="00404344">
              <w:rPr>
                <w:b/>
                <w:bCs/>
              </w:rPr>
              <w:t>Total remuneration of auditors</w:t>
            </w:r>
          </w:p>
        </w:tc>
        <w:tc>
          <w:tcPr>
            <w:tcW w:w="1190" w:type="dxa"/>
          </w:tcPr>
          <w:p w14:paraId="3507EA0F" w14:textId="77777777" w:rsidR="00B02873" w:rsidRPr="00404344" w:rsidRDefault="00B02873" w:rsidP="00404344">
            <w:pPr>
              <w:pStyle w:val="TablebodyleftFinancialsTables"/>
              <w:jc w:val="right"/>
              <w:rPr>
                <w:b/>
                <w:bCs/>
              </w:rPr>
            </w:pPr>
            <w:r w:rsidRPr="00404344">
              <w:rPr>
                <w:b/>
                <w:bCs/>
              </w:rPr>
              <w:t>550</w:t>
            </w:r>
          </w:p>
        </w:tc>
        <w:tc>
          <w:tcPr>
            <w:tcW w:w="1191" w:type="dxa"/>
          </w:tcPr>
          <w:p w14:paraId="0BAB0E08" w14:textId="77777777" w:rsidR="00B02873" w:rsidRDefault="00B02873" w:rsidP="00404344">
            <w:pPr>
              <w:pStyle w:val="TablebodyleftFinancialsTables"/>
              <w:jc w:val="right"/>
            </w:pPr>
            <w:r>
              <w:t>604</w:t>
            </w:r>
          </w:p>
        </w:tc>
      </w:tr>
    </w:tbl>
    <w:p w14:paraId="61D96554" w14:textId="77777777" w:rsidR="00B02873" w:rsidRDefault="00B02873" w:rsidP="00FE198A"/>
    <w:p w14:paraId="6C112027" w14:textId="77777777" w:rsidR="00B02873" w:rsidRDefault="00B02873" w:rsidP="00FE198A">
      <w:r>
        <w:t>The remuneration of auditors is recognised in other operating expenses.</w:t>
      </w:r>
    </w:p>
    <w:p w14:paraId="680B73CC" w14:textId="77777777" w:rsidR="00B02873" w:rsidRDefault="00B02873" w:rsidP="00404344">
      <w:pPr>
        <w:pStyle w:val="Heading3"/>
      </w:pPr>
      <w:r>
        <w:lastRenderedPageBreak/>
        <w:t xml:space="preserve">9.8 Related parties </w:t>
      </w:r>
    </w:p>
    <w:p w14:paraId="1A664E3A" w14:textId="77777777" w:rsidR="00B02873" w:rsidRDefault="00B02873" w:rsidP="00404344">
      <w:pPr>
        <w:pStyle w:val="Normalbeforebullet"/>
      </w:pPr>
      <w:r>
        <w:t>The department is a wholly owned and controlled entity of the state of Victoria. Related parties of the department include:</w:t>
      </w:r>
    </w:p>
    <w:p w14:paraId="61D3B6DF" w14:textId="77777777" w:rsidR="00B02873" w:rsidRDefault="00B02873" w:rsidP="00B02873">
      <w:pPr>
        <w:pStyle w:val="Bullet1Lists"/>
      </w:pPr>
      <w:r>
        <w:t>all key management personnel and their close family members and personal business interests (controlled entities, joint ventures and entities they have significant influence over)</w:t>
      </w:r>
    </w:p>
    <w:p w14:paraId="121B84DF" w14:textId="77777777" w:rsidR="00B02873" w:rsidRDefault="00B02873" w:rsidP="00B02873">
      <w:pPr>
        <w:pStyle w:val="Bullet1Lists"/>
      </w:pPr>
      <w:r>
        <w:t>all cabinet ministers and their close family members</w:t>
      </w:r>
    </w:p>
    <w:p w14:paraId="44C51C27" w14:textId="77777777" w:rsidR="00B02873" w:rsidRDefault="00B02873" w:rsidP="00404344">
      <w:pPr>
        <w:pStyle w:val="Bullet1Listslast"/>
      </w:pPr>
      <w:r>
        <w:t>all departments and public sector entities that are controlled and consolidated into the whole of state consolidated financial statements.</w:t>
      </w:r>
    </w:p>
    <w:p w14:paraId="58D5E666" w14:textId="77777777" w:rsidR="00B02873" w:rsidRDefault="00B02873" w:rsidP="00FE198A">
      <w:r>
        <w:t>All related party transactions have been entered into on an arm’s length basis.</w:t>
      </w:r>
    </w:p>
    <w:p w14:paraId="20F4B5EB" w14:textId="77777777" w:rsidR="00B02873" w:rsidRDefault="00B02873" w:rsidP="00404344">
      <w:pPr>
        <w:pStyle w:val="Heading4"/>
      </w:pPr>
      <w:r>
        <w:t>Significant transactions with government related entities</w:t>
      </w:r>
    </w:p>
    <w:p w14:paraId="66F3AA32" w14:textId="77777777" w:rsidR="00B02873" w:rsidRDefault="00B02873" w:rsidP="00FE198A">
      <w:r>
        <w:rPr>
          <w:spacing w:val="-3"/>
        </w:rPr>
        <w:t xml:space="preserve">The following transactions are considered to be related parties with significant transactions with the department. </w:t>
      </w:r>
    </w:p>
    <w:p w14:paraId="2CD5385A" w14:textId="77777777" w:rsidR="00B02873" w:rsidRPr="00404344" w:rsidRDefault="00B02873" w:rsidP="00FE198A">
      <w:pPr>
        <w:rPr>
          <w:rFonts w:asciiTheme="minorHAnsi" w:hAnsiTheme="minorHAnsi" w:cstheme="minorHAnsi"/>
        </w:rPr>
      </w:pPr>
      <w:r w:rsidRPr="00404344">
        <w:rPr>
          <w:rFonts w:asciiTheme="minorHAnsi" w:hAnsiTheme="minorHAnsi" w:cstheme="minorHAnsi"/>
        </w:rPr>
        <w:t xml:space="preserve">The department receives parliamentary and special appropriation to draw funds out of the Consolidated Funds to be applied towards departmental outputs (see Note 2.2 </w:t>
      </w:r>
      <w:r w:rsidRPr="00404344">
        <w:rPr>
          <w:rStyle w:val="LightItalic"/>
          <w:rFonts w:asciiTheme="minorHAnsi" w:hAnsiTheme="minorHAnsi" w:cstheme="minorHAnsi"/>
        </w:rPr>
        <w:t>Appropriations</w:t>
      </w:r>
      <w:r w:rsidRPr="00404344">
        <w:rPr>
          <w:rFonts w:asciiTheme="minorHAnsi" w:hAnsiTheme="minorHAnsi" w:cstheme="minorHAnsi"/>
        </w:rPr>
        <w:t xml:space="preserve"> and 2.2.1 </w:t>
      </w:r>
      <w:r w:rsidRPr="00404344">
        <w:rPr>
          <w:rStyle w:val="LightItalic"/>
          <w:rFonts w:asciiTheme="minorHAnsi" w:hAnsiTheme="minorHAnsi" w:cstheme="minorHAnsi"/>
        </w:rPr>
        <w:t>Summary of compliance</w:t>
      </w:r>
      <w:r w:rsidRPr="00404344">
        <w:rPr>
          <w:rFonts w:asciiTheme="minorHAnsi" w:hAnsiTheme="minorHAnsi" w:cstheme="minorHAnsi"/>
        </w:rPr>
        <w:t xml:space="preserve"> </w:t>
      </w:r>
      <w:r w:rsidRPr="00404344">
        <w:rPr>
          <w:rStyle w:val="LightItalic"/>
          <w:rFonts w:asciiTheme="minorHAnsi" w:hAnsiTheme="minorHAnsi" w:cstheme="minorHAnsi"/>
        </w:rPr>
        <w:t>with annual parliamentary appropriations</w:t>
      </w:r>
      <w:r w:rsidRPr="00404344">
        <w:rPr>
          <w:rFonts w:asciiTheme="minorHAnsi" w:hAnsiTheme="minorHAnsi" w:cstheme="minorHAnsi"/>
        </w:rPr>
        <w:t xml:space="preserve">) and income from government related entities such as grant income (see Note 2.3.4 </w:t>
      </w:r>
      <w:r w:rsidRPr="00404344">
        <w:rPr>
          <w:rStyle w:val="LightItalic"/>
          <w:rFonts w:asciiTheme="minorHAnsi" w:hAnsiTheme="minorHAnsi" w:cstheme="minorHAnsi"/>
        </w:rPr>
        <w:t>Grants</w:t>
      </w:r>
      <w:r w:rsidRPr="00404344">
        <w:rPr>
          <w:rFonts w:asciiTheme="minorHAnsi" w:hAnsiTheme="minorHAnsi" w:cstheme="minorHAnsi"/>
        </w:rPr>
        <w:t xml:space="preserve">), landfill levy (see Note 2.3.2 </w:t>
      </w:r>
      <w:r w:rsidRPr="00404344">
        <w:rPr>
          <w:rStyle w:val="LightItalic"/>
          <w:rFonts w:asciiTheme="minorHAnsi" w:hAnsiTheme="minorHAnsi" w:cstheme="minorHAnsi"/>
        </w:rPr>
        <w:t>Municipal and Industrial Waste Levy</w:t>
      </w:r>
      <w:r w:rsidRPr="00404344">
        <w:rPr>
          <w:rFonts w:asciiTheme="minorHAnsi" w:hAnsiTheme="minorHAnsi" w:cstheme="minorHAnsi"/>
        </w:rPr>
        <w:t xml:space="preserve">) and parks charge (see Note 2.3.3 </w:t>
      </w:r>
      <w:r w:rsidRPr="00404344">
        <w:rPr>
          <w:rStyle w:val="LightItalic"/>
          <w:rFonts w:asciiTheme="minorHAnsi" w:hAnsiTheme="minorHAnsi" w:cstheme="minorHAnsi"/>
        </w:rPr>
        <w:t>Metropolitan Parks Improvement Rate</w:t>
      </w:r>
      <w:r w:rsidRPr="00404344">
        <w:rPr>
          <w:rFonts w:asciiTheme="minorHAnsi" w:hAnsiTheme="minorHAnsi" w:cstheme="minorHAnsi"/>
        </w:rPr>
        <w:t xml:space="preserve">). In addition, the department oversees administered items on behalf of the state with reference to Payments made on behalf of the state (see Note 2.2 </w:t>
      </w:r>
      <w:r w:rsidRPr="00404344">
        <w:rPr>
          <w:rStyle w:val="LightItalic"/>
          <w:rFonts w:asciiTheme="minorHAnsi" w:hAnsiTheme="minorHAnsi" w:cstheme="minorHAnsi"/>
        </w:rPr>
        <w:t>Appropriations</w:t>
      </w:r>
      <w:r w:rsidRPr="00404344">
        <w:rPr>
          <w:rFonts w:asciiTheme="minorHAnsi" w:hAnsiTheme="minorHAnsi" w:cstheme="minorHAnsi"/>
        </w:rPr>
        <w:t xml:space="preserve"> and 2.2.1 </w:t>
      </w:r>
      <w:r w:rsidRPr="00404344">
        <w:rPr>
          <w:rStyle w:val="LightItalic"/>
          <w:rFonts w:asciiTheme="minorHAnsi" w:hAnsiTheme="minorHAnsi" w:cstheme="minorHAnsi"/>
        </w:rPr>
        <w:t>Summary of compliance with annual parliamentary appropriations</w:t>
      </w:r>
      <w:r w:rsidRPr="00404344">
        <w:rPr>
          <w:rFonts w:asciiTheme="minorHAnsi" w:hAnsiTheme="minorHAnsi" w:cstheme="minorHAnsi"/>
        </w:rPr>
        <w:t xml:space="preserve">) and detailed in (Note 4.2 </w:t>
      </w:r>
      <w:r w:rsidRPr="00404344">
        <w:rPr>
          <w:rStyle w:val="LightItalic"/>
          <w:rFonts w:asciiTheme="minorHAnsi" w:hAnsiTheme="minorHAnsi" w:cstheme="minorHAnsi"/>
        </w:rPr>
        <w:t>Administered (non-controlled) items</w:t>
      </w:r>
      <w:r w:rsidRPr="00404344">
        <w:rPr>
          <w:rFonts w:asciiTheme="minorHAnsi" w:hAnsiTheme="minorHAnsi" w:cstheme="minorHAnsi"/>
        </w:rPr>
        <w:t xml:space="preserve">). </w:t>
      </w:r>
    </w:p>
    <w:p w14:paraId="0ADF95A9" w14:textId="77777777" w:rsidR="00B02873" w:rsidRPr="00404344" w:rsidRDefault="00B02873" w:rsidP="00FE198A">
      <w:pPr>
        <w:rPr>
          <w:rFonts w:asciiTheme="minorHAnsi" w:hAnsiTheme="minorHAnsi" w:cstheme="minorHAnsi"/>
        </w:rPr>
      </w:pPr>
      <w:r w:rsidRPr="00404344">
        <w:rPr>
          <w:rFonts w:asciiTheme="minorHAnsi" w:hAnsiTheme="minorHAnsi" w:cstheme="minorHAnsi"/>
        </w:rPr>
        <w:t xml:space="preserve">The department transacts with other portfolio and government agencies through transactions such as grants (Note 3.1.2 </w:t>
      </w:r>
      <w:r w:rsidRPr="00404344">
        <w:rPr>
          <w:rStyle w:val="LightItalic"/>
          <w:rFonts w:asciiTheme="minorHAnsi" w:hAnsiTheme="minorHAnsi" w:cstheme="minorHAnsi"/>
          <w:spacing w:val="-3"/>
        </w:rPr>
        <w:t>Grants and other transfers</w:t>
      </w:r>
      <w:r w:rsidRPr="00404344">
        <w:rPr>
          <w:rFonts w:asciiTheme="minorHAnsi" w:hAnsiTheme="minorHAnsi" w:cstheme="minorHAnsi"/>
        </w:rPr>
        <w:t xml:space="preserve">), supplies and services (Note 3.1.4 </w:t>
      </w:r>
      <w:r w:rsidRPr="00404344">
        <w:rPr>
          <w:rStyle w:val="LightItalic"/>
          <w:rFonts w:asciiTheme="minorHAnsi" w:hAnsiTheme="minorHAnsi" w:cstheme="minorHAnsi"/>
          <w:spacing w:val="-3"/>
        </w:rPr>
        <w:t>Supplies and services</w:t>
      </w:r>
      <w:r w:rsidRPr="00404344">
        <w:rPr>
          <w:rFonts w:asciiTheme="minorHAnsi" w:hAnsiTheme="minorHAnsi" w:cstheme="minorHAnsi"/>
        </w:rPr>
        <w:t xml:space="preserve">) and capital appropriations (Note 9.3.2 </w:t>
      </w:r>
      <w:r w:rsidRPr="00404344">
        <w:rPr>
          <w:rStyle w:val="LightItalic"/>
          <w:rFonts w:asciiTheme="minorHAnsi" w:hAnsiTheme="minorHAnsi" w:cstheme="minorHAnsi"/>
          <w:spacing w:val="-3"/>
        </w:rPr>
        <w:t>Capital contribution transferred to portfolio entities</w:t>
      </w:r>
      <w:r w:rsidRPr="00404344">
        <w:rPr>
          <w:rFonts w:asciiTheme="minorHAnsi" w:hAnsiTheme="minorHAnsi" w:cstheme="minorHAnsi"/>
        </w:rPr>
        <w:t xml:space="preserve">) in line with budgeted allocations. </w:t>
      </w:r>
    </w:p>
    <w:p w14:paraId="3E7D3A61" w14:textId="77777777" w:rsidR="00B02873" w:rsidRPr="00404344" w:rsidRDefault="00B02873" w:rsidP="00FE198A">
      <w:pPr>
        <w:rPr>
          <w:rFonts w:asciiTheme="minorHAnsi" w:hAnsiTheme="minorHAnsi" w:cstheme="minorHAnsi"/>
        </w:rPr>
      </w:pPr>
      <w:r w:rsidRPr="00404344">
        <w:rPr>
          <w:rFonts w:asciiTheme="minorHAnsi" w:hAnsiTheme="minorHAnsi" w:cstheme="minorHAnsi"/>
        </w:rPr>
        <w:t xml:space="preserve">The department has advances from government, such as those related to GST payments (required to account for timing differences). These advances are unsecured loans which bear no interest (see Note 6.3 </w:t>
      </w:r>
      <w:r w:rsidRPr="00404344">
        <w:rPr>
          <w:rStyle w:val="LightItalic"/>
          <w:rFonts w:asciiTheme="minorHAnsi" w:hAnsiTheme="minorHAnsi" w:cstheme="minorHAnsi"/>
          <w:spacing w:val="-3"/>
        </w:rPr>
        <w:t>Payables</w:t>
      </w:r>
      <w:r w:rsidRPr="00404344">
        <w:rPr>
          <w:rFonts w:asciiTheme="minorHAnsi" w:hAnsiTheme="minorHAnsi" w:cstheme="minorHAnsi"/>
        </w:rPr>
        <w:t xml:space="preserve">). In addition, the department leases motor vehicles for operating purposes from VicFleet (Note 7.2 </w:t>
      </w:r>
      <w:r w:rsidRPr="00404344">
        <w:rPr>
          <w:rStyle w:val="LightItalic"/>
          <w:rFonts w:asciiTheme="minorHAnsi" w:hAnsiTheme="minorHAnsi" w:cstheme="minorHAnsi"/>
          <w:spacing w:val="-3"/>
        </w:rPr>
        <w:t>Borrowings</w:t>
      </w:r>
      <w:r w:rsidRPr="00404344">
        <w:rPr>
          <w:rFonts w:asciiTheme="minorHAnsi" w:hAnsiTheme="minorHAnsi" w:cstheme="minorHAnsi"/>
        </w:rPr>
        <w:t>)</w:t>
      </w:r>
    </w:p>
    <w:p w14:paraId="653567BD" w14:textId="77777777" w:rsidR="00B02873" w:rsidRDefault="00B02873" w:rsidP="00404344">
      <w:pPr>
        <w:pStyle w:val="Heading4"/>
      </w:pPr>
      <w:r>
        <w:t>Other related parties</w:t>
      </w:r>
    </w:p>
    <w:p w14:paraId="4CD9A8F5" w14:textId="77777777" w:rsidR="00B02873" w:rsidRDefault="00B02873" w:rsidP="00404344">
      <w:pPr>
        <w:pStyle w:val="Normalbeforebullet"/>
      </w:pPr>
      <w:r>
        <w:t>Key management personnel of the department include the Portfolio Ministers, the Secretary John Bradley; the Deputy Secretaries and some members of the Executive Team, which includes:</w:t>
      </w:r>
    </w:p>
    <w:p w14:paraId="55339D0A" w14:textId="796E737D" w:rsidR="00B02873" w:rsidRDefault="00B02873" w:rsidP="00B02873">
      <w:pPr>
        <w:pStyle w:val="Bullet1Lists"/>
      </w:pPr>
      <w:r>
        <w:t>Deputy Secretary Corporate Services, Dr Graeme Emonson PSM</w:t>
      </w:r>
    </w:p>
    <w:p w14:paraId="381C60E6" w14:textId="1D5179A0" w:rsidR="00B02873" w:rsidRDefault="00B02873" w:rsidP="00B02873">
      <w:pPr>
        <w:pStyle w:val="Bullet1Lists"/>
      </w:pPr>
      <w:r>
        <w:t>Deputy Secretary Energy, Ms Anthea Harris (1 July 2021 to 18 March 2022)</w:t>
      </w:r>
    </w:p>
    <w:p w14:paraId="33BE3059" w14:textId="59B3A24D" w:rsidR="00B02873" w:rsidRDefault="00B02873" w:rsidP="00B02873">
      <w:pPr>
        <w:pStyle w:val="Bullet1Lists"/>
      </w:pPr>
      <w:r>
        <w:t>Deputy Secretary Energy, Ms Anh Mai (21 March to 30 June 2022)</w:t>
      </w:r>
    </w:p>
    <w:p w14:paraId="2251832D" w14:textId="77777777" w:rsidR="00B02873" w:rsidRDefault="00B02873" w:rsidP="00B02873">
      <w:pPr>
        <w:pStyle w:val="Bullet1Lists"/>
      </w:pPr>
      <w:r>
        <w:t>Deputy Secretary Environment and Climate Change, Ms Carolyn Jackson (on leave 23 August 2021 to 29 April 2022)</w:t>
      </w:r>
    </w:p>
    <w:p w14:paraId="2C221BB5" w14:textId="7CB74239" w:rsidR="00B02873" w:rsidRDefault="00B02873" w:rsidP="00B02873">
      <w:pPr>
        <w:pStyle w:val="Bullet1Lists"/>
      </w:pPr>
      <w:r>
        <w:t xml:space="preserve">Acting Deputy Secretary Environment and Climate Change, Ms Karen Lau (23 August 2021 to 29 April 2022) </w:t>
      </w:r>
    </w:p>
    <w:p w14:paraId="338DB7BC" w14:textId="1D7477CD" w:rsidR="00B02873" w:rsidRDefault="00B02873" w:rsidP="00B02873">
      <w:pPr>
        <w:pStyle w:val="Bullet1Lists"/>
      </w:pPr>
      <w:r>
        <w:t>Deputy Secretary Forest, Fire and Regions, Ms Christine Ferguson PSM</w:t>
      </w:r>
    </w:p>
    <w:p w14:paraId="5ECE7DFD" w14:textId="77777777" w:rsidR="00B02873" w:rsidRDefault="00B02873" w:rsidP="00B02873">
      <w:pPr>
        <w:pStyle w:val="Bullet1Lists"/>
      </w:pPr>
      <w:r>
        <w:t>Deputy Secretary Land Services and First People, Mr Terry Garwood PSM</w:t>
      </w:r>
    </w:p>
    <w:p w14:paraId="32C432D2" w14:textId="77777777" w:rsidR="00B02873" w:rsidRDefault="00B02873" w:rsidP="00B02873">
      <w:pPr>
        <w:pStyle w:val="Bullet1Lists"/>
      </w:pPr>
      <w:r>
        <w:t xml:space="preserve">Deputy Secretary Planning, Mr Julian Lyngcoln </w:t>
      </w:r>
    </w:p>
    <w:p w14:paraId="2BDE68F3" w14:textId="1824A6F3" w:rsidR="00B02873" w:rsidRDefault="00B02873" w:rsidP="00B02873">
      <w:pPr>
        <w:pStyle w:val="Bullet1Lists"/>
      </w:pPr>
      <w:r>
        <w:t>Deputy Secretary Water and Catchments, Ms Helen Vaughan PSM</w:t>
      </w:r>
    </w:p>
    <w:p w14:paraId="0E6CF0C5" w14:textId="512589F3" w:rsidR="00B02873" w:rsidRDefault="00B02873" w:rsidP="00B02873">
      <w:pPr>
        <w:pStyle w:val="Bullet1Lists"/>
      </w:pPr>
      <w:r>
        <w:t>Chief Executive Officer Solar Homes, Mr Stan Krpan PSM</w:t>
      </w:r>
    </w:p>
    <w:p w14:paraId="045D7BC7" w14:textId="77777777" w:rsidR="00B02873" w:rsidRDefault="00B02873" w:rsidP="00B02873">
      <w:pPr>
        <w:pStyle w:val="Bullet1Lists"/>
      </w:pPr>
      <w:r>
        <w:lastRenderedPageBreak/>
        <w:t xml:space="preserve">Chief Fire Officer, Mr Chris Hardman </w:t>
      </w:r>
    </w:p>
    <w:p w14:paraId="11623C57" w14:textId="282A08AB" w:rsidR="00B02873" w:rsidRDefault="00B02873" w:rsidP="00404344">
      <w:pPr>
        <w:pStyle w:val="Bullet1Listslast"/>
      </w:pPr>
      <w:r>
        <w:t xml:space="preserve">Director Victorian Desalination Project, Mr Andrew Ogilvie </w:t>
      </w:r>
    </w:p>
    <w:p w14:paraId="36A83382" w14:textId="77777777" w:rsidR="00B02873" w:rsidRDefault="00B02873" w:rsidP="00752BD2">
      <w:pPr>
        <w:pStyle w:val="Boldheader"/>
      </w:pPr>
      <w:r>
        <w:t>Remuneration of key management personnel</w:t>
      </w:r>
    </w:p>
    <w:p w14:paraId="6DCCCFED" w14:textId="4CC68DA0" w:rsidR="00B02873" w:rsidRPr="00752BD2" w:rsidRDefault="00B02873" w:rsidP="00FE198A">
      <w:pPr>
        <w:rPr>
          <w:rFonts w:asciiTheme="minorHAnsi" w:hAnsiTheme="minorHAnsi" w:cstheme="minorHAnsi"/>
        </w:rPr>
      </w:pPr>
      <w:r w:rsidRPr="00752BD2">
        <w:rPr>
          <w:rFonts w:asciiTheme="minorHAnsi" w:hAnsiTheme="minorHAnsi" w:cstheme="minorHAnsi"/>
        </w:rPr>
        <w:t xml:space="preserve">The compensation detailed below excludes the salaries and benefits the Portfolio Ministers receive. The Ministers’ remuneration and allowances is set by the </w:t>
      </w:r>
      <w:r w:rsidRPr="00752BD2">
        <w:rPr>
          <w:rStyle w:val="LightItalic"/>
          <w:rFonts w:asciiTheme="minorHAnsi" w:hAnsiTheme="minorHAnsi" w:cstheme="minorHAnsi"/>
        </w:rPr>
        <w:t>Parliamentary Salaries and Superannuation Act 1968</w:t>
      </w:r>
      <w:r w:rsidRPr="00752BD2">
        <w:rPr>
          <w:rFonts w:asciiTheme="minorHAnsi" w:hAnsiTheme="minorHAnsi" w:cstheme="minorHAnsi"/>
        </w:rPr>
        <w:t xml:space="preserve"> and is reported within the State’s Annual Financial Report. </w:t>
      </w:r>
    </w:p>
    <w:tbl>
      <w:tblPr>
        <w:tblStyle w:val="TableGrid"/>
        <w:tblW w:w="0" w:type="auto"/>
        <w:tblLayout w:type="fixed"/>
        <w:tblLook w:val="0020" w:firstRow="1" w:lastRow="0" w:firstColumn="0" w:lastColumn="0" w:noHBand="0" w:noVBand="0"/>
      </w:tblPr>
      <w:tblGrid>
        <w:gridCol w:w="7257"/>
        <w:gridCol w:w="1190"/>
        <w:gridCol w:w="1191"/>
      </w:tblGrid>
      <w:tr w:rsidR="00B02873" w:rsidRPr="00B02873" w14:paraId="08D8DEB8" w14:textId="77777777" w:rsidTr="00752BD2">
        <w:trPr>
          <w:cnfStyle w:val="100000000000" w:firstRow="1" w:lastRow="0" w:firstColumn="0" w:lastColumn="0" w:oddVBand="0" w:evenVBand="0" w:oddHBand="0" w:evenHBand="0" w:firstRowFirstColumn="0" w:firstRowLastColumn="0" w:lastRowFirstColumn="0" w:lastRowLastColumn="0"/>
          <w:trHeight w:val="60"/>
        </w:trPr>
        <w:tc>
          <w:tcPr>
            <w:tcW w:w="7257" w:type="dxa"/>
          </w:tcPr>
          <w:p w14:paraId="6551AA43" w14:textId="77777777" w:rsidR="00B02873" w:rsidRPr="00B02873" w:rsidRDefault="00B02873" w:rsidP="00752BD2">
            <w:pPr>
              <w:pStyle w:val="TableheadingleftFinancialsTables"/>
            </w:pPr>
          </w:p>
        </w:tc>
        <w:tc>
          <w:tcPr>
            <w:tcW w:w="1190" w:type="dxa"/>
          </w:tcPr>
          <w:p w14:paraId="08FDAD3A" w14:textId="77777777" w:rsidR="00B02873" w:rsidRPr="00752BD2" w:rsidRDefault="00B02873" w:rsidP="00752BD2">
            <w:pPr>
              <w:pStyle w:val="TableheadingleftFinancialsTables"/>
              <w:jc w:val="right"/>
            </w:pPr>
            <w:r w:rsidRPr="00752BD2">
              <w:t>2022</w:t>
            </w:r>
            <w:r w:rsidRPr="00752BD2">
              <w:br/>
              <w:t>$’000</w:t>
            </w:r>
          </w:p>
        </w:tc>
        <w:tc>
          <w:tcPr>
            <w:tcW w:w="1191" w:type="dxa"/>
          </w:tcPr>
          <w:p w14:paraId="06EB383B" w14:textId="77777777" w:rsidR="00B02873" w:rsidRDefault="00B02873" w:rsidP="00752BD2">
            <w:pPr>
              <w:pStyle w:val="TableheadingleftFinancialsTables"/>
              <w:jc w:val="right"/>
            </w:pPr>
            <w:r>
              <w:t>2021</w:t>
            </w:r>
            <w:r>
              <w:br/>
              <w:t>$’000</w:t>
            </w:r>
          </w:p>
        </w:tc>
      </w:tr>
      <w:tr w:rsidR="00B02873" w:rsidRPr="00B02873" w14:paraId="53224842" w14:textId="77777777" w:rsidTr="00752BD2">
        <w:trPr>
          <w:trHeight w:val="60"/>
        </w:trPr>
        <w:tc>
          <w:tcPr>
            <w:tcW w:w="7257" w:type="dxa"/>
          </w:tcPr>
          <w:p w14:paraId="02E4DD90" w14:textId="77777777" w:rsidR="00B02873" w:rsidRPr="00752BD2" w:rsidRDefault="00B02873" w:rsidP="00752BD2">
            <w:pPr>
              <w:pStyle w:val="TablebodyleftFinancialsTables"/>
              <w:rPr>
                <w:b/>
                <w:bCs/>
              </w:rPr>
            </w:pPr>
            <w:r w:rsidRPr="00752BD2">
              <w:rPr>
                <w:b/>
                <w:bCs/>
              </w:rPr>
              <w:t>Compensation of key management personnel</w:t>
            </w:r>
          </w:p>
        </w:tc>
        <w:tc>
          <w:tcPr>
            <w:tcW w:w="1190" w:type="dxa"/>
          </w:tcPr>
          <w:p w14:paraId="211490F1" w14:textId="77777777" w:rsidR="00B02873" w:rsidRPr="00752BD2" w:rsidRDefault="00B02873" w:rsidP="00752BD2">
            <w:pPr>
              <w:pStyle w:val="TablebodyleftFinancialsTables"/>
              <w:jc w:val="right"/>
              <w:rPr>
                <w:rFonts w:ascii="VIC Bold Italic" w:hAnsi="VIC Bold Italic" w:cs="Times New Roman"/>
                <w:b/>
                <w:bCs/>
              </w:rPr>
            </w:pPr>
          </w:p>
        </w:tc>
        <w:tc>
          <w:tcPr>
            <w:tcW w:w="1191" w:type="dxa"/>
          </w:tcPr>
          <w:p w14:paraId="2D0926CD" w14:textId="77777777" w:rsidR="00B02873" w:rsidRPr="00B02873" w:rsidRDefault="00B02873" w:rsidP="00752BD2">
            <w:pPr>
              <w:pStyle w:val="TablebodyleftFinancialsTables"/>
              <w:jc w:val="right"/>
              <w:rPr>
                <w:rFonts w:ascii="VIC Bold Italic" w:hAnsi="VIC Bold Italic" w:cs="Times New Roman"/>
              </w:rPr>
            </w:pPr>
          </w:p>
        </w:tc>
      </w:tr>
      <w:tr w:rsidR="00B02873" w:rsidRPr="00B02873" w14:paraId="36771290" w14:textId="77777777" w:rsidTr="00752BD2">
        <w:trPr>
          <w:trHeight w:val="60"/>
        </w:trPr>
        <w:tc>
          <w:tcPr>
            <w:tcW w:w="7257" w:type="dxa"/>
          </w:tcPr>
          <w:p w14:paraId="653AF83F" w14:textId="77777777" w:rsidR="00B02873" w:rsidRDefault="00B02873" w:rsidP="00752BD2">
            <w:pPr>
              <w:pStyle w:val="TablebodyleftFinancialsTables"/>
            </w:pPr>
            <w:r>
              <w:t>Short-term employee benefits</w:t>
            </w:r>
          </w:p>
        </w:tc>
        <w:tc>
          <w:tcPr>
            <w:tcW w:w="1190" w:type="dxa"/>
          </w:tcPr>
          <w:p w14:paraId="225274C9" w14:textId="77777777" w:rsidR="00B02873" w:rsidRPr="00752BD2" w:rsidRDefault="00B02873" w:rsidP="00752BD2">
            <w:pPr>
              <w:pStyle w:val="TablebodyleftFinancialsTables"/>
              <w:jc w:val="right"/>
              <w:rPr>
                <w:b/>
                <w:bCs/>
              </w:rPr>
            </w:pPr>
            <w:r w:rsidRPr="00752BD2">
              <w:rPr>
                <w:b/>
                <w:bCs/>
              </w:rPr>
              <w:t>4,303</w:t>
            </w:r>
          </w:p>
        </w:tc>
        <w:tc>
          <w:tcPr>
            <w:tcW w:w="1191" w:type="dxa"/>
          </w:tcPr>
          <w:p w14:paraId="50570C13" w14:textId="77777777" w:rsidR="00B02873" w:rsidRDefault="00B02873" w:rsidP="00752BD2">
            <w:pPr>
              <w:pStyle w:val="TablebodyleftFinancialsTables"/>
              <w:jc w:val="right"/>
            </w:pPr>
            <w:r>
              <w:t>3,939</w:t>
            </w:r>
          </w:p>
        </w:tc>
      </w:tr>
      <w:tr w:rsidR="00B02873" w:rsidRPr="00B02873" w14:paraId="5740B1A2" w14:textId="77777777" w:rsidTr="00752BD2">
        <w:trPr>
          <w:trHeight w:val="60"/>
        </w:trPr>
        <w:tc>
          <w:tcPr>
            <w:tcW w:w="7257" w:type="dxa"/>
          </w:tcPr>
          <w:p w14:paraId="110FFA1A" w14:textId="77777777" w:rsidR="00B02873" w:rsidRDefault="00B02873" w:rsidP="00752BD2">
            <w:pPr>
              <w:pStyle w:val="TablebodyleftFinancialsTables"/>
            </w:pPr>
            <w:r>
              <w:t>Post-employment benefits</w:t>
            </w:r>
          </w:p>
        </w:tc>
        <w:tc>
          <w:tcPr>
            <w:tcW w:w="1190" w:type="dxa"/>
          </w:tcPr>
          <w:p w14:paraId="2CFA7E7B" w14:textId="77777777" w:rsidR="00B02873" w:rsidRPr="00752BD2" w:rsidRDefault="00B02873" w:rsidP="00752BD2">
            <w:pPr>
              <w:pStyle w:val="TablebodyleftFinancialsTables"/>
              <w:jc w:val="right"/>
              <w:rPr>
                <w:b/>
                <w:bCs/>
              </w:rPr>
            </w:pPr>
            <w:r w:rsidRPr="00752BD2">
              <w:rPr>
                <w:b/>
                <w:bCs/>
              </w:rPr>
              <w:t>288</w:t>
            </w:r>
          </w:p>
        </w:tc>
        <w:tc>
          <w:tcPr>
            <w:tcW w:w="1191" w:type="dxa"/>
          </w:tcPr>
          <w:p w14:paraId="20D2EFA8" w14:textId="77777777" w:rsidR="00B02873" w:rsidRDefault="00B02873" w:rsidP="00752BD2">
            <w:pPr>
              <w:pStyle w:val="TablebodyleftFinancialsTables"/>
              <w:jc w:val="right"/>
            </w:pPr>
            <w:r>
              <w:t>302</w:t>
            </w:r>
          </w:p>
        </w:tc>
      </w:tr>
      <w:tr w:rsidR="00B02873" w:rsidRPr="00B02873" w14:paraId="1FEB219C" w14:textId="77777777" w:rsidTr="00752BD2">
        <w:trPr>
          <w:trHeight w:val="60"/>
        </w:trPr>
        <w:tc>
          <w:tcPr>
            <w:tcW w:w="7257" w:type="dxa"/>
          </w:tcPr>
          <w:p w14:paraId="67EB7721" w14:textId="77777777" w:rsidR="00B02873" w:rsidRDefault="00B02873" w:rsidP="00752BD2">
            <w:pPr>
              <w:pStyle w:val="TablebodyleftFinancialsTables"/>
            </w:pPr>
            <w:r>
              <w:t>Other long-term benefits</w:t>
            </w:r>
          </w:p>
        </w:tc>
        <w:tc>
          <w:tcPr>
            <w:tcW w:w="1190" w:type="dxa"/>
          </w:tcPr>
          <w:p w14:paraId="4F4620AD" w14:textId="77777777" w:rsidR="00B02873" w:rsidRPr="00752BD2" w:rsidRDefault="00B02873" w:rsidP="00752BD2">
            <w:pPr>
              <w:pStyle w:val="TablebodyleftFinancialsTables"/>
              <w:jc w:val="right"/>
              <w:rPr>
                <w:b/>
                <w:bCs/>
              </w:rPr>
            </w:pPr>
            <w:r w:rsidRPr="00752BD2">
              <w:rPr>
                <w:b/>
                <w:bCs/>
              </w:rPr>
              <w:t>113</w:t>
            </w:r>
          </w:p>
        </w:tc>
        <w:tc>
          <w:tcPr>
            <w:tcW w:w="1191" w:type="dxa"/>
          </w:tcPr>
          <w:p w14:paraId="50607812" w14:textId="77777777" w:rsidR="00B02873" w:rsidRDefault="00B02873" w:rsidP="00752BD2">
            <w:pPr>
              <w:pStyle w:val="TablebodyleftFinancialsTables"/>
              <w:jc w:val="right"/>
            </w:pPr>
            <w:r>
              <w:t>95</w:t>
            </w:r>
          </w:p>
        </w:tc>
      </w:tr>
      <w:tr w:rsidR="00B02873" w:rsidRPr="00B02873" w14:paraId="2A50E83D" w14:textId="77777777" w:rsidTr="00752BD2">
        <w:trPr>
          <w:trHeight w:val="60"/>
        </w:trPr>
        <w:tc>
          <w:tcPr>
            <w:tcW w:w="7257" w:type="dxa"/>
          </w:tcPr>
          <w:p w14:paraId="1A7513B3" w14:textId="77777777" w:rsidR="00B02873" w:rsidRDefault="00B02873" w:rsidP="00752BD2">
            <w:pPr>
              <w:pStyle w:val="TablebodyleftFinancialsTables"/>
            </w:pPr>
            <w:r>
              <w:t>Termination benefits</w:t>
            </w:r>
          </w:p>
        </w:tc>
        <w:tc>
          <w:tcPr>
            <w:tcW w:w="1190" w:type="dxa"/>
          </w:tcPr>
          <w:p w14:paraId="18816C15" w14:textId="77777777" w:rsidR="00B02873" w:rsidRPr="00752BD2" w:rsidRDefault="00B02873" w:rsidP="00752BD2">
            <w:pPr>
              <w:pStyle w:val="TablebodyleftFinancialsTables"/>
              <w:jc w:val="right"/>
              <w:rPr>
                <w:b/>
                <w:bCs/>
              </w:rPr>
            </w:pPr>
            <w:r w:rsidRPr="00752BD2">
              <w:rPr>
                <w:b/>
                <w:bCs/>
              </w:rPr>
              <w:t>–</w:t>
            </w:r>
          </w:p>
        </w:tc>
        <w:tc>
          <w:tcPr>
            <w:tcW w:w="1191" w:type="dxa"/>
          </w:tcPr>
          <w:p w14:paraId="381C21FE" w14:textId="77777777" w:rsidR="00B02873" w:rsidRDefault="00B02873" w:rsidP="00752BD2">
            <w:pPr>
              <w:pStyle w:val="TablebodyleftFinancialsTables"/>
              <w:jc w:val="right"/>
            </w:pPr>
            <w:r>
              <w:t>–</w:t>
            </w:r>
          </w:p>
        </w:tc>
      </w:tr>
      <w:tr w:rsidR="00B02873" w:rsidRPr="00B02873" w14:paraId="46EA46E9" w14:textId="77777777" w:rsidTr="00752BD2">
        <w:trPr>
          <w:trHeight w:val="60"/>
        </w:trPr>
        <w:tc>
          <w:tcPr>
            <w:tcW w:w="7257" w:type="dxa"/>
          </w:tcPr>
          <w:p w14:paraId="7CEA3344" w14:textId="77777777" w:rsidR="00B02873" w:rsidRPr="00752BD2" w:rsidRDefault="00B02873" w:rsidP="00752BD2">
            <w:pPr>
              <w:pStyle w:val="TablebodyleftFinancialsTables"/>
              <w:rPr>
                <w:b/>
                <w:bCs/>
              </w:rPr>
            </w:pPr>
            <w:r w:rsidRPr="00752BD2">
              <w:rPr>
                <w:b/>
                <w:bCs/>
              </w:rPr>
              <w:t>Total compensation of key management personnel</w:t>
            </w:r>
          </w:p>
        </w:tc>
        <w:tc>
          <w:tcPr>
            <w:tcW w:w="1190" w:type="dxa"/>
          </w:tcPr>
          <w:p w14:paraId="3FBDA001" w14:textId="77777777" w:rsidR="00B02873" w:rsidRPr="00752BD2" w:rsidRDefault="00B02873" w:rsidP="00752BD2">
            <w:pPr>
              <w:pStyle w:val="TablebodyleftFinancialsTables"/>
              <w:jc w:val="right"/>
              <w:rPr>
                <w:b/>
                <w:bCs/>
              </w:rPr>
            </w:pPr>
            <w:r w:rsidRPr="00752BD2">
              <w:rPr>
                <w:b/>
                <w:bCs/>
              </w:rPr>
              <w:t>4,704</w:t>
            </w:r>
          </w:p>
        </w:tc>
        <w:tc>
          <w:tcPr>
            <w:tcW w:w="1191" w:type="dxa"/>
          </w:tcPr>
          <w:p w14:paraId="68B01A35" w14:textId="77777777" w:rsidR="00B02873" w:rsidRDefault="00B02873" w:rsidP="00752BD2">
            <w:pPr>
              <w:pStyle w:val="TablebodyleftFinancialsTables"/>
              <w:jc w:val="right"/>
            </w:pPr>
            <w:r>
              <w:t>4,336</w:t>
            </w:r>
          </w:p>
        </w:tc>
      </w:tr>
    </w:tbl>
    <w:p w14:paraId="6DC96C64" w14:textId="77777777" w:rsidR="00B02873" w:rsidRPr="00752BD2" w:rsidRDefault="00B02873" w:rsidP="00752BD2">
      <w:pPr>
        <w:pStyle w:val="SourceNote"/>
      </w:pPr>
      <w:r w:rsidRPr="00752BD2">
        <w:t>Note: The above remuneration amounts have also been disclosed in Note 9.6</w:t>
      </w:r>
      <w:r w:rsidRPr="00752BD2">
        <w:rPr>
          <w:rStyle w:val="LightItalic"/>
          <w:rFonts w:asciiTheme="minorHAnsi" w:hAnsiTheme="minorHAnsi" w:cstheme="minorHAnsi"/>
        </w:rPr>
        <w:t xml:space="preserve"> Remuneration of executive officers</w:t>
      </w:r>
      <w:r w:rsidRPr="00752BD2">
        <w:t>.</w:t>
      </w:r>
    </w:p>
    <w:p w14:paraId="635037A1" w14:textId="269E4001" w:rsidR="00B02873" w:rsidRDefault="00B02873" w:rsidP="00FE198A">
      <w:r>
        <w:t>Remuneration for staff who have acted in the executive position for over two months have been included in the table above and Note 9.6.</w:t>
      </w:r>
    </w:p>
    <w:p w14:paraId="17730CB5" w14:textId="77777777" w:rsidR="00B02873" w:rsidRDefault="00B02873" w:rsidP="00752BD2">
      <w:pPr>
        <w:pStyle w:val="Heading4"/>
      </w:pPr>
      <w:r>
        <w:t>Transactions with key management personnel and other related parties</w:t>
      </w:r>
    </w:p>
    <w:p w14:paraId="33BB40D7" w14:textId="77777777" w:rsidR="00B02873" w:rsidRDefault="00B02873" w:rsidP="00FE198A">
      <w:r>
        <w:t xml:space="preserve">Given the breadth and depth of state government activities, related parties transact with the Victorian public sector in a manner consistent with other members of the public e.g. stamp duty and other government fees and charges. </w:t>
      </w:r>
    </w:p>
    <w:p w14:paraId="31B33DB7" w14:textId="77777777" w:rsidR="00B02873" w:rsidRPr="00752BD2" w:rsidRDefault="00B02873" w:rsidP="00FE198A">
      <w:pPr>
        <w:rPr>
          <w:rFonts w:asciiTheme="minorHAnsi" w:hAnsiTheme="minorHAnsi" w:cstheme="minorHAnsi"/>
        </w:rPr>
      </w:pPr>
      <w:r w:rsidRPr="00752BD2">
        <w:rPr>
          <w:rFonts w:asciiTheme="minorHAnsi" w:hAnsiTheme="minorHAnsi" w:cstheme="minorHAnsi"/>
        </w:rPr>
        <w:t xml:space="preserve">Further employment of processes within the Victorian public sector occur on terms and conditions consistent with the </w:t>
      </w:r>
      <w:r w:rsidRPr="00752BD2">
        <w:rPr>
          <w:rStyle w:val="LightItalic"/>
          <w:rFonts w:asciiTheme="minorHAnsi" w:hAnsiTheme="minorHAnsi" w:cstheme="minorHAnsi"/>
        </w:rPr>
        <w:t>Public Administration Act 2004</w:t>
      </w:r>
      <w:r w:rsidRPr="00752BD2">
        <w:rPr>
          <w:rFonts w:asciiTheme="minorHAnsi" w:hAnsiTheme="minorHAnsi" w:cstheme="minorHAnsi"/>
        </w:rPr>
        <w:t xml:space="preserve"> and Codes of Conduct and Standards issued by the Victorian Public Sector Commission. </w:t>
      </w:r>
    </w:p>
    <w:p w14:paraId="44536581" w14:textId="77777777" w:rsidR="00B02873" w:rsidRDefault="00B02873" w:rsidP="00FE198A">
      <w:r>
        <w:t xml:space="preserve">Procurement processes occur on terms and conditions consistent with the Victorian Government Procurement Board requirements. </w:t>
      </w:r>
    </w:p>
    <w:p w14:paraId="4E69DF67" w14:textId="77777777" w:rsidR="00B02873" w:rsidRDefault="00B02873" w:rsidP="00FE198A">
      <w:r>
        <w:t>Outside of normal citizen type transactions with the department, there were no related party transactions that involved key management personnel and their close family members. No provision has been required, nor any expense recognised, for impairment of receivables from related parties.</w:t>
      </w:r>
    </w:p>
    <w:p w14:paraId="4EAC4E94" w14:textId="273B199E" w:rsidR="00B02873" w:rsidRDefault="00B02873" w:rsidP="00FE198A">
      <w:r>
        <w:t xml:space="preserve">The Secretary is a board member of Infrastructure Victoria and there were no transactions entered into by the department during the reporting period. </w:t>
      </w:r>
    </w:p>
    <w:p w14:paraId="434F6DA4" w14:textId="77777777" w:rsidR="00B02873" w:rsidRDefault="00B02873" w:rsidP="00FE198A">
      <w:r>
        <w:t xml:space="preserve">The Secretary is also the president and the Deputy Secretary Corporate Services is a board member of the Institute of Public Administration Australian (Victorian Division Inc) to which the department paid services fees and charges on normal commercial terms during the reporting period. </w:t>
      </w:r>
    </w:p>
    <w:p w14:paraId="592DF94E" w14:textId="77777777" w:rsidR="00B02873" w:rsidRDefault="00B02873" w:rsidP="00752BD2">
      <w:pPr>
        <w:pStyle w:val="Heading3"/>
      </w:pPr>
      <w:r>
        <w:t xml:space="preserve">9.9 Other accounting policies </w:t>
      </w:r>
    </w:p>
    <w:p w14:paraId="53C1FF2D" w14:textId="77777777" w:rsidR="00B02873" w:rsidRDefault="00B02873" w:rsidP="00752BD2">
      <w:pPr>
        <w:pStyle w:val="Heading4"/>
      </w:pPr>
      <w:r>
        <w:t>Accounting for goods and services tax (GST)</w:t>
      </w:r>
    </w:p>
    <w:p w14:paraId="54673305" w14:textId="77777777" w:rsidR="00B02873" w:rsidRDefault="00B02873" w:rsidP="00FE198A">
      <w:r>
        <w:t xml:space="preserve">Income, expenses and non-financial assets and liabilities are recognised net of the amount of associated GST, except where the GST incurred is not recoverable from the taxation authority. In this case, the GST payable is recognised as part of the cost of acquisition of the asset or as part of </w:t>
      </w:r>
      <w:r>
        <w:lastRenderedPageBreak/>
        <w:t>the expense. Receivables and payables are stated inclusive of the amount of GST receivable or payable. The net amount of GST recoverable from, or payable to, the Australian Taxation Office is included with other receivables or payables in the balance sheet.</w:t>
      </w:r>
    </w:p>
    <w:p w14:paraId="161D2035" w14:textId="75BFCA2E" w:rsidR="00B02873" w:rsidRDefault="00B02873" w:rsidP="00FE198A">
      <w:r>
        <w:t xml:space="preserve">Cash flows are presented on a gross basis. The GST components of cash flows arising from investing or financing activities which are recoverable from, or payable to the taxation authority, are presented as operating cash flows. </w:t>
      </w:r>
    </w:p>
    <w:p w14:paraId="76695F7A" w14:textId="77777777" w:rsidR="00B02873" w:rsidRDefault="00B02873" w:rsidP="00FE198A">
      <w:r>
        <w:t>Commitments for expenditure and contingent assets and liabilities are also stated inclusive of GST.</w:t>
      </w:r>
    </w:p>
    <w:p w14:paraId="4380BD70" w14:textId="77777777" w:rsidR="00B02873" w:rsidRDefault="00B02873" w:rsidP="00752BD2">
      <w:pPr>
        <w:pStyle w:val="Heading3"/>
      </w:pPr>
      <w:bookmarkStart w:id="77" w:name="_Ref116975417"/>
      <w:r>
        <w:t>9.10 Australian Accounting Standards issued that are not yet effective</w:t>
      </w:r>
      <w:bookmarkEnd w:id="77"/>
    </w:p>
    <w:p w14:paraId="3CF03DBD" w14:textId="59BC33E1" w:rsidR="00B02873" w:rsidRDefault="00B02873" w:rsidP="00FE198A">
      <w:r>
        <w:t>Certain new and revised accounting standards have been issued but are not effective for the 2021-22 reporting period. These accounting standards have not been applied to these financial statements. DELWP is reviewing its existing policies and assessing the potential implications of these accounting standards which include</w:t>
      </w:r>
      <w:r w:rsidRPr="00546E03">
        <w:rPr>
          <w:rFonts w:cs="VIC"/>
          <w:spacing w:val="-1"/>
        </w:rPr>
        <w:t>:</w:t>
      </w:r>
    </w:p>
    <w:tbl>
      <w:tblPr>
        <w:tblStyle w:val="TableGrid"/>
        <w:tblW w:w="0" w:type="auto"/>
        <w:tblLayout w:type="fixed"/>
        <w:tblLook w:val="0020" w:firstRow="1" w:lastRow="0" w:firstColumn="0" w:lastColumn="0" w:noHBand="0" w:noVBand="0"/>
      </w:tblPr>
      <w:tblGrid>
        <w:gridCol w:w="1928"/>
        <w:gridCol w:w="4501"/>
        <w:gridCol w:w="1871"/>
        <w:gridCol w:w="1338"/>
      </w:tblGrid>
      <w:tr w:rsidR="00B02873" w:rsidRPr="00752BD2" w14:paraId="528AEE46" w14:textId="77777777" w:rsidTr="00752BD2">
        <w:trPr>
          <w:cnfStyle w:val="100000000000" w:firstRow="1" w:lastRow="0" w:firstColumn="0" w:lastColumn="0" w:oddVBand="0" w:evenVBand="0" w:oddHBand="0" w:evenHBand="0" w:firstRowFirstColumn="0" w:firstRowLastColumn="0" w:lastRowFirstColumn="0" w:lastRowLastColumn="0"/>
          <w:trHeight w:val="60"/>
        </w:trPr>
        <w:tc>
          <w:tcPr>
            <w:tcW w:w="1928" w:type="dxa"/>
          </w:tcPr>
          <w:p w14:paraId="677D6382" w14:textId="5BBECC3E" w:rsidR="00B02873" w:rsidRPr="00752BD2" w:rsidRDefault="00B02873" w:rsidP="00752BD2">
            <w:pPr>
              <w:pStyle w:val="TableheadingleftTables"/>
            </w:pPr>
            <w:r w:rsidRPr="00752BD2">
              <w:t>Standard/ Interpretation</w:t>
            </w:r>
          </w:p>
        </w:tc>
        <w:tc>
          <w:tcPr>
            <w:tcW w:w="4501" w:type="dxa"/>
          </w:tcPr>
          <w:p w14:paraId="505F68FD" w14:textId="77777777" w:rsidR="00B02873" w:rsidRPr="00752BD2" w:rsidRDefault="00B02873" w:rsidP="00752BD2">
            <w:pPr>
              <w:pStyle w:val="TableheadingleftTables"/>
            </w:pPr>
            <w:r w:rsidRPr="00752BD2">
              <w:t>Summary</w:t>
            </w:r>
          </w:p>
        </w:tc>
        <w:tc>
          <w:tcPr>
            <w:tcW w:w="1871" w:type="dxa"/>
          </w:tcPr>
          <w:p w14:paraId="774B87ED" w14:textId="77777777" w:rsidR="00B02873" w:rsidRPr="00752BD2" w:rsidRDefault="00B02873" w:rsidP="00752BD2">
            <w:pPr>
              <w:pStyle w:val="TableheadingleftTables"/>
            </w:pPr>
            <w:r w:rsidRPr="00752BD2">
              <w:t xml:space="preserve">Applicable for annual reporting periods beginning on </w:t>
            </w:r>
          </w:p>
        </w:tc>
        <w:tc>
          <w:tcPr>
            <w:tcW w:w="1338" w:type="dxa"/>
          </w:tcPr>
          <w:p w14:paraId="27AA7D05" w14:textId="77777777" w:rsidR="00B02873" w:rsidRPr="00752BD2" w:rsidRDefault="00B02873" w:rsidP="00752BD2">
            <w:pPr>
              <w:pStyle w:val="TableheadingleftTables"/>
            </w:pPr>
            <w:r w:rsidRPr="00752BD2">
              <w:t>Impact on financial statements</w:t>
            </w:r>
          </w:p>
        </w:tc>
      </w:tr>
      <w:tr w:rsidR="00B02873" w:rsidRPr="00752BD2" w14:paraId="28CAA0A4" w14:textId="77777777" w:rsidTr="00752BD2">
        <w:trPr>
          <w:trHeight w:val="60"/>
        </w:trPr>
        <w:tc>
          <w:tcPr>
            <w:tcW w:w="1928" w:type="dxa"/>
          </w:tcPr>
          <w:p w14:paraId="36E3DBE1" w14:textId="77777777" w:rsidR="00B02873" w:rsidRPr="00752BD2" w:rsidRDefault="00B02873" w:rsidP="00752BD2">
            <w:pPr>
              <w:pStyle w:val="TablebodyleftTables"/>
              <w:rPr>
                <w:rFonts w:asciiTheme="minorHAnsi" w:hAnsiTheme="minorHAnsi" w:cstheme="minorHAnsi"/>
              </w:rPr>
            </w:pPr>
            <w:r w:rsidRPr="00752BD2">
              <w:rPr>
                <w:rStyle w:val="Bold"/>
                <w:rFonts w:asciiTheme="minorHAnsi" w:hAnsiTheme="minorHAnsi" w:cstheme="minorHAnsi"/>
                <w:b w:val="0"/>
                <w:bCs w:val="0"/>
              </w:rPr>
              <w:t xml:space="preserve">AASB 2020-1 </w:t>
            </w:r>
            <w:r w:rsidRPr="00752BD2">
              <w:rPr>
                <w:rStyle w:val="LightItalic"/>
                <w:rFonts w:asciiTheme="minorHAnsi" w:hAnsiTheme="minorHAnsi" w:cstheme="minorHAnsi"/>
              </w:rPr>
              <w:t>Amendments to Australian Accounting Standards – Classification of Liabilities as Current or Non-Current</w:t>
            </w:r>
            <w:r w:rsidRPr="00752BD2">
              <w:rPr>
                <w:rFonts w:asciiTheme="minorHAnsi" w:hAnsiTheme="minorHAnsi" w:cstheme="minorHAnsi"/>
              </w:rPr>
              <w:t>.</w:t>
            </w:r>
          </w:p>
        </w:tc>
        <w:tc>
          <w:tcPr>
            <w:tcW w:w="4501" w:type="dxa"/>
          </w:tcPr>
          <w:p w14:paraId="5E772885" w14:textId="77777777" w:rsidR="00B02873" w:rsidRPr="00752BD2" w:rsidRDefault="00B02873" w:rsidP="00752BD2">
            <w:pPr>
              <w:pStyle w:val="TablebodyleftTables"/>
              <w:rPr>
                <w:rStyle w:val="Bold"/>
                <w:rFonts w:asciiTheme="minorHAnsi" w:hAnsiTheme="minorHAnsi" w:cstheme="minorHAnsi"/>
                <w:b w:val="0"/>
                <w:bCs w:val="0"/>
              </w:rPr>
            </w:pPr>
            <w:r w:rsidRPr="00752BD2">
              <w:rPr>
                <w:rStyle w:val="Bold"/>
                <w:rFonts w:asciiTheme="minorHAnsi" w:hAnsiTheme="minorHAnsi" w:cstheme="minorHAnsi"/>
                <w:b w:val="0"/>
                <w:bCs w:val="0"/>
              </w:rPr>
              <w:t>The Standard amends AASB 101 to clarify requirements for the presentation of liabilities in the statement of financial position as current or non-current. A liability is classified as non-current if an entity has the right at the end of the reporting period to defer settlement of the liability for at least 12 months after the reporting period. The meaning of settlement of a liability is also clarified.</w:t>
            </w:r>
          </w:p>
          <w:p w14:paraId="1C5A51BB" w14:textId="51CD2E17" w:rsidR="00B02873" w:rsidRPr="00752BD2" w:rsidRDefault="00B02873" w:rsidP="00752BD2">
            <w:pPr>
              <w:pStyle w:val="TablebodyleftTables"/>
              <w:rPr>
                <w:rFonts w:asciiTheme="minorHAnsi" w:hAnsiTheme="minorHAnsi" w:cstheme="minorHAnsi"/>
              </w:rPr>
            </w:pPr>
            <w:r w:rsidRPr="00752BD2">
              <w:rPr>
                <w:rStyle w:val="Bold"/>
                <w:rFonts w:asciiTheme="minorHAnsi" w:hAnsiTheme="minorHAnsi" w:cstheme="minorHAnsi"/>
                <w:b w:val="0"/>
                <w:bCs w:val="0"/>
              </w:rPr>
              <w:t xml:space="preserve">AASB 2020-6 </w:t>
            </w:r>
            <w:r w:rsidRPr="00752BD2">
              <w:rPr>
                <w:rStyle w:val="LightItalic"/>
                <w:rFonts w:asciiTheme="minorHAnsi" w:hAnsiTheme="minorHAnsi" w:cstheme="minorHAnsi"/>
              </w:rPr>
              <w:t>Amendments to Australian Accounting Standards – Classification of Liabilities as Current or Non-current</w:t>
            </w:r>
            <w:r w:rsidRPr="00752BD2">
              <w:rPr>
                <w:rStyle w:val="Bold"/>
                <w:rFonts w:asciiTheme="minorHAnsi" w:hAnsiTheme="minorHAnsi" w:cstheme="minorHAnsi"/>
                <w:b w:val="0"/>
                <w:bCs w:val="0"/>
              </w:rPr>
              <w:t xml:space="preserve"> – </w:t>
            </w:r>
            <w:r w:rsidRPr="00752BD2">
              <w:rPr>
                <w:rStyle w:val="LightItalic"/>
                <w:rFonts w:asciiTheme="minorHAnsi" w:hAnsiTheme="minorHAnsi" w:cstheme="minorHAnsi"/>
              </w:rPr>
              <w:t>Deferral of Effective Date</w:t>
            </w:r>
            <w:r w:rsidRPr="00752BD2">
              <w:rPr>
                <w:rStyle w:val="Bold"/>
                <w:rFonts w:asciiTheme="minorHAnsi" w:hAnsiTheme="minorHAnsi" w:cstheme="minorHAnsi"/>
                <w:b w:val="0"/>
                <w:bCs w:val="0"/>
              </w:rPr>
              <w:t xml:space="preserve"> was issued in August 2020 and defers the effective date to annual reporting periods beginning on or after 1 January 2023 instead of 1 January 2022, with earlier application permitted.</w:t>
            </w:r>
          </w:p>
        </w:tc>
        <w:tc>
          <w:tcPr>
            <w:tcW w:w="1871" w:type="dxa"/>
          </w:tcPr>
          <w:p w14:paraId="4FFE3D7D" w14:textId="77777777" w:rsidR="00B02873" w:rsidRPr="00752BD2" w:rsidRDefault="00B02873" w:rsidP="00752BD2">
            <w:pPr>
              <w:pStyle w:val="TablebodyleftTables"/>
              <w:rPr>
                <w:rFonts w:asciiTheme="minorHAnsi" w:hAnsiTheme="minorHAnsi" w:cstheme="minorHAnsi"/>
              </w:rPr>
            </w:pPr>
            <w:r w:rsidRPr="00752BD2">
              <w:rPr>
                <w:rStyle w:val="Bold"/>
                <w:rFonts w:asciiTheme="minorHAnsi" w:hAnsiTheme="minorHAnsi" w:cstheme="minorHAnsi"/>
                <w:b w:val="0"/>
                <w:bCs w:val="0"/>
              </w:rPr>
              <w:t>1 January 2023</w:t>
            </w:r>
          </w:p>
        </w:tc>
        <w:tc>
          <w:tcPr>
            <w:tcW w:w="1338" w:type="dxa"/>
          </w:tcPr>
          <w:p w14:paraId="6789B3FB" w14:textId="77777777" w:rsidR="00B02873" w:rsidRPr="00752BD2" w:rsidRDefault="00B02873" w:rsidP="00752BD2">
            <w:pPr>
              <w:pStyle w:val="TablebodyleftTables"/>
              <w:rPr>
                <w:rFonts w:asciiTheme="minorHAnsi" w:hAnsiTheme="minorHAnsi" w:cstheme="minorHAnsi"/>
              </w:rPr>
            </w:pPr>
            <w:r w:rsidRPr="00752BD2">
              <w:rPr>
                <w:rStyle w:val="Bold"/>
                <w:rFonts w:asciiTheme="minorHAnsi" w:hAnsiTheme="minorHAnsi" w:cstheme="minorHAnsi"/>
                <w:b w:val="0"/>
                <w:bCs w:val="0"/>
              </w:rPr>
              <w:t>The standard is not expected to have a significant impact.</w:t>
            </w:r>
          </w:p>
        </w:tc>
      </w:tr>
    </w:tbl>
    <w:p w14:paraId="0081821B" w14:textId="77777777" w:rsidR="00B02873" w:rsidRPr="00752BD2" w:rsidRDefault="00B02873" w:rsidP="00752BD2"/>
    <w:p w14:paraId="03690713" w14:textId="77777777" w:rsidR="00B02873" w:rsidRDefault="00B02873" w:rsidP="00752BD2">
      <w:pPr>
        <w:pStyle w:val="Heading3"/>
      </w:pPr>
      <w:r>
        <w:t>9.11 Style conventions</w:t>
      </w:r>
    </w:p>
    <w:p w14:paraId="6F411F65" w14:textId="6D553426" w:rsidR="00B02873" w:rsidRDefault="00B02873" w:rsidP="00FE198A">
      <w:r>
        <w:t>Figures in the tables and in the text have been rounded. Discrepancies in tables between totals and sums of components reflect rounding. Percentage variations in all tables are based on the underlying unrounded amounts.</w:t>
      </w:r>
    </w:p>
    <w:p w14:paraId="305E5392" w14:textId="77777777" w:rsidR="00B02873" w:rsidRDefault="00B02873" w:rsidP="00752BD2">
      <w:pPr>
        <w:pStyle w:val="Normalbeforebullet"/>
      </w:pPr>
      <w:r>
        <w:t>The notation used in the tables is as follows:</w:t>
      </w:r>
    </w:p>
    <w:p w14:paraId="2DB8D597" w14:textId="77777777" w:rsidR="00B02873" w:rsidRDefault="00B02873" w:rsidP="00752BD2">
      <w:pPr>
        <w:tabs>
          <w:tab w:val="left" w:pos="1134"/>
        </w:tabs>
      </w:pPr>
      <w:r>
        <w:t>(xxx.x)</w:t>
      </w:r>
      <w:r>
        <w:tab/>
        <w:t>negative numbers</w:t>
      </w:r>
    </w:p>
    <w:p w14:paraId="26E6DB9F" w14:textId="77777777" w:rsidR="00B02873" w:rsidRDefault="00B02873" w:rsidP="00752BD2">
      <w:pPr>
        <w:tabs>
          <w:tab w:val="left" w:pos="1134"/>
        </w:tabs>
      </w:pPr>
      <w:r>
        <w:t>20xx</w:t>
      </w:r>
      <w:r>
        <w:tab/>
        <w:t>year period</w:t>
      </w:r>
    </w:p>
    <w:p w14:paraId="01842D78" w14:textId="77777777" w:rsidR="00B02873" w:rsidRDefault="00B02873" w:rsidP="00752BD2">
      <w:pPr>
        <w:tabs>
          <w:tab w:val="left" w:pos="1134"/>
        </w:tabs>
      </w:pPr>
      <w:r>
        <w:t>20xx–xx</w:t>
      </w:r>
      <w:r>
        <w:tab/>
        <w:t>year period</w:t>
      </w:r>
    </w:p>
    <w:p w14:paraId="46D10BBE" w14:textId="40C770E8" w:rsidR="00B02873" w:rsidRPr="00752BD2" w:rsidRDefault="00B02873" w:rsidP="00FE198A">
      <w:pPr>
        <w:rPr>
          <w:rFonts w:asciiTheme="minorHAnsi" w:hAnsiTheme="minorHAnsi" w:cstheme="minorHAnsi"/>
        </w:rPr>
      </w:pPr>
      <w:r w:rsidRPr="00752BD2">
        <w:rPr>
          <w:rFonts w:asciiTheme="minorHAnsi" w:hAnsiTheme="minorHAnsi" w:cstheme="minorHAnsi"/>
        </w:rPr>
        <w:lastRenderedPageBreak/>
        <w:t xml:space="preserve">The financial statements and notes are presented based on the illustration for a government department in the 2021-22 </w:t>
      </w:r>
      <w:r w:rsidRPr="00752BD2">
        <w:rPr>
          <w:rStyle w:val="LightItalic"/>
          <w:rFonts w:asciiTheme="minorHAnsi" w:hAnsiTheme="minorHAnsi" w:cstheme="minorHAnsi"/>
        </w:rPr>
        <w:t>Model Report for Victorian Government Departments</w:t>
      </w:r>
      <w:r w:rsidRPr="00752BD2">
        <w:rPr>
          <w:rFonts w:asciiTheme="minorHAnsi" w:hAnsiTheme="minorHAnsi" w:cstheme="minorHAnsi"/>
        </w:rPr>
        <w:t>. The presentation of other disclosures is generally consistent with the other disclosures made in earlier publications of the department’s annual report.</w:t>
      </w:r>
    </w:p>
    <w:p w14:paraId="5CBC45E0" w14:textId="77777777" w:rsidR="00B02873" w:rsidRDefault="00B02873" w:rsidP="00752BD2">
      <w:pPr>
        <w:pStyle w:val="Heading3"/>
      </w:pPr>
      <w:r>
        <w:t xml:space="preserve">9.12 Glossary of technical terms </w:t>
      </w:r>
    </w:p>
    <w:p w14:paraId="3DD17D1D" w14:textId="77777777" w:rsidR="00B02873" w:rsidRDefault="00B02873" w:rsidP="00752BD2">
      <w:pPr>
        <w:pStyle w:val="Boldheader"/>
      </w:pPr>
      <w:r>
        <w:t>Grants for on- passing</w:t>
      </w:r>
    </w:p>
    <w:p w14:paraId="28B99A1A" w14:textId="77777777" w:rsidR="00B02873" w:rsidRDefault="00B02873" w:rsidP="00FE198A">
      <w:r>
        <w:rPr>
          <w:spacing w:val="-1"/>
        </w:rPr>
        <w:t>All grants paid to one institutional sector (e.g. a state general government entity) to be passed on to another institutional sector (e.g. local government or a private non-profit institution).</w:t>
      </w:r>
    </w:p>
    <w:p w14:paraId="7359A5BE" w14:textId="77777777" w:rsidR="00B02873" w:rsidRDefault="00B02873" w:rsidP="00511951">
      <w:pPr>
        <w:pStyle w:val="Boldheader"/>
      </w:pPr>
      <w:r>
        <w:t>Intangible produced assets</w:t>
      </w:r>
    </w:p>
    <w:p w14:paraId="5138631B" w14:textId="77777777" w:rsidR="00B02873" w:rsidRDefault="00B02873" w:rsidP="00FE198A">
      <w:r>
        <w:rPr>
          <w:spacing w:val="-1"/>
        </w:rPr>
        <w:t>Refer to produced assets in this glossary.</w:t>
      </w:r>
    </w:p>
    <w:p w14:paraId="7B3EF106" w14:textId="77777777" w:rsidR="00B02873" w:rsidRDefault="00B02873" w:rsidP="00511951">
      <w:pPr>
        <w:pStyle w:val="Boldheader"/>
      </w:pPr>
      <w:r>
        <w:t>Joint ventures</w:t>
      </w:r>
    </w:p>
    <w:p w14:paraId="38B17ACD" w14:textId="2F17AAE8" w:rsidR="00B02873" w:rsidRDefault="00B02873" w:rsidP="00FE198A">
      <w:r>
        <w:rPr>
          <w:spacing w:val="-1"/>
        </w:rPr>
        <w:t>Joint ventures are contractual arrangements between the department and one or more other parties to undertake an economic activity that is subject to joint control and have right to the net assets of the arrangement. Joint control only exists when the strategic financial and operating decisions relating to the activity require the unanimous consent of the parties sharing control (the venturers).</w:t>
      </w:r>
    </w:p>
    <w:p w14:paraId="0BC0DBA0" w14:textId="77777777" w:rsidR="00B02873" w:rsidRDefault="00B02873" w:rsidP="00511951">
      <w:pPr>
        <w:pStyle w:val="Boldheader"/>
      </w:pPr>
      <w:r>
        <w:t>Net result</w:t>
      </w:r>
    </w:p>
    <w:p w14:paraId="00B631BE" w14:textId="63F7A854" w:rsidR="00B02873" w:rsidRDefault="00B02873" w:rsidP="00FE198A">
      <w:r>
        <w:rPr>
          <w:spacing w:val="-1"/>
        </w:rPr>
        <w:t>Net result is a measure of financial performance of the operations for the period. It is the net result of items of revenue, gains and expenses (including losses) recognised for the period, excluding those that are classified as ‘other economic flows – other comprehensive income’.</w:t>
      </w:r>
    </w:p>
    <w:p w14:paraId="689EE45E" w14:textId="77777777" w:rsidR="00B02873" w:rsidRDefault="00B02873" w:rsidP="00511951">
      <w:pPr>
        <w:pStyle w:val="Boldheader"/>
      </w:pPr>
      <w:r>
        <w:t>Net result from transactions/net operating balance</w:t>
      </w:r>
    </w:p>
    <w:p w14:paraId="32ABD9A5" w14:textId="77777777" w:rsidR="00B02873" w:rsidRDefault="00B02873" w:rsidP="00FE198A">
      <w:r>
        <w:rPr>
          <w:spacing w:val="-1"/>
        </w:rPr>
        <w:t>Net result from transactions or net operating balance is a key fiscal aggregate and is income from transactions minus expenses from transactions. It is a summary measure of the ongoing sustainability of operations. It excludes gains and losses resulting from changes in price levels and other changes in the volume of assets. It is the component of the change in net worth that is due to transactions and can be attributed directly to government policies.</w:t>
      </w:r>
    </w:p>
    <w:p w14:paraId="05C958AD" w14:textId="77777777" w:rsidR="00B02873" w:rsidRDefault="00B02873" w:rsidP="00511951">
      <w:pPr>
        <w:pStyle w:val="Boldheader"/>
      </w:pPr>
      <w:r>
        <w:t>Net worth</w:t>
      </w:r>
    </w:p>
    <w:p w14:paraId="185B8E23" w14:textId="77777777" w:rsidR="00B02873" w:rsidRDefault="00B02873" w:rsidP="00FE198A">
      <w:r>
        <w:rPr>
          <w:spacing w:val="-1"/>
        </w:rPr>
        <w:t>Net worth is assets less liabilities, which is an economic measure of wealth.</w:t>
      </w:r>
    </w:p>
    <w:p w14:paraId="0B688B6B" w14:textId="77777777" w:rsidR="00B02873" w:rsidRDefault="00B02873" w:rsidP="00511951">
      <w:pPr>
        <w:pStyle w:val="Boldheader"/>
      </w:pPr>
      <w:r>
        <w:t>Non-financial assets</w:t>
      </w:r>
    </w:p>
    <w:p w14:paraId="44B92BE9" w14:textId="77777777" w:rsidR="00B02873" w:rsidRDefault="00B02873" w:rsidP="00FE198A">
      <w:r>
        <w:rPr>
          <w:spacing w:val="-1"/>
        </w:rPr>
        <w:t>Non-financial assets are all assets that are not ‘financial assets. It includes inventories, land, buildings, road networks, land under roads, plant and equipment, cultural and heritage assets, intangible and biological assets.</w:t>
      </w:r>
    </w:p>
    <w:p w14:paraId="0ED671A6" w14:textId="77777777" w:rsidR="00B02873" w:rsidRDefault="00B02873" w:rsidP="00511951">
      <w:pPr>
        <w:pStyle w:val="Boldheader"/>
      </w:pPr>
      <w:r>
        <w:t>Non-produced assets</w:t>
      </w:r>
    </w:p>
    <w:p w14:paraId="53D2A546" w14:textId="77777777" w:rsidR="00B02873" w:rsidRDefault="00B02873" w:rsidP="00FE198A">
      <w:r>
        <w:rPr>
          <w:spacing w:val="-1"/>
        </w:rPr>
        <w:t xml:space="preserve">Non-produced assets are assets needed for production that have not themselves been produced. They include land, subsoil assets, and certain intangible assets. Non-produced intangibles are intangible assets needed for production that have not themselves been produced. They include constructs of society such as patents. </w:t>
      </w:r>
    </w:p>
    <w:p w14:paraId="531B6291" w14:textId="77777777" w:rsidR="00B02873" w:rsidRDefault="00B02873" w:rsidP="00511951">
      <w:pPr>
        <w:pStyle w:val="Boldheader"/>
      </w:pPr>
      <w:r>
        <w:lastRenderedPageBreak/>
        <w:t>Other economic flows included in net result</w:t>
      </w:r>
    </w:p>
    <w:p w14:paraId="5CA14358" w14:textId="77777777" w:rsidR="00B02873" w:rsidRDefault="00B02873" w:rsidP="00511951">
      <w:pPr>
        <w:pStyle w:val="Normalbeforebullet"/>
      </w:pPr>
      <w:r>
        <w:t>Other economic flows included in net result are changes in the volume or value of an asset or liability that do not result from transactions. It includes:</w:t>
      </w:r>
    </w:p>
    <w:p w14:paraId="31A16BAC" w14:textId="77777777" w:rsidR="00B02873" w:rsidRDefault="00B02873" w:rsidP="00B02873">
      <w:pPr>
        <w:pStyle w:val="Bullet1Lists"/>
      </w:pPr>
      <w:r>
        <w:t>gains and losses from disposals, revaluations and impairments of non-financial physical and intangible assets</w:t>
      </w:r>
    </w:p>
    <w:p w14:paraId="18AC841F" w14:textId="77777777" w:rsidR="00B02873" w:rsidRDefault="00B02873" w:rsidP="00511951">
      <w:pPr>
        <w:pStyle w:val="Bullet1Listslast"/>
      </w:pPr>
      <w:r>
        <w:t>fair value changes of financial instruments and agricultural assets.</w:t>
      </w:r>
    </w:p>
    <w:p w14:paraId="2D555C8C" w14:textId="77777777" w:rsidR="00B02873" w:rsidRDefault="00B02873" w:rsidP="00511951">
      <w:pPr>
        <w:pStyle w:val="Boldheader"/>
      </w:pPr>
      <w:r>
        <w:t>Other economic flows – other comprehensive income</w:t>
      </w:r>
    </w:p>
    <w:p w14:paraId="3ECC450B" w14:textId="017B0226" w:rsidR="00B02873" w:rsidRDefault="00B02873" w:rsidP="00FE198A">
      <w:r>
        <w:rPr>
          <w:spacing w:val="-1"/>
        </w:rPr>
        <w:t>Other economic flows – other comprehensive income comprises items (including reclassification adjustments) that are not recognised in net result as required or permitted by other Australian Accounting Standards.</w:t>
      </w:r>
    </w:p>
    <w:p w14:paraId="3D819D33" w14:textId="670E17EF" w:rsidR="00B02873" w:rsidRDefault="00B02873" w:rsidP="00511951">
      <w:pPr>
        <w:pStyle w:val="Normalbeforebullet"/>
      </w:pPr>
      <w:r>
        <w:t>The components of other economic flows - other comprehensive income include:</w:t>
      </w:r>
    </w:p>
    <w:p w14:paraId="30787E14" w14:textId="2E9F03DD" w:rsidR="00B02873" w:rsidRDefault="00B02873" w:rsidP="001128B1">
      <w:pPr>
        <w:pStyle w:val="NumberaLists"/>
        <w:numPr>
          <w:ilvl w:val="0"/>
          <w:numId w:val="42"/>
        </w:numPr>
      </w:pPr>
      <w:r>
        <w:t>changes in physical asset revaluation surplus</w:t>
      </w:r>
    </w:p>
    <w:p w14:paraId="198982DC" w14:textId="5F890B30" w:rsidR="00B02873" w:rsidRDefault="00B02873" w:rsidP="001128B1">
      <w:pPr>
        <w:pStyle w:val="NumberaLists"/>
        <w:numPr>
          <w:ilvl w:val="0"/>
          <w:numId w:val="42"/>
        </w:numPr>
        <w:spacing w:after="200"/>
        <w:ind w:left="357" w:hanging="357"/>
      </w:pPr>
      <w:r>
        <w:t xml:space="preserve">gains and losses on remeasuring available-for-sale financial assets. </w:t>
      </w:r>
    </w:p>
    <w:p w14:paraId="4B6DF13C" w14:textId="77777777" w:rsidR="00B02873" w:rsidRDefault="00B02873" w:rsidP="00511951">
      <w:pPr>
        <w:pStyle w:val="Boldheader"/>
      </w:pPr>
      <w:r>
        <w:t>Produced assets</w:t>
      </w:r>
    </w:p>
    <w:p w14:paraId="53CC774B" w14:textId="77777777" w:rsidR="00B02873" w:rsidRDefault="00B02873" w:rsidP="00FE198A">
      <w:r>
        <w:rPr>
          <w:spacing w:val="-1"/>
        </w:rPr>
        <w:t>Produced assets include buildings, plant and equipment, inventories, cultivated assets and certain intangible assets. Intangible produced assets may include computer software, motion picture films and research and development costs (which does not include the start-up costs associated with capital projects).</w:t>
      </w:r>
    </w:p>
    <w:p w14:paraId="660952AF" w14:textId="77777777" w:rsidR="00B02873" w:rsidRDefault="00B02873" w:rsidP="00511951">
      <w:pPr>
        <w:pStyle w:val="Boldheader"/>
      </w:pPr>
      <w:r>
        <w:t>Sales of goods and services</w:t>
      </w:r>
    </w:p>
    <w:p w14:paraId="0EB5E6A2" w14:textId="32257154" w:rsidR="00B02873" w:rsidRDefault="00B02873" w:rsidP="00FE198A">
      <w:r>
        <w:rPr>
          <w:spacing w:val="-1"/>
        </w:rPr>
        <w:t>Refers to income from the direct provision of goods and services and includes fees and charges for services rendered, sales of goods and services, fees from regulatory services and work done as an agent for private enterprises. It also includes rental income under operating leases and on produced assets such as buildings and entertainment, but excludes rent income from the use of non-produced assets such as land. User charges includes sale of goods and services income.</w:t>
      </w:r>
    </w:p>
    <w:p w14:paraId="735D8D45" w14:textId="77777777" w:rsidR="00B02873" w:rsidRDefault="00B02873" w:rsidP="00511951">
      <w:pPr>
        <w:pStyle w:val="Boldheader"/>
      </w:pPr>
      <w:r>
        <w:t>Taxation income</w:t>
      </w:r>
    </w:p>
    <w:p w14:paraId="670187A6" w14:textId="77777777" w:rsidR="00B02873" w:rsidRDefault="00B02873" w:rsidP="00511951">
      <w:pPr>
        <w:pStyle w:val="Normalbeforebullet"/>
      </w:pPr>
      <w:r>
        <w:t>Taxation income represents income received from the state’s taxpayers and includes:</w:t>
      </w:r>
    </w:p>
    <w:p w14:paraId="40BDE79C" w14:textId="77777777" w:rsidR="00B02873" w:rsidRDefault="00B02873" w:rsidP="00B02873">
      <w:pPr>
        <w:pStyle w:val="Bullet1Lists"/>
      </w:pPr>
      <w:r>
        <w:t>levies (including the environmental levy) on statutory corporations in other sectors of government</w:t>
      </w:r>
    </w:p>
    <w:p w14:paraId="506B329F" w14:textId="77777777" w:rsidR="00B02873" w:rsidRDefault="00B02873" w:rsidP="00B02873">
      <w:pPr>
        <w:pStyle w:val="Bullet1Lists"/>
      </w:pPr>
      <w:r>
        <w:t>the Metropolitan Parks Improvement Rate</w:t>
      </w:r>
    </w:p>
    <w:p w14:paraId="3B81EDA1" w14:textId="67025F59" w:rsidR="00B02873" w:rsidRDefault="00B02873" w:rsidP="00511951">
      <w:pPr>
        <w:pStyle w:val="Bullet1Listslast"/>
      </w:pPr>
      <w:r>
        <w:t>other taxes, including landfill levies, licence and concession fees.</w:t>
      </w:r>
    </w:p>
    <w:p w14:paraId="02861A99" w14:textId="77777777" w:rsidR="00B02873" w:rsidRDefault="00B02873" w:rsidP="00511951">
      <w:pPr>
        <w:pStyle w:val="Boldheader"/>
      </w:pPr>
      <w:r>
        <w:t>Transactions</w:t>
      </w:r>
    </w:p>
    <w:p w14:paraId="6DB722A4" w14:textId="77777777" w:rsidR="00B02873" w:rsidRDefault="00B02873" w:rsidP="00FE198A">
      <w:r>
        <w:rPr>
          <w:spacing w:val="-1"/>
        </w:rPr>
        <w:t>Transactions are those economic flows that are considered to arise as a result of policy decisions, usually an interaction between two entities by mutual agreement. They also include flows into an entity such as depreciation where the owner is simultaneously acting as the owner of the depreciating asset and as the consumer of the service provided by the asset. Taxation is regarded as mutually agreed interactions between the government and taxpayers. Transactions can be in kind (e.g. assets provided/given free of charge or for nominal consideration) or where the final consideration is cash. In simple terms, transactions arise from the policy decisions of the government.</w:t>
      </w:r>
    </w:p>
    <w:p w14:paraId="4678D37F" w14:textId="5014159F" w:rsidR="00B02873" w:rsidRDefault="00B02873" w:rsidP="00FE198A"/>
    <w:p w14:paraId="76138032" w14:textId="77777777" w:rsidR="00B02873" w:rsidRDefault="00B02873" w:rsidP="00FE198A">
      <w:pPr>
        <w:pStyle w:val="Heading1"/>
      </w:pPr>
      <w:bookmarkStart w:id="78" w:name="_Toc117447365"/>
      <w:r>
        <w:lastRenderedPageBreak/>
        <w:t>Appendices</w:t>
      </w:r>
      <w:bookmarkEnd w:id="78"/>
    </w:p>
    <w:p w14:paraId="6529E81C" w14:textId="77777777" w:rsidR="00B02873" w:rsidRDefault="00B02873" w:rsidP="00511951">
      <w:pPr>
        <w:pStyle w:val="Heading2"/>
      </w:pPr>
      <w:bookmarkStart w:id="79" w:name="_Ref116904636"/>
      <w:bookmarkStart w:id="80" w:name="_Toc117447366"/>
      <w:r>
        <w:t>Appendix 1: Disclosure Index</w:t>
      </w:r>
      <w:bookmarkEnd w:id="79"/>
      <w:bookmarkEnd w:id="80"/>
      <w:r>
        <w:t xml:space="preserve"> </w:t>
      </w:r>
    </w:p>
    <w:p w14:paraId="13BA7462" w14:textId="77777777" w:rsidR="00B02873" w:rsidRDefault="00B02873" w:rsidP="00FE198A">
      <w:r>
        <w:t>The annual report is prepared in accordance with all relevant Victorian legislations and pronouncements. This index has been prepared to facilitate identification of the department’s compliance with statutory disclosure requirements. [FRD 10]</w:t>
      </w:r>
    </w:p>
    <w:p w14:paraId="730F90E4" w14:textId="6D28FA25" w:rsidR="00B02873" w:rsidRDefault="00B02873" w:rsidP="00FE198A">
      <w:r>
        <w:t>Click on a requirement or legislation title (Ctrl+click in Microsoft Word) to refer to the relevant requirements for the corresponding disclosure requirements, or alternatively, refer to the corresponding page references.</w:t>
      </w:r>
    </w:p>
    <w:p w14:paraId="58114FA2" w14:textId="21609495" w:rsidR="004D2876" w:rsidRDefault="004D2876" w:rsidP="004D2876">
      <w:pPr>
        <w:pStyle w:val="TabletitleTables"/>
      </w:pPr>
      <w:r>
        <w:t>Standing Directions and Financial Reporting Directions</w:t>
      </w:r>
    </w:p>
    <w:p w14:paraId="1130CF5B" w14:textId="409058A9" w:rsidR="004D2876" w:rsidRPr="004D2876" w:rsidRDefault="004D2876" w:rsidP="004D2876">
      <w:pPr>
        <w:rPr>
          <w:b/>
          <w:bCs/>
        </w:rPr>
      </w:pPr>
      <w:r w:rsidRPr="004D2876">
        <w:rPr>
          <w:b/>
          <w:bCs/>
        </w:rPr>
        <w:t>Report of operations</w:t>
      </w:r>
    </w:p>
    <w:p w14:paraId="7CA6277A" w14:textId="28754B67" w:rsidR="004D2876" w:rsidRPr="004D2876" w:rsidRDefault="004D2876" w:rsidP="004D2876">
      <w:pPr>
        <w:rPr>
          <w:i/>
          <w:iCs/>
        </w:rPr>
      </w:pPr>
      <w:r w:rsidRPr="004D2876">
        <w:rPr>
          <w:i/>
          <w:iCs/>
        </w:rPr>
        <w:t>Charter and purpose</w:t>
      </w:r>
    </w:p>
    <w:tbl>
      <w:tblPr>
        <w:tblStyle w:val="TableGrid"/>
        <w:tblW w:w="9638" w:type="dxa"/>
        <w:tblLayout w:type="fixed"/>
        <w:tblLook w:val="0020" w:firstRow="1" w:lastRow="0" w:firstColumn="0" w:lastColumn="0" w:noHBand="0" w:noVBand="0"/>
      </w:tblPr>
      <w:tblGrid>
        <w:gridCol w:w="1814"/>
        <w:gridCol w:w="6633"/>
        <w:gridCol w:w="1191"/>
      </w:tblGrid>
      <w:tr w:rsidR="004D2876" w:rsidRPr="00B02873" w14:paraId="1480844F" w14:textId="77777777" w:rsidTr="004D2876">
        <w:trPr>
          <w:cnfStyle w:val="100000000000" w:firstRow="1" w:lastRow="0" w:firstColumn="0" w:lastColumn="0" w:oddVBand="0" w:evenVBand="0" w:oddHBand="0" w:evenHBand="0" w:firstRowFirstColumn="0" w:firstRowLastColumn="0" w:lastRowFirstColumn="0" w:lastRowLastColumn="0"/>
          <w:trHeight w:val="60"/>
          <w:tblHeader/>
        </w:trPr>
        <w:tc>
          <w:tcPr>
            <w:tcW w:w="1814" w:type="dxa"/>
          </w:tcPr>
          <w:p w14:paraId="620F96D4" w14:textId="77777777" w:rsidR="004D2876" w:rsidRDefault="004D2876" w:rsidP="00CA1AAE">
            <w:pPr>
              <w:pStyle w:val="TableheadingleftTables"/>
            </w:pPr>
            <w:r>
              <w:t>Legislation</w:t>
            </w:r>
          </w:p>
        </w:tc>
        <w:tc>
          <w:tcPr>
            <w:tcW w:w="6633" w:type="dxa"/>
          </w:tcPr>
          <w:p w14:paraId="0B1A3AAE" w14:textId="77777777" w:rsidR="004D2876" w:rsidRDefault="004D2876" w:rsidP="00CA1AAE">
            <w:pPr>
              <w:pStyle w:val="TableheadingleftTables"/>
            </w:pPr>
            <w:r>
              <w:t>Requirement</w:t>
            </w:r>
          </w:p>
        </w:tc>
        <w:tc>
          <w:tcPr>
            <w:tcW w:w="1191" w:type="dxa"/>
          </w:tcPr>
          <w:p w14:paraId="0849DBC3" w14:textId="77777777" w:rsidR="004D2876" w:rsidRDefault="004D2876" w:rsidP="004D2876">
            <w:pPr>
              <w:pStyle w:val="TableheadingleftTables"/>
              <w:jc w:val="center"/>
            </w:pPr>
            <w:r>
              <w:t>Page reference</w:t>
            </w:r>
          </w:p>
        </w:tc>
      </w:tr>
      <w:tr w:rsidR="00B02873" w:rsidRPr="00B02873" w14:paraId="61E3BA73" w14:textId="77777777" w:rsidTr="004D2876">
        <w:trPr>
          <w:trHeight w:val="358"/>
        </w:trPr>
        <w:tc>
          <w:tcPr>
            <w:tcW w:w="1814" w:type="dxa"/>
          </w:tcPr>
          <w:p w14:paraId="6D404417" w14:textId="77777777" w:rsidR="00B02873" w:rsidRDefault="00B02873" w:rsidP="004D2876">
            <w:pPr>
              <w:pStyle w:val="TablebodyleftTables"/>
            </w:pPr>
            <w:r>
              <w:t>FRD 22</w:t>
            </w:r>
          </w:p>
        </w:tc>
        <w:tc>
          <w:tcPr>
            <w:tcW w:w="6633" w:type="dxa"/>
          </w:tcPr>
          <w:p w14:paraId="55811313" w14:textId="77777777" w:rsidR="00B02873" w:rsidRDefault="00B02873" w:rsidP="004D2876">
            <w:pPr>
              <w:pStyle w:val="TablebodyleftTables"/>
            </w:pPr>
            <w:r>
              <w:t>Manner of establishment and the relevant Ministers</w:t>
            </w:r>
          </w:p>
        </w:tc>
        <w:tc>
          <w:tcPr>
            <w:tcW w:w="1191" w:type="dxa"/>
          </w:tcPr>
          <w:p w14:paraId="53C5AF52" w14:textId="1F3FD375" w:rsidR="00B02873" w:rsidRDefault="00D70054" w:rsidP="004D2876">
            <w:pPr>
              <w:pStyle w:val="TablebodyleftTables"/>
              <w:jc w:val="center"/>
            </w:pPr>
            <w:r>
              <w:fldChar w:fldCharType="begin"/>
            </w:r>
            <w:r>
              <w:instrText xml:space="preserve"> PAGEREF _Ref116903913 \h </w:instrText>
            </w:r>
            <w:r>
              <w:fldChar w:fldCharType="separate"/>
            </w:r>
            <w:r>
              <w:rPr>
                <w:noProof/>
              </w:rPr>
              <w:t>16</w:t>
            </w:r>
            <w:r>
              <w:fldChar w:fldCharType="end"/>
            </w:r>
          </w:p>
        </w:tc>
      </w:tr>
      <w:tr w:rsidR="00B02873" w:rsidRPr="00B02873" w14:paraId="386216F5" w14:textId="77777777" w:rsidTr="004D2876">
        <w:trPr>
          <w:trHeight w:val="358"/>
        </w:trPr>
        <w:tc>
          <w:tcPr>
            <w:tcW w:w="1814" w:type="dxa"/>
          </w:tcPr>
          <w:p w14:paraId="7874A990" w14:textId="77777777" w:rsidR="00B02873" w:rsidRDefault="00B02873" w:rsidP="004D2876">
            <w:pPr>
              <w:pStyle w:val="TablebodyleftTables"/>
            </w:pPr>
            <w:r>
              <w:t>FRD 22</w:t>
            </w:r>
          </w:p>
        </w:tc>
        <w:tc>
          <w:tcPr>
            <w:tcW w:w="6633" w:type="dxa"/>
          </w:tcPr>
          <w:p w14:paraId="2E99E6B6" w14:textId="77777777" w:rsidR="00B02873" w:rsidRDefault="00B02873" w:rsidP="004D2876">
            <w:pPr>
              <w:pStyle w:val="TablebodyleftTables"/>
            </w:pPr>
            <w:r>
              <w:t>Purpose, functions, powers and duties</w:t>
            </w:r>
          </w:p>
        </w:tc>
        <w:tc>
          <w:tcPr>
            <w:tcW w:w="1191" w:type="dxa"/>
          </w:tcPr>
          <w:p w14:paraId="61348F16" w14:textId="4E5E1103" w:rsidR="00B02873" w:rsidRDefault="00B455C5" w:rsidP="004D2876">
            <w:pPr>
              <w:pStyle w:val="TablebodyleftTables"/>
              <w:jc w:val="center"/>
            </w:pPr>
            <w:r>
              <w:fldChar w:fldCharType="begin"/>
            </w:r>
            <w:r>
              <w:instrText xml:space="preserve"> PAGEREF Our_functions_and_services \h </w:instrText>
            </w:r>
            <w:r>
              <w:fldChar w:fldCharType="separate"/>
            </w:r>
            <w:r>
              <w:rPr>
                <w:noProof/>
              </w:rPr>
              <w:t>21</w:t>
            </w:r>
            <w:r>
              <w:fldChar w:fldCharType="end"/>
            </w:r>
          </w:p>
        </w:tc>
      </w:tr>
      <w:tr w:rsidR="00B02873" w:rsidRPr="00B02873" w14:paraId="77D33F70" w14:textId="77777777" w:rsidTr="004D2876">
        <w:trPr>
          <w:trHeight w:val="358"/>
        </w:trPr>
        <w:tc>
          <w:tcPr>
            <w:tcW w:w="1814" w:type="dxa"/>
          </w:tcPr>
          <w:p w14:paraId="26179849" w14:textId="77777777" w:rsidR="00B02873" w:rsidRDefault="00B02873" w:rsidP="004D2876">
            <w:pPr>
              <w:pStyle w:val="TablebodyleftTables"/>
            </w:pPr>
            <w:r>
              <w:t>FRD 8</w:t>
            </w:r>
          </w:p>
        </w:tc>
        <w:tc>
          <w:tcPr>
            <w:tcW w:w="6633" w:type="dxa"/>
          </w:tcPr>
          <w:p w14:paraId="7239F5D8" w14:textId="77777777" w:rsidR="00B02873" w:rsidRDefault="00B02873" w:rsidP="004D2876">
            <w:pPr>
              <w:pStyle w:val="TablebodyleftTables"/>
            </w:pPr>
            <w:r>
              <w:t>Departmental objectives, indicators and outputs</w:t>
            </w:r>
          </w:p>
        </w:tc>
        <w:tc>
          <w:tcPr>
            <w:tcW w:w="1191" w:type="dxa"/>
          </w:tcPr>
          <w:p w14:paraId="34994AB1" w14:textId="7388A675" w:rsidR="00B02873" w:rsidRDefault="00D70054" w:rsidP="004D2876">
            <w:pPr>
              <w:pStyle w:val="TablebodyleftTables"/>
              <w:jc w:val="center"/>
            </w:pPr>
            <w:r>
              <w:fldChar w:fldCharType="begin"/>
            </w:r>
            <w:r>
              <w:instrText xml:space="preserve"> PAGEREF _Ref116904085 \h </w:instrText>
            </w:r>
            <w:r>
              <w:fldChar w:fldCharType="separate"/>
            </w:r>
            <w:r>
              <w:rPr>
                <w:noProof/>
              </w:rPr>
              <w:t>25</w:t>
            </w:r>
            <w:r>
              <w:fldChar w:fldCharType="end"/>
            </w:r>
          </w:p>
        </w:tc>
      </w:tr>
      <w:tr w:rsidR="00B02873" w:rsidRPr="00B02873" w14:paraId="17DB3489" w14:textId="77777777" w:rsidTr="004D2876">
        <w:trPr>
          <w:trHeight w:val="358"/>
        </w:trPr>
        <w:tc>
          <w:tcPr>
            <w:tcW w:w="1814" w:type="dxa"/>
          </w:tcPr>
          <w:p w14:paraId="7E35B567" w14:textId="77777777" w:rsidR="00B02873" w:rsidRDefault="00B02873" w:rsidP="004D2876">
            <w:pPr>
              <w:pStyle w:val="TablebodyleftTables"/>
            </w:pPr>
            <w:r>
              <w:t>FRD 22</w:t>
            </w:r>
          </w:p>
        </w:tc>
        <w:tc>
          <w:tcPr>
            <w:tcW w:w="6633" w:type="dxa"/>
          </w:tcPr>
          <w:p w14:paraId="6D7D2B39" w14:textId="77777777" w:rsidR="00B02873" w:rsidRDefault="00B02873" w:rsidP="004D2876">
            <w:pPr>
              <w:pStyle w:val="TablebodyleftTables"/>
            </w:pPr>
            <w:r>
              <w:t>Key initiatives and projects</w:t>
            </w:r>
          </w:p>
        </w:tc>
        <w:tc>
          <w:tcPr>
            <w:tcW w:w="1191" w:type="dxa"/>
          </w:tcPr>
          <w:p w14:paraId="75F01ED1" w14:textId="3D3E4D95" w:rsidR="00B02873" w:rsidRDefault="003F0EE3" w:rsidP="004D2876">
            <w:pPr>
              <w:pStyle w:val="TablebodyleftTables"/>
              <w:jc w:val="center"/>
            </w:pPr>
            <w:r>
              <w:fldChar w:fldCharType="begin"/>
            </w:r>
            <w:r>
              <w:instrText xml:space="preserve"> PAGEREF _Ref116904178 \h </w:instrText>
            </w:r>
            <w:r>
              <w:fldChar w:fldCharType="separate"/>
            </w:r>
            <w:r>
              <w:rPr>
                <w:noProof/>
              </w:rPr>
              <w:t>27</w:t>
            </w:r>
            <w:r>
              <w:fldChar w:fldCharType="end"/>
            </w:r>
          </w:p>
        </w:tc>
      </w:tr>
      <w:tr w:rsidR="00B02873" w:rsidRPr="00B02873" w14:paraId="3FA65721" w14:textId="77777777" w:rsidTr="004D2876">
        <w:trPr>
          <w:trHeight w:val="358"/>
        </w:trPr>
        <w:tc>
          <w:tcPr>
            <w:tcW w:w="1814" w:type="dxa"/>
          </w:tcPr>
          <w:p w14:paraId="4F7B21F1" w14:textId="77777777" w:rsidR="00B02873" w:rsidRDefault="00B02873" w:rsidP="004D2876">
            <w:pPr>
              <w:pStyle w:val="TablebodyleftTables"/>
            </w:pPr>
            <w:r>
              <w:t>FRD 22</w:t>
            </w:r>
          </w:p>
        </w:tc>
        <w:tc>
          <w:tcPr>
            <w:tcW w:w="6633" w:type="dxa"/>
          </w:tcPr>
          <w:p w14:paraId="41D200E7" w14:textId="77777777" w:rsidR="00B02873" w:rsidRDefault="00B02873" w:rsidP="004D2876">
            <w:pPr>
              <w:pStyle w:val="TablebodyleftTables"/>
            </w:pPr>
            <w:r>
              <w:t>Nature and range of services provided</w:t>
            </w:r>
          </w:p>
        </w:tc>
        <w:tc>
          <w:tcPr>
            <w:tcW w:w="1191" w:type="dxa"/>
          </w:tcPr>
          <w:p w14:paraId="30797C67" w14:textId="74F6E10A" w:rsidR="00B02873" w:rsidRDefault="003F0EE3" w:rsidP="004D2876">
            <w:pPr>
              <w:pStyle w:val="TablebodyleftTables"/>
              <w:jc w:val="center"/>
            </w:pPr>
            <w:r>
              <w:fldChar w:fldCharType="begin"/>
            </w:r>
            <w:r>
              <w:instrText xml:space="preserve"> PAGEREF _Ref116904264 \h </w:instrText>
            </w:r>
            <w:r>
              <w:fldChar w:fldCharType="separate"/>
            </w:r>
            <w:r>
              <w:rPr>
                <w:noProof/>
              </w:rPr>
              <w:t>20</w:t>
            </w:r>
            <w:r>
              <w:fldChar w:fldCharType="end"/>
            </w:r>
          </w:p>
        </w:tc>
      </w:tr>
    </w:tbl>
    <w:p w14:paraId="589F4D1D" w14:textId="725E29F3" w:rsidR="004D2876" w:rsidRDefault="004D2876"/>
    <w:p w14:paraId="217C3602" w14:textId="475D61F1" w:rsidR="004D2876" w:rsidRPr="004D2876" w:rsidRDefault="004D2876">
      <w:pPr>
        <w:rPr>
          <w:i/>
          <w:iCs/>
        </w:rPr>
      </w:pPr>
      <w:r w:rsidRPr="004D2876">
        <w:rPr>
          <w:i/>
          <w:iCs/>
        </w:rPr>
        <w:t>Management and structure</w:t>
      </w:r>
    </w:p>
    <w:tbl>
      <w:tblPr>
        <w:tblStyle w:val="TableGrid"/>
        <w:tblW w:w="9638" w:type="dxa"/>
        <w:tblLayout w:type="fixed"/>
        <w:tblLook w:val="0020" w:firstRow="1" w:lastRow="0" w:firstColumn="0" w:lastColumn="0" w:noHBand="0" w:noVBand="0"/>
      </w:tblPr>
      <w:tblGrid>
        <w:gridCol w:w="1814"/>
        <w:gridCol w:w="6633"/>
        <w:gridCol w:w="1191"/>
      </w:tblGrid>
      <w:tr w:rsidR="004D2876" w:rsidRPr="00B02873" w14:paraId="51172D8D" w14:textId="77777777" w:rsidTr="00E410D5">
        <w:trPr>
          <w:cnfStyle w:val="100000000000" w:firstRow="1" w:lastRow="0" w:firstColumn="0" w:lastColumn="0" w:oddVBand="0" w:evenVBand="0" w:oddHBand="0" w:evenHBand="0" w:firstRowFirstColumn="0" w:firstRowLastColumn="0" w:lastRowFirstColumn="0" w:lastRowLastColumn="0"/>
          <w:trHeight w:val="60"/>
          <w:tblHeader/>
        </w:trPr>
        <w:tc>
          <w:tcPr>
            <w:tcW w:w="1814" w:type="dxa"/>
          </w:tcPr>
          <w:p w14:paraId="1D238C5A" w14:textId="77777777" w:rsidR="004D2876" w:rsidRDefault="004D2876" w:rsidP="00E410D5">
            <w:pPr>
              <w:pStyle w:val="TableheadingleftTables"/>
            </w:pPr>
            <w:r>
              <w:t>Legislation</w:t>
            </w:r>
          </w:p>
        </w:tc>
        <w:tc>
          <w:tcPr>
            <w:tcW w:w="6633" w:type="dxa"/>
          </w:tcPr>
          <w:p w14:paraId="77CC1C94" w14:textId="77777777" w:rsidR="004D2876" w:rsidRDefault="004D2876" w:rsidP="00E410D5">
            <w:pPr>
              <w:pStyle w:val="TableheadingleftTables"/>
            </w:pPr>
            <w:r>
              <w:t>Requirement</w:t>
            </w:r>
          </w:p>
        </w:tc>
        <w:tc>
          <w:tcPr>
            <w:tcW w:w="1191" w:type="dxa"/>
          </w:tcPr>
          <w:p w14:paraId="6C714955" w14:textId="77777777" w:rsidR="004D2876" w:rsidRDefault="004D2876" w:rsidP="004D2876">
            <w:pPr>
              <w:pStyle w:val="TableheadingleftTables"/>
              <w:jc w:val="center"/>
            </w:pPr>
            <w:r>
              <w:t>Page reference</w:t>
            </w:r>
          </w:p>
        </w:tc>
      </w:tr>
      <w:tr w:rsidR="00B02873" w:rsidRPr="00B02873" w14:paraId="77405FF4" w14:textId="77777777" w:rsidTr="004D2876">
        <w:trPr>
          <w:trHeight w:val="358"/>
        </w:trPr>
        <w:tc>
          <w:tcPr>
            <w:tcW w:w="1814" w:type="dxa"/>
          </w:tcPr>
          <w:p w14:paraId="36E24B1C" w14:textId="77777777" w:rsidR="00B02873" w:rsidRDefault="00B02873" w:rsidP="004D2876">
            <w:pPr>
              <w:pStyle w:val="TablebodyleftTables"/>
            </w:pPr>
            <w:r>
              <w:t>FRD 22</w:t>
            </w:r>
          </w:p>
        </w:tc>
        <w:tc>
          <w:tcPr>
            <w:tcW w:w="6633" w:type="dxa"/>
          </w:tcPr>
          <w:p w14:paraId="22683F8D" w14:textId="77777777" w:rsidR="00B02873" w:rsidRDefault="00B02873" w:rsidP="004D2876">
            <w:pPr>
              <w:pStyle w:val="TablebodyleftTables"/>
            </w:pPr>
            <w:r>
              <w:t>Organisational structure</w:t>
            </w:r>
          </w:p>
        </w:tc>
        <w:tc>
          <w:tcPr>
            <w:tcW w:w="1191" w:type="dxa"/>
          </w:tcPr>
          <w:p w14:paraId="145AB78D" w14:textId="7B8C6B80" w:rsidR="00B02873" w:rsidRDefault="003F0EE3" w:rsidP="004D2876">
            <w:pPr>
              <w:pStyle w:val="TablebodyleftTables"/>
              <w:jc w:val="center"/>
            </w:pPr>
            <w:r>
              <w:fldChar w:fldCharType="begin"/>
            </w:r>
            <w:r>
              <w:instrText xml:space="preserve"> PAGEREF _Ref116904343 \h </w:instrText>
            </w:r>
            <w:r>
              <w:fldChar w:fldCharType="separate"/>
            </w:r>
            <w:r>
              <w:rPr>
                <w:noProof/>
              </w:rPr>
              <w:t>22</w:t>
            </w:r>
            <w:r>
              <w:fldChar w:fldCharType="end"/>
            </w:r>
          </w:p>
        </w:tc>
      </w:tr>
    </w:tbl>
    <w:p w14:paraId="013B54D1" w14:textId="5C317A31" w:rsidR="004D2876" w:rsidRDefault="004D2876"/>
    <w:p w14:paraId="71298057" w14:textId="653C32EC" w:rsidR="004D2876" w:rsidRPr="004D2876" w:rsidRDefault="004D2876">
      <w:pPr>
        <w:rPr>
          <w:i/>
          <w:iCs/>
        </w:rPr>
      </w:pPr>
      <w:r w:rsidRPr="004D2876">
        <w:rPr>
          <w:i/>
          <w:iCs/>
        </w:rPr>
        <w:t>Financial and other information</w:t>
      </w:r>
    </w:p>
    <w:tbl>
      <w:tblPr>
        <w:tblStyle w:val="TableGrid"/>
        <w:tblW w:w="9638" w:type="dxa"/>
        <w:tblLayout w:type="fixed"/>
        <w:tblLook w:val="0020" w:firstRow="1" w:lastRow="0" w:firstColumn="0" w:lastColumn="0" w:noHBand="0" w:noVBand="0"/>
      </w:tblPr>
      <w:tblGrid>
        <w:gridCol w:w="1814"/>
        <w:gridCol w:w="6633"/>
        <w:gridCol w:w="1191"/>
      </w:tblGrid>
      <w:tr w:rsidR="004D2876" w:rsidRPr="00B02873" w14:paraId="629BB554" w14:textId="77777777" w:rsidTr="004D2876">
        <w:trPr>
          <w:cnfStyle w:val="100000000000" w:firstRow="1" w:lastRow="0" w:firstColumn="0" w:lastColumn="0" w:oddVBand="0" w:evenVBand="0" w:oddHBand="0" w:evenHBand="0" w:firstRowFirstColumn="0" w:firstRowLastColumn="0" w:lastRowFirstColumn="0" w:lastRowLastColumn="0"/>
          <w:tblHeader/>
        </w:trPr>
        <w:tc>
          <w:tcPr>
            <w:tcW w:w="1814" w:type="dxa"/>
          </w:tcPr>
          <w:p w14:paraId="5F044A5F" w14:textId="77777777" w:rsidR="004D2876" w:rsidRDefault="004D2876" w:rsidP="0098644C">
            <w:pPr>
              <w:pStyle w:val="TableheadingleftTables"/>
            </w:pPr>
            <w:r>
              <w:t>Legislation</w:t>
            </w:r>
          </w:p>
        </w:tc>
        <w:tc>
          <w:tcPr>
            <w:tcW w:w="6633" w:type="dxa"/>
          </w:tcPr>
          <w:p w14:paraId="42A60BAF" w14:textId="77777777" w:rsidR="004D2876" w:rsidRDefault="004D2876" w:rsidP="0098644C">
            <w:pPr>
              <w:pStyle w:val="TableheadingleftTables"/>
            </w:pPr>
            <w:r>
              <w:t>Requirement</w:t>
            </w:r>
          </w:p>
        </w:tc>
        <w:tc>
          <w:tcPr>
            <w:tcW w:w="1191" w:type="dxa"/>
          </w:tcPr>
          <w:p w14:paraId="771B04FF" w14:textId="77777777" w:rsidR="004D2876" w:rsidRDefault="004D2876" w:rsidP="0098644C">
            <w:pPr>
              <w:pStyle w:val="TableheadingleftTables"/>
              <w:jc w:val="center"/>
            </w:pPr>
            <w:r>
              <w:t>Page reference</w:t>
            </w:r>
          </w:p>
        </w:tc>
      </w:tr>
      <w:tr w:rsidR="00B02873" w:rsidRPr="00B02873" w14:paraId="7C5F49D0" w14:textId="77777777" w:rsidTr="004D2876">
        <w:tc>
          <w:tcPr>
            <w:tcW w:w="1814" w:type="dxa"/>
          </w:tcPr>
          <w:p w14:paraId="48EE7E0B" w14:textId="77777777" w:rsidR="00B02873" w:rsidRDefault="00B02873" w:rsidP="004D2876">
            <w:pPr>
              <w:pStyle w:val="TablebodyleftTables"/>
            </w:pPr>
            <w:r>
              <w:t>FRD 8</w:t>
            </w:r>
          </w:p>
        </w:tc>
        <w:tc>
          <w:tcPr>
            <w:tcW w:w="6633" w:type="dxa"/>
          </w:tcPr>
          <w:p w14:paraId="00663DAC" w14:textId="77777777" w:rsidR="00B02873" w:rsidRDefault="00B02873" w:rsidP="004D2876">
            <w:pPr>
              <w:pStyle w:val="TablebodyleftTables"/>
            </w:pPr>
            <w:r>
              <w:t>Performance against output performance measures</w:t>
            </w:r>
          </w:p>
        </w:tc>
        <w:tc>
          <w:tcPr>
            <w:tcW w:w="1191" w:type="dxa"/>
          </w:tcPr>
          <w:p w14:paraId="6D58A282" w14:textId="2FC0A4DD" w:rsidR="00B02873" w:rsidRDefault="003F0EE3" w:rsidP="004D2876">
            <w:pPr>
              <w:pStyle w:val="TablebodyleftTables"/>
              <w:jc w:val="center"/>
            </w:pPr>
            <w:r>
              <w:fldChar w:fldCharType="begin"/>
            </w:r>
            <w:r>
              <w:instrText xml:space="preserve"> PAGEREF _Ref116904373 \h </w:instrText>
            </w:r>
            <w:r>
              <w:fldChar w:fldCharType="separate"/>
            </w:r>
            <w:r>
              <w:rPr>
                <w:noProof/>
              </w:rPr>
              <w:t>30</w:t>
            </w:r>
            <w:r>
              <w:fldChar w:fldCharType="end"/>
            </w:r>
          </w:p>
        </w:tc>
      </w:tr>
      <w:tr w:rsidR="00B02873" w:rsidRPr="00B02873" w14:paraId="1E6B5A14" w14:textId="77777777" w:rsidTr="004D2876">
        <w:tc>
          <w:tcPr>
            <w:tcW w:w="1814" w:type="dxa"/>
          </w:tcPr>
          <w:p w14:paraId="6E9FB110" w14:textId="77777777" w:rsidR="00B02873" w:rsidRDefault="00B02873" w:rsidP="004D2876">
            <w:pPr>
              <w:pStyle w:val="TablebodyleftTables"/>
            </w:pPr>
            <w:r>
              <w:t>FRD 8</w:t>
            </w:r>
          </w:p>
        </w:tc>
        <w:tc>
          <w:tcPr>
            <w:tcW w:w="6633" w:type="dxa"/>
          </w:tcPr>
          <w:p w14:paraId="7F58A06E" w14:textId="77777777" w:rsidR="00B02873" w:rsidRDefault="00B02873" w:rsidP="004D2876">
            <w:pPr>
              <w:pStyle w:val="TablebodyleftTables"/>
            </w:pPr>
            <w:r>
              <w:t>Budget portfolio outcomes</w:t>
            </w:r>
          </w:p>
        </w:tc>
        <w:tc>
          <w:tcPr>
            <w:tcW w:w="1191" w:type="dxa"/>
          </w:tcPr>
          <w:p w14:paraId="060F9247" w14:textId="19F3341D" w:rsidR="00B02873" w:rsidRDefault="003137F7" w:rsidP="004D2876">
            <w:pPr>
              <w:pStyle w:val="TablebodyleftTables"/>
              <w:jc w:val="center"/>
            </w:pPr>
            <w:r>
              <w:fldChar w:fldCharType="begin"/>
            </w:r>
            <w:r>
              <w:instrText xml:space="preserve"> PAGEREF _Ref116904530 \h </w:instrText>
            </w:r>
            <w:r>
              <w:fldChar w:fldCharType="separate"/>
            </w:r>
            <w:r>
              <w:rPr>
                <w:noProof/>
              </w:rPr>
              <w:t>374</w:t>
            </w:r>
            <w:r>
              <w:fldChar w:fldCharType="end"/>
            </w:r>
          </w:p>
        </w:tc>
      </w:tr>
      <w:tr w:rsidR="00B02873" w:rsidRPr="00B02873" w14:paraId="70F0B79B" w14:textId="77777777" w:rsidTr="004D2876">
        <w:tc>
          <w:tcPr>
            <w:tcW w:w="1814" w:type="dxa"/>
          </w:tcPr>
          <w:p w14:paraId="176B7228" w14:textId="77777777" w:rsidR="00B02873" w:rsidRDefault="00B02873" w:rsidP="004D2876">
            <w:pPr>
              <w:pStyle w:val="TablebodyleftTables"/>
            </w:pPr>
            <w:r>
              <w:t>FRD 10</w:t>
            </w:r>
          </w:p>
        </w:tc>
        <w:tc>
          <w:tcPr>
            <w:tcW w:w="6633" w:type="dxa"/>
          </w:tcPr>
          <w:p w14:paraId="1007278D" w14:textId="77777777" w:rsidR="00B02873" w:rsidRDefault="00B02873" w:rsidP="004D2876">
            <w:pPr>
              <w:pStyle w:val="TablebodyleftTables"/>
            </w:pPr>
            <w:r>
              <w:t>Disclosure index</w:t>
            </w:r>
          </w:p>
        </w:tc>
        <w:tc>
          <w:tcPr>
            <w:tcW w:w="1191" w:type="dxa"/>
          </w:tcPr>
          <w:p w14:paraId="7D84F67B" w14:textId="7F3E46CB" w:rsidR="00B02873" w:rsidRDefault="003137F7" w:rsidP="004D2876">
            <w:pPr>
              <w:pStyle w:val="TablebodyleftTables"/>
              <w:jc w:val="center"/>
            </w:pPr>
            <w:r>
              <w:fldChar w:fldCharType="begin"/>
            </w:r>
            <w:r>
              <w:instrText xml:space="preserve"> PAGEREF _Ref116904636 \h </w:instrText>
            </w:r>
            <w:r>
              <w:fldChar w:fldCharType="separate"/>
            </w:r>
            <w:r>
              <w:rPr>
                <w:noProof/>
              </w:rPr>
              <w:t>353</w:t>
            </w:r>
            <w:r>
              <w:fldChar w:fldCharType="end"/>
            </w:r>
          </w:p>
        </w:tc>
      </w:tr>
      <w:tr w:rsidR="00B02873" w:rsidRPr="00B02873" w14:paraId="245EB653" w14:textId="77777777" w:rsidTr="004D2876">
        <w:tc>
          <w:tcPr>
            <w:tcW w:w="1814" w:type="dxa"/>
          </w:tcPr>
          <w:p w14:paraId="5DC096F0" w14:textId="77777777" w:rsidR="00B02873" w:rsidRDefault="00B02873" w:rsidP="004D2876">
            <w:pPr>
              <w:pStyle w:val="TablebodyleftTables"/>
            </w:pPr>
            <w:r>
              <w:t>FRD 12</w:t>
            </w:r>
          </w:p>
        </w:tc>
        <w:tc>
          <w:tcPr>
            <w:tcW w:w="6633" w:type="dxa"/>
          </w:tcPr>
          <w:p w14:paraId="406B691A" w14:textId="77777777" w:rsidR="00B02873" w:rsidRDefault="00B02873" w:rsidP="004D2876">
            <w:pPr>
              <w:pStyle w:val="TablebodyleftTables"/>
            </w:pPr>
            <w:r>
              <w:t>Disclosure of major contracts</w:t>
            </w:r>
          </w:p>
        </w:tc>
        <w:tc>
          <w:tcPr>
            <w:tcW w:w="1191" w:type="dxa"/>
          </w:tcPr>
          <w:p w14:paraId="73ABE435" w14:textId="36C91912" w:rsidR="00B02873" w:rsidRDefault="001128B1" w:rsidP="004D2876">
            <w:pPr>
              <w:pStyle w:val="TablebodyleftTables"/>
              <w:jc w:val="center"/>
            </w:pPr>
            <w:r>
              <w:fldChar w:fldCharType="begin"/>
            </w:r>
            <w:r>
              <w:instrText xml:space="preserve"> PAGEREF Disclosure_of_major_contracts \h </w:instrText>
            </w:r>
            <w:r>
              <w:fldChar w:fldCharType="separate"/>
            </w:r>
            <w:r>
              <w:rPr>
                <w:noProof/>
              </w:rPr>
              <w:t>182</w:t>
            </w:r>
            <w:r>
              <w:fldChar w:fldCharType="end"/>
            </w:r>
          </w:p>
        </w:tc>
      </w:tr>
      <w:tr w:rsidR="00B02873" w:rsidRPr="00B02873" w14:paraId="1CA7F5F6" w14:textId="77777777" w:rsidTr="004D2876">
        <w:tc>
          <w:tcPr>
            <w:tcW w:w="1814" w:type="dxa"/>
          </w:tcPr>
          <w:p w14:paraId="6085455F" w14:textId="77777777" w:rsidR="00B02873" w:rsidRDefault="00B02873" w:rsidP="004D2876">
            <w:pPr>
              <w:pStyle w:val="TablebodyleftTables"/>
            </w:pPr>
            <w:r>
              <w:t>FRD 15</w:t>
            </w:r>
          </w:p>
        </w:tc>
        <w:tc>
          <w:tcPr>
            <w:tcW w:w="6633" w:type="dxa"/>
          </w:tcPr>
          <w:p w14:paraId="73C348B1" w14:textId="77777777" w:rsidR="00B02873" w:rsidRDefault="00B02873" w:rsidP="004D2876">
            <w:pPr>
              <w:pStyle w:val="TablebodyleftTables"/>
            </w:pPr>
            <w:r>
              <w:t>Executive disclosures</w:t>
            </w:r>
          </w:p>
        </w:tc>
        <w:tc>
          <w:tcPr>
            <w:tcW w:w="1191" w:type="dxa"/>
          </w:tcPr>
          <w:p w14:paraId="25C89FD2" w14:textId="3C349E98" w:rsidR="00B02873" w:rsidRDefault="001128B1" w:rsidP="004D2876">
            <w:pPr>
              <w:pStyle w:val="TablebodyleftTables"/>
              <w:jc w:val="center"/>
            </w:pPr>
            <w:r>
              <w:fldChar w:fldCharType="begin"/>
            </w:r>
            <w:r>
              <w:instrText xml:space="preserve"> PAGEREF Executive_data \h </w:instrText>
            </w:r>
            <w:r>
              <w:fldChar w:fldCharType="separate"/>
            </w:r>
            <w:r>
              <w:rPr>
                <w:noProof/>
              </w:rPr>
              <w:t>364</w:t>
            </w:r>
            <w:r>
              <w:fldChar w:fldCharType="end"/>
            </w:r>
          </w:p>
        </w:tc>
      </w:tr>
      <w:tr w:rsidR="00B02873" w:rsidRPr="00B02873" w14:paraId="2D52BC02" w14:textId="77777777" w:rsidTr="004D2876">
        <w:tc>
          <w:tcPr>
            <w:tcW w:w="1814" w:type="dxa"/>
          </w:tcPr>
          <w:p w14:paraId="72939A75" w14:textId="77777777" w:rsidR="00B02873" w:rsidRDefault="00B02873" w:rsidP="004D2876">
            <w:pPr>
              <w:pStyle w:val="TablebodyleftTables"/>
            </w:pPr>
            <w:r>
              <w:lastRenderedPageBreak/>
              <w:t>FRD 22</w:t>
            </w:r>
          </w:p>
        </w:tc>
        <w:tc>
          <w:tcPr>
            <w:tcW w:w="6633" w:type="dxa"/>
          </w:tcPr>
          <w:p w14:paraId="23996E45" w14:textId="77777777" w:rsidR="00B02873" w:rsidRDefault="00B02873" w:rsidP="004D2876">
            <w:pPr>
              <w:pStyle w:val="TablebodyleftTables"/>
            </w:pPr>
            <w:r>
              <w:t>Employment and conduct principles</w:t>
            </w:r>
          </w:p>
        </w:tc>
        <w:tc>
          <w:tcPr>
            <w:tcW w:w="1191" w:type="dxa"/>
          </w:tcPr>
          <w:p w14:paraId="502818F8" w14:textId="2CD231CD" w:rsidR="00B02873" w:rsidRDefault="00B119A2" w:rsidP="004D2876">
            <w:pPr>
              <w:pStyle w:val="TablebodyleftTables"/>
              <w:jc w:val="center"/>
            </w:pPr>
            <w:r>
              <w:fldChar w:fldCharType="begin"/>
            </w:r>
            <w:r>
              <w:instrText xml:space="preserve"> PAGEREF _Ref116902178 \h </w:instrText>
            </w:r>
            <w:r>
              <w:fldChar w:fldCharType="separate"/>
            </w:r>
            <w:r>
              <w:rPr>
                <w:noProof/>
              </w:rPr>
              <w:t>122</w:t>
            </w:r>
            <w:r>
              <w:fldChar w:fldCharType="end"/>
            </w:r>
          </w:p>
        </w:tc>
      </w:tr>
      <w:tr w:rsidR="00B02873" w:rsidRPr="00B02873" w14:paraId="4E7DBD30" w14:textId="77777777" w:rsidTr="004D2876">
        <w:tc>
          <w:tcPr>
            <w:tcW w:w="1814" w:type="dxa"/>
          </w:tcPr>
          <w:p w14:paraId="5A03715E" w14:textId="77777777" w:rsidR="00B02873" w:rsidRDefault="00B02873" w:rsidP="004D2876">
            <w:pPr>
              <w:pStyle w:val="TablebodyleftTables"/>
            </w:pPr>
            <w:r>
              <w:t>FRD 22</w:t>
            </w:r>
          </w:p>
        </w:tc>
        <w:tc>
          <w:tcPr>
            <w:tcW w:w="6633" w:type="dxa"/>
          </w:tcPr>
          <w:p w14:paraId="5120F86B" w14:textId="77777777" w:rsidR="00B02873" w:rsidRDefault="00B02873" w:rsidP="004D2876">
            <w:pPr>
              <w:pStyle w:val="TablebodyleftTables"/>
            </w:pPr>
            <w:r>
              <w:t>Occupational health and safety policy</w:t>
            </w:r>
          </w:p>
        </w:tc>
        <w:tc>
          <w:tcPr>
            <w:tcW w:w="1191" w:type="dxa"/>
          </w:tcPr>
          <w:p w14:paraId="78E6EF78" w14:textId="547C639D" w:rsidR="00B02873" w:rsidRDefault="00B119A2" w:rsidP="004D2876">
            <w:pPr>
              <w:pStyle w:val="TablebodyleftTables"/>
              <w:jc w:val="center"/>
            </w:pPr>
            <w:r>
              <w:fldChar w:fldCharType="begin"/>
            </w:r>
            <w:r>
              <w:instrText xml:space="preserve"> PAGEREF _Ref116902348 \h </w:instrText>
            </w:r>
            <w:r>
              <w:fldChar w:fldCharType="separate"/>
            </w:r>
            <w:r>
              <w:rPr>
                <w:noProof/>
              </w:rPr>
              <w:t>123</w:t>
            </w:r>
            <w:r>
              <w:fldChar w:fldCharType="end"/>
            </w:r>
          </w:p>
        </w:tc>
      </w:tr>
      <w:tr w:rsidR="00B02873" w:rsidRPr="00B02873" w14:paraId="1D188388" w14:textId="77777777" w:rsidTr="004D2876">
        <w:tc>
          <w:tcPr>
            <w:tcW w:w="1814" w:type="dxa"/>
          </w:tcPr>
          <w:p w14:paraId="48CFB82C" w14:textId="77777777" w:rsidR="00B02873" w:rsidRDefault="00B02873" w:rsidP="004D2876">
            <w:pPr>
              <w:pStyle w:val="TablebodyleftTables"/>
            </w:pPr>
            <w:r>
              <w:t>FRD 22</w:t>
            </w:r>
          </w:p>
        </w:tc>
        <w:tc>
          <w:tcPr>
            <w:tcW w:w="6633" w:type="dxa"/>
          </w:tcPr>
          <w:p w14:paraId="63D952BD" w14:textId="77777777" w:rsidR="00B02873" w:rsidRDefault="00B02873" w:rsidP="004D2876">
            <w:pPr>
              <w:pStyle w:val="TablebodyleftTables"/>
            </w:pPr>
            <w:r>
              <w:t>Summary of the financial results for the year</w:t>
            </w:r>
          </w:p>
        </w:tc>
        <w:tc>
          <w:tcPr>
            <w:tcW w:w="1191" w:type="dxa"/>
          </w:tcPr>
          <w:p w14:paraId="234805F0" w14:textId="0A7CE2D2" w:rsidR="00B02873" w:rsidRDefault="00A74A2D" w:rsidP="004D2876">
            <w:pPr>
              <w:pStyle w:val="TablebodyleftTables"/>
              <w:jc w:val="center"/>
            </w:pPr>
            <w:r>
              <w:fldChar w:fldCharType="begin"/>
            </w:r>
            <w:r>
              <w:instrText xml:space="preserve"> PAGEREF Current_year_financial_review \h </w:instrText>
            </w:r>
            <w:r>
              <w:fldChar w:fldCharType="separate"/>
            </w:r>
            <w:r>
              <w:rPr>
                <w:noProof/>
              </w:rPr>
              <w:t>167</w:t>
            </w:r>
            <w:r>
              <w:fldChar w:fldCharType="end"/>
            </w:r>
          </w:p>
        </w:tc>
      </w:tr>
      <w:tr w:rsidR="00B02873" w:rsidRPr="00B02873" w14:paraId="2D4B003C" w14:textId="77777777" w:rsidTr="004D2876">
        <w:tc>
          <w:tcPr>
            <w:tcW w:w="1814" w:type="dxa"/>
          </w:tcPr>
          <w:p w14:paraId="507ACCDA" w14:textId="77777777" w:rsidR="00B02873" w:rsidRDefault="00B02873" w:rsidP="004D2876">
            <w:pPr>
              <w:pStyle w:val="TablebodyleftTables"/>
            </w:pPr>
            <w:r>
              <w:t>FRD 22</w:t>
            </w:r>
          </w:p>
        </w:tc>
        <w:tc>
          <w:tcPr>
            <w:tcW w:w="6633" w:type="dxa"/>
          </w:tcPr>
          <w:p w14:paraId="121195E0" w14:textId="77777777" w:rsidR="00B02873" w:rsidRDefault="00B02873" w:rsidP="004D2876">
            <w:pPr>
              <w:pStyle w:val="TablebodyleftTables"/>
            </w:pPr>
            <w:r>
              <w:t>Significant changes in financial position during the year</w:t>
            </w:r>
          </w:p>
        </w:tc>
        <w:tc>
          <w:tcPr>
            <w:tcW w:w="1191" w:type="dxa"/>
          </w:tcPr>
          <w:p w14:paraId="47AF5B36" w14:textId="77777777" w:rsidR="00B02873" w:rsidRDefault="00B02873" w:rsidP="004D2876">
            <w:pPr>
              <w:pStyle w:val="TablebodyleftTables"/>
              <w:jc w:val="center"/>
            </w:pPr>
            <w:r>
              <w:t>138</w:t>
            </w:r>
          </w:p>
        </w:tc>
      </w:tr>
      <w:tr w:rsidR="00B02873" w:rsidRPr="00B02873" w14:paraId="74FC3B1C" w14:textId="77777777" w:rsidTr="004D2876">
        <w:tc>
          <w:tcPr>
            <w:tcW w:w="1814" w:type="dxa"/>
          </w:tcPr>
          <w:p w14:paraId="3154BA91" w14:textId="77777777" w:rsidR="00B02873" w:rsidRDefault="00B02873" w:rsidP="004D2876">
            <w:pPr>
              <w:pStyle w:val="TablebodyleftTables"/>
            </w:pPr>
            <w:r>
              <w:t>FRD 22</w:t>
            </w:r>
          </w:p>
        </w:tc>
        <w:tc>
          <w:tcPr>
            <w:tcW w:w="6633" w:type="dxa"/>
          </w:tcPr>
          <w:p w14:paraId="1A860C11" w14:textId="77777777" w:rsidR="00B02873" w:rsidRDefault="00B02873" w:rsidP="004D2876">
            <w:pPr>
              <w:pStyle w:val="TablebodyleftTables"/>
            </w:pPr>
            <w:r>
              <w:t>Major changes or factors affecting performance</w:t>
            </w:r>
          </w:p>
        </w:tc>
        <w:tc>
          <w:tcPr>
            <w:tcW w:w="1191" w:type="dxa"/>
          </w:tcPr>
          <w:p w14:paraId="2389B547" w14:textId="77777777" w:rsidR="00B02873" w:rsidRDefault="00B02873" w:rsidP="004D2876">
            <w:pPr>
              <w:pStyle w:val="TablebodyleftTables"/>
              <w:jc w:val="center"/>
            </w:pPr>
            <w:r>
              <w:t>138</w:t>
            </w:r>
          </w:p>
        </w:tc>
      </w:tr>
      <w:tr w:rsidR="00B02873" w:rsidRPr="00B02873" w14:paraId="2B757E81" w14:textId="77777777" w:rsidTr="004D2876">
        <w:tc>
          <w:tcPr>
            <w:tcW w:w="1814" w:type="dxa"/>
          </w:tcPr>
          <w:p w14:paraId="0B74849B" w14:textId="77777777" w:rsidR="00B02873" w:rsidRDefault="00B02873" w:rsidP="004D2876">
            <w:pPr>
              <w:pStyle w:val="TablebodyleftTables"/>
            </w:pPr>
            <w:r>
              <w:t>FRD 22</w:t>
            </w:r>
          </w:p>
        </w:tc>
        <w:tc>
          <w:tcPr>
            <w:tcW w:w="6633" w:type="dxa"/>
          </w:tcPr>
          <w:p w14:paraId="100FE349" w14:textId="77777777" w:rsidR="00B02873" w:rsidRDefault="00B02873" w:rsidP="004D2876">
            <w:pPr>
              <w:pStyle w:val="TablebodyleftTables"/>
            </w:pPr>
            <w:r>
              <w:t>Subsequent events</w:t>
            </w:r>
          </w:p>
        </w:tc>
        <w:tc>
          <w:tcPr>
            <w:tcW w:w="1191" w:type="dxa"/>
          </w:tcPr>
          <w:p w14:paraId="4C8F2B1B" w14:textId="73F637EE" w:rsidR="00B02873" w:rsidRDefault="00B1542E" w:rsidP="004D2876">
            <w:pPr>
              <w:pStyle w:val="TablebodyleftTables"/>
              <w:jc w:val="center"/>
            </w:pPr>
            <w:r>
              <w:fldChar w:fldCharType="begin"/>
            </w:r>
            <w:r>
              <w:instrText xml:space="preserve"> PAGEREF Subsequent_events \h </w:instrText>
            </w:r>
            <w:r>
              <w:fldChar w:fldCharType="separate"/>
            </w:r>
            <w:r>
              <w:rPr>
                <w:noProof/>
              </w:rPr>
              <w:t>167</w:t>
            </w:r>
            <w:r>
              <w:fldChar w:fldCharType="end"/>
            </w:r>
          </w:p>
        </w:tc>
      </w:tr>
      <w:tr w:rsidR="00B02873" w:rsidRPr="004D2876" w14:paraId="3BDF67F7" w14:textId="77777777" w:rsidTr="004D2876">
        <w:tc>
          <w:tcPr>
            <w:tcW w:w="1814" w:type="dxa"/>
          </w:tcPr>
          <w:p w14:paraId="5582F095" w14:textId="77777777" w:rsidR="00B02873" w:rsidRPr="004D2876" w:rsidRDefault="00B02873" w:rsidP="004D2876">
            <w:pPr>
              <w:pStyle w:val="TablebodyleftTables"/>
              <w:rPr>
                <w:rFonts w:asciiTheme="minorHAnsi" w:hAnsiTheme="minorHAnsi" w:cstheme="minorHAnsi"/>
              </w:rPr>
            </w:pPr>
            <w:r w:rsidRPr="004D2876">
              <w:rPr>
                <w:rFonts w:asciiTheme="minorHAnsi" w:hAnsiTheme="minorHAnsi" w:cstheme="minorHAnsi"/>
              </w:rPr>
              <w:t>FRD 22</w:t>
            </w:r>
          </w:p>
        </w:tc>
        <w:tc>
          <w:tcPr>
            <w:tcW w:w="6633" w:type="dxa"/>
          </w:tcPr>
          <w:p w14:paraId="1B54562E" w14:textId="77777777" w:rsidR="00B02873" w:rsidRPr="004D2876" w:rsidRDefault="00B02873" w:rsidP="004D2876">
            <w:pPr>
              <w:pStyle w:val="TablebodyleftTables"/>
              <w:rPr>
                <w:rFonts w:asciiTheme="minorHAnsi" w:hAnsiTheme="minorHAnsi" w:cstheme="minorHAnsi"/>
              </w:rPr>
            </w:pPr>
            <w:r w:rsidRPr="004D2876">
              <w:rPr>
                <w:rFonts w:asciiTheme="minorHAnsi" w:hAnsiTheme="minorHAnsi" w:cstheme="minorHAnsi"/>
              </w:rPr>
              <w:t xml:space="preserve">Application and operation of </w:t>
            </w:r>
            <w:r w:rsidRPr="004D2876">
              <w:rPr>
                <w:rFonts w:asciiTheme="minorHAnsi" w:hAnsiTheme="minorHAnsi" w:cstheme="minorHAnsi"/>
                <w:i/>
                <w:iCs/>
              </w:rPr>
              <w:t>Freedom of Information Act 1982</w:t>
            </w:r>
          </w:p>
        </w:tc>
        <w:tc>
          <w:tcPr>
            <w:tcW w:w="1191" w:type="dxa"/>
          </w:tcPr>
          <w:p w14:paraId="0D7AD238" w14:textId="662F269C" w:rsidR="00B02873" w:rsidRPr="004D2876" w:rsidRDefault="00B1542E" w:rsidP="004D2876">
            <w:pPr>
              <w:pStyle w:val="TablebodyleftTables"/>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PAGEREF Freedom_of_Information \h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184</w:t>
            </w:r>
            <w:r>
              <w:rPr>
                <w:rFonts w:asciiTheme="minorHAnsi" w:hAnsiTheme="minorHAnsi" w:cstheme="minorHAnsi"/>
              </w:rPr>
              <w:fldChar w:fldCharType="end"/>
            </w:r>
          </w:p>
        </w:tc>
      </w:tr>
      <w:tr w:rsidR="00B02873" w:rsidRPr="004D2876" w14:paraId="54D3A566" w14:textId="77777777" w:rsidTr="004D2876">
        <w:tc>
          <w:tcPr>
            <w:tcW w:w="1814" w:type="dxa"/>
          </w:tcPr>
          <w:p w14:paraId="04A43C5C" w14:textId="77777777" w:rsidR="00B02873" w:rsidRPr="004D2876" w:rsidRDefault="00B02873" w:rsidP="004D2876">
            <w:pPr>
              <w:pStyle w:val="TablebodyleftTables"/>
              <w:rPr>
                <w:rFonts w:asciiTheme="minorHAnsi" w:hAnsiTheme="minorHAnsi" w:cstheme="minorHAnsi"/>
              </w:rPr>
            </w:pPr>
            <w:r w:rsidRPr="004D2876">
              <w:rPr>
                <w:rFonts w:asciiTheme="minorHAnsi" w:hAnsiTheme="minorHAnsi" w:cstheme="minorHAnsi"/>
              </w:rPr>
              <w:t>FRD 22</w:t>
            </w:r>
          </w:p>
        </w:tc>
        <w:tc>
          <w:tcPr>
            <w:tcW w:w="6633" w:type="dxa"/>
          </w:tcPr>
          <w:p w14:paraId="2BAC4FCB" w14:textId="77777777" w:rsidR="00B02873" w:rsidRPr="004D2876" w:rsidRDefault="00B02873" w:rsidP="004D2876">
            <w:pPr>
              <w:pStyle w:val="TablebodyleftTables"/>
              <w:rPr>
                <w:rFonts w:asciiTheme="minorHAnsi" w:hAnsiTheme="minorHAnsi" w:cstheme="minorHAnsi"/>
              </w:rPr>
            </w:pPr>
            <w:r w:rsidRPr="004D2876">
              <w:rPr>
                <w:rFonts w:asciiTheme="minorHAnsi" w:hAnsiTheme="minorHAnsi" w:cstheme="minorHAnsi"/>
              </w:rPr>
              <w:t xml:space="preserve">Compliance with building and maintenance provisions of </w:t>
            </w:r>
            <w:r w:rsidRPr="004D2876">
              <w:rPr>
                <w:rFonts w:asciiTheme="minorHAnsi" w:hAnsiTheme="minorHAnsi" w:cstheme="minorHAnsi"/>
                <w:i/>
                <w:iCs/>
              </w:rPr>
              <w:t>Building Act 1993</w:t>
            </w:r>
          </w:p>
        </w:tc>
        <w:tc>
          <w:tcPr>
            <w:tcW w:w="1191" w:type="dxa"/>
          </w:tcPr>
          <w:p w14:paraId="0C7DE555" w14:textId="23267196" w:rsidR="00B02873" w:rsidRPr="004D2876" w:rsidRDefault="003136B3" w:rsidP="004D2876">
            <w:pPr>
              <w:pStyle w:val="TablebodyleftTables"/>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PAGEREF Building_Act_1993 \h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189</w:t>
            </w:r>
            <w:r>
              <w:rPr>
                <w:rFonts w:asciiTheme="minorHAnsi" w:hAnsiTheme="minorHAnsi" w:cstheme="minorHAnsi"/>
              </w:rPr>
              <w:fldChar w:fldCharType="end"/>
            </w:r>
          </w:p>
        </w:tc>
      </w:tr>
      <w:tr w:rsidR="00B02873" w:rsidRPr="00B02873" w14:paraId="4DD414EB" w14:textId="77777777" w:rsidTr="004D2876">
        <w:tc>
          <w:tcPr>
            <w:tcW w:w="1814" w:type="dxa"/>
          </w:tcPr>
          <w:p w14:paraId="567D2ABF" w14:textId="77777777" w:rsidR="00B02873" w:rsidRDefault="00B02873" w:rsidP="004D2876">
            <w:pPr>
              <w:pStyle w:val="TablebodyleftTables"/>
            </w:pPr>
            <w:r>
              <w:t>FRD 22</w:t>
            </w:r>
          </w:p>
        </w:tc>
        <w:tc>
          <w:tcPr>
            <w:tcW w:w="6633" w:type="dxa"/>
          </w:tcPr>
          <w:p w14:paraId="1ADDC26C" w14:textId="5F633C8C" w:rsidR="00B02873" w:rsidRDefault="003136B3" w:rsidP="004D2876">
            <w:pPr>
              <w:pStyle w:val="TablebodyleftTables"/>
            </w:pPr>
            <w:r>
              <w:t>Statement on National Competition Policy</w:t>
            </w:r>
          </w:p>
        </w:tc>
        <w:tc>
          <w:tcPr>
            <w:tcW w:w="1191" w:type="dxa"/>
          </w:tcPr>
          <w:p w14:paraId="48786554" w14:textId="0DEB183C" w:rsidR="00B02873" w:rsidRDefault="003136B3" w:rsidP="004D2876">
            <w:pPr>
              <w:pStyle w:val="TablebodyleftTables"/>
              <w:jc w:val="center"/>
            </w:pPr>
            <w:r>
              <w:fldChar w:fldCharType="begin"/>
            </w:r>
            <w:r>
              <w:instrText xml:space="preserve"> PAGEREF National_Competition_Policy \h </w:instrText>
            </w:r>
            <w:r>
              <w:fldChar w:fldCharType="separate"/>
            </w:r>
            <w:r>
              <w:rPr>
                <w:noProof/>
              </w:rPr>
              <w:t>194</w:t>
            </w:r>
            <w:r>
              <w:fldChar w:fldCharType="end"/>
            </w:r>
          </w:p>
        </w:tc>
      </w:tr>
      <w:tr w:rsidR="00B02873" w:rsidRPr="004D2876" w14:paraId="18837FBE" w14:textId="77777777" w:rsidTr="004D2876">
        <w:tc>
          <w:tcPr>
            <w:tcW w:w="1814" w:type="dxa"/>
          </w:tcPr>
          <w:p w14:paraId="5C334732" w14:textId="77777777" w:rsidR="00B02873" w:rsidRPr="004D2876" w:rsidRDefault="00B02873" w:rsidP="004D2876">
            <w:pPr>
              <w:pStyle w:val="TablebodyleftTables"/>
              <w:rPr>
                <w:rFonts w:asciiTheme="minorHAnsi" w:hAnsiTheme="minorHAnsi" w:cstheme="minorHAnsi"/>
              </w:rPr>
            </w:pPr>
            <w:r w:rsidRPr="004D2876">
              <w:rPr>
                <w:rFonts w:asciiTheme="minorHAnsi" w:hAnsiTheme="minorHAnsi" w:cstheme="minorHAnsi"/>
              </w:rPr>
              <w:t>FRD 22</w:t>
            </w:r>
          </w:p>
        </w:tc>
        <w:tc>
          <w:tcPr>
            <w:tcW w:w="6633" w:type="dxa"/>
          </w:tcPr>
          <w:p w14:paraId="363F4279" w14:textId="4FD28C75" w:rsidR="00B02873" w:rsidRPr="004D2876" w:rsidRDefault="00B02873" w:rsidP="004D2876">
            <w:pPr>
              <w:pStyle w:val="TablebodyleftTables"/>
              <w:rPr>
                <w:rFonts w:asciiTheme="minorHAnsi" w:hAnsiTheme="minorHAnsi" w:cstheme="minorHAnsi"/>
              </w:rPr>
            </w:pPr>
            <w:r w:rsidRPr="004D2876">
              <w:rPr>
                <w:rFonts w:asciiTheme="minorHAnsi" w:hAnsiTheme="minorHAnsi" w:cstheme="minorHAnsi"/>
              </w:rPr>
              <w:t xml:space="preserve">Application and operation of the </w:t>
            </w:r>
            <w:r w:rsidRPr="004D2876">
              <w:rPr>
                <w:rFonts w:asciiTheme="minorHAnsi" w:hAnsiTheme="minorHAnsi" w:cstheme="minorHAnsi"/>
                <w:i/>
                <w:iCs/>
              </w:rPr>
              <w:t>Public Interest Disclosure Act 2012</w:t>
            </w:r>
          </w:p>
        </w:tc>
        <w:tc>
          <w:tcPr>
            <w:tcW w:w="1191" w:type="dxa"/>
          </w:tcPr>
          <w:p w14:paraId="33E5F8B8" w14:textId="0DCF5DC1" w:rsidR="00B02873" w:rsidRPr="004D2876" w:rsidRDefault="00A11B37" w:rsidP="004D2876">
            <w:pPr>
              <w:pStyle w:val="TablebodyleftTables"/>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PAGEREF Public_Interest_Disclosures_Act \h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188</w:t>
            </w:r>
            <w:r>
              <w:rPr>
                <w:rFonts w:asciiTheme="minorHAnsi" w:hAnsiTheme="minorHAnsi" w:cstheme="minorHAnsi"/>
              </w:rPr>
              <w:fldChar w:fldCharType="end"/>
            </w:r>
          </w:p>
        </w:tc>
      </w:tr>
      <w:tr w:rsidR="00B02873" w:rsidRPr="004D2876" w14:paraId="2DFE8437" w14:textId="77777777" w:rsidTr="004D2876">
        <w:tc>
          <w:tcPr>
            <w:tcW w:w="1814" w:type="dxa"/>
          </w:tcPr>
          <w:p w14:paraId="07C847C9" w14:textId="77777777" w:rsidR="00B02873" w:rsidRPr="004D2876" w:rsidRDefault="00B02873" w:rsidP="004D2876">
            <w:pPr>
              <w:pStyle w:val="TablebodyleftTables"/>
              <w:rPr>
                <w:rFonts w:asciiTheme="minorHAnsi" w:hAnsiTheme="minorHAnsi" w:cstheme="minorHAnsi"/>
              </w:rPr>
            </w:pPr>
            <w:r w:rsidRPr="004D2876">
              <w:rPr>
                <w:rFonts w:asciiTheme="minorHAnsi" w:hAnsiTheme="minorHAnsi" w:cstheme="minorHAnsi"/>
              </w:rPr>
              <w:t>FRD 22</w:t>
            </w:r>
          </w:p>
        </w:tc>
        <w:tc>
          <w:tcPr>
            <w:tcW w:w="6633" w:type="dxa"/>
          </w:tcPr>
          <w:p w14:paraId="2976A07E" w14:textId="77777777" w:rsidR="00B02873" w:rsidRPr="004D2876" w:rsidRDefault="00B02873" w:rsidP="004D2876">
            <w:pPr>
              <w:pStyle w:val="TablebodyleftTables"/>
              <w:rPr>
                <w:rFonts w:asciiTheme="minorHAnsi" w:hAnsiTheme="minorHAnsi" w:cstheme="minorHAnsi"/>
              </w:rPr>
            </w:pPr>
            <w:r w:rsidRPr="004D2876">
              <w:rPr>
                <w:rFonts w:asciiTheme="minorHAnsi" w:hAnsiTheme="minorHAnsi" w:cstheme="minorHAnsi"/>
              </w:rPr>
              <w:t xml:space="preserve">Application and operation of the </w:t>
            </w:r>
            <w:r w:rsidRPr="004D2876">
              <w:rPr>
                <w:rFonts w:asciiTheme="minorHAnsi" w:hAnsiTheme="minorHAnsi" w:cstheme="minorHAnsi"/>
                <w:i/>
                <w:iCs/>
              </w:rPr>
              <w:t>Carers Recognition Act 2012</w:t>
            </w:r>
          </w:p>
        </w:tc>
        <w:tc>
          <w:tcPr>
            <w:tcW w:w="1191" w:type="dxa"/>
          </w:tcPr>
          <w:p w14:paraId="46F7DDA3" w14:textId="21326715" w:rsidR="00B02873" w:rsidRPr="004D2876" w:rsidRDefault="00AD69F9" w:rsidP="004D2876">
            <w:pPr>
              <w:pStyle w:val="TablebodyleftTables"/>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PAGEREF Carers_Recognition_Act \h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189</w:t>
            </w:r>
            <w:r>
              <w:rPr>
                <w:rFonts w:asciiTheme="minorHAnsi" w:hAnsiTheme="minorHAnsi" w:cstheme="minorHAnsi"/>
              </w:rPr>
              <w:fldChar w:fldCharType="end"/>
            </w:r>
          </w:p>
        </w:tc>
      </w:tr>
      <w:tr w:rsidR="00B02873" w:rsidRPr="00B02873" w14:paraId="5A989FD3" w14:textId="77777777" w:rsidTr="004D2876">
        <w:tc>
          <w:tcPr>
            <w:tcW w:w="1814" w:type="dxa"/>
          </w:tcPr>
          <w:p w14:paraId="18230F32" w14:textId="77777777" w:rsidR="00B02873" w:rsidRDefault="00B02873" w:rsidP="004D2876">
            <w:pPr>
              <w:pStyle w:val="TablebodyleftTables"/>
            </w:pPr>
            <w:r>
              <w:t>FRD 22</w:t>
            </w:r>
          </w:p>
        </w:tc>
        <w:tc>
          <w:tcPr>
            <w:tcW w:w="6633" w:type="dxa"/>
          </w:tcPr>
          <w:p w14:paraId="140AA325" w14:textId="49B7A4CD" w:rsidR="00B02873" w:rsidRDefault="00B02873" w:rsidP="004D2876">
            <w:pPr>
              <w:pStyle w:val="TablebodyleftTables"/>
            </w:pPr>
            <w:r>
              <w:t>Details of consultancies over $10</w:t>
            </w:r>
            <w:r w:rsidR="00AD69F9">
              <w:t>,</w:t>
            </w:r>
            <w:r>
              <w:t>000</w:t>
            </w:r>
          </w:p>
        </w:tc>
        <w:tc>
          <w:tcPr>
            <w:tcW w:w="1191" w:type="dxa"/>
          </w:tcPr>
          <w:p w14:paraId="77217BD5" w14:textId="11C797D7" w:rsidR="00B02873" w:rsidRDefault="00AD69F9" w:rsidP="004D2876">
            <w:pPr>
              <w:pStyle w:val="TablebodyleftTables"/>
              <w:jc w:val="center"/>
            </w:pPr>
            <w:r>
              <w:fldChar w:fldCharType="begin"/>
            </w:r>
            <w:r>
              <w:instrText xml:space="preserve"> PAGEREF Consultancies \h </w:instrText>
            </w:r>
            <w:r>
              <w:fldChar w:fldCharType="separate"/>
            </w:r>
            <w:r>
              <w:rPr>
                <w:noProof/>
              </w:rPr>
              <w:t>182</w:t>
            </w:r>
            <w:r>
              <w:fldChar w:fldCharType="end"/>
            </w:r>
          </w:p>
        </w:tc>
      </w:tr>
      <w:tr w:rsidR="00B02873" w:rsidRPr="00B02873" w14:paraId="6583A95F" w14:textId="77777777" w:rsidTr="004D2876">
        <w:tc>
          <w:tcPr>
            <w:tcW w:w="1814" w:type="dxa"/>
          </w:tcPr>
          <w:p w14:paraId="2C384ED3" w14:textId="77777777" w:rsidR="00B02873" w:rsidRDefault="00B02873" w:rsidP="004D2876">
            <w:pPr>
              <w:pStyle w:val="TablebodyleftTables"/>
            </w:pPr>
            <w:r>
              <w:t>FRD 22</w:t>
            </w:r>
          </w:p>
        </w:tc>
        <w:tc>
          <w:tcPr>
            <w:tcW w:w="6633" w:type="dxa"/>
          </w:tcPr>
          <w:p w14:paraId="0734C115" w14:textId="45ED596E" w:rsidR="00B02873" w:rsidRDefault="00B02873" w:rsidP="004D2876">
            <w:pPr>
              <w:pStyle w:val="TablebodyleftTables"/>
            </w:pPr>
            <w:r>
              <w:t>Details of consultancies under $10</w:t>
            </w:r>
            <w:r w:rsidR="00AD69F9">
              <w:t>,</w:t>
            </w:r>
            <w:r>
              <w:t>000</w:t>
            </w:r>
          </w:p>
        </w:tc>
        <w:tc>
          <w:tcPr>
            <w:tcW w:w="1191" w:type="dxa"/>
          </w:tcPr>
          <w:p w14:paraId="0DE00099" w14:textId="0FE74CB3" w:rsidR="00B02873" w:rsidRDefault="00AD69F9" w:rsidP="004D2876">
            <w:pPr>
              <w:pStyle w:val="TablebodyleftTables"/>
              <w:jc w:val="center"/>
            </w:pPr>
            <w:r>
              <w:fldChar w:fldCharType="begin"/>
            </w:r>
            <w:r>
              <w:instrText xml:space="preserve"> PAGEREF Consultancies \h </w:instrText>
            </w:r>
            <w:r>
              <w:fldChar w:fldCharType="separate"/>
            </w:r>
            <w:r>
              <w:rPr>
                <w:noProof/>
              </w:rPr>
              <w:t>182</w:t>
            </w:r>
            <w:r>
              <w:fldChar w:fldCharType="end"/>
            </w:r>
          </w:p>
        </w:tc>
      </w:tr>
      <w:tr w:rsidR="00B02873" w:rsidRPr="00B02873" w14:paraId="67B536FA" w14:textId="77777777" w:rsidTr="004D2876">
        <w:tc>
          <w:tcPr>
            <w:tcW w:w="1814" w:type="dxa"/>
          </w:tcPr>
          <w:p w14:paraId="07059FC5" w14:textId="77777777" w:rsidR="00B02873" w:rsidRDefault="00B02873" w:rsidP="004D2876">
            <w:pPr>
              <w:pStyle w:val="TablebodyleftTables"/>
            </w:pPr>
            <w:r>
              <w:t>FRD 22</w:t>
            </w:r>
          </w:p>
        </w:tc>
        <w:tc>
          <w:tcPr>
            <w:tcW w:w="6633" w:type="dxa"/>
          </w:tcPr>
          <w:p w14:paraId="7DCEFE83" w14:textId="77777777" w:rsidR="00B02873" w:rsidRDefault="00B02873" w:rsidP="004D2876">
            <w:pPr>
              <w:pStyle w:val="TablebodyleftTables"/>
            </w:pPr>
            <w:r>
              <w:t>Disclosure of government advertising expenditure</w:t>
            </w:r>
          </w:p>
        </w:tc>
        <w:tc>
          <w:tcPr>
            <w:tcW w:w="1191" w:type="dxa"/>
          </w:tcPr>
          <w:p w14:paraId="0906DF67" w14:textId="76F69360" w:rsidR="00B02873" w:rsidRDefault="00515D41" w:rsidP="004D2876">
            <w:pPr>
              <w:pStyle w:val="TablebodyleftTables"/>
              <w:jc w:val="center"/>
            </w:pPr>
            <w:r>
              <w:fldChar w:fldCharType="begin"/>
            </w:r>
            <w:r>
              <w:instrText xml:space="preserve"> PAGEREF _Ref116925285 \h </w:instrText>
            </w:r>
            <w:r>
              <w:fldChar w:fldCharType="separate"/>
            </w:r>
            <w:r>
              <w:rPr>
                <w:noProof/>
              </w:rPr>
              <w:t>182</w:t>
            </w:r>
            <w:r>
              <w:fldChar w:fldCharType="end"/>
            </w:r>
          </w:p>
        </w:tc>
      </w:tr>
      <w:tr w:rsidR="00B02873" w:rsidRPr="00B02873" w14:paraId="3BD731C9" w14:textId="77777777" w:rsidTr="004D2876">
        <w:tc>
          <w:tcPr>
            <w:tcW w:w="1814" w:type="dxa"/>
          </w:tcPr>
          <w:p w14:paraId="2E0AF661" w14:textId="77777777" w:rsidR="00B02873" w:rsidRDefault="00B02873" w:rsidP="004D2876">
            <w:pPr>
              <w:pStyle w:val="TablebodyleftTables"/>
            </w:pPr>
            <w:r>
              <w:t>FRD 22</w:t>
            </w:r>
          </w:p>
        </w:tc>
        <w:tc>
          <w:tcPr>
            <w:tcW w:w="6633" w:type="dxa"/>
          </w:tcPr>
          <w:p w14:paraId="759AADBE" w14:textId="77777777" w:rsidR="00B02873" w:rsidRDefault="00B02873" w:rsidP="004D2876">
            <w:pPr>
              <w:pStyle w:val="TablebodyleftTables"/>
            </w:pPr>
            <w:r>
              <w:t>Statement of availability of other information</w:t>
            </w:r>
          </w:p>
        </w:tc>
        <w:tc>
          <w:tcPr>
            <w:tcW w:w="1191" w:type="dxa"/>
          </w:tcPr>
          <w:p w14:paraId="4A084F4E" w14:textId="553A0D77" w:rsidR="00B02873" w:rsidRDefault="00EB2F72" w:rsidP="004D2876">
            <w:pPr>
              <w:pStyle w:val="TablebodyleftTables"/>
              <w:jc w:val="center"/>
            </w:pPr>
            <w:r>
              <w:fldChar w:fldCharType="begin"/>
            </w:r>
            <w:r>
              <w:instrText xml:space="preserve"> PAGEREF Additional_information_available \h </w:instrText>
            </w:r>
            <w:r>
              <w:fldChar w:fldCharType="separate"/>
            </w:r>
            <w:r>
              <w:rPr>
                <w:noProof/>
              </w:rPr>
              <w:t>219</w:t>
            </w:r>
            <w:r>
              <w:fldChar w:fldCharType="end"/>
            </w:r>
          </w:p>
        </w:tc>
      </w:tr>
      <w:tr w:rsidR="00B02873" w:rsidRPr="00B02873" w14:paraId="194A7B5A" w14:textId="77777777" w:rsidTr="004D2876">
        <w:tc>
          <w:tcPr>
            <w:tcW w:w="1814" w:type="dxa"/>
          </w:tcPr>
          <w:p w14:paraId="499DCCAD" w14:textId="77777777" w:rsidR="00B02873" w:rsidRDefault="00B02873" w:rsidP="004D2876">
            <w:pPr>
              <w:pStyle w:val="TablebodyleftTables"/>
            </w:pPr>
            <w:r>
              <w:t>FRD 24</w:t>
            </w:r>
          </w:p>
        </w:tc>
        <w:tc>
          <w:tcPr>
            <w:tcW w:w="6633" w:type="dxa"/>
          </w:tcPr>
          <w:p w14:paraId="45C1EED3" w14:textId="77777777" w:rsidR="00B02873" w:rsidRDefault="00B02873" w:rsidP="004D2876">
            <w:pPr>
              <w:pStyle w:val="TablebodyleftTables"/>
            </w:pPr>
            <w:r>
              <w:t>Reporting of office based environmental impacts</w:t>
            </w:r>
          </w:p>
        </w:tc>
        <w:tc>
          <w:tcPr>
            <w:tcW w:w="1191" w:type="dxa"/>
          </w:tcPr>
          <w:p w14:paraId="3BF3F6A9" w14:textId="77777777" w:rsidR="00B02873" w:rsidRDefault="00B02873" w:rsidP="004D2876">
            <w:pPr>
              <w:pStyle w:val="TablebodyleftTables"/>
              <w:jc w:val="center"/>
            </w:pPr>
            <w:r>
              <w:t>120</w:t>
            </w:r>
          </w:p>
        </w:tc>
      </w:tr>
      <w:tr w:rsidR="00B02873" w:rsidRPr="00B02873" w14:paraId="6C82C474" w14:textId="77777777" w:rsidTr="004D2876">
        <w:tc>
          <w:tcPr>
            <w:tcW w:w="1814" w:type="dxa"/>
          </w:tcPr>
          <w:p w14:paraId="596AE9E2" w14:textId="77777777" w:rsidR="00B02873" w:rsidRDefault="00B02873" w:rsidP="004D2876">
            <w:pPr>
              <w:pStyle w:val="TablebodyleftTables"/>
            </w:pPr>
            <w:r>
              <w:t>FRD 25</w:t>
            </w:r>
          </w:p>
        </w:tc>
        <w:tc>
          <w:tcPr>
            <w:tcW w:w="6633" w:type="dxa"/>
          </w:tcPr>
          <w:p w14:paraId="759B7A29" w14:textId="77777777" w:rsidR="00B02873" w:rsidRDefault="00B02873" w:rsidP="004D2876">
            <w:pPr>
              <w:pStyle w:val="TablebodyleftTables"/>
            </w:pPr>
            <w:r>
              <w:t>Local Jobs First</w:t>
            </w:r>
          </w:p>
        </w:tc>
        <w:tc>
          <w:tcPr>
            <w:tcW w:w="1191" w:type="dxa"/>
          </w:tcPr>
          <w:p w14:paraId="68AA68C9" w14:textId="567FAA9E" w:rsidR="00B02873" w:rsidRDefault="009727B9" w:rsidP="004D2876">
            <w:pPr>
              <w:pStyle w:val="TablebodyleftTables"/>
              <w:jc w:val="center"/>
            </w:pPr>
            <w:r>
              <w:fldChar w:fldCharType="begin"/>
            </w:r>
            <w:r>
              <w:instrText xml:space="preserve"> PAGEREF Local_Jobs_First \h </w:instrText>
            </w:r>
            <w:r>
              <w:fldChar w:fldCharType="separate"/>
            </w:r>
            <w:r>
              <w:rPr>
                <w:noProof/>
              </w:rPr>
              <w:t>179</w:t>
            </w:r>
            <w:r>
              <w:fldChar w:fldCharType="end"/>
            </w:r>
          </w:p>
        </w:tc>
      </w:tr>
      <w:tr w:rsidR="00B02873" w:rsidRPr="00B02873" w14:paraId="16E45BC0" w14:textId="77777777" w:rsidTr="004D2876">
        <w:tc>
          <w:tcPr>
            <w:tcW w:w="1814" w:type="dxa"/>
          </w:tcPr>
          <w:p w14:paraId="6FB78362" w14:textId="77777777" w:rsidR="00B02873" w:rsidRDefault="00B02873" w:rsidP="004D2876">
            <w:pPr>
              <w:pStyle w:val="TablebodyleftTables"/>
            </w:pPr>
            <w:r>
              <w:t>FRD 29</w:t>
            </w:r>
          </w:p>
        </w:tc>
        <w:tc>
          <w:tcPr>
            <w:tcW w:w="6633" w:type="dxa"/>
          </w:tcPr>
          <w:p w14:paraId="6E384082" w14:textId="77777777" w:rsidR="00B02873" w:rsidRDefault="00B02873" w:rsidP="004D2876">
            <w:pPr>
              <w:pStyle w:val="TablebodyleftTables"/>
            </w:pPr>
            <w:r>
              <w:t>Workforce Data disclosures</w:t>
            </w:r>
          </w:p>
        </w:tc>
        <w:tc>
          <w:tcPr>
            <w:tcW w:w="1191" w:type="dxa"/>
          </w:tcPr>
          <w:p w14:paraId="7F0FA971" w14:textId="25875B32" w:rsidR="00B02873" w:rsidRDefault="00F85215" w:rsidP="004D2876">
            <w:pPr>
              <w:pStyle w:val="TablebodyleftTables"/>
              <w:jc w:val="center"/>
            </w:pPr>
            <w:r>
              <w:fldChar w:fldCharType="begin"/>
            </w:r>
            <w:r>
              <w:instrText xml:space="preserve"> PAGEREF _Ref116926319 \h </w:instrText>
            </w:r>
            <w:r>
              <w:fldChar w:fldCharType="separate"/>
            </w:r>
            <w:r>
              <w:rPr>
                <w:noProof/>
              </w:rPr>
              <w:t>357</w:t>
            </w:r>
            <w:r>
              <w:fldChar w:fldCharType="end"/>
            </w:r>
          </w:p>
        </w:tc>
      </w:tr>
      <w:tr w:rsidR="00B02873" w:rsidRPr="00B02873" w14:paraId="0963AFDF" w14:textId="77777777" w:rsidTr="004D2876">
        <w:tc>
          <w:tcPr>
            <w:tcW w:w="1814" w:type="dxa"/>
          </w:tcPr>
          <w:p w14:paraId="51A0866D" w14:textId="77777777" w:rsidR="00B02873" w:rsidRDefault="00B02873" w:rsidP="004D2876">
            <w:pPr>
              <w:pStyle w:val="TablebodyleftTables"/>
            </w:pPr>
            <w:r>
              <w:t>SD 5.2</w:t>
            </w:r>
          </w:p>
        </w:tc>
        <w:tc>
          <w:tcPr>
            <w:tcW w:w="6633" w:type="dxa"/>
          </w:tcPr>
          <w:p w14:paraId="1651EDD9" w14:textId="77777777" w:rsidR="00B02873" w:rsidRDefault="00B02873" w:rsidP="004D2876">
            <w:pPr>
              <w:pStyle w:val="TablebodyleftTables"/>
            </w:pPr>
            <w:r>
              <w:t>Specific requirements under Standing Direction 5.2</w:t>
            </w:r>
          </w:p>
        </w:tc>
        <w:tc>
          <w:tcPr>
            <w:tcW w:w="1191" w:type="dxa"/>
          </w:tcPr>
          <w:p w14:paraId="601E6709" w14:textId="77777777" w:rsidR="00B02873" w:rsidRDefault="00B02873" w:rsidP="004D2876">
            <w:pPr>
              <w:pStyle w:val="TablebodyleftTables"/>
              <w:jc w:val="center"/>
            </w:pPr>
            <w:r>
              <w:t>Inside front cover</w:t>
            </w:r>
          </w:p>
        </w:tc>
      </w:tr>
    </w:tbl>
    <w:p w14:paraId="6EF3973A" w14:textId="11FD8C47" w:rsidR="00BC5711" w:rsidRDefault="00BC5711"/>
    <w:p w14:paraId="46FB2B2D" w14:textId="7D6593AB" w:rsidR="00BC5711" w:rsidRPr="00BC5711" w:rsidRDefault="00BC5711">
      <w:pPr>
        <w:rPr>
          <w:i/>
          <w:iCs/>
        </w:rPr>
      </w:pPr>
      <w:r w:rsidRPr="00BC5711">
        <w:rPr>
          <w:i/>
          <w:iCs/>
        </w:rPr>
        <w:t>Compliance attestation and declaration</w:t>
      </w:r>
    </w:p>
    <w:tbl>
      <w:tblPr>
        <w:tblStyle w:val="TableGrid"/>
        <w:tblW w:w="9638" w:type="dxa"/>
        <w:tblLayout w:type="fixed"/>
        <w:tblLook w:val="0020" w:firstRow="1" w:lastRow="0" w:firstColumn="0" w:lastColumn="0" w:noHBand="0" w:noVBand="0"/>
      </w:tblPr>
      <w:tblGrid>
        <w:gridCol w:w="1814"/>
        <w:gridCol w:w="6633"/>
        <w:gridCol w:w="1191"/>
      </w:tblGrid>
      <w:tr w:rsidR="00BC5711" w:rsidRPr="00B02873" w14:paraId="7BEA2764" w14:textId="77777777" w:rsidTr="00CC0579">
        <w:trPr>
          <w:cnfStyle w:val="100000000000" w:firstRow="1" w:lastRow="0" w:firstColumn="0" w:lastColumn="0" w:oddVBand="0" w:evenVBand="0" w:oddHBand="0" w:evenHBand="0" w:firstRowFirstColumn="0" w:firstRowLastColumn="0" w:lastRowFirstColumn="0" w:lastRowLastColumn="0"/>
          <w:tblHeader/>
        </w:trPr>
        <w:tc>
          <w:tcPr>
            <w:tcW w:w="1814" w:type="dxa"/>
          </w:tcPr>
          <w:p w14:paraId="3440B63B" w14:textId="77777777" w:rsidR="00BC5711" w:rsidRDefault="00BC5711" w:rsidP="00CC0579">
            <w:pPr>
              <w:pStyle w:val="TableheadingleftTables"/>
            </w:pPr>
            <w:r>
              <w:t>Legislation</w:t>
            </w:r>
          </w:p>
        </w:tc>
        <w:tc>
          <w:tcPr>
            <w:tcW w:w="6633" w:type="dxa"/>
          </w:tcPr>
          <w:p w14:paraId="319BCAC7" w14:textId="77777777" w:rsidR="00BC5711" w:rsidRDefault="00BC5711" w:rsidP="00CC0579">
            <w:pPr>
              <w:pStyle w:val="TableheadingleftTables"/>
            </w:pPr>
            <w:r>
              <w:t>Requirement</w:t>
            </w:r>
          </w:p>
        </w:tc>
        <w:tc>
          <w:tcPr>
            <w:tcW w:w="1191" w:type="dxa"/>
          </w:tcPr>
          <w:p w14:paraId="40BF09DD" w14:textId="77777777" w:rsidR="00BC5711" w:rsidRDefault="00BC5711" w:rsidP="00CC0579">
            <w:pPr>
              <w:pStyle w:val="TableheadingleftTables"/>
              <w:jc w:val="center"/>
            </w:pPr>
            <w:r>
              <w:t>Page reference</w:t>
            </w:r>
          </w:p>
        </w:tc>
      </w:tr>
      <w:tr w:rsidR="00B02873" w:rsidRPr="00B02873" w14:paraId="6DC61DA9" w14:textId="77777777" w:rsidTr="004D2876">
        <w:tc>
          <w:tcPr>
            <w:tcW w:w="1814" w:type="dxa"/>
          </w:tcPr>
          <w:p w14:paraId="075F7235" w14:textId="77777777" w:rsidR="00B02873" w:rsidRDefault="00B02873" w:rsidP="004D2876">
            <w:pPr>
              <w:pStyle w:val="TablebodyleftTables"/>
            </w:pPr>
            <w:r>
              <w:t>SD 5.4.1</w:t>
            </w:r>
          </w:p>
        </w:tc>
        <w:tc>
          <w:tcPr>
            <w:tcW w:w="6633" w:type="dxa"/>
          </w:tcPr>
          <w:p w14:paraId="73AD0A02" w14:textId="77777777" w:rsidR="00B02873" w:rsidRDefault="00B02873" w:rsidP="004D2876">
            <w:pPr>
              <w:pStyle w:val="TablebodyleftTables"/>
            </w:pPr>
            <w:r>
              <w:t>Attestation for compliance with Ministerial Standing Direction</w:t>
            </w:r>
          </w:p>
        </w:tc>
        <w:tc>
          <w:tcPr>
            <w:tcW w:w="1191" w:type="dxa"/>
          </w:tcPr>
          <w:p w14:paraId="5065D5C1" w14:textId="6B3D2016" w:rsidR="00B02873" w:rsidRDefault="002F1C26" w:rsidP="00BC5711">
            <w:pPr>
              <w:pStyle w:val="TablebodyleftTables"/>
              <w:jc w:val="center"/>
            </w:pPr>
            <w:r>
              <w:fldChar w:fldCharType="begin"/>
            </w:r>
            <w:r>
              <w:instrText xml:space="preserve"> PAGEREF Attestation_for_financial_management \h </w:instrText>
            </w:r>
            <w:r>
              <w:fldChar w:fldCharType="separate"/>
            </w:r>
            <w:r>
              <w:rPr>
                <w:noProof/>
              </w:rPr>
              <w:t>169</w:t>
            </w:r>
            <w:r>
              <w:fldChar w:fldCharType="end"/>
            </w:r>
          </w:p>
        </w:tc>
      </w:tr>
      <w:tr w:rsidR="00B02873" w:rsidRPr="00B02873" w14:paraId="57EAC9ED" w14:textId="77777777" w:rsidTr="004D2876">
        <w:tc>
          <w:tcPr>
            <w:tcW w:w="1814" w:type="dxa"/>
          </w:tcPr>
          <w:p w14:paraId="646CC059" w14:textId="77777777" w:rsidR="00B02873" w:rsidRDefault="00B02873" w:rsidP="004D2876">
            <w:pPr>
              <w:pStyle w:val="TablebodyleftTables"/>
            </w:pPr>
            <w:r>
              <w:t>SD 5.2.3</w:t>
            </w:r>
          </w:p>
        </w:tc>
        <w:tc>
          <w:tcPr>
            <w:tcW w:w="6633" w:type="dxa"/>
          </w:tcPr>
          <w:p w14:paraId="3B1BFC29" w14:textId="77777777" w:rsidR="00B02873" w:rsidRDefault="00B02873" w:rsidP="004D2876">
            <w:pPr>
              <w:pStyle w:val="TablebodyleftTables"/>
            </w:pPr>
            <w:r>
              <w:t>Declaration in report of operations</w:t>
            </w:r>
          </w:p>
        </w:tc>
        <w:tc>
          <w:tcPr>
            <w:tcW w:w="1191" w:type="dxa"/>
          </w:tcPr>
          <w:p w14:paraId="3BA584F7" w14:textId="77777777" w:rsidR="00B02873" w:rsidRDefault="00B02873" w:rsidP="00BC5711">
            <w:pPr>
              <w:pStyle w:val="TablebodyleftTables"/>
              <w:jc w:val="center"/>
            </w:pPr>
            <w:r>
              <w:t>Inside front cover</w:t>
            </w:r>
          </w:p>
        </w:tc>
      </w:tr>
    </w:tbl>
    <w:p w14:paraId="60F62BCD" w14:textId="5EFB36B4" w:rsidR="00BC5711" w:rsidRDefault="00BC5711"/>
    <w:p w14:paraId="666E926C" w14:textId="4D3502CC" w:rsidR="00BC5711" w:rsidRPr="00BC5711" w:rsidRDefault="00BC5711">
      <w:pPr>
        <w:rPr>
          <w:b/>
          <w:bCs/>
        </w:rPr>
      </w:pPr>
      <w:r w:rsidRPr="00BC5711">
        <w:rPr>
          <w:b/>
          <w:bCs/>
        </w:rPr>
        <w:lastRenderedPageBreak/>
        <w:t>Financial statements</w:t>
      </w:r>
    </w:p>
    <w:p w14:paraId="05B91F0F" w14:textId="5C5C88FA" w:rsidR="00BC5711" w:rsidRPr="00BC5711" w:rsidRDefault="00BC5711">
      <w:pPr>
        <w:rPr>
          <w:i/>
          <w:iCs/>
        </w:rPr>
      </w:pPr>
      <w:r w:rsidRPr="00BC5711">
        <w:rPr>
          <w:i/>
          <w:iCs/>
        </w:rPr>
        <w:t>Declaration</w:t>
      </w:r>
    </w:p>
    <w:tbl>
      <w:tblPr>
        <w:tblStyle w:val="TableGrid"/>
        <w:tblW w:w="9638" w:type="dxa"/>
        <w:tblLayout w:type="fixed"/>
        <w:tblLook w:val="0020" w:firstRow="1" w:lastRow="0" w:firstColumn="0" w:lastColumn="0" w:noHBand="0" w:noVBand="0"/>
      </w:tblPr>
      <w:tblGrid>
        <w:gridCol w:w="1814"/>
        <w:gridCol w:w="6633"/>
        <w:gridCol w:w="1191"/>
      </w:tblGrid>
      <w:tr w:rsidR="00BC5711" w:rsidRPr="00B02873" w14:paraId="1F490747" w14:textId="77777777" w:rsidTr="00CC0579">
        <w:trPr>
          <w:cnfStyle w:val="100000000000" w:firstRow="1" w:lastRow="0" w:firstColumn="0" w:lastColumn="0" w:oddVBand="0" w:evenVBand="0" w:oddHBand="0" w:evenHBand="0" w:firstRowFirstColumn="0" w:firstRowLastColumn="0" w:lastRowFirstColumn="0" w:lastRowLastColumn="0"/>
          <w:tblHeader/>
        </w:trPr>
        <w:tc>
          <w:tcPr>
            <w:tcW w:w="1814" w:type="dxa"/>
          </w:tcPr>
          <w:p w14:paraId="67CC784F" w14:textId="77777777" w:rsidR="00BC5711" w:rsidRDefault="00BC5711" w:rsidP="00CC0579">
            <w:pPr>
              <w:pStyle w:val="TableheadingleftTables"/>
            </w:pPr>
            <w:r>
              <w:t>Legislation</w:t>
            </w:r>
          </w:p>
        </w:tc>
        <w:tc>
          <w:tcPr>
            <w:tcW w:w="6633" w:type="dxa"/>
          </w:tcPr>
          <w:p w14:paraId="2A304F5C" w14:textId="77777777" w:rsidR="00BC5711" w:rsidRDefault="00BC5711" w:rsidP="00CC0579">
            <w:pPr>
              <w:pStyle w:val="TableheadingleftTables"/>
            </w:pPr>
            <w:r>
              <w:t>Requirement</w:t>
            </w:r>
          </w:p>
        </w:tc>
        <w:tc>
          <w:tcPr>
            <w:tcW w:w="1191" w:type="dxa"/>
          </w:tcPr>
          <w:p w14:paraId="1A613C0A" w14:textId="77777777" w:rsidR="00BC5711" w:rsidRDefault="00BC5711" w:rsidP="00CC0579">
            <w:pPr>
              <w:pStyle w:val="TableheadingleftTables"/>
              <w:jc w:val="center"/>
            </w:pPr>
            <w:r>
              <w:t>Page reference</w:t>
            </w:r>
          </w:p>
        </w:tc>
      </w:tr>
      <w:tr w:rsidR="00B02873" w:rsidRPr="00B02873" w14:paraId="3B8BE09B" w14:textId="77777777" w:rsidTr="004D2876">
        <w:tc>
          <w:tcPr>
            <w:tcW w:w="1814" w:type="dxa"/>
          </w:tcPr>
          <w:p w14:paraId="5E2A4874" w14:textId="77777777" w:rsidR="00B02873" w:rsidRDefault="00B02873" w:rsidP="004D2876">
            <w:pPr>
              <w:pStyle w:val="TablebodyleftTables"/>
            </w:pPr>
            <w:r>
              <w:t>SD 5.2.2</w:t>
            </w:r>
          </w:p>
        </w:tc>
        <w:tc>
          <w:tcPr>
            <w:tcW w:w="6633" w:type="dxa"/>
          </w:tcPr>
          <w:p w14:paraId="172A6388" w14:textId="77777777" w:rsidR="00B02873" w:rsidRDefault="00B02873" w:rsidP="004D2876">
            <w:pPr>
              <w:pStyle w:val="TablebodyleftTables"/>
            </w:pPr>
            <w:r>
              <w:t>Declaration in financial statements</w:t>
            </w:r>
          </w:p>
        </w:tc>
        <w:tc>
          <w:tcPr>
            <w:tcW w:w="1191" w:type="dxa"/>
          </w:tcPr>
          <w:p w14:paraId="503926A1" w14:textId="77777777" w:rsidR="00B02873" w:rsidRDefault="00B02873" w:rsidP="00BC5711">
            <w:pPr>
              <w:pStyle w:val="TablebodyleftTables"/>
              <w:jc w:val="center"/>
            </w:pPr>
            <w:r>
              <w:t>185</w:t>
            </w:r>
          </w:p>
        </w:tc>
      </w:tr>
    </w:tbl>
    <w:p w14:paraId="4FA8F8BF" w14:textId="205B9BF1" w:rsidR="00BC5711" w:rsidRDefault="00BC5711"/>
    <w:p w14:paraId="757A3D3F" w14:textId="1E3A7EB5" w:rsidR="00BC5711" w:rsidRDefault="00BC5711">
      <w:r>
        <w:t>Other requirements under Standing Directions 5.2</w:t>
      </w:r>
    </w:p>
    <w:tbl>
      <w:tblPr>
        <w:tblStyle w:val="TableGrid"/>
        <w:tblW w:w="9638" w:type="dxa"/>
        <w:tblLayout w:type="fixed"/>
        <w:tblLook w:val="0020" w:firstRow="1" w:lastRow="0" w:firstColumn="0" w:lastColumn="0" w:noHBand="0" w:noVBand="0"/>
      </w:tblPr>
      <w:tblGrid>
        <w:gridCol w:w="1814"/>
        <w:gridCol w:w="6633"/>
        <w:gridCol w:w="1191"/>
      </w:tblGrid>
      <w:tr w:rsidR="00BC5711" w:rsidRPr="00B02873" w14:paraId="7E20110C" w14:textId="77777777" w:rsidTr="00CC0579">
        <w:trPr>
          <w:cnfStyle w:val="100000000000" w:firstRow="1" w:lastRow="0" w:firstColumn="0" w:lastColumn="0" w:oddVBand="0" w:evenVBand="0" w:oddHBand="0" w:evenHBand="0" w:firstRowFirstColumn="0" w:firstRowLastColumn="0" w:lastRowFirstColumn="0" w:lastRowLastColumn="0"/>
          <w:tblHeader/>
        </w:trPr>
        <w:tc>
          <w:tcPr>
            <w:tcW w:w="1814" w:type="dxa"/>
          </w:tcPr>
          <w:p w14:paraId="6BB7D554" w14:textId="77777777" w:rsidR="00BC5711" w:rsidRDefault="00BC5711" w:rsidP="00CC0579">
            <w:pPr>
              <w:pStyle w:val="TableheadingleftTables"/>
            </w:pPr>
            <w:r>
              <w:t>Legislation</w:t>
            </w:r>
          </w:p>
        </w:tc>
        <w:tc>
          <w:tcPr>
            <w:tcW w:w="6633" w:type="dxa"/>
          </w:tcPr>
          <w:p w14:paraId="067FEC2F" w14:textId="77777777" w:rsidR="00BC5711" w:rsidRDefault="00BC5711" w:rsidP="00CC0579">
            <w:pPr>
              <w:pStyle w:val="TableheadingleftTables"/>
            </w:pPr>
            <w:r>
              <w:t>Requirement</w:t>
            </w:r>
          </w:p>
        </w:tc>
        <w:tc>
          <w:tcPr>
            <w:tcW w:w="1191" w:type="dxa"/>
          </w:tcPr>
          <w:p w14:paraId="74947381" w14:textId="77777777" w:rsidR="00BC5711" w:rsidRDefault="00BC5711" w:rsidP="00CC0579">
            <w:pPr>
              <w:pStyle w:val="TableheadingleftTables"/>
              <w:jc w:val="center"/>
            </w:pPr>
            <w:r>
              <w:t>Page reference</w:t>
            </w:r>
          </w:p>
        </w:tc>
      </w:tr>
      <w:tr w:rsidR="00B02873" w:rsidRPr="00B02873" w14:paraId="0DF75573" w14:textId="77777777" w:rsidTr="004D2876">
        <w:tc>
          <w:tcPr>
            <w:tcW w:w="1814" w:type="dxa"/>
          </w:tcPr>
          <w:p w14:paraId="6E3B46F0" w14:textId="77777777" w:rsidR="00B02873" w:rsidRDefault="00B02873" w:rsidP="004D2876">
            <w:pPr>
              <w:pStyle w:val="TablebodyleftTables"/>
            </w:pPr>
            <w:r>
              <w:t>SD 5.2.1(a)</w:t>
            </w:r>
          </w:p>
        </w:tc>
        <w:tc>
          <w:tcPr>
            <w:tcW w:w="6633" w:type="dxa"/>
          </w:tcPr>
          <w:p w14:paraId="731D4937" w14:textId="77777777" w:rsidR="00B02873" w:rsidRDefault="00B02873" w:rsidP="004D2876">
            <w:pPr>
              <w:pStyle w:val="TablebodyleftTables"/>
            </w:pPr>
            <w:r>
              <w:t>Compliance with Australian accounting standards and other authoritative pronouncements</w:t>
            </w:r>
          </w:p>
        </w:tc>
        <w:tc>
          <w:tcPr>
            <w:tcW w:w="1191" w:type="dxa"/>
          </w:tcPr>
          <w:p w14:paraId="458EAFB4" w14:textId="21FF07E0" w:rsidR="00B02873" w:rsidRDefault="00C72D4A" w:rsidP="00BC5711">
            <w:pPr>
              <w:pStyle w:val="TablebodyleftTables"/>
              <w:jc w:val="center"/>
            </w:pPr>
            <w:r>
              <w:fldChar w:fldCharType="begin"/>
            </w:r>
            <w:r>
              <w:instrText xml:space="preserve"> PAGEREF Compliance_Information \h </w:instrText>
            </w:r>
            <w:r>
              <w:fldChar w:fldCharType="separate"/>
            </w:r>
            <w:r>
              <w:rPr>
                <w:noProof/>
              </w:rPr>
              <w:t>232</w:t>
            </w:r>
            <w:r>
              <w:fldChar w:fldCharType="end"/>
            </w:r>
          </w:p>
        </w:tc>
      </w:tr>
      <w:tr w:rsidR="00B02873" w:rsidRPr="00B02873" w14:paraId="31940F36" w14:textId="77777777" w:rsidTr="004D2876">
        <w:tc>
          <w:tcPr>
            <w:tcW w:w="1814" w:type="dxa"/>
          </w:tcPr>
          <w:p w14:paraId="6495D413" w14:textId="77777777" w:rsidR="00B02873" w:rsidRDefault="00B02873" w:rsidP="004D2876">
            <w:pPr>
              <w:pStyle w:val="TablebodyleftTables"/>
            </w:pPr>
            <w:r>
              <w:t>SD 5.2.1(a)</w:t>
            </w:r>
          </w:p>
        </w:tc>
        <w:tc>
          <w:tcPr>
            <w:tcW w:w="6633" w:type="dxa"/>
          </w:tcPr>
          <w:p w14:paraId="62F5B8B0" w14:textId="77777777" w:rsidR="00B02873" w:rsidRDefault="00B02873" w:rsidP="004D2876">
            <w:pPr>
              <w:pStyle w:val="TablebodyleftTables"/>
            </w:pPr>
            <w:r>
              <w:t>Compliance with Standing Directions</w:t>
            </w:r>
          </w:p>
        </w:tc>
        <w:tc>
          <w:tcPr>
            <w:tcW w:w="1191" w:type="dxa"/>
          </w:tcPr>
          <w:p w14:paraId="07BB2556" w14:textId="63FC1D19" w:rsidR="00B02873" w:rsidRDefault="00C72D4A" w:rsidP="00BC5711">
            <w:pPr>
              <w:pStyle w:val="TablebodyleftTables"/>
              <w:jc w:val="center"/>
            </w:pPr>
            <w:r>
              <w:fldChar w:fldCharType="begin"/>
            </w:r>
            <w:r>
              <w:instrText xml:space="preserve"> PAGEREF _Ref116975212 \h </w:instrText>
            </w:r>
            <w:r>
              <w:fldChar w:fldCharType="separate"/>
            </w:r>
            <w:r>
              <w:rPr>
                <w:noProof/>
              </w:rPr>
              <w:t>169</w:t>
            </w:r>
            <w:r>
              <w:fldChar w:fldCharType="end"/>
            </w:r>
          </w:p>
        </w:tc>
      </w:tr>
      <w:tr w:rsidR="00B02873" w:rsidRPr="00B02873" w14:paraId="531DC4D1" w14:textId="77777777" w:rsidTr="004D2876">
        <w:tc>
          <w:tcPr>
            <w:tcW w:w="1814" w:type="dxa"/>
          </w:tcPr>
          <w:p w14:paraId="18186296" w14:textId="77777777" w:rsidR="00B02873" w:rsidRDefault="00B02873" w:rsidP="004D2876">
            <w:pPr>
              <w:pStyle w:val="TablebodyleftTables"/>
            </w:pPr>
            <w:r>
              <w:t>SD 5.2.1(b)</w:t>
            </w:r>
          </w:p>
        </w:tc>
        <w:tc>
          <w:tcPr>
            <w:tcW w:w="6633" w:type="dxa"/>
          </w:tcPr>
          <w:p w14:paraId="7A8AD168" w14:textId="77777777" w:rsidR="00B02873" w:rsidRDefault="00B02873" w:rsidP="004D2876">
            <w:pPr>
              <w:pStyle w:val="TablebodyleftTables"/>
            </w:pPr>
            <w:r>
              <w:t>Compliance with Model Financial Report</w:t>
            </w:r>
          </w:p>
        </w:tc>
        <w:tc>
          <w:tcPr>
            <w:tcW w:w="1191" w:type="dxa"/>
          </w:tcPr>
          <w:p w14:paraId="3A907679" w14:textId="3E4FF58E" w:rsidR="00B02873" w:rsidRDefault="00E82A61" w:rsidP="00BC5711">
            <w:pPr>
              <w:pStyle w:val="TablebodyleftTables"/>
              <w:jc w:val="center"/>
            </w:pPr>
            <w:r>
              <w:fldChar w:fldCharType="begin"/>
            </w:r>
            <w:r>
              <w:instrText xml:space="preserve"> PAGEREF _Ref116975417 \h </w:instrText>
            </w:r>
            <w:r>
              <w:fldChar w:fldCharType="separate"/>
            </w:r>
            <w:r>
              <w:rPr>
                <w:noProof/>
              </w:rPr>
              <w:t>350</w:t>
            </w:r>
            <w:r>
              <w:fldChar w:fldCharType="end"/>
            </w:r>
          </w:p>
        </w:tc>
      </w:tr>
    </w:tbl>
    <w:p w14:paraId="06B97A7A" w14:textId="77777777" w:rsidR="00BC5711" w:rsidRDefault="00BC5711"/>
    <w:p w14:paraId="2F3AFCDC" w14:textId="107C2C3B" w:rsidR="00BC5711" w:rsidRPr="00BC5711" w:rsidRDefault="00BC5711">
      <w:pPr>
        <w:rPr>
          <w:i/>
          <w:iCs/>
        </w:rPr>
      </w:pPr>
      <w:r w:rsidRPr="00BC5711">
        <w:rPr>
          <w:i/>
          <w:iCs/>
        </w:rPr>
        <w:t xml:space="preserve">Other disclosures as required by FRDs in notes to the financial statements </w:t>
      </w:r>
      <w:r w:rsidRPr="00BC5711">
        <w:rPr>
          <w:i/>
          <w:iCs/>
          <w:vertAlign w:val="superscript"/>
        </w:rPr>
        <w:t>(a)</w:t>
      </w:r>
    </w:p>
    <w:tbl>
      <w:tblPr>
        <w:tblStyle w:val="TableGrid"/>
        <w:tblW w:w="9638" w:type="dxa"/>
        <w:tblLayout w:type="fixed"/>
        <w:tblLook w:val="0020" w:firstRow="1" w:lastRow="0" w:firstColumn="0" w:lastColumn="0" w:noHBand="0" w:noVBand="0"/>
      </w:tblPr>
      <w:tblGrid>
        <w:gridCol w:w="1814"/>
        <w:gridCol w:w="6633"/>
        <w:gridCol w:w="1191"/>
      </w:tblGrid>
      <w:tr w:rsidR="00BC5711" w:rsidRPr="00B02873" w14:paraId="04513286" w14:textId="77777777" w:rsidTr="00CC0579">
        <w:trPr>
          <w:cnfStyle w:val="100000000000" w:firstRow="1" w:lastRow="0" w:firstColumn="0" w:lastColumn="0" w:oddVBand="0" w:evenVBand="0" w:oddHBand="0" w:evenHBand="0" w:firstRowFirstColumn="0" w:firstRowLastColumn="0" w:lastRowFirstColumn="0" w:lastRowLastColumn="0"/>
          <w:tblHeader/>
        </w:trPr>
        <w:tc>
          <w:tcPr>
            <w:tcW w:w="1814" w:type="dxa"/>
          </w:tcPr>
          <w:p w14:paraId="3F3F943E" w14:textId="77777777" w:rsidR="00BC5711" w:rsidRDefault="00BC5711" w:rsidP="00CC0579">
            <w:pPr>
              <w:pStyle w:val="TableheadingleftTables"/>
            </w:pPr>
            <w:r>
              <w:t>Legislation</w:t>
            </w:r>
          </w:p>
        </w:tc>
        <w:tc>
          <w:tcPr>
            <w:tcW w:w="6633" w:type="dxa"/>
          </w:tcPr>
          <w:p w14:paraId="0526EB5D" w14:textId="77777777" w:rsidR="00BC5711" w:rsidRDefault="00BC5711" w:rsidP="00CC0579">
            <w:pPr>
              <w:pStyle w:val="TableheadingleftTables"/>
            </w:pPr>
            <w:r>
              <w:t>Requirement</w:t>
            </w:r>
          </w:p>
        </w:tc>
        <w:tc>
          <w:tcPr>
            <w:tcW w:w="1191" w:type="dxa"/>
          </w:tcPr>
          <w:p w14:paraId="41200449" w14:textId="77777777" w:rsidR="00BC5711" w:rsidRDefault="00BC5711" w:rsidP="00CC0579">
            <w:pPr>
              <w:pStyle w:val="TableheadingleftTables"/>
              <w:jc w:val="center"/>
            </w:pPr>
            <w:r>
              <w:t>Page reference</w:t>
            </w:r>
          </w:p>
        </w:tc>
      </w:tr>
      <w:tr w:rsidR="00B02873" w:rsidRPr="00B02873" w14:paraId="2524C93E" w14:textId="77777777" w:rsidTr="004D2876">
        <w:tc>
          <w:tcPr>
            <w:tcW w:w="1814" w:type="dxa"/>
          </w:tcPr>
          <w:p w14:paraId="3F9623CF" w14:textId="77777777" w:rsidR="00B02873" w:rsidRDefault="00B02873" w:rsidP="004D2876">
            <w:pPr>
              <w:pStyle w:val="TablebodyleftTables"/>
            </w:pPr>
            <w:r>
              <w:t>FRD 9</w:t>
            </w:r>
          </w:p>
        </w:tc>
        <w:tc>
          <w:tcPr>
            <w:tcW w:w="6633" w:type="dxa"/>
          </w:tcPr>
          <w:p w14:paraId="7DE8A2ED" w14:textId="77777777" w:rsidR="00B02873" w:rsidRDefault="00B02873" w:rsidP="004D2876">
            <w:pPr>
              <w:pStyle w:val="TablebodyleftTables"/>
            </w:pPr>
            <w:r>
              <w:t>Departmental Disclosure of Administered Assets and Liabilities by Activity</w:t>
            </w:r>
          </w:p>
        </w:tc>
        <w:tc>
          <w:tcPr>
            <w:tcW w:w="1191" w:type="dxa"/>
          </w:tcPr>
          <w:p w14:paraId="60BF4772" w14:textId="5B275306" w:rsidR="00B02873" w:rsidRDefault="00E82A61" w:rsidP="00BC5711">
            <w:pPr>
              <w:pStyle w:val="TablebodyleftTables"/>
              <w:jc w:val="center"/>
            </w:pPr>
            <w:r>
              <w:fldChar w:fldCharType="begin"/>
            </w:r>
            <w:r>
              <w:instrText xml:space="preserve"> PAGEREF _Ref116975537 \h </w:instrText>
            </w:r>
            <w:r>
              <w:fldChar w:fldCharType="separate"/>
            </w:r>
            <w:r>
              <w:rPr>
                <w:noProof/>
              </w:rPr>
              <w:t>261</w:t>
            </w:r>
            <w:r>
              <w:fldChar w:fldCharType="end"/>
            </w:r>
          </w:p>
        </w:tc>
      </w:tr>
      <w:tr w:rsidR="00B02873" w:rsidRPr="00B02873" w14:paraId="6888C690" w14:textId="77777777" w:rsidTr="004D2876">
        <w:tc>
          <w:tcPr>
            <w:tcW w:w="1814" w:type="dxa"/>
          </w:tcPr>
          <w:p w14:paraId="0F49076C" w14:textId="77777777" w:rsidR="00B02873" w:rsidRDefault="00B02873" w:rsidP="004D2876">
            <w:pPr>
              <w:pStyle w:val="TablebodyleftTables"/>
            </w:pPr>
            <w:r>
              <w:t>FRD 11</w:t>
            </w:r>
          </w:p>
        </w:tc>
        <w:tc>
          <w:tcPr>
            <w:tcW w:w="6633" w:type="dxa"/>
          </w:tcPr>
          <w:p w14:paraId="7FAE810A" w14:textId="77777777" w:rsidR="00B02873" w:rsidRDefault="00B02873" w:rsidP="004D2876">
            <w:pPr>
              <w:pStyle w:val="TablebodyleftTables"/>
            </w:pPr>
            <w:r>
              <w:t>Disclosure of Ex gratia Expenses</w:t>
            </w:r>
          </w:p>
        </w:tc>
        <w:tc>
          <w:tcPr>
            <w:tcW w:w="1191" w:type="dxa"/>
          </w:tcPr>
          <w:p w14:paraId="64994F6C" w14:textId="3DCE01B8" w:rsidR="00B02873" w:rsidRDefault="0092020D" w:rsidP="00BC5711">
            <w:pPr>
              <w:pStyle w:val="TablebodyleftTables"/>
              <w:jc w:val="center"/>
            </w:pPr>
            <w:r>
              <w:fldChar w:fldCharType="begin"/>
            </w:r>
            <w:r>
              <w:instrText xml:space="preserve"> PAGEREF _Ref116975591 \h </w:instrText>
            </w:r>
            <w:r>
              <w:fldChar w:fldCharType="separate"/>
            </w:r>
            <w:r>
              <w:rPr>
                <w:noProof/>
              </w:rPr>
              <w:t>342</w:t>
            </w:r>
            <w:r>
              <w:fldChar w:fldCharType="end"/>
            </w:r>
          </w:p>
        </w:tc>
      </w:tr>
      <w:tr w:rsidR="00B02873" w:rsidRPr="00B02873" w14:paraId="6F7746DE" w14:textId="77777777" w:rsidTr="004D2876">
        <w:tc>
          <w:tcPr>
            <w:tcW w:w="1814" w:type="dxa"/>
          </w:tcPr>
          <w:p w14:paraId="62366478" w14:textId="77777777" w:rsidR="00B02873" w:rsidRDefault="00B02873" w:rsidP="004D2876">
            <w:pPr>
              <w:pStyle w:val="TablebodyleftTables"/>
            </w:pPr>
            <w:r>
              <w:t>FRD 13</w:t>
            </w:r>
          </w:p>
        </w:tc>
        <w:tc>
          <w:tcPr>
            <w:tcW w:w="6633" w:type="dxa"/>
          </w:tcPr>
          <w:p w14:paraId="5BB9277C" w14:textId="77777777" w:rsidR="00B02873" w:rsidRDefault="00B02873" w:rsidP="004D2876">
            <w:pPr>
              <w:pStyle w:val="TablebodyleftTables"/>
            </w:pPr>
            <w:r>
              <w:t>Disclosure of Parliamentary Appropriations</w:t>
            </w:r>
          </w:p>
        </w:tc>
        <w:tc>
          <w:tcPr>
            <w:tcW w:w="1191" w:type="dxa"/>
          </w:tcPr>
          <w:p w14:paraId="692C9C5B" w14:textId="1127C297" w:rsidR="00B02873" w:rsidRDefault="0092020D" w:rsidP="00BC5711">
            <w:pPr>
              <w:pStyle w:val="TablebodyleftTables"/>
              <w:jc w:val="center"/>
            </w:pPr>
            <w:r>
              <w:fldChar w:fldCharType="begin"/>
            </w:r>
            <w:r>
              <w:instrText xml:space="preserve"> PAGEREF _Ref116975711 \h </w:instrText>
            </w:r>
            <w:r>
              <w:fldChar w:fldCharType="separate"/>
            </w:r>
            <w:r>
              <w:rPr>
                <w:noProof/>
              </w:rPr>
              <w:t>235</w:t>
            </w:r>
            <w:r>
              <w:fldChar w:fldCharType="end"/>
            </w:r>
          </w:p>
        </w:tc>
      </w:tr>
      <w:tr w:rsidR="00B02873" w:rsidRPr="00B02873" w14:paraId="69AE93D9" w14:textId="77777777" w:rsidTr="004D2876">
        <w:tc>
          <w:tcPr>
            <w:tcW w:w="1814" w:type="dxa"/>
          </w:tcPr>
          <w:p w14:paraId="4DE69D7F" w14:textId="77777777" w:rsidR="00B02873" w:rsidRDefault="00B02873" w:rsidP="004D2876">
            <w:pPr>
              <w:pStyle w:val="TablebodyleftTables"/>
            </w:pPr>
            <w:r>
              <w:t>FRD 21</w:t>
            </w:r>
          </w:p>
        </w:tc>
        <w:tc>
          <w:tcPr>
            <w:tcW w:w="6633" w:type="dxa"/>
          </w:tcPr>
          <w:p w14:paraId="2334EBE1" w14:textId="77777777" w:rsidR="00B02873" w:rsidRDefault="00B02873" w:rsidP="004D2876">
            <w:pPr>
              <w:pStyle w:val="TablebodyleftTables"/>
            </w:pPr>
            <w:r>
              <w:t>Disclosures of Responsible Persons, SES and other Personnel (Contractors with Significant Management Responsibilities) in the Financial Report</w:t>
            </w:r>
          </w:p>
        </w:tc>
        <w:tc>
          <w:tcPr>
            <w:tcW w:w="1191" w:type="dxa"/>
          </w:tcPr>
          <w:p w14:paraId="4049C8F1" w14:textId="2D9A5C41" w:rsidR="00B02873" w:rsidRDefault="0092020D" w:rsidP="00BC5711">
            <w:pPr>
              <w:pStyle w:val="TablebodyleftTables"/>
              <w:jc w:val="center"/>
            </w:pPr>
            <w:r>
              <w:fldChar w:fldCharType="begin"/>
            </w:r>
            <w:r>
              <w:instrText xml:space="preserve"> PAGEREF _Ref116975780 \h </w:instrText>
            </w:r>
            <w:r>
              <w:fldChar w:fldCharType="separate"/>
            </w:r>
            <w:r>
              <w:rPr>
                <w:noProof/>
              </w:rPr>
              <w:t>345</w:t>
            </w:r>
            <w:r>
              <w:fldChar w:fldCharType="end"/>
            </w:r>
          </w:p>
        </w:tc>
      </w:tr>
      <w:tr w:rsidR="00B02873" w:rsidRPr="00B02873" w14:paraId="2BC41C84" w14:textId="77777777" w:rsidTr="004D2876">
        <w:tc>
          <w:tcPr>
            <w:tcW w:w="1814" w:type="dxa"/>
          </w:tcPr>
          <w:p w14:paraId="696AE4EA" w14:textId="77777777" w:rsidR="00B02873" w:rsidRDefault="00B02873" w:rsidP="004D2876">
            <w:pPr>
              <w:pStyle w:val="TablebodyleftTables"/>
            </w:pPr>
            <w:r>
              <w:t>FRD 103</w:t>
            </w:r>
          </w:p>
        </w:tc>
        <w:tc>
          <w:tcPr>
            <w:tcW w:w="6633" w:type="dxa"/>
          </w:tcPr>
          <w:p w14:paraId="44DCD33A" w14:textId="77777777" w:rsidR="00B02873" w:rsidRDefault="00B02873" w:rsidP="004D2876">
            <w:pPr>
              <w:pStyle w:val="TablebodyleftTables"/>
            </w:pPr>
            <w:r>
              <w:t>Non-Financial Physical Assets</w:t>
            </w:r>
          </w:p>
        </w:tc>
        <w:tc>
          <w:tcPr>
            <w:tcW w:w="1191" w:type="dxa"/>
          </w:tcPr>
          <w:p w14:paraId="66A03953" w14:textId="72719814" w:rsidR="00B02873" w:rsidRDefault="0092020D" w:rsidP="00BC5711">
            <w:pPr>
              <w:pStyle w:val="TablebodyleftTables"/>
              <w:jc w:val="center"/>
            </w:pPr>
            <w:r>
              <w:fldChar w:fldCharType="begin"/>
            </w:r>
            <w:r>
              <w:instrText xml:space="preserve"> PAGEREF _Ref116975840 \h </w:instrText>
            </w:r>
            <w:r>
              <w:fldChar w:fldCharType="separate"/>
            </w:r>
            <w:r>
              <w:rPr>
                <w:noProof/>
              </w:rPr>
              <w:t>281</w:t>
            </w:r>
            <w:r>
              <w:fldChar w:fldCharType="end"/>
            </w:r>
          </w:p>
        </w:tc>
      </w:tr>
      <w:tr w:rsidR="00B02873" w:rsidRPr="00B02873" w14:paraId="193B2574" w14:textId="77777777" w:rsidTr="004D2876">
        <w:tc>
          <w:tcPr>
            <w:tcW w:w="1814" w:type="dxa"/>
          </w:tcPr>
          <w:p w14:paraId="1D86B4FE" w14:textId="77777777" w:rsidR="00B02873" w:rsidRDefault="00B02873" w:rsidP="004D2876">
            <w:pPr>
              <w:pStyle w:val="TablebodyleftTables"/>
            </w:pPr>
            <w:r>
              <w:t>FRD 110</w:t>
            </w:r>
          </w:p>
        </w:tc>
        <w:tc>
          <w:tcPr>
            <w:tcW w:w="6633" w:type="dxa"/>
          </w:tcPr>
          <w:p w14:paraId="53DA4139" w14:textId="77777777" w:rsidR="00B02873" w:rsidRDefault="00B02873" w:rsidP="004D2876">
            <w:pPr>
              <w:pStyle w:val="TablebodyleftTables"/>
            </w:pPr>
            <w:r>
              <w:t>Cash Flow Statements</w:t>
            </w:r>
          </w:p>
        </w:tc>
        <w:tc>
          <w:tcPr>
            <w:tcW w:w="1191" w:type="dxa"/>
          </w:tcPr>
          <w:p w14:paraId="77051673" w14:textId="61AB68CC" w:rsidR="00B02873" w:rsidRDefault="0092020D" w:rsidP="00BC5711">
            <w:pPr>
              <w:pStyle w:val="TablebodyleftTables"/>
              <w:jc w:val="center"/>
            </w:pPr>
            <w:r>
              <w:fldChar w:fldCharType="begin"/>
            </w:r>
            <w:r>
              <w:instrText xml:space="preserve"> PAGEREF _Ref116975875 \h </w:instrText>
            </w:r>
            <w:r>
              <w:fldChar w:fldCharType="separate"/>
            </w:r>
            <w:r>
              <w:rPr>
                <w:noProof/>
              </w:rPr>
              <w:t>312</w:t>
            </w:r>
            <w:r>
              <w:fldChar w:fldCharType="end"/>
            </w:r>
          </w:p>
        </w:tc>
      </w:tr>
      <w:tr w:rsidR="00B02873" w:rsidRPr="00B02873" w14:paraId="3E086EB7" w14:textId="77777777" w:rsidTr="004D2876">
        <w:tc>
          <w:tcPr>
            <w:tcW w:w="1814" w:type="dxa"/>
          </w:tcPr>
          <w:p w14:paraId="0D18875E" w14:textId="77777777" w:rsidR="00B02873" w:rsidRDefault="00B02873" w:rsidP="004D2876">
            <w:pPr>
              <w:pStyle w:val="TablebodyleftTables"/>
            </w:pPr>
            <w:r>
              <w:t>FRD 112</w:t>
            </w:r>
          </w:p>
        </w:tc>
        <w:tc>
          <w:tcPr>
            <w:tcW w:w="6633" w:type="dxa"/>
          </w:tcPr>
          <w:p w14:paraId="010DEBC8" w14:textId="77777777" w:rsidR="00B02873" w:rsidRDefault="00B02873" w:rsidP="004D2876">
            <w:pPr>
              <w:pStyle w:val="TablebodyleftTables"/>
            </w:pPr>
            <w:r>
              <w:t>Defined Benefit Superannuation Obligations</w:t>
            </w:r>
          </w:p>
        </w:tc>
        <w:tc>
          <w:tcPr>
            <w:tcW w:w="1191" w:type="dxa"/>
          </w:tcPr>
          <w:p w14:paraId="0E1B07D7" w14:textId="74D9410A" w:rsidR="00B02873" w:rsidRDefault="00872A72" w:rsidP="00BC5711">
            <w:pPr>
              <w:pStyle w:val="TablebodyleftTables"/>
              <w:jc w:val="center"/>
            </w:pPr>
            <w:r>
              <w:fldChar w:fldCharType="begin"/>
            </w:r>
            <w:r>
              <w:instrText xml:space="preserve"> PAGEREF _Ref116976046 \h </w:instrText>
            </w:r>
            <w:r>
              <w:fldChar w:fldCharType="separate"/>
            </w:r>
            <w:r>
              <w:rPr>
                <w:noProof/>
              </w:rPr>
              <w:t>241</w:t>
            </w:r>
            <w:r>
              <w:fldChar w:fldCharType="end"/>
            </w:r>
          </w:p>
        </w:tc>
      </w:tr>
      <w:tr w:rsidR="00B02873" w:rsidRPr="00B02873" w14:paraId="7B8007BD" w14:textId="77777777" w:rsidTr="004D2876">
        <w:tc>
          <w:tcPr>
            <w:tcW w:w="1814" w:type="dxa"/>
          </w:tcPr>
          <w:p w14:paraId="648C3CE1" w14:textId="77777777" w:rsidR="00B02873" w:rsidRDefault="00B02873" w:rsidP="004D2876">
            <w:pPr>
              <w:pStyle w:val="TablebodyleftTables"/>
            </w:pPr>
            <w:r>
              <w:t>FRD 114</w:t>
            </w:r>
          </w:p>
        </w:tc>
        <w:tc>
          <w:tcPr>
            <w:tcW w:w="6633" w:type="dxa"/>
          </w:tcPr>
          <w:p w14:paraId="73087687" w14:textId="77777777" w:rsidR="00B02873" w:rsidRDefault="00B02873" w:rsidP="004D2876">
            <w:pPr>
              <w:pStyle w:val="TablebodyleftTables"/>
            </w:pPr>
            <w:r>
              <w:t>Financial Instruments – general government entities and public non-financial corporations</w:t>
            </w:r>
          </w:p>
        </w:tc>
        <w:tc>
          <w:tcPr>
            <w:tcW w:w="1191" w:type="dxa"/>
          </w:tcPr>
          <w:p w14:paraId="26B7FD60" w14:textId="672FE3E4" w:rsidR="00B02873" w:rsidRDefault="00532982" w:rsidP="00BC5711">
            <w:pPr>
              <w:pStyle w:val="TablebodyleftTables"/>
              <w:jc w:val="center"/>
            </w:pPr>
            <w:r>
              <w:fldChar w:fldCharType="begin"/>
            </w:r>
            <w:r>
              <w:instrText xml:space="preserve"> PAGEREF _Ref116976296 \h </w:instrText>
            </w:r>
            <w:r>
              <w:fldChar w:fldCharType="separate"/>
            </w:r>
            <w:r>
              <w:rPr>
                <w:noProof/>
              </w:rPr>
              <w:t>325</w:t>
            </w:r>
            <w:r>
              <w:fldChar w:fldCharType="end"/>
            </w:r>
          </w:p>
        </w:tc>
      </w:tr>
    </w:tbl>
    <w:p w14:paraId="21DF22B1" w14:textId="77777777" w:rsidR="00BC5711" w:rsidRPr="00BC5711" w:rsidRDefault="00BC5711" w:rsidP="00BC5711">
      <w:pPr>
        <w:pStyle w:val="SourceNote"/>
        <w:spacing w:after="120"/>
        <w:rPr>
          <w:b/>
          <w:bCs/>
        </w:rPr>
      </w:pPr>
      <w:r w:rsidRPr="00BC5711">
        <w:rPr>
          <w:b/>
          <w:bCs/>
        </w:rPr>
        <w:t xml:space="preserve">Note: </w:t>
      </w:r>
    </w:p>
    <w:p w14:paraId="3EBEEA28" w14:textId="0842A8AF" w:rsidR="00B02873" w:rsidRDefault="00BC5711" w:rsidP="00BC5711">
      <w:pPr>
        <w:pStyle w:val="SourceNote"/>
        <w:tabs>
          <w:tab w:val="left" w:pos="284"/>
        </w:tabs>
        <w:ind w:left="284" w:hanging="284"/>
      </w:pPr>
      <w:r>
        <w:t>(a)</w:t>
      </w:r>
      <w:r>
        <w:tab/>
        <w:t>References to FRDs have been removed from the Disclosure Index if the specific FRDs do not contain requirements that are in the nature of disclosure.</w:t>
      </w:r>
    </w:p>
    <w:tbl>
      <w:tblPr>
        <w:tblStyle w:val="TableGrid"/>
        <w:tblW w:w="0" w:type="auto"/>
        <w:tblLayout w:type="fixed"/>
        <w:tblLook w:val="0020" w:firstRow="1" w:lastRow="0" w:firstColumn="0" w:lastColumn="0" w:noHBand="0" w:noVBand="0"/>
      </w:tblPr>
      <w:tblGrid>
        <w:gridCol w:w="8447"/>
        <w:gridCol w:w="1191"/>
      </w:tblGrid>
      <w:tr w:rsidR="00B02873" w:rsidRPr="00546E03" w14:paraId="0085EA5D" w14:textId="77777777" w:rsidTr="00BC5711">
        <w:trPr>
          <w:cnfStyle w:val="100000000000" w:firstRow="1" w:lastRow="0" w:firstColumn="0" w:lastColumn="0" w:oddVBand="0" w:evenVBand="0" w:oddHBand="0" w:evenHBand="0" w:firstRowFirstColumn="0" w:firstRowLastColumn="0" w:lastRowFirstColumn="0" w:lastRowLastColumn="0"/>
          <w:trHeight w:val="60"/>
        </w:trPr>
        <w:tc>
          <w:tcPr>
            <w:tcW w:w="8447" w:type="dxa"/>
          </w:tcPr>
          <w:p w14:paraId="3D29C325" w14:textId="77777777" w:rsidR="00B02873" w:rsidRPr="00546E03" w:rsidRDefault="00B02873" w:rsidP="00BC5711">
            <w:pPr>
              <w:pStyle w:val="TableheadingleftTables"/>
            </w:pPr>
            <w:r w:rsidRPr="00546E03">
              <w:lastRenderedPageBreak/>
              <w:t>Legislation</w:t>
            </w:r>
          </w:p>
        </w:tc>
        <w:tc>
          <w:tcPr>
            <w:tcW w:w="1191" w:type="dxa"/>
          </w:tcPr>
          <w:p w14:paraId="06302847" w14:textId="77777777" w:rsidR="00B02873" w:rsidRPr="00546E03" w:rsidRDefault="00B02873" w:rsidP="00866C6E">
            <w:pPr>
              <w:pStyle w:val="TableheadingleftTables"/>
              <w:jc w:val="center"/>
              <w:rPr>
                <w:rFonts w:cs="Times New Roman"/>
                <w:lang w:val="en-AU"/>
              </w:rPr>
            </w:pPr>
          </w:p>
        </w:tc>
      </w:tr>
      <w:tr w:rsidR="00B02873" w:rsidRPr="00B02873" w14:paraId="1935E976" w14:textId="77777777" w:rsidTr="00BC5711">
        <w:trPr>
          <w:trHeight w:val="60"/>
        </w:trPr>
        <w:tc>
          <w:tcPr>
            <w:tcW w:w="8447" w:type="dxa"/>
          </w:tcPr>
          <w:p w14:paraId="2C7C9899" w14:textId="77777777" w:rsidR="00B02873" w:rsidRPr="00866C6E" w:rsidRDefault="00B02873" w:rsidP="00866C6E">
            <w:pPr>
              <w:pStyle w:val="TablebodyleftTables"/>
              <w:keepNext/>
              <w:rPr>
                <w:i/>
                <w:iCs/>
              </w:rPr>
            </w:pPr>
            <w:r w:rsidRPr="00866C6E">
              <w:rPr>
                <w:i/>
                <w:iCs/>
              </w:rPr>
              <w:t>Building Act 1993</w:t>
            </w:r>
          </w:p>
        </w:tc>
        <w:tc>
          <w:tcPr>
            <w:tcW w:w="1191" w:type="dxa"/>
          </w:tcPr>
          <w:p w14:paraId="42F702DE" w14:textId="221FA4C0" w:rsidR="00B02873" w:rsidRDefault="00ED4FA5" w:rsidP="00866C6E">
            <w:pPr>
              <w:pStyle w:val="TablebodyleftTables"/>
              <w:keepNext/>
              <w:jc w:val="center"/>
            </w:pPr>
            <w:r>
              <w:fldChar w:fldCharType="begin"/>
            </w:r>
            <w:r>
              <w:instrText xml:space="preserve"> PAGEREF _Ref116976634 \h </w:instrText>
            </w:r>
            <w:r>
              <w:fldChar w:fldCharType="separate"/>
            </w:r>
            <w:r>
              <w:rPr>
                <w:noProof/>
              </w:rPr>
              <w:t>189</w:t>
            </w:r>
            <w:r>
              <w:fldChar w:fldCharType="end"/>
            </w:r>
          </w:p>
        </w:tc>
      </w:tr>
      <w:tr w:rsidR="00B02873" w:rsidRPr="00B02873" w14:paraId="2444DF06" w14:textId="77777777" w:rsidTr="00BC5711">
        <w:trPr>
          <w:trHeight w:val="60"/>
        </w:trPr>
        <w:tc>
          <w:tcPr>
            <w:tcW w:w="8447" w:type="dxa"/>
          </w:tcPr>
          <w:p w14:paraId="444A17C1" w14:textId="77777777" w:rsidR="00B02873" w:rsidRPr="00866C6E" w:rsidRDefault="00B02873" w:rsidP="00BC5711">
            <w:pPr>
              <w:pStyle w:val="TablebodyleftTables"/>
              <w:rPr>
                <w:i/>
                <w:iCs/>
              </w:rPr>
            </w:pPr>
            <w:r w:rsidRPr="00866C6E">
              <w:rPr>
                <w:i/>
                <w:iCs/>
              </w:rPr>
              <w:t>Carers Recognition Act 2012</w:t>
            </w:r>
          </w:p>
        </w:tc>
        <w:tc>
          <w:tcPr>
            <w:tcW w:w="1191" w:type="dxa"/>
          </w:tcPr>
          <w:p w14:paraId="697E1051" w14:textId="14AAD82B" w:rsidR="00B02873" w:rsidRDefault="00ED4FA5" w:rsidP="00866C6E">
            <w:pPr>
              <w:pStyle w:val="TablebodyleftTables"/>
              <w:jc w:val="center"/>
            </w:pPr>
            <w:r>
              <w:fldChar w:fldCharType="begin"/>
            </w:r>
            <w:r>
              <w:instrText xml:space="preserve"> PAGEREF _Ref116976724 \h </w:instrText>
            </w:r>
            <w:r>
              <w:fldChar w:fldCharType="separate"/>
            </w:r>
            <w:r>
              <w:rPr>
                <w:noProof/>
              </w:rPr>
              <w:t>189</w:t>
            </w:r>
            <w:r>
              <w:fldChar w:fldCharType="end"/>
            </w:r>
          </w:p>
        </w:tc>
      </w:tr>
      <w:tr w:rsidR="00B02873" w:rsidRPr="00B02873" w14:paraId="38949DFC" w14:textId="77777777" w:rsidTr="00BC5711">
        <w:trPr>
          <w:trHeight w:val="60"/>
        </w:trPr>
        <w:tc>
          <w:tcPr>
            <w:tcW w:w="8447" w:type="dxa"/>
          </w:tcPr>
          <w:p w14:paraId="012CBCBB" w14:textId="77777777" w:rsidR="00B02873" w:rsidRPr="00866C6E" w:rsidRDefault="00B02873" w:rsidP="00BC5711">
            <w:pPr>
              <w:pStyle w:val="TablebodyleftTables"/>
              <w:rPr>
                <w:i/>
                <w:iCs/>
              </w:rPr>
            </w:pPr>
            <w:r w:rsidRPr="00866C6E">
              <w:rPr>
                <w:i/>
                <w:iCs/>
              </w:rPr>
              <w:t>Caulfield Racecourse Reserve Act 2017</w:t>
            </w:r>
          </w:p>
        </w:tc>
        <w:tc>
          <w:tcPr>
            <w:tcW w:w="1191" w:type="dxa"/>
          </w:tcPr>
          <w:p w14:paraId="2C50F35A" w14:textId="2905198E" w:rsidR="00B02873" w:rsidRDefault="00ED4FA5" w:rsidP="00866C6E">
            <w:pPr>
              <w:pStyle w:val="TablebodyleftTables"/>
              <w:jc w:val="center"/>
            </w:pPr>
            <w:r>
              <w:fldChar w:fldCharType="begin"/>
            </w:r>
            <w:r>
              <w:instrText xml:space="preserve"> PAGEREF _Ref116976753 \h </w:instrText>
            </w:r>
            <w:r>
              <w:fldChar w:fldCharType="separate"/>
            </w:r>
            <w:r>
              <w:rPr>
                <w:noProof/>
              </w:rPr>
              <w:t>191</w:t>
            </w:r>
            <w:r>
              <w:fldChar w:fldCharType="end"/>
            </w:r>
          </w:p>
        </w:tc>
      </w:tr>
      <w:tr w:rsidR="00B02873" w:rsidRPr="00B02873" w14:paraId="031346C7" w14:textId="77777777" w:rsidTr="00BC5711">
        <w:trPr>
          <w:trHeight w:val="60"/>
        </w:trPr>
        <w:tc>
          <w:tcPr>
            <w:tcW w:w="8447" w:type="dxa"/>
          </w:tcPr>
          <w:p w14:paraId="387DAD2B" w14:textId="77777777" w:rsidR="00B02873" w:rsidRPr="00866C6E" w:rsidRDefault="00B02873" w:rsidP="00BC5711">
            <w:pPr>
              <w:pStyle w:val="TablebodyleftTables"/>
              <w:rPr>
                <w:i/>
                <w:iCs/>
              </w:rPr>
            </w:pPr>
            <w:r w:rsidRPr="00866C6E">
              <w:rPr>
                <w:i/>
                <w:iCs/>
              </w:rPr>
              <w:t>Disability Act 2006</w:t>
            </w:r>
          </w:p>
        </w:tc>
        <w:tc>
          <w:tcPr>
            <w:tcW w:w="1191" w:type="dxa"/>
          </w:tcPr>
          <w:p w14:paraId="486919E5" w14:textId="03A6F468" w:rsidR="00B02873" w:rsidRDefault="00ED4FA5" w:rsidP="00866C6E">
            <w:pPr>
              <w:pStyle w:val="TablebodyleftTables"/>
              <w:jc w:val="center"/>
            </w:pPr>
            <w:r>
              <w:fldChar w:fldCharType="begin"/>
            </w:r>
            <w:r>
              <w:instrText xml:space="preserve"> PAGEREF _Ref116976768 \h </w:instrText>
            </w:r>
            <w:r>
              <w:fldChar w:fldCharType="separate"/>
            </w:r>
            <w:r>
              <w:rPr>
                <w:noProof/>
              </w:rPr>
              <w:t>189</w:t>
            </w:r>
            <w:r>
              <w:fldChar w:fldCharType="end"/>
            </w:r>
          </w:p>
        </w:tc>
      </w:tr>
      <w:tr w:rsidR="00B02873" w:rsidRPr="00B02873" w14:paraId="3F000502" w14:textId="77777777" w:rsidTr="00BC5711">
        <w:trPr>
          <w:trHeight w:hRule="exact" w:val="372"/>
        </w:trPr>
        <w:tc>
          <w:tcPr>
            <w:tcW w:w="8447" w:type="dxa"/>
          </w:tcPr>
          <w:p w14:paraId="158EF8F1" w14:textId="77777777" w:rsidR="00B02873" w:rsidRPr="00866C6E" w:rsidRDefault="00B02873" w:rsidP="00BC5711">
            <w:pPr>
              <w:pStyle w:val="TablebodyleftTables"/>
              <w:rPr>
                <w:i/>
                <w:iCs/>
              </w:rPr>
            </w:pPr>
            <w:r w:rsidRPr="00866C6E">
              <w:rPr>
                <w:i/>
                <w:iCs/>
              </w:rPr>
              <w:t>Electricity Industry Act 2000</w:t>
            </w:r>
          </w:p>
        </w:tc>
        <w:tc>
          <w:tcPr>
            <w:tcW w:w="1191" w:type="dxa"/>
          </w:tcPr>
          <w:p w14:paraId="28F0F552" w14:textId="2F48716C" w:rsidR="00B02873" w:rsidRDefault="00CB17B8" w:rsidP="00866C6E">
            <w:pPr>
              <w:pStyle w:val="TablebodyleftTables"/>
              <w:jc w:val="center"/>
            </w:pPr>
            <w:r>
              <w:fldChar w:fldCharType="begin"/>
            </w:r>
            <w:r>
              <w:instrText xml:space="preserve"> PAGEREF _Ref116978136 \h </w:instrText>
            </w:r>
            <w:r>
              <w:fldChar w:fldCharType="separate"/>
            </w:r>
            <w:r>
              <w:rPr>
                <w:noProof/>
              </w:rPr>
              <w:t>425</w:t>
            </w:r>
            <w:r>
              <w:fldChar w:fldCharType="end"/>
            </w:r>
          </w:p>
        </w:tc>
      </w:tr>
      <w:tr w:rsidR="00B02873" w:rsidRPr="00B02873" w14:paraId="7AB28540" w14:textId="77777777" w:rsidTr="00BC5711">
        <w:trPr>
          <w:trHeight w:hRule="exact" w:val="374"/>
        </w:trPr>
        <w:tc>
          <w:tcPr>
            <w:tcW w:w="8447" w:type="dxa"/>
          </w:tcPr>
          <w:p w14:paraId="7ECCFCBB" w14:textId="77777777" w:rsidR="00B02873" w:rsidRPr="00866C6E" w:rsidRDefault="00B02873" w:rsidP="00BC5711">
            <w:pPr>
              <w:pStyle w:val="TablebodyleftTables"/>
              <w:rPr>
                <w:i/>
                <w:iCs/>
              </w:rPr>
            </w:pPr>
            <w:r w:rsidRPr="00866C6E">
              <w:rPr>
                <w:i/>
                <w:iCs/>
              </w:rPr>
              <w:t>Financial Management Act 1994</w:t>
            </w:r>
          </w:p>
        </w:tc>
        <w:tc>
          <w:tcPr>
            <w:tcW w:w="1191" w:type="dxa"/>
          </w:tcPr>
          <w:p w14:paraId="19089E6D" w14:textId="790ACD5A" w:rsidR="00B02873" w:rsidRDefault="009F1FE1" w:rsidP="00866C6E">
            <w:pPr>
              <w:pStyle w:val="TablebodyleftTables"/>
              <w:jc w:val="center"/>
            </w:pPr>
            <w:r>
              <w:fldChar w:fldCharType="begin"/>
            </w:r>
            <w:r>
              <w:instrText xml:space="preserve"> PAGEREF _Ref116978354 \h </w:instrText>
            </w:r>
            <w:r>
              <w:fldChar w:fldCharType="separate"/>
            </w:r>
            <w:r>
              <w:rPr>
                <w:noProof/>
              </w:rPr>
              <w:t>221</w:t>
            </w:r>
            <w:r>
              <w:fldChar w:fldCharType="end"/>
            </w:r>
          </w:p>
        </w:tc>
      </w:tr>
      <w:tr w:rsidR="00B02873" w:rsidRPr="00B02873" w14:paraId="635BBABB" w14:textId="77777777" w:rsidTr="00BC5711">
        <w:trPr>
          <w:trHeight w:val="60"/>
        </w:trPr>
        <w:tc>
          <w:tcPr>
            <w:tcW w:w="8447" w:type="dxa"/>
          </w:tcPr>
          <w:p w14:paraId="2DAED74C" w14:textId="77777777" w:rsidR="00B02873" w:rsidRPr="00866C6E" w:rsidRDefault="00B02873" w:rsidP="00BC5711">
            <w:pPr>
              <w:pStyle w:val="TablebodyleftTables"/>
              <w:rPr>
                <w:i/>
                <w:iCs/>
              </w:rPr>
            </w:pPr>
            <w:r w:rsidRPr="00866C6E">
              <w:rPr>
                <w:i/>
                <w:iCs/>
              </w:rPr>
              <w:t>Flora and Fauna Guarantee Act 1988</w:t>
            </w:r>
          </w:p>
        </w:tc>
        <w:tc>
          <w:tcPr>
            <w:tcW w:w="1191" w:type="dxa"/>
          </w:tcPr>
          <w:p w14:paraId="27863994" w14:textId="72CF6349" w:rsidR="00B02873" w:rsidRDefault="009F1FE1" w:rsidP="00866C6E">
            <w:pPr>
              <w:pStyle w:val="TablebodyleftTables"/>
              <w:jc w:val="center"/>
            </w:pPr>
            <w:r>
              <w:fldChar w:fldCharType="begin"/>
            </w:r>
            <w:r>
              <w:instrText xml:space="preserve"> PAGEREF _Ref116978397 \h </w:instrText>
            </w:r>
            <w:r>
              <w:fldChar w:fldCharType="separate"/>
            </w:r>
            <w:r>
              <w:rPr>
                <w:noProof/>
              </w:rPr>
              <w:t>193</w:t>
            </w:r>
            <w:r>
              <w:fldChar w:fldCharType="end"/>
            </w:r>
          </w:p>
        </w:tc>
      </w:tr>
      <w:tr w:rsidR="00B02873" w:rsidRPr="00B02873" w14:paraId="579E2D8F" w14:textId="77777777" w:rsidTr="00BC5711">
        <w:trPr>
          <w:trHeight w:val="60"/>
        </w:trPr>
        <w:tc>
          <w:tcPr>
            <w:tcW w:w="8447" w:type="dxa"/>
          </w:tcPr>
          <w:p w14:paraId="51177B36" w14:textId="77777777" w:rsidR="00B02873" w:rsidRPr="00866C6E" w:rsidRDefault="00B02873" w:rsidP="00BC5711">
            <w:pPr>
              <w:pStyle w:val="TablebodyleftTables"/>
              <w:rPr>
                <w:i/>
                <w:iCs/>
              </w:rPr>
            </w:pPr>
            <w:r w:rsidRPr="00866C6E">
              <w:rPr>
                <w:i/>
                <w:iCs/>
              </w:rPr>
              <w:t>Freedom of Information Act 1982</w:t>
            </w:r>
          </w:p>
        </w:tc>
        <w:tc>
          <w:tcPr>
            <w:tcW w:w="1191" w:type="dxa"/>
          </w:tcPr>
          <w:p w14:paraId="0CDEBA4F" w14:textId="2A3E313D" w:rsidR="00B02873" w:rsidRDefault="00B1542E" w:rsidP="00866C6E">
            <w:pPr>
              <w:pStyle w:val="TablebodyleftTables"/>
              <w:jc w:val="center"/>
            </w:pPr>
            <w:r>
              <w:fldChar w:fldCharType="begin"/>
            </w:r>
            <w:r>
              <w:instrText xml:space="preserve"> PAGEREF Freedom_of_Information \h </w:instrText>
            </w:r>
            <w:r>
              <w:fldChar w:fldCharType="separate"/>
            </w:r>
            <w:r>
              <w:rPr>
                <w:noProof/>
              </w:rPr>
              <w:t>184</w:t>
            </w:r>
            <w:r>
              <w:fldChar w:fldCharType="end"/>
            </w:r>
          </w:p>
        </w:tc>
      </w:tr>
      <w:tr w:rsidR="00B02873" w:rsidRPr="00B02873" w14:paraId="64869F85" w14:textId="77777777" w:rsidTr="00BC5711">
        <w:trPr>
          <w:trHeight w:val="60"/>
        </w:trPr>
        <w:tc>
          <w:tcPr>
            <w:tcW w:w="8447" w:type="dxa"/>
          </w:tcPr>
          <w:p w14:paraId="6A469E03" w14:textId="77777777" w:rsidR="00B02873" w:rsidRPr="00866C6E" w:rsidRDefault="00B02873" w:rsidP="00BC5711">
            <w:pPr>
              <w:pStyle w:val="TablebodyleftTables"/>
              <w:rPr>
                <w:i/>
                <w:iCs/>
              </w:rPr>
            </w:pPr>
            <w:r w:rsidRPr="00866C6E">
              <w:rPr>
                <w:i/>
                <w:iCs/>
              </w:rPr>
              <w:t>Heritage Act 2017</w:t>
            </w:r>
          </w:p>
        </w:tc>
        <w:tc>
          <w:tcPr>
            <w:tcW w:w="1191" w:type="dxa"/>
          </w:tcPr>
          <w:p w14:paraId="3228DBD7" w14:textId="22E6BD7C" w:rsidR="00B02873" w:rsidRDefault="00AA6DD0" w:rsidP="00866C6E">
            <w:pPr>
              <w:pStyle w:val="TablebodyleftTables"/>
              <w:jc w:val="center"/>
            </w:pPr>
            <w:r>
              <w:fldChar w:fldCharType="begin"/>
            </w:r>
            <w:r>
              <w:instrText xml:space="preserve"> PAGEREF _Ref116978619 \h </w:instrText>
            </w:r>
            <w:r>
              <w:fldChar w:fldCharType="separate"/>
            </w:r>
            <w:r>
              <w:rPr>
                <w:noProof/>
              </w:rPr>
              <w:t>191</w:t>
            </w:r>
            <w:r>
              <w:fldChar w:fldCharType="end"/>
            </w:r>
          </w:p>
        </w:tc>
      </w:tr>
      <w:tr w:rsidR="00B02873" w:rsidRPr="00B02873" w14:paraId="3B577C7A" w14:textId="77777777" w:rsidTr="00BC5711">
        <w:trPr>
          <w:trHeight w:val="60"/>
        </w:trPr>
        <w:tc>
          <w:tcPr>
            <w:tcW w:w="8447" w:type="dxa"/>
          </w:tcPr>
          <w:p w14:paraId="1BA2980C" w14:textId="77777777" w:rsidR="00B02873" w:rsidRPr="00866C6E" w:rsidRDefault="00B02873" w:rsidP="00BC5711">
            <w:pPr>
              <w:pStyle w:val="TablebodyleftTables"/>
              <w:rPr>
                <w:i/>
                <w:iCs/>
              </w:rPr>
            </w:pPr>
            <w:r w:rsidRPr="00866C6E">
              <w:rPr>
                <w:i/>
                <w:iCs/>
              </w:rPr>
              <w:t>Local Jobs Act</w:t>
            </w:r>
            <w:r w:rsidRPr="00866C6E">
              <w:rPr>
                <w:rFonts w:ascii="Calibri" w:hAnsi="Calibri" w:cs="Calibri"/>
                <w:i/>
                <w:iCs/>
              </w:rPr>
              <w:t> </w:t>
            </w:r>
            <w:r w:rsidRPr="00866C6E">
              <w:rPr>
                <w:i/>
                <w:iCs/>
              </w:rPr>
              <w:t>2003</w:t>
            </w:r>
          </w:p>
        </w:tc>
        <w:tc>
          <w:tcPr>
            <w:tcW w:w="1191" w:type="dxa"/>
          </w:tcPr>
          <w:p w14:paraId="47AFB8F5" w14:textId="5481C61D" w:rsidR="00B02873" w:rsidRDefault="00AA6DD0" w:rsidP="00866C6E">
            <w:pPr>
              <w:pStyle w:val="TablebodyleftTables"/>
              <w:jc w:val="center"/>
            </w:pPr>
            <w:r>
              <w:fldChar w:fldCharType="begin"/>
            </w:r>
            <w:r>
              <w:instrText xml:space="preserve"> PAGEREF _Ref116978867 \h </w:instrText>
            </w:r>
            <w:r>
              <w:fldChar w:fldCharType="separate"/>
            </w:r>
            <w:r>
              <w:rPr>
                <w:noProof/>
              </w:rPr>
              <w:t>179</w:t>
            </w:r>
            <w:r>
              <w:fldChar w:fldCharType="end"/>
            </w:r>
          </w:p>
        </w:tc>
      </w:tr>
      <w:tr w:rsidR="00B02873" w:rsidRPr="00B02873" w14:paraId="32ED1CF2" w14:textId="77777777" w:rsidTr="00BC5711">
        <w:trPr>
          <w:trHeight w:val="60"/>
        </w:trPr>
        <w:tc>
          <w:tcPr>
            <w:tcW w:w="8447" w:type="dxa"/>
          </w:tcPr>
          <w:p w14:paraId="264F1642" w14:textId="77777777" w:rsidR="00B02873" w:rsidRPr="00866C6E" w:rsidRDefault="00B02873" w:rsidP="00BC5711">
            <w:pPr>
              <w:pStyle w:val="TablebodyleftTables"/>
              <w:rPr>
                <w:i/>
                <w:iCs/>
              </w:rPr>
            </w:pPr>
            <w:r w:rsidRPr="00866C6E">
              <w:rPr>
                <w:i/>
                <w:iCs/>
              </w:rPr>
              <w:t>Marine and Coastal Act 2018</w:t>
            </w:r>
          </w:p>
        </w:tc>
        <w:tc>
          <w:tcPr>
            <w:tcW w:w="1191" w:type="dxa"/>
          </w:tcPr>
          <w:p w14:paraId="4315B5D2" w14:textId="78CEDEEB" w:rsidR="00B02873" w:rsidRDefault="00D112EA" w:rsidP="00866C6E">
            <w:pPr>
              <w:pStyle w:val="TablebodyleftTables"/>
              <w:jc w:val="center"/>
            </w:pPr>
            <w:r>
              <w:fldChar w:fldCharType="begin"/>
            </w:r>
            <w:r>
              <w:instrText xml:space="preserve"> PAGEREF _Ref116978900 \h </w:instrText>
            </w:r>
            <w:r>
              <w:fldChar w:fldCharType="separate"/>
            </w:r>
            <w:r>
              <w:rPr>
                <w:noProof/>
              </w:rPr>
              <w:t>192</w:t>
            </w:r>
            <w:r>
              <w:fldChar w:fldCharType="end"/>
            </w:r>
          </w:p>
        </w:tc>
      </w:tr>
      <w:tr w:rsidR="00B02873" w:rsidRPr="00B02873" w14:paraId="0C006DD0" w14:textId="77777777" w:rsidTr="00BC5711">
        <w:trPr>
          <w:trHeight w:val="60"/>
        </w:trPr>
        <w:tc>
          <w:tcPr>
            <w:tcW w:w="8447" w:type="dxa"/>
          </w:tcPr>
          <w:p w14:paraId="4D7C39B8" w14:textId="77777777" w:rsidR="00B02873" w:rsidRPr="00866C6E" w:rsidRDefault="00B02873" w:rsidP="00BC5711">
            <w:pPr>
              <w:pStyle w:val="TablebodyleftTables"/>
              <w:rPr>
                <w:i/>
                <w:iCs/>
              </w:rPr>
            </w:pPr>
            <w:r w:rsidRPr="00866C6E">
              <w:rPr>
                <w:i/>
                <w:iCs/>
              </w:rPr>
              <w:t>Melbourne Strategic Assessment (Environment Mitigation Levy) Act 2020</w:t>
            </w:r>
          </w:p>
        </w:tc>
        <w:tc>
          <w:tcPr>
            <w:tcW w:w="1191" w:type="dxa"/>
          </w:tcPr>
          <w:p w14:paraId="31BF1E76" w14:textId="4FD51EA4" w:rsidR="00B02873" w:rsidRDefault="00D112EA" w:rsidP="00866C6E">
            <w:pPr>
              <w:pStyle w:val="TablebodyleftTables"/>
              <w:jc w:val="center"/>
            </w:pPr>
            <w:r>
              <w:fldChar w:fldCharType="begin"/>
            </w:r>
            <w:r>
              <w:instrText xml:space="preserve"> PAGEREF _Ref116978932 \h </w:instrText>
            </w:r>
            <w:r>
              <w:fldChar w:fldCharType="separate"/>
            </w:r>
            <w:r>
              <w:rPr>
                <w:noProof/>
              </w:rPr>
              <w:t>193</w:t>
            </w:r>
            <w:r>
              <w:fldChar w:fldCharType="end"/>
            </w:r>
          </w:p>
        </w:tc>
      </w:tr>
      <w:tr w:rsidR="00B02873" w:rsidRPr="00B02873" w14:paraId="7C480AB3" w14:textId="77777777" w:rsidTr="00BC5711">
        <w:trPr>
          <w:trHeight w:val="60"/>
        </w:trPr>
        <w:tc>
          <w:tcPr>
            <w:tcW w:w="8447" w:type="dxa"/>
          </w:tcPr>
          <w:p w14:paraId="078168FB" w14:textId="77777777" w:rsidR="00B02873" w:rsidRPr="00866C6E" w:rsidRDefault="00B02873" w:rsidP="00BC5711">
            <w:pPr>
              <w:pStyle w:val="TablebodyleftTables"/>
              <w:rPr>
                <w:i/>
                <w:iCs/>
              </w:rPr>
            </w:pPr>
            <w:r w:rsidRPr="00866C6E">
              <w:rPr>
                <w:i/>
                <w:iCs/>
              </w:rPr>
              <w:t>Planning and Environment Act 1987</w:t>
            </w:r>
          </w:p>
        </w:tc>
        <w:tc>
          <w:tcPr>
            <w:tcW w:w="1191" w:type="dxa"/>
          </w:tcPr>
          <w:p w14:paraId="0AA5234D" w14:textId="4CF56079" w:rsidR="00B02873" w:rsidRDefault="00D112EA" w:rsidP="00866C6E">
            <w:pPr>
              <w:pStyle w:val="TablebodyleftTables"/>
              <w:jc w:val="center"/>
            </w:pPr>
            <w:r>
              <w:fldChar w:fldCharType="begin"/>
            </w:r>
            <w:r>
              <w:instrText xml:space="preserve"> PAGEREF _Ref116978956 \h </w:instrText>
            </w:r>
            <w:r>
              <w:fldChar w:fldCharType="separate"/>
            </w:r>
            <w:r>
              <w:rPr>
                <w:noProof/>
              </w:rPr>
              <w:t>194</w:t>
            </w:r>
            <w:r>
              <w:fldChar w:fldCharType="end"/>
            </w:r>
          </w:p>
        </w:tc>
      </w:tr>
      <w:tr w:rsidR="00B02873" w:rsidRPr="00B02873" w14:paraId="2CE3C604" w14:textId="77777777" w:rsidTr="00BC5711">
        <w:trPr>
          <w:trHeight w:val="60"/>
        </w:trPr>
        <w:tc>
          <w:tcPr>
            <w:tcW w:w="8447" w:type="dxa"/>
          </w:tcPr>
          <w:p w14:paraId="72CF6B09" w14:textId="5B634D7A" w:rsidR="00B02873" w:rsidRPr="00866C6E" w:rsidRDefault="00B02873" w:rsidP="00BC5711">
            <w:pPr>
              <w:pStyle w:val="TablebodyleftTables"/>
              <w:rPr>
                <w:i/>
                <w:iCs/>
              </w:rPr>
            </w:pPr>
            <w:r w:rsidRPr="00866C6E">
              <w:rPr>
                <w:i/>
                <w:iCs/>
              </w:rPr>
              <w:t>Public Interest Disclosure Act 2012</w:t>
            </w:r>
          </w:p>
        </w:tc>
        <w:tc>
          <w:tcPr>
            <w:tcW w:w="1191" w:type="dxa"/>
          </w:tcPr>
          <w:p w14:paraId="1A4A3BC5" w14:textId="1B948D0B" w:rsidR="00B02873" w:rsidRDefault="00D112EA" w:rsidP="00866C6E">
            <w:pPr>
              <w:pStyle w:val="TablebodyleftTables"/>
              <w:jc w:val="center"/>
            </w:pPr>
            <w:r>
              <w:fldChar w:fldCharType="begin"/>
            </w:r>
            <w:r>
              <w:instrText xml:space="preserve"> PAGEREF _Ref116979133 \h </w:instrText>
            </w:r>
            <w:r>
              <w:fldChar w:fldCharType="separate"/>
            </w:r>
            <w:r>
              <w:rPr>
                <w:noProof/>
              </w:rPr>
              <w:t>188</w:t>
            </w:r>
            <w:r>
              <w:fldChar w:fldCharType="end"/>
            </w:r>
          </w:p>
        </w:tc>
      </w:tr>
      <w:tr w:rsidR="00B02873" w:rsidRPr="00B02873" w14:paraId="3E366CEC" w14:textId="77777777" w:rsidTr="00BC5711">
        <w:trPr>
          <w:trHeight w:val="60"/>
        </w:trPr>
        <w:tc>
          <w:tcPr>
            <w:tcW w:w="8447" w:type="dxa"/>
          </w:tcPr>
          <w:p w14:paraId="39304BF0" w14:textId="77777777" w:rsidR="00B02873" w:rsidRPr="00866C6E" w:rsidRDefault="00B02873" w:rsidP="00BC5711">
            <w:pPr>
              <w:pStyle w:val="TablebodyleftTables"/>
              <w:rPr>
                <w:i/>
                <w:iCs/>
              </w:rPr>
            </w:pPr>
            <w:r w:rsidRPr="00866C6E">
              <w:rPr>
                <w:i/>
                <w:iCs/>
              </w:rPr>
              <w:t>Water Act 1989</w:t>
            </w:r>
          </w:p>
        </w:tc>
        <w:tc>
          <w:tcPr>
            <w:tcW w:w="1191" w:type="dxa"/>
          </w:tcPr>
          <w:p w14:paraId="0CDE10C7" w14:textId="2450FA9C" w:rsidR="00B02873" w:rsidRDefault="001A4A1A" w:rsidP="00866C6E">
            <w:pPr>
              <w:pStyle w:val="TablebodyleftTables"/>
              <w:jc w:val="center"/>
            </w:pPr>
            <w:r>
              <w:fldChar w:fldCharType="begin"/>
            </w:r>
            <w:r>
              <w:instrText xml:space="preserve"> PAGEREF _Ref116979219 \h </w:instrText>
            </w:r>
            <w:r>
              <w:fldChar w:fldCharType="separate"/>
            </w:r>
            <w:r>
              <w:rPr>
                <w:noProof/>
              </w:rPr>
              <w:t>209</w:t>
            </w:r>
            <w:r>
              <w:fldChar w:fldCharType="end"/>
            </w:r>
          </w:p>
        </w:tc>
      </w:tr>
    </w:tbl>
    <w:p w14:paraId="48FD7047" w14:textId="77777777" w:rsidR="00B02873" w:rsidRDefault="00B02873" w:rsidP="00FE198A"/>
    <w:p w14:paraId="696F54A6" w14:textId="77777777" w:rsidR="000D308A" w:rsidRDefault="000D308A" w:rsidP="000D308A">
      <w:pPr>
        <w:pStyle w:val="Heading2"/>
        <w:pageBreakBefore/>
        <w:sectPr w:rsidR="000D308A" w:rsidSect="000C0438">
          <w:pgSz w:w="11906" w:h="16838" w:code="9"/>
          <w:pgMar w:top="1134" w:right="1134" w:bottom="1134" w:left="1134" w:header="720" w:footer="720" w:gutter="0"/>
          <w:cols w:space="720"/>
          <w:noEndnote/>
        </w:sectPr>
      </w:pPr>
    </w:p>
    <w:p w14:paraId="68BA9F1A" w14:textId="13EF968D" w:rsidR="00B02873" w:rsidRDefault="00B02873" w:rsidP="000D308A">
      <w:pPr>
        <w:pStyle w:val="Heading2"/>
        <w:pageBreakBefore/>
      </w:pPr>
      <w:bookmarkStart w:id="81" w:name="_Ref116926319"/>
      <w:bookmarkStart w:id="82" w:name="_Toc117447367"/>
      <w:r>
        <w:lastRenderedPageBreak/>
        <w:t>Appendix 2: Comparative workforce data</w:t>
      </w:r>
      <w:bookmarkEnd w:id="81"/>
      <w:bookmarkEnd w:id="82"/>
    </w:p>
    <w:p w14:paraId="5A768C8C" w14:textId="4317D50E" w:rsidR="00B02873" w:rsidRDefault="00B02873" w:rsidP="00FE198A">
      <w:r>
        <w:t>The following table provides the head count and full-time staff equivalent (FTE) numbers of all active public service employees of the department, employed in the last full pay period in June 2022, and in the last full pay period in June 2021 of the previous reporting period.</w:t>
      </w:r>
      <w:r w:rsidR="00012C04">
        <w:t xml:space="preserve"> </w:t>
      </w:r>
    </w:p>
    <w:p w14:paraId="10FACA7A" w14:textId="77777777" w:rsidR="00B02873" w:rsidRDefault="00B02873" w:rsidP="00FE198A">
      <w:r>
        <w:t>Profile of the DELWP workforce: June 2022</w:t>
      </w:r>
    </w:p>
    <w:p w14:paraId="00366837" w14:textId="77777777" w:rsidR="00B02873" w:rsidRDefault="00B02873" w:rsidP="00FE198A">
      <w:r>
        <w:t>On 30 June 2022, DELWP employed 5,186 full time equivalent (FTE) staff across Victoria.</w:t>
      </w:r>
    </w:p>
    <w:p w14:paraId="4248BACE" w14:textId="096D809D" w:rsidR="00B02873" w:rsidRDefault="00B02873" w:rsidP="001E0D2D">
      <w:pPr>
        <w:pStyle w:val="TabletitleTables"/>
      </w:pPr>
      <w:r>
        <w:t>Table 1: Details of DELWP employment levels in June 2022 and 2021</w:t>
      </w:r>
    </w:p>
    <w:p w14:paraId="48EBC021" w14:textId="5D29B99E" w:rsidR="00A66BDF" w:rsidRPr="00A66BDF" w:rsidRDefault="00A66BDF" w:rsidP="00A66BDF">
      <w:pPr>
        <w:rPr>
          <w:b/>
          <w:bCs/>
        </w:rPr>
      </w:pPr>
      <w:r w:rsidRPr="00A66BDF">
        <w:rPr>
          <w:b/>
          <w:bCs/>
        </w:rPr>
        <w:t>Demographic data</w:t>
      </w:r>
    </w:p>
    <w:tbl>
      <w:tblPr>
        <w:tblStyle w:val="TableGrid"/>
        <w:tblW w:w="15188" w:type="dxa"/>
        <w:tblLayout w:type="fixed"/>
        <w:tblLook w:val="0020" w:firstRow="1" w:lastRow="0" w:firstColumn="0" w:lastColumn="0" w:noHBand="0" w:noVBand="0"/>
      </w:tblPr>
      <w:tblGrid>
        <w:gridCol w:w="1717"/>
        <w:gridCol w:w="1078"/>
        <w:gridCol w:w="1064"/>
        <w:gridCol w:w="942"/>
        <w:gridCol w:w="942"/>
        <w:gridCol w:w="942"/>
        <w:gridCol w:w="1023"/>
        <w:gridCol w:w="768"/>
        <w:gridCol w:w="1075"/>
        <w:gridCol w:w="1055"/>
        <w:gridCol w:w="943"/>
        <w:gridCol w:w="942"/>
        <w:gridCol w:w="858"/>
        <w:gridCol w:w="1013"/>
        <w:gridCol w:w="826"/>
      </w:tblGrid>
      <w:tr w:rsidR="003F3B7B" w:rsidRPr="003F3B7B" w14:paraId="21593F45" w14:textId="77777777" w:rsidTr="00AC26B7">
        <w:trPr>
          <w:cnfStyle w:val="100000000000" w:firstRow="1" w:lastRow="0" w:firstColumn="0" w:lastColumn="0" w:oddVBand="0" w:evenVBand="0" w:oddHBand="0" w:evenHBand="0" w:firstRowFirstColumn="0" w:firstRowLastColumn="0" w:lastRowFirstColumn="0" w:lastRowLastColumn="0"/>
          <w:tblHeader/>
        </w:trPr>
        <w:tc>
          <w:tcPr>
            <w:tcW w:w="1717" w:type="dxa"/>
          </w:tcPr>
          <w:p w14:paraId="4ED123C9" w14:textId="7620B060" w:rsidR="003F3B7B" w:rsidRPr="003F3B7B" w:rsidRDefault="003F3B7B" w:rsidP="00AC26B7">
            <w:pPr>
              <w:pStyle w:val="TableheadingleftTables"/>
              <w:spacing w:before="20" w:after="20"/>
              <w:rPr>
                <w:rFonts w:asciiTheme="minorHAnsi" w:hAnsiTheme="minorHAnsi" w:cstheme="minorHAnsi"/>
                <w:sz w:val="18"/>
                <w:szCs w:val="14"/>
                <w:lang w:val="en-AU"/>
              </w:rPr>
            </w:pPr>
          </w:p>
        </w:tc>
        <w:tc>
          <w:tcPr>
            <w:tcW w:w="1078" w:type="dxa"/>
          </w:tcPr>
          <w:p w14:paraId="4856C06B" w14:textId="699A3A17" w:rsidR="003F3B7B" w:rsidRPr="003F3B7B" w:rsidRDefault="003F3B7B" w:rsidP="00AC26B7">
            <w:pPr>
              <w:pStyle w:val="Tableheading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June 2022 All employees Number (head-count)</w:t>
            </w:r>
          </w:p>
        </w:tc>
        <w:tc>
          <w:tcPr>
            <w:tcW w:w="1064" w:type="dxa"/>
          </w:tcPr>
          <w:p w14:paraId="4320A003" w14:textId="39C8DDDF" w:rsidR="003F3B7B" w:rsidRPr="003F3B7B" w:rsidRDefault="003F3B7B" w:rsidP="00AC26B7">
            <w:pPr>
              <w:pStyle w:val="Tableheading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June 2022 All employees FTE</w:t>
            </w:r>
          </w:p>
        </w:tc>
        <w:tc>
          <w:tcPr>
            <w:tcW w:w="942" w:type="dxa"/>
          </w:tcPr>
          <w:p w14:paraId="55A77672" w14:textId="28753DE9" w:rsidR="003F3B7B" w:rsidRPr="003F3B7B" w:rsidRDefault="003F3B7B" w:rsidP="00AC26B7">
            <w:pPr>
              <w:pStyle w:val="Tableheading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June 2022 Ongoing Full-time (head-count)</w:t>
            </w:r>
          </w:p>
        </w:tc>
        <w:tc>
          <w:tcPr>
            <w:tcW w:w="942" w:type="dxa"/>
          </w:tcPr>
          <w:p w14:paraId="1477C7B6" w14:textId="62F233E5" w:rsidR="003F3B7B" w:rsidRPr="003F3B7B" w:rsidRDefault="003F3B7B" w:rsidP="00AC26B7">
            <w:pPr>
              <w:pStyle w:val="Tableheading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June 2022 Ongoing Part-time (head-count)</w:t>
            </w:r>
          </w:p>
        </w:tc>
        <w:tc>
          <w:tcPr>
            <w:tcW w:w="942" w:type="dxa"/>
          </w:tcPr>
          <w:p w14:paraId="523551DB" w14:textId="6D5ACD4A" w:rsidR="003F3B7B" w:rsidRPr="003F3B7B" w:rsidRDefault="003F3B7B" w:rsidP="00AC26B7">
            <w:pPr>
              <w:pStyle w:val="Tableheading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June 2022 Ongoing FTE</w:t>
            </w:r>
          </w:p>
        </w:tc>
        <w:tc>
          <w:tcPr>
            <w:tcW w:w="1023" w:type="dxa"/>
          </w:tcPr>
          <w:p w14:paraId="62921600" w14:textId="6090B585" w:rsidR="003F3B7B" w:rsidRPr="003F3B7B" w:rsidRDefault="003F3B7B" w:rsidP="00AC26B7">
            <w:pPr>
              <w:pStyle w:val="Tableheading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 xml:space="preserve">June 2022 </w:t>
            </w:r>
            <w:r w:rsidRPr="003F3B7B">
              <w:rPr>
                <w:rFonts w:asciiTheme="minorHAnsi" w:hAnsiTheme="minorHAnsi" w:cstheme="minorHAnsi"/>
                <w:spacing w:val="-2"/>
                <w:sz w:val="18"/>
                <w:szCs w:val="14"/>
              </w:rPr>
              <w:t xml:space="preserve">Fixed term and casual </w:t>
            </w:r>
            <w:r w:rsidRPr="003F3B7B">
              <w:rPr>
                <w:rFonts w:asciiTheme="minorHAnsi" w:hAnsiTheme="minorHAnsi" w:cstheme="minorHAnsi"/>
                <w:sz w:val="18"/>
                <w:szCs w:val="14"/>
              </w:rPr>
              <w:t>Number (head-count)</w:t>
            </w:r>
          </w:p>
        </w:tc>
        <w:tc>
          <w:tcPr>
            <w:tcW w:w="768" w:type="dxa"/>
          </w:tcPr>
          <w:p w14:paraId="1962D6DE" w14:textId="6C9C15E9" w:rsidR="003F3B7B" w:rsidRPr="003F3B7B" w:rsidRDefault="003F3B7B" w:rsidP="00AC26B7">
            <w:pPr>
              <w:pStyle w:val="Tableheading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 xml:space="preserve">June 2022 </w:t>
            </w:r>
            <w:r w:rsidRPr="003F3B7B">
              <w:rPr>
                <w:rFonts w:asciiTheme="minorHAnsi" w:hAnsiTheme="minorHAnsi" w:cstheme="minorHAnsi"/>
                <w:spacing w:val="-2"/>
                <w:sz w:val="18"/>
                <w:szCs w:val="14"/>
              </w:rPr>
              <w:t xml:space="preserve">Fixed term and casual </w:t>
            </w:r>
            <w:r w:rsidRPr="003F3B7B">
              <w:rPr>
                <w:rFonts w:asciiTheme="minorHAnsi" w:hAnsiTheme="minorHAnsi" w:cstheme="minorHAnsi"/>
                <w:sz w:val="18"/>
                <w:szCs w:val="14"/>
              </w:rPr>
              <w:t>FTE</w:t>
            </w:r>
          </w:p>
        </w:tc>
        <w:tc>
          <w:tcPr>
            <w:tcW w:w="1075" w:type="dxa"/>
          </w:tcPr>
          <w:p w14:paraId="7FD9C674" w14:textId="25D5EFC1" w:rsidR="003F3B7B" w:rsidRPr="003F3B7B" w:rsidRDefault="003F3B7B" w:rsidP="00AC26B7">
            <w:pPr>
              <w:pStyle w:val="Tableheading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June 2021 All employees Number (head-count)</w:t>
            </w:r>
          </w:p>
        </w:tc>
        <w:tc>
          <w:tcPr>
            <w:tcW w:w="1055" w:type="dxa"/>
          </w:tcPr>
          <w:p w14:paraId="609F5F1A" w14:textId="22D09C25" w:rsidR="003F3B7B" w:rsidRPr="003F3B7B" w:rsidRDefault="003F3B7B" w:rsidP="00AC26B7">
            <w:pPr>
              <w:pStyle w:val="Tableheading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June 2021 All employees FTE</w:t>
            </w:r>
          </w:p>
        </w:tc>
        <w:tc>
          <w:tcPr>
            <w:tcW w:w="943" w:type="dxa"/>
          </w:tcPr>
          <w:p w14:paraId="5D105829" w14:textId="217DDBCF" w:rsidR="003F3B7B" w:rsidRPr="003F3B7B" w:rsidRDefault="003F3B7B" w:rsidP="00AC26B7">
            <w:pPr>
              <w:pStyle w:val="Tableheading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June 2021 Ongoing Full-time (head-count)</w:t>
            </w:r>
          </w:p>
        </w:tc>
        <w:tc>
          <w:tcPr>
            <w:tcW w:w="942" w:type="dxa"/>
          </w:tcPr>
          <w:p w14:paraId="5713166D" w14:textId="0721E1F0" w:rsidR="003F3B7B" w:rsidRPr="003F3B7B" w:rsidRDefault="003F3B7B" w:rsidP="00AC26B7">
            <w:pPr>
              <w:pStyle w:val="Tableheading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June 2021 Ongoing Part-time (head-count)</w:t>
            </w:r>
          </w:p>
        </w:tc>
        <w:tc>
          <w:tcPr>
            <w:tcW w:w="858" w:type="dxa"/>
          </w:tcPr>
          <w:p w14:paraId="12504544" w14:textId="519A50EC" w:rsidR="003F3B7B" w:rsidRPr="003F3B7B" w:rsidRDefault="003F3B7B" w:rsidP="00AC26B7">
            <w:pPr>
              <w:pStyle w:val="Tableheading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June 2021 Ongoing FTE</w:t>
            </w:r>
          </w:p>
        </w:tc>
        <w:tc>
          <w:tcPr>
            <w:tcW w:w="1013" w:type="dxa"/>
          </w:tcPr>
          <w:p w14:paraId="2C7E0A3C" w14:textId="1AC27605" w:rsidR="003F3B7B" w:rsidRPr="003F3B7B" w:rsidRDefault="003F3B7B" w:rsidP="00AC26B7">
            <w:pPr>
              <w:pStyle w:val="Tableheading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 xml:space="preserve">June 2021 </w:t>
            </w:r>
            <w:r w:rsidRPr="003F3B7B">
              <w:rPr>
                <w:rFonts w:asciiTheme="minorHAnsi" w:hAnsiTheme="minorHAnsi" w:cstheme="minorHAnsi"/>
                <w:spacing w:val="-2"/>
                <w:sz w:val="18"/>
                <w:szCs w:val="14"/>
              </w:rPr>
              <w:t xml:space="preserve">Fixed term and casual </w:t>
            </w:r>
            <w:r w:rsidRPr="003F3B7B">
              <w:rPr>
                <w:rFonts w:asciiTheme="minorHAnsi" w:hAnsiTheme="minorHAnsi" w:cstheme="minorHAnsi"/>
                <w:sz w:val="18"/>
                <w:szCs w:val="14"/>
              </w:rPr>
              <w:t>Number (head-count)</w:t>
            </w:r>
          </w:p>
        </w:tc>
        <w:tc>
          <w:tcPr>
            <w:tcW w:w="826" w:type="dxa"/>
          </w:tcPr>
          <w:p w14:paraId="7A5B730A" w14:textId="0BA86DED" w:rsidR="003F3B7B" w:rsidRPr="003F3B7B" w:rsidRDefault="003F3B7B" w:rsidP="00AC26B7">
            <w:pPr>
              <w:pStyle w:val="Tableheading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 xml:space="preserve">June 2021 </w:t>
            </w:r>
            <w:r w:rsidRPr="003F3B7B">
              <w:rPr>
                <w:rFonts w:asciiTheme="minorHAnsi" w:hAnsiTheme="minorHAnsi" w:cstheme="minorHAnsi"/>
                <w:spacing w:val="-2"/>
                <w:sz w:val="18"/>
                <w:szCs w:val="14"/>
              </w:rPr>
              <w:t xml:space="preserve">Fixed term and casual </w:t>
            </w:r>
            <w:r w:rsidRPr="003F3B7B">
              <w:rPr>
                <w:rFonts w:asciiTheme="minorHAnsi" w:hAnsiTheme="minorHAnsi" w:cstheme="minorHAnsi"/>
                <w:sz w:val="18"/>
                <w:szCs w:val="14"/>
              </w:rPr>
              <w:t>FTE</w:t>
            </w:r>
          </w:p>
        </w:tc>
      </w:tr>
      <w:tr w:rsidR="00AC26B7" w:rsidRPr="003F3B7B" w14:paraId="3667C0F0" w14:textId="77777777" w:rsidTr="00AC26B7">
        <w:tc>
          <w:tcPr>
            <w:tcW w:w="1717" w:type="dxa"/>
          </w:tcPr>
          <w:p w14:paraId="1CB34805" w14:textId="401EA708" w:rsidR="003F3B7B" w:rsidRPr="003F3B7B" w:rsidRDefault="003F3B7B" w:rsidP="00AC26B7">
            <w:pPr>
              <w:pStyle w:val="TablebodyleftTables"/>
              <w:spacing w:before="20" w:after="20"/>
              <w:rPr>
                <w:rFonts w:asciiTheme="minorHAnsi" w:hAnsiTheme="minorHAnsi" w:cstheme="minorHAnsi"/>
                <w:sz w:val="18"/>
                <w:szCs w:val="14"/>
              </w:rPr>
            </w:pPr>
            <w:r w:rsidRPr="008B2F7F">
              <w:rPr>
                <w:rFonts w:asciiTheme="minorHAnsi" w:hAnsiTheme="minorHAnsi" w:cstheme="minorHAnsi"/>
                <w:b/>
                <w:bCs/>
                <w:sz w:val="18"/>
                <w:szCs w:val="14"/>
              </w:rPr>
              <w:t>Gender</w:t>
            </w:r>
          </w:p>
        </w:tc>
        <w:tc>
          <w:tcPr>
            <w:tcW w:w="1078" w:type="dxa"/>
          </w:tcPr>
          <w:p w14:paraId="24DEB42C" w14:textId="77777777" w:rsidR="003F3B7B" w:rsidRPr="003F3B7B" w:rsidRDefault="003F3B7B" w:rsidP="00AC26B7">
            <w:pPr>
              <w:pStyle w:val="TablebodyleftTables"/>
              <w:spacing w:before="20" w:after="20"/>
              <w:jc w:val="right"/>
              <w:rPr>
                <w:rFonts w:asciiTheme="minorHAnsi" w:hAnsiTheme="minorHAnsi" w:cstheme="minorHAnsi"/>
                <w:sz w:val="18"/>
                <w:szCs w:val="14"/>
              </w:rPr>
            </w:pPr>
          </w:p>
        </w:tc>
        <w:tc>
          <w:tcPr>
            <w:tcW w:w="1064" w:type="dxa"/>
          </w:tcPr>
          <w:p w14:paraId="0EB2B2FC" w14:textId="77777777" w:rsidR="003F3B7B" w:rsidRPr="003F3B7B" w:rsidRDefault="003F3B7B" w:rsidP="00AC26B7">
            <w:pPr>
              <w:pStyle w:val="TablebodyleftTables"/>
              <w:spacing w:before="20" w:after="20"/>
              <w:jc w:val="right"/>
              <w:rPr>
                <w:rFonts w:asciiTheme="minorHAnsi" w:hAnsiTheme="minorHAnsi" w:cstheme="minorHAnsi"/>
                <w:sz w:val="18"/>
                <w:szCs w:val="14"/>
              </w:rPr>
            </w:pPr>
          </w:p>
        </w:tc>
        <w:tc>
          <w:tcPr>
            <w:tcW w:w="942" w:type="dxa"/>
          </w:tcPr>
          <w:p w14:paraId="78892D75" w14:textId="77777777" w:rsidR="003F3B7B" w:rsidRPr="003F3B7B" w:rsidRDefault="003F3B7B" w:rsidP="00AC26B7">
            <w:pPr>
              <w:pStyle w:val="TablebodyleftTables"/>
              <w:spacing w:before="20" w:after="20"/>
              <w:jc w:val="right"/>
              <w:rPr>
                <w:rFonts w:asciiTheme="minorHAnsi" w:hAnsiTheme="minorHAnsi" w:cstheme="minorHAnsi"/>
                <w:sz w:val="18"/>
                <w:szCs w:val="14"/>
              </w:rPr>
            </w:pPr>
          </w:p>
        </w:tc>
        <w:tc>
          <w:tcPr>
            <w:tcW w:w="942" w:type="dxa"/>
          </w:tcPr>
          <w:p w14:paraId="41A1DF62" w14:textId="77777777" w:rsidR="003F3B7B" w:rsidRPr="003F3B7B" w:rsidRDefault="003F3B7B" w:rsidP="00AC26B7">
            <w:pPr>
              <w:pStyle w:val="TablebodyleftTables"/>
              <w:spacing w:before="20" w:after="20"/>
              <w:jc w:val="right"/>
              <w:rPr>
                <w:rFonts w:asciiTheme="minorHAnsi" w:hAnsiTheme="minorHAnsi" w:cstheme="minorHAnsi"/>
                <w:sz w:val="18"/>
                <w:szCs w:val="14"/>
              </w:rPr>
            </w:pPr>
          </w:p>
        </w:tc>
        <w:tc>
          <w:tcPr>
            <w:tcW w:w="942" w:type="dxa"/>
          </w:tcPr>
          <w:p w14:paraId="7A03926E" w14:textId="77777777" w:rsidR="003F3B7B" w:rsidRPr="003F3B7B" w:rsidRDefault="003F3B7B" w:rsidP="00AC26B7">
            <w:pPr>
              <w:pStyle w:val="TablebodyleftTables"/>
              <w:spacing w:before="20" w:after="20"/>
              <w:jc w:val="right"/>
              <w:rPr>
                <w:rFonts w:asciiTheme="minorHAnsi" w:hAnsiTheme="minorHAnsi" w:cstheme="minorHAnsi"/>
                <w:sz w:val="18"/>
                <w:szCs w:val="14"/>
              </w:rPr>
            </w:pPr>
          </w:p>
        </w:tc>
        <w:tc>
          <w:tcPr>
            <w:tcW w:w="1023" w:type="dxa"/>
          </w:tcPr>
          <w:p w14:paraId="76159260" w14:textId="77777777" w:rsidR="003F3B7B" w:rsidRPr="003F3B7B" w:rsidRDefault="003F3B7B" w:rsidP="00AC26B7">
            <w:pPr>
              <w:pStyle w:val="TablebodyleftTables"/>
              <w:spacing w:before="20" w:after="20"/>
              <w:jc w:val="right"/>
              <w:rPr>
                <w:rFonts w:asciiTheme="minorHAnsi" w:hAnsiTheme="minorHAnsi" w:cstheme="minorHAnsi"/>
                <w:sz w:val="18"/>
                <w:szCs w:val="14"/>
              </w:rPr>
            </w:pPr>
          </w:p>
        </w:tc>
        <w:tc>
          <w:tcPr>
            <w:tcW w:w="768" w:type="dxa"/>
          </w:tcPr>
          <w:p w14:paraId="349D5600" w14:textId="77777777" w:rsidR="003F3B7B" w:rsidRPr="003F3B7B" w:rsidRDefault="003F3B7B" w:rsidP="00AC26B7">
            <w:pPr>
              <w:pStyle w:val="TablebodyleftTables"/>
              <w:spacing w:before="20" w:after="20"/>
              <w:jc w:val="right"/>
              <w:rPr>
                <w:rFonts w:asciiTheme="minorHAnsi" w:hAnsiTheme="minorHAnsi" w:cstheme="minorHAnsi"/>
                <w:sz w:val="18"/>
                <w:szCs w:val="14"/>
              </w:rPr>
            </w:pPr>
          </w:p>
        </w:tc>
        <w:tc>
          <w:tcPr>
            <w:tcW w:w="1075" w:type="dxa"/>
          </w:tcPr>
          <w:p w14:paraId="12F911D9" w14:textId="77777777" w:rsidR="003F3B7B" w:rsidRPr="003F3B7B" w:rsidRDefault="003F3B7B" w:rsidP="00AC26B7">
            <w:pPr>
              <w:pStyle w:val="TablebodyleftTables"/>
              <w:spacing w:before="20" w:after="20"/>
              <w:jc w:val="right"/>
              <w:rPr>
                <w:rFonts w:asciiTheme="minorHAnsi" w:hAnsiTheme="minorHAnsi" w:cstheme="minorHAnsi"/>
                <w:sz w:val="18"/>
                <w:szCs w:val="14"/>
              </w:rPr>
            </w:pPr>
          </w:p>
        </w:tc>
        <w:tc>
          <w:tcPr>
            <w:tcW w:w="1055" w:type="dxa"/>
          </w:tcPr>
          <w:p w14:paraId="782E6F1F" w14:textId="77777777" w:rsidR="003F3B7B" w:rsidRPr="003F3B7B" w:rsidRDefault="003F3B7B" w:rsidP="00AC26B7">
            <w:pPr>
              <w:pStyle w:val="TablebodyleftTables"/>
              <w:spacing w:before="20" w:after="20"/>
              <w:jc w:val="right"/>
              <w:rPr>
                <w:rFonts w:asciiTheme="minorHAnsi" w:hAnsiTheme="minorHAnsi" w:cstheme="minorHAnsi"/>
                <w:sz w:val="18"/>
                <w:szCs w:val="14"/>
              </w:rPr>
            </w:pPr>
          </w:p>
        </w:tc>
        <w:tc>
          <w:tcPr>
            <w:tcW w:w="943" w:type="dxa"/>
          </w:tcPr>
          <w:p w14:paraId="2869E86E" w14:textId="77777777" w:rsidR="003F3B7B" w:rsidRPr="003F3B7B" w:rsidRDefault="003F3B7B" w:rsidP="00AC26B7">
            <w:pPr>
              <w:pStyle w:val="TablebodyleftTables"/>
              <w:spacing w:before="20" w:after="20"/>
              <w:jc w:val="right"/>
              <w:rPr>
                <w:rFonts w:asciiTheme="minorHAnsi" w:hAnsiTheme="minorHAnsi" w:cstheme="minorHAnsi"/>
                <w:sz w:val="18"/>
                <w:szCs w:val="14"/>
              </w:rPr>
            </w:pPr>
          </w:p>
        </w:tc>
        <w:tc>
          <w:tcPr>
            <w:tcW w:w="942" w:type="dxa"/>
          </w:tcPr>
          <w:p w14:paraId="02069AA8" w14:textId="77777777" w:rsidR="003F3B7B" w:rsidRPr="003F3B7B" w:rsidRDefault="003F3B7B" w:rsidP="00AC26B7">
            <w:pPr>
              <w:pStyle w:val="TablebodyleftTables"/>
              <w:spacing w:before="20" w:after="20"/>
              <w:jc w:val="right"/>
              <w:rPr>
                <w:rFonts w:asciiTheme="minorHAnsi" w:hAnsiTheme="minorHAnsi" w:cstheme="minorHAnsi"/>
                <w:sz w:val="18"/>
                <w:szCs w:val="14"/>
              </w:rPr>
            </w:pPr>
          </w:p>
        </w:tc>
        <w:tc>
          <w:tcPr>
            <w:tcW w:w="858" w:type="dxa"/>
          </w:tcPr>
          <w:p w14:paraId="5267D893" w14:textId="77777777" w:rsidR="003F3B7B" w:rsidRPr="003F3B7B" w:rsidRDefault="003F3B7B" w:rsidP="00AC26B7">
            <w:pPr>
              <w:pStyle w:val="TablebodyleftTables"/>
              <w:spacing w:before="20" w:after="20"/>
              <w:jc w:val="right"/>
              <w:rPr>
                <w:rFonts w:asciiTheme="minorHAnsi" w:hAnsiTheme="minorHAnsi" w:cstheme="minorHAnsi"/>
                <w:sz w:val="18"/>
                <w:szCs w:val="14"/>
              </w:rPr>
            </w:pPr>
          </w:p>
        </w:tc>
        <w:tc>
          <w:tcPr>
            <w:tcW w:w="1013" w:type="dxa"/>
          </w:tcPr>
          <w:p w14:paraId="74EC6C6C" w14:textId="77777777" w:rsidR="003F3B7B" w:rsidRPr="003F3B7B" w:rsidRDefault="003F3B7B" w:rsidP="00AC26B7">
            <w:pPr>
              <w:pStyle w:val="TablebodyleftTables"/>
              <w:spacing w:before="20" w:after="20"/>
              <w:jc w:val="right"/>
              <w:rPr>
                <w:rFonts w:asciiTheme="minorHAnsi" w:hAnsiTheme="minorHAnsi" w:cstheme="minorHAnsi"/>
                <w:sz w:val="18"/>
                <w:szCs w:val="14"/>
              </w:rPr>
            </w:pPr>
          </w:p>
        </w:tc>
        <w:tc>
          <w:tcPr>
            <w:tcW w:w="826" w:type="dxa"/>
          </w:tcPr>
          <w:p w14:paraId="2D086718" w14:textId="77777777" w:rsidR="003F3B7B" w:rsidRPr="003F3B7B" w:rsidRDefault="003F3B7B" w:rsidP="00AC26B7">
            <w:pPr>
              <w:pStyle w:val="TablebodyleftTables"/>
              <w:spacing w:before="20" w:after="20"/>
              <w:jc w:val="right"/>
              <w:rPr>
                <w:rFonts w:asciiTheme="minorHAnsi" w:hAnsiTheme="minorHAnsi" w:cstheme="minorHAnsi"/>
                <w:sz w:val="18"/>
                <w:szCs w:val="14"/>
              </w:rPr>
            </w:pPr>
          </w:p>
        </w:tc>
      </w:tr>
      <w:tr w:rsidR="003F3B7B" w:rsidRPr="003F3B7B" w14:paraId="4ADED7AC" w14:textId="77777777" w:rsidTr="00AC26B7">
        <w:tc>
          <w:tcPr>
            <w:tcW w:w="1717" w:type="dxa"/>
          </w:tcPr>
          <w:p w14:paraId="21F4ADF7" w14:textId="77777777" w:rsidR="003F3B7B" w:rsidRPr="003F3B7B" w:rsidRDefault="003F3B7B" w:rsidP="00AC26B7">
            <w:pPr>
              <w:pStyle w:val="TablebodyleftTables"/>
              <w:spacing w:before="20" w:after="20"/>
              <w:rPr>
                <w:rFonts w:asciiTheme="minorHAnsi" w:hAnsiTheme="minorHAnsi" w:cstheme="minorHAnsi"/>
                <w:sz w:val="18"/>
                <w:szCs w:val="14"/>
              </w:rPr>
            </w:pPr>
            <w:r w:rsidRPr="003F3B7B">
              <w:rPr>
                <w:rFonts w:asciiTheme="minorHAnsi" w:hAnsiTheme="minorHAnsi" w:cstheme="minorHAnsi"/>
                <w:sz w:val="18"/>
                <w:szCs w:val="14"/>
              </w:rPr>
              <w:t>Women</w:t>
            </w:r>
          </w:p>
        </w:tc>
        <w:tc>
          <w:tcPr>
            <w:tcW w:w="1078" w:type="dxa"/>
          </w:tcPr>
          <w:p w14:paraId="42C293A7"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2,709</w:t>
            </w:r>
          </w:p>
        </w:tc>
        <w:tc>
          <w:tcPr>
            <w:tcW w:w="1064" w:type="dxa"/>
          </w:tcPr>
          <w:p w14:paraId="3DA74CFA"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2,505</w:t>
            </w:r>
          </w:p>
        </w:tc>
        <w:tc>
          <w:tcPr>
            <w:tcW w:w="942" w:type="dxa"/>
          </w:tcPr>
          <w:p w14:paraId="5640EE75"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1,380</w:t>
            </w:r>
          </w:p>
        </w:tc>
        <w:tc>
          <w:tcPr>
            <w:tcW w:w="942" w:type="dxa"/>
          </w:tcPr>
          <w:p w14:paraId="1408DDF7"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543</w:t>
            </w:r>
          </w:p>
        </w:tc>
        <w:tc>
          <w:tcPr>
            <w:tcW w:w="942" w:type="dxa"/>
          </w:tcPr>
          <w:p w14:paraId="33380FF1"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1,767</w:t>
            </w:r>
          </w:p>
        </w:tc>
        <w:tc>
          <w:tcPr>
            <w:tcW w:w="1023" w:type="dxa"/>
          </w:tcPr>
          <w:p w14:paraId="08C867C5"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786</w:t>
            </w:r>
          </w:p>
        </w:tc>
        <w:tc>
          <w:tcPr>
            <w:tcW w:w="768" w:type="dxa"/>
          </w:tcPr>
          <w:p w14:paraId="0B41B488"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738</w:t>
            </w:r>
          </w:p>
        </w:tc>
        <w:tc>
          <w:tcPr>
            <w:tcW w:w="1075" w:type="dxa"/>
          </w:tcPr>
          <w:p w14:paraId="72B76F37"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2,489</w:t>
            </w:r>
          </w:p>
        </w:tc>
        <w:tc>
          <w:tcPr>
            <w:tcW w:w="1055" w:type="dxa"/>
          </w:tcPr>
          <w:p w14:paraId="02327876"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2,303</w:t>
            </w:r>
          </w:p>
        </w:tc>
        <w:tc>
          <w:tcPr>
            <w:tcW w:w="943" w:type="dxa"/>
          </w:tcPr>
          <w:p w14:paraId="6543F47F"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1,279</w:t>
            </w:r>
          </w:p>
        </w:tc>
        <w:tc>
          <w:tcPr>
            <w:tcW w:w="942" w:type="dxa"/>
          </w:tcPr>
          <w:p w14:paraId="7B079DBA"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493</w:t>
            </w:r>
          </w:p>
        </w:tc>
        <w:tc>
          <w:tcPr>
            <w:tcW w:w="858" w:type="dxa"/>
          </w:tcPr>
          <w:p w14:paraId="6E3AE77F"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1,627</w:t>
            </w:r>
          </w:p>
        </w:tc>
        <w:tc>
          <w:tcPr>
            <w:tcW w:w="1013" w:type="dxa"/>
          </w:tcPr>
          <w:p w14:paraId="64CFE7F3"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717</w:t>
            </w:r>
          </w:p>
        </w:tc>
        <w:tc>
          <w:tcPr>
            <w:tcW w:w="826" w:type="dxa"/>
          </w:tcPr>
          <w:p w14:paraId="17023603"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675</w:t>
            </w:r>
          </w:p>
        </w:tc>
      </w:tr>
      <w:tr w:rsidR="003F3B7B" w:rsidRPr="003F3B7B" w14:paraId="18D6530A" w14:textId="77777777" w:rsidTr="00AC26B7">
        <w:tc>
          <w:tcPr>
            <w:tcW w:w="1717" w:type="dxa"/>
          </w:tcPr>
          <w:p w14:paraId="6B2E69D7" w14:textId="77777777" w:rsidR="003F3B7B" w:rsidRPr="003F3B7B" w:rsidRDefault="003F3B7B" w:rsidP="00AC26B7">
            <w:pPr>
              <w:pStyle w:val="TablebodyleftTables"/>
              <w:spacing w:before="20" w:after="20"/>
              <w:rPr>
                <w:rFonts w:asciiTheme="minorHAnsi" w:hAnsiTheme="minorHAnsi" w:cstheme="minorHAnsi"/>
                <w:sz w:val="18"/>
                <w:szCs w:val="14"/>
              </w:rPr>
            </w:pPr>
            <w:r w:rsidRPr="003F3B7B">
              <w:rPr>
                <w:rFonts w:asciiTheme="minorHAnsi" w:hAnsiTheme="minorHAnsi" w:cstheme="minorHAnsi"/>
                <w:sz w:val="18"/>
                <w:szCs w:val="14"/>
              </w:rPr>
              <w:t>Men</w:t>
            </w:r>
          </w:p>
        </w:tc>
        <w:tc>
          <w:tcPr>
            <w:tcW w:w="1078" w:type="dxa"/>
          </w:tcPr>
          <w:p w14:paraId="6E9F3E23"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2,712</w:t>
            </w:r>
          </w:p>
        </w:tc>
        <w:tc>
          <w:tcPr>
            <w:tcW w:w="1064" w:type="dxa"/>
          </w:tcPr>
          <w:p w14:paraId="6E1FA73E"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2,663</w:t>
            </w:r>
          </w:p>
        </w:tc>
        <w:tc>
          <w:tcPr>
            <w:tcW w:w="942" w:type="dxa"/>
          </w:tcPr>
          <w:p w14:paraId="4F5FF055"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1,862</w:t>
            </w:r>
          </w:p>
        </w:tc>
        <w:tc>
          <w:tcPr>
            <w:tcW w:w="942" w:type="dxa"/>
          </w:tcPr>
          <w:p w14:paraId="2E93BBA1"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110</w:t>
            </w:r>
          </w:p>
        </w:tc>
        <w:tc>
          <w:tcPr>
            <w:tcW w:w="942" w:type="dxa"/>
          </w:tcPr>
          <w:p w14:paraId="7491E5A7"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1,946</w:t>
            </w:r>
          </w:p>
        </w:tc>
        <w:tc>
          <w:tcPr>
            <w:tcW w:w="1023" w:type="dxa"/>
          </w:tcPr>
          <w:p w14:paraId="1C243387"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740</w:t>
            </w:r>
          </w:p>
        </w:tc>
        <w:tc>
          <w:tcPr>
            <w:tcW w:w="768" w:type="dxa"/>
          </w:tcPr>
          <w:p w14:paraId="33D97F43"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718</w:t>
            </w:r>
          </w:p>
        </w:tc>
        <w:tc>
          <w:tcPr>
            <w:tcW w:w="1075" w:type="dxa"/>
          </w:tcPr>
          <w:p w14:paraId="39F3F02D"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2,594</w:t>
            </w:r>
          </w:p>
        </w:tc>
        <w:tc>
          <w:tcPr>
            <w:tcW w:w="1055" w:type="dxa"/>
          </w:tcPr>
          <w:p w14:paraId="5E51C916"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2,553</w:t>
            </w:r>
          </w:p>
        </w:tc>
        <w:tc>
          <w:tcPr>
            <w:tcW w:w="943" w:type="dxa"/>
          </w:tcPr>
          <w:p w14:paraId="029C2990"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1,783</w:t>
            </w:r>
          </w:p>
        </w:tc>
        <w:tc>
          <w:tcPr>
            <w:tcW w:w="942" w:type="dxa"/>
          </w:tcPr>
          <w:p w14:paraId="3BF32140"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92</w:t>
            </w:r>
          </w:p>
        </w:tc>
        <w:tc>
          <w:tcPr>
            <w:tcW w:w="858" w:type="dxa"/>
          </w:tcPr>
          <w:p w14:paraId="794F66F8"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1,855</w:t>
            </w:r>
          </w:p>
        </w:tc>
        <w:tc>
          <w:tcPr>
            <w:tcW w:w="1013" w:type="dxa"/>
          </w:tcPr>
          <w:p w14:paraId="762E3D50"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719</w:t>
            </w:r>
          </w:p>
        </w:tc>
        <w:tc>
          <w:tcPr>
            <w:tcW w:w="826" w:type="dxa"/>
          </w:tcPr>
          <w:p w14:paraId="66F324C4"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699</w:t>
            </w:r>
          </w:p>
        </w:tc>
      </w:tr>
      <w:tr w:rsidR="003F3B7B" w:rsidRPr="003F3B7B" w14:paraId="652B872F" w14:textId="77777777" w:rsidTr="00AC26B7">
        <w:tc>
          <w:tcPr>
            <w:tcW w:w="1717" w:type="dxa"/>
          </w:tcPr>
          <w:p w14:paraId="352E40C4" w14:textId="77777777" w:rsidR="003F3B7B" w:rsidRPr="003F3B7B" w:rsidRDefault="003F3B7B" w:rsidP="00AC26B7">
            <w:pPr>
              <w:pStyle w:val="TablebodyleftTables"/>
              <w:spacing w:before="20" w:after="20"/>
              <w:rPr>
                <w:rFonts w:asciiTheme="minorHAnsi" w:hAnsiTheme="minorHAnsi" w:cstheme="minorHAnsi"/>
                <w:sz w:val="18"/>
                <w:szCs w:val="14"/>
              </w:rPr>
            </w:pPr>
            <w:r w:rsidRPr="003F3B7B">
              <w:rPr>
                <w:rFonts w:asciiTheme="minorHAnsi" w:hAnsiTheme="minorHAnsi" w:cstheme="minorHAnsi"/>
                <w:sz w:val="18"/>
                <w:szCs w:val="14"/>
              </w:rPr>
              <w:t>Self-Described</w:t>
            </w:r>
          </w:p>
        </w:tc>
        <w:tc>
          <w:tcPr>
            <w:tcW w:w="1078" w:type="dxa"/>
          </w:tcPr>
          <w:p w14:paraId="4A77651C"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18</w:t>
            </w:r>
          </w:p>
        </w:tc>
        <w:tc>
          <w:tcPr>
            <w:tcW w:w="1064" w:type="dxa"/>
          </w:tcPr>
          <w:p w14:paraId="616ECF11"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17</w:t>
            </w:r>
          </w:p>
        </w:tc>
        <w:tc>
          <w:tcPr>
            <w:tcW w:w="942" w:type="dxa"/>
          </w:tcPr>
          <w:p w14:paraId="730AAE97"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13</w:t>
            </w:r>
          </w:p>
        </w:tc>
        <w:tc>
          <w:tcPr>
            <w:tcW w:w="942" w:type="dxa"/>
          </w:tcPr>
          <w:p w14:paraId="7BD8DAE0"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2</w:t>
            </w:r>
          </w:p>
        </w:tc>
        <w:tc>
          <w:tcPr>
            <w:tcW w:w="942" w:type="dxa"/>
          </w:tcPr>
          <w:p w14:paraId="4951C5AD"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15</w:t>
            </w:r>
          </w:p>
        </w:tc>
        <w:tc>
          <w:tcPr>
            <w:tcW w:w="1023" w:type="dxa"/>
          </w:tcPr>
          <w:p w14:paraId="611952E4"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3</w:t>
            </w:r>
          </w:p>
        </w:tc>
        <w:tc>
          <w:tcPr>
            <w:tcW w:w="768" w:type="dxa"/>
          </w:tcPr>
          <w:p w14:paraId="238DD4E3"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2</w:t>
            </w:r>
          </w:p>
        </w:tc>
        <w:tc>
          <w:tcPr>
            <w:tcW w:w="1075" w:type="dxa"/>
          </w:tcPr>
          <w:p w14:paraId="132CDD10"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13</w:t>
            </w:r>
          </w:p>
        </w:tc>
        <w:tc>
          <w:tcPr>
            <w:tcW w:w="1055" w:type="dxa"/>
          </w:tcPr>
          <w:p w14:paraId="3B296510"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13</w:t>
            </w:r>
          </w:p>
        </w:tc>
        <w:tc>
          <w:tcPr>
            <w:tcW w:w="943" w:type="dxa"/>
          </w:tcPr>
          <w:p w14:paraId="3E16DDC5"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9</w:t>
            </w:r>
          </w:p>
        </w:tc>
        <w:tc>
          <w:tcPr>
            <w:tcW w:w="942" w:type="dxa"/>
          </w:tcPr>
          <w:p w14:paraId="0E46A8EF"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w:t>
            </w:r>
          </w:p>
        </w:tc>
        <w:tc>
          <w:tcPr>
            <w:tcW w:w="858" w:type="dxa"/>
          </w:tcPr>
          <w:p w14:paraId="47CB8E8C"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10</w:t>
            </w:r>
          </w:p>
        </w:tc>
        <w:tc>
          <w:tcPr>
            <w:tcW w:w="1013" w:type="dxa"/>
          </w:tcPr>
          <w:p w14:paraId="672873C3"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3</w:t>
            </w:r>
          </w:p>
        </w:tc>
        <w:tc>
          <w:tcPr>
            <w:tcW w:w="826" w:type="dxa"/>
          </w:tcPr>
          <w:p w14:paraId="15EDF70E"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3</w:t>
            </w:r>
          </w:p>
        </w:tc>
      </w:tr>
      <w:tr w:rsidR="003F3B7B" w:rsidRPr="008B2F7F" w14:paraId="6F6C681C" w14:textId="77777777" w:rsidTr="00AC26B7">
        <w:tc>
          <w:tcPr>
            <w:tcW w:w="1717" w:type="dxa"/>
          </w:tcPr>
          <w:p w14:paraId="35273B7C" w14:textId="77777777" w:rsidR="003F3B7B" w:rsidRPr="008B2F7F" w:rsidRDefault="003F3B7B" w:rsidP="00AC26B7">
            <w:pPr>
              <w:pStyle w:val="TablebodyleftTables"/>
              <w:spacing w:before="20" w:after="20"/>
              <w:rPr>
                <w:rFonts w:asciiTheme="minorHAnsi" w:hAnsiTheme="minorHAnsi" w:cstheme="minorHAnsi"/>
                <w:b/>
                <w:bCs/>
                <w:sz w:val="18"/>
                <w:szCs w:val="14"/>
              </w:rPr>
            </w:pPr>
            <w:r w:rsidRPr="008B2F7F">
              <w:rPr>
                <w:rFonts w:asciiTheme="minorHAnsi" w:hAnsiTheme="minorHAnsi" w:cstheme="minorHAnsi"/>
                <w:b/>
                <w:bCs/>
                <w:sz w:val="18"/>
                <w:szCs w:val="14"/>
              </w:rPr>
              <w:t>Total Employees</w:t>
            </w:r>
          </w:p>
        </w:tc>
        <w:tc>
          <w:tcPr>
            <w:tcW w:w="1078" w:type="dxa"/>
          </w:tcPr>
          <w:p w14:paraId="3D21D066"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5,439</w:t>
            </w:r>
          </w:p>
        </w:tc>
        <w:tc>
          <w:tcPr>
            <w:tcW w:w="1064" w:type="dxa"/>
          </w:tcPr>
          <w:p w14:paraId="5544B66A"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5,186</w:t>
            </w:r>
          </w:p>
        </w:tc>
        <w:tc>
          <w:tcPr>
            <w:tcW w:w="942" w:type="dxa"/>
          </w:tcPr>
          <w:p w14:paraId="4816E6C9"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3,255</w:t>
            </w:r>
          </w:p>
        </w:tc>
        <w:tc>
          <w:tcPr>
            <w:tcW w:w="942" w:type="dxa"/>
          </w:tcPr>
          <w:p w14:paraId="31A08489"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655</w:t>
            </w:r>
          </w:p>
        </w:tc>
        <w:tc>
          <w:tcPr>
            <w:tcW w:w="942" w:type="dxa"/>
          </w:tcPr>
          <w:p w14:paraId="76095B9A"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3,727</w:t>
            </w:r>
          </w:p>
        </w:tc>
        <w:tc>
          <w:tcPr>
            <w:tcW w:w="1023" w:type="dxa"/>
          </w:tcPr>
          <w:p w14:paraId="600C08FF"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1,529</w:t>
            </w:r>
          </w:p>
        </w:tc>
        <w:tc>
          <w:tcPr>
            <w:tcW w:w="768" w:type="dxa"/>
          </w:tcPr>
          <w:p w14:paraId="48C207C3"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1,458</w:t>
            </w:r>
          </w:p>
        </w:tc>
        <w:tc>
          <w:tcPr>
            <w:tcW w:w="1075" w:type="dxa"/>
          </w:tcPr>
          <w:p w14:paraId="56B0979C"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5,096</w:t>
            </w:r>
          </w:p>
        </w:tc>
        <w:tc>
          <w:tcPr>
            <w:tcW w:w="1055" w:type="dxa"/>
          </w:tcPr>
          <w:p w14:paraId="4FB5185C"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4,869</w:t>
            </w:r>
          </w:p>
        </w:tc>
        <w:tc>
          <w:tcPr>
            <w:tcW w:w="943" w:type="dxa"/>
          </w:tcPr>
          <w:p w14:paraId="71744F58"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3,071</w:t>
            </w:r>
          </w:p>
        </w:tc>
        <w:tc>
          <w:tcPr>
            <w:tcW w:w="942" w:type="dxa"/>
          </w:tcPr>
          <w:p w14:paraId="1614DF94"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586</w:t>
            </w:r>
          </w:p>
        </w:tc>
        <w:tc>
          <w:tcPr>
            <w:tcW w:w="858" w:type="dxa"/>
          </w:tcPr>
          <w:p w14:paraId="39D1E6F1"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3,492</w:t>
            </w:r>
          </w:p>
        </w:tc>
        <w:tc>
          <w:tcPr>
            <w:tcW w:w="1013" w:type="dxa"/>
          </w:tcPr>
          <w:p w14:paraId="44956B8A"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1,439</w:t>
            </w:r>
          </w:p>
        </w:tc>
        <w:tc>
          <w:tcPr>
            <w:tcW w:w="826" w:type="dxa"/>
          </w:tcPr>
          <w:p w14:paraId="334B6B9E"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1,377</w:t>
            </w:r>
          </w:p>
        </w:tc>
      </w:tr>
      <w:tr w:rsidR="00AC26B7" w:rsidRPr="003F3B7B" w14:paraId="5B8D886C" w14:textId="77777777" w:rsidTr="00AC26B7">
        <w:tc>
          <w:tcPr>
            <w:tcW w:w="1717" w:type="dxa"/>
          </w:tcPr>
          <w:p w14:paraId="74A015BF" w14:textId="5C638062" w:rsidR="003F3B7B" w:rsidRPr="008B2F7F" w:rsidRDefault="003F3B7B" w:rsidP="00AC26B7">
            <w:pPr>
              <w:pStyle w:val="TablebodyleftTables"/>
              <w:spacing w:before="20" w:after="20"/>
              <w:rPr>
                <w:rFonts w:asciiTheme="minorHAnsi" w:hAnsiTheme="minorHAnsi" w:cstheme="minorHAnsi"/>
                <w:b/>
                <w:bCs/>
                <w:sz w:val="18"/>
                <w:szCs w:val="14"/>
              </w:rPr>
            </w:pPr>
            <w:r w:rsidRPr="008B2F7F">
              <w:rPr>
                <w:rFonts w:asciiTheme="minorHAnsi" w:hAnsiTheme="minorHAnsi" w:cstheme="minorHAnsi"/>
                <w:b/>
                <w:bCs/>
                <w:sz w:val="18"/>
                <w:szCs w:val="14"/>
              </w:rPr>
              <w:t>Age</w:t>
            </w:r>
          </w:p>
        </w:tc>
        <w:tc>
          <w:tcPr>
            <w:tcW w:w="1078" w:type="dxa"/>
          </w:tcPr>
          <w:p w14:paraId="3C6F2790" w14:textId="77777777" w:rsidR="003F3B7B" w:rsidRPr="003F3B7B" w:rsidRDefault="003F3B7B" w:rsidP="00AC26B7">
            <w:pPr>
              <w:pStyle w:val="TablebodyleftTables"/>
              <w:spacing w:before="20" w:after="20"/>
              <w:jc w:val="right"/>
              <w:rPr>
                <w:rFonts w:asciiTheme="minorHAnsi" w:hAnsiTheme="minorHAnsi" w:cstheme="minorHAnsi"/>
                <w:sz w:val="18"/>
                <w:szCs w:val="14"/>
              </w:rPr>
            </w:pPr>
          </w:p>
        </w:tc>
        <w:tc>
          <w:tcPr>
            <w:tcW w:w="1064" w:type="dxa"/>
          </w:tcPr>
          <w:p w14:paraId="0F4D9DCD" w14:textId="77777777" w:rsidR="003F3B7B" w:rsidRPr="003F3B7B" w:rsidRDefault="003F3B7B" w:rsidP="00AC26B7">
            <w:pPr>
              <w:pStyle w:val="TablebodyleftTables"/>
              <w:spacing w:before="20" w:after="20"/>
              <w:jc w:val="right"/>
              <w:rPr>
                <w:rFonts w:asciiTheme="minorHAnsi" w:hAnsiTheme="minorHAnsi" w:cstheme="minorHAnsi"/>
                <w:sz w:val="18"/>
                <w:szCs w:val="14"/>
              </w:rPr>
            </w:pPr>
          </w:p>
        </w:tc>
        <w:tc>
          <w:tcPr>
            <w:tcW w:w="942" w:type="dxa"/>
          </w:tcPr>
          <w:p w14:paraId="2FAB76D3" w14:textId="77777777" w:rsidR="003F3B7B" w:rsidRPr="003F3B7B" w:rsidRDefault="003F3B7B" w:rsidP="00AC26B7">
            <w:pPr>
              <w:pStyle w:val="TablebodyleftTables"/>
              <w:spacing w:before="20" w:after="20"/>
              <w:jc w:val="right"/>
              <w:rPr>
                <w:rFonts w:asciiTheme="minorHAnsi" w:hAnsiTheme="minorHAnsi" w:cstheme="minorHAnsi"/>
                <w:sz w:val="18"/>
                <w:szCs w:val="14"/>
              </w:rPr>
            </w:pPr>
          </w:p>
        </w:tc>
        <w:tc>
          <w:tcPr>
            <w:tcW w:w="942" w:type="dxa"/>
          </w:tcPr>
          <w:p w14:paraId="5FFA3CB7" w14:textId="77777777" w:rsidR="003F3B7B" w:rsidRPr="003F3B7B" w:rsidRDefault="003F3B7B" w:rsidP="00AC26B7">
            <w:pPr>
              <w:pStyle w:val="TablebodyleftTables"/>
              <w:spacing w:before="20" w:after="20"/>
              <w:jc w:val="right"/>
              <w:rPr>
                <w:rFonts w:asciiTheme="minorHAnsi" w:hAnsiTheme="minorHAnsi" w:cstheme="minorHAnsi"/>
                <w:sz w:val="18"/>
                <w:szCs w:val="14"/>
              </w:rPr>
            </w:pPr>
          </w:p>
        </w:tc>
        <w:tc>
          <w:tcPr>
            <w:tcW w:w="942" w:type="dxa"/>
          </w:tcPr>
          <w:p w14:paraId="1DF81DF0" w14:textId="77777777" w:rsidR="003F3B7B" w:rsidRPr="003F3B7B" w:rsidRDefault="003F3B7B" w:rsidP="00AC26B7">
            <w:pPr>
              <w:pStyle w:val="TablebodyleftTables"/>
              <w:spacing w:before="20" w:after="20"/>
              <w:jc w:val="right"/>
              <w:rPr>
                <w:rFonts w:asciiTheme="minorHAnsi" w:hAnsiTheme="minorHAnsi" w:cstheme="minorHAnsi"/>
                <w:sz w:val="18"/>
                <w:szCs w:val="14"/>
              </w:rPr>
            </w:pPr>
          </w:p>
        </w:tc>
        <w:tc>
          <w:tcPr>
            <w:tcW w:w="1023" w:type="dxa"/>
          </w:tcPr>
          <w:p w14:paraId="52A1316A" w14:textId="77777777" w:rsidR="003F3B7B" w:rsidRPr="003F3B7B" w:rsidRDefault="003F3B7B" w:rsidP="00AC26B7">
            <w:pPr>
              <w:pStyle w:val="TablebodyleftTables"/>
              <w:spacing w:before="20" w:after="20"/>
              <w:jc w:val="right"/>
              <w:rPr>
                <w:rFonts w:asciiTheme="minorHAnsi" w:hAnsiTheme="minorHAnsi" w:cstheme="minorHAnsi"/>
                <w:sz w:val="18"/>
                <w:szCs w:val="14"/>
              </w:rPr>
            </w:pPr>
          </w:p>
        </w:tc>
        <w:tc>
          <w:tcPr>
            <w:tcW w:w="768" w:type="dxa"/>
          </w:tcPr>
          <w:p w14:paraId="0CF19650" w14:textId="77777777" w:rsidR="003F3B7B" w:rsidRPr="003F3B7B" w:rsidRDefault="003F3B7B" w:rsidP="00AC26B7">
            <w:pPr>
              <w:pStyle w:val="TablebodyleftTables"/>
              <w:spacing w:before="20" w:after="20"/>
              <w:jc w:val="right"/>
              <w:rPr>
                <w:rFonts w:asciiTheme="minorHAnsi" w:hAnsiTheme="minorHAnsi" w:cstheme="minorHAnsi"/>
                <w:sz w:val="18"/>
                <w:szCs w:val="14"/>
              </w:rPr>
            </w:pPr>
          </w:p>
        </w:tc>
        <w:tc>
          <w:tcPr>
            <w:tcW w:w="1075" w:type="dxa"/>
          </w:tcPr>
          <w:p w14:paraId="2B2036A2" w14:textId="77777777" w:rsidR="003F3B7B" w:rsidRPr="003F3B7B" w:rsidRDefault="003F3B7B" w:rsidP="00AC26B7">
            <w:pPr>
              <w:pStyle w:val="TablebodyleftTables"/>
              <w:spacing w:before="20" w:after="20"/>
              <w:jc w:val="right"/>
              <w:rPr>
                <w:rFonts w:asciiTheme="minorHAnsi" w:hAnsiTheme="minorHAnsi" w:cstheme="minorHAnsi"/>
                <w:sz w:val="18"/>
                <w:szCs w:val="14"/>
              </w:rPr>
            </w:pPr>
          </w:p>
        </w:tc>
        <w:tc>
          <w:tcPr>
            <w:tcW w:w="1055" w:type="dxa"/>
          </w:tcPr>
          <w:p w14:paraId="0DDCA7D7" w14:textId="77777777" w:rsidR="003F3B7B" w:rsidRPr="003F3B7B" w:rsidRDefault="003F3B7B" w:rsidP="00AC26B7">
            <w:pPr>
              <w:pStyle w:val="TablebodyleftTables"/>
              <w:spacing w:before="20" w:after="20"/>
              <w:jc w:val="right"/>
              <w:rPr>
                <w:rFonts w:asciiTheme="minorHAnsi" w:hAnsiTheme="minorHAnsi" w:cstheme="minorHAnsi"/>
                <w:sz w:val="18"/>
                <w:szCs w:val="14"/>
              </w:rPr>
            </w:pPr>
          </w:p>
        </w:tc>
        <w:tc>
          <w:tcPr>
            <w:tcW w:w="943" w:type="dxa"/>
          </w:tcPr>
          <w:p w14:paraId="651FA56A" w14:textId="77777777" w:rsidR="003F3B7B" w:rsidRPr="003F3B7B" w:rsidRDefault="003F3B7B" w:rsidP="00AC26B7">
            <w:pPr>
              <w:pStyle w:val="TablebodyleftTables"/>
              <w:spacing w:before="20" w:after="20"/>
              <w:jc w:val="right"/>
              <w:rPr>
                <w:rFonts w:asciiTheme="minorHAnsi" w:hAnsiTheme="minorHAnsi" w:cstheme="minorHAnsi"/>
                <w:sz w:val="18"/>
                <w:szCs w:val="14"/>
              </w:rPr>
            </w:pPr>
          </w:p>
        </w:tc>
        <w:tc>
          <w:tcPr>
            <w:tcW w:w="942" w:type="dxa"/>
          </w:tcPr>
          <w:p w14:paraId="0A19CA33" w14:textId="77777777" w:rsidR="003F3B7B" w:rsidRPr="003F3B7B" w:rsidRDefault="003F3B7B" w:rsidP="00AC26B7">
            <w:pPr>
              <w:pStyle w:val="TablebodyleftTables"/>
              <w:spacing w:before="20" w:after="20"/>
              <w:jc w:val="right"/>
              <w:rPr>
                <w:rFonts w:asciiTheme="minorHAnsi" w:hAnsiTheme="minorHAnsi" w:cstheme="minorHAnsi"/>
                <w:sz w:val="18"/>
                <w:szCs w:val="14"/>
              </w:rPr>
            </w:pPr>
          </w:p>
        </w:tc>
        <w:tc>
          <w:tcPr>
            <w:tcW w:w="858" w:type="dxa"/>
          </w:tcPr>
          <w:p w14:paraId="1A6EAF37" w14:textId="77777777" w:rsidR="003F3B7B" w:rsidRPr="003F3B7B" w:rsidRDefault="003F3B7B" w:rsidP="00AC26B7">
            <w:pPr>
              <w:pStyle w:val="TablebodyleftTables"/>
              <w:spacing w:before="20" w:after="20"/>
              <w:jc w:val="right"/>
              <w:rPr>
                <w:rFonts w:asciiTheme="minorHAnsi" w:hAnsiTheme="minorHAnsi" w:cstheme="minorHAnsi"/>
                <w:sz w:val="18"/>
                <w:szCs w:val="14"/>
              </w:rPr>
            </w:pPr>
          </w:p>
        </w:tc>
        <w:tc>
          <w:tcPr>
            <w:tcW w:w="1013" w:type="dxa"/>
          </w:tcPr>
          <w:p w14:paraId="23449CA9" w14:textId="77777777" w:rsidR="003F3B7B" w:rsidRPr="003F3B7B" w:rsidRDefault="003F3B7B" w:rsidP="00AC26B7">
            <w:pPr>
              <w:pStyle w:val="TablebodyleftTables"/>
              <w:spacing w:before="20" w:after="20"/>
              <w:jc w:val="right"/>
              <w:rPr>
                <w:rFonts w:asciiTheme="minorHAnsi" w:hAnsiTheme="minorHAnsi" w:cstheme="minorHAnsi"/>
                <w:sz w:val="18"/>
                <w:szCs w:val="14"/>
              </w:rPr>
            </w:pPr>
          </w:p>
        </w:tc>
        <w:tc>
          <w:tcPr>
            <w:tcW w:w="826" w:type="dxa"/>
          </w:tcPr>
          <w:p w14:paraId="1A3AC468" w14:textId="77777777" w:rsidR="003F3B7B" w:rsidRPr="003F3B7B" w:rsidRDefault="003F3B7B" w:rsidP="00AC26B7">
            <w:pPr>
              <w:pStyle w:val="TablebodyleftTables"/>
              <w:spacing w:before="20" w:after="20"/>
              <w:jc w:val="right"/>
              <w:rPr>
                <w:rFonts w:asciiTheme="minorHAnsi" w:hAnsiTheme="minorHAnsi" w:cstheme="minorHAnsi"/>
                <w:sz w:val="18"/>
                <w:szCs w:val="14"/>
              </w:rPr>
            </w:pPr>
          </w:p>
        </w:tc>
      </w:tr>
      <w:tr w:rsidR="003F3B7B" w:rsidRPr="003F3B7B" w14:paraId="3EEB9823" w14:textId="77777777" w:rsidTr="00AC26B7">
        <w:tc>
          <w:tcPr>
            <w:tcW w:w="1717" w:type="dxa"/>
          </w:tcPr>
          <w:p w14:paraId="2F8A4058" w14:textId="77777777" w:rsidR="003F3B7B" w:rsidRPr="003F3B7B" w:rsidRDefault="003F3B7B" w:rsidP="00AC26B7">
            <w:pPr>
              <w:pStyle w:val="TablebodyleftTables"/>
              <w:spacing w:before="20" w:after="20"/>
              <w:rPr>
                <w:rFonts w:asciiTheme="minorHAnsi" w:hAnsiTheme="minorHAnsi" w:cstheme="minorHAnsi"/>
                <w:sz w:val="18"/>
                <w:szCs w:val="14"/>
              </w:rPr>
            </w:pPr>
            <w:r w:rsidRPr="003F3B7B">
              <w:rPr>
                <w:rFonts w:asciiTheme="minorHAnsi" w:hAnsiTheme="minorHAnsi" w:cstheme="minorHAnsi"/>
                <w:sz w:val="18"/>
                <w:szCs w:val="14"/>
              </w:rPr>
              <w:t>15-24</w:t>
            </w:r>
          </w:p>
        </w:tc>
        <w:tc>
          <w:tcPr>
            <w:tcW w:w="1078" w:type="dxa"/>
          </w:tcPr>
          <w:p w14:paraId="65D32F6E"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188</w:t>
            </w:r>
          </w:p>
        </w:tc>
        <w:tc>
          <w:tcPr>
            <w:tcW w:w="1064" w:type="dxa"/>
          </w:tcPr>
          <w:p w14:paraId="71CF8964"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184</w:t>
            </w:r>
          </w:p>
        </w:tc>
        <w:tc>
          <w:tcPr>
            <w:tcW w:w="942" w:type="dxa"/>
          </w:tcPr>
          <w:p w14:paraId="41D6B9E3"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62</w:t>
            </w:r>
          </w:p>
        </w:tc>
        <w:tc>
          <w:tcPr>
            <w:tcW w:w="942" w:type="dxa"/>
          </w:tcPr>
          <w:p w14:paraId="65A61D58"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4</w:t>
            </w:r>
          </w:p>
        </w:tc>
        <w:tc>
          <w:tcPr>
            <w:tcW w:w="942" w:type="dxa"/>
          </w:tcPr>
          <w:p w14:paraId="30C097AE"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65</w:t>
            </w:r>
          </w:p>
        </w:tc>
        <w:tc>
          <w:tcPr>
            <w:tcW w:w="1023" w:type="dxa"/>
          </w:tcPr>
          <w:p w14:paraId="6787B876"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122</w:t>
            </w:r>
          </w:p>
        </w:tc>
        <w:tc>
          <w:tcPr>
            <w:tcW w:w="768" w:type="dxa"/>
          </w:tcPr>
          <w:p w14:paraId="5CBC874B"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119</w:t>
            </w:r>
          </w:p>
        </w:tc>
        <w:tc>
          <w:tcPr>
            <w:tcW w:w="1075" w:type="dxa"/>
          </w:tcPr>
          <w:p w14:paraId="479F2ED3"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190</w:t>
            </w:r>
          </w:p>
        </w:tc>
        <w:tc>
          <w:tcPr>
            <w:tcW w:w="1055" w:type="dxa"/>
          </w:tcPr>
          <w:p w14:paraId="40D421AE"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185</w:t>
            </w:r>
          </w:p>
        </w:tc>
        <w:tc>
          <w:tcPr>
            <w:tcW w:w="943" w:type="dxa"/>
          </w:tcPr>
          <w:p w14:paraId="251CDF90"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49</w:t>
            </w:r>
          </w:p>
        </w:tc>
        <w:tc>
          <w:tcPr>
            <w:tcW w:w="942" w:type="dxa"/>
          </w:tcPr>
          <w:p w14:paraId="5FB95880"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2</w:t>
            </w:r>
          </w:p>
        </w:tc>
        <w:tc>
          <w:tcPr>
            <w:tcW w:w="858" w:type="dxa"/>
          </w:tcPr>
          <w:p w14:paraId="64850163"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50</w:t>
            </w:r>
          </w:p>
        </w:tc>
        <w:tc>
          <w:tcPr>
            <w:tcW w:w="1013" w:type="dxa"/>
          </w:tcPr>
          <w:p w14:paraId="5D931977"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139</w:t>
            </w:r>
          </w:p>
        </w:tc>
        <w:tc>
          <w:tcPr>
            <w:tcW w:w="826" w:type="dxa"/>
          </w:tcPr>
          <w:p w14:paraId="6F44D6A6"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135</w:t>
            </w:r>
          </w:p>
        </w:tc>
      </w:tr>
      <w:tr w:rsidR="003F3B7B" w:rsidRPr="003F3B7B" w14:paraId="6113E83B" w14:textId="77777777" w:rsidTr="00AC26B7">
        <w:tc>
          <w:tcPr>
            <w:tcW w:w="1717" w:type="dxa"/>
          </w:tcPr>
          <w:p w14:paraId="607C91FA" w14:textId="77777777" w:rsidR="003F3B7B" w:rsidRPr="003F3B7B" w:rsidRDefault="003F3B7B" w:rsidP="00AC26B7">
            <w:pPr>
              <w:pStyle w:val="TablebodyleftTables"/>
              <w:spacing w:before="20" w:after="20"/>
              <w:rPr>
                <w:rFonts w:asciiTheme="minorHAnsi" w:hAnsiTheme="minorHAnsi" w:cstheme="minorHAnsi"/>
                <w:sz w:val="18"/>
                <w:szCs w:val="14"/>
              </w:rPr>
            </w:pPr>
            <w:r w:rsidRPr="003F3B7B">
              <w:rPr>
                <w:rFonts w:asciiTheme="minorHAnsi" w:hAnsiTheme="minorHAnsi" w:cstheme="minorHAnsi"/>
                <w:sz w:val="18"/>
                <w:szCs w:val="14"/>
              </w:rPr>
              <w:t>25-34</w:t>
            </w:r>
          </w:p>
        </w:tc>
        <w:tc>
          <w:tcPr>
            <w:tcW w:w="1078" w:type="dxa"/>
          </w:tcPr>
          <w:p w14:paraId="25F916D6"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1,341</w:t>
            </w:r>
          </w:p>
        </w:tc>
        <w:tc>
          <w:tcPr>
            <w:tcW w:w="1064" w:type="dxa"/>
          </w:tcPr>
          <w:p w14:paraId="5FEDE29C"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1,312</w:t>
            </w:r>
          </w:p>
        </w:tc>
        <w:tc>
          <w:tcPr>
            <w:tcW w:w="942" w:type="dxa"/>
          </w:tcPr>
          <w:p w14:paraId="441B76D4"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684</w:t>
            </w:r>
          </w:p>
        </w:tc>
        <w:tc>
          <w:tcPr>
            <w:tcW w:w="942" w:type="dxa"/>
          </w:tcPr>
          <w:p w14:paraId="6CAA7C07"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63</w:t>
            </w:r>
          </w:p>
        </w:tc>
        <w:tc>
          <w:tcPr>
            <w:tcW w:w="942" w:type="dxa"/>
          </w:tcPr>
          <w:p w14:paraId="636510A7"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731</w:t>
            </w:r>
          </w:p>
        </w:tc>
        <w:tc>
          <w:tcPr>
            <w:tcW w:w="1023" w:type="dxa"/>
          </w:tcPr>
          <w:p w14:paraId="373CB71A"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594</w:t>
            </w:r>
          </w:p>
        </w:tc>
        <w:tc>
          <w:tcPr>
            <w:tcW w:w="768" w:type="dxa"/>
          </w:tcPr>
          <w:p w14:paraId="2F493185"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581</w:t>
            </w:r>
          </w:p>
        </w:tc>
        <w:tc>
          <w:tcPr>
            <w:tcW w:w="1075" w:type="dxa"/>
          </w:tcPr>
          <w:p w14:paraId="25FD8353"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1,284</w:t>
            </w:r>
          </w:p>
        </w:tc>
        <w:tc>
          <w:tcPr>
            <w:tcW w:w="1055" w:type="dxa"/>
          </w:tcPr>
          <w:p w14:paraId="09A3CFFC"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1,257</w:t>
            </w:r>
          </w:p>
        </w:tc>
        <w:tc>
          <w:tcPr>
            <w:tcW w:w="943" w:type="dxa"/>
          </w:tcPr>
          <w:p w14:paraId="6C6EBF4D"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662</w:t>
            </w:r>
          </w:p>
        </w:tc>
        <w:tc>
          <w:tcPr>
            <w:tcW w:w="942" w:type="dxa"/>
          </w:tcPr>
          <w:p w14:paraId="6FADD51F"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64</w:t>
            </w:r>
          </w:p>
        </w:tc>
        <w:tc>
          <w:tcPr>
            <w:tcW w:w="858" w:type="dxa"/>
          </w:tcPr>
          <w:p w14:paraId="7AD5F2AE"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706</w:t>
            </w:r>
          </w:p>
        </w:tc>
        <w:tc>
          <w:tcPr>
            <w:tcW w:w="1013" w:type="dxa"/>
          </w:tcPr>
          <w:p w14:paraId="7CCBF71E"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558</w:t>
            </w:r>
          </w:p>
        </w:tc>
        <w:tc>
          <w:tcPr>
            <w:tcW w:w="826" w:type="dxa"/>
          </w:tcPr>
          <w:p w14:paraId="37D4281E"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551</w:t>
            </w:r>
          </w:p>
        </w:tc>
      </w:tr>
      <w:tr w:rsidR="003F3B7B" w:rsidRPr="003F3B7B" w14:paraId="08B6D3D5" w14:textId="77777777" w:rsidTr="00AC26B7">
        <w:tc>
          <w:tcPr>
            <w:tcW w:w="1717" w:type="dxa"/>
          </w:tcPr>
          <w:p w14:paraId="2CDFE756" w14:textId="77777777" w:rsidR="003F3B7B" w:rsidRPr="003F3B7B" w:rsidRDefault="003F3B7B" w:rsidP="00AC26B7">
            <w:pPr>
              <w:pStyle w:val="TablebodyleftTables"/>
              <w:spacing w:before="20" w:after="20"/>
              <w:rPr>
                <w:rFonts w:asciiTheme="minorHAnsi" w:hAnsiTheme="minorHAnsi" w:cstheme="minorHAnsi"/>
                <w:sz w:val="18"/>
                <w:szCs w:val="14"/>
              </w:rPr>
            </w:pPr>
            <w:r w:rsidRPr="003F3B7B">
              <w:rPr>
                <w:rFonts w:asciiTheme="minorHAnsi" w:hAnsiTheme="minorHAnsi" w:cstheme="minorHAnsi"/>
                <w:sz w:val="18"/>
                <w:szCs w:val="14"/>
              </w:rPr>
              <w:t>35-44</w:t>
            </w:r>
          </w:p>
        </w:tc>
        <w:tc>
          <w:tcPr>
            <w:tcW w:w="1078" w:type="dxa"/>
          </w:tcPr>
          <w:p w14:paraId="24BA9B92"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1,634</w:t>
            </w:r>
          </w:p>
        </w:tc>
        <w:tc>
          <w:tcPr>
            <w:tcW w:w="1064" w:type="dxa"/>
          </w:tcPr>
          <w:p w14:paraId="25EEF4E6"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1,522</w:t>
            </w:r>
          </w:p>
        </w:tc>
        <w:tc>
          <w:tcPr>
            <w:tcW w:w="942" w:type="dxa"/>
          </w:tcPr>
          <w:p w14:paraId="5B35F29F"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879</w:t>
            </w:r>
          </w:p>
        </w:tc>
        <w:tc>
          <w:tcPr>
            <w:tcW w:w="942" w:type="dxa"/>
          </w:tcPr>
          <w:p w14:paraId="3FA99A26"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302</w:t>
            </w:r>
          </w:p>
        </w:tc>
        <w:tc>
          <w:tcPr>
            <w:tcW w:w="942" w:type="dxa"/>
          </w:tcPr>
          <w:p w14:paraId="688B7C38"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1,093</w:t>
            </w:r>
          </w:p>
        </w:tc>
        <w:tc>
          <w:tcPr>
            <w:tcW w:w="1023" w:type="dxa"/>
          </w:tcPr>
          <w:p w14:paraId="4A295712"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453</w:t>
            </w:r>
          </w:p>
        </w:tc>
        <w:tc>
          <w:tcPr>
            <w:tcW w:w="768" w:type="dxa"/>
          </w:tcPr>
          <w:p w14:paraId="2EFE2881"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429</w:t>
            </w:r>
          </w:p>
        </w:tc>
        <w:tc>
          <w:tcPr>
            <w:tcW w:w="1075" w:type="dxa"/>
          </w:tcPr>
          <w:p w14:paraId="6764A3F8"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1,520</w:t>
            </w:r>
          </w:p>
        </w:tc>
        <w:tc>
          <w:tcPr>
            <w:tcW w:w="1055" w:type="dxa"/>
          </w:tcPr>
          <w:p w14:paraId="1AF34966"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1,420</w:t>
            </w:r>
          </w:p>
        </w:tc>
        <w:tc>
          <w:tcPr>
            <w:tcW w:w="943" w:type="dxa"/>
          </w:tcPr>
          <w:p w14:paraId="02537B8A"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834</w:t>
            </w:r>
          </w:p>
        </w:tc>
        <w:tc>
          <w:tcPr>
            <w:tcW w:w="942" w:type="dxa"/>
          </w:tcPr>
          <w:p w14:paraId="57B71A6C"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265</w:t>
            </w:r>
          </w:p>
        </w:tc>
        <w:tc>
          <w:tcPr>
            <w:tcW w:w="858" w:type="dxa"/>
          </w:tcPr>
          <w:p w14:paraId="267D9168"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1,024</w:t>
            </w:r>
          </w:p>
        </w:tc>
        <w:tc>
          <w:tcPr>
            <w:tcW w:w="1013" w:type="dxa"/>
          </w:tcPr>
          <w:p w14:paraId="3A400A0A"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421</w:t>
            </w:r>
          </w:p>
        </w:tc>
        <w:tc>
          <w:tcPr>
            <w:tcW w:w="826" w:type="dxa"/>
          </w:tcPr>
          <w:p w14:paraId="45CDF182"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395</w:t>
            </w:r>
          </w:p>
        </w:tc>
      </w:tr>
      <w:tr w:rsidR="003F3B7B" w:rsidRPr="003F3B7B" w14:paraId="401AC76E" w14:textId="77777777" w:rsidTr="00AC26B7">
        <w:tc>
          <w:tcPr>
            <w:tcW w:w="1717" w:type="dxa"/>
          </w:tcPr>
          <w:p w14:paraId="59BF01FF" w14:textId="77777777" w:rsidR="003F3B7B" w:rsidRPr="003F3B7B" w:rsidRDefault="003F3B7B" w:rsidP="00AC26B7">
            <w:pPr>
              <w:pStyle w:val="TablebodyleftTables"/>
              <w:spacing w:before="20" w:after="20"/>
              <w:rPr>
                <w:rFonts w:asciiTheme="minorHAnsi" w:hAnsiTheme="minorHAnsi" w:cstheme="minorHAnsi"/>
                <w:sz w:val="18"/>
                <w:szCs w:val="14"/>
              </w:rPr>
            </w:pPr>
            <w:r w:rsidRPr="003F3B7B">
              <w:rPr>
                <w:rFonts w:asciiTheme="minorHAnsi" w:hAnsiTheme="minorHAnsi" w:cstheme="minorHAnsi"/>
                <w:sz w:val="18"/>
                <w:szCs w:val="14"/>
              </w:rPr>
              <w:t>45-54</w:t>
            </w:r>
          </w:p>
        </w:tc>
        <w:tc>
          <w:tcPr>
            <w:tcW w:w="1078" w:type="dxa"/>
          </w:tcPr>
          <w:p w14:paraId="0FBC6769"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1,273</w:t>
            </w:r>
          </w:p>
        </w:tc>
        <w:tc>
          <w:tcPr>
            <w:tcW w:w="1064" w:type="dxa"/>
          </w:tcPr>
          <w:p w14:paraId="49D7DD78"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1,216</w:t>
            </w:r>
          </w:p>
        </w:tc>
        <w:tc>
          <w:tcPr>
            <w:tcW w:w="942" w:type="dxa"/>
          </w:tcPr>
          <w:p w14:paraId="79581284"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866</w:t>
            </w:r>
          </w:p>
        </w:tc>
        <w:tc>
          <w:tcPr>
            <w:tcW w:w="942" w:type="dxa"/>
          </w:tcPr>
          <w:p w14:paraId="42CB4E8F"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177</w:t>
            </w:r>
          </w:p>
        </w:tc>
        <w:tc>
          <w:tcPr>
            <w:tcW w:w="942" w:type="dxa"/>
          </w:tcPr>
          <w:p w14:paraId="0C91A07D"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1,000</w:t>
            </w:r>
          </w:p>
        </w:tc>
        <w:tc>
          <w:tcPr>
            <w:tcW w:w="1023" w:type="dxa"/>
          </w:tcPr>
          <w:p w14:paraId="49C69B66"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230</w:t>
            </w:r>
          </w:p>
        </w:tc>
        <w:tc>
          <w:tcPr>
            <w:tcW w:w="768" w:type="dxa"/>
          </w:tcPr>
          <w:p w14:paraId="6344768A"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216</w:t>
            </w:r>
          </w:p>
        </w:tc>
        <w:tc>
          <w:tcPr>
            <w:tcW w:w="1075" w:type="dxa"/>
          </w:tcPr>
          <w:p w14:paraId="548467D8"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1,158</w:t>
            </w:r>
          </w:p>
        </w:tc>
        <w:tc>
          <w:tcPr>
            <w:tcW w:w="1055" w:type="dxa"/>
          </w:tcPr>
          <w:p w14:paraId="7690AFE5"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1,107</w:t>
            </w:r>
          </w:p>
        </w:tc>
        <w:tc>
          <w:tcPr>
            <w:tcW w:w="943" w:type="dxa"/>
          </w:tcPr>
          <w:p w14:paraId="27B8C9A5"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805</w:t>
            </w:r>
          </w:p>
        </w:tc>
        <w:tc>
          <w:tcPr>
            <w:tcW w:w="942" w:type="dxa"/>
          </w:tcPr>
          <w:p w14:paraId="771C96AE"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159</w:t>
            </w:r>
          </w:p>
        </w:tc>
        <w:tc>
          <w:tcPr>
            <w:tcW w:w="858" w:type="dxa"/>
          </w:tcPr>
          <w:p w14:paraId="1ECD85F4"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922</w:t>
            </w:r>
          </w:p>
        </w:tc>
        <w:tc>
          <w:tcPr>
            <w:tcW w:w="1013" w:type="dxa"/>
          </w:tcPr>
          <w:p w14:paraId="4D98951E"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194</w:t>
            </w:r>
          </w:p>
        </w:tc>
        <w:tc>
          <w:tcPr>
            <w:tcW w:w="826" w:type="dxa"/>
          </w:tcPr>
          <w:p w14:paraId="719D7191"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185</w:t>
            </w:r>
          </w:p>
        </w:tc>
      </w:tr>
      <w:tr w:rsidR="003F3B7B" w:rsidRPr="003F3B7B" w14:paraId="49AE0756" w14:textId="77777777" w:rsidTr="00AC26B7">
        <w:tc>
          <w:tcPr>
            <w:tcW w:w="1717" w:type="dxa"/>
          </w:tcPr>
          <w:p w14:paraId="60A7FE0F" w14:textId="77777777" w:rsidR="003F3B7B" w:rsidRPr="003F3B7B" w:rsidRDefault="003F3B7B" w:rsidP="00AC26B7">
            <w:pPr>
              <w:pStyle w:val="TablebodyleftTables"/>
              <w:spacing w:before="20" w:after="20"/>
              <w:rPr>
                <w:rFonts w:asciiTheme="minorHAnsi" w:hAnsiTheme="minorHAnsi" w:cstheme="minorHAnsi"/>
                <w:sz w:val="18"/>
                <w:szCs w:val="14"/>
              </w:rPr>
            </w:pPr>
            <w:r w:rsidRPr="003F3B7B">
              <w:rPr>
                <w:rFonts w:asciiTheme="minorHAnsi" w:hAnsiTheme="minorHAnsi" w:cstheme="minorHAnsi"/>
                <w:sz w:val="18"/>
                <w:szCs w:val="14"/>
              </w:rPr>
              <w:lastRenderedPageBreak/>
              <w:t>55-64</w:t>
            </w:r>
          </w:p>
        </w:tc>
        <w:tc>
          <w:tcPr>
            <w:tcW w:w="1078" w:type="dxa"/>
          </w:tcPr>
          <w:p w14:paraId="27CA73AC"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836</w:t>
            </w:r>
          </w:p>
        </w:tc>
        <w:tc>
          <w:tcPr>
            <w:tcW w:w="1064" w:type="dxa"/>
          </w:tcPr>
          <w:p w14:paraId="1CC44861"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799</w:t>
            </w:r>
          </w:p>
        </w:tc>
        <w:tc>
          <w:tcPr>
            <w:tcW w:w="942" w:type="dxa"/>
          </w:tcPr>
          <w:p w14:paraId="3119823D"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646</w:t>
            </w:r>
          </w:p>
        </w:tc>
        <w:tc>
          <w:tcPr>
            <w:tcW w:w="942" w:type="dxa"/>
          </w:tcPr>
          <w:p w14:paraId="3AA61F33"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81</w:t>
            </w:r>
          </w:p>
        </w:tc>
        <w:tc>
          <w:tcPr>
            <w:tcW w:w="942" w:type="dxa"/>
          </w:tcPr>
          <w:p w14:paraId="1207B47B"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702</w:t>
            </w:r>
          </w:p>
        </w:tc>
        <w:tc>
          <w:tcPr>
            <w:tcW w:w="1023" w:type="dxa"/>
          </w:tcPr>
          <w:p w14:paraId="4CA39B10"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109</w:t>
            </w:r>
          </w:p>
        </w:tc>
        <w:tc>
          <w:tcPr>
            <w:tcW w:w="768" w:type="dxa"/>
          </w:tcPr>
          <w:p w14:paraId="3B80A07C"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97</w:t>
            </w:r>
          </w:p>
        </w:tc>
        <w:tc>
          <w:tcPr>
            <w:tcW w:w="1075" w:type="dxa"/>
          </w:tcPr>
          <w:p w14:paraId="50998F8F"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772</w:t>
            </w:r>
          </w:p>
        </w:tc>
        <w:tc>
          <w:tcPr>
            <w:tcW w:w="1055" w:type="dxa"/>
          </w:tcPr>
          <w:p w14:paraId="2E254AF9"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745</w:t>
            </w:r>
          </w:p>
        </w:tc>
        <w:tc>
          <w:tcPr>
            <w:tcW w:w="943" w:type="dxa"/>
          </w:tcPr>
          <w:p w14:paraId="67BA0D1E"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601</w:t>
            </w:r>
          </w:p>
        </w:tc>
        <w:tc>
          <w:tcPr>
            <w:tcW w:w="942" w:type="dxa"/>
          </w:tcPr>
          <w:p w14:paraId="67962FDB"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72</w:t>
            </w:r>
          </w:p>
        </w:tc>
        <w:tc>
          <w:tcPr>
            <w:tcW w:w="858" w:type="dxa"/>
          </w:tcPr>
          <w:p w14:paraId="07B6DD59"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654</w:t>
            </w:r>
          </w:p>
        </w:tc>
        <w:tc>
          <w:tcPr>
            <w:tcW w:w="1013" w:type="dxa"/>
          </w:tcPr>
          <w:p w14:paraId="0D564B52"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99</w:t>
            </w:r>
          </w:p>
        </w:tc>
        <w:tc>
          <w:tcPr>
            <w:tcW w:w="826" w:type="dxa"/>
          </w:tcPr>
          <w:p w14:paraId="42942DCE"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92</w:t>
            </w:r>
          </w:p>
        </w:tc>
      </w:tr>
      <w:tr w:rsidR="003F3B7B" w:rsidRPr="003F3B7B" w14:paraId="47EC95AA" w14:textId="77777777" w:rsidTr="00AC26B7">
        <w:tc>
          <w:tcPr>
            <w:tcW w:w="1717" w:type="dxa"/>
          </w:tcPr>
          <w:p w14:paraId="51AB11CB" w14:textId="77777777" w:rsidR="003F3B7B" w:rsidRPr="003F3B7B" w:rsidRDefault="003F3B7B" w:rsidP="00AC26B7">
            <w:pPr>
              <w:pStyle w:val="TablebodyleftTables"/>
              <w:spacing w:before="20" w:after="20"/>
              <w:rPr>
                <w:rFonts w:asciiTheme="minorHAnsi" w:hAnsiTheme="minorHAnsi" w:cstheme="minorHAnsi"/>
                <w:sz w:val="18"/>
                <w:szCs w:val="14"/>
              </w:rPr>
            </w:pPr>
            <w:r w:rsidRPr="003F3B7B">
              <w:rPr>
                <w:rFonts w:asciiTheme="minorHAnsi" w:hAnsiTheme="minorHAnsi" w:cstheme="minorHAnsi"/>
                <w:sz w:val="18"/>
                <w:szCs w:val="14"/>
              </w:rPr>
              <w:t>65+</w:t>
            </w:r>
          </w:p>
        </w:tc>
        <w:tc>
          <w:tcPr>
            <w:tcW w:w="1078" w:type="dxa"/>
          </w:tcPr>
          <w:p w14:paraId="2AD68000"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167</w:t>
            </w:r>
          </w:p>
        </w:tc>
        <w:tc>
          <w:tcPr>
            <w:tcW w:w="1064" w:type="dxa"/>
          </w:tcPr>
          <w:p w14:paraId="01F93F05"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152</w:t>
            </w:r>
          </w:p>
        </w:tc>
        <w:tc>
          <w:tcPr>
            <w:tcW w:w="942" w:type="dxa"/>
          </w:tcPr>
          <w:p w14:paraId="51F34D13"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118</w:t>
            </w:r>
          </w:p>
        </w:tc>
        <w:tc>
          <w:tcPr>
            <w:tcW w:w="942" w:type="dxa"/>
          </w:tcPr>
          <w:p w14:paraId="7DE0BCD3"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28</w:t>
            </w:r>
          </w:p>
        </w:tc>
        <w:tc>
          <w:tcPr>
            <w:tcW w:w="942" w:type="dxa"/>
          </w:tcPr>
          <w:p w14:paraId="31B8E337"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137</w:t>
            </w:r>
          </w:p>
        </w:tc>
        <w:tc>
          <w:tcPr>
            <w:tcW w:w="1023" w:type="dxa"/>
          </w:tcPr>
          <w:p w14:paraId="1CF17280"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21</w:t>
            </w:r>
          </w:p>
        </w:tc>
        <w:tc>
          <w:tcPr>
            <w:tcW w:w="768" w:type="dxa"/>
          </w:tcPr>
          <w:p w14:paraId="75C250D8"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15</w:t>
            </w:r>
          </w:p>
        </w:tc>
        <w:tc>
          <w:tcPr>
            <w:tcW w:w="1075" w:type="dxa"/>
          </w:tcPr>
          <w:p w14:paraId="3AA45F16"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172</w:t>
            </w:r>
          </w:p>
        </w:tc>
        <w:tc>
          <w:tcPr>
            <w:tcW w:w="1055" w:type="dxa"/>
          </w:tcPr>
          <w:p w14:paraId="4EE0A921"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154</w:t>
            </w:r>
          </w:p>
        </w:tc>
        <w:tc>
          <w:tcPr>
            <w:tcW w:w="943" w:type="dxa"/>
          </w:tcPr>
          <w:p w14:paraId="1BC54489"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120</w:t>
            </w:r>
          </w:p>
        </w:tc>
        <w:tc>
          <w:tcPr>
            <w:tcW w:w="942" w:type="dxa"/>
          </w:tcPr>
          <w:p w14:paraId="79E304AC"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24</w:t>
            </w:r>
          </w:p>
        </w:tc>
        <w:tc>
          <w:tcPr>
            <w:tcW w:w="858" w:type="dxa"/>
          </w:tcPr>
          <w:p w14:paraId="15373093"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136</w:t>
            </w:r>
          </w:p>
        </w:tc>
        <w:tc>
          <w:tcPr>
            <w:tcW w:w="1013" w:type="dxa"/>
          </w:tcPr>
          <w:p w14:paraId="014F3513"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28</w:t>
            </w:r>
          </w:p>
        </w:tc>
        <w:tc>
          <w:tcPr>
            <w:tcW w:w="826" w:type="dxa"/>
          </w:tcPr>
          <w:p w14:paraId="56B3B9D2"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19</w:t>
            </w:r>
          </w:p>
        </w:tc>
      </w:tr>
      <w:tr w:rsidR="003F3B7B" w:rsidRPr="008B2F7F" w14:paraId="23BD1C40" w14:textId="77777777" w:rsidTr="00AC26B7">
        <w:tc>
          <w:tcPr>
            <w:tcW w:w="1717" w:type="dxa"/>
          </w:tcPr>
          <w:p w14:paraId="78010DC8" w14:textId="77777777" w:rsidR="003F3B7B" w:rsidRPr="008B2F7F" w:rsidRDefault="003F3B7B" w:rsidP="00AC26B7">
            <w:pPr>
              <w:pStyle w:val="TablebodyleftTables"/>
              <w:spacing w:before="20" w:after="20"/>
              <w:rPr>
                <w:rFonts w:asciiTheme="minorHAnsi" w:hAnsiTheme="minorHAnsi" w:cstheme="minorHAnsi"/>
                <w:b/>
                <w:bCs/>
                <w:sz w:val="18"/>
                <w:szCs w:val="14"/>
              </w:rPr>
            </w:pPr>
            <w:r w:rsidRPr="008B2F7F">
              <w:rPr>
                <w:rFonts w:asciiTheme="minorHAnsi" w:hAnsiTheme="minorHAnsi" w:cstheme="minorHAnsi"/>
                <w:b/>
                <w:bCs/>
                <w:sz w:val="18"/>
                <w:szCs w:val="14"/>
              </w:rPr>
              <w:t>Total Employees</w:t>
            </w:r>
          </w:p>
        </w:tc>
        <w:tc>
          <w:tcPr>
            <w:tcW w:w="1078" w:type="dxa"/>
          </w:tcPr>
          <w:p w14:paraId="5B7AB7DA"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5,439</w:t>
            </w:r>
          </w:p>
        </w:tc>
        <w:tc>
          <w:tcPr>
            <w:tcW w:w="1064" w:type="dxa"/>
          </w:tcPr>
          <w:p w14:paraId="0DEC0C53"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5,186</w:t>
            </w:r>
          </w:p>
        </w:tc>
        <w:tc>
          <w:tcPr>
            <w:tcW w:w="942" w:type="dxa"/>
          </w:tcPr>
          <w:p w14:paraId="33A195BC"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3,255</w:t>
            </w:r>
          </w:p>
        </w:tc>
        <w:tc>
          <w:tcPr>
            <w:tcW w:w="942" w:type="dxa"/>
          </w:tcPr>
          <w:p w14:paraId="58FA0F02"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655</w:t>
            </w:r>
          </w:p>
        </w:tc>
        <w:tc>
          <w:tcPr>
            <w:tcW w:w="942" w:type="dxa"/>
          </w:tcPr>
          <w:p w14:paraId="0C1EA508"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3,727</w:t>
            </w:r>
          </w:p>
        </w:tc>
        <w:tc>
          <w:tcPr>
            <w:tcW w:w="1023" w:type="dxa"/>
          </w:tcPr>
          <w:p w14:paraId="0EADED90"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1,529</w:t>
            </w:r>
          </w:p>
        </w:tc>
        <w:tc>
          <w:tcPr>
            <w:tcW w:w="768" w:type="dxa"/>
          </w:tcPr>
          <w:p w14:paraId="417F75FE"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1,458</w:t>
            </w:r>
          </w:p>
        </w:tc>
        <w:tc>
          <w:tcPr>
            <w:tcW w:w="1075" w:type="dxa"/>
          </w:tcPr>
          <w:p w14:paraId="51DE7274"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5,096</w:t>
            </w:r>
          </w:p>
        </w:tc>
        <w:tc>
          <w:tcPr>
            <w:tcW w:w="1055" w:type="dxa"/>
          </w:tcPr>
          <w:p w14:paraId="5DD9BC88"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4,869</w:t>
            </w:r>
          </w:p>
        </w:tc>
        <w:tc>
          <w:tcPr>
            <w:tcW w:w="943" w:type="dxa"/>
          </w:tcPr>
          <w:p w14:paraId="052298EF"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3,071</w:t>
            </w:r>
          </w:p>
        </w:tc>
        <w:tc>
          <w:tcPr>
            <w:tcW w:w="942" w:type="dxa"/>
          </w:tcPr>
          <w:p w14:paraId="1B51AF0A"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586</w:t>
            </w:r>
          </w:p>
        </w:tc>
        <w:tc>
          <w:tcPr>
            <w:tcW w:w="858" w:type="dxa"/>
          </w:tcPr>
          <w:p w14:paraId="27B4DE89"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3,492</w:t>
            </w:r>
          </w:p>
        </w:tc>
        <w:tc>
          <w:tcPr>
            <w:tcW w:w="1013" w:type="dxa"/>
          </w:tcPr>
          <w:p w14:paraId="60CA07AF"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1,439</w:t>
            </w:r>
          </w:p>
        </w:tc>
        <w:tc>
          <w:tcPr>
            <w:tcW w:w="826" w:type="dxa"/>
          </w:tcPr>
          <w:p w14:paraId="41959D37"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1,377</w:t>
            </w:r>
          </w:p>
        </w:tc>
      </w:tr>
    </w:tbl>
    <w:p w14:paraId="56B33386" w14:textId="33CC8FE5" w:rsidR="008B2F7F" w:rsidRDefault="008B2F7F" w:rsidP="002F50AD">
      <w:pPr>
        <w:spacing w:after="0"/>
      </w:pPr>
    </w:p>
    <w:p w14:paraId="49B91377" w14:textId="25E2C2CD" w:rsidR="008B2F7F" w:rsidRPr="008B2F7F" w:rsidRDefault="008B2F7F">
      <w:pPr>
        <w:rPr>
          <w:b/>
          <w:bCs/>
        </w:rPr>
      </w:pPr>
      <w:r w:rsidRPr="008B2F7F">
        <w:rPr>
          <w:b/>
          <w:bCs/>
        </w:rPr>
        <w:t>Classification data</w:t>
      </w:r>
    </w:p>
    <w:tbl>
      <w:tblPr>
        <w:tblStyle w:val="TableGrid"/>
        <w:tblW w:w="15183" w:type="dxa"/>
        <w:tblLayout w:type="fixed"/>
        <w:tblLook w:val="0020" w:firstRow="1" w:lastRow="0" w:firstColumn="0" w:lastColumn="0" w:noHBand="0" w:noVBand="0"/>
      </w:tblPr>
      <w:tblGrid>
        <w:gridCol w:w="1717"/>
        <w:gridCol w:w="1078"/>
        <w:gridCol w:w="1050"/>
        <w:gridCol w:w="942"/>
        <w:gridCol w:w="942"/>
        <w:gridCol w:w="942"/>
        <w:gridCol w:w="995"/>
        <w:gridCol w:w="768"/>
        <w:gridCol w:w="1075"/>
        <w:gridCol w:w="1083"/>
        <w:gridCol w:w="943"/>
        <w:gridCol w:w="942"/>
        <w:gridCol w:w="872"/>
        <w:gridCol w:w="999"/>
        <w:gridCol w:w="835"/>
      </w:tblGrid>
      <w:tr w:rsidR="00AC26B7" w:rsidRPr="003F3B7B" w14:paraId="02E1D12B" w14:textId="77777777" w:rsidTr="00AC26B7">
        <w:trPr>
          <w:cnfStyle w:val="100000000000" w:firstRow="1" w:lastRow="0" w:firstColumn="0" w:lastColumn="0" w:oddVBand="0" w:evenVBand="0" w:oddHBand="0" w:evenHBand="0" w:firstRowFirstColumn="0" w:firstRowLastColumn="0" w:lastRowFirstColumn="0" w:lastRowLastColumn="0"/>
          <w:tblHeader/>
        </w:trPr>
        <w:tc>
          <w:tcPr>
            <w:tcW w:w="1717" w:type="dxa"/>
          </w:tcPr>
          <w:p w14:paraId="51962A95" w14:textId="77777777" w:rsidR="008B2F7F" w:rsidRPr="003F3B7B" w:rsidRDefault="008B2F7F" w:rsidP="00AC26B7">
            <w:pPr>
              <w:pStyle w:val="TableheadingleftTables"/>
              <w:spacing w:before="20" w:after="20"/>
              <w:rPr>
                <w:rFonts w:asciiTheme="minorHAnsi" w:hAnsiTheme="minorHAnsi" w:cstheme="minorHAnsi"/>
                <w:sz w:val="18"/>
                <w:szCs w:val="14"/>
                <w:lang w:val="en-AU"/>
              </w:rPr>
            </w:pPr>
          </w:p>
        </w:tc>
        <w:tc>
          <w:tcPr>
            <w:tcW w:w="1078" w:type="dxa"/>
          </w:tcPr>
          <w:p w14:paraId="08EC779D" w14:textId="77777777" w:rsidR="008B2F7F" w:rsidRPr="003F3B7B" w:rsidRDefault="008B2F7F" w:rsidP="00AC26B7">
            <w:pPr>
              <w:pStyle w:val="Tableheading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June 2022 All employees Number (head-count)</w:t>
            </w:r>
          </w:p>
        </w:tc>
        <w:tc>
          <w:tcPr>
            <w:tcW w:w="1050" w:type="dxa"/>
          </w:tcPr>
          <w:p w14:paraId="72B58192" w14:textId="77777777" w:rsidR="008B2F7F" w:rsidRPr="003F3B7B" w:rsidRDefault="008B2F7F" w:rsidP="00AC26B7">
            <w:pPr>
              <w:pStyle w:val="Tableheading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June 2022 All employees FTE</w:t>
            </w:r>
          </w:p>
        </w:tc>
        <w:tc>
          <w:tcPr>
            <w:tcW w:w="942" w:type="dxa"/>
          </w:tcPr>
          <w:p w14:paraId="3838BF71" w14:textId="77777777" w:rsidR="008B2F7F" w:rsidRPr="003F3B7B" w:rsidRDefault="008B2F7F" w:rsidP="00AC26B7">
            <w:pPr>
              <w:pStyle w:val="Tableheading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June 2022 Ongoing Full-time (head-count)</w:t>
            </w:r>
          </w:p>
        </w:tc>
        <w:tc>
          <w:tcPr>
            <w:tcW w:w="942" w:type="dxa"/>
          </w:tcPr>
          <w:p w14:paraId="74152033" w14:textId="77777777" w:rsidR="008B2F7F" w:rsidRPr="003F3B7B" w:rsidRDefault="008B2F7F" w:rsidP="00AC26B7">
            <w:pPr>
              <w:pStyle w:val="Tableheading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June 2022 Ongoing Part-time (head-count)</w:t>
            </w:r>
          </w:p>
        </w:tc>
        <w:tc>
          <w:tcPr>
            <w:tcW w:w="942" w:type="dxa"/>
          </w:tcPr>
          <w:p w14:paraId="69812FAC" w14:textId="77777777" w:rsidR="008B2F7F" w:rsidRPr="003F3B7B" w:rsidRDefault="008B2F7F" w:rsidP="00AC26B7">
            <w:pPr>
              <w:pStyle w:val="Tableheading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June 2022 Ongoing FTE</w:t>
            </w:r>
          </w:p>
        </w:tc>
        <w:tc>
          <w:tcPr>
            <w:tcW w:w="995" w:type="dxa"/>
          </w:tcPr>
          <w:p w14:paraId="1C0ED019" w14:textId="77777777" w:rsidR="008B2F7F" w:rsidRPr="003F3B7B" w:rsidRDefault="008B2F7F" w:rsidP="00AC26B7">
            <w:pPr>
              <w:pStyle w:val="Tableheading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 xml:space="preserve">June 2022 </w:t>
            </w:r>
            <w:r w:rsidRPr="003F3B7B">
              <w:rPr>
                <w:rFonts w:asciiTheme="minorHAnsi" w:hAnsiTheme="minorHAnsi" w:cstheme="minorHAnsi"/>
                <w:spacing w:val="-2"/>
                <w:sz w:val="18"/>
                <w:szCs w:val="14"/>
              </w:rPr>
              <w:t xml:space="preserve">Fixed term and casual </w:t>
            </w:r>
            <w:r w:rsidRPr="003F3B7B">
              <w:rPr>
                <w:rFonts w:asciiTheme="minorHAnsi" w:hAnsiTheme="minorHAnsi" w:cstheme="minorHAnsi"/>
                <w:sz w:val="18"/>
                <w:szCs w:val="14"/>
              </w:rPr>
              <w:t>Number (head-count)</w:t>
            </w:r>
          </w:p>
        </w:tc>
        <w:tc>
          <w:tcPr>
            <w:tcW w:w="768" w:type="dxa"/>
          </w:tcPr>
          <w:p w14:paraId="7F521729" w14:textId="77777777" w:rsidR="008B2F7F" w:rsidRPr="003F3B7B" w:rsidRDefault="008B2F7F" w:rsidP="00AC26B7">
            <w:pPr>
              <w:pStyle w:val="Tableheading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 xml:space="preserve">June 2022 </w:t>
            </w:r>
            <w:r w:rsidRPr="003F3B7B">
              <w:rPr>
                <w:rFonts w:asciiTheme="minorHAnsi" w:hAnsiTheme="minorHAnsi" w:cstheme="minorHAnsi"/>
                <w:spacing w:val="-2"/>
                <w:sz w:val="18"/>
                <w:szCs w:val="14"/>
              </w:rPr>
              <w:t xml:space="preserve">Fixed term and casual </w:t>
            </w:r>
            <w:r w:rsidRPr="003F3B7B">
              <w:rPr>
                <w:rFonts w:asciiTheme="minorHAnsi" w:hAnsiTheme="minorHAnsi" w:cstheme="minorHAnsi"/>
                <w:sz w:val="18"/>
                <w:szCs w:val="14"/>
              </w:rPr>
              <w:t>FTE</w:t>
            </w:r>
          </w:p>
        </w:tc>
        <w:tc>
          <w:tcPr>
            <w:tcW w:w="1075" w:type="dxa"/>
          </w:tcPr>
          <w:p w14:paraId="0B4F760F" w14:textId="77777777" w:rsidR="008B2F7F" w:rsidRPr="003F3B7B" w:rsidRDefault="008B2F7F" w:rsidP="00AC26B7">
            <w:pPr>
              <w:pStyle w:val="Tableheading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June 2021 All employees Number (head-count)</w:t>
            </w:r>
          </w:p>
        </w:tc>
        <w:tc>
          <w:tcPr>
            <w:tcW w:w="1083" w:type="dxa"/>
          </w:tcPr>
          <w:p w14:paraId="0270E22A" w14:textId="77777777" w:rsidR="008B2F7F" w:rsidRPr="003F3B7B" w:rsidRDefault="008B2F7F" w:rsidP="00AC26B7">
            <w:pPr>
              <w:pStyle w:val="Tableheading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June 2021 All employees FTE</w:t>
            </w:r>
          </w:p>
        </w:tc>
        <w:tc>
          <w:tcPr>
            <w:tcW w:w="943" w:type="dxa"/>
          </w:tcPr>
          <w:p w14:paraId="3FA10806" w14:textId="77777777" w:rsidR="008B2F7F" w:rsidRPr="003F3B7B" w:rsidRDefault="008B2F7F" w:rsidP="00AC26B7">
            <w:pPr>
              <w:pStyle w:val="Tableheading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June 2021 Ongoing Full-time (head-count)</w:t>
            </w:r>
          </w:p>
        </w:tc>
        <w:tc>
          <w:tcPr>
            <w:tcW w:w="942" w:type="dxa"/>
          </w:tcPr>
          <w:p w14:paraId="1FBDB2D0" w14:textId="77777777" w:rsidR="008B2F7F" w:rsidRPr="003F3B7B" w:rsidRDefault="008B2F7F" w:rsidP="00AC26B7">
            <w:pPr>
              <w:pStyle w:val="Tableheading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June 2021 Ongoing Part-time (head-count)</w:t>
            </w:r>
          </w:p>
        </w:tc>
        <w:tc>
          <w:tcPr>
            <w:tcW w:w="872" w:type="dxa"/>
          </w:tcPr>
          <w:p w14:paraId="4B819DDE" w14:textId="77777777" w:rsidR="008B2F7F" w:rsidRPr="003F3B7B" w:rsidRDefault="008B2F7F" w:rsidP="00AC26B7">
            <w:pPr>
              <w:pStyle w:val="Tableheading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June 2021 Ongoing FTE</w:t>
            </w:r>
          </w:p>
        </w:tc>
        <w:tc>
          <w:tcPr>
            <w:tcW w:w="999" w:type="dxa"/>
          </w:tcPr>
          <w:p w14:paraId="4692325A" w14:textId="77777777" w:rsidR="008B2F7F" w:rsidRPr="003F3B7B" w:rsidRDefault="008B2F7F" w:rsidP="00AC26B7">
            <w:pPr>
              <w:pStyle w:val="Tableheading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 xml:space="preserve">June 2021 </w:t>
            </w:r>
            <w:r w:rsidRPr="003F3B7B">
              <w:rPr>
                <w:rFonts w:asciiTheme="minorHAnsi" w:hAnsiTheme="minorHAnsi" w:cstheme="minorHAnsi"/>
                <w:spacing w:val="-2"/>
                <w:sz w:val="18"/>
                <w:szCs w:val="14"/>
              </w:rPr>
              <w:t xml:space="preserve">Fixed term and casual </w:t>
            </w:r>
            <w:r w:rsidRPr="003F3B7B">
              <w:rPr>
                <w:rFonts w:asciiTheme="minorHAnsi" w:hAnsiTheme="minorHAnsi" w:cstheme="minorHAnsi"/>
                <w:sz w:val="18"/>
                <w:szCs w:val="14"/>
              </w:rPr>
              <w:t>Number (head-count)</w:t>
            </w:r>
          </w:p>
        </w:tc>
        <w:tc>
          <w:tcPr>
            <w:tcW w:w="835" w:type="dxa"/>
          </w:tcPr>
          <w:p w14:paraId="71A28554" w14:textId="77777777" w:rsidR="008B2F7F" w:rsidRPr="003F3B7B" w:rsidRDefault="008B2F7F" w:rsidP="00AC26B7">
            <w:pPr>
              <w:pStyle w:val="Tableheading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 xml:space="preserve">June 2021 </w:t>
            </w:r>
            <w:r w:rsidRPr="003F3B7B">
              <w:rPr>
                <w:rFonts w:asciiTheme="minorHAnsi" w:hAnsiTheme="minorHAnsi" w:cstheme="minorHAnsi"/>
                <w:spacing w:val="-2"/>
                <w:sz w:val="18"/>
                <w:szCs w:val="14"/>
              </w:rPr>
              <w:t xml:space="preserve">Fixed term and casual </w:t>
            </w:r>
            <w:r w:rsidRPr="003F3B7B">
              <w:rPr>
                <w:rFonts w:asciiTheme="minorHAnsi" w:hAnsiTheme="minorHAnsi" w:cstheme="minorHAnsi"/>
                <w:sz w:val="18"/>
                <w:szCs w:val="14"/>
              </w:rPr>
              <w:t>FTE</w:t>
            </w:r>
          </w:p>
        </w:tc>
      </w:tr>
      <w:tr w:rsidR="00AC26B7" w:rsidRPr="003F3B7B" w14:paraId="61BE269A" w14:textId="77777777" w:rsidTr="00AC26B7">
        <w:tc>
          <w:tcPr>
            <w:tcW w:w="1717" w:type="dxa"/>
          </w:tcPr>
          <w:p w14:paraId="4F18E2C0" w14:textId="3ED058CD" w:rsidR="003F3B7B" w:rsidRPr="008B2F7F" w:rsidRDefault="003F3B7B" w:rsidP="00AC26B7">
            <w:pPr>
              <w:pStyle w:val="TablebodyleftTables"/>
              <w:spacing w:before="20" w:after="20"/>
              <w:rPr>
                <w:rFonts w:asciiTheme="minorHAnsi" w:hAnsiTheme="minorHAnsi" w:cstheme="minorHAnsi"/>
                <w:b/>
                <w:bCs/>
                <w:sz w:val="18"/>
                <w:szCs w:val="14"/>
              </w:rPr>
            </w:pPr>
            <w:r w:rsidRPr="008B2F7F">
              <w:rPr>
                <w:rFonts w:asciiTheme="minorHAnsi" w:hAnsiTheme="minorHAnsi" w:cstheme="minorHAnsi"/>
                <w:b/>
                <w:bCs/>
                <w:sz w:val="18"/>
                <w:szCs w:val="14"/>
              </w:rPr>
              <w:t>VPS grades</w:t>
            </w:r>
          </w:p>
        </w:tc>
        <w:tc>
          <w:tcPr>
            <w:tcW w:w="1078" w:type="dxa"/>
          </w:tcPr>
          <w:p w14:paraId="08BFB09A" w14:textId="77777777" w:rsidR="003F3B7B" w:rsidRPr="003F3B7B" w:rsidRDefault="003F3B7B" w:rsidP="00AC26B7">
            <w:pPr>
              <w:pStyle w:val="TablebodyleftTables"/>
              <w:spacing w:before="20" w:after="20"/>
              <w:jc w:val="right"/>
              <w:rPr>
                <w:rFonts w:asciiTheme="minorHAnsi" w:hAnsiTheme="minorHAnsi" w:cstheme="minorHAnsi"/>
                <w:sz w:val="18"/>
                <w:szCs w:val="14"/>
              </w:rPr>
            </w:pPr>
          </w:p>
        </w:tc>
        <w:tc>
          <w:tcPr>
            <w:tcW w:w="1050" w:type="dxa"/>
          </w:tcPr>
          <w:p w14:paraId="3CE6B70C" w14:textId="77777777" w:rsidR="003F3B7B" w:rsidRPr="003F3B7B" w:rsidRDefault="003F3B7B" w:rsidP="00AC26B7">
            <w:pPr>
              <w:pStyle w:val="TablebodyleftTables"/>
              <w:spacing w:before="20" w:after="20"/>
              <w:jc w:val="right"/>
              <w:rPr>
                <w:rFonts w:asciiTheme="minorHAnsi" w:hAnsiTheme="minorHAnsi" w:cstheme="minorHAnsi"/>
                <w:sz w:val="18"/>
                <w:szCs w:val="14"/>
              </w:rPr>
            </w:pPr>
          </w:p>
        </w:tc>
        <w:tc>
          <w:tcPr>
            <w:tcW w:w="942" w:type="dxa"/>
          </w:tcPr>
          <w:p w14:paraId="7A091C8D" w14:textId="77777777" w:rsidR="003F3B7B" w:rsidRPr="003F3B7B" w:rsidRDefault="003F3B7B" w:rsidP="00AC26B7">
            <w:pPr>
              <w:pStyle w:val="TablebodyleftTables"/>
              <w:spacing w:before="20" w:after="20"/>
              <w:jc w:val="right"/>
              <w:rPr>
                <w:rFonts w:asciiTheme="minorHAnsi" w:hAnsiTheme="minorHAnsi" w:cstheme="minorHAnsi"/>
                <w:sz w:val="18"/>
                <w:szCs w:val="14"/>
              </w:rPr>
            </w:pPr>
          </w:p>
        </w:tc>
        <w:tc>
          <w:tcPr>
            <w:tcW w:w="942" w:type="dxa"/>
          </w:tcPr>
          <w:p w14:paraId="4A993B38" w14:textId="77777777" w:rsidR="003F3B7B" w:rsidRPr="003F3B7B" w:rsidRDefault="003F3B7B" w:rsidP="00AC26B7">
            <w:pPr>
              <w:pStyle w:val="TablebodyleftTables"/>
              <w:spacing w:before="20" w:after="20"/>
              <w:jc w:val="right"/>
              <w:rPr>
                <w:rFonts w:asciiTheme="minorHAnsi" w:hAnsiTheme="minorHAnsi" w:cstheme="minorHAnsi"/>
                <w:sz w:val="18"/>
                <w:szCs w:val="14"/>
              </w:rPr>
            </w:pPr>
          </w:p>
        </w:tc>
        <w:tc>
          <w:tcPr>
            <w:tcW w:w="942" w:type="dxa"/>
          </w:tcPr>
          <w:p w14:paraId="73819FB1" w14:textId="77777777" w:rsidR="003F3B7B" w:rsidRPr="003F3B7B" w:rsidRDefault="003F3B7B" w:rsidP="00AC26B7">
            <w:pPr>
              <w:pStyle w:val="TablebodyleftTables"/>
              <w:spacing w:before="20" w:after="20"/>
              <w:jc w:val="right"/>
              <w:rPr>
                <w:rFonts w:asciiTheme="minorHAnsi" w:hAnsiTheme="minorHAnsi" w:cstheme="minorHAnsi"/>
                <w:sz w:val="18"/>
                <w:szCs w:val="14"/>
              </w:rPr>
            </w:pPr>
          </w:p>
        </w:tc>
        <w:tc>
          <w:tcPr>
            <w:tcW w:w="995" w:type="dxa"/>
          </w:tcPr>
          <w:p w14:paraId="4ED84D06" w14:textId="77777777" w:rsidR="003F3B7B" w:rsidRPr="003F3B7B" w:rsidRDefault="003F3B7B" w:rsidP="00AC26B7">
            <w:pPr>
              <w:pStyle w:val="TablebodyleftTables"/>
              <w:spacing w:before="20" w:after="20"/>
              <w:jc w:val="right"/>
              <w:rPr>
                <w:rFonts w:asciiTheme="minorHAnsi" w:hAnsiTheme="minorHAnsi" w:cstheme="minorHAnsi"/>
                <w:sz w:val="18"/>
                <w:szCs w:val="14"/>
              </w:rPr>
            </w:pPr>
          </w:p>
        </w:tc>
        <w:tc>
          <w:tcPr>
            <w:tcW w:w="768" w:type="dxa"/>
          </w:tcPr>
          <w:p w14:paraId="5B0FC59B" w14:textId="77777777" w:rsidR="003F3B7B" w:rsidRPr="003F3B7B" w:rsidRDefault="003F3B7B" w:rsidP="00AC26B7">
            <w:pPr>
              <w:pStyle w:val="TablebodyleftTables"/>
              <w:spacing w:before="20" w:after="20"/>
              <w:jc w:val="right"/>
              <w:rPr>
                <w:rFonts w:asciiTheme="minorHAnsi" w:hAnsiTheme="minorHAnsi" w:cstheme="minorHAnsi"/>
                <w:sz w:val="18"/>
                <w:szCs w:val="14"/>
              </w:rPr>
            </w:pPr>
          </w:p>
        </w:tc>
        <w:tc>
          <w:tcPr>
            <w:tcW w:w="1075" w:type="dxa"/>
          </w:tcPr>
          <w:p w14:paraId="071CB0C4" w14:textId="77777777" w:rsidR="003F3B7B" w:rsidRPr="003F3B7B" w:rsidRDefault="003F3B7B" w:rsidP="00AC26B7">
            <w:pPr>
              <w:pStyle w:val="TablebodyleftTables"/>
              <w:spacing w:before="20" w:after="20"/>
              <w:jc w:val="right"/>
              <w:rPr>
                <w:rFonts w:asciiTheme="minorHAnsi" w:hAnsiTheme="minorHAnsi" w:cstheme="minorHAnsi"/>
                <w:sz w:val="18"/>
                <w:szCs w:val="14"/>
              </w:rPr>
            </w:pPr>
          </w:p>
        </w:tc>
        <w:tc>
          <w:tcPr>
            <w:tcW w:w="1083" w:type="dxa"/>
          </w:tcPr>
          <w:p w14:paraId="72B6006E" w14:textId="77777777" w:rsidR="003F3B7B" w:rsidRPr="003F3B7B" w:rsidRDefault="003F3B7B" w:rsidP="00AC26B7">
            <w:pPr>
              <w:pStyle w:val="TablebodyleftTables"/>
              <w:spacing w:before="20" w:after="20"/>
              <w:jc w:val="right"/>
              <w:rPr>
                <w:rFonts w:asciiTheme="minorHAnsi" w:hAnsiTheme="minorHAnsi" w:cstheme="minorHAnsi"/>
                <w:sz w:val="18"/>
                <w:szCs w:val="14"/>
              </w:rPr>
            </w:pPr>
          </w:p>
        </w:tc>
        <w:tc>
          <w:tcPr>
            <w:tcW w:w="943" w:type="dxa"/>
          </w:tcPr>
          <w:p w14:paraId="4B3B62C3" w14:textId="77777777" w:rsidR="003F3B7B" w:rsidRPr="003F3B7B" w:rsidRDefault="003F3B7B" w:rsidP="00AC26B7">
            <w:pPr>
              <w:pStyle w:val="TablebodyleftTables"/>
              <w:spacing w:before="20" w:after="20"/>
              <w:jc w:val="right"/>
              <w:rPr>
                <w:rFonts w:asciiTheme="minorHAnsi" w:hAnsiTheme="minorHAnsi" w:cstheme="minorHAnsi"/>
                <w:sz w:val="18"/>
                <w:szCs w:val="14"/>
              </w:rPr>
            </w:pPr>
          </w:p>
        </w:tc>
        <w:tc>
          <w:tcPr>
            <w:tcW w:w="942" w:type="dxa"/>
          </w:tcPr>
          <w:p w14:paraId="4048B4C5" w14:textId="77777777" w:rsidR="003F3B7B" w:rsidRPr="003F3B7B" w:rsidRDefault="003F3B7B" w:rsidP="00AC26B7">
            <w:pPr>
              <w:pStyle w:val="TablebodyleftTables"/>
              <w:spacing w:before="20" w:after="20"/>
              <w:jc w:val="right"/>
              <w:rPr>
                <w:rFonts w:asciiTheme="minorHAnsi" w:hAnsiTheme="minorHAnsi" w:cstheme="minorHAnsi"/>
                <w:sz w:val="18"/>
                <w:szCs w:val="14"/>
              </w:rPr>
            </w:pPr>
          </w:p>
        </w:tc>
        <w:tc>
          <w:tcPr>
            <w:tcW w:w="872" w:type="dxa"/>
          </w:tcPr>
          <w:p w14:paraId="404BD2EA" w14:textId="77777777" w:rsidR="003F3B7B" w:rsidRPr="003F3B7B" w:rsidRDefault="003F3B7B" w:rsidP="00AC26B7">
            <w:pPr>
              <w:pStyle w:val="TablebodyleftTables"/>
              <w:spacing w:before="20" w:after="20"/>
              <w:jc w:val="right"/>
              <w:rPr>
                <w:rFonts w:asciiTheme="minorHAnsi" w:hAnsiTheme="minorHAnsi" w:cstheme="minorHAnsi"/>
                <w:sz w:val="18"/>
                <w:szCs w:val="14"/>
              </w:rPr>
            </w:pPr>
          </w:p>
        </w:tc>
        <w:tc>
          <w:tcPr>
            <w:tcW w:w="999" w:type="dxa"/>
          </w:tcPr>
          <w:p w14:paraId="37E743AF" w14:textId="77777777" w:rsidR="003F3B7B" w:rsidRPr="003F3B7B" w:rsidRDefault="003F3B7B" w:rsidP="00AC26B7">
            <w:pPr>
              <w:pStyle w:val="TablebodyleftTables"/>
              <w:spacing w:before="20" w:after="20"/>
              <w:jc w:val="right"/>
              <w:rPr>
                <w:rFonts w:asciiTheme="minorHAnsi" w:hAnsiTheme="minorHAnsi" w:cstheme="minorHAnsi"/>
                <w:sz w:val="18"/>
                <w:szCs w:val="14"/>
              </w:rPr>
            </w:pPr>
          </w:p>
        </w:tc>
        <w:tc>
          <w:tcPr>
            <w:tcW w:w="835" w:type="dxa"/>
          </w:tcPr>
          <w:p w14:paraId="3E1C60E6" w14:textId="77777777" w:rsidR="003F3B7B" w:rsidRPr="003F3B7B" w:rsidRDefault="003F3B7B" w:rsidP="00AC26B7">
            <w:pPr>
              <w:pStyle w:val="TablebodyleftTables"/>
              <w:spacing w:before="20" w:after="20"/>
              <w:jc w:val="right"/>
              <w:rPr>
                <w:rFonts w:asciiTheme="minorHAnsi" w:hAnsiTheme="minorHAnsi" w:cstheme="minorHAnsi"/>
                <w:sz w:val="18"/>
                <w:szCs w:val="14"/>
              </w:rPr>
            </w:pPr>
          </w:p>
        </w:tc>
      </w:tr>
      <w:tr w:rsidR="003F3B7B" w:rsidRPr="003F3B7B" w14:paraId="33C034F4" w14:textId="77777777" w:rsidTr="00AC26B7">
        <w:tc>
          <w:tcPr>
            <w:tcW w:w="1717" w:type="dxa"/>
          </w:tcPr>
          <w:p w14:paraId="37EB9E20" w14:textId="77777777" w:rsidR="003F3B7B" w:rsidRPr="003F3B7B" w:rsidRDefault="003F3B7B" w:rsidP="00AC26B7">
            <w:pPr>
              <w:pStyle w:val="TablebodyleftTables"/>
              <w:spacing w:before="20" w:after="20"/>
              <w:rPr>
                <w:rFonts w:asciiTheme="minorHAnsi" w:hAnsiTheme="minorHAnsi" w:cstheme="minorHAnsi"/>
                <w:sz w:val="18"/>
                <w:szCs w:val="14"/>
              </w:rPr>
            </w:pPr>
            <w:r w:rsidRPr="003F3B7B">
              <w:rPr>
                <w:rFonts w:asciiTheme="minorHAnsi" w:hAnsiTheme="minorHAnsi" w:cstheme="minorHAnsi"/>
                <w:sz w:val="18"/>
                <w:szCs w:val="14"/>
              </w:rPr>
              <w:t>VPS 1</w:t>
            </w:r>
          </w:p>
        </w:tc>
        <w:tc>
          <w:tcPr>
            <w:tcW w:w="1078" w:type="dxa"/>
          </w:tcPr>
          <w:p w14:paraId="651E1354"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2</w:t>
            </w:r>
          </w:p>
        </w:tc>
        <w:tc>
          <w:tcPr>
            <w:tcW w:w="1050" w:type="dxa"/>
          </w:tcPr>
          <w:p w14:paraId="4DD87853"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2</w:t>
            </w:r>
          </w:p>
        </w:tc>
        <w:tc>
          <w:tcPr>
            <w:tcW w:w="942" w:type="dxa"/>
          </w:tcPr>
          <w:p w14:paraId="048CD6D5"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w:t>
            </w:r>
          </w:p>
        </w:tc>
        <w:tc>
          <w:tcPr>
            <w:tcW w:w="942" w:type="dxa"/>
          </w:tcPr>
          <w:p w14:paraId="2A1A5237"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w:t>
            </w:r>
          </w:p>
        </w:tc>
        <w:tc>
          <w:tcPr>
            <w:tcW w:w="942" w:type="dxa"/>
          </w:tcPr>
          <w:p w14:paraId="4ED0E198"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w:t>
            </w:r>
          </w:p>
        </w:tc>
        <w:tc>
          <w:tcPr>
            <w:tcW w:w="995" w:type="dxa"/>
          </w:tcPr>
          <w:p w14:paraId="3E6B6759"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2</w:t>
            </w:r>
          </w:p>
        </w:tc>
        <w:tc>
          <w:tcPr>
            <w:tcW w:w="768" w:type="dxa"/>
          </w:tcPr>
          <w:p w14:paraId="3968A716"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2</w:t>
            </w:r>
          </w:p>
        </w:tc>
        <w:tc>
          <w:tcPr>
            <w:tcW w:w="1075" w:type="dxa"/>
          </w:tcPr>
          <w:p w14:paraId="7EDEC417"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27</w:t>
            </w:r>
          </w:p>
        </w:tc>
        <w:tc>
          <w:tcPr>
            <w:tcW w:w="1083" w:type="dxa"/>
          </w:tcPr>
          <w:p w14:paraId="4315A309"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26</w:t>
            </w:r>
          </w:p>
        </w:tc>
        <w:tc>
          <w:tcPr>
            <w:tcW w:w="943" w:type="dxa"/>
          </w:tcPr>
          <w:p w14:paraId="301C73B3"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w:t>
            </w:r>
          </w:p>
        </w:tc>
        <w:tc>
          <w:tcPr>
            <w:tcW w:w="942" w:type="dxa"/>
          </w:tcPr>
          <w:p w14:paraId="4E8F754A"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w:t>
            </w:r>
          </w:p>
        </w:tc>
        <w:tc>
          <w:tcPr>
            <w:tcW w:w="872" w:type="dxa"/>
          </w:tcPr>
          <w:p w14:paraId="70937ADC"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w:t>
            </w:r>
          </w:p>
        </w:tc>
        <w:tc>
          <w:tcPr>
            <w:tcW w:w="999" w:type="dxa"/>
          </w:tcPr>
          <w:p w14:paraId="64DD4819"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26</w:t>
            </w:r>
          </w:p>
        </w:tc>
        <w:tc>
          <w:tcPr>
            <w:tcW w:w="835" w:type="dxa"/>
          </w:tcPr>
          <w:p w14:paraId="1823E2CB"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25</w:t>
            </w:r>
          </w:p>
        </w:tc>
      </w:tr>
      <w:tr w:rsidR="003F3B7B" w:rsidRPr="003F3B7B" w14:paraId="565E34FA" w14:textId="77777777" w:rsidTr="00AC26B7">
        <w:tc>
          <w:tcPr>
            <w:tcW w:w="1717" w:type="dxa"/>
          </w:tcPr>
          <w:p w14:paraId="22D9FBDD" w14:textId="77777777" w:rsidR="003F3B7B" w:rsidRPr="003F3B7B" w:rsidRDefault="003F3B7B" w:rsidP="00AC26B7">
            <w:pPr>
              <w:pStyle w:val="TablebodyleftTables"/>
              <w:spacing w:before="20" w:after="20"/>
              <w:rPr>
                <w:rFonts w:asciiTheme="minorHAnsi" w:hAnsiTheme="minorHAnsi" w:cstheme="minorHAnsi"/>
                <w:sz w:val="18"/>
                <w:szCs w:val="14"/>
              </w:rPr>
            </w:pPr>
            <w:r w:rsidRPr="003F3B7B">
              <w:rPr>
                <w:rFonts w:asciiTheme="minorHAnsi" w:hAnsiTheme="minorHAnsi" w:cstheme="minorHAnsi"/>
                <w:sz w:val="18"/>
                <w:szCs w:val="14"/>
              </w:rPr>
              <w:t>VPS 2</w:t>
            </w:r>
          </w:p>
        </w:tc>
        <w:tc>
          <w:tcPr>
            <w:tcW w:w="1078" w:type="dxa"/>
          </w:tcPr>
          <w:p w14:paraId="1FA00628"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178</w:t>
            </w:r>
          </w:p>
        </w:tc>
        <w:tc>
          <w:tcPr>
            <w:tcW w:w="1050" w:type="dxa"/>
          </w:tcPr>
          <w:p w14:paraId="59190133"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158</w:t>
            </w:r>
          </w:p>
        </w:tc>
        <w:tc>
          <w:tcPr>
            <w:tcW w:w="942" w:type="dxa"/>
          </w:tcPr>
          <w:p w14:paraId="2F4FE51C"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84</w:t>
            </w:r>
          </w:p>
        </w:tc>
        <w:tc>
          <w:tcPr>
            <w:tcW w:w="942" w:type="dxa"/>
          </w:tcPr>
          <w:p w14:paraId="27152602"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36</w:t>
            </w:r>
          </w:p>
        </w:tc>
        <w:tc>
          <w:tcPr>
            <w:tcW w:w="942" w:type="dxa"/>
          </w:tcPr>
          <w:p w14:paraId="715FF576"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106</w:t>
            </w:r>
          </w:p>
        </w:tc>
        <w:tc>
          <w:tcPr>
            <w:tcW w:w="995" w:type="dxa"/>
          </w:tcPr>
          <w:p w14:paraId="0958AECD"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58</w:t>
            </w:r>
          </w:p>
        </w:tc>
        <w:tc>
          <w:tcPr>
            <w:tcW w:w="768" w:type="dxa"/>
          </w:tcPr>
          <w:p w14:paraId="2A369690"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52</w:t>
            </w:r>
          </w:p>
        </w:tc>
        <w:tc>
          <w:tcPr>
            <w:tcW w:w="1075" w:type="dxa"/>
          </w:tcPr>
          <w:p w14:paraId="0B3ACC9C"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171</w:t>
            </w:r>
          </w:p>
        </w:tc>
        <w:tc>
          <w:tcPr>
            <w:tcW w:w="1083" w:type="dxa"/>
          </w:tcPr>
          <w:p w14:paraId="69C83C49"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150</w:t>
            </w:r>
          </w:p>
        </w:tc>
        <w:tc>
          <w:tcPr>
            <w:tcW w:w="943" w:type="dxa"/>
          </w:tcPr>
          <w:p w14:paraId="41BD9E87"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74</w:t>
            </w:r>
          </w:p>
        </w:tc>
        <w:tc>
          <w:tcPr>
            <w:tcW w:w="942" w:type="dxa"/>
          </w:tcPr>
          <w:p w14:paraId="22776B00"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38</w:t>
            </w:r>
          </w:p>
        </w:tc>
        <w:tc>
          <w:tcPr>
            <w:tcW w:w="872" w:type="dxa"/>
          </w:tcPr>
          <w:p w14:paraId="5A509D30"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97</w:t>
            </w:r>
          </w:p>
        </w:tc>
        <w:tc>
          <w:tcPr>
            <w:tcW w:w="999" w:type="dxa"/>
          </w:tcPr>
          <w:p w14:paraId="61AB317F"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59</w:t>
            </w:r>
          </w:p>
        </w:tc>
        <w:tc>
          <w:tcPr>
            <w:tcW w:w="835" w:type="dxa"/>
          </w:tcPr>
          <w:p w14:paraId="7F96C706"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53</w:t>
            </w:r>
          </w:p>
        </w:tc>
      </w:tr>
      <w:tr w:rsidR="003F3B7B" w:rsidRPr="003F3B7B" w14:paraId="7D0C7BEF" w14:textId="77777777" w:rsidTr="00AC26B7">
        <w:tc>
          <w:tcPr>
            <w:tcW w:w="1717" w:type="dxa"/>
          </w:tcPr>
          <w:p w14:paraId="1F936772" w14:textId="77777777" w:rsidR="003F3B7B" w:rsidRPr="003F3B7B" w:rsidRDefault="003F3B7B" w:rsidP="00AC26B7">
            <w:pPr>
              <w:pStyle w:val="TablebodyleftTables"/>
              <w:spacing w:before="20" w:after="20"/>
              <w:rPr>
                <w:rFonts w:asciiTheme="minorHAnsi" w:hAnsiTheme="minorHAnsi" w:cstheme="minorHAnsi"/>
                <w:sz w:val="18"/>
                <w:szCs w:val="14"/>
              </w:rPr>
            </w:pPr>
            <w:r w:rsidRPr="003F3B7B">
              <w:rPr>
                <w:rFonts w:asciiTheme="minorHAnsi" w:hAnsiTheme="minorHAnsi" w:cstheme="minorHAnsi"/>
                <w:sz w:val="18"/>
                <w:szCs w:val="14"/>
              </w:rPr>
              <w:t>VPS 3</w:t>
            </w:r>
          </w:p>
        </w:tc>
        <w:tc>
          <w:tcPr>
            <w:tcW w:w="1078" w:type="dxa"/>
          </w:tcPr>
          <w:p w14:paraId="74F43649"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715</w:t>
            </w:r>
          </w:p>
        </w:tc>
        <w:tc>
          <w:tcPr>
            <w:tcW w:w="1050" w:type="dxa"/>
          </w:tcPr>
          <w:p w14:paraId="57D37F5C"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679</w:t>
            </w:r>
          </w:p>
        </w:tc>
        <w:tc>
          <w:tcPr>
            <w:tcW w:w="942" w:type="dxa"/>
          </w:tcPr>
          <w:p w14:paraId="67C9DB8A"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416</w:t>
            </w:r>
          </w:p>
        </w:tc>
        <w:tc>
          <w:tcPr>
            <w:tcW w:w="942" w:type="dxa"/>
          </w:tcPr>
          <w:p w14:paraId="45F82548"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97</w:t>
            </w:r>
          </w:p>
        </w:tc>
        <w:tc>
          <w:tcPr>
            <w:tcW w:w="942" w:type="dxa"/>
          </w:tcPr>
          <w:p w14:paraId="5BBB276D"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485</w:t>
            </w:r>
          </w:p>
        </w:tc>
        <w:tc>
          <w:tcPr>
            <w:tcW w:w="995" w:type="dxa"/>
          </w:tcPr>
          <w:p w14:paraId="35E46C7F"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202</w:t>
            </w:r>
          </w:p>
        </w:tc>
        <w:tc>
          <w:tcPr>
            <w:tcW w:w="768" w:type="dxa"/>
          </w:tcPr>
          <w:p w14:paraId="17230D32"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193</w:t>
            </w:r>
          </w:p>
        </w:tc>
        <w:tc>
          <w:tcPr>
            <w:tcW w:w="1075" w:type="dxa"/>
          </w:tcPr>
          <w:p w14:paraId="36BDEE76"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763</w:t>
            </w:r>
          </w:p>
        </w:tc>
        <w:tc>
          <w:tcPr>
            <w:tcW w:w="1083" w:type="dxa"/>
          </w:tcPr>
          <w:p w14:paraId="2F7200A8"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730</w:t>
            </w:r>
          </w:p>
        </w:tc>
        <w:tc>
          <w:tcPr>
            <w:tcW w:w="943" w:type="dxa"/>
          </w:tcPr>
          <w:p w14:paraId="438FF410"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449</w:t>
            </w:r>
          </w:p>
        </w:tc>
        <w:tc>
          <w:tcPr>
            <w:tcW w:w="942" w:type="dxa"/>
          </w:tcPr>
          <w:p w14:paraId="0492EB26"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84</w:t>
            </w:r>
          </w:p>
        </w:tc>
        <w:tc>
          <w:tcPr>
            <w:tcW w:w="872" w:type="dxa"/>
          </w:tcPr>
          <w:p w14:paraId="1353C269"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509</w:t>
            </w:r>
          </w:p>
        </w:tc>
        <w:tc>
          <w:tcPr>
            <w:tcW w:w="999" w:type="dxa"/>
          </w:tcPr>
          <w:p w14:paraId="0F55F311"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230</w:t>
            </w:r>
          </w:p>
        </w:tc>
        <w:tc>
          <w:tcPr>
            <w:tcW w:w="835" w:type="dxa"/>
          </w:tcPr>
          <w:p w14:paraId="6F5A7A23"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221</w:t>
            </w:r>
          </w:p>
        </w:tc>
      </w:tr>
      <w:tr w:rsidR="003F3B7B" w:rsidRPr="003F3B7B" w14:paraId="2CE2909D" w14:textId="77777777" w:rsidTr="00AC26B7">
        <w:tc>
          <w:tcPr>
            <w:tcW w:w="1717" w:type="dxa"/>
          </w:tcPr>
          <w:p w14:paraId="6503E2F2" w14:textId="77777777" w:rsidR="003F3B7B" w:rsidRPr="003F3B7B" w:rsidRDefault="003F3B7B" w:rsidP="00AC26B7">
            <w:pPr>
              <w:pStyle w:val="TablebodyleftTables"/>
              <w:spacing w:before="20" w:after="20"/>
              <w:rPr>
                <w:rFonts w:asciiTheme="minorHAnsi" w:hAnsiTheme="minorHAnsi" w:cstheme="minorHAnsi"/>
                <w:sz w:val="18"/>
                <w:szCs w:val="14"/>
              </w:rPr>
            </w:pPr>
            <w:r w:rsidRPr="003F3B7B">
              <w:rPr>
                <w:rFonts w:asciiTheme="minorHAnsi" w:hAnsiTheme="minorHAnsi" w:cstheme="minorHAnsi"/>
                <w:sz w:val="18"/>
                <w:szCs w:val="14"/>
              </w:rPr>
              <w:t>VPS 4</w:t>
            </w:r>
          </w:p>
        </w:tc>
        <w:tc>
          <w:tcPr>
            <w:tcW w:w="1078" w:type="dxa"/>
          </w:tcPr>
          <w:p w14:paraId="6126392D"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1,401</w:t>
            </w:r>
          </w:p>
        </w:tc>
        <w:tc>
          <w:tcPr>
            <w:tcW w:w="1050" w:type="dxa"/>
          </w:tcPr>
          <w:p w14:paraId="126C5655"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1,322</w:t>
            </w:r>
          </w:p>
        </w:tc>
        <w:tc>
          <w:tcPr>
            <w:tcW w:w="942" w:type="dxa"/>
          </w:tcPr>
          <w:p w14:paraId="6138AC54"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798</w:t>
            </w:r>
          </w:p>
        </w:tc>
        <w:tc>
          <w:tcPr>
            <w:tcW w:w="942" w:type="dxa"/>
          </w:tcPr>
          <w:p w14:paraId="56380E39"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191</w:t>
            </w:r>
          </w:p>
        </w:tc>
        <w:tc>
          <w:tcPr>
            <w:tcW w:w="942" w:type="dxa"/>
          </w:tcPr>
          <w:p w14:paraId="3F867647"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930</w:t>
            </w:r>
          </w:p>
        </w:tc>
        <w:tc>
          <w:tcPr>
            <w:tcW w:w="995" w:type="dxa"/>
          </w:tcPr>
          <w:p w14:paraId="247445E8"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412</w:t>
            </w:r>
          </w:p>
        </w:tc>
        <w:tc>
          <w:tcPr>
            <w:tcW w:w="768" w:type="dxa"/>
          </w:tcPr>
          <w:p w14:paraId="1BAA8D08"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392</w:t>
            </w:r>
          </w:p>
        </w:tc>
        <w:tc>
          <w:tcPr>
            <w:tcW w:w="1075" w:type="dxa"/>
          </w:tcPr>
          <w:p w14:paraId="78F124C6"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1,290</w:t>
            </w:r>
          </w:p>
        </w:tc>
        <w:tc>
          <w:tcPr>
            <w:tcW w:w="1083" w:type="dxa"/>
          </w:tcPr>
          <w:p w14:paraId="561CBAF6"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1,218</w:t>
            </w:r>
          </w:p>
        </w:tc>
        <w:tc>
          <w:tcPr>
            <w:tcW w:w="943" w:type="dxa"/>
          </w:tcPr>
          <w:p w14:paraId="273D5319"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754</w:t>
            </w:r>
          </w:p>
        </w:tc>
        <w:tc>
          <w:tcPr>
            <w:tcW w:w="942" w:type="dxa"/>
          </w:tcPr>
          <w:p w14:paraId="76A9B6DA"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174</w:t>
            </w:r>
          </w:p>
        </w:tc>
        <w:tc>
          <w:tcPr>
            <w:tcW w:w="872" w:type="dxa"/>
          </w:tcPr>
          <w:p w14:paraId="67D8C20D"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873</w:t>
            </w:r>
          </w:p>
        </w:tc>
        <w:tc>
          <w:tcPr>
            <w:tcW w:w="999" w:type="dxa"/>
          </w:tcPr>
          <w:p w14:paraId="01996C7B"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362</w:t>
            </w:r>
          </w:p>
        </w:tc>
        <w:tc>
          <w:tcPr>
            <w:tcW w:w="835" w:type="dxa"/>
          </w:tcPr>
          <w:p w14:paraId="75E3528B"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345</w:t>
            </w:r>
          </w:p>
        </w:tc>
      </w:tr>
      <w:tr w:rsidR="003F3B7B" w:rsidRPr="003F3B7B" w14:paraId="6171FBD0" w14:textId="77777777" w:rsidTr="00AC26B7">
        <w:tc>
          <w:tcPr>
            <w:tcW w:w="1717" w:type="dxa"/>
          </w:tcPr>
          <w:p w14:paraId="4F8216ED" w14:textId="77777777" w:rsidR="003F3B7B" w:rsidRPr="003F3B7B" w:rsidRDefault="003F3B7B" w:rsidP="00AC26B7">
            <w:pPr>
              <w:pStyle w:val="TablebodyleftTables"/>
              <w:spacing w:before="20" w:after="20"/>
              <w:rPr>
                <w:rFonts w:asciiTheme="minorHAnsi" w:hAnsiTheme="minorHAnsi" w:cstheme="minorHAnsi"/>
                <w:sz w:val="18"/>
                <w:szCs w:val="14"/>
              </w:rPr>
            </w:pPr>
            <w:r w:rsidRPr="003F3B7B">
              <w:rPr>
                <w:rFonts w:asciiTheme="minorHAnsi" w:hAnsiTheme="minorHAnsi" w:cstheme="minorHAnsi"/>
                <w:sz w:val="18"/>
                <w:szCs w:val="14"/>
              </w:rPr>
              <w:t>VPS 5</w:t>
            </w:r>
          </w:p>
        </w:tc>
        <w:tc>
          <w:tcPr>
            <w:tcW w:w="1078" w:type="dxa"/>
          </w:tcPr>
          <w:p w14:paraId="4CB66407"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1,472</w:t>
            </w:r>
          </w:p>
        </w:tc>
        <w:tc>
          <w:tcPr>
            <w:tcW w:w="1050" w:type="dxa"/>
          </w:tcPr>
          <w:p w14:paraId="0C2849E5"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1,401</w:t>
            </w:r>
          </w:p>
        </w:tc>
        <w:tc>
          <w:tcPr>
            <w:tcW w:w="942" w:type="dxa"/>
          </w:tcPr>
          <w:p w14:paraId="00A79882"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867</w:t>
            </w:r>
          </w:p>
        </w:tc>
        <w:tc>
          <w:tcPr>
            <w:tcW w:w="942" w:type="dxa"/>
          </w:tcPr>
          <w:p w14:paraId="38925D30"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208</w:t>
            </w:r>
          </w:p>
        </w:tc>
        <w:tc>
          <w:tcPr>
            <w:tcW w:w="942" w:type="dxa"/>
          </w:tcPr>
          <w:p w14:paraId="620DC97C"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1,023</w:t>
            </w:r>
          </w:p>
        </w:tc>
        <w:tc>
          <w:tcPr>
            <w:tcW w:w="995" w:type="dxa"/>
          </w:tcPr>
          <w:p w14:paraId="45F7978D"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397</w:t>
            </w:r>
          </w:p>
        </w:tc>
        <w:tc>
          <w:tcPr>
            <w:tcW w:w="768" w:type="dxa"/>
          </w:tcPr>
          <w:p w14:paraId="467DDF94"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378</w:t>
            </w:r>
          </w:p>
        </w:tc>
        <w:tc>
          <w:tcPr>
            <w:tcW w:w="1075" w:type="dxa"/>
          </w:tcPr>
          <w:p w14:paraId="65F7050F"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1,254</w:t>
            </w:r>
          </w:p>
        </w:tc>
        <w:tc>
          <w:tcPr>
            <w:tcW w:w="1083" w:type="dxa"/>
          </w:tcPr>
          <w:p w14:paraId="5089F78D"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1,195</w:t>
            </w:r>
          </w:p>
        </w:tc>
        <w:tc>
          <w:tcPr>
            <w:tcW w:w="943" w:type="dxa"/>
          </w:tcPr>
          <w:p w14:paraId="57EAB3AA"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760</w:t>
            </w:r>
          </w:p>
        </w:tc>
        <w:tc>
          <w:tcPr>
            <w:tcW w:w="942" w:type="dxa"/>
          </w:tcPr>
          <w:p w14:paraId="61FB599F"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173</w:t>
            </w:r>
          </w:p>
        </w:tc>
        <w:tc>
          <w:tcPr>
            <w:tcW w:w="872" w:type="dxa"/>
          </w:tcPr>
          <w:p w14:paraId="02AA12F0"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889</w:t>
            </w:r>
          </w:p>
        </w:tc>
        <w:tc>
          <w:tcPr>
            <w:tcW w:w="999" w:type="dxa"/>
          </w:tcPr>
          <w:p w14:paraId="51A5436C"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321</w:t>
            </w:r>
          </w:p>
        </w:tc>
        <w:tc>
          <w:tcPr>
            <w:tcW w:w="835" w:type="dxa"/>
          </w:tcPr>
          <w:p w14:paraId="4C1875F4"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305</w:t>
            </w:r>
          </w:p>
        </w:tc>
      </w:tr>
      <w:tr w:rsidR="003F3B7B" w:rsidRPr="003F3B7B" w14:paraId="64761302" w14:textId="77777777" w:rsidTr="00AC26B7">
        <w:tc>
          <w:tcPr>
            <w:tcW w:w="1717" w:type="dxa"/>
          </w:tcPr>
          <w:p w14:paraId="72DB6B9C" w14:textId="77777777" w:rsidR="003F3B7B" w:rsidRPr="003F3B7B" w:rsidRDefault="003F3B7B" w:rsidP="00AC26B7">
            <w:pPr>
              <w:pStyle w:val="TablebodyleftTables"/>
              <w:spacing w:before="20" w:after="20"/>
              <w:rPr>
                <w:rFonts w:asciiTheme="minorHAnsi" w:hAnsiTheme="minorHAnsi" w:cstheme="minorHAnsi"/>
                <w:sz w:val="18"/>
                <w:szCs w:val="14"/>
              </w:rPr>
            </w:pPr>
            <w:r w:rsidRPr="003F3B7B">
              <w:rPr>
                <w:rFonts w:asciiTheme="minorHAnsi" w:hAnsiTheme="minorHAnsi" w:cstheme="minorHAnsi"/>
                <w:sz w:val="18"/>
                <w:szCs w:val="14"/>
              </w:rPr>
              <w:t>VPS 6</w:t>
            </w:r>
          </w:p>
        </w:tc>
        <w:tc>
          <w:tcPr>
            <w:tcW w:w="1078" w:type="dxa"/>
          </w:tcPr>
          <w:p w14:paraId="66BC3947"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762</w:t>
            </w:r>
          </w:p>
        </w:tc>
        <w:tc>
          <w:tcPr>
            <w:tcW w:w="1050" w:type="dxa"/>
          </w:tcPr>
          <w:p w14:paraId="5DEE5180"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739</w:t>
            </w:r>
          </w:p>
        </w:tc>
        <w:tc>
          <w:tcPr>
            <w:tcW w:w="942" w:type="dxa"/>
          </w:tcPr>
          <w:p w14:paraId="1AB98D3E"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527</w:t>
            </w:r>
          </w:p>
        </w:tc>
        <w:tc>
          <w:tcPr>
            <w:tcW w:w="942" w:type="dxa"/>
          </w:tcPr>
          <w:p w14:paraId="5B6C5305"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83</w:t>
            </w:r>
          </w:p>
        </w:tc>
        <w:tc>
          <w:tcPr>
            <w:tcW w:w="942" w:type="dxa"/>
          </w:tcPr>
          <w:p w14:paraId="65B9DC4D"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590</w:t>
            </w:r>
          </w:p>
        </w:tc>
        <w:tc>
          <w:tcPr>
            <w:tcW w:w="995" w:type="dxa"/>
          </w:tcPr>
          <w:p w14:paraId="26456EFC"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152</w:t>
            </w:r>
          </w:p>
        </w:tc>
        <w:tc>
          <w:tcPr>
            <w:tcW w:w="768" w:type="dxa"/>
          </w:tcPr>
          <w:p w14:paraId="50BF7A6F"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148</w:t>
            </w:r>
          </w:p>
        </w:tc>
        <w:tc>
          <w:tcPr>
            <w:tcW w:w="1075" w:type="dxa"/>
          </w:tcPr>
          <w:p w14:paraId="5CC8D9B3"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698</w:t>
            </w:r>
          </w:p>
        </w:tc>
        <w:tc>
          <w:tcPr>
            <w:tcW w:w="1083" w:type="dxa"/>
          </w:tcPr>
          <w:p w14:paraId="20549F04"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676</w:t>
            </w:r>
          </w:p>
        </w:tc>
        <w:tc>
          <w:tcPr>
            <w:tcW w:w="943" w:type="dxa"/>
          </w:tcPr>
          <w:p w14:paraId="69652103"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503</w:t>
            </w:r>
          </w:p>
        </w:tc>
        <w:tc>
          <w:tcPr>
            <w:tcW w:w="942" w:type="dxa"/>
          </w:tcPr>
          <w:p w14:paraId="67B051A5"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78</w:t>
            </w:r>
          </w:p>
        </w:tc>
        <w:tc>
          <w:tcPr>
            <w:tcW w:w="872" w:type="dxa"/>
          </w:tcPr>
          <w:p w14:paraId="723913CF"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562</w:t>
            </w:r>
          </w:p>
        </w:tc>
        <w:tc>
          <w:tcPr>
            <w:tcW w:w="999" w:type="dxa"/>
          </w:tcPr>
          <w:p w14:paraId="12B9E97B"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117</w:t>
            </w:r>
          </w:p>
        </w:tc>
        <w:tc>
          <w:tcPr>
            <w:tcW w:w="835" w:type="dxa"/>
          </w:tcPr>
          <w:p w14:paraId="013EE223"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114</w:t>
            </w:r>
          </w:p>
        </w:tc>
      </w:tr>
      <w:tr w:rsidR="003F3B7B" w:rsidRPr="003F3B7B" w14:paraId="20C771F3" w14:textId="77777777" w:rsidTr="00AC26B7">
        <w:tc>
          <w:tcPr>
            <w:tcW w:w="1717" w:type="dxa"/>
          </w:tcPr>
          <w:p w14:paraId="1E1AFBDD" w14:textId="77777777" w:rsidR="003F3B7B" w:rsidRPr="003F3B7B" w:rsidRDefault="003F3B7B" w:rsidP="00AC26B7">
            <w:pPr>
              <w:pStyle w:val="TablebodyleftTables"/>
              <w:spacing w:before="20" w:after="20"/>
              <w:rPr>
                <w:rFonts w:asciiTheme="minorHAnsi" w:hAnsiTheme="minorHAnsi" w:cstheme="minorHAnsi"/>
                <w:sz w:val="18"/>
                <w:szCs w:val="14"/>
              </w:rPr>
            </w:pPr>
            <w:r w:rsidRPr="003F3B7B">
              <w:rPr>
                <w:rFonts w:asciiTheme="minorHAnsi" w:hAnsiTheme="minorHAnsi" w:cstheme="minorHAnsi"/>
                <w:sz w:val="18"/>
                <w:szCs w:val="14"/>
              </w:rPr>
              <w:t>Science Adaptives</w:t>
            </w:r>
          </w:p>
        </w:tc>
        <w:tc>
          <w:tcPr>
            <w:tcW w:w="1078" w:type="dxa"/>
          </w:tcPr>
          <w:p w14:paraId="0C3D0F3A"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76</w:t>
            </w:r>
          </w:p>
        </w:tc>
        <w:tc>
          <w:tcPr>
            <w:tcW w:w="1050" w:type="dxa"/>
          </w:tcPr>
          <w:p w14:paraId="1D7DD18E"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73</w:t>
            </w:r>
          </w:p>
        </w:tc>
        <w:tc>
          <w:tcPr>
            <w:tcW w:w="942" w:type="dxa"/>
          </w:tcPr>
          <w:p w14:paraId="7EDCF1E0"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56</w:t>
            </w:r>
          </w:p>
        </w:tc>
        <w:tc>
          <w:tcPr>
            <w:tcW w:w="942" w:type="dxa"/>
          </w:tcPr>
          <w:p w14:paraId="7D380E8A"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11</w:t>
            </w:r>
          </w:p>
        </w:tc>
        <w:tc>
          <w:tcPr>
            <w:tcW w:w="942" w:type="dxa"/>
          </w:tcPr>
          <w:p w14:paraId="6A92C130"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64</w:t>
            </w:r>
          </w:p>
        </w:tc>
        <w:tc>
          <w:tcPr>
            <w:tcW w:w="995" w:type="dxa"/>
          </w:tcPr>
          <w:p w14:paraId="1B0A2E6C"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9</w:t>
            </w:r>
          </w:p>
        </w:tc>
        <w:tc>
          <w:tcPr>
            <w:tcW w:w="768" w:type="dxa"/>
          </w:tcPr>
          <w:p w14:paraId="70A3B2DC"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8</w:t>
            </w:r>
          </w:p>
        </w:tc>
        <w:tc>
          <w:tcPr>
            <w:tcW w:w="1075" w:type="dxa"/>
          </w:tcPr>
          <w:p w14:paraId="531182A7"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75</w:t>
            </w:r>
          </w:p>
        </w:tc>
        <w:tc>
          <w:tcPr>
            <w:tcW w:w="1083" w:type="dxa"/>
          </w:tcPr>
          <w:p w14:paraId="61CE2DB0"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71</w:t>
            </w:r>
          </w:p>
        </w:tc>
        <w:tc>
          <w:tcPr>
            <w:tcW w:w="943" w:type="dxa"/>
          </w:tcPr>
          <w:p w14:paraId="3DBB9DCB"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57</w:t>
            </w:r>
          </w:p>
        </w:tc>
        <w:tc>
          <w:tcPr>
            <w:tcW w:w="942" w:type="dxa"/>
          </w:tcPr>
          <w:p w14:paraId="61A13AF4"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11</w:t>
            </w:r>
          </w:p>
        </w:tc>
        <w:tc>
          <w:tcPr>
            <w:tcW w:w="872" w:type="dxa"/>
          </w:tcPr>
          <w:p w14:paraId="015F840D"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65</w:t>
            </w:r>
          </w:p>
        </w:tc>
        <w:tc>
          <w:tcPr>
            <w:tcW w:w="999" w:type="dxa"/>
          </w:tcPr>
          <w:p w14:paraId="48599F4B"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7</w:t>
            </w:r>
          </w:p>
        </w:tc>
        <w:tc>
          <w:tcPr>
            <w:tcW w:w="835" w:type="dxa"/>
          </w:tcPr>
          <w:p w14:paraId="3140DF68"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7</w:t>
            </w:r>
          </w:p>
        </w:tc>
      </w:tr>
      <w:tr w:rsidR="003F3B7B" w:rsidRPr="003F3B7B" w14:paraId="5607BBA3" w14:textId="77777777" w:rsidTr="00AC26B7">
        <w:tc>
          <w:tcPr>
            <w:tcW w:w="1717" w:type="dxa"/>
          </w:tcPr>
          <w:p w14:paraId="113435B3" w14:textId="77777777" w:rsidR="003F3B7B" w:rsidRPr="003F3B7B" w:rsidRDefault="003F3B7B" w:rsidP="00AC26B7">
            <w:pPr>
              <w:pStyle w:val="TablebodyleftTables"/>
              <w:spacing w:before="20" w:after="20"/>
              <w:rPr>
                <w:rFonts w:asciiTheme="minorHAnsi" w:hAnsiTheme="minorHAnsi" w:cstheme="minorHAnsi"/>
                <w:sz w:val="18"/>
                <w:szCs w:val="14"/>
              </w:rPr>
            </w:pPr>
            <w:r w:rsidRPr="003F3B7B">
              <w:rPr>
                <w:rFonts w:asciiTheme="minorHAnsi" w:hAnsiTheme="minorHAnsi" w:cstheme="minorHAnsi"/>
                <w:spacing w:val="-1"/>
                <w:sz w:val="18"/>
                <w:szCs w:val="14"/>
              </w:rPr>
              <w:lastRenderedPageBreak/>
              <w:t>Legal Adaptives</w:t>
            </w:r>
          </w:p>
        </w:tc>
        <w:tc>
          <w:tcPr>
            <w:tcW w:w="1078" w:type="dxa"/>
          </w:tcPr>
          <w:p w14:paraId="1AFCDEE2"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16</w:t>
            </w:r>
          </w:p>
        </w:tc>
        <w:tc>
          <w:tcPr>
            <w:tcW w:w="1050" w:type="dxa"/>
          </w:tcPr>
          <w:p w14:paraId="71FF492F"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15</w:t>
            </w:r>
          </w:p>
        </w:tc>
        <w:tc>
          <w:tcPr>
            <w:tcW w:w="942" w:type="dxa"/>
          </w:tcPr>
          <w:p w14:paraId="69A77C0B"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9</w:t>
            </w:r>
          </w:p>
        </w:tc>
        <w:tc>
          <w:tcPr>
            <w:tcW w:w="942" w:type="dxa"/>
          </w:tcPr>
          <w:p w14:paraId="594EA875"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5</w:t>
            </w:r>
          </w:p>
        </w:tc>
        <w:tc>
          <w:tcPr>
            <w:tcW w:w="942" w:type="dxa"/>
          </w:tcPr>
          <w:p w14:paraId="39A17103"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13</w:t>
            </w:r>
          </w:p>
        </w:tc>
        <w:tc>
          <w:tcPr>
            <w:tcW w:w="995" w:type="dxa"/>
          </w:tcPr>
          <w:p w14:paraId="01795822"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2</w:t>
            </w:r>
          </w:p>
        </w:tc>
        <w:tc>
          <w:tcPr>
            <w:tcW w:w="768" w:type="dxa"/>
          </w:tcPr>
          <w:p w14:paraId="2736D43D"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2</w:t>
            </w:r>
          </w:p>
        </w:tc>
        <w:tc>
          <w:tcPr>
            <w:tcW w:w="1075" w:type="dxa"/>
          </w:tcPr>
          <w:p w14:paraId="7D78F15D"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14</w:t>
            </w:r>
          </w:p>
        </w:tc>
        <w:tc>
          <w:tcPr>
            <w:tcW w:w="1083" w:type="dxa"/>
          </w:tcPr>
          <w:p w14:paraId="23D073E3"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12</w:t>
            </w:r>
          </w:p>
        </w:tc>
        <w:tc>
          <w:tcPr>
            <w:tcW w:w="943" w:type="dxa"/>
          </w:tcPr>
          <w:p w14:paraId="0EFA8756"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8</w:t>
            </w:r>
          </w:p>
        </w:tc>
        <w:tc>
          <w:tcPr>
            <w:tcW w:w="942" w:type="dxa"/>
          </w:tcPr>
          <w:p w14:paraId="3C26A6BD"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5</w:t>
            </w:r>
          </w:p>
        </w:tc>
        <w:tc>
          <w:tcPr>
            <w:tcW w:w="872" w:type="dxa"/>
          </w:tcPr>
          <w:p w14:paraId="31D778DA"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12</w:t>
            </w:r>
          </w:p>
        </w:tc>
        <w:tc>
          <w:tcPr>
            <w:tcW w:w="999" w:type="dxa"/>
          </w:tcPr>
          <w:p w14:paraId="32441505"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w:t>
            </w:r>
          </w:p>
        </w:tc>
        <w:tc>
          <w:tcPr>
            <w:tcW w:w="835" w:type="dxa"/>
          </w:tcPr>
          <w:p w14:paraId="78E721C7"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w:t>
            </w:r>
          </w:p>
        </w:tc>
      </w:tr>
      <w:tr w:rsidR="003F3B7B" w:rsidRPr="008B2F7F" w14:paraId="708C9FB3" w14:textId="77777777" w:rsidTr="00AC26B7">
        <w:tc>
          <w:tcPr>
            <w:tcW w:w="1717" w:type="dxa"/>
          </w:tcPr>
          <w:p w14:paraId="4A0A5D4E" w14:textId="77777777" w:rsidR="003F3B7B" w:rsidRPr="008B2F7F" w:rsidRDefault="003F3B7B" w:rsidP="00AC26B7">
            <w:pPr>
              <w:pStyle w:val="TablebodyleftTables"/>
              <w:spacing w:before="20" w:after="20"/>
              <w:rPr>
                <w:rFonts w:asciiTheme="minorHAnsi" w:hAnsiTheme="minorHAnsi" w:cstheme="minorHAnsi"/>
                <w:b/>
                <w:bCs/>
                <w:sz w:val="18"/>
                <w:szCs w:val="14"/>
              </w:rPr>
            </w:pPr>
            <w:r w:rsidRPr="008B2F7F">
              <w:rPr>
                <w:rFonts w:asciiTheme="minorHAnsi" w:hAnsiTheme="minorHAnsi" w:cstheme="minorHAnsi"/>
                <w:b/>
                <w:bCs/>
                <w:sz w:val="18"/>
                <w:szCs w:val="14"/>
              </w:rPr>
              <w:t>VPS 1-6 grades</w:t>
            </w:r>
          </w:p>
        </w:tc>
        <w:tc>
          <w:tcPr>
            <w:tcW w:w="1078" w:type="dxa"/>
          </w:tcPr>
          <w:p w14:paraId="0AAA4F22"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4,622</w:t>
            </w:r>
          </w:p>
        </w:tc>
        <w:tc>
          <w:tcPr>
            <w:tcW w:w="1050" w:type="dxa"/>
          </w:tcPr>
          <w:p w14:paraId="42AA9502"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4,388</w:t>
            </w:r>
          </w:p>
        </w:tc>
        <w:tc>
          <w:tcPr>
            <w:tcW w:w="942" w:type="dxa"/>
          </w:tcPr>
          <w:p w14:paraId="25233669"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2,757</w:t>
            </w:r>
          </w:p>
        </w:tc>
        <w:tc>
          <w:tcPr>
            <w:tcW w:w="942" w:type="dxa"/>
          </w:tcPr>
          <w:p w14:paraId="52EB14F6"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631</w:t>
            </w:r>
          </w:p>
        </w:tc>
        <w:tc>
          <w:tcPr>
            <w:tcW w:w="942" w:type="dxa"/>
          </w:tcPr>
          <w:p w14:paraId="1F9011C3"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3,212</w:t>
            </w:r>
          </w:p>
        </w:tc>
        <w:tc>
          <w:tcPr>
            <w:tcW w:w="995" w:type="dxa"/>
          </w:tcPr>
          <w:p w14:paraId="75062AFF"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1234</w:t>
            </w:r>
          </w:p>
        </w:tc>
        <w:tc>
          <w:tcPr>
            <w:tcW w:w="768" w:type="dxa"/>
          </w:tcPr>
          <w:p w14:paraId="08AC6B95"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1,176</w:t>
            </w:r>
          </w:p>
        </w:tc>
        <w:tc>
          <w:tcPr>
            <w:tcW w:w="1075" w:type="dxa"/>
          </w:tcPr>
          <w:p w14:paraId="59A7D8D1"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4,292</w:t>
            </w:r>
          </w:p>
        </w:tc>
        <w:tc>
          <w:tcPr>
            <w:tcW w:w="1083" w:type="dxa"/>
          </w:tcPr>
          <w:p w14:paraId="1735B1C7"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4,080</w:t>
            </w:r>
          </w:p>
        </w:tc>
        <w:tc>
          <w:tcPr>
            <w:tcW w:w="943" w:type="dxa"/>
          </w:tcPr>
          <w:p w14:paraId="01F1EFB2"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2,605</w:t>
            </w:r>
          </w:p>
        </w:tc>
        <w:tc>
          <w:tcPr>
            <w:tcW w:w="942" w:type="dxa"/>
          </w:tcPr>
          <w:p w14:paraId="39852F52"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564</w:t>
            </w:r>
          </w:p>
        </w:tc>
        <w:tc>
          <w:tcPr>
            <w:tcW w:w="872" w:type="dxa"/>
          </w:tcPr>
          <w:p w14:paraId="45752459"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3,009</w:t>
            </w:r>
          </w:p>
        </w:tc>
        <w:tc>
          <w:tcPr>
            <w:tcW w:w="999" w:type="dxa"/>
          </w:tcPr>
          <w:p w14:paraId="3A0046B8"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1,123</w:t>
            </w:r>
          </w:p>
        </w:tc>
        <w:tc>
          <w:tcPr>
            <w:tcW w:w="835" w:type="dxa"/>
          </w:tcPr>
          <w:p w14:paraId="37A5D943"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1,071</w:t>
            </w:r>
          </w:p>
        </w:tc>
      </w:tr>
      <w:tr w:rsidR="00AC26B7" w:rsidRPr="003F3B7B" w14:paraId="2CD81A56" w14:textId="77777777" w:rsidTr="00AC26B7">
        <w:tc>
          <w:tcPr>
            <w:tcW w:w="1717" w:type="dxa"/>
          </w:tcPr>
          <w:p w14:paraId="6CC74918" w14:textId="106349AD" w:rsidR="003F3B7B" w:rsidRPr="008B2F7F" w:rsidRDefault="003F3B7B" w:rsidP="00AC26B7">
            <w:pPr>
              <w:pStyle w:val="TablebodyleftTables"/>
              <w:spacing w:before="20" w:after="20"/>
              <w:rPr>
                <w:rFonts w:asciiTheme="minorHAnsi" w:hAnsiTheme="minorHAnsi" w:cstheme="minorHAnsi"/>
                <w:b/>
                <w:bCs/>
                <w:sz w:val="18"/>
                <w:szCs w:val="14"/>
              </w:rPr>
            </w:pPr>
            <w:r w:rsidRPr="008B2F7F">
              <w:rPr>
                <w:rFonts w:asciiTheme="minorHAnsi" w:hAnsiTheme="minorHAnsi" w:cstheme="minorHAnsi"/>
                <w:b/>
                <w:bCs/>
                <w:sz w:val="18"/>
                <w:szCs w:val="14"/>
              </w:rPr>
              <w:t>Senior employees</w:t>
            </w:r>
          </w:p>
        </w:tc>
        <w:tc>
          <w:tcPr>
            <w:tcW w:w="1078" w:type="dxa"/>
          </w:tcPr>
          <w:p w14:paraId="344C1395" w14:textId="77777777" w:rsidR="003F3B7B" w:rsidRPr="003F3B7B" w:rsidRDefault="003F3B7B" w:rsidP="00AC26B7">
            <w:pPr>
              <w:pStyle w:val="TablebodyleftTables"/>
              <w:spacing w:before="20" w:after="20"/>
              <w:jc w:val="right"/>
              <w:rPr>
                <w:rFonts w:asciiTheme="minorHAnsi" w:hAnsiTheme="minorHAnsi" w:cstheme="minorHAnsi"/>
                <w:sz w:val="18"/>
                <w:szCs w:val="14"/>
              </w:rPr>
            </w:pPr>
          </w:p>
        </w:tc>
        <w:tc>
          <w:tcPr>
            <w:tcW w:w="1050" w:type="dxa"/>
          </w:tcPr>
          <w:p w14:paraId="65980A53" w14:textId="77777777" w:rsidR="003F3B7B" w:rsidRPr="003F3B7B" w:rsidRDefault="003F3B7B" w:rsidP="00AC26B7">
            <w:pPr>
              <w:pStyle w:val="TablebodyleftTables"/>
              <w:spacing w:before="20" w:after="20"/>
              <w:jc w:val="right"/>
              <w:rPr>
                <w:rFonts w:asciiTheme="minorHAnsi" w:hAnsiTheme="minorHAnsi" w:cstheme="minorHAnsi"/>
                <w:sz w:val="18"/>
                <w:szCs w:val="14"/>
              </w:rPr>
            </w:pPr>
          </w:p>
        </w:tc>
        <w:tc>
          <w:tcPr>
            <w:tcW w:w="942" w:type="dxa"/>
          </w:tcPr>
          <w:p w14:paraId="14D11222" w14:textId="77777777" w:rsidR="003F3B7B" w:rsidRPr="003F3B7B" w:rsidRDefault="003F3B7B" w:rsidP="00AC26B7">
            <w:pPr>
              <w:pStyle w:val="TablebodyleftTables"/>
              <w:spacing w:before="20" w:after="20"/>
              <w:jc w:val="right"/>
              <w:rPr>
                <w:rFonts w:asciiTheme="minorHAnsi" w:hAnsiTheme="minorHAnsi" w:cstheme="minorHAnsi"/>
                <w:sz w:val="18"/>
                <w:szCs w:val="14"/>
              </w:rPr>
            </w:pPr>
          </w:p>
        </w:tc>
        <w:tc>
          <w:tcPr>
            <w:tcW w:w="942" w:type="dxa"/>
          </w:tcPr>
          <w:p w14:paraId="33B15F1F" w14:textId="77777777" w:rsidR="003F3B7B" w:rsidRPr="003F3B7B" w:rsidRDefault="003F3B7B" w:rsidP="00AC26B7">
            <w:pPr>
              <w:pStyle w:val="TablebodyleftTables"/>
              <w:spacing w:before="20" w:after="20"/>
              <w:jc w:val="right"/>
              <w:rPr>
                <w:rFonts w:asciiTheme="minorHAnsi" w:hAnsiTheme="minorHAnsi" w:cstheme="minorHAnsi"/>
                <w:sz w:val="18"/>
                <w:szCs w:val="14"/>
              </w:rPr>
            </w:pPr>
          </w:p>
        </w:tc>
        <w:tc>
          <w:tcPr>
            <w:tcW w:w="942" w:type="dxa"/>
          </w:tcPr>
          <w:p w14:paraId="369AE7A7" w14:textId="77777777" w:rsidR="003F3B7B" w:rsidRPr="003F3B7B" w:rsidRDefault="003F3B7B" w:rsidP="00AC26B7">
            <w:pPr>
              <w:pStyle w:val="TablebodyleftTables"/>
              <w:spacing w:before="20" w:after="20"/>
              <w:jc w:val="right"/>
              <w:rPr>
                <w:rFonts w:asciiTheme="minorHAnsi" w:hAnsiTheme="minorHAnsi" w:cstheme="minorHAnsi"/>
                <w:sz w:val="18"/>
                <w:szCs w:val="14"/>
              </w:rPr>
            </w:pPr>
          </w:p>
        </w:tc>
        <w:tc>
          <w:tcPr>
            <w:tcW w:w="995" w:type="dxa"/>
          </w:tcPr>
          <w:p w14:paraId="6FB5BEC4" w14:textId="77777777" w:rsidR="003F3B7B" w:rsidRPr="003F3B7B" w:rsidRDefault="003F3B7B" w:rsidP="00AC26B7">
            <w:pPr>
              <w:pStyle w:val="TablebodyleftTables"/>
              <w:spacing w:before="20" w:after="20"/>
              <w:jc w:val="right"/>
              <w:rPr>
                <w:rFonts w:asciiTheme="minorHAnsi" w:hAnsiTheme="minorHAnsi" w:cstheme="minorHAnsi"/>
                <w:sz w:val="18"/>
                <w:szCs w:val="14"/>
              </w:rPr>
            </w:pPr>
          </w:p>
        </w:tc>
        <w:tc>
          <w:tcPr>
            <w:tcW w:w="768" w:type="dxa"/>
          </w:tcPr>
          <w:p w14:paraId="2A6461E3" w14:textId="77777777" w:rsidR="003F3B7B" w:rsidRPr="003F3B7B" w:rsidRDefault="003F3B7B" w:rsidP="00AC26B7">
            <w:pPr>
              <w:pStyle w:val="TablebodyleftTables"/>
              <w:spacing w:before="20" w:after="20"/>
              <w:jc w:val="right"/>
              <w:rPr>
                <w:rFonts w:asciiTheme="minorHAnsi" w:hAnsiTheme="minorHAnsi" w:cstheme="minorHAnsi"/>
                <w:sz w:val="18"/>
                <w:szCs w:val="14"/>
              </w:rPr>
            </w:pPr>
          </w:p>
        </w:tc>
        <w:tc>
          <w:tcPr>
            <w:tcW w:w="1075" w:type="dxa"/>
          </w:tcPr>
          <w:p w14:paraId="680BFE87" w14:textId="77777777" w:rsidR="003F3B7B" w:rsidRPr="003F3B7B" w:rsidRDefault="003F3B7B" w:rsidP="00AC26B7">
            <w:pPr>
              <w:pStyle w:val="TablebodyleftTables"/>
              <w:spacing w:before="20" w:after="20"/>
              <w:jc w:val="right"/>
              <w:rPr>
                <w:rFonts w:asciiTheme="minorHAnsi" w:hAnsiTheme="minorHAnsi" w:cstheme="minorHAnsi"/>
                <w:sz w:val="18"/>
                <w:szCs w:val="14"/>
              </w:rPr>
            </w:pPr>
          </w:p>
        </w:tc>
        <w:tc>
          <w:tcPr>
            <w:tcW w:w="1083" w:type="dxa"/>
          </w:tcPr>
          <w:p w14:paraId="2F3082AC" w14:textId="77777777" w:rsidR="003F3B7B" w:rsidRPr="003F3B7B" w:rsidRDefault="003F3B7B" w:rsidP="00AC26B7">
            <w:pPr>
              <w:pStyle w:val="TablebodyleftTables"/>
              <w:spacing w:before="20" w:after="20"/>
              <w:jc w:val="right"/>
              <w:rPr>
                <w:rFonts w:asciiTheme="minorHAnsi" w:hAnsiTheme="minorHAnsi" w:cstheme="minorHAnsi"/>
                <w:sz w:val="18"/>
                <w:szCs w:val="14"/>
              </w:rPr>
            </w:pPr>
          </w:p>
        </w:tc>
        <w:tc>
          <w:tcPr>
            <w:tcW w:w="943" w:type="dxa"/>
          </w:tcPr>
          <w:p w14:paraId="7311BD19" w14:textId="77777777" w:rsidR="003F3B7B" w:rsidRPr="003F3B7B" w:rsidRDefault="003F3B7B" w:rsidP="00AC26B7">
            <w:pPr>
              <w:pStyle w:val="TablebodyleftTables"/>
              <w:spacing w:before="20" w:after="20"/>
              <w:jc w:val="right"/>
              <w:rPr>
                <w:rFonts w:asciiTheme="minorHAnsi" w:hAnsiTheme="minorHAnsi" w:cstheme="minorHAnsi"/>
                <w:sz w:val="18"/>
                <w:szCs w:val="14"/>
              </w:rPr>
            </w:pPr>
          </w:p>
        </w:tc>
        <w:tc>
          <w:tcPr>
            <w:tcW w:w="942" w:type="dxa"/>
          </w:tcPr>
          <w:p w14:paraId="0A906644" w14:textId="77777777" w:rsidR="003F3B7B" w:rsidRPr="003F3B7B" w:rsidRDefault="003F3B7B" w:rsidP="00AC26B7">
            <w:pPr>
              <w:pStyle w:val="TablebodyleftTables"/>
              <w:spacing w:before="20" w:after="20"/>
              <w:jc w:val="right"/>
              <w:rPr>
                <w:rFonts w:asciiTheme="minorHAnsi" w:hAnsiTheme="minorHAnsi" w:cstheme="minorHAnsi"/>
                <w:sz w:val="18"/>
                <w:szCs w:val="14"/>
              </w:rPr>
            </w:pPr>
          </w:p>
        </w:tc>
        <w:tc>
          <w:tcPr>
            <w:tcW w:w="872" w:type="dxa"/>
          </w:tcPr>
          <w:p w14:paraId="60AFEDAE" w14:textId="77777777" w:rsidR="003F3B7B" w:rsidRPr="003F3B7B" w:rsidRDefault="003F3B7B" w:rsidP="00AC26B7">
            <w:pPr>
              <w:pStyle w:val="TablebodyleftTables"/>
              <w:spacing w:before="20" w:after="20"/>
              <w:jc w:val="right"/>
              <w:rPr>
                <w:rFonts w:asciiTheme="minorHAnsi" w:hAnsiTheme="minorHAnsi" w:cstheme="minorHAnsi"/>
                <w:sz w:val="18"/>
                <w:szCs w:val="14"/>
              </w:rPr>
            </w:pPr>
          </w:p>
        </w:tc>
        <w:tc>
          <w:tcPr>
            <w:tcW w:w="999" w:type="dxa"/>
          </w:tcPr>
          <w:p w14:paraId="583E2824" w14:textId="77777777" w:rsidR="003F3B7B" w:rsidRPr="003F3B7B" w:rsidRDefault="003F3B7B" w:rsidP="00AC26B7">
            <w:pPr>
              <w:pStyle w:val="TablebodyleftTables"/>
              <w:spacing w:before="20" w:after="20"/>
              <w:jc w:val="right"/>
              <w:rPr>
                <w:rFonts w:asciiTheme="minorHAnsi" w:hAnsiTheme="minorHAnsi" w:cstheme="minorHAnsi"/>
                <w:sz w:val="18"/>
                <w:szCs w:val="14"/>
              </w:rPr>
            </w:pPr>
          </w:p>
        </w:tc>
        <w:tc>
          <w:tcPr>
            <w:tcW w:w="835" w:type="dxa"/>
          </w:tcPr>
          <w:p w14:paraId="6396D78D" w14:textId="77777777" w:rsidR="003F3B7B" w:rsidRPr="003F3B7B" w:rsidRDefault="003F3B7B" w:rsidP="00AC26B7">
            <w:pPr>
              <w:pStyle w:val="TablebodyleftTables"/>
              <w:spacing w:before="20" w:after="20"/>
              <w:jc w:val="right"/>
              <w:rPr>
                <w:rFonts w:asciiTheme="minorHAnsi" w:hAnsiTheme="minorHAnsi" w:cstheme="minorHAnsi"/>
                <w:sz w:val="18"/>
                <w:szCs w:val="14"/>
              </w:rPr>
            </w:pPr>
          </w:p>
        </w:tc>
      </w:tr>
      <w:tr w:rsidR="003F3B7B" w:rsidRPr="003F3B7B" w14:paraId="0461CEB1" w14:textId="77777777" w:rsidTr="00AC26B7">
        <w:tc>
          <w:tcPr>
            <w:tcW w:w="1717" w:type="dxa"/>
          </w:tcPr>
          <w:p w14:paraId="51ACF0CE" w14:textId="77777777" w:rsidR="003F3B7B" w:rsidRPr="003F3B7B" w:rsidRDefault="003F3B7B" w:rsidP="00AC26B7">
            <w:pPr>
              <w:pStyle w:val="TablebodyleftTables"/>
              <w:spacing w:before="20" w:after="20"/>
              <w:rPr>
                <w:rFonts w:asciiTheme="minorHAnsi" w:hAnsiTheme="minorHAnsi" w:cstheme="minorHAnsi"/>
                <w:sz w:val="18"/>
                <w:szCs w:val="14"/>
              </w:rPr>
            </w:pPr>
            <w:r w:rsidRPr="003F3B7B">
              <w:rPr>
                <w:rFonts w:asciiTheme="minorHAnsi" w:hAnsiTheme="minorHAnsi" w:cstheme="minorHAnsi"/>
                <w:sz w:val="18"/>
                <w:szCs w:val="14"/>
              </w:rPr>
              <w:t>Senior Technical Specialist (STS)</w:t>
            </w:r>
          </w:p>
        </w:tc>
        <w:tc>
          <w:tcPr>
            <w:tcW w:w="1078" w:type="dxa"/>
          </w:tcPr>
          <w:p w14:paraId="729EF7F5"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27</w:t>
            </w:r>
          </w:p>
        </w:tc>
        <w:tc>
          <w:tcPr>
            <w:tcW w:w="1050" w:type="dxa"/>
          </w:tcPr>
          <w:p w14:paraId="579B6C23"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26</w:t>
            </w:r>
          </w:p>
        </w:tc>
        <w:tc>
          <w:tcPr>
            <w:tcW w:w="942" w:type="dxa"/>
          </w:tcPr>
          <w:p w14:paraId="0090578E"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18</w:t>
            </w:r>
          </w:p>
        </w:tc>
        <w:tc>
          <w:tcPr>
            <w:tcW w:w="942" w:type="dxa"/>
          </w:tcPr>
          <w:p w14:paraId="3C7B9816"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w:t>
            </w:r>
          </w:p>
        </w:tc>
        <w:tc>
          <w:tcPr>
            <w:tcW w:w="942" w:type="dxa"/>
          </w:tcPr>
          <w:p w14:paraId="6C8651FE"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18</w:t>
            </w:r>
          </w:p>
        </w:tc>
        <w:tc>
          <w:tcPr>
            <w:tcW w:w="995" w:type="dxa"/>
          </w:tcPr>
          <w:p w14:paraId="780465F2"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9</w:t>
            </w:r>
          </w:p>
        </w:tc>
        <w:tc>
          <w:tcPr>
            <w:tcW w:w="768" w:type="dxa"/>
          </w:tcPr>
          <w:p w14:paraId="5BC7EBAD"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8</w:t>
            </w:r>
          </w:p>
        </w:tc>
        <w:tc>
          <w:tcPr>
            <w:tcW w:w="1075" w:type="dxa"/>
          </w:tcPr>
          <w:p w14:paraId="1FA921F1"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28</w:t>
            </w:r>
          </w:p>
        </w:tc>
        <w:tc>
          <w:tcPr>
            <w:tcW w:w="1083" w:type="dxa"/>
          </w:tcPr>
          <w:p w14:paraId="3687E914"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27</w:t>
            </w:r>
          </w:p>
        </w:tc>
        <w:tc>
          <w:tcPr>
            <w:tcW w:w="943" w:type="dxa"/>
          </w:tcPr>
          <w:p w14:paraId="17056588"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16</w:t>
            </w:r>
          </w:p>
        </w:tc>
        <w:tc>
          <w:tcPr>
            <w:tcW w:w="942" w:type="dxa"/>
          </w:tcPr>
          <w:p w14:paraId="4514CDE6"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w:t>
            </w:r>
          </w:p>
        </w:tc>
        <w:tc>
          <w:tcPr>
            <w:tcW w:w="872" w:type="dxa"/>
          </w:tcPr>
          <w:p w14:paraId="4A2BD2EF"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17</w:t>
            </w:r>
          </w:p>
        </w:tc>
        <w:tc>
          <w:tcPr>
            <w:tcW w:w="999" w:type="dxa"/>
          </w:tcPr>
          <w:p w14:paraId="0E4807A0"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11</w:t>
            </w:r>
          </w:p>
        </w:tc>
        <w:tc>
          <w:tcPr>
            <w:tcW w:w="835" w:type="dxa"/>
          </w:tcPr>
          <w:p w14:paraId="7C592EB5"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11</w:t>
            </w:r>
          </w:p>
        </w:tc>
      </w:tr>
      <w:tr w:rsidR="003F3B7B" w:rsidRPr="003F3B7B" w14:paraId="04A80A21" w14:textId="77777777" w:rsidTr="00AC26B7">
        <w:tc>
          <w:tcPr>
            <w:tcW w:w="1717" w:type="dxa"/>
          </w:tcPr>
          <w:p w14:paraId="23BE0B96" w14:textId="77777777" w:rsidR="003F3B7B" w:rsidRPr="003F3B7B" w:rsidRDefault="003F3B7B" w:rsidP="00AC26B7">
            <w:pPr>
              <w:pStyle w:val="TablebodyleftTables"/>
              <w:spacing w:before="20" w:after="20"/>
              <w:rPr>
                <w:rFonts w:asciiTheme="minorHAnsi" w:hAnsiTheme="minorHAnsi" w:cstheme="minorHAnsi"/>
                <w:sz w:val="18"/>
                <w:szCs w:val="14"/>
              </w:rPr>
            </w:pPr>
            <w:r w:rsidRPr="003F3B7B">
              <w:rPr>
                <w:rFonts w:asciiTheme="minorHAnsi" w:hAnsiTheme="minorHAnsi" w:cstheme="minorHAnsi"/>
                <w:sz w:val="18"/>
                <w:szCs w:val="14"/>
              </w:rPr>
              <w:t>Principal Scientist (PS)</w:t>
            </w:r>
          </w:p>
        </w:tc>
        <w:tc>
          <w:tcPr>
            <w:tcW w:w="1078" w:type="dxa"/>
          </w:tcPr>
          <w:p w14:paraId="4CCF417F"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3</w:t>
            </w:r>
          </w:p>
        </w:tc>
        <w:tc>
          <w:tcPr>
            <w:tcW w:w="1050" w:type="dxa"/>
          </w:tcPr>
          <w:p w14:paraId="46109455"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3</w:t>
            </w:r>
          </w:p>
        </w:tc>
        <w:tc>
          <w:tcPr>
            <w:tcW w:w="942" w:type="dxa"/>
          </w:tcPr>
          <w:p w14:paraId="051749A3"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2</w:t>
            </w:r>
          </w:p>
        </w:tc>
        <w:tc>
          <w:tcPr>
            <w:tcW w:w="942" w:type="dxa"/>
          </w:tcPr>
          <w:p w14:paraId="6970B400"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w:t>
            </w:r>
          </w:p>
        </w:tc>
        <w:tc>
          <w:tcPr>
            <w:tcW w:w="942" w:type="dxa"/>
          </w:tcPr>
          <w:p w14:paraId="23B65046"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2</w:t>
            </w:r>
          </w:p>
        </w:tc>
        <w:tc>
          <w:tcPr>
            <w:tcW w:w="995" w:type="dxa"/>
          </w:tcPr>
          <w:p w14:paraId="243252F7"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w:t>
            </w:r>
          </w:p>
        </w:tc>
        <w:tc>
          <w:tcPr>
            <w:tcW w:w="768" w:type="dxa"/>
          </w:tcPr>
          <w:p w14:paraId="39A596C9"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w:t>
            </w:r>
          </w:p>
        </w:tc>
        <w:tc>
          <w:tcPr>
            <w:tcW w:w="1075" w:type="dxa"/>
          </w:tcPr>
          <w:p w14:paraId="20967AAF"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4</w:t>
            </w:r>
          </w:p>
        </w:tc>
        <w:tc>
          <w:tcPr>
            <w:tcW w:w="1083" w:type="dxa"/>
          </w:tcPr>
          <w:p w14:paraId="47ED40FF"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4</w:t>
            </w:r>
          </w:p>
        </w:tc>
        <w:tc>
          <w:tcPr>
            <w:tcW w:w="943" w:type="dxa"/>
          </w:tcPr>
          <w:p w14:paraId="73E36407"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2</w:t>
            </w:r>
          </w:p>
        </w:tc>
        <w:tc>
          <w:tcPr>
            <w:tcW w:w="942" w:type="dxa"/>
          </w:tcPr>
          <w:p w14:paraId="7581683C"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w:t>
            </w:r>
          </w:p>
        </w:tc>
        <w:tc>
          <w:tcPr>
            <w:tcW w:w="872" w:type="dxa"/>
          </w:tcPr>
          <w:p w14:paraId="0088C435"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2</w:t>
            </w:r>
          </w:p>
        </w:tc>
        <w:tc>
          <w:tcPr>
            <w:tcW w:w="999" w:type="dxa"/>
          </w:tcPr>
          <w:p w14:paraId="19DBC2DA"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2</w:t>
            </w:r>
          </w:p>
        </w:tc>
        <w:tc>
          <w:tcPr>
            <w:tcW w:w="835" w:type="dxa"/>
          </w:tcPr>
          <w:p w14:paraId="1ECEF55F"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2</w:t>
            </w:r>
          </w:p>
        </w:tc>
      </w:tr>
      <w:tr w:rsidR="003F3B7B" w:rsidRPr="003F3B7B" w14:paraId="21A696B1" w14:textId="77777777" w:rsidTr="00AC26B7">
        <w:tc>
          <w:tcPr>
            <w:tcW w:w="1717" w:type="dxa"/>
          </w:tcPr>
          <w:p w14:paraId="3DA652D6" w14:textId="77777777" w:rsidR="003F3B7B" w:rsidRPr="003F3B7B" w:rsidRDefault="003F3B7B" w:rsidP="00AC26B7">
            <w:pPr>
              <w:pStyle w:val="TablebodyleftTables"/>
              <w:spacing w:before="20" w:after="20"/>
              <w:rPr>
                <w:rFonts w:asciiTheme="minorHAnsi" w:hAnsiTheme="minorHAnsi" w:cstheme="minorHAnsi"/>
                <w:sz w:val="18"/>
                <w:szCs w:val="14"/>
              </w:rPr>
            </w:pPr>
            <w:r w:rsidRPr="003F3B7B">
              <w:rPr>
                <w:rFonts w:asciiTheme="minorHAnsi" w:hAnsiTheme="minorHAnsi" w:cstheme="minorHAnsi"/>
                <w:sz w:val="18"/>
                <w:szCs w:val="14"/>
              </w:rPr>
              <w:t>Executives</w:t>
            </w:r>
          </w:p>
        </w:tc>
        <w:tc>
          <w:tcPr>
            <w:tcW w:w="1078" w:type="dxa"/>
          </w:tcPr>
          <w:p w14:paraId="30C4B49C"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178</w:t>
            </w:r>
          </w:p>
        </w:tc>
        <w:tc>
          <w:tcPr>
            <w:tcW w:w="1050" w:type="dxa"/>
          </w:tcPr>
          <w:p w14:paraId="0551887C"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173</w:t>
            </w:r>
          </w:p>
        </w:tc>
        <w:tc>
          <w:tcPr>
            <w:tcW w:w="942" w:type="dxa"/>
          </w:tcPr>
          <w:p w14:paraId="23EDBF49"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157</w:t>
            </w:r>
          </w:p>
        </w:tc>
        <w:tc>
          <w:tcPr>
            <w:tcW w:w="942" w:type="dxa"/>
          </w:tcPr>
          <w:p w14:paraId="72D01CDF"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21</w:t>
            </w:r>
          </w:p>
        </w:tc>
        <w:tc>
          <w:tcPr>
            <w:tcW w:w="942" w:type="dxa"/>
          </w:tcPr>
          <w:p w14:paraId="34F0908C"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173</w:t>
            </w:r>
          </w:p>
        </w:tc>
        <w:tc>
          <w:tcPr>
            <w:tcW w:w="995" w:type="dxa"/>
          </w:tcPr>
          <w:p w14:paraId="0BE61651"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w:t>
            </w:r>
          </w:p>
        </w:tc>
        <w:tc>
          <w:tcPr>
            <w:tcW w:w="768" w:type="dxa"/>
          </w:tcPr>
          <w:p w14:paraId="14F2D188"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w:t>
            </w:r>
          </w:p>
        </w:tc>
        <w:tc>
          <w:tcPr>
            <w:tcW w:w="1075" w:type="dxa"/>
          </w:tcPr>
          <w:p w14:paraId="425D1969"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155</w:t>
            </w:r>
          </w:p>
        </w:tc>
        <w:tc>
          <w:tcPr>
            <w:tcW w:w="1083" w:type="dxa"/>
          </w:tcPr>
          <w:p w14:paraId="08A4A42B"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152</w:t>
            </w:r>
          </w:p>
        </w:tc>
        <w:tc>
          <w:tcPr>
            <w:tcW w:w="943" w:type="dxa"/>
          </w:tcPr>
          <w:p w14:paraId="2F3AC2FD"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138</w:t>
            </w:r>
          </w:p>
        </w:tc>
        <w:tc>
          <w:tcPr>
            <w:tcW w:w="942" w:type="dxa"/>
          </w:tcPr>
          <w:p w14:paraId="7C5734AE"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17</w:t>
            </w:r>
          </w:p>
        </w:tc>
        <w:tc>
          <w:tcPr>
            <w:tcW w:w="872" w:type="dxa"/>
          </w:tcPr>
          <w:p w14:paraId="388CF012"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152</w:t>
            </w:r>
          </w:p>
        </w:tc>
        <w:tc>
          <w:tcPr>
            <w:tcW w:w="999" w:type="dxa"/>
          </w:tcPr>
          <w:p w14:paraId="11E2BBEF"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w:t>
            </w:r>
          </w:p>
        </w:tc>
        <w:tc>
          <w:tcPr>
            <w:tcW w:w="835" w:type="dxa"/>
          </w:tcPr>
          <w:p w14:paraId="425067B0" w14:textId="77777777" w:rsidR="003F3B7B" w:rsidRPr="003F3B7B" w:rsidRDefault="003F3B7B" w:rsidP="00AC26B7">
            <w:pPr>
              <w:pStyle w:val="TablebodyleftTables"/>
              <w:spacing w:before="20" w:after="20"/>
              <w:jc w:val="right"/>
              <w:rPr>
                <w:rFonts w:asciiTheme="minorHAnsi" w:hAnsiTheme="minorHAnsi" w:cstheme="minorHAnsi"/>
                <w:sz w:val="18"/>
                <w:szCs w:val="14"/>
              </w:rPr>
            </w:pPr>
            <w:r w:rsidRPr="003F3B7B">
              <w:rPr>
                <w:rFonts w:asciiTheme="minorHAnsi" w:hAnsiTheme="minorHAnsi" w:cstheme="minorHAnsi"/>
                <w:sz w:val="18"/>
                <w:szCs w:val="14"/>
              </w:rPr>
              <w:t>–</w:t>
            </w:r>
          </w:p>
        </w:tc>
      </w:tr>
      <w:tr w:rsidR="003F3B7B" w:rsidRPr="008B2F7F" w14:paraId="4C5E5ED5" w14:textId="77777777" w:rsidTr="00AC26B7">
        <w:tc>
          <w:tcPr>
            <w:tcW w:w="1717" w:type="dxa"/>
          </w:tcPr>
          <w:p w14:paraId="211614AD" w14:textId="77777777" w:rsidR="003F3B7B" w:rsidRPr="008B2F7F" w:rsidRDefault="003F3B7B" w:rsidP="00AC26B7">
            <w:pPr>
              <w:pStyle w:val="TablebodyleftTables"/>
              <w:spacing w:before="20" w:after="20"/>
              <w:rPr>
                <w:rFonts w:asciiTheme="minorHAnsi" w:hAnsiTheme="minorHAnsi" w:cstheme="minorHAnsi"/>
                <w:b/>
                <w:bCs/>
                <w:sz w:val="18"/>
                <w:szCs w:val="14"/>
              </w:rPr>
            </w:pPr>
            <w:r w:rsidRPr="008B2F7F">
              <w:rPr>
                <w:rFonts w:asciiTheme="minorHAnsi" w:hAnsiTheme="minorHAnsi" w:cstheme="minorHAnsi"/>
                <w:b/>
                <w:bCs/>
                <w:sz w:val="18"/>
                <w:szCs w:val="14"/>
              </w:rPr>
              <w:t>Senior employees</w:t>
            </w:r>
          </w:p>
        </w:tc>
        <w:tc>
          <w:tcPr>
            <w:tcW w:w="1078" w:type="dxa"/>
          </w:tcPr>
          <w:p w14:paraId="6724055D"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208</w:t>
            </w:r>
          </w:p>
        </w:tc>
        <w:tc>
          <w:tcPr>
            <w:tcW w:w="1050" w:type="dxa"/>
          </w:tcPr>
          <w:p w14:paraId="6BEEBCCA"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202</w:t>
            </w:r>
          </w:p>
        </w:tc>
        <w:tc>
          <w:tcPr>
            <w:tcW w:w="942" w:type="dxa"/>
          </w:tcPr>
          <w:p w14:paraId="40CD82D3"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177</w:t>
            </w:r>
          </w:p>
        </w:tc>
        <w:tc>
          <w:tcPr>
            <w:tcW w:w="942" w:type="dxa"/>
          </w:tcPr>
          <w:p w14:paraId="2720B2CB"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21</w:t>
            </w:r>
          </w:p>
        </w:tc>
        <w:tc>
          <w:tcPr>
            <w:tcW w:w="942" w:type="dxa"/>
          </w:tcPr>
          <w:p w14:paraId="2C77DCEE"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193</w:t>
            </w:r>
          </w:p>
        </w:tc>
        <w:tc>
          <w:tcPr>
            <w:tcW w:w="995" w:type="dxa"/>
          </w:tcPr>
          <w:p w14:paraId="0D635F5F"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10</w:t>
            </w:r>
          </w:p>
        </w:tc>
        <w:tc>
          <w:tcPr>
            <w:tcW w:w="768" w:type="dxa"/>
          </w:tcPr>
          <w:p w14:paraId="384E68DF"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9</w:t>
            </w:r>
          </w:p>
        </w:tc>
        <w:tc>
          <w:tcPr>
            <w:tcW w:w="1075" w:type="dxa"/>
          </w:tcPr>
          <w:p w14:paraId="331A170B"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187</w:t>
            </w:r>
          </w:p>
        </w:tc>
        <w:tc>
          <w:tcPr>
            <w:tcW w:w="1083" w:type="dxa"/>
          </w:tcPr>
          <w:p w14:paraId="0AF2C748"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184</w:t>
            </w:r>
          </w:p>
        </w:tc>
        <w:tc>
          <w:tcPr>
            <w:tcW w:w="943" w:type="dxa"/>
          </w:tcPr>
          <w:p w14:paraId="1ED3D72C"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156</w:t>
            </w:r>
          </w:p>
        </w:tc>
        <w:tc>
          <w:tcPr>
            <w:tcW w:w="942" w:type="dxa"/>
          </w:tcPr>
          <w:p w14:paraId="3FF2676F"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18</w:t>
            </w:r>
          </w:p>
        </w:tc>
        <w:tc>
          <w:tcPr>
            <w:tcW w:w="872" w:type="dxa"/>
          </w:tcPr>
          <w:p w14:paraId="5176ECDB"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171</w:t>
            </w:r>
          </w:p>
        </w:tc>
        <w:tc>
          <w:tcPr>
            <w:tcW w:w="999" w:type="dxa"/>
          </w:tcPr>
          <w:p w14:paraId="5A697E19"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13</w:t>
            </w:r>
          </w:p>
        </w:tc>
        <w:tc>
          <w:tcPr>
            <w:tcW w:w="835" w:type="dxa"/>
          </w:tcPr>
          <w:p w14:paraId="1C177E8B"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13</w:t>
            </w:r>
          </w:p>
        </w:tc>
      </w:tr>
      <w:tr w:rsidR="003F3B7B" w:rsidRPr="008B2F7F" w14:paraId="2F4E791B" w14:textId="77777777" w:rsidTr="00AC26B7">
        <w:tc>
          <w:tcPr>
            <w:tcW w:w="1717" w:type="dxa"/>
          </w:tcPr>
          <w:p w14:paraId="611AABC6" w14:textId="77777777" w:rsidR="003F3B7B" w:rsidRPr="008B2F7F" w:rsidRDefault="003F3B7B" w:rsidP="00AC26B7">
            <w:pPr>
              <w:pStyle w:val="TablebodyleftTables"/>
              <w:spacing w:before="20" w:after="20"/>
              <w:rPr>
                <w:rFonts w:asciiTheme="minorHAnsi" w:hAnsiTheme="minorHAnsi" w:cstheme="minorHAnsi"/>
                <w:b/>
                <w:bCs/>
                <w:sz w:val="18"/>
                <w:szCs w:val="14"/>
              </w:rPr>
            </w:pPr>
            <w:r w:rsidRPr="008B2F7F">
              <w:rPr>
                <w:rFonts w:asciiTheme="minorHAnsi" w:hAnsiTheme="minorHAnsi" w:cstheme="minorHAnsi"/>
                <w:b/>
                <w:bCs/>
                <w:sz w:val="18"/>
                <w:szCs w:val="14"/>
              </w:rPr>
              <w:t>Field Staff</w:t>
            </w:r>
          </w:p>
        </w:tc>
        <w:tc>
          <w:tcPr>
            <w:tcW w:w="1078" w:type="dxa"/>
          </w:tcPr>
          <w:p w14:paraId="573CC716"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588</w:t>
            </w:r>
          </w:p>
        </w:tc>
        <w:tc>
          <w:tcPr>
            <w:tcW w:w="1050" w:type="dxa"/>
          </w:tcPr>
          <w:p w14:paraId="51AE7002"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575</w:t>
            </w:r>
          </w:p>
        </w:tc>
        <w:tc>
          <w:tcPr>
            <w:tcW w:w="942" w:type="dxa"/>
          </w:tcPr>
          <w:p w14:paraId="2C0BCE7A"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301</w:t>
            </w:r>
          </w:p>
        </w:tc>
        <w:tc>
          <w:tcPr>
            <w:tcW w:w="942" w:type="dxa"/>
          </w:tcPr>
          <w:p w14:paraId="5BFCD850"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3</w:t>
            </w:r>
          </w:p>
        </w:tc>
        <w:tc>
          <w:tcPr>
            <w:tcW w:w="942" w:type="dxa"/>
          </w:tcPr>
          <w:p w14:paraId="0E036589"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303</w:t>
            </w:r>
          </w:p>
        </w:tc>
        <w:tc>
          <w:tcPr>
            <w:tcW w:w="995" w:type="dxa"/>
          </w:tcPr>
          <w:p w14:paraId="335ADE89"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284</w:t>
            </w:r>
          </w:p>
        </w:tc>
        <w:tc>
          <w:tcPr>
            <w:tcW w:w="768" w:type="dxa"/>
          </w:tcPr>
          <w:p w14:paraId="4017F63A"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273</w:t>
            </w:r>
          </w:p>
        </w:tc>
        <w:tc>
          <w:tcPr>
            <w:tcW w:w="1075" w:type="dxa"/>
          </w:tcPr>
          <w:p w14:paraId="724DDB58"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596</w:t>
            </w:r>
          </w:p>
        </w:tc>
        <w:tc>
          <w:tcPr>
            <w:tcW w:w="1083" w:type="dxa"/>
          </w:tcPr>
          <w:p w14:paraId="2FE4BBBA"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585</w:t>
            </w:r>
          </w:p>
        </w:tc>
        <w:tc>
          <w:tcPr>
            <w:tcW w:w="943" w:type="dxa"/>
          </w:tcPr>
          <w:p w14:paraId="750292AD"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292</w:t>
            </w:r>
          </w:p>
        </w:tc>
        <w:tc>
          <w:tcPr>
            <w:tcW w:w="942" w:type="dxa"/>
          </w:tcPr>
          <w:p w14:paraId="7EC1FB51"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4</w:t>
            </w:r>
          </w:p>
        </w:tc>
        <w:tc>
          <w:tcPr>
            <w:tcW w:w="872" w:type="dxa"/>
          </w:tcPr>
          <w:p w14:paraId="72D35805"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294</w:t>
            </w:r>
          </w:p>
        </w:tc>
        <w:tc>
          <w:tcPr>
            <w:tcW w:w="999" w:type="dxa"/>
          </w:tcPr>
          <w:p w14:paraId="30E4B2ED"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300</w:t>
            </w:r>
          </w:p>
        </w:tc>
        <w:tc>
          <w:tcPr>
            <w:tcW w:w="835" w:type="dxa"/>
          </w:tcPr>
          <w:p w14:paraId="50B0F25B"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290</w:t>
            </w:r>
          </w:p>
        </w:tc>
      </w:tr>
      <w:tr w:rsidR="003F3B7B" w:rsidRPr="008B2F7F" w14:paraId="614E9DE3" w14:textId="77777777" w:rsidTr="00AC26B7">
        <w:tc>
          <w:tcPr>
            <w:tcW w:w="1717" w:type="dxa"/>
          </w:tcPr>
          <w:p w14:paraId="4CCBA8E4" w14:textId="77777777" w:rsidR="003F3B7B" w:rsidRPr="008B2F7F" w:rsidRDefault="003F3B7B" w:rsidP="00AC26B7">
            <w:pPr>
              <w:pStyle w:val="TablebodyleftTables"/>
              <w:spacing w:before="20" w:after="20"/>
              <w:rPr>
                <w:rFonts w:asciiTheme="minorHAnsi" w:hAnsiTheme="minorHAnsi" w:cstheme="minorHAnsi"/>
                <w:b/>
                <w:bCs/>
                <w:sz w:val="18"/>
                <w:szCs w:val="14"/>
              </w:rPr>
            </w:pPr>
            <w:r w:rsidRPr="008B2F7F">
              <w:rPr>
                <w:rFonts w:asciiTheme="minorHAnsi" w:hAnsiTheme="minorHAnsi" w:cstheme="minorHAnsi"/>
                <w:b/>
                <w:bCs/>
                <w:sz w:val="18"/>
                <w:szCs w:val="14"/>
              </w:rPr>
              <w:t>Other</w:t>
            </w:r>
          </w:p>
        </w:tc>
        <w:tc>
          <w:tcPr>
            <w:tcW w:w="1078" w:type="dxa"/>
          </w:tcPr>
          <w:p w14:paraId="3C1B0F5D"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21</w:t>
            </w:r>
          </w:p>
        </w:tc>
        <w:tc>
          <w:tcPr>
            <w:tcW w:w="1050" w:type="dxa"/>
          </w:tcPr>
          <w:p w14:paraId="75294922"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21</w:t>
            </w:r>
          </w:p>
        </w:tc>
        <w:tc>
          <w:tcPr>
            <w:tcW w:w="942" w:type="dxa"/>
          </w:tcPr>
          <w:p w14:paraId="4BE7A233"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20</w:t>
            </w:r>
          </w:p>
        </w:tc>
        <w:tc>
          <w:tcPr>
            <w:tcW w:w="942" w:type="dxa"/>
          </w:tcPr>
          <w:p w14:paraId="10465A51"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w:t>
            </w:r>
          </w:p>
        </w:tc>
        <w:tc>
          <w:tcPr>
            <w:tcW w:w="942" w:type="dxa"/>
          </w:tcPr>
          <w:p w14:paraId="76039C74"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20</w:t>
            </w:r>
          </w:p>
        </w:tc>
        <w:tc>
          <w:tcPr>
            <w:tcW w:w="995" w:type="dxa"/>
          </w:tcPr>
          <w:p w14:paraId="039615D7"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1</w:t>
            </w:r>
          </w:p>
        </w:tc>
        <w:tc>
          <w:tcPr>
            <w:tcW w:w="768" w:type="dxa"/>
          </w:tcPr>
          <w:p w14:paraId="2FD08AC9"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1</w:t>
            </w:r>
          </w:p>
        </w:tc>
        <w:tc>
          <w:tcPr>
            <w:tcW w:w="1075" w:type="dxa"/>
          </w:tcPr>
          <w:p w14:paraId="6E6904E7"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21</w:t>
            </w:r>
          </w:p>
        </w:tc>
        <w:tc>
          <w:tcPr>
            <w:tcW w:w="1083" w:type="dxa"/>
          </w:tcPr>
          <w:p w14:paraId="4DEE017C"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21</w:t>
            </w:r>
          </w:p>
        </w:tc>
        <w:tc>
          <w:tcPr>
            <w:tcW w:w="943" w:type="dxa"/>
          </w:tcPr>
          <w:p w14:paraId="3EBBDDB8"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18</w:t>
            </w:r>
          </w:p>
        </w:tc>
        <w:tc>
          <w:tcPr>
            <w:tcW w:w="942" w:type="dxa"/>
          </w:tcPr>
          <w:p w14:paraId="4835B65B"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w:t>
            </w:r>
          </w:p>
        </w:tc>
        <w:tc>
          <w:tcPr>
            <w:tcW w:w="872" w:type="dxa"/>
          </w:tcPr>
          <w:p w14:paraId="4FA1AB15"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18</w:t>
            </w:r>
          </w:p>
        </w:tc>
        <w:tc>
          <w:tcPr>
            <w:tcW w:w="999" w:type="dxa"/>
          </w:tcPr>
          <w:p w14:paraId="082D1F4C"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3</w:t>
            </w:r>
          </w:p>
        </w:tc>
        <w:tc>
          <w:tcPr>
            <w:tcW w:w="835" w:type="dxa"/>
          </w:tcPr>
          <w:p w14:paraId="461651D8"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3</w:t>
            </w:r>
          </w:p>
        </w:tc>
      </w:tr>
      <w:tr w:rsidR="003F3B7B" w:rsidRPr="008B2F7F" w14:paraId="743A3EAE" w14:textId="77777777" w:rsidTr="00AC26B7">
        <w:tc>
          <w:tcPr>
            <w:tcW w:w="1717" w:type="dxa"/>
          </w:tcPr>
          <w:p w14:paraId="0855B7BB" w14:textId="77777777" w:rsidR="003F3B7B" w:rsidRPr="008B2F7F" w:rsidRDefault="003F3B7B" w:rsidP="00AC26B7">
            <w:pPr>
              <w:pStyle w:val="TablebodyleftTables"/>
              <w:spacing w:before="20" w:after="20"/>
              <w:rPr>
                <w:rFonts w:asciiTheme="minorHAnsi" w:hAnsiTheme="minorHAnsi" w:cstheme="minorHAnsi"/>
                <w:b/>
                <w:bCs/>
                <w:sz w:val="18"/>
                <w:szCs w:val="14"/>
              </w:rPr>
            </w:pPr>
            <w:r w:rsidRPr="008B2F7F">
              <w:rPr>
                <w:rFonts w:asciiTheme="minorHAnsi" w:hAnsiTheme="minorHAnsi" w:cstheme="minorHAnsi"/>
                <w:b/>
                <w:bCs/>
                <w:sz w:val="18"/>
                <w:szCs w:val="14"/>
              </w:rPr>
              <w:t>Total employees</w:t>
            </w:r>
          </w:p>
        </w:tc>
        <w:tc>
          <w:tcPr>
            <w:tcW w:w="1078" w:type="dxa"/>
          </w:tcPr>
          <w:p w14:paraId="5B762A11"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5,439</w:t>
            </w:r>
          </w:p>
        </w:tc>
        <w:tc>
          <w:tcPr>
            <w:tcW w:w="1050" w:type="dxa"/>
          </w:tcPr>
          <w:p w14:paraId="5F38C3A9"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5,186</w:t>
            </w:r>
          </w:p>
        </w:tc>
        <w:tc>
          <w:tcPr>
            <w:tcW w:w="942" w:type="dxa"/>
          </w:tcPr>
          <w:p w14:paraId="1FB72368"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3,255</w:t>
            </w:r>
          </w:p>
        </w:tc>
        <w:tc>
          <w:tcPr>
            <w:tcW w:w="942" w:type="dxa"/>
          </w:tcPr>
          <w:p w14:paraId="4FD60DAB"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655</w:t>
            </w:r>
          </w:p>
        </w:tc>
        <w:tc>
          <w:tcPr>
            <w:tcW w:w="942" w:type="dxa"/>
          </w:tcPr>
          <w:p w14:paraId="61D73E7F"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3,727</w:t>
            </w:r>
          </w:p>
        </w:tc>
        <w:tc>
          <w:tcPr>
            <w:tcW w:w="995" w:type="dxa"/>
          </w:tcPr>
          <w:p w14:paraId="19858520"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1,529</w:t>
            </w:r>
          </w:p>
        </w:tc>
        <w:tc>
          <w:tcPr>
            <w:tcW w:w="768" w:type="dxa"/>
          </w:tcPr>
          <w:p w14:paraId="3250E130"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1,458</w:t>
            </w:r>
          </w:p>
        </w:tc>
        <w:tc>
          <w:tcPr>
            <w:tcW w:w="1075" w:type="dxa"/>
          </w:tcPr>
          <w:p w14:paraId="63DBA9A1"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5,096</w:t>
            </w:r>
          </w:p>
        </w:tc>
        <w:tc>
          <w:tcPr>
            <w:tcW w:w="1083" w:type="dxa"/>
          </w:tcPr>
          <w:p w14:paraId="7D07725B"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4,869</w:t>
            </w:r>
          </w:p>
        </w:tc>
        <w:tc>
          <w:tcPr>
            <w:tcW w:w="943" w:type="dxa"/>
          </w:tcPr>
          <w:p w14:paraId="21BB0A57"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3,071</w:t>
            </w:r>
          </w:p>
        </w:tc>
        <w:tc>
          <w:tcPr>
            <w:tcW w:w="942" w:type="dxa"/>
          </w:tcPr>
          <w:p w14:paraId="1F887A0F"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586</w:t>
            </w:r>
          </w:p>
        </w:tc>
        <w:tc>
          <w:tcPr>
            <w:tcW w:w="872" w:type="dxa"/>
          </w:tcPr>
          <w:p w14:paraId="51BF4BBE"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3,492</w:t>
            </w:r>
          </w:p>
        </w:tc>
        <w:tc>
          <w:tcPr>
            <w:tcW w:w="999" w:type="dxa"/>
          </w:tcPr>
          <w:p w14:paraId="32C99E01"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1439</w:t>
            </w:r>
          </w:p>
        </w:tc>
        <w:tc>
          <w:tcPr>
            <w:tcW w:w="835" w:type="dxa"/>
          </w:tcPr>
          <w:p w14:paraId="7BBF4801" w14:textId="77777777" w:rsidR="003F3B7B" w:rsidRPr="008B2F7F" w:rsidRDefault="003F3B7B" w:rsidP="00AC26B7">
            <w:pPr>
              <w:pStyle w:val="TablebodyleftTables"/>
              <w:spacing w:before="20" w:after="20"/>
              <w:jc w:val="right"/>
              <w:rPr>
                <w:rFonts w:asciiTheme="minorHAnsi" w:hAnsiTheme="minorHAnsi" w:cstheme="minorHAnsi"/>
                <w:b/>
                <w:bCs/>
                <w:sz w:val="18"/>
                <w:szCs w:val="14"/>
              </w:rPr>
            </w:pPr>
            <w:r w:rsidRPr="008B2F7F">
              <w:rPr>
                <w:rFonts w:asciiTheme="minorHAnsi" w:hAnsiTheme="minorHAnsi" w:cstheme="minorHAnsi"/>
                <w:b/>
                <w:bCs/>
                <w:sz w:val="18"/>
                <w:szCs w:val="14"/>
              </w:rPr>
              <w:t>1,377</w:t>
            </w:r>
          </w:p>
        </w:tc>
      </w:tr>
    </w:tbl>
    <w:p w14:paraId="447F78D9" w14:textId="77777777" w:rsidR="00B02873" w:rsidRPr="002F50AD" w:rsidRDefault="00B02873" w:rsidP="002F50AD">
      <w:pPr>
        <w:pStyle w:val="SourceNote"/>
        <w:spacing w:after="120"/>
        <w:rPr>
          <w:b/>
          <w:bCs/>
        </w:rPr>
      </w:pPr>
      <w:r w:rsidRPr="002F50AD">
        <w:rPr>
          <w:b/>
          <w:bCs/>
        </w:rPr>
        <w:t>Notes:</w:t>
      </w:r>
    </w:p>
    <w:p w14:paraId="694BEB48" w14:textId="77777777" w:rsidR="00B02873" w:rsidRDefault="00B02873" w:rsidP="001128B1">
      <w:pPr>
        <w:pStyle w:val="SourceNotenumbered"/>
        <w:numPr>
          <w:ilvl w:val="0"/>
          <w:numId w:val="43"/>
        </w:numPr>
      </w:pPr>
      <w:r>
        <w:t>Ongoing employees includes people engaged on an open-ended contract of employment and executives engaged on a standard executive contract who were active in the last full pay period of June each year.</w:t>
      </w:r>
    </w:p>
    <w:p w14:paraId="208E09D1" w14:textId="77777777" w:rsidR="00B02873" w:rsidRDefault="00B02873" w:rsidP="001128B1">
      <w:pPr>
        <w:pStyle w:val="SourceNotenumbered"/>
        <w:numPr>
          <w:ilvl w:val="0"/>
          <w:numId w:val="43"/>
        </w:numPr>
      </w:pPr>
      <w:r>
        <w:t>FTE means ‘full time staff equivalent’ and is rounded to the nearest whole number.</w:t>
      </w:r>
    </w:p>
    <w:p w14:paraId="041B568B" w14:textId="77777777" w:rsidR="00B02873" w:rsidRDefault="00B02873" w:rsidP="001128B1">
      <w:pPr>
        <w:pStyle w:val="SourceNotenumbered"/>
        <w:numPr>
          <w:ilvl w:val="0"/>
          <w:numId w:val="43"/>
        </w:numPr>
      </w:pPr>
      <w:r>
        <w:t>Employees reported with a classification of ‘other’ include the following categories: Trainee and Wild Dog controllers.</w:t>
      </w:r>
    </w:p>
    <w:p w14:paraId="27D3CE24" w14:textId="77777777" w:rsidR="00B02873" w:rsidRDefault="00B02873" w:rsidP="001128B1">
      <w:pPr>
        <w:pStyle w:val="SourceNotenumbered"/>
        <w:numPr>
          <w:ilvl w:val="0"/>
          <w:numId w:val="43"/>
        </w:numPr>
      </w:pPr>
      <w:r>
        <w:t>Employees reported with a classification of ‘Executives’ includes the Accountable Officer.</w:t>
      </w:r>
    </w:p>
    <w:p w14:paraId="03980509" w14:textId="77777777" w:rsidR="00B02873" w:rsidRDefault="00B02873" w:rsidP="001128B1">
      <w:pPr>
        <w:pStyle w:val="SourceNotenumbered"/>
        <w:numPr>
          <w:ilvl w:val="0"/>
          <w:numId w:val="43"/>
        </w:numPr>
      </w:pPr>
      <w:r>
        <w:t>All figures reflect employment levels during the last full pay period in June each year.</w:t>
      </w:r>
    </w:p>
    <w:p w14:paraId="7A05E875" w14:textId="511B70D0" w:rsidR="00B02873" w:rsidRDefault="00B02873" w:rsidP="001128B1">
      <w:pPr>
        <w:pStyle w:val="SourceNotenumbered"/>
        <w:numPr>
          <w:ilvl w:val="0"/>
          <w:numId w:val="43"/>
        </w:numPr>
      </w:pPr>
      <w:r>
        <w:t xml:space="preserve">Excluded are those on leave without pay or absent on secondment, external contractors/consultants, and temporary staff employed by employment agencies, and people who are not employees but appointees to a statutory office, as defined in the </w:t>
      </w:r>
      <w:r w:rsidRPr="00DE1FCE">
        <w:rPr>
          <w:rStyle w:val="LightItalic"/>
          <w:rFonts w:asciiTheme="minorHAnsi" w:hAnsiTheme="minorHAnsi" w:cstheme="minorHAnsi"/>
          <w:sz w:val="14"/>
          <w:szCs w:val="14"/>
        </w:rPr>
        <w:t>Public Administration Act 2004</w:t>
      </w:r>
      <w:r>
        <w:t>. Employees attached to the Commissioner for Environmental Sustainability are employees of the DELWP Secretary and are included in the above figures.</w:t>
      </w:r>
    </w:p>
    <w:p w14:paraId="3770DBDF" w14:textId="77777777" w:rsidR="000D308A" w:rsidRDefault="000D308A" w:rsidP="006F52C9">
      <w:pPr>
        <w:pStyle w:val="Figureheading"/>
        <w:sectPr w:rsidR="000D308A" w:rsidSect="000D308A">
          <w:pgSz w:w="16838" w:h="11906" w:orient="landscape" w:code="9"/>
          <w:pgMar w:top="1134" w:right="1134" w:bottom="1134" w:left="1134" w:header="720" w:footer="720" w:gutter="0"/>
          <w:cols w:space="720"/>
          <w:noEndnote/>
          <w:docGrid w:linePitch="299"/>
        </w:sectPr>
      </w:pPr>
    </w:p>
    <w:p w14:paraId="4FB3C790" w14:textId="6F0F4256" w:rsidR="00B02873" w:rsidRDefault="00B02873" w:rsidP="00AC26B7">
      <w:pPr>
        <w:pStyle w:val="TabletitleTables"/>
      </w:pPr>
      <w:r>
        <w:lastRenderedPageBreak/>
        <w:t xml:space="preserve">Table 2: Annualised total salary, by $20,000 bands, for executives and other senior non-executive staff </w:t>
      </w:r>
    </w:p>
    <w:p w14:paraId="3EFBD147" w14:textId="77777777" w:rsidR="00B02873" w:rsidRDefault="00B02873" w:rsidP="00FE198A">
      <w:r>
        <w:t>The following table discloses the annualised total salary for senior employees of the department, categorised by classification. The salary amount is reported as the full-time annualised salary.</w:t>
      </w:r>
    </w:p>
    <w:tbl>
      <w:tblPr>
        <w:tblStyle w:val="TableGrid"/>
        <w:tblW w:w="9634" w:type="dxa"/>
        <w:tblLayout w:type="fixed"/>
        <w:tblLook w:val="0020" w:firstRow="1" w:lastRow="0" w:firstColumn="0" w:lastColumn="0" w:noHBand="0" w:noVBand="0"/>
      </w:tblPr>
      <w:tblGrid>
        <w:gridCol w:w="2239"/>
        <w:gridCol w:w="1342"/>
        <w:gridCol w:w="1165"/>
        <w:gridCol w:w="1329"/>
        <w:gridCol w:w="1181"/>
        <w:gridCol w:w="1386"/>
        <w:gridCol w:w="992"/>
      </w:tblGrid>
      <w:tr w:rsidR="00B02873" w:rsidRPr="00B02873" w14:paraId="2AFB2901" w14:textId="77777777" w:rsidTr="00E9353A">
        <w:trPr>
          <w:cnfStyle w:val="100000000000" w:firstRow="1" w:lastRow="0" w:firstColumn="0" w:lastColumn="0" w:oddVBand="0" w:evenVBand="0" w:oddHBand="0" w:evenHBand="0" w:firstRowFirstColumn="0" w:firstRowLastColumn="0" w:lastRowFirstColumn="0" w:lastRowLastColumn="0"/>
          <w:trHeight w:val="60"/>
        </w:trPr>
        <w:tc>
          <w:tcPr>
            <w:tcW w:w="2239" w:type="dxa"/>
          </w:tcPr>
          <w:p w14:paraId="5D987532" w14:textId="77777777" w:rsidR="00B02873" w:rsidRDefault="00B02873" w:rsidP="00E9353A">
            <w:pPr>
              <w:pStyle w:val="TableheadingleftTables"/>
            </w:pPr>
            <w:r>
              <w:t>Income band (salary)</w:t>
            </w:r>
          </w:p>
        </w:tc>
        <w:tc>
          <w:tcPr>
            <w:tcW w:w="1342" w:type="dxa"/>
          </w:tcPr>
          <w:p w14:paraId="3CD4E84A" w14:textId="77777777" w:rsidR="00B02873" w:rsidRDefault="00B02873" w:rsidP="00E9353A">
            <w:pPr>
              <w:pStyle w:val="TableheadingleftTables"/>
              <w:jc w:val="right"/>
            </w:pPr>
            <w:r>
              <w:t>Executives</w:t>
            </w:r>
          </w:p>
        </w:tc>
        <w:tc>
          <w:tcPr>
            <w:tcW w:w="1165" w:type="dxa"/>
          </w:tcPr>
          <w:p w14:paraId="4EE032A7" w14:textId="77777777" w:rsidR="00B02873" w:rsidRDefault="00B02873" w:rsidP="00E9353A">
            <w:pPr>
              <w:pStyle w:val="TableheadingleftTables"/>
              <w:jc w:val="right"/>
            </w:pPr>
            <w:r>
              <w:t>Senior Technical Specialist</w:t>
            </w:r>
          </w:p>
        </w:tc>
        <w:tc>
          <w:tcPr>
            <w:tcW w:w="1329" w:type="dxa"/>
          </w:tcPr>
          <w:p w14:paraId="0A040D5C" w14:textId="77777777" w:rsidR="00B02873" w:rsidRDefault="00B02873" w:rsidP="00E9353A">
            <w:pPr>
              <w:pStyle w:val="TableheadingleftTables"/>
              <w:jc w:val="right"/>
            </w:pPr>
            <w:r>
              <w:t>Principal</w:t>
            </w:r>
            <w:r>
              <w:br/>
              <w:t>Scientist</w:t>
            </w:r>
          </w:p>
        </w:tc>
        <w:tc>
          <w:tcPr>
            <w:tcW w:w="1181" w:type="dxa"/>
          </w:tcPr>
          <w:p w14:paraId="588129FC" w14:textId="77777777" w:rsidR="00B02873" w:rsidRDefault="00B02873" w:rsidP="00E9353A">
            <w:pPr>
              <w:pStyle w:val="TableheadingleftTables"/>
              <w:jc w:val="right"/>
            </w:pPr>
            <w:r>
              <w:t>Senior</w:t>
            </w:r>
            <w:r>
              <w:br/>
              <w:t>Medical</w:t>
            </w:r>
            <w:r>
              <w:br/>
              <w:t>Advisor</w:t>
            </w:r>
          </w:p>
        </w:tc>
        <w:tc>
          <w:tcPr>
            <w:tcW w:w="1386" w:type="dxa"/>
          </w:tcPr>
          <w:p w14:paraId="6E347EC9" w14:textId="77777777" w:rsidR="00B02873" w:rsidRDefault="00B02873" w:rsidP="00E9353A">
            <w:pPr>
              <w:pStyle w:val="TableheadingleftTables"/>
              <w:jc w:val="right"/>
            </w:pPr>
            <w:r>
              <w:t>Senior</w:t>
            </w:r>
            <w:r>
              <w:br/>
              <w:t>Regulatory</w:t>
            </w:r>
            <w:r>
              <w:br/>
              <w:t>Analyst</w:t>
            </w:r>
          </w:p>
        </w:tc>
        <w:tc>
          <w:tcPr>
            <w:tcW w:w="992" w:type="dxa"/>
          </w:tcPr>
          <w:p w14:paraId="6EF0E7D8" w14:textId="77777777" w:rsidR="00B02873" w:rsidRDefault="00B02873" w:rsidP="00E9353A">
            <w:pPr>
              <w:pStyle w:val="TableheadingleftTables"/>
              <w:jc w:val="right"/>
            </w:pPr>
            <w:r>
              <w:t>Other</w:t>
            </w:r>
          </w:p>
        </w:tc>
      </w:tr>
      <w:tr w:rsidR="00B02873" w:rsidRPr="00B02873" w14:paraId="32830D84" w14:textId="77777777" w:rsidTr="00E9353A">
        <w:trPr>
          <w:trHeight w:val="60"/>
        </w:trPr>
        <w:tc>
          <w:tcPr>
            <w:tcW w:w="2239" w:type="dxa"/>
          </w:tcPr>
          <w:p w14:paraId="0060D59F" w14:textId="77777777" w:rsidR="00B02873" w:rsidRDefault="00B02873" w:rsidP="00E9353A">
            <w:pPr>
              <w:pStyle w:val="TablebodyleftTables"/>
            </w:pPr>
            <w:r>
              <w:t>&lt; $160,000</w:t>
            </w:r>
          </w:p>
        </w:tc>
        <w:tc>
          <w:tcPr>
            <w:tcW w:w="1342" w:type="dxa"/>
          </w:tcPr>
          <w:p w14:paraId="1DEFE877" w14:textId="77777777" w:rsidR="00B02873" w:rsidRDefault="00B02873" w:rsidP="00E9353A">
            <w:pPr>
              <w:pStyle w:val="TablebodyleftTables"/>
              <w:jc w:val="right"/>
            </w:pPr>
            <w:r>
              <w:t>–</w:t>
            </w:r>
          </w:p>
        </w:tc>
        <w:tc>
          <w:tcPr>
            <w:tcW w:w="1165" w:type="dxa"/>
          </w:tcPr>
          <w:p w14:paraId="17B5DD73" w14:textId="77777777" w:rsidR="00B02873" w:rsidRDefault="00B02873" w:rsidP="00E9353A">
            <w:pPr>
              <w:pStyle w:val="TablebodyleftTables"/>
              <w:jc w:val="right"/>
            </w:pPr>
            <w:r>
              <w:t>–</w:t>
            </w:r>
          </w:p>
        </w:tc>
        <w:tc>
          <w:tcPr>
            <w:tcW w:w="1329" w:type="dxa"/>
          </w:tcPr>
          <w:p w14:paraId="36FD39D4" w14:textId="77777777" w:rsidR="00B02873" w:rsidRDefault="00B02873" w:rsidP="00E9353A">
            <w:pPr>
              <w:pStyle w:val="TablebodyleftTables"/>
              <w:jc w:val="right"/>
            </w:pPr>
            <w:r>
              <w:t>–</w:t>
            </w:r>
          </w:p>
        </w:tc>
        <w:tc>
          <w:tcPr>
            <w:tcW w:w="1181" w:type="dxa"/>
          </w:tcPr>
          <w:p w14:paraId="2BA04492" w14:textId="77777777" w:rsidR="00B02873" w:rsidRDefault="00B02873" w:rsidP="00E9353A">
            <w:pPr>
              <w:pStyle w:val="TablebodyleftTables"/>
              <w:jc w:val="right"/>
            </w:pPr>
            <w:r>
              <w:t>–</w:t>
            </w:r>
          </w:p>
        </w:tc>
        <w:tc>
          <w:tcPr>
            <w:tcW w:w="1386" w:type="dxa"/>
          </w:tcPr>
          <w:p w14:paraId="3E73649D" w14:textId="77777777" w:rsidR="00B02873" w:rsidRDefault="00B02873" w:rsidP="00E9353A">
            <w:pPr>
              <w:pStyle w:val="TablebodyleftTables"/>
              <w:jc w:val="right"/>
            </w:pPr>
            <w:r>
              <w:t>–</w:t>
            </w:r>
          </w:p>
        </w:tc>
        <w:tc>
          <w:tcPr>
            <w:tcW w:w="992" w:type="dxa"/>
          </w:tcPr>
          <w:p w14:paraId="6BE7B120" w14:textId="77777777" w:rsidR="00B02873" w:rsidRDefault="00B02873" w:rsidP="00E9353A">
            <w:pPr>
              <w:pStyle w:val="TablebodyleftTables"/>
              <w:jc w:val="right"/>
            </w:pPr>
            <w:r>
              <w:t>–</w:t>
            </w:r>
          </w:p>
        </w:tc>
      </w:tr>
      <w:tr w:rsidR="00B02873" w:rsidRPr="00B02873" w14:paraId="3E58B648" w14:textId="77777777" w:rsidTr="00E9353A">
        <w:trPr>
          <w:trHeight w:val="60"/>
        </w:trPr>
        <w:tc>
          <w:tcPr>
            <w:tcW w:w="2239" w:type="dxa"/>
          </w:tcPr>
          <w:p w14:paraId="68AA4237" w14:textId="31026B5E" w:rsidR="00B02873" w:rsidRDefault="00B02873" w:rsidP="00E9353A">
            <w:pPr>
              <w:pStyle w:val="TablebodyleftTables"/>
            </w:pPr>
            <w:r>
              <w:t>$160,000</w:t>
            </w:r>
            <w:r w:rsidR="000C45FC">
              <w:t xml:space="preserve"> – </w:t>
            </w:r>
            <w:r>
              <w:t>$179,999</w:t>
            </w:r>
          </w:p>
        </w:tc>
        <w:tc>
          <w:tcPr>
            <w:tcW w:w="1342" w:type="dxa"/>
          </w:tcPr>
          <w:p w14:paraId="66BB19D6" w14:textId="77777777" w:rsidR="00B02873" w:rsidRDefault="00B02873" w:rsidP="00E9353A">
            <w:pPr>
              <w:pStyle w:val="TablebodyleftTables"/>
              <w:jc w:val="right"/>
            </w:pPr>
            <w:r>
              <w:t>–</w:t>
            </w:r>
          </w:p>
        </w:tc>
        <w:tc>
          <w:tcPr>
            <w:tcW w:w="1165" w:type="dxa"/>
          </w:tcPr>
          <w:p w14:paraId="32DB0920" w14:textId="77777777" w:rsidR="00B02873" w:rsidRDefault="00B02873" w:rsidP="00E9353A">
            <w:pPr>
              <w:pStyle w:val="TablebodyleftTables"/>
              <w:jc w:val="right"/>
            </w:pPr>
            <w:r>
              <w:t>4</w:t>
            </w:r>
          </w:p>
        </w:tc>
        <w:tc>
          <w:tcPr>
            <w:tcW w:w="1329" w:type="dxa"/>
          </w:tcPr>
          <w:p w14:paraId="17F9D70F" w14:textId="77777777" w:rsidR="00B02873" w:rsidRDefault="00B02873" w:rsidP="00E9353A">
            <w:pPr>
              <w:pStyle w:val="TablebodyleftTables"/>
              <w:jc w:val="right"/>
            </w:pPr>
            <w:r>
              <w:t>–</w:t>
            </w:r>
          </w:p>
        </w:tc>
        <w:tc>
          <w:tcPr>
            <w:tcW w:w="1181" w:type="dxa"/>
          </w:tcPr>
          <w:p w14:paraId="66BC2A65" w14:textId="77777777" w:rsidR="00B02873" w:rsidRDefault="00B02873" w:rsidP="00E9353A">
            <w:pPr>
              <w:pStyle w:val="TablebodyleftTables"/>
              <w:jc w:val="right"/>
            </w:pPr>
            <w:r>
              <w:t>–</w:t>
            </w:r>
          </w:p>
        </w:tc>
        <w:tc>
          <w:tcPr>
            <w:tcW w:w="1386" w:type="dxa"/>
          </w:tcPr>
          <w:p w14:paraId="5BB35DA0" w14:textId="77777777" w:rsidR="00B02873" w:rsidRDefault="00B02873" w:rsidP="00E9353A">
            <w:pPr>
              <w:pStyle w:val="TablebodyleftTables"/>
              <w:jc w:val="right"/>
            </w:pPr>
            <w:r>
              <w:t>–</w:t>
            </w:r>
          </w:p>
        </w:tc>
        <w:tc>
          <w:tcPr>
            <w:tcW w:w="992" w:type="dxa"/>
          </w:tcPr>
          <w:p w14:paraId="0B1BA369" w14:textId="77777777" w:rsidR="00B02873" w:rsidRDefault="00B02873" w:rsidP="00E9353A">
            <w:pPr>
              <w:pStyle w:val="TablebodyleftTables"/>
              <w:jc w:val="right"/>
            </w:pPr>
            <w:r>
              <w:t>–</w:t>
            </w:r>
          </w:p>
        </w:tc>
      </w:tr>
      <w:tr w:rsidR="00B02873" w:rsidRPr="00B02873" w14:paraId="134CD7FC" w14:textId="77777777" w:rsidTr="00E9353A">
        <w:trPr>
          <w:trHeight w:val="60"/>
        </w:trPr>
        <w:tc>
          <w:tcPr>
            <w:tcW w:w="2239" w:type="dxa"/>
          </w:tcPr>
          <w:p w14:paraId="6C55B867" w14:textId="09D3CEAF" w:rsidR="00B02873" w:rsidRDefault="00B02873" w:rsidP="00E9353A">
            <w:pPr>
              <w:pStyle w:val="TablebodyleftTables"/>
            </w:pPr>
            <w:r>
              <w:t>$180,000</w:t>
            </w:r>
            <w:r w:rsidR="000C45FC">
              <w:t xml:space="preserve"> – </w:t>
            </w:r>
            <w:r>
              <w:t>$199,999</w:t>
            </w:r>
          </w:p>
        </w:tc>
        <w:tc>
          <w:tcPr>
            <w:tcW w:w="1342" w:type="dxa"/>
          </w:tcPr>
          <w:p w14:paraId="2F9035DD" w14:textId="77777777" w:rsidR="00B02873" w:rsidRDefault="00B02873" w:rsidP="00E9353A">
            <w:pPr>
              <w:pStyle w:val="TablebodyleftTables"/>
              <w:jc w:val="right"/>
            </w:pPr>
            <w:r>
              <w:t>79</w:t>
            </w:r>
            <w:r>
              <w:rPr>
                <w:vertAlign w:val="superscript"/>
              </w:rPr>
              <w:t>(a)</w:t>
            </w:r>
          </w:p>
        </w:tc>
        <w:tc>
          <w:tcPr>
            <w:tcW w:w="1165" w:type="dxa"/>
          </w:tcPr>
          <w:p w14:paraId="4A6F2F3C" w14:textId="77777777" w:rsidR="00B02873" w:rsidRDefault="00B02873" w:rsidP="00E9353A">
            <w:pPr>
              <w:pStyle w:val="TablebodyleftTables"/>
              <w:jc w:val="right"/>
            </w:pPr>
            <w:r>
              <w:t>9</w:t>
            </w:r>
          </w:p>
        </w:tc>
        <w:tc>
          <w:tcPr>
            <w:tcW w:w="1329" w:type="dxa"/>
          </w:tcPr>
          <w:p w14:paraId="2673E35F" w14:textId="77777777" w:rsidR="00B02873" w:rsidRDefault="00B02873" w:rsidP="00E9353A">
            <w:pPr>
              <w:pStyle w:val="TablebodyleftTables"/>
              <w:jc w:val="right"/>
            </w:pPr>
            <w:r>
              <w:t>2</w:t>
            </w:r>
          </w:p>
        </w:tc>
        <w:tc>
          <w:tcPr>
            <w:tcW w:w="1181" w:type="dxa"/>
          </w:tcPr>
          <w:p w14:paraId="46E66D6E" w14:textId="77777777" w:rsidR="00B02873" w:rsidRDefault="00B02873" w:rsidP="00E9353A">
            <w:pPr>
              <w:pStyle w:val="TablebodyleftTables"/>
              <w:jc w:val="right"/>
            </w:pPr>
            <w:r>
              <w:t>–</w:t>
            </w:r>
          </w:p>
        </w:tc>
        <w:tc>
          <w:tcPr>
            <w:tcW w:w="1386" w:type="dxa"/>
          </w:tcPr>
          <w:p w14:paraId="1100FE77" w14:textId="77777777" w:rsidR="00B02873" w:rsidRDefault="00B02873" w:rsidP="00E9353A">
            <w:pPr>
              <w:pStyle w:val="TablebodyleftTables"/>
              <w:jc w:val="right"/>
            </w:pPr>
            <w:r>
              <w:t>–</w:t>
            </w:r>
          </w:p>
        </w:tc>
        <w:tc>
          <w:tcPr>
            <w:tcW w:w="992" w:type="dxa"/>
          </w:tcPr>
          <w:p w14:paraId="6E2EC51D" w14:textId="77777777" w:rsidR="00B02873" w:rsidRDefault="00B02873" w:rsidP="00E9353A">
            <w:pPr>
              <w:pStyle w:val="TablebodyleftTables"/>
              <w:jc w:val="right"/>
            </w:pPr>
            <w:r>
              <w:t>–</w:t>
            </w:r>
          </w:p>
        </w:tc>
      </w:tr>
      <w:tr w:rsidR="00B02873" w:rsidRPr="00B02873" w14:paraId="2474D80D" w14:textId="77777777" w:rsidTr="00E9353A">
        <w:trPr>
          <w:trHeight w:val="60"/>
        </w:trPr>
        <w:tc>
          <w:tcPr>
            <w:tcW w:w="2239" w:type="dxa"/>
          </w:tcPr>
          <w:p w14:paraId="06068823" w14:textId="08AC70EC" w:rsidR="00B02873" w:rsidRDefault="00B02873" w:rsidP="00E9353A">
            <w:pPr>
              <w:pStyle w:val="TablebodyleftTables"/>
            </w:pPr>
            <w:r>
              <w:t>$200,000</w:t>
            </w:r>
            <w:r w:rsidR="000C45FC">
              <w:t xml:space="preserve"> – </w:t>
            </w:r>
            <w:r>
              <w:t>$219,999</w:t>
            </w:r>
          </w:p>
        </w:tc>
        <w:tc>
          <w:tcPr>
            <w:tcW w:w="1342" w:type="dxa"/>
          </w:tcPr>
          <w:p w14:paraId="43A152EC" w14:textId="77777777" w:rsidR="00B02873" w:rsidRDefault="00B02873" w:rsidP="00E9353A">
            <w:pPr>
              <w:pStyle w:val="TablebodyleftTables"/>
              <w:jc w:val="right"/>
            </w:pPr>
            <w:r>
              <w:t>43</w:t>
            </w:r>
            <w:r>
              <w:rPr>
                <w:vertAlign w:val="superscript"/>
              </w:rPr>
              <w:t>(b)</w:t>
            </w:r>
          </w:p>
        </w:tc>
        <w:tc>
          <w:tcPr>
            <w:tcW w:w="1165" w:type="dxa"/>
          </w:tcPr>
          <w:p w14:paraId="1EF70805" w14:textId="77777777" w:rsidR="00B02873" w:rsidRDefault="00B02873" w:rsidP="00E9353A">
            <w:pPr>
              <w:pStyle w:val="TablebodyleftTables"/>
              <w:jc w:val="right"/>
            </w:pPr>
            <w:r>
              <w:t>8</w:t>
            </w:r>
          </w:p>
        </w:tc>
        <w:tc>
          <w:tcPr>
            <w:tcW w:w="1329" w:type="dxa"/>
          </w:tcPr>
          <w:p w14:paraId="05FB6AF5" w14:textId="77777777" w:rsidR="00B02873" w:rsidRDefault="00B02873" w:rsidP="00E9353A">
            <w:pPr>
              <w:pStyle w:val="TablebodyleftTables"/>
              <w:jc w:val="right"/>
            </w:pPr>
            <w:r>
              <w:t>–</w:t>
            </w:r>
          </w:p>
        </w:tc>
        <w:tc>
          <w:tcPr>
            <w:tcW w:w="1181" w:type="dxa"/>
          </w:tcPr>
          <w:p w14:paraId="1942E2E4" w14:textId="77777777" w:rsidR="00B02873" w:rsidRDefault="00B02873" w:rsidP="00E9353A">
            <w:pPr>
              <w:pStyle w:val="TablebodyleftTables"/>
              <w:jc w:val="right"/>
            </w:pPr>
            <w:r>
              <w:t>–</w:t>
            </w:r>
          </w:p>
        </w:tc>
        <w:tc>
          <w:tcPr>
            <w:tcW w:w="1386" w:type="dxa"/>
          </w:tcPr>
          <w:p w14:paraId="36070CE9" w14:textId="77777777" w:rsidR="00B02873" w:rsidRDefault="00B02873" w:rsidP="00E9353A">
            <w:pPr>
              <w:pStyle w:val="TablebodyleftTables"/>
              <w:jc w:val="right"/>
            </w:pPr>
            <w:r>
              <w:t>–</w:t>
            </w:r>
          </w:p>
        </w:tc>
        <w:tc>
          <w:tcPr>
            <w:tcW w:w="992" w:type="dxa"/>
          </w:tcPr>
          <w:p w14:paraId="47871671" w14:textId="77777777" w:rsidR="00B02873" w:rsidRDefault="00B02873" w:rsidP="00E9353A">
            <w:pPr>
              <w:pStyle w:val="TablebodyleftTables"/>
              <w:jc w:val="right"/>
            </w:pPr>
            <w:r>
              <w:t>–</w:t>
            </w:r>
          </w:p>
        </w:tc>
      </w:tr>
      <w:tr w:rsidR="00B02873" w:rsidRPr="00B02873" w14:paraId="5DF03368" w14:textId="77777777" w:rsidTr="00E9353A">
        <w:trPr>
          <w:trHeight w:val="60"/>
        </w:trPr>
        <w:tc>
          <w:tcPr>
            <w:tcW w:w="2239" w:type="dxa"/>
          </w:tcPr>
          <w:p w14:paraId="31912CE3" w14:textId="4DCB9347" w:rsidR="00B02873" w:rsidRDefault="00B02873" w:rsidP="00E9353A">
            <w:pPr>
              <w:pStyle w:val="TablebodyleftTables"/>
            </w:pPr>
            <w:r>
              <w:t>$220,000</w:t>
            </w:r>
            <w:r w:rsidR="000C45FC">
              <w:t xml:space="preserve"> – </w:t>
            </w:r>
            <w:r>
              <w:t>$239,999</w:t>
            </w:r>
          </w:p>
        </w:tc>
        <w:tc>
          <w:tcPr>
            <w:tcW w:w="1342" w:type="dxa"/>
          </w:tcPr>
          <w:p w14:paraId="2973C2DA" w14:textId="77777777" w:rsidR="00B02873" w:rsidRDefault="00B02873" w:rsidP="00E9353A">
            <w:pPr>
              <w:pStyle w:val="TablebodyleftTables"/>
              <w:jc w:val="right"/>
            </w:pPr>
            <w:r>
              <w:t>15</w:t>
            </w:r>
          </w:p>
        </w:tc>
        <w:tc>
          <w:tcPr>
            <w:tcW w:w="1165" w:type="dxa"/>
          </w:tcPr>
          <w:p w14:paraId="5906FC7C" w14:textId="77777777" w:rsidR="00B02873" w:rsidRDefault="00B02873" w:rsidP="00E9353A">
            <w:pPr>
              <w:pStyle w:val="TablebodyleftTables"/>
              <w:jc w:val="right"/>
            </w:pPr>
            <w:r>
              <w:t>6</w:t>
            </w:r>
          </w:p>
        </w:tc>
        <w:tc>
          <w:tcPr>
            <w:tcW w:w="1329" w:type="dxa"/>
          </w:tcPr>
          <w:p w14:paraId="7C111256" w14:textId="77777777" w:rsidR="00B02873" w:rsidRDefault="00B02873" w:rsidP="00E9353A">
            <w:pPr>
              <w:pStyle w:val="TablebodyleftTables"/>
              <w:jc w:val="right"/>
            </w:pPr>
            <w:r>
              <w:t>–</w:t>
            </w:r>
          </w:p>
        </w:tc>
        <w:tc>
          <w:tcPr>
            <w:tcW w:w="1181" w:type="dxa"/>
          </w:tcPr>
          <w:p w14:paraId="35F95FA9" w14:textId="77777777" w:rsidR="00B02873" w:rsidRDefault="00B02873" w:rsidP="00E9353A">
            <w:pPr>
              <w:pStyle w:val="TablebodyleftTables"/>
              <w:jc w:val="right"/>
            </w:pPr>
            <w:r>
              <w:t>–</w:t>
            </w:r>
          </w:p>
        </w:tc>
        <w:tc>
          <w:tcPr>
            <w:tcW w:w="1386" w:type="dxa"/>
          </w:tcPr>
          <w:p w14:paraId="3AD797F5" w14:textId="77777777" w:rsidR="00B02873" w:rsidRDefault="00B02873" w:rsidP="00E9353A">
            <w:pPr>
              <w:pStyle w:val="TablebodyleftTables"/>
              <w:jc w:val="right"/>
            </w:pPr>
            <w:r>
              <w:t>–</w:t>
            </w:r>
          </w:p>
        </w:tc>
        <w:tc>
          <w:tcPr>
            <w:tcW w:w="992" w:type="dxa"/>
          </w:tcPr>
          <w:p w14:paraId="7BED695E" w14:textId="77777777" w:rsidR="00B02873" w:rsidRDefault="00B02873" w:rsidP="00E9353A">
            <w:pPr>
              <w:pStyle w:val="TablebodyleftTables"/>
              <w:jc w:val="right"/>
            </w:pPr>
            <w:r>
              <w:t>–</w:t>
            </w:r>
          </w:p>
        </w:tc>
      </w:tr>
      <w:tr w:rsidR="00B02873" w:rsidRPr="00B02873" w14:paraId="71168E60" w14:textId="77777777" w:rsidTr="00E9353A">
        <w:trPr>
          <w:trHeight w:val="60"/>
        </w:trPr>
        <w:tc>
          <w:tcPr>
            <w:tcW w:w="2239" w:type="dxa"/>
          </w:tcPr>
          <w:p w14:paraId="62F10B26" w14:textId="7DBB3F75" w:rsidR="00B02873" w:rsidRDefault="00B02873" w:rsidP="00E9353A">
            <w:pPr>
              <w:pStyle w:val="TablebodyleftTables"/>
            </w:pPr>
            <w:r>
              <w:t>$240,000</w:t>
            </w:r>
            <w:r w:rsidR="000C45FC">
              <w:t xml:space="preserve"> – </w:t>
            </w:r>
            <w:r>
              <w:t>$259,999</w:t>
            </w:r>
          </w:p>
        </w:tc>
        <w:tc>
          <w:tcPr>
            <w:tcW w:w="1342" w:type="dxa"/>
          </w:tcPr>
          <w:p w14:paraId="54459FFF" w14:textId="77777777" w:rsidR="00B02873" w:rsidRDefault="00B02873" w:rsidP="00E9353A">
            <w:pPr>
              <w:pStyle w:val="TablebodyleftTables"/>
              <w:jc w:val="right"/>
            </w:pPr>
            <w:r>
              <w:t>9</w:t>
            </w:r>
          </w:p>
        </w:tc>
        <w:tc>
          <w:tcPr>
            <w:tcW w:w="1165" w:type="dxa"/>
          </w:tcPr>
          <w:p w14:paraId="0E17E8C2" w14:textId="77777777" w:rsidR="00B02873" w:rsidRDefault="00B02873" w:rsidP="00E9353A">
            <w:pPr>
              <w:pStyle w:val="TablebodyleftTables"/>
              <w:jc w:val="right"/>
            </w:pPr>
            <w:r>
              <w:t>–</w:t>
            </w:r>
          </w:p>
        </w:tc>
        <w:tc>
          <w:tcPr>
            <w:tcW w:w="1329" w:type="dxa"/>
          </w:tcPr>
          <w:p w14:paraId="46491C43" w14:textId="77777777" w:rsidR="00B02873" w:rsidRDefault="00B02873" w:rsidP="00E9353A">
            <w:pPr>
              <w:pStyle w:val="TablebodyleftTables"/>
              <w:jc w:val="right"/>
            </w:pPr>
            <w:r>
              <w:t>–</w:t>
            </w:r>
          </w:p>
        </w:tc>
        <w:tc>
          <w:tcPr>
            <w:tcW w:w="1181" w:type="dxa"/>
          </w:tcPr>
          <w:p w14:paraId="7DCE229C" w14:textId="77777777" w:rsidR="00B02873" w:rsidRDefault="00B02873" w:rsidP="00E9353A">
            <w:pPr>
              <w:pStyle w:val="TablebodyleftTables"/>
              <w:jc w:val="right"/>
            </w:pPr>
            <w:r>
              <w:t>–</w:t>
            </w:r>
          </w:p>
        </w:tc>
        <w:tc>
          <w:tcPr>
            <w:tcW w:w="1386" w:type="dxa"/>
          </w:tcPr>
          <w:p w14:paraId="6812A691" w14:textId="77777777" w:rsidR="00B02873" w:rsidRDefault="00B02873" w:rsidP="00E9353A">
            <w:pPr>
              <w:pStyle w:val="TablebodyleftTables"/>
              <w:jc w:val="right"/>
            </w:pPr>
            <w:r>
              <w:t>–</w:t>
            </w:r>
          </w:p>
        </w:tc>
        <w:tc>
          <w:tcPr>
            <w:tcW w:w="992" w:type="dxa"/>
          </w:tcPr>
          <w:p w14:paraId="2E8CF818" w14:textId="77777777" w:rsidR="00B02873" w:rsidRDefault="00B02873" w:rsidP="00E9353A">
            <w:pPr>
              <w:pStyle w:val="TablebodyleftTables"/>
              <w:jc w:val="right"/>
            </w:pPr>
            <w:r>
              <w:t>–</w:t>
            </w:r>
          </w:p>
        </w:tc>
      </w:tr>
      <w:tr w:rsidR="00B02873" w:rsidRPr="00B02873" w14:paraId="646E1833" w14:textId="77777777" w:rsidTr="00E9353A">
        <w:trPr>
          <w:trHeight w:val="60"/>
        </w:trPr>
        <w:tc>
          <w:tcPr>
            <w:tcW w:w="2239" w:type="dxa"/>
          </w:tcPr>
          <w:p w14:paraId="0960FB07" w14:textId="74C2E764" w:rsidR="00B02873" w:rsidRDefault="00B02873" w:rsidP="00E9353A">
            <w:pPr>
              <w:pStyle w:val="TablebodyleftTables"/>
            </w:pPr>
            <w:r>
              <w:t>$260,000</w:t>
            </w:r>
            <w:r w:rsidR="000C45FC">
              <w:t xml:space="preserve"> – </w:t>
            </w:r>
            <w:r>
              <w:t>$279,999</w:t>
            </w:r>
          </w:p>
        </w:tc>
        <w:tc>
          <w:tcPr>
            <w:tcW w:w="1342" w:type="dxa"/>
          </w:tcPr>
          <w:p w14:paraId="688B02A6" w14:textId="77777777" w:rsidR="00B02873" w:rsidRDefault="00B02873" w:rsidP="00E9353A">
            <w:pPr>
              <w:pStyle w:val="TablebodyleftTables"/>
              <w:jc w:val="right"/>
            </w:pPr>
            <w:r>
              <w:t>6</w:t>
            </w:r>
          </w:p>
        </w:tc>
        <w:tc>
          <w:tcPr>
            <w:tcW w:w="1165" w:type="dxa"/>
          </w:tcPr>
          <w:p w14:paraId="37F1829B" w14:textId="77777777" w:rsidR="00B02873" w:rsidRDefault="00B02873" w:rsidP="00E9353A">
            <w:pPr>
              <w:pStyle w:val="TablebodyleftTables"/>
              <w:jc w:val="right"/>
            </w:pPr>
            <w:r>
              <w:t>–</w:t>
            </w:r>
          </w:p>
        </w:tc>
        <w:tc>
          <w:tcPr>
            <w:tcW w:w="1329" w:type="dxa"/>
          </w:tcPr>
          <w:p w14:paraId="472C4827" w14:textId="77777777" w:rsidR="00B02873" w:rsidRDefault="00B02873" w:rsidP="00E9353A">
            <w:pPr>
              <w:pStyle w:val="TablebodyleftTables"/>
              <w:jc w:val="right"/>
            </w:pPr>
            <w:r>
              <w:t>–</w:t>
            </w:r>
          </w:p>
        </w:tc>
        <w:tc>
          <w:tcPr>
            <w:tcW w:w="1181" w:type="dxa"/>
          </w:tcPr>
          <w:p w14:paraId="08D8E3D4" w14:textId="77777777" w:rsidR="00B02873" w:rsidRDefault="00B02873" w:rsidP="00E9353A">
            <w:pPr>
              <w:pStyle w:val="TablebodyleftTables"/>
              <w:jc w:val="right"/>
            </w:pPr>
            <w:r>
              <w:t>–</w:t>
            </w:r>
          </w:p>
        </w:tc>
        <w:tc>
          <w:tcPr>
            <w:tcW w:w="1386" w:type="dxa"/>
          </w:tcPr>
          <w:p w14:paraId="03A8DF76" w14:textId="77777777" w:rsidR="00B02873" w:rsidRDefault="00B02873" w:rsidP="00E9353A">
            <w:pPr>
              <w:pStyle w:val="TablebodyleftTables"/>
              <w:jc w:val="right"/>
            </w:pPr>
            <w:r>
              <w:t>–</w:t>
            </w:r>
          </w:p>
        </w:tc>
        <w:tc>
          <w:tcPr>
            <w:tcW w:w="992" w:type="dxa"/>
          </w:tcPr>
          <w:p w14:paraId="00916220" w14:textId="77777777" w:rsidR="00B02873" w:rsidRDefault="00B02873" w:rsidP="00E9353A">
            <w:pPr>
              <w:pStyle w:val="TablebodyleftTables"/>
              <w:jc w:val="right"/>
            </w:pPr>
            <w:r>
              <w:t>–</w:t>
            </w:r>
          </w:p>
        </w:tc>
      </w:tr>
      <w:tr w:rsidR="00B02873" w:rsidRPr="00B02873" w14:paraId="585915A5" w14:textId="77777777" w:rsidTr="00E9353A">
        <w:trPr>
          <w:trHeight w:val="60"/>
        </w:trPr>
        <w:tc>
          <w:tcPr>
            <w:tcW w:w="2239" w:type="dxa"/>
          </w:tcPr>
          <w:p w14:paraId="6EA34DAB" w14:textId="04B0D078" w:rsidR="00B02873" w:rsidRDefault="00B02873" w:rsidP="00E9353A">
            <w:pPr>
              <w:pStyle w:val="TablebodyleftTables"/>
            </w:pPr>
            <w:r>
              <w:t>$280,000</w:t>
            </w:r>
            <w:r w:rsidR="000C45FC">
              <w:t xml:space="preserve"> – </w:t>
            </w:r>
            <w:r>
              <w:t>$299,999</w:t>
            </w:r>
          </w:p>
        </w:tc>
        <w:tc>
          <w:tcPr>
            <w:tcW w:w="1342" w:type="dxa"/>
          </w:tcPr>
          <w:p w14:paraId="09E78911" w14:textId="77777777" w:rsidR="00B02873" w:rsidRDefault="00B02873" w:rsidP="00E9353A">
            <w:pPr>
              <w:pStyle w:val="TablebodyleftTables"/>
              <w:jc w:val="right"/>
            </w:pPr>
            <w:r>
              <w:t>12</w:t>
            </w:r>
          </w:p>
        </w:tc>
        <w:tc>
          <w:tcPr>
            <w:tcW w:w="1165" w:type="dxa"/>
          </w:tcPr>
          <w:p w14:paraId="1282130A" w14:textId="77777777" w:rsidR="00B02873" w:rsidRDefault="00B02873" w:rsidP="00E9353A">
            <w:pPr>
              <w:pStyle w:val="TablebodyleftTables"/>
              <w:jc w:val="right"/>
            </w:pPr>
            <w:r>
              <w:t>–</w:t>
            </w:r>
          </w:p>
        </w:tc>
        <w:tc>
          <w:tcPr>
            <w:tcW w:w="1329" w:type="dxa"/>
          </w:tcPr>
          <w:p w14:paraId="23213383" w14:textId="77777777" w:rsidR="00B02873" w:rsidRDefault="00B02873" w:rsidP="00E9353A">
            <w:pPr>
              <w:pStyle w:val="TablebodyleftTables"/>
              <w:jc w:val="right"/>
            </w:pPr>
            <w:r>
              <w:t>–</w:t>
            </w:r>
          </w:p>
        </w:tc>
        <w:tc>
          <w:tcPr>
            <w:tcW w:w="1181" w:type="dxa"/>
          </w:tcPr>
          <w:p w14:paraId="4BC1EA00" w14:textId="77777777" w:rsidR="00B02873" w:rsidRDefault="00B02873" w:rsidP="00E9353A">
            <w:pPr>
              <w:pStyle w:val="TablebodyleftTables"/>
              <w:jc w:val="right"/>
            </w:pPr>
            <w:r>
              <w:t>–</w:t>
            </w:r>
          </w:p>
        </w:tc>
        <w:tc>
          <w:tcPr>
            <w:tcW w:w="1386" w:type="dxa"/>
          </w:tcPr>
          <w:p w14:paraId="693AF1CA" w14:textId="77777777" w:rsidR="00B02873" w:rsidRDefault="00B02873" w:rsidP="00E9353A">
            <w:pPr>
              <w:pStyle w:val="TablebodyleftTables"/>
              <w:jc w:val="right"/>
            </w:pPr>
            <w:r>
              <w:t>–</w:t>
            </w:r>
          </w:p>
        </w:tc>
        <w:tc>
          <w:tcPr>
            <w:tcW w:w="992" w:type="dxa"/>
          </w:tcPr>
          <w:p w14:paraId="155AD2E3" w14:textId="77777777" w:rsidR="00B02873" w:rsidRDefault="00B02873" w:rsidP="00E9353A">
            <w:pPr>
              <w:pStyle w:val="TablebodyleftTables"/>
              <w:jc w:val="right"/>
            </w:pPr>
            <w:r>
              <w:t>–</w:t>
            </w:r>
          </w:p>
        </w:tc>
      </w:tr>
      <w:tr w:rsidR="00B02873" w:rsidRPr="00B02873" w14:paraId="7AE169D1" w14:textId="77777777" w:rsidTr="00E9353A">
        <w:trPr>
          <w:trHeight w:val="60"/>
        </w:trPr>
        <w:tc>
          <w:tcPr>
            <w:tcW w:w="2239" w:type="dxa"/>
          </w:tcPr>
          <w:p w14:paraId="6CA04A35" w14:textId="68B28851" w:rsidR="00B02873" w:rsidRDefault="00B02873" w:rsidP="00E9353A">
            <w:pPr>
              <w:pStyle w:val="TablebodyleftTables"/>
            </w:pPr>
            <w:r>
              <w:t>$300,000</w:t>
            </w:r>
            <w:r w:rsidR="000C45FC">
              <w:t xml:space="preserve"> – </w:t>
            </w:r>
            <w:r>
              <w:t>$319,999</w:t>
            </w:r>
          </w:p>
        </w:tc>
        <w:tc>
          <w:tcPr>
            <w:tcW w:w="1342" w:type="dxa"/>
          </w:tcPr>
          <w:p w14:paraId="5C4BC957" w14:textId="77777777" w:rsidR="00B02873" w:rsidRDefault="00B02873" w:rsidP="00E9353A">
            <w:pPr>
              <w:pStyle w:val="TablebodyleftTables"/>
              <w:jc w:val="right"/>
            </w:pPr>
            <w:r>
              <w:t>1</w:t>
            </w:r>
          </w:p>
        </w:tc>
        <w:tc>
          <w:tcPr>
            <w:tcW w:w="1165" w:type="dxa"/>
          </w:tcPr>
          <w:p w14:paraId="6277F2A2" w14:textId="77777777" w:rsidR="00B02873" w:rsidRDefault="00B02873" w:rsidP="00E9353A">
            <w:pPr>
              <w:pStyle w:val="TablebodyleftTables"/>
              <w:jc w:val="right"/>
            </w:pPr>
            <w:r>
              <w:t>–</w:t>
            </w:r>
          </w:p>
        </w:tc>
        <w:tc>
          <w:tcPr>
            <w:tcW w:w="1329" w:type="dxa"/>
          </w:tcPr>
          <w:p w14:paraId="2EA41D80" w14:textId="77777777" w:rsidR="00B02873" w:rsidRDefault="00B02873" w:rsidP="00E9353A">
            <w:pPr>
              <w:pStyle w:val="TablebodyleftTables"/>
              <w:jc w:val="right"/>
            </w:pPr>
            <w:r>
              <w:t>–</w:t>
            </w:r>
          </w:p>
        </w:tc>
        <w:tc>
          <w:tcPr>
            <w:tcW w:w="1181" w:type="dxa"/>
          </w:tcPr>
          <w:p w14:paraId="690C7982" w14:textId="77777777" w:rsidR="00B02873" w:rsidRDefault="00B02873" w:rsidP="00E9353A">
            <w:pPr>
              <w:pStyle w:val="TablebodyleftTables"/>
              <w:jc w:val="right"/>
            </w:pPr>
            <w:r>
              <w:t>–</w:t>
            </w:r>
          </w:p>
        </w:tc>
        <w:tc>
          <w:tcPr>
            <w:tcW w:w="1386" w:type="dxa"/>
          </w:tcPr>
          <w:p w14:paraId="1E9E7168" w14:textId="77777777" w:rsidR="00B02873" w:rsidRDefault="00B02873" w:rsidP="00E9353A">
            <w:pPr>
              <w:pStyle w:val="TablebodyleftTables"/>
              <w:jc w:val="right"/>
            </w:pPr>
            <w:r>
              <w:t>–</w:t>
            </w:r>
          </w:p>
        </w:tc>
        <w:tc>
          <w:tcPr>
            <w:tcW w:w="992" w:type="dxa"/>
          </w:tcPr>
          <w:p w14:paraId="3F715BF4" w14:textId="77777777" w:rsidR="00B02873" w:rsidRDefault="00B02873" w:rsidP="00E9353A">
            <w:pPr>
              <w:pStyle w:val="TablebodyleftTables"/>
              <w:jc w:val="right"/>
            </w:pPr>
            <w:r>
              <w:t>–</w:t>
            </w:r>
          </w:p>
        </w:tc>
      </w:tr>
      <w:tr w:rsidR="00B02873" w:rsidRPr="00B02873" w14:paraId="2C581731" w14:textId="77777777" w:rsidTr="00E9353A">
        <w:trPr>
          <w:trHeight w:val="60"/>
        </w:trPr>
        <w:tc>
          <w:tcPr>
            <w:tcW w:w="2239" w:type="dxa"/>
          </w:tcPr>
          <w:p w14:paraId="34A57063" w14:textId="261C530C" w:rsidR="00B02873" w:rsidRDefault="00B02873" w:rsidP="00E9353A">
            <w:pPr>
              <w:pStyle w:val="TablebodyleftTables"/>
            </w:pPr>
            <w:r>
              <w:t>$320,000</w:t>
            </w:r>
            <w:r w:rsidR="000C45FC">
              <w:t xml:space="preserve"> – </w:t>
            </w:r>
            <w:r>
              <w:t>$339,999</w:t>
            </w:r>
          </w:p>
        </w:tc>
        <w:tc>
          <w:tcPr>
            <w:tcW w:w="1342" w:type="dxa"/>
          </w:tcPr>
          <w:p w14:paraId="49D54A60" w14:textId="77777777" w:rsidR="00B02873" w:rsidRDefault="00B02873" w:rsidP="00E9353A">
            <w:pPr>
              <w:pStyle w:val="TablebodyleftTables"/>
              <w:jc w:val="right"/>
            </w:pPr>
            <w:r>
              <w:t>4</w:t>
            </w:r>
          </w:p>
        </w:tc>
        <w:tc>
          <w:tcPr>
            <w:tcW w:w="1165" w:type="dxa"/>
          </w:tcPr>
          <w:p w14:paraId="1693187F" w14:textId="77777777" w:rsidR="00B02873" w:rsidRDefault="00B02873" w:rsidP="00E9353A">
            <w:pPr>
              <w:pStyle w:val="TablebodyleftTables"/>
              <w:jc w:val="right"/>
            </w:pPr>
            <w:r>
              <w:t>–</w:t>
            </w:r>
          </w:p>
        </w:tc>
        <w:tc>
          <w:tcPr>
            <w:tcW w:w="1329" w:type="dxa"/>
          </w:tcPr>
          <w:p w14:paraId="241F8EE3" w14:textId="77777777" w:rsidR="00B02873" w:rsidRDefault="00B02873" w:rsidP="00E9353A">
            <w:pPr>
              <w:pStyle w:val="TablebodyleftTables"/>
              <w:jc w:val="right"/>
            </w:pPr>
            <w:r>
              <w:t>–</w:t>
            </w:r>
          </w:p>
        </w:tc>
        <w:tc>
          <w:tcPr>
            <w:tcW w:w="1181" w:type="dxa"/>
          </w:tcPr>
          <w:p w14:paraId="69B970A1" w14:textId="77777777" w:rsidR="00B02873" w:rsidRDefault="00B02873" w:rsidP="00E9353A">
            <w:pPr>
              <w:pStyle w:val="TablebodyleftTables"/>
              <w:jc w:val="right"/>
            </w:pPr>
            <w:r>
              <w:t>–</w:t>
            </w:r>
          </w:p>
        </w:tc>
        <w:tc>
          <w:tcPr>
            <w:tcW w:w="1386" w:type="dxa"/>
          </w:tcPr>
          <w:p w14:paraId="0A22CC59" w14:textId="77777777" w:rsidR="00B02873" w:rsidRDefault="00B02873" w:rsidP="00E9353A">
            <w:pPr>
              <w:pStyle w:val="TablebodyleftTables"/>
              <w:jc w:val="right"/>
            </w:pPr>
            <w:r>
              <w:t>–</w:t>
            </w:r>
          </w:p>
        </w:tc>
        <w:tc>
          <w:tcPr>
            <w:tcW w:w="992" w:type="dxa"/>
          </w:tcPr>
          <w:p w14:paraId="74062F78" w14:textId="77777777" w:rsidR="00B02873" w:rsidRDefault="00B02873" w:rsidP="00E9353A">
            <w:pPr>
              <w:pStyle w:val="TablebodyleftTables"/>
              <w:jc w:val="right"/>
            </w:pPr>
            <w:r>
              <w:t>–</w:t>
            </w:r>
          </w:p>
        </w:tc>
      </w:tr>
      <w:tr w:rsidR="00B02873" w:rsidRPr="00B02873" w14:paraId="7129405E" w14:textId="77777777" w:rsidTr="00E9353A">
        <w:trPr>
          <w:trHeight w:val="60"/>
        </w:trPr>
        <w:tc>
          <w:tcPr>
            <w:tcW w:w="2239" w:type="dxa"/>
          </w:tcPr>
          <w:p w14:paraId="4A7E6B5F" w14:textId="5992A89E" w:rsidR="00B02873" w:rsidRDefault="00B02873" w:rsidP="00E9353A">
            <w:pPr>
              <w:pStyle w:val="TablebodyleftTables"/>
            </w:pPr>
            <w:r>
              <w:t>$340,000</w:t>
            </w:r>
            <w:r w:rsidR="000C45FC">
              <w:t xml:space="preserve"> – </w:t>
            </w:r>
            <w:r>
              <w:t>$359,999</w:t>
            </w:r>
          </w:p>
        </w:tc>
        <w:tc>
          <w:tcPr>
            <w:tcW w:w="1342" w:type="dxa"/>
          </w:tcPr>
          <w:p w14:paraId="6EE9FAAB" w14:textId="77777777" w:rsidR="00B02873" w:rsidRDefault="00B02873" w:rsidP="00E9353A">
            <w:pPr>
              <w:pStyle w:val="TablebodyleftTables"/>
              <w:jc w:val="right"/>
            </w:pPr>
            <w:r>
              <w:t>4</w:t>
            </w:r>
          </w:p>
        </w:tc>
        <w:tc>
          <w:tcPr>
            <w:tcW w:w="1165" w:type="dxa"/>
          </w:tcPr>
          <w:p w14:paraId="21426630" w14:textId="77777777" w:rsidR="00B02873" w:rsidRDefault="00B02873" w:rsidP="00E9353A">
            <w:pPr>
              <w:pStyle w:val="TablebodyleftTables"/>
              <w:jc w:val="right"/>
            </w:pPr>
            <w:r>
              <w:t>–</w:t>
            </w:r>
          </w:p>
        </w:tc>
        <w:tc>
          <w:tcPr>
            <w:tcW w:w="1329" w:type="dxa"/>
          </w:tcPr>
          <w:p w14:paraId="0B5700DA" w14:textId="77777777" w:rsidR="00B02873" w:rsidRDefault="00B02873" w:rsidP="00E9353A">
            <w:pPr>
              <w:pStyle w:val="TablebodyleftTables"/>
              <w:jc w:val="right"/>
            </w:pPr>
            <w:r>
              <w:t>–</w:t>
            </w:r>
          </w:p>
        </w:tc>
        <w:tc>
          <w:tcPr>
            <w:tcW w:w="1181" w:type="dxa"/>
          </w:tcPr>
          <w:p w14:paraId="23C874A1" w14:textId="77777777" w:rsidR="00B02873" w:rsidRDefault="00B02873" w:rsidP="00E9353A">
            <w:pPr>
              <w:pStyle w:val="TablebodyleftTables"/>
              <w:jc w:val="right"/>
            </w:pPr>
            <w:r>
              <w:t>–</w:t>
            </w:r>
          </w:p>
        </w:tc>
        <w:tc>
          <w:tcPr>
            <w:tcW w:w="1386" w:type="dxa"/>
          </w:tcPr>
          <w:p w14:paraId="5C2EF843" w14:textId="77777777" w:rsidR="00B02873" w:rsidRDefault="00B02873" w:rsidP="00E9353A">
            <w:pPr>
              <w:pStyle w:val="TablebodyleftTables"/>
              <w:jc w:val="right"/>
            </w:pPr>
            <w:r>
              <w:t>–</w:t>
            </w:r>
          </w:p>
        </w:tc>
        <w:tc>
          <w:tcPr>
            <w:tcW w:w="992" w:type="dxa"/>
          </w:tcPr>
          <w:p w14:paraId="10F70FE3" w14:textId="77777777" w:rsidR="00B02873" w:rsidRDefault="00B02873" w:rsidP="00E9353A">
            <w:pPr>
              <w:pStyle w:val="TablebodyleftTables"/>
              <w:jc w:val="right"/>
            </w:pPr>
            <w:r>
              <w:t>–</w:t>
            </w:r>
          </w:p>
        </w:tc>
      </w:tr>
      <w:tr w:rsidR="00B02873" w:rsidRPr="00B02873" w14:paraId="29BBD82C" w14:textId="77777777" w:rsidTr="00E9353A">
        <w:trPr>
          <w:trHeight w:val="60"/>
        </w:trPr>
        <w:tc>
          <w:tcPr>
            <w:tcW w:w="2239" w:type="dxa"/>
          </w:tcPr>
          <w:p w14:paraId="56974C3C" w14:textId="5980FB91" w:rsidR="00B02873" w:rsidRDefault="00B02873" w:rsidP="00E9353A">
            <w:pPr>
              <w:pStyle w:val="TablebodyleftTables"/>
            </w:pPr>
            <w:r>
              <w:t>$360,000</w:t>
            </w:r>
            <w:r w:rsidR="000C45FC">
              <w:t xml:space="preserve"> – </w:t>
            </w:r>
            <w:r>
              <w:t>$379,999</w:t>
            </w:r>
          </w:p>
        </w:tc>
        <w:tc>
          <w:tcPr>
            <w:tcW w:w="1342" w:type="dxa"/>
          </w:tcPr>
          <w:p w14:paraId="05547DD4" w14:textId="77777777" w:rsidR="00B02873" w:rsidRDefault="00B02873" w:rsidP="00E9353A">
            <w:pPr>
              <w:pStyle w:val="TablebodyleftTables"/>
              <w:jc w:val="right"/>
            </w:pPr>
            <w:r>
              <w:t>–</w:t>
            </w:r>
          </w:p>
        </w:tc>
        <w:tc>
          <w:tcPr>
            <w:tcW w:w="1165" w:type="dxa"/>
          </w:tcPr>
          <w:p w14:paraId="156BF44D" w14:textId="77777777" w:rsidR="00B02873" w:rsidRDefault="00B02873" w:rsidP="00E9353A">
            <w:pPr>
              <w:pStyle w:val="TablebodyleftTables"/>
              <w:jc w:val="right"/>
            </w:pPr>
            <w:r>
              <w:t>–</w:t>
            </w:r>
          </w:p>
        </w:tc>
        <w:tc>
          <w:tcPr>
            <w:tcW w:w="1329" w:type="dxa"/>
          </w:tcPr>
          <w:p w14:paraId="6987EFFB" w14:textId="77777777" w:rsidR="00B02873" w:rsidRDefault="00B02873" w:rsidP="00E9353A">
            <w:pPr>
              <w:pStyle w:val="TablebodyleftTables"/>
              <w:jc w:val="right"/>
            </w:pPr>
            <w:r>
              <w:t>–</w:t>
            </w:r>
          </w:p>
        </w:tc>
        <w:tc>
          <w:tcPr>
            <w:tcW w:w="1181" w:type="dxa"/>
          </w:tcPr>
          <w:p w14:paraId="1F0E715D" w14:textId="77777777" w:rsidR="00B02873" w:rsidRDefault="00B02873" w:rsidP="00E9353A">
            <w:pPr>
              <w:pStyle w:val="TablebodyleftTables"/>
              <w:jc w:val="right"/>
            </w:pPr>
            <w:r>
              <w:t>–</w:t>
            </w:r>
          </w:p>
        </w:tc>
        <w:tc>
          <w:tcPr>
            <w:tcW w:w="1386" w:type="dxa"/>
          </w:tcPr>
          <w:p w14:paraId="081FB5F6" w14:textId="77777777" w:rsidR="00B02873" w:rsidRDefault="00B02873" w:rsidP="00E9353A">
            <w:pPr>
              <w:pStyle w:val="TablebodyleftTables"/>
              <w:jc w:val="right"/>
            </w:pPr>
            <w:r>
              <w:t>–</w:t>
            </w:r>
          </w:p>
        </w:tc>
        <w:tc>
          <w:tcPr>
            <w:tcW w:w="992" w:type="dxa"/>
          </w:tcPr>
          <w:p w14:paraId="4394422F" w14:textId="77777777" w:rsidR="00B02873" w:rsidRDefault="00B02873" w:rsidP="00E9353A">
            <w:pPr>
              <w:pStyle w:val="TablebodyleftTables"/>
              <w:jc w:val="right"/>
            </w:pPr>
            <w:r>
              <w:t>–</w:t>
            </w:r>
          </w:p>
        </w:tc>
      </w:tr>
      <w:tr w:rsidR="00B02873" w:rsidRPr="00B02873" w14:paraId="068C5A78" w14:textId="77777777" w:rsidTr="00E9353A">
        <w:trPr>
          <w:trHeight w:val="386"/>
        </w:trPr>
        <w:tc>
          <w:tcPr>
            <w:tcW w:w="2239" w:type="dxa"/>
          </w:tcPr>
          <w:p w14:paraId="2660D452" w14:textId="5F7B56C2" w:rsidR="00B02873" w:rsidRDefault="00B02873" w:rsidP="00E9353A">
            <w:pPr>
              <w:pStyle w:val="TablebodyleftTables"/>
            </w:pPr>
            <w:r>
              <w:t>$380,000</w:t>
            </w:r>
            <w:r w:rsidR="000C45FC">
              <w:t xml:space="preserve"> – </w:t>
            </w:r>
            <w:r>
              <w:t>$399,999</w:t>
            </w:r>
          </w:p>
        </w:tc>
        <w:tc>
          <w:tcPr>
            <w:tcW w:w="1342" w:type="dxa"/>
          </w:tcPr>
          <w:p w14:paraId="6BBE1A70" w14:textId="77777777" w:rsidR="00B02873" w:rsidRDefault="00B02873" w:rsidP="00E9353A">
            <w:pPr>
              <w:pStyle w:val="TablebodyleftTables"/>
              <w:jc w:val="right"/>
            </w:pPr>
            <w:r>
              <w:t>1</w:t>
            </w:r>
          </w:p>
        </w:tc>
        <w:tc>
          <w:tcPr>
            <w:tcW w:w="1165" w:type="dxa"/>
          </w:tcPr>
          <w:p w14:paraId="770933EB" w14:textId="77777777" w:rsidR="00B02873" w:rsidRDefault="00B02873" w:rsidP="00E9353A">
            <w:pPr>
              <w:pStyle w:val="TablebodyleftTables"/>
              <w:jc w:val="right"/>
            </w:pPr>
            <w:r>
              <w:t>–</w:t>
            </w:r>
          </w:p>
        </w:tc>
        <w:tc>
          <w:tcPr>
            <w:tcW w:w="1329" w:type="dxa"/>
          </w:tcPr>
          <w:p w14:paraId="3719BAAE" w14:textId="77777777" w:rsidR="00B02873" w:rsidRDefault="00B02873" w:rsidP="00E9353A">
            <w:pPr>
              <w:pStyle w:val="TablebodyleftTables"/>
              <w:jc w:val="right"/>
            </w:pPr>
            <w:r>
              <w:t>–</w:t>
            </w:r>
          </w:p>
        </w:tc>
        <w:tc>
          <w:tcPr>
            <w:tcW w:w="1181" w:type="dxa"/>
          </w:tcPr>
          <w:p w14:paraId="711B65DF" w14:textId="77777777" w:rsidR="00B02873" w:rsidRDefault="00B02873" w:rsidP="00E9353A">
            <w:pPr>
              <w:pStyle w:val="TablebodyleftTables"/>
              <w:jc w:val="right"/>
            </w:pPr>
            <w:r>
              <w:t>–</w:t>
            </w:r>
          </w:p>
        </w:tc>
        <w:tc>
          <w:tcPr>
            <w:tcW w:w="1386" w:type="dxa"/>
          </w:tcPr>
          <w:p w14:paraId="432012D9" w14:textId="77777777" w:rsidR="00B02873" w:rsidRDefault="00B02873" w:rsidP="00E9353A">
            <w:pPr>
              <w:pStyle w:val="TablebodyleftTables"/>
              <w:jc w:val="right"/>
            </w:pPr>
            <w:r>
              <w:t>–</w:t>
            </w:r>
          </w:p>
        </w:tc>
        <w:tc>
          <w:tcPr>
            <w:tcW w:w="992" w:type="dxa"/>
          </w:tcPr>
          <w:p w14:paraId="407FEBF8" w14:textId="77777777" w:rsidR="00B02873" w:rsidRDefault="00B02873" w:rsidP="00E9353A">
            <w:pPr>
              <w:pStyle w:val="TablebodyleftTables"/>
              <w:jc w:val="right"/>
            </w:pPr>
            <w:r>
              <w:t>–</w:t>
            </w:r>
          </w:p>
        </w:tc>
      </w:tr>
      <w:tr w:rsidR="00B02873" w:rsidRPr="00B02873" w14:paraId="1ED71CE5" w14:textId="77777777" w:rsidTr="00E9353A">
        <w:trPr>
          <w:trHeight w:val="60"/>
        </w:trPr>
        <w:tc>
          <w:tcPr>
            <w:tcW w:w="2239" w:type="dxa"/>
          </w:tcPr>
          <w:p w14:paraId="51776B1C" w14:textId="6595D5BB" w:rsidR="00B02873" w:rsidRDefault="00B02873" w:rsidP="00E9353A">
            <w:pPr>
              <w:pStyle w:val="TablebodyleftTables"/>
            </w:pPr>
            <w:r>
              <w:t>$400,000</w:t>
            </w:r>
            <w:r w:rsidR="000C45FC">
              <w:t xml:space="preserve"> – </w:t>
            </w:r>
            <w:r>
              <w:t>$419,999</w:t>
            </w:r>
          </w:p>
        </w:tc>
        <w:tc>
          <w:tcPr>
            <w:tcW w:w="1342" w:type="dxa"/>
          </w:tcPr>
          <w:p w14:paraId="6D54EFE1" w14:textId="77777777" w:rsidR="00B02873" w:rsidRDefault="00B02873" w:rsidP="00E9353A">
            <w:pPr>
              <w:pStyle w:val="TablebodyleftTables"/>
              <w:jc w:val="right"/>
            </w:pPr>
            <w:r>
              <w:t>1</w:t>
            </w:r>
          </w:p>
        </w:tc>
        <w:tc>
          <w:tcPr>
            <w:tcW w:w="1165" w:type="dxa"/>
          </w:tcPr>
          <w:p w14:paraId="6E837B5A" w14:textId="77777777" w:rsidR="00B02873" w:rsidRDefault="00B02873" w:rsidP="00E9353A">
            <w:pPr>
              <w:pStyle w:val="TablebodyleftTables"/>
              <w:jc w:val="right"/>
            </w:pPr>
            <w:r>
              <w:t>–</w:t>
            </w:r>
          </w:p>
        </w:tc>
        <w:tc>
          <w:tcPr>
            <w:tcW w:w="1329" w:type="dxa"/>
          </w:tcPr>
          <w:p w14:paraId="45202C33" w14:textId="77777777" w:rsidR="00B02873" w:rsidRDefault="00B02873" w:rsidP="00E9353A">
            <w:pPr>
              <w:pStyle w:val="TablebodyleftTables"/>
              <w:jc w:val="right"/>
            </w:pPr>
            <w:r>
              <w:t>–</w:t>
            </w:r>
          </w:p>
        </w:tc>
        <w:tc>
          <w:tcPr>
            <w:tcW w:w="1181" w:type="dxa"/>
          </w:tcPr>
          <w:p w14:paraId="7E4C67C8" w14:textId="77777777" w:rsidR="00B02873" w:rsidRDefault="00B02873" w:rsidP="00E9353A">
            <w:pPr>
              <w:pStyle w:val="TablebodyleftTables"/>
              <w:jc w:val="right"/>
            </w:pPr>
            <w:r>
              <w:t>–</w:t>
            </w:r>
          </w:p>
        </w:tc>
        <w:tc>
          <w:tcPr>
            <w:tcW w:w="1386" w:type="dxa"/>
          </w:tcPr>
          <w:p w14:paraId="543659E4" w14:textId="77777777" w:rsidR="00B02873" w:rsidRDefault="00B02873" w:rsidP="00E9353A">
            <w:pPr>
              <w:pStyle w:val="TablebodyleftTables"/>
              <w:jc w:val="right"/>
            </w:pPr>
            <w:r>
              <w:t>–</w:t>
            </w:r>
          </w:p>
        </w:tc>
        <w:tc>
          <w:tcPr>
            <w:tcW w:w="992" w:type="dxa"/>
          </w:tcPr>
          <w:p w14:paraId="442371F2" w14:textId="77777777" w:rsidR="00B02873" w:rsidRDefault="00B02873" w:rsidP="00E9353A">
            <w:pPr>
              <w:pStyle w:val="TablebodyleftTables"/>
              <w:jc w:val="right"/>
            </w:pPr>
            <w:r>
              <w:t>–</w:t>
            </w:r>
          </w:p>
        </w:tc>
      </w:tr>
      <w:tr w:rsidR="00B02873" w:rsidRPr="00B02873" w14:paraId="06FF0F9D" w14:textId="77777777" w:rsidTr="00E9353A">
        <w:trPr>
          <w:trHeight w:val="60"/>
        </w:trPr>
        <w:tc>
          <w:tcPr>
            <w:tcW w:w="2239" w:type="dxa"/>
          </w:tcPr>
          <w:p w14:paraId="3D7C37B6" w14:textId="57952B7F" w:rsidR="00B02873" w:rsidRDefault="00B02873" w:rsidP="00E9353A">
            <w:pPr>
              <w:pStyle w:val="TablebodyleftTables"/>
            </w:pPr>
            <w:r>
              <w:t>$420,000</w:t>
            </w:r>
            <w:r w:rsidR="000C45FC">
              <w:t xml:space="preserve"> – </w:t>
            </w:r>
            <w:r>
              <w:t>$439,999</w:t>
            </w:r>
          </w:p>
        </w:tc>
        <w:tc>
          <w:tcPr>
            <w:tcW w:w="1342" w:type="dxa"/>
          </w:tcPr>
          <w:p w14:paraId="617215A2" w14:textId="77777777" w:rsidR="00B02873" w:rsidRDefault="00B02873" w:rsidP="00E9353A">
            <w:pPr>
              <w:pStyle w:val="TablebodyleftTables"/>
              <w:jc w:val="right"/>
            </w:pPr>
            <w:r>
              <w:t>1</w:t>
            </w:r>
          </w:p>
        </w:tc>
        <w:tc>
          <w:tcPr>
            <w:tcW w:w="1165" w:type="dxa"/>
          </w:tcPr>
          <w:p w14:paraId="70B4E3DB" w14:textId="77777777" w:rsidR="00B02873" w:rsidRDefault="00B02873" w:rsidP="00E9353A">
            <w:pPr>
              <w:pStyle w:val="TablebodyleftTables"/>
              <w:jc w:val="right"/>
            </w:pPr>
            <w:r>
              <w:t>–</w:t>
            </w:r>
          </w:p>
        </w:tc>
        <w:tc>
          <w:tcPr>
            <w:tcW w:w="1329" w:type="dxa"/>
          </w:tcPr>
          <w:p w14:paraId="669639FF" w14:textId="77777777" w:rsidR="00B02873" w:rsidRDefault="00B02873" w:rsidP="00E9353A">
            <w:pPr>
              <w:pStyle w:val="TablebodyleftTables"/>
              <w:jc w:val="right"/>
            </w:pPr>
            <w:r>
              <w:t>–</w:t>
            </w:r>
          </w:p>
        </w:tc>
        <w:tc>
          <w:tcPr>
            <w:tcW w:w="1181" w:type="dxa"/>
          </w:tcPr>
          <w:p w14:paraId="2C3BEC24" w14:textId="77777777" w:rsidR="00B02873" w:rsidRDefault="00B02873" w:rsidP="00E9353A">
            <w:pPr>
              <w:pStyle w:val="TablebodyleftTables"/>
              <w:jc w:val="right"/>
            </w:pPr>
            <w:r>
              <w:t>–</w:t>
            </w:r>
          </w:p>
        </w:tc>
        <w:tc>
          <w:tcPr>
            <w:tcW w:w="1386" w:type="dxa"/>
          </w:tcPr>
          <w:p w14:paraId="11DEE843" w14:textId="77777777" w:rsidR="00B02873" w:rsidRDefault="00B02873" w:rsidP="00E9353A">
            <w:pPr>
              <w:pStyle w:val="TablebodyleftTables"/>
              <w:jc w:val="right"/>
            </w:pPr>
            <w:r>
              <w:t>–</w:t>
            </w:r>
          </w:p>
        </w:tc>
        <w:tc>
          <w:tcPr>
            <w:tcW w:w="992" w:type="dxa"/>
          </w:tcPr>
          <w:p w14:paraId="2F811B3F" w14:textId="77777777" w:rsidR="00B02873" w:rsidRDefault="00B02873" w:rsidP="00E9353A">
            <w:pPr>
              <w:pStyle w:val="TablebodyleftTables"/>
              <w:jc w:val="right"/>
            </w:pPr>
            <w:r>
              <w:t>–</w:t>
            </w:r>
          </w:p>
        </w:tc>
      </w:tr>
      <w:tr w:rsidR="00B02873" w:rsidRPr="00B02873" w14:paraId="1550B412" w14:textId="77777777" w:rsidTr="00E9353A">
        <w:trPr>
          <w:trHeight w:val="60"/>
        </w:trPr>
        <w:tc>
          <w:tcPr>
            <w:tcW w:w="2239" w:type="dxa"/>
          </w:tcPr>
          <w:p w14:paraId="0206B7B5" w14:textId="2AC00BDB" w:rsidR="00B02873" w:rsidRDefault="00B02873" w:rsidP="00E9353A">
            <w:pPr>
              <w:pStyle w:val="TablebodyleftTables"/>
            </w:pPr>
            <w:r>
              <w:t>$440,000</w:t>
            </w:r>
            <w:r w:rsidR="000C45FC">
              <w:t xml:space="preserve"> – </w:t>
            </w:r>
            <w:r>
              <w:t>$459,999</w:t>
            </w:r>
          </w:p>
        </w:tc>
        <w:tc>
          <w:tcPr>
            <w:tcW w:w="1342" w:type="dxa"/>
          </w:tcPr>
          <w:p w14:paraId="56C23AAC" w14:textId="77777777" w:rsidR="00B02873" w:rsidRDefault="00B02873" w:rsidP="00E9353A">
            <w:pPr>
              <w:pStyle w:val="TablebodyleftTables"/>
              <w:jc w:val="right"/>
            </w:pPr>
            <w:r>
              <w:t>–</w:t>
            </w:r>
          </w:p>
        </w:tc>
        <w:tc>
          <w:tcPr>
            <w:tcW w:w="1165" w:type="dxa"/>
          </w:tcPr>
          <w:p w14:paraId="7451C0DC" w14:textId="77777777" w:rsidR="00B02873" w:rsidRDefault="00B02873" w:rsidP="00E9353A">
            <w:pPr>
              <w:pStyle w:val="TablebodyleftTables"/>
              <w:jc w:val="right"/>
            </w:pPr>
            <w:r>
              <w:t>–</w:t>
            </w:r>
          </w:p>
        </w:tc>
        <w:tc>
          <w:tcPr>
            <w:tcW w:w="1329" w:type="dxa"/>
          </w:tcPr>
          <w:p w14:paraId="7F60A9BC" w14:textId="77777777" w:rsidR="00B02873" w:rsidRDefault="00B02873" w:rsidP="00E9353A">
            <w:pPr>
              <w:pStyle w:val="TablebodyleftTables"/>
              <w:jc w:val="right"/>
            </w:pPr>
            <w:r>
              <w:t>–</w:t>
            </w:r>
          </w:p>
        </w:tc>
        <w:tc>
          <w:tcPr>
            <w:tcW w:w="1181" w:type="dxa"/>
          </w:tcPr>
          <w:p w14:paraId="3A5C8E34" w14:textId="77777777" w:rsidR="00B02873" w:rsidRDefault="00B02873" w:rsidP="00E9353A">
            <w:pPr>
              <w:pStyle w:val="TablebodyleftTables"/>
              <w:jc w:val="right"/>
            </w:pPr>
            <w:r>
              <w:t>–</w:t>
            </w:r>
          </w:p>
        </w:tc>
        <w:tc>
          <w:tcPr>
            <w:tcW w:w="1386" w:type="dxa"/>
          </w:tcPr>
          <w:p w14:paraId="0BC832F1" w14:textId="77777777" w:rsidR="00B02873" w:rsidRDefault="00B02873" w:rsidP="00E9353A">
            <w:pPr>
              <w:pStyle w:val="TablebodyleftTables"/>
              <w:jc w:val="right"/>
            </w:pPr>
            <w:r>
              <w:t>–</w:t>
            </w:r>
          </w:p>
        </w:tc>
        <w:tc>
          <w:tcPr>
            <w:tcW w:w="992" w:type="dxa"/>
          </w:tcPr>
          <w:p w14:paraId="1A56F70F" w14:textId="77777777" w:rsidR="00B02873" w:rsidRDefault="00B02873" w:rsidP="00E9353A">
            <w:pPr>
              <w:pStyle w:val="TablebodyleftTables"/>
              <w:jc w:val="right"/>
            </w:pPr>
            <w:r>
              <w:t>–</w:t>
            </w:r>
          </w:p>
        </w:tc>
      </w:tr>
      <w:tr w:rsidR="00B02873" w:rsidRPr="00B02873" w14:paraId="60B199D7" w14:textId="77777777" w:rsidTr="00E9353A">
        <w:trPr>
          <w:trHeight w:val="60"/>
        </w:trPr>
        <w:tc>
          <w:tcPr>
            <w:tcW w:w="2239" w:type="dxa"/>
          </w:tcPr>
          <w:p w14:paraId="5418E42A" w14:textId="4EBAEB36" w:rsidR="00B02873" w:rsidRDefault="00B02873" w:rsidP="00E9353A">
            <w:pPr>
              <w:pStyle w:val="TablebodyleftTables"/>
            </w:pPr>
            <w:r>
              <w:t>$460,000</w:t>
            </w:r>
            <w:r w:rsidR="000C45FC">
              <w:t xml:space="preserve"> – </w:t>
            </w:r>
            <w:r>
              <w:t>$479,999</w:t>
            </w:r>
          </w:p>
        </w:tc>
        <w:tc>
          <w:tcPr>
            <w:tcW w:w="1342" w:type="dxa"/>
          </w:tcPr>
          <w:p w14:paraId="59F5FFFD" w14:textId="77777777" w:rsidR="00B02873" w:rsidRDefault="00B02873" w:rsidP="00E9353A">
            <w:pPr>
              <w:pStyle w:val="TablebodyleftTables"/>
              <w:jc w:val="right"/>
            </w:pPr>
            <w:r>
              <w:t>1</w:t>
            </w:r>
          </w:p>
        </w:tc>
        <w:tc>
          <w:tcPr>
            <w:tcW w:w="1165" w:type="dxa"/>
          </w:tcPr>
          <w:p w14:paraId="4D6A79DB" w14:textId="77777777" w:rsidR="00B02873" w:rsidRDefault="00B02873" w:rsidP="00E9353A">
            <w:pPr>
              <w:pStyle w:val="TablebodyleftTables"/>
              <w:jc w:val="right"/>
            </w:pPr>
            <w:r>
              <w:t>–</w:t>
            </w:r>
          </w:p>
        </w:tc>
        <w:tc>
          <w:tcPr>
            <w:tcW w:w="1329" w:type="dxa"/>
          </w:tcPr>
          <w:p w14:paraId="08D1A473" w14:textId="77777777" w:rsidR="00B02873" w:rsidRDefault="00B02873" w:rsidP="00E9353A">
            <w:pPr>
              <w:pStyle w:val="TablebodyleftTables"/>
              <w:jc w:val="right"/>
            </w:pPr>
            <w:r>
              <w:t>–</w:t>
            </w:r>
          </w:p>
        </w:tc>
        <w:tc>
          <w:tcPr>
            <w:tcW w:w="1181" w:type="dxa"/>
          </w:tcPr>
          <w:p w14:paraId="6D9E73BE" w14:textId="77777777" w:rsidR="00B02873" w:rsidRDefault="00B02873" w:rsidP="00E9353A">
            <w:pPr>
              <w:pStyle w:val="TablebodyleftTables"/>
              <w:jc w:val="right"/>
            </w:pPr>
            <w:r>
              <w:t>–</w:t>
            </w:r>
          </w:p>
        </w:tc>
        <w:tc>
          <w:tcPr>
            <w:tcW w:w="1386" w:type="dxa"/>
          </w:tcPr>
          <w:p w14:paraId="72CB210E" w14:textId="77777777" w:rsidR="00B02873" w:rsidRDefault="00B02873" w:rsidP="00E9353A">
            <w:pPr>
              <w:pStyle w:val="TablebodyleftTables"/>
              <w:jc w:val="right"/>
            </w:pPr>
            <w:r>
              <w:t>–</w:t>
            </w:r>
          </w:p>
        </w:tc>
        <w:tc>
          <w:tcPr>
            <w:tcW w:w="992" w:type="dxa"/>
          </w:tcPr>
          <w:p w14:paraId="75BFF89D" w14:textId="77777777" w:rsidR="00B02873" w:rsidRDefault="00B02873" w:rsidP="00E9353A">
            <w:pPr>
              <w:pStyle w:val="TablebodyleftTables"/>
              <w:jc w:val="right"/>
            </w:pPr>
            <w:r>
              <w:t>–</w:t>
            </w:r>
          </w:p>
        </w:tc>
      </w:tr>
      <w:tr w:rsidR="00B02873" w:rsidRPr="00B02873" w14:paraId="3A85D74F" w14:textId="77777777" w:rsidTr="00E9353A">
        <w:trPr>
          <w:trHeight w:val="60"/>
        </w:trPr>
        <w:tc>
          <w:tcPr>
            <w:tcW w:w="2239" w:type="dxa"/>
          </w:tcPr>
          <w:p w14:paraId="1867C239" w14:textId="32DE28E2" w:rsidR="00B02873" w:rsidRDefault="00B02873" w:rsidP="00E9353A">
            <w:pPr>
              <w:pStyle w:val="TablebodyleftTables"/>
            </w:pPr>
            <w:r>
              <w:t>$480,000</w:t>
            </w:r>
            <w:r w:rsidR="000C45FC">
              <w:t xml:space="preserve"> – </w:t>
            </w:r>
            <w:r>
              <w:t>$499,999</w:t>
            </w:r>
          </w:p>
        </w:tc>
        <w:tc>
          <w:tcPr>
            <w:tcW w:w="1342" w:type="dxa"/>
          </w:tcPr>
          <w:p w14:paraId="5F92B482" w14:textId="77777777" w:rsidR="00B02873" w:rsidRDefault="00B02873" w:rsidP="00E9353A">
            <w:pPr>
              <w:pStyle w:val="TablebodyleftTables"/>
              <w:jc w:val="right"/>
            </w:pPr>
            <w:r>
              <w:t>–</w:t>
            </w:r>
          </w:p>
        </w:tc>
        <w:tc>
          <w:tcPr>
            <w:tcW w:w="1165" w:type="dxa"/>
          </w:tcPr>
          <w:p w14:paraId="1A23DB16" w14:textId="77777777" w:rsidR="00B02873" w:rsidRDefault="00B02873" w:rsidP="00E9353A">
            <w:pPr>
              <w:pStyle w:val="TablebodyleftTables"/>
              <w:jc w:val="right"/>
            </w:pPr>
            <w:r>
              <w:t>–</w:t>
            </w:r>
          </w:p>
        </w:tc>
        <w:tc>
          <w:tcPr>
            <w:tcW w:w="1329" w:type="dxa"/>
          </w:tcPr>
          <w:p w14:paraId="6C989822" w14:textId="77777777" w:rsidR="00B02873" w:rsidRDefault="00B02873" w:rsidP="00E9353A">
            <w:pPr>
              <w:pStyle w:val="TablebodyleftTables"/>
              <w:jc w:val="right"/>
            </w:pPr>
            <w:r>
              <w:t>–</w:t>
            </w:r>
          </w:p>
        </w:tc>
        <w:tc>
          <w:tcPr>
            <w:tcW w:w="1181" w:type="dxa"/>
          </w:tcPr>
          <w:p w14:paraId="35113295" w14:textId="77777777" w:rsidR="00B02873" w:rsidRDefault="00B02873" w:rsidP="00E9353A">
            <w:pPr>
              <w:pStyle w:val="TablebodyleftTables"/>
              <w:jc w:val="right"/>
            </w:pPr>
            <w:r>
              <w:t>–</w:t>
            </w:r>
          </w:p>
        </w:tc>
        <w:tc>
          <w:tcPr>
            <w:tcW w:w="1386" w:type="dxa"/>
          </w:tcPr>
          <w:p w14:paraId="6FCE5D0F" w14:textId="77777777" w:rsidR="00B02873" w:rsidRDefault="00B02873" w:rsidP="00E9353A">
            <w:pPr>
              <w:pStyle w:val="TablebodyleftTables"/>
              <w:jc w:val="right"/>
            </w:pPr>
            <w:r>
              <w:t>–</w:t>
            </w:r>
          </w:p>
        </w:tc>
        <w:tc>
          <w:tcPr>
            <w:tcW w:w="992" w:type="dxa"/>
          </w:tcPr>
          <w:p w14:paraId="5AD50DF8" w14:textId="77777777" w:rsidR="00B02873" w:rsidRDefault="00B02873" w:rsidP="00E9353A">
            <w:pPr>
              <w:pStyle w:val="TablebodyleftTables"/>
              <w:jc w:val="right"/>
            </w:pPr>
            <w:r>
              <w:t>–</w:t>
            </w:r>
          </w:p>
        </w:tc>
      </w:tr>
      <w:tr w:rsidR="00B02873" w:rsidRPr="00B02873" w14:paraId="36AF87C6" w14:textId="77777777" w:rsidTr="00E9353A">
        <w:trPr>
          <w:trHeight w:val="60"/>
        </w:trPr>
        <w:tc>
          <w:tcPr>
            <w:tcW w:w="2239" w:type="dxa"/>
          </w:tcPr>
          <w:p w14:paraId="3BA1C0F9" w14:textId="77777777" w:rsidR="00B02873" w:rsidRDefault="00B02873" w:rsidP="00E9353A">
            <w:pPr>
              <w:pStyle w:val="TablebodyleftTables"/>
            </w:pPr>
            <w:r>
              <w:t>Total</w:t>
            </w:r>
            <w:r>
              <w:rPr>
                <w:vertAlign w:val="superscript"/>
              </w:rPr>
              <w:t>(c)</w:t>
            </w:r>
          </w:p>
        </w:tc>
        <w:tc>
          <w:tcPr>
            <w:tcW w:w="1342" w:type="dxa"/>
          </w:tcPr>
          <w:p w14:paraId="4774F10A" w14:textId="77777777" w:rsidR="00B02873" w:rsidRDefault="00B02873" w:rsidP="00E9353A">
            <w:pPr>
              <w:pStyle w:val="TablebodyleftTables"/>
              <w:jc w:val="right"/>
            </w:pPr>
            <w:r>
              <w:t>177</w:t>
            </w:r>
          </w:p>
        </w:tc>
        <w:tc>
          <w:tcPr>
            <w:tcW w:w="1165" w:type="dxa"/>
          </w:tcPr>
          <w:p w14:paraId="6C4FEBA4" w14:textId="77777777" w:rsidR="00B02873" w:rsidRDefault="00B02873" w:rsidP="00E9353A">
            <w:pPr>
              <w:pStyle w:val="TablebodyleftTables"/>
              <w:jc w:val="right"/>
            </w:pPr>
            <w:r>
              <w:t>27</w:t>
            </w:r>
          </w:p>
        </w:tc>
        <w:tc>
          <w:tcPr>
            <w:tcW w:w="1329" w:type="dxa"/>
          </w:tcPr>
          <w:p w14:paraId="510FD8B4" w14:textId="77777777" w:rsidR="00B02873" w:rsidRDefault="00B02873" w:rsidP="00E9353A">
            <w:pPr>
              <w:pStyle w:val="TablebodyleftTables"/>
              <w:jc w:val="right"/>
            </w:pPr>
            <w:r>
              <w:t>2</w:t>
            </w:r>
          </w:p>
        </w:tc>
        <w:tc>
          <w:tcPr>
            <w:tcW w:w="1181" w:type="dxa"/>
          </w:tcPr>
          <w:p w14:paraId="67F96168" w14:textId="77777777" w:rsidR="00B02873" w:rsidRDefault="00B02873" w:rsidP="00E9353A">
            <w:pPr>
              <w:pStyle w:val="TablebodyleftTables"/>
              <w:jc w:val="right"/>
            </w:pPr>
            <w:r>
              <w:t>–</w:t>
            </w:r>
          </w:p>
        </w:tc>
        <w:tc>
          <w:tcPr>
            <w:tcW w:w="1386" w:type="dxa"/>
          </w:tcPr>
          <w:p w14:paraId="651AC1D3" w14:textId="77777777" w:rsidR="00B02873" w:rsidRDefault="00B02873" w:rsidP="00E9353A">
            <w:pPr>
              <w:pStyle w:val="TablebodyleftTables"/>
              <w:jc w:val="right"/>
            </w:pPr>
            <w:r>
              <w:t>–</w:t>
            </w:r>
          </w:p>
        </w:tc>
        <w:tc>
          <w:tcPr>
            <w:tcW w:w="992" w:type="dxa"/>
          </w:tcPr>
          <w:p w14:paraId="4E8A9CD5" w14:textId="77777777" w:rsidR="00B02873" w:rsidRDefault="00B02873" w:rsidP="00E9353A">
            <w:pPr>
              <w:pStyle w:val="TablebodyleftTables"/>
              <w:jc w:val="right"/>
            </w:pPr>
            <w:r>
              <w:t>–</w:t>
            </w:r>
          </w:p>
        </w:tc>
      </w:tr>
    </w:tbl>
    <w:p w14:paraId="05BD4AF0" w14:textId="77777777" w:rsidR="00B02873" w:rsidRPr="00E9353A" w:rsidRDefault="00B02873" w:rsidP="00E9353A">
      <w:pPr>
        <w:pStyle w:val="SourceNote"/>
        <w:spacing w:after="120"/>
        <w:rPr>
          <w:b/>
          <w:bCs/>
        </w:rPr>
      </w:pPr>
      <w:r w:rsidRPr="00E9353A">
        <w:rPr>
          <w:b/>
          <w:bCs/>
        </w:rPr>
        <w:t>Footnotes:</w:t>
      </w:r>
    </w:p>
    <w:p w14:paraId="49F07EBA" w14:textId="77777777" w:rsidR="00B02873" w:rsidRDefault="00B02873" w:rsidP="00E9353A">
      <w:pPr>
        <w:pStyle w:val="SourceNote"/>
      </w:pPr>
      <w:r>
        <w:t>The salaries reported above are for the full financial year, at a 1-FTE rate, and excludes superannuation.</w:t>
      </w:r>
    </w:p>
    <w:p w14:paraId="2A3A7F7C" w14:textId="77777777" w:rsidR="00B02873" w:rsidRDefault="00B02873" w:rsidP="001128B1">
      <w:pPr>
        <w:pStyle w:val="SourceNotenumbered"/>
        <w:numPr>
          <w:ilvl w:val="0"/>
          <w:numId w:val="45"/>
        </w:numPr>
      </w:pPr>
      <w:r>
        <w:t>There are five employees employed on a part-time basis at 0.6 FTE rate, four at 0.8 FTE rate, four at 0.9 FTE rate and one at 0.98 FTE rate.</w:t>
      </w:r>
    </w:p>
    <w:p w14:paraId="213990B0" w14:textId="77777777" w:rsidR="00B02873" w:rsidRDefault="00B02873" w:rsidP="00E9353A">
      <w:pPr>
        <w:pStyle w:val="SourceNotenumbered"/>
      </w:pPr>
      <w:r>
        <w:t>There are three employees employed on a part-time basis at 0.6 FTE rate, one at 0.8 FTE rate, two at 0.9 FTE rate and one at 0.94 FTE rate.</w:t>
      </w:r>
    </w:p>
    <w:p w14:paraId="38708535" w14:textId="77777777" w:rsidR="00B02873" w:rsidRDefault="00B02873" w:rsidP="00E9353A">
      <w:pPr>
        <w:pStyle w:val="SourceNotenumbered"/>
      </w:pPr>
      <w:r>
        <w:t>This table excludes the Accountable Officer.</w:t>
      </w:r>
    </w:p>
    <w:p w14:paraId="4FB310DA" w14:textId="77777777" w:rsidR="00B02873" w:rsidRDefault="00B02873" w:rsidP="00FE198A"/>
    <w:p w14:paraId="173CA56C" w14:textId="77777777" w:rsidR="000D308A" w:rsidRDefault="000D308A" w:rsidP="006F52C9">
      <w:pPr>
        <w:pStyle w:val="Figureheading"/>
        <w:sectPr w:rsidR="000D308A" w:rsidSect="000C0438">
          <w:pgSz w:w="11906" w:h="16838" w:code="9"/>
          <w:pgMar w:top="1134" w:right="1134" w:bottom="1134" w:left="1134" w:header="720" w:footer="720" w:gutter="0"/>
          <w:cols w:space="720"/>
          <w:noEndnote/>
        </w:sectPr>
      </w:pPr>
    </w:p>
    <w:p w14:paraId="239A69CB" w14:textId="7FAFD2F3" w:rsidR="00B02873" w:rsidRDefault="00B02873" w:rsidP="00E9353A">
      <w:pPr>
        <w:pStyle w:val="TabletitleTables"/>
      </w:pPr>
      <w:r>
        <w:lastRenderedPageBreak/>
        <w:t xml:space="preserve">Table 3: Profile of Sustainability Victoria workforce </w:t>
      </w:r>
    </w:p>
    <w:p w14:paraId="75D9481D" w14:textId="6E996B85" w:rsidR="00B02873" w:rsidRDefault="00B02873" w:rsidP="00FE198A">
      <w:r>
        <w:t>Sustainability Victoria is a statutory authority that facilitates and promotes environmental suitability in the use of resources. Employees attached to Sustainability Victoria are employees of the DELWP Secretary. As at June 2022, Sustainability Victoria employed 192 FTE staff across Victoria.</w:t>
      </w:r>
    </w:p>
    <w:p w14:paraId="0EBEB818" w14:textId="00A67CD7" w:rsidR="00AF3DE9" w:rsidRPr="00AF3DE9" w:rsidRDefault="00AF3DE9" w:rsidP="00FE198A">
      <w:pPr>
        <w:rPr>
          <w:b/>
          <w:bCs/>
        </w:rPr>
      </w:pPr>
      <w:r w:rsidRPr="00AF3DE9">
        <w:rPr>
          <w:b/>
          <w:bCs/>
        </w:rPr>
        <w:t>Demographic data</w:t>
      </w:r>
    </w:p>
    <w:tbl>
      <w:tblPr>
        <w:tblStyle w:val="TableGrid"/>
        <w:tblW w:w="15225" w:type="dxa"/>
        <w:tblLayout w:type="fixed"/>
        <w:tblLook w:val="0020" w:firstRow="1" w:lastRow="0" w:firstColumn="0" w:lastColumn="0" w:noHBand="0" w:noVBand="0"/>
      </w:tblPr>
      <w:tblGrid>
        <w:gridCol w:w="1645"/>
        <w:gridCol w:w="1066"/>
        <w:gridCol w:w="1092"/>
        <w:gridCol w:w="944"/>
        <w:gridCol w:w="943"/>
        <w:gridCol w:w="870"/>
        <w:gridCol w:w="1033"/>
        <w:gridCol w:w="943"/>
        <w:gridCol w:w="1062"/>
        <w:gridCol w:w="1050"/>
        <w:gridCol w:w="943"/>
        <w:gridCol w:w="943"/>
        <w:gridCol w:w="944"/>
        <w:gridCol w:w="943"/>
        <w:gridCol w:w="804"/>
      </w:tblGrid>
      <w:tr w:rsidR="00AF3DE9" w:rsidRPr="00F80D3D" w14:paraId="5E273E64" w14:textId="77777777" w:rsidTr="00226911">
        <w:trPr>
          <w:cnfStyle w:val="100000000000" w:firstRow="1" w:lastRow="0" w:firstColumn="0" w:lastColumn="0" w:oddVBand="0" w:evenVBand="0" w:oddHBand="0" w:evenHBand="0" w:firstRowFirstColumn="0" w:firstRowLastColumn="0" w:lastRowFirstColumn="0" w:lastRowLastColumn="0"/>
          <w:tblHeader/>
        </w:trPr>
        <w:tc>
          <w:tcPr>
            <w:tcW w:w="1645" w:type="dxa"/>
          </w:tcPr>
          <w:p w14:paraId="21847B2D" w14:textId="77777777" w:rsidR="00AF3DE9" w:rsidRPr="00F80D3D" w:rsidRDefault="00AF3DE9" w:rsidP="00226911">
            <w:pPr>
              <w:pStyle w:val="TableheadingleftTables"/>
              <w:spacing w:before="20" w:after="20" w:line="240" w:lineRule="atLeast"/>
              <w:rPr>
                <w:rFonts w:asciiTheme="minorHAnsi" w:hAnsiTheme="minorHAnsi" w:cstheme="minorHAnsi"/>
                <w:sz w:val="18"/>
                <w:szCs w:val="14"/>
              </w:rPr>
            </w:pPr>
          </w:p>
        </w:tc>
        <w:tc>
          <w:tcPr>
            <w:tcW w:w="1066" w:type="dxa"/>
          </w:tcPr>
          <w:p w14:paraId="72763161" w14:textId="5F39D8B7" w:rsidR="00AF3DE9" w:rsidRPr="00F80D3D" w:rsidRDefault="00AF3DE9" w:rsidP="00226911">
            <w:pPr>
              <w:pStyle w:val="Tableheading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All employees Number (head-count)</w:t>
            </w:r>
          </w:p>
        </w:tc>
        <w:tc>
          <w:tcPr>
            <w:tcW w:w="1092" w:type="dxa"/>
          </w:tcPr>
          <w:p w14:paraId="3B5153BE" w14:textId="4AC4838D" w:rsidR="00AF3DE9" w:rsidRPr="00F80D3D" w:rsidRDefault="00AF3DE9" w:rsidP="00226911">
            <w:pPr>
              <w:pStyle w:val="Tableheading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All employees FTE</w:t>
            </w:r>
          </w:p>
        </w:tc>
        <w:tc>
          <w:tcPr>
            <w:tcW w:w="944" w:type="dxa"/>
          </w:tcPr>
          <w:p w14:paraId="3A068374" w14:textId="5E85D93B" w:rsidR="00AF3DE9" w:rsidRPr="00F80D3D" w:rsidRDefault="00AF3DE9" w:rsidP="00226911">
            <w:pPr>
              <w:pStyle w:val="Tableheading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Ongoing Full-time (head-count)</w:t>
            </w:r>
          </w:p>
        </w:tc>
        <w:tc>
          <w:tcPr>
            <w:tcW w:w="943" w:type="dxa"/>
          </w:tcPr>
          <w:p w14:paraId="26EDD468" w14:textId="19DB095C" w:rsidR="00AF3DE9" w:rsidRPr="00F80D3D" w:rsidRDefault="00AF3DE9" w:rsidP="00226911">
            <w:pPr>
              <w:pStyle w:val="Tableheading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Ongoing Part-time (head-count)</w:t>
            </w:r>
          </w:p>
        </w:tc>
        <w:tc>
          <w:tcPr>
            <w:tcW w:w="870" w:type="dxa"/>
          </w:tcPr>
          <w:p w14:paraId="0CFA5667" w14:textId="09616270" w:rsidR="00AF3DE9" w:rsidRPr="00F80D3D" w:rsidRDefault="00AF3DE9" w:rsidP="00226911">
            <w:pPr>
              <w:pStyle w:val="Tableheading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Ongoing FTE</w:t>
            </w:r>
          </w:p>
        </w:tc>
        <w:tc>
          <w:tcPr>
            <w:tcW w:w="1033" w:type="dxa"/>
          </w:tcPr>
          <w:p w14:paraId="7AD15EDE" w14:textId="6BE414EC" w:rsidR="00AF3DE9" w:rsidRPr="00F80D3D" w:rsidRDefault="00AF3DE9" w:rsidP="00226911">
            <w:pPr>
              <w:pStyle w:val="Tableheading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Fixed term and casual Number (head-count)</w:t>
            </w:r>
          </w:p>
        </w:tc>
        <w:tc>
          <w:tcPr>
            <w:tcW w:w="943" w:type="dxa"/>
          </w:tcPr>
          <w:p w14:paraId="4D31665B" w14:textId="749F1314" w:rsidR="00AF3DE9" w:rsidRPr="00F80D3D" w:rsidRDefault="00AF3DE9" w:rsidP="00226911">
            <w:pPr>
              <w:pStyle w:val="Tableheading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Fixed term and casual FTE</w:t>
            </w:r>
          </w:p>
        </w:tc>
        <w:tc>
          <w:tcPr>
            <w:tcW w:w="1062" w:type="dxa"/>
          </w:tcPr>
          <w:p w14:paraId="7B3086B3" w14:textId="0619D270" w:rsidR="00AF3DE9" w:rsidRPr="00F80D3D" w:rsidRDefault="00AF3DE9" w:rsidP="00226911">
            <w:pPr>
              <w:pStyle w:val="Tableheading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All employees Number (head-count)</w:t>
            </w:r>
          </w:p>
        </w:tc>
        <w:tc>
          <w:tcPr>
            <w:tcW w:w="1050" w:type="dxa"/>
          </w:tcPr>
          <w:p w14:paraId="0FAC7279" w14:textId="720D78C9" w:rsidR="00AF3DE9" w:rsidRPr="00F80D3D" w:rsidRDefault="00AF3DE9" w:rsidP="00226911">
            <w:pPr>
              <w:pStyle w:val="Tableheading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All employees FTE</w:t>
            </w:r>
          </w:p>
        </w:tc>
        <w:tc>
          <w:tcPr>
            <w:tcW w:w="943" w:type="dxa"/>
          </w:tcPr>
          <w:p w14:paraId="65B03FBB" w14:textId="3D824ABE" w:rsidR="00AF3DE9" w:rsidRPr="00F80D3D" w:rsidRDefault="00AF3DE9" w:rsidP="00226911">
            <w:pPr>
              <w:pStyle w:val="Tableheading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Ongoing Full-time (head-count)</w:t>
            </w:r>
          </w:p>
        </w:tc>
        <w:tc>
          <w:tcPr>
            <w:tcW w:w="943" w:type="dxa"/>
          </w:tcPr>
          <w:p w14:paraId="3589D67B" w14:textId="5D814710" w:rsidR="00AF3DE9" w:rsidRPr="00F80D3D" w:rsidRDefault="00AF3DE9" w:rsidP="00226911">
            <w:pPr>
              <w:pStyle w:val="Tableheading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Ongoing Part-time (head-count)</w:t>
            </w:r>
          </w:p>
        </w:tc>
        <w:tc>
          <w:tcPr>
            <w:tcW w:w="944" w:type="dxa"/>
          </w:tcPr>
          <w:p w14:paraId="03F5F598" w14:textId="376BB0C8" w:rsidR="00AF3DE9" w:rsidRPr="00F80D3D" w:rsidRDefault="00AF3DE9" w:rsidP="00226911">
            <w:pPr>
              <w:pStyle w:val="Tableheading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Ongoing FTE</w:t>
            </w:r>
          </w:p>
        </w:tc>
        <w:tc>
          <w:tcPr>
            <w:tcW w:w="943" w:type="dxa"/>
          </w:tcPr>
          <w:p w14:paraId="0DDB7195" w14:textId="523FE541" w:rsidR="00AF3DE9" w:rsidRPr="00F80D3D" w:rsidRDefault="00AF3DE9" w:rsidP="00226911">
            <w:pPr>
              <w:pStyle w:val="Tableheading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Fixed term and casual Number (head-count)</w:t>
            </w:r>
          </w:p>
        </w:tc>
        <w:tc>
          <w:tcPr>
            <w:tcW w:w="804" w:type="dxa"/>
          </w:tcPr>
          <w:p w14:paraId="36A11ECC" w14:textId="5612174E" w:rsidR="00AF3DE9" w:rsidRPr="00F80D3D" w:rsidRDefault="00AF3DE9" w:rsidP="00226911">
            <w:pPr>
              <w:pStyle w:val="Tableheading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Fixed term and casual FTE</w:t>
            </w:r>
          </w:p>
        </w:tc>
      </w:tr>
      <w:tr w:rsidR="00F80D3D" w:rsidRPr="00F80D3D" w14:paraId="4C7ABE57" w14:textId="77777777" w:rsidTr="00226911">
        <w:tc>
          <w:tcPr>
            <w:tcW w:w="1645" w:type="dxa"/>
          </w:tcPr>
          <w:p w14:paraId="502180D7" w14:textId="05BCFA38" w:rsidR="00F80D3D" w:rsidRPr="00226911" w:rsidRDefault="00F80D3D" w:rsidP="00226911">
            <w:pPr>
              <w:pStyle w:val="TablebodyleftTables"/>
              <w:spacing w:before="20" w:after="20" w:line="240" w:lineRule="atLeast"/>
              <w:rPr>
                <w:rFonts w:asciiTheme="minorHAnsi" w:hAnsiTheme="minorHAnsi" w:cstheme="minorHAnsi"/>
                <w:b/>
                <w:bCs/>
                <w:sz w:val="18"/>
                <w:szCs w:val="14"/>
              </w:rPr>
            </w:pPr>
            <w:r w:rsidRPr="00226911">
              <w:rPr>
                <w:rFonts w:asciiTheme="minorHAnsi" w:hAnsiTheme="minorHAnsi" w:cstheme="minorHAnsi"/>
                <w:b/>
                <w:bCs/>
                <w:sz w:val="18"/>
                <w:szCs w:val="14"/>
              </w:rPr>
              <w:t>Gender</w:t>
            </w:r>
          </w:p>
        </w:tc>
        <w:tc>
          <w:tcPr>
            <w:tcW w:w="1066" w:type="dxa"/>
          </w:tcPr>
          <w:p w14:paraId="30588DF9" w14:textId="77777777" w:rsidR="00F80D3D" w:rsidRPr="00F80D3D" w:rsidRDefault="00F80D3D" w:rsidP="00226911">
            <w:pPr>
              <w:pStyle w:val="TablebodyleftTables"/>
              <w:spacing w:before="20" w:after="20" w:line="240" w:lineRule="atLeast"/>
              <w:jc w:val="right"/>
              <w:rPr>
                <w:rFonts w:asciiTheme="minorHAnsi" w:hAnsiTheme="minorHAnsi" w:cstheme="minorHAnsi"/>
                <w:sz w:val="18"/>
                <w:szCs w:val="14"/>
              </w:rPr>
            </w:pPr>
          </w:p>
        </w:tc>
        <w:tc>
          <w:tcPr>
            <w:tcW w:w="1092" w:type="dxa"/>
          </w:tcPr>
          <w:p w14:paraId="504B6971" w14:textId="77777777" w:rsidR="00F80D3D" w:rsidRPr="00F80D3D" w:rsidRDefault="00F80D3D" w:rsidP="00226911">
            <w:pPr>
              <w:pStyle w:val="TablebodyleftTables"/>
              <w:spacing w:before="20" w:after="20" w:line="240" w:lineRule="atLeast"/>
              <w:jc w:val="right"/>
              <w:rPr>
                <w:rFonts w:asciiTheme="minorHAnsi" w:hAnsiTheme="minorHAnsi" w:cstheme="minorHAnsi"/>
                <w:sz w:val="18"/>
                <w:szCs w:val="14"/>
              </w:rPr>
            </w:pPr>
          </w:p>
        </w:tc>
        <w:tc>
          <w:tcPr>
            <w:tcW w:w="944" w:type="dxa"/>
          </w:tcPr>
          <w:p w14:paraId="7818E1AC" w14:textId="77777777" w:rsidR="00F80D3D" w:rsidRPr="00F80D3D" w:rsidRDefault="00F80D3D" w:rsidP="00226911">
            <w:pPr>
              <w:pStyle w:val="TablebodyleftTables"/>
              <w:spacing w:before="20" w:after="20" w:line="240" w:lineRule="atLeast"/>
              <w:jc w:val="right"/>
              <w:rPr>
                <w:rFonts w:asciiTheme="minorHAnsi" w:hAnsiTheme="minorHAnsi" w:cstheme="minorHAnsi"/>
                <w:sz w:val="18"/>
                <w:szCs w:val="14"/>
              </w:rPr>
            </w:pPr>
          </w:p>
        </w:tc>
        <w:tc>
          <w:tcPr>
            <w:tcW w:w="943" w:type="dxa"/>
          </w:tcPr>
          <w:p w14:paraId="6D968A94" w14:textId="77777777" w:rsidR="00F80D3D" w:rsidRPr="00F80D3D" w:rsidRDefault="00F80D3D" w:rsidP="00226911">
            <w:pPr>
              <w:pStyle w:val="TablebodyleftTables"/>
              <w:spacing w:before="20" w:after="20" w:line="240" w:lineRule="atLeast"/>
              <w:jc w:val="right"/>
              <w:rPr>
                <w:rFonts w:asciiTheme="minorHAnsi" w:hAnsiTheme="minorHAnsi" w:cstheme="minorHAnsi"/>
                <w:sz w:val="18"/>
                <w:szCs w:val="14"/>
              </w:rPr>
            </w:pPr>
          </w:p>
        </w:tc>
        <w:tc>
          <w:tcPr>
            <w:tcW w:w="870" w:type="dxa"/>
          </w:tcPr>
          <w:p w14:paraId="434F3CC9" w14:textId="77777777" w:rsidR="00F80D3D" w:rsidRPr="00F80D3D" w:rsidRDefault="00F80D3D" w:rsidP="00226911">
            <w:pPr>
              <w:pStyle w:val="TablebodyleftTables"/>
              <w:spacing w:before="20" w:after="20" w:line="240" w:lineRule="atLeast"/>
              <w:jc w:val="right"/>
              <w:rPr>
                <w:rFonts w:asciiTheme="minorHAnsi" w:hAnsiTheme="minorHAnsi" w:cstheme="minorHAnsi"/>
                <w:sz w:val="18"/>
                <w:szCs w:val="14"/>
              </w:rPr>
            </w:pPr>
          </w:p>
        </w:tc>
        <w:tc>
          <w:tcPr>
            <w:tcW w:w="1033" w:type="dxa"/>
          </w:tcPr>
          <w:p w14:paraId="51DBCFF2" w14:textId="77777777" w:rsidR="00F80D3D" w:rsidRPr="00F80D3D" w:rsidRDefault="00F80D3D" w:rsidP="00226911">
            <w:pPr>
              <w:pStyle w:val="TablebodyleftTables"/>
              <w:spacing w:before="20" w:after="20" w:line="240" w:lineRule="atLeast"/>
              <w:jc w:val="right"/>
              <w:rPr>
                <w:rFonts w:asciiTheme="minorHAnsi" w:hAnsiTheme="minorHAnsi" w:cstheme="minorHAnsi"/>
                <w:sz w:val="18"/>
                <w:szCs w:val="14"/>
              </w:rPr>
            </w:pPr>
          </w:p>
        </w:tc>
        <w:tc>
          <w:tcPr>
            <w:tcW w:w="943" w:type="dxa"/>
          </w:tcPr>
          <w:p w14:paraId="78C56A73" w14:textId="77777777" w:rsidR="00F80D3D" w:rsidRPr="00F80D3D" w:rsidRDefault="00F80D3D" w:rsidP="00226911">
            <w:pPr>
              <w:pStyle w:val="TablebodyleftTables"/>
              <w:spacing w:before="20" w:after="20" w:line="240" w:lineRule="atLeast"/>
              <w:jc w:val="right"/>
              <w:rPr>
                <w:rFonts w:asciiTheme="minorHAnsi" w:hAnsiTheme="minorHAnsi" w:cstheme="minorHAnsi"/>
                <w:sz w:val="18"/>
                <w:szCs w:val="14"/>
              </w:rPr>
            </w:pPr>
          </w:p>
        </w:tc>
        <w:tc>
          <w:tcPr>
            <w:tcW w:w="1062" w:type="dxa"/>
          </w:tcPr>
          <w:p w14:paraId="4891C16D" w14:textId="77777777" w:rsidR="00F80D3D" w:rsidRPr="00F80D3D" w:rsidRDefault="00F80D3D" w:rsidP="00226911">
            <w:pPr>
              <w:pStyle w:val="TablebodyleftTables"/>
              <w:spacing w:before="20" w:after="20" w:line="240" w:lineRule="atLeast"/>
              <w:jc w:val="right"/>
              <w:rPr>
                <w:rFonts w:asciiTheme="minorHAnsi" w:hAnsiTheme="minorHAnsi" w:cstheme="minorHAnsi"/>
                <w:sz w:val="18"/>
                <w:szCs w:val="14"/>
              </w:rPr>
            </w:pPr>
          </w:p>
        </w:tc>
        <w:tc>
          <w:tcPr>
            <w:tcW w:w="1050" w:type="dxa"/>
          </w:tcPr>
          <w:p w14:paraId="1AB651FC" w14:textId="77777777" w:rsidR="00F80D3D" w:rsidRPr="00F80D3D" w:rsidRDefault="00F80D3D" w:rsidP="00226911">
            <w:pPr>
              <w:pStyle w:val="TablebodyleftTables"/>
              <w:spacing w:before="20" w:after="20" w:line="240" w:lineRule="atLeast"/>
              <w:jc w:val="right"/>
              <w:rPr>
                <w:rFonts w:asciiTheme="minorHAnsi" w:hAnsiTheme="minorHAnsi" w:cstheme="minorHAnsi"/>
                <w:sz w:val="18"/>
                <w:szCs w:val="14"/>
              </w:rPr>
            </w:pPr>
          </w:p>
        </w:tc>
        <w:tc>
          <w:tcPr>
            <w:tcW w:w="943" w:type="dxa"/>
          </w:tcPr>
          <w:p w14:paraId="5F73ECCA" w14:textId="77777777" w:rsidR="00F80D3D" w:rsidRPr="00F80D3D" w:rsidRDefault="00F80D3D" w:rsidP="00226911">
            <w:pPr>
              <w:pStyle w:val="TablebodyleftTables"/>
              <w:spacing w:before="20" w:after="20" w:line="240" w:lineRule="atLeast"/>
              <w:jc w:val="right"/>
              <w:rPr>
                <w:rFonts w:asciiTheme="minorHAnsi" w:hAnsiTheme="minorHAnsi" w:cstheme="minorHAnsi"/>
                <w:sz w:val="18"/>
                <w:szCs w:val="14"/>
              </w:rPr>
            </w:pPr>
          </w:p>
        </w:tc>
        <w:tc>
          <w:tcPr>
            <w:tcW w:w="943" w:type="dxa"/>
          </w:tcPr>
          <w:p w14:paraId="7D4FDCB8" w14:textId="77777777" w:rsidR="00F80D3D" w:rsidRPr="00F80D3D" w:rsidRDefault="00F80D3D" w:rsidP="00226911">
            <w:pPr>
              <w:pStyle w:val="TablebodyleftTables"/>
              <w:spacing w:before="20" w:after="20" w:line="240" w:lineRule="atLeast"/>
              <w:jc w:val="right"/>
              <w:rPr>
                <w:rFonts w:asciiTheme="minorHAnsi" w:hAnsiTheme="minorHAnsi" w:cstheme="minorHAnsi"/>
                <w:sz w:val="18"/>
                <w:szCs w:val="14"/>
              </w:rPr>
            </w:pPr>
          </w:p>
        </w:tc>
        <w:tc>
          <w:tcPr>
            <w:tcW w:w="944" w:type="dxa"/>
          </w:tcPr>
          <w:p w14:paraId="7BD368CA" w14:textId="77777777" w:rsidR="00F80D3D" w:rsidRPr="00F80D3D" w:rsidRDefault="00F80D3D" w:rsidP="00226911">
            <w:pPr>
              <w:pStyle w:val="TablebodyleftTables"/>
              <w:spacing w:before="20" w:after="20" w:line="240" w:lineRule="atLeast"/>
              <w:jc w:val="right"/>
              <w:rPr>
                <w:rFonts w:asciiTheme="minorHAnsi" w:hAnsiTheme="minorHAnsi" w:cstheme="minorHAnsi"/>
                <w:sz w:val="18"/>
                <w:szCs w:val="14"/>
              </w:rPr>
            </w:pPr>
          </w:p>
        </w:tc>
        <w:tc>
          <w:tcPr>
            <w:tcW w:w="943" w:type="dxa"/>
          </w:tcPr>
          <w:p w14:paraId="78680796" w14:textId="77777777" w:rsidR="00F80D3D" w:rsidRPr="00F80D3D" w:rsidRDefault="00F80D3D" w:rsidP="00226911">
            <w:pPr>
              <w:pStyle w:val="TablebodyleftTables"/>
              <w:spacing w:before="20" w:after="20" w:line="240" w:lineRule="atLeast"/>
              <w:jc w:val="right"/>
              <w:rPr>
                <w:rFonts w:asciiTheme="minorHAnsi" w:hAnsiTheme="minorHAnsi" w:cstheme="minorHAnsi"/>
                <w:sz w:val="18"/>
                <w:szCs w:val="14"/>
              </w:rPr>
            </w:pPr>
          </w:p>
        </w:tc>
        <w:tc>
          <w:tcPr>
            <w:tcW w:w="804" w:type="dxa"/>
          </w:tcPr>
          <w:p w14:paraId="49F80F96" w14:textId="77777777" w:rsidR="00F80D3D" w:rsidRPr="00F80D3D" w:rsidRDefault="00F80D3D" w:rsidP="00226911">
            <w:pPr>
              <w:pStyle w:val="TablebodyleftTables"/>
              <w:spacing w:before="20" w:after="20" w:line="240" w:lineRule="atLeast"/>
              <w:jc w:val="right"/>
              <w:rPr>
                <w:rFonts w:asciiTheme="minorHAnsi" w:hAnsiTheme="minorHAnsi" w:cstheme="minorHAnsi"/>
                <w:sz w:val="18"/>
                <w:szCs w:val="14"/>
              </w:rPr>
            </w:pPr>
          </w:p>
        </w:tc>
      </w:tr>
      <w:tr w:rsidR="00AF3DE9" w:rsidRPr="00F80D3D" w14:paraId="18B56C3A" w14:textId="77777777" w:rsidTr="00226911">
        <w:tc>
          <w:tcPr>
            <w:tcW w:w="1645" w:type="dxa"/>
          </w:tcPr>
          <w:p w14:paraId="7DD91089" w14:textId="77777777" w:rsidR="00AF3DE9" w:rsidRPr="00F80D3D" w:rsidRDefault="00AF3DE9" w:rsidP="00226911">
            <w:pPr>
              <w:pStyle w:val="TablebodyleftTables"/>
              <w:spacing w:before="20" w:after="20" w:line="240" w:lineRule="atLeast"/>
              <w:rPr>
                <w:rFonts w:asciiTheme="minorHAnsi" w:hAnsiTheme="minorHAnsi" w:cstheme="minorHAnsi"/>
                <w:sz w:val="18"/>
                <w:szCs w:val="14"/>
              </w:rPr>
            </w:pPr>
            <w:r w:rsidRPr="00F80D3D">
              <w:rPr>
                <w:rFonts w:asciiTheme="minorHAnsi" w:hAnsiTheme="minorHAnsi" w:cstheme="minorHAnsi"/>
                <w:sz w:val="18"/>
                <w:szCs w:val="14"/>
              </w:rPr>
              <w:t xml:space="preserve">Women </w:t>
            </w:r>
          </w:p>
        </w:tc>
        <w:tc>
          <w:tcPr>
            <w:tcW w:w="1066" w:type="dxa"/>
          </w:tcPr>
          <w:p w14:paraId="0B5C5068"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147</w:t>
            </w:r>
          </w:p>
        </w:tc>
        <w:tc>
          <w:tcPr>
            <w:tcW w:w="1092" w:type="dxa"/>
          </w:tcPr>
          <w:p w14:paraId="6F856A57"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136</w:t>
            </w:r>
          </w:p>
        </w:tc>
        <w:tc>
          <w:tcPr>
            <w:tcW w:w="944" w:type="dxa"/>
          </w:tcPr>
          <w:p w14:paraId="6C4D6D29"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39</w:t>
            </w:r>
          </w:p>
        </w:tc>
        <w:tc>
          <w:tcPr>
            <w:tcW w:w="943" w:type="dxa"/>
          </w:tcPr>
          <w:p w14:paraId="7161AAEA"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12</w:t>
            </w:r>
          </w:p>
        </w:tc>
        <w:tc>
          <w:tcPr>
            <w:tcW w:w="870" w:type="dxa"/>
          </w:tcPr>
          <w:p w14:paraId="4AE6B7F0"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48</w:t>
            </w:r>
          </w:p>
        </w:tc>
        <w:tc>
          <w:tcPr>
            <w:tcW w:w="1033" w:type="dxa"/>
          </w:tcPr>
          <w:p w14:paraId="102B3F71"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96</w:t>
            </w:r>
          </w:p>
        </w:tc>
        <w:tc>
          <w:tcPr>
            <w:tcW w:w="943" w:type="dxa"/>
          </w:tcPr>
          <w:p w14:paraId="662D8FF1"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88</w:t>
            </w:r>
          </w:p>
        </w:tc>
        <w:tc>
          <w:tcPr>
            <w:tcW w:w="1062" w:type="dxa"/>
          </w:tcPr>
          <w:p w14:paraId="7CF7EBBC"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107</w:t>
            </w:r>
          </w:p>
        </w:tc>
        <w:tc>
          <w:tcPr>
            <w:tcW w:w="1050" w:type="dxa"/>
          </w:tcPr>
          <w:p w14:paraId="4E1B8DAC"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100</w:t>
            </w:r>
          </w:p>
        </w:tc>
        <w:tc>
          <w:tcPr>
            <w:tcW w:w="943" w:type="dxa"/>
          </w:tcPr>
          <w:p w14:paraId="1216DB6D"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33</w:t>
            </w:r>
          </w:p>
        </w:tc>
        <w:tc>
          <w:tcPr>
            <w:tcW w:w="943" w:type="dxa"/>
          </w:tcPr>
          <w:p w14:paraId="11EC9335"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14</w:t>
            </w:r>
          </w:p>
        </w:tc>
        <w:tc>
          <w:tcPr>
            <w:tcW w:w="944" w:type="dxa"/>
          </w:tcPr>
          <w:p w14:paraId="3BD80AFB"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42</w:t>
            </w:r>
          </w:p>
        </w:tc>
        <w:tc>
          <w:tcPr>
            <w:tcW w:w="943" w:type="dxa"/>
          </w:tcPr>
          <w:p w14:paraId="6A2A17E5"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60</w:t>
            </w:r>
          </w:p>
        </w:tc>
        <w:tc>
          <w:tcPr>
            <w:tcW w:w="804" w:type="dxa"/>
          </w:tcPr>
          <w:p w14:paraId="6BE3AECA"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58</w:t>
            </w:r>
          </w:p>
        </w:tc>
      </w:tr>
      <w:tr w:rsidR="00AF3DE9" w:rsidRPr="00F80D3D" w14:paraId="3D128F18" w14:textId="77777777" w:rsidTr="00226911">
        <w:tc>
          <w:tcPr>
            <w:tcW w:w="1645" w:type="dxa"/>
          </w:tcPr>
          <w:p w14:paraId="0D1D47CE" w14:textId="77777777" w:rsidR="00AF3DE9" w:rsidRPr="00F80D3D" w:rsidRDefault="00AF3DE9" w:rsidP="00226911">
            <w:pPr>
              <w:pStyle w:val="TablebodyleftTables"/>
              <w:spacing w:before="20" w:after="20" w:line="240" w:lineRule="atLeast"/>
              <w:rPr>
                <w:rFonts w:asciiTheme="minorHAnsi" w:hAnsiTheme="minorHAnsi" w:cstheme="minorHAnsi"/>
                <w:sz w:val="18"/>
                <w:szCs w:val="14"/>
              </w:rPr>
            </w:pPr>
            <w:r w:rsidRPr="00F80D3D">
              <w:rPr>
                <w:rFonts w:asciiTheme="minorHAnsi" w:hAnsiTheme="minorHAnsi" w:cstheme="minorHAnsi"/>
                <w:sz w:val="18"/>
                <w:szCs w:val="14"/>
              </w:rPr>
              <w:t>Men</w:t>
            </w:r>
          </w:p>
        </w:tc>
        <w:tc>
          <w:tcPr>
            <w:tcW w:w="1066" w:type="dxa"/>
          </w:tcPr>
          <w:p w14:paraId="37586FBF"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57</w:t>
            </w:r>
          </w:p>
        </w:tc>
        <w:tc>
          <w:tcPr>
            <w:tcW w:w="1092" w:type="dxa"/>
          </w:tcPr>
          <w:p w14:paraId="56C3CEEA"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56</w:t>
            </w:r>
          </w:p>
        </w:tc>
        <w:tc>
          <w:tcPr>
            <w:tcW w:w="944" w:type="dxa"/>
          </w:tcPr>
          <w:p w14:paraId="30E5BE13"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17</w:t>
            </w:r>
          </w:p>
        </w:tc>
        <w:tc>
          <w:tcPr>
            <w:tcW w:w="943" w:type="dxa"/>
          </w:tcPr>
          <w:p w14:paraId="78B9BB49"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1</w:t>
            </w:r>
          </w:p>
        </w:tc>
        <w:tc>
          <w:tcPr>
            <w:tcW w:w="870" w:type="dxa"/>
          </w:tcPr>
          <w:p w14:paraId="0852DE4D"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18</w:t>
            </w:r>
          </w:p>
        </w:tc>
        <w:tc>
          <w:tcPr>
            <w:tcW w:w="1033" w:type="dxa"/>
          </w:tcPr>
          <w:p w14:paraId="6E26F055"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39</w:t>
            </w:r>
          </w:p>
        </w:tc>
        <w:tc>
          <w:tcPr>
            <w:tcW w:w="943" w:type="dxa"/>
          </w:tcPr>
          <w:p w14:paraId="66DEEE34"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38</w:t>
            </w:r>
          </w:p>
        </w:tc>
        <w:tc>
          <w:tcPr>
            <w:tcW w:w="1062" w:type="dxa"/>
          </w:tcPr>
          <w:p w14:paraId="11652E84"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47</w:t>
            </w:r>
          </w:p>
        </w:tc>
        <w:tc>
          <w:tcPr>
            <w:tcW w:w="1050" w:type="dxa"/>
          </w:tcPr>
          <w:p w14:paraId="71B62776"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46</w:t>
            </w:r>
          </w:p>
        </w:tc>
        <w:tc>
          <w:tcPr>
            <w:tcW w:w="943" w:type="dxa"/>
          </w:tcPr>
          <w:p w14:paraId="7414CBD5"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17</w:t>
            </w:r>
          </w:p>
        </w:tc>
        <w:tc>
          <w:tcPr>
            <w:tcW w:w="943" w:type="dxa"/>
          </w:tcPr>
          <w:p w14:paraId="5CDC8EDB"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1</w:t>
            </w:r>
          </w:p>
        </w:tc>
        <w:tc>
          <w:tcPr>
            <w:tcW w:w="944" w:type="dxa"/>
          </w:tcPr>
          <w:p w14:paraId="146157BB"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18</w:t>
            </w:r>
          </w:p>
        </w:tc>
        <w:tc>
          <w:tcPr>
            <w:tcW w:w="943" w:type="dxa"/>
          </w:tcPr>
          <w:p w14:paraId="756F512F"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29</w:t>
            </w:r>
          </w:p>
        </w:tc>
        <w:tc>
          <w:tcPr>
            <w:tcW w:w="804" w:type="dxa"/>
          </w:tcPr>
          <w:p w14:paraId="4A8A7761"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28</w:t>
            </w:r>
          </w:p>
        </w:tc>
      </w:tr>
      <w:tr w:rsidR="00AF3DE9" w:rsidRPr="00F80D3D" w14:paraId="3FF3F084" w14:textId="77777777" w:rsidTr="00226911">
        <w:tc>
          <w:tcPr>
            <w:tcW w:w="1645" w:type="dxa"/>
          </w:tcPr>
          <w:p w14:paraId="3610B472" w14:textId="77777777" w:rsidR="00AF3DE9" w:rsidRPr="00F80D3D" w:rsidRDefault="00AF3DE9" w:rsidP="00226911">
            <w:pPr>
              <w:pStyle w:val="TablebodyleftTables"/>
              <w:spacing w:before="20" w:after="20" w:line="240" w:lineRule="atLeast"/>
              <w:rPr>
                <w:rFonts w:asciiTheme="minorHAnsi" w:hAnsiTheme="minorHAnsi" w:cstheme="minorHAnsi"/>
                <w:sz w:val="18"/>
                <w:szCs w:val="14"/>
              </w:rPr>
            </w:pPr>
            <w:r w:rsidRPr="00F80D3D">
              <w:rPr>
                <w:rFonts w:asciiTheme="minorHAnsi" w:hAnsiTheme="minorHAnsi" w:cstheme="minorHAnsi"/>
                <w:sz w:val="18"/>
                <w:szCs w:val="14"/>
              </w:rPr>
              <w:t>Self-described</w:t>
            </w:r>
          </w:p>
        </w:tc>
        <w:tc>
          <w:tcPr>
            <w:tcW w:w="1066" w:type="dxa"/>
          </w:tcPr>
          <w:p w14:paraId="39E74970"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1</w:t>
            </w:r>
          </w:p>
        </w:tc>
        <w:tc>
          <w:tcPr>
            <w:tcW w:w="1092" w:type="dxa"/>
          </w:tcPr>
          <w:p w14:paraId="78F92739"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1</w:t>
            </w:r>
          </w:p>
        </w:tc>
        <w:tc>
          <w:tcPr>
            <w:tcW w:w="944" w:type="dxa"/>
          </w:tcPr>
          <w:p w14:paraId="0962B83C"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943" w:type="dxa"/>
          </w:tcPr>
          <w:p w14:paraId="2B429975"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870" w:type="dxa"/>
          </w:tcPr>
          <w:p w14:paraId="3505F82B"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1033" w:type="dxa"/>
          </w:tcPr>
          <w:p w14:paraId="410E5B38"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1</w:t>
            </w:r>
          </w:p>
        </w:tc>
        <w:tc>
          <w:tcPr>
            <w:tcW w:w="943" w:type="dxa"/>
          </w:tcPr>
          <w:p w14:paraId="5ECE45C3"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1</w:t>
            </w:r>
          </w:p>
        </w:tc>
        <w:tc>
          <w:tcPr>
            <w:tcW w:w="1062" w:type="dxa"/>
          </w:tcPr>
          <w:p w14:paraId="2A57428D"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1050" w:type="dxa"/>
          </w:tcPr>
          <w:p w14:paraId="70A0E699"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943" w:type="dxa"/>
          </w:tcPr>
          <w:p w14:paraId="67BB7171"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943" w:type="dxa"/>
          </w:tcPr>
          <w:p w14:paraId="1CFBF19E"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944" w:type="dxa"/>
          </w:tcPr>
          <w:p w14:paraId="0870EDA7"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943" w:type="dxa"/>
          </w:tcPr>
          <w:p w14:paraId="6F59DC6F"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804" w:type="dxa"/>
          </w:tcPr>
          <w:p w14:paraId="656A7413"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r>
      <w:tr w:rsidR="00AF3DE9" w:rsidRPr="00226911" w14:paraId="48BD53D2" w14:textId="77777777" w:rsidTr="00226911">
        <w:tc>
          <w:tcPr>
            <w:tcW w:w="1645" w:type="dxa"/>
          </w:tcPr>
          <w:p w14:paraId="2E32B871" w14:textId="77777777" w:rsidR="00AF3DE9" w:rsidRPr="00226911" w:rsidRDefault="00AF3DE9" w:rsidP="00226911">
            <w:pPr>
              <w:pStyle w:val="TablebodyleftTables"/>
              <w:spacing w:before="20" w:after="20" w:line="240" w:lineRule="atLeast"/>
              <w:rPr>
                <w:rFonts w:asciiTheme="minorHAnsi" w:hAnsiTheme="minorHAnsi" w:cstheme="minorHAnsi"/>
                <w:b/>
                <w:bCs/>
                <w:sz w:val="18"/>
                <w:szCs w:val="14"/>
              </w:rPr>
            </w:pPr>
            <w:r w:rsidRPr="00226911">
              <w:rPr>
                <w:rFonts w:asciiTheme="minorHAnsi" w:hAnsiTheme="minorHAnsi" w:cstheme="minorHAnsi"/>
                <w:b/>
                <w:bCs/>
                <w:sz w:val="18"/>
                <w:szCs w:val="14"/>
              </w:rPr>
              <w:t>Total employees</w:t>
            </w:r>
          </w:p>
        </w:tc>
        <w:tc>
          <w:tcPr>
            <w:tcW w:w="1066" w:type="dxa"/>
          </w:tcPr>
          <w:p w14:paraId="6ADAA30F" w14:textId="77777777" w:rsidR="00AF3DE9" w:rsidRPr="00226911" w:rsidRDefault="00AF3DE9" w:rsidP="00226911">
            <w:pPr>
              <w:pStyle w:val="TablebodyleftTables"/>
              <w:spacing w:before="20" w:after="20" w:line="240" w:lineRule="atLeast"/>
              <w:jc w:val="right"/>
              <w:rPr>
                <w:rFonts w:asciiTheme="minorHAnsi" w:hAnsiTheme="minorHAnsi" w:cstheme="minorHAnsi"/>
                <w:b/>
                <w:bCs/>
                <w:sz w:val="18"/>
                <w:szCs w:val="14"/>
              </w:rPr>
            </w:pPr>
            <w:r w:rsidRPr="00226911">
              <w:rPr>
                <w:rFonts w:asciiTheme="minorHAnsi" w:hAnsiTheme="minorHAnsi" w:cstheme="minorHAnsi"/>
                <w:b/>
                <w:bCs/>
                <w:sz w:val="18"/>
                <w:szCs w:val="14"/>
              </w:rPr>
              <w:t>205</w:t>
            </w:r>
          </w:p>
        </w:tc>
        <w:tc>
          <w:tcPr>
            <w:tcW w:w="1092" w:type="dxa"/>
          </w:tcPr>
          <w:p w14:paraId="60AE78BF" w14:textId="77777777" w:rsidR="00AF3DE9" w:rsidRPr="00226911" w:rsidRDefault="00AF3DE9" w:rsidP="00226911">
            <w:pPr>
              <w:pStyle w:val="TablebodyleftTables"/>
              <w:spacing w:before="20" w:after="20" w:line="240" w:lineRule="atLeast"/>
              <w:jc w:val="right"/>
              <w:rPr>
                <w:rFonts w:asciiTheme="minorHAnsi" w:hAnsiTheme="minorHAnsi" w:cstheme="minorHAnsi"/>
                <w:b/>
                <w:bCs/>
                <w:sz w:val="18"/>
                <w:szCs w:val="14"/>
              </w:rPr>
            </w:pPr>
            <w:r w:rsidRPr="00226911">
              <w:rPr>
                <w:rFonts w:asciiTheme="minorHAnsi" w:hAnsiTheme="minorHAnsi" w:cstheme="minorHAnsi"/>
                <w:b/>
                <w:bCs/>
                <w:sz w:val="18"/>
                <w:szCs w:val="14"/>
              </w:rPr>
              <w:t>192</w:t>
            </w:r>
          </w:p>
        </w:tc>
        <w:tc>
          <w:tcPr>
            <w:tcW w:w="944" w:type="dxa"/>
          </w:tcPr>
          <w:p w14:paraId="205B32CC" w14:textId="77777777" w:rsidR="00AF3DE9" w:rsidRPr="00226911" w:rsidRDefault="00AF3DE9" w:rsidP="00226911">
            <w:pPr>
              <w:pStyle w:val="TablebodyleftTables"/>
              <w:spacing w:before="20" w:after="20" w:line="240" w:lineRule="atLeast"/>
              <w:jc w:val="right"/>
              <w:rPr>
                <w:rFonts w:asciiTheme="minorHAnsi" w:hAnsiTheme="minorHAnsi" w:cstheme="minorHAnsi"/>
                <w:b/>
                <w:bCs/>
                <w:sz w:val="18"/>
                <w:szCs w:val="14"/>
              </w:rPr>
            </w:pPr>
            <w:r w:rsidRPr="00226911">
              <w:rPr>
                <w:rFonts w:asciiTheme="minorHAnsi" w:hAnsiTheme="minorHAnsi" w:cstheme="minorHAnsi"/>
                <w:b/>
                <w:bCs/>
                <w:sz w:val="18"/>
                <w:szCs w:val="14"/>
              </w:rPr>
              <w:t>56</w:t>
            </w:r>
          </w:p>
        </w:tc>
        <w:tc>
          <w:tcPr>
            <w:tcW w:w="943" w:type="dxa"/>
          </w:tcPr>
          <w:p w14:paraId="65B875CD" w14:textId="77777777" w:rsidR="00AF3DE9" w:rsidRPr="00226911" w:rsidRDefault="00AF3DE9" w:rsidP="00226911">
            <w:pPr>
              <w:pStyle w:val="TablebodyleftTables"/>
              <w:spacing w:before="20" w:after="20" w:line="240" w:lineRule="atLeast"/>
              <w:jc w:val="right"/>
              <w:rPr>
                <w:rFonts w:asciiTheme="minorHAnsi" w:hAnsiTheme="minorHAnsi" w:cstheme="minorHAnsi"/>
                <w:b/>
                <w:bCs/>
                <w:sz w:val="18"/>
                <w:szCs w:val="14"/>
              </w:rPr>
            </w:pPr>
            <w:r w:rsidRPr="00226911">
              <w:rPr>
                <w:rFonts w:asciiTheme="minorHAnsi" w:hAnsiTheme="minorHAnsi" w:cstheme="minorHAnsi"/>
                <w:b/>
                <w:bCs/>
                <w:sz w:val="18"/>
                <w:szCs w:val="14"/>
              </w:rPr>
              <w:t>13</w:t>
            </w:r>
          </w:p>
        </w:tc>
        <w:tc>
          <w:tcPr>
            <w:tcW w:w="870" w:type="dxa"/>
          </w:tcPr>
          <w:p w14:paraId="708C346D" w14:textId="77777777" w:rsidR="00AF3DE9" w:rsidRPr="00226911" w:rsidRDefault="00AF3DE9" w:rsidP="00226911">
            <w:pPr>
              <w:pStyle w:val="TablebodyleftTables"/>
              <w:spacing w:before="20" w:after="20" w:line="240" w:lineRule="atLeast"/>
              <w:jc w:val="right"/>
              <w:rPr>
                <w:rFonts w:asciiTheme="minorHAnsi" w:hAnsiTheme="minorHAnsi" w:cstheme="minorHAnsi"/>
                <w:b/>
                <w:bCs/>
                <w:sz w:val="18"/>
                <w:szCs w:val="14"/>
              </w:rPr>
            </w:pPr>
            <w:r w:rsidRPr="00226911">
              <w:rPr>
                <w:rFonts w:asciiTheme="minorHAnsi" w:hAnsiTheme="minorHAnsi" w:cstheme="minorHAnsi"/>
                <w:b/>
                <w:bCs/>
                <w:sz w:val="18"/>
                <w:szCs w:val="14"/>
              </w:rPr>
              <w:t>65</w:t>
            </w:r>
          </w:p>
        </w:tc>
        <w:tc>
          <w:tcPr>
            <w:tcW w:w="1033" w:type="dxa"/>
          </w:tcPr>
          <w:p w14:paraId="4DC43C92" w14:textId="77777777" w:rsidR="00AF3DE9" w:rsidRPr="00226911" w:rsidRDefault="00AF3DE9" w:rsidP="00226911">
            <w:pPr>
              <w:pStyle w:val="TablebodyleftTables"/>
              <w:spacing w:before="20" w:after="20" w:line="240" w:lineRule="atLeast"/>
              <w:jc w:val="right"/>
              <w:rPr>
                <w:rFonts w:asciiTheme="minorHAnsi" w:hAnsiTheme="minorHAnsi" w:cstheme="minorHAnsi"/>
                <w:b/>
                <w:bCs/>
                <w:sz w:val="18"/>
                <w:szCs w:val="14"/>
              </w:rPr>
            </w:pPr>
            <w:r w:rsidRPr="00226911">
              <w:rPr>
                <w:rFonts w:asciiTheme="minorHAnsi" w:hAnsiTheme="minorHAnsi" w:cstheme="minorHAnsi"/>
                <w:b/>
                <w:bCs/>
                <w:sz w:val="18"/>
                <w:szCs w:val="14"/>
              </w:rPr>
              <w:t>136</w:t>
            </w:r>
          </w:p>
        </w:tc>
        <w:tc>
          <w:tcPr>
            <w:tcW w:w="943" w:type="dxa"/>
          </w:tcPr>
          <w:p w14:paraId="7C549A5B" w14:textId="77777777" w:rsidR="00AF3DE9" w:rsidRPr="00226911" w:rsidRDefault="00AF3DE9" w:rsidP="00226911">
            <w:pPr>
              <w:pStyle w:val="TablebodyleftTables"/>
              <w:spacing w:before="20" w:after="20" w:line="240" w:lineRule="atLeast"/>
              <w:jc w:val="right"/>
              <w:rPr>
                <w:rFonts w:asciiTheme="minorHAnsi" w:hAnsiTheme="minorHAnsi" w:cstheme="minorHAnsi"/>
                <w:b/>
                <w:bCs/>
                <w:sz w:val="18"/>
                <w:szCs w:val="14"/>
              </w:rPr>
            </w:pPr>
            <w:r w:rsidRPr="00226911">
              <w:rPr>
                <w:rFonts w:asciiTheme="minorHAnsi" w:hAnsiTheme="minorHAnsi" w:cstheme="minorHAnsi"/>
                <w:b/>
                <w:bCs/>
                <w:sz w:val="18"/>
                <w:szCs w:val="14"/>
              </w:rPr>
              <w:t>127</w:t>
            </w:r>
          </w:p>
        </w:tc>
        <w:tc>
          <w:tcPr>
            <w:tcW w:w="1062" w:type="dxa"/>
          </w:tcPr>
          <w:p w14:paraId="54B295C9" w14:textId="77777777" w:rsidR="00AF3DE9" w:rsidRPr="00226911" w:rsidRDefault="00AF3DE9" w:rsidP="00226911">
            <w:pPr>
              <w:pStyle w:val="TablebodyleftTables"/>
              <w:spacing w:before="20" w:after="20" w:line="240" w:lineRule="atLeast"/>
              <w:jc w:val="right"/>
              <w:rPr>
                <w:rFonts w:asciiTheme="minorHAnsi" w:hAnsiTheme="minorHAnsi" w:cstheme="minorHAnsi"/>
                <w:b/>
                <w:bCs/>
                <w:sz w:val="18"/>
                <w:szCs w:val="14"/>
              </w:rPr>
            </w:pPr>
            <w:r w:rsidRPr="00226911">
              <w:rPr>
                <w:rFonts w:asciiTheme="minorHAnsi" w:hAnsiTheme="minorHAnsi" w:cstheme="minorHAnsi"/>
                <w:b/>
                <w:bCs/>
                <w:sz w:val="18"/>
                <w:szCs w:val="14"/>
              </w:rPr>
              <w:t>154</w:t>
            </w:r>
          </w:p>
        </w:tc>
        <w:tc>
          <w:tcPr>
            <w:tcW w:w="1050" w:type="dxa"/>
          </w:tcPr>
          <w:p w14:paraId="62291C41" w14:textId="77777777" w:rsidR="00AF3DE9" w:rsidRPr="00226911" w:rsidRDefault="00AF3DE9" w:rsidP="00226911">
            <w:pPr>
              <w:pStyle w:val="TablebodyleftTables"/>
              <w:spacing w:before="20" w:after="20" w:line="240" w:lineRule="atLeast"/>
              <w:jc w:val="right"/>
              <w:rPr>
                <w:rFonts w:asciiTheme="minorHAnsi" w:hAnsiTheme="minorHAnsi" w:cstheme="minorHAnsi"/>
                <w:b/>
                <w:bCs/>
                <w:sz w:val="18"/>
                <w:szCs w:val="14"/>
              </w:rPr>
            </w:pPr>
            <w:r w:rsidRPr="00226911">
              <w:rPr>
                <w:rFonts w:asciiTheme="minorHAnsi" w:hAnsiTheme="minorHAnsi" w:cstheme="minorHAnsi"/>
                <w:b/>
                <w:bCs/>
                <w:sz w:val="18"/>
                <w:szCs w:val="14"/>
              </w:rPr>
              <w:t>147</w:t>
            </w:r>
          </w:p>
        </w:tc>
        <w:tc>
          <w:tcPr>
            <w:tcW w:w="943" w:type="dxa"/>
          </w:tcPr>
          <w:p w14:paraId="5E2DDA74" w14:textId="77777777" w:rsidR="00AF3DE9" w:rsidRPr="00226911" w:rsidRDefault="00AF3DE9" w:rsidP="00226911">
            <w:pPr>
              <w:pStyle w:val="TablebodyleftTables"/>
              <w:spacing w:before="20" w:after="20" w:line="240" w:lineRule="atLeast"/>
              <w:jc w:val="right"/>
              <w:rPr>
                <w:rFonts w:asciiTheme="minorHAnsi" w:hAnsiTheme="minorHAnsi" w:cstheme="minorHAnsi"/>
                <w:b/>
                <w:bCs/>
                <w:sz w:val="18"/>
                <w:szCs w:val="14"/>
              </w:rPr>
            </w:pPr>
            <w:r w:rsidRPr="00226911">
              <w:rPr>
                <w:rFonts w:asciiTheme="minorHAnsi" w:hAnsiTheme="minorHAnsi" w:cstheme="minorHAnsi"/>
                <w:b/>
                <w:bCs/>
                <w:sz w:val="18"/>
                <w:szCs w:val="14"/>
              </w:rPr>
              <w:t>50</w:t>
            </w:r>
          </w:p>
        </w:tc>
        <w:tc>
          <w:tcPr>
            <w:tcW w:w="943" w:type="dxa"/>
          </w:tcPr>
          <w:p w14:paraId="2022831D" w14:textId="77777777" w:rsidR="00AF3DE9" w:rsidRPr="00226911" w:rsidRDefault="00AF3DE9" w:rsidP="00226911">
            <w:pPr>
              <w:pStyle w:val="TablebodyleftTables"/>
              <w:spacing w:before="20" w:after="20" w:line="240" w:lineRule="atLeast"/>
              <w:jc w:val="right"/>
              <w:rPr>
                <w:rFonts w:asciiTheme="minorHAnsi" w:hAnsiTheme="minorHAnsi" w:cstheme="minorHAnsi"/>
                <w:b/>
                <w:bCs/>
                <w:sz w:val="18"/>
                <w:szCs w:val="14"/>
              </w:rPr>
            </w:pPr>
            <w:r w:rsidRPr="00226911">
              <w:rPr>
                <w:rFonts w:asciiTheme="minorHAnsi" w:hAnsiTheme="minorHAnsi" w:cstheme="minorHAnsi"/>
                <w:b/>
                <w:bCs/>
                <w:sz w:val="18"/>
                <w:szCs w:val="14"/>
              </w:rPr>
              <w:t>15</w:t>
            </w:r>
          </w:p>
        </w:tc>
        <w:tc>
          <w:tcPr>
            <w:tcW w:w="944" w:type="dxa"/>
          </w:tcPr>
          <w:p w14:paraId="670CA362" w14:textId="77777777" w:rsidR="00AF3DE9" w:rsidRPr="00226911" w:rsidRDefault="00AF3DE9" w:rsidP="00226911">
            <w:pPr>
              <w:pStyle w:val="TablebodyleftTables"/>
              <w:spacing w:before="20" w:after="20" w:line="240" w:lineRule="atLeast"/>
              <w:jc w:val="right"/>
              <w:rPr>
                <w:rFonts w:asciiTheme="minorHAnsi" w:hAnsiTheme="minorHAnsi" w:cstheme="minorHAnsi"/>
                <w:b/>
                <w:bCs/>
                <w:sz w:val="18"/>
                <w:szCs w:val="14"/>
              </w:rPr>
            </w:pPr>
            <w:r w:rsidRPr="00226911">
              <w:rPr>
                <w:rFonts w:asciiTheme="minorHAnsi" w:hAnsiTheme="minorHAnsi" w:cstheme="minorHAnsi"/>
                <w:b/>
                <w:bCs/>
                <w:sz w:val="18"/>
                <w:szCs w:val="14"/>
              </w:rPr>
              <w:t>60</w:t>
            </w:r>
          </w:p>
        </w:tc>
        <w:tc>
          <w:tcPr>
            <w:tcW w:w="943" w:type="dxa"/>
          </w:tcPr>
          <w:p w14:paraId="6AE4DB1D" w14:textId="77777777" w:rsidR="00AF3DE9" w:rsidRPr="00226911" w:rsidRDefault="00AF3DE9" w:rsidP="00226911">
            <w:pPr>
              <w:pStyle w:val="TablebodyleftTables"/>
              <w:spacing w:before="20" w:after="20" w:line="240" w:lineRule="atLeast"/>
              <w:jc w:val="right"/>
              <w:rPr>
                <w:rFonts w:asciiTheme="minorHAnsi" w:hAnsiTheme="minorHAnsi" w:cstheme="minorHAnsi"/>
                <w:b/>
                <w:bCs/>
                <w:sz w:val="18"/>
                <w:szCs w:val="14"/>
              </w:rPr>
            </w:pPr>
            <w:r w:rsidRPr="00226911">
              <w:rPr>
                <w:rFonts w:asciiTheme="minorHAnsi" w:hAnsiTheme="minorHAnsi" w:cstheme="minorHAnsi"/>
                <w:b/>
                <w:bCs/>
                <w:sz w:val="18"/>
                <w:szCs w:val="14"/>
              </w:rPr>
              <w:t>89</w:t>
            </w:r>
          </w:p>
        </w:tc>
        <w:tc>
          <w:tcPr>
            <w:tcW w:w="804" w:type="dxa"/>
          </w:tcPr>
          <w:p w14:paraId="68B6D2AE" w14:textId="77777777" w:rsidR="00AF3DE9" w:rsidRPr="00226911" w:rsidRDefault="00AF3DE9" w:rsidP="00226911">
            <w:pPr>
              <w:pStyle w:val="TablebodyleftTables"/>
              <w:spacing w:before="20" w:after="20" w:line="240" w:lineRule="atLeast"/>
              <w:jc w:val="right"/>
              <w:rPr>
                <w:rFonts w:asciiTheme="minorHAnsi" w:hAnsiTheme="minorHAnsi" w:cstheme="minorHAnsi"/>
                <w:b/>
                <w:bCs/>
                <w:sz w:val="18"/>
                <w:szCs w:val="14"/>
              </w:rPr>
            </w:pPr>
            <w:r w:rsidRPr="00226911">
              <w:rPr>
                <w:rFonts w:asciiTheme="minorHAnsi" w:hAnsiTheme="minorHAnsi" w:cstheme="minorHAnsi"/>
                <w:b/>
                <w:bCs/>
                <w:sz w:val="18"/>
                <w:szCs w:val="14"/>
              </w:rPr>
              <w:t>86</w:t>
            </w:r>
          </w:p>
        </w:tc>
      </w:tr>
      <w:tr w:rsidR="00F80D3D" w:rsidRPr="00F80D3D" w14:paraId="48CECE04" w14:textId="77777777" w:rsidTr="00226911">
        <w:tc>
          <w:tcPr>
            <w:tcW w:w="1645" w:type="dxa"/>
          </w:tcPr>
          <w:p w14:paraId="33BCFBC0" w14:textId="1E38FE32" w:rsidR="00F80D3D" w:rsidRPr="00226911" w:rsidRDefault="00F80D3D" w:rsidP="00226911">
            <w:pPr>
              <w:pStyle w:val="TablebodyleftTables"/>
              <w:spacing w:before="20" w:after="20" w:line="240" w:lineRule="atLeast"/>
              <w:rPr>
                <w:rFonts w:asciiTheme="minorHAnsi" w:hAnsiTheme="minorHAnsi" w:cstheme="minorHAnsi"/>
                <w:b/>
                <w:bCs/>
                <w:sz w:val="18"/>
                <w:szCs w:val="14"/>
              </w:rPr>
            </w:pPr>
            <w:r w:rsidRPr="00226911">
              <w:rPr>
                <w:rFonts w:asciiTheme="minorHAnsi" w:hAnsiTheme="minorHAnsi" w:cstheme="minorHAnsi"/>
                <w:b/>
                <w:bCs/>
                <w:sz w:val="18"/>
                <w:szCs w:val="14"/>
              </w:rPr>
              <w:t>Age</w:t>
            </w:r>
          </w:p>
        </w:tc>
        <w:tc>
          <w:tcPr>
            <w:tcW w:w="1066" w:type="dxa"/>
          </w:tcPr>
          <w:p w14:paraId="7412D614" w14:textId="77777777" w:rsidR="00F80D3D" w:rsidRPr="00F80D3D" w:rsidRDefault="00F80D3D" w:rsidP="00226911">
            <w:pPr>
              <w:pStyle w:val="TablebodyleftTables"/>
              <w:spacing w:before="20" w:after="20" w:line="240" w:lineRule="atLeast"/>
              <w:jc w:val="right"/>
              <w:rPr>
                <w:rFonts w:asciiTheme="minorHAnsi" w:hAnsiTheme="minorHAnsi" w:cstheme="minorHAnsi"/>
                <w:sz w:val="18"/>
                <w:szCs w:val="14"/>
              </w:rPr>
            </w:pPr>
          </w:p>
        </w:tc>
        <w:tc>
          <w:tcPr>
            <w:tcW w:w="1092" w:type="dxa"/>
          </w:tcPr>
          <w:p w14:paraId="11ABBB99" w14:textId="77777777" w:rsidR="00F80D3D" w:rsidRPr="00F80D3D" w:rsidRDefault="00F80D3D" w:rsidP="00226911">
            <w:pPr>
              <w:pStyle w:val="TablebodyleftTables"/>
              <w:spacing w:before="20" w:after="20" w:line="240" w:lineRule="atLeast"/>
              <w:jc w:val="right"/>
              <w:rPr>
                <w:rFonts w:asciiTheme="minorHAnsi" w:hAnsiTheme="minorHAnsi" w:cstheme="minorHAnsi"/>
                <w:sz w:val="18"/>
                <w:szCs w:val="14"/>
              </w:rPr>
            </w:pPr>
          </w:p>
        </w:tc>
        <w:tc>
          <w:tcPr>
            <w:tcW w:w="944" w:type="dxa"/>
          </w:tcPr>
          <w:p w14:paraId="044899A7" w14:textId="77777777" w:rsidR="00F80D3D" w:rsidRPr="00F80D3D" w:rsidRDefault="00F80D3D" w:rsidP="00226911">
            <w:pPr>
              <w:pStyle w:val="TablebodyleftTables"/>
              <w:spacing w:before="20" w:after="20" w:line="240" w:lineRule="atLeast"/>
              <w:jc w:val="right"/>
              <w:rPr>
                <w:rFonts w:asciiTheme="minorHAnsi" w:hAnsiTheme="minorHAnsi" w:cstheme="minorHAnsi"/>
                <w:sz w:val="18"/>
                <w:szCs w:val="14"/>
              </w:rPr>
            </w:pPr>
          </w:p>
        </w:tc>
        <w:tc>
          <w:tcPr>
            <w:tcW w:w="943" w:type="dxa"/>
          </w:tcPr>
          <w:p w14:paraId="703B5091" w14:textId="77777777" w:rsidR="00F80D3D" w:rsidRPr="00F80D3D" w:rsidRDefault="00F80D3D" w:rsidP="00226911">
            <w:pPr>
              <w:pStyle w:val="TablebodyleftTables"/>
              <w:spacing w:before="20" w:after="20" w:line="240" w:lineRule="atLeast"/>
              <w:jc w:val="right"/>
              <w:rPr>
                <w:rFonts w:asciiTheme="minorHAnsi" w:hAnsiTheme="minorHAnsi" w:cstheme="minorHAnsi"/>
                <w:sz w:val="18"/>
                <w:szCs w:val="14"/>
              </w:rPr>
            </w:pPr>
          </w:p>
        </w:tc>
        <w:tc>
          <w:tcPr>
            <w:tcW w:w="870" w:type="dxa"/>
          </w:tcPr>
          <w:p w14:paraId="2E8EADA8" w14:textId="77777777" w:rsidR="00F80D3D" w:rsidRPr="00F80D3D" w:rsidRDefault="00F80D3D" w:rsidP="00226911">
            <w:pPr>
              <w:pStyle w:val="TablebodyleftTables"/>
              <w:spacing w:before="20" w:after="20" w:line="240" w:lineRule="atLeast"/>
              <w:jc w:val="right"/>
              <w:rPr>
                <w:rFonts w:asciiTheme="minorHAnsi" w:hAnsiTheme="minorHAnsi" w:cstheme="minorHAnsi"/>
                <w:sz w:val="18"/>
                <w:szCs w:val="14"/>
              </w:rPr>
            </w:pPr>
          </w:p>
        </w:tc>
        <w:tc>
          <w:tcPr>
            <w:tcW w:w="1033" w:type="dxa"/>
          </w:tcPr>
          <w:p w14:paraId="32A8DDEC" w14:textId="77777777" w:rsidR="00F80D3D" w:rsidRPr="00F80D3D" w:rsidRDefault="00F80D3D" w:rsidP="00226911">
            <w:pPr>
              <w:pStyle w:val="TablebodyleftTables"/>
              <w:spacing w:before="20" w:after="20" w:line="240" w:lineRule="atLeast"/>
              <w:jc w:val="right"/>
              <w:rPr>
                <w:rFonts w:asciiTheme="minorHAnsi" w:hAnsiTheme="minorHAnsi" w:cstheme="minorHAnsi"/>
                <w:sz w:val="18"/>
                <w:szCs w:val="14"/>
              </w:rPr>
            </w:pPr>
          </w:p>
        </w:tc>
        <w:tc>
          <w:tcPr>
            <w:tcW w:w="943" w:type="dxa"/>
          </w:tcPr>
          <w:p w14:paraId="1356830D" w14:textId="77777777" w:rsidR="00F80D3D" w:rsidRPr="00F80D3D" w:rsidRDefault="00F80D3D" w:rsidP="00226911">
            <w:pPr>
              <w:pStyle w:val="TablebodyleftTables"/>
              <w:spacing w:before="20" w:after="20" w:line="240" w:lineRule="atLeast"/>
              <w:jc w:val="right"/>
              <w:rPr>
                <w:rFonts w:asciiTheme="minorHAnsi" w:hAnsiTheme="minorHAnsi" w:cstheme="minorHAnsi"/>
                <w:sz w:val="18"/>
                <w:szCs w:val="14"/>
              </w:rPr>
            </w:pPr>
          </w:p>
        </w:tc>
        <w:tc>
          <w:tcPr>
            <w:tcW w:w="1062" w:type="dxa"/>
          </w:tcPr>
          <w:p w14:paraId="78EE34CE" w14:textId="77777777" w:rsidR="00F80D3D" w:rsidRPr="00F80D3D" w:rsidRDefault="00F80D3D" w:rsidP="00226911">
            <w:pPr>
              <w:pStyle w:val="TablebodyleftTables"/>
              <w:spacing w:before="20" w:after="20" w:line="240" w:lineRule="atLeast"/>
              <w:jc w:val="right"/>
              <w:rPr>
                <w:rFonts w:asciiTheme="minorHAnsi" w:hAnsiTheme="minorHAnsi" w:cstheme="minorHAnsi"/>
                <w:sz w:val="18"/>
                <w:szCs w:val="14"/>
              </w:rPr>
            </w:pPr>
          </w:p>
        </w:tc>
        <w:tc>
          <w:tcPr>
            <w:tcW w:w="1050" w:type="dxa"/>
          </w:tcPr>
          <w:p w14:paraId="656CADAF" w14:textId="77777777" w:rsidR="00F80D3D" w:rsidRPr="00F80D3D" w:rsidRDefault="00F80D3D" w:rsidP="00226911">
            <w:pPr>
              <w:pStyle w:val="TablebodyleftTables"/>
              <w:spacing w:before="20" w:after="20" w:line="240" w:lineRule="atLeast"/>
              <w:jc w:val="right"/>
              <w:rPr>
                <w:rFonts w:asciiTheme="minorHAnsi" w:hAnsiTheme="minorHAnsi" w:cstheme="minorHAnsi"/>
                <w:sz w:val="18"/>
                <w:szCs w:val="14"/>
              </w:rPr>
            </w:pPr>
          </w:p>
        </w:tc>
        <w:tc>
          <w:tcPr>
            <w:tcW w:w="943" w:type="dxa"/>
          </w:tcPr>
          <w:p w14:paraId="154FED51" w14:textId="77777777" w:rsidR="00F80D3D" w:rsidRPr="00F80D3D" w:rsidRDefault="00F80D3D" w:rsidP="00226911">
            <w:pPr>
              <w:pStyle w:val="TablebodyleftTables"/>
              <w:spacing w:before="20" w:after="20" w:line="240" w:lineRule="atLeast"/>
              <w:jc w:val="right"/>
              <w:rPr>
                <w:rFonts w:asciiTheme="minorHAnsi" w:hAnsiTheme="minorHAnsi" w:cstheme="minorHAnsi"/>
                <w:sz w:val="18"/>
                <w:szCs w:val="14"/>
              </w:rPr>
            </w:pPr>
          </w:p>
        </w:tc>
        <w:tc>
          <w:tcPr>
            <w:tcW w:w="943" w:type="dxa"/>
          </w:tcPr>
          <w:p w14:paraId="364FEEA1" w14:textId="77777777" w:rsidR="00F80D3D" w:rsidRPr="00F80D3D" w:rsidRDefault="00F80D3D" w:rsidP="00226911">
            <w:pPr>
              <w:pStyle w:val="TablebodyleftTables"/>
              <w:spacing w:before="20" w:after="20" w:line="240" w:lineRule="atLeast"/>
              <w:jc w:val="right"/>
              <w:rPr>
                <w:rFonts w:asciiTheme="minorHAnsi" w:hAnsiTheme="minorHAnsi" w:cstheme="minorHAnsi"/>
                <w:sz w:val="18"/>
                <w:szCs w:val="14"/>
              </w:rPr>
            </w:pPr>
          </w:p>
        </w:tc>
        <w:tc>
          <w:tcPr>
            <w:tcW w:w="944" w:type="dxa"/>
          </w:tcPr>
          <w:p w14:paraId="338264CA" w14:textId="77777777" w:rsidR="00F80D3D" w:rsidRPr="00F80D3D" w:rsidRDefault="00F80D3D" w:rsidP="00226911">
            <w:pPr>
              <w:pStyle w:val="TablebodyleftTables"/>
              <w:spacing w:before="20" w:after="20" w:line="240" w:lineRule="atLeast"/>
              <w:jc w:val="right"/>
              <w:rPr>
                <w:rFonts w:asciiTheme="minorHAnsi" w:hAnsiTheme="minorHAnsi" w:cstheme="minorHAnsi"/>
                <w:sz w:val="18"/>
                <w:szCs w:val="14"/>
              </w:rPr>
            </w:pPr>
          </w:p>
        </w:tc>
        <w:tc>
          <w:tcPr>
            <w:tcW w:w="943" w:type="dxa"/>
          </w:tcPr>
          <w:p w14:paraId="2C616C1B" w14:textId="77777777" w:rsidR="00F80D3D" w:rsidRPr="00F80D3D" w:rsidRDefault="00F80D3D" w:rsidP="00226911">
            <w:pPr>
              <w:pStyle w:val="TablebodyleftTables"/>
              <w:spacing w:before="20" w:after="20" w:line="240" w:lineRule="atLeast"/>
              <w:jc w:val="right"/>
              <w:rPr>
                <w:rFonts w:asciiTheme="minorHAnsi" w:hAnsiTheme="minorHAnsi" w:cstheme="minorHAnsi"/>
                <w:sz w:val="18"/>
                <w:szCs w:val="14"/>
              </w:rPr>
            </w:pPr>
          </w:p>
        </w:tc>
        <w:tc>
          <w:tcPr>
            <w:tcW w:w="804" w:type="dxa"/>
          </w:tcPr>
          <w:p w14:paraId="307D0FAB" w14:textId="77777777" w:rsidR="00F80D3D" w:rsidRPr="00F80D3D" w:rsidRDefault="00F80D3D" w:rsidP="00226911">
            <w:pPr>
              <w:pStyle w:val="TablebodyleftTables"/>
              <w:spacing w:before="20" w:after="20" w:line="240" w:lineRule="atLeast"/>
              <w:jc w:val="right"/>
              <w:rPr>
                <w:rFonts w:asciiTheme="minorHAnsi" w:hAnsiTheme="minorHAnsi" w:cstheme="minorHAnsi"/>
                <w:sz w:val="18"/>
                <w:szCs w:val="14"/>
              </w:rPr>
            </w:pPr>
          </w:p>
        </w:tc>
      </w:tr>
      <w:tr w:rsidR="00AF3DE9" w:rsidRPr="00F80D3D" w14:paraId="731634E8" w14:textId="77777777" w:rsidTr="00226911">
        <w:tc>
          <w:tcPr>
            <w:tcW w:w="1645" w:type="dxa"/>
          </w:tcPr>
          <w:p w14:paraId="7A2FD41D" w14:textId="77777777" w:rsidR="00AF3DE9" w:rsidRPr="00F80D3D" w:rsidRDefault="00AF3DE9" w:rsidP="00226911">
            <w:pPr>
              <w:pStyle w:val="TablebodyleftTables"/>
              <w:spacing w:before="20" w:after="20" w:line="240" w:lineRule="atLeast"/>
              <w:rPr>
                <w:rFonts w:asciiTheme="minorHAnsi" w:hAnsiTheme="minorHAnsi" w:cstheme="minorHAnsi"/>
                <w:sz w:val="18"/>
                <w:szCs w:val="14"/>
              </w:rPr>
            </w:pPr>
            <w:r w:rsidRPr="00F80D3D">
              <w:rPr>
                <w:rFonts w:asciiTheme="minorHAnsi" w:hAnsiTheme="minorHAnsi" w:cstheme="minorHAnsi"/>
                <w:sz w:val="18"/>
                <w:szCs w:val="14"/>
              </w:rPr>
              <w:t>15-24</w:t>
            </w:r>
          </w:p>
        </w:tc>
        <w:tc>
          <w:tcPr>
            <w:tcW w:w="1066" w:type="dxa"/>
          </w:tcPr>
          <w:p w14:paraId="17E94AD5"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1092" w:type="dxa"/>
          </w:tcPr>
          <w:p w14:paraId="6BE88F3D"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944" w:type="dxa"/>
          </w:tcPr>
          <w:p w14:paraId="53CC0A66"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943" w:type="dxa"/>
          </w:tcPr>
          <w:p w14:paraId="55B7D2FB"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870" w:type="dxa"/>
          </w:tcPr>
          <w:p w14:paraId="0825BE8E"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1033" w:type="dxa"/>
          </w:tcPr>
          <w:p w14:paraId="2B0BF91F"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943" w:type="dxa"/>
          </w:tcPr>
          <w:p w14:paraId="0560E232"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1062" w:type="dxa"/>
          </w:tcPr>
          <w:p w14:paraId="70D25A06"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1050" w:type="dxa"/>
          </w:tcPr>
          <w:p w14:paraId="50D48B6B"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943" w:type="dxa"/>
          </w:tcPr>
          <w:p w14:paraId="04F56FCD"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943" w:type="dxa"/>
          </w:tcPr>
          <w:p w14:paraId="56CEBC7A"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944" w:type="dxa"/>
          </w:tcPr>
          <w:p w14:paraId="54216637"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943" w:type="dxa"/>
          </w:tcPr>
          <w:p w14:paraId="205B3A47"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804" w:type="dxa"/>
          </w:tcPr>
          <w:p w14:paraId="66D777A7"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r>
      <w:tr w:rsidR="00AF3DE9" w:rsidRPr="00F80D3D" w14:paraId="488F3A1F" w14:textId="77777777" w:rsidTr="00226911">
        <w:tc>
          <w:tcPr>
            <w:tcW w:w="1645" w:type="dxa"/>
          </w:tcPr>
          <w:p w14:paraId="1BBB58F5" w14:textId="77777777" w:rsidR="00AF3DE9" w:rsidRPr="00F80D3D" w:rsidRDefault="00AF3DE9" w:rsidP="00226911">
            <w:pPr>
              <w:pStyle w:val="TablebodyleftTables"/>
              <w:spacing w:before="20" w:after="20" w:line="240" w:lineRule="atLeast"/>
              <w:rPr>
                <w:rFonts w:asciiTheme="minorHAnsi" w:hAnsiTheme="minorHAnsi" w:cstheme="minorHAnsi"/>
                <w:sz w:val="18"/>
                <w:szCs w:val="14"/>
              </w:rPr>
            </w:pPr>
            <w:r w:rsidRPr="00F80D3D">
              <w:rPr>
                <w:rFonts w:asciiTheme="minorHAnsi" w:hAnsiTheme="minorHAnsi" w:cstheme="minorHAnsi"/>
                <w:sz w:val="18"/>
                <w:szCs w:val="14"/>
              </w:rPr>
              <w:t>25-34</w:t>
            </w:r>
          </w:p>
        </w:tc>
        <w:tc>
          <w:tcPr>
            <w:tcW w:w="1066" w:type="dxa"/>
          </w:tcPr>
          <w:p w14:paraId="7D5069BF"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52</w:t>
            </w:r>
          </w:p>
        </w:tc>
        <w:tc>
          <w:tcPr>
            <w:tcW w:w="1092" w:type="dxa"/>
          </w:tcPr>
          <w:p w14:paraId="10F5ADD0"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50</w:t>
            </w:r>
          </w:p>
        </w:tc>
        <w:tc>
          <w:tcPr>
            <w:tcW w:w="944" w:type="dxa"/>
          </w:tcPr>
          <w:p w14:paraId="3C19CDEB"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9</w:t>
            </w:r>
          </w:p>
        </w:tc>
        <w:tc>
          <w:tcPr>
            <w:tcW w:w="943" w:type="dxa"/>
          </w:tcPr>
          <w:p w14:paraId="44FD838B"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870" w:type="dxa"/>
          </w:tcPr>
          <w:p w14:paraId="4CAC36CC"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9</w:t>
            </w:r>
          </w:p>
        </w:tc>
        <w:tc>
          <w:tcPr>
            <w:tcW w:w="1033" w:type="dxa"/>
          </w:tcPr>
          <w:p w14:paraId="05BF1F02"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43</w:t>
            </w:r>
          </w:p>
        </w:tc>
        <w:tc>
          <w:tcPr>
            <w:tcW w:w="943" w:type="dxa"/>
          </w:tcPr>
          <w:p w14:paraId="10153C9D"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41</w:t>
            </w:r>
          </w:p>
        </w:tc>
        <w:tc>
          <w:tcPr>
            <w:tcW w:w="1062" w:type="dxa"/>
          </w:tcPr>
          <w:p w14:paraId="19C2FEF2"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35</w:t>
            </w:r>
          </w:p>
        </w:tc>
        <w:tc>
          <w:tcPr>
            <w:tcW w:w="1050" w:type="dxa"/>
          </w:tcPr>
          <w:p w14:paraId="68BB4E52"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35</w:t>
            </w:r>
          </w:p>
        </w:tc>
        <w:tc>
          <w:tcPr>
            <w:tcW w:w="943" w:type="dxa"/>
          </w:tcPr>
          <w:p w14:paraId="74B899C5"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5</w:t>
            </w:r>
          </w:p>
        </w:tc>
        <w:tc>
          <w:tcPr>
            <w:tcW w:w="943" w:type="dxa"/>
          </w:tcPr>
          <w:p w14:paraId="68F00FAD"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944" w:type="dxa"/>
          </w:tcPr>
          <w:p w14:paraId="5C965C74"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5</w:t>
            </w:r>
          </w:p>
        </w:tc>
        <w:tc>
          <w:tcPr>
            <w:tcW w:w="943" w:type="dxa"/>
          </w:tcPr>
          <w:p w14:paraId="0F65AA9B"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30</w:t>
            </w:r>
          </w:p>
        </w:tc>
        <w:tc>
          <w:tcPr>
            <w:tcW w:w="804" w:type="dxa"/>
          </w:tcPr>
          <w:p w14:paraId="4A4EB554"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30</w:t>
            </w:r>
          </w:p>
        </w:tc>
      </w:tr>
      <w:tr w:rsidR="00AF3DE9" w:rsidRPr="00F80D3D" w14:paraId="7A5C54F2" w14:textId="77777777" w:rsidTr="00226911">
        <w:tc>
          <w:tcPr>
            <w:tcW w:w="1645" w:type="dxa"/>
          </w:tcPr>
          <w:p w14:paraId="05C5E189" w14:textId="77777777" w:rsidR="00AF3DE9" w:rsidRPr="00F80D3D" w:rsidRDefault="00AF3DE9" w:rsidP="00226911">
            <w:pPr>
              <w:pStyle w:val="TablebodyleftTables"/>
              <w:spacing w:before="20" w:after="20" w:line="240" w:lineRule="atLeast"/>
              <w:rPr>
                <w:rFonts w:asciiTheme="minorHAnsi" w:hAnsiTheme="minorHAnsi" w:cstheme="minorHAnsi"/>
                <w:sz w:val="18"/>
                <w:szCs w:val="14"/>
              </w:rPr>
            </w:pPr>
            <w:r w:rsidRPr="00F80D3D">
              <w:rPr>
                <w:rFonts w:asciiTheme="minorHAnsi" w:hAnsiTheme="minorHAnsi" w:cstheme="minorHAnsi"/>
                <w:sz w:val="18"/>
                <w:szCs w:val="14"/>
              </w:rPr>
              <w:t>35-44</w:t>
            </w:r>
          </w:p>
        </w:tc>
        <w:tc>
          <w:tcPr>
            <w:tcW w:w="1066" w:type="dxa"/>
          </w:tcPr>
          <w:p w14:paraId="1369F21B"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75</w:t>
            </w:r>
          </w:p>
        </w:tc>
        <w:tc>
          <w:tcPr>
            <w:tcW w:w="1092" w:type="dxa"/>
          </w:tcPr>
          <w:p w14:paraId="6279A529"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69</w:t>
            </w:r>
          </w:p>
        </w:tc>
        <w:tc>
          <w:tcPr>
            <w:tcW w:w="944" w:type="dxa"/>
          </w:tcPr>
          <w:p w14:paraId="6FC20E4D"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20</w:t>
            </w:r>
          </w:p>
        </w:tc>
        <w:tc>
          <w:tcPr>
            <w:tcW w:w="943" w:type="dxa"/>
          </w:tcPr>
          <w:p w14:paraId="02AB9C35"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5</w:t>
            </w:r>
          </w:p>
        </w:tc>
        <w:tc>
          <w:tcPr>
            <w:tcW w:w="870" w:type="dxa"/>
          </w:tcPr>
          <w:p w14:paraId="0C945707"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24</w:t>
            </w:r>
          </w:p>
        </w:tc>
        <w:tc>
          <w:tcPr>
            <w:tcW w:w="1033" w:type="dxa"/>
          </w:tcPr>
          <w:p w14:paraId="31DB5CBF"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50</w:t>
            </w:r>
          </w:p>
        </w:tc>
        <w:tc>
          <w:tcPr>
            <w:tcW w:w="943" w:type="dxa"/>
          </w:tcPr>
          <w:p w14:paraId="4781D482"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45</w:t>
            </w:r>
          </w:p>
        </w:tc>
        <w:tc>
          <w:tcPr>
            <w:tcW w:w="1062" w:type="dxa"/>
          </w:tcPr>
          <w:p w14:paraId="5AC2549B"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57</w:t>
            </w:r>
          </w:p>
        </w:tc>
        <w:tc>
          <w:tcPr>
            <w:tcW w:w="1050" w:type="dxa"/>
          </w:tcPr>
          <w:p w14:paraId="6C34AA81"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53</w:t>
            </w:r>
          </w:p>
        </w:tc>
        <w:tc>
          <w:tcPr>
            <w:tcW w:w="943" w:type="dxa"/>
          </w:tcPr>
          <w:p w14:paraId="3B7DFBCB"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15</w:t>
            </w:r>
          </w:p>
        </w:tc>
        <w:tc>
          <w:tcPr>
            <w:tcW w:w="943" w:type="dxa"/>
          </w:tcPr>
          <w:p w14:paraId="6B3167FF"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7</w:t>
            </w:r>
          </w:p>
        </w:tc>
        <w:tc>
          <w:tcPr>
            <w:tcW w:w="944" w:type="dxa"/>
          </w:tcPr>
          <w:p w14:paraId="616F85E4"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20</w:t>
            </w:r>
          </w:p>
        </w:tc>
        <w:tc>
          <w:tcPr>
            <w:tcW w:w="943" w:type="dxa"/>
          </w:tcPr>
          <w:p w14:paraId="0E70572B"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35</w:t>
            </w:r>
          </w:p>
        </w:tc>
        <w:tc>
          <w:tcPr>
            <w:tcW w:w="804" w:type="dxa"/>
          </w:tcPr>
          <w:p w14:paraId="06CCD036"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34</w:t>
            </w:r>
          </w:p>
        </w:tc>
      </w:tr>
      <w:tr w:rsidR="00AF3DE9" w:rsidRPr="00F80D3D" w14:paraId="2046CF45" w14:textId="77777777" w:rsidTr="00226911">
        <w:tc>
          <w:tcPr>
            <w:tcW w:w="1645" w:type="dxa"/>
          </w:tcPr>
          <w:p w14:paraId="33F2DFAF" w14:textId="77777777" w:rsidR="00AF3DE9" w:rsidRPr="00F80D3D" w:rsidRDefault="00AF3DE9" w:rsidP="00226911">
            <w:pPr>
              <w:pStyle w:val="TablebodyleftTables"/>
              <w:spacing w:before="20" w:after="20" w:line="240" w:lineRule="atLeast"/>
              <w:rPr>
                <w:rFonts w:asciiTheme="minorHAnsi" w:hAnsiTheme="minorHAnsi" w:cstheme="minorHAnsi"/>
                <w:sz w:val="18"/>
                <w:szCs w:val="14"/>
              </w:rPr>
            </w:pPr>
            <w:r w:rsidRPr="00F80D3D">
              <w:rPr>
                <w:rFonts w:asciiTheme="minorHAnsi" w:hAnsiTheme="minorHAnsi" w:cstheme="minorHAnsi"/>
                <w:sz w:val="18"/>
                <w:szCs w:val="14"/>
              </w:rPr>
              <w:t>45-54</w:t>
            </w:r>
          </w:p>
        </w:tc>
        <w:tc>
          <w:tcPr>
            <w:tcW w:w="1066" w:type="dxa"/>
          </w:tcPr>
          <w:p w14:paraId="077C1272"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50</w:t>
            </w:r>
          </w:p>
        </w:tc>
        <w:tc>
          <w:tcPr>
            <w:tcW w:w="1092" w:type="dxa"/>
          </w:tcPr>
          <w:p w14:paraId="3DDC5909"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46</w:t>
            </w:r>
          </w:p>
        </w:tc>
        <w:tc>
          <w:tcPr>
            <w:tcW w:w="944" w:type="dxa"/>
          </w:tcPr>
          <w:p w14:paraId="49507BE5"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12</w:t>
            </w:r>
          </w:p>
        </w:tc>
        <w:tc>
          <w:tcPr>
            <w:tcW w:w="943" w:type="dxa"/>
          </w:tcPr>
          <w:p w14:paraId="2FADE0ED"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6</w:t>
            </w:r>
          </w:p>
        </w:tc>
        <w:tc>
          <w:tcPr>
            <w:tcW w:w="870" w:type="dxa"/>
          </w:tcPr>
          <w:p w14:paraId="3C9AAAAE"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16</w:t>
            </w:r>
          </w:p>
        </w:tc>
        <w:tc>
          <w:tcPr>
            <w:tcW w:w="1033" w:type="dxa"/>
          </w:tcPr>
          <w:p w14:paraId="1492B319"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32</w:t>
            </w:r>
          </w:p>
        </w:tc>
        <w:tc>
          <w:tcPr>
            <w:tcW w:w="943" w:type="dxa"/>
          </w:tcPr>
          <w:p w14:paraId="5AED9069"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30</w:t>
            </w:r>
          </w:p>
        </w:tc>
        <w:tc>
          <w:tcPr>
            <w:tcW w:w="1062" w:type="dxa"/>
          </w:tcPr>
          <w:p w14:paraId="66C9ED2D"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38</w:t>
            </w:r>
          </w:p>
        </w:tc>
        <w:tc>
          <w:tcPr>
            <w:tcW w:w="1050" w:type="dxa"/>
          </w:tcPr>
          <w:p w14:paraId="6B9CB9CD"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35</w:t>
            </w:r>
          </w:p>
        </w:tc>
        <w:tc>
          <w:tcPr>
            <w:tcW w:w="943" w:type="dxa"/>
          </w:tcPr>
          <w:p w14:paraId="7690E13C"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14</w:t>
            </w:r>
          </w:p>
        </w:tc>
        <w:tc>
          <w:tcPr>
            <w:tcW w:w="943" w:type="dxa"/>
          </w:tcPr>
          <w:p w14:paraId="2F1DAD10"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7</w:t>
            </w:r>
          </w:p>
        </w:tc>
        <w:tc>
          <w:tcPr>
            <w:tcW w:w="944" w:type="dxa"/>
          </w:tcPr>
          <w:p w14:paraId="208518CE"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19</w:t>
            </w:r>
          </w:p>
        </w:tc>
        <w:tc>
          <w:tcPr>
            <w:tcW w:w="943" w:type="dxa"/>
          </w:tcPr>
          <w:p w14:paraId="2D155015"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17</w:t>
            </w:r>
          </w:p>
        </w:tc>
        <w:tc>
          <w:tcPr>
            <w:tcW w:w="804" w:type="dxa"/>
          </w:tcPr>
          <w:p w14:paraId="25AE06C7"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16</w:t>
            </w:r>
          </w:p>
        </w:tc>
      </w:tr>
      <w:tr w:rsidR="00AF3DE9" w:rsidRPr="00F80D3D" w14:paraId="2BC731D2" w14:textId="77777777" w:rsidTr="00226911">
        <w:tc>
          <w:tcPr>
            <w:tcW w:w="1645" w:type="dxa"/>
          </w:tcPr>
          <w:p w14:paraId="6FFCF16C" w14:textId="77777777" w:rsidR="00AF3DE9" w:rsidRPr="00F80D3D" w:rsidRDefault="00AF3DE9" w:rsidP="00226911">
            <w:pPr>
              <w:pStyle w:val="TablebodyleftTables"/>
              <w:spacing w:before="20" w:after="20" w:line="240" w:lineRule="atLeast"/>
              <w:rPr>
                <w:rFonts w:asciiTheme="minorHAnsi" w:hAnsiTheme="minorHAnsi" w:cstheme="minorHAnsi"/>
                <w:sz w:val="18"/>
                <w:szCs w:val="14"/>
              </w:rPr>
            </w:pPr>
            <w:r w:rsidRPr="00F80D3D">
              <w:rPr>
                <w:rFonts w:asciiTheme="minorHAnsi" w:hAnsiTheme="minorHAnsi" w:cstheme="minorHAnsi"/>
                <w:sz w:val="18"/>
                <w:szCs w:val="14"/>
              </w:rPr>
              <w:t>55-64</w:t>
            </w:r>
          </w:p>
        </w:tc>
        <w:tc>
          <w:tcPr>
            <w:tcW w:w="1066" w:type="dxa"/>
          </w:tcPr>
          <w:p w14:paraId="55C6A0DD"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24</w:t>
            </w:r>
          </w:p>
        </w:tc>
        <w:tc>
          <w:tcPr>
            <w:tcW w:w="1092" w:type="dxa"/>
          </w:tcPr>
          <w:p w14:paraId="40161607"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24</w:t>
            </w:r>
          </w:p>
        </w:tc>
        <w:tc>
          <w:tcPr>
            <w:tcW w:w="944" w:type="dxa"/>
          </w:tcPr>
          <w:p w14:paraId="2A57D8EB"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12</w:t>
            </w:r>
          </w:p>
        </w:tc>
        <w:tc>
          <w:tcPr>
            <w:tcW w:w="943" w:type="dxa"/>
          </w:tcPr>
          <w:p w14:paraId="07298910"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1</w:t>
            </w:r>
          </w:p>
        </w:tc>
        <w:tc>
          <w:tcPr>
            <w:tcW w:w="870" w:type="dxa"/>
          </w:tcPr>
          <w:p w14:paraId="5F7BEE8C"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13</w:t>
            </w:r>
          </w:p>
        </w:tc>
        <w:tc>
          <w:tcPr>
            <w:tcW w:w="1033" w:type="dxa"/>
          </w:tcPr>
          <w:p w14:paraId="307B527E"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11</w:t>
            </w:r>
          </w:p>
        </w:tc>
        <w:tc>
          <w:tcPr>
            <w:tcW w:w="943" w:type="dxa"/>
          </w:tcPr>
          <w:p w14:paraId="06187941"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11</w:t>
            </w:r>
          </w:p>
        </w:tc>
        <w:tc>
          <w:tcPr>
            <w:tcW w:w="1062" w:type="dxa"/>
          </w:tcPr>
          <w:p w14:paraId="73F05F0B"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20</w:t>
            </w:r>
          </w:p>
        </w:tc>
        <w:tc>
          <w:tcPr>
            <w:tcW w:w="1050" w:type="dxa"/>
          </w:tcPr>
          <w:p w14:paraId="677B1E2F"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20</w:t>
            </w:r>
          </w:p>
        </w:tc>
        <w:tc>
          <w:tcPr>
            <w:tcW w:w="943" w:type="dxa"/>
          </w:tcPr>
          <w:p w14:paraId="7941CE35"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13</w:t>
            </w:r>
          </w:p>
        </w:tc>
        <w:tc>
          <w:tcPr>
            <w:tcW w:w="943" w:type="dxa"/>
          </w:tcPr>
          <w:p w14:paraId="6C90BEFD"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1</w:t>
            </w:r>
          </w:p>
        </w:tc>
        <w:tc>
          <w:tcPr>
            <w:tcW w:w="944" w:type="dxa"/>
          </w:tcPr>
          <w:p w14:paraId="07FBD3F1"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14</w:t>
            </w:r>
          </w:p>
        </w:tc>
        <w:tc>
          <w:tcPr>
            <w:tcW w:w="943" w:type="dxa"/>
          </w:tcPr>
          <w:p w14:paraId="62FE8AE8"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6</w:t>
            </w:r>
          </w:p>
        </w:tc>
        <w:tc>
          <w:tcPr>
            <w:tcW w:w="804" w:type="dxa"/>
          </w:tcPr>
          <w:p w14:paraId="5A23D5A0"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6</w:t>
            </w:r>
          </w:p>
        </w:tc>
      </w:tr>
      <w:tr w:rsidR="00AF3DE9" w:rsidRPr="00F80D3D" w14:paraId="3D81F615" w14:textId="77777777" w:rsidTr="00226911">
        <w:tc>
          <w:tcPr>
            <w:tcW w:w="1645" w:type="dxa"/>
          </w:tcPr>
          <w:p w14:paraId="07131E67" w14:textId="77777777" w:rsidR="00AF3DE9" w:rsidRPr="00F80D3D" w:rsidRDefault="00AF3DE9" w:rsidP="00226911">
            <w:pPr>
              <w:pStyle w:val="TablebodyleftTables"/>
              <w:spacing w:before="20" w:after="20" w:line="240" w:lineRule="atLeast"/>
              <w:rPr>
                <w:rFonts w:asciiTheme="minorHAnsi" w:hAnsiTheme="minorHAnsi" w:cstheme="minorHAnsi"/>
                <w:sz w:val="18"/>
                <w:szCs w:val="14"/>
              </w:rPr>
            </w:pPr>
            <w:r w:rsidRPr="00F80D3D">
              <w:rPr>
                <w:rFonts w:asciiTheme="minorHAnsi" w:hAnsiTheme="minorHAnsi" w:cstheme="minorHAnsi"/>
                <w:sz w:val="18"/>
                <w:szCs w:val="14"/>
              </w:rPr>
              <w:t>65+</w:t>
            </w:r>
          </w:p>
        </w:tc>
        <w:tc>
          <w:tcPr>
            <w:tcW w:w="1066" w:type="dxa"/>
          </w:tcPr>
          <w:p w14:paraId="038213EA"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4</w:t>
            </w:r>
          </w:p>
        </w:tc>
        <w:tc>
          <w:tcPr>
            <w:tcW w:w="1092" w:type="dxa"/>
          </w:tcPr>
          <w:p w14:paraId="304297DB"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4</w:t>
            </w:r>
          </w:p>
        </w:tc>
        <w:tc>
          <w:tcPr>
            <w:tcW w:w="944" w:type="dxa"/>
          </w:tcPr>
          <w:p w14:paraId="05C8679B"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3</w:t>
            </w:r>
          </w:p>
        </w:tc>
        <w:tc>
          <w:tcPr>
            <w:tcW w:w="943" w:type="dxa"/>
          </w:tcPr>
          <w:p w14:paraId="743B5DE0"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1</w:t>
            </w:r>
          </w:p>
        </w:tc>
        <w:tc>
          <w:tcPr>
            <w:tcW w:w="870" w:type="dxa"/>
          </w:tcPr>
          <w:p w14:paraId="248D5FE6"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4</w:t>
            </w:r>
          </w:p>
        </w:tc>
        <w:tc>
          <w:tcPr>
            <w:tcW w:w="1033" w:type="dxa"/>
          </w:tcPr>
          <w:p w14:paraId="5EA4C867"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943" w:type="dxa"/>
          </w:tcPr>
          <w:p w14:paraId="72A90D0D"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1062" w:type="dxa"/>
          </w:tcPr>
          <w:p w14:paraId="5A66B2AB"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4</w:t>
            </w:r>
          </w:p>
        </w:tc>
        <w:tc>
          <w:tcPr>
            <w:tcW w:w="1050" w:type="dxa"/>
          </w:tcPr>
          <w:p w14:paraId="30E12935"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4</w:t>
            </w:r>
          </w:p>
        </w:tc>
        <w:tc>
          <w:tcPr>
            <w:tcW w:w="943" w:type="dxa"/>
          </w:tcPr>
          <w:p w14:paraId="48F69CFC"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3</w:t>
            </w:r>
          </w:p>
        </w:tc>
        <w:tc>
          <w:tcPr>
            <w:tcW w:w="943" w:type="dxa"/>
          </w:tcPr>
          <w:p w14:paraId="37F15B5F"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944" w:type="dxa"/>
          </w:tcPr>
          <w:p w14:paraId="414B0D99"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3</w:t>
            </w:r>
          </w:p>
        </w:tc>
        <w:tc>
          <w:tcPr>
            <w:tcW w:w="943" w:type="dxa"/>
          </w:tcPr>
          <w:p w14:paraId="7755885C"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1</w:t>
            </w:r>
          </w:p>
        </w:tc>
        <w:tc>
          <w:tcPr>
            <w:tcW w:w="804" w:type="dxa"/>
          </w:tcPr>
          <w:p w14:paraId="275D3333"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1</w:t>
            </w:r>
          </w:p>
        </w:tc>
      </w:tr>
      <w:tr w:rsidR="00AF3DE9" w:rsidRPr="00226911" w14:paraId="30EAF549" w14:textId="77777777" w:rsidTr="00226911">
        <w:tc>
          <w:tcPr>
            <w:tcW w:w="1645" w:type="dxa"/>
          </w:tcPr>
          <w:p w14:paraId="15E6C7FC" w14:textId="77777777" w:rsidR="00AF3DE9" w:rsidRPr="00226911" w:rsidRDefault="00AF3DE9" w:rsidP="00226911">
            <w:pPr>
              <w:pStyle w:val="TablebodyleftTables"/>
              <w:spacing w:before="20" w:after="20" w:line="240" w:lineRule="atLeast"/>
              <w:rPr>
                <w:rFonts w:asciiTheme="minorHAnsi" w:hAnsiTheme="minorHAnsi" w:cstheme="minorHAnsi"/>
                <w:b/>
                <w:bCs/>
                <w:sz w:val="18"/>
                <w:szCs w:val="14"/>
              </w:rPr>
            </w:pPr>
            <w:r w:rsidRPr="00226911">
              <w:rPr>
                <w:rFonts w:asciiTheme="minorHAnsi" w:hAnsiTheme="minorHAnsi" w:cstheme="minorHAnsi"/>
                <w:b/>
                <w:bCs/>
                <w:sz w:val="18"/>
                <w:szCs w:val="14"/>
              </w:rPr>
              <w:t>Total employees</w:t>
            </w:r>
          </w:p>
        </w:tc>
        <w:tc>
          <w:tcPr>
            <w:tcW w:w="1066" w:type="dxa"/>
          </w:tcPr>
          <w:p w14:paraId="5192DD12" w14:textId="77777777" w:rsidR="00AF3DE9" w:rsidRPr="00226911" w:rsidRDefault="00AF3DE9" w:rsidP="00226911">
            <w:pPr>
              <w:pStyle w:val="TablebodyleftTables"/>
              <w:spacing w:before="20" w:after="20" w:line="240" w:lineRule="atLeast"/>
              <w:jc w:val="right"/>
              <w:rPr>
                <w:rFonts w:asciiTheme="minorHAnsi" w:hAnsiTheme="minorHAnsi" w:cstheme="minorHAnsi"/>
                <w:b/>
                <w:bCs/>
                <w:sz w:val="18"/>
                <w:szCs w:val="14"/>
              </w:rPr>
            </w:pPr>
            <w:r w:rsidRPr="00226911">
              <w:rPr>
                <w:rFonts w:asciiTheme="minorHAnsi" w:hAnsiTheme="minorHAnsi" w:cstheme="minorHAnsi"/>
                <w:b/>
                <w:bCs/>
                <w:sz w:val="18"/>
                <w:szCs w:val="14"/>
              </w:rPr>
              <w:t>205</w:t>
            </w:r>
          </w:p>
        </w:tc>
        <w:tc>
          <w:tcPr>
            <w:tcW w:w="1092" w:type="dxa"/>
          </w:tcPr>
          <w:p w14:paraId="0A37E32B" w14:textId="77777777" w:rsidR="00AF3DE9" w:rsidRPr="00226911" w:rsidRDefault="00AF3DE9" w:rsidP="00226911">
            <w:pPr>
              <w:pStyle w:val="TablebodyleftTables"/>
              <w:spacing w:before="20" w:after="20" w:line="240" w:lineRule="atLeast"/>
              <w:jc w:val="right"/>
              <w:rPr>
                <w:rFonts w:asciiTheme="minorHAnsi" w:hAnsiTheme="minorHAnsi" w:cstheme="minorHAnsi"/>
                <w:b/>
                <w:bCs/>
                <w:sz w:val="18"/>
                <w:szCs w:val="14"/>
              </w:rPr>
            </w:pPr>
            <w:r w:rsidRPr="00226911">
              <w:rPr>
                <w:rFonts w:asciiTheme="minorHAnsi" w:hAnsiTheme="minorHAnsi" w:cstheme="minorHAnsi"/>
                <w:b/>
                <w:bCs/>
                <w:sz w:val="18"/>
                <w:szCs w:val="14"/>
              </w:rPr>
              <w:t>192</w:t>
            </w:r>
          </w:p>
        </w:tc>
        <w:tc>
          <w:tcPr>
            <w:tcW w:w="944" w:type="dxa"/>
          </w:tcPr>
          <w:p w14:paraId="1D12A41E" w14:textId="77777777" w:rsidR="00AF3DE9" w:rsidRPr="00226911" w:rsidRDefault="00AF3DE9" w:rsidP="00226911">
            <w:pPr>
              <w:pStyle w:val="TablebodyleftTables"/>
              <w:spacing w:before="20" w:after="20" w:line="240" w:lineRule="atLeast"/>
              <w:jc w:val="right"/>
              <w:rPr>
                <w:rFonts w:asciiTheme="minorHAnsi" w:hAnsiTheme="minorHAnsi" w:cstheme="minorHAnsi"/>
                <w:b/>
                <w:bCs/>
                <w:sz w:val="18"/>
                <w:szCs w:val="14"/>
              </w:rPr>
            </w:pPr>
            <w:r w:rsidRPr="00226911">
              <w:rPr>
                <w:rFonts w:asciiTheme="minorHAnsi" w:hAnsiTheme="minorHAnsi" w:cstheme="minorHAnsi"/>
                <w:b/>
                <w:bCs/>
                <w:sz w:val="18"/>
                <w:szCs w:val="14"/>
              </w:rPr>
              <w:t>56</w:t>
            </w:r>
          </w:p>
        </w:tc>
        <w:tc>
          <w:tcPr>
            <w:tcW w:w="943" w:type="dxa"/>
          </w:tcPr>
          <w:p w14:paraId="6F2ECEEA" w14:textId="77777777" w:rsidR="00AF3DE9" w:rsidRPr="00226911" w:rsidRDefault="00AF3DE9" w:rsidP="00226911">
            <w:pPr>
              <w:pStyle w:val="TablebodyleftTables"/>
              <w:spacing w:before="20" w:after="20" w:line="240" w:lineRule="atLeast"/>
              <w:jc w:val="right"/>
              <w:rPr>
                <w:rFonts w:asciiTheme="minorHAnsi" w:hAnsiTheme="minorHAnsi" w:cstheme="minorHAnsi"/>
                <w:b/>
                <w:bCs/>
                <w:sz w:val="18"/>
                <w:szCs w:val="14"/>
              </w:rPr>
            </w:pPr>
            <w:r w:rsidRPr="00226911">
              <w:rPr>
                <w:rFonts w:asciiTheme="minorHAnsi" w:hAnsiTheme="minorHAnsi" w:cstheme="minorHAnsi"/>
                <w:b/>
                <w:bCs/>
                <w:sz w:val="18"/>
                <w:szCs w:val="14"/>
              </w:rPr>
              <w:t>13</w:t>
            </w:r>
          </w:p>
        </w:tc>
        <w:tc>
          <w:tcPr>
            <w:tcW w:w="870" w:type="dxa"/>
          </w:tcPr>
          <w:p w14:paraId="71C4D3CD" w14:textId="77777777" w:rsidR="00AF3DE9" w:rsidRPr="00226911" w:rsidRDefault="00AF3DE9" w:rsidP="00226911">
            <w:pPr>
              <w:pStyle w:val="TablebodyleftTables"/>
              <w:spacing w:before="20" w:after="20" w:line="240" w:lineRule="atLeast"/>
              <w:jc w:val="right"/>
              <w:rPr>
                <w:rFonts w:asciiTheme="minorHAnsi" w:hAnsiTheme="minorHAnsi" w:cstheme="minorHAnsi"/>
                <w:b/>
                <w:bCs/>
                <w:sz w:val="18"/>
                <w:szCs w:val="14"/>
              </w:rPr>
            </w:pPr>
            <w:r w:rsidRPr="00226911">
              <w:rPr>
                <w:rFonts w:asciiTheme="minorHAnsi" w:hAnsiTheme="minorHAnsi" w:cstheme="minorHAnsi"/>
                <w:b/>
                <w:bCs/>
                <w:sz w:val="18"/>
                <w:szCs w:val="14"/>
              </w:rPr>
              <w:t>65</w:t>
            </w:r>
          </w:p>
        </w:tc>
        <w:tc>
          <w:tcPr>
            <w:tcW w:w="1033" w:type="dxa"/>
          </w:tcPr>
          <w:p w14:paraId="26FE55C9" w14:textId="77777777" w:rsidR="00AF3DE9" w:rsidRPr="00226911" w:rsidRDefault="00AF3DE9" w:rsidP="00226911">
            <w:pPr>
              <w:pStyle w:val="TablebodyleftTables"/>
              <w:spacing w:before="20" w:after="20" w:line="240" w:lineRule="atLeast"/>
              <w:jc w:val="right"/>
              <w:rPr>
                <w:rFonts w:asciiTheme="minorHAnsi" w:hAnsiTheme="minorHAnsi" w:cstheme="minorHAnsi"/>
                <w:b/>
                <w:bCs/>
                <w:sz w:val="18"/>
                <w:szCs w:val="14"/>
              </w:rPr>
            </w:pPr>
            <w:r w:rsidRPr="00226911">
              <w:rPr>
                <w:rFonts w:asciiTheme="minorHAnsi" w:hAnsiTheme="minorHAnsi" w:cstheme="minorHAnsi"/>
                <w:b/>
                <w:bCs/>
                <w:sz w:val="18"/>
                <w:szCs w:val="14"/>
              </w:rPr>
              <w:t>136</w:t>
            </w:r>
          </w:p>
        </w:tc>
        <w:tc>
          <w:tcPr>
            <w:tcW w:w="943" w:type="dxa"/>
          </w:tcPr>
          <w:p w14:paraId="062DD2AB" w14:textId="77777777" w:rsidR="00AF3DE9" w:rsidRPr="00226911" w:rsidRDefault="00AF3DE9" w:rsidP="00226911">
            <w:pPr>
              <w:pStyle w:val="TablebodyleftTables"/>
              <w:spacing w:before="20" w:after="20" w:line="240" w:lineRule="atLeast"/>
              <w:jc w:val="right"/>
              <w:rPr>
                <w:rFonts w:asciiTheme="minorHAnsi" w:hAnsiTheme="minorHAnsi" w:cstheme="minorHAnsi"/>
                <w:b/>
                <w:bCs/>
                <w:sz w:val="18"/>
                <w:szCs w:val="14"/>
              </w:rPr>
            </w:pPr>
            <w:r w:rsidRPr="00226911">
              <w:rPr>
                <w:rFonts w:asciiTheme="minorHAnsi" w:hAnsiTheme="minorHAnsi" w:cstheme="minorHAnsi"/>
                <w:b/>
                <w:bCs/>
                <w:sz w:val="18"/>
                <w:szCs w:val="14"/>
              </w:rPr>
              <w:t>127</w:t>
            </w:r>
          </w:p>
        </w:tc>
        <w:tc>
          <w:tcPr>
            <w:tcW w:w="1062" w:type="dxa"/>
          </w:tcPr>
          <w:p w14:paraId="26F7AB03" w14:textId="77777777" w:rsidR="00AF3DE9" w:rsidRPr="00226911" w:rsidRDefault="00AF3DE9" w:rsidP="00226911">
            <w:pPr>
              <w:pStyle w:val="TablebodyleftTables"/>
              <w:spacing w:before="20" w:after="20" w:line="240" w:lineRule="atLeast"/>
              <w:jc w:val="right"/>
              <w:rPr>
                <w:rFonts w:asciiTheme="minorHAnsi" w:hAnsiTheme="minorHAnsi" w:cstheme="minorHAnsi"/>
                <w:b/>
                <w:bCs/>
                <w:sz w:val="18"/>
                <w:szCs w:val="14"/>
              </w:rPr>
            </w:pPr>
            <w:r w:rsidRPr="00226911">
              <w:rPr>
                <w:rFonts w:asciiTheme="minorHAnsi" w:hAnsiTheme="minorHAnsi" w:cstheme="minorHAnsi"/>
                <w:b/>
                <w:bCs/>
                <w:sz w:val="18"/>
                <w:szCs w:val="14"/>
              </w:rPr>
              <w:t>154</w:t>
            </w:r>
          </w:p>
        </w:tc>
        <w:tc>
          <w:tcPr>
            <w:tcW w:w="1050" w:type="dxa"/>
          </w:tcPr>
          <w:p w14:paraId="0668511C" w14:textId="77777777" w:rsidR="00AF3DE9" w:rsidRPr="00226911" w:rsidRDefault="00AF3DE9" w:rsidP="00226911">
            <w:pPr>
              <w:pStyle w:val="TablebodyleftTables"/>
              <w:spacing w:before="20" w:after="20" w:line="240" w:lineRule="atLeast"/>
              <w:jc w:val="right"/>
              <w:rPr>
                <w:rFonts w:asciiTheme="minorHAnsi" w:hAnsiTheme="minorHAnsi" w:cstheme="minorHAnsi"/>
                <w:b/>
                <w:bCs/>
                <w:sz w:val="18"/>
                <w:szCs w:val="14"/>
              </w:rPr>
            </w:pPr>
            <w:r w:rsidRPr="00226911">
              <w:rPr>
                <w:rFonts w:asciiTheme="minorHAnsi" w:hAnsiTheme="minorHAnsi" w:cstheme="minorHAnsi"/>
                <w:b/>
                <w:bCs/>
                <w:sz w:val="18"/>
                <w:szCs w:val="14"/>
              </w:rPr>
              <w:t>147</w:t>
            </w:r>
          </w:p>
        </w:tc>
        <w:tc>
          <w:tcPr>
            <w:tcW w:w="943" w:type="dxa"/>
          </w:tcPr>
          <w:p w14:paraId="6AFC496E" w14:textId="77777777" w:rsidR="00AF3DE9" w:rsidRPr="00226911" w:rsidRDefault="00AF3DE9" w:rsidP="00226911">
            <w:pPr>
              <w:pStyle w:val="TablebodyleftTables"/>
              <w:spacing w:before="20" w:after="20" w:line="240" w:lineRule="atLeast"/>
              <w:jc w:val="right"/>
              <w:rPr>
                <w:rFonts w:asciiTheme="minorHAnsi" w:hAnsiTheme="minorHAnsi" w:cstheme="minorHAnsi"/>
                <w:b/>
                <w:bCs/>
                <w:sz w:val="18"/>
                <w:szCs w:val="14"/>
              </w:rPr>
            </w:pPr>
            <w:r w:rsidRPr="00226911">
              <w:rPr>
                <w:rFonts w:asciiTheme="minorHAnsi" w:hAnsiTheme="minorHAnsi" w:cstheme="minorHAnsi"/>
                <w:b/>
                <w:bCs/>
                <w:sz w:val="18"/>
                <w:szCs w:val="14"/>
              </w:rPr>
              <w:t>50</w:t>
            </w:r>
          </w:p>
        </w:tc>
        <w:tc>
          <w:tcPr>
            <w:tcW w:w="943" w:type="dxa"/>
          </w:tcPr>
          <w:p w14:paraId="6B99EBE2" w14:textId="77777777" w:rsidR="00AF3DE9" w:rsidRPr="00226911" w:rsidRDefault="00AF3DE9" w:rsidP="00226911">
            <w:pPr>
              <w:pStyle w:val="TablebodyleftTables"/>
              <w:spacing w:before="20" w:after="20" w:line="240" w:lineRule="atLeast"/>
              <w:jc w:val="right"/>
              <w:rPr>
                <w:rFonts w:asciiTheme="minorHAnsi" w:hAnsiTheme="minorHAnsi" w:cstheme="minorHAnsi"/>
                <w:b/>
                <w:bCs/>
                <w:sz w:val="18"/>
                <w:szCs w:val="14"/>
              </w:rPr>
            </w:pPr>
            <w:r w:rsidRPr="00226911">
              <w:rPr>
                <w:rFonts w:asciiTheme="minorHAnsi" w:hAnsiTheme="minorHAnsi" w:cstheme="minorHAnsi"/>
                <w:b/>
                <w:bCs/>
                <w:sz w:val="18"/>
                <w:szCs w:val="14"/>
              </w:rPr>
              <w:t>15</w:t>
            </w:r>
          </w:p>
        </w:tc>
        <w:tc>
          <w:tcPr>
            <w:tcW w:w="944" w:type="dxa"/>
          </w:tcPr>
          <w:p w14:paraId="0AFB1EBD" w14:textId="77777777" w:rsidR="00AF3DE9" w:rsidRPr="00226911" w:rsidRDefault="00AF3DE9" w:rsidP="00226911">
            <w:pPr>
              <w:pStyle w:val="TablebodyleftTables"/>
              <w:spacing w:before="20" w:after="20" w:line="240" w:lineRule="atLeast"/>
              <w:jc w:val="right"/>
              <w:rPr>
                <w:rFonts w:asciiTheme="minorHAnsi" w:hAnsiTheme="minorHAnsi" w:cstheme="minorHAnsi"/>
                <w:b/>
                <w:bCs/>
                <w:sz w:val="18"/>
                <w:szCs w:val="14"/>
              </w:rPr>
            </w:pPr>
            <w:r w:rsidRPr="00226911">
              <w:rPr>
                <w:rFonts w:asciiTheme="minorHAnsi" w:hAnsiTheme="minorHAnsi" w:cstheme="minorHAnsi"/>
                <w:b/>
                <w:bCs/>
                <w:sz w:val="18"/>
                <w:szCs w:val="14"/>
              </w:rPr>
              <w:t>60</w:t>
            </w:r>
          </w:p>
        </w:tc>
        <w:tc>
          <w:tcPr>
            <w:tcW w:w="943" w:type="dxa"/>
          </w:tcPr>
          <w:p w14:paraId="5ED6DFD9" w14:textId="77777777" w:rsidR="00AF3DE9" w:rsidRPr="00226911" w:rsidRDefault="00AF3DE9" w:rsidP="00226911">
            <w:pPr>
              <w:pStyle w:val="TablebodyleftTables"/>
              <w:spacing w:before="20" w:after="20" w:line="240" w:lineRule="atLeast"/>
              <w:jc w:val="right"/>
              <w:rPr>
                <w:rFonts w:asciiTheme="minorHAnsi" w:hAnsiTheme="minorHAnsi" w:cstheme="minorHAnsi"/>
                <w:b/>
                <w:bCs/>
                <w:sz w:val="18"/>
                <w:szCs w:val="14"/>
              </w:rPr>
            </w:pPr>
            <w:r w:rsidRPr="00226911">
              <w:rPr>
                <w:rFonts w:asciiTheme="minorHAnsi" w:hAnsiTheme="minorHAnsi" w:cstheme="minorHAnsi"/>
                <w:b/>
                <w:bCs/>
                <w:sz w:val="18"/>
                <w:szCs w:val="14"/>
              </w:rPr>
              <w:t>89</w:t>
            </w:r>
          </w:p>
        </w:tc>
        <w:tc>
          <w:tcPr>
            <w:tcW w:w="804" w:type="dxa"/>
          </w:tcPr>
          <w:p w14:paraId="74566198" w14:textId="77777777" w:rsidR="00AF3DE9" w:rsidRPr="00226911" w:rsidRDefault="00AF3DE9" w:rsidP="00226911">
            <w:pPr>
              <w:pStyle w:val="TablebodyleftTables"/>
              <w:spacing w:before="20" w:after="20" w:line="240" w:lineRule="atLeast"/>
              <w:jc w:val="right"/>
              <w:rPr>
                <w:rFonts w:asciiTheme="minorHAnsi" w:hAnsiTheme="minorHAnsi" w:cstheme="minorHAnsi"/>
                <w:b/>
                <w:bCs/>
                <w:sz w:val="18"/>
                <w:szCs w:val="14"/>
              </w:rPr>
            </w:pPr>
            <w:r w:rsidRPr="00226911">
              <w:rPr>
                <w:rFonts w:asciiTheme="minorHAnsi" w:hAnsiTheme="minorHAnsi" w:cstheme="minorHAnsi"/>
                <w:b/>
                <w:bCs/>
                <w:sz w:val="18"/>
                <w:szCs w:val="14"/>
              </w:rPr>
              <w:t>86</w:t>
            </w:r>
          </w:p>
        </w:tc>
      </w:tr>
    </w:tbl>
    <w:p w14:paraId="0532E202" w14:textId="0C150C6B" w:rsidR="00226911" w:rsidRDefault="00226911"/>
    <w:p w14:paraId="1E8A265C" w14:textId="3F8A4C4D" w:rsidR="00226911" w:rsidRPr="00226911" w:rsidRDefault="00226911" w:rsidP="00226911">
      <w:pPr>
        <w:keepNext/>
        <w:rPr>
          <w:b/>
          <w:bCs/>
        </w:rPr>
      </w:pPr>
      <w:r w:rsidRPr="00226911">
        <w:rPr>
          <w:b/>
          <w:bCs/>
        </w:rPr>
        <w:lastRenderedPageBreak/>
        <w:t>Classification data</w:t>
      </w:r>
    </w:p>
    <w:tbl>
      <w:tblPr>
        <w:tblStyle w:val="TableGrid"/>
        <w:tblW w:w="15246" w:type="dxa"/>
        <w:tblLayout w:type="fixed"/>
        <w:tblLook w:val="0020" w:firstRow="1" w:lastRow="0" w:firstColumn="0" w:lastColumn="0" w:noHBand="0" w:noVBand="0"/>
      </w:tblPr>
      <w:tblGrid>
        <w:gridCol w:w="2305"/>
        <w:gridCol w:w="1064"/>
        <w:gridCol w:w="1050"/>
        <w:gridCol w:w="854"/>
        <w:gridCol w:w="895"/>
        <w:gridCol w:w="870"/>
        <w:gridCol w:w="894"/>
        <w:gridCol w:w="943"/>
        <w:gridCol w:w="1062"/>
        <w:gridCol w:w="1050"/>
        <w:gridCol w:w="893"/>
        <w:gridCol w:w="902"/>
        <w:gridCol w:w="883"/>
        <w:gridCol w:w="877"/>
        <w:gridCol w:w="704"/>
      </w:tblGrid>
      <w:tr w:rsidR="00E55EEF" w:rsidRPr="00F80D3D" w14:paraId="74136C24" w14:textId="77777777" w:rsidTr="00E55EEF">
        <w:trPr>
          <w:cnfStyle w:val="100000000000" w:firstRow="1" w:lastRow="0" w:firstColumn="0" w:lastColumn="0" w:oddVBand="0" w:evenVBand="0" w:oddHBand="0" w:evenHBand="0" w:firstRowFirstColumn="0" w:firstRowLastColumn="0" w:lastRowFirstColumn="0" w:lastRowLastColumn="0"/>
          <w:tblHeader/>
        </w:trPr>
        <w:tc>
          <w:tcPr>
            <w:tcW w:w="2305" w:type="dxa"/>
          </w:tcPr>
          <w:p w14:paraId="0CA1675E" w14:textId="77777777" w:rsidR="00226911" w:rsidRPr="00F80D3D" w:rsidRDefault="00226911" w:rsidP="00226911">
            <w:pPr>
              <w:pStyle w:val="TableheadingleftTables"/>
              <w:spacing w:before="20" w:after="20" w:line="240" w:lineRule="atLeast"/>
              <w:rPr>
                <w:rFonts w:asciiTheme="minorHAnsi" w:hAnsiTheme="minorHAnsi" w:cstheme="minorHAnsi"/>
                <w:sz w:val="18"/>
                <w:szCs w:val="14"/>
              </w:rPr>
            </w:pPr>
          </w:p>
        </w:tc>
        <w:tc>
          <w:tcPr>
            <w:tcW w:w="1064" w:type="dxa"/>
          </w:tcPr>
          <w:p w14:paraId="2707300E" w14:textId="77777777" w:rsidR="00226911" w:rsidRPr="00F80D3D" w:rsidRDefault="00226911" w:rsidP="00226911">
            <w:pPr>
              <w:pStyle w:val="Tableheading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All employees Number (head-count)</w:t>
            </w:r>
          </w:p>
        </w:tc>
        <w:tc>
          <w:tcPr>
            <w:tcW w:w="1050" w:type="dxa"/>
          </w:tcPr>
          <w:p w14:paraId="59CB57AF" w14:textId="77777777" w:rsidR="00226911" w:rsidRPr="00F80D3D" w:rsidRDefault="00226911" w:rsidP="00226911">
            <w:pPr>
              <w:pStyle w:val="Tableheading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All employees FTE</w:t>
            </w:r>
          </w:p>
        </w:tc>
        <w:tc>
          <w:tcPr>
            <w:tcW w:w="854" w:type="dxa"/>
          </w:tcPr>
          <w:p w14:paraId="68EFC32B" w14:textId="77777777" w:rsidR="00226911" w:rsidRPr="00F80D3D" w:rsidRDefault="00226911" w:rsidP="00226911">
            <w:pPr>
              <w:pStyle w:val="Tableheading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Ongoing Full-time (head-count)</w:t>
            </w:r>
          </w:p>
        </w:tc>
        <w:tc>
          <w:tcPr>
            <w:tcW w:w="895" w:type="dxa"/>
          </w:tcPr>
          <w:p w14:paraId="511F265B" w14:textId="77777777" w:rsidR="00226911" w:rsidRPr="00F80D3D" w:rsidRDefault="00226911" w:rsidP="00226911">
            <w:pPr>
              <w:pStyle w:val="Tableheading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Ongoing Part-time (head-count)</w:t>
            </w:r>
          </w:p>
        </w:tc>
        <w:tc>
          <w:tcPr>
            <w:tcW w:w="870" w:type="dxa"/>
          </w:tcPr>
          <w:p w14:paraId="330F53D1" w14:textId="77777777" w:rsidR="00226911" w:rsidRPr="00F80D3D" w:rsidRDefault="00226911" w:rsidP="00226911">
            <w:pPr>
              <w:pStyle w:val="Tableheading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Ongoing FTE</w:t>
            </w:r>
          </w:p>
        </w:tc>
        <w:tc>
          <w:tcPr>
            <w:tcW w:w="894" w:type="dxa"/>
          </w:tcPr>
          <w:p w14:paraId="6E0F3BD6" w14:textId="77777777" w:rsidR="00226911" w:rsidRPr="00F80D3D" w:rsidRDefault="00226911" w:rsidP="00226911">
            <w:pPr>
              <w:pStyle w:val="Tableheading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Fixed term and casual Number (head-count)</w:t>
            </w:r>
          </w:p>
        </w:tc>
        <w:tc>
          <w:tcPr>
            <w:tcW w:w="943" w:type="dxa"/>
          </w:tcPr>
          <w:p w14:paraId="59776273" w14:textId="77777777" w:rsidR="00226911" w:rsidRPr="00F80D3D" w:rsidRDefault="00226911" w:rsidP="00226911">
            <w:pPr>
              <w:pStyle w:val="Tableheading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Fixed term and casual FTE</w:t>
            </w:r>
          </w:p>
        </w:tc>
        <w:tc>
          <w:tcPr>
            <w:tcW w:w="1062" w:type="dxa"/>
          </w:tcPr>
          <w:p w14:paraId="5408AA38" w14:textId="77777777" w:rsidR="00226911" w:rsidRPr="00F80D3D" w:rsidRDefault="00226911" w:rsidP="00226911">
            <w:pPr>
              <w:pStyle w:val="Tableheading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All employees Number (head-count)</w:t>
            </w:r>
          </w:p>
        </w:tc>
        <w:tc>
          <w:tcPr>
            <w:tcW w:w="1050" w:type="dxa"/>
          </w:tcPr>
          <w:p w14:paraId="6B771B61" w14:textId="77777777" w:rsidR="00226911" w:rsidRPr="00F80D3D" w:rsidRDefault="00226911" w:rsidP="00226911">
            <w:pPr>
              <w:pStyle w:val="Tableheading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All employees FTE</w:t>
            </w:r>
          </w:p>
        </w:tc>
        <w:tc>
          <w:tcPr>
            <w:tcW w:w="893" w:type="dxa"/>
          </w:tcPr>
          <w:p w14:paraId="53624DCD" w14:textId="77777777" w:rsidR="00226911" w:rsidRPr="00F80D3D" w:rsidRDefault="00226911" w:rsidP="00226911">
            <w:pPr>
              <w:pStyle w:val="Tableheading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Ongoing Full-time (head-count)</w:t>
            </w:r>
          </w:p>
        </w:tc>
        <w:tc>
          <w:tcPr>
            <w:tcW w:w="902" w:type="dxa"/>
          </w:tcPr>
          <w:p w14:paraId="7D4F8B29" w14:textId="77777777" w:rsidR="00226911" w:rsidRPr="00F80D3D" w:rsidRDefault="00226911" w:rsidP="00226911">
            <w:pPr>
              <w:pStyle w:val="Tableheading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Ongoing Part-time (head-count)</w:t>
            </w:r>
          </w:p>
        </w:tc>
        <w:tc>
          <w:tcPr>
            <w:tcW w:w="883" w:type="dxa"/>
          </w:tcPr>
          <w:p w14:paraId="6F9A8DFE" w14:textId="77777777" w:rsidR="00226911" w:rsidRPr="00F80D3D" w:rsidRDefault="00226911" w:rsidP="00226911">
            <w:pPr>
              <w:pStyle w:val="Tableheading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Ongoing FTE</w:t>
            </w:r>
          </w:p>
        </w:tc>
        <w:tc>
          <w:tcPr>
            <w:tcW w:w="877" w:type="dxa"/>
          </w:tcPr>
          <w:p w14:paraId="17462AE8" w14:textId="77777777" w:rsidR="00226911" w:rsidRPr="00F80D3D" w:rsidRDefault="00226911" w:rsidP="00226911">
            <w:pPr>
              <w:pStyle w:val="Tableheading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Fixed term and casual Number (head-count)</w:t>
            </w:r>
          </w:p>
        </w:tc>
        <w:tc>
          <w:tcPr>
            <w:tcW w:w="704" w:type="dxa"/>
          </w:tcPr>
          <w:p w14:paraId="79E8D3D4" w14:textId="77777777" w:rsidR="00226911" w:rsidRPr="00F80D3D" w:rsidRDefault="00226911" w:rsidP="00226911">
            <w:pPr>
              <w:pStyle w:val="Tableheading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Fixed term and casual FTE</w:t>
            </w:r>
          </w:p>
        </w:tc>
      </w:tr>
      <w:tr w:rsidR="00F80D3D" w:rsidRPr="00F80D3D" w14:paraId="459C2097" w14:textId="77777777" w:rsidTr="00E55EEF">
        <w:trPr>
          <w:trHeight w:val="60"/>
        </w:trPr>
        <w:tc>
          <w:tcPr>
            <w:tcW w:w="2305" w:type="dxa"/>
          </w:tcPr>
          <w:p w14:paraId="7F874D3B" w14:textId="036E858E" w:rsidR="00F80D3D" w:rsidRPr="00226911" w:rsidRDefault="00F80D3D" w:rsidP="00226911">
            <w:pPr>
              <w:pStyle w:val="TablebodyleftTables"/>
              <w:spacing w:before="20" w:after="20" w:line="240" w:lineRule="atLeast"/>
              <w:rPr>
                <w:rFonts w:asciiTheme="minorHAnsi" w:hAnsiTheme="minorHAnsi" w:cstheme="minorHAnsi"/>
                <w:b/>
                <w:bCs/>
                <w:sz w:val="18"/>
                <w:szCs w:val="14"/>
              </w:rPr>
            </w:pPr>
            <w:r w:rsidRPr="00226911">
              <w:rPr>
                <w:rFonts w:asciiTheme="minorHAnsi" w:hAnsiTheme="minorHAnsi" w:cstheme="minorHAnsi"/>
                <w:b/>
                <w:bCs/>
                <w:sz w:val="18"/>
                <w:szCs w:val="14"/>
              </w:rPr>
              <w:t>VPS Grades</w:t>
            </w:r>
          </w:p>
        </w:tc>
        <w:tc>
          <w:tcPr>
            <w:tcW w:w="1064" w:type="dxa"/>
          </w:tcPr>
          <w:p w14:paraId="04AACA45" w14:textId="77777777" w:rsidR="00F80D3D" w:rsidRPr="00F80D3D" w:rsidRDefault="00F80D3D" w:rsidP="00226911">
            <w:pPr>
              <w:pStyle w:val="TablebodyleftTables"/>
              <w:spacing w:before="20" w:after="20" w:line="240" w:lineRule="atLeast"/>
              <w:jc w:val="right"/>
              <w:rPr>
                <w:rFonts w:asciiTheme="minorHAnsi" w:hAnsiTheme="minorHAnsi" w:cstheme="minorHAnsi"/>
                <w:sz w:val="18"/>
                <w:szCs w:val="14"/>
              </w:rPr>
            </w:pPr>
          </w:p>
        </w:tc>
        <w:tc>
          <w:tcPr>
            <w:tcW w:w="1050" w:type="dxa"/>
          </w:tcPr>
          <w:p w14:paraId="271E7A08" w14:textId="77777777" w:rsidR="00F80D3D" w:rsidRPr="00F80D3D" w:rsidRDefault="00F80D3D" w:rsidP="00226911">
            <w:pPr>
              <w:pStyle w:val="TablebodyleftTables"/>
              <w:spacing w:before="20" w:after="20" w:line="240" w:lineRule="atLeast"/>
              <w:jc w:val="right"/>
              <w:rPr>
                <w:rFonts w:asciiTheme="minorHAnsi" w:hAnsiTheme="minorHAnsi" w:cstheme="minorHAnsi"/>
                <w:sz w:val="18"/>
                <w:szCs w:val="14"/>
              </w:rPr>
            </w:pPr>
          </w:p>
        </w:tc>
        <w:tc>
          <w:tcPr>
            <w:tcW w:w="854" w:type="dxa"/>
          </w:tcPr>
          <w:p w14:paraId="573C4AE3" w14:textId="77777777" w:rsidR="00F80D3D" w:rsidRPr="00F80D3D" w:rsidRDefault="00F80D3D" w:rsidP="00226911">
            <w:pPr>
              <w:pStyle w:val="TablebodyleftTables"/>
              <w:spacing w:before="20" w:after="20" w:line="240" w:lineRule="atLeast"/>
              <w:jc w:val="right"/>
              <w:rPr>
                <w:rFonts w:asciiTheme="minorHAnsi" w:hAnsiTheme="minorHAnsi" w:cstheme="minorHAnsi"/>
                <w:sz w:val="18"/>
                <w:szCs w:val="14"/>
              </w:rPr>
            </w:pPr>
          </w:p>
        </w:tc>
        <w:tc>
          <w:tcPr>
            <w:tcW w:w="895" w:type="dxa"/>
          </w:tcPr>
          <w:p w14:paraId="3F11D955" w14:textId="77777777" w:rsidR="00F80D3D" w:rsidRPr="00F80D3D" w:rsidRDefault="00F80D3D" w:rsidP="00226911">
            <w:pPr>
              <w:pStyle w:val="TablebodyleftTables"/>
              <w:spacing w:before="20" w:after="20" w:line="240" w:lineRule="atLeast"/>
              <w:jc w:val="right"/>
              <w:rPr>
                <w:rFonts w:asciiTheme="minorHAnsi" w:hAnsiTheme="minorHAnsi" w:cstheme="minorHAnsi"/>
                <w:sz w:val="18"/>
                <w:szCs w:val="14"/>
              </w:rPr>
            </w:pPr>
          </w:p>
        </w:tc>
        <w:tc>
          <w:tcPr>
            <w:tcW w:w="870" w:type="dxa"/>
          </w:tcPr>
          <w:p w14:paraId="2ACB56D1" w14:textId="77777777" w:rsidR="00F80D3D" w:rsidRPr="00F80D3D" w:rsidRDefault="00F80D3D" w:rsidP="00226911">
            <w:pPr>
              <w:pStyle w:val="TablebodyleftTables"/>
              <w:spacing w:before="20" w:after="20" w:line="240" w:lineRule="atLeast"/>
              <w:jc w:val="right"/>
              <w:rPr>
                <w:rFonts w:asciiTheme="minorHAnsi" w:hAnsiTheme="minorHAnsi" w:cstheme="minorHAnsi"/>
                <w:sz w:val="18"/>
                <w:szCs w:val="14"/>
              </w:rPr>
            </w:pPr>
          </w:p>
        </w:tc>
        <w:tc>
          <w:tcPr>
            <w:tcW w:w="894" w:type="dxa"/>
          </w:tcPr>
          <w:p w14:paraId="55CE4799" w14:textId="77777777" w:rsidR="00F80D3D" w:rsidRPr="00F80D3D" w:rsidRDefault="00F80D3D" w:rsidP="00226911">
            <w:pPr>
              <w:pStyle w:val="TablebodyleftTables"/>
              <w:spacing w:before="20" w:after="20" w:line="240" w:lineRule="atLeast"/>
              <w:jc w:val="right"/>
              <w:rPr>
                <w:rFonts w:asciiTheme="minorHAnsi" w:hAnsiTheme="minorHAnsi" w:cstheme="minorHAnsi"/>
                <w:sz w:val="18"/>
                <w:szCs w:val="14"/>
              </w:rPr>
            </w:pPr>
          </w:p>
        </w:tc>
        <w:tc>
          <w:tcPr>
            <w:tcW w:w="943" w:type="dxa"/>
          </w:tcPr>
          <w:p w14:paraId="659D90D8" w14:textId="77777777" w:rsidR="00F80D3D" w:rsidRPr="00F80D3D" w:rsidRDefault="00F80D3D" w:rsidP="00226911">
            <w:pPr>
              <w:pStyle w:val="TablebodyleftTables"/>
              <w:spacing w:before="20" w:after="20" w:line="240" w:lineRule="atLeast"/>
              <w:jc w:val="right"/>
              <w:rPr>
                <w:rFonts w:asciiTheme="minorHAnsi" w:hAnsiTheme="minorHAnsi" w:cstheme="minorHAnsi"/>
                <w:sz w:val="18"/>
                <w:szCs w:val="14"/>
              </w:rPr>
            </w:pPr>
          </w:p>
        </w:tc>
        <w:tc>
          <w:tcPr>
            <w:tcW w:w="1062" w:type="dxa"/>
          </w:tcPr>
          <w:p w14:paraId="68CAAD9F" w14:textId="77777777" w:rsidR="00F80D3D" w:rsidRPr="00F80D3D" w:rsidRDefault="00F80D3D" w:rsidP="00226911">
            <w:pPr>
              <w:pStyle w:val="TablebodyleftTables"/>
              <w:spacing w:before="20" w:after="20" w:line="240" w:lineRule="atLeast"/>
              <w:jc w:val="right"/>
              <w:rPr>
                <w:rFonts w:asciiTheme="minorHAnsi" w:hAnsiTheme="minorHAnsi" w:cstheme="minorHAnsi"/>
                <w:sz w:val="18"/>
                <w:szCs w:val="14"/>
              </w:rPr>
            </w:pPr>
          </w:p>
        </w:tc>
        <w:tc>
          <w:tcPr>
            <w:tcW w:w="1050" w:type="dxa"/>
          </w:tcPr>
          <w:p w14:paraId="42738FF8" w14:textId="77777777" w:rsidR="00F80D3D" w:rsidRPr="00F80D3D" w:rsidRDefault="00F80D3D" w:rsidP="00226911">
            <w:pPr>
              <w:pStyle w:val="TablebodyleftTables"/>
              <w:spacing w:before="20" w:after="20" w:line="240" w:lineRule="atLeast"/>
              <w:jc w:val="right"/>
              <w:rPr>
                <w:rFonts w:asciiTheme="minorHAnsi" w:hAnsiTheme="minorHAnsi" w:cstheme="minorHAnsi"/>
                <w:sz w:val="18"/>
                <w:szCs w:val="14"/>
              </w:rPr>
            </w:pPr>
          </w:p>
        </w:tc>
        <w:tc>
          <w:tcPr>
            <w:tcW w:w="893" w:type="dxa"/>
          </w:tcPr>
          <w:p w14:paraId="6666E373" w14:textId="77777777" w:rsidR="00F80D3D" w:rsidRPr="00F80D3D" w:rsidRDefault="00F80D3D" w:rsidP="00226911">
            <w:pPr>
              <w:pStyle w:val="TablebodyleftTables"/>
              <w:spacing w:before="20" w:after="20" w:line="240" w:lineRule="atLeast"/>
              <w:jc w:val="right"/>
              <w:rPr>
                <w:rFonts w:asciiTheme="minorHAnsi" w:hAnsiTheme="minorHAnsi" w:cstheme="minorHAnsi"/>
                <w:sz w:val="18"/>
                <w:szCs w:val="14"/>
              </w:rPr>
            </w:pPr>
          </w:p>
        </w:tc>
        <w:tc>
          <w:tcPr>
            <w:tcW w:w="902" w:type="dxa"/>
          </w:tcPr>
          <w:p w14:paraId="1430A220" w14:textId="77777777" w:rsidR="00F80D3D" w:rsidRPr="00F80D3D" w:rsidRDefault="00F80D3D" w:rsidP="00226911">
            <w:pPr>
              <w:pStyle w:val="TablebodyleftTables"/>
              <w:spacing w:before="20" w:after="20" w:line="240" w:lineRule="atLeast"/>
              <w:jc w:val="right"/>
              <w:rPr>
                <w:rFonts w:asciiTheme="minorHAnsi" w:hAnsiTheme="minorHAnsi" w:cstheme="minorHAnsi"/>
                <w:sz w:val="18"/>
                <w:szCs w:val="14"/>
              </w:rPr>
            </w:pPr>
          </w:p>
        </w:tc>
        <w:tc>
          <w:tcPr>
            <w:tcW w:w="883" w:type="dxa"/>
          </w:tcPr>
          <w:p w14:paraId="28C855F5" w14:textId="77777777" w:rsidR="00F80D3D" w:rsidRPr="00F80D3D" w:rsidRDefault="00F80D3D" w:rsidP="00226911">
            <w:pPr>
              <w:pStyle w:val="TablebodyleftTables"/>
              <w:spacing w:before="20" w:after="20" w:line="240" w:lineRule="atLeast"/>
              <w:jc w:val="right"/>
              <w:rPr>
                <w:rFonts w:asciiTheme="minorHAnsi" w:hAnsiTheme="minorHAnsi" w:cstheme="minorHAnsi"/>
                <w:sz w:val="18"/>
                <w:szCs w:val="14"/>
              </w:rPr>
            </w:pPr>
          </w:p>
        </w:tc>
        <w:tc>
          <w:tcPr>
            <w:tcW w:w="877" w:type="dxa"/>
          </w:tcPr>
          <w:p w14:paraId="2896518D" w14:textId="77777777" w:rsidR="00F80D3D" w:rsidRPr="00F80D3D" w:rsidRDefault="00F80D3D" w:rsidP="00226911">
            <w:pPr>
              <w:pStyle w:val="TablebodyleftTables"/>
              <w:spacing w:before="20" w:after="20" w:line="240" w:lineRule="atLeast"/>
              <w:jc w:val="right"/>
              <w:rPr>
                <w:rFonts w:asciiTheme="minorHAnsi" w:hAnsiTheme="minorHAnsi" w:cstheme="minorHAnsi"/>
                <w:sz w:val="18"/>
                <w:szCs w:val="14"/>
              </w:rPr>
            </w:pPr>
          </w:p>
        </w:tc>
        <w:tc>
          <w:tcPr>
            <w:tcW w:w="704" w:type="dxa"/>
          </w:tcPr>
          <w:p w14:paraId="29C354E2" w14:textId="77777777" w:rsidR="00F80D3D" w:rsidRPr="00F80D3D" w:rsidRDefault="00F80D3D" w:rsidP="00226911">
            <w:pPr>
              <w:pStyle w:val="TablebodyleftTables"/>
              <w:spacing w:before="20" w:after="20" w:line="240" w:lineRule="atLeast"/>
              <w:jc w:val="right"/>
              <w:rPr>
                <w:rFonts w:asciiTheme="minorHAnsi" w:hAnsiTheme="minorHAnsi" w:cstheme="minorHAnsi"/>
                <w:sz w:val="18"/>
                <w:szCs w:val="14"/>
              </w:rPr>
            </w:pPr>
          </w:p>
        </w:tc>
      </w:tr>
      <w:tr w:rsidR="00AF3DE9" w:rsidRPr="00F80D3D" w14:paraId="4656B1D4" w14:textId="77777777" w:rsidTr="00E55EEF">
        <w:trPr>
          <w:trHeight w:val="60"/>
        </w:trPr>
        <w:tc>
          <w:tcPr>
            <w:tcW w:w="2305" w:type="dxa"/>
          </w:tcPr>
          <w:p w14:paraId="11866969" w14:textId="77777777" w:rsidR="00AF3DE9" w:rsidRPr="00F80D3D" w:rsidRDefault="00AF3DE9" w:rsidP="00226911">
            <w:pPr>
              <w:pStyle w:val="TablebodyleftTables"/>
              <w:spacing w:before="20" w:after="20" w:line="240" w:lineRule="atLeast"/>
              <w:rPr>
                <w:rFonts w:asciiTheme="minorHAnsi" w:hAnsiTheme="minorHAnsi" w:cstheme="minorHAnsi"/>
                <w:sz w:val="18"/>
                <w:szCs w:val="14"/>
              </w:rPr>
            </w:pPr>
            <w:r w:rsidRPr="00F80D3D">
              <w:rPr>
                <w:rFonts w:asciiTheme="minorHAnsi" w:hAnsiTheme="minorHAnsi" w:cstheme="minorHAnsi"/>
                <w:sz w:val="18"/>
                <w:szCs w:val="14"/>
              </w:rPr>
              <w:t>VPS 1</w:t>
            </w:r>
          </w:p>
        </w:tc>
        <w:tc>
          <w:tcPr>
            <w:tcW w:w="1064" w:type="dxa"/>
          </w:tcPr>
          <w:p w14:paraId="6C869A3D"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1050" w:type="dxa"/>
          </w:tcPr>
          <w:p w14:paraId="02D7FFBD"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854" w:type="dxa"/>
          </w:tcPr>
          <w:p w14:paraId="337AA697"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895" w:type="dxa"/>
          </w:tcPr>
          <w:p w14:paraId="0355B9CA"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870" w:type="dxa"/>
          </w:tcPr>
          <w:p w14:paraId="0AC53714"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894" w:type="dxa"/>
          </w:tcPr>
          <w:p w14:paraId="4ADEB2B0"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943" w:type="dxa"/>
          </w:tcPr>
          <w:p w14:paraId="5C79DB29"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1062" w:type="dxa"/>
          </w:tcPr>
          <w:p w14:paraId="49D989D6"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1050" w:type="dxa"/>
          </w:tcPr>
          <w:p w14:paraId="3989BDB2"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893" w:type="dxa"/>
          </w:tcPr>
          <w:p w14:paraId="743F1F2A"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902" w:type="dxa"/>
          </w:tcPr>
          <w:p w14:paraId="349B95BB"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883" w:type="dxa"/>
          </w:tcPr>
          <w:p w14:paraId="4FCBE9FE"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877" w:type="dxa"/>
          </w:tcPr>
          <w:p w14:paraId="5CDCA4EA"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704" w:type="dxa"/>
          </w:tcPr>
          <w:p w14:paraId="17AF9793"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r>
      <w:tr w:rsidR="00AF3DE9" w:rsidRPr="00F80D3D" w14:paraId="0D11EBF1" w14:textId="77777777" w:rsidTr="00E55EEF">
        <w:trPr>
          <w:trHeight w:val="60"/>
        </w:trPr>
        <w:tc>
          <w:tcPr>
            <w:tcW w:w="2305" w:type="dxa"/>
          </w:tcPr>
          <w:p w14:paraId="60EEA0C0" w14:textId="77777777" w:rsidR="00AF3DE9" w:rsidRPr="00F80D3D" w:rsidRDefault="00AF3DE9" w:rsidP="00226911">
            <w:pPr>
              <w:pStyle w:val="TablebodyleftTables"/>
              <w:spacing w:before="20" w:after="20" w:line="240" w:lineRule="atLeast"/>
              <w:rPr>
                <w:rFonts w:asciiTheme="minorHAnsi" w:hAnsiTheme="minorHAnsi" w:cstheme="minorHAnsi"/>
                <w:sz w:val="18"/>
                <w:szCs w:val="14"/>
              </w:rPr>
            </w:pPr>
            <w:r w:rsidRPr="00F80D3D">
              <w:rPr>
                <w:rFonts w:asciiTheme="minorHAnsi" w:hAnsiTheme="minorHAnsi" w:cstheme="minorHAnsi"/>
                <w:sz w:val="18"/>
                <w:szCs w:val="14"/>
              </w:rPr>
              <w:t>VPS 2</w:t>
            </w:r>
          </w:p>
        </w:tc>
        <w:tc>
          <w:tcPr>
            <w:tcW w:w="1064" w:type="dxa"/>
          </w:tcPr>
          <w:p w14:paraId="3D99CCA1"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1050" w:type="dxa"/>
          </w:tcPr>
          <w:p w14:paraId="504BFF06"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854" w:type="dxa"/>
          </w:tcPr>
          <w:p w14:paraId="0E836E69"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895" w:type="dxa"/>
          </w:tcPr>
          <w:p w14:paraId="632F74D4"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870" w:type="dxa"/>
          </w:tcPr>
          <w:p w14:paraId="2EA1DC2F"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894" w:type="dxa"/>
          </w:tcPr>
          <w:p w14:paraId="1288B185"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943" w:type="dxa"/>
          </w:tcPr>
          <w:p w14:paraId="210F08DF"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1062" w:type="dxa"/>
          </w:tcPr>
          <w:p w14:paraId="58D40669"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1050" w:type="dxa"/>
          </w:tcPr>
          <w:p w14:paraId="5906DB36"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893" w:type="dxa"/>
          </w:tcPr>
          <w:p w14:paraId="77148420"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902" w:type="dxa"/>
          </w:tcPr>
          <w:p w14:paraId="691DB3D6"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883" w:type="dxa"/>
          </w:tcPr>
          <w:p w14:paraId="33890E75"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877" w:type="dxa"/>
          </w:tcPr>
          <w:p w14:paraId="2BFC5FB1"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704" w:type="dxa"/>
          </w:tcPr>
          <w:p w14:paraId="0BEFE431"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r>
      <w:tr w:rsidR="00AF3DE9" w:rsidRPr="00F80D3D" w14:paraId="1A728346" w14:textId="77777777" w:rsidTr="00E55EEF">
        <w:trPr>
          <w:trHeight w:val="60"/>
        </w:trPr>
        <w:tc>
          <w:tcPr>
            <w:tcW w:w="2305" w:type="dxa"/>
          </w:tcPr>
          <w:p w14:paraId="10292E25" w14:textId="77777777" w:rsidR="00AF3DE9" w:rsidRPr="00F80D3D" w:rsidRDefault="00AF3DE9" w:rsidP="00226911">
            <w:pPr>
              <w:pStyle w:val="TablebodyleftTables"/>
              <w:spacing w:before="20" w:after="20" w:line="240" w:lineRule="atLeast"/>
              <w:rPr>
                <w:rFonts w:asciiTheme="minorHAnsi" w:hAnsiTheme="minorHAnsi" w:cstheme="minorHAnsi"/>
                <w:sz w:val="18"/>
                <w:szCs w:val="14"/>
              </w:rPr>
            </w:pPr>
            <w:r w:rsidRPr="00F80D3D">
              <w:rPr>
                <w:rFonts w:asciiTheme="minorHAnsi" w:hAnsiTheme="minorHAnsi" w:cstheme="minorHAnsi"/>
                <w:sz w:val="18"/>
                <w:szCs w:val="14"/>
              </w:rPr>
              <w:t>VPS 3</w:t>
            </w:r>
          </w:p>
        </w:tc>
        <w:tc>
          <w:tcPr>
            <w:tcW w:w="1064" w:type="dxa"/>
          </w:tcPr>
          <w:p w14:paraId="16DC0242"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2</w:t>
            </w:r>
          </w:p>
        </w:tc>
        <w:tc>
          <w:tcPr>
            <w:tcW w:w="1050" w:type="dxa"/>
          </w:tcPr>
          <w:p w14:paraId="114F5607"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2</w:t>
            </w:r>
          </w:p>
        </w:tc>
        <w:tc>
          <w:tcPr>
            <w:tcW w:w="854" w:type="dxa"/>
          </w:tcPr>
          <w:p w14:paraId="2BA3F8ED"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2</w:t>
            </w:r>
          </w:p>
        </w:tc>
        <w:tc>
          <w:tcPr>
            <w:tcW w:w="895" w:type="dxa"/>
          </w:tcPr>
          <w:p w14:paraId="4C916048"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870" w:type="dxa"/>
          </w:tcPr>
          <w:p w14:paraId="00278F3D"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2</w:t>
            </w:r>
          </w:p>
        </w:tc>
        <w:tc>
          <w:tcPr>
            <w:tcW w:w="894" w:type="dxa"/>
          </w:tcPr>
          <w:p w14:paraId="08AECBEA"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943" w:type="dxa"/>
          </w:tcPr>
          <w:p w14:paraId="34D17EB1"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1062" w:type="dxa"/>
          </w:tcPr>
          <w:p w14:paraId="63F6145F"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3</w:t>
            </w:r>
          </w:p>
        </w:tc>
        <w:tc>
          <w:tcPr>
            <w:tcW w:w="1050" w:type="dxa"/>
          </w:tcPr>
          <w:p w14:paraId="7278676C"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3</w:t>
            </w:r>
          </w:p>
        </w:tc>
        <w:tc>
          <w:tcPr>
            <w:tcW w:w="893" w:type="dxa"/>
          </w:tcPr>
          <w:p w14:paraId="102499C4"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2</w:t>
            </w:r>
          </w:p>
        </w:tc>
        <w:tc>
          <w:tcPr>
            <w:tcW w:w="902" w:type="dxa"/>
          </w:tcPr>
          <w:p w14:paraId="672BADAC"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883" w:type="dxa"/>
          </w:tcPr>
          <w:p w14:paraId="11B2858A"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2</w:t>
            </w:r>
          </w:p>
        </w:tc>
        <w:tc>
          <w:tcPr>
            <w:tcW w:w="877" w:type="dxa"/>
          </w:tcPr>
          <w:p w14:paraId="08B9C1BF"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1</w:t>
            </w:r>
          </w:p>
        </w:tc>
        <w:tc>
          <w:tcPr>
            <w:tcW w:w="704" w:type="dxa"/>
          </w:tcPr>
          <w:p w14:paraId="594A8238"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1</w:t>
            </w:r>
          </w:p>
        </w:tc>
      </w:tr>
      <w:tr w:rsidR="00AF3DE9" w:rsidRPr="00F80D3D" w14:paraId="22C30D4D" w14:textId="77777777" w:rsidTr="00E55EEF">
        <w:trPr>
          <w:trHeight w:val="60"/>
        </w:trPr>
        <w:tc>
          <w:tcPr>
            <w:tcW w:w="2305" w:type="dxa"/>
          </w:tcPr>
          <w:p w14:paraId="7335D497" w14:textId="77777777" w:rsidR="00AF3DE9" w:rsidRPr="00F80D3D" w:rsidRDefault="00AF3DE9" w:rsidP="00226911">
            <w:pPr>
              <w:pStyle w:val="TablebodyleftTables"/>
              <w:spacing w:before="20" w:after="20" w:line="240" w:lineRule="atLeast"/>
              <w:rPr>
                <w:rFonts w:asciiTheme="minorHAnsi" w:hAnsiTheme="minorHAnsi" w:cstheme="minorHAnsi"/>
                <w:sz w:val="18"/>
                <w:szCs w:val="14"/>
              </w:rPr>
            </w:pPr>
            <w:r w:rsidRPr="00F80D3D">
              <w:rPr>
                <w:rFonts w:asciiTheme="minorHAnsi" w:hAnsiTheme="minorHAnsi" w:cstheme="minorHAnsi"/>
                <w:sz w:val="18"/>
                <w:szCs w:val="14"/>
              </w:rPr>
              <w:t>VPS 4</w:t>
            </w:r>
          </w:p>
        </w:tc>
        <w:tc>
          <w:tcPr>
            <w:tcW w:w="1064" w:type="dxa"/>
          </w:tcPr>
          <w:p w14:paraId="7329AA86"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69</w:t>
            </w:r>
          </w:p>
        </w:tc>
        <w:tc>
          <w:tcPr>
            <w:tcW w:w="1050" w:type="dxa"/>
          </w:tcPr>
          <w:p w14:paraId="207FD8AF"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63</w:t>
            </w:r>
          </w:p>
        </w:tc>
        <w:tc>
          <w:tcPr>
            <w:tcW w:w="854" w:type="dxa"/>
          </w:tcPr>
          <w:p w14:paraId="63A86ABE"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13</w:t>
            </w:r>
          </w:p>
        </w:tc>
        <w:tc>
          <w:tcPr>
            <w:tcW w:w="895" w:type="dxa"/>
          </w:tcPr>
          <w:p w14:paraId="4F13EB91"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5</w:t>
            </w:r>
          </w:p>
        </w:tc>
        <w:tc>
          <w:tcPr>
            <w:tcW w:w="870" w:type="dxa"/>
          </w:tcPr>
          <w:p w14:paraId="4A40ECC5"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16</w:t>
            </w:r>
          </w:p>
        </w:tc>
        <w:tc>
          <w:tcPr>
            <w:tcW w:w="894" w:type="dxa"/>
          </w:tcPr>
          <w:p w14:paraId="37C82C44"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51</w:t>
            </w:r>
          </w:p>
        </w:tc>
        <w:tc>
          <w:tcPr>
            <w:tcW w:w="943" w:type="dxa"/>
          </w:tcPr>
          <w:p w14:paraId="1556F95C"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47</w:t>
            </w:r>
          </w:p>
        </w:tc>
        <w:tc>
          <w:tcPr>
            <w:tcW w:w="1062" w:type="dxa"/>
          </w:tcPr>
          <w:p w14:paraId="44A8EAEE"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44</w:t>
            </w:r>
          </w:p>
        </w:tc>
        <w:tc>
          <w:tcPr>
            <w:tcW w:w="1050" w:type="dxa"/>
          </w:tcPr>
          <w:p w14:paraId="1F498242"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41</w:t>
            </w:r>
          </w:p>
        </w:tc>
        <w:tc>
          <w:tcPr>
            <w:tcW w:w="893" w:type="dxa"/>
          </w:tcPr>
          <w:p w14:paraId="6216D0A0"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12</w:t>
            </w:r>
          </w:p>
        </w:tc>
        <w:tc>
          <w:tcPr>
            <w:tcW w:w="902" w:type="dxa"/>
          </w:tcPr>
          <w:p w14:paraId="204E823D"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5</w:t>
            </w:r>
          </w:p>
        </w:tc>
        <w:tc>
          <w:tcPr>
            <w:tcW w:w="883" w:type="dxa"/>
          </w:tcPr>
          <w:p w14:paraId="7EE71827"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15</w:t>
            </w:r>
          </w:p>
        </w:tc>
        <w:tc>
          <w:tcPr>
            <w:tcW w:w="877" w:type="dxa"/>
          </w:tcPr>
          <w:p w14:paraId="029680A4"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27</w:t>
            </w:r>
          </w:p>
        </w:tc>
        <w:tc>
          <w:tcPr>
            <w:tcW w:w="704" w:type="dxa"/>
          </w:tcPr>
          <w:p w14:paraId="62D1B96A"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26</w:t>
            </w:r>
          </w:p>
        </w:tc>
      </w:tr>
      <w:tr w:rsidR="00AF3DE9" w:rsidRPr="00F80D3D" w14:paraId="737837ED" w14:textId="77777777" w:rsidTr="00E55EEF">
        <w:trPr>
          <w:trHeight w:val="60"/>
        </w:trPr>
        <w:tc>
          <w:tcPr>
            <w:tcW w:w="2305" w:type="dxa"/>
          </w:tcPr>
          <w:p w14:paraId="0B848245" w14:textId="77777777" w:rsidR="00AF3DE9" w:rsidRPr="00F80D3D" w:rsidRDefault="00AF3DE9" w:rsidP="00226911">
            <w:pPr>
              <w:pStyle w:val="TablebodyleftTables"/>
              <w:spacing w:before="20" w:after="20" w:line="240" w:lineRule="atLeast"/>
              <w:rPr>
                <w:rFonts w:asciiTheme="minorHAnsi" w:hAnsiTheme="minorHAnsi" w:cstheme="minorHAnsi"/>
                <w:sz w:val="18"/>
                <w:szCs w:val="14"/>
              </w:rPr>
            </w:pPr>
            <w:r w:rsidRPr="00F80D3D">
              <w:rPr>
                <w:rFonts w:asciiTheme="minorHAnsi" w:hAnsiTheme="minorHAnsi" w:cstheme="minorHAnsi"/>
                <w:sz w:val="18"/>
                <w:szCs w:val="14"/>
              </w:rPr>
              <w:t>VPS 5</w:t>
            </w:r>
          </w:p>
        </w:tc>
        <w:tc>
          <w:tcPr>
            <w:tcW w:w="1064" w:type="dxa"/>
          </w:tcPr>
          <w:p w14:paraId="75865267"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102</w:t>
            </w:r>
          </w:p>
        </w:tc>
        <w:tc>
          <w:tcPr>
            <w:tcW w:w="1050" w:type="dxa"/>
          </w:tcPr>
          <w:p w14:paraId="3D14223E"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96</w:t>
            </w:r>
          </w:p>
        </w:tc>
        <w:tc>
          <w:tcPr>
            <w:tcW w:w="854" w:type="dxa"/>
          </w:tcPr>
          <w:p w14:paraId="487282DC"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29</w:t>
            </w:r>
          </w:p>
        </w:tc>
        <w:tc>
          <w:tcPr>
            <w:tcW w:w="895" w:type="dxa"/>
          </w:tcPr>
          <w:p w14:paraId="6C12FFB2"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7</w:t>
            </w:r>
          </w:p>
        </w:tc>
        <w:tc>
          <w:tcPr>
            <w:tcW w:w="870" w:type="dxa"/>
          </w:tcPr>
          <w:p w14:paraId="2FE83E56"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34</w:t>
            </w:r>
          </w:p>
        </w:tc>
        <w:tc>
          <w:tcPr>
            <w:tcW w:w="894" w:type="dxa"/>
          </w:tcPr>
          <w:p w14:paraId="7BAC27A7"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66</w:t>
            </w:r>
          </w:p>
        </w:tc>
        <w:tc>
          <w:tcPr>
            <w:tcW w:w="943" w:type="dxa"/>
          </w:tcPr>
          <w:p w14:paraId="167A3DA3"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62</w:t>
            </w:r>
          </w:p>
        </w:tc>
        <w:tc>
          <w:tcPr>
            <w:tcW w:w="1062" w:type="dxa"/>
          </w:tcPr>
          <w:p w14:paraId="6A9B5561"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77</w:t>
            </w:r>
          </w:p>
        </w:tc>
        <w:tc>
          <w:tcPr>
            <w:tcW w:w="1050" w:type="dxa"/>
          </w:tcPr>
          <w:p w14:paraId="642748CC"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73</w:t>
            </w:r>
          </w:p>
        </w:tc>
        <w:tc>
          <w:tcPr>
            <w:tcW w:w="893" w:type="dxa"/>
          </w:tcPr>
          <w:p w14:paraId="52209CCA"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24</w:t>
            </w:r>
          </w:p>
        </w:tc>
        <w:tc>
          <w:tcPr>
            <w:tcW w:w="902" w:type="dxa"/>
          </w:tcPr>
          <w:p w14:paraId="482BD3B0"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9</w:t>
            </w:r>
          </w:p>
        </w:tc>
        <w:tc>
          <w:tcPr>
            <w:tcW w:w="883" w:type="dxa"/>
          </w:tcPr>
          <w:p w14:paraId="5464ECC4"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30</w:t>
            </w:r>
          </w:p>
        </w:tc>
        <w:tc>
          <w:tcPr>
            <w:tcW w:w="877" w:type="dxa"/>
          </w:tcPr>
          <w:p w14:paraId="3EDBEF46"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44</w:t>
            </w:r>
          </w:p>
        </w:tc>
        <w:tc>
          <w:tcPr>
            <w:tcW w:w="704" w:type="dxa"/>
          </w:tcPr>
          <w:p w14:paraId="167722A1"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43</w:t>
            </w:r>
          </w:p>
        </w:tc>
      </w:tr>
      <w:tr w:rsidR="00AF3DE9" w:rsidRPr="00F80D3D" w14:paraId="3BA1A8DC" w14:textId="77777777" w:rsidTr="00E55EEF">
        <w:trPr>
          <w:trHeight w:val="60"/>
        </w:trPr>
        <w:tc>
          <w:tcPr>
            <w:tcW w:w="2305" w:type="dxa"/>
          </w:tcPr>
          <w:p w14:paraId="21FE0258" w14:textId="77777777" w:rsidR="00AF3DE9" w:rsidRPr="00F80D3D" w:rsidRDefault="00AF3DE9" w:rsidP="00226911">
            <w:pPr>
              <w:pStyle w:val="TablebodyleftTables"/>
              <w:spacing w:before="20" w:after="20" w:line="240" w:lineRule="atLeast"/>
              <w:rPr>
                <w:rFonts w:asciiTheme="minorHAnsi" w:hAnsiTheme="minorHAnsi" w:cstheme="minorHAnsi"/>
                <w:sz w:val="18"/>
                <w:szCs w:val="14"/>
              </w:rPr>
            </w:pPr>
            <w:r w:rsidRPr="00F80D3D">
              <w:rPr>
                <w:rFonts w:asciiTheme="minorHAnsi" w:hAnsiTheme="minorHAnsi" w:cstheme="minorHAnsi"/>
                <w:sz w:val="18"/>
                <w:szCs w:val="14"/>
              </w:rPr>
              <w:t>VPS 6</w:t>
            </w:r>
          </w:p>
        </w:tc>
        <w:tc>
          <w:tcPr>
            <w:tcW w:w="1064" w:type="dxa"/>
          </w:tcPr>
          <w:p w14:paraId="28ACA444"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21</w:t>
            </w:r>
          </w:p>
        </w:tc>
        <w:tc>
          <w:tcPr>
            <w:tcW w:w="1050" w:type="dxa"/>
          </w:tcPr>
          <w:p w14:paraId="02268452"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21</w:t>
            </w:r>
          </w:p>
        </w:tc>
        <w:tc>
          <w:tcPr>
            <w:tcW w:w="854" w:type="dxa"/>
          </w:tcPr>
          <w:p w14:paraId="1AAEF96F"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10</w:t>
            </w:r>
          </w:p>
        </w:tc>
        <w:tc>
          <w:tcPr>
            <w:tcW w:w="895" w:type="dxa"/>
          </w:tcPr>
          <w:p w14:paraId="45A3E148"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1</w:t>
            </w:r>
          </w:p>
        </w:tc>
        <w:tc>
          <w:tcPr>
            <w:tcW w:w="870" w:type="dxa"/>
          </w:tcPr>
          <w:p w14:paraId="3B065C5A"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11</w:t>
            </w:r>
          </w:p>
        </w:tc>
        <w:tc>
          <w:tcPr>
            <w:tcW w:w="894" w:type="dxa"/>
          </w:tcPr>
          <w:p w14:paraId="7E11B053"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10</w:t>
            </w:r>
          </w:p>
        </w:tc>
        <w:tc>
          <w:tcPr>
            <w:tcW w:w="943" w:type="dxa"/>
          </w:tcPr>
          <w:p w14:paraId="07A652DF"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10</w:t>
            </w:r>
          </w:p>
        </w:tc>
        <w:tc>
          <w:tcPr>
            <w:tcW w:w="1062" w:type="dxa"/>
          </w:tcPr>
          <w:p w14:paraId="12C5EC16"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21</w:t>
            </w:r>
          </w:p>
        </w:tc>
        <w:tc>
          <w:tcPr>
            <w:tcW w:w="1050" w:type="dxa"/>
          </w:tcPr>
          <w:p w14:paraId="4DFECEE0"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21</w:t>
            </w:r>
          </w:p>
        </w:tc>
        <w:tc>
          <w:tcPr>
            <w:tcW w:w="893" w:type="dxa"/>
          </w:tcPr>
          <w:p w14:paraId="43533AC5"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12</w:t>
            </w:r>
          </w:p>
        </w:tc>
        <w:tc>
          <w:tcPr>
            <w:tcW w:w="902" w:type="dxa"/>
          </w:tcPr>
          <w:p w14:paraId="6B0277C6"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1</w:t>
            </w:r>
          </w:p>
        </w:tc>
        <w:tc>
          <w:tcPr>
            <w:tcW w:w="883" w:type="dxa"/>
          </w:tcPr>
          <w:p w14:paraId="58B9C976"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13</w:t>
            </w:r>
          </w:p>
        </w:tc>
        <w:tc>
          <w:tcPr>
            <w:tcW w:w="877" w:type="dxa"/>
          </w:tcPr>
          <w:p w14:paraId="6A72884F"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8</w:t>
            </w:r>
          </w:p>
        </w:tc>
        <w:tc>
          <w:tcPr>
            <w:tcW w:w="704" w:type="dxa"/>
          </w:tcPr>
          <w:p w14:paraId="46E433BD"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8</w:t>
            </w:r>
          </w:p>
        </w:tc>
      </w:tr>
      <w:tr w:rsidR="00F80D3D" w:rsidRPr="00F80D3D" w14:paraId="7B45FF35" w14:textId="77777777" w:rsidTr="00E55EEF">
        <w:trPr>
          <w:trHeight w:val="60"/>
        </w:trPr>
        <w:tc>
          <w:tcPr>
            <w:tcW w:w="2305" w:type="dxa"/>
          </w:tcPr>
          <w:p w14:paraId="13B32D67" w14:textId="5CCF7630" w:rsidR="00F80D3D" w:rsidRPr="00226911" w:rsidRDefault="00F80D3D" w:rsidP="00226911">
            <w:pPr>
              <w:pStyle w:val="TablebodyleftTables"/>
              <w:spacing w:before="20" w:after="20" w:line="240" w:lineRule="atLeast"/>
              <w:rPr>
                <w:rFonts w:asciiTheme="minorHAnsi" w:hAnsiTheme="minorHAnsi" w:cstheme="minorHAnsi"/>
                <w:b/>
                <w:bCs/>
                <w:sz w:val="18"/>
                <w:szCs w:val="14"/>
              </w:rPr>
            </w:pPr>
            <w:r w:rsidRPr="00226911">
              <w:rPr>
                <w:rFonts w:asciiTheme="minorHAnsi" w:hAnsiTheme="minorHAnsi" w:cstheme="minorHAnsi"/>
                <w:b/>
                <w:bCs/>
                <w:sz w:val="18"/>
                <w:szCs w:val="14"/>
              </w:rPr>
              <w:t>Senior Employees</w:t>
            </w:r>
          </w:p>
        </w:tc>
        <w:tc>
          <w:tcPr>
            <w:tcW w:w="1064" w:type="dxa"/>
          </w:tcPr>
          <w:p w14:paraId="5BE18EA0" w14:textId="77777777" w:rsidR="00F80D3D" w:rsidRPr="00F80D3D" w:rsidRDefault="00F80D3D" w:rsidP="00226911">
            <w:pPr>
              <w:pStyle w:val="TablebodyleftTables"/>
              <w:spacing w:before="20" w:after="20" w:line="240" w:lineRule="atLeast"/>
              <w:jc w:val="right"/>
              <w:rPr>
                <w:rFonts w:asciiTheme="minorHAnsi" w:hAnsiTheme="minorHAnsi" w:cstheme="minorHAnsi"/>
                <w:sz w:val="18"/>
                <w:szCs w:val="14"/>
              </w:rPr>
            </w:pPr>
          </w:p>
        </w:tc>
        <w:tc>
          <w:tcPr>
            <w:tcW w:w="1050" w:type="dxa"/>
          </w:tcPr>
          <w:p w14:paraId="77297187" w14:textId="77777777" w:rsidR="00F80D3D" w:rsidRPr="00F80D3D" w:rsidRDefault="00F80D3D" w:rsidP="00226911">
            <w:pPr>
              <w:pStyle w:val="TablebodyleftTables"/>
              <w:spacing w:before="20" w:after="20" w:line="240" w:lineRule="atLeast"/>
              <w:jc w:val="right"/>
              <w:rPr>
                <w:rFonts w:asciiTheme="minorHAnsi" w:hAnsiTheme="minorHAnsi" w:cstheme="minorHAnsi"/>
                <w:sz w:val="18"/>
                <w:szCs w:val="14"/>
              </w:rPr>
            </w:pPr>
          </w:p>
        </w:tc>
        <w:tc>
          <w:tcPr>
            <w:tcW w:w="854" w:type="dxa"/>
          </w:tcPr>
          <w:p w14:paraId="0BF54D58" w14:textId="77777777" w:rsidR="00F80D3D" w:rsidRPr="00F80D3D" w:rsidRDefault="00F80D3D" w:rsidP="00226911">
            <w:pPr>
              <w:pStyle w:val="TablebodyleftTables"/>
              <w:spacing w:before="20" w:after="20" w:line="240" w:lineRule="atLeast"/>
              <w:jc w:val="right"/>
              <w:rPr>
                <w:rFonts w:asciiTheme="minorHAnsi" w:hAnsiTheme="minorHAnsi" w:cstheme="minorHAnsi"/>
                <w:sz w:val="18"/>
                <w:szCs w:val="14"/>
              </w:rPr>
            </w:pPr>
          </w:p>
        </w:tc>
        <w:tc>
          <w:tcPr>
            <w:tcW w:w="895" w:type="dxa"/>
          </w:tcPr>
          <w:p w14:paraId="5CA4E1D7" w14:textId="77777777" w:rsidR="00F80D3D" w:rsidRPr="00F80D3D" w:rsidRDefault="00F80D3D" w:rsidP="00226911">
            <w:pPr>
              <w:pStyle w:val="TablebodyleftTables"/>
              <w:spacing w:before="20" w:after="20" w:line="240" w:lineRule="atLeast"/>
              <w:jc w:val="right"/>
              <w:rPr>
                <w:rFonts w:asciiTheme="minorHAnsi" w:hAnsiTheme="minorHAnsi" w:cstheme="minorHAnsi"/>
                <w:sz w:val="18"/>
                <w:szCs w:val="14"/>
              </w:rPr>
            </w:pPr>
          </w:p>
        </w:tc>
        <w:tc>
          <w:tcPr>
            <w:tcW w:w="870" w:type="dxa"/>
          </w:tcPr>
          <w:p w14:paraId="3C78C9C6" w14:textId="77777777" w:rsidR="00F80D3D" w:rsidRPr="00F80D3D" w:rsidRDefault="00F80D3D" w:rsidP="00226911">
            <w:pPr>
              <w:pStyle w:val="TablebodyleftTables"/>
              <w:spacing w:before="20" w:after="20" w:line="240" w:lineRule="atLeast"/>
              <w:jc w:val="right"/>
              <w:rPr>
                <w:rFonts w:asciiTheme="minorHAnsi" w:hAnsiTheme="minorHAnsi" w:cstheme="minorHAnsi"/>
                <w:sz w:val="18"/>
                <w:szCs w:val="14"/>
              </w:rPr>
            </w:pPr>
          </w:p>
        </w:tc>
        <w:tc>
          <w:tcPr>
            <w:tcW w:w="894" w:type="dxa"/>
          </w:tcPr>
          <w:p w14:paraId="00E19483" w14:textId="77777777" w:rsidR="00F80D3D" w:rsidRPr="00F80D3D" w:rsidRDefault="00F80D3D" w:rsidP="00226911">
            <w:pPr>
              <w:pStyle w:val="TablebodyleftTables"/>
              <w:spacing w:before="20" w:after="20" w:line="240" w:lineRule="atLeast"/>
              <w:jc w:val="right"/>
              <w:rPr>
                <w:rFonts w:asciiTheme="minorHAnsi" w:hAnsiTheme="minorHAnsi" w:cstheme="minorHAnsi"/>
                <w:sz w:val="18"/>
                <w:szCs w:val="14"/>
              </w:rPr>
            </w:pPr>
          </w:p>
        </w:tc>
        <w:tc>
          <w:tcPr>
            <w:tcW w:w="943" w:type="dxa"/>
          </w:tcPr>
          <w:p w14:paraId="690B286C" w14:textId="77777777" w:rsidR="00F80D3D" w:rsidRPr="00F80D3D" w:rsidRDefault="00F80D3D" w:rsidP="00226911">
            <w:pPr>
              <w:pStyle w:val="TablebodyleftTables"/>
              <w:spacing w:before="20" w:after="20" w:line="240" w:lineRule="atLeast"/>
              <w:jc w:val="right"/>
              <w:rPr>
                <w:rFonts w:asciiTheme="minorHAnsi" w:hAnsiTheme="minorHAnsi" w:cstheme="minorHAnsi"/>
                <w:sz w:val="18"/>
                <w:szCs w:val="14"/>
              </w:rPr>
            </w:pPr>
          </w:p>
        </w:tc>
        <w:tc>
          <w:tcPr>
            <w:tcW w:w="1062" w:type="dxa"/>
          </w:tcPr>
          <w:p w14:paraId="6C1AB856" w14:textId="77777777" w:rsidR="00F80D3D" w:rsidRPr="00F80D3D" w:rsidRDefault="00F80D3D" w:rsidP="00226911">
            <w:pPr>
              <w:pStyle w:val="TablebodyleftTables"/>
              <w:spacing w:before="20" w:after="20" w:line="240" w:lineRule="atLeast"/>
              <w:jc w:val="right"/>
              <w:rPr>
                <w:rFonts w:asciiTheme="minorHAnsi" w:hAnsiTheme="minorHAnsi" w:cstheme="minorHAnsi"/>
                <w:sz w:val="18"/>
                <w:szCs w:val="14"/>
              </w:rPr>
            </w:pPr>
          </w:p>
        </w:tc>
        <w:tc>
          <w:tcPr>
            <w:tcW w:w="1050" w:type="dxa"/>
          </w:tcPr>
          <w:p w14:paraId="581E9F45" w14:textId="77777777" w:rsidR="00F80D3D" w:rsidRPr="00F80D3D" w:rsidRDefault="00F80D3D" w:rsidP="00226911">
            <w:pPr>
              <w:pStyle w:val="TablebodyleftTables"/>
              <w:spacing w:before="20" w:after="20" w:line="240" w:lineRule="atLeast"/>
              <w:jc w:val="right"/>
              <w:rPr>
                <w:rFonts w:asciiTheme="minorHAnsi" w:hAnsiTheme="minorHAnsi" w:cstheme="minorHAnsi"/>
                <w:sz w:val="18"/>
                <w:szCs w:val="14"/>
              </w:rPr>
            </w:pPr>
          </w:p>
        </w:tc>
        <w:tc>
          <w:tcPr>
            <w:tcW w:w="893" w:type="dxa"/>
          </w:tcPr>
          <w:p w14:paraId="29D106CA" w14:textId="77777777" w:rsidR="00F80D3D" w:rsidRPr="00F80D3D" w:rsidRDefault="00F80D3D" w:rsidP="00226911">
            <w:pPr>
              <w:pStyle w:val="TablebodyleftTables"/>
              <w:spacing w:before="20" w:after="20" w:line="240" w:lineRule="atLeast"/>
              <w:jc w:val="right"/>
              <w:rPr>
                <w:rFonts w:asciiTheme="minorHAnsi" w:hAnsiTheme="minorHAnsi" w:cstheme="minorHAnsi"/>
                <w:sz w:val="18"/>
                <w:szCs w:val="14"/>
              </w:rPr>
            </w:pPr>
          </w:p>
        </w:tc>
        <w:tc>
          <w:tcPr>
            <w:tcW w:w="902" w:type="dxa"/>
          </w:tcPr>
          <w:p w14:paraId="52FE3C5D" w14:textId="77777777" w:rsidR="00F80D3D" w:rsidRPr="00F80D3D" w:rsidRDefault="00F80D3D" w:rsidP="00226911">
            <w:pPr>
              <w:pStyle w:val="TablebodyleftTables"/>
              <w:spacing w:before="20" w:after="20" w:line="240" w:lineRule="atLeast"/>
              <w:jc w:val="right"/>
              <w:rPr>
                <w:rFonts w:asciiTheme="minorHAnsi" w:hAnsiTheme="minorHAnsi" w:cstheme="minorHAnsi"/>
                <w:sz w:val="18"/>
                <w:szCs w:val="14"/>
              </w:rPr>
            </w:pPr>
          </w:p>
        </w:tc>
        <w:tc>
          <w:tcPr>
            <w:tcW w:w="883" w:type="dxa"/>
          </w:tcPr>
          <w:p w14:paraId="7E5E9279" w14:textId="77777777" w:rsidR="00F80D3D" w:rsidRPr="00F80D3D" w:rsidRDefault="00F80D3D" w:rsidP="00226911">
            <w:pPr>
              <w:pStyle w:val="TablebodyleftTables"/>
              <w:spacing w:before="20" w:after="20" w:line="240" w:lineRule="atLeast"/>
              <w:jc w:val="right"/>
              <w:rPr>
                <w:rFonts w:asciiTheme="minorHAnsi" w:hAnsiTheme="minorHAnsi" w:cstheme="minorHAnsi"/>
                <w:sz w:val="18"/>
                <w:szCs w:val="14"/>
              </w:rPr>
            </w:pPr>
          </w:p>
        </w:tc>
        <w:tc>
          <w:tcPr>
            <w:tcW w:w="877" w:type="dxa"/>
          </w:tcPr>
          <w:p w14:paraId="0D26323B" w14:textId="77777777" w:rsidR="00F80D3D" w:rsidRPr="00F80D3D" w:rsidRDefault="00F80D3D" w:rsidP="00226911">
            <w:pPr>
              <w:pStyle w:val="TablebodyleftTables"/>
              <w:spacing w:before="20" w:after="20" w:line="240" w:lineRule="atLeast"/>
              <w:jc w:val="right"/>
              <w:rPr>
                <w:rFonts w:asciiTheme="minorHAnsi" w:hAnsiTheme="minorHAnsi" w:cstheme="minorHAnsi"/>
                <w:sz w:val="18"/>
                <w:szCs w:val="14"/>
              </w:rPr>
            </w:pPr>
          </w:p>
        </w:tc>
        <w:tc>
          <w:tcPr>
            <w:tcW w:w="704" w:type="dxa"/>
          </w:tcPr>
          <w:p w14:paraId="0D61C818" w14:textId="77777777" w:rsidR="00F80D3D" w:rsidRPr="00F80D3D" w:rsidRDefault="00F80D3D" w:rsidP="00226911">
            <w:pPr>
              <w:pStyle w:val="TablebodyleftTables"/>
              <w:spacing w:before="20" w:after="20" w:line="240" w:lineRule="atLeast"/>
              <w:jc w:val="right"/>
              <w:rPr>
                <w:rFonts w:asciiTheme="minorHAnsi" w:hAnsiTheme="minorHAnsi" w:cstheme="minorHAnsi"/>
                <w:sz w:val="18"/>
                <w:szCs w:val="14"/>
              </w:rPr>
            </w:pPr>
          </w:p>
        </w:tc>
      </w:tr>
      <w:tr w:rsidR="00AF3DE9" w:rsidRPr="00F80D3D" w14:paraId="63840334" w14:textId="77777777" w:rsidTr="00E55EEF">
        <w:trPr>
          <w:trHeight w:val="60"/>
        </w:trPr>
        <w:tc>
          <w:tcPr>
            <w:tcW w:w="2305" w:type="dxa"/>
          </w:tcPr>
          <w:p w14:paraId="2A2805DE" w14:textId="77777777" w:rsidR="00AF3DE9" w:rsidRPr="00F80D3D" w:rsidRDefault="00AF3DE9" w:rsidP="00226911">
            <w:pPr>
              <w:pStyle w:val="TablebodyleftTables"/>
              <w:spacing w:before="20" w:after="20" w:line="240" w:lineRule="atLeast"/>
              <w:rPr>
                <w:rFonts w:asciiTheme="minorHAnsi" w:hAnsiTheme="minorHAnsi" w:cstheme="minorHAnsi"/>
                <w:sz w:val="18"/>
                <w:szCs w:val="14"/>
              </w:rPr>
            </w:pPr>
            <w:r w:rsidRPr="00F80D3D">
              <w:rPr>
                <w:rFonts w:asciiTheme="minorHAnsi" w:hAnsiTheme="minorHAnsi" w:cstheme="minorHAnsi"/>
                <w:sz w:val="18"/>
                <w:szCs w:val="14"/>
              </w:rPr>
              <w:t>Senior Technical Specialist</w:t>
            </w:r>
          </w:p>
        </w:tc>
        <w:tc>
          <w:tcPr>
            <w:tcW w:w="1064" w:type="dxa"/>
          </w:tcPr>
          <w:p w14:paraId="5C75D9AF"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3</w:t>
            </w:r>
          </w:p>
        </w:tc>
        <w:tc>
          <w:tcPr>
            <w:tcW w:w="1050" w:type="dxa"/>
          </w:tcPr>
          <w:p w14:paraId="302CE5B8"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3</w:t>
            </w:r>
          </w:p>
        </w:tc>
        <w:tc>
          <w:tcPr>
            <w:tcW w:w="854" w:type="dxa"/>
          </w:tcPr>
          <w:p w14:paraId="457580D6"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1</w:t>
            </w:r>
          </w:p>
        </w:tc>
        <w:tc>
          <w:tcPr>
            <w:tcW w:w="895" w:type="dxa"/>
          </w:tcPr>
          <w:p w14:paraId="47DC6609"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870" w:type="dxa"/>
          </w:tcPr>
          <w:p w14:paraId="6D434E5E"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1</w:t>
            </w:r>
          </w:p>
        </w:tc>
        <w:tc>
          <w:tcPr>
            <w:tcW w:w="894" w:type="dxa"/>
          </w:tcPr>
          <w:p w14:paraId="4A2269F4"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2</w:t>
            </w:r>
          </w:p>
        </w:tc>
        <w:tc>
          <w:tcPr>
            <w:tcW w:w="943" w:type="dxa"/>
          </w:tcPr>
          <w:p w14:paraId="25478E95"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2</w:t>
            </w:r>
          </w:p>
        </w:tc>
        <w:tc>
          <w:tcPr>
            <w:tcW w:w="1062" w:type="dxa"/>
          </w:tcPr>
          <w:p w14:paraId="4535B4E8"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1</w:t>
            </w:r>
          </w:p>
        </w:tc>
        <w:tc>
          <w:tcPr>
            <w:tcW w:w="1050" w:type="dxa"/>
          </w:tcPr>
          <w:p w14:paraId="386A0CC3"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1</w:t>
            </w:r>
          </w:p>
        </w:tc>
        <w:tc>
          <w:tcPr>
            <w:tcW w:w="893" w:type="dxa"/>
          </w:tcPr>
          <w:p w14:paraId="57785E91"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902" w:type="dxa"/>
          </w:tcPr>
          <w:p w14:paraId="3FD0D6B0"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883" w:type="dxa"/>
          </w:tcPr>
          <w:p w14:paraId="49C8FB00"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877" w:type="dxa"/>
          </w:tcPr>
          <w:p w14:paraId="3E51F967"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1</w:t>
            </w:r>
          </w:p>
        </w:tc>
        <w:tc>
          <w:tcPr>
            <w:tcW w:w="704" w:type="dxa"/>
          </w:tcPr>
          <w:p w14:paraId="69D9CC6B"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1</w:t>
            </w:r>
          </w:p>
        </w:tc>
      </w:tr>
      <w:tr w:rsidR="00AF3DE9" w:rsidRPr="00F80D3D" w14:paraId="0BCD31AA" w14:textId="77777777" w:rsidTr="00E55EEF">
        <w:trPr>
          <w:trHeight w:val="60"/>
        </w:trPr>
        <w:tc>
          <w:tcPr>
            <w:tcW w:w="2305" w:type="dxa"/>
          </w:tcPr>
          <w:p w14:paraId="5BCEB936" w14:textId="77777777" w:rsidR="00AF3DE9" w:rsidRPr="00F80D3D" w:rsidRDefault="00AF3DE9" w:rsidP="00226911">
            <w:pPr>
              <w:pStyle w:val="TablebodyleftTables"/>
              <w:spacing w:before="20" w:after="20" w:line="240" w:lineRule="atLeast"/>
              <w:rPr>
                <w:rFonts w:asciiTheme="minorHAnsi" w:hAnsiTheme="minorHAnsi" w:cstheme="minorHAnsi"/>
                <w:sz w:val="18"/>
                <w:szCs w:val="14"/>
              </w:rPr>
            </w:pPr>
            <w:r w:rsidRPr="00F80D3D">
              <w:rPr>
                <w:rFonts w:asciiTheme="minorHAnsi" w:hAnsiTheme="minorHAnsi" w:cstheme="minorHAnsi"/>
                <w:sz w:val="18"/>
                <w:szCs w:val="14"/>
              </w:rPr>
              <w:t>Principal Scientist</w:t>
            </w:r>
          </w:p>
        </w:tc>
        <w:tc>
          <w:tcPr>
            <w:tcW w:w="1064" w:type="dxa"/>
          </w:tcPr>
          <w:p w14:paraId="24A43153"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1050" w:type="dxa"/>
          </w:tcPr>
          <w:p w14:paraId="4A04F56C"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854" w:type="dxa"/>
          </w:tcPr>
          <w:p w14:paraId="3B4819E2"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895" w:type="dxa"/>
          </w:tcPr>
          <w:p w14:paraId="5815D149"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870" w:type="dxa"/>
          </w:tcPr>
          <w:p w14:paraId="580AC3B8"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894" w:type="dxa"/>
          </w:tcPr>
          <w:p w14:paraId="300360C2"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943" w:type="dxa"/>
          </w:tcPr>
          <w:p w14:paraId="0CA3B012"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1062" w:type="dxa"/>
          </w:tcPr>
          <w:p w14:paraId="7EA661DA"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1050" w:type="dxa"/>
          </w:tcPr>
          <w:p w14:paraId="5004D4B1"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893" w:type="dxa"/>
          </w:tcPr>
          <w:p w14:paraId="646064BD"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902" w:type="dxa"/>
          </w:tcPr>
          <w:p w14:paraId="610589B7"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883" w:type="dxa"/>
          </w:tcPr>
          <w:p w14:paraId="2C811044"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877" w:type="dxa"/>
          </w:tcPr>
          <w:p w14:paraId="6E59D1EC"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704" w:type="dxa"/>
          </w:tcPr>
          <w:p w14:paraId="06D7470B"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r>
      <w:tr w:rsidR="00AF3DE9" w:rsidRPr="00F80D3D" w14:paraId="60754B1C" w14:textId="77777777" w:rsidTr="00E55EEF">
        <w:trPr>
          <w:trHeight w:val="60"/>
        </w:trPr>
        <w:tc>
          <w:tcPr>
            <w:tcW w:w="2305" w:type="dxa"/>
          </w:tcPr>
          <w:p w14:paraId="718351A2" w14:textId="77777777" w:rsidR="00AF3DE9" w:rsidRPr="00F80D3D" w:rsidRDefault="00AF3DE9" w:rsidP="00226911">
            <w:pPr>
              <w:pStyle w:val="TablebodyleftTables"/>
              <w:spacing w:before="20" w:after="20" w:line="240" w:lineRule="atLeast"/>
              <w:rPr>
                <w:rFonts w:asciiTheme="minorHAnsi" w:hAnsiTheme="minorHAnsi" w:cstheme="minorHAnsi"/>
                <w:sz w:val="18"/>
                <w:szCs w:val="14"/>
              </w:rPr>
            </w:pPr>
            <w:r w:rsidRPr="00F80D3D">
              <w:rPr>
                <w:rFonts w:asciiTheme="minorHAnsi" w:hAnsiTheme="minorHAnsi" w:cstheme="minorHAnsi"/>
                <w:sz w:val="18"/>
                <w:szCs w:val="14"/>
              </w:rPr>
              <w:t>Senior Medical Advisor</w:t>
            </w:r>
          </w:p>
        </w:tc>
        <w:tc>
          <w:tcPr>
            <w:tcW w:w="1064" w:type="dxa"/>
          </w:tcPr>
          <w:p w14:paraId="55DF9DA6"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1050" w:type="dxa"/>
          </w:tcPr>
          <w:p w14:paraId="7EAFD56C"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854" w:type="dxa"/>
          </w:tcPr>
          <w:p w14:paraId="3A9B948F"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895" w:type="dxa"/>
          </w:tcPr>
          <w:p w14:paraId="7D9F0365"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870" w:type="dxa"/>
          </w:tcPr>
          <w:p w14:paraId="5852248A"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894" w:type="dxa"/>
          </w:tcPr>
          <w:p w14:paraId="62509CDF"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943" w:type="dxa"/>
          </w:tcPr>
          <w:p w14:paraId="499EEF94"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1062" w:type="dxa"/>
          </w:tcPr>
          <w:p w14:paraId="7159CF10"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1050" w:type="dxa"/>
          </w:tcPr>
          <w:p w14:paraId="1D6991E6"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893" w:type="dxa"/>
          </w:tcPr>
          <w:p w14:paraId="760EEC68"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902" w:type="dxa"/>
          </w:tcPr>
          <w:p w14:paraId="35905967"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883" w:type="dxa"/>
          </w:tcPr>
          <w:p w14:paraId="7DC29590"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877" w:type="dxa"/>
          </w:tcPr>
          <w:p w14:paraId="2CF0AAA7"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704" w:type="dxa"/>
          </w:tcPr>
          <w:p w14:paraId="27CF8D87"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r>
      <w:tr w:rsidR="00AF3DE9" w:rsidRPr="00F80D3D" w14:paraId="47B14EC3" w14:textId="77777777" w:rsidTr="00E55EEF">
        <w:trPr>
          <w:trHeight w:val="60"/>
        </w:trPr>
        <w:tc>
          <w:tcPr>
            <w:tcW w:w="2305" w:type="dxa"/>
          </w:tcPr>
          <w:p w14:paraId="41DF3F5D" w14:textId="77777777" w:rsidR="00AF3DE9" w:rsidRPr="00F80D3D" w:rsidRDefault="00AF3DE9" w:rsidP="00226911">
            <w:pPr>
              <w:pStyle w:val="TablebodyleftTables"/>
              <w:spacing w:before="20" w:after="20" w:line="240" w:lineRule="atLeast"/>
              <w:rPr>
                <w:rFonts w:asciiTheme="minorHAnsi" w:hAnsiTheme="minorHAnsi" w:cstheme="minorHAnsi"/>
                <w:sz w:val="18"/>
                <w:szCs w:val="14"/>
              </w:rPr>
            </w:pPr>
            <w:r w:rsidRPr="00F80D3D">
              <w:rPr>
                <w:rFonts w:asciiTheme="minorHAnsi" w:hAnsiTheme="minorHAnsi" w:cstheme="minorHAnsi"/>
                <w:sz w:val="18"/>
                <w:szCs w:val="14"/>
              </w:rPr>
              <w:t>Senior Regulatory Analyst</w:t>
            </w:r>
          </w:p>
        </w:tc>
        <w:tc>
          <w:tcPr>
            <w:tcW w:w="1064" w:type="dxa"/>
          </w:tcPr>
          <w:p w14:paraId="2C8EB983"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1050" w:type="dxa"/>
          </w:tcPr>
          <w:p w14:paraId="7A6FB18D"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854" w:type="dxa"/>
          </w:tcPr>
          <w:p w14:paraId="29FB5BB2"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895" w:type="dxa"/>
          </w:tcPr>
          <w:p w14:paraId="2AF97DAD"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870" w:type="dxa"/>
          </w:tcPr>
          <w:p w14:paraId="405730A9"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894" w:type="dxa"/>
          </w:tcPr>
          <w:p w14:paraId="6BF2A2ED"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943" w:type="dxa"/>
          </w:tcPr>
          <w:p w14:paraId="56614EA4"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1062" w:type="dxa"/>
          </w:tcPr>
          <w:p w14:paraId="6E12BCD2"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1050" w:type="dxa"/>
          </w:tcPr>
          <w:p w14:paraId="5FE2BCEC"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893" w:type="dxa"/>
          </w:tcPr>
          <w:p w14:paraId="187694A9"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902" w:type="dxa"/>
          </w:tcPr>
          <w:p w14:paraId="1831D297"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883" w:type="dxa"/>
          </w:tcPr>
          <w:p w14:paraId="4A68B15D"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877" w:type="dxa"/>
          </w:tcPr>
          <w:p w14:paraId="2D6913B4"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704" w:type="dxa"/>
          </w:tcPr>
          <w:p w14:paraId="3325AED7"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r>
      <w:tr w:rsidR="00AF3DE9" w:rsidRPr="00F80D3D" w14:paraId="24F9815C" w14:textId="77777777" w:rsidTr="00E55EEF">
        <w:trPr>
          <w:trHeight w:val="60"/>
        </w:trPr>
        <w:tc>
          <w:tcPr>
            <w:tcW w:w="2305" w:type="dxa"/>
          </w:tcPr>
          <w:p w14:paraId="1CB957EF" w14:textId="77777777" w:rsidR="00AF3DE9" w:rsidRPr="00F80D3D" w:rsidRDefault="00AF3DE9" w:rsidP="00226911">
            <w:pPr>
              <w:pStyle w:val="TablebodyleftTables"/>
              <w:spacing w:before="20" w:after="20" w:line="240" w:lineRule="atLeast"/>
              <w:rPr>
                <w:rFonts w:asciiTheme="minorHAnsi" w:hAnsiTheme="minorHAnsi" w:cstheme="minorHAnsi"/>
                <w:sz w:val="18"/>
                <w:szCs w:val="14"/>
              </w:rPr>
            </w:pPr>
            <w:r w:rsidRPr="00F80D3D">
              <w:rPr>
                <w:rFonts w:asciiTheme="minorHAnsi" w:hAnsiTheme="minorHAnsi" w:cstheme="minorHAnsi"/>
                <w:sz w:val="18"/>
                <w:szCs w:val="14"/>
              </w:rPr>
              <w:t>Executives</w:t>
            </w:r>
          </w:p>
        </w:tc>
        <w:tc>
          <w:tcPr>
            <w:tcW w:w="1064" w:type="dxa"/>
          </w:tcPr>
          <w:p w14:paraId="0D6F35C8"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8</w:t>
            </w:r>
          </w:p>
        </w:tc>
        <w:tc>
          <w:tcPr>
            <w:tcW w:w="1050" w:type="dxa"/>
          </w:tcPr>
          <w:p w14:paraId="7E6EF7D8"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8</w:t>
            </w:r>
          </w:p>
        </w:tc>
        <w:tc>
          <w:tcPr>
            <w:tcW w:w="854" w:type="dxa"/>
          </w:tcPr>
          <w:p w14:paraId="02271089"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1</w:t>
            </w:r>
          </w:p>
        </w:tc>
        <w:tc>
          <w:tcPr>
            <w:tcW w:w="895" w:type="dxa"/>
          </w:tcPr>
          <w:p w14:paraId="2FB1FD03"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870" w:type="dxa"/>
          </w:tcPr>
          <w:p w14:paraId="5A441A22"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1</w:t>
            </w:r>
          </w:p>
        </w:tc>
        <w:tc>
          <w:tcPr>
            <w:tcW w:w="894" w:type="dxa"/>
          </w:tcPr>
          <w:p w14:paraId="01AB641F"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7</w:t>
            </w:r>
          </w:p>
        </w:tc>
        <w:tc>
          <w:tcPr>
            <w:tcW w:w="943" w:type="dxa"/>
          </w:tcPr>
          <w:p w14:paraId="272C9D9B"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7</w:t>
            </w:r>
          </w:p>
        </w:tc>
        <w:tc>
          <w:tcPr>
            <w:tcW w:w="1062" w:type="dxa"/>
          </w:tcPr>
          <w:p w14:paraId="75A6FA75"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8</w:t>
            </w:r>
          </w:p>
        </w:tc>
        <w:tc>
          <w:tcPr>
            <w:tcW w:w="1050" w:type="dxa"/>
          </w:tcPr>
          <w:p w14:paraId="21E33F5C"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8</w:t>
            </w:r>
          </w:p>
        </w:tc>
        <w:tc>
          <w:tcPr>
            <w:tcW w:w="893" w:type="dxa"/>
          </w:tcPr>
          <w:p w14:paraId="260272C8"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902" w:type="dxa"/>
          </w:tcPr>
          <w:p w14:paraId="46FA2BA3"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883" w:type="dxa"/>
          </w:tcPr>
          <w:p w14:paraId="0668E2E9"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0</w:t>
            </w:r>
          </w:p>
        </w:tc>
        <w:tc>
          <w:tcPr>
            <w:tcW w:w="877" w:type="dxa"/>
          </w:tcPr>
          <w:p w14:paraId="00D5BE32"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8</w:t>
            </w:r>
          </w:p>
        </w:tc>
        <w:tc>
          <w:tcPr>
            <w:tcW w:w="704" w:type="dxa"/>
          </w:tcPr>
          <w:p w14:paraId="22EE2476" w14:textId="77777777" w:rsidR="00AF3DE9" w:rsidRPr="00F80D3D" w:rsidRDefault="00AF3DE9" w:rsidP="00226911">
            <w:pPr>
              <w:pStyle w:val="TablebodyleftTables"/>
              <w:spacing w:before="20" w:after="20" w:line="240" w:lineRule="atLeast"/>
              <w:jc w:val="right"/>
              <w:rPr>
                <w:rFonts w:asciiTheme="minorHAnsi" w:hAnsiTheme="minorHAnsi" w:cstheme="minorHAnsi"/>
                <w:sz w:val="18"/>
                <w:szCs w:val="14"/>
              </w:rPr>
            </w:pPr>
            <w:r w:rsidRPr="00F80D3D">
              <w:rPr>
                <w:rFonts w:asciiTheme="minorHAnsi" w:hAnsiTheme="minorHAnsi" w:cstheme="minorHAnsi"/>
                <w:sz w:val="18"/>
                <w:szCs w:val="14"/>
              </w:rPr>
              <w:t>8</w:t>
            </w:r>
          </w:p>
        </w:tc>
      </w:tr>
      <w:tr w:rsidR="00AF3DE9" w:rsidRPr="00226911" w14:paraId="6E0A8C43" w14:textId="77777777" w:rsidTr="00E55EEF">
        <w:trPr>
          <w:trHeight w:val="60"/>
        </w:trPr>
        <w:tc>
          <w:tcPr>
            <w:tcW w:w="2305" w:type="dxa"/>
          </w:tcPr>
          <w:p w14:paraId="61E17A0B" w14:textId="77777777" w:rsidR="00AF3DE9" w:rsidRPr="00226911" w:rsidRDefault="00AF3DE9" w:rsidP="00226911">
            <w:pPr>
              <w:pStyle w:val="TablebodyleftTables"/>
              <w:spacing w:before="20" w:after="20" w:line="240" w:lineRule="atLeast"/>
              <w:rPr>
                <w:rFonts w:asciiTheme="minorHAnsi" w:hAnsiTheme="minorHAnsi" w:cstheme="minorHAnsi"/>
                <w:b/>
                <w:bCs/>
                <w:sz w:val="18"/>
                <w:szCs w:val="14"/>
              </w:rPr>
            </w:pPr>
            <w:r w:rsidRPr="00226911">
              <w:rPr>
                <w:rFonts w:asciiTheme="minorHAnsi" w:hAnsiTheme="minorHAnsi" w:cstheme="minorHAnsi"/>
                <w:b/>
                <w:bCs/>
                <w:sz w:val="18"/>
                <w:szCs w:val="14"/>
              </w:rPr>
              <w:t>Total employees</w:t>
            </w:r>
          </w:p>
        </w:tc>
        <w:tc>
          <w:tcPr>
            <w:tcW w:w="1064" w:type="dxa"/>
          </w:tcPr>
          <w:p w14:paraId="2213D758" w14:textId="77777777" w:rsidR="00AF3DE9" w:rsidRPr="00226911" w:rsidRDefault="00AF3DE9" w:rsidP="00226911">
            <w:pPr>
              <w:pStyle w:val="TablebodyleftTables"/>
              <w:spacing w:before="20" w:after="20" w:line="240" w:lineRule="atLeast"/>
              <w:jc w:val="right"/>
              <w:rPr>
                <w:rFonts w:asciiTheme="minorHAnsi" w:hAnsiTheme="minorHAnsi" w:cstheme="minorHAnsi"/>
                <w:b/>
                <w:bCs/>
                <w:sz w:val="18"/>
                <w:szCs w:val="14"/>
              </w:rPr>
            </w:pPr>
            <w:r w:rsidRPr="00226911">
              <w:rPr>
                <w:rFonts w:asciiTheme="minorHAnsi" w:hAnsiTheme="minorHAnsi" w:cstheme="minorHAnsi"/>
                <w:b/>
                <w:bCs/>
                <w:sz w:val="18"/>
                <w:szCs w:val="14"/>
              </w:rPr>
              <w:t>205</w:t>
            </w:r>
          </w:p>
        </w:tc>
        <w:tc>
          <w:tcPr>
            <w:tcW w:w="1050" w:type="dxa"/>
          </w:tcPr>
          <w:p w14:paraId="6E3916F2" w14:textId="77777777" w:rsidR="00AF3DE9" w:rsidRPr="00226911" w:rsidRDefault="00AF3DE9" w:rsidP="00226911">
            <w:pPr>
              <w:pStyle w:val="TablebodyleftTables"/>
              <w:spacing w:before="20" w:after="20" w:line="240" w:lineRule="atLeast"/>
              <w:jc w:val="right"/>
              <w:rPr>
                <w:rFonts w:asciiTheme="minorHAnsi" w:hAnsiTheme="minorHAnsi" w:cstheme="minorHAnsi"/>
                <w:b/>
                <w:bCs/>
                <w:sz w:val="18"/>
                <w:szCs w:val="14"/>
              </w:rPr>
            </w:pPr>
            <w:r w:rsidRPr="00226911">
              <w:rPr>
                <w:rFonts w:asciiTheme="minorHAnsi" w:hAnsiTheme="minorHAnsi" w:cstheme="minorHAnsi"/>
                <w:b/>
                <w:bCs/>
                <w:sz w:val="18"/>
                <w:szCs w:val="14"/>
              </w:rPr>
              <w:t>192</w:t>
            </w:r>
          </w:p>
        </w:tc>
        <w:tc>
          <w:tcPr>
            <w:tcW w:w="854" w:type="dxa"/>
          </w:tcPr>
          <w:p w14:paraId="1F3222CC" w14:textId="77777777" w:rsidR="00AF3DE9" w:rsidRPr="00226911" w:rsidRDefault="00AF3DE9" w:rsidP="00226911">
            <w:pPr>
              <w:pStyle w:val="TablebodyleftTables"/>
              <w:spacing w:before="20" w:after="20" w:line="240" w:lineRule="atLeast"/>
              <w:jc w:val="right"/>
              <w:rPr>
                <w:rFonts w:asciiTheme="minorHAnsi" w:hAnsiTheme="minorHAnsi" w:cstheme="minorHAnsi"/>
                <w:b/>
                <w:bCs/>
                <w:sz w:val="18"/>
                <w:szCs w:val="14"/>
              </w:rPr>
            </w:pPr>
            <w:r w:rsidRPr="00226911">
              <w:rPr>
                <w:rFonts w:asciiTheme="minorHAnsi" w:hAnsiTheme="minorHAnsi" w:cstheme="minorHAnsi"/>
                <w:b/>
                <w:bCs/>
                <w:sz w:val="18"/>
                <w:szCs w:val="14"/>
              </w:rPr>
              <w:t>56</w:t>
            </w:r>
          </w:p>
        </w:tc>
        <w:tc>
          <w:tcPr>
            <w:tcW w:w="895" w:type="dxa"/>
          </w:tcPr>
          <w:p w14:paraId="616DC0B4" w14:textId="77777777" w:rsidR="00AF3DE9" w:rsidRPr="00226911" w:rsidRDefault="00AF3DE9" w:rsidP="00226911">
            <w:pPr>
              <w:pStyle w:val="TablebodyleftTables"/>
              <w:spacing w:before="20" w:after="20" w:line="240" w:lineRule="atLeast"/>
              <w:jc w:val="right"/>
              <w:rPr>
                <w:rFonts w:asciiTheme="minorHAnsi" w:hAnsiTheme="minorHAnsi" w:cstheme="minorHAnsi"/>
                <w:b/>
                <w:bCs/>
                <w:sz w:val="18"/>
                <w:szCs w:val="14"/>
              </w:rPr>
            </w:pPr>
            <w:r w:rsidRPr="00226911">
              <w:rPr>
                <w:rFonts w:asciiTheme="minorHAnsi" w:hAnsiTheme="minorHAnsi" w:cstheme="minorHAnsi"/>
                <w:b/>
                <w:bCs/>
                <w:sz w:val="18"/>
                <w:szCs w:val="14"/>
              </w:rPr>
              <w:t>13</w:t>
            </w:r>
          </w:p>
        </w:tc>
        <w:tc>
          <w:tcPr>
            <w:tcW w:w="870" w:type="dxa"/>
          </w:tcPr>
          <w:p w14:paraId="4A869600" w14:textId="77777777" w:rsidR="00AF3DE9" w:rsidRPr="00226911" w:rsidRDefault="00AF3DE9" w:rsidP="00226911">
            <w:pPr>
              <w:pStyle w:val="TablebodyleftTables"/>
              <w:spacing w:before="20" w:after="20" w:line="240" w:lineRule="atLeast"/>
              <w:jc w:val="right"/>
              <w:rPr>
                <w:rFonts w:asciiTheme="minorHAnsi" w:hAnsiTheme="minorHAnsi" w:cstheme="minorHAnsi"/>
                <w:b/>
                <w:bCs/>
                <w:sz w:val="18"/>
                <w:szCs w:val="14"/>
              </w:rPr>
            </w:pPr>
            <w:r w:rsidRPr="00226911">
              <w:rPr>
                <w:rFonts w:asciiTheme="minorHAnsi" w:hAnsiTheme="minorHAnsi" w:cstheme="minorHAnsi"/>
                <w:b/>
                <w:bCs/>
                <w:sz w:val="18"/>
                <w:szCs w:val="14"/>
              </w:rPr>
              <w:t>65</w:t>
            </w:r>
          </w:p>
        </w:tc>
        <w:tc>
          <w:tcPr>
            <w:tcW w:w="894" w:type="dxa"/>
          </w:tcPr>
          <w:p w14:paraId="28356B52" w14:textId="77777777" w:rsidR="00AF3DE9" w:rsidRPr="00226911" w:rsidRDefault="00AF3DE9" w:rsidP="00226911">
            <w:pPr>
              <w:pStyle w:val="TablebodyleftTables"/>
              <w:spacing w:before="20" w:after="20" w:line="240" w:lineRule="atLeast"/>
              <w:jc w:val="right"/>
              <w:rPr>
                <w:rFonts w:asciiTheme="minorHAnsi" w:hAnsiTheme="minorHAnsi" w:cstheme="minorHAnsi"/>
                <w:b/>
                <w:bCs/>
                <w:sz w:val="18"/>
                <w:szCs w:val="14"/>
              </w:rPr>
            </w:pPr>
            <w:r w:rsidRPr="00226911">
              <w:rPr>
                <w:rFonts w:asciiTheme="minorHAnsi" w:hAnsiTheme="minorHAnsi" w:cstheme="minorHAnsi"/>
                <w:b/>
                <w:bCs/>
                <w:sz w:val="18"/>
                <w:szCs w:val="14"/>
              </w:rPr>
              <w:t>136</w:t>
            </w:r>
          </w:p>
        </w:tc>
        <w:tc>
          <w:tcPr>
            <w:tcW w:w="943" w:type="dxa"/>
          </w:tcPr>
          <w:p w14:paraId="24630328" w14:textId="77777777" w:rsidR="00AF3DE9" w:rsidRPr="00226911" w:rsidRDefault="00AF3DE9" w:rsidP="00226911">
            <w:pPr>
              <w:pStyle w:val="TablebodyleftTables"/>
              <w:spacing w:before="20" w:after="20" w:line="240" w:lineRule="atLeast"/>
              <w:jc w:val="right"/>
              <w:rPr>
                <w:rFonts w:asciiTheme="minorHAnsi" w:hAnsiTheme="minorHAnsi" w:cstheme="minorHAnsi"/>
                <w:b/>
                <w:bCs/>
                <w:sz w:val="18"/>
                <w:szCs w:val="14"/>
              </w:rPr>
            </w:pPr>
            <w:r w:rsidRPr="00226911">
              <w:rPr>
                <w:rFonts w:asciiTheme="minorHAnsi" w:hAnsiTheme="minorHAnsi" w:cstheme="minorHAnsi"/>
                <w:b/>
                <w:bCs/>
                <w:sz w:val="18"/>
                <w:szCs w:val="14"/>
              </w:rPr>
              <w:t>127</w:t>
            </w:r>
          </w:p>
        </w:tc>
        <w:tc>
          <w:tcPr>
            <w:tcW w:w="1062" w:type="dxa"/>
          </w:tcPr>
          <w:p w14:paraId="057CCB42" w14:textId="77777777" w:rsidR="00AF3DE9" w:rsidRPr="00226911" w:rsidRDefault="00AF3DE9" w:rsidP="00226911">
            <w:pPr>
              <w:pStyle w:val="TablebodyleftTables"/>
              <w:spacing w:before="20" w:after="20" w:line="240" w:lineRule="atLeast"/>
              <w:jc w:val="right"/>
              <w:rPr>
                <w:rFonts w:asciiTheme="minorHAnsi" w:hAnsiTheme="minorHAnsi" w:cstheme="minorHAnsi"/>
                <w:b/>
                <w:bCs/>
                <w:sz w:val="18"/>
                <w:szCs w:val="14"/>
              </w:rPr>
            </w:pPr>
            <w:r w:rsidRPr="00226911">
              <w:rPr>
                <w:rFonts w:asciiTheme="minorHAnsi" w:hAnsiTheme="minorHAnsi" w:cstheme="minorHAnsi"/>
                <w:b/>
                <w:bCs/>
                <w:sz w:val="18"/>
                <w:szCs w:val="14"/>
              </w:rPr>
              <w:t>154</w:t>
            </w:r>
          </w:p>
        </w:tc>
        <w:tc>
          <w:tcPr>
            <w:tcW w:w="1050" w:type="dxa"/>
          </w:tcPr>
          <w:p w14:paraId="1F8E5F85" w14:textId="77777777" w:rsidR="00AF3DE9" w:rsidRPr="00226911" w:rsidRDefault="00AF3DE9" w:rsidP="00226911">
            <w:pPr>
              <w:pStyle w:val="TablebodyleftTables"/>
              <w:spacing w:before="20" w:after="20" w:line="240" w:lineRule="atLeast"/>
              <w:jc w:val="right"/>
              <w:rPr>
                <w:rFonts w:asciiTheme="minorHAnsi" w:hAnsiTheme="minorHAnsi" w:cstheme="minorHAnsi"/>
                <w:b/>
                <w:bCs/>
                <w:sz w:val="18"/>
                <w:szCs w:val="14"/>
              </w:rPr>
            </w:pPr>
            <w:r w:rsidRPr="00226911">
              <w:rPr>
                <w:rFonts w:asciiTheme="minorHAnsi" w:hAnsiTheme="minorHAnsi" w:cstheme="minorHAnsi"/>
                <w:b/>
                <w:bCs/>
                <w:sz w:val="18"/>
                <w:szCs w:val="14"/>
              </w:rPr>
              <w:t>147</w:t>
            </w:r>
          </w:p>
        </w:tc>
        <w:tc>
          <w:tcPr>
            <w:tcW w:w="893" w:type="dxa"/>
          </w:tcPr>
          <w:p w14:paraId="33F3422A" w14:textId="77777777" w:rsidR="00AF3DE9" w:rsidRPr="00226911" w:rsidRDefault="00AF3DE9" w:rsidP="00226911">
            <w:pPr>
              <w:pStyle w:val="TablebodyleftTables"/>
              <w:spacing w:before="20" w:after="20" w:line="240" w:lineRule="atLeast"/>
              <w:jc w:val="right"/>
              <w:rPr>
                <w:rFonts w:asciiTheme="minorHAnsi" w:hAnsiTheme="minorHAnsi" w:cstheme="minorHAnsi"/>
                <w:b/>
                <w:bCs/>
                <w:sz w:val="18"/>
                <w:szCs w:val="14"/>
              </w:rPr>
            </w:pPr>
            <w:r w:rsidRPr="00226911">
              <w:rPr>
                <w:rFonts w:asciiTheme="minorHAnsi" w:hAnsiTheme="minorHAnsi" w:cstheme="minorHAnsi"/>
                <w:b/>
                <w:bCs/>
                <w:sz w:val="18"/>
                <w:szCs w:val="14"/>
              </w:rPr>
              <w:t>50</w:t>
            </w:r>
          </w:p>
        </w:tc>
        <w:tc>
          <w:tcPr>
            <w:tcW w:w="902" w:type="dxa"/>
          </w:tcPr>
          <w:p w14:paraId="163E1EBA" w14:textId="77777777" w:rsidR="00AF3DE9" w:rsidRPr="00226911" w:rsidRDefault="00AF3DE9" w:rsidP="00226911">
            <w:pPr>
              <w:pStyle w:val="TablebodyleftTables"/>
              <w:spacing w:before="20" w:after="20" w:line="240" w:lineRule="atLeast"/>
              <w:jc w:val="right"/>
              <w:rPr>
                <w:rFonts w:asciiTheme="minorHAnsi" w:hAnsiTheme="minorHAnsi" w:cstheme="minorHAnsi"/>
                <w:b/>
                <w:bCs/>
                <w:sz w:val="18"/>
                <w:szCs w:val="14"/>
              </w:rPr>
            </w:pPr>
            <w:r w:rsidRPr="00226911">
              <w:rPr>
                <w:rFonts w:asciiTheme="minorHAnsi" w:hAnsiTheme="minorHAnsi" w:cstheme="minorHAnsi"/>
                <w:b/>
                <w:bCs/>
                <w:sz w:val="18"/>
                <w:szCs w:val="14"/>
              </w:rPr>
              <w:t>15</w:t>
            </w:r>
          </w:p>
        </w:tc>
        <w:tc>
          <w:tcPr>
            <w:tcW w:w="883" w:type="dxa"/>
          </w:tcPr>
          <w:p w14:paraId="682D7466" w14:textId="77777777" w:rsidR="00AF3DE9" w:rsidRPr="00226911" w:rsidRDefault="00AF3DE9" w:rsidP="00226911">
            <w:pPr>
              <w:pStyle w:val="TablebodyleftTables"/>
              <w:spacing w:before="20" w:after="20" w:line="240" w:lineRule="atLeast"/>
              <w:jc w:val="right"/>
              <w:rPr>
                <w:rFonts w:asciiTheme="minorHAnsi" w:hAnsiTheme="minorHAnsi" w:cstheme="minorHAnsi"/>
                <w:b/>
                <w:bCs/>
                <w:sz w:val="18"/>
                <w:szCs w:val="14"/>
              </w:rPr>
            </w:pPr>
            <w:r w:rsidRPr="00226911">
              <w:rPr>
                <w:rFonts w:asciiTheme="minorHAnsi" w:hAnsiTheme="minorHAnsi" w:cstheme="minorHAnsi"/>
                <w:b/>
                <w:bCs/>
                <w:sz w:val="18"/>
                <w:szCs w:val="14"/>
              </w:rPr>
              <w:t>60</w:t>
            </w:r>
          </w:p>
        </w:tc>
        <w:tc>
          <w:tcPr>
            <w:tcW w:w="877" w:type="dxa"/>
          </w:tcPr>
          <w:p w14:paraId="32D75B0D" w14:textId="77777777" w:rsidR="00AF3DE9" w:rsidRPr="00226911" w:rsidRDefault="00AF3DE9" w:rsidP="00226911">
            <w:pPr>
              <w:pStyle w:val="TablebodyleftTables"/>
              <w:spacing w:before="20" w:after="20" w:line="240" w:lineRule="atLeast"/>
              <w:jc w:val="right"/>
              <w:rPr>
                <w:rFonts w:asciiTheme="minorHAnsi" w:hAnsiTheme="minorHAnsi" w:cstheme="minorHAnsi"/>
                <w:b/>
                <w:bCs/>
                <w:sz w:val="18"/>
                <w:szCs w:val="14"/>
              </w:rPr>
            </w:pPr>
            <w:r w:rsidRPr="00226911">
              <w:rPr>
                <w:rFonts w:asciiTheme="minorHAnsi" w:hAnsiTheme="minorHAnsi" w:cstheme="minorHAnsi"/>
                <w:b/>
                <w:bCs/>
                <w:sz w:val="18"/>
                <w:szCs w:val="14"/>
              </w:rPr>
              <w:t>89</w:t>
            </w:r>
          </w:p>
        </w:tc>
        <w:tc>
          <w:tcPr>
            <w:tcW w:w="704" w:type="dxa"/>
          </w:tcPr>
          <w:p w14:paraId="0ACCCE14" w14:textId="77777777" w:rsidR="00AF3DE9" w:rsidRPr="00226911" w:rsidRDefault="00AF3DE9" w:rsidP="00226911">
            <w:pPr>
              <w:pStyle w:val="TablebodyleftTables"/>
              <w:spacing w:before="20" w:after="20" w:line="240" w:lineRule="atLeast"/>
              <w:jc w:val="right"/>
              <w:rPr>
                <w:rFonts w:asciiTheme="minorHAnsi" w:hAnsiTheme="minorHAnsi" w:cstheme="minorHAnsi"/>
                <w:b/>
                <w:bCs/>
                <w:sz w:val="18"/>
                <w:szCs w:val="14"/>
              </w:rPr>
            </w:pPr>
            <w:r w:rsidRPr="00226911">
              <w:rPr>
                <w:rFonts w:asciiTheme="minorHAnsi" w:hAnsiTheme="minorHAnsi" w:cstheme="minorHAnsi"/>
                <w:b/>
                <w:bCs/>
                <w:sz w:val="18"/>
                <w:szCs w:val="14"/>
              </w:rPr>
              <w:t>86</w:t>
            </w:r>
          </w:p>
        </w:tc>
      </w:tr>
    </w:tbl>
    <w:p w14:paraId="7DBDA0FC" w14:textId="77777777" w:rsidR="00B02873" w:rsidRPr="00226911" w:rsidRDefault="00B02873" w:rsidP="00226911">
      <w:pPr>
        <w:pStyle w:val="SourceNote"/>
        <w:spacing w:after="120"/>
        <w:rPr>
          <w:b/>
          <w:bCs/>
        </w:rPr>
      </w:pPr>
      <w:r w:rsidRPr="00226911">
        <w:rPr>
          <w:b/>
          <w:bCs/>
        </w:rPr>
        <w:t>Notes:</w:t>
      </w:r>
    </w:p>
    <w:p w14:paraId="6ED5F0B6" w14:textId="77777777" w:rsidR="00B02873" w:rsidRPr="009743EF" w:rsidRDefault="00B02873" w:rsidP="009743EF">
      <w:pPr>
        <w:pStyle w:val="SourceNotenumbered"/>
        <w:numPr>
          <w:ilvl w:val="0"/>
          <w:numId w:val="92"/>
        </w:numPr>
      </w:pPr>
      <w:r>
        <w:t xml:space="preserve">All figures </w:t>
      </w:r>
      <w:r w:rsidRPr="009743EF">
        <w:t>reflect employment levels during the last full pay period in June of each year.</w:t>
      </w:r>
    </w:p>
    <w:p w14:paraId="2080580D" w14:textId="77777777" w:rsidR="00B02873" w:rsidRPr="009743EF" w:rsidRDefault="00B02873" w:rsidP="009743EF">
      <w:pPr>
        <w:pStyle w:val="SourceNotenumbered"/>
        <w:numPr>
          <w:ilvl w:val="0"/>
          <w:numId w:val="92"/>
        </w:numPr>
      </w:pPr>
      <w:r w:rsidRPr="009743EF">
        <w:t>FTE means ‘full time staff equivalent’ and is rounded to the nearest whole number.</w:t>
      </w:r>
    </w:p>
    <w:p w14:paraId="76BEADC8" w14:textId="77777777" w:rsidR="00B02873" w:rsidRPr="009743EF" w:rsidRDefault="00B02873" w:rsidP="009743EF">
      <w:pPr>
        <w:pStyle w:val="SourceNotenumbered"/>
        <w:numPr>
          <w:ilvl w:val="0"/>
          <w:numId w:val="92"/>
        </w:numPr>
      </w:pPr>
      <w:r w:rsidRPr="009743EF">
        <w:t xml:space="preserve">Excluded are those on leave without pay or absent on secondment, external contractors/consultants, and temporary staff employed by employment agencies. </w:t>
      </w:r>
    </w:p>
    <w:p w14:paraId="0C1DC14E" w14:textId="77777777" w:rsidR="00B02873" w:rsidRPr="009743EF" w:rsidRDefault="00B02873" w:rsidP="009743EF">
      <w:pPr>
        <w:pStyle w:val="SourceNotenumbered"/>
        <w:numPr>
          <w:ilvl w:val="0"/>
          <w:numId w:val="92"/>
        </w:numPr>
      </w:pPr>
      <w:r w:rsidRPr="009743EF">
        <w:t>All employees have been correctly classified in workforce data collection aligned to the VPS classification structure.</w:t>
      </w:r>
    </w:p>
    <w:p w14:paraId="6C8D7352" w14:textId="77777777" w:rsidR="00B02873" w:rsidRDefault="00B02873" w:rsidP="009743EF">
      <w:pPr>
        <w:pStyle w:val="SourceNotenumbered"/>
        <w:numPr>
          <w:ilvl w:val="0"/>
          <w:numId w:val="92"/>
        </w:numPr>
      </w:pPr>
      <w:r w:rsidRPr="009743EF">
        <w:t>Employees attached</w:t>
      </w:r>
      <w:r>
        <w:t xml:space="preserve"> to Sustainability Victoria are employees of the DELWP Secretary. Employee numbers are also reported in their annual report</w:t>
      </w:r>
    </w:p>
    <w:p w14:paraId="5F3EAC2A" w14:textId="77777777" w:rsidR="000D308A" w:rsidRPr="007B509E" w:rsidRDefault="000D308A" w:rsidP="00B02873">
      <w:pPr>
        <w:pStyle w:val="Heading2AppendixAppendices"/>
        <w:rPr>
          <w:rFonts w:ascii="Arial" w:hAnsi="Arial"/>
        </w:rPr>
        <w:sectPr w:rsidR="000D308A" w:rsidRPr="007B509E" w:rsidSect="00E9353A">
          <w:pgSz w:w="16838" w:h="11906" w:orient="landscape" w:code="9"/>
          <w:pgMar w:top="1134" w:right="1134" w:bottom="1134" w:left="1134" w:header="720" w:footer="720" w:gutter="0"/>
          <w:cols w:space="720"/>
          <w:noEndnote/>
          <w:docGrid w:linePitch="299"/>
        </w:sectPr>
      </w:pPr>
    </w:p>
    <w:p w14:paraId="098E1484" w14:textId="0CA2DE81" w:rsidR="00B02873" w:rsidRDefault="00B02873" w:rsidP="007E64A0">
      <w:pPr>
        <w:pStyle w:val="Heading3"/>
      </w:pPr>
      <w:bookmarkStart w:id="83" w:name="Executive_data"/>
      <w:r>
        <w:lastRenderedPageBreak/>
        <w:t>Executive dat</w:t>
      </w:r>
      <w:bookmarkEnd w:id="83"/>
      <w:r>
        <w:t xml:space="preserve">a </w:t>
      </w:r>
    </w:p>
    <w:p w14:paraId="2AB5CC05" w14:textId="77777777" w:rsidR="00B02873" w:rsidRPr="00E55EEF" w:rsidRDefault="00B02873" w:rsidP="00FE198A">
      <w:pPr>
        <w:rPr>
          <w:rFonts w:asciiTheme="minorHAnsi" w:hAnsiTheme="minorHAnsi" w:cstheme="minorHAnsi"/>
        </w:rPr>
      </w:pPr>
      <w:r w:rsidRPr="00E55EEF">
        <w:rPr>
          <w:rFonts w:asciiTheme="minorHAnsi" w:hAnsiTheme="minorHAnsi" w:cstheme="minorHAnsi"/>
        </w:rPr>
        <w:t xml:space="preserve">For a department, a member of the Senior Executive Service (SES) is defined as a person employed as an executive under Part 3 of the </w:t>
      </w:r>
      <w:r w:rsidRPr="00E55EEF">
        <w:rPr>
          <w:rStyle w:val="LightItalic"/>
          <w:rFonts w:asciiTheme="minorHAnsi" w:hAnsiTheme="minorHAnsi" w:cstheme="minorHAnsi"/>
        </w:rPr>
        <w:t>Public Administration Act 2004</w:t>
      </w:r>
      <w:r w:rsidRPr="00E55EEF">
        <w:rPr>
          <w:rFonts w:asciiTheme="minorHAnsi" w:hAnsiTheme="minorHAnsi" w:cstheme="minorHAnsi"/>
        </w:rPr>
        <w:t xml:space="preserve"> (PAA). For a public body, an executive is defined as a person employed as an executive under Part 3 of the PAA or a person to whom the Victorian Government’s Public Entity Executive Remuneration Policy applies. All figures reflect employment levels at the last full pay period in June of the current and corresponding previous reporting year. </w:t>
      </w:r>
    </w:p>
    <w:p w14:paraId="1B609AE9" w14:textId="77777777" w:rsidR="00B02873" w:rsidRDefault="00B02873" w:rsidP="00FE198A">
      <w:r>
        <w:t>The definition of SES does not include a statutory office holder or an Accountable Officer.</w:t>
      </w:r>
    </w:p>
    <w:p w14:paraId="64238DDF" w14:textId="77777777" w:rsidR="00B02873" w:rsidRDefault="00B02873" w:rsidP="00E55EEF">
      <w:pPr>
        <w:pStyle w:val="Normalbeforebullet"/>
      </w:pPr>
      <w:r>
        <w:t>The following tables disclose the SES profile of the department (Tables 1 and 2) and its portfolio agencies (Tables 3, 4 and 5) for 30 June 2022:</w:t>
      </w:r>
    </w:p>
    <w:p w14:paraId="43068AD0" w14:textId="77777777" w:rsidR="00B02873" w:rsidRDefault="00B02873" w:rsidP="00B02873">
      <w:pPr>
        <w:pStyle w:val="Bullet1Lists"/>
      </w:pPr>
      <w:r>
        <w:t>Table 1 discloses the total numbers of SES for the department, broken down by gender</w:t>
      </w:r>
    </w:p>
    <w:p w14:paraId="6D082F7E" w14:textId="77777777" w:rsidR="00B02873" w:rsidRDefault="00B02873" w:rsidP="00E55EEF">
      <w:pPr>
        <w:pStyle w:val="Bullet1Listslast"/>
      </w:pPr>
      <w:r>
        <w:t>Table 2 provides a reconciliation of executive numbers presented between the report of operations and Note 9.9 Remuneration of executives in the financial statements.</w:t>
      </w:r>
    </w:p>
    <w:p w14:paraId="6E12DE1F" w14:textId="77777777" w:rsidR="00B02873" w:rsidRDefault="00B02873" w:rsidP="007E64A0">
      <w:pPr>
        <w:pStyle w:val="Heading4"/>
      </w:pPr>
      <w:r>
        <w:t>Profile of DELWP Senior Executive Service staff: June 2022 and comparative variance 2021</w:t>
      </w:r>
    </w:p>
    <w:p w14:paraId="64E03416" w14:textId="77777777" w:rsidR="00B02873" w:rsidRDefault="00B02873" w:rsidP="00E55EEF">
      <w:pPr>
        <w:pStyle w:val="TabletitleTables"/>
      </w:pPr>
      <w:r>
        <w:t>Table 1: Total number of SESs for the department, broken down by gender</w:t>
      </w:r>
    </w:p>
    <w:tbl>
      <w:tblPr>
        <w:tblStyle w:val="TableGrid"/>
        <w:tblW w:w="9654" w:type="dxa"/>
        <w:tblLayout w:type="fixed"/>
        <w:tblLook w:val="0020" w:firstRow="1" w:lastRow="0" w:firstColumn="0" w:lastColumn="0" w:noHBand="0" w:noVBand="0"/>
      </w:tblPr>
      <w:tblGrid>
        <w:gridCol w:w="1146"/>
        <w:gridCol w:w="980"/>
        <w:gridCol w:w="981"/>
        <w:gridCol w:w="981"/>
        <w:gridCol w:w="981"/>
        <w:gridCol w:w="1060"/>
        <w:gridCol w:w="1061"/>
        <w:gridCol w:w="1272"/>
        <w:gridCol w:w="1192"/>
      </w:tblGrid>
      <w:tr w:rsidR="00B02873" w:rsidRPr="00B02873" w14:paraId="59C48480" w14:textId="77777777" w:rsidTr="00052EE1">
        <w:trPr>
          <w:cnfStyle w:val="100000000000" w:firstRow="1" w:lastRow="0" w:firstColumn="0" w:lastColumn="0" w:oddVBand="0" w:evenVBand="0" w:oddHBand="0" w:evenHBand="0" w:firstRowFirstColumn="0" w:firstRowLastColumn="0" w:lastRowFirstColumn="0" w:lastRowLastColumn="0"/>
          <w:trHeight w:val="60"/>
        </w:trPr>
        <w:tc>
          <w:tcPr>
            <w:tcW w:w="1146" w:type="dxa"/>
          </w:tcPr>
          <w:p w14:paraId="221CF730" w14:textId="77777777" w:rsidR="00B02873" w:rsidRDefault="00B02873" w:rsidP="00052EE1">
            <w:pPr>
              <w:pStyle w:val="TableheadingleftTables"/>
            </w:pPr>
            <w:r>
              <w:t>Class</w:t>
            </w:r>
          </w:p>
        </w:tc>
        <w:tc>
          <w:tcPr>
            <w:tcW w:w="980" w:type="dxa"/>
          </w:tcPr>
          <w:p w14:paraId="4C43A828" w14:textId="53225CE2" w:rsidR="00B02873" w:rsidRDefault="00052EE1" w:rsidP="00052EE1">
            <w:pPr>
              <w:pStyle w:val="TableheadingleftTables"/>
              <w:jc w:val="right"/>
            </w:pPr>
            <w:r>
              <w:t xml:space="preserve">All </w:t>
            </w:r>
            <w:r>
              <w:br/>
            </w:r>
            <w:r w:rsidR="00B02873">
              <w:t>No.</w:t>
            </w:r>
          </w:p>
        </w:tc>
        <w:tc>
          <w:tcPr>
            <w:tcW w:w="981" w:type="dxa"/>
          </w:tcPr>
          <w:p w14:paraId="5A96D774" w14:textId="68523CAA" w:rsidR="00B02873" w:rsidRDefault="00052EE1" w:rsidP="00052EE1">
            <w:pPr>
              <w:pStyle w:val="TableheadingleftTables"/>
              <w:jc w:val="right"/>
            </w:pPr>
            <w:r>
              <w:t xml:space="preserve">All </w:t>
            </w:r>
            <w:r>
              <w:br/>
            </w:r>
            <w:r w:rsidR="00B02873">
              <w:t>Var.</w:t>
            </w:r>
            <w:r w:rsidR="00B02873">
              <w:rPr>
                <w:vertAlign w:val="superscript"/>
              </w:rPr>
              <w:t>(a)</w:t>
            </w:r>
          </w:p>
        </w:tc>
        <w:tc>
          <w:tcPr>
            <w:tcW w:w="981" w:type="dxa"/>
          </w:tcPr>
          <w:p w14:paraId="67D45D92" w14:textId="2299781F" w:rsidR="00B02873" w:rsidRDefault="00052EE1" w:rsidP="00052EE1">
            <w:pPr>
              <w:pStyle w:val="TableheadingleftTables"/>
              <w:jc w:val="right"/>
            </w:pPr>
            <w:r>
              <w:t xml:space="preserve">Men </w:t>
            </w:r>
            <w:r>
              <w:br/>
            </w:r>
            <w:r w:rsidR="00B02873">
              <w:t>No.</w:t>
            </w:r>
          </w:p>
        </w:tc>
        <w:tc>
          <w:tcPr>
            <w:tcW w:w="981" w:type="dxa"/>
          </w:tcPr>
          <w:p w14:paraId="5916A179" w14:textId="74A1F17C" w:rsidR="00B02873" w:rsidRDefault="00052EE1" w:rsidP="00052EE1">
            <w:pPr>
              <w:pStyle w:val="TableheadingleftTables"/>
              <w:jc w:val="right"/>
            </w:pPr>
            <w:r>
              <w:t xml:space="preserve">Men </w:t>
            </w:r>
            <w:r>
              <w:br/>
            </w:r>
            <w:r w:rsidR="00B02873">
              <w:t>Var.</w:t>
            </w:r>
          </w:p>
        </w:tc>
        <w:tc>
          <w:tcPr>
            <w:tcW w:w="1060" w:type="dxa"/>
          </w:tcPr>
          <w:p w14:paraId="543D8D53" w14:textId="5629054A" w:rsidR="00B02873" w:rsidRDefault="00052EE1" w:rsidP="00052EE1">
            <w:pPr>
              <w:pStyle w:val="TableheadingleftTables"/>
              <w:jc w:val="right"/>
            </w:pPr>
            <w:r>
              <w:t xml:space="preserve">Women </w:t>
            </w:r>
            <w:r w:rsidR="00B02873">
              <w:t>No.</w:t>
            </w:r>
          </w:p>
        </w:tc>
        <w:tc>
          <w:tcPr>
            <w:tcW w:w="1061" w:type="dxa"/>
          </w:tcPr>
          <w:p w14:paraId="58639858" w14:textId="2D7189B3" w:rsidR="00B02873" w:rsidRDefault="00052EE1" w:rsidP="00052EE1">
            <w:pPr>
              <w:pStyle w:val="TableheadingleftTables"/>
              <w:jc w:val="right"/>
            </w:pPr>
            <w:r>
              <w:t xml:space="preserve">Women </w:t>
            </w:r>
            <w:r w:rsidR="00B02873">
              <w:t>Var.</w:t>
            </w:r>
          </w:p>
        </w:tc>
        <w:tc>
          <w:tcPr>
            <w:tcW w:w="1272" w:type="dxa"/>
          </w:tcPr>
          <w:p w14:paraId="7FD85715" w14:textId="5ADDD532" w:rsidR="00B02873" w:rsidRDefault="00052EE1" w:rsidP="00052EE1">
            <w:pPr>
              <w:pStyle w:val="TableheadingleftTables"/>
              <w:jc w:val="right"/>
            </w:pPr>
            <w:r>
              <w:t xml:space="preserve">Self-described </w:t>
            </w:r>
            <w:r>
              <w:br/>
            </w:r>
            <w:r w:rsidR="00B02873">
              <w:t>No.</w:t>
            </w:r>
          </w:p>
        </w:tc>
        <w:tc>
          <w:tcPr>
            <w:tcW w:w="1192" w:type="dxa"/>
          </w:tcPr>
          <w:p w14:paraId="2991CF25" w14:textId="0B48CFA3" w:rsidR="00B02873" w:rsidRDefault="00052EE1" w:rsidP="00052EE1">
            <w:pPr>
              <w:pStyle w:val="TableheadingleftTables"/>
              <w:jc w:val="right"/>
            </w:pPr>
            <w:r>
              <w:t xml:space="preserve">Self-described </w:t>
            </w:r>
            <w:r>
              <w:br/>
            </w:r>
            <w:r w:rsidR="00B02873">
              <w:t>Var.</w:t>
            </w:r>
          </w:p>
        </w:tc>
      </w:tr>
      <w:tr w:rsidR="00B02873" w:rsidRPr="00B02873" w14:paraId="43EA9EF3" w14:textId="77777777" w:rsidTr="00052EE1">
        <w:trPr>
          <w:trHeight w:val="60"/>
        </w:trPr>
        <w:tc>
          <w:tcPr>
            <w:tcW w:w="1146" w:type="dxa"/>
          </w:tcPr>
          <w:p w14:paraId="631BF5F8" w14:textId="77777777" w:rsidR="00B02873" w:rsidRDefault="00B02873" w:rsidP="00052EE1">
            <w:pPr>
              <w:pStyle w:val="TablebodyleftTables"/>
            </w:pPr>
            <w:r>
              <w:t>SES-3</w:t>
            </w:r>
          </w:p>
        </w:tc>
        <w:tc>
          <w:tcPr>
            <w:tcW w:w="980" w:type="dxa"/>
          </w:tcPr>
          <w:p w14:paraId="42B81245" w14:textId="77777777" w:rsidR="00B02873" w:rsidRDefault="00B02873" w:rsidP="00052EE1">
            <w:pPr>
              <w:pStyle w:val="TablebodyleftTables"/>
              <w:jc w:val="right"/>
            </w:pPr>
            <w:r>
              <w:t>8</w:t>
            </w:r>
          </w:p>
        </w:tc>
        <w:tc>
          <w:tcPr>
            <w:tcW w:w="981" w:type="dxa"/>
          </w:tcPr>
          <w:p w14:paraId="2AA1BF7A" w14:textId="77777777" w:rsidR="00B02873" w:rsidRDefault="00B02873" w:rsidP="00052EE1">
            <w:pPr>
              <w:pStyle w:val="TablebodyleftTables"/>
              <w:jc w:val="right"/>
            </w:pPr>
            <w:r>
              <w:t>1</w:t>
            </w:r>
          </w:p>
        </w:tc>
        <w:tc>
          <w:tcPr>
            <w:tcW w:w="981" w:type="dxa"/>
          </w:tcPr>
          <w:p w14:paraId="1A3B8011" w14:textId="77777777" w:rsidR="00B02873" w:rsidRDefault="00B02873" w:rsidP="00052EE1">
            <w:pPr>
              <w:pStyle w:val="TablebodyleftTables"/>
              <w:jc w:val="right"/>
            </w:pPr>
            <w:r>
              <w:t>5</w:t>
            </w:r>
          </w:p>
        </w:tc>
        <w:tc>
          <w:tcPr>
            <w:tcW w:w="981" w:type="dxa"/>
          </w:tcPr>
          <w:p w14:paraId="77ACD05C" w14:textId="77777777" w:rsidR="00B02873" w:rsidRDefault="00B02873" w:rsidP="00052EE1">
            <w:pPr>
              <w:pStyle w:val="TablebodyleftTables"/>
              <w:jc w:val="right"/>
            </w:pPr>
            <w:r>
              <w:t>1</w:t>
            </w:r>
          </w:p>
        </w:tc>
        <w:tc>
          <w:tcPr>
            <w:tcW w:w="1060" w:type="dxa"/>
          </w:tcPr>
          <w:p w14:paraId="3BC23E80" w14:textId="77777777" w:rsidR="00B02873" w:rsidRDefault="00B02873" w:rsidP="00052EE1">
            <w:pPr>
              <w:pStyle w:val="TablebodyleftTables"/>
              <w:jc w:val="right"/>
            </w:pPr>
            <w:r>
              <w:t>3</w:t>
            </w:r>
          </w:p>
        </w:tc>
        <w:tc>
          <w:tcPr>
            <w:tcW w:w="1061" w:type="dxa"/>
          </w:tcPr>
          <w:p w14:paraId="25E48FB1" w14:textId="77777777" w:rsidR="00B02873" w:rsidRDefault="00B02873" w:rsidP="00052EE1">
            <w:pPr>
              <w:pStyle w:val="TablebodyleftTables"/>
              <w:jc w:val="right"/>
            </w:pPr>
            <w:r>
              <w:t>0</w:t>
            </w:r>
          </w:p>
        </w:tc>
        <w:tc>
          <w:tcPr>
            <w:tcW w:w="1272" w:type="dxa"/>
          </w:tcPr>
          <w:p w14:paraId="4C692EF3" w14:textId="77777777" w:rsidR="00B02873" w:rsidRDefault="00B02873" w:rsidP="00052EE1">
            <w:pPr>
              <w:pStyle w:val="TablebodyleftTables"/>
              <w:jc w:val="right"/>
            </w:pPr>
            <w:r>
              <w:t>0</w:t>
            </w:r>
          </w:p>
        </w:tc>
        <w:tc>
          <w:tcPr>
            <w:tcW w:w="1192" w:type="dxa"/>
          </w:tcPr>
          <w:p w14:paraId="7A3AFC36" w14:textId="77777777" w:rsidR="00B02873" w:rsidRDefault="00B02873" w:rsidP="00052EE1">
            <w:pPr>
              <w:pStyle w:val="TablebodyleftTables"/>
              <w:jc w:val="right"/>
            </w:pPr>
            <w:r>
              <w:t>0</w:t>
            </w:r>
          </w:p>
        </w:tc>
      </w:tr>
      <w:tr w:rsidR="00B02873" w:rsidRPr="00B02873" w14:paraId="27BED186" w14:textId="77777777" w:rsidTr="00052EE1">
        <w:trPr>
          <w:trHeight w:val="60"/>
        </w:trPr>
        <w:tc>
          <w:tcPr>
            <w:tcW w:w="1146" w:type="dxa"/>
          </w:tcPr>
          <w:p w14:paraId="1AE0A985" w14:textId="77777777" w:rsidR="00B02873" w:rsidRDefault="00B02873" w:rsidP="00052EE1">
            <w:pPr>
              <w:pStyle w:val="TablebodyleftTables"/>
            </w:pPr>
            <w:r>
              <w:t>SES-2</w:t>
            </w:r>
          </w:p>
        </w:tc>
        <w:tc>
          <w:tcPr>
            <w:tcW w:w="980" w:type="dxa"/>
          </w:tcPr>
          <w:p w14:paraId="37D4139B" w14:textId="77777777" w:rsidR="00B02873" w:rsidRDefault="00B02873" w:rsidP="00052EE1">
            <w:pPr>
              <w:pStyle w:val="TablebodyleftTables"/>
              <w:jc w:val="right"/>
            </w:pPr>
            <w:r>
              <w:t>45</w:t>
            </w:r>
          </w:p>
        </w:tc>
        <w:tc>
          <w:tcPr>
            <w:tcW w:w="981" w:type="dxa"/>
          </w:tcPr>
          <w:p w14:paraId="5E00F54D" w14:textId="77777777" w:rsidR="00B02873" w:rsidRDefault="00B02873" w:rsidP="00052EE1">
            <w:pPr>
              <w:pStyle w:val="TablebodyleftTables"/>
              <w:jc w:val="right"/>
            </w:pPr>
            <w:r>
              <w:t>6</w:t>
            </w:r>
          </w:p>
        </w:tc>
        <w:tc>
          <w:tcPr>
            <w:tcW w:w="981" w:type="dxa"/>
          </w:tcPr>
          <w:p w14:paraId="65CF7C90" w14:textId="77777777" w:rsidR="00B02873" w:rsidRDefault="00B02873" w:rsidP="00052EE1">
            <w:pPr>
              <w:pStyle w:val="TablebodyleftTables"/>
              <w:jc w:val="right"/>
            </w:pPr>
            <w:r>
              <w:t>22</w:t>
            </w:r>
          </w:p>
        </w:tc>
        <w:tc>
          <w:tcPr>
            <w:tcW w:w="981" w:type="dxa"/>
          </w:tcPr>
          <w:p w14:paraId="63EA883C" w14:textId="77777777" w:rsidR="00B02873" w:rsidRDefault="00B02873" w:rsidP="00052EE1">
            <w:pPr>
              <w:pStyle w:val="TablebodyleftTables"/>
              <w:jc w:val="right"/>
            </w:pPr>
            <w:r>
              <w:t>5</w:t>
            </w:r>
          </w:p>
        </w:tc>
        <w:tc>
          <w:tcPr>
            <w:tcW w:w="1060" w:type="dxa"/>
          </w:tcPr>
          <w:p w14:paraId="37796387" w14:textId="77777777" w:rsidR="00B02873" w:rsidRDefault="00B02873" w:rsidP="00052EE1">
            <w:pPr>
              <w:pStyle w:val="TablebodyleftTables"/>
              <w:jc w:val="right"/>
            </w:pPr>
            <w:r>
              <w:t>23</w:t>
            </w:r>
          </w:p>
        </w:tc>
        <w:tc>
          <w:tcPr>
            <w:tcW w:w="1061" w:type="dxa"/>
          </w:tcPr>
          <w:p w14:paraId="46EC03F1" w14:textId="77777777" w:rsidR="00B02873" w:rsidRDefault="00B02873" w:rsidP="00052EE1">
            <w:pPr>
              <w:pStyle w:val="TablebodyleftTables"/>
              <w:jc w:val="right"/>
            </w:pPr>
            <w:r>
              <w:t>1</w:t>
            </w:r>
          </w:p>
        </w:tc>
        <w:tc>
          <w:tcPr>
            <w:tcW w:w="1272" w:type="dxa"/>
          </w:tcPr>
          <w:p w14:paraId="675FFC7B" w14:textId="77777777" w:rsidR="00B02873" w:rsidRDefault="00B02873" w:rsidP="00052EE1">
            <w:pPr>
              <w:pStyle w:val="TablebodyleftTables"/>
              <w:jc w:val="right"/>
            </w:pPr>
            <w:r>
              <w:t>0</w:t>
            </w:r>
          </w:p>
        </w:tc>
        <w:tc>
          <w:tcPr>
            <w:tcW w:w="1192" w:type="dxa"/>
          </w:tcPr>
          <w:p w14:paraId="6865E2E8" w14:textId="77777777" w:rsidR="00B02873" w:rsidRDefault="00B02873" w:rsidP="00052EE1">
            <w:pPr>
              <w:pStyle w:val="TablebodyleftTables"/>
              <w:jc w:val="right"/>
            </w:pPr>
            <w:r>
              <w:t>0</w:t>
            </w:r>
          </w:p>
        </w:tc>
      </w:tr>
      <w:tr w:rsidR="00B02873" w:rsidRPr="00B02873" w14:paraId="170919A3" w14:textId="77777777" w:rsidTr="00052EE1">
        <w:trPr>
          <w:trHeight w:val="60"/>
        </w:trPr>
        <w:tc>
          <w:tcPr>
            <w:tcW w:w="1146" w:type="dxa"/>
          </w:tcPr>
          <w:p w14:paraId="5E78C317" w14:textId="77777777" w:rsidR="00B02873" w:rsidRDefault="00B02873" w:rsidP="00052EE1">
            <w:pPr>
              <w:pStyle w:val="TablebodyleftTables"/>
            </w:pPr>
            <w:r>
              <w:t>SES-1</w:t>
            </w:r>
          </w:p>
        </w:tc>
        <w:tc>
          <w:tcPr>
            <w:tcW w:w="980" w:type="dxa"/>
          </w:tcPr>
          <w:p w14:paraId="59E13926" w14:textId="77777777" w:rsidR="00B02873" w:rsidRDefault="00B02873" w:rsidP="00052EE1">
            <w:pPr>
              <w:pStyle w:val="TablebodyleftTables"/>
              <w:jc w:val="right"/>
            </w:pPr>
            <w:r>
              <w:t>124</w:t>
            </w:r>
          </w:p>
        </w:tc>
        <w:tc>
          <w:tcPr>
            <w:tcW w:w="981" w:type="dxa"/>
          </w:tcPr>
          <w:p w14:paraId="305A40F2" w14:textId="77777777" w:rsidR="00B02873" w:rsidRDefault="00B02873" w:rsidP="00052EE1">
            <w:pPr>
              <w:pStyle w:val="TablebodyleftTables"/>
              <w:jc w:val="right"/>
            </w:pPr>
            <w:r>
              <w:t>16</w:t>
            </w:r>
          </w:p>
        </w:tc>
        <w:tc>
          <w:tcPr>
            <w:tcW w:w="981" w:type="dxa"/>
          </w:tcPr>
          <w:p w14:paraId="117A4B19" w14:textId="77777777" w:rsidR="00B02873" w:rsidRDefault="00B02873" w:rsidP="00052EE1">
            <w:pPr>
              <w:pStyle w:val="TablebodyleftTables"/>
              <w:jc w:val="right"/>
            </w:pPr>
            <w:r>
              <w:t>57</w:t>
            </w:r>
          </w:p>
        </w:tc>
        <w:tc>
          <w:tcPr>
            <w:tcW w:w="981" w:type="dxa"/>
          </w:tcPr>
          <w:p w14:paraId="1B9FC6FD" w14:textId="77777777" w:rsidR="00B02873" w:rsidRDefault="00B02873" w:rsidP="00052EE1">
            <w:pPr>
              <w:pStyle w:val="TablebodyleftTables"/>
              <w:jc w:val="right"/>
            </w:pPr>
            <w:r>
              <w:t>8</w:t>
            </w:r>
          </w:p>
        </w:tc>
        <w:tc>
          <w:tcPr>
            <w:tcW w:w="1060" w:type="dxa"/>
          </w:tcPr>
          <w:p w14:paraId="5BA1A7A2" w14:textId="77777777" w:rsidR="00B02873" w:rsidRDefault="00B02873" w:rsidP="00052EE1">
            <w:pPr>
              <w:pStyle w:val="TablebodyleftTables"/>
              <w:jc w:val="right"/>
            </w:pPr>
            <w:r>
              <w:t>67</w:t>
            </w:r>
          </w:p>
        </w:tc>
        <w:tc>
          <w:tcPr>
            <w:tcW w:w="1061" w:type="dxa"/>
          </w:tcPr>
          <w:p w14:paraId="63A8D5E1" w14:textId="77777777" w:rsidR="00B02873" w:rsidRDefault="00B02873" w:rsidP="00052EE1">
            <w:pPr>
              <w:pStyle w:val="TablebodyleftTables"/>
              <w:jc w:val="right"/>
            </w:pPr>
            <w:r>
              <w:t>8</w:t>
            </w:r>
          </w:p>
        </w:tc>
        <w:tc>
          <w:tcPr>
            <w:tcW w:w="1272" w:type="dxa"/>
          </w:tcPr>
          <w:p w14:paraId="5F220562" w14:textId="77777777" w:rsidR="00B02873" w:rsidRDefault="00B02873" w:rsidP="00052EE1">
            <w:pPr>
              <w:pStyle w:val="TablebodyleftTables"/>
              <w:jc w:val="right"/>
            </w:pPr>
            <w:r>
              <w:t>0</w:t>
            </w:r>
          </w:p>
        </w:tc>
        <w:tc>
          <w:tcPr>
            <w:tcW w:w="1192" w:type="dxa"/>
          </w:tcPr>
          <w:p w14:paraId="373568FA" w14:textId="77777777" w:rsidR="00B02873" w:rsidRDefault="00B02873" w:rsidP="00052EE1">
            <w:pPr>
              <w:pStyle w:val="TablebodyleftTables"/>
              <w:jc w:val="right"/>
            </w:pPr>
            <w:r>
              <w:t>0</w:t>
            </w:r>
          </w:p>
        </w:tc>
      </w:tr>
      <w:tr w:rsidR="00B02873" w:rsidRPr="00052EE1" w14:paraId="3A5BEC2B" w14:textId="77777777" w:rsidTr="00052EE1">
        <w:trPr>
          <w:trHeight w:val="60"/>
        </w:trPr>
        <w:tc>
          <w:tcPr>
            <w:tcW w:w="1146" w:type="dxa"/>
          </w:tcPr>
          <w:p w14:paraId="53293B62" w14:textId="77777777" w:rsidR="00B02873" w:rsidRPr="00052EE1" w:rsidRDefault="00B02873" w:rsidP="00052EE1">
            <w:pPr>
              <w:pStyle w:val="TablebodyleftTables"/>
              <w:rPr>
                <w:b/>
                <w:bCs/>
              </w:rPr>
            </w:pPr>
            <w:r w:rsidRPr="00052EE1">
              <w:rPr>
                <w:b/>
                <w:bCs/>
              </w:rPr>
              <w:t>Total</w:t>
            </w:r>
            <w:r w:rsidRPr="00052EE1">
              <w:rPr>
                <w:b/>
                <w:bCs/>
                <w:vertAlign w:val="superscript"/>
              </w:rPr>
              <w:t>(b)</w:t>
            </w:r>
          </w:p>
        </w:tc>
        <w:tc>
          <w:tcPr>
            <w:tcW w:w="980" w:type="dxa"/>
          </w:tcPr>
          <w:p w14:paraId="6FD80F24" w14:textId="77777777" w:rsidR="00B02873" w:rsidRPr="00052EE1" w:rsidRDefault="00B02873" w:rsidP="00052EE1">
            <w:pPr>
              <w:pStyle w:val="TablebodyleftTables"/>
              <w:jc w:val="right"/>
              <w:rPr>
                <w:b/>
                <w:bCs/>
              </w:rPr>
            </w:pPr>
            <w:r w:rsidRPr="00052EE1">
              <w:rPr>
                <w:b/>
                <w:bCs/>
              </w:rPr>
              <w:t>177</w:t>
            </w:r>
          </w:p>
        </w:tc>
        <w:tc>
          <w:tcPr>
            <w:tcW w:w="981" w:type="dxa"/>
          </w:tcPr>
          <w:p w14:paraId="4EC9D189" w14:textId="77777777" w:rsidR="00B02873" w:rsidRPr="00052EE1" w:rsidRDefault="00B02873" w:rsidP="00052EE1">
            <w:pPr>
              <w:pStyle w:val="TablebodyleftTables"/>
              <w:jc w:val="right"/>
              <w:rPr>
                <w:b/>
                <w:bCs/>
              </w:rPr>
            </w:pPr>
            <w:r w:rsidRPr="00052EE1">
              <w:rPr>
                <w:b/>
                <w:bCs/>
              </w:rPr>
              <w:t>23</w:t>
            </w:r>
          </w:p>
        </w:tc>
        <w:tc>
          <w:tcPr>
            <w:tcW w:w="981" w:type="dxa"/>
          </w:tcPr>
          <w:p w14:paraId="2F785F8B" w14:textId="77777777" w:rsidR="00B02873" w:rsidRPr="00052EE1" w:rsidRDefault="00B02873" w:rsidP="00052EE1">
            <w:pPr>
              <w:pStyle w:val="TablebodyleftTables"/>
              <w:jc w:val="right"/>
              <w:rPr>
                <w:b/>
                <w:bCs/>
              </w:rPr>
            </w:pPr>
            <w:r w:rsidRPr="00052EE1">
              <w:rPr>
                <w:b/>
                <w:bCs/>
              </w:rPr>
              <w:t>84</w:t>
            </w:r>
          </w:p>
        </w:tc>
        <w:tc>
          <w:tcPr>
            <w:tcW w:w="981" w:type="dxa"/>
          </w:tcPr>
          <w:p w14:paraId="37F62B1E" w14:textId="77777777" w:rsidR="00B02873" w:rsidRPr="00052EE1" w:rsidRDefault="00B02873" w:rsidP="00052EE1">
            <w:pPr>
              <w:pStyle w:val="TablebodyleftTables"/>
              <w:jc w:val="right"/>
              <w:rPr>
                <w:b/>
                <w:bCs/>
              </w:rPr>
            </w:pPr>
            <w:r w:rsidRPr="00052EE1">
              <w:rPr>
                <w:b/>
                <w:bCs/>
              </w:rPr>
              <w:t>14</w:t>
            </w:r>
          </w:p>
        </w:tc>
        <w:tc>
          <w:tcPr>
            <w:tcW w:w="1060" w:type="dxa"/>
          </w:tcPr>
          <w:p w14:paraId="79E0ECA5" w14:textId="77777777" w:rsidR="00B02873" w:rsidRPr="00052EE1" w:rsidRDefault="00B02873" w:rsidP="00052EE1">
            <w:pPr>
              <w:pStyle w:val="TablebodyleftTables"/>
              <w:jc w:val="right"/>
              <w:rPr>
                <w:b/>
                <w:bCs/>
              </w:rPr>
            </w:pPr>
            <w:r w:rsidRPr="00052EE1">
              <w:rPr>
                <w:b/>
                <w:bCs/>
              </w:rPr>
              <w:t>93</w:t>
            </w:r>
          </w:p>
        </w:tc>
        <w:tc>
          <w:tcPr>
            <w:tcW w:w="1061" w:type="dxa"/>
          </w:tcPr>
          <w:p w14:paraId="44E37279" w14:textId="77777777" w:rsidR="00B02873" w:rsidRPr="00052EE1" w:rsidRDefault="00B02873" w:rsidP="00052EE1">
            <w:pPr>
              <w:pStyle w:val="TablebodyleftTables"/>
              <w:jc w:val="right"/>
              <w:rPr>
                <w:b/>
                <w:bCs/>
              </w:rPr>
            </w:pPr>
            <w:r w:rsidRPr="00052EE1">
              <w:rPr>
                <w:b/>
                <w:bCs/>
              </w:rPr>
              <w:t>9</w:t>
            </w:r>
          </w:p>
        </w:tc>
        <w:tc>
          <w:tcPr>
            <w:tcW w:w="1272" w:type="dxa"/>
          </w:tcPr>
          <w:p w14:paraId="64AB6199" w14:textId="77777777" w:rsidR="00B02873" w:rsidRPr="00052EE1" w:rsidRDefault="00B02873" w:rsidP="00052EE1">
            <w:pPr>
              <w:pStyle w:val="TablebodyleftTables"/>
              <w:jc w:val="right"/>
              <w:rPr>
                <w:b/>
                <w:bCs/>
              </w:rPr>
            </w:pPr>
            <w:r w:rsidRPr="00052EE1">
              <w:rPr>
                <w:b/>
                <w:bCs/>
              </w:rPr>
              <w:t>0</w:t>
            </w:r>
          </w:p>
        </w:tc>
        <w:tc>
          <w:tcPr>
            <w:tcW w:w="1192" w:type="dxa"/>
          </w:tcPr>
          <w:p w14:paraId="1DCC1C07" w14:textId="77777777" w:rsidR="00B02873" w:rsidRPr="00052EE1" w:rsidRDefault="00B02873" w:rsidP="00052EE1">
            <w:pPr>
              <w:pStyle w:val="TablebodyleftTables"/>
              <w:jc w:val="right"/>
              <w:rPr>
                <w:b/>
                <w:bCs/>
              </w:rPr>
            </w:pPr>
            <w:r w:rsidRPr="00052EE1">
              <w:rPr>
                <w:b/>
                <w:bCs/>
              </w:rPr>
              <w:t>0</w:t>
            </w:r>
          </w:p>
        </w:tc>
      </w:tr>
    </w:tbl>
    <w:p w14:paraId="12886196" w14:textId="77777777" w:rsidR="00B02873" w:rsidRPr="00052EE1" w:rsidRDefault="00B02873" w:rsidP="000D2CDA">
      <w:pPr>
        <w:pStyle w:val="SourceNote"/>
        <w:spacing w:after="120"/>
        <w:rPr>
          <w:b/>
          <w:bCs/>
        </w:rPr>
      </w:pPr>
      <w:r w:rsidRPr="00052EE1">
        <w:rPr>
          <w:b/>
          <w:bCs/>
        </w:rPr>
        <w:t>Footnotes:</w:t>
      </w:r>
    </w:p>
    <w:p w14:paraId="1514602E" w14:textId="77777777" w:rsidR="00B02873" w:rsidRPr="000D2CDA" w:rsidRDefault="00B02873" w:rsidP="000D2CDA">
      <w:pPr>
        <w:pStyle w:val="SourceNotenumbereda"/>
      </w:pPr>
      <w:r w:rsidRPr="000D2CDA">
        <w:t xml:space="preserve">The June 2022 figures disclose the variations, denoted by ‘var’, between the current and previous reporting periods. </w:t>
      </w:r>
    </w:p>
    <w:p w14:paraId="49BA9063" w14:textId="77777777" w:rsidR="00B02873" w:rsidRDefault="00B02873" w:rsidP="000D2CDA">
      <w:pPr>
        <w:pStyle w:val="SourceNotenumbereda"/>
      </w:pPr>
      <w:r w:rsidRPr="00C776EF">
        <w:t>The total number of FTEs does not include the Accountable Office</w:t>
      </w:r>
      <w:r>
        <w:t>r (Secretary).</w:t>
      </w:r>
    </w:p>
    <w:p w14:paraId="15421157" w14:textId="7EC5E5D6" w:rsidR="00B02873" w:rsidRDefault="00B02873" w:rsidP="00052EE1">
      <w:r>
        <w:t>The number of executives in the report of operations is based on the number of executive positions that are occupied at the end of the financial year. Note 9.8 in the financial statements lists the actual number of SES and the total remuneration paid to SES over the course of the reporting period. The financial statements note does not include the Accountable Officer, nor does it distinguish between executive levels or disclose separations. Separations are executives who have left the department during the relevant reporting period. To assist readers, these two disclosures are reconciled below.</w:t>
      </w:r>
    </w:p>
    <w:p w14:paraId="229FF53F" w14:textId="77777777" w:rsidR="00B02873" w:rsidRDefault="00B02873" w:rsidP="008C7CA4">
      <w:pPr>
        <w:pStyle w:val="TabletitleTables"/>
      </w:pPr>
      <w:r>
        <w:t>Table 2: Reconciliation of DELWP executive numbers</w:t>
      </w:r>
    </w:p>
    <w:tbl>
      <w:tblPr>
        <w:tblStyle w:val="TableGrid"/>
        <w:tblW w:w="0" w:type="auto"/>
        <w:tblLayout w:type="fixed"/>
        <w:tblLook w:val="0020" w:firstRow="1" w:lastRow="0" w:firstColumn="0" w:lastColumn="0" w:noHBand="0" w:noVBand="0"/>
      </w:tblPr>
      <w:tblGrid>
        <w:gridCol w:w="7257"/>
        <w:gridCol w:w="1190"/>
        <w:gridCol w:w="1191"/>
      </w:tblGrid>
      <w:tr w:rsidR="00B02873" w:rsidRPr="00B02873" w14:paraId="5CD3F690" w14:textId="77777777" w:rsidTr="00A2164A">
        <w:trPr>
          <w:cnfStyle w:val="100000000000" w:firstRow="1" w:lastRow="0" w:firstColumn="0" w:lastColumn="0" w:oddVBand="0" w:evenVBand="0" w:oddHBand="0" w:evenHBand="0" w:firstRowFirstColumn="0" w:firstRowLastColumn="0" w:lastRowFirstColumn="0" w:lastRowLastColumn="0"/>
          <w:trHeight w:val="60"/>
          <w:tblHeader/>
        </w:trPr>
        <w:tc>
          <w:tcPr>
            <w:tcW w:w="7257" w:type="dxa"/>
          </w:tcPr>
          <w:p w14:paraId="6D904607" w14:textId="77777777" w:rsidR="00B02873" w:rsidRPr="00B02873" w:rsidRDefault="00B02873" w:rsidP="008C7CA4">
            <w:pPr>
              <w:pStyle w:val="TableheadingleftTables"/>
            </w:pPr>
          </w:p>
        </w:tc>
        <w:tc>
          <w:tcPr>
            <w:tcW w:w="1190" w:type="dxa"/>
          </w:tcPr>
          <w:p w14:paraId="52DB7A12" w14:textId="77777777" w:rsidR="00B02873" w:rsidRDefault="00B02873" w:rsidP="00A2164A">
            <w:pPr>
              <w:pStyle w:val="TableheadingleftTables"/>
              <w:jc w:val="right"/>
            </w:pPr>
            <w:r>
              <w:t>2022</w:t>
            </w:r>
          </w:p>
        </w:tc>
        <w:tc>
          <w:tcPr>
            <w:tcW w:w="1191" w:type="dxa"/>
          </w:tcPr>
          <w:p w14:paraId="48E6E45F" w14:textId="77777777" w:rsidR="00B02873" w:rsidRDefault="00B02873" w:rsidP="00A2164A">
            <w:pPr>
              <w:pStyle w:val="TableheadingleftTables"/>
              <w:jc w:val="right"/>
            </w:pPr>
            <w:r>
              <w:t>2021</w:t>
            </w:r>
          </w:p>
        </w:tc>
      </w:tr>
      <w:tr w:rsidR="00B02873" w:rsidRPr="008C7CA4" w14:paraId="4D49F965" w14:textId="77777777" w:rsidTr="008C7CA4">
        <w:trPr>
          <w:trHeight w:val="60"/>
        </w:trPr>
        <w:tc>
          <w:tcPr>
            <w:tcW w:w="7257" w:type="dxa"/>
          </w:tcPr>
          <w:p w14:paraId="4AA6DB49" w14:textId="77777777" w:rsidR="00B02873" w:rsidRPr="008C7CA4" w:rsidRDefault="00B02873" w:rsidP="008C7CA4">
            <w:pPr>
              <w:pStyle w:val="TablebodyleftTables"/>
              <w:rPr>
                <w:rFonts w:asciiTheme="minorHAnsi" w:hAnsiTheme="minorHAnsi" w:cstheme="minorHAnsi"/>
              </w:rPr>
            </w:pPr>
            <w:r w:rsidRPr="008C7CA4">
              <w:rPr>
                <w:rFonts w:asciiTheme="minorHAnsi" w:hAnsiTheme="minorHAnsi" w:cstheme="minorHAnsi"/>
              </w:rPr>
              <w:t>Executives</w:t>
            </w:r>
          </w:p>
        </w:tc>
        <w:tc>
          <w:tcPr>
            <w:tcW w:w="1190" w:type="dxa"/>
          </w:tcPr>
          <w:p w14:paraId="7E376BB6" w14:textId="77777777" w:rsidR="00B02873" w:rsidRPr="008C7CA4" w:rsidRDefault="00B02873" w:rsidP="00A2164A">
            <w:pPr>
              <w:pStyle w:val="TablebodyleftTables"/>
              <w:jc w:val="right"/>
              <w:rPr>
                <w:rFonts w:asciiTheme="minorHAnsi" w:hAnsiTheme="minorHAnsi" w:cstheme="minorHAnsi"/>
              </w:rPr>
            </w:pPr>
            <w:r w:rsidRPr="008C7CA4">
              <w:rPr>
                <w:rFonts w:asciiTheme="minorHAnsi" w:hAnsiTheme="minorHAnsi" w:cstheme="minorHAnsi"/>
              </w:rPr>
              <w:t>202</w:t>
            </w:r>
          </w:p>
        </w:tc>
        <w:tc>
          <w:tcPr>
            <w:tcW w:w="1191" w:type="dxa"/>
          </w:tcPr>
          <w:p w14:paraId="2F2C3069" w14:textId="77777777" w:rsidR="00B02873" w:rsidRPr="008C7CA4" w:rsidRDefault="00B02873" w:rsidP="00A2164A">
            <w:pPr>
              <w:pStyle w:val="TablebodyleftTables"/>
              <w:jc w:val="right"/>
              <w:rPr>
                <w:rFonts w:asciiTheme="minorHAnsi" w:hAnsiTheme="minorHAnsi" w:cstheme="minorHAnsi"/>
              </w:rPr>
            </w:pPr>
            <w:r w:rsidRPr="008C7CA4">
              <w:rPr>
                <w:rFonts w:asciiTheme="minorHAnsi" w:hAnsiTheme="minorHAnsi" w:cstheme="minorHAnsi"/>
              </w:rPr>
              <w:t>170</w:t>
            </w:r>
          </w:p>
        </w:tc>
      </w:tr>
      <w:tr w:rsidR="00B02873" w:rsidRPr="008C7CA4" w14:paraId="061E3F72" w14:textId="77777777" w:rsidTr="008C7CA4">
        <w:trPr>
          <w:trHeight w:val="60"/>
        </w:trPr>
        <w:tc>
          <w:tcPr>
            <w:tcW w:w="7257" w:type="dxa"/>
          </w:tcPr>
          <w:p w14:paraId="29F17BF2" w14:textId="77777777" w:rsidR="00B02873" w:rsidRPr="008C7CA4" w:rsidRDefault="00B02873" w:rsidP="008C7CA4">
            <w:pPr>
              <w:pStyle w:val="TablebodyleftTables"/>
              <w:rPr>
                <w:rFonts w:asciiTheme="minorHAnsi" w:hAnsiTheme="minorHAnsi" w:cstheme="minorHAnsi"/>
              </w:rPr>
            </w:pPr>
            <w:r w:rsidRPr="008C7CA4">
              <w:rPr>
                <w:rFonts w:asciiTheme="minorHAnsi" w:hAnsiTheme="minorHAnsi" w:cstheme="minorHAnsi"/>
              </w:rPr>
              <w:t>Accountable Officer (Secretary)</w:t>
            </w:r>
          </w:p>
        </w:tc>
        <w:tc>
          <w:tcPr>
            <w:tcW w:w="1190" w:type="dxa"/>
          </w:tcPr>
          <w:p w14:paraId="302CCE1A" w14:textId="77777777" w:rsidR="00B02873" w:rsidRPr="008C7CA4" w:rsidRDefault="00B02873" w:rsidP="00A2164A">
            <w:pPr>
              <w:pStyle w:val="TablebodyleftTables"/>
              <w:jc w:val="right"/>
              <w:rPr>
                <w:rFonts w:asciiTheme="minorHAnsi" w:hAnsiTheme="minorHAnsi" w:cstheme="minorHAnsi"/>
              </w:rPr>
            </w:pPr>
            <w:r w:rsidRPr="008C7CA4">
              <w:rPr>
                <w:rFonts w:asciiTheme="minorHAnsi" w:hAnsiTheme="minorHAnsi" w:cstheme="minorHAnsi"/>
              </w:rPr>
              <w:t>1</w:t>
            </w:r>
          </w:p>
        </w:tc>
        <w:tc>
          <w:tcPr>
            <w:tcW w:w="1191" w:type="dxa"/>
          </w:tcPr>
          <w:p w14:paraId="41EB9775" w14:textId="77777777" w:rsidR="00B02873" w:rsidRPr="008C7CA4" w:rsidRDefault="00B02873" w:rsidP="00A2164A">
            <w:pPr>
              <w:pStyle w:val="TablebodyleftTables"/>
              <w:jc w:val="right"/>
              <w:rPr>
                <w:rFonts w:asciiTheme="minorHAnsi" w:hAnsiTheme="minorHAnsi" w:cstheme="minorHAnsi"/>
              </w:rPr>
            </w:pPr>
            <w:r w:rsidRPr="008C7CA4">
              <w:rPr>
                <w:rFonts w:asciiTheme="minorHAnsi" w:hAnsiTheme="minorHAnsi" w:cstheme="minorHAnsi"/>
              </w:rPr>
              <w:t>1</w:t>
            </w:r>
          </w:p>
        </w:tc>
      </w:tr>
      <w:tr w:rsidR="00B02873" w:rsidRPr="008C7CA4" w14:paraId="1A4A59E1" w14:textId="77777777" w:rsidTr="008C7CA4">
        <w:trPr>
          <w:trHeight w:val="60"/>
        </w:trPr>
        <w:tc>
          <w:tcPr>
            <w:tcW w:w="7257" w:type="dxa"/>
          </w:tcPr>
          <w:p w14:paraId="5174A705" w14:textId="77777777" w:rsidR="00B02873" w:rsidRPr="008C7CA4" w:rsidRDefault="00B02873" w:rsidP="008C7CA4">
            <w:pPr>
              <w:pStyle w:val="TablebodyleftTables"/>
              <w:rPr>
                <w:rFonts w:asciiTheme="minorHAnsi" w:hAnsiTheme="minorHAnsi" w:cstheme="minorHAnsi"/>
              </w:rPr>
            </w:pPr>
            <w:r w:rsidRPr="008C7CA4">
              <w:rPr>
                <w:rStyle w:val="Bold"/>
                <w:rFonts w:asciiTheme="minorHAnsi" w:hAnsiTheme="minorHAnsi" w:cstheme="minorHAnsi"/>
              </w:rPr>
              <w:t>sub total</w:t>
            </w:r>
          </w:p>
        </w:tc>
        <w:tc>
          <w:tcPr>
            <w:tcW w:w="1190" w:type="dxa"/>
          </w:tcPr>
          <w:p w14:paraId="033843E9" w14:textId="77777777" w:rsidR="00B02873" w:rsidRPr="008C7CA4" w:rsidRDefault="00B02873" w:rsidP="00A2164A">
            <w:pPr>
              <w:pStyle w:val="TablebodyleftTables"/>
              <w:jc w:val="right"/>
              <w:rPr>
                <w:rFonts w:asciiTheme="minorHAnsi" w:hAnsiTheme="minorHAnsi" w:cstheme="minorHAnsi"/>
              </w:rPr>
            </w:pPr>
            <w:r w:rsidRPr="008C7CA4">
              <w:rPr>
                <w:rStyle w:val="Bold"/>
                <w:rFonts w:asciiTheme="minorHAnsi" w:hAnsiTheme="minorHAnsi" w:cstheme="minorHAnsi"/>
              </w:rPr>
              <w:t>203</w:t>
            </w:r>
          </w:p>
        </w:tc>
        <w:tc>
          <w:tcPr>
            <w:tcW w:w="1191" w:type="dxa"/>
          </w:tcPr>
          <w:p w14:paraId="2091F400" w14:textId="77777777" w:rsidR="00B02873" w:rsidRPr="008C7CA4" w:rsidRDefault="00B02873" w:rsidP="00A2164A">
            <w:pPr>
              <w:pStyle w:val="TablebodyleftTables"/>
              <w:jc w:val="right"/>
              <w:rPr>
                <w:rFonts w:asciiTheme="minorHAnsi" w:hAnsiTheme="minorHAnsi" w:cstheme="minorHAnsi"/>
              </w:rPr>
            </w:pPr>
            <w:r w:rsidRPr="008C7CA4">
              <w:rPr>
                <w:rStyle w:val="Bold"/>
                <w:rFonts w:asciiTheme="minorHAnsi" w:hAnsiTheme="minorHAnsi" w:cstheme="minorHAnsi"/>
              </w:rPr>
              <w:t>171</w:t>
            </w:r>
          </w:p>
        </w:tc>
      </w:tr>
      <w:tr w:rsidR="00B02873" w:rsidRPr="008C7CA4" w14:paraId="6516E95B" w14:textId="77777777" w:rsidTr="008C7CA4">
        <w:trPr>
          <w:trHeight w:val="60"/>
        </w:trPr>
        <w:tc>
          <w:tcPr>
            <w:tcW w:w="7257" w:type="dxa"/>
          </w:tcPr>
          <w:p w14:paraId="3166C7DC" w14:textId="77777777" w:rsidR="00B02873" w:rsidRPr="008C7CA4" w:rsidRDefault="00B02873" w:rsidP="000D2CDA">
            <w:pPr>
              <w:pStyle w:val="TablebodyleftTables"/>
              <w:keepNext/>
              <w:rPr>
                <w:rFonts w:asciiTheme="minorHAnsi" w:hAnsiTheme="minorHAnsi" w:cstheme="minorHAnsi"/>
              </w:rPr>
            </w:pPr>
            <w:r w:rsidRPr="008C7CA4">
              <w:rPr>
                <w:rStyle w:val="BoldItalic"/>
                <w:rFonts w:asciiTheme="minorHAnsi" w:hAnsiTheme="minorHAnsi" w:cstheme="minorHAnsi"/>
              </w:rPr>
              <w:lastRenderedPageBreak/>
              <w:t>Less</w:t>
            </w:r>
          </w:p>
        </w:tc>
        <w:tc>
          <w:tcPr>
            <w:tcW w:w="1190" w:type="dxa"/>
          </w:tcPr>
          <w:p w14:paraId="4F0E0276" w14:textId="77777777" w:rsidR="00B02873" w:rsidRPr="008C7CA4" w:rsidRDefault="00B02873" w:rsidP="000D2CDA">
            <w:pPr>
              <w:pStyle w:val="TablebodyleftTables"/>
              <w:keepNext/>
              <w:jc w:val="right"/>
              <w:rPr>
                <w:rFonts w:asciiTheme="minorHAnsi" w:hAnsiTheme="minorHAnsi" w:cstheme="minorHAnsi"/>
              </w:rPr>
            </w:pPr>
            <w:r w:rsidRPr="008C7CA4">
              <w:rPr>
                <w:rFonts w:asciiTheme="minorHAnsi" w:hAnsiTheme="minorHAnsi" w:cstheme="minorHAnsi"/>
              </w:rPr>
              <w:t xml:space="preserve"> </w:t>
            </w:r>
          </w:p>
        </w:tc>
        <w:tc>
          <w:tcPr>
            <w:tcW w:w="1191" w:type="dxa"/>
          </w:tcPr>
          <w:p w14:paraId="678143E7" w14:textId="77777777" w:rsidR="00B02873" w:rsidRPr="008C7CA4" w:rsidRDefault="00B02873" w:rsidP="000D2CDA">
            <w:pPr>
              <w:pStyle w:val="TablebodyleftTables"/>
              <w:keepNext/>
              <w:jc w:val="right"/>
              <w:rPr>
                <w:rFonts w:asciiTheme="minorHAnsi" w:hAnsiTheme="minorHAnsi" w:cstheme="minorHAnsi"/>
              </w:rPr>
            </w:pPr>
            <w:r w:rsidRPr="008C7CA4">
              <w:rPr>
                <w:rFonts w:asciiTheme="minorHAnsi" w:hAnsiTheme="minorHAnsi" w:cstheme="minorHAnsi"/>
              </w:rPr>
              <w:t xml:space="preserve"> </w:t>
            </w:r>
          </w:p>
        </w:tc>
      </w:tr>
      <w:tr w:rsidR="00B02873" w:rsidRPr="008C7CA4" w14:paraId="6F6DD112" w14:textId="77777777" w:rsidTr="008C7CA4">
        <w:trPr>
          <w:trHeight w:val="60"/>
        </w:trPr>
        <w:tc>
          <w:tcPr>
            <w:tcW w:w="7257" w:type="dxa"/>
          </w:tcPr>
          <w:p w14:paraId="3B032C3D" w14:textId="77777777" w:rsidR="00B02873" w:rsidRPr="008C7CA4" w:rsidRDefault="00B02873" w:rsidP="008C7CA4">
            <w:pPr>
              <w:pStyle w:val="TablebodyleftTables"/>
              <w:rPr>
                <w:rFonts w:asciiTheme="minorHAnsi" w:hAnsiTheme="minorHAnsi" w:cstheme="minorHAnsi"/>
              </w:rPr>
            </w:pPr>
            <w:r w:rsidRPr="008C7CA4">
              <w:rPr>
                <w:rFonts w:asciiTheme="minorHAnsi" w:hAnsiTheme="minorHAnsi" w:cstheme="minorHAnsi"/>
              </w:rPr>
              <w:t>Separations</w:t>
            </w:r>
          </w:p>
        </w:tc>
        <w:tc>
          <w:tcPr>
            <w:tcW w:w="1190" w:type="dxa"/>
          </w:tcPr>
          <w:p w14:paraId="03C4F462" w14:textId="77777777" w:rsidR="00B02873" w:rsidRPr="008C7CA4" w:rsidRDefault="00B02873" w:rsidP="00A2164A">
            <w:pPr>
              <w:pStyle w:val="TablebodyleftTables"/>
              <w:jc w:val="right"/>
              <w:rPr>
                <w:rFonts w:asciiTheme="minorHAnsi" w:hAnsiTheme="minorHAnsi" w:cstheme="minorHAnsi"/>
              </w:rPr>
            </w:pPr>
            <w:r w:rsidRPr="008C7CA4">
              <w:rPr>
                <w:rFonts w:asciiTheme="minorHAnsi" w:hAnsiTheme="minorHAnsi" w:cstheme="minorHAnsi"/>
              </w:rPr>
              <w:t>(24)</w:t>
            </w:r>
          </w:p>
        </w:tc>
        <w:tc>
          <w:tcPr>
            <w:tcW w:w="1191" w:type="dxa"/>
          </w:tcPr>
          <w:p w14:paraId="35E00D5F" w14:textId="77777777" w:rsidR="00B02873" w:rsidRPr="008C7CA4" w:rsidRDefault="00B02873" w:rsidP="00A2164A">
            <w:pPr>
              <w:pStyle w:val="TablebodyleftTables"/>
              <w:jc w:val="right"/>
              <w:rPr>
                <w:rFonts w:asciiTheme="minorHAnsi" w:hAnsiTheme="minorHAnsi" w:cstheme="minorHAnsi"/>
              </w:rPr>
            </w:pPr>
            <w:r w:rsidRPr="008C7CA4">
              <w:rPr>
                <w:rFonts w:asciiTheme="minorHAnsi" w:hAnsiTheme="minorHAnsi" w:cstheme="minorHAnsi"/>
              </w:rPr>
              <w:t>(15)</w:t>
            </w:r>
          </w:p>
        </w:tc>
      </w:tr>
      <w:tr w:rsidR="00B02873" w:rsidRPr="008C7CA4" w14:paraId="5661908D" w14:textId="77777777" w:rsidTr="008C7CA4">
        <w:trPr>
          <w:trHeight w:val="60"/>
        </w:trPr>
        <w:tc>
          <w:tcPr>
            <w:tcW w:w="7257" w:type="dxa"/>
          </w:tcPr>
          <w:p w14:paraId="62FA9E64" w14:textId="77777777" w:rsidR="00B02873" w:rsidRPr="008C7CA4" w:rsidRDefault="00B02873" w:rsidP="008C7CA4">
            <w:pPr>
              <w:pStyle w:val="TablebodyleftTables"/>
              <w:rPr>
                <w:rFonts w:asciiTheme="minorHAnsi" w:hAnsiTheme="minorHAnsi" w:cstheme="minorHAnsi"/>
              </w:rPr>
            </w:pPr>
            <w:r w:rsidRPr="008C7CA4">
              <w:rPr>
                <w:rFonts w:asciiTheme="minorHAnsi" w:hAnsiTheme="minorHAnsi" w:cstheme="minorHAnsi"/>
              </w:rPr>
              <w:t>Leave without pay</w:t>
            </w:r>
          </w:p>
        </w:tc>
        <w:tc>
          <w:tcPr>
            <w:tcW w:w="1190" w:type="dxa"/>
          </w:tcPr>
          <w:p w14:paraId="439B5019" w14:textId="77777777" w:rsidR="00B02873" w:rsidRPr="008C7CA4" w:rsidRDefault="00B02873" w:rsidP="00A2164A">
            <w:pPr>
              <w:pStyle w:val="TablebodyleftTables"/>
              <w:jc w:val="right"/>
              <w:rPr>
                <w:rFonts w:asciiTheme="minorHAnsi" w:hAnsiTheme="minorHAnsi" w:cstheme="minorHAnsi"/>
              </w:rPr>
            </w:pPr>
            <w:r w:rsidRPr="008C7CA4">
              <w:rPr>
                <w:rFonts w:asciiTheme="minorHAnsi" w:hAnsiTheme="minorHAnsi" w:cstheme="minorHAnsi"/>
              </w:rPr>
              <w:t>(1)</w:t>
            </w:r>
          </w:p>
        </w:tc>
        <w:tc>
          <w:tcPr>
            <w:tcW w:w="1191" w:type="dxa"/>
          </w:tcPr>
          <w:p w14:paraId="385CACE5" w14:textId="77777777" w:rsidR="00B02873" w:rsidRPr="008C7CA4" w:rsidRDefault="00B02873" w:rsidP="00A2164A">
            <w:pPr>
              <w:pStyle w:val="TablebodyleftTables"/>
              <w:jc w:val="right"/>
              <w:rPr>
                <w:rFonts w:asciiTheme="minorHAnsi" w:hAnsiTheme="minorHAnsi" w:cstheme="minorHAnsi"/>
              </w:rPr>
            </w:pPr>
            <w:r w:rsidRPr="008C7CA4">
              <w:rPr>
                <w:rFonts w:asciiTheme="minorHAnsi" w:hAnsiTheme="minorHAnsi" w:cstheme="minorHAnsi"/>
              </w:rPr>
              <w:t>(1)</w:t>
            </w:r>
          </w:p>
        </w:tc>
      </w:tr>
      <w:tr w:rsidR="00B02873" w:rsidRPr="008C7CA4" w14:paraId="50C86166" w14:textId="77777777" w:rsidTr="008C7CA4">
        <w:trPr>
          <w:trHeight w:val="60"/>
        </w:trPr>
        <w:tc>
          <w:tcPr>
            <w:tcW w:w="7257" w:type="dxa"/>
          </w:tcPr>
          <w:p w14:paraId="77F3565F" w14:textId="77777777" w:rsidR="00B02873" w:rsidRPr="008C7CA4" w:rsidRDefault="00B02873" w:rsidP="008C7CA4">
            <w:pPr>
              <w:pStyle w:val="TablebodyleftTables"/>
              <w:rPr>
                <w:rFonts w:asciiTheme="minorHAnsi" w:hAnsiTheme="minorHAnsi" w:cstheme="minorHAnsi"/>
              </w:rPr>
            </w:pPr>
            <w:r w:rsidRPr="008C7CA4">
              <w:rPr>
                <w:rStyle w:val="Bold"/>
                <w:rFonts w:asciiTheme="minorHAnsi" w:hAnsiTheme="minorHAnsi" w:cstheme="minorHAnsi"/>
              </w:rPr>
              <w:t xml:space="preserve">sub total </w:t>
            </w:r>
          </w:p>
        </w:tc>
        <w:tc>
          <w:tcPr>
            <w:tcW w:w="1190" w:type="dxa"/>
          </w:tcPr>
          <w:p w14:paraId="4D4582F5" w14:textId="77777777" w:rsidR="00B02873" w:rsidRPr="008C7CA4" w:rsidRDefault="00B02873" w:rsidP="00A2164A">
            <w:pPr>
              <w:pStyle w:val="TablebodyleftTables"/>
              <w:jc w:val="right"/>
              <w:rPr>
                <w:rFonts w:asciiTheme="minorHAnsi" w:hAnsiTheme="minorHAnsi" w:cstheme="minorHAnsi"/>
              </w:rPr>
            </w:pPr>
            <w:r w:rsidRPr="008C7CA4">
              <w:rPr>
                <w:rStyle w:val="Bold"/>
                <w:rFonts w:asciiTheme="minorHAnsi" w:hAnsiTheme="minorHAnsi" w:cstheme="minorHAnsi"/>
              </w:rPr>
              <w:t>(25)</w:t>
            </w:r>
          </w:p>
        </w:tc>
        <w:tc>
          <w:tcPr>
            <w:tcW w:w="1191" w:type="dxa"/>
          </w:tcPr>
          <w:p w14:paraId="7EBDC1FF" w14:textId="77777777" w:rsidR="00B02873" w:rsidRPr="008C7CA4" w:rsidRDefault="00B02873" w:rsidP="00A2164A">
            <w:pPr>
              <w:pStyle w:val="TablebodyleftTables"/>
              <w:jc w:val="right"/>
              <w:rPr>
                <w:rFonts w:asciiTheme="minorHAnsi" w:hAnsiTheme="minorHAnsi" w:cstheme="minorHAnsi"/>
              </w:rPr>
            </w:pPr>
            <w:r w:rsidRPr="008C7CA4">
              <w:rPr>
                <w:rStyle w:val="Bold"/>
                <w:rFonts w:asciiTheme="minorHAnsi" w:hAnsiTheme="minorHAnsi" w:cstheme="minorHAnsi"/>
              </w:rPr>
              <w:t>(16)</w:t>
            </w:r>
          </w:p>
        </w:tc>
      </w:tr>
      <w:tr w:rsidR="00B02873" w:rsidRPr="00A2164A" w14:paraId="6BB48803" w14:textId="77777777" w:rsidTr="008C7CA4">
        <w:trPr>
          <w:trHeight w:val="60"/>
        </w:trPr>
        <w:tc>
          <w:tcPr>
            <w:tcW w:w="7257" w:type="dxa"/>
          </w:tcPr>
          <w:p w14:paraId="324D795F" w14:textId="77777777" w:rsidR="00B02873" w:rsidRPr="00A2164A" w:rsidRDefault="00B02873" w:rsidP="008C7CA4">
            <w:pPr>
              <w:pStyle w:val="TablebodyleftTables"/>
              <w:rPr>
                <w:rFonts w:asciiTheme="minorHAnsi" w:hAnsiTheme="minorHAnsi" w:cstheme="minorHAnsi"/>
                <w:b/>
                <w:bCs/>
              </w:rPr>
            </w:pPr>
            <w:r w:rsidRPr="00A2164A">
              <w:rPr>
                <w:rFonts w:asciiTheme="minorHAnsi" w:hAnsiTheme="minorHAnsi" w:cstheme="minorHAnsi"/>
                <w:b/>
                <w:bCs/>
              </w:rPr>
              <w:t>Total executive numbers at 30 June</w:t>
            </w:r>
          </w:p>
        </w:tc>
        <w:tc>
          <w:tcPr>
            <w:tcW w:w="1190" w:type="dxa"/>
          </w:tcPr>
          <w:p w14:paraId="6135F9E4" w14:textId="77777777" w:rsidR="00B02873" w:rsidRPr="00A2164A" w:rsidRDefault="00B02873" w:rsidP="00A2164A">
            <w:pPr>
              <w:pStyle w:val="TablebodyleftTables"/>
              <w:jc w:val="right"/>
              <w:rPr>
                <w:rFonts w:asciiTheme="minorHAnsi" w:hAnsiTheme="minorHAnsi" w:cstheme="minorHAnsi"/>
                <w:b/>
                <w:bCs/>
              </w:rPr>
            </w:pPr>
            <w:r w:rsidRPr="00A2164A">
              <w:rPr>
                <w:rFonts w:asciiTheme="minorHAnsi" w:hAnsiTheme="minorHAnsi" w:cstheme="minorHAnsi"/>
                <w:b/>
                <w:bCs/>
              </w:rPr>
              <w:t>178</w:t>
            </w:r>
            <w:r w:rsidRPr="00A2164A">
              <w:rPr>
                <w:rFonts w:asciiTheme="minorHAnsi" w:hAnsiTheme="minorHAnsi" w:cstheme="minorHAnsi"/>
                <w:b/>
                <w:bCs/>
                <w:vertAlign w:val="superscript"/>
              </w:rPr>
              <w:t>(a)</w:t>
            </w:r>
          </w:p>
        </w:tc>
        <w:tc>
          <w:tcPr>
            <w:tcW w:w="1191" w:type="dxa"/>
          </w:tcPr>
          <w:p w14:paraId="6EC08B7F" w14:textId="77777777" w:rsidR="00B02873" w:rsidRPr="00A2164A" w:rsidRDefault="00B02873" w:rsidP="00A2164A">
            <w:pPr>
              <w:pStyle w:val="TablebodyleftTables"/>
              <w:jc w:val="right"/>
              <w:rPr>
                <w:rFonts w:asciiTheme="minorHAnsi" w:hAnsiTheme="minorHAnsi" w:cstheme="minorHAnsi"/>
                <w:b/>
                <w:bCs/>
              </w:rPr>
            </w:pPr>
            <w:r w:rsidRPr="00A2164A">
              <w:rPr>
                <w:rFonts w:asciiTheme="minorHAnsi" w:hAnsiTheme="minorHAnsi" w:cstheme="minorHAnsi"/>
                <w:b/>
                <w:bCs/>
              </w:rPr>
              <w:t>155</w:t>
            </w:r>
            <w:r w:rsidRPr="00A2164A">
              <w:rPr>
                <w:rFonts w:asciiTheme="minorHAnsi" w:hAnsiTheme="minorHAnsi" w:cstheme="minorHAnsi"/>
                <w:b/>
                <w:bCs/>
                <w:vertAlign w:val="superscript"/>
              </w:rPr>
              <w:t>(a)</w:t>
            </w:r>
          </w:p>
        </w:tc>
      </w:tr>
    </w:tbl>
    <w:p w14:paraId="3BE0C446" w14:textId="77777777" w:rsidR="00B02873" w:rsidRPr="00A2164A" w:rsidRDefault="00B02873" w:rsidP="000D2CDA">
      <w:pPr>
        <w:pStyle w:val="SourceNote"/>
        <w:spacing w:after="120"/>
        <w:rPr>
          <w:b/>
          <w:bCs/>
        </w:rPr>
      </w:pPr>
      <w:r w:rsidRPr="00A2164A">
        <w:rPr>
          <w:b/>
          <w:bCs/>
        </w:rPr>
        <w:t>Footnotes:</w:t>
      </w:r>
    </w:p>
    <w:p w14:paraId="38D689FF" w14:textId="77777777" w:rsidR="00B02873" w:rsidRDefault="00B02873" w:rsidP="001128B1">
      <w:pPr>
        <w:pStyle w:val="SourceNotenumbered"/>
        <w:numPr>
          <w:ilvl w:val="0"/>
          <w:numId w:val="48"/>
        </w:numPr>
        <w:spacing w:after="200"/>
        <w:ind w:left="357" w:hanging="357"/>
      </w:pPr>
      <w:r>
        <w:t>The total number includes the Accountable Officer (Secretary).</w:t>
      </w:r>
    </w:p>
    <w:p w14:paraId="1978C9F1" w14:textId="77777777" w:rsidR="00B02873" w:rsidRDefault="00B02873" w:rsidP="007E64A0">
      <w:pPr>
        <w:pStyle w:val="Heading4"/>
      </w:pPr>
      <w:r>
        <w:t>Profile of Sustainability Victoria Senior Executive Service staff: June 2022</w:t>
      </w:r>
    </w:p>
    <w:p w14:paraId="49E7CEE8" w14:textId="77777777" w:rsidR="00B02873" w:rsidRDefault="00B02873" w:rsidP="006F52C9">
      <w:pPr>
        <w:pStyle w:val="Figureheading"/>
      </w:pPr>
      <w:r>
        <w:t>Table 3. Total number of SESs for Sustainability Victoria, broken down by gender</w:t>
      </w:r>
    </w:p>
    <w:tbl>
      <w:tblPr>
        <w:tblStyle w:val="TableGrid"/>
        <w:tblW w:w="9654" w:type="dxa"/>
        <w:tblLayout w:type="fixed"/>
        <w:tblLook w:val="0020" w:firstRow="1" w:lastRow="0" w:firstColumn="0" w:lastColumn="0" w:noHBand="0" w:noVBand="0"/>
      </w:tblPr>
      <w:tblGrid>
        <w:gridCol w:w="1140"/>
        <w:gridCol w:w="980"/>
        <w:gridCol w:w="979"/>
        <w:gridCol w:w="980"/>
        <w:gridCol w:w="981"/>
        <w:gridCol w:w="1063"/>
        <w:gridCol w:w="1053"/>
        <w:gridCol w:w="1246"/>
        <w:gridCol w:w="1232"/>
      </w:tblGrid>
      <w:tr w:rsidR="0048644D" w:rsidRPr="00B02873" w14:paraId="16FEFA27" w14:textId="77777777" w:rsidTr="0048644D">
        <w:trPr>
          <w:cnfStyle w:val="100000000000" w:firstRow="1" w:lastRow="0" w:firstColumn="0" w:lastColumn="0" w:oddVBand="0" w:evenVBand="0" w:oddHBand="0" w:evenHBand="0" w:firstRowFirstColumn="0" w:firstRowLastColumn="0" w:lastRowFirstColumn="0" w:lastRowLastColumn="0"/>
          <w:trHeight w:val="60"/>
        </w:trPr>
        <w:tc>
          <w:tcPr>
            <w:tcW w:w="1140" w:type="dxa"/>
          </w:tcPr>
          <w:p w14:paraId="2B00110C" w14:textId="77777777" w:rsidR="0048644D" w:rsidRDefault="0048644D" w:rsidP="00CC0579">
            <w:pPr>
              <w:pStyle w:val="TableheadingleftTables"/>
            </w:pPr>
            <w:r>
              <w:t>Class</w:t>
            </w:r>
          </w:p>
        </w:tc>
        <w:tc>
          <w:tcPr>
            <w:tcW w:w="980" w:type="dxa"/>
          </w:tcPr>
          <w:p w14:paraId="3C9AD17A" w14:textId="77777777" w:rsidR="0048644D" w:rsidRDefault="0048644D" w:rsidP="0048644D">
            <w:pPr>
              <w:pStyle w:val="TableheadingleftTables"/>
              <w:jc w:val="right"/>
            </w:pPr>
            <w:r>
              <w:t xml:space="preserve">All </w:t>
            </w:r>
            <w:r>
              <w:br/>
              <w:t>No.</w:t>
            </w:r>
          </w:p>
        </w:tc>
        <w:tc>
          <w:tcPr>
            <w:tcW w:w="979" w:type="dxa"/>
          </w:tcPr>
          <w:p w14:paraId="1A63002D" w14:textId="77777777" w:rsidR="0048644D" w:rsidRDefault="0048644D" w:rsidP="0048644D">
            <w:pPr>
              <w:pStyle w:val="TableheadingleftTables"/>
              <w:jc w:val="right"/>
            </w:pPr>
            <w:r>
              <w:t xml:space="preserve">All </w:t>
            </w:r>
            <w:r>
              <w:br/>
              <w:t>Var.</w:t>
            </w:r>
            <w:r>
              <w:rPr>
                <w:vertAlign w:val="superscript"/>
              </w:rPr>
              <w:t>(a)</w:t>
            </w:r>
          </w:p>
        </w:tc>
        <w:tc>
          <w:tcPr>
            <w:tcW w:w="980" w:type="dxa"/>
          </w:tcPr>
          <w:p w14:paraId="630A836E" w14:textId="77777777" w:rsidR="0048644D" w:rsidRDefault="0048644D" w:rsidP="0048644D">
            <w:pPr>
              <w:pStyle w:val="TableheadingleftTables"/>
              <w:jc w:val="right"/>
            </w:pPr>
            <w:r>
              <w:t xml:space="preserve">Men </w:t>
            </w:r>
            <w:r>
              <w:br/>
              <w:t>No.</w:t>
            </w:r>
          </w:p>
        </w:tc>
        <w:tc>
          <w:tcPr>
            <w:tcW w:w="981" w:type="dxa"/>
          </w:tcPr>
          <w:p w14:paraId="2560FEEF" w14:textId="77777777" w:rsidR="0048644D" w:rsidRDefault="0048644D" w:rsidP="0048644D">
            <w:pPr>
              <w:pStyle w:val="TableheadingleftTables"/>
              <w:jc w:val="right"/>
            </w:pPr>
            <w:r>
              <w:t xml:space="preserve">Men </w:t>
            </w:r>
            <w:r>
              <w:br/>
              <w:t>Var.</w:t>
            </w:r>
          </w:p>
        </w:tc>
        <w:tc>
          <w:tcPr>
            <w:tcW w:w="1063" w:type="dxa"/>
          </w:tcPr>
          <w:p w14:paraId="1520E6DA" w14:textId="77777777" w:rsidR="0048644D" w:rsidRDefault="0048644D" w:rsidP="0048644D">
            <w:pPr>
              <w:pStyle w:val="TableheadingleftTables"/>
              <w:jc w:val="right"/>
            </w:pPr>
            <w:r>
              <w:t>Women No.</w:t>
            </w:r>
          </w:p>
        </w:tc>
        <w:tc>
          <w:tcPr>
            <w:tcW w:w="1053" w:type="dxa"/>
          </w:tcPr>
          <w:p w14:paraId="2A44EC5F" w14:textId="77777777" w:rsidR="0048644D" w:rsidRDefault="0048644D" w:rsidP="0048644D">
            <w:pPr>
              <w:pStyle w:val="TableheadingleftTables"/>
              <w:jc w:val="right"/>
            </w:pPr>
            <w:r>
              <w:t>Women Var.</w:t>
            </w:r>
          </w:p>
        </w:tc>
        <w:tc>
          <w:tcPr>
            <w:tcW w:w="1246" w:type="dxa"/>
          </w:tcPr>
          <w:p w14:paraId="312CD4AD" w14:textId="77777777" w:rsidR="0048644D" w:rsidRDefault="0048644D" w:rsidP="0048644D">
            <w:pPr>
              <w:pStyle w:val="TableheadingleftTables"/>
              <w:jc w:val="right"/>
            </w:pPr>
            <w:r>
              <w:t xml:space="preserve">Self-described </w:t>
            </w:r>
            <w:r>
              <w:br/>
              <w:t>No.</w:t>
            </w:r>
          </w:p>
        </w:tc>
        <w:tc>
          <w:tcPr>
            <w:tcW w:w="1232" w:type="dxa"/>
          </w:tcPr>
          <w:p w14:paraId="1FE7B45C" w14:textId="77777777" w:rsidR="0048644D" w:rsidRDefault="0048644D" w:rsidP="0048644D">
            <w:pPr>
              <w:pStyle w:val="TableheadingleftTables"/>
              <w:jc w:val="right"/>
            </w:pPr>
            <w:r>
              <w:t xml:space="preserve">Self-described </w:t>
            </w:r>
            <w:r>
              <w:br/>
              <w:t>Var.</w:t>
            </w:r>
          </w:p>
        </w:tc>
      </w:tr>
      <w:tr w:rsidR="00B02873" w:rsidRPr="00B02873" w14:paraId="3A329F4C" w14:textId="77777777" w:rsidTr="00714844">
        <w:trPr>
          <w:trHeight w:val="60"/>
        </w:trPr>
        <w:tc>
          <w:tcPr>
            <w:tcW w:w="1140" w:type="dxa"/>
          </w:tcPr>
          <w:p w14:paraId="71B23511" w14:textId="77777777" w:rsidR="00B02873" w:rsidRDefault="00B02873" w:rsidP="0048644D">
            <w:pPr>
              <w:pStyle w:val="TablebodyleftTables"/>
            </w:pPr>
            <w:r>
              <w:t>SES-3</w:t>
            </w:r>
          </w:p>
        </w:tc>
        <w:tc>
          <w:tcPr>
            <w:tcW w:w="980" w:type="dxa"/>
          </w:tcPr>
          <w:p w14:paraId="5CAAC18A" w14:textId="77777777" w:rsidR="00B02873" w:rsidRDefault="00B02873" w:rsidP="0048644D">
            <w:pPr>
              <w:pStyle w:val="TablebodyleftTables"/>
              <w:jc w:val="right"/>
            </w:pPr>
            <w:r>
              <w:t>0</w:t>
            </w:r>
          </w:p>
        </w:tc>
        <w:tc>
          <w:tcPr>
            <w:tcW w:w="979" w:type="dxa"/>
          </w:tcPr>
          <w:p w14:paraId="1DCFA86C" w14:textId="77777777" w:rsidR="00B02873" w:rsidRDefault="00B02873" w:rsidP="0048644D">
            <w:pPr>
              <w:pStyle w:val="TablebodyleftTables"/>
              <w:jc w:val="right"/>
            </w:pPr>
            <w:r>
              <w:t>0</w:t>
            </w:r>
          </w:p>
        </w:tc>
        <w:tc>
          <w:tcPr>
            <w:tcW w:w="980" w:type="dxa"/>
          </w:tcPr>
          <w:p w14:paraId="427CF02E" w14:textId="77777777" w:rsidR="00B02873" w:rsidRDefault="00B02873" w:rsidP="0048644D">
            <w:pPr>
              <w:pStyle w:val="TablebodyleftTables"/>
              <w:jc w:val="right"/>
            </w:pPr>
            <w:r>
              <w:t>0</w:t>
            </w:r>
          </w:p>
        </w:tc>
        <w:tc>
          <w:tcPr>
            <w:tcW w:w="981" w:type="dxa"/>
          </w:tcPr>
          <w:p w14:paraId="4E16F059" w14:textId="77777777" w:rsidR="00B02873" w:rsidRDefault="00B02873" w:rsidP="0048644D">
            <w:pPr>
              <w:pStyle w:val="TablebodyleftTables"/>
              <w:jc w:val="right"/>
            </w:pPr>
            <w:r>
              <w:t>0</w:t>
            </w:r>
          </w:p>
        </w:tc>
        <w:tc>
          <w:tcPr>
            <w:tcW w:w="1063" w:type="dxa"/>
          </w:tcPr>
          <w:p w14:paraId="610F65CA" w14:textId="77777777" w:rsidR="00B02873" w:rsidRDefault="00B02873" w:rsidP="0048644D">
            <w:pPr>
              <w:pStyle w:val="TablebodyleftTables"/>
              <w:jc w:val="right"/>
            </w:pPr>
            <w:r>
              <w:t>0</w:t>
            </w:r>
          </w:p>
        </w:tc>
        <w:tc>
          <w:tcPr>
            <w:tcW w:w="1053" w:type="dxa"/>
          </w:tcPr>
          <w:p w14:paraId="26C0DFF5" w14:textId="77777777" w:rsidR="00B02873" w:rsidRDefault="00B02873" w:rsidP="0048644D">
            <w:pPr>
              <w:pStyle w:val="TablebodyleftTables"/>
              <w:jc w:val="right"/>
            </w:pPr>
            <w:r>
              <w:t>0</w:t>
            </w:r>
          </w:p>
        </w:tc>
        <w:tc>
          <w:tcPr>
            <w:tcW w:w="1246" w:type="dxa"/>
          </w:tcPr>
          <w:p w14:paraId="505C9138" w14:textId="77777777" w:rsidR="00B02873" w:rsidRDefault="00B02873" w:rsidP="0048644D">
            <w:pPr>
              <w:pStyle w:val="TablebodyleftTables"/>
              <w:jc w:val="right"/>
            </w:pPr>
            <w:r>
              <w:t>0</w:t>
            </w:r>
          </w:p>
        </w:tc>
        <w:tc>
          <w:tcPr>
            <w:tcW w:w="1232" w:type="dxa"/>
          </w:tcPr>
          <w:p w14:paraId="0A3BFBAC" w14:textId="77777777" w:rsidR="00B02873" w:rsidRDefault="00B02873" w:rsidP="0048644D">
            <w:pPr>
              <w:pStyle w:val="TablebodyleftTables"/>
              <w:jc w:val="right"/>
            </w:pPr>
            <w:r>
              <w:t>0</w:t>
            </w:r>
          </w:p>
        </w:tc>
      </w:tr>
      <w:tr w:rsidR="00B02873" w:rsidRPr="00B02873" w14:paraId="3CFC3FF1" w14:textId="77777777" w:rsidTr="00714844">
        <w:trPr>
          <w:trHeight w:val="60"/>
        </w:trPr>
        <w:tc>
          <w:tcPr>
            <w:tcW w:w="1140" w:type="dxa"/>
          </w:tcPr>
          <w:p w14:paraId="4315E7B9" w14:textId="77777777" w:rsidR="00B02873" w:rsidRDefault="00B02873" w:rsidP="0048644D">
            <w:pPr>
              <w:pStyle w:val="TablebodyleftTables"/>
            </w:pPr>
            <w:r>
              <w:t>SES-2</w:t>
            </w:r>
          </w:p>
        </w:tc>
        <w:tc>
          <w:tcPr>
            <w:tcW w:w="980" w:type="dxa"/>
          </w:tcPr>
          <w:p w14:paraId="3A677821" w14:textId="77777777" w:rsidR="00B02873" w:rsidRDefault="00B02873" w:rsidP="0048644D">
            <w:pPr>
              <w:pStyle w:val="TablebodyleftTables"/>
              <w:jc w:val="right"/>
            </w:pPr>
            <w:r>
              <w:t>1</w:t>
            </w:r>
          </w:p>
        </w:tc>
        <w:tc>
          <w:tcPr>
            <w:tcW w:w="979" w:type="dxa"/>
          </w:tcPr>
          <w:p w14:paraId="2E784E40" w14:textId="77777777" w:rsidR="00B02873" w:rsidRDefault="00B02873" w:rsidP="0048644D">
            <w:pPr>
              <w:pStyle w:val="TablebodyleftTables"/>
              <w:jc w:val="right"/>
            </w:pPr>
            <w:r>
              <w:t>1</w:t>
            </w:r>
          </w:p>
        </w:tc>
        <w:tc>
          <w:tcPr>
            <w:tcW w:w="980" w:type="dxa"/>
          </w:tcPr>
          <w:p w14:paraId="585EB2EF" w14:textId="77777777" w:rsidR="00B02873" w:rsidRDefault="00B02873" w:rsidP="0048644D">
            <w:pPr>
              <w:pStyle w:val="TablebodyleftTables"/>
              <w:jc w:val="right"/>
            </w:pPr>
            <w:r>
              <w:t>0</w:t>
            </w:r>
          </w:p>
        </w:tc>
        <w:tc>
          <w:tcPr>
            <w:tcW w:w="981" w:type="dxa"/>
          </w:tcPr>
          <w:p w14:paraId="440351D1" w14:textId="77777777" w:rsidR="00B02873" w:rsidRDefault="00B02873" w:rsidP="0048644D">
            <w:pPr>
              <w:pStyle w:val="TablebodyleftTables"/>
              <w:jc w:val="right"/>
            </w:pPr>
            <w:r>
              <w:t>0</w:t>
            </w:r>
          </w:p>
        </w:tc>
        <w:tc>
          <w:tcPr>
            <w:tcW w:w="1063" w:type="dxa"/>
          </w:tcPr>
          <w:p w14:paraId="4E669458" w14:textId="77777777" w:rsidR="00B02873" w:rsidRDefault="00B02873" w:rsidP="0048644D">
            <w:pPr>
              <w:pStyle w:val="TablebodyleftTables"/>
              <w:jc w:val="right"/>
            </w:pPr>
            <w:r>
              <w:t>1</w:t>
            </w:r>
          </w:p>
        </w:tc>
        <w:tc>
          <w:tcPr>
            <w:tcW w:w="1053" w:type="dxa"/>
          </w:tcPr>
          <w:p w14:paraId="5055D081" w14:textId="77777777" w:rsidR="00B02873" w:rsidRDefault="00B02873" w:rsidP="0048644D">
            <w:pPr>
              <w:pStyle w:val="TablebodyleftTables"/>
              <w:jc w:val="right"/>
            </w:pPr>
            <w:r>
              <w:t>1</w:t>
            </w:r>
          </w:p>
        </w:tc>
        <w:tc>
          <w:tcPr>
            <w:tcW w:w="1246" w:type="dxa"/>
          </w:tcPr>
          <w:p w14:paraId="072CCB38" w14:textId="77777777" w:rsidR="00B02873" w:rsidRDefault="00B02873" w:rsidP="0048644D">
            <w:pPr>
              <w:pStyle w:val="TablebodyleftTables"/>
              <w:jc w:val="right"/>
            </w:pPr>
            <w:r>
              <w:t>0</w:t>
            </w:r>
          </w:p>
        </w:tc>
        <w:tc>
          <w:tcPr>
            <w:tcW w:w="1232" w:type="dxa"/>
          </w:tcPr>
          <w:p w14:paraId="5C7CDB77" w14:textId="77777777" w:rsidR="00B02873" w:rsidRDefault="00B02873" w:rsidP="0048644D">
            <w:pPr>
              <w:pStyle w:val="TablebodyleftTables"/>
              <w:jc w:val="right"/>
            </w:pPr>
            <w:r>
              <w:t>0</w:t>
            </w:r>
          </w:p>
        </w:tc>
      </w:tr>
      <w:tr w:rsidR="00B02873" w:rsidRPr="00B02873" w14:paraId="5BB7875F" w14:textId="77777777" w:rsidTr="00714844">
        <w:trPr>
          <w:trHeight w:val="60"/>
        </w:trPr>
        <w:tc>
          <w:tcPr>
            <w:tcW w:w="1140" w:type="dxa"/>
          </w:tcPr>
          <w:p w14:paraId="342DE6FB" w14:textId="77777777" w:rsidR="00B02873" w:rsidRDefault="00B02873" w:rsidP="0048644D">
            <w:pPr>
              <w:pStyle w:val="TablebodyleftTables"/>
            </w:pPr>
            <w:r>
              <w:t>SES-1</w:t>
            </w:r>
          </w:p>
        </w:tc>
        <w:tc>
          <w:tcPr>
            <w:tcW w:w="980" w:type="dxa"/>
          </w:tcPr>
          <w:p w14:paraId="6002EA46" w14:textId="77777777" w:rsidR="00B02873" w:rsidRDefault="00B02873" w:rsidP="0048644D">
            <w:pPr>
              <w:pStyle w:val="TablebodyleftTables"/>
              <w:jc w:val="right"/>
            </w:pPr>
            <w:r>
              <w:t>7</w:t>
            </w:r>
          </w:p>
        </w:tc>
        <w:tc>
          <w:tcPr>
            <w:tcW w:w="979" w:type="dxa"/>
          </w:tcPr>
          <w:p w14:paraId="6AE25705" w14:textId="77777777" w:rsidR="00B02873" w:rsidRDefault="00B02873" w:rsidP="0048644D">
            <w:pPr>
              <w:pStyle w:val="TablebodyleftTables"/>
              <w:jc w:val="right"/>
            </w:pPr>
            <w:r>
              <w:t>(1)</w:t>
            </w:r>
          </w:p>
        </w:tc>
        <w:tc>
          <w:tcPr>
            <w:tcW w:w="980" w:type="dxa"/>
          </w:tcPr>
          <w:p w14:paraId="0831419F" w14:textId="77777777" w:rsidR="00B02873" w:rsidRDefault="00B02873" w:rsidP="0048644D">
            <w:pPr>
              <w:pStyle w:val="TablebodyleftTables"/>
              <w:jc w:val="right"/>
            </w:pPr>
            <w:r>
              <w:t>2</w:t>
            </w:r>
          </w:p>
        </w:tc>
        <w:tc>
          <w:tcPr>
            <w:tcW w:w="981" w:type="dxa"/>
          </w:tcPr>
          <w:p w14:paraId="64AF2C54" w14:textId="77777777" w:rsidR="00B02873" w:rsidRDefault="00B02873" w:rsidP="0048644D">
            <w:pPr>
              <w:pStyle w:val="TablebodyleftTables"/>
              <w:jc w:val="right"/>
            </w:pPr>
            <w:r>
              <w:t>0</w:t>
            </w:r>
          </w:p>
        </w:tc>
        <w:tc>
          <w:tcPr>
            <w:tcW w:w="1063" w:type="dxa"/>
          </w:tcPr>
          <w:p w14:paraId="2F447BDE" w14:textId="77777777" w:rsidR="00B02873" w:rsidRDefault="00B02873" w:rsidP="0048644D">
            <w:pPr>
              <w:pStyle w:val="TablebodyleftTables"/>
              <w:jc w:val="right"/>
            </w:pPr>
            <w:r>
              <w:t>5</w:t>
            </w:r>
          </w:p>
        </w:tc>
        <w:tc>
          <w:tcPr>
            <w:tcW w:w="1053" w:type="dxa"/>
          </w:tcPr>
          <w:p w14:paraId="7150B5F5" w14:textId="77777777" w:rsidR="00B02873" w:rsidRDefault="00B02873" w:rsidP="0048644D">
            <w:pPr>
              <w:pStyle w:val="TablebodyleftTables"/>
              <w:jc w:val="right"/>
            </w:pPr>
            <w:r>
              <w:t>(1)</w:t>
            </w:r>
          </w:p>
        </w:tc>
        <w:tc>
          <w:tcPr>
            <w:tcW w:w="1246" w:type="dxa"/>
          </w:tcPr>
          <w:p w14:paraId="40616EB1" w14:textId="77777777" w:rsidR="00B02873" w:rsidRDefault="00B02873" w:rsidP="0048644D">
            <w:pPr>
              <w:pStyle w:val="TablebodyleftTables"/>
              <w:jc w:val="right"/>
            </w:pPr>
            <w:r>
              <w:t>0</w:t>
            </w:r>
          </w:p>
        </w:tc>
        <w:tc>
          <w:tcPr>
            <w:tcW w:w="1232" w:type="dxa"/>
          </w:tcPr>
          <w:p w14:paraId="74E04B59" w14:textId="77777777" w:rsidR="00B02873" w:rsidRDefault="00B02873" w:rsidP="0048644D">
            <w:pPr>
              <w:pStyle w:val="TablebodyleftTables"/>
              <w:jc w:val="right"/>
            </w:pPr>
            <w:r>
              <w:t>0</w:t>
            </w:r>
          </w:p>
        </w:tc>
      </w:tr>
      <w:tr w:rsidR="0048644D" w:rsidRPr="0048644D" w14:paraId="4D078DD1" w14:textId="77777777" w:rsidTr="00714844">
        <w:trPr>
          <w:trHeight w:val="60"/>
        </w:trPr>
        <w:tc>
          <w:tcPr>
            <w:tcW w:w="1140" w:type="dxa"/>
          </w:tcPr>
          <w:p w14:paraId="2AD13309" w14:textId="77777777" w:rsidR="00B02873" w:rsidRPr="0048644D" w:rsidRDefault="00B02873" w:rsidP="0048644D">
            <w:pPr>
              <w:pStyle w:val="TablebodyleftTables"/>
              <w:rPr>
                <w:b/>
                <w:bCs/>
              </w:rPr>
            </w:pPr>
            <w:r w:rsidRPr="0048644D">
              <w:rPr>
                <w:b/>
                <w:bCs/>
              </w:rPr>
              <w:t>Total</w:t>
            </w:r>
          </w:p>
        </w:tc>
        <w:tc>
          <w:tcPr>
            <w:tcW w:w="980" w:type="dxa"/>
          </w:tcPr>
          <w:p w14:paraId="369FACD9" w14:textId="77777777" w:rsidR="00B02873" w:rsidRPr="0048644D" w:rsidRDefault="00B02873" w:rsidP="0048644D">
            <w:pPr>
              <w:pStyle w:val="TablebodyleftTables"/>
              <w:jc w:val="right"/>
              <w:rPr>
                <w:b/>
                <w:bCs/>
              </w:rPr>
            </w:pPr>
            <w:r w:rsidRPr="0048644D">
              <w:rPr>
                <w:b/>
                <w:bCs/>
              </w:rPr>
              <w:t>8</w:t>
            </w:r>
          </w:p>
        </w:tc>
        <w:tc>
          <w:tcPr>
            <w:tcW w:w="979" w:type="dxa"/>
          </w:tcPr>
          <w:p w14:paraId="26B6CCBC" w14:textId="77777777" w:rsidR="00B02873" w:rsidRPr="0048644D" w:rsidRDefault="00B02873" w:rsidP="0048644D">
            <w:pPr>
              <w:pStyle w:val="TablebodyleftTables"/>
              <w:jc w:val="right"/>
              <w:rPr>
                <w:b/>
                <w:bCs/>
              </w:rPr>
            </w:pPr>
            <w:r w:rsidRPr="0048644D">
              <w:rPr>
                <w:b/>
                <w:bCs/>
              </w:rPr>
              <w:t>0</w:t>
            </w:r>
          </w:p>
        </w:tc>
        <w:tc>
          <w:tcPr>
            <w:tcW w:w="980" w:type="dxa"/>
          </w:tcPr>
          <w:p w14:paraId="4DD92236" w14:textId="77777777" w:rsidR="00B02873" w:rsidRPr="0048644D" w:rsidRDefault="00B02873" w:rsidP="0048644D">
            <w:pPr>
              <w:pStyle w:val="TablebodyleftTables"/>
              <w:jc w:val="right"/>
              <w:rPr>
                <w:b/>
                <w:bCs/>
              </w:rPr>
            </w:pPr>
            <w:r w:rsidRPr="0048644D">
              <w:rPr>
                <w:b/>
                <w:bCs/>
              </w:rPr>
              <w:t>2</w:t>
            </w:r>
          </w:p>
        </w:tc>
        <w:tc>
          <w:tcPr>
            <w:tcW w:w="981" w:type="dxa"/>
          </w:tcPr>
          <w:p w14:paraId="1E024A42" w14:textId="77777777" w:rsidR="00B02873" w:rsidRPr="0048644D" w:rsidRDefault="00B02873" w:rsidP="0048644D">
            <w:pPr>
              <w:pStyle w:val="TablebodyleftTables"/>
              <w:jc w:val="right"/>
              <w:rPr>
                <w:b/>
                <w:bCs/>
              </w:rPr>
            </w:pPr>
            <w:r w:rsidRPr="0048644D">
              <w:rPr>
                <w:b/>
                <w:bCs/>
              </w:rPr>
              <w:t>0</w:t>
            </w:r>
          </w:p>
        </w:tc>
        <w:tc>
          <w:tcPr>
            <w:tcW w:w="1063" w:type="dxa"/>
          </w:tcPr>
          <w:p w14:paraId="58E79B3E" w14:textId="77777777" w:rsidR="00B02873" w:rsidRPr="0048644D" w:rsidRDefault="00B02873" w:rsidP="0048644D">
            <w:pPr>
              <w:pStyle w:val="TablebodyleftTables"/>
              <w:jc w:val="right"/>
              <w:rPr>
                <w:b/>
                <w:bCs/>
              </w:rPr>
            </w:pPr>
            <w:r w:rsidRPr="0048644D">
              <w:rPr>
                <w:b/>
                <w:bCs/>
              </w:rPr>
              <w:t>6</w:t>
            </w:r>
          </w:p>
        </w:tc>
        <w:tc>
          <w:tcPr>
            <w:tcW w:w="1053" w:type="dxa"/>
          </w:tcPr>
          <w:p w14:paraId="483B8E7C" w14:textId="77777777" w:rsidR="00B02873" w:rsidRPr="0048644D" w:rsidRDefault="00B02873" w:rsidP="0048644D">
            <w:pPr>
              <w:pStyle w:val="TablebodyleftTables"/>
              <w:jc w:val="right"/>
              <w:rPr>
                <w:b/>
                <w:bCs/>
              </w:rPr>
            </w:pPr>
            <w:r w:rsidRPr="0048644D">
              <w:rPr>
                <w:b/>
                <w:bCs/>
              </w:rPr>
              <w:t>0</w:t>
            </w:r>
          </w:p>
        </w:tc>
        <w:tc>
          <w:tcPr>
            <w:tcW w:w="1246" w:type="dxa"/>
          </w:tcPr>
          <w:p w14:paraId="2FD619A4" w14:textId="77777777" w:rsidR="00B02873" w:rsidRPr="0048644D" w:rsidRDefault="00B02873" w:rsidP="0048644D">
            <w:pPr>
              <w:pStyle w:val="TablebodyleftTables"/>
              <w:jc w:val="right"/>
              <w:rPr>
                <w:b/>
                <w:bCs/>
              </w:rPr>
            </w:pPr>
            <w:r w:rsidRPr="0048644D">
              <w:rPr>
                <w:b/>
                <w:bCs/>
              </w:rPr>
              <w:t>0</w:t>
            </w:r>
          </w:p>
        </w:tc>
        <w:tc>
          <w:tcPr>
            <w:tcW w:w="1232" w:type="dxa"/>
          </w:tcPr>
          <w:p w14:paraId="43A28650" w14:textId="77777777" w:rsidR="00B02873" w:rsidRPr="0048644D" w:rsidRDefault="00B02873" w:rsidP="0048644D">
            <w:pPr>
              <w:pStyle w:val="TablebodyleftTables"/>
              <w:jc w:val="right"/>
              <w:rPr>
                <w:b/>
                <w:bCs/>
              </w:rPr>
            </w:pPr>
            <w:r w:rsidRPr="0048644D">
              <w:rPr>
                <w:b/>
                <w:bCs/>
              </w:rPr>
              <w:t>0</w:t>
            </w:r>
          </w:p>
        </w:tc>
      </w:tr>
    </w:tbl>
    <w:p w14:paraId="35D87433" w14:textId="77777777" w:rsidR="00B02873" w:rsidRDefault="00B02873" w:rsidP="00FE198A"/>
    <w:p w14:paraId="4BEEAA3C" w14:textId="77777777" w:rsidR="00B02873" w:rsidRDefault="00B02873" w:rsidP="0048644D">
      <w:pPr>
        <w:pStyle w:val="TabletitleTables"/>
      </w:pPr>
      <w:r>
        <w:t xml:space="preserve">Table 4. Reconciliation of Sustainability Victoria executive numbers </w:t>
      </w:r>
    </w:p>
    <w:tbl>
      <w:tblPr>
        <w:tblStyle w:val="TableGrid"/>
        <w:tblW w:w="0" w:type="auto"/>
        <w:tblLayout w:type="fixed"/>
        <w:tblLook w:val="0020" w:firstRow="1" w:lastRow="0" w:firstColumn="0" w:lastColumn="0" w:noHBand="0" w:noVBand="0"/>
      </w:tblPr>
      <w:tblGrid>
        <w:gridCol w:w="7247"/>
        <w:gridCol w:w="1190"/>
        <w:gridCol w:w="1191"/>
      </w:tblGrid>
      <w:tr w:rsidR="00B02873" w:rsidRPr="00866546" w14:paraId="24330530" w14:textId="77777777" w:rsidTr="00866546">
        <w:trPr>
          <w:cnfStyle w:val="100000000000" w:firstRow="1" w:lastRow="0" w:firstColumn="0" w:lastColumn="0" w:oddVBand="0" w:evenVBand="0" w:oddHBand="0" w:evenHBand="0" w:firstRowFirstColumn="0" w:firstRowLastColumn="0" w:lastRowFirstColumn="0" w:lastRowLastColumn="0"/>
          <w:trHeight w:val="60"/>
        </w:trPr>
        <w:tc>
          <w:tcPr>
            <w:tcW w:w="7247" w:type="dxa"/>
          </w:tcPr>
          <w:p w14:paraId="1E05943E" w14:textId="77777777" w:rsidR="00B02873" w:rsidRPr="00866546" w:rsidRDefault="00B02873" w:rsidP="00866546">
            <w:pPr>
              <w:pStyle w:val="TableheadingleftTables"/>
              <w:rPr>
                <w:rFonts w:asciiTheme="minorHAnsi" w:hAnsiTheme="minorHAnsi" w:cstheme="minorHAnsi"/>
              </w:rPr>
            </w:pPr>
            <w:r w:rsidRPr="00866546">
              <w:rPr>
                <w:rFonts w:asciiTheme="minorHAnsi" w:hAnsiTheme="minorHAnsi" w:cstheme="minorHAnsi"/>
              </w:rPr>
              <w:t> </w:t>
            </w:r>
          </w:p>
        </w:tc>
        <w:tc>
          <w:tcPr>
            <w:tcW w:w="1190" w:type="dxa"/>
          </w:tcPr>
          <w:p w14:paraId="5714DD32" w14:textId="77777777" w:rsidR="00B02873" w:rsidRPr="00866546" w:rsidRDefault="00B02873" w:rsidP="00866546">
            <w:pPr>
              <w:pStyle w:val="TableheadingleftTables"/>
              <w:jc w:val="right"/>
              <w:rPr>
                <w:rFonts w:asciiTheme="minorHAnsi" w:hAnsiTheme="minorHAnsi" w:cstheme="minorHAnsi"/>
              </w:rPr>
            </w:pPr>
            <w:r w:rsidRPr="00866546">
              <w:rPr>
                <w:rFonts w:asciiTheme="minorHAnsi" w:hAnsiTheme="minorHAnsi" w:cstheme="minorHAnsi"/>
              </w:rPr>
              <w:t>2022</w:t>
            </w:r>
          </w:p>
        </w:tc>
        <w:tc>
          <w:tcPr>
            <w:tcW w:w="1191" w:type="dxa"/>
          </w:tcPr>
          <w:p w14:paraId="5676BCBA" w14:textId="77777777" w:rsidR="00B02873" w:rsidRPr="00866546" w:rsidRDefault="00B02873" w:rsidP="00866546">
            <w:pPr>
              <w:pStyle w:val="TableheadingleftTables"/>
              <w:jc w:val="right"/>
              <w:rPr>
                <w:rFonts w:asciiTheme="minorHAnsi" w:hAnsiTheme="minorHAnsi" w:cstheme="minorHAnsi"/>
              </w:rPr>
            </w:pPr>
            <w:r w:rsidRPr="00866546">
              <w:rPr>
                <w:rFonts w:asciiTheme="minorHAnsi" w:hAnsiTheme="minorHAnsi" w:cstheme="minorHAnsi"/>
              </w:rPr>
              <w:t>2021</w:t>
            </w:r>
          </w:p>
        </w:tc>
      </w:tr>
      <w:tr w:rsidR="00B02873" w:rsidRPr="00866546" w14:paraId="5AE67250" w14:textId="77777777" w:rsidTr="00866546">
        <w:trPr>
          <w:trHeight w:val="60"/>
        </w:trPr>
        <w:tc>
          <w:tcPr>
            <w:tcW w:w="7247" w:type="dxa"/>
          </w:tcPr>
          <w:p w14:paraId="545ABF34" w14:textId="77777777" w:rsidR="00B02873" w:rsidRPr="00866546" w:rsidRDefault="00B02873" w:rsidP="00866546">
            <w:pPr>
              <w:pStyle w:val="TablebodyleftTables"/>
              <w:rPr>
                <w:rFonts w:asciiTheme="minorHAnsi" w:hAnsiTheme="minorHAnsi" w:cstheme="minorHAnsi"/>
              </w:rPr>
            </w:pPr>
            <w:r w:rsidRPr="00866546">
              <w:rPr>
                <w:rFonts w:asciiTheme="minorHAnsi" w:hAnsiTheme="minorHAnsi" w:cstheme="minorHAnsi"/>
              </w:rPr>
              <w:t xml:space="preserve">Executives </w:t>
            </w:r>
          </w:p>
        </w:tc>
        <w:tc>
          <w:tcPr>
            <w:tcW w:w="1190" w:type="dxa"/>
          </w:tcPr>
          <w:p w14:paraId="386613A5" w14:textId="77777777" w:rsidR="00B02873" w:rsidRPr="00866546" w:rsidRDefault="00B02873" w:rsidP="00866546">
            <w:pPr>
              <w:pStyle w:val="TablebodyleftTables"/>
              <w:jc w:val="right"/>
              <w:rPr>
                <w:rFonts w:asciiTheme="minorHAnsi" w:hAnsiTheme="minorHAnsi" w:cstheme="minorHAnsi"/>
              </w:rPr>
            </w:pPr>
            <w:r w:rsidRPr="00866546">
              <w:rPr>
                <w:rFonts w:asciiTheme="minorHAnsi" w:hAnsiTheme="minorHAnsi" w:cstheme="minorHAnsi"/>
              </w:rPr>
              <w:t>9</w:t>
            </w:r>
          </w:p>
        </w:tc>
        <w:tc>
          <w:tcPr>
            <w:tcW w:w="1191" w:type="dxa"/>
          </w:tcPr>
          <w:p w14:paraId="3F0C6E0B" w14:textId="77777777" w:rsidR="00B02873" w:rsidRPr="00866546" w:rsidRDefault="00B02873" w:rsidP="00866546">
            <w:pPr>
              <w:pStyle w:val="TablebodyleftTables"/>
              <w:jc w:val="right"/>
              <w:rPr>
                <w:rFonts w:asciiTheme="minorHAnsi" w:hAnsiTheme="minorHAnsi" w:cstheme="minorHAnsi"/>
              </w:rPr>
            </w:pPr>
            <w:r w:rsidRPr="00866546">
              <w:rPr>
                <w:rFonts w:asciiTheme="minorHAnsi" w:hAnsiTheme="minorHAnsi" w:cstheme="minorHAnsi"/>
              </w:rPr>
              <w:t>8</w:t>
            </w:r>
          </w:p>
        </w:tc>
      </w:tr>
      <w:tr w:rsidR="00B02873" w:rsidRPr="00866546" w14:paraId="0E1C1212" w14:textId="77777777" w:rsidTr="00866546">
        <w:trPr>
          <w:trHeight w:val="60"/>
        </w:trPr>
        <w:tc>
          <w:tcPr>
            <w:tcW w:w="7247" w:type="dxa"/>
          </w:tcPr>
          <w:p w14:paraId="55BC4A7E" w14:textId="77777777" w:rsidR="00B02873" w:rsidRPr="00866546" w:rsidRDefault="00B02873" w:rsidP="00866546">
            <w:pPr>
              <w:pStyle w:val="TablebodyleftTables"/>
              <w:rPr>
                <w:rFonts w:asciiTheme="minorHAnsi" w:hAnsiTheme="minorHAnsi" w:cstheme="minorHAnsi"/>
              </w:rPr>
            </w:pPr>
            <w:r w:rsidRPr="00866546">
              <w:rPr>
                <w:rFonts w:asciiTheme="minorHAnsi" w:hAnsiTheme="minorHAnsi" w:cstheme="minorHAnsi"/>
              </w:rPr>
              <w:t>Accountable Officer (CEO)</w:t>
            </w:r>
          </w:p>
        </w:tc>
        <w:tc>
          <w:tcPr>
            <w:tcW w:w="1190" w:type="dxa"/>
          </w:tcPr>
          <w:p w14:paraId="33829F0A" w14:textId="77777777" w:rsidR="00B02873" w:rsidRPr="00866546" w:rsidRDefault="00B02873" w:rsidP="00866546">
            <w:pPr>
              <w:pStyle w:val="TablebodyleftTables"/>
              <w:jc w:val="right"/>
              <w:rPr>
                <w:rFonts w:asciiTheme="minorHAnsi" w:hAnsiTheme="minorHAnsi" w:cstheme="minorHAnsi"/>
              </w:rPr>
            </w:pPr>
            <w:r w:rsidRPr="00866546">
              <w:rPr>
                <w:rFonts w:asciiTheme="minorHAnsi" w:hAnsiTheme="minorHAnsi" w:cstheme="minorHAnsi"/>
              </w:rPr>
              <w:t>0</w:t>
            </w:r>
          </w:p>
        </w:tc>
        <w:tc>
          <w:tcPr>
            <w:tcW w:w="1191" w:type="dxa"/>
          </w:tcPr>
          <w:p w14:paraId="351BFF40" w14:textId="77777777" w:rsidR="00B02873" w:rsidRPr="00866546" w:rsidRDefault="00B02873" w:rsidP="00866546">
            <w:pPr>
              <w:pStyle w:val="TablebodyleftTables"/>
              <w:jc w:val="right"/>
              <w:rPr>
                <w:rFonts w:asciiTheme="minorHAnsi" w:hAnsiTheme="minorHAnsi" w:cstheme="minorHAnsi"/>
              </w:rPr>
            </w:pPr>
            <w:r w:rsidRPr="00866546">
              <w:rPr>
                <w:rFonts w:asciiTheme="minorHAnsi" w:hAnsiTheme="minorHAnsi" w:cstheme="minorHAnsi"/>
              </w:rPr>
              <w:t>0</w:t>
            </w:r>
          </w:p>
        </w:tc>
      </w:tr>
      <w:tr w:rsidR="00B02873" w:rsidRPr="00866546" w14:paraId="74BF3F96" w14:textId="77777777" w:rsidTr="00866546">
        <w:trPr>
          <w:trHeight w:val="60"/>
        </w:trPr>
        <w:tc>
          <w:tcPr>
            <w:tcW w:w="7247" w:type="dxa"/>
          </w:tcPr>
          <w:p w14:paraId="65EDEB84" w14:textId="77777777" w:rsidR="00B02873" w:rsidRPr="00866546" w:rsidRDefault="00B02873" w:rsidP="00866546">
            <w:pPr>
              <w:pStyle w:val="TablebodyleftTables"/>
              <w:rPr>
                <w:rFonts w:asciiTheme="minorHAnsi" w:hAnsiTheme="minorHAnsi" w:cstheme="minorHAnsi"/>
              </w:rPr>
            </w:pPr>
            <w:r w:rsidRPr="00866546">
              <w:rPr>
                <w:rStyle w:val="Bold"/>
                <w:rFonts w:asciiTheme="minorHAnsi" w:hAnsiTheme="minorHAnsi" w:cstheme="minorHAnsi"/>
              </w:rPr>
              <w:t>sub total</w:t>
            </w:r>
          </w:p>
        </w:tc>
        <w:tc>
          <w:tcPr>
            <w:tcW w:w="1190" w:type="dxa"/>
          </w:tcPr>
          <w:p w14:paraId="737122E2" w14:textId="77777777" w:rsidR="00B02873" w:rsidRPr="00866546" w:rsidRDefault="00B02873" w:rsidP="00866546">
            <w:pPr>
              <w:pStyle w:val="TablebodyleftTables"/>
              <w:jc w:val="right"/>
              <w:rPr>
                <w:rFonts w:asciiTheme="minorHAnsi" w:hAnsiTheme="minorHAnsi" w:cstheme="minorHAnsi"/>
              </w:rPr>
            </w:pPr>
            <w:r w:rsidRPr="00866546">
              <w:rPr>
                <w:rStyle w:val="Bold"/>
                <w:rFonts w:asciiTheme="minorHAnsi" w:hAnsiTheme="minorHAnsi" w:cstheme="minorHAnsi"/>
              </w:rPr>
              <w:t>9</w:t>
            </w:r>
          </w:p>
        </w:tc>
        <w:tc>
          <w:tcPr>
            <w:tcW w:w="1191" w:type="dxa"/>
          </w:tcPr>
          <w:p w14:paraId="56542293" w14:textId="77777777" w:rsidR="00B02873" w:rsidRPr="00866546" w:rsidRDefault="00B02873" w:rsidP="00866546">
            <w:pPr>
              <w:pStyle w:val="TablebodyleftTables"/>
              <w:jc w:val="right"/>
              <w:rPr>
                <w:rFonts w:asciiTheme="minorHAnsi" w:hAnsiTheme="minorHAnsi" w:cstheme="minorHAnsi"/>
              </w:rPr>
            </w:pPr>
            <w:r w:rsidRPr="00866546">
              <w:rPr>
                <w:rStyle w:val="Bold"/>
                <w:rFonts w:asciiTheme="minorHAnsi" w:hAnsiTheme="minorHAnsi" w:cstheme="minorHAnsi"/>
              </w:rPr>
              <w:t>8</w:t>
            </w:r>
          </w:p>
        </w:tc>
      </w:tr>
      <w:tr w:rsidR="00B02873" w:rsidRPr="00866546" w14:paraId="387A69B8" w14:textId="77777777" w:rsidTr="00866546">
        <w:trPr>
          <w:trHeight w:val="60"/>
        </w:trPr>
        <w:tc>
          <w:tcPr>
            <w:tcW w:w="7247" w:type="dxa"/>
          </w:tcPr>
          <w:p w14:paraId="67F743B1" w14:textId="77777777" w:rsidR="00B02873" w:rsidRPr="00866546" w:rsidRDefault="00B02873" w:rsidP="00866546">
            <w:pPr>
              <w:pStyle w:val="TablebodyleftTables"/>
              <w:rPr>
                <w:rFonts w:asciiTheme="minorHAnsi" w:hAnsiTheme="minorHAnsi" w:cstheme="minorHAnsi"/>
              </w:rPr>
            </w:pPr>
            <w:r w:rsidRPr="00866546">
              <w:rPr>
                <w:rStyle w:val="BoldItalic"/>
                <w:rFonts w:asciiTheme="minorHAnsi" w:hAnsiTheme="minorHAnsi" w:cstheme="minorHAnsi"/>
              </w:rPr>
              <w:t>Less</w:t>
            </w:r>
          </w:p>
        </w:tc>
        <w:tc>
          <w:tcPr>
            <w:tcW w:w="1190" w:type="dxa"/>
          </w:tcPr>
          <w:p w14:paraId="13ECD437" w14:textId="77777777" w:rsidR="00B02873" w:rsidRPr="00866546" w:rsidRDefault="00B02873" w:rsidP="00866546">
            <w:pPr>
              <w:pStyle w:val="TablebodyleftTables"/>
              <w:jc w:val="right"/>
              <w:rPr>
                <w:rFonts w:asciiTheme="minorHAnsi" w:hAnsiTheme="minorHAnsi" w:cstheme="minorHAnsi"/>
              </w:rPr>
            </w:pPr>
          </w:p>
        </w:tc>
        <w:tc>
          <w:tcPr>
            <w:tcW w:w="1191" w:type="dxa"/>
          </w:tcPr>
          <w:p w14:paraId="7F95FF91" w14:textId="77777777" w:rsidR="00B02873" w:rsidRPr="00866546" w:rsidRDefault="00B02873" w:rsidP="00866546">
            <w:pPr>
              <w:pStyle w:val="TablebodyleftTables"/>
              <w:jc w:val="right"/>
              <w:rPr>
                <w:rFonts w:asciiTheme="minorHAnsi" w:hAnsiTheme="minorHAnsi" w:cstheme="minorHAnsi"/>
              </w:rPr>
            </w:pPr>
          </w:p>
        </w:tc>
      </w:tr>
      <w:tr w:rsidR="00B02873" w:rsidRPr="00866546" w14:paraId="5731B6E4" w14:textId="77777777" w:rsidTr="00866546">
        <w:trPr>
          <w:trHeight w:val="60"/>
        </w:trPr>
        <w:tc>
          <w:tcPr>
            <w:tcW w:w="7247" w:type="dxa"/>
          </w:tcPr>
          <w:p w14:paraId="4B367E0D" w14:textId="77777777" w:rsidR="00B02873" w:rsidRPr="00866546" w:rsidRDefault="00B02873" w:rsidP="00866546">
            <w:pPr>
              <w:pStyle w:val="TablebodyleftTables"/>
              <w:rPr>
                <w:rFonts w:asciiTheme="minorHAnsi" w:hAnsiTheme="minorHAnsi" w:cstheme="minorHAnsi"/>
              </w:rPr>
            </w:pPr>
            <w:r w:rsidRPr="00866546">
              <w:rPr>
                <w:rFonts w:asciiTheme="minorHAnsi" w:hAnsiTheme="minorHAnsi" w:cstheme="minorHAnsi"/>
              </w:rPr>
              <w:t>Separations</w:t>
            </w:r>
          </w:p>
        </w:tc>
        <w:tc>
          <w:tcPr>
            <w:tcW w:w="1190" w:type="dxa"/>
          </w:tcPr>
          <w:p w14:paraId="048E9A22" w14:textId="77777777" w:rsidR="00B02873" w:rsidRPr="00866546" w:rsidRDefault="00B02873" w:rsidP="00866546">
            <w:pPr>
              <w:pStyle w:val="TablebodyleftTables"/>
              <w:jc w:val="right"/>
              <w:rPr>
                <w:rFonts w:asciiTheme="minorHAnsi" w:hAnsiTheme="minorHAnsi" w:cstheme="minorHAnsi"/>
              </w:rPr>
            </w:pPr>
            <w:r w:rsidRPr="00866546">
              <w:rPr>
                <w:rFonts w:asciiTheme="minorHAnsi" w:hAnsiTheme="minorHAnsi" w:cstheme="minorHAnsi"/>
              </w:rPr>
              <w:t>(1)</w:t>
            </w:r>
          </w:p>
        </w:tc>
        <w:tc>
          <w:tcPr>
            <w:tcW w:w="1191" w:type="dxa"/>
          </w:tcPr>
          <w:p w14:paraId="6DBBC2EC" w14:textId="77777777" w:rsidR="00B02873" w:rsidRPr="00866546" w:rsidRDefault="00B02873" w:rsidP="00866546">
            <w:pPr>
              <w:pStyle w:val="TablebodyleftTables"/>
              <w:jc w:val="right"/>
              <w:rPr>
                <w:rFonts w:asciiTheme="minorHAnsi" w:hAnsiTheme="minorHAnsi" w:cstheme="minorHAnsi"/>
              </w:rPr>
            </w:pPr>
            <w:r w:rsidRPr="00866546">
              <w:rPr>
                <w:rFonts w:asciiTheme="minorHAnsi" w:hAnsiTheme="minorHAnsi" w:cstheme="minorHAnsi"/>
              </w:rPr>
              <w:t>0</w:t>
            </w:r>
          </w:p>
        </w:tc>
      </w:tr>
      <w:tr w:rsidR="00B02873" w:rsidRPr="00866546" w14:paraId="6F6CC863" w14:textId="77777777" w:rsidTr="00866546">
        <w:trPr>
          <w:trHeight w:val="60"/>
        </w:trPr>
        <w:tc>
          <w:tcPr>
            <w:tcW w:w="7247" w:type="dxa"/>
          </w:tcPr>
          <w:p w14:paraId="29423D0B" w14:textId="77777777" w:rsidR="00B02873" w:rsidRPr="00866546" w:rsidRDefault="00B02873" w:rsidP="00866546">
            <w:pPr>
              <w:pStyle w:val="TablebodyleftTables"/>
              <w:rPr>
                <w:rFonts w:asciiTheme="minorHAnsi" w:hAnsiTheme="minorHAnsi" w:cstheme="minorHAnsi"/>
              </w:rPr>
            </w:pPr>
            <w:r w:rsidRPr="00866546">
              <w:rPr>
                <w:rFonts w:asciiTheme="minorHAnsi" w:hAnsiTheme="minorHAnsi" w:cstheme="minorHAnsi"/>
              </w:rPr>
              <w:t>Leave without pay</w:t>
            </w:r>
          </w:p>
        </w:tc>
        <w:tc>
          <w:tcPr>
            <w:tcW w:w="1190" w:type="dxa"/>
          </w:tcPr>
          <w:p w14:paraId="6D2C9E45" w14:textId="77777777" w:rsidR="00B02873" w:rsidRPr="00866546" w:rsidRDefault="00B02873" w:rsidP="00866546">
            <w:pPr>
              <w:pStyle w:val="TablebodyleftTables"/>
              <w:jc w:val="right"/>
              <w:rPr>
                <w:rFonts w:asciiTheme="minorHAnsi" w:hAnsiTheme="minorHAnsi" w:cstheme="minorHAnsi"/>
              </w:rPr>
            </w:pPr>
            <w:r w:rsidRPr="00866546">
              <w:rPr>
                <w:rFonts w:asciiTheme="minorHAnsi" w:hAnsiTheme="minorHAnsi" w:cstheme="minorHAnsi"/>
              </w:rPr>
              <w:t>0</w:t>
            </w:r>
          </w:p>
        </w:tc>
        <w:tc>
          <w:tcPr>
            <w:tcW w:w="1191" w:type="dxa"/>
          </w:tcPr>
          <w:p w14:paraId="63C09DA6" w14:textId="77777777" w:rsidR="00B02873" w:rsidRPr="00866546" w:rsidRDefault="00B02873" w:rsidP="00866546">
            <w:pPr>
              <w:pStyle w:val="TablebodyleftTables"/>
              <w:jc w:val="right"/>
              <w:rPr>
                <w:rFonts w:asciiTheme="minorHAnsi" w:hAnsiTheme="minorHAnsi" w:cstheme="minorHAnsi"/>
              </w:rPr>
            </w:pPr>
            <w:r w:rsidRPr="00866546">
              <w:rPr>
                <w:rFonts w:asciiTheme="minorHAnsi" w:hAnsiTheme="minorHAnsi" w:cstheme="minorHAnsi"/>
              </w:rPr>
              <w:t>0</w:t>
            </w:r>
          </w:p>
        </w:tc>
      </w:tr>
      <w:tr w:rsidR="00B02873" w:rsidRPr="00866546" w14:paraId="19BE66BD" w14:textId="77777777" w:rsidTr="00866546">
        <w:trPr>
          <w:trHeight w:val="60"/>
        </w:trPr>
        <w:tc>
          <w:tcPr>
            <w:tcW w:w="7247" w:type="dxa"/>
          </w:tcPr>
          <w:p w14:paraId="3B506B10" w14:textId="77777777" w:rsidR="00B02873" w:rsidRPr="00866546" w:rsidRDefault="00B02873" w:rsidP="00866546">
            <w:pPr>
              <w:pStyle w:val="TablebodyleftTables"/>
              <w:rPr>
                <w:rFonts w:asciiTheme="minorHAnsi" w:hAnsiTheme="minorHAnsi" w:cstheme="minorHAnsi"/>
              </w:rPr>
            </w:pPr>
            <w:r w:rsidRPr="00866546">
              <w:rPr>
                <w:rStyle w:val="Bold"/>
                <w:rFonts w:asciiTheme="minorHAnsi" w:hAnsiTheme="minorHAnsi" w:cstheme="minorHAnsi"/>
              </w:rPr>
              <w:t>sub total</w:t>
            </w:r>
          </w:p>
        </w:tc>
        <w:tc>
          <w:tcPr>
            <w:tcW w:w="1190" w:type="dxa"/>
          </w:tcPr>
          <w:p w14:paraId="17280A46" w14:textId="77777777" w:rsidR="00B02873" w:rsidRPr="00866546" w:rsidRDefault="00B02873" w:rsidP="00866546">
            <w:pPr>
              <w:pStyle w:val="TablebodyleftTables"/>
              <w:jc w:val="right"/>
              <w:rPr>
                <w:rFonts w:asciiTheme="minorHAnsi" w:hAnsiTheme="minorHAnsi" w:cstheme="minorHAnsi"/>
              </w:rPr>
            </w:pPr>
            <w:r w:rsidRPr="00866546">
              <w:rPr>
                <w:rStyle w:val="Bold"/>
                <w:rFonts w:asciiTheme="minorHAnsi" w:hAnsiTheme="minorHAnsi" w:cstheme="minorHAnsi"/>
              </w:rPr>
              <w:t>0</w:t>
            </w:r>
          </w:p>
        </w:tc>
        <w:tc>
          <w:tcPr>
            <w:tcW w:w="1191" w:type="dxa"/>
          </w:tcPr>
          <w:p w14:paraId="761EE183" w14:textId="77777777" w:rsidR="00B02873" w:rsidRPr="00866546" w:rsidRDefault="00B02873" w:rsidP="00866546">
            <w:pPr>
              <w:pStyle w:val="TablebodyleftTables"/>
              <w:jc w:val="right"/>
              <w:rPr>
                <w:rFonts w:asciiTheme="minorHAnsi" w:hAnsiTheme="minorHAnsi" w:cstheme="minorHAnsi"/>
              </w:rPr>
            </w:pPr>
            <w:r w:rsidRPr="00866546">
              <w:rPr>
                <w:rStyle w:val="Bold"/>
                <w:rFonts w:asciiTheme="minorHAnsi" w:hAnsiTheme="minorHAnsi" w:cstheme="minorHAnsi"/>
              </w:rPr>
              <w:t>0</w:t>
            </w:r>
          </w:p>
        </w:tc>
      </w:tr>
      <w:tr w:rsidR="00B02873" w:rsidRPr="00866546" w14:paraId="45A8DCD2" w14:textId="77777777" w:rsidTr="00866546">
        <w:trPr>
          <w:trHeight w:val="60"/>
        </w:trPr>
        <w:tc>
          <w:tcPr>
            <w:tcW w:w="7247" w:type="dxa"/>
          </w:tcPr>
          <w:p w14:paraId="387815C9" w14:textId="77777777" w:rsidR="00B02873" w:rsidRPr="00866546" w:rsidRDefault="00B02873" w:rsidP="00866546">
            <w:pPr>
              <w:pStyle w:val="TablebodyleftTables"/>
              <w:rPr>
                <w:rFonts w:asciiTheme="minorHAnsi" w:hAnsiTheme="minorHAnsi" w:cstheme="minorHAnsi"/>
                <w:b/>
                <w:bCs/>
              </w:rPr>
            </w:pPr>
            <w:r w:rsidRPr="00866546">
              <w:rPr>
                <w:rFonts w:asciiTheme="minorHAnsi" w:hAnsiTheme="minorHAnsi" w:cstheme="minorHAnsi"/>
                <w:b/>
                <w:bCs/>
              </w:rPr>
              <w:t>Total executive numbers at 30 June</w:t>
            </w:r>
          </w:p>
        </w:tc>
        <w:tc>
          <w:tcPr>
            <w:tcW w:w="1190" w:type="dxa"/>
          </w:tcPr>
          <w:p w14:paraId="71E8918A" w14:textId="77777777" w:rsidR="00B02873" w:rsidRPr="00866546" w:rsidRDefault="00B02873" w:rsidP="00866546">
            <w:pPr>
              <w:pStyle w:val="TablebodyleftTables"/>
              <w:jc w:val="right"/>
              <w:rPr>
                <w:rFonts w:asciiTheme="minorHAnsi" w:hAnsiTheme="minorHAnsi" w:cstheme="minorHAnsi"/>
                <w:b/>
                <w:bCs/>
              </w:rPr>
            </w:pPr>
            <w:r w:rsidRPr="00866546">
              <w:rPr>
                <w:rFonts w:asciiTheme="minorHAnsi" w:hAnsiTheme="minorHAnsi" w:cstheme="minorHAnsi"/>
                <w:b/>
                <w:bCs/>
              </w:rPr>
              <w:t>8</w:t>
            </w:r>
          </w:p>
        </w:tc>
        <w:tc>
          <w:tcPr>
            <w:tcW w:w="1191" w:type="dxa"/>
          </w:tcPr>
          <w:p w14:paraId="02244CF4" w14:textId="77777777" w:rsidR="00B02873" w:rsidRPr="00866546" w:rsidRDefault="00B02873" w:rsidP="00866546">
            <w:pPr>
              <w:pStyle w:val="TablebodyleftTables"/>
              <w:jc w:val="right"/>
              <w:rPr>
                <w:rFonts w:asciiTheme="minorHAnsi" w:hAnsiTheme="minorHAnsi" w:cstheme="minorHAnsi"/>
                <w:b/>
                <w:bCs/>
              </w:rPr>
            </w:pPr>
            <w:r w:rsidRPr="00866546">
              <w:rPr>
                <w:rFonts w:asciiTheme="minorHAnsi" w:hAnsiTheme="minorHAnsi" w:cstheme="minorHAnsi"/>
                <w:b/>
                <w:bCs/>
              </w:rPr>
              <w:t>8</w:t>
            </w:r>
          </w:p>
        </w:tc>
      </w:tr>
    </w:tbl>
    <w:p w14:paraId="7A2C3642" w14:textId="77777777" w:rsidR="00B02873" w:rsidRDefault="00B02873" w:rsidP="00FE198A"/>
    <w:p w14:paraId="0D2A8E3F" w14:textId="77777777" w:rsidR="00B02873" w:rsidRDefault="00B02873" w:rsidP="007E64A0">
      <w:pPr>
        <w:pStyle w:val="Heading3"/>
      </w:pPr>
      <w:r>
        <w:lastRenderedPageBreak/>
        <w:t xml:space="preserve">Number of SES for the department’s portfolio agencies </w:t>
      </w:r>
    </w:p>
    <w:tbl>
      <w:tblPr>
        <w:tblStyle w:val="TableGrid"/>
        <w:tblW w:w="10075" w:type="dxa"/>
        <w:tblLayout w:type="fixed"/>
        <w:tblLook w:val="0020" w:firstRow="1" w:lastRow="0" w:firstColumn="0" w:lastColumn="0" w:noHBand="0" w:noVBand="0"/>
      </w:tblPr>
      <w:tblGrid>
        <w:gridCol w:w="3681"/>
        <w:gridCol w:w="623"/>
        <w:gridCol w:w="624"/>
        <w:gridCol w:w="846"/>
        <w:gridCol w:w="855"/>
        <w:gridCol w:w="624"/>
        <w:gridCol w:w="624"/>
        <w:gridCol w:w="1123"/>
        <w:gridCol w:w="1075"/>
      </w:tblGrid>
      <w:tr w:rsidR="00B02873" w:rsidRPr="00821AC8" w14:paraId="21AC769D" w14:textId="77777777" w:rsidTr="00821AC8">
        <w:trPr>
          <w:cnfStyle w:val="100000000000" w:firstRow="1" w:lastRow="0" w:firstColumn="0" w:lastColumn="0" w:oddVBand="0" w:evenVBand="0" w:oddHBand="0" w:evenHBand="0" w:firstRowFirstColumn="0" w:firstRowLastColumn="0" w:lastRowFirstColumn="0" w:lastRowLastColumn="0"/>
          <w:tblHeader/>
        </w:trPr>
        <w:tc>
          <w:tcPr>
            <w:tcW w:w="3681" w:type="dxa"/>
          </w:tcPr>
          <w:p w14:paraId="39C11E14" w14:textId="77777777" w:rsidR="00B02873" w:rsidRPr="00821AC8" w:rsidRDefault="00B02873" w:rsidP="00FA624C">
            <w:pPr>
              <w:pStyle w:val="TableheadingleftTables"/>
              <w:spacing w:before="20" w:after="20"/>
              <w:rPr>
                <w:rFonts w:asciiTheme="minorHAnsi" w:hAnsiTheme="minorHAnsi" w:cstheme="minorHAnsi"/>
                <w:sz w:val="20"/>
                <w:szCs w:val="16"/>
              </w:rPr>
            </w:pPr>
            <w:r w:rsidRPr="00821AC8">
              <w:rPr>
                <w:rFonts w:asciiTheme="minorHAnsi" w:hAnsiTheme="minorHAnsi" w:cstheme="minorHAnsi"/>
                <w:sz w:val="20"/>
                <w:szCs w:val="16"/>
              </w:rPr>
              <w:t>Organisation Name</w:t>
            </w:r>
          </w:p>
        </w:tc>
        <w:tc>
          <w:tcPr>
            <w:tcW w:w="623" w:type="dxa"/>
          </w:tcPr>
          <w:p w14:paraId="40ABB00B" w14:textId="094A51CD" w:rsidR="00B02873" w:rsidRPr="00821AC8" w:rsidRDefault="00821AC8" w:rsidP="00FA624C">
            <w:pPr>
              <w:pStyle w:val="TableheadingleftTables"/>
              <w:spacing w:before="20" w:after="20"/>
              <w:jc w:val="right"/>
              <w:rPr>
                <w:rFonts w:asciiTheme="minorHAnsi" w:hAnsiTheme="minorHAnsi" w:cstheme="minorHAnsi"/>
                <w:sz w:val="20"/>
                <w:szCs w:val="16"/>
              </w:rPr>
            </w:pPr>
            <w:r w:rsidRPr="00821AC8">
              <w:rPr>
                <w:rFonts w:asciiTheme="minorHAnsi" w:hAnsiTheme="minorHAnsi" w:cstheme="minorHAnsi"/>
                <w:sz w:val="20"/>
                <w:szCs w:val="16"/>
              </w:rPr>
              <w:t xml:space="preserve">All </w:t>
            </w:r>
            <w:r w:rsidR="00B02873" w:rsidRPr="00821AC8">
              <w:rPr>
                <w:rFonts w:asciiTheme="minorHAnsi" w:hAnsiTheme="minorHAnsi" w:cstheme="minorHAnsi"/>
                <w:sz w:val="20"/>
                <w:szCs w:val="16"/>
              </w:rPr>
              <w:t>No</w:t>
            </w:r>
          </w:p>
        </w:tc>
        <w:tc>
          <w:tcPr>
            <w:tcW w:w="624" w:type="dxa"/>
          </w:tcPr>
          <w:p w14:paraId="158D7A7A" w14:textId="3C436CA2" w:rsidR="00B02873" w:rsidRPr="00821AC8" w:rsidRDefault="00821AC8" w:rsidP="00FA624C">
            <w:pPr>
              <w:pStyle w:val="TableheadingleftTables"/>
              <w:spacing w:before="20" w:after="20"/>
              <w:jc w:val="right"/>
              <w:rPr>
                <w:rFonts w:asciiTheme="minorHAnsi" w:hAnsiTheme="minorHAnsi" w:cstheme="minorHAnsi"/>
                <w:sz w:val="20"/>
                <w:szCs w:val="16"/>
              </w:rPr>
            </w:pPr>
            <w:r w:rsidRPr="00821AC8">
              <w:rPr>
                <w:rFonts w:asciiTheme="minorHAnsi" w:hAnsiTheme="minorHAnsi" w:cstheme="minorHAnsi"/>
                <w:sz w:val="20"/>
                <w:szCs w:val="16"/>
              </w:rPr>
              <w:t xml:space="preserve">All </w:t>
            </w:r>
            <w:r w:rsidR="00B02873" w:rsidRPr="00821AC8">
              <w:rPr>
                <w:rFonts w:asciiTheme="minorHAnsi" w:hAnsiTheme="minorHAnsi" w:cstheme="minorHAnsi"/>
                <w:sz w:val="20"/>
                <w:szCs w:val="16"/>
              </w:rPr>
              <w:t>Var</w:t>
            </w:r>
          </w:p>
        </w:tc>
        <w:tc>
          <w:tcPr>
            <w:tcW w:w="846" w:type="dxa"/>
          </w:tcPr>
          <w:p w14:paraId="6FA0640C" w14:textId="109A8039" w:rsidR="00B02873" w:rsidRPr="00821AC8" w:rsidRDefault="00821AC8" w:rsidP="00FA624C">
            <w:pPr>
              <w:pStyle w:val="TableheadingleftTables"/>
              <w:spacing w:before="20" w:after="20"/>
              <w:jc w:val="right"/>
              <w:rPr>
                <w:rFonts w:asciiTheme="minorHAnsi" w:hAnsiTheme="minorHAnsi" w:cstheme="minorHAnsi"/>
                <w:sz w:val="20"/>
                <w:szCs w:val="16"/>
              </w:rPr>
            </w:pPr>
            <w:r w:rsidRPr="00821AC8">
              <w:rPr>
                <w:rFonts w:asciiTheme="minorHAnsi" w:hAnsiTheme="minorHAnsi" w:cstheme="minorHAnsi"/>
                <w:sz w:val="20"/>
                <w:szCs w:val="16"/>
              </w:rPr>
              <w:t xml:space="preserve">Women </w:t>
            </w:r>
            <w:r w:rsidR="00B02873" w:rsidRPr="00821AC8">
              <w:rPr>
                <w:rFonts w:asciiTheme="minorHAnsi" w:hAnsiTheme="minorHAnsi" w:cstheme="minorHAnsi"/>
                <w:sz w:val="20"/>
                <w:szCs w:val="16"/>
              </w:rPr>
              <w:t>No</w:t>
            </w:r>
          </w:p>
        </w:tc>
        <w:tc>
          <w:tcPr>
            <w:tcW w:w="855" w:type="dxa"/>
          </w:tcPr>
          <w:p w14:paraId="772B165E" w14:textId="105E49B5" w:rsidR="00B02873" w:rsidRPr="00821AC8" w:rsidRDefault="00821AC8" w:rsidP="00FA624C">
            <w:pPr>
              <w:pStyle w:val="TableheadingleftTables"/>
              <w:spacing w:before="20" w:after="20"/>
              <w:jc w:val="right"/>
              <w:rPr>
                <w:rFonts w:asciiTheme="minorHAnsi" w:hAnsiTheme="minorHAnsi" w:cstheme="minorHAnsi"/>
                <w:sz w:val="20"/>
                <w:szCs w:val="16"/>
              </w:rPr>
            </w:pPr>
            <w:r w:rsidRPr="00821AC8">
              <w:rPr>
                <w:rFonts w:asciiTheme="minorHAnsi" w:hAnsiTheme="minorHAnsi" w:cstheme="minorHAnsi"/>
                <w:sz w:val="20"/>
                <w:szCs w:val="16"/>
              </w:rPr>
              <w:t xml:space="preserve">Women </w:t>
            </w:r>
            <w:r w:rsidR="00B02873" w:rsidRPr="00821AC8">
              <w:rPr>
                <w:rFonts w:asciiTheme="minorHAnsi" w:hAnsiTheme="minorHAnsi" w:cstheme="minorHAnsi"/>
                <w:sz w:val="20"/>
                <w:szCs w:val="16"/>
              </w:rPr>
              <w:t>Var</w:t>
            </w:r>
          </w:p>
        </w:tc>
        <w:tc>
          <w:tcPr>
            <w:tcW w:w="624" w:type="dxa"/>
          </w:tcPr>
          <w:p w14:paraId="4B0617A6" w14:textId="6BEFCC96" w:rsidR="00B02873" w:rsidRPr="00821AC8" w:rsidRDefault="00821AC8" w:rsidP="00FA624C">
            <w:pPr>
              <w:pStyle w:val="TableheadingleftTables"/>
              <w:spacing w:before="20" w:after="20"/>
              <w:jc w:val="right"/>
              <w:rPr>
                <w:rFonts w:asciiTheme="minorHAnsi" w:hAnsiTheme="minorHAnsi" w:cstheme="minorHAnsi"/>
                <w:sz w:val="20"/>
                <w:szCs w:val="16"/>
              </w:rPr>
            </w:pPr>
            <w:r w:rsidRPr="00821AC8">
              <w:rPr>
                <w:rFonts w:asciiTheme="minorHAnsi" w:hAnsiTheme="minorHAnsi" w:cstheme="minorHAnsi"/>
                <w:sz w:val="20"/>
                <w:szCs w:val="16"/>
              </w:rPr>
              <w:t xml:space="preserve">Men </w:t>
            </w:r>
            <w:r w:rsidR="00B02873" w:rsidRPr="00821AC8">
              <w:rPr>
                <w:rFonts w:asciiTheme="minorHAnsi" w:hAnsiTheme="minorHAnsi" w:cstheme="minorHAnsi"/>
                <w:sz w:val="20"/>
                <w:szCs w:val="16"/>
              </w:rPr>
              <w:t>No</w:t>
            </w:r>
          </w:p>
        </w:tc>
        <w:tc>
          <w:tcPr>
            <w:tcW w:w="624" w:type="dxa"/>
          </w:tcPr>
          <w:p w14:paraId="43C60CC0" w14:textId="5CDAA369" w:rsidR="00B02873" w:rsidRPr="00821AC8" w:rsidRDefault="00821AC8" w:rsidP="00FA624C">
            <w:pPr>
              <w:pStyle w:val="TableheadingleftTables"/>
              <w:spacing w:before="20" w:after="20"/>
              <w:jc w:val="right"/>
              <w:rPr>
                <w:rFonts w:asciiTheme="minorHAnsi" w:hAnsiTheme="minorHAnsi" w:cstheme="minorHAnsi"/>
                <w:sz w:val="20"/>
                <w:szCs w:val="16"/>
              </w:rPr>
            </w:pPr>
            <w:r w:rsidRPr="00821AC8">
              <w:rPr>
                <w:rFonts w:asciiTheme="minorHAnsi" w:hAnsiTheme="minorHAnsi" w:cstheme="minorHAnsi"/>
                <w:sz w:val="20"/>
                <w:szCs w:val="16"/>
              </w:rPr>
              <w:t xml:space="preserve">Men </w:t>
            </w:r>
            <w:r w:rsidR="00B02873" w:rsidRPr="00821AC8">
              <w:rPr>
                <w:rFonts w:asciiTheme="minorHAnsi" w:hAnsiTheme="minorHAnsi" w:cstheme="minorHAnsi"/>
                <w:sz w:val="20"/>
                <w:szCs w:val="16"/>
              </w:rPr>
              <w:t>Var</w:t>
            </w:r>
          </w:p>
        </w:tc>
        <w:tc>
          <w:tcPr>
            <w:tcW w:w="1123" w:type="dxa"/>
          </w:tcPr>
          <w:p w14:paraId="1FE40C9A" w14:textId="170F7B15" w:rsidR="00B02873" w:rsidRPr="00821AC8" w:rsidRDefault="00821AC8" w:rsidP="00FA624C">
            <w:pPr>
              <w:pStyle w:val="TableheadingleftTables"/>
              <w:spacing w:before="20" w:after="20"/>
              <w:jc w:val="right"/>
              <w:rPr>
                <w:rFonts w:asciiTheme="minorHAnsi" w:hAnsiTheme="minorHAnsi" w:cstheme="minorHAnsi"/>
                <w:sz w:val="20"/>
                <w:szCs w:val="16"/>
              </w:rPr>
            </w:pPr>
            <w:r w:rsidRPr="00821AC8">
              <w:rPr>
                <w:rFonts w:asciiTheme="minorHAnsi" w:hAnsiTheme="minorHAnsi" w:cstheme="minorHAnsi"/>
                <w:sz w:val="20"/>
                <w:szCs w:val="16"/>
              </w:rPr>
              <w:t xml:space="preserve">Self described </w:t>
            </w:r>
            <w:r w:rsidR="00B02873" w:rsidRPr="00821AC8">
              <w:rPr>
                <w:rFonts w:asciiTheme="minorHAnsi" w:hAnsiTheme="minorHAnsi" w:cstheme="minorHAnsi"/>
                <w:sz w:val="20"/>
                <w:szCs w:val="16"/>
              </w:rPr>
              <w:t>No</w:t>
            </w:r>
          </w:p>
        </w:tc>
        <w:tc>
          <w:tcPr>
            <w:tcW w:w="1075" w:type="dxa"/>
          </w:tcPr>
          <w:p w14:paraId="0AC4242D" w14:textId="54D149DB" w:rsidR="00B02873" w:rsidRPr="00821AC8" w:rsidRDefault="00821AC8" w:rsidP="00FA624C">
            <w:pPr>
              <w:pStyle w:val="TableheadingleftTables"/>
              <w:spacing w:before="20" w:after="20"/>
              <w:jc w:val="right"/>
              <w:rPr>
                <w:rFonts w:asciiTheme="minorHAnsi" w:hAnsiTheme="minorHAnsi" w:cstheme="minorHAnsi"/>
                <w:sz w:val="20"/>
                <w:szCs w:val="16"/>
              </w:rPr>
            </w:pPr>
            <w:r w:rsidRPr="00821AC8">
              <w:rPr>
                <w:rFonts w:asciiTheme="minorHAnsi" w:hAnsiTheme="minorHAnsi" w:cstheme="minorHAnsi"/>
                <w:sz w:val="20"/>
                <w:szCs w:val="16"/>
              </w:rPr>
              <w:t xml:space="preserve">Self described </w:t>
            </w:r>
            <w:r w:rsidR="00B02873" w:rsidRPr="00821AC8">
              <w:rPr>
                <w:rFonts w:asciiTheme="minorHAnsi" w:hAnsiTheme="minorHAnsi" w:cstheme="minorHAnsi"/>
                <w:sz w:val="20"/>
                <w:szCs w:val="16"/>
              </w:rPr>
              <w:t>Var</w:t>
            </w:r>
          </w:p>
        </w:tc>
      </w:tr>
      <w:tr w:rsidR="00B02873" w:rsidRPr="00821AC8" w14:paraId="3A1D3D0E" w14:textId="77777777" w:rsidTr="00821AC8">
        <w:tc>
          <w:tcPr>
            <w:tcW w:w="3681" w:type="dxa"/>
          </w:tcPr>
          <w:p w14:paraId="704F3B93" w14:textId="77777777" w:rsidR="00B02873" w:rsidRPr="00821AC8" w:rsidRDefault="00B02873" w:rsidP="00FA624C">
            <w:pPr>
              <w:pStyle w:val="TablebodyleftTables"/>
              <w:spacing w:before="20" w:after="20"/>
              <w:rPr>
                <w:rFonts w:asciiTheme="minorHAnsi" w:hAnsiTheme="minorHAnsi" w:cstheme="minorHAnsi"/>
                <w:sz w:val="20"/>
              </w:rPr>
            </w:pPr>
            <w:r w:rsidRPr="00821AC8">
              <w:rPr>
                <w:rFonts w:asciiTheme="minorHAnsi" w:hAnsiTheme="minorHAnsi" w:cstheme="minorHAnsi"/>
                <w:sz w:val="20"/>
              </w:rPr>
              <w:t>Architects Registration Board of Victoria</w:t>
            </w:r>
          </w:p>
        </w:tc>
        <w:tc>
          <w:tcPr>
            <w:tcW w:w="623" w:type="dxa"/>
          </w:tcPr>
          <w:p w14:paraId="2AAD6EBD"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w:t>
            </w:r>
          </w:p>
        </w:tc>
        <w:tc>
          <w:tcPr>
            <w:tcW w:w="624" w:type="dxa"/>
          </w:tcPr>
          <w:p w14:paraId="5A7E17B5"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846" w:type="dxa"/>
          </w:tcPr>
          <w:p w14:paraId="32606CCC"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w:t>
            </w:r>
          </w:p>
        </w:tc>
        <w:tc>
          <w:tcPr>
            <w:tcW w:w="855" w:type="dxa"/>
          </w:tcPr>
          <w:p w14:paraId="383A931E"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624" w:type="dxa"/>
          </w:tcPr>
          <w:p w14:paraId="3A2ACAE7"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624" w:type="dxa"/>
          </w:tcPr>
          <w:p w14:paraId="16B6D411"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1123" w:type="dxa"/>
          </w:tcPr>
          <w:p w14:paraId="7EF242F9"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1075" w:type="dxa"/>
          </w:tcPr>
          <w:p w14:paraId="2F005081"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r>
      <w:tr w:rsidR="00B02873" w:rsidRPr="00821AC8" w14:paraId="7D9D3887" w14:textId="77777777" w:rsidTr="00821AC8">
        <w:tc>
          <w:tcPr>
            <w:tcW w:w="3681" w:type="dxa"/>
          </w:tcPr>
          <w:p w14:paraId="0EBC13E9" w14:textId="77777777" w:rsidR="00B02873" w:rsidRPr="00821AC8" w:rsidRDefault="00B02873" w:rsidP="00FA624C">
            <w:pPr>
              <w:pStyle w:val="TablebodyleftTables"/>
              <w:spacing w:before="20" w:after="20"/>
              <w:rPr>
                <w:rFonts w:asciiTheme="minorHAnsi" w:hAnsiTheme="minorHAnsi" w:cstheme="minorHAnsi"/>
                <w:sz w:val="20"/>
              </w:rPr>
            </w:pPr>
            <w:r w:rsidRPr="00821AC8">
              <w:rPr>
                <w:rFonts w:asciiTheme="minorHAnsi" w:hAnsiTheme="minorHAnsi" w:cstheme="minorHAnsi"/>
                <w:sz w:val="20"/>
              </w:rPr>
              <w:t>Barwon Asset Solutions Pty Ltd</w:t>
            </w:r>
          </w:p>
        </w:tc>
        <w:tc>
          <w:tcPr>
            <w:tcW w:w="623" w:type="dxa"/>
          </w:tcPr>
          <w:p w14:paraId="6054929B"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w:t>
            </w:r>
          </w:p>
        </w:tc>
        <w:tc>
          <w:tcPr>
            <w:tcW w:w="624" w:type="dxa"/>
          </w:tcPr>
          <w:p w14:paraId="278930A8"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846" w:type="dxa"/>
          </w:tcPr>
          <w:p w14:paraId="551C6988"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855" w:type="dxa"/>
          </w:tcPr>
          <w:p w14:paraId="3E0971B4"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624" w:type="dxa"/>
          </w:tcPr>
          <w:p w14:paraId="0B5BE46E"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w:t>
            </w:r>
          </w:p>
        </w:tc>
        <w:tc>
          <w:tcPr>
            <w:tcW w:w="624" w:type="dxa"/>
          </w:tcPr>
          <w:p w14:paraId="5F5701DD"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1123" w:type="dxa"/>
          </w:tcPr>
          <w:p w14:paraId="27EF5414"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1075" w:type="dxa"/>
          </w:tcPr>
          <w:p w14:paraId="2379401C"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r>
      <w:tr w:rsidR="00B02873" w:rsidRPr="00821AC8" w14:paraId="58A9B711" w14:textId="77777777" w:rsidTr="00821AC8">
        <w:tc>
          <w:tcPr>
            <w:tcW w:w="3681" w:type="dxa"/>
          </w:tcPr>
          <w:p w14:paraId="138E8264" w14:textId="77777777" w:rsidR="00B02873" w:rsidRPr="00821AC8" w:rsidRDefault="00B02873" w:rsidP="00FA624C">
            <w:pPr>
              <w:pStyle w:val="TablebodyleftTables"/>
              <w:spacing w:before="20" w:after="20"/>
              <w:rPr>
                <w:rFonts w:asciiTheme="minorHAnsi" w:hAnsiTheme="minorHAnsi" w:cstheme="minorHAnsi"/>
                <w:sz w:val="20"/>
              </w:rPr>
            </w:pPr>
            <w:r w:rsidRPr="00821AC8">
              <w:rPr>
                <w:rFonts w:asciiTheme="minorHAnsi" w:hAnsiTheme="minorHAnsi" w:cstheme="minorHAnsi"/>
                <w:sz w:val="20"/>
              </w:rPr>
              <w:t>Barwon Coast Committee of Management</w:t>
            </w:r>
          </w:p>
        </w:tc>
        <w:tc>
          <w:tcPr>
            <w:tcW w:w="623" w:type="dxa"/>
          </w:tcPr>
          <w:p w14:paraId="5D2CE6CE"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w:t>
            </w:r>
          </w:p>
        </w:tc>
        <w:tc>
          <w:tcPr>
            <w:tcW w:w="624" w:type="dxa"/>
          </w:tcPr>
          <w:p w14:paraId="1E9F5AAF"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846" w:type="dxa"/>
          </w:tcPr>
          <w:p w14:paraId="6266A9FD"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855" w:type="dxa"/>
          </w:tcPr>
          <w:p w14:paraId="17943484"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624" w:type="dxa"/>
          </w:tcPr>
          <w:p w14:paraId="2BAF6B1F"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w:t>
            </w:r>
          </w:p>
        </w:tc>
        <w:tc>
          <w:tcPr>
            <w:tcW w:w="624" w:type="dxa"/>
          </w:tcPr>
          <w:p w14:paraId="03AD3C76"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1123" w:type="dxa"/>
          </w:tcPr>
          <w:p w14:paraId="27F53730"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1075" w:type="dxa"/>
          </w:tcPr>
          <w:p w14:paraId="0552E862"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r>
      <w:tr w:rsidR="00B02873" w:rsidRPr="00821AC8" w14:paraId="41788284" w14:textId="77777777" w:rsidTr="00821AC8">
        <w:tc>
          <w:tcPr>
            <w:tcW w:w="3681" w:type="dxa"/>
          </w:tcPr>
          <w:p w14:paraId="01E0DB40" w14:textId="77777777" w:rsidR="00B02873" w:rsidRPr="00821AC8" w:rsidRDefault="00B02873" w:rsidP="00FA624C">
            <w:pPr>
              <w:pStyle w:val="TablebodyleftTables"/>
              <w:spacing w:before="20" w:after="20"/>
              <w:rPr>
                <w:rFonts w:asciiTheme="minorHAnsi" w:hAnsiTheme="minorHAnsi" w:cstheme="minorHAnsi"/>
                <w:sz w:val="20"/>
              </w:rPr>
            </w:pPr>
            <w:r w:rsidRPr="00821AC8">
              <w:rPr>
                <w:rFonts w:asciiTheme="minorHAnsi" w:hAnsiTheme="minorHAnsi" w:cstheme="minorHAnsi"/>
                <w:sz w:val="20"/>
              </w:rPr>
              <w:t>Barwon Region Water Corporation</w:t>
            </w:r>
          </w:p>
        </w:tc>
        <w:tc>
          <w:tcPr>
            <w:tcW w:w="623" w:type="dxa"/>
          </w:tcPr>
          <w:p w14:paraId="2A47D216"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14</w:t>
            </w:r>
          </w:p>
        </w:tc>
        <w:tc>
          <w:tcPr>
            <w:tcW w:w="624" w:type="dxa"/>
          </w:tcPr>
          <w:p w14:paraId="20535370"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4</w:t>
            </w:r>
          </w:p>
        </w:tc>
        <w:tc>
          <w:tcPr>
            <w:tcW w:w="846" w:type="dxa"/>
          </w:tcPr>
          <w:p w14:paraId="37B4B812"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9</w:t>
            </w:r>
          </w:p>
        </w:tc>
        <w:tc>
          <w:tcPr>
            <w:tcW w:w="855" w:type="dxa"/>
          </w:tcPr>
          <w:p w14:paraId="2B064FD9"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4</w:t>
            </w:r>
          </w:p>
        </w:tc>
        <w:tc>
          <w:tcPr>
            <w:tcW w:w="624" w:type="dxa"/>
          </w:tcPr>
          <w:p w14:paraId="2C321259"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5</w:t>
            </w:r>
          </w:p>
        </w:tc>
        <w:tc>
          <w:tcPr>
            <w:tcW w:w="624" w:type="dxa"/>
          </w:tcPr>
          <w:p w14:paraId="17F6A3FF"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1123" w:type="dxa"/>
          </w:tcPr>
          <w:p w14:paraId="6BFE21EF"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1075" w:type="dxa"/>
          </w:tcPr>
          <w:p w14:paraId="0F68C5CA"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r>
      <w:tr w:rsidR="00B02873" w:rsidRPr="00821AC8" w14:paraId="074DDA61" w14:textId="77777777" w:rsidTr="00821AC8">
        <w:tc>
          <w:tcPr>
            <w:tcW w:w="3681" w:type="dxa"/>
          </w:tcPr>
          <w:p w14:paraId="4733DB44" w14:textId="77777777" w:rsidR="00B02873" w:rsidRPr="00821AC8" w:rsidRDefault="00B02873" w:rsidP="00FA624C">
            <w:pPr>
              <w:pStyle w:val="TablebodyleftTables"/>
              <w:spacing w:before="20" w:after="20"/>
              <w:rPr>
                <w:rFonts w:asciiTheme="minorHAnsi" w:hAnsiTheme="minorHAnsi" w:cstheme="minorHAnsi"/>
                <w:sz w:val="20"/>
              </w:rPr>
            </w:pPr>
            <w:r w:rsidRPr="00821AC8">
              <w:rPr>
                <w:rFonts w:asciiTheme="minorHAnsi" w:hAnsiTheme="minorHAnsi" w:cstheme="minorHAnsi"/>
                <w:spacing w:val="-1"/>
                <w:sz w:val="20"/>
              </w:rPr>
              <w:t>Barwon South West Waste and Resource Recovery Group</w:t>
            </w:r>
          </w:p>
        </w:tc>
        <w:tc>
          <w:tcPr>
            <w:tcW w:w="623" w:type="dxa"/>
          </w:tcPr>
          <w:p w14:paraId="2B6FAD53"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w:t>
            </w:r>
          </w:p>
        </w:tc>
        <w:tc>
          <w:tcPr>
            <w:tcW w:w="624" w:type="dxa"/>
          </w:tcPr>
          <w:p w14:paraId="76591906"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846" w:type="dxa"/>
          </w:tcPr>
          <w:p w14:paraId="5321ED25"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855" w:type="dxa"/>
          </w:tcPr>
          <w:p w14:paraId="579388EB"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624" w:type="dxa"/>
          </w:tcPr>
          <w:p w14:paraId="51F88F77"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w:t>
            </w:r>
          </w:p>
        </w:tc>
        <w:tc>
          <w:tcPr>
            <w:tcW w:w="624" w:type="dxa"/>
          </w:tcPr>
          <w:p w14:paraId="47A497E1"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1123" w:type="dxa"/>
          </w:tcPr>
          <w:p w14:paraId="10636FCD"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1075" w:type="dxa"/>
          </w:tcPr>
          <w:p w14:paraId="51C4D5E0"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r>
      <w:tr w:rsidR="00B02873" w:rsidRPr="00821AC8" w14:paraId="3D8D98F6" w14:textId="77777777" w:rsidTr="00821AC8">
        <w:tc>
          <w:tcPr>
            <w:tcW w:w="3681" w:type="dxa"/>
          </w:tcPr>
          <w:p w14:paraId="50BF7336" w14:textId="77777777" w:rsidR="00B02873" w:rsidRPr="00821AC8" w:rsidRDefault="00B02873" w:rsidP="00FA624C">
            <w:pPr>
              <w:pStyle w:val="TablebodyleftTables"/>
              <w:spacing w:before="20" w:after="20"/>
              <w:rPr>
                <w:rFonts w:asciiTheme="minorHAnsi" w:hAnsiTheme="minorHAnsi" w:cstheme="minorHAnsi"/>
                <w:sz w:val="20"/>
              </w:rPr>
            </w:pPr>
            <w:r w:rsidRPr="00821AC8">
              <w:rPr>
                <w:rFonts w:asciiTheme="minorHAnsi" w:hAnsiTheme="minorHAnsi" w:cstheme="minorHAnsi"/>
                <w:spacing w:val="-6"/>
                <w:sz w:val="20"/>
              </w:rPr>
              <w:t>Bellarine Bayside Foreshore Committee of Management (Inc)</w:t>
            </w:r>
          </w:p>
        </w:tc>
        <w:tc>
          <w:tcPr>
            <w:tcW w:w="623" w:type="dxa"/>
          </w:tcPr>
          <w:p w14:paraId="5BB3AC64"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w:t>
            </w:r>
          </w:p>
        </w:tc>
        <w:tc>
          <w:tcPr>
            <w:tcW w:w="624" w:type="dxa"/>
          </w:tcPr>
          <w:p w14:paraId="16E96700"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846" w:type="dxa"/>
          </w:tcPr>
          <w:p w14:paraId="13212958"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855" w:type="dxa"/>
          </w:tcPr>
          <w:p w14:paraId="7A3BCD3D"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624" w:type="dxa"/>
          </w:tcPr>
          <w:p w14:paraId="633D86CF"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w:t>
            </w:r>
          </w:p>
        </w:tc>
        <w:tc>
          <w:tcPr>
            <w:tcW w:w="624" w:type="dxa"/>
          </w:tcPr>
          <w:p w14:paraId="4A699189"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1123" w:type="dxa"/>
          </w:tcPr>
          <w:p w14:paraId="4F01028B"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1075" w:type="dxa"/>
          </w:tcPr>
          <w:p w14:paraId="74CB7D2A"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r>
      <w:tr w:rsidR="00B02873" w:rsidRPr="00821AC8" w14:paraId="01A111D5" w14:textId="77777777" w:rsidTr="00821AC8">
        <w:tc>
          <w:tcPr>
            <w:tcW w:w="3681" w:type="dxa"/>
          </w:tcPr>
          <w:p w14:paraId="7C31F400" w14:textId="77777777" w:rsidR="00B02873" w:rsidRPr="00821AC8" w:rsidRDefault="00B02873" w:rsidP="00FA624C">
            <w:pPr>
              <w:pStyle w:val="TablebodyleftTables"/>
              <w:spacing w:before="20" w:after="20"/>
              <w:rPr>
                <w:rFonts w:asciiTheme="minorHAnsi" w:hAnsiTheme="minorHAnsi" w:cstheme="minorHAnsi"/>
                <w:sz w:val="20"/>
              </w:rPr>
            </w:pPr>
            <w:r w:rsidRPr="00821AC8">
              <w:rPr>
                <w:rFonts w:asciiTheme="minorHAnsi" w:hAnsiTheme="minorHAnsi" w:cstheme="minorHAnsi"/>
                <w:sz w:val="20"/>
              </w:rPr>
              <w:t>Central Gippsland Region Water Corporation</w:t>
            </w:r>
          </w:p>
        </w:tc>
        <w:tc>
          <w:tcPr>
            <w:tcW w:w="623" w:type="dxa"/>
          </w:tcPr>
          <w:p w14:paraId="236A8DA7"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7</w:t>
            </w:r>
          </w:p>
        </w:tc>
        <w:tc>
          <w:tcPr>
            <w:tcW w:w="624" w:type="dxa"/>
          </w:tcPr>
          <w:p w14:paraId="49C8F7A4"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w:t>
            </w:r>
          </w:p>
        </w:tc>
        <w:tc>
          <w:tcPr>
            <w:tcW w:w="846" w:type="dxa"/>
          </w:tcPr>
          <w:p w14:paraId="3DD11C5B"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2</w:t>
            </w:r>
          </w:p>
        </w:tc>
        <w:tc>
          <w:tcPr>
            <w:tcW w:w="855" w:type="dxa"/>
          </w:tcPr>
          <w:p w14:paraId="1A39975E"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624" w:type="dxa"/>
          </w:tcPr>
          <w:p w14:paraId="2E70AF7D"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5</w:t>
            </w:r>
          </w:p>
        </w:tc>
        <w:tc>
          <w:tcPr>
            <w:tcW w:w="624" w:type="dxa"/>
          </w:tcPr>
          <w:p w14:paraId="34092D0C"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w:t>
            </w:r>
          </w:p>
        </w:tc>
        <w:tc>
          <w:tcPr>
            <w:tcW w:w="1123" w:type="dxa"/>
          </w:tcPr>
          <w:p w14:paraId="5F11E8A5"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1075" w:type="dxa"/>
          </w:tcPr>
          <w:p w14:paraId="4D16E020"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r>
      <w:tr w:rsidR="00B02873" w:rsidRPr="00821AC8" w14:paraId="6E242B96" w14:textId="77777777" w:rsidTr="00821AC8">
        <w:tc>
          <w:tcPr>
            <w:tcW w:w="3681" w:type="dxa"/>
          </w:tcPr>
          <w:p w14:paraId="1B35C291" w14:textId="77777777" w:rsidR="00B02873" w:rsidRPr="00821AC8" w:rsidRDefault="00B02873" w:rsidP="00FA624C">
            <w:pPr>
              <w:pStyle w:val="TablebodyleftTables"/>
              <w:spacing w:before="20" w:after="20"/>
              <w:rPr>
                <w:rFonts w:asciiTheme="minorHAnsi" w:hAnsiTheme="minorHAnsi" w:cstheme="minorHAnsi"/>
                <w:sz w:val="20"/>
              </w:rPr>
            </w:pPr>
            <w:r w:rsidRPr="00821AC8">
              <w:rPr>
                <w:rFonts w:asciiTheme="minorHAnsi" w:hAnsiTheme="minorHAnsi" w:cstheme="minorHAnsi"/>
                <w:sz w:val="20"/>
              </w:rPr>
              <w:t>Central Highlands Region Water Corporation</w:t>
            </w:r>
          </w:p>
        </w:tc>
        <w:tc>
          <w:tcPr>
            <w:tcW w:w="623" w:type="dxa"/>
          </w:tcPr>
          <w:p w14:paraId="7875F244"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7</w:t>
            </w:r>
          </w:p>
        </w:tc>
        <w:tc>
          <w:tcPr>
            <w:tcW w:w="624" w:type="dxa"/>
          </w:tcPr>
          <w:p w14:paraId="5FDC0BE1"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2</w:t>
            </w:r>
          </w:p>
        </w:tc>
        <w:tc>
          <w:tcPr>
            <w:tcW w:w="846" w:type="dxa"/>
          </w:tcPr>
          <w:p w14:paraId="17C0B200"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2</w:t>
            </w:r>
          </w:p>
        </w:tc>
        <w:tc>
          <w:tcPr>
            <w:tcW w:w="855" w:type="dxa"/>
          </w:tcPr>
          <w:p w14:paraId="567955C2"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w:t>
            </w:r>
          </w:p>
        </w:tc>
        <w:tc>
          <w:tcPr>
            <w:tcW w:w="624" w:type="dxa"/>
          </w:tcPr>
          <w:p w14:paraId="07DBD051"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5</w:t>
            </w:r>
          </w:p>
        </w:tc>
        <w:tc>
          <w:tcPr>
            <w:tcW w:w="624" w:type="dxa"/>
          </w:tcPr>
          <w:p w14:paraId="16D368ED"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w:t>
            </w:r>
          </w:p>
        </w:tc>
        <w:tc>
          <w:tcPr>
            <w:tcW w:w="1123" w:type="dxa"/>
          </w:tcPr>
          <w:p w14:paraId="476D1A19"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1075" w:type="dxa"/>
          </w:tcPr>
          <w:p w14:paraId="3F8F0E4B"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r>
      <w:tr w:rsidR="00B02873" w:rsidRPr="00821AC8" w14:paraId="497D3FB0" w14:textId="77777777" w:rsidTr="00821AC8">
        <w:tc>
          <w:tcPr>
            <w:tcW w:w="3681" w:type="dxa"/>
          </w:tcPr>
          <w:p w14:paraId="7CA8F93F" w14:textId="77777777" w:rsidR="00B02873" w:rsidRPr="00821AC8" w:rsidRDefault="00B02873" w:rsidP="00FA624C">
            <w:pPr>
              <w:pStyle w:val="TablebodyleftTables"/>
              <w:spacing w:before="20" w:after="20"/>
              <w:rPr>
                <w:rFonts w:asciiTheme="minorHAnsi" w:hAnsiTheme="minorHAnsi" w:cstheme="minorHAnsi"/>
                <w:sz w:val="20"/>
              </w:rPr>
            </w:pPr>
            <w:r w:rsidRPr="00821AC8">
              <w:rPr>
                <w:rFonts w:asciiTheme="minorHAnsi" w:hAnsiTheme="minorHAnsi" w:cstheme="minorHAnsi"/>
                <w:sz w:val="20"/>
              </w:rPr>
              <w:t>Cladding Safety Victoria</w:t>
            </w:r>
          </w:p>
        </w:tc>
        <w:tc>
          <w:tcPr>
            <w:tcW w:w="623" w:type="dxa"/>
          </w:tcPr>
          <w:p w14:paraId="796EEB7B"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7</w:t>
            </w:r>
          </w:p>
        </w:tc>
        <w:tc>
          <w:tcPr>
            <w:tcW w:w="624" w:type="dxa"/>
          </w:tcPr>
          <w:p w14:paraId="2F4CC8CB"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846" w:type="dxa"/>
          </w:tcPr>
          <w:p w14:paraId="2FBFD802"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2</w:t>
            </w:r>
          </w:p>
        </w:tc>
        <w:tc>
          <w:tcPr>
            <w:tcW w:w="855" w:type="dxa"/>
          </w:tcPr>
          <w:p w14:paraId="6DCE8A68"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624" w:type="dxa"/>
          </w:tcPr>
          <w:p w14:paraId="27A0B523"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5</w:t>
            </w:r>
          </w:p>
        </w:tc>
        <w:tc>
          <w:tcPr>
            <w:tcW w:w="624" w:type="dxa"/>
          </w:tcPr>
          <w:p w14:paraId="5B51D535"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1123" w:type="dxa"/>
          </w:tcPr>
          <w:p w14:paraId="6D6D35C2"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1075" w:type="dxa"/>
          </w:tcPr>
          <w:p w14:paraId="11B435B6"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r>
      <w:tr w:rsidR="00B02873" w:rsidRPr="00821AC8" w14:paraId="3B823F99" w14:textId="77777777" w:rsidTr="00821AC8">
        <w:tc>
          <w:tcPr>
            <w:tcW w:w="3681" w:type="dxa"/>
          </w:tcPr>
          <w:p w14:paraId="65012218" w14:textId="77777777" w:rsidR="00B02873" w:rsidRPr="00821AC8" w:rsidRDefault="00B02873" w:rsidP="00FA624C">
            <w:pPr>
              <w:pStyle w:val="TablebodyleftTables"/>
              <w:spacing w:before="20" w:after="20"/>
              <w:rPr>
                <w:rFonts w:asciiTheme="minorHAnsi" w:hAnsiTheme="minorHAnsi" w:cstheme="minorHAnsi"/>
                <w:sz w:val="20"/>
              </w:rPr>
            </w:pPr>
            <w:r w:rsidRPr="00821AC8">
              <w:rPr>
                <w:rFonts w:asciiTheme="minorHAnsi" w:hAnsiTheme="minorHAnsi" w:cstheme="minorHAnsi"/>
                <w:sz w:val="20"/>
              </w:rPr>
              <w:t>Coliban Region Water Corporation</w:t>
            </w:r>
          </w:p>
        </w:tc>
        <w:tc>
          <w:tcPr>
            <w:tcW w:w="623" w:type="dxa"/>
          </w:tcPr>
          <w:p w14:paraId="7785E6C8"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6</w:t>
            </w:r>
          </w:p>
        </w:tc>
        <w:tc>
          <w:tcPr>
            <w:tcW w:w="624" w:type="dxa"/>
          </w:tcPr>
          <w:p w14:paraId="66F36E5B"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w:t>
            </w:r>
          </w:p>
        </w:tc>
        <w:tc>
          <w:tcPr>
            <w:tcW w:w="846" w:type="dxa"/>
          </w:tcPr>
          <w:p w14:paraId="23DD81E3"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3</w:t>
            </w:r>
          </w:p>
        </w:tc>
        <w:tc>
          <w:tcPr>
            <w:tcW w:w="855" w:type="dxa"/>
          </w:tcPr>
          <w:p w14:paraId="03CC995E"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624" w:type="dxa"/>
          </w:tcPr>
          <w:p w14:paraId="5B244B97"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3</w:t>
            </w:r>
          </w:p>
        </w:tc>
        <w:tc>
          <w:tcPr>
            <w:tcW w:w="624" w:type="dxa"/>
          </w:tcPr>
          <w:p w14:paraId="1A74D2A6"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w:t>
            </w:r>
          </w:p>
        </w:tc>
        <w:tc>
          <w:tcPr>
            <w:tcW w:w="1123" w:type="dxa"/>
          </w:tcPr>
          <w:p w14:paraId="0EC1E846"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1075" w:type="dxa"/>
          </w:tcPr>
          <w:p w14:paraId="3FF88139"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r>
      <w:tr w:rsidR="00B02873" w:rsidRPr="00821AC8" w14:paraId="49BDE941" w14:textId="77777777" w:rsidTr="00821AC8">
        <w:tc>
          <w:tcPr>
            <w:tcW w:w="3681" w:type="dxa"/>
          </w:tcPr>
          <w:p w14:paraId="0ECEACE6" w14:textId="77777777" w:rsidR="00B02873" w:rsidRPr="00821AC8" w:rsidRDefault="00B02873" w:rsidP="00FA624C">
            <w:pPr>
              <w:pStyle w:val="TablebodyleftTables"/>
              <w:spacing w:before="20" w:after="20"/>
              <w:rPr>
                <w:rFonts w:asciiTheme="minorHAnsi" w:hAnsiTheme="minorHAnsi" w:cstheme="minorHAnsi"/>
                <w:sz w:val="20"/>
              </w:rPr>
            </w:pPr>
            <w:r w:rsidRPr="00821AC8">
              <w:rPr>
                <w:rFonts w:asciiTheme="minorHAnsi" w:hAnsiTheme="minorHAnsi" w:cstheme="minorHAnsi"/>
                <w:sz w:val="20"/>
              </w:rPr>
              <w:t>Corangamite Catchment Management Authority</w:t>
            </w:r>
          </w:p>
        </w:tc>
        <w:tc>
          <w:tcPr>
            <w:tcW w:w="623" w:type="dxa"/>
          </w:tcPr>
          <w:p w14:paraId="29CB9EA4"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w:t>
            </w:r>
          </w:p>
        </w:tc>
        <w:tc>
          <w:tcPr>
            <w:tcW w:w="624" w:type="dxa"/>
          </w:tcPr>
          <w:p w14:paraId="0391BE11"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846" w:type="dxa"/>
          </w:tcPr>
          <w:p w14:paraId="09354668"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855" w:type="dxa"/>
          </w:tcPr>
          <w:p w14:paraId="5BDAA80C"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624" w:type="dxa"/>
          </w:tcPr>
          <w:p w14:paraId="6E6DAAE6"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w:t>
            </w:r>
          </w:p>
        </w:tc>
        <w:tc>
          <w:tcPr>
            <w:tcW w:w="624" w:type="dxa"/>
          </w:tcPr>
          <w:p w14:paraId="004231E5"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1123" w:type="dxa"/>
          </w:tcPr>
          <w:p w14:paraId="0680C6E2"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1075" w:type="dxa"/>
          </w:tcPr>
          <w:p w14:paraId="155A716C"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r>
      <w:tr w:rsidR="00B02873" w:rsidRPr="00821AC8" w14:paraId="41EC89D2" w14:textId="77777777" w:rsidTr="00821AC8">
        <w:tc>
          <w:tcPr>
            <w:tcW w:w="3681" w:type="dxa"/>
          </w:tcPr>
          <w:p w14:paraId="15AA2BEF" w14:textId="77777777" w:rsidR="00B02873" w:rsidRPr="00821AC8" w:rsidRDefault="00B02873" w:rsidP="00FA624C">
            <w:pPr>
              <w:pStyle w:val="TablebodyleftTables"/>
              <w:spacing w:before="20" w:after="20"/>
              <w:rPr>
                <w:rFonts w:asciiTheme="minorHAnsi" w:hAnsiTheme="minorHAnsi" w:cstheme="minorHAnsi"/>
                <w:sz w:val="20"/>
              </w:rPr>
            </w:pPr>
            <w:r w:rsidRPr="00821AC8">
              <w:rPr>
                <w:rFonts w:asciiTheme="minorHAnsi" w:hAnsiTheme="minorHAnsi" w:cstheme="minorHAnsi"/>
                <w:sz w:val="20"/>
              </w:rPr>
              <w:t>East Gippsland Catchment Management Authority</w:t>
            </w:r>
          </w:p>
        </w:tc>
        <w:tc>
          <w:tcPr>
            <w:tcW w:w="623" w:type="dxa"/>
          </w:tcPr>
          <w:p w14:paraId="3C642C5E"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w:t>
            </w:r>
          </w:p>
        </w:tc>
        <w:tc>
          <w:tcPr>
            <w:tcW w:w="624" w:type="dxa"/>
          </w:tcPr>
          <w:p w14:paraId="6A06E2FE"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846" w:type="dxa"/>
          </w:tcPr>
          <w:p w14:paraId="253F2A1A"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855" w:type="dxa"/>
          </w:tcPr>
          <w:p w14:paraId="033EFCA5"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624" w:type="dxa"/>
          </w:tcPr>
          <w:p w14:paraId="226EE736"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w:t>
            </w:r>
          </w:p>
        </w:tc>
        <w:tc>
          <w:tcPr>
            <w:tcW w:w="624" w:type="dxa"/>
          </w:tcPr>
          <w:p w14:paraId="13A8CEF9"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1123" w:type="dxa"/>
          </w:tcPr>
          <w:p w14:paraId="4E18F475"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1075" w:type="dxa"/>
          </w:tcPr>
          <w:p w14:paraId="2E6709B7"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r>
      <w:tr w:rsidR="00B02873" w:rsidRPr="00821AC8" w14:paraId="38E0A1A0" w14:textId="77777777" w:rsidTr="00821AC8">
        <w:tc>
          <w:tcPr>
            <w:tcW w:w="3681" w:type="dxa"/>
          </w:tcPr>
          <w:p w14:paraId="2A701D0D" w14:textId="77777777" w:rsidR="00B02873" w:rsidRPr="00821AC8" w:rsidRDefault="00B02873" w:rsidP="00FA624C">
            <w:pPr>
              <w:pStyle w:val="TablebodyleftTables"/>
              <w:spacing w:before="20" w:after="20"/>
              <w:rPr>
                <w:rFonts w:asciiTheme="minorHAnsi" w:hAnsiTheme="minorHAnsi" w:cstheme="minorHAnsi"/>
                <w:sz w:val="20"/>
              </w:rPr>
            </w:pPr>
            <w:r w:rsidRPr="00821AC8">
              <w:rPr>
                <w:rFonts w:asciiTheme="minorHAnsi" w:hAnsiTheme="minorHAnsi" w:cstheme="minorHAnsi"/>
                <w:sz w:val="20"/>
              </w:rPr>
              <w:t>East Gippsland Region Water Corporation</w:t>
            </w:r>
          </w:p>
        </w:tc>
        <w:tc>
          <w:tcPr>
            <w:tcW w:w="623" w:type="dxa"/>
          </w:tcPr>
          <w:p w14:paraId="2A173472"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4</w:t>
            </w:r>
          </w:p>
        </w:tc>
        <w:tc>
          <w:tcPr>
            <w:tcW w:w="624" w:type="dxa"/>
          </w:tcPr>
          <w:p w14:paraId="5743C025"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w:t>
            </w:r>
          </w:p>
        </w:tc>
        <w:tc>
          <w:tcPr>
            <w:tcW w:w="846" w:type="dxa"/>
          </w:tcPr>
          <w:p w14:paraId="5D2F3743"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w:t>
            </w:r>
          </w:p>
        </w:tc>
        <w:tc>
          <w:tcPr>
            <w:tcW w:w="855" w:type="dxa"/>
          </w:tcPr>
          <w:p w14:paraId="7767EDC9"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w:t>
            </w:r>
          </w:p>
        </w:tc>
        <w:tc>
          <w:tcPr>
            <w:tcW w:w="624" w:type="dxa"/>
          </w:tcPr>
          <w:p w14:paraId="691A4029"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3</w:t>
            </w:r>
          </w:p>
        </w:tc>
        <w:tc>
          <w:tcPr>
            <w:tcW w:w="624" w:type="dxa"/>
          </w:tcPr>
          <w:p w14:paraId="2F1C66BF"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1123" w:type="dxa"/>
          </w:tcPr>
          <w:p w14:paraId="6F9E7EE8"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1075" w:type="dxa"/>
          </w:tcPr>
          <w:p w14:paraId="2E777C19"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r>
      <w:tr w:rsidR="00B02873" w:rsidRPr="00821AC8" w14:paraId="4523D5B0" w14:textId="77777777" w:rsidTr="00821AC8">
        <w:tc>
          <w:tcPr>
            <w:tcW w:w="3681" w:type="dxa"/>
          </w:tcPr>
          <w:p w14:paraId="1CA54919" w14:textId="77777777" w:rsidR="00B02873" w:rsidRPr="00821AC8" w:rsidRDefault="00B02873" w:rsidP="00FA624C">
            <w:pPr>
              <w:pStyle w:val="TablebodyleftTables"/>
              <w:spacing w:before="20" w:after="20"/>
              <w:rPr>
                <w:rFonts w:asciiTheme="minorHAnsi" w:hAnsiTheme="minorHAnsi" w:cstheme="minorHAnsi"/>
                <w:sz w:val="20"/>
              </w:rPr>
            </w:pPr>
            <w:r w:rsidRPr="00821AC8">
              <w:rPr>
                <w:rFonts w:asciiTheme="minorHAnsi" w:hAnsiTheme="minorHAnsi" w:cstheme="minorHAnsi"/>
                <w:sz w:val="20"/>
              </w:rPr>
              <w:t>Energy Safe Victoria</w:t>
            </w:r>
          </w:p>
        </w:tc>
        <w:tc>
          <w:tcPr>
            <w:tcW w:w="623" w:type="dxa"/>
          </w:tcPr>
          <w:p w14:paraId="0BF212FC"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5</w:t>
            </w:r>
          </w:p>
        </w:tc>
        <w:tc>
          <w:tcPr>
            <w:tcW w:w="624" w:type="dxa"/>
          </w:tcPr>
          <w:p w14:paraId="60CF0B49"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-2</w:t>
            </w:r>
          </w:p>
        </w:tc>
        <w:tc>
          <w:tcPr>
            <w:tcW w:w="846" w:type="dxa"/>
          </w:tcPr>
          <w:p w14:paraId="01F0E323"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3</w:t>
            </w:r>
          </w:p>
        </w:tc>
        <w:tc>
          <w:tcPr>
            <w:tcW w:w="855" w:type="dxa"/>
          </w:tcPr>
          <w:p w14:paraId="1146739C"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624" w:type="dxa"/>
          </w:tcPr>
          <w:p w14:paraId="56CDDC7F"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2</w:t>
            </w:r>
          </w:p>
        </w:tc>
        <w:tc>
          <w:tcPr>
            <w:tcW w:w="624" w:type="dxa"/>
          </w:tcPr>
          <w:p w14:paraId="3290E727"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-2</w:t>
            </w:r>
          </w:p>
        </w:tc>
        <w:tc>
          <w:tcPr>
            <w:tcW w:w="1123" w:type="dxa"/>
          </w:tcPr>
          <w:p w14:paraId="7C009609"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1075" w:type="dxa"/>
          </w:tcPr>
          <w:p w14:paraId="3D88D36D"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r>
      <w:tr w:rsidR="00B02873" w:rsidRPr="00821AC8" w14:paraId="0D8A9506" w14:textId="77777777" w:rsidTr="00821AC8">
        <w:tc>
          <w:tcPr>
            <w:tcW w:w="3681" w:type="dxa"/>
          </w:tcPr>
          <w:p w14:paraId="0AC999A8" w14:textId="77777777" w:rsidR="00B02873" w:rsidRPr="00821AC8" w:rsidRDefault="00B02873" w:rsidP="00FA624C">
            <w:pPr>
              <w:pStyle w:val="TablebodyleftTables"/>
              <w:spacing w:before="20" w:after="20"/>
              <w:rPr>
                <w:rFonts w:asciiTheme="minorHAnsi" w:hAnsiTheme="minorHAnsi" w:cstheme="minorHAnsi"/>
                <w:sz w:val="20"/>
              </w:rPr>
            </w:pPr>
            <w:r w:rsidRPr="00821AC8">
              <w:rPr>
                <w:rFonts w:asciiTheme="minorHAnsi" w:hAnsiTheme="minorHAnsi" w:cstheme="minorHAnsi"/>
                <w:sz w:val="20"/>
              </w:rPr>
              <w:t>Environment Protection Authority</w:t>
            </w:r>
          </w:p>
        </w:tc>
        <w:tc>
          <w:tcPr>
            <w:tcW w:w="623" w:type="dxa"/>
          </w:tcPr>
          <w:p w14:paraId="731877E7"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14</w:t>
            </w:r>
          </w:p>
        </w:tc>
        <w:tc>
          <w:tcPr>
            <w:tcW w:w="624" w:type="dxa"/>
          </w:tcPr>
          <w:p w14:paraId="0CBCC9C3"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-6</w:t>
            </w:r>
          </w:p>
        </w:tc>
        <w:tc>
          <w:tcPr>
            <w:tcW w:w="846" w:type="dxa"/>
          </w:tcPr>
          <w:p w14:paraId="41950698"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7</w:t>
            </w:r>
          </w:p>
        </w:tc>
        <w:tc>
          <w:tcPr>
            <w:tcW w:w="855" w:type="dxa"/>
          </w:tcPr>
          <w:p w14:paraId="0D2ADD5F"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w:t>
            </w:r>
          </w:p>
        </w:tc>
        <w:tc>
          <w:tcPr>
            <w:tcW w:w="624" w:type="dxa"/>
          </w:tcPr>
          <w:p w14:paraId="407B4B6C"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7</w:t>
            </w:r>
          </w:p>
        </w:tc>
        <w:tc>
          <w:tcPr>
            <w:tcW w:w="624" w:type="dxa"/>
          </w:tcPr>
          <w:p w14:paraId="550933C4"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-5</w:t>
            </w:r>
          </w:p>
        </w:tc>
        <w:tc>
          <w:tcPr>
            <w:tcW w:w="1123" w:type="dxa"/>
          </w:tcPr>
          <w:p w14:paraId="5D13D59F"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w:t>
            </w:r>
          </w:p>
        </w:tc>
        <w:tc>
          <w:tcPr>
            <w:tcW w:w="1075" w:type="dxa"/>
          </w:tcPr>
          <w:p w14:paraId="5CF7126C"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w:t>
            </w:r>
          </w:p>
        </w:tc>
      </w:tr>
      <w:tr w:rsidR="00B02873" w:rsidRPr="00821AC8" w14:paraId="579690A9" w14:textId="77777777" w:rsidTr="00821AC8">
        <w:tc>
          <w:tcPr>
            <w:tcW w:w="3681" w:type="dxa"/>
          </w:tcPr>
          <w:p w14:paraId="1883CE37" w14:textId="77777777" w:rsidR="00B02873" w:rsidRPr="00821AC8" w:rsidRDefault="00B02873" w:rsidP="00FA624C">
            <w:pPr>
              <w:pStyle w:val="TablebodyleftTables"/>
              <w:spacing w:before="20" w:after="20"/>
              <w:rPr>
                <w:rFonts w:asciiTheme="minorHAnsi" w:hAnsiTheme="minorHAnsi" w:cstheme="minorHAnsi"/>
                <w:sz w:val="20"/>
              </w:rPr>
            </w:pPr>
            <w:r w:rsidRPr="00821AC8">
              <w:rPr>
                <w:rFonts w:asciiTheme="minorHAnsi" w:hAnsiTheme="minorHAnsi" w:cstheme="minorHAnsi"/>
                <w:sz w:val="20"/>
              </w:rPr>
              <w:t>Falls Creek Alpine Resort Management Board</w:t>
            </w:r>
          </w:p>
        </w:tc>
        <w:tc>
          <w:tcPr>
            <w:tcW w:w="623" w:type="dxa"/>
          </w:tcPr>
          <w:p w14:paraId="138ACEF4"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w:t>
            </w:r>
          </w:p>
        </w:tc>
        <w:tc>
          <w:tcPr>
            <w:tcW w:w="624" w:type="dxa"/>
          </w:tcPr>
          <w:p w14:paraId="4F32183E"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846" w:type="dxa"/>
          </w:tcPr>
          <w:p w14:paraId="4FD8E5CE"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855" w:type="dxa"/>
          </w:tcPr>
          <w:p w14:paraId="4EF4DD29"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624" w:type="dxa"/>
          </w:tcPr>
          <w:p w14:paraId="22D5591E"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w:t>
            </w:r>
          </w:p>
        </w:tc>
        <w:tc>
          <w:tcPr>
            <w:tcW w:w="624" w:type="dxa"/>
          </w:tcPr>
          <w:p w14:paraId="6DC8AAF6"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1123" w:type="dxa"/>
          </w:tcPr>
          <w:p w14:paraId="4653A21E"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1075" w:type="dxa"/>
          </w:tcPr>
          <w:p w14:paraId="117F3164"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r>
      <w:tr w:rsidR="00B02873" w:rsidRPr="00821AC8" w14:paraId="0D5FE81D" w14:textId="77777777" w:rsidTr="00821AC8">
        <w:tc>
          <w:tcPr>
            <w:tcW w:w="3681" w:type="dxa"/>
          </w:tcPr>
          <w:p w14:paraId="46387A3D" w14:textId="77777777" w:rsidR="00B02873" w:rsidRPr="00821AC8" w:rsidRDefault="00B02873" w:rsidP="00FA624C">
            <w:pPr>
              <w:pStyle w:val="TablebodyleftTables"/>
              <w:spacing w:before="20" w:after="20"/>
              <w:rPr>
                <w:rFonts w:asciiTheme="minorHAnsi" w:hAnsiTheme="minorHAnsi" w:cstheme="minorHAnsi"/>
                <w:sz w:val="20"/>
              </w:rPr>
            </w:pPr>
            <w:r w:rsidRPr="00821AC8">
              <w:rPr>
                <w:rFonts w:asciiTheme="minorHAnsi" w:hAnsiTheme="minorHAnsi" w:cstheme="minorHAnsi"/>
                <w:sz w:val="20"/>
              </w:rPr>
              <w:t>Gippsland and Southern Rural Water Corporation</w:t>
            </w:r>
          </w:p>
        </w:tc>
        <w:tc>
          <w:tcPr>
            <w:tcW w:w="623" w:type="dxa"/>
          </w:tcPr>
          <w:p w14:paraId="7FB63DA3"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8</w:t>
            </w:r>
          </w:p>
        </w:tc>
        <w:tc>
          <w:tcPr>
            <w:tcW w:w="624" w:type="dxa"/>
          </w:tcPr>
          <w:p w14:paraId="0D67A15C"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4</w:t>
            </w:r>
          </w:p>
        </w:tc>
        <w:tc>
          <w:tcPr>
            <w:tcW w:w="846" w:type="dxa"/>
          </w:tcPr>
          <w:p w14:paraId="5BA605BC"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4</w:t>
            </w:r>
          </w:p>
        </w:tc>
        <w:tc>
          <w:tcPr>
            <w:tcW w:w="855" w:type="dxa"/>
          </w:tcPr>
          <w:p w14:paraId="0B36E9CC"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2</w:t>
            </w:r>
          </w:p>
        </w:tc>
        <w:tc>
          <w:tcPr>
            <w:tcW w:w="624" w:type="dxa"/>
          </w:tcPr>
          <w:p w14:paraId="54B3EB2F"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4</w:t>
            </w:r>
          </w:p>
        </w:tc>
        <w:tc>
          <w:tcPr>
            <w:tcW w:w="624" w:type="dxa"/>
          </w:tcPr>
          <w:p w14:paraId="15524D22"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2</w:t>
            </w:r>
          </w:p>
        </w:tc>
        <w:tc>
          <w:tcPr>
            <w:tcW w:w="1123" w:type="dxa"/>
          </w:tcPr>
          <w:p w14:paraId="1165C9C7"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1075" w:type="dxa"/>
          </w:tcPr>
          <w:p w14:paraId="08FA8228"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r>
      <w:tr w:rsidR="00B02873" w:rsidRPr="00821AC8" w14:paraId="4DCA039D" w14:textId="77777777" w:rsidTr="00821AC8">
        <w:tc>
          <w:tcPr>
            <w:tcW w:w="3681" w:type="dxa"/>
          </w:tcPr>
          <w:p w14:paraId="33586120" w14:textId="77777777" w:rsidR="00B02873" w:rsidRPr="00821AC8" w:rsidRDefault="00B02873" w:rsidP="00FA624C">
            <w:pPr>
              <w:pStyle w:val="TablebodyleftTables"/>
              <w:spacing w:before="20" w:after="20"/>
              <w:rPr>
                <w:rFonts w:asciiTheme="minorHAnsi" w:hAnsiTheme="minorHAnsi" w:cstheme="minorHAnsi"/>
                <w:sz w:val="20"/>
              </w:rPr>
            </w:pPr>
            <w:r w:rsidRPr="00821AC8">
              <w:rPr>
                <w:rFonts w:asciiTheme="minorHAnsi" w:hAnsiTheme="minorHAnsi" w:cstheme="minorHAnsi"/>
                <w:sz w:val="20"/>
              </w:rPr>
              <w:t>Gippsland Waste and Resource Recovery Group</w:t>
            </w:r>
          </w:p>
        </w:tc>
        <w:tc>
          <w:tcPr>
            <w:tcW w:w="623" w:type="dxa"/>
          </w:tcPr>
          <w:p w14:paraId="6092D221"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w:t>
            </w:r>
          </w:p>
        </w:tc>
        <w:tc>
          <w:tcPr>
            <w:tcW w:w="624" w:type="dxa"/>
          </w:tcPr>
          <w:p w14:paraId="7B941D18"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846" w:type="dxa"/>
          </w:tcPr>
          <w:p w14:paraId="7C2D0B24"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855" w:type="dxa"/>
          </w:tcPr>
          <w:p w14:paraId="671153CB"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624" w:type="dxa"/>
          </w:tcPr>
          <w:p w14:paraId="1EC88C5B"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w:t>
            </w:r>
          </w:p>
        </w:tc>
        <w:tc>
          <w:tcPr>
            <w:tcW w:w="624" w:type="dxa"/>
          </w:tcPr>
          <w:p w14:paraId="0EBD5155"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1123" w:type="dxa"/>
          </w:tcPr>
          <w:p w14:paraId="0FE5EE4B"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1075" w:type="dxa"/>
          </w:tcPr>
          <w:p w14:paraId="02F36082"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r>
      <w:tr w:rsidR="00B02873" w:rsidRPr="00821AC8" w14:paraId="05104DB1" w14:textId="77777777" w:rsidTr="00821AC8">
        <w:tc>
          <w:tcPr>
            <w:tcW w:w="3681" w:type="dxa"/>
          </w:tcPr>
          <w:p w14:paraId="59F97434" w14:textId="77777777" w:rsidR="00B02873" w:rsidRPr="00821AC8" w:rsidRDefault="00B02873" w:rsidP="00FA624C">
            <w:pPr>
              <w:pStyle w:val="TablebodyleftTables"/>
              <w:spacing w:before="20" w:after="20"/>
              <w:rPr>
                <w:rFonts w:asciiTheme="minorHAnsi" w:hAnsiTheme="minorHAnsi" w:cstheme="minorHAnsi"/>
                <w:sz w:val="20"/>
              </w:rPr>
            </w:pPr>
            <w:r w:rsidRPr="00821AC8">
              <w:rPr>
                <w:rFonts w:asciiTheme="minorHAnsi" w:hAnsiTheme="minorHAnsi" w:cstheme="minorHAnsi"/>
                <w:sz w:val="20"/>
              </w:rPr>
              <w:t>Glenelg Hopkins Catchment Management Authority</w:t>
            </w:r>
          </w:p>
        </w:tc>
        <w:tc>
          <w:tcPr>
            <w:tcW w:w="623" w:type="dxa"/>
          </w:tcPr>
          <w:p w14:paraId="51EBDB63"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w:t>
            </w:r>
          </w:p>
        </w:tc>
        <w:tc>
          <w:tcPr>
            <w:tcW w:w="624" w:type="dxa"/>
          </w:tcPr>
          <w:p w14:paraId="604C3F67"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846" w:type="dxa"/>
          </w:tcPr>
          <w:p w14:paraId="68293579"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855" w:type="dxa"/>
          </w:tcPr>
          <w:p w14:paraId="0FF541BF"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624" w:type="dxa"/>
          </w:tcPr>
          <w:p w14:paraId="4EE7E73F"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w:t>
            </w:r>
          </w:p>
        </w:tc>
        <w:tc>
          <w:tcPr>
            <w:tcW w:w="624" w:type="dxa"/>
          </w:tcPr>
          <w:p w14:paraId="319F31D5"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1123" w:type="dxa"/>
          </w:tcPr>
          <w:p w14:paraId="434778F8"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1075" w:type="dxa"/>
          </w:tcPr>
          <w:p w14:paraId="27F88B9A"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r>
      <w:tr w:rsidR="00B02873" w:rsidRPr="00821AC8" w14:paraId="451FD0EC" w14:textId="77777777" w:rsidTr="00821AC8">
        <w:tc>
          <w:tcPr>
            <w:tcW w:w="3681" w:type="dxa"/>
          </w:tcPr>
          <w:p w14:paraId="5D81425C" w14:textId="77777777" w:rsidR="00B02873" w:rsidRPr="00821AC8" w:rsidRDefault="00B02873" w:rsidP="00FA624C">
            <w:pPr>
              <w:pStyle w:val="TablebodyleftTables"/>
              <w:spacing w:before="20" w:after="20"/>
              <w:rPr>
                <w:rFonts w:asciiTheme="minorHAnsi" w:hAnsiTheme="minorHAnsi" w:cstheme="minorHAnsi"/>
                <w:sz w:val="20"/>
              </w:rPr>
            </w:pPr>
            <w:r w:rsidRPr="00821AC8">
              <w:rPr>
                <w:rFonts w:asciiTheme="minorHAnsi" w:hAnsiTheme="minorHAnsi" w:cstheme="minorHAnsi"/>
                <w:sz w:val="20"/>
              </w:rPr>
              <w:t>Goulburn Broken Catchment Management Authority</w:t>
            </w:r>
          </w:p>
        </w:tc>
        <w:tc>
          <w:tcPr>
            <w:tcW w:w="623" w:type="dxa"/>
          </w:tcPr>
          <w:p w14:paraId="42DBB311"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w:t>
            </w:r>
          </w:p>
        </w:tc>
        <w:tc>
          <w:tcPr>
            <w:tcW w:w="624" w:type="dxa"/>
          </w:tcPr>
          <w:p w14:paraId="01715F62"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846" w:type="dxa"/>
          </w:tcPr>
          <w:p w14:paraId="7564DBA9"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w:t>
            </w:r>
          </w:p>
        </w:tc>
        <w:tc>
          <w:tcPr>
            <w:tcW w:w="855" w:type="dxa"/>
          </w:tcPr>
          <w:p w14:paraId="394BD0EA"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624" w:type="dxa"/>
          </w:tcPr>
          <w:p w14:paraId="2C9A8364"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624" w:type="dxa"/>
          </w:tcPr>
          <w:p w14:paraId="3EAF59C3"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1123" w:type="dxa"/>
          </w:tcPr>
          <w:p w14:paraId="68135DC9"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1075" w:type="dxa"/>
          </w:tcPr>
          <w:p w14:paraId="4A01E0F4"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r>
      <w:tr w:rsidR="00B02873" w:rsidRPr="00821AC8" w14:paraId="0037ABD1" w14:textId="77777777" w:rsidTr="00821AC8">
        <w:tc>
          <w:tcPr>
            <w:tcW w:w="3681" w:type="dxa"/>
          </w:tcPr>
          <w:p w14:paraId="709ED73B" w14:textId="77777777" w:rsidR="00B02873" w:rsidRPr="00821AC8" w:rsidRDefault="00B02873" w:rsidP="00FA624C">
            <w:pPr>
              <w:pStyle w:val="TablebodyleftTables"/>
              <w:spacing w:before="20" w:after="20"/>
              <w:rPr>
                <w:rFonts w:asciiTheme="minorHAnsi" w:hAnsiTheme="minorHAnsi" w:cstheme="minorHAnsi"/>
                <w:sz w:val="20"/>
              </w:rPr>
            </w:pPr>
            <w:r w:rsidRPr="00821AC8">
              <w:rPr>
                <w:rFonts w:asciiTheme="minorHAnsi" w:hAnsiTheme="minorHAnsi" w:cstheme="minorHAnsi"/>
                <w:sz w:val="20"/>
              </w:rPr>
              <w:t>Goulburn Murray Rural Water Corporation</w:t>
            </w:r>
          </w:p>
        </w:tc>
        <w:tc>
          <w:tcPr>
            <w:tcW w:w="623" w:type="dxa"/>
          </w:tcPr>
          <w:p w14:paraId="18B3E90C"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9</w:t>
            </w:r>
          </w:p>
        </w:tc>
        <w:tc>
          <w:tcPr>
            <w:tcW w:w="624" w:type="dxa"/>
          </w:tcPr>
          <w:p w14:paraId="49003984"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846" w:type="dxa"/>
          </w:tcPr>
          <w:p w14:paraId="28AB53B9"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4</w:t>
            </w:r>
          </w:p>
        </w:tc>
        <w:tc>
          <w:tcPr>
            <w:tcW w:w="855" w:type="dxa"/>
          </w:tcPr>
          <w:p w14:paraId="4FB7A0B8"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624" w:type="dxa"/>
          </w:tcPr>
          <w:p w14:paraId="529D9BBE"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5</w:t>
            </w:r>
          </w:p>
        </w:tc>
        <w:tc>
          <w:tcPr>
            <w:tcW w:w="624" w:type="dxa"/>
          </w:tcPr>
          <w:p w14:paraId="036CAD41"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1123" w:type="dxa"/>
          </w:tcPr>
          <w:p w14:paraId="7B3F594C"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1075" w:type="dxa"/>
          </w:tcPr>
          <w:p w14:paraId="4851ABC6"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r>
      <w:tr w:rsidR="00B02873" w:rsidRPr="00821AC8" w14:paraId="6880EB5F" w14:textId="77777777" w:rsidTr="00821AC8">
        <w:tc>
          <w:tcPr>
            <w:tcW w:w="3681" w:type="dxa"/>
          </w:tcPr>
          <w:p w14:paraId="72C71F14" w14:textId="77777777" w:rsidR="00B02873" w:rsidRPr="00821AC8" w:rsidRDefault="00B02873" w:rsidP="00FA624C">
            <w:pPr>
              <w:pStyle w:val="TablebodyleftTables"/>
              <w:spacing w:before="20" w:after="20"/>
              <w:rPr>
                <w:rFonts w:asciiTheme="minorHAnsi" w:hAnsiTheme="minorHAnsi" w:cstheme="minorHAnsi"/>
                <w:sz w:val="20"/>
              </w:rPr>
            </w:pPr>
            <w:r w:rsidRPr="00821AC8">
              <w:rPr>
                <w:rFonts w:asciiTheme="minorHAnsi" w:hAnsiTheme="minorHAnsi" w:cstheme="minorHAnsi"/>
                <w:sz w:val="20"/>
              </w:rPr>
              <w:lastRenderedPageBreak/>
              <w:t>Goulburn Valley Region Water Corporation</w:t>
            </w:r>
          </w:p>
        </w:tc>
        <w:tc>
          <w:tcPr>
            <w:tcW w:w="623" w:type="dxa"/>
          </w:tcPr>
          <w:p w14:paraId="5C003E46"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7</w:t>
            </w:r>
          </w:p>
        </w:tc>
        <w:tc>
          <w:tcPr>
            <w:tcW w:w="624" w:type="dxa"/>
          </w:tcPr>
          <w:p w14:paraId="1061DCF9"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846" w:type="dxa"/>
          </w:tcPr>
          <w:p w14:paraId="1566F242"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2</w:t>
            </w:r>
          </w:p>
        </w:tc>
        <w:tc>
          <w:tcPr>
            <w:tcW w:w="855" w:type="dxa"/>
          </w:tcPr>
          <w:p w14:paraId="2968917D"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624" w:type="dxa"/>
          </w:tcPr>
          <w:p w14:paraId="2BA23523"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5</w:t>
            </w:r>
          </w:p>
        </w:tc>
        <w:tc>
          <w:tcPr>
            <w:tcW w:w="624" w:type="dxa"/>
          </w:tcPr>
          <w:p w14:paraId="08DD598F"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1123" w:type="dxa"/>
          </w:tcPr>
          <w:p w14:paraId="2EC16E42"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1075" w:type="dxa"/>
          </w:tcPr>
          <w:p w14:paraId="4DAFB35E"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r>
      <w:tr w:rsidR="00B02873" w:rsidRPr="00821AC8" w14:paraId="691BDBA7" w14:textId="77777777" w:rsidTr="00821AC8">
        <w:tc>
          <w:tcPr>
            <w:tcW w:w="3681" w:type="dxa"/>
          </w:tcPr>
          <w:p w14:paraId="34D28DA1" w14:textId="77777777" w:rsidR="00B02873" w:rsidRPr="00821AC8" w:rsidRDefault="00B02873" w:rsidP="00FA624C">
            <w:pPr>
              <w:pStyle w:val="TablebodyleftTables"/>
              <w:spacing w:before="20" w:after="20"/>
              <w:rPr>
                <w:rFonts w:asciiTheme="minorHAnsi" w:hAnsiTheme="minorHAnsi" w:cstheme="minorHAnsi"/>
                <w:sz w:val="20"/>
              </w:rPr>
            </w:pPr>
            <w:r w:rsidRPr="00821AC8">
              <w:rPr>
                <w:rFonts w:asciiTheme="minorHAnsi" w:hAnsiTheme="minorHAnsi" w:cstheme="minorHAnsi"/>
                <w:sz w:val="20"/>
              </w:rPr>
              <w:t>Goulburn Valley Waste and Resource Recovery Group</w:t>
            </w:r>
          </w:p>
        </w:tc>
        <w:tc>
          <w:tcPr>
            <w:tcW w:w="623" w:type="dxa"/>
          </w:tcPr>
          <w:p w14:paraId="0C902578"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w:t>
            </w:r>
          </w:p>
        </w:tc>
        <w:tc>
          <w:tcPr>
            <w:tcW w:w="624" w:type="dxa"/>
          </w:tcPr>
          <w:p w14:paraId="10FA271E"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846" w:type="dxa"/>
          </w:tcPr>
          <w:p w14:paraId="67BB580D"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855" w:type="dxa"/>
          </w:tcPr>
          <w:p w14:paraId="192DE6BB"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624" w:type="dxa"/>
          </w:tcPr>
          <w:p w14:paraId="10F95F04"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w:t>
            </w:r>
          </w:p>
        </w:tc>
        <w:tc>
          <w:tcPr>
            <w:tcW w:w="624" w:type="dxa"/>
          </w:tcPr>
          <w:p w14:paraId="49BED014"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1123" w:type="dxa"/>
          </w:tcPr>
          <w:p w14:paraId="38416EE0"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1075" w:type="dxa"/>
          </w:tcPr>
          <w:p w14:paraId="41475886"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r>
      <w:tr w:rsidR="00B02873" w:rsidRPr="00821AC8" w14:paraId="39688404" w14:textId="77777777" w:rsidTr="00821AC8">
        <w:tc>
          <w:tcPr>
            <w:tcW w:w="3681" w:type="dxa"/>
          </w:tcPr>
          <w:p w14:paraId="6CC680BD" w14:textId="77777777" w:rsidR="00B02873" w:rsidRPr="00821AC8" w:rsidRDefault="00B02873" w:rsidP="00FA624C">
            <w:pPr>
              <w:pStyle w:val="TablebodyleftTables"/>
              <w:spacing w:before="20" w:after="20"/>
              <w:rPr>
                <w:rFonts w:asciiTheme="minorHAnsi" w:hAnsiTheme="minorHAnsi" w:cstheme="minorHAnsi"/>
                <w:sz w:val="20"/>
              </w:rPr>
            </w:pPr>
            <w:r w:rsidRPr="00821AC8">
              <w:rPr>
                <w:rFonts w:asciiTheme="minorHAnsi" w:hAnsiTheme="minorHAnsi" w:cstheme="minorHAnsi"/>
                <w:sz w:val="20"/>
              </w:rPr>
              <w:t>Grampians Central West Waste and Resource Recovery Group</w:t>
            </w:r>
          </w:p>
        </w:tc>
        <w:tc>
          <w:tcPr>
            <w:tcW w:w="623" w:type="dxa"/>
          </w:tcPr>
          <w:p w14:paraId="1645C228"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w:t>
            </w:r>
          </w:p>
        </w:tc>
        <w:tc>
          <w:tcPr>
            <w:tcW w:w="624" w:type="dxa"/>
          </w:tcPr>
          <w:p w14:paraId="0D3636CD"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846" w:type="dxa"/>
          </w:tcPr>
          <w:p w14:paraId="73E107C6"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w:t>
            </w:r>
          </w:p>
        </w:tc>
        <w:tc>
          <w:tcPr>
            <w:tcW w:w="855" w:type="dxa"/>
          </w:tcPr>
          <w:p w14:paraId="1AF424B4"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624" w:type="dxa"/>
          </w:tcPr>
          <w:p w14:paraId="2330C4EA"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624" w:type="dxa"/>
          </w:tcPr>
          <w:p w14:paraId="20FF0F57"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1123" w:type="dxa"/>
          </w:tcPr>
          <w:p w14:paraId="73FC3745"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1075" w:type="dxa"/>
          </w:tcPr>
          <w:p w14:paraId="2DE15AE3"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r>
      <w:tr w:rsidR="00B02873" w:rsidRPr="00821AC8" w14:paraId="47FB2CBF" w14:textId="77777777" w:rsidTr="00821AC8">
        <w:tc>
          <w:tcPr>
            <w:tcW w:w="3681" w:type="dxa"/>
          </w:tcPr>
          <w:p w14:paraId="799D6737" w14:textId="77777777" w:rsidR="00B02873" w:rsidRPr="00821AC8" w:rsidRDefault="00B02873" w:rsidP="00FA624C">
            <w:pPr>
              <w:pStyle w:val="TablebodyleftTables"/>
              <w:spacing w:before="20" w:after="20"/>
              <w:rPr>
                <w:rFonts w:asciiTheme="minorHAnsi" w:hAnsiTheme="minorHAnsi" w:cstheme="minorHAnsi"/>
                <w:sz w:val="20"/>
              </w:rPr>
            </w:pPr>
            <w:r w:rsidRPr="00821AC8">
              <w:rPr>
                <w:rFonts w:asciiTheme="minorHAnsi" w:hAnsiTheme="minorHAnsi" w:cstheme="minorHAnsi"/>
                <w:sz w:val="20"/>
              </w:rPr>
              <w:t>Grampians Wimmera Mallee Water Corporation</w:t>
            </w:r>
          </w:p>
        </w:tc>
        <w:tc>
          <w:tcPr>
            <w:tcW w:w="623" w:type="dxa"/>
          </w:tcPr>
          <w:p w14:paraId="268D9A0D"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4</w:t>
            </w:r>
          </w:p>
        </w:tc>
        <w:tc>
          <w:tcPr>
            <w:tcW w:w="624" w:type="dxa"/>
          </w:tcPr>
          <w:p w14:paraId="215B9BF2"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846" w:type="dxa"/>
          </w:tcPr>
          <w:p w14:paraId="527A67BB"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w:t>
            </w:r>
          </w:p>
        </w:tc>
        <w:tc>
          <w:tcPr>
            <w:tcW w:w="855" w:type="dxa"/>
          </w:tcPr>
          <w:p w14:paraId="3CEA6273"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624" w:type="dxa"/>
          </w:tcPr>
          <w:p w14:paraId="06CFB6BD"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3</w:t>
            </w:r>
          </w:p>
        </w:tc>
        <w:tc>
          <w:tcPr>
            <w:tcW w:w="624" w:type="dxa"/>
          </w:tcPr>
          <w:p w14:paraId="69A225C8"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1123" w:type="dxa"/>
          </w:tcPr>
          <w:p w14:paraId="0C90618C"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1075" w:type="dxa"/>
          </w:tcPr>
          <w:p w14:paraId="19FADCF4"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r>
      <w:tr w:rsidR="00B02873" w:rsidRPr="00821AC8" w14:paraId="01EC61AF" w14:textId="77777777" w:rsidTr="00821AC8">
        <w:tc>
          <w:tcPr>
            <w:tcW w:w="3681" w:type="dxa"/>
          </w:tcPr>
          <w:p w14:paraId="09F06665" w14:textId="77777777" w:rsidR="00B02873" w:rsidRPr="00821AC8" w:rsidRDefault="00B02873" w:rsidP="00FA624C">
            <w:pPr>
              <w:pStyle w:val="TablebodyleftTables"/>
              <w:spacing w:before="20" w:after="20"/>
              <w:rPr>
                <w:rFonts w:asciiTheme="minorHAnsi" w:hAnsiTheme="minorHAnsi" w:cstheme="minorHAnsi"/>
                <w:sz w:val="20"/>
              </w:rPr>
            </w:pPr>
            <w:r w:rsidRPr="00821AC8">
              <w:rPr>
                <w:rFonts w:asciiTheme="minorHAnsi" w:hAnsiTheme="minorHAnsi" w:cstheme="minorHAnsi"/>
                <w:sz w:val="20"/>
              </w:rPr>
              <w:t>Great Ocean Road Coast and Parks Authority</w:t>
            </w:r>
          </w:p>
        </w:tc>
        <w:tc>
          <w:tcPr>
            <w:tcW w:w="623" w:type="dxa"/>
          </w:tcPr>
          <w:p w14:paraId="6694DD59"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5</w:t>
            </w:r>
          </w:p>
        </w:tc>
        <w:tc>
          <w:tcPr>
            <w:tcW w:w="624" w:type="dxa"/>
          </w:tcPr>
          <w:p w14:paraId="77FC830F"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4</w:t>
            </w:r>
          </w:p>
        </w:tc>
        <w:tc>
          <w:tcPr>
            <w:tcW w:w="846" w:type="dxa"/>
          </w:tcPr>
          <w:p w14:paraId="2D3CCD96"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3</w:t>
            </w:r>
          </w:p>
        </w:tc>
        <w:tc>
          <w:tcPr>
            <w:tcW w:w="855" w:type="dxa"/>
          </w:tcPr>
          <w:p w14:paraId="10A7C624"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3</w:t>
            </w:r>
          </w:p>
        </w:tc>
        <w:tc>
          <w:tcPr>
            <w:tcW w:w="624" w:type="dxa"/>
          </w:tcPr>
          <w:p w14:paraId="0F6913F8"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2</w:t>
            </w:r>
          </w:p>
        </w:tc>
        <w:tc>
          <w:tcPr>
            <w:tcW w:w="624" w:type="dxa"/>
          </w:tcPr>
          <w:p w14:paraId="4D2FD01C"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w:t>
            </w:r>
          </w:p>
        </w:tc>
        <w:tc>
          <w:tcPr>
            <w:tcW w:w="1123" w:type="dxa"/>
          </w:tcPr>
          <w:p w14:paraId="3E4F92CC"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1075" w:type="dxa"/>
          </w:tcPr>
          <w:p w14:paraId="0DBF60AC"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r>
      <w:tr w:rsidR="00B02873" w:rsidRPr="00821AC8" w14:paraId="0D80C1A2" w14:textId="77777777" w:rsidTr="00821AC8">
        <w:tc>
          <w:tcPr>
            <w:tcW w:w="3681" w:type="dxa"/>
          </w:tcPr>
          <w:p w14:paraId="646C16B7" w14:textId="77777777" w:rsidR="00B02873" w:rsidRPr="00821AC8" w:rsidRDefault="00B02873" w:rsidP="00FA624C">
            <w:pPr>
              <w:pStyle w:val="TablebodyleftTables"/>
              <w:spacing w:before="20" w:after="20"/>
              <w:rPr>
                <w:rFonts w:asciiTheme="minorHAnsi" w:hAnsiTheme="minorHAnsi" w:cstheme="minorHAnsi"/>
                <w:sz w:val="20"/>
              </w:rPr>
            </w:pPr>
            <w:r w:rsidRPr="00821AC8">
              <w:rPr>
                <w:rFonts w:asciiTheme="minorHAnsi" w:hAnsiTheme="minorHAnsi" w:cstheme="minorHAnsi"/>
                <w:sz w:val="20"/>
              </w:rPr>
              <w:t>Greater Western Water</w:t>
            </w:r>
          </w:p>
        </w:tc>
        <w:tc>
          <w:tcPr>
            <w:tcW w:w="623" w:type="dxa"/>
          </w:tcPr>
          <w:p w14:paraId="21B067C4"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12</w:t>
            </w:r>
          </w:p>
        </w:tc>
        <w:tc>
          <w:tcPr>
            <w:tcW w:w="624" w:type="dxa"/>
          </w:tcPr>
          <w:p w14:paraId="0789894C"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846" w:type="dxa"/>
          </w:tcPr>
          <w:p w14:paraId="4264D9D6"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6</w:t>
            </w:r>
          </w:p>
        </w:tc>
        <w:tc>
          <w:tcPr>
            <w:tcW w:w="855" w:type="dxa"/>
          </w:tcPr>
          <w:p w14:paraId="3205CD8C"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w:t>
            </w:r>
          </w:p>
        </w:tc>
        <w:tc>
          <w:tcPr>
            <w:tcW w:w="624" w:type="dxa"/>
          </w:tcPr>
          <w:p w14:paraId="23AB2F6E"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5</w:t>
            </w:r>
          </w:p>
        </w:tc>
        <w:tc>
          <w:tcPr>
            <w:tcW w:w="624" w:type="dxa"/>
          </w:tcPr>
          <w:p w14:paraId="794751F2"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-2</w:t>
            </w:r>
          </w:p>
        </w:tc>
        <w:tc>
          <w:tcPr>
            <w:tcW w:w="1123" w:type="dxa"/>
          </w:tcPr>
          <w:p w14:paraId="401F9997"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w:t>
            </w:r>
          </w:p>
        </w:tc>
        <w:tc>
          <w:tcPr>
            <w:tcW w:w="1075" w:type="dxa"/>
          </w:tcPr>
          <w:p w14:paraId="17540642"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w:t>
            </w:r>
          </w:p>
        </w:tc>
      </w:tr>
      <w:tr w:rsidR="00B02873" w:rsidRPr="00821AC8" w14:paraId="02277F79" w14:textId="77777777" w:rsidTr="00821AC8">
        <w:tc>
          <w:tcPr>
            <w:tcW w:w="3681" w:type="dxa"/>
          </w:tcPr>
          <w:p w14:paraId="1F912B69" w14:textId="77777777" w:rsidR="00B02873" w:rsidRPr="00821AC8" w:rsidRDefault="00B02873" w:rsidP="00FA624C">
            <w:pPr>
              <w:pStyle w:val="TablebodyleftTables"/>
              <w:spacing w:before="20" w:after="20"/>
              <w:rPr>
                <w:rFonts w:asciiTheme="minorHAnsi" w:hAnsiTheme="minorHAnsi" w:cstheme="minorHAnsi"/>
                <w:sz w:val="20"/>
              </w:rPr>
            </w:pPr>
            <w:r w:rsidRPr="00821AC8">
              <w:rPr>
                <w:rFonts w:asciiTheme="minorHAnsi" w:hAnsiTheme="minorHAnsi" w:cstheme="minorHAnsi"/>
                <w:sz w:val="20"/>
              </w:rPr>
              <w:t>Lower Murray Urban and Rural Water Corporation</w:t>
            </w:r>
          </w:p>
        </w:tc>
        <w:tc>
          <w:tcPr>
            <w:tcW w:w="623" w:type="dxa"/>
          </w:tcPr>
          <w:p w14:paraId="1F3B2088"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6</w:t>
            </w:r>
          </w:p>
        </w:tc>
        <w:tc>
          <w:tcPr>
            <w:tcW w:w="624" w:type="dxa"/>
          </w:tcPr>
          <w:p w14:paraId="3A5BBC86"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846" w:type="dxa"/>
          </w:tcPr>
          <w:p w14:paraId="6C5C4694"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2</w:t>
            </w:r>
          </w:p>
        </w:tc>
        <w:tc>
          <w:tcPr>
            <w:tcW w:w="855" w:type="dxa"/>
          </w:tcPr>
          <w:p w14:paraId="2B0C9D2B"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624" w:type="dxa"/>
          </w:tcPr>
          <w:p w14:paraId="1DF648C6"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4</w:t>
            </w:r>
          </w:p>
        </w:tc>
        <w:tc>
          <w:tcPr>
            <w:tcW w:w="624" w:type="dxa"/>
          </w:tcPr>
          <w:p w14:paraId="0C5298B8"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1123" w:type="dxa"/>
          </w:tcPr>
          <w:p w14:paraId="57B97494"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1075" w:type="dxa"/>
          </w:tcPr>
          <w:p w14:paraId="00BA3247"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r>
      <w:tr w:rsidR="00B02873" w:rsidRPr="00821AC8" w14:paraId="2322B807" w14:textId="77777777" w:rsidTr="00821AC8">
        <w:tc>
          <w:tcPr>
            <w:tcW w:w="3681" w:type="dxa"/>
          </w:tcPr>
          <w:p w14:paraId="405208D8" w14:textId="77777777" w:rsidR="00B02873" w:rsidRPr="00821AC8" w:rsidRDefault="00B02873" w:rsidP="00FA624C">
            <w:pPr>
              <w:pStyle w:val="TablebodyleftTables"/>
              <w:spacing w:before="20" w:after="20"/>
              <w:rPr>
                <w:rFonts w:asciiTheme="minorHAnsi" w:hAnsiTheme="minorHAnsi" w:cstheme="minorHAnsi"/>
                <w:sz w:val="20"/>
              </w:rPr>
            </w:pPr>
            <w:r w:rsidRPr="00821AC8">
              <w:rPr>
                <w:rFonts w:asciiTheme="minorHAnsi" w:hAnsiTheme="minorHAnsi" w:cstheme="minorHAnsi"/>
                <w:sz w:val="20"/>
              </w:rPr>
              <w:t>Mallee Catchment Management Authority</w:t>
            </w:r>
          </w:p>
        </w:tc>
        <w:tc>
          <w:tcPr>
            <w:tcW w:w="623" w:type="dxa"/>
          </w:tcPr>
          <w:p w14:paraId="262A1B2D"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w:t>
            </w:r>
          </w:p>
        </w:tc>
        <w:tc>
          <w:tcPr>
            <w:tcW w:w="624" w:type="dxa"/>
          </w:tcPr>
          <w:p w14:paraId="38614A44"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846" w:type="dxa"/>
          </w:tcPr>
          <w:p w14:paraId="076AE008"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w:t>
            </w:r>
          </w:p>
        </w:tc>
        <w:tc>
          <w:tcPr>
            <w:tcW w:w="855" w:type="dxa"/>
          </w:tcPr>
          <w:p w14:paraId="2A2157C4"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624" w:type="dxa"/>
          </w:tcPr>
          <w:p w14:paraId="5C30D145"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624" w:type="dxa"/>
          </w:tcPr>
          <w:p w14:paraId="57D92074"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1123" w:type="dxa"/>
          </w:tcPr>
          <w:p w14:paraId="3FBEDA8E"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1075" w:type="dxa"/>
          </w:tcPr>
          <w:p w14:paraId="17D36051"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r>
      <w:tr w:rsidR="00B02873" w:rsidRPr="00821AC8" w14:paraId="3ABC8BD4" w14:textId="77777777" w:rsidTr="00821AC8">
        <w:tc>
          <w:tcPr>
            <w:tcW w:w="3681" w:type="dxa"/>
          </w:tcPr>
          <w:p w14:paraId="05FAABA7" w14:textId="77777777" w:rsidR="00B02873" w:rsidRPr="00821AC8" w:rsidRDefault="00B02873" w:rsidP="00FA624C">
            <w:pPr>
              <w:pStyle w:val="TablebodyleftTables"/>
              <w:spacing w:before="20" w:after="20"/>
              <w:rPr>
                <w:rFonts w:asciiTheme="minorHAnsi" w:hAnsiTheme="minorHAnsi" w:cstheme="minorHAnsi"/>
                <w:sz w:val="20"/>
              </w:rPr>
            </w:pPr>
            <w:r w:rsidRPr="00821AC8">
              <w:rPr>
                <w:rFonts w:asciiTheme="minorHAnsi" w:hAnsiTheme="minorHAnsi" w:cstheme="minorHAnsi"/>
                <w:sz w:val="20"/>
              </w:rPr>
              <w:t>Melbourne Water Corporation</w:t>
            </w:r>
          </w:p>
        </w:tc>
        <w:tc>
          <w:tcPr>
            <w:tcW w:w="623" w:type="dxa"/>
          </w:tcPr>
          <w:p w14:paraId="7C97E79A"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11</w:t>
            </w:r>
          </w:p>
        </w:tc>
        <w:tc>
          <w:tcPr>
            <w:tcW w:w="624" w:type="dxa"/>
          </w:tcPr>
          <w:p w14:paraId="6A9CF927"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-2</w:t>
            </w:r>
          </w:p>
        </w:tc>
        <w:tc>
          <w:tcPr>
            <w:tcW w:w="846" w:type="dxa"/>
          </w:tcPr>
          <w:p w14:paraId="230F30E6"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4</w:t>
            </w:r>
          </w:p>
        </w:tc>
        <w:tc>
          <w:tcPr>
            <w:tcW w:w="855" w:type="dxa"/>
          </w:tcPr>
          <w:p w14:paraId="18D3B855"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624" w:type="dxa"/>
          </w:tcPr>
          <w:p w14:paraId="0D534104"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7</w:t>
            </w:r>
          </w:p>
        </w:tc>
        <w:tc>
          <w:tcPr>
            <w:tcW w:w="624" w:type="dxa"/>
          </w:tcPr>
          <w:p w14:paraId="4DF1E967"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-2</w:t>
            </w:r>
          </w:p>
        </w:tc>
        <w:tc>
          <w:tcPr>
            <w:tcW w:w="1123" w:type="dxa"/>
          </w:tcPr>
          <w:p w14:paraId="5494020A"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1075" w:type="dxa"/>
          </w:tcPr>
          <w:p w14:paraId="4D1F0982"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r>
      <w:tr w:rsidR="00B02873" w:rsidRPr="00821AC8" w14:paraId="58356423" w14:textId="77777777" w:rsidTr="00821AC8">
        <w:tc>
          <w:tcPr>
            <w:tcW w:w="3681" w:type="dxa"/>
          </w:tcPr>
          <w:p w14:paraId="6E4D286B" w14:textId="77777777" w:rsidR="00B02873" w:rsidRPr="00821AC8" w:rsidRDefault="00B02873" w:rsidP="00FA624C">
            <w:pPr>
              <w:pStyle w:val="TablebodyleftTables"/>
              <w:spacing w:before="20" w:after="20"/>
              <w:rPr>
                <w:rFonts w:asciiTheme="minorHAnsi" w:hAnsiTheme="minorHAnsi" w:cstheme="minorHAnsi"/>
                <w:sz w:val="20"/>
              </w:rPr>
            </w:pPr>
            <w:r w:rsidRPr="00821AC8">
              <w:rPr>
                <w:rFonts w:asciiTheme="minorHAnsi" w:hAnsiTheme="minorHAnsi" w:cstheme="minorHAnsi"/>
                <w:sz w:val="20"/>
              </w:rPr>
              <w:t>Metropolitan Waste and Resource Recovery Group</w:t>
            </w:r>
          </w:p>
        </w:tc>
        <w:tc>
          <w:tcPr>
            <w:tcW w:w="623" w:type="dxa"/>
          </w:tcPr>
          <w:p w14:paraId="211479FF"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w:t>
            </w:r>
          </w:p>
        </w:tc>
        <w:tc>
          <w:tcPr>
            <w:tcW w:w="624" w:type="dxa"/>
          </w:tcPr>
          <w:p w14:paraId="2998FF7C"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846" w:type="dxa"/>
          </w:tcPr>
          <w:p w14:paraId="6D8DF556"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w:t>
            </w:r>
          </w:p>
        </w:tc>
        <w:tc>
          <w:tcPr>
            <w:tcW w:w="855" w:type="dxa"/>
          </w:tcPr>
          <w:p w14:paraId="7A09D468"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624" w:type="dxa"/>
          </w:tcPr>
          <w:p w14:paraId="662696D6"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624" w:type="dxa"/>
          </w:tcPr>
          <w:p w14:paraId="71756FB9"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1123" w:type="dxa"/>
          </w:tcPr>
          <w:p w14:paraId="414C0032"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1075" w:type="dxa"/>
          </w:tcPr>
          <w:p w14:paraId="1BB05EE6"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r>
      <w:tr w:rsidR="00B02873" w:rsidRPr="00821AC8" w14:paraId="0751C7B0" w14:textId="77777777" w:rsidTr="00821AC8">
        <w:tc>
          <w:tcPr>
            <w:tcW w:w="3681" w:type="dxa"/>
          </w:tcPr>
          <w:p w14:paraId="134F709A" w14:textId="77777777" w:rsidR="00B02873" w:rsidRPr="00821AC8" w:rsidRDefault="00B02873" w:rsidP="00FA624C">
            <w:pPr>
              <w:pStyle w:val="TablebodyleftTables"/>
              <w:spacing w:before="20" w:after="20"/>
              <w:rPr>
                <w:rFonts w:asciiTheme="minorHAnsi" w:hAnsiTheme="minorHAnsi" w:cstheme="minorHAnsi"/>
                <w:sz w:val="20"/>
              </w:rPr>
            </w:pPr>
            <w:r w:rsidRPr="00821AC8">
              <w:rPr>
                <w:rFonts w:asciiTheme="minorHAnsi" w:hAnsiTheme="minorHAnsi" w:cstheme="minorHAnsi"/>
                <w:sz w:val="20"/>
              </w:rPr>
              <w:t>Mount Buller and Mount Stirling Alpine Resort management Board</w:t>
            </w:r>
          </w:p>
        </w:tc>
        <w:tc>
          <w:tcPr>
            <w:tcW w:w="623" w:type="dxa"/>
          </w:tcPr>
          <w:p w14:paraId="699F8E46"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w:t>
            </w:r>
          </w:p>
        </w:tc>
        <w:tc>
          <w:tcPr>
            <w:tcW w:w="624" w:type="dxa"/>
          </w:tcPr>
          <w:p w14:paraId="2921F477"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846" w:type="dxa"/>
          </w:tcPr>
          <w:p w14:paraId="16AC3553"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855" w:type="dxa"/>
          </w:tcPr>
          <w:p w14:paraId="67867E8D"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624" w:type="dxa"/>
          </w:tcPr>
          <w:p w14:paraId="2DB1D96A"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w:t>
            </w:r>
          </w:p>
        </w:tc>
        <w:tc>
          <w:tcPr>
            <w:tcW w:w="624" w:type="dxa"/>
          </w:tcPr>
          <w:p w14:paraId="1AEE8A75"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1123" w:type="dxa"/>
          </w:tcPr>
          <w:p w14:paraId="4C4260E7"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1075" w:type="dxa"/>
          </w:tcPr>
          <w:p w14:paraId="298C52D0"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r>
      <w:tr w:rsidR="00B02873" w:rsidRPr="00821AC8" w14:paraId="058F5174" w14:textId="77777777" w:rsidTr="00821AC8">
        <w:tc>
          <w:tcPr>
            <w:tcW w:w="3681" w:type="dxa"/>
          </w:tcPr>
          <w:p w14:paraId="67666169" w14:textId="77777777" w:rsidR="00B02873" w:rsidRPr="00821AC8" w:rsidRDefault="00B02873" w:rsidP="00FA624C">
            <w:pPr>
              <w:pStyle w:val="TablebodyleftTables"/>
              <w:spacing w:before="20" w:after="20"/>
              <w:rPr>
                <w:rFonts w:asciiTheme="minorHAnsi" w:hAnsiTheme="minorHAnsi" w:cstheme="minorHAnsi"/>
                <w:sz w:val="20"/>
              </w:rPr>
            </w:pPr>
            <w:r w:rsidRPr="00821AC8">
              <w:rPr>
                <w:rFonts w:asciiTheme="minorHAnsi" w:hAnsiTheme="minorHAnsi" w:cstheme="minorHAnsi"/>
                <w:sz w:val="20"/>
              </w:rPr>
              <w:t>Mount Hotham Resort Management Board</w:t>
            </w:r>
          </w:p>
        </w:tc>
        <w:tc>
          <w:tcPr>
            <w:tcW w:w="623" w:type="dxa"/>
          </w:tcPr>
          <w:p w14:paraId="5DB3D501"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w:t>
            </w:r>
          </w:p>
        </w:tc>
        <w:tc>
          <w:tcPr>
            <w:tcW w:w="624" w:type="dxa"/>
          </w:tcPr>
          <w:p w14:paraId="56FF7BBA"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846" w:type="dxa"/>
          </w:tcPr>
          <w:p w14:paraId="223A6BC9"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w:t>
            </w:r>
          </w:p>
        </w:tc>
        <w:tc>
          <w:tcPr>
            <w:tcW w:w="855" w:type="dxa"/>
          </w:tcPr>
          <w:p w14:paraId="3645AFFF"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624" w:type="dxa"/>
          </w:tcPr>
          <w:p w14:paraId="2A7DA966"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624" w:type="dxa"/>
          </w:tcPr>
          <w:p w14:paraId="31D866C7"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1123" w:type="dxa"/>
          </w:tcPr>
          <w:p w14:paraId="55EBA706"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1075" w:type="dxa"/>
          </w:tcPr>
          <w:p w14:paraId="4C737D00"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r>
      <w:tr w:rsidR="00B02873" w:rsidRPr="00821AC8" w14:paraId="4BE3001C" w14:textId="77777777" w:rsidTr="00821AC8">
        <w:tc>
          <w:tcPr>
            <w:tcW w:w="3681" w:type="dxa"/>
          </w:tcPr>
          <w:p w14:paraId="66348A8F" w14:textId="77777777" w:rsidR="00B02873" w:rsidRPr="00821AC8" w:rsidRDefault="00B02873" w:rsidP="00FA624C">
            <w:pPr>
              <w:pStyle w:val="TablebodyleftTables"/>
              <w:spacing w:before="20" w:after="20"/>
              <w:rPr>
                <w:rFonts w:asciiTheme="minorHAnsi" w:hAnsiTheme="minorHAnsi" w:cstheme="minorHAnsi"/>
                <w:sz w:val="20"/>
              </w:rPr>
            </w:pPr>
            <w:r w:rsidRPr="00821AC8">
              <w:rPr>
                <w:rFonts w:asciiTheme="minorHAnsi" w:hAnsiTheme="minorHAnsi" w:cstheme="minorHAnsi"/>
                <w:sz w:val="20"/>
              </w:rPr>
              <w:t>North Central Catchment Management Authority</w:t>
            </w:r>
          </w:p>
        </w:tc>
        <w:tc>
          <w:tcPr>
            <w:tcW w:w="623" w:type="dxa"/>
          </w:tcPr>
          <w:p w14:paraId="08B46B5E"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w:t>
            </w:r>
          </w:p>
        </w:tc>
        <w:tc>
          <w:tcPr>
            <w:tcW w:w="624" w:type="dxa"/>
          </w:tcPr>
          <w:p w14:paraId="0C879958"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846" w:type="dxa"/>
          </w:tcPr>
          <w:p w14:paraId="49126E2E"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855" w:type="dxa"/>
          </w:tcPr>
          <w:p w14:paraId="6319B0CD"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624" w:type="dxa"/>
          </w:tcPr>
          <w:p w14:paraId="6BA09D5C"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w:t>
            </w:r>
          </w:p>
        </w:tc>
        <w:tc>
          <w:tcPr>
            <w:tcW w:w="624" w:type="dxa"/>
          </w:tcPr>
          <w:p w14:paraId="0BC1BA0D"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1123" w:type="dxa"/>
          </w:tcPr>
          <w:p w14:paraId="220B404B"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1075" w:type="dxa"/>
          </w:tcPr>
          <w:p w14:paraId="24AE403C"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r>
      <w:tr w:rsidR="00B02873" w:rsidRPr="00821AC8" w14:paraId="0504A0C5" w14:textId="77777777" w:rsidTr="00821AC8">
        <w:tc>
          <w:tcPr>
            <w:tcW w:w="3681" w:type="dxa"/>
          </w:tcPr>
          <w:p w14:paraId="5E88027E" w14:textId="77777777" w:rsidR="00B02873" w:rsidRPr="00821AC8" w:rsidRDefault="00B02873" w:rsidP="00FA624C">
            <w:pPr>
              <w:pStyle w:val="TablebodyleftTables"/>
              <w:spacing w:before="20" w:after="20"/>
              <w:rPr>
                <w:rFonts w:asciiTheme="minorHAnsi" w:hAnsiTheme="minorHAnsi" w:cstheme="minorHAnsi"/>
                <w:sz w:val="20"/>
              </w:rPr>
            </w:pPr>
            <w:r w:rsidRPr="00821AC8">
              <w:rPr>
                <w:rFonts w:asciiTheme="minorHAnsi" w:hAnsiTheme="minorHAnsi" w:cstheme="minorHAnsi"/>
                <w:sz w:val="20"/>
              </w:rPr>
              <w:t>North East Catchment Management Authority</w:t>
            </w:r>
          </w:p>
        </w:tc>
        <w:tc>
          <w:tcPr>
            <w:tcW w:w="623" w:type="dxa"/>
          </w:tcPr>
          <w:p w14:paraId="22D49130"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w:t>
            </w:r>
          </w:p>
        </w:tc>
        <w:tc>
          <w:tcPr>
            <w:tcW w:w="624" w:type="dxa"/>
          </w:tcPr>
          <w:p w14:paraId="4FD2AA1D"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846" w:type="dxa"/>
          </w:tcPr>
          <w:p w14:paraId="5FD505E8"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w:t>
            </w:r>
          </w:p>
        </w:tc>
        <w:tc>
          <w:tcPr>
            <w:tcW w:w="855" w:type="dxa"/>
          </w:tcPr>
          <w:p w14:paraId="0A507A4A"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624" w:type="dxa"/>
          </w:tcPr>
          <w:p w14:paraId="4C7016AA"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624" w:type="dxa"/>
          </w:tcPr>
          <w:p w14:paraId="032250ED"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1123" w:type="dxa"/>
          </w:tcPr>
          <w:p w14:paraId="56874D6B"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1075" w:type="dxa"/>
          </w:tcPr>
          <w:p w14:paraId="1FB1D9FE"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r>
      <w:tr w:rsidR="00B02873" w:rsidRPr="00821AC8" w14:paraId="180F2567" w14:textId="77777777" w:rsidTr="00821AC8">
        <w:tc>
          <w:tcPr>
            <w:tcW w:w="3681" w:type="dxa"/>
          </w:tcPr>
          <w:p w14:paraId="1D986196" w14:textId="77777777" w:rsidR="00B02873" w:rsidRPr="00821AC8" w:rsidRDefault="00B02873" w:rsidP="00FA624C">
            <w:pPr>
              <w:pStyle w:val="TablebodyleftTables"/>
              <w:spacing w:before="20" w:after="20"/>
              <w:rPr>
                <w:rFonts w:asciiTheme="minorHAnsi" w:hAnsiTheme="minorHAnsi" w:cstheme="minorHAnsi"/>
                <w:sz w:val="20"/>
              </w:rPr>
            </w:pPr>
            <w:r w:rsidRPr="00821AC8">
              <w:rPr>
                <w:rFonts w:asciiTheme="minorHAnsi" w:hAnsiTheme="minorHAnsi" w:cstheme="minorHAnsi"/>
                <w:sz w:val="20"/>
              </w:rPr>
              <w:t>North East Region Water Corporation</w:t>
            </w:r>
          </w:p>
        </w:tc>
        <w:tc>
          <w:tcPr>
            <w:tcW w:w="623" w:type="dxa"/>
          </w:tcPr>
          <w:p w14:paraId="79E47DEC"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6</w:t>
            </w:r>
          </w:p>
        </w:tc>
        <w:tc>
          <w:tcPr>
            <w:tcW w:w="624" w:type="dxa"/>
          </w:tcPr>
          <w:p w14:paraId="4DBFBD0C"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2</w:t>
            </w:r>
          </w:p>
        </w:tc>
        <w:tc>
          <w:tcPr>
            <w:tcW w:w="846" w:type="dxa"/>
          </w:tcPr>
          <w:p w14:paraId="4FC44801"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3</w:t>
            </w:r>
          </w:p>
        </w:tc>
        <w:tc>
          <w:tcPr>
            <w:tcW w:w="855" w:type="dxa"/>
          </w:tcPr>
          <w:p w14:paraId="380B359E"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2</w:t>
            </w:r>
          </w:p>
        </w:tc>
        <w:tc>
          <w:tcPr>
            <w:tcW w:w="624" w:type="dxa"/>
          </w:tcPr>
          <w:p w14:paraId="2114AD6A"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3</w:t>
            </w:r>
          </w:p>
        </w:tc>
        <w:tc>
          <w:tcPr>
            <w:tcW w:w="624" w:type="dxa"/>
          </w:tcPr>
          <w:p w14:paraId="314D8C22"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1123" w:type="dxa"/>
          </w:tcPr>
          <w:p w14:paraId="0705B8EA"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1075" w:type="dxa"/>
          </w:tcPr>
          <w:p w14:paraId="0193A435"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r>
      <w:tr w:rsidR="00B02873" w:rsidRPr="00821AC8" w14:paraId="662CC6D7" w14:textId="77777777" w:rsidTr="00821AC8">
        <w:tc>
          <w:tcPr>
            <w:tcW w:w="3681" w:type="dxa"/>
          </w:tcPr>
          <w:p w14:paraId="181A90FA" w14:textId="77777777" w:rsidR="00B02873" w:rsidRPr="00821AC8" w:rsidRDefault="00B02873" w:rsidP="00FA624C">
            <w:pPr>
              <w:pStyle w:val="TablebodyleftTables"/>
              <w:spacing w:before="20" w:after="20"/>
              <w:rPr>
                <w:rFonts w:asciiTheme="minorHAnsi" w:hAnsiTheme="minorHAnsi" w:cstheme="minorHAnsi"/>
                <w:sz w:val="20"/>
              </w:rPr>
            </w:pPr>
            <w:r w:rsidRPr="00821AC8">
              <w:rPr>
                <w:rFonts w:asciiTheme="minorHAnsi" w:hAnsiTheme="minorHAnsi" w:cstheme="minorHAnsi"/>
                <w:sz w:val="20"/>
              </w:rPr>
              <w:t>North East Waste and Resource Recovery Group</w:t>
            </w:r>
          </w:p>
        </w:tc>
        <w:tc>
          <w:tcPr>
            <w:tcW w:w="623" w:type="dxa"/>
          </w:tcPr>
          <w:p w14:paraId="4E387A68"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w:t>
            </w:r>
          </w:p>
        </w:tc>
        <w:tc>
          <w:tcPr>
            <w:tcW w:w="624" w:type="dxa"/>
          </w:tcPr>
          <w:p w14:paraId="67BCD716"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846" w:type="dxa"/>
          </w:tcPr>
          <w:p w14:paraId="52944D58"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w:t>
            </w:r>
          </w:p>
        </w:tc>
        <w:tc>
          <w:tcPr>
            <w:tcW w:w="855" w:type="dxa"/>
          </w:tcPr>
          <w:p w14:paraId="1E680775"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624" w:type="dxa"/>
          </w:tcPr>
          <w:p w14:paraId="17F2C8DB"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624" w:type="dxa"/>
          </w:tcPr>
          <w:p w14:paraId="5810399F"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1123" w:type="dxa"/>
          </w:tcPr>
          <w:p w14:paraId="017F6E38"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1075" w:type="dxa"/>
          </w:tcPr>
          <w:p w14:paraId="10B40B93"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r>
      <w:tr w:rsidR="00B02873" w:rsidRPr="00821AC8" w14:paraId="2D0FD95B" w14:textId="77777777" w:rsidTr="00821AC8">
        <w:tc>
          <w:tcPr>
            <w:tcW w:w="3681" w:type="dxa"/>
          </w:tcPr>
          <w:p w14:paraId="5ED51389" w14:textId="77777777" w:rsidR="00B02873" w:rsidRPr="00821AC8" w:rsidRDefault="00B02873" w:rsidP="00FA624C">
            <w:pPr>
              <w:pStyle w:val="TablebodyleftTables"/>
              <w:spacing w:before="20" w:after="20"/>
              <w:rPr>
                <w:rFonts w:asciiTheme="minorHAnsi" w:hAnsiTheme="minorHAnsi" w:cstheme="minorHAnsi"/>
                <w:sz w:val="20"/>
              </w:rPr>
            </w:pPr>
            <w:r w:rsidRPr="00821AC8">
              <w:rPr>
                <w:rFonts w:asciiTheme="minorHAnsi" w:hAnsiTheme="minorHAnsi" w:cstheme="minorHAnsi"/>
                <w:sz w:val="20"/>
              </w:rPr>
              <w:t>Parks Victoria</w:t>
            </w:r>
          </w:p>
        </w:tc>
        <w:tc>
          <w:tcPr>
            <w:tcW w:w="623" w:type="dxa"/>
          </w:tcPr>
          <w:p w14:paraId="2F5B66CE"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26</w:t>
            </w:r>
          </w:p>
        </w:tc>
        <w:tc>
          <w:tcPr>
            <w:tcW w:w="624" w:type="dxa"/>
          </w:tcPr>
          <w:p w14:paraId="6083C639"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w:t>
            </w:r>
          </w:p>
        </w:tc>
        <w:tc>
          <w:tcPr>
            <w:tcW w:w="846" w:type="dxa"/>
          </w:tcPr>
          <w:p w14:paraId="3A586D4C"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13</w:t>
            </w:r>
          </w:p>
        </w:tc>
        <w:tc>
          <w:tcPr>
            <w:tcW w:w="855" w:type="dxa"/>
          </w:tcPr>
          <w:p w14:paraId="6D65C85C"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w:t>
            </w:r>
          </w:p>
        </w:tc>
        <w:tc>
          <w:tcPr>
            <w:tcW w:w="624" w:type="dxa"/>
          </w:tcPr>
          <w:p w14:paraId="74C463C2"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13</w:t>
            </w:r>
          </w:p>
        </w:tc>
        <w:tc>
          <w:tcPr>
            <w:tcW w:w="624" w:type="dxa"/>
          </w:tcPr>
          <w:p w14:paraId="2D3410E0"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1123" w:type="dxa"/>
          </w:tcPr>
          <w:p w14:paraId="41781D8B"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1075" w:type="dxa"/>
          </w:tcPr>
          <w:p w14:paraId="381231DE"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r>
      <w:tr w:rsidR="00B02873" w:rsidRPr="00821AC8" w14:paraId="62677EE5" w14:textId="77777777" w:rsidTr="00821AC8">
        <w:tc>
          <w:tcPr>
            <w:tcW w:w="3681" w:type="dxa"/>
          </w:tcPr>
          <w:p w14:paraId="54124B61" w14:textId="77777777" w:rsidR="00B02873" w:rsidRPr="00821AC8" w:rsidRDefault="00B02873" w:rsidP="00FA624C">
            <w:pPr>
              <w:pStyle w:val="TablebodyleftTables"/>
              <w:spacing w:before="20" w:after="20"/>
              <w:rPr>
                <w:rFonts w:asciiTheme="minorHAnsi" w:hAnsiTheme="minorHAnsi" w:cstheme="minorHAnsi"/>
                <w:sz w:val="20"/>
              </w:rPr>
            </w:pPr>
            <w:r w:rsidRPr="00821AC8">
              <w:rPr>
                <w:rFonts w:asciiTheme="minorHAnsi" w:hAnsiTheme="minorHAnsi" w:cstheme="minorHAnsi"/>
                <w:sz w:val="20"/>
              </w:rPr>
              <w:t>Phillip Island Nature Park Board of Management</w:t>
            </w:r>
          </w:p>
        </w:tc>
        <w:tc>
          <w:tcPr>
            <w:tcW w:w="623" w:type="dxa"/>
          </w:tcPr>
          <w:p w14:paraId="5CE2A17A"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w:t>
            </w:r>
          </w:p>
        </w:tc>
        <w:tc>
          <w:tcPr>
            <w:tcW w:w="624" w:type="dxa"/>
          </w:tcPr>
          <w:p w14:paraId="7D59ABF8"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846" w:type="dxa"/>
          </w:tcPr>
          <w:p w14:paraId="74274373"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w:t>
            </w:r>
          </w:p>
        </w:tc>
        <w:tc>
          <w:tcPr>
            <w:tcW w:w="855" w:type="dxa"/>
          </w:tcPr>
          <w:p w14:paraId="21538472"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624" w:type="dxa"/>
          </w:tcPr>
          <w:p w14:paraId="1C0CD206"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624" w:type="dxa"/>
          </w:tcPr>
          <w:p w14:paraId="32E1E408"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1123" w:type="dxa"/>
          </w:tcPr>
          <w:p w14:paraId="1EF5D50F"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1075" w:type="dxa"/>
          </w:tcPr>
          <w:p w14:paraId="57FB653B"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r>
      <w:tr w:rsidR="00B02873" w:rsidRPr="00821AC8" w14:paraId="40CE2C19" w14:textId="77777777" w:rsidTr="00821AC8">
        <w:tc>
          <w:tcPr>
            <w:tcW w:w="3681" w:type="dxa"/>
          </w:tcPr>
          <w:p w14:paraId="377BF7B3" w14:textId="77777777" w:rsidR="00B02873" w:rsidRPr="00821AC8" w:rsidRDefault="00B02873" w:rsidP="00FA624C">
            <w:pPr>
              <w:pStyle w:val="TablebodyleftTables"/>
              <w:spacing w:before="20" w:after="20"/>
              <w:rPr>
                <w:rFonts w:asciiTheme="minorHAnsi" w:hAnsiTheme="minorHAnsi" w:cstheme="minorHAnsi"/>
                <w:sz w:val="20"/>
              </w:rPr>
            </w:pPr>
            <w:r w:rsidRPr="00821AC8">
              <w:rPr>
                <w:rFonts w:asciiTheme="minorHAnsi" w:hAnsiTheme="minorHAnsi" w:cstheme="minorHAnsi"/>
                <w:sz w:val="20"/>
              </w:rPr>
              <w:t>Royal Botanic Gardens Board</w:t>
            </w:r>
          </w:p>
        </w:tc>
        <w:tc>
          <w:tcPr>
            <w:tcW w:w="623" w:type="dxa"/>
          </w:tcPr>
          <w:p w14:paraId="29DA6612"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6</w:t>
            </w:r>
          </w:p>
        </w:tc>
        <w:tc>
          <w:tcPr>
            <w:tcW w:w="624" w:type="dxa"/>
          </w:tcPr>
          <w:p w14:paraId="3A8A846D"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846" w:type="dxa"/>
          </w:tcPr>
          <w:p w14:paraId="6F0712CD"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2</w:t>
            </w:r>
          </w:p>
        </w:tc>
        <w:tc>
          <w:tcPr>
            <w:tcW w:w="855" w:type="dxa"/>
          </w:tcPr>
          <w:p w14:paraId="7D692E11"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624" w:type="dxa"/>
          </w:tcPr>
          <w:p w14:paraId="47193C16"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4</w:t>
            </w:r>
          </w:p>
        </w:tc>
        <w:tc>
          <w:tcPr>
            <w:tcW w:w="624" w:type="dxa"/>
          </w:tcPr>
          <w:p w14:paraId="2E22DFDA"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1123" w:type="dxa"/>
          </w:tcPr>
          <w:p w14:paraId="0AF26918"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1075" w:type="dxa"/>
          </w:tcPr>
          <w:p w14:paraId="10B6685B"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r>
      <w:tr w:rsidR="00B02873" w:rsidRPr="00821AC8" w14:paraId="66686A8B" w14:textId="77777777" w:rsidTr="00821AC8">
        <w:tc>
          <w:tcPr>
            <w:tcW w:w="3681" w:type="dxa"/>
          </w:tcPr>
          <w:p w14:paraId="407E8809" w14:textId="77777777" w:rsidR="00B02873" w:rsidRPr="00821AC8" w:rsidRDefault="00B02873" w:rsidP="00FA624C">
            <w:pPr>
              <w:pStyle w:val="TablebodyleftTables"/>
              <w:spacing w:before="20" w:after="20"/>
              <w:rPr>
                <w:rFonts w:asciiTheme="minorHAnsi" w:hAnsiTheme="minorHAnsi" w:cstheme="minorHAnsi"/>
                <w:sz w:val="20"/>
              </w:rPr>
            </w:pPr>
            <w:r w:rsidRPr="00821AC8">
              <w:rPr>
                <w:rFonts w:asciiTheme="minorHAnsi" w:hAnsiTheme="minorHAnsi" w:cstheme="minorHAnsi"/>
                <w:sz w:val="20"/>
              </w:rPr>
              <w:t>South East Water Corporation</w:t>
            </w:r>
          </w:p>
        </w:tc>
        <w:tc>
          <w:tcPr>
            <w:tcW w:w="623" w:type="dxa"/>
          </w:tcPr>
          <w:p w14:paraId="513589A6"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8</w:t>
            </w:r>
          </w:p>
        </w:tc>
        <w:tc>
          <w:tcPr>
            <w:tcW w:w="624" w:type="dxa"/>
          </w:tcPr>
          <w:p w14:paraId="0DEE90FB"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w:t>
            </w:r>
          </w:p>
        </w:tc>
        <w:tc>
          <w:tcPr>
            <w:tcW w:w="846" w:type="dxa"/>
          </w:tcPr>
          <w:p w14:paraId="143CA156"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4</w:t>
            </w:r>
          </w:p>
        </w:tc>
        <w:tc>
          <w:tcPr>
            <w:tcW w:w="855" w:type="dxa"/>
          </w:tcPr>
          <w:p w14:paraId="750623E6"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624" w:type="dxa"/>
          </w:tcPr>
          <w:p w14:paraId="079C2F96"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4</w:t>
            </w:r>
          </w:p>
        </w:tc>
        <w:tc>
          <w:tcPr>
            <w:tcW w:w="624" w:type="dxa"/>
          </w:tcPr>
          <w:p w14:paraId="0DDA38E1"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w:t>
            </w:r>
          </w:p>
        </w:tc>
        <w:tc>
          <w:tcPr>
            <w:tcW w:w="1123" w:type="dxa"/>
          </w:tcPr>
          <w:p w14:paraId="07C4C9BD"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1075" w:type="dxa"/>
          </w:tcPr>
          <w:p w14:paraId="237BFB67"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r>
      <w:tr w:rsidR="00B02873" w:rsidRPr="00821AC8" w14:paraId="171EA3C9" w14:textId="77777777" w:rsidTr="00821AC8">
        <w:tc>
          <w:tcPr>
            <w:tcW w:w="3681" w:type="dxa"/>
          </w:tcPr>
          <w:p w14:paraId="4ECC4551" w14:textId="77777777" w:rsidR="00B02873" w:rsidRPr="00821AC8" w:rsidRDefault="00B02873" w:rsidP="00FA624C">
            <w:pPr>
              <w:pStyle w:val="TablebodyleftTables"/>
              <w:spacing w:before="20" w:after="20"/>
              <w:rPr>
                <w:rFonts w:asciiTheme="minorHAnsi" w:hAnsiTheme="minorHAnsi" w:cstheme="minorHAnsi"/>
                <w:sz w:val="20"/>
              </w:rPr>
            </w:pPr>
            <w:r w:rsidRPr="00821AC8">
              <w:rPr>
                <w:rFonts w:asciiTheme="minorHAnsi" w:hAnsiTheme="minorHAnsi" w:cstheme="minorHAnsi"/>
                <w:sz w:val="20"/>
              </w:rPr>
              <w:t>South Gippsland Region Water Corporation</w:t>
            </w:r>
          </w:p>
        </w:tc>
        <w:tc>
          <w:tcPr>
            <w:tcW w:w="623" w:type="dxa"/>
          </w:tcPr>
          <w:p w14:paraId="0D8C00B5"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6</w:t>
            </w:r>
          </w:p>
        </w:tc>
        <w:tc>
          <w:tcPr>
            <w:tcW w:w="624" w:type="dxa"/>
          </w:tcPr>
          <w:p w14:paraId="4F03CFC8"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w:t>
            </w:r>
          </w:p>
        </w:tc>
        <w:tc>
          <w:tcPr>
            <w:tcW w:w="846" w:type="dxa"/>
          </w:tcPr>
          <w:p w14:paraId="6047160E"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w:t>
            </w:r>
          </w:p>
        </w:tc>
        <w:tc>
          <w:tcPr>
            <w:tcW w:w="855" w:type="dxa"/>
          </w:tcPr>
          <w:p w14:paraId="2225EE3B"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624" w:type="dxa"/>
          </w:tcPr>
          <w:p w14:paraId="24310A6D"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5</w:t>
            </w:r>
          </w:p>
        </w:tc>
        <w:tc>
          <w:tcPr>
            <w:tcW w:w="624" w:type="dxa"/>
          </w:tcPr>
          <w:p w14:paraId="0869CBE5"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w:t>
            </w:r>
          </w:p>
        </w:tc>
        <w:tc>
          <w:tcPr>
            <w:tcW w:w="1123" w:type="dxa"/>
          </w:tcPr>
          <w:p w14:paraId="5DBFD0EE"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1075" w:type="dxa"/>
          </w:tcPr>
          <w:p w14:paraId="22BF11E8"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r>
      <w:tr w:rsidR="00B02873" w:rsidRPr="00821AC8" w14:paraId="02FA0525" w14:textId="77777777" w:rsidTr="00821AC8">
        <w:tc>
          <w:tcPr>
            <w:tcW w:w="3681" w:type="dxa"/>
          </w:tcPr>
          <w:p w14:paraId="0D7E19D5" w14:textId="77777777" w:rsidR="00B02873" w:rsidRPr="00821AC8" w:rsidRDefault="00B02873" w:rsidP="00FA624C">
            <w:pPr>
              <w:pStyle w:val="TablebodyleftTables"/>
              <w:spacing w:before="20" w:after="20"/>
              <w:rPr>
                <w:rFonts w:asciiTheme="minorHAnsi" w:hAnsiTheme="minorHAnsi" w:cstheme="minorHAnsi"/>
                <w:sz w:val="20"/>
              </w:rPr>
            </w:pPr>
            <w:r w:rsidRPr="00821AC8">
              <w:rPr>
                <w:rFonts w:asciiTheme="minorHAnsi" w:hAnsiTheme="minorHAnsi" w:cstheme="minorHAnsi"/>
                <w:sz w:val="20"/>
              </w:rPr>
              <w:t>Southern Alpine Resort Management Board</w:t>
            </w:r>
          </w:p>
        </w:tc>
        <w:tc>
          <w:tcPr>
            <w:tcW w:w="623" w:type="dxa"/>
          </w:tcPr>
          <w:p w14:paraId="39B1C29E"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w:t>
            </w:r>
          </w:p>
        </w:tc>
        <w:tc>
          <w:tcPr>
            <w:tcW w:w="624" w:type="dxa"/>
          </w:tcPr>
          <w:p w14:paraId="7383F0C0"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846" w:type="dxa"/>
          </w:tcPr>
          <w:p w14:paraId="27B7EF49"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w:t>
            </w:r>
          </w:p>
        </w:tc>
        <w:tc>
          <w:tcPr>
            <w:tcW w:w="855" w:type="dxa"/>
          </w:tcPr>
          <w:p w14:paraId="56638EF9"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624" w:type="dxa"/>
          </w:tcPr>
          <w:p w14:paraId="4470BCED"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624" w:type="dxa"/>
          </w:tcPr>
          <w:p w14:paraId="340C9B1A"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1123" w:type="dxa"/>
          </w:tcPr>
          <w:p w14:paraId="62A70777"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1075" w:type="dxa"/>
          </w:tcPr>
          <w:p w14:paraId="3CD643F6"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r>
      <w:tr w:rsidR="00B02873" w:rsidRPr="00821AC8" w14:paraId="3FAEBB3A" w14:textId="77777777" w:rsidTr="00821AC8">
        <w:tc>
          <w:tcPr>
            <w:tcW w:w="3681" w:type="dxa"/>
          </w:tcPr>
          <w:p w14:paraId="4CA40893" w14:textId="77777777" w:rsidR="00B02873" w:rsidRPr="00821AC8" w:rsidRDefault="00B02873" w:rsidP="00FA624C">
            <w:pPr>
              <w:pStyle w:val="TablebodyleftTables"/>
              <w:spacing w:before="20" w:after="20"/>
              <w:rPr>
                <w:rFonts w:asciiTheme="minorHAnsi" w:hAnsiTheme="minorHAnsi" w:cstheme="minorHAnsi"/>
                <w:sz w:val="20"/>
              </w:rPr>
            </w:pPr>
            <w:r w:rsidRPr="00821AC8">
              <w:rPr>
                <w:rFonts w:asciiTheme="minorHAnsi" w:hAnsiTheme="minorHAnsi" w:cstheme="minorHAnsi"/>
                <w:sz w:val="20"/>
              </w:rPr>
              <w:lastRenderedPageBreak/>
              <w:t>Sustainability Victoria</w:t>
            </w:r>
          </w:p>
        </w:tc>
        <w:tc>
          <w:tcPr>
            <w:tcW w:w="623" w:type="dxa"/>
          </w:tcPr>
          <w:p w14:paraId="4BE9C8B8"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7</w:t>
            </w:r>
          </w:p>
        </w:tc>
        <w:tc>
          <w:tcPr>
            <w:tcW w:w="624" w:type="dxa"/>
          </w:tcPr>
          <w:p w14:paraId="62C6191A"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w:t>
            </w:r>
          </w:p>
        </w:tc>
        <w:tc>
          <w:tcPr>
            <w:tcW w:w="846" w:type="dxa"/>
          </w:tcPr>
          <w:p w14:paraId="64BDE79D"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5</w:t>
            </w:r>
          </w:p>
        </w:tc>
        <w:tc>
          <w:tcPr>
            <w:tcW w:w="855" w:type="dxa"/>
          </w:tcPr>
          <w:p w14:paraId="646B64D3"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w:t>
            </w:r>
          </w:p>
        </w:tc>
        <w:tc>
          <w:tcPr>
            <w:tcW w:w="624" w:type="dxa"/>
          </w:tcPr>
          <w:p w14:paraId="0707D6FC"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2</w:t>
            </w:r>
          </w:p>
        </w:tc>
        <w:tc>
          <w:tcPr>
            <w:tcW w:w="624" w:type="dxa"/>
          </w:tcPr>
          <w:p w14:paraId="52CF3D57"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1123" w:type="dxa"/>
          </w:tcPr>
          <w:p w14:paraId="73710A7E"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1075" w:type="dxa"/>
          </w:tcPr>
          <w:p w14:paraId="52AC8673"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r>
      <w:tr w:rsidR="00B02873" w:rsidRPr="00821AC8" w14:paraId="5059901A" w14:textId="77777777" w:rsidTr="00821AC8">
        <w:tc>
          <w:tcPr>
            <w:tcW w:w="3681" w:type="dxa"/>
          </w:tcPr>
          <w:p w14:paraId="2D51648E" w14:textId="77777777" w:rsidR="00B02873" w:rsidRPr="00821AC8" w:rsidRDefault="00B02873" w:rsidP="00FA624C">
            <w:pPr>
              <w:pStyle w:val="TablebodyleftTables"/>
              <w:spacing w:before="20" w:after="20"/>
              <w:rPr>
                <w:rFonts w:asciiTheme="minorHAnsi" w:hAnsiTheme="minorHAnsi" w:cstheme="minorHAnsi"/>
                <w:sz w:val="20"/>
              </w:rPr>
            </w:pPr>
            <w:r w:rsidRPr="00821AC8">
              <w:rPr>
                <w:rFonts w:asciiTheme="minorHAnsi" w:hAnsiTheme="minorHAnsi" w:cstheme="minorHAnsi"/>
                <w:sz w:val="20"/>
              </w:rPr>
              <w:t>Trust for Nature (Victoria)</w:t>
            </w:r>
          </w:p>
        </w:tc>
        <w:tc>
          <w:tcPr>
            <w:tcW w:w="623" w:type="dxa"/>
          </w:tcPr>
          <w:p w14:paraId="268B762D"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w:t>
            </w:r>
          </w:p>
        </w:tc>
        <w:tc>
          <w:tcPr>
            <w:tcW w:w="624" w:type="dxa"/>
          </w:tcPr>
          <w:p w14:paraId="4F4166FA"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846" w:type="dxa"/>
          </w:tcPr>
          <w:p w14:paraId="1B185B5D"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w:t>
            </w:r>
          </w:p>
        </w:tc>
        <w:tc>
          <w:tcPr>
            <w:tcW w:w="855" w:type="dxa"/>
          </w:tcPr>
          <w:p w14:paraId="1075D0C3"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624" w:type="dxa"/>
          </w:tcPr>
          <w:p w14:paraId="12D67161"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624" w:type="dxa"/>
          </w:tcPr>
          <w:p w14:paraId="47C853FB"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1123" w:type="dxa"/>
          </w:tcPr>
          <w:p w14:paraId="6B4A916F"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1075" w:type="dxa"/>
          </w:tcPr>
          <w:p w14:paraId="26BA3395"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r>
      <w:tr w:rsidR="00B02873" w:rsidRPr="00821AC8" w14:paraId="30D3700B" w14:textId="77777777" w:rsidTr="00821AC8">
        <w:tc>
          <w:tcPr>
            <w:tcW w:w="3681" w:type="dxa"/>
          </w:tcPr>
          <w:p w14:paraId="16FA1F66" w14:textId="77777777" w:rsidR="00B02873" w:rsidRPr="00821AC8" w:rsidRDefault="00B02873" w:rsidP="00FA624C">
            <w:pPr>
              <w:pStyle w:val="TablebodyleftTables"/>
              <w:spacing w:before="20" w:after="20"/>
              <w:rPr>
                <w:rFonts w:asciiTheme="minorHAnsi" w:hAnsiTheme="minorHAnsi" w:cstheme="minorHAnsi"/>
                <w:sz w:val="20"/>
              </w:rPr>
            </w:pPr>
            <w:r w:rsidRPr="00821AC8">
              <w:rPr>
                <w:rFonts w:asciiTheme="minorHAnsi" w:hAnsiTheme="minorHAnsi" w:cstheme="minorHAnsi"/>
                <w:sz w:val="20"/>
              </w:rPr>
              <w:t>Victorian Building Authority</w:t>
            </w:r>
          </w:p>
        </w:tc>
        <w:tc>
          <w:tcPr>
            <w:tcW w:w="623" w:type="dxa"/>
          </w:tcPr>
          <w:p w14:paraId="14933964"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15</w:t>
            </w:r>
          </w:p>
        </w:tc>
        <w:tc>
          <w:tcPr>
            <w:tcW w:w="624" w:type="dxa"/>
          </w:tcPr>
          <w:p w14:paraId="6F0D60AE"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-3</w:t>
            </w:r>
          </w:p>
        </w:tc>
        <w:tc>
          <w:tcPr>
            <w:tcW w:w="846" w:type="dxa"/>
          </w:tcPr>
          <w:p w14:paraId="6F42EB9E"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6</w:t>
            </w:r>
          </w:p>
        </w:tc>
        <w:tc>
          <w:tcPr>
            <w:tcW w:w="855" w:type="dxa"/>
          </w:tcPr>
          <w:p w14:paraId="755608B4"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-4</w:t>
            </w:r>
          </w:p>
        </w:tc>
        <w:tc>
          <w:tcPr>
            <w:tcW w:w="624" w:type="dxa"/>
          </w:tcPr>
          <w:p w14:paraId="0098C86C"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9</w:t>
            </w:r>
          </w:p>
        </w:tc>
        <w:tc>
          <w:tcPr>
            <w:tcW w:w="624" w:type="dxa"/>
          </w:tcPr>
          <w:p w14:paraId="004D816C"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w:t>
            </w:r>
          </w:p>
        </w:tc>
        <w:tc>
          <w:tcPr>
            <w:tcW w:w="1123" w:type="dxa"/>
          </w:tcPr>
          <w:p w14:paraId="386AC9D4"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1075" w:type="dxa"/>
          </w:tcPr>
          <w:p w14:paraId="73CD94D4"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r>
      <w:tr w:rsidR="00B02873" w:rsidRPr="00821AC8" w14:paraId="438B605E" w14:textId="77777777" w:rsidTr="00821AC8">
        <w:tc>
          <w:tcPr>
            <w:tcW w:w="3681" w:type="dxa"/>
          </w:tcPr>
          <w:p w14:paraId="3A7E268B" w14:textId="77777777" w:rsidR="00B02873" w:rsidRPr="00821AC8" w:rsidRDefault="00B02873" w:rsidP="00FA624C">
            <w:pPr>
              <w:pStyle w:val="TablebodyleftTables"/>
              <w:spacing w:before="20" w:after="20"/>
              <w:rPr>
                <w:rFonts w:asciiTheme="minorHAnsi" w:hAnsiTheme="minorHAnsi" w:cstheme="minorHAnsi"/>
                <w:sz w:val="20"/>
              </w:rPr>
            </w:pPr>
            <w:r w:rsidRPr="00821AC8">
              <w:rPr>
                <w:rFonts w:asciiTheme="minorHAnsi" w:hAnsiTheme="minorHAnsi" w:cstheme="minorHAnsi"/>
                <w:sz w:val="20"/>
              </w:rPr>
              <w:t>Victorian Planning Authority</w:t>
            </w:r>
          </w:p>
        </w:tc>
        <w:tc>
          <w:tcPr>
            <w:tcW w:w="623" w:type="dxa"/>
          </w:tcPr>
          <w:p w14:paraId="14998674"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5</w:t>
            </w:r>
          </w:p>
        </w:tc>
        <w:tc>
          <w:tcPr>
            <w:tcW w:w="624" w:type="dxa"/>
          </w:tcPr>
          <w:p w14:paraId="60C7CF74"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w:t>
            </w:r>
          </w:p>
        </w:tc>
        <w:tc>
          <w:tcPr>
            <w:tcW w:w="846" w:type="dxa"/>
          </w:tcPr>
          <w:p w14:paraId="6C6E81A2"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2</w:t>
            </w:r>
          </w:p>
        </w:tc>
        <w:tc>
          <w:tcPr>
            <w:tcW w:w="855" w:type="dxa"/>
          </w:tcPr>
          <w:p w14:paraId="667024A7"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w:t>
            </w:r>
          </w:p>
        </w:tc>
        <w:tc>
          <w:tcPr>
            <w:tcW w:w="624" w:type="dxa"/>
          </w:tcPr>
          <w:p w14:paraId="773AFDCC"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3</w:t>
            </w:r>
          </w:p>
        </w:tc>
        <w:tc>
          <w:tcPr>
            <w:tcW w:w="624" w:type="dxa"/>
          </w:tcPr>
          <w:p w14:paraId="2D2760DD"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1123" w:type="dxa"/>
          </w:tcPr>
          <w:p w14:paraId="5ABBCB89"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1075" w:type="dxa"/>
          </w:tcPr>
          <w:p w14:paraId="717C2B05"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r>
      <w:tr w:rsidR="00B02873" w:rsidRPr="00821AC8" w14:paraId="12114DC1" w14:textId="77777777" w:rsidTr="00821AC8">
        <w:tc>
          <w:tcPr>
            <w:tcW w:w="3681" w:type="dxa"/>
          </w:tcPr>
          <w:p w14:paraId="54FCD23C" w14:textId="77777777" w:rsidR="00B02873" w:rsidRPr="00821AC8" w:rsidRDefault="00B02873" w:rsidP="00FA624C">
            <w:pPr>
              <w:pStyle w:val="TablebodyleftTables"/>
              <w:spacing w:before="20" w:after="20"/>
              <w:rPr>
                <w:rFonts w:asciiTheme="minorHAnsi" w:hAnsiTheme="minorHAnsi" w:cstheme="minorHAnsi"/>
                <w:sz w:val="20"/>
              </w:rPr>
            </w:pPr>
            <w:r w:rsidRPr="00821AC8">
              <w:rPr>
                <w:rFonts w:asciiTheme="minorHAnsi" w:hAnsiTheme="minorHAnsi" w:cstheme="minorHAnsi"/>
                <w:sz w:val="20"/>
              </w:rPr>
              <w:t>Wannon Region Water Corporation</w:t>
            </w:r>
          </w:p>
        </w:tc>
        <w:tc>
          <w:tcPr>
            <w:tcW w:w="623" w:type="dxa"/>
          </w:tcPr>
          <w:p w14:paraId="021A2AB5"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6</w:t>
            </w:r>
          </w:p>
        </w:tc>
        <w:tc>
          <w:tcPr>
            <w:tcW w:w="624" w:type="dxa"/>
          </w:tcPr>
          <w:p w14:paraId="40E50C3D"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846" w:type="dxa"/>
          </w:tcPr>
          <w:p w14:paraId="2E1359A1"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w:t>
            </w:r>
          </w:p>
        </w:tc>
        <w:tc>
          <w:tcPr>
            <w:tcW w:w="855" w:type="dxa"/>
          </w:tcPr>
          <w:p w14:paraId="37623B53"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624" w:type="dxa"/>
          </w:tcPr>
          <w:p w14:paraId="4E8A9DB8"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5</w:t>
            </w:r>
          </w:p>
        </w:tc>
        <w:tc>
          <w:tcPr>
            <w:tcW w:w="624" w:type="dxa"/>
          </w:tcPr>
          <w:p w14:paraId="36D16905"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1123" w:type="dxa"/>
          </w:tcPr>
          <w:p w14:paraId="1AB6C21B"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1075" w:type="dxa"/>
          </w:tcPr>
          <w:p w14:paraId="70413EC0"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r>
      <w:tr w:rsidR="00B02873" w:rsidRPr="00821AC8" w14:paraId="0660328B" w14:textId="77777777" w:rsidTr="00821AC8">
        <w:tc>
          <w:tcPr>
            <w:tcW w:w="3681" w:type="dxa"/>
          </w:tcPr>
          <w:p w14:paraId="3CE09E49" w14:textId="77777777" w:rsidR="00B02873" w:rsidRPr="00821AC8" w:rsidRDefault="00B02873" w:rsidP="00FA624C">
            <w:pPr>
              <w:pStyle w:val="TablebodyleftTables"/>
              <w:spacing w:before="20" w:after="20"/>
              <w:rPr>
                <w:rFonts w:asciiTheme="minorHAnsi" w:hAnsiTheme="minorHAnsi" w:cstheme="minorHAnsi"/>
                <w:sz w:val="20"/>
              </w:rPr>
            </w:pPr>
            <w:r w:rsidRPr="00821AC8">
              <w:rPr>
                <w:rFonts w:asciiTheme="minorHAnsi" w:hAnsiTheme="minorHAnsi" w:cstheme="minorHAnsi"/>
                <w:sz w:val="20"/>
              </w:rPr>
              <w:t>West Gippsland Catchment Management Authority</w:t>
            </w:r>
          </w:p>
        </w:tc>
        <w:tc>
          <w:tcPr>
            <w:tcW w:w="623" w:type="dxa"/>
          </w:tcPr>
          <w:p w14:paraId="102520B4"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w:t>
            </w:r>
          </w:p>
        </w:tc>
        <w:tc>
          <w:tcPr>
            <w:tcW w:w="624" w:type="dxa"/>
          </w:tcPr>
          <w:p w14:paraId="7B64461F"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846" w:type="dxa"/>
          </w:tcPr>
          <w:p w14:paraId="50E2FDF5"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855" w:type="dxa"/>
          </w:tcPr>
          <w:p w14:paraId="2F359305"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624" w:type="dxa"/>
          </w:tcPr>
          <w:p w14:paraId="3555F9B0"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w:t>
            </w:r>
          </w:p>
        </w:tc>
        <w:tc>
          <w:tcPr>
            <w:tcW w:w="624" w:type="dxa"/>
          </w:tcPr>
          <w:p w14:paraId="3E58AABB"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1123" w:type="dxa"/>
          </w:tcPr>
          <w:p w14:paraId="6A9AA0F2"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1075" w:type="dxa"/>
          </w:tcPr>
          <w:p w14:paraId="491D5C06"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r>
      <w:tr w:rsidR="00B02873" w:rsidRPr="00821AC8" w14:paraId="4C49576C" w14:textId="77777777" w:rsidTr="00821AC8">
        <w:tc>
          <w:tcPr>
            <w:tcW w:w="3681" w:type="dxa"/>
          </w:tcPr>
          <w:p w14:paraId="337FA23D" w14:textId="77777777" w:rsidR="00B02873" w:rsidRPr="00821AC8" w:rsidRDefault="00B02873" w:rsidP="00FA624C">
            <w:pPr>
              <w:pStyle w:val="TablebodyleftTables"/>
              <w:spacing w:before="20" w:after="20"/>
              <w:rPr>
                <w:rFonts w:asciiTheme="minorHAnsi" w:hAnsiTheme="minorHAnsi" w:cstheme="minorHAnsi"/>
                <w:sz w:val="20"/>
              </w:rPr>
            </w:pPr>
            <w:r w:rsidRPr="00821AC8">
              <w:rPr>
                <w:rFonts w:asciiTheme="minorHAnsi" w:hAnsiTheme="minorHAnsi" w:cstheme="minorHAnsi"/>
                <w:sz w:val="20"/>
              </w:rPr>
              <w:t>Westernport Region Water Corporation</w:t>
            </w:r>
          </w:p>
        </w:tc>
        <w:tc>
          <w:tcPr>
            <w:tcW w:w="623" w:type="dxa"/>
          </w:tcPr>
          <w:p w14:paraId="427FCA4A"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3</w:t>
            </w:r>
          </w:p>
        </w:tc>
        <w:tc>
          <w:tcPr>
            <w:tcW w:w="624" w:type="dxa"/>
          </w:tcPr>
          <w:p w14:paraId="3B804157"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w:t>
            </w:r>
          </w:p>
        </w:tc>
        <w:tc>
          <w:tcPr>
            <w:tcW w:w="846" w:type="dxa"/>
          </w:tcPr>
          <w:p w14:paraId="425772E2"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w:t>
            </w:r>
          </w:p>
        </w:tc>
        <w:tc>
          <w:tcPr>
            <w:tcW w:w="855" w:type="dxa"/>
          </w:tcPr>
          <w:p w14:paraId="2FDF1E7F"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624" w:type="dxa"/>
          </w:tcPr>
          <w:p w14:paraId="1DA1B22D"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2</w:t>
            </w:r>
          </w:p>
        </w:tc>
        <w:tc>
          <w:tcPr>
            <w:tcW w:w="624" w:type="dxa"/>
          </w:tcPr>
          <w:p w14:paraId="5F3D1920"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w:t>
            </w:r>
          </w:p>
        </w:tc>
        <w:tc>
          <w:tcPr>
            <w:tcW w:w="1123" w:type="dxa"/>
          </w:tcPr>
          <w:p w14:paraId="45F9C3FB"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1075" w:type="dxa"/>
          </w:tcPr>
          <w:p w14:paraId="19E0487B"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r>
      <w:tr w:rsidR="00B02873" w:rsidRPr="00821AC8" w14:paraId="183694A2" w14:textId="77777777" w:rsidTr="00821AC8">
        <w:tc>
          <w:tcPr>
            <w:tcW w:w="3681" w:type="dxa"/>
          </w:tcPr>
          <w:p w14:paraId="34ABA1AD" w14:textId="77777777" w:rsidR="00B02873" w:rsidRPr="00821AC8" w:rsidRDefault="00B02873" w:rsidP="00FA624C">
            <w:pPr>
              <w:pStyle w:val="TablebodyleftTables"/>
              <w:spacing w:before="20" w:after="20"/>
              <w:rPr>
                <w:rFonts w:asciiTheme="minorHAnsi" w:hAnsiTheme="minorHAnsi" w:cstheme="minorHAnsi"/>
                <w:sz w:val="20"/>
              </w:rPr>
            </w:pPr>
            <w:r w:rsidRPr="00821AC8">
              <w:rPr>
                <w:rFonts w:asciiTheme="minorHAnsi" w:hAnsiTheme="minorHAnsi" w:cstheme="minorHAnsi"/>
                <w:sz w:val="20"/>
              </w:rPr>
              <w:t>Wimmera Catchment Management Authority</w:t>
            </w:r>
          </w:p>
        </w:tc>
        <w:tc>
          <w:tcPr>
            <w:tcW w:w="623" w:type="dxa"/>
          </w:tcPr>
          <w:p w14:paraId="376642B7"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w:t>
            </w:r>
          </w:p>
        </w:tc>
        <w:tc>
          <w:tcPr>
            <w:tcW w:w="624" w:type="dxa"/>
          </w:tcPr>
          <w:p w14:paraId="691A2A4A"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846" w:type="dxa"/>
          </w:tcPr>
          <w:p w14:paraId="2BD5417C"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855" w:type="dxa"/>
          </w:tcPr>
          <w:p w14:paraId="2F3DFB67"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624" w:type="dxa"/>
          </w:tcPr>
          <w:p w14:paraId="77E27196"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w:t>
            </w:r>
          </w:p>
        </w:tc>
        <w:tc>
          <w:tcPr>
            <w:tcW w:w="624" w:type="dxa"/>
          </w:tcPr>
          <w:p w14:paraId="452C7929"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1123" w:type="dxa"/>
          </w:tcPr>
          <w:p w14:paraId="5630E280"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1075" w:type="dxa"/>
          </w:tcPr>
          <w:p w14:paraId="2C6E22B7"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r>
      <w:tr w:rsidR="00B02873" w:rsidRPr="00821AC8" w14:paraId="4A294194" w14:textId="77777777" w:rsidTr="00821AC8">
        <w:tc>
          <w:tcPr>
            <w:tcW w:w="3681" w:type="dxa"/>
          </w:tcPr>
          <w:p w14:paraId="00F0CFA4" w14:textId="77777777" w:rsidR="00B02873" w:rsidRPr="00821AC8" w:rsidRDefault="00B02873" w:rsidP="00FA624C">
            <w:pPr>
              <w:pStyle w:val="TablebodyleftTables"/>
              <w:spacing w:before="20" w:after="20"/>
              <w:rPr>
                <w:rFonts w:asciiTheme="minorHAnsi" w:hAnsiTheme="minorHAnsi" w:cstheme="minorHAnsi"/>
                <w:sz w:val="20"/>
              </w:rPr>
            </w:pPr>
            <w:r w:rsidRPr="00821AC8">
              <w:rPr>
                <w:rFonts w:asciiTheme="minorHAnsi" w:hAnsiTheme="minorHAnsi" w:cstheme="minorHAnsi"/>
                <w:sz w:val="20"/>
              </w:rPr>
              <w:t>Winton Wetlands Committee of Management</w:t>
            </w:r>
          </w:p>
        </w:tc>
        <w:tc>
          <w:tcPr>
            <w:tcW w:w="623" w:type="dxa"/>
          </w:tcPr>
          <w:p w14:paraId="315A7050"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w:t>
            </w:r>
          </w:p>
        </w:tc>
        <w:tc>
          <w:tcPr>
            <w:tcW w:w="624" w:type="dxa"/>
          </w:tcPr>
          <w:p w14:paraId="75938D92"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846" w:type="dxa"/>
          </w:tcPr>
          <w:p w14:paraId="38AAFD95"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w:t>
            </w:r>
          </w:p>
        </w:tc>
        <w:tc>
          <w:tcPr>
            <w:tcW w:w="855" w:type="dxa"/>
          </w:tcPr>
          <w:p w14:paraId="12CF0FC7"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624" w:type="dxa"/>
          </w:tcPr>
          <w:p w14:paraId="2C9D062F"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624" w:type="dxa"/>
          </w:tcPr>
          <w:p w14:paraId="1F02F817"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1123" w:type="dxa"/>
          </w:tcPr>
          <w:p w14:paraId="4FF45AFA"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1075" w:type="dxa"/>
          </w:tcPr>
          <w:p w14:paraId="6C5313BE"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r>
      <w:tr w:rsidR="00B02873" w:rsidRPr="00821AC8" w14:paraId="53A9D678" w14:textId="77777777" w:rsidTr="00821AC8">
        <w:tc>
          <w:tcPr>
            <w:tcW w:w="3681" w:type="dxa"/>
          </w:tcPr>
          <w:p w14:paraId="2BC5B7CA" w14:textId="77777777" w:rsidR="00B02873" w:rsidRPr="00821AC8" w:rsidRDefault="00B02873" w:rsidP="00FA624C">
            <w:pPr>
              <w:pStyle w:val="TablebodyleftTables"/>
              <w:spacing w:before="20" w:after="20"/>
              <w:rPr>
                <w:rFonts w:asciiTheme="minorHAnsi" w:hAnsiTheme="minorHAnsi" w:cstheme="minorHAnsi"/>
                <w:sz w:val="20"/>
              </w:rPr>
            </w:pPr>
            <w:r w:rsidRPr="00821AC8">
              <w:rPr>
                <w:rFonts w:asciiTheme="minorHAnsi" w:hAnsiTheme="minorHAnsi" w:cstheme="minorHAnsi"/>
                <w:sz w:val="20"/>
              </w:rPr>
              <w:t>Working Heritage Incorporated</w:t>
            </w:r>
          </w:p>
        </w:tc>
        <w:tc>
          <w:tcPr>
            <w:tcW w:w="623" w:type="dxa"/>
          </w:tcPr>
          <w:p w14:paraId="5B287EDF"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w:t>
            </w:r>
          </w:p>
        </w:tc>
        <w:tc>
          <w:tcPr>
            <w:tcW w:w="624" w:type="dxa"/>
          </w:tcPr>
          <w:p w14:paraId="3B981D95"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846" w:type="dxa"/>
          </w:tcPr>
          <w:p w14:paraId="55B3BE89"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855" w:type="dxa"/>
          </w:tcPr>
          <w:p w14:paraId="6BA16CB4"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624" w:type="dxa"/>
          </w:tcPr>
          <w:p w14:paraId="2AD4148D"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w:t>
            </w:r>
          </w:p>
        </w:tc>
        <w:tc>
          <w:tcPr>
            <w:tcW w:w="624" w:type="dxa"/>
          </w:tcPr>
          <w:p w14:paraId="25253313"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1123" w:type="dxa"/>
          </w:tcPr>
          <w:p w14:paraId="1F252F2E"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1075" w:type="dxa"/>
          </w:tcPr>
          <w:p w14:paraId="708FB1ED"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r>
      <w:tr w:rsidR="00B02873" w:rsidRPr="00821AC8" w14:paraId="408537EB" w14:textId="77777777" w:rsidTr="00821AC8">
        <w:tc>
          <w:tcPr>
            <w:tcW w:w="3681" w:type="dxa"/>
          </w:tcPr>
          <w:p w14:paraId="35959FB9" w14:textId="77777777" w:rsidR="00B02873" w:rsidRPr="00821AC8" w:rsidRDefault="00B02873" w:rsidP="00FA624C">
            <w:pPr>
              <w:pStyle w:val="TablebodyleftTables"/>
              <w:spacing w:before="20" w:after="20"/>
              <w:rPr>
                <w:rFonts w:asciiTheme="minorHAnsi" w:hAnsiTheme="minorHAnsi" w:cstheme="minorHAnsi"/>
                <w:sz w:val="20"/>
              </w:rPr>
            </w:pPr>
            <w:r w:rsidRPr="00821AC8">
              <w:rPr>
                <w:rFonts w:asciiTheme="minorHAnsi" w:hAnsiTheme="minorHAnsi" w:cstheme="minorHAnsi"/>
                <w:sz w:val="20"/>
              </w:rPr>
              <w:t>Yarra Valley Water Corporation</w:t>
            </w:r>
          </w:p>
        </w:tc>
        <w:tc>
          <w:tcPr>
            <w:tcW w:w="623" w:type="dxa"/>
          </w:tcPr>
          <w:p w14:paraId="481D45C9"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8</w:t>
            </w:r>
          </w:p>
        </w:tc>
        <w:tc>
          <w:tcPr>
            <w:tcW w:w="624" w:type="dxa"/>
          </w:tcPr>
          <w:p w14:paraId="260B1819"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846" w:type="dxa"/>
          </w:tcPr>
          <w:p w14:paraId="12A83606"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4</w:t>
            </w:r>
          </w:p>
        </w:tc>
        <w:tc>
          <w:tcPr>
            <w:tcW w:w="855" w:type="dxa"/>
          </w:tcPr>
          <w:p w14:paraId="5A2D4DD5"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624" w:type="dxa"/>
          </w:tcPr>
          <w:p w14:paraId="170FD36D"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4</w:t>
            </w:r>
          </w:p>
        </w:tc>
        <w:tc>
          <w:tcPr>
            <w:tcW w:w="624" w:type="dxa"/>
          </w:tcPr>
          <w:p w14:paraId="552EB76A"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1123" w:type="dxa"/>
          </w:tcPr>
          <w:p w14:paraId="7C3F4DE6"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1075" w:type="dxa"/>
          </w:tcPr>
          <w:p w14:paraId="239C5C14"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r>
      <w:tr w:rsidR="00B02873" w:rsidRPr="00821AC8" w14:paraId="35A012FB" w14:textId="77777777" w:rsidTr="00821AC8">
        <w:tc>
          <w:tcPr>
            <w:tcW w:w="3681" w:type="dxa"/>
          </w:tcPr>
          <w:p w14:paraId="51BF053E" w14:textId="77777777" w:rsidR="00B02873" w:rsidRPr="00821AC8" w:rsidRDefault="00B02873" w:rsidP="00FA624C">
            <w:pPr>
              <w:pStyle w:val="TablebodyleftTables"/>
              <w:spacing w:before="20" w:after="20"/>
              <w:rPr>
                <w:rFonts w:asciiTheme="minorHAnsi" w:hAnsiTheme="minorHAnsi" w:cstheme="minorHAnsi"/>
                <w:sz w:val="20"/>
              </w:rPr>
            </w:pPr>
            <w:r w:rsidRPr="00821AC8">
              <w:rPr>
                <w:rFonts w:asciiTheme="minorHAnsi" w:hAnsiTheme="minorHAnsi" w:cstheme="minorHAnsi"/>
                <w:sz w:val="20"/>
              </w:rPr>
              <w:t>Zoological Parks and Gardens Board</w:t>
            </w:r>
          </w:p>
        </w:tc>
        <w:tc>
          <w:tcPr>
            <w:tcW w:w="623" w:type="dxa"/>
          </w:tcPr>
          <w:p w14:paraId="2838F151"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9</w:t>
            </w:r>
          </w:p>
        </w:tc>
        <w:tc>
          <w:tcPr>
            <w:tcW w:w="624" w:type="dxa"/>
          </w:tcPr>
          <w:p w14:paraId="2B8E8971"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846" w:type="dxa"/>
          </w:tcPr>
          <w:p w14:paraId="163B85CD"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4</w:t>
            </w:r>
          </w:p>
        </w:tc>
        <w:tc>
          <w:tcPr>
            <w:tcW w:w="855" w:type="dxa"/>
          </w:tcPr>
          <w:p w14:paraId="0488C379"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w:t>
            </w:r>
          </w:p>
        </w:tc>
        <w:tc>
          <w:tcPr>
            <w:tcW w:w="624" w:type="dxa"/>
          </w:tcPr>
          <w:p w14:paraId="0DBF9CB4"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5</w:t>
            </w:r>
          </w:p>
        </w:tc>
        <w:tc>
          <w:tcPr>
            <w:tcW w:w="624" w:type="dxa"/>
          </w:tcPr>
          <w:p w14:paraId="0AEB4B28"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1</w:t>
            </w:r>
          </w:p>
        </w:tc>
        <w:tc>
          <w:tcPr>
            <w:tcW w:w="1123" w:type="dxa"/>
          </w:tcPr>
          <w:p w14:paraId="7FAF05FC"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c>
          <w:tcPr>
            <w:tcW w:w="1075" w:type="dxa"/>
          </w:tcPr>
          <w:p w14:paraId="7885872F" w14:textId="77777777" w:rsidR="00B02873" w:rsidRPr="00821AC8" w:rsidRDefault="00B02873" w:rsidP="00FA624C">
            <w:pPr>
              <w:pStyle w:val="TablebodyleftTables"/>
              <w:spacing w:before="20" w:after="20"/>
              <w:jc w:val="right"/>
              <w:rPr>
                <w:rFonts w:asciiTheme="minorHAnsi" w:hAnsiTheme="minorHAnsi" w:cstheme="minorHAnsi"/>
                <w:sz w:val="20"/>
              </w:rPr>
            </w:pPr>
            <w:r w:rsidRPr="00821AC8">
              <w:rPr>
                <w:rFonts w:asciiTheme="minorHAnsi" w:hAnsiTheme="minorHAnsi" w:cstheme="minorHAnsi"/>
                <w:sz w:val="20"/>
              </w:rPr>
              <w:t>0</w:t>
            </w:r>
          </w:p>
        </w:tc>
      </w:tr>
    </w:tbl>
    <w:p w14:paraId="2EDA224E" w14:textId="77777777" w:rsidR="00B02873" w:rsidRPr="00FA624C" w:rsidRDefault="00B02873" w:rsidP="00FA624C">
      <w:pPr>
        <w:pStyle w:val="SourceNote"/>
        <w:spacing w:after="120"/>
        <w:rPr>
          <w:b/>
          <w:bCs/>
        </w:rPr>
      </w:pPr>
      <w:r w:rsidRPr="00FA624C">
        <w:rPr>
          <w:b/>
          <w:bCs/>
        </w:rPr>
        <w:t>Notes:</w:t>
      </w:r>
    </w:p>
    <w:p w14:paraId="0162C3F6" w14:textId="0F1FF41C" w:rsidR="00B02873" w:rsidRDefault="00B02873" w:rsidP="000D2CDA">
      <w:pPr>
        <w:pStyle w:val="SourceNotenumbereda"/>
        <w:numPr>
          <w:ilvl w:val="0"/>
          <w:numId w:val="94"/>
        </w:numPr>
      </w:pPr>
      <w:r>
        <w:t>For the purpose of this table, SES are defined as employees who have significant management responsibility and receive a total remuneration package of $199,014 or more.</w:t>
      </w:r>
    </w:p>
    <w:p w14:paraId="45045BA1" w14:textId="77777777" w:rsidR="00B02873" w:rsidRPr="000D2CDA" w:rsidRDefault="00B02873" w:rsidP="000D2CDA">
      <w:pPr>
        <w:pStyle w:val="SourceNotenumbereda"/>
      </w:pPr>
      <w:r w:rsidRPr="000D2CDA">
        <w:t>All figures reflect SES employment levels as at the last pay period in June 2022. Excluded are those on leave without pay or absent on secondment, external contractors / consultants and temporary staff employed by employment agencies.</w:t>
      </w:r>
    </w:p>
    <w:p w14:paraId="533C1039" w14:textId="77777777" w:rsidR="00B02873" w:rsidRDefault="00B02873" w:rsidP="000D2CDA">
      <w:pPr>
        <w:pStyle w:val="SourceNotenumbereda"/>
      </w:pPr>
      <w:r>
        <w:t>Data includes the CEO for Sustainability Victoria and the Environment Protection Authority</w:t>
      </w:r>
    </w:p>
    <w:p w14:paraId="42472CC1" w14:textId="77777777" w:rsidR="00B02873" w:rsidRDefault="00B02873" w:rsidP="000D2CDA">
      <w:pPr>
        <w:pStyle w:val="SourceNotenumbereda"/>
      </w:pPr>
      <w:r>
        <w:t>Greater Western Water was formed on 1 July 2021 by bringing together City West Water and Western Region Water Corporation. The variance is reported against the total SES for City West Water and Western Region Water Corporation in June 2021.</w:t>
      </w:r>
    </w:p>
    <w:p w14:paraId="3F8CBDFB" w14:textId="57E49184" w:rsidR="00B02873" w:rsidRDefault="00B02873" w:rsidP="000D2CDA">
      <w:pPr>
        <w:pStyle w:val="SourceNotenumbereda"/>
        <w:rPr>
          <w:sz w:val="18"/>
          <w:szCs w:val="18"/>
        </w:rPr>
      </w:pPr>
      <w:r>
        <w:t>Point Leo Foreshore and Public Parks Reserves Committee of Management Inc, Loddon Mallee Waste and Resource Recovery Group and Capel Sound Foreshore Committee of Management Inc have no executives reported for 2021 nor 2022.</w:t>
      </w:r>
    </w:p>
    <w:p w14:paraId="1561262B" w14:textId="77777777" w:rsidR="00B02873" w:rsidRDefault="00B02873" w:rsidP="007E64A0">
      <w:pPr>
        <w:pStyle w:val="Heading2"/>
        <w:pageBreakBefore/>
      </w:pPr>
      <w:bookmarkStart w:id="84" w:name="_Toc117447368"/>
      <w:r>
        <w:lastRenderedPageBreak/>
        <w:t>Appendix 3: Occupational Health and Safety Performance Measures</w:t>
      </w:r>
      <w:bookmarkEnd w:id="84"/>
    </w:p>
    <w:p w14:paraId="4B020D3F" w14:textId="77777777" w:rsidR="00B02873" w:rsidRDefault="00B02873" w:rsidP="00FA624C">
      <w:pPr>
        <w:pStyle w:val="TabletitleTables"/>
      </w:pPr>
      <w:r>
        <w:t>OHS performance indicators</w:t>
      </w:r>
    </w:p>
    <w:tbl>
      <w:tblPr>
        <w:tblStyle w:val="TableGrid"/>
        <w:tblW w:w="9638" w:type="dxa"/>
        <w:tblLayout w:type="fixed"/>
        <w:tblLook w:val="0020" w:firstRow="1" w:lastRow="0" w:firstColumn="0" w:lastColumn="0" w:noHBand="0" w:noVBand="0"/>
      </w:tblPr>
      <w:tblGrid>
        <w:gridCol w:w="2052"/>
        <w:gridCol w:w="4014"/>
        <w:gridCol w:w="1191"/>
        <w:gridCol w:w="1190"/>
        <w:gridCol w:w="1191"/>
      </w:tblGrid>
      <w:tr w:rsidR="00B02873" w:rsidRPr="00B02873" w14:paraId="17CF0BAC" w14:textId="77777777" w:rsidTr="00D23D2D">
        <w:trPr>
          <w:cnfStyle w:val="100000000000" w:firstRow="1" w:lastRow="0" w:firstColumn="0" w:lastColumn="0" w:oddVBand="0" w:evenVBand="0" w:oddHBand="0" w:evenHBand="0" w:firstRowFirstColumn="0" w:firstRowLastColumn="0" w:lastRowFirstColumn="0" w:lastRowLastColumn="0"/>
          <w:trHeight w:val="60"/>
          <w:tblHeader/>
        </w:trPr>
        <w:tc>
          <w:tcPr>
            <w:tcW w:w="2052" w:type="dxa"/>
          </w:tcPr>
          <w:p w14:paraId="28C30A9F" w14:textId="77777777" w:rsidR="00B02873" w:rsidRDefault="00B02873" w:rsidP="00FA624C">
            <w:pPr>
              <w:pStyle w:val="TableheadingleftTables"/>
            </w:pPr>
            <w:r>
              <w:t>Measure</w:t>
            </w:r>
          </w:p>
        </w:tc>
        <w:tc>
          <w:tcPr>
            <w:tcW w:w="4014" w:type="dxa"/>
          </w:tcPr>
          <w:p w14:paraId="5D7B3C58" w14:textId="77777777" w:rsidR="00B02873" w:rsidRDefault="00B02873" w:rsidP="00FA624C">
            <w:pPr>
              <w:pStyle w:val="TableheadingleftTables"/>
            </w:pPr>
            <w:r>
              <w:t>Key Performance indicator</w:t>
            </w:r>
          </w:p>
        </w:tc>
        <w:tc>
          <w:tcPr>
            <w:tcW w:w="1191" w:type="dxa"/>
          </w:tcPr>
          <w:p w14:paraId="5BC6D9DA" w14:textId="77777777" w:rsidR="00B02873" w:rsidRDefault="00B02873" w:rsidP="00FA624C">
            <w:pPr>
              <w:pStyle w:val="TableheadingleftTables"/>
              <w:jc w:val="right"/>
            </w:pPr>
            <w:r>
              <w:t>2021-22</w:t>
            </w:r>
          </w:p>
        </w:tc>
        <w:tc>
          <w:tcPr>
            <w:tcW w:w="1190" w:type="dxa"/>
          </w:tcPr>
          <w:p w14:paraId="76A070E2" w14:textId="77777777" w:rsidR="00B02873" w:rsidRDefault="00B02873" w:rsidP="00FA624C">
            <w:pPr>
              <w:pStyle w:val="TableheadingleftTables"/>
              <w:jc w:val="right"/>
            </w:pPr>
            <w:r>
              <w:t>2020-21</w:t>
            </w:r>
          </w:p>
        </w:tc>
        <w:tc>
          <w:tcPr>
            <w:tcW w:w="1191" w:type="dxa"/>
          </w:tcPr>
          <w:p w14:paraId="04179580" w14:textId="58D7B8E3" w:rsidR="00B02873" w:rsidRDefault="00B02873" w:rsidP="00FA624C">
            <w:pPr>
              <w:pStyle w:val="TableheadingleftTables"/>
              <w:jc w:val="right"/>
            </w:pPr>
            <w:r>
              <w:t>2019-20</w:t>
            </w:r>
            <w:r w:rsidR="00012C04">
              <w:t xml:space="preserve"> </w:t>
            </w:r>
          </w:p>
        </w:tc>
      </w:tr>
      <w:tr w:rsidR="00B02873" w:rsidRPr="00B02873" w14:paraId="2C513EAC" w14:textId="77777777" w:rsidTr="00D23D2D">
        <w:trPr>
          <w:trHeight w:val="60"/>
        </w:trPr>
        <w:tc>
          <w:tcPr>
            <w:tcW w:w="2052" w:type="dxa"/>
          </w:tcPr>
          <w:p w14:paraId="7CFF737D" w14:textId="77777777" w:rsidR="00B02873" w:rsidRDefault="00B02873" w:rsidP="00FA624C">
            <w:pPr>
              <w:pStyle w:val="TablebodyleftTables"/>
            </w:pPr>
            <w:r>
              <w:t>Incidents</w:t>
            </w:r>
          </w:p>
        </w:tc>
        <w:tc>
          <w:tcPr>
            <w:tcW w:w="4014" w:type="dxa"/>
          </w:tcPr>
          <w:p w14:paraId="6EFE707A" w14:textId="77777777" w:rsidR="00B02873" w:rsidRDefault="00B02873" w:rsidP="00FA624C">
            <w:pPr>
              <w:pStyle w:val="TablebodyleftTables"/>
            </w:pPr>
            <w:r>
              <w:t>Incidents</w:t>
            </w:r>
            <w:r>
              <w:rPr>
                <w:vertAlign w:val="superscript"/>
              </w:rPr>
              <w:t>(a)</w:t>
            </w:r>
          </w:p>
        </w:tc>
        <w:tc>
          <w:tcPr>
            <w:tcW w:w="1191" w:type="dxa"/>
          </w:tcPr>
          <w:p w14:paraId="322DF214" w14:textId="77777777" w:rsidR="00B02873" w:rsidRDefault="00B02873" w:rsidP="00FA624C">
            <w:pPr>
              <w:pStyle w:val="TablebodyleftTables"/>
              <w:jc w:val="right"/>
            </w:pPr>
            <w:r>
              <w:t>2318</w:t>
            </w:r>
          </w:p>
        </w:tc>
        <w:tc>
          <w:tcPr>
            <w:tcW w:w="1190" w:type="dxa"/>
          </w:tcPr>
          <w:p w14:paraId="27ACC98D" w14:textId="77777777" w:rsidR="00B02873" w:rsidRDefault="00B02873" w:rsidP="00FA624C">
            <w:pPr>
              <w:pStyle w:val="TablebodyleftTables"/>
              <w:jc w:val="right"/>
            </w:pPr>
            <w:r>
              <w:t>812</w:t>
            </w:r>
            <w:r>
              <w:rPr>
                <w:vertAlign w:val="superscript"/>
              </w:rPr>
              <w:t>(b)</w:t>
            </w:r>
          </w:p>
        </w:tc>
        <w:tc>
          <w:tcPr>
            <w:tcW w:w="1191" w:type="dxa"/>
          </w:tcPr>
          <w:p w14:paraId="2ABCE95C" w14:textId="77777777" w:rsidR="00B02873" w:rsidRDefault="00B02873" w:rsidP="00FA624C">
            <w:pPr>
              <w:pStyle w:val="TablebodyleftTables"/>
              <w:jc w:val="right"/>
            </w:pPr>
            <w:r>
              <w:t xml:space="preserve">1055 </w:t>
            </w:r>
          </w:p>
        </w:tc>
      </w:tr>
      <w:tr w:rsidR="00B02873" w:rsidRPr="00B02873" w14:paraId="6EE87304" w14:textId="77777777" w:rsidTr="00D23D2D">
        <w:trPr>
          <w:trHeight w:val="60"/>
        </w:trPr>
        <w:tc>
          <w:tcPr>
            <w:tcW w:w="2052" w:type="dxa"/>
          </w:tcPr>
          <w:p w14:paraId="43DE1491" w14:textId="0D23D4DB" w:rsidR="00B02873" w:rsidRPr="00B02873" w:rsidRDefault="00FA624C" w:rsidP="00FA624C">
            <w:pPr>
              <w:pStyle w:val="TablebodyleftTables"/>
              <w:rPr>
                <w:rFonts w:ascii="VIC" w:hAnsi="VIC" w:cs="Times New Roman"/>
              </w:rPr>
            </w:pPr>
            <w:r>
              <w:t>Incidents</w:t>
            </w:r>
          </w:p>
        </w:tc>
        <w:tc>
          <w:tcPr>
            <w:tcW w:w="4014" w:type="dxa"/>
          </w:tcPr>
          <w:p w14:paraId="39C7CE7A" w14:textId="77777777" w:rsidR="00B02873" w:rsidRDefault="00B02873" w:rsidP="00FA624C">
            <w:pPr>
              <w:pStyle w:val="TablebodyleftTables"/>
            </w:pPr>
            <w:r>
              <w:t>Incidents excluding COVID-19 Incidents</w:t>
            </w:r>
            <w:r>
              <w:rPr>
                <w:vertAlign w:val="superscript"/>
              </w:rPr>
              <w:t>(c)</w:t>
            </w:r>
          </w:p>
        </w:tc>
        <w:tc>
          <w:tcPr>
            <w:tcW w:w="1191" w:type="dxa"/>
          </w:tcPr>
          <w:p w14:paraId="4148E2F4" w14:textId="77777777" w:rsidR="00B02873" w:rsidRDefault="00B02873" w:rsidP="00FA624C">
            <w:pPr>
              <w:pStyle w:val="TablebodyleftTables"/>
              <w:jc w:val="right"/>
            </w:pPr>
            <w:r>
              <w:t>686</w:t>
            </w:r>
          </w:p>
        </w:tc>
        <w:tc>
          <w:tcPr>
            <w:tcW w:w="1190" w:type="dxa"/>
          </w:tcPr>
          <w:p w14:paraId="2437932B" w14:textId="77777777" w:rsidR="00B02873" w:rsidRDefault="00B02873" w:rsidP="00FA624C">
            <w:pPr>
              <w:pStyle w:val="TablebodyleftTables"/>
              <w:jc w:val="right"/>
            </w:pPr>
            <w:r>
              <w:t>153</w:t>
            </w:r>
          </w:p>
        </w:tc>
        <w:tc>
          <w:tcPr>
            <w:tcW w:w="1191" w:type="dxa"/>
          </w:tcPr>
          <w:p w14:paraId="03159B03" w14:textId="77777777" w:rsidR="00B02873" w:rsidRDefault="00B02873" w:rsidP="00FA624C">
            <w:pPr>
              <w:pStyle w:val="TablebodyleftTables"/>
              <w:jc w:val="right"/>
            </w:pPr>
            <w:r>
              <w:t>1055</w:t>
            </w:r>
          </w:p>
        </w:tc>
      </w:tr>
      <w:tr w:rsidR="00B02873" w:rsidRPr="00B02873" w14:paraId="7DAFBF95" w14:textId="77777777" w:rsidTr="00D23D2D">
        <w:trPr>
          <w:trHeight w:val="60"/>
        </w:trPr>
        <w:tc>
          <w:tcPr>
            <w:tcW w:w="2052" w:type="dxa"/>
          </w:tcPr>
          <w:p w14:paraId="669151BF" w14:textId="213BFD19" w:rsidR="00B02873" w:rsidRPr="00B02873" w:rsidRDefault="00FA624C" w:rsidP="00FA624C">
            <w:pPr>
              <w:pStyle w:val="TablebodyleftTables"/>
              <w:rPr>
                <w:rFonts w:ascii="VIC" w:hAnsi="VIC" w:cs="Times New Roman"/>
              </w:rPr>
            </w:pPr>
            <w:r>
              <w:t>Incidents</w:t>
            </w:r>
          </w:p>
        </w:tc>
        <w:tc>
          <w:tcPr>
            <w:tcW w:w="4014" w:type="dxa"/>
          </w:tcPr>
          <w:p w14:paraId="6FF9EF84" w14:textId="77777777" w:rsidR="00B02873" w:rsidRDefault="00B02873" w:rsidP="00FA624C">
            <w:pPr>
              <w:pStyle w:val="TablebodyleftTables"/>
            </w:pPr>
            <w:r>
              <w:t>Incident rate per 100 FTE</w:t>
            </w:r>
          </w:p>
        </w:tc>
        <w:tc>
          <w:tcPr>
            <w:tcW w:w="1191" w:type="dxa"/>
          </w:tcPr>
          <w:p w14:paraId="626680B4" w14:textId="77777777" w:rsidR="00B02873" w:rsidRDefault="00B02873" w:rsidP="00FA624C">
            <w:pPr>
              <w:pStyle w:val="TablebodyleftTables"/>
              <w:jc w:val="right"/>
            </w:pPr>
            <w:r>
              <w:t>13.2</w:t>
            </w:r>
            <w:r>
              <w:rPr>
                <w:vertAlign w:val="superscript"/>
              </w:rPr>
              <w:t>(f)</w:t>
            </w:r>
          </w:p>
        </w:tc>
        <w:tc>
          <w:tcPr>
            <w:tcW w:w="1190" w:type="dxa"/>
          </w:tcPr>
          <w:p w14:paraId="11646D02" w14:textId="77777777" w:rsidR="00B02873" w:rsidRDefault="00B02873" w:rsidP="00FA624C">
            <w:pPr>
              <w:pStyle w:val="TablebodyleftTables"/>
              <w:jc w:val="right"/>
            </w:pPr>
            <w:r>
              <w:t xml:space="preserve">13.54 </w:t>
            </w:r>
            <w:r>
              <w:rPr>
                <w:vertAlign w:val="superscript"/>
              </w:rPr>
              <w:t>(d) (f)</w:t>
            </w:r>
          </w:p>
        </w:tc>
        <w:tc>
          <w:tcPr>
            <w:tcW w:w="1191" w:type="dxa"/>
          </w:tcPr>
          <w:p w14:paraId="54B6A39E" w14:textId="77777777" w:rsidR="00B02873" w:rsidRDefault="00B02873" w:rsidP="00FA624C">
            <w:pPr>
              <w:pStyle w:val="TablebodyleftTables"/>
              <w:jc w:val="right"/>
            </w:pPr>
            <w:r>
              <w:t>23.29</w:t>
            </w:r>
          </w:p>
        </w:tc>
      </w:tr>
      <w:tr w:rsidR="00B02873" w:rsidRPr="00B02873" w14:paraId="55B78EDA" w14:textId="77777777" w:rsidTr="00D23D2D">
        <w:trPr>
          <w:trHeight w:val="60"/>
        </w:trPr>
        <w:tc>
          <w:tcPr>
            <w:tcW w:w="2052" w:type="dxa"/>
          </w:tcPr>
          <w:p w14:paraId="5A55B981" w14:textId="5F14F8A8" w:rsidR="00B02873" w:rsidRPr="00B02873" w:rsidRDefault="00FA624C" w:rsidP="00FA624C">
            <w:pPr>
              <w:pStyle w:val="TablebodyleftTables"/>
              <w:rPr>
                <w:rFonts w:ascii="VIC" w:hAnsi="VIC" w:cs="Times New Roman"/>
              </w:rPr>
            </w:pPr>
            <w:r>
              <w:t>Incidents</w:t>
            </w:r>
          </w:p>
        </w:tc>
        <w:tc>
          <w:tcPr>
            <w:tcW w:w="4014" w:type="dxa"/>
          </w:tcPr>
          <w:p w14:paraId="25BA65CD" w14:textId="77777777" w:rsidR="00B02873" w:rsidRDefault="00B02873" w:rsidP="00FA624C">
            <w:pPr>
              <w:pStyle w:val="TablebodyleftTables"/>
            </w:pPr>
            <w:r>
              <w:t>Number of incidents requiring first aid (and/or further medical treatment)</w:t>
            </w:r>
          </w:p>
        </w:tc>
        <w:tc>
          <w:tcPr>
            <w:tcW w:w="1191" w:type="dxa"/>
          </w:tcPr>
          <w:p w14:paraId="7AE03E70" w14:textId="77777777" w:rsidR="00B02873" w:rsidRDefault="00B02873" w:rsidP="00FA624C">
            <w:pPr>
              <w:pStyle w:val="TablebodyleftTables"/>
              <w:jc w:val="right"/>
            </w:pPr>
            <w:r>
              <w:t>131</w:t>
            </w:r>
          </w:p>
        </w:tc>
        <w:tc>
          <w:tcPr>
            <w:tcW w:w="1190" w:type="dxa"/>
          </w:tcPr>
          <w:p w14:paraId="07C84E25" w14:textId="77777777" w:rsidR="00B02873" w:rsidRDefault="00B02873" w:rsidP="00FA624C">
            <w:pPr>
              <w:pStyle w:val="TablebodyleftTables"/>
              <w:jc w:val="right"/>
            </w:pPr>
            <w:r>
              <w:t>149</w:t>
            </w:r>
          </w:p>
        </w:tc>
        <w:tc>
          <w:tcPr>
            <w:tcW w:w="1191" w:type="dxa"/>
          </w:tcPr>
          <w:p w14:paraId="2A6A93DF" w14:textId="77777777" w:rsidR="00B02873" w:rsidRDefault="00B02873" w:rsidP="00FA624C">
            <w:pPr>
              <w:pStyle w:val="TablebodyleftTables"/>
              <w:jc w:val="right"/>
            </w:pPr>
            <w:r>
              <w:t>257</w:t>
            </w:r>
          </w:p>
        </w:tc>
      </w:tr>
      <w:tr w:rsidR="00B02873" w:rsidRPr="00B02873" w14:paraId="40528D76" w14:textId="77777777" w:rsidTr="00D23D2D">
        <w:trPr>
          <w:trHeight w:val="60"/>
        </w:trPr>
        <w:tc>
          <w:tcPr>
            <w:tcW w:w="2052" w:type="dxa"/>
          </w:tcPr>
          <w:p w14:paraId="7DF02DEA" w14:textId="0CD444BD" w:rsidR="00B02873" w:rsidRPr="00B02873" w:rsidRDefault="00FA624C" w:rsidP="00FA624C">
            <w:pPr>
              <w:pStyle w:val="TablebodyleftTables"/>
              <w:rPr>
                <w:rFonts w:ascii="VIC" w:hAnsi="VIC" w:cs="Times New Roman"/>
              </w:rPr>
            </w:pPr>
            <w:r>
              <w:t>Incidents</w:t>
            </w:r>
          </w:p>
        </w:tc>
        <w:tc>
          <w:tcPr>
            <w:tcW w:w="4014" w:type="dxa"/>
          </w:tcPr>
          <w:p w14:paraId="021E595B" w14:textId="77777777" w:rsidR="00B02873" w:rsidRDefault="00B02873" w:rsidP="00FA624C">
            <w:pPr>
              <w:pStyle w:val="TablebodyleftTables"/>
            </w:pPr>
            <w:r>
              <w:t xml:space="preserve">Number of incidents requiring further medical treatment </w:t>
            </w:r>
          </w:p>
        </w:tc>
        <w:tc>
          <w:tcPr>
            <w:tcW w:w="1191" w:type="dxa"/>
          </w:tcPr>
          <w:p w14:paraId="6156A889" w14:textId="77777777" w:rsidR="00B02873" w:rsidRDefault="00B02873" w:rsidP="00FA624C">
            <w:pPr>
              <w:pStyle w:val="TablebodyleftTables"/>
              <w:jc w:val="right"/>
            </w:pPr>
            <w:r>
              <w:t>90</w:t>
            </w:r>
            <w:r>
              <w:rPr>
                <w:vertAlign w:val="superscript"/>
              </w:rPr>
              <w:t>(e)</w:t>
            </w:r>
          </w:p>
        </w:tc>
        <w:tc>
          <w:tcPr>
            <w:tcW w:w="1190" w:type="dxa"/>
          </w:tcPr>
          <w:p w14:paraId="548C7D9E" w14:textId="77777777" w:rsidR="00B02873" w:rsidRDefault="00B02873" w:rsidP="00FA624C">
            <w:pPr>
              <w:pStyle w:val="TablebodyleftTables"/>
              <w:jc w:val="right"/>
            </w:pPr>
            <w:r>
              <w:t>130</w:t>
            </w:r>
          </w:p>
        </w:tc>
        <w:tc>
          <w:tcPr>
            <w:tcW w:w="1191" w:type="dxa"/>
          </w:tcPr>
          <w:p w14:paraId="2CBBEBD1" w14:textId="77777777" w:rsidR="00B02873" w:rsidRDefault="00B02873" w:rsidP="00FA624C">
            <w:pPr>
              <w:pStyle w:val="TablebodyleftTables"/>
              <w:jc w:val="right"/>
            </w:pPr>
            <w:r>
              <w:t>178</w:t>
            </w:r>
          </w:p>
        </w:tc>
      </w:tr>
      <w:tr w:rsidR="00B02873" w:rsidRPr="00B02873" w14:paraId="1B60DAF3" w14:textId="77777777" w:rsidTr="00D23D2D">
        <w:trPr>
          <w:trHeight w:val="548"/>
        </w:trPr>
        <w:tc>
          <w:tcPr>
            <w:tcW w:w="2052" w:type="dxa"/>
          </w:tcPr>
          <w:p w14:paraId="3A09CE38" w14:textId="378579CF" w:rsidR="00B02873" w:rsidRPr="00B02873" w:rsidRDefault="00FA624C" w:rsidP="00FA624C">
            <w:pPr>
              <w:pStyle w:val="TablebodyleftTables"/>
              <w:rPr>
                <w:rFonts w:ascii="VIC" w:hAnsi="VIC" w:cs="Times New Roman"/>
              </w:rPr>
            </w:pPr>
            <w:r>
              <w:t>Incidents</w:t>
            </w:r>
          </w:p>
        </w:tc>
        <w:tc>
          <w:tcPr>
            <w:tcW w:w="4014" w:type="dxa"/>
          </w:tcPr>
          <w:p w14:paraId="253918D5" w14:textId="77777777" w:rsidR="00B02873" w:rsidRDefault="00B02873" w:rsidP="00FA624C">
            <w:pPr>
              <w:pStyle w:val="TablebodyleftTables"/>
            </w:pPr>
            <w:r>
              <w:t xml:space="preserve">Percentage of investigations completed against the total number of incidents reported </w:t>
            </w:r>
          </w:p>
        </w:tc>
        <w:tc>
          <w:tcPr>
            <w:tcW w:w="1191" w:type="dxa"/>
          </w:tcPr>
          <w:p w14:paraId="1A7A58BB" w14:textId="77777777" w:rsidR="00B02873" w:rsidRDefault="00B02873" w:rsidP="00FA624C">
            <w:pPr>
              <w:pStyle w:val="TablebodyleftTables"/>
              <w:jc w:val="right"/>
            </w:pPr>
            <w:r>
              <w:t>4.8%</w:t>
            </w:r>
            <w:r>
              <w:rPr>
                <w:vertAlign w:val="superscript"/>
              </w:rPr>
              <w:t>(f)</w:t>
            </w:r>
          </w:p>
        </w:tc>
        <w:tc>
          <w:tcPr>
            <w:tcW w:w="1190" w:type="dxa"/>
          </w:tcPr>
          <w:p w14:paraId="62AABDFF" w14:textId="77777777" w:rsidR="00B02873" w:rsidRDefault="00B02873" w:rsidP="00FA624C">
            <w:pPr>
              <w:pStyle w:val="TablebodyleftTables"/>
              <w:jc w:val="right"/>
            </w:pPr>
            <w:r>
              <w:t>5%</w:t>
            </w:r>
          </w:p>
        </w:tc>
        <w:tc>
          <w:tcPr>
            <w:tcW w:w="1191" w:type="dxa"/>
          </w:tcPr>
          <w:p w14:paraId="4B47C517" w14:textId="77777777" w:rsidR="00B02873" w:rsidRDefault="00B02873" w:rsidP="00FA624C">
            <w:pPr>
              <w:pStyle w:val="TablebodyleftTables"/>
              <w:jc w:val="right"/>
            </w:pPr>
            <w:r>
              <w:t>11%</w:t>
            </w:r>
          </w:p>
        </w:tc>
      </w:tr>
      <w:tr w:rsidR="00B02873" w:rsidRPr="00B02873" w14:paraId="541F7796" w14:textId="77777777" w:rsidTr="00D23D2D">
        <w:trPr>
          <w:trHeight w:val="60"/>
        </w:trPr>
        <w:tc>
          <w:tcPr>
            <w:tcW w:w="2052" w:type="dxa"/>
          </w:tcPr>
          <w:p w14:paraId="6DBC5CB7" w14:textId="77777777" w:rsidR="00B02873" w:rsidRDefault="00B02873" w:rsidP="00FA624C">
            <w:pPr>
              <w:pStyle w:val="TablebodyleftTables"/>
            </w:pPr>
            <w:r>
              <w:t xml:space="preserve">Hazards </w:t>
            </w:r>
          </w:p>
        </w:tc>
        <w:tc>
          <w:tcPr>
            <w:tcW w:w="4014" w:type="dxa"/>
          </w:tcPr>
          <w:p w14:paraId="6E3DBA69" w14:textId="77777777" w:rsidR="00B02873" w:rsidRDefault="00B02873" w:rsidP="00FA624C">
            <w:pPr>
              <w:pStyle w:val="TablebodyleftTables"/>
            </w:pPr>
            <w:r>
              <w:t>No. of hazards reported</w:t>
            </w:r>
          </w:p>
        </w:tc>
        <w:tc>
          <w:tcPr>
            <w:tcW w:w="1191" w:type="dxa"/>
          </w:tcPr>
          <w:p w14:paraId="51253791" w14:textId="77777777" w:rsidR="00B02873" w:rsidRDefault="00B02873" w:rsidP="00FA624C">
            <w:pPr>
              <w:pStyle w:val="TablebodyleftTables"/>
              <w:jc w:val="right"/>
            </w:pPr>
            <w:r>
              <w:t>143</w:t>
            </w:r>
          </w:p>
        </w:tc>
        <w:tc>
          <w:tcPr>
            <w:tcW w:w="1190" w:type="dxa"/>
          </w:tcPr>
          <w:p w14:paraId="1BD1A565" w14:textId="77777777" w:rsidR="00B02873" w:rsidRDefault="00B02873" w:rsidP="00FA624C">
            <w:pPr>
              <w:pStyle w:val="TablebodyleftTables"/>
              <w:jc w:val="right"/>
            </w:pPr>
            <w:r>
              <w:t>121</w:t>
            </w:r>
          </w:p>
        </w:tc>
        <w:tc>
          <w:tcPr>
            <w:tcW w:w="1191" w:type="dxa"/>
          </w:tcPr>
          <w:p w14:paraId="54C2E6DC" w14:textId="77777777" w:rsidR="00B02873" w:rsidRDefault="00B02873" w:rsidP="00FA624C">
            <w:pPr>
              <w:pStyle w:val="TablebodyleftTables"/>
              <w:jc w:val="right"/>
            </w:pPr>
            <w:r>
              <w:t>235</w:t>
            </w:r>
          </w:p>
        </w:tc>
      </w:tr>
      <w:tr w:rsidR="00B02873" w:rsidRPr="00B02873" w14:paraId="68C78367" w14:textId="77777777" w:rsidTr="00D23D2D">
        <w:trPr>
          <w:trHeight w:val="60"/>
        </w:trPr>
        <w:tc>
          <w:tcPr>
            <w:tcW w:w="2052" w:type="dxa"/>
          </w:tcPr>
          <w:p w14:paraId="563BA463" w14:textId="74769192" w:rsidR="00B02873" w:rsidRPr="00B02873" w:rsidRDefault="00FA624C" w:rsidP="00FA624C">
            <w:pPr>
              <w:pStyle w:val="TablebodyleftTables"/>
              <w:rPr>
                <w:rFonts w:ascii="VIC" w:hAnsi="VIC" w:cs="Times New Roman"/>
              </w:rPr>
            </w:pPr>
            <w:r>
              <w:t>Hazards</w:t>
            </w:r>
          </w:p>
        </w:tc>
        <w:tc>
          <w:tcPr>
            <w:tcW w:w="4014" w:type="dxa"/>
          </w:tcPr>
          <w:p w14:paraId="491E3D36" w14:textId="77777777" w:rsidR="00B02873" w:rsidRDefault="00B02873" w:rsidP="00FA624C">
            <w:pPr>
              <w:pStyle w:val="TablebodyleftTables"/>
            </w:pPr>
            <w:r>
              <w:t>Rate per 100 FTE</w:t>
            </w:r>
          </w:p>
        </w:tc>
        <w:tc>
          <w:tcPr>
            <w:tcW w:w="1191" w:type="dxa"/>
          </w:tcPr>
          <w:p w14:paraId="281F12E4" w14:textId="77777777" w:rsidR="00B02873" w:rsidRDefault="00B02873" w:rsidP="00FA624C">
            <w:pPr>
              <w:pStyle w:val="TablebodyleftTables"/>
              <w:jc w:val="right"/>
            </w:pPr>
            <w:r>
              <w:t>2.75</w:t>
            </w:r>
          </w:p>
        </w:tc>
        <w:tc>
          <w:tcPr>
            <w:tcW w:w="1190" w:type="dxa"/>
          </w:tcPr>
          <w:p w14:paraId="4B24793D" w14:textId="77777777" w:rsidR="00B02873" w:rsidRDefault="00B02873" w:rsidP="00FA624C">
            <w:pPr>
              <w:pStyle w:val="TablebodyleftTables"/>
              <w:jc w:val="right"/>
            </w:pPr>
            <w:r>
              <w:t>2.49</w:t>
            </w:r>
          </w:p>
        </w:tc>
        <w:tc>
          <w:tcPr>
            <w:tcW w:w="1191" w:type="dxa"/>
          </w:tcPr>
          <w:p w14:paraId="514BECC8" w14:textId="77777777" w:rsidR="00B02873" w:rsidRDefault="00B02873" w:rsidP="00FA624C">
            <w:pPr>
              <w:pStyle w:val="TablebodyleftTables"/>
              <w:jc w:val="right"/>
            </w:pPr>
            <w:r>
              <w:t>5.18</w:t>
            </w:r>
          </w:p>
        </w:tc>
      </w:tr>
      <w:tr w:rsidR="00B02873" w:rsidRPr="00B02873" w14:paraId="1F130BCA" w14:textId="77777777" w:rsidTr="00D23D2D">
        <w:trPr>
          <w:trHeight w:val="60"/>
        </w:trPr>
        <w:tc>
          <w:tcPr>
            <w:tcW w:w="2052" w:type="dxa"/>
          </w:tcPr>
          <w:p w14:paraId="490902F3" w14:textId="77777777" w:rsidR="00B02873" w:rsidRDefault="00B02873" w:rsidP="00FA624C">
            <w:pPr>
              <w:pStyle w:val="TablebodyleftTables"/>
            </w:pPr>
            <w:r>
              <w:t>WorkCover Claims</w:t>
            </w:r>
          </w:p>
        </w:tc>
        <w:tc>
          <w:tcPr>
            <w:tcW w:w="4014" w:type="dxa"/>
          </w:tcPr>
          <w:p w14:paraId="79C2F9C4" w14:textId="77777777" w:rsidR="00B02873" w:rsidRDefault="00B02873" w:rsidP="00FA624C">
            <w:pPr>
              <w:pStyle w:val="TablebodyleftTables"/>
            </w:pPr>
            <w:r>
              <w:t>Number of standard claims</w:t>
            </w:r>
            <w:r>
              <w:rPr>
                <w:vertAlign w:val="superscript"/>
              </w:rPr>
              <w:t>(g)</w:t>
            </w:r>
          </w:p>
        </w:tc>
        <w:tc>
          <w:tcPr>
            <w:tcW w:w="1191" w:type="dxa"/>
          </w:tcPr>
          <w:p w14:paraId="47F4DE12" w14:textId="77777777" w:rsidR="00B02873" w:rsidRDefault="00B02873" w:rsidP="00FA624C">
            <w:pPr>
              <w:pStyle w:val="TablebodyleftTables"/>
              <w:jc w:val="right"/>
            </w:pPr>
            <w:r>
              <w:t>60</w:t>
            </w:r>
          </w:p>
        </w:tc>
        <w:tc>
          <w:tcPr>
            <w:tcW w:w="1190" w:type="dxa"/>
          </w:tcPr>
          <w:p w14:paraId="17F83AC6" w14:textId="77777777" w:rsidR="00B02873" w:rsidRDefault="00B02873" w:rsidP="00FA624C">
            <w:pPr>
              <w:pStyle w:val="TablebodyleftTables"/>
              <w:jc w:val="right"/>
            </w:pPr>
            <w:r>
              <w:t>83</w:t>
            </w:r>
            <w:r>
              <w:rPr>
                <w:vertAlign w:val="superscript"/>
              </w:rPr>
              <w:t>(h)</w:t>
            </w:r>
          </w:p>
        </w:tc>
        <w:tc>
          <w:tcPr>
            <w:tcW w:w="1191" w:type="dxa"/>
          </w:tcPr>
          <w:p w14:paraId="28F3766D" w14:textId="77777777" w:rsidR="00B02873" w:rsidRDefault="00B02873" w:rsidP="00FA624C">
            <w:pPr>
              <w:pStyle w:val="TablebodyleftTables"/>
              <w:jc w:val="right"/>
            </w:pPr>
            <w:r>
              <w:t>70</w:t>
            </w:r>
            <w:r>
              <w:rPr>
                <w:vertAlign w:val="superscript"/>
              </w:rPr>
              <w:t>(h)</w:t>
            </w:r>
          </w:p>
        </w:tc>
      </w:tr>
      <w:tr w:rsidR="00D23D2D" w:rsidRPr="00B02873" w14:paraId="5701D4C9" w14:textId="77777777" w:rsidTr="00D23D2D">
        <w:trPr>
          <w:trHeight w:val="60"/>
        </w:trPr>
        <w:tc>
          <w:tcPr>
            <w:tcW w:w="2052" w:type="dxa"/>
          </w:tcPr>
          <w:p w14:paraId="38B81635" w14:textId="37A1884E" w:rsidR="00D23D2D" w:rsidRPr="00B02873" w:rsidRDefault="00D23D2D" w:rsidP="00D23D2D">
            <w:pPr>
              <w:pStyle w:val="TablebodyleftTables"/>
              <w:rPr>
                <w:rFonts w:ascii="VIC" w:hAnsi="VIC" w:cs="Times New Roman"/>
              </w:rPr>
            </w:pPr>
            <w:r>
              <w:t>WorkCover Claims</w:t>
            </w:r>
          </w:p>
        </w:tc>
        <w:tc>
          <w:tcPr>
            <w:tcW w:w="4014" w:type="dxa"/>
          </w:tcPr>
          <w:p w14:paraId="0938B038" w14:textId="77777777" w:rsidR="00D23D2D" w:rsidRDefault="00D23D2D" w:rsidP="00D23D2D">
            <w:pPr>
              <w:pStyle w:val="TablebodyleftTables"/>
            </w:pPr>
            <w:r>
              <w:t>Rate per 100 FTE</w:t>
            </w:r>
          </w:p>
        </w:tc>
        <w:tc>
          <w:tcPr>
            <w:tcW w:w="1191" w:type="dxa"/>
          </w:tcPr>
          <w:p w14:paraId="5ECD1A53" w14:textId="77777777" w:rsidR="00D23D2D" w:rsidRDefault="00D23D2D" w:rsidP="00D23D2D">
            <w:pPr>
              <w:pStyle w:val="TablebodyleftTables"/>
              <w:jc w:val="right"/>
            </w:pPr>
            <w:r>
              <w:t>1.15</w:t>
            </w:r>
          </w:p>
        </w:tc>
        <w:tc>
          <w:tcPr>
            <w:tcW w:w="1190" w:type="dxa"/>
          </w:tcPr>
          <w:p w14:paraId="7D77D504" w14:textId="77777777" w:rsidR="00D23D2D" w:rsidRDefault="00D23D2D" w:rsidP="00D23D2D">
            <w:pPr>
              <w:pStyle w:val="TablebodyleftTables"/>
              <w:jc w:val="right"/>
            </w:pPr>
            <w:r>
              <w:t>1.52</w:t>
            </w:r>
          </w:p>
        </w:tc>
        <w:tc>
          <w:tcPr>
            <w:tcW w:w="1191" w:type="dxa"/>
          </w:tcPr>
          <w:p w14:paraId="7933E5BF" w14:textId="77777777" w:rsidR="00D23D2D" w:rsidRDefault="00D23D2D" w:rsidP="00D23D2D">
            <w:pPr>
              <w:pStyle w:val="TablebodyleftTables"/>
              <w:jc w:val="right"/>
            </w:pPr>
            <w:r>
              <w:t>1.5</w:t>
            </w:r>
          </w:p>
        </w:tc>
      </w:tr>
      <w:tr w:rsidR="00D23D2D" w:rsidRPr="00B02873" w14:paraId="127702F5" w14:textId="77777777" w:rsidTr="00D23D2D">
        <w:trPr>
          <w:trHeight w:val="60"/>
        </w:trPr>
        <w:tc>
          <w:tcPr>
            <w:tcW w:w="2052" w:type="dxa"/>
          </w:tcPr>
          <w:p w14:paraId="7C4CFB5B" w14:textId="325AF89C" w:rsidR="00D23D2D" w:rsidRPr="00B02873" w:rsidRDefault="00D23D2D" w:rsidP="00D23D2D">
            <w:pPr>
              <w:pStyle w:val="TablebodyleftTables"/>
              <w:rPr>
                <w:rFonts w:ascii="VIC" w:hAnsi="VIC" w:cs="Times New Roman"/>
              </w:rPr>
            </w:pPr>
            <w:r>
              <w:t>WorkCover Claims</w:t>
            </w:r>
          </w:p>
        </w:tc>
        <w:tc>
          <w:tcPr>
            <w:tcW w:w="4014" w:type="dxa"/>
          </w:tcPr>
          <w:p w14:paraId="3053D82E" w14:textId="77777777" w:rsidR="00D23D2D" w:rsidRDefault="00D23D2D" w:rsidP="00D23D2D">
            <w:pPr>
              <w:pStyle w:val="TablebodyleftTables"/>
            </w:pPr>
            <w:r>
              <w:t>Number of lost time claims</w:t>
            </w:r>
          </w:p>
        </w:tc>
        <w:tc>
          <w:tcPr>
            <w:tcW w:w="1191" w:type="dxa"/>
          </w:tcPr>
          <w:p w14:paraId="1B993BF3" w14:textId="77777777" w:rsidR="00D23D2D" w:rsidRDefault="00D23D2D" w:rsidP="00D23D2D">
            <w:pPr>
              <w:pStyle w:val="TablebodyleftTables"/>
              <w:jc w:val="right"/>
            </w:pPr>
            <w:r>
              <w:t>49</w:t>
            </w:r>
          </w:p>
        </w:tc>
        <w:tc>
          <w:tcPr>
            <w:tcW w:w="1190" w:type="dxa"/>
          </w:tcPr>
          <w:p w14:paraId="609D8795" w14:textId="77777777" w:rsidR="00D23D2D" w:rsidRDefault="00D23D2D" w:rsidP="00D23D2D">
            <w:pPr>
              <w:pStyle w:val="TablebodyleftTables"/>
              <w:jc w:val="right"/>
            </w:pPr>
            <w:r>
              <w:t>62</w:t>
            </w:r>
          </w:p>
        </w:tc>
        <w:tc>
          <w:tcPr>
            <w:tcW w:w="1191" w:type="dxa"/>
          </w:tcPr>
          <w:p w14:paraId="166742B6" w14:textId="77777777" w:rsidR="00D23D2D" w:rsidRDefault="00D23D2D" w:rsidP="00D23D2D">
            <w:pPr>
              <w:pStyle w:val="TablebodyleftTables"/>
              <w:jc w:val="right"/>
            </w:pPr>
            <w:r>
              <w:t>50</w:t>
            </w:r>
          </w:p>
        </w:tc>
      </w:tr>
      <w:tr w:rsidR="00D23D2D" w:rsidRPr="00B02873" w14:paraId="638AD228" w14:textId="77777777" w:rsidTr="00D23D2D">
        <w:trPr>
          <w:trHeight w:val="60"/>
        </w:trPr>
        <w:tc>
          <w:tcPr>
            <w:tcW w:w="2052" w:type="dxa"/>
          </w:tcPr>
          <w:p w14:paraId="7AB92560" w14:textId="281F53C2" w:rsidR="00D23D2D" w:rsidRPr="00B02873" w:rsidRDefault="00D23D2D" w:rsidP="00D23D2D">
            <w:pPr>
              <w:pStyle w:val="TablebodyleftTables"/>
              <w:rPr>
                <w:rFonts w:ascii="VIC" w:hAnsi="VIC" w:cs="Times New Roman"/>
              </w:rPr>
            </w:pPr>
            <w:r>
              <w:t>WorkCover Claims</w:t>
            </w:r>
          </w:p>
        </w:tc>
        <w:tc>
          <w:tcPr>
            <w:tcW w:w="4014" w:type="dxa"/>
          </w:tcPr>
          <w:p w14:paraId="2BDBD2CE" w14:textId="77777777" w:rsidR="00D23D2D" w:rsidRDefault="00D23D2D" w:rsidP="00D23D2D">
            <w:pPr>
              <w:pStyle w:val="TablebodyleftTables"/>
            </w:pPr>
            <w:r>
              <w:t>Rate per 100 FTE</w:t>
            </w:r>
          </w:p>
        </w:tc>
        <w:tc>
          <w:tcPr>
            <w:tcW w:w="1191" w:type="dxa"/>
          </w:tcPr>
          <w:p w14:paraId="2B32F74A" w14:textId="77777777" w:rsidR="00D23D2D" w:rsidRDefault="00D23D2D" w:rsidP="00D23D2D">
            <w:pPr>
              <w:pStyle w:val="TablebodyleftTables"/>
              <w:jc w:val="right"/>
            </w:pPr>
            <w:r>
              <w:t>0.95</w:t>
            </w:r>
          </w:p>
        </w:tc>
        <w:tc>
          <w:tcPr>
            <w:tcW w:w="1190" w:type="dxa"/>
          </w:tcPr>
          <w:p w14:paraId="5D458C2D" w14:textId="77777777" w:rsidR="00D23D2D" w:rsidRDefault="00D23D2D" w:rsidP="00D23D2D">
            <w:pPr>
              <w:pStyle w:val="TablebodyleftTables"/>
              <w:jc w:val="right"/>
            </w:pPr>
            <w:r>
              <w:t>1.58</w:t>
            </w:r>
          </w:p>
        </w:tc>
        <w:tc>
          <w:tcPr>
            <w:tcW w:w="1191" w:type="dxa"/>
          </w:tcPr>
          <w:p w14:paraId="501F8053" w14:textId="77777777" w:rsidR="00D23D2D" w:rsidRDefault="00D23D2D" w:rsidP="00D23D2D">
            <w:pPr>
              <w:pStyle w:val="TablebodyleftTables"/>
              <w:jc w:val="right"/>
            </w:pPr>
            <w:r>
              <w:t>1.10</w:t>
            </w:r>
          </w:p>
        </w:tc>
      </w:tr>
      <w:tr w:rsidR="00D23D2D" w:rsidRPr="00B02873" w14:paraId="694AFE63" w14:textId="77777777" w:rsidTr="00D23D2D">
        <w:trPr>
          <w:trHeight w:val="60"/>
        </w:trPr>
        <w:tc>
          <w:tcPr>
            <w:tcW w:w="2052" w:type="dxa"/>
          </w:tcPr>
          <w:p w14:paraId="5FAD38D9" w14:textId="70704162" w:rsidR="00D23D2D" w:rsidRPr="00B02873" w:rsidRDefault="00D23D2D" w:rsidP="00D23D2D">
            <w:pPr>
              <w:pStyle w:val="TablebodyleftTables"/>
              <w:rPr>
                <w:rFonts w:ascii="VIC" w:hAnsi="VIC" w:cs="Times New Roman"/>
              </w:rPr>
            </w:pPr>
            <w:r>
              <w:t>WorkCover Claims</w:t>
            </w:r>
          </w:p>
        </w:tc>
        <w:tc>
          <w:tcPr>
            <w:tcW w:w="4014" w:type="dxa"/>
          </w:tcPr>
          <w:p w14:paraId="136AC164" w14:textId="77777777" w:rsidR="00D23D2D" w:rsidRDefault="00D23D2D" w:rsidP="00D23D2D">
            <w:pPr>
              <w:pStyle w:val="TablebodyleftTables"/>
            </w:pPr>
            <w:r>
              <w:t>Number of claims at 13 weeks</w:t>
            </w:r>
          </w:p>
        </w:tc>
        <w:tc>
          <w:tcPr>
            <w:tcW w:w="1191" w:type="dxa"/>
          </w:tcPr>
          <w:p w14:paraId="0189C3AB" w14:textId="77777777" w:rsidR="00D23D2D" w:rsidRDefault="00D23D2D" w:rsidP="00D23D2D">
            <w:pPr>
              <w:pStyle w:val="TablebodyleftTables"/>
              <w:jc w:val="right"/>
            </w:pPr>
            <w:r>
              <w:t>45</w:t>
            </w:r>
          </w:p>
        </w:tc>
        <w:tc>
          <w:tcPr>
            <w:tcW w:w="1190" w:type="dxa"/>
          </w:tcPr>
          <w:p w14:paraId="1D241C4A" w14:textId="77777777" w:rsidR="00D23D2D" w:rsidRDefault="00D23D2D" w:rsidP="00D23D2D">
            <w:pPr>
              <w:pStyle w:val="TablebodyleftTables"/>
              <w:jc w:val="right"/>
            </w:pPr>
            <w:r>
              <w:t>54</w:t>
            </w:r>
          </w:p>
        </w:tc>
        <w:tc>
          <w:tcPr>
            <w:tcW w:w="1191" w:type="dxa"/>
          </w:tcPr>
          <w:p w14:paraId="0D5DF9F6" w14:textId="77777777" w:rsidR="00D23D2D" w:rsidRDefault="00D23D2D" w:rsidP="00D23D2D">
            <w:pPr>
              <w:pStyle w:val="TablebodyleftTables"/>
              <w:jc w:val="right"/>
            </w:pPr>
            <w:r>
              <w:t>43</w:t>
            </w:r>
          </w:p>
        </w:tc>
      </w:tr>
      <w:tr w:rsidR="00D23D2D" w:rsidRPr="00B02873" w14:paraId="45767710" w14:textId="77777777" w:rsidTr="00D23D2D">
        <w:trPr>
          <w:trHeight w:val="60"/>
        </w:trPr>
        <w:tc>
          <w:tcPr>
            <w:tcW w:w="2052" w:type="dxa"/>
          </w:tcPr>
          <w:p w14:paraId="7D0DFE01" w14:textId="1FC685E9" w:rsidR="00D23D2D" w:rsidRPr="00B02873" w:rsidRDefault="00D23D2D" w:rsidP="00D23D2D">
            <w:pPr>
              <w:pStyle w:val="TablebodyleftTables"/>
              <w:rPr>
                <w:rFonts w:ascii="VIC" w:hAnsi="VIC" w:cs="Times New Roman"/>
              </w:rPr>
            </w:pPr>
            <w:r>
              <w:t>WorkCover Claims</w:t>
            </w:r>
          </w:p>
        </w:tc>
        <w:tc>
          <w:tcPr>
            <w:tcW w:w="4014" w:type="dxa"/>
          </w:tcPr>
          <w:p w14:paraId="1CD67363" w14:textId="77777777" w:rsidR="00D23D2D" w:rsidRDefault="00D23D2D" w:rsidP="00D23D2D">
            <w:pPr>
              <w:pStyle w:val="TablebodyleftTables"/>
            </w:pPr>
            <w:r>
              <w:t>Rate per 100 FTE</w:t>
            </w:r>
          </w:p>
        </w:tc>
        <w:tc>
          <w:tcPr>
            <w:tcW w:w="1191" w:type="dxa"/>
          </w:tcPr>
          <w:p w14:paraId="6A155CBA" w14:textId="77777777" w:rsidR="00D23D2D" w:rsidRDefault="00D23D2D" w:rsidP="00D23D2D">
            <w:pPr>
              <w:pStyle w:val="TablebodyleftTables"/>
              <w:jc w:val="right"/>
            </w:pPr>
            <w:r>
              <w:t>0.91</w:t>
            </w:r>
          </w:p>
        </w:tc>
        <w:tc>
          <w:tcPr>
            <w:tcW w:w="1190" w:type="dxa"/>
          </w:tcPr>
          <w:p w14:paraId="50933B83" w14:textId="77777777" w:rsidR="00D23D2D" w:rsidRDefault="00D23D2D" w:rsidP="00D23D2D">
            <w:pPr>
              <w:pStyle w:val="TablebodyleftTables"/>
              <w:jc w:val="right"/>
            </w:pPr>
            <w:r>
              <w:t>1.37</w:t>
            </w:r>
          </w:p>
        </w:tc>
        <w:tc>
          <w:tcPr>
            <w:tcW w:w="1191" w:type="dxa"/>
          </w:tcPr>
          <w:p w14:paraId="3B5EF8AA" w14:textId="77777777" w:rsidR="00D23D2D" w:rsidRDefault="00D23D2D" w:rsidP="00D23D2D">
            <w:pPr>
              <w:pStyle w:val="TablebodyleftTables"/>
              <w:jc w:val="right"/>
            </w:pPr>
            <w:r>
              <w:t>0.95</w:t>
            </w:r>
          </w:p>
        </w:tc>
      </w:tr>
      <w:tr w:rsidR="00D23D2D" w:rsidRPr="00B02873" w14:paraId="0292BC1F" w14:textId="77777777" w:rsidTr="00D23D2D">
        <w:trPr>
          <w:trHeight w:val="60"/>
        </w:trPr>
        <w:tc>
          <w:tcPr>
            <w:tcW w:w="2052" w:type="dxa"/>
          </w:tcPr>
          <w:p w14:paraId="6CC26A77" w14:textId="10091108" w:rsidR="00D23D2D" w:rsidRPr="00B02873" w:rsidRDefault="00D23D2D" w:rsidP="00D23D2D">
            <w:pPr>
              <w:pStyle w:val="TablebodyleftTables"/>
              <w:rPr>
                <w:rFonts w:ascii="VIC" w:hAnsi="VIC" w:cs="Times New Roman"/>
              </w:rPr>
            </w:pPr>
            <w:r>
              <w:t>WorkCover Claims</w:t>
            </w:r>
          </w:p>
        </w:tc>
        <w:tc>
          <w:tcPr>
            <w:tcW w:w="4014" w:type="dxa"/>
          </w:tcPr>
          <w:p w14:paraId="797B4645" w14:textId="77777777" w:rsidR="00D23D2D" w:rsidRDefault="00D23D2D" w:rsidP="00D23D2D">
            <w:pPr>
              <w:pStyle w:val="TablebodyleftTables"/>
            </w:pPr>
            <w:r>
              <w:t>Percentage of claims at 13 weeks</w:t>
            </w:r>
          </w:p>
        </w:tc>
        <w:tc>
          <w:tcPr>
            <w:tcW w:w="1191" w:type="dxa"/>
          </w:tcPr>
          <w:p w14:paraId="0943CCC4" w14:textId="77777777" w:rsidR="00D23D2D" w:rsidRDefault="00D23D2D" w:rsidP="00D23D2D">
            <w:pPr>
              <w:pStyle w:val="TablebodyleftTables"/>
              <w:jc w:val="right"/>
            </w:pPr>
            <w:r>
              <w:t>81%</w:t>
            </w:r>
          </w:p>
        </w:tc>
        <w:tc>
          <w:tcPr>
            <w:tcW w:w="1190" w:type="dxa"/>
          </w:tcPr>
          <w:p w14:paraId="09132CE2" w14:textId="77777777" w:rsidR="00D23D2D" w:rsidRDefault="00D23D2D" w:rsidP="00D23D2D">
            <w:pPr>
              <w:pStyle w:val="TablebodyleftTables"/>
              <w:jc w:val="right"/>
            </w:pPr>
            <w:r>
              <w:t>87%</w:t>
            </w:r>
          </w:p>
        </w:tc>
        <w:tc>
          <w:tcPr>
            <w:tcW w:w="1191" w:type="dxa"/>
          </w:tcPr>
          <w:p w14:paraId="3FAD9DFD" w14:textId="77777777" w:rsidR="00D23D2D" w:rsidRDefault="00D23D2D" w:rsidP="00D23D2D">
            <w:pPr>
              <w:pStyle w:val="TablebodyleftTables"/>
              <w:jc w:val="right"/>
            </w:pPr>
            <w:r>
              <w:t>86%</w:t>
            </w:r>
          </w:p>
        </w:tc>
      </w:tr>
      <w:tr w:rsidR="00D23D2D" w:rsidRPr="00B02873" w14:paraId="4ACA92F4" w14:textId="77777777" w:rsidTr="00D23D2D">
        <w:trPr>
          <w:trHeight w:val="60"/>
        </w:trPr>
        <w:tc>
          <w:tcPr>
            <w:tcW w:w="2052" w:type="dxa"/>
          </w:tcPr>
          <w:p w14:paraId="52479022" w14:textId="79E28AB7" w:rsidR="00D23D2D" w:rsidRPr="00B02873" w:rsidRDefault="00D23D2D" w:rsidP="00D23D2D">
            <w:pPr>
              <w:pStyle w:val="TablebodyleftTables"/>
              <w:rPr>
                <w:rFonts w:ascii="VIC" w:hAnsi="VIC" w:cs="Times New Roman"/>
              </w:rPr>
            </w:pPr>
            <w:r>
              <w:t>WorkCover Claims</w:t>
            </w:r>
          </w:p>
        </w:tc>
        <w:tc>
          <w:tcPr>
            <w:tcW w:w="4014" w:type="dxa"/>
          </w:tcPr>
          <w:p w14:paraId="1E713BE7" w14:textId="77777777" w:rsidR="00D23D2D" w:rsidRDefault="00D23D2D" w:rsidP="00D23D2D">
            <w:pPr>
              <w:pStyle w:val="TablebodyleftTables"/>
            </w:pPr>
            <w:r>
              <w:t>Number of claims exceeding 13 weeks</w:t>
            </w:r>
          </w:p>
        </w:tc>
        <w:tc>
          <w:tcPr>
            <w:tcW w:w="1191" w:type="dxa"/>
          </w:tcPr>
          <w:p w14:paraId="7913C556" w14:textId="77777777" w:rsidR="00D23D2D" w:rsidRDefault="00D23D2D" w:rsidP="00D23D2D">
            <w:pPr>
              <w:pStyle w:val="TablebodyleftTables"/>
              <w:jc w:val="right"/>
            </w:pPr>
            <w:r>
              <w:t>9</w:t>
            </w:r>
          </w:p>
        </w:tc>
        <w:tc>
          <w:tcPr>
            <w:tcW w:w="1190" w:type="dxa"/>
          </w:tcPr>
          <w:p w14:paraId="06866BD5" w14:textId="77777777" w:rsidR="00D23D2D" w:rsidRDefault="00D23D2D" w:rsidP="00D23D2D">
            <w:pPr>
              <w:pStyle w:val="TablebodyleftTables"/>
              <w:jc w:val="right"/>
            </w:pPr>
            <w:r>
              <w:t>8</w:t>
            </w:r>
          </w:p>
        </w:tc>
        <w:tc>
          <w:tcPr>
            <w:tcW w:w="1191" w:type="dxa"/>
          </w:tcPr>
          <w:p w14:paraId="6DE379F5" w14:textId="77777777" w:rsidR="00D23D2D" w:rsidRDefault="00D23D2D" w:rsidP="00D23D2D">
            <w:pPr>
              <w:pStyle w:val="TablebodyleftTables"/>
              <w:jc w:val="right"/>
            </w:pPr>
            <w:r>
              <w:t>7</w:t>
            </w:r>
          </w:p>
        </w:tc>
      </w:tr>
      <w:tr w:rsidR="00D23D2D" w:rsidRPr="00B02873" w14:paraId="638D7B2E" w14:textId="77777777" w:rsidTr="00D23D2D">
        <w:trPr>
          <w:trHeight w:val="60"/>
        </w:trPr>
        <w:tc>
          <w:tcPr>
            <w:tcW w:w="2052" w:type="dxa"/>
          </w:tcPr>
          <w:p w14:paraId="58748AA8" w14:textId="5B5874D5" w:rsidR="00D23D2D" w:rsidRPr="00B02873" w:rsidRDefault="00D23D2D" w:rsidP="00D23D2D">
            <w:pPr>
              <w:pStyle w:val="TablebodyleftTables"/>
              <w:rPr>
                <w:rFonts w:ascii="VIC" w:hAnsi="VIC" w:cs="Times New Roman"/>
              </w:rPr>
            </w:pPr>
            <w:r>
              <w:t>WorkCover Claims</w:t>
            </w:r>
          </w:p>
        </w:tc>
        <w:tc>
          <w:tcPr>
            <w:tcW w:w="4014" w:type="dxa"/>
          </w:tcPr>
          <w:p w14:paraId="09F83E14" w14:textId="77777777" w:rsidR="00D23D2D" w:rsidRDefault="00D23D2D" w:rsidP="00D23D2D">
            <w:pPr>
              <w:pStyle w:val="TablebodyleftTables"/>
            </w:pPr>
            <w:r>
              <w:t>Rate per 100 FTE</w:t>
            </w:r>
          </w:p>
        </w:tc>
        <w:tc>
          <w:tcPr>
            <w:tcW w:w="1191" w:type="dxa"/>
          </w:tcPr>
          <w:p w14:paraId="13724016" w14:textId="77777777" w:rsidR="00D23D2D" w:rsidRDefault="00D23D2D" w:rsidP="00D23D2D">
            <w:pPr>
              <w:pStyle w:val="TablebodyleftTables"/>
              <w:jc w:val="right"/>
            </w:pPr>
            <w:r>
              <w:t>0.12</w:t>
            </w:r>
          </w:p>
        </w:tc>
        <w:tc>
          <w:tcPr>
            <w:tcW w:w="1190" w:type="dxa"/>
          </w:tcPr>
          <w:p w14:paraId="21115606" w14:textId="77777777" w:rsidR="00D23D2D" w:rsidRDefault="00D23D2D" w:rsidP="00D23D2D">
            <w:pPr>
              <w:pStyle w:val="TablebodyleftTables"/>
              <w:jc w:val="right"/>
            </w:pPr>
            <w:r>
              <w:t>0.20</w:t>
            </w:r>
          </w:p>
        </w:tc>
        <w:tc>
          <w:tcPr>
            <w:tcW w:w="1191" w:type="dxa"/>
          </w:tcPr>
          <w:p w14:paraId="311DE957" w14:textId="77777777" w:rsidR="00D23D2D" w:rsidRDefault="00D23D2D" w:rsidP="00D23D2D">
            <w:pPr>
              <w:pStyle w:val="TablebodyleftTables"/>
              <w:jc w:val="right"/>
            </w:pPr>
            <w:r>
              <w:t>N/A</w:t>
            </w:r>
          </w:p>
        </w:tc>
      </w:tr>
      <w:tr w:rsidR="00D23D2D" w:rsidRPr="00B02873" w14:paraId="0563200B" w14:textId="77777777" w:rsidTr="00D23D2D">
        <w:trPr>
          <w:trHeight w:val="60"/>
        </w:trPr>
        <w:tc>
          <w:tcPr>
            <w:tcW w:w="2052" w:type="dxa"/>
          </w:tcPr>
          <w:p w14:paraId="45BB85FA" w14:textId="195F6429" w:rsidR="00D23D2D" w:rsidRPr="00B02873" w:rsidRDefault="00D23D2D" w:rsidP="00D23D2D">
            <w:pPr>
              <w:pStyle w:val="TablebodyleftTables"/>
              <w:rPr>
                <w:rFonts w:ascii="VIC" w:hAnsi="VIC" w:cs="Times New Roman"/>
              </w:rPr>
            </w:pPr>
            <w:r>
              <w:t>WorkCover Claims</w:t>
            </w:r>
          </w:p>
        </w:tc>
        <w:tc>
          <w:tcPr>
            <w:tcW w:w="4014" w:type="dxa"/>
          </w:tcPr>
          <w:p w14:paraId="460FA1BC" w14:textId="77777777" w:rsidR="00D23D2D" w:rsidRDefault="00D23D2D" w:rsidP="00D23D2D">
            <w:pPr>
              <w:pStyle w:val="TablebodyleftTables"/>
            </w:pPr>
            <w:r>
              <w:t>Number of claims at 26 weeks</w:t>
            </w:r>
          </w:p>
        </w:tc>
        <w:tc>
          <w:tcPr>
            <w:tcW w:w="1191" w:type="dxa"/>
          </w:tcPr>
          <w:p w14:paraId="60BC81EF" w14:textId="77777777" w:rsidR="00D23D2D" w:rsidRDefault="00D23D2D" w:rsidP="00D23D2D">
            <w:pPr>
              <w:pStyle w:val="TablebodyleftTables"/>
              <w:jc w:val="right"/>
            </w:pPr>
            <w:r>
              <w:t>6</w:t>
            </w:r>
          </w:p>
        </w:tc>
        <w:tc>
          <w:tcPr>
            <w:tcW w:w="1190" w:type="dxa"/>
          </w:tcPr>
          <w:p w14:paraId="3AD1A975" w14:textId="77777777" w:rsidR="00D23D2D" w:rsidRDefault="00D23D2D" w:rsidP="00D23D2D">
            <w:pPr>
              <w:pStyle w:val="TablebodyleftTables"/>
              <w:jc w:val="right"/>
            </w:pPr>
            <w:r>
              <w:t>1</w:t>
            </w:r>
          </w:p>
        </w:tc>
        <w:tc>
          <w:tcPr>
            <w:tcW w:w="1191" w:type="dxa"/>
          </w:tcPr>
          <w:p w14:paraId="185EBC1B" w14:textId="77777777" w:rsidR="00D23D2D" w:rsidRDefault="00D23D2D" w:rsidP="00D23D2D">
            <w:pPr>
              <w:pStyle w:val="TablebodyleftTables"/>
              <w:jc w:val="right"/>
            </w:pPr>
            <w:r>
              <w:t>0</w:t>
            </w:r>
          </w:p>
        </w:tc>
      </w:tr>
      <w:tr w:rsidR="00D23D2D" w:rsidRPr="00B02873" w14:paraId="620B5D3B" w14:textId="77777777" w:rsidTr="00D23D2D">
        <w:trPr>
          <w:trHeight w:val="60"/>
        </w:trPr>
        <w:tc>
          <w:tcPr>
            <w:tcW w:w="2052" w:type="dxa"/>
          </w:tcPr>
          <w:p w14:paraId="46D0FD5E" w14:textId="0ECAB8BA" w:rsidR="00D23D2D" w:rsidRPr="00B02873" w:rsidRDefault="00D23D2D" w:rsidP="00D23D2D">
            <w:pPr>
              <w:pStyle w:val="TablebodyleftTables"/>
              <w:rPr>
                <w:rFonts w:ascii="VIC" w:hAnsi="VIC" w:cs="Times New Roman"/>
              </w:rPr>
            </w:pPr>
            <w:r>
              <w:t>WorkCover Claims</w:t>
            </w:r>
          </w:p>
        </w:tc>
        <w:tc>
          <w:tcPr>
            <w:tcW w:w="4014" w:type="dxa"/>
          </w:tcPr>
          <w:p w14:paraId="5A94E1E7" w14:textId="03BB925E" w:rsidR="00D23D2D" w:rsidRDefault="00D23D2D" w:rsidP="00D23D2D">
            <w:pPr>
              <w:pStyle w:val="TablebodyleftTables"/>
            </w:pPr>
            <w:r>
              <w:t>Percentage of claims at 26 weeks against total number of standard claims</w:t>
            </w:r>
          </w:p>
        </w:tc>
        <w:tc>
          <w:tcPr>
            <w:tcW w:w="1191" w:type="dxa"/>
          </w:tcPr>
          <w:p w14:paraId="1CAB4432" w14:textId="77777777" w:rsidR="00D23D2D" w:rsidRDefault="00D23D2D" w:rsidP="00D23D2D">
            <w:pPr>
              <w:pStyle w:val="TablebodyleftTables"/>
              <w:jc w:val="right"/>
            </w:pPr>
            <w:r>
              <w:t>10%</w:t>
            </w:r>
          </w:p>
        </w:tc>
        <w:tc>
          <w:tcPr>
            <w:tcW w:w="1190" w:type="dxa"/>
          </w:tcPr>
          <w:p w14:paraId="7163ED81" w14:textId="77777777" w:rsidR="00D23D2D" w:rsidRDefault="00D23D2D" w:rsidP="00D23D2D">
            <w:pPr>
              <w:pStyle w:val="TablebodyleftTables"/>
              <w:jc w:val="right"/>
            </w:pPr>
            <w:r>
              <w:t>1.2%</w:t>
            </w:r>
            <w:r>
              <w:rPr>
                <w:vertAlign w:val="superscript"/>
              </w:rPr>
              <w:t>(h)</w:t>
            </w:r>
          </w:p>
        </w:tc>
        <w:tc>
          <w:tcPr>
            <w:tcW w:w="1191" w:type="dxa"/>
          </w:tcPr>
          <w:p w14:paraId="219B68AC" w14:textId="77777777" w:rsidR="00D23D2D" w:rsidRDefault="00D23D2D" w:rsidP="00D23D2D">
            <w:pPr>
              <w:pStyle w:val="TablebodyleftTables"/>
              <w:jc w:val="right"/>
            </w:pPr>
            <w:r>
              <w:t>0%</w:t>
            </w:r>
          </w:p>
        </w:tc>
      </w:tr>
      <w:tr w:rsidR="00D23D2D" w:rsidRPr="00B02873" w14:paraId="32D3917E" w14:textId="77777777" w:rsidTr="00D23D2D">
        <w:trPr>
          <w:trHeight w:val="60"/>
        </w:trPr>
        <w:tc>
          <w:tcPr>
            <w:tcW w:w="2052" w:type="dxa"/>
          </w:tcPr>
          <w:p w14:paraId="69049CF6" w14:textId="77777777" w:rsidR="00D23D2D" w:rsidRDefault="00D23D2D" w:rsidP="00D23D2D">
            <w:pPr>
              <w:pStyle w:val="TablebodyleftTables"/>
            </w:pPr>
            <w:r>
              <w:t>Fatalities</w:t>
            </w:r>
          </w:p>
        </w:tc>
        <w:tc>
          <w:tcPr>
            <w:tcW w:w="4014" w:type="dxa"/>
          </w:tcPr>
          <w:p w14:paraId="71068539" w14:textId="77777777" w:rsidR="00D23D2D" w:rsidRDefault="00D23D2D" w:rsidP="00D23D2D">
            <w:pPr>
              <w:pStyle w:val="TablebodyleftTables"/>
            </w:pPr>
            <w:r>
              <w:t>Fatality claims</w:t>
            </w:r>
          </w:p>
        </w:tc>
        <w:tc>
          <w:tcPr>
            <w:tcW w:w="1191" w:type="dxa"/>
          </w:tcPr>
          <w:p w14:paraId="2231BF37" w14:textId="77777777" w:rsidR="00D23D2D" w:rsidRDefault="00D23D2D" w:rsidP="00D23D2D">
            <w:pPr>
              <w:pStyle w:val="TablebodyleftTables"/>
              <w:jc w:val="right"/>
            </w:pPr>
            <w:r>
              <w:t>0</w:t>
            </w:r>
          </w:p>
        </w:tc>
        <w:tc>
          <w:tcPr>
            <w:tcW w:w="1190" w:type="dxa"/>
          </w:tcPr>
          <w:p w14:paraId="69815CD9" w14:textId="77777777" w:rsidR="00D23D2D" w:rsidRDefault="00D23D2D" w:rsidP="00D23D2D">
            <w:pPr>
              <w:pStyle w:val="TablebodyleftTables"/>
              <w:jc w:val="right"/>
            </w:pPr>
            <w:r>
              <w:t>0</w:t>
            </w:r>
          </w:p>
        </w:tc>
        <w:tc>
          <w:tcPr>
            <w:tcW w:w="1191" w:type="dxa"/>
          </w:tcPr>
          <w:p w14:paraId="22D3CFB1" w14:textId="77777777" w:rsidR="00D23D2D" w:rsidRDefault="00D23D2D" w:rsidP="00D23D2D">
            <w:pPr>
              <w:pStyle w:val="TablebodyleftTables"/>
              <w:jc w:val="right"/>
            </w:pPr>
            <w:r>
              <w:t>3</w:t>
            </w:r>
          </w:p>
        </w:tc>
      </w:tr>
      <w:tr w:rsidR="00D23D2D" w:rsidRPr="00B02873" w14:paraId="0987DD76" w14:textId="77777777" w:rsidTr="00D23D2D">
        <w:trPr>
          <w:trHeight w:val="60"/>
        </w:trPr>
        <w:tc>
          <w:tcPr>
            <w:tcW w:w="2052" w:type="dxa"/>
          </w:tcPr>
          <w:p w14:paraId="79816098" w14:textId="77777777" w:rsidR="00D23D2D" w:rsidRDefault="00D23D2D" w:rsidP="00D23D2D">
            <w:pPr>
              <w:pStyle w:val="TablebodyleftTables"/>
            </w:pPr>
            <w:r>
              <w:t>Claim costs</w:t>
            </w:r>
          </w:p>
        </w:tc>
        <w:tc>
          <w:tcPr>
            <w:tcW w:w="4014" w:type="dxa"/>
          </w:tcPr>
          <w:p w14:paraId="73638E8B" w14:textId="77777777" w:rsidR="00D23D2D" w:rsidRDefault="00D23D2D" w:rsidP="00D23D2D">
            <w:pPr>
              <w:pStyle w:val="TablebodyleftTables"/>
            </w:pPr>
            <w:r>
              <w:t>Average cost per standard claim</w:t>
            </w:r>
            <w:r>
              <w:rPr>
                <w:vertAlign w:val="superscript"/>
              </w:rPr>
              <w:t>(6)</w:t>
            </w:r>
          </w:p>
        </w:tc>
        <w:tc>
          <w:tcPr>
            <w:tcW w:w="1191" w:type="dxa"/>
          </w:tcPr>
          <w:p w14:paraId="4D6056EB" w14:textId="77777777" w:rsidR="00D23D2D" w:rsidRDefault="00D23D2D" w:rsidP="00D23D2D">
            <w:pPr>
              <w:pStyle w:val="TablebodyleftTables"/>
              <w:jc w:val="right"/>
            </w:pPr>
            <w:r>
              <w:t>$39,087</w:t>
            </w:r>
          </w:p>
        </w:tc>
        <w:tc>
          <w:tcPr>
            <w:tcW w:w="1190" w:type="dxa"/>
          </w:tcPr>
          <w:p w14:paraId="03F348EC" w14:textId="77777777" w:rsidR="00D23D2D" w:rsidRDefault="00D23D2D" w:rsidP="00D23D2D">
            <w:pPr>
              <w:pStyle w:val="TablebodyleftTables"/>
              <w:jc w:val="right"/>
            </w:pPr>
            <w:r>
              <w:t>$28,722</w:t>
            </w:r>
            <w:r>
              <w:rPr>
                <w:vertAlign w:val="superscript"/>
              </w:rPr>
              <w:t xml:space="preserve">(i) </w:t>
            </w:r>
          </w:p>
        </w:tc>
        <w:tc>
          <w:tcPr>
            <w:tcW w:w="1191" w:type="dxa"/>
          </w:tcPr>
          <w:p w14:paraId="27412727" w14:textId="77777777" w:rsidR="00D23D2D" w:rsidRDefault="00D23D2D" w:rsidP="00D23D2D">
            <w:pPr>
              <w:pStyle w:val="TablebodyleftTables"/>
              <w:jc w:val="right"/>
            </w:pPr>
            <w:r>
              <w:t>$37, 788</w:t>
            </w:r>
            <w:r>
              <w:rPr>
                <w:vertAlign w:val="superscript"/>
              </w:rPr>
              <w:t>(i)</w:t>
            </w:r>
          </w:p>
        </w:tc>
      </w:tr>
      <w:tr w:rsidR="00D23D2D" w:rsidRPr="00B02873" w14:paraId="4A329E3D" w14:textId="77777777" w:rsidTr="00D23D2D">
        <w:trPr>
          <w:trHeight w:val="60"/>
        </w:trPr>
        <w:tc>
          <w:tcPr>
            <w:tcW w:w="2052" w:type="dxa"/>
          </w:tcPr>
          <w:p w14:paraId="3C47A69F" w14:textId="77777777" w:rsidR="00D23D2D" w:rsidRDefault="00D23D2D" w:rsidP="00D23D2D">
            <w:pPr>
              <w:pStyle w:val="TablebodyleftTables"/>
            </w:pPr>
            <w:r>
              <w:t>Absenteeism</w:t>
            </w:r>
          </w:p>
        </w:tc>
        <w:tc>
          <w:tcPr>
            <w:tcW w:w="4014" w:type="dxa"/>
          </w:tcPr>
          <w:p w14:paraId="23D008CA" w14:textId="77777777" w:rsidR="00D23D2D" w:rsidRDefault="00D23D2D" w:rsidP="00D23D2D">
            <w:pPr>
              <w:pStyle w:val="TablebodyleftTables"/>
            </w:pPr>
            <w:r>
              <w:t>Number of days absent due to sickness</w:t>
            </w:r>
          </w:p>
        </w:tc>
        <w:tc>
          <w:tcPr>
            <w:tcW w:w="1191" w:type="dxa"/>
          </w:tcPr>
          <w:p w14:paraId="7EEDFDDA" w14:textId="77777777" w:rsidR="00D23D2D" w:rsidRDefault="00D23D2D" w:rsidP="00D23D2D">
            <w:pPr>
              <w:pStyle w:val="TablebodyleftTables"/>
              <w:jc w:val="right"/>
            </w:pPr>
            <w:r>
              <w:t>37,131</w:t>
            </w:r>
          </w:p>
        </w:tc>
        <w:tc>
          <w:tcPr>
            <w:tcW w:w="1190" w:type="dxa"/>
          </w:tcPr>
          <w:p w14:paraId="0B30978C" w14:textId="77777777" w:rsidR="00D23D2D" w:rsidRDefault="00D23D2D" w:rsidP="00D23D2D">
            <w:pPr>
              <w:pStyle w:val="TablebodyleftTables"/>
              <w:jc w:val="right"/>
            </w:pPr>
            <w:r>
              <w:t>25,321</w:t>
            </w:r>
          </w:p>
        </w:tc>
        <w:tc>
          <w:tcPr>
            <w:tcW w:w="1191" w:type="dxa"/>
          </w:tcPr>
          <w:p w14:paraId="6232995E" w14:textId="77777777" w:rsidR="00D23D2D" w:rsidRDefault="00D23D2D" w:rsidP="00D23D2D">
            <w:pPr>
              <w:pStyle w:val="TablebodyleftTables"/>
              <w:jc w:val="right"/>
            </w:pPr>
            <w:r>
              <w:t>26,684</w:t>
            </w:r>
          </w:p>
        </w:tc>
      </w:tr>
      <w:tr w:rsidR="00D23D2D" w:rsidRPr="00B02873" w14:paraId="30918902" w14:textId="77777777" w:rsidTr="00D23D2D">
        <w:trPr>
          <w:trHeight w:val="60"/>
        </w:trPr>
        <w:tc>
          <w:tcPr>
            <w:tcW w:w="2052" w:type="dxa"/>
          </w:tcPr>
          <w:p w14:paraId="12ED6401" w14:textId="237494EA" w:rsidR="00D23D2D" w:rsidRPr="00B02873" w:rsidRDefault="00D23D2D" w:rsidP="00D23D2D">
            <w:pPr>
              <w:pStyle w:val="TablebodyleftTables"/>
              <w:rPr>
                <w:rFonts w:ascii="VIC" w:hAnsi="VIC" w:cs="Times New Roman"/>
              </w:rPr>
            </w:pPr>
            <w:r>
              <w:t>Absenteeism</w:t>
            </w:r>
          </w:p>
        </w:tc>
        <w:tc>
          <w:tcPr>
            <w:tcW w:w="4014" w:type="dxa"/>
          </w:tcPr>
          <w:p w14:paraId="382225AC" w14:textId="77777777" w:rsidR="00D23D2D" w:rsidRDefault="00D23D2D" w:rsidP="00D23D2D">
            <w:pPr>
              <w:pStyle w:val="TablebodyleftTables"/>
            </w:pPr>
            <w:r>
              <w:t>Rate per 100 FTE</w:t>
            </w:r>
          </w:p>
        </w:tc>
        <w:tc>
          <w:tcPr>
            <w:tcW w:w="1191" w:type="dxa"/>
          </w:tcPr>
          <w:p w14:paraId="110C10E1" w14:textId="77777777" w:rsidR="00D23D2D" w:rsidRDefault="00D23D2D" w:rsidP="00D23D2D">
            <w:pPr>
              <w:pStyle w:val="TablebodyleftTables"/>
              <w:jc w:val="right"/>
            </w:pPr>
            <w:r>
              <w:t>770</w:t>
            </w:r>
          </w:p>
        </w:tc>
        <w:tc>
          <w:tcPr>
            <w:tcW w:w="1190" w:type="dxa"/>
          </w:tcPr>
          <w:p w14:paraId="16F02F9A" w14:textId="77777777" w:rsidR="00D23D2D" w:rsidRDefault="00D23D2D" w:rsidP="00D23D2D">
            <w:pPr>
              <w:pStyle w:val="TablebodyleftTables"/>
              <w:jc w:val="right"/>
            </w:pPr>
            <w:r>
              <w:t>577</w:t>
            </w:r>
          </w:p>
        </w:tc>
        <w:tc>
          <w:tcPr>
            <w:tcW w:w="1191" w:type="dxa"/>
          </w:tcPr>
          <w:p w14:paraId="175EF2B3" w14:textId="77777777" w:rsidR="00D23D2D" w:rsidRDefault="00D23D2D" w:rsidP="00D23D2D">
            <w:pPr>
              <w:pStyle w:val="TablebodyleftTables"/>
              <w:jc w:val="right"/>
            </w:pPr>
            <w:r>
              <w:t>673</w:t>
            </w:r>
          </w:p>
        </w:tc>
      </w:tr>
      <w:tr w:rsidR="00D23D2D" w:rsidRPr="00B02873" w14:paraId="0BF6475B" w14:textId="77777777" w:rsidTr="00D23D2D">
        <w:trPr>
          <w:trHeight w:val="60"/>
        </w:trPr>
        <w:tc>
          <w:tcPr>
            <w:tcW w:w="2052" w:type="dxa"/>
          </w:tcPr>
          <w:p w14:paraId="5A41CC3F" w14:textId="77777777" w:rsidR="00D23D2D" w:rsidRDefault="00D23D2D" w:rsidP="00D23D2D">
            <w:pPr>
              <w:pStyle w:val="TablebodyleftTables"/>
            </w:pPr>
            <w:r>
              <w:lastRenderedPageBreak/>
              <w:t>Return to Work (RTW)</w:t>
            </w:r>
          </w:p>
        </w:tc>
        <w:tc>
          <w:tcPr>
            <w:tcW w:w="4014" w:type="dxa"/>
          </w:tcPr>
          <w:p w14:paraId="29456168" w14:textId="0A123F65" w:rsidR="00D23D2D" w:rsidRDefault="00D23D2D" w:rsidP="00D23D2D">
            <w:pPr>
              <w:pStyle w:val="TablebodyleftTables"/>
            </w:pPr>
            <w:r>
              <w:t xml:space="preserve">Percentage of RTW arrangements initiated for claims by premium period </w:t>
            </w:r>
          </w:p>
        </w:tc>
        <w:tc>
          <w:tcPr>
            <w:tcW w:w="1191" w:type="dxa"/>
          </w:tcPr>
          <w:p w14:paraId="65B6A86C" w14:textId="77777777" w:rsidR="00D23D2D" w:rsidRDefault="00D23D2D" w:rsidP="00D23D2D">
            <w:pPr>
              <w:pStyle w:val="TablebodyleftTables"/>
              <w:jc w:val="right"/>
            </w:pPr>
            <w:r>
              <w:t>77%</w:t>
            </w:r>
          </w:p>
        </w:tc>
        <w:tc>
          <w:tcPr>
            <w:tcW w:w="1190" w:type="dxa"/>
          </w:tcPr>
          <w:p w14:paraId="2B6828AD" w14:textId="77777777" w:rsidR="00D23D2D" w:rsidRDefault="00D23D2D" w:rsidP="00D23D2D">
            <w:pPr>
              <w:pStyle w:val="TablebodyleftTables"/>
              <w:jc w:val="right"/>
            </w:pPr>
            <w:r>
              <w:t>70%</w:t>
            </w:r>
          </w:p>
        </w:tc>
        <w:tc>
          <w:tcPr>
            <w:tcW w:w="1191" w:type="dxa"/>
          </w:tcPr>
          <w:p w14:paraId="55ED4ED6" w14:textId="77777777" w:rsidR="00D23D2D" w:rsidRDefault="00D23D2D" w:rsidP="00D23D2D">
            <w:pPr>
              <w:pStyle w:val="TablebodyleftTables"/>
              <w:jc w:val="right"/>
            </w:pPr>
            <w:r>
              <w:t>58%</w:t>
            </w:r>
          </w:p>
        </w:tc>
      </w:tr>
      <w:tr w:rsidR="00D23D2D" w:rsidRPr="00B02873" w14:paraId="707946E1" w14:textId="77777777" w:rsidTr="00D23D2D">
        <w:trPr>
          <w:trHeight w:val="60"/>
        </w:trPr>
        <w:tc>
          <w:tcPr>
            <w:tcW w:w="2052" w:type="dxa"/>
          </w:tcPr>
          <w:p w14:paraId="021C18D9" w14:textId="77777777" w:rsidR="00D23D2D" w:rsidRDefault="00D23D2D" w:rsidP="00D23D2D">
            <w:pPr>
              <w:pStyle w:val="TablebodyleftTables"/>
            </w:pPr>
            <w:r>
              <w:t>Legislative compliance</w:t>
            </w:r>
          </w:p>
        </w:tc>
        <w:tc>
          <w:tcPr>
            <w:tcW w:w="4014" w:type="dxa"/>
          </w:tcPr>
          <w:p w14:paraId="0AF1E572" w14:textId="77777777" w:rsidR="00D23D2D" w:rsidRDefault="00D23D2D" w:rsidP="00D23D2D">
            <w:pPr>
              <w:pStyle w:val="TablebodyleftTables"/>
            </w:pPr>
            <w:r>
              <w:t>Number of WorkSafe Victoria Notices issued</w:t>
            </w:r>
          </w:p>
        </w:tc>
        <w:tc>
          <w:tcPr>
            <w:tcW w:w="1191" w:type="dxa"/>
          </w:tcPr>
          <w:p w14:paraId="7CFC0B1F" w14:textId="77777777" w:rsidR="00D23D2D" w:rsidRDefault="00D23D2D" w:rsidP="00D23D2D">
            <w:pPr>
              <w:pStyle w:val="TablebodyleftTables"/>
              <w:jc w:val="right"/>
            </w:pPr>
            <w:r>
              <w:t xml:space="preserve"> 1</w:t>
            </w:r>
          </w:p>
        </w:tc>
        <w:tc>
          <w:tcPr>
            <w:tcW w:w="1190" w:type="dxa"/>
          </w:tcPr>
          <w:p w14:paraId="6C43AABF" w14:textId="77777777" w:rsidR="00D23D2D" w:rsidRDefault="00D23D2D" w:rsidP="00D23D2D">
            <w:pPr>
              <w:pStyle w:val="TablebodyleftTables"/>
              <w:jc w:val="right"/>
            </w:pPr>
            <w:r>
              <w:t>1</w:t>
            </w:r>
          </w:p>
        </w:tc>
        <w:tc>
          <w:tcPr>
            <w:tcW w:w="1191" w:type="dxa"/>
          </w:tcPr>
          <w:p w14:paraId="7AFA5419" w14:textId="77777777" w:rsidR="00D23D2D" w:rsidRDefault="00D23D2D" w:rsidP="00D23D2D">
            <w:pPr>
              <w:pStyle w:val="TablebodyleftTables"/>
              <w:jc w:val="right"/>
            </w:pPr>
            <w:r>
              <w:t>0</w:t>
            </w:r>
          </w:p>
        </w:tc>
      </w:tr>
      <w:tr w:rsidR="00D23D2D" w:rsidRPr="00B02873" w14:paraId="23C0C629" w14:textId="77777777" w:rsidTr="00D23D2D">
        <w:trPr>
          <w:trHeight w:val="60"/>
        </w:trPr>
        <w:tc>
          <w:tcPr>
            <w:tcW w:w="2052" w:type="dxa"/>
          </w:tcPr>
          <w:p w14:paraId="77A1130E" w14:textId="29468D16" w:rsidR="00D23D2D" w:rsidRPr="00B02873" w:rsidRDefault="00D23D2D" w:rsidP="00D23D2D">
            <w:pPr>
              <w:pStyle w:val="TablebodyleftTables"/>
              <w:rPr>
                <w:rFonts w:ascii="VIC" w:hAnsi="VIC" w:cs="Times New Roman"/>
              </w:rPr>
            </w:pPr>
            <w:r>
              <w:t>Legislative compliance</w:t>
            </w:r>
          </w:p>
        </w:tc>
        <w:tc>
          <w:tcPr>
            <w:tcW w:w="4014" w:type="dxa"/>
          </w:tcPr>
          <w:p w14:paraId="796500E2" w14:textId="77777777" w:rsidR="00D23D2D" w:rsidRDefault="00D23D2D" w:rsidP="00D23D2D">
            <w:pPr>
              <w:pStyle w:val="TablebodyleftTables"/>
            </w:pPr>
            <w:r>
              <w:t>Rate of notices issued per inspector visit</w:t>
            </w:r>
          </w:p>
        </w:tc>
        <w:tc>
          <w:tcPr>
            <w:tcW w:w="1191" w:type="dxa"/>
          </w:tcPr>
          <w:p w14:paraId="32DFE799" w14:textId="77777777" w:rsidR="00D23D2D" w:rsidRDefault="00D23D2D" w:rsidP="00D23D2D">
            <w:pPr>
              <w:pStyle w:val="TablebodyleftTables"/>
              <w:jc w:val="right"/>
            </w:pPr>
            <w:r>
              <w:t>0</w:t>
            </w:r>
          </w:p>
        </w:tc>
        <w:tc>
          <w:tcPr>
            <w:tcW w:w="1190" w:type="dxa"/>
          </w:tcPr>
          <w:p w14:paraId="52C4980C" w14:textId="77777777" w:rsidR="00D23D2D" w:rsidRDefault="00D23D2D" w:rsidP="00D23D2D">
            <w:pPr>
              <w:pStyle w:val="TablebodyleftTables"/>
              <w:jc w:val="right"/>
            </w:pPr>
            <w:r>
              <w:t>0</w:t>
            </w:r>
          </w:p>
        </w:tc>
        <w:tc>
          <w:tcPr>
            <w:tcW w:w="1191" w:type="dxa"/>
          </w:tcPr>
          <w:p w14:paraId="5B09D86D" w14:textId="77777777" w:rsidR="00D23D2D" w:rsidRDefault="00D23D2D" w:rsidP="00D23D2D">
            <w:pPr>
              <w:pStyle w:val="TablebodyleftTables"/>
              <w:jc w:val="right"/>
            </w:pPr>
            <w:r>
              <w:t>0</w:t>
            </w:r>
          </w:p>
        </w:tc>
      </w:tr>
      <w:tr w:rsidR="00D23D2D" w:rsidRPr="00B02873" w14:paraId="0E1A2184" w14:textId="77777777" w:rsidTr="00D23D2D">
        <w:trPr>
          <w:trHeight w:val="60"/>
        </w:trPr>
        <w:tc>
          <w:tcPr>
            <w:tcW w:w="2052" w:type="dxa"/>
          </w:tcPr>
          <w:p w14:paraId="357ED056" w14:textId="33EFD87C" w:rsidR="00D23D2D" w:rsidRPr="00B02873" w:rsidRDefault="00D23D2D" w:rsidP="00D23D2D">
            <w:pPr>
              <w:pStyle w:val="TablebodyleftTables"/>
              <w:rPr>
                <w:rFonts w:ascii="VIC" w:hAnsi="VIC" w:cs="Times New Roman"/>
              </w:rPr>
            </w:pPr>
            <w:r>
              <w:t>Legislative compliance</w:t>
            </w:r>
          </w:p>
        </w:tc>
        <w:tc>
          <w:tcPr>
            <w:tcW w:w="4014" w:type="dxa"/>
          </w:tcPr>
          <w:p w14:paraId="5D0B4AFB" w14:textId="77777777" w:rsidR="00D23D2D" w:rsidRDefault="00D23D2D" w:rsidP="00D23D2D">
            <w:pPr>
              <w:pStyle w:val="TablebodyleftTables"/>
            </w:pPr>
            <w:r>
              <w:t>Number of prosecutions</w:t>
            </w:r>
          </w:p>
        </w:tc>
        <w:tc>
          <w:tcPr>
            <w:tcW w:w="1191" w:type="dxa"/>
          </w:tcPr>
          <w:p w14:paraId="154873ED" w14:textId="77777777" w:rsidR="00D23D2D" w:rsidRDefault="00D23D2D" w:rsidP="00D23D2D">
            <w:pPr>
              <w:pStyle w:val="TablebodyleftTables"/>
              <w:jc w:val="right"/>
            </w:pPr>
            <w:r>
              <w:t>0</w:t>
            </w:r>
          </w:p>
        </w:tc>
        <w:tc>
          <w:tcPr>
            <w:tcW w:w="1190" w:type="dxa"/>
          </w:tcPr>
          <w:p w14:paraId="1793FE6D" w14:textId="77777777" w:rsidR="00D23D2D" w:rsidRDefault="00D23D2D" w:rsidP="00D23D2D">
            <w:pPr>
              <w:pStyle w:val="TablebodyleftTables"/>
              <w:jc w:val="right"/>
            </w:pPr>
            <w:r>
              <w:t>0</w:t>
            </w:r>
          </w:p>
        </w:tc>
        <w:tc>
          <w:tcPr>
            <w:tcW w:w="1191" w:type="dxa"/>
          </w:tcPr>
          <w:p w14:paraId="23945F56" w14:textId="77777777" w:rsidR="00D23D2D" w:rsidRDefault="00D23D2D" w:rsidP="00D23D2D">
            <w:pPr>
              <w:pStyle w:val="TablebodyleftTables"/>
              <w:jc w:val="right"/>
            </w:pPr>
            <w:r>
              <w:t>0</w:t>
            </w:r>
          </w:p>
        </w:tc>
      </w:tr>
      <w:tr w:rsidR="00D23D2D" w:rsidRPr="00B02873" w14:paraId="3E4B1B47" w14:textId="77777777" w:rsidTr="00D23D2D">
        <w:trPr>
          <w:trHeight w:val="60"/>
        </w:trPr>
        <w:tc>
          <w:tcPr>
            <w:tcW w:w="2052" w:type="dxa"/>
          </w:tcPr>
          <w:p w14:paraId="1B846C11" w14:textId="77777777" w:rsidR="00D23D2D" w:rsidRDefault="00D23D2D" w:rsidP="00D23D2D">
            <w:pPr>
              <w:pStyle w:val="TablebodyleftTables"/>
            </w:pPr>
            <w:r>
              <w:t>Management commitment</w:t>
            </w:r>
          </w:p>
        </w:tc>
        <w:tc>
          <w:tcPr>
            <w:tcW w:w="4014" w:type="dxa"/>
          </w:tcPr>
          <w:p w14:paraId="42329AF9" w14:textId="77777777" w:rsidR="00D23D2D" w:rsidRDefault="00D23D2D" w:rsidP="00D23D2D">
            <w:pPr>
              <w:pStyle w:val="TablebodyleftTables"/>
            </w:pPr>
            <w:r>
              <w:t>Evidence of safety and wellbeing policy statement, objectives, regular reporting to senior management and plans.</w:t>
            </w:r>
          </w:p>
        </w:tc>
        <w:tc>
          <w:tcPr>
            <w:tcW w:w="1191" w:type="dxa"/>
          </w:tcPr>
          <w:p w14:paraId="2A701149" w14:textId="77777777" w:rsidR="00D23D2D" w:rsidRDefault="00D23D2D" w:rsidP="00D23D2D">
            <w:pPr>
              <w:pStyle w:val="TablebodyleftTables"/>
              <w:jc w:val="right"/>
            </w:pPr>
            <w:r>
              <w:t>Completed</w:t>
            </w:r>
          </w:p>
        </w:tc>
        <w:tc>
          <w:tcPr>
            <w:tcW w:w="1190" w:type="dxa"/>
          </w:tcPr>
          <w:p w14:paraId="2853D44B" w14:textId="77777777" w:rsidR="00D23D2D" w:rsidRDefault="00D23D2D" w:rsidP="00D23D2D">
            <w:pPr>
              <w:pStyle w:val="TablebodyleftTables"/>
              <w:jc w:val="right"/>
            </w:pPr>
            <w:r>
              <w:t>Completed</w:t>
            </w:r>
          </w:p>
        </w:tc>
        <w:tc>
          <w:tcPr>
            <w:tcW w:w="1191" w:type="dxa"/>
          </w:tcPr>
          <w:p w14:paraId="3304129F" w14:textId="77777777" w:rsidR="00D23D2D" w:rsidRDefault="00D23D2D" w:rsidP="00D23D2D">
            <w:pPr>
              <w:pStyle w:val="TablebodyleftTables"/>
              <w:jc w:val="right"/>
            </w:pPr>
            <w:r>
              <w:t>Completed</w:t>
            </w:r>
          </w:p>
        </w:tc>
      </w:tr>
      <w:tr w:rsidR="00D23D2D" w:rsidRPr="00B02873" w14:paraId="19468F8E" w14:textId="77777777" w:rsidTr="00D23D2D">
        <w:trPr>
          <w:trHeight w:val="60"/>
        </w:trPr>
        <w:tc>
          <w:tcPr>
            <w:tcW w:w="2052" w:type="dxa"/>
          </w:tcPr>
          <w:p w14:paraId="62625180" w14:textId="4ABFD941" w:rsidR="00D23D2D" w:rsidRPr="00B02873" w:rsidRDefault="00D23D2D" w:rsidP="00D23D2D">
            <w:pPr>
              <w:pStyle w:val="TablebodyleftTables"/>
              <w:rPr>
                <w:rFonts w:ascii="VIC" w:hAnsi="VIC" w:cs="Times New Roman"/>
              </w:rPr>
            </w:pPr>
            <w:r>
              <w:t>Management commitment</w:t>
            </w:r>
          </w:p>
        </w:tc>
        <w:tc>
          <w:tcPr>
            <w:tcW w:w="4014" w:type="dxa"/>
          </w:tcPr>
          <w:p w14:paraId="70DD8C1D" w14:textId="77777777" w:rsidR="00D23D2D" w:rsidRDefault="00D23D2D" w:rsidP="00D23D2D">
            <w:pPr>
              <w:pStyle w:val="TablebodyleftTables"/>
            </w:pPr>
            <w:r>
              <w:t>Evidence of safety and wellbeing criteria in purchasing guidelines (including goods, services and personnel)</w:t>
            </w:r>
          </w:p>
        </w:tc>
        <w:tc>
          <w:tcPr>
            <w:tcW w:w="1191" w:type="dxa"/>
          </w:tcPr>
          <w:p w14:paraId="7E5534F5" w14:textId="77777777" w:rsidR="00D23D2D" w:rsidRDefault="00D23D2D" w:rsidP="00D23D2D">
            <w:pPr>
              <w:pStyle w:val="TablebodyleftTables"/>
              <w:jc w:val="right"/>
            </w:pPr>
            <w:r>
              <w:t>Completed</w:t>
            </w:r>
          </w:p>
        </w:tc>
        <w:tc>
          <w:tcPr>
            <w:tcW w:w="1190" w:type="dxa"/>
          </w:tcPr>
          <w:p w14:paraId="25DDA819" w14:textId="77777777" w:rsidR="00D23D2D" w:rsidRDefault="00D23D2D" w:rsidP="00D23D2D">
            <w:pPr>
              <w:pStyle w:val="TablebodyleftTables"/>
              <w:jc w:val="right"/>
            </w:pPr>
            <w:r>
              <w:t>Completed</w:t>
            </w:r>
          </w:p>
        </w:tc>
        <w:tc>
          <w:tcPr>
            <w:tcW w:w="1191" w:type="dxa"/>
          </w:tcPr>
          <w:p w14:paraId="43867BC2" w14:textId="77777777" w:rsidR="00D23D2D" w:rsidRDefault="00D23D2D" w:rsidP="00D23D2D">
            <w:pPr>
              <w:pStyle w:val="TablebodyleftTables"/>
              <w:jc w:val="right"/>
            </w:pPr>
            <w:r>
              <w:t>Completed</w:t>
            </w:r>
          </w:p>
        </w:tc>
      </w:tr>
      <w:tr w:rsidR="00714844" w:rsidRPr="00B02873" w14:paraId="43452AE8" w14:textId="77777777" w:rsidTr="00D23D2D">
        <w:trPr>
          <w:trHeight w:val="60"/>
        </w:trPr>
        <w:tc>
          <w:tcPr>
            <w:tcW w:w="2052" w:type="dxa"/>
          </w:tcPr>
          <w:p w14:paraId="42FDF867" w14:textId="40B16D50" w:rsidR="00714844" w:rsidRDefault="00714844" w:rsidP="00D23D2D">
            <w:pPr>
              <w:pStyle w:val="TablebodyleftTables"/>
            </w:pPr>
            <w:r>
              <w:t xml:space="preserve">Consultation and participation </w:t>
            </w:r>
          </w:p>
        </w:tc>
        <w:tc>
          <w:tcPr>
            <w:tcW w:w="4014" w:type="dxa"/>
          </w:tcPr>
          <w:p w14:paraId="242F5BA4" w14:textId="77777777" w:rsidR="00714844" w:rsidRDefault="00714844" w:rsidP="00D23D2D">
            <w:pPr>
              <w:pStyle w:val="TablebodyleftTables"/>
            </w:pPr>
            <w:r>
              <w:t>Evidence of agreed structure of designated workgroups (DWG), health and safety representatives (HSR) and issue resolution processes (IRP)</w:t>
            </w:r>
          </w:p>
        </w:tc>
        <w:tc>
          <w:tcPr>
            <w:tcW w:w="1191" w:type="dxa"/>
          </w:tcPr>
          <w:p w14:paraId="47DB5C59" w14:textId="77777777" w:rsidR="00714844" w:rsidRDefault="00714844" w:rsidP="00D23D2D">
            <w:pPr>
              <w:pStyle w:val="TablebodyleftTables"/>
              <w:jc w:val="right"/>
            </w:pPr>
            <w:r>
              <w:t>Completed</w:t>
            </w:r>
          </w:p>
        </w:tc>
        <w:tc>
          <w:tcPr>
            <w:tcW w:w="1190" w:type="dxa"/>
          </w:tcPr>
          <w:p w14:paraId="45729DE5" w14:textId="77777777" w:rsidR="00714844" w:rsidRDefault="00714844" w:rsidP="00D23D2D">
            <w:pPr>
              <w:pStyle w:val="TablebodyleftTables"/>
              <w:jc w:val="right"/>
            </w:pPr>
            <w:r>
              <w:t>Completed</w:t>
            </w:r>
          </w:p>
        </w:tc>
        <w:tc>
          <w:tcPr>
            <w:tcW w:w="1191" w:type="dxa"/>
          </w:tcPr>
          <w:p w14:paraId="592032AE" w14:textId="77777777" w:rsidR="00714844" w:rsidRDefault="00714844" w:rsidP="00D23D2D">
            <w:pPr>
              <w:pStyle w:val="TablebodyleftTables"/>
              <w:jc w:val="right"/>
            </w:pPr>
            <w:r>
              <w:t>Completed</w:t>
            </w:r>
          </w:p>
        </w:tc>
      </w:tr>
      <w:tr w:rsidR="00714844" w:rsidRPr="00546E03" w14:paraId="1E88C173" w14:textId="77777777" w:rsidTr="00D23D2D">
        <w:trPr>
          <w:trHeight w:val="60"/>
        </w:trPr>
        <w:tc>
          <w:tcPr>
            <w:tcW w:w="2052" w:type="dxa"/>
          </w:tcPr>
          <w:p w14:paraId="4F8BDD1F" w14:textId="428DF910" w:rsidR="00714844" w:rsidRPr="00546E03" w:rsidRDefault="00714844" w:rsidP="00D23D2D">
            <w:pPr>
              <w:pStyle w:val="TablebodyleftTables"/>
              <w:rPr>
                <w:rFonts w:cs="Times New Roman"/>
              </w:rPr>
            </w:pPr>
            <w:r>
              <w:t>Consultation and participation</w:t>
            </w:r>
          </w:p>
        </w:tc>
        <w:tc>
          <w:tcPr>
            <w:tcW w:w="4014" w:type="dxa"/>
          </w:tcPr>
          <w:p w14:paraId="43AEDC1B" w14:textId="77777777" w:rsidR="00714844" w:rsidRPr="00546E03" w:rsidRDefault="00714844" w:rsidP="00D23D2D">
            <w:pPr>
              <w:pStyle w:val="TablebodyleftTables"/>
            </w:pPr>
            <w:r w:rsidRPr="00546E03">
              <w:t>Compliance with agreed structure on DWGs, HSRs and IRPs</w:t>
            </w:r>
          </w:p>
        </w:tc>
        <w:tc>
          <w:tcPr>
            <w:tcW w:w="1191" w:type="dxa"/>
          </w:tcPr>
          <w:p w14:paraId="263EDC97" w14:textId="77777777" w:rsidR="00714844" w:rsidRPr="00546E03" w:rsidRDefault="00714844" w:rsidP="00D23D2D">
            <w:pPr>
              <w:pStyle w:val="TablebodyleftTables"/>
              <w:jc w:val="right"/>
            </w:pPr>
            <w:r w:rsidRPr="00546E03">
              <w:t>Completed</w:t>
            </w:r>
          </w:p>
        </w:tc>
        <w:tc>
          <w:tcPr>
            <w:tcW w:w="1190" w:type="dxa"/>
          </w:tcPr>
          <w:p w14:paraId="54A14C18" w14:textId="77777777" w:rsidR="00714844" w:rsidRPr="00546E03" w:rsidRDefault="00714844" w:rsidP="00D23D2D">
            <w:pPr>
              <w:pStyle w:val="TablebodyleftTables"/>
              <w:jc w:val="right"/>
            </w:pPr>
            <w:r w:rsidRPr="00546E03">
              <w:t>Completed</w:t>
            </w:r>
          </w:p>
        </w:tc>
        <w:tc>
          <w:tcPr>
            <w:tcW w:w="1191" w:type="dxa"/>
          </w:tcPr>
          <w:p w14:paraId="4AF11A3F" w14:textId="77777777" w:rsidR="00714844" w:rsidRPr="00546E03" w:rsidRDefault="00714844" w:rsidP="00D23D2D">
            <w:pPr>
              <w:pStyle w:val="TablebodyleftTables"/>
              <w:jc w:val="right"/>
            </w:pPr>
            <w:r w:rsidRPr="00546E03">
              <w:t>Completed</w:t>
            </w:r>
          </w:p>
        </w:tc>
      </w:tr>
      <w:tr w:rsidR="00D23D2D" w:rsidRPr="00B02873" w14:paraId="4F41E024" w14:textId="77777777" w:rsidTr="00D23D2D">
        <w:trPr>
          <w:trHeight w:val="60"/>
        </w:trPr>
        <w:tc>
          <w:tcPr>
            <w:tcW w:w="2052" w:type="dxa"/>
          </w:tcPr>
          <w:p w14:paraId="7F721517" w14:textId="77777777" w:rsidR="00D23D2D" w:rsidRDefault="00D23D2D" w:rsidP="00D23D2D">
            <w:pPr>
              <w:pStyle w:val="TablebodyleftTables"/>
            </w:pPr>
            <w:r>
              <w:t>Risk management</w:t>
            </w:r>
          </w:p>
        </w:tc>
        <w:tc>
          <w:tcPr>
            <w:tcW w:w="4014" w:type="dxa"/>
          </w:tcPr>
          <w:p w14:paraId="56A01C06" w14:textId="77777777" w:rsidR="00D23D2D" w:rsidRDefault="00D23D2D" w:rsidP="00D23D2D">
            <w:pPr>
              <w:pStyle w:val="TablebodyleftTables"/>
            </w:pPr>
            <w:r>
              <w:t>Percentage of internal audits/ inspections conducted as planned</w:t>
            </w:r>
          </w:p>
        </w:tc>
        <w:tc>
          <w:tcPr>
            <w:tcW w:w="1191" w:type="dxa"/>
          </w:tcPr>
          <w:p w14:paraId="575FF802" w14:textId="77777777" w:rsidR="00D23D2D" w:rsidRDefault="00D23D2D" w:rsidP="00D23D2D">
            <w:pPr>
              <w:pStyle w:val="TablebodyleftTables"/>
              <w:jc w:val="right"/>
            </w:pPr>
            <w:r>
              <w:t>100%</w:t>
            </w:r>
          </w:p>
        </w:tc>
        <w:tc>
          <w:tcPr>
            <w:tcW w:w="1190" w:type="dxa"/>
          </w:tcPr>
          <w:p w14:paraId="17BA38CD" w14:textId="77777777" w:rsidR="00D23D2D" w:rsidRDefault="00D23D2D" w:rsidP="00D23D2D">
            <w:pPr>
              <w:pStyle w:val="TablebodyleftTables"/>
              <w:jc w:val="right"/>
            </w:pPr>
            <w:r>
              <w:t>100%</w:t>
            </w:r>
          </w:p>
        </w:tc>
        <w:tc>
          <w:tcPr>
            <w:tcW w:w="1191" w:type="dxa"/>
          </w:tcPr>
          <w:p w14:paraId="5E21BC4E" w14:textId="77777777" w:rsidR="00D23D2D" w:rsidRDefault="00D23D2D" w:rsidP="00D23D2D">
            <w:pPr>
              <w:pStyle w:val="TablebodyleftTables"/>
              <w:jc w:val="right"/>
            </w:pPr>
            <w:r>
              <w:t>100%</w:t>
            </w:r>
          </w:p>
        </w:tc>
      </w:tr>
      <w:tr w:rsidR="00D23D2D" w:rsidRPr="00B02873" w14:paraId="7A6E572E" w14:textId="77777777" w:rsidTr="00D23D2D">
        <w:trPr>
          <w:trHeight w:val="60"/>
        </w:trPr>
        <w:tc>
          <w:tcPr>
            <w:tcW w:w="2052" w:type="dxa"/>
          </w:tcPr>
          <w:p w14:paraId="2D409CD2" w14:textId="745E361D" w:rsidR="00D23D2D" w:rsidRPr="00B02873" w:rsidRDefault="00D23D2D" w:rsidP="00D23D2D">
            <w:pPr>
              <w:pStyle w:val="TablebodyleftTables"/>
              <w:rPr>
                <w:rFonts w:ascii="VIC" w:hAnsi="VIC" w:cs="Times New Roman"/>
              </w:rPr>
            </w:pPr>
            <w:r>
              <w:t>Risk management</w:t>
            </w:r>
          </w:p>
        </w:tc>
        <w:tc>
          <w:tcPr>
            <w:tcW w:w="4014" w:type="dxa"/>
          </w:tcPr>
          <w:p w14:paraId="22CCF2AB" w14:textId="77777777" w:rsidR="00D23D2D" w:rsidRDefault="00D23D2D" w:rsidP="00D23D2D">
            <w:pPr>
              <w:pStyle w:val="TablebodyleftTables"/>
            </w:pPr>
            <w:r>
              <w:t>Number of Improvement Notices issued across the department by WorkSafe Inspector</w:t>
            </w:r>
          </w:p>
        </w:tc>
        <w:tc>
          <w:tcPr>
            <w:tcW w:w="1191" w:type="dxa"/>
          </w:tcPr>
          <w:p w14:paraId="2B863D73" w14:textId="77777777" w:rsidR="00D23D2D" w:rsidRDefault="00D23D2D" w:rsidP="00D23D2D">
            <w:pPr>
              <w:pStyle w:val="TablebodyleftTables"/>
              <w:jc w:val="right"/>
            </w:pPr>
            <w:r>
              <w:t xml:space="preserve"> 1</w:t>
            </w:r>
          </w:p>
        </w:tc>
        <w:tc>
          <w:tcPr>
            <w:tcW w:w="1190" w:type="dxa"/>
          </w:tcPr>
          <w:p w14:paraId="57F02883" w14:textId="77777777" w:rsidR="00D23D2D" w:rsidRDefault="00D23D2D" w:rsidP="00D23D2D">
            <w:pPr>
              <w:pStyle w:val="TablebodyleftTables"/>
              <w:jc w:val="right"/>
            </w:pPr>
            <w:r>
              <w:t>1</w:t>
            </w:r>
          </w:p>
        </w:tc>
        <w:tc>
          <w:tcPr>
            <w:tcW w:w="1191" w:type="dxa"/>
          </w:tcPr>
          <w:p w14:paraId="334F0B39" w14:textId="77777777" w:rsidR="00D23D2D" w:rsidRDefault="00D23D2D" w:rsidP="00D23D2D">
            <w:pPr>
              <w:pStyle w:val="TablebodyleftTables"/>
              <w:jc w:val="right"/>
            </w:pPr>
            <w:r>
              <w:t>0</w:t>
            </w:r>
          </w:p>
        </w:tc>
      </w:tr>
    </w:tbl>
    <w:p w14:paraId="05814940" w14:textId="77777777" w:rsidR="00D23D2D" w:rsidRPr="00D23D2D" w:rsidRDefault="00D23D2D" w:rsidP="00D23D2D"/>
    <w:p w14:paraId="5B0317CD" w14:textId="3BCEBEFA" w:rsidR="00D23D2D" w:rsidRPr="007B509E" w:rsidRDefault="00D23D2D">
      <w:pPr>
        <w:rPr>
          <w:rFonts w:asciiTheme="minorHAnsi" w:hAnsiTheme="minorHAnsi" w:cstheme="minorHAnsi"/>
        </w:rPr>
      </w:pPr>
      <w:r w:rsidRPr="007B509E">
        <w:rPr>
          <w:rStyle w:val="BoldItalic"/>
          <w:rFonts w:asciiTheme="minorHAnsi" w:hAnsiTheme="minorHAnsi" w:cstheme="minorHAnsi"/>
        </w:rPr>
        <w:t>Number of issues identified and actioned arising from:</w:t>
      </w:r>
    </w:p>
    <w:tbl>
      <w:tblPr>
        <w:tblStyle w:val="TableGrid"/>
        <w:tblW w:w="9781" w:type="dxa"/>
        <w:tblLayout w:type="fixed"/>
        <w:tblLook w:val="0020" w:firstRow="1" w:lastRow="0" w:firstColumn="0" w:lastColumn="0" w:noHBand="0" w:noVBand="0"/>
      </w:tblPr>
      <w:tblGrid>
        <w:gridCol w:w="2052"/>
        <w:gridCol w:w="4014"/>
        <w:gridCol w:w="1278"/>
        <w:gridCol w:w="1246"/>
        <w:gridCol w:w="1191"/>
      </w:tblGrid>
      <w:tr w:rsidR="00D23D2D" w:rsidRPr="00B02873" w14:paraId="0FB36574" w14:textId="77777777" w:rsidTr="00AF33D3">
        <w:trPr>
          <w:cnfStyle w:val="100000000000" w:firstRow="1" w:lastRow="0" w:firstColumn="0" w:lastColumn="0" w:oddVBand="0" w:evenVBand="0" w:oddHBand="0" w:evenHBand="0" w:firstRowFirstColumn="0" w:firstRowLastColumn="0" w:lastRowFirstColumn="0" w:lastRowLastColumn="0"/>
          <w:trHeight w:val="60"/>
          <w:tblHeader/>
        </w:trPr>
        <w:tc>
          <w:tcPr>
            <w:tcW w:w="2052" w:type="dxa"/>
          </w:tcPr>
          <w:p w14:paraId="2420D73D" w14:textId="77777777" w:rsidR="00D23D2D" w:rsidRDefault="00D23D2D" w:rsidP="00CC0579">
            <w:pPr>
              <w:pStyle w:val="TableheadingleftTables"/>
            </w:pPr>
            <w:r>
              <w:t>Measure</w:t>
            </w:r>
          </w:p>
        </w:tc>
        <w:tc>
          <w:tcPr>
            <w:tcW w:w="4014" w:type="dxa"/>
          </w:tcPr>
          <w:p w14:paraId="1AEE0645" w14:textId="77777777" w:rsidR="00D23D2D" w:rsidRDefault="00D23D2D" w:rsidP="00CC0579">
            <w:pPr>
              <w:pStyle w:val="TableheadingleftTables"/>
            </w:pPr>
            <w:r>
              <w:t>Key Performance indicator</w:t>
            </w:r>
          </w:p>
        </w:tc>
        <w:tc>
          <w:tcPr>
            <w:tcW w:w="1278" w:type="dxa"/>
          </w:tcPr>
          <w:p w14:paraId="38734701" w14:textId="77777777" w:rsidR="00D23D2D" w:rsidRDefault="00D23D2D" w:rsidP="00CC0579">
            <w:pPr>
              <w:pStyle w:val="TableheadingleftTables"/>
              <w:jc w:val="right"/>
            </w:pPr>
            <w:r>
              <w:t>2021-22</w:t>
            </w:r>
          </w:p>
        </w:tc>
        <w:tc>
          <w:tcPr>
            <w:tcW w:w="1246" w:type="dxa"/>
          </w:tcPr>
          <w:p w14:paraId="3977C535" w14:textId="77777777" w:rsidR="00D23D2D" w:rsidRDefault="00D23D2D" w:rsidP="00CC0579">
            <w:pPr>
              <w:pStyle w:val="TableheadingleftTables"/>
              <w:jc w:val="right"/>
            </w:pPr>
            <w:r>
              <w:t>2020-21</w:t>
            </w:r>
          </w:p>
        </w:tc>
        <w:tc>
          <w:tcPr>
            <w:tcW w:w="1191" w:type="dxa"/>
          </w:tcPr>
          <w:p w14:paraId="42D565E9" w14:textId="77777777" w:rsidR="00D23D2D" w:rsidRDefault="00D23D2D" w:rsidP="00CC0579">
            <w:pPr>
              <w:pStyle w:val="TableheadingleftTables"/>
              <w:jc w:val="right"/>
            </w:pPr>
            <w:r>
              <w:t xml:space="preserve">2019-20 </w:t>
            </w:r>
          </w:p>
        </w:tc>
      </w:tr>
      <w:tr w:rsidR="00D23D2D" w:rsidRPr="00B02873" w14:paraId="49EA02DF" w14:textId="77777777" w:rsidTr="00AF33D3">
        <w:trPr>
          <w:trHeight w:val="60"/>
        </w:trPr>
        <w:tc>
          <w:tcPr>
            <w:tcW w:w="2052" w:type="dxa"/>
          </w:tcPr>
          <w:p w14:paraId="7E9F61DE" w14:textId="52EDD453" w:rsidR="00D23D2D" w:rsidRPr="00B02873" w:rsidRDefault="00D23D2D" w:rsidP="00D23D2D">
            <w:pPr>
              <w:pStyle w:val="TablebodyleftTables"/>
              <w:rPr>
                <w:rFonts w:ascii="VIC" w:hAnsi="VIC" w:cs="Times New Roman"/>
              </w:rPr>
            </w:pPr>
            <w:r>
              <w:t>Risk management</w:t>
            </w:r>
          </w:p>
        </w:tc>
        <w:tc>
          <w:tcPr>
            <w:tcW w:w="4014" w:type="dxa"/>
          </w:tcPr>
          <w:p w14:paraId="437A8825" w14:textId="77777777" w:rsidR="00D23D2D" w:rsidRDefault="00D23D2D" w:rsidP="00D23D2D">
            <w:pPr>
              <w:pStyle w:val="TablebodyleftTables"/>
            </w:pPr>
            <w:r>
              <w:t>Internal audits</w:t>
            </w:r>
            <w:r>
              <w:rPr>
                <w:vertAlign w:val="superscript"/>
              </w:rPr>
              <w:t>(j)</w:t>
            </w:r>
          </w:p>
        </w:tc>
        <w:tc>
          <w:tcPr>
            <w:tcW w:w="1278" w:type="dxa"/>
          </w:tcPr>
          <w:p w14:paraId="4EC5CF14" w14:textId="77777777" w:rsidR="00D23D2D" w:rsidRDefault="00D23D2D" w:rsidP="00D23D2D">
            <w:pPr>
              <w:pStyle w:val="TablebodyleftTables"/>
              <w:jc w:val="right"/>
            </w:pPr>
            <w:r>
              <w:t>193</w:t>
            </w:r>
          </w:p>
        </w:tc>
        <w:tc>
          <w:tcPr>
            <w:tcW w:w="1246" w:type="dxa"/>
          </w:tcPr>
          <w:p w14:paraId="15A611BA" w14:textId="77777777" w:rsidR="00D23D2D" w:rsidRDefault="00D23D2D" w:rsidP="00D23D2D">
            <w:pPr>
              <w:pStyle w:val="TablebodyleftTables"/>
              <w:jc w:val="right"/>
            </w:pPr>
            <w:r>
              <w:t>217</w:t>
            </w:r>
          </w:p>
        </w:tc>
        <w:tc>
          <w:tcPr>
            <w:tcW w:w="1191" w:type="dxa"/>
          </w:tcPr>
          <w:p w14:paraId="1F02CFC9" w14:textId="77777777" w:rsidR="00D23D2D" w:rsidRDefault="00D23D2D" w:rsidP="00D23D2D">
            <w:pPr>
              <w:pStyle w:val="TablebodyleftTables"/>
              <w:jc w:val="right"/>
            </w:pPr>
            <w:r>
              <w:t>329</w:t>
            </w:r>
          </w:p>
        </w:tc>
      </w:tr>
      <w:tr w:rsidR="00D23D2D" w:rsidRPr="00B02873" w14:paraId="43497C3E" w14:textId="77777777" w:rsidTr="00AF33D3">
        <w:trPr>
          <w:trHeight w:val="60"/>
        </w:trPr>
        <w:tc>
          <w:tcPr>
            <w:tcW w:w="2052" w:type="dxa"/>
          </w:tcPr>
          <w:p w14:paraId="317D0F56" w14:textId="6CAEB8E2" w:rsidR="00D23D2D" w:rsidRPr="00B02873" w:rsidRDefault="00D23D2D" w:rsidP="00D23D2D">
            <w:pPr>
              <w:pStyle w:val="TablebodyleftTables"/>
              <w:rPr>
                <w:rFonts w:ascii="VIC" w:hAnsi="VIC" w:cs="Times New Roman"/>
              </w:rPr>
            </w:pPr>
            <w:r>
              <w:t>Risk management</w:t>
            </w:r>
          </w:p>
        </w:tc>
        <w:tc>
          <w:tcPr>
            <w:tcW w:w="4014" w:type="dxa"/>
          </w:tcPr>
          <w:p w14:paraId="25C2266B" w14:textId="77777777" w:rsidR="00D23D2D" w:rsidRDefault="00D23D2D" w:rsidP="00D23D2D">
            <w:pPr>
              <w:pStyle w:val="TablebodyleftTables"/>
            </w:pPr>
            <w:r>
              <w:t>HSR provisional improvement notices (PINs)</w:t>
            </w:r>
          </w:p>
        </w:tc>
        <w:tc>
          <w:tcPr>
            <w:tcW w:w="1278" w:type="dxa"/>
          </w:tcPr>
          <w:p w14:paraId="244897FC" w14:textId="77777777" w:rsidR="00D23D2D" w:rsidRDefault="00D23D2D" w:rsidP="00D23D2D">
            <w:pPr>
              <w:pStyle w:val="TablebodyleftTables"/>
              <w:jc w:val="right"/>
            </w:pPr>
            <w:r>
              <w:t>0</w:t>
            </w:r>
          </w:p>
        </w:tc>
        <w:tc>
          <w:tcPr>
            <w:tcW w:w="1246" w:type="dxa"/>
          </w:tcPr>
          <w:p w14:paraId="0FFB7278" w14:textId="77777777" w:rsidR="00D23D2D" w:rsidRDefault="00D23D2D" w:rsidP="00D23D2D">
            <w:pPr>
              <w:pStyle w:val="TablebodyleftTables"/>
              <w:jc w:val="right"/>
            </w:pPr>
            <w:r>
              <w:t>0</w:t>
            </w:r>
          </w:p>
        </w:tc>
        <w:tc>
          <w:tcPr>
            <w:tcW w:w="1191" w:type="dxa"/>
          </w:tcPr>
          <w:p w14:paraId="3C6329DB" w14:textId="77777777" w:rsidR="00D23D2D" w:rsidRDefault="00D23D2D" w:rsidP="00D23D2D">
            <w:pPr>
              <w:pStyle w:val="TablebodyleftTables"/>
              <w:jc w:val="right"/>
            </w:pPr>
            <w:r>
              <w:t>0</w:t>
            </w:r>
          </w:p>
        </w:tc>
      </w:tr>
      <w:tr w:rsidR="00D23D2D" w:rsidRPr="00B02873" w14:paraId="7B8AD866" w14:textId="77777777" w:rsidTr="00AF33D3">
        <w:trPr>
          <w:trHeight w:val="60"/>
        </w:trPr>
        <w:tc>
          <w:tcPr>
            <w:tcW w:w="2052" w:type="dxa"/>
          </w:tcPr>
          <w:p w14:paraId="75302D83" w14:textId="61FB50A8" w:rsidR="00D23D2D" w:rsidRPr="00B02873" w:rsidRDefault="00D23D2D" w:rsidP="00D23D2D">
            <w:pPr>
              <w:pStyle w:val="TablebodyleftTables"/>
              <w:rPr>
                <w:rFonts w:ascii="VIC" w:hAnsi="VIC" w:cs="Times New Roman"/>
              </w:rPr>
            </w:pPr>
            <w:r>
              <w:t>Risk management</w:t>
            </w:r>
          </w:p>
        </w:tc>
        <w:tc>
          <w:tcPr>
            <w:tcW w:w="4014" w:type="dxa"/>
          </w:tcPr>
          <w:p w14:paraId="544EF65F" w14:textId="77777777" w:rsidR="00D23D2D" w:rsidRDefault="00D23D2D" w:rsidP="00D23D2D">
            <w:pPr>
              <w:pStyle w:val="TablebodyleftTables"/>
            </w:pPr>
            <w:r>
              <w:t>WorkSafe notices</w:t>
            </w:r>
          </w:p>
        </w:tc>
        <w:tc>
          <w:tcPr>
            <w:tcW w:w="1278" w:type="dxa"/>
          </w:tcPr>
          <w:p w14:paraId="744E770C" w14:textId="77777777" w:rsidR="00D23D2D" w:rsidRDefault="00D23D2D" w:rsidP="00D23D2D">
            <w:pPr>
              <w:pStyle w:val="TablebodyleftTables"/>
              <w:jc w:val="right"/>
            </w:pPr>
            <w:r>
              <w:t xml:space="preserve"> 1 </w:t>
            </w:r>
          </w:p>
        </w:tc>
        <w:tc>
          <w:tcPr>
            <w:tcW w:w="1246" w:type="dxa"/>
          </w:tcPr>
          <w:p w14:paraId="0139EDB7" w14:textId="77777777" w:rsidR="00D23D2D" w:rsidRDefault="00D23D2D" w:rsidP="00D23D2D">
            <w:pPr>
              <w:pStyle w:val="TablebodyleftTables"/>
              <w:jc w:val="right"/>
            </w:pPr>
            <w:r>
              <w:t>0</w:t>
            </w:r>
          </w:p>
        </w:tc>
        <w:tc>
          <w:tcPr>
            <w:tcW w:w="1191" w:type="dxa"/>
          </w:tcPr>
          <w:p w14:paraId="26613DC1" w14:textId="77777777" w:rsidR="00D23D2D" w:rsidRDefault="00D23D2D" w:rsidP="00D23D2D">
            <w:pPr>
              <w:pStyle w:val="TablebodyleftTables"/>
              <w:jc w:val="right"/>
            </w:pPr>
            <w:r>
              <w:t>0</w:t>
            </w:r>
          </w:p>
        </w:tc>
      </w:tr>
      <w:tr w:rsidR="00D23D2D" w:rsidRPr="00B02873" w14:paraId="6F2DF0A4" w14:textId="77777777" w:rsidTr="00AF33D3">
        <w:trPr>
          <w:trHeight w:val="60"/>
        </w:trPr>
        <w:tc>
          <w:tcPr>
            <w:tcW w:w="2052" w:type="dxa"/>
          </w:tcPr>
          <w:p w14:paraId="189CAABE" w14:textId="77777777" w:rsidR="00D23D2D" w:rsidRDefault="00D23D2D" w:rsidP="00D23D2D">
            <w:pPr>
              <w:pStyle w:val="TablebodyleftTables"/>
            </w:pPr>
            <w:r>
              <w:t>Corrective Actions</w:t>
            </w:r>
          </w:p>
        </w:tc>
        <w:tc>
          <w:tcPr>
            <w:tcW w:w="4014" w:type="dxa"/>
          </w:tcPr>
          <w:p w14:paraId="4D4F099F" w14:textId="77777777" w:rsidR="00D23D2D" w:rsidRDefault="00D23D2D" w:rsidP="00D23D2D">
            <w:pPr>
              <w:pStyle w:val="TablebodyleftTables"/>
            </w:pPr>
            <w:r>
              <w:t>No. of corrective actions</w:t>
            </w:r>
          </w:p>
        </w:tc>
        <w:tc>
          <w:tcPr>
            <w:tcW w:w="1278" w:type="dxa"/>
          </w:tcPr>
          <w:p w14:paraId="6C31075A" w14:textId="77777777" w:rsidR="00D23D2D" w:rsidRDefault="00D23D2D" w:rsidP="00D23D2D">
            <w:pPr>
              <w:pStyle w:val="TablebodyleftTables"/>
              <w:jc w:val="right"/>
            </w:pPr>
            <w:r>
              <w:t>136</w:t>
            </w:r>
          </w:p>
        </w:tc>
        <w:tc>
          <w:tcPr>
            <w:tcW w:w="1246" w:type="dxa"/>
          </w:tcPr>
          <w:p w14:paraId="2FF40BCC" w14:textId="77777777" w:rsidR="00D23D2D" w:rsidRDefault="00D23D2D" w:rsidP="00D23D2D">
            <w:pPr>
              <w:pStyle w:val="TablebodyleftTables"/>
              <w:jc w:val="right"/>
            </w:pPr>
            <w:r>
              <w:t>79</w:t>
            </w:r>
          </w:p>
        </w:tc>
        <w:tc>
          <w:tcPr>
            <w:tcW w:w="1191" w:type="dxa"/>
          </w:tcPr>
          <w:p w14:paraId="40754D94" w14:textId="77777777" w:rsidR="00D23D2D" w:rsidRDefault="00D23D2D" w:rsidP="00D23D2D">
            <w:pPr>
              <w:pStyle w:val="TablebodyleftTables"/>
              <w:jc w:val="right"/>
            </w:pPr>
            <w:r>
              <w:t>307</w:t>
            </w:r>
          </w:p>
        </w:tc>
      </w:tr>
      <w:tr w:rsidR="00D23D2D" w:rsidRPr="00B02873" w14:paraId="5AB5DDB9" w14:textId="77777777" w:rsidTr="00AF33D3">
        <w:trPr>
          <w:trHeight w:val="60"/>
        </w:trPr>
        <w:tc>
          <w:tcPr>
            <w:tcW w:w="2052" w:type="dxa"/>
          </w:tcPr>
          <w:p w14:paraId="5075C787" w14:textId="4C4639BC" w:rsidR="00D23D2D" w:rsidRPr="00B02873" w:rsidRDefault="00D23D2D" w:rsidP="00D23D2D">
            <w:pPr>
              <w:pStyle w:val="TablebodyleftTables"/>
              <w:rPr>
                <w:rFonts w:ascii="VIC" w:hAnsi="VIC" w:cs="Times New Roman"/>
              </w:rPr>
            </w:pPr>
            <w:r>
              <w:t>Corrective Actions</w:t>
            </w:r>
          </w:p>
        </w:tc>
        <w:tc>
          <w:tcPr>
            <w:tcW w:w="4014" w:type="dxa"/>
          </w:tcPr>
          <w:p w14:paraId="51745AF0" w14:textId="77777777" w:rsidR="00D23D2D" w:rsidRDefault="00D23D2D" w:rsidP="00D23D2D">
            <w:pPr>
              <w:pStyle w:val="TablebodyleftTables"/>
            </w:pPr>
            <w:r>
              <w:t>Percentage of corrective actions completed</w:t>
            </w:r>
          </w:p>
        </w:tc>
        <w:tc>
          <w:tcPr>
            <w:tcW w:w="1278" w:type="dxa"/>
          </w:tcPr>
          <w:p w14:paraId="77D17B4E" w14:textId="77777777" w:rsidR="00D23D2D" w:rsidRDefault="00D23D2D" w:rsidP="00D23D2D">
            <w:pPr>
              <w:pStyle w:val="TablebodyleftTables"/>
              <w:jc w:val="right"/>
            </w:pPr>
            <w:r>
              <w:t>28.6%</w:t>
            </w:r>
          </w:p>
        </w:tc>
        <w:tc>
          <w:tcPr>
            <w:tcW w:w="1246" w:type="dxa"/>
          </w:tcPr>
          <w:p w14:paraId="3A746289" w14:textId="77777777" w:rsidR="00D23D2D" w:rsidRDefault="00D23D2D" w:rsidP="00D23D2D">
            <w:pPr>
              <w:pStyle w:val="TablebodyleftTables"/>
              <w:jc w:val="right"/>
            </w:pPr>
            <w:r>
              <w:t>62.7%</w:t>
            </w:r>
          </w:p>
        </w:tc>
        <w:tc>
          <w:tcPr>
            <w:tcW w:w="1191" w:type="dxa"/>
          </w:tcPr>
          <w:p w14:paraId="1DF4FDB5" w14:textId="77777777" w:rsidR="00D23D2D" w:rsidRDefault="00D23D2D" w:rsidP="00D23D2D">
            <w:pPr>
              <w:pStyle w:val="TablebodyleftTables"/>
              <w:jc w:val="right"/>
            </w:pPr>
            <w:r>
              <w:t>73.7%</w:t>
            </w:r>
          </w:p>
        </w:tc>
      </w:tr>
      <w:tr w:rsidR="00D23D2D" w:rsidRPr="00B02873" w14:paraId="6864DF0C" w14:textId="77777777" w:rsidTr="00AF33D3">
        <w:trPr>
          <w:trHeight w:val="60"/>
        </w:trPr>
        <w:tc>
          <w:tcPr>
            <w:tcW w:w="2052" w:type="dxa"/>
          </w:tcPr>
          <w:p w14:paraId="0E07DB4D" w14:textId="77777777" w:rsidR="00D23D2D" w:rsidRDefault="00D23D2D" w:rsidP="00D23D2D">
            <w:pPr>
              <w:pStyle w:val="TablebodyleftTables"/>
            </w:pPr>
            <w:r>
              <w:lastRenderedPageBreak/>
              <w:t>Occupational Health and Safety Management System (OHSMS)</w:t>
            </w:r>
          </w:p>
        </w:tc>
        <w:tc>
          <w:tcPr>
            <w:tcW w:w="4014" w:type="dxa"/>
          </w:tcPr>
          <w:p w14:paraId="5E74CB53" w14:textId="77777777" w:rsidR="00D23D2D" w:rsidRDefault="00D23D2D" w:rsidP="00D23D2D">
            <w:pPr>
              <w:pStyle w:val="TablebodyleftTables"/>
            </w:pPr>
            <w:r>
              <w:t>Number of procedures developed and approved; and/or</w:t>
            </w:r>
          </w:p>
        </w:tc>
        <w:tc>
          <w:tcPr>
            <w:tcW w:w="1278" w:type="dxa"/>
          </w:tcPr>
          <w:p w14:paraId="41A90B64" w14:textId="77777777" w:rsidR="00D23D2D" w:rsidRDefault="00D23D2D" w:rsidP="00D23D2D">
            <w:pPr>
              <w:pStyle w:val="TablebodyleftTables"/>
              <w:jc w:val="right"/>
            </w:pPr>
            <w:r>
              <w:t>1 new policy developed and approved</w:t>
            </w:r>
          </w:p>
        </w:tc>
        <w:tc>
          <w:tcPr>
            <w:tcW w:w="1246" w:type="dxa"/>
          </w:tcPr>
          <w:p w14:paraId="0D26C5CF" w14:textId="77777777" w:rsidR="00D23D2D" w:rsidRDefault="00D23D2D" w:rsidP="00D23D2D">
            <w:pPr>
              <w:pStyle w:val="TablebodyleftTables"/>
              <w:jc w:val="right"/>
            </w:pPr>
            <w:r>
              <w:t xml:space="preserve">2 new policies developed and approved </w:t>
            </w:r>
          </w:p>
        </w:tc>
        <w:tc>
          <w:tcPr>
            <w:tcW w:w="1191" w:type="dxa"/>
          </w:tcPr>
          <w:p w14:paraId="237F5ECF" w14:textId="77777777" w:rsidR="00D23D2D" w:rsidRDefault="00D23D2D" w:rsidP="00D23D2D">
            <w:pPr>
              <w:pStyle w:val="TablebodyleftTables"/>
              <w:jc w:val="right"/>
            </w:pPr>
            <w:r>
              <w:t>2 new policies developed and approved</w:t>
            </w:r>
          </w:p>
        </w:tc>
      </w:tr>
      <w:tr w:rsidR="00D23D2D" w:rsidRPr="00B02873" w14:paraId="0CF68463" w14:textId="77777777" w:rsidTr="00AF33D3">
        <w:trPr>
          <w:trHeight w:val="60"/>
        </w:trPr>
        <w:tc>
          <w:tcPr>
            <w:tcW w:w="2052" w:type="dxa"/>
          </w:tcPr>
          <w:p w14:paraId="00CDC3E1" w14:textId="7C97426B" w:rsidR="00D23D2D" w:rsidRPr="00B02873" w:rsidRDefault="00D23D2D" w:rsidP="00D23D2D">
            <w:pPr>
              <w:pStyle w:val="TablebodyleftTables"/>
              <w:rPr>
                <w:rFonts w:ascii="VIC" w:hAnsi="VIC" w:cs="Times New Roman"/>
              </w:rPr>
            </w:pPr>
            <w:r>
              <w:t>Occupational Health and Safety Management System (OHSMS)</w:t>
            </w:r>
          </w:p>
        </w:tc>
        <w:tc>
          <w:tcPr>
            <w:tcW w:w="4014" w:type="dxa"/>
          </w:tcPr>
          <w:p w14:paraId="70E02D28" w14:textId="77777777" w:rsidR="00D23D2D" w:rsidRDefault="00D23D2D" w:rsidP="00D23D2D">
            <w:pPr>
              <w:pStyle w:val="TablebodyleftTables"/>
            </w:pPr>
            <w:r>
              <w:t>Number of procedures reviewed and refined</w:t>
            </w:r>
          </w:p>
        </w:tc>
        <w:tc>
          <w:tcPr>
            <w:tcW w:w="1278" w:type="dxa"/>
          </w:tcPr>
          <w:p w14:paraId="63314DFE" w14:textId="77777777" w:rsidR="00D23D2D" w:rsidRDefault="00D23D2D" w:rsidP="00D23D2D">
            <w:pPr>
              <w:pStyle w:val="TablebodyleftTables"/>
              <w:jc w:val="right"/>
            </w:pPr>
            <w:r>
              <w:t xml:space="preserve">12 policies reviewed and refined (10 </w:t>
            </w:r>
            <w:r>
              <w:br/>
              <w:t xml:space="preserve">approved; </w:t>
            </w:r>
            <w:r>
              <w:br/>
              <w:t>2 waiting approval)</w:t>
            </w:r>
            <w:r>
              <w:br/>
            </w:r>
            <w:r>
              <w:br/>
              <w:t xml:space="preserve">9 </w:t>
            </w:r>
            <w:r>
              <w:br/>
              <w:t xml:space="preserve">procedures reviewed and refined (7 </w:t>
            </w:r>
            <w:r>
              <w:br/>
              <w:t>approved; 2 waiting approval)</w:t>
            </w:r>
          </w:p>
        </w:tc>
        <w:tc>
          <w:tcPr>
            <w:tcW w:w="1246" w:type="dxa"/>
          </w:tcPr>
          <w:p w14:paraId="7589F564" w14:textId="77777777" w:rsidR="00D23D2D" w:rsidRDefault="00D23D2D" w:rsidP="00D23D2D">
            <w:pPr>
              <w:pStyle w:val="TablebodyleftTables"/>
              <w:jc w:val="right"/>
            </w:pPr>
            <w:r>
              <w:t>9 safety policies reviewed and refined (6 approval pending)</w:t>
            </w:r>
          </w:p>
          <w:p w14:paraId="489801A7" w14:textId="77777777" w:rsidR="00D23D2D" w:rsidRDefault="00D23D2D" w:rsidP="00D23D2D">
            <w:pPr>
              <w:pStyle w:val="TablebodyleftTables"/>
              <w:jc w:val="right"/>
            </w:pPr>
            <w:r>
              <w:t>10 safety procedures reviewed and refined (6 awaiting approval)</w:t>
            </w:r>
          </w:p>
        </w:tc>
        <w:tc>
          <w:tcPr>
            <w:tcW w:w="1191" w:type="dxa"/>
          </w:tcPr>
          <w:p w14:paraId="0A84351E" w14:textId="77777777" w:rsidR="00D23D2D" w:rsidRDefault="00D23D2D" w:rsidP="00D23D2D">
            <w:pPr>
              <w:pStyle w:val="TablebodyleftTables"/>
              <w:jc w:val="right"/>
            </w:pPr>
            <w:r>
              <w:t>18 policies/ procedures reviewed and refined</w:t>
            </w:r>
          </w:p>
        </w:tc>
      </w:tr>
      <w:tr w:rsidR="00D23D2D" w:rsidRPr="00B02873" w14:paraId="41E8AFAF" w14:textId="77777777" w:rsidTr="00AF33D3">
        <w:trPr>
          <w:trHeight w:val="60"/>
        </w:trPr>
        <w:tc>
          <w:tcPr>
            <w:tcW w:w="2052" w:type="dxa"/>
          </w:tcPr>
          <w:p w14:paraId="68417E30" w14:textId="77777777" w:rsidR="00D23D2D" w:rsidRDefault="00D23D2D" w:rsidP="00D23D2D">
            <w:pPr>
              <w:pStyle w:val="TablebodyleftTables"/>
            </w:pPr>
            <w:r>
              <w:t>Percentage of SES, managers and staff that have received OHS training</w:t>
            </w:r>
          </w:p>
        </w:tc>
        <w:tc>
          <w:tcPr>
            <w:tcW w:w="4014" w:type="dxa"/>
          </w:tcPr>
          <w:p w14:paraId="3392E86E" w14:textId="77777777" w:rsidR="00D23D2D" w:rsidRDefault="00D23D2D" w:rsidP="00D23D2D">
            <w:pPr>
              <w:pStyle w:val="TablebodyleftTables"/>
            </w:pPr>
            <w:r>
              <w:t xml:space="preserve">Induction </w:t>
            </w:r>
          </w:p>
        </w:tc>
        <w:tc>
          <w:tcPr>
            <w:tcW w:w="1278" w:type="dxa"/>
          </w:tcPr>
          <w:p w14:paraId="25EB9A81" w14:textId="77777777" w:rsidR="00D23D2D" w:rsidRDefault="00D23D2D" w:rsidP="00D23D2D">
            <w:pPr>
              <w:pStyle w:val="TablebodyleftTables"/>
              <w:jc w:val="right"/>
            </w:pPr>
            <w:r>
              <w:t>24%</w:t>
            </w:r>
          </w:p>
        </w:tc>
        <w:tc>
          <w:tcPr>
            <w:tcW w:w="1246" w:type="dxa"/>
          </w:tcPr>
          <w:p w14:paraId="5A9318D5" w14:textId="77777777" w:rsidR="00D23D2D" w:rsidRDefault="00D23D2D" w:rsidP="00D23D2D">
            <w:pPr>
              <w:pStyle w:val="TablebodyleftTables"/>
              <w:jc w:val="right"/>
            </w:pPr>
            <w:r>
              <w:t>18%</w:t>
            </w:r>
          </w:p>
        </w:tc>
        <w:tc>
          <w:tcPr>
            <w:tcW w:w="1191" w:type="dxa"/>
          </w:tcPr>
          <w:p w14:paraId="582C98A4" w14:textId="77777777" w:rsidR="00D23D2D" w:rsidRDefault="00D23D2D" w:rsidP="00D23D2D">
            <w:pPr>
              <w:pStyle w:val="TablebodyleftTables"/>
              <w:jc w:val="right"/>
            </w:pPr>
            <w:r>
              <w:t>44%</w:t>
            </w:r>
          </w:p>
        </w:tc>
      </w:tr>
      <w:tr w:rsidR="00D23D2D" w:rsidRPr="00B02873" w14:paraId="34A3F4DC" w14:textId="77777777" w:rsidTr="00AF33D3">
        <w:trPr>
          <w:trHeight w:val="60"/>
        </w:trPr>
        <w:tc>
          <w:tcPr>
            <w:tcW w:w="2052" w:type="dxa"/>
          </w:tcPr>
          <w:p w14:paraId="16A899D4" w14:textId="21756250" w:rsidR="00D23D2D" w:rsidRPr="00B02873" w:rsidRDefault="00AF33D3" w:rsidP="00D23D2D">
            <w:pPr>
              <w:pStyle w:val="TablebodyleftTables"/>
              <w:rPr>
                <w:rFonts w:ascii="VIC" w:hAnsi="VIC" w:cs="Times New Roman"/>
              </w:rPr>
            </w:pPr>
            <w:r>
              <w:t>Percentage of SES, managers and staff that have received OHS training</w:t>
            </w:r>
          </w:p>
        </w:tc>
        <w:tc>
          <w:tcPr>
            <w:tcW w:w="4014" w:type="dxa"/>
          </w:tcPr>
          <w:p w14:paraId="5D2217E8" w14:textId="77777777" w:rsidR="00D23D2D" w:rsidRDefault="00D23D2D" w:rsidP="00D23D2D">
            <w:pPr>
              <w:pStyle w:val="TablebodyleftTables"/>
            </w:pPr>
            <w:r>
              <w:t>SES training</w:t>
            </w:r>
          </w:p>
        </w:tc>
        <w:tc>
          <w:tcPr>
            <w:tcW w:w="1278" w:type="dxa"/>
          </w:tcPr>
          <w:p w14:paraId="7FFBFA77" w14:textId="77777777" w:rsidR="00D23D2D" w:rsidRDefault="00D23D2D" w:rsidP="00D23D2D">
            <w:pPr>
              <w:pStyle w:val="TablebodyleftTables"/>
              <w:jc w:val="right"/>
            </w:pPr>
            <w:r>
              <w:t>45%</w:t>
            </w:r>
          </w:p>
        </w:tc>
        <w:tc>
          <w:tcPr>
            <w:tcW w:w="1246" w:type="dxa"/>
          </w:tcPr>
          <w:p w14:paraId="00C4A99C" w14:textId="77777777" w:rsidR="00D23D2D" w:rsidRDefault="00D23D2D" w:rsidP="00D23D2D">
            <w:pPr>
              <w:pStyle w:val="TablebodyleftTables"/>
              <w:jc w:val="right"/>
            </w:pPr>
            <w:r>
              <w:t>47%</w:t>
            </w:r>
          </w:p>
        </w:tc>
        <w:tc>
          <w:tcPr>
            <w:tcW w:w="1191" w:type="dxa"/>
          </w:tcPr>
          <w:p w14:paraId="13AB7B40" w14:textId="77777777" w:rsidR="00D23D2D" w:rsidRDefault="00D23D2D" w:rsidP="00D23D2D">
            <w:pPr>
              <w:pStyle w:val="TablebodyleftTables"/>
              <w:jc w:val="right"/>
            </w:pPr>
            <w:r>
              <w:t>62%</w:t>
            </w:r>
          </w:p>
        </w:tc>
      </w:tr>
      <w:tr w:rsidR="00D23D2D" w:rsidRPr="00B02873" w14:paraId="296A6F93" w14:textId="77777777" w:rsidTr="00AF33D3">
        <w:trPr>
          <w:trHeight w:val="60"/>
        </w:trPr>
        <w:tc>
          <w:tcPr>
            <w:tcW w:w="2052" w:type="dxa"/>
          </w:tcPr>
          <w:p w14:paraId="10F55A27" w14:textId="56D00FCF" w:rsidR="00D23D2D" w:rsidRPr="00B02873" w:rsidRDefault="00AF33D3" w:rsidP="00D23D2D">
            <w:pPr>
              <w:pStyle w:val="TablebodyleftTables"/>
              <w:rPr>
                <w:rFonts w:ascii="VIC" w:hAnsi="VIC" w:cs="Times New Roman"/>
              </w:rPr>
            </w:pPr>
            <w:r>
              <w:t>Percentage of SES, managers and staff that have received OHS training</w:t>
            </w:r>
          </w:p>
        </w:tc>
        <w:tc>
          <w:tcPr>
            <w:tcW w:w="4014" w:type="dxa"/>
          </w:tcPr>
          <w:p w14:paraId="2F904B2B" w14:textId="77777777" w:rsidR="00D23D2D" w:rsidRDefault="00D23D2D" w:rsidP="00D23D2D">
            <w:pPr>
              <w:pStyle w:val="TablebodyleftTables"/>
            </w:pPr>
            <w:r>
              <w:t>Management training</w:t>
            </w:r>
          </w:p>
        </w:tc>
        <w:tc>
          <w:tcPr>
            <w:tcW w:w="1278" w:type="dxa"/>
          </w:tcPr>
          <w:p w14:paraId="4DA08D45" w14:textId="77777777" w:rsidR="00D23D2D" w:rsidRDefault="00D23D2D" w:rsidP="00D23D2D">
            <w:pPr>
              <w:pStyle w:val="TablebodyleftTables"/>
              <w:jc w:val="right"/>
            </w:pPr>
            <w:r>
              <w:t>42%</w:t>
            </w:r>
          </w:p>
        </w:tc>
        <w:tc>
          <w:tcPr>
            <w:tcW w:w="1246" w:type="dxa"/>
          </w:tcPr>
          <w:p w14:paraId="23586DB1" w14:textId="77777777" w:rsidR="00D23D2D" w:rsidRDefault="00D23D2D" w:rsidP="00D23D2D">
            <w:pPr>
              <w:pStyle w:val="TablebodyleftTables"/>
              <w:jc w:val="right"/>
            </w:pPr>
            <w:r>
              <w:t>50%</w:t>
            </w:r>
          </w:p>
        </w:tc>
        <w:tc>
          <w:tcPr>
            <w:tcW w:w="1191" w:type="dxa"/>
          </w:tcPr>
          <w:p w14:paraId="1274E463" w14:textId="77777777" w:rsidR="00D23D2D" w:rsidRDefault="00D23D2D" w:rsidP="00D23D2D">
            <w:pPr>
              <w:pStyle w:val="TablebodyleftTables"/>
              <w:jc w:val="right"/>
            </w:pPr>
            <w:r>
              <w:t>60%</w:t>
            </w:r>
          </w:p>
        </w:tc>
      </w:tr>
      <w:tr w:rsidR="00D23D2D" w:rsidRPr="00B02873" w14:paraId="17C0EDF1" w14:textId="77777777" w:rsidTr="00AF33D3">
        <w:trPr>
          <w:trHeight w:val="60"/>
        </w:trPr>
        <w:tc>
          <w:tcPr>
            <w:tcW w:w="2052" w:type="dxa"/>
          </w:tcPr>
          <w:p w14:paraId="73472A6C" w14:textId="2A246E15" w:rsidR="00D23D2D" w:rsidRPr="00B02873" w:rsidRDefault="00AF33D3" w:rsidP="00D23D2D">
            <w:pPr>
              <w:pStyle w:val="TablebodyleftTables"/>
              <w:rPr>
                <w:rFonts w:ascii="VIC" w:hAnsi="VIC" w:cs="Times New Roman"/>
              </w:rPr>
            </w:pPr>
            <w:r>
              <w:t>Percentage of SES, managers and staff that have received OHS training</w:t>
            </w:r>
          </w:p>
        </w:tc>
        <w:tc>
          <w:tcPr>
            <w:tcW w:w="4014" w:type="dxa"/>
          </w:tcPr>
          <w:p w14:paraId="0C337124" w14:textId="77777777" w:rsidR="00D23D2D" w:rsidRDefault="00D23D2D" w:rsidP="00D23D2D">
            <w:pPr>
              <w:pStyle w:val="TablebodyleftTables"/>
            </w:pPr>
            <w:r>
              <w:t>Contractors, temps and visitors</w:t>
            </w:r>
            <w:r>
              <w:rPr>
                <w:vertAlign w:val="superscript"/>
              </w:rPr>
              <w:t>(k)</w:t>
            </w:r>
          </w:p>
        </w:tc>
        <w:tc>
          <w:tcPr>
            <w:tcW w:w="1278" w:type="dxa"/>
          </w:tcPr>
          <w:p w14:paraId="2C8827F4" w14:textId="77777777" w:rsidR="00D23D2D" w:rsidRDefault="00D23D2D" w:rsidP="00D23D2D">
            <w:pPr>
              <w:pStyle w:val="TablebodyleftTables"/>
              <w:jc w:val="right"/>
            </w:pPr>
            <w:r>
              <w:t>Provided</w:t>
            </w:r>
          </w:p>
        </w:tc>
        <w:tc>
          <w:tcPr>
            <w:tcW w:w="1246" w:type="dxa"/>
          </w:tcPr>
          <w:p w14:paraId="7E71861E" w14:textId="77777777" w:rsidR="00D23D2D" w:rsidRDefault="00D23D2D" w:rsidP="00D23D2D">
            <w:pPr>
              <w:pStyle w:val="TablebodyleftTables"/>
              <w:jc w:val="right"/>
            </w:pPr>
            <w:r>
              <w:t>Provided</w:t>
            </w:r>
          </w:p>
        </w:tc>
        <w:tc>
          <w:tcPr>
            <w:tcW w:w="1191" w:type="dxa"/>
          </w:tcPr>
          <w:p w14:paraId="64331BDE" w14:textId="77777777" w:rsidR="00D23D2D" w:rsidRDefault="00D23D2D" w:rsidP="00D23D2D">
            <w:pPr>
              <w:pStyle w:val="TablebodyleftTables"/>
              <w:jc w:val="right"/>
            </w:pPr>
            <w:r>
              <w:t xml:space="preserve">Provided </w:t>
            </w:r>
          </w:p>
        </w:tc>
      </w:tr>
      <w:tr w:rsidR="00D23D2D" w:rsidRPr="00B02873" w14:paraId="1F0D4A62" w14:textId="77777777" w:rsidTr="00AF33D3">
        <w:trPr>
          <w:trHeight w:val="60"/>
        </w:trPr>
        <w:tc>
          <w:tcPr>
            <w:tcW w:w="2052" w:type="dxa"/>
          </w:tcPr>
          <w:p w14:paraId="5F74E54E" w14:textId="77777777" w:rsidR="00D23D2D" w:rsidRDefault="00D23D2D" w:rsidP="00D23D2D">
            <w:pPr>
              <w:pStyle w:val="TablebodyleftTables"/>
            </w:pPr>
            <w:r>
              <w:t>Percentage of HSRs trained</w:t>
            </w:r>
          </w:p>
        </w:tc>
        <w:tc>
          <w:tcPr>
            <w:tcW w:w="4014" w:type="dxa"/>
          </w:tcPr>
          <w:p w14:paraId="228DC85D" w14:textId="77777777" w:rsidR="00D23D2D" w:rsidRDefault="00D23D2D" w:rsidP="00D23D2D">
            <w:pPr>
              <w:pStyle w:val="TablebodyleftTables"/>
            </w:pPr>
            <w:r>
              <w:t>Acceptance of role</w:t>
            </w:r>
          </w:p>
        </w:tc>
        <w:tc>
          <w:tcPr>
            <w:tcW w:w="1278" w:type="dxa"/>
          </w:tcPr>
          <w:p w14:paraId="344C6842" w14:textId="77777777" w:rsidR="00D23D2D" w:rsidRDefault="00D23D2D" w:rsidP="00D23D2D">
            <w:pPr>
              <w:pStyle w:val="TablebodyleftTables"/>
              <w:jc w:val="right"/>
            </w:pPr>
            <w:r>
              <w:t>34%</w:t>
            </w:r>
          </w:p>
        </w:tc>
        <w:tc>
          <w:tcPr>
            <w:tcW w:w="1246" w:type="dxa"/>
          </w:tcPr>
          <w:p w14:paraId="724888F6" w14:textId="77777777" w:rsidR="00D23D2D" w:rsidRDefault="00D23D2D" w:rsidP="00D23D2D">
            <w:pPr>
              <w:pStyle w:val="TablebodyleftTables"/>
              <w:jc w:val="right"/>
            </w:pPr>
            <w:r>
              <w:t>19%</w:t>
            </w:r>
          </w:p>
        </w:tc>
        <w:tc>
          <w:tcPr>
            <w:tcW w:w="1191" w:type="dxa"/>
          </w:tcPr>
          <w:p w14:paraId="63BB2F2A" w14:textId="77777777" w:rsidR="00D23D2D" w:rsidRDefault="00D23D2D" w:rsidP="00D23D2D">
            <w:pPr>
              <w:pStyle w:val="TablebodyleftTables"/>
              <w:jc w:val="right"/>
            </w:pPr>
            <w:r>
              <w:t>21%</w:t>
            </w:r>
          </w:p>
        </w:tc>
      </w:tr>
      <w:tr w:rsidR="00D23D2D" w:rsidRPr="00B02873" w14:paraId="5275F860" w14:textId="77777777" w:rsidTr="00AF33D3">
        <w:trPr>
          <w:trHeight w:val="60"/>
        </w:trPr>
        <w:tc>
          <w:tcPr>
            <w:tcW w:w="2052" w:type="dxa"/>
          </w:tcPr>
          <w:p w14:paraId="5BEB4932" w14:textId="44272DA2" w:rsidR="00D23D2D" w:rsidRPr="00B02873" w:rsidRDefault="00AF33D3" w:rsidP="00D23D2D">
            <w:pPr>
              <w:pStyle w:val="TablebodyleftTables"/>
              <w:rPr>
                <w:rFonts w:ascii="VIC" w:hAnsi="VIC" w:cs="Times New Roman"/>
              </w:rPr>
            </w:pPr>
            <w:r>
              <w:t>Percentage of HSRs trained</w:t>
            </w:r>
          </w:p>
        </w:tc>
        <w:tc>
          <w:tcPr>
            <w:tcW w:w="4014" w:type="dxa"/>
          </w:tcPr>
          <w:p w14:paraId="6C63FAD2" w14:textId="77777777" w:rsidR="00D23D2D" w:rsidRDefault="00D23D2D" w:rsidP="00D23D2D">
            <w:pPr>
              <w:pStyle w:val="TablebodyleftTables"/>
            </w:pPr>
            <w:r>
              <w:t>Retraining (refresher)</w:t>
            </w:r>
          </w:p>
        </w:tc>
        <w:tc>
          <w:tcPr>
            <w:tcW w:w="1278" w:type="dxa"/>
          </w:tcPr>
          <w:p w14:paraId="529A4D90" w14:textId="77777777" w:rsidR="00D23D2D" w:rsidRDefault="00D23D2D" w:rsidP="00D23D2D">
            <w:pPr>
              <w:pStyle w:val="TablebodyleftTables"/>
              <w:jc w:val="right"/>
            </w:pPr>
            <w:r>
              <w:t>20%</w:t>
            </w:r>
          </w:p>
        </w:tc>
        <w:tc>
          <w:tcPr>
            <w:tcW w:w="1246" w:type="dxa"/>
          </w:tcPr>
          <w:p w14:paraId="049E7026" w14:textId="77777777" w:rsidR="00D23D2D" w:rsidRDefault="00D23D2D" w:rsidP="00D23D2D">
            <w:pPr>
              <w:pStyle w:val="TablebodyleftTables"/>
              <w:jc w:val="right"/>
            </w:pPr>
            <w:r>
              <w:t>46%</w:t>
            </w:r>
          </w:p>
        </w:tc>
        <w:tc>
          <w:tcPr>
            <w:tcW w:w="1191" w:type="dxa"/>
          </w:tcPr>
          <w:p w14:paraId="4D410552" w14:textId="77777777" w:rsidR="00D23D2D" w:rsidRDefault="00D23D2D" w:rsidP="00D23D2D">
            <w:pPr>
              <w:pStyle w:val="TablebodyleftTables"/>
              <w:jc w:val="right"/>
            </w:pPr>
            <w:r>
              <w:t>39%</w:t>
            </w:r>
          </w:p>
        </w:tc>
      </w:tr>
      <w:tr w:rsidR="00D23D2D" w:rsidRPr="00B02873" w14:paraId="7DD0238F" w14:textId="77777777" w:rsidTr="00AF33D3">
        <w:trPr>
          <w:trHeight w:val="60"/>
        </w:trPr>
        <w:tc>
          <w:tcPr>
            <w:tcW w:w="2052" w:type="dxa"/>
          </w:tcPr>
          <w:p w14:paraId="12C64FB2" w14:textId="7212E54C" w:rsidR="00D23D2D" w:rsidRPr="00B02873" w:rsidRDefault="00AF33D3" w:rsidP="00D23D2D">
            <w:pPr>
              <w:pStyle w:val="TablebodyleftTables"/>
              <w:rPr>
                <w:rFonts w:ascii="VIC" w:hAnsi="VIC" w:cs="Times New Roman"/>
              </w:rPr>
            </w:pPr>
            <w:r>
              <w:t>Percentage of HSRs trained</w:t>
            </w:r>
          </w:p>
        </w:tc>
        <w:tc>
          <w:tcPr>
            <w:tcW w:w="4014" w:type="dxa"/>
          </w:tcPr>
          <w:p w14:paraId="5CEC2AD1" w14:textId="77777777" w:rsidR="00D23D2D" w:rsidRDefault="00D23D2D" w:rsidP="00D23D2D">
            <w:pPr>
              <w:pStyle w:val="TablebodyleftTables"/>
            </w:pPr>
            <w:r>
              <w:t>Reporting of incident and injuries</w:t>
            </w:r>
            <w:r>
              <w:rPr>
                <w:vertAlign w:val="superscript"/>
              </w:rPr>
              <w:t>(l)</w:t>
            </w:r>
          </w:p>
        </w:tc>
        <w:tc>
          <w:tcPr>
            <w:tcW w:w="1278" w:type="dxa"/>
          </w:tcPr>
          <w:p w14:paraId="6B3374E1" w14:textId="77777777" w:rsidR="00D23D2D" w:rsidRDefault="00D23D2D" w:rsidP="00D23D2D">
            <w:pPr>
              <w:pStyle w:val="TablebodyleftTables"/>
              <w:jc w:val="right"/>
            </w:pPr>
            <w:r>
              <w:t>N/A</w:t>
            </w:r>
          </w:p>
        </w:tc>
        <w:tc>
          <w:tcPr>
            <w:tcW w:w="1246" w:type="dxa"/>
          </w:tcPr>
          <w:p w14:paraId="3017DD97" w14:textId="77777777" w:rsidR="00D23D2D" w:rsidRDefault="00D23D2D" w:rsidP="00D23D2D">
            <w:pPr>
              <w:pStyle w:val="TablebodyleftTables"/>
              <w:jc w:val="right"/>
            </w:pPr>
            <w:r>
              <w:t>N/A</w:t>
            </w:r>
          </w:p>
        </w:tc>
        <w:tc>
          <w:tcPr>
            <w:tcW w:w="1191" w:type="dxa"/>
          </w:tcPr>
          <w:p w14:paraId="1E9CBB74" w14:textId="77777777" w:rsidR="00D23D2D" w:rsidRDefault="00D23D2D" w:rsidP="00D23D2D">
            <w:pPr>
              <w:pStyle w:val="TablebodyleftTables"/>
              <w:jc w:val="right"/>
            </w:pPr>
            <w:r>
              <w:t>N/A</w:t>
            </w:r>
          </w:p>
        </w:tc>
      </w:tr>
      <w:tr w:rsidR="00D23D2D" w:rsidRPr="00B02873" w14:paraId="5E14B2D5" w14:textId="77777777" w:rsidTr="00AF33D3">
        <w:trPr>
          <w:trHeight w:val="60"/>
        </w:trPr>
        <w:tc>
          <w:tcPr>
            <w:tcW w:w="2052" w:type="dxa"/>
          </w:tcPr>
          <w:p w14:paraId="34F11DA9" w14:textId="77777777" w:rsidR="00D23D2D" w:rsidRDefault="00D23D2D" w:rsidP="00D23D2D">
            <w:pPr>
              <w:pStyle w:val="TablebodyleftTables"/>
            </w:pPr>
            <w:r>
              <w:lastRenderedPageBreak/>
              <w:t>Percentage of staff that have received Mental Health and Wellbeing Training</w:t>
            </w:r>
          </w:p>
        </w:tc>
        <w:tc>
          <w:tcPr>
            <w:tcW w:w="4014" w:type="dxa"/>
          </w:tcPr>
          <w:p w14:paraId="210BA7D9" w14:textId="77777777" w:rsidR="00D23D2D" w:rsidRDefault="00D23D2D" w:rsidP="00D23D2D">
            <w:pPr>
              <w:pStyle w:val="TablebodyleftTables"/>
            </w:pPr>
            <w:r>
              <w:t>DELWP-wide</w:t>
            </w:r>
          </w:p>
        </w:tc>
        <w:tc>
          <w:tcPr>
            <w:tcW w:w="1278" w:type="dxa"/>
          </w:tcPr>
          <w:p w14:paraId="5733064C" w14:textId="77777777" w:rsidR="00D23D2D" w:rsidRDefault="00D23D2D" w:rsidP="00D23D2D">
            <w:pPr>
              <w:pStyle w:val="TablebodyleftTables"/>
              <w:jc w:val="right"/>
            </w:pPr>
            <w:r>
              <w:t>73%</w:t>
            </w:r>
          </w:p>
        </w:tc>
        <w:tc>
          <w:tcPr>
            <w:tcW w:w="1246" w:type="dxa"/>
          </w:tcPr>
          <w:p w14:paraId="5B8582F9" w14:textId="77777777" w:rsidR="00D23D2D" w:rsidRDefault="00D23D2D" w:rsidP="00D23D2D">
            <w:pPr>
              <w:pStyle w:val="TablebodyleftTables"/>
              <w:jc w:val="right"/>
            </w:pPr>
            <w:r>
              <w:t>68%</w:t>
            </w:r>
          </w:p>
        </w:tc>
        <w:tc>
          <w:tcPr>
            <w:tcW w:w="1191" w:type="dxa"/>
          </w:tcPr>
          <w:p w14:paraId="2BFE83D8" w14:textId="77777777" w:rsidR="00D23D2D" w:rsidRDefault="00D23D2D" w:rsidP="00D23D2D">
            <w:pPr>
              <w:pStyle w:val="TablebodyleftTables"/>
              <w:jc w:val="right"/>
            </w:pPr>
            <w:r>
              <w:t>67%</w:t>
            </w:r>
          </w:p>
        </w:tc>
      </w:tr>
      <w:tr w:rsidR="00D23D2D" w:rsidRPr="00B02873" w14:paraId="39893C6B" w14:textId="77777777" w:rsidTr="00AF33D3">
        <w:trPr>
          <w:trHeight w:val="60"/>
        </w:trPr>
        <w:tc>
          <w:tcPr>
            <w:tcW w:w="2052" w:type="dxa"/>
          </w:tcPr>
          <w:p w14:paraId="5B1D8C83" w14:textId="74447E05" w:rsidR="00D23D2D" w:rsidRPr="00B02873" w:rsidRDefault="00AF33D3" w:rsidP="00D23D2D">
            <w:pPr>
              <w:pStyle w:val="TablebodyleftTables"/>
              <w:rPr>
                <w:rFonts w:ascii="VIC" w:hAnsi="VIC" w:cs="Times New Roman"/>
              </w:rPr>
            </w:pPr>
            <w:r>
              <w:t>Percentage of staff that have received Mental Health and Wellbeing Training</w:t>
            </w:r>
          </w:p>
        </w:tc>
        <w:tc>
          <w:tcPr>
            <w:tcW w:w="4014" w:type="dxa"/>
          </w:tcPr>
          <w:p w14:paraId="17A47674" w14:textId="77777777" w:rsidR="00D23D2D" w:rsidRDefault="00D23D2D" w:rsidP="00D23D2D">
            <w:pPr>
              <w:pStyle w:val="TablebodyleftTables"/>
            </w:pPr>
            <w:r>
              <w:t>Executives (SES) (SES3/SES2)</w:t>
            </w:r>
          </w:p>
        </w:tc>
        <w:tc>
          <w:tcPr>
            <w:tcW w:w="1278" w:type="dxa"/>
          </w:tcPr>
          <w:p w14:paraId="1B60F318" w14:textId="77777777" w:rsidR="00D23D2D" w:rsidRDefault="00D23D2D" w:rsidP="00D23D2D">
            <w:pPr>
              <w:pStyle w:val="TablebodyleftTables"/>
              <w:jc w:val="right"/>
            </w:pPr>
            <w:r>
              <w:t>88%</w:t>
            </w:r>
          </w:p>
        </w:tc>
        <w:tc>
          <w:tcPr>
            <w:tcW w:w="1246" w:type="dxa"/>
          </w:tcPr>
          <w:p w14:paraId="715AA6F9" w14:textId="77777777" w:rsidR="00D23D2D" w:rsidRDefault="00D23D2D" w:rsidP="00D23D2D">
            <w:pPr>
              <w:pStyle w:val="TablebodyleftTables"/>
              <w:jc w:val="right"/>
            </w:pPr>
            <w:r>
              <w:t>91%</w:t>
            </w:r>
          </w:p>
        </w:tc>
        <w:tc>
          <w:tcPr>
            <w:tcW w:w="1191" w:type="dxa"/>
          </w:tcPr>
          <w:p w14:paraId="3DC494B2" w14:textId="77777777" w:rsidR="00D23D2D" w:rsidRDefault="00D23D2D" w:rsidP="00D23D2D">
            <w:pPr>
              <w:pStyle w:val="TablebodyleftTables"/>
              <w:jc w:val="right"/>
            </w:pPr>
            <w:r>
              <w:t>91%</w:t>
            </w:r>
          </w:p>
        </w:tc>
      </w:tr>
      <w:tr w:rsidR="00D23D2D" w:rsidRPr="00B02873" w14:paraId="748C01CD" w14:textId="77777777" w:rsidTr="00AF33D3">
        <w:trPr>
          <w:trHeight w:val="60"/>
        </w:trPr>
        <w:tc>
          <w:tcPr>
            <w:tcW w:w="2052" w:type="dxa"/>
          </w:tcPr>
          <w:p w14:paraId="60DFA0D9" w14:textId="0C582EBA" w:rsidR="00D23D2D" w:rsidRPr="00B02873" w:rsidRDefault="00AF33D3" w:rsidP="00D23D2D">
            <w:pPr>
              <w:pStyle w:val="TablebodyleftTables"/>
              <w:rPr>
                <w:rFonts w:ascii="VIC" w:hAnsi="VIC" w:cs="Times New Roman"/>
              </w:rPr>
            </w:pPr>
            <w:r>
              <w:t>Percentage of staff that have received Mental Health and Wellbeing Training</w:t>
            </w:r>
          </w:p>
        </w:tc>
        <w:tc>
          <w:tcPr>
            <w:tcW w:w="4014" w:type="dxa"/>
          </w:tcPr>
          <w:p w14:paraId="7E2A85B6" w14:textId="77777777" w:rsidR="00D23D2D" w:rsidRDefault="00D23D2D" w:rsidP="00D23D2D">
            <w:pPr>
              <w:pStyle w:val="TablebodyleftTables"/>
            </w:pPr>
            <w:r>
              <w:t>People Leaders (SES1/VPS 6)</w:t>
            </w:r>
          </w:p>
        </w:tc>
        <w:tc>
          <w:tcPr>
            <w:tcW w:w="1278" w:type="dxa"/>
          </w:tcPr>
          <w:p w14:paraId="40589200" w14:textId="77777777" w:rsidR="00D23D2D" w:rsidRDefault="00D23D2D" w:rsidP="00D23D2D">
            <w:pPr>
              <w:pStyle w:val="TablebodyleftTables"/>
              <w:jc w:val="right"/>
            </w:pPr>
            <w:r>
              <w:t>83%</w:t>
            </w:r>
          </w:p>
        </w:tc>
        <w:tc>
          <w:tcPr>
            <w:tcW w:w="1246" w:type="dxa"/>
          </w:tcPr>
          <w:p w14:paraId="20E5DFA5" w14:textId="77777777" w:rsidR="00D23D2D" w:rsidRDefault="00D23D2D" w:rsidP="00D23D2D">
            <w:pPr>
              <w:pStyle w:val="TablebodyleftTables"/>
              <w:jc w:val="right"/>
            </w:pPr>
            <w:r>
              <w:t>83%</w:t>
            </w:r>
          </w:p>
        </w:tc>
        <w:tc>
          <w:tcPr>
            <w:tcW w:w="1191" w:type="dxa"/>
          </w:tcPr>
          <w:p w14:paraId="2DC18805" w14:textId="77777777" w:rsidR="00D23D2D" w:rsidRDefault="00D23D2D" w:rsidP="00D23D2D">
            <w:pPr>
              <w:pStyle w:val="TablebodyleftTables"/>
              <w:jc w:val="right"/>
            </w:pPr>
            <w:r>
              <w:t>80%</w:t>
            </w:r>
          </w:p>
        </w:tc>
      </w:tr>
      <w:tr w:rsidR="00D23D2D" w:rsidRPr="00B02873" w14:paraId="014931F7" w14:textId="77777777" w:rsidTr="00AF33D3">
        <w:trPr>
          <w:trHeight w:val="60"/>
        </w:trPr>
        <w:tc>
          <w:tcPr>
            <w:tcW w:w="2052" w:type="dxa"/>
          </w:tcPr>
          <w:p w14:paraId="3A2E1B72" w14:textId="793474EE" w:rsidR="00D23D2D" w:rsidRPr="00B02873" w:rsidRDefault="00AF33D3" w:rsidP="00D23D2D">
            <w:pPr>
              <w:pStyle w:val="TablebodyleftTables"/>
              <w:rPr>
                <w:rFonts w:ascii="VIC" w:hAnsi="VIC" w:cs="Times New Roman"/>
              </w:rPr>
            </w:pPr>
            <w:r>
              <w:t>Percentage of staff that have received Mental Health and Wellbeing Training</w:t>
            </w:r>
          </w:p>
        </w:tc>
        <w:tc>
          <w:tcPr>
            <w:tcW w:w="4014" w:type="dxa"/>
          </w:tcPr>
          <w:p w14:paraId="15DFB590" w14:textId="77777777" w:rsidR="00D23D2D" w:rsidRDefault="00D23D2D" w:rsidP="00D23D2D">
            <w:pPr>
              <w:pStyle w:val="TablebodyleftTables"/>
            </w:pPr>
            <w:r>
              <w:t xml:space="preserve">Managers, Supervisors and employees </w:t>
            </w:r>
            <w:r>
              <w:br/>
              <w:t xml:space="preserve">(up to VPS 5) </w:t>
            </w:r>
          </w:p>
        </w:tc>
        <w:tc>
          <w:tcPr>
            <w:tcW w:w="1278" w:type="dxa"/>
          </w:tcPr>
          <w:p w14:paraId="42452449" w14:textId="77777777" w:rsidR="00D23D2D" w:rsidRDefault="00D23D2D" w:rsidP="00D23D2D">
            <w:pPr>
              <w:pStyle w:val="TablebodyleftTables"/>
              <w:jc w:val="right"/>
            </w:pPr>
            <w:r>
              <w:t>71%</w:t>
            </w:r>
            <w:r>
              <w:rPr>
                <w:vertAlign w:val="superscript"/>
              </w:rPr>
              <w:t>(m)</w:t>
            </w:r>
          </w:p>
        </w:tc>
        <w:tc>
          <w:tcPr>
            <w:tcW w:w="1246" w:type="dxa"/>
          </w:tcPr>
          <w:p w14:paraId="718DEF97" w14:textId="77777777" w:rsidR="00D23D2D" w:rsidRDefault="00D23D2D" w:rsidP="00D23D2D">
            <w:pPr>
              <w:pStyle w:val="TablebodyleftTables"/>
              <w:jc w:val="right"/>
            </w:pPr>
            <w:r>
              <w:t>65%</w:t>
            </w:r>
            <w:r>
              <w:rPr>
                <w:vertAlign w:val="superscript"/>
              </w:rPr>
              <w:t>(m)</w:t>
            </w:r>
          </w:p>
        </w:tc>
        <w:tc>
          <w:tcPr>
            <w:tcW w:w="1191" w:type="dxa"/>
          </w:tcPr>
          <w:p w14:paraId="6D2D6359" w14:textId="77777777" w:rsidR="00D23D2D" w:rsidRDefault="00D23D2D" w:rsidP="00D23D2D">
            <w:pPr>
              <w:pStyle w:val="TablebodyleftTables"/>
              <w:jc w:val="right"/>
            </w:pPr>
            <w:r>
              <w:t>64%</w:t>
            </w:r>
            <w:r>
              <w:rPr>
                <w:vertAlign w:val="superscript"/>
              </w:rPr>
              <w:t>(n)</w:t>
            </w:r>
          </w:p>
        </w:tc>
      </w:tr>
      <w:tr w:rsidR="00D23D2D" w:rsidRPr="00B02873" w14:paraId="13E89DF6" w14:textId="77777777" w:rsidTr="00AF33D3">
        <w:trPr>
          <w:trHeight w:val="60"/>
        </w:trPr>
        <w:tc>
          <w:tcPr>
            <w:tcW w:w="2052" w:type="dxa"/>
          </w:tcPr>
          <w:p w14:paraId="700E821B" w14:textId="77777777" w:rsidR="00D23D2D" w:rsidRDefault="00D23D2D" w:rsidP="00D23D2D">
            <w:pPr>
              <w:pStyle w:val="TablebodyleftTables"/>
            </w:pPr>
            <w:r>
              <w:t>People Matter Survey results (or equivalent)</w:t>
            </w:r>
          </w:p>
        </w:tc>
        <w:tc>
          <w:tcPr>
            <w:tcW w:w="4014" w:type="dxa"/>
          </w:tcPr>
          <w:p w14:paraId="77A23A8C" w14:textId="77777777" w:rsidR="00D23D2D" w:rsidRDefault="00D23D2D" w:rsidP="00D23D2D">
            <w:pPr>
              <w:pStyle w:val="TablebodyleftTables"/>
            </w:pPr>
            <w:r>
              <w:t xml:space="preserve">Percentage of response rates </w:t>
            </w:r>
          </w:p>
        </w:tc>
        <w:tc>
          <w:tcPr>
            <w:tcW w:w="1278" w:type="dxa"/>
          </w:tcPr>
          <w:p w14:paraId="25ACF217" w14:textId="77777777" w:rsidR="00D23D2D" w:rsidRDefault="00D23D2D" w:rsidP="00D23D2D">
            <w:pPr>
              <w:pStyle w:val="TablebodyleftTables"/>
              <w:jc w:val="right"/>
            </w:pPr>
            <w:r>
              <w:t>72%</w:t>
            </w:r>
          </w:p>
        </w:tc>
        <w:tc>
          <w:tcPr>
            <w:tcW w:w="1246" w:type="dxa"/>
          </w:tcPr>
          <w:p w14:paraId="76D01F1D" w14:textId="77777777" w:rsidR="00D23D2D" w:rsidRDefault="00D23D2D" w:rsidP="00D23D2D">
            <w:pPr>
              <w:pStyle w:val="TablebodyleftTables"/>
              <w:jc w:val="right"/>
            </w:pPr>
            <w:r>
              <w:t>57%</w:t>
            </w:r>
          </w:p>
        </w:tc>
        <w:tc>
          <w:tcPr>
            <w:tcW w:w="1191" w:type="dxa"/>
          </w:tcPr>
          <w:p w14:paraId="294695AC" w14:textId="77777777" w:rsidR="00D23D2D" w:rsidRDefault="00D23D2D" w:rsidP="00D23D2D">
            <w:pPr>
              <w:pStyle w:val="TablebodyleftTables"/>
              <w:jc w:val="right"/>
            </w:pPr>
            <w:r>
              <w:t>66%</w:t>
            </w:r>
            <w:r>
              <w:rPr>
                <w:vertAlign w:val="superscript"/>
              </w:rPr>
              <w:t>(o)</w:t>
            </w:r>
          </w:p>
        </w:tc>
      </w:tr>
      <w:tr w:rsidR="00D23D2D" w:rsidRPr="00B02873" w14:paraId="607E1072" w14:textId="77777777" w:rsidTr="00AF33D3">
        <w:trPr>
          <w:trHeight w:val="60"/>
        </w:trPr>
        <w:tc>
          <w:tcPr>
            <w:tcW w:w="2052" w:type="dxa"/>
          </w:tcPr>
          <w:p w14:paraId="5E009BDD" w14:textId="6C76CAB1" w:rsidR="00D23D2D" w:rsidRDefault="00D23D2D" w:rsidP="00D23D2D">
            <w:pPr>
              <w:pStyle w:val="TablebodyleftTables"/>
            </w:pPr>
            <w:r>
              <w:t>Mental health and wellbeing</w:t>
            </w:r>
          </w:p>
        </w:tc>
        <w:tc>
          <w:tcPr>
            <w:tcW w:w="4014" w:type="dxa"/>
          </w:tcPr>
          <w:p w14:paraId="586861A6" w14:textId="244AC870" w:rsidR="00D23D2D" w:rsidRDefault="00D23D2D" w:rsidP="00D23D2D">
            <w:pPr>
              <w:pStyle w:val="TablebodyleftTables"/>
            </w:pPr>
            <w:r>
              <w:t>Mental injury 13-week claims as a percentage of total claims</w:t>
            </w:r>
          </w:p>
        </w:tc>
        <w:tc>
          <w:tcPr>
            <w:tcW w:w="1278" w:type="dxa"/>
          </w:tcPr>
          <w:p w14:paraId="3776FA84" w14:textId="77777777" w:rsidR="00D23D2D" w:rsidRDefault="00D23D2D" w:rsidP="00D23D2D">
            <w:pPr>
              <w:pStyle w:val="TablebodyleftTables"/>
              <w:jc w:val="right"/>
            </w:pPr>
            <w:r>
              <w:t>22%</w:t>
            </w:r>
          </w:p>
        </w:tc>
        <w:tc>
          <w:tcPr>
            <w:tcW w:w="1246" w:type="dxa"/>
          </w:tcPr>
          <w:p w14:paraId="6A75724B" w14:textId="77777777" w:rsidR="00D23D2D" w:rsidRDefault="00D23D2D" w:rsidP="00D23D2D">
            <w:pPr>
              <w:pStyle w:val="TablebodyleftTables"/>
              <w:jc w:val="right"/>
            </w:pPr>
            <w:r>
              <w:t>13%</w:t>
            </w:r>
          </w:p>
        </w:tc>
        <w:tc>
          <w:tcPr>
            <w:tcW w:w="1191" w:type="dxa"/>
          </w:tcPr>
          <w:p w14:paraId="36AE8701" w14:textId="77777777" w:rsidR="00D23D2D" w:rsidRDefault="00D23D2D" w:rsidP="00D23D2D">
            <w:pPr>
              <w:pStyle w:val="TablebodyleftTables"/>
              <w:jc w:val="right"/>
            </w:pPr>
            <w:r>
              <w:t>50%</w:t>
            </w:r>
          </w:p>
        </w:tc>
      </w:tr>
      <w:tr w:rsidR="00D23D2D" w:rsidRPr="00B02873" w14:paraId="6AECEB22" w14:textId="77777777" w:rsidTr="00AF33D3">
        <w:trPr>
          <w:trHeight w:val="60"/>
        </w:trPr>
        <w:tc>
          <w:tcPr>
            <w:tcW w:w="2052" w:type="dxa"/>
          </w:tcPr>
          <w:p w14:paraId="5F49D282" w14:textId="5F0494ED" w:rsidR="00D23D2D" w:rsidRPr="00B02873" w:rsidRDefault="00AF33D3" w:rsidP="00D23D2D">
            <w:pPr>
              <w:pStyle w:val="TablebodyleftTables"/>
              <w:rPr>
                <w:rFonts w:ascii="VIC" w:hAnsi="VIC" w:cs="Times New Roman"/>
              </w:rPr>
            </w:pPr>
            <w:r>
              <w:t>Mental health and wellbeing</w:t>
            </w:r>
          </w:p>
        </w:tc>
        <w:tc>
          <w:tcPr>
            <w:tcW w:w="4014" w:type="dxa"/>
          </w:tcPr>
          <w:p w14:paraId="2E1DB10D" w14:textId="63F825F6" w:rsidR="00D23D2D" w:rsidRDefault="00D23D2D" w:rsidP="00D23D2D">
            <w:pPr>
              <w:pStyle w:val="TablebodyleftTables"/>
            </w:pPr>
            <w:r>
              <w:t>Mental injury 26-week claims as a percentage of total claims</w:t>
            </w:r>
          </w:p>
        </w:tc>
        <w:tc>
          <w:tcPr>
            <w:tcW w:w="1278" w:type="dxa"/>
          </w:tcPr>
          <w:p w14:paraId="441E01CF" w14:textId="77777777" w:rsidR="00D23D2D" w:rsidRDefault="00D23D2D" w:rsidP="00D23D2D">
            <w:pPr>
              <w:pStyle w:val="TablebodyleftTables"/>
              <w:jc w:val="right"/>
            </w:pPr>
            <w:r>
              <w:t>20%</w:t>
            </w:r>
          </w:p>
        </w:tc>
        <w:tc>
          <w:tcPr>
            <w:tcW w:w="1246" w:type="dxa"/>
          </w:tcPr>
          <w:p w14:paraId="4E3843FB" w14:textId="77777777" w:rsidR="00D23D2D" w:rsidRDefault="00D23D2D" w:rsidP="00D23D2D">
            <w:pPr>
              <w:pStyle w:val="TablebodyleftTables"/>
              <w:jc w:val="right"/>
            </w:pPr>
            <w:r>
              <w:t>53.85%</w:t>
            </w:r>
          </w:p>
        </w:tc>
        <w:tc>
          <w:tcPr>
            <w:tcW w:w="1191" w:type="dxa"/>
          </w:tcPr>
          <w:p w14:paraId="5F94CF98" w14:textId="77777777" w:rsidR="00D23D2D" w:rsidRDefault="00D23D2D" w:rsidP="00D23D2D">
            <w:pPr>
              <w:pStyle w:val="TablebodyleftTables"/>
              <w:jc w:val="right"/>
            </w:pPr>
            <w:r>
              <w:t>50%</w:t>
            </w:r>
          </w:p>
        </w:tc>
      </w:tr>
      <w:tr w:rsidR="00D23D2D" w:rsidRPr="00B02873" w14:paraId="4B43CC05" w14:textId="77777777" w:rsidTr="00AF33D3">
        <w:trPr>
          <w:trHeight w:val="60"/>
        </w:trPr>
        <w:tc>
          <w:tcPr>
            <w:tcW w:w="2052" w:type="dxa"/>
          </w:tcPr>
          <w:p w14:paraId="1E056D4B" w14:textId="426435E6" w:rsidR="00D23D2D" w:rsidRPr="00B02873" w:rsidRDefault="00AF33D3" w:rsidP="00D23D2D">
            <w:pPr>
              <w:pStyle w:val="TablebodyleftTables"/>
              <w:rPr>
                <w:rFonts w:ascii="VIC" w:hAnsi="VIC" w:cs="Times New Roman"/>
              </w:rPr>
            </w:pPr>
            <w:r>
              <w:t>Mental health and wellbeing</w:t>
            </w:r>
          </w:p>
        </w:tc>
        <w:tc>
          <w:tcPr>
            <w:tcW w:w="4014" w:type="dxa"/>
          </w:tcPr>
          <w:p w14:paraId="513E8620" w14:textId="77777777" w:rsidR="00D23D2D" w:rsidRDefault="00D23D2D" w:rsidP="00D23D2D">
            <w:pPr>
              <w:pStyle w:val="TablebodyleftTables"/>
            </w:pPr>
            <w:r>
              <w:t>Averaged fully developed costs – mental injury claims</w:t>
            </w:r>
            <w:r>
              <w:rPr>
                <w:vertAlign w:val="superscript"/>
              </w:rPr>
              <w:t>(p)</w:t>
            </w:r>
          </w:p>
        </w:tc>
        <w:tc>
          <w:tcPr>
            <w:tcW w:w="1278" w:type="dxa"/>
          </w:tcPr>
          <w:p w14:paraId="66AC5616" w14:textId="77777777" w:rsidR="00D23D2D" w:rsidRDefault="00D23D2D" w:rsidP="00D23D2D">
            <w:pPr>
              <w:pStyle w:val="TablebodyleftTables"/>
              <w:jc w:val="right"/>
            </w:pPr>
            <w:r>
              <w:t>$101,737</w:t>
            </w:r>
          </w:p>
        </w:tc>
        <w:tc>
          <w:tcPr>
            <w:tcW w:w="1246" w:type="dxa"/>
          </w:tcPr>
          <w:p w14:paraId="7C6F695F" w14:textId="77777777" w:rsidR="00D23D2D" w:rsidRDefault="00D23D2D" w:rsidP="00D23D2D">
            <w:pPr>
              <w:pStyle w:val="TablebodyleftTables"/>
              <w:jc w:val="right"/>
            </w:pPr>
            <w:r>
              <w:t>$266,418</w:t>
            </w:r>
          </w:p>
        </w:tc>
        <w:tc>
          <w:tcPr>
            <w:tcW w:w="1191" w:type="dxa"/>
          </w:tcPr>
          <w:p w14:paraId="592A6A7B" w14:textId="77777777" w:rsidR="00D23D2D" w:rsidRDefault="00D23D2D" w:rsidP="00D23D2D">
            <w:pPr>
              <w:pStyle w:val="TablebodyleftTables"/>
              <w:jc w:val="right"/>
            </w:pPr>
            <w:r>
              <w:t>$173,664</w:t>
            </w:r>
          </w:p>
        </w:tc>
      </w:tr>
      <w:tr w:rsidR="00D23D2D" w:rsidRPr="00B02873" w14:paraId="75ACAEDA" w14:textId="77777777" w:rsidTr="00AF33D3">
        <w:trPr>
          <w:trHeight w:val="60"/>
        </w:trPr>
        <w:tc>
          <w:tcPr>
            <w:tcW w:w="2052" w:type="dxa"/>
          </w:tcPr>
          <w:p w14:paraId="02F6C5C5" w14:textId="76816CD9" w:rsidR="00D23D2D" w:rsidRPr="00B02873" w:rsidRDefault="00AF33D3" w:rsidP="00D23D2D">
            <w:pPr>
              <w:pStyle w:val="TablebodyleftTables"/>
              <w:rPr>
                <w:rFonts w:ascii="VIC" w:hAnsi="VIC" w:cs="Times New Roman"/>
              </w:rPr>
            </w:pPr>
            <w:r>
              <w:t>Mental health and wellbeing</w:t>
            </w:r>
          </w:p>
        </w:tc>
        <w:tc>
          <w:tcPr>
            <w:tcW w:w="4014" w:type="dxa"/>
          </w:tcPr>
          <w:p w14:paraId="500DC3E6" w14:textId="77777777" w:rsidR="00D23D2D" w:rsidRDefault="00D23D2D" w:rsidP="00D23D2D">
            <w:pPr>
              <w:pStyle w:val="TablebodyleftTables"/>
            </w:pPr>
            <w:r>
              <w:t>Averaged no. of days/shifts lost per workers’ compensation claim for mental injury</w:t>
            </w:r>
          </w:p>
        </w:tc>
        <w:tc>
          <w:tcPr>
            <w:tcW w:w="1278" w:type="dxa"/>
          </w:tcPr>
          <w:p w14:paraId="3B212447" w14:textId="77777777" w:rsidR="00D23D2D" w:rsidRDefault="00D23D2D" w:rsidP="00D23D2D">
            <w:pPr>
              <w:pStyle w:val="TablebodyleftTables"/>
              <w:jc w:val="right"/>
            </w:pPr>
            <w:r>
              <w:t>60.50</w:t>
            </w:r>
          </w:p>
        </w:tc>
        <w:tc>
          <w:tcPr>
            <w:tcW w:w="1246" w:type="dxa"/>
          </w:tcPr>
          <w:p w14:paraId="01797A7C" w14:textId="77777777" w:rsidR="00D23D2D" w:rsidRDefault="00D23D2D" w:rsidP="00D23D2D">
            <w:pPr>
              <w:pStyle w:val="TablebodyleftTables"/>
              <w:jc w:val="right"/>
            </w:pPr>
            <w:r>
              <w:t>95.6</w:t>
            </w:r>
          </w:p>
        </w:tc>
        <w:tc>
          <w:tcPr>
            <w:tcW w:w="1191" w:type="dxa"/>
          </w:tcPr>
          <w:p w14:paraId="2C5C8D7D" w14:textId="77777777" w:rsidR="00D23D2D" w:rsidRDefault="00D23D2D" w:rsidP="00D23D2D">
            <w:pPr>
              <w:pStyle w:val="TablebodyleftTables"/>
              <w:jc w:val="right"/>
            </w:pPr>
            <w:r>
              <w:t>174.1</w:t>
            </w:r>
          </w:p>
        </w:tc>
      </w:tr>
      <w:tr w:rsidR="00D23D2D" w:rsidRPr="00B02873" w14:paraId="2A65C711" w14:textId="77777777" w:rsidTr="00AF33D3">
        <w:trPr>
          <w:trHeight w:val="60"/>
        </w:trPr>
        <w:tc>
          <w:tcPr>
            <w:tcW w:w="2052" w:type="dxa"/>
          </w:tcPr>
          <w:p w14:paraId="7CBCE09C" w14:textId="0E8B63FB" w:rsidR="00D23D2D" w:rsidRPr="00B02873" w:rsidRDefault="00AF33D3" w:rsidP="00D23D2D">
            <w:pPr>
              <w:pStyle w:val="TablebodyleftTables"/>
              <w:rPr>
                <w:rFonts w:ascii="VIC" w:hAnsi="VIC" w:cs="Times New Roman"/>
              </w:rPr>
            </w:pPr>
            <w:r>
              <w:t>Mental health and wellbeing</w:t>
            </w:r>
          </w:p>
        </w:tc>
        <w:tc>
          <w:tcPr>
            <w:tcW w:w="4014" w:type="dxa"/>
          </w:tcPr>
          <w:p w14:paraId="7501A932" w14:textId="148744D1" w:rsidR="00D23D2D" w:rsidRDefault="00D23D2D" w:rsidP="00D23D2D">
            <w:pPr>
              <w:pStyle w:val="TablebodyleftTables"/>
            </w:pPr>
            <w:r>
              <w:t xml:space="preserve">Staff appointed and trained as peer support officers </w:t>
            </w:r>
          </w:p>
        </w:tc>
        <w:tc>
          <w:tcPr>
            <w:tcW w:w="1278" w:type="dxa"/>
          </w:tcPr>
          <w:p w14:paraId="5BC4CBFD" w14:textId="77777777" w:rsidR="00D23D2D" w:rsidRDefault="00D23D2D" w:rsidP="00D23D2D">
            <w:pPr>
              <w:pStyle w:val="TablebodyleftTables"/>
              <w:jc w:val="right"/>
            </w:pPr>
            <w:r>
              <w:t>80</w:t>
            </w:r>
          </w:p>
        </w:tc>
        <w:tc>
          <w:tcPr>
            <w:tcW w:w="1246" w:type="dxa"/>
          </w:tcPr>
          <w:p w14:paraId="27D2873F" w14:textId="77777777" w:rsidR="00D23D2D" w:rsidRDefault="00D23D2D" w:rsidP="00D23D2D">
            <w:pPr>
              <w:pStyle w:val="TablebodyleftTables"/>
              <w:jc w:val="right"/>
            </w:pPr>
            <w:r>
              <w:t>84</w:t>
            </w:r>
          </w:p>
        </w:tc>
        <w:tc>
          <w:tcPr>
            <w:tcW w:w="1191" w:type="dxa"/>
          </w:tcPr>
          <w:p w14:paraId="529B49A9" w14:textId="77777777" w:rsidR="00D23D2D" w:rsidRDefault="00D23D2D" w:rsidP="00D23D2D">
            <w:pPr>
              <w:pStyle w:val="TablebodyleftTables"/>
              <w:jc w:val="right"/>
            </w:pPr>
            <w:r>
              <w:t>103</w:t>
            </w:r>
          </w:p>
        </w:tc>
      </w:tr>
    </w:tbl>
    <w:p w14:paraId="1B7EC797" w14:textId="77777777" w:rsidR="00B02873" w:rsidRPr="00AF33D3" w:rsidRDefault="00B02873" w:rsidP="000D2CDA">
      <w:pPr>
        <w:pStyle w:val="SourceNote"/>
        <w:spacing w:after="120"/>
        <w:rPr>
          <w:b/>
          <w:bCs/>
        </w:rPr>
      </w:pPr>
      <w:r w:rsidRPr="00AF33D3">
        <w:rPr>
          <w:b/>
          <w:bCs/>
        </w:rPr>
        <w:t>Footnotes:</w:t>
      </w:r>
    </w:p>
    <w:p w14:paraId="69BBAF24" w14:textId="77777777" w:rsidR="00B02873" w:rsidRDefault="00B02873" w:rsidP="00D0486F">
      <w:pPr>
        <w:pStyle w:val="SourceNotenumbereda"/>
        <w:numPr>
          <w:ilvl w:val="0"/>
          <w:numId w:val="95"/>
        </w:numPr>
      </w:pPr>
      <w:r>
        <w:t xml:space="preserve">Data sourced from DELWP’s incident and hazard reporting system, POSSUM, and includes all incidents, including COVID-19 related incidents. </w:t>
      </w:r>
    </w:p>
    <w:p w14:paraId="603AD643" w14:textId="77777777" w:rsidR="00B02873" w:rsidRDefault="00B02873" w:rsidP="00D0486F">
      <w:pPr>
        <w:pStyle w:val="SourceNotenumbereda"/>
      </w:pPr>
      <w:r>
        <w:t xml:space="preserve">Figure has been revised from what was reported in 2020-21. The number of incidents reported within a financial year can change due to delays in reporting of incidents. </w:t>
      </w:r>
    </w:p>
    <w:p w14:paraId="4C3AAE8B" w14:textId="77777777" w:rsidR="00B02873" w:rsidRDefault="00B02873" w:rsidP="00D0486F">
      <w:pPr>
        <w:pStyle w:val="SourceNotenumbereda"/>
      </w:pPr>
      <w:r>
        <w:t>New metric for 2021-22. Represents the total number of incidents excluding COVID-19 positive cases reported in line with departmental reporting requirements and is a subset of the total number of incidents reported.</w:t>
      </w:r>
    </w:p>
    <w:p w14:paraId="0246DB0C" w14:textId="3E3B66BB" w:rsidR="00B02873" w:rsidRPr="00AF33D3" w:rsidRDefault="00B02873" w:rsidP="00D0486F">
      <w:pPr>
        <w:pStyle w:val="SourceNotenumbereda"/>
      </w:pPr>
      <w:r w:rsidRPr="00AF33D3">
        <w:t xml:space="preserve">Figure has been revised. The number of incidents reported within a financial year can change due to delays in reporting of incidents. </w:t>
      </w:r>
    </w:p>
    <w:p w14:paraId="734E18F3" w14:textId="77777777" w:rsidR="00B02873" w:rsidRDefault="00B02873" w:rsidP="00D0486F">
      <w:pPr>
        <w:pStyle w:val="SourceNotenumbereda"/>
      </w:pPr>
      <w:r>
        <w:t>Excludes COVID-19 related incidents where there was self-reporting that further medical treatment was required.</w:t>
      </w:r>
    </w:p>
    <w:p w14:paraId="162007F6" w14:textId="77777777" w:rsidR="00B02873" w:rsidRDefault="00B02873" w:rsidP="00D0486F">
      <w:pPr>
        <w:pStyle w:val="SourceNotenumbereda"/>
      </w:pPr>
      <w:r>
        <w:t xml:space="preserve">Excludes COVID-19 related incidents when calculating the percentage of incidents reported. </w:t>
      </w:r>
    </w:p>
    <w:p w14:paraId="65DE1F23" w14:textId="77777777" w:rsidR="00B02873" w:rsidRDefault="00B02873" w:rsidP="00D0486F">
      <w:pPr>
        <w:pStyle w:val="SourceNotenumbereda"/>
      </w:pPr>
      <w:r>
        <w:t>Data is sourced from the Victorian WorkCover Authority. Rates are based on FTE counts as at 30 June. This excludes external contractors/consultants and temporary staff employed by employment agencies.</w:t>
      </w:r>
    </w:p>
    <w:p w14:paraId="694E37A3" w14:textId="77777777" w:rsidR="00AF33D3" w:rsidRDefault="00B02873" w:rsidP="00D0486F">
      <w:pPr>
        <w:pStyle w:val="SourceNotenumbereda"/>
      </w:pPr>
      <w:r>
        <w:lastRenderedPageBreak/>
        <w:t>Figures have been revised. The number of standard claims reported can change due the fact that an injured worker may have returned to work early. In addition to this, a minor claim reported in one year can also be reclassified to a standard claim due to medical costs or compensation for lost time.</w:t>
      </w:r>
    </w:p>
    <w:p w14:paraId="3E0914A8" w14:textId="434C8319" w:rsidR="00B02873" w:rsidRDefault="00B02873" w:rsidP="00D0486F">
      <w:pPr>
        <w:pStyle w:val="SourceNotenumbereda"/>
      </w:pPr>
      <w:r>
        <w:t>Figures have been revised. Statistics relating to claims including days lost or average costs of claims are calculated based on the financial year they occur and include statistical claims estimate as well as the actual cost of the claim. Claims from previous reporting periods that remain open will continue to affect statistics reported for the financial year in which they occurred.</w:t>
      </w:r>
    </w:p>
    <w:p w14:paraId="7D6A4FBD" w14:textId="77777777" w:rsidR="00B02873" w:rsidRDefault="00B02873" w:rsidP="00D0486F">
      <w:pPr>
        <w:pStyle w:val="SourceNotenumbereda"/>
      </w:pPr>
      <w:r>
        <w:t>This metric reports on the total number of Safety and Wellbeing Advisor system reviews undertaken for the year.</w:t>
      </w:r>
    </w:p>
    <w:p w14:paraId="7281F646" w14:textId="77777777" w:rsidR="00B02873" w:rsidRDefault="00B02873" w:rsidP="00D0486F">
      <w:pPr>
        <w:pStyle w:val="SourceNotenumbereda"/>
      </w:pPr>
      <w:r>
        <w:t>The department does not have a mechanism to record the completion rate of ‘training’ undertaken by contractors, temporary staff and visitors but the department does provide induction to contractors, temporary staff and visitors.</w:t>
      </w:r>
    </w:p>
    <w:p w14:paraId="7ED1DBEE" w14:textId="77777777" w:rsidR="00B02873" w:rsidRDefault="00B02873" w:rsidP="00D0486F">
      <w:pPr>
        <w:pStyle w:val="SourceNotenumbereda"/>
      </w:pPr>
      <w:r>
        <w:t>The department does not deliver specific training on how to report incidents and injuries. Information about the ‘incident and hazard’ reporting system, POSSUM is included within induction.</w:t>
      </w:r>
    </w:p>
    <w:p w14:paraId="53EF2715" w14:textId="77777777" w:rsidR="00B02873" w:rsidRDefault="00B02873" w:rsidP="00D0486F">
      <w:pPr>
        <w:pStyle w:val="SourceNotenumbereda"/>
      </w:pPr>
      <w:r>
        <w:t>Rates include fixed term employees, ongoing employees and Project Fire Fighters.</w:t>
      </w:r>
    </w:p>
    <w:p w14:paraId="18BB2095" w14:textId="77777777" w:rsidR="00B02873" w:rsidRDefault="00B02873" w:rsidP="00D0486F">
      <w:pPr>
        <w:pStyle w:val="SourceNotenumbereda"/>
      </w:pPr>
      <w:r>
        <w:t>Rates include fixed term and ongoing employees only. Project Fire Fighters have been excluded from this metric.</w:t>
      </w:r>
    </w:p>
    <w:p w14:paraId="5DDDA056" w14:textId="77777777" w:rsidR="00B02873" w:rsidRDefault="00B02873" w:rsidP="00D0486F">
      <w:pPr>
        <w:pStyle w:val="SourceNotenumbereda"/>
      </w:pPr>
      <w:r>
        <w:t>Figure has been revised. The 2020 data point refers to the People Matter Wellbeing Survey conducted in October 2020. The People Matter Survey did not occur in May 2020 due to the impact of COVID-19.</w:t>
      </w:r>
    </w:p>
    <w:p w14:paraId="1A5CE387" w14:textId="77777777" w:rsidR="00B02873" w:rsidRDefault="00B02873" w:rsidP="00D0486F">
      <w:pPr>
        <w:pStyle w:val="SourceNotenumbereda"/>
      </w:pPr>
      <w:r>
        <w:t>This metric reports the average of payments including estimates of future costs for all claims made in the 12-month period to 30 June each year, where the employer has paid the time loss excess (10 days of earnings).</w:t>
      </w:r>
    </w:p>
    <w:p w14:paraId="70888C94" w14:textId="77777777" w:rsidR="00B02873" w:rsidRDefault="00B02873" w:rsidP="007E64A0">
      <w:pPr>
        <w:pStyle w:val="Heading2"/>
        <w:pageBreakBefore/>
      </w:pPr>
      <w:bookmarkStart w:id="85" w:name="_Ref116904530"/>
      <w:bookmarkStart w:id="86" w:name="_Toc117447369"/>
      <w:r>
        <w:lastRenderedPageBreak/>
        <w:t>Appendix 4: Budget portfolio outcomes</w:t>
      </w:r>
      <w:bookmarkEnd w:id="85"/>
      <w:bookmarkEnd w:id="86"/>
    </w:p>
    <w:p w14:paraId="4185F690" w14:textId="77777777" w:rsidR="00B02873" w:rsidRDefault="00B02873" w:rsidP="00FE198A">
      <w:r>
        <w:t xml:space="preserve">The budget portfolio outcomes provide a comparison between the actual financial statements of DELWP, and the forecast financial information published in </w:t>
      </w:r>
      <w:r w:rsidRPr="007E64A0">
        <w:rPr>
          <w:rStyle w:val="LightItalic"/>
          <w:rFonts w:asciiTheme="minorHAnsi" w:hAnsiTheme="minorHAnsi" w:cstheme="minorHAnsi"/>
        </w:rPr>
        <w:t>Budget Paper No.5 2021-22 Statement of Finances (BP5)</w:t>
      </w:r>
      <w:r w:rsidRPr="007E64A0">
        <w:rPr>
          <w:rFonts w:asciiTheme="minorHAnsi" w:hAnsiTheme="minorHAnsi" w:cstheme="minorHAnsi"/>
        </w:rPr>
        <w:t>.</w:t>
      </w:r>
      <w:r>
        <w:t xml:space="preserve"> </w:t>
      </w:r>
    </w:p>
    <w:p w14:paraId="4B50C243" w14:textId="77777777" w:rsidR="00B02873" w:rsidRDefault="00B02873" w:rsidP="00FE198A">
      <w:r>
        <w:t xml:space="preserve">The budget portfolio outcomes comprise the comprehensive operating statement, balance sheet, statement of cash flows, statement of changes in equity, and administered items statement for the full financial year 2021-22. </w:t>
      </w:r>
    </w:p>
    <w:p w14:paraId="743956E8" w14:textId="77777777" w:rsidR="00B02873" w:rsidRPr="007E64A0" w:rsidRDefault="00B02873" w:rsidP="00FE198A">
      <w:r>
        <w:t>Financial transactions and balances are classified into either controlled or administered categories as agreed with the Treasurer in the context of the published statements in BP5. The budget portfolio outcome statements are not subject to audit by the Victorian Auditor-General’s Office (VAGO)</w:t>
      </w:r>
      <w:r w:rsidRPr="00DE1FCE">
        <w:rPr>
          <w:rStyle w:val="LightItalic"/>
          <w:rFonts w:ascii="Arial" w:hAnsi="Arial"/>
        </w:rPr>
        <w:t>.</w:t>
      </w:r>
    </w:p>
    <w:p w14:paraId="56C808ED" w14:textId="77777777" w:rsidR="00B02873" w:rsidRDefault="00B02873" w:rsidP="007E64A0">
      <w:pPr>
        <w:pStyle w:val="Heading3"/>
      </w:pPr>
      <w:r>
        <w:t>Financial performance – operating statement</w:t>
      </w:r>
    </w:p>
    <w:p w14:paraId="530B55AC" w14:textId="3E0E8A9C" w:rsidR="00B02873" w:rsidRDefault="00B02873" w:rsidP="00FE198A">
      <w:r>
        <w:t>In 2021-22, the portfolio recorded an operating surplus of $132 million compared with a 2021-22 published budgeted deficit of $3 million.</w:t>
      </w:r>
      <w:r w:rsidR="00012C04">
        <w:t xml:space="preserve"> </w:t>
      </w:r>
      <w:r>
        <w:t>The variance between the budgeted deficit and actual surplus is mainly related to an increase in revenue in the Municipal and Industrial Waste Levy from increased rates and income from financial instruments related department contracts that were designed to bring forward investment in renewable energy generation, to support the achievement of Victoria’s renewable energy targets. This has been partially offset by an increase in grants expense for financial instruments related to the department’s renewable energy generation contracts, grants associated with the department’s flood and storm recovery efforts and grants to deliver the Commonwealth funded Sustainable Rural Water Use and Infrastructure Development program.</w:t>
      </w:r>
    </w:p>
    <w:p w14:paraId="74E27EB3" w14:textId="77777777" w:rsidR="00B02873" w:rsidRDefault="00B02873" w:rsidP="007E64A0">
      <w:pPr>
        <w:pStyle w:val="Heading3"/>
      </w:pPr>
      <w:r>
        <w:t>Financial position – balance sheet</w:t>
      </w:r>
    </w:p>
    <w:p w14:paraId="3023835A" w14:textId="412C768A" w:rsidR="00B02873" w:rsidRDefault="00B02873" w:rsidP="00FE198A">
      <w:r>
        <w:t>Total assets are $1,656 million higher than the published budget. This is mostly attributed to the change in value of property, plant and equipment resulting from the increase in land values due to the annual fair value assessment, first-time recognition of Crown land and the revaluation of derivative financial instruments based on electricity pricing forecasts. Total liabilities are $168 million higher than the published budget. This is mainly due to provisions for compulsory land acquisitions under the Suburban Parks program.</w:t>
      </w:r>
      <w:r w:rsidR="00012C04">
        <w:t xml:space="preserve"> </w:t>
      </w:r>
    </w:p>
    <w:p w14:paraId="5D72E3F1" w14:textId="77777777" w:rsidR="00B02873" w:rsidRDefault="00B02873" w:rsidP="007E64A0">
      <w:pPr>
        <w:pStyle w:val="Heading3"/>
      </w:pPr>
      <w:r>
        <w:t>Cash flows</w:t>
      </w:r>
    </w:p>
    <w:p w14:paraId="1B9F82FF" w14:textId="77777777" w:rsidR="00B02873" w:rsidRDefault="00B02873" w:rsidP="00FE198A">
      <w:r>
        <w:t xml:space="preserve">The overall cash position at the end of the 2021-22 financial year is $1,070 million, which is $231 million lower than the published budget for 2021-22. </w:t>
      </w:r>
    </w:p>
    <w:p w14:paraId="5171406F" w14:textId="77777777" w:rsidR="00B02873" w:rsidRDefault="00B02873" w:rsidP="007E64A0">
      <w:pPr>
        <w:pStyle w:val="Heading3"/>
      </w:pPr>
      <w:r>
        <w:t>Administered items statement</w:t>
      </w:r>
    </w:p>
    <w:p w14:paraId="00C1CD53" w14:textId="220FE033" w:rsidR="00B02873" w:rsidRDefault="00B02873" w:rsidP="00FE198A">
      <w:r>
        <w:t>The department administers expenses on behalf of the state relating to Victoria’s share of the Murray Darling Basin Authority’s operating costs.</w:t>
      </w:r>
    </w:p>
    <w:p w14:paraId="25EEAB51" w14:textId="77777777" w:rsidR="00B02873" w:rsidRDefault="00B02873" w:rsidP="00FE198A">
      <w:r>
        <w:t>The department’s administered income primarily comprises contributions to the Victorian Desalination Plant and the Goulburn-Murray Water Connections Project, the Environmental Contribution Levy and Consolidated Fund revenue collected by Land Use Victoria.</w:t>
      </w:r>
    </w:p>
    <w:p w14:paraId="502F04D0" w14:textId="77777777" w:rsidR="00B02873" w:rsidRDefault="00B02873" w:rsidP="00FE198A">
      <w:r>
        <w:t>The net result administered by the department on behalf of the state is $61 million higher than published budget primarily due to higher than anticipated Land Registry Services revenue, partially offset by higher contractual payments to the private operator associated with the additional revenue received and a change in funding profile for the Victorian Desalination Plant.</w:t>
      </w:r>
    </w:p>
    <w:p w14:paraId="36D8825B" w14:textId="77777777" w:rsidR="00B02873" w:rsidRDefault="00B02873" w:rsidP="00FE198A">
      <w:r>
        <w:t>Detailed financial results for the 2021-22 portfolio budget and actual results are included in the following pages.</w:t>
      </w:r>
    </w:p>
    <w:p w14:paraId="4825C79D" w14:textId="77777777" w:rsidR="00B02873" w:rsidRDefault="00B02873" w:rsidP="00DE3776">
      <w:pPr>
        <w:pStyle w:val="TabletitleTables"/>
      </w:pPr>
      <w:r>
        <w:lastRenderedPageBreak/>
        <w:t>Table 1. Operating statement for the financial year ended 30 June 2022</w:t>
      </w:r>
    </w:p>
    <w:tbl>
      <w:tblPr>
        <w:tblStyle w:val="TableGrid"/>
        <w:tblW w:w="0" w:type="auto"/>
        <w:tblLayout w:type="fixed"/>
        <w:tblLook w:val="0020" w:firstRow="1" w:lastRow="0" w:firstColumn="0" w:lastColumn="0" w:noHBand="0" w:noVBand="0"/>
      </w:tblPr>
      <w:tblGrid>
        <w:gridCol w:w="3685"/>
        <w:gridCol w:w="1191"/>
        <w:gridCol w:w="1190"/>
        <w:gridCol w:w="1191"/>
        <w:gridCol w:w="1190"/>
        <w:gridCol w:w="1171"/>
      </w:tblGrid>
      <w:tr w:rsidR="00B02873" w:rsidRPr="00B02873" w14:paraId="417D010C" w14:textId="77777777" w:rsidTr="00DE3776">
        <w:trPr>
          <w:cnfStyle w:val="100000000000" w:firstRow="1" w:lastRow="0" w:firstColumn="0" w:lastColumn="0" w:oddVBand="0" w:evenVBand="0" w:oddHBand="0" w:evenHBand="0" w:firstRowFirstColumn="0" w:firstRowLastColumn="0" w:lastRowFirstColumn="0" w:lastRowLastColumn="0"/>
          <w:trHeight w:val="60"/>
          <w:tblHeader/>
        </w:trPr>
        <w:tc>
          <w:tcPr>
            <w:tcW w:w="3685" w:type="dxa"/>
          </w:tcPr>
          <w:p w14:paraId="6C67B7C9" w14:textId="77777777" w:rsidR="00B02873" w:rsidRPr="00B02873" w:rsidRDefault="00B02873" w:rsidP="00DE3776">
            <w:pPr>
              <w:pStyle w:val="TableheadingleftTables"/>
            </w:pPr>
          </w:p>
        </w:tc>
        <w:tc>
          <w:tcPr>
            <w:tcW w:w="1191" w:type="dxa"/>
          </w:tcPr>
          <w:p w14:paraId="62028D7B" w14:textId="77777777" w:rsidR="00B02873" w:rsidRDefault="00B02873" w:rsidP="00DE3776">
            <w:pPr>
              <w:pStyle w:val="TableheadingleftTables"/>
              <w:jc w:val="right"/>
            </w:pPr>
            <w:r>
              <w:t>2021-22 Actual</w:t>
            </w:r>
            <w:r>
              <w:br/>
              <w:t>($ million)</w:t>
            </w:r>
          </w:p>
        </w:tc>
        <w:tc>
          <w:tcPr>
            <w:tcW w:w="1190" w:type="dxa"/>
          </w:tcPr>
          <w:p w14:paraId="16FAA471" w14:textId="77777777" w:rsidR="00B02873" w:rsidRDefault="00B02873" w:rsidP="00DE3776">
            <w:pPr>
              <w:pStyle w:val="TableheadingleftTables"/>
              <w:jc w:val="right"/>
            </w:pPr>
            <w:r>
              <w:t xml:space="preserve">2021-22 Published Budget </w:t>
            </w:r>
            <w:r>
              <w:br/>
              <w:t>($ million)</w:t>
            </w:r>
          </w:p>
        </w:tc>
        <w:tc>
          <w:tcPr>
            <w:tcW w:w="1191" w:type="dxa"/>
          </w:tcPr>
          <w:p w14:paraId="28834716" w14:textId="77777777" w:rsidR="00B02873" w:rsidRDefault="00B02873" w:rsidP="00DE3776">
            <w:pPr>
              <w:pStyle w:val="TableheadingleftTables"/>
              <w:jc w:val="right"/>
            </w:pPr>
            <w:r>
              <w:t xml:space="preserve">Variance </w:t>
            </w:r>
            <w:r>
              <w:br/>
              <w:t>($ million)</w:t>
            </w:r>
          </w:p>
        </w:tc>
        <w:tc>
          <w:tcPr>
            <w:tcW w:w="1190" w:type="dxa"/>
          </w:tcPr>
          <w:p w14:paraId="4F4AEE22" w14:textId="77777777" w:rsidR="00B02873" w:rsidRDefault="00B02873" w:rsidP="00DE3776">
            <w:pPr>
              <w:pStyle w:val="TableheadingleftTables"/>
              <w:jc w:val="right"/>
            </w:pPr>
            <w:r>
              <w:t xml:space="preserve">Variance </w:t>
            </w:r>
            <w:r>
              <w:br/>
              <w:t>(%)</w:t>
            </w:r>
          </w:p>
        </w:tc>
        <w:tc>
          <w:tcPr>
            <w:tcW w:w="1171" w:type="dxa"/>
          </w:tcPr>
          <w:p w14:paraId="089E71B6" w14:textId="77777777" w:rsidR="00B02873" w:rsidRDefault="00B02873" w:rsidP="00DE3776">
            <w:pPr>
              <w:pStyle w:val="TableheadingleftTables"/>
              <w:jc w:val="right"/>
            </w:pPr>
            <w:r>
              <w:t>Variance</w:t>
            </w:r>
            <w:r>
              <w:br/>
              <w:t>Notes</w:t>
            </w:r>
          </w:p>
        </w:tc>
      </w:tr>
      <w:tr w:rsidR="00B02873" w:rsidRPr="007B509E" w14:paraId="46537AEF" w14:textId="77777777" w:rsidTr="00DE3776">
        <w:trPr>
          <w:trHeight w:val="60"/>
        </w:trPr>
        <w:tc>
          <w:tcPr>
            <w:tcW w:w="3685" w:type="dxa"/>
          </w:tcPr>
          <w:p w14:paraId="739E1075" w14:textId="77777777" w:rsidR="00B02873" w:rsidRPr="007B509E" w:rsidRDefault="00B02873" w:rsidP="00DE3776">
            <w:pPr>
              <w:pStyle w:val="TablebodyleftTables"/>
              <w:rPr>
                <w:b/>
                <w:bCs/>
              </w:rPr>
            </w:pPr>
            <w:r w:rsidRPr="007B509E">
              <w:rPr>
                <w:b/>
                <w:bCs/>
              </w:rPr>
              <w:t>Net result from continuing operations</w:t>
            </w:r>
          </w:p>
        </w:tc>
        <w:tc>
          <w:tcPr>
            <w:tcW w:w="1191" w:type="dxa"/>
          </w:tcPr>
          <w:p w14:paraId="11EA5650" w14:textId="77777777" w:rsidR="00B02873" w:rsidRPr="007B509E" w:rsidRDefault="00B02873" w:rsidP="00DE3776">
            <w:pPr>
              <w:pStyle w:val="TablebodyleftTables"/>
              <w:jc w:val="right"/>
              <w:rPr>
                <w:rFonts w:cs="Times New Roman"/>
                <w:b/>
                <w:bCs/>
              </w:rPr>
            </w:pPr>
          </w:p>
        </w:tc>
        <w:tc>
          <w:tcPr>
            <w:tcW w:w="1190" w:type="dxa"/>
          </w:tcPr>
          <w:p w14:paraId="65FDEDA3" w14:textId="77777777" w:rsidR="00B02873" w:rsidRPr="007B509E" w:rsidRDefault="00B02873" w:rsidP="00DE3776">
            <w:pPr>
              <w:pStyle w:val="TablebodyleftTables"/>
              <w:jc w:val="right"/>
              <w:rPr>
                <w:rFonts w:cs="Times New Roman"/>
                <w:b/>
                <w:bCs/>
              </w:rPr>
            </w:pPr>
          </w:p>
        </w:tc>
        <w:tc>
          <w:tcPr>
            <w:tcW w:w="1191" w:type="dxa"/>
          </w:tcPr>
          <w:p w14:paraId="5992775B" w14:textId="77777777" w:rsidR="00B02873" w:rsidRPr="007B509E" w:rsidRDefault="00B02873" w:rsidP="00DE3776">
            <w:pPr>
              <w:pStyle w:val="TablebodyleftTables"/>
              <w:jc w:val="right"/>
              <w:rPr>
                <w:rFonts w:cs="Times New Roman"/>
                <w:b/>
                <w:bCs/>
              </w:rPr>
            </w:pPr>
          </w:p>
        </w:tc>
        <w:tc>
          <w:tcPr>
            <w:tcW w:w="1190" w:type="dxa"/>
          </w:tcPr>
          <w:p w14:paraId="62F9C289" w14:textId="77777777" w:rsidR="00B02873" w:rsidRPr="007B509E" w:rsidRDefault="00B02873" w:rsidP="00DE3776">
            <w:pPr>
              <w:pStyle w:val="TablebodyleftTables"/>
              <w:jc w:val="right"/>
              <w:rPr>
                <w:rFonts w:cs="Times New Roman"/>
                <w:b/>
                <w:bCs/>
              </w:rPr>
            </w:pPr>
          </w:p>
        </w:tc>
        <w:tc>
          <w:tcPr>
            <w:tcW w:w="1171" w:type="dxa"/>
          </w:tcPr>
          <w:p w14:paraId="22A8F1DD" w14:textId="77777777" w:rsidR="00B02873" w:rsidRPr="007B509E" w:rsidRDefault="00B02873" w:rsidP="00DE3776">
            <w:pPr>
              <w:pStyle w:val="TablebodyleftTables"/>
              <w:jc w:val="right"/>
              <w:rPr>
                <w:rFonts w:cs="Times New Roman"/>
                <w:b/>
                <w:bCs/>
              </w:rPr>
            </w:pPr>
          </w:p>
        </w:tc>
      </w:tr>
      <w:tr w:rsidR="00B02873" w:rsidRPr="007B509E" w14:paraId="22D18588" w14:textId="77777777" w:rsidTr="00DE3776">
        <w:trPr>
          <w:trHeight w:val="60"/>
        </w:trPr>
        <w:tc>
          <w:tcPr>
            <w:tcW w:w="3685" w:type="dxa"/>
          </w:tcPr>
          <w:p w14:paraId="0B9FFFE4" w14:textId="77777777" w:rsidR="00B02873" w:rsidRPr="007B509E" w:rsidRDefault="00B02873" w:rsidP="00DE3776">
            <w:pPr>
              <w:pStyle w:val="TablebodyleftTables"/>
              <w:rPr>
                <w:b/>
                <w:bCs/>
              </w:rPr>
            </w:pPr>
            <w:r w:rsidRPr="007B509E">
              <w:rPr>
                <w:b/>
                <w:bCs/>
              </w:rPr>
              <w:t>Income from transactions</w:t>
            </w:r>
          </w:p>
        </w:tc>
        <w:tc>
          <w:tcPr>
            <w:tcW w:w="1191" w:type="dxa"/>
          </w:tcPr>
          <w:p w14:paraId="142871DF" w14:textId="77777777" w:rsidR="00B02873" w:rsidRPr="007B509E" w:rsidRDefault="00B02873" w:rsidP="00DE3776">
            <w:pPr>
              <w:pStyle w:val="TablebodyleftTables"/>
              <w:jc w:val="right"/>
              <w:rPr>
                <w:rFonts w:cs="Times New Roman"/>
                <w:b/>
                <w:bCs/>
              </w:rPr>
            </w:pPr>
          </w:p>
        </w:tc>
        <w:tc>
          <w:tcPr>
            <w:tcW w:w="1190" w:type="dxa"/>
          </w:tcPr>
          <w:p w14:paraId="6EA539A5" w14:textId="77777777" w:rsidR="00B02873" w:rsidRPr="007B509E" w:rsidRDefault="00B02873" w:rsidP="00DE3776">
            <w:pPr>
              <w:pStyle w:val="TablebodyleftTables"/>
              <w:jc w:val="right"/>
              <w:rPr>
                <w:rFonts w:cs="Times New Roman"/>
                <w:b/>
                <w:bCs/>
              </w:rPr>
            </w:pPr>
          </w:p>
        </w:tc>
        <w:tc>
          <w:tcPr>
            <w:tcW w:w="1191" w:type="dxa"/>
          </w:tcPr>
          <w:p w14:paraId="53A173A3" w14:textId="77777777" w:rsidR="00B02873" w:rsidRPr="007B509E" w:rsidRDefault="00B02873" w:rsidP="00DE3776">
            <w:pPr>
              <w:pStyle w:val="TablebodyleftTables"/>
              <w:jc w:val="right"/>
              <w:rPr>
                <w:rFonts w:cs="Times New Roman"/>
                <w:b/>
                <w:bCs/>
              </w:rPr>
            </w:pPr>
          </w:p>
        </w:tc>
        <w:tc>
          <w:tcPr>
            <w:tcW w:w="1190" w:type="dxa"/>
          </w:tcPr>
          <w:p w14:paraId="73DE286D" w14:textId="77777777" w:rsidR="00B02873" w:rsidRPr="007B509E" w:rsidRDefault="00B02873" w:rsidP="00DE3776">
            <w:pPr>
              <w:pStyle w:val="TablebodyleftTables"/>
              <w:jc w:val="right"/>
              <w:rPr>
                <w:rFonts w:cs="Times New Roman"/>
                <w:b/>
                <w:bCs/>
              </w:rPr>
            </w:pPr>
          </w:p>
        </w:tc>
        <w:tc>
          <w:tcPr>
            <w:tcW w:w="1171" w:type="dxa"/>
          </w:tcPr>
          <w:p w14:paraId="2CC1D33D" w14:textId="77777777" w:rsidR="00B02873" w:rsidRPr="007B509E" w:rsidRDefault="00B02873" w:rsidP="00DE3776">
            <w:pPr>
              <w:pStyle w:val="TablebodyleftTables"/>
              <w:jc w:val="right"/>
              <w:rPr>
                <w:rFonts w:cs="Times New Roman"/>
                <w:b/>
                <w:bCs/>
              </w:rPr>
            </w:pPr>
          </w:p>
        </w:tc>
      </w:tr>
      <w:tr w:rsidR="00B02873" w:rsidRPr="007B509E" w14:paraId="415602C7" w14:textId="77777777" w:rsidTr="00DE3776">
        <w:trPr>
          <w:trHeight w:val="60"/>
        </w:trPr>
        <w:tc>
          <w:tcPr>
            <w:tcW w:w="3685" w:type="dxa"/>
          </w:tcPr>
          <w:p w14:paraId="5AFC78FD" w14:textId="77777777" w:rsidR="00B02873" w:rsidRPr="007B509E" w:rsidRDefault="00B02873" w:rsidP="00DE3776">
            <w:pPr>
              <w:pStyle w:val="TablebodyleftTables"/>
            </w:pPr>
            <w:r w:rsidRPr="007B509E">
              <w:t xml:space="preserve">Output appropriations </w:t>
            </w:r>
          </w:p>
        </w:tc>
        <w:tc>
          <w:tcPr>
            <w:tcW w:w="1191" w:type="dxa"/>
          </w:tcPr>
          <w:p w14:paraId="22BA5FCC" w14:textId="77777777" w:rsidR="00B02873" w:rsidRPr="007B509E" w:rsidRDefault="00B02873" w:rsidP="00DE3776">
            <w:pPr>
              <w:pStyle w:val="TablebodyleftTables"/>
              <w:jc w:val="right"/>
            </w:pPr>
            <w:r w:rsidRPr="007B509E">
              <w:t>2,192</w:t>
            </w:r>
          </w:p>
        </w:tc>
        <w:tc>
          <w:tcPr>
            <w:tcW w:w="1190" w:type="dxa"/>
          </w:tcPr>
          <w:p w14:paraId="62F9DF70" w14:textId="77777777" w:rsidR="00B02873" w:rsidRPr="007B509E" w:rsidRDefault="00B02873" w:rsidP="00DE3776">
            <w:pPr>
              <w:pStyle w:val="TablebodyleftTables"/>
              <w:jc w:val="right"/>
            </w:pPr>
            <w:r w:rsidRPr="007B509E">
              <w:t>2,081</w:t>
            </w:r>
          </w:p>
        </w:tc>
        <w:tc>
          <w:tcPr>
            <w:tcW w:w="1191" w:type="dxa"/>
          </w:tcPr>
          <w:p w14:paraId="26FDACB9" w14:textId="77777777" w:rsidR="00B02873" w:rsidRPr="007B509E" w:rsidRDefault="00B02873" w:rsidP="00DE3776">
            <w:pPr>
              <w:pStyle w:val="TablebodyleftTables"/>
              <w:jc w:val="right"/>
            </w:pPr>
            <w:r w:rsidRPr="007B509E">
              <w:t>111</w:t>
            </w:r>
          </w:p>
        </w:tc>
        <w:tc>
          <w:tcPr>
            <w:tcW w:w="1190" w:type="dxa"/>
          </w:tcPr>
          <w:p w14:paraId="6CD7F14C" w14:textId="77777777" w:rsidR="00B02873" w:rsidRPr="007B509E" w:rsidRDefault="00B02873" w:rsidP="00DE3776">
            <w:pPr>
              <w:pStyle w:val="TablebodyleftTables"/>
              <w:jc w:val="right"/>
            </w:pPr>
            <w:r w:rsidRPr="007B509E">
              <w:t>5%</w:t>
            </w:r>
          </w:p>
        </w:tc>
        <w:tc>
          <w:tcPr>
            <w:tcW w:w="1171" w:type="dxa"/>
          </w:tcPr>
          <w:p w14:paraId="3350E460" w14:textId="77777777" w:rsidR="00B02873" w:rsidRPr="007B509E" w:rsidRDefault="00B02873" w:rsidP="00DE3776">
            <w:pPr>
              <w:pStyle w:val="TablebodyleftTables"/>
              <w:jc w:val="right"/>
              <w:rPr>
                <w:rFonts w:cs="Times New Roman"/>
              </w:rPr>
            </w:pPr>
          </w:p>
        </w:tc>
      </w:tr>
      <w:tr w:rsidR="00B02873" w:rsidRPr="007B509E" w14:paraId="664461B8" w14:textId="77777777" w:rsidTr="00DE3776">
        <w:trPr>
          <w:trHeight w:val="60"/>
        </w:trPr>
        <w:tc>
          <w:tcPr>
            <w:tcW w:w="3685" w:type="dxa"/>
          </w:tcPr>
          <w:p w14:paraId="1BB56636" w14:textId="77777777" w:rsidR="00B02873" w:rsidRPr="007B509E" w:rsidRDefault="00B02873" w:rsidP="00DE3776">
            <w:pPr>
              <w:pStyle w:val="TablebodyleftTables"/>
            </w:pPr>
            <w:r w:rsidRPr="007B509E">
              <w:t xml:space="preserve">Special appropriation </w:t>
            </w:r>
          </w:p>
        </w:tc>
        <w:tc>
          <w:tcPr>
            <w:tcW w:w="1191" w:type="dxa"/>
          </w:tcPr>
          <w:p w14:paraId="191ED7E6" w14:textId="77777777" w:rsidR="00B02873" w:rsidRPr="007B509E" w:rsidRDefault="00B02873" w:rsidP="00DE3776">
            <w:pPr>
              <w:pStyle w:val="TablebodyleftTables"/>
              <w:jc w:val="right"/>
            </w:pPr>
            <w:r w:rsidRPr="007B509E">
              <w:t>182</w:t>
            </w:r>
          </w:p>
        </w:tc>
        <w:tc>
          <w:tcPr>
            <w:tcW w:w="1190" w:type="dxa"/>
          </w:tcPr>
          <w:p w14:paraId="4F4D4176" w14:textId="77777777" w:rsidR="00B02873" w:rsidRPr="007B509E" w:rsidRDefault="00B02873" w:rsidP="00DE3776">
            <w:pPr>
              <w:pStyle w:val="TablebodyleftTables"/>
              <w:jc w:val="right"/>
            </w:pPr>
            <w:r w:rsidRPr="007B509E">
              <w:t>182</w:t>
            </w:r>
          </w:p>
        </w:tc>
        <w:tc>
          <w:tcPr>
            <w:tcW w:w="1191" w:type="dxa"/>
          </w:tcPr>
          <w:p w14:paraId="61D51A77" w14:textId="77777777" w:rsidR="00B02873" w:rsidRPr="007B509E" w:rsidRDefault="00B02873" w:rsidP="00DE3776">
            <w:pPr>
              <w:pStyle w:val="TablebodyleftTables"/>
              <w:jc w:val="right"/>
            </w:pPr>
            <w:r w:rsidRPr="007B509E">
              <w:t>0</w:t>
            </w:r>
          </w:p>
        </w:tc>
        <w:tc>
          <w:tcPr>
            <w:tcW w:w="1190" w:type="dxa"/>
          </w:tcPr>
          <w:p w14:paraId="476535D3" w14:textId="77777777" w:rsidR="00B02873" w:rsidRPr="007B509E" w:rsidRDefault="00B02873" w:rsidP="00DE3776">
            <w:pPr>
              <w:pStyle w:val="TablebodyleftTables"/>
              <w:jc w:val="right"/>
            </w:pPr>
            <w:r w:rsidRPr="007B509E">
              <w:t>0%</w:t>
            </w:r>
          </w:p>
        </w:tc>
        <w:tc>
          <w:tcPr>
            <w:tcW w:w="1171" w:type="dxa"/>
          </w:tcPr>
          <w:p w14:paraId="10CEBD64" w14:textId="77777777" w:rsidR="00B02873" w:rsidRPr="007B509E" w:rsidRDefault="00B02873" w:rsidP="00DE3776">
            <w:pPr>
              <w:pStyle w:val="TablebodyleftTables"/>
              <w:jc w:val="right"/>
              <w:rPr>
                <w:rFonts w:cs="Times New Roman"/>
              </w:rPr>
            </w:pPr>
          </w:p>
        </w:tc>
      </w:tr>
      <w:tr w:rsidR="00B02873" w:rsidRPr="00B02873" w14:paraId="1E3C6A28" w14:textId="77777777" w:rsidTr="00DE3776">
        <w:trPr>
          <w:trHeight w:val="60"/>
        </w:trPr>
        <w:tc>
          <w:tcPr>
            <w:tcW w:w="3685" w:type="dxa"/>
          </w:tcPr>
          <w:p w14:paraId="6865B91E" w14:textId="77777777" w:rsidR="00B02873" w:rsidRDefault="00B02873" w:rsidP="00DE3776">
            <w:pPr>
              <w:pStyle w:val="TablebodyleftTables"/>
            </w:pPr>
            <w:r>
              <w:t xml:space="preserve">Interest </w:t>
            </w:r>
          </w:p>
        </w:tc>
        <w:tc>
          <w:tcPr>
            <w:tcW w:w="1191" w:type="dxa"/>
          </w:tcPr>
          <w:p w14:paraId="217B959B" w14:textId="77777777" w:rsidR="00B02873" w:rsidRDefault="00B02873" w:rsidP="00DE3776">
            <w:pPr>
              <w:pStyle w:val="TablebodyleftTables"/>
              <w:jc w:val="right"/>
            </w:pPr>
            <w:r>
              <w:t>9</w:t>
            </w:r>
          </w:p>
        </w:tc>
        <w:tc>
          <w:tcPr>
            <w:tcW w:w="1190" w:type="dxa"/>
          </w:tcPr>
          <w:p w14:paraId="1D272FC1" w14:textId="77777777" w:rsidR="00B02873" w:rsidRDefault="00B02873" w:rsidP="00DE3776">
            <w:pPr>
              <w:pStyle w:val="TablebodyleftTables"/>
              <w:jc w:val="right"/>
            </w:pPr>
            <w:r>
              <w:t>22</w:t>
            </w:r>
          </w:p>
        </w:tc>
        <w:tc>
          <w:tcPr>
            <w:tcW w:w="1191" w:type="dxa"/>
          </w:tcPr>
          <w:p w14:paraId="035FCDCB" w14:textId="77777777" w:rsidR="00B02873" w:rsidRDefault="00B02873" w:rsidP="00DE3776">
            <w:pPr>
              <w:pStyle w:val="TablebodyleftTables"/>
              <w:jc w:val="right"/>
            </w:pPr>
            <w:r>
              <w:t>(13)</w:t>
            </w:r>
          </w:p>
        </w:tc>
        <w:tc>
          <w:tcPr>
            <w:tcW w:w="1190" w:type="dxa"/>
          </w:tcPr>
          <w:p w14:paraId="0D668D96" w14:textId="77777777" w:rsidR="00B02873" w:rsidRDefault="00B02873" w:rsidP="00DE3776">
            <w:pPr>
              <w:pStyle w:val="TablebodyleftTables"/>
              <w:jc w:val="right"/>
            </w:pPr>
            <w:r>
              <w:t>(59%)</w:t>
            </w:r>
          </w:p>
        </w:tc>
        <w:tc>
          <w:tcPr>
            <w:tcW w:w="1171" w:type="dxa"/>
          </w:tcPr>
          <w:p w14:paraId="325266BF" w14:textId="77777777" w:rsidR="00B02873" w:rsidRDefault="00B02873" w:rsidP="00DE3776">
            <w:pPr>
              <w:pStyle w:val="TablebodyleftTables"/>
              <w:jc w:val="right"/>
            </w:pPr>
            <w:r>
              <w:t>1</w:t>
            </w:r>
          </w:p>
        </w:tc>
      </w:tr>
      <w:tr w:rsidR="00B02873" w:rsidRPr="007B509E" w14:paraId="25E01500" w14:textId="77777777" w:rsidTr="00DE3776">
        <w:trPr>
          <w:trHeight w:val="60"/>
        </w:trPr>
        <w:tc>
          <w:tcPr>
            <w:tcW w:w="3685" w:type="dxa"/>
          </w:tcPr>
          <w:p w14:paraId="0EC13FED" w14:textId="77777777" w:rsidR="00B02873" w:rsidRPr="007B509E" w:rsidRDefault="00B02873" w:rsidP="00DE3776">
            <w:pPr>
              <w:pStyle w:val="TablebodyleftTables"/>
            </w:pPr>
            <w:r w:rsidRPr="007B509E">
              <w:t xml:space="preserve">Sales of goods and services </w:t>
            </w:r>
          </w:p>
        </w:tc>
        <w:tc>
          <w:tcPr>
            <w:tcW w:w="1191" w:type="dxa"/>
          </w:tcPr>
          <w:p w14:paraId="26BE0DD6" w14:textId="77777777" w:rsidR="00B02873" w:rsidRPr="007B509E" w:rsidRDefault="00B02873" w:rsidP="00DE3776">
            <w:pPr>
              <w:pStyle w:val="TablebodyleftTables"/>
              <w:jc w:val="right"/>
            </w:pPr>
            <w:r w:rsidRPr="007B509E">
              <w:t>87</w:t>
            </w:r>
          </w:p>
        </w:tc>
        <w:tc>
          <w:tcPr>
            <w:tcW w:w="1190" w:type="dxa"/>
          </w:tcPr>
          <w:p w14:paraId="6425A10F" w14:textId="77777777" w:rsidR="00B02873" w:rsidRPr="007B509E" w:rsidRDefault="00B02873" w:rsidP="00DE3776">
            <w:pPr>
              <w:pStyle w:val="TablebodyleftTables"/>
              <w:jc w:val="right"/>
            </w:pPr>
            <w:r w:rsidRPr="007B509E">
              <w:t>81</w:t>
            </w:r>
          </w:p>
        </w:tc>
        <w:tc>
          <w:tcPr>
            <w:tcW w:w="1191" w:type="dxa"/>
          </w:tcPr>
          <w:p w14:paraId="12A09FE2" w14:textId="77777777" w:rsidR="00B02873" w:rsidRPr="007B509E" w:rsidRDefault="00B02873" w:rsidP="00DE3776">
            <w:pPr>
              <w:pStyle w:val="TablebodyleftTables"/>
              <w:jc w:val="right"/>
            </w:pPr>
            <w:r w:rsidRPr="007B509E">
              <w:t>6</w:t>
            </w:r>
          </w:p>
        </w:tc>
        <w:tc>
          <w:tcPr>
            <w:tcW w:w="1190" w:type="dxa"/>
          </w:tcPr>
          <w:p w14:paraId="37225600" w14:textId="77777777" w:rsidR="00B02873" w:rsidRPr="007B509E" w:rsidRDefault="00B02873" w:rsidP="00DE3776">
            <w:pPr>
              <w:pStyle w:val="TablebodyleftTables"/>
              <w:jc w:val="right"/>
            </w:pPr>
            <w:r w:rsidRPr="007B509E">
              <w:t>7%</w:t>
            </w:r>
          </w:p>
        </w:tc>
        <w:tc>
          <w:tcPr>
            <w:tcW w:w="1171" w:type="dxa"/>
          </w:tcPr>
          <w:p w14:paraId="3B4A20FB" w14:textId="77777777" w:rsidR="00B02873" w:rsidRPr="007B509E" w:rsidRDefault="00B02873" w:rsidP="00DE3776">
            <w:pPr>
              <w:pStyle w:val="TablebodyleftTables"/>
              <w:jc w:val="right"/>
              <w:rPr>
                <w:rFonts w:cs="Times New Roman"/>
              </w:rPr>
            </w:pPr>
          </w:p>
        </w:tc>
      </w:tr>
      <w:tr w:rsidR="00B02873" w:rsidRPr="00B02873" w14:paraId="2AC88DD9" w14:textId="77777777" w:rsidTr="00DE3776">
        <w:trPr>
          <w:trHeight w:val="60"/>
        </w:trPr>
        <w:tc>
          <w:tcPr>
            <w:tcW w:w="3685" w:type="dxa"/>
          </w:tcPr>
          <w:p w14:paraId="20927658" w14:textId="77777777" w:rsidR="00B02873" w:rsidRDefault="00B02873" w:rsidP="00DE3776">
            <w:pPr>
              <w:pStyle w:val="TablebodyleftTables"/>
            </w:pPr>
            <w:r>
              <w:t xml:space="preserve">Grants </w:t>
            </w:r>
          </w:p>
        </w:tc>
        <w:tc>
          <w:tcPr>
            <w:tcW w:w="1191" w:type="dxa"/>
          </w:tcPr>
          <w:p w14:paraId="2DD2E38A" w14:textId="77777777" w:rsidR="00B02873" w:rsidRDefault="00B02873" w:rsidP="00DE3776">
            <w:pPr>
              <w:pStyle w:val="TablebodyleftTables"/>
              <w:jc w:val="right"/>
            </w:pPr>
            <w:r>
              <w:t>44</w:t>
            </w:r>
          </w:p>
        </w:tc>
        <w:tc>
          <w:tcPr>
            <w:tcW w:w="1190" w:type="dxa"/>
          </w:tcPr>
          <w:p w14:paraId="0E6FE93F" w14:textId="77777777" w:rsidR="00B02873" w:rsidRDefault="00B02873" w:rsidP="00DE3776">
            <w:pPr>
              <w:pStyle w:val="TablebodyleftTables"/>
              <w:jc w:val="right"/>
            </w:pPr>
            <w:r>
              <w:t>6</w:t>
            </w:r>
          </w:p>
        </w:tc>
        <w:tc>
          <w:tcPr>
            <w:tcW w:w="1191" w:type="dxa"/>
          </w:tcPr>
          <w:p w14:paraId="7653CDA1" w14:textId="77777777" w:rsidR="00B02873" w:rsidRDefault="00B02873" w:rsidP="00DE3776">
            <w:pPr>
              <w:pStyle w:val="TablebodyleftTables"/>
              <w:jc w:val="right"/>
            </w:pPr>
            <w:r>
              <w:t>38</w:t>
            </w:r>
          </w:p>
        </w:tc>
        <w:tc>
          <w:tcPr>
            <w:tcW w:w="1190" w:type="dxa"/>
          </w:tcPr>
          <w:p w14:paraId="08049F17" w14:textId="77777777" w:rsidR="00B02873" w:rsidRDefault="00B02873" w:rsidP="00DE3776">
            <w:pPr>
              <w:pStyle w:val="TablebodyleftTables"/>
              <w:jc w:val="right"/>
            </w:pPr>
            <w:r>
              <w:t>633%</w:t>
            </w:r>
          </w:p>
        </w:tc>
        <w:tc>
          <w:tcPr>
            <w:tcW w:w="1171" w:type="dxa"/>
          </w:tcPr>
          <w:p w14:paraId="3457E3BD" w14:textId="77777777" w:rsidR="00B02873" w:rsidRDefault="00B02873" w:rsidP="00DE3776">
            <w:pPr>
              <w:pStyle w:val="TablebodyleftTables"/>
              <w:jc w:val="right"/>
            </w:pPr>
            <w:r>
              <w:t>2</w:t>
            </w:r>
          </w:p>
        </w:tc>
      </w:tr>
      <w:tr w:rsidR="00B02873" w:rsidRPr="00B02873" w14:paraId="26B793C8" w14:textId="77777777" w:rsidTr="00DE3776">
        <w:trPr>
          <w:trHeight w:val="60"/>
        </w:trPr>
        <w:tc>
          <w:tcPr>
            <w:tcW w:w="3685" w:type="dxa"/>
          </w:tcPr>
          <w:p w14:paraId="6AF67C8B" w14:textId="77777777" w:rsidR="00B02873" w:rsidRDefault="00B02873" w:rsidP="00DE3776">
            <w:pPr>
              <w:pStyle w:val="TablebodyleftTables"/>
            </w:pPr>
            <w:r>
              <w:t xml:space="preserve">Other income </w:t>
            </w:r>
          </w:p>
        </w:tc>
        <w:tc>
          <w:tcPr>
            <w:tcW w:w="1191" w:type="dxa"/>
          </w:tcPr>
          <w:p w14:paraId="0D14E1FA" w14:textId="77777777" w:rsidR="00B02873" w:rsidRDefault="00B02873" w:rsidP="00DE3776">
            <w:pPr>
              <w:pStyle w:val="TablebodyleftTables"/>
              <w:jc w:val="right"/>
            </w:pPr>
            <w:r>
              <w:t>720</w:t>
            </w:r>
          </w:p>
        </w:tc>
        <w:tc>
          <w:tcPr>
            <w:tcW w:w="1190" w:type="dxa"/>
          </w:tcPr>
          <w:p w14:paraId="752DE27F" w14:textId="77777777" w:rsidR="00B02873" w:rsidRDefault="00B02873" w:rsidP="00DE3776">
            <w:pPr>
              <w:pStyle w:val="TablebodyleftTables"/>
              <w:jc w:val="right"/>
            </w:pPr>
            <w:r>
              <w:t>515</w:t>
            </w:r>
          </w:p>
        </w:tc>
        <w:tc>
          <w:tcPr>
            <w:tcW w:w="1191" w:type="dxa"/>
          </w:tcPr>
          <w:p w14:paraId="7C57288E" w14:textId="77777777" w:rsidR="00B02873" w:rsidRDefault="00B02873" w:rsidP="00DE3776">
            <w:pPr>
              <w:pStyle w:val="TablebodyleftTables"/>
              <w:jc w:val="right"/>
            </w:pPr>
            <w:r>
              <w:t>205</w:t>
            </w:r>
          </w:p>
        </w:tc>
        <w:tc>
          <w:tcPr>
            <w:tcW w:w="1190" w:type="dxa"/>
          </w:tcPr>
          <w:p w14:paraId="36BBCAB2" w14:textId="77777777" w:rsidR="00B02873" w:rsidRDefault="00B02873" w:rsidP="00DE3776">
            <w:pPr>
              <w:pStyle w:val="TablebodyleftTables"/>
              <w:jc w:val="right"/>
            </w:pPr>
            <w:r>
              <w:t>40%</w:t>
            </w:r>
          </w:p>
        </w:tc>
        <w:tc>
          <w:tcPr>
            <w:tcW w:w="1171" w:type="dxa"/>
          </w:tcPr>
          <w:p w14:paraId="5D5BD2EC" w14:textId="77777777" w:rsidR="00B02873" w:rsidRDefault="00B02873" w:rsidP="00DE3776">
            <w:pPr>
              <w:pStyle w:val="TablebodyleftTables"/>
              <w:jc w:val="right"/>
            </w:pPr>
            <w:r>
              <w:t>3</w:t>
            </w:r>
          </w:p>
        </w:tc>
      </w:tr>
      <w:tr w:rsidR="00B02873" w:rsidRPr="007B509E" w14:paraId="3FA79FFB" w14:textId="77777777" w:rsidTr="00DE3776">
        <w:trPr>
          <w:trHeight w:val="60"/>
        </w:trPr>
        <w:tc>
          <w:tcPr>
            <w:tcW w:w="3685" w:type="dxa"/>
          </w:tcPr>
          <w:p w14:paraId="6BAD36A5" w14:textId="77777777" w:rsidR="00B02873" w:rsidRPr="007B509E" w:rsidRDefault="00B02873" w:rsidP="00DE3776">
            <w:pPr>
              <w:pStyle w:val="TablebodyleftTables"/>
              <w:rPr>
                <w:b/>
                <w:bCs/>
              </w:rPr>
            </w:pPr>
            <w:r w:rsidRPr="007B509E">
              <w:rPr>
                <w:b/>
                <w:bCs/>
              </w:rPr>
              <w:t>Total income from transactions</w:t>
            </w:r>
          </w:p>
        </w:tc>
        <w:tc>
          <w:tcPr>
            <w:tcW w:w="1191" w:type="dxa"/>
          </w:tcPr>
          <w:p w14:paraId="6F1653B8" w14:textId="77777777" w:rsidR="00B02873" w:rsidRPr="007B509E" w:rsidRDefault="00B02873" w:rsidP="00DE3776">
            <w:pPr>
              <w:pStyle w:val="TablebodyleftTables"/>
              <w:jc w:val="right"/>
              <w:rPr>
                <w:b/>
                <w:bCs/>
              </w:rPr>
            </w:pPr>
            <w:r w:rsidRPr="007B509E">
              <w:rPr>
                <w:b/>
                <w:bCs/>
              </w:rPr>
              <w:t>3,234</w:t>
            </w:r>
          </w:p>
        </w:tc>
        <w:tc>
          <w:tcPr>
            <w:tcW w:w="1190" w:type="dxa"/>
          </w:tcPr>
          <w:p w14:paraId="4696BCBE" w14:textId="77777777" w:rsidR="00B02873" w:rsidRPr="007B509E" w:rsidRDefault="00B02873" w:rsidP="00DE3776">
            <w:pPr>
              <w:pStyle w:val="TablebodyleftTables"/>
              <w:jc w:val="right"/>
              <w:rPr>
                <w:b/>
                <w:bCs/>
              </w:rPr>
            </w:pPr>
            <w:r w:rsidRPr="007B509E">
              <w:rPr>
                <w:b/>
                <w:bCs/>
              </w:rPr>
              <w:t>2,887</w:t>
            </w:r>
          </w:p>
        </w:tc>
        <w:tc>
          <w:tcPr>
            <w:tcW w:w="1191" w:type="dxa"/>
          </w:tcPr>
          <w:p w14:paraId="1FD3AB74" w14:textId="77777777" w:rsidR="00B02873" w:rsidRPr="007B509E" w:rsidRDefault="00B02873" w:rsidP="00DE3776">
            <w:pPr>
              <w:pStyle w:val="TablebodyleftTables"/>
              <w:jc w:val="right"/>
              <w:rPr>
                <w:b/>
                <w:bCs/>
              </w:rPr>
            </w:pPr>
            <w:r w:rsidRPr="007B509E">
              <w:rPr>
                <w:b/>
                <w:bCs/>
              </w:rPr>
              <w:t>347</w:t>
            </w:r>
          </w:p>
        </w:tc>
        <w:tc>
          <w:tcPr>
            <w:tcW w:w="1190" w:type="dxa"/>
          </w:tcPr>
          <w:p w14:paraId="1665403C" w14:textId="77777777" w:rsidR="00B02873" w:rsidRPr="007B509E" w:rsidRDefault="00B02873" w:rsidP="00DE3776">
            <w:pPr>
              <w:pStyle w:val="TablebodyleftTables"/>
              <w:jc w:val="right"/>
              <w:rPr>
                <w:b/>
                <w:bCs/>
              </w:rPr>
            </w:pPr>
            <w:r w:rsidRPr="007B509E">
              <w:rPr>
                <w:b/>
                <w:bCs/>
              </w:rPr>
              <w:t>12%</w:t>
            </w:r>
          </w:p>
        </w:tc>
        <w:tc>
          <w:tcPr>
            <w:tcW w:w="1171" w:type="dxa"/>
          </w:tcPr>
          <w:p w14:paraId="455DEF06" w14:textId="77777777" w:rsidR="00B02873" w:rsidRPr="007B509E" w:rsidRDefault="00B02873" w:rsidP="00DE3776">
            <w:pPr>
              <w:pStyle w:val="TablebodyleftTables"/>
              <w:jc w:val="right"/>
              <w:rPr>
                <w:rFonts w:cs="Times New Roman"/>
                <w:b/>
                <w:bCs/>
              </w:rPr>
            </w:pPr>
          </w:p>
        </w:tc>
      </w:tr>
      <w:tr w:rsidR="00B02873" w:rsidRPr="007B509E" w14:paraId="5225A3A9" w14:textId="77777777" w:rsidTr="00DE3776">
        <w:trPr>
          <w:trHeight w:val="60"/>
        </w:trPr>
        <w:tc>
          <w:tcPr>
            <w:tcW w:w="3685" w:type="dxa"/>
          </w:tcPr>
          <w:p w14:paraId="1CB1421E" w14:textId="77777777" w:rsidR="00B02873" w:rsidRPr="007B509E" w:rsidRDefault="00B02873" w:rsidP="00DE3776">
            <w:pPr>
              <w:pStyle w:val="TablebodyleftTables"/>
              <w:rPr>
                <w:b/>
                <w:bCs/>
              </w:rPr>
            </w:pPr>
            <w:r w:rsidRPr="007B509E">
              <w:rPr>
                <w:b/>
                <w:bCs/>
              </w:rPr>
              <w:t>Expenses from transactions</w:t>
            </w:r>
          </w:p>
        </w:tc>
        <w:tc>
          <w:tcPr>
            <w:tcW w:w="1191" w:type="dxa"/>
          </w:tcPr>
          <w:p w14:paraId="57423BE2" w14:textId="77777777" w:rsidR="00B02873" w:rsidRPr="007B509E" w:rsidRDefault="00B02873" w:rsidP="00DE3776">
            <w:pPr>
              <w:pStyle w:val="TablebodyleftTables"/>
              <w:jc w:val="right"/>
              <w:rPr>
                <w:rFonts w:cs="Times New Roman"/>
              </w:rPr>
            </w:pPr>
          </w:p>
        </w:tc>
        <w:tc>
          <w:tcPr>
            <w:tcW w:w="1190" w:type="dxa"/>
          </w:tcPr>
          <w:p w14:paraId="230035C7" w14:textId="77777777" w:rsidR="00B02873" w:rsidRPr="007B509E" w:rsidRDefault="00B02873" w:rsidP="00DE3776">
            <w:pPr>
              <w:pStyle w:val="TablebodyleftTables"/>
              <w:jc w:val="right"/>
              <w:rPr>
                <w:rFonts w:cs="Times New Roman"/>
              </w:rPr>
            </w:pPr>
          </w:p>
        </w:tc>
        <w:tc>
          <w:tcPr>
            <w:tcW w:w="1191" w:type="dxa"/>
          </w:tcPr>
          <w:p w14:paraId="5A1BE39D" w14:textId="77777777" w:rsidR="00B02873" w:rsidRPr="007B509E" w:rsidRDefault="00B02873" w:rsidP="00DE3776">
            <w:pPr>
              <w:pStyle w:val="TablebodyleftTables"/>
              <w:jc w:val="right"/>
              <w:rPr>
                <w:rFonts w:cs="Times New Roman"/>
              </w:rPr>
            </w:pPr>
          </w:p>
        </w:tc>
        <w:tc>
          <w:tcPr>
            <w:tcW w:w="1190" w:type="dxa"/>
          </w:tcPr>
          <w:p w14:paraId="7AF7F372" w14:textId="77777777" w:rsidR="00B02873" w:rsidRPr="007B509E" w:rsidRDefault="00B02873" w:rsidP="00DE3776">
            <w:pPr>
              <w:pStyle w:val="TablebodyleftTables"/>
              <w:jc w:val="right"/>
              <w:rPr>
                <w:rFonts w:cs="Times New Roman"/>
              </w:rPr>
            </w:pPr>
          </w:p>
        </w:tc>
        <w:tc>
          <w:tcPr>
            <w:tcW w:w="1171" w:type="dxa"/>
          </w:tcPr>
          <w:p w14:paraId="15434E75" w14:textId="77777777" w:rsidR="00B02873" w:rsidRPr="007B509E" w:rsidRDefault="00B02873" w:rsidP="00DE3776">
            <w:pPr>
              <w:pStyle w:val="TablebodyleftTables"/>
              <w:jc w:val="right"/>
              <w:rPr>
                <w:rFonts w:cs="Times New Roman"/>
              </w:rPr>
            </w:pPr>
          </w:p>
        </w:tc>
      </w:tr>
      <w:tr w:rsidR="00B02873" w:rsidRPr="00B02873" w14:paraId="004B6FBE" w14:textId="77777777" w:rsidTr="00DE3776">
        <w:trPr>
          <w:trHeight w:val="60"/>
        </w:trPr>
        <w:tc>
          <w:tcPr>
            <w:tcW w:w="3685" w:type="dxa"/>
          </w:tcPr>
          <w:p w14:paraId="09047D57" w14:textId="77777777" w:rsidR="00B02873" w:rsidRDefault="00B02873" w:rsidP="00DE3776">
            <w:pPr>
              <w:pStyle w:val="TablebodyleftTables"/>
            </w:pPr>
            <w:r>
              <w:t xml:space="preserve">Employee benefits </w:t>
            </w:r>
          </w:p>
        </w:tc>
        <w:tc>
          <w:tcPr>
            <w:tcW w:w="1191" w:type="dxa"/>
          </w:tcPr>
          <w:p w14:paraId="0C491826" w14:textId="77777777" w:rsidR="00B02873" w:rsidRDefault="00B02873" w:rsidP="00DE3776">
            <w:pPr>
              <w:pStyle w:val="TablebodyleftTables"/>
              <w:jc w:val="right"/>
            </w:pPr>
            <w:r>
              <w:t>713</w:t>
            </w:r>
          </w:p>
        </w:tc>
        <w:tc>
          <w:tcPr>
            <w:tcW w:w="1190" w:type="dxa"/>
          </w:tcPr>
          <w:p w14:paraId="6B301D5A" w14:textId="77777777" w:rsidR="00B02873" w:rsidRDefault="00B02873" w:rsidP="00DE3776">
            <w:pPr>
              <w:pStyle w:val="TablebodyleftTables"/>
              <w:jc w:val="right"/>
            </w:pPr>
            <w:r>
              <w:t>608</w:t>
            </w:r>
          </w:p>
        </w:tc>
        <w:tc>
          <w:tcPr>
            <w:tcW w:w="1191" w:type="dxa"/>
          </w:tcPr>
          <w:p w14:paraId="2FE304B3" w14:textId="77777777" w:rsidR="00B02873" w:rsidRDefault="00B02873" w:rsidP="00DE3776">
            <w:pPr>
              <w:pStyle w:val="TablebodyleftTables"/>
              <w:jc w:val="right"/>
            </w:pPr>
            <w:r>
              <w:t>105</w:t>
            </w:r>
          </w:p>
        </w:tc>
        <w:tc>
          <w:tcPr>
            <w:tcW w:w="1190" w:type="dxa"/>
          </w:tcPr>
          <w:p w14:paraId="33381C5F" w14:textId="77777777" w:rsidR="00B02873" w:rsidRDefault="00B02873" w:rsidP="00DE3776">
            <w:pPr>
              <w:pStyle w:val="TablebodyleftTables"/>
              <w:jc w:val="right"/>
            </w:pPr>
            <w:r>
              <w:t>17%</w:t>
            </w:r>
          </w:p>
        </w:tc>
        <w:tc>
          <w:tcPr>
            <w:tcW w:w="1171" w:type="dxa"/>
          </w:tcPr>
          <w:p w14:paraId="0AA53E15" w14:textId="77777777" w:rsidR="00B02873" w:rsidRDefault="00B02873" w:rsidP="00DE3776">
            <w:pPr>
              <w:pStyle w:val="TablebodyleftTables"/>
              <w:jc w:val="right"/>
            </w:pPr>
            <w:r>
              <w:t>4</w:t>
            </w:r>
          </w:p>
        </w:tc>
      </w:tr>
      <w:tr w:rsidR="00B02873" w:rsidRPr="00B02873" w14:paraId="1331CB7A" w14:textId="77777777" w:rsidTr="00DE3776">
        <w:trPr>
          <w:trHeight w:val="60"/>
        </w:trPr>
        <w:tc>
          <w:tcPr>
            <w:tcW w:w="3685" w:type="dxa"/>
          </w:tcPr>
          <w:p w14:paraId="690A83C5" w14:textId="77777777" w:rsidR="00B02873" w:rsidRDefault="00B02873" w:rsidP="00DE3776">
            <w:pPr>
              <w:pStyle w:val="TablebodyleftTables"/>
            </w:pPr>
            <w:r>
              <w:t xml:space="preserve">Depreciation </w:t>
            </w:r>
          </w:p>
        </w:tc>
        <w:tc>
          <w:tcPr>
            <w:tcW w:w="1191" w:type="dxa"/>
          </w:tcPr>
          <w:p w14:paraId="536DFBCD" w14:textId="77777777" w:rsidR="00B02873" w:rsidRDefault="00B02873" w:rsidP="00DE3776">
            <w:pPr>
              <w:pStyle w:val="TablebodyleftTables"/>
              <w:jc w:val="right"/>
            </w:pPr>
            <w:r>
              <w:t>88</w:t>
            </w:r>
          </w:p>
        </w:tc>
        <w:tc>
          <w:tcPr>
            <w:tcW w:w="1190" w:type="dxa"/>
          </w:tcPr>
          <w:p w14:paraId="3D61CA87" w14:textId="77777777" w:rsidR="00B02873" w:rsidRDefault="00B02873" w:rsidP="00DE3776">
            <w:pPr>
              <w:pStyle w:val="TablebodyleftTables"/>
              <w:jc w:val="right"/>
            </w:pPr>
            <w:r>
              <w:t>65</w:t>
            </w:r>
          </w:p>
        </w:tc>
        <w:tc>
          <w:tcPr>
            <w:tcW w:w="1191" w:type="dxa"/>
          </w:tcPr>
          <w:p w14:paraId="6BA37BD3" w14:textId="77777777" w:rsidR="00B02873" w:rsidRDefault="00B02873" w:rsidP="00DE3776">
            <w:pPr>
              <w:pStyle w:val="TablebodyleftTables"/>
              <w:jc w:val="right"/>
            </w:pPr>
            <w:r>
              <w:t>23</w:t>
            </w:r>
          </w:p>
        </w:tc>
        <w:tc>
          <w:tcPr>
            <w:tcW w:w="1190" w:type="dxa"/>
          </w:tcPr>
          <w:p w14:paraId="79D2453C" w14:textId="77777777" w:rsidR="00B02873" w:rsidRDefault="00B02873" w:rsidP="00DE3776">
            <w:pPr>
              <w:pStyle w:val="TablebodyleftTables"/>
              <w:jc w:val="right"/>
            </w:pPr>
            <w:r>
              <w:t>35%</w:t>
            </w:r>
          </w:p>
        </w:tc>
        <w:tc>
          <w:tcPr>
            <w:tcW w:w="1171" w:type="dxa"/>
          </w:tcPr>
          <w:p w14:paraId="12B70B1B" w14:textId="77777777" w:rsidR="00B02873" w:rsidRDefault="00B02873" w:rsidP="00DE3776">
            <w:pPr>
              <w:pStyle w:val="TablebodyleftTables"/>
              <w:jc w:val="right"/>
            </w:pPr>
            <w:r>
              <w:t>5</w:t>
            </w:r>
          </w:p>
        </w:tc>
      </w:tr>
      <w:tr w:rsidR="00B02873" w:rsidRPr="00B02873" w14:paraId="3DA50A3B" w14:textId="77777777" w:rsidTr="00DE3776">
        <w:trPr>
          <w:trHeight w:val="60"/>
        </w:trPr>
        <w:tc>
          <w:tcPr>
            <w:tcW w:w="3685" w:type="dxa"/>
          </w:tcPr>
          <w:p w14:paraId="7857B16D" w14:textId="77777777" w:rsidR="00B02873" w:rsidRDefault="00B02873" w:rsidP="00DE3776">
            <w:pPr>
              <w:pStyle w:val="TablebodyleftTables"/>
            </w:pPr>
            <w:r>
              <w:t xml:space="preserve">Interest expense </w:t>
            </w:r>
          </w:p>
        </w:tc>
        <w:tc>
          <w:tcPr>
            <w:tcW w:w="1191" w:type="dxa"/>
          </w:tcPr>
          <w:p w14:paraId="573EA5F2" w14:textId="77777777" w:rsidR="00B02873" w:rsidRDefault="00B02873" w:rsidP="00DE3776">
            <w:pPr>
              <w:pStyle w:val="TablebodyleftTables"/>
              <w:jc w:val="right"/>
            </w:pPr>
            <w:r>
              <w:t>11</w:t>
            </w:r>
          </w:p>
        </w:tc>
        <w:tc>
          <w:tcPr>
            <w:tcW w:w="1190" w:type="dxa"/>
          </w:tcPr>
          <w:p w14:paraId="19711ECA" w14:textId="77777777" w:rsidR="00B02873" w:rsidRDefault="00B02873" w:rsidP="00DE3776">
            <w:pPr>
              <w:pStyle w:val="TablebodyleftTables"/>
              <w:jc w:val="right"/>
            </w:pPr>
            <w:r>
              <w:t>0</w:t>
            </w:r>
          </w:p>
        </w:tc>
        <w:tc>
          <w:tcPr>
            <w:tcW w:w="1191" w:type="dxa"/>
          </w:tcPr>
          <w:p w14:paraId="23B6F81D" w14:textId="77777777" w:rsidR="00B02873" w:rsidRDefault="00B02873" w:rsidP="00DE3776">
            <w:pPr>
              <w:pStyle w:val="TablebodyleftTables"/>
              <w:jc w:val="right"/>
            </w:pPr>
            <w:r>
              <w:t>11</w:t>
            </w:r>
          </w:p>
        </w:tc>
        <w:tc>
          <w:tcPr>
            <w:tcW w:w="1190" w:type="dxa"/>
          </w:tcPr>
          <w:p w14:paraId="3D592403" w14:textId="77777777" w:rsidR="00B02873" w:rsidRDefault="00B02873" w:rsidP="00DE3776">
            <w:pPr>
              <w:pStyle w:val="TablebodyleftTables"/>
              <w:jc w:val="right"/>
            </w:pPr>
            <w:r>
              <w:t>100%</w:t>
            </w:r>
          </w:p>
        </w:tc>
        <w:tc>
          <w:tcPr>
            <w:tcW w:w="1171" w:type="dxa"/>
          </w:tcPr>
          <w:p w14:paraId="1FC758C4" w14:textId="77777777" w:rsidR="00B02873" w:rsidRDefault="00B02873" w:rsidP="00DE3776">
            <w:pPr>
              <w:pStyle w:val="TablebodyleftTables"/>
              <w:jc w:val="right"/>
            </w:pPr>
            <w:r>
              <w:t>6</w:t>
            </w:r>
          </w:p>
        </w:tc>
      </w:tr>
      <w:tr w:rsidR="00B02873" w:rsidRPr="00B02873" w14:paraId="50088982" w14:textId="77777777" w:rsidTr="00DE3776">
        <w:trPr>
          <w:trHeight w:val="60"/>
        </w:trPr>
        <w:tc>
          <w:tcPr>
            <w:tcW w:w="3685" w:type="dxa"/>
          </w:tcPr>
          <w:p w14:paraId="7F8647A8" w14:textId="77777777" w:rsidR="00B02873" w:rsidRDefault="00B02873" w:rsidP="00DE3776">
            <w:pPr>
              <w:pStyle w:val="TablebodyleftTables"/>
            </w:pPr>
            <w:r>
              <w:t xml:space="preserve">Grants and other transfers </w:t>
            </w:r>
          </w:p>
        </w:tc>
        <w:tc>
          <w:tcPr>
            <w:tcW w:w="1191" w:type="dxa"/>
          </w:tcPr>
          <w:p w14:paraId="5D77EA25" w14:textId="77777777" w:rsidR="00B02873" w:rsidRDefault="00B02873" w:rsidP="00DE3776">
            <w:pPr>
              <w:pStyle w:val="TablebodyleftTables"/>
              <w:jc w:val="right"/>
            </w:pPr>
            <w:r>
              <w:t>1,532</w:t>
            </w:r>
          </w:p>
        </w:tc>
        <w:tc>
          <w:tcPr>
            <w:tcW w:w="1190" w:type="dxa"/>
          </w:tcPr>
          <w:p w14:paraId="5C5E7FDB" w14:textId="77777777" w:rsidR="00B02873" w:rsidRDefault="00B02873" w:rsidP="00DE3776">
            <w:pPr>
              <w:pStyle w:val="TablebodyleftTables"/>
              <w:jc w:val="right"/>
            </w:pPr>
            <w:r>
              <w:t>1,366</w:t>
            </w:r>
          </w:p>
        </w:tc>
        <w:tc>
          <w:tcPr>
            <w:tcW w:w="1191" w:type="dxa"/>
          </w:tcPr>
          <w:p w14:paraId="305BDC69" w14:textId="77777777" w:rsidR="00B02873" w:rsidRDefault="00B02873" w:rsidP="00DE3776">
            <w:pPr>
              <w:pStyle w:val="TablebodyleftTables"/>
              <w:jc w:val="right"/>
            </w:pPr>
            <w:r>
              <w:t>166</w:t>
            </w:r>
          </w:p>
        </w:tc>
        <w:tc>
          <w:tcPr>
            <w:tcW w:w="1190" w:type="dxa"/>
          </w:tcPr>
          <w:p w14:paraId="4F23788B" w14:textId="77777777" w:rsidR="00B02873" w:rsidRDefault="00B02873" w:rsidP="00DE3776">
            <w:pPr>
              <w:pStyle w:val="TablebodyleftTables"/>
              <w:jc w:val="right"/>
            </w:pPr>
            <w:r>
              <w:t>12%</w:t>
            </w:r>
          </w:p>
        </w:tc>
        <w:tc>
          <w:tcPr>
            <w:tcW w:w="1171" w:type="dxa"/>
          </w:tcPr>
          <w:p w14:paraId="1ED44284" w14:textId="77777777" w:rsidR="00B02873" w:rsidRDefault="00B02873" w:rsidP="00DE3776">
            <w:pPr>
              <w:pStyle w:val="TablebodyleftTables"/>
              <w:jc w:val="right"/>
            </w:pPr>
            <w:r>
              <w:t>7</w:t>
            </w:r>
          </w:p>
        </w:tc>
      </w:tr>
      <w:tr w:rsidR="00B02873" w:rsidRPr="007B509E" w14:paraId="76E8A030" w14:textId="77777777" w:rsidTr="00DE3776">
        <w:trPr>
          <w:trHeight w:val="60"/>
        </w:trPr>
        <w:tc>
          <w:tcPr>
            <w:tcW w:w="3685" w:type="dxa"/>
          </w:tcPr>
          <w:p w14:paraId="72902BF8" w14:textId="77777777" w:rsidR="00B02873" w:rsidRPr="007B509E" w:rsidRDefault="00B02873" w:rsidP="00DE3776">
            <w:pPr>
              <w:pStyle w:val="TablebodyleftTables"/>
            </w:pPr>
            <w:r w:rsidRPr="007B509E">
              <w:t>Capital asset charge</w:t>
            </w:r>
          </w:p>
        </w:tc>
        <w:tc>
          <w:tcPr>
            <w:tcW w:w="1191" w:type="dxa"/>
          </w:tcPr>
          <w:p w14:paraId="1FF3D0F1" w14:textId="77777777" w:rsidR="00B02873" w:rsidRPr="007B509E" w:rsidRDefault="00B02873" w:rsidP="00DE3776">
            <w:pPr>
              <w:pStyle w:val="TablebodyleftTables"/>
              <w:jc w:val="right"/>
            </w:pPr>
            <w:r w:rsidRPr="007B509E">
              <w:t>0</w:t>
            </w:r>
          </w:p>
        </w:tc>
        <w:tc>
          <w:tcPr>
            <w:tcW w:w="1190" w:type="dxa"/>
          </w:tcPr>
          <w:p w14:paraId="67A36D2A" w14:textId="77777777" w:rsidR="00B02873" w:rsidRPr="007B509E" w:rsidRDefault="00B02873" w:rsidP="00DE3776">
            <w:pPr>
              <w:pStyle w:val="TablebodyleftTables"/>
              <w:jc w:val="right"/>
            </w:pPr>
            <w:r w:rsidRPr="007B509E">
              <w:t>0</w:t>
            </w:r>
          </w:p>
        </w:tc>
        <w:tc>
          <w:tcPr>
            <w:tcW w:w="1191" w:type="dxa"/>
          </w:tcPr>
          <w:p w14:paraId="039FC645" w14:textId="77777777" w:rsidR="00B02873" w:rsidRPr="007B509E" w:rsidRDefault="00B02873" w:rsidP="00DE3776">
            <w:pPr>
              <w:pStyle w:val="TablebodyleftTables"/>
              <w:jc w:val="right"/>
            </w:pPr>
            <w:r w:rsidRPr="007B509E">
              <w:t>0</w:t>
            </w:r>
          </w:p>
        </w:tc>
        <w:tc>
          <w:tcPr>
            <w:tcW w:w="1190" w:type="dxa"/>
          </w:tcPr>
          <w:p w14:paraId="2385E8A9" w14:textId="77777777" w:rsidR="00B02873" w:rsidRPr="007B509E" w:rsidRDefault="00B02873" w:rsidP="00DE3776">
            <w:pPr>
              <w:pStyle w:val="TablebodyleftTables"/>
              <w:jc w:val="right"/>
            </w:pPr>
            <w:r w:rsidRPr="007B509E">
              <w:t>0%</w:t>
            </w:r>
          </w:p>
        </w:tc>
        <w:tc>
          <w:tcPr>
            <w:tcW w:w="1171" w:type="dxa"/>
          </w:tcPr>
          <w:p w14:paraId="633B5995" w14:textId="77777777" w:rsidR="00B02873" w:rsidRPr="007B509E" w:rsidRDefault="00B02873" w:rsidP="00DE3776">
            <w:pPr>
              <w:pStyle w:val="TablebodyleftTables"/>
              <w:jc w:val="right"/>
              <w:rPr>
                <w:rFonts w:cs="Times New Roman"/>
              </w:rPr>
            </w:pPr>
          </w:p>
        </w:tc>
      </w:tr>
      <w:tr w:rsidR="00B02873" w:rsidRPr="00B02873" w14:paraId="694EE3D5" w14:textId="77777777" w:rsidTr="00DE3776">
        <w:trPr>
          <w:trHeight w:val="60"/>
        </w:trPr>
        <w:tc>
          <w:tcPr>
            <w:tcW w:w="3685" w:type="dxa"/>
          </w:tcPr>
          <w:p w14:paraId="55564354" w14:textId="77777777" w:rsidR="00B02873" w:rsidRDefault="00B02873" w:rsidP="00DE3776">
            <w:pPr>
              <w:pStyle w:val="TablebodyleftTables"/>
            </w:pPr>
            <w:r>
              <w:t>Other operating expenses</w:t>
            </w:r>
          </w:p>
        </w:tc>
        <w:tc>
          <w:tcPr>
            <w:tcW w:w="1191" w:type="dxa"/>
          </w:tcPr>
          <w:p w14:paraId="6961CAF3" w14:textId="77777777" w:rsidR="00B02873" w:rsidRDefault="00B02873" w:rsidP="00DE3776">
            <w:pPr>
              <w:pStyle w:val="TablebodyleftTables"/>
              <w:jc w:val="right"/>
            </w:pPr>
            <w:r>
              <w:t>758</w:t>
            </w:r>
          </w:p>
        </w:tc>
        <w:tc>
          <w:tcPr>
            <w:tcW w:w="1190" w:type="dxa"/>
          </w:tcPr>
          <w:p w14:paraId="67B3B985" w14:textId="77777777" w:rsidR="00B02873" w:rsidRDefault="00B02873" w:rsidP="00DE3776">
            <w:pPr>
              <w:pStyle w:val="TablebodyleftTables"/>
              <w:jc w:val="right"/>
            </w:pPr>
            <w:r>
              <w:t>851</w:t>
            </w:r>
          </w:p>
        </w:tc>
        <w:tc>
          <w:tcPr>
            <w:tcW w:w="1191" w:type="dxa"/>
          </w:tcPr>
          <w:p w14:paraId="74E11D12" w14:textId="77777777" w:rsidR="00B02873" w:rsidRDefault="00B02873" w:rsidP="00DE3776">
            <w:pPr>
              <w:pStyle w:val="TablebodyleftTables"/>
              <w:jc w:val="right"/>
            </w:pPr>
            <w:r>
              <w:t>(93)</w:t>
            </w:r>
          </w:p>
        </w:tc>
        <w:tc>
          <w:tcPr>
            <w:tcW w:w="1190" w:type="dxa"/>
          </w:tcPr>
          <w:p w14:paraId="7B25421B" w14:textId="77777777" w:rsidR="00B02873" w:rsidRDefault="00B02873" w:rsidP="00DE3776">
            <w:pPr>
              <w:pStyle w:val="TablebodyleftTables"/>
              <w:jc w:val="right"/>
            </w:pPr>
            <w:r>
              <w:t>(11%)</w:t>
            </w:r>
          </w:p>
        </w:tc>
        <w:tc>
          <w:tcPr>
            <w:tcW w:w="1171" w:type="dxa"/>
          </w:tcPr>
          <w:p w14:paraId="5F660EB3" w14:textId="77777777" w:rsidR="00B02873" w:rsidRDefault="00B02873" w:rsidP="00DE3776">
            <w:pPr>
              <w:pStyle w:val="TablebodyleftTables"/>
              <w:jc w:val="right"/>
            </w:pPr>
            <w:r>
              <w:t>8</w:t>
            </w:r>
          </w:p>
        </w:tc>
      </w:tr>
      <w:tr w:rsidR="00B02873" w:rsidRPr="007B509E" w14:paraId="4B79E1DB" w14:textId="77777777" w:rsidTr="00DE3776">
        <w:trPr>
          <w:trHeight w:val="60"/>
        </w:trPr>
        <w:tc>
          <w:tcPr>
            <w:tcW w:w="3685" w:type="dxa"/>
          </w:tcPr>
          <w:p w14:paraId="1287576C" w14:textId="77777777" w:rsidR="00B02873" w:rsidRPr="007B509E" w:rsidRDefault="00B02873" w:rsidP="00DE3776">
            <w:pPr>
              <w:pStyle w:val="TablebodyleftTables"/>
              <w:rPr>
                <w:b/>
                <w:bCs/>
              </w:rPr>
            </w:pPr>
            <w:r w:rsidRPr="007B509E">
              <w:rPr>
                <w:b/>
                <w:bCs/>
              </w:rPr>
              <w:t xml:space="preserve">Total expenses from transactions </w:t>
            </w:r>
          </w:p>
        </w:tc>
        <w:tc>
          <w:tcPr>
            <w:tcW w:w="1191" w:type="dxa"/>
          </w:tcPr>
          <w:p w14:paraId="6D317311" w14:textId="77777777" w:rsidR="00B02873" w:rsidRPr="007B509E" w:rsidRDefault="00B02873" w:rsidP="00DE3776">
            <w:pPr>
              <w:pStyle w:val="TablebodyleftTables"/>
              <w:jc w:val="right"/>
              <w:rPr>
                <w:b/>
                <w:bCs/>
              </w:rPr>
            </w:pPr>
            <w:r w:rsidRPr="007B509E">
              <w:rPr>
                <w:b/>
                <w:bCs/>
              </w:rPr>
              <w:t>3,102</w:t>
            </w:r>
          </w:p>
        </w:tc>
        <w:tc>
          <w:tcPr>
            <w:tcW w:w="1190" w:type="dxa"/>
          </w:tcPr>
          <w:p w14:paraId="1D185328" w14:textId="77777777" w:rsidR="00B02873" w:rsidRPr="007B509E" w:rsidRDefault="00B02873" w:rsidP="00DE3776">
            <w:pPr>
              <w:pStyle w:val="TablebodyleftTables"/>
              <w:jc w:val="right"/>
              <w:rPr>
                <w:b/>
                <w:bCs/>
              </w:rPr>
            </w:pPr>
            <w:r w:rsidRPr="007B509E">
              <w:rPr>
                <w:b/>
                <w:bCs/>
              </w:rPr>
              <w:t>2,890</w:t>
            </w:r>
          </w:p>
        </w:tc>
        <w:tc>
          <w:tcPr>
            <w:tcW w:w="1191" w:type="dxa"/>
          </w:tcPr>
          <w:p w14:paraId="493AE24C" w14:textId="77777777" w:rsidR="00B02873" w:rsidRPr="007B509E" w:rsidRDefault="00B02873" w:rsidP="00DE3776">
            <w:pPr>
              <w:pStyle w:val="TablebodyleftTables"/>
              <w:jc w:val="right"/>
              <w:rPr>
                <w:b/>
                <w:bCs/>
              </w:rPr>
            </w:pPr>
            <w:r w:rsidRPr="007B509E">
              <w:rPr>
                <w:b/>
                <w:bCs/>
              </w:rPr>
              <w:t>212</w:t>
            </w:r>
          </w:p>
        </w:tc>
        <w:tc>
          <w:tcPr>
            <w:tcW w:w="1190" w:type="dxa"/>
          </w:tcPr>
          <w:p w14:paraId="7308635C" w14:textId="77777777" w:rsidR="00B02873" w:rsidRPr="007B509E" w:rsidRDefault="00B02873" w:rsidP="00DE3776">
            <w:pPr>
              <w:pStyle w:val="TablebodyleftTables"/>
              <w:jc w:val="right"/>
              <w:rPr>
                <w:b/>
                <w:bCs/>
              </w:rPr>
            </w:pPr>
            <w:r w:rsidRPr="007B509E">
              <w:rPr>
                <w:b/>
                <w:bCs/>
              </w:rPr>
              <w:t>7%</w:t>
            </w:r>
          </w:p>
        </w:tc>
        <w:tc>
          <w:tcPr>
            <w:tcW w:w="1171" w:type="dxa"/>
          </w:tcPr>
          <w:p w14:paraId="23D8B3E3" w14:textId="77777777" w:rsidR="00B02873" w:rsidRPr="007B509E" w:rsidRDefault="00B02873" w:rsidP="00DE3776">
            <w:pPr>
              <w:pStyle w:val="TablebodyleftTables"/>
              <w:jc w:val="right"/>
              <w:rPr>
                <w:rFonts w:cs="Times New Roman"/>
                <w:b/>
                <w:bCs/>
              </w:rPr>
            </w:pPr>
          </w:p>
        </w:tc>
      </w:tr>
      <w:tr w:rsidR="00B02873" w:rsidRPr="007B509E" w14:paraId="50E1FC57" w14:textId="77777777" w:rsidTr="00DE3776">
        <w:trPr>
          <w:trHeight w:val="60"/>
        </w:trPr>
        <w:tc>
          <w:tcPr>
            <w:tcW w:w="3685" w:type="dxa"/>
          </w:tcPr>
          <w:p w14:paraId="1DDA78F6" w14:textId="7FCCEC36" w:rsidR="00B02873" w:rsidRPr="007B509E" w:rsidRDefault="00B02873" w:rsidP="00DE3776">
            <w:pPr>
              <w:pStyle w:val="TablebodyleftTables"/>
              <w:rPr>
                <w:b/>
                <w:bCs/>
              </w:rPr>
            </w:pPr>
            <w:r w:rsidRPr="007B509E">
              <w:rPr>
                <w:b/>
                <w:bCs/>
              </w:rPr>
              <w:t>Net result from transactions (net operating balance)</w:t>
            </w:r>
          </w:p>
        </w:tc>
        <w:tc>
          <w:tcPr>
            <w:tcW w:w="1191" w:type="dxa"/>
          </w:tcPr>
          <w:p w14:paraId="615F2625" w14:textId="77777777" w:rsidR="00B02873" w:rsidRPr="007B509E" w:rsidRDefault="00B02873" w:rsidP="00DE3776">
            <w:pPr>
              <w:pStyle w:val="TablebodyleftTables"/>
              <w:jc w:val="right"/>
              <w:rPr>
                <w:b/>
                <w:bCs/>
              </w:rPr>
            </w:pPr>
            <w:r w:rsidRPr="007B509E">
              <w:rPr>
                <w:b/>
                <w:bCs/>
              </w:rPr>
              <w:t>132</w:t>
            </w:r>
          </w:p>
        </w:tc>
        <w:tc>
          <w:tcPr>
            <w:tcW w:w="1190" w:type="dxa"/>
          </w:tcPr>
          <w:p w14:paraId="1A473CCD" w14:textId="77777777" w:rsidR="00B02873" w:rsidRPr="007B509E" w:rsidRDefault="00B02873" w:rsidP="00DE3776">
            <w:pPr>
              <w:pStyle w:val="TablebodyleftTables"/>
              <w:jc w:val="right"/>
              <w:rPr>
                <w:b/>
                <w:bCs/>
              </w:rPr>
            </w:pPr>
            <w:r w:rsidRPr="007B509E">
              <w:rPr>
                <w:b/>
                <w:bCs/>
              </w:rPr>
              <w:t>(3)</w:t>
            </w:r>
          </w:p>
        </w:tc>
        <w:tc>
          <w:tcPr>
            <w:tcW w:w="1191" w:type="dxa"/>
          </w:tcPr>
          <w:p w14:paraId="39F43268" w14:textId="77777777" w:rsidR="00B02873" w:rsidRPr="007B509E" w:rsidRDefault="00B02873" w:rsidP="00DE3776">
            <w:pPr>
              <w:pStyle w:val="TablebodyleftTables"/>
              <w:jc w:val="right"/>
              <w:rPr>
                <w:b/>
                <w:bCs/>
              </w:rPr>
            </w:pPr>
            <w:r w:rsidRPr="007B509E">
              <w:rPr>
                <w:b/>
                <w:bCs/>
              </w:rPr>
              <w:t>135</w:t>
            </w:r>
          </w:p>
        </w:tc>
        <w:tc>
          <w:tcPr>
            <w:tcW w:w="1190" w:type="dxa"/>
          </w:tcPr>
          <w:p w14:paraId="683E8084" w14:textId="77777777" w:rsidR="00B02873" w:rsidRPr="007B509E" w:rsidRDefault="00B02873" w:rsidP="00DE3776">
            <w:pPr>
              <w:pStyle w:val="TablebodyleftTables"/>
              <w:jc w:val="right"/>
              <w:rPr>
                <w:b/>
                <w:bCs/>
              </w:rPr>
            </w:pPr>
            <w:r w:rsidRPr="007B509E">
              <w:rPr>
                <w:b/>
                <w:bCs/>
              </w:rPr>
              <w:t>4,500%</w:t>
            </w:r>
          </w:p>
        </w:tc>
        <w:tc>
          <w:tcPr>
            <w:tcW w:w="1171" w:type="dxa"/>
          </w:tcPr>
          <w:p w14:paraId="40D545C2" w14:textId="77777777" w:rsidR="00B02873" w:rsidRPr="007B509E" w:rsidRDefault="00B02873" w:rsidP="00DE3776">
            <w:pPr>
              <w:pStyle w:val="TablebodyleftTables"/>
              <w:jc w:val="right"/>
              <w:rPr>
                <w:rFonts w:cs="Times New Roman"/>
                <w:b/>
                <w:bCs/>
              </w:rPr>
            </w:pPr>
          </w:p>
        </w:tc>
      </w:tr>
      <w:tr w:rsidR="00DE3776" w:rsidRPr="00B02873" w14:paraId="2A4EB507" w14:textId="77777777" w:rsidTr="00506B57">
        <w:trPr>
          <w:trHeight w:val="60"/>
        </w:trPr>
        <w:tc>
          <w:tcPr>
            <w:tcW w:w="3685" w:type="dxa"/>
          </w:tcPr>
          <w:p w14:paraId="35536CF4" w14:textId="2389E761" w:rsidR="00DE3776" w:rsidRPr="00DE3776" w:rsidRDefault="00DE3776" w:rsidP="00506B57">
            <w:pPr>
              <w:pStyle w:val="TablebodyleftTables"/>
              <w:rPr>
                <w:b/>
                <w:bCs/>
              </w:rPr>
            </w:pPr>
            <w:r w:rsidRPr="00DE3776">
              <w:rPr>
                <w:b/>
                <w:bCs/>
              </w:rPr>
              <w:t>Other economic flows included in net result</w:t>
            </w:r>
          </w:p>
        </w:tc>
        <w:tc>
          <w:tcPr>
            <w:tcW w:w="1191" w:type="dxa"/>
          </w:tcPr>
          <w:p w14:paraId="5C8797F1" w14:textId="77777777" w:rsidR="00DE3776" w:rsidRDefault="00DE3776" w:rsidP="00DE3776">
            <w:pPr>
              <w:pStyle w:val="TablebodyleftTables"/>
              <w:jc w:val="right"/>
            </w:pPr>
          </w:p>
        </w:tc>
        <w:tc>
          <w:tcPr>
            <w:tcW w:w="1190" w:type="dxa"/>
          </w:tcPr>
          <w:p w14:paraId="58DCE772" w14:textId="77777777" w:rsidR="00DE3776" w:rsidRDefault="00DE3776" w:rsidP="00DE3776">
            <w:pPr>
              <w:pStyle w:val="TablebodyleftTables"/>
              <w:jc w:val="right"/>
            </w:pPr>
          </w:p>
        </w:tc>
        <w:tc>
          <w:tcPr>
            <w:tcW w:w="1191" w:type="dxa"/>
          </w:tcPr>
          <w:p w14:paraId="2DA7D3A9" w14:textId="77777777" w:rsidR="00DE3776" w:rsidRDefault="00DE3776" w:rsidP="00DE3776">
            <w:pPr>
              <w:pStyle w:val="TablebodyleftTables"/>
              <w:jc w:val="right"/>
            </w:pPr>
          </w:p>
        </w:tc>
        <w:tc>
          <w:tcPr>
            <w:tcW w:w="1190" w:type="dxa"/>
          </w:tcPr>
          <w:p w14:paraId="1A6FCCAB" w14:textId="77777777" w:rsidR="00DE3776" w:rsidRDefault="00DE3776" w:rsidP="00DE3776">
            <w:pPr>
              <w:pStyle w:val="TablebodyleftTables"/>
              <w:jc w:val="right"/>
            </w:pPr>
          </w:p>
        </w:tc>
        <w:tc>
          <w:tcPr>
            <w:tcW w:w="1171" w:type="dxa"/>
          </w:tcPr>
          <w:p w14:paraId="4E0B8088" w14:textId="77777777" w:rsidR="00DE3776" w:rsidRDefault="00DE3776" w:rsidP="00DE3776">
            <w:pPr>
              <w:pStyle w:val="TablebodyleftTables"/>
              <w:jc w:val="right"/>
            </w:pPr>
          </w:p>
        </w:tc>
      </w:tr>
      <w:tr w:rsidR="00B02873" w:rsidRPr="00B02873" w14:paraId="70F0BB0B" w14:textId="77777777" w:rsidTr="00DE3776">
        <w:trPr>
          <w:trHeight w:val="60"/>
        </w:trPr>
        <w:tc>
          <w:tcPr>
            <w:tcW w:w="3685" w:type="dxa"/>
          </w:tcPr>
          <w:p w14:paraId="6361638B" w14:textId="77777777" w:rsidR="00B02873" w:rsidRDefault="00B02873" w:rsidP="00DE3776">
            <w:pPr>
              <w:pStyle w:val="TablebodyleftTables"/>
            </w:pPr>
            <w:r>
              <w:t>Net gain/(loss) on non-financial assets</w:t>
            </w:r>
          </w:p>
        </w:tc>
        <w:tc>
          <w:tcPr>
            <w:tcW w:w="1191" w:type="dxa"/>
          </w:tcPr>
          <w:p w14:paraId="2A34C508" w14:textId="77777777" w:rsidR="00B02873" w:rsidRDefault="00B02873" w:rsidP="00DE3776">
            <w:pPr>
              <w:pStyle w:val="TablebodyleftTables"/>
              <w:jc w:val="right"/>
            </w:pPr>
            <w:r>
              <w:t>91</w:t>
            </w:r>
          </w:p>
        </w:tc>
        <w:tc>
          <w:tcPr>
            <w:tcW w:w="1190" w:type="dxa"/>
          </w:tcPr>
          <w:p w14:paraId="45778F36" w14:textId="77777777" w:rsidR="00B02873" w:rsidRDefault="00B02873" w:rsidP="00DE3776">
            <w:pPr>
              <w:pStyle w:val="TablebodyleftTables"/>
              <w:jc w:val="right"/>
            </w:pPr>
            <w:r>
              <w:t>(7)</w:t>
            </w:r>
          </w:p>
        </w:tc>
        <w:tc>
          <w:tcPr>
            <w:tcW w:w="1191" w:type="dxa"/>
          </w:tcPr>
          <w:p w14:paraId="16BDD327" w14:textId="77777777" w:rsidR="00B02873" w:rsidRDefault="00B02873" w:rsidP="00DE3776">
            <w:pPr>
              <w:pStyle w:val="TablebodyleftTables"/>
              <w:jc w:val="right"/>
            </w:pPr>
            <w:r>
              <w:t>98</w:t>
            </w:r>
          </w:p>
        </w:tc>
        <w:tc>
          <w:tcPr>
            <w:tcW w:w="1190" w:type="dxa"/>
          </w:tcPr>
          <w:p w14:paraId="0B5A2C0E" w14:textId="77777777" w:rsidR="00B02873" w:rsidRDefault="00B02873" w:rsidP="00DE3776">
            <w:pPr>
              <w:pStyle w:val="TablebodyleftTables"/>
              <w:jc w:val="right"/>
            </w:pPr>
            <w:r>
              <w:t>1,400%</w:t>
            </w:r>
          </w:p>
        </w:tc>
        <w:tc>
          <w:tcPr>
            <w:tcW w:w="1171" w:type="dxa"/>
          </w:tcPr>
          <w:p w14:paraId="1D58C0FF" w14:textId="77777777" w:rsidR="00B02873" w:rsidRDefault="00B02873" w:rsidP="00DE3776">
            <w:pPr>
              <w:pStyle w:val="TablebodyleftTables"/>
              <w:jc w:val="right"/>
            </w:pPr>
            <w:r>
              <w:t>9</w:t>
            </w:r>
          </w:p>
        </w:tc>
      </w:tr>
      <w:tr w:rsidR="00B02873" w:rsidRPr="00B02873" w14:paraId="5983BD68" w14:textId="77777777" w:rsidTr="00DE3776">
        <w:trPr>
          <w:trHeight w:val="60"/>
        </w:trPr>
        <w:tc>
          <w:tcPr>
            <w:tcW w:w="3685" w:type="dxa"/>
          </w:tcPr>
          <w:p w14:paraId="5E448EFA" w14:textId="70749561" w:rsidR="00B02873" w:rsidRDefault="00B02873" w:rsidP="00DE3776">
            <w:pPr>
              <w:pStyle w:val="TablebodyleftTables"/>
            </w:pPr>
            <w:r>
              <w:t>Net gain/(loss) on financial instruments and statutory receivables/payables</w:t>
            </w:r>
          </w:p>
        </w:tc>
        <w:tc>
          <w:tcPr>
            <w:tcW w:w="1191" w:type="dxa"/>
          </w:tcPr>
          <w:p w14:paraId="072E01F0" w14:textId="77777777" w:rsidR="00B02873" w:rsidRDefault="00B02873" w:rsidP="00DE3776">
            <w:pPr>
              <w:pStyle w:val="TablebodyleftTables"/>
              <w:jc w:val="right"/>
            </w:pPr>
            <w:r>
              <w:t>381</w:t>
            </w:r>
          </w:p>
        </w:tc>
        <w:tc>
          <w:tcPr>
            <w:tcW w:w="1190" w:type="dxa"/>
          </w:tcPr>
          <w:p w14:paraId="0B0D03FF" w14:textId="77777777" w:rsidR="00B02873" w:rsidRDefault="00B02873" w:rsidP="00DE3776">
            <w:pPr>
              <w:pStyle w:val="TablebodyleftTables"/>
              <w:jc w:val="right"/>
            </w:pPr>
            <w:r>
              <w:t>0</w:t>
            </w:r>
          </w:p>
        </w:tc>
        <w:tc>
          <w:tcPr>
            <w:tcW w:w="1191" w:type="dxa"/>
          </w:tcPr>
          <w:p w14:paraId="0D5EFCC5" w14:textId="77777777" w:rsidR="00B02873" w:rsidRDefault="00B02873" w:rsidP="00DE3776">
            <w:pPr>
              <w:pStyle w:val="TablebodyleftTables"/>
              <w:jc w:val="right"/>
            </w:pPr>
            <w:r>
              <w:t>381</w:t>
            </w:r>
          </w:p>
        </w:tc>
        <w:tc>
          <w:tcPr>
            <w:tcW w:w="1190" w:type="dxa"/>
          </w:tcPr>
          <w:p w14:paraId="1013CEB6" w14:textId="77777777" w:rsidR="00B02873" w:rsidRDefault="00B02873" w:rsidP="00DE3776">
            <w:pPr>
              <w:pStyle w:val="TablebodyleftTables"/>
              <w:jc w:val="right"/>
            </w:pPr>
            <w:r>
              <w:t>100%</w:t>
            </w:r>
          </w:p>
        </w:tc>
        <w:tc>
          <w:tcPr>
            <w:tcW w:w="1171" w:type="dxa"/>
          </w:tcPr>
          <w:p w14:paraId="62EDD7FC" w14:textId="77777777" w:rsidR="00B02873" w:rsidRDefault="00B02873" w:rsidP="00DE3776">
            <w:pPr>
              <w:pStyle w:val="TablebodyleftTables"/>
              <w:jc w:val="right"/>
            </w:pPr>
            <w:r>
              <w:t>10</w:t>
            </w:r>
          </w:p>
        </w:tc>
      </w:tr>
      <w:tr w:rsidR="00B02873" w:rsidRPr="00B02873" w14:paraId="65CED006" w14:textId="77777777" w:rsidTr="00DE3776">
        <w:trPr>
          <w:trHeight w:val="60"/>
        </w:trPr>
        <w:tc>
          <w:tcPr>
            <w:tcW w:w="3685" w:type="dxa"/>
          </w:tcPr>
          <w:p w14:paraId="2E0616F9" w14:textId="77777777" w:rsidR="00B02873" w:rsidRDefault="00B02873" w:rsidP="00DE3776">
            <w:pPr>
              <w:pStyle w:val="TablebodyleftTables"/>
            </w:pPr>
            <w:r>
              <w:rPr>
                <w:spacing w:val="-5"/>
              </w:rPr>
              <w:t>Other gains/(losses) from other economic flows</w:t>
            </w:r>
          </w:p>
        </w:tc>
        <w:tc>
          <w:tcPr>
            <w:tcW w:w="1191" w:type="dxa"/>
          </w:tcPr>
          <w:p w14:paraId="3AAC2048" w14:textId="77777777" w:rsidR="00B02873" w:rsidRDefault="00B02873" w:rsidP="00DE3776">
            <w:pPr>
              <w:pStyle w:val="TablebodyleftTables"/>
              <w:jc w:val="right"/>
            </w:pPr>
            <w:r>
              <w:t>10</w:t>
            </w:r>
          </w:p>
        </w:tc>
        <w:tc>
          <w:tcPr>
            <w:tcW w:w="1190" w:type="dxa"/>
          </w:tcPr>
          <w:p w14:paraId="785F2B1E" w14:textId="77777777" w:rsidR="00B02873" w:rsidRDefault="00B02873" w:rsidP="00DE3776">
            <w:pPr>
              <w:pStyle w:val="TablebodyleftTables"/>
              <w:jc w:val="right"/>
            </w:pPr>
            <w:r>
              <w:t>0</w:t>
            </w:r>
          </w:p>
        </w:tc>
        <w:tc>
          <w:tcPr>
            <w:tcW w:w="1191" w:type="dxa"/>
          </w:tcPr>
          <w:p w14:paraId="76060A3E" w14:textId="77777777" w:rsidR="00B02873" w:rsidRDefault="00B02873" w:rsidP="00DE3776">
            <w:pPr>
              <w:pStyle w:val="TablebodyleftTables"/>
              <w:jc w:val="right"/>
            </w:pPr>
            <w:r>
              <w:t>10</w:t>
            </w:r>
          </w:p>
        </w:tc>
        <w:tc>
          <w:tcPr>
            <w:tcW w:w="1190" w:type="dxa"/>
          </w:tcPr>
          <w:p w14:paraId="60C3DF89" w14:textId="77777777" w:rsidR="00B02873" w:rsidRDefault="00B02873" w:rsidP="00DE3776">
            <w:pPr>
              <w:pStyle w:val="TablebodyleftTables"/>
              <w:jc w:val="right"/>
            </w:pPr>
            <w:r>
              <w:t>100%</w:t>
            </w:r>
          </w:p>
        </w:tc>
        <w:tc>
          <w:tcPr>
            <w:tcW w:w="1171" w:type="dxa"/>
          </w:tcPr>
          <w:p w14:paraId="55638414" w14:textId="77777777" w:rsidR="00B02873" w:rsidRDefault="00B02873" w:rsidP="00DE3776">
            <w:pPr>
              <w:pStyle w:val="TablebodyleftTables"/>
              <w:jc w:val="right"/>
            </w:pPr>
            <w:r>
              <w:t>11</w:t>
            </w:r>
          </w:p>
        </w:tc>
      </w:tr>
      <w:tr w:rsidR="00B02873" w:rsidRPr="007B509E" w14:paraId="5515AD9F" w14:textId="77777777" w:rsidTr="00DE3776">
        <w:trPr>
          <w:trHeight w:val="60"/>
        </w:trPr>
        <w:tc>
          <w:tcPr>
            <w:tcW w:w="3685" w:type="dxa"/>
          </w:tcPr>
          <w:p w14:paraId="4A0F7170" w14:textId="4AC28134" w:rsidR="00B02873" w:rsidRPr="007B509E" w:rsidRDefault="00B02873" w:rsidP="00DE3776">
            <w:pPr>
              <w:pStyle w:val="TablebodyleftTables"/>
              <w:rPr>
                <w:b/>
                <w:bCs/>
              </w:rPr>
            </w:pPr>
            <w:r w:rsidRPr="007B509E">
              <w:rPr>
                <w:b/>
                <w:bCs/>
              </w:rPr>
              <w:lastRenderedPageBreak/>
              <w:t xml:space="preserve">Total other economic flows included </w:t>
            </w:r>
            <w:r w:rsidR="00AA7B44" w:rsidRPr="007B509E">
              <w:rPr>
                <w:b/>
                <w:bCs/>
              </w:rPr>
              <w:t xml:space="preserve"> </w:t>
            </w:r>
            <w:r w:rsidRPr="007B509E">
              <w:rPr>
                <w:b/>
                <w:bCs/>
              </w:rPr>
              <w:t>in net result</w:t>
            </w:r>
          </w:p>
        </w:tc>
        <w:tc>
          <w:tcPr>
            <w:tcW w:w="1191" w:type="dxa"/>
          </w:tcPr>
          <w:p w14:paraId="4D7FA7CF" w14:textId="77777777" w:rsidR="00B02873" w:rsidRPr="007B509E" w:rsidRDefault="00B02873" w:rsidP="00DE3776">
            <w:pPr>
              <w:pStyle w:val="TablebodyleftTables"/>
              <w:jc w:val="right"/>
              <w:rPr>
                <w:b/>
                <w:bCs/>
              </w:rPr>
            </w:pPr>
            <w:r w:rsidRPr="007B509E">
              <w:rPr>
                <w:b/>
                <w:bCs/>
              </w:rPr>
              <w:t>482</w:t>
            </w:r>
          </w:p>
        </w:tc>
        <w:tc>
          <w:tcPr>
            <w:tcW w:w="1190" w:type="dxa"/>
          </w:tcPr>
          <w:p w14:paraId="35558D09" w14:textId="77777777" w:rsidR="00B02873" w:rsidRPr="007B509E" w:rsidRDefault="00B02873" w:rsidP="00DE3776">
            <w:pPr>
              <w:pStyle w:val="TablebodyleftTables"/>
              <w:jc w:val="right"/>
              <w:rPr>
                <w:b/>
                <w:bCs/>
              </w:rPr>
            </w:pPr>
            <w:r w:rsidRPr="007B509E">
              <w:rPr>
                <w:b/>
                <w:bCs/>
              </w:rPr>
              <w:t>(7)</w:t>
            </w:r>
          </w:p>
        </w:tc>
        <w:tc>
          <w:tcPr>
            <w:tcW w:w="1191" w:type="dxa"/>
          </w:tcPr>
          <w:p w14:paraId="2E106E22" w14:textId="77777777" w:rsidR="00B02873" w:rsidRPr="007B509E" w:rsidRDefault="00B02873" w:rsidP="00DE3776">
            <w:pPr>
              <w:pStyle w:val="TablebodyleftTables"/>
              <w:jc w:val="right"/>
              <w:rPr>
                <w:b/>
                <w:bCs/>
              </w:rPr>
            </w:pPr>
            <w:r w:rsidRPr="007B509E">
              <w:rPr>
                <w:b/>
                <w:bCs/>
              </w:rPr>
              <w:t>489</w:t>
            </w:r>
          </w:p>
        </w:tc>
        <w:tc>
          <w:tcPr>
            <w:tcW w:w="1190" w:type="dxa"/>
          </w:tcPr>
          <w:p w14:paraId="475DDC5A" w14:textId="77777777" w:rsidR="00B02873" w:rsidRPr="007B509E" w:rsidRDefault="00B02873" w:rsidP="00DE3776">
            <w:pPr>
              <w:pStyle w:val="TablebodyleftTables"/>
              <w:jc w:val="right"/>
              <w:rPr>
                <w:b/>
                <w:bCs/>
              </w:rPr>
            </w:pPr>
            <w:r w:rsidRPr="007B509E">
              <w:rPr>
                <w:b/>
                <w:bCs/>
              </w:rPr>
              <w:t>6,986%</w:t>
            </w:r>
          </w:p>
        </w:tc>
        <w:tc>
          <w:tcPr>
            <w:tcW w:w="1171" w:type="dxa"/>
          </w:tcPr>
          <w:p w14:paraId="76DB45E7" w14:textId="77777777" w:rsidR="00B02873" w:rsidRPr="007B509E" w:rsidRDefault="00B02873" w:rsidP="00DE3776">
            <w:pPr>
              <w:pStyle w:val="TablebodyleftTables"/>
              <w:jc w:val="right"/>
              <w:rPr>
                <w:rFonts w:cs="Times New Roman"/>
                <w:b/>
                <w:bCs/>
              </w:rPr>
            </w:pPr>
          </w:p>
        </w:tc>
      </w:tr>
      <w:tr w:rsidR="00B02873" w:rsidRPr="007B509E" w14:paraId="2A1D59A5" w14:textId="77777777" w:rsidTr="00DE3776">
        <w:trPr>
          <w:trHeight w:val="60"/>
        </w:trPr>
        <w:tc>
          <w:tcPr>
            <w:tcW w:w="3685" w:type="dxa"/>
          </w:tcPr>
          <w:p w14:paraId="3BB28C98" w14:textId="77777777" w:rsidR="00B02873" w:rsidRPr="007B509E" w:rsidRDefault="00B02873" w:rsidP="00DE3776">
            <w:pPr>
              <w:pStyle w:val="TablebodyleftTables"/>
              <w:rPr>
                <w:b/>
                <w:bCs/>
              </w:rPr>
            </w:pPr>
            <w:r w:rsidRPr="007B509E">
              <w:rPr>
                <w:b/>
                <w:bCs/>
              </w:rPr>
              <w:t>Net result</w:t>
            </w:r>
          </w:p>
        </w:tc>
        <w:tc>
          <w:tcPr>
            <w:tcW w:w="1191" w:type="dxa"/>
          </w:tcPr>
          <w:p w14:paraId="4BC88945" w14:textId="77777777" w:rsidR="00B02873" w:rsidRPr="007B509E" w:rsidRDefault="00B02873" w:rsidP="00DE3776">
            <w:pPr>
              <w:pStyle w:val="TablebodyleftTables"/>
              <w:jc w:val="right"/>
              <w:rPr>
                <w:b/>
                <w:bCs/>
              </w:rPr>
            </w:pPr>
            <w:r w:rsidRPr="007B509E">
              <w:rPr>
                <w:b/>
                <w:bCs/>
              </w:rPr>
              <w:t>614</w:t>
            </w:r>
          </w:p>
        </w:tc>
        <w:tc>
          <w:tcPr>
            <w:tcW w:w="1190" w:type="dxa"/>
          </w:tcPr>
          <w:p w14:paraId="6747050A" w14:textId="77777777" w:rsidR="00B02873" w:rsidRPr="007B509E" w:rsidRDefault="00B02873" w:rsidP="00DE3776">
            <w:pPr>
              <w:pStyle w:val="TablebodyleftTables"/>
              <w:jc w:val="right"/>
              <w:rPr>
                <w:b/>
                <w:bCs/>
              </w:rPr>
            </w:pPr>
            <w:r w:rsidRPr="007B509E">
              <w:rPr>
                <w:b/>
                <w:bCs/>
              </w:rPr>
              <w:t>(10)</w:t>
            </w:r>
          </w:p>
        </w:tc>
        <w:tc>
          <w:tcPr>
            <w:tcW w:w="1191" w:type="dxa"/>
          </w:tcPr>
          <w:p w14:paraId="2A993CD5" w14:textId="77777777" w:rsidR="00B02873" w:rsidRPr="007B509E" w:rsidRDefault="00B02873" w:rsidP="00DE3776">
            <w:pPr>
              <w:pStyle w:val="TablebodyleftTables"/>
              <w:jc w:val="right"/>
              <w:rPr>
                <w:b/>
                <w:bCs/>
              </w:rPr>
            </w:pPr>
            <w:r w:rsidRPr="007B509E">
              <w:rPr>
                <w:b/>
                <w:bCs/>
              </w:rPr>
              <w:t>624</w:t>
            </w:r>
          </w:p>
        </w:tc>
        <w:tc>
          <w:tcPr>
            <w:tcW w:w="1190" w:type="dxa"/>
          </w:tcPr>
          <w:p w14:paraId="53BF75F1" w14:textId="77777777" w:rsidR="00B02873" w:rsidRPr="007B509E" w:rsidRDefault="00B02873" w:rsidP="00DE3776">
            <w:pPr>
              <w:pStyle w:val="TablebodyleftTables"/>
              <w:jc w:val="right"/>
              <w:rPr>
                <w:b/>
                <w:bCs/>
              </w:rPr>
            </w:pPr>
            <w:r w:rsidRPr="007B509E">
              <w:rPr>
                <w:b/>
                <w:bCs/>
              </w:rPr>
              <w:t>6,240%</w:t>
            </w:r>
          </w:p>
        </w:tc>
        <w:tc>
          <w:tcPr>
            <w:tcW w:w="1171" w:type="dxa"/>
          </w:tcPr>
          <w:p w14:paraId="731C9216" w14:textId="77777777" w:rsidR="00B02873" w:rsidRPr="007B509E" w:rsidRDefault="00B02873" w:rsidP="00DE3776">
            <w:pPr>
              <w:pStyle w:val="TablebodyleftTables"/>
              <w:jc w:val="right"/>
              <w:rPr>
                <w:rFonts w:cs="Times New Roman"/>
                <w:b/>
                <w:bCs/>
              </w:rPr>
            </w:pPr>
          </w:p>
        </w:tc>
      </w:tr>
      <w:tr w:rsidR="00DE3776" w:rsidRPr="00B02873" w14:paraId="3323A29D" w14:textId="77777777" w:rsidTr="00AC6E8B">
        <w:trPr>
          <w:trHeight w:val="60"/>
        </w:trPr>
        <w:tc>
          <w:tcPr>
            <w:tcW w:w="3685" w:type="dxa"/>
          </w:tcPr>
          <w:p w14:paraId="0B8090AB" w14:textId="5C8FA5E1" w:rsidR="00DE3776" w:rsidRPr="00DE3776" w:rsidRDefault="00DE3776" w:rsidP="00AC6E8B">
            <w:pPr>
              <w:pStyle w:val="TablebodyleftTables"/>
              <w:rPr>
                <w:b/>
                <w:bCs/>
              </w:rPr>
            </w:pPr>
            <w:r w:rsidRPr="00DE3776">
              <w:rPr>
                <w:b/>
                <w:bCs/>
              </w:rPr>
              <w:t>Other economic flows – other comprehensive income</w:t>
            </w:r>
          </w:p>
        </w:tc>
        <w:tc>
          <w:tcPr>
            <w:tcW w:w="1191" w:type="dxa"/>
          </w:tcPr>
          <w:p w14:paraId="5E3AA94A" w14:textId="77777777" w:rsidR="00DE3776" w:rsidRDefault="00DE3776" w:rsidP="00DE3776">
            <w:pPr>
              <w:pStyle w:val="TablebodyleftTables"/>
              <w:jc w:val="right"/>
            </w:pPr>
          </w:p>
        </w:tc>
        <w:tc>
          <w:tcPr>
            <w:tcW w:w="1190" w:type="dxa"/>
          </w:tcPr>
          <w:p w14:paraId="0B7D6C6E" w14:textId="77777777" w:rsidR="00DE3776" w:rsidRDefault="00DE3776" w:rsidP="00DE3776">
            <w:pPr>
              <w:pStyle w:val="TablebodyleftTables"/>
              <w:jc w:val="right"/>
            </w:pPr>
          </w:p>
        </w:tc>
        <w:tc>
          <w:tcPr>
            <w:tcW w:w="1191" w:type="dxa"/>
          </w:tcPr>
          <w:p w14:paraId="65B564B1" w14:textId="77777777" w:rsidR="00DE3776" w:rsidRDefault="00DE3776" w:rsidP="00DE3776">
            <w:pPr>
              <w:pStyle w:val="TablebodyleftTables"/>
              <w:jc w:val="right"/>
            </w:pPr>
          </w:p>
        </w:tc>
        <w:tc>
          <w:tcPr>
            <w:tcW w:w="1190" w:type="dxa"/>
          </w:tcPr>
          <w:p w14:paraId="7AE4C4FF" w14:textId="77777777" w:rsidR="00DE3776" w:rsidRDefault="00DE3776" w:rsidP="00DE3776">
            <w:pPr>
              <w:pStyle w:val="TablebodyleftTables"/>
              <w:jc w:val="right"/>
            </w:pPr>
          </w:p>
        </w:tc>
        <w:tc>
          <w:tcPr>
            <w:tcW w:w="1171" w:type="dxa"/>
          </w:tcPr>
          <w:p w14:paraId="35665DA7" w14:textId="77777777" w:rsidR="00DE3776" w:rsidRDefault="00DE3776" w:rsidP="00DE3776">
            <w:pPr>
              <w:pStyle w:val="TablebodyleftTables"/>
              <w:jc w:val="right"/>
            </w:pPr>
          </w:p>
        </w:tc>
      </w:tr>
      <w:tr w:rsidR="00B02873" w:rsidRPr="00B02873" w14:paraId="3C626D7F" w14:textId="77777777" w:rsidTr="00DE3776">
        <w:trPr>
          <w:trHeight w:val="60"/>
        </w:trPr>
        <w:tc>
          <w:tcPr>
            <w:tcW w:w="3685" w:type="dxa"/>
          </w:tcPr>
          <w:p w14:paraId="7D49CDCB" w14:textId="77777777" w:rsidR="00B02873" w:rsidRDefault="00B02873" w:rsidP="00DE3776">
            <w:pPr>
              <w:pStyle w:val="TablebodyleftTables"/>
            </w:pPr>
            <w:r>
              <w:t>Changes in non-financial assets revaluation reserve</w:t>
            </w:r>
          </w:p>
        </w:tc>
        <w:tc>
          <w:tcPr>
            <w:tcW w:w="1191" w:type="dxa"/>
          </w:tcPr>
          <w:p w14:paraId="1368CEB3" w14:textId="77777777" w:rsidR="00B02873" w:rsidRDefault="00B02873" w:rsidP="00DE3776">
            <w:pPr>
              <w:pStyle w:val="TablebodyleftTables"/>
              <w:jc w:val="right"/>
            </w:pPr>
            <w:r>
              <w:t>1,051</w:t>
            </w:r>
          </w:p>
        </w:tc>
        <w:tc>
          <w:tcPr>
            <w:tcW w:w="1190" w:type="dxa"/>
          </w:tcPr>
          <w:p w14:paraId="36CE5682" w14:textId="77777777" w:rsidR="00B02873" w:rsidRDefault="00B02873" w:rsidP="00DE3776">
            <w:pPr>
              <w:pStyle w:val="TablebodyleftTables"/>
              <w:jc w:val="right"/>
            </w:pPr>
            <w:r>
              <w:t>0</w:t>
            </w:r>
          </w:p>
        </w:tc>
        <w:tc>
          <w:tcPr>
            <w:tcW w:w="1191" w:type="dxa"/>
          </w:tcPr>
          <w:p w14:paraId="24D99CE2" w14:textId="77777777" w:rsidR="00B02873" w:rsidRDefault="00B02873" w:rsidP="00DE3776">
            <w:pPr>
              <w:pStyle w:val="TablebodyleftTables"/>
              <w:jc w:val="right"/>
            </w:pPr>
            <w:r>
              <w:t>1,051</w:t>
            </w:r>
          </w:p>
        </w:tc>
        <w:tc>
          <w:tcPr>
            <w:tcW w:w="1190" w:type="dxa"/>
          </w:tcPr>
          <w:p w14:paraId="4B6453E8" w14:textId="77777777" w:rsidR="00B02873" w:rsidRDefault="00B02873" w:rsidP="00DE3776">
            <w:pPr>
              <w:pStyle w:val="TablebodyleftTables"/>
              <w:jc w:val="right"/>
            </w:pPr>
            <w:r>
              <w:t>100%</w:t>
            </w:r>
          </w:p>
        </w:tc>
        <w:tc>
          <w:tcPr>
            <w:tcW w:w="1171" w:type="dxa"/>
          </w:tcPr>
          <w:p w14:paraId="62F3C1E6" w14:textId="77777777" w:rsidR="00B02873" w:rsidRDefault="00B02873" w:rsidP="00DE3776">
            <w:pPr>
              <w:pStyle w:val="TablebodyleftTables"/>
              <w:jc w:val="right"/>
            </w:pPr>
            <w:r>
              <w:t>12</w:t>
            </w:r>
          </w:p>
        </w:tc>
      </w:tr>
      <w:tr w:rsidR="00B02873" w:rsidRPr="007B509E" w14:paraId="771EB580" w14:textId="77777777" w:rsidTr="00DE3776">
        <w:trPr>
          <w:trHeight w:val="60"/>
        </w:trPr>
        <w:tc>
          <w:tcPr>
            <w:tcW w:w="3685" w:type="dxa"/>
          </w:tcPr>
          <w:p w14:paraId="270F6BEB" w14:textId="77777777" w:rsidR="00B02873" w:rsidRPr="007B509E" w:rsidRDefault="00B02873" w:rsidP="00DE3776">
            <w:pPr>
              <w:pStyle w:val="TablebodyleftTables"/>
            </w:pPr>
            <w:r w:rsidRPr="007B509E">
              <w:rPr>
                <w:spacing w:val="-3"/>
              </w:rPr>
              <w:t>Financial assets available for sale reserve</w:t>
            </w:r>
          </w:p>
        </w:tc>
        <w:tc>
          <w:tcPr>
            <w:tcW w:w="1191" w:type="dxa"/>
          </w:tcPr>
          <w:p w14:paraId="15ABD47D" w14:textId="77777777" w:rsidR="00B02873" w:rsidRPr="007B509E" w:rsidRDefault="00B02873" w:rsidP="00DE3776">
            <w:pPr>
              <w:pStyle w:val="TablebodyleftTables"/>
              <w:jc w:val="right"/>
            </w:pPr>
            <w:r w:rsidRPr="007B509E">
              <w:t>0</w:t>
            </w:r>
          </w:p>
        </w:tc>
        <w:tc>
          <w:tcPr>
            <w:tcW w:w="1190" w:type="dxa"/>
          </w:tcPr>
          <w:p w14:paraId="7C038923" w14:textId="77777777" w:rsidR="00B02873" w:rsidRPr="007B509E" w:rsidRDefault="00B02873" w:rsidP="00DE3776">
            <w:pPr>
              <w:pStyle w:val="TablebodyleftTables"/>
              <w:jc w:val="right"/>
            </w:pPr>
            <w:r w:rsidRPr="007B509E">
              <w:t>0</w:t>
            </w:r>
          </w:p>
        </w:tc>
        <w:tc>
          <w:tcPr>
            <w:tcW w:w="1191" w:type="dxa"/>
          </w:tcPr>
          <w:p w14:paraId="2EB0F9BA" w14:textId="77777777" w:rsidR="00B02873" w:rsidRPr="007B509E" w:rsidRDefault="00B02873" w:rsidP="00DE3776">
            <w:pPr>
              <w:pStyle w:val="TablebodyleftTables"/>
              <w:jc w:val="right"/>
            </w:pPr>
            <w:r w:rsidRPr="007B509E">
              <w:t>0</w:t>
            </w:r>
          </w:p>
        </w:tc>
        <w:tc>
          <w:tcPr>
            <w:tcW w:w="1190" w:type="dxa"/>
          </w:tcPr>
          <w:p w14:paraId="566931B5" w14:textId="77777777" w:rsidR="00B02873" w:rsidRPr="007B509E" w:rsidRDefault="00B02873" w:rsidP="00DE3776">
            <w:pPr>
              <w:pStyle w:val="TablebodyleftTables"/>
              <w:jc w:val="right"/>
            </w:pPr>
            <w:r w:rsidRPr="007B509E">
              <w:t>0%</w:t>
            </w:r>
          </w:p>
        </w:tc>
        <w:tc>
          <w:tcPr>
            <w:tcW w:w="1171" w:type="dxa"/>
          </w:tcPr>
          <w:p w14:paraId="1CA4BE21" w14:textId="77777777" w:rsidR="00B02873" w:rsidRPr="007B509E" w:rsidRDefault="00B02873" w:rsidP="00DE3776">
            <w:pPr>
              <w:pStyle w:val="TablebodyleftTables"/>
              <w:jc w:val="right"/>
              <w:rPr>
                <w:rFonts w:cs="Times New Roman"/>
              </w:rPr>
            </w:pPr>
          </w:p>
        </w:tc>
      </w:tr>
      <w:tr w:rsidR="00B02873" w:rsidRPr="007B509E" w14:paraId="34FFB970" w14:textId="77777777" w:rsidTr="00DE3776">
        <w:trPr>
          <w:trHeight w:val="60"/>
        </w:trPr>
        <w:tc>
          <w:tcPr>
            <w:tcW w:w="3685" w:type="dxa"/>
          </w:tcPr>
          <w:p w14:paraId="7025F492" w14:textId="77777777" w:rsidR="00B02873" w:rsidRPr="007B509E" w:rsidRDefault="00B02873" w:rsidP="00DE3776">
            <w:pPr>
              <w:pStyle w:val="TablebodyleftTables"/>
            </w:pPr>
            <w:r w:rsidRPr="007B509E">
              <w:t>Other</w:t>
            </w:r>
          </w:p>
        </w:tc>
        <w:tc>
          <w:tcPr>
            <w:tcW w:w="1191" w:type="dxa"/>
          </w:tcPr>
          <w:p w14:paraId="7B2475A7" w14:textId="77777777" w:rsidR="00B02873" w:rsidRPr="007B509E" w:rsidRDefault="00B02873" w:rsidP="00DE3776">
            <w:pPr>
              <w:pStyle w:val="TablebodyleftTables"/>
              <w:jc w:val="right"/>
            </w:pPr>
            <w:r w:rsidRPr="007B509E">
              <w:t>0</w:t>
            </w:r>
          </w:p>
        </w:tc>
        <w:tc>
          <w:tcPr>
            <w:tcW w:w="1190" w:type="dxa"/>
          </w:tcPr>
          <w:p w14:paraId="40C2882C" w14:textId="77777777" w:rsidR="00B02873" w:rsidRPr="007B509E" w:rsidRDefault="00B02873" w:rsidP="00DE3776">
            <w:pPr>
              <w:pStyle w:val="TablebodyleftTables"/>
              <w:jc w:val="right"/>
            </w:pPr>
            <w:r w:rsidRPr="007B509E">
              <w:t>0</w:t>
            </w:r>
          </w:p>
        </w:tc>
        <w:tc>
          <w:tcPr>
            <w:tcW w:w="1191" w:type="dxa"/>
          </w:tcPr>
          <w:p w14:paraId="01EEC73F" w14:textId="77777777" w:rsidR="00B02873" w:rsidRPr="007B509E" w:rsidRDefault="00B02873" w:rsidP="00DE3776">
            <w:pPr>
              <w:pStyle w:val="TablebodyleftTables"/>
              <w:jc w:val="right"/>
            </w:pPr>
            <w:r w:rsidRPr="007B509E">
              <w:t>0</w:t>
            </w:r>
          </w:p>
        </w:tc>
        <w:tc>
          <w:tcPr>
            <w:tcW w:w="1190" w:type="dxa"/>
          </w:tcPr>
          <w:p w14:paraId="405E6566" w14:textId="77777777" w:rsidR="00B02873" w:rsidRPr="007B509E" w:rsidRDefault="00B02873" w:rsidP="00DE3776">
            <w:pPr>
              <w:pStyle w:val="TablebodyleftTables"/>
              <w:jc w:val="right"/>
            </w:pPr>
            <w:r w:rsidRPr="007B509E">
              <w:t>0%</w:t>
            </w:r>
          </w:p>
        </w:tc>
        <w:tc>
          <w:tcPr>
            <w:tcW w:w="1171" w:type="dxa"/>
          </w:tcPr>
          <w:p w14:paraId="0064C5AA" w14:textId="77777777" w:rsidR="00B02873" w:rsidRPr="007B509E" w:rsidRDefault="00B02873" w:rsidP="00DE3776">
            <w:pPr>
              <w:pStyle w:val="TablebodyleftTables"/>
              <w:jc w:val="right"/>
              <w:rPr>
                <w:rFonts w:cs="Times New Roman"/>
              </w:rPr>
            </w:pPr>
          </w:p>
        </w:tc>
      </w:tr>
      <w:tr w:rsidR="00B02873" w:rsidRPr="007B509E" w14:paraId="4FACA92D" w14:textId="77777777" w:rsidTr="00DE3776">
        <w:trPr>
          <w:trHeight w:val="60"/>
        </w:trPr>
        <w:tc>
          <w:tcPr>
            <w:tcW w:w="3685" w:type="dxa"/>
          </w:tcPr>
          <w:p w14:paraId="5179DDBF" w14:textId="18777C66" w:rsidR="00B02873" w:rsidRPr="007B509E" w:rsidRDefault="00B02873" w:rsidP="00DE3776">
            <w:pPr>
              <w:pStyle w:val="TablebodyleftTables"/>
              <w:rPr>
                <w:b/>
                <w:bCs/>
              </w:rPr>
            </w:pPr>
            <w:r w:rsidRPr="007B509E">
              <w:rPr>
                <w:b/>
                <w:bCs/>
              </w:rPr>
              <w:t>Total other economic flows</w:t>
            </w:r>
            <w:r w:rsidR="000C45FC" w:rsidRPr="007B509E">
              <w:rPr>
                <w:b/>
                <w:bCs/>
              </w:rPr>
              <w:t xml:space="preserve"> – </w:t>
            </w:r>
            <w:r w:rsidRPr="007B509E">
              <w:rPr>
                <w:b/>
                <w:bCs/>
              </w:rPr>
              <w:t>other</w:t>
            </w:r>
            <w:r w:rsidR="00DE3776" w:rsidRPr="007B509E">
              <w:rPr>
                <w:b/>
                <w:bCs/>
              </w:rPr>
              <w:t xml:space="preserve"> </w:t>
            </w:r>
            <w:r w:rsidRPr="007B509E">
              <w:rPr>
                <w:b/>
                <w:bCs/>
              </w:rPr>
              <w:t>comprehensive income</w:t>
            </w:r>
          </w:p>
        </w:tc>
        <w:tc>
          <w:tcPr>
            <w:tcW w:w="1191" w:type="dxa"/>
          </w:tcPr>
          <w:p w14:paraId="4B3CCB5E" w14:textId="77777777" w:rsidR="00B02873" w:rsidRPr="007B509E" w:rsidRDefault="00B02873" w:rsidP="00DE3776">
            <w:pPr>
              <w:pStyle w:val="TablebodyleftTables"/>
              <w:jc w:val="right"/>
              <w:rPr>
                <w:b/>
                <w:bCs/>
              </w:rPr>
            </w:pPr>
            <w:r w:rsidRPr="007B509E">
              <w:rPr>
                <w:b/>
                <w:bCs/>
              </w:rPr>
              <w:t>1,051</w:t>
            </w:r>
          </w:p>
        </w:tc>
        <w:tc>
          <w:tcPr>
            <w:tcW w:w="1190" w:type="dxa"/>
          </w:tcPr>
          <w:p w14:paraId="7652ACF6" w14:textId="77777777" w:rsidR="00B02873" w:rsidRPr="007B509E" w:rsidRDefault="00B02873" w:rsidP="00DE3776">
            <w:pPr>
              <w:pStyle w:val="TablebodyleftTables"/>
              <w:jc w:val="right"/>
              <w:rPr>
                <w:b/>
                <w:bCs/>
              </w:rPr>
            </w:pPr>
            <w:r w:rsidRPr="007B509E">
              <w:rPr>
                <w:b/>
                <w:bCs/>
              </w:rPr>
              <w:t>0</w:t>
            </w:r>
          </w:p>
        </w:tc>
        <w:tc>
          <w:tcPr>
            <w:tcW w:w="1191" w:type="dxa"/>
          </w:tcPr>
          <w:p w14:paraId="5CC25513" w14:textId="77777777" w:rsidR="00B02873" w:rsidRPr="007B509E" w:rsidRDefault="00B02873" w:rsidP="00DE3776">
            <w:pPr>
              <w:pStyle w:val="TablebodyleftTables"/>
              <w:jc w:val="right"/>
              <w:rPr>
                <w:b/>
                <w:bCs/>
              </w:rPr>
            </w:pPr>
            <w:r w:rsidRPr="007B509E">
              <w:rPr>
                <w:b/>
                <w:bCs/>
              </w:rPr>
              <w:t>1,051</w:t>
            </w:r>
          </w:p>
        </w:tc>
        <w:tc>
          <w:tcPr>
            <w:tcW w:w="1190" w:type="dxa"/>
          </w:tcPr>
          <w:p w14:paraId="26468F8C" w14:textId="77777777" w:rsidR="00B02873" w:rsidRPr="007B509E" w:rsidRDefault="00B02873" w:rsidP="00DE3776">
            <w:pPr>
              <w:pStyle w:val="TablebodyleftTables"/>
              <w:jc w:val="right"/>
              <w:rPr>
                <w:b/>
                <w:bCs/>
              </w:rPr>
            </w:pPr>
            <w:r w:rsidRPr="007B509E">
              <w:rPr>
                <w:b/>
                <w:bCs/>
              </w:rPr>
              <w:t>100%</w:t>
            </w:r>
          </w:p>
        </w:tc>
        <w:tc>
          <w:tcPr>
            <w:tcW w:w="1171" w:type="dxa"/>
          </w:tcPr>
          <w:p w14:paraId="7BFDB8EF" w14:textId="77777777" w:rsidR="00B02873" w:rsidRPr="007B509E" w:rsidRDefault="00B02873" w:rsidP="00DE3776">
            <w:pPr>
              <w:pStyle w:val="TablebodyleftTables"/>
              <w:jc w:val="right"/>
              <w:rPr>
                <w:rFonts w:cs="Times New Roman"/>
                <w:b/>
                <w:bCs/>
              </w:rPr>
            </w:pPr>
          </w:p>
        </w:tc>
      </w:tr>
      <w:tr w:rsidR="00B02873" w:rsidRPr="007B509E" w14:paraId="6243A9AF" w14:textId="77777777" w:rsidTr="00DE3776">
        <w:trPr>
          <w:trHeight w:val="60"/>
        </w:trPr>
        <w:tc>
          <w:tcPr>
            <w:tcW w:w="3685" w:type="dxa"/>
          </w:tcPr>
          <w:p w14:paraId="2DE30308" w14:textId="77777777" w:rsidR="00B02873" w:rsidRPr="007B509E" w:rsidRDefault="00B02873" w:rsidP="00DE3776">
            <w:pPr>
              <w:pStyle w:val="TablebodyleftTables"/>
              <w:rPr>
                <w:b/>
                <w:bCs/>
              </w:rPr>
            </w:pPr>
            <w:r w:rsidRPr="007B509E">
              <w:rPr>
                <w:b/>
                <w:bCs/>
              </w:rPr>
              <w:t>Comprehensive result</w:t>
            </w:r>
          </w:p>
        </w:tc>
        <w:tc>
          <w:tcPr>
            <w:tcW w:w="1191" w:type="dxa"/>
          </w:tcPr>
          <w:p w14:paraId="78F82205" w14:textId="77777777" w:rsidR="00B02873" w:rsidRPr="007B509E" w:rsidRDefault="00B02873" w:rsidP="00DE3776">
            <w:pPr>
              <w:pStyle w:val="TablebodyleftTables"/>
              <w:jc w:val="right"/>
              <w:rPr>
                <w:b/>
                <w:bCs/>
              </w:rPr>
            </w:pPr>
            <w:r w:rsidRPr="007B509E">
              <w:rPr>
                <w:b/>
                <w:bCs/>
              </w:rPr>
              <w:t>1,665</w:t>
            </w:r>
          </w:p>
        </w:tc>
        <w:tc>
          <w:tcPr>
            <w:tcW w:w="1190" w:type="dxa"/>
          </w:tcPr>
          <w:p w14:paraId="623E0B08" w14:textId="77777777" w:rsidR="00B02873" w:rsidRPr="007B509E" w:rsidRDefault="00B02873" w:rsidP="00DE3776">
            <w:pPr>
              <w:pStyle w:val="TablebodyleftTables"/>
              <w:jc w:val="right"/>
              <w:rPr>
                <w:b/>
                <w:bCs/>
              </w:rPr>
            </w:pPr>
            <w:r w:rsidRPr="007B509E">
              <w:rPr>
                <w:b/>
                <w:bCs/>
              </w:rPr>
              <w:t>(10)</w:t>
            </w:r>
          </w:p>
        </w:tc>
        <w:tc>
          <w:tcPr>
            <w:tcW w:w="1191" w:type="dxa"/>
          </w:tcPr>
          <w:p w14:paraId="013A1D6F" w14:textId="77777777" w:rsidR="00B02873" w:rsidRPr="007B509E" w:rsidRDefault="00B02873" w:rsidP="00DE3776">
            <w:pPr>
              <w:pStyle w:val="TablebodyleftTables"/>
              <w:jc w:val="right"/>
              <w:rPr>
                <w:b/>
                <w:bCs/>
              </w:rPr>
            </w:pPr>
            <w:r w:rsidRPr="007B509E">
              <w:rPr>
                <w:b/>
                <w:bCs/>
              </w:rPr>
              <w:t>1,675</w:t>
            </w:r>
          </w:p>
        </w:tc>
        <w:tc>
          <w:tcPr>
            <w:tcW w:w="1190" w:type="dxa"/>
          </w:tcPr>
          <w:p w14:paraId="2D87D18A" w14:textId="77777777" w:rsidR="00B02873" w:rsidRPr="007B509E" w:rsidRDefault="00B02873" w:rsidP="00DE3776">
            <w:pPr>
              <w:pStyle w:val="TablebodyleftTables"/>
              <w:jc w:val="right"/>
              <w:rPr>
                <w:b/>
                <w:bCs/>
              </w:rPr>
            </w:pPr>
            <w:r w:rsidRPr="007B509E">
              <w:rPr>
                <w:b/>
                <w:bCs/>
              </w:rPr>
              <w:t>16,750%</w:t>
            </w:r>
          </w:p>
        </w:tc>
        <w:tc>
          <w:tcPr>
            <w:tcW w:w="1171" w:type="dxa"/>
          </w:tcPr>
          <w:p w14:paraId="4E7E6709" w14:textId="77777777" w:rsidR="00B02873" w:rsidRPr="007B509E" w:rsidRDefault="00B02873" w:rsidP="00DE3776">
            <w:pPr>
              <w:pStyle w:val="TablebodyleftTables"/>
              <w:jc w:val="right"/>
              <w:rPr>
                <w:rFonts w:cs="Times New Roman"/>
                <w:b/>
                <w:bCs/>
              </w:rPr>
            </w:pPr>
          </w:p>
        </w:tc>
      </w:tr>
    </w:tbl>
    <w:p w14:paraId="7907D507" w14:textId="77777777" w:rsidR="00B02873" w:rsidRPr="00DE3776" w:rsidRDefault="00B02873" w:rsidP="00F94F90">
      <w:pPr>
        <w:pStyle w:val="SourceNote"/>
        <w:spacing w:after="120"/>
        <w:rPr>
          <w:b/>
          <w:bCs/>
        </w:rPr>
      </w:pPr>
      <w:r w:rsidRPr="00DE3776">
        <w:rPr>
          <w:b/>
          <w:bCs/>
        </w:rPr>
        <w:t>Variance Notes:</w:t>
      </w:r>
    </w:p>
    <w:p w14:paraId="3C846488" w14:textId="77777777" w:rsidR="00B02873" w:rsidRDefault="00B02873" w:rsidP="001128B1">
      <w:pPr>
        <w:pStyle w:val="SourceNotenumbered-1"/>
        <w:numPr>
          <w:ilvl w:val="0"/>
          <w:numId w:val="51"/>
        </w:numPr>
      </w:pPr>
      <w:r>
        <w:t>The variance is primarily due to lower than anticipated interest income received by the Growth Areas Infrastructure Contribution (GAIC) and Parks and Reserves Trust Account (PRTA) and lower than expected concessional loan take-ups for the Solar Homes programs.</w:t>
      </w:r>
    </w:p>
    <w:p w14:paraId="3E1179F7" w14:textId="41097FCE" w:rsidR="00B02873" w:rsidRDefault="00B02873" w:rsidP="001128B1">
      <w:pPr>
        <w:pStyle w:val="SourceNotenumbered-1"/>
        <w:numPr>
          <w:ilvl w:val="0"/>
          <w:numId w:val="51"/>
        </w:numPr>
      </w:pPr>
      <w:r>
        <w:t>The variance is primarily due to an increase in grant funding from Bushfire Recovery Victoria for recovery programs to be delivered by the department.</w:t>
      </w:r>
    </w:p>
    <w:p w14:paraId="3F80DA4A" w14:textId="77777777" w:rsidR="00B02873" w:rsidRDefault="00B02873" w:rsidP="001128B1">
      <w:pPr>
        <w:pStyle w:val="SourceNotenumbered-1"/>
        <w:numPr>
          <w:ilvl w:val="0"/>
          <w:numId w:val="51"/>
        </w:numPr>
      </w:pPr>
      <w:r>
        <w:t>The variance is primarily due to an increase in revenue in the Municipal and Industrial Waste Levy from increased levy rates and income from financial instruments related to department contracts designed to bring forward investment in renewable energy generation, to support the achievement of Victoria’s renewable energy targets.</w:t>
      </w:r>
    </w:p>
    <w:p w14:paraId="4D430F64" w14:textId="77777777" w:rsidR="00B02873" w:rsidRDefault="00B02873" w:rsidP="001128B1">
      <w:pPr>
        <w:pStyle w:val="SourceNotenumbered-1"/>
        <w:numPr>
          <w:ilvl w:val="0"/>
          <w:numId w:val="51"/>
        </w:numPr>
      </w:pPr>
      <w:r>
        <w:t>The variance is due to an increase in employee expenses primarily associated with the management of natural emergencies including flood and storm, and advanced bushfire management, as well as an increase in the superannuation guarantee levy and Enterprise Bargaining Agreement salary increases.</w:t>
      </w:r>
    </w:p>
    <w:p w14:paraId="20B2463F" w14:textId="77777777" w:rsidR="00B02873" w:rsidRDefault="00B02873" w:rsidP="001128B1">
      <w:pPr>
        <w:pStyle w:val="SourceNotenumbered-1"/>
        <w:numPr>
          <w:ilvl w:val="0"/>
          <w:numId w:val="51"/>
        </w:numPr>
      </w:pPr>
      <w:r>
        <w:t xml:space="preserve">The variance is primarily due to an increase in depreciation and amortisation expenses driven by higher asset values following the scheduled five-year asset revaluation that occurred in 2021. </w:t>
      </w:r>
    </w:p>
    <w:p w14:paraId="723DAD55" w14:textId="77777777" w:rsidR="00B02873" w:rsidRDefault="00B02873" w:rsidP="001128B1">
      <w:pPr>
        <w:pStyle w:val="SourceNotenumbered-1"/>
        <w:numPr>
          <w:ilvl w:val="0"/>
          <w:numId w:val="51"/>
        </w:numPr>
      </w:pPr>
      <w:r>
        <w:t>The variance is primarily due to an increase in interest expense related to Solar Homes concessional loans.</w:t>
      </w:r>
    </w:p>
    <w:p w14:paraId="432F9CE6" w14:textId="77777777" w:rsidR="00B02873" w:rsidRDefault="00B02873" w:rsidP="001128B1">
      <w:pPr>
        <w:pStyle w:val="SourceNotenumbered-1"/>
        <w:numPr>
          <w:ilvl w:val="0"/>
          <w:numId w:val="51"/>
        </w:numPr>
      </w:pPr>
      <w:r>
        <w:t>The variance is primarily due to an increase in grants expenses for financial instruments related to the department’s renewable energy generation contracts, grants associated with the department’s flood and storm recovery efforts and grants to deliver the Commonwealth funded Sustainable Rural Water Use and Infrastructure Development program.</w:t>
      </w:r>
    </w:p>
    <w:p w14:paraId="14A309AF" w14:textId="1DC6FA63" w:rsidR="00B02873" w:rsidRDefault="00B02873" w:rsidP="001128B1">
      <w:pPr>
        <w:pStyle w:val="SourceNotenumbered-1"/>
        <w:numPr>
          <w:ilvl w:val="0"/>
          <w:numId w:val="51"/>
        </w:numPr>
      </w:pPr>
      <w:r>
        <w:t>The variance is primarily due to a change in expenditure profile for Recycling Victoria</w:t>
      </w:r>
      <w:r w:rsidR="000C45FC">
        <w:t xml:space="preserve"> – </w:t>
      </w:r>
      <w:r>
        <w:t>Circular Economy, Cheaper Cleaner Energy to Drive Economic Recovery program and the Suburban Parks program.</w:t>
      </w:r>
    </w:p>
    <w:p w14:paraId="4DB74827" w14:textId="77777777" w:rsidR="00B02873" w:rsidRDefault="00B02873" w:rsidP="001128B1">
      <w:pPr>
        <w:pStyle w:val="SourceNotenumbered-1"/>
        <w:numPr>
          <w:ilvl w:val="0"/>
          <w:numId w:val="51"/>
        </w:numPr>
      </w:pPr>
      <w:r>
        <w:t xml:space="preserve">The variance is primarily due to first-time recognition of Crown land. </w:t>
      </w:r>
    </w:p>
    <w:p w14:paraId="0B57E83F" w14:textId="77777777" w:rsidR="00B02873" w:rsidRDefault="00B02873" w:rsidP="001128B1">
      <w:pPr>
        <w:pStyle w:val="SourceNotenumbered-1"/>
        <w:numPr>
          <w:ilvl w:val="0"/>
          <w:numId w:val="51"/>
        </w:numPr>
      </w:pPr>
      <w:r>
        <w:t xml:space="preserve">The variance is primarily due to the mandatory annual fair value assessment of derivative financial instruments resulting from the Victorian Renewable Energy Auction Scheme. </w:t>
      </w:r>
    </w:p>
    <w:p w14:paraId="467577D4" w14:textId="77777777" w:rsidR="00B02873" w:rsidRDefault="00B02873" w:rsidP="001128B1">
      <w:pPr>
        <w:pStyle w:val="SourceNotenumbered-1"/>
        <w:numPr>
          <w:ilvl w:val="0"/>
          <w:numId w:val="51"/>
        </w:numPr>
      </w:pPr>
      <w:r>
        <w:t>The variance is due to the revaluation of long service leave driven by an increase in the discount rate.</w:t>
      </w:r>
    </w:p>
    <w:p w14:paraId="2382C9AC" w14:textId="77777777" w:rsidR="00B02873" w:rsidRDefault="00B02873" w:rsidP="001128B1">
      <w:pPr>
        <w:pStyle w:val="SourceNotenumbered-1"/>
        <w:numPr>
          <w:ilvl w:val="0"/>
          <w:numId w:val="51"/>
        </w:numPr>
      </w:pPr>
      <w:r>
        <w:t xml:space="preserve">The variance is primarily due to the change in value of land resulting from a managerial revaluation recognised in June 2022 based on the annual fair value assessment according to Financial Reporting Directions 103 </w:t>
      </w:r>
      <w:r w:rsidRPr="00DE1FCE">
        <w:rPr>
          <w:iCs/>
        </w:rPr>
        <w:t>Non-financial physical assets</w:t>
      </w:r>
      <w:r>
        <w:t xml:space="preserve">. </w:t>
      </w:r>
    </w:p>
    <w:p w14:paraId="6B7F942A" w14:textId="77777777" w:rsidR="00B02873" w:rsidRDefault="00B02873" w:rsidP="009F6531">
      <w:pPr>
        <w:pStyle w:val="TabletitleTables"/>
      </w:pPr>
      <w:r>
        <w:lastRenderedPageBreak/>
        <w:t>Table 2. Balance sheet as at 30 June 2022</w:t>
      </w:r>
    </w:p>
    <w:tbl>
      <w:tblPr>
        <w:tblStyle w:val="TableGrid"/>
        <w:tblW w:w="0" w:type="auto"/>
        <w:tblLayout w:type="fixed"/>
        <w:tblLook w:val="0020" w:firstRow="1" w:lastRow="0" w:firstColumn="0" w:lastColumn="0" w:noHBand="0" w:noVBand="0"/>
      </w:tblPr>
      <w:tblGrid>
        <w:gridCol w:w="3685"/>
        <w:gridCol w:w="1191"/>
        <w:gridCol w:w="1190"/>
        <w:gridCol w:w="1191"/>
        <w:gridCol w:w="1190"/>
        <w:gridCol w:w="1191"/>
      </w:tblGrid>
      <w:tr w:rsidR="00B02873" w:rsidRPr="00B02873" w14:paraId="274DEDBB" w14:textId="77777777" w:rsidTr="009F6531">
        <w:trPr>
          <w:cnfStyle w:val="100000000000" w:firstRow="1" w:lastRow="0" w:firstColumn="0" w:lastColumn="0" w:oddVBand="0" w:evenVBand="0" w:oddHBand="0" w:evenHBand="0" w:firstRowFirstColumn="0" w:firstRowLastColumn="0" w:lastRowFirstColumn="0" w:lastRowLastColumn="0"/>
        </w:trPr>
        <w:tc>
          <w:tcPr>
            <w:tcW w:w="3685" w:type="dxa"/>
          </w:tcPr>
          <w:p w14:paraId="1863F071" w14:textId="77777777" w:rsidR="00B02873" w:rsidRPr="00B02873" w:rsidRDefault="00B02873" w:rsidP="009F6531">
            <w:pPr>
              <w:pStyle w:val="TableheadingleftFinancialsTables"/>
            </w:pPr>
          </w:p>
        </w:tc>
        <w:tc>
          <w:tcPr>
            <w:tcW w:w="1191" w:type="dxa"/>
          </w:tcPr>
          <w:p w14:paraId="4D0BE928" w14:textId="77777777" w:rsidR="00B02873" w:rsidRDefault="00B02873" w:rsidP="009F6531">
            <w:pPr>
              <w:pStyle w:val="TableheadingleftFinancialsTables"/>
              <w:jc w:val="right"/>
            </w:pPr>
            <w:r>
              <w:t>2021-22 Actual</w:t>
            </w:r>
            <w:r>
              <w:br/>
              <w:t>($ million)</w:t>
            </w:r>
          </w:p>
        </w:tc>
        <w:tc>
          <w:tcPr>
            <w:tcW w:w="1190" w:type="dxa"/>
          </w:tcPr>
          <w:p w14:paraId="5CFC6FA8" w14:textId="77777777" w:rsidR="00B02873" w:rsidRDefault="00B02873" w:rsidP="009F6531">
            <w:pPr>
              <w:pStyle w:val="TableheadingleftFinancialsTables"/>
              <w:jc w:val="right"/>
            </w:pPr>
            <w:r>
              <w:t xml:space="preserve">2021-22 Published Budget </w:t>
            </w:r>
            <w:r>
              <w:br/>
              <w:t>($ million)</w:t>
            </w:r>
          </w:p>
        </w:tc>
        <w:tc>
          <w:tcPr>
            <w:tcW w:w="1191" w:type="dxa"/>
          </w:tcPr>
          <w:p w14:paraId="5B546ED9" w14:textId="77777777" w:rsidR="00B02873" w:rsidRDefault="00B02873" w:rsidP="009F6531">
            <w:pPr>
              <w:pStyle w:val="TableheadingleftFinancialsTables"/>
              <w:jc w:val="right"/>
            </w:pPr>
            <w:r>
              <w:t xml:space="preserve">Variance </w:t>
            </w:r>
            <w:r>
              <w:br/>
              <w:t>($ million)</w:t>
            </w:r>
          </w:p>
        </w:tc>
        <w:tc>
          <w:tcPr>
            <w:tcW w:w="1190" w:type="dxa"/>
          </w:tcPr>
          <w:p w14:paraId="512D6D79" w14:textId="77777777" w:rsidR="00B02873" w:rsidRDefault="00B02873" w:rsidP="009F6531">
            <w:pPr>
              <w:pStyle w:val="TableheadingleftFinancialsTables"/>
              <w:jc w:val="right"/>
            </w:pPr>
            <w:r>
              <w:t xml:space="preserve">Variance </w:t>
            </w:r>
            <w:r>
              <w:br/>
              <w:t>(%)</w:t>
            </w:r>
          </w:p>
        </w:tc>
        <w:tc>
          <w:tcPr>
            <w:tcW w:w="1191" w:type="dxa"/>
          </w:tcPr>
          <w:p w14:paraId="56CD9159" w14:textId="77777777" w:rsidR="00B02873" w:rsidRDefault="00B02873" w:rsidP="009F6531">
            <w:pPr>
              <w:pStyle w:val="TableheadingleftFinancialsTables"/>
              <w:jc w:val="right"/>
            </w:pPr>
            <w:r>
              <w:t>Variance</w:t>
            </w:r>
            <w:r>
              <w:br/>
              <w:t>Notes</w:t>
            </w:r>
          </w:p>
        </w:tc>
      </w:tr>
      <w:tr w:rsidR="00B02873" w:rsidRPr="007B509E" w14:paraId="165DDCC3" w14:textId="77777777" w:rsidTr="009F6531">
        <w:tc>
          <w:tcPr>
            <w:tcW w:w="3685" w:type="dxa"/>
          </w:tcPr>
          <w:p w14:paraId="73A5F613" w14:textId="77777777" w:rsidR="00B02873" w:rsidRPr="007B509E" w:rsidRDefault="00B02873" w:rsidP="009F6531">
            <w:pPr>
              <w:pStyle w:val="TablebodyleftFinancialsTables"/>
              <w:rPr>
                <w:b/>
                <w:bCs/>
              </w:rPr>
            </w:pPr>
            <w:r w:rsidRPr="007B509E">
              <w:rPr>
                <w:b/>
                <w:bCs/>
              </w:rPr>
              <w:t>Assets</w:t>
            </w:r>
          </w:p>
        </w:tc>
        <w:tc>
          <w:tcPr>
            <w:tcW w:w="1191" w:type="dxa"/>
          </w:tcPr>
          <w:p w14:paraId="40DE1A42" w14:textId="77777777" w:rsidR="00B02873" w:rsidRPr="007B509E" w:rsidRDefault="00B02873" w:rsidP="009F6531">
            <w:pPr>
              <w:pStyle w:val="TablebodyleftFinancialsTables"/>
              <w:jc w:val="right"/>
              <w:rPr>
                <w:rFonts w:cs="Times New Roman"/>
              </w:rPr>
            </w:pPr>
          </w:p>
        </w:tc>
        <w:tc>
          <w:tcPr>
            <w:tcW w:w="1190" w:type="dxa"/>
          </w:tcPr>
          <w:p w14:paraId="23A22A6C" w14:textId="77777777" w:rsidR="00B02873" w:rsidRPr="007B509E" w:rsidRDefault="00B02873" w:rsidP="009F6531">
            <w:pPr>
              <w:pStyle w:val="TablebodyleftFinancialsTables"/>
              <w:jc w:val="right"/>
              <w:rPr>
                <w:rFonts w:cs="Times New Roman"/>
              </w:rPr>
            </w:pPr>
          </w:p>
        </w:tc>
        <w:tc>
          <w:tcPr>
            <w:tcW w:w="1191" w:type="dxa"/>
          </w:tcPr>
          <w:p w14:paraId="1F423FE9" w14:textId="77777777" w:rsidR="00B02873" w:rsidRPr="007B509E" w:rsidRDefault="00B02873" w:rsidP="009F6531">
            <w:pPr>
              <w:pStyle w:val="TablebodyleftFinancialsTables"/>
              <w:jc w:val="right"/>
              <w:rPr>
                <w:rFonts w:cs="Times New Roman"/>
              </w:rPr>
            </w:pPr>
          </w:p>
        </w:tc>
        <w:tc>
          <w:tcPr>
            <w:tcW w:w="1190" w:type="dxa"/>
          </w:tcPr>
          <w:p w14:paraId="4B9A9CD8" w14:textId="77777777" w:rsidR="00B02873" w:rsidRPr="007B509E" w:rsidRDefault="00B02873" w:rsidP="009F6531">
            <w:pPr>
              <w:pStyle w:val="TablebodyleftFinancialsTables"/>
              <w:jc w:val="right"/>
              <w:rPr>
                <w:rFonts w:cs="Times New Roman"/>
              </w:rPr>
            </w:pPr>
          </w:p>
        </w:tc>
        <w:tc>
          <w:tcPr>
            <w:tcW w:w="1191" w:type="dxa"/>
          </w:tcPr>
          <w:p w14:paraId="057FE416" w14:textId="77777777" w:rsidR="00B02873" w:rsidRPr="007B509E" w:rsidRDefault="00B02873" w:rsidP="009F6531">
            <w:pPr>
              <w:pStyle w:val="TablebodyleftFinancialsTables"/>
              <w:jc w:val="right"/>
              <w:rPr>
                <w:rFonts w:cs="Times New Roman"/>
              </w:rPr>
            </w:pPr>
          </w:p>
        </w:tc>
      </w:tr>
      <w:tr w:rsidR="00B02873" w:rsidRPr="007B509E" w14:paraId="737C50B6" w14:textId="77777777" w:rsidTr="009F6531">
        <w:tc>
          <w:tcPr>
            <w:tcW w:w="3685" w:type="dxa"/>
          </w:tcPr>
          <w:p w14:paraId="29EAE43B" w14:textId="77777777" w:rsidR="00B02873" w:rsidRPr="007B509E" w:rsidRDefault="00B02873" w:rsidP="009F6531">
            <w:pPr>
              <w:pStyle w:val="TablebodyleftFinancialsTables"/>
              <w:rPr>
                <w:b/>
                <w:bCs/>
              </w:rPr>
            </w:pPr>
            <w:r w:rsidRPr="007B509E">
              <w:rPr>
                <w:b/>
                <w:bCs/>
              </w:rPr>
              <w:t>Financial assets</w:t>
            </w:r>
          </w:p>
        </w:tc>
        <w:tc>
          <w:tcPr>
            <w:tcW w:w="1191" w:type="dxa"/>
          </w:tcPr>
          <w:p w14:paraId="33427889" w14:textId="77777777" w:rsidR="00B02873" w:rsidRPr="007B509E" w:rsidRDefault="00B02873" w:rsidP="009F6531">
            <w:pPr>
              <w:pStyle w:val="TablebodyleftFinancialsTables"/>
              <w:jc w:val="right"/>
              <w:rPr>
                <w:rFonts w:cs="Times New Roman"/>
              </w:rPr>
            </w:pPr>
          </w:p>
        </w:tc>
        <w:tc>
          <w:tcPr>
            <w:tcW w:w="1190" w:type="dxa"/>
          </w:tcPr>
          <w:p w14:paraId="1816F617" w14:textId="77777777" w:rsidR="00B02873" w:rsidRPr="007B509E" w:rsidRDefault="00B02873" w:rsidP="009F6531">
            <w:pPr>
              <w:pStyle w:val="TablebodyleftFinancialsTables"/>
              <w:jc w:val="right"/>
              <w:rPr>
                <w:rFonts w:cs="Times New Roman"/>
              </w:rPr>
            </w:pPr>
          </w:p>
        </w:tc>
        <w:tc>
          <w:tcPr>
            <w:tcW w:w="1191" w:type="dxa"/>
          </w:tcPr>
          <w:p w14:paraId="43EB8D6C" w14:textId="77777777" w:rsidR="00B02873" w:rsidRPr="007B509E" w:rsidRDefault="00B02873" w:rsidP="009F6531">
            <w:pPr>
              <w:pStyle w:val="TablebodyleftFinancialsTables"/>
              <w:jc w:val="right"/>
              <w:rPr>
                <w:rFonts w:cs="Times New Roman"/>
              </w:rPr>
            </w:pPr>
          </w:p>
        </w:tc>
        <w:tc>
          <w:tcPr>
            <w:tcW w:w="1190" w:type="dxa"/>
          </w:tcPr>
          <w:p w14:paraId="3E9D437F" w14:textId="77777777" w:rsidR="00B02873" w:rsidRPr="007B509E" w:rsidRDefault="00B02873" w:rsidP="009F6531">
            <w:pPr>
              <w:pStyle w:val="TablebodyleftFinancialsTables"/>
              <w:jc w:val="right"/>
              <w:rPr>
                <w:rFonts w:cs="Times New Roman"/>
              </w:rPr>
            </w:pPr>
          </w:p>
        </w:tc>
        <w:tc>
          <w:tcPr>
            <w:tcW w:w="1191" w:type="dxa"/>
          </w:tcPr>
          <w:p w14:paraId="3233421E" w14:textId="77777777" w:rsidR="00B02873" w:rsidRPr="007B509E" w:rsidRDefault="00B02873" w:rsidP="009F6531">
            <w:pPr>
              <w:pStyle w:val="TablebodyleftFinancialsTables"/>
              <w:jc w:val="right"/>
              <w:rPr>
                <w:rFonts w:cs="Times New Roman"/>
              </w:rPr>
            </w:pPr>
          </w:p>
        </w:tc>
      </w:tr>
      <w:tr w:rsidR="00B02873" w:rsidRPr="00B02873" w14:paraId="266E7E25" w14:textId="77777777" w:rsidTr="009F6531">
        <w:tc>
          <w:tcPr>
            <w:tcW w:w="3685" w:type="dxa"/>
          </w:tcPr>
          <w:p w14:paraId="033151D4" w14:textId="77777777" w:rsidR="00B02873" w:rsidRDefault="00B02873" w:rsidP="009F6531">
            <w:pPr>
              <w:pStyle w:val="TablebodyleftFinancialsTables"/>
            </w:pPr>
            <w:r>
              <w:t xml:space="preserve">Cash and deposits </w:t>
            </w:r>
          </w:p>
        </w:tc>
        <w:tc>
          <w:tcPr>
            <w:tcW w:w="1191" w:type="dxa"/>
          </w:tcPr>
          <w:p w14:paraId="161CE14C" w14:textId="77777777" w:rsidR="00B02873" w:rsidRDefault="00B02873" w:rsidP="009F6531">
            <w:pPr>
              <w:pStyle w:val="TablebodyleftFinancialsTables"/>
              <w:jc w:val="right"/>
            </w:pPr>
            <w:r>
              <w:t>1,071</w:t>
            </w:r>
          </w:p>
        </w:tc>
        <w:tc>
          <w:tcPr>
            <w:tcW w:w="1190" w:type="dxa"/>
          </w:tcPr>
          <w:p w14:paraId="6CFBEBB0" w14:textId="77777777" w:rsidR="00B02873" w:rsidRDefault="00B02873" w:rsidP="009F6531">
            <w:pPr>
              <w:pStyle w:val="TablebodyleftFinancialsTables"/>
              <w:jc w:val="right"/>
            </w:pPr>
            <w:r>
              <w:t>1,300</w:t>
            </w:r>
          </w:p>
        </w:tc>
        <w:tc>
          <w:tcPr>
            <w:tcW w:w="1191" w:type="dxa"/>
          </w:tcPr>
          <w:p w14:paraId="178DAFEF" w14:textId="77777777" w:rsidR="00B02873" w:rsidRDefault="00B02873" w:rsidP="009F6531">
            <w:pPr>
              <w:pStyle w:val="TablebodyleftFinancialsTables"/>
              <w:jc w:val="right"/>
            </w:pPr>
            <w:r>
              <w:t>(229)</w:t>
            </w:r>
          </w:p>
        </w:tc>
        <w:tc>
          <w:tcPr>
            <w:tcW w:w="1190" w:type="dxa"/>
          </w:tcPr>
          <w:p w14:paraId="31A31401" w14:textId="77777777" w:rsidR="00B02873" w:rsidRDefault="00B02873" w:rsidP="009F6531">
            <w:pPr>
              <w:pStyle w:val="TablebodyleftFinancialsTables"/>
              <w:jc w:val="right"/>
            </w:pPr>
            <w:r>
              <w:t>(18%)</w:t>
            </w:r>
          </w:p>
        </w:tc>
        <w:tc>
          <w:tcPr>
            <w:tcW w:w="1191" w:type="dxa"/>
          </w:tcPr>
          <w:p w14:paraId="58433C55" w14:textId="77777777" w:rsidR="00B02873" w:rsidRDefault="00B02873" w:rsidP="009F6531">
            <w:pPr>
              <w:pStyle w:val="TablebodyleftFinancialsTables"/>
              <w:jc w:val="right"/>
            </w:pPr>
            <w:r>
              <w:t>1</w:t>
            </w:r>
          </w:p>
        </w:tc>
      </w:tr>
      <w:tr w:rsidR="00B02873" w:rsidRPr="00B02873" w14:paraId="3C7F1FBA" w14:textId="77777777" w:rsidTr="009F6531">
        <w:tc>
          <w:tcPr>
            <w:tcW w:w="3685" w:type="dxa"/>
          </w:tcPr>
          <w:p w14:paraId="77EA0F2E" w14:textId="77777777" w:rsidR="00B02873" w:rsidRDefault="00B02873" w:rsidP="009F6531">
            <w:pPr>
              <w:pStyle w:val="TablebodyleftFinancialsTables"/>
            </w:pPr>
            <w:r>
              <w:t xml:space="preserve">Receivables </w:t>
            </w:r>
          </w:p>
        </w:tc>
        <w:tc>
          <w:tcPr>
            <w:tcW w:w="1191" w:type="dxa"/>
          </w:tcPr>
          <w:p w14:paraId="69554B53" w14:textId="77777777" w:rsidR="00B02873" w:rsidRDefault="00B02873" w:rsidP="009F6531">
            <w:pPr>
              <w:pStyle w:val="TablebodyleftFinancialsTables"/>
              <w:jc w:val="right"/>
            </w:pPr>
            <w:r>
              <w:t>1,323</w:t>
            </w:r>
          </w:p>
        </w:tc>
        <w:tc>
          <w:tcPr>
            <w:tcW w:w="1190" w:type="dxa"/>
          </w:tcPr>
          <w:p w14:paraId="0837937C" w14:textId="77777777" w:rsidR="00B02873" w:rsidRDefault="00B02873" w:rsidP="009F6531">
            <w:pPr>
              <w:pStyle w:val="TablebodyleftFinancialsTables"/>
              <w:jc w:val="right"/>
            </w:pPr>
            <w:r>
              <w:t>955</w:t>
            </w:r>
          </w:p>
        </w:tc>
        <w:tc>
          <w:tcPr>
            <w:tcW w:w="1191" w:type="dxa"/>
          </w:tcPr>
          <w:p w14:paraId="5721B7D7" w14:textId="77777777" w:rsidR="00B02873" w:rsidRDefault="00B02873" w:rsidP="009F6531">
            <w:pPr>
              <w:pStyle w:val="TablebodyleftFinancialsTables"/>
              <w:jc w:val="right"/>
            </w:pPr>
            <w:r>
              <w:t>368</w:t>
            </w:r>
          </w:p>
        </w:tc>
        <w:tc>
          <w:tcPr>
            <w:tcW w:w="1190" w:type="dxa"/>
          </w:tcPr>
          <w:p w14:paraId="43968AFF" w14:textId="77777777" w:rsidR="00B02873" w:rsidRDefault="00B02873" w:rsidP="009F6531">
            <w:pPr>
              <w:pStyle w:val="TablebodyleftFinancialsTables"/>
              <w:jc w:val="right"/>
            </w:pPr>
            <w:r>
              <w:t>39%</w:t>
            </w:r>
          </w:p>
        </w:tc>
        <w:tc>
          <w:tcPr>
            <w:tcW w:w="1191" w:type="dxa"/>
          </w:tcPr>
          <w:p w14:paraId="015F34F4" w14:textId="77777777" w:rsidR="00B02873" w:rsidRDefault="00B02873" w:rsidP="009F6531">
            <w:pPr>
              <w:pStyle w:val="TablebodyleftFinancialsTables"/>
              <w:jc w:val="right"/>
            </w:pPr>
            <w:r>
              <w:t>2</w:t>
            </w:r>
          </w:p>
        </w:tc>
      </w:tr>
      <w:tr w:rsidR="00B02873" w:rsidRPr="00B02873" w14:paraId="69900E1A" w14:textId="77777777" w:rsidTr="009F6531">
        <w:tc>
          <w:tcPr>
            <w:tcW w:w="3685" w:type="dxa"/>
          </w:tcPr>
          <w:p w14:paraId="73F0E70E" w14:textId="77777777" w:rsidR="00B02873" w:rsidRDefault="00B02873" w:rsidP="009F6531">
            <w:pPr>
              <w:pStyle w:val="TablebodyleftFinancialsTables"/>
            </w:pPr>
            <w:r>
              <w:t xml:space="preserve">Other financial assets </w:t>
            </w:r>
          </w:p>
        </w:tc>
        <w:tc>
          <w:tcPr>
            <w:tcW w:w="1191" w:type="dxa"/>
          </w:tcPr>
          <w:p w14:paraId="7BDCEA23" w14:textId="77777777" w:rsidR="00B02873" w:rsidRDefault="00B02873" w:rsidP="009F6531">
            <w:pPr>
              <w:pStyle w:val="TablebodyleftFinancialsTables"/>
              <w:jc w:val="right"/>
            </w:pPr>
            <w:r>
              <w:t>430</w:t>
            </w:r>
          </w:p>
        </w:tc>
        <w:tc>
          <w:tcPr>
            <w:tcW w:w="1190" w:type="dxa"/>
          </w:tcPr>
          <w:p w14:paraId="650F29D6" w14:textId="77777777" w:rsidR="00B02873" w:rsidRDefault="00B02873" w:rsidP="009F6531">
            <w:pPr>
              <w:pStyle w:val="TablebodyleftFinancialsTables"/>
              <w:jc w:val="right"/>
            </w:pPr>
            <w:r>
              <w:t>79</w:t>
            </w:r>
          </w:p>
        </w:tc>
        <w:tc>
          <w:tcPr>
            <w:tcW w:w="1191" w:type="dxa"/>
          </w:tcPr>
          <w:p w14:paraId="11C4F0F4" w14:textId="77777777" w:rsidR="00B02873" w:rsidRDefault="00B02873" w:rsidP="009F6531">
            <w:pPr>
              <w:pStyle w:val="TablebodyleftFinancialsTables"/>
              <w:jc w:val="right"/>
            </w:pPr>
            <w:r>
              <w:t>351</w:t>
            </w:r>
          </w:p>
        </w:tc>
        <w:tc>
          <w:tcPr>
            <w:tcW w:w="1190" w:type="dxa"/>
          </w:tcPr>
          <w:p w14:paraId="4B5C7DEE" w14:textId="77777777" w:rsidR="00B02873" w:rsidRDefault="00B02873" w:rsidP="009F6531">
            <w:pPr>
              <w:pStyle w:val="TablebodyleftFinancialsTables"/>
              <w:jc w:val="right"/>
            </w:pPr>
            <w:r>
              <w:t>444%</w:t>
            </w:r>
          </w:p>
        </w:tc>
        <w:tc>
          <w:tcPr>
            <w:tcW w:w="1191" w:type="dxa"/>
          </w:tcPr>
          <w:p w14:paraId="365803A1" w14:textId="77777777" w:rsidR="00B02873" w:rsidRDefault="00B02873" w:rsidP="009F6531">
            <w:pPr>
              <w:pStyle w:val="TablebodyleftFinancialsTables"/>
              <w:jc w:val="right"/>
            </w:pPr>
            <w:r>
              <w:t>3</w:t>
            </w:r>
          </w:p>
        </w:tc>
      </w:tr>
      <w:tr w:rsidR="00B02873" w:rsidRPr="007B509E" w14:paraId="7A78799A" w14:textId="77777777" w:rsidTr="009F6531">
        <w:tc>
          <w:tcPr>
            <w:tcW w:w="3685" w:type="dxa"/>
          </w:tcPr>
          <w:p w14:paraId="5679FABF" w14:textId="77777777" w:rsidR="00B02873" w:rsidRPr="007B509E" w:rsidRDefault="00B02873" w:rsidP="009F6531">
            <w:pPr>
              <w:pStyle w:val="TablebodyleftFinancialsTables"/>
              <w:rPr>
                <w:b/>
                <w:bCs/>
              </w:rPr>
            </w:pPr>
            <w:r w:rsidRPr="007B509E">
              <w:rPr>
                <w:b/>
                <w:bCs/>
              </w:rPr>
              <w:t>Total financial assets</w:t>
            </w:r>
          </w:p>
        </w:tc>
        <w:tc>
          <w:tcPr>
            <w:tcW w:w="1191" w:type="dxa"/>
          </w:tcPr>
          <w:p w14:paraId="20956288" w14:textId="77777777" w:rsidR="00B02873" w:rsidRPr="007B509E" w:rsidRDefault="00B02873" w:rsidP="009F6531">
            <w:pPr>
              <w:pStyle w:val="TablebodyleftFinancialsTables"/>
              <w:jc w:val="right"/>
              <w:rPr>
                <w:b/>
                <w:bCs/>
              </w:rPr>
            </w:pPr>
            <w:r w:rsidRPr="007B509E">
              <w:rPr>
                <w:b/>
                <w:bCs/>
              </w:rPr>
              <w:t>2,824</w:t>
            </w:r>
          </w:p>
        </w:tc>
        <w:tc>
          <w:tcPr>
            <w:tcW w:w="1190" w:type="dxa"/>
          </w:tcPr>
          <w:p w14:paraId="1DF1B986" w14:textId="77777777" w:rsidR="00B02873" w:rsidRPr="007B509E" w:rsidRDefault="00B02873" w:rsidP="009F6531">
            <w:pPr>
              <w:pStyle w:val="TablebodyleftFinancialsTables"/>
              <w:jc w:val="right"/>
              <w:rPr>
                <w:b/>
                <w:bCs/>
              </w:rPr>
            </w:pPr>
            <w:r w:rsidRPr="007B509E">
              <w:rPr>
                <w:b/>
                <w:bCs/>
              </w:rPr>
              <w:t>2,334</w:t>
            </w:r>
          </w:p>
        </w:tc>
        <w:tc>
          <w:tcPr>
            <w:tcW w:w="1191" w:type="dxa"/>
          </w:tcPr>
          <w:p w14:paraId="5D671368" w14:textId="77777777" w:rsidR="00B02873" w:rsidRPr="007B509E" w:rsidRDefault="00B02873" w:rsidP="009F6531">
            <w:pPr>
              <w:pStyle w:val="TablebodyleftFinancialsTables"/>
              <w:jc w:val="right"/>
              <w:rPr>
                <w:b/>
                <w:bCs/>
              </w:rPr>
            </w:pPr>
            <w:r w:rsidRPr="007B509E">
              <w:rPr>
                <w:b/>
                <w:bCs/>
              </w:rPr>
              <w:t>490</w:t>
            </w:r>
          </w:p>
        </w:tc>
        <w:tc>
          <w:tcPr>
            <w:tcW w:w="1190" w:type="dxa"/>
          </w:tcPr>
          <w:p w14:paraId="566072CB" w14:textId="77777777" w:rsidR="00B02873" w:rsidRPr="007B509E" w:rsidRDefault="00B02873" w:rsidP="009F6531">
            <w:pPr>
              <w:pStyle w:val="TablebodyleftFinancialsTables"/>
              <w:jc w:val="right"/>
              <w:rPr>
                <w:b/>
                <w:bCs/>
              </w:rPr>
            </w:pPr>
            <w:r w:rsidRPr="007B509E">
              <w:rPr>
                <w:b/>
                <w:bCs/>
              </w:rPr>
              <w:t>21%</w:t>
            </w:r>
          </w:p>
        </w:tc>
        <w:tc>
          <w:tcPr>
            <w:tcW w:w="1191" w:type="dxa"/>
          </w:tcPr>
          <w:p w14:paraId="4D20B2CE" w14:textId="77777777" w:rsidR="00B02873" w:rsidRPr="007B509E" w:rsidRDefault="00B02873" w:rsidP="009F6531">
            <w:pPr>
              <w:pStyle w:val="TablebodyleftFinancialsTables"/>
              <w:jc w:val="right"/>
              <w:rPr>
                <w:rFonts w:cs="Times New Roman"/>
                <w:b/>
                <w:bCs/>
              </w:rPr>
            </w:pPr>
          </w:p>
        </w:tc>
      </w:tr>
      <w:tr w:rsidR="00B02873" w:rsidRPr="007B509E" w14:paraId="5721326F" w14:textId="77777777" w:rsidTr="009F6531">
        <w:tc>
          <w:tcPr>
            <w:tcW w:w="3685" w:type="dxa"/>
          </w:tcPr>
          <w:p w14:paraId="7ADDF0F1" w14:textId="77777777" w:rsidR="00B02873" w:rsidRPr="007B509E" w:rsidRDefault="00B02873" w:rsidP="009F6531">
            <w:pPr>
              <w:pStyle w:val="TablebodyleftFinancialsTables"/>
              <w:rPr>
                <w:b/>
                <w:bCs/>
              </w:rPr>
            </w:pPr>
            <w:r w:rsidRPr="007B509E">
              <w:rPr>
                <w:b/>
                <w:bCs/>
              </w:rPr>
              <w:t>Non-financial Assets</w:t>
            </w:r>
          </w:p>
        </w:tc>
        <w:tc>
          <w:tcPr>
            <w:tcW w:w="1191" w:type="dxa"/>
          </w:tcPr>
          <w:p w14:paraId="2F715240" w14:textId="77777777" w:rsidR="00B02873" w:rsidRPr="007B509E" w:rsidRDefault="00B02873" w:rsidP="009F6531">
            <w:pPr>
              <w:pStyle w:val="TablebodyleftFinancialsTables"/>
              <w:jc w:val="right"/>
              <w:rPr>
                <w:rFonts w:cs="Times New Roman"/>
              </w:rPr>
            </w:pPr>
          </w:p>
        </w:tc>
        <w:tc>
          <w:tcPr>
            <w:tcW w:w="1190" w:type="dxa"/>
          </w:tcPr>
          <w:p w14:paraId="296D2F1A" w14:textId="77777777" w:rsidR="00B02873" w:rsidRPr="007B509E" w:rsidRDefault="00B02873" w:rsidP="009F6531">
            <w:pPr>
              <w:pStyle w:val="TablebodyleftFinancialsTables"/>
              <w:jc w:val="right"/>
              <w:rPr>
                <w:rFonts w:cs="Times New Roman"/>
              </w:rPr>
            </w:pPr>
          </w:p>
        </w:tc>
        <w:tc>
          <w:tcPr>
            <w:tcW w:w="1191" w:type="dxa"/>
          </w:tcPr>
          <w:p w14:paraId="5CB4C7B8" w14:textId="77777777" w:rsidR="00B02873" w:rsidRPr="007B509E" w:rsidRDefault="00B02873" w:rsidP="009F6531">
            <w:pPr>
              <w:pStyle w:val="TablebodyleftFinancialsTables"/>
              <w:jc w:val="right"/>
              <w:rPr>
                <w:rFonts w:cs="Times New Roman"/>
              </w:rPr>
            </w:pPr>
          </w:p>
        </w:tc>
        <w:tc>
          <w:tcPr>
            <w:tcW w:w="1190" w:type="dxa"/>
          </w:tcPr>
          <w:p w14:paraId="1E5EBE6E" w14:textId="77777777" w:rsidR="00B02873" w:rsidRPr="007B509E" w:rsidRDefault="00B02873" w:rsidP="009F6531">
            <w:pPr>
              <w:pStyle w:val="TablebodyleftFinancialsTables"/>
              <w:jc w:val="right"/>
              <w:rPr>
                <w:rFonts w:cs="Times New Roman"/>
              </w:rPr>
            </w:pPr>
          </w:p>
        </w:tc>
        <w:tc>
          <w:tcPr>
            <w:tcW w:w="1191" w:type="dxa"/>
          </w:tcPr>
          <w:p w14:paraId="33BC3A9C" w14:textId="77777777" w:rsidR="00B02873" w:rsidRPr="007B509E" w:rsidRDefault="00B02873" w:rsidP="009F6531">
            <w:pPr>
              <w:pStyle w:val="TablebodyleftFinancialsTables"/>
              <w:jc w:val="right"/>
              <w:rPr>
                <w:rFonts w:cs="Times New Roman"/>
              </w:rPr>
            </w:pPr>
          </w:p>
        </w:tc>
      </w:tr>
      <w:tr w:rsidR="00B02873" w:rsidRPr="007B509E" w14:paraId="7978CFE9" w14:textId="77777777" w:rsidTr="009F6531">
        <w:tc>
          <w:tcPr>
            <w:tcW w:w="3685" w:type="dxa"/>
          </w:tcPr>
          <w:p w14:paraId="2F98BC45" w14:textId="77777777" w:rsidR="00B02873" w:rsidRPr="007B509E" w:rsidRDefault="00B02873" w:rsidP="009F6531">
            <w:pPr>
              <w:pStyle w:val="TablebodyleftFinancialsTables"/>
            </w:pPr>
            <w:r w:rsidRPr="007B509E">
              <w:t xml:space="preserve">Inventories </w:t>
            </w:r>
          </w:p>
        </w:tc>
        <w:tc>
          <w:tcPr>
            <w:tcW w:w="1191" w:type="dxa"/>
          </w:tcPr>
          <w:p w14:paraId="117B64C8" w14:textId="77777777" w:rsidR="00B02873" w:rsidRPr="007B509E" w:rsidRDefault="00B02873" w:rsidP="009F6531">
            <w:pPr>
              <w:pStyle w:val="TablebodyleftFinancialsTables"/>
              <w:jc w:val="right"/>
            </w:pPr>
            <w:r w:rsidRPr="007B509E">
              <w:t>22</w:t>
            </w:r>
          </w:p>
        </w:tc>
        <w:tc>
          <w:tcPr>
            <w:tcW w:w="1190" w:type="dxa"/>
          </w:tcPr>
          <w:p w14:paraId="45D60B99" w14:textId="77777777" w:rsidR="00B02873" w:rsidRPr="007B509E" w:rsidRDefault="00B02873" w:rsidP="009F6531">
            <w:pPr>
              <w:pStyle w:val="TablebodyleftFinancialsTables"/>
              <w:jc w:val="right"/>
            </w:pPr>
            <w:r w:rsidRPr="007B509E">
              <w:t>29</w:t>
            </w:r>
          </w:p>
        </w:tc>
        <w:tc>
          <w:tcPr>
            <w:tcW w:w="1191" w:type="dxa"/>
          </w:tcPr>
          <w:p w14:paraId="3F87B63D" w14:textId="77777777" w:rsidR="00B02873" w:rsidRPr="007B509E" w:rsidRDefault="00B02873" w:rsidP="009F6531">
            <w:pPr>
              <w:pStyle w:val="TablebodyleftFinancialsTables"/>
              <w:jc w:val="right"/>
            </w:pPr>
            <w:r w:rsidRPr="007B509E">
              <w:t>(7)</w:t>
            </w:r>
          </w:p>
        </w:tc>
        <w:tc>
          <w:tcPr>
            <w:tcW w:w="1190" w:type="dxa"/>
          </w:tcPr>
          <w:p w14:paraId="54670AD7" w14:textId="77777777" w:rsidR="00B02873" w:rsidRPr="007B509E" w:rsidRDefault="00B02873" w:rsidP="009F6531">
            <w:pPr>
              <w:pStyle w:val="TablebodyleftFinancialsTables"/>
              <w:jc w:val="right"/>
            </w:pPr>
            <w:r w:rsidRPr="007B509E">
              <w:t>(24%)</w:t>
            </w:r>
          </w:p>
        </w:tc>
        <w:tc>
          <w:tcPr>
            <w:tcW w:w="1191" w:type="dxa"/>
          </w:tcPr>
          <w:p w14:paraId="1017BB4A" w14:textId="77777777" w:rsidR="00B02873" w:rsidRPr="007B509E" w:rsidRDefault="00B02873" w:rsidP="009F6531">
            <w:pPr>
              <w:pStyle w:val="TablebodyleftFinancialsTables"/>
              <w:jc w:val="right"/>
              <w:rPr>
                <w:rFonts w:cs="Times New Roman"/>
              </w:rPr>
            </w:pPr>
          </w:p>
        </w:tc>
      </w:tr>
      <w:tr w:rsidR="00B02873" w:rsidRPr="007B509E" w14:paraId="7425C49A" w14:textId="77777777" w:rsidTr="009F6531">
        <w:tc>
          <w:tcPr>
            <w:tcW w:w="3685" w:type="dxa"/>
          </w:tcPr>
          <w:p w14:paraId="2ACD092B" w14:textId="77777777" w:rsidR="00B02873" w:rsidRPr="007B509E" w:rsidRDefault="00B02873" w:rsidP="009F6531">
            <w:pPr>
              <w:pStyle w:val="TablebodyleftFinancialsTables"/>
            </w:pPr>
            <w:r w:rsidRPr="007B509E">
              <w:t xml:space="preserve">Non-financial assets classified as held for sale including disposal group assets </w:t>
            </w:r>
          </w:p>
        </w:tc>
        <w:tc>
          <w:tcPr>
            <w:tcW w:w="1191" w:type="dxa"/>
          </w:tcPr>
          <w:p w14:paraId="16E58347" w14:textId="77777777" w:rsidR="00B02873" w:rsidRPr="007B509E" w:rsidRDefault="00B02873" w:rsidP="009F6531">
            <w:pPr>
              <w:pStyle w:val="TablebodyleftFinancialsTables"/>
              <w:jc w:val="right"/>
            </w:pPr>
            <w:r w:rsidRPr="007B509E">
              <w:t>10</w:t>
            </w:r>
          </w:p>
        </w:tc>
        <w:tc>
          <w:tcPr>
            <w:tcW w:w="1190" w:type="dxa"/>
          </w:tcPr>
          <w:p w14:paraId="7DE9E74C" w14:textId="77777777" w:rsidR="00B02873" w:rsidRPr="007B509E" w:rsidRDefault="00B02873" w:rsidP="009F6531">
            <w:pPr>
              <w:pStyle w:val="TablebodyleftFinancialsTables"/>
              <w:jc w:val="right"/>
            </w:pPr>
            <w:r w:rsidRPr="007B509E">
              <w:t>11</w:t>
            </w:r>
          </w:p>
        </w:tc>
        <w:tc>
          <w:tcPr>
            <w:tcW w:w="1191" w:type="dxa"/>
          </w:tcPr>
          <w:p w14:paraId="115B4AC5" w14:textId="77777777" w:rsidR="00B02873" w:rsidRPr="007B509E" w:rsidRDefault="00B02873" w:rsidP="009F6531">
            <w:pPr>
              <w:pStyle w:val="TablebodyleftFinancialsTables"/>
              <w:jc w:val="right"/>
            </w:pPr>
            <w:r w:rsidRPr="007B509E">
              <w:t>(1)</w:t>
            </w:r>
          </w:p>
        </w:tc>
        <w:tc>
          <w:tcPr>
            <w:tcW w:w="1190" w:type="dxa"/>
          </w:tcPr>
          <w:p w14:paraId="76501A4A" w14:textId="77777777" w:rsidR="00B02873" w:rsidRPr="007B509E" w:rsidRDefault="00B02873" w:rsidP="009F6531">
            <w:pPr>
              <w:pStyle w:val="TablebodyleftFinancialsTables"/>
              <w:jc w:val="right"/>
            </w:pPr>
            <w:r w:rsidRPr="007B509E">
              <w:t>(9%)</w:t>
            </w:r>
          </w:p>
        </w:tc>
        <w:tc>
          <w:tcPr>
            <w:tcW w:w="1191" w:type="dxa"/>
          </w:tcPr>
          <w:p w14:paraId="7A0D87F5" w14:textId="77777777" w:rsidR="00B02873" w:rsidRPr="007B509E" w:rsidRDefault="00B02873" w:rsidP="009F6531">
            <w:pPr>
              <w:pStyle w:val="TablebodyleftFinancialsTables"/>
              <w:jc w:val="right"/>
              <w:rPr>
                <w:rFonts w:cs="Times New Roman"/>
              </w:rPr>
            </w:pPr>
          </w:p>
        </w:tc>
      </w:tr>
      <w:tr w:rsidR="00B02873" w:rsidRPr="00B02873" w14:paraId="470FFE86" w14:textId="77777777" w:rsidTr="009F6531">
        <w:tc>
          <w:tcPr>
            <w:tcW w:w="3685" w:type="dxa"/>
          </w:tcPr>
          <w:p w14:paraId="67F438DC" w14:textId="77777777" w:rsidR="00B02873" w:rsidRDefault="00B02873" w:rsidP="009F6531">
            <w:pPr>
              <w:pStyle w:val="TablebodyleftFinancialsTables"/>
            </w:pPr>
            <w:r>
              <w:t xml:space="preserve">Property, plant and equipment </w:t>
            </w:r>
          </w:p>
        </w:tc>
        <w:tc>
          <w:tcPr>
            <w:tcW w:w="1191" w:type="dxa"/>
          </w:tcPr>
          <w:p w14:paraId="1F3645F0" w14:textId="77777777" w:rsidR="00B02873" w:rsidRDefault="00B02873" w:rsidP="009F6531">
            <w:pPr>
              <w:pStyle w:val="TablebodyleftFinancialsTables"/>
              <w:jc w:val="right"/>
            </w:pPr>
            <w:r>
              <w:t>9,252</w:t>
            </w:r>
          </w:p>
        </w:tc>
        <w:tc>
          <w:tcPr>
            <w:tcW w:w="1190" w:type="dxa"/>
          </w:tcPr>
          <w:p w14:paraId="0025BEE4" w14:textId="77777777" w:rsidR="00B02873" w:rsidRDefault="00B02873" w:rsidP="009F6531">
            <w:pPr>
              <w:pStyle w:val="TablebodyleftFinancialsTables"/>
              <w:jc w:val="right"/>
            </w:pPr>
            <w:r>
              <w:t>8,109</w:t>
            </w:r>
          </w:p>
        </w:tc>
        <w:tc>
          <w:tcPr>
            <w:tcW w:w="1191" w:type="dxa"/>
          </w:tcPr>
          <w:p w14:paraId="4318D4DE" w14:textId="77777777" w:rsidR="00B02873" w:rsidRDefault="00B02873" w:rsidP="009F6531">
            <w:pPr>
              <w:pStyle w:val="TablebodyleftFinancialsTables"/>
              <w:jc w:val="right"/>
            </w:pPr>
            <w:r>
              <w:t>1,143</w:t>
            </w:r>
          </w:p>
        </w:tc>
        <w:tc>
          <w:tcPr>
            <w:tcW w:w="1190" w:type="dxa"/>
          </w:tcPr>
          <w:p w14:paraId="2AAB30A7" w14:textId="77777777" w:rsidR="00B02873" w:rsidRDefault="00B02873" w:rsidP="009F6531">
            <w:pPr>
              <w:pStyle w:val="TablebodyleftFinancialsTables"/>
              <w:jc w:val="right"/>
            </w:pPr>
            <w:r>
              <w:t>14%</w:t>
            </w:r>
          </w:p>
        </w:tc>
        <w:tc>
          <w:tcPr>
            <w:tcW w:w="1191" w:type="dxa"/>
          </w:tcPr>
          <w:p w14:paraId="04763D08" w14:textId="77777777" w:rsidR="00B02873" w:rsidRDefault="00B02873" w:rsidP="009F6531">
            <w:pPr>
              <w:pStyle w:val="TablebodyleftFinancialsTables"/>
              <w:jc w:val="right"/>
            </w:pPr>
            <w:r>
              <w:t>4</w:t>
            </w:r>
          </w:p>
        </w:tc>
      </w:tr>
      <w:tr w:rsidR="00B02873" w:rsidRPr="007B509E" w14:paraId="108602F4" w14:textId="77777777" w:rsidTr="009F6531">
        <w:tc>
          <w:tcPr>
            <w:tcW w:w="3685" w:type="dxa"/>
          </w:tcPr>
          <w:p w14:paraId="4BA4315F" w14:textId="77777777" w:rsidR="00B02873" w:rsidRPr="007B509E" w:rsidRDefault="00B02873" w:rsidP="009F6531">
            <w:pPr>
              <w:pStyle w:val="TablebodyleftFinancialsTables"/>
            </w:pPr>
            <w:r w:rsidRPr="007B509E">
              <w:t xml:space="preserve">Intangible assets </w:t>
            </w:r>
          </w:p>
        </w:tc>
        <w:tc>
          <w:tcPr>
            <w:tcW w:w="1191" w:type="dxa"/>
          </w:tcPr>
          <w:p w14:paraId="7506E96B" w14:textId="77777777" w:rsidR="00B02873" w:rsidRPr="007B509E" w:rsidRDefault="00B02873" w:rsidP="009F6531">
            <w:pPr>
              <w:pStyle w:val="TablebodyleftFinancialsTables"/>
              <w:jc w:val="right"/>
            </w:pPr>
            <w:r w:rsidRPr="007B509E">
              <w:t>46</w:t>
            </w:r>
          </w:p>
        </w:tc>
        <w:tc>
          <w:tcPr>
            <w:tcW w:w="1190" w:type="dxa"/>
          </w:tcPr>
          <w:p w14:paraId="25359AE5" w14:textId="77777777" w:rsidR="00B02873" w:rsidRPr="007B509E" w:rsidRDefault="00B02873" w:rsidP="009F6531">
            <w:pPr>
              <w:pStyle w:val="TablebodyleftFinancialsTables"/>
              <w:jc w:val="right"/>
            </w:pPr>
            <w:r w:rsidRPr="007B509E">
              <w:t>39</w:t>
            </w:r>
          </w:p>
        </w:tc>
        <w:tc>
          <w:tcPr>
            <w:tcW w:w="1191" w:type="dxa"/>
          </w:tcPr>
          <w:p w14:paraId="148401C2" w14:textId="77777777" w:rsidR="00B02873" w:rsidRPr="007B509E" w:rsidRDefault="00B02873" w:rsidP="009F6531">
            <w:pPr>
              <w:pStyle w:val="TablebodyleftFinancialsTables"/>
              <w:jc w:val="right"/>
            </w:pPr>
            <w:r w:rsidRPr="007B509E">
              <w:t>7</w:t>
            </w:r>
          </w:p>
        </w:tc>
        <w:tc>
          <w:tcPr>
            <w:tcW w:w="1190" w:type="dxa"/>
          </w:tcPr>
          <w:p w14:paraId="27443CA8" w14:textId="77777777" w:rsidR="00B02873" w:rsidRPr="007B509E" w:rsidRDefault="00B02873" w:rsidP="009F6531">
            <w:pPr>
              <w:pStyle w:val="TablebodyleftFinancialsTables"/>
              <w:jc w:val="right"/>
            </w:pPr>
            <w:r w:rsidRPr="007B509E">
              <w:t>18%</w:t>
            </w:r>
          </w:p>
        </w:tc>
        <w:tc>
          <w:tcPr>
            <w:tcW w:w="1191" w:type="dxa"/>
          </w:tcPr>
          <w:p w14:paraId="7FD7AFF3" w14:textId="77777777" w:rsidR="00B02873" w:rsidRPr="007B509E" w:rsidRDefault="00B02873" w:rsidP="009F6531">
            <w:pPr>
              <w:pStyle w:val="TablebodyleftFinancialsTables"/>
              <w:jc w:val="right"/>
              <w:rPr>
                <w:rFonts w:cs="Times New Roman"/>
              </w:rPr>
            </w:pPr>
          </w:p>
        </w:tc>
      </w:tr>
      <w:tr w:rsidR="00B02873" w:rsidRPr="00B02873" w14:paraId="5F5B63D0" w14:textId="77777777" w:rsidTr="009F6531">
        <w:tc>
          <w:tcPr>
            <w:tcW w:w="3685" w:type="dxa"/>
          </w:tcPr>
          <w:p w14:paraId="002BFFEB" w14:textId="77777777" w:rsidR="00B02873" w:rsidRDefault="00B02873" w:rsidP="009F6531">
            <w:pPr>
              <w:pStyle w:val="TablebodyleftFinancialsTables"/>
            </w:pPr>
            <w:r>
              <w:t xml:space="preserve">Other </w:t>
            </w:r>
          </w:p>
        </w:tc>
        <w:tc>
          <w:tcPr>
            <w:tcW w:w="1191" w:type="dxa"/>
          </w:tcPr>
          <w:p w14:paraId="33059378" w14:textId="77777777" w:rsidR="00B02873" w:rsidRDefault="00B02873" w:rsidP="009F6531">
            <w:pPr>
              <w:pStyle w:val="TablebodyleftFinancialsTables"/>
              <w:jc w:val="right"/>
            </w:pPr>
            <w:r>
              <w:t>61</w:t>
            </w:r>
          </w:p>
        </w:tc>
        <w:tc>
          <w:tcPr>
            <w:tcW w:w="1190" w:type="dxa"/>
          </w:tcPr>
          <w:p w14:paraId="77F725CE" w14:textId="77777777" w:rsidR="00B02873" w:rsidRDefault="00B02873" w:rsidP="009F6531">
            <w:pPr>
              <w:pStyle w:val="TablebodyleftFinancialsTables"/>
              <w:jc w:val="right"/>
            </w:pPr>
            <w:r>
              <w:t>37</w:t>
            </w:r>
          </w:p>
        </w:tc>
        <w:tc>
          <w:tcPr>
            <w:tcW w:w="1191" w:type="dxa"/>
          </w:tcPr>
          <w:p w14:paraId="5F723570" w14:textId="77777777" w:rsidR="00B02873" w:rsidRDefault="00B02873" w:rsidP="009F6531">
            <w:pPr>
              <w:pStyle w:val="TablebodyleftFinancialsTables"/>
              <w:jc w:val="right"/>
            </w:pPr>
            <w:r>
              <w:t>24</w:t>
            </w:r>
          </w:p>
        </w:tc>
        <w:tc>
          <w:tcPr>
            <w:tcW w:w="1190" w:type="dxa"/>
          </w:tcPr>
          <w:p w14:paraId="3B78EF37" w14:textId="77777777" w:rsidR="00B02873" w:rsidRDefault="00B02873" w:rsidP="009F6531">
            <w:pPr>
              <w:pStyle w:val="TablebodyleftFinancialsTables"/>
              <w:jc w:val="right"/>
            </w:pPr>
            <w:r>
              <w:t>65%</w:t>
            </w:r>
          </w:p>
        </w:tc>
        <w:tc>
          <w:tcPr>
            <w:tcW w:w="1191" w:type="dxa"/>
          </w:tcPr>
          <w:p w14:paraId="297DEF8B" w14:textId="77777777" w:rsidR="00B02873" w:rsidRDefault="00B02873" w:rsidP="009F6531">
            <w:pPr>
              <w:pStyle w:val="TablebodyleftFinancialsTables"/>
              <w:jc w:val="right"/>
            </w:pPr>
            <w:r>
              <w:t>5</w:t>
            </w:r>
          </w:p>
        </w:tc>
      </w:tr>
      <w:tr w:rsidR="00B02873" w:rsidRPr="007B509E" w14:paraId="543B2FC2" w14:textId="77777777" w:rsidTr="009F6531">
        <w:tc>
          <w:tcPr>
            <w:tcW w:w="3685" w:type="dxa"/>
          </w:tcPr>
          <w:p w14:paraId="501104DE" w14:textId="77777777" w:rsidR="00B02873" w:rsidRPr="007B509E" w:rsidRDefault="00B02873" w:rsidP="009F6531">
            <w:pPr>
              <w:pStyle w:val="TablebodyleftFinancialsTables"/>
              <w:rPr>
                <w:b/>
                <w:bCs/>
              </w:rPr>
            </w:pPr>
            <w:r w:rsidRPr="007B509E">
              <w:rPr>
                <w:b/>
                <w:bCs/>
              </w:rPr>
              <w:t>Total non-financial assets</w:t>
            </w:r>
          </w:p>
        </w:tc>
        <w:tc>
          <w:tcPr>
            <w:tcW w:w="1191" w:type="dxa"/>
          </w:tcPr>
          <w:p w14:paraId="37F49E7A" w14:textId="77777777" w:rsidR="00B02873" w:rsidRPr="007B509E" w:rsidRDefault="00B02873" w:rsidP="009F6531">
            <w:pPr>
              <w:pStyle w:val="TablebodyleftFinancialsTables"/>
              <w:jc w:val="right"/>
              <w:rPr>
                <w:b/>
                <w:bCs/>
              </w:rPr>
            </w:pPr>
            <w:r w:rsidRPr="007B509E">
              <w:rPr>
                <w:b/>
                <w:bCs/>
              </w:rPr>
              <w:t>9,391</w:t>
            </w:r>
          </w:p>
        </w:tc>
        <w:tc>
          <w:tcPr>
            <w:tcW w:w="1190" w:type="dxa"/>
          </w:tcPr>
          <w:p w14:paraId="3E708264" w14:textId="77777777" w:rsidR="00B02873" w:rsidRPr="007B509E" w:rsidRDefault="00B02873" w:rsidP="009F6531">
            <w:pPr>
              <w:pStyle w:val="TablebodyleftFinancialsTables"/>
              <w:jc w:val="right"/>
              <w:rPr>
                <w:b/>
                <w:bCs/>
              </w:rPr>
            </w:pPr>
            <w:r w:rsidRPr="007B509E">
              <w:rPr>
                <w:b/>
                <w:bCs/>
              </w:rPr>
              <w:t>8,225</w:t>
            </w:r>
          </w:p>
        </w:tc>
        <w:tc>
          <w:tcPr>
            <w:tcW w:w="1191" w:type="dxa"/>
          </w:tcPr>
          <w:p w14:paraId="7D470885" w14:textId="77777777" w:rsidR="00B02873" w:rsidRPr="007B509E" w:rsidRDefault="00B02873" w:rsidP="009F6531">
            <w:pPr>
              <w:pStyle w:val="TablebodyleftFinancialsTables"/>
              <w:jc w:val="right"/>
              <w:rPr>
                <w:b/>
                <w:bCs/>
              </w:rPr>
            </w:pPr>
            <w:r w:rsidRPr="007B509E">
              <w:rPr>
                <w:b/>
                <w:bCs/>
              </w:rPr>
              <w:t>1,166</w:t>
            </w:r>
          </w:p>
        </w:tc>
        <w:tc>
          <w:tcPr>
            <w:tcW w:w="1190" w:type="dxa"/>
          </w:tcPr>
          <w:p w14:paraId="291EE07C" w14:textId="77777777" w:rsidR="00B02873" w:rsidRPr="007B509E" w:rsidRDefault="00B02873" w:rsidP="009F6531">
            <w:pPr>
              <w:pStyle w:val="TablebodyleftFinancialsTables"/>
              <w:jc w:val="right"/>
              <w:rPr>
                <w:b/>
                <w:bCs/>
              </w:rPr>
            </w:pPr>
            <w:r w:rsidRPr="007B509E">
              <w:rPr>
                <w:b/>
                <w:bCs/>
              </w:rPr>
              <w:t>14%</w:t>
            </w:r>
          </w:p>
        </w:tc>
        <w:tc>
          <w:tcPr>
            <w:tcW w:w="1191" w:type="dxa"/>
          </w:tcPr>
          <w:p w14:paraId="2096CCCA" w14:textId="77777777" w:rsidR="00B02873" w:rsidRPr="007B509E" w:rsidRDefault="00B02873" w:rsidP="009F6531">
            <w:pPr>
              <w:pStyle w:val="TablebodyleftFinancialsTables"/>
              <w:jc w:val="right"/>
              <w:rPr>
                <w:rFonts w:cs="Times New Roman"/>
                <w:b/>
                <w:bCs/>
              </w:rPr>
            </w:pPr>
          </w:p>
        </w:tc>
      </w:tr>
      <w:tr w:rsidR="00B02873" w:rsidRPr="007B509E" w14:paraId="6B3446D8" w14:textId="77777777" w:rsidTr="009F6531">
        <w:tc>
          <w:tcPr>
            <w:tcW w:w="3685" w:type="dxa"/>
          </w:tcPr>
          <w:p w14:paraId="7DA3FF2A" w14:textId="77777777" w:rsidR="00B02873" w:rsidRPr="007B509E" w:rsidRDefault="00B02873" w:rsidP="009F6531">
            <w:pPr>
              <w:pStyle w:val="TablebodyleftFinancialsTables"/>
              <w:rPr>
                <w:b/>
                <w:bCs/>
              </w:rPr>
            </w:pPr>
            <w:r w:rsidRPr="007B509E">
              <w:rPr>
                <w:b/>
                <w:bCs/>
              </w:rPr>
              <w:t>Total assets</w:t>
            </w:r>
          </w:p>
        </w:tc>
        <w:tc>
          <w:tcPr>
            <w:tcW w:w="1191" w:type="dxa"/>
          </w:tcPr>
          <w:p w14:paraId="1780D85C" w14:textId="77777777" w:rsidR="00B02873" w:rsidRPr="007B509E" w:rsidRDefault="00B02873" w:rsidP="009F6531">
            <w:pPr>
              <w:pStyle w:val="TablebodyleftFinancialsTables"/>
              <w:jc w:val="right"/>
              <w:rPr>
                <w:b/>
                <w:bCs/>
              </w:rPr>
            </w:pPr>
            <w:r w:rsidRPr="007B509E">
              <w:rPr>
                <w:b/>
                <w:bCs/>
              </w:rPr>
              <w:t>12,215</w:t>
            </w:r>
          </w:p>
        </w:tc>
        <w:tc>
          <w:tcPr>
            <w:tcW w:w="1190" w:type="dxa"/>
          </w:tcPr>
          <w:p w14:paraId="44F8FCB1" w14:textId="77777777" w:rsidR="00B02873" w:rsidRPr="007B509E" w:rsidRDefault="00B02873" w:rsidP="009F6531">
            <w:pPr>
              <w:pStyle w:val="TablebodyleftFinancialsTables"/>
              <w:jc w:val="right"/>
              <w:rPr>
                <w:b/>
                <w:bCs/>
              </w:rPr>
            </w:pPr>
            <w:r w:rsidRPr="007B509E">
              <w:rPr>
                <w:b/>
                <w:bCs/>
              </w:rPr>
              <w:t>10,559</w:t>
            </w:r>
          </w:p>
        </w:tc>
        <w:tc>
          <w:tcPr>
            <w:tcW w:w="1191" w:type="dxa"/>
          </w:tcPr>
          <w:p w14:paraId="1F02DFC7" w14:textId="77777777" w:rsidR="00B02873" w:rsidRPr="007B509E" w:rsidRDefault="00B02873" w:rsidP="009F6531">
            <w:pPr>
              <w:pStyle w:val="TablebodyleftFinancialsTables"/>
              <w:jc w:val="right"/>
              <w:rPr>
                <w:b/>
                <w:bCs/>
              </w:rPr>
            </w:pPr>
            <w:r w:rsidRPr="007B509E">
              <w:rPr>
                <w:b/>
                <w:bCs/>
              </w:rPr>
              <w:t>1,656</w:t>
            </w:r>
          </w:p>
        </w:tc>
        <w:tc>
          <w:tcPr>
            <w:tcW w:w="1190" w:type="dxa"/>
          </w:tcPr>
          <w:p w14:paraId="4C4FA817" w14:textId="77777777" w:rsidR="00B02873" w:rsidRPr="007B509E" w:rsidRDefault="00B02873" w:rsidP="009F6531">
            <w:pPr>
              <w:pStyle w:val="TablebodyleftFinancialsTables"/>
              <w:jc w:val="right"/>
              <w:rPr>
                <w:b/>
                <w:bCs/>
              </w:rPr>
            </w:pPr>
            <w:r w:rsidRPr="007B509E">
              <w:rPr>
                <w:b/>
                <w:bCs/>
              </w:rPr>
              <w:t>16%</w:t>
            </w:r>
          </w:p>
        </w:tc>
        <w:tc>
          <w:tcPr>
            <w:tcW w:w="1191" w:type="dxa"/>
          </w:tcPr>
          <w:p w14:paraId="26F0492F" w14:textId="77777777" w:rsidR="00B02873" w:rsidRPr="007B509E" w:rsidRDefault="00B02873" w:rsidP="009F6531">
            <w:pPr>
              <w:pStyle w:val="TablebodyleftFinancialsTables"/>
              <w:jc w:val="right"/>
              <w:rPr>
                <w:rFonts w:cs="Times New Roman"/>
                <w:b/>
                <w:bCs/>
              </w:rPr>
            </w:pPr>
          </w:p>
        </w:tc>
      </w:tr>
      <w:tr w:rsidR="00B02873" w:rsidRPr="007B509E" w14:paraId="19107968" w14:textId="77777777" w:rsidTr="009F6531">
        <w:tc>
          <w:tcPr>
            <w:tcW w:w="3685" w:type="dxa"/>
          </w:tcPr>
          <w:p w14:paraId="4F8EC434" w14:textId="77777777" w:rsidR="00B02873" w:rsidRPr="007B509E" w:rsidRDefault="00B02873" w:rsidP="009F6531">
            <w:pPr>
              <w:pStyle w:val="TablebodyleftFinancialsTables"/>
              <w:rPr>
                <w:b/>
                <w:bCs/>
              </w:rPr>
            </w:pPr>
            <w:r w:rsidRPr="007B509E">
              <w:rPr>
                <w:b/>
                <w:bCs/>
              </w:rPr>
              <w:t>Liabilities</w:t>
            </w:r>
          </w:p>
        </w:tc>
        <w:tc>
          <w:tcPr>
            <w:tcW w:w="1191" w:type="dxa"/>
          </w:tcPr>
          <w:p w14:paraId="3309E2EC" w14:textId="77777777" w:rsidR="00B02873" w:rsidRPr="007B509E" w:rsidRDefault="00B02873" w:rsidP="009F6531">
            <w:pPr>
              <w:pStyle w:val="TablebodyleftFinancialsTables"/>
              <w:jc w:val="right"/>
              <w:rPr>
                <w:rFonts w:cs="Times New Roman"/>
              </w:rPr>
            </w:pPr>
          </w:p>
        </w:tc>
        <w:tc>
          <w:tcPr>
            <w:tcW w:w="1190" w:type="dxa"/>
          </w:tcPr>
          <w:p w14:paraId="1D533E05" w14:textId="77777777" w:rsidR="00B02873" w:rsidRPr="007B509E" w:rsidRDefault="00B02873" w:rsidP="009F6531">
            <w:pPr>
              <w:pStyle w:val="TablebodyleftFinancialsTables"/>
              <w:jc w:val="right"/>
              <w:rPr>
                <w:rFonts w:cs="Times New Roman"/>
              </w:rPr>
            </w:pPr>
          </w:p>
        </w:tc>
        <w:tc>
          <w:tcPr>
            <w:tcW w:w="1191" w:type="dxa"/>
          </w:tcPr>
          <w:p w14:paraId="1D7F07D5" w14:textId="77777777" w:rsidR="00B02873" w:rsidRPr="007B509E" w:rsidRDefault="00B02873" w:rsidP="009F6531">
            <w:pPr>
              <w:pStyle w:val="TablebodyleftFinancialsTables"/>
              <w:jc w:val="right"/>
              <w:rPr>
                <w:rFonts w:cs="Times New Roman"/>
              </w:rPr>
            </w:pPr>
          </w:p>
        </w:tc>
        <w:tc>
          <w:tcPr>
            <w:tcW w:w="1190" w:type="dxa"/>
          </w:tcPr>
          <w:p w14:paraId="2D5C2AD5" w14:textId="77777777" w:rsidR="00B02873" w:rsidRPr="007B509E" w:rsidRDefault="00B02873" w:rsidP="009F6531">
            <w:pPr>
              <w:pStyle w:val="TablebodyleftFinancialsTables"/>
              <w:jc w:val="right"/>
              <w:rPr>
                <w:rFonts w:cs="Times New Roman"/>
              </w:rPr>
            </w:pPr>
          </w:p>
        </w:tc>
        <w:tc>
          <w:tcPr>
            <w:tcW w:w="1191" w:type="dxa"/>
          </w:tcPr>
          <w:p w14:paraId="43E3E68D" w14:textId="77777777" w:rsidR="00B02873" w:rsidRPr="007B509E" w:rsidRDefault="00B02873" w:rsidP="009F6531">
            <w:pPr>
              <w:pStyle w:val="TablebodyleftFinancialsTables"/>
              <w:jc w:val="right"/>
              <w:rPr>
                <w:rFonts w:cs="Times New Roman"/>
              </w:rPr>
            </w:pPr>
          </w:p>
        </w:tc>
      </w:tr>
      <w:tr w:rsidR="00B02873" w:rsidRPr="00B02873" w14:paraId="52CE0EA9" w14:textId="77777777" w:rsidTr="009F6531">
        <w:tc>
          <w:tcPr>
            <w:tcW w:w="3685" w:type="dxa"/>
          </w:tcPr>
          <w:p w14:paraId="280E3784" w14:textId="77777777" w:rsidR="00B02873" w:rsidRDefault="00B02873" w:rsidP="009F6531">
            <w:pPr>
              <w:pStyle w:val="TablebodyleftFinancialsTables"/>
            </w:pPr>
            <w:r>
              <w:t>Payables</w:t>
            </w:r>
          </w:p>
        </w:tc>
        <w:tc>
          <w:tcPr>
            <w:tcW w:w="1191" w:type="dxa"/>
          </w:tcPr>
          <w:p w14:paraId="4474874A" w14:textId="77777777" w:rsidR="00B02873" w:rsidRDefault="00B02873" w:rsidP="009F6531">
            <w:pPr>
              <w:pStyle w:val="TablebodyleftFinancialsTables"/>
              <w:jc w:val="right"/>
            </w:pPr>
            <w:r>
              <w:t>224</w:t>
            </w:r>
          </w:p>
        </w:tc>
        <w:tc>
          <w:tcPr>
            <w:tcW w:w="1190" w:type="dxa"/>
          </w:tcPr>
          <w:p w14:paraId="4576EE89" w14:textId="77777777" w:rsidR="00B02873" w:rsidRDefault="00B02873" w:rsidP="009F6531">
            <w:pPr>
              <w:pStyle w:val="TablebodyleftFinancialsTables"/>
              <w:jc w:val="right"/>
            </w:pPr>
            <w:r>
              <w:t>256</w:t>
            </w:r>
          </w:p>
        </w:tc>
        <w:tc>
          <w:tcPr>
            <w:tcW w:w="1191" w:type="dxa"/>
          </w:tcPr>
          <w:p w14:paraId="7EA9D0A3" w14:textId="77777777" w:rsidR="00B02873" w:rsidRDefault="00B02873" w:rsidP="009F6531">
            <w:pPr>
              <w:pStyle w:val="TablebodyleftFinancialsTables"/>
              <w:jc w:val="right"/>
            </w:pPr>
            <w:r>
              <w:t>(32)</w:t>
            </w:r>
          </w:p>
        </w:tc>
        <w:tc>
          <w:tcPr>
            <w:tcW w:w="1190" w:type="dxa"/>
          </w:tcPr>
          <w:p w14:paraId="53B5F95F" w14:textId="77777777" w:rsidR="00B02873" w:rsidRDefault="00B02873" w:rsidP="009F6531">
            <w:pPr>
              <w:pStyle w:val="TablebodyleftFinancialsTables"/>
              <w:jc w:val="right"/>
            </w:pPr>
            <w:r>
              <w:t>(13%)</w:t>
            </w:r>
          </w:p>
        </w:tc>
        <w:tc>
          <w:tcPr>
            <w:tcW w:w="1191" w:type="dxa"/>
          </w:tcPr>
          <w:p w14:paraId="072C8A9B" w14:textId="77777777" w:rsidR="00B02873" w:rsidRDefault="00B02873" w:rsidP="009F6531">
            <w:pPr>
              <w:pStyle w:val="TablebodyleftFinancialsTables"/>
              <w:jc w:val="right"/>
            </w:pPr>
            <w:r>
              <w:t>6</w:t>
            </w:r>
          </w:p>
        </w:tc>
      </w:tr>
      <w:tr w:rsidR="00B02873" w:rsidRPr="00B02873" w14:paraId="6B4E3DEA" w14:textId="77777777" w:rsidTr="009F6531">
        <w:tc>
          <w:tcPr>
            <w:tcW w:w="3685" w:type="dxa"/>
          </w:tcPr>
          <w:p w14:paraId="461545A2" w14:textId="77777777" w:rsidR="00B02873" w:rsidRDefault="00B02873" w:rsidP="009F6531">
            <w:pPr>
              <w:pStyle w:val="TablebodyleftFinancialsTables"/>
            </w:pPr>
            <w:r>
              <w:t xml:space="preserve">Borrowings </w:t>
            </w:r>
          </w:p>
        </w:tc>
        <w:tc>
          <w:tcPr>
            <w:tcW w:w="1191" w:type="dxa"/>
          </w:tcPr>
          <w:p w14:paraId="391D2255" w14:textId="77777777" w:rsidR="00B02873" w:rsidRDefault="00B02873" w:rsidP="009F6531">
            <w:pPr>
              <w:pStyle w:val="TablebodyleftFinancialsTables"/>
              <w:jc w:val="right"/>
            </w:pPr>
            <w:r>
              <w:t>296</w:t>
            </w:r>
          </w:p>
        </w:tc>
        <w:tc>
          <w:tcPr>
            <w:tcW w:w="1190" w:type="dxa"/>
          </w:tcPr>
          <w:p w14:paraId="2DBADF7C" w14:textId="77777777" w:rsidR="00B02873" w:rsidRDefault="00B02873" w:rsidP="009F6531">
            <w:pPr>
              <w:pStyle w:val="TablebodyleftFinancialsTables"/>
              <w:jc w:val="right"/>
            </w:pPr>
            <w:r>
              <w:t>245</w:t>
            </w:r>
          </w:p>
        </w:tc>
        <w:tc>
          <w:tcPr>
            <w:tcW w:w="1191" w:type="dxa"/>
          </w:tcPr>
          <w:p w14:paraId="751C7242" w14:textId="77777777" w:rsidR="00B02873" w:rsidRDefault="00B02873" w:rsidP="009F6531">
            <w:pPr>
              <w:pStyle w:val="TablebodyleftFinancialsTables"/>
              <w:jc w:val="right"/>
            </w:pPr>
            <w:r>
              <w:t>51</w:t>
            </w:r>
          </w:p>
        </w:tc>
        <w:tc>
          <w:tcPr>
            <w:tcW w:w="1190" w:type="dxa"/>
          </w:tcPr>
          <w:p w14:paraId="5F58427D" w14:textId="77777777" w:rsidR="00B02873" w:rsidRDefault="00B02873" w:rsidP="009F6531">
            <w:pPr>
              <w:pStyle w:val="TablebodyleftFinancialsTables"/>
              <w:jc w:val="right"/>
            </w:pPr>
            <w:r>
              <w:t>21%</w:t>
            </w:r>
          </w:p>
        </w:tc>
        <w:tc>
          <w:tcPr>
            <w:tcW w:w="1191" w:type="dxa"/>
          </w:tcPr>
          <w:p w14:paraId="57FBA0A2" w14:textId="77777777" w:rsidR="00B02873" w:rsidRDefault="00B02873" w:rsidP="009F6531">
            <w:pPr>
              <w:pStyle w:val="TablebodyleftFinancialsTables"/>
              <w:jc w:val="right"/>
            </w:pPr>
            <w:r>
              <w:t>6</w:t>
            </w:r>
          </w:p>
        </w:tc>
      </w:tr>
      <w:tr w:rsidR="00B02873" w:rsidRPr="00B02873" w14:paraId="6DF45FAD" w14:textId="77777777" w:rsidTr="009F6531">
        <w:tc>
          <w:tcPr>
            <w:tcW w:w="3685" w:type="dxa"/>
          </w:tcPr>
          <w:p w14:paraId="33AA3CC2" w14:textId="77777777" w:rsidR="00B02873" w:rsidRDefault="00B02873" w:rsidP="009F6531">
            <w:pPr>
              <w:pStyle w:val="TablebodyleftFinancialsTables"/>
            </w:pPr>
            <w:r>
              <w:t>Provisions</w:t>
            </w:r>
          </w:p>
        </w:tc>
        <w:tc>
          <w:tcPr>
            <w:tcW w:w="1191" w:type="dxa"/>
          </w:tcPr>
          <w:p w14:paraId="24E9B6F8" w14:textId="77777777" w:rsidR="00B02873" w:rsidRDefault="00B02873" w:rsidP="009F6531">
            <w:pPr>
              <w:pStyle w:val="TablebodyleftFinancialsTables"/>
              <w:jc w:val="right"/>
            </w:pPr>
            <w:r>
              <w:t>373</w:t>
            </w:r>
          </w:p>
        </w:tc>
        <w:tc>
          <w:tcPr>
            <w:tcW w:w="1190" w:type="dxa"/>
          </w:tcPr>
          <w:p w14:paraId="351D0F6D" w14:textId="77777777" w:rsidR="00B02873" w:rsidRDefault="00B02873" w:rsidP="009F6531">
            <w:pPr>
              <w:pStyle w:val="TablebodyleftFinancialsTables"/>
              <w:jc w:val="right"/>
            </w:pPr>
            <w:r>
              <w:t>224</w:t>
            </w:r>
          </w:p>
        </w:tc>
        <w:tc>
          <w:tcPr>
            <w:tcW w:w="1191" w:type="dxa"/>
          </w:tcPr>
          <w:p w14:paraId="36E59F71" w14:textId="77777777" w:rsidR="00B02873" w:rsidRDefault="00B02873" w:rsidP="009F6531">
            <w:pPr>
              <w:pStyle w:val="TablebodyleftFinancialsTables"/>
              <w:jc w:val="right"/>
            </w:pPr>
            <w:r>
              <w:t>149</w:t>
            </w:r>
          </w:p>
        </w:tc>
        <w:tc>
          <w:tcPr>
            <w:tcW w:w="1190" w:type="dxa"/>
          </w:tcPr>
          <w:p w14:paraId="22227989" w14:textId="77777777" w:rsidR="00B02873" w:rsidRDefault="00B02873" w:rsidP="009F6531">
            <w:pPr>
              <w:pStyle w:val="TablebodyleftFinancialsTables"/>
              <w:jc w:val="right"/>
            </w:pPr>
            <w:r>
              <w:t>67%</w:t>
            </w:r>
          </w:p>
        </w:tc>
        <w:tc>
          <w:tcPr>
            <w:tcW w:w="1191" w:type="dxa"/>
          </w:tcPr>
          <w:p w14:paraId="1F9D3B30" w14:textId="77777777" w:rsidR="00B02873" w:rsidRDefault="00B02873" w:rsidP="009F6531">
            <w:pPr>
              <w:pStyle w:val="TablebodyleftFinancialsTables"/>
              <w:jc w:val="right"/>
            </w:pPr>
            <w:r>
              <w:t>7</w:t>
            </w:r>
          </w:p>
        </w:tc>
      </w:tr>
      <w:tr w:rsidR="00B02873" w:rsidRPr="007B509E" w14:paraId="04E39584" w14:textId="77777777" w:rsidTr="009F6531">
        <w:tc>
          <w:tcPr>
            <w:tcW w:w="3685" w:type="dxa"/>
          </w:tcPr>
          <w:p w14:paraId="53075560" w14:textId="77777777" w:rsidR="00B02873" w:rsidRPr="007B509E" w:rsidRDefault="00B02873" w:rsidP="009F6531">
            <w:pPr>
              <w:pStyle w:val="TablebodyleftFinancialsTables"/>
              <w:rPr>
                <w:b/>
                <w:bCs/>
              </w:rPr>
            </w:pPr>
            <w:r w:rsidRPr="007B509E">
              <w:rPr>
                <w:b/>
                <w:bCs/>
              </w:rPr>
              <w:t>Total liabilities</w:t>
            </w:r>
          </w:p>
        </w:tc>
        <w:tc>
          <w:tcPr>
            <w:tcW w:w="1191" w:type="dxa"/>
          </w:tcPr>
          <w:p w14:paraId="5B632282" w14:textId="77777777" w:rsidR="00B02873" w:rsidRPr="007B509E" w:rsidRDefault="00B02873" w:rsidP="009F6531">
            <w:pPr>
              <w:pStyle w:val="TablebodyleftFinancialsTables"/>
              <w:jc w:val="right"/>
              <w:rPr>
                <w:b/>
                <w:bCs/>
              </w:rPr>
            </w:pPr>
            <w:r w:rsidRPr="007B509E">
              <w:rPr>
                <w:b/>
                <w:bCs/>
              </w:rPr>
              <w:t>893</w:t>
            </w:r>
          </w:p>
        </w:tc>
        <w:tc>
          <w:tcPr>
            <w:tcW w:w="1190" w:type="dxa"/>
          </w:tcPr>
          <w:p w14:paraId="052FBEE1" w14:textId="77777777" w:rsidR="00B02873" w:rsidRPr="007B509E" w:rsidRDefault="00B02873" w:rsidP="009F6531">
            <w:pPr>
              <w:pStyle w:val="TablebodyleftFinancialsTables"/>
              <w:jc w:val="right"/>
              <w:rPr>
                <w:b/>
                <w:bCs/>
              </w:rPr>
            </w:pPr>
            <w:r w:rsidRPr="007B509E">
              <w:rPr>
                <w:b/>
                <w:bCs/>
              </w:rPr>
              <w:t>725</w:t>
            </w:r>
          </w:p>
        </w:tc>
        <w:tc>
          <w:tcPr>
            <w:tcW w:w="1191" w:type="dxa"/>
          </w:tcPr>
          <w:p w14:paraId="13BA7590" w14:textId="77777777" w:rsidR="00B02873" w:rsidRPr="007B509E" w:rsidRDefault="00B02873" w:rsidP="009F6531">
            <w:pPr>
              <w:pStyle w:val="TablebodyleftFinancialsTables"/>
              <w:jc w:val="right"/>
              <w:rPr>
                <w:b/>
                <w:bCs/>
              </w:rPr>
            </w:pPr>
            <w:r w:rsidRPr="007B509E">
              <w:rPr>
                <w:b/>
                <w:bCs/>
              </w:rPr>
              <w:t>168</w:t>
            </w:r>
          </w:p>
        </w:tc>
        <w:tc>
          <w:tcPr>
            <w:tcW w:w="1190" w:type="dxa"/>
          </w:tcPr>
          <w:p w14:paraId="733CD526" w14:textId="77777777" w:rsidR="00B02873" w:rsidRPr="007B509E" w:rsidRDefault="00B02873" w:rsidP="009F6531">
            <w:pPr>
              <w:pStyle w:val="TablebodyleftFinancialsTables"/>
              <w:jc w:val="right"/>
              <w:rPr>
                <w:b/>
                <w:bCs/>
              </w:rPr>
            </w:pPr>
            <w:r w:rsidRPr="007B509E">
              <w:rPr>
                <w:b/>
                <w:bCs/>
              </w:rPr>
              <w:t>23%</w:t>
            </w:r>
          </w:p>
        </w:tc>
        <w:tc>
          <w:tcPr>
            <w:tcW w:w="1191" w:type="dxa"/>
          </w:tcPr>
          <w:p w14:paraId="7FCA09B6" w14:textId="77777777" w:rsidR="00B02873" w:rsidRPr="007B509E" w:rsidRDefault="00B02873" w:rsidP="009F6531">
            <w:pPr>
              <w:pStyle w:val="TablebodyleftFinancialsTables"/>
              <w:jc w:val="right"/>
              <w:rPr>
                <w:rFonts w:cs="Times New Roman"/>
                <w:b/>
                <w:bCs/>
              </w:rPr>
            </w:pPr>
          </w:p>
        </w:tc>
      </w:tr>
      <w:tr w:rsidR="00B02873" w:rsidRPr="007B509E" w14:paraId="1F0466C7" w14:textId="77777777" w:rsidTr="009F6531">
        <w:tc>
          <w:tcPr>
            <w:tcW w:w="3685" w:type="dxa"/>
          </w:tcPr>
          <w:p w14:paraId="29EB88F3" w14:textId="77777777" w:rsidR="00B02873" w:rsidRPr="007B509E" w:rsidRDefault="00B02873" w:rsidP="009F6531">
            <w:pPr>
              <w:pStyle w:val="TablebodyleftFinancialsTables"/>
              <w:rPr>
                <w:b/>
                <w:bCs/>
              </w:rPr>
            </w:pPr>
            <w:r w:rsidRPr="007B509E">
              <w:rPr>
                <w:b/>
                <w:bCs/>
              </w:rPr>
              <w:t>Net assets</w:t>
            </w:r>
          </w:p>
        </w:tc>
        <w:tc>
          <w:tcPr>
            <w:tcW w:w="1191" w:type="dxa"/>
          </w:tcPr>
          <w:p w14:paraId="4BF19B42" w14:textId="77777777" w:rsidR="00B02873" w:rsidRPr="007B509E" w:rsidRDefault="00B02873" w:rsidP="009F6531">
            <w:pPr>
              <w:pStyle w:val="TablebodyleftFinancialsTables"/>
              <w:jc w:val="right"/>
              <w:rPr>
                <w:b/>
                <w:bCs/>
              </w:rPr>
            </w:pPr>
            <w:r w:rsidRPr="007B509E">
              <w:rPr>
                <w:b/>
                <w:bCs/>
              </w:rPr>
              <w:t>11,322</w:t>
            </w:r>
          </w:p>
        </w:tc>
        <w:tc>
          <w:tcPr>
            <w:tcW w:w="1190" w:type="dxa"/>
          </w:tcPr>
          <w:p w14:paraId="0EDE09AC" w14:textId="77777777" w:rsidR="00B02873" w:rsidRPr="007B509E" w:rsidRDefault="00B02873" w:rsidP="009F6531">
            <w:pPr>
              <w:pStyle w:val="TablebodyleftFinancialsTables"/>
              <w:jc w:val="right"/>
              <w:rPr>
                <w:b/>
                <w:bCs/>
              </w:rPr>
            </w:pPr>
            <w:r w:rsidRPr="007B509E">
              <w:rPr>
                <w:b/>
                <w:bCs/>
              </w:rPr>
              <w:t>9,833</w:t>
            </w:r>
          </w:p>
        </w:tc>
        <w:tc>
          <w:tcPr>
            <w:tcW w:w="1191" w:type="dxa"/>
          </w:tcPr>
          <w:p w14:paraId="7725C507" w14:textId="77777777" w:rsidR="00B02873" w:rsidRPr="007B509E" w:rsidRDefault="00B02873" w:rsidP="009F6531">
            <w:pPr>
              <w:pStyle w:val="TablebodyleftFinancialsTables"/>
              <w:jc w:val="right"/>
              <w:rPr>
                <w:b/>
                <w:bCs/>
              </w:rPr>
            </w:pPr>
            <w:r w:rsidRPr="007B509E">
              <w:rPr>
                <w:b/>
                <w:bCs/>
              </w:rPr>
              <w:t>1,489</w:t>
            </w:r>
          </w:p>
        </w:tc>
        <w:tc>
          <w:tcPr>
            <w:tcW w:w="1190" w:type="dxa"/>
          </w:tcPr>
          <w:p w14:paraId="7F048A8F" w14:textId="77777777" w:rsidR="00B02873" w:rsidRPr="007B509E" w:rsidRDefault="00B02873" w:rsidP="009F6531">
            <w:pPr>
              <w:pStyle w:val="TablebodyleftFinancialsTables"/>
              <w:jc w:val="right"/>
              <w:rPr>
                <w:b/>
                <w:bCs/>
              </w:rPr>
            </w:pPr>
            <w:r w:rsidRPr="007B509E">
              <w:rPr>
                <w:b/>
                <w:bCs/>
              </w:rPr>
              <w:t>15%</w:t>
            </w:r>
          </w:p>
        </w:tc>
        <w:tc>
          <w:tcPr>
            <w:tcW w:w="1191" w:type="dxa"/>
          </w:tcPr>
          <w:p w14:paraId="6C449B3D" w14:textId="77777777" w:rsidR="00B02873" w:rsidRPr="007B509E" w:rsidRDefault="00B02873" w:rsidP="009F6531">
            <w:pPr>
              <w:pStyle w:val="TablebodyleftFinancialsTables"/>
              <w:jc w:val="right"/>
              <w:rPr>
                <w:rFonts w:cs="Times New Roman"/>
                <w:b/>
                <w:bCs/>
              </w:rPr>
            </w:pPr>
          </w:p>
        </w:tc>
      </w:tr>
      <w:tr w:rsidR="00B02873" w:rsidRPr="007B509E" w14:paraId="147EEC50" w14:textId="77777777" w:rsidTr="009F6531">
        <w:tc>
          <w:tcPr>
            <w:tcW w:w="3685" w:type="dxa"/>
          </w:tcPr>
          <w:p w14:paraId="06E79E43" w14:textId="77777777" w:rsidR="00B02873" w:rsidRPr="007B509E" w:rsidRDefault="00B02873" w:rsidP="009F6531">
            <w:pPr>
              <w:pStyle w:val="TablebodyleftFinancialsTables"/>
              <w:rPr>
                <w:b/>
                <w:bCs/>
              </w:rPr>
            </w:pPr>
            <w:r w:rsidRPr="007B509E">
              <w:rPr>
                <w:b/>
                <w:bCs/>
              </w:rPr>
              <w:t>Equity</w:t>
            </w:r>
          </w:p>
        </w:tc>
        <w:tc>
          <w:tcPr>
            <w:tcW w:w="1191" w:type="dxa"/>
          </w:tcPr>
          <w:p w14:paraId="7EAF2C21" w14:textId="77777777" w:rsidR="00B02873" w:rsidRPr="007B509E" w:rsidRDefault="00B02873" w:rsidP="009F6531">
            <w:pPr>
              <w:pStyle w:val="TablebodyleftFinancialsTables"/>
              <w:jc w:val="right"/>
              <w:rPr>
                <w:rFonts w:cs="Times New Roman"/>
              </w:rPr>
            </w:pPr>
          </w:p>
        </w:tc>
        <w:tc>
          <w:tcPr>
            <w:tcW w:w="1190" w:type="dxa"/>
          </w:tcPr>
          <w:p w14:paraId="213CEC3F" w14:textId="77777777" w:rsidR="00B02873" w:rsidRPr="007B509E" w:rsidRDefault="00B02873" w:rsidP="009F6531">
            <w:pPr>
              <w:pStyle w:val="TablebodyleftFinancialsTables"/>
              <w:jc w:val="right"/>
              <w:rPr>
                <w:rFonts w:cs="Times New Roman"/>
              </w:rPr>
            </w:pPr>
          </w:p>
        </w:tc>
        <w:tc>
          <w:tcPr>
            <w:tcW w:w="1191" w:type="dxa"/>
          </w:tcPr>
          <w:p w14:paraId="393FE2E9" w14:textId="77777777" w:rsidR="00B02873" w:rsidRPr="007B509E" w:rsidRDefault="00B02873" w:rsidP="009F6531">
            <w:pPr>
              <w:pStyle w:val="TablebodyleftFinancialsTables"/>
              <w:jc w:val="right"/>
              <w:rPr>
                <w:rFonts w:cs="Times New Roman"/>
              </w:rPr>
            </w:pPr>
          </w:p>
        </w:tc>
        <w:tc>
          <w:tcPr>
            <w:tcW w:w="1190" w:type="dxa"/>
          </w:tcPr>
          <w:p w14:paraId="62F0DD0F" w14:textId="77777777" w:rsidR="00B02873" w:rsidRPr="007B509E" w:rsidRDefault="00B02873" w:rsidP="009F6531">
            <w:pPr>
              <w:pStyle w:val="TablebodyleftFinancialsTables"/>
              <w:jc w:val="right"/>
              <w:rPr>
                <w:rFonts w:cs="Times New Roman"/>
              </w:rPr>
            </w:pPr>
          </w:p>
        </w:tc>
        <w:tc>
          <w:tcPr>
            <w:tcW w:w="1191" w:type="dxa"/>
          </w:tcPr>
          <w:p w14:paraId="4D5D6F2D" w14:textId="77777777" w:rsidR="00B02873" w:rsidRPr="007B509E" w:rsidRDefault="00B02873" w:rsidP="009F6531">
            <w:pPr>
              <w:pStyle w:val="TablebodyleftFinancialsTables"/>
              <w:jc w:val="right"/>
              <w:rPr>
                <w:rFonts w:cs="Times New Roman"/>
              </w:rPr>
            </w:pPr>
          </w:p>
        </w:tc>
      </w:tr>
      <w:tr w:rsidR="00B02873" w:rsidRPr="00B02873" w14:paraId="46E7B24A" w14:textId="77777777" w:rsidTr="009F6531">
        <w:tc>
          <w:tcPr>
            <w:tcW w:w="3685" w:type="dxa"/>
          </w:tcPr>
          <w:p w14:paraId="643C802B" w14:textId="77777777" w:rsidR="00B02873" w:rsidRDefault="00B02873" w:rsidP="009F6531">
            <w:pPr>
              <w:pStyle w:val="TablebodyleftFinancialsTables"/>
            </w:pPr>
            <w:r>
              <w:t>Accumulated surplus/(deficit)</w:t>
            </w:r>
          </w:p>
        </w:tc>
        <w:tc>
          <w:tcPr>
            <w:tcW w:w="1191" w:type="dxa"/>
          </w:tcPr>
          <w:p w14:paraId="000DD9ED" w14:textId="77777777" w:rsidR="00B02873" w:rsidRDefault="00B02873" w:rsidP="009F6531">
            <w:pPr>
              <w:pStyle w:val="TablebodyleftFinancialsTables"/>
              <w:jc w:val="right"/>
            </w:pPr>
            <w:r>
              <w:t>4,514</w:t>
            </w:r>
          </w:p>
        </w:tc>
        <w:tc>
          <w:tcPr>
            <w:tcW w:w="1190" w:type="dxa"/>
          </w:tcPr>
          <w:p w14:paraId="2E6E0695" w14:textId="77777777" w:rsidR="00B02873" w:rsidRDefault="00B02873" w:rsidP="009F6531">
            <w:pPr>
              <w:pStyle w:val="TablebodyleftFinancialsTables"/>
              <w:jc w:val="right"/>
            </w:pPr>
            <w:r>
              <w:t>3,889</w:t>
            </w:r>
          </w:p>
        </w:tc>
        <w:tc>
          <w:tcPr>
            <w:tcW w:w="1191" w:type="dxa"/>
          </w:tcPr>
          <w:p w14:paraId="4DFF3F6C" w14:textId="77777777" w:rsidR="00B02873" w:rsidRDefault="00B02873" w:rsidP="009F6531">
            <w:pPr>
              <w:pStyle w:val="TablebodyleftFinancialsTables"/>
              <w:jc w:val="right"/>
            </w:pPr>
            <w:r>
              <w:t>625</w:t>
            </w:r>
          </w:p>
        </w:tc>
        <w:tc>
          <w:tcPr>
            <w:tcW w:w="1190" w:type="dxa"/>
          </w:tcPr>
          <w:p w14:paraId="5430E9AD" w14:textId="77777777" w:rsidR="00B02873" w:rsidRDefault="00B02873" w:rsidP="009F6531">
            <w:pPr>
              <w:pStyle w:val="TablebodyleftFinancialsTables"/>
              <w:jc w:val="right"/>
            </w:pPr>
            <w:r>
              <w:t>16%</w:t>
            </w:r>
          </w:p>
        </w:tc>
        <w:tc>
          <w:tcPr>
            <w:tcW w:w="1191" w:type="dxa"/>
          </w:tcPr>
          <w:p w14:paraId="73816AB6" w14:textId="77777777" w:rsidR="00B02873" w:rsidRDefault="00B02873" w:rsidP="009F6531">
            <w:pPr>
              <w:pStyle w:val="TablebodyleftFinancialsTables"/>
              <w:jc w:val="right"/>
            </w:pPr>
            <w:r>
              <w:t>8</w:t>
            </w:r>
          </w:p>
        </w:tc>
      </w:tr>
      <w:tr w:rsidR="00B02873" w:rsidRPr="00B02873" w14:paraId="43D912E5" w14:textId="77777777" w:rsidTr="009F6531">
        <w:tc>
          <w:tcPr>
            <w:tcW w:w="3685" w:type="dxa"/>
          </w:tcPr>
          <w:p w14:paraId="41AFA98F" w14:textId="77777777" w:rsidR="00B02873" w:rsidRDefault="00B02873" w:rsidP="009F6531">
            <w:pPr>
              <w:pStyle w:val="TablebodyleftFinancialsTables"/>
            </w:pPr>
            <w:r>
              <w:t xml:space="preserve">Reserves </w:t>
            </w:r>
          </w:p>
        </w:tc>
        <w:tc>
          <w:tcPr>
            <w:tcW w:w="1191" w:type="dxa"/>
          </w:tcPr>
          <w:p w14:paraId="0B08A347" w14:textId="77777777" w:rsidR="00B02873" w:rsidRDefault="00B02873" w:rsidP="009F6531">
            <w:pPr>
              <w:pStyle w:val="TablebodyleftFinancialsTables"/>
              <w:jc w:val="right"/>
            </w:pPr>
            <w:r>
              <w:t>6,616</w:t>
            </w:r>
          </w:p>
        </w:tc>
        <w:tc>
          <w:tcPr>
            <w:tcW w:w="1190" w:type="dxa"/>
          </w:tcPr>
          <w:p w14:paraId="656C837A" w14:textId="77777777" w:rsidR="00B02873" w:rsidRDefault="00B02873" w:rsidP="009F6531">
            <w:pPr>
              <w:pStyle w:val="TablebodyleftFinancialsTables"/>
              <w:jc w:val="right"/>
            </w:pPr>
            <w:r>
              <w:t>5,565</w:t>
            </w:r>
          </w:p>
        </w:tc>
        <w:tc>
          <w:tcPr>
            <w:tcW w:w="1191" w:type="dxa"/>
          </w:tcPr>
          <w:p w14:paraId="0EFCD15D" w14:textId="77777777" w:rsidR="00B02873" w:rsidRDefault="00B02873" w:rsidP="009F6531">
            <w:pPr>
              <w:pStyle w:val="TablebodyleftFinancialsTables"/>
              <w:jc w:val="right"/>
            </w:pPr>
            <w:r>
              <w:t>1,051</w:t>
            </w:r>
          </w:p>
        </w:tc>
        <w:tc>
          <w:tcPr>
            <w:tcW w:w="1190" w:type="dxa"/>
          </w:tcPr>
          <w:p w14:paraId="13F8A1CC" w14:textId="77777777" w:rsidR="00B02873" w:rsidRDefault="00B02873" w:rsidP="009F6531">
            <w:pPr>
              <w:pStyle w:val="TablebodyleftFinancialsTables"/>
              <w:jc w:val="right"/>
            </w:pPr>
            <w:r>
              <w:t>19%</w:t>
            </w:r>
          </w:p>
        </w:tc>
        <w:tc>
          <w:tcPr>
            <w:tcW w:w="1191" w:type="dxa"/>
          </w:tcPr>
          <w:p w14:paraId="4463CDC0" w14:textId="77777777" w:rsidR="00B02873" w:rsidRDefault="00B02873" w:rsidP="009F6531">
            <w:pPr>
              <w:pStyle w:val="TablebodyleftFinancialsTables"/>
              <w:jc w:val="right"/>
            </w:pPr>
            <w:r>
              <w:t>9</w:t>
            </w:r>
          </w:p>
        </w:tc>
      </w:tr>
      <w:tr w:rsidR="00B02873" w:rsidRPr="00B02873" w14:paraId="251B9C36" w14:textId="77777777" w:rsidTr="009F6531">
        <w:tc>
          <w:tcPr>
            <w:tcW w:w="3685" w:type="dxa"/>
          </w:tcPr>
          <w:p w14:paraId="79B6B45A" w14:textId="77777777" w:rsidR="00B02873" w:rsidRDefault="00B02873" w:rsidP="009F6531">
            <w:pPr>
              <w:pStyle w:val="TablebodyleftFinancialsTables"/>
            </w:pPr>
            <w:r>
              <w:t>Contributed capital</w:t>
            </w:r>
          </w:p>
        </w:tc>
        <w:tc>
          <w:tcPr>
            <w:tcW w:w="1191" w:type="dxa"/>
          </w:tcPr>
          <w:p w14:paraId="7131E6BD" w14:textId="77777777" w:rsidR="00B02873" w:rsidRDefault="00B02873" w:rsidP="009F6531">
            <w:pPr>
              <w:pStyle w:val="TablebodyleftFinancialsTables"/>
              <w:jc w:val="right"/>
            </w:pPr>
            <w:r>
              <w:t>192</w:t>
            </w:r>
          </w:p>
        </w:tc>
        <w:tc>
          <w:tcPr>
            <w:tcW w:w="1190" w:type="dxa"/>
          </w:tcPr>
          <w:p w14:paraId="226DDF37" w14:textId="77777777" w:rsidR="00B02873" w:rsidRDefault="00B02873" w:rsidP="009F6531">
            <w:pPr>
              <w:pStyle w:val="TablebodyleftFinancialsTables"/>
              <w:jc w:val="right"/>
            </w:pPr>
            <w:r>
              <w:t>379</w:t>
            </w:r>
          </w:p>
        </w:tc>
        <w:tc>
          <w:tcPr>
            <w:tcW w:w="1191" w:type="dxa"/>
          </w:tcPr>
          <w:p w14:paraId="6C1912E0" w14:textId="77777777" w:rsidR="00B02873" w:rsidRDefault="00B02873" w:rsidP="009F6531">
            <w:pPr>
              <w:pStyle w:val="TablebodyleftFinancialsTables"/>
              <w:jc w:val="right"/>
            </w:pPr>
            <w:r>
              <w:t>(187)</w:t>
            </w:r>
          </w:p>
        </w:tc>
        <w:tc>
          <w:tcPr>
            <w:tcW w:w="1190" w:type="dxa"/>
          </w:tcPr>
          <w:p w14:paraId="18F609AC" w14:textId="77777777" w:rsidR="00B02873" w:rsidRDefault="00B02873" w:rsidP="009F6531">
            <w:pPr>
              <w:pStyle w:val="TablebodyleftFinancialsTables"/>
              <w:jc w:val="right"/>
            </w:pPr>
            <w:r>
              <w:t>(49%)</w:t>
            </w:r>
          </w:p>
        </w:tc>
        <w:tc>
          <w:tcPr>
            <w:tcW w:w="1191" w:type="dxa"/>
          </w:tcPr>
          <w:p w14:paraId="31DDCD59" w14:textId="77777777" w:rsidR="00B02873" w:rsidRDefault="00B02873" w:rsidP="009F6531">
            <w:pPr>
              <w:pStyle w:val="TablebodyleftFinancialsTables"/>
              <w:jc w:val="right"/>
            </w:pPr>
            <w:r>
              <w:t>10</w:t>
            </w:r>
          </w:p>
        </w:tc>
      </w:tr>
      <w:tr w:rsidR="00B02873" w:rsidRPr="007B509E" w14:paraId="48676048" w14:textId="77777777" w:rsidTr="009F6531">
        <w:tc>
          <w:tcPr>
            <w:tcW w:w="3685" w:type="dxa"/>
          </w:tcPr>
          <w:p w14:paraId="2F448508" w14:textId="77777777" w:rsidR="00B02873" w:rsidRPr="007B509E" w:rsidRDefault="00B02873" w:rsidP="009F6531">
            <w:pPr>
              <w:pStyle w:val="TablebodyleftFinancialsTables"/>
              <w:rPr>
                <w:b/>
                <w:bCs/>
              </w:rPr>
            </w:pPr>
            <w:r w:rsidRPr="007B509E">
              <w:rPr>
                <w:b/>
                <w:bCs/>
              </w:rPr>
              <w:t>Total equity</w:t>
            </w:r>
          </w:p>
        </w:tc>
        <w:tc>
          <w:tcPr>
            <w:tcW w:w="1191" w:type="dxa"/>
          </w:tcPr>
          <w:p w14:paraId="72B04D55" w14:textId="77777777" w:rsidR="00B02873" w:rsidRPr="007B509E" w:rsidRDefault="00B02873" w:rsidP="009F6531">
            <w:pPr>
              <w:pStyle w:val="TablebodyleftFinancialsTables"/>
              <w:jc w:val="right"/>
              <w:rPr>
                <w:b/>
                <w:bCs/>
              </w:rPr>
            </w:pPr>
            <w:r w:rsidRPr="007B509E">
              <w:rPr>
                <w:b/>
                <w:bCs/>
              </w:rPr>
              <w:t>11,322</w:t>
            </w:r>
          </w:p>
        </w:tc>
        <w:tc>
          <w:tcPr>
            <w:tcW w:w="1190" w:type="dxa"/>
          </w:tcPr>
          <w:p w14:paraId="7093B661" w14:textId="77777777" w:rsidR="00B02873" w:rsidRPr="007B509E" w:rsidRDefault="00B02873" w:rsidP="009F6531">
            <w:pPr>
              <w:pStyle w:val="TablebodyleftFinancialsTables"/>
              <w:jc w:val="right"/>
              <w:rPr>
                <w:b/>
                <w:bCs/>
              </w:rPr>
            </w:pPr>
            <w:r w:rsidRPr="007B509E">
              <w:rPr>
                <w:b/>
                <w:bCs/>
              </w:rPr>
              <w:t>9,833</w:t>
            </w:r>
          </w:p>
        </w:tc>
        <w:tc>
          <w:tcPr>
            <w:tcW w:w="1191" w:type="dxa"/>
          </w:tcPr>
          <w:p w14:paraId="6DC894DB" w14:textId="77777777" w:rsidR="00B02873" w:rsidRPr="007B509E" w:rsidRDefault="00B02873" w:rsidP="009F6531">
            <w:pPr>
              <w:pStyle w:val="TablebodyleftFinancialsTables"/>
              <w:jc w:val="right"/>
              <w:rPr>
                <w:b/>
                <w:bCs/>
              </w:rPr>
            </w:pPr>
            <w:r w:rsidRPr="007B509E">
              <w:rPr>
                <w:b/>
                <w:bCs/>
              </w:rPr>
              <w:t>1,489</w:t>
            </w:r>
          </w:p>
        </w:tc>
        <w:tc>
          <w:tcPr>
            <w:tcW w:w="1190" w:type="dxa"/>
          </w:tcPr>
          <w:p w14:paraId="43038BDF" w14:textId="77777777" w:rsidR="00B02873" w:rsidRPr="007B509E" w:rsidRDefault="00B02873" w:rsidP="009F6531">
            <w:pPr>
              <w:pStyle w:val="TablebodyleftFinancialsTables"/>
              <w:jc w:val="right"/>
              <w:rPr>
                <w:b/>
                <w:bCs/>
              </w:rPr>
            </w:pPr>
            <w:r w:rsidRPr="007B509E">
              <w:rPr>
                <w:b/>
                <w:bCs/>
              </w:rPr>
              <w:t>15%</w:t>
            </w:r>
          </w:p>
        </w:tc>
        <w:tc>
          <w:tcPr>
            <w:tcW w:w="1191" w:type="dxa"/>
          </w:tcPr>
          <w:p w14:paraId="7A19BCA8" w14:textId="77777777" w:rsidR="00B02873" w:rsidRPr="007B509E" w:rsidRDefault="00B02873" w:rsidP="009F6531">
            <w:pPr>
              <w:pStyle w:val="TablebodyleftFinancialsTables"/>
              <w:jc w:val="right"/>
              <w:rPr>
                <w:rFonts w:cs="Times New Roman"/>
                <w:b/>
                <w:bCs/>
              </w:rPr>
            </w:pPr>
          </w:p>
        </w:tc>
      </w:tr>
    </w:tbl>
    <w:p w14:paraId="41C60B22" w14:textId="77777777" w:rsidR="00B02873" w:rsidRPr="00684AB2" w:rsidRDefault="00B02873" w:rsidP="008169E9">
      <w:pPr>
        <w:pStyle w:val="SourceNote"/>
        <w:spacing w:after="120"/>
        <w:rPr>
          <w:b/>
          <w:bCs/>
        </w:rPr>
      </w:pPr>
      <w:r w:rsidRPr="00684AB2">
        <w:rPr>
          <w:b/>
          <w:bCs/>
        </w:rPr>
        <w:t>Variance Notes:</w:t>
      </w:r>
    </w:p>
    <w:p w14:paraId="65A5FA08" w14:textId="77777777" w:rsidR="00B02873" w:rsidRPr="00684AB2" w:rsidRDefault="00B02873" w:rsidP="00684AB2">
      <w:pPr>
        <w:pStyle w:val="SourceNotenumbered-1"/>
      </w:pPr>
      <w:r>
        <w:t xml:space="preserve">The variance is primarily due to lower than anticipated Trust fund balances relating to the Growth Areas </w:t>
      </w:r>
      <w:r w:rsidRPr="00684AB2">
        <w:t>Infrastructure Contribution, due to an increase in grants paid to the Department of Transport.</w:t>
      </w:r>
    </w:p>
    <w:p w14:paraId="2B75E737" w14:textId="77777777" w:rsidR="00B02873" w:rsidRDefault="00B02873" w:rsidP="00684AB2">
      <w:pPr>
        <w:pStyle w:val="SourceNotenumbered-1"/>
        <w:rPr>
          <w:spacing w:val="-1"/>
        </w:rPr>
      </w:pPr>
      <w:r w:rsidRPr="00684AB2">
        <w:t>The variance is primarily due to an increase in receivables for the Municipal and Industrial Waste Levy associa</w:t>
      </w:r>
      <w:r>
        <w:rPr>
          <w:spacing w:val="-1"/>
        </w:rPr>
        <w:t xml:space="preserve">ted with the increased levy, higher than expected receivables from the Victorian Government State Administration Unit and accrued income from financial instruments related to the department’s renewable energy generation contracts. </w:t>
      </w:r>
    </w:p>
    <w:p w14:paraId="6533E871" w14:textId="7B4DFDA8" w:rsidR="00B02873" w:rsidRDefault="00B02873" w:rsidP="00684AB2">
      <w:pPr>
        <w:pStyle w:val="SourceNotenumbered-1"/>
      </w:pPr>
      <w:r>
        <w:t>The variance is primarily due to revaluation of the derivative financial instruments based on electricity pricing forecasts.</w:t>
      </w:r>
      <w:r w:rsidR="00012C04">
        <w:t xml:space="preserve"> </w:t>
      </w:r>
    </w:p>
    <w:p w14:paraId="1369317D" w14:textId="77777777" w:rsidR="00B02873" w:rsidRDefault="00B02873" w:rsidP="00684AB2">
      <w:pPr>
        <w:pStyle w:val="SourceNotenumbered-1"/>
      </w:pPr>
      <w:r>
        <w:t>The variance is primarily due to the change in value of land assets as a result of the managerial revaluation recognised in June 2022 due to the annual fair valuation assessment and first-time recognition of Crown land.</w:t>
      </w:r>
    </w:p>
    <w:p w14:paraId="459C343E" w14:textId="77777777" w:rsidR="00B02873" w:rsidRDefault="00B02873" w:rsidP="00684AB2">
      <w:pPr>
        <w:pStyle w:val="SourceNotenumbered-1"/>
      </w:pPr>
      <w:r>
        <w:t xml:space="preserve">The variance is primarily due to higher than anticipated prepayments for management of the Solar Homes loans and rebates. </w:t>
      </w:r>
    </w:p>
    <w:p w14:paraId="148D1255" w14:textId="77777777" w:rsidR="00B02873" w:rsidRDefault="00B02873" w:rsidP="00684AB2">
      <w:pPr>
        <w:pStyle w:val="SourceNotenumbered-1"/>
      </w:pPr>
      <w:r>
        <w:t>The variance is primarily due to a change in the classification of the payments associated with the Bulgana Support agreement.</w:t>
      </w:r>
    </w:p>
    <w:p w14:paraId="0304F843" w14:textId="77777777" w:rsidR="00B02873" w:rsidRDefault="00B02873" w:rsidP="00684AB2">
      <w:pPr>
        <w:pStyle w:val="SourceNotenumbered-1"/>
      </w:pPr>
      <w:r>
        <w:lastRenderedPageBreak/>
        <w:t>The variance is primarily related to provisions for compulsory land acquisitions under the Suburban Parks program.</w:t>
      </w:r>
    </w:p>
    <w:p w14:paraId="70B4CA59" w14:textId="77777777" w:rsidR="00B02873" w:rsidRDefault="00B02873" w:rsidP="00684AB2">
      <w:pPr>
        <w:pStyle w:val="SourceNotenumbered-1"/>
      </w:pPr>
      <w:r>
        <w:t>Refer Operating statement variance commentary.</w:t>
      </w:r>
    </w:p>
    <w:p w14:paraId="62C3B863" w14:textId="77777777" w:rsidR="00B02873" w:rsidRPr="00684AB2" w:rsidRDefault="00B02873" w:rsidP="00684AB2">
      <w:pPr>
        <w:pStyle w:val="SourceNotenumbered-1"/>
      </w:pPr>
      <w:r w:rsidRPr="00684AB2">
        <w:t xml:space="preserve">The variance is primarily due to the managerial valuation adopted for land, resulting from a 17 per cent movement in the value. This is in line with the requirements of Financial Reporting Direction 103 </w:t>
      </w:r>
      <w:r w:rsidRPr="00684AB2">
        <w:rPr>
          <w:i w:val="0"/>
        </w:rPr>
        <w:t>Non-financial physical assets</w:t>
      </w:r>
      <w:r w:rsidRPr="00684AB2">
        <w:t>.</w:t>
      </w:r>
    </w:p>
    <w:p w14:paraId="098588B5" w14:textId="4A8CC332" w:rsidR="00B02873" w:rsidRDefault="00B02873" w:rsidP="00684AB2">
      <w:pPr>
        <w:pStyle w:val="SourceNotenumbered-1"/>
        <w:spacing w:after="200"/>
      </w:pPr>
      <w:r>
        <w:t>This is primarily due to lower than anticipated demand for Solar Home loans, loss on disposal of large-scale energy certificates and equity contributions to portfolio entities for the Goulburn Murray Water Efficiency project, National Water Infrastructure programs, expanding Werribee Open Range Zoo and Safe, Better Public Parks program, partially offset by funding provided for the Suburban Parks program.</w:t>
      </w:r>
      <w:r w:rsidR="00012C04">
        <w:t xml:space="preserve"> </w:t>
      </w:r>
    </w:p>
    <w:p w14:paraId="68EE3A4D" w14:textId="77777777" w:rsidR="00B02873" w:rsidRDefault="00B02873" w:rsidP="00684AB2">
      <w:pPr>
        <w:pStyle w:val="TableheadingleftFinancialsTables"/>
      </w:pPr>
      <w:r>
        <w:t>Table 3. Statement of cash flows for the financial year ended 30 June 2022</w:t>
      </w:r>
    </w:p>
    <w:tbl>
      <w:tblPr>
        <w:tblStyle w:val="TableGrid"/>
        <w:tblW w:w="0" w:type="auto"/>
        <w:tblLayout w:type="fixed"/>
        <w:tblLook w:val="0020" w:firstRow="1" w:lastRow="0" w:firstColumn="0" w:lastColumn="0" w:noHBand="0" w:noVBand="0"/>
      </w:tblPr>
      <w:tblGrid>
        <w:gridCol w:w="3685"/>
        <w:gridCol w:w="1191"/>
        <w:gridCol w:w="1190"/>
        <w:gridCol w:w="1191"/>
        <w:gridCol w:w="1190"/>
        <w:gridCol w:w="1191"/>
      </w:tblGrid>
      <w:tr w:rsidR="00B02873" w:rsidRPr="00B02873" w14:paraId="599B89F7" w14:textId="77777777" w:rsidTr="00684AB2">
        <w:trPr>
          <w:cnfStyle w:val="100000000000" w:firstRow="1" w:lastRow="0" w:firstColumn="0" w:lastColumn="0" w:oddVBand="0" w:evenVBand="0" w:oddHBand="0" w:evenHBand="0" w:firstRowFirstColumn="0" w:firstRowLastColumn="0" w:lastRowFirstColumn="0" w:lastRowLastColumn="0"/>
          <w:tblHeader/>
        </w:trPr>
        <w:tc>
          <w:tcPr>
            <w:tcW w:w="3685" w:type="dxa"/>
          </w:tcPr>
          <w:p w14:paraId="163F950F" w14:textId="5C1DA33C" w:rsidR="00B02873" w:rsidRDefault="00B02873" w:rsidP="00684AB2">
            <w:pPr>
              <w:pStyle w:val="TableheadingleftFinancialsTables"/>
            </w:pPr>
            <w:r>
              <w:t>Cash Flow Statement</w:t>
            </w:r>
            <w:r w:rsidR="000C45FC">
              <w:t xml:space="preserve"> – </w:t>
            </w:r>
            <w:r>
              <w:t>Controlled</w:t>
            </w:r>
          </w:p>
        </w:tc>
        <w:tc>
          <w:tcPr>
            <w:tcW w:w="1191" w:type="dxa"/>
          </w:tcPr>
          <w:p w14:paraId="2046284F" w14:textId="77777777" w:rsidR="00B02873" w:rsidRDefault="00B02873" w:rsidP="00684AB2">
            <w:pPr>
              <w:pStyle w:val="TableheadingleftFinancialsTables"/>
              <w:jc w:val="right"/>
            </w:pPr>
            <w:r>
              <w:t>2021-22 Actual</w:t>
            </w:r>
            <w:r>
              <w:br/>
              <w:t>($ million)</w:t>
            </w:r>
          </w:p>
        </w:tc>
        <w:tc>
          <w:tcPr>
            <w:tcW w:w="1190" w:type="dxa"/>
          </w:tcPr>
          <w:p w14:paraId="3E851998" w14:textId="77777777" w:rsidR="00B02873" w:rsidRDefault="00B02873" w:rsidP="00684AB2">
            <w:pPr>
              <w:pStyle w:val="TableheadingleftFinancialsTables"/>
              <w:jc w:val="right"/>
            </w:pPr>
            <w:r>
              <w:t xml:space="preserve">2021-22 Published Budget </w:t>
            </w:r>
            <w:r>
              <w:br/>
              <w:t>($ million)</w:t>
            </w:r>
          </w:p>
        </w:tc>
        <w:tc>
          <w:tcPr>
            <w:tcW w:w="1191" w:type="dxa"/>
          </w:tcPr>
          <w:p w14:paraId="1333AD38" w14:textId="77777777" w:rsidR="00B02873" w:rsidRDefault="00B02873" w:rsidP="00684AB2">
            <w:pPr>
              <w:pStyle w:val="TableheadingleftFinancialsTables"/>
              <w:jc w:val="right"/>
            </w:pPr>
            <w:r>
              <w:t xml:space="preserve">Variance </w:t>
            </w:r>
            <w:r>
              <w:br/>
              <w:t>($ million)</w:t>
            </w:r>
          </w:p>
        </w:tc>
        <w:tc>
          <w:tcPr>
            <w:tcW w:w="1190" w:type="dxa"/>
          </w:tcPr>
          <w:p w14:paraId="4088FE62" w14:textId="77777777" w:rsidR="00B02873" w:rsidRDefault="00B02873" w:rsidP="00684AB2">
            <w:pPr>
              <w:pStyle w:val="TableheadingleftFinancialsTables"/>
              <w:jc w:val="right"/>
            </w:pPr>
            <w:r>
              <w:t xml:space="preserve">Variance </w:t>
            </w:r>
            <w:r>
              <w:br/>
              <w:t>(%)</w:t>
            </w:r>
          </w:p>
        </w:tc>
        <w:tc>
          <w:tcPr>
            <w:tcW w:w="1191" w:type="dxa"/>
          </w:tcPr>
          <w:p w14:paraId="6293C28D" w14:textId="77777777" w:rsidR="00B02873" w:rsidRDefault="00B02873" w:rsidP="00684AB2">
            <w:pPr>
              <w:pStyle w:val="TableheadingleftFinancialsTables"/>
              <w:jc w:val="right"/>
            </w:pPr>
            <w:r>
              <w:t>Variance</w:t>
            </w:r>
            <w:r>
              <w:br/>
              <w:t>Notes</w:t>
            </w:r>
          </w:p>
        </w:tc>
      </w:tr>
      <w:tr w:rsidR="00B02873" w:rsidRPr="007B509E" w14:paraId="12E62D44" w14:textId="77777777" w:rsidTr="00684AB2">
        <w:tc>
          <w:tcPr>
            <w:tcW w:w="3685" w:type="dxa"/>
          </w:tcPr>
          <w:p w14:paraId="3F08B467" w14:textId="77777777" w:rsidR="00B02873" w:rsidRPr="007B509E" w:rsidRDefault="00B02873" w:rsidP="00684AB2">
            <w:pPr>
              <w:pStyle w:val="TablebodyleftFinancialsTables"/>
              <w:rPr>
                <w:b/>
                <w:bCs/>
              </w:rPr>
            </w:pPr>
            <w:r w:rsidRPr="007B509E">
              <w:rPr>
                <w:b/>
                <w:bCs/>
              </w:rPr>
              <w:t>Cash flows from operating activities</w:t>
            </w:r>
          </w:p>
        </w:tc>
        <w:tc>
          <w:tcPr>
            <w:tcW w:w="1191" w:type="dxa"/>
          </w:tcPr>
          <w:p w14:paraId="4BFDADEE" w14:textId="77777777" w:rsidR="00B02873" w:rsidRPr="007B509E" w:rsidRDefault="00B02873" w:rsidP="00684AB2">
            <w:pPr>
              <w:pStyle w:val="TablebodyleftFinancialsTables"/>
              <w:jc w:val="right"/>
              <w:rPr>
                <w:rFonts w:cs="Times New Roman"/>
                <w:b/>
                <w:bCs/>
              </w:rPr>
            </w:pPr>
          </w:p>
        </w:tc>
        <w:tc>
          <w:tcPr>
            <w:tcW w:w="1190" w:type="dxa"/>
          </w:tcPr>
          <w:p w14:paraId="5E066D7C" w14:textId="77777777" w:rsidR="00B02873" w:rsidRPr="007B509E" w:rsidRDefault="00B02873" w:rsidP="00684AB2">
            <w:pPr>
              <w:pStyle w:val="TablebodyleftFinancialsTables"/>
              <w:jc w:val="right"/>
              <w:rPr>
                <w:rFonts w:cs="Times New Roman"/>
                <w:b/>
                <w:bCs/>
              </w:rPr>
            </w:pPr>
          </w:p>
        </w:tc>
        <w:tc>
          <w:tcPr>
            <w:tcW w:w="1191" w:type="dxa"/>
          </w:tcPr>
          <w:p w14:paraId="37A308B6" w14:textId="77777777" w:rsidR="00B02873" w:rsidRPr="007B509E" w:rsidRDefault="00B02873" w:rsidP="00684AB2">
            <w:pPr>
              <w:pStyle w:val="TablebodyleftFinancialsTables"/>
              <w:jc w:val="right"/>
              <w:rPr>
                <w:rFonts w:cs="Times New Roman"/>
                <w:b/>
                <w:bCs/>
              </w:rPr>
            </w:pPr>
          </w:p>
        </w:tc>
        <w:tc>
          <w:tcPr>
            <w:tcW w:w="1190" w:type="dxa"/>
          </w:tcPr>
          <w:p w14:paraId="0491FFB8" w14:textId="77777777" w:rsidR="00B02873" w:rsidRPr="007B509E" w:rsidRDefault="00B02873" w:rsidP="00684AB2">
            <w:pPr>
              <w:pStyle w:val="TablebodyleftFinancialsTables"/>
              <w:jc w:val="right"/>
              <w:rPr>
                <w:rFonts w:cs="Times New Roman"/>
                <w:b/>
                <w:bCs/>
              </w:rPr>
            </w:pPr>
          </w:p>
        </w:tc>
        <w:tc>
          <w:tcPr>
            <w:tcW w:w="1191" w:type="dxa"/>
          </w:tcPr>
          <w:p w14:paraId="700BE1E6" w14:textId="77777777" w:rsidR="00B02873" w:rsidRPr="007B509E" w:rsidRDefault="00B02873" w:rsidP="00684AB2">
            <w:pPr>
              <w:pStyle w:val="TablebodyleftFinancialsTables"/>
              <w:jc w:val="right"/>
              <w:rPr>
                <w:rFonts w:cs="Times New Roman"/>
                <w:b/>
                <w:bCs/>
              </w:rPr>
            </w:pPr>
          </w:p>
        </w:tc>
      </w:tr>
      <w:tr w:rsidR="00B02873" w:rsidRPr="007B509E" w14:paraId="0D0F932B" w14:textId="77777777" w:rsidTr="00684AB2">
        <w:tc>
          <w:tcPr>
            <w:tcW w:w="3685" w:type="dxa"/>
          </w:tcPr>
          <w:p w14:paraId="23635528" w14:textId="77777777" w:rsidR="00B02873" w:rsidRPr="007B509E" w:rsidRDefault="00B02873" w:rsidP="00684AB2">
            <w:pPr>
              <w:pStyle w:val="TablebodyleftFinancialsTables"/>
              <w:rPr>
                <w:b/>
                <w:bCs/>
              </w:rPr>
            </w:pPr>
            <w:r w:rsidRPr="007B509E">
              <w:rPr>
                <w:b/>
                <w:bCs/>
              </w:rPr>
              <w:t>Receipts</w:t>
            </w:r>
          </w:p>
        </w:tc>
        <w:tc>
          <w:tcPr>
            <w:tcW w:w="1191" w:type="dxa"/>
          </w:tcPr>
          <w:p w14:paraId="34C6B600" w14:textId="77777777" w:rsidR="00B02873" w:rsidRPr="007B509E" w:rsidRDefault="00B02873" w:rsidP="00684AB2">
            <w:pPr>
              <w:pStyle w:val="TablebodyleftFinancialsTables"/>
              <w:jc w:val="right"/>
              <w:rPr>
                <w:rFonts w:cs="Times New Roman"/>
                <w:b/>
                <w:bCs/>
              </w:rPr>
            </w:pPr>
          </w:p>
        </w:tc>
        <w:tc>
          <w:tcPr>
            <w:tcW w:w="1190" w:type="dxa"/>
          </w:tcPr>
          <w:p w14:paraId="4640E901" w14:textId="77777777" w:rsidR="00B02873" w:rsidRPr="007B509E" w:rsidRDefault="00B02873" w:rsidP="00684AB2">
            <w:pPr>
              <w:pStyle w:val="TablebodyleftFinancialsTables"/>
              <w:jc w:val="right"/>
              <w:rPr>
                <w:rFonts w:cs="Times New Roman"/>
                <w:b/>
                <w:bCs/>
              </w:rPr>
            </w:pPr>
          </w:p>
        </w:tc>
        <w:tc>
          <w:tcPr>
            <w:tcW w:w="1191" w:type="dxa"/>
          </w:tcPr>
          <w:p w14:paraId="43379E62" w14:textId="77777777" w:rsidR="00B02873" w:rsidRPr="007B509E" w:rsidRDefault="00B02873" w:rsidP="00684AB2">
            <w:pPr>
              <w:pStyle w:val="TablebodyleftFinancialsTables"/>
              <w:jc w:val="right"/>
              <w:rPr>
                <w:rFonts w:cs="Times New Roman"/>
                <w:b/>
                <w:bCs/>
              </w:rPr>
            </w:pPr>
          </w:p>
        </w:tc>
        <w:tc>
          <w:tcPr>
            <w:tcW w:w="1190" w:type="dxa"/>
          </w:tcPr>
          <w:p w14:paraId="47C3F955" w14:textId="77777777" w:rsidR="00B02873" w:rsidRPr="007B509E" w:rsidRDefault="00B02873" w:rsidP="00684AB2">
            <w:pPr>
              <w:pStyle w:val="TablebodyleftFinancialsTables"/>
              <w:jc w:val="right"/>
              <w:rPr>
                <w:rFonts w:cs="Times New Roman"/>
                <w:b/>
                <w:bCs/>
              </w:rPr>
            </w:pPr>
          </w:p>
        </w:tc>
        <w:tc>
          <w:tcPr>
            <w:tcW w:w="1191" w:type="dxa"/>
          </w:tcPr>
          <w:p w14:paraId="444102A7" w14:textId="77777777" w:rsidR="00B02873" w:rsidRPr="007B509E" w:rsidRDefault="00B02873" w:rsidP="00684AB2">
            <w:pPr>
              <w:pStyle w:val="TablebodyleftFinancialsTables"/>
              <w:jc w:val="right"/>
              <w:rPr>
                <w:rFonts w:cs="Times New Roman"/>
                <w:b/>
                <w:bCs/>
              </w:rPr>
            </w:pPr>
          </w:p>
        </w:tc>
      </w:tr>
      <w:tr w:rsidR="00B02873" w:rsidRPr="00B02873" w14:paraId="022C2F80" w14:textId="77777777" w:rsidTr="00684AB2">
        <w:tc>
          <w:tcPr>
            <w:tcW w:w="3685" w:type="dxa"/>
          </w:tcPr>
          <w:p w14:paraId="298D8B93" w14:textId="77777777" w:rsidR="00B02873" w:rsidRDefault="00B02873" w:rsidP="00684AB2">
            <w:pPr>
              <w:pStyle w:val="TablebodyleftFinancialsTables"/>
            </w:pPr>
            <w:r>
              <w:t>Receipts from Government</w:t>
            </w:r>
          </w:p>
        </w:tc>
        <w:tc>
          <w:tcPr>
            <w:tcW w:w="1191" w:type="dxa"/>
          </w:tcPr>
          <w:p w14:paraId="36304DA9" w14:textId="77777777" w:rsidR="00B02873" w:rsidRDefault="00B02873" w:rsidP="00684AB2">
            <w:pPr>
              <w:pStyle w:val="TablebodyleftFinancialsTables"/>
              <w:jc w:val="right"/>
            </w:pPr>
            <w:r>
              <w:t>2,063</w:t>
            </w:r>
          </w:p>
        </w:tc>
        <w:tc>
          <w:tcPr>
            <w:tcW w:w="1190" w:type="dxa"/>
          </w:tcPr>
          <w:p w14:paraId="76201C44" w14:textId="77777777" w:rsidR="00B02873" w:rsidRDefault="00B02873" w:rsidP="00684AB2">
            <w:pPr>
              <w:pStyle w:val="TablebodyleftFinancialsTables"/>
              <w:jc w:val="right"/>
            </w:pPr>
            <w:r>
              <w:t>2,265</w:t>
            </w:r>
          </w:p>
        </w:tc>
        <w:tc>
          <w:tcPr>
            <w:tcW w:w="1191" w:type="dxa"/>
          </w:tcPr>
          <w:p w14:paraId="48E94EAB" w14:textId="77777777" w:rsidR="00B02873" w:rsidRDefault="00B02873" w:rsidP="00684AB2">
            <w:pPr>
              <w:pStyle w:val="TablebodyleftFinancialsTables"/>
              <w:jc w:val="right"/>
            </w:pPr>
            <w:r>
              <w:t>(202)</w:t>
            </w:r>
          </w:p>
        </w:tc>
        <w:tc>
          <w:tcPr>
            <w:tcW w:w="1190" w:type="dxa"/>
          </w:tcPr>
          <w:p w14:paraId="397BDA9A" w14:textId="77777777" w:rsidR="00B02873" w:rsidRDefault="00B02873" w:rsidP="00684AB2">
            <w:pPr>
              <w:pStyle w:val="TablebodyleftFinancialsTables"/>
              <w:jc w:val="right"/>
            </w:pPr>
            <w:r>
              <w:t>(9%)</w:t>
            </w:r>
          </w:p>
        </w:tc>
        <w:tc>
          <w:tcPr>
            <w:tcW w:w="1191" w:type="dxa"/>
          </w:tcPr>
          <w:p w14:paraId="5F7E0FAC" w14:textId="77777777" w:rsidR="00B02873" w:rsidRDefault="00B02873" w:rsidP="00684AB2">
            <w:pPr>
              <w:pStyle w:val="TablebodyleftFinancialsTables"/>
              <w:jc w:val="right"/>
            </w:pPr>
            <w:r>
              <w:t>1</w:t>
            </w:r>
          </w:p>
        </w:tc>
      </w:tr>
      <w:tr w:rsidR="00B02873" w:rsidRPr="007B509E" w14:paraId="2479755E" w14:textId="77777777" w:rsidTr="00684AB2">
        <w:tc>
          <w:tcPr>
            <w:tcW w:w="3685" w:type="dxa"/>
          </w:tcPr>
          <w:p w14:paraId="7426F832" w14:textId="77777777" w:rsidR="00B02873" w:rsidRPr="007B509E" w:rsidRDefault="00B02873" w:rsidP="00684AB2">
            <w:pPr>
              <w:pStyle w:val="TablebodyleftFinancialsTables"/>
            </w:pPr>
            <w:r w:rsidRPr="007B509E">
              <w:t xml:space="preserve">Receipts from other entities </w:t>
            </w:r>
          </w:p>
        </w:tc>
        <w:tc>
          <w:tcPr>
            <w:tcW w:w="1191" w:type="dxa"/>
          </w:tcPr>
          <w:p w14:paraId="160C86F0" w14:textId="77777777" w:rsidR="00B02873" w:rsidRPr="007B509E" w:rsidRDefault="00B02873" w:rsidP="00684AB2">
            <w:pPr>
              <w:pStyle w:val="TablebodyleftFinancialsTables"/>
              <w:jc w:val="right"/>
            </w:pPr>
            <w:r w:rsidRPr="007B509E">
              <w:t>649</w:t>
            </w:r>
          </w:p>
        </w:tc>
        <w:tc>
          <w:tcPr>
            <w:tcW w:w="1190" w:type="dxa"/>
          </w:tcPr>
          <w:p w14:paraId="79A15776" w14:textId="77777777" w:rsidR="00B02873" w:rsidRPr="007B509E" w:rsidRDefault="00B02873" w:rsidP="00684AB2">
            <w:pPr>
              <w:pStyle w:val="TablebodyleftFinancialsTables"/>
              <w:jc w:val="right"/>
            </w:pPr>
            <w:r w:rsidRPr="007B509E">
              <w:t>662</w:t>
            </w:r>
          </w:p>
        </w:tc>
        <w:tc>
          <w:tcPr>
            <w:tcW w:w="1191" w:type="dxa"/>
          </w:tcPr>
          <w:p w14:paraId="3DA54580" w14:textId="77777777" w:rsidR="00B02873" w:rsidRPr="007B509E" w:rsidRDefault="00B02873" w:rsidP="00684AB2">
            <w:pPr>
              <w:pStyle w:val="TablebodyleftFinancialsTables"/>
              <w:jc w:val="right"/>
            </w:pPr>
            <w:r w:rsidRPr="007B509E">
              <w:t>(13)</w:t>
            </w:r>
          </w:p>
        </w:tc>
        <w:tc>
          <w:tcPr>
            <w:tcW w:w="1190" w:type="dxa"/>
          </w:tcPr>
          <w:p w14:paraId="08680E41" w14:textId="77777777" w:rsidR="00B02873" w:rsidRPr="007B509E" w:rsidRDefault="00B02873" w:rsidP="00684AB2">
            <w:pPr>
              <w:pStyle w:val="TablebodyleftFinancialsTables"/>
              <w:jc w:val="right"/>
            </w:pPr>
            <w:r w:rsidRPr="007B509E">
              <w:t>(2%)</w:t>
            </w:r>
          </w:p>
        </w:tc>
        <w:tc>
          <w:tcPr>
            <w:tcW w:w="1191" w:type="dxa"/>
          </w:tcPr>
          <w:p w14:paraId="1AF7836C" w14:textId="77777777" w:rsidR="00B02873" w:rsidRPr="007B509E" w:rsidRDefault="00B02873" w:rsidP="00684AB2">
            <w:pPr>
              <w:pStyle w:val="TablebodyleftFinancialsTables"/>
              <w:jc w:val="right"/>
              <w:rPr>
                <w:rFonts w:cs="Times New Roman"/>
              </w:rPr>
            </w:pPr>
          </w:p>
        </w:tc>
      </w:tr>
      <w:tr w:rsidR="00B02873" w:rsidRPr="007B509E" w14:paraId="53E925CB" w14:textId="77777777" w:rsidTr="00684AB2">
        <w:tc>
          <w:tcPr>
            <w:tcW w:w="3685" w:type="dxa"/>
          </w:tcPr>
          <w:p w14:paraId="6298544A" w14:textId="073BA45B" w:rsidR="00B02873" w:rsidRPr="007B509E" w:rsidRDefault="00B02873" w:rsidP="00684AB2">
            <w:pPr>
              <w:pStyle w:val="TablebodyleftFinancialsTables"/>
            </w:pPr>
            <w:r w:rsidRPr="007B509E">
              <w:t>Goods and Services Tax recovered from the ATO</w:t>
            </w:r>
          </w:p>
        </w:tc>
        <w:tc>
          <w:tcPr>
            <w:tcW w:w="1191" w:type="dxa"/>
          </w:tcPr>
          <w:p w14:paraId="08E67D1E" w14:textId="77777777" w:rsidR="00B02873" w:rsidRPr="007B509E" w:rsidRDefault="00B02873" w:rsidP="00684AB2">
            <w:pPr>
              <w:pStyle w:val="TablebodyleftFinancialsTables"/>
              <w:jc w:val="right"/>
            </w:pPr>
            <w:r w:rsidRPr="007B509E">
              <w:t>0</w:t>
            </w:r>
          </w:p>
        </w:tc>
        <w:tc>
          <w:tcPr>
            <w:tcW w:w="1190" w:type="dxa"/>
          </w:tcPr>
          <w:p w14:paraId="0D5AA066" w14:textId="77777777" w:rsidR="00B02873" w:rsidRPr="007B509E" w:rsidRDefault="00B02873" w:rsidP="00684AB2">
            <w:pPr>
              <w:pStyle w:val="TablebodyleftFinancialsTables"/>
              <w:jc w:val="right"/>
            </w:pPr>
            <w:r w:rsidRPr="007B509E">
              <w:t>0</w:t>
            </w:r>
          </w:p>
        </w:tc>
        <w:tc>
          <w:tcPr>
            <w:tcW w:w="1191" w:type="dxa"/>
          </w:tcPr>
          <w:p w14:paraId="68C81AE1" w14:textId="77777777" w:rsidR="00B02873" w:rsidRPr="007B509E" w:rsidRDefault="00B02873" w:rsidP="00684AB2">
            <w:pPr>
              <w:pStyle w:val="TablebodyleftFinancialsTables"/>
              <w:jc w:val="right"/>
            </w:pPr>
            <w:r w:rsidRPr="007B509E">
              <w:t>0</w:t>
            </w:r>
          </w:p>
        </w:tc>
        <w:tc>
          <w:tcPr>
            <w:tcW w:w="1190" w:type="dxa"/>
          </w:tcPr>
          <w:p w14:paraId="5FBC21EC" w14:textId="77777777" w:rsidR="00B02873" w:rsidRPr="007B509E" w:rsidRDefault="00B02873" w:rsidP="00684AB2">
            <w:pPr>
              <w:pStyle w:val="TablebodyleftFinancialsTables"/>
              <w:jc w:val="right"/>
            </w:pPr>
            <w:r w:rsidRPr="007B509E">
              <w:t>0%</w:t>
            </w:r>
          </w:p>
        </w:tc>
        <w:tc>
          <w:tcPr>
            <w:tcW w:w="1191" w:type="dxa"/>
          </w:tcPr>
          <w:p w14:paraId="4F6E420F" w14:textId="77777777" w:rsidR="00B02873" w:rsidRPr="007B509E" w:rsidRDefault="00B02873" w:rsidP="00684AB2">
            <w:pPr>
              <w:pStyle w:val="TablebodyleftFinancialsTables"/>
              <w:jc w:val="right"/>
              <w:rPr>
                <w:rFonts w:cs="Times New Roman"/>
              </w:rPr>
            </w:pPr>
          </w:p>
        </w:tc>
      </w:tr>
      <w:tr w:rsidR="00B02873" w:rsidRPr="007B509E" w14:paraId="1422707C" w14:textId="77777777" w:rsidTr="00684AB2">
        <w:tc>
          <w:tcPr>
            <w:tcW w:w="3685" w:type="dxa"/>
          </w:tcPr>
          <w:p w14:paraId="325BCF9D" w14:textId="77777777" w:rsidR="00B02873" w:rsidRPr="007B509E" w:rsidRDefault="00B02873" w:rsidP="00684AB2">
            <w:pPr>
              <w:pStyle w:val="TablebodyleftFinancialsTables"/>
            </w:pPr>
            <w:r w:rsidRPr="007B509E">
              <w:t>Interest received</w:t>
            </w:r>
          </w:p>
        </w:tc>
        <w:tc>
          <w:tcPr>
            <w:tcW w:w="1191" w:type="dxa"/>
          </w:tcPr>
          <w:p w14:paraId="07387EF9" w14:textId="77777777" w:rsidR="00B02873" w:rsidRPr="007B509E" w:rsidRDefault="00B02873" w:rsidP="00684AB2">
            <w:pPr>
              <w:pStyle w:val="TablebodyleftFinancialsTables"/>
              <w:jc w:val="right"/>
            </w:pPr>
            <w:r w:rsidRPr="007B509E">
              <w:t>2</w:t>
            </w:r>
          </w:p>
        </w:tc>
        <w:tc>
          <w:tcPr>
            <w:tcW w:w="1190" w:type="dxa"/>
          </w:tcPr>
          <w:p w14:paraId="1D6BCE22" w14:textId="77777777" w:rsidR="00B02873" w:rsidRPr="007B509E" w:rsidRDefault="00B02873" w:rsidP="00684AB2">
            <w:pPr>
              <w:pStyle w:val="TablebodyleftFinancialsTables"/>
              <w:jc w:val="right"/>
            </w:pPr>
            <w:r w:rsidRPr="007B509E">
              <w:t>6</w:t>
            </w:r>
          </w:p>
        </w:tc>
        <w:tc>
          <w:tcPr>
            <w:tcW w:w="1191" w:type="dxa"/>
          </w:tcPr>
          <w:p w14:paraId="4BCFA041" w14:textId="77777777" w:rsidR="00B02873" w:rsidRPr="007B509E" w:rsidRDefault="00B02873" w:rsidP="00684AB2">
            <w:pPr>
              <w:pStyle w:val="TablebodyleftFinancialsTables"/>
              <w:jc w:val="right"/>
            </w:pPr>
            <w:r w:rsidRPr="007B509E">
              <w:t>(4)</w:t>
            </w:r>
          </w:p>
        </w:tc>
        <w:tc>
          <w:tcPr>
            <w:tcW w:w="1190" w:type="dxa"/>
          </w:tcPr>
          <w:p w14:paraId="7743B666" w14:textId="77777777" w:rsidR="00B02873" w:rsidRPr="007B509E" w:rsidRDefault="00B02873" w:rsidP="00684AB2">
            <w:pPr>
              <w:pStyle w:val="TablebodyleftFinancialsTables"/>
              <w:jc w:val="right"/>
            </w:pPr>
            <w:r w:rsidRPr="007B509E">
              <w:t>(67%)</w:t>
            </w:r>
          </w:p>
        </w:tc>
        <w:tc>
          <w:tcPr>
            <w:tcW w:w="1191" w:type="dxa"/>
          </w:tcPr>
          <w:p w14:paraId="7BB9709F" w14:textId="77777777" w:rsidR="00B02873" w:rsidRPr="007B509E" w:rsidRDefault="00B02873" w:rsidP="00684AB2">
            <w:pPr>
              <w:pStyle w:val="TablebodyleftFinancialsTables"/>
              <w:jc w:val="right"/>
              <w:rPr>
                <w:rFonts w:cs="Times New Roman"/>
              </w:rPr>
            </w:pPr>
          </w:p>
        </w:tc>
      </w:tr>
      <w:tr w:rsidR="00B02873" w:rsidRPr="00B02873" w14:paraId="712759D0" w14:textId="77777777" w:rsidTr="00684AB2">
        <w:tc>
          <w:tcPr>
            <w:tcW w:w="3685" w:type="dxa"/>
          </w:tcPr>
          <w:p w14:paraId="08420E1B" w14:textId="77777777" w:rsidR="00B02873" w:rsidRDefault="00B02873" w:rsidP="00684AB2">
            <w:pPr>
              <w:pStyle w:val="TablebodyleftFinancialsTables"/>
            </w:pPr>
            <w:r>
              <w:t xml:space="preserve">Other receipts </w:t>
            </w:r>
          </w:p>
        </w:tc>
        <w:tc>
          <w:tcPr>
            <w:tcW w:w="1191" w:type="dxa"/>
          </w:tcPr>
          <w:p w14:paraId="6923D91A" w14:textId="77777777" w:rsidR="00B02873" w:rsidRDefault="00B02873" w:rsidP="00684AB2">
            <w:pPr>
              <w:pStyle w:val="TablebodyleftFinancialsTables"/>
              <w:jc w:val="right"/>
            </w:pPr>
            <w:r>
              <w:t>122</w:t>
            </w:r>
          </w:p>
        </w:tc>
        <w:tc>
          <w:tcPr>
            <w:tcW w:w="1190" w:type="dxa"/>
          </w:tcPr>
          <w:p w14:paraId="1F4CBC99" w14:textId="77777777" w:rsidR="00B02873" w:rsidRDefault="00B02873" w:rsidP="00684AB2">
            <w:pPr>
              <w:pStyle w:val="TablebodyleftFinancialsTables"/>
              <w:jc w:val="right"/>
            </w:pPr>
            <w:r>
              <w:t>25</w:t>
            </w:r>
          </w:p>
        </w:tc>
        <w:tc>
          <w:tcPr>
            <w:tcW w:w="1191" w:type="dxa"/>
          </w:tcPr>
          <w:p w14:paraId="5DEC009D" w14:textId="77777777" w:rsidR="00B02873" w:rsidRDefault="00B02873" w:rsidP="00684AB2">
            <w:pPr>
              <w:pStyle w:val="TablebodyleftFinancialsTables"/>
              <w:jc w:val="right"/>
            </w:pPr>
            <w:r>
              <w:t>97</w:t>
            </w:r>
          </w:p>
        </w:tc>
        <w:tc>
          <w:tcPr>
            <w:tcW w:w="1190" w:type="dxa"/>
          </w:tcPr>
          <w:p w14:paraId="41E0685E" w14:textId="77777777" w:rsidR="00B02873" w:rsidRDefault="00B02873" w:rsidP="00684AB2">
            <w:pPr>
              <w:pStyle w:val="TablebodyleftFinancialsTables"/>
              <w:jc w:val="right"/>
            </w:pPr>
            <w:r>
              <w:t>388%</w:t>
            </w:r>
          </w:p>
        </w:tc>
        <w:tc>
          <w:tcPr>
            <w:tcW w:w="1191" w:type="dxa"/>
          </w:tcPr>
          <w:p w14:paraId="5910B61D" w14:textId="77777777" w:rsidR="00B02873" w:rsidRDefault="00B02873" w:rsidP="00684AB2">
            <w:pPr>
              <w:pStyle w:val="TablebodyleftFinancialsTables"/>
              <w:jc w:val="right"/>
            </w:pPr>
            <w:r>
              <w:t>2</w:t>
            </w:r>
          </w:p>
        </w:tc>
      </w:tr>
      <w:tr w:rsidR="00B02873" w:rsidRPr="007B509E" w14:paraId="45AE8198" w14:textId="77777777" w:rsidTr="00684AB2">
        <w:tc>
          <w:tcPr>
            <w:tcW w:w="3685" w:type="dxa"/>
          </w:tcPr>
          <w:p w14:paraId="0DAD7441" w14:textId="77777777" w:rsidR="00B02873" w:rsidRPr="007B509E" w:rsidRDefault="00B02873" w:rsidP="00684AB2">
            <w:pPr>
              <w:pStyle w:val="TablebodyleftFinancialsTables"/>
              <w:rPr>
                <w:b/>
                <w:bCs/>
              </w:rPr>
            </w:pPr>
            <w:r w:rsidRPr="007B509E">
              <w:rPr>
                <w:b/>
                <w:bCs/>
              </w:rPr>
              <w:t>Total receipts</w:t>
            </w:r>
          </w:p>
        </w:tc>
        <w:tc>
          <w:tcPr>
            <w:tcW w:w="1191" w:type="dxa"/>
          </w:tcPr>
          <w:p w14:paraId="5251A679" w14:textId="77777777" w:rsidR="00B02873" w:rsidRPr="007B509E" w:rsidRDefault="00B02873" w:rsidP="00684AB2">
            <w:pPr>
              <w:pStyle w:val="TablebodyleftFinancialsTables"/>
              <w:jc w:val="right"/>
              <w:rPr>
                <w:b/>
                <w:bCs/>
              </w:rPr>
            </w:pPr>
            <w:r w:rsidRPr="007B509E">
              <w:rPr>
                <w:b/>
                <w:bCs/>
              </w:rPr>
              <w:t>2,836</w:t>
            </w:r>
          </w:p>
        </w:tc>
        <w:tc>
          <w:tcPr>
            <w:tcW w:w="1190" w:type="dxa"/>
          </w:tcPr>
          <w:p w14:paraId="216C4707" w14:textId="77777777" w:rsidR="00B02873" w:rsidRPr="007B509E" w:rsidRDefault="00B02873" w:rsidP="00684AB2">
            <w:pPr>
              <w:pStyle w:val="TablebodyleftFinancialsTables"/>
              <w:jc w:val="right"/>
              <w:rPr>
                <w:b/>
                <w:bCs/>
              </w:rPr>
            </w:pPr>
            <w:r w:rsidRPr="007B509E">
              <w:rPr>
                <w:b/>
                <w:bCs/>
              </w:rPr>
              <w:t>2,958</w:t>
            </w:r>
          </w:p>
        </w:tc>
        <w:tc>
          <w:tcPr>
            <w:tcW w:w="1191" w:type="dxa"/>
          </w:tcPr>
          <w:p w14:paraId="51ED8D91" w14:textId="77777777" w:rsidR="00B02873" w:rsidRPr="007B509E" w:rsidRDefault="00B02873" w:rsidP="00684AB2">
            <w:pPr>
              <w:pStyle w:val="TablebodyleftFinancialsTables"/>
              <w:jc w:val="right"/>
              <w:rPr>
                <w:b/>
                <w:bCs/>
              </w:rPr>
            </w:pPr>
            <w:r w:rsidRPr="007B509E">
              <w:rPr>
                <w:b/>
                <w:bCs/>
              </w:rPr>
              <w:t>(122)</w:t>
            </w:r>
          </w:p>
        </w:tc>
        <w:tc>
          <w:tcPr>
            <w:tcW w:w="1190" w:type="dxa"/>
          </w:tcPr>
          <w:p w14:paraId="215CCC18" w14:textId="77777777" w:rsidR="00B02873" w:rsidRPr="007B509E" w:rsidRDefault="00B02873" w:rsidP="00684AB2">
            <w:pPr>
              <w:pStyle w:val="TablebodyleftFinancialsTables"/>
              <w:jc w:val="right"/>
              <w:rPr>
                <w:b/>
                <w:bCs/>
              </w:rPr>
            </w:pPr>
            <w:r w:rsidRPr="007B509E">
              <w:rPr>
                <w:b/>
                <w:bCs/>
              </w:rPr>
              <w:t>(4%)</w:t>
            </w:r>
          </w:p>
        </w:tc>
        <w:tc>
          <w:tcPr>
            <w:tcW w:w="1191" w:type="dxa"/>
          </w:tcPr>
          <w:p w14:paraId="000E7516" w14:textId="77777777" w:rsidR="00B02873" w:rsidRPr="007B509E" w:rsidRDefault="00B02873" w:rsidP="00684AB2">
            <w:pPr>
              <w:pStyle w:val="TablebodyleftFinancialsTables"/>
              <w:jc w:val="right"/>
              <w:rPr>
                <w:rFonts w:cs="Times New Roman"/>
                <w:b/>
                <w:bCs/>
              </w:rPr>
            </w:pPr>
          </w:p>
        </w:tc>
      </w:tr>
      <w:tr w:rsidR="00B02873" w:rsidRPr="007B509E" w14:paraId="3D847212" w14:textId="77777777" w:rsidTr="00684AB2">
        <w:tc>
          <w:tcPr>
            <w:tcW w:w="3685" w:type="dxa"/>
          </w:tcPr>
          <w:p w14:paraId="52AE6B54" w14:textId="77777777" w:rsidR="00B02873" w:rsidRPr="007B509E" w:rsidRDefault="00B02873" w:rsidP="00684AB2">
            <w:pPr>
              <w:pStyle w:val="TablebodyleftFinancialsTables"/>
              <w:rPr>
                <w:b/>
                <w:bCs/>
              </w:rPr>
            </w:pPr>
            <w:r w:rsidRPr="007B509E">
              <w:rPr>
                <w:b/>
                <w:bCs/>
              </w:rPr>
              <w:t>Payments</w:t>
            </w:r>
          </w:p>
        </w:tc>
        <w:tc>
          <w:tcPr>
            <w:tcW w:w="1191" w:type="dxa"/>
          </w:tcPr>
          <w:p w14:paraId="08584518" w14:textId="77777777" w:rsidR="00B02873" w:rsidRPr="007B509E" w:rsidRDefault="00B02873" w:rsidP="00684AB2">
            <w:pPr>
              <w:pStyle w:val="TablebodyleftFinancialsTables"/>
              <w:jc w:val="right"/>
              <w:rPr>
                <w:rFonts w:cs="Times New Roman"/>
                <w:b/>
                <w:bCs/>
              </w:rPr>
            </w:pPr>
          </w:p>
        </w:tc>
        <w:tc>
          <w:tcPr>
            <w:tcW w:w="1190" w:type="dxa"/>
          </w:tcPr>
          <w:p w14:paraId="3D5F5973" w14:textId="77777777" w:rsidR="00B02873" w:rsidRPr="007B509E" w:rsidRDefault="00B02873" w:rsidP="00684AB2">
            <w:pPr>
              <w:pStyle w:val="TablebodyleftFinancialsTables"/>
              <w:jc w:val="right"/>
              <w:rPr>
                <w:rFonts w:cs="Times New Roman"/>
                <w:b/>
                <w:bCs/>
              </w:rPr>
            </w:pPr>
          </w:p>
        </w:tc>
        <w:tc>
          <w:tcPr>
            <w:tcW w:w="1191" w:type="dxa"/>
          </w:tcPr>
          <w:p w14:paraId="0DF75F4E" w14:textId="77777777" w:rsidR="00B02873" w:rsidRPr="007B509E" w:rsidRDefault="00B02873" w:rsidP="00684AB2">
            <w:pPr>
              <w:pStyle w:val="TablebodyleftFinancialsTables"/>
              <w:jc w:val="right"/>
              <w:rPr>
                <w:rFonts w:cs="Times New Roman"/>
                <w:b/>
                <w:bCs/>
              </w:rPr>
            </w:pPr>
          </w:p>
        </w:tc>
        <w:tc>
          <w:tcPr>
            <w:tcW w:w="1190" w:type="dxa"/>
          </w:tcPr>
          <w:p w14:paraId="660FF499" w14:textId="77777777" w:rsidR="00B02873" w:rsidRPr="007B509E" w:rsidRDefault="00B02873" w:rsidP="00684AB2">
            <w:pPr>
              <w:pStyle w:val="TablebodyleftFinancialsTables"/>
              <w:jc w:val="right"/>
              <w:rPr>
                <w:rFonts w:cs="Times New Roman"/>
                <w:b/>
                <w:bCs/>
              </w:rPr>
            </w:pPr>
          </w:p>
        </w:tc>
        <w:tc>
          <w:tcPr>
            <w:tcW w:w="1191" w:type="dxa"/>
          </w:tcPr>
          <w:p w14:paraId="0D277371" w14:textId="77777777" w:rsidR="00B02873" w:rsidRPr="007B509E" w:rsidRDefault="00B02873" w:rsidP="00684AB2">
            <w:pPr>
              <w:pStyle w:val="TablebodyleftFinancialsTables"/>
              <w:jc w:val="right"/>
              <w:rPr>
                <w:rFonts w:cs="Times New Roman"/>
                <w:b/>
                <w:bCs/>
              </w:rPr>
            </w:pPr>
          </w:p>
        </w:tc>
      </w:tr>
      <w:tr w:rsidR="00B02873" w:rsidRPr="007B509E" w14:paraId="11D87FB8" w14:textId="77777777" w:rsidTr="00684AB2">
        <w:tc>
          <w:tcPr>
            <w:tcW w:w="3685" w:type="dxa"/>
          </w:tcPr>
          <w:p w14:paraId="1D18E2F9" w14:textId="77777777" w:rsidR="00B02873" w:rsidRPr="007B509E" w:rsidRDefault="00B02873" w:rsidP="00684AB2">
            <w:pPr>
              <w:pStyle w:val="TablebodyleftFinancialsTables"/>
            </w:pPr>
            <w:r w:rsidRPr="007B509E">
              <w:t xml:space="preserve">Payments of grants and other transfers </w:t>
            </w:r>
          </w:p>
        </w:tc>
        <w:tc>
          <w:tcPr>
            <w:tcW w:w="1191" w:type="dxa"/>
          </w:tcPr>
          <w:p w14:paraId="5EC83A67" w14:textId="77777777" w:rsidR="00B02873" w:rsidRPr="007B509E" w:rsidRDefault="00B02873" w:rsidP="00684AB2">
            <w:pPr>
              <w:pStyle w:val="TablebodyleftFinancialsTables"/>
              <w:jc w:val="right"/>
            </w:pPr>
            <w:r w:rsidRPr="007B509E">
              <w:t>(1,604)</w:t>
            </w:r>
          </w:p>
        </w:tc>
        <w:tc>
          <w:tcPr>
            <w:tcW w:w="1190" w:type="dxa"/>
          </w:tcPr>
          <w:p w14:paraId="42757A5A" w14:textId="77777777" w:rsidR="00B02873" w:rsidRPr="007B509E" w:rsidRDefault="00B02873" w:rsidP="00684AB2">
            <w:pPr>
              <w:pStyle w:val="TablebodyleftFinancialsTables"/>
              <w:jc w:val="right"/>
            </w:pPr>
            <w:r w:rsidRPr="007B509E">
              <w:t>(1,445)</w:t>
            </w:r>
          </w:p>
        </w:tc>
        <w:tc>
          <w:tcPr>
            <w:tcW w:w="1191" w:type="dxa"/>
          </w:tcPr>
          <w:p w14:paraId="2FE3AEFB" w14:textId="77777777" w:rsidR="00B02873" w:rsidRPr="007B509E" w:rsidRDefault="00B02873" w:rsidP="00684AB2">
            <w:pPr>
              <w:pStyle w:val="TablebodyleftFinancialsTables"/>
              <w:jc w:val="right"/>
            </w:pPr>
            <w:r w:rsidRPr="007B509E">
              <w:t>(159)</w:t>
            </w:r>
          </w:p>
        </w:tc>
        <w:tc>
          <w:tcPr>
            <w:tcW w:w="1190" w:type="dxa"/>
          </w:tcPr>
          <w:p w14:paraId="4CBC9652" w14:textId="77777777" w:rsidR="00B02873" w:rsidRPr="007B509E" w:rsidRDefault="00B02873" w:rsidP="00684AB2">
            <w:pPr>
              <w:pStyle w:val="TablebodyleftFinancialsTables"/>
              <w:jc w:val="right"/>
            </w:pPr>
            <w:r w:rsidRPr="007B509E">
              <w:t>(11%)</w:t>
            </w:r>
          </w:p>
        </w:tc>
        <w:tc>
          <w:tcPr>
            <w:tcW w:w="1191" w:type="dxa"/>
          </w:tcPr>
          <w:p w14:paraId="79DF9809" w14:textId="77777777" w:rsidR="00B02873" w:rsidRPr="007B509E" w:rsidRDefault="00B02873" w:rsidP="00684AB2">
            <w:pPr>
              <w:pStyle w:val="TablebodyleftFinancialsTables"/>
              <w:jc w:val="right"/>
              <w:rPr>
                <w:rFonts w:cs="Times New Roman"/>
              </w:rPr>
            </w:pPr>
          </w:p>
        </w:tc>
      </w:tr>
      <w:tr w:rsidR="00B02873" w:rsidRPr="007B509E" w14:paraId="3BC1BCBC" w14:textId="77777777" w:rsidTr="00684AB2">
        <w:tc>
          <w:tcPr>
            <w:tcW w:w="3685" w:type="dxa"/>
          </w:tcPr>
          <w:p w14:paraId="39A85F6E" w14:textId="77777777" w:rsidR="00B02873" w:rsidRPr="007B509E" w:rsidRDefault="00B02873" w:rsidP="00684AB2">
            <w:pPr>
              <w:pStyle w:val="TablebodyleftFinancialsTables"/>
            </w:pPr>
            <w:r w:rsidRPr="007B509E">
              <w:t>Payments to suppliers and employees</w:t>
            </w:r>
          </w:p>
        </w:tc>
        <w:tc>
          <w:tcPr>
            <w:tcW w:w="1191" w:type="dxa"/>
          </w:tcPr>
          <w:p w14:paraId="0B61D189" w14:textId="77777777" w:rsidR="00B02873" w:rsidRPr="007B509E" w:rsidRDefault="00B02873" w:rsidP="00684AB2">
            <w:pPr>
              <w:pStyle w:val="TablebodyleftFinancialsTables"/>
              <w:jc w:val="right"/>
            </w:pPr>
            <w:r w:rsidRPr="007B509E">
              <w:t>(1,357)</w:t>
            </w:r>
          </w:p>
        </w:tc>
        <w:tc>
          <w:tcPr>
            <w:tcW w:w="1190" w:type="dxa"/>
          </w:tcPr>
          <w:p w14:paraId="42B02EB0" w14:textId="77777777" w:rsidR="00B02873" w:rsidRPr="007B509E" w:rsidRDefault="00B02873" w:rsidP="00684AB2">
            <w:pPr>
              <w:pStyle w:val="TablebodyleftFinancialsTables"/>
              <w:jc w:val="right"/>
            </w:pPr>
            <w:r w:rsidRPr="007B509E">
              <w:t>(1,463)</w:t>
            </w:r>
          </w:p>
        </w:tc>
        <w:tc>
          <w:tcPr>
            <w:tcW w:w="1191" w:type="dxa"/>
          </w:tcPr>
          <w:p w14:paraId="7BFBFF6F" w14:textId="77777777" w:rsidR="00B02873" w:rsidRPr="007B509E" w:rsidRDefault="00B02873" w:rsidP="00684AB2">
            <w:pPr>
              <w:pStyle w:val="TablebodyleftFinancialsTables"/>
              <w:jc w:val="right"/>
            </w:pPr>
            <w:r w:rsidRPr="007B509E">
              <w:t>106</w:t>
            </w:r>
          </w:p>
        </w:tc>
        <w:tc>
          <w:tcPr>
            <w:tcW w:w="1190" w:type="dxa"/>
          </w:tcPr>
          <w:p w14:paraId="0D833BF0" w14:textId="77777777" w:rsidR="00B02873" w:rsidRPr="007B509E" w:rsidRDefault="00B02873" w:rsidP="00684AB2">
            <w:pPr>
              <w:pStyle w:val="TablebodyleftFinancialsTables"/>
              <w:jc w:val="right"/>
            </w:pPr>
            <w:r w:rsidRPr="007B509E">
              <w:t>7%</w:t>
            </w:r>
          </w:p>
        </w:tc>
        <w:tc>
          <w:tcPr>
            <w:tcW w:w="1191" w:type="dxa"/>
          </w:tcPr>
          <w:p w14:paraId="7E9F2E57" w14:textId="77777777" w:rsidR="00B02873" w:rsidRPr="007B509E" w:rsidRDefault="00B02873" w:rsidP="00684AB2">
            <w:pPr>
              <w:pStyle w:val="TablebodyleftFinancialsTables"/>
              <w:jc w:val="right"/>
              <w:rPr>
                <w:rFonts w:cs="Times New Roman"/>
              </w:rPr>
            </w:pPr>
          </w:p>
        </w:tc>
      </w:tr>
      <w:tr w:rsidR="00B02873" w:rsidRPr="007B509E" w14:paraId="0A2C98DA" w14:textId="77777777" w:rsidTr="00684AB2">
        <w:tc>
          <w:tcPr>
            <w:tcW w:w="3685" w:type="dxa"/>
          </w:tcPr>
          <w:p w14:paraId="12725F54" w14:textId="77777777" w:rsidR="00B02873" w:rsidRPr="007B509E" w:rsidRDefault="00B02873" w:rsidP="00684AB2">
            <w:pPr>
              <w:pStyle w:val="TablebodyleftFinancialsTables"/>
            </w:pPr>
            <w:r w:rsidRPr="007B509E">
              <w:t>Goods and Services Tax paid to the ATO</w:t>
            </w:r>
          </w:p>
        </w:tc>
        <w:tc>
          <w:tcPr>
            <w:tcW w:w="1191" w:type="dxa"/>
          </w:tcPr>
          <w:p w14:paraId="48BFC3A0" w14:textId="77777777" w:rsidR="00B02873" w:rsidRPr="007B509E" w:rsidRDefault="00B02873" w:rsidP="00684AB2">
            <w:pPr>
              <w:pStyle w:val="TablebodyleftFinancialsTables"/>
              <w:jc w:val="right"/>
            </w:pPr>
            <w:r w:rsidRPr="007B509E">
              <w:t>0</w:t>
            </w:r>
          </w:p>
        </w:tc>
        <w:tc>
          <w:tcPr>
            <w:tcW w:w="1190" w:type="dxa"/>
          </w:tcPr>
          <w:p w14:paraId="7FC0AE1C" w14:textId="77777777" w:rsidR="00B02873" w:rsidRPr="007B509E" w:rsidRDefault="00B02873" w:rsidP="00684AB2">
            <w:pPr>
              <w:pStyle w:val="TablebodyleftFinancialsTables"/>
              <w:jc w:val="right"/>
            </w:pPr>
            <w:r w:rsidRPr="007B509E">
              <w:t>0</w:t>
            </w:r>
          </w:p>
        </w:tc>
        <w:tc>
          <w:tcPr>
            <w:tcW w:w="1191" w:type="dxa"/>
          </w:tcPr>
          <w:p w14:paraId="1DE451F9" w14:textId="77777777" w:rsidR="00B02873" w:rsidRPr="007B509E" w:rsidRDefault="00B02873" w:rsidP="00684AB2">
            <w:pPr>
              <w:pStyle w:val="TablebodyleftFinancialsTables"/>
              <w:jc w:val="right"/>
            </w:pPr>
            <w:r w:rsidRPr="007B509E">
              <w:t>0</w:t>
            </w:r>
          </w:p>
        </w:tc>
        <w:tc>
          <w:tcPr>
            <w:tcW w:w="1190" w:type="dxa"/>
          </w:tcPr>
          <w:p w14:paraId="5B298337" w14:textId="77777777" w:rsidR="00B02873" w:rsidRPr="007B509E" w:rsidRDefault="00B02873" w:rsidP="00684AB2">
            <w:pPr>
              <w:pStyle w:val="TablebodyleftFinancialsTables"/>
              <w:jc w:val="right"/>
            </w:pPr>
            <w:r w:rsidRPr="007B509E">
              <w:t>0%</w:t>
            </w:r>
          </w:p>
        </w:tc>
        <w:tc>
          <w:tcPr>
            <w:tcW w:w="1191" w:type="dxa"/>
          </w:tcPr>
          <w:p w14:paraId="629BB2F0" w14:textId="77777777" w:rsidR="00B02873" w:rsidRPr="007B509E" w:rsidRDefault="00B02873" w:rsidP="00684AB2">
            <w:pPr>
              <w:pStyle w:val="TablebodyleftFinancialsTables"/>
              <w:jc w:val="right"/>
              <w:rPr>
                <w:rFonts w:cs="Times New Roman"/>
              </w:rPr>
            </w:pPr>
          </w:p>
        </w:tc>
      </w:tr>
      <w:tr w:rsidR="00B02873" w:rsidRPr="007B509E" w14:paraId="450D1CBF" w14:textId="77777777" w:rsidTr="00684AB2">
        <w:tc>
          <w:tcPr>
            <w:tcW w:w="3685" w:type="dxa"/>
          </w:tcPr>
          <w:p w14:paraId="6BF099BE" w14:textId="77777777" w:rsidR="00B02873" w:rsidRPr="007B509E" w:rsidRDefault="00B02873" w:rsidP="00684AB2">
            <w:pPr>
              <w:pStyle w:val="TablebodyleftFinancialsTables"/>
            </w:pPr>
            <w:r w:rsidRPr="007B509E">
              <w:t>Capital asset charge</w:t>
            </w:r>
          </w:p>
        </w:tc>
        <w:tc>
          <w:tcPr>
            <w:tcW w:w="1191" w:type="dxa"/>
          </w:tcPr>
          <w:p w14:paraId="0846F0DC" w14:textId="77777777" w:rsidR="00B02873" w:rsidRPr="007B509E" w:rsidRDefault="00B02873" w:rsidP="00684AB2">
            <w:pPr>
              <w:pStyle w:val="TablebodyleftFinancialsTables"/>
              <w:jc w:val="right"/>
            </w:pPr>
            <w:r w:rsidRPr="007B509E">
              <w:t>0</w:t>
            </w:r>
          </w:p>
        </w:tc>
        <w:tc>
          <w:tcPr>
            <w:tcW w:w="1190" w:type="dxa"/>
          </w:tcPr>
          <w:p w14:paraId="2492CB84" w14:textId="77777777" w:rsidR="00B02873" w:rsidRPr="007B509E" w:rsidRDefault="00B02873" w:rsidP="00684AB2">
            <w:pPr>
              <w:pStyle w:val="TablebodyleftFinancialsTables"/>
              <w:jc w:val="right"/>
            </w:pPr>
            <w:r w:rsidRPr="007B509E">
              <w:t>0</w:t>
            </w:r>
          </w:p>
        </w:tc>
        <w:tc>
          <w:tcPr>
            <w:tcW w:w="1191" w:type="dxa"/>
          </w:tcPr>
          <w:p w14:paraId="2E964525" w14:textId="77777777" w:rsidR="00B02873" w:rsidRPr="007B509E" w:rsidRDefault="00B02873" w:rsidP="00684AB2">
            <w:pPr>
              <w:pStyle w:val="TablebodyleftFinancialsTables"/>
              <w:jc w:val="right"/>
            </w:pPr>
            <w:r w:rsidRPr="007B509E">
              <w:t>0</w:t>
            </w:r>
          </w:p>
        </w:tc>
        <w:tc>
          <w:tcPr>
            <w:tcW w:w="1190" w:type="dxa"/>
          </w:tcPr>
          <w:p w14:paraId="55E76D23" w14:textId="77777777" w:rsidR="00B02873" w:rsidRPr="007B509E" w:rsidRDefault="00B02873" w:rsidP="00684AB2">
            <w:pPr>
              <w:pStyle w:val="TablebodyleftFinancialsTables"/>
              <w:jc w:val="right"/>
            </w:pPr>
            <w:r w:rsidRPr="007B509E">
              <w:t>0%</w:t>
            </w:r>
          </w:p>
        </w:tc>
        <w:tc>
          <w:tcPr>
            <w:tcW w:w="1191" w:type="dxa"/>
          </w:tcPr>
          <w:p w14:paraId="2A52C99C" w14:textId="77777777" w:rsidR="00B02873" w:rsidRPr="007B509E" w:rsidRDefault="00B02873" w:rsidP="00684AB2">
            <w:pPr>
              <w:pStyle w:val="TablebodyleftFinancialsTables"/>
              <w:jc w:val="right"/>
              <w:rPr>
                <w:rFonts w:cs="Times New Roman"/>
              </w:rPr>
            </w:pPr>
          </w:p>
        </w:tc>
      </w:tr>
      <w:tr w:rsidR="00B02873" w:rsidRPr="00B02873" w14:paraId="4AB663D5" w14:textId="77777777" w:rsidTr="00684AB2">
        <w:tc>
          <w:tcPr>
            <w:tcW w:w="3685" w:type="dxa"/>
          </w:tcPr>
          <w:p w14:paraId="23149245" w14:textId="77777777" w:rsidR="00B02873" w:rsidRDefault="00B02873" w:rsidP="00684AB2">
            <w:pPr>
              <w:pStyle w:val="TablebodyleftFinancialsTables"/>
            </w:pPr>
            <w:r>
              <w:t>Interest and other costs of finance paid</w:t>
            </w:r>
          </w:p>
        </w:tc>
        <w:tc>
          <w:tcPr>
            <w:tcW w:w="1191" w:type="dxa"/>
          </w:tcPr>
          <w:p w14:paraId="673C3476" w14:textId="77777777" w:rsidR="00B02873" w:rsidRDefault="00B02873" w:rsidP="00684AB2">
            <w:pPr>
              <w:pStyle w:val="TablebodyleftFinancialsTables"/>
              <w:jc w:val="right"/>
            </w:pPr>
            <w:r>
              <w:t>(12)</w:t>
            </w:r>
          </w:p>
        </w:tc>
        <w:tc>
          <w:tcPr>
            <w:tcW w:w="1190" w:type="dxa"/>
          </w:tcPr>
          <w:p w14:paraId="0BB57314" w14:textId="77777777" w:rsidR="00B02873" w:rsidRDefault="00B02873" w:rsidP="00684AB2">
            <w:pPr>
              <w:pStyle w:val="TablebodyleftFinancialsTables"/>
              <w:jc w:val="right"/>
            </w:pPr>
            <w:r>
              <w:t>0</w:t>
            </w:r>
          </w:p>
        </w:tc>
        <w:tc>
          <w:tcPr>
            <w:tcW w:w="1191" w:type="dxa"/>
          </w:tcPr>
          <w:p w14:paraId="4B0C826F" w14:textId="77777777" w:rsidR="00B02873" w:rsidRDefault="00B02873" w:rsidP="00684AB2">
            <w:pPr>
              <w:pStyle w:val="TablebodyleftFinancialsTables"/>
              <w:jc w:val="right"/>
            </w:pPr>
            <w:r>
              <w:t>(12)</w:t>
            </w:r>
          </w:p>
        </w:tc>
        <w:tc>
          <w:tcPr>
            <w:tcW w:w="1190" w:type="dxa"/>
          </w:tcPr>
          <w:p w14:paraId="39F4B0B2" w14:textId="77777777" w:rsidR="00B02873" w:rsidRDefault="00B02873" w:rsidP="00684AB2">
            <w:pPr>
              <w:pStyle w:val="TablebodyleftFinancialsTables"/>
              <w:jc w:val="right"/>
            </w:pPr>
            <w:r>
              <w:t>100%</w:t>
            </w:r>
          </w:p>
        </w:tc>
        <w:tc>
          <w:tcPr>
            <w:tcW w:w="1191" w:type="dxa"/>
          </w:tcPr>
          <w:p w14:paraId="7B2B645E" w14:textId="77777777" w:rsidR="00B02873" w:rsidRDefault="00B02873" w:rsidP="00684AB2">
            <w:pPr>
              <w:pStyle w:val="TablebodyleftFinancialsTables"/>
              <w:jc w:val="right"/>
            </w:pPr>
            <w:r>
              <w:t>3</w:t>
            </w:r>
          </w:p>
        </w:tc>
      </w:tr>
      <w:tr w:rsidR="00B02873" w:rsidRPr="007B509E" w14:paraId="5A64E87A" w14:textId="77777777" w:rsidTr="00684AB2">
        <w:tc>
          <w:tcPr>
            <w:tcW w:w="3685" w:type="dxa"/>
          </w:tcPr>
          <w:p w14:paraId="5220BB9E" w14:textId="77777777" w:rsidR="00B02873" w:rsidRPr="007B509E" w:rsidRDefault="00B02873" w:rsidP="00684AB2">
            <w:pPr>
              <w:pStyle w:val="TablebodyleftFinancialsTables"/>
              <w:rPr>
                <w:b/>
                <w:bCs/>
              </w:rPr>
            </w:pPr>
            <w:r w:rsidRPr="007B509E">
              <w:rPr>
                <w:b/>
                <w:bCs/>
              </w:rPr>
              <w:t>Total payments</w:t>
            </w:r>
          </w:p>
        </w:tc>
        <w:tc>
          <w:tcPr>
            <w:tcW w:w="1191" w:type="dxa"/>
          </w:tcPr>
          <w:p w14:paraId="4CCA830D" w14:textId="77777777" w:rsidR="00B02873" w:rsidRPr="007B509E" w:rsidRDefault="00B02873" w:rsidP="00684AB2">
            <w:pPr>
              <w:pStyle w:val="TablebodyleftFinancialsTables"/>
              <w:jc w:val="right"/>
              <w:rPr>
                <w:b/>
                <w:bCs/>
              </w:rPr>
            </w:pPr>
            <w:r w:rsidRPr="007B509E">
              <w:rPr>
                <w:b/>
                <w:bCs/>
              </w:rPr>
              <w:t>(2,973)</w:t>
            </w:r>
          </w:p>
        </w:tc>
        <w:tc>
          <w:tcPr>
            <w:tcW w:w="1190" w:type="dxa"/>
          </w:tcPr>
          <w:p w14:paraId="10125DB8" w14:textId="77777777" w:rsidR="00B02873" w:rsidRPr="007B509E" w:rsidRDefault="00B02873" w:rsidP="00684AB2">
            <w:pPr>
              <w:pStyle w:val="TablebodyleftFinancialsTables"/>
              <w:jc w:val="right"/>
              <w:rPr>
                <w:b/>
                <w:bCs/>
              </w:rPr>
            </w:pPr>
            <w:r w:rsidRPr="007B509E">
              <w:rPr>
                <w:b/>
                <w:bCs/>
              </w:rPr>
              <w:t>(2,908)</w:t>
            </w:r>
          </w:p>
        </w:tc>
        <w:tc>
          <w:tcPr>
            <w:tcW w:w="1191" w:type="dxa"/>
          </w:tcPr>
          <w:p w14:paraId="2BA22713" w14:textId="77777777" w:rsidR="00B02873" w:rsidRPr="007B509E" w:rsidRDefault="00B02873" w:rsidP="00684AB2">
            <w:pPr>
              <w:pStyle w:val="TablebodyleftFinancialsTables"/>
              <w:jc w:val="right"/>
              <w:rPr>
                <w:b/>
                <w:bCs/>
              </w:rPr>
            </w:pPr>
            <w:r w:rsidRPr="007B509E">
              <w:rPr>
                <w:b/>
                <w:bCs/>
              </w:rPr>
              <w:t>(65)</w:t>
            </w:r>
          </w:p>
        </w:tc>
        <w:tc>
          <w:tcPr>
            <w:tcW w:w="1190" w:type="dxa"/>
          </w:tcPr>
          <w:p w14:paraId="06C1C578" w14:textId="77777777" w:rsidR="00B02873" w:rsidRPr="007B509E" w:rsidRDefault="00B02873" w:rsidP="00684AB2">
            <w:pPr>
              <w:pStyle w:val="TablebodyleftFinancialsTables"/>
              <w:jc w:val="right"/>
              <w:rPr>
                <w:b/>
                <w:bCs/>
              </w:rPr>
            </w:pPr>
            <w:r w:rsidRPr="007B509E">
              <w:rPr>
                <w:b/>
                <w:bCs/>
              </w:rPr>
              <w:t>(2%)</w:t>
            </w:r>
          </w:p>
        </w:tc>
        <w:tc>
          <w:tcPr>
            <w:tcW w:w="1191" w:type="dxa"/>
          </w:tcPr>
          <w:p w14:paraId="52C13D99" w14:textId="77777777" w:rsidR="00B02873" w:rsidRPr="007B509E" w:rsidRDefault="00B02873" w:rsidP="00684AB2">
            <w:pPr>
              <w:pStyle w:val="TablebodyleftFinancialsTables"/>
              <w:jc w:val="right"/>
              <w:rPr>
                <w:rFonts w:cs="Times New Roman"/>
                <w:b/>
                <w:bCs/>
              </w:rPr>
            </w:pPr>
          </w:p>
        </w:tc>
      </w:tr>
      <w:tr w:rsidR="00B02873" w:rsidRPr="007B509E" w14:paraId="5E8C77C9" w14:textId="77777777" w:rsidTr="00684AB2">
        <w:tc>
          <w:tcPr>
            <w:tcW w:w="3685" w:type="dxa"/>
          </w:tcPr>
          <w:p w14:paraId="6C377E9D" w14:textId="77777777" w:rsidR="00B02873" w:rsidRPr="007B509E" w:rsidRDefault="00B02873" w:rsidP="00684AB2">
            <w:pPr>
              <w:pStyle w:val="TablebodyleftFinancialsTables"/>
              <w:rPr>
                <w:b/>
                <w:bCs/>
              </w:rPr>
            </w:pPr>
            <w:r w:rsidRPr="007B509E">
              <w:rPr>
                <w:b/>
                <w:bCs/>
              </w:rPr>
              <w:t>Net cash flows from/ (used in) operating activities</w:t>
            </w:r>
          </w:p>
        </w:tc>
        <w:tc>
          <w:tcPr>
            <w:tcW w:w="1191" w:type="dxa"/>
          </w:tcPr>
          <w:p w14:paraId="28013543" w14:textId="77777777" w:rsidR="00B02873" w:rsidRPr="007B509E" w:rsidRDefault="00B02873" w:rsidP="00684AB2">
            <w:pPr>
              <w:pStyle w:val="TablebodyleftFinancialsTables"/>
              <w:jc w:val="right"/>
              <w:rPr>
                <w:b/>
                <w:bCs/>
              </w:rPr>
            </w:pPr>
            <w:r w:rsidRPr="007B509E">
              <w:rPr>
                <w:b/>
                <w:bCs/>
              </w:rPr>
              <w:t>(137)</w:t>
            </w:r>
          </w:p>
        </w:tc>
        <w:tc>
          <w:tcPr>
            <w:tcW w:w="1190" w:type="dxa"/>
          </w:tcPr>
          <w:p w14:paraId="5165184A" w14:textId="77777777" w:rsidR="00B02873" w:rsidRPr="007B509E" w:rsidRDefault="00B02873" w:rsidP="00684AB2">
            <w:pPr>
              <w:pStyle w:val="TablebodyleftFinancialsTables"/>
              <w:jc w:val="right"/>
              <w:rPr>
                <w:b/>
                <w:bCs/>
              </w:rPr>
            </w:pPr>
            <w:r w:rsidRPr="007B509E">
              <w:rPr>
                <w:b/>
                <w:bCs/>
              </w:rPr>
              <w:t>50</w:t>
            </w:r>
          </w:p>
        </w:tc>
        <w:tc>
          <w:tcPr>
            <w:tcW w:w="1191" w:type="dxa"/>
          </w:tcPr>
          <w:p w14:paraId="2E61BDA1" w14:textId="77777777" w:rsidR="00B02873" w:rsidRPr="007B509E" w:rsidRDefault="00B02873" w:rsidP="00684AB2">
            <w:pPr>
              <w:pStyle w:val="TablebodyleftFinancialsTables"/>
              <w:jc w:val="right"/>
              <w:rPr>
                <w:b/>
                <w:bCs/>
              </w:rPr>
            </w:pPr>
            <w:r w:rsidRPr="007B509E">
              <w:rPr>
                <w:b/>
                <w:bCs/>
              </w:rPr>
              <w:t>(187)</w:t>
            </w:r>
          </w:p>
        </w:tc>
        <w:tc>
          <w:tcPr>
            <w:tcW w:w="1190" w:type="dxa"/>
          </w:tcPr>
          <w:p w14:paraId="76B48ECB" w14:textId="77777777" w:rsidR="00B02873" w:rsidRPr="007B509E" w:rsidRDefault="00B02873" w:rsidP="00684AB2">
            <w:pPr>
              <w:pStyle w:val="TablebodyleftFinancialsTables"/>
              <w:jc w:val="right"/>
              <w:rPr>
                <w:b/>
                <w:bCs/>
              </w:rPr>
            </w:pPr>
            <w:r w:rsidRPr="007B509E">
              <w:rPr>
                <w:b/>
                <w:bCs/>
              </w:rPr>
              <w:t>(374%)</w:t>
            </w:r>
          </w:p>
        </w:tc>
        <w:tc>
          <w:tcPr>
            <w:tcW w:w="1191" w:type="dxa"/>
          </w:tcPr>
          <w:p w14:paraId="07D702A0" w14:textId="77777777" w:rsidR="00B02873" w:rsidRPr="007B509E" w:rsidRDefault="00B02873" w:rsidP="00684AB2">
            <w:pPr>
              <w:pStyle w:val="TablebodyleftFinancialsTables"/>
              <w:jc w:val="right"/>
              <w:rPr>
                <w:rFonts w:cs="Times New Roman"/>
                <w:b/>
                <w:bCs/>
              </w:rPr>
            </w:pPr>
          </w:p>
        </w:tc>
      </w:tr>
      <w:tr w:rsidR="00B02873" w:rsidRPr="007B509E" w14:paraId="3BA71A6E" w14:textId="77777777" w:rsidTr="00684AB2">
        <w:tc>
          <w:tcPr>
            <w:tcW w:w="3685" w:type="dxa"/>
          </w:tcPr>
          <w:p w14:paraId="4DDC34AF" w14:textId="77777777" w:rsidR="00B02873" w:rsidRPr="007B509E" w:rsidRDefault="00B02873" w:rsidP="00684AB2">
            <w:pPr>
              <w:pStyle w:val="TablebodyleftFinancialsTables"/>
              <w:rPr>
                <w:b/>
                <w:bCs/>
              </w:rPr>
            </w:pPr>
            <w:r w:rsidRPr="007B509E">
              <w:rPr>
                <w:b/>
                <w:bCs/>
              </w:rPr>
              <w:t>Cash flows from investing activities</w:t>
            </w:r>
          </w:p>
        </w:tc>
        <w:tc>
          <w:tcPr>
            <w:tcW w:w="1191" w:type="dxa"/>
          </w:tcPr>
          <w:p w14:paraId="13DDEF2D" w14:textId="77777777" w:rsidR="00B02873" w:rsidRPr="007B509E" w:rsidRDefault="00B02873" w:rsidP="00684AB2">
            <w:pPr>
              <w:pStyle w:val="TablebodyleftFinancialsTables"/>
              <w:jc w:val="right"/>
              <w:rPr>
                <w:rFonts w:cs="Times New Roman"/>
                <w:b/>
                <w:bCs/>
              </w:rPr>
            </w:pPr>
          </w:p>
        </w:tc>
        <w:tc>
          <w:tcPr>
            <w:tcW w:w="1190" w:type="dxa"/>
          </w:tcPr>
          <w:p w14:paraId="442D3D68" w14:textId="77777777" w:rsidR="00B02873" w:rsidRPr="007B509E" w:rsidRDefault="00B02873" w:rsidP="00684AB2">
            <w:pPr>
              <w:pStyle w:val="TablebodyleftFinancialsTables"/>
              <w:jc w:val="right"/>
              <w:rPr>
                <w:rFonts w:cs="Times New Roman"/>
                <w:b/>
                <w:bCs/>
              </w:rPr>
            </w:pPr>
          </w:p>
        </w:tc>
        <w:tc>
          <w:tcPr>
            <w:tcW w:w="1191" w:type="dxa"/>
          </w:tcPr>
          <w:p w14:paraId="16999121" w14:textId="77777777" w:rsidR="00B02873" w:rsidRPr="007B509E" w:rsidRDefault="00B02873" w:rsidP="00684AB2">
            <w:pPr>
              <w:pStyle w:val="TablebodyleftFinancialsTables"/>
              <w:jc w:val="right"/>
              <w:rPr>
                <w:rFonts w:cs="Times New Roman"/>
                <w:b/>
                <w:bCs/>
              </w:rPr>
            </w:pPr>
          </w:p>
        </w:tc>
        <w:tc>
          <w:tcPr>
            <w:tcW w:w="1190" w:type="dxa"/>
          </w:tcPr>
          <w:p w14:paraId="1C616A5E" w14:textId="77777777" w:rsidR="00B02873" w:rsidRPr="007B509E" w:rsidRDefault="00B02873" w:rsidP="00684AB2">
            <w:pPr>
              <w:pStyle w:val="TablebodyleftFinancialsTables"/>
              <w:jc w:val="right"/>
              <w:rPr>
                <w:rFonts w:cs="Times New Roman"/>
                <w:b/>
                <w:bCs/>
              </w:rPr>
            </w:pPr>
          </w:p>
        </w:tc>
        <w:tc>
          <w:tcPr>
            <w:tcW w:w="1191" w:type="dxa"/>
          </w:tcPr>
          <w:p w14:paraId="603A67A5" w14:textId="77777777" w:rsidR="00B02873" w:rsidRPr="007B509E" w:rsidRDefault="00B02873" w:rsidP="00684AB2">
            <w:pPr>
              <w:pStyle w:val="TablebodyleftFinancialsTables"/>
              <w:jc w:val="right"/>
              <w:rPr>
                <w:rFonts w:cs="Times New Roman"/>
                <w:b/>
                <w:bCs/>
              </w:rPr>
            </w:pPr>
          </w:p>
        </w:tc>
      </w:tr>
      <w:tr w:rsidR="00B02873" w:rsidRPr="007B509E" w14:paraId="64DB0C6F" w14:textId="77777777" w:rsidTr="00684AB2">
        <w:tc>
          <w:tcPr>
            <w:tcW w:w="3685" w:type="dxa"/>
          </w:tcPr>
          <w:p w14:paraId="14ADC09C" w14:textId="77777777" w:rsidR="00B02873" w:rsidRPr="007B509E" w:rsidRDefault="00B02873" w:rsidP="00684AB2">
            <w:pPr>
              <w:pStyle w:val="TablebodyleftFinancialsTables"/>
            </w:pPr>
            <w:r w:rsidRPr="007B509E">
              <w:t xml:space="preserve">Net investment </w:t>
            </w:r>
          </w:p>
        </w:tc>
        <w:tc>
          <w:tcPr>
            <w:tcW w:w="1191" w:type="dxa"/>
          </w:tcPr>
          <w:p w14:paraId="68C2E18F" w14:textId="77777777" w:rsidR="00B02873" w:rsidRPr="007B509E" w:rsidRDefault="00B02873" w:rsidP="00684AB2">
            <w:pPr>
              <w:pStyle w:val="TablebodyleftFinancialsTables"/>
              <w:jc w:val="right"/>
            </w:pPr>
            <w:r w:rsidRPr="007B509E">
              <w:t>0</w:t>
            </w:r>
          </w:p>
        </w:tc>
        <w:tc>
          <w:tcPr>
            <w:tcW w:w="1190" w:type="dxa"/>
          </w:tcPr>
          <w:p w14:paraId="17541054" w14:textId="77777777" w:rsidR="00B02873" w:rsidRPr="007B509E" w:rsidRDefault="00B02873" w:rsidP="00684AB2">
            <w:pPr>
              <w:pStyle w:val="TablebodyleftFinancialsTables"/>
              <w:jc w:val="right"/>
            </w:pPr>
            <w:r w:rsidRPr="007B509E">
              <w:t>0</w:t>
            </w:r>
          </w:p>
        </w:tc>
        <w:tc>
          <w:tcPr>
            <w:tcW w:w="1191" w:type="dxa"/>
          </w:tcPr>
          <w:p w14:paraId="0F033724" w14:textId="77777777" w:rsidR="00B02873" w:rsidRPr="007B509E" w:rsidRDefault="00B02873" w:rsidP="00684AB2">
            <w:pPr>
              <w:pStyle w:val="TablebodyleftFinancialsTables"/>
              <w:jc w:val="right"/>
            </w:pPr>
            <w:r w:rsidRPr="007B509E">
              <w:t>0</w:t>
            </w:r>
          </w:p>
        </w:tc>
        <w:tc>
          <w:tcPr>
            <w:tcW w:w="1190" w:type="dxa"/>
          </w:tcPr>
          <w:p w14:paraId="096724A4" w14:textId="77777777" w:rsidR="00B02873" w:rsidRPr="007B509E" w:rsidRDefault="00B02873" w:rsidP="00684AB2">
            <w:pPr>
              <w:pStyle w:val="TablebodyleftFinancialsTables"/>
              <w:jc w:val="right"/>
            </w:pPr>
            <w:r w:rsidRPr="007B509E">
              <w:t>0%</w:t>
            </w:r>
          </w:p>
        </w:tc>
        <w:tc>
          <w:tcPr>
            <w:tcW w:w="1191" w:type="dxa"/>
          </w:tcPr>
          <w:p w14:paraId="54F562C5" w14:textId="77777777" w:rsidR="00B02873" w:rsidRPr="007B509E" w:rsidRDefault="00B02873" w:rsidP="00684AB2">
            <w:pPr>
              <w:pStyle w:val="TablebodyleftFinancialsTables"/>
              <w:jc w:val="right"/>
              <w:rPr>
                <w:rFonts w:cs="Times New Roman"/>
              </w:rPr>
            </w:pPr>
          </w:p>
        </w:tc>
      </w:tr>
      <w:tr w:rsidR="00B02873" w:rsidRPr="00B02873" w14:paraId="086B4D69" w14:textId="77777777" w:rsidTr="00684AB2">
        <w:tc>
          <w:tcPr>
            <w:tcW w:w="3685" w:type="dxa"/>
          </w:tcPr>
          <w:p w14:paraId="4278FB9B" w14:textId="77777777" w:rsidR="00B02873" w:rsidRDefault="00B02873" w:rsidP="00684AB2">
            <w:pPr>
              <w:pStyle w:val="TablebodyleftFinancialsTables"/>
            </w:pPr>
            <w:r>
              <w:t xml:space="preserve">Payments for non-financial assets </w:t>
            </w:r>
          </w:p>
        </w:tc>
        <w:tc>
          <w:tcPr>
            <w:tcW w:w="1191" w:type="dxa"/>
          </w:tcPr>
          <w:p w14:paraId="365937C2" w14:textId="77777777" w:rsidR="00B02873" w:rsidRDefault="00B02873" w:rsidP="00684AB2">
            <w:pPr>
              <w:pStyle w:val="TablebodyleftFinancialsTables"/>
              <w:jc w:val="right"/>
            </w:pPr>
            <w:r>
              <w:t>(321)</w:t>
            </w:r>
          </w:p>
        </w:tc>
        <w:tc>
          <w:tcPr>
            <w:tcW w:w="1190" w:type="dxa"/>
          </w:tcPr>
          <w:p w14:paraId="17BCEE23" w14:textId="77777777" w:rsidR="00B02873" w:rsidRDefault="00B02873" w:rsidP="00684AB2">
            <w:pPr>
              <w:pStyle w:val="TablebodyleftFinancialsTables"/>
              <w:jc w:val="right"/>
            </w:pPr>
            <w:r>
              <w:t>(201)</w:t>
            </w:r>
          </w:p>
        </w:tc>
        <w:tc>
          <w:tcPr>
            <w:tcW w:w="1191" w:type="dxa"/>
          </w:tcPr>
          <w:p w14:paraId="46087454" w14:textId="77777777" w:rsidR="00B02873" w:rsidRDefault="00B02873" w:rsidP="00684AB2">
            <w:pPr>
              <w:pStyle w:val="TablebodyleftFinancialsTables"/>
              <w:jc w:val="right"/>
            </w:pPr>
            <w:r>
              <w:t>(120)</w:t>
            </w:r>
          </w:p>
        </w:tc>
        <w:tc>
          <w:tcPr>
            <w:tcW w:w="1190" w:type="dxa"/>
          </w:tcPr>
          <w:p w14:paraId="4D639C85" w14:textId="77777777" w:rsidR="00B02873" w:rsidRDefault="00B02873" w:rsidP="00684AB2">
            <w:pPr>
              <w:pStyle w:val="TablebodyleftFinancialsTables"/>
              <w:jc w:val="right"/>
            </w:pPr>
            <w:r>
              <w:t>(60%)</w:t>
            </w:r>
          </w:p>
        </w:tc>
        <w:tc>
          <w:tcPr>
            <w:tcW w:w="1191" w:type="dxa"/>
          </w:tcPr>
          <w:p w14:paraId="01788AA3" w14:textId="77777777" w:rsidR="00B02873" w:rsidRDefault="00B02873" w:rsidP="00684AB2">
            <w:pPr>
              <w:pStyle w:val="TablebodyleftFinancialsTables"/>
              <w:jc w:val="right"/>
            </w:pPr>
            <w:r>
              <w:t>4</w:t>
            </w:r>
          </w:p>
        </w:tc>
      </w:tr>
      <w:tr w:rsidR="00B02873" w:rsidRPr="007B509E" w14:paraId="71D6735F" w14:textId="77777777" w:rsidTr="00684AB2">
        <w:tc>
          <w:tcPr>
            <w:tcW w:w="3685" w:type="dxa"/>
          </w:tcPr>
          <w:p w14:paraId="17855F7C" w14:textId="77777777" w:rsidR="00B02873" w:rsidRPr="007B509E" w:rsidRDefault="00B02873" w:rsidP="00684AB2">
            <w:pPr>
              <w:pStyle w:val="TablebodyleftFinancialsTables"/>
            </w:pPr>
            <w:r w:rsidRPr="007B509E">
              <w:t xml:space="preserve">Proceeds from sale of non-financial assets </w:t>
            </w:r>
          </w:p>
        </w:tc>
        <w:tc>
          <w:tcPr>
            <w:tcW w:w="1191" w:type="dxa"/>
          </w:tcPr>
          <w:p w14:paraId="72ACC8B6" w14:textId="77777777" w:rsidR="00B02873" w:rsidRPr="007B509E" w:rsidRDefault="00B02873" w:rsidP="00684AB2">
            <w:pPr>
              <w:pStyle w:val="TablebodyleftFinancialsTables"/>
              <w:jc w:val="right"/>
            </w:pPr>
            <w:r w:rsidRPr="007B509E">
              <w:t>23</w:t>
            </w:r>
          </w:p>
        </w:tc>
        <w:tc>
          <w:tcPr>
            <w:tcW w:w="1190" w:type="dxa"/>
          </w:tcPr>
          <w:p w14:paraId="699CDA33" w14:textId="77777777" w:rsidR="00B02873" w:rsidRPr="007B509E" w:rsidRDefault="00B02873" w:rsidP="00684AB2">
            <w:pPr>
              <w:pStyle w:val="TablebodyleftFinancialsTables"/>
              <w:jc w:val="right"/>
            </w:pPr>
            <w:r w:rsidRPr="007B509E">
              <w:t>19</w:t>
            </w:r>
          </w:p>
        </w:tc>
        <w:tc>
          <w:tcPr>
            <w:tcW w:w="1191" w:type="dxa"/>
          </w:tcPr>
          <w:p w14:paraId="416BC44C" w14:textId="77777777" w:rsidR="00B02873" w:rsidRPr="007B509E" w:rsidRDefault="00B02873" w:rsidP="00684AB2">
            <w:pPr>
              <w:pStyle w:val="TablebodyleftFinancialsTables"/>
              <w:jc w:val="right"/>
            </w:pPr>
            <w:r w:rsidRPr="007B509E">
              <w:t>4</w:t>
            </w:r>
          </w:p>
        </w:tc>
        <w:tc>
          <w:tcPr>
            <w:tcW w:w="1190" w:type="dxa"/>
          </w:tcPr>
          <w:p w14:paraId="5E56756B" w14:textId="77777777" w:rsidR="00B02873" w:rsidRPr="007B509E" w:rsidRDefault="00B02873" w:rsidP="00684AB2">
            <w:pPr>
              <w:pStyle w:val="TablebodyleftFinancialsTables"/>
              <w:jc w:val="right"/>
            </w:pPr>
            <w:r w:rsidRPr="007B509E">
              <w:t>21%</w:t>
            </w:r>
          </w:p>
        </w:tc>
        <w:tc>
          <w:tcPr>
            <w:tcW w:w="1191" w:type="dxa"/>
          </w:tcPr>
          <w:p w14:paraId="35E37399" w14:textId="77777777" w:rsidR="00B02873" w:rsidRPr="007B509E" w:rsidRDefault="00B02873" w:rsidP="00684AB2">
            <w:pPr>
              <w:pStyle w:val="TablebodyleftFinancialsTables"/>
              <w:jc w:val="right"/>
              <w:rPr>
                <w:rFonts w:cs="Times New Roman"/>
              </w:rPr>
            </w:pPr>
          </w:p>
        </w:tc>
      </w:tr>
      <w:tr w:rsidR="00B02873" w:rsidRPr="00B02873" w14:paraId="460F03F9" w14:textId="77777777" w:rsidTr="00684AB2">
        <w:tc>
          <w:tcPr>
            <w:tcW w:w="3685" w:type="dxa"/>
          </w:tcPr>
          <w:p w14:paraId="4B14E598" w14:textId="77777777" w:rsidR="00B02873" w:rsidRDefault="00B02873" w:rsidP="00684AB2">
            <w:pPr>
              <w:pStyle w:val="TablebodyleftFinancialsTables"/>
            </w:pPr>
            <w:r>
              <w:t>Net loans to other parties</w:t>
            </w:r>
          </w:p>
        </w:tc>
        <w:tc>
          <w:tcPr>
            <w:tcW w:w="1191" w:type="dxa"/>
          </w:tcPr>
          <w:p w14:paraId="7BB8C937" w14:textId="77777777" w:rsidR="00B02873" w:rsidRDefault="00B02873" w:rsidP="00684AB2">
            <w:pPr>
              <w:pStyle w:val="TablebodyleftFinancialsTables"/>
              <w:jc w:val="right"/>
            </w:pPr>
            <w:r>
              <w:t>(11)</w:t>
            </w:r>
          </w:p>
        </w:tc>
        <w:tc>
          <w:tcPr>
            <w:tcW w:w="1190" w:type="dxa"/>
          </w:tcPr>
          <w:p w14:paraId="7B0C2A61" w14:textId="77777777" w:rsidR="00B02873" w:rsidRDefault="00B02873" w:rsidP="00684AB2">
            <w:pPr>
              <w:pStyle w:val="TablebodyleftFinancialsTables"/>
              <w:jc w:val="right"/>
            </w:pPr>
            <w:r>
              <w:t>(37)</w:t>
            </w:r>
          </w:p>
        </w:tc>
        <w:tc>
          <w:tcPr>
            <w:tcW w:w="1191" w:type="dxa"/>
          </w:tcPr>
          <w:p w14:paraId="1CC2BE8E" w14:textId="77777777" w:rsidR="00B02873" w:rsidRDefault="00B02873" w:rsidP="00684AB2">
            <w:pPr>
              <w:pStyle w:val="TablebodyleftFinancialsTables"/>
              <w:jc w:val="right"/>
            </w:pPr>
            <w:r>
              <w:t>26</w:t>
            </w:r>
          </w:p>
        </w:tc>
        <w:tc>
          <w:tcPr>
            <w:tcW w:w="1190" w:type="dxa"/>
          </w:tcPr>
          <w:p w14:paraId="7615160A" w14:textId="77777777" w:rsidR="00B02873" w:rsidRDefault="00B02873" w:rsidP="00684AB2">
            <w:pPr>
              <w:pStyle w:val="TablebodyleftFinancialsTables"/>
              <w:jc w:val="right"/>
            </w:pPr>
            <w:r>
              <w:t>70%</w:t>
            </w:r>
          </w:p>
        </w:tc>
        <w:tc>
          <w:tcPr>
            <w:tcW w:w="1191" w:type="dxa"/>
          </w:tcPr>
          <w:p w14:paraId="21FB7046" w14:textId="77777777" w:rsidR="00B02873" w:rsidRDefault="00B02873" w:rsidP="00684AB2">
            <w:pPr>
              <w:pStyle w:val="TablebodyleftFinancialsTables"/>
              <w:jc w:val="right"/>
            </w:pPr>
            <w:r>
              <w:t>5</w:t>
            </w:r>
          </w:p>
        </w:tc>
      </w:tr>
      <w:tr w:rsidR="00B02873" w:rsidRPr="007B509E" w14:paraId="05385874" w14:textId="77777777" w:rsidTr="00684AB2">
        <w:tc>
          <w:tcPr>
            <w:tcW w:w="3685" w:type="dxa"/>
          </w:tcPr>
          <w:p w14:paraId="4918396E" w14:textId="77777777" w:rsidR="00B02873" w:rsidRPr="007B509E" w:rsidRDefault="00B02873" w:rsidP="00684AB2">
            <w:pPr>
              <w:pStyle w:val="TablebodyleftFinancialsTables"/>
              <w:rPr>
                <w:b/>
                <w:bCs/>
              </w:rPr>
            </w:pPr>
            <w:r w:rsidRPr="007B509E">
              <w:rPr>
                <w:b/>
                <w:bCs/>
              </w:rPr>
              <w:t>Net cash flows from/ (used in) investing activities</w:t>
            </w:r>
          </w:p>
        </w:tc>
        <w:tc>
          <w:tcPr>
            <w:tcW w:w="1191" w:type="dxa"/>
          </w:tcPr>
          <w:p w14:paraId="415FFFDC" w14:textId="77777777" w:rsidR="00B02873" w:rsidRPr="007B509E" w:rsidRDefault="00B02873" w:rsidP="00684AB2">
            <w:pPr>
              <w:pStyle w:val="TablebodyleftFinancialsTables"/>
              <w:jc w:val="right"/>
              <w:rPr>
                <w:b/>
                <w:bCs/>
              </w:rPr>
            </w:pPr>
            <w:r w:rsidRPr="007B509E">
              <w:rPr>
                <w:b/>
                <w:bCs/>
              </w:rPr>
              <w:t>(309)</w:t>
            </w:r>
          </w:p>
        </w:tc>
        <w:tc>
          <w:tcPr>
            <w:tcW w:w="1190" w:type="dxa"/>
          </w:tcPr>
          <w:p w14:paraId="1AE77F07" w14:textId="77777777" w:rsidR="00B02873" w:rsidRPr="007B509E" w:rsidRDefault="00B02873" w:rsidP="00684AB2">
            <w:pPr>
              <w:pStyle w:val="TablebodyleftFinancialsTables"/>
              <w:jc w:val="right"/>
              <w:rPr>
                <w:b/>
                <w:bCs/>
              </w:rPr>
            </w:pPr>
            <w:r w:rsidRPr="007B509E">
              <w:rPr>
                <w:b/>
                <w:bCs/>
              </w:rPr>
              <w:t>(219)</w:t>
            </w:r>
          </w:p>
        </w:tc>
        <w:tc>
          <w:tcPr>
            <w:tcW w:w="1191" w:type="dxa"/>
          </w:tcPr>
          <w:p w14:paraId="3E00FCCB" w14:textId="77777777" w:rsidR="00B02873" w:rsidRPr="007B509E" w:rsidRDefault="00B02873" w:rsidP="00684AB2">
            <w:pPr>
              <w:pStyle w:val="TablebodyleftFinancialsTables"/>
              <w:jc w:val="right"/>
              <w:rPr>
                <w:b/>
                <w:bCs/>
              </w:rPr>
            </w:pPr>
            <w:r w:rsidRPr="007B509E">
              <w:rPr>
                <w:b/>
                <w:bCs/>
              </w:rPr>
              <w:t>(90)</w:t>
            </w:r>
          </w:p>
        </w:tc>
        <w:tc>
          <w:tcPr>
            <w:tcW w:w="1190" w:type="dxa"/>
          </w:tcPr>
          <w:p w14:paraId="46EEDC00" w14:textId="77777777" w:rsidR="00B02873" w:rsidRPr="007B509E" w:rsidRDefault="00B02873" w:rsidP="00684AB2">
            <w:pPr>
              <w:pStyle w:val="TablebodyleftFinancialsTables"/>
              <w:jc w:val="right"/>
              <w:rPr>
                <w:b/>
                <w:bCs/>
              </w:rPr>
            </w:pPr>
            <w:r w:rsidRPr="007B509E">
              <w:rPr>
                <w:b/>
                <w:bCs/>
              </w:rPr>
              <w:t>41%</w:t>
            </w:r>
          </w:p>
        </w:tc>
        <w:tc>
          <w:tcPr>
            <w:tcW w:w="1191" w:type="dxa"/>
          </w:tcPr>
          <w:p w14:paraId="547AC730" w14:textId="77777777" w:rsidR="00B02873" w:rsidRPr="007B509E" w:rsidRDefault="00B02873" w:rsidP="00684AB2">
            <w:pPr>
              <w:pStyle w:val="TablebodyleftFinancialsTables"/>
              <w:jc w:val="right"/>
              <w:rPr>
                <w:rFonts w:cs="Times New Roman"/>
                <w:b/>
                <w:bCs/>
              </w:rPr>
            </w:pPr>
          </w:p>
        </w:tc>
      </w:tr>
      <w:tr w:rsidR="00B02873" w:rsidRPr="007B509E" w14:paraId="2D75C127" w14:textId="77777777" w:rsidTr="00684AB2">
        <w:tc>
          <w:tcPr>
            <w:tcW w:w="3685" w:type="dxa"/>
          </w:tcPr>
          <w:p w14:paraId="5DA60FB6" w14:textId="77777777" w:rsidR="00B02873" w:rsidRPr="007B509E" w:rsidRDefault="00B02873" w:rsidP="00684AB2">
            <w:pPr>
              <w:pStyle w:val="TablebodyleftFinancialsTables"/>
              <w:rPr>
                <w:b/>
                <w:bCs/>
              </w:rPr>
            </w:pPr>
            <w:r w:rsidRPr="007B509E">
              <w:rPr>
                <w:b/>
                <w:bCs/>
              </w:rPr>
              <w:t>Cash flows from financing activities</w:t>
            </w:r>
          </w:p>
        </w:tc>
        <w:tc>
          <w:tcPr>
            <w:tcW w:w="1191" w:type="dxa"/>
          </w:tcPr>
          <w:p w14:paraId="46B5B473" w14:textId="77777777" w:rsidR="00B02873" w:rsidRPr="007B509E" w:rsidRDefault="00B02873" w:rsidP="00684AB2">
            <w:pPr>
              <w:pStyle w:val="TablebodyleftFinancialsTables"/>
              <w:jc w:val="right"/>
              <w:rPr>
                <w:rFonts w:cs="Times New Roman"/>
                <w:b/>
                <w:bCs/>
              </w:rPr>
            </w:pPr>
          </w:p>
        </w:tc>
        <w:tc>
          <w:tcPr>
            <w:tcW w:w="1190" w:type="dxa"/>
          </w:tcPr>
          <w:p w14:paraId="43D878DE" w14:textId="77777777" w:rsidR="00B02873" w:rsidRPr="007B509E" w:rsidRDefault="00B02873" w:rsidP="00684AB2">
            <w:pPr>
              <w:pStyle w:val="TablebodyleftFinancialsTables"/>
              <w:jc w:val="right"/>
              <w:rPr>
                <w:rFonts w:cs="Times New Roman"/>
                <w:b/>
                <w:bCs/>
              </w:rPr>
            </w:pPr>
          </w:p>
        </w:tc>
        <w:tc>
          <w:tcPr>
            <w:tcW w:w="1191" w:type="dxa"/>
          </w:tcPr>
          <w:p w14:paraId="62A1B55D" w14:textId="77777777" w:rsidR="00B02873" w:rsidRPr="007B509E" w:rsidRDefault="00B02873" w:rsidP="00684AB2">
            <w:pPr>
              <w:pStyle w:val="TablebodyleftFinancialsTables"/>
              <w:jc w:val="right"/>
              <w:rPr>
                <w:rFonts w:cs="Times New Roman"/>
                <w:b/>
                <w:bCs/>
              </w:rPr>
            </w:pPr>
          </w:p>
        </w:tc>
        <w:tc>
          <w:tcPr>
            <w:tcW w:w="1190" w:type="dxa"/>
          </w:tcPr>
          <w:p w14:paraId="70B78D05" w14:textId="77777777" w:rsidR="00B02873" w:rsidRPr="007B509E" w:rsidRDefault="00B02873" w:rsidP="00684AB2">
            <w:pPr>
              <w:pStyle w:val="TablebodyleftFinancialsTables"/>
              <w:jc w:val="right"/>
              <w:rPr>
                <w:rFonts w:cs="Times New Roman"/>
                <w:b/>
                <w:bCs/>
              </w:rPr>
            </w:pPr>
          </w:p>
        </w:tc>
        <w:tc>
          <w:tcPr>
            <w:tcW w:w="1191" w:type="dxa"/>
          </w:tcPr>
          <w:p w14:paraId="4CA9E9A8" w14:textId="77777777" w:rsidR="00B02873" w:rsidRPr="007B509E" w:rsidRDefault="00B02873" w:rsidP="00684AB2">
            <w:pPr>
              <w:pStyle w:val="TablebodyleftFinancialsTables"/>
              <w:jc w:val="right"/>
              <w:rPr>
                <w:rFonts w:cs="Times New Roman"/>
                <w:b/>
                <w:bCs/>
              </w:rPr>
            </w:pPr>
          </w:p>
        </w:tc>
      </w:tr>
      <w:tr w:rsidR="00B02873" w:rsidRPr="00B02873" w14:paraId="3ECB57C0" w14:textId="77777777" w:rsidTr="00684AB2">
        <w:tc>
          <w:tcPr>
            <w:tcW w:w="3685" w:type="dxa"/>
          </w:tcPr>
          <w:p w14:paraId="197FB6F5" w14:textId="77777777" w:rsidR="00B02873" w:rsidRDefault="00B02873" w:rsidP="00684AB2">
            <w:pPr>
              <w:pStyle w:val="TablebodyleftFinancialsTables"/>
            </w:pPr>
            <w:r>
              <w:rPr>
                <w:spacing w:val="-5"/>
              </w:rPr>
              <w:t xml:space="preserve">Owner contributions by State Government </w:t>
            </w:r>
          </w:p>
        </w:tc>
        <w:tc>
          <w:tcPr>
            <w:tcW w:w="1191" w:type="dxa"/>
          </w:tcPr>
          <w:p w14:paraId="539A9AE9" w14:textId="77777777" w:rsidR="00B02873" w:rsidRDefault="00B02873" w:rsidP="00684AB2">
            <w:pPr>
              <w:pStyle w:val="TablebodyleftFinancialsTables"/>
              <w:jc w:val="right"/>
            </w:pPr>
            <w:r>
              <w:t>137</w:t>
            </w:r>
          </w:p>
        </w:tc>
        <w:tc>
          <w:tcPr>
            <w:tcW w:w="1190" w:type="dxa"/>
          </w:tcPr>
          <w:p w14:paraId="6D35C88A" w14:textId="77777777" w:rsidR="00B02873" w:rsidRDefault="00B02873" w:rsidP="00684AB2">
            <w:pPr>
              <w:pStyle w:val="TablebodyleftFinancialsTables"/>
              <w:jc w:val="right"/>
            </w:pPr>
            <w:r>
              <w:t>235</w:t>
            </w:r>
          </w:p>
        </w:tc>
        <w:tc>
          <w:tcPr>
            <w:tcW w:w="1191" w:type="dxa"/>
          </w:tcPr>
          <w:p w14:paraId="435B458D" w14:textId="77777777" w:rsidR="00B02873" w:rsidRDefault="00B02873" w:rsidP="00684AB2">
            <w:pPr>
              <w:pStyle w:val="TablebodyleftFinancialsTables"/>
              <w:jc w:val="right"/>
            </w:pPr>
            <w:r>
              <w:t>(98)</w:t>
            </w:r>
          </w:p>
        </w:tc>
        <w:tc>
          <w:tcPr>
            <w:tcW w:w="1190" w:type="dxa"/>
          </w:tcPr>
          <w:p w14:paraId="1F880FF6" w14:textId="77777777" w:rsidR="00B02873" w:rsidRDefault="00B02873" w:rsidP="00684AB2">
            <w:pPr>
              <w:pStyle w:val="TablebodyleftFinancialsTables"/>
              <w:jc w:val="right"/>
            </w:pPr>
            <w:r>
              <w:t>(42%)</w:t>
            </w:r>
          </w:p>
        </w:tc>
        <w:tc>
          <w:tcPr>
            <w:tcW w:w="1191" w:type="dxa"/>
          </w:tcPr>
          <w:p w14:paraId="41D90CC2" w14:textId="77777777" w:rsidR="00B02873" w:rsidRDefault="00B02873" w:rsidP="00684AB2">
            <w:pPr>
              <w:pStyle w:val="TablebodyleftFinancialsTables"/>
              <w:jc w:val="right"/>
            </w:pPr>
            <w:r>
              <w:t>6</w:t>
            </w:r>
          </w:p>
        </w:tc>
      </w:tr>
      <w:tr w:rsidR="00B02873" w:rsidRPr="007B509E" w14:paraId="38EA4B82" w14:textId="77777777" w:rsidTr="00684AB2">
        <w:tc>
          <w:tcPr>
            <w:tcW w:w="3685" w:type="dxa"/>
          </w:tcPr>
          <w:p w14:paraId="19F24276" w14:textId="77777777" w:rsidR="00B02873" w:rsidRPr="007B509E" w:rsidRDefault="00B02873" w:rsidP="00684AB2">
            <w:pPr>
              <w:pStyle w:val="TablebodyleftFinancialsTables"/>
            </w:pPr>
            <w:r w:rsidRPr="007B509E">
              <w:t>Repayment of finance lease</w:t>
            </w:r>
          </w:p>
        </w:tc>
        <w:tc>
          <w:tcPr>
            <w:tcW w:w="1191" w:type="dxa"/>
          </w:tcPr>
          <w:p w14:paraId="7DEC56F2" w14:textId="77777777" w:rsidR="00B02873" w:rsidRPr="007B509E" w:rsidRDefault="00B02873" w:rsidP="00684AB2">
            <w:pPr>
              <w:pStyle w:val="TablebodyleftFinancialsTables"/>
              <w:jc w:val="right"/>
            </w:pPr>
            <w:r w:rsidRPr="007B509E">
              <w:t>(1)</w:t>
            </w:r>
          </w:p>
        </w:tc>
        <w:tc>
          <w:tcPr>
            <w:tcW w:w="1190" w:type="dxa"/>
          </w:tcPr>
          <w:p w14:paraId="6ED076F3" w14:textId="77777777" w:rsidR="00B02873" w:rsidRPr="007B509E" w:rsidRDefault="00B02873" w:rsidP="00684AB2">
            <w:pPr>
              <w:pStyle w:val="TablebodyleftFinancialsTables"/>
              <w:jc w:val="right"/>
            </w:pPr>
            <w:r w:rsidRPr="007B509E">
              <w:t>0</w:t>
            </w:r>
          </w:p>
        </w:tc>
        <w:tc>
          <w:tcPr>
            <w:tcW w:w="1191" w:type="dxa"/>
          </w:tcPr>
          <w:p w14:paraId="4E703DFD" w14:textId="77777777" w:rsidR="00B02873" w:rsidRPr="007B509E" w:rsidRDefault="00B02873" w:rsidP="00684AB2">
            <w:pPr>
              <w:pStyle w:val="TablebodyleftFinancialsTables"/>
              <w:jc w:val="right"/>
            </w:pPr>
            <w:r w:rsidRPr="007B509E">
              <w:t>(1)</w:t>
            </w:r>
          </w:p>
        </w:tc>
        <w:tc>
          <w:tcPr>
            <w:tcW w:w="1190" w:type="dxa"/>
          </w:tcPr>
          <w:p w14:paraId="4306FA89" w14:textId="77777777" w:rsidR="00B02873" w:rsidRPr="007B509E" w:rsidRDefault="00B02873" w:rsidP="00684AB2">
            <w:pPr>
              <w:pStyle w:val="TablebodyleftFinancialsTables"/>
              <w:jc w:val="right"/>
            </w:pPr>
            <w:r w:rsidRPr="007B509E">
              <w:t>(100%)</w:t>
            </w:r>
          </w:p>
        </w:tc>
        <w:tc>
          <w:tcPr>
            <w:tcW w:w="1191" w:type="dxa"/>
          </w:tcPr>
          <w:p w14:paraId="7DC63B9F" w14:textId="77777777" w:rsidR="00B02873" w:rsidRPr="007B509E" w:rsidRDefault="00B02873" w:rsidP="00684AB2">
            <w:pPr>
              <w:pStyle w:val="TablebodyleftFinancialsTables"/>
              <w:jc w:val="right"/>
              <w:rPr>
                <w:rFonts w:cs="Times New Roman"/>
              </w:rPr>
            </w:pPr>
          </w:p>
        </w:tc>
      </w:tr>
      <w:tr w:rsidR="00B02873" w:rsidRPr="00B02873" w14:paraId="4261A60E" w14:textId="77777777" w:rsidTr="00684AB2">
        <w:tc>
          <w:tcPr>
            <w:tcW w:w="3685" w:type="dxa"/>
          </w:tcPr>
          <w:p w14:paraId="0F5F80BD" w14:textId="77777777" w:rsidR="00B02873" w:rsidRDefault="00B02873" w:rsidP="00684AB2">
            <w:pPr>
              <w:pStyle w:val="TablebodyleftFinancialsTables"/>
            </w:pPr>
            <w:r>
              <w:lastRenderedPageBreak/>
              <w:t xml:space="preserve">Net borrowings </w:t>
            </w:r>
          </w:p>
        </w:tc>
        <w:tc>
          <w:tcPr>
            <w:tcW w:w="1191" w:type="dxa"/>
          </w:tcPr>
          <w:p w14:paraId="5DDA8336" w14:textId="77777777" w:rsidR="00B02873" w:rsidRDefault="00B02873" w:rsidP="00684AB2">
            <w:pPr>
              <w:pStyle w:val="TablebodyleftFinancialsTables"/>
              <w:jc w:val="right"/>
            </w:pPr>
            <w:r>
              <w:t>133</w:t>
            </w:r>
          </w:p>
        </w:tc>
        <w:tc>
          <w:tcPr>
            <w:tcW w:w="1190" w:type="dxa"/>
          </w:tcPr>
          <w:p w14:paraId="22E8A36F" w14:textId="77777777" w:rsidR="00B02873" w:rsidRDefault="00B02873" w:rsidP="00684AB2">
            <w:pPr>
              <w:pStyle w:val="TablebodyleftFinancialsTables"/>
              <w:jc w:val="right"/>
            </w:pPr>
            <w:r>
              <w:t>(12)</w:t>
            </w:r>
          </w:p>
        </w:tc>
        <w:tc>
          <w:tcPr>
            <w:tcW w:w="1191" w:type="dxa"/>
          </w:tcPr>
          <w:p w14:paraId="51D2939E" w14:textId="77777777" w:rsidR="00B02873" w:rsidRDefault="00B02873" w:rsidP="00684AB2">
            <w:pPr>
              <w:pStyle w:val="TablebodyleftFinancialsTables"/>
              <w:jc w:val="right"/>
            </w:pPr>
            <w:r>
              <w:t>145</w:t>
            </w:r>
          </w:p>
        </w:tc>
        <w:tc>
          <w:tcPr>
            <w:tcW w:w="1190" w:type="dxa"/>
          </w:tcPr>
          <w:p w14:paraId="1675FA61" w14:textId="77777777" w:rsidR="00B02873" w:rsidRDefault="00B02873" w:rsidP="00684AB2">
            <w:pPr>
              <w:pStyle w:val="TablebodyleftFinancialsTables"/>
              <w:jc w:val="right"/>
            </w:pPr>
            <w:r>
              <w:t>1208%</w:t>
            </w:r>
          </w:p>
        </w:tc>
        <w:tc>
          <w:tcPr>
            <w:tcW w:w="1191" w:type="dxa"/>
          </w:tcPr>
          <w:p w14:paraId="471316E2" w14:textId="77777777" w:rsidR="00B02873" w:rsidRDefault="00B02873" w:rsidP="00684AB2">
            <w:pPr>
              <w:pStyle w:val="TablebodyleftFinancialsTables"/>
              <w:jc w:val="right"/>
            </w:pPr>
            <w:r>
              <w:t>7</w:t>
            </w:r>
          </w:p>
        </w:tc>
      </w:tr>
      <w:tr w:rsidR="00B02873" w:rsidRPr="007B509E" w14:paraId="49E78F50" w14:textId="77777777" w:rsidTr="00684AB2">
        <w:tc>
          <w:tcPr>
            <w:tcW w:w="3685" w:type="dxa"/>
          </w:tcPr>
          <w:p w14:paraId="372C4BA4" w14:textId="77777777" w:rsidR="00B02873" w:rsidRPr="007B509E" w:rsidRDefault="00B02873" w:rsidP="00684AB2">
            <w:pPr>
              <w:pStyle w:val="TablebodyleftFinancialsTables"/>
              <w:rPr>
                <w:b/>
                <w:bCs/>
              </w:rPr>
            </w:pPr>
            <w:r w:rsidRPr="007B509E">
              <w:rPr>
                <w:b/>
                <w:bCs/>
              </w:rPr>
              <w:t>Net cash flows from/ (used in) financing activities</w:t>
            </w:r>
          </w:p>
        </w:tc>
        <w:tc>
          <w:tcPr>
            <w:tcW w:w="1191" w:type="dxa"/>
          </w:tcPr>
          <w:p w14:paraId="395EA347" w14:textId="77777777" w:rsidR="00B02873" w:rsidRPr="007B509E" w:rsidRDefault="00B02873" w:rsidP="00684AB2">
            <w:pPr>
              <w:pStyle w:val="TablebodyleftFinancialsTables"/>
              <w:jc w:val="right"/>
              <w:rPr>
                <w:b/>
                <w:bCs/>
              </w:rPr>
            </w:pPr>
            <w:r w:rsidRPr="007B509E">
              <w:rPr>
                <w:b/>
                <w:bCs/>
              </w:rPr>
              <w:t>269</w:t>
            </w:r>
          </w:p>
        </w:tc>
        <w:tc>
          <w:tcPr>
            <w:tcW w:w="1190" w:type="dxa"/>
          </w:tcPr>
          <w:p w14:paraId="7EAAA651" w14:textId="77777777" w:rsidR="00B02873" w:rsidRPr="007B509E" w:rsidRDefault="00B02873" w:rsidP="00684AB2">
            <w:pPr>
              <w:pStyle w:val="TablebodyleftFinancialsTables"/>
              <w:jc w:val="right"/>
              <w:rPr>
                <w:b/>
                <w:bCs/>
              </w:rPr>
            </w:pPr>
            <w:r w:rsidRPr="007B509E">
              <w:rPr>
                <w:b/>
                <w:bCs/>
              </w:rPr>
              <w:t>223</w:t>
            </w:r>
          </w:p>
        </w:tc>
        <w:tc>
          <w:tcPr>
            <w:tcW w:w="1191" w:type="dxa"/>
          </w:tcPr>
          <w:p w14:paraId="73BB7539" w14:textId="77777777" w:rsidR="00B02873" w:rsidRPr="007B509E" w:rsidRDefault="00B02873" w:rsidP="00684AB2">
            <w:pPr>
              <w:pStyle w:val="TablebodyleftFinancialsTables"/>
              <w:jc w:val="right"/>
              <w:rPr>
                <w:b/>
                <w:bCs/>
              </w:rPr>
            </w:pPr>
            <w:r w:rsidRPr="007B509E">
              <w:rPr>
                <w:b/>
                <w:bCs/>
              </w:rPr>
              <w:t>46</w:t>
            </w:r>
          </w:p>
        </w:tc>
        <w:tc>
          <w:tcPr>
            <w:tcW w:w="1190" w:type="dxa"/>
          </w:tcPr>
          <w:p w14:paraId="798CF906" w14:textId="77777777" w:rsidR="00B02873" w:rsidRPr="007B509E" w:rsidRDefault="00B02873" w:rsidP="00684AB2">
            <w:pPr>
              <w:pStyle w:val="TablebodyleftFinancialsTables"/>
              <w:jc w:val="right"/>
              <w:rPr>
                <w:b/>
                <w:bCs/>
              </w:rPr>
            </w:pPr>
            <w:r w:rsidRPr="007B509E">
              <w:rPr>
                <w:b/>
                <w:bCs/>
              </w:rPr>
              <w:t>21%</w:t>
            </w:r>
          </w:p>
        </w:tc>
        <w:tc>
          <w:tcPr>
            <w:tcW w:w="1191" w:type="dxa"/>
          </w:tcPr>
          <w:p w14:paraId="303A5BFC" w14:textId="77777777" w:rsidR="00B02873" w:rsidRPr="007B509E" w:rsidRDefault="00B02873" w:rsidP="00684AB2">
            <w:pPr>
              <w:pStyle w:val="TablebodyleftFinancialsTables"/>
              <w:jc w:val="right"/>
              <w:rPr>
                <w:rFonts w:cs="Times New Roman"/>
                <w:b/>
                <w:bCs/>
              </w:rPr>
            </w:pPr>
          </w:p>
        </w:tc>
      </w:tr>
      <w:tr w:rsidR="00B02873" w:rsidRPr="007B509E" w14:paraId="3309AF9C" w14:textId="77777777" w:rsidTr="00684AB2">
        <w:tc>
          <w:tcPr>
            <w:tcW w:w="3685" w:type="dxa"/>
          </w:tcPr>
          <w:p w14:paraId="5371D5D0" w14:textId="77777777" w:rsidR="00B02873" w:rsidRPr="007B509E" w:rsidRDefault="00B02873" w:rsidP="00684AB2">
            <w:pPr>
              <w:pStyle w:val="TablebodyleftFinancialsTables"/>
              <w:rPr>
                <w:b/>
                <w:bCs/>
              </w:rPr>
            </w:pPr>
            <w:r w:rsidRPr="007B509E">
              <w:rPr>
                <w:b/>
                <w:bCs/>
              </w:rPr>
              <w:t>Net increase/(decrease) in cash and cash equivalents</w:t>
            </w:r>
          </w:p>
        </w:tc>
        <w:tc>
          <w:tcPr>
            <w:tcW w:w="1191" w:type="dxa"/>
          </w:tcPr>
          <w:p w14:paraId="51248007" w14:textId="77777777" w:rsidR="00B02873" w:rsidRPr="007B509E" w:rsidRDefault="00B02873" w:rsidP="00684AB2">
            <w:pPr>
              <w:pStyle w:val="TablebodyleftFinancialsTables"/>
              <w:jc w:val="right"/>
              <w:rPr>
                <w:b/>
                <w:bCs/>
              </w:rPr>
            </w:pPr>
            <w:r w:rsidRPr="007B509E">
              <w:rPr>
                <w:b/>
                <w:bCs/>
              </w:rPr>
              <w:t>(177)</w:t>
            </w:r>
          </w:p>
        </w:tc>
        <w:tc>
          <w:tcPr>
            <w:tcW w:w="1190" w:type="dxa"/>
          </w:tcPr>
          <w:p w14:paraId="005062DD" w14:textId="77777777" w:rsidR="00B02873" w:rsidRPr="007B509E" w:rsidRDefault="00B02873" w:rsidP="00684AB2">
            <w:pPr>
              <w:pStyle w:val="TablebodyleftFinancialsTables"/>
              <w:jc w:val="right"/>
              <w:rPr>
                <w:b/>
                <w:bCs/>
              </w:rPr>
            </w:pPr>
            <w:r w:rsidRPr="007B509E">
              <w:rPr>
                <w:b/>
                <w:bCs/>
              </w:rPr>
              <w:t>54</w:t>
            </w:r>
          </w:p>
        </w:tc>
        <w:tc>
          <w:tcPr>
            <w:tcW w:w="1191" w:type="dxa"/>
          </w:tcPr>
          <w:p w14:paraId="26ED755B" w14:textId="77777777" w:rsidR="00B02873" w:rsidRPr="007B509E" w:rsidRDefault="00B02873" w:rsidP="00684AB2">
            <w:pPr>
              <w:pStyle w:val="TablebodyleftFinancialsTables"/>
              <w:jc w:val="right"/>
              <w:rPr>
                <w:b/>
                <w:bCs/>
              </w:rPr>
            </w:pPr>
            <w:r w:rsidRPr="007B509E">
              <w:rPr>
                <w:b/>
                <w:bCs/>
              </w:rPr>
              <w:t>(231)</w:t>
            </w:r>
          </w:p>
        </w:tc>
        <w:tc>
          <w:tcPr>
            <w:tcW w:w="1190" w:type="dxa"/>
          </w:tcPr>
          <w:p w14:paraId="7EBBD8F5" w14:textId="77777777" w:rsidR="00B02873" w:rsidRPr="007B509E" w:rsidRDefault="00B02873" w:rsidP="00684AB2">
            <w:pPr>
              <w:pStyle w:val="TablebodyleftFinancialsTables"/>
              <w:jc w:val="right"/>
              <w:rPr>
                <w:b/>
                <w:bCs/>
              </w:rPr>
            </w:pPr>
            <w:r w:rsidRPr="007B509E">
              <w:rPr>
                <w:b/>
                <w:bCs/>
              </w:rPr>
              <w:t>(428%)</w:t>
            </w:r>
          </w:p>
        </w:tc>
        <w:tc>
          <w:tcPr>
            <w:tcW w:w="1191" w:type="dxa"/>
          </w:tcPr>
          <w:p w14:paraId="077F2060" w14:textId="77777777" w:rsidR="00B02873" w:rsidRPr="007B509E" w:rsidRDefault="00B02873" w:rsidP="00684AB2">
            <w:pPr>
              <w:pStyle w:val="TablebodyleftFinancialsTables"/>
              <w:jc w:val="right"/>
              <w:rPr>
                <w:rFonts w:cs="Times New Roman"/>
                <w:b/>
                <w:bCs/>
              </w:rPr>
            </w:pPr>
          </w:p>
        </w:tc>
      </w:tr>
      <w:tr w:rsidR="00B02873" w:rsidRPr="007B509E" w14:paraId="3C7F1DB6" w14:textId="77777777" w:rsidTr="00684AB2">
        <w:tc>
          <w:tcPr>
            <w:tcW w:w="3685" w:type="dxa"/>
          </w:tcPr>
          <w:p w14:paraId="15A2B802" w14:textId="77777777" w:rsidR="00B02873" w:rsidRPr="007B509E" w:rsidRDefault="00B02873" w:rsidP="00684AB2">
            <w:pPr>
              <w:pStyle w:val="TablebodyleftFinancialsTables"/>
            </w:pPr>
            <w:r w:rsidRPr="007B509E">
              <w:t>Cash and cash equivalents at the beginning of the financial year</w:t>
            </w:r>
          </w:p>
        </w:tc>
        <w:tc>
          <w:tcPr>
            <w:tcW w:w="1191" w:type="dxa"/>
          </w:tcPr>
          <w:p w14:paraId="1E79F161" w14:textId="77777777" w:rsidR="00B02873" w:rsidRPr="007B509E" w:rsidRDefault="00B02873" w:rsidP="00684AB2">
            <w:pPr>
              <w:pStyle w:val="TablebodyleftFinancialsTables"/>
              <w:jc w:val="right"/>
            </w:pPr>
            <w:r w:rsidRPr="007B509E">
              <w:t>1,247</w:t>
            </w:r>
          </w:p>
        </w:tc>
        <w:tc>
          <w:tcPr>
            <w:tcW w:w="1190" w:type="dxa"/>
          </w:tcPr>
          <w:p w14:paraId="472DE91C" w14:textId="77777777" w:rsidR="00B02873" w:rsidRPr="007B509E" w:rsidRDefault="00B02873" w:rsidP="00684AB2">
            <w:pPr>
              <w:pStyle w:val="TablebodyleftFinancialsTables"/>
              <w:jc w:val="right"/>
            </w:pPr>
            <w:r w:rsidRPr="007B509E">
              <w:t>1,247</w:t>
            </w:r>
          </w:p>
        </w:tc>
        <w:tc>
          <w:tcPr>
            <w:tcW w:w="1191" w:type="dxa"/>
          </w:tcPr>
          <w:p w14:paraId="4754ACF7" w14:textId="77777777" w:rsidR="00B02873" w:rsidRPr="007B509E" w:rsidRDefault="00B02873" w:rsidP="00684AB2">
            <w:pPr>
              <w:pStyle w:val="TablebodyleftFinancialsTables"/>
              <w:jc w:val="right"/>
            </w:pPr>
            <w:r w:rsidRPr="007B509E">
              <w:t>0</w:t>
            </w:r>
          </w:p>
        </w:tc>
        <w:tc>
          <w:tcPr>
            <w:tcW w:w="1190" w:type="dxa"/>
          </w:tcPr>
          <w:p w14:paraId="167C58C0" w14:textId="77777777" w:rsidR="00B02873" w:rsidRPr="007B509E" w:rsidRDefault="00B02873" w:rsidP="00684AB2">
            <w:pPr>
              <w:pStyle w:val="TablebodyleftFinancialsTables"/>
              <w:jc w:val="right"/>
            </w:pPr>
            <w:r w:rsidRPr="007B509E">
              <w:t>0%</w:t>
            </w:r>
          </w:p>
        </w:tc>
        <w:tc>
          <w:tcPr>
            <w:tcW w:w="1191" w:type="dxa"/>
          </w:tcPr>
          <w:p w14:paraId="3B656922" w14:textId="77777777" w:rsidR="00B02873" w:rsidRPr="007B509E" w:rsidRDefault="00B02873" w:rsidP="00684AB2">
            <w:pPr>
              <w:pStyle w:val="TablebodyleftFinancialsTables"/>
              <w:jc w:val="right"/>
              <w:rPr>
                <w:rFonts w:cs="Times New Roman"/>
              </w:rPr>
            </w:pPr>
          </w:p>
        </w:tc>
      </w:tr>
      <w:tr w:rsidR="00B02873" w:rsidRPr="007B509E" w14:paraId="7C5BD79B" w14:textId="77777777" w:rsidTr="00684AB2">
        <w:tc>
          <w:tcPr>
            <w:tcW w:w="3685" w:type="dxa"/>
          </w:tcPr>
          <w:p w14:paraId="73A39938" w14:textId="67E688DA" w:rsidR="00B02873" w:rsidRPr="007B509E" w:rsidRDefault="00B02873" w:rsidP="00684AB2">
            <w:pPr>
              <w:pStyle w:val="TablebodyleftFinancialsTables"/>
              <w:rPr>
                <w:b/>
                <w:bCs/>
              </w:rPr>
            </w:pPr>
            <w:r w:rsidRPr="007B509E">
              <w:rPr>
                <w:b/>
                <w:bCs/>
              </w:rPr>
              <w:t>Cash and cash equivalents at the end of the financial year</w:t>
            </w:r>
          </w:p>
        </w:tc>
        <w:tc>
          <w:tcPr>
            <w:tcW w:w="1191" w:type="dxa"/>
          </w:tcPr>
          <w:p w14:paraId="6639EBD5" w14:textId="77777777" w:rsidR="00B02873" w:rsidRPr="007B509E" w:rsidRDefault="00B02873" w:rsidP="00684AB2">
            <w:pPr>
              <w:pStyle w:val="TablebodyleftFinancialsTables"/>
              <w:jc w:val="right"/>
              <w:rPr>
                <w:b/>
                <w:bCs/>
              </w:rPr>
            </w:pPr>
            <w:r w:rsidRPr="007B509E">
              <w:rPr>
                <w:b/>
                <w:bCs/>
              </w:rPr>
              <w:t>1,070</w:t>
            </w:r>
          </w:p>
        </w:tc>
        <w:tc>
          <w:tcPr>
            <w:tcW w:w="1190" w:type="dxa"/>
          </w:tcPr>
          <w:p w14:paraId="57193932" w14:textId="77777777" w:rsidR="00B02873" w:rsidRPr="007B509E" w:rsidRDefault="00B02873" w:rsidP="00684AB2">
            <w:pPr>
              <w:pStyle w:val="TablebodyleftFinancialsTables"/>
              <w:jc w:val="right"/>
              <w:rPr>
                <w:b/>
                <w:bCs/>
              </w:rPr>
            </w:pPr>
            <w:r w:rsidRPr="007B509E">
              <w:rPr>
                <w:b/>
                <w:bCs/>
              </w:rPr>
              <w:t>1,301</w:t>
            </w:r>
          </w:p>
        </w:tc>
        <w:tc>
          <w:tcPr>
            <w:tcW w:w="1191" w:type="dxa"/>
          </w:tcPr>
          <w:p w14:paraId="7DB425CD" w14:textId="77777777" w:rsidR="00B02873" w:rsidRPr="007B509E" w:rsidRDefault="00B02873" w:rsidP="00684AB2">
            <w:pPr>
              <w:pStyle w:val="TablebodyleftFinancialsTables"/>
              <w:jc w:val="right"/>
              <w:rPr>
                <w:b/>
                <w:bCs/>
              </w:rPr>
            </w:pPr>
            <w:r w:rsidRPr="007B509E">
              <w:rPr>
                <w:b/>
                <w:bCs/>
              </w:rPr>
              <w:t>(231)</w:t>
            </w:r>
          </w:p>
        </w:tc>
        <w:tc>
          <w:tcPr>
            <w:tcW w:w="1190" w:type="dxa"/>
          </w:tcPr>
          <w:p w14:paraId="031B263B" w14:textId="77777777" w:rsidR="00B02873" w:rsidRPr="007B509E" w:rsidRDefault="00B02873" w:rsidP="00684AB2">
            <w:pPr>
              <w:pStyle w:val="TablebodyleftFinancialsTables"/>
              <w:jc w:val="right"/>
              <w:rPr>
                <w:b/>
                <w:bCs/>
              </w:rPr>
            </w:pPr>
            <w:r w:rsidRPr="007B509E">
              <w:rPr>
                <w:b/>
                <w:bCs/>
              </w:rPr>
              <w:t>(18%)</w:t>
            </w:r>
          </w:p>
        </w:tc>
        <w:tc>
          <w:tcPr>
            <w:tcW w:w="1191" w:type="dxa"/>
          </w:tcPr>
          <w:p w14:paraId="4396698B" w14:textId="77777777" w:rsidR="00B02873" w:rsidRPr="007B509E" w:rsidRDefault="00B02873" w:rsidP="00684AB2">
            <w:pPr>
              <w:pStyle w:val="TablebodyleftFinancialsTables"/>
              <w:jc w:val="right"/>
              <w:rPr>
                <w:rFonts w:cs="Times New Roman"/>
                <w:b/>
                <w:bCs/>
              </w:rPr>
            </w:pPr>
          </w:p>
        </w:tc>
      </w:tr>
    </w:tbl>
    <w:p w14:paraId="313E059D" w14:textId="77777777" w:rsidR="00B02873" w:rsidRPr="008169E9" w:rsidRDefault="00B02873" w:rsidP="008169E9">
      <w:pPr>
        <w:pStyle w:val="SourceNote"/>
        <w:spacing w:after="120"/>
        <w:rPr>
          <w:b/>
          <w:bCs/>
        </w:rPr>
      </w:pPr>
      <w:r w:rsidRPr="008169E9">
        <w:rPr>
          <w:b/>
          <w:bCs/>
        </w:rPr>
        <w:t>Variance Notes:</w:t>
      </w:r>
    </w:p>
    <w:p w14:paraId="336A2403" w14:textId="77777777" w:rsidR="00B02873" w:rsidRDefault="00B02873" w:rsidP="001128B1">
      <w:pPr>
        <w:pStyle w:val="SourceNotenumbered-1"/>
        <w:numPr>
          <w:ilvl w:val="0"/>
          <w:numId w:val="53"/>
        </w:numPr>
        <w:ind w:left="284" w:hanging="284"/>
      </w:pPr>
      <w:r>
        <w:t>The variance is primarily due to higher than anticipated receivables from the Victorian Government State Administration Unit.</w:t>
      </w:r>
    </w:p>
    <w:p w14:paraId="09F467FA" w14:textId="77777777" w:rsidR="00B02873" w:rsidRDefault="00B02873" w:rsidP="008169E9">
      <w:pPr>
        <w:pStyle w:val="SourceNotenumbered-1"/>
      </w:pPr>
      <w:r>
        <w:t>The variance is primarily due to the timing of the initial recognition of the Bulgana Support agreement.</w:t>
      </w:r>
    </w:p>
    <w:p w14:paraId="00458FFB" w14:textId="77777777" w:rsidR="00B02873" w:rsidRDefault="00B02873" w:rsidP="008169E9">
      <w:pPr>
        <w:pStyle w:val="SourceNotenumbered-1"/>
      </w:pPr>
      <w:r>
        <w:rPr>
          <w:spacing w:val="-2"/>
        </w:rPr>
        <w:t>The variance is primarily due to higher than anticipated interest foregone expense for Solar Homes concessional loans.</w:t>
      </w:r>
    </w:p>
    <w:p w14:paraId="07B13F78" w14:textId="77777777" w:rsidR="00B02873" w:rsidRDefault="00B02873" w:rsidP="008169E9">
      <w:pPr>
        <w:pStyle w:val="SourceNotenumbered-1"/>
        <w:rPr>
          <w:spacing w:val="-2"/>
        </w:rPr>
      </w:pPr>
      <w:r>
        <w:rPr>
          <w:spacing w:val="-2"/>
        </w:rPr>
        <w:t xml:space="preserve">The variance is primarily due to funding received for the Suburban Parks program compulsory land acquisitions. </w:t>
      </w:r>
    </w:p>
    <w:p w14:paraId="35DC8350" w14:textId="77777777" w:rsidR="00B02873" w:rsidRDefault="00B02873" w:rsidP="008169E9">
      <w:pPr>
        <w:pStyle w:val="SourceNotenumbered-1"/>
        <w:rPr>
          <w:spacing w:val="-2"/>
        </w:rPr>
      </w:pPr>
      <w:r>
        <w:rPr>
          <w:spacing w:val="-2"/>
        </w:rPr>
        <w:t>The variance is primarily due to lower than anticipated demand for Solar Home loans.</w:t>
      </w:r>
    </w:p>
    <w:p w14:paraId="67A65610" w14:textId="77777777" w:rsidR="00B02873" w:rsidRDefault="00B02873" w:rsidP="008169E9">
      <w:pPr>
        <w:pStyle w:val="SourceNotenumbered-1"/>
        <w:rPr>
          <w:spacing w:val="-2"/>
        </w:rPr>
      </w:pPr>
      <w:r>
        <w:rPr>
          <w:spacing w:val="-2"/>
        </w:rPr>
        <w:t>Refer commentary ‘Payments for non-financial assets’.</w:t>
      </w:r>
    </w:p>
    <w:p w14:paraId="734095B3" w14:textId="2C4E7065" w:rsidR="00B02873" w:rsidRDefault="00B02873" w:rsidP="008169E9">
      <w:pPr>
        <w:pStyle w:val="SourceNotenumbered-1"/>
        <w:rPr>
          <w:sz w:val="18"/>
        </w:rPr>
      </w:pPr>
      <w:r>
        <w:rPr>
          <w:spacing w:val="-2"/>
        </w:rPr>
        <w:t>The variance is primarily due to the mandatory annual fair value assessment of derivative financial instruments for the Victorian Renewable Energy Auction Scheme.</w:t>
      </w:r>
    </w:p>
    <w:p w14:paraId="0FBBF7D4" w14:textId="77777777" w:rsidR="00B02873" w:rsidRDefault="00B02873" w:rsidP="008169E9">
      <w:pPr>
        <w:pStyle w:val="TabletitleTables"/>
      </w:pPr>
      <w:r>
        <w:t>Table 4. Statement of changes in equity for the financial year ended 30 June 2022</w:t>
      </w:r>
    </w:p>
    <w:tbl>
      <w:tblPr>
        <w:tblStyle w:val="TableGrid"/>
        <w:tblW w:w="0" w:type="auto"/>
        <w:tblLayout w:type="fixed"/>
        <w:tblLook w:val="0020" w:firstRow="1" w:lastRow="0" w:firstColumn="0" w:lastColumn="0" w:noHBand="0" w:noVBand="0"/>
      </w:tblPr>
      <w:tblGrid>
        <w:gridCol w:w="4876"/>
        <w:gridCol w:w="1190"/>
        <w:gridCol w:w="1191"/>
        <w:gridCol w:w="1190"/>
        <w:gridCol w:w="1191"/>
      </w:tblGrid>
      <w:tr w:rsidR="00B02873" w:rsidRPr="00B02873" w14:paraId="1CD58639" w14:textId="77777777" w:rsidTr="008169E9">
        <w:trPr>
          <w:cnfStyle w:val="100000000000" w:firstRow="1" w:lastRow="0" w:firstColumn="0" w:lastColumn="0" w:oddVBand="0" w:evenVBand="0" w:oddHBand="0" w:evenHBand="0" w:firstRowFirstColumn="0" w:firstRowLastColumn="0" w:lastRowFirstColumn="0" w:lastRowLastColumn="0"/>
          <w:tblHeader/>
        </w:trPr>
        <w:tc>
          <w:tcPr>
            <w:tcW w:w="4876" w:type="dxa"/>
          </w:tcPr>
          <w:p w14:paraId="391F46F9" w14:textId="77777777" w:rsidR="00B02873" w:rsidRDefault="00B02873" w:rsidP="008169E9">
            <w:pPr>
              <w:pStyle w:val="TableheadingleftFinancialsTables"/>
            </w:pPr>
            <w:r>
              <w:t>Statement of Changes in Equity – Controlled</w:t>
            </w:r>
          </w:p>
        </w:tc>
        <w:tc>
          <w:tcPr>
            <w:tcW w:w="1190" w:type="dxa"/>
          </w:tcPr>
          <w:p w14:paraId="7FF298D1" w14:textId="77777777" w:rsidR="00B02873" w:rsidRDefault="00B02873" w:rsidP="008169E9">
            <w:pPr>
              <w:pStyle w:val="TableheadingleftFinancialsTables"/>
              <w:jc w:val="right"/>
            </w:pPr>
            <w:r>
              <w:t>2021-22</w:t>
            </w:r>
            <w:r>
              <w:br/>
              <w:t xml:space="preserve">Actual </w:t>
            </w:r>
            <w:r>
              <w:br/>
              <w:t>($ million)</w:t>
            </w:r>
          </w:p>
        </w:tc>
        <w:tc>
          <w:tcPr>
            <w:tcW w:w="1191" w:type="dxa"/>
          </w:tcPr>
          <w:p w14:paraId="18DD8C61" w14:textId="77777777" w:rsidR="00B02873" w:rsidRDefault="00B02873" w:rsidP="008169E9">
            <w:pPr>
              <w:pStyle w:val="TableheadingleftFinancialsTables"/>
              <w:jc w:val="right"/>
            </w:pPr>
            <w:r>
              <w:t xml:space="preserve">2021-22 Published </w:t>
            </w:r>
            <w:r>
              <w:br/>
              <w:t xml:space="preserve">Budget </w:t>
            </w:r>
            <w:r>
              <w:br/>
              <w:t>($ million)</w:t>
            </w:r>
          </w:p>
        </w:tc>
        <w:tc>
          <w:tcPr>
            <w:tcW w:w="1190" w:type="dxa"/>
          </w:tcPr>
          <w:p w14:paraId="065F21DC" w14:textId="77777777" w:rsidR="00B02873" w:rsidRDefault="00B02873" w:rsidP="008169E9">
            <w:pPr>
              <w:pStyle w:val="TableheadingleftFinancialsTables"/>
              <w:jc w:val="right"/>
            </w:pPr>
            <w:r>
              <w:t xml:space="preserve">Variance </w:t>
            </w:r>
            <w:r>
              <w:br/>
              <w:t>($ million)</w:t>
            </w:r>
          </w:p>
        </w:tc>
        <w:tc>
          <w:tcPr>
            <w:tcW w:w="1191" w:type="dxa"/>
          </w:tcPr>
          <w:p w14:paraId="0AA2A661" w14:textId="77777777" w:rsidR="00B02873" w:rsidRDefault="00B02873" w:rsidP="008169E9">
            <w:pPr>
              <w:pStyle w:val="TableheadingleftFinancialsTables"/>
              <w:jc w:val="right"/>
            </w:pPr>
            <w:r>
              <w:t>Variance</w:t>
            </w:r>
            <w:r>
              <w:br/>
              <w:t xml:space="preserve"> (%)</w:t>
            </w:r>
          </w:p>
        </w:tc>
      </w:tr>
      <w:tr w:rsidR="00B02873" w:rsidRPr="00B02873" w14:paraId="09983ADA" w14:textId="77777777" w:rsidTr="008169E9">
        <w:tc>
          <w:tcPr>
            <w:tcW w:w="4876" w:type="dxa"/>
          </w:tcPr>
          <w:p w14:paraId="468AE7E9" w14:textId="01D3D24E" w:rsidR="00B02873" w:rsidRDefault="00B02873" w:rsidP="008169E9">
            <w:pPr>
              <w:pStyle w:val="TablebodyleftFinancialsTables"/>
            </w:pPr>
            <w:r>
              <w:t>Opening accumulated surplus/(deficit)</w:t>
            </w:r>
            <w:r w:rsidR="000C45FC">
              <w:t xml:space="preserve"> – </w:t>
            </w:r>
            <w:r>
              <w:t>1 July</w:t>
            </w:r>
          </w:p>
        </w:tc>
        <w:tc>
          <w:tcPr>
            <w:tcW w:w="1190" w:type="dxa"/>
          </w:tcPr>
          <w:p w14:paraId="59EFC01E" w14:textId="77777777" w:rsidR="00B02873" w:rsidRPr="008169E9" w:rsidRDefault="00B02873" w:rsidP="008169E9">
            <w:pPr>
              <w:pStyle w:val="TablebodyleftFinancialsTables"/>
              <w:jc w:val="right"/>
            </w:pPr>
            <w:r w:rsidRPr="008169E9">
              <w:t>3,900</w:t>
            </w:r>
          </w:p>
        </w:tc>
        <w:tc>
          <w:tcPr>
            <w:tcW w:w="1191" w:type="dxa"/>
          </w:tcPr>
          <w:p w14:paraId="5DAA1D02" w14:textId="77777777" w:rsidR="00B02873" w:rsidRPr="008169E9" w:rsidRDefault="00B02873" w:rsidP="008169E9">
            <w:pPr>
              <w:pStyle w:val="TablebodyleftFinancialsTables"/>
              <w:jc w:val="right"/>
            </w:pPr>
            <w:r w:rsidRPr="008169E9">
              <w:t>3,900</w:t>
            </w:r>
          </w:p>
        </w:tc>
        <w:tc>
          <w:tcPr>
            <w:tcW w:w="1190" w:type="dxa"/>
          </w:tcPr>
          <w:p w14:paraId="6227B4F5" w14:textId="77777777" w:rsidR="00B02873" w:rsidRPr="008169E9" w:rsidRDefault="00B02873" w:rsidP="008169E9">
            <w:pPr>
              <w:pStyle w:val="TablebodyleftFinancialsTables"/>
              <w:jc w:val="right"/>
            </w:pPr>
            <w:r w:rsidRPr="008169E9">
              <w:t>0</w:t>
            </w:r>
          </w:p>
        </w:tc>
        <w:tc>
          <w:tcPr>
            <w:tcW w:w="1191" w:type="dxa"/>
          </w:tcPr>
          <w:p w14:paraId="2856160A" w14:textId="77777777" w:rsidR="00B02873" w:rsidRPr="008169E9" w:rsidRDefault="00B02873" w:rsidP="008169E9">
            <w:pPr>
              <w:pStyle w:val="TablebodyleftFinancialsTables"/>
              <w:jc w:val="right"/>
            </w:pPr>
            <w:r w:rsidRPr="008169E9">
              <w:t>0%</w:t>
            </w:r>
          </w:p>
        </w:tc>
      </w:tr>
      <w:tr w:rsidR="00B02873" w:rsidRPr="00B02873" w14:paraId="17AC2810" w14:textId="77777777" w:rsidTr="008169E9">
        <w:tc>
          <w:tcPr>
            <w:tcW w:w="4876" w:type="dxa"/>
          </w:tcPr>
          <w:p w14:paraId="30168008" w14:textId="77777777" w:rsidR="00B02873" w:rsidRDefault="00B02873" w:rsidP="008169E9">
            <w:pPr>
              <w:pStyle w:val="TablebodyleftFinancialsTables"/>
            </w:pPr>
            <w:r>
              <w:t>Net result</w:t>
            </w:r>
          </w:p>
        </w:tc>
        <w:tc>
          <w:tcPr>
            <w:tcW w:w="1190" w:type="dxa"/>
          </w:tcPr>
          <w:p w14:paraId="6A3A8DA4" w14:textId="77777777" w:rsidR="00B02873" w:rsidRDefault="00B02873" w:rsidP="008169E9">
            <w:pPr>
              <w:pStyle w:val="TablebodyleftFinancialsTables"/>
              <w:jc w:val="right"/>
            </w:pPr>
            <w:r>
              <w:t>614</w:t>
            </w:r>
          </w:p>
        </w:tc>
        <w:tc>
          <w:tcPr>
            <w:tcW w:w="1191" w:type="dxa"/>
          </w:tcPr>
          <w:p w14:paraId="6358CB81" w14:textId="77777777" w:rsidR="00B02873" w:rsidRDefault="00B02873" w:rsidP="008169E9">
            <w:pPr>
              <w:pStyle w:val="TablebodyleftFinancialsTables"/>
              <w:jc w:val="right"/>
            </w:pPr>
            <w:r>
              <w:t>(11)</w:t>
            </w:r>
          </w:p>
        </w:tc>
        <w:tc>
          <w:tcPr>
            <w:tcW w:w="1190" w:type="dxa"/>
          </w:tcPr>
          <w:p w14:paraId="60840886" w14:textId="77777777" w:rsidR="00B02873" w:rsidRDefault="00B02873" w:rsidP="008169E9">
            <w:pPr>
              <w:pStyle w:val="TablebodyleftFinancialsTables"/>
              <w:jc w:val="right"/>
            </w:pPr>
            <w:r>
              <w:t>625</w:t>
            </w:r>
          </w:p>
        </w:tc>
        <w:tc>
          <w:tcPr>
            <w:tcW w:w="1191" w:type="dxa"/>
          </w:tcPr>
          <w:p w14:paraId="4447F5C4" w14:textId="77777777" w:rsidR="00B02873" w:rsidRDefault="00B02873" w:rsidP="008169E9">
            <w:pPr>
              <w:pStyle w:val="TablebodyleftFinancialsTables"/>
              <w:jc w:val="right"/>
            </w:pPr>
            <w:r>
              <w:t>5,682%</w:t>
            </w:r>
          </w:p>
        </w:tc>
      </w:tr>
      <w:tr w:rsidR="00B02873" w:rsidRPr="00B02873" w14:paraId="73107E3F" w14:textId="77777777" w:rsidTr="008169E9">
        <w:tc>
          <w:tcPr>
            <w:tcW w:w="4876" w:type="dxa"/>
          </w:tcPr>
          <w:p w14:paraId="4289A8B5" w14:textId="77777777" w:rsidR="00B02873" w:rsidRDefault="00B02873" w:rsidP="008169E9">
            <w:pPr>
              <w:pStyle w:val="TablebodyleftFinancialsTables"/>
            </w:pPr>
            <w:r>
              <w:t>Accumulated funds</w:t>
            </w:r>
          </w:p>
        </w:tc>
        <w:tc>
          <w:tcPr>
            <w:tcW w:w="1190" w:type="dxa"/>
          </w:tcPr>
          <w:p w14:paraId="3619F8C1" w14:textId="77777777" w:rsidR="00B02873" w:rsidRDefault="00B02873" w:rsidP="008169E9">
            <w:pPr>
              <w:pStyle w:val="TablebodyleftFinancialsTables"/>
              <w:jc w:val="right"/>
            </w:pPr>
            <w:r>
              <w:t>0</w:t>
            </w:r>
          </w:p>
        </w:tc>
        <w:tc>
          <w:tcPr>
            <w:tcW w:w="1191" w:type="dxa"/>
          </w:tcPr>
          <w:p w14:paraId="1D68C527" w14:textId="77777777" w:rsidR="00B02873" w:rsidRDefault="00B02873" w:rsidP="008169E9">
            <w:pPr>
              <w:pStyle w:val="TablebodyleftFinancialsTables"/>
              <w:jc w:val="right"/>
            </w:pPr>
            <w:r>
              <w:t>0</w:t>
            </w:r>
          </w:p>
        </w:tc>
        <w:tc>
          <w:tcPr>
            <w:tcW w:w="1190" w:type="dxa"/>
          </w:tcPr>
          <w:p w14:paraId="5760361E" w14:textId="77777777" w:rsidR="00B02873" w:rsidRDefault="00B02873" w:rsidP="008169E9">
            <w:pPr>
              <w:pStyle w:val="TablebodyleftFinancialsTables"/>
              <w:jc w:val="right"/>
            </w:pPr>
            <w:r>
              <w:t>0</w:t>
            </w:r>
          </w:p>
        </w:tc>
        <w:tc>
          <w:tcPr>
            <w:tcW w:w="1191" w:type="dxa"/>
          </w:tcPr>
          <w:p w14:paraId="21090BA5" w14:textId="77777777" w:rsidR="00B02873" w:rsidRDefault="00B02873" w:rsidP="008169E9">
            <w:pPr>
              <w:pStyle w:val="TablebodyleftFinancialsTables"/>
              <w:jc w:val="right"/>
            </w:pPr>
            <w:r>
              <w:t>0%</w:t>
            </w:r>
          </w:p>
        </w:tc>
      </w:tr>
      <w:tr w:rsidR="00B02873" w:rsidRPr="00B02873" w14:paraId="45663375" w14:textId="77777777" w:rsidTr="008169E9">
        <w:tc>
          <w:tcPr>
            <w:tcW w:w="4876" w:type="dxa"/>
          </w:tcPr>
          <w:p w14:paraId="5AC837C3" w14:textId="77777777" w:rsidR="00B02873" w:rsidRDefault="00B02873" w:rsidP="008169E9">
            <w:pPr>
              <w:pStyle w:val="TablebodyleftFinancialsTables"/>
            </w:pPr>
            <w:r>
              <w:t>Adjustment due to change in accounting policy</w:t>
            </w:r>
          </w:p>
        </w:tc>
        <w:tc>
          <w:tcPr>
            <w:tcW w:w="1190" w:type="dxa"/>
          </w:tcPr>
          <w:p w14:paraId="4E101DDD" w14:textId="77777777" w:rsidR="00B02873" w:rsidRDefault="00B02873" w:rsidP="008169E9">
            <w:pPr>
              <w:pStyle w:val="TablebodyleftFinancialsTables"/>
              <w:jc w:val="right"/>
            </w:pPr>
            <w:r>
              <w:t>0</w:t>
            </w:r>
          </w:p>
        </w:tc>
        <w:tc>
          <w:tcPr>
            <w:tcW w:w="1191" w:type="dxa"/>
          </w:tcPr>
          <w:p w14:paraId="5B5681F2" w14:textId="77777777" w:rsidR="00B02873" w:rsidRDefault="00B02873" w:rsidP="008169E9">
            <w:pPr>
              <w:pStyle w:val="TablebodyleftFinancialsTables"/>
              <w:jc w:val="right"/>
            </w:pPr>
            <w:r>
              <w:t>0</w:t>
            </w:r>
          </w:p>
        </w:tc>
        <w:tc>
          <w:tcPr>
            <w:tcW w:w="1190" w:type="dxa"/>
          </w:tcPr>
          <w:p w14:paraId="20C418E0" w14:textId="77777777" w:rsidR="00B02873" w:rsidRDefault="00B02873" w:rsidP="008169E9">
            <w:pPr>
              <w:pStyle w:val="TablebodyleftFinancialsTables"/>
              <w:jc w:val="right"/>
            </w:pPr>
            <w:r>
              <w:t>0</w:t>
            </w:r>
          </w:p>
        </w:tc>
        <w:tc>
          <w:tcPr>
            <w:tcW w:w="1191" w:type="dxa"/>
          </w:tcPr>
          <w:p w14:paraId="1DFB1BCC" w14:textId="77777777" w:rsidR="00B02873" w:rsidRDefault="00B02873" w:rsidP="008169E9">
            <w:pPr>
              <w:pStyle w:val="TablebodyleftFinancialsTables"/>
              <w:jc w:val="right"/>
            </w:pPr>
            <w:r>
              <w:t>0%</w:t>
            </w:r>
          </w:p>
        </w:tc>
      </w:tr>
      <w:tr w:rsidR="00B02873" w:rsidRPr="008169E9" w14:paraId="246AE4A0" w14:textId="77777777" w:rsidTr="008169E9">
        <w:tc>
          <w:tcPr>
            <w:tcW w:w="4876" w:type="dxa"/>
          </w:tcPr>
          <w:p w14:paraId="7CD0DAE1" w14:textId="102DE096" w:rsidR="00B02873" w:rsidRPr="008169E9" w:rsidRDefault="00B02873" w:rsidP="008169E9">
            <w:pPr>
              <w:pStyle w:val="TablebodyleftFinancialsTables"/>
              <w:rPr>
                <w:b/>
                <w:bCs/>
              </w:rPr>
            </w:pPr>
            <w:r w:rsidRPr="008169E9">
              <w:rPr>
                <w:b/>
                <w:bCs/>
              </w:rPr>
              <w:t>Closing accumulated surplus/(deficit)</w:t>
            </w:r>
            <w:r w:rsidR="000C45FC" w:rsidRPr="008169E9">
              <w:rPr>
                <w:b/>
                <w:bCs/>
              </w:rPr>
              <w:t xml:space="preserve"> – </w:t>
            </w:r>
            <w:r w:rsidRPr="008169E9">
              <w:rPr>
                <w:b/>
                <w:bCs/>
              </w:rPr>
              <w:t>30 June</w:t>
            </w:r>
          </w:p>
        </w:tc>
        <w:tc>
          <w:tcPr>
            <w:tcW w:w="1190" w:type="dxa"/>
          </w:tcPr>
          <w:p w14:paraId="7369DF99" w14:textId="77777777" w:rsidR="00B02873" w:rsidRPr="008169E9" w:rsidRDefault="00B02873" w:rsidP="008169E9">
            <w:pPr>
              <w:pStyle w:val="TablebodyleftFinancialsTables"/>
              <w:jc w:val="right"/>
              <w:rPr>
                <w:b/>
                <w:bCs/>
              </w:rPr>
            </w:pPr>
            <w:r w:rsidRPr="008169E9">
              <w:rPr>
                <w:b/>
                <w:bCs/>
              </w:rPr>
              <w:t>4,514</w:t>
            </w:r>
          </w:p>
        </w:tc>
        <w:tc>
          <w:tcPr>
            <w:tcW w:w="1191" w:type="dxa"/>
          </w:tcPr>
          <w:p w14:paraId="3FB3E625" w14:textId="77777777" w:rsidR="00B02873" w:rsidRPr="008169E9" w:rsidRDefault="00B02873" w:rsidP="008169E9">
            <w:pPr>
              <w:pStyle w:val="TablebodyleftFinancialsTables"/>
              <w:jc w:val="right"/>
              <w:rPr>
                <w:b/>
                <w:bCs/>
              </w:rPr>
            </w:pPr>
            <w:r w:rsidRPr="008169E9">
              <w:rPr>
                <w:b/>
                <w:bCs/>
              </w:rPr>
              <w:t>3,889</w:t>
            </w:r>
          </w:p>
        </w:tc>
        <w:tc>
          <w:tcPr>
            <w:tcW w:w="1190" w:type="dxa"/>
          </w:tcPr>
          <w:p w14:paraId="7390F321" w14:textId="77777777" w:rsidR="00B02873" w:rsidRPr="008169E9" w:rsidRDefault="00B02873" w:rsidP="008169E9">
            <w:pPr>
              <w:pStyle w:val="TablebodyleftFinancialsTables"/>
              <w:jc w:val="right"/>
              <w:rPr>
                <w:b/>
                <w:bCs/>
              </w:rPr>
            </w:pPr>
            <w:r w:rsidRPr="008169E9">
              <w:rPr>
                <w:b/>
                <w:bCs/>
              </w:rPr>
              <w:t>625</w:t>
            </w:r>
          </w:p>
        </w:tc>
        <w:tc>
          <w:tcPr>
            <w:tcW w:w="1191" w:type="dxa"/>
          </w:tcPr>
          <w:p w14:paraId="1ACC2317" w14:textId="77777777" w:rsidR="00B02873" w:rsidRPr="008169E9" w:rsidRDefault="00B02873" w:rsidP="008169E9">
            <w:pPr>
              <w:pStyle w:val="TablebodyleftFinancialsTables"/>
              <w:jc w:val="right"/>
              <w:rPr>
                <w:b/>
                <w:bCs/>
              </w:rPr>
            </w:pPr>
            <w:r w:rsidRPr="008169E9">
              <w:rPr>
                <w:b/>
                <w:bCs/>
              </w:rPr>
              <w:t>16%</w:t>
            </w:r>
          </w:p>
        </w:tc>
      </w:tr>
      <w:tr w:rsidR="00B02873" w:rsidRPr="00B02873" w14:paraId="04C6B91D" w14:textId="77777777" w:rsidTr="008169E9">
        <w:tc>
          <w:tcPr>
            <w:tcW w:w="4876" w:type="dxa"/>
          </w:tcPr>
          <w:p w14:paraId="33D19B9A" w14:textId="631788BD" w:rsidR="00B02873" w:rsidRDefault="00B02873" w:rsidP="008169E9">
            <w:pPr>
              <w:pStyle w:val="TablebodyleftFinancialsTables"/>
            </w:pPr>
            <w:r>
              <w:t>Opening contribution by owners</w:t>
            </w:r>
            <w:r w:rsidR="000C45FC">
              <w:t xml:space="preserve"> – </w:t>
            </w:r>
            <w:r>
              <w:t>1 July</w:t>
            </w:r>
          </w:p>
        </w:tc>
        <w:tc>
          <w:tcPr>
            <w:tcW w:w="1190" w:type="dxa"/>
          </w:tcPr>
          <w:p w14:paraId="0B4B35BF" w14:textId="77777777" w:rsidR="00B02873" w:rsidRDefault="00B02873" w:rsidP="008169E9">
            <w:pPr>
              <w:pStyle w:val="TablebodyleftFinancialsTables"/>
              <w:jc w:val="right"/>
            </w:pPr>
            <w:r>
              <w:t>144</w:t>
            </w:r>
          </w:p>
        </w:tc>
        <w:tc>
          <w:tcPr>
            <w:tcW w:w="1191" w:type="dxa"/>
          </w:tcPr>
          <w:p w14:paraId="5F5988D9" w14:textId="77777777" w:rsidR="00B02873" w:rsidRDefault="00B02873" w:rsidP="008169E9">
            <w:pPr>
              <w:pStyle w:val="TablebodyleftFinancialsTables"/>
              <w:jc w:val="right"/>
            </w:pPr>
            <w:r>
              <w:t>144</w:t>
            </w:r>
          </w:p>
        </w:tc>
        <w:tc>
          <w:tcPr>
            <w:tcW w:w="1190" w:type="dxa"/>
          </w:tcPr>
          <w:p w14:paraId="08E3C9F9" w14:textId="77777777" w:rsidR="00B02873" w:rsidRDefault="00B02873" w:rsidP="008169E9">
            <w:pPr>
              <w:pStyle w:val="TablebodyleftFinancialsTables"/>
              <w:jc w:val="right"/>
            </w:pPr>
            <w:r>
              <w:t>0</w:t>
            </w:r>
          </w:p>
        </w:tc>
        <w:tc>
          <w:tcPr>
            <w:tcW w:w="1191" w:type="dxa"/>
          </w:tcPr>
          <w:p w14:paraId="25C80078" w14:textId="77777777" w:rsidR="00B02873" w:rsidRDefault="00B02873" w:rsidP="008169E9">
            <w:pPr>
              <w:pStyle w:val="TablebodyleftFinancialsTables"/>
              <w:jc w:val="right"/>
            </w:pPr>
            <w:r>
              <w:t>0%</w:t>
            </w:r>
          </w:p>
        </w:tc>
      </w:tr>
      <w:tr w:rsidR="00B02873" w:rsidRPr="00B02873" w14:paraId="273C297C" w14:textId="77777777" w:rsidTr="008169E9">
        <w:tc>
          <w:tcPr>
            <w:tcW w:w="4876" w:type="dxa"/>
          </w:tcPr>
          <w:p w14:paraId="56B845E1" w14:textId="77777777" w:rsidR="00B02873" w:rsidRDefault="00B02873" w:rsidP="008169E9">
            <w:pPr>
              <w:pStyle w:val="TablebodyleftFinancialsTables"/>
            </w:pPr>
            <w:r>
              <w:rPr>
                <w:spacing w:val="-2"/>
              </w:rPr>
              <w:t>Net transaction with owners in their capacity as owners</w:t>
            </w:r>
          </w:p>
        </w:tc>
        <w:tc>
          <w:tcPr>
            <w:tcW w:w="1190" w:type="dxa"/>
          </w:tcPr>
          <w:p w14:paraId="765DB95A" w14:textId="77777777" w:rsidR="00B02873" w:rsidRDefault="00B02873" w:rsidP="008169E9">
            <w:pPr>
              <w:pStyle w:val="TablebodyleftFinancialsTables"/>
              <w:jc w:val="right"/>
            </w:pPr>
            <w:r>
              <w:t>48</w:t>
            </w:r>
          </w:p>
        </w:tc>
        <w:tc>
          <w:tcPr>
            <w:tcW w:w="1191" w:type="dxa"/>
          </w:tcPr>
          <w:p w14:paraId="049CB220" w14:textId="77777777" w:rsidR="00B02873" w:rsidRDefault="00B02873" w:rsidP="008169E9">
            <w:pPr>
              <w:pStyle w:val="TablebodyleftFinancialsTables"/>
              <w:jc w:val="right"/>
            </w:pPr>
            <w:r>
              <w:t>235</w:t>
            </w:r>
          </w:p>
        </w:tc>
        <w:tc>
          <w:tcPr>
            <w:tcW w:w="1190" w:type="dxa"/>
          </w:tcPr>
          <w:p w14:paraId="0A6A35FE" w14:textId="77777777" w:rsidR="00B02873" w:rsidRDefault="00B02873" w:rsidP="008169E9">
            <w:pPr>
              <w:pStyle w:val="TablebodyleftFinancialsTables"/>
              <w:jc w:val="right"/>
            </w:pPr>
            <w:r>
              <w:t>(187)</w:t>
            </w:r>
          </w:p>
        </w:tc>
        <w:tc>
          <w:tcPr>
            <w:tcW w:w="1191" w:type="dxa"/>
          </w:tcPr>
          <w:p w14:paraId="27A605E0" w14:textId="77777777" w:rsidR="00B02873" w:rsidRDefault="00B02873" w:rsidP="008169E9">
            <w:pPr>
              <w:pStyle w:val="TablebodyleftFinancialsTables"/>
              <w:jc w:val="right"/>
            </w:pPr>
            <w:r>
              <w:t>(80%)</w:t>
            </w:r>
          </w:p>
        </w:tc>
      </w:tr>
      <w:tr w:rsidR="00B02873" w:rsidRPr="008169E9" w14:paraId="387DC6C9" w14:textId="77777777" w:rsidTr="008169E9">
        <w:tc>
          <w:tcPr>
            <w:tcW w:w="4876" w:type="dxa"/>
          </w:tcPr>
          <w:p w14:paraId="4A103BFC" w14:textId="3A7BE44D" w:rsidR="00B02873" w:rsidRPr="008169E9" w:rsidRDefault="00B02873" w:rsidP="008169E9">
            <w:pPr>
              <w:pStyle w:val="TablebodyleftFinancialsTables"/>
              <w:rPr>
                <w:b/>
                <w:bCs/>
              </w:rPr>
            </w:pPr>
            <w:r w:rsidRPr="008169E9">
              <w:rPr>
                <w:b/>
                <w:bCs/>
              </w:rPr>
              <w:t>Closing contribution by owners</w:t>
            </w:r>
            <w:r w:rsidR="000C45FC" w:rsidRPr="008169E9">
              <w:rPr>
                <w:b/>
                <w:bCs/>
              </w:rPr>
              <w:t xml:space="preserve"> – </w:t>
            </w:r>
            <w:r w:rsidRPr="008169E9">
              <w:rPr>
                <w:b/>
                <w:bCs/>
              </w:rPr>
              <w:t>30 June</w:t>
            </w:r>
          </w:p>
        </w:tc>
        <w:tc>
          <w:tcPr>
            <w:tcW w:w="1190" w:type="dxa"/>
          </w:tcPr>
          <w:p w14:paraId="6BDA0664" w14:textId="77777777" w:rsidR="00B02873" w:rsidRPr="008169E9" w:rsidRDefault="00B02873" w:rsidP="008169E9">
            <w:pPr>
              <w:pStyle w:val="TablebodyleftFinancialsTables"/>
              <w:jc w:val="right"/>
              <w:rPr>
                <w:b/>
                <w:bCs/>
              </w:rPr>
            </w:pPr>
            <w:r w:rsidRPr="008169E9">
              <w:rPr>
                <w:b/>
                <w:bCs/>
              </w:rPr>
              <w:t>192</w:t>
            </w:r>
          </w:p>
        </w:tc>
        <w:tc>
          <w:tcPr>
            <w:tcW w:w="1191" w:type="dxa"/>
          </w:tcPr>
          <w:p w14:paraId="26340DFC" w14:textId="77777777" w:rsidR="00B02873" w:rsidRPr="008169E9" w:rsidRDefault="00B02873" w:rsidP="008169E9">
            <w:pPr>
              <w:pStyle w:val="TablebodyleftFinancialsTables"/>
              <w:jc w:val="right"/>
              <w:rPr>
                <w:b/>
                <w:bCs/>
              </w:rPr>
            </w:pPr>
            <w:r w:rsidRPr="008169E9">
              <w:rPr>
                <w:b/>
                <w:bCs/>
              </w:rPr>
              <w:t>379</w:t>
            </w:r>
          </w:p>
        </w:tc>
        <w:tc>
          <w:tcPr>
            <w:tcW w:w="1190" w:type="dxa"/>
          </w:tcPr>
          <w:p w14:paraId="36094681" w14:textId="77777777" w:rsidR="00B02873" w:rsidRPr="008169E9" w:rsidRDefault="00B02873" w:rsidP="008169E9">
            <w:pPr>
              <w:pStyle w:val="TablebodyleftFinancialsTables"/>
              <w:jc w:val="right"/>
              <w:rPr>
                <w:b/>
                <w:bCs/>
              </w:rPr>
            </w:pPr>
            <w:r w:rsidRPr="008169E9">
              <w:rPr>
                <w:b/>
                <w:bCs/>
              </w:rPr>
              <w:t>(187)</w:t>
            </w:r>
          </w:p>
        </w:tc>
        <w:tc>
          <w:tcPr>
            <w:tcW w:w="1191" w:type="dxa"/>
          </w:tcPr>
          <w:p w14:paraId="1CE2810E" w14:textId="77777777" w:rsidR="00B02873" w:rsidRPr="008169E9" w:rsidRDefault="00B02873" w:rsidP="008169E9">
            <w:pPr>
              <w:pStyle w:val="TablebodyleftFinancialsTables"/>
              <w:jc w:val="right"/>
              <w:rPr>
                <w:b/>
                <w:bCs/>
              </w:rPr>
            </w:pPr>
            <w:r w:rsidRPr="008169E9">
              <w:rPr>
                <w:b/>
                <w:bCs/>
              </w:rPr>
              <w:t>(49%)</w:t>
            </w:r>
          </w:p>
        </w:tc>
      </w:tr>
      <w:tr w:rsidR="00B02873" w:rsidRPr="00B02873" w14:paraId="234A538C" w14:textId="77777777" w:rsidTr="008169E9">
        <w:tc>
          <w:tcPr>
            <w:tcW w:w="4876" w:type="dxa"/>
          </w:tcPr>
          <w:p w14:paraId="4C3FD88C" w14:textId="10E0D1E7" w:rsidR="00B02873" w:rsidRDefault="00B02873" w:rsidP="008169E9">
            <w:pPr>
              <w:pStyle w:val="TablebodyleftFinancialsTables"/>
            </w:pPr>
            <w:r>
              <w:t>Opening physical asset revaluation reserve</w:t>
            </w:r>
            <w:r w:rsidR="000C45FC">
              <w:t xml:space="preserve"> – </w:t>
            </w:r>
            <w:r>
              <w:t>1 July</w:t>
            </w:r>
          </w:p>
        </w:tc>
        <w:tc>
          <w:tcPr>
            <w:tcW w:w="1190" w:type="dxa"/>
          </w:tcPr>
          <w:p w14:paraId="4863504B" w14:textId="77777777" w:rsidR="00B02873" w:rsidRDefault="00B02873" w:rsidP="008169E9">
            <w:pPr>
              <w:pStyle w:val="TablebodyleftFinancialsTables"/>
              <w:jc w:val="right"/>
            </w:pPr>
            <w:r>
              <w:t>5,565</w:t>
            </w:r>
          </w:p>
        </w:tc>
        <w:tc>
          <w:tcPr>
            <w:tcW w:w="1191" w:type="dxa"/>
          </w:tcPr>
          <w:p w14:paraId="250C3A7E" w14:textId="77777777" w:rsidR="00B02873" w:rsidRDefault="00B02873" w:rsidP="008169E9">
            <w:pPr>
              <w:pStyle w:val="TablebodyleftFinancialsTables"/>
              <w:jc w:val="right"/>
            </w:pPr>
            <w:r>
              <w:t>5,565</w:t>
            </w:r>
          </w:p>
        </w:tc>
        <w:tc>
          <w:tcPr>
            <w:tcW w:w="1190" w:type="dxa"/>
          </w:tcPr>
          <w:p w14:paraId="612CC72B" w14:textId="77777777" w:rsidR="00B02873" w:rsidRDefault="00B02873" w:rsidP="008169E9">
            <w:pPr>
              <w:pStyle w:val="TablebodyleftFinancialsTables"/>
              <w:jc w:val="right"/>
            </w:pPr>
            <w:r>
              <w:t>0</w:t>
            </w:r>
          </w:p>
        </w:tc>
        <w:tc>
          <w:tcPr>
            <w:tcW w:w="1191" w:type="dxa"/>
          </w:tcPr>
          <w:p w14:paraId="0DE19CD5" w14:textId="77777777" w:rsidR="00B02873" w:rsidRDefault="00B02873" w:rsidP="008169E9">
            <w:pPr>
              <w:pStyle w:val="TablebodyleftFinancialsTables"/>
              <w:jc w:val="right"/>
            </w:pPr>
            <w:r>
              <w:t>0%</w:t>
            </w:r>
          </w:p>
        </w:tc>
      </w:tr>
      <w:tr w:rsidR="00B02873" w:rsidRPr="00B02873" w14:paraId="19A713A5" w14:textId="77777777" w:rsidTr="008169E9">
        <w:tc>
          <w:tcPr>
            <w:tcW w:w="4876" w:type="dxa"/>
          </w:tcPr>
          <w:p w14:paraId="7573F63A" w14:textId="77777777" w:rsidR="00B02873" w:rsidRDefault="00B02873" w:rsidP="008169E9">
            <w:pPr>
              <w:pStyle w:val="TablebodyleftFinancialsTables"/>
            </w:pPr>
            <w:r>
              <w:t>Movement in physical asset reserve</w:t>
            </w:r>
          </w:p>
        </w:tc>
        <w:tc>
          <w:tcPr>
            <w:tcW w:w="1190" w:type="dxa"/>
          </w:tcPr>
          <w:p w14:paraId="7CB9FD23" w14:textId="77777777" w:rsidR="00B02873" w:rsidRDefault="00B02873" w:rsidP="008169E9">
            <w:pPr>
              <w:pStyle w:val="TablebodyleftFinancialsTables"/>
              <w:jc w:val="right"/>
            </w:pPr>
            <w:r>
              <w:t>1,051</w:t>
            </w:r>
          </w:p>
        </w:tc>
        <w:tc>
          <w:tcPr>
            <w:tcW w:w="1191" w:type="dxa"/>
          </w:tcPr>
          <w:p w14:paraId="0631217A" w14:textId="77777777" w:rsidR="00B02873" w:rsidRDefault="00B02873" w:rsidP="008169E9">
            <w:pPr>
              <w:pStyle w:val="TablebodyleftFinancialsTables"/>
              <w:jc w:val="right"/>
            </w:pPr>
            <w:r>
              <w:t>0</w:t>
            </w:r>
          </w:p>
        </w:tc>
        <w:tc>
          <w:tcPr>
            <w:tcW w:w="1190" w:type="dxa"/>
          </w:tcPr>
          <w:p w14:paraId="25DDFF3E" w14:textId="77777777" w:rsidR="00B02873" w:rsidRDefault="00B02873" w:rsidP="008169E9">
            <w:pPr>
              <w:pStyle w:val="TablebodyleftFinancialsTables"/>
              <w:jc w:val="right"/>
            </w:pPr>
            <w:r>
              <w:t>1,051</w:t>
            </w:r>
          </w:p>
        </w:tc>
        <w:tc>
          <w:tcPr>
            <w:tcW w:w="1191" w:type="dxa"/>
          </w:tcPr>
          <w:p w14:paraId="5095B0A9" w14:textId="77777777" w:rsidR="00B02873" w:rsidRDefault="00B02873" w:rsidP="008169E9">
            <w:pPr>
              <w:pStyle w:val="TablebodyleftFinancialsTables"/>
              <w:jc w:val="right"/>
            </w:pPr>
            <w:r>
              <w:t>100%</w:t>
            </w:r>
          </w:p>
        </w:tc>
      </w:tr>
      <w:tr w:rsidR="00B02873" w:rsidRPr="008169E9" w14:paraId="6AB18F55" w14:textId="77777777" w:rsidTr="008169E9">
        <w:tc>
          <w:tcPr>
            <w:tcW w:w="4876" w:type="dxa"/>
          </w:tcPr>
          <w:p w14:paraId="39A96906" w14:textId="298E2C9A" w:rsidR="00B02873" w:rsidRPr="008169E9" w:rsidRDefault="00B02873" w:rsidP="008169E9">
            <w:pPr>
              <w:pStyle w:val="TablebodyleftFinancialsTables"/>
              <w:rPr>
                <w:b/>
                <w:bCs/>
              </w:rPr>
            </w:pPr>
            <w:r w:rsidRPr="008169E9">
              <w:rPr>
                <w:b/>
                <w:bCs/>
              </w:rPr>
              <w:t>Closing physical asset revaluation reserve</w:t>
            </w:r>
            <w:r w:rsidR="000C45FC" w:rsidRPr="008169E9">
              <w:rPr>
                <w:b/>
                <w:bCs/>
              </w:rPr>
              <w:t xml:space="preserve"> – </w:t>
            </w:r>
            <w:r w:rsidRPr="008169E9">
              <w:rPr>
                <w:b/>
                <w:bCs/>
              </w:rPr>
              <w:t>30 June</w:t>
            </w:r>
          </w:p>
        </w:tc>
        <w:tc>
          <w:tcPr>
            <w:tcW w:w="1190" w:type="dxa"/>
          </w:tcPr>
          <w:p w14:paraId="332EDAFB" w14:textId="77777777" w:rsidR="00B02873" w:rsidRPr="008169E9" w:rsidRDefault="00B02873" w:rsidP="008169E9">
            <w:pPr>
              <w:pStyle w:val="TablebodyleftFinancialsTables"/>
              <w:jc w:val="right"/>
              <w:rPr>
                <w:b/>
                <w:bCs/>
              </w:rPr>
            </w:pPr>
            <w:r w:rsidRPr="008169E9">
              <w:rPr>
                <w:b/>
                <w:bCs/>
              </w:rPr>
              <w:t>6,616</w:t>
            </w:r>
          </w:p>
        </w:tc>
        <w:tc>
          <w:tcPr>
            <w:tcW w:w="1191" w:type="dxa"/>
          </w:tcPr>
          <w:p w14:paraId="279393D2" w14:textId="77777777" w:rsidR="00B02873" w:rsidRPr="008169E9" w:rsidRDefault="00B02873" w:rsidP="008169E9">
            <w:pPr>
              <w:pStyle w:val="TablebodyleftFinancialsTables"/>
              <w:jc w:val="right"/>
              <w:rPr>
                <w:b/>
                <w:bCs/>
              </w:rPr>
            </w:pPr>
            <w:r w:rsidRPr="008169E9">
              <w:rPr>
                <w:b/>
                <w:bCs/>
              </w:rPr>
              <w:t>5,565</w:t>
            </w:r>
          </w:p>
        </w:tc>
        <w:tc>
          <w:tcPr>
            <w:tcW w:w="1190" w:type="dxa"/>
          </w:tcPr>
          <w:p w14:paraId="639AA173" w14:textId="77777777" w:rsidR="00B02873" w:rsidRPr="008169E9" w:rsidRDefault="00B02873" w:rsidP="008169E9">
            <w:pPr>
              <w:pStyle w:val="TablebodyleftFinancialsTables"/>
              <w:jc w:val="right"/>
              <w:rPr>
                <w:b/>
                <w:bCs/>
              </w:rPr>
            </w:pPr>
            <w:r w:rsidRPr="008169E9">
              <w:rPr>
                <w:b/>
                <w:bCs/>
              </w:rPr>
              <w:t>1,051</w:t>
            </w:r>
          </w:p>
        </w:tc>
        <w:tc>
          <w:tcPr>
            <w:tcW w:w="1191" w:type="dxa"/>
          </w:tcPr>
          <w:p w14:paraId="3E30A187" w14:textId="77777777" w:rsidR="00B02873" w:rsidRPr="008169E9" w:rsidRDefault="00B02873" w:rsidP="008169E9">
            <w:pPr>
              <w:pStyle w:val="TablebodyleftFinancialsTables"/>
              <w:jc w:val="right"/>
              <w:rPr>
                <w:b/>
                <w:bCs/>
              </w:rPr>
            </w:pPr>
            <w:r w:rsidRPr="008169E9">
              <w:rPr>
                <w:b/>
                <w:bCs/>
              </w:rPr>
              <w:t>19%</w:t>
            </w:r>
          </w:p>
        </w:tc>
      </w:tr>
      <w:tr w:rsidR="00B02873" w:rsidRPr="008169E9" w14:paraId="675A6210" w14:textId="77777777" w:rsidTr="008169E9">
        <w:tc>
          <w:tcPr>
            <w:tcW w:w="4876" w:type="dxa"/>
          </w:tcPr>
          <w:p w14:paraId="38D4A12C" w14:textId="77777777" w:rsidR="00B02873" w:rsidRPr="008169E9" w:rsidRDefault="00B02873" w:rsidP="008169E9">
            <w:pPr>
              <w:pStyle w:val="TablebodyleftFinancialsTables"/>
              <w:rPr>
                <w:b/>
                <w:bCs/>
              </w:rPr>
            </w:pPr>
            <w:r w:rsidRPr="008169E9">
              <w:rPr>
                <w:b/>
                <w:bCs/>
              </w:rPr>
              <w:t>Total equity</w:t>
            </w:r>
          </w:p>
        </w:tc>
        <w:tc>
          <w:tcPr>
            <w:tcW w:w="1190" w:type="dxa"/>
          </w:tcPr>
          <w:p w14:paraId="5037E109" w14:textId="77777777" w:rsidR="00B02873" w:rsidRPr="008169E9" w:rsidRDefault="00B02873" w:rsidP="008169E9">
            <w:pPr>
              <w:pStyle w:val="TablebodyleftFinancialsTables"/>
              <w:jc w:val="right"/>
              <w:rPr>
                <w:b/>
                <w:bCs/>
              </w:rPr>
            </w:pPr>
            <w:r w:rsidRPr="008169E9">
              <w:rPr>
                <w:b/>
                <w:bCs/>
              </w:rPr>
              <w:t>11,322</w:t>
            </w:r>
          </w:p>
        </w:tc>
        <w:tc>
          <w:tcPr>
            <w:tcW w:w="1191" w:type="dxa"/>
          </w:tcPr>
          <w:p w14:paraId="0AC0FE20" w14:textId="77777777" w:rsidR="00B02873" w:rsidRPr="008169E9" w:rsidRDefault="00B02873" w:rsidP="008169E9">
            <w:pPr>
              <w:pStyle w:val="TablebodyleftFinancialsTables"/>
              <w:jc w:val="right"/>
              <w:rPr>
                <w:b/>
                <w:bCs/>
              </w:rPr>
            </w:pPr>
            <w:r w:rsidRPr="008169E9">
              <w:rPr>
                <w:b/>
                <w:bCs/>
              </w:rPr>
              <w:t>9,833</w:t>
            </w:r>
          </w:p>
        </w:tc>
        <w:tc>
          <w:tcPr>
            <w:tcW w:w="1190" w:type="dxa"/>
          </w:tcPr>
          <w:p w14:paraId="28E1BBA9" w14:textId="77777777" w:rsidR="00B02873" w:rsidRPr="008169E9" w:rsidRDefault="00B02873" w:rsidP="008169E9">
            <w:pPr>
              <w:pStyle w:val="TablebodyleftFinancialsTables"/>
              <w:jc w:val="right"/>
              <w:rPr>
                <w:b/>
                <w:bCs/>
              </w:rPr>
            </w:pPr>
            <w:r w:rsidRPr="008169E9">
              <w:rPr>
                <w:b/>
                <w:bCs/>
              </w:rPr>
              <w:t>1,489</w:t>
            </w:r>
          </w:p>
        </w:tc>
        <w:tc>
          <w:tcPr>
            <w:tcW w:w="1191" w:type="dxa"/>
          </w:tcPr>
          <w:p w14:paraId="76E91869" w14:textId="77777777" w:rsidR="00B02873" w:rsidRPr="008169E9" w:rsidRDefault="00B02873" w:rsidP="008169E9">
            <w:pPr>
              <w:pStyle w:val="TablebodyleftFinancialsTables"/>
              <w:jc w:val="right"/>
              <w:rPr>
                <w:b/>
                <w:bCs/>
              </w:rPr>
            </w:pPr>
            <w:r w:rsidRPr="008169E9">
              <w:rPr>
                <w:b/>
                <w:bCs/>
              </w:rPr>
              <w:t>15%</w:t>
            </w:r>
          </w:p>
        </w:tc>
      </w:tr>
    </w:tbl>
    <w:p w14:paraId="1170EBA3" w14:textId="77777777" w:rsidR="00B02873" w:rsidRPr="008169E9" w:rsidRDefault="00B02873" w:rsidP="008169E9">
      <w:pPr>
        <w:spacing w:after="0" w:line="240" w:lineRule="auto"/>
        <w:rPr>
          <w:sz w:val="6"/>
          <w:szCs w:val="6"/>
        </w:rPr>
      </w:pPr>
    </w:p>
    <w:p w14:paraId="340C8E4D" w14:textId="77777777" w:rsidR="00B02873" w:rsidRDefault="00B02873" w:rsidP="008169E9">
      <w:pPr>
        <w:pStyle w:val="TabletitleTables"/>
      </w:pPr>
      <w:r>
        <w:lastRenderedPageBreak/>
        <w:t>Table 5. Administered items statement for the financial year ended 30 June 2022</w:t>
      </w:r>
    </w:p>
    <w:tbl>
      <w:tblPr>
        <w:tblStyle w:val="TableGrid"/>
        <w:tblW w:w="9895" w:type="dxa"/>
        <w:tblLayout w:type="fixed"/>
        <w:tblLook w:val="0020" w:firstRow="1" w:lastRow="0" w:firstColumn="0" w:lastColumn="0" w:noHBand="0" w:noVBand="0"/>
      </w:tblPr>
      <w:tblGrid>
        <w:gridCol w:w="4390"/>
        <w:gridCol w:w="1134"/>
        <w:gridCol w:w="1078"/>
        <w:gridCol w:w="1190"/>
        <w:gridCol w:w="1049"/>
        <w:gridCol w:w="1054"/>
      </w:tblGrid>
      <w:tr w:rsidR="00B02873" w:rsidRPr="00B02873" w14:paraId="58CEFDEE" w14:textId="77777777" w:rsidTr="00941D55">
        <w:trPr>
          <w:cnfStyle w:val="100000000000" w:firstRow="1" w:lastRow="0" w:firstColumn="0" w:lastColumn="0" w:oddVBand="0" w:evenVBand="0" w:oddHBand="0" w:evenHBand="0" w:firstRowFirstColumn="0" w:firstRowLastColumn="0" w:lastRowFirstColumn="0" w:lastRowLastColumn="0"/>
          <w:tblHeader/>
        </w:trPr>
        <w:tc>
          <w:tcPr>
            <w:tcW w:w="4390" w:type="dxa"/>
          </w:tcPr>
          <w:p w14:paraId="60BC01C1" w14:textId="77777777" w:rsidR="00B02873" w:rsidRDefault="00B02873" w:rsidP="00941D55">
            <w:pPr>
              <w:pStyle w:val="TableheadingleftFinancialsTables"/>
            </w:pPr>
            <w:r>
              <w:t>Administered items statement</w:t>
            </w:r>
          </w:p>
        </w:tc>
        <w:tc>
          <w:tcPr>
            <w:tcW w:w="1134" w:type="dxa"/>
          </w:tcPr>
          <w:p w14:paraId="279C2487" w14:textId="77777777" w:rsidR="00B02873" w:rsidRDefault="00B02873" w:rsidP="00941D55">
            <w:pPr>
              <w:pStyle w:val="TableheadingleftFinancialsTables"/>
              <w:jc w:val="right"/>
            </w:pPr>
            <w:r>
              <w:t>2021-22 Actual</w:t>
            </w:r>
            <w:r>
              <w:br/>
              <w:t>($ million)</w:t>
            </w:r>
          </w:p>
        </w:tc>
        <w:tc>
          <w:tcPr>
            <w:tcW w:w="1078" w:type="dxa"/>
          </w:tcPr>
          <w:p w14:paraId="2C321999" w14:textId="77777777" w:rsidR="00B02873" w:rsidRDefault="00B02873" w:rsidP="00941D55">
            <w:pPr>
              <w:pStyle w:val="TableheadingleftFinancialsTables"/>
              <w:jc w:val="right"/>
            </w:pPr>
            <w:r>
              <w:t xml:space="preserve">2021-22 Published Budget </w:t>
            </w:r>
            <w:r>
              <w:br/>
              <w:t>($ million)</w:t>
            </w:r>
          </w:p>
        </w:tc>
        <w:tc>
          <w:tcPr>
            <w:tcW w:w="1190" w:type="dxa"/>
          </w:tcPr>
          <w:p w14:paraId="190CD229" w14:textId="77777777" w:rsidR="00B02873" w:rsidRDefault="00B02873" w:rsidP="00941D55">
            <w:pPr>
              <w:pStyle w:val="TableheadingleftFinancialsTables"/>
              <w:jc w:val="right"/>
            </w:pPr>
            <w:r>
              <w:t xml:space="preserve">Variance </w:t>
            </w:r>
            <w:r>
              <w:br/>
              <w:t>($ million)</w:t>
            </w:r>
          </w:p>
        </w:tc>
        <w:tc>
          <w:tcPr>
            <w:tcW w:w="1049" w:type="dxa"/>
          </w:tcPr>
          <w:p w14:paraId="1BE71EA0" w14:textId="77777777" w:rsidR="00B02873" w:rsidRDefault="00B02873" w:rsidP="00941D55">
            <w:pPr>
              <w:pStyle w:val="TableheadingleftFinancialsTables"/>
              <w:jc w:val="right"/>
            </w:pPr>
            <w:r>
              <w:t xml:space="preserve">Variance </w:t>
            </w:r>
            <w:r>
              <w:br/>
              <w:t>(%)</w:t>
            </w:r>
          </w:p>
        </w:tc>
        <w:tc>
          <w:tcPr>
            <w:tcW w:w="1054" w:type="dxa"/>
          </w:tcPr>
          <w:p w14:paraId="0C8EAEA7" w14:textId="77777777" w:rsidR="00B02873" w:rsidRDefault="00B02873" w:rsidP="00941D55">
            <w:pPr>
              <w:pStyle w:val="TableheadingleftFinancialsTables"/>
              <w:jc w:val="right"/>
            </w:pPr>
            <w:r>
              <w:t>Variance</w:t>
            </w:r>
            <w:r>
              <w:br/>
              <w:t>Notes</w:t>
            </w:r>
          </w:p>
        </w:tc>
      </w:tr>
      <w:tr w:rsidR="00B02873" w:rsidRPr="00941D55" w14:paraId="71C9954A" w14:textId="77777777" w:rsidTr="00941D55">
        <w:tc>
          <w:tcPr>
            <w:tcW w:w="4390" w:type="dxa"/>
          </w:tcPr>
          <w:p w14:paraId="17F07552" w14:textId="77777777" w:rsidR="00B02873" w:rsidRPr="00941D55" w:rsidRDefault="00B02873" w:rsidP="00941D55">
            <w:pPr>
              <w:pStyle w:val="TablebodyleftFinancialsTables"/>
              <w:rPr>
                <w:rFonts w:asciiTheme="minorHAnsi" w:hAnsiTheme="minorHAnsi" w:cstheme="minorHAnsi"/>
                <w:b/>
                <w:bCs/>
              </w:rPr>
            </w:pPr>
            <w:r w:rsidRPr="00941D55">
              <w:rPr>
                <w:rFonts w:asciiTheme="minorHAnsi" w:hAnsiTheme="minorHAnsi" w:cstheme="minorHAnsi"/>
                <w:b/>
                <w:bCs/>
              </w:rPr>
              <w:t>Administered income</w:t>
            </w:r>
          </w:p>
        </w:tc>
        <w:tc>
          <w:tcPr>
            <w:tcW w:w="1134" w:type="dxa"/>
          </w:tcPr>
          <w:p w14:paraId="7ED186CE" w14:textId="77777777" w:rsidR="00B02873" w:rsidRPr="00941D55" w:rsidRDefault="00B02873" w:rsidP="00941D55">
            <w:pPr>
              <w:pStyle w:val="TablebodyleftFinancialsTables"/>
              <w:jc w:val="right"/>
              <w:rPr>
                <w:rFonts w:asciiTheme="minorHAnsi" w:hAnsiTheme="minorHAnsi" w:cstheme="minorHAnsi"/>
                <w:b/>
                <w:bCs/>
              </w:rPr>
            </w:pPr>
          </w:p>
        </w:tc>
        <w:tc>
          <w:tcPr>
            <w:tcW w:w="1078" w:type="dxa"/>
          </w:tcPr>
          <w:p w14:paraId="472D79A2" w14:textId="77777777" w:rsidR="00B02873" w:rsidRPr="00941D55" w:rsidRDefault="00B02873" w:rsidP="00941D55">
            <w:pPr>
              <w:pStyle w:val="TablebodyleftFinancialsTables"/>
              <w:jc w:val="right"/>
              <w:rPr>
                <w:rFonts w:asciiTheme="minorHAnsi" w:hAnsiTheme="minorHAnsi" w:cstheme="minorHAnsi"/>
                <w:b/>
                <w:bCs/>
              </w:rPr>
            </w:pPr>
          </w:p>
        </w:tc>
        <w:tc>
          <w:tcPr>
            <w:tcW w:w="1190" w:type="dxa"/>
          </w:tcPr>
          <w:p w14:paraId="36A00BCD" w14:textId="77777777" w:rsidR="00B02873" w:rsidRPr="00941D55" w:rsidRDefault="00B02873" w:rsidP="00941D55">
            <w:pPr>
              <w:pStyle w:val="TablebodyleftFinancialsTables"/>
              <w:jc w:val="right"/>
              <w:rPr>
                <w:rFonts w:asciiTheme="minorHAnsi" w:hAnsiTheme="minorHAnsi" w:cstheme="minorHAnsi"/>
                <w:b/>
                <w:bCs/>
              </w:rPr>
            </w:pPr>
          </w:p>
        </w:tc>
        <w:tc>
          <w:tcPr>
            <w:tcW w:w="1049" w:type="dxa"/>
          </w:tcPr>
          <w:p w14:paraId="34F18A0B" w14:textId="77777777" w:rsidR="00B02873" w:rsidRPr="00941D55" w:rsidRDefault="00B02873" w:rsidP="00941D55">
            <w:pPr>
              <w:pStyle w:val="TablebodyleftFinancialsTables"/>
              <w:jc w:val="right"/>
              <w:rPr>
                <w:rFonts w:asciiTheme="minorHAnsi" w:hAnsiTheme="minorHAnsi" w:cstheme="minorHAnsi"/>
                <w:b/>
                <w:bCs/>
              </w:rPr>
            </w:pPr>
          </w:p>
        </w:tc>
        <w:tc>
          <w:tcPr>
            <w:tcW w:w="1054" w:type="dxa"/>
          </w:tcPr>
          <w:p w14:paraId="3149A848" w14:textId="77777777" w:rsidR="00B02873" w:rsidRPr="00941D55" w:rsidRDefault="00B02873" w:rsidP="00941D55">
            <w:pPr>
              <w:pStyle w:val="TablebodyleftFinancialsTables"/>
              <w:jc w:val="right"/>
              <w:rPr>
                <w:rFonts w:asciiTheme="minorHAnsi" w:hAnsiTheme="minorHAnsi" w:cstheme="minorHAnsi"/>
                <w:b/>
                <w:bCs/>
              </w:rPr>
            </w:pPr>
          </w:p>
        </w:tc>
      </w:tr>
      <w:tr w:rsidR="00B02873" w:rsidRPr="00941D55" w14:paraId="212DFB6C" w14:textId="77777777" w:rsidTr="00941D55">
        <w:tc>
          <w:tcPr>
            <w:tcW w:w="4390" w:type="dxa"/>
          </w:tcPr>
          <w:p w14:paraId="5D712E7E" w14:textId="32892EFC" w:rsidR="00B02873" w:rsidRPr="00941D55" w:rsidRDefault="00B02873" w:rsidP="00941D55">
            <w:pPr>
              <w:pStyle w:val="TablebodyleftFinancialsTables"/>
              <w:rPr>
                <w:rFonts w:asciiTheme="minorHAnsi" w:hAnsiTheme="minorHAnsi" w:cstheme="minorHAnsi"/>
              </w:rPr>
            </w:pPr>
            <w:r w:rsidRPr="00941D55">
              <w:rPr>
                <w:rFonts w:asciiTheme="minorHAnsi" w:hAnsiTheme="minorHAnsi" w:cstheme="minorHAnsi"/>
              </w:rPr>
              <w:t>Appropriations</w:t>
            </w:r>
            <w:r w:rsidR="000C45FC" w:rsidRPr="00941D55">
              <w:rPr>
                <w:rFonts w:asciiTheme="minorHAnsi" w:hAnsiTheme="minorHAnsi" w:cstheme="minorHAnsi"/>
              </w:rPr>
              <w:t xml:space="preserve"> – </w:t>
            </w:r>
            <w:r w:rsidRPr="00941D55">
              <w:rPr>
                <w:rFonts w:asciiTheme="minorHAnsi" w:hAnsiTheme="minorHAnsi" w:cstheme="minorHAnsi"/>
              </w:rPr>
              <w:t>payments made on behalf of the State</w:t>
            </w:r>
          </w:p>
        </w:tc>
        <w:tc>
          <w:tcPr>
            <w:tcW w:w="1134" w:type="dxa"/>
          </w:tcPr>
          <w:p w14:paraId="5A11864B" w14:textId="77777777" w:rsidR="00B02873" w:rsidRPr="00941D55" w:rsidRDefault="00B02873" w:rsidP="00941D55">
            <w:pPr>
              <w:pStyle w:val="TablebodyleftFinancialsTables"/>
              <w:jc w:val="right"/>
              <w:rPr>
                <w:rFonts w:asciiTheme="minorHAnsi" w:hAnsiTheme="minorHAnsi" w:cstheme="minorHAnsi"/>
              </w:rPr>
            </w:pPr>
            <w:r w:rsidRPr="00941D55">
              <w:rPr>
                <w:rFonts w:asciiTheme="minorHAnsi" w:hAnsiTheme="minorHAnsi" w:cstheme="minorHAnsi"/>
              </w:rPr>
              <w:t>678</w:t>
            </w:r>
          </w:p>
        </w:tc>
        <w:tc>
          <w:tcPr>
            <w:tcW w:w="1078" w:type="dxa"/>
          </w:tcPr>
          <w:p w14:paraId="6D59C203" w14:textId="77777777" w:rsidR="00B02873" w:rsidRPr="00941D55" w:rsidRDefault="00B02873" w:rsidP="00941D55">
            <w:pPr>
              <w:pStyle w:val="TablebodyleftFinancialsTables"/>
              <w:jc w:val="right"/>
              <w:rPr>
                <w:rFonts w:asciiTheme="minorHAnsi" w:hAnsiTheme="minorHAnsi" w:cstheme="minorHAnsi"/>
              </w:rPr>
            </w:pPr>
            <w:r w:rsidRPr="00941D55">
              <w:rPr>
                <w:rFonts w:asciiTheme="minorHAnsi" w:hAnsiTheme="minorHAnsi" w:cstheme="minorHAnsi"/>
              </w:rPr>
              <w:t>684</w:t>
            </w:r>
          </w:p>
        </w:tc>
        <w:tc>
          <w:tcPr>
            <w:tcW w:w="1190" w:type="dxa"/>
          </w:tcPr>
          <w:p w14:paraId="2774D3F8" w14:textId="77777777" w:rsidR="00B02873" w:rsidRPr="00941D55" w:rsidRDefault="00B02873" w:rsidP="00941D55">
            <w:pPr>
              <w:pStyle w:val="TablebodyleftFinancialsTables"/>
              <w:jc w:val="right"/>
              <w:rPr>
                <w:rFonts w:asciiTheme="minorHAnsi" w:hAnsiTheme="minorHAnsi" w:cstheme="minorHAnsi"/>
              </w:rPr>
            </w:pPr>
            <w:r w:rsidRPr="00941D55">
              <w:rPr>
                <w:rFonts w:asciiTheme="minorHAnsi" w:hAnsiTheme="minorHAnsi" w:cstheme="minorHAnsi"/>
              </w:rPr>
              <w:t>(6)</w:t>
            </w:r>
          </w:p>
        </w:tc>
        <w:tc>
          <w:tcPr>
            <w:tcW w:w="1049" w:type="dxa"/>
          </w:tcPr>
          <w:p w14:paraId="47F493B4" w14:textId="77777777" w:rsidR="00B02873" w:rsidRPr="00941D55" w:rsidRDefault="00B02873" w:rsidP="00941D55">
            <w:pPr>
              <w:pStyle w:val="TablebodyleftFinancialsTables"/>
              <w:jc w:val="right"/>
              <w:rPr>
                <w:rFonts w:asciiTheme="minorHAnsi" w:hAnsiTheme="minorHAnsi" w:cstheme="minorHAnsi"/>
              </w:rPr>
            </w:pPr>
            <w:r w:rsidRPr="00941D55">
              <w:rPr>
                <w:rFonts w:asciiTheme="minorHAnsi" w:hAnsiTheme="minorHAnsi" w:cstheme="minorHAnsi"/>
              </w:rPr>
              <w:t>(1%)</w:t>
            </w:r>
          </w:p>
        </w:tc>
        <w:tc>
          <w:tcPr>
            <w:tcW w:w="1054" w:type="dxa"/>
          </w:tcPr>
          <w:p w14:paraId="0CD34C97" w14:textId="77777777" w:rsidR="00B02873" w:rsidRPr="00941D55" w:rsidRDefault="00B02873" w:rsidP="00941D55">
            <w:pPr>
              <w:pStyle w:val="TablebodyleftFinancialsTables"/>
              <w:jc w:val="right"/>
              <w:rPr>
                <w:rFonts w:asciiTheme="minorHAnsi" w:hAnsiTheme="minorHAnsi" w:cstheme="minorHAnsi"/>
              </w:rPr>
            </w:pPr>
          </w:p>
        </w:tc>
      </w:tr>
      <w:tr w:rsidR="00B02873" w:rsidRPr="00941D55" w14:paraId="730FEF5D" w14:textId="77777777" w:rsidTr="00941D55">
        <w:tc>
          <w:tcPr>
            <w:tcW w:w="4390" w:type="dxa"/>
          </w:tcPr>
          <w:p w14:paraId="7C132B68" w14:textId="77777777" w:rsidR="00B02873" w:rsidRPr="00941D55" w:rsidRDefault="00B02873" w:rsidP="00941D55">
            <w:pPr>
              <w:pStyle w:val="TablebodyleftFinancialsTables"/>
              <w:rPr>
                <w:rFonts w:asciiTheme="minorHAnsi" w:hAnsiTheme="minorHAnsi" w:cstheme="minorHAnsi"/>
              </w:rPr>
            </w:pPr>
            <w:r w:rsidRPr="00941D55">
              <w:rPr>
                <w:rFonts w:asciiTheme="minorHAnsi" w:hAnsiTheme="minorHAnsi" w:cstheme="minorHAnsi"/>
                <w:spacing w:val="-3"/>
              </w:rPr>
              <w:t>Fair value of assets and services received free of charge or for nominal consideration</w:t>
            </w:r>
          </w:p>
        </w:tc>
        <w:tc>
          <w:tcPr>
            <w:tcW w:w="1134" w:type="dxa"/>
          </w:tcPr>
          <w:p w14:paraId="0675386F" w14:textId="77777777" w:rsidR="00B02873" w:rsidRPr="00941D55" w:rsidRDefault="00B02873" w:rsidP="00941D55">
            <w:pPr>
              <w:pStyle w:val="TablebodyleftFinancialsTables"/>
              <w:jc w:val="right"/>
              <w:rPr>
                <w:rFonts w:asciiTheme="minorHAnsi" w:hAnsiTheme="minorHAnsi" w:cstheme="minorHAnsi"/>
              </w:rPr>
            </w:pPr>
            <w:r w:rsidRPr="00941D55">
              <w:rPr>
                <w:rFonts w:asciiTheme="minorHAnsi" w:hAnsiTheme="minorHAnsi" w:cstheme="minorHAnsi"/>
              </w:rPr>
              <w:t>2</w:t>
            </w:r>
          </w:p>
        </w:tc>
        <w:tc>
          <w:tcPr>
            <w:tcW w:w="1078" w:type="dxa"/>
          </w:tcPr>
          <w:p w14:paraId="5A02B358" w14:textId="77777777" w:rsidR="00B02873" w:rsidRPr="00941D55" w:rsidRDefault="00B02873" w:rsidP="00941D55">
            <w:pPr>
              <w:pStyle w:val="TablebodyleftFinancialsTables"/>
              <w:jc w:val="right"/>
              <w:rPr>
                <w:rFonts w:asciiTheme="minorHAnsi" w:hAnsiTheme="minorHAnsi" w:cstheme="minorHAnsi"/>
              </w:rPr>
            </w:pPr>
            <w:r w:rsidRPr="00941D55">
              <w:rPr>
                <w:rFonts w:asciiTheme="minorHAnsi" w:hAnsiTheme="minorHAnsi" w:cstheme="minorHAnsi"/>
              </w:rPr>
              <w:t>0</w:t>
            </w:r>
          </w:p>
        </w:tc>
        <w:tc>
          <w:tcPr>
            <w:tcW w:w="1190" w:type="dxa"/>
          </w:tcPr>
          <w:p w14:paraId="34A71993" w14:textId="77777777" w:rsidR="00B02873" w:rsidRPr="00941D55" w:rsidRDefault="00B02873" w:rsidP="00941D55">
            <w:pPr>
              <w:pStyle w:val="TablebodyleftFinancialsTables"/>
              <w:jc w:val="right"/>
              <w:rPr>
                <w:rFonts w:asciiTheme="minorHAnsi" w:hAnsiTheme="minorHAnsi" w:cstheme="minorHAnsi"/>
              </w:rPr>
            </w:pPr>
            <w:r w:rsidRPr="00941D55">
              <w:rPr>
                <w:rFonts w:asciiTheme="minorHAnsi" w:hAnsiTheme="minorHAnsi" w:cstheme="minorHAnsi"/>
              </w:rPr>
              <w:t>2</w:t>
            </w:r>
          </w:p>
        </w:tc>
        <w:tc>
          <w:tcPr>
            <w:tcW w:w="1049" w:type="dxa"/>
          </w:tcPr>
          <w:p w14:paraId="098CF7BE" w14:textId="77777777" w:rsidR="00B02873" w:rsidRPr="00941D55" w:rsidRDefault="00B02873" w:rsidP="00941D55">
            <w:pPr>
              <w:pStyle w:val="TablebodyleftFinancialsTables"/>
              <w:jc w:val="right"/>
              <w:rPr>
                <w:rFonts w:asciiTheme="minorHAnsi" w:hAnsiTheme="minorHAnsi" w:cstheme="minorHAnsi"/>
              </w:rPr>
            </w:pPr>
            <w:r w:rsidRPr="00941D55">
              <w:rPr>
                <w:rFonts w:asciiTheme="minorHAnsi" w:hAnsiTheme="minorHAnsi" w:cstheme="minorHAnsi"/>
              </w:rPr>
              <w:t>100%</w:t>
            </w:r>
          </w:p>
        </w:tc>
        <w:tc>
          <w:tcPr>
            <w:tcW w:w="1054" w:type="dxa"/>
          </w:tcPr>
          <w:p w14:paraId="0008F79D" w14:textId="77777777" w:rsidR="00B02873" w:rsidRPr="00941D55" w:rsidRDefault="00B02873" w:rsidP="00941D55">
            <w:pPr>
              <w:pStyle w:val="TablebodyleftFinancialsTables"/>
              <w:jc w:val="right"/>
              <w:rPr>
                <w:rFonts w:asciiTheme="minorHAnsi" w:hAnsiTheme="minorHAnsi" w:cstheme="minorHAnsi"/>
              </w:rPr>
            </w:pPr>
          </w:p>
        </w:tc>
      </w:tr>
      <w:tr w:rsidR="00B02873" w:rsidRPr="00941D55" w14:paraId="6043DB22" w14:textId="77777777" w:rsidTr="00941D55">
        <w:tc>
          <w:tcPr>
            <w:tcW w:w="4390" w:type="dxa"/>
          </w:tcPr>
          <w:p w14:paraId="455EBEDE" w14:textId="77777777" w:rsidR="00B02873" w:rsidRPr="00941D55" w:rsidRDefault="00B02873" w:rsidP="00941D55">
            <w:pPr>
              <w:pStyle w:val="TablebodyleftFinancialsTables"/>
              <w:rPr>
                <w:rFonts w:asciiTheme="minorHAnsi" w:hAnsiTheme="minorHAnsi" w:cstheme="minorHAnsi"/>
              </w:rPr>
            </w:pPr>
            <w:r w:rsidRPr="00941D55">
              <w:rPr>
                <w:rFonts w:asciiTheme="minorHAnsi" w:hAnsiTheme="minorHAnsi" w:cstheme="minorHAnsi"/>
              </w:rPr>
              <w:t>Sales of goods and services</w:t>
            </w:r>
          </w:p>
        </w:tc>
        <w:tc>
          <w:tcPr>
            <w:tcW w:w="1134" w:type="dxa"/>
          </w:tcPr>
          <w:p w14:paraId="5ECD2A7B" w14:textId="77777777" w:rsidR="00B02873" w:rsidRPr="00941D55" w:rsidRDefault="00B02873" w:rsidP="00941D55">
            <w:pPr>
              <w:pStyle w:val="TablebodyleftFinancialsTables"/>
              <w:jc w:val="right"/>
              <w:rPr>
                <w:rFonts w:asciiTheme="minorHAnsi" w:hAnsiTheme="minorHAnsi" w:cstheme="minorHAnsi"/>
              </w:rPr>
            </w:pPr>
            <w:r w:rsidRPr="00941D55">
              <w:rPr>
                <w:rFonts w:asciiTheme="minorHAnsi" w:hAnsiTheme="minorHAnsi" w:cstheme="minorHAnsi"/>
              </w:rPr>
              <w:t>787</w:t>
            </w:r>
          </w:p>
        </w:tc>
        <w:tc>
          <w:tcPr>
            <w:tcW w:w="1078" w:type="dxa"/>
          </w:tcPr>
          <w:p w14:paraId="7FE396BB" w14:textId="77777777" w:rsidR="00B02873" w:rsidRPr="00941D55" w:rsidRDefault="00B02873" w:rsidP="00941D55">
            <w:pPr>
              <w:pStyle w:val="TablebodyleftFinancialsTables"/>
              <w:jc w:val="right"/>
              <w:rPr>
                <w:rFonts w:asciiTheme="minorHAnsi" w:hAnsiTheme="minorHAnsi" w:cstheme="minorHAnsi"/>
              </w:rPr>
            </w:pPr>
            <w:r w:rsidRPr="00941D55">
              <w:rPr>
                <w:rFonts w:asciiTheme="minorHAnsi" w:hAnsiTheme="minorHAnsi" w:cstheme="minorHAnsi"/>
              </w:rPr>
              <w:t>627</w:t>
            </w:r>
          </w:p>
        </w:tc>
        <w:tc>
          <w:tcPr>
            <w:tcW w:w="1190" w:type="dxa"/>
          </w:tcPr>
          <w:p w14:paraId="591A9345" w14:textId="77777777" w:rsidR="00B02873" w:rsidRPr="00941D55" w:rsidRDefault="00B02873" w:rsidP="00941D55">
            <w:pPr>
              <w:pStyle w:val="TablebodyleftFinancialsTables"/>
              <w:jc w:val="right"/>
              <w:rPr>
                <w:rFonts w:asciiTheme="minorHAnsi" w:hAnsiTheme="minorHAnsi" w:cstheme="minorHAnsi"/>
              </w:rPr>
            </w:pPr>
            <w:r w:rsidRPr="00941D55">
              <w:rPr>
                <w:rFonts w:asciiTheme="minorHAnsi" w:hAnsiTheme="minorHAnsi" w:cstheme="minorHAnsi"/>
              </w:rPr>
              <w:t>160</w:t>
            </w:r>
          </w:p>
        </w:tc>
        <w:tc>
          <w:tcPr>
            <w:tcW w:w="1049" w:type="dxa"/>
          </w:tcPr>
          <w:p w14:paraId="6B90AA56" w14:textId="77777777" w:rsidR="00B02873" w:rsidRPr="00941D55" w:rsidRDefault="00B02873" w:rsidP="00941D55">
            <w:pPr>
              <w:pStyle w:val="TablebodyleftFinancialsTables"/>
              <w:jc w:val="right"/>
              <w:rPr>
                <w:rFonts w:asciiTheme="minorHAnsi" w:hAnsiTheme="minorHAnsi" w:cstheme="minorHAnsi"/>
              </w:rPr>
            </w:pPr>
            <w:r w:rsidRPr="00941D55">
              <w:rPr>
                <w:rFonts w:asciiTheme="minorHAnsi" w:hAnsiTheme="minorHAnsi" w:cstheme="minorHAnsi"/>
              </w:rPr>
              <w:t>26%</w:t>
            </w:r>
          </w:p>
        </w:tc>
        <w:tc>
          <w:tcPr>
            <w:tcW w:w="1054" w:type="dxa"/>
          </w:tcPr>
          <w:p w14:paraId="27E39124" w14:textId="77777777" w:rsidR="00B02873" w:rsidRPr="00941D55" w:rsidRDefault="00B02873" w:rsidP="00941D55">
            <w:pPr>
              <w:pStyle w:val="TablebodyleftFinancialsTables"/>
              <w:jc w:val="right"/>
              <w:rPr>
                <w:rFonts w:asciiTheme="minorHAnsi" w:hAnsiTheme="minorHAnsi" w:cstheme="minorHAnsi"/>
              </w:rPr>
            </w:pPr>
            <w:r w:rsidRPr="00941D55">
              <w:rPr>
                <w:rFonts w:asciiTheme="minorHAnsi" w:hAnsiTheme="minorHAnsi" w:cstheme="minorHAnsi"/>
              </w:rPr>
              <w:t>1</w:t>
            </w:r>
          </w:p>
        </w:tc>
      </w:tr>
      <w:tr w:rsidR="00B02873" w:rsidRPr="00941D55" w14:paraId="2018BDE9" w14:textId="77777777" w:rsidTr="00941D55">
        <w:tc>
          <w:tcPr>
            <w:tcW w:w="4390" w:type="dxa"/>
          </w:tcPr>
          <w:p w14:paraId="263A8504" w14:textId="77777777" w:rsidR="00B02873" w:rsidRPr="00941D55" w:rsidRDefault="00B02873" w:rsidP="00941D55">
            <w:pPr>
              <w:pStyle w:val="TablebodyleftFinancialsTables"/>
              <w:rPr>
                <w:rFonts w:asciiTheme="minorHAnsi" w:hAnsiTheme="minorHAnsi" w:cstheme="minorHAnsi"/>
              </w:rPr>
            </w:pPr>
            <w:r w:rsidRPr="00941D55">
              <w:rPr>
                <w:rFonts w:asciiTheme="minorHAnsi" w:hAnsiTheme="minorHAnsi" w:cstheme="minorHAnsi"/>
              </w:rPr>
              <w:t>Grants</w:t>
            </w:r>
          </w:p>
        </w:tc>
        <w:tc>
          <w:tcPr>
            <w:tcW w:w="1134" w:type="dxa"/>
          </w:tcPr>
          <w:p w14:paraId="2E0D9FE1" w14:textId="77777777" w:rsidR="00B02873" w:rsidRPr="00941D55" w:rsidRDefault="00B02873" w:rsidP="00941D55">
            <w:pPr>
              <w:pStyle w:val="TablebodyleftFinancialsTables"/>
              <w:jc w:val="right"/>
              <w:rPr>
                <w:rFonts w:asciiTheme="minorHAnsi" w:hAnsiTheme="minorHAnsi" w:cstheme="minorHAnsi"/>
              </w:rPr>
            </w:pPr>
            <w:r w:rsidRPr="00941D55">
              <w:rPr>
                <w:rFonts w:asciiTheme="minorHAnsi" w:hAnsiTheme="minorHAnsi" w:cstheme="minorHAnsi"/>
              </w:rPr>
              <w:t>1</w:t>
            </w:r>
          </w:p>
        </w:tc>
        <w:tc>
          <w:tcPr>
            <w:tcW w:w="1078" w:type="dxa"/>
          </w:tcPr>
          <w:p w14:paraId="5BBB41C5" w14:textId="77777777" w:rsidR="00B02873" w:rsidRPr="00941D55" w:rsidRDefault="00B02873" w:rsidP="00941D55">
            <w:pPr>
              <w:pStyle w:val="TablebodyleftFinancialsTables"/>
              <w:jc w:val="right"/>
              <w:rPr>
                <w:rFonts w:asciiTheme="minorHAnsi" w:hAnsiTheme="minorHAnsi" w:cstheme="minorHAnsi"/>
              </w:rPr>
            </w:pPr>
            <w:r w:rsidRPr="00941D55">
              <w:rPr>
                <w:rFonts w:asciiTheme="minorHAnsi" w:hAnsiTheme="minorHAnsi" w:cstheme="minorHAnsi"/>
              </w:rPr>
              <w:t>0</w:t>
            </w:r>
          </w:p>
        </w:tc>
        <w:tc>
          <w:tcPr>
            <w:tcW w:w="1190" w:type="dxa"/>
          </w:tcPr>
          <w:p w14:paraId="39D703E6" w14:textId="77777777" w:rsidR="00B02873" w:rsidRPr="00941D55" w:rsidRDefault="00B02873" w:rsidP="00941D55">
            <w:pPr>
              <w:pStyle w:val="TablebodyleftFinancialsTables"/>
              <w:jc w:val="right"/>
              <w:rPr>
                <w:rFonts w:asciiTheme="minorHAnsi" w:hAnsiTheme="minorHAnsi" w:cstheme="minorHAnsi"/>
              </w:rPr>
            </w:pPr>
            <w:r w:rsidRPr="00941D55">
              <w:rPr>
                <w:rFonts w:asciiTheme="minorHAnsi" w:hAnsiTheme="minorHAnsi" w:cstheme="minorHAnsi"/>
              </w:rPr>
              <w:t>1</w:t>
            </w:r>
          </w:p>
        </w:tc>
        <w:tc>
          <w:tcPr>
            <w:tcW w:w="1049" w:type="dxa"/>
          </w:tcPr>
          <w:p w14:paraId="08BD6686" w14:textId="77777777" w:rsidR="00B02873" w:rsidRPr="00941D55" w:rsidRDefault="00B02873" w:rsidP="00941D55">
            <w:pPr>
              <w:pStyle w:val="TablebodyleftFinancialsTables"/>
              <w:jc w:val="right"/>
              <w:rPr>
                <w:rFonts w:asciiTheme="minorHAnsi" w:hAnsiTheme="minorHAnsi" w:cstheme="minorHAnsi"/>
              </w:rPr>
            </w:pPr>
            <w:r w:rsidRPr="00941D55">
              <w:rPr>
                <w:rFonts w:asciiTheme="minorHAnsi" w:hAnsiTheme="minorHAnsi" w:cstheme="minorHAnsi"/>
              </w:rPr>
              <w:t>100%</w:t>
            </w:r>
          </w:p>
        </w:tc>
        <w:tc>
          <w:tcPr>
            <w:tcW w:w="1054" w:type="dxa"/>
          </w:tcPr>
          <w:p w14:paraId="6512DF98" w14:textId="77777777" w:rsidR="00B02873" w:rsidRPr="00941D55" w:rsidRDefault="00B02873" w:rsidP="00941D55">
            <w:pPr>
              <w:pStyle w:val="TablebodyleftFinancialsTables"/>
              <w:jc w:val="right"/>
              <w:rPr>
                <w:rFonts w:asciiTheme="minorHAnsi" w:hAnsiTheme="minorHAnsi" w:cstheme="minorHAnsi"/>
              </w:rPr>
            </w:pPr>
          </w:p>
        </w:tc>
      </w:tr>
      <w:tr w:rsidR="00B02873" w:rsidRPr="00941D55" w14:paraId="3A77FCD8" w14:textId="77777777" w:rsidTr="00941D55">
        <w:tc>
          <w:tcPr>
            <w:tcW w:w="4390" w:type="dxa"/>
          </w:tcPr>
          <w:p w14:paraId="703A5880" w14:textId="77777777" w:rsidR="00B02873" w:rsidRPr="00941D55" w:rsidRDefault="00B02873" w:rsidP="00941D55">
            <w:pPr>
              <w:pStyle w:val="TablebodyleftFinancialsTables"/>
              <w:rPr>
                <w:rFonts w:asciiTheme="minorHAnsi" w:hAnsiTheme="minorHAnsi" w:cstheme="minorHAnsi"/>
              </w:rPr>
            </w:pPr>
            <w:r w:rsidRPr="00941D55">
              <w:rPr>
                <w:rFonts w:asciiTheme="minorHAnsi" w:hAnsiTheme="minorHAnsi" w:cstheme="minorHAnsi"/>
              </w:rPr>
              <w:t>Interest</w:t>
            </w:r>
          </w:p>
        </w:tc>
        <w:tc>
          <w:tcPr>
            <w:tcW w:w="1134" w:type="dxa"/>
          </w:tcPr>
          <w:p w14:paraId="096223EF" w14:textId="77777777" w:rsidR="00B02873" w:rsidRPr="00941D55" w:rsidRDefault="00B02873" w:rsidP="00941D55">
            <w:pPr>
              <w:pStyle w:val="TablebodyleftFinancialsTables"/>
              <w:jc w:val="right"/>
              <w:rPr>
                <w:rFonts w:asciiTheme="minorHAnsi" w:hAnsiTheme="minorHAnsi" w:cstheme="minorHAnsi"/>
              </w:rPr>
            </w:pPr>
            <w:r w:rsidRPr="00941D55">
              <w:rPr>
                <w:rFonts w:asciiTheme="minorHAnsi" w:hAnsiTheme="minorHAnsi" w:cstheme="minorHAnsi"/>
              </w:rPr>
              <w:t>401</w:t>
            </w:r>
          </w:p>
        </w:tc>
        <w:tc>
          <w:tcPr>
            <w:tcW w:w="1078" w:type="dxa"/>
          </w:tcPr>
          <w:p w14:paraId="15093E00" w14:textId="77777777" w:rsidR="00B02873" w:rsidRPr="00941D55" w:rsidRDefault="00B02873" w:rsidP="00941D55">
            <w:pPr>
              <w:pStyle w:val="TablebodyleftFinancialsTables"/>
              <w:jc w:val="right"/>
              <w:rPr>
                <w:rFonts w:asciiTheme="minorHAnsi" w:hAnsiTheme="minorHAnsi" w:cstheme="minorHAnsi"/>
              </w:rPr>
            </w:pPr>
            <w:r w:rsidRPr="00941D55">
              <w:rPr>
                <w:rFonts w:asciiTheme="minorHAnsi" w:hAnsiTheme="minorHAnsi" w:cstheme="minorHAnsi"/>
              </w:rPr>
              <w:t>407</w:t>
            </w:r>
          </w:p>
        </w:tc>
        <w:tc>
          <w:tcPr>
            <w:tcW w:w="1190" w:type="dxa"/>
          </w:tcPr>
          <w:p w14:paraId="1E9C45FE" w14:textId="77777777" w:rsidR="00B02873" w:rsidRPr="00941D55" w:rsidRDefault="00B02873" w:rsidP="00941D55">
            <w:pPr>
              <w:pStyle w:val="TablebodyleftFinancialsTables"/>
              <w:jc w:val="right"/>
              <w:rPr>
                <w:rFonts w:asciiTheme="minorHAnsi" w:hAnsiTheme="minorHAnsi" w:cstheme="minorHAnsi"/>
              </w:rPr>
            </w:pPr>
            <w:r w:rsidRPr="00941D55">
              <w:rPr>
                <w:rFonts w:asciiTheme="minorHAnsi" w:hAnsiTheme="minorHAnsi" w:cstheme="minorHAnsi"/>
              </w:rPr>
              <w:t>(6)</w:t>
            </w:r>
          </w:p>
        </w:tc>
        <w:tc>
          <w:tcPr>
            <w:tcW w:w="1049" w:type="dxa"/>
          </w:tcPr>
          <w:p w14:paraId="6C35D964" w14:textId="77777777" w:rsidR="00B02873" w:rsidRPr="00941D55" w:rsidRDefault="00B02873" w:rsidP="00941D55">
            <w:pPr>
              <w:pStyle w:val="TablebodyleftFinancialsTables"/>
              <w:jc w:val="right"/>
              <w:rPr>
                <w:rFonts w:asciiTheme="minorHAnsi" w:hAnsiTheme="minorHAnsi" w:cstheme="minorHAnsi"/>
              </w:rPr>
            </w:pPr>
            <w:r w:rsidRPr="00941D55">
              <w:rPr>
                <w:rFonts w:asciiTheme="minorHAnsi" w:hAnsiTheme="minorHAnsi" w:cstheme="minorHAnsi"/>
              </w:rPr>
              <w:t>(1%)</w:t>
            </w:r>
          </w:p>
        </w:tc>
        <w:tc>
          <w:tcPr>
            <w:tcW w:w="1054" w:type="dxa"/>
          </w:tcPr>
          <w:p w14:paraId="68E1D367" w14:textId="77777777" w:rsidR="00B02873" w:rsidRPr="00941D55" w:rsidRDefault="00B02873" w:rsidP="00941D55">
            <w:pPr>
              <w:pStyle w:val="TablebodyleftFinancialsTables"/>
              <w:jc w:val="right"/>
              <w:rPr>
                <w:rFonts w:asciiTheme="minorHAnsi" w:hAnsiTheme="minorHAnsi" w:cstheme="minorHAnsi"/>
              </w:rPr>
            </w:pPr>
          </w:p>
        </w:tc>
      </w:tr>
      <w:tr w:rsidR="00B02873" w:rsidRPr="00941D55" w14:paraId="0C7B25CC" w14:textId="77777777" w:rsidTr="00941D55">
        <w:tc>
          <w:tcPr>
            <w:tcW w:w="4390" w:type="dxa"/>
          </w:tcPr>
          <w:p w14:paraId="282BCFEC" w14:textId="77777777" w:rsidR="00B02873" w:rsidRPr="00941D55" w:rsidRDefault="00B02873" w:rsidP="00941D55">
            <w:pPr>
              <w:pStyle w:val="TablebodyleftFinancialsTables"/>
              <w:rPr>
                <w:rFonts w:asciiTheme="minorHAnsi" w:hAnsiTheme="minorHAnsi" w:cstheme="minorHAnsi"/>
              </w:rPr>
            </w:pPr>
            <w:r w:rsidRPr="00941D55">
              <w:rPr>
                <w:rFonts w:asciiTheme="minorHAnsi" w:hAnsiTheme="minorHAnsi" w:cstheme="minorHAnsi"/>
              </w:rPr>
              <w:t xml:space="preserve">Other income </w:t>
            </w:r>
          </w:p>
        </w:tc>
        <w:tc>
          <w:tcPr>
            <w:tcW w:w="1134" w:type="dxa"/>
          </w:tcPr>
          <w:p w14:paraId="33D46854" w14:textId="77777777" w:rsidR="00B02873" w:rsidRPr="00941D55" w:rsidRDefault="00B02873" w:rsidP="00941D55">
            <w:pPr>
              <w:pStyle w:val="TablebodyleftFinancialsTables"/>
              <w:jc w:val="right"/>
              <w:rPr>
                <w:rFonts w:asciiTheme="minorHAnsi" w:hAnsiTheme="minorHAnsi" w:cstheme="minorHAnsi"/>
              </w:rPr>
            </w:pPr>
            <w:r w:rsidRPr="00941D55">
              <w:rPr>
                <w:rFonts w:asciiTheme="minorHAnsi" w:hAnsiTheme="minorHAnsi" w:cstheme="minorHAnsi"/>
              </w:rPr>
              <w:t>344</w:t>
            </w:r>
          </w:p>
        </w:tc>
        <w:tc>
          <w:tcPr>
            <w:tcW w:w="1078" w:type="dxa"/>
          </w:tcPr>
          <w:p w14:paraId="76B31EF3" w14:textId="77777777" w:rsidR="00B02873" w:rsidRPr="00941D55" w:rsidRDefault="00B02873" w:rsidP="00941D55">
            <w:pPr>
              <w:pStyle w:val="TablebodyleftFinancialsTables"/>
              <w:jc w:val="right"/>
              <w:rPr>
                <w:rFonts w:asciiTheme="minorHAnsi" w:hAnsiTheme="minorHAnsi" w:cstheme="minorHAnsi"/>
              </w:rPr>
            </w:pPr>
            <w:r w:rsidRPr="00941D55">
              <w:rPr>
                <w:rFonts w:asciiTheme="minorHAnsi" w:hAnsiTheme="minorHAnsi" w:cstheme="minorHAnsi"/>
              </w:rPr>
              <w:t>342</w:t>
            </w:r>
          </w:p>
        </w:tc>
        <w:tc>
          <w:tcPr>
            <w:tcW w:w="1190" w:type="dxa"/>
          </w:tcPr>
          <w:p w14:paraId="50B75892" w14:textId="77777777" w:rsidR="00B02873" w:rsidRPr="00941D55" w:rsidRDefault="00B02873" w:rsidP="00941D55">
            <w:pPr>
              <w:pStyle w:val="TablebodyleftFinancialsTables"/>
              <w:jc w:val="right"/>
              <w:rPr>
                <w:rFonts w:asciiTheme="minorHAnsi" w:hAnsiTheme="minorHAnsi" w:cstheme="minorHAnsi"/>
              </w:rPr>
            </w:pPr>
            <w:r w:rsidRPr="00941D55">
              <w:rPr>
                <w:rFonts w:asciiTheme="minorHAnsi" w:hAnsiTheme="minorHAnsi" w:cstheme="minorHAnsi"/>
              </w:rPr>
              <w:t>2</w:t>
            </w:r>
          </w:p>
        </w:tc>
        <w:tc>
          <w:tcPr>
            <w:tcW w:w="1049" w:type="dxa"/>
          </w:tcPr>
          <w:p w14:paraId="24CDC277" w14:textId="77777777" w:rsidR="00B02873" w:rsidRPr="00941D55" w:rsidRDefault="00B02873" w:rsidP="00941D55">
            <w:pPr>
              <w:pStyle w:val="TablebodyleftFinancialsTables"/>
              <w:jc w:val="right"/>
              <w:rPr>
                <w:rFonts w:asciiTheme="minorHAnsi" w:hAnsiTheme="minorHAnsi" w:cstheme="minorHAnsi"/>
              </w:rPr>
            </w:pPr>
            <w:r w:rsidRPr="00941D55">
              <w:rPr>
                <w:rFonts w:asciiTheme="minorHAnsi" w:hAnsiTheme="minorHAnsi" w:cstheme="minorHAnsi"/>
              </w:rPr>
              <w:t>1%</w:t>
            </w:r>
          </w:p>
        </w:tc>
        <w:tc>
          <w:tcPr>
            <w:tcW w:w="1054" w:type="dxa"/>
          </w:tcPr>
          <w:p w14:paraId="04AA1884" w14:textId="77777777" w:rsidR="00B02873" w:rsidRPr="00941D55" w:rsidRDefault="00B02873" w:rsidP="00941D55">
            <w:pPr>
              <w:pStyle w:val="TablebodyleftFinancialsTables"/>
              <w:jc w:val="right"/>
              <w:rPr>
                <w:rFonts w:asciiTheme="minorHAnsi" w:hAnsiTheme="minorHAnsi" w:cstheme="minorHAnsi"/>
              </w:rPr>
            </w:pPr>
          </w:p>
        </w:tc>
      </w:tr>
      <w:tr w:rsidR="00B02873" w:rsidRPr="00941D55" w14:paraId="63663ECB" w14:textId="77777777" w:rsidTr="00941D55">
        <w:tc>
          <w:tcPr>
            <w:tcW w:w="4390" w:type="dxa"/>
          </w:tcPr>
          <w:p w14:paraId="6B65AC2B" w14:textId="77777777" w:rsidR="00B02873" w:rsidRPr="00941D55" w:rsidRDefault="00B02873" w:rsidP="00941D55">
            <w:pPr>
              <w:pStyle w:val="TablebodyleftFinancialsTables"/>
              <w:rPr>
                <w:rFonts w:asciiTheme="minorHAnsi" w:hAnsiTheme="minorHAnsi" w:cstheme="minorHAnsi"/>
                <w:b/>
                <w:bCs/>
              </w:rPr>
            </w:pPr>
            <w:r w:rsidRPr="00941D55">
              <w:rPr>
                <w:rFonts w:asciiTheme="minorHAnsi" w:hAnsiTheme="minorHAnsi" w:cstheme="minorHAnsi"/>
                <w:b/>
                <w:bCs/>
              </w:rPr>
              <w:t>Total administered income</w:t>
            </w:r>
          </w:p>
        </w:tc>
        <w:tc>
          <w:tcPr>
            <w:tcW w:w="1134" w:type="dxa"/>
          </w:tcPr>
          <w:p w14:paraId="368ADC24" w14:textId="77777777" w:rsidR="00B02873" w:rsidRPr="00941D55" w:rsidRDefault="00B02873" w:rsidP="00941D55">
            <w:pPr>
              <w:pStyle w:val="TablebodyleftFinancialsTables"/>
              <w:jc w:val="right"/>
              <w:rPr>
                <w:rFonts w:asciiTheme="minorHAnsi" w:hAnsiTheme="minorHAnsi" w:cstheme="minorHAnsi"/>
                <w:b/>
                <w:bCs/>
              </w:rPr>
            </w:pPr>
            <w:r w:rsidRPr="00941D55">
              <w:rPr>
                <w:rFonts w:asciiTheme="minorHAnsi" w:hAnsiTheme="minorHAnsi" w:cstheme="minorHAnsi"/>
                <w:b/>
                <w:bCs/>
              </w:rPr>
              <w:t>2,213</w:t>
            </w:r>
          </w:p>
        </w:tc>
        <w:tc>
          <w:tcPr>
            <w:tcW w:w="1078" w:type="dxa"/>
          </w:tcPr>
          <w:p w14:paraId="082C27EC" w14:textId="77777777" w:rsidR="00B02873" w:rsidRPr="00941D55" w:rsidRDefault="00B02873" w:rsidP="00941D55">
            <w:pPr>
              <w:pStyle w:val="TablebodyleftFinancialsTables"/>
              <w:jc w:val="right"/>
              <w:rPr>
                <w:rFonts w:asciiTheme="minorHAnsi" w:hAnsiTheme="minorHAnsi" w:cstheme="minorHAnsi"/>
                <w:b/>
                <w:bCs/>
              </w:rPr>
            </w:pPr>
            <w:r w:rsidRPr="00941D55">
              <w:rPr>
                <w:rFonts w:asciiTheme="minorHAnsi" w:hAnsiTheme="minorHAnsi" w:cstheme="minorHAnsi"/>
                <w:b/>
                <w:bCs/>
              </w:rPr>
              <w:t>2,060</w:t>
            </w:r>
          </w:p>
        </w:tc>
        <w:tc>
          <w:tcPr>
            <w:tcW w:w="1190" w:type="dxa"/>
          </w:tcPr>
          <w:p w14:paraId="21045038" w14:textId="77777777" w:rsidR="00B02873" w:rsidRPr="00941D55" w:rsidRDefault="00B02873" w:rsidP="00941D55">
            <w:pPr>
              <w:pStyle w:val="TablebodyleftFinancialsTables"/>
              <w:jc w:val="right"/>
              <w:rPr>
                <w:rFonts w:asciiTheme="minorHAnsi" w:hAnsiTheme="minorHAnsi" w:cstheme="minorHAnsi"/>
                <w:b/>
                <w:bCs/>
              </w:rPr>
            </w:pPr>
            <w:r w:rsidRPr="00941D55">
              <w:rPr>
                <w:rFonts w:asciiTheme="minorHAnsi" w:hAnsiTheme="minorHAnsi" w:cstheme="minorHAnsi"/>
                <w:b/>
                <w:bCs/>
              </w:rPr>
              <w:t>153</w:t>
            </w:r>
          </w:p>
        </w:tc>
        <w:tc>
          <w:tcPr>
            <w:tcW w:w="1049" w:type="dxa"/>
          </w:tcPr>
          <w:p w14:paraId="3D8632C2" w14:textId="77777777" w:rsidR="00B02873" w:rsidRPr="00941D55" w:rsidRDefault="00B02873" w:rsidP="00941D55">
            <w:pPr>
              <w:pStyle w:val="TablebodyleftFinancialsTables"/>
              <w:jc w:val="right"/>
              <w:rPr>
                <w:rFonts w:asciiTheme="minorHAnsi" w:hAnsiTheme="minorHAnsi" w:cstheme="minorHAnsi"/>
                <w:b/>
                <w:bCs/>
              </w:rPr>
            </w:pPr>
            <w:r w:rsidRPr="00941D55">
              <w:rPr>
                <w:rFonts w:asciiTheme="minorHAnsi" w:hAnsiTheme="minorHAnsi" w:cstheme="minorHAnsi"/>
                <w:b/>
                <w:bCs/>
              </w:rPr>
              <w:t>7%</w:t>
            </w:r>
          </w:p>
        </w:tc>
        <w:tc>
          <w:tcPr>
            <w:tcW w:w="1054" w:type="dxa"/>
          </w:tcPr>
          <w:p w14:paraId="60562214" w14:textId="77777777" w:rsidR="00B02873" w:rsidRPr="00941D55" w:rsidRDefault="00B02873" w:rsidP="00941D55">
            <w:pPr>
              <w:pStyle w:val="TablebodyleftFinancialsTables"/>
              <w:jc w:val="right"/>
              <w:rPr>
                <w:rFonts w:asciiTheme="minorHAnsi" w:hAnsiTheme="minorHAnsi" w:cstheme="minorHAnsi"/>
                <w:b/>
                <w:bCs/>
              </w:rPr>
            </w:pPr>
          </w:p>
        </w:tc>
      </w:tr>
      <w:tr w:rsidR="00B02873" w:rsidRPr="00941D55" w14:paraId="292513A0" w14:textId="77777777" w:rsidTr="00941D55">
        <w:tc>
          <w:tcPr>
            <w:tcW w:w="4390" w:type="dxa"/>
          </w:tcPr>
          <w:p w14:paraId="6483D04E" w14:textId="77777777" w:rsidR="00B02873" w:rsidRPr="00941D55" w:rsidRDefault="00B02873" w:rsidP="00941D55">
            <w:pPr>
              <w:pStyle w:val="TablebodyleftFinancialsTables"/>
              <w:rPr>
                <w:rFonts w:asciiTheme="minorHAnsi" w:hAnsiTheme="minorHAnsi" w:cstheme="minorHAnsi"/>
                <w:b/>
                <w:bCs/>
              </w:rPr>
            </w:pPr>
            <w:r w:rsidRPr="00941D55">
              <w:rPr>
                <w:rFonts w:asciiTheme="minorHAnsi" w:hAnsiTheme="minorHAnsi" w:cstheme="minorHAnsi"/>
                <w:b/>
                <w:bCs/>
              </w:rPr>
              <w:t>Administered expenses</w:t>
            </w:r>
          </w:p>
        </w:tc>
        <w:tc>
          <w:tcPr>
            <w:tcW w:w="1134" w:type="dxa"/>
          </w:tcPr>
          <w:p w14:paraId="2FDB2305" w14:textId="77777777" w:rsidR="00B02873" w:rsidRPr="00941D55" w:rsidRDefault="00B02873" w:rsidP="00941D55">
            <w:pPr>
              <w:pStyle w:val="TablebodyleftFinancialsTables"/>
              <w:jc w:val="right"/>
              <w:rPr>
                <w:rFonts w:asciiTheme="minorHAnsi" w:hAnsiTheme="minorHAnsi" w:cstheme="minorHAnsi"/>
                <w:b/>
                <w:bCs/>
              </w:rPr>
            </w:pPr>
          </w:p>
        </w:tc>
        <w:tc>
          <w:tcPr>
            <w:tcW w:w="1078" w:type="dxa"/>
          </w:tcPr>
          <w:p w14:paraId="04DB32C3" w14:textId="77777777" w:rsidR="00B02873" w:rsidRPr="00941D55" w:rsidRDefault="00B02873" w:rsidP="00941D55">
            <w:pPr>
              <w:pStyle w:val="TablebodyleftFinancialsTables"/>
              <w:jc w:val="right"/>
              <w:rPr>
                <w:rFonts w:asciiTheme="minorHAnsi" w:hAnsiTheme="minorHAnsi" w:cstheme="minorHAnsi"/>
                <w:b/>
                <w:bCs/>
              </w:rPr>
            </w:pPr>
          </w:p>
        </w:tc>
        <w:tc>
          <w:tcPr>
            <w:tcW w:w="1190" w:type="dxa"/>
          </w:tcPr>
          <w:p w14:paraId="6837224D" w14:textId="77777777" w:rsidR="00B02873" w:rsidRPr="00941D55" w:rsidRDefault="00B02873" w:rsidP="00941D55">
            <w:pPr>
              <w:pStyle w:val="TablebodyleftFinancialsTables"/>
              <w:jc w:val="right"/>
              <w:rPr>
                <w:rFonts w:asciiTheme="minorHAnsi" w:hAnsiTheme="minorHAnsi" w:cstheme="minorHAnsi"/>
                <w:b/>
                <w:bCs/>
              </w:rPr>
            </w:pPr>
          </w:p>
        </w:tc>
        <w:tc>
          <w:tcPr>
            <w:tcW w:w="1049" w:type="dxa"/>
          </w:tcPr>
          <w:p w14:paraId="262BDE68" w14:textId="77777777" w:rsidR="00B02873" w:rsidRPr="00941D55" w:rsidRDefault="00B02873" w:rsidP="00941D55">
            <w:pPr>
              <w:pStyle w:val="TablebodyleftFinancialsTables"/>
              <w:jc w:val="right"/>
              <w:rPr>
                <w:rFonts w:asciiTheme="minorHAnsi" w:hAnsiTheme="minorHAnsi" w:cstheme="minorHAnsi"/>
                <w:b/>
                <w:bCs/>
              </w:rPr>
            </w:pPr>
          </w:p>
        </w:tc>
        <w:tc>
          <w:tcPr>
            <w:tcW w:w="1054" w:type="dxa"/>
          </w:tcPr>
          <w:p w14:paraId="7C000DF9" w14:textId="77777777" w:rsidR="00B02873" w:rsidRPr="00941D55" w:rsidRDefault="00B02873" w:rsidP="00941D55">
            <w:pPr>
              <w:pStyle w:val="TablebodyleftFinancialsTables"/>
              <w:jc w:val="right"/>
              <w:rPr>
                <w:rFonts w:asciiTheme="minorHAnsi" w:hAnsiTheme="minorHAnsi" w:cstheme="minorHAnsi"/>
                <w:b/>
                <w:bCs/>
              </w:rPr>
            </w:pPr>
          </w:p>
        </w:tc>
      </w:tr>
      <w:tr w:rsidR="00B02873" w:rsidRPr="00941D55" w14:paraId="0C9CD5EA" w14:textId="77777777" w:rsidTr="00941D55">
        <w:tc>
          <w:tcPr>
            <w:tcW w:w="4390" w:type="dxa"/>
          </w:tcPr>
          <w:p w14:paraId="0E6EB8DF" w14:textId="77777777" w:rsidR="00B02873" w:rsidRPr="00941D55" w:rsidRDefault="00B02873" w:rsidP="00941D55">
            <w:pPr>
              <w:pStyle w:val="TablebodyleftFinancialsTables"/>
              <w:rPr>
                <w:rFonts w:asciiTheme="minorHAnsi" w:hAnsiTheme="minorHAnsi" w:cstheme="minorHAnsi"/>
              </w:rPr>
            </w:pPr>
            <w:r w:rsidRPr="00941D55">
              <w:rPr>
                <w:rFonts w:asciiTheme="minorHAnsi" w:hAnsiTheme="minorHAnsi" w:cstheme="minorHAnsi"/>
              </w:rPr>
              <w:t xml:space="preserve">Expenses on behalf of the State </w:t>
            </w:r>
          </w:p>
        </w:tc>
        <w:tc>
          <w:tcPr>
            <w:tcW w:w="1134" w:type="dxa"/>
          </w:tcPr>
          <w:p w14:paraId="48B6EB06" w14:textId="77777777" w:rsidR="00B02873" w:rsidRPr="00941D55" w:rsidRDefault="00B02873" w:rsidP="00941D55">
            <w:pPr>
              <w:pStyle w:val="TablebodyleftFinancialsTables"/>
              <w:jc w:val="right"/>
              <w:rPr>
                <w:rFonts w:asciiTheme="minorHAnsi" w:hAnsiTheme="minorHAnsi" w:cstheme="minorHAnsi"/>
              </w:rPr>
            </w:pPr>
            <w:r w:rsidRPr="00941D55">
              <w:rPr>
                <w:rFonts w:asciiTheme="minorHAnsi" w:hAnsiTheme="minorHAnsi" w:cstheme="minorHAnsi"/>
              </w:rPr>
              <w:t>250</w:t>
            </w:r>
          </w:p>
        </w:tc>
        <w:tc>
          <w:tcPr>
            <w:tcW w:w="1078" w:type="dxa"/>
          </w:tcPr>
          <w:p w14:paraId="2C631EDF" w14:textId="77777777" w:rsidR="00B02873" w:rsidRPr="00941D55" w:rsidRDefault="00B02873" w:rsidP="00941D55">
            <w:pPr>
              <w:pStyle w:val="TablebodyleftFinancialsTables"/>
              <w:jc w:val="right"/>
              <w:rPr>
                <w:rFonts w:asciiTheme="minorHAnsi" w:hAnsiTheme="minorHAnsi" w:cstheme="minorHAnsi"/>
              </w:rPr>
            </w:pPr>
            <w:r w:rsidRPr="00941D55">
              <w:rPr>
                <w:rFonts w:asciiTheme="minorHAnsi" w:hAnsiTheme="minorHAnsi" w:cstheme="minorHAnsi"/>
              </w:rPr>
              <w:t>198</w:t>
            </w:r>
          </w:p>
        </w:tc>
        <w:tc>
          <w:tcPr>
            <w:tcW w:w="1190" w:type="dxa"/>
          </w:tcPr>
          <w:p w14:paraId="71A414BF" w14:textId="77777777" w:rsidR="00B02873" w:rsidRPr="00941D55" w:rsidRDefault="00B02873" w:rsidP="00941D55">
            <w:pPr>
              <w:pStyle w:val="TablebodyleftFinancialsTables"/>
              <w:jc w:val="right"/>
              <w:rPr>
                <w:rFonts w:asciiTheme="minorHAnsi" w:hAnsiTheme="minorHAnsi" w:cstheme="minorHAnsi"/>
              </w:rPr>
            </w:pPr>
            <w:r w:rsidRPr="00941D55">
              <w:rPr>
                <w:rFonts w:asciiTheme="minorHAnsi" w:hAnsiTheme="minorHAnsi" w:cstheme="minorHAnsi"/>
              </w:rPr>
              <w:t>52</w:t>
            </w:r>
          </w:p>
        </w:tc>
        <w:tc>
          <w:tcPr>
            <w:tcW w:w="1049" w:type="dxa"/>
          </w:tcPr>
          <w:p w14:paraId="3EBCC505" w14:textId="77777777" w:rsidR="00B02873" w:rsidRPr="00941D55" w:rsidRDefault="00B02873" w:rsidP="00941D55">
            <w:pPr>
              <w:pStyle w:val="TablebodyleftFinancialsTables"/>
              <w:jc w:val="right"/>
              <w:rPr>
                <w:rFonts w:asciiTheme="minorHAnsi" w:hAnsiTheme="minorHAnsi" w:cstheme="minorHAnsi"/>
              </w:rPr>
            </w:pPr>
            <w:r w:rsidRPr="00941D55">
              <w:rPr>
                <w:rFonts w:asciiTheme="minorHAnsi" w:hAnsiTheme="minorHAnsi" w:cstheme="minorHAnsi"/>
              </w:rPr>
              <w:t>26%</w:t>
            </w:r>
          </w:p>
        </w:tc>
        <w:tc>
          <w:tcPr>
            <w:tcW w:w="1054" w:type="dxa"/>
          </w:tcPr>
          <w:p w14:paraId="6ADF1E5D" w14:textId="77777777" w:rsidR="00B02873" w:rsidRPr="00941D55" w:rsidRDefault="00B02873" w:rsidP="00941D55">
            <w:pPr>
              <w:pStyle w:val="TablebodyleftFinancialsTables"/>
              <w:jc w:val="right"/>
              <w:rPr>
                <w:rFonts w:asciiTheme="minorHAnsi" w:hAnsiTheme="minorHAnsi" w:cstheme="minorHAnsi"/>
              </w:rPr>
            </w:pPr>
            <w:r w:rsidRPr="00941D55">
              <w:rPr>
                <w:rFonts w:asciiTheme="minorHAnsi" w:hAnsiTheme="minorHAnsi" w:cstheme="minorHAnsi"/>
              </w:rPr>
              <w:t>2</w:t>
            </w:r>
          </w:p>
        </w:tc>
      </w:tr>
      <w:tr w:rsidR="00B02873" w:rsidRPr="00941D55" w14:paraId="04B53028" w14:textId="77777777" w:rsidTr="00941D55">
        <w:tc>
          <w:tcPr>
            <w:tcW w:w="4390" w:type="dxa"/>
          </w:tcPr>
          <w:p w14:paraId="77C73CDC" w14:textId="77777777" w:rsidR="00B02873" w:rsidRPr="00941D55" w:rsidRDefault="00B02873" w:rsidP="00941D55">
            <w:pPr>
              <w:pStyle w:val="TablebodyleftFinancialsTables"/>
              <w:rPr>
                <w:rFonts w:asciiTheme="minorHAnsi" w:hAnsiTheme="minorHAnsi" w:cstheme="minorHAnsi"/>
              </w:rPr>
            </w:pPr>
            <w:r w:rsidRPr="00941D55">
              <w:rPr>
                <w:rFonts w:asciiTheme="minorHAnsi" w:hAnsiTheme="minorHAnsi" w:cstheme="minorHAnsi"/>
              </w:rPr>
              <w:t>Grants and other transfers</w:t>
            </w:r>
          </w:p>
        </w:tc>
        <w:tc>
          <w:tcPr>
            <w:tcW w:w="1134" w:type="dxa"/>
          </w:tcPr>
          <w:p w14:paraId="3176AF5F" w14:textId="77777777" w:rsidR="00B02873" w:rsidRPr="00941D55" w:rsidRDefault="00B02873" w:rsidP="00941D55">
            <w:pPr>
              <w:pStyle w:val="TablebodyleftFinancialsTables"/>
              <w:jc w:val="right"/>
              <w:rPr>
                <w:rFonts w:asciiTheme="minorHAnsi" w:hAnsiTheme="minorHAnsi" w:cstheme="minorHAnsi"/>
              </w:rPr>
            </w:pPr>
            <w:r w:rsidRPr="00941D55">
              <w:rPr>
                <w:rFonts w:asciiTheme="minorHAnsi" w:hAnsiTheme="minorHAnsi" w:cstheme="minorHAnsi"/>
              </w:rPr>
              <w:t>83</w:t>
            </w:r>
          </w:p>
        </w:tc>
        <w:tc>
          <w:tcPr>
            <w:tcW w:w="1078" w:type="dxa"/>
          </w:tcPr>
          <w:p w14:paraId="31329545" w14:textId="77777777" w:rsidR="00B02873" w:rsidRPr="00941D55" w:rsidRDefault="00B02873" w:rsidP="00941D55">
            <w:pPr>
              <w:pStyle w:val="TablebodyleftFinancialsTables"/>
              <w:jc w:val="right"/>
              <w:rPr>
                <w:rFonts w:asciiTheme="minorHAnsi" w:hAnsiTheme="minorHAnsi" w:cstheme="minorHAnsi"/>
              </w:rPr>
            </w:pPr>
            <w:r w:rsidRPr="00941D55">
              <w:rPr>
                <w:rFonts w:asciiTheme="minorHAnsi" w:hAnsiTheme="minorHAnsi" w:cstheme="minorHAnsi"/>
              </w:rPr>
              <w:t>59</w:t>
            </w:r>
          </w:p>
        </w:tc>
        <w:tc>
          <w:tcPr>
            <w:tcW w:w="1190" w:type="dxa"/>
          </w:tcPr>
          <w:p w14:paraId="7C955606" w14:textId="77777777" w:rsidR="00B02873" w:rsidRPr="00941D55" w:rsidRDefault="00B02873" w:rsidP="00941D55">
            <w:pPr>
              <w:pStyle w:val="TablebodyleftFinancialsTables"/>
              <w:jc w:val="right"/>
              <w:rPr>
                <w:rFonts w:asciiTheme="minorHAnsi" w:hAnsiTheme="minorHAnsi" w:cstheme="minorHAnsi"/>
              </w:rPr>
            </w:pPr>
            <w:r w:rsidRPr="00941D55">
              <w:rPr>
                <w:rFonts w:asciiTheme="minorHAnsi" w:hAnsiTheme="minorHAnsi" w:cstheme="minorHAnsi"/>
              </w:rPr>
              <w:t>24</w:t>
            </w:r>
          </w:p>
        </w:tc>
        <w:tc>
          <w:tcPr>
            <w:tcW w:w="1049" w:type="dxa"/>
          </w:tcPr>
          <w:p w14:paraId="08121BD8" w14:textId="77777777" w:rsidR="00B02873" w:rsidRPr="00941D55" w:rsidRDefault="00B02873" w:rsidP="00941D55">
            <w:pPr>
              <w:pStyle w:val="TablebodyleftFinancialsTables"/>
              <w:jc w:val="right"/>
              <w:rPr>
                <w:rFonts w:asciiTheme="minorHAnsi" w:hAnsiTheme="minorHAnsi" w:cstheme="minorHAnsi"/>
              </w:rPr>
            </w:pPr>
            <w:r w:rsidRPr="00941D55">
              <w:rPr>
                <w:rFonts w:asciiTheme="minorHAnsi" w:hAnsiTheme="minorHAnsi" w:cstheme="minorHAnsi"/>
              </w:rPr>
              <w:t>41%</w:t>
            </w:r>
          </w:p>
        </w:tc>
        <w:tc>
          <w:tcPr>
            <w:tcW w:w="1054" w:type="dxa"/>
          </w:tcPr>
          <w:p w14:paraId="39C2E418" w14:textId="77777777" w:rsidR="00B02873" w:rsidRPr="00941D55" w:rsidRDefault="00B02873" w:rsidP="00941D55">
            <w:pPr>
              <w:pStyle w:val="TablebodyleftFinancialsTables"/>
              <w:jc w:val="right"/>
              <w:rPr>
                <w:rFonts w:asciiTheme="minorHAnsi" w:hAnsiTheme="minorHAnsi" w:cstheme="minorHAnsi"/>
              </w:rPr>
            </w:pPr>
            <w:r w:rsidRPr="00941D55">
              <w:rPr>
                <w:rFonts w:asciiTheme="minorHAnsi" w:hAnsiTheme="minorHAnsi" w:cstheme="minorHAnsi"/>
              </w:rPr>
              <w:t>3</w:t>
            </w:r>
          </w:p>
        </w:tc>
      </w:tr>
      <w:tr w:rsidR="00B02873" w:rsidRPr="00941D55" w14:paraId="4FFE9E58" w14:textId="77777777" w:rsidTr="00941D55">
        <w:tc>
          <w:tcPr>
            <w:tcW w:w="4390" w:type="dxa"/>
          </w:tcPr>
          <w:p w14:paraId="3605344A" w14:textId="77777777" w:rsidR="00B02873" w:rsidRPr="00941D55" w:rsidRDefault="00B02873" w:rsidP="00941D55">
            <w:pPr>
              <w:pStyle w:val="TablebodyleftFinancialsTables"/>
              <w:rPr>
                <w:rFonts w:asciiTheme="minorHAnsi" w:hAnsiTheme="minorHAnsi" w:cstheme="minorHAnsi"/>
              </w:rPr>
            </w:pPr>
            <w:r w:rsidRPr="00941D55">
              <w:rPr>
                <w:rFonts w:asciiTheme="minorHAnsi" w:hAnsiTheme="minorHAnsi" w:cstheme="minorHAnsi"/>
              </w:rPr>
              <w:t xml:space="preserve">Payments into consolidated fund </w:t>
            </w:r>
          </w:p>
        </w:tc>
        <w:tc>
          <w:tcPr>
            <w:tcW w:w="1134" w:type="dxa"/>
          </w:tcPr>
          <w:p w14:paraId="00B3D8D9" w14:textId="77777777" w:rsidR="00B02873" w:rsidRPr="00941D55" w:rsidRDefault="00B02873" w:rsidP="00941D55">
            <w:pPr>
              <w:pStyle w:val="TablebodyleftFinancialsTables"/>
              <w:jc w:val="right"/>
              <w:rPr>
                <w:rFonts w:asciiTheme="minorHAnsi" w:hAnsiTheme="minorHAnsi" w:cstheme="minorHAnsi"/>
              </w:rPr>
            </w:pPr>
            <w:r w:rsidRPr="00941D55">
              <w:rPr>
                <w:rFonts w:asciiTheme="minorHAnsi" w:hAnsiTheme="minorHAnsi" w:cstheme="minorHAnsi"/>
              </w:rPr>
              <w:t>1,401</w:t>
            </w:r>
          </w:p>
        </w:tc>
        <w:tc>
          <w:tcPr>
            <w:tcW w:w="1078" w:type="dxa"/>
          </w:tcPr>
          <w:p w14:paraId="0E92A7C5" w14:textId="77777777" w:rsidR="00B02873" w:rsidRPr="00941D55" w:rsidRDefault="00B02873" w:rsidP="00941D55">
            <w:pPr>
              <w:pStyle w:val="TablebodyleftFinancialsTables"/>
              <w:jc w:val="right"/>
              <w:rPr>
                <w:rFonts w:asciiTheme="minorHAnsi" w:hAnsiTheme="minorHAnsi" w:cstheme="minorHAnsi"/>
              </w:rPr>
            </w:pPr>
            <w:r w:rsidRPr="00941D55">
              <w:rPr>
                <w:rFonts w:asciiTheme="minorHAnsi" w:hAnsiTheme="minorHAnsi" w:cstheme="minorHAnsi"/>
              </w:rPr>
              <w:t>1,301</w:t>
            </w:r>
          </w:p>
        </w:tc>
        <w:tc>
          <w:tcPr>
            <w:tcW w:w="1190" w:type="dxa"/>
          </w:tcPr>
          <w:p w14:paraId="2B3AE71E" w14:textId="77777777" w:rsidR="00B02873" w:rsidRPr="00941D55" w:rsidRDefault="00B02873" w:rsidP="00941D55">
            <w:pPr>
              <w:pStyle w:val="TablebodyleftFinancialsTables"/>
              <w:jc w:val="right"/>
              <w:rPr>
                <w:rFonts w:asciiTheme="minorHAnsi" w:hAnsiTheme="minorHAnsi" w:cstheme="minorHAnsi"/>
              </w:rPr>
            </w:pPr>
            <w:r w:rsidRPr="00941D55">
              <w:rPr>
                <w:rFonts w:asciiTheme="minorHAnsi" w:hAnsiTheme="minorHAnsi" w:cstheme="minorHAnsi"/>
              </w:rPr>
              <w:t>100</w:t>
            </w:r>
          </w:p>
        </w:tc>
        <w:tc>
          <w:tcPr>
            <w:tcW w:w="1049" w:type="dxa"/>
          </w:tcPr>
          <w:p w14:paraId="0DC131DF" w14:textId="77777777" w:rsidR="00B02873" w:rsidRPr="00941D55" w:rsidRDefault="00B02873" w:rsidP="00941D55">
            <w:pPr>
              <w:pStyle w:val="TablebodyleftFinancialsTables"/>
              <w:jc w:val="right"/>
              <w:rPr>
                <w:rFonts w:asciiTheme="minorHAnsi" w:hAnsiTheme="minorHAnsi" w:cstheme="minorHAnsi"/>
              </w:rPr>
            </w:pPr>
            <w:r w:rsidRPr="00941D55">
              <w:rPr>
                <w:rFonts w:asciiTheme="minorHAnsi" w:hAnsiTheme="minorHAnsi" w:cstheme="minorHAnsi"/>
              </w:rPr>
              <w:t>8%</w:t>
            </w:r>
          </w:p>
        </w:tc>
        <w:tc>
          <w:tcPr>
            <w:tcW w:w="1054" w:type="dxa"/>
          </w:tcPr>
          <w:p w14:paraId="47A2EA2D" w14:textId="77777777" w:rsidR="00B02873" w:rsidRPr="00941D55" w:rsidRDefault="00B02873" w:rsidP="00941D55">
            <w:pPr>
              <w:pStyle w:val="TablebodyleftFinancialsTables"/>
              <w:jc w:val="right"/>
              <w:rPr>
                <w:rFonts w:asciiTheme="minorHAnsi" w:hAnsiTheme="minorHAnsi" w:cstheme="minorHAnsi"/>
              </w:rPr>
            </w:pPr>
          </w:p>
        </w:tc>
      </w:tr>
      <w:tr w:rsidR="00B02873" w:rsidRPr="00941D55" w14:paraId="10CAE7F8" w14:textId="77777777" w:rsidTr="00941D55">
        <w:tc>
          <w:tcPr>
            <w:tcW w:w="4390" w:type="dxa"/>
          </w:tcPr>
          <w:p w14:paraId="760D7DF7" w14:textId="77777777" w:rsidR="00B02873" w:rsidRPr="00941D55" w:rsidRDefault="00B02873" w:rsidP="00941D55">
            <w:pPr>
              <w:pStyle w:val="TablebodyleftFinancialsTables"/>
              <w:rPr>
                <w:rFonts w:asciiTheme="minorHAnsi" w:hAnsiTheme="minorHAnsi" w:cstheme="minorHAnsi"/>
              </w:rPr>
            </w:pPr>
            <w:r w:rsidRPr="00941D55">
              <w:rPr>
                <w:rFonts w:asciiTheme="minorHAnsi" w:hAnsiTheme="minorHAnsi" w:cstheme="minorHAnsi"/>
              </w:rPr>
              <w:t>Interest and depreciation expense</w:t>
            </w:r>
          </w:p>
        </w:tc>
        <w:tc>
          <w:tcPr>
            <w:tcW w:w="1134" w:type="dxa"/>
          </w:tcPr>
          <w:p w14:paraId="7EA6716D" w14:textId="77777777" w:rsidR="00B02873" w:rsidRPr="00941D55" w:rsidRDefault="00B02873" w:rsidP="00941D55">
            <w:pPr>
              <w:pStyle w:val="TablebodyleftFinancialsTables"/>
              <w:jc w:val="right"/>
              <w:rPr>
                <w:rFonts w:asciiTheme="minorHAnsi" w:hAnsiTheme="minorHAnsi" w:cstheme="minorHAnsi"/>
              </w:rPr>
            </w:pPr>
            <w:r w:rsidRPr="00941D55">
              <w:rPr>
                <w:rFonts w:asciiTheme="minorHAnsi" w:hAnsiTheme="minorHAnsi" w:cstheme="minorHAnsi"/>
              </w:rPr>
              <w:t>381</w:t>
            </w:r>
          </w:p>
        </w:tc>
        <w:tc>
          <w:tcPr>
            <w:tcW w:w="1078" w:type="dxa"/>
          </w:tcPr>
          <w:p w14:paraId="525A56D0" w14:textId="77777777" w:rsidR="00B02873" w:rsidRPr="00941D55" w:rsidRDefault="00B02873" w:rsidP="00941D55">
            <w:pPr>
              <w:pStyle w:val="TablebodyleftFinancialsTables"/>
              <w:jc w:val="right"/>
              <w:rPr>
                <w:rFonts w:asciiTheme="minorHAnsi" w:hAnsiTheme="minorHAnsi" w:cstheme="minorHAnsi"/>
              </w:rPr>
            </w:pPr>
            <w:r w:rsidRPr="00941D55">
              <w:rPr>
                <w:rFonts w:asciiTheme="minorHAnsi" w:hAnsiTheme="minorHAnsi" w:cstheme="minorHAnsi"/>
              </w:rPr>
              <w:t>418</w:t>
            </w:r>
          </w:p>
        </w:tc>
        <w:tc>
          <w:tcPr>
            <w:tcW w:w="1190" w:type="dxa"/>
          </w:tcPr>
          <w:p w14:paraId="6EC138E9" w14:textId="77777777" w:rsidR="00B02873" w:rsidRPr="00941D55" w:rsidRDefault="00B02873" w:rsidP="00941D55">
            <w:pPr>
              <w:pStyle w:val="TablebodyleftFinancialsTables"/>
              <w:jc w:val="right"/>
              <w:rPr>
                <w:rFonts w:asciiTheme="minorHAnsi" w:hAnsiTheme="minorHAnsi" w:cstheme="minorHAnsi"/>
              </w:rPr>
            </w:pPr>
            <w:r w:rsidRPr="00941D55">
              <w:rPr>
                <w:rFonts w:asciiTheme="minorHAnsi" w:hAnsiTheme="minorHAnsi" w:cstheme="minorHAnsi"/>
              </w:rPr>
              <w:t>(37)</w:t>
            </w:r>
          </w:p>
        </w:tc>
        <w:tc>
          <w:tcPr>
            <w:tcW w:w="1049" w:type="dxa"/>
          </w:tcPr>
          <w:p w14:paraId="05B12A33" w14:textId="77777777" w:rsidR="00B02873" w:rsidRPr="00941D55" w:rsidRDefault="00B02873" w:rsidP="00941D55">
            <w:pPr>
              <w:pStyle w:val="TablebodyleftFinancialsTables"/>
              <w:jc w:val="right"/>
              <w:rPr>
                <w:rFonts w:asciiTheme="minorHAnsi" w:hAnsiTheme="minorHAnsi" w:cstheme="minorHAnsi"/>
              </w:rPr>
            </w:pPr>
            <w:r w:rsidRPr="00941D55">
              <w:rPr>
                <w:rFonts w:asciiTheme="minorHAnsi" w:hAnsiTheme="minorHAnsi" w:cstheme="minorHAnsi"/>
              </w:rPr>
              <w:t>(9%)</w:t>
            </w:r>
          </w:p>
        </w:tc>
        <w:tc>
          <w:tcPr>
            <w:tcW w:w="1054" w:type="dxa"/>
          </w:tcPr>
          <w:p w14:paraId="78AC9B33" w14:textId="77777777" w:rsidR="00B02873" w:rsidRPr="00941D55" w:rsidRDefault="00B02873" w:rsidP="00941D55">
            <w:pPr>
              <w:pStyle w:val="TablebodyleftFinancialsTables"/>
              <w:jc w:val="right"/>
              <w:rPr>
                <w:rFonts w:asciiTheme="minorHAnsi" w:hAnsiTheme="minorHAnsi" w:cstheme="minorHAnsi"/>
              </w:rPr>
            </w:pPr>
            <w:r w:rsidRPr="00941D55">
              <w:rPr>
                <w:rFonts w:asciiTheme="minorHAnsi" w:hAnsiTheme="minorHAnsi" w:cstheme="minorHAnsi"/>
              </w:rPr>
              <w:t>4</w:t>
            </w:r>
          </w:p>
        </w:tc>
      </w:tr>
      <w:tr w:rsidR="00B02873" w:rsidRPr="00941D55" w14:paraId="19D95421" w14:textId="77777777" w:rsidTr="00941D55">
        <w:tc>
          <w:tcPr>
            <w:tcW w:w="4390" w:type="dxa"/>
          </w:tcPr>
          <w:p w14:paraId="5331D30F" w14:textId="77777777" w:rsidR="00B02873" w:rsidRPr="00941D55" w:rsidRDefault="00B02873" w:rsidP="00941D55">
            <w:pPr>
              <w:pStyle w:val="TablebodyleftFinancialsTables"/>
              <w:rPr>
                <w:rFonts w:asciiTheme="minorHAnsi" w:hAnsiTheme="minorHAnsi" w:cstheme="minorHAnsi"/>
                <w:b/>
                <w:bCs/>
              </w:rPr>
            </w:pPr>
            <w:r w:rsidRPr="00941D55">
              <w:rPr>
                <w:rFonts w:asciiTheme="minorHAnsi" w:hAnsiTheme="minorHAnsi" w:cstheme="minorHAnsi"/>
                <w:b/>
                <w:bCs/>
              </w:rPr>
              <w:t>Total administered expenses</w:t>
            </w:r>
          </w:p>
        </w:tc>
        <w:tc>
          <w:tcPr>
            <w:tcW w:w="1134" w:type="dxa"/>
          </w:tcPr>
          <w:p w14:paraId="397AC89B" w14:textId="77777777" w:rsidR="00B02873" w:rsidRPr="00941D55" w:rsidRDefault="00B02873" w:rsidP="00941D55">
            <w:pPr>
              <w:pStyle w:val="TablebodyleftFinancialsTables"/>
              <w:jc w:val="right"/>
              <w:rPr>
                <w:rFonts w:asciiTheme="minorHAnsi" w:hAnsiTheme="minorHAnsi" w:cstheme="minorHAnsi"/>
                <w:b/>
                <w:bCs/>
              </w:rPr>
            </w:pPr>
            <w:r w:rsidRPr="00941D55">
              <w:rPr>
                <w:rFonts w:asciiTheme="minorHAnsi" w:hAnsiTheme="minorHAnsi" w:cstheme="minorHAnsi"/>
                <w:b/>
                <w:bCs/>
              </w:rPr>
              <w:t>2,115</w:t>
            </w:r>
          </w:p>
        </w:tc>
        <w:tc>
          <w:tcPr>
            <w:tcW w:w="1078" w:type="dxa"/>
          </w:tcPr>
          <w:p w14:paraId="366EBA33" w14:textId="77777777" w:rsidR="00B02873" w:rsidRPr="00941D55" w:rsidRDefault="00B02873" w:rsidP="00941D55">
            <w:pPr>
              <w:pStyle w:val="TablebodyleftFinancialsTables"/>
              <w:jc w:val="right"/>
              <w:rPr>
                <w:rFonts w:asciiTheme="minorHAnsi" w:hAnsiTheme="minorHAnsi" w:cstheme="minorHAnsi"/>
                <w:b/>
                <w:bCs/>
              </w:rPr>
            </w:pPr>
            <w:r w:rsidRPr="00941D55">
              <w:rPr>
                <w:rFonts w:asciiTheme="minorHAnsi" w:hAnsiTheme="minorHAnsi" w:cstheme="minorHAnsi"/>
                <w:b/>
                <w:bCs/>
              </w:rPr>
              <w:t>1,976</w:t>
            </w:r>
          </w:p>
        </w:tc>
        <w:tc>
          <w:tcPr>
            <w:tcW w:w="1190" w:type="dxa"/>
          </w:tcPr>
          <w:p w14:paraId="50EA12D7" w14:textId="77777777" w:rsidR="00B02873" w:rsidRPr="00941D55" w:rsidRDefault="00B02873" w:rsidP="00941D55">
            <w:pPr>
              <w:pStyle w:val="TablebodyleftFinancialsTables"/>
              <w:jc w:val="right"/>
              <w:rPr>
                <w:rFonts w:asciiTheme="minorHAnsi" w:hAnsiTheme="minorHAnsi" w:cstheme="minorHAnsi"/>
                <w:b/>
                <w:bCs/>
              </w:rPr>
            </w:pPr>
            <w:r w:rsidRPr="00941D55">
              <w:rPr>
                <w:rFonts w:asciiTheme="minorHAnsi" w:hAnsiTheme="minorHAnsi" w:cstheme="minorHAnsi"/>
                <w:b/>
                <w:bCs/>
              </w:rPr>
              <w:t>139</w:t>
            </w:r>
          </w:p>
        </w:tc>
        <w:tc>
          <w:tcPr>
            <w:tcW w:w="1049" w:type="dxa"/>
          </w:tcPr>
          <w:p w14:paraId="3EE1938E" w14:textId="77777777" w:rsidR="00B02873" w:rsidRPr="00941D55" w:rsidRDefault="00B02873" w:rsidP="00941D55">
            <w:pPr>
              <w:pStyle w:val="TablebodyleftFinancialsTables"/>
              <w:jc w:val="right"/>
              <w:rPr>
                <w:rFonts w:asciiTheme="minorHAnsi" w:hAnsiTheme="minorHAnsi" w:cstheme="minorHAnsi"/>
                <w:b/>
                <w:bCs/>
              </w:rPr>
            </w:pPr>
            <w:r w:rsidRPr="00941D55">
              <w:rPr>
                <w:rFonts w:asciiTheme="minorHAnsi" w:hAnsiTheme="minorHAnsi" w:cstheme="minorHAnsi"/>
                <w:b/>
                <w:bCs/>
              </w:rPr>
              <w:t>7%</w:t>
            </w:r>
          </w:p>
        </w:tc>
        <w:tc>
          <w:tcPr>
            <w:tcW w:w="1054" w:type="dxa"/>
          </w:tcPr>
          <w:p w14:paraId="6EE67311" w14:textId="77777777" w:rsidR="00B02873" w:rsidRPr="00941D55" w:rsidRDefault="00B02873" w:rsidP="00941D55">
            <w:pPr>
              <w:pStyle w:val="TablebodyleftFinancialsTables"/>
              <w:jc w:val="right"/>
              <w:rPr>
                <w:rFonts w:asciiTheme="minorHAnsi" w:hAnsiTheme="minorHAnsi" w:cstheme="minorHAnsi"/>
                <w:b/>
                <w:bCs/>
              </w:rPr>
            </w:pPr>
          </w:p>
        </w:tc>
      </w:tr>
      <w:tr w:rsidR="00B02873" w:rsidRPr="00941D55" w14:paraId="1E432ED8" w14:textId="77777777" w:rsidTr="00941D55">
        <w:tc>
          <w:tcPr>
            <w:tcW w:w="4390" w:type="dxa"/>
          </w:tcPr>
          <w:p w14:paraId="417D40B1" w14:textId="77777777" w:rsidR="00B02873" w:rsidRPr="00941D55" w:rsidRDefault="00B02873" w:rsidP="00941D55">
            <w:pPr>
              <w:pStyle w:val="TablebodyleftFinancialsTables"/>
              <w:rPr>
                <w:rFonts w:asciiTheme="minorHAnsi" w:hAnsiTheme="minorHAnsi" w:cstheme="minorHAnsi"/>
                <w:b/>
                <w:bCs/>
              </w:rPr>
            </w:pPr>
            <w:r w:rsidRPr="00941D55">
              <w:rPr>
                <w:rFonts w:asciiTheme="minorHAnsi" w:hAnsiTheme="minorHAnsi" w:cstheme="minorHAnsi"/>
                <w:b/>
                <w:bCs/>
              </w:rPr>
              <w:t>Income less expenses</w:t>
            </w:r>
          </w:p>
        </w:tc>
        <w:tc>
          <w:tcPr>
            <w:tcW w:w="1134" w:type="dxa"/>
          </w:tcPr>
          <w:p w14:paraId="7D27A3CF" w14:textId="77777777" w:rsidR="00B02873" w:rsidRPr="00941D55" w:rsidRDefault="00B02873" w:rsidP="00941D55">
            <w:pPr>
              <w:pStyle w:val="TablebodyleftFinancialsTables"/>
              <w:jc w:val="right"/>
              <w:rPr>
                <w:rFonts w:asciiTheme="minorHAnsi" w:hAnsiTheme="minorHAnsi" w:cstheme="minorHAnsi"/>
                <w:b/>
                <w:bCs/>
              </w:rPr>
            </w:pPr>
            <w:r w:rsidRPr="00941D55">
              <w:rPr>
                <w:rFonts w:asciiTheme="minorHAnsi" w:hAnsiTheme="minorHAnsi" w:cstheme="minorHAnsi"/>
                <w:b/>
                <w:bCs/>
              </w:rPr>
              <w:t>98</w:t>
            </w:r>
          </w:p>
        </w:tc>
        <w:tc>
          <w:tcPr>
            <w:tcW w:w="1078" w:type="dxa"/>
          </w:tcPr>
          <w:p w14:paraId="74C43069" w14:textId="77777777" w:rsidR="00B02873" w:rsidRPr="00941D55" w:rsidRDefault="00B02873" w:rsidP="00941D55">
            <w:pPr>
              <w:pStyle w:val="TablebodyleftFinancialsTables"/>
              <w:jc w:val="right"/>
              <w:rPr>
                <w:rFonts w:asciiTheme="minorHAnsi" w:hAnsiTheme="minorHAnsi" w:cstheme="minorHAnsi"/>
                <w:b/>
                <w:bCs/>
              </w:rPr>
            </w:pPr>
            <w:r w:rsidRPr="00941D55">
              <w:rPr>
                <w:rFonts w:asciiTheme="minorHAnsi" w:hAnsiTheme="minorHAnsi" w:cstheme="minorHAnsi"/>
                <w:b/>
                <w:bCs/>
              </w:rPr>
              <w:t>84</w:t>
            </w:r>
          </w:p>
        </w:tc>
        <w:tc>
          <w:tcPr>
            <w:tcW w:w="1190" w:type="dxa"/>
          </w:tcPr>
          <w:p w14:paraId="258221DC" w14:textId="77777777" w:rsidR="00B02873" w:rsidRPr="00941D55" w:rsidRDefault="00B02873" w:rsidP="00941D55">
            <w:pPr>
              <w:pStyle w:val="TablebodyleftFinancialsTables"/>
              <w:jc w:val="right"/>
              <w:rPr>
                <w:rFonts w:asciiTheme="minorHAnsi" w:hAnsiTheme="minorHAnsi" w:cstheme="minorHAnsi"/>
                <w:b/>
                <w:bCs/>
              </w:rPr>
            </w:pPr>
            <w:r w:rsidRPr="00941D55">
              <w:rPr>
                <w:rFonts w:asciiTheme="minorHAnsi" w:hAnsiTheme="minorHAnsi" w:cstheme="minorHAnsi"/>
                <w:b/>
                <w:bCs/>
              </w:rPr>
              <w:t>14</w:t>
            </w:r>
          </w:p>
        </w:tc>
        <w:tc>
          <w:tcPr>
            <w:tcW w:w="1049" w:type="dxa"/>
          </w:tcPr>
          <w:p w14:paraId="0C59B630" w14:textId="77777777" w:rsidR="00B02873" w:rsidRPr="00941D55" w:rsidRDefault="00B02873" w:rsidP="00941D55">
            <w:pPr>
              <w:pStyle w:val="TablebodyleftFinancialsTables"/>
              <w:jc w:val="right"/>
              <w:rPr>
                <w:rFonts w:asciiTheme="minorHAnsi" w:hAnsiTheme="minorHAnsi" w:cstheme="minorHAnsi"/>
                <w:b/>
                <w:bCs/>
              </w:rPr>
            </w:pPr>
            <w:r w:rsidRPr="00941D55">
              <w:rPr>
                <w:rFonts w:asciiTheme="minorHAnsi" w:hAnsiTheme="minorHAnsi" w:cstheme="minorHAnsi"/>
                <w:b/>
                <w:bCs/>
              </w:rPr>
              <w:t>17%</w:t>
            </w:r>
          </w:p>
        </w:tc>
        <w:tc>
          <w:tcPr>
            <w:tcW w:w="1054" w:type="dxa"/>
          </w:tcPr>
          <w:p w14:paraId="68AF0AEE" w14:textId="77777777" w:rsidR="00B02873" w:rsidRPr="00941D55" w:rsidRDefault="00B02873" w:rsidP="00941D55">
            <w:pPr>
              <w:pStyle w:val="TablebodyleftFinancialsTables"/>
              <w:jc w:val="right"/>
              <w:rPr>
                <w:rFonts w:asciiTheme="minorHAnsi" w:hAnsiTheme="minorHAnsi" w:cstheme="minorHAnsi"/>
                <w:b/>
                <w:bCs/>
              </w:rPr>
            </w:pPr>
          </w:p>
        </w:tc>
      </w:tr>
      <w:tr w:rsidR="00941D55" w:rsidRPr="00941D55" w14:paraId="2BD055D7" w14:textId="77777777" w:rsidTr="00941D55">
        <w:tc>
          <w:tcPr>
            <w:tcW w:w="4390" w:type="dxa"/>
          </w:tcPr>
          <w:p w14:paraId="3E315F08" w14:textId="56E6A724" w:rsidR="00941D55" w:rsidRPr="00941D55" w:rsidRDefault="00941D55" w:rsidP="001416F0">
            <w:pPr>
              <w:pStyle w:val="TablebodyleftFinancialsTables"/>
              <w:rPr>
                <w:rFonts w:asciiTheme="minorHAnsi" w:hAnsiTheme="minorHAnsi" w:cstheme="minorHAnsi"/>
                <w:b/>
                <w:bCs/>
              </w:rPr>
            </w:pPr>
            <w:r w:rsidRPr="00941D55">
              <w:rPr>
                <w:rFonts w:asciiTheme="minorHAnsi" w:hAnsiTheme="minorHAnsi" w:cstheme="minorHAnsi"/>
                <w:b/>
                <w:bCs/>
                <w:i/>
                <w:iCs/>
              </w:rPr>
              <w:t>Other economic flows included in net result</w:t>
            </w:r>
          </w:p>
        </w:tc>
        <w:tc>
          <w:tcPr>
            <w:tcW w:w="1134" w:type="dxa"/>
          </w:tcPr>
          <w:p w14:paraId="071787BB" w14:textId="77777777" w:rsidR="00941D55" w:rsidRPr="00941D55" w:rsidRDefault="00941D55" w:rsidP="001416F0">
            <w:pPr>
              <w:pStyle w:val="TablebodyleftFinancialsTables"/>
              <w:jc w:val="right"/>
              <w:rPr>
                <w:rFonts w:asciiTheme="minorHAnsi" w:hAnsiTheme="minorHAnsi" w:cstheme="minorHAnsi"/>
              </w:rPr>
            </w:pPr>
          </w:p>
        </w:tc>
        <w:tc>
          <w:tcPr>
            <w:tcW w:w="1078" w:type="dxa"/>
          </w:tcPr>
          <w:p w14:paraId="2CBED1E6" w14:textId="77777777" w:rsidR="00941D55" w:rsidRPr="00941D55" w:rsidRDefault="00941D55" w:rsidP="001416F0">
            <w:pPr>
              <w:pStyle w:val="TablebodyleftFinancialsTables"/>
              <w:jc w:val="right"/>
              <w:rPr>
                <w:rFonts w:asciiTheme="minorHAnsi" w:hAnsiTheme="minorHAnsi" w:cstheme="minorHAnsi"/>
              </w:rPr>
            </w:pPr>
          </w:p>
        </w:tc>
        <w:tc>
          <w:tcPr>
            <w:tcW w:w="1190" w:type="dxa"/>
          </w:tcPr>
          <w:p w14:paraId="2F872A8A" w14:textId="77777777" w:rsidR="00941D55" w:rsidRPr="00941D55" w:rsidRDefault="00941D55" w:rsidP="001416F0">
            <w:pPr>
              <w:pStyle w:val="TablebodyleftFinancialsTables"/>
              <w:jc w:val="right"/>
              <w:rPr>
                <w:rFonts w:asciiTheme="minorHAnsi" w:hAnsiTheme="minorHAnsi" w:cstheme="minorHAnsi"/>
              </w:rPr>
            </w:pPr>
          </w:p>
        </w:tc>
        <w:tc>
          <w:tcPr>
            <w:tcW w:w="1049" w:type="dxa"/>
          </w:tcPr>
          <w:p w14:paraId="6F77BCA2" w14:textId="77777777" w:rsidR="00941D55" w:rsidRPr="00941D55" w:rsidRDefault="00941D55" w:rsidP="001416F0">
            <w:pPr>
              <w:pStyle w:val="TablebodyleftFinancialsTables"/>
              <w:jc w:val="right"/>
              <w:rPr>
                <w:rFonts w:asciiTheme="minorHAnsi" w:hAnsiTheme="minorHAnsi" w:cstheme="minorHAnsi"/>
              </w:rPr>
            </w:pPr>
          </w:p>
        </w:tc>
        <w:tc>
          <w:tcPr>
            <w:tcW w:w="1054" w:type="dxa"/>
          </w:tcPr>
          <w:p w14:paraId="5F8C7E26" w14:textId="77777777" w:rsidR="00941D55" w:rsidRPr="00941D55" w:rsidRDefault="00941D55" w:rsidP="001416F0">
            <w:pPr>
              <w:pStyle w:val="TablebodyleftFinancialsTables"/>
              <w:jc w:val="right"/>
              <w:rPr>
                <w:rFonts w:asciiTheme="minorHAnsi" w:hAnsiTheme="minorHAnsi" w:cstheme="minorHAnsi"/>
              </w:rPr>
            </w:pPr>
          </w:p>
        </w:tc>
      </w:tr>
      <w:tr w:rsidR="00B02873" w:rsidRPr="00941D55" w14:paraId="4F95CE8B" w14:textId="77777777" w:rsidTr="00941D55">
        <w:tc>
          <w:tcPr>
            <w:tcW w:w="4390" w:type="dxa"/>
          </w:tcPr>
          <w:p w14:paraId="08DBDA39" w14:textId="77777777" w:rsidR="00B02873" w:rsidRPr="00941D55" w:rsidRDefault="00B02873" w:rsidP="00941D55">
            <w:pPr>
              <w:pStyle w:val="TablebodyleftFinancialsTables"/>
              <w:rPr>
                <w:rFonts w:asciiTheme="minorHAnsi" w:hAnsiTheme="minorHAnsi" w:cstheme="minorHAnsi"/>
              </w:rPr>
            </w:pPr>
            <w:r w:rsidRPr="00941D55">
              <w:rPr>
                <w:rFonts w:asciiTheme="minorHAnsi" w:hAnsiTheme="minorHAnsi" w:cstheme="minorHAnsi"/>
              </w:rPr>
              <w:t>Net gain/(loss) on non-financial assets</w:t>
            </w:r>
          </w:p>
        </w:tc>
        <w:tc>
          <w:tcPr>
            <w:tcW w:w="1134" w:type="dxa"/>
          </w:tcPr>
          <w:p w14:paraId="754F76A0" w14:textId="77777777" w:rsidR="00B02873" w:rsidRPr="00941D55" w:rsidRDefault="00B02873" w:rsidP="00941D55">
            <w:pPr>
              <w:pStyle w:val="TablebodyleftFinancialsTables"/>
              <w:jc w:val="right"/>
              <w:rPr>
                <w:rFonts w:asciiTheme="minorHAnsi" w:hAnsiTheme="minorHAnsi" w:cstheme="minorHAnsi"/>
              </w:rPr>
            </w:pPr>
            <w:r w:rsidRPr="00941D55">
              <w:rPr>
                <w:rFonts w:asciiTheme="minorHAnsi" w:hAnsiTheme="minorHAnsi" w:cstheme="minorHAnsi"/>
              </w:rPr>
              <w:t>19</w:t>
            </w:r>
          </w:p>
        </w:tc>
        <w:tc>
          <w:tcPr>
            <w:tcW w:w="1078" w:type="dxa"/>
          </w:tcPr>
          <w:p w14:paraId="0486C1A1" w14:textId="77777777" w:rsidR="00B02873" w:rsidRPr="00941D55" w:rsidRDefault="00B02873" w:rsidP="00941D55">
            <w:pPr>
              <w:pStyle w:val="TablebodyleftFinancialsTables"/>
              <w:jc w:val="right"/>
              <w:rPr>
                <w:rFonts w:asciiTheme="minorHAnsi" w:hAnsiTheme="minorHAnsi" w:cstheme="minorHAnsi"/>
              </w:rPr>
            </w:pPr>
            <w:r w:rsidRPr="00941D55">
              <w:rPr>
                <w:rFonts w:asciiTheme="minorHAnsi" w:hAnsiTheme="minorHAnsi" w:cstheme="minorHAnsi"/>
              </w:rPr>
              <w:t>(28)</w:t>
            </w:r>
          </w:p>
        </w:tc>
        <w:tc>
          <w:tcPr>
            <w:tcW w:w="1190" w:type="dxa"/>
          </w:tcPr>
          <w:p w14:paraId="40BEE760" w14:textId="77777777" w:rsidR="00B02873" w:rsidRPr="00941D55" w:rsidRDefault="00B02873" w:rsidP="00941D55">
            <w:pPr>
              <w:pStyle w:val="TablebodyleftFinancialsTables"/>
              <w:jc w:val="right"/>
              <w:rPr>
                <w:rFonts w:asciiTheme="minorHAnsi" w:hAnsiTheme="minorHAnsi" w:cstheme="minorHAnsi"/>
              </w:rPr>
            </w:pPr>
            <w:r w:rsidRPr="00941D55">
              <w:rPr>
                <w:rFonts w:asciiTheme="minorHAnsi" w:hAnsiTheme="minorHAnsi" w:cstheme="minorHAnsi"/>
              </w:rPr>
              <w:t>47</w:t>
            </w:r>
          </w:p>
        </w:tc>
        <w:tc>
          <w:tcPr>
            <w:tcW w:w="1049" w:type="dxa"/>
          </w:tcPr>
          <w:p w14:paraId="76BF15F4" w14:textId="77777777" w:rsidR="00B02873" w:rsidRPr="00941D55" w:rsidRDefault="00B02873" w:rsidP="00941D55">
            <w:pPr>
              <w:pStyle w:val="TablebodyleftFinancialsTables"/>
              <w:jc w:val="right"/>
              <w:rPr>
                <w:rFonts w:asciiTheme="minorHAnsi" w:hAnsiTheme="minorHAnsi" w:cstheme="minorHAnsi"/>
              </w:rPr>
            </w:pPr>
            <w:r w:rsidRPr="00941D55">
              <w:rPr>
                <w:rFonts w:asciiTheme="minorHAnsi" w:hAnsiTheme="minorHAnsi" w:cstheme="minorHAnsi"/>
              </w:rPr>
              <w:t>168%</w:t>
            </w:r>
          </w:p>
        </w:tc>
        <w:tc>
          <w:tcPr>
            <w:tcW w:w="1054" w:type="dxa"/>
          </w:tcPr>
          <w:p w14:paraId="1BBA27CE" w14:textId="77777777" w:rsidR="00B02873" w:rsidRPr="00941D55" w:rsidRDefault="00B02873" w:rsidP="00941D55">
            <w:pPr>
              <w:pStyle w:val="TablebodyleftFinancialsTables"/>
              <w:jc w:val="right"/>
              <w:rPr>
                <w:rFonts w:asciiTheme="minorHAnsi" w:hAnsiTheme="minorHAnsi" w:cstheme="minorHAnsi"/>
              </w:rPr>
            </w:pPr>
            <w:r w:rsidRPr="00941D55">
              <w:rPr>
                <w:rFonts w:asciiTheme="minorHAnsi" w:hAnsiTheme="minorHAnsi" w:cstheme="minorHAnsi"/>
              </w:rPr>
              <w:t>5</w:t>
            </w:r>
          </w:p>
        </w:tc>
      </w:tr>
      <w:tr w:rsidR="00B02873" w:rsidRPr="00941D55" w14:paraId="7EB9C147" w14:textId="77777777" w:rsidTr="00941D55">
        <w:tc>
          <w:tcPr>
            <w:tcW w:w="4390" w:type="dxa"/>
          </w:tcPr>
          <w:p w14:paraId="412199FD" w14:textId="57058FF5" w:rsidR="00B02873" w:rsidRPr="00941D55" w:rsidRDefault="00B02873" w:rsidP="00941D55">
            <w:pPr>
              <w:pStyle w:val="TablebodyleftFinancialsTables"/>
              <w:rPr>
                <w:rFonts w:asciiTheme="minorHAnsi" w:hAnsiTheme="minorHAnsi" w:cstheme="minorHAnsi"/>
              </w:rPr>
            </w:pPr>
            <w:r w:rsidRPr="00941D55">
              <w:rPr>
                <w:rFonts w:asciiTheme="minorHAnsi" w:hAnsiTheme="minorHAnsi" w:cstheme="minorHAnsi"/>
              </w:rPr>
              <w:t xml:space="preserve">Net gain/(loss) on financial instruments and statutory receivables/payables </w:t>
            </w:r>
          </w:p>
        </w:tc>
        <w:tc>
          <w:tcPr>
            <w:tcW w:w="1134" w:type="dxa"/>
          </w:tcPr>
          <w:p w14:paraId="411D638A" w14:textId="77777777" w:rsidR="00B02873" w:rsidRPr="00941D55" w:rsidRDefault="00B02873" w:rsidP="00941D55">
            <w:pPr>
              <w:pStyle w:val="TablebodyleftFinancialsTables"/>
              <w:jc w:val="right"/>
              <w:rPr>
                <w:rFonts w:asciiTheme="minorHAnsi" w:hAnsiTheme="minorHAnsi" w:cstheme="minorHAnsi"/>
              </w:rPr>
            </w:pPr>
            <w:r w:rsidRPr="00941D55">
              <w:rPr>
                <w:rFonts w:asciiTheme="minorHAnsi" w:hAnsiTheme="minorHAnsi" w:cstheme="minorHAnsi"/>
              </w:rPr>
              <w:t>0</w:t>
            </w:r>
          </w:p>
        </w:tc>
        <w:tc>
          <w:tcPr>
            <w:tcW w:w="1078" w:type="dxa"/>
          </w:tcPr>
          <w:p w14:paraId="1F807CCD" w14:textId="77777777" w:rsidR="00B02873" w:rsidRPr="00941D55" w:rsidRDefault="00B02873" w:rsidP="00941D55">
            <w:pPr>
              <w:pStyle w:val="TablebodyleftFinancialsTables"/>
              <w:jc w:val="right"/>
              <w:rPr>
                <w:rFonts w:asciiTheme="minorHAnsi" w:hAnsiTheme="minorHAnsi" w:cstheme="minorHAnsi"/>
              </w:rPr>
            </w:pPr>
            <w:r w:rsidRPr="00941D55">
              <w:rPr>
                <w:rFonts w:asciiTheme="minorHAnsi" w:hAnsiTheme="minorHAnsi" w:cstheme="minorHAnsi"/>
              </w:rPr>
              <w:t>0</w:t>
            </w:r>
          </w:p>
        </w:tc>
        <w:tc>
          <w:tcPr>
            <w:tcW w:w="1190" w:type="dxa"/>
          </w:tcPr>
          <w:p w14:paraId="1F408BE2" w14:textId="77777777" w:rsidR="00B02873" w:rsidRPr="00941D55" w:rsidRDefault="00B02873" w:rsidP="00941D55">
            <w:pPr>
              <w:pStyle w:val="TablebodyleftFinancialsTables"/>
              <w:jc w:val="right"/>
              <w:rPr>
                <w:rFonts w:asciiTheme="minorHAnsi" w:hAnsiTheme="minorHAnsi" w:cstheme="minorHAnsi"/>
              </w:rPr>
            </w:pPr>
            <w:r w:rsidRPr="00941D55">
              <w:rPr>
                <w:rFonts w:asciiTheme="minorHAnsi" w:hAnsiTheme="minorHAnsi" w:cstheme="minorHAnsi"/>
              </w:rPr>
              <w:t>0</w:t>
            </w:r>
          </w:p>
        </w:tc>
        <w:tc>
          <w:tcPr>
            <w:tcW w:w="1049" w:type="dxa"/>
          </w:tcPr>
          <w:p w14:paraId="0A43148D" w14:textId="77777777" w:rsidR="00B02873" w:rsidRPr="00941D55" w:rsidRDefault="00B02873" w:rsidP="00941D55">
            <w:pPr>
              <w:pStyle w:val="TablebodyleftFinancialsTables"/>
              <w:jc w:val="right"/>
              <w:rPr>
                <w:rFonts w:asciiTheme="minorHAnsi" w:hAnsiTheme="minorHAnsi" w:cstheme="minorHAnsi"/>
              </w:rPr>
            </w:pPr>
            <w:r w:rsidRPr="00941D55">
              <w:rPr>
                <w:rFonts w:asciiTheme="minorHAnsi" w:hAnsiTheme="minorHAnsi" w:cstheme="minorHAnsi"/>
              </w:rPr>
              <w:t>0%</w:t>
            </w:r>
          </w:p>
        </w:tc>
        <w:tc>
          <w:tcPr>
            <w:tcW w:w="1054" w:type="dxa"/>
          </w:tcPr>
          <w:p w14:paraId="4A782895" w14:textId="77777777" w:rsidR="00B02873" w:rsidRPr="00941D55" w:rsidRDefault="00B02873" w:rsidP="00941D55">
            <w:pPr>
              <w:pStyle w:val="TablebodyleftFinancialsTables"/>
              <w:jc w:val="right"/>
              <w:rPr>
                <w:rFonts w:asciiTheme="minorHAnsi" w:hAnsiTheme="minorHAnsi" w:cstheme="minorHAnsi"/>
              </w:rPr>
            </w:pPr>
          </w:p>
        </w:tc>
      </w:tr>
      <w:tr w:rsidR="00B02873" w:rsidRPr="00941D55" w14:paraId="3F3F4F16" w14:textId="77777777" w:rsidTr="00941D55">
        <w:tc>
          <w:tcPr>
            <w:tcW w:w="4390" w:type="dxa"/>
          </w:tcPr>
          <w:p w14:paraId="3738C93D" w14:textId="0B708259" w:rsidR="00B02873" w:rsidRPr="00941D55" w:rsidRDefault="00B02873" w:rsidP="00941D55">
            <w:pPr>
              <w:pStyle w:val="TablebodyleftFinancialsTables"/>
              <w:rPr>
                <w:rFonts w:asciiTheme="minorHAnsi" w:hAnsiTheme="minorHAnsi" w:cstheme="minorHAnsi"/>
                <w:b/>
                <w:bCs/>
              </w:rPr>
            </w:pPr>
            <w:r w:rsidRPr="00941D55">
              <w:rPr>
                <w:rFonts w:asciiTheme="minorHAnsi" w:hAnsiTheme="minorHAnsi" w:cstheme="minorHAnsi"/>
                <w:b/>
                <w:bCs/>
              </w:rPr>
              <w:t>Total other economic flows included in net result</w:t>
            </w:r>
          </w:p>
        </w:tc>
        <w:tc>
          <w:tcPr>
            <w:tcW w:w="1134" w:type="dxa"/>
          </w:tcPr>
          <w:p w14:paraId="188CFA29" w14:textId="77777777" w:rsidR="00B02873" w:rsidRPr="00941D55" w:rsidRDefault="00B02873" w:rsidP="00941D55">
            <w:pPr>
              <w:pStyle w:val="TablebodyleftFinancialsTables"/>
              <w:jc w:val="right"/>
              <w:rPr>
                <w:rFonts w:asciiTheme="minorHAnsi" w:hAnsiTheme="minorHAnsi" w:cstheme="minorHAnsi"/>
                <w:b/>
                <w:bCs/>
              </w:rPr>
            </w:pPr>
            <w:r w:rsidRPr="00941D55">
              <w:rPr>
                <w:rFonts w:asciiTheme="minorHAnsi" w:hAnsiTheme="minorHAnsi" w:cstheme="minorHAnsi"/>
                <w:b/>
                <w:bCs/>
              </w:rPr>
              <w:t>19</w:t>
            </w:r>
          </w:p>
        </w:tc>
        <w:tc>
          <w:tcPr>
            <w:tcW w:w="1078" w:type="dxa"/>
          </w:tcPr>
          <w:p w14:paraId="7365B7EE" w14:textId="77777777" w:rsidR="00B02873" w:rsidRPr="00941D55" w:rsidRDefault="00B02873" w:rsidP="00941D55">
            <w:pPr>
              <w:pStyle w:val="TablebodyleftFinancialsTables"/>
              <w:jc w:val="right"/>
              <w:rPr>
                <w:rFonts w:asciiTheme="minorHAnsi" w:hAnsiTheme="minorHAnsi" w:cstheme="minorHAnsi"/>
                <w:b/>
                <w:bCs/>
              </w:rPr>
            </w:pPr>
            <w:r w:rsidRPr="00941D55">
              <w:rPr>
                <w:rFonts w:asciiTheme="minorHAnsi" w:hAnsiTheme="minorHAnsi" w:cstheme="minorHAnsi"/>
                <w:b/>
                <w:bCs/>
              </w:rPr>
              <w:t>(28)</w:t>
            </w:r>
          </w:p>
        </w:tc>
        <w:tc>
          <w:tcPr>
            <w:tcW w:w="1190" w:type="dxa"/>
          </w:tcPr>
          <w:p w14:paraId="204E18C7" w14:textId="77777777" w:rsidR="00B02873" w:rsidRPr="00941D55" w:rsidRDefault="00B02873" w:rsidP="00941D55">
            <w:pPr>
              <w:pStyle w:val="TablebodyleftFinancialsTables"/>
              <w:jc w:val="right"/>
              <w:rPr>
                <w:rFonts w:asciiTheme="minorHAnsi" w:hAnsiTheme="minorHAnsi" w:cstheme="minorHAnsi"/>
                <w:b/>
                <w:bCs/>
              </w:rPr>
            </w:pPr>
            <w:r w:rsidRPr="00941D55">
              <w:rPr>
                <w:rFonts w:asciiTheme="minorHAnsi" w:hAnsiTheme="minorHAnsi" w:cstheme="minorHAnsi"/>
                <w:b/>
                <w:bCs/>
              </w:rPr>
              <w:t>47</w:t>
            </w:r>
          </w:p>
        </w:tc>
        <w:tc>
          <w:tcPr>
            <w:tcW w:w="1049" w:type="dxa"/>
          </w:tcPr>
          <w:p w14:paraId="6F1952BF" w14:textId="77777777" w:rsidR="00B02873" w:rsidRPr="00941D55" w:rsidRDefault="00B02873" w:rsidP="00941D55">
            <w:pPr>
              <w:pStyle w:val="TablebodyleftFinancialsTables"/>
              <w:jc w:val="right"/>
              <w:rPr>
                <w:rFonts w:asciiTheme="minorHAnsi" w:hAnsiTheme="minorHAnsi" w:cstheme="minorHAnsi"/>
                <w:b/>
                <w:bCs/>
              </w:rPr>
            </w:pPr>
            <w:r w:rsidRPr="00941D55">
              <w:rPr>
                <w:rFonts w:asciiTheme="minorHAnsi" w:hAnsiTheme="minorHAnsi" w:cstheme="minorHAnsi"/>
                <w:b/>
                <w:bCs/>
              </w:rPr>
              <w:t>168%</w:t>
            </w:r>
          </w:p>
        </w:tc>
        <w:tc>
          <w:tcPr>
            <w:tcW w:w="1054" w:type="dxa"/>
          </w:tcPr>
          <w:p w14:paraId="39885C07" w14:textId="77777777" w:rsidR="00B02873" w:rsidRPr="00941D55" w:rsidRDefault="00B02873" w:rsidP="00941D55">
            <w:pPr>
              <w:pStyle w:val="TablebodyleftFinancialsTables"/>
              <w:jc w:val="right"/>
              <w:rPr>
                <w:rFonts w:asciiTheme="minorHAnsi" w:hAnsiTheme="minorHAnsi" w:cstheme="minorHAnsi"/>
                <w:b/>
                <w:bCs/>
              </w:rPr>
            </w:pPr>
          </w:p>
        </w:tc>
      </w:tr>
      <w:tr w:rsidR="00B02873" w:rsidRPr="00941D55" w14:paraId="177D4C33" w14:textId="77777777" w:rsidTr="00941D55">
        <w:tc>
          <w:tcPr>
            <w:tcW w:w="4390" w:type="dxa"/>
          </w:tcPr>
          <w:p w14:paraId="7AC9D0F6" w14:textId="77777777" w:rsidR="00B02873" w:rsidRPr="00941D55" w:rsidRDefault="00B02873" w:rsidP="00941D55">
            <w:pPr>
              <w:pStyle w:val="TablebodyleftFinancialsTables"/>
              <w:rPr>
                <w:rFonts w:asciiTheme="minorHAnsi" w:hAnsiTheme="minorHAnsi" w:cstheme="minorHAnsi"/>
                <w:b/>
                <w:bCs/>
              </w:rPr>
            </w:pPr>
            <w:r w:rsidRPr="00941D55">
              <w:rPr>
                <w:rFonts w:asciiTheme="minorHAnsi" w:hAnsiTheme="minorHAnsi" w:cstheme="minorHAnsi"/>
                <w:b/>
                <w:bCs/>
              </w:rPr>
              <w:t>Net result</w:t>
            </w:r>
          </w:p>
        </w:tc>
        <w:tc>
          <w:tcPr>
            <w:tcW w:w="1134" w:type="dxa"/>
          </w:tcPr>
          <w:p w14:paraId="2B6262A2" w14:textId="77777777" w:rsidR="00B02873" w:rsidRPr="00941D55" w:rsidRDefault="00B02873" w:rsidP="00941D55">
            <w:pPr>
              <w:pStyle w:val="TablebodyleftFinancialsTables"/>
              <w:jc w:val="right"/>
              <w:rPr>
                <w:rFonts w:asciiTheme="minorHAnsi" w:hAnsiTheme="minorHAnsi" w:cstheme="minorHAnsi"/>
                <w:b/>
                <w:bCs/>
              </w:rPr>
            </w:pPr>
            <w:r w:rsidRPr="00941D55">
              <w:rPr>
                <w:rFonts w:asciiTheme="minorHAnsi" w:hAnsiTheme="minorHAnsi" w:cstheme="minorHAnsi"/>
                <w:b/>
                <w:bCs/>
              </w:rPr>
              <w:t>117</w:t>
            </w:r>
          </w:p>
        </w:tc>
        <w:tc>
          <w:tcPr>
            <w:tcW w:w="1078" w:type="dxa"/>
          </w:tcPr>
          <w:p w14:paraId="786E9EAA" w14:textId="77777777" w:rsidR="00B02873" w:rsidRPr="00941D55" w:rsidRDefault="00B02873" w:rsidP="00941D55">
            <w:pPr>
              <w:pStyle w:val="TablebodyleftFinancialsTables"/>
              <w:jc w:val="right"/>
              <w:rPr>
                <w:rFonts w:asciiTheme="minorHAnsi" w:hAnsiTheme="minorHAnsi" w:cstheme="minorHAnsi"/>
                <w:b/>
                <w:bCs/>
              </w:rPr>
            </w:pPr>
            <w:r w:rsidRPr="00941D55">
              <w:rPr>
                <w:rFonts w:asciiTheme="minorHAnsi" w:hAnsiTheme="minorHAnsi" w:cstheme="minorHAnsi"/>
                <w:b/>
                <w:bCs/>
              </w:rPr>
              <w:t>56</w:t>
            </w:r>
          </w:p>
        </w:tc>
        <w:tc>
          <w:tcPr>
            <w:tcW w:w="1190" w:type="dxa"/>
          </w:tcPr>
          <w:p w14:paraId="46C9DA57" w14:textId="77777777" w:rsidR="00B02873" w:rsidRPr="00941D55" w:rsidRDefault="00B02873" w:rsidP="00941D55">
            <w:pPr>
              <w:pStyle w:val="TablebodyleftFinancialsTables"/>
              <w:jc w:val="right"/>
              <w:rPr>
                <w:rFonts w:asciiTheme="minorHAnsi" w:hAnsiTheme="minorHAnsi" w:cstheme="minorHAnsi"/>
                <w:b/>
                <w:bCs/>
              </w:rPr>
            </w:pPr>
            <w:r w:rsidRPr="00941D55">
              <w:rPr>
                <w:rFonts w:asciiTheme="minorHAnsi" w:hAnsiTheme="minorHAnsi" w:cstheme="minorHAnsi"/>
                <w:b/>
                <w:bCs/>
              </w:rPr>
              <w:t>61</w:t>
            </w:r>
          </w:p>
        </w:tc>
        <w:tc>
          <w:tcPr>
            <w:tcW w:w="1049" w:type="dxa"/>
          </w:tcPr>
          <w:p w14:paraId="48CA1BBD" w14:textId="77777777" w:rsidR="00B02873" w:rsidRPr="00941D55" w:rsidRDefault="00B02873" w:rsidP="00941D55">
            <w:pPr>
              <w:pStyle w:val="TablebodyleftFinancialsTables"/>
              <w:jc w:val="right"/>
              <w:rPr>
                <w:rFonts w:asciiTheme="minorHAnsi" w:hAnsiTheme="minorHAnsi" w:cstheme="minorHAnsi"/>
                <w:b/>
                <w:bCs/>
              </w:rPr>
            </w:pPr>
            <w:r w:rsidRPr="00941D55">
              <w:rPr>
                <w:rFonts w:asciiTheme="minorHAnsi" w:hAnsiTheme="minorHAnsi" w:cstheme="minorHAnsi"/>
                <w:b/>
                <w:bCs/>
              </w:rPr>
              <w:t>109%</w:t>
            </w:r>
          </w:p>
        </w:tc>
        <w:tc>
          <w:tcPr>
            <w:tcW w:w="1054" w:type="dxa"/>
          </w:tcPr>
          <w:p w14:paraId="0C96FD3A" w14:textId="77777777" w:rsidR="00B02873" w:rsidRPr="00941D55" w:rsidRDefault="00B02873" w:rsidP="00941D55">
            <w:pPr>
              <w:pStyle w:val="TablebodyleftFinancialsTables"/>
              <w:jc w:val="right"/>
              <w:rPr>
                <w:rFonts w:asciiTheme="minorHAnsi" w:hAnsiTheme="minorHAnsi" w:cstheme="minorHAnsi"/>
                <w:b/>
                <w:bCs/>
              </w:rPr>
            </w:pPr>
          </w:p>
        </w:tc>
      </w:tr>
      <w:tr w:rsidR="00941D55" w:rsidRPr="00941D55" w14:paraId="23AEFC66" w14:textId="77777777" w:rsidTr="00941D55">
        <w:tc>
          <w:tcPr>
            <w:tcW w:w="4390" w:type="dxa"/>
          </w:tcPr>
          <w:p w14:paraId="467DE3DD" w14:textId="68199C6A" w:rsidR="00941D55" w:rsidRPr="00941D55" w:rsidRDefault="00941D55" w:rsidP="00DD6917">
            <w:pPr>
              <w:pStyle w:val="TablebodyleftFinancialsTables"/>
              <w:rPr>
                <w:rFonts w:asciiTheme="minorHAnsi" w:hAnsiTheme="minorHAnsi" w:cstheme="minorHAnsi"/>
                <w:b/>
                <w:bCs/>
              </w:rPr>
            </w:pPr>
            <w:r w:rsidRPr="00941D55">
              <w:rPr>
                <w:rFonts w:asciiTheme="minorHAnsi" w:hAnsiTheme="minorHAnsi" w:cstheme="minorHAnsi"/>
                <w:b/>
                <w:bCs/>
                <w:i/>
                <w:iCs/>
              </w:rPr>
              <w:t>Other economic flows – other comprehensive income</w:t>
            </w:r>
          </w:p>
        </w:tc>
        <w:tc>
          <w:tcPr>
            <w:tcW w:w="1134" w:type="dxa"/>
          </w:tcPr>
          <w:p w14:paraId="669B7185" w14:textId="77777777" w:rsidR="00941D55" w:rsidRPr="00941D55" w:rsidRDefault="00941D55" w:rsidP="00DD6917">
            <w:pPr>
              <w:pStyle w:val="TablebodyleftFinancialsTables"/>
              <w:jc w:val="right"/>
              <w:rPr>
                <w:rFonts w:asciiTheme="minorHAnsi" w:hAnsiTheme="minorHAnsi" w:cstheme="minorHAnsi"/>
              </w:rPr>
            </w:pPr>
          </w:p>
        </w:tc>
        <w:tc>
          <w:tcPr>
            <w:tcW w:w="1078" w:type="dxa"/>
          </w:tcPr>
          <w:p w14:paraId="745EEC28" w14:textId="77777777" w:rsidR="00941D55" w:rsidRPr="00941D55" w:rsidRDefault="00941D55" w:rsidP="00DD6917">
            <w:pPr>
              <w:pStyle w:val="TablebodyleftFinancialsTables"/>
              <w:jc w:val="right"/>
              <w:rPr>
                <w:rFonts w:asciiTheme="minorHAnsi" w:hAnsiTheme="minorHAnsi" w:cstheme="minorHAnsi"/>
              </w:rPr>
            </w:pPr>
          </w:p>
        </w:tc>
        <w:tc>
          <w:tcPr>
            <w:tcW w:w="1190" w:type="dxa"/>
          </w:tcPr>
          <w:p w14:paraId="7896A97F" w14:textId="77777777" w:rsidR="00941D55" w:rsidRPr="00941D55" w:rsidRDefault="00941D55" w:rsidP="00DD6917">
            <w:pPr>
              <w:pStyle w:val="TablebodyleftFinancialsTables"/>
              <w:jc w:val="right"/>
              <w:rPr>
                <w:rFonts w:asciiTheme="minorHAnsi" w:hAnsiTheme="minorHAnsi" w:cstheme="minorHAnsi"/>
              </w:rPr>
            </w:pPr>
          </w:p>
        </w:tc>
        <w:tc>
          <w:tcPr>
            <w:tcW w:w="1049" w:type="dxa"/>
          </w:tcPr>
          <w:p w14:paraId="46F16DCA" w14:textId="77777777" w:rsidR="00941D55" w:rsidRPr="00941D55" w:rsidRDefault="00941D55" w:rsidP="00DD6917">
            <w:pPr>
              <w:pStyle w:val="TablebodyleftFinancialsTables"/>
              <w:jc w:val="right"/>
              <w:rPr>
                <w:rFonts w:asciiTheme="minorHAnsi" w:hAnsiTheme="minorHAnsi" w:cstheme="minorHAnsi"/>
              </w:rPr>
            </w:pPr>
          </w:p>
        </w:tc>
        <w:tc>
          <w:tcPr>
            <w:tcW w:w="1054" w:type="dxa"/>
          </w:tcPr>
          <w:p w14:paraId="370DB394" w14:textId="77777777" w:rsidR="00941D55" w:rsidRPr="00941D55" w:rsidRDefault="00941D55" w:rsidP="00DD6917">
            <w:pPr>
              <w:pStyle w:val="TablebodyleftFinancialsTables"/>
              <w:jc w:val="right"/>
              <w:rPr>
                <w:rFonts w:asciiTheme="minorHAnsi" w:hAnsiTheme="minorHAnsi" w:cstheme="minorHAnsi"/>
              </w:rPr>
            </w:pPr>
          </w:p>
        </w:tc>
      </w:tr>
      <w:tr w:rsidR="00B02873" w:rsidRPr="00941D55" w14:paraId="378BA8B8" w14:textId="77777777" w:rsidTr="00941D55">
        <w:tc>
          <w:tcPr>
            <w:tcW w:w="4390" w:type="dxa"/>
          </w:tcPr>
          <w:p w14:paraId="6F3B7BAF" w14:textId="77777777" w:rsidR="00B02873" w:rsidRPr="00941D55" w:rsidRDefault="00B02873" w:rsidP="00941D55">
            <w:pPr>
              <w:pStyle w:val="TablebodyleftFinancialsTables"/>
              <w:rPr>
                <w:rFonts w:asciiTheme="minorHAnsi" w:hAnsiTheme="minorHAnsi" w:cstheme="minorHAnsi"/>
              </w:rPr>
            </w:pPr>
            <w:r w:rsidRPr="00941D55">
              <w:rPr>
                <w:rFonts w:asciiTheme="minorHAnsi" w:hAnsiTheme="minorHAnsi" w:cstheme="minorHAnsi"/>
              </w:rPr>
              <w:t xml:space="preserve">Asset revaluation reserve </w:t>
            </w:r>
          </w:p>
        </w:tc>
        <w:tc>
          <w:tcPr>
            <w:tcW w:w="1134" w:type="dxa"/>
          </w:tcPr>
          <w:p w14:paraId="5804CD5A" w14:textId="77777777" w:rsidR="00B02873" w:rsidRPr="00941D55" w:rsidRDefault="00B02873" w:rsidP="00941D55">
            <w:pPr>
              <w:pStyle w:val="TablebodyleftFinancialsTables"/>
              <w:jc w:val="right"/>
              <w:rPr>
                <w:rFonts w:asciiTheme="minorHAnsi" w:hAnsiTheme="minorHAnsi" w:cstheme="minorHAnsi"/>
              </w:rPr>
            </w:pPr>
            <w:r w:rsidRPr="00941D55">
              <w:rPr>
                <w:rFonts w:asciiTheme="minorHAnsi" w:hAnsiTheme="minorHAnsi" w:cstheme="minorHAnsi"/>
              </w:rPr>
              <w:t>140</w:t>
            </w:r>
          </w:p>
        </w:tc>
        <w:tc>
          <w:tcPr>
            <w:tcW w:w="1078" w:type="dxa"/>
          </w:tcPr>
          <w:p w14:paraId="4B46DB5F" w14:textId="77777777" w:rsidR="00B02873" w:rsidRPr="00941D55" w:rsidRDefault="00B02873" w:rsidP="00941D55">
            <w:pPr>
              <w:pStyle w:val="TablebodyleftFinancialsTables"/>
              <w:jc w:val="right"/>
              <w:rPr>
                <w:rFonts w:asciiTheme="minorHAnsi" w:hAnsiTheme="minorHAnsi" w:cstheme="minorHAnsi"/>
              </w:rPr>
            </w:pPr>
            <w:r w:rsidRPr="00941D55">
              <w:rPr>
                <w:rFonts w:asciiTheme="minorHAnsi" w:hAnsiTheme="minorHAnsi" w:cstheme="minorHAnsi"/>
              </w:rPr>
              <w:t>0</w:t>
            </w:r>
          </w:p>
        </w:tc>
        <w:tc>
          <w:tcPr>
            <w:tcW w:w="1190" w:type="dxa"/>
          </w:tcPr>
          <w:p w14:paraId="785AB801" w14:textId="77777777" w:rsidR="00B02873" w:rsidRPr="00941D55" w:rsidRDefault="00B02873" w:rsidP="00941D55">
            <w:pPr>
              <w:pStyle w:val="TablebodyleftFinancialsTables"/>
              <w:jc w:val="right"/>
              <w:rPr>
                <w:rFonts w:asciiTheme="minorHAnsi" w:hAnsiTheme="minorHAnsi" w:cstheme="minorHAnsi"/>
              </w:rPr>
            </w:pPr>
            <w:r w:rsidRPr="00941D55">
              <w:rPr>
                <w:rFonts w:asciiTheme="minorHAnsi" w:hAnsiTheme="minorHAnsi" w:cstheme="minorHAnsi"/>
              </w:rPr>
              <w:t>140</w:t>
            </w:r>
          </w:p>
        </w:tc>
        <w:tc>
          <w:tcPr>
            <w:tcW w:w="1049" w:type="dxa"/>
          </w:tcPr>
          <w:p w14:paraId="4B51FF2A" w14:textId="77777777" w:rsidR="00B02873" w:rsidRPr="00941D55" w:rsidRDefault="00B02873" w:rsidP="00941D55">
            <w:pPr>
              <w:pStyle w:val="TablebodyleftFinancialsTables"/>
              <w:jc w:val="right"/>
              <w:rPr>
                <w:rFonts w:asciiTheme="minorHAnsi" w:hAnsiTheme="minorHAnsi" w:cstheme="minorHAnsi"/>
              </w:rPr>
            </w:pPr>
            <w:r w:rsidRPr="00941D55">
              <w:rPr>
                <w:rFonts w:asciiTheme="minorHAnsi" w:hAnsiTheme="minorHAnsi" w:cstheme="minorHAnsi"/>
              </w:rPr>
              <w:t>100%</w:t>
            </w:r>
          </w:p>
        </w:tc>
        <w:tc>
          <w:tcPr>
            <w:tcW w:w="1054" w:type="dxa"/>
          </w:tcPr>
          <w:p w14:paraId="23B6D164" w14:textId="77777777" w:rsidR="00B02873" w:rsidRPr="00941D55" w:rsidRDefault="00B02873" w:rsidP="00941D55">
            <w:pPr>
              <w:pStyle w:val="TablebodyleftFinancialsTables"/>
              <w:jc w:val="right"/>
              <w:rPr>
                <w:rFonts w:asciiTheme="minorHAnsi" w:hAnsiTheme="minorHAnsi" w:cstheme="minorHAnsi"/>
              </w:rPr>
            </w:pPr>
            <w:r w:rsidRPr="00941D55">
              <w:rPr>
                <w:rFonts w:asciiTheme="minorHAnsi" w:hAnsiTheme="minorHAnsi" w:cstheme="minorHAnsi"/>
              </w:rPr>
              <w:t>6</w:t>
            </w:r>
          </w:p>
        </w:tc>
      </w:tr>
      <w:tr w:rsidR="00B02873" w:rsidRPr="00941D55" w14:paraId="5E10D6DC" w14:textId="77777777" w:rsidTr="00941D55">
        <w:tc>
          <w:tcPr>
            <w:tcW w:w="4390" w:type="dxa"/>
          </w:tcPr>
          <w:p w14:paraId="03D467F3" w14:textId="77777777" w:rsidR="00B02873" w:rsidRPr="00941D55" w:rsidRDefault="00B02873" w:rsidP="00941D55">
            <w:pPr>
              <w:pStyle w:val="TablebodyleftFinancialsTables"/>
              <w:rPr>
                <w:rFonts w:asciiTheme="minorHAnsi" w:hAnsiTheme="minorHAnsi" w:cstheme="minorHAnsi"/>
              </w:rPr>
            </w:pPr>
            <w:r w:rsidRPr="00941D55">
              <w:rPr>
                <w:rFonts w:asciiTheme="minorHAnsi" w:hAnsiTheme="minorHAnsi" w:cstheme="minorHAnsi"/>
                <w:spacing w:val="-3"/>
              </w:rPr>
              <w:t>Adjustment to accumulated surplus/(deficit) due to a change in accounting policy</w:t>
            </w:r>
          </w:p>
        </w:tc>
        <w:tc>
          <w:tcPr>
            <w:tcW w:w="1134" w:type="dxa"/>
          </w:tcPr>
          <w:p w14:paraId="06A4853C" w14:textId="77777777" w:rsidR="00B02873" w:rsidRPr="00941D55" w:rsidRDefault="00B02873" w:rsidP="00941D55">
            <w:pPr>
              <w:pStyle w:val="TablebodyleftFinancialsTables"/>
              <w:jc w:val="right"/>
              <w:rPr>
                <w:rFonts w:asciiTheme="minorHAnsi" w:hAnsiTheme="minorHAnsi" w:cstheme="minorHAnsi"/>
              </w:rPr>
            </w:pPr>
            <w:r w:rsidRPr="00941D55">
              <w:rPr>
                <w:rFonts w:asciiTheme="minorHAnsi" w:hAnsiTheme="minorHAnsi" w:cstheme="minorHAnsi"/>
              </w:rPr>
              <w:t>646</w:t>
            </w:r>
          </w:p>
        </w:tc>
        <w:tc>
          <w:tcPr>
            <w:tcW w:w="1078" w:type="dxa"/>
          </w:tcPr>
          <w:p w14:paraId="70980BDC" w14:textId="77777777" w:rsidR="00B02873" w:rsidRPr="00941D55" w:rsidRDefault="00B02873" w:rsidP="00941D55">
            <w:pPr>
              <w:pStyle w:val="TablebodyleftFinancialsTables"/>
              <w:jc w:val="right"/>
              <w:rPr>
                <w:rFonts w:asciiTheme="minorHAnsi" w:hAnsiTheme="minorHAnsi" w:cstheme="minorHAnsi"/>
              </w:rPr>
            </w:pPr>
            <w:r w:rsidRPr="00941D55">
              <w:rPr>
                <w:rFonts w:asciiTheme="minorHAnsi" w:hAnsiTheme="minorHAnsi" w:cstheme="minorHAnsi"/>
              </w:rPr>
              <w:t>0</w:t>
            </w:r>
          </w:p>
        </w:tc>
        <w:tc>
          <w:tcPr>
            <w:tcW w:w="1190" w:type="dxa"/>
          </w:tcPr>
          <w:p w14:paraId="140BF88D" w14:textId="77777777" w:rsidR="00B02873" w:rsidRPr="00941D55" w:rsidRDefault="00B02873" w:rsidP="00941D55">
            <w:pPr>
              <w:pStyle w:val="TablebodyleftFinancialsTables"/>
              <w:jc w:val="right"/>
              <w:rPr>
                <w:rFonts w:asciiTheme="minorHAnsi" w:hAnsiTheme="minorHAnsi" w:cstheme="minorHAnsi"/>
              </w:rPr>
            </w:pPr>
            <w:r w:rsidRPr="00941D55">
              <w:rPr>
                <w:rFonts w:asciiTheme="minorHAnsi" w:hAnsiTheme="minorHAnsi" w:cstheme="minorHAnsi"/>
              </w:rPr>
              <w:t>646</w:t>
            </w:r>
          </w:p>
        </w:tc>
        <w:tc>
          <w:tcPr>
            <w:tcW w:w="1049" w:type="dxa"/>
          </w:tcPr>
          <w:p w14:paraId="2A4AF5FE" w14:textId="77777777" w:rsidR="00B02873" w:rsidRPr="00941D55" w:rsidRDefault="00B02873" w:rsidP="00941D55">
            <w:pPr>
              <w:pStyle w:val="TablebodyleftFinancialsTables"/>
              <w:jc w:val="right"/>
              <w:rPr>
                <w:rFonts w:asciiTheme="minorHAnsi" w:hAnsiTheme="minorHAnsi" w:cstheme="minorHAnsi"/>
              </w:rPr>
            </w:pPr>
            <w:r w:rsidRPr="00941D55">
              <w:rPr>
                <w:rFonts w:asciiTheme="minorHAnsi" w:hAnsiTheme="minorHAnsi" w:cstheme="minorHAnsi"/>
              </w:rPr>
              <w:t>100%</w:t>
            </w:r>
          </w:p>
        </w:tc>
        <w:tc>
          <w:tcPr>
            <w:tcW w:w="1054" w:type="dxa"/>
          </w:tcPr>
          <w:p w14:paraId="18CBD0AA" w14:textId="77777777" w:rsidR="00B02873" w:rsidRPr="00941D55" w:rsidRDefault="00B02873" w:rsidP="00941D55">
            <w:pPr>
              <w:pStyle w:val="TablebodyleftFinancialsTables"/>
              <w:jc w:val="right"/>
              <w:rPr>
                <w:rFonts w:asciiTheme="minorHAnsi" w:hAnsiTheme="minorHAnsi" w:cstheme="minorHAnsi"/>
              </w:rPr>
            </w:pPr>
            <w:r w:rsidRPr="00941D55">
              <w:rPr>
                <w:rFonts w:asciiTheme="minorHAnsi" w:hAnsiTheme="minorHAnsi" w:cstheme="minorHAnsi"/>
              </w:rPr>
              <w:t>7</w:t>
            </w:r>
          </w:p>
        </w:tc>
      </w:tr>
      <w:tr w:rsidR="00B02873" w:rsidRPr="00941D55" w14:paraId="2AECA4EC" w14:textId="77777777" w:rsidTr="00941D55">
        <w:tc>
          <w:tcPr>
            <w:tcW w:w="4390" w:type="dxa"/>
          </w:tcPr>
          <w:p w14:paraId="470F8C3D" w14:textId="764549B9" w:rsidR="00B02873" w:rsidRPr="00941D55" w:rsidRDefault="00B02873" w:rsidP="00941D55">
            <w:pPr>
              <w:pStyle w:val="TablebodyleftFinancialsTables"/>
              <w:rPr>
                <w:rFonts w:asciiTheme="minorHAnsi" w:hAnsiTheme="minorHAnsi" w:cstheme="minorHAnsi"/>
                <w:b/>
                <w:bCs/>
              </w:rPr>
            </w:pPr>
            <w:r w:rsidRPr="00941D55">
              <w:rPr>
                <w:rFonts w:asciiTheme="minorHAnsi" w:hAnsiTheme="minorHAnsi" w:cstheme="minorHAnsi"/>
                <w:b/>
                <w:bCs/>
              </w:rPr>
              <w:t>Total other economic flows – other comprehensive income</w:t>
            </w:r>
          </w:p>
        </w:tc>
        <w:tc>
          <w:tcPr>
            <w:tcW w:w="1134" w:type="dxa"/>
          </w:tcPr>
          <w:p w14:paraId="3A83E397" w14:textId="77777777" w:rsidR="00B02873" w:rsidRPr="00941D55" w:rsidRDefault="00B02873" w:rsidP="00941D55">
            <w:pPr>
              <w:pStyle w:val="TablebodyleftFinancialsTables"/>
              <w:jc w:val="right"/>
              <w:rPr>
                <w:rFonts w:asciiTheme="minorHAnsi" w:hAnsiTheme="minorHAnsi" w:cstheme="minorHAnsi"/>
                <w:b/>
                <w:bCs/>
              </w:rPr>
            </w:pPr>
            <w:r w:rsidRPr="00941D55">
              <w:rPr>
                <w:rFonts w:asciiTheme="minorHAnsi" w:hAnsiTheme="minorHAnsi" w:cstheme="minorHAnsi"/>
                <w:b/>
                <w:bCs/>
              </w:rPr>
              <w:t>786</w:t>
            </w:r>
          </w:p>
        </w:tc>
        <w:tc>
          <w:tcPr>
            <w:tcW w:w="1078" w:type="dxa"/>
          </w:tcPr>
          <w:p w14:paraId="70BEF31E" w14:textId="77777777" w:rsidR="00B02873" w:rsidRPr="00941D55" w:rsidRDefault="00B02873" w:rsidP="00941D55">
            <w:pPr>
              <w:pStyle w:val="TablebodyleftFinancialsTables"/>
              <w:jc w:val="right"/>
              <w:rPr>
                <w:rFonts w:asciiTheme="minorHAnsi" w:hAnsiTheme="minorHAnsi" w:cstheme="minorHAnsi"/>
                <w:b/>
                <w:bCs/>
              </w:rPr>
            </w:pPr>
            <w:r w:rsidRPr="00941D55">
              <w:rPr>
                <w:rFonts w:asciiTheme="minorHAnsi" w:hAnsiTheme="minorHAnsi" w:cstheme="minorHAnsi"/>
                <w:b/>
                <w:bCs/>
              </w:rPr>
              <w:t>0</w:t>
            </w:r>
          </w:p>
        </w:tc>
        <w:tc>
          <w:tcPr>
            <w:tcW w:w="1190" w:type="dxa"/>
          </w:tcPr>
          <w:p w14:paraId="6881A8E0" w14:textId="77777777" w:rsidR="00B02873" w:rsidRPr="00941D55" w:rsidRDefault="00B02873" w:rsidP="00941D55">
            <w:pPr>
              <w:pStyle w:val="TablebodyleftFinancialsTables"/>
              <w:jc w:val="right"/>
              <w:rPr>
                <w:rFonts w:asciiTheme="minorHAnsi" w:hAnsiTheme="minorHAnsi" w:cstheme="minorHAnsi"/>
                <w:b/>
                <w:bCs/>
              </w:rPr>
            </w:pPr>
            <w:r w:rsidRPr="00941D55">
              <w:rPr>
                <w:rFonts w:asciiTheme="minorHAnsi" w:hAnsiTheme="minorHAnsi" w:cstheme="minorHAnsi"/>
                <w:b/>
                <w:bCs/>
              </w:rPr>
              <w:t>786</w:t>
            </w:r>
          </w:p>
        </w:tc>
        <w:tc>
          <w:tcPr>
            <w:tcW w:w="1049" w:type="dxa"/>
          </w:tcPr>
          <w:p w14:paraId="513897A1" w14:textId="77777777" w:rsidR="00B02873" w:rsidRPr="00941D55" w:rsidRDefault="00B02873" w:rsidP="00941D55">
            <w:pPr>
              <w:pStyle w:val="TablebodyleftFinancialsTables"/>
              <w:jc w:val="right"/>
              <w:rPr>
                <w:rFonts w:asciiTheme="minorHAnsi" w:hAnsiTheme="minorHAnsi" w:cstheme="minorHAnsi"/>
                <w:b/>
                <w:bCs/>
              </w:rPr>
            </w:pPr>
            <w:r w:rsidRPr="00941D55">
              <w:rPr>
                <w:rFonts w:asciiTheme="minorHAnsi" w:hAnsiTheme="minorHAnsi" w:cstheme="minorHAnsi"/>
                <w:b/>
                <w:bCs/>
              </w:rPr>
              <w:t>100%</w:t>
            </w:r>
          </w:p>
        </w:tc>
        <w:tc>
          <w:tcPr>
            <w:tcW w:w="1054" w:type="dxa"/>
          </w:tcPr>
          <w:p w14:paraId="031DD7CE" w14:textId="77777777" w:rsidR="00B02873" w:rsidRPr="00941D55" w:rsidRDefault="00B02873" w:rsidP="00941D55">
            <w:pPr>
              <w:pStyle w:val="TablebodyleftFinancialsTables"/>
              <w:jc w:val="right"/>
              <w:rPr>
                <w:rFonts w:asciiTheme="minorHAnsi" w:hAnsiTheme="minorHAnsi" w:cstheme="minorHAnsi"/>
                <w:b/>
                <w:bCs/>
              </w:rPr>
            </w:pPr>
          </w:p>
        </w:tc>
      </w:tr>
      <w:tr w:rsidR="00B02873" w:rsidRPr="00941D55" w14:paraId="5C9CA9DB" w14:textId="77777777" w:rsidTr="00941D55">
        <w:tc>
          <w:tcPr>
            <w:tcW w:w="4390" w:type="dxa"/>
          </w:tcPr>
          <w:p w14:paraId="537FB638" w14:textId="77777777" w:rsidR="00B02873" w:rsidRPr="00941D55" w:rsidRDefault="00B02873" w:rsidP="00941D55">
            <w:pPr>
              <w:pStyle w:val="TablebodyleftFinancialsTables"/>
              <w:rPr>
                <w:rFonts w:asciiTheme="minorHAnsi" w:hAnsiTheme="minorHAnsi" w:cstheme="minorHAnsi"/>
                <w:b/>
                <w:bCs/>
              </w:rPr>
            </w:pPr>
            <w:r w:rsidRPr="00941D55">
              <w:rPr>
                <w:rFonts w:asciiTheme="minorHAnsi" w:hAnsiTheme="minorHAnsi" w:cstheme="minorHAnsi"/>
                <w:b/>
                <w:bCs/>
              </w:rPr>
              <w:t>Comprehensive result</w:t>
            </w:r>
          </w:p>
        </w:tc>
        <w:tc>
          <w:tcPr>
            <w:tcW w:w="1134" w:type="dxa"/>
          </w:tcPr>
          <w:p w14:paraId="657E73EF" w14:textId="77777777" w:rsidR="00B02873" w:rsidRPr="00941D55" w:rsidRDefault="00B02873" w:rsidP="00941D55">
            <w:pPr>
              <w:pStyle w:val="TablebodyleftFinancialsTables"/>
              <w:jc w:val="right"/>
              <w:rPr>
                <w:rFonts w:asciiTheme="minorHAnsi" w:hAnsiTheme="minorHAnsi" w:cstheme="minorHAnsi"/>
                <w:b/>
                <w:bCs/>
              </w:rPr>
            </w:pPr>
            <w:r w:rsidRPr="00941D55">
              <w:rPr>
                <w:rFonts w:asciiTheme="minorHAnsi" w:hAnsiTheme="minorHAnsi" w:cstheme="minorHAnsi"/>
                <w:b/>
                <w:bCs/>
              </w:rPr>
              <w:t>903</w:t>
            </w:r>
          </w:p>
        </w:tc>
        <w:tc>
          <w:tcPr>
            <w:tcW w:w="1078" w:type="dxa"/>
          </w:tcPr>
          <w:p w14:paraId="3F327FC0" w14:textId="77777777" w:rsidR="00B02873" w:rsidRPr="00941D55" w:rsidRDefault="00B02873" w:rsidP="00941D55">
            <w:pPr>
              <w:pStyle w:val="TablebodyleftFinancialsTables"/>
              <w:jc w:val="right"/>
              <w:rPr>
                <w:rFonts w:asciiTheme="minorHAnsi" w:hAnsiTheme="minorHAnsi" w:cstheme="minorHAnsi"/>
                <w:b/>
                <w:bCs/>
              </w:rPr>
            </w:pPr>
            <w:r w:rsidRPr="00941D55">
              <w:rPr>
                <w:rFonts w:asciiTheme="minorHAnsi" w:hAnsiTheme="minorHAnsi" w:cstheme="minorHAnsi"/>
                <w:b/>
                <w:bCs/>
              </w:rPr>
              <w:t>56</w:t>
            </w:r>
          </w:p>
        </w:tc>
        <w:tc>
          <w:tcPr>
            <w:tcW w:w="1190" w:type="dxa"/>
          </w:tcPr>
          <w:p w14:paraId="0F5BC01F" w14:textId="77777777" w:rsidR="00B02873" w:rsidRPr="00941D55" w:rsidRDefault="00B02873" w:rsidP="00941D55">
            <w:pPr>
              <w:pStyle w:val="TablebodyleftFinancialsTables"/>
              <w:jc w:val="right"/>
              <w:rPr>
                <w:rFonts w:asciiTheme="minorHAnsi" w:hAnsiTheme="minorHAnsi" w:cstheme="minorHAnsi"/>
                <w:b/>
                <w:bCs/>
              </w:rPr>
            </w:pPr>
            <w:r w:rsidRPr="00941D55">
              <w:rPr>
                <w:rFonts w:asciiTheme="minorHAnsi" w:hAnsiTheme="minorHAnsi" w:cstheme="minorHAnsi"/>
                <w:b/>
                <w:bCs/>
              </w:rPr>
              <w:t>847</w:t>
            </w:r>
          </w:p>
        </w:tc>
        <w:tc>
          <w:tcPr>
            <w:tcW w:w="1049" w:type="dxa"/>
          </w:tcPr>
          <w:p w14:paraId="4DE610CB" w14:textId="77777777" w:rsidR="00B02873" w:rsidRPr="00941D55" w:rsidRDefault="00B02873" w:rsidP="00941D55">
            <w:pPr>
              <w:pStyle w:val="TablebodyleftFinancialsTables"/>
              <w:jc w:val="right"/>
              <w:rPr>
                <w:rFonts w:asciiTheme="minorHAnsi" w:hAnsiTheme="minorHAnsi" w:cstheme="minorHAnsi"/>
                <w:b/>
                <w:bCs/>
              </w:rPr>
            </w:pPr>
            <w:r w:rsidRPr="00941D55">
              <w:rPr>
                <w:rFonts w:asciiTheme="minorHAnsi" w:hAnsiTheme="minorHAnsi" w:cstheme="minorHAnsi"/>
                <w:b/>
                <w:bCs/>
              </w:rPr>
              <w:t>1,513%</w:t>
            </w:r>
          </w:p>
        </w:tc>
        <w:tc>
          <w:tcPr>
            <w:tcW w:w="1054" w:type="dxa"/>
          </w:tcPr>
          <w:p w14:paraId="0E1F2A0B" w14:textId="77777777" w:rsidR="00B02873" w:rsidRPr="00941D55" w:rsidRDefault="00B02873" w:rsidP="00941D55">
            <w:pPr>
              <w:pStyle w:val="TablebodyleftFinancialsTables"/>
              <w:jc w:val="right"/>
              <w:rPr>
                <w:rFonts w:asciiTheme="minorHAnsi" w:hAnsiTheme="minorHAnsi" w:cstheme="minorHAnsi"/>
                <w:b/>
                <w:bCs/>
              </w:rPr>
            </w:pPr>
          </w:p>
        </w:tc>
      </w:tr>
    </w:tbl>
    <w:p w14:paraId="012D29CD" w14:textId="77777777" w:rsidR="00B02873" w:rsidRDefault="00B02873" w:rsidP="00FE198A"/>
    <w:tbl>
      <w:tblPr>
        <w:tblStyle w:val="TableGrid"/>
        <w:tblW w:w="9635" w:type="dxa"/>
        <w:tblLayout w:type="fixed"/>
        <w:tblLook w:val="0020" w:firstRow="1" w:lastRow="0" w:firstColumn="0" w:lastColumn="0" w:noHBand="0" w:noVBand="0"/>
      </w:tblPr>
      <w:tblGrid>
        <w:gridCol w:w="3681"/>
        <w:gridCol w:w="1190"/>
        <w:gridCol w:w="1191"/>
        <w:gridCol w:w="1191"/>
        <w:gridCol w:w="1191"/>
        <w:gridCol w:w="1191"/>
      </w:tblGrid>
      <w:tr w:rsidR="00B02873" w:rsidRPr="00EB4F72" w14:paraId="3F94B429" w14:textId="77777777" w:rsidTr="00EB4F72">
        <w:trPr>
          <w:cnfStyle w:val="100000000000" w:firstRow="1" w:lastRow="0" w:firstColumn="0" w:lastColumn="0" w:oddVBand="0" w:evenVBand="0" w:oddHBand="0" w:evenHBand="0" w:firstRowFirstColumn="0" w:firstRowLastColumn="0" w:lastRowFirstColumn="0" w:lastRowLastColumn="0"/>
        </w:trPr>
        <w:tc>
          <w:tcPr>
            <w:tcW w:w="3681" w:type="dxa"/>
          </w:tcPr>
          <w:p w14:paraId="3CA95EE3" w14:textId="77777777" w:rsidR="00B02873" w:rsidRPr="00EB4F72" w:rsidRDefault="00B02873" w:rsidP="00EB4F72">
            <w:pPr>
              <w:pStyle w:val="TableheadingleftFinancialsTables"/>
              <w:rPr>
                <w:rFonts w:asciiTheme="minorHAnsi" w:hAnsiTheme="minorHAnsi" w:cstheme="minorHAnsi"/>
              </w:rPr>
            </w:pPr>
            <w:r w:rsidRPr="00EB4F72">
              <w:rPr>
                <w:rFonts w:asciiTheme="minorHAnsi" w:hAnsiTheme="minorHAnsi" w:cstheme="minorHAnsi"/>
              </w:rPr>
              <w:lastRenderedPageBreak/>
              <w:t>Administered items statement</w:t>
            </w:r>
          </w:p>
        </w:tc>
        <w:tc>
          <w:tcPr>
            <w:tcW w:w="1190" w:type="dxa"/>
          </w:tcPr>
          <w:p w14:paraId="48A9F3E5" w14:textId="77777777" w:rsidR="00B02873" w:rsidRPr="00EB4F72" w:rsidRDefault="00B02873" w:rsidP="00EB4F72">
            <w:pPr>
              <w:pStyle w:val="TableheadingleftFinancialsTables"/>
              <w:jc w:val="right"/>
              <w:rPr>
                <w:rFonts w:asciiTheme="minorHAnsi" w:hAnsiTheme="minorHAnsi" w:cstheme="minorHAnsi"/>
              </w:rPr>
            </w:pPr>
            <w:r w:rsidRPr="00EB4F72">
              <w:rPr>
                <w:rFonts w:asciiTheme="minorHAnsi" w:hAnsiTheme="minorHAnsi" w:cstheme="minorHAnsi"/>
              </w:rPr>
              <w:t>2021-22 Actual</w:t>
            </w:r>
            <w:r w:rsidRPr="00EB4F72">
              <w:rPr>
                <w:rFonts w:asciiTheme="minorHAnsi" w:hAnsiTheme="minorHAnsi" w:cstheme="minorHAnsi"/>
              </w:rPr>
              <w:br/>
              <w:t>($ million)</w:t>
            </w:r>
          </w:p>
        </w:tc>
        <w:tc>
          <w:tcPr>
            <w:tcW w:w="1191" w:type="dxa"/>
          </w:tcPr>
          <w:p w14:paraId="3AFE7DCB" w14:textId="77777777" w:rsidR="00B02873" w:rsidRPr="00EB4F72" w:rsidRDefault="00B02873" w:rsidP="00EB4F72">
            <w:pPr>
              <w:pStyle w:val="TableheadingleftFinancialsTables"/>
              <w:jc w:val="right"/>
              <w:rPr>
                <w:rFonts w:asciiTheme="minorHAnsi" w:hAnsiTheme="minorHAnsi" w:cstheme="minorHAnsi"/>
              </w:rPr>
            </w:pPr>
            <w:r w:rsidRPr="00EB4F72">
              <w:rPr>
                <w:rFonts w:asciiTheme="minorHAnsi" w:hAnsiTheme="minorHAnsi" w:cstheme="minorHAnsi"/>
              </w:rPr>
              <w:t xml:space="preserve">2021-22 Published Budget </w:t>
            </w:r>
            <w:r w:rsidRPr="00EB4F72">
              <w:rPr>
                <w:rFonts w:asciiTheme="minorHAnsi" w:hAnsiTheme="minorHAnsi" w:cstheme="minorHAnsi"/>
              </w:rPr>
              <w:br/>
              <w:t>($ million)</w:t>
            </w:r>
          </w:p>
        </w:tc>
        <w:tc>
          <w:tcPr>
            <w:tcW w:w="1191" w:type="dxa"/>
          </w:tcPr>
          <w:p w14:paraId="502CBA46" w14:textId="77777777" w:rsidR="00B02873" w:rsidRPr="00EB4F72" w:rsidRDefault="00B02873" w:rsidP="00EB4F72">
            <w:pPr>
              <w:pStyle w:val="TableheadingleftFinancialsTables"/>
              <w:jc w:val="right"/>
              <w:rPr>
                <w:rFonts w:asciiTheme="minorHAnsi" w:hAnsiTheme="minorHAnsi" w:cstheme="minorHAnsi"/>
              </w:rPr>
            </w:pPr>
            <w:r w:rsidRPr="00EB4F72">
              <w:rPr>
                <w:rFonts w:asciiTheme="minorHAnsi" w:hAnsiTheme="minorHAnsi" w:cstheme="minorHAnsi"/>
              </w:rPr>
              <w:t xml:space="preserve">Variance </w:t>
            </w:r>
            <w:r w:rsidRPr="00EB4F72">
              <w:rPr>
                <w:rFonts w:asciiTheme="minorHAnsi" w:hAnsiTheme="minorHAnsi" w:cstheme="minorHAnsi"/>
              </w:rPr>
              <w:br/>
              <w:t>($ million)</w:t>
            </w:r>
          </w:p>
        </w:tc>
        <w:tc>
          <w:tcPr>
            <w:tcW w:w="1191" w:type="dxa"/>
          </w:tcPr>
          <w:p w14:paraId="5EF2EDFD" w14:textId="77777777" w:rsidR="00B02873" w:rsidRPr="00EB4F72" w:rsidRDefault="00B02873" w:rsidP="00EB4F72">
            <w:pPr>
              <w:pStyle w:val="TableheadingleftFinancialsTables"/>
              <w:jc w:val="right"/>
              <w:rPr>
                <w:rFonts w:asciiTheme="minorHAnsi" w:hAnsiTheme="minorHAnsi" w:cstheme="minorHAnsi"/>
              </w:rPr>
            </w:pPr>
            <w:r w:rsidRPr="00EB4F72">
              <w:rPr>
                <w:rFonts w:asciiTheme="minorHAnsi" w:hAnsiTheme="minorHAnsi" w:cstheme="minorHAnsi"/>
              </w:rPr>
              <w:t xml:space="preserve">Variance </w:t>
            </w:r>
            <w:r w:rsidRPr="00EB4F72">
              <w:rPr>
                <w:rFonts w:asciiTheme="minorHAnsi" w:hAnsiTheme="minorHAnsi" w:cstheme="minorHAnsi"/>
              </w:rPr>
              <w:br/>
              <w:t>(%)</w:t>
            </w:r>
          </w:p>
        </w:tc>
        <w:tc>
          <w:tcPr>
            <w:tcW w:w="1191" w:type="dxa"/>
          </w:tcPr>
          <w:p w14:paraId="28A0E598" w14:textId="77777777" w:rsidR="00B02873" w:rsidRPr="00EB4F72" w:rsidRDefault="00B02873" w:rsidP="00EB4F72">
            <w:pPr>
              <w:pStyle w:val="TableheadingleftFinancialsTables"/>
              <w:jc w:val="right"/>
              <w:rPr>
                <w:rFonts w:asciiTheme="minorHAnsi" w:hAnsiTheme="minorHAnsi" w:cstheme="minorHAnsi"/>
              </w:rPr>
            </w:pPr>
            <w:r w:rsidRPr="00EB4F72">
              <w:rPr>
                <w:rFonts w:asciiTheme="minorHAnsi" w:hAnsiTheme="minorHAnsi" w:cstheme="minorHAnsi"/>
              </w:rPr>
              <w:t>Variance</w:t>
            </w:r>
            <w:r w:rsidRPr="00EB4F72">
              <w:rPr>
                <w:rFonts w:asciiTheme="minorHAnsi" w:hAnsiTheme="minorHAnsi" w:cstheme="minorHAnsi"/>
              </w:rPr>
              <w:br/>
              <w:t>Notes</w:t>
            </w:r>
          </w:p>
        </w:tc>
      </w:tr>
      <w:tr w:rsidR="00B02873" w:rsidRPr="00EB4F72" w14:paraId="6F098551" w14:textId="77777777" w:rsidTr="00EB4F72">
        <w:tc>
          <w:tcPr>
            <w:tcW w:w="3681" w:type="dxa"/>
          </w:tcPr>
          <w:p w14:paraId="46D06EB9" w14:textId="77777777" w:rsidR="00B02873" w:rsidRPr="00EB4F72" w:rsidRDefault="00B02873" w:rsidP="00EB4F72">
            <w:pPr>
              <w:pStyle w:val="TablebodyleftFinancialsTables"/>
              <w:rPr>
                <w:rFonts w:asciiTheme="minorHAnsi" w:hAnsiTheme="minorHAnsi" w:cstheme="minorHAnsi"/>
                <w:b/>
                <w:bCs/>
              </w:rPr>
            </w:pPr>
            <w:r w:rsidRPr="00EB4F72">
              <w:rPr>
                <w:rFonts w:asciiTheme="minorHAnsi" w:hAnsiTheme="minorHAnsi" w:cstheme="minorHAnsi"/>
                <w:b/>
                <w:bCs/>
              </w:rPr>
              <w:t>Administered assets</w:t>
            </w:r>
          </w:p>
        </w:tc>
        <w:tc>
          <w:tcPr>
            <w:tcW w:w="1190" w:type="dxa"/>
          </w:tcPr>
          <w:p w14:paraId="45348347" w14:textId="77777777" w:rsidR="00B02873" w:rsidRPr="00EB4F72" w:rsidRDefault="00B02873" w:rsidP="00EB4F72">
            <w:pPr>
              <w:pStyle w:val="TablebodyleftFinancialsTables"/>
              <w:jc w:val="right"/>
              <w:rPr>
                <w:rFonts w:asciiTheme="minorHAnsi" w:hAnsiTheme="minorHAnsi" w:cstheme="minorHAnsi"/>
                <w:b/>
                <w:bCs/>
              </w:rPr>
            </w:pPr>
          </w:p>
        </w:tc>
        <w:tc>
          <w:tcPr>
            <w:tcW w:w="1191" w:type="dxa"/>
          </w:tcPr>
          <w:p w14:paraId="0A9D0CFE" w14:textId="77777777" w:rsidR="00B02873" w:rsidRPr="00EB4F72" w:rsidRDefault="00B02873" w:rsidP="00EB4F72">
            <w:pPr>
              <w:pStyle w:val="TablebodyleftFinancialsTables"/>
              <w:jc w:val="right"/>
              <w:rPr>
                <w:rFonts w:asciiTheme="minorHAnsi" w:hAnsiTheme="minorHAnsi" w:cstheme="minorHAnsi"/>
                <w:b/>
                <w:bCs/>
              </w:rPr>
            </w:pPr>
          </w:p>
        </w:tc>
        <w:tc>
          <w:tcPr>
            <w:tcW w:w="1191" w:type="dxa"/>
          </w:tcPr>
          <w:p w14:paraId="460829B7" w14:textId="77777777" w:rsidR="00B02873" w:rsidRPr="00EB4F72" w:rsidRDefault="00B02873" w:rsidP="00EB4F72">
            <w:pPr>
              <w:pStyle w:val="TablebodyleftFinancialsTables"/>
              <w:jc w:val="right"/>
              <w:rPr>
                <w:rFonts w:asciiTheme="minorHAnsi" w:hAnsiTheme="minorHAnsi" w:cstheme="minorHAnsi"/>
                <w:b/>
                <w:bCs/>
              </w:rPr>
            </w:pPr>
          </w:p>
        </w:tc>
        <w:tc>
          <w:tcPr>
            <w:tcW w:w="1191" w:type="dxa"/>
          </w:tcPr>
          <w:p w14:paraId="42352939" w14:textId="77777777" w:rsidR="00B02873" w:rsidRPr="00EB4F72" w:rsidRDefault="00B02873" w:rsidP="00EB4F72">
            <w:pPr>
              <w:pStyle w:val="TablebodyleftFinancialsTables"/>
              <w:jc w:val="right"/>
              <w:rPr>
                <w:rFonts w:asciiTheme="minorHAnsi" w:hAnsiTheme="minorHAnsi" w:cstheme="minorHAnsi"/>
                <w:b/>
                <w:bCs/>
              </w:rPr>
            </w:pPr>
          </w:p>
        </w:tc>
        <w:tc>
          <w:tcPr>
            <w:tcW w:w="1191" w:type="dxa"/>
          </w:tcPr>
          <w:p w14:paraId="0C7B3E16" w14:textId="77777777" w:rsidR="00B02873" w:rsidRPr="00EB4F72" w:rsidRDefault="00B02873" w:rsidP="00EB4F72">
            <w:pPr>
              <w:pStyle w:val="TablebodyleftFinancialsTables"/>
              <w:jc w:val="right"/>
              <w:rPr>
                <w:rFonts w:asciiTheme="minorHAnsi" w:hAnsiTheme="minorHAnsi" w:cstheme="minorHAnsi"/>
                <w:b/>
                <w:bCs/>
              </w:rPr>
            </w:pPr>
          </w:p>
        </w:tc>
      </w:tr>
      <w:tr w:rsidR="00B02873" w:rsidRPr="00EB4F72" w14:paraId="43C8CE67" w14:textId="77777777" w:rsidTr="00EB4F72">
        <w:tc>
          <w:tcPr>
            <w:tcW w:w="3681" w:type="dxa"/>
          </w:tcPr>
          <w:p w14:paraId="5B4C5E86" w14:textId="77777777" w:rsidR="00B02873" w:rsidRPr="00EB4F72" w:rsidRDefault="00B02873" w:rsidP="00EB4F72">
            <w:pPr>
              <w:pStyle w:val="TablebodyleftFinancialsTables"/>
              <w:rPr>
                <w:rFonts w:asciiTheme="minorHAnsi" w:hAnsiTheme="minorHAnsi" w:cstheme="minorHAnsi"/>
              </w:rPr>
            </w:pPr>
            <w:r w:rsidRPr="00EB4F72">
              <w:rPr>
                <w:rFonts w:asciiTheme="minorHAnsi" w:hAnsiTheme="minorHAnsi" w:cstheme="minorHAnsi"/>
              </w:rPr>
              <w:t>Cash and cash deposits</w:t>
            </w:r>
          </w:p>
        </w:tc>
        <w:tc>
          <w:tcPr>
            <w:tcW w:w="1190" w:type="dxa"/>
          </w:tcPr>
          <w:p w14:paraId="1BD31C50" w14:textId="77777777" w:rsidR="00B02873" w:rsidRPr="00EB4F72" w:rsidRDefault="00B02873" w:rsidP="00EB4F72">
            <w:pPr>
              <w:pStyle w:val="TablebodyleftFinancialsTables"/>
              <w:jc w:val="right"/>
              <w:rPr>
                <w:rFonts w:asciiTheme="minorHAnsi" w:hAnsiTheme="minorHAnsi" w:cstheme="minorHAnsi"/>
              </w:rPr>
            </w:pPr>
            <w:r w:rsidRPr="00EB4F72">
              <w:rPr>
                <w:rFonts w:asciiTheme="minorHAnsi" w:hAnsiTheme="minorHAnsi" w:cstheme="minorHAnsi"/>
              </w:rPr>
              <w:t>559</w:t>
            </w:r>
          </w:p>
        </w:tc>
        <w:tc>
          <w:tcPr>
            <w:tcW w:w="1191" w:type="dxa"/>
          </w:tcPr>
          <w:p w14:paraId="0CF1F68B" w14:textId="77777777" w:rsidR="00B02873" w:rsidRPr="00EB4F72" w:rsidRDefault="00B02873" w:rsidP="00EB4F72">
            <w:pPr>
              <w:pStyle w:val="TablebodyleftFinancialsTables"/>
              <w:jc w:val="right"/>
              <w:rPr>
                <w:rFonts w:asciiTheme="minorHAnsi" w:hAnsiTheme="minorHAnsi" w:cstheme="minorHAnsi"/>
              </w:rPr>
            </w:pPr>
            <w:r w:rsidRPr="00EB4F72">
              <w:rPr>
                <w:rFonts w:asciiTheme="minorHAnsi" w:hAnsiTheme="minorHAnsi" w:cstheme="minorHAnsi"/>
              </w:rPr>
              <w:t>51</w:t>
            </w:r>
          </w:p>
        </w:tc>
        <w:tc>
          <w:tcPr>
            <w:tcW w:w="1191" w:type="dxa"/>
          </w:tcPr>
          <w:p w14:paraId="398BDEEE" w14:textId="77777777" w:rsidR="00B02873" w:rsidRPr="00EB4F72" w:rsidRDefault="00B02873" w:rsidP="00EB4F72">
            <w:pPr>
              <w:pStyle w:val="TablebodyleftFinancialsTables"/>
              <w:jc w:val="right"/>
              <w:rPr>
                <w:rFonts w:asciiTheme="minorHAnsi" w:hAnsiTheme="minorHAnsi" w:cstheme="minorHAnsi"/>
              </w:rPr>
            </w:pPr>
            <w:r w:rsidRPr="00EB4F72">
              <w:rPr>
                <w:rFonts w:asciiTheme="minorHAnsi" w:hAnsiTheme="minorHAnsi" w:cstheme="minorHAnsi"/>
              </w:rPr>
              <w:t>508</w:t>
            </w:r>
          </w:p>
        </w:tc>
        <w:tc>
          <w:tcPr>
            <w:tcW w:w="1191" w:type="dxa"/>
          </w:tcPr>
          <w:p w14:paraId="45F41F49" w14:textId="77777777" w:rsidR="00B02873" w:rsidRPr="00EB4F72" w:rsidRDefault="00B02873" w:rsidP="00EB4F72">
            <w:pPr>
              <w:pStyle w:val="TablebodyleftFinancialsTables"/>
              <w:jc w:val="right"/>
              <w:rPr>
                <w:rFonts w:asciiTheme="minorHAnsi" w:hAnsiTheme="minorHAnsi" w:cstheme="minorHAnsi"/>
              </w:rPr>
            </w:pPr>
            <w:r w:rsidRPr="00EB4F72">
              <w:rPr>
                <w:rFonts w:asciiTheme="minorHAnsi" w:hAnsiTheme="minorHAnsi" w:cstheme="minorHAnsi"/>
              </w:rPr>
              <w:t>996%</w:t>
            </w:r>
          </w:p>
        </w:tc>
        <w:tc>
          <w:tcPr>
            <w:tcW w:w="1191" w:type="dxa"/>
          </w:tcPr>
          <w:p w14:paraId="416110A8" w14:textId="77777777" w:rsidR="00B02873" w:rsidRPr="00EB4F72" w:rsidRDefault="00B02873" w:rsidP="00EB4F72">
            <w:pPr>
              <w:pStyle w:val="TablebodyleftFinancialsTables"/>
              <w:jc w:val="right"/>
              <w:rPr>
                <w:rFonts w:asciiTheme="minorHAnsi" w:hAnsiTheme="minorHAnsi" w:cstheme="minorHAnsi"/>
              </w:rPr>
            </w:pPr>
            <w:r w:rsidRPr="00EB4F72">
              <w:rPr>
                <w:rFonts w:asciiTheme="minorHAnsi" w:hAnsiTheme="minorHAnsi" w:cstheme="minorHAnsi"/>
              </w:rPr>
              <w:t>8</w:t>
            </w:r>
          </w:p>
        </w:tc>
      </w:tr>
      <w:tr w:rsidR="00B02873" w:rsidRPr="00EB4F72" w14:paraId="684D4A63" w14:textId="77777777" w:rsidTr="00EB4F72">
        <w:tc>
          <w:tcPr>
            <w:tcW w:w="3681" w:type="dxa"/>
          </w:tcPr>
          <w:p w14:paraId="09A3294D" w14:textId="77777777" w:rsidR="00B02873" w:rsidRPr="00EB4F72" w:rsidRDefault="00B02873" w:rsidP="00EB4F72">
            <w:pPr>
              <w:pStyle w:val="TablebodyleftFinancialsTables"/>
              <w:rPr>
                <w:rFonts w:asciiTheme="minorHAnsi" w:hAnsiTheme="minorHAnsi" w:cstheme="minorHAnsi"/>
              </w:rPr>
            </w:pPr>
            <w:r w:rsidRPr="00EB4F72">
              <w:rPr>
                <w:rFonts w:asciiTheme="minorHAnsi" w:hAnsiTheme="minorHAnsi" w:cstheme="minorHAnsi"/>
              </w:rPr>
              <w:t>Receivables</w:t>
            </w:r>
          </w:p>
        </w:tc>
        <w:tc>
          <w:tcPr>
            <w:tcW w:w="1190" w:type="dxa"/>
          </w:tcPr>
          <w:p w14:paraId="53742751" w14:textId="77777777" w:rsidR="00B02873" w:rsidRPr="00EB4F72" w:rsidRDefault="00B02873" w:rsidP="00EB4F72">
            <w:pPr>
              <w:pStyle w:val="TablebodyleftFinancialsTables"/>
              <w:jc w:val="right"/>
              <w:rPr>
                <w:rFonts w:asciiTheme="minorHAnsi" w:hAnsiTheme="minorHAnsi" w:cstheme="minorHAnsi"/>
              </w:rPr>
            </w:pPr>
            <w:r w:rsidRPr="00EB4F72">
              <w:rPr>
                <w:rFonts w:asciiTheme="minorHAnsi" w:hAnsiTheme="minorHAnsi" w:cstheme="minorHAnsi"/>
              </w:rPr>
              <w:t>3,241</w:t>
            </w:r>
          </w:p>
        </w:tc>
        <w:tc>
          <w:tcPr>
            <w:tcW w:w="1191" w:type="dxa"/>
          </w:tcPr>
          <w:p w14:paraId="2A153F0B" w14:textId="77777777" w:rsidR="00B02873" w:rsidRPr="00EB4F72" w:rsidRDefault="00B02873" w:rsidP="00EB4F72">
            <w:pPr>
              <w:pStyle w:val="TablebodyleftFinancialsTables"/>
              <w:jc w:val="right"/>
              <w:rPr>
                <w:rFonts w:asciiTheme="minorHAnsi" w:hAnsiTheme="minorHAnsi" w:cstheme="minorHAnsi"/>
              </w:rPr>
            </w:pPr>
            <w:r w:rsidRPr="00EB4F72">
              <w:rPr>
                <w:rFonts w:asciiTheme="minorHAnsi" w:hAnsiTheme="minorHAnsi" w:cstheme="minorHAnsi"/>
              </w:rPr>
              <w:t>3,649</w:t>
            </w:r>
          </w:p>
        </w:tc>
        <w:tc>
          <w:tcPr>
            <w:tcW w:w="1191" w:type="dxa"/>
          </w:tcPr>
          <w:p w14:paraId="0C206310" w14:textId="77777777" w:rsidR="00B02873" w:rsidRPr="00EB4F72" w:rsidRDefault="00B02873" w:rsidP="00EB4F72">
            <w:pPr>
              <w:pStyle w:val="TablebodyleftFinancialsTables"/>
              <w:jc w:val="right"/>
              <w:rPr>
                <w:rFonts w:asciiTheme="minorHAnsi" w:hAnsiTheme="minorHAnsi" w:cstheme="minorHAnsi"/>
              </w:rPr>
            </w:pPr>
            <w:r w:rsidRPr="00EB4F72">
              <w:rPr>
                <w:rFonts w:asciiTheme="minorHAnsi" w:hAnsiTheme="minorHAnsi" w:cstheme="minorHAnsi"/>
              </w:rPr>
              <w:t>(408)</w:t>
            </w:r>
          </w:p>
        </w:tc>
        <w:tc>
          <w:tcPr>
            <w:tcW w:w="1191" w:type="dxa"/>
          </w:tcPr>
          <w:p w14:paraId="51851D06" w14:textId="77777777" w:rsidR="00B02873" w:rsidRPr="00EB4F72" w:rsidRDefault="00B02873" w:rsidP="00EB4F72">
            <w:pPr>
              <w:pStyle w:val="TablebodyleftFinancialsTables"/>
              <w:jc w:val="right"/>
              <w:rPr>
                <w:rFonts w:asciiTheme="minorHAnsi" w:hAnsiTheme="minorHAnsi" w:cstheme="minorHAnsi"/>
              </w:rPr>
            </w:pPr>
            <w:r w:rsidRPr="00EB4F72">
              <w:rPr>
                <w:rFonts w:asciiTheme="minorHAnsi" w:hAnsiTheme="minorHAnsi" w:cstheme="minorHAnsi"/>
              </w:rPr>
              <w:t>(11%)</w:t>
            </w:r>
          </w:p>
        </w:tc>
        <w:tc>
          <w:tcPr>
            <w:tcW w:w="1191" w:type="dxa"/>
          </w:tcPr>
          <w:p w14:paraId="7AB76291" w14:textId="77777777" w:rsidR="00B02873" w:rsidRPr="00EB4F72" w:rsidRDefault="00B02873" w:rsidP="00EB4F72">
            <w:pPr>
              <w:pStyle w:val="TablebodyleftFinancialsTables"/>
              <w:jc w:val="right"/>
              <w:rPr>
                <w:rFonts w:asciiTheme="minorHAnsi" w:hAnsiTheme="minorHAnsi" w:cstheme="minorHAnsi"/>
              </w:rPr>
            </w:pPr>
            <w:r w:rsidRPr="00EB4F72">
              <w:rPr>
                <w:rFonts w:asciiTheme="minorHAnsi" w:hAnsiTheme="minorHAnsi" w:cstheme="minorHAnsi"/>
              </w:rPr>
              <w:t>9</w:t>
            </w:r>
          </w:p>
        </w:tc>
      </w:tr>
      <w:tr w:rsidR="00B02873" w:rsidRPr="00EB4F72" w14:paraId="174D242D" w14:textId="77777777" w:rsidTr="00EB4F72">
        <w:tc>
          <w:tcPr>
            <w:tcW w:w="3681" w:type="dxa"/>
          </w:tcPr>
          <w:p w14:paraId="782B9F96" w14:textId="77777777" w:rsidR="00B02873" w:rsidRPr="00EB4F72" w:rsidRDefault="00B02873" w:rsidP="00EB4F72">
            <w:pPr>
              <w:pStyle w:val="TablebodyleftFinancialsTables"/>
              <w:rPr>
                <w:rFonts w:asciiTheme="minorHAnsi" w:hAnsiTheme="minorHAnsi" w:cstheme="minorHAnsi"/>
              </w:rPr>
            </w:pPr>
            <w:r w:rsidRPr="00EB4F72">
              <w:rPr>
                <w:rFonts w:asciiTheme="minorHAnsi" w:hAnsiTheme="minorHAnsi" w:cstheme="minorHAnsi"/>
              </w:rPr>
              <w:t>Property, plant and equipment</w:t>
            </w:r>
          </w:p>
        </w:tc>
        <w:tc>
          <w:tcPr>
            <w:tcW w:w="1190" w:type="dxa"/>
          </w:tcPr>
          <w:p w14:paraId="3C9645B6" w14:textId="77777777" w:rsidR="00B02873" w:rsidRPr="00EB4F72" w:rsidRDefault="00B02873" w:rsidP="00EB4F72">
            <w:pPr>
              <w:pStyle w:val="TablebodyleftFinancialsTables"/>
              <w:jc w:val="right"/>
              <w:rPr>
                <w:rFonts w:asciiTheme="minorHAnsi" w:hAnsiTheme="minorHAnsi" w:cstheme="minorHAnsi"/>
              </w:rPr>
            </w:pPr>
            <w:r w:rsidRPr="00EB4F72">
              <w:rPr>
                <w:rFonts w:asciiTheme="minorHAnsi" w:hAnsiTheme="minorHAnsi" w:cstheme="minorHAnsi"/>
              </w:rPr>
              <w:t>824</w:t>
            </w:r>
          </w:p>
        </w:tc>
        <w:tc>
          <w:tcPr>
            <w:tcW w:w="1191" w:type="dxa"/>
          </w:tcPr>
          <w:p w14:paraId="6BFD39A5" w14:textId="77777777" w:rsidR="00B02873" w:rsidRPr="00EB4F72" w:rsidRDefault="00B02873" w:rsidP="00EB4F72">
            <w:pPr>
              <w:pStyle w:val="TablebodyleftFinancialsTables"/>
              <w:jc w:val="right"/>
              <w:rPr>
                <w:rFonts w:asciiTheme="minorHAnsi" w:hAnsiTheme="minorHAnsi" w:cstheme="minorHAnsi"/>
              </w:rPr>
            </w:pPr>
            <w:r w:rsidRPr="00EB4F72">
              <w:rPr>
                <w:rFonts w:asciiTheme="minorHAnsi" w:hAnsiTheme="minorHAnsi" w:cstheme="minorHAnsi"/>
              </w:rPr>
              <w:t>711</w:t>
            </w:r>
          </w:p>
        </w:tc>
        <w:tc>
          <w:tcPr>
            <w:tcW w:w="1191" w:type="dxa"/>
          </w:tcPr>
          <w:p w14:paraId="6C9969AC" w14:textId="77777777" w:rsidR="00B02873" w:rsidRPr="00EB4F72" w:rsidRDefault="00B02873" w:rsidP="00EB4F72">
            <w:pPr>
              <w:pStyle w:val="TablebodyleftFinancialsTables"/>
              <w:jc w:val="right"/>
              <w:rPr>
                <w:rFonts w:asciiTheme="minorHAnsi" w:hAnsiTheme="minorHAnsi" w:cstheme="minorHAnsi"/>
              </w:rPr>
            </w:pPr>
            <w:r w:rsidRPr="00EB4F72">
              <w:rPr>
                <w:rFonts w:asciiTheme="minorHAnsi" w:hAnsiTheme="minorHAnsi" w:cstheme="minorHAnsi"/>
              </w:rPr>
              <w:t>113</w:t>
            </w:r>
          </w:p>
        </w:tc>
        <w:tc>
          <w:tcPr>
            <w:tcW w:w="1191" w:type="dxa"/>
          </w:tcPr>
          <w:p w14:paraId="5477D9B4" w14:textId="77777777" w:rsidR="00B02873" w:rsidRPr="00EB4F72" w:rsidRDefault="00B02873" w:rsidP="00EB4F72">
            <w:pPr>
              <w:pStyle w:val="TablebodyleftFinancialsTables"/>
              <w:jc w:val="right"/>
              <w:rPr>
                <w:rFonts w:asciiTheme="minorHAnsi" w:hAnsiTheme="minorHAnsi" w:cstheme="minorHAnsi"/>
              </w:rPr>
            </w:pPr>
            <w:r w:rsidRPr="00EB4F72">
              <w:rPr>
                <w:rFonts w:asciiTheme="minorHAnsi" w:hAnsiTheme="minorHAnsi" w:cstheme="minorHAnsi"/>
              </w:rPr>
              <w:t>16%</w:t>
            </w:r>
          </w:p>
        </w:tc>
        <w:tc>
          <w:tcPr>
            <w:tcW w:w="1191" w:type="dxa"/>
          </w:tcPr>
          <w:p w14:paraId="14E7AFBA" w14:textId="77777777" w:rsidR="00B02873" w:rsidRPr="00EB4F72" w:rsidRDefault="00B02873" w:rsidP="00EB4F72">
            <w:pPr>
              <w:pStyle w:val="TablebodyleftFinancialsTables"/>
              <w:jc w:val="right"/>
              <w:rPr>
                <w:rFonts w:asciiTheme="minorHAnsi" w:hAnsiTheme="minorHAnsi" w:cstheme="minorHAnsi"/>
              </w:rPr>
            </w:pPr>
            <w:r w:rsidRPr="00EB4F72">
              <w:rPr>
                <w:rFonts w:asciiTheme="minorHAnsi" w:hAnsiTheme="minorHAnsi" w:cstheme="minorHAnsi"/>
              </w:rPr>
              <w:t>10</w:t>
            </w:r>
          </w:p>
        </w:tc>
      </w:tr>
      <w:tr w:rsidR="00B02873" w:rsidRPr="00EB4F72" w14:paraId="32CC2D55" w14:textId="77777777" w:rsidTr="00EB4F72">
        <w:tc>
          <w:tcPr>
            <w:tcW w:w="3681" w:type="dxa"/>
          </w:tcPr>
          <w:p w14:paraId="05718F45" w14:textId="77777777" w:rsidR="00B02873" w:rsidRPr="00EB4F72" w:rsidRDefault="00B02873" w:rsidP="00EB4F72">
            <w:pPr>
              <w:pStyle w:val="TablebodyleftFinancialsTables"/>
              <w:rPr>
                <w:rFonts w:asciiTheme="minorHAnsi" w:hAnsiTheme="minorHAnsi" w:cstheme="minorHAnsi"/>
              </w:rPr>
            </w:pPr>
            <w:r w:rsidRPr="00EB4F72">
              <w:rPr>
                <w:rFonts w:asciiTheme="minorHAnsi" w:hAnsiTheme="minorHAnsi" w:cstheme="minorHAnsi"/>
              </w:rPr>
              <w:t>Intangible assets</w:t>
            </w:r>
          </w:p>
        </w:tc>
        <w:tc>
          <w:tcPr>
            <w:tcW w:w="1190" w:type="dxa"/>
          </w:tcPr>
          <w:p w14:paraId="7091F107" w14:textId="77777777" w:rsidR="00B02873" w:rsidRPr="00EB4F72" w:rsidRDefault="00B02873" w:rsidP="00EB4F72">
            <w:pPr>
              <w:pStyle w:val="TablebodyleftFinancialsTables"/>
              <w:jc w:val="right"/>
              <w:rPr>
                <w:rFonts w:asciiTheme="minorHAnsi" w:hAnsiTheme="minorHAnsi" w:cstheme="minorHAnsi"/>
              </w:rPr>
            </w:pPr>
            <w:r w:rsidRPr="00EB4F72">
              <w:rPr>
                <w:rFonts w:asciiTheme="minorHAnsi" w:hAnsiTheme="minorHAnsi" w:cstheme="minorHAnsi"/>
              </w:rPr>
              <w:t>769</w:t>
            </w:r>
          </w:p>
        </w:tc>
        <w:tc>
          <w:tcPr>
            <w:tcW w:w="1191" w:type="dxa"/>
          </w:tcPr>
          <w:p w14:paraId="29D884C4" w14:textId="77777777" w:rsidR="00B02873" w:rsidRPr="00EB4F72" w:rsidRDefault="00B02873" w:rsidP="00EB4F72">
            <w:pPr>
              <w:pStyle w:val="TablebodyleftFinancialsTables"/>
              <w:jc w:val="right"/>
              <w:rPr>
                <w:rFonts w:asciiTheme="minorHAnsi" w:hAnsiTheme="minorHAnsi" w:cstheme="minorHAnsi"/>
              </w:rPr>
            </w:pPr>
            <w:r w:rsidRPr="00EB4F72">
              <w:rPr>
                <w:rFonts w:asciiTheme="minorHAnsi" w:hAnsiTheme="minorHAnsi" w:cstheme="minorHAnsi"/>
              </w:rPr>
              <w:t>726</w:t>
            </w:r>
          </w:p>
        </w:tc>
        <w:tc>
          <w:tcPr>
            <w:tcW w:w="1191" w:type="dxa"/>
          </w:tcPr>
          <w:p w14:paraId="726A2A58" w14:textId="77777777" w:rsidR="00B02873" w:rsidRPr="00EB4F72" w:rsidRDefault="00B02873" w:rsidP="00EB4F72">
            <w:pPr>
              <w:pStyle w:val="TablebodyleftFinancialsTables"/>
              <w:jc w:val="right"/>
              <w:rPr>
                <w:rFonts w:asciiTheme="minorHAnsi" w:hAnsiTheme="minorHAnsi" w:cstheme="minorHAnsi"/>
              </w:rPr>
            </w:pPr>
            <w:r w:rsidRPr="00EB4F72">
              <w:rPr>
                <w:rFonts w:asciiTheme="minorHAnsi" w:hAnsiTheme="minorHAnsi" w:cstheme="minorHAnsi"/>
              </w:rPr>
              <w:t>43</w:t>
            </w:r>
          </w:p>
        </w:tc>
        <w:tc>
          <w:tcPr>
            <w:tcW w:w="1191" w:type="dxa"/>
          </w:tcPr>
          <w:p w14:paraId="6DE75552" w14:textId="77777777" w:rsidR="00B02873" w:rsidRPr="00EB4F72" w:rsidRDefault="00B02873" w:rsidP="00EB4F72">
            <w:pPr>
              <w:pStyle w:val="TablebodyleftFinancialsTables"/>
              <w:jc w:val="right"/>
              <w:rPr>
                <w:rFonts w:asciiTheme="minorHAnsi" w:hAnsiTheme="minorHAnsi" w:cstheme="minorHAnsi"/>
              </w:rPr>
            </w:pPr>
            <w:r w:rsidRPr="00EB4F72">
              <w:rPr>
                <w:rFonts w:asciiTheme="minorHAnsi" w:hAnsiTheme="minorHAnsi" w:cstheme="minorHAnsi"/>
              </w:rPr>
              <w:t>6%</w:t>
            </w:r>
          </w:p>
        </w:tc>
        <w:tc>
          <w:tcPr>
            <w:tcW w:w="1191" w:type="dxa"/>
          </w:tcPr>
          <w:p w14:paraId="5EC12598" w14:textId="77777777" w:rsidR="00B02873" w:rsidRPr="00EB4F72" w:rsidRDefault="00B02873" w:rsidP="00EB4F72">
            <w:pPr>
              <w:pStyle w:val="TablebodyleftFinancialsTables"/>
              <w:jc w:val="right"/>
              <w:rPr>
                <w:rFonts w:asciiTheme="minorHAnsi" w:hAnsiTheme="minorHAnsi" w:cstheme="minorHAnsi"/>
              </w:rPr>
            </w:pPr>
          </w:p>
        </w:tc>
      </w:tr>
      <w:tr w:rsidR="00B02873" w:rsidRPr="00EB4F72" w14:paraId="270A29A6" w14:textId="77777777" w:rsidTr="00EB4F72">
        <w:tc>
          <w:tcPr>
            <w:tcW w:w="3681" w:type="dxa"/>
          </w:tcPr>
          <w:p w14:paraId="5DF3EC0C" w14:textId="77777777" w:rsidR="00B02873" w:rsidRPr="00EB4F72" w:rsidRDefault="00B02873" w:rsidP="00EB4F72">
            <w:pPr>
              <w:pStyle w:val="TablebodyleftFinancialsTables"/>
              <w:rPr>
                <w:rFonts w:asciiTheme="minorHAnsi" w:hAnsiTheme="minorHAnsi" w:cstheme="minorHAnsi"/>
              </w:rPr>
            </w:pPr>
            <w:r w:rsidRPr="00EB4F72">
              <w:rPr>
                <w:rFonts w:asciiTheme="minorHAnsi" w:hAnsiTheme="minorHAnsi" w:cstheme="minorHAnsi"/>
              </w:rPr>
              <w:t>Non- financial assets classified as held for sale including disposal group assets</w:t>
            </w:r>
          </w:p>
        </w:tc>
        <w:tc>
          <w:tcPr>
            <w:tcW w:w="1190" w:type="dxa"/>
          </w:tcPr>
          <w:p w14:paraId="71B35DDA" w14:textId="77777777" w:rsidR="00B02873" w:rsidRPr="00EB4F72" w:rsidRDefault="00B02873" w:rsidP="00EB4F72">
            <w:pPr>
              <w:pStyle w:val="TablebodyleftFinancialsTables"/>
              <w:jc w:val="right"/>
              <w:rPr>
                <w:rFonts w:asciiTheme="minorHAnsi" w:hAnsiTheme="minorHAnsi" w:cstheme="minorHAnsi"/>
              </w:rPr>
            </w:pPr>
            <w:r w:rsidRPr="00EB4F72">
              <w:rPr>
                <w:rFonts w:asciiTheme="minorHAnsi" w:hAnsiTheme="minorHAnsi" w:cstheme="minorHAnsi"/>
              </w:rPr>
              <w:t>36</w:t>
            </w:r>
          </w:p>
        </w:tc>
        <w:tc>
          <w:tcPr>
            <w:tcW w:w="1191" w:type="dxa"/>
          </w:tcPr>
          <w:p w14:paraId="092457B4" w14:textId="77777777" w:rsidR="00B02873" w:rsidRPr="00EB4F72" w:rsidRDefault="00B02873" w:rsidP="00EB4F72">
            <w:pPr>
              <w:pStyle w:val="TablebodyleftFinancialsTables"/>
              <w:jc w:val="right"/>
              <w:rPr>
                <w:rFonts w:asciiTheme="minorHAnsi" w:hAnsiTheme="minorHAnsi" w:cstheme="minorHAnsi"/>
              </w:rPr>
            </w:pPr>
            <w:r w:rsidRPr="00EB4F72">
              <w:rPr>
                <w:rFonts w:asciiTheme="minorHAnsi" w:hAnsiTheme="minorHAnsi" w:cstheme="minorHAnsi"/>
              </w:rPr>
              <w:t>29</w:t>
            </w:r>
          </w:p>
        </w:tc>
        <w:tc>
          <w:tcPr>
            <w:tcW w:w="1191" w:type="dxa"/>
          </w:tcPr>
          <w:p w14:paraId="52455042" w14:textId="77777777" w:rsidR="00B02873" w:rsidRPr="00EB4F72" w:rsidRDefault="00B02873" w:rsidP="00EB4F72">
            <w:pPr>
              <w:pStyle w:val="TablebodyleftFinancialsTables"/>
              <w:jc w:val="right"/>
              <w:rPr>
                <w:rFonts w:asciiTheme="minorHAnsi" w:hAnsiTheme="minorHAnsi" w:cstheme="minorHAnsi"/>
              </w:rPr>
            </w:pPr>
            <w:r w:rsidRPr="00EB4F72">
              <w:rPr>
                <w:rFonts w:asciiTheme="minorHAnsi" w:hAnsiTheme="minorHAnsi" w:cstheme="minorHAnsi"/>
              </w:rPr>
              <w:t>7</w:t>
            </w:r>
          </w:p>
        </w:tc>
        <w:tc>
          <w:tcPr>
            <w:tcW w:w="1191" w:type="dxa"/>
          </w:tcPr>
          <w:p w14:paraId="4824D2D6" w14:textId="77777777" w:rsidR="00B02873" w:rsidRPr="00EB4F72" w:rsidRDefault="00B02873" w:rsidP="00EB4F72">
            <w:pPr>
              <w:pStyle w:val="TablebodyleftFinancialsTables"/>
              <w:jc w:val="right"/>
              <w:rPr>
                <w:rFonts w:asciiTheme="minorHAnsi" w:hAnsiTheme="minorHAnsi" w:cstheme="minorHAnsi"/>
              </w:rPr>
            </w:pPr>
            <w:r w:rsidRPr="00EB4F72">
              <w:rPr>
                <w:rFonts w:asciiTheme="minorHAnsi" w:hAnsiTheme="minorHAnsi" w:cstheme="minorHAnsi"/>
              </w:rPr>
              <w:t>24%</w:t>
            </w:r>
          </w:p>
        </w:tc>
        <w:tc>
          <w:tcPr>
            <w:tcW w:w="1191" w:type="dxa"/>
          </w:tcPr>
          <w:p w14:paraId="47B933EF" w14:textId="77777777" w:rsidR="00B02873" w:rsidRPr="00EB4F72" w:rsidRDefault="00B02873" w:rsidP="00EB4F72">
            <w:pPr>
              <w:pStyle w:val="TablebodyleftFinancialsTables"/>
              <w:jc w:val="right"/>
              <w:rPr>
                <w:rFonts w:asciiTheme="minorHAnsi" w:hAnsiTheme="minorHAnsi" w:cstheme="minorHAnsi"/>
              </w:rPr>
            </w:pPr>
          </w:p>
        </w:tc>
      </w:tr>
      <w:tr w:rsidR="00B02873" w:rsidRPr="00EB4F72" w14:paraId="628C6F94" w14:textId="77777777" w:rsidTr="00EB4F72">
        <w:tc>
          <w:tcPr>
            <w:tcW w:w="3681" w:type="dxa"/>
          </w:tcPr>
          <w:p w14:paraId="4BEC8644" w14:textId="77777777" w:rsidR="00B02873" w:rsidRPr="00EB4F72" w:rsidRDefault="00B02873" w:rsidP="00EB4F72">
            <w:pPr>
              <w:pStyle w:val="TablebodyleftFinancialsTables"/>
              <w:rPr>
                <w:rFonts w:asciiTheme="minorHAnsi" w:hAnsiTheme="minorHAnsi" w:cstheme="minorHAnsi"/>
                <w:b/>
                <w:bCs/>
              </w:rPr>
            </w:pPr>
            <w:r w:rsidRPr="00EB4F72">
              <w:rPr>
                <w:rFonts w:asciiTheme="minorHAnsi" w:hAnsiTheme="minorHAnsi" w:cstheme="minorHAnsi"/>
                <w:b/>
                <w:bCs/>
              </w:rPr>
              <w:t>Total administered assets</w:t>
            </w:r>
          </w:p>
        </w:tc>
        <w:tc>
          <w:tcPr>
            <w:tcW w:w="1190" w:type="dxa"/>
          </w:tcPr>
          <w:p w14:paraId="4BE7CB0D" w14:textId="77777777" w:rsidR="00B02873" w:rsidRPr="00EB4F72" w:rsidRDefault="00B02873" w:rsidP="00EB4F72">
            <w:pPr>
              <w:pStyle w:val="TablebodyleftFinancialsTables"/>
              <w:jc w:val="right"/>
              <w:rPr>
                <w:rFonts w:asciiTheme="minorHAnsi" w:hAnsiTheme="minorHAnsi" w:cstheme="minorHAnsi"/>
                <w:b/>
                <w:bCs/>
              </w:rPr>
            </w:pPr>
            <w:r w:rsidRPr="00EB4F72">
              <w:rPr>
                <w:rFonts w:asciiTheme="minorHAnsi" w:hAnsiTheme="minorHAnsi" w:cstheme="minorHAnsi"/>
                <w:b/>
                <w:bCs/>
              </w:rPr>
              <w:t>5,429</w:t>
            </w:r>
          </w:p>
        </w:tc>
        <w:tc>
          <w:tcPr>
            <w:tcW w:w="1191" w:type="dxa"/>
          </w:tcPr>
          <w:p w14:paraId="16657E3A" w14:textId="77777777" w:rsidR="00B02873" w:rsidRPr="00EB4F72" w:rsidRDefault="00B02873" w:rsidP="00EB4F72">
            <w:pPr>
              <w:pStyle w:val="TablebodyleftFinancialsTables"/>
              <w:jc w:val="right"/>
              <w:rPr>
                <w:rFonts w:asciiTheme="minorHAnsi" w:hAnsiTheme="minorHAnsi" w:cstheme="minorHAnsi"/>
                <w:b/>
                <w:bCs/>
              </w:rPr>
            </w:pPr>
            <w:r w:rsidRPr="00EB4F72">
              <w:rPr>
                <w:rFonts w:asciiTheme="minorHAnsi" w:hAnsiTheme="minorHAnsi" w:cstheme="minorHAnsi"/>
                <w:b/>
                <w:bCs/>
              </w:rPr>
              <w:t>5,166</w:t>
            </w:r>
          </w:p>
        </w:tc>
        <w:tc>
          <w:tcPr>
            <w:tcW w:w="1191" w:type="dxa"/>
          </w:tcPr>
          <w:p w14:paraId="4EA83C01" w14:textId="77777777" w:rsidR="00B02873" w:rsidRPr="00EB4F72" w:rsidRDefault="00B02873" w:rsidP="00EB4F72">
            <w:pPr>
              <w:pStyle w:val="TablebodyleftFinancialsTables"/>
              <w:jc w:val="right"/>
              <w:rPr>
                <w:rFonts w:asciiTheme="minorHAnsi" w:hAnsiTheme="minorHAnsi" w:cstheme="minorHAnsi"/>
                <w:b/>
                <w:bCs/>
              </w:rPr>
            </w:pPr>
            <w:r w:rsidRPr="00EB4F72">
              <w:rPr>
                <w:rFonts w:asciiTheme="minorHAnsi" w:hAnsiTheme="minorHAnsi" w:cstheme="minorHAnsi"/>
                <w:b/>
                <w:bCs/>
              </w:rPr>
              <w:t>263</w:t>
            </w:r>
          </w:p>
        </w:tc>
        <w:tc>
          <w:tcPr>
            <w:tcW w:w="1191" w:type="dxa"/>
          </w:tcPr>
          <w:p w14:paraId="2712D066" w14:textId="77777777" w:rsidR="00B02873" w:rsidRPr="00EB4F72" w:rsidRDefault="00B02873" w:rsidP="00EB4F72">
            <w:pPr>
              <w:pStyle w:val="TablebodyleftFinancialsTables"/>
              <w:jc w:val="right"/>
              <w:rPr>
                <w:rFonts w:asciiTheme="minorHAnsi" w:hAnsiTheme="minorHAnsi" w:cstheme="minorHAnsi"/>
                <w:b/>
                <w:bCs/>
              </w:rPr>
            </w:pPr>
            <w:r w:rsidRPr="00EB4F72">
              <w:rPr>
                <w:rFonts w:asciiTheme="minorHAnsi" w:hAnsiTheme="minorHAnsi" w:cstheme="minorHAnsi"/>
                <w:b/>
                <w:bCs/>
              </w:rPr>
              <w:t>5%</w:t>
            </w:r>
          </w:p>
        </w:tc>
        <w:tc>
          <w:tcPr>
            <w:tcW w:w="1191" w:type="dxa"/>
          </w:tcPr>
          <w:p w14:paraId="17D1B153" w14:textId="77777777" w:rsidR="00B02873" w:rsidRPr="00EB4F72" w:rsidRDefault="00B02873" w:rsidP="00EB4F72">
            <w:pPr>
              <w:pStyle w:val="TablebodyleftFinancialsTables"/>
              <w:jc w:val="right"/>
              <w:rPr>
                <w:rFonts w:asciiTheme="minorHAnsi" w:hAnsiTheme="minorHAnsi" w:cstheme="minorHAnsi"/>
                <w:b/>
                <w:bCs/>
              </w:rPr>
            </w:pPr>
          </w:p>
        </w:tc>
      </w:tr>
      <w:tr w:rsidR="00B02873" w:rsidRPr="00EB4F72" w14:paraId="44DBA4B1" w14:textId="77777777" w:rsidTr="00EB4F72">
        <w:tc>
          <w:tcPr>
            <w:tcW w:w="3681" w:type="dxa"/>
          </w:tcPr>
          <w:p w14:paraId="40A163F9" w14:textId="77777777" w:rsidR="00B02873" w:rsidRPr="00EB4F72" w:rsidRDefault="00B02873" w:rsidP="00EB4F72">
            <w:pPr>
              <w:pStyle w:val="TablebodyleftFinancialsTables"/>
              <w:rPr>
                <w:rFonts w:asciiTheme="minorHAnsi" w:hAnsiTheme="minorHAnsi" w:cstheme="minorHAnsi"/>
                <w:b/>
                <w:bCs/>
              </w:rPr>
            </w:pPr>
            <w:r w:rsidRPr="00EB4F72">
              <w:rPr>
                <w:rFonts w:asciiTheme="minorHAnsi" w:hAnsiTheme="minorHAnsi" w:cstheme="minorHAnsi"/>
                <w:b/>
                <w:bCs/>
              </w:rPr>
              <w:t>Administered liabilities</w:t>
            </w:r>
          </w:p>
        </w:tc>
        <w:tc>
          <w:tcPr>
            <w:tcW w:w="1190" w:type="dxa"/>
          </w:tcPr>
          <w:p w14:paraId="0A850DD1" w14:textId="77777777" w:rsidR="00B02873" w:rsidRPr="00EB4F72" w:rsidRDefault="00B02873" w:rsidP="00EB4F72">
            <w:pPr>
              <w:pStyle w:val="TablebodyleftFinancialsTables"/>
              <w:jc w:val="right"/>
              <w:rPr>
                <w:rFonts w:asciiTheme="minorHAnsi" w:hAnsiTheme="minorHAnsi" w:cstheme="minorHAnsi"/>
                <w:b/>
                <w:bCs/>
              </w:rPr>
            </w:pPr>
          </w:p>
        </w:tc>
        <w:tc>
          <w:tcPr>
            <w:tcW w:w="1191" w:type="dxa"/>
          </w:tcPr>
          <w:p w14:paraId="2D6FD3E8" w14:textId="77777777" w:rsidR="00B02873" w:rsidRPr="00EB4F72" w:rsidRDefault="00B02873" w:rsidP="00EB4F72">
            <w:pPr>
              <w:pStyle w:val="TablebodyleftFinancialsTables"/>
              <w:jc w:val="right"/>
              <w:rPr>
                <w:rFonts w:asciiTheme="minorHAnsi" w:hAnsiTheme="minorHAnsi" w:cstheme="minorHAnsi"/>
                <w:b/>
                <w:bCs/>
              </w:rPr>
            </w:pPr>
          </w:p>
        </w:tc>
        <w:tc>
          <w:tcPr>
            <w:tcW w:w="1191" w:type="dxa"/>
          </w:tcPr>
          <w:p w14:paraId="362141F9" w14:textId="77777777" w:rsidR="00B02873" w:rsidRPr="00EB4F72" w:rsidRDefault="00B02873" w:rsidP="00EB4F72">
            <w:pPr>
              <w:pStyle w:val="TablebodyleftFinancialsTables"/>
              <w:jc w:val="right"/>
              <w:rPr>
                <w:rFonts w:asciiTheme="minorHAnsi" w:hAnsiTheme="minorHAnsi" w:cstheme="minorHAnsi"/>
                <w:b/>
                <w:bCs/>
              </w:rPr>
            </w:pPr>
          </w:p>
        </w:tc>
        <w:tc>
          <w:tcPr>
            <w:tcW w:w="1191" w:type="dxa"/>
          </w:tcPr>
          <w:p w14:paraId="34ECCD5E" w14:textId="77777777" w:rsidR="00B02873" w:rsidRPr="00EB4F72" w:rsidRDefault="00B02873" w:rsidP="00EB4F72">
            <w:pPr>
              <w:pStyle w:val="TablebodyleftFinancialsTables"/>
              <w:jc w:val="right"/>
              <w:rPr>
                <w:rFonts w:asciiTheme="minorHAnsi" w:hAnsiTheme="minorHAnsi" w:cstheme="minorHAnsi"/>
                <w:b/>
                <w:bCs/>
              </w:rPr>
            </w:pPr>
          </w:p>
        </w:tc>
        <w:tc>
          <w:tcPr>
            <w:tcW w:w="1191" w:type="dxa"/>
          </w:tcPr>
          <w:p w14:paraId="7B8F55CD" w14:textId="77777777" w:rsidR="00B02873" w:rsidRPr="00EB4F72" w:rsidRDefault="00B02873" w:rsidP="00EB4F72">
            <w:pPr>
              <w:pStyle w:val="TablebodyleftFinancialsTables"/>
              <w:jc w:val="right"/>
              <w:rPr>
                <w:rFonts w:asciiTheme="minorHAnsi" w:hAnsiTheme="minorHAnsi" w:cstheme="minorHAnsi"/>
                <w:b/>
                <w:bCs/>
              </w:rPr>
            </w:pPr>
          </w:p>
        </w:tc>
      </w:tr>
      <w:tr w:rsidR="00B02873" w:rsidRPr="00EB4F72" w14:paraId="6009F79A" w14:textId="77777777" w:rsidTr="00EB4F72">
        <w:tc>
          <w:tcPr>
            <w:tcW w:w="3681" w:type="dxa"/>
          </w:tcPr>
          <w:p w14:paraId="3949E0A9" w14:textId="77777777" w:rsidR="00B02873" w:rsidRPr="00EB4F72" w:rsidRDefault="00B02873" w:rsidP="00EB4F72">
            <w:pPr>
              <w:pStyle w:val="TablebodyleftFinancialsTables"/>
              <w:rPr>
                <w:rFonts w:asciiTheme="minorHAnsi" w:hAnsiTheme="minorHAnsi" w:cstheme="minorHAnsi"/>
              </w:rPr>
            </w:pPr>
            <w:r w:rsidRPr="00EB4F72">
              <w:rPr>
                <w:rFonts w:asciiTheme="minorHAnsi" w:hAnsiTheme="minorHAnsi" w:cstheme="minorHAnsi"/>
              </w:rPr>
              <w:t xml:space="preserve">Payables </w:t>
            </w:r>
          </w:p>
        </w:tc>
        <w:tc>
          <w:tcPr>
            <w:tcW w:w="1190" w:type="dxa"/>
          </w:tcPr>
          <w:p w14:paraId="623C7C5F" w14:textId="77777777" w:rsidR="00B02873" w:rsidRPr="00EB4F72" w:rsidRDefault="00B02873" w:rsidP="00EB4F72">
            <w:pPr>
              <w:pStyle w:val="TablebodyleftFinancialsTables"/>
              <w:jc w:val="right"/>
              <w:rPr>
                <w:rFonts w:asciiTheme="minorHAnsi" w:hAnsiTheme="minorHAnsi" w:cstheme="minorHAnsi"/>
              </w:rPr>
            </w:pPr>
            <w:r w:rsidRPr="00EB4F72">
              <w:rPr>
                <w:rFonts w:asciiTheme="minorHAnsi" w:hAnsiTheme="minorHAnsi" w:cstheme="minorHAnsi"/>
              </w:rPr>
              <w:t>2,657</w:t>
            </w:r>
          </w:p>
        </w:tc>
        <w:tc>
          <w:tcPr>
            <w:tcW w:w="1191" w:type="dxa"/>
          </w:tcPr>
          <w:p w14:paraId="457C4591" w14:textId="77777777" w:rsidR="00B02873" w:rsidRPr="00EB4F72" w:rsidRDefault="00B02873" w:rsidP="00EB4F72">
            <w:pPr>
              <w:pStyle w:val="TablebodyleftFinancialsTables"/>
              <w:jc w:val="right"/>
              <w:rPr>
                <w:rFonts w:asciiTheme="minorHAnsi" w:hAnsiTheme="minorHAnsi" w:cstheme="minorHAnsi"/>
              </w:rPr>
            </w:pPr>
            <w:r w:rsidRPr="00EB4F72">
              <w:rPr>
                <w:rFonts w:asciiTheme="minorHAnsi" w:hAnsiTheme="minorHAnsi" w:cstheme="minorHAnsi"/>
              </w:rPr>
              <w:t>2,655</w:t>
            </w:r>
          </w:p>
        </w:tc>
        <w:tc>
          <w:tcPr>
            <w:tcW w:w="1191" w:type="dxa"/>
          </w:tcPr>
          <w:p w14:paraId="4B85AB95" w14:textId="77777777" w:rsidR="00B02873" w:rsidRPr="00EB4F72" w:rsidRDefault="00B02873" w:rsidP="00EB4F72">
            <w:pPr>
              <w:pStyle w:val="TablebodyleftFinancialsTables"/>
              <w:jc w:val="right"/>
              <w:rPr>
                <w:rFonts w:asciiTheme="minorHAnsi" w:hAnsiTheme="minorHAnsi" w:cstheme="minorHAnsi"/>
              </w:rPr>
            </w:pPr>
            <w:r w:rsidRPr="00EB4F72">
              <w:rPr>
                <w:rFonts w:asciiTheme="minorHAnsi" w:hAnsiTheme="minorHAnsi" w:cstheme="minorHAnsi"/>
              </w:rPr>
              <w:t>2</w:t>
            </w:r>
          </w:p>
        </w:tc>
        <w:tc>
          <w:tcPr>
            <w:tcW w:w="1191" w:type="dxa"/>
          </w:tcPr>
          <w:p w14:paraId="62146026" w14:textId="77777777" w:rsidR="00B02873" w:rsidRPr="00EB4F72" w:rsidRDefault="00B02873" w:rsidP="00EB4F72">
            <w:pPr>
              <w:pStyle w:val="TablebodyleftFinancialsTables"/>
              <w:jc w:val="right"/>
              <w:rPr>
                <w:rFonts w:asciiTheme="minorHAnsi" w:hAnsiTheme="minorHAnsi" w:cstheme="minorHAnsi"/>
              </w:rPr>
            </w:pPr>
            <w:r w:rsidRPr="00EB4F72">
              <w:rPr>
                <w:rFonts w:asciiTheme="minorHAnsi" w:hAnsiTheme="minorHAnsi" w:cstheme="minorHAnsi"/>
              </w:rPr>
              <w:t>0%</w:t>
            </w:r>
          </w:p>
        </w:tc>
        <w:tc>
          <w:tcPr>
            <w:tcW w:w="1191" w:type="dxa"/>
          </w:tcPr>
          <w:p w14:paraId="42B976A9" w14:textId="77777777" w:rsidR="00B02873" w:rsidRPr="00EB4F72" w:rsidRDefault="00B02873" w:rsidP="00EB4F72">
            <w:pPr>
              <w:pStyle w:val="TablebodyleftFinancialsTables"/>
              <w:jc w:val="right"/>
              <w:rPr>
                <w:rFonts w:asciiTheme="minorHAnsi" w:hAnsiTheme="minorHAnsi" w:cstheme="minorHAnsi"/>
              </w:rPr>
            </w:pPr>
          </w:p>
        </w:tc>
      </w:tr>
      <w:tr w:rsidR="00B02873" w:rsidRPr="00EB4F72" w14:paraId="42D35AB7" w14:textId="77777777" w:rsidTr="00EB4F72">
        <w:tc>
          <w:tcPr>
            <w:tcW w:w="3681" w:type="dxa"/>
          </w:tcPr>
          <w:p w14:paraId="796CB059" w14:textId="77777777" w:rsidR="00B02873" w:rsidRPr="00EB4F72" w:rsidRDefault="00B02873" w:rsidP="00EB4F72">
            <w:pPr>
              <w:pStyle w:val="TablebodyleftFinancialsTables"/>
              <w:rPr>
                <w:rFonts w:asciiTheme="minorHAnsi" w:hAnsiTheme="minorHAnsi" w:cstheme="minorHAnsi"/>
              </w:rPr>
            </w:pPr>
            <w:r w:rsidRPr="00EB4F72">
              <w:rPr>
                <w:rFonts w:asciiTheme="minorHAnsi" w:hAnsiTheme="minorHAnsi" w:cstheme="minorHAnsi"/>
              </w:rPr>
              <w:t xml:space="preserve">Borrowings </w:t>
            </w:r>
          </w:p>
        </w:tc>
        <w:tc>
          <w:tcPr>
            <w:tcW w:w="1190" w:type="dxa"/>
          </w:tcPr>
          <w:p w14:paraId="59B64BA1" w14:textId="77777777" w:rsidR="00B02873" w:rsidRPr="00EB4F72" w:rsidRDefault="00B02873" w:rsidP="00EB4F72">
            <w:pPr>
              <w:pStyle w:val="TablebodyleftFinancialsTables"/>
              <w:jc w:val="right"/>
              <w:rPr>
                <w:rFonts w:asciiTheme="minorHAnsi" w:hAnsiTheme="minorHAnsi" w:cstheme="minorHAnsi"/>
              </w:rPr>
            </w:pPr>
            <w:r w:rsidRPr="00EB4F72">
              <w:rPr>
                <w:rFonts w:asciiTheme="minorHAnsi" w:hAnsiTheme="minorHAnsi" w:cstheme="minorHAnsi"/>
              </w:rPr>
              <w:t>3,226</w:t>
            </w:r>
          </w:p>
        </w:tc>
        <w:tc>
          <w:tcPr>
            <w:tcW w:w="1191" w:type="dxa"/>
          </w:tcPr>
          <w:p w14:paraId="41803EB9" w14:textId="77777777" w:rsidR="00B02873" w:rsidRPr="00EB4F72" w:rsidRDefault="00B02873" w:rsidP="00EB4F72">
            <w:pPr>
              <w:pStyle w:val="TablebodyleftFinancialsTables"/>
              <w:jc w:val="right"/>
              <w:rPr>
                <w:rFonts w:asciiTheme="minorHAnsi" w:hAnsiTheme="minorHAnsi" w:cstheme="minorHAnsi"/>
              </w:rPr>
            </w:pPr>
            <w:r w:rsidRPr="00EB4F72">
              <w:rPr>
                <w:rFonts w:asciiTheme="minorHAnsi" w:hAnsiTheme="minorHAnsi" w:cstheme="minorHAnsi"/>
              </w:rPr>
              <w:t>3,226</w:t>
            </w:r>
          </w:p>
        </w:tc>
        <w:tc>
          <w:tcPr>
            <w:tcW w:w="1191" w:type="dxa"/>
          </w:tcPr>
          <w:p w14:paraId="6FF313E0" w14:textId="77777777" w:rsidR="00B02873" w:rsidRPr="00EB4F72" w:rsidRDefault="00B02873" w:rsidP="00EB4F72">
            <w:pPr>
              <w:pStyle w:val="TablebodyleftFinancialsTables"/>
              <w:jc w:val="right"/>
              <w:rPr>
                <w:rFonts w:asciiTheme="minorHAnsi" w:hAnsiTheme="minorHAnsi" w:cstheme="minorHAnsi"/>
              </w:rPr>
            </w:pPr>
            <w:r w:rsidRPr="00EB4F72">
              <w:rPr>
                <w:rFonts w:asciiTheme="minorHAnsi" w:hAnsiTheme="minorHAnsi" w:cstheme="minorHAnsi"/>
              </w:rPr>
              <w:t>0</w:t>
            </w:r>
          </w:p>
        </w:tc>
        <w:tc>
          <w:tcPr>
            <w:tcW w:w="1191" w:type="dxa"/>
          </w:tcPr>
          <w:p w14:paraId="5B4E5BF4" w14:textId="77777777" w:rsidR="00B02873" w:rsidRPr="00EB4F72" w:rsidRDefault="00B02873" w:rsidP="00EB4F72">
            <w:pPr>
              <w:pStyle w:val="TablebodyleftFinancialsTables"/>
              <w:jc w:val="right"/>
              <w:rPr>
                <w:rFonts w:asciiTheme="minorHAnsi" w:hAnsiTheme="minorHAnsi" w:cstheme="minorHAnsi"/>
              </w:rPr>
            </w:pPr>
            <w:r w:rsidRPr="00EB4F72">
              <w:rPr>
                <w:rFonts w:asciiTheme="minorHAnsi" w:hAnsiTheme="minorHAnsi" w:cstheme="minorHAnsi"/>
              </w:rPr>
              <w:t>0%</w:t>
            </w:r>
          </w:p>
        </w:tc>
        <w:tc>
          <w:tcPr>
            <w:tcW w:w="1191" w:type="dxa"/>
          </w:tcPr>
          <w:p w14:paraId="682A88EA" w14:textId="77777777" w:rsidR="00B02873" w:rsidRPr="00EB4F72" w:rsidRDefault="00B02873" w:rsidP="00EB4F72">
            <w:pPr>
              <w:pStyle w:val="TablebodyleftFinancialsTables"/>
              <w:jc w:val="right"/>
              <w:rPr>
                <w:rFonts w:asciiTheme="minorHAnsi" w:hAnsiTheme="minorHAnsi" w:cstheme="minorHAnsi"/>
              </w:rPr>
            </w:pPr>
          </w:p>
        </w:tc>
      </w:tr>
      <w:tr w:rsidR="00B02873" w:rsidRPr="00EB4F72" w14:paraId="02C4DD23" w14:textId="77777777" w:rsidTr="00EB4F72">
        <w:tc>
          <w:tcPr>
            <w:tcW w:w="3681" w:type="dxa"/>
          </w:tcPr>
          <w:p w14:paraId="414BF2ED" w14:textId="77777777" w:rsidR="00B02873" w:rsidRPr="00EB4F72" w:rsidRDefault="00B02873" w:rsidP="00EB4F72">
            <w:pPr>
              <w:pStyle w:val="TablebodyleftFinancialsTables"/>
              <w:rPr>
                <w:rFonts w:asciiTheme="minorHAnsi" w:hAnsiTheme="minorHAnsi" w:cstheme="minorHAnsi"/>
              </w:rPr>
            </w:pPr>
            <w:r w:rsidRPr="00EB4F72">
              <w:rPr>
                <w:rFonts w:asciiTheme="minorHAnsi" w:hAnsiTheme="minorHAnsi" w:cstheme="minorHAnsi"/>
              </w:rPr>
              <w:t>Provisions</w:t>
            </w:r>
          </w:p>
        </w:tc>
        <w:tc>
          <w:tcPr>
            <w:tcW w:w="1190" w:type="dxa"/>
          </w:tcPr>
          <w:p w14:paraId="19B33CC6" w14:textId="77777777" w:rsidR="00B02873" w:rsidRPr="00EB4F72" w:rsidRDefault="00B02873" w:rsidP="00EB4F72">
            <w:pPr>
              <w:pStyle w:val="TablebodyleftFinancialsTables"/>
              <w:jc w:val="right"/>
              <w:rPr>
                <w:rFonts w:asciiTheme="minorHAnsi" w:hAnsiTheme="minorHAnsi" w:cstheme="minorHAnsi"/>
              </w:rPr>
            </w:pPr>
            <w:r w:rsidRPr="00EB4F72">
              <w:rPr>
                <w:rFonts w:asciiTheme="minorHAnsi" w:hAnsiTheme="minorHAnsi" w:cstheme="minorHAnsi"/>
              </w:rPr>
              <w:t>17</w:t>
            </w:r>
          </w:p>
        </w:tc>
        <w:tc>
          <w:tcPr>
            <w:tcW w:w="1191" w:type="dxa"/>
          </w:tcPr>
          <w:p w14:paraId="0C2F4722" w14:textId="77777777" w:rsidR="00B02873" w:rsidRPr="00EB4F72" w:rsidRDefault="00B02873" w:rsidP="00EB4F72">
            <w:pPr>
              <w:pStyle w:val="TablebodyleftFinancialsTables"/>
              <w:jc w:val="right"/>
              <w:rPr>
                <w:rFonts w:asciiTheme="minorHAnsi" w:hAnsiTheme="minorHAnsi" w:cstheme="minorHAnsi"/>
              </w:rPr>
            </w:pPr>
            <w:r w:rsidRPr="00EB4F72">
              <w:rPr>
                <w:rFonts w:asciiTheme="minorHAnsi" w:hAnsiTheme="minorHAnsi" w:cstheme="minorHAnsi"/>
              </w:rPr>
              <w:t>45</w:t>
            </w:r>
          </w:p>
        </w:tc>
        <w:tc>
          <w:tcPr>
            <w:tcW w:w="1191" w:type="dxa"/>
          </w:tcPr>
          <w:p w14:paraId="0CC8969B" w14:textId="77777777" w:rsidR="00B02873" w:rsidRPr="00EB4F72" w:rsidRDefault="00B02873" w:rsidP="00EB4F72">
            <w:pPr>
              <w:pStyle w:val="TablebodyleftFinancialsTables"/>
              <w:jc w:val="right"/>
              <w:rPr>
                <w:rFonts w:asciiTheme="minorHAnsi" w:hAnsiTheme="minorHAnsi" w:cstheme="minorHAnsi"/>
              </w:rPr>
            </w:pPr>
            <w:r w:rsidRPr="00EB4F72">
              <w:rPr>
                <w:rFonts w:asciiTheme="minorHAnsi" w:hAnsiTheme="minorHAnsi" w:cstheme="minorHAnsi"/>
              </w:rPr>
              <w:t>(28)</w:t>
            </w:r>
          </w:p>
        </w:tc>
        <w:tc>
          <w:tcPr>
            <w:tcW w:w="1191" w:type="dxa"/>
          </w:tcPr>
          <w:p w14:paraId="06467514" w14:textId="77777777" w:rsidR="00B02873" w:rsidRPr="00EB4F72" w:rsidRDefault="00B02873" w:rsidP="00EB4F72">
            <w:pPr>
              <w:pStyle w:val="TablebodyleftFinancialsTables"/>
              <w:jc w:val="right"/>
              <w:rPr>
                <w:rFonts w:asciiTheme="minorHAnsi" w:hAnsiTheme="minorHAnsi" w:cstheme="minorHAnsi"/>
              </w:rPr>
            </w:pPr>
            <w:r w:rsidRPr="00EB4F72">
              <w:rPr>
                <w:rFonts w:asciiTheme="minorHAnsi" w:hAnsiTheme="minorHAnsi" w:cstheme="minorHAnsi"/>
              </w:rPr>
              <w:t>(62%)</w:t>
            </w:r>
          </w:p>
        </w:tc>
        <w:tc>
          <w:tcPr>
            <w:tcW w:w="1191" w:type="dxa"/>
          </w:tcPr>
          <w:p w14:paraId="58063FA7" w14:textId="77777777" w:rsidR="00B02873" w:rsidRPr="00EB4F72" w:rsidRDefault="00B02873" w:rsidP="00EB4F72">
            <w:pPr>
              <w:pStyle w:val="TablebodyleftFinancialsTables"/>
              <w:jc w:val="right"/>
              <w:rPr>
                <w:rFonts w:asciiTheme="minorHAnsi" w:hAnsiTheme="minorHAnsi" w:cstheme="minorHAnsi"/>
              </w:rPr>
            </w:pPr>
            <w:r w:rsidRPr="00EB4F72">
              <w:rPr>
                <w:rFonts w:asciiTheme="minorHAnsi" w:hAnsiTheme="minorHAnsi" w:cstheme="minorHAnsi"/>
              </w:rPr>
              <w:t>11</w:t>
            </w:r>
          </w:p>
        </w:tc>
      </w:tr>
      <w:tr w:rsidR="00B02873" w:rsidRPr="00EB4F72" w14:paraId="0151E854" w14:textId="77777777" w:rsidTr="00EB4F72">
        <w:tc>
          <w:tcPr>
            <w:tcW w:w="3681" w:type="dxa"/>
          </w:tcPr>
          <w:p w14:paraId="556437AB" w14:textId="77777777" w:rsidR="00B02873" w:rsidRPr="00EB4F72" w:rsidRDefault="00B02873" w:rsidP="00EB4F72">
            <w:pPr>
              <w:pStyle w:val="TablebodyleftFinancialsTables"/>
              <w:rPr>
                <w:rFonts w:asciiTheme="minorHAnsi" w:hAnsiTheme="minorHAnsi" w:cstheme="minorHAnsi"/>
                <w:b/>
                <w:bCs/>
              </w:rPr>
            </w:pPr>
            <w:r w:rsidRPr="00EB4F72">
              <w:rPr>
                <w:rFonts w:asciiTheme="minorHAnsi" w:hAnsiTheme="minorHAnsi" w:cstheme="minorHAnsi"/>
                <w:b/>
                <w:bCs/>
              </w:rPr>
              <w:t>Total administered liabilities</w:t>
            </w:r>
          </w:p>
        </w:tc>
        <w:tc>
          <w:tcPr>
            <w:tcW w:w="1190" w:type="dxa"/>
          </w:tcPr>
          <w:p w14:paraId="00B87E8F" w14:textId="77777777" w:rsidR="00B02873" w:rsidRPr="00EB4F72" w:rsidRDefault="00B02873" w:rsidP="00EB4F72">
            <w:pPr>
              <w:pStyle w:val="TablebodyleftFinancialsTables"/>
              <w:jc w:val="right"/>
              <w:rPr>
                <w:rFonts w:asciiTheme="minorHAnsi" w:hAnsiTheme="minorHAnsi" w:cstheme="minorHAnsi"/>
                <w:b/>
                <w:bCs/>
              </w:rPr>
            </w:pPr>
            <w:r w:rsidRPr="00EB4F72">
              <w:rPr>
                <w:rFonts w:asciiTheme="minorHAnsi" w:hAnsiTheme="minorHAnsi" w:cstheme="minorHAnsi"/>
                <w:b/>
                <w:bCs/>
              </w:rPr>
              <w:t>5,900</w:t>
            </w:r>
          </w:p>
        </w:tc>
        <w:tc>
          <w:tcPr>
            <w:tcW w:w="1191" w:type="dxa"/>
          </w:tcPr>
          <w:p w14:paraId="40DBD97D" w14:textId="77777777" w:rsidR="00B02873" w:rsidRPr="00EB4F72" w:rsidRDefault="00B02873" w:rsidP="00EB4F72">
            <w:pPr>
              <w:pStyle w:val="TablebodyleftFinancialsTables"/>
              <w:jc w:val="right"/>
              <w:rPr>
                <w:rFonts w:asciiTheme="minorHAnsi" w:hAnsiTheme="minorHAnsi" w:cstheme="minorHAnsi"/>
                <w:b/>
                <w:bCs/>
              </w:rPr>
            </w:pPr>
            <w:r w:rsidRPr="00EB4F72">
              <w:rPr>
                <w:rFonts w:asciiTheme="minorHAnsi" w:hAnsiTheme="minorHAnsi" w:cstheme="minorHAnsi"/>
                <w:b/>
                <w:bCs/>
              </w:rPr>
              <w:t>5,926</w:t>
            </w:r>
          </w:p>
        </w:tc>
        <w:tc>
          <w:tcPr>
            <w:tcW w:w="1191" w:type="dxa"/>
          </w:tcPr>
          <w:p w14:paraId="4D336A53" w14:textId="77777777" w:rsidR="00B02873" w:rsidRPr="00EB4F72" w:rsidRDefault="00B02873" w:rsidP="00EB4F72">
            <w:pPr>
              <w:pStyle w:val="TablebodyleftFinancialsTables"/>
              <w:jc w:val="right"/>
              <w:rPr>
                <w:rFonts w:asciiTheme="minorHAnsi" w:hAnsiTheme="minorHAnsi" w:cstheme="minorHAnsi"/>
                <w:b/>
                <w:bCs/>
              </w:rPr>
            </w:pPr>
            <w:r w:rsidRPr="00EB4F72">
              <w:rPr>
                <w:rFonts w:asciiTheme="minorHAnsi" w:hAnsiTheme="minorHAnsi" w:cstheme="minorHAnsi"/>
                <w:b/>
                <w:bCs/>
              </w:rPr>
              <w:t>(26)</w:t>
            </w:r>
          </w:p>
        </w:tc>
        <w:tc>
          <w:tcPr>
            <w:tcW w:w="1191" w:type="dxa"/>
          </w:tcPr>
          <w:p w14:paraId="4882D642" w14:textId="77777777" w:rsidR="00B02873" w:rsidRPr="00EB4F72" w:rsidRDefault="00B02873" w:rsidP="00EB4F72">
            <w:pPr>
              <w:pStyle w:val="TablebodyleftFinancialsTables"/>
              <w:jc w:val="right"/>
              <w:rPr>
                <w:rFonts w:asciiTheme="minorHAnsi" w:hAnsiTheme="minorHAnsi" w:cstheme="minorHAnsi"/>
                <w:b/>
                <w:bCs/>
              </w:rPr>
            </w:pPr>
            <w:r w:rsidRPr="00EB4F72">
              <w:rPr>
                <w:rFonts w:asciiTheme="minorHAnsi" w:hAnsiTheme="minorHAnsi" w:cstheme="minorHAnsi"/>
                <w:b/>
                <w:bCs/>
              </w:rPr>
              <w:t>0%</w:t>
            </w:r>
          </w:p>
        </w:tc>
        <w:tc>
          <w:tcPr>
            <w:tcW w:w="1191" w:type="dxa"/>
          </w:tcPr>
          <w:p w14:paraId="5E626F3A" w14:textId="77777777" w:rsidR="00B02873" w:rsidRPr="00EB4F72" w:rsidRDefault="00B02873" w:rsidP="00EB4F72">
            <w:pPr>
              <w:pStyle w:val="TablebodyleftFinancialsTables"/>
              <w:jc w:val="right"/>
              <w:rPr>
                <w:rFonts w:asciiTheme="minorHAnsi" w:hAnsiTheme="minorHAnsi" w:cstheme="minorHAnsi"/>
                <w:b/>
                <w:bCs/>
              </w:rPr>
            </w:pPr>
          </w:p>
        </w:tc>
      </w:tr>
      <w:tr w:rsidR="00B02873" w:rsidRPr="00EB4F72" w14:paraId="248C4E2E" w14:textId="77777777" w:rsidTr="00EB4F72">
        <w:tc>
          <w:tcPr>
            <w:tcW w:w="3681" w:type="dxa"/>
          </w:tcPr>
          <w:p w14:paraId="3E4A9357" w14:textId="77777777" w:rsidR="00B02873" w:rsidRPr="00EB4F72" w:rsidRDefault="00B02873" w:rsidP="00EB4F72">
            <w:pPr>
              <w:pStyle w:val="TablebodyleftFinancialsTables"/>
              <w:rPr>
                <w:rFonts w:asciiTheme="minorHAnsi" w:hAnsiTheme="minorHAnsi" w:cstheme="minorHAnsi"/>
                <w:b/>
                <w:bCs/>
              </w:rPr>
            </w:pPr>
            <w:r w:rsidRPr="00EB4F72">
              <w:rPr>
                <w:rFonts w:asciiTheme="minorHAnsi" w:hAnsiTheme="minorHAnsi" w:cstheme="minorHAnsi"/>
                <w:b/>
                <w:bCs/>
              </w:rPr>
              <w:t>Net assets</w:t>
            </w:r>
          </w:p>
        </w:tc>
        <w:tc>
          <w:tcPr>
            <w:tcW w:w="1190" w:type="dxa"/>
          </w:tcPr>
          <w:p w14:paraId="4E034C9E" w14:textId="77777777" w:rsidR="00B02873" w:rsidRPr="00EB4F72" w:rsidRDefault="00B02873" w:rsidP="00EB4F72">
            <w:pPr>
              <w:pStyle w:val="TablebodyleftFinancialsTables"/>
              <w:jc w:val="right"/>
              <w:rPr>
                <w:rFonts w:asciiTheme="minorHAnsi" w:hAnsiTheme="minorHAnsi" w:cstheme="minorHAnsi"/>
                <w:b/>
                <w:bCs/>
              </w:rPr>
            </w:pPr>
            <w:r w:rsidRPr="00EB4F72">
              <w:rPr>
                <w:rFonts w:asciiTheme="minorHAnsi" w:hAnsiTheme="minorHAnsi" w:cstheme="minorHAnsi"/>
                <w:b/>
                <w:bCs/>
              </w:rPr>
              <w:t>(471)</w:t>
            </w:r>
          </w:p>
        </w:tc>
        <w:tc>
          <w:tcPr>
            <w:tcW w:w="1191" w:type="dxa"/>
          </w:tcPr>
          <w:p w14:paraId="6F9F30CC" w14:textId="77777777" w:rsidR="00B02873" w:rsidRPr="00EB4F72" w:rsidRDefault="00B02873" w:rsidP="00EB4F72">
            <w:pPr>
              <w:pStyle w:val="TablebodyleftFinancialsTables"/>
              <w:jc w:val="right"/>
              <w:rPr>
                <w:rFonts w:asciiTheme="minorHAnsi" w:hAnsiTheme="minorHAnsi" w:cstheme="minorHAnsi"/>
                <w:b/>
                <w:bCs/>
              </w:rPr>
            </w:pPr>
            <w:r w:rsidRPr="00EB4F72">
              <w:rPr>
                <w:rFonts w:asciiTheme="minorHAnsi" w:hAnsiTheme="minorHAnsi" w:cstheme="minorHAnsi"/>
                <w:b/>
                <w:bCs/>
              </w:rPr>
              <w:t>(760)</w:t>
            </w:r>
          </w:p>
        </w:tc>
        <w:tc>
          <w:tcPr>
            <w:tcW w:w="1191" w:type="dxa"/>
          </w:tcPr>
          <w:p w14:paraId="491FF56C" w14:textId="77777777" w:rsidR="00B02873" w:rsidRPr="00EB4F72" w:rsidRDefault="00B02873" w:rsidP="00EB4F72">
            <w:pPr>
              <w:pStyle w:val="TablebodyleftFinancialsTables"/>
              <w:jc w:val="right"/>
              <w:rPr>
                <w:rFonts w:asciiTheme="minorHAnsi" w:hAnsiTheme="minorHAnsi" w:cstheme="minorHAnsi"/>
                <w:b/>
                <w:bCs/>
              </w:rPr>
            </w:pPr>
            <w:r w:rsidRPr="00EB4F72">
              <w:rPr>
                <w:rFonts w:asciiTheme="minorHAnsi" w:hAnsiTheme="minorHAnsi" w:cstheme="minorHAnsi"/>
                <w:b/>
                <w:bCs/>
              </w:rPr>
              <w:t>289</w:t>
            </w:r>
          </w:p>
        </w:tc>
        <w:tc>
          <w:tcPr>
            <w:tcW w:w="1191" w:type="dxa"/>
          </w:tcPr>
          <w:p w14:paraId="6A171F0D" w14:textId="77777777" w:rsidR="00B02873" w:rsidRPr="00EB4F72" w:rsidRDefault="00B02873" w:rsidP="00EB4F72">
            <w:pPr>
              <w:pStyle w:val="TablebodyleftFinancialsTables"/>
              <w:jc w:val="right"/>
              <w:rPr>
                <w:rFonts w:asciiTheme="minorHAnsi" w:hAnsiTheme="minorHAnsi" w:cstheme="minorHAnsi"/>
                <w:b/>
                <w:bCs/>
              </w:rPr>
            </w:pPr>
            <w:r w:rsidRPr="00EB4F72">
              <w:rPr>
                <w:rFonts w:asciiTheme="minorHAnsi" w:hAnsiTheme="minorHAnsi" w:cstheme="minorHAnsi"/>
                <w:b/>
                <w:bCs/>
              </w:rPr>
              <w:t>(38%)</w:t>
            </w:r>
          </w:p>
        </w:tc>
        <w:tc>
          <w:tcPr>
            <w:tcW w:w="1191" w:type="dxa"/>
          </w:tcPr>
          <w:p w14:paraId="140F285E" w14:textId="77777777" w:rsidR="00B02873" w:rsidRPr="00EB4F72" w:rsidRDefault="00B02873" w:rsidP="00EB4F72">
            <w:pPr>
              <w:pStyle w:val="TablebodyleftFinancialsTables"/>
              <w:jc w:val="right"/>
              <w:rPr>
                <w:rFonts w:asciiTheme="minorHAnsi" w:hAnsiTheme="minorHAnsi" w:cstheme="minorHAnsi"/>
                <w:b/>
                <w:bCs/>
              </w:rPr>
            </w:pPr>
          </w:p>
        </w:tc>
      </w:tr>
    </w:tbl>
    <w:p w14:paraId="55FCBC87" w14:textId="77777777" w:rsidR="00B02873" w:rsidRPr="00EB4F72" w:rsidRDefault="00B02873" w:rsidP="00EB4F72">
      <w:pPr>
        <w:pStyle w:val="SourceNote"/>
        <w:spacing w:after="120"/>
        <w:rPr>
          <w:b/>
          <w:bCs/>
        </w:rPr>
      </w:pPr>
      <w:r w:rsidRPr="00EB4F72">
        <w:rPr>
          <w:b/>
          <w:bCs/>
        </w:rPr>
        <w:t>Variance Notes:</w:t>
      </w:r>
    </w:p>
    <w:p w14:paraId="5BD96A66" w14:textId="77777777" w:rsidR="00B02873" w:rsidRDefault="00B02873" w:rsidP="001128B1">
      <w:pPr>
        <w:pStyle w:val="SourceNotenumbered-1"/>
        <w:numPr>
          <w:ilvl w:val="0"/>
          <w:numId w:val="54"/>
        </w:numPr>
      </w:pPr>
      <w:r>
        <w:t>The variance is primarily due to higher than anticipated Land Registry Services revenue.</w:t>
      </w:r>
    </w:p>
    <w:p w14:paraId="3ED39F59" w14:textId="56CD322B" w:rsidR="00B02873" w:rsidRDefault="00B02873" w:rsidP="00EB4F72">
      <w:pPr>
        <w:pStyle w:val="SourceNotenumbered-1"/>
      </w:pPr>
      <w:r>
        <w:t xml:space="preserve">The variance is primarily due to a change in funding profile for the Victorian Desalination Plant and land transfers to councils and Committees of Management in line with the requirements of Financial Reporting Directions 117 </w:t>
      </w:r>
      <w:r w:rsidRPr="00DA4B09">
        <w:rPr>
          <w:i w:val="0"/>
        </w:rPr>
        <w:t>Contributions of Existing Non-Financial Assets to Third Parties</w:t>
      </w:r>
      <w:r>
        <w:t>.</w:t>
      </w:r>
    </w:p>
    <w:p w14:paraId="5795006F" w14:textId="77777777" w:rsidR="00B02873" w:rsidRDefault="00B02873" w:rsidP="00EB4F72">
      <w:pPr>
        <w:pStyle w:val="SourceNotenumbered-1"/>
      </w:pPr>
      <w:r>
        <w:t>The variance is primarily due to contractual payments to the private operator associated with the additional revenue received for land registration services and additional contributions required to meet the state’s commitment to the Murray-Darling Basin joint programs.</w:t>
      </w:r>
    </w:p>
    <w:p w14:paraId="0A3E79C5" w14:textId="77777777" w:rsidR="00B02873" w:rsidRDefault="00B02873" w:rsidP="00EB4F72">
      <w:pPr>
        <w:pStyle w:val="SourceNotenumbered-1"/>
      </w:pPr>
      <w:r>
        <w:t>The variance is primarily due to a change in funding profile for the Victorian Desalination Plant.</w:t>
      </w:r>
    </w:p>
    <w:p w14:paraId="19D22D12" w14:textId="77777777" w:rsidR="00B02873" w:rsidRDefault="00B02873" w:rsidP="00EB4F72">
      <w:pPr>
        <w:pStyle w:val="SourceNotenumbered-1"/>
      </w:pPr>
      <w:r>
        <w:t xml:space="preserve">The variance is primarily due to lower than anticipated disposal of renewable energy certificates for the Victorian Desalination Plant due to the 2021-22 water order being lower than budgeted. </w:t>
      </w:r>
    </w:p>
    <w:p w14:paraId="2F17CF5A" w14:textId="77777777" w:rsidR="00B02873" w:rsidRDefault="00B02873" w:rsidP="00EB4F72">
      <w:pPr>
        <w:pStyle w:val="SourceNotenumbered-1"/>
      </w:pPr>
      <w:r>
        <w:t>The variance is primarily due to the revaluation of Murray Darling Basin Authority infrastructure assets as well as the revaluation of intangible assets associated with the service concession arrangement for Land Use Victoria.</w:t>
      </w:r>
    </w:p>
    <w:p w14:paraId="3F7A71EF" w14:textId="190A7A7C" w:rsidR="00B02873" w:rsidRDefault="00B02873" w:rsidP="00EB4F72">
      <w:pPr>
        <w:pStyle w:val="SourceNotenumbered-1"/>
      </w:pPr>
      <w:r>
        <w:t>The variance is primarily due to an increase in DELWP’s investment in portfolio agencies as a result of the merger of Western Water Corporation into City West Water Corporation to form Greater Western Water on 1 July 2021.</w:t>
      </w:r>
      <w:r w:rsidR="00012C04">
        <w:t xml:space="preserve"> </w:t>
      </w:r>
    </w:p>
    <w:p w14:paraId="5771A72E" w14:textId="77777777" w:rsidR="00B02873" w:rsidRDefault="00B02873" w:rsidP="00EB4F72">
      <w:pPr>
        <w:pStyle w:val="SourceNotenumbered-1"/>
      </w:pPr>
      <w:r>
        <w:t xml:space="preserve">The variance is due to the land registry commercialisation trust account being treated as cash and deposits instead of receivables. </w:t>
      </w:r>
    </w:p>
    <w:p w14:paraId="3E2762E2" w14:textId="77777777" w:rsidR="00B02873" w:rsidRDefault="00B02873" w:rsidP="00EB4F72">
      <w:pPr>
        <w:pStyle w:val="SourceNotenumbered-1"/>
      </w:pPr>
      <w:r>
        <w:t>Refer commentary ‘cash and deposits’</w:t>
      </w:r>
    </w:p>
    <w:p w14:paraId="08094369" w14:textId="77777777" w:rsidR="00B02873" w:rsidRDefault="00B02873" w:rsidP="00EB4F72">
      <w:pPr>
        <w:pStyle w:val="SourceNotenumbered-1"/>
      </w:pPr>
      <w:r>
        <w:t>Refer commentary ‘asset revaluation reserve’.</w:t>
      </w:r>
    </w:p>
    <w:p w14:paraId="666BB54F" w14:textId="420998E0" w:rsidR="00B02873" w:rsidRDefault="00B02873" w:rsidP="00EB4F72">
      <w:pPr>
        <w:pStyle w:val="SourceNotenumbered-1"/>
      </w:pPr>
      <w:r>
        <w:t>The variance relates to lower than anticipated provision for the surrender of large scale certificates related to the Victorian Desalination Plant</w:t>
      </w:r>
    </w:p>
    <w:p w14:paraId="6282F7AD" w14:textId="77777777" w:rsidR="00B02873" w:rsidRDefault="00B02873" w:rsidP="00491A28">
      <w:pPr>
        <w:pStyle w:val="Heading2"/>
      </w:pPr>
      <w:bookmarkStart w:id="87" w:name="_Toc117447370"/>
      <w:r>
        <w:t>Appendix 5: Capital projects</w:t>
      </w:r>
      <w:bookmarkEnd w:id="87"/>
      <w:r>
        <w:t xml:space="preserve"> </w:t>
      </w:r>
    </w:p>
    <w:p w14:paraId="55649BB0" w14:textId="3CFA5500" w:rsidR="00B02873" w:rsidRDefault="00B02873" w:rsidP="00FE198A">
      <w:r>
        <w:t>The department and its related portfolio entities manage a range of capital projects to deliver services for government.</w:t>
      </w:r>
    </w:p>
    <w:p w14:paraId="0FB581BD" w14:textId="6A9BBDFC" w:rsidR="00B02873" w:rsidRDefault="00B02873" w:rsidP="00FE198A">
      <w:r>
        <w:t>Information on new and existing capital projects for departments and the broader Victorian public sector is contained in the most recent Budget Paper No. 4: State Capital Program which is available on the Department of Treasury and Finance’s website.</w:t>
      </w:r>
    </w:p>
    <w:p w14:paraId="413ED81F" w14:textId="77777777" w:rsidR="00B02873" w:rsidRDefault="00B02873" w:rsidP="00FE198A">
      <w:r>
        <w:t>During the 2021-22, the department completed the following capital projects with a Total Estimated Investment (TEI) of $10 million or greater. The details related to these projects are reported below:</w:t>
      </w:r>
    </w:p>
    <w:p w14:paraId="22F5FA66" w14:textId="77777777" w:rsidR="00B02873" w:rsidRDefault="00B02873" w:rsidP="00491A28">
      <w:pPr>
        <w:pStyle w:val="TabletitleTables"/>
      </w:pPr>
      <w:r>
        <w:lastRenderedPageBreak/>
        <w:t>Table 1: Capital projects reaching practical completion during the financial year ended 30 June 2022</w:t>
      </w:r>
    </w:p>
    <w:tbl>
      <w:tblPr>
        <w:tblStyle w:val="TableGrid"/>
        <w:tblW w:w="9886" w:type="dxa"/>
        <w:tblLayout w:type="fixed"/>
        <w:tblLook w:val="0020" w:firstRow="1" w:lastRow="0" w:firstColumn="0" w:lastColumn="0" w:noHBand="0" w:noVBand="0"/>
      </w:tblPr>
      <w:tblGrid>
        <w:gridCol w:w="1059"/>
        <w:gridCol w:w="938"/>
        <w:gridCol w:w="1008"/>
        <w:gridCol w:w="959"/>
        <w:gridCol w:w="993"/>
        <w:gridCol w:w="1020"/>
        <w:gridCol w:w="972"/>
        <w:gridCol w:w="975"/>
        <w:gridCol w:w="894"/>
        <w:gridCol w:w="1068"/>
      </w:tblGrid>
      <w:tr w:rsidR="00B02873" w:rsidRPr="00491A28" w14:paraId="1115D212" w14:textId="77777777" w:rsidTr="00491A28">
        <w:trPr>
          <w:cnfStyle w:val="100000000000" w:firstRow="1" w:lastRow="0" w:firstColumn="0" w:lastColumn="0" w:oddVBand="0" w:evenVBand="0" w:oddHBand="0" w:evenHBand="0" w:firstRowFirstColumn="0" w:firstRowLastColumn="0" w:lastRowFirstColumn="0" w:lastRowLastColumn="0"/>
        </w:trPr>
        <w:tc>
          <w:tcPr>
            <w:tcW w:w="1059" w:type="dxa"/>
          </w:tcPr>
          <w:p w14:paraId="5193EC6D" w14:textId="77777777" w:rsidR="00B02873" w:rsidRPr="00491A28" w:rsidRDefault="00B02873" w:rsidP="00491A28">
            <w:pPr>
              <w:pStyle w:val="TableheadingleftFinancialsTables"/>
              <w:rPr>
                <w:sz w:val="16"/>
                <w:szCs w:val="12"/>
              </w:rPr>
            </w:pPr>
            <w:r w:rsidRPr="00491A28">
              <w:rPr>
                <w:sz w:val="16"/>
                <w:szCs w:val="12"/>
              </w:rPr>
              <w:t>Project Name</w:t>
            </w:r>
          </w:p>
        </w:tc>
        <w:tc>
          <w:tcPr>
            <w:tcW w:w="938" w:type="dxa"/>
          </w:tcPr>
          <w:p w14:paraId="32E1F57A" w14:textId="77777777" w:rsidR="00B02873" w:rsidRPr="00491A28" w:rsidRDefault="00B02873" w:rsidP="00491A28">
            <w:pPr>
              <w:pStyle w:val="TableheadingleftFinancialsTables"/>
              <w:rPr>
                <w:sz w:val="16"/>
                <w:szCs w:val="12"/>
              </w:rPr>
            </w:pPr>
            <w:r w:rsidRPr="00491A28">
              <w:rPr>
                <w:spacing w:val="-3"/>
                <w:sz w:val="16"/>
                <w:szCs w:val="12"/>
              </w:rPr>
              <w:t>Original completion date</w:t>
            </w:r>
          </w:p>
        </w:tc>
        <w:tc>
          <w:tcPr>
            <w:tcW w:w="1008" w:type="dxa"/>
          </w:tcPr>
          <w:p w14:paraId="21932808" w14:textId="77777777" w:rsidR="00B02873" w:rsidRPr="00491A28" w:rsidRDefault="00B02873" w:rsidP="00491A28">
            <w:pPr>
              <w:pStyle w:val="TableheadingleftFinancialsTables"/>
              <w:rPr>
                <w:sz w:val="16"/>
                <w:szCs w:val="12"/>
              </w:rPr>
            </w:pPr>
            <w:r w:rsidRPr="00491A28">
              <w:rPr>
                <w:spacing w:val="-3"/>
                <w:sz w:val="16"/>
                <w:szCs w:val="12"/>
              </w:rPr>
              <w:t>Latest approved completion date</w:t>
            </w:r>
          </w:p>
        </w:tc>
        <w:tc>
          <w:tcPr>
            <w:tcW w:w="959" w:type="dxa"/>
          </w:tcPr>
          <w:p w14:paraId="2573852A" w14:textId="77777777" w:rsidR="00B02873" w:rsidRPr="00491A28" w:rsidRDefault="00B02873" w:rsidP="00491A28">
            <w:pPr>
              <w:pStyle w:val="TableheadingleftFinancialsTables"/>
              <w:rPr>
                <w:sz w:val="16"/>
                <w:szCs w:val="12"/>
              </w:rPr>
            </w:pPr>
            <w:r w:rsidRPr="00491A28">
              <w:rPr>
                <w:spacing w:val="-3"/>
                <w:sz w:val="16"/>
                <w:szCs w:val="12"/>
              </w:rPr>
              <w:t>Practical</w:t>
            </w:r>
            <w:r w:rsidRPr="00491A28">
              <w:rPr>
                <w:spacing w:val="-3"/>
                <w:sz w:val="16"/>
                <w:szCs w:val="12"/>
              </w:rPr>
              <w:br/>
              <w:t>completion date</w:t>
            </w:r>
          </w:p>
        </w:tc>
        <w:tc>
          <w:tcPr>
            <w:tcW w:w="993" w:type="dxa"/>
          </w:tcPr>
          <w:p w14:paraId="5BC84FF5" w14:textId="77777777" w:rsidR="00B02873" w:rsidRPr="00491A28" w:rsidRDefault="00B02873" w:rsidP="00491A28">
            <w:pPr>
              <w:pStyle w:val="TableheadingleftFinancialsTables"/>
              <w:rPr>
                <w:sz w:val="16"/>
                <w:szCs w:val="12"/>
              </w:rPr>
            </w:pPr>
            <w:r w:rsidRPr="00491A28">
              <w:rPr>
                <w:spacing w:val="-3"/>
                <w:sz w:val="16"/>
                <w:szCs w:val="12"/>
              </w:rPr>
              <w:t>Reason for variance in completion dates</w:t>
            </w:r>
          </w:p>
        </w:tc>
        <w:tc>
          <w:tcPr>
            <w:tcW w:w="1020" w:type="dxa"/>
          </w:tcPr>
          <w:p w14:paraId="2EB05095" w14:textId="77777777" w:rsidR="00B02873" w:rsidRPr="00491A28" w:rsidRDefault="00B02873" w:rsidP="00491A28">
            <w:pPr>
              <w:pStyle w:val="TableheadingleftFinancialsTables"/>
              <w:rPr>
                <w:sz w:val="16"/>
                <w:szCs w:val="12"/>
              </w:rPr>
            </w:pPr>
            <w:r w:rsidRPr="00491A28">
              <w:rPr>
                <w:sz w:val="16"/>
                <w:szCs w:val="12"/>
              </w:rPr>
              <w:t xml:space="preserve">Original approved TEI budget </w:t>
            </w:r>
            <w:r w:rsidRPr="00491A28">
              <w:rPr>
                <w:sz w:val="16"/>
                <w:szCs w:val="12"/>
              </w:rPr>
              <w:br/>
              <w:t>($ million)</w:t>
            </w:r>
          </w:p>
        </w:tc>
        <w:tc>
          <w:tcPr>
            <w:tcW w:w="972" w:type="dxa"/>
          </w:tcPr>
          <w:p w14:paraId="3D103128" w14:textId="77777777" w:rsidR="00B02873" w:rsidRPr="00491A28" w:rsidRDefault="00B02873" w:rsidP="00491A28">
            <w:pPr>
              <w:pStyle w:val="TableheadingleftFinancialsTables"/>
              <w:rPr>
                <w:sz w:val="16"/>
                <w:szCs w:val="12"/>
              </w:rPr>
            </w:pPr>
            <w:r w:rsidRPr="00491A28">
              <w:rPr>
                <w:sz w:val="16"/>
                <w:szCs w:val="12"/>
              </w:rPr>
              <w:t>Latest approved TEI</w:t>
            </w:r>
            <w:r w:rsidRPr="00491A28">
              <w:rPr>
                <w:sz w:val="16"/>
                <w:szCs w:val="12"/>
              </w:rPr>
              <w:br/>
              <w:t xml:space="preserve">budget </w:t>
            </w:r>
            <w:r w:rsidRPr="00491A28">
              <w:rPr>
                <w:sz w:val="16"/>
                <w:szCs w:val="12"/>
              </w:rPr>
              <w:br/>
              <w:t>($ million)</w:t>
            </w:r>
          </w:p>
        </w:tc>
        <w:tc>
          <w:tcPr>
            <w:tcW w:w="975" w:type="dxa"/>
          </w:tcPr>
          <w:p w14:paraId="313A9AE2" w14:textId="77777777" w:rsidR="00B02873" w:rsidRPr="00491A28" w:rsidRDefault="00B02873" w:rsidP="00491A28">
            <w:pPr>
              <w:pStyle w:val="TableheadingleftFinancialsTables"/>
              <w:rPr>
                <w:sz w:val="16"/>
                <w:szCs w:val="12"/>
              </w:rPr>
            </w:pPr>
            <w:r w:rsidRPr="00491A28">
              <w:rPr>
                <w:sz w:val="16"/>
                <w:szCs w:val="12"/>
              </w:rPr>
              <w:t xml:space="preserve">Actual </w:t>
            </w:r>
            <w:r w:rsidRPr="00491A28">
              <w:rPr>
                <w:sz w:val="16"/>
                <w:szCs w:val="12"/>
              </w:rPr>
              <w:br/>
              <w:t xml:space="preserve">TEI cost </w:t>
            </w:r>
            <w:r w:rsidRPr="00491A28">
              <w:rPr>
                <w:sz w:val="16"/>
                <w:szCs w:val="12"/>
              </w:rPr>
              <w:br/>
              <w:t>($ million)</w:t>
            </w:r>
          </w:p>
        </w:tc>
        <w:tc>
          <w:tcPr>
            <w:tcW w:w="894" w:type="dxa"/>
          </w:tcPr>
          <w:p w14:paraId="3054914A" w14:textId="77777777" w:rsidR="00B02873" w:rsidRPr="00491A28" w:rsidRDefault="00B02873" w:rsidP="00491A28">
            <w:pPr>
              <w:pStyle w:val="TableheadingleftFinancialsTables"/>
              <w:rPr>
                <w:sz w:val="16"/>
                <w:szCs w:val="12"/>
              </w:rPr>
            </w:pPr>
            <w:r w:rsidRPr="00491A28">
              <w:rPr>
                <w:spacing w:val="-3"/>
                <w:sz w:val="16"/>
                <w:szCs w:val="12"/>
              </w:rPr>
              <w:t>Variation between actual cost and latest approved TEI budget</w:t>
            </w:r>
          </w:p>
        </w:tc>
        <w:tc>
          <w:tcPr>
            <w:tcW w:w="1068" w:type="dxa"/>
          </w:tcPr>
          <w:p w14:paraId="37569EC6" w14:textId="77777777" w:rsidR="00B02873" w:rsidRPr="00491A28" w:rsidRDefault="00B02873" w:rsidP="00491A28">
            <w:pPr>
              <w:pStyle w:val="TableheadingleftFinancialsTables"/>
              <w:rPr>
                <w:sz w:val="16"/>
                <w:szCs w:val="12"/>
              </w:rPr>
            </w:pPr>
            <w:r w:rsidRPr="00491A28">
              <w:rPr>
                <w:spacing w:val="-3"/>
                <w:sz w:val="16"/>
                <w:szCs w:val="12"/>
              </w:rPr>
              <w:t>Reason for variance from latest approved TEI Budget</w:t>
            </w:r>
          </w:p>
        </w:tc>
      </w:tr>
      <w:tr w:rsidR="00B02873" w:rsidRPr="00491A28" w14:paraId="7FA9EF13" w14:textId="77777777" w:rsidTr="00491A28">
        <w:tc>
          <w:tcPr>
            <w:tcW w:w="1059" w:type="dxa"/>
          </w:tcPr>
          <w:p w14:paraId="0D28C29A" w14:textId="44080AB3" w:rsidR="00B02873" w:rsidRPr="00491A28" w:rsidRDefault="00B02873" w:rsidP="00491A28">
            <w:pPr>
              <w:pStyle w:val="TablebodyleftFinancialsTables"/>
              <w:rPr>
                <w:sz w:val="16"/>
                <w:szCs w:val="12"/>
              </w:rPr>
            </w:pPr>
            <w:r w:rsidRPr="00491A28">
              <w:rPr>
                <w:sz w:val="16"/>
                <w:szCs w:val="12"/>
              </w:rPr>
              <w:t>Climate ready Victorian infrastructure</w:t>
            </w:r>
            <w:r w:rsidR="000C45FC" w:rsidRPr="00491A28">
              <w:rPr>
                <w:sz w:val="16"/>
                <w:szCs w:val="12"/>
              </w:rPr>
              <w:t xml:space="preserve"> – </w:t>
            </w:r>
            <w:r w:rsidRPr="00491A28">
              <w:rPr>
                <w:sz w:val="16"/>
                <w:szCs w:val="12"/>
              </w:rPr>
              <w:t>critical coastal protection assets (statewide)</w:t>
            </w:r>
          </w:p>
        </w:tc>
        <w:tc>
          <w:tcPr>
            <w:tcW w:w="938" w:type="dxa"/>
          </w:tcPr>
          <w:p w14:paraId="6FBE3B0D" w14:textId="77777777" w:rsidR="00B02873" w:rsidRPr="00491A28" w:rsidRDefault="00B02873" w:rsidP="00491A28">
            <w:pPr>
              <w:pStyle w:val="TablebodyleftFinancialsTables"/>
              <w:rPr>
                <w:sz w:val="16"/>
                <w:szCs w:val="12"/>
              </w:rPr>
            </w:pPr>
            <w:r w:rsidRPr="00491A28">
              <w:rPr>
                <w:sz w:val="16"/>
                <w:szCs w:val="12"/>
              </w:rPr>
              <w:t>Jun-20</w:t>
            </w:r>
          </w:p>
        </w:tc>
        <w:tc>
          <w:tcPr>
            <w:tcW w:w="1008" w:type="dxa"/>
          </w:tcPr>
          <w:p w14:paraId="6FEC48E5" w14:textId="77777777" w:rsidR="00B02873" w:rsidRPr="00491A28" w:rsidRDefault="00B02873" w:rsidP="00491A28">
            <w:pPr>
              <w:pStyle w:val="TablebodyleftFinancialsTables"/>
              <w:rPr>
                <w:sz w:val="16"/>
                <w:szCs w:val="12"/>
              </w:rPr>
            </w:pPr>
            <w:r w:rsidRPr="00491A28">
              <w:rPr>
                <w:sz w:val="16"/>
                <w:szCs w:val="12"/>
              </w:rPr>
              <w:t>Jun-22</w:t>
            </w:r>
          </w:p>
        </w:tc>
        <w:tc>
          <w:tcPr>
            <w:tcW w:w="959" w:type="dxa"/>
          </w:tcPr>
          <w:p w14:paraId="56B57E0A" w14:textId="77777777" w:rsidR="00B02873" w:rsidRPr="00491A28" w:rsidRDefault="00B02873" w:rsidP="00491A28">
            <w:pPr>
              <w:pStyle w:val="TablebodyleftFinancialsTables"/>
              <w:rPr>
                <w:sz w:val="16"/>
                <w:szCs w:val="12"/>
              </w:rPr>
            </w:pPr>
            <w:r w:rsidRPr="00491A28">
              <w:rPr>
                <w:sz w:val="16"/>
                <w:szCs w:val="12"/>
              </w:rPr>
              <w:t>Jun-22</w:t>
            </w:r>
          </w:p>
        </w:tc>
        <w:tc>
          <w:tcPr>
            <w:tcW w:w="993" w:type="dxa"/>
          </w:tcPr>
          <w:p w14:paraId="0BB1216C" w14:textId="77777777" w:rsidR="00B02873" w:rsidRPr="00491A28" w:rsidRDefault="00B02873" w:rsidP="00491A28">
            <w:pPr>
              <w:pStyle w:val="TablebodyleftFinancialsTables"/>
              <w:rPr>
                <w:sz w:val="16"/>
                <w:szCs w:val="12"/>
              </w:rPr>
            </w:pPr>
            <w:r w:rsidRPr="00491A28">
              <w:rPr>
                <w:sz w:val="16"/>
                <w:szCs w:val="12"/>
              </w:rPr>
              <w:t xml:space="preserve">The completion date was revised due to COVID-19 impacts on the program. </w:t>
            </w:r>
          </w:p>
        </w:tc>
        <w:tc>
          <w:tcPr>
            <w:tcW w:w="1020" w:type="dxa"/>
          </w:tcPr>
          <w:p w14:paraId="255BF345" w14:textId="77777777" w:rsidR="00B02873" w:rsidRPr="00491A28" w:rsidRDefault="00B02873" w:rsidP="00491A28">
            <w:pPr>
              <w:pStyle w:val="TablebodyleftFinancialsTables"/>
              <w:rPr>
                <w:sz w:val="16"/>
                <w:szCs w:val="12"/>
              </w:rPr>
            </w:pPr>
            <w:r w:rsidRPr="00491A28">
              <w:rPr>
                <w:sz w:val="16"/>
                <w:szCs w:val="12"/>
              </w:rPr>
              <w:t>15.0</w:t>
            </w:r>
          </w:p>
        </w:tc>
        <w:tc>
          <w:tcPr>
            <w:tcW w:w="972" w:type="dxa"/>
          </w:tcPr>
          <w:p w14:paraId="53905909" w14:textId="77777777" w:rsidR="00B02873" w:rsidRPr="00491A28" w:rsidRDefault="00B02873" w:rsidP="00491A28">
            <w:pPr>
              <w:pStyle w:val="TablebodyleftFinancialsTables"/>
              <w:rPr>
                <w:sz w:val="16"/>
                <w:szCs w:val="12"/>
              </w:rPr>
            </w:pPr>
            <w:r w:rsidRPr="00491A28">
              <w:rPr>
                <w:sz w:val="16"/>
                <w:szCs w:val="12"/>
              </w:rPr>
              <w:t>14.7</w:t>
            </w:r>
          </w:p>
        </w:tc>
        <w:tc>
          <w:tcPr>
            <w:tcW w:w="975" w:type="dxa"/>
          </w:tcPr>
          <w:p w14:paraId="63B4863C" w14:textId="77777777" w:rsidR="00B02873" w:rsidRPr="00491A28" w:rsidRDefault="00B02873" w:rsidP="00491A28">
            <w:pPr>
              <w:pStyle w:val="TablebodyleftFinancialsTables"/>
              <w:rPr>
                <w:sz w:val="16"/>
                <w:szCs w:val="12"/>
              </w:rPr>
            </w:pPr>
            <w:r w:rsidRPr="00491A28">
              <w:rPr>
                <w:sz w:val="16"/>
                <w:szCs w:val="12"/>
              </w:rPr>
              <w:t>14.2</w:t>
            </w:r>
          </w:p>
        </w:tc>
        <w:tc>
          <w:tcPr>
            <w:tcW w:w="894" w:type="dxa"/>
          </w:tcPr>
          <w:p w14:paraId="1F8E8F14" w14:textId="77777777" w:rsidR="00B02873" w:rsidRPr="00491A28" w:rsidRDefault="00B02873" w:rsidP="00491A28">
            <w:pPr>
              <w:pStyle w:val="TablebodyleftFinancialsTables"/>
              <w:rPr>
                <w:sz w:val="16"/>
                <w:szCs w:val="12"/>
              </w:rPr>
            </w:pPr>
            <w:r w:rsidRPr="00491A28">
              <w:rPr>
                <w:sz w:val="16"/>
                <w:szCs w:val="12"/>
              </w:rPr>
              <w:t>(0.5)</w:t>
            </w:r>
          </w:p>
        </w:tc>
        <w:tc>
          <w:tcPr>
            <w:tcW w:w="1068" w:type="dxa"/>
          </w:tcPr>
          <w:p w14:paraId="3B13BF98" w14:textId="77777777" w:rsidR="00B02873" w:rsidRPr="00491A28" w:rsidRDefault="00B02873" w:rsidP="00491A28">
            <w:pPr>
              <w:pStyle w:val="TablebodyleftFinancialsTables"/>
              <w:rPr>
                <w:sz w:val="16"/>
                <w:szCs w:val="12"/>
              </w:rPr>
            </w:pPr>
            <w:r w:rsidRPr="00491A28">
              <w:rPr>
                <w:sz w:val="16"/>
                <w:szCs w:val="12"/>
              </w:rPr>
              <w:t>Variance between original TEI and latest approved TEI is a result of certain expenditure being reclassified as operating instead of capital in line with accounting standards.</w:t>
            </w:r>
          </w:p>
        </w:tc>
      </w:tr>
    </w:tbl>
    <w:p w14:paraId="3545A955" w14:textId="77777777" w:rsidR="00B02873" w:rsidRDefault="00B02873" w:rsidP="00FE198A"/>
    <w:p w14:paraId="4C7DFE6A" w14:textId="77777777" w:rsidR="00B02873" w:rsidRDefault="00B02873" w:rsidP="00491A28">
      <w:pPr>
        <w:pStyle w:val="TabletitleTables"/>
      </w:pPr>
      <w:r>
        <w:t>Table 2: Capital projects reaching financial completion during the financial year ended 30 June 2022</w:t>
      </w:r>
    </w:p>
    <w:tbl>
      <w:tblPr>
        <w:tblStyle w:val="TableGrid"/>
        <w:tblW w:w="9937" w:type="dxa"/>
        <w:tblLayout w:type="fixed"/>
        <w:tblLook w:val="0020" w:firstRow="1" w:lastRow="0" w:firstColumn="0" w:lastColumn="0" w:noHBand="0" w:noVBand="0"/>
      </w:tblPr>
      <w:tblGrid>
        <w:gridCol w:w="1304"/>
        <w:gridCol w:w="1183"/>
        <w:gridCol w:w="1206"/>
        <w:gridCol w:w="1080"/>
        <w:gridCol w:w="1081"/>
        <w:gridCol w:w="1097"/>
        <w:gridCol w:w="1020"/>
        <w:gridCol w:w="1966"/>
      </w:tblGrid>
      <w:tr w:rsidR="00B02873" w:rsidRPr="00B02873" w14:paraId="72E83EA2" w14:textId="77777777" w:rsidTr="00D06C21">
        <w:trPr>
          <w:cnfStyle w:val="100000000000" w:firstRow="1" w:lastRow="0" w:firstColumn="0" w:lastColumn="0" w:oddVBand="0" w:evenVBand="0" w:oddHBand="0" w:evenHBand="0" w:firstRowFirstColumn="0" w:firstRowLastColumn="0" w:lastRowFirstColumn="0" w:lastRowLastColumn="0"/>
          <w:trHeight w:val="60"/>
          <w:tblHeader/>
        </w:trPr>
        <w:tc>
          <w:tcPr>
            <w:tcW w:w="1304" w:type="dxa"/>
          </w:tcPr>
          <w:p w14:paraId="18960EDD" w14:textId="77777777" w:rsidR="00B02873" w:rsidRDefault="00B02873" w:rsidP="00D06C21">
            <w:pPr>
              <w:pStyle w:val="TableheadingleftFinancialsTables"/>
            </w:pPr>
            <w:r>
              <w:t>Project Name</w:t>
            </w:r>
          </w:p>
        </w:tc>
        <w:tc>
          <w:tcPr>
            <w:tcW w:w="1183" w:type="dxa"/>
          </w:tcPr>
          <w:p w14:paraId="4FC4EC68" w14:textId="77777777" w:rsidR="00B02873" w:rsidRDefault="00B02873" w:rsidP="00D06C21">
            <w:pPr>
              <w:pStyle w:val="TableheadingleftFinancialsTables"/>
            </w:pPr>
            <w:r>
              <w:t>Practical completion date</w:t>
            </w:r>
          </w:p>
        </w:tc>
        <w:tc>
          <w:tcPr>
            <w:tcW w:w="1206" w:type="dxa"/>
          </w:tcPr>
          <w:p w14:paraId="50AE2D7E" w14:textId="77777777" w:rsidR="00B02873" w:rsidRDefault="00B02873" w:rsidP="00D06C21">
            <w:pPr>
              <w:pStyle w:val="TableheadingleftFinancialsTables"/>
            </w:pPr>
            <w:r>
              <w:t>Financial completion date</w:t>
            </w:r>
          </w:p>
        </w:tc>
        <w:tc>
          <w:tcPr>
            <w:tcW w:w="1080" w:type="dxa"/>
          </w:tcPr>
          <w:p w14:paraId="45142133" w14:textId="77777777" w:rsidR="00B02873" w:rsidRDefault="00B02873" w:rsidP="00D06C21">
            <w:pPr>
              <w:pStyle w:val="TableheadingleftFinancialsTables"/>
            </w:pPr>
            <w:r>
              <w:t xml:space="preserve">Original approved TEI budget </w:t>
            </w:r>
            <w:r>
              <w:br/>
              <w:t>($ million)</w:t>
            </w:r>
          </w:p>
        </w:tc>
        <w:tc>
          <w:tcPr>
            <w:tcW w:w="1081" w:type="dxa"/>
          </w:tcPr>
          <w:p w14:paraId="304A86FB" w14:textId="77777777" w:rsidR="00B02873" w:rsidRDefault="00B02873" w:rsidP="00D06C21">
            <w:pPr>
              <w:pStyle w:val="TableheadingleftFinancialsTables"/>
            </w:pPr>
            <w:r>
              <w:t>Latest approved TEI</w:t>
            </w:r>
            <w:r>
              <w:br/>
              <w:t xml:space="preserve">budget </w:t>
            </w:r>
            <w:r>
              <w:br/>
              <w:t>($ million)</w:t>
            </w:r>
          </w:p>
        </w:tc>
        <w:tc>
          <w:tcPr>
            <w:tcW w:w="1097" w:type="dxa"/>
          </w:tcPr>
          <w:p w14:paraId="362922C7" w14:textId="77777777" w:rsidR="00B02873" w:rsidRDefault="00B02873" w:rsidP="00D06C21">
            <w:pPr>
              <w:pStyle w:val="TableheadingleftFinancialsTables"/>
            </w:pPr>
            <w:r>
              <w:t xml:space="preserve">Actual </w:t>
            </w:r>
            <w:r>
              <w:br/>
              <w:t xml:space="preserve">TEI cost </w:t>
            </w:r>
            <w:r>
              <w:br/>
              <w:t>($ million)</w:t>
            </w:r>
          </w:p>
        </w:tc>
        <w:tc>
          <w:tcPr>
            <w:tcW w:w="1020" w:type="dxa"/>
          </w:tcPr>
          <w:p w14:paraId="6327ECBB" w14:textId="77777777" w:rsidR="00B02873" w:rsidRDefault="00B02873" w:rsidP="00D06C21">
            <w:pPr>
              <w:pStyle w:val="TableheadingleftFinancialsTables"/>
            </w:pPr>
            <w:r>
              <w:t xml:space="preserve">Variation between actual cost and latest approved TEI </w:t>
            </w:r>
          </w:p>
        </w:tc>
        <w:tc>
          <w:tcPr>
            <w:tcW w:w="1966" w:type="dxa"/>
          </w:tcPr>
          <w:p w14:paraId="0DB1A3DE" w14:textId="77777777" w:rsidR="00B02873" w:rsidRDefault="00B02873" w:rsidP="00D06C21">
            <w:pPr>
              <w:pStyle w:val="TableheadingleftFinancialsTables"/>
            </w:pPr>
            <w:r>
              <w:t>Reason for variance from latest approved TEI Budget</w:t>
            </w:r>
          </w:p>
        </w:tc>
      </w:tr>
      <w:tr w:rsidR="00B02873" w:rsidRPr="00B02873" w14:paraId="50D005C9" w14:textId="77777777" w:rsidTr="00D06C21">
        <w:trPr>
          <w:trHeight w:val="60"/>
        </w:trPr>
        <w:tc>
          <w:tcPr>
            <w:tcW w:w="1304" w:type="dxa"/>
          </w:tcPr>
          <w:p w14:paraId="52B7B587" w14:textId="2D893889" w:rsidR="00B02873" w:rsidRDefault="00B02873" w:rsidP="00D06C21">
            <w:pPr>
              <w:pStyle w:val="TablebodyleftFinancialsTables"/>
            </w:pPr>
            <w:r>
              <w:t>Climate ready Victorian infrastructure</w:t>
            </w:r>
            <w:r w:rsidR="000C45FC">
              <w:t xml:space="preserve"> – </w:t>
            </w:r>
            <w:r>
              <w:t>critical coastal protection assets (statewide)</w:t>
            </w:r>
          </w:p>
        </w:tc>
        <w:tc>
          <w:tcPr>
            <w:tcW w:w="1183" w:type="dxa"/>
          </w:tcPr>
          <w:p w14:paraId="6CBBCC70" w14:textId="17838BA4" w:rsidR="00B02873" w:rsidRDefault="00B02873" w:rsidP="00D06C21">
            <w:pPr>
              <w:pStyle w:val="TablebodyleftFinancialsTables"/>
            </w:pPr>
            <w:r>
              <w:t>Jun-22</w:t>
            </w:r>
          </w:p>
        </w:tc>
        <w:tc>
          <w:tcPr>
            <w:tcW w:w="1206" w:type="dxa"/>
          </w:tcPr>
          <w:p w14:paraId="7B9EE111" w14:textId="77777777" w:rsidR="00B02873" w:rsidRDefault="00B02873" w:rsidP="00D06C21">
            <w:pPr>
              <w:pStyle w:val="TablebodyleftFinancialsTables"/>
            </w:pPr>
            <w:r>
              <w:t>Dec-21</w:t>
            </w:r>
          </w:p>
        </w:tc>
        <w:tc>
          <w:tcPr>
            <w:tcW w:w="1080" w:type="dxa"/>
          </w:tcPr>
          <w:p w14:paraId="192D3719" w14:textId="77777777" w:rsidR="00B02873" w:rsidRDefault="00B02873" w:rsidP="00D06C21">
            <w:pPr>
              <w:pStyle w:val="TablebodyleftFinancialsTables"/>
            </w:pPr>
            <w:r>
              <w:t>15.0</w:t>
            </w:r>
          </w:p>
        </w:tc>
        <w:tc>
          <w:tcPr>
            <w:tcW w:w="1081" w:type="dxa"/>
          </w:tcPr>
          <w:p w14:paraId="76A77F8A" w14:textId="77777777" w:rsidR="00B02873" w:rsidRDefault="00B02873" w:rsidP="00D06C21">
            <w:pPr>
              <w:pStyle w:val="TablebodyleftFinancialsTables"/>
            </w:pPr>
            <w:r>
              <w:t>14.7</w:t>
            </w:r>
          </w:p>
        </w:tc>
        <w:tc>
          <w:tcPr>
            <w:tcW w:w="1097" w:type="dxa"/>
          </w:tcPr>
          <w:p w14:paraId="12D4B996" w14:textId="77777777" w:rsidR="00B02873" w:rsidRDefault="00B02873" w:rsidP="00D06C21">
            <w:pPr>
              <w:pStyle w:val="TablebodyleftFinancialsTables"/>
            </w:pPr>
            <w:r>
              <w:t>14.2</w:t>
            </w:r>
          </w:p>
        </w:tc>
        <w:tc>
          <w:tcPr>
            <w:tcW w:w="1020" w:type="dxa"/>
          </w:tcPr>
          <w:p w14:paraId="05E06B10" w14:textId="77777777" w:rsidR="00B02873" w:rsidRDefault="00B02873" w:rsidP="00D06C21">
            <w:pPr>
              <w:pStyle w:val="TablebodyleftFinancialsTables"/>
            </w:pPr>
            <w:r>
              <w:t>(0.5)</w:t>
            </w:r>
          </w:p>
        </w:tc>
        <w:tc>
          <w:tcPr>
            <w:tcW w:w="1966" w:type="dxa"/>
          </w:tcPr>
          <w:p w14:paraId="0D7807CD" w14:textId="77777777" w:rsidR="00B02873" w:rsidRDefault="00B02873" w:rsidP="00D06C21">
            <w:pPr>
              <w:pStyle w:val="TablebodyleftFinancialsTables"/>
            </w:pPr>
            <w:r>
              <w:t>Variance between original TEI and latest approved TEI is a result of certain expenditure being reclassified as operating instead of capital in line with accounting standards.</w:t>
            </w:r>
          </w:p>
        </w:tc>
      </w:tr>
    </w:tbl>
    <w:p w14:paraId="577AC057" w14:textId="77777777" w:rsidR="00B02873" w:rsidRDefault="00B02873" w:rsidP="00FE198A"/>
    <w:p w14:paraId="6D58661A" w14:textId="77777777" w:rsidR="00B02873" w:rsidRDefault="00B02873" w:rsidP="00D06C21">
      <w:pPr>
        <w:pStyle w:val="Heading2"/>
      </w:pPr>
      <w:bookmarkStart w:id="88" w:name="_Toc117447371"/>
      <w:r>
        <w:t>Appendix 6: Disclosure of grants and transfer payments</w:t>
      </w:r>
      <w:bookmarkEnd w:id="88"/>
    </w:p>
    <w:p w14:paraId="7351D958" w14:textId="77777777" w:rsidR="00B02873" w:rsidRDefault="00B02873" w:rsidP="00FE198A">
      <w:r>
        <w:t>This section provides information on grants and contributions awarded by the department in 2021-22. Financial assistance provided by way of grants and contributions in 2021-22 was as follows:</w:t>
      </w:r>
    </w:p>
    <w:p w14:paraId="260C065F" w14:textId="3F2D24F6" w:rsidR="00B02873" w:rsidRDefault="00B02873" w:rsidP="00D06C21">
      <w:pPr>
        <w:pStyle w:val="TabletitleTables"/>
      </w:pPr>
      <w:r>
        <w:t>Table 1</w:t>
      </w:r>
      <w:r w:rsidR="000C45FC">
        <w:t xml:space="preserve"> – </w:t>
      </w:r>
      <w:r>
        <w:t xml:space="preserve">Disclosure of grants and transfer payments by output </w:t>
      </w:r>
    </w:p>
    <w:tbl>
      <w:tblPr>
        <w:tblStyle w:val="TableGrid"/>
        <w:tblW w:w="0" w:type="auto"/>
        <w:tblLayout w:type="fixed"/>
        <w:tblLook w:val="0020" w:firstRow="1" w:lastRow="0" w:firstColumn="0" w:lastColumn="0" w:noHBand="0" w:noVBand="0"/>
      </w:tblPr>
      <w:tblGrid>
        <w:gridCol w:w="1512"/>
        <w:gridCol w:w="5787"/>
        <w:gridCol w:w="2339"/>
      </w:tblGrid>
      <w:tr w:rsidR="00B02873" w:rsidRPr="00B02873" w14:paraId="4F1301BA" w14:textId="77777777" w:rsidTr="00D06C21">
        <w:trPr>
          <w:cnfStyle w:val="100000000000" w:firstRow="1" w:lastRow="0" w:firstColumn="0" w:lastColumn="0" w:oddVBand="0" w:evenVBand="0" w:oddHBand="0" w:evenHBand="0" w:firstRowFirstColumn="0" w:firstRowLastColumn="0" w:lastRowFirstColumn="0" w:lastRowLastColumn="0"/>
          <w:tblHeader/>
        </w:trPr>
        <w:tc>
          <w:tcPr>
            <w:tcW w:w="1512" w:type="dxa"/>
          </w:tcPr>
          <w:p w14:paraId="365D38AA" w14:textId="77777777" w:rsidR="00B02873" w:rsidRDefault="00B02873" w:rsidP="00D06C21">
            <w:pPr>
              <w:pStyle w:val="TableheadingleftFinancialsTables"/>
            </w:pPr>
            <w:r>
              <w:t>Table number</w:t>
            </w:r>
          </w:p>
        </w:tc>
        <w:tc>
          <w:tcPr>
            <w:tcW w:w="5787" w:type="dxa"/>
          </w:tcPr>
          <w:p w14:paraId="3153968B" w14:textId="77777777" w:rsidR="00B02873" w:rsidRDefault="00B02873" w:rsidP="00D06C21">
            <w:pPr>
              <w:pStyle w:val="TableheadingleftFinancialsTables"/>
            </w:pPr>
            <w:r>
              <w:t>Output</w:t>
            </w:r>
          </w:p>
        </w:tc>
        <w:tc>
          <w:tcPr>
            <w:tcW w:w="2339" w:type="dxa"/>
          </w:tcPr>
          <w:p w14:paraId="6EC32298" w14:textId="77777777" w:rsidR="00B02873" w:rsidRDefault="00B02873" w:rsidP="00D06C21">
            <w:pPr>
              <w:pStyle w:val="TableheadingleftFinancialsTables"/>
              <w:jc w:val="right"/>
            </w:pPr>
            <w:r>
              <w:t>$</w:t>
            </w:r>
          </w:p>
        </w:tc>
      </w:tr>
      <w:tr w:rsidR="00B02873" w:rsidRPr="00B02873" w14:paraId="71212EC8" w14:textId="77777777" w:rsidTr="00D06C21">
        <w:tc>
          <w:tcPr>
            <w:tcW w:w="1512" w:type="dxa"/>
          </w:tcPr>
          <w:p w14:paraId="2736149D" w14:textId="77777777" w:rsidR="00B02873" w:rsidRDefault="00B02873" w:rsidP="00D06C21">
            <w:pPr>
              <w:pStyle w:val="TablebodyleftFinancialsTables"/>
            </w:pPr>
            <w:r>
              <w:t>3</w:t>
            </w:r>
          </w:p>
        </w:tc>
        <w:tc>
          <w:tcPr>
            <w:tcW w:w="5787" w:type="dxa"/>
          </w:tcPr>
          <w:p w14:paraId="60C18EEB" w14:textId="77777777" w:rsidR="00B02873" w:rsidRDefault="00B02873" w:rsidP="00D06C21">
            <w:pPr>
              <w:pStyle w:val="TablebodyleftFinancialsTables"/>
            </w:pPr>
            <w:r>
              <w:t>Climate Change</w:t>
            </w:r>
          </w:p>
        </w:tc>
        <w:tc>
          <w:tcPr>
            <w:tcW w:w="2339" w:type="dxa"/>
          </w:tcPr>
          <w:p w14:paraId="7C94BCF0" w14:textId="77777777" w:rsidR="00B02873" w:rsidRDefault="00B02873" w:rsidP="00D06C21">
            <w:pPr>
              <w:pStyle w:val="TablebodyleftFinancialsTables"/>
              <w:jc w:val="right"/>
            </w:pPr>
            <w:r>
              <w:t>10,550,605</w:t>
            </w:r>
          </w:p>
        </w:tc>
      </w:tr>
      <w:tr w:rsidR="00B02873" w:rsidRPr="00B02873" w14:paraId="2C989EE8" w14:textId="77777777" w:rsidTr="00D06C21">
        <w:tc>
          <w:tcPr>
            <w:tcW w:w="1512" w:type="dxa"/>
          </w:tcPr>
          <w:p w14:paraId="210CA891" w14:textId="77777777" w:rsidR="00B02873" w:rsidRDefault="00B02873" w:rsidP="00D06C21">
            <w:pPr>
              <w:pStyle w:val="TablebodyleftFinancialsTables"/>
            </w:pPr>
            <w:r>
              <w:t>4</w:t>
            </w:r>
          </w:p>
        </w:tc>
        <w:tc>
          <w:tcPr>
            <w:tcW w:w="5787" w:type="dxa"/>
          </w:tcPr>
          <w:p w14:paraId="7DAB8A87" w14:textId="77777777" w:rsidR="00B02873" w:rsidRDefault="00B02873" w:rsidP="00D06C21">
            <w:pPr>
              <w:pStyle w:val="TablebodyleftFinancialsTables"/>
            </w:pPr>
            <w:r>
              <w:t>Environment and Biodiversity</w:t>
            </w:r>
          </w:p>
        </w:tc>
        <w:tc>
          <w:tcPr>
            <w:tcW w:w="2339" w:type="dxa"/>
          </w:tcPr>
          <w:p w14:paraId="38EE64AA" w14:textId="77777777" w:rsidR="00B02873" w:rsidRDefault="00B02873" w:rsidP="00D06C21">
            <w:pPr>
              <w:pStyle w:val="TablebodyleftFinancialsTables"/>
              <w:jc w:val="right"/>
            </w:pPr>
            <w:r>
              <w:t>111,428,833</w:t>
            </w:r>
          </w:p>
        </w:tc>
      </w:tr>
      <w:tr w:rsidR="00B02873" w:rsidRPr="00B02873" w14:paraId="0B24FAAE" w14:textId="77777777" w:rsidTr="00D06C21">
        <w:tc>
          <w:tcPr>
            <w:tcW w:w="1512" w:type="dxa"/>
          </w:tcPr>
          <w:p w14:paraId="7614F941" w14:textId="77777777" w:rsidR="00B02873" w:rsidRDefault="00B02873" w:rsidP="00D06C21">
            <w:pPr>
              <w:pStyle w:val="TablebodyleftFinancialsTables"/>
            </w:pPr>
            <w:r>
              <w:lastRenderedPageBreak/>
              <w:t>5</w:t>
            </w:r>
          </w:p>
        </w:tc>
        <w:tc>
          <w:tcPr>
            <w:tcW w:w="5787" w:type="dxa"/>
          </w:tcPr>
          <w:p w14:paraId="1DAB1DB0" w14:textId="77777777" w:rsidR="00B02873" w:rsidRDefault="00B02873" w:rsidP="00D06C21">
            <w:pPr>
              <w:pStyle w:val="TablebodyleftFinancialsTables"/>
            </w:pPr>
            <w:r>
              <w:t>Statutory Activities and Environment Protection</w:t>
            </w:r>
          </w:p>
        </w:tc>
        <w:tc>
          <w:tcPr>
            <w:tcW w:w="2339" w:type="dxa"/>
          </w:tcPr>
          <w:p w14:paraId="489EB224" w14:textId="77777777" w:rsidR="00B02873" w:rsidRDefault="00B02873" w:rsidP="00D06C21">
            <w:pPr>
              <w:pStyle w:val="TablebodyleftFinancialsTables"/>
              <w:jc w:val="right"/>
            </w:pPr>
            <w:r>
              <w:t>222,925,901</w:t>
            </w:r>
          </w:p>
        </w:tc>
      </w:tr>
      <w:tr w:rsidR="00B02873" w:rsidRPr="00B02873" w14:paraId="50F46601" w14:textId="77777777" w:rsidTr="00D06C21">
        <w:tc>
          <w:tcPr>
            <w:tcW w:w="1512" w:type="dxa"/>
          </w:tcPr>
          <w:p w14:paraId="24B19265" w14:textId="77777777" w:rsidR="00B02873" w:rsidRDefault="00B02873" w:rsidP="00D06C21">
            <w:pPr>
              <w:pStyle w:val="TablebodyleftFinancialsTables"/>
            </w:pPr>
            <w:r>
              <w:t>6</w:t>
            </w:r>
          </w:p>
        </w:tc>
        <w:tc>
          <w:tcPr>
            <w:tcW w:w="5787" w:type="dxa"/>
          </w:tcPr>
          <w:p w14:paraId="4B49F479" w14:textId="77777777" w:rsidR="00B02873" w:rsidRDefault="00B02873" w:rsidP="00D06C21">
            <w:pPr>
              <w:pStyle w:val="TablebodyleftFinancialsTables"/>
            </w:pPr>
            <w:r>
              <w:t>Waste and Recycling</w:t>
            </w:r>
          </w:p>
        </w:tc>
        <w:tc>
          <w:tcPr>
            <w:tcW w:w="2339" w:type="dxa"/>
          </w:tcPr>
          <w:p w14:paraId="6F34A03E" w14:textId="77777777" w:rsidR="00B02873" w:rsidRDefault="00B02873" w:rsidP="00D06C21">
            <w:pPr>
              <w:pStyle w:val="TablebodyleftFinancialsTables"/>
              <w:jc w:val="right"/>
            </w:pPr>
            <w:r>
              <w:t>27,405,752</w:t>
            </w:r>
          </w:p>
        </w:tc>
      </w:tr>
      <w:tr w:rsidR="00B02873" w:rsidRPr="00B02873" w14:paraId="117B4661" w14:textId="77777777" w:rsidTr="00D06C21">
        <w:tc>
          <w:tcPr>
            <w:tcW w:w="1512" w:type="dxa"/>
          </w:tcPr>
          <w:p w14:paraId="4AFA1B64" w14:textId="77777777" w:rsidR="00B02873" w:rsidRDefault="00B02873" w:rsidP="00D06C21">
            <w:pPr>
              <w:pStyle w:val="TablebodyleftFinancialsTables"/>
            </w:pPr>
            <w:r>
              <w:t>7</w:t>
            </w:r>
          </w:p>
        </w:tc>
        <w:tc>
          <w:tcPr>
            <w:tcW w:w="5787" w:type="dxa"/>
          </w:tcPr>
          <w:p w14:paraId="77F99BCC" w14:textId="77777777" w:rsidR="00B02873" w:rsidRDefault="00B02873" w:rsidP="00D06C21">
            <w:pPr>
              <w:pStyle w:val="TablebodyleftFinancialsTables"/>
            </w:pPr>
            <w:r>
              <w:t>Energy</w:t>
            </w:r>
          </w:p>
        </w:tc>
        <w:tc>
          <w:tcPr>
            <w:tcW w:w="2339" w:type="dxa"/>
          </w:tcPr>
          <w:p w14:paraId="3DDAE476" w14:textId="77777777" w:rsidR="00B02873" w:rsidRDefault="00B02873" w:rsidP="00D06C21">
            <w:pPr>
              <w:pStyle w:val="TablebodyleftFinancialsTables"/>
              <w:jc w:val="right"/>
            </w:pPr>
            <w:r>
              <w:t>117,646,679</w:t>
            </w:r>
          </w:p>
        </w:tc>
      </w:tr>
      <w:tr w:rsidR="00B02873" w:rsidRPr="00B02873" w14:paraId="3A3D1DA8" w14:textId="77777777" w:rsidTr="00D06C21">
        <w:tc>
          <w:tcPr>
            <w:tcW w:w="1512" w:type="dxa"/>
          </w:tcPr>
          <w:p w14:paraId="4147C3F7" w14:textId="77777777" w:rsidR="00B02873" w:rsidRDefault="00B02873" w:rsidP="00D06C21">
            <w:pPr>
              <w:pStyle w:val="TablebodyleftFinancialsTables"/>
            </w:pPr>
            <w:r>
              <w:t>8</w:t>
            </w:r>
          </w:p>
        </w:tc>
        <w:tc>
          <w:tcPr>
            <w:tcW w:w="5787" w:type="dxa"/>
          </w:tcPr>
          <w:p w14:paraId="7935B491" w14:textId="77777777" w:rsidR="00B02873" w:rsidRDefault="00B02873" w:rsidP="00D06C21">
            <w:pPr>
              <w:pStyle w:val="TablebodyleftFinancialsTables"/>
            </w:pPr>
            <w:r>
              <w:t>Solar Homes</w:t>
            </w:r>
          </w:p>
        </w:tc>
        <w:tc>
          <w:tcPr>
            <w:tcW w:w="2339" w:type="dxa"/>
          </w:tcPr>
          <w:p w14:paraId="1C5D16B7" w14:textId="77777777" w:rsidR="00B02873" w:rsidRDefault="00B02873" w:rsidP="00D06C21">
            <w:pPr>
              <w:pStyle w:val="TablebodyleftFinancialsTables"/>
              <w:jc w:val="right"/>
            </w:pPr>
            <w:r>
              <w:t>114,505,573</w:t>
            </w:r>
          </w:p>
        </w:tc>
      </w:tr>
      <w:tr w:rsidR="00B02873" w:rsidRPr="00B02873" w14:paraId="59E3F93D" w14:textId="77777777" w:rsidTr="00D06C21">
        <w:tc>
          <w:tcPr>
            <w:tcW w:w="1512" w:type="dxa"/>
          </w:tcPr>
          <w:p w14:paraId="55A79231" w14:textId="77777777" w:rsidR="00B02873" w:rsidRDefault="00B02873" w:rsidP="00D06C21">
            <w:pPr>
              <w:pStyle w:val="TablebodyleftFinancialsTables"/>
            </w:pPr>
            <w:r>
              <w:t>9</w:t>
            </w:r>
          </w:p>
        </w:tc>
        <w:tc>
          <w:tcPr>
            <w:tcW w:w="5787" w:type="dxa"/>
          </w:tcPr>
          <w:p w14:paraId="18A04BAD" w14:textId="77777777" w:rsidR="00B02873" w:rsidRDefault="00B02873" w:rsidP="00D06C21">
            <w:pPr>
              <w:pStyle w:val="TablebodyleftFinancialsTables"/>
            </w:pPr>
            <w:r>
              <w:t>Land Use Victoria</w:t>
            </w:r>
          </w:p>
        </w:tc>
        <w:tc>
          <w:tcPr>
            <w:tcW w:w="2339" w:type="dxa"/>
          </w:tcPr>
          <w:p w14:paraId="5883F893" w14:textId="77777777" w:rsidR="00B02873" w:rsidRDefault="00B02873" w:rsidP="00D06C21">
            <w:pPr>
              <w:pStyle w:val="TablebodyleftFinancialsTables"/>
              <w:jc w:val="right"/>
            </w:pPr>
            <w:r>
              <w:t>1,640,602</w:t>
            </w:r>
          </w:p>
        </w:tc>
      </w:tr>
      <w:tr w:rsidR="00B02873" w:rsidRPr="00B02873" w14:paraId="537ABC50" w14:textId="77777777" w:rsidTr="00D06C21">
        <w:tc>
          <w:tcPr>
            <w:tcW w:w="1512" w:type="dxa"/>
          </w:tcPr>
          <w:p w14:paraId="19DD9133" w14:textId="77777777" w:rsidR="00B02873" w:rsidRDefault="00B02873" w:rsidP="00D06C21">
            <w:pPr>
              <w:pStyle w:val="TablebodyleftFinancialsTables"/>
            </w:pPr>
            <w:r>
              <w:t>10</w:t>
            </w:r>
          </w:p>
        </w:tc>
        <w:tc>
          <w:tcPr>
            <w:tcW w:w="5787" w:type="dxa"/>
          </w:tcPr>
          <w:p w14:paraId="6418048D" w14:textId="77777777" w:rsidR="00B02873" w:rsidRDefault="00B02873" w:rsidP="00D06C21">
            <w:pPr>
              <w:pStyle w:val="TablebodyleftFinancialsTables"/>
            </w:pPr>
            <w:r>
              <w:t>Management of Public Land and Forests</w:t>
            </w:r>
          </w:p>
        </w:tc>
        <w:tc>
          <w:tcPr>
            <w:tcW w:w="2339" w:type="dxa"/>
          </w:tcPr>
          <w:p w14:paraId="087389D1" w14:textId="77777777" w:rsidR="00B02873" w:rsidRDefault="00B02873" w:rsidP="00D06C21">
            <w:pPr>
              <w:pStyle w:val="TablebodyleftFinancialsTables"/>
              <w:jc w:val="right"/>
            </w:pPr>
            <w:r>
              <w:t>227,145,254</w:t>
            </w:r>
          </w:p>
        </w:tc>
      </w:tr>
      <w:tr w:rsidR="00B02873" w:rsidRPr="00B02873" w14:paraId="7944D46A" w14:textId="77777777" w:rsidTr="00D06C21">
        <w:tc>
          <w:tcPr>
            <w:tcW w:w="1512" w:type="dxa"/>
          </w:tcPr>
          <w:p w14:paraId="26973B68" w14:textId="77777777" w:rsidR="00B02873" w:rsidRDefault="00B02873" w:rsidP="00D06C21">
            <w:pPr>
              <w:pStyle w:val="TablebodyleftFinancialsTables"/>
            </w:pPr>
            <w:r>
              <w:t>11</w:t>
            </w:r>
          </w:p>
        </w:tc>
        <w:tc>
          <w:tcPr>
            <w:tcW w:w="5787" w:type="dxa"/>
          </w:tcPr>
          <w:p w14:paraId="12CEBF4E" w14:textId="77777777" w:rsidR="00B02873" w:rsidRDefault="00B02873" w:rsidP="00D06C21">
            <w:pPr>
              <w:pStyle w:val="TablebodyleftFinancialsTables"/>
            </w:pPr>
            <w:r>
              <w:t>Parks Victoria</w:t>
            </w:r>
          </w:p>
        </w:tc>
        <w:tc>
          <w:tcPr>
            <w:tcW w:w="2339" w:type="dxa"/>
          </w:tcPr>
          <w:p w14:paraId="208DC17E" w14:textId="77777777" w:rsidR="00B02873" w:rsidRDefault="00B02873" w:rsidP="00D06C21">
            <w:pPr>
              <w:pStyle w:val="TablebodyleftFinancialsTables"/>
              <w:jc w:val="right"/>
            </w:pPr>
            <w:r>
              <w:t>153,563,827</w:t>
            </w:r>
          </w:p>
        </w:tc>
      </w:tr>
      <w:tr w:rsidR="00B02873" w:rsidRPr="00B02873" w14:paraId="582E0924" w14:textId="77777777" w:rsidTr="00D06C21">
        <w:tc>
          <w:tcPr>
            <w:tcW w:w="1512" w:type="dxa"/>
          </w:tcPr>
          <w:p w14:paraId="6095D7F3" w14:textId="77777777" w:rsidR="00B02873" w:rsidRDefault="00B02873" w:rsidP="00D06C21">
            <w:pPr>
              <w:pStyle w:val="TablebodyleftFinancialsTables"/>
            </w:pPr>
            <w:r>
              <w:t>12</w:t>
            </w:r>
          </w:p>
        </w:tc>
        <w:tc>
          <w:tcPr>
            <w:tcW w:w="5787" w:type="dxa"/>
          </w:tcPr>
          <w:p w14:paraId="6F8A5F6A" w14:textId="77777777" w:rsidR="00B02873" w:rsidRDefault="00B02873" w:rsidP="00D06C21">
            <w:pPr>
              <w:pStyle w:val="TablebodyleftFinancialsTables"/>
            </w:pPr>
            <w:r>
              <w:t>Effective Water Management and Supply</w:t>
            </w:r>
          </w:p>
        </w:tc>
        <w:tc>
          <w:tcPr>
            <w:tcW w:w="2339" w:type="dxa"/>
          </w:tcPr>
          <w:p w14:paraId="2A7B530E" w14:textId="77777777" w:rsidR="00B02873" w:rsidRDefault="00B02873" w:rsidP="00D06C21">
            <w:pPr>
              <w:pStyle w:val="TablebodyleftFinancialsTables"/>
              <w:jc w:val="right"/>
            </w:pPr>
            <w:r>
              <w:t>215,523,834</w:t>
            </w:r>
          </w:p>
        </w:tc>
      </w:tr>
      <w:tr w:rsidR="00B02873" w:rsidRPr="00B02873" w14:paraId="49CC4167" w14:textId="77777777" w:rsidTr="00D06C21">
        <w:tc>
          <w:tcPr>
            <w:tcW w:w="1512" w:type="dxa"/>
          </w:tcPr>
          <w:p w14:paraId="792187BC" w14:textId="77777777" w:rsidR="00B02873" w:rsidRDefault="00B02873" w:rsidP="00D06C21">
            <w:pPr>
              <w:pStyle w:val="TablebodyleftFinancialsTables"/>
            </w:pPr>
            <w:r>
              <w:t>13</w:t>
            </w:r>
          </w:p>
        </w:tc>
        <w:tc>
          <w:tcPr>
            <w:tcW w:w="5787" w:type="dxa"/>
          </w:tcPr>
          <w:p w14:paraId="16613973" w14:textId="77777777" w:rsidR="00B02873" w:rsidRDefault="00B02873" w:rsidP="00D06C21">
            <w:pPr>
              <w:pStyle w:val="TablebodyleftFinancialsTables"/>
            </w:pPr>
            <w:r>
              <w:t>Planning, Building and Heritage</w:t>
            </w:r>
          </w:p>
        </w:tc>
        <w:tc>
          <w:tcPr>
            <w:tcW w:w="2339" w:type="dxa"/>
          </w:tcPr>
          <w:p w14:paraId="2AE5B7E3" w14:textId="77777777" w:rsidR="00B02873" w:rsidRDefault="00B02873" w:rsidP="00D06C21">
            <w:pPr>
              <w:pStyle w:val="TablebodyleftFinancialsTables"/>
              <w:jc w:val="right"/>
            </w:pPr>
            <w:r>
              <w:t>203,837,562</w:t>
            </w:r>
          </w:p>
        </w:tc>
      </w:tr>
      <w:tr w:rsidR="00B02873" w:rsidRPr="00B02873" w14:paraId="766B3AAA" w14:textId="77777777" w:rsidTr="00D06C21">
        <w:tc>
          <w:tcPr>
            <w:tcW w:w="1512" w:type="dxa"/>
          </w:tcPr>
          <w:p w14:paraId="3BF5E043" w14:textId="77777777" w:rsidR="00B02873" w:rsidRDefault="00B02873" w:rsidP="00D06C21">
            <w:pPr>
              <w:pStyle w:val="TablebodyleftFinancialsTables"/>
            </w:pPr>
            <w:r>
              <w:t>14</w:t>
            </w:r>
          </w:p>
        </w:tc>
        <w:tc>
          <w:tcPr>
            <w:tcW w:w="5787" w:type="dxa"/>
          </w:tcPr>
          <w:p w14:paraId="62A94DFE" w14:textId="77777777" w:rsidR="00B02873" w:rsidRDefault="00B02873" w:rsidP="00D06C21">
            <w:pPr>
              <w:pStyle w:val="TablebodyleftFinancialsTables"/>
            </w:pPr>
            <w:r>
              <w:t>Fire and Emergency Management</w:t>
            </w:r>
          </w:p>
        </w:tc>
        <w:tc>
          <w:tcPr>
            <w:tcW w:w="2339" w:type="dxa"/>
          </w:tcPr>
          <w:p w14:paraId="1421F972" w14:textId="77777777" w:rsidR="00B02873" w:rsidRDefault="00B02873" w:rsidP="00D06C21">
            <w:pPr>
              <w:pStyle w:val="TablebodyleftFinancialsTables"/>
              <w:jc w:val="right"/>
            </w:pPr>
            <w:r>
              <w:t>57,183,642</w:t>
            </w:r>
          </w:p>
        </w:tc>
      </w:tr>
      <w:tr w:rsidR="00B02873" w:rsidRPr="00D06C21" w14:paraId="538ACEDD" w14:textId="77777777" w:rsidTr="00D06C21">
        <w:tc>
          <w:tcPr>
            <w:tcW w:w="1512" w:type="dxa"/>
          </w:tcPr>
          <w:p w14:paraId="0AB68B11" w14:textId="77777777" w:rsidR="00B02873" w:rsidRPr="00D06C21" w:rsidRDefault="00B02873" w:rsidP="00D06C21">
            <w:pPr>
              <w:pStyle w:val="TablebodyleftFinancialsTables"/>
              <w:rPr>
                <w:rFonts w:cs="Arial"/>
                <w:b/>
                <w:bCs/>
              </w:rPr>
            </w:pPr>
          </w:p>
        </w:tc>
        <w:tc>
          <w:tcPr>
            <w:tcW w:w="5787" w:type="dxa"/>
          </w:tcPr>
          <w:p w14:paraId="1801AFAB" w14:textId="77777777" w:rsidR="00B02873" w:rsidRPr="00D06C21" w:rsidRDefault="00B02873" w:rsidP="00D06C21">
            <w:pPr>
              <w:pStyle w:val="TablebodyleftFinancialsTables"/>
              <w:rPr>
                <w:rFonts w:cs="Arial"/>
                <w:b/>
                <w:bCs/>
              </w:rPr>
            </w:pPr>
            <w:r w:rsidRPr="00D06C21">
              <w:rPr>
                <w:rFonts w:cs="Arial"/>
                <w:b/>
                <w:bCs/>
              </w:rPr>
              <w:t xml:space="preserve">Total </w:t>
            </w:r>
          </w:p>
        </w:tc>
        <w:tc>
          <w:tcPr>
            <w:tcW w:w="2339" w:type="dxa"/>
          </w:tcPr>
          <w:p w14:paraId="13BCF835" w14:textId="77777777" w:rsidR="00B02873" w:rsidRPr="00D06C21" w:rsidRDefault="00B02873" w:rsidP="00D06C21">
            <w:pPr>
              <w:pStyle w:val="TablebodyleftFinancialsTables"/>
              <w:jc w:val="right"/>
              <w:rPr>
                <w:rFonts w:cs="Arial"/>
                <w:b/>
                <w:bCs/>
              </w:rPr>
            </w:pPr>
            <w:r w:rsidRPr="00D06C21">
              <w:rPr>
                <w:rFonts w:cs="Arial"/>
                <w:b/>
                <w:bCs/>
              </w:rPr>
              <w:t>1,463,358,064</w:t>
            </w:r>
          </w:p>
        </w:tc>
      </w:tr>
    </w:tbl>
    <w:p w14:paraId="102DE43E" w14:textId="77777777" w:rsidR="00B02873" w:rsidRDefault="00B02873" w:rsidP="00D06C21">
      <w:pPr>
        <w:pStyle w:val="SourceNote"/>
      </w:pPr>
      <w:r>
        <w:t>Please note that this appendix has been prepared on a cash basis.</w:t>
      </w:r>
    </w:p>
    <w:p w14:paraId="4B99D452" w14:textId="7CE29734" w:rsidR="00B02873" w:rsidRDefault="00B02873" w:rsidP="00D06C21">
      <w:pPr>
        <w:pStyle w:val="TabletitleTables"/>
      </w:pPr>
      <w:r>
        <w:t>Table 2</w:t>
      </w:r>
      <w:r w:rsidR="00E869F7">
        <w:t xml:space="preserve"> –</w:t>
      </w:r>
      <w:r>
        <w:t xml:space="preserve"> Disclosure of grants and transfer payments to Aboriginal Corporations by output</w:t>
      </w:r>
    </w:p>
    <w:p w14:paraId="677337A9" w14:textId="77777777" w:rsidR="00B02873" w:rsidRPr="00E869F7" w:rsidRDefault="00B02873" w:rsidP="00FE198A">
      <w:pPr>
        <w:rPr>
          <w:rFonts w:asciiTheme="minorHAnsi" w:hAnsiTheme="minorHAnsi" w:cstheme="minorHAnsi"/>
        </w:rPr>
      </w:pPr>
      <w:r w:rsidRPr="00E869F7">
        <w:rPr>
          <w:rFonts w:asciiTheme="minorHAnsi" w:hAnsiTheme="minorHAnsi" w:cstheme="minorHAnsi"/>
        </w:rPr>
        <w:t xml:space="preserve">As outlined in DELWP’s Aboriginal Self-Determination Reform Strategy </w:t>
      </w:r>
      <w:r w:rsidRPr="00E869F7">
        <w:rPr>
          <w:rFonts w:asciiTheme="minorHAnsi" w:hAnsiTheme="minorHAnsi" w:cstheme="minorHAnsi"/>
          <w:i/>
          <w:iCs/>
        </w:rPr>
        <w:t xml:space="preserve">Pupangarli Marnmarnepu, </w:t>
      </w:r>
      <w:r w:rsidRPr="00E869F7">
        <w:rPr>
          <w:rFonts w:asciiTheme="minorHAnsi" w:hAnsiTheme="minorHAnsi" w:cstheme="minorHAnsi"/>
        </w:rPr>
        <w:t xml:space="preserve">DELWP is committed to facilitating the transfer of power and resources to Traditional Owners and Aboriginal Victorians to enable self-determination. </w:t>
      </w:r>
    </w:p>
    <w:p w14:paraId="4A2B417C" w14:textId="77777777" w:rsidR="00B02873" w:rsidRDefault="00B02873" w:rsidP="00FE198A">
      <w:r>
        <w:t xml:space="preserve">A summary of funding provided to Aboriginal Corporations by way of grants and contributions in 2021-22 and 2020-21, as a subset of Table 1 above, is as follows: </w:t>
      </w:r>
    </w:p>
    <w:tbl>
      <w:tblPr>
        <w:tblStyle w:val="TableGrid"/>
        <w:tblW w:w="9638" w:type="dxa"/>
        <w:tblLayout w:type="fixed"/>
        <w:tblLook w:val="0020" w:firstRow="1" w:lastRow="0" w:firstColumn="0" w:lastColumn="0" w:noHBand="0" w:noVBand="0"/>
      </w:tblPr>
      <w:tblGrid>
        <w:gridCol w:w="6236"/>
        <w:gridCol w:w="1701"/>
        <w:gridCol w:w="1701"/>
      </w:tblGrid>
      <w:tr w:rsidR="00B02873" w:rsidRPr="00B02873" w14:paraId="57C95027" w14:textId="77777777" w:rsidTr="00E869F7">
        <w:trPr>
          <w:cnfStyle w:val="100000000000" w:firstRow="1" w:lastRow="0" w:firstColumn="0" w:lastColumn="0" w:oddVBand="0" w:evenVBand="0" w:oddHBand="0" w:evenHBand="0" w:firstRowFirstColumn="0" w:firstRowLastColumn="0" w:lastRowFirstColumn="0" w:lastRowLastColumn="0"/>
        </w:trPr>
        <w:tc>
          <w:tcPr>
            <w:tcW w:w="6236" w:type="dxa"/>
          </w:tcPr>
          <w:p w14:paraId="0A018EC7" w14:textId="77777777" w:rsidR="00B02873" w:rsidRDefault="00B02873" w:rsidP="00E869F7">
            <w:pPr>
              <w:pStyle w:val="TableheadingleftFinancialsTables"/>
            </w:pPr>
            <w:r>
              <w:t>Output</w:t>
            </w:r>
          </w:p>
        </w:tc>
        <w:tc>
          <w:tcPr>
            <w:tcW w:w="1701" w:type="dxa"/>
          </w:tcPr>
          <w:p w14:paraId="78CF2BCD" w14:textId="797A8A65" w:rsidR="00B02873" w:rsidRDefault="00E869F7" w:rsidP="00E869F7">
            <w:pPr>
              <w:pStyle w:val="TableheadingleftFinancialsTables"/>
              <w:jc w:val="right"/>
            </w:pPr>
            <w:r>
              <w:t xml:space="preserve">Total grants and transfers paid to Aboriginal Corporations ($) </w:t>
            </w:r>
            <w:r w:rsidR="00B02873">
              <w:t>2021-22</w:t>
            </w:r>
          </w:p>
        </w:tc>
        <w:tc>
          <w:tcPr>
            <w:tcW w:w="1701" w:type="dxa"/>
          </w:tcPr>
          <w:p w14:paraId="3ED04A90" w14:textId="6D1C46FD" w:rsidR="00B02873" w:rsidRDefault="00E869F7" w:rsidP="00E869F7">
            <w:pPr>
              <w:pStyle w:val="TableheadingleftFinancialsTables"/>
              <w:jc w:val="right"/>
            </w:pPr>
            <w:r>
              <w:t xml:space="preserve">Total grants and transfers paid to Aboriginal Corporations ($) </w:t>
            </w:r>
            <w:r w:rsidR="00B02873">
              <w:t>2020-21</w:t>
            </w:r>
          </w:p>
        </w:tc>
      </w:tr>
      <w:tr w:rsidR="00B02873" w:rsidRPr="00B02873" w14:paraId="0B4E6F8B" w14:textId="77777777" w:rsidTr="00E869F7">
        <w:tc>
          <w:tcPr>
            <w:tcW w:w="6236" w:type="dxa"/>
          </w:tcPr>
          <w:p w14:paraId="6114B9D7" w14:textId="77777777" w:rsidR="00B02873" w:rsidRDefault="00B02873" w:rsidP="00E869F7">
            <w:pPr>
              <w:pStyle w:val="TablebodyleftFinancialsTables"/>
            </w:pPr>
            <w:r>
              <w:t>Climate Change</w:t>
            </w:r>
          </w:p>
        </w:tc>
        <w:tc>
          <w:tcPr>
            <w:tcW w:w="1701" w:type="dxa"/>
          </w:tcPr>
          <w:p w14:paraId="732A467E" w14:textId="77777777" w:rsidR="00B02873" w:rsidRDefault="00B02873" w:rsidP="00E869F7">
            <w:pPr>
              <w:pStyle w:val="TablebodyleftFinancialsTables"/>
              <w:jc w:val="right"/>
            </w:pPr>
            <w:r>
              <w:t>68,183</w:t>
            </w:r>
          </w:p>
        </w:tc>
        <w:tc>
          <w:tcPr>
            <w:tcW w:w="1701" w:type="dxa"/>
          </w:tcPr>
          <w:p w14:paraId="37DF445D" w14:textId="77777777" w:rsidR="00B02873" w:rsidRDefault="00B02873" w:rsidP="00E869F7">
            <w:pPr>
              <w:pStyle w:val="TablebodyleftFinancialsTables"/>
              <w:jc w:val="right"/>
            </w:pPr>
            <w:r>
              <w:t>488,498</w:t>
            </w:r>
          </w:p>
        </w:tc>
      </w:tr>
      <w:tr w:rsidR="00B02873" w:rsidRPr="00B02873" w14:paraId="15D614F4" w14:textId="77777777" w:rsidTr="00E869F7">
        <w:tc>
          <w:tcPr>
            <w:tcW w:w="6236" w:type="dxa"/>
          </w:tcPr>
          <w:p w14:paraId="5B19CD1C" w14:textId="77777777" w:rsidR="00B02873" w:rsidRDefault="00B02873" w:rsidP="00E869F7">
            <w:pPr>
              <w:pStyle w:val="TablebodyleftFinancialsTables"/>
            </w:pPr>
            <w:r>
              <w:t>Environment and Biodiversity</w:t>
            </w:r>
          </w:p>
        </w:tc>
        <w:tc>
          <w:tcPr>
            <w:tcW w:w="1701" w:type="dxa"/>
          </w:tcPr>
          <w:p w14:paraId="07DE8C0F" w14:textId="77777777" w:rsidR="00B02873" w:rsidRDefault="00B02873" w:rsidP="00E869F7">
            <w:pPr>
              <w:pStyle w:val="TablebodyleftFinancialsTables"/>
              <w:jc w:val="right"/>
            </w:pPr>
            <w:r>
              <w:t>5,870,669</w:t>
            </w:r>
          </w:p>
        </w:tc>
        <w:tc>
          <w:tcPr>
            <w:tcW w:w="1701" w:type="dxa"/>
          </w:tcPr>
          <w:p w14:paraId="7FAFC99A" w14:textId="77777777" w:rsidR="00B02873" w:rsidRDefault="00B02873" w:rsidP="00E869F7">
            <w:pPr>
              <w:pStyle w:val="TablebodyleftFinancialsTables"/>
              <w:jc w:val="right"/>
            </w:pPr>
            <w:r>
              <w:t>3,367,660</w:t>
            </w:r>
          </w:p>
        </w:tc>
      </w:tr>
      <w:tr w:rsidR="00B02873" w:rsidRPr="00B02873" w14:paraId="701A5455" w14:textId="77777777" w:rsidTr="00E869F7">
        <w:tc>
          <w:tcPr>
            <w:tcW w:w="6236" w:type="dxa"/>
          </w:tcPr>
          <w:p w14:paraId="50EE9FCB" w14:textId="77777777" w:rsidR="00B02873" w:rsidRDefault="00B02873" w:rsidP="00E869F7">
            <w:pPr>
              <w:pStyle w:val="TablebodyleftFinancialsTables"/>
            </w:pPr>
            <w:r>
              <w:t>Statutory Activities and Environment Protection</w:t>
            </w:r>
          </w:p>
        </w:tc>
        <w:tc>
          <w:tcPr>
            <w:tcW w:w="1701" w:type="dxa"/>
          </w:tcPr>
          <w:p w14:paraId="6D750FB3" w14:textId="5CEE8B96" w:rsidR="00B02873" w:rsidRDefault="000C45FC" w:rsidP="00E869F7">
            <w:pPr>
              <w:pStyle w:val="TablebodyleftFinancialsTables"/>
              <w:jc w:val="right"/>
            </w:pPr>
            <w:r>
              <w:t>–</w:t>
            </w:r>
          </w:p>
        </w:tc>
        <w:tc>
          <w:tcPr>
            <w:tcW w:w="1701" w:type="dxa"/>
          </w:tcPr>
          <w:p w14:paraId="3EE847E1" w14:textId="5B214169" w:rsidR="00B02873" w:rsidRDefault="000C45FC" w:rsidP="00E869F7">
            <w:pPr>
              <w:pStyle w:val="TablebodyleftFinancialsTables"/>
              <w:jc w:val="right"/>
            </w:pPr>
            <w:r>
              <w:t>–</w:t>
            </w:r>
          </w:p>
        </w:tc>
      </w:tr>
      <w:tr w:rsidR="00B02873" w:rsidRPr="00B02873" w14:paraId="247CE4F0" w14:textId="77777777" w:rsidTr="00E869F7">
        <w:tc>
          <w:tcPr>
            <w:tcW w:w="6236" w:type="dxa"/>
          </w:tcPr>
          <w:p w14:paraId="3D2239AA" w14:textId="77777777" w:rsidR="00B02873" w:rsidRDefault="00B02873" w:rsidP="00E869F7">
            <w:pPr>
              <w:pStyle w:val="TablebodyleftFinancialsTables"/>
            </w:pPr>
            <w:r>
              <w:t>Waste and Recycling</w:t>
            </w:r>
          </w:p>
        </w:tc>
        <w:tc>
          <w:tcPr>
            <w:tcW w:w="1701" w:type="dxa"/>
          </w:tcPr>
          <w:p w14:paraId="650B011A" w14:textId="26F6A0AE" w:rsidR="00B02873" w:rsidRDefault="000C45FC" w:rsidP="00E869F7">
            <w:pPr>
              <w:pStyle w:val="TablebodyleftFinancialsTables"/>
              <w:jc w:val="right"/>
            </w:pPr>
            <w:r>
              <w:t>–</w:t>
            </w:r>
          </w:p>
        </w:tc>
        <w:tc>
          <w:tcPr>
            <w:tcW w:w="1701" w:type="dxa"/>
          </w:tcPr>
          <w:p w14:paraId="7236342F" w14:textId="4A30B7B8" w:rsidR="00B02873" w:rsidRDefault="000C45FC" w:rsidP="00E869F7">
            <w:pPr>
              <w:pStyle w:val="TablebodyleftFinancialsTables"/>
              <w:jc w:val="right"/>
            </w:pPr>
            <w:r>
              <w:t>–</w:t>
            </w:r>
          </w:p>
        </w:tc>
      </w:tr>
      <w:tr w:rsidR="00B02873" w:rsidRPr="00B02873" w14:paraId="53916FF1" w14:textId="77777777" w:rsidTr="00E869F7">
        <w:tc>
          <w:tcPr>
            <w:tcW w:w="6236" w:type="dxa"/>
          </w:tcPr>
          <w:p w14:paraId="66679A62" w14:textId="77777777" w:rsidR="00B02873" w:rsidRDefault="00B02873" w:rsidP="00E869F7">
            <w:pPr>
              <w:pStyle w:val="TablebodyleftFinancialsTables"/>
            </w:pPr>
            <w:r>
              <w:t>Energy</w:t>
            </w:r>
          </w:p>
        </w:tc>
        <w:tc>
          <w:tcPr>
            <w:tcW w:w="1701" w:type="dxa"/>
          </w:tcPr>
          <w:p w14:paraId="2F9AA195" w14:textId="38CBBB29" w:rsidR="00B02873" w:rsidRDefault="00B02873" w:rsidP="00E869F7">
            <w:pPr>
              <w:pStyle w:val="TablebodyleftFinancialsTables"/>
              <w:jc w:val="right"/>
            </w:pPr>
            <w:r>
              <w:t>662,500</w:t>
            </w:r>
          </w:p>
        </w:tc>
        <w:tc>
          <w:tcPr>
            <w:tcW w:w="1701" w:type="dxa"/>
          </w:tcPr>
          <w:p w14:paraId="5A358DE5" w14:textId="77777777" w:rsidR="00B02873" w:rsidRDefault="00B02873" w:rsidP="00E869F7">
            <w:pPr>
              <w:pStyle w:val="TablebodyleftFinancialsTables"/>
              <w:jc w:val="right"/>
            </w:pPr>
            <w:r>
              <w:t>90,000</w:t>
            </w:r>
          </w:p>
        </w:tc>
      </w:tr>
      <w:tr w:rsidR="00B02873" w:rsidRPr="00B02873" w14:paraId="3C2BF4E6" w14:textId="77777777" w:rsidTr="00E869F7">
        <w:tc>
          <w:tcPr>
            <w:tcW w:w="6236" w:type="dxa"/>
          </w:tcPr>
          <w:p w14:paraId="0D806405" w14:textId="77777777" w:rsidR="00B02873" w:rsidRDefault="00B02873" w:rsidP="00E869F7">
            <w:pPr>
              <w:pStyle w:val="TablebodyleftFinancialsTables"/>
            </w:pPr>
            <w:r>
              <w:t>Solar Homes</w:t>
            </w:r>
          </w:p>
        </w:tc>
        <w:tc>
          <w:tcPr>
            <w:tcW w:w="1701" w:type="dxa"/>
          </w:tcPr>
          <w:p w14:paraId="1189C3C6" w14:textId="410CE5B2" w:rsidR="00B02873" w:rsidRDefault="000C45FC" w:rsidP="00E869F7">
            <w:pPr>
              <w:pStyle w:val="TablebodyleftFinancialsTables"/>
              <w:jc w:val="right"/>
            </w:pPr>
            <w:r>
              <w:t>–</w:t>
            </w:r>
          </w:p>
        </w:tc>
        <w:tc>
          <w:tcPr>
            <w:tcW w:w="1701" w:type="dxa"/>
          </w:tcPr>
          <w:p w14:paraId="6D283FFE" w14:textId="309B2517" w:rsidR="00B02873" w:rsidRDefault="000C45FC" w:rsidP="00E869F7">
            <w:pPr>
              <w:pStyle w:val="TablebodyleftFinancialsTables"/>
              <w:jc w:val="right"/>
            </w:pPr>
            <w:r>
              <w:t>–</w:t>
            </w:r>
          </w:p>
        </w:tc>
      </w:tr>
      <w:tr w:rsidR="00B02873" w:rsidRPr="00B02873" w14:paraId="0FFA8776" w14:textId="77777777" w:rsidTr="00E869F7">
        <w:tc>
          <w:tcPr>
            <w:tcW w:w="6236" w:type="dxa"/>
          </w:tcPr>
          <w:p w14:paraId="7D5EFEAE" w14:textId="77777777" w:rsidR="00B02873" w:rsidRDefault="00B02873" w:rsidP="00E869F7">
            <w:pPr>
              <w:pStyle w:val="TablebodyleftFinancialsTables"/>
            </w:pPr>
            <w:r>
              <w:t>Land Use Victoria</w:t>
            </w:r>
          </w:p>
        </w:tc>
        <w:tc>
          <w:tcPr>
            <w:tcW w:w="1701" w:type="dxa"/>
          </w:tcPr>
          <w:p w14:paraId="405D6554" w14:textId="2E03B8B1" w:rsidR="00B02873" w:rsidRDefault="000C45FC" w:rsidP="00E869F7">
            <w:pPr>
              <w:pStyle w:val="TablebodyleftFinancialsTables"/>
              <w:jc w:val="right"/>
            </w:pPr>
            <w:r>
              <w:t>–</w:t>
            </w:r>
          </w:p>
        </w:tc>
        <w:tc>
          <w:tcPr>
            <w:tcW w:w="1701" w:type="dxa"/>
          </w:tcPr>
          <w:p w14:paraId="5A0514C4" w14:textId="54116BE5" w:rsidR="00B02873" w:rsidRDefault="000C45FC" w:rsidP="00E869F7">
            <w:pPr>
              <w:pStyle w:val="TablebodyleftFinancialsTables"/>
              <w:jc w:val="right"/>
            </w:pPr>
            <w:r>
              <w:t>–</w:t>
            </w:r>
          </w:p>
        </w:tc>
      </w:tr>
      <w:tr w:rsidR="00B02873" w:rsidRPr="00B02873" w14:paraId="3C58C1F8" w14:textId="77777777" w:rsidTr="00E869F7">
        <w:tc>
          <w:tcPr>
            <w:tcW w:w="6236" w:type="dxa"/>
          </w:tcPr>
          <w:p w14:paraId="192B6EB2" w14:textId="77777777" w:rsidR="00B02873" w:rsidRDefault="00B02873" w:rsidP="00E869F7">
            <w:pPr>
              <w:pStyle w:val="TablebodyleftFinancialsTables"/>
            </w:pPr>
            <w:r>
              <w:t>Management of Public Land and Forests</w:t>
            </w:r>
          </w:p>
        </w:tc>
        <w:tc>
          <w:tcPr>
            <w:tcW w:w="1701" w:type="dxa"/>
          </w:tcPr>
          <w:p w14:paraId="32425850" w14:textId="77777777" w:rsidR="00B02873" w:rsidRDefault="00B02873" w:rsidP="00E869F7">
            <w:pPr>
              <w:pStyle w:val="TablebodyleftFinancialsTables"/>
              <w:jc w:val="right"/>
            </w:pPr>
            <w:r>
              <w:t>17,482,092</w:t>
            </w:r>
          </w:p>
        </w:tc>
        <w:tc>
          <w:tcPr>
            <w:tcW w:w="1701" w:type="dxa"/>
          </w:tcPr>
          <w:p w14:paraId="3642D100" w14:textId="77777777" w:rsidR="00B02873" w:rsidRDefault="00B02873" w:rsidP="00E869F7">
            <w:pPr>
              <w:pStyle w:val="TablebodyleftFinancialsTables"/>
              <w:jc w:val="right"/>
            </w:pPr>
            <w:r>
              <w:t>10,353,913</w:t>
            </w:r>
          </w:p>
        </w:tc>
      </w:tr>
      <w:tr w:rsidR="00B02873" w:rsidRPr="00B02873" w14:paraId="5C58763D" w14:textId="77777777" w:rsidTr="00E869F7">
        <w:tc>
          <w:tcPr>
            <w:tcW w:w="6236" w:type="dxa"/>
          </w:tcPr>
          <w:p w14:paraId="3416202F" w14:textId="77777777" w:rsidR="00B02873" w:rsidRDefault="00B02873" w:rsidP="00E869F7">
            <w:pPr>
              <w:pStyle w:val="TablebodyleftFinancialsTables"/>
            </w:pPr>
            <w:r>
              <w:t>Parks Victoria</w:t>
            </w:r>
          </w:p>
        </w:tc>
        <w:tc>
          <w:tcPr>
            <w:tcW w:w="1701" w:type="dxa"/>
          </w:tcPr>
          <w:p w14:paraId="4FDD83CA" w14:textId="7F3D75B7" w:rsidR="00B02873" w:rsidRDefault="000C45FC" w:rsidP="00E869F7">
            <w:pPr>
              <w:pStyle w:val="TablebodyleftFinancialsTables"/>
              <w:jc w:val="right"/>
            </w:pPr>
            <w:r>
              <w:t>–</w:t>
            </w:r>
          </w:p>
        </w:tc>
        <w:tc>
          <w:tcPr>
            <w:tcW w:w="1701" w:type="dxa"/>
          </w:tcPr>
          <w:p w14:paraId="0015B8A0" w14:textId="21DDE420" w:rsidR="00B02873" w:rsidRDefault="000C45FC" w:rsidP="00E869F7">
            <w:pPr>
              <w:pStyle w:val="TablebodyleftFinancialsTables"/>
              <w:jc w:val="right"/>
            </w:pPr>
            <w:r>
              <w:t>–</w:t>
            </w:r>
          </w:p>
        </w:tc>
      </w:tr>
      <w:tr w:rsidR="00B02873" w:rsidRPr="00B02873" w14:paraId="29DD28E2" w14:textId="77777777" w:rsidTr="00E869F7">
        <w:tc>
          <w:tcPr>
            <w:tcW w:w="6236" w:type="dxa"/>
          </w:tcPr>
          <w:p w14:paraId="48BCF121" w14:textId="77777777" w:rsidR="00B02873" w:rsidRDefault="00B02873" w:rsidP="00E869F7">
            <w:pPr>
              <w:pStyle w:val="TablebodyleftFinancialsTables"/>
            </w:pPr>
            <w:r>
              <w:t>Effective Water Management and Supply</w:t>
            </w:r>
          </w:p>
        </w:tc>
        <w:tc>
          <w:tcPr>
            <w:tcW w:w="1701" w:type="dxa"/>
          </w:tcPr>
          <w:p w14:paraId="137B66D8" w14:textId="77777777" w:rsidR="00B02873" w:rsidRDefault="00B02873" w:rsidP="00E869F7">
            <w:pPr>
              <w:pStyle w:val="TablebodyleftFinancialsTables"/>
              <w:jc w:val="right"/>
            </w:pPr>
            <w:r>
              <w:t>3,469,932</w:t>
            </w:r>
          </w:p>
        </w:tc>
        <w:tc>
          <w:tcPr>
            <w:tcW w:w="1701" w:type="dxa"/>
          </w:tcPr>
          <w:p w14:paraId="00251682" w14:textId="11C2D0BA" w:rsidR="00B02873" w:rsidRDefault="00B02873" w:rsidP="00E869F7">
            <w:pPr>
              <w:pStyle w:val="TablebodyleftFinancialsTables"/>
              <w:jc w:val="right"/>
            </w:pPr>
            <w:r>
              <w:t>3,919,380</w:t>
            </w:r>
          </w:p>
        </w:tc>
      </w:tr>
      <w:tr w:rsidR="00B02873" w:rsidRPr="00B02873" w14:paraId="7E26BCD6" w14:textId="77777777" w:rsidTr="00E869F7">
        <w:tc>
          <w:tcPr>
            <w:tcW w:w="6236" w:type="dxa"/>
          </w:tcPr>
          <w:p w14:paraId="24762DA9" w14:textId="77777777" w:rsidR="00B02873" w:rsidRDefault="00B02873" w:rsidP="00E869F7">
            <w:pPr>
              <w:pStyle w:val="TablebodyleftFinancialsTables"/>
            </w:pPr>
            <w:r>
              <w:t>Planning, Building and Heritage</w:t>
            </w:r>
          </w:p>
        </w:tc>
        <w:tc>
          <w:tcPr>
            <w:tcW w:w="1701" w:type="dxa"/>
          </w:tcPr>
          <w:p w14:paraId="64C2802A" w14:textId="77777777" w:rsidR="00B02873" w:rsidRDefault="00B02873" w:rsidP="00E869F7">
            <w:pPr>
              <w:pStyle w:val="TablebodyleftFinancialsTables"/>
              <w:jc w:val="right"/>
            </w:pPr>
            <w:r>
              <w:t>164,018</w:t>
            </w:r>
          </w:p>
        </w:tc>
        <w:tc>
          <w:tcPr>
            <w:tcW w:w="1701" w:type="dxa"/>
          </w:tcPr>
          <w:p w14:paraId="14BBA7F2" w14:textId="79CE2DE8" w:rsidR="00B02873" w:rsidRDefault="00B02873" w:rsidP="00E869F7">
            <w:pPr>
              <w:pStyle w:val="TablebodyleftFinancialsTables"/>
              <w:jc w:val="right"/>
            </w:pPr>
            <w:r>
              <w:t>53,182</w:t>
            </w:r>
          </w:p>
        </w:tc>
      </w:tr>
      <w:tr w:rsidR="00B02873" w:rsidRPr="00B02873" w14:paraId="19C4817D" w14:textId="77777777" w:rsidTr="00E869F7">
        <w:tc>
          <w:tcPr>
            <w:tcW w:w="6236" w:type="dxa"/>
          </w:tcPr>
          <w:p w14:paraId="2F275A59" w14:textId="77777777" w:rsidR="00B02873" w:rsidRDefault="00B02873" w:rsidP="00E869F7">
            <w:pPr>
              <w:pStyle w:val="TablebodyleftFinancialsTables"/>
            </w:pPr>
            <w:r>
              <w:t>Fire and Emergency Management</w:t>
            </w:r>
          </w:p>
        </w:tc>
        <w:tc>
          <w:tcPr>
            <w:tcW w:w="1701" w:type="dxa"/>
          </w:tcPr>
          <w:p w14:paraId="13C1E4DF" w14:textId="77777777" w:rsidR="00B02873" w:rsidRDefault="00B02873" w:rsidP="00E869F7">
            <w:pPr>
              <w:pStyle w:val="TablebodyleftFinancialsTables"/>
              <w:jc w:val="right"/>
            </w:pPr>
            <w:r>
              <w:t>6,417,375</w:t>
            </w:r>
          </w:p>
        </w:tc>
        <w:tc>
          <w:tcPr>
            <w:tcW w:w="1701" w:type="dxa"/>
          </w:tcPr>
          <w:p w14:paraId="1075FF01" w14:textId="77777777" w:rsidR="00B02873" w:rsidRDefault="00B02873" w:rsidP="00E869F7">
            <w:pPr>
              <w:pStyle w:val="TablebodyleftFinancialsTables"/>
              <w:jc w:val="right"/>
            </w:pPr>
            <w:r>
              <w:t>4,619,950</w:t>
            </w:r>
          </w:p>
        </w:tc>
      </w:tr>
      <w:tr w:rsidR="00B02873" w:rsidRPr="00E869F7" w14:paraId="014CE41B" w14:textId="77777777" w:rsidTr="00E869F7">
        <w:tc>
          <w:tcPr>
            <w:tcW w:w="6236" w:type="dxa"/>
          </w:tcPr>
          <w:p w14:paraId="22A84DC3" w14:textId="77777777" w:rsidR="00B02873" w:rsidRPr="00E869F7" w:rsidRDefault="00B02873" w:rsidP="00E869F7">
            <w:pPr>
              <w:pStyle w:val="TablebodyleftFinancialsTables"/>
              <w:rPr>
                <w:b/>
                <w:bCs/>
              </w:rPr>
            </w:pPr>
            <w:r w:rsidRPr="00E869F7">
              <w:rPr>
                <w:b/>
                <w:bCs/>
              </w:rPr>
              <w:t>Total</w:t>
            </w:r>
          </w:p>
        </w:tc>
        <w:tc>
          <w:tcPr>
            <w:tcW w:w="1701" w:type="dxa"/>
          </w:tcPr>
          <w:p w14:paraId="2DBBF1E8" w14:textId="77777777" w:rsidR="00B02873" w:rsidRPr="00E869F7" w:rsidRDefault="00B02873" w:rsidP="00E869F7">
            <w:pPr>
              <w:pStyle w:val="TablebodyleftFinancialsTables"/>
              <w:jc w:val="right"/>
              <w:rPr>
                <w:b/>
                <w:bCs/>
              </w:rPr>
            </w:pPr>
            <w:r w:rsidRPr="00E869F7">
              <w:rPr>
                <w:b/>
                <w:bCs/>
              </w:rPr>
              <w:t>34,134,769</w:t>
            </w:r>
          </w:p>
        </w:tc>
        <w:tc>
          <w:tcPr>
            <w:tcW w:w="1701" w:type="dxa"/>
          </w:tcPr>
          <w:p w14:paraId="1E3C1060" w14:textId="77777777" w:rsidR="00B02873" w:rsidRPr="00E869F7" w:rsidRDefault="00B02873" w:rsidP="00E869F7">
            <w:pPr>
              <w:pStyle w:val="TablebodyleftFinancialsTables"/>
              <w:jc w:val="right"/>
              <w:rPr>
                <w:b/>
                <w:bCs/>
              </w:rPr>
            </w:pPr>
            <w:r w:rsidRPr="00E869F7">
              <w:rPr>
                <w:b/>
                <w:bCs/>
              </w:rPr>
              <w:t>22,892,583</w:t>
            </w:r>
          </w:p>
        </w:tc>
      </w:tr>
    </w:tbl>
    <w:p w14:paraId="7DD7A03E" w14:textId="77777777" w:rsidR="00B02873" w:rsidRDefault="00B02873" w:rsidP="00FE198A"/>
    <w:p w14:paraId="542B72D1" w14:textId="195E8B56" w:rsidR="00B02873" w:rsidRDefault="00B02873" w:rsidP="00E869F7">
      <w:pPr>
        <w:pStyle w:val="TabletitleTables"/>
      </w:pPr>
      <w:r>
        <w:lastRenderedPageBreak/>
        <w:t>Table 3</w:t>
      </w:r>
      <w:r w:rsidR="000C45FC">
        <w:t xml:space="preserve"> – </w:t>
      </w:r>
      <w:r>
        <w:t>Climate Change</w:t>
      </w:r>
    </w:p>
    <w:tbl>
      <w:tblPr>
        <w:tblStyle w:val="TableGrid"/>
        <w:tblW w:w="0" w:type="auto"/>
        <w:tblLayout w:type="fixed"/>
        <w:tblLook w:val="0020" w:firstRow="1" w:lastRow="0" w:firstColumn="0" w:lastColumn="0" w:noHBand="0" w:noVBand="0"/>
      </w:tblPr>
      <w:tblGrid>
        <w:gridCol w:w="5382"/>
        <w:gridCol w:w="1611"/>
      </w:tblGrid>
      <w:tr w:rsidR="00B02873" w:rsidRPr="00CF1D80" w14:paraId="3E89942F" w14:textId="77777777" w:rsidTr="00CF1D80">
        <w:trPr>
          <w:cnfStyle w:val="100000000000" w:firstRow="1" w:lastRow="0" w:firstColumn="0" w:lastColumn="0" w:oddVBand="0" w:evenVBand="0" w:oddHBand="0" w:evenHBand="0" w:firstRowFirstColumn="0" w:firstRowLastColumn="0" w:lastRowFirstColumn="0" w:lastRowLastColumn="0"/>
          <w:trHeight w:val="60"/>
          <w:tblHeader/>
        </w:trPr>
        <w:tc>
          <w:tcPr>
            <w:tcW w:w="5382" w:type="dxa"/>
          </w:tcPr>
          <w:p w14:paraId="21E0B0E4" w14:textId="77777777" w:rsidR="00B02873" w:rsidRPr="00CF1D80" w:rsidRDefault="00B02873" w:rsidP="00CF1D80">
            <w:pPr>
              <w:pStyle w:val="TableheadingleftFinancialsTables"/>
              <w:rPr>
                <w:rFonts w:asciiTheme="minorHAnsi" w:hAnsiTheme="minorHAnsi" w:cstheme="minorHAnsi"/>
              </w:rPr>
            </w:pPr>
            <w:r w:rsidRPr="00CF1D80">
              <w:rPr>
                <w:rFonts w:asciiTheme="minorHAnsi" w:hAnsiTheme="minorHAnsi" w:cstheme="minorHAnsi"/>
              </w:rPr>
              <w:t>Grant recipient</w:t>
            </w:r>
          </w:p>
        </w:tc>
        <w:tc>
          <w:tcPr>
            <w:tcW w:w="1611" w:type="dxa"/>
          </w:tcPr>
          <w:p w14:paraId="43EEE30F" w14:textId="77777777" w:rsidR="00B02873" w:rsidRPr="00CF1D80" w:rsidRDefault="00B02873" w:rsidP="00CF1D80">
            <w:pPr>
              <w:pStyle w:val="TableheadingleftFinancialsTables"/>
              <w:jc w:val="right"/>
              <w:rPr>
                <w:rFonts w:asciiTheme="minorHAnsi" w:hAnsiTheme="minorHAnsi" w:cstheme="minorHAnsi"/>
              </w:rPr>
            </w:pPr>
            <w:r w:rsidRPr="00CF1D80">
              <w:rPr>
                <w:rFonts w:asciiTheme="minorHAnsi" w:hAnsiTheme="minorHAnsi" w:cstheme="minorHAnsi"/>
              </w:rPr>
              <w:t>$</w:t>
            </w:r>
          </w:p>
        </w:tc>
      </w:tr>
      <w:tr w:rsidR="00B02873" w:rsidRPr="00CF1D80" w14:paraId="18152798" w14:textId="77777777" w:rsidTr="00CF1D80">
        <w:trPr>
          <w:trHeight w:val="60"/>
        </w:trPr>
        <w:tc>
          <w:tcPr>
            <w:tcW w:w="5382" w:type="dxa"/>
          </w:tcPr>
          <w:p w14:paraId="3F06B1D5" w14:textId="77777777" w:rsidR="00B02873" w:rsidRPr="00CF1D80" w:rsidRDefault="00B02873" w:rsidP="00CF1D80">
            <w:pPr>
              <w:pStyle w:val="TablebodyleftFinancialsTables"/>
              <w:rPr>
                <w:rFonts w:asciiTheme="minorHAnsi" w:hAnsiTheme="minorHAnsi" w:cstheme="minorHAnsi"/>
              </w:rPr>
            </w:pPr>
            <w:r w:rsidRPr="00CF1D80">
              <w:rPr>
                <w:rFonts w:asciiTheme="minorHAnsi" w:hAnsiTheme="minorHAnsi" w:cstheme="minorHAnsi"/>
              </w:rPr>
              <w:t>Environment Protection Authority</w:t>
            </w:r>
          </w:p>
        </w:tc>
        <w:tc>
          <w:tcPr>
            <w:tcW w:w="1611" w:type="dxa"/>
          </w:tcPr>
          <w:p w14:paraId="7EE0FB49" w14:textId="6DB6BC1A" w:rsidR="00B02873" w:rsidRPr="00CF1D80" w:rsidRDefault="00B02873" w:rsidP="00CF1D80">
            <w:pPr>
              <w:pStyle w:val="TablebodyleftFinancialsTables"/>
              <w:jc w:val="right"/>
              <w:rPr>
                <w:rFonts w:asciiTheme="minorHAnsi" w:hAnsiTheme="minorHAnsi" w:cstheme="minorHAnsi"/>
              </w:rPr>
            </w:pPr>
            <w:r w:rsidRPr="00CF1D80">
              <w:rPr>
                <w:rFonts w:asciiTheme="minorHAnsi" w:hAnsiTheme="minorHAnsi" w:cstheme="minorHAnsi"/>
              </w:rPr>
              <w:t>3,290,165</w:t>
            </w:r>
          </w:p>
        </w:tc>
      </w:tr>
      <w:tr w:rsidR="00B02873" w:rsidRPr="00CF1D80" w14:paraId="7B2747A7" w14:textId="77777777" w:rsidTr="00CF1D80">
        <w:trPr>
          <w:trHeight w:val="60"/>
        </w:trPr>
        <w:tc>
          <w:tcPr>
            <w:tcW w:w="5382" w:type="dxa"/>
          </w:tcPr>
          <w:p w14:paraId="7E9CA04C" w14:textId="77777777" w:rsidR="00B02873" w:rsidRPr="00CF1D80" w:rsidRDefault="00B02873" w:rsidP="00CF1D80">
            <w:pPr>
              <w:pStyle w:val="TablebodyleftFinancialsTables"/>
              <w:rPr>
                <w:rFonts w:asciiTheme="minorHAnsi" w:hAnsiTheme="minorHAnsi" w:cstheme="minorHAnsi"/>
              </w:rPr>
            </w:pPr>
            <w:r w:rsidRPr="00CF1D80">
              <w:rPr>
                <w:rFonts w:asciiTheme="minorHAnsi" w:hAnsiTheme="minorHAnsi" w:cstheme="minorHAnsi"/>
              </w:rPr>
              <w:t>Sustainability Victoria</w:t>
            </w:r>
          </w:p>
        </w:tc>
        <w:tc>
          <w:tcPr>
            <w:tcW w:w="1611" w:type="dxa"/>
          </w:tcPr>
          <w:p w14:paraId="59BE78A5" w14:textId="41871655" w:rsidR="00B02873" w:rsidRPr="00CF1D80" w:rsidRDefault="00B02873" w:rsidP="00CF1D80">
            <w:pPr>
              <w:pStyle w:val="TablebodyleftFinancialsTables"/>
              <w:jc w:val="right"/>
              <w:rPr>
                <w:rFonts w:asciiTheme="minorHAnsi" w:hAnsiTheme="minorHAnsi" w:cstheme="minorHAnsi"/>
              </w:rPr>
            </w:pPr>
            <w:r w:rsidRPr="00CF1D80">
              <w:rPr>
                <w:rFonts w:asciiTheme="minorHAnsi" w:hAnsiTheme="minorHAnsi" w:cstheme="minorHAnsi"/>
              </w:rPr>
              <w:t>2,905,000</w:t>
            </w:r>
          </w:p>
        </w:tc>
      </w:tr>
      <w:tr w:rsidR="00B02873" w:rsidRPr="00CF1D80" w14:paraId="18E7A1AE" w14:textId="77777777" w:rsidTr="00CF1D80">
        <w:trPr>
          <w:trHeight w:val="60"/>
        </w:trPr>
        <w:tc>
          <w:tcPr>
            <w:tcW w:w="5382" w:type="dxa"/>
          </w:tcPr>
          <w:p w14:paraId="2CF4B938" w14:textId="77777777" w:rsidR="00B02873" w:rsidRPr="00CF1D80" w:rsidRDefault="00B02873" w:rsidP="00CF1D80">
            <w:pPr>
              <w:pStyle w:val="TablebodyleftFinancialsTables"/>
              <w:rPr>
                <w:rFonts w:asciiTheme="minorHAnsi" w:hAnsiTheme="minorHAnsi" w:cstheme="minorHAnsi"/>
              </w:rPr>
            </w:pPr>
            <w:r w:rsidRPr="00CF1D80">
              <w:rPr>
                <w:rFonts w:asciiTheme="minorHAnsi" w:hAnsiTheme="minorHAnsi" w:cstheme="minorHAnsi"/>
                <w:spacing w:val="-2"/>
              </w:rPr>
              <w:t>Department of Health (Victoria)</w:t>
            </w:r>
          </w:p>
        </w:tc>
        <w:tc>
          <w:tcPr>
            <w:tcW w:w="1611" w:type="dxa"/>
          </w:tcPr>
          <w:p w14:paraId="43727462" w14:textId="552EE93C" w:rsidR="00B02873" w:rsidRPr="00CF1D80" w:rsidRDefault="00B02873" w:rsidP="00CF1D80">
            <w:pPr>
              <w:pStyle w:val="TablebodyleftFinancialsTables"/>
              <w:jc w:val="right"/>
              <w:rPr>
                <w:rFonts w:asciiTheme="minorHAnsi" w:hAnsiTheme="minorHAnsi" w:cstheme="minorHAnsi"/>
              </w:rPr>
            </w:pPr>
            <w:r w:rsidRPr="00CF1D80">
              <w:rPr>
                <w:rFonts w:asciiTheme="minorHAnsi" w:hAnsiTheme="minorHAnsi" w:cstheme="minorHAnsi"/>
              </w:rPr>
              <w:t>894,000</w:t>
            </w:r>
          </w:p>
        </w:tc>
      </w:tr>
      <w:tr w:rsidR="00B02873" w:rsidRPr="00CF1D80" w14:paraId="0C89B6FA" w14:textId="77777777" w:rsidTr="00CF1D80">
        <w:trPr>
          <w:trHeight w:val="60"/>
        </w:trPr>
        <w:tc>
          <w:tcPr>
            <w:tcW w:w="5382" w:type="dxa"/>
          </w:tcPr>
          <w:p w14:paraId="09324E08" w14:textId="77777777" w:rsidR="00B02873" w:rsidRPr="00CF1D80" w:rsidRDefault="00B02873" w:rsidP="00CF1D80">
            <w:pPr>
              <w:pStyle w:val="TablebodyleftFinancialsTables"/>
              <w:rPr>
                <w:rFonts w:asciiTheme="minorHAnsi" w:hAnsiTheme="minorHAnsi" w:cstheme="minorHAnsi"/>
              </w:rPr>
            </w:pPr>
            <w:r w:rsidRPr="00CF1D80">
              <w:rPr>
                <w:rFonts w:asciiTheme="minorHAnsi" w:hAnsiTheme="minorHAnsi" w:cstheme="minorHAnsi"/>
              </w:rPr>
              <w:t>Deakin University</w:t>
            </w:r>
          </w:p>
        </w:tc>
        <w:tc>
          <w:tcPr>
            <w:tcW w:w="1611" w:type="dxa"/>
          </w:tcPr>
          <w:p w14:paraId="69E836C3" w14:textId="0BCF7FC5" w:rsidR="00B02873" w:rsidRPr="00CF1D80" w:rsidRDefault="00B02873" w:rsidP="00CF1D80">
            <w:pPr>
              <w:pStyle w:val="TablebodyleftFinancialsTables"/>
              <w:jc w:val="right"/>
              <w:rPr>
                <w:rFonts w:asciiTheme="minorHAnsi" w:hAnsiTheme="minorHAnsi" w:cstheme="minorHAnsi"/>
              </w:rPr>
            </w:pPr>
            <w:r w:rsidRPr="00CF1D80">
              <w:rPr>
                <w:rFonts w:asciiTheme="minorHAnsi" w:hAnsiTheme="minorHAnsi" w:cstheme="minorHAnsi"/>
              </w:rPr>
              <w:t>554,290</w:t>
            </w:r>
          </w:p>
        </w:tc>
      </w:tr>
      <w:tr w:rsidR="00B02873" w:rsidRPr="00CF1D80" w14:paraId="0359F009" w14:textId="77777777" w:rsidTr="00CF1D80">
        <w:trPr>
          <w:trHeight w:val="60"/>
        </w:trPr>
        <w:tc>
          <w:tcPr>
            <w:tcW w:w="5382" w:type="dxa"/>
          </w:tcPr>
          <w:p w14:paraId="1A3D4A06" w14:textId="77777777" w:rsidR="00B02873" w:rsidRPr="00CF1D80" w:rsidRDefault="00B02873" w:rsidP="00CF1D80">
            <w:pPr>
              <w:pStyle w:val="TablebodyleftFinancialsTables"/>
              <w:rPr>
                <w:rFonts w:asciiTheme="minorHAnsi" w:hAnsiTheme="minorHAnsi" w:cstheme="minorHAnsi"/>
              </w:rPr>
            </w:pPr>
            <w:r w:rsidRPr="00CF1D80">
              <w:rPr>
                <w:rFonts w:asciiTheme="minorHAnsi" w:hAnsiTheme="minorHAnsi" w:cstheme="minorHAnsi"/>
              </w:rPr>
              <w:t>Victorian Council of Social Service</w:t>
            </w:r>
          </w:p>
        </w:tc>
        <w:tc>
          <w:tcPr>
            <w:tcW w:w="1611" w:type="dxa"/>
          </w:tcPr>
          <w:p w14:paraId="3C4D7A4F" w14:textId="7418F438" w:rsidR="00B02873" w:rsidRPr="00CF1D80" w:rsidRDefault="00B02873" w:rsidP="00CF1D80">
            <w:pPr>
              <w:pStyle w:val="TablebodyleftFinancialsTables"/>
              <w:jc w:val="right"/>
              <w:rPr>
                <w:rFonts w:asciiTheme="minorHAnsi" w:hAnsiTheme="minorHAnsi" w:cstheme="minorHAnsi"/>
              </w:rPr>
            </w:pPr>
            <w:r w:rsidRPr="00CF1D80">
              <w:rPr>
                <w:rFonts w:asciiTheme="minorHAnsi" w:hAnsiTheme="minorHAnsi" w:cstheme="minorHAnsi"/>
              </w:rPr>
              <w:t>380,000</w:t>
            </w:r>
          </w:p>
        </w:tc>
      </w:tr>
      <w:tr w:rsidR="00B02873" w:rsidRPr="00CF1D80" w14:paraId="1A07B637" w14:textId="77777777" w:rsidTr="00CF1D80">
        <w:trPr>
          <w:trHeight w:val="60"/>
        </w:trPr>
        <w:tc>
          <w:tcPr>
            <w:tcW w:w="5382" w:type="dxa"/>
          </w:tcPr>
          <w:p w14:paraId="2C5A39C0" w14:textId="77777777" w:rsidR="00B02873" w:rsidRPr="00CF1D80" w:rsidRDefault="00B02873" w:rsidP="00CF1D80">
            <w:pPr>
              <w:pStyle w:val="TablebodyleftFinancialsTables"/>
              <w:rPr>
                <w:rFonts w:asciiTheme="minorHAnsi" w:hAnsiTheme="minorHAnsi" w:cstheme="minorHAnsi"/>
              </w:rPr>
            </w:pPr>
            <w:r w:rsidRPr="00CF1D80">
              <w:rPr>
                <w:rFonts w:asciiTheme="minorHAnsi" w:hAnsiTheme="minorHAnsi" w:cstheme="minorHAnsi"/>
              </w:rPr>
              <w:t>University of Melbourne</w:t>
            </w:r>
          </w:p>
        </w:tc>
        <w:tc>
          <w:tcPr>
            <w:tcW w:w="1611" w:type="dxa"/>
          </w:tcPr>
          <w:p w14:paraId="1C66423C" w14:textId="3CF985F0" w:rsidR="00B02873" w:rsidRPr="00CF1D80" w:rsidRDefault="00B02873" w:rsidP="00CF1D80">
            <w:pPr>
              <w:pStyle w:val="TablebodyleftFinancialsTables"/>
              <w:jc w:val="right"/>
              <w:rPr>
                <w:rFonts w:asciiTheme="minorHAnsi" w:hAnsiTheme="minorHAnsi" w:cstheme="minorHAnsi"/>
              </w:rPr>
            </w:pPr>
            <w:r w:rsidRPr="00CF1D80">
              <w:rPr>
                <w:rFonts w:asciiTheme="minorHAnsi" w:hAnsiTheme="minorHAnsi" w:cstheme="minorHAnsi"/>
              </w:rPr>
              <w:t>300,000</w:t>
            </w:r>
          </w:p>
        </w:tc>
      </w:tr>
      <w:tr w:rsidR="00B02873" w:rsidRPr="00CF1D80" w14:paraId="2A5A0193" w14:textId="77777777" w:rsidTr="00CF1D80">
        <w:trPr>
          <w:trHeight w:val="60"/>
        </w:trPr>
        <w:tc>
          <w:tcPr>
            <w:tcW w:w="5382" w:type="dxa"/>
          </w:tcPr>
          <w:p w14:paraId="34E61B39" w14:textId="77777777" w:rsidR="00B02873" w:rsidRPr="00CF1D80" w:rsidRDefault="00B02873" w:rsidP="00CF1D80">
            <w:pPr>
              <w:pStyle w:val="TablebodyleftFinancialsTables"/>
              <w:rPr>
                <w:rFonts w:asciiTheme="minorHAnsi" w:hAnsiTheme="minorHAnsi" w:cstheme="minorHAnsi"/>
              </w:rPr>
            </w:pPr>
            <w:r w:rsidRPr="00CF1D80">
              <w:rPr>
                <w:rFonts w:asciiTheme="minorHAnsi" w:hAnsiTheme="minorHAnsi" w:cstheme="minorHAnsi"/>
              </w:rPr>
              <w:t>Closed Loop Environmental Solutions Pty Ltd</w:t>
            </w:r>
          </w:p>
        </w:tc>
        <w:tc>
          <w:tcPr>
            <w:tcW w:w="1611" w:type="dxa"/>
          </w:tcPr>
          <w:p w14:paraId="7AAF18DE" w14:textId="0A6C14EE" w:rsidR="00B02873" w:rsidRPr="00CF1D80" w:rsidRDefault="00B02873" w:rsidP="00CF1D80">
            <w:pPr>
              <w:pStyle w:val="TablebodyleftFinancialsTables"/>
              <w:jc w:val="right"/>
              <w:rPr>
                <w:rFonts w:asciiTheme="minorHAnsi" w:hAnsiTheme="minorHAnsi" w:cstheme="minorHAnsi"/>
              </w:rPr>
            </w:pPr>
            <w:r w:rsidRPr="00CF1D80">
              <w:rPr>
                <w:rFonts w:asciiTheme="minorHAnsi" w:hAnsiTheme="minorHAnsi" w:cstheme="minorHAnsi"/>
              </w:rPr>
              <w:t>210,000</w:t>
            </w:r>
          </w:p>
        </w:tc>
      </w:tr>
      <w:tr w:rsidR="00B02873" w:rsidRPr="00CF1D80" w14:paraId="437C0C6A" w14:textId="77777777" w:rsidTr="00CF1D80">
        <w:trPr>
          <w:trHeight w:val="60"/>
        </w:trPr>
        <w:tc>
          <w:tcPr>
            <w:tcW w:w="5382" w:type="dxa"/>
          </w:tcPr>
          <w:p w14:paraId="59FB20DE" w14:textId="77777777" w:rsidR="00B02873" w:rsidRPr="00CF1D80" w:rsidRDefault="00B02873" w:rsidP="00CF1D80">
            <w:pPr>
              <w:pStyle w:val="TablebodyleftFinancialsTables"/>
              <w:rPr>
                <w:rFonts w:asciiTheme="minorHAnsi" w:hAnsiTheme="minorHAnsi" w:cstheme="minorHAnsi"/>
              </w:rPr>
            </w:pPr>
            <w:r w:rsidRPr="00CF1D80">
              <w:rPr>
                <w:rFonts w:asciiTheme="minorHAnsi" w:hAnsiTheme="minorHAnsi" w:cstheme="minorHAnsi"/>
              </w:rPr>
              <w:t>Mornington Peninsula Shire Council</w:t>
            </w:r>
          </w:p>
        </w:tc>
        <w:tc>
          <w:tcPr>
            <w:tcW w:w="1611" w:type="dxa"/>
          </w:tcPr>
          <w:p w14:paraId="1228D4E5" w14:textId="0E3ED0BA" w:rsidR="00B02873" w:rsidRPr="00CF1D80" w:rsidRDefault="00B02873" w:rsidP="00CF1D80">
            <w:pPr>
              <w:pStyle w:val="TablebodyleftFinancialsTables"/>
              <w:jc w:val="right"/>
              <w:rPr>
                <w:rFonts w:asciiTheme="minorHAnsi" w:hAnsiTheme="minorHAnsi" w:cstheme="minorHAnsi"/>
              </w:rPr>
            </w:pPr>
            <w:r w:rsidRPr="00CF1D80">
              <w:rPr>
                <w:rFonts w:asciiTheme="minorHAnsi" w:hAnsiTheme="minorHAnsi" w:cstheme="minorHAnsi"/>
              </w:rPr>
              <w:t>200,000</w:t>
            </w:r>
          </w:p>
        </w:tc>
      </w:tr>
      <w:tr w:rsidR="00B02873" w:rsidRPr="00CF1D80" w14:paraId="5C37A914" w14:textId="77777777" w:rsidTr="00CF1D80">
        <w:trPr>
          <w:trHeight w:val="60"/>
        </w:trPr>
        <w:tc>
          <w:tcPr>
            <w:tcW w:w="5382" w:type="dxa"/>
          </w:tcPr>
          <w:p w14:paraId="08F51355" w14:textId="77777777" w:rsidR="00B02873" w:rsidRPr="00CF1D80" w:rsidRDefault="00B02873" w:rsidP="00CF1D80">
            <w:pPr>
              <w:pStyle w:val="TablebodyleftFinancialsTables"/>
              <w:rPr>
                <w:rFonts w:asciiTheme="minorHAnsi" w:hAnsiTheme="minorHAnsi" w:cstheme="minorHAnsi"/>
              </w:rPr>
            </w:pPr>
            <w:r w:rsidRPr="00CF1D80">
              <w:rPr>
                <w:rFonts w:asciiTheme="minorHAnsi" w:hAnsiTheme="minorHAnsi" w:cstheme="minorHAnsi"/>
                <w:spacing w:val="-2"/>
              </w:rPr>
              <w:t>Bass Coast Shire Council</w:t>
            </w:r>
          </w:p>
        </w:tc>
        <w:tc>
          <w:tcPr>
            <w:tcW w:w="1611" w:type="dxa"/>
          </w:tcPr>
          <w:p w14:paraId="3CF348AB" w14:textId="3D9653FF" w:rsidR="00B02873" w:rsidRPr="00CF1D80" w:rsidRDefault="00B02873" w:rsidP="00CF1D80">
            <w:pPr>
              <w:pStyle w:val="TablebodyleftFinancialsTables"/>
              <w:jc w:val="right"/>
              <w:rPr>
                <w:rFonts w:asciiTheme="minorHAnsi" w:hAnsiTheme="minorHAnsi" w:cstheme="minorHAnsi"/>
              </w:rPr>
            </w:pPr>
            <w:r w:rsidRPr="00CF1D80">
              <w:rPr>
                <w:rFonts w:asciiTheme="minorHAnsi" w:hAnsiTheme="minorHAnsi" w:cstheme="minorHAnsi"/>
              </w:rPr>
              <w:t>150,000</w:t>
            </w:r>
          </w:p>
        </w:tc>
      </w:tr>
      <w:tr w:rsidR="00B02873" w:rsidRPr="00CF1D80" w14:paraId="58DF58AB" w14:textId="77777777" w:rsidTr="00CF1D80">
        <w:trPr>
          <w:trHeight w:val="60"/>
        </w:trPr>
        <w:tc>
          <w:tcPr>
            <w:tcW w:w="5382" w:type="dxa"/>
          </w:tcPr>
          <w:p w14:paraId="5E5E3FC0" w14:textId="77777777" w:rsidR="00B02873" w:rsidRPr="00CF1D80" w:rsidRDefault="00B02873" w:rsidP="00CF1D80">
            <w:pPr>
              <w:pStyle w:val="TablebodyleftFinancialsTables"/>
              <w:rPr>
                <w:rFonts w:asciiTheme="minorHAnsi" w:hAnsiTheme="minorHAnsi" w:cstheme="minorHAnsi"/>
              </w:rPr>
            </w:pPr>
            <w:r w:rsidRPr="00CF1D80">
              <w:rPr>
                <w:rFonts w:asciiTheme="minorHAnsi" w:hAnsiTheme="minorHAnsi" w:cstheme="minorHAnsi"/>
              </w:rPr>
              <w:t>Great Ocean Road Coast and Parks Authority</w:t>
            </w:r>
          </w:p>
        </w:tc>
        <w:tc>
          <w:tcPr>
            <w:tcW w:w="1611" w:type="dxa"/>
          </w:tcPr>
          <w:p w14:paraId="60C0A0A2" w14:textId="5517CC75" w:rsidR="00B02873" w:rsidRPr="00CF1D80" w:rsidRDefault="00B02873" w:rsidP="00CF1D80">
            <w:pPr>
              <w:pStyle w:val="TablebodyleftFinancialsTables"/>
              <w:jc w:val="right"/>
              <w:rPr>
                <w:rFonts w:asciiTheme="minorHAnsi" w:hAnsiTheme="minorHAnsi" w:cstheme="minorHAnsi"/>
              </w:rPr>
            </w:pPr>
            <w:r w:rsidRPr="00CF1D80">
              <w:rPr>
                <w:rFonts w:asciiTheme="minorHAnsi" w:hAnsiTheme="minorHAnsi" w:cstheme="minorHAnsi"/>
              </w:rPr>
              <w:t>119,619</w:t>
            </w:r>
          </w:p>
        </w:tc>
      </w:tr>
      <w:tr w:rsidR="00B02873" w:rsidRPr="00CF1D80" w14:paraId="3A5B07F1" w14:textId="77777777" w:rsidTr="00CF1D80">
        <w:trPr>
          <w:trHeight w:val="60"/>
        </w:trPr>
        <w:tc>
          <w:tcPr>
            <w:tcW w:w="5382" w:type="dxa"/>
          </w:tcPr>
          <w:p w14:paraId="0B596E98" w14:textId="77777777" w:rsidR="00B02873" w:rsidRPr="00CF1D80" w:rsidRDefault="00B02873" w:rsidP="00CF1D80">
            <w:pPr>
              <w:pStyle w:val="TablebodyleftFinancialsTables"/>
              <w:rPr>
                <w:rFonts w:asciiTheme="minorHAnsi" w:hAnsiTheme="minorHAnsi" w:cstheme="minorHAnsi"/>
              </w:rPr>
            </w:pPr>
            <w:r w:rsidRPr="00CF1D80">
              <w:rPr>
                <w:rFonts w:asciiTheme="minorHAnsi" w:hAnsiTheme="minorHAnsi" w:cstheme="minorHAnsi"/>
              </w:rPr>
              <w:t>Borough of Queenscliffe</w:t>
            </w:r>
          </w:p>
        </w:tc>
        <w:tc>
          <w:tcPr>
            <w:tcW w:w="1611" w:type="dxa"/>
          </w:tcPr>
          <w:p w14:paraId="00F461DD" w14:textId="0C654E5E" w:rsidR="00B02873" w:rsidRPr="00CF1D80" w:rsidRDefault="00B02873" w:rsidP="00CF1D80">
            <w:pPr>
              <w:pStyle w:val="TablebodyleftFinancialsTables"/>
              <w:jc w:val="right"/>
              <w:rPr>
                <w:rFonts w:asciiTheme="minorHAnsi" w:hAnsiTheme="minorHAnsi" w:cstheme="minorHAnsi"/>
              </w:rPr>
            </w:pPr>
            <w:r w:rsidRPr="00CF1D80">
              <w:rPr>
                <w:rFonts w:asciiTheme="minorHAnsi" w:hAnsiTheme="minorHAnsi" w:cstheme="minorHAnsi"/>
              </w:rPr>
              <w:t>105,300</w:t>
            </w:r>
          </w:p>
        </w:tc>
      </w:tr>
      <w:tr w:rsidR="00B02873" w:rsidRPr="00CF1D80" w14:paraId="41CD272C" w14:textId="77777777" w:rsidTr="00CF1D80">
        <w:trPr>
          <w:trHeight w:val="60"/>
        </w:trPr>
        <w:tc>
          <w:tcPr>
            <w:tcW w:w="5382" w:type="dxa"/>
          </w:tcPr>
          <w:p w14:paraId="514C8C48" w14:textId="77777777" w:rsidR="00B02873" w:rsidRPr="00CF1D80" w:rsidRDefault="00B02873" w:rsidP="00CF1D80">
            <w:pPr>
              <w:pStyle w:val="TablebodyleftFinancialsTables"/>
              <w:rPr>
                <w:rFonts w:asciiTheme="minorHAnsi" w:hAnsiTheme="minorHAnsi" w:cstheme="minorHAnsi"/>
              </w:rPr>
            </w:pPr>
            <w:r w:rsidRPr="00CF1D80">
              <w:rPr>
                <w:rFonts w:asciiTheme="minorHAnsi" w:hAnsiTheme="minorHAnsi" w:cstheme="minorHAnsi"/>
              </w:rPr>
              <w:t>West Gippsland Catchment Management Authority</w:t>
            </w:r>
          </w:p>
        </w:tc>
        <w:tc>
          <w:tcPr>
            <w:tcW w:w="1611" w:type="dxa"/>
          </w:tcPr>
          <w:p w14:paraId="00AE8266" w14:textId="292328C7" w:rsidR="00B02873" w:rsidRPr="00CF1D80" w:rsidRDefault="00B02873" w:rsidP="00CF1D80">
            <w:pPr>
              <w:pStyle w:val="TablebodyleftFinancialsTables"/>
              <w:jc w:val="right"/>
              <w:rPr>
                <w:rFonts w:asciiTheme="minorHAnsi" w:hAnsiTheme="minorHAnsi" w:cstheme="minorHAnsi"/>
              </w:rPr>
            </w:pPr>
            <w:r w:rsidRPr="00CF1D80">
              <w:rPr>
                <w:rFonts w:asciiTheme="minorHAnsi" w:hAnsiTheme="minorHAnsi" w:cstheme="minorHAnsi"/>
              </w:rPr>
              <w:t>100,000</w:t>
            </w:r>
          </w:p>
        </w:tc>
      </w:tr>
      <w:tr w:rsidR="00B02873" w:rsidRPr="00CF1D80" w14:paraId="217D1EFB" w14:textId="77777777" w:rsidTr="00CF1D80">
        <w:trPr>
          <w:trHeight w:val="60"/>
        </w:trPr>
        <w:tc>
          <w:tcPr>
            <w:tcW w:w="5382" w:type="dxa"/>
          </w:tcPr>
          <w:p w14:paraId="76648B97" w14:textId="77777777" w:rsidR="00B02873" w:rsidRPr="00CF1D80" w:rsidRDefault="00B02873" w:rsidP="00CF1D80">
            <w:pPr>
              <w:pStyle w:val="TablebodyleftFinancialsTables"/>
              <w:rPr>
                <w:rFonts w:asciiTheme="minorHAnsi" w:hAnsiTheme="minorHAnsi" w:cstheme="minorHAnsi"/>
              </w:rPr>
            </w:pPr>
            <w:r w:rsidRPr="00CF1D80">
              <w:rPr>
                <w:rFonts w:asciiTheme="minorHAnsi" w:hAnsiTheme="minorHAnsi" w:cstheme="minorHAnsi"/>
              </w:rPr>
              <w:t>Ironbark Sustainability</w:t>
            </w:r>
          </w:p>
        </w:tc>
        <w:tc>
          <w:tcPr>
            <w:tcW w:w="1611" w:type="dxa"/>
          </w:tcPr>
          <w:p w14:paraId="0A4C0589" w14:textId="64D2F556" w:rsidR="00B02873" w:rsidRPr="00CF1D80" w:rsidRDefault="00B02873" w:rsidP="00CF1D80">
            <w:pPr>
              <w:pStyle w:val="TablebodyleftFinancialsTables"/>
              <w:jc w:val="right"/>
              <w:rPr>
                <w:rFonts w:asciiTheme="minorHAnsi" w:hAnsiTheme="minorHAnsi" w:cstheme="minorHAnsi"/>
              </w:rPr>
            </w:pPr>
            <w:r w:rsidRPr="00CF1D80">
              <w:rPr>
                <w:rFonts w:asciiTheme="minorHAnsi" w:hAnsiTheme="minorHAnsi" w:cstheme="minorHAnsi"/>
              </w:rPr>
              <w:t>98,482</w:t>
            </w:r>
          </w:p>
        </w:tc>
      </w:tr>
      <w:tr w:rsidR="00B02873" w:rsidRPr="00CF1D80" w14:paraId="73A30385" w14:textId="77777777" w:rsidTr="00CF1D80">
        <w:trPr>
          <w:trHeight w:val="60"/>
        </w:trPr>
        <w:tc>
          <w:tcPr>
            <w:tcW w:w="5382" w:type="dxa"/>
          </w:tcPr>
          <w:p w14:paraId="581A3E3A" w14:textId="77777777" w:rsidR="00B02873" w:rsidRPr="00CF1D80" w:rsidRDefault="00B02873" w:rsidP="00CF1D80">
            <w:pPr>
              <w:pStyle w:val="TablebodyleftFinancialsTables"/>
              <w:rPr>
                <w:rFonts w:asciiTheme="minorHAnsi" w:hAnsiTheme="minorHAnsi" w:cstheme="minorHAnsi"/>
              </w:rPr>
            </w:pPr>
            <w:r w:rsidRPr="00CF1D80">
              <w:rPr>
                <w:rFonts w:asciiTheme="minorHAnsi" w:hAnsiTheme="minorHAnsi" w:cstheme="minorHAnsi"/>
              </w:rPr>
              <w:t>Gippsland Climate Change Network Inc</w:t>
            </w:r>
          </w:p>
        </w:tc>
        <w:tc>
          <w:tcPr>
            <w:tcW w:w="1611" w:type="dxa"/>
          </w:tcPr>
          <w:p w14:paraId="01D21602" w14:textId="7CAF929F" w:rsidR="00B02873" w:rsidRPr="00CF1D80" w:rsidRDefault="00B02873" w:rsidP="00CF1D80">
            <w:pPr>
              <w:pStyle w:val="TablebodyleftFinancialsTables"/>
              <w:jc w:val="right"/>
              <w:rPr>
                <w:rFonts w:asciiTheme="minorHAnsi" w:hAnsiTheme="minorHAnsi" w:cstheme="minorHAnsi"/>
              </w:rPr>
            </w:pPr>
            <w:r w:rsidRPr="00CF1D80">
              <w:rPr>
                <w:rFonts w:asciiTheme="minorHAnsi" w:hAnsiTheme="minorHAnsi" w:cstheme="minorHAnsi"/>
              </w:rPr>
              <w:t>95,455</w:t>
            </w:r>
          </w:p>
        </w:tc>
      </w:tr>
      <w:tr w:rsidR="00B02873" w:rsidRPr="00CF1D80" w14:paraId="516D894F" w14:textId="77777777" w:rsidTr="00CF1D80">
        <w:trPr>
          <w:trHeight w:val="60"/>
        </w:trPr>
        <w:tc>
          <w:tcPr>
            <w:tcW w:w="5382" w:type="dxa"/>
          </w:tcPr>
          <w:p w14:paraId="4FCAF962" w14:textId="77777777" w:rsidR="00B02873" w:rsidRPr="00CF1D80" w:rsidRDefault="00B02873" w:rsidP="00CF1D80">
            <w:pPr>
              <w:pStyle w:val="TablebodyleftFinancialsTables"/>
              <w:rPr>
                <w:rFonts w:asciiTheme="minorHAnsi" w:hAnsiTheme="minorHAnsi" w:cstheme="minorHAnsi"/>
              </w:rPr>
            </w:pPr>
            <w:r w:rsidRPr="00CF1D80">
              <w:rPr>
                <w:rFonts w:asciiTheme="minorHAnsi" w:hAnsiTheme="minorHAnsi" w:cstheme="minorHAnsi"/>
              </w:rPr>
              <w:t>Latrobe University</w:t>
            </w:r>
          </w:p>
        </w:tc>
        <w:tc>
          <w:tcPr>
            <w:tcW w:w="1611" w:type="dxa"/>
          </w:tcPr>
          <w:p w14:paraId="38CDFCF1" w14:textId="5EE1BCFF" w:rsidR="00B02873" w:rsidRPr="00CF1D80" w:rsidRDefault="00B02873" w:rsidP="00CF1D80">
            <w:pPr>
              <w:pStyle w:val="TablebodyleftFinancialsTables"/>
              <w:jc w:val="right"/>
              <w:rPr>
                <w:rFonts w:asciiTheme="minorHAnsi" w:hAnsiTheme="minorHAnsi" w:cstheme="minorHAnsi"/>
              </w:rPr>
            </w:pPr>
            <w:r w:rsidRPr="00CF1D80">
              <w:rPr>
                <w:rFonts w:asciiTheme="minorHAnsi" w:hAnsiTheme="minorHAnsi" w:cstheme="minorHAnsi"/>
              </w:rPr>
              <w:t>90,000</w:t>
            </w:r>
          </w:p>
        </w:tc>
      </w:tr>
      <w:tr w:rsidR="00B02873" w:rsidRPr="00CF1D80" w14:paraId="7BEFAC92" w14:textId="77777777" w:rsidTr="00CF1D80">
        <w:trPr>
          <w:trHeight w:val="60"/>
        </w:trPr>
        <w:tc>
          <w:tcPr>
            <w:tcW w:w="5382" w:type="dxa"/>
          </w:tcPr>
          <w:p w14:paraId="72397AC8" w14:textId="77777777" w:rsidR="00B02873" w:rsidRPr="00CF1D80" w:rsidRDefault="00B02873" w:rsidP="00CF1D80">
            <w:pPr>
              <w:pStyle w:val="TablebodyleftFinancialsTables"/>
              <w:rPr>
                <w:rFonts w:asciiTheme="minorHAnsi" w:hAnsiTheme="minorHAnsi" w:cstheme="minorHAnsi"/>
              </w:rPr>
            </w:pPr>
            <w:r w:rsidRPr="00CF1D80">
              <w:rPr>
                <w:rFonts w:asciiTheme="minorHAnsi" w:hAnsiTheme="minorHAnsi" w:cstheme="minorHAnsi"/>
              </w:rPr>
              <w:t>Gippsland Agricultural Group</w:t>
            </w:r>
          </w:p>
        </w:tc>
        <w:tc>
          <w:tcPr>
            <w:tcW w:w="1611" w:type="dxa"/>
          </w:tcPr>
          <w:p w14:paraId="222837C1" w14:textId="7F16E354" w:rsidR="00B02873" w:rsidRPr="00CF1D80" w:rsidRDefault="00B02873" w:rsidP="00CF1D80">
            <w:pPr>
              <w:pStyle w:val="TablebodyleftFinancialsTables"/>
              <w:jc w:val="right"/>
              <w:rPr>
                <w:rFonts w:asciiTheme="minorHAnsi" w:hAnsiTheme="minorHAnsi" w:cstheme="minorHAnsi"/>
              </w:rPr>
            </w:pPr>
            <w:r w:rsidRPr="00CF1D80">
              <w:rPr>
                <w:rFonts w:asciiTheme="minorHAnsi" w:hAnsiTheme="minorHAnsi" w:cstheme="minorHAnsi"/>
              </w:rPr>
              <w:t>69,091</w:t>
            </w:r>
          </w:p>
        </w:tc>
      </w:tr>
      <w:tr w:rsidR="00B02873" w:rsidRPr="00CF1D80" w14:paraId="08A728F5" w14:textId="77777777" w:rsidTr="00CF1D80">
        <w:trPr>
          <w:trHeight w:val="60"/>
        </w:trPr>
        <w:tc>
          <w:tcPr>
            <w:tcW w:w="5382" w:type="dxa"/>
          </w:tcPr>
          <w:p w14:paraId="34BC457D" w14:textId="77777777" w:rsidR="00B02873" w:rsidRPr="00CF1D80" w:rsidRDefault="00B02873" w:rsidP="00CF1D80">
            <w:pPr>
              <w:pStyle w:val="TablebodyleftFinancialsTables"/>
              <w:rPr>
                <w:rFonts w:asciiTheme="minorHAnsi" w:hAnsiTheme="minorHAnsi" w:cstheme="minorHAnsi"/>
              </w:rPr>
            </w:pPr>
            <w:r w:rsidRPr="00CF1D80">
              <w:rPr>
                <w:rFonts w:asciiTheme="minorHAnsi" w:hAnsiTheme="minorHAnsi" w:cstheme="minorHAnsi"/>
              </w:rPr>
              <w:t>Trentleck Pty Ltd</w:t>
            </w:r>
          </w:p>
        </w:tc>
        <w:tc>
          <w:tcPr>
            <w:tcW w:w="1611" w:type="dxa"/>
          </w:tcPr>
          <w:p w14:paraId="35C2AE58" w14:textId="4C6C5066" w:rsidR="00B02873" w:rsidRPr="00CF1D80" w:rsidRDefault="00B02873" w:rsidP="00CF1D80">
            <w:pPr>
              <w:pStyle w:val="TablebodyleftFinancialsTables"/>
              <w:jc w:val="right"/>
              <w:rPr>
                <w:rFonts w:asciiTheme="minorHAnsi" w:hAnsiTheme="minorHAnsi" w:cstheme="minorHAnsi"/>
              </w:rPr>
            </w:pPr>
            <w:r w:rsidRPr="00CF1D80">
              <w:rPr>
                <w:rFonts w:asciiTheme="minorHAnsi" w:hAnsiTheme="minorHAnsi" w:cstheme="minorHAnsi"/>
              </w:rPr>
              <w:t>67,000</w:t>
            </w:r>
          </w:p>
        </w:tc>
      </w:tr>
      <w:tr w:rsidR="00B02873" w:rsidRPr="00CF1D80" w14:paraId="08FCA4CE" w14:textId="77777777" w:rsidTr="00CF1D80">
        <w:trPr>
          <w:trHeight w:val="60"/>
        </w:trPr>
        <w:tc>
          <w:tcPr>
            <w:tcW w:w="5382" w:type="dxa"/>
          </w:tcPr>
          <w:p w14:paraId="0FDB0152" w14:textId="77777777" w:rsidR="00B02873" w:rsidRPr="00CF1D80" w:rsidRDefault="00B02873" w:rsidP="00CF1D80">
            <w:pPr>
              <w:pStyle w:val="TablebodyleftFinancialsTables"/>
              <w:rPr>
                <w:rFonts w:asciiTheme="minorHAnsi" w:hAnsiTheme="minorHAnsi" w:cstheme="minorHAnsi"/>
              </w:rPr>
            </w:pPr>
            <w:r w:rsidRPr="00CF1D80">
              <w:rPr>
                <w:rFonts w:asciiTheme="minorHAnsi" w:hAnsiTheme="minorHAnsi" w:cstheme="minorHAnsi"/>
              </w:rPr>
              <w:t>Maroondah City Council</w:t>
            </w:r>
          </w:p>
        </w:tc>
        <w:tc>
          <w:tcPr>
            <w:tcW w:w="1611" w:type="dxa"/>
          </w:tcPr>
          <w:p w14:paraId="5FCE50BF" w14:textId="4AC79EC4" w:rsidR="00B02873" w:rsidRPr="00CF1D80" w:rsidRDefault="00B02873" w:rsidP="00CF1D80">
            <w:pPr>
              <w:pStyle w:val="TablebodyleftFinancialsTables"/>
              <w:jc w:val="right"/>
              <w:rPr>
                <w:rFonts w:asciiTheme="minorHAnsi" w:hAnsiTheme="minorHAnsi" w:cstheme="minorHAnsi"/>
              </w:rPr>
            </w:pPr>
            <w:r w:rsidRPr="00CF1D80">
              <w:rPr>
                <w:rFonts w:asciiTheme="minorHAnsi" w:hAnsiTheme="minorHAnsi" w:cstheme="minorHAnsi"/>
              </w:rPr>
              <w:t>60,909</w:t>
            </w:r>
          </w:p>
        </w:tc>
      </w:tr>
      <w:tr w:rsidR="00B02873" w:rsidRPr="00CF1D80" w14:paraId="5ED28459" w14:textId="77777777" w:rsidTr="00CF1D80">
        <w:trPr>
          <w:trHeight w:val="60"/>
        </w:trPr>
        <w:tc>
          <w:tcPr>
            <w:tcW w:w="5382" w:type="dxa"/>
          </w:tcPr>
          <w:p w14:paraId="5F4B1826" w14:textId="77777777" w:rsidR="00B02873" w:rsidRPr="00CF1D80" w:rsidRDefault="00B02873" w:rsidP="00CF1D80">
            <w:pPr>
              <w:pStyle w:val="TablebodyleftFinancialsTables"/>
              <w:rPr>
                <w:rFonts w:asciiTheme="minorHAnsi" w:hAnsiTheme="minorHAnsi" w:cstheme="minorHAnsi"/>
              </w:rPr>
            </w:pPr>
            <w:r w:rsidRPr="00CF1D80">
              <w:rPr>
                <w:rFonts w:asciiTheme="minorHAnsi" w:hAnsiTheme="minorHAnsi" w:cstheme="minorHAnsi"/>
              </w:rPr>
              <w:t>Dja Dja Wurrung Clans Aboriginal Corporation</w:t>
            </w:r>
          </w:p>
        </w:tc>
        <w:tc>
          <w:tcPr>
            <w:tcW w:w="1611" w:type="dxa"/>
          </w:tcPr>
          <w:p w14:paraId="5EEA552D" w14:textId="37DA280C" w:rsidR="00B02873" w:rsidRPr="00CF1D80" w:rsidRDefault="00B02873" w:rsidP="00CF1D80">
            <w:pPr>
              <w:pStyle w:val="TablebodyleftFinancialsTables"/>
              <w:jc w:val="right"/>
              <w:rPr>
                <w:rFonts w:asciiTheme="minorHAnsi" w:hAnsiTheme="minorHAnsi" w:cstheme="minorHAnsi"/>
              </w:rPr>
            </w:pPr>
            <w:r w:rsidRPr="00CF1D80">
              <w:rPr>
                <w:rFonts w:asciiTheme="minorHAnsi" w:hAnsiTheme="minorHAnsi" w:cstheme="minorHAnsi"/>
              </w:rPr>
              <w:t>60,000</w:t>
            </w:r>
          </w:p>
        </w:tc>
      </w:tr>
      <w:tr w:rsidR="00B02873" w:rsidRPr="00CF1D80" w14:paraId="2CF1C7C0" w14:textId="77777777" w:rsidTr="00CF1D80">
        <w:trPr>
          <w:trHeight w:val="60"/>
        </w:trPr>
        <w:tc>
          <w:tcPr>
            <w:tcW w:w="5382" w:type="dxa"/>
          </w:tcPr>
          <w:p w14:paraId="4D2C44D7" w14:textId="77777777" w:rsidR="00B02873" w:rsidRPr="00CF1D80" w:rsidRDefault="00B02873" w:rsidP="00CF1D80">
            <w:pPr>
              <w:pStyle w:val="TablebodyleftFinancialsTables"/>
              <w:rPr>
                <w:rFonts w:asciiTheme="minorHAnsi" w:hAnsiTheme="minorHAnsi" w:cstheme="minorHAnsi"/>
              </w:rPr>
            </w:pPr>
            <w:r w:rsidRPr="00CF1D80">
              <w:rPr>
                <w:rFonts w:asciiTheme="minorHAnsi" w:hAnsiTheme="minorHAnsi" w:cstheme="minorHAnsi"/>
              </w:rPr>
              <w:t>Ararat Landcare Group Inc</w:t>
            </w:r>
          </w:p>
        </w:tc>
        <w:tc>
          <w:tcPr>
            <w:tcW w:w="1611" w:type="dxa"/>
          </w:tcPr>
          <w:p w14:paraId="3659C545" w14:textId="5B190C03" w:rsidR="00B02873" w:rsidRPr="00CF1D80" w:rsidRDefault="00B02873" w:rsidP="00CF1D80">
            <w:pPr>
              <w:pStyle w:val="TablebodyleftFinancialsTables"/>
              <w:jc w:val="right"/>
              <w:rPr>
                <w:rFonts w:asciiTheme="minorHAnsi" w:hAnsiTheme="minorHAnsi" w:cstheme="minorHAnsi"/>
              </w:rPr>
            </w:pPr>
            <w:r w:rsidRPr="00CF1D80">
              <w:rPr>
                <w:rFonts w:asciiTheme="minorHAnsi" w:hAnsiTheme="minorHAnsi" w:cstheme="minorHAnsi"/>
              </w:rPr>
              <w:t>55,500</w:t>
            </w:r>
          </w:p>
        </w:tc>
      </w:tr>
      <w:tr w:rsidR="00B02873" w:rsidRPr="00CF1D80" w14:paraId="49DBB4F2" w14:textId="77777777" w:rsidTr="00CF1D80">
        <w:trPr>
          <w:trHeight w:val="60"/>
        </w:trPr>
        <w:tc>
          <w:tcPr>
            <w:tcW w:w="5382" w:type="dxa"/>
          </w:tcPr>
          <w:p w14:paraId="5288E8DD" w14:textId="77777777" w:rsidR="00B02873" w:rsidRPr="00CF1D80" w:rsidRDefault="00B02873" w:rsidP="00CF1D80">
            <w:pPr>
              <w:pStyle w:val="TablebodyleftFinancialsTables"/>
              <w:rPr>
                <w:rFonts w:asciiTheme="minorHAnsi" w:hAnsiTheme="minorHAnsi" w:cstheme="minorHAnsi"/>
              </w:rPr>
            </w:pPr>
            <w:r w:rsidRPr="00CF1D80">
              <w:rPr>
                <w:rFonts w:asciiTheme="minorHAnsi" w:hAnsiTheme="minorHAnsi" w:cstheme="minorHAnsi"/>
              </w:rPr>
              <w:t>Greater Shepparton City Council</w:t>
            </w:r>
          </w:p>
        </w:tc>
        <w:tc>
          <w:tcPr>
            <w:tcW w:w="1611" w:type="dxa"/>
          </w:tcPr>
          <w:p w14:paraId="695A5780" w14:textId="6334E8B7" w:rsidR="00B02873" w:rsidRPr="00CF1D80" w:rsidRDefault="00B02873" w:rsidP="00CF1D80">
            <w:pPr>
              <w:pStyle w:val="TablebodyleftFinancialsTables"/>
              <w:jc w:val="right"/>
              <w:rPr>
                <w:rFonts w:asciiTheme="minorHAnsi" w:hAnsiTheme="minorHAnsi" w:cstheme="minorHAnsi"/>
              </w:rPr>
            </w:pPr>
            <w:r w:rsidRPr="00CF1D80">
              <w:rPr>
                <w:rFonts w:asciiTheme="minorHAnsi" w:hAnsiTheme="minorHAnsi" w:cstheme="minorHAnsi"/>
              </w:rPr>
              <w:t>49,500</w:t>
            </w:r>
          </w:p>
        </w:tc>
      </w:tr>
      <w:tr w:rsidR="00B02873" w:rsidRPr="00CF1D80" w14:paraId="1AD603F4" w14:textId="77777777" w:rsidTr="00CF1D80">
        <w:trPr>
          <w:trHeight w:val="60"/>
        </w:trPr>
        <w:tc>
          <w:tcPr>
            <w:tcW w:w="5382" w:type="dxa"/>
          </w:tcPr>
          <w:p w14:paraId="0CB993E4" w14:textId="77777777" w:rsidR="00B02873" w:rsidRPr="00CF1D80" w:rsidRDefault="00B02873" w:rsidP="00CF1D80">
            <w:pPr>
              <w:pStyle w:val="TablebodyleftFinancialsTables"/>
              <w:rPr>
                <w:rFonts w:asciiTheme="minorHAnsi" w:hAnsiTheme="minorHAnsi" w:cstheme="minorHAnsi"/>
              </w:rPr>
            </w:pPr>
            <w:r w:rsidRPr="00CF1D80">
              <w:rPr>
                <w:rFonts w:asciiTheme="minorHAnsi" w:hAnsiTheme="minorHAnsi" w:cstheme="minorHAnsi"/>
              </w:rPr>
              <w:t>South East Councils Climate Change Alliance (SECCCA)</w:t>
            </w:r>
          </w:p>
        </w:tc>
        <w:tc>
          <w:tcPr>
            <w:tcW w:w="1611" w:type="dxa"/>
          </w:tcPr>
          <w:p w14:paraId="466B3B7D" w14:textId="0032A2FB" w:rsidR="00B02873" w:rsidRPr="00CF1D80" w:rsidRDefault="00B02873" w:rsidP="00CF1D80">
            <w:pPr>
              <w:pStyle w:val="TablebodyleftFinancialsTables"/>
              <w:jc w:val="right"/>
              <w:rPr>
                <w:rFonts w:asciiTheme="minorHAnsi" w:hAnsiTheme="minorHAnsi" w:cstheme="minorHAnsi"/>
              </w:rPr>
            </w:pPr>
            <w:r w:rsidRPr="00CF1D80">
              <w:rPr>
                <w:rFonts w:asciiTheme="minorHAnsi" w:hAnsiTheme="minorHAnsi" w:cstheme="minorHAnsi"/>
              </w:rPr>
              <w:t>40,000</w:t>
            </w:r>
          </w:p>
        </w:tc>
      </w:tr>
      <w:tr w:rsidR="00B02873" w:rsidRPr="00CF1D80" w14:paraId="033C100B" w14:textId="77777777" w:rsidTr="00CF1D80">
        <w:trPr>
          <w:trHeight w:val="60"/>
        </w:trPr>
        <w:tc>
          <w:tcPr>
            <w:tcW w:w="5382" w:type="dxa"/>
          </w:tcPr>
          <w:p w14:paraId="1F625D71" w14:textId="77777777" w:rsidR="00B02873" w:rsidRPr="00CF1D80" w:rsidRDefault="00B02873" w:rsidP="00CF1D80">
            <w:pPr>
              <w:pStyle w:val="TablebodyleftFinancialsTables"/>
              <w:rPr>
                <w:rFonts w:asciiTheme="minorHAnsi" w:hAnsiTheme="minorHAnsi" w:cstheme="minorHAnsi"/>
              </w:rPr>
            </w:pPr>
            <w:r w:rsidRPr="00CF1D80">
              <w:rPr>
                <w:rFonts w:asciiTheme="minorHAnsi" w:hAnsiTheme="minorHAnsi" w:cstheme="minorHAnsi"/>
              </w:rPr>
              <w:t>Stipa Native Grasses Association Inc</w:t>
            </w:r>
          </w:p>
        </w:tc>
        <w:tc>
          <w:tcPr>
            <w:tcW w:w="1611" w:type="dxa"/>
          </w:tcPr>
          <w:p w14:paraId="1BA77B90" w14:textId="5B6EE9A7" w:rsidR="00B02873" w:rsidRPr="00CF1D80" w:rsidRDefault="00B02873" w:rsidP="00CF1D80">
            <w:pPr>
              <w:pStyle w:val="TablebodyleftFinancialsTables"/>
              <w:jc w:val="right"/>
              <w:rPr>
                <w:rFonts w:asciiTheme="minorHAnsi" w:hAnsiTheme="minorHAnsi" w:cstheme="minorHAnsi"/>
              </w:rPr>
            </w:pPr>
            <w:r w:rsidRPr="00CF1D80">
              <w:rPr>
                <w:rFonts w:asciiTheme="minorHAnsi" w:hAnsiTheme="minorHAnsi" w:cstheme="minorHAnsi"/>
              </w:rPr>
              <w:t>37,500</w:t>
            </w:r>
          </w:p>
        </w:tc>
      </w:tr>
      <w:tr w:rsidR="00B02873" w:rsidRPr="00CF1D80" w14:paraId="771A88E1" w14:textId="77777777" w:rsidTr="00CF1D80">
        <w:trPr>
          <w:trHeight w:val="60"/>
        </w:trPr>
        <w:tc>
          <w:tcPr>
            <w:tcW w:w="5382" w:type="dxa"/>
          </w:tcPr>
          <w:p w14:paraId="32402979" w14:textId="77777777" w:rsidR="00B02873" w:rsidRPr="00CF1D80" w:rsidRDefault="00B02873" w:rsidP="00CF1D80">
            <w:pPr>
              <w:pStyle w:val="TablebodyleftFinancialsTables"/>
              <w:rPr>
                <w:rFonts w:asciiTheme="minorHAnsi" w:hAnsiTheme="minorHAnsi" w:cstheme="minorHAnsi"/>
              </w:rPr>
            </w:pPr>
            <w:r w:rsidRPr="00CF1D80">
              <w:rPr>
                <w:rFonts w:asciiTheme="minorHAnsi" w:hAnsiTheme="minorHAnsi" w:cstheme="minorHAnsi"/>
              </w:rPr>
              <w:t>Federation University Australia</w:t>
            </w:r>
          </w:p>
        </w:tc>
        <w:tc>
          <w:tcPr>
            <w:tcW w:w="1611" w:type="dxa"/>
          </w:tcPr>
          <w:p w14:paraId="6283D8A1" w14:textId="1D2DBC04" w:rsidR="00B02873" w:rsidRPr="00CF1D80" w:rsidRDefault="00B02873" w:rsidP="00CF1D80">
            <w:pPr>
              <w:pStyle w:val="TablebodyleftFinancialsTables"/>
              <w:jc w:val="right"/>
              <w:rPr>
                <w:rFonts w:asciiTheme="minorHAnsi" w:hAnsiTheme="minorHAnsi" w:cstheme="minorHAnsi"/>
              </w:rPr>
            </w:pPr>
            <w:r w:rsidRPr="00CF1D80">
              <w:rPr>
                <w:rFonts w:asciiTheme="minorHAnsi" w:hAnsiTheme="minorHAnsi" w:cstheme="minorHAnsi"/>
              </w:rPr>
              <w:t>30,129</w:t>
            </w:r>
          </w:p>
        </w:tc>
      </w:tr>
      <w:tr w:rsidR="00B02873" w:rsidRPr="00CF1D80" w14:paraId="5EFC4425" w14:textId="77777777" w:rsidTr="00CF1D80">
        <w:trPr>
          <w:trHeight w:val="60"/>
        </w:trPr>
        <w:tc>
          <w:tcPr>
            <w:tcW w:w="5382" w:type="dxa"/>
          </w:tcPr>
          <w:p w14:paraId="50020B42" w14:textId="77777777" w:rsidR="00B02873" w:rsidRPr="00CF1D80" w:rsidRDefault="00B02873" w:rsidP="00CF1D80">
            <w:pPr>
              <w:pStyle w:val="TablebodyleftFinancialsTables"/>
              <w:rPr>
                <w:rFonts w:asciiTheme="minorHAnsi" w:hAnsiTheme="minorHAnsi" w:cstheme="minorHAnsi"/>
              </w:rPr>
            </w:pPr>
            <w:r w:rsidRPr="00CF1D80">
              <w:rPr>
                <w:rFonts w:asciiTheme="minorHAnsi" w:hAnsiTheme="minorHAnsi" w:cstheme="minorHAnsi"/>
              </w:rPr>
              <w:t>Barwon South West Climate Alliance</w:t>
            </w:r>
          </w:p>
        </w:tc>
        <w:tc>
          <w:tcPr>
            <w:tcW w:w="1611" w:type="dxa"/>
          </w:tcPr>
          <w:p w14:paraId="7976D5FD" w14:textId="5DDB7C43" w:rsidR="00B02873" w:rsidRPr="00CF1D80" w:rsidRDefault="00B02873" w:rsidP="00CF1D80">
            <w:pPr>
              <w:pStyle w:val="TablebodyleftFinancialsTables"/>
              <w:jc w:val="right"/>
              <w:rPr>
                <w:rFonts w:asciiTheme="minorHAnsi" w:hAnsiTheme="minorHAnsi" w:cstheme="minorHAnsi"/>
              </w:rPr>
            </w:pPr>
            <w:r w:rsidRPr="00CF1D80">
              <w:rPr>
                <w:rFonts w:asciiTheme="minorHAnsi" w:hAnsiTheme="minorHAnsi" w:cstheme="minorHAnsi"/>
              </w:rPr>
              <w:t>30,000</w:t>
            </w:r>
          </w:p>
        </w:tc>
      </w:tr>
      <w:tr w:rsidR="00B02873" w:rsidRPr="00CF1D80" w14:paraId="3A840C17" w14:textId="77777777" w:rsidTr="00CF1D80">
        <w:trPr>
          <w:trHeight w:val="60"/>
        </w:trPr>
        <w:tc>
          <w:tcPr>
            <w:tcW w:w="5382" w:type="dxa"/>
          </w:tcPr>
          <w:p w14:paraId="0ECF1563" w14:textId="77777777" w:rsidR="00B02873" w:rsidRPr="00CF1D80" w:rsidRDefault="00B02873" w:rsidP="00CF1D80">
            <w:pPr>
              <w:pStyle w:val="TablebodyleftFinancialsTables"/>
              <w:rPr>
                <w:rFonts w:asciiTheme="minorHAnsi" w:hAnsiTheme="minorHAnsi" w:cstheme="minorHAnsi"/>
              </w:rPr>
            </w:pPr>
            <w:r w:rsidRPr="00CF1D80">
              <w:rPr>
                <w:rFonts w:asciiTheme="minorHAnsi" w:hAnsiTheme="minorHAnsi" w:cstheme="minorHAnsi"/>
              </w:rPr>
              <w:t>Goulburn Broken Catchment Management Authority</w:t>
            </w:r>
          </w:p>
        </w:tc>
        <w:tc>
          <w:tcPr>
            <w:tcW w:w="1611" w:type="dxa"/>
          </w:tcPr>
          <w:p w14:paraId="3974378E" w14:textId="1B7B3F96" w:rsidR="00B02873" w:rsidRPr="00CF1D80" w:rsidRDefault="00B02873" w:rsidP="00CF1D80">
            <w:pPr>
              <w:pStyle w:val="TablebodyleftFinancialsTables"/>
              <w:jc w:val="right"/>
              <w:rPr>
                <w:rFonts w:asciiTheme="minorHAnsi" w:hAnsiTheme="minorHAnsi" w:cstheme="minorHAnsi"/>
              </w:rPr>
            </w:pPr>
            <w:r w:rsidRPr="00CF1D80">
              <w:rPr>
                <w:rFonts w:asciiTheme="minorHAnsi" w:hAnsiTheme="minorHAnsi" w:cstheme="minorHAnsi"/>
              </w:rPr>
              <w:t>30,000</w:t>
            </w:r>
          </w:p>
        </w:tc>
      </w:tr>
      <w:tr w:rsidR="00B02873" w:rsidRPr="00CF1D80" w14:paraId="6BD1A599" w14:textId="77777777" w:rsidTr="00CF1D80">
        <w:trPr>
          <w:trHeight w:val="60"/>
        </w:trPr>
        <w:tc>
          <w:tcPr>
            <w:tcW w:w="5382" w:type="dxa"/>
          </w:tcPr>
          <w:p w14:paraId="76D0AF76" w14:textId="77777777" w:rsidR="00B02873" w:rsidRPr="00CF1D80" w:rsidRDefault="00B02873" w:rsidP="00CF1D80">
            <w:pPr>
              <w:pStyle w:val="TablebodyleftFinancialsTables"/>
              <w:rPr>
                <w:rFonts w:asciiTheme="minorHAnsi" w:hAnsiTheme="minorHAnsi" w:cstheme="minorHAnsi"/>
              </w:rPr>
            </w:pPr>
            <w:r w:rsidRPr="00CF1D80">
              <w:rPr>
                <w:rFonts w:asciiTheme="minorHAnsi" w:hAnsiTheme="minorHAnsi" w:cstheme="minorHAnsi"/>
              </w:rPr>
              <w:t>West Wimmera Health Services</w:t>
            </w:r>
          </w:p>
        </w:tc>
        <w:tc>
          <w:tcPr>
            <w:tcW w:w="1611" w:type="dxa"/>
          </w:tcPr>
          <w:p w14:paraId="3EE82B4B" w14:textId="464FD954" w:rsidR="00B02873" w:rsidRPr="00CF1D80" w:rsidRDefault="00B02873" w:rsidP="00CF1D80">
            <w:pPr>
              <w:pStyle w:val="TablebodyleftFinancialsTables"/>
              <w:jc w:val="right"/>
              <w:rPr>
                <w:rFonts w:asciiTheme="minorHAnsi" w:hAnsiTheme="minorHAnsi" w:cstheme="minorHAnsi"/>
              </w:rPr>
            </w:pPr>
            <w:r w:rsidRPr="00CF1D80">
              <w:rPr>
                <w:rFonts w:asciiTheme="minorHAnsi" w:hAnsiTheme="minorHAnsi" w:cstheme="minorHAnsi"/>
              </w:rPr>
              <w:t>30,000</w:t>
            </w:r>
          </w:p>
        </w:tc>
      </w:tr>
      <w:tr w:rsidR="00B02873" w:rsidRPr="00CF1D80" w14:paraId="0E19CD2A" w14:textId="77777777" w:rsidTr="00CF1D80">
        <w:trPr>
          <w:trHeight w:val="60"/>
        </w:trPr>
        <w:tc>
          <w:tcPr>
            <w:tcW w:w="5382" w:type="dxa"/>
          </w:tcPr>
          <w:p w14:paraId="64CAD81D" w14:textId="77777777" w:rsidR="00B02873" w:rsidRPr="00CF1D80" w:rsidRDefault="00B02873" w:rsidP="00CF1D80">
            <w:pPr>
              <w:pStyle w:val="TablebodyleftFinancialsTables"/>
              <w:rPr>
                <w:rFonts w:asciiTheme="minorHAnsi" w:hAnsiTheme="minorHAnsi" w:cstheme="minorHAnsi"/>
              </w:rPr>
            </w:pPr>
            <w:r w:rsidRPr="00CF1D80">
              <w:rPr>
                <w:rFonts w:asciiTheme="minorHAnsi" w:hAnsiTheme="minorHAnsi" w:cstheme="minorHAnsi"/>
              </w:rPr>
              <w:t>Golden Plains Shire Council</w:t>
            </w:r>
          </w:p>
        </w:tc>
        <w:tc>
          <w:tcPr>
            <w:tcW w:w="1611" w:type="dxa"/>
          </w:tcPr>
          <w:p w14:paraId="54D1C25A" w14:textId="49687F86" w:rsidR="00B02873" w:rsidRPr="00CF1D80" w:rsidRDefault="00B02873" w:rsidP="00CF1D80">
            <w:pPr>
              <w:pStyle w:val="TablebodyleftFinancialsTables"/>
              <w:jc w:val="right"/>
              <w:rPr>
                <w:rFonts w:asciiTheme="minorHAnsi" w:hAnsiTheme="minorHAnsi" w:cstheme="minorHAnsi"/>
              </w:rPr>
            </w:pPr>
            <w:r w:rsidRPr="00CF1D80">
              <w:rPr>
                <w:rFonts w:asciiTheme="minorHAnsi" w:hAnsiTheme="minorHAnsi" w:cstheme="minorHAnsi"/>
              </w:rPr>
              <w:t>30,000</w:t>
            </w:r>
          </w:p>
        </w:tc>
      </w:tr>
      <w:tr w:rsidR="00B02873" w:rsidRPr="00CF1D80" w14:paraId="001A3D28" w14:textId="77777777" w:rsidTr="00CF1D80">
        <w:trPr>
          <w:trHeight w:val="60"/>
        </w:trPr>
        <w:tc>
          <w:tcPr>
            <w:tcW w:w="5382" w:type="dxa"/>
          </w:tcPr>
          <w:p w14:paraId="0EE08F44" w14:textId="77777777" w:rsidR="00B02873" w:rsidRPr="00CF1D80" w:rsidRDefault="00B02873" w:rsidP="00CF1D80">
            <w:pPr>
              <w:pStyle w:val="TablebodyleftFinancialsTables"/>
              <w:rPr>
                <w:rFonts w:asciiTheme="minorHAnsi" w:hAnsiTheme="minorHAnsi" w:cstheme="minorHAnsi"/>
              </w:rPr>
            </w:pPr>
            <w:r w:rsidRPr="00CF1D80">
              <w:rPr>
                <w:rFonts w:asciiTheme="minorHAnsi" w:hAnsiTheme="minorHAnsi" w:cstheme="minorHAnsi"/>
              </w:rPr>
              <w:t>Energy Innovation Co-Operative Ltd</w:t>
            </w:r>
          </w:p>
        </w:tc>
        <w:tc>
          <w:tcPr>
            <w:tcW w:w="1611" w:type="dxa"/>
          </w:tcPr>
          <w:p w14:paraId="57E4D05C" w14:textId="6242C67F" w:rsidR="00B02873" w:rsidRPr="00CF1D80" w:rsidRDefault="00B02873" w:rsidP="00CF1D80">
            <w:pPr>
              <w:pStyle w:val="TablebodyleftFinancialsTables"/>
              <w:jc w:val="right"/>
              <w:rPr>
                <w:rFonts w:asciiTheme="minorHAnsi" w:hAnsiTheme="minorHAnsi" w:cstheme="minorHAnsi"/>
              </w:rPr>
            </w:pPr>
            <w:r w:rsidRPr="00CF1D80">
              <w:rPr>
                <w:rFonts w:asciiTheme="minorHAnsi" w:hAnsiTheme="minorHAnsi" w:cstheme="minorHAnsi"/>
              </w:rPr>
              <w:t>28,045</w:t>
            </w:r>
          </w:p>
        </w:tc>
      </w:tr>
      <w:tr w:rsidR="00B02873" w:rsidRPr="00CF1D80" w14:paraId="664EFD0C" w14:textId="77777777" w:rsidTr="00CF1D80">
        <w:trPr>
          <w:trHeight w:val="60"/>
        </w:trPr>
        <w:tc>
          <w:tcPr>
            <w:tcW w:w="5382" w:type="dxa"/>
          </w:tcPr>
          <w:p w14:paraId="09A8D1F2" w14:textId="77777777" w:rsidR="00B02873" w:rsidRPr="00CF1D80" w:rsidRDefault="00B02873" w:rsidP="00CF1D80">
            <w:pPr>
              <w:pStyle w:val="TablebodyleftFinancialsTables"/>
              <w:rPr>
                <w:rFonts w:asciiTheme="minorHAnsi" w:hAnsiTheme="minorHAnsi" w:cstheme="minorHAnsi"/>
              </w:rPr>
            </w:pPr>
            <w:r w:rsidRPr="00CF1D80">
              <w:rPr>
                <w:rFonts w:asciiTheme="minorHAnsi" w:hAnsiTheme="minorHAnsi" w:cstheme="minorHAnsi"/>
              </w:rPr>
              <w:t>North East Catchment Management Authority</w:t>
            </w:r>
          </w:p>
        </w:tc>
        <w:tc>
          <w:tcPr>
            <w:tcW w:w="1611" w:type="dxa"/>
          </w:tcPr>
          <w:p w14:paraId="2C8ADD0D" w14:textId="5E5DF4C4" w:rsidR="00B02873" w:rsidRPr="00CF1D80" w:rsidRDefault="00B02873" w:rsidP="00CF1D80">
            <w:pPr>
              <w:pStyle w:val="TablebodyleftFinancialsTables"/>
              <w:jc w:val="right"/>
              <w:rPr>
                <w:rFonts w:asciiTheme="minorHAnsi" w:hAnsiTheme="minorHAnsi" w:cstheme="minorHAnsi"/>
              </w:rPr>
            </w:pPr>
            <w:r w:rsidRPr="00CF1D80">
              <w:rPr>
                <w:rFonts w:asciiTheme="minorHAnsi" w:hAnsiTheme="minorHAnsi" w:cstheme="minorHAnsi"/>
              </w:rPr>
              <w:t>28,000</w:t>
            </w:r>
          </w:p>
        </w:tc>
      </w:tr>
      <w:tr w:rsidR="00B02873" w:rsidRPr="00CF1D80" w14:paraId="2B248863" w14:textId="77777777" w:rsidTr="00CF1D80">
        <w:trPr>
          <w:trHeight w:val="60"/>
        </w:trPr>
        <w:tc>
          <w:tcPr>
            <w:tcW w:w="5382" w:type="dxa"/>
          </w:tcPr>
          <w:p w14:paraId="7F4EB54C" w14:textId="77777777" w:rsidR="00B02873" w:rsidRPr="00CF1D80" w:rsidRDefault="00B02873" w:rsidP="00CF1D80">
            <w:pPr>
              <w:pStyle w:val="TablebodyleftFinancialsTables"/>
              <w:rPr>
                <w:rFonts w:asciiTheme="minorHAnsi" w:hAnsiTheme="minorHAnsi" w:cstheme="minorHAnsi"/>
              </w:rPr>
            </w:pPr>
            <w:r w:rsidRPr="00CF1D80">
              <w:rPr>
                <w:rFonts w:asciiTheme="minorHAnsi" w:hAnsiTheme="minorHAnsi" w:cstheme="minorHAnsi"/>
              </w:rPr>
              <w:t>Buloke and Northern Grampians Landcare Network</w:t>
            </w:r>
          </w:p>
        </w:tc>
        <w:tc>
          <w:tcPr>
            <w:tcW w:w="1611" w:type="dxa"/>
          </w:tcPr>
          <w:p w14:paraId="098E1767" w14:textId="4113E607" w:rsidR="00B02873" w:rsidRPr="00CF1D80" w:rsidRDefault="00B02873" w:rsidP="00CF1D80">
            <w:pPr>
              <w:pStyle w:val="TablebodyleftFinancialsTables"/>
              <w:jc w:val="right"/>
              <w:rPr>
                <w:rFonts w:asciiTheme="minorHAnsi" w:hAnsiTheme="minorHAnsi" w:cstheme="minorHAnsi"/>
              </w:rPr>
            </w:pPr>
            <w:r w:rsidRPr="00CF1D80">
              <w:rPr>
                <w:rFonts w:asciiTheme="minorHAnsi" w:hAnsiTheme="minorHAnsi" w:cstheme="minorHAnsi"/>
              </w:rPr>
              <w:t>27,000</w:t>
            </w:r>
          </w:p>
        </w:tc>
      </w:tr>
      <w:tr w:rsidR="00B02873" w:rsidRPr="00CF1D80" w14:paraId="7DB97575" w14:textId="77777777" w:rsidTr="00CF1D80">
        <w:trPr>
          <w:trHeight w:val="60"/>
        </w:trPr>
        <w:tc>
          <w:tcPr>
            <w:tcW w:w="5382" w:type="dxa"/>
          </w:tcPr>
          <w:p w14:paraId="3390F9C2" w14:textId="77777777" w:rsidR="00B02873" w:rsidRPr="00CF1D80" w:rsidRDefault="00B02873" w:rsidP="00CF1D80">
            <w:pPr>
              <w:pStyle w:val="TablebodyleftFinancialsTables"/>
              <w:rPr>
                <w:rFonts w:asciiTheme="minorHAnsi" w:hAnsiTheme="minorHAnsi" w:cstheme="minorHAnsi"/>
              </w:rPr>
            </w:pPr>
            <w:r w:rsidRPr="00CF1D80">
              <w:rPr>
                <w:rFonts w:asciiTheme="minorHAnsi" w:hAnsiTheme="minorHAnsi" w:cstheme="minorHAnsi"/>
              </w:rPr>
              <w:t>Nepean Conservation Group</w:t>
            </w:r>
          </w:p>
        </w:tc>
        <w:tc>
          <w:tcPr>
            <w:tcW w:w="1611" w:type="dxa"/>
          </w:tcPr>
          <w:p w14:paraId="5BCA5F5E" w14:textId="61EAAE95" w:rsidR="00B02873" w:rsidRPr="00CF1D80" w:rsidRDefault="00B02873" w:rsidP="00CF1D80">
            <w:pPr>
              <w:pStyle w:val="TablebodyleftFinancialsTables"/>
              <w:jc w:val="right"/>
              <w:rPr>
                <w:rFonts w:asciiTheme="minorHAnsi" w:hAnsiTheme="minorHAnsi" w:cstheme="minorHAnsi"/>
              </w:rPr>
            </w:pPr>
            <w:r w:rsidRPr="00CF1D80">
              <w:rPr>
                <w:rFonts w:asciiTheme="minorHAnsi" w:hAnsiTheme="minorHAnsi" w:cstheme="minorHAnsi"/>
              </w:rPr>
              <w:t>27,000</w:t>
            </w:r>
          </w:p>
        </w:tc>
      </w:tr>
      <w:tr w:rsidR="00B02873" w:rsidRPr="00CF1D80" w14:paraId="3C02591B" w14:textId="77777777" w:rsidTr="00CF1D80">
        <w:trPr>
          <w:trHeight w:val="60"/>
        </w:trPr>
        <w:tc>
          <w:tcPr>
            <w:tcW w:w="5382" w:type="dxa"/>
          </w:tcPr>
          <w:p w14:paraId="4EDC0150" w14:textId="77777777" w:rsidR="00B02873" w:rsidRPr="00CF1D80" w:rsidRDefault="00B02873" w:rsidP="00CF1D80">
            <w:pPr>
              <w:pStyle w:val="TablebodyleftFinancialsTables"/>
              <w:rPr>
                <w:rFonts w:asciiTheme="minorHAnsi" w:hAnsiTheme="minorHAnsi" w:cstheme="minorHAnsi"/>
              </w:rPr>
            </w:pPr>
            <w:r w:rsidRPr="00CF1D80">
              <w:rPr>
                <w:rFonts w:asciiTheme="minorHAnsi" w:hAnsiTheme="minorHAnsi" w:cstheme="minorHAnsi"/>
              </w:rPr>
              <w:t>Victorian National Parks Association</w:t>
            </w:r>
          </w:p>
        </w:tc>
        <w:tc>
          <w:tcPr>
            <w:tcW w:w="1611" w:type="dxa"/>
          </w:tcPr>
          <w:p w14:paraId="692B44FC" w14:textId="298782EB" w:rsidR="00B02873" w:rsidRPr="00CF1D80" w:rsidRDefault="00B02873" w:rsidP="00CF1D80">
            <w:pPr>
              <w:pStyle w:val="TablebodyleftFinancialsTables"/>
              <w:jc w:val="right"/>
              <w:rPr>
                <w:rFonts w:asciiTheme="minorHAnsi" w:hAnsiTheme="minorHAnsi" w:cstheme="minorHAnsi"/>
              </w:rPr>
            </w:pPr>
            <w:r w:rsidRPr="00CF1D80">
              <w:rPr>
                <w:rFonts w:asciiTheme="minorHAnsi" w:hAnsiTheme="minorHAnsi" w:cstheme="minorHAnsi"/>
              </w:rPr>
              <w:t>26,992</w:t>
            </w:r>
          </w:p>
        </w:tc>
      </w:tr>
      <w:tr w:rsidR="00B02873" w:rsidRPr="00CF1D80" w14:paraId="5E1B6F6B" w14:textId="77777777" w:rsidTr="00CF1D80">
        <w:trPr>
          <w:trHeight w:val="60"/>
        </w:trPr>
        <w:tc>
          <w:tcPr>
            <w:tcW w:w="5382" w:type="dxa"/>
          </w:tcPr>
          <w:p w14:paraId="41212751" w14:textId="77777777" w:rsidR="00B02873" w:rsidRPr="00CF1D80" w:rsidRDefault="00B02873" w:rsidP="00CF1D80">
            <w:pPr>
              <w:pStyle w:val="TablebodyleftFinancialsTables"/>
              <w:rPr>
                <w:rFonts w:asciiTheme="minorHAnsi" w:hAnsiTheme="minorHAnsi" w:cstheme="minorHAnsi"/>
              </w:rPr>
            </w:pPr>
            <w:r w:rsidRPr="00CF1D80">
              <w:rPr>
                <w:rFonts w:asciiTheme="minorHAnsi" w:hAnsiTheme="minorHAnsi" w:cstheme="minorHAnsi"/>
              </w:rPr>
              <w:t>Bass Coast Landcare Network Inc</w:t>
            </w:r>
          </w:p>
        </w:tc>
        <w:tc>
          <w:tcPr>
            <w:tcW w:w="1611" w:type="dxa"/>
          </w:tcPr>
          <w:p w14:paraId="2FEE2558" w14:textId="3E14F179" w:rsidR="00B02873" w:rsidRPr="00CF1D80" w:rsidRDefault="00B02873" w:rsidP="00CF1D80">
            <w:pPr>
              <w:pStyle w:val="TablebodyleftFinancialsTables"/>
              <w:jc w:val="right"/>
              <w:rPr>
                <w:rFonts w:asciiTheme="minorHAnsi" w:hAnsiTheme="minorHAnsi" w:cstheme="minorHAnsi"/>
              </w:rPr>
            </w:pPr>
            <w:r w:rsidRPr="00CF1D80">
              <w:rPr>
                <w:rFonts w:asciiTheme="minorHAnsi" w:hAnsiTheme="minorHAnsi" w:cstheme="minorHAnsi"/>
              </w:rPr>
              <w:t>26,364</w:t>
            </w:r>
          </w:p>
        </w:tc>
      </w:tr>
      <w:tr w:rsidR="00B02873" w:rsidRPr="00CF1D80" w14:paraId="1BF5BAD3" w14:textId="77777777" w:rsidTr="00CF1D80">
        <w:trPr>
          <w:trHeight w:val="60"/>
        </w:trPr>
        <w:tc>
          <w:tcPr>
            <w:tcW w:w="5382" w:type="dxa"/>
          </w:tcPr>
          <w:p w14:paraId="5D8E3C87" w14:textId="77777777" w:rsidR="00B02873" w:rsidRPr="00CF1D80" w:rsidRDefault="00B02873" w:rsidP="00CF1D80">
            <w:pPr>
              <w:pStyle w:val="TablebodyleftFinancialsTables"/>
              <w:rPr>
                <w:rFonts w:asciiTheme="minorHAnsi" w:hAnsiTheme="minorHAnsi" w:cstheme="minorHAnsi"/>
              </w:rPr>
            </w:pPr>
            <w:r w:rsidRPr="00CF1D80">
              <w:rPr>
                <w:rFonts w:asciiTheme="minorHAnsi" w:hAnsiTheme="minorHAnsi" w:cstheme="minorHAnsi"/>
              </w:rPr>
              <w:t>Jawbone Marine Sanctuary Care Group Inc</w:t>
            </w:r>
          </w:p>
        </w:tc>
        <w:tc>
          <w:tcPr>
            <w:tcW w:w="1611" w:type="dxa"/>
          </w:tcPr>
          <w:p w14:paraId="34B4ED05" w14:textId="0EC8516B" w:rsidR="00B02873" w:rsidRPr="00CF1D80" w:rsidRDefault="00B02873" w:rsidP="00CF1D80">
            <w:pPr>
              <w:pStyle w:val="TablebodyleftFinancialsTables"/>
              <w:jc w:val="right"/>
              <w:rPr>
                <w:rFonts w:asciiTheme="minorHAnsi" w:hAnsiTheme="minorHAnsi" w:cstheme="minorHAnsi"/>
              </w:rPr>
            </w:pPr>
            <w:r w:rsidRPr="00CF1D80">
              <w:rPr>
                <w:rFonts w:asciiTheme="minorHAnsi" w:hAnsiTheme="minorHAnsi" w:cstheme="minorHAnsi"/>
              </w:rPr>
              <w:t>24,195</w:t>
            </w:r>
          </w:p>
        </w:tc>
      </w:tr>
      <w:tr w:rsidR="00B02873" w:rsidRPr="00CF1D80" w14:paraId="5D831EFB" w14:textId="77777777" w:rsidTr="00CF1D80">
        <w:trPr>
          <w:trHeight w:val="60"/>
        </w:trPr>
        <w:tc>
          <w:tcPr>
            <w:tcW w:w="5382" w:type="dxa"/>
          </w:tcPr>
          <w:p w14:paraId="3D0CFA9B" w14:textId="77777777" w:rsidR="00B02873" w:rsidRPr="00CF1D80" w:rsidRDefault="00B02873" w:rsidP="00CF1D80">
            <w:pPr>
              <w:pStyle w:val="TablebodyleftFinancialsTables"/>
              <w:rPr>
                <w:rFonts w:asciiTheme="minorHAnsi" w:hAnsiTheme="minorHAnsi" w:cstheme="minorHAnsi"/>
              </w:rPr>
            </w:pPr>
            <w:r w:rsidRPr="00CF1D80">
              <w:rPr>
                <w:rFonts w:asciiTheme="minorHAnsi" w:hAnsiTheme="minorHAnsi" w:cstheme="minorHAnsi"/>
              </w:rPr>
              <w:lastRenderedPageBreak/>
              <w:t>Alpine Valleys Community Leadership</w:t>
            </w:r>
          </w:p>
        </w:tc>
        <w:tc>
          <w:tcPr>
            <w:tcW w:w="1611" w:type="dxa"/>
          </w:tcPr>
          <w:p w14:paraId="35F6F0DD" w14:textId="27F41C95" w:rsidR="00B02873" w:rsidRPr="00CF1D80" w:rsidRDefault="00B02873" w:rsidP="00CF1D80">
            <w:pPr>
              <w:pStyle w:val="TablebodyleftFinancialsTables"/>
              <w:jc w:val="right"/>
              <w:rPr>
                <w:rFonts w:asciiTheme="minorHAnsi" w:hAnsiTheme="minorHAnsi" w:cstheme="minorHAnsi"/>
              </w:rPr>
            </w:pPr>
            <w:r w:rsidRPr="00CF1D80">
              <w:rPr>
                <w:rFonts w:asciiTheme="minorHAnsi" w:hAnsiTheme="minorHAnsi" w:cstheme="minorHAnsi"/>
              </w:rPr>
              <w:t>22,500</w:t>
            </w:r>
          </w:p>
        </w:tc>
      </w:tr>
      <w:tr w:rsidR="00B02873" w:rsidRPr="00CF1D80" w14:paraId="2117CB7D" w14:textId="77777777" w:rsidTr="00CF1D80">
        <w:trPr>
          <w:trHeight w:val="60"/>
        </w:trPr>
        <w:tc>
          <w:tcPr>
            <w:tcW w:w="5382" w:type="dxa"/>
          </w:tcPr>
          <w:p w14:paraId="0A487514" w14:textId="77777777" w:rsidR="00B02873" w:rsidRPr="00CF1D80" w:rsidRDefault="00B02873" w:rsidP="00CF1D80">
            <w:pPr>
              <w:pStyle w:val="TablebodyleftFinancialsTables"/>
              <w:rPr>
                <w:rFonts w:asciiTheme="minorHAnsi" w:hAnsiTheme="minorHAnsi" w:cstheme="minorHAnsi"/>
              </w:rPr>
            </w:pPr>
            <w:r w:rsidRPr="00CF1D80">
              <w:rPr>
                <w:rFonts w:asciiTheme="minorHAnsi" w:hAnsiTheme="minorHAnsi" w:cstheme="minorHAnsi"/>
              </w:rPr>
              <w:t>Hepburn Shire Council</w:t>
            </w:r>
          </w:p>
        </w:tc>
        <w:tc>
          <w:tcPr>
            <w:tcW w:w="1611" w:type="dxa"/>
          </w:tcPr>
          <w:p w14:paraId="18C03757" w14:textId="273A5C17" w:rsidR="00B02873" w:rsidRPr="00CF1D80" w:rsidRDefault="00B02873" w:rsidP="00CF1D80">
            <w:pPr>
              <w:pStyle w:val="TablebodyleftFinancialsTables"/>
              <w:jc w:val="right"/>
              <w:rPr>
                <w:rFonts w:asciiTheme="minorHAnsi" w:hAnsiTheme="minorHAnsi" w:cstheme="minorHAnsi"/>
              </w:rPr>
            </w:pPr>
            <w:r w:rsidRPr="00CF1D80">
              <w:rPr>
                <w:rFonts w:asciiTheme="minorHAnsi" w:hAnsiTheme="minorHAnsi" w:cstheme="minorHAnsi"/>
              </w:rPr>
              <w:t>22,500</w:t>
            </w:r>
          </w:p>
        </w:tc>
      </w:tr>
      <w:tr w:rsidR="00B02873" w:rsidRPr="00CF1D80" w14:paraId="0EF86088" w14:textId="77777777" w:rsidTr="00CF1D80">
        <w:trPr>
          <w:trHeight w:val="60"/>
        </w:trPr>
        <w:tc>
          <w:tcPr>
            <w:tcW w:w="5382" w:type="dxa"/>
          </w:tcPr>
          <w:p w14:paraId="28E64DCF" w14:textId="77777777" w:rsidR="00B02873" w:rsidRPr="00CF1D80" w:rsidRDefault="00B02873" w:rsidP="00CF1D80">
            <w:pPr>
              <w:pStyle w:val="TablebodyleftFinancialsTables"/>
              <w:rPr>
                <w:rFonts w:asciiTheme="minorHAnsi" w:hAnsiTheme="minorHAnsi" w:cstheme="minorHAnsi"/>
              </w:rPr>
            </w:pPr>
            <w:r w:rsidRPr="00CF1D80">
              <w:rPr>
                <w:rFonts w:asciiTheme="minorHAnsi" w:hAnsiTheme="minorHAnsi" w:cstheme="minorHAnsi"/>
              </w:rPr>
              <w:t>Brimbank City Council</w:t>
            </w:r>
          </w:p>
        </w:tc>
        <w:tc>
          <w:tcPr>
            <w:tcW w:w="1611" w:type="dxa"/>
          </w:tcPr>
          <w:p w14:paraId="2643B80C" w14:textId="61E0C984" w:rsidR="00B02873" w:rsidRPr="00CF1D80" w:rsidRDefault="00B02873" w:rsidP="00CF1D80">
            <w:pPr>
              <w:pStyle w:val="TablebodyleftFinancialsTables"/>
              <w:jc w:val="right"/>
              <w:rPr>
                <w:rFonts w:asciiTheme="minorHAnsi" w:hAnsiTheme="minorHAnsi" w:cstheme="minorHAnsi"/>
              </w:rPr>
            </w:pPr>
            <w:r w:rsidRPr="00CF1D80">
              <w:rPr>
                <w:rFonts w:asciiTheme="minorHAnsi" w:hAnsiTheme="minorHAnsi" w:cstheme="minorHAnsi"/>
              </w:rPr>
              <w:t>22,000</w:t>
            </w:r>
          </w:p>
        </w:tc>
      </w:tr>
      <w:tr w:rsidR="00B02873" w:rsidRPr="00CF1D80" w14:paraId="119C7A4E" w14:textId="77777777" w:rsidTr="00CF1D80">
        <w:trPr>
          <w:trHeight w:val="60"/>
        </w:trPr>
        <w:tc>
          <w:tcPr>
            <w:tcW w:w="5382" w:type="dxa"/>
          </w:tcPr>
          <w:p w14:paraId="699BEF69" w14:textId="77777777" w:rsidR="00B02873" w:rsidRPr="00CF1D80" w:rsidRDefault="00B02873" w:rsidP="00CF1D80">
            <w:pPr>
              <w:pStyle w:val="TablebodyleftFinancialsTables"/>
              <w:rPr>
                <w:rFonts w:asciiTheme="minorHAnsi" w:hAnsiTheme="minorHAnsi" w:cstheme="minorHAnsi"/>
              </w:rPr>
            </w:pPr>
            <w:r w:rsidRPr="00CF1D80">
              <w:rPr>
                <w:rFonts w:asciiTheme="minorHAnsi" w:hAnsiTheme="minorHAnsi" w:cstheme="minorHAnsi"/>
              </w:rPr>
              <w:t>Tarwin Landcare Group Inc</w:t>
            </w:r>
          </w:p>
        </w:tc>
        <w:tc>
          <w:tcPr>
            <w:tcW w:w="1611" w:type="dxa"/>
          </w:tcPr>
          <w:p w14:paraId="1E3C7D37" w14:textId="1504D1F2" w:rsidR="00B02873" w:rsidRPr="00CF1D80" w:rsidRDefault="00B02873" w:rsidP="00CF1D80">
            <w:pPr>
              <w:pStyle w:val="TablebodyleftFinancialsTables"/>
              <w:jc w:val="right"/>
              <w:rPr>
                <w:rFonts w:asciiTheme="minorHAnsi" w:hAnsiTheme="minorHAnsi" w:cstheme="minorHAnsi"/>
              </w:rPr>
            </w:pPr>
            <w:r w:rsidRPr="00CF1D80">
              <w:rPr>
                <w:rFonts w:asciiTheme="minorHAnsi" w:hAnsiTheme="minorHAnsi" w:cstheme="minorHAnsi"/>
              </w:rPr>
              <w:t>21,227</w:t>
            </w:r>
          </w:p>
        </w:tc>
      </w:tr>
      <w:tr w:rsidR="00B02873" w:rsidRPr="00CF1D80" w14:paraId="59068E0F" w14:textId="77777777" w:rsidTr="00CF1D80">
        <w:trPr>
          <w:trHeight w:val="60"/>
        </w:trPr>
        <w:tc>
          <w:tcPr>
            <w:tcW w:w="5382" w:type="dxa"/>
          </w:tcPr>
          <w:p w14:paraId="3B0CB536" w14:textId="77777777" w:rsidR="00B02873" w:rsidRPr="00CF1D80" w:rsidRDefault="00B02873" w:rsidP="00CF1D80">
            <w:pPr>
              <w:pStyle w:val="TablebodyleftFinancialsTables"/>
              <w:rPr>
                <w:rFonts w:asciiTheme="minorHAnsi" w:hAnsiTheme="minorHAnsi" w:cstheme="minorHAnsi"/>
              </w:rPr>
            </w:pPr>
            <w:r w:rsidRPr="00CF1D80">
              <w:rPr>
                <w:rFonts w:asciiTheme="minorHAnsi" w:hAnsiTheme="minorHAnsi" w:cstheme="minorHAnsi"/>
              </w:rPr>
              <w:t>Wadawurrung Traditional Owners Aboriginal Corporation</w:t>
            </w:r>
          </w:p>
        </w:tc>
        <w:tc>
          <w:tcPr>
            <w:tcW w:w="1611" w:type="dxa"/>
          </w:tcPr>
          <w:p w14:paraId="7190BF44" w14:textId="3DA4CD83" w:rsidR="00B02873" w:rsidRPr="00CF1D80" w:rsidRDefault="00B02873" w:rsidP="00CF1D80">
            <w:pPr>
              <w:pStyle w:val="TablebodyleftFinancialsTables"/>
              <w:jc w:val="right"/>
              <w:rPr>
                <w:rFonts w:asciiTheme="minorHAnsi" w:hAnsiTheme="minorHAnsi" w:cstheme="minorHAnsi"/>
              </w:rPr>
            </w:pPr>
            <w:r w:rsidRPr="00CF1D80">
              <w:rPr>
                <w:rFonts w:asciiTheme="minorHAnsi" w:hAnsiTheme="minorHAnsi" w:cstheme="minorHAnsi"/>
              </w:rPr>
              <w:t>20,000</w:t>
            </w:r>
          </w:p>
        </w:tc>
      </w:tr>
      <w:tr w:rsidR="00B02873" w:rsidRPr="00CF1D80" w14:paraId="6C195934" w14:textId="77777777" w:rsidTr="00CF1D80">
        <w:trPr>
          <w:trHeight w:val="60"/>
        </w:trPr>
        <w:tc>
          <w:tcPr>
            <w:tcW w:w="5382" w:type="dxa"/>
          </w:tcPr>
          <w:p w14:paraId="6B84C71D" w14:textId="77777777" w:rsidR="00B02873" w:rsidRPr="00CF1D80" w:rsidRDefault="00B02873" w:rsidP="00CF1D80">
            <w:pPr>
              <w:pStyle w:val="TablebodyleftFinancialsTables"/>
              <w:rPr>
                <w:rFonts w:asciiTheme="minorHAnsi" w:hAnsiTheme="minorHAnsi" w:cstheme="minorHAnsi"/>
              </w:rPr>
            </w:pPr>
            <w:r w:rsidRPr="00CF1D80">
              <w:rPr>
                <w:rFonts w:asciiTheme="minorHAnsi" w:hAnsiTheme="minorHAnsi" w:cstheme="minorHAnsi"/>
              </w:rPr>
              <w:t>Beach Patrol Australia Inc</w:t>
            </w:r>
          </w:p>
        </w:tc>
        <w:tc>
          <w:tcPr>
            <w:tcW w:w="1611" w:type="dxa"/>
          </w:tcPr>
          <w:p w14:paraId="5FD7926D" w14:textId="4A54CF61" w:rsidR="00B02873" w:rsidRPr="00CF1D80" w:rsidRDefault="00B02873" w:rsidP="00CF1D80">
            <w:pPr>
              <w:pStyle w:val="TablebodyleftFinancialsTables"/>
              <w:jc w:val="right"/>
              <w:rPr>
                <w:rFonts w:asciiTheme="minorHAnsi" w:hAnsiTheme="minorHAnsi" w:cstheme="minorHAnsi"/>
              </w:rPr>
            </w:pPr>
            <w:r w:rsidRPr="00CF1D80">
              <w:rPr>
                <w:rFonts w:asciiTheme="minorHAnsi" w:hAnsiTheme="minorHAnsi" w:cstheme="minorHAnsi"/>
              </w:rPr>
              <w:t>19,098</w:t>
            </w:r>
          </w:p>
        </w:tc>
      </w:tr>
      <w:tr w:rsidR="00B02873" w:rsidRPr="00CF1D80" w14:paraId="35457081" w14:textId="77777777" w:rsidTr="00CF1D80">
        <w:trPr>
          <w:trHeight w:val="60"/>
        </w:trPr>
        <w:tc>
          <w:tcPr>
            <w:tcW w:w="5382" w:type="dxa"/>
          </w:tcPr>
          <w:p w14:paraId="23801887" w14:textId="77777777" w:rsidR="00B02873" w:rsidRPr="00CF1D80" w:rsidRDefault="00B02873" w:rsidP="00CF1D80">
            <w:pPr>
              <w:pStyle w:val="TablebodyleftFinancialsTables"/>
              <w:rPr>
                <w:rFonts w:asciiTheme="minorHAnsi" w:hAnsiTheme="minorHAnsi" w:cstheme="minorHAnsi"/>
              </w:rPr>
            </w:pPr>
            <w:r w:rsidRPr="00CF1D80">
              <w:rPr>
                <w:rFonts w:asciiTheme="minorHAnsi" w:hAnsiTheme="minorHAnsi" w:cstheme="minorHAnsi"/>
              </w:rPr>
              <w:t>Phillip Island Nature Park Board of Management</w:t>
            </w:r>
          </w:p>
        </w:tc>
        <w:tc>
          <w:tcPr>
            <w:tcW w:w="1611" w:type="dxa"/>
          </w:tcPr>
          <w:p w14:paraId="0439B79B" w14:textId="6D5DE31C" w:rsidR="00B02873" w:rsidRPr="00CF1D80" w:rsidRDefault="00B02873" w:rsidP="00CF1D80">
            <w:pPr>
              <w:pStyle w:val="TablebodyleftFinancialsTables"/>
              <w:jc w:val="right"/>
              <w:rPr>
                <w:rFonts w:asciiTheme="minorHAnsi" w:hAnsiTheme="minorHAnsi" w:cstheme="minorHAnsi"/>
              </w:rPr>
            </w:pPr>
            <w:r w:rsidRPr="00CF1D80">
              <w:rPr>
                <w:rFonts w:asciiTheme="minorHAnsi" w:hAnsiTheme="minorHAnsi" w:cstheme="minorHAnsi"/>
              </w:rPr>
              <w:t>18,900</w:t>
            </w:r>
          </w:p>
        </w:tc>
      </w:tr>
      <w:tr w:rsidR="00B02873" w:rsidRPr="00CF1D80" w14:paraId="37C49469" w14:textId="77777777" w:rsidTr="00CF1D80">
        <w:trPr>
          <w:trHeight w:val="60"/>
        </w:trPr>
        <w:tc>
          <w:tcPr>
            <w:tcW w:w="5382" w:type="dxa"/>
          </w:tcPr>
          <w:p w14:paraId="43F9CB5F" w14:textId="77777777" w:rsidR="00B02873" w:rsidRPr="00CF1D80" w:rsidRDefault="00B02873" w:rsidP="00CF1D80">
            <w:pPr>
              <w:pStyle w:val="TablebodyleftFinancialsTables"/>
              <w:rPr>
                <w:rFonts w:asciiTheme="minorHAnsi" w:hAnsiTheme="minorHAnsi" w:cstheme="minorHAnsi"/>
              </w:rPr>
            </w:pPr>
            <w:r w:rsidRPr="00CF1D80">
              <w:rPr>
                <w:rFonts w:asciiTheme="minorHAnsi" w:hAnsiTheme="minorHAnsi" w:cstheme="minorHAnsi"/>
              </w:rPr>
              <w:t>Friends of Chinamans Creek Inc</w:t>
            </w:r>
          </w:p>
        </w:tc>
        <w:tc>
          <w:tcPr>
            <w:tcW w:w="1611" w:type="dxa"/>
          </w:tcPr>
          <w:p w14:paraId="60FBD26D" w14:textId="089EEA70" w:rsidR="00B02873" w:rsidRPr="00CF1D80" w:rsidRDefault="00B02873" w:rsidP="00CF1D80">
            <w:pPr>
              <w:pStyle w:val="TablebodyleftFinancialsTables"/>
              <w:jc w:val="right"/>
              <w:rPr>
                <w:rFonts w:asciiTheme="minorHAnsi" w:hAnsiTheme="minorHAnsi" w:cstheme="minorHAnsi"/>
              </w:rPr>
            </w:pPr>
            <w:r w:rsidRPr="00CF1D80">
              <w:rPr>
                <w:rFonts w:asciiTheme="minorHAnsi" w:hAnsiTheme="minorHAnsi" w:cstheme="minorHAnsi"/>
              </w:rPr>
              <w:t>18,037</w:t>
            </w:r>
          </w:p>
        </w:tc>
      </w:tr>
      <w:tr w:rsidR="00B02873" w:rsidRPr="00CF1D80" w14:paraId="6683E3C8" w14:textId="77777777" w:rsidTr="00CF1D80">
        <w:trPr>
          <w:trHeight w:val="60"/>
        </w:trPr>
        <w:tc>
          <w:tcPr>
            <w:tcW w:w="5382" w:type="dxa"/>
          </w:tcPr>
          <w:p w14:paraId="0B7E60CE" w14:textId="77777777" w:rsidR="00B02873" w:rsidRPr="00CF1D80" w:rsidRDefault="00B02873" w:rsidP="00CF1D80">
            <w:pPr>
              <w:pStyle w:val="TablebodyleftFinancialsTables"/>
              <w:rPr>
                <w:rFonts w:asciiTheme="minorHAnsi" w:hAnsiTheme="minorHAnsi" w:cstheme="minorHAnsi"/>
              </w:rPr>
            </w:pPr>
            <w:r w:rsidRPr="00CF1D80">
              <w:rPr>
                <w:rFonts w:asciiTheme="minorHAnsi" w:hAnsiTheme="minorHAnsi" w:cstheme="minorHAnsi"/>
              </w:rPr>
              <w:t>Department of Jobs Precincts and Regions (Victoria)</w:t>
            </w:r>
          </w:p>
        </w:tc>
        <w:tc>
          <w:tcPr>
            <w:tcW w:w="1611" w:type="dxa"/>
          </w:tcPr>
          <w:p w14:paraId="0A547E74" w14:textId="037F3A03" w:rsidR="00B02873" w:rsidRPr="00CF1D80" w:rsidRDefault="00B02873" w:rsidP="00CF1D80">
            <w:pPr>
              <w:pStyle w:val="TablebodyleftFinancialsTables"/>
              <w:jc w:val="right"/>
              <w:rPr>
                <w:rFonts w:asciiTheme="minorHAnsi" w:hAnsiTheme="minorHAnsi" w:cstheme="minorHAnsi"/>
              </w:rPr>
            </w:pPr>
            <w:r w:rsidRPr="00CF1D80">
              <w:rPr>
                <w:rFonts w:asciiTheme="minorHAnsi" w:hAnsiTheme="minorHAnsi" w:cstheme="minorHAnsi"/>
              </w:rPr>
              <w:t>14,750</w:t>
            </w:r>
          </w:p>
        </w:tc>
      </w:tr>
      <w:tr w:rsidR="00B02873" w:rsidRPr="00CF1D80" w14:paraId="2D0C1BF0" w14:textId="77777777" w:rsidTr="00CF1D80">
        <w:trPr>
          <w:trHeight w:val="60"/>
        </w:trPr>
        <w:tc>
          <w:tcPr>
            <w:tcW w:w="5382" w:type="dxa"/>
          </w:tcPr>
          <w:p w14:paraId="6CC65FF9" w14:textId="77777777" w:rsidR="00B02873" w:rsidRPr="00CF1D80" w:rsidRDefault="00B02873" w:rsidP="00CF1D80">
            <w:pPr>
              <w:pStyle w:val="TablebodyleftFinancialsTables"/>
              <w:rPr>
                <w:rFonts w:asciiTheme="minorHAnsi" w:hAnsiTheme="minorHAnsi" w:cstheme="minorHAnsi"/>
              </w:rPr>
            </w:pPr>
            <w:r w:rsidRPr="00CF1D80">
              <w:rPr>
                <w:rFonts w:asciiTheme="minorHAnsi" w:hAnsiTheme="minorHAnsi" w:cstheme="minorHAnsi"/>
              </w:rPr>
              <w:t>Strathbogie Shire Council</w:t>
            </w:r>
          </w:p>
        </w:tc>
        <w:tc>
          <w:tcPr>
            <w:tcW w:w="1611" w:type="dxa"/>
          </w:tcPr>
          <w:p w14:paraId="115CB804" w14:textId="52D42069" w:rsidR="00B02873" w:rsidRPr="00CF1D80" w:rsidRDefault="00B02873" w:rsidP="00CF1D80">
            <w:pPr>
              <w:pStyle w:val="TablebodyleftFinancialsTables"/>
              <w:jc w:val="right"/>
              <w:rPr>
                <w:rFonts w:asciiTheme="minorHAnsi" w:hAnsiTheme="minorHAnsi" w:cstheme="minorHAnsi"/>
              </w:rPr>
            </w:pPr>
            <w:r w:rsidRPr="00CF1D80">
              <w:rPr>
                <w:rFonts w:asciiTheme="minorHAnsi" w:hAnsiTheme="minorHAnsi" w:cstheme="minorHAnsi"/>
              </w:rPr>
              <w:t>13,200</w:t>
            </w:r>
          </w:p>
        </w:tc>
      </w:tr>
      <w:tr w:rsidR="00B02873" w:rsidRPr="00CF1D80" w14:paraId="40A84BEB" w14:textId="77777777" w:rsidTr="00CF1D80">
        <w:trPr>
          <w:trHeight w:val="60"/>
        </w:trPr>
        <w:tc>
          <w:tcPr>
            <w:tcW w:w="5382" w:type="dxa"/>
          </w:tcPr>
          <w:p w14:paraId="44989FA7" w14:textId="77777777" w:rsidR="00B02873" w:rsidRPr="00CF1D80" w:rsidRDefault="00B02873" w:rsidP="00CF1D80">
            <w:pPr>
              <w:pStyle w:val="TablebodyleftFinancialsTables"/>
              <w:rPr>
                <w:rFonts w:asciiTheme="minorHAnsi" w:hAnsiTheme="minorHAnsi" w:cstheme="minorHAnsi"/>
              </w:rPr>
            </w:pPr>
            <w:r w:rsidRPr="00CF1D80">
              <w:rPr>
                <w:rFonts w:asciiTheme="minorHAnsi" w:hAnsiTheme="minorHAnsi" w:cstheme="minorHAnsi"/>
              </w:rPr>
              <w:t>Mccrae Homestead Coastal Group</w:t>
            </w:r>
          </w:p>
        </w:tc>
        <w:tc>
          <w:tcPr>
            <w:tcW w:w="1611" w:type="dxa"/>
          </w:tcPr>
          <w:p w14:paraId="2E319EDD" w14:textId="3897A26F" w:rsidR="00B02873" w:rsidRPr="00CF1D80" w:rsidRDefault="00B02873" w:rsidP="00CF1D80">
            <w:pPr>
              <w:pStyle w:val="TablebodyleftFinancialsTables"/>
              <w:jc w:val="right"/>
              <w:rPr>
                <w:rFonts w:asciiTheme="minorHAnsi" w:hAnsiTheme="minorHAnsi" w:cstheme="minorHAnsi"/>
              </w:rPr>
            </w:pPr>
            <w:r w:rsidRPr="00CF1D80">
              <w:rPr>
                <w:rFonts w:asciiTheme="minorHAnsi" w:hAnsiTheme="minorHAnsi" w:cstheme="minorHAnsi"/>
              </w:rPr>
              <w:t>12,596</w:t>
            </w:r>
          </w:p>
        </w:tc>
      </w:tr>
      <w:tr w:rsidR="00B02873" w:rsidRPr="00CF1D80" w14:paraId="15EFF0F5" w14:textId="77777777" w:rsidTr="00CF1D80">
        <w:trPr>
          <w:trHeight w:val="60"/>
        </w:trPr>
        <w:tc>
          <w:tcPr>
            <w:tcW w:w="5382" w:type="dxa"/>
          </w:tcPr>
          <w:p w14:paraId="137542BA" w14:textId="77777777" w:rsidR="00B02873" w:rsidRPr="00CF1D80" w:rsidRDefault="00B02873" w:rsidP="00CF1D80">
            <w:pPr>
              <w:pStyle w:val="TablebodyleftFinancialsTables"/>
              <w:rPr>
                <w:rFonts w:asciiTheme="minorHAnsi" w:hAnsiTheme="minorHAnsi" w:cstheme="minorHAnsi"/>
              </w:rPr>
            </w:pPr>
            <w:r w:rsidRPr="00CF1D80">
              <w:rPr>
                <w:rFonts w:asciiTheme="minorHAnsi" w:hAnsiTheme="minorHAnsi" w:cstheme="minorHAnsi"/>
              </w:rPr>
              <w:t>Southern Otway Landcare Network Inc</w:t>
            </w:r>
          </w:p>
        </w:tc>
        <w:tc>
          <w:tcPr>
            <w:tcW w:w="1611" w:type="dxa"/>
          </w:tcPr>
          <w:p w14:paraId="148D9092" w14:textId="1247188C" w:rsidR="00B02873" w:rsidRPr="00CF1D80" w:rsidRDefault="00B02873" w:rsidP="00CF1D80">
            <w:pPr>
              <w:pStyle w:val="TablebodyleftFinancialsTables"/>
              <w:jc w:val="right"/>
              <w:rPr>
                <w:rFonts w:asciiTheme="minorHAnsi" w:hAnsiTheme="minorHAnsi" w:cstheme="minorHAnsi"/>
              </w:rPr>
            </w:pPr>
            <w:r w:rsidRPr="00CF1D80">
              <w:rPr>
                <w:rFonts w:asciiTheme="minorHAnsi" w:hAnsiTheme="minorHAnsi" w:cstheme="minorHAnsi"/>
              </w:rPr>
              <w:t>12,362</w:t>
            </w:r>
          </w:p>
        </w:tc>
      </w:tr>
      <w:tr w:rsidR="00B02873" w:rsidRPr="00CF1D80" w14:paraId="5AABD3D6" w14:textId="77777777" w:rsidTr="00CF1D80">
        <w:trPr>
          <w:trHeight w:val="60"/>
        </w:trPr>
        <w:tc>
          <w:tcPr>
            <w:tcW w:w="5382" w:type="dxa"/>
          </w:tcPr>
          <w:p w14:paraId="30FB9828" w14:textId="77777777" w:rsidR="00B02873" w:rsidRPr="00CF1D80" w:rsidRDefault="00B02873" w:rsidP="00CF1D80">
            <w:pPr>
              <w:pStyle w:val="TablebodyleftFinancialsTables"/>
              <w:rPr>
                <w:rFonts w:asciiTheme="minorHAnsi" w:hAnsiTheme="minorHAnsi" w:cstheme="minorHAnsi"/>
              </w:rPr>
            </w:pPr>
            <w:r w:rsidRPr="00CF1D80">
              <w:rPr>
                <w:rFonts w:asciiTheme="minorHAnsi" w:hAnsiTheme="minorHAnsi" w:cstheme="minorHAnsi"/>
              </w:rPr>
              <w:t>Acres and Acres Co-Op Ltd</w:t>
            </w:r>
          </w:p>
        </w:tc>
        <w:tc>
          <w:tcPr>
            <w:tcW w:w="1611" w:type="dxa"/>
          </w:tcPr>
          <w:p w14:paraId="3F09165D" w14:textId="3814FBFD" w:rsidR="00B02873" w:rsidRPr="00CF1D80" w:rsidRDefault="00B02873" w:rsidP="00CF1D80">
            <w:pPr>
              <w:pStyle w:val="TablebodyleftFinancialsTables"/>
              <w:jc w:val="right"/>
              <w:rPr>
                <w:rFonts w:asciiTheme="minorHAnsi" w:hAnsiTheme="minorHAnsi" w:cstheme="minorHAnsi"/>
              </w:rPr>
            </w:pPr>
            <w:r w:rsidRPr="00CF1D80">
              <w:rPr>
                <w:rFonts w:asciiTheme="minorHAnsi" w:hAnsiTheme="minorHAnsi" w:cstheme="minorHAnsi"/>
              </w:rPr>
              <w:t>11,500</w:t>
            </w:r>
          </w:p>
        </w:tc>
      </w:tr>
      <w:tr w:rsidR="00B02873" w:rsidRPr="00CF1D80" w14:paraId="71F432C6" w14:textId="77777777" w:rsidTr="00CF1D80">
        <w:trPr>
          <w:trHeight w:val="60"/>
        </w:trPr>
        <w:tc>
          <w:tcPr>
            <w:tcW w:w="5382" w:type="dxa"/>
          </w:tcPr>
          <w:p w14:paraId="0CEAA1B8" w14:textId="77777777" w:rsidR="00B02873" w:rsidRPr="00CF1D80" w:rsidRDefault="00B02873" w:rsidP="00CF1D80">
            <w:pPr>
              <w:pStyle w:val="TablebodyleftFinancialsTables"/>
              <w:rPr>
                <w:rFonts w:asciiTheme="minorHAnsi" w:hAnsiTheme="minorHAnsi" w:cstheme="minorHAnsi"/>
              </w:rPr>
            </w:pPr>
            <w:r w:rsidRPr="00CF1D80">
              <w:rPr>
                <w:rFonts w:asciiTheme="minorHAnsi" w:hAnsiTheme="minorHAnsi" w:cstheme="minorHAnsi"/>
              </w:rPr>
              <w:t>Gunaikurnai Land and Waters Aboriginal Corporation</w:t>
            </w:r>
          </w:p>
        </w:tc>
        <w:tc>
          <w:tcPr>
            <w:tcW w:w="1611" w:type="dxa"/>
          </w:tcPr>
          <w:p w14:paraId="204AD5AE" w14:textId="4E57B850" w:rsidR="00B02873" w:rsidRPr="00CF1D80" w:rsidRDefault="00B02873" w:rsidP="00CF1D80">
            <w:pPr>
              <w:pStyle w:val="TablebodyleftFinancialsTables"/>
              <w:jc w:val="right"/>
              <w:rPr>
                <w:rFonts w:asciiTheme="minorHAnsi" w:hAnsiTheme="minorHAnsi" w:cstheme="minorHAnsi"/>
              </w:rPr>
            </w:pPr>
            <w:r w:rsidRPr="00CF1D80">
              <w:rPr>
                <w:rFonts w:asciiTheme="minorHAnsi" w:hAnsiTheme="minorHAnsi" w:cstheme="minorHAnsi"/>
              </w:rPr>
              <w:t>11,455</w:t>
            </w:r>
          </w:p>
        </w:tc>
      </w:tr>
      <w:tr w:rsidR="00B02873" w:rsidRPr="00CF1D80" w14:paraId="2D279FCA" w14:textId="77777777" w:rsidTr="00CF1D80">
        <w:trPr>
          <w:trHeight w:val="60"/>
        </w:trPr>
        <w:tc>
          <w:tcPr>
            <w:tcW w:w="5382" w:type="dxa"/>
          </w:tcPr>
          <w:p w14:paraId="404CC978" w14:textId="77777777" w:rsidR="00B02873" w:rsidRPr="00CF1D80" w:rsidRDefault="00B02873" w:rsidP="00CF1D80">
            <w:pPr>
              <w:pStyle w:val="TablebodyleftFinancialsTables"/>
              <w:rPr>
                <w:rFonts w:asciiTheme="minorHAnsi" w:hAnsiTheme="minorHAnsi" w:cstheme="minorHAnsi"/>
              </w:rPr>
            </w:pPr>
            <w:r w:rsidRPr="00CF1D80">
              <w:rPr>
                <w:rFonts w:asciiTheme="minorHAnsi" w:hAnsiTheme="minorHAnsi" w:cstheme="minorHAnsi"/>
              </w:rPr>
              <w:t>Merricks Beach Foreshore Committee of Management</w:t>
            </w:r>
          </w:p>
        </w:tc>
        <w:tc>
          <w:tcPr>
            <w:tcW w:w="1611" w:type="dxa"/>
          </w:tcPr>
          <w:p w14:paraId="5CD9DE07" w14:textId="30B38576" w:rsidR="00B02873" w:rsidRPr="00CF1D80" w:rsidRDefault="00B02873" w:rsidP="00CF1D80">
            <w:pPr>
              <w:pStyle w:val="TablebodyleftFinancialsTables"/>
              <w:jc w:val="right"/>
              <w:rPr>
                <w:rFonts w:asciiTheme="minorHAnsi" w:hAnsiTheme="minorHAnsi" w:cstheme="minorHAnsi"/>
              </w:rPr>
            </w:pPr>
            <w:r w:rsidRPr="00CF1D80">
              <w:rPr>
                <w:rFonts w:asciiTheme="minorHAnsi" w:hAnsiTheme="minorHAnsi" w:cstheme="minorHAnsi"/>
              </w:rPr>
              <w:t>11,142</w:t>
            </w:r>
          </w:p>
        </w:tc>
      </w:tr>
      <w:tr w:rsidR="00B02873" w:rsidRPr="00CF1D80" w14:paraId="409AAE08" w14:textId="77777777" w:rsidTr="00CF1D80">
        <w:trPr>
          <w:trHeight w:val="60"/>
        </w:trPr>
        <w:tc>
          <w:tcPr>
            <w:tcW w:w="5382" w:type="dxa"/>
          </w:tcPr>
          <w:p w14:paraId="6429DBC7" w14:textId="77777777" w:rsidR="00B02873" w:rsidRPr="00CF1D80" w:rsidRDefault="00B02873" w:rsidP="00CF1D80">
            <w:pPr>
              <w:pStyle w:val="TablebodyleftFinancialsTables"/>
              <w:rPr>
                <w:rFonts w:asciiTheme="minorHAnsi" w:hAnsiTheme="minorHAnsi" w:cstheme="minorHAnsi"/>
              </w:rPr>
            </w:pPr>
            <w:r w:rsidRPr="00CF1D80">
              <w:rPr>
                <w:rFonts w:asciiTheme="minorHAnsi" w:hAnsiTheme="minorHAnsi" w:cstheme="minorHAnsi"/>
              </w:rPr>
              <w:t>Boonwurrung Land and Sea Council</w:t>
            </w:r>
          </w:p>
        </w:tc>
        <w:tc>
          <w:tcPr>
            <w:tcW w:w="1611" w:type="dxa"/>
          </w:tcPr>
          <w:p w14:paraId="34E14180" w14:textId="7DE46E50" w:rsidR="00B02873" w:rsidRPr="00CF1D80" w:rsidRDefault="00B02873" w:rsidP="00CF1D80">
            <w:pPr>
              <w:pStyle w:val="TablebodyleftFinancialsTables"/>
              <w:jc w:val="right"/>
              <w:rPr>
                <w:rFonts w:asciiTheme="minorHAnsi" w:hAnsiTheme="minorHAnsi" w:cstheme="minorHAnsi"/>
              </w:rPr>
            </w:pPr>
            <w:r w:rsidRPr="00CF1D80">
              <w:rPr>
                <w:rFonts w:asciiTheme="minorHAnsi" w:hAnsiTheme="minorHAnsi" w:cstheme="minorHAnsi"/>
              </w:rPr>
              <w:t>10,909</w:t>
            </w:r>
          </w:p>
        </w:tc>
      </w:tr>
      <w:tr w:rsidR="00B02873" w:rsidRPr="00CF1D80" w14:paraId="43A7C5D2" w14:textId="77777777" w:rsidTr="00CF1D80">
        <w:trPr>
          <w:trHeight w:val="60"/>
        </w:trPr>
        <w:tc>
          <w:tcPr>
            <w:tcW w:w="5382" w:type="dxa"/>
          </w:tcPr>
          <w:p w14:paraId="09133D47" w14:textId="77777777" w:rsidR="00B02873" w:rsidRPr="00CF1D80" w:rsidRDefault="00B02873" w:rsidP="00CF1D80">
            <w:pPr>
              <w:pStyle w:val="TablebodyleftFinancialsTables"/>
              <w:rPr>
                <w:rFonts w:asciiTheme="minorHAnsi" w:hAnsiTheme="minorHAnsi" w:cstheme="minorHAnsi"/>
              </w:rPr>
            </w:pPr>
            <w:r w:rsidRPr="00CF1D80">
              <w:rPr>
                <w:rFonts w:asciiTheme="minorHAnsi" w:hAnsiTheme="minorHAnsi" w:cstheme="minorHAnsi"/>
              </w:rPr>
              <w:t>Australian Energy Foundation</w:t>
            </w:r>
          </w:p>
        </w:tc>
        <w:tc>
          <w:tcPr>
            <w:tcW w:w="1611" w:type="dxa"/>
          </w:tcPr>
          <w:p w14:paraId="42229480" w14:textId="35A8A7B7" w:rsidR="00B02873" w:rsidRPr="00CF1D80" w:rsidRDefault="00B02873" w:rsidP="00CF1D80">
            <w:pPr>
              <w:pStyle w:val="TablebodyleftFinancialsTables"/>
              <w:jc w:val="right"/>
              <w:rPr>
                <w:rFonts w:asciiTheme="minorHAnsi" w:hAnsiTheme="minorHAnsi" w:cstheme="minorHAnsi"/>
              </w:rPr>
            </w:pPr>
            <w:r w:rsidRPr="00CF1D80">
              <w:rPr>
                <w:rFonts w:asciiTheme="minorHAnsi" w:hAnsiTheme="minorHAnsi" w:cstheme="minorHAnsi"/>
              </w:rPr>
              <w:t>10,816</w:t>
            </w:r>
          </w:p>
        </w:tc>
      </w:tr>
      <w:tr w:rsidR="00B02873" w:rsidRPr="00CF1D80" w14:paraId="20DDEFA9" w14:textId="77777777" w:rsidTr="00CF1D80">
        <w:trPr>
          <w:trHeight w:val="60"/>
        </w:trPr>
        <w:tc>
          <w:tcPr>
            <w:tcW w:w="5382" w:type="dxa"/>
          </w:tcPr>
          <w:p w14:paraId="165CE288" w14:textId="77777777" w:rsidR="00B02873" w:rsidRPr="00CF1D80" w:rsidRDefault="00B02873" w:rsidP="00CF1D80">
            <w:pPr>
              <w:pStyle w:val="TablebodyleftFinancialsTables"/>
              <w:rPr>
                <w:rFonts w:asciiTheme="minorHAnsi" w:hAnsiTheme="minorHAnsi" w:cstheme="minorHAnsi"/>
              </w:rPr>
            </w:pPr>
            <w:r w:rsidRPr="00CF1D80">
              <w:rPr>
                <w:rFonts w:asciiTheme="minorHAnsi" w:hAnsiTheme="minorHAnsi" w:cstheme="minorHAnsi"/>
              </w:rPr>
              <w:t>Werribee River Association Inc</w:t>
            </w:r>
          </w:p>
        </w:tc>
        <w:tc>
          <w:tcPr>
            <w:tcW w:w="1611" w:type="dxa"/>
          </w:tcPr>
          <w:p w14:paraId="046B3BB3" w14:textId="2CD83660" w:rsidR="00B02873" w:rsidRPr="00CF1D80" w:rsidRDefault="00B02873" w:rsidP="00CF1D80">
            <w:pPr>
              <w:pStyle w:val="TablebodyleftFinancialsTables"/>
              <w:jc w:val="right"/>
              <w:rPr>
                <w:rFonts w:asciiTheme="minorHAnsi" w:hAnsiTheme="minorHAnsi" w:cstheme="minorHAnsi"/>
              </w:rPr>
            </w:pPr>
            <w:r w:rsidRPr="00CF1D80">
              <w:rPr>
                <w:rFonts w:asciiTheme="minorHAnsi" w:hAnsiTheme="minorHAnsi" w:cstheme="minorHAnsi"/>
              </w:rPr>
              <w:t>10,620</w:t>
            </w:r>
          </w:p>
        </w:tc>
      </w:tr>
      <w:tr w:rsidR="00B02873" w:rsidRPr="00CF1D80" w14:paraId="46625F61" w14:textId="77777777" w:rsidTr="00CF1D80">
        <w:trPr>
          <w:trHeight w:val="60"/>
        </w:trPr>
        <w:tc>
          <w:tcPr>
            <w:tcW w:w="5382" w:type="dxa"/>
          </w:tcPr>
          <w:p w14:paraId="7D3FF19E" w14:textId="77777777" w:rsidR="00B02873" w:rsidRPr="00CF1D80" w:rsidRDefault="00B02873" w:rsidP="00CF1D80">
            <w:pPr>
              <w:pStyle w:val="TablebodyleftFinancialsTables"/>
              <w:rPr>
                <w:rFonts w:asciiTheme="minorHAnsi" w:hAnsiTheme="minorHAnsi" w:cstheme="minorHAnsi"/>
              </w:rPr>
            </w:pPr>
            <w:r w:rsidRPr="00CF1D80">
              <w:rPr>
                <w:rFonts w:asciiTheme="minorHAnsi" w:hAnsiTheme="minorHAnsi" w:cstheme="minorHAnsi"/>
              </w:rPr>
              <w:t>Gecko Clan Landcare Network Inc</w:t>
            </w:r>
          </w:p>
        </w:tc>
        <w:tc>
          <w:tcPr>
            <w:tcW w:w="1611" w:type="dxa"/>
          </w:tcPr>
          <w:p w14:paraId="192548B1" w14:textId="198ACA39" w:rsidR="00B02873" w:rsidRPr="00CF1D80" w:rsidRDefault="00B02873" w:rsidP="00CF1D80">
            <w:pPr>
              <w:pStyle w:val="TablebodyleftFinancialsTables"/>
              <w:jc w:val="right"/>
              <w:rPr>
                <w:rFonts w:asciiTheme="minorHAnsi" w:hAnsiTheme="minorHAnsi" w:cstheme="minorHAnsi"/>
              </w:rPr>
            </w:pPr>
            <w:r w:rsidRPr="00CF1D80">
              <w:rPr>
                <w:rFonts w:asciiTheme="minorHAnsi" w:hAnsiTheme="minorHAnsi" w:cstheme="minorHAnsi"/>
              </w:rPr>
              <w:t>10,000</w:t>
            </w:r>
          </w:p>
        </w:tc>
      </w:tr>
      <w:tr w:rsidR="00B02873" w:rsidRPr="00CF1D80" w14:paraId="13F79600" w14:textId="77777777" w:rsidTr="00CF1D80">
        <w:trPr>
          <w:trHeight w:val="60"/>
        </w:trPr>
        <w:tc>
          <w:tcPr>
            <w:tcW w:w="5382" w:type="dxa"/>
          </w:tcPr>
          <w:p w14:paraId="46F1E51A" w14:textId="77777777" w:rsidR="00B02873" w:rsidRPr="00CF1D80" w:rsidRDefault="00B02873" w:rsidP="00CF1D80">
            <w:pPr>
              <w:pStyle w:val="TablebodyleftFinancialsTables"/>
              <w:rPr>
                <w:rFonts w:asciiTheme="minorHAnsi" w:hAnsiTheme="minorHAnsi" w:cstheme="minorHAnsi"/>
              </w:rPr>
            </w:pPr>
            <w:r w:rsidRPr="00CF1D80">
              <w:rPr>
                <w:rFonts w:asciiTheme="minorHAnsi" w:hAnsiTheme="minorHAnsi" w:cstheme="minorHAnsi"/>
              </w:rPr>
              <w:t>Wodonga TAFE</w:t>
            </w:r>
          </w:p>
        </w:tc>
        <w:tc>
          <w:tcPr>
            <w:tcW w:w="1611" w:type="dxa"/>
          </w:tcPr>
          <w:p w14:paraId="48EF009E" w14:textId="5561AE00" w:rsidR="00B02873" w:rsidRPr="00CF1D80" w:rsidRDefault="00B02873" w:rsidP="00CF1D80">
            <w:pPr>
              <w:pStyle w:val="TablebodyleftFinancialsTables"/>
              <w:jc w:val="right"/>
              <w:rPr>
                <w:rFonts w:asciiTheme="minorHAnsi" w:hAnsiTheme="minorHAnsi" w:cstheme="minorHAnsi"/>
              </w:rPr>
            </w:pPr>
            <w:r w:rsidRPr="00CF1D80">
              <w:rPr>
                <w:rFonts w:asciiTheme="minorHAnsi" w:hAnsiTheme="minorHAnsi" w:cstheme="minorHAnsi"/>
              </w:rPr>
              <w:t>10,000</w:t>
            </w:r>
          </w:p>
        </w:tc>
      </w:tr>
      <w:tr w:rsidR="00B02873" w:rsidRPr="00CF1D80" w14:paraId="78AB3FBC" w14:textId="77777777" w:rsidTr="00CF1D80">
        <w:trPr>
          <w:trHeight w:val="60"/>
        </w:trPr>
        <w:tc>
          <w:tcPr>
            <w:tcW w:w="5382" w:type="dxa"/>
          </w:tcPr>
          <w:p w14:paraId="1C42475B" w14:textId="77777777" w:rsidR="00B02873" w:rsidRPr="00CF1D80" w:rsidRDefault="00B02873" w:rsidP="00CF1D80">
            <w:pPr>
              <w:pStyle w:val="TablebodyleftFinancialsTables"/>
              <w:rPr>
                <w:rFonts w:asciiTheme="minorHAnsi" w:hAnsiTheme="minorHAnsi" w:cstheme="minorHAnsi"/>
              </w:rPr>
            </w:pPr>
            <w:r w:rsidRPr="00CF1D80">
              <w:rPr>
                <w:rFonts w:asciiTheme="minorHAnsi" w:hAnsiTheme="minorHAnsi" w:cstheme="minorHAnsi"/>
              </w:rPr>
              <w:t>Murray Dairy Limited</w:t>
            </w:r>
          </w:p>
        </w:tc>
        <w:tc>
          <w:tcPr>
            <w:tcW w:w="1611" w:type="dxa"/>
          </w:tcPr>
          <w:p w14:paraId="35B8413B" w14:textId="5479CBA2" w:rsidR="00B02873" w:rsidRPr="00CF1D80" w:rsidRDefault="00B02873" w:rsidP="00CF1D80">
            <w:pPr>
              <w:pStyle w:val="TablebodyleftFinancialsTables"/>
              <w:jc w:val="right"/>
              <w:rPr>
                <w:rFonts w:asciiTheme="minorHAnsi" w:hAnsiTheme="minorHAnsi" w:cstheme="minorHAnsi"/>
              </w:rPr>
            </w:pPr>
            <w:r w:rsidRPr="00CF1D80">
              <w:rPr>
                <w:rFonts w:asciiTheme="minorHAnsi" w:hAnsiTheme="minorHAnsi" w:cstheme="minorHAnsi"/>
              </w:rPr>
              <w:t>10,000</w:t>
            </w:r>
          </w:p>
        </w:tc>
      </w:tr>
      <w:tr w:rsidR="00B02873" w:rsidRPr="00CF1D80" w14:paraId="5289ABA1" w14:textId="77777777" w:rsidTr="00CF1D80">
        <w:trPr>
          <w:trHeight w:val="60"/>
        </w:trPr>
        <w:tc>
          <w:tcPr>
            <w:tcW w:w="5382" w:type="dxa"/>
          </w:tcPr>
          <w:p w14:paraId="5CB8FE30" w14:textId="77777777" w:rsidR="00B02873" w:rsidRPr="00CF1D80" w:rsidRDefault="00B02873" w:rsidP="00CF1D80">
            <w:pPr>
              <w:pStyle w:val="TablebodyleftFinancialsTables"/>
              <w:rPr>
                <w:rFonts w:asciiTheme="minorHAnsi" w:hAnsiTheme="minorHAnsi" w:cstheme="minorHAnsi"/>
              </w:rPr>
            </w:pPr>
            <w:r w:rsidRPr="00CF1D80">
              <w:rPr>
                <w:rFonts w:asciiTheme="minorHAnsi" w:hAnsiTheme="minorHAnsi" w:cstheme="minorHAnsi"/>
              </w:rPr>
              <w:t>Wimmera Development Association</w:t>
            </w:r>
          </w:p>
        </w:tc>
        <w:tc>
          <w:tcPr>
            <w:tcW w:w="1611" w:type="dxa"/>
          </w:tcPr>
          <w:p w14:paraId="3FFC710C" w14:textId="2EDA8FDA" w:rsidR="00B02873" w:rsidRPr="00CF1D80" w:rsidRDefault="00B02873" w:rsidP="00CF1D80">
            <w:pPr>
              <w:pStyle w:val="TablebodyleftFinancialsTables"/>
              <w:jc w:val="right"/>
              <w:rPr>
                <w:rFonts w:asciiTheme="minorHAnsi" w:hAnsiTheme="minorHAnsi" w:cstheme="minorHAnsi"/>
              </w:rPr>
            </w:pPr>
            <w:r w:rsidRPr="00CF1D80">
              <w:rPr>
                <w:rFonts w:asciiTheme="minorHAnsi" w:hAnsiTheme="minorHAnsi" w:cstheme="minorHAnsi"/>
              </w:rPr>
              <w:t>10,000</w:t>
            </w:r>
          </w:p>
        </w:tc>
      </w:tr>
      <w:tr w:rsidR="00B02873" w:rsidRPr="00CF1D80" w14:paraId="50CAEF1E" w14:textId="77777777" w:rsidTr="00CF1D80">
        <w:trPr>
          <w:trHeight w:val="60"/>
        </w:trPr>
        <w:tc>
          <w:tcPr>
            <w:tcW w:w="5382" w:type="dxa"/>
          </w:tcPr>
          <w:p w14:paraId="068A2A44" w14:textId="77777777" w:rsidR="00B02873" w:rsidRPr="00CF1D80" w:rsidRDefault="00B02873" w:rsidP="00CF1D80">
            <w:pPr>
              <w:pStyle w:val="TablebodyleftFinancialsTables"/>
              <w:rPr>
                <w:rFonts w:asciiTheme="minorHAnsi" w:hAnsiTheme="minorHAnsi" w:cstheme="minorHAnsi"/>
              </w:rPr>
            </w:pPr>
            <w:r w:rsidRPr="00CF1D80">
              <w:rPr>
                <w:rFonts w:asciiTheme="minorHAnsi" w:hAnsiTheme="minorHAnsi" w:cstheme="minorHAnsi"/>
              </w:rPr>
              <w:t>Eagle Point Landcare Coastcare Group</w:t>
            </w:r>
          </w:p>
        </w:tc>
        <w:tc>
          <w:tcPr>
            <w:tcW w:w="1611" w:type="dxa"/>
          </w:tcPr>
          <w:p w14:paraId="7D841FF5" w14:textId="1112D380" w:rsidR="00B02873" w:rsidRPr="00CF1D80" w:rsidRDefault="00B02873" w:rsidP="00CF1D80">
            <w:pPr>
              <w:pStyle w:val="TablebodyleftFinancialsTables"/>
              <w:jc w:val="right"/>
              <w:rPr>
                <w:rFonts w:asciiTheme="minorHAnsi" w:hAnsiTheme="minorHAnsi" w:cstheme="minorHAnsi"/>
              </w:rPr>
            </w:pPr>
            <w:r w:rsidRPr="00CF1D80">
              <w:rPr>
                <w:rFonts w:asciiTheme="minorHAnsi" w:hAnsiTheme="minorHAnsi" w:cstheme="minorHAnsi"/>
              </w:rPr>
              <w:t>9,600</w:t>
            </w:r>
          </w:p>
        </w:tc>
      </w:tr>
      <w:tr w:rsidR="00B02873" w:rsidRPr="00CF1D80" w14:paraId="39749284" w14:textId="77777777" w:rsidTr="00CF1D80">
        <w:trPr>
          <w:trHeight w:val="60"/>
        </w:trPr>
        <w:tc>
          <w:tcPr>
            <w:tcW w:w="5382" w:type="dxa"/>
          </w:tcPr>
          <w:p w14:paraId="14442825" w14:textId="77777777" w:rsidR="00B02873" w:rsidRPr="00CF1D80" w:rsidRDefault="00B02873" w:rsidP="00CF1D80">
            <w:pPr>
              <w:pStyle w:val="TablebodyleftFinancialsTables"/>
              <w:rPr>
                <w:rFonts w:asciiTheme="minorHAnsi" w:hAnsiTheme="minorHAnsi" w:cstheme="minorHAnsi"/>
              </w:rPr>
            </w:pPr>
            <w:r w:rsidRPr="00CF1D80">
              <w:rPr>
                <w:rFonts w:asciiTheme="minorHAnsi" w:hAnsiTheme="minorHAnsi" w:cstheme="minorHAnsi"/>
              </w:rPr>
              <w:t>Seaside Scavenge Ltd</w:t>
            </w:r>
          </w:p>
        </w:tc>
        <w:tc>
          <w:tcPr>
            <w:tcW w:w="1611" w:type="dxa"/>
          </w:tcPr>
          <w:p w14:paraId="15C4C98B" w14:textId="6A3A81D2" w:rsidR="00B02873" w:rsidRPr="00CF1D80" w:rsidRDefault="00B02873" w:rsidP="00CF1D80">
            <w:pPr>
              <w:pStyle w:val="TablebodyleftFinancialsTables"/>
              <w:jc w:val="right"/>
              <w:rPr>
                <w:rFonts w:asciiTheme="minorHAnsi" w:hAnsiTheme="minorHAnsi" w:cstheme="minorHAnsi"/>
              </w:rPr>
            </w:pPr>
            <w:r w:rsidRPr="00CF1D80">
              <w:rPr>
                <w:rFonts w:asciiTheme="minorHAnsi" w:hAnsiTheme="minorHAnsi" w:cstheme="minorHAnsi"/>
              </w:rPr>
              <w:t>9,360</w:t>
            </w:r>
          </w:p>
        </w:tc>
      </w:tr>
      <w:tr w:rsidR="00B02873" w:rsidRPr="00CF1D80" w14:paraId="54E0B378" w14:textId="77777777" w:rsidTr="00CF1D80">
        <w:trPr>
          <w:trHeight w:val="60"/>
        </w:trPr>
        <w:tc>
          <w:tcPr>
            <w:tcW w:w="5382" w:type="dxa"/>
          </w:tcPr>
          <w:p w14:paraId="4825B48F" w14:textId="77777777" w:rsidR="00B02873" w:rsidRPr="00CF1D80" w:rsidRDefault="00B02873" w:rsidP="00CF1D80">
            <w:pPr>
              <w:pStyle w:val="TablebodyleftFinancialsTables"/>
              <w:rPr>
                <w:rFonts w:asciiTheme="minorHAnsi" w:hAnsiTheme="minorHAnsi" w:cstheme="minorHAnsi"/>
              </w:rPr>
            </w:pPr>
            <w:r w:rsidRPr="00CF1D80">
              <w:rPr>
                <w:rFonts w:asciiTheme="minorHAnsi" w:hAnsiTheme="minorHAnsi" w:cstheme="minorHAnsi"/>
              </w:rPr>
              <w:t>Sustainable Upper Ovens</w:t>
            </w:r>
          </w:p>
        </w:tc>
        <w:tc>
          <w:tcPr>
            <w:tcW w:w="1611" w:type="dxa"/>
          </w:tcPr>
          <w:p w14:paraId="698CAD49" w14:textId="68B73D4F" w:rsidR="00B02873" w:rsidRPr="00CF1D80" w:rsidRDefault="00B02873" w:rsidP="00CF1D80">
            <w:pPr>
              <w:pStyle w:val="TablebodyleftFinancialsTables"/>
              <w:jc w:val="right"/>
              <w:rPr>
                <w:rFonts w:asciiTheme="minorHAnsi" w:hAnsiTheme="minorHAnsi" w:cstheme="minorHAnsi"/>
              </w:rPr>
            </w:pPr>
            <w:r w:rsidRPr="00CF1D80">
              <w:rPr>
                <w:rFonts w:asciiTheme="minorHAnsi" w:hAnsiTheme="minorHAnsi" w:cstheme="minorHAnsi"/>
              </w:rPr>
              <w:t>9,020</w:t>
            </w:r>
          </w:p>
        </w:tc>
      </w:tr>
      <w:tr w:rsidR="00B02873" w:rsidRPr="00CF1D80" w14:paraId="381BA7FE" w14:textId="77777777" w:rsidTr="00CF1D80">
        <w:trPr>
          <w:trHeight w:val="60"/>
        </w:trPr>
        <w:tc>
          <w:tcPr>
            <w:tcW w:w="5382" w:type="dxa"/>
          </w:tcPr>
          <w:p w14:paraId="4B51D64A" w14:textId="77777777" w:rsidR="00B02873" w:rsidRPr="00CF1D80" w:rsidRDefault="00B02873" w:rsidP="00CF1D80">
            <w:pPr>
              <w:pStyle w:val="TablebodyleftFinancialsTables"/>
              <w:rPr>
                <w:rFonts w:asciiTheme="minorHAnsi" w:hAnsiTheme="minorHAnsi" w:cstheme="minorHAnsi"/>
              </w:rPr>
            </w:pPr>
            <w:r w:rsidRPr="00CF1D80">
              <w:rPr>
                <w:rFonts w:asciiTheme="minorHAnsi" w:hAnsiTheme="minorHAnsi" w:cstheme="minorHAnsi"/>
              </w:rPr>
              <w:t>Bellarine Bayside Foreshore Committee of Management</w:t>
            </w:r>
          </w:p>
        </w:tc>
        <w:tc>
          <w:tcPr>
            <w:tcW w:w="1611" w:type="dxa"/>
          </w:tcPr>
          <w:p w14:paraId="1D96AA9A" w14:textId="257F56FD" w:rsidR="00B02873" w:rsidRPr="00CF1D80" w:rsidRDefault="00B02873" w:rsidP="00CF1D80">
            <w:pPr>
              <w:pStyle w:val="TablebodyleftFinancialsTables"/>
              <w:jc w:val="right"/>
              <w:rPr>
                <w:rFonts w:asciiTheme="minorHAnsi" w:hAnsiTheme="minorHAnsi" w:cstheme="minorHAnsi"/>
              </w:rPr>
            </w:pPr>
            <w:r w:rsidRPr="00CF1D80">
              <w:rPr>
                <w:rFonts w:asciiTheme="minorHAnsi" w:hAnsiTheme="minorHAnsi" w:cstheme="minorHAnsi"/>
              </w:rPr>
              <w:t>8,800</w:t>
            </w:r>
          </w:p>
        </w:tc>
      </w:tr>
      <w:tr w:rsidR="00B02873" w:rsidRPr="00CF1D80" w14:paraId="07B71D71" w14:textId="77777777" w:rsidTr="00CF1D80">
        <w:trPr>
          <w:trHeight w:val="60"/>
        </w:trPr>
        <w:tc>
          <w:tcPr>
            <w:tcW w:w="5382" w:type="dxa"/>
          </w:tcPr>
          <w:p w14:paraId="18089125" w14:textId="77777777" w:rsidR="00B02873" w:rsidRPr="00CF1D80" w:rsidRDefault="00B02873" w:rsidP="00CF1D80">
            <w:pPr>
              <w:pStyle w:val="TablebodyleftFinancialsTables"/>
              <w:rPr>
                <w:rFonts w:asciiTheme="minorHAnsi" w:hAnsiTheme="minorHAnsi" w:cstheme="minorHAnsi"/>
              </w:rPr>
            </w:pPr>
            <w:r w:rsidRPr="00CF1D80">
              <w:rPr>
                <w:rFonts w:asciiTheme="minorHAnsi" w:hAnsiTheme="minorHAnsi" w:cstheme="minorHAnsi"/>
              </w:rPr>
              <w:t>Climate for Change</w:t>
            </w:r>
          </w:p>
        </w:tc>
        <w:tc>
          <w:tcPr>
            <w:tcW w:w="1611" w:type="dxa"/>
          </w:tcPr>
          <w:p w14:paraId="1BB4F210" w14:textId="20F40C38" w:rsidR="00B02873" w:rsidRPr="00CF1D80" w:rsidRDefault="00B02873" w:rsidP="00CF1D80">
            <w:pPr>
              <w:pStyle w:val="TablebodyleftFinancialsTables"/>
              <w:jc w:val="right"/>
              <w:rPr>
                <w:rFonts w:asciiTheme="minorHAnsi" w:hAnsiTheme="minorHAnsi" w:cstheme="minorHAnsi"/>
              </w:rPr>
            </w:pPr>
            <w:r w:rsidRPr="00CF1D80">
              <w:rPr>
                <w:rFonts w:asciiTheme="minorHAnsi" w:hAnsiTheme="minorHAnsi" w:cstheme="minorHAnsi"/>
              </w:rPr>
              <w:t>8,000</w:t>
            </w:r>
          </w:p>
        </w:tc>
      </w:tr>
      <w:tr w:rsidR="00B02873" w:rsidRPr="00CF1D80" w14:paraId="245972D0" w14:textId="77777777" w:rsidTr="00CF1D80">
        <w:trPr>
          <w:trHeight w:val="60"/>
        </w:trPr>
        <w:tc>
          <w:tcPr>
            <w:tcW w:w="5382" w:type="dxa"/>
          </w:tcPr>
          <w:p w14:paraId="16F1326C" w14:textId="77777777" w:rsidR="00B02873" w:rsidRPr="00CF1D80" w:rsidRDefault="00B02873" w:rsidP="00CF1D80">
            <w:pPr>
              <w:pStyle w:val="TablebodyleftFinancialsTables"/>
              <w:rPr>
                <w:rFonts w:asciiTheme="minorHAnsi" w:hAnsiTheme="minorHAnsi" w:cstheme="minorHAnsi"/>
              </w:rPr>
            </w:pPr>
            <w:r w:rsidRPr="00CF1D80">
              <w:rPr>
                <w:rFonts w:asciiTheme="minorHAnsi" w:hAnsiTheme="minorHAnsi" w:cstheme="minorHAnsi"/>
              </w:rPr>
              <w:t>Totally Renewable Beechworth Inc</w:t>
            </w:r>
          </w:p>
        </w:tc>
        <w:tc>
          <w:tcPr>
            <w:tcW w:w="1611" w:type="dxa"/>
          </w:tcPr>
          <w:p w14:paraId="3E281FD1" w14:textId="180E9F0B" w:rsidR="00B02873" w:rsidRPr="00CF1D80" w:rsidRDefault="00B02873" w:rsidP="00CF1D80">
            <w:pPr>
              <w:pStyle w:val="TablebodyleftFinancialsTables"/>
              <w:jc w:val="right"/>
              <w:rPr>
                <w:rFonts w:asciiTheme="minorHAnsi" w:hAnsiTheme="minorHAnsi" w:cstheme="minorHAnsi"/>
              </w:rPr>
            </w:pPr>
            <w:r w:rsidRPr="00CF1D80">
              <w:rPr>
                <w:rFonts w:asciiTheme="minorHAnsi" w:hAnsiTheme="minorHAnsi" w:cstheme="minorHAnsi"/>
              </w:rPr>
              <w:t>7,850</w:t>
            </w:r>
          </w:p>
        </w:tc>
      </w:tr>
      <w:tr w:rsidR="00B02873" w:rsidRPr="00CF1D80" w14:paraId="181A7061" w14:textId="77777777" w:rsidTr="00CF1D80">
        <w:trPr>
          <w:trHeight w:val="60"/>
        </w:trPr>
        <w:tc>
          <w:tcPr>
            <w:tcW w:w="5382" w:type="dxa"/>
          </w:tcPr>
          <w:p w14:paraId="16965FE5" w14:textId="77777777" w:rsidR="00B02873" w:rsidRPr="00CF1D80" w:rsidRDefault="00B02873" w:rsidP="00CF1D80">
            <w:pPr>
              <w:pStyle w:val="TablebodyleftFinancialsTables"/>
              <w:rPr>
                <w:rFonts w:asciiTheme="minorHAnsi" w:hAnsiTheme="minorHAnsi" w:cstheme="minorHAnsi"/>
              </w:rPr>
            </w:pPr>
            <w:r w:rsidRPr="00CF1D80">
              <w:rPr>
                <w:rFonts w:asciiTheme="minorHAnsi" w:hAnsiTheme="minorHAnsi" w:cstheme="minorHAnsi"/>
              </w:rPr>
              <w:t>Lismore Land Protection Group</w:t>
            </w:r>
          </w:p>
        </w:tc>
        <w:tc>
          <w:tcPr>
            <w:tcW w:w="1611" w:type="dxa"/>
          </w:tcPr>
          <w:p w14:paraId="21E98EDD" w14:textId="636B7CF8" w:rsidR="00B02873" w:rsidRPr="00CF1D80" w:rsidRDefault="00B02873" w:rsidP="00CF1D80">
            <w:pPr>
              <w:pStyle w:val="TablebodyleftFinancialsTables"/>
              <w:jc w:val="right"/>
              <w:rPr>
                <w:rFonts w:asciiTheme="minorHAnsi" w:hAnsiTheme="minorHAnsi" w:cstheme="minorHAnsi"/>
              </w:rPr>
            </w:pPr>
            <w:r w:rsidRPr="00CF1D80">
              <w:rPr>
                <w:rFonts w:asciiTheme="minorHAnsi" w:hAnsiTheme="minorHAnsi" w:cstheme="minorHAnsi"/>
              </w:rPr>
              <w:t>7,800</w:t>
            </w:r>
          </w:p>
        </w:tc>
      </w:tr>
      <w:tr w:rsidR="00B02873" w:rsidRPr="00CF1D80" w14:paraId="14C2A1BB" w14:textId="77777777" w:rsidTr="00CF1D80">
        <w:trPr>
          <w:trHeight w:val="60"/>
        </w:trPr>
        <w:tc>
          <w:tcPr>
            <w:tcW w:w="5382" w:type="dxa"/>
          </w:tcPr>
          <w:p w14:paraId="495606A4" w14:textId="77777777" w:rsidR="00B02873" w:rsidRPr="00CF1D80" w:rsidRDefault="00B02873" w:rsidP="00CF1D80">
            <w:pPr>
              <w:pStyle w:val="TablebodyleftFinancialsTables"/>
              <w:rPr>
                <w:rFonts w:asciiTheme="minorHAnsi" w:hAnsiTheme="minorHAnsi" w:cstheme="minorHAnsi"/>
              </w:rPr>
            </w:pPr>
            <w:r w:rsidRPr="00CF1D80">
              <w:rPr>
                <w:rFonts w:asciiTheme="minorHAnsi" w:hAnsiTheme="minorHAnsi" w:cstheme="minorHAnsi"/>
              </w:rPr>
              <w:t>Wodonga Urban Landcare Network</w:t>
            </w:r>
          </w:p>
        </w:tc>
        <w:tc>
          <w:tcPr>
            <w:tcW w:w="1611" w:type="dxa"/>
          </w:tcPr>
          <w:p w14:paraId="04498D69" w14:textId="57E3484E" w:rsidR="00B02873" w:rsidRPr="00CF1D80" w:rsidRDefault="00B02873" w:rsidP="00CF1D80">
            <w:pPr>
              <w:pStyle w:val="TablebodyleftFinancialsTables"/>
              <w:jc w:val="right"/>
              <w:rPr>
                <w:rFonts w:asciiTheme="minorHAnsi" w:hAnsiTheme="minorHAnsi" w:cstheme="minorHAnsi"/>
              </w:rPr>
            </w:pPr>
            <w:r w:rsidRPr="00CF1D80">
              <w:rPr>
                <w:rFonts w:asciiTheme="minorHAnsi" w:hAnsiTheme="minorHAnsi" w:cstheme="minorHAnsi"/>
              </w:rPr>
              <w:t>7,500</w:t>
            </w:r>
          </w:p>
        </w:tc>
      </w:tr>
      <w:tr w:rsidR="00B02873" w:rsidRPr="00CF1D80" w14:paraId="1156EC0E" w14:textId="77777777" w:rsidTr="00CF1D80">
        <w:trPr>
          <w:trHeight w:val="60"/>
        </w:trPr>
        <w:tc>
          <w:tcPr>
            <w:tcW w:w="5382" w:type="dxa"/>
          </w:tcPr>
          <w:p w14:paraId="09C33956" w14:textId="77777777" w:rsidR="00B02873" w:rsidRPr="00CF1D80" w:rsidRDefault="00B02873" w:rsidP="00CF1D80">
            <w:pPr>
              <w:pStyle w:val="TablebodyleftFinancialsTables"/>
              <w:rPr>
                <w:rFonts w:asciiTheme="minorHAnsi" w:hAnsiTheme="minorHAnsi" w:cstheme="minorHAnsi"/>
              </w:rPr>
            </w:pPr>
            <w:r w:rsidRPr="00CF1D80">
              <w:rPr>
                <w:rFonts w:asciiTheme="minorHAnsi" w:hAnsiTheme="minorHAnsi" w:cstheme="minorHAnsi"/>
              </w:rPr>
              <w:t>Wooragee Primary School</w:t>
            </w:r>
          </w:p>
        </w:tc>
        <w:tc>
          <w:tcPr>
            <w:tcW w:w="1611" w:type="dxa"/>
          </w:tcPr>
          <w:p w14:paraId="217B46C6" w14:textId="1D4337F4" w:rsidR="00B02873" w:rsidRPr="00CF1D80" w:rsidRDefault="00B02873" w:rsidP="00CF1D80">
            <w:pPr>
              <w:pStyle w:val="TablebodyleftFinancialsTables"/>
              <w:jc w:val="right"/>
              <w:rPr>
                <w:rFonts w:asciiTheme="minorHAnsi" w:hAnsiTheme="minorHAnsi" w:cstheme="minorHAnsi"/>
              </w:rPr>
            </w:pPr>
            <w:r w:rsidRPr="00CF1D80">
              <w:rPr>
                <w:rFonts w:asciiTheme="minorHAnsi" w:hAnsiTheme="minorHAnsi" w:cstheme="minorHAnsi"/>
              </w:rPr>
              <w:t>7,500</w:t>
            </w:r>
          </w:p>
        </w:tc>
      </w:tr>
      <w:tr w:rsidR="00B02873" w:rsidRPr="00CF1D80" w14:paraId="6EFCA18F" w14:textId="77777777" w:rsidTr="00CF1D80">
        <w:trPr>
          <w:trHeight w:val="60"/>
        </w:trPr>
        <w:tc>
          <w:tcPr>
            <w:tcW w:w="5382" w:type="dxa"/>
          </w:tcPr>
          <w:p w14:paraId="4EAA8B8F" w14:textId="77777777" w:rsidR="00B02873" w:rsidRPr="00CF1D80" w:rsidRDefault="00B02873" w:rsidP="00CF1D80">
            <w:pPr>
              <w:pStyle w:val="TablebodyleftFinancialsTables"/>
              <w:rPr>
                <w:rFonts w:asciiTheme="minorHAnsi" w:hAnsiTheme="minorHAnsi" w:cstheme="minorHAnsi"/>
              </w:rPr>
            </w:pPr>
            <w:r w:rsidRPr="00CF1D80">
              <w:rPr>
                <w:rFonts w:asciiTheme="minorHAnsi" w:hAnsiTheme="minorHAnsi" w:cstheme="minorHAnsi"/>
              </w:rPr>
              <w:t>Regen Studios Pty Ltd</w:t>
            </w:r>
          </w:p>
        </w:tc>
        <w:tc>
          <w:tcPr>
            <w:tcW w:w="1611" w:type="dxa"/>
          </w:tcPr>
          <w:p w14:paraId="7FB8C8CF" w14:textId="6FFCE1B9" w:rsidR="00B02873" w:rsidRPr="00CF1D80" w:rsidRDefault="00B02873" w:rsidP="00CF1D80">
            <w:pPr>
              <w:pStyle w:val="TablebodyleftFinancialsTables"/>
              <w:jc w:val="right"/>
              <w:rPr>
                <w:rFonts w:asciiTheme="minorHAnsi" w:hAnsiTheme="minorHAnsi" w:cstheme="minorHAnsi"/>
              </w:rPr>
            </w:pPr>
            <w:r w:rsidRPr="00CF1D80">
              <w:rPr>
                <w:rFonts w:asciiTheme="minorHAnsi" w:hAnsiTheme="minorHAnsi" w:cstheme="minorHAnsi"/>
              </w:rPr>
              <w:t>7,500</w:t>
            </w:r>
          </w:p>
        </w:tc>
      </w:tr>
      <w:tr w:rsidR="00B02873" w:rsidRPr="00CF1D80" w14:paraId="0DA9E06A" w14:textId="77777777" w:rsidTr="00CF1D80">
        <w:trPr>
          <w:trHeight w:val="60"/>
        </w:trPr>
        <w:tc>
          <w:tcPr>
            <w:tcW w:w="5382" w:type="dxa"/>
          </w:tcPr>
          <w:p w14:paraId="6CCEEE99" w14:textId="77777777" w:rsidR="00B02873" w:rsidRPr="00CF1D80" w:rsidRDefault="00B02873" w:rsidP="00CF1D80">
            <w:pPr>
              <w:pStyle w:val="TablebodyleftFinancialsTables"/>
              <w:rPr>
                <w:rFonts w:asciiTheme="minorHAnsi" w:hAnsiTheme="minorHAnsi" w:cstheme="minorHAnsi"/>
              </w:rPr>
            </w:pPr>
            <w:r w:rsidRPr="00CF1D80">
              <w:rPr>
                <w:rFonts w:asciiTheme="minorHAnsi" w:hAnsiTheme="minorHAnsi" w:cstheme="minorHAnsi"/>
              </w:rPr>
              <w:t>Banksia Gardens Community Services</w:t>
            </w:r>
          </w:p>
        </w:tc>
        <w:tc>
          <w:tcPr>
            <w:tcW w:w="1611" w:type="dxa"/>
          </w:tcPr>
          <w:p w14:paraId="59A442F7" w14:textId="7E39233D" w:rsidR="00B02873" w:rsidRPr="00CF1D80" w:rsidRDefault="00B02873" w:rsidP="00CF1D80">
            <w:pPr>
              <w:pStyle w:val="TablebodyleftFinancialsTables"/>
              <w:jc w:val="right"/>
              <w:rPr>
                <w:rFonts w:asciiTheme="minorHAnsi" w:hAnsiTheme="minorHAnsi" w:cstheme="minorHAnsi"/>
              </w:rPr>
            </w:pPr>
            <w:r w:rsidRPr="00CF1D80">
              <w:rPr>
                <w:rFonts w:asciiTheme="minorHAnsi" w:hAnsiTheme="minorHAnsi" w:cstheme="minorHAnsi"/>
              </w:rPr>
              <w:t>7,500</w:t>
            </w:r>
          </w:p>
        </w:tc>
      </w:tr>
      <w:tr w:rsidR="00B02873" w:rsidRPr="00CF1D80" w14:paraId="556B7961" w14:textId="77777777" w:rsidTr="00CF1D80">
        <w:trPr>
          <w:trHeight w:val="60"/>
        </w:trPr>
        <w:tc>
          <w:tcPr>
            <w:tcW w:w="5382" w:type="dxa"/>
          </w:tcPr>
          <w:p w14:paraId="4912FE73" w14:textId="77777777" w:rsidR="00B02873" w:rsidRPr="00CF1D80" w:rsidRDefault="00B02873" w:rsidP="00CF1D80">
            <w:pPr>
              <w:pStyle w:val="TablebodyleftFinancialsTables"/>
              <w:rPr>
                <w:rFonts w:asciiTheme="minorHAnsi" w:hAnsiTheme="minorHAnsi" w:cstheme="minorHAnsi"/>
              </w:rPr>
            </w:pPr>
            <w:r w:rsidRPr="00CF1D80">
              <w:rPr>
                <w:rFonts w:asciiTheme="minorHAnsi" w:hAnsiTheme="minorHAnsi" w:cstheme="minorHAnsi"/>
              </w:rPr>
              <w:t>Tambo Bluff Landcare Coastcare</w:t>
            </w:r>
          </w:p>
        </w:tc>
        <w:tc>
          <w:tcPr>
            <w:tcW w:w="1611" w:type="dxa"/>
          </w:tcPr>
          <w:p w14:paraId="78B8679A" w14:textId="2308E6E9" w:rsidR="00B02873" w:rsidRPr="00CF1D80" w:rsidRDefault="00B02873" w:rsidP="00CF1D80">
            <w:pPr>
              <w:pStyle w:val="TablebodyleftFinancialsTables"/>
              <w:jc w:val="right"/>
              <w:rPr>
                <w:rFonts w:asciiTheme="minorHAnsi" w:hAnsiTheme="minorHAnsi" w:cstheme="minorHAnsi"/>
              </w:rPr>
            </w:pPr>
            <w:r w:rsidRPr="00CF1D80">
              <w:rPr>
                <w:rFonts w:asciiTheme="minorHAnsi" w:hAnsiTheme="minorHAnsi" w:cstheme="minorHAnsi"/>
              </w:rPr>
              <w:t>6,940</w:t>
            </w:r>
          </w:p>
        </w:tc>
      </w:tr>
      <w:tr w:rsidR="00B02873" w:rsidRPr="00CF1D80" w14:paraId="6F871B82" w14:textId="77777777" w:rsidTr="00CF1D80">
        <w:trPr>
          <w:trHeight w:val="60"/>
        </w:trPr>
        <w:tc>
          <w:tcPr>
            <w:tcW w:w="5382" w:type="dxa"/>
          </w:tcPr>
          <w:p w14:paraId="171C5096" w14:textId="77777777" w:rsidR="00B02873" w:rsidRPr="00CF1D80" w:rsidRDefault="00B02873" w:rsidP="00CF1D80">
            <w:pPr>
              <w:pStyle w:val="TablebodyleftFinancialsTables"/>
              <w:rPr>
                <w:rFonts w:asciiTheme="minorHAnsi" w:hAnsiTheme="minorHAnsi" w:cstheme="minorHAnsi"/>
              </w:rPr>
            </w:pPr>
            <w:r w:rsidRPr="00CF1D80">
              <w:rPr>
                <w:rFonts w:asciiTheme="minorHAnsi" w:hAnsiTheme="minorHAnsi" w:cstheme="minorHAnsi"/>
              </w:rPr>
              <w:t>Swamps Rivers and Ranges Inc</w:t>
            </w:r>
          </w:p>
        </w:tc>
        <w:tc>
          <w:tcPr>
            <w:tcW w:w="1611" w:type="dxa"/>
          </w:tcPr>
          <w:p w14:paraId="344C55DF" w14:textId="3C515F47" w:rsidR="00B02873" w:rsidRPr="00CF1D80" w:rsidRDefault="00B02873" w:rsidP="00CF1D80">
            <w:pPr>
              <w:pStyle w:val="TablebodyleftFinancialsTables"/>
              <w:jc w:val="right"/>
              <w:rPr>
                <w:rFonts w:asciiTheme="minorHAnsi" w:hAnsiTheme="minorHAnsi" w:cstheme="minorHAnsi"/>
              </w:rPr>
            </w:pPr>
            <w:r w:rsidRPr="00CF1D80">
              <w:rPr>
                <w:rFonts w:asciiTheme="minorHAnsi" w:hAnsiTheme="minorHAnsi" w:cstheme="minorHAnsi"/>
              </w:rPr>
              <w:t>6,818</w:t>
            </w:r>
          </w:p>
        </w:tc>
      </w:tr>
      <w:tr w:rsidR="00B02873" w:rsidRPr="00CF1D80" w14:paraId="3CEE0CE0" w14:textId="77777777" w:rsidTr="00CF1D80">
        <w:trPr>
          <w:trHeight w:val="60"/>
        </w:trPr>
        <w:tc>
          <w:tcPr>
            <w:tcW w:w="5382" w:type="dxa"/>
          </w:tcPr>
          <w:p w14:paraId="2D373FB7" w14:textId="77777777" w:rsidR="00B02873" w:rsidRPr="00CF1D80" w:rsidRDefault="00B02873" w:rsidP="00CF1D80">
            <w:pPr>
              <w:pStyle w:val="TablebodyleftFinancialsTables"/>
              <w:rPr>
                <w:rFonts w:asciiTheme="minorHAnsi" w:hAnsiTheme="minorHAnsi" w:cstheme="minorHAnsi"/>
              </w:rPr>
            </w:pPr>
            <w:r w:rsidRPr="00CF1D80">
              <w:rPr>
                <w:rFonts w:asciiTheme="minorHAnsi" w:hAnsiTheme="minorHAnsi" w:cstheme="minorHAnsi"/>
              </w:rPr>
              <w:lastRenderedPageBreak/>
              <w:t>Y Water Discovery Centre</w:t>
            </w:r>
          </w:p>
        </w:tc>
        <w:tc>
          <w:tcPr>
            <w:tcW w:w="1611" w:type="dxa"/>
          </w:tcPr>
          <w:p w14:paraId="3B942221" w14:textId="3D4DEF07" w:rsidR="00B02873" w:rsidRPr="00CF1D80" w:rsidRDefault="00B02873" w:rsidP="00CF1D80">
            <w:pPr>
              <w:pStyle w:val="TablebodyleftFinancialsTables"/>
              <w:jc w:val="right"/>
              <w:rPr>
                <w:rFonts w:asciiTheme="minorHAnsi" w:hAnsiTheme="minorHAnsi" w:cstheme="minorHAnsi"/>
              </w:rPr>
            </w:pPr>
            <w:r w:rsidRPr="00CF1D80">
              <w:rPr>
                <w:rFonts w:asciiTheme="minorHAnsi" w:hAnsiTheme="minorHAnsi" w:cstheme="minorHAnsi"/>
              </w:rPr>
              <w:t>6,675</w:t>
            </w:r>
          </w:p>
        </w:tc>
      </w:tr>
      <w:tr w:rsidR="00B02873" w:rsidRPr="00CF1D80" w14:paraId="67D94538" w14:textId="77777777" w:rsidTr="00CF1D80">
        <w:trPr>
          <w:trHeight w:val="60"/>
        </w:trPr>
        <w:tc>
          <w:tcPr>
            <w:tcW w:w="5382" w:type="dxa"/>
          </w:tcPr>
          <w:p w14:paraId="1370D2C2" w14:textId="77777777" w:rsidR="00B02873" w:rsidRPr="00CF1D80" w:rsidRDefault="00B02873" w:rsidP="00CF1D80">
            <w:pPr>
              <w:pStyle w:val="TablebodyleftFinancialsTables"/>
              <w:rPr>
                <w:rFonts w:asciiTheme="minorHAnsi" w:hAnsiTheme="minorHAnsi" w:cstheme="minorHAnsi"/>
              </w:rPr>
            </w:pPr>
            <w:r w:rsidRPr="00CF1D80">
              <w:rPr>
                <w:rFonts w:asciiTheme="minorHAnsi" w:hAnsiTheme="minorHAnsi" w:cstheme="minorHAnsi"/>
              </w:rPr>
              <w:t>Wangaratta Landcare and Sustainability Inc</w:t>
            </w:r>
          </w:p>
        </w:tc>
        <w:tc>
          <w:tcPr>
            <w:tcW w:w="1611" w:type="dxa"/>
          </w:tcPr>
          <w:p w14:paraId="6A5206BC" w14:textId="7A184B7B" w:rsidR="00B02873" w:rsidRPr="00CF1D80" w:rsidRDefault="00B02873" w:rsidP="00CF1D80">
            <w:pPr>
              <w:pStyle w:val="TablebodyleftFinancialsTables"/>
              <w:jc w:val="right"/>
              <w:rPr>
                <w:rFonts w:asciiTheme="minorHAnsi" w:hAnsiTheme="minorHAnsi" w:cstheme="minorHAnsi"/>
              </w:rPr>
            </w:pPr>
            <w:r w:rsidRPr="00CF1D80">
              <w:rPr>
                <w:rFonts w:asciiTheme="minorHAnsi" w:hAnsiTheme="minorHAnsi" w:cstheme="minorHAnsi"/>
              </w:rPr>
              <w:t>6,638</w:t>
            </w:r>
          </w:p>
        </w:tc>
      </w:tr>
      <w:tr w:rsidR="00B02873" w:rsidRPr="00CF1D80" w14:paraId="1AF70684" w14:textId="77777777" w:rsidTr="00CF1D80">
        <w:trPr>
          <w:trHeight w:val="60"/>
        </w:trPr>
        <w:tc>
          <w:tcPr>
            <w:tcW w:w="5382" w:type="dxa"/>
          </w:tcPr>
          <w:p w14:paraId="154156E7" w14:textId="77777777" w:rsidR="00B02873" w:rsidRPr="00CF1D80" w:rsidRDefault="00B02873" w:rsidP="00CF1D80">
            <w:pPr>
              <w:pStyle w:val="TablebodyleftFinancialsTables"/>
              <w:rPr>
                <w:rFonts w:asciiTheme="minorHAnsi" w:hAnsiTheme="minorHAnsi" w:cstheme="minorHAnsi"/>
              </w:rPr>
            </w:pPr>
            <w:r w:rsidRPr="00CF1D80">
              <w:rPr>
                <w:rFonts w:asciiTheme="minorHAnsi" w:hAnsiTheme="minorHAnsi" w:cstheme="minorHAnsi"/>
              </w:rPr>
              <w:t>GV Community Energy Pty Ltd</w:t>
            </w:r>
          </w:p>
        </w:tc>
        <w:tc>
          <w:tcPr>
            <w:tcW w:w="1611" w:type="dxa"/>
          </w:tcPr>
          <w:p w14:paraId="06AFA26E" w14:textId="5F20C913" w:rsidR="00B02873" w:rsidRPr="00CF1D80" w:rsidRDefault="00B02873" w:rsidP="00CF1D80">
            <w:pPr>
              <w:pStyle w:val="TablebodyleftFinancialsTables"/>
              <w:jc w:val="right"/>
              <w:rPr>
                <w:rFonts w:asciiTheme="minorHAnsi" w:hAnsiTheme="minorHAnsi" w:cstheme="minorHAnsi"/>
              </w:rPr>
            </w:pPr>
            <w:r w:rsidRPr="00CF1D80">
              <w:rPr>
                <w:rFonts w:asciiTheme="minorHAnsi" w:hAnsiTheme="minorHAnsi" w:cstheme="minorHAnsi"/>
              </w:rPr>
              <w:t>6,150</w:t>
            </w:r>
          </w:p>
        </w:tc>
      </w:tr>
      <w:tr w:rsidR="00B02873" w:rsidRPr="00CF1D80" w14:paraId="630FB2E1" w14:textId="77777777" w:rsidTr="00CF1D80">
        <w:trPr>
          <w:trHeight w:val="60"/>
        </w:trPr>
        <w:tc>
          <w:tcPr>
            <w:tcW w:w="5382" w:type="dxa"/>
          </w:tcPr>
          <w:p w14:paraId="11C1C468" w14:textId="77777777" w:rsidR="00B02873" w:rsidRPr="00CF1D80" w:rsidRDefault="00B02873" w:rsidP="00CF1D80">
            <w:pPr>
              <w:pStyle w:val="TablebodyleftFinancialsTables"/>
              <w:rPr>
                <w:rFonts w:asciiTheme="minorHAnsi" w:hAnsiTheme="minorHAnsi" w:cstheme="minorHAnsi"/>
              </w:rPr>
            </w:pPr>
            <w:r w:rsidRPr="00CF1D80">
              <w:rPr>
                <w:rFonts w:asciiTheme="minorHAnsi" w:hAnsiTheme="minorHAnsi" w:cstheme="minorHAnsi"/>
              </w:rPr>
              <w:t>Bunanyung Landscape Alliance</w:t>
            </w:r>
          </w:p>
        </w:tc>
        <w:tc>
          <w:tcPr>
            <w:tcW w:w="1611" w:type="dxa"/>
          </w:tcPr>
          <w:p w14:paraId="51988413" w14:textId="242EBA60" w:rsidR="00B02873" w:rsidRPr="00CF1D80" w:rsidRDefault="00B02873" w:rsidP="00CF1D80">
            <w:pPr>
              <w:pStyle w:val="TablebodyleftFinancialsTables"/>
              <w:jc w:val="right"/>
              <w:rPr>
                <w:rFonts w:asciiTheme="minorHAnsi" w:hAnsiTheme="minorHAnsi" w:cstheme="minorHAnsi"/>
              </w:rPr>
            </w:pPr>
            <w:r w:rsidRPr="00CF1D80">
              <w:rPr>
                <w:rFonts w:asciiTheme="minorHAnsi" w:hAnsiTheme="minorHAnsi" w:cstheme="minorHAnsi"/>
              </w:rPr>
              <w:t>5,000</w:t>
            </w:r>
          </w:p>
        </w:tc>
      </w:tr>
      <w:tr w:rsidR="00B02873" w:rsidRPr="00CF1D80" w14:paraId="6CA4AE3B" w14:textId="77777777" w:rsidTr="00CF1D80">
        <w:trPr>
          <w:trHeight w:val="60"/>
        </w:trPr>
        <w:tc>
          <w:tcPr>
            <w:tcW w:w="5382" w:type="dxa"/>
          </w:tcPr>
          <w:p w14:paraId="6C4E43BE" w14:textId="77777777" w:rsidR="00B02873" w:rsidRPr="00CF1D80" w:rsidRDefault="00B02873" w:rsidP="00CF1D80">
            <w:pPr>
              <w:pStyle w:val="TablebodyleftFinancialsTables"/>
              <w:rPr>
                <w:rFonts w:asciiTheme="minorHAnsi" w:hAnsiTheme="minorHAnsi" w:cstheme="minorHAnsi"/>
              </w:rPr>
            </w:pPr>
            <w:r w:rsidRPr="00CF1D80">
              <w:rPr>
                <w:rFonts w:asciiTheme="minorHAnsi" w:hAnsiTheme="minorHAnsi" w:cstheme="minorHAnsi"/>
              </w:rPr>
              <w:t>Hindmarsh Shire Council</w:t>
            </w:r>
          </w:p>
        </w:tc>
        <w:tc>
          <w:tcPr>
            <w:tcW w:w="1611" w:type="dxa"/>
          </w:tcPr>
          <w:p w14:paraId="1189C058" w14:textId="273A363D" w:rsidR="00B02873" w:rsidRPr="00CF1D80" w:rsidRDefault="00B02873" w:rsidP="00CF1D80">
            <w:pPr>
              <w:pStyle w:val="TablebodyleftFinancialsTables"/>
              <w:jc w:val="right"/>
              <w:rPr>
                <w:rFonts w:asciiTheme="minorHAnsi" w:hAnsiTheme="minorHAnsi" w:cstheme="minorHAnsi"/>
              </w:rPr>
            </w:pPr>
            <w:r w:rsidRPr="00CF1D80">
              <w:rPr>
                <w:rFonts w:asciiTheme="minorHAnsi" w:hAnsiTheme="minorHAnsi" w:cstheme="minorHAnsi"/>
              </w:rPr>
              <w:t>5,000</w:t>
            </w:r>
          </w:p>
        </w:tc>
      </w:tr>
      <w:tr w:rsidR="00B02873" w:rsidRPr="00CF1D80" w14:paraId="7EFE59C3" w14:textId="77777777" w:rsidTr="00CF1D80">
        <w:trPr>
          <w:trHeight w:val="60"/>
        </w:trPr>
        <w:tc>
          <w:tcPr>
            <w:tcW w:w="5382" w:type="dxa"/>
          </w:tcPr>
          <w:p w14:paraId="04BD0B78" w14:textId="77777777" w:rsidR="00B02873" w:rsidRPr="00CF1D80" w:rsidRDefault="00B02873" w:rsidP="00CF1D80">
            <w:pPr>
              <w:pStyle w:val="TablebodyleftFinancialsTables"/>
              <w:rPr>
                <w:rFonts w:asciiTheme="minorHAnsi" w:hAnsiTheme="minorHAnsi" w:cstheme="minorHAnsi"/>
              </w:rPr>
            </w:pPr>
            <w:r w:rsidRPr="00CF1D80">
              <w:rPr>
                <w:rFonts w:asciiTheme="minorHAnsi" w:hAnsiTheme="minorHAnsi" w:cstheme="minorHAnsi"/>
              </w:rPr>
              <w:t>Other &lt; $5,000</w:t>
            </w:r>
          </w:p>
        </w:tc>
        <w:tc>
          <w:tcPr>
            <w:tcW w:w="1611" w:type="dxa"/>
          </w:tcPr>
          <w:p w14:paraId="636D9BC9" w14:textId="45A12590" w:rsidR="00B02873" w:rsidRPr="00CF1D80" w:rsidRDefault="00B02873" w:rsidP="00CF1D80">
            <w:pPr>
              <w:pStyle w:val="TablebodyleftFinancialsTables"/>
              <w:jc w:val="right"/>
              <w:rPr>
                <w:rFonts w:asciiTheme="minorHAnsi" w:hAnsiTheme="minorHAnsi" w:cstheme="minorHAnsi"/>
              </w:rPr>
            </w:pPr>
            <w:r w:rsidRPr="00CF1D80">
              <w:rPr>
                <w:rFonts w:asciiTheme="minorHAnsi" w:hAnsiTheme="minorHAnsi" w:cstheme="minorHAnsi"/>
              </w:rPr>
              <w:t>81,712</w:t>
            </w:r>
          </w:p>
        </w:tc>
      </w:tr>
      <w:tr w:rsidR="00B02873" w:rsidRPr="00CF1D80" w14:paraId="17DE434E" w14:textId="77777777" w:rsidTr="00CF1D80">
        <w:trPr>
          <w:trHeight w:val="60"/>
        </w:trPr>
        <w:tc>
          <w:tcPr>
            <w:tcW w:w="5382" w:type="dxa"/>
          </w:tcPr>
          <w:p w14:paraId="7EC695AE" w14:textId="77777777" w:rsidR="00B02873" w:rsidRPr="00CF1D80" w:rsidRDefault="00B02873" w:rsidP="00CF1D80">
            <w:pPr>
              <w:pStyle w:val="TablebodyleftFinancialsTables"/>
              <w:rPr>
                <w:rFonts w:asciiTheme="minorHAnsi" w:hAnsiTheme="minorHAnsi" w:cstheme="minorHAnsi"/>
              </w:rPr>
            </w:pPr>
            <w:r w:rsidRPr="00CF1D80">
              <w:rPr>
                <w:rFonts w:asciiTheme="minorHAnsi" w:hAnsiTheme="minorHAnsi" w:cstheme="minorHAnsi"/>
              </w:rPr>
              <w:t>Return of funds</w:t>
            </w:r>
          </w:p>
        </w:tc>
        <w:tc>
          <w:tcPr>
            <w:tcW w:w="1611" w:type="dxa"/>
          </w:tcPr>
          <w:p w14:paraId="2369408E" w14:textId="522ACD9E" w:rsidR="00B02873" w:rsidRPr="00CF1D80" w:rsidRDefault="00B02873" w:rsidP="00CF1D80">
            <w:pPr>
              <w:pStyle w:val="TablebodyleftFinancialsTables"/>
              <w:jc w:val="right"/>
              <w:rPr>
                <w:rFonts w:asciiTheme="minorHAnsi" w:hAnsiTheme="minorHAnsi" w:cstheme="minorHAnsi"/>
              </w:rPr>
            </w:pPr>
            <w:r w:rsidRPr="00CF1D80">
              <w:rPr>
                <w:rFonts w:asciiTheme="minorHAnsi" w:hAnsiTheme="minorHAnsi" w:cstheme="minorHAnsi"/>
              </w:rPr>
              <w:t>(257,906)</w:t>
            </w:r>
          </w:p>
        </w:tc>
      </w:tr>
      <w:tr w:rsidR="00B02873" w:rsidRPr="00CF1D80" w14:paraId="44A35938" w14:textId="77777777" w:rsidTr="00CF1D80">
        <w:trPr>
          <w:trHeight w:val="60"/>
        </w:trPr>
        <w:tc>
          <w:tcPr>
            <w:tcW w:w="5382" w:type="dxa"/>
          </w:tcPr>
          <w:p w14:paraId="44C8D842" w14:textId="77777777" w:rsidR="00B02873" w:rsidRPr="00CF1D80" w:rsidRDefault="00B02873" w:rsidP="00CF1D80">
            <w:pPr>
              <w:pStyle w:val="TablebodyleftFinancialsTables"/>
              <w:rPr>
                <w:rFonts w:asciiTheme="minorHAnsi" w:hAnsiTheme="minorHAnsi" w:cstheme="minorHAnsi"/>
              </w:rPr>
            </w:pPr>
            <w:r w:rsidRPr="00CF1D80">
              <w:rPr>
                <w:rFonts w:asciiTheme="minorHAnsi" w:hAnsiTheme="minorHAnsi" w:cstheme="minorHAnsi"/>
              </w:rPr>
              <w:t>Total</w:t>
            </w:r>
          </w:p>
        </w:tc>
        <w:tc>
          <w:tcPr>
            <w:tcW w:w="1611" w:type="dxa"/>
          </w:tcPr>
          <w:p w14:paraId="681D3C68" w14:textId="77777777" w:rsidR="00B02873" w:rsidRPr="00CF1D80" w:rsidRDefault="00B02873" w:rsidP="00CF1D80">
            <w:pPr>
              <w:pStyle w:val="TablebodyleftFinancialsTables"/>
              <w:jc w:val="right"/>
              <w:rPr>
                <w:rFonts w:asciiTheme="minorHAnsi" w:hAnsiTheme="minorHAnsi" w:cstheme="minorHAnsi"/>
              </w:rPr>
            </w:pPr>
            <w:r w:rsidRPr="00CF1D80">
              <w:rPr>
                <w:rFonts w:asciiTheme="minorHAnsi" w:hAnsiTheme="minorHAnsi" w:cstheme="minorHAnsi"/>
              </w:rPr>
              <w:t>10,550,605</w:t>
            </w:r>
          </w:p>
        </w:tc>
      </w:tr>
    </w:tbl>
    <w:p w14:paraId="49A28159" w14:textId="77777777" w:rsidR="00B02873" w:rsidRDefault="00B02873" w:rsidP="00FE198A"/>
    <w:p w14:paraId="62BE5DCC" w14:textId="2B9DB083" w:rsidR="00B02873" w:rsidRDefault="00B02873" w:rsidP="00CF1D80">
      <w:pPr>
        <w:pStyle w:val="TabletitleTables"/>
      </w:pPr>
      <w:r>
        <w:t>Table 4</w:t>
      </w:r>
      <w:r w:rsidR="000C45FC">
        <w:t xml:space="preserve"> – </w:t>
      </w:r>
      <w:r>
        <w:t xml:space="preserve">Environment and Biodiversity </w:t>
      </w:r>
    </w:p>
    <w:tbl>
      <w:tblPr>
        <w:tblStyle w:val="TableGrid"/>
        <w:tblW w:w="0" w:type="auto"/>
        <w:tblLayout w:type="fixed"/>
        <w:tblLook w:val="0020" w:firstRow="1" w:lastRow="0" w:firstColumn="0" w:lastColumn="0" w:noHBand="0" w:noVBand="0"/>
      </w:tblPr>
      <w:tblGrid>
        <w:gridCol w:w="5382"/>
        <w:gridCol w:w="1559"/>
      </w:tblGrid>
      <w:tr w:rsidR="00B02873" w:rsidRPr="00B02873" w14:paraId="051AF1AE" w14:textId="77777777" w:rsidTr="00CF1D80">
        <w:trPr>
          <w:cnfStyle w:val="100000000000" w:firstRow="1" w:lastRow="0" w:firstColumn="0" w:lastColumn="0" w:oddVBand="0" w:evenVBand="0" w:oddHBand="0" w:evenHBand="0" w:firstRowFirstColumn="0" w:firstRowLastColumn="0" w:lastRowFirstColumn="0" w:lastRowLastColumn="0"/>
          <w:trHeight w:val="60"/>
          <w:tblHeader/>
        </w:trPr>
        <w:tc>
          <w:tcPr>
            <w:tcW w:w="5382" w:type="dxa"/>
          </w:tcPr>
          <w:p w14:paraId="3C214356" w14:textId="77777777" w:rsidR="00B02873" w:rsidRDefault="00B02873" w:rsidP="00CF1D80">
            <w:pPr>
              <w:pStyle w:val="TableheadingleftFinancialsTables"/>
            </w:pPr>
            <w:r>
              <w:t>Grant recipient</w:t>
            </w:r>
          </w:p>
        </w:tc>
        <w:tc>
          <w:tcPr>
            <w:tcW w:w="1559" w:type="dxa"/>
          </w:tcPr>
          <w:p w14:paraId="6321071E" w14:textId="77777777" w:rsidR="00B02873" w:rsidRDefault="00B02873" w:rsidP="00CF1D80">
            <w:pPr>
              <w:pStyle w:val="TableheadingleftFinancialsTables"/>
              <w:jc w:val="right"/>
            </w:pPr>
            <w:r>
              <w:t>$</w:t>
            </w:r>
          </w:p>
        </w:tc>
      </w:tr>
      <w:tr w:rsidR="00B02873" w:rsidRPr="00B02873" w14:paraId="67D89C14" w14:textId="77777777" w:rsidTr="00CF1D80">
        <w:trPr>
          <w:trHeight w:val="60"/>
        </w:trPr>
        <w:tc>
          <w:tcPr>
            <w:tcW w:w="5382" w:type="dxa"/>
          </w:tcPr>
          <w:p w14:paraId="75B64346" w14:textId="77777777" w:rsidR="00B02873" w:rsidRDefault="00B02873" w:rsidP="00CF1D80">
            <w:pPr>
              <w:pStyle w:val="TablebodyleftFinancialsTables"/>
            </w:pPr>
            <w:r>
              <w:t>Sustainability Victoria</w:t>
            </w:r>
          </w:p>
        </w:tc>
        <w:tc>
          <w:tcPr>
            <w:tcW w:w="1559" w:type="dxa"/>
          </w:tcPr>
          <w:p w14:paraId="6C3FD4EE" w14:textId="77777777" w:rsidR="00B02873" w:rsidRDefault="00B02873" w:rsidP="00CF1D80">
            <w:pPr>
              <w:pStyle w:val="TablebodyleftFinancialsTables"/>
              <w:jc w:val="right"/>
            </w:pPr>
            <w:r>
              <w:t>23,005,905</w:t>
            </w:r>
          </w:p>
        </w:tc>
      </w:tr>
      <w:tr w:rsidR="00B02873" w:rsidRPr="00B02873" w14:paraId="50542CAD" w14:textId="77777777" w:rsidTr="00CF1D80">
        <w:trPr>
          <w:trHeight w:val="60"/>
        </w:trPr>
        <w:tc>
          <w:tcPr>
            <w:tcW w:w="5382" w:type="dxa"/>
          </w:tcPr>
          <w:p w14:paraId="7BE8A193" w14:textId="77777777" w:rsidR="00B02873" w:rsidRDefault="00B02873" w:rsidP="00CF1D80">
            <w:pPr>
              <w:pStyle w:val="TablebodyleftFinancialsTables"/>
            </w:pPr>
            <w:r>
              <w:t>Parks Victoria</w:t>
            </w:r>
          </w:p>
        </w:tc>
        <w:tc>
          <w:tcPr>
            <w:tcW w:w="1559" w:type="dxa"/>
          </w:tcPr>
          <w:p w14:paraId="268B7D57" w14:textId="77777777" w:rsidR="00B02873" w:rsidRDefault="00B02873" w:rsidP="00CF1D80">
            <w:pPr>
              <w:pStyle w:val="TablebodyleftFinancialsTables"/>
              <w:jc w:val="right"/>
            </w:pPr>
            <w:r>
              <w:t>19,565,968</w:t>
            </w:r>
          </w:p>
        </w:tc>
      </w:tr>
      <w:tr w:rsidR="00B02873" w:rsidRPr="00B02873" w14:paraId="271CF3DB" w14:textId="77777777" w:rsidTr="00CF1D80">
        <w:trPr>
          <w:trHeight w:val="60"/>
        </w:trPr>
        <w:tc>
          <w:tcPr>
            <w:tcW w:w="5382" w:type="dxa"/>
          </w:tcPr>
          <w:p w14:paraId="4842B9EB" w14:textId="77777777" w:rsidR="00B02873" w:rsidRDefault="00B02873" w:rsidP="00CF1D80">
            <w:pPr>
              <w:pStyle w:val="TablebodyleftFinancialsTables"/>
            </w:pPr>
            <w:r>
              <w:t>Trust for Nature Victoria</w:t>
            </w:r>
          </w:p>
        </w:tc>
        <w:tc>
          <w:tcPr>
            <w:tcW w:w="1559" w:type="dxa"/>
          </w:tcPr>
          <w:p w14:paraId="42E35ABE" w14:textId="77777777" w:rsidR="00B02873" w:rsidRDefault="00B02873" w:rsidP="00CF1D80">
            <w:pPr>
              <w:pStyle w:val="TablebodyleftFinancialsTables"/>
              <w:jc w:val="right"/>
            </w:pPr>
            <w:r>
              <w:t>18,111,613</w:t>
            </w:r>
          </w:p>
        </w:tc>
      </w:tr>
      <w:tr w:rsidR="00B02873" w:rsidRPr="00B02873" w14:paraId="3706DDE4" w14:textId="77777777" w:rsidTr="00CF1D80">
        <w:trPr>
          <w:trHeight w:val="60"/>
        </w:trPr>
        <w:tc>
          <w:tcPr>
            <w:tcW w:w="5382" w:type="dxa"/>
          </w:tcPr>
          <w:p w14:paraId="1CC3E151" w14:textId="77777777" w:rsidR="00B02873" w:rsidRDefault="00B02873" w:rsidP="00CF1D80">
            <w:pPr>
              <w:pStyle w:val="TablebodyleftFinancialsTables"/>
            </w:pPr>
            <w:r>
              <w:t>Recipients under the Bushbroker Program</w:t>
            </w:r>
          </w:p>
        </w:tc>
        <w:tc>
          <w:tcPr>
            <w:tcW w:w="1559" w:type="dxa"/>
          </w:tcPr>
          <w:p w14:paraId="21A7A237" w14:textId="77777777" w:rsidR="00B02873" w:rsidRDefault="00B02873" w:rsidP="00CF1D80">
            <w:pPr>
              <w:pStyle w:val="TablebodyleftFinancialsTables"/>
              <w:jc w:val="right"/>
            </w:pPr>
            <w:r>
              <w:t>12,641,376</w:t>
            </w:r>
          </w:p>
        </w:tc>
      </w:tr>
      <w:tr w:rsidR="00B02873" w:rsidRPr="00B02873" w14:paraId="1106AEC5" w14:textId="77777777" w:rsidTr="00CF1D80">
        <w:trPr>
          <w:trHeight w:val="60"/>
        </w:trPr>
        <w:tc>
          <w:tcPr>
            <w:tcW w:w="5382" w:type="dxa"/>
          </w:tcPr>
          <w:p w14:paraId="1D7B395D" w14:textId="77777777" w:rsidR="00B02873" w:rsidRDefault="00B02873" w:rsidP="00CF1D80">
            <w:pPr>
              <w:pStyle w:val="TablebodyleftFinancialsTables"/>
            </w:pPr>
            <w:r>
              <w:t>Department of Jobs Precincts and Regions (Victoria)</w:t>
            </w:r>
          </w:p>
        </w:tc>
        <w:tc>
          <w:tcPr>
            <w:tcW w:w="1559" w:type="dxa"/>
          </w:tcPr>
          <w:p w14:paraId="1B546DD8" w14:textId="77777777" w:rsidR="00B02873" w:rsidRDefault="00B02873" w:rsidP="00CF1D80">
            <w:pPr>
              <w:pStyle w:val="TablebodyleftFinancialsTables"/>
              <w:jc w:val="right"/>
            </w:pPr>
            <w:r>
              <w:t>2,760,516</w:t>
            </w:r>
          </w:p>
        </w:tc>
      </w:tr>
      <w:tr w:rsidR="00B02873" w:rsidRPr="00B02873" w14:paraId="46859CAB" w14:textId="77777777" w:rsidTr="00CF1D80">
        <w:trPr>
          <w:trHeight w:val="60"/>
        </w:trPr>
        <w:tc>
          <w:tcPr>
            <w:tcW w:w="5382" w:type="dxa"/>
          </w:tcPr>
          <w:p w14:paraId="486B70FD" w14:textId="77777777" w:rsidR="00B02873" w:rsidRDefault="00B02873" w:rsidP="00CF1D80">
            <w:pPr>
              <w:pStyle w:val="TablebodyleftFinancialsTables"/>
            </w:pPr>
            <w:r>
              <w:t>Royal Botanic Gardens Victoria</w:t>
            </w:r>
          </w:p>
        </w:tc>
        <w:tc>
          <w:tcPr>
            <w:tcW w:w="1559" w:type="dxa"/>
          </w:tcPr>
          <w:p w14:paraId="5CDA874E" w14:textId="77777777" w:rsidR="00B02873" w:rsidRDefault="00B02873" w:rsidP="00CF1D80">
            <w:pPr>
              <w:pStyle w:val="TablebodyleftFinancialsTables"/>
              <w:jc w:val="right"/>
            </w:pPr>
            <w:r>
              <w:t>1,737,251</w:t>
            </w:r>
          </w:p>
        </w:tc>
      </w:tr>
      <w:tr w:rsidR="00B02873" w:rsidRPr="00B02873" w14:paraId="6D3AA1C1" w14:textId="77777777" w:rsidTr="00CF1D80">
        <w:trPr>
          <w:trHeight w:val="60"/>
        </w:trPr>
        <w:tc>
          <w:tcPr>
            <w:tcW w:w="5382" w:type="dxa"/>
          </w:tcPr>
          <w:p w14:paraId="0ED82417" w14:textId="77777777" w:rsidR="00B02873" w:rsidRDefault="00B02873" w:rsidP="00CF1D80">
            <w:pPr>
              <w:pStyle w:val="TablebodyleftFinancialsTables"/>
            </w:pPr>
            <w:r>
              <w:t>Melbourne Water</w:t>
            </w:r>
          </w:p>
        </w:tc>
        <w:tc>
          <w:tcPr>
            <w:tcW w:w="1559" w:type="dxa"/>
          </w:tcPr>
          <w:p w14:paraId="14ED4346" w14:textId="77777777" w:rsidR="00B02873" w:rsidRDefault="00B02873" w:rsidP="00CF1D80">
            <w:pPr>
              <w:pStyle w:val="TablebodyleftFinancialsTables"/>
              <w:jc w:val="right"/>
            </w:pPr>
            <w:r>
              <w:t>1,492,042</w:t>
            </w:r>
          </w:p>
        </w:tc>
      </w:tr>
      <w:tr w:rsidR="00B02873" w:rsidRPr="00B02873" w14:paraId="08921909" w14:textId="77777777" w:rsidTr="00CF1D80">
        <w:trPr>
          <w:trHeight w:val="60"/>
        </w:trPr>
        <w:tc>
          <w:tcPr>
            <w:tcW w:w="5382" w:type="dxa"/>
          </w:tcPr>
          <w:p w14:paraId="7D5C5455" w14:textId="77777777" w:rsidR="00B02873" w:rsidRDefault="00B02873" w:rsidP="00CF1D80">
            <w:pPr>
              <w:pStyle w:val="TablebodyleftFinancialsTables"/>
            </w:pPr>
            <w:r>
              <w:t>Mallee Catchment Management Authority</w:t>
            </w:r>
          </w:p>
        </w:tc>
        <w:tc>
          <w:tcPr>
            <w:tcW w:w="1559" w:type="dxa"/>
          </w:tcPr>
          <w:p w14:paraId="5A1C3E62" w14:textId="77777777" w:rsidR="00B02873" w:rsidRDefault="00B02873" w:rsidP="00CF1D80">
            <w:pPr>
              <w:pStyle w:val="TablebodyleftFinancialsTables"/>
              <w:jc w:val="right"/>
            </w:pPr>
            <w:r>
              <w:t>1,436,793</w:t>
            </w:r>
          </w:p>
        </w:tc>
      </w:tr>
      <w:tr w:rsidR="00B02873" w:rsidRPr="00B02873" w14:paraId="4962EAC3" w14:textId="77777777" w:rsidTr="00CF1D80">
        <w:trPr>
          <w:trHeight w:val="60"/>
        </w:trPr>
        <w:tc>
          <w:tcPr>
            <w:tcW w:w="5382" w:type="dxa"/>
          </w:tcPr>
          <w:p w14:paraId="67D7232B" w14:textId="77777777" w:rsidR="00B02873" w:rsidRDefault="00B02873" w:rsidP="00CF1D80">
            <w:pPr>
              <w:pStyle w:val="TablebodyleftFinancialsTables"/>
            </w:pPr>
            <w:r>
              <w:t>Goulburn Broken Catchment Management Authority</w:t>
            </w:r>
          </w:p>
        </w:tc>
        <w:tc>
          <w:tcPr>
            <w:tcW w:w="1559" w:type="dxa"/>
          </w:tcPr>
          <w:p w14:paraId="436D0B9A" w14:textId="77777777" w:rsidR="00B02873" w:rsidRDefault="00B02873" w:rsidP="00CF1D80">
            <w:pPr>
              <w:pStyle w:val="TablebodyleftFinancialsTables"/>
              <w:jc w:val="right"/>
            </w:pPr>
            <w:r>
              <w:t>1,314,195</w:t>
            </w:r>
          </w:p>
        </w:tc>
      </w:tr>
      <w:tr w:rsidR="00B02873" w:rsidRPr="00B02873" w14:paraId="4AB76E33" w14:textId="77777777" w:rsidTr="00CF1D80">
        <w:trPr>
          <w:trHeight w:val="60"/>
        </w:trPr>
        <w:tc>
          <w:tcPr>
            <w:tcW w:w="5382" w:type="dxa"/>
          </w:tcPr>
          <w:p w14:paraId="72D5102E" w14:textId="77777777" w:rsidR="00B02873" w:rsidRDefault="00B02873" w:rsidP="00CF1D80">
            <w:pPr>
              <w:pStyle w:val="TablebodyleftFinancialsTables"/>
            </w:pPr>
            <w:r>
              <w:t>West Gippsland Catchment Management Authority</w:t>
            </w:r>
          </w:p>
        </w:tc>
        <w:tc>
          <w:tcPr>
            <w:tcW w:w="1559" w:type="dxa"/>
          </w:tcPr>
          <w:p w14:paraId="72DAB0A4" w14:textId="77777777" w:rsidR="00B02873" w:rsidRDefault="00B02873" w:rsidP="00CF1D80">
            <w:pPr>
              <w:pStyle w:val="TablebodyleftFinancialsTables"/>
              <w:jc w:val="right"/>
            </w:pPr>
            <w:r>
              <w:t>1,204,306</w:t>
            </w:r>
          </w:p>
        </w:tc>
      </w:tr>
      <w:tr w:rsidR="00B02873" w:rsidRPr="00B02873" w14:paraId="60FB3E26" w14:textId="77777777" w:rsidTr="00CF1D80">
        <w:trPr>
          <w:trHeight w:val="60"/>
        </w:trPr>
        <w:tc>
          <w:tcPr>
            <w:tcW w:w="5382" w:type="dxa"/>
          </w:tcPr>
          <w:p w14:paraId="7A0B86A5" w14:textId="77777777" w:rsidR="00B02873" w:rsidRDefault="00B02873" w:rsidP="00CF1D80">
            <w:pPr>
              <w:pStyle w:val="TablebodyleftFinancialsTables"/>
            </w:pPr>
            <w:r>
              <w:t>Corangamite Catchment Management Authority</w:t>
            </w:r>
          </w:p>
        </w:tc>
        <w:tc>
          <w:tcPr>
            <w:tcW w:w="1559" w:type="dxa"/>
          </w:tcPr>
          <w:p w14:paraId="27396C44" w14:textId="77777777" w:rsidR="00B02873" w:rsidRDefault="00B02873" w:rsidP="00CF1D80">
            <w:pPr>
              <w:pStyle w:val="TablebodyleftFinancialsTables"/>
              <w:jc w:val="right"/>
            </w:pPr>
            <w:r>
              <w:t>1,052,481</w:t>
            </w:r>
          </w:p>
        </w:tc>
      </w:tr>
      <w:tr w:rsidR="00B02873" w:rsidRPr="00B02873" w14:paraId="41601D9B" w14:textId="77777777" w:rsidTr="00CF1D80">
        <w:trPr>
          <w:trHeight w:val="60"/>
        </w:trPr>
        <w:tc>
          <w:tcPr>
            <w:tcW w:w="5382" w:type="dxa"/>
          </w:tcPr>
          <w:p w14:paraId="218C22A8" w14:textId="77777777" w:rsidR="00B02873" w:rsidRDefault="00B02873" w:rsidP="00CF1D80">
            <w:pPr>
              <w:pStyle w:val="TablebodyleftFinancialsTables"/>
            </w:pPr>
            <w:r>
              <w:t>Glenelg-Hopkins Catchment Management Authority</w:t>
            </w:r>
          </w:p>
        </w:tc>
        <w:tc>
          <w:tcPr>
            <w:tcW w:w="1559" w:type="dxa"/>
          </w:tcPr>
          <w:p w14:paraId="181A3B42" w14:textId="77777777" w:rsidR="00B02873" w:rsidRDefault="00B02873" w:rsidP="00CF1D80">
            <w:pPr>
              <w:pStyle w:val="TablebodyleftFinancialsTables"/>
              <w:jc w:val="right"/>
            </w:pPr>
            <w:r>
              <w:t>1,040,940</w:t>
            </w:r>
          </w:p>
        </w:tc>
      </w:tr>
      <w:tr w:rsidR="00B02873" w:rsidRPr="00B02873" w14:paraId="5ED0CA85" w14:textId="77777777" w:rsidTr="00CF1D80">
        <w:trPr>
          <w:trHeight w:val="60"/>
        </w:trPr>
        <w:tc>
          <w:tcPr>
            <w:tcW w:w="5382" w:type="dxa"/>
          </w:tcPr>
          <w:p w14:paraId="1F5C99DA" w14:textId="77777777" w:rsidR="00B02873" w:rsidRDefault="00B02873" w:rsidP="00CF1D80">
            <w:pPr>
              <w:pStyle w:val="TablebodyleftFinancialsTables"/>
            </w:pPr>
            <w:r>
              <w:t>North Central Catchment Management Authority</w:t>
            </w:r>
          </w:p>
        </w:tc>
        <w:tc>
          <w:tcPr>
            <w:tcW w:w="1559" w:type="dxa"/>
          </w:tcPr>
          <w:p w14:paraId="3E87122B" w14:textId="77777777" w:rsidR="00B02873" w:rsidRDefault="00B02873" w:rsidP="00CF1D80">
            <w:pPr>
              <w:pStyle w:val="TablebodyleftFinancialsTables"/>
              <w:jc w:val="right"/>
            </w:pPr>
            <w:r>
              <w:t>1,023,732</w:t>
            </w:r>
          </w:p>
        </w:tc>
      </w:tr>
      <w:tr w:rsidR="00B02873" w:rsidRPr="00B02873" w14:paraId="6DC1D94C" w14:textId="77777777" w:rsidTr="00CF1D80">
        <w:trPr>
          <w:trHeight w:val="60"/>
        </w:trPr>
        <w:tc>
          <w:tcPr>
            <w:tcW w:w="5382" w:type="dxa"/>
          </w:tcPr>
          <w:p w14:paraId="0AF6346D" w14:textId="77777777" w:rsidR="00B02873" w:rsidRDefault="00B02873" w:rsidP="00CF1D80">
            <w:pPr>
              <w:pStyle w:val="TablebodyleftFinancialsTables"/>
            </w:pPr>
            <w:r>
              <w:t>Recipients under the Wildlife Rehabilitator Grants Program</w:t>
            </w:r>
          </w:p>
        </w:tc>
        <w:tc>
          <w:tcPr>
            <w:tcW w:w="1559" w:type="dxa"/>
          </w:tcPr>
          <w:p w14:paraId="2245E07D" w14:textId="77777777" w:rsidR="00B02873" w:rsidRDefault="00B02873" w:rsidP="00CF1D80">
            <w:pPr>
              <w:pStyle w:val="TablebodyleftFinancialsTables"/>
              <w:jc w:val="right"/>
            </w:pPr>
            <w:r>
              <w:t>951,150</w:t>
            </w:r>
          </w:p>
        </w:tc>
      </w:tr>
      <w:tr w:rsidR="00B02873" w:rsidRPr="00B02873" w14:paraId="58230A16" w14:textId="77777777" w:rsidTr="00CF1D80">
        <w:trPr>
          <w:trHeight w:val="60"/>
        </w:trPr>
        <w:tc>
          <w:tcPr>
            <w:tcW w:w="5382" w:type="dxa"/>
          </w:tcPr>
          <w:p w14:paraId="40BA3A29" w14:textId="77777777" w:rsidR="00B02873" w:rsidRDefault="00B02873" w:rsidP="00CF1D80">
            <w:pPr>
              <w:pStyle w:val="TablebodyleftFinancialsTables"/>
            </w:pPr>
            <w:r>
              <w:t>Victorian Fisheries Authority</w:t>
            </w:r>
          </w:p>
        </w:tc>
        <w:tc>
          <w:tcPr>
            <w:tcW w:w="1559" w:type="dxa"/>
          </w:tcPr>
          <w:p w14:paraId="435612FB" w14:textId="77777777" w:rsidR="00B02873" w:rsidRDefault="00B02873" w:rsidP="00CF1D80">
            <w:pPr>
              <w:pStyle w:val="TablebodyleftFinancialsTables"/>
              <w:jc w:val="right"/>
            </w:pPr>
            <w:r>
              <w:t>942,485</w:t>
            </w:r>
          </w:p>
        </w:tc>
      </w:tr>
      <w:tr w:rsidR="00B02873" w:rsidRPr="00B02873" w14:paraId="16ACD941" w14:textId="77777777" w:rsidTr="00CF1D80">
        <w:trPr>
          <w:trHeight w:val="60"/>
        </w:trPr>
        <w:tc>
          <w:tcPr>
            <w:tcW w:w="5382" w:type="dxa"/>
          </w:tcPr>
          <w:p w14:paraId="5346E534" w14:textId="77777777" w:rsidR="00B02873" w:rsidRDefault="00B02873" w:rsidP="00CF1D80">
            <w:pPr>
              <w:pStyle w:val="TablebodyleftFinancialsTables"/>
            </w:pPr>
            <w:r>
              <w:t>Gunaikurnai Land and Waters Aboriginal Corporation</w:t>
            </w:r>
          </w:p>
        </w:tc>
        <w:tc>
          <w:tcPr>
            <w:tcW w:w="1559" w:type="dxa"/>
          </w:tcPr>
          <w:p w14:paraId="61D3D55A" w14:textId="77777777" w:rsidR="00B02873" w:rsidRDefault="00B02873" w:rsidP="00CF1D80">
            <w:pPr>
              <w:pStyle w:val="TablebodyleftFinancialsTables"/>
              <w:jc w:val="right"/>
            </w:pPr>
            <w:r>
              <w:t>936,895</w:t>
            </w:r>
          </w:p>
        </w:tc>
      </w:tr>
      <w:tr w:rsidR="00B02873" w:rsidRPr="00B02873" w14:paraId="34FFD486" w14:textId="77777777" w:rsidTr="00CF1D80">
        <w:trPr>
          <w:trHeight w:val="60"/>
        </w:trPr>
        <w:tc>
          <w:tcPr>
            <w:tcW w:w="5382" w:type="dxa"/>
          </w:tcPr>
          <w:p w14:paraId="00175A40" w14:textId="77777777" w:rsidR="00B02873" w:rsidRDefault="00B02873" w:rsidP="00CF1D80">
            <w:pPr>
              <w:pStyle w:val="TablebodyleftFinancialsTables"/>
            </w:pPr>
            <w:r>
              <w:t>Wimmera Catchment Management Authority</w:t>
            </w:r>
          </w:p>
        </w:tc>
        <w:tc>
          <w:tcPr>
            <w:tcW w:w="1559" w:type="dxa"/>
          </w:tcPr>
          <w:p w14:paraId="1AEDEF3E" w14:textId="77777777" w:rsidR="00B02873" w:rsidRDefault="00B02873" w:rsidP="00CF1D80">
            <w:pPr>
              <w:pStyle w:val="TablebodyleftFinancialsTables"/>
              <w:jc w:val="right"/>
            </w:pPr>
            <w:r>
              <w:t>858,939</w:t>
            </w:r>
          </w:p>
        </w:tc>
      </w:tr>
      <w:tr w:rsidR="00B02873" w:rsidRPr="00B02873" w14:paraId="7E86523A" w14:textId="77777777" w:rsidTr="00CF1D80">
        <w:trPr>
          <w:trHeight w:val="60"/>
        </w:trPr>
        <w:tc>
          <w:tcPr>
            <w:tcW w:w="5382" w:type="dxa"/>
          </w:tcPr>
          <w:p w14:paraId="5588E63B" w14:textId="77777777" w:rsidR="00B02873" w:rsidRDefault="00B02873" w:rsidP="00CF1D80">
            <w:pPr>
              <w:pStyle w:val="TablebodyleftFinancialsTables"/>
            </w:pPr>
            <w:r>
              <w:t>North East Catchment Management Authority</w:t>
            </w:r>
          </w:p>
        </w:tc>
        <w:tc>
          <w:tcPr>
            <w:tcW w:w="1559" w:type="dxa"/>
          </w:tcPr>
          <w:p w14:paraId="7FF53F32" w14:textId="77777777" w:rsidR="00B02873" w:rsidRDefault="00B02873" w:rsidP="00CF1D80">
            <w:pPr>
              <w:pStyle w:val="TablebodyleftFinancialsTables"/>
              <w:jc w:val="right"/>
            </w:pPr>
            <w:r>
              <w:t>829,746</w:t>
            </w:r>
          </w:p>
        </w:tc>
      </w:tr>
      <w:tr w:rsidR="00B02873" w:rsidRPr="00B02873" w14:paraId="476A933E" w14:textId="77777777" w:rsidTr="00CF1D80">
        <w:trPr>
          <w:trHeight w:val="60"/>
        </w:trPr>
        <w:tc>
          <w:tcPr>
            <w:tcW w:w="5382" w:type="dxa"/>
          </w:tcPr>
          <w:p w14:paraId="020D7F06" w14:textId="77777777" w:rsidR="00B02873" w:rsidRDefault="00B02873" w:rsidP="00CF1D80">
            <w:pPr>
              <w:pStyle w:val="TablebodyleftFinancialsTables"/>
            </w:pPr>
            <w:r>
              <w:t>First People of the Millewa-Mallee Aboriginal Corporation</w:t>
            </w:r>
          </w:p>
        </w:tc>
        <w:tc>
          <w:tcPr>
            <w:tcW w:w="1559" w:type="dxa"/>
          </w:tcPr>
          <w:p w14:paraId="5ACEB7B5" w14:textId="77777777" w:rsidR="00B02873" w:rsidRDefault="00B02873" w:rsidP="00CF1D80">
            <w:pPr>
              <w:pStyle w:val="TablebodyleftFinancialsTables"/>
              <w:jc w:val="right"/>
            </w:pPr>
            <w:r>
              <w:t>823,000</w:t>
            </w:r>
          </w:p>
        </w:tc>
      </w:tr>
      <w:tr w:rsidR="00B02873" w:rsidRPr="00B02873" w14:paraId="22FD61F0" w14:textId="77777777" w:rsidTr="00CF1D80">
        <w:trPr>
          <w:trHeight w:val="60"/>
        </w:trPr>
        <w:tc>
          <w:tcPr>
            <w:tcW w:w="5382" w:type="dxa"/>
          </w:tcPr>
          <w:p w14:paraId="5E9F7EFF" w14:textId="77777777" w:rsidR="00B02873" w:rsidRDefault="00B02873" w:rsidP="00CF1D80">
            <w:pPr>
              <w:pStyle w:val="TablebodyleftFinancialsTables"/>
            </w:pPr>
            <w:r>
              <w:t>Moogji Aboriginal Council</w:t>
            </w:r>
          </w:p>
        </w:tc>
        <w:tc>
          <w:tcPr>
            <w:tcW w:w="1559" w:type="dxa"/>
          </w:tcPr>
          <w:p w14:paraId="27D7F5CC" w14:textId="77777777" w:rsidR="00B02873" w:rsidRDefault="00B02873" w:rsidP="00CF1D80">
            <w:pPr>
              <w:pStyle w:val="TablebodyleftFinancialsTables"/>
              <w:jc w:val="right"/>
            </w:pPr>
            <w:r>
              <w:t>740,000</w:t>
            </w:r>
          </w:p>
        </w:tc>
      </w:tr>
      <w:tr w:rsidR="00B02873" w:rsidRPr="00B02873" w14:paraId="4DB526B0" w14:textId="77777777" w:rsidTr="00CF1D80">
        <w:trPr>
          <w:trHeight w:val="60"/>
        </w:trPr>
        <w:tc>
          <w:tcPr>
            <w:tcW w:w="5382" w:type="dxa"/>
          </w:tcPr>
          <w:p w14:paraId="6DA2EAF5" w14:textId="77777777" w:rsidR="00B02873" w:rsidRDefault="00B02873" w:rsidP="00CF1D80">
            <w:pPr>
              <w:pStyle w:val="TablebodyleftFinancialsTables"/>
            </w:pPr>
            <w:r>
              <w:t>East Gippsland Catchment Management Authority</w:t>
            </w:r>
          </w:p>
        </w:tc>
        <w:tc>
          <w:tcPr>
            <w:tcW w:w="1559" w:type="dxa"/>
          </w:tcPr>
          <w:p w14:paraId="1E1CB0BE" w14:textId="77777777" w:rsidR="00B02873" w:rsidRDefault="00B02873" w:rsidP="00CF1D80">
            <w:pPr>
              <w:pStyle w:val="TablebodyleftFinancialsTables"/>
              <w:jc w:val="right"/>
            </w:pPr>
            <w:r>
              <w:t>699,123</w:t>
            </w:r>
          </w:p>
        </w:tc>
      </w:tr>
      <w:tr w:rsidR="00B02873" w:rsidRPr="00B02873" w14:paraId="170565AE" w14:textId="77777777" w:rsidTr="00CF1D80">
        <w:trPr>
          <w:trHeight w:val="60"/>
        </w:trPr>
        <w:tc>
          <w:tcPr>
            <w:tcW w:w="5382" w:type="dxa"/>
          </w:tcPr>
          <w:p w14:paraId="399A1A96" w14:textId="77777777" w:rsidR="00B02873" w:rsidRDefault="00B02873" w:rsidP="00CF1D80">
            <w:pPr>
              <w:pStyle w:val="TablebodyleftFinancialsTables"/>
            </w:pPr>
            <w:r>
              <w:t>Gunditj Mirring Traditional Owners Aboriginal Corporation</w:t>
            </w:r>
          </w:p>
        </w:tc>
        <w:tc>
          <w:tcPr>
            <w:tcW w:w="1559" w:type="dxa"/>
          </w:tcPr>
          <w:p w14:paraId="67FAAE80" w14:textId="77777777" w:rsidR="00B02873" w:rsidRDefault="00B02873" w:rsidP="00CF1D80">
            <w:pPr>
              <w:pStyle w:val="TablebodyleftFinancialsTables"/>
              <w:jc w:val="right"/>
            </w:pPr>
            <w:r>
              <w:t>625,000</w:t>
            </w:r>
          </w:p>
        </w:tc>
      </w:tr>
      <w:tr w:rsidR="00B02873" w:rsidRPr="00B02873" w14:paraId="1B30E5C1" w14:textId="77777777" w:rsidTr="00CF1D80">
        <w:trPr>
          <w:trHeight w:val="60"/>
        </w:trPr>
        <w:tc>
          <w:tcPr>
            <w:tcW w:w="5382" w:type="dxa"/>
          </w:tcPr>
          <w:p w14:paraId="451A7D62" w14:textId="77777777" w:rsidR="00B02873" w:rsidRDefault="00B02873" w:rsidP="00CF1D80">
            <w:pPr>
              <w:pStyle w:val="TablebodyleftFinancialsTables"/>
            </w:pPr>
            <w:r>
              <w:t>Environment Protection Authority</w:t>
            </w:r>
          </w:p>
        </w:tc>
        <w:tc>
          <w:tcPr>
            <w:tcW w:w="1559" w:type="dxa"/>
          </w:tcPr>
          <w:p w14:paraId="2448E2C8" w14:textId="77777777" w:rsidR="00B02873" w:rsidRDefault="00B02873" w:rsidP="00CF1D80">
            <w:pPr>
              <w:pStyle w:val="TablebodyleftFinancialsTables"/>
              <w:jc w:val="right"/>
            </w:pPr>
            <w:r>
              <w:t>621,173</w:t>
            </w:r>
          </w:p>
        </w:tc>
      </w:tr>
      <w:tr w:rsidR="00B02873" w:rsidRPr="00B02873" w14:paraId="4EBDDFD5" w14:textId="77777777" w:rsidTr="00CF1D80">
        <w:trPr>
          <w:trHeight w:val="60"/>
        </w:trPr>
        <w:tc>
          <w:tcPr>
            <w:tcW w:w="5382" w:type="dxa"/>
          </w:tcPr>
          <w:p w14:paraId="3DEAE173" w14:textId="77777777" w:rsidR="00B02873" w:rsidRDefault="00B02873" w:rsidP="00CF1D80">
            <w:pPr>
              <w:pStyle w:val="TablebodyleftFinancialsTables"/>
            </w:pPr>
            <w:r>
              <w:t>Taungurung Land and Waters Council</w:t>
            </w:r>
          </w:p>
        </w:tc>
        <w:tc>
          <w:tcPr>
            <w:tcW w:w="1559" w:type="dxa"/>
          </w:tcPr>
          <w:p w14:paraId="76D7C56D" w14:textId="77777777" w:rsidR="00B02873" w:rsidRDefault="00B02873" w:rsidP="00CF1D80">
            <w:pPr>
              <w:pStyle w:val="TablebodyleftFinancialsTables"/>
              <w:jc w:val="right"/>
            </w:pPr>
            <w:r>
              <w:t>620,000</w:t>
            </w:r>
          </w:p>
        </w:tc>
      </w:tr>
      <w:tr w:rsidR="00B02873" w:rsidRPr="00B02873" w14:paraId="3CFD9687" w14:textId="77777777" w:rsidTr="00CF1D80">
        <w:trPr>
          <w:trHeight w:val="60"/>
        </w:trPr>
        <w:tc>
          <w:tcPr>
            <w:tcW w:w="5382" w:type="dxa"/>
          </w:tcPr>
          <w:p w14:paraId="6540C452" w14:textId="77777777" w:rsidR="00B02873" w:rsidRDefault="00B02873" w:rsidP="00CF1D80">
            <w:pPr>
              <w:pStyle w:val="TablebodyleftFinancialsTables"/>
            </w:pPr>
            <w:r>
              <w:lastRenderedPageBreak/>
              <w:t>Port Phillip and Westernport Catchment Management Authority</w:t>
            </w:r>
          </w:p>
        </w:tc>
        <w:tc>
          <w:tcPr>
            <w:tcW w:w="1559" w:type="dxa"/>
          </w:tcPr>
          <w:p w14:paraId="00B864BF" w14:textId="77777777" w:rsidR="00B02873" w:rsidRDefault="00B02873" w:rsidP="00CF1D80">
            <w:pPr>
              <w:pStyle w:val="TablebodyleftFinancialsTables"/>
              <w:jc w:val="right"/>
            </w:pPr>
            <w:r>
              <w:t>575,505</w:t>
            </w:r>
          </w:p>
        </w:tc>
      </w:tr>
      <w:tr w:rsidR="00B02873" w:rsidRPr="00B02873" w14:paraId="4860A5ED" w14:textId="77777777" w:rsidTr="00CF1D80">
        <w:trPr>
          <w:trHeight w:val="60"/>
        </w:trPr>
        <w:tc>
          <w:tcPr>
            <w:tcW w:w="5382" w:type="dxa"/>
          </w:tcPr>
          <w:p w14:paraId="67849A26" w14:textId="77777777" w:rsidR="00B02873" w:rsidRDefault="00B02873" w:rsidP="00CF1D80">
            <w:pPr>
              <w:pStyle w:val="TablebodyleftFinancialsTables"/>
            </w:pPr>
            <w:r>
              <w:t>Jaithmathang Traditional Ancestral Bloodline Original Owners</w:t>
            </w:r>
          </w:p>
        </w:tc>
        <w:tc>
          <w:tcPr>
            <w:tcW w:w="1559" w:type="dxa"/>
          </w:tcPr>
          <w:p w14:paraId="651A98B1" w14:textId="77777777" w:rsidR="00B02873" w:rsidRDefault="00B02873" w:rsidP="00CF1D80">
            <w:pPr>
              <w:pStyle w:val="TablebodyleftFinancialsTables"/>
              <w:jc w:val="right"/>
            </w:pPr>
            <w:r>
              <w:t>564,500</w:t>
            </w:r>
          </w:p>
        </w:tc>
      </w:tr>
      <w:tr w:rsidR="00B02873" w:rsidRPr="00B02873" w14:paraId="2B71F99D" w14:textId="77777777" w:rsidTr="00CF1D80">
        <w:trPr>
          <w:trHeight w:val="60"/>
        </w:trPr>
        <w:tc>
          <w:tcPr>
            <w:tcW w:w="5382" w:type="dxa"/>
          </w:tcPr>
          <w:p w14:paraId="3ECA56F4" w14:textId="77777777" w:rsidR="00B02873" w:rsidRDefault="00B02873" w:rsidP="00CF1D80">
            <w:pPr>
              <w:pStyle w:val="TablebodyleftFinancialsTables"/>
            </w:pPr>
            <w:r>
              <w:t>Landcare Australia Ltd</w:t>
            </w:r>
          </w:p>
        </w:tc>
        <w:tc>
          <w:tcPr>
            <w:tcW w:w="1559" w:type="dxa"/>
          </w:tcPr>
          <w:p w14:paraId="7376B105" w14:textId="77777777" w:rsidR="00B02873" w:rsidRDefault="00B02873" w:rsidP="00CF1D80">
            <w:pPr>
              <w:pStyle w:val="TablebodyleftFinancialsTables"/>
              <w:jc w:val="right"/>
            </w:pPr>
            <w:r>
              <w:t>550,000</w:t>
            </w:r>
          </w:p>
        </w:tc>
      </w:tr>
      <w:tr w:rsidR="00B02873" w:rsidRPr="00B02873" w14:paraId="6A7D402E" w14:textId="77777777" w:rsidTr="00CF1D80">
        <w:trPr>
          <w:trHeight w:val="60"/>
        </w:trPr>
        <w:tc>
          <w:tcPr>
            <w:tcW w:w="5382" w:type="dxa"/>
          </w:tcPr>
          <w:p w14:paraId="4E81CBFC" w14:textId="77777777" w:rsidR="00B02873" w:rsidRDefault="00B02873" w:rsidP="00CF1D80">
            <w:pPr>
              <w:pStyle w:val="TablebodyleftFinancialsTables"/>
            </w:pPr>
            <w:r>
              <w:t>Landcare Victoria Inc</w:t>
            </w:r>
          </w:p>
        </w:tc>
        <w:tc>
          <w:tcPr>
            <w:tcW w:w="1559" w:type="dxa"/>
          </w:tcPr>
          <w:p w14:paraId="647B551E" w14:textId="77777777" w:rsidR="00B02873" w:rsidRDefault="00B02873" w:rsidP="00CF1D80">
            <w:pPr>
              <w:pStyle w:val="TablebodyleftFinancialsTables"/>
              <w:jc w:val="right"/>
            </w:pPr>
            <w:r>
              <w:t>483,983</w:t>
            </w:r>
          </w:p>
        </w:tc>
      </w:tr>
      <w:tr w:rsidR="00B02873" w:rsidRPr="00B02873" w14:paraId="4E24F5BB" w14:textId="77777777" w:rsidTr="00CF1D80">
        <w:trPr>
          <w:trHeight w:val="60"/>
        </w:trPr>
        <w:tc>
          <w:tcPr>
            <w:tcW w:w="5382" w:type="dxa"/>
          </w:tcPr>
          <w:p w14:paraId="62140E35" w14:textId="77777777" w:rsidR="00B02873" w:rsidRDefault="00B02873" w:rsidP="00CF1D80">
            <w:pPr>
              <w:pStyle w:val="TablebodyleftFinancialsTables"/>
            </w:pPr>
            <w:r>
              <w:t>Duduroa Dhargal Aboriginal Corporation</w:t>
            </w:r>
          </w:p>
        </w:tc>
        <w:tc>
          <w:tcPr>
            <w:tcW w:w="1559" w:type="dxa"/>
          </w:tcPr>
          <w:p w14:paraId="3671FDDE" w14:textId="77777777" w:rsidR="00B02873" w:rsidRDefault="00B02873" w:rsidP="00CF1D80">
            <w:pPr>
              <w:pStyle w:val="TablebodyleftFinancialsTables"/>
              <w:jc w:val="right"/>
            </w:pPr>
            <w:r>
              <w:t>476,800</w:t>
            </w:r>
          </w:p>
        </w:tc>
      </w:tr>
      <w:tr w:rsidR="00B02873" w:rsidRPr="00B02873" w14:paraId="4520C8FC" w14:textId="77777777" w:rsidTr="00CF1D80">
        <w:trPr>
          <w:trHeight w:val="60"/>
        </w:trPr>
        <w:tc>
          <w:tcPr>
            <w:tcW w:w="5382" w:type="dxa"/>
          </w:tcPr>
          <w:p w14:paraId="7AF3D6BB" w14:textId="77777777" w:rsidR="00B02873" w:rsidRDefault="00B02873" w:rsidP="00CF1D80">
            <w:pPr>
              <w:pStyle w:val="TablebodyleftFinancialsTables"/>
            </w:pPr>
            <w:r>
              <w:t>University of Melbourne</w:t>
            </w:r>
          </w:p>
        </w:tc>
        <w:tc>
          <w:tcPr>
            <w:tcW w:w="1559" w:type="dxa"/>
          </w:tcPr>
          <w:p w14:paraId="7781AEEE" w14:textId="77777777" w:rsidR="00B02873" w:rsidRDefault="00B02873" w:rsidP="00CF1D80">
            <w:pPr>
              <w:pStyle w:val="TablebodyleftFinancialsTables"/>
              <w:jc w:val="right"/>
            </w:pPr>
            <w:r>
              <w:t>464,017</w:t>
            </w:r>
          </w:p>
        </w:tc>
      </w:tr>
      <w:tr w:rsidR="00B02873" w:rsidRPr="00B02873" w14:paraId="5F87D8BC" w14:textId="77777777" w:rsidTr="00CF1D80">
        <w:trPr>
          <w:trHeight w:val="60"/>
        </w:trPr>
        <w:tc>
          <w:tcPr>
            <w:tcW w:w="5382" w:type="dxa"/>
          </w:tcPr>
          <w:p w14:paraId="15CB5460" w14:textId="77777777" w:rsidR="00B02873" w:rsidRDefault="00B02873" w:rsidP="00CF1D80">
            <w:pPr>
              <w:pStyle w:val="TablebodyleftFinancialsTables"/>
            </w:pPr>
            <w:r>
              <w:t>Dja Dja Wurrung Enterprises Pty Ltd</w:t>
            </w:r>
          </w:p>
        </w:tc>
        <w:tc>
          <w:tcPr>
            <w:tcW w:w="1559" w:type="dxa"/>
          </w:tcPr>
          <w:p w14:paraId="34709EC6" w14:textId="77777777" w:rsidR="00B02873" w:rsidRDefault="00B02873" w:rsidP="00CF1D80">
            <w:pPr>
              <w:pStyle w:val="TablebodyleftFinancialsTables"/>
              <w:jc w:val="right"/>
            </w:pPr>
            <w:r>
              <w:t>458,500</w:t>
            </w:r>
          </w:p>
        </w:tc>
      </w:tr>
      <w:tr w:rsidR="00B02873" w:rsidRPr="00B02873" w14:paraId="2DAE2B06" w14:textId="77777777" w:rsidTr="00CF1D80">
        <w:trPr>
          <w:trHeight w:val="60"/>
        </w:trPr>
        <w:tc>
          <w:tcPr>
            <w:tcW w:w="5382" w:type="dxa"/>
          </w:tcPr>
          <w:p w14:paraId="79929715" w14:textId="77777777" w:rsidR="00B02873" w:rsidRDefault="00B02873" w:rsidP="00CF1D80">
            <w:pPr>
              <w:pStyle w:val="TablebodyleftFinancialsTables"/>
            </w:pPr>
            <w:r>
              <w:t>Wyndham City Council</w:t>
            </w:r>
          </w:p>
        </w:tc>
        <w:tc>
          <w:tcPr>
            <w:tcW w:w="1559" w:type="dxa"/>
          </w:tcPr>
          <w:p w14:paraId="07BB0B53" w14:textId="77777777" w:rsidR="00B02873" w:rsidRDefault="00B02873" w:rsidP="00CF1D80">
            <w:pPr>
              <w:pStyle w:val="TablebodyleftFinancialsTables"/>
              <w:jc w:val="right"/>
            </w:pPr>
            <w:r>
              <w:t>393,289</w:t>
            </w:r>
          </w:p>
        </w:tc>
      </w:tr>
      <w:tr w:rsidR="00B02873" w:rsidRPr="00B02873" w14:paraId="4DB7C774" w14:textId="77777777" w:rsidTr="00CF1D80">
        <w:trPr>
          <w:trHeight w:val="60"/>
        </w:trPr>
        <w:tc>
          <w:tcPr>
            <w:tcW w:w="5382" w:type="dxa"/>
          </w:tcPr>
          <w:p w14:paraId="0DB53DAE" w14:textId="77777777" w:rsidR="00B02873" w:rsidRDefault="00B02873" w:rsidP="00CF1D80">
            <w:pPr>
              <w:pStyle w:val="TablebodyleftFinancialsTables"/>
            </w:pPr>
            <w:r>
              <w:t>Deakin University</w:t>
            </w:r>
          </w:p>
        </w:tc>
        <w:tc>
          <w:tcPr>
            <w:tcW w:w="1559" w:type="dxa"/>
          </w:tcPr>
          <w:p w14:paraId="7D0BEE09" w14:textId="77777777" w:rsidR="00B02873" w:rsidRDefault="00B02873" w:rsidP="00CF1D80">
            <w:pPr>
              <w:pStyle w:val="TablebodyleftFinancialsTables"/>
              <w:jc w:val="right"/>
            </w:pPr>
            <w:r>
              <w:t>384,467</w:t>
            </w:r>
          </w:p>
        </w:tc>
      </w:tr>
      <w:tr w:rsidR="00B02873" w:rsidRPr="00B02873" w14:paraId="40B04B45" w14:textId="77777777" w:rsidTr="00CF1D80">
        <w:trPr>
          <w:trHeight w:val="60"/>
        </w:trPr>
        <w:tc>
          <w:tcPr>
            <w:tcW w:w="5382" w:type="dxa"/>
          </w:tcPr>
          <w:p w14:paraId="1E6B9478" w14:textId="77777777" w:rsidR="00B02873" w:rsidRDefault="00B02873" w:rsidP="00CF1D80">
            <w:pPr>
              <w:pStyle w:val="TablebodyleftFinancialsTables"/>
            </w:pPr>
            <w:r>
              <w:t>Odonata Foundation</w:t>
            </w:r>
          </w:p>
        </w:tc>
        <w:tc>
          <w:tcPr>
            <w:tcW w:w="1559" w:type="dxa"/>
          </w:tcPr>
          <w:p w14:paraId="202B8594" w14:textId="77777777" w:rsidR="00B02873" w:rsidRDefault="00B02873" w:rsidP="00CF1D80">
            <w:pPr>
              <w:pStyle w:val="TablebodyleftFinancialsTables"/>
              <w:jc w:val="right"/>
            </w:pPr>
            <w:r>
              <w:t>334,818</w:t>
            </w:r>
          </w:p>
        </w:tc>
      </w:tr>
      <w:tr w:rsidR="00B02873" w:rsidRPr="00B02873" w14:paraId="5F894A89" w14:textId="77777777" w:rsidTr="00CF1D80">
        <w:trPr>
          <w:trHeight w:val="60"/>
        </w:trPr>
        <w:tc>
          <w:tcPr>
            <w:tcW w:w="5382" w:type="dxa"/>
          </w:tcPr>
          <w:p w14:paraId="46445B00" w14:textId="77777777" w:rsidR="00B02873" w:rsidRDefault="00B02873" w:rsidP="00CF1D80">
            <w:pPr>
              <w:pStyle w:val="TablebodyleftFinancialsTables"/>
            </w:pPr>
            <w:r>
              <w:t>Yarra Ranges Shire Council</w:t>
            </w:r>
          </w:p>
        </w:tc>
        <w:tc>
          <w:tcPr>
            <w:tcW w:w="1559" w:type="dxa"/>
          </w:tcPr>
          <w:p w14:paraId="4763ED09" w14:textId="77777777" w:rsidR="00B02873" w:rsidRDefault="00B02873" w:rsidP="00CF1D80">
            <w:pPr>
              <w:pStyle w:val="TablebodyleftFinancialsTables"/>
              <w:jc w:val="right"/>
            </w:pPr>
            <w:r>
              <w:t>315,883</w:t>
            </w:r>
          </w:p>
        </w:tc>
      </w:tr>
      <w:tr w:rsidR="00B02873" w:rsidRPr="00B02873" w14:paraId="3D2303E4" w14:textId="77777777" w:rsidTr="00CF1D80">
        <w:trPr>
          <w:trHeight w:val="60"/>
        </w:trPr>
        <w:tc>
          <w:tcPr>
            <w:tcW w:w="5382" w:type="dxa"/>
          </w:tcPr>
          <w:p w14:paraId="30FD4290" w14:textId="77777777" w:rsidR="00B02873" w:rsidRDefault="00B02873" w:rsidP="00CF1D80">
            <w:pPr>
              <w:pStyle w:val="TablebodyleftFinancialsTables"/>
            </w:pPr>
            <w:r>
              <w:t>Department of Justice and Community Safety (Victoria)</w:t>
            </w:r>
          </w:p>
        </w:tc>
        <w:tc>
          <w:tcPr>
            <w:tcW w:w="1559" w:type="dxa"/>
          </w:tcPr>
          <w:p w14:paraId="7EEF4B27" w14:textId="77777777" w:rsidR="00B02873" w:rsidRDefault="00B02873" w:rsidP="00CF1D80">
            <w:pPr>
              <w:pStyle w:val="TablebodyleftFinancialsTables"/>
              <w:jc w:val="right"/>
            </w:pPr>
            <w:r>
              <w:t>309,630</w:t>
            </w:r>
          </w:p>
        </w:tc>
      </w:tr>
      <w:tr w:rsidR="00B02873" w:rsidRPr="00B02873" w14:paraId="3E30DDA1" w14:textId="77777777" w:rsidTr="00CF1D80">
        <w:trPr>
          <w:trHeight w:val="60"/>
        </w:trPr>
        <w:tc>
          <w:tcPr>
            <w:tcW w:w="5382" w:type="dxa"/>
          </w:tcPr>
          <w:p w14:paraId="03590AE3" w14:textId="77777777" w:rsidR="00B02873" w:rsidRDefault="00B02873" w:rsidP="00CF1D80">
            <w:pPr>
              <w:pStyle w:val="TablebodyleftFinancialsTables"/>
            </w:pPr>
            <w:r>
              <w:rPr>
                <w:spacing w:val="-3"/>
              </w:rPr>
              <w:t>Wildlife Victoria</w:t>
            </w:r>
          </w:p>
        </w:tc>
        <w:tc>
          <w:tcPr>
            <w:tcW w:w="1559" w:type="dxa"/>
          </w:tcPr>
          <w:p w14:paraId="0A035DC4" w14:textId="77777777" w:rsidR="00B02873" w:rsidRDefault="00B02873" w:rsidP="00CF1D80">
            <w:pPr>
              <w:pStyle w:val="TablebodyleftFinancialsTables"/>
              <w:jc w:val="right"/>
            </w:pPr>
            <w:r>
              <w:t>298,000</w:t>
            </w:r>
          </w:p>
        </w:tc>
      </w:tr>
      <w:tr w:rsidR="00B02873" w:rsidRPr="00B02873" w14:paraId="46EB9B58" w14:textId="77777777" w:rsidTr="00CF1D80">
        <w:trPr>
          <w:trHeight w:val="60"/>
        </w:trPr>
        <w:tc>
          <w:tcPr>
            <w:tcW w:w="5382" w:type="dxa"/>
          </w:tcPr>
          <w:p w14:paraId="73B33084" w14:textId="77777777" w:rsidR="00B02873" w:rsidRDefault="00B02873" w:rsidP="00CF1D80">
            <w:pPr>
              <w:pStyle w:val="TablebodyleftFinancialsTables"/>
            </w:pPr>
            <w:r>
              <w:t>Nature Glenelg Trust</w:t>
            </w:r>
          </w:p>
        </w:tc>
        <w:tc>
          <w:tcPr>
            <w:tcW w:w="1559" w:type="dxa"/>
          </w:tcPr>
          <w:p w14:paraId="3C593FA6" w14:textId="77777777" w:rsidR="00B02873" w:rsidRDefault="00B02873" w:rsidP="00CF1D80">
            <w:pPr>
              <w:pStyle w:val="TablebodyleftFinancialsTables"/>
              <w:jc w:val="right"/>
            </w:pPr>
            <w:r>
              <w:t>278,500</w:t>
            </w:r>
          </w:p>
        </w:tc>
      </w:tr>
      <w:tr w:rsidR="00B02873" w:rsidRPr="00B02873" w14:paraId="3DE3B075" w14:textId="77777777" w:rsidTr="00CF1D80">
        <w:trPr>
          <w:trHeight w:val="60"/>
        </w:trPr>
        <w:tc>
          <w:tcPr>
            <w:tcW w:w="5382" w:type="dxa"/>
          </w:tcPr>
          <w:p w14:paraId="57B36937" w14:textId="77777777" w:rsidR="00B02873" w:rsidRDefault="00B02873" w:rsidP="00CF1D80">
            <w:pPr>
              <w:pStyle w:val="TablebodyleftFinancialsTables"/>
            </w:pPr>
            <w:r>
              <w:t>South Gippsland Landcare Network</w:t>
            </w:r>
          </w:p>
        </w:tc>
        <w:tc>
          <w:tcPr>
            <w:tcW w:w="1559" w:type="dxa"/>
          </w:tcPr>
          <w:p w14:paraId="18D8528D" w14:textId="77777777" w:rsidR="00B02873" w:rsidRDefault="00B02873" w:rsidP="00CF1D80">
            <w:pPr>
              <w:pStyle w:val="TablebodyleftFinancialsTables"/>
              <w:jc w:val="right"/>
            </w:pPr>
            <w:r>
              <w:t>254,808</w:t>
            </w:r>
          </w:p>
        </w:tc>
      </w:tr>
      <w:tr w:rsidR="00B02873" w:rsidRPr="00B02873" w14:paraId="1ECA6D27" w14:textId="77777777" w:rsidTr="00CF1D80">
        <w:trPr>
          <w:trHeight w:val="60"/>
        </w:trPr>
        <w:tc>
          <w:tcPr>
            <w:tcW w:w="5382" w:type="dxa"/>
          </w:tcPr>
          <w:p w14:paraId="62F54C0C" w14:textId="77777777" w:rsidR="00B02873" w:rsidRDefault="00B02873" w:rsidP="00CF1D80">
            <w:pPr>
              <w:pStyle w:val="TablebodyleftFinancialsTables"/>
            </w:pPr>
            <w:r>
              <w:t>Port Phillip Ecocentre Inc</w:t>
            </w:r>
          </w:p>
        </w:tc>
        <w:tc>
          <w:tcPr>
            <w:tcW w:w="1559" w:type="dxa"/>
          </w:tcPr>
          <w:p w14:paraId="77735680" w14:textId="77777777" w:rsidR="00B02873" w:rsidRDefault="00B02873" w:rsidP="00CF1D80">
            <w:pPr>
              <w:pStyle w:val="TablebodyleftFinancialsTables"/>
              <w:jc w:val="right"/>
            </w:pPr>
            <w:r>
              <w:t>251,576</w:t>
            </w:r>
          </w:p>
        </w:tc>
      </w:tr>
      <w:tr w:rsidR="00B02873" w:rsidRPr="00B02873" w14:paraId="1F7A463A" w14:textId="77777777" w:rsidTr="00CF1D80">
        <w:trPr>
          <w:trHeight w:val="60"/>
        </w:trPr>
        <w:tc>
          <w:tcPr>
            <w:tcW w:w="5382" w:type="dxa"/>
          </w:tcPr>
          <w:p w14:paraId="56CA465C" w14:textId="77777777" w:rsidR="00B02873" w:rsidRDefault="00B02873" w:rsidP="00CF1D80">
            <w:pPr>
              <w:pStyle w:val="TablebodyleftFinancialsTables"/>
            </w:pPr>
            <w:r>
              <w:t>Whittlesea City Council</w:t>
            </w:r>
          </w:p>
        </w:tc>
        <w:tc>
          <w:tcPr>
            <w:tcW w:w="1559" w:type="dxa"/>
          </w:tcPr>
          <w:p w14:paraId="28FA256B" w14:textId="77777777" w:rsidR="00B02873" w:rsidRDefault="00B02873" w:rsidP="00CF1D80">
            <w:pPr>
              <w:pStyle w:val="TablebodyleftFinancialsTables"/>
              <w:jc w:val="right"/>
            </w:pPr>
            <w:r>
              <w:t>232,413</w:t>
            </w:r>
          </w:p>
        </w:tc>
      </w:tr>
      <w:tr w:rsidR="00B02873" w:rsidRPr="00B02873" w14:paraId="3A50A9A8" w14:textId="77777777" w:rsidTr="00CF1D80">
        <w:trPr>
          <w:trHeight w:val="60"/>
        </w:trPr>
        <w:tc>
          <w:tcPr>
            <w:tcW w:w="5382" w:type="dxa"/>
          </w:tcPr>
          <w:p w14:paraId="30E4D612" w14:textId="77777777" w:rsidR="00B02873" w:rsidRDefault="00B02873" w:rsidP="00CF1D80">
            <w:pPr>
              <w:pStyle w:val="TablebodyleftFinancialsTables"/>
            </w:pPr>
            <w:r>
              <w:t>Australian Marine Mammal Conservation Foundation</w:t>
            </w:r>
          </w:p>
        </w:tc>
        <w:tc>
          <w:tcPr>
            <w:tcW w:w="1559" w:type="dxa"/>
          </w:tcPr>
          <w:p w14:paraId="55F53074" w14:textId="77777777" w:rsidR="00B02873" w:rsidRDefault="00B02873" w:rsidP="00CF1D80">
            <w:pPr>
              <w:pStyle w:val="TablebodyleftFinancialsTables"/>
              <w:jc w:val="right"/>
            </w:pPr>
            <w:r>
              <w:t>229,787</w:t>
            </w:r>
          </w:p>
        </w:tc>
      </w:tr>
      <w:tr w:rsidR="00B02873" w:rsidRPr="00B02873" w14:paraId="1DBFF938" w14:textId="77777777" w:rsidTr="00CF1D80">
        <w:trPr>
          <w:trHeight w:val="60"/>
        </w:trPr>
        <w:tc>
          <w:tcPr>
            <w:tcW w:w="5382" w:type="dxa"/>
          </w:tcPr>
          <w:p w14:paraId="438971DD" w14:textId="77777777" w:rsidR="00B02873" w:rsidRDefault="00B02873" w:rsidP="00CF1D80">
            <w:pPr>
              <w:pStyle w:val="TablebodyleftFinancialsTables"/>
            </w:pPr>
            <w:r>
              <w:t>Envite Environment</w:t>
            </w:r>
          </w:p>
        </w:tc>
        <w:tc>
          <w:tcPr>
            <w:tcW w:w="1559" w:type="dxa"/>
          </w:tcPr>
          <w:p w14:paraId="0AE21157" w14:textId="77777777" w:rsidR="00B02873" w:rsidRDefault="00B02873" w:rsidP="00CF1D80">
            <w:pPr>
              <w:pStyle w:val="TablebodyleftFinancialsTables"/>
              <w:jc w:val="right"/>
            </w:pPr>
            <w:r>
              <w:t>224,825</w:t>
            </w:r>
          </w:p>
        </w:tc>
      </w:tr>
      <w:tr w:rsidR="00B02873" w:rsidRPr="00B02873" w14:paraId="5F537EF8" w14:textId="77777777" w:rsidTr="00CF1D80">
        <w:trPr>
          <w:trHeight w:val="60"/>
        </w:trPr>
        <w:tc>
          <w:tcPr>
            <w:tcW w:w="5382" w:type="dxa"/>
          </w:tcPr>
          <w:p w14:paraId="68C89F2D" w14:textId="77777777" w:rsidR="00B02873" w:rsidRDefault="00B02873" w:rsidP="00CF1D80">
            <w:pPr>
              <w:pStyle w:val="TablebodyleftFinancialsTables"/>
            </w:pPr>
            <w:r>
              <w:t>Bass Coast Landcare Network Inc</w:t>
            </w:r>
          </w:p>
        </w:tc>
        <w:tc>
          <w:tcPr>
            <w:tcW w:w="1559" w:type="dxa"/>
          </w:tcPr>
          <w:p w14:paraId="738F6646" w14:textId="77777777" w:rsidR="00B02873" w:rsidRDefault="00B02873" w:rsidP="00CF1D80">
            <w:pPr>
              <w:pStyle w:val="TablebodyleftFinancialsTables"/>
              <w:jc w:val="right"/>
            </w:pPr>
            <w:r>
              <w:t>219,597</w:t>
            </w:r>
          </w:p>
        </w:tc>
      </w:tr>
      <w:tr w:rsidR="00B02873" w:rsidRPr="00B02873" w14:paraId="55976747" w14:textId="77777777" w:rsidTr="00CF1D80">
        <w:trPr>
          <w:trHeight w:val="60"/>
        </w:trPr>
        <w:tc>
          <w:tcPr>
            <w:tcW w:w="5382" w:type="dxa"/>
          </w:tcPr>
          <w:p w14:paraId="213ACD88" w14:textId="77777777" w:rsidR="00B02873" w:rsidRDefault="00B02873" w:rsidP="00CF1D80">
            <w:pPr>
              <w:pStyle w:val="TablebodyleftFinancialsTables"/>
            </w:pPr>
            <w:r>
              <w:t>Nindi Ngujarn Ngarigo Monero Aboriginal Corporation</w:t>
            </w:r>
          </w:p>
        </w:tc>
        <w:tc>
          <w:tcPr>
            <w:tcW w:w="1559" w:type="dxa"/>
          </w:tcPr>
          <w:p w14:paraId="67EBA149" w14:textId="77777777" w:rsidR="00B02873" w:rsidRDefault="00B02873" w:rsidP="00CF1D80">
            <w:pPr>
              <w:pStyle w:val="TablebodyleftFinancialsTables"/>
              <w:jc w:val="right"/>
            </w:pPr>
            <w:r>
              <w:t>218,430</w:t>
            </w:r>
          </w:p>
        </w:tc>
      </w:tr>
      <w:tr w:rsidR="00B02873" w:rsidRPr="00B02873" w14:paraId="4FB2F6C6" w14:textId="77777777" w:rsidTr="00CF1D80">
        <w:trPr>
          <w:trHeight w:val="60"/>
        </w:trPr>
        <w:tc>
          <w:tcPr>
            <w:tcW w:w="5382" w:type="dxa"/>
          </w:tcPr>
          <w:p w14:paraId="2C61EF01" w14:textId="77777777" w:rsidR="00B02873" w:rsidRDefault="00B02873" w:rsidP="00CF1D80">
            <w:pPr>
              <w:pStyle w:val="TablebodyleftFinancialsTables"/>
            </w:pPr>
            <w:r>
              <w:t>Yarra Riverkeeper Association Inc</w:t>
            </w:r>
          </w:p>
        </w:tc>
        <w:tc>
          <w:tcPr>
            <w:tcW w:w="1559" w:type="dxa"/>
          </w:tcPr>
          <w:p w14:paraId="441AB588" w14:textId="77777777" w:rsidR="00B02873" w:rsidRDefault="00B02873" w:rsidP="00CF1D80">
            <w:pPr>
              <w:pStyle w:val="TablebodyleftFinancialsTables"/>
              <w:jc w:val="right"/>
            </w:pPr>
            <w:r>
              <w:t>207,204</w:t>
            </w:r>
          </w:p>
        </w:tc>
      </w:tr>
      <w:tr w:rsidR="00B02873" w:rsidRPr="00B02873" w14:paraId="24E78208" w14:textId="77777777" w:rsidTr="00CF1D80">
        <w:trPr>
          <w:trHeight w:val="60"/>
        </w:trPr>
        <w:tc>
          <w:tcPr>
            <w:tcW w:w="5382" w:type="dxa"/>
          </w:tcPr>
          <w:p w14:paraId="1FB1F800" w14:textId="77777777" w:rsidR="00B02873" w:rsidRDefault="00B02873" w:rsidP="00CF1D80">
            <w:pPr>
              <w:pStyle w:val="TablebodyleftFinancialsTables"/>
            </w:pPr>
            <w:r>
              <w:t>Upper Goulburn Landcare Network</w:t>
            </w:r>
          </w:p>
        </w:tc>
        <w:tc>
          <w:tcPr>
            <w:tcW w:w="1559" w:type="dxa"/>
          </w:tcPr>
          <w:p w14:paraId="0983EB53" w14:textId="77777777" w:rsidR="00B02873" w:rsidRDefault="00B02873" w:rsidP="00CF1D80">
            <w:pPr>
              <w:pStyle w:val="TablebodyleftFinancialsTables"/>
              <w:jc w:val="right"/>
            </w:pPr>
            <w:r>
              <w:t>202,785</w:t>
            </w:r>
          </w:p>
        </w:tc>
      </w:tr>
      <w:tr w:rsidR="00B02873" w:rsidRPr="00B02873" w14:paraId="09110F20" w14:textId="77777777" w:rsidTr="00CF1D80">
        <w:trPr>
          <w:trHeight w:val="60"/>
        </w:trPr>
        <w:tc>
          <w:tcPr>
            <w:tcW w:w="5382" w:type="dxa"/>
          </w:tcPr>
          <w:p w14:paraId="60742D31" w14:textId="77777777" w:rsidR="00B02873" w:rsidRDefault="00B02873" w:rsidP="00CF1D80">
            <w:pPr>
              <w:pStyle w:val="TablebodyleftFinancialsTables"/>
            </w:pPr>
            <w:r>
              <w:t>Threatened Species Conservancy</w:t>
            </w:r>
          </w:p>
        </w:tc>
        <w:tc>
          <w:tcPr>
            <w:tcW w:w="1559" w:type="dxa"/>
          </w:tcPr>
          <w:p w14:paraId="63F6AB28" w14:textId="77777777" w:rsidR="00B02873" w:rsidRDefault="00B02873" w:rsidP="00CF1D80">
            <w:pPr>
              <w:pStyle w:val="TablebodyleftFinancialsTables"/>
              <w:jc w:val="right"/>
            </w:pPr>
            <w:r>
              <w:t>199,291</w:t>
            </w:r>
          </w:p>
        </w:tc>
      </w:tr>
      <w:tr w:rsidR="00B02873" w:rsidRPr="00B02873" w14:paraId="319098E2" w14:textId="77777777" w:rsidTr="00CF1D80">
        <w:trPr>
          <w:trHeight w:val="60"/>
        </w:trPr>
        <w:tc>
          <w:tcPr>
            <w:tcW w:w="5382" w:type="dxa"/>
          </w:tcPr>
          <w:p w14:paraId="6E7E002F" w14:textId="77777777" w:rsidR="00B02873" w:rsidRDefault="00B02873" w:rsidP="00CF1D80">
            <w:pPr>
              <w:pStyle w:val="TablebodyleftFinancialsTables"/>
            </w:pPr>
            <w:r>
              <w:t>Zoological Parks and Gardens Board</w:t>
            </w:r>
          </w:p>
        </w:tc>
        <w:tc>
          <w:tcPr>
            <w:tcW w:w="1559" w:type="dxa"/>
          </w:tcPr>
          <w:p w14:paraId="72DA08CD" w14:textId="77777777" w:rsidR="00B02873" w:rsidRDefault="00B02873" w:rsidP="00CF1D80">
            <w:pPr>
              <w:pStyle w:val="TablebodyleftFinancialsTables"/>
              <w:jc w:val="right"/>
            </w:pPr>
            <w:r>
              <w:t>197,026</w:t>
            </w:r>
          </w:p>
        </w:tc>
      </w:tr>
      <w:tr w:rsidR="00B02873" w:rsidRPr="00B02873" w14:paraId="6D645BC8" w14:textId="77777777" w:rsidTr="00CF1D80">
        <w:trPr>
          <w:trHeight w:val="60"/>
        </w:trPr>
        <w:tc>
          <w:tcPr>
            <w:tcW w:w="5382" w:type="dxa"/>
          </w:tcPr>
          <w:p w14:paraId="1345EC0C" w14:textId="77777777" w:rsidR="00B02873" w:rsidRDefault="00B02873" w:rsidP="00CF1D80">
            <w:pPr>
              <w:pStyle w:val="TablebodyleftFinancialsTables"/>
            </w:pPr>
            <w:r>
              <w:t>Maffra and Districts Landcare Network</w:t>
            </w:r>
          </w:p>
        </w:tc>
        <w:tc>
          <w:tcPr>
            <w:tcW w:w="1559" w:type="dxa"/>
          </w:tcPr>
          <w:p w14:paraId="7C7D48F2" w14:textId="77777777" w:rsidR="00B02873" w:rsidRDefault="00B02873" w:rsidP="00CF1D80">
            <w:pPr>
              <w:pStyle w:val="TablebodyleftFinancialsTables"/>
              <w:jc w:val="right"/>
            </w:pPr>
            <w:r>
              <w:t>180,256</w:t>
            </w:r>
          </w:p>
        </w:tc>
      </w:tr>
      <w:tr w:rsidR="00B02873" w:rsidRPr="00B02873" w14:paraId="11A1C5BF" w14:textId="77777777" w:rsidTr="00CF1D80">
        <w:trPr>
          <w:trHeight w:val="60"/>
        </w:trPr>
        <w:tc>
          <w:tcPr>
            <w:tcW w:w="5382" w:type="dxa"/>
          </w:tcPr>
          <w:p w14:paraId="3E21E8D7" w14:textId="77777777" w:rsidR="00B02873" w:rsidRDefault="00B02873" w:rsidP="00CF1D80">
            <w:pPr>
              <w:pStyle w:val="TablebodyleftFinancialsTables"/>
            </w:pPr>
            <w:r>
              <w:t>Ovens Landcare Network Inc</w:t>
            </w:r>
          </w:p>
        </w:tc>
        <w:tc>
          <w:tcPr>
            <w:tcW w:w="1559" w:type="dxa"/>
          </w:tcPr>
          <w:p w14:paraId="35EE4A36" w14:textId="77777777" w:rsidR="00B02873" w:rsidRDefault="00B02873" w:rsidP="00CF1D80">
            <w:pPr>
              <w:pStyle w:val="TablebodyleftFinancialsTables"/>
              <w:jc w:val="right"/>
            </w:pPr>
            <w:r>
              <w:t>174,825</w:t>
            </w:r>
          </w:p>
        </w:tc>
      </w:tr>
      <w:tr w:rsidR="00B02873" w:rsidRPr="00B02873" w14:paraId="056B6FC8" w14:textId="77777777" w:rsidTr="00CF1D80">
        <w:trPr>
          <w:trHeight w:val="60"/>
        </w:trPr>
        <w:tc>
          <w:tcPr>
            <w:tcW w:w="5382" w:type="dxa"/>
          </w:tcPr>
          <w:p w14:paraId="062BF8D9" w14:textId="77777777" w:rsidR="00B02873" w:rsidRDefault="00B02873" w:rsidP="00CF1D80">
            <w:pPr>
              <w:pStyle w:val="TablebodyleftFinancialsTables"/>
            </w:pPr>
            <w:r>
              <w:t>Goulburn Murray Landcare Network Inc</w:t>
            </w:r>
          </w:p>
        </w:tc>
        <w:tc>
          <w:tcPr>
            <w:tcW w:w="1559" w:type="dxa"/>
          </w:tcPr>
          <w:p w14:paraId="5FF642BE" w14:textId="77777777" w:rsidR="00B02873" w:rsidRDefault="00B02873" w:rsidP="00CF1D80">
            <w:pPr>
              <w:pStyle w:val="TablebodyleftFinancialsTables"/>
              <w:jc w:val="right"/>
            </w:pPr>
            <w:r>
              <w:t>174,825</w:t>
            </w:r>
          </w:p>
        </w:tc>
      </w:tr>
      <w:tr w:rsidR="00B02873" w:rsidRPr="00B02873" w14:paraId="7C636267" w14:textId="77777777" w:rsidTr="00CF1D80">
        <w:trPr>
          <w:trHeight w:val="60"/>
        </w:trPr>
        <w:tc>
          <w:tcPr>
            <w:tcW w:w="5382" w:type="dxa"/>
          </w:tcPr>
          <w:p w14:paraId="05AC0FB2" w14:textId="77777777" w:rsidR="00B02873" w:rsidRDefault="00B02873" w:rsidP="00CF1D80">
            <w:pPr>
              <w:pStyle w:val="TablebodyleftFinancialsTables"/>
            </w:pPr>
            <w:r>
              <w:rPr>
                <w:spacing w:val="-3"/>
              </w:rPr>
              <w:t>Wadawurrung Traditional Owners Aboriginal Corporation</w:t>
            </w:r>
          </w:p>
        </w:tc>
        <w:tc>
          <w:tcPr>
            <w:tcW w:w="1559" w:type="dxa"/>
          </w:tcPr>
          <w:p w14:paraId="34E2D072" w14:textId="77777777" w:rsidR="00B02873" w:rsidRDefault="00B02873" w:rsidP="00CF1D80">
            <w:pPr>
              <w:pStyle w:val="TablebodyleftFinancialsTables"/>
              <w:jc w:val="right"/>
            </w:pPr>
            <w:r>
              <w:t>170,000</w:t>
            </w:r>
          </w:p>
        </w:tc>
      </w:tr>
      <w:tr w:rsidR="00B02873" w:rsidRPr="00B02873" w14:paraId="785AC1AC" w14:textId="77777777" w:rsidTr="00CF1D80">
        <w:trPr>
          <w:trHeight w:val="60"/>
        </w:trPr>
        <w:tc>
          <w:tcPr>
            <w:tcW w:w="5382" w:type="dxa"/>
          </w:tcPr>
          <w:p w14:paraId="0BC30414" w14:textId="77777777" w:rsidR="00B02873" w:rsidRDefault="00B02873" w:rsidP="00CF1D80">
            <w:pPr>
              <w:pStyle w:val="TablebodyleftFinancialsTables"/>
            </w:pPr>
            <w:r>
              <w:t>Surfcoast Wildlife Rescue</w:t>
            </w:r>
          </w:p>
        </w:tc>
        <w:tc>
          <w:tcPr>
            <w:tcW w:w="1559" w:type="dxa"/>
          </w:tcPr>
          <w:p w14:paraId="53803414" w14:textId="77777777" w:rsidR="00B02873" w:rsidRDefault="00B02873" w:rsidP="00CF1D80">
            <w:pPr>
              <w:pStyle w:val="TablebodyleftFinancialsTables"/>
              <w:jc w:val="right"/>
            </w:pPr>
            <w:r>
              <w:t>164,254</w:t>
            </w:r>
          </w:p>
        </w:tc>
      </w:tr>
      <w:tr w:rsidR="00B02873" w:rsidRPr="00B02873" w14:paraId="7E23015D" w14:textId="77777777" w:rsidTr="00CF1D80">
        <w:trPr>
          <w:trHeight w:val="60"/>
        </w:trPr>
        <w:tc>
          <w:tcPr>
            <w:tcW w:w="5382" w:type="dxa"/>
          </w:tcPr>
          <w:p w14:paraId="4CC4DE97" w14:textId="77777777" w:rsidR="00B02873" w:rsidRDefault="00B02873" w:rsidP="00CF1D80">
            <w:pPr>
              <w:pStyle w:val="TablebodyleftFinancialsTables"/>
            </w:pPr>
            <w:r>
              <w:t>Gateway Beet Inc</w:t>
            </w:r>
          </w:p>
        </w:tc>
        <w:tc>
          <w:tcPr>
            <w:tcW w:w="1559" w:type="dxa"/>
          </w:tcPr>
          <w:p w14:paraId="379C317B" w14:textId="77777777" w:rsidR="00B02873" w:rsidRDefault="00B02873" w:rsidP="00CF1D80">
            <w:pPr>
              <w:pStyle w:val="TablebodyleftFinancialsTables"/>
              <w:jc w:val="right"/>
            </w:pPr>
            <w:r>
              <w:t>161,010</w:t>
            </w:r>
          </w:p>
        </w:tc>
      </w:tr>
      <w:tr w:rsidR="00B02873" w:rsidRPr="00B02873" w14:paraId="43F1F08B" w14:textId="77777777" w:rsidTr="00CF1D80">
        <w:trPr>
          <w:trHeight w:val="60"/>
        </w:trPr>
        <w:tc>
          <w:tcPr>
            <w:tcW w:w="5382" w:type="dxa"/>
          </w:tcPr>
          <w:p w14:paraId="1FF84A24" w14:textId="77777777" w:rsidR="00B02873" w:rsidRDefault="00B02873" w:rsidP="00CF1D80">
            <w:pPr>
              <w:pStyle w:val="TablebodyleftFinancialsTables"/>
            </w:pPr>
            <w:r>
              <w:t>Nillumbik Shire Council</w:t>
            </w:r>
          </w:p>
        </w:tc>
        <w:tc>
          <w:tcPr>
            <w:tcW w:w="1559" w:type="dxa"/>
          </w:tcPr>
          <w:p w14:paraId="13411C93" w14:textId="77777777" w:rsidR="00B02873" w:rsidRDefault="00B02873" w:rsidP="00CF1D80">
            <w:pPr>
              <w:pStyle w:val="TablebodyleftFinancialsTables"/>
              <w:jc w:val="right"/>
            </w:pPr>
            <w:r>
              <w:t>157,413</w:t>
            </w:r>
          </w:p>
        </w:tc>
      </w:tr>
      <w:tr w:rsidR="00B02873" w:rsidRPr="00B02873" w14:paraId="272DF027" w14:textId="77777777" w:rsidTr="00CF1D80">
        <w:trPr>
          <w:trHeight w:val="60"/>
        </w:trPr>
        <w:tc>
          <w:tcPr>
            <w:tcW w:w="5382" w:type="dxa"/>
          </w:tcPr>
          <w:p w14:paraId="33A5E6BA" w14:textId="77777777" w:rsidR="00B02873" w:rsidRDefault="00B02873" w:rsidP="00CF1D80">
            <w:pPr>
              <w:pStyle w:val="TablebodyleftFinancialsTables"/>
            </w:pPr>
            <w:r>
              <w:t>Victorian National Parks Association</w:t>
            </w:r>
          </w:p>
        </w:tc>
        <w:tc>
          <w:tcPr>
            <w:tcW w:w="1559" w:type="dxa"/>
          </w:tcPr>
          <w:p w14:paraId="7E914C6D" w14:textId="77777777" w:rsidR="00B02873" w:rsidRDefault="00B02873" w:rsidP="00CF1D80">
            <w:pPr>
              <w:pStyle w:val="TablebodyleftFinancialsTables"/>
              <w:jc w:val="right"/>
            </w:pPr>
            <w:r>
              <w:t>156,421</w:t>
            </w:r>
          </w:p>
        </w:tc>
      </w:tr>
      <w:tr w:rsidR="00B02873" w:rsidRPr="00B02873" w14:paraId="0CA9A20A" w14:textId="77777777" w:rsidTr="00CF1D80">
        <w:trPr>
          <w:trHeight w:val="60"/>
        </w:trPr>
        <w:tc>
          <w:tcPr>
            <w:tcW w:w="5382" w:type="dxa"/>
          </w:tcPr>
          <w:p w14:paraId="2862DA11" w14:textId="77777777" w:rsidR="00B02873" w:rsidRDefault="00B02873" w:rsidP="00CF1D80">
            <w:pPr>
              <w:pStyle w:val="TablebodyleftFinancialsTables"/>
            </w:pPr>
            <w:r>
              <w:t>Wurundjeri Woi Wurrung Cultural Heritage Aboriginal Corporation</w:t>
            </w:r>
          </w:p>
        </w:tc>
        <w:tc>
          <w:tcPr>
            <w:tcW w:w="1559" w:type="dxa"/>
          </w:tcPr>
          <w:p w14:paraId="7354861B" w14:textId="77777777" w:rsidR="00B02873" w:rsidRDefault="00B02873" w:rsidP="00CF1D80">
            <w:pPr>
              <w:pStyle w:val="TablebodyleftFinancialsTables"/>
              <w:jc w:val="right"/>
            </w:pPr>
            <w:r>
              <w:t>150,500</w:t>
            </w:r>
          </w:p>
        </w:tc>
      </w:tr>
      <w:tr w:rsidR="00B02873" w:rsidRPr="00B02873" w14:paraId="722B5EA9" w14:textId="77777777" w:rsidTr="00CF1D80">
        <w:trPr>
          <w:trHeight w:val="60"/>
        </w:trPr>
        <w:tc>
          <w:tcPr>
            <w:tcW w:w="5382" w:type="dxa"/>
          </w:tcPr>
          <w:p w14:paraId="62BA0038" w14:textId="77777777" w:rsidR="00B02873" w:rsidRDefault="00B02873" w:rsidP="00CF1D80">
            <w:pPr>
              <w:pStyle w:val="TablebodyleftFinancialsTables"/>
            </w:pPr>
            <w:r>
              <w:lastRenderedPageBreak/>
              <w:t>Hindmarsh Landcare Network</w:t>
            </w:r>
          </w:p>
        </w:tc>
        <w:tc>
          <w:tcPr>
            <w:tcW w:w="1559" w:type="dxa"/>
          </w:tcPr>
          <w:p w14:paraId="14A75317" w14:textId="77777777" w:rsidR="00B02873" w:rsidRDefault="00B02873" w:rsidP="00CF1D80">
            <w:pPr>
              <w:pStyle w:val="TablebodyleftFinancialsTables"/>
              <w:jc w:val="right"/>
            </w:pPr>
            <w:r>
              <w:t>146,713</w:t>
            </w:r>
          </w:p>
        </w:tc>
      </w:tr>
      <w:tr w:rsidR="00B02873" w:rsidRPr="00B02873" w14:paraId="458DB405" w14:textId="77777777" w:rsidTr="00CF1D80">
        <w:trPr>
          <w:trHeight w:val="60"/>
        </w:trPr>
        <w:tc>
          <w:tcPr>
            <w:tcW w:w="5382" w:type="dxa"/>
          </w:tcPr>
          <w:p w14:paraId="04DB7A46" w14:textId="77777777" w:rsidR="00B02873" w:rsidRDefault="00B02873" w:rsidP="00CF1D80">
            <w:pPr>
              <w:pStyle w:val="TablebodyleftFinancialsTables"/>
            </w:pPr>
            <w:r>
              <w:t>Birdlife Australia</w:t>
            </w:r>
          </w:p>
        </w:tc>
        <w:tc>
          <w:tcPr>
            <w:tcW w:w="1559" w:type="dxa"/>
          </w:tcPr>
          <w:p w14:paraId="72EE9316" w14:textId="77777777" w:rsidR="00B02873" w:rsidRDefault="00B02873" w:rsidP="00CF1D80">
            <w:pPr>
              <w:pStyle w:val="TablebodyleftFinancialsTables"/>
              <w:jc w:val="right"/>
            </w:pPr>
            <w:r>
              <w:t>144,102</w:t>
            </w:r>
          </w:p>
        </w:tc>
      </w:tr>
      <w:tr w:rsidR="00B02873" w:rsidRPr="00B02873" w14:paraId="70FB1196" w14:textId="77777777" w:rsidTr="00CF1D80">
        <w:trPr>
          <w:trHeight w:val="60"/>
        </w:trPr>
        <w:tc>
          <w:tcPr>
            <w:tcW w:w="5382" w:type="dxa"/>
          </w:tcPr>
          <w:p w14:paraId="683FF590" w14:textId="77777777" w:rsidR="00B02873" w:rsidRDefault="00B02873" w:rsidP="00CF1D80">
            <w:pPr>
              <w:pStyle w:val="TablebodyleftFinancialsTables"/>
            </w:pPr>
            <w:r>
              <w:t>Sustainable Living In The Mallee</w:t>
            </w:r>
          </w:p>
        </w:tc>
        <w:tc>
          <w:tcPr>
            <w:tcW w:w="1559" w:type="dxa"/>
          </w:tcPr>
          <w:p w14:paraId="78BC75AB" w14:textId="77777777" w:rsidR="00B02873" w:rsidRDefault="00B02873" w:rsidP="00CF1D80">
            <w:pPr>
              <w:pStyle w:val="TablebodyleftFinancialsTables"/>
              <w:jc w:val="right"/>
            </w:pPr>
            <w:r>
              <w:t>141,573</w:t>
            </w:r>
          </w:p>
        </w:tc>
      </w:tr>
      <w:tr w:rsidR="00B02873" w:rsidRPr="00B02873" w14:paraId="5236397A" w14:textId="77777777" w:rsidTr="00CF1D80">
        <w:trPr>
          <w:trHeight w:val="60"/>
        </w:trPr>
        <w:tc>
          <w:tcPr>
            <w:tcW w:w="5382" w:type="dxa"/>
          </w:tcPr>
          <w:p w14:paraId="6ADE9A0E" w14:textId="77777777" w:rsidR="00B02873" w:rsidRDefault="00B02873" w:rsidP="00CF1D80">
            <w:pPr>
              <w:pStyle w:val="TablebodyleftFinancialsTables"/>
            </w:pPr>
            <w:r>
              <w:t>Moorabool Landcare Network</w:t>
            </w:r>
          </w:p>
        </w:tc>
        <w:tc>
          <w:tcPr>
            <w:tcW w:w="1559" w:type="dxa"/>
          </w:tcPr>
          <w:p w14:paraId="78C900F2" w14:textId="77777777" w:rsidR="00B02873" w:rsidRDefault="00B02873" w:rsidP="00CF1D80">
            <w:pPr>
              <w:pStyle w:val="TablebodyleftFinancialsTables"/>
              <w:jc w:val="right"/>
            </w:pPr>
            <w:r>
              <w:t>139,860</w:t>
            </w:r>
          </w:p>
        </w:tc>
      </w:tr>
      <w:tr w:rsidR="00B02873" w:rsidRPr="00B02873" w14:paraId="7D1FED48" w14:textId="77777777" w:rsidTr="00CF1D80">
        <w:trPr>
          <w:trHeight w:val="60"/>
        </w:trPr>
        <w:tc>
          <w:tcPr>
            <w:tcW w:w="5382" w:type="dxa"/>
          </w:tcPr>
          <w:p w14:paraId="0547D703" w14:textId="77777777" w:rsidR="00B02873" w:rsidRDefault="00B02873" w:rsidP="00CF1D80">
            <w:pPr>
              <w:pStyle w:val="TablebodyleftFinancialsTables"/>
            </w:pPr>
            <w:r>
              <w:t>South West Environment Alliance</w:t>
            </w:r>
          </w:p>
        </w:tc>
        <w:tc>
          <w:tcPr>
            <w:tcW w:w="1559" w:type="dxa"/>
          </w:tcPr>
          <w:p w14:paraId="301051D4" w14:textId="77777777" w:rsidR="00B02873" w:rsidRDefault="00B02873" w:rsidP="00CF1D80">
            <w:pPr>
              <w:pStyle w:val="TablebodyleftFinancialsTables"/>
              <w:jc w:val="right"/>
            </w:pPr>
            <w:r>
              <w:t>135,913</w:t>
            </w:r>
          </w:p>
        </w:tc>
      </w:tr>
      <w:tr w:rsidR="00B02873" w:rsidRPr="00B02873" w14:paraId="18F77BE5" w14:textId="77777777" w:rsidTr="00CF1D80">
        <w:trPr>
          <w:trHeight w:val="60"/>
        </w:trPr>
        <w:tc>
          <w:tcPr>
            <w:tcW w:w="5382" w:type="dxa"/>
          </w:tcPr>
          <w:p w14:paraId="4CDED6FF" w14:textId="77777777" w:rsidR="00B02873" w:rsidRDefault="00B02873" w:rsidP="00CF1D80">
            <w:pPr>
              <w:pStyle w:val="TablebodyleftFinancialsTables"/>
            </w:pPr>
            <w:r>
              <w:t>Nullawil Landcare Group</w:t>
            </w:r>
          </w:p>
        </w:tc>
        <w:tc>
          <w:tcPr>
            <w:tcW w:w="1559" w:type="dxa"/>
          </w:tcPr>
          <w:p w14:paraId="1BEAC796" w14:textId="77777777" w:rsidR="00B02873" w:rsidRDefault="00B02873" w:rsidP="00CF1D80">
            <w:pPr>
              <w:pStyle w:val="TablebodyleftFinancialsTables"/>
              <w:jc w:val="right"/>
            </w:pPr>
            <w:r>
              <w:t>135,908</w:t>
            </w:r>
          </w:p>
        </w:tc>
      </w:tr>
      <w:tr w:rsidR="00B02873" w:rsidRPr="00B02873" w14:paraId="7E8C9059" w14:textId="77777777" w:rsidTr="00CF1D80">
        <w:trPr>
          <w:trHeight w:val="60"/>
        </w:trPr>
        <w:tc>
          <w:tcPr>
            <w:tcW w:w="5382" w:type="dxa"/>
          </w:tcPr>
          <w:p w14:paraId="6958AEB8" w14:textId="77777777" w:rsidR="00B02873" w:rsidRDefault="00B02873" w:rsidP="00CF1D80">
            <w:pPr>
              <w:pStyle w:val="TablebodyleftFinancialsTables"/>
            </w:pPr>
            <w:r>
              <w:t>Cesar Consultants Pty Ltd</w:t>
            </w:r>
          </w:p>
        </w:tc>
        <w:tc>
          <w:tcPr>
            <w:tcW w:w="1559" w:type="dxa"/>
          </w:tcPr>
          <w:p w14:paraId="0A33C155" w14:textId="77777777" w:rsidR="00B02873" w:rsidRDefault="00B02873" w:rsidP="00CF1D80">
            <w:pPr>
              <w:pStyle w:val="TablebodyleftFinancialsTables"/>
              <w:jc w:val="right"/>
            </w:pPr>
            <w:r>
              <w:t>133,160</w:t>
            </w:r>
          </w:p>
        </w:tc>
      </w:tr>
      <w:tr w:rsidR="00B02873" w:rsidRPr="00B02873" w14:paraId="674E5E4D" w14:textId="77777777" w:rsidTr="00CF1D80">
        <w:trPr>
          <w:trHeight w:val="60"/>
        </w:trPr>
        <w:tc>
          <w:tcPr>
            <w:tcW w:w="5382" w:type="dxa"/>
          </w:tcPr>
          <w:p w14:paraId="718AA88E" w14:textId="77777777" w:rsidR="00B02873" w:rsidRDefault="00B02873" w:rsidP="00CF1D80">
            <w:pPr>
              <w:pStyle w:val="TablebodyleftFinancialsTables"/>
            </w:pPr>
            <w:r>
              <w:t>Conservation Volunteers Australia</w:t>
            </w:r>
          </w:p>
        </w:tc>
        <w:tc>
          <w:tcPr>
            <w:tcW w:w="1559" w:type="dxa"/>
          </w:tcPr>
          <w:p w14:paraId="6F714419" w14:textId="77777777" w:rsidR="00B02873" w:rsidRDefault="00B02873" w:rsidP="00CF1D80">
            <w:pPr>
              <w:pStyle w:val="TablebodyleftFinancialsTables"/>
              <w:jc w:val="right"/>
            </w:pPr>
            <w:r>
              <w:t>132,526</w:t>
            </w:r>
          </w:p>
        </w:tc>
      </w:tr>
      <w:tr w:rsidR="00B02873" w:rsidRPr="00B02873" w14:paraId="68C03524" w14:textId="77777777" w:rsidTr="00CF1D80">
        <w:trPr>
          <w:trHeight w:val="60"/>
        </w:trPr>
        <w:tc>
          <w:tcPr>
            <w:tcW w:w="5382" w:type="dxa"/>
          </w:tcPr>
          <w:p w14:paraId="4484AD7A" w14:textId="77777777" w:rsidR="00B02873" w:rsidRDefault="00B02873" w:rsidP="00CF1D80">
            <w:pPr>
              <w:pStyle w:val="TablebodyleftFinancialsTables"/>
            </w:pPr>
            <w:r>
              <w:t>Mid Loddon Sub-Catchment Management Group</w:t>
            </w:r>
          </w:p>
        </w:tc>
        <w:tc>
          <w:tcPr>
            <w:tcW w:w="1559" w:type="dxa"/>
          </w:tcPr>
          <w:p w14:paraId="310004AD" w14:textId="77777777" w:rsidR="00B02873" w:rsidRDefault="00B02873" w:rsidP="00CF1D80">
            <w:pPr>
              <w:pStyle w:val="TablebodyleftFinancialsTables"/>
              <w:jc w:val="right"/>
            </w:pPr>
            <w:r>
              <w:t>126,704</w:t>
            </w:r>
          </w:p>
        </w:tc>
      </w:tr>
      <w:tr w:rsidR="00B02873" w:rsidRPr="00B02873" w14:paraId="3AC8B209" w14:textId="77777777" w:rsidTr="00CF1D80">
        <w:trPr>
          <w:trHeight w:val="60"/>
        </w:trPr>
        <w:tc>
          <w:tcPr>
            <w:tcW w:w="5382" w:type="dxa"/>
          </w:tcPr>
          <w:p w14:paraId="30C38D2E" w14:textId="77777777" w:rsidR="00B02873" w:rsidRDefault="00B02873" w:rsidP="00CF1D80">
            <w:pPr>
              <w:pStyle w:val="TablebodyleftFinancialsTables"/>
            </w:pPr>
            <w:r>
              <w:t>Nalderun Education Aboriginal Corporation</w:t>
            </w:r>
          </w:p>
        </w:tc>
        <w:tc>
          <w:tcPr>
            <w:tcW w:w="1559" w:type="dxa"/>
          </w:tcPr>
          <w:p w14:paraId="590BF527" w14:textId="77777777" w:rsidR="00B02873" w:rsidRDefault="00B02873" w:rsidP="00CF1D80">
            <w:pPr>
              <w:pStyle w:val="TablebodyleftFinancialsTables"/>
              <w:jc w:val="right"/>
            </w:pPr>
            <w:r>
              <w:t>119,647</w:t>
            </w:r>
          </w:p>
        </w:tc>
      </w:tr>
      <w:tr w:rsidR="00B02873" w:rsidRPr="00B02873" w14:paraId="3FB83801" w14:textId="77777777" w:rsidTr="00CF1D80">
        <w:trPr>
          <w:trHeight w:val="60"/>
        </w:trPr>
        <w:tc>
          <w:tcPr>
            <w:tcW w:w="5382" w:type="dxa"/>
          </w:tcPr>
          <w:p w14:paraId="4062C714" w14:textId="77777777" w:rsidR="00B02873" w:rsidRDefault="00B02873" w:rsidP="00CF1D80">
            <w:pPr>
              <w:pStyle w:val="TablebodyleftFinancialsTables"/>
            </w:pPr>
            <w:r>
              <w:t>Wodonga Urban Landcare Network</w:t>
            </w:r>
          </w:p>
        </w:tc>
        <w:tc>
          <w:tcPr>
            <w:tcW w:w="1559" w:type="dxa"/>
          </w:tcPr>
          <w:p w14:paraId="287C32DE" w14:textId="77777777" w:rsidR="00B02873" w:rsidRDefault="00B02873" w:rsidP="00CF1D80">
            <w:pPr>
              <w:pStyle w:val="TablebodyleftFinancialsTables"/>
              <w:jc w:val="right"/>
            </w:pPr>
            <w:r>
              <w:t>117,797</w:t>
            </w:r>
          </w:p>
        </w:tc>
      </w:tr>
      <w:tr w:rsidR="00B02873" w:rsidRPr="00B02873" w14:paraId="52DA616F" w14:textId="77777777" w:rsidTr="00CF1D80">
        <w:trPr>
          <w:trHeight w:val="60"/>
        </w:trPr>
        <w:tc>
          <w:tcPr>
            <w:tcW w:w="5382" w:type="dxa"/>
          </w:tcPr>
          <w:p w14:paraId="19495189" w14:textId="77777777" w:rsidR="00B02873" w:rsidRDefault="00B02873" w:rsidP="00CF1D80">
            <w:pPr>
              <w:pStyle w:val="TablebodyleftFinancialsTables"/>
            </w:pPr>
            <w:r>
              <w:t>Mornington Peninsula Shire Council</w:t>
            </w:r>
          </w:p>
        </w:tc>
        <w:tc>
          <w:tcPr>
            <w:tcW w:w="1559" w:type="dxa"/>
          </w:tcPr>
          <w:p w14:paraId="2CC9C013" w14:textId="77777777" w:rsidR="00B02873" w:rsidRDefault="00B02873" w:rsidP="00CF1D80">
            <w:pPr>
              <w:pStyle w:val="TablebodyleftFinancialsTables"/>
              <w:jc w:val="right"/>
            </w:pPr>
            <w:r>
              <w:t>117,413</w:t>
            </w:r>
          </w:p>
        </w:tc>
      </w:tr>
      <w:tr w:rsidR="00B02873" w:rsidRPr="00B02873" w14:paraId="1ED38A79" w14:textId="77777777" w:rsidTr="00CF1D80">
        <w:trPr>
          <w:trHeight w:val="60"/>
        </w:trPr>
        <w:tc>
          <w:tcPr>
            <w:tcW w:w="5382" w:type="dxa"/>
          </w:tcPr>
          <w:p w14:paraId="1ED8B292" w14:textId="77777777" w:rsidR="00B02873" w:rsidRDefault="00B02873" w:rsidP="00CF1D80">
            <w:pPr>
              <w:pStyle w:val="TablebodyleftFinancialsTables"/>
            </w:pPr>
            <w:r>
              <w:t>Wando River Landcare Group Inc</w:t>
            </w:r>
          </w:p>
        </w:tc>
        <w:tc>
          <w:tcPr>
            <w:tcW w:w="1559" w:type="dxa"/>
          </w:tcPr>
          <w:p w14:paraId="7A475D4F" w14:textId="77777777" w:rsidR="00B02873" w:rsidRDefault="00B02873" w:rsidP="00CF1D80">
            <w:pPr>
              <w:pStyle w:val="TablebodyleftFinancialsTables"/>
              <w:jc w:val="right"/>
            </w:pPr>
            <w:r>
              <w:t>115,698</w:t>
            </w:r>
          </w:p>
        </w:tc>
      </w:tr>
      <w:tr w:rsidR="00B02873" w:rsidRPr="00B02873" w14:paraId="23A5A303" w14:textId="77777777" w:rsidTr="00CF1D80">
        <w:trPr>
          <w:trHeight w:val="60"/>
        </w:trPr>
        <w:tc>
          <w:tcPr>
            <w:tcW w:w="5382" w:type="dxa"/>
          </w:tcPr>
          <w:p w14:paraId="347417A7" w14:textId="77777777" w:rsidR="00B02873" w:rsidRDefault="00B02873" w:rsidP="00CF1D80">
            <w:pPr>
              <w:pStyle w:val="TablebodyleftFinancialsTables"/>
            </w:pPr>
            <w:r>
              <w:t>Upper Deep Creek Landcare Network</w:t>
            </w:r>
          </w:p>
        </w:tc>
        <w:tc>
          <w:tcPr>
            <w:tcW w:w="1559" w:type="dxa"/>
          </w:tcPr>
          <w:p w14:paraId="64BC3762" w14:textId="77777777" w:rsidR="00B02873" w:rsidRDefault="00B02873" w:rsidP="00CF1D80">
            <w:pPr>
              <w:pStyle w:val="TablebodyleftFinancialsTables"/>
              <w:jc w:val="right"/>
            </w:pPr>
            <w:r>
              <w:t>115,641</w:t>
            </w:r>
          </w:p>
        </w:tc>
      </w:tr>
      <w:tr w:rsidR="00B02873" w:rsidRPr="00B02873" w14:paraId="0EA3EC8A" w14:textId="77777777" w:rsidTr="00CF1D80">
        <w:trPr>
          <w:trHeight w:val="60"/>
        </w:trPr>
        <w:tc>
          <w:tcPr>
            <w:tcW w:w="5382" w:type="dxa"/>
          </w:tcPr>
          <w:p w14:paraId="246B7FF6" w14:textId="77777777" w:rsidR="00B02873" w:rsidRDefault="00B02873" w:rsidP="00CF1D80">
            <w:pPr>
              <w:pStyle w:val="TablebodyleftFinancialsTables"/>
            </w:pPr>
            <w:r>
              <w:t>Cardinia Environment Coalition Inc</w:t>
            </w:r>
          </w:p>
        </w:tc>
        <w:tc>
          <w:tcPr>
            <w:tcW w:w="1559" w:type="dxa"/>
          </w:tcPr>
          <w:p w14:paraId="4B18B9FD" w14:textId="77777777" w:rsidR="00B02873" w:rsidRDefault="00B02873" w:rsidP="00CF1D80">
            <w:pPr>
              <w:pStyle w:val="TablebodyleftFinancialsTables"/>
              <w:jc w:val="right"/>
            </w:pPr>
            <w:r>
              <w:t>115,477</w:t>
            </w:r>
          </w:p>
        </w:tc>
      </w:tr>
      <w:tr w:rsidR="00B02873" w:rsidRPr="00B02873" w14:paraId="2660064D" w14:textId="77777777" w:rsidTr="00CF1D80">
        <w:trPr>
          <w:trHeight w:val="60"/>
        </w:trPr>
        <w:tc>
          <w:tcPr>
            <w:tcW w:w="5382" w:type="dxa"/>
          </w:tcPr>
          <w:p w14:paraId="41B62481" w14:textId="77777777" w:rsidR="00B02873" w:rsidRDefault="00B02873" w:rsidP="00CF1D80">
            <w:pPr>
              <w:pStyle w:val="TablebodyleftFinancialsTables"/>
            </w:pPr>
            <w:r>
              <w:t>Upper Campaspe Landcare Network Inc</w:t>
            </w:r>
          </w:p>
        </w:tc>
        <w:tc>
          <w:tcPr>
            <w:tcW w:w="1559" w:type="dxa"/>
          </w:tcPr>
          <w:p w14:paraId="03A32F73" w14:textId="77777777" w:rsidR="00B02873" w:rsidRDefault="00B02873" w:rsidP="00CF1D80">
            <w:pPr>
              <w:pStyle w:val="TablebodyleftFinancialsTables"/>
              <w:jc w:val="right"/>
            </w:pPr>
            <w:r>
              <w:t>111,413</w:t>
            </w:r>
          </w:p>
        </w:tc>
      </w:tr>
      <w:tr w:rsidR="00B02873" w:rsidRPr="00B02873" w14:paraId="317BF9D2" w14:textId="77777777" w:rsidTr="00CF1D80">
        <w:trPr>
          <w:trHeight w:val="60"/>
        </w:trPr>
        <w:tc>
          <w:tcPr>
            <w:tcW w:w="5382" w:type="dxa"/>
          </w:tcPr>
          <w:p w14:paraId="4CDE824D" w14:textId="77777777" w:rsidR="00B02873" w:rsidRDefault="00B02873" w:rsidP="00CF1D80">
            <w:pPr>
              <w:pStyle w:val="TablebodyleftFinancialsTables"/>
            </w:pPr>
            <w:r>
              <w:t>Werribee River Association Inc</w:t>
            </w:r>
          </w:p>
        </w:tc>
        <w:tc>
          <w:tcPr>
            <w:tcW w:w="1559" w:type="dxa"/>
          </w:tcPr>
          <w:p w14:paraId="0F39A502" w14:textId="77777777" w:rsidR="00B02873" w:rsidRDefault="00B02873" w:rsidP="00CF1D80">
            <w:pPr>
              <w:pStyle w:val="TablebodyleftFinancialsTables"/>
              <w:jc w:val="right"/>
            </w:pPr>
            <w:r>
              <w:t>111,300</w:t>
            </w:r>
          </w:p>
        </w:tc>
      </w:tr>
      <w:tr w:rsidR="00B02873" w:rsidRPr="00B02873" w14:paraId="5B2D98EF" w14:textId="77777777" w:rsidTr="00CF1D80">
        <w:trPr>
          <w:trHeight w:val="60"/>
        </w:trPr>
        <w:tc>
          <w:tcPr>
            <w:tcW w:w="5382" w:type="dxa"/>
          </w:tcPr>
          <w:p w14:paraId="7C2BBAB0" w14:textId="77777777" w:rsidR="00B02873" w:rsidRDefault="00B02873" w:rsidP="00CF1D80">
            <w:pPr>
              <w:pStyle w:val="TablebodyleftFinancialsTables"/>
            </w:pPr>
            <w:r>
              <w:t>Basalt to Bay Landcare Network</w:t>
            </w:r>
          </w:p>
        </w:tc>
        <w:tc>
          <w:tcPr>
            <w:tcW w:w="1559" w:type="dxa"/>
          </w:tcPr>
          <w:p w14:paraId="34A5E421" w14:textId="77777777" w:rsidR="00B02873" w:rsidRDefault="00B02873" w:rsidP="00CF1D80">
            <w:pPr>
              <w:pStyle w:val="TablebodyleftFinancialsTables"/>
              <w:jc w:val="right"/>
            </w:pPr>
            <w:r>
              <w:t>110,951</w:t>
            </w:r>
          </w:p>
        </w:tc>
      </w:tr>
      <w:tr w:rsidR="00B02873" w:rsidRPr="00B02873" w14:paraId="3F3E2829" w14:textId="77777777" w:rsidTr="00CF1D80">
        <w:trPr>
          <w:trHeight w:val="60"/>
        </w:trPr>
        <w:tc>
          <w:tcPr>
            <w:tcW w:w="5382" w:type="dxa"/>
          </w:tcPr>
          <w:p w14:paraId="7F50E595" w14:textId="77777777" w:rsidR="00B02873" w:rsidRDefault="00B02873" w:rsidP="00CF1D80">
            <w:pPr>
              <w:pStyle w:val="TablebodyleftFinancialsTables"/>
            </w:pPr>
            <w:r>
              <w:t>Upper Barwon Landcare Network Inc</w:t>
            </w:r>
          </w:p>
        </w:tc>
        <w:tc>
          <w:tcPr>
            <w:tcW w:w="1559" w:type="dxa"/>
          </w:tcPr>
          <w:p w14:paraId="5D848062" w14:textId="77777777" w:rsidR="00B02873" w:rsidRDefault="00B02873" w:rsidP="00CF1D80">
            <w:pPr>
              <w:pStyle w:val="TablebodyleftFinancialsTables"/>
              <w:jc w:val="right"/>
            </w:pPr>
            <w:r>
              <w:t>109,913</w:t>
            </w:r>
          </w:p>
        </w:tc>
      </w:tr>
      <w:tr w:rsidR="00B02873" w:rsidRPr="00B02873" w14:paraId="661F25F0" w14:textId="77777777" w:rsidTr="00CF1D80">
        <w:trPr>
          <w:trHeight w:val="60"/>
        </w:trPr>
        <w:tc>
          <w:tcPr>
            <w:tcW w:w="5382" w:type="dxa"/>
          </w:tcPr>
          <w:p w14:paraId="4E9790B3" w14:textId="77777777" w:rsidR="00B02873" w:rsidRDefault="00B02873" w:rsidP="00CF1D80">
            <w:pPr>
              <w:pStyle w:val="TablebodyleftFinancialsTables"/>
            </w:pPr>
            <w:r>
              <w:t>Project Platypus Inc</w:t>
            </w:r>
          </w:p>
        </w:tc>
        <w:tc>
          <w:tcPr>
            <w:tcW w:w="1559" w:type="dxa"/>
          </w:tcPr>
          <w:p w14:paraId="2796FAC5" w14:textId="77777777" w:rsidR="00B02873" w:rsidRDefault="00B02873" w:rsidP="00CF1D80">
            <w:pPr>
              <w:pStyle w:val="TablebodyleftFinancialsTables"/>
              <w:jc w:val="right"/>
            </w:pPr>
            <w:r>
              <w:t>108,862</w:t>
            </w:r>
          </w:p>
        </w:tc>
      </w:tr>
      <w:tr w:rsidR="00B02873" w:rsidRPr="00B02873" w14:paraId="537E839B" w14:textId="77777777" w:rsidTr="00CF1D80">
        <w:trPr>
          <w:trHeight w:val="60"/>
        </w:trPr>
        <w:tc>
          <w:tcPr>
            <w:tcW w:w="5382" w:type="dxa"/>
          </w:tcPr>
          <w:p w14:paraId="53FF683D" w14:textId="77777777" w:rsidR="00B02873" w:rsidRDefault="00B02873" w:rsidP="00CF1D80">
            <w:pPr>
              <w:pStyle w:val="TablebodyleftFinancialsTables"/>
            </w:pPr>
            <w:r>
              <w:t>Connecting Country (Mt Alexander Region) Inc</w:t>
            </w:r>
          </w:p>
        </w:tc>
        <w:tc>
          <w:tcPr>
            <w:tcW w:w="1559" w:type="dxa"/>
          </w:tcPr>
          <w:p w14:paraId="084ED643" w14:textId="77777777" w:rsidR="00B02873" w:rsidRDefault="00B02873" w:rsidP="00CF1D80">
            <w:pPr>
              <w:pStyle w:val="TablebodyleftFinancialsTables"/>
              <w:jc w:val="right"/>
            </w:pPr>
            <w:r>
              <w:t>107,113</w:t>
            </w:r>
          </w:p>
        </w:tc>
      </w:tr>
      <w:tr w:rsidR="00B02873" w:rsidRPr="00B02873" w14:paraId="78A483C4" w14:textId="77777777" w:rsidTr="00CF1D80">
        <w:trPr>
          <w:trHeight w:val="60"/>
        </w:trPr>
        <w:tc>
          <w:tcPr>
            <w:tcW w:w="5382" w:type="dxa"/>
          </w:tcPr>
          <w:p w14:paraId="378BC526" w14:textId="77777777" w:rsidR="00B02873" w:rsidRDefault="00B02873" w:rsidP="00CF1D80">
            <w:pPr>
              <w:pStyle w:val="TablebodyleftFinancialsTables"/>
            </w:pPr>
            <w:r>
              <w:t>Bunurong Land Council Aboriginal Corporation</w:t>
            </w:r>
          </w:p>
        </w:tc>
        <w:tc>
          <w:tcPr>
            <w:tcW w:w="1559" w:type="dxa"/>
          </w:tcPr>
          <w:p w14:paraId="0817159B" w14:textId="77777777" w:rsidR="00B02873" w:rsidRDefault="00B02873" w:rsidP="00CF1D80">
            <w:pPr>
              <w:pStyle w:val="TablebodyleftFinancialsTables"/>
              <w:jc w:val="right"/>
            </w:pPr>
            <w:r>
              <w:t>102,800</w:t>
            </w:r>
          </w:p>
        </w:tc>
      </w:tr>
      <w:tr w:rsidR="00B02873" w:rsidRPr="00B02873" w14:paraId="77CCDF96" w14:textId="77777777" w:rsidTr="00CF1D80">
        <w:trPr>
          <w:trHeight w:val="60"/>
        </w:trPr>
        <w:tc>
          <w:tcPr>
            <w:tcW w:w="5382" w:type="dxa"/>
          </w:tcPr>
          <w:p w14:paraId="5A5FF9B3" w14:textId="77777777" w:rsidR="00B02873" w:rsidRDefault="00B02873" w:rsidP="00CF1D80">
            <w:pPr>
              <w:pStyle w:val="TablebodyleftFinancialsTables"/>
            </w:pPr>
            <w:r>
              <w:t>Warrnambool Coastcare Landcare Network</w:t>
            </w:r>
          </w:p>
        </w:tc>
        <w:tc>
          <w:tcPr>
            <w:tcW w:w="1559" w:type="dxa"/>
          </w:tcPr>
          <w:p w14:paraId="2EFB3FD7" w14:textId="77777777" w:rsidR="00B02873" w:rsidRDefault="00B02873" w:rsidP="00CF1D80">
            <w:pPr>
              <w:pStyle w:val="TablebodyleftFinancialsTables"/>
              <w:jc w:val="right"/>
            </w:pPr>
            <w:r>
              <w:t>101,638</w:t>
            </w:r>
          </w:p>
        </w:tc>
      </w:tr>
      <w:tr w:rsidR="00B02873" w:rsidRPr="00B02873" w14:paraId="5C0EAA68" w14:textId="77777777" w:rsidTr="00CF1D80">
        <w:trPr>
          <w:trHeight w:val="60"/>
        </w:trPr>
        <w:tc>
          <w:tcPr>
            <w:tcW w:w="5382" w:type="dxa"/>
          </w:tcPr>
          <w:p w14:paraId="09AA7E73" w14:textId="77777777" w:rsidR="00B02873" w:rsidRDefault="00B02873" w:rsidP="00CF1D80">
            <w:pPr>
              <w:pStyle w:val="TablebodyleftFinancialsTables"/>
            </w:pPr>
            <w:r>
              <w:t>Euroa Arboretum</w:t>
            </w:r>
          </w:p>
        </w:tc>
        <w:tc>
          <w:tcPr>
            <w:tcW w:w="1559" w:type="dxa"/>
          </w:tcPr>
          <w:p w14:paraId="6CC1A61D" w14:textId="77777777" w:rsidR="00B02873" w:rsidRDefault="00B02873" w:rsidP="00CF1D80">
            <w:pPr>
              <w:pStyle w:val="TablebodyleftFinancialsTables"/>
              <w:jc w:val="right"/>
            </w:pPr>
            <w:r>
              <w:t>100,085</w:t>
            </w:r>
          </w:p>
        </w:tc>
      </w:tr>
      <w:tr w:rsidR="00B02873" w:rsidRPr="00B02873" w14:paraId="001C7F3B" w14:textId="77777777" w:rsidTr="00CF1D80">
        <w:trPr>
          <w:trHeight w:val="60"/>
        </w:trPr>
        <w:tc>
          <w:tcPr>
            <w:tcW w:w="5382" w:type="dxa"/>
          </w:tcPr>
          <w:p w14:paraId="39AC4BFF" w14:textId="77777777" w:rsidR="00B02873" w:rsidRDefault="00B02873" w:rsidP="00CF1D80">
            <w:pPr>
              <w:pStyle w:val="TablebodyleftFinancialsTables"/>
            </w:pPr>
            <w:r>
              <w:t>Mange Management Inc</w:t>
            </w:r>
          </w:p>
        </w:tc>
        <w:tc>
          <w:tcPr>
            <w:tcW w:w="1559" w:type="dxa"/>
          </w:tcPr>
          <w:p w14:paraId="21EC44EA" w14:textId="77777777" w:rsidR="00B02873" w:rsidRDefault="00B02873" w:rsidP="00CF1D80">
            <w:pPr>
              <w:pStyle w:val="TablebodyleftFinancialsTables"/>
              <w:jc w:val="right"/>
            </w:pPr>
            <w:r>
              <w:t>100,000</w:t>
            </w:r>
          </w:p>
        </w:tc>
      </w:tr>
      <w:tr w:rsidR="00B02873" w:rsidRPr="00B02873" w14:paraId="5BE4B6A8" w14:textId="77777777" w:rsidTr="00CF1D80">
        <w:trPr>
          <w:trHeight w:val="60"/>
        </w:trPr>
        <w:tc>
          <w:tcPr>
            <w:tcW w:w="5382" w:type="dxa"/>
          </w:tcPr>
          <w:p w14:paraId="6049B314" w14:textId="77777777" w:rsidR="00B02873" w:rsidRDefault="00B02873" w:rsidP="00CF1D80">
            <w:pPr>
              <w:pStyle w:val="TablebodyleftFinancialsTables"/>
            </w:pPr>
            <w:r>
              <w:t>Kiewa Catchment Landcare Group Inc</w:t>
            </w:r>
          </w:p>
        </w:tc>
        <w:tc>
          <w:tcPr>
            <w:tcW w:w="1559" w:type="dxa"/>
          </w:tcPr>
          <w:p w14:paraId="0667EC66" w14:textId="77777777" w:rsidR="00B02873" w:rsidRDefault="00B02873" w:rsidP="00CF1D80">
            <w:pPr>
              <w:pStyle w:val="TablebodyleftFinancialsTables"/>
              <w:jc w:val="right"/>
            </w:pPr>
            <w:r>
              <w:t>97,363</w:t>
            </w:r>
          </w:p>
        </w:tc>
      </w:tr>
      <w:tr w:rsidR="00B02873" w:rsidRPr="00B02873" w14:paraId="7773412F" w14:textId="77777777" w:rsidTr="00CF1D80">
        <w:trPr>
          <w:trHeight w:val="60"/>
        </w:trPr>
        <w:tc>
          <w:tcPr>
            <w:tcW w:w="5382" w:type="dxa"/>
          </w:tcPr>
          <w:p w14:paraId="70402E4F" w14:textId="77777777" w:rsidR="00B02873" w:rsidRDefault="00B02873" w:rsidP="00CF1D80">
            <w:pPr>
              <w:pStyle w:val="TablebodyleftFinancialsTables"/>
            </w:pPr>
            <w:r>
              <w:t>Wetland Revival Pty Ltd</w:t>
            </w:r>
          </w:p>
        </w:tc>
        <w:tc>
          <w:tcPr>
            <w:tcW w:w="1559" w:type="dxa"/>
          </w:tcPr>
          <w:p w14:paraId="693D8063" w14:textId="77777777" w:rsidR="00B02873" w:rsidRDefault="00B02873" w:rsidP="00CF1D80">
            <w:pPr>
              <w:pStyle w:val="TablebodyleftFinancialsTables"/>
              <w:jc w:val="right"/>
            </w:pPr>
            <w:r>
              <w:t>90,000</w:t>
            </w:r>
          </w:p>
        </w:tc>
      </w:tr>
      <w:tr w:rsidR="00B02873" w:rsidRPr="00B02873" w14:paraId="34BE8968" w14:textId="77777777" w:rsidTr="00CF1D80">
        <w:trPr>
          <w:trHeight w:val="60"/>
        </w:trPr>
        <w:tc>
          <w:tcPr>
            <w:tcW w:w="5382" w:type="dxa"/>
          </w:tcPr>
          <w:p w14:paraId="1B98A582" w14:textId="77777777" w:rsidR="00B02873" w:rsidRDefault="00B02873" w:rsidP="00CF1D80">
            <w:pPr>
              <w:pStyle w:val="TablebodyleftFinancialsTables"/>
            </w:pPr>
            <w:r>
              <w:t>Barapa Land and Water</w:t>
            </w:r>
          </w:p>
        </w:tc>
        <w:tc>
          <w:tcPr>
            <w:tcW w:w="1559" w:type="dxa"/>
          </w:tcPr>
          <w:p w14:paraId="4A122266" w14:textId="77777777" w:rsidR="00B02873" w:rsidRDefault="00B02873" w:rsidP="00CF1D80">
            <w:pPr>
              <w:pStyle w:val="TablebodyleftFinancialsTables"/>
              <w:jc w:val="right"/>
            </w:pPr>
            <w:r>
              <w:t>90,000</w:t>
            </w:r>
          </w:p>
        </w:tc>
      </w:tr>
      <w:tr w:rsidR="00B02873" w:rsidRPr="00B02873" w14:paraId="02FFE5F0" w14:textId="77777777" w:rsidTr="00CF1D80">
        <w:trPr>
          <w:trHeight w:val="60"/>
        </w:trPr>
        <w:tc>
          <w:tcPr>
            <w:tcW w:w="5382" w:type="dxa"/>
          </w:tcPr>
          <w:p w14:paraId="0CAA3945" w14:textId="77777777" w:rsidR="00B02873" w:rsidRDefault="00B02873" w:rsidP="00CF1D80">
            <w:pPr>
              <w:pStyle w:val="TablebodyleftFinancialsTables"/>
            </w:pPr>
            <w:r>
              <w:t>Buloke and Northern Grampians Landcare Network</w:t>
            </w:r>
          </w:p>
        </w:tc>
        <w:tc>
          <w:tcPr>
            <w:tcW w:w="1559" w:type="dxa"/>
          </w:tcPr>
          <w:p w14:paraId="7963C16A" w14:textId="77777777" w:rsidR="00B02873" w:rsidRDefault="00B02873" w:rsidP="00CF1D80">
            <w:pPr>
              <w:pStyle w:val="TablebodyleftFinancialsTables"/>
              <w:jc w:val="right"/>
            </w:pPr>
            <w:r>
              <w:t>87,913</w:t>
            </w:r>
          </w:p>
        </w:tc>
      </w:tr>
      <w:tr w:rsidR="00B02873" w:rsidRPr="00B02873" w14:paraId="2FB0254C" w14:textId="77777777" w:rsidTr="00CF1D80">
        <w:trPr>
          <w:trHeight w:val="60"/>
        </w:trPr>
        <w:tc>
          <w:tcPr>
            <w:tcW w:w="5382" w:type="dxa"/>
          </w:tcPr>
          <w:p w14:paraId="2E24E75A" w14:textId="77777777" w:rsidR="00B02873" w:rsidRDefault="00B02873" w:rsidP="00CF1D80">
            <w:pPr>
              <w:pStyle w:val="TablebodyleftFinancialsTables"/>
            </w:pPr>
            <w:r>
              <w:t>Mitta to Murray Landcare Inc</w:t>
            </w:r>
          </w:p>
        </w:tc>
        <w:tc>
          <w:tcPr>
            <w:tcW w:w="1559" w:type="dxa"/>
          </w:tcPr>
          <w:p w14:paraId="58CC4642" w14:textId="77777777" w:rsidR="00B02873" w:rsidRDefault="00B02873" w:rsidP="00CF1D80">
            <w:pPr>
              <w:pStyle w:val="TablebodyleftFinancialsTables"/>
              <w:jc w:val="right"/>
            </w:pPr>
            <w:r>
              <w:t>87,413</w:t>
            </w:r>
          </w:p>
        </w:tc>
      </w:tr>
      <w:tr w:rsidR="00B02873" w:rsidRPr="00B02873" w14:paraId="312D1D0B" w14:textId="77777777" w:rsidTr="00CF1D80">
        <w:trPr>
          <w:trHeight w:val="60"/>
        </w:trPr>
        <w:tc>
          <w:tcPr>
            <w:tcW w:w="5382" w:type="dxa"/>
          </w:tcPr>
          <w:p w14:paraId="1393ADDA" w14:textId="77777777" w:rsidR="00B02873" w:rsidRDefault="00B02873" w:rsidP="00CF1D80">
            <w:pPr>
              <w:pStyle w:val="TablebodyleftFinancialsTables"/>
            </w:pPr>
            <w:r>
              <w:t>Bellarine Landcare Group Inc</w:t>
            </w:r>
          </w:p>
        </w:tc>
        <w:tc>
          <w:tcPr>
            <w:tcW w:w="1559" w:type="dxa"/>
          </w:tcPr>
          <w:p w14:paraId="2381447C" w14:textId="77777777" w:rsidR="00B02873" w:rsidRDefault="00B02873" w:rsidP="00CF1D80">
            <w:pPr>
              <w:pStyle w:val="TablebodyleftFinancialsTables"/>
              <w:jc w:val="right"/>
            </w:pPr>
            <w:r>
              <w:t>87,413</w:t>
            </w:r>
          </w:p>
        </w:tc>
      </w:tr>
      <w:tr w:rsidR="00B02873" w:rsidRPr="00B02873" w14:paraId="7328D237" w14:textId="77777777" w:rsidTr="00CF1D80">
        <w:trPr>
          <w:trHeight w:val="60"/>
        </w:trPr>
        <w:tc>
          <w:tcPr>
            <w:tcW w:w="5382" w:type="dxa"/>
          </w:tcPr>
          <w:p w14:paraId="2ABFFA3A" w14:textId="77777777" w:rsidR="00B02873" w:rsidRDefault="00B02873" w:rsidP="00CF1D80">
            <w:pPr>
              <w:pStyle w:val="TablebodyleftFinancialsTables"/>
            </w:pPr>
            <w:r>
              <w:rPr>
                <w:spacing w:val="-3"/>
              </w:rPr>
              <w:t>Southwest Goulburn Landcare Inc</w:t>
            </w:r>
          </w:p>
        </w:tc>
        <w:tc>
          <w:tcPr>
            <w:tcW w:w="1559" w:type="dxa"/>
          </w:tcPr>
          <w:p w14:paraId="21EF44A2" w14:textId="77777777" w:rsidR="00B02873" w:rsidRDefault="00B02873" w:rsidP="00CF1D80">
            <w:pPr>
              <w:pStyle w:val="TablebodyleftFinancialsTables"/>
              <w:jc w:val="right"/>
            </w:pPr>
            <w:r>
              <w:t>87,413</w:t>
            </w:r>
          </w:p>
        </w:tc>
      </w:tr>
      <w:tr w:rsidR="00B02873" w:rsidRPr="00B02873" w14:paraId="2933343D" w14:textId="77777777" w:rsidTr="00CF1D80">
        <w:trPr>
          <w:trHeight w:val="60"/>
        </w:trPr>
        <w:tc>
          <w:tcPr>
            <w:tcW w:w="5382" w:type="dxa"/>
          </w:tcPr>
          <w:p w14:paraId="0015803F" w14:textId="77777777" w:rsidR="00B02873" w:rsidRDefault="00B02873" w:rsidP="00CF1D80">
            <w:pPr>
              <w:pStyle w:val="TablebodyleftFinancialsTables"/>
            </w:pPr>
            <w:r>
              <w:t>Heytesbury District Landcare Network</w:t>
            </w:r>
          </w:p>
        </w:tc>
        <w:tc>
          <w:tcPr>
            <w:tcW w:w="1559" w:type="dxa"/>
          </w:tcPr>
          <w:p w14:paraId="53E59287" w14:textId="77777777" w:rsidR="00B02873" w:rsidRDefault="00B02873" w:rsidP="00CF1D80">
            <w:pPr>
              <w:pStyle w:val="TablebodyleftFinancialsTables"/>
              <w:jc w:val="right"/>
            </w:pPr>
            <w:r>
              <w:t>87,413</w:t>
            </w:r>
          </w:p>
        </w:tc>
      </w:tr>
      <w:tr w:rsidR="00B02873" w:rsidRPr="00B02873" w14:paraId="3297F7E8" w14:textId="77777777" w:rsidTr="00CF1D80">
        <w:trPr>
          <w:trHeight w:val="60"/>
        </w:trPr>
        <w:tc>
          <w:tcPr>
            <w:tcW w:w="5382" w:type="dxa"/>
          </w:tcPr>
          <w:p w14:paraId="2C67DE8E" w14:textId="77777777" w:rsidR="00B02873" w:rsidRDefault="00B02873" w:rsidP="00CF1D80">
            <w:pPr>
              <w:pStyle w:val="TablebodyleftFinancialsTables"/>
            </w:pPr>
            <w:r>
              <w:t>Lismore Land Protection Group</w:t>
            </w:r>
          </w:p>
        </w:tc>
        <w:tc>
          <w:tcPr>
            <w:tcW w:w="1559" w:type="dxa"/>
          </w:tcPr>
          <w:p w14:paraId="27D1B19F" w14:textId="77777777" w:rsidR="00B02873" w:rsidRDefault="00B02873" w:rsidP="00CF1D80">
            <w:pPr>
              <w:pStyle w:val="TablebodyleftFinancialsTables"/>
              <w:jc w:val="right"/>
            </w:pPr>
            <w:r>
              <w:t>87,413</w:t>
            </w:r>
          </w:p>
        </w:tc>
      </w:tr>
      <w:tr w:rsidR="00B02873" w:rsidRPr="00B02873" w14:paraId="5D20294F" w14:textId="77777777" w:rsidTr="00CF1D80">
        <w:trPr>
          <w:trHeight w:val="60"/>
        </w:trPr>
        <w:tc>
          <w:tcPr>
            <w:tcW w:w="5382" w:type="dxa"/>
          </w:tcPr>
          <w:p w14:paraId="0B0E3C47" w14:textId="77777777" w:rsidR="00B02873" w:rsidRDefault="00B02873" w:rsidP="00CF1D80">
            <w:pPr>
              <w:pStyle w:val="TablebodyleftFinancialsTables"/>
            </w:pPr>
            <w:r>
              <w:rPr>
                <w:spacing w:val="-2"/>
              </w:rPr>
              <w:t>Far East Victoria Landcare Inc</w:t>
            </w:r>
          </w:p>
        </w:tc>
        <w:tc>
          <w:tcPr>
            <w:tcW w:w="1559" w:type="dxa"/>
          </w:tcPr>
          <w:p w14:paraId="3C2B1DB9" w14:textId="77777777" w:rsidR="00B02873" w:rsidRDefault="00B02873" w:rsidP="00CF1D80">
            <w:pPr>
              <w:pStyle w:val="TablebodyleftFinancialsTables"/>
              <w:jc w:val="right"/>
            </w:pPr>
            <w:r>
              <w:t>87,413</w:t>
            </w:r>
          </w:p>
        </w:tc>
      </w:tr>
      <w:tr w:rsidR="00B02873" w:rsidRPr="00B02873" w14:paraId="335E9BBA" w14:textId="77777777" w:rsidTr="00CF1D80">
        <w:trPr>
          <w:trHeight w:val="60"/>
        </w:trPr>
        <w:tc>
          <w:tcPr>
            <w:tcW w:w="5382" w:type="dxa"/>
          </w:tcPr>
          <w:p w14:paraId="35DD9324" w14:textId="77777777" w:rsidR="00B02873" w:rsidRDefault="00B02873" w:rsidP="00CF1D80">
            <w:pPr>
              <w:pStyle w:val="TablebodyleftFinancialsTables"/>
            </w:pPr>
            <w:r>
              <w:lastRenderedPageBreak/>
              <w:t>Upper Mt Emu Creek Landcare Network</w:t>
            </w:r>
          </w:p>
        </w:tc>
        <w:tc>
          <w:tcPr>
            <w:tcW w:w="1559" w:type="dxa"/>
          </w:tcPr>
          <w:p w14:paraId="1062A4F2" w14:textId="77777777" w:rsidR="00B02873" w:rsidRDefault="00B02873" w:rsidP="00CF1D80">
            <w:pPr>
              <w:pStyle w:val="TablebodyleftFinancialsTables"/>
              <w:jc w:val="right"/>
            </w:pPr>
            <w:r>
              <w:t>87,413</w:t>
            </w:r>
          </w:p>
        </w:tc>
      </w:tr>
      <w:tr w:rsidR="00B02873" w:rsidRPr="00B02873" w14:paraId="165460C2" w14:textId="77777777" w:rsidTr="00CF1D80">
        <w:trPr>
          <w:trHeight w:val="60"/>
        </w:trPr>
        <w:tc>
          <w:tcPr>
            <w:tcW w:w="5382" w:type="dxa"/>
          </w:tcPr>
          <w:p w14:paraId="4F88F0CE" w14:textId="77777777" w:rsidR="00B02873" w:rsidRDefault="00B02873" w:rsidP="00CF1D80">
            <w:pPr>
              <w:pStyle w:val="TablebodyleftFinancialsTables"/>
            </w:pPr>
            <w:r>
              <w:t>Panyyabyr Landcare Group</w:t>
            </w:r>
          </w:p>
        </w:tc>
        <w:tc>
          <w:tcPr>
            <w:tcW w:w="1559" w:type="dxa"/>
          </w:tcPr>
          <w:p w14:paraId="538AFE8E" w14:textId="77777777" w:rsidR="00B02873" w:rsidRDefault="00B02873" w:rsidP="00CF1D80">
            <w:pPr>
              <w:pStyle w:val="TablebodyleftFinancialsTables"/>
              <w:jc w:val="right"/>
            </w:pPr>
            <w:r>
              <w:t>87,413</w:t>
            </w:r>
          </w:p>
        </w:tc>
      </w:tr>
      <w:tr w:rsidR="00B02873" w:rsidRPr="00B02873" w14:paraId="6BEF86AE" w14:textId="77777777" w:rsidTr="00CF1D80">
        <w:trPr>
          <w:trHeight w:val="60"/>
        </w:trPr>
        <w:tc>
          <w:tcPr>
            <w:tcW w:w="5382" w:type="dxa"/>
          </w:tcPr>
          <w:p w14:paraId="3E10BDC8" w14:textId="77777777" w:rsidR="00B02873" w:rsidRDefault="00B02873" w:rsidP="00CF1D80">
            <w:pPr>
              <w:pStyle w:val="TablebodyleftFinancialsTables"/>
            </w:pPr>
            <w:r>
              <w:t>Surf coast and Inland Plains Network</w:t>
            </w:r>
          </w:p>
        </w:tc>
        <w:tc>
          <w:tcPr>
            <w:tcW w:w="1559" w:type="dxa"/>
          </w:tcPr>
          <w:p w14:paraId="234D6A30" w14:textId="77777777" w:rsidR="00B02873" w:rsidRDefault="00B02873" w:rsidP="00CF1D80">
            <w:pPr>
              <w:pStyle w:val="TablebodyleftFinancialsTables"/>
              <w:jc w:val="right"/>
            </w:pPr>
            <w:r>
              <w:t>87,413</w:t>
            </w:r>
          </w:p>
        </w:tc>
      </w:tr>
      <w:tr w:rsidR="00B02873" w:rsidRPr="00B02873" w14:paraId="3B89A3E3" w14:textId="77777777" w:rsidTr="00CF1D80">
        <w:trPr>
          <w:trHeight w:val="60"/>
        </w:trPr>
        <w:tc>
          <w:tcPr>
            <w:tcW w:w="5382" w:type="dxa"/>
          </w:tcPr>
          <w:p w14:paraId="5F0EB9D8" w14:textId="77777777" w:rsidR="00B02873" w:rsidRDefault="00B02873" w:rsidP="00CF1D80">
            <w:pPr>
              <w:pStyle w:val="TablebodyleftFinancialsTables"/>
            </w:pPr>
            <w:r>
              <w:t>Millewa Carwarp Landcare Group Inc</w:t>
            </w:r>
          </w:p>
        </w:tc>
        <w:tc>
          <w:tcPr>
            <w:tcW w:w="1559" w:type="dxa"/>
          </w:tcPr>
          <w:p w14:paraId="52FC7E64" w14:textId="77777777" w:rsidR="00B02873" w:rsidRDefault="00B02873" w:rsidP="00CF1D80">
            <w:pPr>
              <w:pStyle w:val="TablebodyleftFinancialsTables"/>
              <w:jc w:val="right"/>
            </w:pPr>
            <w:r>
              <w:t>87,413</w:t>
            </w:r>
          </w:p>
        </w:tc>
      </w:tr>
      <w:tr w:rsidR="00B02873" w:rsidRPr="00B02873" w14:paraId="11042554" w14:textId="77777777" w:rsidTr="00CF1D80">
        <w:trPr>
          <w:trHeight w:val="60"/>
        </w:trPr>
        <w:tc>
          <w:tcPr>
            <w:tcW w:w="5382" w:type="dxa"/>
          </w:tcPr>
          <w:p w14:paraId="2A6101F9" w14:textId="77777777" w:rsidR="00B02873" w:rsidRDefault="00B02873" w:rsidP="00CF1D80">
            <w:pPr>
              <w:pStyle w:val="TablebodyleftFinancialsTables"/>
            </w:pPr>
            <w:r>
              <w:t>Central Otway Landcare Network</w:t>
            </w:r>
          </w:p>
        </w:tc>
        <w:tc>
          <w:tcPr>
            <w:tcW w:w="1559" w:type="dxa"/>
          </w:tcPr>
          <w:p w14:paraId="6695845F" w14:textId="77777777" w:rsidR="00B02873" w:rsidRDefault="00B02873" w:rsidP="00CF1D80">
            <w:pPr>
              <w:pStyle w:val="TablebodyleftFinancialsTables"/>
              <w:jc w:val="right"/>
            </w:pPr>
            <w:r>
              <w:t>87,413</w:t>
            </w:r>
          </w:p>
        </w:tc>
      </w:tr>
      <w:tr w:rsidR="00B02873" w:rsidRPr="00B02873" w14:paraId="36D6885B" w14:textId="77777777" w:rsidTr="00CF1D80">
        <w:trPr>
          <w:trHeight w:val="60"/>
        </w:trPr>
        <w:tc>
          <w:tcPr>
            <w:tcW w:w="5382" w:type="dxa"/>
          </w:tcPr>
          <w:p w14:paraId="6718C1CF" w14:textId="77777777" w:rsidR="00B02873" w:rsidRDefault="00B02873" w:rsidP="00CF1D80">
            <w:pPr>
              <w:pStyle w:val="TablebodyleftFinancialsTables"/>
            </w:pPr>
            <w:r>
              <w:t>Up2us Landcare Alliance</w:t>
            </w:r>
          </w:p>
        </w:tc>
        <w:tc>
          <w:tcPr>
            <w:tcW w:w="1559" w:type="dxa"/>
          </w:tcPr>
          <w:p w14:paraId="3BD0082D" w14:textId="77777777" w:rsidR="00B02873" w:rsidRDefault="00B02873" w:rsidP="00CF1D80">
            <w:pPr>
              <w:pStyle w:val="TablebodyleftFinancialsTables"/>
              <w:jc w:val="right"/>
            </w:pPr>
            <w:r>
              <w:t>87,413</w:t>
            </w:r>
          </w:p>
        </w:tc>
      </w:tr>
      <w:tr w:rsidR="00B02873" w:rsidRPr="00B02873" w14:paraId="4B9162A4" w14:textId="77777777" w:rsidTr="00CF1D80">
        <w:trPr>
          <w:trHeight w:val="60"/>
        </w:trPr>
        <w:tc>
          <w:tcPr>
            <w:tcW w:w="5382" w:type="dxa"/>
          </w:tcPr>
          <w:p w14:paraId="5F39D503" w14:textId="77777777" w:rsidR="00B02873" w:rsidRDefault="00B02873" w:rsidP="00CF1D80">
            <w:pPr>
              <w:pStyle w:val="TablebodyleftFinancialsTables"/>
            </w:pPr>
            <w:r>
              <w:t>Horsham Rural City Council</w:t>
            </w:r>
          </w:p>
        </w:tc>
        <w:tc>
          <w:tcPr>
            <w:tcW w:w="1559" w:type="dxa"/>
          </w:tcPr>
          <w:p w14:paraId="48ADB8A5" w14:textId="77777777" w:rsidR="00B02873" w:rsidRDefault="00B02873" w:rsidP="00CF1D80">
            <w:pPr>
              <w:pStyle w:val="TablebodyleftFinancialsTables"/>
              <w:jc w:val="right"/>
            </w:pPr>
            <w:r>
              <w:t>87,413</w:t>
            </w:r>
          </w:p>
        </w:tc>
      </w:tr>
      <w:tr w:rsidR="00B02873" w:rsidRPr="00B02873" w14:paraId="0FB25DC6" w14:textId="77777777" w:rsidTr="00CF1D80">
        <w:trPr>
          <w:trHeight w:val="60"/>
        </w:trPr>
        <w:tc>
          <w:tcPr>
            <w:tcW w:w="5382" w:type="dxa"/>
          </w:tcPr>
          <w:p w14:paraId="2381F91C" w14:textId="77777777" w:rsidR="00B02873" w:rsidRDefault="00B02873" w:rsidP="00CF1D80">
            <w:pPr>
              <w:pStyle w:val="TablebodyleftFinancialsTables"/>
            </w:pPr>
            <w:r>
              <w:t>Loddon Plains Landcare Network</w:t>
            </w:r>
          </w:p>
        </w:tc>
        <w:tc>
          <w:tcPr>
            <w:tcW w:w="1559" w:type="dxa"/>
          </w:tcPr>
          <w:p w14:paraId="4C3E5E3E" w14:textId="77777777" w:rsidR="00B02873" w:rsidRDefault="00B02873" w:rsidP="00CF1D80">
            <w:pPr>
              <w:pStyle w:val="TablebodyleftFinancialsTables"/>
              <w:jc w:val="right"/>
            </w:pPr>
            <w:r>
              <w:t>87,413</w:t>
            </w:r>
          </w:p>
        </w:tc>
      </w:tr>
      <w:tr w:rsidR="00B02873" w:rsidRPr="00B02873" w14:paraId="6B9D7BEE" w14:textId="77777777" w:rsidTr="00CF1D80">
        <w:trPr>
          <w:trHeight w:val="60"/>
        </w:trPr>
        <w:tc>
          <w:tcPr>
            <w:tcW w:w="5382" w:type="dxa"/>
          </w:tcPr>
          <w:p w14:paraId="48C421F6" w14:textId="77777777" w:rsidR="00B02873" w:rsidRDefault="00B02873" w:rsidP="00CF1D80">
            <w:pPr>
              <w:pStyle w:val="TablebodyleftFinancialsTables"/>
            </w:pPr>
            <w:r>
              <w:t>Upper Murray Landcare Network</w:t>
            </w:r>
          </w:p>
        </w:tc>
        <w:tc>
          <w:tcPr>
            <w:tcW w:w="1559" w:type="dxa"/>
          </w:tcPr>
          <w:p w14:paraId="2757BA94" w14:textId="77777777" w:rsidR="00B02873" w:rsidRDefault="00B02873" w:rsidP="00CF1D80">
            <w:pPr>
              <w:pStyle w:val="TablebodyleftFinancialsTables"/>
              <w:jc w:val="right"/>
            </w:pPr>
            <w:r>
              <w:t>87,413</w:t>
            </w:r>
          </w:p>
        </w:tc>
      </w:tr>
      <w:tr w:rsidR="00B02873" w:rsidRPr="00B02873" w14:paraId="54FD0313" w14:textId="77777777" w:rsidTr="00CF1D80">
        <w:trPr>
          <w:trHeight w:val="60"/>
        </w:trPr>
        <w:tc>
          <w:tcPr>
            <w:tcW w:w="5382" w:type="dxa"/>
          </w:tcPr>
          <w:p w14:paraId="13A85432" w14:textId="77777777" w:rsidR="00B02873" w:rsidRDefault="00B02873" w:rsidP="00CF1D80">
            <w:pPr>
              <w:pStyle w:val="TablebodyleftFinancialsTables"/>
            </w:pPr>
            <w:r>
              <w:t>Upper Loddon and Avoca Landcare Network</w:t>
            </w:r>
          </w:p>
        </w:tc>
        <w:tc>
          <w:tcPr>
            <w:tcW w:w="1559" w:type="dxa"/>
          </w:tcPr>
          <w:p w14:paraId="3BB2CA05" w14:textId="77777777" w:rsidR="00B02873" w:rsidRDefault="00B02873" w:rsidP="00CF1D80">
            <w:pPr>
              <w:pStyle w:val="TablebodyleftFinancialsTables"/>
              <w:jc w:val="right"/>
            </w:pPr>
            <w:r>
              <w:t>87,413</w:t>
            </w:r>
          </w:p>
        </w:tc>
      </w:tr>
      <w:tr w:rsidR="00B02873" w:rsidRPr="00B02873" w14:paraId="35B469F5" w14:textId="77777777" w:rsidTr="00CF1D80">
        <w:trPr>
          <w:trHeight w:val="386"/>
        </w:trPr>
        <w:tc>
          <w:tcPr>
            <w:tcW w:w="5382" w:type="dxa"/>
          </w:tcPr>
          <w:p w14:paraId="096BC0E7" w14:textId="77777777" w:rsidR="00B02873" w:rsidRDefault="00B02873" w:rsidP="00CF1D80">
            <w:pPr>
              <w:pStyle w:val="TablebodyleftFinancialsTables"/>
            </w:pPr>
            <w:r>
              <w:t>Mid Ovens Landcare Consortium</w:t>
            </w:r>
          </w:p>
        </w:tc>
        <w:tc>
          <w:tcPr>
            <w:tcW w:w="1559" w:type="dxa"/>
          </w:tcPr>
          <w:p w14:paraId="05D41EF6" w14:textId="77777777" w:rsidR="00B02873" w:rsidRDefault="00B02873" w:rsidP="00CF1D80">
            <w:pPr>
              <w:pStyle w:val="TablebodyleftFinancialsTables"/>
              <w:jc w:val="right"/>
            </w:pPr>
            <w:r>
              <w:t>87,413</w:t>
            </w:r>
          </w:p>
        </w:tc>
      </w:tr>
      <w:tr w:rsidR="00B02873" w:rsidRPr="00B02873" w14:paraId="3C4E6AF2" w14:textId="77777777" w:rsidTr="00CF1D80">
        <w:trPr>
          <w:trHeight w:val="60"/>
        </w:trPr>
        <w:tc>
          <w:tcPr>
            <w:tcW w:w="5382" w:type="dxa"/>
          </w:tcPr>
          <w:p w14:paraId="6551A462" w14:textId="77777777" w:rsidR="00B02873" w:rsidRDefault="00B02873" w:rsidP="00CF1D80">
            <w:pPr>
              <w:pStyle w:val="TablebodyleftFinancialsTables"/>
            </w:pPr>
            <w:r>
              <w:t>Gecko Clan Landcare Network Inc</w:t>
            </w:r>
          </w:p>
        </w:tc>
        <w:tc>
          <w:tcPr>
            <w:tcW w:w="1559" w:type="dxa"/>
          </w:tcPr>
          <w:p w14:paraId="081C2F47" w14:textId="77777777" w:rsidR="00B02873" w:rsidRDefault="00B02873" w:rsidP="00CF1D80">
            <w:pPr>
              <w:pStyle w:val="TablebodyleftFinancialsTables"/>
              <w:jc w:val="right"/>
            </w:pPr>
            <w:r>
              <w:t>87,413</w:t>
            </w:r>
          </w:p>
        </w:tc>
      </w:tr>
      <w:tr w:rsidR="00B02873" w:rsidRPr="00B02873" w14:paraId="374908C6" w14:textId="77777777" w:rsidTr="00CF1D80">
        <w:trPr>
          <w:trHeight w:val="60"/>
        </w:trPr>
        <w:tc>
          <w:tcPr>
            <w:tcW w:w="5382" w:type="dxa"/>
          </w:tcPr>
          <w:p w14:paraId="27698993" w14:textId="77777777" w:rsidR="00B02873" w:rsidRDefault="00B02873" w:rsidP="00CF1D80">
            <w:pPr>
              <w:pStyle w:val="TablebodyleftFinancialsTables"/>
            </w:pPr>
            <w:r>
              <w:t>Southern Otway Landcare Network Inc</w:t>
            </w:r>
          </w:p>
        </w:tc>
        <w:tc>
          <w:tcPr>
            <w:tcW w:w="1559" w:type="dxa"/>
          </w:tcPr>
          <w:p w14:paraId="16CFA712" w14:textId="77777777" w:rsidR="00B02873" w:rsidRDefault="00B02873" w:rsidP="00CF1D80">
            <w:pPr>
              <w:pStyle w:val="TablebodyleftFinancialsTables"/>
              <w:jc w:val="right"/>
            </w:pPr>
            <w:r>
              <w:t>87,413</w:t>
            </w:r>
          </w:p>
        </w:tc>
      </w:tr>
      <w:tr w:rsidR="00B02873" w:rsidRPr="00B02873" w14:paraId="4B673A60" w14:textId="77777777" w:rsidTr="00CF1D80">
        <w:trPr>
          <w:trHeight w:val="60"/>
        </w:trPr>
        <w:tc>
          <w:tcPr>
            <w:tcW w:w="5382" w:type="dxa"/>
          </w:tcPr>
          <w:p w14:paraId="07E2665B" w14:textId="77777777" w:rsidR="00B02873" w:rsidRDefault="00B02873" w:rsidP="00CF1D80">
            <w:pPr>
              <w:pStyle w:val="TablebodyleftFinancialsTables"/>
            </w:pPr>
            <w:r>
              <w:t>Hughes Creek Catchment Collaborative</w:t>
            </w:r>
          </w:p>
        </w:tc>
        <w:tc>
          <w:tcPr>
            <w:tcW w:w="1559" w:type="dxa"/>
          </w:tcPr>
          <w:p w14:paraId="137D5D0B" w14:textId="77777777" w:rsidR="00B02873" w:rsidRDefault="00B02873" w:rsidP="00CF1D80">
            <w:pPr>
              <w:pStyle w:val="TablebodyleftFinancialsTables"/>
              <w:jc w:val="right"/>
            </w:pPr>
            <w:r>
              <w:t>87,413</w:t>
            </w:r>
          </w:p>
        </w:tc>
      </w:tr>
      <w:tr w:rsidR="00B02873" w:rsidRPr="00B02873" w14:paraId="13F260A6" w14:textId="77777777" w:rsidTr="00CF1D80">
        <w:trPr>
          <w:trHeight w:val="60"/>
        </w:trPr>
        <w:tc>
          <w:tcPr>
            <w:tcW w:w="5382" w:type="dxa"/>
          </w:tcPr>
          <w:p w14:paraId="52374460" w14:textId="77777777" w:rsidR="00B02873" w:rsidRDefault="00B02873" w:rsidP="00CF1D80">
            <w:pPr>
              <w:pStyle w:val="TablebodyleftFinancialsTables"/>
            </w:pPr>
            <w:r>
              <w:t>Yarrowee Leigh Catchment Group Inc</w:t>
            </w:r>
          </w:p>
        </w:tc>
        <w:tc>
          <w:tcPr>
            <w:tcW w:w="1559" w:type="dxa"/>
          </w:tcPr>
          <w:p w14:paraId="2D46E600" w14:textId="77777777" w:rsidR="00B02873" w:rsidRDefault="00B02873" w:rsidP="00CF1D80">
            <w:pPr>
              <w:pStyle w:val="TablebodyleftFinancialsTables"/>
              <w:jc w:val="right"/>
            </w:pPr>
            <w:r>
              <w:t>87,413</w:t>
            </w:r>
          </w:p>
        </w:tc>
      </w:tr>
      <w:tr w:rsidR="00B02873" w:rsidRPr="00B02873" w14:paraId="08A02756" w14:textId="77777777" w:rsidTr="00CF1D80">
        <w:trPr>
          <w:trHeight w:val="60"/>
        </w:trPr>
        <w:tc>
          <w:tcPr>
            <w:tcW w:w="5382" w:type="dxa"/>
          </w:tcPr>
          <w:p w14:paraId="54728131" w14:textId="77777777" w:rsidR="00B02873" w:rsidRDefault="00B02873" w:rsidP="00CF1D80">
            <w:pPr>
              <w:pStyle w:val="TablebodyleftFinancialsTables"/>
            </w:pPr>
            <w:r>
              <w:t>Western Port Catchment Landcare Network</w:t>
            </w:r>
          </w:p>
        </w:tc>
        <w:tc>
          <w:tcPr>
            <w:tcW w:w="1559" w:type="dxa"/>
          </w:tcPr>
          <w:p w14:paraId="47D31A2E" w14:textId="77777777" w:rsidR="00B02873" w:rsidRDefault="00B02873" w:rsidP="00CF1D80">
            <w:pPr>
              <w:pStyle w:val="TablebodyleftFinancialsTables"/>
              <w:jc w:val="right"/>
            </w:pPr>
            <w:r>
              <w:t>87,413</w:t>
            </w:r>
          </w:p>
        </w:tc>
      </w:tr>
      <w:tr w:rsidR="00B02873" w:rsidRPr="00B02873" w14:paraId="31C8CD6B" w14:textId="77777777" w:rsidTr="00CF1D80">
        <w:trPr>
          <w:trHeight w:val="60"/>
        </w:trPr>
        <w:tc>
          <w:tcPr>
            <w:tcW w:w="5382" w:type="dxa"/>
          </w:tcPr>
          <w:p w14:paraId="0311D2CE" w14:textId="77777777" w:rsidR="00B02873" w:rsidRDefault="00B02873" w:rsidP="00CF1D80">
            <w:pPr>
              <w:pStyle w:val="TablebodyleftFinancialsTables"/>
            </w:pPr>
            <w:r>
              <w:t>Yarrilinks Inc</w:t>
            </w:r>
          </w:p>
        </w:tc>
        <w:tc>
          <w:tcPr>
            <w:tcW w:w="1559" w:type="dxa"/>
          </w:tcPr>
          <w:p w14:paraId="5DD0E407" w14:textId="77777777" w:rsidR="00B02873" w:rsidRDefault="00B02873" w:rsidP="00CF1D80">
            <w:pPr>
              <w:pStyle w:val="TablebodyleftFinancialsTables"/>
              <w:jc w:val="right"/>
            </w:pPr>
            <w:r>
              <w:t>87,413</w:t>
            </w:r>
          </w:p>
        </w:tc>
      </w:tr>
      <w:tr w:rsidR="00B02873" w:rsidRPr="00B02873" w14:paraId="5BA3FF99" w14:textId="77777777" w:rsidTr="00CF1D80">
        <w:trPr>
          <w:trHeight w:val="60"/>
        </w:trPr>
        <w:tc>
          <w:tcPr>
            <w:tcW w:w="5382" w:type="dxa"/>
          </w:tcPr>
          <w:p w14:paraId="7F7D496D" w14:textId="77777777" w:rsidR="00B02873" w:rsidRDefault="00B02873" w:rsidP="00CF1D80">
            <w:pPr>
              <w:pStyle w:val="TablebodyleftFinancialsTables"/>
            </w:pPr>
            <w:r>
              <w:t>Blampied-kooroocheang Landcare Group</w:t>
            </w:r>
          </w:p>
        </w:tc>
        <w:tc>
          <w:tcPr>
            <w:tcW w:w="1559" w:type="dxa"/>
          </w:tcPr>
          <w:p w14:paraId="0476C659" w14:textId="77777777" w:rsidR="00B02873" w:rsidRDefault="00B02873" w:rsidP="00CF1D80">
            <w:pPr>
              <w:pStyle w:val="TablebodyleftFinancialsTables"/>
              <w:jc w:val="right"/>
            </w:pPr>
            <w:r>
              <w:t>87,413</w:t>
            </w:r>
          </w:p>
        </w:tc>
      </w:tr>
      <w:tr w:rsidR="00B02873" w:rsidRPr="00B02873" w14:paraId="04985FBC" w14:textId="77777777" w:rsidTr="00CF1D80">
        <w:trPr>
          <w:trHeight w:val="60"/>
        </w:trPr>
        <w:tc>
          <w:tcPr>
            <w:tcW w:w="5382" w:type="dxa"/>
          </w:tcPr>
          <w:p w14:paraId="3D91846C" w14:textId="77777777" w:rsidR="00B02873" w:rsidRDefault="00B02873" w:rsidP="00CF1D80">
            <w:pPr>
              <w:pStyle w:val="TablebodyleftFinancialsTables"/>
            </w:pPr>
            <w:r>
              <w:t>Naturewest</w:t>
            </w:r>
          </w:p>
        </w:tc>
        <w:tc>
          <w:tcPr>
            <w:tcW w:w="1559" w:type="dxa"/>
          </w:tcPr>
          <w:p w14:paraId="1291F609" w14:textId="77777777" w:rsidR="00B02873" w:rsidRDefault="00B02873" w:rsidP="00CF1D80">
            <w:pPr>
              <w:pStyle w:val="TablebodyleftFinancialsTables"/>
              <w:jc w:val="right"/>
            </w:pPr>
            <w:r>
              <w:t>87,413</w:t>
            </w:r>
          </w:p>
        </w:tc>
      </w:tr>
      <w:tr w:rsidR="00B02873" w:rsidRPr="00B02873" w14:paraId="0B277B87" w14:textId="77777777" w:rsidTr="00CF1D80">
        <w:trPr>
          <w:trHeight w:val="60"/>
        </w:trPr>
        <w:tc>
          <w:tcPr>
            <w:tcW w:w="5382" w:type="dxa"/>
          </w:tcPr>
          <w:p w14:paraId="649D6611" w14:textId="77777777" w:rsidR="00B02873" w:rsidRDefault="00B02873" w:rsidP="00CF1D80">
            <w:pPr>
              <w:pStyle w:val="TablebodyleftFinancialsTables"/>
            </w:pPr>
            <w:r>
              <w:t>Merri Creek Management Committee Inc</w:t>
            </w:r>
          </w:p>
        </w:tc>
        <w:tc>
          <w:tcPr>
            <w:tcW w:w="1559" w:type="dxa"/>
          </w:tcPr>
          <w:p w14:paraId="056191EA" w14:textId="77777777" w:rsidR="00B02873" w:rsidRDefault="00B02873" w:rsidP="00CF1D80">
            <w:pPr>
              <w:pStyle w:val="TablebodyleftFinancialsTables"/>
              <w:jc w:val="right"/>
            </w:pPr>
            <w:r>
              <w:t>86,798</w:t>
            </w:r>
          </w:p>
        </w:tc>
      </w:tr>
      <w:tr w:rsidR="00B02873" w:rsidRPr="00B02873" w14:paraId="71C14E31" w14:textId="77777777" w:rsidTr="00CF1D80">
        <w:trPr>
          <w:trHeight w:val="60"/>
        </w:trPr>
        <w:tc>
          <w:tcPr>
            <w:tcW w:w="5382" w:type="dxa"/>
          </w:tcPr>
          <w:p w14:paraId="04BAA265" w14:textId="77777777" w:rsidR="00B02873" w:rsidRDefault="00B02873" w:rsidP="00CF1D80">
            <w:pPr>
              <w:pStyle w:val="TablebodyleftFinancialsTables"/>
            </w:pPr>
            <w:r>
              <w:t>Geelong Landcare Network</w:t>
            </w:r>
          </w:p>
        </w:tc>
        <w:tc>
          <w:tcPr>
            <w:tcW w:w="1559" w:type="dxa"/>
          </w:tcPr>
          <w:p w14:paraId="06F4A096" w14:textId="77777777" w:rsidR="00B02873" w:rsidRDefault="00B02873" w:rsidP="00CF1D80">
            <w:pPr>
              <w:pStyle w:val="TablebodyleftFinancialsTables"/>
              <w:jc w:val="right"/>
            </w:pPr>
            <w:r>
              <w:t>83,783</w:t>
            </w:r>
          </w:p>
        </w:tc>
      </w:tr>
      <w:tr w:rsidR="00B02873" w:rsidRPr="00B02873" w14:paraId="012D51ED" w14:textId="77777777" w:rsidTr="00CF1D80">
        <w:trPr>
          <w:trHeight w:val="60"/>
        </w:trPr>
        <w:tc>
          <w:tcPr>
            <w:tcW w:w="5382" w:type="dxa"/>
          </w:tcPr>
          <w:p w14:paraId="1FE19461" w14:textId="77777777" w:rsidR="00B02873" w:rsidRDefault="00B02873" w:rsidP="00CF1D80">
            <w:pPr>
              <w:pStyle w:val="TablebodyleftFinancialsTables"/>
            </w:pPr>
            <w:r>
              <w:t>Upper Hopkins Land Management Group</w:t>
            </w:r>
          </w:p>
        </w:tc>
        <w:tc>
          <w:tcPr>
            <w:tcW w:w="1559" w:type="dxa"/>
          </w:tcPr>
          <w:p w14:paraId="2C061A57" w14:textId="77777777" w:rsidR="00B02873" w:rsidRDefault="00B02873" w:rsidP="00CF1D80">
            <w:pPr>
              <w:pStyle w:val="TablebodyleftFinancialsTables"/>
              <w:jc w:val="right"/>
            </w:pPr>
            <w:r>
              <w:t>82,798</w:t>
            </w:r>
          </w:p>
        </w:tc>
      </w:tr>
      <w:tr w:rsidR="00B02873" w:rsidRPr="00B02873" w14:paraId="70C448C2" w14:textId="77777777" w:rsidTr="00CF1D80">
        <w:trPr>
          <w:trHeight w:val="60"/>
        </w:trPr>
        <w:tc>
          <w:tcPr>
            <w:tcW w:w="5382" w:type="dxa"/>
          </w:tcPr>
          <w:p w14:paraId="42ACAE2A" w14:textId="3CDAC6F6" w:rsidR="00B02873" w:rsidRDefault="00B02873" w:rsidP="00CF1D80">
            <w:pPr>
              <w:pStyle w:val="TablebodyleftFinancialsTables"/>
            </w:pPr>
            <w:r>
              <w:t>H11</w:t>
            </w:r>
            <w:r w:rsidR="000C45FC">
              <w:t xml:space="preserve"> – </w:t>
            </w:r>
            <w:r>
              <w:t>H12 Community Action Group</w:t>
            </w:r>
          </w:p>
        </w:tc>
        <w:tc>
          <w:tcPr>
            <w:tcW w:w="1559" w:type="dxa"/>
          </w:tcPr>
          <w:p w14:paraId="75A25C85" w14:textId="77777777" w:rsidR="00B02873" w:rsidRDefault="00B02873" w:rsidP="00CF1D80">
            <w:pPr>
              <w:pStyle w:val="TablebodyleftFinancialsTables"/>
              <w:jc w:val="right"/>
            </w:pPr>
            <w:r>
              <w:t>82,798</w:t>
            </w:r>
          </w:p>
        </w:tc>
      </w:tr>
      <w:tr w:rsidR="00B02873" w:rsidRPr="00B02873" w14:paraId="17435BCC" w14:textId="77777777" w:rsidTr="00CF1D80">
        <w:trPr>
          <w:trHeight w:val="60"/>
        </w:trPr>
        <w:tc>
          <w:tcPr>
            <w:tcW w:w="5382" w:type="dxa"/>
          </w:tcPr>
          <w:p w14:paraId="352830CA" w14:textId="77777777" w:rsidR="00B02873" w:rsidRDefault="00B02873" w:rsidP="00CF1D80">
            <w:pPr>
              <w:pStyle w:val="TablebodyleftFinancialsTables"/>
            </w:pPr>
            <w:r>
              <w:rPr>
                <w:spacing w:val="-2"/>
              </w:rPr>
              <w:t>Conservation Ecology Centre</w:t>
            </w:r>
          </w:p>
        </w:tc>
        <w:tc>
          <w:tcPr>
            <w:tcW w:w="1559" w:type="dxa"/>
          </w:tcPr>
          <w:p w14:paraId="61E48807" w14:textId="77777777" w:rsidR="00B02873" w:rsidRDefault="00B02873" w:rsidP="00CF1D80">
            <w:pPr>
              <w:pStyle w:val="TablebodyleftFinancialsTables"/>
              <w:jc w:val="right"/>
            </w:pPr>
            <w:r>
              <w:t>81,010</w:t>
            </w:r>
          </w:p>
        </w:tc>
      </w:tr>
      <w:tr w:rsidR="00B02873" w:rsidRPr="00B02873" w14:paraId="60DC67CF" w14:textId="77777777" w:rsidTr="00CF1D80">
        <w:trPr>
          <w:trHeight w:val="60"/>
        </w:trPr>
        <w:tc>
          <w:tcPr>
            <w:tcW w:w="5382" w:type="dxa"/>
          </w:tcPr>
          <w:p w14:paraId="0E256021" w14:textId="77777777" w:rsidR="00B02873" w:rsidRDefault="00B02873" w:rsidP="00CF1D80">
            <w:pPr>
              <w:pStyle w:val="TablebodyleftFinancialsTables"/>
            </w:pPr>
            <w:r>
              <w:t>Barengi Gadjin Land Council</w:t>
            </w:r>
          </w:p>
        </w:tc>
        <w:tc>
          <w:tcPr>
            <w:tcW w:w="1559" w:type="dxa"/>
          </w:tcPr>
          <w:p w14:paraId="4AE57C3F" w14:textId="77777777" w:rsidR="00B02873" w:rsidRDefault="00B02873" w:rsidP="00CF1D80">
            <w:pPr>
              <w:pStyle w:val="TablebodyleftFinancialsTables"/>
              <w:jc w:val="right"/>
            </w:pPr>
            <w:r>
              <w:t>80,597</w:t>
            </w:r>
          </w:p>
        </w:tc>
      </w:tr>
      <w:tr w:rsidR="00B02873" w:rsidRPr="00B02873" w14:paraId="0181AB78" w14:textId="77777777" w:rsidTr="00CF1D80">
        <w:trPr>
          <w:trHeight w:val="60"/>
        </w:trPr>
        <w:tc>
          <w:tcPr>
            <w:tcW w:w="5382" w:type="dxa"/>
          </w:tcPr>
          <w:p w14:paraId="028751C3" w14:textId="77777777" w:rsidR="00B02873" w:rsidRDefault="00B02873" w:rsidP="00CF1D80">
            <w:pPr>
              <w:pStyle w:val="TablebodyleftFinancialsTables"/>
            </w:pPr>
            <w:r>
              <w:t>Dja Dja Wurrung Clans Aboriginal Corporation</w:t>
            </w:r>
          </w:p>
        </w:tc>
        <w:tc>
          <w:tcPr>
            <w:tcW w:w="1559" w:type="dxa"/>
          </w:tcPr>
          <w:p w14:paraId="1C5845FD" w14:textId="77777777" w:rsidR="00B02873" w:rsidRDefault="00B02873" w:rsidP="00CF1D80">
            <w:pPr>
              <w:pStyle w:val="TablebodyleftFinancialsTables"/>
              <w:jc w:val="right"/>
            </w:pPr>
            <w:r>
              <w:t>75,000</w:t>
            </w:r>
          </w:p>
        </w:tc>
      </w:tr>
      <w:tr w:rsidR="00B02873" w:rsidRPr="00B02873" w14:paraId="4B5CCB86" w14:textId="77777777" w:rsidTr="00CF1D80">
        <w:trPr>
          <w:trHeight w:val="60"/>
        </w:trPr>
        <w:tc>
          <w:tcPr>
            <w:tcW w:w="5382" w:type="dxa"/>
          </w:tcPr>
          <w:p w14:paraId="669BD9AE" w14:textId="77777777" w:rsidR="00B02873" w:rsidRDefault="00B02873" w:rsidP="00CF1D80">
            <w:pPr>
              <w:pStyle w:val="TablebodyleftFinancialsTables"/>
            </w:pPr>
            <w:r>
              <w:t>Hamilton to Coleraine Railway Line Landcare Group</w:t>
            </w:r>
          </w:p>
        </w:tc>
        <w:tc>
          <w:tcPr>
            <w:tcW w:w="1559" w:type="dxa"/>
          </w:tcPr>
          <w:p w14:paraId="03FAE62C" w14:textId="77777777" w:rsidR="00B02873" w:rsidRDefault="00B02873" w:rsidP="00CF1D80">
            <w:pPr>
              <w:pStyle w:val="TablebodyleftFinancialsTables"/>
              <w:jc w:val="right"/>
            </w:pPr>
            <w:r>
              <w:t>73,598</w:t>
            </w:r>
          </w:p>
        </w:tc>
      </w:tr>
      <w:tr w:rsidR="00B02873" w:rsidRPr="00B02873" w14:paraId="37B16531" w14:textId="77777777" w:rsidTr="00CF1D80">
        <w:trPr>
          <w:trHeight w:val="60"/>
        </w:trPr>
        <w:tc>
          <w:tcPr>
            <w:tcW w:w="5382" w:type="dxa"/>
          </w:tcPr>
          <w:p w14:paraId="41F8AD98" w14:textId="144C6FF8" w:rsidR="00B02873" w:rsidRDefault="00B02873" w:rsidP="00CF1D80">
            <w:pPr>
              <w:pStyle w:val="TablebodyleftFinancialsTables"/>
            </w:pPr>
            <w:r>
              <w:t xml:space="preserve">Swifts Creek Ensay </w:t>
            </w:r>
            <w:r w:rsidR="00E532ED">
              <w:t>Landcare</w:t>
            </w:r>
            <w:r>
              <w:t xml:space="preserve"> Group</w:t>
            </w:r>
          </w:p>
        </w:tc>
        <w:tc>
          <w:tcPr>
            <w:tcW w:w="1559" w:type="dxa"/>
          </w:tcPr>
          <w:p w14:paraId="7C2878DB" w14:textId="77777777" w:rsidR="00B02873" w:rsidRDefault="00B02873" w:rsidP="00CF1D80">
            <w:pPr>
              <w:pStyle w:val="TablebodyleftFinancialsTables"/>
              <w:jc w:val="right"/>
            </w:pPr>
            <w:r>
              <w:t>73,598</w:t>
            </w:r>
          </w:p>
        </w:tc>
      </w:tr>
      <w:tr w:rsidR="00B02873" w:rsidRPr="00B02873" w14:paraId="6A5B5BD2" w14:textId="77777777" w:rsidTr="00CF1D80">
        <w:trPr>
          <w:trHeight w:val="60"/>
        </w:trPr>
        <w:tc>
          <w:tcPr>
            <w:tcW w:w="5382" w:type="dxa"/>
          </w:tcPr>
          <w:p w14:paraId="2B83D78D" w14:textId="77777777" w:rsidR="00B02873" w:rsidRDefault="00B02873" w:rsidP="00CF1D80">
            <w:pPr>
              <w:pStyle w:val="TablebodyleftFinancialsTables"/>
            </w:pPr>
            <w:r>
              <w:t>Murrayville Landcare Group</w:t>
            </w:r>
          </w:p>
        </w:tc>
        <w:tc>
          <w:tcPr>
            <w:tcW w:w="1559" w:type="dxa"/>
          </w:tcPr>
          <w:p w14:paraId="7BF11263" w14:textId="77777777" w:rsidR="00B02873" w:rsidRDefault="00B02873" w:rsidP="00CF1D80">
            <w:pPr>
              <w:pStyle w:val="TablebodyleftFinancialsTables"/>
              <w:jc w:val="right"/>
            </w:pPr>
            <w:r>
              <w:t>64,399</w:t>
            </w:r>
          </w:p>
        </w:tc>
      </w:tr>
      <w:tr w:rsidR="00B02873" w:rsidRPr="00B02873" w14:paraId="4384F292" w14:textId="77777777" w:rsidTr="00CF1D80">
        <w:trPr>
          <w:trHeight w:val="60"/>
        </w:trPr>
        <w:tc>
          <w:tcPr>
            <w:tcW w:w="5382" w:type="dxa"/>
          </w:tcPr>
          <w:p w14:paraId="4DDE6ADE" w14:textId="77777777" w:rsidR="00B02873" w:rsidRDefault="00B02873" w:rsidP="00CF1D80">
            <w:pPr>
              <w:pStyle w:val="TablebodyleftFinancialsTables"/>
            </w:pPr>
            <w:r>
              <w:t>Snowy River Interstate Landcare Committee</w:t>
            </w:r>
          </w:p>
        </w:tc>
        <w:tc>
          <w:tcPr>
            <w:tcW w:w="1559" w:type="dxa"/>
          </w:tcPr>
          <w:p w14:paraId="68B6AFD8" w14:textId="77777777" w:rsidR="00B02873" w:rsidRDefault="00B02873" w:rsidP="00CF1D80">
            <w:pPr>
              <w:pStyle w:val="TablebodyleftFinancialsTables"/>
              <w:jc w:val="right"/>
            </w:pPr>
            <w:r>
              <w:t>64,399</w:t>
            </w:r>
          </w:p>
        </w:tc>
      </w:tr>
      <w:tr w:rsidR="00B02873" w:rsidRPr="00B02873" w14:paraId="6CEC1664" w14:textId="77777777" w:rsidTr="00CF1D80">
        <w:trPr>
          <w:trHeight w:val="60"/>
        </w:trPr>
        <w:tc>
          <w:tcPr>
            <w:tcW w:w="5382" w:type="dxa"/>
          </w:tcPr>
          <w:p w14:paraId="5E5AA39A" w14:textId="77777777" w:rsidR="00B02873" w:rsidRDefault="00B02873" w:rsidP="00CF1D80">
            <w:pPr>
              <w:pStyle w:val="TablebodyleftFinancialsTables"/>
            </w:pPr>
            <w:r>
              <w:t>RMIT University</w:t>
            </w:r>
          </w:p>
        </w:tc>
        <w:tc>
          <w:tcPr>
            <w:tcW w:w="1559" w:type="dxa"/>
          </w:tcPr>
          <w:p w14:paraId="56433F9C" w14:textId="77777777" w:rsidR="00B02873" w:rsidRDefault="00B02873" w:rsidP="00CF1D80">
            <w:pPr>
              <w:pStyle w:val="TablebodyleftFinancialsTables"/>
              <w:jc w:val="right"/>
            </w:pPr>
            <w:r>
              <w:t>62,572</w:t>
            </w:r>
          </w:p>
        </w:tc>
      </w:tr>
      <w:tr w:rsidR="00B02873" w:rsidRPr="00B02873" w14:paraId="2B8243C5" w14:textId="77777777" w:rsidTr="00CF1D80">
        <w:trPr>
          <w:trHeight w:val="60"/>
        </w:trPr>
        <w:tc>
          <w:tcPr>
            <w:tcW w:w="5382" w:type="dxa"/>
          </w:tcPr>
          <w:p w14:paraId="3823E88C" w14:textId="77777777" w:rsidR="00B02873" w:rsidRDefault="00B02873" w:rsidP="00CF1D80">
            <w:pPr>
              <w:pStyle w:val="TablebodyleftFinancialsTables"/>
            </w:pPr>
            <w:r>
              <w:t>Kowree Farm Tree Group Inc</w:t>
            </w:r>
          </w:p>
        </w:tc>
        <w:tc>
          <w:tcPr>
            <w:tcW w:w="1559" w:type="dxa"/>
          </w:tcPr>
          <w:p w14:paraId="549D2431" w14:textId="77777777" w:rsidR="00B02873" w:rsidRDefault="00B02873" w:rsidP="00CF1D80">
            <w:pPr>
              <w:pStyle w:val="TablebodyleftFinancialsTables"/>
              <w:jc w:val="right"/>
            </w:pPr>
            <w:r>
              <w:t>62,528</w:t>
            </w:r>
          </w:p>
        </w:tc>
      </w:tr>
      <w:tr w:rsidR="00B02873" w:rsidRPr="00B02873" w14:paraId="39D8E2BC" w14:textId="77777777" w:rsidTr="00CF1D80">
        <w:trPr>
          <w:trHeight w:val="60"/>
        </w:trPr>
        <w:tc>
          <w:tcPr>
            <w:tcW w:w="5382" w:type="dxa"/>
          </w:tcPr>
          <w:p w14:paraId="3F6E997C" w14:textId="77777777" w:rsidR="00B02873" w:rsidRDefault="00B02873" w:rsidP="00CF1D80">
            <w:pPr>
              <w:pStyle w:val="TablebodyleftFinancialsTables"/>
            </w:pPr>
            <w:r>
              <w:t>Frankston City Council</w:t>
            </w:r>
          </w:p>
        </w:tc>
        <w:tc>
          <w:tcPr>
            <w:tcW w:w="1559" w:type="dxa"/>
          </w:tcPr>
          <w:p w14:paraId="1102F760" w14:textId="77777777" w:rsidR="00B02873" w:rsidRDefault="00B02873" w:rsidP="00CF1D80">
            <w:pPr>
              <w:pStyle w:val="TablebodyleftFinancialsTables"/>
              <w:jc w:val="right"/>
            </w:pPr>
            <w:r>
              <w:t>58,000</w:t>
            </w:r>
          </w:p>
        </w:tc>
      </w:tr>
      <w:tr w:rsidR="00B02873" w:rsidRPr="00B02873" w14:paraId="1D4E5167" w14:textId="77777777" w:rsidTr="00CF1D80">
        <w:trPr>
          <w:trHeight w:val="60"/>
        </w:trPr>
        <w:tc>
          <w:tcPr>
            <w:tcW w:w="5382" w:type="dxa"/>
          </w:tcPr>
          <w:p w14:paraId="507F1D5D" w14:textId="77777777" w:rsidR="00B02873" w:rsidRDefault="00B02873" w:rsidP="00CF1D80">
            <w:pPr>
              <w:pStyle w:val="TablebodyleftFinancialsTables"/>
            </w:pPr>
            <w:r>
              <w:t>Northern Yarra Landcare Network</w:t>
            </w:r>
          </w:p>
        </w:tc>
        <w:tc>
          <w:tcPr>
            <w:tcW w:w="1559" w:type="dxa"/>
          </w:tcPr>
          <w:p w14:paraId="3796552C" w14:textId="77777777" w:rsidR="00B02873" w:rsidRDefault="00B02873" w:rsidP="00CF1D80">
            <w:pPr>
              <w:pStyle w:val="TablebodyleftFinancialsTables"/>
              <w:jc w:val="right"/>
            </w:pPr>
            <w:r>
              <w:t>57,250</w:t>
            </w:r>
          </w:p>
        </w:tc>
      </w:tr>
      <w:tr w:rsidR="00B02873" w:rsidRPr="00B02873" w14:paraId="02A8BDDF" w14:textId="77777777" w:rsidTr="00CF1D80">
        <w:trPr>
          <w:trHeight w:val="60"/>
        </w:trPr>
        <w:tc>
          <w:tcPr>
            <w:tcW w:w="5382" w:type="dxa"/>
          </w:tcPr>
          <w:p w14:paraId="60959CC8" w14:textId="77777777" w:rsidR="00B02873" w:rsidRDefault="00B02873" w:rsidP="00CF1D80">
            <w:pPr>
              <w:pStyle w:val="TablebodyleftFinancialsTables"/>
            </w:pPr>
            <w:r>
              <w:t>Eastern Maar Aboriginal Corporation</w:t>
            </w:r>
          </w:p>
        </w:tc>
        <w:tc>
          <w:tcPr>
            <w:tcW w:w="1559" w:type="dxa"/>
          </w:tcPr>
          <w:p w14:paraId="66AC7F9E" w14:textId="77777777" w:rsidR="00B02873" w:rsidRDefault="00B02873" w:rsidP="00CF1D80">
            <w:pPr>
              <w:pStyle w:val="TablebodyleftFinancialsTables"/>
              <w:jc w:val="right"/>
            </w:pPr>
            <w:r>
              <w:t>52,500</w:t>
            </w:r>
          </w:p>
        </w:tc>
      </w:tr>
      <w:tr w:rsidR="00B02873" w:rsidRPr="00B02873" w14:paraId="34D962EC" w14:textId="77777777" w:rsidTr="00CF1D80">
        <w:trPr>
          <w:trHeight w:val="60"/>
        </w:trPr>
        <w:tc>
          <w:tcPr>
            <w:tcW w:w="5382" w:type="dxa"/>
          </w:tcPr>
          <w:p w14:paraId="1E88D5F3" w14:textId="77777777" w:rsidR="00B02873" w:rsidRDefault="00B02873" w:rsidP="00CF1D80">
            <w:pPr>
              <w:pStyle w:val="TablebodyleftFinancialsTables"/>
            </w:pPr>
            <w:r>
              <w:rPr>
                <w:spacing w:val="-4"/>
              </w:rPr>
              <w:lastRenderedPageBreak/>
              <w:t>Warrnambool City Council</w:t>
            </w:r>
          </w:p>
        </w:tc>
        <w:tc>
          <w:tcPr>
            <w:tcW w:w="1559" w:type="dxa"/>
          </w:tcPr>
          <w:p w14:paraId="02849F21" w14:textId="77777777" w:rsidR="00B02873" w:rsidRDefault="00B02873" w:rsidP="00CF1D80">
            <w:pPr>
              <w:pStyle w:val="TablebodyleftFinancialsTables"/>
              <w:jc w:val="right"/>
            </w:pPr>
            <w:r>
              <w:t>52,000</w:t>
            </w:r>
          </w:p>
        </w:tc>
      </w:tr>
      <w:tr w:rsidR="00B02873" w:rsidRPr="00B02873" w14:paraId="75818737" w14:textId="77777777" w:rsidTr="00CF1D80">
        <w:trPr>
          <w:trHeight w:val="60"/>
        </w:trPr>
        <w:tc>
          <w:tcPr>
            <w:tcW w:w="5382" w:type="dxa"/>
          </w:tcPr>
          <w:p w14:paraId="12B4B87A" w14:textId="77777777" w:rsidR="00B02873" w:rsidRDefault="00B02873" w:rsidP="00CF1D80">
            <w:pPr>
              <w:pStyle w:val="TablebodyleftFinancialsTables"/>
            </w:pPr>
            <w:r>
              <w:t>Western District Health Service</w:t>
            </w:r>
          </w:p>
        </w:tc>
        <w:tc>
          <w:tcPr>
            <w:tcW w:w="1559" w:type="dxa"/>
          </w:tcPr>
          <w:p w14:paraId="3A15E867" w14:textId="77777777" w:rsidR="00B02873" w:rsidRDefault="00B02873" w:rsidP="00CF1D80">
            <w:pPr>
              <w:pStyle w:val="TablebodyleftFinancialsTables"/>
              <w:jc w:val="right"/>
            </w:pPr>
            <w:r>
              <w:t>51,500</w:t>
            </w:r>
          </w:p>
        </w:tc>
      </w:tr>
      <w:tr w:rsidR="00B02873" w:rsidRPr="00B02873" w14:paraId="72A4A6B7" w14:textId="77777777" w:rsidTr="00CF1D80">
        <w:trPr>
          <w:trHeight w:val="60"/>
        </w:trPr>
        <w:tc>
          <w:tcPr>
            <w:tcW w:w="5382" w:type="dxa"/>
          </w:tcPr>
          <w:p w14:paraId="052D33FB" w14:textId="77777777" w:rsidR="00B02873" w:rsidRDefault="00B02873" w:rsidP="00CF1D80">
            <w:pPr>
              <w:pStyle w:val="TablebodyleftFinancialsTables"/>
            </w:pPr>
            <w:r>
              <w:t>Carboor Bobinawarrah Landcare Group Inc.</w:t>
            </w:r>
          </w:p>
        </w:tc>
        <w:tc>
          <w:tcPr>
            <w:tcW w:w="1559" w:type="dxa"/>
          </w:tcPr>
          <w:p w14:paraId="322FE659" w14:textId="77777777" w:rsidR="00B02873" w:rsidRDefault="00B02873" w:rsidP="00CF1D80">
            <w:pPr>
              <w:pStyle w:val="TablebodyleftFinancialsTables"/>
              <w:jc w:val="right"/>
            </w:pPr>
            <w:r>
              <w:t>50,000</w:t>
            </w:r>
          </w:p>
        </w:tc>
      </w:tr>
      <w:tr w:rsidR="00B02873" w:rsidRPr="00B02873" w14:paraId="0DF022DE" w14:textId="77777777" w:rsidTr="00CF1D80">
        <w:trPr>
          <w:trHeight w:val="60"/>
        </w:trPr>
        <w:tc>
          <w:tcPr>
            <w:tcW w:w="5382" w:type="dxa"/>
          </w:tcPr>
          <w:p w14:paraId="319CB823" w14:textId="77777777" w:rsidR="00B02873" w:rsidRDefault="00B02873" w:rsidP="00CF1D80">
            <w:pPr>
              <w:pStyle w:val="TablebodyleftFinancialsTables"/>
            </w:pPr>
            <w:r>
              <w:t>Albury Conservation Co Ltd</w:t>
            </w:r>
          </w:p>
        </w:tc>
        <w:tc>
          <w:tcPr>
            <w:tcW w:w="1559" w:type="dxa"/>
          </w:tcPr>
          <w:p w14:paraId="6450E1B7" w14:textId="77777777" w:rsidR="00B02873" w:rsidRDefault="00B02873" w:rsidP="00CF1D80">
            <w:pPr>
              <w:pStyle w:val="TablebodyleftFinancialsTables"/>
              <w:jc w:val="right"/>
            </w:pPr>
            <w:r>
              <w:t>50,000</w:t>
            </w:r>
          </w:p>
        </w:tc>
      </w:tr>
      <w:tr w:rsidR="00B02873" w:rsidRPr="00B02873" w14:paraId="1F8B4192" w14:textId="77777777" w:rsidTr="00CF1D80">
        <w:trPr>
          <w:trHeight w:val="60"/>
        </w:trPr>
        <w:tc>
          <w:tcPr>
            <w:tcW w:w="5382" w:type="dxa"/>
          </w:tcPr>
          <w:p w14:paraId="50765C04" w14:textId="77777777" w:rsidR="00B02873" w:rsidRDefault="00B02873" w:rsidP="00CF1D80">
            <w:pPr>
              <w:pStyle w:val="TablebodyleftFinancialsTables"/>
            </w:pPr>
            <w:r>
              <w:t>Latrobe Catchment Landcare Network</w:t>
            </w:r>
          </w:p>
        </w:tc>
        <w:tc>
          <w:tcPr>
            <w:tcW w:w="1559" w:type="dxa"/>
          </w:tcPr>
          <w:p w14:paraId="67B4D639" w14:textId="77777777" w:rsidR="00B02873" w:rsidRDefault="00B02873" w:rsidP="00CF1D80">
            <w:pPr>
              <w:pStyle w:val="TablebodyleftFinancialsTables"/>
              <w:jc w:val="right"/>
            </w:pPr>
            <w:r>
              <w:t>50,000</w:t>
            </w:r>
          </w:p>
        </w:tc>
      </w:tr>
      <w:tr w:rsidR="00B02873" w:rsidRPr="00B02873" w14:paraId="05AFFC49" w14:textId="77777777" w:rsidTr="00CF1D80">
        <w:trPr>
          <w:trHeight w:val="60"/>
        </w:trPr>
        <w:tc>
          <w:tcPr>
            <w:tcW w:w="5382" w:type="dxa"/>
          </w:tcPr>
          <w:p w14:paraId="3C5F30FE" w14:textId="77777777" w:rsidR="00B02873" w:rsidRDefault="00B02873" w:rsidP="00CF1D80">
            <w:pPr>
              <w:pStyle w:val="TablebodyleftFinancialsTables"/>
            </w:pPr>
            <w:r>
              <w:t>BIO-R OZ</w:t>
            </w:r>
          </w:p>
        </w:tc>
        <w:tc>
          <w:tcPr>
            <w:tcW w:w="1559" w:type="dxa"/>
          </w:tcPr>
          <w:p w14:paraId="2AE74788" w14:textId="77777777" w:rsidR="00B02873" w:rsidRDefault="00B02873" w:rsidP="00CF1D80">
            <w:pPr>
              <w:pStyle w:val="TablebodyleftFinancialsTables"/>
              <w:jc w:val="right"/>
            </w:pPr>
            <w:r>
              <w:t>50,000</w:t>
            </w:r>
          </w:p>
        </w:tc>
      </w:tr>
      <w:tr w:rsidR="00B02873" w:rsidRPr="00B02873" w14:paraId="5AC5E7DD" w14:textId="77777777" w:rsidTr="00CF1D80">
        <w:trPr>
          <w:trHeight w:val="60"/>
        </w:trPr>
        <w:tc>
          <w:tcPr>
            <w:tcW w:w="5382" w:type="dxa"/>
          </w:tcPr>
          <w:p w14:paraId="4B6E21C2" w14:textId="77777777" w:rsidR="00B02873" w:rsidRDefault="00B02873" w:rsidP="00CF1D80">
            <w:pPr>
              <w:pStyle w:val="TablebodyleftFinancialsTables"/>
            </w:pPr>
            <w:r>
              <w:t>Bass Valley Landcare Group Inc</w:t>
            </w:r>
          </w:p>
        </w:tc>
        <w:tc>
          <w:tcPr>
            <w:tcW w:w="1559" w:type="dxa"/>
          </w:tcPr>
          <w:p w14:paraId="5B11F3E1" w14:textId="77777777" w:rsidR="00B02873" w:rsidRDefault="00B02873" w:rsidP="00CF1D80">
            <w:pPr>
              <w:pStyle w:val="TablebodyleftFinancialsTables"/>
              <w:jc w:val="right"/>
            </w:pPr>
            <w:r>
              <w:t>49,980</w:t>
            </w:r>
          </w:p>
        </w:tc>
      </w:tr>
      <w:tr w:rsidR="00B02873" w:rsidRPr="00B02873" w14:paraId="4009FFEE" w14:textId="77777777" w:rsidTr="00CF1D80">
        <w:trPr>
          <w:trHeight w:val="60"/>
        </w:trPr>
        <w:tc>
          <w:tcPr>
            <w:tcW w:w="5382" w:type="dxa"/>
          </w:tcPr>
          <w:p w14:paraId="755CDD0D" w14:textId="77777777" w:rsidR="00B02873" w:rsidRDefault="00B02873" w:rsidP="00CF1D80">
            <w:pPr>
              <w:pStyle w:val="TablebodyleftFinancialsTables"/>
            </w:pPr>
            <w:r>
              <w:t>Ashbourne Landcare Group</w:t>
            </w:r>
          </w:p>
        </w:tc>
        <w:tc>
          <w:tcPr>
            <w:tcW w:w="1559" w:type="dxa"/>
          </w:tcPr>
          <w:p w14:paraId="06993EC7" w14:textId="77777777" w:rsidR="00B02873" w:rsidRDefault="00B02873" w:rsidP="00CF1D80">
            <w:pPr>
              <w:pStyle w:val="TablebodyleftFinancialsTables"/>
              <w:jc w:val="right"/>
            </w:pPr>
            <w:r>
              <w:t>49,485</w:t>
            </w:r>
          </w:p>
        </w:tc>
      </w:tr>
      <w:tr w:rsidR="00B02873" w:rsidRPr="00B02873" w14:paraId="55D6DE69" w14:textId="77777777" w:rsidTr="00CF1D80">
        <w:trPr>
          <w:trHeight w:val="60"/>
        </w:trPr>
        <w:tc>
          <w:tcPr>
            <w:tcW w:w="5382" w:type="dxa"/>
          </w:tcPr>
          <w:p w14:paraId="5AAC2AAC" w14:textId="77777777" w:rsidR="00B02873" w:rsidRDefault="00B02873" w:rsidP="00CF1D80">
            <w:pPr>
              <w:pStyle w:val="TablebodyleftFinancialsTables"/>
            </w:pPr>
            <w:r>
              <w:t>Friends of the Wildlife Reserves Inc</w:t>
            </w:r>
          </w:p>
        </w:tc>
        <w:tc>
          <w:tcPr>
            <w:tcW w:w="1559" w:type="dxa"/>
          </w:tcPr>
          <w:p w14:paraId="19EDE0D4" w14:textId="77777777" w:rsidR="00B02873" w:rsidRDefault="00B02873" w:rsidP="00CF1D80">
            <w:pPr>
              <w:pStyle w:val="TablebodyleftFinancialsTables"/>
              <w:jc w:val="right"/>
            </w:pPr>
            <w:r>
              <w:t>49,375</w:t>
            </w:r>
          </w:p>
        </w:tc>
      </w:tr>
      <w:tr w:rsidR="00B02873" w:rsidRPr="00B02873" w14:paraId="38E8A615" w14:textId="77777777" w:rsidTr="00CF1D80">
        <w:trPr>
          <w:trHeight w:val="60"/>
        </w:trPr>
        <w:tc>
          <w:tcPr>
            <w:tcW w:w="5382" w:type="dxa"/>
          </w:tcPr>
          <w:p w14:paraId="2F1F413B" w14:textId="6002F94D" w:rsidR="00B02873" w:rsidRDefault="00B02873" w:rsidP="00CF1D80">
            <w:pPr>
              <w:pStyle w:val="TablebodyleftFinancialsTables"/>
            </w:pPr>
            <w:r>
              <w:t>Australasian Native Orchid Society</w:t>
            </w:r>
            <w:r w:rsidR="000C45FC">
              <w:t xml:space="preserve"> – </w:t>
            </w:r>
            <w:r>
              <w:t>Victorian Group Inc</w:t>
            </w:r>
          </w:p>
        </w:tc>
        <w:tc>
          <w:tcPr>
            <w:tcW w:w="1559" w:type="dxa"/>
          </w:tcPr>
          <w:p w14:paraId="5D163B2A" w14:textId="77777777" w:rsidR="00B02873" w:rsidRDefault="00B02873" w:rsidP="00CF1D80">
            <w:pPr>
              <w:pStyle w:val="TablebodyleftFinancialsTables"/>
              <w:jc w:val="right"/>
            </w:pPr>
            <w:r>
              <w:t>49,181</w:t>
            </w:r>
          </w:p>
        </w:tc>
      </w:tr>
      <w:tr w:rsidR="00B02873" w:rsidRPr="00B02873" w14:paraId="7A91D8C0" w14:textId="77777777" w:rsidTr="00CF1D80">
        <w:trPr>
          <w:trHeight w:val="60"/>
        </w:trPr>
        <w:tc>
          <w:tcPr>
            <w:tcW w:w="5382" w:type="dxa"/>
          </w:tcPr>
          <w:p w14:paraId="503835B7" w14:textId="77777777" w:rsidR="00B02873" w:rsidRDefault="00B02873" w:rsidP="00CF1D80">
            <w:pPr>
              <w:pStyle w:val="TablebodyleftFinancialsTables"/>
            </w:pPr>
            <w:r>
              <w:t>French Island Landcare</w:t>
            </w:r>
          </w:p>
        </w:tc>
        <w:tc>
          <w:tcPr>
            <w:tcW w:w="1559" w:type="dxa"/>
          </w:tcPr>
          <w:p w14:paraId="17718F44" w14:textId="77777777" w:rsidR="00B02873" w:rsidRDefault="00B02873" w:rsidP="00CF1D80">
            <w:pPr>
              <w:pStyle w:val="TablebodyleftFinancialsTables"/>
              <w:jc w:val="right"/>
            </w:pPr>
            <w:r>
              <w:t>48,800</w:t>
            </w:r>
          </w:p>
        </w:tc>
      </w:tr>
      <w:tr w:rsidR="00B02873" w:rsidRPr="00B02873" w14:paraId="7351D3A0" w14:textId="77777777" w:rsidTr="00CF1D80">
        <w:trPr>
          <w:trHeight w:val="60"/>
        </w:trPr>
        <w:tc>
          <w:tcPr>
            <w:tcW w:w="5382" w:type="dxa"/>
          </w:tcPr>
          <w:p w14:paraId="48352EAB" w14:textId="77777777" w:rsidR="00B02873" w:rsidRDefault="00B02873" w:rsidP="00CF1D80">
            <w:pPr>
              <w:pStyle w:val="TablebodyleftFinancialsTables"/>
            </w:pPr>
            <w:r>
              <w:t>Friends of Sassafras Creek Inc</w:t>
            </w:r>
          </w:p>
        </w:tc>
        <w:tc>
          <w:tcPr>
            <w:tcW w:w="1559" w:type="dxa"/>
          </w:tcPr>
          <w:p w14:paraId="3B4C25C5" w14:textId="77777777" w:rsidR="00B02873" w:rsidRDefault="00B02873" w:rsidP="00CF1D80">
            <w:pPr>
              <w:pStyle w:val="TablebodyleftFinancialsTables"/>
              <w:jc w:val="right"/>
            </w:pPr>
            <w:r>
              <w:t>47,993</w:t>
            </w:r>
          </w:p>
        </w:tc>
      </w:tr>
      <w:tr w:rsidR="00B02873" w:rsidRPr="00B02873" w14:paraId="3523E639" w14:textId="77777777" w:rsidTr="00CF1D80">
        <w:trPr>
          <w:trHeight w:val="60"/>
        </w:trPr>
        <w:tc>
          <w:tcPr>
            <w:tcW w:w="5382" w:type="dxa"/>
          </w:tcPr>
          <w:p w14:paraId="253091E5" w14:textId="77777777" w:rsidR="00B02873" w:rsidRDefault="00B02873" w:rsidP="00CF1D80">
            <w:pPr>
              <w:pStyle w:val="TablebodyleftFinancialsTables"/>
            </w:pPr>
            <w:r>
              <w:rPr>
                <w:spacing w:val="-2"/>
              </w:rPr>
              <w:t>Friends of Emerald Lake Park Inc</w:t>
            </w:r>
          </w:p>
        </w:tc>
        <w:tc>
          <w:tcPr>
            <w:tcW w:w="1559" w:type="dxa"/>
          </w:tcPr>
          <w:p w14:paraId="5359BFE7" w14:textId="77777777" w:rsidR="00B02873" w:rsidRDefault="00B02873" w:rsidP="00CF1D80">
            <w:pPr>
              <w:pStyle w:val="TablebodyleftFinancialsTables"/>
              <w:jc w:val="right"/>
            </w:pPr>
            <w:r>
              <w:t>47,100</w:t>
            </w:r>
          </w:p>
        </w:tc>
      </w:tr>
      <w:tr w:rsidR="00B02873" w:rsidRPr="00B02873" w14:paraId="414A006A" w14:textId="77777777" w:rsidTr="00CF1D80">
        <w:trPr>
          <w:trHeight w:val="60"/>
        </w:trPr>
        <w:tc>
          <w:tcPr>
            <w:tcW w:w="5382" w:type="dxa"/>
          </w:tcPr>
          <w:p w14:paraId="3D43E25D" w14:textId="77777777" w:rsidR="00B02873" w:rsidRDefault="00B02873" w:rsidP="00CF1D80">
            <w:pPr>
              <w:pStyle w:val="TablebodyleftFinancialsTables"/>
            </w:pPr>
            <w:r>
              <w:t>Mornington Environment Association</w:t>
            </w:r>
          </w:p>
        </w:tc>
        <w:tc>
          <w:tcPr>
            <w:tcW w:w="1559" w:type="dxa"/>
          </w:tcPr>
          <w:p w14:paraId="704FD277" w14:textId="77777777" w:rsidR="00B02873" w:rsidRDefault="00B02873" w:rsidP="00CF1D80">
            <w:pPr>
              <w:pStyle w:val="TablebodyleftFinancialsTables"/>
              <w:jc w:val="right"/>
            </w:pPr>
            <w:r>
              <w:t>46,550</w:t>
            </w:r>
          </w:p>
        </w:tc>
      </w:tr>
      <w:tr w:rsidR="00B02873" w:rsidRPr="00B02873" w14:paraId="3A8846B7" w14:textId="77777777" w:rsidTr="00CF1D80">
        <w:trPr>
          <w:trHeight w:val="60"/>
        </w:trPr>
        <w:tc>
          <w:tcPr>
            <w:tcW w:w="5382" w:type="dxa"/>
          </w:tcPr>
          <w:p w14:paraId="4EFEAC9C" w14:textId="77777777" w:rsidR="00B02873" w:rsidRDefault="00B02873" w:rsidP="00CF1D80">
            <w:pPr>
              <w:pStyle w:val="TablebodyleftFinancialsTables"/>
            </w:pPr>
            <w:r>
              <w:t>Euroa Arboretum</w:t>
            </w:r>
          </w:p>
        </w:tc>
        <w:tc>
          <w:tcPr>
            <w:tcW w:w="1559" w:type="dxa"/>
          </w:tcPr>
          <w:p w14:paraId="1B30CF2A" w14:textId="77777777" w:rsidR="00B02873" w:rsidRDefault="00B02873" w:rsidP="00CF1D80">
            <w:pPr>
              <w:pStyle w:val="TablebodyleftFinancialsTables"/>
              <w:jc w:val="right"/>
            </w:pPr>
            <w:r>
              <w:t>46,114</w:t>
            </w:r>
          </w:p>
        </w:tc>
      </w:tr>
      <w:tr w:rsidR="00B02873" w:rsidRPr="00B02873" w14:paraId="4B1CCD0C" w14:textId="77777777" w:rsidTr="00CF1D80">
        <w:trPr>
          <w:trHeight w:val="60"/>
        </w:trPr>
        <w:tc>
          <w:tcPr>
            <w:tcW w:w="5382" w:type="dxa"/>
          </w:tcPr>
          <w:p w14:paraId="190DA6C3" w14:textId="77777777" w:rsidR="00B02873" w:rsidRDefault="00B02873" w:rsidP="00CF1D80">
            <w:pPr>
              <w:pStyle w:val="TablebodyleftFinancialsTables"/>
            </w:pPr>
            <w:r>
              <w:t>Middle Yarra Landcare Network</w:t>
            </w:r>
          </w:p>
        </w:tc>
        <w:tc>
          <w:tcPr>
            <w:tcW w:w="1559" w:type="dxa"/>
          </w:tcPr>
          <w:p w14:paraId="3BC336DF" w14:textId="77777777" w:rsidR="00B02873" w:rsidRDefault="00B02873" w:rsidP="00CF1D80">
            <w:pPr>
              <w:pStyle w:val="TablebodyleftFinancialsTables"/>
              <w:jc w:val="right"/>
            </w:pPr>
            <w:r>
              <w:t>46,006</w:t>
            </w:r>
          </w:p>
        </w:tc>
      </w:tr>
      <w:tr w:rsidR="00B02873" w:rsidRPr="00B02873" w14:paraId="50E6CEDA" w14:textId="77777777" w:rsidTr="00CF1D80">
        <w:trPr>
          <w:trHeight w:val="60"/>
        </w:trPr>
        <w:tc>
          <w:tcPr>
            <w:tcW w:w="5382" w:type="dxa"/>
          </w:tcPr>
          <w:p w14:paraId="2AF31C81" w14:textId="77777777" w:rsidR="00B02873" w:rsidRDefault="00B02873" w:rsidP="00CF1D80">
            <w:pPr>
              <w:pStyle w:val="TablebodyleftFinancialsTables"/>
            </w:pPr>
            <w:r>
              <w:rPr>
                <w:spacing w:val="-3"/>
              </w:rPr>
              <w:t>Bush Heritage Australia</w:t>
            </w:r>
          </w:p>
        </w:tc>
        <w:tc>
          <w:tcPr>
            <w:tcW w:w="1559" w:type="dxa"/>
          </w:tcPr>
          <w:p w14:paraId="4B993DDB" w14:textId="77777777" w:rsidR="00B02873" w:rsidRDefault="00B02873" w:rsidP="00CF1D80">
            <w:pPr>
              <w:pStyle w:val="TablebodyleftFinancialsTables"/>
              <w:jc w:val="right"/>
            </w:pPr>
            <w:r>
              <w:t>45,845</w:t>
            </w:r>
          </w:p>
        </w:tc>
      </w:tr>
      <w:tr w:rsidR="00B02873" w:rsidRPr="00B02873" w14:paraId="24A1E297" w14:textId="77777777" w:rsidTr="00CF1D80">
        <w:trPr>
          <w:trHeight w:val="60"/>
        </w:trPr>
        <w:tc>
          <w:tcPr>
            <w:tcW w:w="5382" w:type="dxa"/>
          </w:tcPr>
          <w:p w14:paraId="419A684C" w14:textId="77777777" w:rsidR="00B02873" w:rsidRDefault="00B02873" w:rsidP="00CF1D80">
            <w:pPr>
              <w:pStyle w:val="TablebodyleftFinancialsTables"/>
            </w:pPr>
            <w:r>
              <w:t>Monash University</w:t>
            </w:r>
          </w:p>
        </w:tc>
        <w:tc>
          <w:tcPr>
            <w:tcW w:w="1559" w:type="dxa"/>
          </w:tcPr>
          <w:p w14:paraId="5BA0030D" w14:textId="77777777" w:rsidR="00B02873" w:rsidRDefault="00B02873" w:rsidP="00CF1D80">
            <w:pPr>
              <w:pStyle w:val="TablebodyleftFinancialsTables"/>
              <w:jc w:val="right"/>
            </w:pPr>
            <w:r>
              <w:t>45,000</w:t>
            </w:r>
          </w:p>
        </w:tc>
      </w:tr>
      <w:tr w:rsidR="00B02873" w:rsidRPr="00B02873" w14:paraId="2BEF1AC7" w14:textId="77777777" w:rsidTr="00CF1D80">
        <w:trPr>
          <w:trHeight w:val="60"/>
        </w:trPr>
        <w:tc>
          <w:tcPr>
            <w:tcW w:w="5382" w:type="dxa"/>
          </w:tcPr>
          <w:p w14:paraId="717E7EAA" w14:textId="77777777" w:rsidR="00B02873" w:rsidRDefault="00B02873" w:rsidP="00CF1D80">
            <w:pPr>
              <w:pStyle w:val="TablebodyleftFinancialsTables"/>
            </w:pPr>
            <w:r>
              <w:t>Tati Tati Kaiejin Ltd</w:t>
            </w:r>
          </w:p>
        </w:tc>
        <w:tc>
          <w:tcPr>
            <w:tcW w:w="1559" w:type="dxa"/>
          </w:tcPr>
          <w:p w14:paraId="1CCE285C" w14:textId="77777777" w:rsidR="00B02873" w:rsidRDefault="00B02873" w:rsidP="00CF1D80">
            <w:pPr>
              <w:pStyle w:val="TablebodyleftFinancialsTables"/>
              <w:jc w:val="right"/>
            </w:pPr>
            <w:r>
              <w:t>43,600</w:t>
            </w:r>
          </w:p>
        </w:tc>
      </w:tr>
      <w:tr w:rsidR="00B02873" w:rsidRPr="00B02873" w14:paraId="02497F4E" w14:textId="77777777" w:rsidTr="00CF1D80">
        <w:trPr>
          <w:trHeight w:val="60"/>
        </w:trPr>
        <w:tc>
          <w:tcPr>
            <w:tcW w:w="5382" w:type="dxa"/>
          </w:tcPr>
          <w:p w14:paraId="0EE31777" w14:textId="77777777" w:rsidR="00B02873" w:rsidRDefault="00B02873" w:rsidP="00CF1D80">
            <w:pPr>
              <w:pStyle w:val="TablebodyleftFinancialsTables"/>
            </w:pPr>
            <w:r>
              <w:t>Earthcare St Kilda Inc</w:t>
            </w:r>
          </w:p>
        </w:tc>
        <w:tc>
          <w:tcPr>
            <w:tcW w:w="1559" w:type="dxa"/>
          </w:tcPr>
          <w:p w14:paraId="3907FB89" w14:textId="77777777" w:rsidR="00B02873" w:rsidRDefault="00B02873" w:rsidP="00CF1D80">
            <w:pPr>
              <w:pStyle w:val="TablebodyleftFinancialsTables"/>
              <w:jc w:val="right"/>
            </w:pPr>
            <w:r>
              <w:t>41,790</w:t>
            </w:r>
          </w:p>
        </w:tc>
      </w:tr>
      <w:tr w:rsidR="00B02873" w:rsidRPr="00B02873" w14:paraId="614EA6CF" w14:textId="77777777" w:rsidTr="00CF1D80">
        <w:trPr>
          <w:trHeight w:val="60"/>
        </w:trPr>
        <w:tc>
          <w:tcPr>
            <w:tcW w:w="5382" w:type="dxa"/>
          </w:tcPr>
          <w:p w14:paraId="58A58038" w14:textId="77777777" w:rsidR="00B02873" w:rsidRDefault="00B02873" w:rsidP="00CF1D80">
            <w:pPr>
              <w:pStyle w:val="TablebodyleftFinancialsTables"/>
            </w:pPr>
            <w:r>
              <w:t>Brimbank City Council</w:t>
            </w:r>
          </w:p>
        </w:tc>
        <w:tc>
          <w:tcPr>
            <w:tcW w:w="1559" w:type="dxa"/>
          </w:tcPr>
          <w:p w14:paraId="6034B69E" w14:textId="77777777" w:rsidR="00B02873" w:rsidRDefault="00B02873" w:rsidP="00CF1D80">
            <w:pPr>
              <w:pStyle w:val="TablebodyleftFinancialsTables"/>
              <w:jc w:val="right"/>
            </w:pPr>
            <w:r>
              <w:t>40,000</w:t>
            </w:r>
          </w:p>
        </w:tc>
      </w:tr>
      <w:tr w:rsidR="00B02873" w:rsidRPr="00B02873" w14:paraId="0057B20E" w14:textId="77777777" w:rsidTr="00CF1D80">
        <w:trPr>
          <w:trHeight w:val="60"/>
        </w:trPr>
        <w:tc>
          <w:tcPr>
            <w:tcW w:w="5382" w:type="dxa"/>
          </w:tcPr>
          <w:p w14:paraId="2162441E" w14:textId="77777777" w:rsidR="00B02873" w:rsidRDefault="00B02873" w:rsidP="00CF1D80">
            <w:pPr>
              <w:pStyle w:val="TablebodyleftFinancialsTables"/>
            </w:pPr>
            <w:r>
              <w:t>Stonnington City Council</w:t>
            </w:r>
          </w:p>
        </w:tc>
        <w:tc>
          <w:tcPr>
            <w:tcW w:w="1559" w:type="dxa"/>
          </w:tcPr>
          <w:p w14:paraId="51DC0279" w14:textId="77777777" w:rsidR="00B02873" w:rsidRDefault="00B02873" w:rsidP="00CF1D80">
            <w:pPr>
              <w:pStyle w:val="TablebodyleftFinancialsTables"/>
              <w:jc w:val="right"/>
            </w:pPr>
            <w:r>
              <w:t>39,532</w:t>
            </w:r>
          </w:p>
        </w:tc>
      </w:tr>
      <w:tr w:rsidR="00B02873" w:rsidRPr="00B02873" w14:paraId="20278CD6" w14:textId="77777777" w:rsidTr="00CF1D80">
        <w:trPr>
          <w:trHeight w:val="60"/>
        </w:trPr>
        <w:tc>
          <w:tcPr>
            <w:tcW w:w="5382" w:type="dxa"/>
          </w:tcPr>
          <w:p w14:paraId="3F566B3F" w14:textId="77777777" w:rsidR="00B02873" w:rsidRDefault="00B02873" w:rsidP="00CF1D80">
            <w:pPr>
              <w:pStyle w:val="TablebodyleftFinancialsTables"/>
            </w:pPr>
            <w:r>
              <w:t>Mount Korong Eco-Watch</w:t>
            </w:r>
          </w:p>
        </w:tc>
        <w:tc>
          <w:tcPr>
            <w:tcW w:w="1559" w:type="dxa"/>
          </w:tcPr>
          <w:p w14:paraId="715D3783" w14:textId="77777777" w:rsidR="00B02873" w:rsidRDefault="00B02873" w:rsidP="00CF1D80">
            <w:pPr>
              <w:pStyle w:val="TablebodyleftFinancialsTables"/>
              <w:jc w:val="right"/>
            </w:pPr>
            <w:r>
              <w:t>38,750</w:t>
            </w:r>
          </w:p>
        </w:tc>
      </w:tr>
      <w:tr w:rsidR="00B02873" w:rsidRPr="00B02873" w14:paraId="46D0FC28" w14:textId="77777777" w:rsidTr="00CF1D80">
        <w:trPr>
          <w:trHeight w:val="60"/>
        </w:trPr>
        <w:tc>
          <w:tcPr>
            <w:tcW w:w="5382" w:type="dxa"/>
          </w:tcPr>
          <w:p w14:paraId="2852A51E" w14:textId="77777777" w:rsidR="00B02873" w:rsidRDefault="00B02873" w:rsidP="00CF1D80">
            <w:pPr>
              <w:pStyle w:val="TablebodyleftFinancialsTables"/>
            </w:pPr>
            <w:r>
              <w:t>Strathfieldsaye and Districts Community Enterprise Ltd</w:t>
            </w:r>
          </w:p>
        </w:tc>
        <w:tc>
          <w:tcPr>
            <w:tcW w:w="1559" w:type="dxa"/>
          </w:tcPr>
          <w:p w14:paraId="05952C4B" w14:textId="77777777" w:rsidR="00B02873" w:rsidRDefault="00B02873" w:rsidP="00CF1D80">
            <w:pPr>
              <w:pStyle w:val="TablebodyleftFinancialsTables"/>
              <w:jc w:val="right"/>
            </w:pPr>
            <w:r>
              <w:t>35,700</w:t>
            </w:r>
          </w:p>
        </w:tc>
      </w:tr>
      <w:tr w:rsidR="00B02873" w:rsidRPr="00B02873" w14:paraId="6115ECFB" w14:textId="77777777" w:rsidTr="00CF1D80">
        <w:trPr>
          <w:trHeight w:val="60"/>
        </w:trPr>
        <w:tc>
          <w:tcPr>
            <w:tcW w:w="5382" w:type="dxa"/>
          </w:tcPr>
          <w:p w14:paraId="5A666C3D" w14:textId="77777777" w:rsidR="00B02873" w:rsidRDefault="00B02873" w:rsidP="00CF1D80">
            <w:pPr>
              <w:pStyle w:val="TablebodyleftFinancialsTables"/>
            </w:pPr>
            <w:r>
              <w:t>Balcombe Estuary Reserves Group Mt Martha Inc</w:t>
            </w:r>
          </w:p>
        </w:tc>
        <w:tc>
          <w:tcPr>
            <w:tcW w:w="1559" w:type="dxa"/>
          </w:tcPr>
          <w:p w14:paraId="2653349B" w14:textId="77777777" w:rsidR="00B02873" w:rsidRDefault="00B02873" w:rsidP="00CF1D80">
            <w:pPr>
              <w:pStyle w:val="TablebodyleftFinancialsTables"/>
              <w:jc w:val="right"/>
            </w:pPr>
            <w:r>
              <w:t>33,817</w:t>
            </w:r>
          </w:p>
        </w:tc>
      </w:tr>
      <w:tr w:rsidR="00B02873" w:rsidRPr="00B02873" w14:paraId="49601621" w14:textId="77777777" w:rsidTr="00CF1D80">
        <w:trPr>
          <w:trHeight w:val="60"/>
        </w:trPr>
        <w:tc>
          <w:tcPr>
            <w:tcW w:w="5382" w:type="dxa"/>
          </w:tcPr>
          <w:p w14:paraId="21314EC0" w14:textId="77777777" w:rsidR="00B02873" w:rsidRDefault="00B02873" w:rsidP="00CF1D80">
            <w:pPr>
              <w:pStyle w:val="TablebodyleftFinancialsTables"/>
            </w:pPr>
            <w:r>
              <w:t>Department of Agriculture Water and Environment (Commonwealth)</w:t>
            </w:r>
          </w:p>
        </w:tc>
        <w:tc>
          <w:tcPr>
            <w:tcW w:w="1559" w:type="dxa"/>
          </w:tcPr>
          <w:p w14:paraId="7BA6CEFF" w14:textId="77777777" w:rsidR="00B02873" w:rsidRDefault="00B02873" w:rsidP="00CF1D80">
            <w:pPr>
              <w:pStyle w:val="TablebodyleftFinancialsTables"/>
              <w:jc w:val="right"/>
            </w:pPr>
            <w:r>
              <w:t>32,529</w:t>
            </w:r>
          </w:p>
        </w:tc>
      </w:tr>
      <w:tr w:rsidR="00B02873" w:rsidRPr="00B02873" w14:paraId="7F87B6D4" w14:textId="77777777" w:rsidTr="00CF1D80">
        <w:trPr>
          <w:trHeight w:val="60"/>
        </w:trPr>
        <w:tc>
          <w:tcPr>
            <w:tcW w:w="5382" w:type="dxa"/>
          </w:tcPr>
          <w:p w14:paraId="063DD5D2" w14:textId="77777777" w:rsidR="00B02873" w:rsidRDefault="00B02873" w:rsidP="00CF1D80">
            <w:pPr>
              <w:pStyle w:val="TablebodyleftFinancialsTables"/>
            </w:pPr>
            <w:r>
              <w:t>Upper Ovens Valley Landcare Group Inc</w:t>
            </w:r>
          </w:p>
        </w:tc>
        <w:tc>
          <w:tcPr>
            <w:tcW w:w="1559" w:type="dxa"/>
          </w:tcPr>
          <w:p w14:paraId="0D408700" w14:textId="77777777" w:rsidR="00B02873" w:rsidRDefault="00B02873" w:rsidP="00CF1D80">
            <w:pPr>
              <w:pStyle w:val="TablebodyleftFinancialsTables"/>
              <w:jc w:val="right"/>
            </w:pPr>
            <w:r>
              <w:t>32,000</w:t>
            </w:r>
          </w:p>
        </w:tc>
      </w:tr>
      <w:tr w:rsidR="00B02873" w:rsidRPr="00B02873" w14:paraId="46C94F4D" w14:textId="77777777" w:rsidTr="00CF1D80">
        <w:trPr>
          <w:trHeight w:val="60"/>
        </w:trPr>
        <w:tc>
          <w:tcPr>
            <w:tcW w:w="5382" w:type="dxa"/>
          </w:tcPr>
          <w:p w14:paraId="147DED30" w14:textId="77777777" w:rsidR="00B02873" w:rsidRDefault="00B02873" w:rsidP="00CF1D80">
            <w:pPr>
              <w:pStyle w:val="TablebodyleftFinancialsTables"/>
            </w:pPr>
            <w:r>
              <w:t>Moorabool Catchment Landcare Group</w:t>
            </w:r>
          </w:p>
        </w:tc>
        <w:tc>
          <w:tcPr>
            <w:tcW w:w="1559" w:type="dxa"/>
          </w:tcPr>
          <w:p w14:paraId="3E00FBD1" w14:textId="77777777" w:rsidR="00B02873" w:rsidRDefault="00B02873" w:rsidP="00CF1D80">
            <w:pPr>
              <w:pStyle w:val="TablebodyleftFinancialsTables"/>
              <w:jc w:val="right"/>
            </w:pPr>
            <w:r>
              <w:t>31,160</w:t>
            </w:r>
          </w:p>
        </w:tc>
      </w:tr>
      <w:tr w:rsidR="00B02873" w:rsidRPr="00B02873" w14:paraId="0DF53269" w14:textId="77777777" w:rsidTr="00CF1D80">
        <w:trPr>
          <w:trHeight w:val="60"/>
        </w:trPr>
        <w:tc>
          <w:tcPr>
            <w:tcW w:w="5382" w:type="dxa"/>
          </w:tcPr>
          <w:p w14:paraId="33F416AA" w14:textId="77777777" w:rsidR="00B02873" w:rsidRDefault="00B02873" w:rsidP="00CF1D80">
            <w:pPr>
              <w:pStyle w:val="TablebodyleftFinancialsTables"/>
            </w:pPr>
            <w:r>
              <w:t>City of Greater Dandenong</w:t>
            </w:r>
          </w:p>
        </w:tc>
        <w:tc>
          <w:tcPr>
            <w:tcW w:w="1559" w:type="dxa"/>
          </w:tcPr>
          <w:p w14:paraId="36163B7E" w14:textId="77777777" w:rsidR="00B02873" w:rsidRDefault="00B02873" w:rsidP="00CF1D80">
            <w:pPr>
              <w:pStyle w:val="TablebodyleftFinancialsTables"/>
              <w:jc w:val="right"/>
            </w:pPr>
            <w:r>
              <w:t>30,000</w:t>
            </w:r>
          </w:p>
        </w:tc>
      </w:tr>
      <w:tr w:rsidR="00B02873" w:rsidRPr="00B02873" w14:paraId="77A94DC0" w14:textId="77777777" w:rsidTr="00CF1D80">
        <w:trPr>
          <w:trHeight w:val="60"/>
        </w:trPr>
        <w:tc>
          <w:tcPr>
            <w:tcW w:w="5382" w:type="dxa"/>
          </w:tcPr>
          <w:p w14:paraId="129B8D43" w14:textId="77777777" w:rsidR="00B02873" w:rsidRDefault="00B02873" w:rsidP="00CF1D80">
            <w:pPr>
              <w:pStyle w:val="TablebodyleftFinancialsTables"/>
            </w:pPr>
            <w:r>
              <w:t>Ozfish Unlimited</w:t>
            </w:r>
          </w:p>
        </w:tc>
        <w:tc>
          <w:tcPr>
            <w:tcW w:w="1559" w:type="dxa"/>
          </w:tcPr>
          <w:p w14:paraId="7486EFC5" w14:textId="77777777" w:rsidR="00B02873" w:rsidRDefault="00B02873" w:rsidP="00CF1D80">
            <w:pPr>
              <w:pStyle w:val="TablebodyleftFinancialsTables"/>
              <w:jc w:val="right"/>
            </w:pPr>
            <w:r>
              <w:t>30,000</w:t>
            </w:r>
          </w:p>
        </w:tc>
      </w:tr>
      <w:tr w:rsidR="00B02873" w:rsidRPr="00B02873" w14:paraId="7B65B182" w14:textId="77777777" w:rsidTr="00CF1D80">
        <w:trPr>
          <w:trHeight w:val="60"/>
        </w:trPr>
        <w:tc>
          <w:tcPr>
            <w:tcW w:w="5382" w:type="dxa"/>
          </w:tcPr>
          <w:p w14:paraId="3518C240" w14:textId="77777777" w:rsidR="00B02873" w:rsidRDefault="00B02873" w:rsidP="00CF1D80">
            <w:pPr>
              <w:pStyle w:val="TablebodyleftFinancialsTables"/>
            </w:pPr>
            <w:r>
              <w:rPr>
                <w:spacing w:val="-4"/>
              </w:rPr>
              <w:t>City of Casey</w:t>
            </w:r>
          </w:p>
        </w:tc>
        <w:tc>
          <w:tcPr>
            <w:tcW w:w="1559" w:type="dxa"/>
          </w:tcPr>
          <w:p w14:paraId="11E0E2B3" w14:textId="77777777" w:rsidR="00B02873" w:rsidRDefault="00B02873" w:rsidP="00CF1D80">
            <w:pPr>
              <w:pStyle w:val="TablebodyleftFinancialsTables"/>
              <w:jc w:val="right"/>
            </w:pPr>
            <w:r>
              <w:t>30,000</w:t>
            </w:r>
          </w:p>
        </w:tc>
      </w:tr>
      <w:tr w:rsidR="00B02873" w:rsidRPr="00B02873" w14:paraId="678F2404" w14:textId="77777777" w:rsidTr="00CF1D80">
        <w:trPr>
          <w:trHeight w:val="60"/>
        </w:trPr>
        <w:tc>
          <w:tcPr>
            <w:tcW w:w="5382" w:type="dxa"/>
          </w:tcPr>
          <w:p w14:paraId="0757C92F" w14:textId="77777777" w:rsidR="00B02873" w:rsidRDefault="00B02873" w:rsidP="00CF1D80">
            <w:pPr>
              <w:pStyle w:val="TablebodyleftFinancialsTables"/>
            </w:pPr>
            <w:r>
              <w:t>Hobsons Bay City Council</w:t>
            </w:r>
          </w:p>
        </w:tc>
        <w:tc>
          <w:tcPr>
            <w:tcW w:w="1559" w:type="dxa"/>
          </w:tcPr>
          <w:p w14:paraId="4DCDB46A" w14:textId="77777777" w:rsidR="00B02873" w:rsidRDefault="00B02873" w:rsidP="00CF1D80">
            <w:pPr>
              <w:pStyle w:val="TablebodyleftFinancialsTables"/>
              <w:jc w:val="right"/>
            </w:pPr>
            <w:r>
              <w:t>30,000</w:t>
            </w:r>
          </w:p>
        </w:tc>
      </w:tr>
      <w:tr w:rsidR="00B02873" w:rsidRPr="00B02873" w14:paraId="2434BF6D" w14:textId="77777777" w:rsidTr="00CF1D80">
        <w:trPr>
          <w:trHeight w:val="60"/>
        </w:trPr>
        <w:tc>
          <w:tcPr>
            <w:tcW w:w="5382" w:type="dxa"/>
          </w:tcPr>
          <w:p w14:paraId="7965A1AA" w14:textId="77777777" w:rsidR="00B02873" w:rsidRDefault="00B02873" w:rsidP="00CF1D80">
            <w:pPr>
              <w:pStyle w:val="TablebodyleftFinancialsTables"/>
            </w:pPr>
            <w:r>
              <w:t>University of New South Wales</w:t>
            </w:r>
          </w:p>
        </w:tc>
        <w:tc>
          <w:tcPr>
            <w:tcW w:w="1559" w:type="dxa"/>
          </w:tcPr>
          <w:p w14:paraId="4AF7EC65" w14:textId="77777777" w:rsidR="00B02873" w:rsidRDefault="00B02873" w:rsidP="00CF1D80">
            <w:pPr>
              <w:pStyle w:val="TablebodyleftFinancialsTables"/>
              <w:jc w:val="right"/>
            </w:pPr>
            <w:r>
              <w:t>30,000</w:t>
            </w:r>
          </w:p>
        </w:tc>
      </w:tr>
      <w:tr w:rsidR="00B02873" w:rsidRPr="00B02873" w14:paraId="62E3E8E9" w14:textId="77777777" w:rsidTr="00CF1D80">
        <w:trPr>
          <w:trHeight w:val="60"/>
        </w:trPr>
        <w:tc>
          <w:tcPr>
            <w:tcW w:w="5382" w:type="dxa"/>
          </w:tcPr>
          <w:p w14:paraId="16A07F2F" w14:textId="77777777" w:rsidR="00B02873" w:rsidRDefault="00B02873" w:rsidP="00CF1D80">
            <w:pPr>
              <w:pStyle w:val="TablebodyleftFinancialsTables"/>
            </w:pPr>
            <w:r>
              <w:t>City of Kingston</w:t>
            </w:r>
          </w:p>
        </w:tc>
        <w:tc>
          <w:tcPr>
            <w:tcW w:w="1559" w:type="dxa"/>
          </w:tcPr>
          <w:p w14:paraId="263BE599" w14:textId="77777777" w:rsidR="00B02873" w:rsidRDefault="00B02873" w:rsidP="00CF1D80">
            <w:pPr>
              <w:pStyle w:val="TablebodyleftFinancialsTables"/>
              <w:jc w:val="right"/>
            </w:pPr>
            <w:r>
              <w:t>30,000</w:t>
            </w:r>
          </w:p>
        </w:tc>
      </w:tr>
      <w:tr w:rsidR="00B02873" w:rsidRPr="00B02873" w14:paraId="05049BBE" w14:textId="77777777" w:rsidTr="00CF1D80">
        <w:trPr>
          <w:trHeight w:val="60"/>
        </w:trPr>
        <w:tc>
          <w:tcPr>
            <w:tcW w:w="5382" w:type="dxa"/>
          </w:tcPr>
          <w:p w14:paraId="5C6B13AD" w14:textId="77777777" w:rsidR="00B02873" w:rsidRDefault="00B02873" w:rsidP="00CF1D80">
            <w:pPr>
              <w:pStyle w:val="TablebodyleftFinancialsTables"/>
            </w:pPr>
            <w:r>
              <w:t>Cardinia Shire Council</w:t>
            </w:r>
          </w:p>
        </w:tc>
        <w:tc>
          <w:tcPr>
            <w:tcW w:w="1559" w:type="dxa"/>
          </w:tcPr>
          <w:p w14:paraId="12DEB64E" w14:textId="77777777" w:rsidR="00B02873" w:rsidRDefault="00B02873" w:rsidP="00CF1D80">
            <w:pPr>
              <w:pStyle w:val="TablebodyleftFinancialsTables"/>
              <w:jc w:val="right"/>
            </w:pPr>
            <w:r>
              <w:t>30,000</w:t>
            </w:r>
          </w:p>
        </w:tc>
      </w:tr>
      <w:tr w:rsidR="00B02873" w:rsidRPr="00B02873" w14:paraId="2842AAD2" w14:textId="77777777" w:rsidTr="00CF1D80">
        <w:trPr>
          <w:trHeight w:val="60"/>
        </w:trPr>
        <w:tc>
          <w:tcPr>
            <w:tcW w:w="5382" w:type="dxa"/>
          </w:tcPr>
          <w:p w14:paraId="1CD76D7D" w14:textId="77777777" w:rsidR="00B02873" w:rsidRDefault="00B02873" w:rsidP="00CF1D80">
            <w:pPr>
              <w:pStyle w:val="TablebodyleftFinancialsTables"/>
            </w:pPr>
            <w:r>
              <w:lastRenderedPageBreak/>
              <w:t>Outdoors Victoria Limited</w:t>
            </w:r>
          </w:p>
        </w:tc>
        <w:tc>
          <w:tcPr>
            <w:tcW w:w="1559" w:type="dxa"/>
          </w:tcPr>
          <w:p w14:paraId="0F90275C" w14:textId="77777777" w:rsidR="00B02873" w:rsidRDefault="00B02873" w:rsidP="00CF1D80">
            <w:pPr>
              <w:pStyle w:val="TablebodyleftFinancialsTables"/>
              <w:jc w:val="right"/>
            </w:pPr>
            <w:r>
              <w:t>29,900</w:t>
            </w:r>
          </w:p>
        </w:tc>
      </w:tr>
      <w:tr w:rsidR="00B02873" w:rsidRPr="00B02873" w14:paraId="5DD86B00" w14:textId="77777777" w:rsidTr="00CF1D80">
        <w:trPr>
          <w:trHeight w:val="60"/>
        </w:trPr>
        <w:tc>
          <w:tcPr>
            <w:tcW w:w="5382" w:type="dxa"/>
          </w:tcPr>
          <w:p w14:paraId="20A00F2F" w14:textId="77777777" w:rsidR="00B02873" w:rsidRDefault="00B02873" w:rsidP="00CF1D80">
            <w:pPr>
              <w:pStyle w:val="TablebodyleftFinancialsTables"/>
            </w:pPr>
            <w:r>
              <w:t>Bellarine Bayside Foreshore Committee of Management</w:t>
            </w:r>
          </w:p>
        </w:tc>
        <w:tc>
          <w:tcPr>
            <w:tcW w:w="1559" w:type="dxa"/>
          </w:tcPr>
          <w:p w14:paraId="37735032" w14:textId="77777777" w:rsidR="00B02873" w:rsidRDefault="00B02873" w:rsidP="00CF1D80">
            <w:pPr>
              <w:pStyle w:val="TablebodyleftFinancialsTables"/>
              <w:jc w:val="right"/>
            </w:pPr>
            <w:r>
              <w:t>29,500</w:t>
            </w:r>
          </w:p>
        </w:tc>
      </w:tr>
      <w:tr w:rsidR="00B02873" w:rsidRPr="00B02873" w14:paraId="056793BC" w14:textId="77777777" w:rsidTr="00CF1D80">
        <w:trPr>
          <w:trHeight w:val="60"/>
        </w:trPr>
        <w:tc>
          <w:tcPr>
            <w:tcW w:w="5382" w:type="dxa"/>
          </w:tcPr>
          <w:p w14:paraId="528DBADC" w14:textId="77777777" w:rsidR="00B02873" w:rsidRDefault="00B02873" w:rsidP="00CF1D80">
            <w:pPr>
              <w:pStyle w:val="TablebodyleftFinancialsTables"/>
            </w:pPr>
            <w:r>
              <w:t>Dargo Landcare Group</w:t>
            </w:r>
          </w:p>
        </w:tc>
        <w:tc>
          <w:tcPr>
            <w:tcW w:w="1559" w:type="dxa"/>
          </w:tcPr>
          <w:p w14:paraId="22467E4A" w14:textId="77777777" w:rsidR="00B02873" w:rsidRDefault="00B02873" w:rsidP="00CF1D80">
            <w:pPr>
              <w:pStyle w:val="TablebodyleftFinancialsTables"/>
              <w:jc w:val="right"/>
            </w:pPr>
            <w:r>
              <w:t>28,755</w:t>
            </w:r>
          </w:p>
        </w:tc>
      </w:tr>
      <w:tr w:rsidR="00B02873" w:rsidRPr="00B02873" w14:paraId="3A3906AC" w14:textId="77777777" w:rsidTr="00CF1D80">
        <w:trPr>
          <w:trHeight w:val="60"/>
        </w:trPr>
        <w:tc>
          <w:tcPr>
            <w:tcW w:w="5382" w:type="dxa"/>
          </w:tcPr>
          <w:p w14:paraId="719B4545" w14:textId="77777777" w:rsidR="00B02873" w:rsidRDefault="00B02873" w:rsidP="00CF1D80">
            <w:pPr>
              <w:pStyle w:val="TablebodyleftFinancialsTables"/>
            </w:pPr>
            <w:r>
              <w:t>Friends of Merri Creek Inc</w:t>
            </w:r>
          </w:p>
        </w:tc>
        <w:tc>
          <w:tcPr>
            <w:tcW w:w="1559" w:type="dxa"/>
          </w:tcPr>
          <w:p w14:paraId="6CBD6E30" w14:textId="77777777" w:rsidR="00B02873" w:rsidRDefault="00B02873" w:rsidP="00CF1D80">
            <w:pPr>
              <w:pStyle w:val="TablebodyleftFinancialsTables"/>
              <w:jc w:val="right"/>
            </w:pPr>
            <w:r>
              <w:t>28,174</w:t>
            </w:r>
          </w:p>
        </w:tc>
      </w:tr>
      <w:tr w:rsidR="00B02873" w:rsidRPr="00B02873" w14:paraId="3F8BB27A" w14:textId="77777777" w:rsidTr="00CF1D80">
        <w:trPr>
          <w:trHeight w:val="60"/>
        </w:trPr>
        <w:tc>
          <w:tcPr>
            <w:tcW w:w="5382" w:type="dxa"/>
          </w:tcPr>
          <w:p w14:paraId="38C1C93B" w14:textId="77777777" w:rsidR="00B02873" w:rsidRDefault="00B02873" w:rsidP="00CF1D80">
            <w:pPr>
              <w:pStyle w:val="TablebodyleftFinancialsTables"/>
            </w:pPr>
            <w:r>
              <w:t>Greening Australia Ltd</w:t>
            </w:r>
          </w:p>
        </w:tc>
        <w:tc>
          <w:tcPr>
            <w:tcW w:w="1559" w:type="dxa"/>
          </w:tcPr>
          <w:p w14:paraId="7D51A09D" w14:textId="77777777" w:rsidR="00B02873" w:rsidRDefault="00B02873" w:rsidP="00CF1D80">
            <w:pPr>
              <w:pStyle w:val="TablebodyleftFinancialsTables"/>
              <w:jc w:val="right"/>
            </w:pPr>
            <w:r>
              <w:t>27,000</w:t>
            </w:r>
          </w:p>
        </w:tc>
      </w:tr>
      <w:tr w:rsidR="00B02873" w:rsidRPr="00B02873" w14:paraId="3ED39019" w14:textId="77777777" w:rsidTr="00CF1D80">
        <w:trPr>
          <w:trHeight w:val="60"/>
        </w:trPr>
        <w:tc>
          <w:tcPr>
            <w:tcW w:w="5382" w:type="dxa"/>
          </w:tcPr>
          <w:p w14:paraId="6D4ACD81" w14:textId="77777777" w:rsidR="00B02873" w:rsidRDefault="00B02873" w:rsidP="00CF1D80">
            <w:pPr>
              <w:pStyle w:val="TablebodyleftFinancialsTables"/>
            </w:pPr>
            <w:r>
              <w:t>Friends of the Helmeted Honeyeater Inc</w:t>
            </w:r>
          </w:p>
        </w:tc>
        <w:tc>
          <w:tcPr>
            <w:tcW w:w="1559" w:type="dxa"/>
          </w:tcPr>
          <w:p w14:paraId="69BAD03C" w14:textId="77777777" w:rsidR="00B02873" w:rsidRDefault="00B02873" w:rsidP="00CF1D80">
            <w:pPr>
              <w:pStyle w:val="TablebodyleftFinancialsTables"/>
              <w:jc w:val="right"/>
            </w:pPr>
            <w:r>
              <w:t>26,757</w:t>
            </w:r>
          </w:p>
        </w:tc>
      </w:tr>
      <w:tr w:rsidR="00B02873" w:rsidRPr="00B02873" w14:paraId="3D97C747" w14:textId="77777777" w:rsidTr="00CF1D80">
        <w:trPr>
          <w:trHeight w:val="60"/>
        </w:trPr>
        <w:tc>
          <w:tcPr>
            <w:tcW w:w="5382" w:type="dxa"/>
          </w:tcPr>
          <w:p w14:paraId="554BE40D" w14:textId="77777777" w:rsidR="00B02873" w:rsidRDefault="00B02873" w:rsidP="00CF1D80">
            <w:pPr>
              <w:pStyle w:val="TablebodyleftFinancialsTables"/>
            </w:pPr>
            <w:r>
              <w:t>Gippsland Intrepid Landcare</w:t>
            </w:r>
          </w:p>
        </w:tc>
        <w:tc>
          <w:tcPr>
            <w:tcW w:w="1559" w:type="dxa"/>
          </w:tcPr>
          <w:p w14:paraId="5B789FD0" w14:textId="77777777" w:rsidR="00B02873" w:rsidRDefault="00B02873" w:rsidP="00CF1D80">
            <w:pPr>
              <w:pStyle w:val="TablebodyleftFinancialsTables"/>
              <w:jc w:val="right"/>
            </w:pPr>
            <w:r>
              <w:t>26,600</w:t>
            </w:r>
          </w:p>
        </w:tc>
      </w:tr>
      <w:tr w:rsidR="00B02873" w:rsidRPr="00B02873" w14:paraId="6E20EA92" w14:textId="77777777" w:rsidTr="00CF1D80">
        <w:trPr>
          <w:trHeight w:val="60"/>
        </w:trPr>
        <w:tc>
          <w:tcPr>
            <w:tcW w:w="5382" w:type="dxa"/>
          </w:tcPr>
          <w:p w14:paraId="02C4CB09" w14:textId="77777777" w:rsidR="00B02873" w:rsidRDefault="00B02873" w:rsidP="00CF1D80">
            <w:pPr>
              <w:pStyle w:val="TablebodyleftFinancialsTables"/>
            </w:pPr>
            <w:r>
              <w:t>Mt Hotham Alpine Resort Management Board</w:t>
            </w:r>
          </w:p>
        </w:tc>
        <w:tc>
          <w:tcPr>
            <w:tcW w:w="1559" w:type="dxa"/>
          </w:tcPr>
          <w:p w14:paraId="52ADBC62" w14:textId="77777777" w:rsidR="00B02873" w:rsidRDefault="00B02873" w:rsidP="00CF1D80">
            <w:pPr>
              <w:pStyle w:val="TablebodyleftFinancialsTables"/>
              <w:jc w:val="right"/>
            </w:pPr>
            <w:r>
              <w:t>26,500</w:t>
            </w:r>
          </w:p>
        </w:tc>
      </w:tr>
      <w:tr w:rsidR="00B02873" w:rsidRPr="00B02873" w14:paraId="3C38E45E" w14:textId="77777777" w:rsidTr="00CF1D80">
        <w:trPr>
          <w:trHeight w:val="60"/>
        </w:trPr>
        <w:tc>
          <w:tcPr>
            <w:tcW w:w="5382" w:type="dxa"/>
          </w:tcPr>
          <w:p w14:paraId="7FD3D441" w14:textId="77777777" w:rsidR="00B02873" w:rsidRDefault="00B02873" w:rsidP="00CF1D80">
            <w:pPr>
              <w:pStyle w:val="TablebodyleftFinancialsTables"/>
            </w:pPr>
            <w:r>
              <w:t>Phillip Island Landcare Group</w:t>
            </w:r>
          </w:p>
        </w:tc>
        <w:tc>
          <w:tcPr>
            <w:tcW w:w="1559" w:type="dxa"/>
          </w:tcPr>
          <w:p w14:paraId="7C82AD22" w14:textId="77777777" w:rsidR="00B02873" w:rsidRDefault="00B02873" w:rsidP="00CF1D80">
            <w:pPr>
              <w:pStyle w:val="TablebodyleftFinancialsTables"/>
              <w:jc w:val="right"/>
            </w:pPr>
            <w:r>
              <w:t>25,521</w:t>
            </w:r>
          </w:p>
        </w:tc>
      </w:tr>
      <w:tr w:rsidR="00B02873" w:rsidRPr="00B02873" w14:paraId="69DA29BA" w14:textId="77777777" w:rsidTr="00CF1D80">
        <w:trPr>
          <w:trHeight w:val="60"/>
        </w:trPr>
        <w:tc>
          <w:tcPr>
            <w:tcW w:w="5382" w:type="dxa"/>
          </w:tcPr>
          <w:p w14:paraId="6D9DBD17" w14:textId="77777777" w:rsidR="00B02873" w:rsidRDefault="00B02873" w:rsidP="00CF1D80">
            <w:pPr>
              <w:pStyle w:val="TablebodyleftFinancialsTables"/>
            </w:pPr>
            <w:r>
              <w:t>Barwon Region Water Authority</w:t>
            </w:r>
          </w:p>
        </w:tc>
        <w:tc>
          <w:tcPr>
            <w:tcW w:w="1559" w:type="dxa"/>
          </w:tcPr>
          <w:p w14:paraId="576C1E7B" w14:textId="77777777" w:rsidR="00B02873" w:rsidRDefault="00B02873" w:rsidP="00CF1D80">
            <w:pPr>
              <w:pStyle w:val="TablebodyleftFinancialsTables"/>
              <w:jc w:val="right"/>
            </w:pPr>
            <w:r>
              <w:t>25,000</w:t>
            </w:r>
          </w:p>
        </w:tc>
      </w:tr>
      <w:tr w:rsidR="00B02873" w:rsidRPr="00B02873" w14:paraId="2926C751" w14:textId="77777777" w:rsidTr="00CF1D80">
        <w:trPr>
          <w:trHeight w:val="60"/>
        </w:trPr>
        <w:tc>
          <w:tcPr>
            <w:tcW w:w="5382" w:type="dxa"/>
          </w:tcPr>
          <w:p w14:paraId="717FA4A0" w14:textId="77777777" w:rsidR="00B02873" w:rsidRDefault="00B02873" w:rsidP="00CF1D80">
            <w:pPr>
              <w:pStyle w:val="TablebodyleftFinancialsTables"/>
            </w:pPr>
            <w:r>
              <w:t>Winda-mara Aboriginal Corporation</w:t>
            </w:r>
          </w:p>
        </w:tc>
        <w:tc>
          <w:tcPr>
            <w:tcW w:w="1559" w:type="dxa"/>
          </w:tcPr>
          <w:p w14:paraId="48DB8915" w14:textId="77777777" w:rsidR="00B02873" w:rsidRDefault="00B02873" w:rsidP="00CF1D80">
            <w:pPr>
              <w:pStyle w:val="TablebodyleftFinancialsTables"/>
              <w:jc w:val="right"/>
            </w:pPr>
            <w:r>
              <w:t>25,000</w:t>
            </w:r>
          </w:p>
        </w:tc>
      </w:tr>
      <w:tr w:rsidR="00B02873" w:rsidRPr="00B02873" w14:paraId="79A8B9A5" w14:textId="77777777" w:rsidTr="00CF1D80">
        <w:trPr>
          <w:trHeight w:val="60"/>
        </w:trPr>
        <w:tc>
          <w:tcPr>
            <w:tcW w:w="5382" w:type="dxa"/>
          </w:tcPr>
          <w:p w14:paraId="4FB93C5A" w14:textId="77777777" w:rsidR="00B02873" w:rsidRDefault="00B02873" w:rsidP="00CF1D80">
            <w:pPr>
              <w:pStyle w:val="TablebodyleftFinancialsTables"/>
            </w:pPr>
            <w:r>
              <w:t>Ballarat Environment Network Inc</w:t>
            </w:r>
          </w:p>
        </w:tc>
        <w:tc>
          <w:tcPr>
            <w:tcW w:w="1559" w:type="dxa"/>
          </w:tcPr>
          <w:p w14:paraId="104D1EF1" w14:textId="77777777" w:rsidR="00B02873" w:rsidRDefault="00B02873" w:rsidP="00CF1D80">
            <w:pPr>
              <w:pStyle w:val="TablebodyleftFinancialsTables"/>
              <w:jc w:val="right"/>
            </w:pPr>
            <w:r>
              <w:t>24,916</w:t>
            </w:r>
          </w:p>
        </w:tc>
      </w:tr>
      <w:tr w:rsidR="00B02873" w:rsidRPr="00B02873" w14:paraId="27AD1DB5" w14:textId="77777777" w:rsidTr="00CF1D80">
        <w:trPr>
          <w:trHeight w:val="60"/>
        </w:trPr>
        <w:tc>
          <w:tcPr>
            <w:tcW w:w="5382" w:type="dxa"/>
          </w:tcPr>
          <w:p w14:paraId="58E6F4B0" w14:textId="77777777" w:rsidR="00B02873" w:rsidRDefault="00B02873" w:rsidP="00CF1D80">
            <w:pPr>
              <w:pStyle w:val="TablebodyleftFinancialsTables"/>
            </w:pPr>
            <w:r>
              <w:t>Phillip Island Nature Park Board of Management</w:t>
            </w:r>
          </w:p>
        </w:tc>
        <w:tc>
          <w:tcPr>
            <w:tcW w:w="1559" w:type="dxa"/>
          </w:tcPr>
          <w:p w14:paraId="2F45E69F" w14:textId="77777777" w:rsidR="00B02873" w:rsidRDefault="00B02873" w:rsidP="00CF1D80">
            <w:pPr>
              <w:pStyle w:val="TablebodyleftFinancialsTables"/>
              <w:jc w:val="right"/>
            </w:pPr>
            <w:r>
              <w:t>24,783</w:t>
            </w:r>
          </w:p>
        </w:tc>
      </w:tr>
      <w:tr w:rsidR="00B02873" w:rsidRPr="00B02873" w14:paraId="271CB4B5" w14:textId="77777777" w:rsidTr="00CF1D80">
        <w:trPr>
          <w:trHeight w:val="60"/>
        </w:trPr>
        <w:tc>
          <w:tcPr>
            <w:tcW w:w="5382" w:type="dxa"/>
          </w:tcPr>
          <w:p w14:paraId="37596838" w14:textId="77777777" w:rsidR="00B02873" w:rsidRDefault="00B02873" w:rsidP="00CF1D80">
            <w:pPr>
              <w:pStyle w:val="TablebodyleftFinancialsTables"/>
            </w:pPr>
            <w:r>
              <w:t>Swan Bay Environment Association</w:t>
            </w:r>
          </w:p>
        </w:tc>
        <w:tc>
          <w:tcPr>
            <w:tcW w:w="1559" w:type="dxa"/>
          </w:tcPr>
          <w:p w14:paraId="7C000069" w14:textId="77777777" w:rsidR="00B02873" w:rsidRDefault="00B02873" w:rsidP="00CF1D80">
            <w:pPr>
              <w:pStyle w:val="TablebodyleftFinancialsTables"/>
              <w:jc w:val="right"/>
            </w:pPr>
            <w:r>
              <w:t>24,385</w:t>
            </w:r>
          </w:p>
        </w:tc>
      </w:tr>
      <w:tr w:rsidR="00B02873" w:rsidRPr="00B02873" w14:paraId="141BE68D" w14:textId="77777777" w:rsidTr="00CF1D80">
        <w:trPr>
          <w:trHeight w:val="60"/>
        </w:trPr>
        <w:tc>
          <w:tcPr>
            <w:tcW w:w="5382" w:type="dxa"/>
          </w:tcPr>
          <w:p w14:paraId="134D4146" w14:textId="77777777" w:rsidR="00B02873" w:rsidRDefault="00B02873" w:rsidP="00CF1D80">
            <w:pPr>
              <w:pStyle w:val="TablebodyleftFinancialsTables"/>
            </w:pPr>
            <w:r>
              <w:t>Beach Patrol Australia Inc</w:t>
            </w:r>
          </w:p>
        </w:tc>
        <w:tc>
          <w:tcPr>
            <w:tcW w:w="1559" w:type="dxa"/>
          </w:tcPr>
          <w:p w14:paraId="15CDD2C7" w14:textId="77777777" w:rsidR="00B02873" w:rsidRDefault="00B02873" w:rsidP="00CF1D80">
            <w:pPr>
              <w:pStyle w:val="TablebodyleftFinancialsTables"/>
              <w:jc w:val="right"/>
            </w:pPr>
            <w:r>
              <w:t>24,100</w:t>
            </w:r>
          </w:p>
        </w:tc>
      </w:tr>
      <w:tr w:rsidR="00B02873" w:rsidRPr="00B02873" w14:paraId="5B087016" w14:textId="77777777" w:rsidTr="00CF1D80">
        <w:trPr>
          <w:trHeight w:val="60"/>
        </w:trPr>
        <w:tc>
          <w:tcPr>
            <w:tcW w:w="5382" w:type="dxa"/>
          </w:tcPr>
          <w:p w14:paraId="0D6862ED" w14:textId="77777777" w:rsidR="00B02873" w:rsidRDefault="00B02873" w:rsidP="00CF1D80">
            <w:pPr>
              <w:pStyle w:val="TablebodyleftFinancialsTables"/>
            </w:pPr>
            <w:r>
              <w:t>Cairnlea Conservation Reserves Committee of Management</w:t>
            </w:r>
          </w:p>
        </w:tc>
        <w:tc>
          <w:tcPr>
            <w:tcW w:w="1559" w:type="dxa"/>
          </w:tcPr>
          <w:p w14:paraId="78A7DE4F" w14:textId="77777777" w:rsidR="00B02873" w:rsidRDefault="00B02873" w:rsidP="00CF1D80">
            <w:pPr>
              <w:pStyle w:val="TablebodyleftFinancialsTables"/>
              <w:jc w:val="right"/>
            </w:pPr>
            <w:r>
              <w:t>23,700</w:t>
            </w:r>
          </w:p>
        </w:tc>
      </w:tr>
      <w:tr w:rsidR="00B02873" w:rsidRPr="00B02873" w14:paraId="51579197" w14:textId="77777777" w:rsidTr="00CF1D80">
        <w:trPr>
          <w:trHeight w:val="60"/>
        </w:trPr>
        <w:tc>
          <w:tcPr>
            <w:tcW w:w="5382" w:type="dxa"/>
          </w:tcPr>
          <w:p w14:paraId="6DC0F1B4" w14:textId="77777777" w:rsidR="00B02873" w:rsidRDefault="00B02873" w:rsidP="00CF1D80">
            <w:pPr>
              <w:pStyle w:val="TablebodyleftFinancialsTables"/>
            </w:pPr>
            <w:r>
              <w:t>Friends of the Forgotten Woodlands Inc</w:t>
            </w:r>
          </w:p>
        </w:tc>
        <w:tc>
          <w:tcPr>
            <w:tcW w:w="1559" w:type="dxa"/>
          </w:tcPr>
          <w:p w14:paraId="1E056DF2" w14:textId="77777777" w:rsidR="00B02873" w:rsidRDefault="00B02873" w:rsidP="00CF1D80">
            <w:pPr>
              <w:pStyle w:val="TablebodyleftFinancialsTables"/>
              <w:jc w:val="right"/>
            </w:pPr>
            <w:r>
              <w:t>22,199</w:t>
            </w:r>
          </w:p>
        </w:tc>
      </w:tr>
      <w:tr w:rsidR="00B02873" w:rsidRPr="00B02873" w14:paraId="3CE230CC" w14:textId="77777777" w:rsidTr="00CF1D80">
        <w:trPr>
          <w:trHeight w:val="60"/>
        </w:trPr>
        <w:tc>
          <w:tcPr>
            <w:tcW w:w="5382" w:type="dxa"/>
          </w:tcPr>
          <w:p w14:paraId="27791BEF" w14:textId="77777777" w:rsidR="00B02873" w:rsidRDefault="00B02873" w:rsidP="00CF1D80">
            <w:pPr>
              <w:pStyle w:val="TablebodyleftFinancialsTables"/>
            </w:pPr>
            <w:r>
              <w:t>Victorian Environment Friends Network Inc</w:t>
            </w:r>
          </w:p>
        </w:tc>
        <w:tc>
          <w:tcPr>
            <w:tcW w:w="1559" w:type="dxa"/>
          </w:tcPr>
          <w:p w14:paraId="6C315DA3" w14:textId="77777777" w:rsidR="00B02873" w:rsidRDefault="00B02873" w:rsidP="00CF1D80">
            <w:pPr>
              <w:pStyle w:val="TablebodyleftFinancialsTables"/>
              <w:jc w:val="right"/>
            </w:pPr>
            <w:r>
              <w:t>22,000</w:t>
            </w:r>
          </w:p>
        </w:tc>
      </w:tr>
      <w:tr w:rsidR="00B02873" w:rsidRPr="00B02873" w14:paraId="27F1647C" w14:textId="77777777" w:rsidTr="00CF1D80">
        <w:trPr>
          <w:trHeight w:val="60"/>
        </w:trPr>
        <w:tc>
          <w:tcPr>
            <w:tcW w:w="5382" w:type="dxa"/>
          </w:tcPr>
          <w:p w14:paraId="4C76E23E" w14:textId="77777777" w:rsidR="00B02873" w:rsidRDefault="00B02873" w:rsidP="00CF1D80">
            <w:pPr>
              <w:pStyle w:val="TablebodyleftFinancialsTables"/>
            </w:pPr>
            <w:r>
              <w:t>Friends of Flinders Coastline Inc</w:t>
            </w:r>
          </w:p>
        </w:tc>
        <w:tc>
          <w:tcPr>
            <w:tcW w:w="1559" w:type="dxa"/>
          </w:tcPr>
          <w:p w14:paraId="07D24017" w14:textId="77777777" w:rsidR="00B02873" w:rsidRDefault="00B02873" w:rsidP="00CF1D80">
            <w:pPr>
              <w:pStyle w:val="TablebodyleftFinancialsTables"/>
              <w:jc w:val="right"/>
            </w:pPr>
            <w:r>
              <w:t>21,833</w:t>
            </w:r>
          </w:p>
        </w:tc>
      </w:tr>
      <w:tr w:rsidR="00B02873" w:rsidRPr="00B02873" w14:paraId="64A3FD2F" w14:textId="77777777" w:rsidTr="00CF1D80">
        <w:trPr>
          <w:trHeight w:val="60"/>
        </w:trPr>
        <w:tc>
          <w:tcPr>
            <w:tcW w:w="5382" w:type="dxa"/>
          </w:tcPr>
          <w:p w14:paraId="72A8B060" w14:textId="77777777" w:rsidR="00B02873" w:rsidRDefault="00B02873" w:rsidP="00CF1D80">
            <w:pPr>
              <w:pStyle w:val="TablebodyleftFinancialsTables"/>
            </w:pPr>
            <w:r>
              <w:t>Muckleford Catchment Landcare Group Inc</w:t>
            </w:r>
          </w:p>
        </w:tc>
        <w:tc>
          <w:tcPr>
            <w:tcW w:w="1559" w:type="dxa"/>
          </w:tcPr>
          <w:p w14:paraId="4C835014" w14:textId="77777777" w:rsidR="00B02873" w:rsidRDefault="00B02873" w:rsidP="00CF1D80">
            <w:pPr>
              <w:pStyle w:val="TablebodyleftFinancialsTables"/>
              <w:jc w:val="right"/>
            </w:pPr>
            <w:r>
              <w:t>21,196</w:t>
            </w:r>
          </w:p>
        </w:tc>
      </w:tr>
      <w:tr w:rsidR="00B02873" w:rsidRPr="00B02873" w14:paraId="34A2D779" w14:textId="77777777" w:rsidTr="00CF1D80">
        <w:trPr>
          <w:trHeight w:val="60"/>
        </w:trPr>
        <w:tc>
          <w:tcPr>
            <w:tcW w:w="5382" w:type="dxa"/>
          </w:tcPr>
          <w:p w14:paraId="0234DFD3" w14:textId="77777777" w:rsidR="00B02873" w:rsidRDefault="00B02873" w:rsidP="00CF1D80">
            <w:pPr>
              <w:pStyle w:val="TablebodyleftFinancialsTables"/>
            </w:pPr>
            <w:r>
              <w:t>Napoleons Enfield Landcare Group Inc</w:t>
            </w:r>
          </w:p>
        </w:tc>
        <w:tc>
          <w:tcPr>
            <w:tcW w:w="1559" w:type="dxa"/>
          </w:tcPr>
          <w:p w14:paraId="417B5CC5" w14:textId="77777777" w:rsidR="00B02873" w:rsidRDefault="00B02873" w:rsidP="00CF1D80">
            <w:pPr>
              <w:pStyle w:val="TablebodyleftFinancialsTables"/>
              <w:jc w:val="right"/>
            </w:pPr>
            <w:r>
              <w:t>20,653</w:t>
            </w:r>
          </w:p>
        </w:tc>
      </w:tr>
      <w:tr w:rsidR="00B02873" w:rsidRPr="00B02873" w14:paraId="646BE1B5" w14:textId="77777777" w:rsidTr="00CF1D80">
        <w:trPr>
          <w:trHeight w:val="60"/>
        </w:trPr>
        <w:tc>
          <w:tcPr>
            <w:tcW w:w="5382" w:type="dxa"/>
          </w:tcPr>
          <w:p w14:paraId="663108A2" w14:textId="77777777" w:rsidR="00B02873" w:rsidRDefault="00B02873" w:rsidP="00CF1D80">
            <w:pPr>
              <w:pStyle w:val="TablebodyleftFinancialsTables"/>
            </w:pPr>
            <w:r>
              <w:t>Indigo Creek Landcare Group Inc</w:t>
            </w:r>
          </w:p>
        </w:tc>
        <w:tc>
          <w:tcPr>
            <w:tcW w:w="1559" w:type="dxa"/>
          </w:tcPr>
          <w:p w14:paraId="02251A3A" w14:textId="77777777" w:rsidR="00B02873" w:rsidRDefault="00B02873" w:rsidP="00CF1D80">
            <w:pPr>
              <w:pStyle w:val="TablebodyleftFinancialsTables"/>
              <w:jc w:val="right"/>
            </w:pPr>
            <w:r>
              <w:t>15,400</w:t>
            </w:r>
          </w:p>
        </w:tc>
      </w:tr>
      <w:tr w:rsidR="00B02873" w:rsidRPr="00B02873" w14:paraId="6026F2D8" w14:textId="77777777" w:rsidTr="00CF1D80">
        <w:trPr>
          <w:trHeight w:val="60"/>
        </w:trPr>
        <w:tc>
          <w:tcPr>
            <w:tcW w:w="5382" w:type="dxa"/>
          </w:tcPr>
          <w:p w14:paraId="19BED744" w14:textId="77777777" w:rsidR="00B02873" w:rsidRDefault="00B02873" w:rsidP="00CF1D80">
            <w:pPr>
              <w:pStyle w:val="TablebodyleftFinancialsTables"/>
            </w:pPr>
            <w:r>
              <w:t>Dromana Foreshore Committee Of Management Inc</w:t>
            </w:r>
          </w:p>
        </w:tc>
        <w:tc>
          <w:tcPr>
            <w:tcW w:w="1559" w:type="dxa"/>
          </w:tcPr>
          <w:p w14:paraId="49551582" w14:textId="77777777" w:rsidR="00B02873" w:rsidRDefault="00B02873" w:rsidP="00CF1D80">
            <w:pPr>
              <w:pStyle w:val="TablebodyleftFinancialsTables"/>
              <w:jc w:val="right"/>
            </w:pPr>
            <w:r>
              <w:t>15,000</w:t>
            </w:r>
          </w:p>
        </w:tc>
      </w:tr>
      <w:tr w:rsidR="00B02873" w:rsidRPr="00B02873" w14:paraId="355ED937" w14:textId="77777777" w:rsidTr="00CF1D80">
        <w:trPr>
          <w:trHeight w:val="60"/>
        </w:trPr>
        <w:tc>
          <w:tcPr>
            <w:tcW w:w="5382" w:type="dxa"/>
          </w:tcPr>
          <w:p w14:paraId="513F2168" w14:textId="77777777" w:rsidR="00B02873" w:rsidRDefault="00B02873" w:rsidP="00CF1D80">
            <w:pPr>
              <w:pStyle w:val="TablebodyleftFinancialsTables"/>
            </w:pPr>
            <w:r>
              <w:t>North Harcourt Sedgwick Landcare Group Inc</w:t>
            </w:r>
          </w:p>
        </w:tc>
        <w:tc>
          <w:tcPr>
            <w:tcW w:w="1559" w:type="dxa"/>
          </w:tcPr>
          <w:p w14:paraId="7DF183EB" w14:textId="77777777" w:rsidR="00B02873" w:rsidRDefault="00B02873" w:rsidP="00CF1D80">
            <w:pPr>
              <w:pStyle w:val="TablebodyleftFinancialsTables"/>
              <w:jc w:val="right"/>
            </w:pPr>
            <w:r>
              <w:t>14,860</w:t>
            </w:r>
          </w:p>
        </w:tc>
      </w:tr>
      <w:tr w:rsidR="00B02873" w:rsidRPr="00B02873" w14:paraId="5C2E0327" w14:textId="77777777" w:rsidTr="00CF1D80">
        <w:trPr>
          <w:trHeight w:val="60"/>
        </w:trPr>
        <w:tc>
          <w:tcPr>
            <w:tcW w:w="5382" w:type="dxa"/>
          </w:tcPr>
          <w:p w14:paraId="12BFDCCA" w14:textId="77777777" w:rsidR="00B02873" w:rsidRDefault="00B02873" w:rsidP="00CF1D80">
            <w:pPr>
              <w:pStyle w:val="TablebodyleftFinancialsTables"/>
            </w:pPr>
            <w:r>
              <w:t>Southern Ranges Environment Alliance</w:t>
            </w:r>
          </w:p>
        </w:tc>
        <w:tc>
          <w:tcPr>
            <w:tcW w:w="1559" w:type="dxa"/>
          </w:tcPr>
          <w:p w14:paraId="6585E1A2" w14:textId="77777777" w:rsidR="00B02873" w:rsidRDefault="00B02873" w:rsidP="00CF1D80">
            <w:pPr>
              <w:pStyle w:val="TablebodyleftFinancialsTables"/>
              <w:jc w:val="right"/>
            </w:pPr>
            <w:r>
              <w:t>14,143</w:t>
            </w:r>
          </w:p>
        </w:tc>
      </w:tr>
      <w:tr w:rsidR="00B02873" w:rsidRPr="00B02873" w14:paraId="6E347D83" w14:textId="77777777" w:rsidTr="00CF1D80">
        <w:trPr>
          <w:trHeight w:val="60"/>
        </w:trPr>
        <w:tc>
          <w:tcPr>
            <w:tcW w:w="5382" w:type="dxa"/>
          </w:tcPr>
          <w:p w14:paraId="6C3BE04F" w14:textId="77777777" w:rsidR="00B02873" w:rsidRDefault="00B02873" w:rsidP="00CF1D80">
            <w:pPr>
              <w:pStyle w:val="TablebodyleftFinancialsTables"/>
            </w:pPr>
            <w:r>
              <w:t>East Gippsland Landcare Network Inc</w:t>
            </w:r>
          </w:p>
        </w:tc>
        <w:tc>
          <w:tcPr>
            <w:tcW w:w="1559" w:type="dxa"/>
          </w:tcPr>
          <w:p w14:paraId="50191B2D" w14:textId="77777777" w:rsidR="00B02873" w:rsidRDefault="00B02873" w:rsidP="00CF1D80">
            <w:pPr>
              <w:pStyle w:val="TablebodyleftFinancialsTables"/>
              <w:jc w:val="right"/>
            </w:pPr>
            <w:r>
              <w:t>14,143</w:t>
            </w:r>
          </w:p>
        </w:tc>
      </w:tr>
      <w:tr w:rsidR="00B02873" w:rsidRPr="00B02873" w14:paraId="11361C0A" w14:textId="77777777" w:rsidTr="00CF1D80">
        <w:trPr>
          <w:trHeight w:val="60"/>
        </w:trPr>
        <w:tc>
          <w:tcPr>
            <w:tcW w:w="5382" w:type="dxa"/>
          </w:tcPr>
          <w:p w14:paraId="6EC00791" w14:textId="77777777" w:rsidR="00B02873" w:rsidRDefault="00B02873" w:rsidP="00CF1D80">
            <w:pPr>
              <w:pStyle w:val="TablebodyleftFinancialsTables"/>
            </w:pPr>
            <w:r>
              <w:t>Friends of the Upper Nicholson Catchment Inc</w:t>
            </w:r>
          </w:p>
        </w:tc>
        <w:tc>
          <w:tcPr>
            <w:tcW w:w="1559" w:type="dxa"/>
          </w:tcPr>
          <w:p w14:paraId="57EF44FA" w14:textId="77777777" w:rsidR="00B02873" w:rsidRDefault="00B02873" w:rsidP="00CF1D80">
            <w:pPr>
              <w:pStyle w:val="TablebodyleftFinancialsTables"/>
              <w:jc w:val="right"/>
            </w:pPr>
            <w:r>
              <w:t>14,020</w:t>
            </w:r>
          </w:p>
        </w:tc>
      </w:tr>
      <w:tr w:rsidR="00B02873" w:rsidRPr="00B02873" w14:paraId="282C1A2A" w14:textId="77777777" w:rsidTr="00CF1D80">
        <w:trPr>
          <w:trHeight w:val="60"/>
        </w:trPr>
        <w:tc>
          <w:tcPr>
            <w:tcW w:w="5382" w:type="dxa"/>
          </w:tcPr>
          <w:p w14:paraId="63DE70B7" w14:textId="77777777" w:rsidR="00B02873" w:rsidRDefault="00B02873" w:rsidP="00CF1D80">
            <w:pPr>
              <w:pStyle w:val="TablebodyleftFinancialsTables"/>
            </w:pPr>
            <w:r>
              <w:t>Bunanyung Landscape Alliance</w:t>
            </w:r>
          </w:p>
        </w:tc>
        <w:tc>
          <w:tcPr>
            <w:tcW w:w="1559" w:type="dxa"/>
          </w:tcPr>
          <w:p w14:paraId="67970873" w14:textId="77777777" w:rsidR="00B02873" w:rsidRDefault="00B02873" w:rsidP="00CF1D80">
            <w:pPr>
              <w:pStyle w:val="TablebodyleftFinancialsTables"/>
              <w:jc w:val="right"/>
            </w:pPr>
            <w:r>
              <w:t>11,730</w:t>
            </w:r>
          </w:p>
        </w:tc>
      </w:tr>
      <w:tr w:rsidR="00B02873" w:rsidRPr="00B02873" w14:paraId="56F9FCF0" w14:textId="77777777" w:rsidTr="00CF1D80">
        <w:trPr>
          <w:trHeight w:val="60"/>
        </w:trPr>
        <w:tc>
          <w:tcPr>
            <w:tcW w:w="5382" w:type="dxa"/>
          </w:tcPr>
          <w:p w14:paraId="3EF496CC" w14:textId="77777777" w:rsidR="00B02873" w:rsidRDefault="00B02873" w:rsidP="00CF1D80">
            <w:pPr>
              <w:pStyle w:val="TablebodyleftFinancialsTables"/>
            </w:pPr>
            <w:r>
              <w:t>Moonlit Sanctuary Wildlife Conservation Park</w:t>
            </w:r>
          </w:p>
        </w:tc>
        <w:tc>
          <w:tcPr>
            <w:tcW w:w="1559" w:type="dxa"/>
          </w:tcPr>
          <w:p w14:paraId="4849EC45" w14:textId="77777777" w:rsidR="00B02873" w:rsidRDefault="00B02873" w:rsidP="00CF1D80">
            <w:pPr>
              <w:pStyle w:val="TablebodyleftFinancialsTables"/>
              <w:jc w:val="right"/>
            </w:pPr>
            <w:r>
              <w:t>11,531</w:t>
            </w:r>
          </w:p>
        </w:tc>
      </w:tr>
      <w:tr w:rsidR="00B02873" w:rsidRPr="00B02873" w14:paraId="2F272786" w14:textId="77777777" w:rsidTr="00CF1D80">
        <w:trPr>
          <w:trHeight w:val="60"/>
        </w:trPr>
        <w:tc>
          <w:tcPr>
            <w:tcW w:w="5382" w:type="dxa"/>
          </w:tcPr>
          <w:p w14:paraId="4F697647" w14:textId="77777777" w:rsidR="00B02873" w:rsidRDefault="00B02873" w:rsidP="00CF1D80">
            <w:pPr>
              <w:pStyle w:val="TablebodyleftFinancialsTables"/>
            </w:pPr>
            <w:r>
              <w:t>Frankston Beach Association Inc</w:t>
            </w:r>
          </w:p>
        </w:tc>
        <w:tc>
          <w:tcPr>
            <w:tcW w:w="1559" w:type="dxa"/>
          </w:tcPr>
          <w:p w14:paraId="1BEB5BA2" w14:textId="77777777" w:rsidR="00B02873" w:rsidRDefault="00B02873" w:rsidP="00CF1D80">
            <w:pPr>
              <w:pStyle w:val="TablebodyleftFinancialsTables"/>
              <w:jc w:val="right"/>
            </w:pPr>
            <w:r>
              <w:t>10,550</w:t>
            </w:r>
          </w:p>
        </w:tc>
      </w:tr>
      <w:tr w:rsidR="00B02873" w:rsidRPr="00B02873" w14:paraId="12984BF5" w14:textId="77777777" w:rsidTr="00CF1D80">
        <w:trPr>
          <w:trHeight w:val="60"/>
        </w:trPr>
        <w:tc>
          <w:tcPr>
            <w:tcW w:w="5382" w:type="dxa"/>
          </w:tcPr>
          <w:p w14:paraId="0C241913" w14:textId="77777777" w:rsidR="00B02873" w:rsidRDefault="00B02873" w:rsidP="00CF1D80">
            <w:pPr>
              <w:pStyle w:val="TablebodyleftFinancialsTables"/>
            </w:pPr>
            <w:r>
              <w:t>Volunteering Victoria</w:t>
            </w:r>
          </w:p>
        </w:tc>
        <w:tc>
          <w:tcPr>
            <w:tcW w:w="1559" w:type="dxa"/>
          </w:tcPr>
          <w:p w14:paraId="5FE295C3" w14:textId="77777777" w:rsidR="00B02873" w:rsidRDefault="00B02873" w:rsidP="00CF1D80">
            <w:pPr>
              <w:pStyle w:val="TablebodyleftFinancialsTables"/>
              <w:jc w:val="right"/>
            </w:pPr>
            <w:r>
              <w:t>10,000</w:t>
            </w:r>
          </w:p>
        </w:tc>
      </w:tr>
      <w:tr w:rsidR="00B02873" w:rsidRPr="00B02873" w14:paraId="0885AFC6" w14:textId="77777777" w:rsidTr="00CF1D80">
        <w:trPr>
          <w:trHeight w:val="60"/>
        </w:trPr>
        <w:tc>
          <w:tcPr>
            <w:tcW w:w="5382" w:type="dxa"/>
          </w:tcPr>
          <w:p w14:paraId="77A6C1FA" w14:textId="77777777" w:rsidR="00B02873" w:rsidRDefault="00B02873" w:rsidP="00CF1D80">
            <w:pPr>
              <w:pStyle w:val="TablebodyleftFinancialsTables"/>
            </w:pPr>
            <w:r>
              <w:t>McCrae Homestead Coastal Group</w:t>
            </w:r>
          </w:p>
        </w:tc>
        <w:tc>
          <w:tcPr>
            <w:tcW w:w="1559" w:type="dxa"/>
          </w:tcPr>
          <w:p w14:paraId="536C9B11" w14:textId="77777777" w:rsidR="00B02873" w:rsidRDefault="00B02873" w:rsidP="00CF1D80">
            <w:pPr>
              <w:pStyle w:val="TablebodyleftFinancialsTables"/>
              <w:jc w:val="right"/>
            </w:pPr>
            <w:r>
              <w:t>9,245</w:t>
            </w:r>
          </w:p>
        </w:tc>
      </w:tr>
      <w:tr w:rsidR="00B02873" w:rsidRPr="00B02873" w14:paraId="71A2F67B" w14:textId="77777777" w:rsidTr="00CF1D80">
        <w:trPr>
          <w:trHeight w:val="60"/>
        </w:trPr>
        <w:tc>
          <w:tcPr>
            <w:tcW w:w="5382" w:type="dxa"/>
          </w:tcPr>
          <w:p w14:paraId="0BB4F52E" w14:textId="77777777" w:rsidR="00B02873" w:rsidRDefault="00B02873" w:rsidP="00CF1D80">
            <w:pPr>
              <w:pStyle w:val="TablebodyleftFinancialsTables"/>
            </w:pPr>
            <w:r>
              <w:t>Friends of the Prom Inc</w:t>
            </w:r>
          </w:p>
        </w:tc>
        <w:tc>
          <w:tcPr>
            <w:tcW w:w="1559" w:type="dxa"/>
          </w:tcPr>
          <w:p w14:paraId="382EACAB" w14:textId="77777777" w:rsidR="00B02873" w:rsidRDefault="00B02873" w:rsidP="00CF1D80">
            <w:pPr>
              <w:pStyle w:val="TablebodyleftFinancialsTables"/>
              <w:jc w:val="right"/>
            </w:pPr>
            <w:r>
              <w:t>8,306</w:t>
            </w:r>
          </w:p>
        </w:tc>
      </w:tr>
      <w:tr w:rsidR="00B02873" w:rsidRPr="00B02873" w14:paraId="375F4AB2" w14:textId="77777777" w:rsidTr="00CF1D80">
        <w:trPr>
          <w:trHeight w:val="60"/>
        </w:trPr>
        <w:tc>
          <w:tcPr>
            <w:tcW w:w="5382" w:type="dxa"/>
          </w:tcPr>
          <w:p w14:paraId="13D6CF23" w14:textId="77777777" w:rsidR="00B02873" w:rsidRDefault="00B02873" w:rsidP="00CF1D80">
            <w:pPr>
              <w:pStyle w:val="TablebodyleftFinancialsTables"/>
            </w:pPr>
            <w:r>
              <w:t>Remember the Wild</w:t>
            </w:r>
          </w:p>
        </w:tc>
        <w:tc>
          <w:tcPr>
            <w:tcW w:w="1559" w:type="dxa"/>
          </w:tcPr>
          <w:p w14:paraId="32D52E55" w14:textId="77777777" w:rsidR="00B02873" w:rsidRDefault="00B02873" w:rsidP="00CF1D80">
            <w:pPr>
              <w:pStyle w:val="TablebodyleftFinancialsTables"/>
              <w:jc w:val="right"/>
            </w:pPr>
            <w:r>
              <w:t>6,500</w:t>
            </w:r>
          </w:p>
        </w:tc>
      </w:tr>
      <w:tr w:rsidR="00B02873" w:rsidRPr="00B02873" w14:paraId="619505B8" w14:textId="77777777" w:rsidTr="00CF1D80">
        <w:trPr>
          <w:trHeight w:val="60"/>
        </w:trPr>
        <w:tc>
          <w:tcPr>
            <w:tcW w:w="5382" w:type="dxa"/>
          </w:tcPr>
          <w:p w14:paraId="5DC16402" w14:textId="77777777" w:rsidR="00B02873" w:rsidRDefault="00B02873" w:rsidP="00CF1D80">
            <w:pPr>
              <w:pStyle w:val="TablebodyleftFinancialsTables"/>
            </w:pPr>
            <w:r>
              <w:t>Eynesbury Environment Group Inc</w:t>
            </w:r>
          </w:p>
        </w:tc>
        <w:tc>
          <w:tcPr>
            <w:tcW w:w="1559" w:type="dxa"/>
          </w:tcPr>
          <w:p w14:paraId="5F26764B" w14:textId="77777777" w:rsidR="00B02873" w:rsidRDefault="00B02873" w:rsidP="00CF1D80">
            <w:pPr>
              <w:pStyle w:val="TablebodyleftFinancialsTables"/>
              <w:jc w:val="right"/>
            </w:pPr>
            <w:r>
              <w:t>5,160</w:t>
            </w:r>
          </w:p>
        </w:tc>
      </w:tr>
      <w:tr w:rsidR="00B02873" w:rsidRPr="00B02873" w14:paraId="02DEC20C" w14:textId="77777777" w:rsidTr="00CF1D80">
        <w:trPr>
          <w:trHeight w:val="60"/>
        </w:trPr>
        <w:tc>
          <w:tcPr>
            <w:tcW w:w="5382" w:type="dxa"/>
          </w:tcPr>
          <w:p w14:paraId="2D0941F5" w14:textId="77777777" w:rsidR="00B02873" w:rsidRDefault="00B02873" w:rsidP="00CF1D80">
            <w:pPr>
              <w:pStyle w:val="TablebodyleftFinancialsTables"/>
            </w:pPr>
            <w:r>
              <w:lastRenderedPageBreak/>
              <w:t>Other &lt; $5,000</w:t>
            </w:r>
          </w:p>
        </w:tc>
        <w:tc>
          <w:tcPr>
            <w:tcW w:w="1559" w:type="dxa"/>
          </w:tcPr>
          <w:p w14:paraId="57340CE0" w14:textId="77777777" w:rsidR="00B02873" w:rsidRDefault="00B02873" w:rsidP="00CF1D80">
            <w:pPr>
              <w:pStyle w:val="TablebodyleftFinancialsTables"/>
              <w:jc w:val="right"/>
            </w:pPr>
            <w:r>
              <w:t>25,624</w:t>
            </w:r>
          </w:p>
        </w:tc>
      </w:tr>
      <w:tr w:rsidR="00B02873" w:rsidRPr="00B02873" w14:paraId="52ED90B0" w14:textId="77777777" w:rsidTr="00CF1D80">
        <w:trPr>
          <w:trHeight w:val="60"/>
        </w:trPr>
        <w:tc>
          <w:tcPr>
            <w:tcW w:w="5382" w:type="dxa"/>
          </w:tcPr>
          <w:p w14:paraId="36C70394" w14:textId="77777777" w:rsidR="00B02873" w:rsidRDefault="00B02873" w:rsidP="00CF1D80">
            <w:pPr>
              <w:pStyle w:val="TablebodyleftFinancialsTables"/>
            </w:pPr>
            <w:r>
              <w:t>Return of funds</w:t>
            </w:r>
          </w:p>
        </w:tc>
        <w:tc>
          <w:tcPr>
            <w:tcW w:w="1559" w:type="dxa"/>
          </w:tcPr>
          <w:p w14:paraId="0BE1079C" w14:textId="77777777" w:rsidR="00B02873" w:rsidRDefault="00B02873" w:rsidP="00CF1D80">
            <w:pPr>
              <w:pStyle w:val="TablebodyleftFinancialsTables"/>
              <w:jc w:val="right"/>
            </w:pPr>
            <w:r>
              <w:t>(2,283,861)</w:t>
            </w:r>
          </w:p>
        </w:tc>
      </w:tr>
      <w:tr w:rsidR="00B02873" w:rsidRPr="00E532ED" w14:paraId="10F09036" w14:textId="77777777" w:rsidTr="00CF1D80">
        <w:trPr>
          <w:trHeight w:val="60"/>
        </w:trPr>
        <w:tc>
          <w:tcPr>
            <w:tcW w:w="5382" w:type="dxa"/>
          </w:tcPr>
          <w:p w14:paraId="7ED47F6F" w14:textId="77777777" w:rsidR="00B02873" w:rsidRPr="00E532ED" w:rsidRDefault="00B02873" w:rsidP="00CF1D80">
            <w:pPr>
              <w:pStyle w:val="TablebodyleftFinancialsTables"/>
              <w:rPr>
                <w:b/>
                <w:bCs/>
              </w:rPr>
            </w:pPr>
            <w:r w:rsidRPr="00E532ED">
              <w:rPr>
                <w:b/>
                <w:bCs/>
              </w:rPr>
              <w:t>Total</w:t>
            </w:r>
          </w:p>
        </w:tc>
        <w:tc>
          <w:tcPr>
            <w:tcW w:w="1559" w:type="dxa"/>
          </w:tcPr>
          <w:p w14:paraId="3929BAD0" w14:textId="77777777" w:rsidR="00B02873" w:rsidRPr="00E532ED" w:rsidRDefault="00B02873" w:rsidP="00CF1D80">
            <w:pPr>
              <w:pStyle w:val="TablebodyleftFinancialsTables"/>
              <w:jc w:val="right"/>
              <w:rPr>
                <w:b/>
                <w:bCs/>
              </w:rPr>
            </w:pPr>
            <w:r w:rsidRPr="00E532ED">
              <w:rPr>
                <w:b/>
                <w:bCs/>
              </w:rPr>
              <w:t xml:space="preserve">111,428,833 </w:t>
            </w:r>
          </w:p>
        </w:tc>
      </w:tr>
    </w:tbl>
    <w:p w14:paraId="77D92881" w14:textId="77777777" w:rsidR="00B02873" w:rsidRDefault="00B02873" w:rsidP="00FE198A"/>
    <w:p w14:paraId="026F953A" w14:textId="6D155309" w:rsidR="00B02873" w:rsidRDefault="00B02873" w:rsidP="00E532ED">
      <w:pPr>
        <w:pStyle w:val="TabletitleTables"/>
      </w:pPr>
      <w:r>
        <w:t>Table 5</w:t>
      </w:r>
      <w:r w:rsidR="000C45FC">
        <w:t xml:space="preserve"> – </w:t>
      </w:r>
      <w:r>
        <w:t xml:space="preserve">Statutory Activities and Environment Protection </w:t>
      </w:r>
    </w:p>
    <w:tbl>
      <w:tblPr>
        <w:tblStyle w:val="TableGrid"/>
        <w:tblW w:w="0" w:type="auto"/>
        <w:tblLayout w:type="fixed"/>
        <w:tblLook w:val="0020" w:firstRow="1" w:lastRow="0" w:firstColumn="0" w:lastColumn="0" w:noHBand="0" w:noVBand="0"/>
      </w:tblPr>
      <w:tblGrid>
        <w:gridCol w:w="5382"/>
        <w:gridCol w:w="1559"/>
      </w:tblGrid>
      <w:tr w:rsidR="00B02873" w:rsidRPr="00B02873" w14:paraId="665CD9AE" w14:textId="77777777" w:rsidTr="00E532ED">
        <w:trPr>
          <w:cnfStyle w:val="100000000000" w:firstRow="1" w:lastRow="0" w:firstColumn="0" w:lastColumn="0" w:oddVBand="0" w:evenVBand="0" w:oddHBand="0" w:evenHBand="0" w:firstRowFirstColumn="0" w:firstRowLastColumn="0" w:lastRowFirstColumn="0" w:lastRowLastColumn="0"/>
          <w:trHeight w:val="60"/>
          <w:tblHeader/>
        </w:trPr>
        <w:tc>
          <w:tcPr>
            <w:tcW w:w="5382" w:type="dxa"/>
          </w:tcPr>
          <w:p w14:paraId="0DBC773D" w14:textId="77777777" w:rsidR="00B02873" w:rsidRDefault="00B02873" w:rsidP="00E532ED">
            <w:pPr>
              <w:pStyle w:val="TableheadingleftFinancialsTables"/>
            </w:pPr>
            <w:r>
              <w:t xml:space="preserve">Grant recipient </w:t>
            </w:r>
          </w:p>
        </w:tc>
        <w:tc>
          <w:tcPr>
            <w:tcW w:w="1559" w:type="dxa"/>
          </w:tcPr>
          <w:p w14:paraId="1237163D" w14:textId="77777777" w:rsidR="00B02873" w:rsidRDefault="00B02873" w:rsidP="00E532ED">
            <w:pPr>
              <w:pStyle w:val="TableheadingleftFinancialsTables"/>
              <w:jc w:val="right"/>
            </w:pPr>
            <w:r>
              <w:t>$</w:t>
            </w:r>
          </w:p>
        </w:tc>
      </w:tr>
      <w:tr w:rsidR="00B02873" w:rsidRPr="00B02873" w14:paraId="4856AABC" w14:textId="77777777" w:rsidTr="00E532ED">
        <w:trPr>
          <w:trHeight w:val="60"/>
        </w:trPr>
        <w:tc>
          <w:tcPr>
            <w:tcW w:w="5382" w:type="dxa"/>
          </w:tcPr>
          <w:p w14:paraId="1317D8E8" w14:textId="77777777" w:rsidR="00B02873" w:rsidRDefault="00B02873" w:rsidP="00E532ED">
            <w:pPr>
              <w:pStyle w:val="TablebodyleftFinancialsTables"/>
            </w:pPr>
            <w:r>
              <w:t>Environment Protection Authority</w:t>
            </w:r>
          </w:p>
        </w:tc>
        <w:tc>
          <w:tcPr>
            <w:tcW w:w="1559" w:type="dxa"/>
          </w:tcPr>
          <w:p w14:paraId="14E8F6F4" w14:textId="77777777" w:rsidR="00B02873" w:rsidRDefault="00B02873" w:rsidP="00E532ED">
            <w:pPr>
              <w:pStyle w:val="TablebodyleftFinancialsTables"/>
              <w:jc w:val="right"/>
            </w:pPr>
            <w:r>
              <w:t>120,528,701</w:t>
            </w:r>
          </w:p>
        </w:tc>
      </w:tr>
      <w:tr w:rsidR="00B02873" w:rsidRPr="00B02873" w14:paraId="7087DD80" w14:textId="77777777" w:rsidTr="00E532ED">
        <w:trPr>
          <w:trHeight w:val="60"/>
        </w:trPr>
        <w:tc>
          <w:tcPr>
            <w:tcW w:w="5382" w:type="dxa"/>
          </w:tcPr>
          <w:p w14:paraId="3FE0BBB3" w14:textId="77777777" w:rsidR="00B02873" w:rsidRDefault="00B02873" w:rsidP="00E532ED">
            <w:pPr>
              <w:pStyle w:val="TablebodyleftFinancialsTables"/>
            </w:pPr>
            <w:r>
              <w:t>Sustainability Victoria</w:t>
            </w:r>
          </w:p>
        </w:tc>
        <w:tc>
          <w:tcPr>
            <w:tcW w:w="1559" w:type="dxa"/>
          </w:tcPr>
          <w:p w14:paraId="2B8D8DDB" w14:textId="77777777" w:rsidR="00B02873" w:rsidRDefault="00B02873" w:rsidP="00E532ED">
            <w:pPr>
              <w:pStyle w:val="TablebodyleftFinancialsTables"/>
              <w:jc w:val="right"/>
            </w:pPr>
            <w:r>
              <w:t>58,267,916</w:t>
            </w:r>
          </w:p>
        </w:tc>
      </w:tr>
      <w:tr w:rsidR="00B02873" w:rsidRPr="00B02873" w14:paraId="0BEF4EAF" w14:textId="77777777" w:rsidTr="00E532ED">
        <w:trPr>
          <w:trHeight w:val="60"/>
        </w:trPr>
        <w:tc>
          <w:tcPr>
            <w:tcW w:w="5382" w:type="dxa"/>
          </w:tcPr>
          <w:p w14:paraId="27497AA0" w14:textId="77777777" w:rsidR="00B02873" w:rsidRDefault="00B02873" w:rsidP="00E532ED">
            <w:pPr>
              <w:pStyle w:val="TablebodyleftFinancialsTables"/>
            </w:pPr>
            <w:r>
              <w:t>Parks Victoria</w:t>
            </w:r>
          </w:p>
        </w:tc>
        <w:tc>
          <w:tcPr>
            <w:tcW w:w="1559" w:type="dxa"/>
          </w:tcPr>
          <w:p w14:paraId="48F2212B" w14:textId="77777777" w:rsidR="00B02873" w:rsidRDefault="00B02873" w:rsidP="00E532ED">
            <w:pPr>
              <w:pStyle w:val="TablebodyleftFinancialsTables"/>
              <w:jc w:val="right"/>
            </w:pPr>
            <w:r>
              <w:t>20,194,691</w:t>
            </w:r>
          </w:p>
        </w:tc>
      </w:tr>
      <w:tr w:rsidR="00B02873" w:rsidRPr="00B02873" w14:paraId="5575D6BC" w14:textId="77777777" w:rsidTr="00E532ED">
        <w:trPr>
          <w:trHeight w:val="60"/>
        </w:trPr>
        <w:tc>
          <w:tcPr>
            <w:tcW w:w="5382" w:type="dxa"/>
          </w:tcPr>
          <w:p w14:paraId="76AA3DCD" w14:textId="77777777" w:rsidR="00B02873" w:rsidRDefault="00B02873" w:rsidP="00E532ED">
            <w:pPr>
              <w:pStyle w:val="TablebodyleftFinancialsTables"/>
            </w:pPr>
            <w:r>
              <w:t>Metropolitan Waste and Resource Recovery Group</w:t>
            </w:r>
          </w:p>
        </w:tc>
        <w:tc>
          <w:tcPr>
            <w:tcW w:w="1559" w:type="dxa"/>
          </w:tcPr>
          <w:p w14:paraId="7C11E472" w14:textId="77777777" w:rsidR="00B02873" w:rsidRDefault="00B02873" w:rsidP="00E532ED">
            <w:pPr>
              <w:pStyle w:val="TablebodyleftFinancialsTables"/>
              <w:jc w:val="right"/>
            </w:pPr>
            <w:r>
              <w:t>9,867,670</w:t>
            </w:r>
          </w:p>
        </w:tc>
      </w:tr>
      <w:tr w:rsidR="00B02873" w:rsidRPr="00B02873" w14:paraId="445FB27B" w14:textId="77777777" w:rsidTr="00E532ED">
        <w:trPr>
          <w:trHeight w:val="60"/>
        </w:trPr>
        <w:tc>
          <w:tcPr>
            <w:tcW w:w="5382" w:type="dxa"/>
          </w:tcPr>
          <w:p w14:paraId="24BBC4BD" w14:textId="77777777" w:rsidR="00B02873" w:rsidRDefault="00B02873" w:rsidP="00E532ED">
            <w:pPr>
              <w:pStyle w:val="TablebodyleftFinancialsTables"/>
            </w:pPr>
            <w:r>
              <w:t>Department of Jobs Precincts and Regions (Victoria)</w:t>
            </w:r>
          </w:p>
        </w:tc>
        <w:tc>
          <w:tcPr>
            <w:tcW w:w="1559" w:type="dxa"/>
          </w:tcPr>
          <w:p w14:paraId="5277435A" w14:textId="77777777" w:rsidR="00B02873" w:rsidRDefault="00B02873" w:rsidP="00E532ED">
            <w:pPr>
              <w:pStyle w:val="TablebodyleftFinancialsTables"/>
              <w:jc w:val="right"/>
            </w:pPr>
            <w:r>
              <w:t>5,000,000</w:t>
            </w:r>
          </w:p>
        </w:tc>
      </w:tr>
      <w:tr w:rsidR="00B02873" w:rsidRPr="00B02873" w14:paraId="393654A9" w14:textId="77777777" w:rsidTr="00E532ED">
        <w:trPr>
          <w:trHeight w:val="60"/>
        </w:trPr>
        <w:tc>
          <w:tcPr>
            <w:tcW w:w="5382" w:type="dxa"/>
          </w:tcPr>
          <w:p w14:paraId="264EE9E8" w14:textId="77777777" w:rsidR="00B02873" w:rsidRDefault="00B02873" w:rsidP="00E532ED">
            <w:pPr>
              <w:pStyle w:val="TablebodyleftFinancialsTables"/>
            </w:pPr>
            <w:r>
              <w:t>Commissioner for Environmental Sustainability</w:t>
            </w:r>
          </w:p>
        </w:tc>
        <w:tc>
          <w:tcPr>
            <w:tcW w:w="1559" w:type="dxa"/>
          </w:tcPr>
          <w:p w14:paraId="3C703F39" w14:textId="77777777" w:rsidR="00B02873" w:rsidRDefault="00B02873" w:rsidP="00E532ED">
            <w:pPr>
              <w:pStyle w:val="TablebodyleftFinancialsTables"/>
              <w:jc w:val="right"/>
            </w:pPr>
            <w:r>
              <w:t>1,872,884</w:t>
            </w:r>
          </w:p>
        </w:tc>
      </w:tr>
      <w:tr w:rsidR="00B02873" w:rsidRPr="00B02873" w14:paraId="25B0D4D2" w14:textId="77777777" w:rsidTr="00E532ED">
        <w:trPr>
          <w:trHeight w:val="60"/>
        </w:trPr>
        <w:tc>
          <w:tcPr>
            <w:tcW w:w="5382" w:type="dxa"/>
          </w:tcPr>
          <w:p w14:paraId="745AA0E5" w14:textId="77777777" w:rsidR="00B02873" w:rsidRDefault="00B02873" w:rsidP="00E532ED">
            <w:pPr>
              <w:pStyle w:val="TablebodyleftFinancialsTables"/>
            </w:pPr>
            <w:r>
              <w:t>Grampians Central West Waste and Resource Recovery Group</w:t>
            </w:r>
          </w:p>
        </w:tc>
        <w:tc>
          <w:tcPr>
            <w:tcW w:w="1559" w:type="dxa"/>
          </w:tcPr>
          <w:p w14:paraId="53DB78A9" w14:textId="77777777" w:rsidR="00B02873" w:rsidRDefault="00B02873" w:rsidP="00E532ED">
            <w:pPr>
              <w:pStyle w:val="TablebodyleftFinancialsTables"/>
              <w:jc w:val="right"/>
            </w:pPr>
            <w:r>
              <w:t>1,212,094</w:t>
            </w:r>
          </w:p>
        </w:tc>
      </w:tr>
      <w:tr w:rsidR="00B02873" w:rsidRPr="00B02873" w14:paraId="3B2D1FF3" w14:textId="77777777" w:rsidTr="00E532ED">
        <w:trPr>
          <w:trHeight w:val="60"/>
        </w:trPr>
        <w:tc>
          <w:tcPr>
            <w:tcW w:w="5382" w:type="dxa"/>
          </w:tcPr>
          <w:p w14:paraId="0BE14593" w14:textId="77777777" w:rsidR="00B02873" w:rsidRDefault="00B02873" w:rsidP="00E532ED">
            <w:pPr>
              <w:pStyle w:val="TablebodyleftFinancialsTables"/>
            </w:pPr>
            <w:r>
              <w:t>Loddon Mallee Waste and Resource Recovery Group</w:t>
            </w:r>
          </w:p>
        </w:tc>
        <w:tc>
          <w:tcPr>
            <w:tcW w:w="1559" w:type="dxa"/>
          </w:tcPr>
          <w:p w14:paraId="5C36BE3D" w14:textId="77777777" w:rsidR="00B02873" w:rsidRDefault="00B02873" w:rsidP="00E532ED">
            <w:pPr>
              <w:pStyle w:val="TablebodyleftFinancialsTables"/>
              <w:jc w:val="right"/>
            </w:pPr>
            <w:r>
              <w:t>1,149,185</w:t>
            </w:r>
          </w:p>
        </w:tc>
      </w:tr>
      <w:tr w:rsidR="00B02873" w:rsidRPr="00B02873" w14:paraId="435F2B3B" w14:textId="77777777" w:rsidTr="00E532ED">
        <w:trPr>
          <w:trHeight w:val="60"/>
        </w:trPr>
        <w:tc>
          <w:tcPr>
            <w:tcW w:w="5382" w:type="dxa"/>
          </w:tcPr>
          <w:p w14:paraId="4D2F756F" w14:textId="77777777" w:rsidR="00B02873" w:rsidRDefault="00B02873" w:rsidP="00E532ED">
            <w:pPr>
              <w:pStyle w:val="TablebodyleftFinancialsTables"/>
            </w:pPr>
            <w:r>
              <w:t>Department of Transport (Victoria)</w:t>
            </w:r>
          </w:p>
        </w:tc>
        <w:tc>
          <w:tcPr>
            <w:tcW w:w="1559" w:type="dxa"/>
          </w:tcPr>
          <w:p w14:paraId="30B8FA18" w14:textId="77777777" w:rsidR="00B02873" w:rsidRDefault="00B02873" w:rsidP="00E532ED">
            <w:pPr>
              <w:pStyle w:val="TablebodyleftFinancialsTables"/>
              <w:jc w:val="right"/>
            </w:pPr>
            <w:r>
              <w:t>1,127,000</w:t>
            </w:r>
          </w:p>
        </w:tc>
      </w:tr>
      <w:tr w:rsidR="00B02873" w:rsidRPr="00B02873" w14:paraId="6FB465DB" w14:textId="77777777" w:rsidTr="00E532ED">
        <w:trPr>
          <w:trHeight w:val="60"/>
        </w:trPr>
        <w:tc>
          <w:tcPr>
            <w:tcW w:w="5382" w:type="dxa"/>
          </w:tcPr>
          <w:p w14:paraId="350A5F56" w14:textId="77777777" w:rsidR="00B02873" w:rsidRDefault="00B02873" w:rsidP="00E532ED">
            <w:pPr>
              <w:pStyle w:val="TablebodyleftFinancialsTables"/>
            </w:pPr>
            <w:r>
              <w:t>Barwon South West Waste and Resource Recovery Group</w:t>
            </w:r>
          </w:p>
        </w:tc>
        <w:tc>
          <w:tcPr>
            <w:tcW w:w="1559" w:type="dxa"/>
          </w:tcPr>
          <w:p w14:paraId="69F8251B" w14:textId="77777777" w:rsidR="00B02873" w:rsidRDefault="00B02873" w:rsidP="00E532ED">
            <w:pPr>
              <w:pStyle w:val="TablebodyleftFinancialsTables"/>
              <w:jc w:val="right"/>
            </w:pPr>
            <w:r>
              <w:t>933,128</w:t>
            </w:r>
          </w:p>
        </w:tc>
      </w:tr>
      <w:tr w:rsidR="00B02873" w:rsidRPr="00B02873" w14:paraId="38BD15F3" w14:textId="77777777" w:rsidTr="00E532ED">
        <w:trPr>
          <w:trHeight w:val="60"/>
        </w:trPr>
        <w:tc>
          <w:tcPr>
            <w:tcW w:w="5382" w:type="dxa"/>
          </w:tcPr>
          <w:p w14:paraId="76B475B8" w14:textId="77777777" w:rsidR="00B02873" w:rsidRDefault="00B02873" w:rsidP="00E532ED">
            <w:pPr>
              <w:pStyle w:val="TablebodyleftFinancialsTables"/>
            </w:pPr>
            <w:r>
              <w:t>Gippsland Waste and Resource Recovery Group</w:t>
            </w:r>
          </w:p>
        </w:tc>
        <w:tc>
          <w:tcPr>
            <w:tcW w:w="1559" w:type="dxa"/>
          </w:tcPr>
          <w:p w14:paraId="04151B18" w14:textId="77777777" w:rsidR="00B02873" w:rsidRDefault="00B02873" w:rsidP="00E532ED">
            <w:pPr>
              <w:pStyle w:val="TablebodyleftFinancialsTables"/>
              <w:jc w:val="right"/>
            </w:pPr>
            <w:r>
              <w:t>892,322</w:t>
            </w:r>
          </w:p>
        </w:tc>
      </w:tr>
      <w:tr w:rsidR="00B02873" w:rsidRPr="00B02873" w14:paraId="0A75E563" w14:textId="77777777" w:rsidTr="00E532ED">
        <w:trPr>
          <w:trHeight w:val="60"/>
        </w:trPr>
        <w:tc>
          <w:tcPr>
            <w:tcW w:w="5382" w:type="dxa"/>
          </w:tcPr>
          <w:p w14:paraId="48FFE7E3" w14:textId="77777777" w:rsidR="00B02873" w:rsidRDefault="00B02873" w:rsidP="00E532ED">
            <w:pPr>
              <w:pStyle w:val="TablebodyleftFinancialsTables"/>
            </w:pPr>
            <w:r>
              <w:t>Goulburn Valley Waste and Resource Recovery Group</w:t>
            </w:r>
          </w:p>
        </w:tc>
        <w:tc>
          <w:tcPr>
            <w:tcW w:w="1559" w:type="dxa"/>
          </w:tcPr>
          <w:p w14:paraId="1C6FDCCA" w14:textId="77777777" w:rsidR="00B02873" w:rsidRDefault="00B02873" w:rsidP="00E532ED">
            <w:pPr>
              <w:pStyle w:val="TablebodyleftFinancialsTables"/>
              <w:jc w:val="right"/>
            </w:pPr>
            <w:r>
              <w:t>761,665</w:t>
            </w:r>
          </w:p>
        </w:tc>
      </w:tr>
      <w:tr w:rsidR="00B02873" w:rsidRPr="00B02873" w14:paraId="2DB0C551" w14:textId="77777777" w:rsidTr="00E532ED">
        <w:trPr>
          <w:trHeight w:val="60"/>
        </w:trPr>
        <w:tc>
          <w:tcPr>
            <w:tcW w:w="5382" w:type="dxa"/>
          </w:tcPr>
          <w:p w14:paraId="67EDBCB0" w14:textId="77777777" w:rsidR="00B02873" w:rsidRDefault="00B02873" w:rsidP="00E532ED">
            <w:pPr>
              <w:pStyle w:val="TablebodyleftFinancialsTables"/>
            </w:pPr>
            <w:r>
              <w:t>North East Waste and Resource Recovery Group</w:t>
            </w:r>
          </w:p>
        </w:tc>
        <w:tc>
          <w:tcPr>
            <w:tcW w:w="1559" w:type="dxa"/>
          </w:tcPr>
          <w:p w14:paraId="266C8ED8" w14:textId="77777777" w:rsidR="00B02873" w:rsidRDefault="00B02873" w:rsidP="00E532ED">
            <w:pPr>
              <w:pStyle w:val="TablebodyleftFinancialsTables"/>
              <w:jc w:val="right"/>
            </w:pPr>
            <w:r>
              <w:t>744,512</w:t>
            </w:r>
          </w:p>
        </w:tc>
      </w:tr>
      <w:tr w:rsidR="00B02873" w:rsidRPr="00B02873" w14:paraId="0F2662E4" w14:textId="77777777" w:rsidTr="00E532ED">
        <w:trPr>
          <w:trHeight w:val="60"/>
        </w:trPr>
        <w:tc>
          <w:tcPr>
            <w:tcW w:w="5382" w:type="dxa"/>
          </w:tcPr>
          <w:p w14:paraId="718E8DE3" w14:textId="77777777" w:rsidR="00B02873" w:rsidRDefault="00B02873" w:rsidP="00E532ED">
            <w:pPr>
              <w:pStyle w:val="TablebodyleftFinancialsTables"/>
            </w:pPr>
            <w:r>
              <w:t>Trust for Nature Victoria</w:t>
            </w:r>
          </w:p>
        </w:tc>
        <w:tc>
          <w:tcPr>
            <w:tcW w:w="1559" w:type="dxa"/>
          </w:tcPr>
          <w:p w14:paraId="04E63907" w14:textId="77777777" w:rsidR="00B02873" w:rsidRDefault="00B02873" w:rsidP="00E532ED">
            <w:pPr>
              <w:pStyle w:val="TablebodyleftFinancialsTables"/>
              <w:jc w:val="right"/>
            </w:pPr>
            <w:r>
              <w:t>314,333</w:t>
            </w:r>
          </w:p>
        </w:tc>
      </w:tr>
      <w:tr w:rsidR="00B02873" w:rsidRPr="00B02873" w14:paraId="3E549BA1" w14:textId="77777777" w:rsidTr="00E532ED">
        <w:trPr>
          <w:trHeight w:val="60"/>
        </w:trPr>
        <w:tc>
          <w:tcPr>
            <w:tcW w:w="5382" w:type="dxa"/>
          </w:tcPr>
          <w:p w14:paraId="4EAC71C9" w14:textId="77777777" w:rsidR="00B02873" w:rsidRDefault="00B02873" w:rsidP="00E532ED">
            <w:pPr>
              <w:pStyle w:val="TablebodyleftFinancialsTables"/>
            </w:pPr>
            <w:r>
              <w:t>University of Melbourne</w:t>
            </w:r>
          </w:p>
        </w:tc>
        <w:tc>
          <w:tcPr>
            <w:tcW w:w="1559" w:type="dxa"/>
          </w:tcPr>
          <w:p w14:paraId="48960542" w14:textId="77777777" w:rsidR="00B02873" w:rsidRDefault="00B02873" w:rsidP="00E532ED">
            <w:pPr>
              <w:pStyle w:val="TablebodyleftFinancialsTables"/>
              <w:jc w:val="right"/>
            </w:pPr>
            <w:r>
              <w:t>59,800</w:t>
            </w:r>
          </w:p>
        </w:tc>
      </w:tr>
      <w:tr w:rsidR="00B02873" w:rsidRPr="00E532ED" w14:paraId="53A3E05B" w14:textId="77777777" w:rsidTr="00E532ED">
        <w:trPr>
          <w:trHeight w:val="60"/>
        </w:trPr>
        <w:tc>
          <w:tcPr>
            <w:tcW w:w="5382" w:type="dxa"/>
          </w:tcPr>
          <w:p w14:paraId="4EE3437B" w14:textId="77777777" w:rsidR="00B02873" w:rsidRPr="00E532ED" w:rsidRDefault="00B02873" w:rsidP="00E532ED">
            <w:pPr>
              <w:pStyle w:val="TablebodyleftFinancialsTables"/>
              <w:rPr>
                <w:b/>
                <w:bCs/>
              </w:rPr>
            </w:pPr>
            <w:r w:rsidRPr="00E532ED">
              <w:rPr>
                <w:b/>
                <w:bCs/>
              </w:rPr>
              <w:t>Total</w:t>
            </w:r>
          </w:p>
        </w:tc>
        <w:tc>
          <w:tcPr>
            <w:tcW w:w="1559" w:type="dxa"/>
          </w:tcPr>
          <w:p w14:paraId="7FA0B745" w14:textId="77777777" w:rsidR="00B02873" w:rsidRPr="00E532ED" w:rsidRDefault="00B02873" w:rsidP="00E532ED">
            <w:pPr>
              <w:pStyle w:val="TablebodyleftFinancialsTables"/>
              <w:jc w:val="right"/>
              <w:rPr>
                <w:b/>
                <w:bCs/>
              </w:rPr>
            </w:pPr>
            <w:r w:rsidRPr="00E532ED">
              <w:rPr>
                <w:b/>
                <w:bCs/>
              </w:rPr>
              <w:t>$222,925,901</w:t>
            </w:r>
          </w:p>
        </w:tc>
      </w:tr>
    </w:tbl>
    <w:p w14:paraId="50E2DA80" w14:textId="77777777" w:rsidR="00B02873" w:rsidRDefault="00B02873" w:rsidP="00FE198A"/>
    <w:p w14:paraId="59D68EF5" w14:textId="77777777" w:rsidR="00B02873" w:rsidRDefault="00B02873" w:rsidP="00E532ED">
      <w:pPr>
        <w:pStyle w:val="TabletitleTables"/>
      </w:pPr>
      <w:r>
        <w:t>Table 6. Waste and Recycling</w:t>
      </w:r>
    </w:p>
    <w:tbl>
      <w:tblPr>
        <w:tblStyle w:val="TableGrid"/>
        <w:tblW w:w="0" w:type="auto"/>
        <w:tblLayout w:type="fixed"/>
        <w:tblLook w:val="0020" w:firstRow="1" w:lastRow="0" w:firstColumn="0" w:lastColumn="0" w:noHBand="0" w:noVBand="0"/>
      </w:tblPr>
      <w:tblGrid>
        <w:gridCol w:w="5382"/>
        <w:gridCol w:w="1559"/>
      </w:tblGrid>
      <w:tr w:rsidR="00B02873" w:rsidRPr="00B02873" w14:paraId="572700ED" w14:textId="77777777" w:rsidTr="00E532ED">
        <w:trPr>
          <w:cnfStyle w:val="100000000000" w:firstRow="1" w:lastRow="0" w:firstColumn="0" w:lastColumn="0" w:oddVBand="0" w:evenVBand="0" w:oddHBand="0" w:evenHBand="0" w:firstRowFirstColumn="0" w:firstRowLastColumn="0" w:lastRowFirstColumn="0" w:lastRowLastColumn="0"/>
          <w:tblHeader/>
        </w:trPr>
        <w:tc>
          <w:tcPr>
            <w:tcW w:w="5382" w:type="dxa"/>
          </w:tcPr>
          <w:p w14:paraId="1737359B" w14:textId="77777777" w:rsidR="00B02873" w:rsidRDefault="00B02873" w:rsidP="00E532ED">
            <w:pPr>
              <w:pStyle w:val="TableheadingleftFinancialsTables"/>
            </w:pPr>
            <w:r>
              <w:t xml:space="preserve">Grant recipient </w:t>
            </w:r>
          </w:p>
        </w:tc>
        <w:tc>
          <w:tcPr>
            <w:tcW w:w="1559" w:type="dxa"/>
          </w:tcPr>
          <w:p w14:paraId="3C1044AA" w14:textId="77777777" w:rsidR="00B02873" w:rsidRDefault="00B02873" w:rsidP="00E532ED">
            <w:pPr>
              <w:pStyle w:val="TableheadingleftFinancialsTables"/>
              <w:jc w:val="right"/>
            </w:pPr>
            <w:r>
              <w:t>$</w:t>
            </w:r>
          </w:p>
        </w:tc>
      </w:tr>
      <w:tr w:rsidR="00B02873" w:rsidRPr="00B02873" w14:paraId="5173078B" w14:textId="77777777" w:rsidTr="00E532ED">
        <w:tc>
          <w:tcPr>
            <w:tcW w:w="5382" w:type="dxa"/>
          </w:tcPr>
          <w:p w14:paraId="0E5B75C4" w14:textId="77777777" w:rsidR="00B02873" w:rsidRDefault="00B02873" w:rsidP="00E532ED">
            <w:pPr>
              <w:pStyle w:val="TablebodyleftFinancialsTables"/>
            </w:pPr>
            <w:r>
              <w:t>Environment Protection Authority</w:t>
            </w:r>
          </w:p>
        </w:tc>
        <w:tc>
          <w:tcPr>
            <w:tcW w:w="1559" w:type="dxa"/>
          </w:tcPr>
          <w:p w14:paraId="65C1A8BB" w14:textId="77777777" w:rsidR="00B02873" w:rsidRDefault="00B02873" w:rsidP="00E532ED">
            <w:pPr>
              <w:pStyle w:val="TablebodyleftFinancialsTables"/>
              <w:jc w:val="right"/>
            </w:pPr>
            <w:r>
              <w:t>14,180,250</w:t>
            </w:r>
          </w:p>
        </w:tc>
      </w:tr>
      <w:tr w:rsidR="00B02873" w:rsidRPr="00B02873" w14:paraId="79154870" w14:textId="77777777" w:rsidTr="00E532ED">
        <w:tc>
          <w:tcPr>
            <w:tcW w:w="5382" w:type="dxa"/>
          </w:tcPr>
          <w:p w14:paraId="44F531C4" w14:textId="77777777" w:rsidR="00B02873" w:rsidRDefault="00B02873" w:rsidP="00E532ED">
            <w:pPr>
              <w:pStyle w:val="TablebodyleftFinancialsTables"/>
            </w:pPr>
            <w:r>
              <w:t>Nacro National Association of Charitable Recycling Organisations Inc</w:t>
            </w:r>
          </w:p>
        </w:tc>
        <w:tc>
          <w:tcPr>
            <w:tcW w:w="1559" w:type="dxa"/>
          </w:tcPr>
          <w:p w14:paraId="0D8316FB" w14:textId="77777777" w:rsidR="00B02873" w:rsidRDefault="00B02873" w:rsidP="00E532ED">
            <w:pPr>
              <w:pStyle w:val="TablebodyleftFinancialsTables"/>
              <w:jc w:val="right"/>
            </w:pPr>
            <w:r>
              <w:t>1,285,000</w:t>
            </w:r>
          </w:p>
        </w:tc>
      </w:tr>
      <w:tr w:rsidR="00B02873" w:rsidRPr="00B02873" w14:paraId="089BABF2" w14:textId="77777777" w:rsidTr="00E532ED">
        <w:tc>
          <w:tcPr>
            <w:tcW w:w="5382" w:type="dxa"/>
          </w:tcPr>
          <w:p w14:paraId="4088E5CD" w14:textId="77777777" w:rsidR="00B02873" w:rsidRDefault="00B02873" w:rsidP="00E532ED">
            <w:pPr>
              <w:pStyle w:val="TablebodyleftFinancialsTables"/>
            </w:pPr>
            <w:r>
              <w:t>Ade Consulting Group (Vic) Pty Ltd</w:t>
            </w:r>
          </w:p>
        </w:tc>
        <w:tc>
          <w:tcPr>
            <w:tcW w:w="1559" w:type="dxa"/>
          </w:tcPr>
          <w:p w14:paraId="5EE4BFB7" w14:textId="77777777" w:rsidR="00B02873" w:rsidRDefault="00B02873" w:rsidP="00E532ED">
            <w:pPr>
              <w:pStyle w:val="TablebodyleftFinancialsTables"/>
              <w:jc w:val="right"/>
            </w:pPr>
            <w:r>
              <w:t>653,785</w:t>
            </w:r>
          </w:p>
        </w:tc>
      </w:tr>
      <w:tr w:rsidR="00B02873" w:rsidRPr="00B02873" w14:paraId="7784914C" w14:textId="77777777" w:rsidTr="00E532ED">
        <w:tc>
          <w:tcPr>
            <w:tcW w:w="5382" w:type="dxa"/>
          </w:tcPr>
          <w:p w14:paraId="57201BEF" w14:textId="77777777" w:rsidR="00B02873" w:rsidRDefault="00B02873" w:rsidP="00E532ED">
            <w:pPr>
              <w:pStyle w:val="TablebodyleftFinancialsTables"/>
            </w:pPr>
            <w:r>
              <w:t>Enviropacific Services Limited</w:t>
            </w:r>
          </w:p>
        </w:tc>
        <w:tc>
          <w:tcPr>
            <w:tcW w:w="1559" w:type="dxa"/>
          </w:tcPr>
          <w:p w14:paraId="05DC826F" w14:textId="77777777" w:rsidR="00B02873" w:rsidRDefault="00B02873" w:rsidP="00E532ED">
            <w:pPr>
              <w:pStyle w:val="TablebodyleftFinancialsTables"/>
              <w:jc w:val="right"/>
            </w:pPr>
            <w:r>
              <w:t>500,000</w:t>
            </w:r>
          </w:p>
        </w:tc>
      </w:tr>
      <w:tr w:rsidR="00B02873" w:rsidRPr="00B02873" w14:paraId="200F3667" w14:textId="77777777" w:rsidTr="00E532ED">
        <w:tc>
          <w:tcPr>
            <w:tcW w:w="5382" w:type="dxa"/>
          </w:tcPr>
          <w:p w14:paraId="33C6FA8F" w14:textId="77777777" w:rsidR="00B02873" w:rsidRDefault="00B02873" w:rsidP="00E532ED">
            <w:pPr>
              <w:pStyle w:val="TablebodyleftFinancialsTables"/>
            </w:pPr>
            <w:r>
              <w:t>City of Greater Dandenong</w:t>
            </w:r>
          </w:p>
        </w:tc>
        <w:tc>
          <w:tcPr>
            <w:tcW w:w="1559" w:type="dxa"/>
          </w:tcPr>
          <w:p w14:paraId="738713CB" w14:textId="77777777" w:rsidR="00B02873" w:rsidRDefault="00B02873" w:rsidP="00E532ED">
            <w:pPr>
              <w:pStyle w:val="TablebodyleftFinancialsTables"/>
              <w:jc w:val="right"/>
            </w:pPr>
            <w:r>
              <w:t>485,405</w:t>
            </w:r>
          </w:p>
        </w:tc>
      </w:tr>
      <w:tr w:rsidR="00B02873" w:rsidRPr="00B02873" w14:paraId="258A28E1" w14:textId="77777777" w:rsidTr="00E532ED">
        <w:tc>
          <w:tcPr>
            <w:tcW w:w="5382" w:type="dxa"/>
          </w:tcPr>
          <w:p w14:paraId="02A6D760" w14:textId="77777777" w:rsidR="00B02873" w:rsidRDefault="00B02873" w:rsidP="00E532ED">
            <w:pPr>
              <w:pStyle w:val="TablebodyleftFinancialsTables"/>
            </w:pPr>
            <w:r>
              <w:t>Bass Coast Shire Council</w:t>
            </w:r>
          </w:p>
        </w:tc>
        <w:tc>
          <w:tcPr>
            <w:tcW w:w="1559" w:type="dxa"/>
          </w:tcPr>
          <w:p w14:paraId="55A13C11" w14:textId="77777777" w:rsidR="00B02873" w:rsidRDefault="00B02873" w:rsidP="00E532ED">
            <w:pPr>
              <w:pStyle w:val="TablebodyleftFinancialsTables"/>
              <w:jc w:val="right"/>
            </w:pPr>
            <w:r>
              <w:t>451,794</w:t>
            </w:r>
          </w:p>
        </w:tc>
      </w:tr>
      <w:tr w:rsidR="00B02873" w:rsidRPr="00B02873" w14:paraId="1E521960" w14:textId="77777777" w:rsidTr="00E532ED">
        <w:tc>
          <w:tcPr>
            <w:tcW w:w="5382" w:type="dxa"/>
          </w:tcPr>
          <w:p w14:paraId="404EFBE8" w14:textId="77777777" w:rsidR="00B02873" w:rsidRDefault="00B02873" w:rsidP="00E532ED">
            <w:pPr>
              <w:pStyle w:val="TablebodyleftFinancialsTables"/>
            </w:pPr>
            <w:r>
              <w:t>Hume City Council</w:t>
            </w:r>
          </w:p>
        </w:tc>
        <w:tc>
          <w:tcPr>
            <w:tcW w:w="1559" w:type="dxa"/>
          </w:tcPr>
          <w:p w14:paraId="3122C7A7" w14:textId="77777777" w:rsidR="00B02873" w:rsidRDefault="00B02873" w:rsidP="00E532ED">
            <w:pPr>
              <w:pStyle w:val="TablebodyleftFinancialsTables"/>
              <w:jc w:val="right"/>
            </w:pPr>
            <w:r>
              <w:t>419,360</w:t>
            </w:r>
          </w:p>
        </w:tc>
      </w:tr>
      <w:tr w:rsidR="00B02873" w:rsidRPr="00B02873" w14:paraId="75C7D411" w14:textId="77777777" w:rsidTr="00E532ED">
        <w:tc>
          <w:tcPr>
            <w:tcW w:w="5382" w:type="dxa"/>
          </w:tcPr>
          <w:p w14:paraId="4EA44B32" w14:textId="77777777" w:rsidR="00B02873" w:rsidRDefault="00B02873" w:rsidP="00E532ED">
            <w:pPr>
              <w:pStyle w:val="TablebodyleftFinancialsTables"/>
            </w:pPr>
            <w:r>
              <w:t>City of Greater Geelong</w:t>
            </w:r>
          </w:p>
        </w:tc>
        <w:tc>
          <w:tcPr>
            <w:tcW w:w="1559" w:type="dxa"/>
          </w:tcPr>
          <w:p w14:paraId="0FE59668" w14:textId="77777777" w:rsidR="00B02873" w:rsidRDefault="00B02873" w:rsidP="00E532ED">
            <w:pPr>
              <w:pStyle w:val="TablebodyleftFinancialsTables"/>
              <w:jc w:val="right"/>
            </w:pPr>
            <w:r>
              <w:t>343,313</w:t>
            </w:r>
          </w:p>
        </w:tc>
      </w:tr>
      <w:tr w:rsidR="00B02873" w:rsidRPr="00B02873" w14:paraId="3E22226F" w14:textId="77777777" w:rsidTr="00E532ED">
        <w:tc>
          <w:tcPr>
            <w:tcW w:w="5382" w:type="dxa"/>
          </w:tcPr>
          <w:p w14:paraId="0E1F8A89" w14:textId="77777777" w:rsidR="00B02873" w:rsidRDefault="00B02873" w:rsidP="00E532ED">
            <w:pPr>
              <w:pStyle w:val="TablebodyleftFinancialsTables"/>
            </w:pPr>
            <w:r>
              <w:t>City of Maribyrnong</w:t>
            </w:r>
          </w:p>
        </w:tc>
        <w:tc>
          <w:tcPr>
            <w:tcW w:w="1559" w:type="dxa"/>
          </w:tcPr>
          <w:p w14:paraId="6B127512" w14:textId="77777777" w:rsidR="00B02873" w:rsidRDefault="00B02873" w:rsidP="00E532ED">
            <w:pPr>
              <w:pStyle w:val="TablebodyleftFinancialsTables"/>
              <w:jc w:val="right"/>
            </w:pPr>
            <w:r>
              <w:t>327,689</w:t>
            </w:r>
          </w:p>
        </w:tc>
      </w:tr>
      <w:tr w:rsidR="00B02873" w:rsidRPr="00B02873" w14:paraId="59024F79" w14:textId="77777777" w:rsidTr="00E532ED">
        <w:tc>
          <w:tcPr>
            <w:tcW w:w="5382" w:type="dxa"/>
          </w:tcPr>
          <w:p w14:paraId="3E8FCF92" w14:textId="77777777" w:rsidR="00B02873" w:rsidRDefault="00B02873" w:rsidP="00E532ED">
            <w:pPr>
              <w:pStyle w:val="TablebodyleftFinancialsTables"/>
            </w:pPr>
            <w:r>
              <w:lastRenderedPageBreak/>
              <w:t>Cardinia Shire Council</w:t>
            </w:r>
          </w:p>
        </w:tc>
        <w:tc>
          <w:tcPr>
            <w:tcW w:w="1559" w:type="dxa"/>
          </w:tcPr>
          <w:p w14:paraId="2E1AE650" w14:textId="77777777" w:rsidR="00B02873" w:rsidRDefault="00B02873" w:rsidP="00E532ED">
            <w:pPr>
              <w:pStyle w:val="TablebodyleftFinancialsTables"/>
              <w:jc w:val="right"/>
            </w:pPr>
            <w:r>
              <w:t>310,470</w:t>
            </w:r>
          </w:p>
        </w:tc>
      </w:tr>
      <w:tr w:rsidR="00B02873" w:rsidRPr="00B02873" w14:paraId="4131121F" w14:textId="77777777" w:rsidTr="00E532ED">
        <w:tc>
          <w:tcPr>
            <w:tcW w:w="5382" w:type="dxa"/>
          </w:tcPr>
          <w:p w14:paraId="48AFA894" w14:textId="77777777" w:rsidR="00B02873" w:rsidRDefault="00B02873" w:rsidP="00E532ED">
            <w:pPr>
              <w:pStyle w:val="TablebodyleftFinancialsTables"/>
            </w:pPr>
            <w:r>
              <w:t>Darebin City Council</w:t>
            </w:r>
          </w:p>
        </w:tc>
        <w:tc>
          <w:tcPr>
            <w:tcW w:w="1559" w:type="dxa"/>
          </w:tcPr>
          <w:p w14:paraId="15E30485" w14:textId="77777777" w:rsidR="00B02873" w:rsidRDefault="00B02873" w:rsidP="00E532ED">
            <w:pPr>
              <w:pStyle w:val="TablebodyleftFinancialsTables"/>
              <w:jc w:val="right"/>
            </w:pPr>
            <w:r>
              <w:t>306,789</w:t>
            </w:r>
          </w:p>
        </w:tc>
      </w:tr>
      <w:tr w:rsidR="00B02873" w:rsidRPr="00B02873" w14:paraId="4DDEE6A1" w14:textId="77777777" w:rsidTr="00E532ED">
        <w:tc>
          <w:tcPr>
            <w:tcW w:w="5382" w:type="dxa"/>
          </w:tcPr>
          <w:p w14:paraId="129104C2" w14:textId="77777777" w:rsidR="00B02873" w:rsidRDefault="00B02873" w:rsidP="00E532ED">
            <w:pPr>
              <w:pStyle w:val="TablebodyleftFinancialsTables"/>
            </w:pPr>
            <w:r>
              <w:t>Mount Alexander Shire Council</w:t>
            </w:r>
          </w:p>
        </w:tc>
        <w:tc>
          <w:tcPr>
            <w:tcW w:w="1559" w:type="dxa"/>
          </w:tcPr>
          <w:p w14:paraId="6070439E" w14:textId="77777777" w:rsidR="00B02873" w:rsidRDefault="00B02873" w:rsidP="00E532ED">
            <w:pPr>
              <w:pStyle w:val="TablebodyleftFinancialsTables"/>
              <w:jc w:val="right"/>
            </w:pPr>
            <w:r>
              <w:t>303,702</w:t>
            </w:r>
          </w:p>
        </w:tc>
      </w:tr>
      <w:tr w:rsidR="00B02873" w:rsidRPr="00B02873" w14:paraId="72D15193" w14:textId="77777777" w:rsidTr="00E532ED">
        <w:tc>
          <w:tcPr>
            <w:tcW w:w="5382" w:type="dxa"/>
          </w:tcPr>
          <w:p w14:paraId="7B428D58" w14:textId="77777777" w:rsidR="00B02873" w:rsidRDefault="00B02873" w:rsidP="00E532ED">
            <w:pPr>
              <w:pStyle w:val="TablebodyleftFinancialsTables"/>
            </w:pPr>
            <w:r>
              <w:t>Mornington Peninsula Shire Council</w:t>
            </w:r>
          </w:p>
        </w:tc>
        <w:tc>
          <w:tcPr>
            <w:tcW w:w="1559" w:type="dxa"/>
          </w:tcPr>
          <w:p w14:paraId="43356786" w14:textId="77777777" w:rsidR="00B02873" w:rsidRDefault="00B02873" w:rsidP="00E532ED">
            <w:pPr>
              <w:pStyle w:val="TablebodyleftFinancialsTables"/>
              <w:jc w:val="right"/>
            </w:pPr>
            <w:r>
              <w:t>299,674</w:t>
            </w:r>
          </w:p>
        </w:tc>
      </w:tr>
      <w:tr w:rsidR="00B02873" w:rsidRPr="00B02873" w14:paraId="4939ADB4" w14:textId="77777777" w:rsidTr="00E532ED">
        <w:tc>
          <w:tcPr>
            <w:tcW w:w="5382" w:type="dxa"/>
          </w:tcPr>
          <w:p w14:paraId="633362B2" w14:textId="77777777" w:rsidR="00B02873" w:rsidRDefault="00B02873" w:rsidP="00E532ED">
            <w:pPr>
              <w:pStyle w:val="TablebodyleftFinancialsTables"/>
            </w:pPr>
            <w:r>
              <w:t>City of Casey</w:t>
            </w:r>
          </w:p>
        </w:tc>
        <w:tc>
          <w:tcPr>
            <w:tcW w:w="1559" w:type="dxa"/>
          </w:tcPr>
          <w:p w14:paraId="455E2EE4" w14:textId="77777777" w:rsidR="00B02873" w:rsidRDefault="00B02873" w:rsidP="00E532ED">
            <w:pPr>
              <w:pStyle w:val="TablebodyleftFinancialsTables"/>
              <w:jc w:val="right"/>
            </w:pPr>
            <w:r>
              <w:t>263,517</w:t>
            </w:r>
          </w:p>
        </w:tc>
      </w:tr>
      <w:tr w:rsidR="00B02873" w:rsidRPr="00B02873" w14:paraId="028245DE" w14:textId="77777777" w:rsidTr="00E532ED">
        <w:tc>
          <w:tcPr>
            <w:tcW w:w="5382" w:type="dxa"/>
          </w:tcPr>
          <w:p w14:paraId="44C9BA2B" w14:textId="77777777" w:rsidR="00B02873" w:rsidRDefault="00B02873" w:rsidP="00E532ED">
            <w:pPr>
              <w:pStyle w:val="TablebodyleftFinancialsTables"/>
            </w:pPr>
            <w:r>
              <w:t>City of Melbourne</w:t>
            </w:r>
          </w:p>
        </w:tc>
        <w:tc>
          <w:tcPr>
            <w:tcW w:w="1559" w:type="dxa"/>
          </w:tcPr>
          <w:p w14:paraId="09F7CD0E" w14:textId="77777777" w:rsidR="00B02873" w:rsidRDefault="00B02873" w:rsidP="00E532ED">
            <w:pPr>
              <w:pStyle w:val="TablebodyleftFinancialsTables"/>
              <w:jc w:val="right"/>
            </w:pPr>
            <w:r>
              <w:t>231,862</w:t>
            </w:r>
          </w:p>
        </w:tc>
      </w:tr>
      <w:tr w:rsidR="00B02873" w:rsidRPr="00B02873" w14:paraId="4BF26F3A" w14:textId="77777777" w:rsidTr="00E532ED">
        <w:tc>
          <w:tcPr>
            <w:tcW w:w="5382" w:type="dxa"/>
          </w:tcPr>
          <w:p w14:paraId="5ABEF677" w14:textId="77777777" w:rsidR="00B02873" w:rsidRDefault="00B02873" w:rsidP="00E532ED">
            <w:pPr>
              <w:pStyle w:val="TablebodyleftFinancialsTables"/>
            </w:pPr>
            <w:r>
              <w:t>Monash City Council</w:t>
            </w:r>
          </w:p>
        </w:tc>
        <w:tc>
          <w:tcPr>
            <w:tcW w:w="1559" w:type="dxa"/>
          </w:tcPr>
          <w:p w14:paraId="6B022280" w14:textId="77777777" w:rsidR="00B02873" w:rsidRDefault="00B02873" w:rsidP="00E532ED">
            <w:pPr>
              <w:pStyle w:val="TablebodyleftFinancialsTables"/>
              <w:jc w:val="right"/>
            </w:pPr>
            <w:r>
              <w:t>214,696</w:t>
            </w:r>
          </w:p>
        </w:tc>
      </w:tr>
      <w:tr w:rsidR="00B02873" w:rsidRPr="00B02873" w14:paraId="75FE6C10" w14:textId="77777777" w:rsidTr="00E532ED">
        <w:tc>
          <w:tcPr>
            <w:tcW w:w="5382" w:type="dxa"/>
          </w:tcPr>
          <w:p w14:paraId="2EA1DF1C" w14:textId="77777777" w:rsidR="00B02873" w:rsidRDefault="00B02873" w:rsidP="00E532ED">
            <w:pPr>
              <w:pStyle w:val="TablebodyleftFinancialsTables"/>
            </w:pPr>
            <w:r>
              <w:t>City of Boroondara</w:t>
            </w:r>
          </w:p>
        </w:tc>
        <w:tc>
          <w:tcPr>
            <w:tcW w:w="1559" w:type="dxa"/>
          </w:tcPr>
          <w:p w14:paraId="12F90340" w14:textId="77777777" w:rsidR="00B02873" w:rsidRDefault="00B02873" w:rsidP="00E532ED">
            <w:pPr>
              <w:pStyle w:val="TablebodyleftFinancialsTables"/>
              <w:jc w:val="right"/>
            </w:pPr>
            <w:r>
              <w:t>212,089</w:t>
            </w:r>
          </w:p>
        </w:tc>
      </w:tr>
      <w:tr w:rsidR="00B02873" w:rsidRPr="00B02873" w14:paraId="6BEFB036" w14:textId="77777777" w:rsidTr="00E532ED">
        <w:tc>
          <w:tcPr>
            <w:tcW w:w="5382" w:type="dxa"/>
          </w:tcPr>
          <w:p w14:paraId="3C849C65" w14:textId="77777777" w:rsidR="00B02873" w:rsidRDefault="00B02873" w:rsidP="00E532ED">
            <w:pPr>
              <w:pStyle w:val="TablebodyleftFinancialsTables"/>
            </w:pPr>
            <w:r>
              <w:t>Wyndham City Council</w:t>
            </w:r>
          </w:p>
        </w:tc>
        <w:tc>
          <w:tcPr>
            <w:tcW w:w="1559" w:type="dxa"/>
          </w:tcPr>
          <w:p w14:paraId="4670AED3" w14:textId="77777777" w:rsidR="00B02873" w:rsidRDefault="00B02873" w:rsidP="00E532ED">
            <w:pPr>
              <w:pStyle w:val="TablebodyleftFinancialsTables"/>
              <w:jc w:val="right"/>
            </w:pPr>
            <w:r>
              <w:t>207,401</w:t>
            </w:r>
          </w:p>
        </w:tc>
      </w:tr>
      <w:tr w:rsidR="00B02873" w:rsidRPr="00B02873" w14:paraId="37E62899" w14:textId="77777777" w:rsidTr="00E532ED">
        <w:tc>
          <w:tcPr>
            <w:tcW w:w="5382" w:type="dxa"/>
          </w:tcPr>
          <w:p w14:paraId="65480678" w14:textId="77777777" w:rsidR="00B02873" w:rsidRDefault="00B02873" w:rsidP="00E532ED">
            <w:pPr>
              <w:pStyle w:val="TablebodyleftFinancialsTables"/>
            </w:pPr>
            <w:r>
              <w:t>Moreland City Council</w:t>
            </w:r>
          </w:p>
        </w:tc>
        <w:tc>
          <w:tcPr>
            <w:tcW w:w="1559" w:type="dxa"/>
          </w:tcPr>
          <w:p w14:paraId="172D175E" w14:textId="77777777" w:rsidR="00B02873" w:rsidRDefault="00B02873" w:rsidP="00E532ED">
            <w:pPr>
              <w:pStyle w:val="TablebodyleftFinancialsTables"/>
              <w:jc w:val="right"/>
            </w:pPr>
            <w:r>
              <w:t>206,873</w:t>
            </w:r>
          </w:p>
        </w:tc>
      </w:tr>
      <w:tr w:rsidR="00B02873" w:rsidRPr="00B02873" w14:paraId="18F58D79" w14:textId="77777777" w:rsidTr="00E532ED">
        <w:tc>
          <w:tcPr>
            <w:tcW w:w="5382" w:type="dxa"/>
          </w:tcPr>
          <w:p w14:paraId="13B038F2" w14:textId="77777777" w:rsidR="00B02873" w:rsidRDefault="00B02873" w:rsidP="00E532ED">
            <w:pPr>
              <w:pStyle w:val="TablebodyleftFinancialsTables"/>
            </w:pPr>
            <w:r>
              <w:t>Whittlesea City Council</w:t>
            </w:r>
          </w:p>
        </w:tc>
        <w:tc>
          <w:tcPr>
            <w:tcW w:w="1559" w:type="dxa"/>
          </w:tcPr>
          <w:p w14:paraId="6A855AB4" w14:textId="77777777" w:rsidR="00B02873" w:rsidRDefault="00B02873" w:rsidP="00E532ED">
            <w:pPr>
              <w:pStyle w:val="TablebodyleftFinancialsTables"/>
              <w:jc w:val="right"/>
            </w:pPr>
            <w:r>
              <w:t>202,707</w:t>
            </w:r>
          </w:p>
        </w:tc>
      </w:tr>
      <w:tr w:rsidR="00B02873" w:rsidRPr="00B02873" w14:paraId="217A640F" w14:textId="77777777" w:rsidTr="00E532ED">
        <w:tc>
          <w:tcPr>
            <w:tcW w:w="5382" w:type="dxa"/>
          </w:tcPr>
          <w:p w14:paraId="1F412BE2" w14:textId="77777777" w:rsidR="00B02873" w:rsidRDefault="00B02873" w:rsidP="00E532ED">
            <w:pPr>
              <w:pStyle w:val="TablebodyleftFinancialsTables"/>
            </w:pPr>
            <w:r>
              <w:t>Yarra Ranges Council</w:t>
            </w:r>
          </w:p>
        </w:tc>
        <w:tc>
          <w:tcPr>
            <w:tcW w:w="1559" w:type="dxa"/>
          </w:tcPr>
          <w:p w14:paraId="223D372C" w14:textId="77777777" w:rsidR="00B02873" w:rsidRDefault="00B02873" w:rsidP="00E532ED">
            <w:pPr>
              <w:pStyle w:val="TablebodyleftFinancialsTables"/>
              <w:jc w:val="right"/>
            </w:pPr>
            <w:r>
              <w:t>202,262</w:t>
            </w:r>
          </w:p>
        </w:tc>
      </w:tr>
      <w:tr w:rsidR="00B02873" w:rsidRPr="00B02873" w14:paraId="369E8C00" w14:textId="77777777" w:rsidTr="00E532ED">
        <w:tc>
          <w:tcPr>
            <w:tcW w:w="5382" w:type="dxa"/>
          </w:tcPr>
          <w:p w14:paraId="6F5D5B74" w14:textId="77777777" w:rsidR="00B02873" w:rsidRDefault="00B02873" w:rsidP="00E532ED">
            <w:pPr>
              <w:pStyle w:val="TablebodyleftFinancialsTables"/>
            </w:pPr>
            <w:r>
              <w:t>Whitehorse City Council</w:t>
            </w:r>
          </w:p>
        </w:tc>
        <w:tc>
          <w:tcPr>
            <w:tcW w:w="1559" w:type="dxa"/>
          </w:tcPr>
          <w:p w14:paraId="6B8A6055" w14:textId="77777777" w:rsidR="00B02873" w:rsidRDefault="00B02873" w:rsidP="00E532ED">
            <w:pPr>
              <w:pStyle w:val="TablebodyleftFinancialsTables"/>
              <w:jc w:val="right"/>
            </w:pPr>
            <w:r>
              <w:t>201,331</w:t>
            </w:r>
          </w:p>
        </w:tc>
      </w:tr>
      <w:tr w:rsidR="00B02873" w:rsidRPr="00B02873" w14:paraId="449CB0D2" w14:textId="77777777" w:rsidTr="00E532ED">
        <w:tc>
          <w:tcPr>
            <w:tcW w:w="5382" w:type="dxa"/>
          </w:tcPr>
          <w:p w14:paraId="7B6D9DDC" w14:textId="77777777" w:rsidR="00B02873" w:rsidRDefault="00B02873" w:rsidP="00E532ED">
            <w:pPr>
              <w:pStyle w:val="TablebodyleftFinancialsTables"/>
            </w:pPr>
            <w:r>
              <w:t>Brimbank City Council</w:t>
            </w:r>
          </w:p>
        </w:tc>
        <w:tc>
          <w:tcPr>
            <w:tcW w:w="1559" w:type="dxa"/>
          </w:tcPr>
          <w:p w14:paraId="374DF42A" w14:textId="77777777" w:rsidR="00B02873" w:rsidRDefault="00B02873" w:rsidP="00E532ED">
            <w:pPr>
              <w:pStyle w:val="TablebodyleftFinancialsTables"/>
              <w:jc w:val="right"/>
            </w:pPr>
            <w:r>
              <w:t>199,651</w:t>
            </w:r>
          </w:p>
        </w:tc>
      </w:tr>
      <w:tr w:rsidR="00B02873" w:rsidRPr="00B02873" w14:paraId="695E2F64" w14:textId="77777777" w:rsidTr="00E532ED">
        <w:tc>
          <w:tcPr>
            <w:tcW w:w="5382" w:type="dxa"/>
          </w:tcPr>
          <w:p w14:paraId="4A383FA8" w14:textId="77777777" w:rsidR="00B02873" w:rsidRDefault="00B02873" w:rsidP="00E532ED">
            <w:pPr>
              <w:pStyle w:val="TablebodyleftFinancialsTables"/>
            </w:pPr>
            <w:r>
              <w:t>Colac Otway Shire Council</w:t>
            </w:r>
          </w:p>
        </w:tc>
        <w:tc>
          <w:tcPr>
            <w:tcW w:w="1559" w:type="dxa"/>
          </w:tcPr>
          <w:p w14:paraId="6AEEE1ED" w14:textId="77777777" w:rsidR="00B02873" w:rsidRDefault="00B02873" w:rsidP="00E532ED">
            <w:pPr>
              <w:pStyle w:val="TablebodyleftFinancialsTables"/>
              <w:jc w:val="right"/>
            </w:pPr>
            <w:r>
              <w:t>193,900</w:t>
            </w:r>
          </w:p>
        </w:tc>
      </w:tr>
      <w:tr w:rsidR="00B02873" w:rsidRPr="00B02873" w14:paraId="6240C9A4" w14:textId="77777777" w:rsidTr="00E532ED">
        <w:tc>
          <w:tcPr>
            <w:tcW w:w="5382" w:type="dxa"/>
          </w:tcPr>
          <w:p w14:paraId="5D4CF78D" w14:textId="77777777" w:rsidR="00B02873" w:rsidRDefault="00B02873" w:rsidP="00E532ED">
            <w:pPr>
              <w:pStyle w:val="TablebodyleftFinancialsTables"/>
            </w:pPr>
            <w:r>
              <w:t>City of Kingston</w:t>
            </w:r>
          </w:p>
        </w:tc>
        <w:tc>
          <w:tcPr>
            <w:tcW w:w="1559" w:type="dxa"/>
          </w:tcPr>
          <w:p w14:paraId="6CC1CF76" w14:textId="77777777" w:rsidR="00B02873" w:rsidRDefault="00B02873" w:rsidP="00E532ED">
            <w:pPr>
              <w:pStyle w:val="TablebodyleftFinancialsTables"/>
              <w:jc w:val="right"/>
            </w:pPr>
            <w:r>
              <w:t>193,452</w:t>
            </w:r>
          </w:p>
        </w:tc>
      </w:tr>
      <w:tr w:rsidR="00B02873" w:rsidRPr="00B02873" w14:paraId="59FDFDBD" w14:textId="77777777" w:rsidTr="00E532ED">
        <w:tc>
          <w:tcPr>
            <w:tcW w:w="5382" w:type="dxa"/>
          </w:tcPr>
          <w:p w14:paraId="6A848872" w14:textId="77777777" w:rsidR="00B02873" w:rsidRDefault="00B02873" w:rsidP="00E532ED">
            <w:pPr>
              <w:pStyle w:val="TablebodyleftFinancialsTables"/>
            </w:pPr>
            <w:r>
              <w:t>City of Port Phillip</w:t>
            </w:r>
          </w:p>
        </w:tc>
        <w:tc>
          <w:tcPr>
            <w:tcW w:w="1559" w:type="dxa"/>
          </w:tcPr>
          <w:p w14:paraId="79735E85" w14:textId="77777777" w:rsidR="00B02873" w:rsidRDefault="00B02873" w:rsidP="00E532ED">
            <w:pPr>
              <w:pStyle w:val="TablebodyleftFinancialsTables"/>
              <w:jc w:val="right"/>
            </w:pPr>
            <w:r>
              <w:t>184,853</w:t>
            </w:r>
          </w:p>
        </w:tc>
      </w:tr>
      <w:tr w:rsidR="00B02873" w:rsidRPr="00B02873" w14:paraId="4171B699" w14:textId="77777777" w:rsidTr="00E532ED">
        <w:tc>
          <w:tcPr>
            <w:tcW w:w="5382" w:type="dxa"/>
          </w:tcPr>
          <w:p w14:paraId="7FFC2B60" w14:textId="77777777" w:rsidR="00B02873" w:rsidRDefault="00B02873" w:rsidP="00E532ED">
            <w:pPr>
              <w:pStyle w:val="TablebodyleftFinancialsTables"/>
            </w:pPr>
            <w:r>
              <w:t>Glen Eira City Council</w:t>
            </w:r>
          </w:p>
        </w:tc>
        <w:tc>
          <w:tcPr>
            <w:tcW w:w="1559" w:type="dxa"/>
          </w:tcPr>
          <w:p w14:paraId="0818FB6A" w14:textId="77777777" w:rsidR="00B02873" w:rsidRDefault="00B02873" w:rsidP="00E532ED">
            <w:pPr>
              <w:pStyle w:val="TablebodyleftFinancialsTables"/>
              <w:jc w:val="right"/>
            </w:pPr>
            <w:r>
              <w:t>180,413</w:t>
            </w:r>
          </w:p>
        </w:tc>
      </w:tr>
      <w:tr w:rsidR="00B02873" w:rsidRPr="00B02873" w14:paraId="31C2CD98" w14:textId="77777777" w:rsidTr="00E532ED">
        <w:tc>
          <w:tcPr>
            <w:tcW w:w="5382" w:type="dxa"/>
          </w:tcPr>
          <w:p w14:paraId="4276E20D" w14:textId="77777777" w:rsidR="00B02873" w:rsidRDefault="00B02873" w:rsidP="00E532ED">
            <w:pPr>
              <w:pStyle w:val="TablebodyleftFinancialsTables"/>
            </w:pPr>
            <w:r>
              <w:t>Knox City Council</w:t>
            </w:r>
          </w:p>
        </w:tc>
        <w:tc>
          <w:tcPr>
            <w:tcW w:w="1559" w:type="dxa"/>
          </w:tcPr>
          <w:p w14:paraId="65CAD7B9" w14:textId="77777777" w:rsidR="00B02873" w:rsidRDefault="00B02873" w:rsidP="00E532ED">
            <w:pPr>
              <w:pStyle w:val="TablebodyleftFinancialsTables"/>
              <w:jc w:val="right"/>
            </w:pPr>
            <w:r>
              <w:t>178,212</w:t>
            </w:r>
          </w:p>
        </w:tc>
      </w:tr>
      <w:tr w:rsidR="00B02873" w:rsidRPr="00B02873" w14:paraId="5757E733" w14:textId="77777777" w:rsidTr="00E532ED">
        <w:tc>
          <w:tcPr>
            <w:tcW w:w="5382" w:type="dxa"/>
          </w:tcPr>
          <w:p w14:paraId="1955FD96" w14:textId="77777777" w:rsidR="00B02873" w:rsidRDefault="00B02873" w:rsidP="00E532ED">
            <w:pPr>
              <w:pStyle w:val="TablebodyleftFinancialsTables"/>
            </w:pPr>
            <w:r>
              <w:t>Frankston City Council</w:t>
            </w:r>
          </w:p>
        </w:tc>
        <w:tc>
          <w:tcPr>
            <w:tcW w:w="1559" w:type="dxa"/>
          </w:tcPr>
          <w:p w14:paraId="12EE3445" w14:textId="77777777" w:rsidR="00B02873" w:rsidRDefault="00B02873" w:rsidP="00E532ED">
            <w:pPr>
              <w:pStyle w:val="TablebodyleftFinancialsTables"/>
              <w:jc w:val="right"/>
            </w:pPr>
            <w:r>
              <w:t>173,812</w:t>
            </w:r>
          </w:p>
        </w:tc>
      </w:tr>
      <w:tr w:rsidR="00B02873" w:rsidRPr="00B02873" w14:paraId="1A9BC872" w14:textId="77777777" w:rsidTr="00E532ED">
        <w:tc>
          <w:tcPr>
            <w:tcW w:w="5382" w:type="dxa"/>
          </w:tcPr>
          <w:p w14:paraId="624D68D7" w14:textId="77777777" w:rsidR="00B02873" w:rsidRDefault="00B02873" w:rsidP="00E532ED">
            <w:pPr>
              <w:pStyle w:val="TablebodyleftFinancialsTables"/>
            </w:pPr>
            <w:r>
              <w:t>Stonnington City Council</w:t>
            </w:r>
          </w:p>
        </w:tc>
        <w:tc>
          <w:tcPr>
            <w:tcW w:w="1559" w:type="dxa"/>
          </w:tcPr>
          <w:p w14:paraId="4EBBEDBA" w14:textId="77777777" w:rsidR="00B02873" w:rsidRDefault="00B02873" w:rsidP="00E532ED">
            <w:pPr>
              <w:pStyle w:val="TablebodyleftFinancialsTables"/>
              <w:jc w:val="right"/>
            </w:pPr>
            <w:r>
              <w:t>172,955</w:t>
            </w:r>
          </w:p>
        </w:tc>
      </w:tr>
      <w:tr w:rsidR="00B02873" w:rsidRPr="00B02873" w14:paraId="397FB4AF" w14:textId="77777777" w:rsidTr="00E532ED">
        <w:tc>
          <w:tcPr>
            <w:tcW w:w="5382" w:type="dxa"/>
          </w:tcPr>
          <w:p w14:paraId="65658904" w14:textId="77777777" w:rsidR="00B02873" w:rsidRDefault="00B02873" w:rsidP="00E532ED">
            <w:pPr>
              <w:pStyle w:val="TablebodyleftFinancialsTables"/>
            </w:pPr>
            <w:r>
              <w:t>City of Greater Bendigo</w:t>
            </w:r>
          </w:p>
        </w:tc>
        <w:tc>
          <w:tcPr>
            <w:tcW w:w="1559" w:type="dxa"/>
          </w:tcPr>
          <w:p w14:paraId="034642DC" w14:textId="77777777" w:rsidR="00B02873" w:rsidRDefault="00B02873" w:rsidP="00E532ED">
            <w:pPr>
              <w:pStyle w:val="TablebodyleftFinancialsTables"/>
              <w:jc w:val="right"/>
            </w:pPr>
            <w:r>
              <w:t>165,575</w:t>
            </w:r>
          </w:p>
        </w:tc>
      </w:tr>
      <w:tr w:rsidR="00B02873" w:rsidRPr="00B02873" w14:paraId="6E378840" w14:textId="77777777" w:rsidTr="00E532ED">
        <w:tc>
          <w:tcPr>
            <w:tcW w:w="5382" w:type="dxa"/>
          </w:tcPr>
          <w:p w14:paraId="73437158" w14:textId="77777777" w:rsidR="00B02873" w:rsidRDefault="00B02873" w:rsidP="00E532ED">
            <w:pPr>
              <w:pStyle w:val="TablebodyleftFinancialsTables"/>
            </w:pPr>
            <w:r>
              <w:t>Melton City Council</w:t>
            </w:r>
          </w:p>
        </w:tc>
        <w:tc>
          <w:tcPr>
            <w:tcW w:w="1559" w:type="dxa"/>
          </w:tcPr>
          <w:p w14:paraId="7D6030A8" w14:textId="77777777" w:rsidR="00B02873" w:rsidRDefault="00B02873" w:rsidP="00E532ED">
            <w:pPr>
              <w:pStyle w:val="TablebodyleftFinancialsTables"/>
              <w:jc w:val="right"/>
            </w:pPr>
            <w:r>
              <w:t>161,478</w:t>
            </w:r>
          </w:p>
        </w:tc>
      </w:tr>
      <w:tr w:rsidR="00B02873" w:rsidRPr="00B02873" w14:paraId="2B5FBEC3" w14:textId="77777777" w:rsidTr="00E532ED">
        <w:tc>
          <w:tcPr>
            <w:tcW w:w="5382" w:type="dxa"/>
          </w:tcPr>
          <w:p w14:paraId="6372FCC1" w14:textId="77777777" w:rsidR="00B02873" w:rsidRDefault="00B02873" w:rsidP="00E532ED">
            <w:pPr>
              <w:pStyle w:val="TablebodyleftFinancialsTables"/>
            </w:pPr>
            <w:r>
              <w:t>Banyule City Council</w:t>
            </w:r>
          </w:p>
        </w:tc>
        <w:tc>
          <w:tcPr>
            <w:tcW w:w="1559" w:type="dxa"/>
          </w:tcPr>
          <w:p w14:paraId="4D575B8B" w14:textId="77777777" w:rsidR="00B02873" w:rsidRDefault="00B02873" w:rsidP="00E532ED">
            <w:pPr>
              <w:pStyle w:val="TablebodyleftFinancialsTables"/>
              <w:jc w:val="right"/>
            </w:pPr>
            <w:r>
              <w:t>155,851</w:t>
            </w:r>
          </w:p>
        </w:tc>
      </w:tr>
      <w:tr w:rsidR="00B02873" w:rsidRPr="00B02873" w14:paraId="4F831222" w14:textId="77777777" w:rsidTr="00E532ED">
        <w:tc>
          <w:tcPr>
            <w:tcW w:w="5382" w:type="dxa"/>
          </w:tcPr>
          <w:p w14:paraId="1325FB76" w14:textId="77777777" w:rsidR="00B02873" w:rsidRDefault="00B02873" w:rsidP="00E532ED">
            <w:pPr>
              <w:pStyle w:val="TablebodyleftFinancialsTables"/>
            </w:pPr>
            <w:r>
              <w:t>Moonee Valley City Council</w:t>
            </w:r>
          </w:p>
        </w:tc>
        <w:tc>
          <w:tcPr>
            <w:tcW w:w="1559" w:type="dxa"/>
          </w:tcPr>
          <w:p w14:paraId="332C8F52" w14:textId="77777777" w:rsidR="00B02873" w:rsidRDefault="00B02873" w:rsidP="00E532ED">
            <w:pPr>
              <w:pStyle w:val="TablebodyleftFinancialsTables"/>
              <w:jc w:val="right"/>
            </w:pPr>
            <w:r>
              <w:t>154,940</w:t>
            </w:r>
          </w:p>
        </w:tc>
      </w:tr>
      <w:tr w:rsidR="00B02873" w:rsidRPr="00B02873" w14:paraId="3A3AA8A7" w14:textId="77777777" w:rsidTr="00E532ED">
        <w:tc>
          <w:tcPr>
            <w:tcW w:w="5382" w:type="dxa"/>
          </w:tcPr>
          <w:p w14:paraId="725B77EB" w14:textId="77777777" w:rsidR="00B02873" w:rsidRDefault="00B02873" w:rsidP="00E532ED">
            <w:pPr>
              <w:pStyle w:val="TablebodyleftFinancialsTables"/>
            </w:pPr>
            <w:r>
              <w:t>City of Ballarat</w:t>
            </w:r>
          </w:p>
        </w:tc>
        <w:tc>
          <w:tcPr>
            <w:tcW w:w="1559" w:type="dxa"/>
          </w:tcPr>
          <w:p w14:paraId="3A145CD8" w14:textId="77777777" w:rsidR="00B02873" w:rsidRDefault="00B02873" w:rsidP="00E532ED">
            <w:pPr>
              <w:pStyle w:val="TablebodyleftFinancialsTables"/>
              <w:jc w:val="right"/>
            </w:pPr>
            <w:r>
              <w:t>148,053</w:t>
            </w:r>
          </w:p>
        </w:tc>
      </w:tr>
      <w:tr w:rsidR="00B02873" w:rsidRPr="00B02873" w14:paraId="2A1754FB" w14:textId="77777777" w:rsidTr="00E532ED">
        <w:tc>
          <w:tcPr>
            <w:tcW w:w="5382" w:type="dxa"/>
          </w:tcPr>
          <w:p w14:paraId="7764F4DE" w14:textId="77777777" w:rsidR="00B02873" w:rsidRDefault="00B02873" w:rsidP="00E532ED">
            <w:pPr>
              <w:pStyle w:val="TablebodyleftFinancialsTables"/>
            </w:pPr>
            <w:r>
              <w:t>Victorian Workcover Authority</w:t>
            </w:r>
          </w:p>
        </w:tc>
        <w:tc>
          <w:tcPr>
            <w:tcW w:w="1559" w:type="dxa"/>
          </w:tcPr>
          <w:p w14:paraId="7712DF8E" w14:textId="77777777" w:rsidR="00B02873" w:rsidRDefault="00B02873" w:rsidP="00E532ED">
            <w:pPr>
              <w:pStyle w:val="TablebodyleftFinancialsTables"/>
              <w:jc w:val="right"/>
            </w:pPr>
            <w:r>
              <w:t>147,504</w:t>
            </w:r>
          </w:p>
        </w:tc>
      </w:tr>
      <w:tr w:rsidR="00B02873" w:rsidRPr="00B02873" w14:paraId="265E8704" w14:textId="77777777" w:rsidTr="00E532ED">
        <w:tc>
          <w:tcPr>
            <w:tcW w:w="5382" w:type="dxa"/>
          </w:tcPr>
          <w:p w14:paraId="5C23E78A" w14:textId="77777777" w:rsidR="00B02873" w:rsidRDefault="00B02873" w:rsidP="00E532ED">
            <w:pPr>
              <w:pStyle w:val="TablebodyleftFinancialsTables"/>
            </w:pPr>
            <w:r>
              <w:t>Rtd Environmental Pty Ltd</w:t>
            </w:r>
          </w:p>
        </w:tc>
        <w:tc>
          <w:tcPr>
            <w:tcW w:w="1559" w:type="dxa"/>
          </w:tcPr>
          <w:p w14:paraId="68768879" w14:textId="77777777" w:rsidR="00B02873" w:rsidRDefault="00B02873" w:rsidP="00E532ED">
            <w:pPr>
              <w:pStyle w:val="TablebodyleftFinancialsTables"/>
              <w:jc w:val="right"/>
            </w:pPr>
            <w:r>
              <w:t>143,636</w:t>
            </w:r>
          </w:p>
        </w:tc>
      </w:tr>
      <w:tr w:rsidR="00B02873" w:rsidRPr="00B02873" w14:paraId="333BCDE3" w14:textId="77777777" w:rsidTr="00E532ED">
        <w:tc>
          <w:tcPr>
            <w:tcW w:w="5382" w:type="dxa"/>
          </w:tcPr>
          <w:p w14:paraId="136E5E00" w14:textId="77777777" w:rsidR="00B02873" w:rsidRDefault="00B02873" w:rsidP="00E532ED">
            <w:pPr>
              <w:pStyle w:val="TablebodyleftFinancialsTables"/>
            </w:pPr>
            <w:r>
              <w:t>Yarra City Council</w:t>
            </w:r>
          </w:p>
        </w:tc>
        <w:tc>
          <w:tcPr>
            <w:tcW w:w="1559" w:type="dxa"/>
          </w:tcPr>
          <w:p w14:paraId="0C18ECA9" w14:textId="77777777" w:rsidR="00B02873" w:rsidRDefault="00B02873" w:rsidP="00E532ED">
            <w:pPr>
              <w:pStyle w:val="TablebodyleftFinancialsTables"/>
              <w:jc w:val="right"/>
            </w:pPr>
            <w:r>
              <w:t>141,936</w:t>
            </w:r>
          </w:p>
        </w:tc>
      </w:tr>
      <w:tr w:rsidR="00B02873" w:rsidRPr="00B02873" w14:paraId="7D354FC2" w14:textId="77777777" w:rsidTr="00E532ED">
        <w:tc>
          <w:tcPr>
            <w:tcW w:w="5382" w:type="dxa"/>
          </w:tcPr>
          <w:p w14:paraId="185643AD" w14:textId="77777777" w:rsidR="00B02873" w:rsidRDefault="00B02873" w:rsidP="00E532ED">
            <w:pPr>
              <w:pStyle w:val="TablebodyleftFinancialsTables"/>
            </w:pPr>
            <w:r>
              <w:t>Manningham City Council</w:t>
            </w:r>
          </w:p>
        </w:tc>
        <w:tc>
          <w:tcPr>
            <w:tcW w:w="1559" w:type="dxa"/>
          </w:tcPr>
          <w:p w14:paraId="406EFEE4" w14:textId="77777777" w:rsidR="00B02873" w:rsidRDefault="00B02873" w:rsidP="00E532ED">
            <w:pPr>
              <w:pStyle w:val="TablebodyleftFinancialsTables"/>
              <w:jc w:val="right"/>
            </w:pPr>
            <w:r>
              <w:t>139,780</w:t>
            </w:r>
          </w:p>
        </w:tc>
      </w:tr>
      <w:tr w:rsidR="00B02873" w:rsidRPr="00B02873" w14:paraId="59C95678" w14:textId="77777777" w:rsidTr="00E532ED">
        <w:tc>
          <w:tcPr>
            <w:tcW w:w="5382" w:type="dxa"/>
          </w:tcPr>
          <w:p w14:paraId="0141CB01" w14:textId="77777777" w:rsidR="00B02873" w:rsidRDefault="00B02873" w:rsidP="00E532ED">
            <w:pPr>
              <w:pStyle w:val="TablebodyleftFinancialsTables"/>
            </w:pPr>
            <w:r>
              <w:t>Maroondah City Council</w:t>
            </w:r>
          </w:p>
        </w:tc>
        <w:tc>
          <w:tcPr>
            <w:tcW w:w="1559" w:type="dxa"/>
          </w:tcPr>
          <w:p w14:paraId="54158CD9" w14:textId="77777777" w:rsidR="00B02873" w:rsidRDefault="00B02873" w:rsidP="00E532ED">
            <w:pPr>
              <w:pStyle w:val="TablebodyleftFinancialsTables"/>
              <w:jc w:val="right"/>
            </w:pPr>
            <w:r>
              <w:t>138,904</w:t>
            </w:r>
          </w:p>
        </w:tc>
      </w:tr>
      <w:tr w:rsidR="00B02873" w:rsidRPr="00B02873" w14:paraId="68634575" w14:textId="77777777" w:rsidTr="00E532ED">
        <w:tc>
          <w:tcPr>
            <w:tcW w:w="5382" w:type="dxa"/>
          </w:tcPr>
          <w:p w14:paraId="1C0725A5" w14:textId="77777777" w:rsidR="00B02873" w:rsidRDefault="00B02873" w:rsidP="00E532ED">
            <w:pPr>
              <w:pStyle w:val="TablebodyleftFinancialsTables"/>
            </w:pPr>
            <w:r>
              <w:t>Latrobe City Council</w:t>
            </w:r>
          </w:p>
        </w:tc>
        <w:tc>
          <w:tcPr>
            <w:tcW w:w="1559" w:type="dxa"/>
          </w:tcPr>
          <w:p w14:paraId="593BDB92" w14:textId="77777777" w:rsidR="00B02873" w:rsidRDefault="00B02873" w:rsidP="00E532ED">
            <w:pPr>
              <w:pStyle w:val="TablebodyleftFinancialsTables"/>
              <w:jc w:val="right"/>
            </w:pPr>
            <w:r>
              <w:t>131,908</w:t>
            </w:r>
          </w:p>
        </w:tc>
      </w:tr>
      <w:tr w:rsidR="00B02873" w:rsidRPr="00B02873" w14:paraId="1FB1F909" w14:textId="77777777" w:rsidTr="00E532ED">
        <w:tc>
          <w:tcPr>
            <w:tcW w:w="5382" w:type="dxa"/>
          </w:tcPr>
          <w:p w14:paraId="436C760A" w14:textId="77777777" w:rsidR="00B02873" w:rsidRDefault="00B02873" w:rsidP="00E532ED">
            <w:pPr>
              <w:pStyle w:val="TablebodyleftFinancialsTables"/>
            </w:pPr>
            <w:r>
              <w:t>Bayside City Council</w:t>
            </w:r>
          </w:p>
        </w:tc>
        <w:tc>
          <w:tcPr>
            <w:tcW w:w="1559" w:type="dxa"/>
          </w:tcPr>
          <w:p w14:paraId="32F943FC" w14:textId="77777777" w:rsidR="00B02873" w:rsidRDefault="00B02873" w:rsidP="00E532ED">
            <w:pPr>
              <w:pStyle w:val="TablebodyleftFinancialsTables"/>
              <w:jc w:val="right"/>
            </w:pPr>
            <w:r>
              <w:t>128,853</w:t>
            </w:r>
          </w:p>
        </w:tc>
      </w:tr>
      <w:tr w:rsidR="00B02873" w:rsidRPr="00B02873" w14:paraId="59A8C61B" w14:textId="77777777" w:rsidTr="00E532ED">
        <w:tc>
          <w:tcPr>
            <w:tcW w:w="5382" w:type="dxa"/>
          </w:tcPr>
          <w:p w14:paraId="09AB839F" w14:textId="77777777" w:rsidR="00B02873" w:rsidRDefault="00B02873" w:rsidP="00E532ED">
            <w:pPr>
              <w:pStyle w:val="TablebodyleftFinancialsTables"/>
            </w:pPr>
            <w:r>
              <w:t>Hobsons Bay City Council</w:t>
            </w:r>
          </w:p>
        </w:tc>
        <w:tc>
          <w:tcPr>
            <w:tcW w:w="1559" w:type="dxa"/>
          </w:tcPr>
          <w:p w14:paraId="13E52AD4" w14:textId="77777777" w:rsidR="00B02873" w:rsidRDefault="00B02873" w:rsidP="00E532ED">
            <w:pPr>
              <w:pStyle w:val="TablebodyleftFinancialsTables"/>
              <w:jc w:val="right"/>
            </w:pPr>
            <w:r>
              <w:t>116,024</w:t>
            </w:r>
          </w:p>
        </w:tc>
      </w:tr>
      <w:tr w:rsidR="00B02873" w:rsidRPr="00B02873" w14:paraId="0539DF7E" w14:textId="77777777" w:rsidTr="00E532ED">
        <w:tc>
          <w:tcPr>
            <w:tcW w:w="5382" w:type="dxa"/>
          </w:tcPr>
          <w:p w14:paraId="3AC4D167" w14:textId="77777777" w:rsidR="00B02873" w:rsidRDefault="00B02873" w:rsidP="00E532ED">
            <w:pPr>
              <w:pStyle w:val="TablebodyleftFinancialsTables"/>
            </w:pPr>
            <w:r>
              <w:t>East Gippsland Shire Council</w:t>
            </w:r>
          </w:p>
        </w:tc>
        <w:tc>
          <w:tcPr>
            <w:tcW w:w="1559" w:type="dxa"/>
          </w:tcPr>
          <w:p w14:paraId="2BA21CDC" w14:textId="77777777" w:rsidR="00B02873" w:rsidRDefault="00B02873" w:rsidP="00E532ED">
            <w:pPr>
              <w:pStyle w:val="TablebodyleftFinancialsTables"/>
              <w:jc w:val="right"/>
            </w:pPr>
            <w:r>
              <w:t>114,483</w:t>
            </w:r>
          </w:p>
        </w:tc>
      </w:tr>
      <w:tr w:rsidR="00B02873" w:rsidRPr="00B02873" w14:paraId="55D9F67D" w14:textId="77777777" w:rsidTr="00E532ED">
        <w:tc>
          <w:tcPr>
            <w:tcW w:w="5382" w:type="dxa"/>
          </w:tcPr>
          <w:p w14:paraId="183FA7C3" w14:textId="77777777" w:rsidR="00B02873" w:rsidRDefault="00B02873" w:rsidP="00E532ED">
            <w:pPr>
              <w:pStyle w:val="TablebodyleftFinancialsTables"/>
            </w:pPr>
            <w:r>
              <w:lastRenderedPageBreak/>
              <w:t>Benalla Rural City Council</w:t>
            </w:r>
          </w:p>
        </w:tc>
        <w:tc>
          <w:tcPr>
            <w:tcW w:w="1559" w:type="dxa"/>
          </w:tcPr>
          <w:p w14:paraId="5D13A626" w14:textId="77777777" w:rsidR="00B02873" w:rsidRDefault="00B02873" w:rsidP="00E532ED">
            <w:pPr>
              <w:pStyle w:val="TablebodyleftFinancialsTables"/>
              <w:jc w:val="right"/>
            </w:pPr>
            <w:r>
              <w:t>101,122</w:t>
            </w:r>
          </w:p>
        </w:tc>
      </w:tr>
      <w:tr w:rsidR="00B02873" w:rsidRPr="00B02873" w14:paraId="4A3B01E3" w14:textId="77777777" w:rsidTr="00E532ED">
        <w:tc>
          <w:tcPr>
            <w:tcW w:w="5382" w:type="dxa"/>
          </w:tcPr>
          <w:p w14:paraId="25D20ED3" w14:textId="77777777" w:rsidR="00B02873" w:rsidRDefault="00B02873" w:rsidP="00E532ED">
            <w:pPr>
              <w:pStyle w:val="TablebodyleftFinancialsTables"/>
            </w:pPr>
            <w:r>
              <w:t>Mildura Rural City Council</w:t>
            </w:r>
          </w:p>
        </w:tc>
        <w:tc>
          <w:tcPr>
            <w:tcW w:w="1559" w:type="dxa"/>
          </w:tcPr>
          <w:p w14:paraId="068F8055" w14:textId="77777777" w:rsidR="00B02873" w:rsidRDefault="00B02873" w:rsidP="00E532ED">
            <w:pPr>
              <w:pStyle w:val="TablebodyleftFinancialsTables"/>
              <w:jc w:val="right"/>
            </w:pPr>
            <w:r>
              <w:t>97,348</w:t>
            </w:r>
          </w:p>
        </w:tc>
      </w:tr>
      <w:tr w:rsidR="00B02873" w:rsidRPr="00B02873" w14:paraId="37DD54D3" w14:textId="77777777" w:rsidTr="00E532ED">
        <w:tc>
          <w:tcPr>
            <w:tcW w:w="5382" w:type="dxa"/>
          </w:tcPr>
          <w:p w14:paraId="54C44678" w14:textId="77777777" w:rsidR="00B02873" w:rsidRDefault="00B02873" w:rsidP="00E532ED">
            <w:pPr>
              <w:pStyle w:val="TablebodyleftFinancialsTables"/>
            </w:pPr>
            <w:r>
              <w:t>Greater Shepparton City Council</w:t>
            </w:r>
          </w:p>
        </w:tc>
        <w:tc>
          <w:tcPr>
            <w:tcW w:w="1559" w:type="dxa"/>
          </w:tcPr>
          <w:p w14:paraId="08D03DBE" w14:textId="77777777" w:rsidR="00B02873" w:rsidRDefault="00B02873" w:rsidP="00E532ED">
            <w:pPr>
              <w:pStyle w:val="TablebodyleftFinancialsTables"/>
              <w:jc w:val="right"/>
            </w:pPr>
            <w:r>
              <w:t>95,613</w:t>
            </w:r>
          </w:p>
        </w:tc>
      </w:tr>
      <w:tr w:rsidR="00B02873" w:rsidRPr="00B02873" w14:paraId="331D1547" w14:textId="77777777" w:rsidTr="00E532ED">
        <w:tc>
          <w:tcPr>
            <w:tcW w:w="5382" w:type="dxa"/>
          </w:tcPr>
          <w:p w14:paraId="410C0256" w14:textId="77777777" w:rsidR="00B02873" w:rsidRDefault="00B02873" w:rsidP="00E532ED">
            <w:pPr>
              <w:pStyle w:val="TablebodyleftFinancialsTables"/>
            </w:pPr>
            <w:r>
              <w:t>Wellington Shire Council</w:t>
            </w:r>
          </w:p>
        </w:tc>
        <w:tc>
          <w:tcPr>
            <w:tcW w:w="1559" w:type="dxa"/>
          </w:tcPr>
          <w:p w14:paraId="04C2755D" w14:textId="77777777" w:rsidR="00B02873" w:rsidRDefault="00B02873" w:rsidP="00E532ED">
            <w:pPr>
              <w:pStyle w:val="TablebodyleftFinancialsTables"/>
              <w:jc w:val="right"/>
            </w:pPr>
            <w:r>
              <w:t>93,701</w:t>
            </w:r>
          </w:p>
        </w:tc>
      </w:tr>
      <w:tr w:rsidR="00B02873" w:rsidRPr="00B02873" w14:paraId="0DADA06F" w14:textId="77777777" w:rsidTr="00E532ED">
        <w:tc>
          <w:tcPr>
            <w:tcW w:w="5382" w:type="dxa"/>
          </w:tcPr>
          <w:p w14:paraId="7DC609E0" w14:textId="77777777" w:rsidR="00B02873" w:rsidRDefault="00B02873" w:rsidP="00E532ED">
            <w:pPr>
              <w:pStyle w:val="TablebodyleftFinancialsTables"/>
            </w:pPr>
            <w:r>
              <w:t>The Water and Carbon Group Pty Ltd</w:t>
            </w:r>
          </w:p>
        </w:tc>
        <w:tc>
          <w:tcPr>
            <w:tcW w:w="1559" w:type="dxa"/>
          </w:tcPr>
          <w:p w14:paraId="3175C259" w14:textId="77777777" w:rsidR="00B02873" w:rsidRDefault="00B02873" w:rsidP="00E532ED">
            <w:pPr>
              <w:pStyle w:val="TablebodyleftFinancialsTables"/>
              <w:jc w:val="right"/>
            </w:pPr>
            <w:r>
              <w:t>87,924</w:t>
            </w:r>
          </w:p>
        </w:tc>
      </w:tr>
      <w:tr w:rsidR="00B02873" w:rsidRPr="00B02873" w14:paraId="6D073419" w14:textId="77777777" w:rsidTr="00E532ED">
        <w:tc>
          <w:tcPr>
            <w:tcW w:w="5382" w:type="dxa"/>
          </w:tcPr>
          <w:p w14:paraId="58F07C78" w14:textId="77777777" w:rsidR="00B02873" w:rsidRDefault="00B02873" w:rsidP="00E532ED">
            <w:pPr>
              <w:pStyle w:val="TablebodyleftFinancialsTables"/>
            </w:pPr>
            <w:r>
              <w:t>Baw Baw Shire Council</w:t>
            </w:r>
          </w:p>
        </w:tc>
        <w:tc>
          <w:tcPr>
            <w:tcW w:w="1559" w:type="dxa"/>
          </w:tcPr>
          <w:p w14:paraId="1CE3DFA3" w14:textId="77777777" w:rsidR="00B02873" w:rsidRDefault="00B02873" w:rsidP="00E532ED">
            <w:pPr>
              <w:pStyle w:val="TablebodyleftFinancialsTables"/>
              <w:jc w:val="right"/>
            </w:pPr>
            <w:r>
              <w:t>78,666</w:t>
            </w:r>
          </w:p>
        </w:tc>
      </w:tr>
      <w:tr w:rsidR="00B02873" w:rsidRPr="00B02873" w14:paraId="1461B256" w14:textId="77777777" w:rsidTr="00E532ED">
        <w:tc>
          <w:tcPr>
            <w:tcW w:w="5382" w:type="dxa"/>
          </w:tcPr>
          <w:p w14:paraId="486692A6" w14:textId="77777777" w:rsidR="00B02873" w:rsidRDefault="00B02873" w:rsidP="00E532ED">
            <w:pPr>
              <w:pStyle w:val="TablebodyleftFinancialsTables"/>
            </w:pPr>
            <w:r>
              <w:t>Macedon Ranges Shire Council</w:t>
            </w:r>
          </w:p>
        </w:tc>
        <w:tc>
          <w:tcPr>
            <w:tcW w:w="1559" w:type="dxa"/>
          </w:tcPr>
          <w:p w14:paraId="2214D5FB" w14:textId="77777777" w:rsidR="00B02873" w:rsidRDefault="00B02873" w:rsidP="00E532ED">
            <w:pPr>
              <w:pStyle w:val="TablebodyleftFinancialsTables"/>
              <w:jc w:val="right"/>
            </w:pPr>
            <w:r>
              <w:t>77,905</w:t>
            </w:r>
          </w:p>
        </w:tc>
      </w:tr>
      <w:tr w:rsidR="00B02873" w:rsidRPr="00B02873" w14:paraId="06DB8DBB" w14:textId="77777777" w:rsidTr="00E532ED">
        <w:tc>
          <w:tcPr>
            <w:tcW w:w="5382" w:type="dxa"/>
          </w:tcPr>
          <w:p w14:paraId="030350E8" w14:textId="77777777" w:rsidR="00B02873" w:rsidRDefault="00B02873" w:rsidP="00E532ED">
            <w:pPr>
              <w:pStyle w:val="TablebodyleftFinancialsTables"/>
            </w:pPr>
            <w:r>
              <w:t>Nillumbik Shire Council</w:t>
            </w:r>
          </w:p>
        </w:tc>
        <w:tc>
          <w:tcPr>
            <w:tcW w:w="1559" w:type="dxa"/>
          </w:tcPr>
          <w:p w14:paraId="31438895" w14:textId="77777777" w:rsidR="00B02873" w:rsidRDefault="00B02873" w:rsidP="00E532ED">
            <w:pPr>
              <w:pStyle w:val="TablebodyleftFinancialsTables"/>
              <w:jc w:val="right"/>
            </w:pPr>
            <w:r>
              <w:t>69,985</w:t>
            </w:r>
          </w:p>
        </w:tc>
      </w:tr>
      <w:tr w:rsidR="00B02873" w:rsidRPr="00B02873" w14:paraId="14AF6F93" w14:textId="77777777" w:rsidTr="00E532ED">
        <w:tc>
          <w:tcPr>
            <w:tcW w:w="5382" w:type="dxa"/>
          </w:tcPr>
          <w:p w14:paraId="2FD901FF" w14:textId="77777777" w:rsidR="00B02873" w:rsidRDefault="00B02873" w:rsidP="00E532ED">
            <w:pPr>
              <w:pStyle w:val="TablebodyleftFinancialsTables"/>
            </w:pPr>
            <w:r>
              <w:t>Campaspe Shire Council</w:t>
            </w:r>
          </w:p>
        </w:tc>
        <w:tc>
          <w:tcPr>
            <w:tcW w:w="1559" w:type="dxa"/>
          </w:tcPr>
          <w:p w14:paraId="332E5CEB" w14:textId="77777777" w:rsidR="00B02873" w:rsidRDefault="00B02873" w:rsidP="00E532ED">
            <w:pPr>
              <w:pStyle w:val="TablebodyleftFinancialsTables"/>
              <w:jc w:val="right"/>
            </w:pPr>
            <w:r>
              <w:t>69,783</w:t>
            </w:r>
          </w:p>
        </w:tc>
      </w:tr>
      <w:tr w:rsidR="00B02873" w:rsidRPr="00B02873" w14:paraId="3AADD8C1" w14:textId="77777777" w:rsidTr="00E532ED">
        <w:tc>
          <w:tcPr>
            <w:tcW w:w="5382" w:type="dxa"/>
          </w:tcPr>
          <w:p w14:paraId="295829D4" w14:textId="77777777" w:rsidR="00B02873" w:rsidRDefault="00B02873" w:rsidP="00E532ED">
            <w:pPr>
              <w:pStyle w:val="TablebodyleftFinancialsTables"/>
            </w:pPr>
            <w:r>
              <w:t>Mitchell Shire Council</w:t>
            </w:r>
          </w:p>
        </w:tc>
        <w:tc>
          <w:tcPr>
            <w:tcW w:w="1559" w:type="dxa"/>
          </w:tcPr>
          <w:p w14:paraId="3649722C" w14:textId="77777777" w:rsidR="00B02873" w:rsidRDefault="00B02873" w:rsidP="00E532ED">
            <w:pPr>
              <w:pStyle w:val="TablebodyleftFinancialsTables"/>
              <w:jc w:val="right"/>
            </w:pPr>
            <w:r>
              <w:t>67,920</w:t>
            </w:r>
          </w:p>
        </w:tc>
      </w:tr>
      <w:tr w:rsidR="00B02873" w:rsidRPr="00B02873" w14:paraId="5AFF8668" w14:textId="77777777" w:rsidTr="00E532ED">
        <w:tc>
          <w:tcPr>
            <w:tcW w:w="5382" w:type="dxa"/>
          </w:tcPr>
          <w:p w14:paraId="3A6124A1" w14:textId="77777777" w:rsidR="00B02873" w:rsidRDefault="00B02873" w:rsidP="00E532ED">
            <w:pPr>
              <w:pStyle w:val="TablebodyleftFinancialsTables"/>
            </w:pPr>
            <w:r>
              <w:t>Surf Coast Shire</w:t>
            </w:r>
          </w:p>
        </w:tc>
        <w:tc>
          <w:tcPr>
            <w:tcW w:w="1559" w:type="dxa"/>
          </w:tcPr>
          <w:p w14:paraId="3BC6F706" w14:textId="77777777" w:rsidR="00B02873" w:rsidRDefault="00B02873" w:rsidP="00E532ED">
            <w:pPr>
              <w:pStyle w:val="TablebodyleftFinancialsTables"/>
              <w:jc w:val="right"/>
            </w:pPr>
            <w:r>
              <w:t>67,581</w:t>
            </w:r>
          </w:p>
        </w:tc>
      </w:tr>
      <w:tr w:rsidR="00B02873" w:rsidRPr="00B02873" w14:paraId="4BB52985" w14:textId="77777777" w:rsidTr="00E532ED">
        <w:tc>
          <w:tcPr>
            <w:tcW w:w="5382" w:type="dxa"/>
          </w:tcPr>
          <w:p w14:paraId="17D42CD5" w14:textId="77777777" w:rsidR="00B02873" w:rsidRDefault="00B02873" w:rsidP="00E532ED">
            <w:pPr>
              <w:pStyle w:val="TablebodyleftFinancialsTables"/>
            </w:pPr>
            <w:r>
              <w:t>Moira Shire Council</w:t>
            </w:r>
          </w:p>
        </w:tc>
        <w:tc>
          <w:tcPr>
            <w:tcW w:w="1559" w:type="dxa"/>
          </w:tcPr>
          <w:p w14:paraId="41C8B42E" w14:textId="77777777" w:rsidR="00B02873" w:rsidRDefault="00B02873" w:rsidP="00E532ED">
            <w:pPr>
              <w:pStyle w:val="TablebodyleftFinancialsTables"/>
              <w:jc w:val="right"/>
            </w:pPr>
            <w:r>
              <w:t>65,766</w:t>
            </w:r>
          </w:p>
        </w:tc>
      </w:tr>
      <w:tr w:rsidR="00B02873" w:rsidRPr="00B02873" w14:paraId="1CA53337" w14:textId="77777777" w:rsidTr="00E532ED">
        <w:tc>
          <w:tcPr>
            <w:tcW w:w="5382" w:type="dxa"/>
          </w:tcPr>
          <w:p w14:paraId="0006A0DF" w14:textId="77777777" w:rsidR="00B02873" w:rsidRDefault="00B02873" w:rsidP="00E532ED">
            <w:pPr>
              <w:pStyle w:val="TablebodyleftFinancialsTables"/>
            </w:pPr>
            <w:r>
              <w:t>South Gippsland Shire Council</w:t>
            </w:r>
          </w:p>
        </w:tc>
        <w:tc>
          <w:tcPr>
            <w:tcW w:w="1559" w:type="dxa"/>
          </w:tcPr>
          <w:p w14:paraId="19563E6A" w14:textId="77777777" w:rsidR="00B02873" w:rsidRDefault="00B02873" w:rsidP="00E532ED">
            <w:pPr>
              <w:pStyle w:val="TablebodyleftFinancialsTables"/>
              <w:jc w:val="right"/>
            </w:pPr>
            <w:r>
              <w:t>64,103</w:t>
            </w:r>
          </w:p>
        </w:tc>
      </w:tr>
      <w:tr w:rsidR="00B02873" w:rsidRPr="00B02873" w14:paraId="4400F0FC" w14:textId="77777777" w:rsidTr="00E532ED">
        <w:tc>
          <w:tcPr>
            <w:tcW w:w="5382" w:type="dxa"/>
          </w:tcPr>
          <w:p w14:paraId="08AA89C9" w14:textId="77777777" w:rsidR="00B02873" w:rsidRDefault="00B02873" w:rsidP="00E532ED">
            <w:pPr>
              <w:pStyle w:val="TablebodyleftFinancialsTables"/>
            </w:pPr>
            <w:r>
              <w:t>Moorabool Shire Council</w:t>
            </w:r>
          </w:p>
        </w:tc>
        <w:tc>
          <w:tcPr>
            <w:tcW w:w="1559" w:type="dxa"/>
          </w:tcPr>
          <w:p w14:paraId="1174AC41" w14:textId="77777777" w:rsidR="00B02873" w:rsidRDefault="00B02873" w:rsidP="00E532ED">
            <w:pPr>
              <w:pStyle w:val="TablebodyleftFinancialsTables"/>
              <w:jc w:val="right"/>
            </w:pPr>
            <w:r>
              <w:t>61,170</w:t>
            </w:r>
          </w:p>
        </w:tc>
      </w:tr>
      <w:tr w:rsidR="00B02873" w:rsidRPr="00B02873" w14:paraId="0CE11FAC" w14:textId="77777777" w:rsidTr="00E532ED">
        <w:tc>
          <w:tcPr>
            <w:tcW w:w="5382" w:type="dxa"/>
          </w:tcPr>
          <w:p w14:paraId="7329D64D" w14:textId="77777777" w:rsidR="00B02873" w:rsidRDefault="00B02873" w:rsidP="00E532ED">
            <w:pPr>
              <w:pStyle w:val="TablebodyleftFinancialsTables"/>
            </w:pPr>
            <w:r>
              <w:t>City of Wodonga</w:t>
            </w:r>
          </w:p>
        </w:tc>
        <w:tc>
          <w:tcPr>
            <w:tcW w:w="1559" w:type="dxa"/>
          </w:tcPr>
          <w:p w14:paraId="270F3140" w14:textId="77777777" w:rsidR="00B02873" w:rsidRDefault="00B02873" w:rsidP="00E532ED">
            <w:pPr>
              <w:pStyle w:val="TablebodyleftFinancialsTables"/>
              <w:jc w:val="right"/>
            </w:pPr>
            <w:r>
              <w:t>56,546</w:t>
            </w:r>
          </w:p>
        </w:tc>
      </w:tr>
      <w:tr w:rsidR="00B02873" w:rsidRPr="00B02873" w14:paraId="150337BB" w14:textId="77777777" w:rsidTr="00E532ED">
        <w:tc>
          <w:tcPr>
            <w:tcW w:w="5382" w:type="dxa"/>
          </w:tcPr>
          <w:p w14:paraId="3388BE89" w14:textId="77777777" w:rsidR="00B02873" w:rsidRDefault="00B02873" w:rsidP="00E532ED">
            <w:pPr>
              <w:pStyle w:val="TablebodyleftFinancialsTables"/>
            </w:pPr>
            <w:r>
              <w:t>Wangaratta Rural City Council</w:t>
            </w:r>
          </w:p>
        </w:tc>
        <w:tc>
          <w:tcPr>
            <w:tcW w:w="1559" w:type="dxa"/>
          </w:tcPr>
          <w:p w14:paraId="20025853" w14:textId="77777777" w:rsidR="00B02873" w:rsidRDefault="00B02873" w:rsidP="00E532ED">
            <w:pPr>
              <w:pStyle w:val="TablebodyleftFinancialsTables"/>
              <w:jc w:val="right"/>
            </w:pPr>
            <w:r>
              <w:t>54,051</w:t>
            </w:r>
          </w:p>
        </w:tc>
      </w:tr>
      <w:tr w:rsidR="00B02873" w:rsidRPr="00B02873" w14:paraId="534F09C8" w14:textId="77777777" w:rsidTr="00E532ED">
        <w:tc>
          <w:tcPr>
            <w:tcW w:w="5382" w:type="dxa"/>
          </w:tcPr>
          <w:p w14:paraId="377DB0AA" w14:textId="77777777" w:rsidR="00B02873" w:rsidRDefault="00B02873" w:rsidP="00E532ED">
            <w:pPr>
              <w:pStyle w:val="TablebodyleftFinancialsTables"/>
            </w:pPr>
            <w:r>
              <w:t>Warrnambool City Council</w:t>
            </w:r>
          </w:p>
        </w:tc>
        <w:tc>
          <w:tcPr>
            <w:tcW w:w="1559" w:type="dxa"/>
          </w:tcPr>
          <w:p w14:paraId="6BEF3848" w14:textId="77777777" w:rsidR="00B02873" w:rsidRDefault="00B02873" w:rsidP="00E532ED">
            <w:pPr>
              <w:pStyle w:val="TablebodyleftFinancialsTables"/>
              <w:jc w:val="right"/>
            </w:pPr>
            <w:r>
              <w:t>51,898</w:t>
            </w:r>
          </w:p>
        </w:tc>
      </w:tr>
      <w:tr w:rsidR="00B02873" w:rsidRPr="00B02873" w14:paraId="1FE46EC8" w14:textId="77777777" w:rsidTr="00E532ED">
        <w:tc>
          <w:tcPr>
            <w:tcW w:w="5382" w:type="dxa"/>
          </w:tcPr>
          <w:p w14:paraId="1A371F97" w14:textId="77777777" w:rsidR="00B02873" w:rsidRDefault="00B02873" w:rsidP="00E532ED">
            <w:pPr>
              <w:pStyle w:val="TablebodyleftFinancialsTables"/>
            </w:pPr>
            <w:r>
              <w:t>Murrindindi Shire Council</w:t>
            </w:r>
          </w:p>
        </w:tc>
        <w:tc>
          <w:tcPr>
            <w:tcW w:w="1559" w:type="dxa"/>
          </w:tcPr>
          <w:p w14:paraId="4FC3A6D7" w14:textId="77777777" w:rsidR="00B02873" w:rsidRDefault="00B02873" w:rsidP="00E532ED">
            <w:pPr>
              <w:pStyle w:val="TablebodyleftFinancialsTables"/>
              <w:jc w:val="right"/>
            </w:pPr>
            <w:r>
              <w:t>45,074</w:t>
            </w:r>
          </w:p>
        </w:tc>
      </w:tr>
      <w:tr w:rsidR="00B02873" w:rsidRPr="00B02873" w14:paraId="5A143379" w14:textId="77777777" w:rsidTr="00E532ED">
        <w:tc>
          <w:tcPr>
            <w:tcW w:w="5382" w:type="dxa"/>
          </w:tcPr>
          <w:p w14:paraId="197ABEFB" w14:textId="77777777" w:rsidR="00B02873" w:rsidRDefault="00B02873" w:rsidP="00E532ED">
            <w:pPr>
              <w:pStyle w:val="TablebodyleftFinancialsTables"/>
            </w:pPr>
            <w:r>
              <w:t>Swan Hill Rural City Council</w:t>
            </w:r>
          </w:p>
        </w:tc>
        <w:tc>
          <w:tcPr>
            <w:tcW w:w="1559" w:type="dxa"/>
          </w:tcPr>
          <w:p w14:paraId="14FD723C" w14:textId="77777777" w:rsidR="00B02873" w:rsidRDefault="00B02873" w:rsidP="00E532ED">
            <w:pPr>
              <w:pStyle w:val="TablebodyleftFinancialsTables"/>
              <w:jc w:val="right"/>
            </w:pPr>
            <w:r>
              <w:t>43,670</w:t>
            </w:r>
          </w:p>
        </w:tc>
      </w:tr>
      <w:tr w:rsidR="00B02873" w:rsidRPr="00B02873" w14:paraId="39DBA576" w14:textId="77777777" w:rsidTr="00E532ED">
        <w:tc>
          <w:tcPr>
            <w:tcW w:w="5382" w:type="dxa"/>
          </w:tcPr>
          <w:p w14:paraId="54079454" w14:textId="77777777" w:rsidR="00B02873" w:rsidRDefault="00B02873" w:rsidP="00E532ED">
            <w:pPr>
              <w:pStyle w:val="TablebodyleftFinancialsTables"/>
            </w:pPr>
            <w:r>
              <w:t>Moyne Shire Council</w:t>
            </w:r>
          </w:p>
        </w:tc>
        <w:tc>
          <w:tcPr>
            <w:tcW w:w="1559" w:type="dxa"/>
          </w:tcPr>
          <w:p w14:paraId="41D23F85" w14:textId="77777777" w:rsidR="00B02873" w:rsidRDefault="00B02873" w:rsidP="00E532ED">
            <w:pPr>
              <w:pStyle w:val="TablebodyleftFinancialsTables"/>
              <w:jc w:val="right"/>
            </w:pPr>
            <w:r>
              <w:t>41,931</w:t>
            </w:r>
          </w:p>
        </w:tc>
      </w:tr>
      <w:tr w:rsidR="00B02873" w:rsidRPr="00B02873" w14:paraId="0C7F03FA" w14:textId="77777777" w:rsidTr="00E532ED">
        <w:tc>
          <w:tcPr>
            <w:tcW w:w="5382" w:type="dxa"/>
          </w:tcPr>
          <w:p w14:paraId="3A677908" w14:textId="77777777" w:rsidR="00B02873" w:rsidRDefault="00B02873" w:rsidP="00E532ED">
            <w:pPr>
              <w:pStyle w:val="TablebodyleftFinancialsTables"/>
            </w:pPr>
            <w:r>
              <w:t>Corangamite Shire Council</w:t>
            </w:r>
          </w:p>
        </w:tc>
        <w:tc>
          <w:tcPr>
            <w:tcW w:w="1559" w:type="dxa"/>
          </w:tcPr>
          <w:p w14:paraId="2E9B0797" w14:textId="77777777" w:rsidR="00B02873" w:rsidRDefault="00B02873" w:rsidP="00E532ED">
            <w:pPr>
              <w:pStyle w:val="TablebodyleftFinancialsTables"/>
              <w:jc w:val="right"/>
            </w:pPr>
            <w:r>
              <w:t>41,750</w:t>
            </w:r>
          </w:p>
        </w:tc>
      </w:tr>
      <w:tr w:rsidR="00B02873" w:rsidRPr="00B02873" w14:paraId="0EF63391" w14:textId="77777777" w:rsidTr="00E532ED">
        <w:tc>
          <w:tcPr>
            <w:tcW w:w="5382" w:type="dxa"/>
          </w:tcPr>
          <w:p w14:paraId="7FC8324F" w14:textId="77777777" w:rsidR="00B02873" w:rsidRDefault="00B02873" w:rsidP="00E532ED">
            <w:pPr>
              <w:pStyle w:val="TablebodyleftFinancialsTables"/>
            </w:pPr>
            <w:r>
              <w:t>Glenelg Shire Council</w:t>
            </w:r>
          </w:p>
        </w:tc>
        <w:tc>
          <w:tcPr>
            <w:tcW w:w="1559" w:type="dxa"/>
          </w:tcPr>
          <w:p w14:paraId="3E3EEC26" w14:textId="77777777" w:rsidR="00B02873" w:rsidRDefault="00B02873" w:rsidP="00E532ED">
            <w:pPr>
              <w:pStyle w:val="TablebodyleftFinancialsTables"/>
              <w:jc w:val="right"/>
            </w:pPr>
            <w:r>
              <w:t>40,873</w:t>
            </w:r>
          </w:p>
        </w:tc>
      </w:tr>
      <w:tr w:rsidR="00B02873" w:rsidRPr="00B02873" w14:paraId="5E10937B" w14:textId="77777777" w:rsidTr="00E532ED">
        <w:tc>
          <w:tcPr>
            <w:tcW w:w="5382" w:type="dxa"/>
          </w:tcPr>
          <w:p w14:paraId="1624F947" w14:textId="77777777" w:rsidR="00B02873" w:rsidRDefault="00B02873" w:rsidP="00E532ED">
            <w:pPr>
              <w:pStyle w:val="TablebodyleftFinancialsTables"/>
            </w:pPr>
            <w:r>
              <w:t>Hepburn Shire Council</w:t>
            </w:r>
          </w:p>
        </w:tc>
        <w:tc>
          <w:tcPr>
            <w:tcW w:w="1559" w:type="dxa"/>
          </w:tcPr>
          <w:p w14:paraId="237BC3BB" w14:textId="77777777" w:rsidR="00B02873" w:rsidRDefault="00B02873" w:rsidP="00E532ED">
            <w:pPr>
              <w:pStyle w:val="TablebodyleftFinancialsTables"/>
              <w:jc w:val="right"/>
            </w:pPr>
            <w:r>
              <w:t>39,847</w:t>
            </w:r>
          </w:p>
        </w:tc>
      </w:tr>
      <w:tr w:rsidR="00B02873" w:rsidRPr="00B02873" w14:paraId="1715EDF8" w14:textId="77777777" w:rsidTr="00E532ED">
        <w:tc>
          <w:tcPr>
            <w:tcW w:w="5382" w:type="dxa"/>
          </w:tcPr>
          <w:p w14:paraId="3CF6B884" w14:textId="77777777" w:rsidR="00B02873" w:rsidRDefault="00B02873" w:rsidP="00E532ED">
            <w:pPr>
              <w:pStyle w:val="TablebodyleftFinancialsTables"/>
            </w:pPr>
            <w:r>
              <w:t>Golden Plains Shire Council</w:t>
            </w:r>
          </w:p>
        </w:tc>
        <w:tc>
          <w:tcPr>
            <w:tcW w:w="1559" w:type="dxa"/>
          </w:tcPr>
          <w:p w14:paraId="601169D5" w14:textId="77777777" w:rsidR="00B02873" w:rsidRDefault="00B02873" w:rsidP="00E532ED">
            <w:pPr>
              <w:pStyle w:val="TablebodyleftFinancialsTables"/>
              <w:jc w:val="right"/>
            </w:pPr>
            <w:r>
              <w:t>38,993</w:t>
            </w:r>
          </w:p>
        </w:tc>
      </w:tr>
      <w:tr w:rsidR="00B02873" w:rsidRPr="00B02873" w14:paraId="39A638D5" w14:textId="77777777" w:rsidTr="00E532ED">
        <w:tc>
          <w:tcPr>
            <w:tcW w:w="5382" w:type="dxa"/>
          </w:tcPr>
          <w:p w14:paraId="3F56F18D" w14:textId="77777777" w:rsidR="00B02873" w:rsidRDefault="00B02873" w:rsidP="00E532ED">
            <w:pPr>
              <w:pStyle w:val="TablebodyleftFinancialsTables"/>
            </w:pPr>
            <w:r>
              <w:t>Indigo Shire Council</w:t>
            </w:r>
          </w:p>
        </w:tc>
        <w:tc>
          <w:tcPr>
            <w:tcW w:w="1559" w:type="dxa"/>
          </w:tcPr>
          <w:p w14:paraId="057D7961" w14:textId="77777777" w:rsidR="00B02873" w:rsidRDefault="00B02873" w:rsidP="00E532ED">
            <w:pPr>
              <w:pStyle w:val="TablebodyleftFinancialsTables"/>
              <w:jc w:val="right"/>
            </w:pPr>
            <w:r>
              <w:t>31,960</w:t>
            </w:r>
          </w:p>
        </w:tc>
      </w:tr>
      <w:tr w:rsidR="00B02873" w:rsidRPr="00B02873" w14:paraId="1469EF71" w14:textId="77777777" w:rsidTr="00E532ED">
        <w:tc>
          <w:tcPr>
            <w:tcW w:w="5382" w:type="dxa"/>
          </w:tcPr>
          <w:p w14:paraId="38DF1EDE" w14:textId="77777777" w:rsidR="00B02873" w:rsidRDefault="00B02873" w:rsidP="00E532ED">
            <w:pPr>
              <w:pStyle w:val="TablebodyleftFinancialsTables"/>
            </w:pPr>
            <w:r>
              <w:t>Buloke Shire Council</w:t>
            </w:r>
          </w:p>
        </w:tc>
        <w:tc>
          <w:tcPr>
            <w:tcW w:w="1559" w:type="dxa"/>
          </w:tcPr>
          <w:p w14:paraId="62AFFC2B" w14:textId="77777777" w:rsidR="00B02873" w:rsidRDefault="00B02873" w:rsidP="00E532ED">
            <w:pPr>
              <w:pStyle w:val="TablebodyleftFinancialsTables"/>
              <w:jc w:val="right"/>
            </w:pPr>
            <w:r>
              <w:t>31,342</w:t>
            </w:r>
          </w:p>
        </w:tc>
      </w:tr>
      <w:tr w:rsidR="00B02873" w:rsidRPr="00B02873" w14:paraId="2A38E1CB" w14:textId="77777777" w:rsidTr="00E532ED">
        <w:tc>
          <w:tcPr>
            <w:tcW w:w="5382" w:type="dxa"/>
          </w:tcPr>
          <w:p w14:paraId="3F137228" w14:textId="77777777" w:rsidR="00B02873" w:rsidRDefault="00B02873" w:rsidP="00E532ED">
            <w:pPr>
              <w:pStyle w:val="TablebodyleftFinancialsTables"/>
            </w:pPr>
            <w:r>
              <w:t>Strathbogie Shire Council</w:t>
            </w:r>
          </w:p>
        </w:tc>
        <w:tc>
          <w:tcPr>
            <w:tcW w:w="1559" w:type="dxa"/>
          </w:tcPr>
          <w:p w14:paraId="680F3388" w14:textId="77777777" w:rsidR="00B02873" w:rsidRDefault="00B02873" w:rsidP="00E532ED">
            <w:pPr>
              <w:pStyle w:val="TablebodyleftFinancialsTables"/>
              <w:jc w:val="right"/>
            </w:pPr>
            <w:r>
              <w:t>31,277</w:t>
            </w:r>
          </w:p>
        </w:tc>
      </w:tr>
      <w:tr w:rsidR="00B02873" w:rsidRPr="00B02873" w14:paraId="7B772431" w14:textId="77777777" w:rsidTr="00E532ED">
        <w:tc>
          <w:tcPr>
            <w:tcW w:w="5382" w:type="dxa"/>
          </w:tcPr>
          <w:p w14:paraId="633AE61C" w14:textId="77777777" w:rsidR="00B02873" w:rsidRDefault="00B02873" w:rsidP="00E532ED">
            <w:pPr>
              <w:pStyle w:val="TablebodyleftFinancialsTables"/>
            </w:pPr>
            <w:r>
              <w:t>Southern Grampians Shire Council</w:t>
            </w:r>
          </w:p>
        </w:tc>
        <w:tc>
          <w:tcPr>
            <w:tcW w:w="1559" w:type="dxa"/>
          </w:tcPr>
          <w:p w14:paraId="659AB74E" w14:textId="77777777" w:rsidR="00B02873" w:rsidRDefault="00B02873" w:rsidP="00E532ED">
            <w:pPr>
              <w:pStyle w:val="TablebodyleftFinancialsTables"/>
              <w:jc w:val="right"/>
            </w:pPr>
            <w:r>
              <w:t>30,971</w:t>
            </w:r>
          </w:p>
        </w:tc>
      </w:tr>
      <w:tr w:rsidR="00B02873" w:rsidRPr="00B02873" w14:paraId="710C316C" w14:textId="77777777" w:rsidTr="00E532ED">
        <w:tc>
          <w:tcPr>
            <w:tcW w:w="5382" w:type="dxa"/>
          </w:tcPr>
          <w:p w14:paraId="24B46B7B" w14:textId="77777777" w:rsidR="00B02873" w:rsidRDefault="00B02873" w:rsidP="00E532ED">
            <w:pPr>
              <w:pStyle w:val="TablebodyleftFinancialsTables"/>
            </w:pPr>
            <w:r>
              <w:t>Gannawarra Shire Council</w:t>
            </w:r>
          </w:p>
        </w:tc>
        <w:tc>
          <w:tcPr>
            <w:tcW w:w="1559" w:type="dxa"/>
          </w:tcPr>
          <w:p w14:paraId="388C14F1" w14:textId="77777777" w:rsidR="00B02873" w:rsidRDefault="00B02873" w:rsidP="00E532ED">
            <w:pPr>
              <w:pStyle w:val="TablebodyleftFinancialsTables"/>
              <w:jc w:val="right"/>
            </w:pPr>
            <w:r>
              <w:t>30,127</w:t>
            </w:r>
          </w:p>
        </w:tc>
      </w:tr>
      <w:tr w:rsidR="00B02873" w:rsidRPr="00B02873" w14:paraId="0699B989" w14:textId="77777777" w:rsidTr="00E532ED">
        <w:tc>
          <w:tcPr>
            <w:tcW w:w="5382" w:type="dxa"/>
          </w:tcPr>
          <w:p w14:paraId="7BD0EE32" w14:textId="77777777" w:rsidR="00B02873" w:rsidRDefault="00B02873" w:rsidP="00E532ED">
            <w:pPr>
              <w:pStyle w:val="TablebodyleftFinancialsTables"/>
            </w:pPr>
            <w:r>
              <w:t>Towong Shire Council</w:t>
            </w:r>
          </w:p>
        </w:tc>
        <w:tc>
          <w:tcPr>
            <w:tcW w:w="1559" w:type="dxa"/>
          </w:tcPr>
          <w:p w14:paraId="194EFF02" w14:textId="77777777" w:rsidR="00B02873" w:rsidRDefault="00B02873" w:rsidP="00E532ED">
            <w:pPr>
              <w:pStyle w:val="TablebodyleftFinancialsTables"/>
              <w:jc w:val="right"/>
            </w:pPr>
            <w:r>
              <w:t>29,758</w:t>
            </w:r>
          </w:p>
        </w:tc>
      </w:tr>
      <w:tr w:rsidR="00B02873" w:rsidRPr="00B02873" w14:paraId="495F680A" w14:textId="77777777" w:rsidTr="00E532ED">
        <w:tc>
          <w:tcPr>
            <w:tcW w:w="5382" w:type="dxa"/>
          </w:tcPr>
          <w:p w14:paraId="526F6D06" w14:textId="77777777" w:rsidR="00B02873" w:rsidRDefault="00B02873" w:rsidP="00E532ED">
            <w:pPr>
              <w:pStyle w:val="TablebodyleftFinancialsTables"/>
            </w:pPr>
            <w:r>
              <w:t>Pyrenees Shire Council</w:t>
            </w:r>
          </w:p>
        </w:tc>
        <w:tc>
          <w:tcPr>
            <w:tcW w:w="1559" w:type="dxa"/>
          </w:tcPr>
          <w:p w14:paraId="17B6581F" w14:textId="77777777" w:rsidR="00B02873" w:rsidRDefault="00B02873" w:rsidP="00E532ED">
            <w:pPr>
              <w:pStyle w:val="TablebodyleftFinancialsTables"/>
              <w:jc w:val="right"/>
            </w:pPr>
            <w:r>
              <w:t>29,555</w:t>
            </w:r>
          </w:p>
        </w:tc>
      </w:tr>
      <w:tr w:rsidR="00B02873" w:rsidRPr="00B02873" w14:paraId="2599E65B" w14:textId="77777777" w:rsidTr="00E532ED">
        <w:tc>
          <w:tcPr>
            <w:tcW w:w="5382" w:type="dxa"/>
          </w:tcPr>
          <w:p w14:paraId="6C272C1C" w14:textId="77777777" w:rsidR="00B02873" w:rsidRDefault="00B02873" w:rsidP="00E532ED">
            <w:pPr>
              <w:pStyle w:val="TablebodyleftFinancialsTables"/>
            </w:pPr>
            <w:r>
              <w:t>Mansfield Shire Council</w:t>
            </w:r>
          </w:p>
        </w:tc>
        <w:tc>
          <w:tcPr>
            <w:tcW w:w="1559" w:type="dxa"/>
          </w:tcPr>
          <w:p w14:paraId="35D41E44" w14:textId="77777777" w:rsidR="00B02873" w:rsidRDefault="00B02873" w:rsidP="00E532ED">
            <w:pPr>
              <w:pStyle w:val="TablebodyleftFinancialsTables"/>
              <w:jc w:val="right"/>
            </w:pPr>
            <w:r>
              <w:t>29,410</w:t>
            </w:r>
          </w:p>
        </w:tc>
      </w:tr>
      <w:tr w:rsidR="00B02873" w:rsidRPr="00B02873" w14:paraId="5C21EABD" w14:textId="77777777" w:rsidTr="00E532ED">
        <w:tc>
          <w:tcPr>
            <w:tcW w:w="5382" w:type="dxa"/>
          </w:tcPr>
          <w:p w14:paraId="1C26E7C2" w14:textId="77777777" w:rsidR="00B02873" w:rsidRDefault="00B02873" w:rsidP="00E532ED">
            <w:pPr>
              <w:pStyle w:val="TablebodyleftFinancialsTables"/>
            </w:pPr>
            <w:r>
              <w:t>Horsham Rural City Council</w:t>
            </w:r>
          </w:p>
        </w:tc>
        <w:tc>
          <w:tcPr>
            <w:tcW w:w="1559" w:type="dxa"/>
          </w:tcPr>
          <w:p w14:paraId="1B95C7E2" w14:textId="77777777" w:rsidR="00B02873" w:rsidRDefault="00B02873" w:rsidP="00E532ED">
            <w:pPr>
              <w:pStyle w:val="TablebodyleftFinancialsTables"/>
              <w:jc w:val="right"/>
            </w:pPr>
            <w:r>
              <w:t>28,906</w:t>
            </w:r>
          </w:p>
        </w:tc>
      </w:tr>
      <w:tr w:rsidR="00B02873" w:rsidRPr="00B02873" w14:paraId="447D60D0" w14:textId="77777777" w:rsidTr="00E532ED">
        <w:tc>
          <w:tcPr>
            <w:tcW w:w="5382" w:type="dxa"/>
          </w:tcPr>
          <w:p w14:paraId="1C3732FF" w14:textId="77777777" w:rsidR="00B02873" w:rsidRDefault="00B02873" w:rsidP="00E532ED">
            <w:pPr>
              <w:pStyle w:val="TablebodyleftFinancialsTables"/>
            </w:pPr>
            <w:r>
              <w:t>Mt Hotham Alpine Resort Management Board</w:t>
            </w:r>
          </w:p>
        </w:tc>
        <w:tc>
          <w:tcPr>
            <w:tcW w:w="1559" w:type="dxa"/>
          </w:tcPr>
          <w:p w14:paraId="0CAC2E6A" w14:textId="77777777" w:rsidR="00B02873" w:rsidRDefault="00B02873" w:rsidP="00E532ED">
            <w:pPr>
              <w:pStyle w:val="TablebodyleftFinancialsTables"/>
              <w:jc w:val="right"/>
            </w:pPr>
            <w:r>
              <w:t>28,125</w:t>
            </w:r>
          </w:p>
        </w:tc>
      </w:tr>
      <w:tr w:rsidR="00B02873" w:rsidRPr="00B02873" w14:paraId="158FAFE5" w14:textId="77777777" w:rsidTr="00E532ED">
        <w:tc>
          <w:tcPr>
            <w:tcW w:w="5382" w:type="dxa"/>
          </w:tcPr>
          <w:p w14:paraId="18F7F045" w14:textId="77777777" w:rsidR="00B02873" w:rsidRDefault="00B02873" w:rsidP="00E532ED">
            <w:pPr>
              <w:pStyle w:val="TablebodyleftFinancialsTables"/>
            </w:pPr>
            <w:r>
              <w:t>Southern Alpine Resort Management Board</w:t>
            </w:r>
          </w:p>
        </w:tc>
        <w:tc>
          <w:tcPr>
            <w:tcW w:w="1559" w:type="dxa"/>
          </w:tcPr>
          <w:p w14:paraId="7AC93F56" w14:textId="77777777" w:rsidR="00B02873" w:rsidRDefault="00B02873" w:rsidP="00E532ED">
            <w:pPr>
              <w:pStyle w:val="TablebodyleftFinancialsTables"/>
              <w:jc w:val="right"/>
            </w:pPr>
            <w:r>
              <w:t>28,125</w:t>
            </w:r>
          </w:p>
        </w:tc>
      </w:tr>
      <w:tr w:rsidR="00B02873" w:rsidRPr="00B02873" w14:paraId="78CDB292" w14:textId="77777777" w:rsidTr="00E532ED">
        <w:tc>
          <w:tcPr>
            <w:tcW w:w="5382" w:type="dxa"/>
          </w:tcPr>
          <w:p w14:paraId="445B9C2A" w14:textId="77777777" w:rsidR="00B02873" w:rsidRDefault="00B02873" w:rsidP="00E532ED">
            <w:pPr>
              <w:pStyle w:val="TablebodyleftFinancialsTables"/>
            </w:pPr>
            <w:r>
              <w:lastRenderedPageBreak/>
              <w:t>Mt Buller and Mt Stirling Alpine Resort Management Board</w:t>
            </w:r>
          </w:p>
        </w:tc>
        <w:tc>
          <w:tcPr>
            <w:tcW w:w="1559" w:type="dxa"/>
          </w:tcPr>
          <w:p w14:paraId="0982C509" w14:textId="77777777" w:rsidR="00B02873" w:rsidRDefault="00B02873" w:rsidP="00E532ED">
            <w:pPr>
              <w:pStyle w:val="TablebodyleftFinancialsTables"/>
              <w:jc w:val="right"/>
            </w:pPr>
            <w:r>
              <w:t>28,125</w:t>
            </w:r>
          </w:p>
        </w:tc>
      </w:tr>
      <w:tr w:rsidR="00B02873" w:rsidRPr="00B02873" w14:paraId="62BAA0B3" w14:textId="77777777" w:rsidTr="00E532ED">
        <w:tc>
          <w:tcPr>
            <w:tcW w:w="5382" w:type="dxa"/>
          </w:tcPr>
          <w:p w14:paraId="0648961C" w14:textId="77777777" w:rsidR="00B02873" w:rsidRDefault="00B02873" w:rsidP="00E532ED">
            <w:pPr>
              <w:pStyle w:val="TablebodyleftFinancialsTables"/>
            </w:pPr>
            <w:r>
              <w:t>Falls Creek Resort Management</w:t>
            </w:r>
          </w:p>
        </w:tc>
        <w:tc>
          <w:tcPr>
            <w:tcW w:w="1559" w:type="dxa"/>
          </w:tcPr>
          <w:p w14:paraId="29B36872" w14:textId="77777777" w:rsidR="00B02873" w:rsidRDefault="00B02873" w:rsidP="00E532ED">
            <w:pPr>
              <w:pStyle w:val="TablebodyleftFinancialsTables"/>
              <w:jc w:val="right"/>
            </w:pPr>
            <w:r>
              <w:t>28,125</w:t>
            </w:r>
          </w:p>
        </w:tc>
      </w:tr>
      <w:tr w:rsidR="00B02873" w:rsidRPr="00B02873" w14:paraId="58D64AD6" w14:textId="77777777" w:rsidTr="00E532ED">
        <w:tc>
          <w:tcPr>
            <w:tcW w:w="5382" w:type="dxa"/>
          </w:tcPr>
          <w:p w14:paraId="2CB3D137" w14:textId="77777777" w:rsidR="00B02873" w:rsidRDefault="00B02873" w:rsidP="00E532ED">
            <w:pPr>
              <w:pStyle w:val="TablebodyleftFinancialsTables"/>
            </w:pPr>
            <w:r>
              <w:t>Ararat Rural City Council</w:t>
            </w:r>
          </w:p>
        </w:tc>
        <w:tc>
          <w:tcPr>
            <w:tcW w:w="1559" w:type="dxa"/>
          </w:tcPr>
          <w:p w14:paraId="096DEAD3" w14:textId="77777777" w:rsidR="00B02873" w:rsidRDefault="00B02873" w:rsidP="00E532ED">
            <w:pPr>
              <w:pStyle w:val="TablebodyleftFinancialsTables"/>
              <w:jc w:val="right"/>
            </w:pPr>
            <w:r>
              <w:t>27,747</w:t>
            </w:r>
          </w:p>
        </w:tc>
      </w:tr>
      <w:tr w:rsidR="00B02873" w:rsidRPr="00B02873" w14:paraId="4E52CF1A" w14:textId="77777777" w:rsidTr="00E532ED">
        <w:tc>
          <w:tcPr>
            <w:tcW w:w="5382" w:type="dxa"/>
          </w:tcPr>
          <w:p w14:paraId="3001D7B3" w14:textId="77777777" w:rsidR="00B02873" w:rsidRDefault="00B02873" w:rsidP="00E532ED">
            <w:pPr>
              <w:pStyle w:val="TablebodyleftFinancialsTables"/>
            </w:pPr>
            <w:r>
              <w:t>Loddon Shire Council</w:t>
            </w:r>
          </w:p>
        </w:tc>
        <w:tc>
          <w:tcPr>
            <w:tcW w:w="1559" w:type="dxa"/>
          </w:tcPr>
          <w:p w14:paraId="51BCAD57" w14:textId="77777777" w:rsidR="00B02873" w:rsidRDefault="00B02873" w:rsidP="00E532ED">
            <w:pPr>
              <w:pStyle w:val="TablebodyleftFinancialsTables"/>
              <w:jc w:val="right"/>
            </w:pPr>
            <w:r>
              <w:t>27,252</w:t>
            </w:r>
          </w:p>
        </w:tc>
      </w:tr>
      <w:tr w:rsidR="00B02873" w:rsidRPr="00B02873" w14:paraId="6033FC50" w14:textId="77777777" w:rsidTr="00E532ED">
        <w:tc>
          <w:tcPr>
            <w:tcW w:w="5382" w:type="dxa"/>
          </w:tcPr>
          <w:p w14:paraId="59DFF2E2" w14:textId="77777777" w:rsidR="00B02873" w:rsidRDefault="00B02873" w:rsidP="00E532ED">
            <w:pPr>
              <w:pStyle w:val="TablebodyleftFinancialsTables"/>
            </w:pPr>
            <w:r>
              <w:t>Alpine Shire Council</w:t>
            </w:r>
          </w:p>
        </w:tc>
        <w:tc>
          <w:tcPr>
            <w:tcW w:w="1559" w:type="dxa"/>
          </w:tcPr>
          <w:p w14:paraId="7F75AB27" w14:textId="77777777" w:rsidR="00B02873" w:rsidRDefault="00B02873" w:rsidP="00E532ED">
            <w:pPr>
              <w:pStyle w:val="TablebodyleftFinancialsTables"/>
              <w:jc w:val="right"/>
            </w:pPr>
            <w:r>
              <w:t>26,363</w:t>
            </w:r>
          </w:p>
        </w:tc>
      </w:tr>
      <w:tr w:rsidR="00B02873" w:rsidRPr="00B02873" w14:paraId="6FB35FBA" w14:textId="77777777" w:rsidTr="00E532ED">
        <w:tc>
          <w:tcPr>
            <w:tcW w:w="5382" w:type="dxa"/>
          </w:tcPr>
          <w:p w14:paraId="456380B9" w14:textId="77777777" w:rsidR="00B02873" w:rsidRDefault="00B02873" w:rsidP="00E532ED">
            <w:pPr>
              <w:pStyle w:val="TablebodyleftFinancialsTables"/>
            </w:pPr>
            <w:r>
              <w:t>Northern Grampians Shire Council</w:t>
            </w:r>
          </w:p>
        </w:tc>
        <w:tc>
          <w:tcPr>
            <w:tcW w:w="1559" w:type="dxa"/>
          </w:tcPr>
          <w:p w14:paraId="154E161F" w14:textId="77777777" w:rsidR="00B02873" w:rsidRDefault="00B02873" w:rsidP="00E532ED">
            <w:pPr>
              <w:pStyle w:val="TablebodyleftFinancialsTables"/>
              <w:jc w:val="right"/>
            </w:pPr>
            <w:r>
              <w:t>25,800</w:t>
            </w:r>
          </w:p>
        </w:tc>
      </w:tr>
      <w:tr w:rsidR="00B02873" w:rsidRPr="00B02873" w14:paraId="0603ED5E" w14:textId="77777777" w:rsidTr="00E532ED">
        <w:tc>
          <w:tcPr>
            <w:tcW w:w="5382" w:type="dxa"/>
          </w:tcPr>
          <w:p w14:paraId="4F6C52D0" w14:textId="77777777" w:rsidR="00B02873" w:rsidRDefault="00B02873" w:rsidP="00E532ED">
            <w:pPr>
              <w:pStyle w:val="TablebodyleftFinancialsTables"/>
            </w:pPr>
            <w:r>
              <w:t>Hindmarsh Shire Council</w:t>
            </w:r>
          </w:p>
        </w:tc>
        <w:tc>
          <w:tcPr>
            <w:tcW w:w="1559" w:type="dxa"/>
          </w:tcPr>
          <w:p w14:paraId="09B1D34D" w14:textId="77777777" w:rsidR="00B02873" w:rsidRDefault="00B02873" w:rsidP="00E532ED">
            <w:pPr>
              <w:pStyle w:val="TablebodyleftFinancialsTables"/>
              <w:jc w:val="right"/>
            </w:pPr>
            <w:r>
              <w:t>21,646</w:t>
            </w:r>
          </w:p>
        </w:tc>
      </w:tr>
      <w:tr w:rsidR="00B02873" w:rsidRPr="00B02873" w14:paraId="35FCD1FA" w14:textId="77777777" w:rsidTr="00E532ED">
        <w:tc>
          <w:tcPr>
            <w:tcW w:w="5382" w:type="dxa"/>
          </w:tcPr>
          <w:p w14:paraId="5FB5F20F" w14:textId="77777777" w:rsidR="00B02873" w:rsidRDefault="00B02873" w:rsidP="00E532ED">
            <w:pPr>
              <w:pStyle w:val="TablebodyleftFinancialsTables"/>
            </w:pPr>
            <w:r>
              <w:t>Central Goldfields Shire Council</w:t>
            </w:r>
          </w:p>
        </w:tc>
        <w:tc>
          <w:tcPr>
            <w:tcW w:w="1559" w:type="dxa"/>
          </w:tcPr>
          <w:p w14:paraId="62140B27" w14:textId="77777777" w:rsidR="00B02873" w:rsidRDefault="00B02873" w:rsidP="00E532ED">
            <w:pPr>
              <w:pStyle w:val="TablebodyleftFinancialsTables"/>
              <w:jc w:val="right"/>
            </w:pPr>
            <w:r>
              <w:t>21,288</w:t>
            </w:r>
          </w:p>
        </w:tc>
      </w:tr>
      <w:tr w:rsidR="00B02873" w:rsidRPr="00B02873" w14:paraId="763619DA" w14:textId="77777777" w:rsidTr="00E532ED">
        <w:tc>
          <w:tcPr>
            <w:tcW w:w="5382" w:type="dxa"/>
          </w:tcPr>
          <w:p w14:paraId="3F10327F" w14:textId="77777777" w:rsidR="00B02873" w:rsidRDefault="00B02873" w:rsidP="00E532ED">
            <w:pPr>
              <w:pStyle w:val="TablebodyleftFinancialsTables"/>
            </w:pPr>
            <w:r>
              <w:t>West Wimmera Shire Council</w:t>
            </w:r>
          </w:p>
        </w:tc>
        <w:tc>
          <w:tcPr>
            <w:tcW w:w="1559" w:type="dxa"/>
          </w:tcPr>
          <w:p w14:paraId="6B6E0155" w14:textId="77777777" w:rsidR="00B02873" w:rsidRDefault="00B02873" w:rsidP="00E532ED">
            <w:pPr>
              <w:pStyle w:val="TablebodyleftFinancialsTables"/>
              <w:jc w:val="right"/>
            </w:pPr>
            <w:r>
              <w:t>21,261</w:t>
            </w:r>
          </w:p>
        </w:tc>
      </w:tr>
      <w:tr w:rsidR="00B02873" w:rsidRPr="00B02873" w14:paraId="5B091545" w14:textId="77777777" w:rsidTr="00E532ED">
        <w:tc>
          <w:tcPr>
            <w:tcW w:w="5382" w:type="dxa"/>
          </w:tcPr>
          <w:p w14:paraId="148AC9B1" w14:textId="77777777" w:rsidR="00B02873" w:rsidRDefault="00B02873" w:rsidP="00E532ED">
            <w:pPr>
              <w:pStyle w:val="TablebodyleftFinancialsTables"/>
            </w:pPr>
            <w:r>
              <w:t>Borough of Queenscliffe</w:t>
            </w:r>
          </w:p>
        </w:tc>
        <w:tc>
          <w:tcPr>
            <w:tcW w:w="1559" w:type="dxa"/>
          </w:tcPr>
          <w:p w14:paraId="2B684AC4" w14:textId="77777777" w:rsidR="00B02873" w:rsidRDefault="00B02873" w:rsidP="00E532ED">
            <w:pPr>
              <w:pStyle w:val="TablebodyleftFinancialsTables"/>
              <w:jc w:val="right"/>
            </w:pPr>
            <w:r>
              <w:t>19,227</w:t>
            </w:r>
          </w:p>
        </w:tc>
      </w:tr>
      <w:tr w:rsidR="00B02873" w:rsidRPr="00E532ED" w14:paraId="0A983B35" w14:textId="77777777" w:rsidTr="00E532ED">
        <w:tc>
          <w:tcPr>
            <w:tcW w:w="5382" w:type="dxa"/>
          </w:tcPr>
          <w:p w14:paraId="0681F0A1" w14:textId="77777777" w:rsidR="00B02873" w:rsidRPr="00E532ED" w:rsidRDefault="00B02873" w:rsidP="00E532ED">
            <w:pPr>
              <w:pStyle w:val="TablebodyleftFinancialsTables"/>
              <w:rPr>
                <w:b/>
                <w:bCs/>
              </w:rPr>
            </w:pPr>
            <w:r w:rsidRPr="00E532ED">
              <w:rPr>
                <w:b/>
                <w:bCs/>
              </w:rPr>
              <w:t>Total</w:t>
            </w:r>
          </w:p>
        </w:tc>
        <w:tc>
          <w:tcPr>
            <w:tcW w:w="1559" w:type="dxa"/>
          </w:tcPr>
          <w:p w14:paraId="41F90DEE" w14:textId="77777777" w:rsidR="00B02873" w:rsidRPr="00E532ED" w:rsidRDefault="00B02873" w:rsidP="00E532ED">
            <w:pPr>
              <w:pStyle w:val="TablebodyleftFinancialsTables"/>
              <w:jc w:val="right"/>
              <w:rPr>
                <w:b/>
                <w:bCs/>
              </w:rPr>
            </w:pPr>
            <w:r w:rsidRPr="00E532ED">
              <w:rPr>
                <w:b/>
                <w:bCs/>
              </w:rPr>
              <w:t>27,405,752</w:t>
            </w:r>
          </w:p>
        </w:tc>
      </w:tr>
    </w:tbl>
    <w:p w14:paraId="0D240845" w14:textId="77777777" w:rsidR="00B02873" w:rsidRDefault="00B02873" w:rsidP="00FE198A"/>
    <w:p w14:paraId="4128D06D" w14:textId="5CC22B0E" w:rsidR="00B02873" w:rsidRDefault="00B02873" w:rsidP="00E532ED">
      <w:pPr>
        <w:pStyle w:val="TabletitleTables"/>
      </w:pPr>
      <w:r>
        <w:t>Table 7</w:t>
      </w:r>
      <w:r w:rsidR="000C45FC">
        <w:t xml:space="preserve"> – </w:t>
      </w:r>
      <w:r>
        <w:t>Energy</w:t>
      </w:r>
    </w:p>
    <w:tbl>
      <w:tblPr>
        <w:tblStyle w:val="TableGrid"/>
        <w:tblW w:w="0" w:type="auto"/>
        <w:tblLayout w:type="fixed"/>
        <w:tblLook w:val="0020" w:firstRow="1" w:lastRow="0" w:firstColumn="0" w:lastColumn="0" w:noHBand="0" w:noVBand="0"/>
      </w:tblPr>
      <w:tblGrid>
        <w:gridCol w:w="5382"/>
        <w:gridCol w:w="1559"/>
      </w:tblGrid>
      <w:tr w:rsidR="00B02873" w:rsidRPr="00B02873" w14:paraId="253B9071" w14:textId="77777777" w:rsidTr="00E532ED">
        <w:trPr>
          <w:cnfStyle w:val="100000000000" w:firstRow="1" w:lastRow="0" w:firstColumn="0" w:lastColumn="0" w:oddVBand="0" w:evenVBand="0" w:oddHBand="0" w:evenHBand="0" w:firstRowFirstColumn="0" w:firstRowLastColumn="0" w:lastRowFirstColumn="0" w:lastRowLastColumn="0"/>
          <w:tblHeader/>
        </w:trPr>
        <w:tc>
          <w:tcPr>
            <w:tcW w:w="5382" w:type="dxa"/>
          </w:tcPr>
          <w:p w14:paraId="55D0C73A" w14:textId="77777777" w:rsidR="00B02873" w:rsidRDefault="00B02873" w:rsidP="00E532ED">
            <w:pPr>
              <w:pStyle w:val="TableheadingleftFinancialsTables"/>
            </w:pPr>
            <w:r>
              <w:t>Grant recipient</w:t>
            </w:r>
          </w:p>
        </w:tc>
        <w:tc>
          <w:tcPr>
            <w:tcW w:w="1559" w:type="dxa"/>
          </w:tcPr>
          <w:p w14:paraId="4577EFE9" w14:textId="77777777" w:rsidR="00B02873" w:rsidRDefault="00B02873" w:rsidP="00E532ED">
            <w:pPr>
              <w:pStyle w:val="TableheadingleftFinancialsTables"/>
              <w:jc w:val="right"/>
            </w:pPr>
            <w:r>
              <w:t>$</w:t>
            </w:r>
          </w:p>
        </w:tc>
      </w:tr>
      <w:tr w:rsidR="00B02873" w:rsidRPr="00B02873" w14:paraId="13DE9E0A" w14:textId="77777777" w:rsidTr="00E532ED">
        <w:tc>
          <w:tcPr>
            <w:tcW w:w="5382" w:type="dxa"/>
          </w:tcPr>
          <w:p w14:paraId="79210DDF" w14:textId="6B949911" w:rsidR="00B02873" w:rsidRDefault="00B02873" w:rsidP="00E532ED">
            <w:pPr>
              <w:pStyle w:val="TablebodyleftFinancialsTables"/>
            </w:pPr>
            <w:r>
              <w:t>$250 Power Saving Bonus Program</w:t>
            </w:r>
            <w:r w:rsidR="000C45FC">
              <w:t xml:space="preserve"> – </w:t>
            </w:r>
            <w:r>
              <w:t>Payments to eligible Victorian households</w:t>
            </w:r>
          </w:p>
        </w:tc>
        <w:tc>
          <w:tcPr>
            <w:tcW w:w="1559" w:type="dxa"/>
          </w:tcPr>
          <w:p w14:paraId="041E2784" w14:textId="77777777" w:rsidR="00B02873" w:rsidRDefault="00B02873" w:rsidP="00E532ED">
            <w:pPr>
              <w:pStyle w:val="TablebodyleftFinancialsTables"/>
              <w:jc w:val="right"/>
            </w:pPr>
            <w:r>
              <w:t>43,406,150</w:t>
            </w:r>
          </w:p>
        </w:tc>
      </w:tr>
      <w:tr w:rsidR="00B02873" w:rsidRPr="00B02873" w14:paraId="0ED3550B" w14:textId="77777777" w:rsidTr="00E532ED">
        <w:tc>
          <w:tcPr>
            <w:tcW w:w="5382" w:type="dxa"/>
          </w:tcPr>
          <w:p w14:paraId="5E61AA1E" w14:textId="77777777" w:rsidR="00B02873" w:rsidRDefault="00B02873" w:rsidP="00E532ED">
            <w:pPr>
              <w:pStyle w:val="TablebodyleftFinancialsTables"/>
            </w:pPr>
            <w:r>
              <w:t>Recipients of the Prolonged Power Outage Payment</w:t>
            </w:r>
          </w:p>
        </w:tc>
        <w:tc>
          <w:tcPr>
            <w:tcW w:w="1559" w:type="dxa"/>
          </w:tcPr>
          <w:p w14:paraId="63C81B7C" w14:textId="77777777" w:rsidR="00B02873" w:rsidRDefault="00B02873" w:rsidP="00E532ED">
            <w:pPr>
              <w:pStyle w:val="TablebodyleftFinancialsTables"/>
              <w:jc w:val="right"/>
            </w:pPr>
            <w:r>
              <w:t>12,797,860</w:t>
            </w:r>
          </w:p>
        </w:tc>
      </w:tr>
      <w:tr w:rsidR="00B02873" w:rsidRPr="00B02873" w14:paraId="49DC97B0" w14:textId="77777777" w:rsidTr="00E532ED">
        <w:tc>
          <w:tcPr>
            <w:tcW w:w="5382" w:type="dxa"/>
          </w:tcPr>
          <w:p w14:paraId="5C72372C" w14:textId="77777777" w:rsidR="00B02873" w:rsidRDefault="00B02873" w:rsidP="00E532ED">
            <w:pPr>
              <w:pStyle w:val="TablebodyleftFinancialsTables"/>
            </w:pPr>
            <w:r>
              <w:t>Recipients of the Zero Emissions Vehicle Subsidy Program</w:t>
            </w:r>
          </w:p>
        </w:tc>
        <w:tc>
          <w:tcPr>
            <w:tcW w:w="1559" w:type="dxa"/>
          </w:tcPr>
          <w:p w14:paraId="24BB8B52" w14:textId="77777777" w:rsidR="00B02873" w:rsidRDefault="00B02873" w:rsidP="00E532ED">
            <w:pPr>
              <w:pStyle w:val="TablebodyleftFinancialsTables"/>
              <w:jc w:val="right"/>
            </w:pPr>
            <w:r>
              <w:t>9,033,000</w:t>
            </w:r>
          </w:p>
        </w:tc>
      </w:tr>
      <w:tr w:rsidR="00B02873" w:rsidRPr="00B02873" w14:paraId="5BB77324" w14:textId="77777777" w:rsidTr="00E532ED">
        <w:tc>
          <w:tcPr>
            <w:tcW w:w="5382" w:type="dxa"/>
          </w:tcPr>
          <w:p w14:paraId="2EB41F0B" w14:textId="77777777" w:rsidR="00B02873" w:rsidRDefault="00B02873" w:rsidP="00E532ED">
            <w:pPr>
              <w:pStyle w:val="TablebodyleftFinancialsTables"/>
            </w:pPr>
            <w:r>
              <w:t>Sustainability Victoria</w:t>
            </w:r>
          </w:p>
        </w:tc>
        <w:tc>
          <w:tcPr>
            <w:tcW w:w="1559" w:type="dxa"/>
          </w:tcPr>
          <w:p w14:paraId="4F17B63F" w14:textId="77777777" w:rsidR="00B02873" w:rsidRDefault="00B02873" w:rsidP="00E532ED">
            <w:pPr>
              <w:pStyle w:val="TablebodyleftFinancialsTables"/>
              <w:jc w:val="right"/>
            </w:pPr>
            <w:r>
              <w:t>7,166,060</w:t>
            </w:r>
          </w:p>
        </w:tc>
      </w:tr>
      <w:tr w:rsidR="00B02873" w:rsidRPr="00B02873" w14:paraId="3E51236B" w14:textId="77777777" w:rsidTr="00E532ED">
        <w:tc>
          <w:tcPr>
            <w:tcW w:w="5382" w:type="dxa"/>
          </w:tcPr>
          <w:p w14:paraId="27C90745" w14:textId="77777777" w:rsidR="00B02873" w:rsidRDefault="00B02873" w:rsidP="00E532ED">
            <w:pPr>
              <w:pStyle w:val="TablebodyleftFinancialsTables"/>
            </w:pPr>
            <w:r>
              <w:t>Ausnet Electricity Services Pty Ltd</w:t>
            </w:r>
          </w:p>
        </w:tc>
        <w:tc>
          <w:tcPr>
            <w:tcW w:w="1559" w:type="dxa"/>
          </w:tcPr>
          <w:p w14:paraId="662897B7" w14:textId="77777777" w:rsidR="00B02873" w:rsidRDefault="00B02873" w:rsidP="00E532ED">
            <w:pPr>
              <w:pStyle w:val="TablebodyleftFinancialsTables"/>
              <w:jc w:val="right"/>
            </w:pPr>
            <w:r>
              <w:t>3,836,284</w:t>
            </w:r>
          </w:p>
        </w:tc>
      </w:tr>
      <w:tr w:rsidR="00B02873" w:rsidRPr="00B02873" w14:paraId="1AB9B7E2" w14:textId="77777777" w:rsidTr="00E532ED">
        <w:tc>
          <w:tcPr>
            <w:tcW w:w="5382" w:type="dxa"/>
          </w:tcPr>
          <w:p w14:paraId="49C894D7" w14:textId="77777777" w:rsidR="00B02873" w:rsidRDefault="00B02873" w:rsidP="00E532ED">
            <w:pPr>
              <w:pStyle w:val="TablebodyleftFinancialsTables"/>
            </w:pPr>
            <w:r>
              <w:t>Ausnet Services (Distribution) Pty Ltd</w:t>
            </w:r>
          </w:p>
        </w:tc>
        <w:tc>
          <w:tcPr>
            <w:tcW w:w="1559" w:type="dxa"/>
          </w:tcPr>
          <w:p w14:paraId="2F02D532" w14:textId="77777777" w:rsidR="00B02873" w:rsidRDefault="00B02873" w:rsidP="00E532ED">
            <w:pPr>
              <w:pStyle w:val="TablebodyleftFinancialsTables"/>
              <w:jc w:val="right"/>
            </w:pPr>
            <w:r>
              <w:t>3,100,000</w:t>
            </w:r>
          </w:p>
        </w:tc>
      </w:tr>
      <w:tr w:rsidR="00B02873" w:rsidRPr="00B02873" w14:paraId="4AB0ED94" w14:textId="77777777" w:rsidTr="00E532ED">
        <w:tc>
          <w:tcPr>
            <w:tcW w:w="5382" w:type="dxa"/>
          </w:tcPr>
          <w:p w14:paraId="61D00EF9" w14:textId="77777777" w:rsidR="00B02873" w:rsidRDefault="00B02873" w:rsidP="00E532ED">
            <w:pPr>
              <w:pStyle w:val="TablebodyleftFinancialsTables"/>
            </w:pPr>
            <w:r>
              <w:t>Origin Energy Limited</w:t>
            </w:r>
          </w:p>
        </w:tc>
        <w:tc>
          <w:tcPr>
            <w:tcW w:w="1559" w:type="dxa"/>
          </w:tcPr>
          <w:p w14:paraId="05DB574E" w14:textId="77777777" w:rsidR="00B02873" w:rsidRDefault="00B02873" w:rsidP="00E532ED">
            <w:pPr>
              <w:pStyle w:val="TablebodyleftFinancialsTables"/>
              <w:jc w:val="right"/>
            </w:pPr>
            <w:r>
              <w:t>2,500,000</w:t>
            </w:r>
          </w:p>
        </w:tc>
      </w:tr>
      <w:tr w:rsidR="00B02873" w:rsidRPr="00B02873" w14:paraId="6194A707" w14:textId="77777777" w:rsidTr="00E532ED">
        <w:tc>
          <w:tcPr>
            <w:tcW w:w="5382" w:type="dxa"/>
          </w:tcPr>
          <w:p w14:paraId="009720FC" w14:textId="77777777" w:rsidR="00B02873" w:rsidRDefault="00B02873" w:rsidP="00E532ED">
            <w:pPr>
              <w:pStyle w:val="TablebodyleftFinancialsTables"/>
            </w:pPr>
            <w:r>
              <w:t>Department of Jobs Precincts And Regions (Victoria)</w:t>
            </w:r>
          </w:p>
        </w:tc>
        <w:tc>
          <w:tcPr>
            <w:tcW w:w="1559" w:type="dxa"/>
          </w:tcPr>
          <w:p w14:paraId="40D90B56" w14:textId="77777777" w:rsidR="00B02873" w:rsidRDefault="00B02873" w:rsidP="00E532ED">
            <w:pPr>
              <w:pStyle w:val="TablebodyleftFinancialsTables"/>
              <w:jc w:val="right"/>
            </w:pPr>
            <w:r>
              <w:t>1,804,090</w:t>
            </w:r>
          </w:p>
        </w:tc>
      </w:tr>
      <w:tr w:rsidR="00B02873" w:rsidRPr="00B02873" w14:paraId="3BA5904E" w14:textId="77777777" w:rsidTr="00E532ED">
        <w:tc>
          <w:tcPr>
            <w:tcW w:w="5382" w:type="dxa"/>
          </w:tcPr>
          <w:p w14:paraId="1ED8931C" w14:textId="77777777" w:rsidR="00B02873" w:rsidRDefault="00B02873" w:rsidP="00E532ED">
            <w:pPr>
              <w:pStyle w:val="TablebodyleftFinancialsTables"/>
            </w:pPr>
            <w:r>
              <w:t>Australian Energy Market Commission</w:t>
            </w:r>
          </w:p>
        </w:tc>
        <w:tc>
          <w:tcPr>
            <w:tcW w:w="1559" w:type="dxa"/>
          </w:tcPr>
          <w:p w14:paraId="75904B4C" w14:textId="77777777" w:rsidR="00B02873" w:rsidRDefault="00B02873" w:rsidP="00E532ED">
            <w:pPr>
              <w:pStyle w:val="TablebodyleftFinancialsTables"/>
              <w:jc w:val="right"/>
            </w:pPr>
            <w:r>
              <w:t>1,557,170</w:t>
            </w:r>
          </w:p>
        </w:tc>
      </w:tr>
      <w:tr w:rsidR="00B02873" w:rsidRPr="00B02873" w14:paraId="2A6A8795" w14:textId="77777777" w:rsidTr="00E532ED">
        <w:tc>
          <w:tcPr>
            <w:tcW w:w="5382" w:type="dxa"/>
          </w:tcPr>
          <w:p w14:paraId="599DD72D" w14:textId="77777777" w:rsidR="00B02873" w:rsidRDefault="00B02873" w:rsidP="00E532ED">
            <w:pPr>
              <w:pStyle w:val="TablebodyleftFinancialsTables"/>
            </w:pPr>
            <w:r>
              <w:t>Allied Pinnacle Pty Ltd</w:t>
            </w:r>
          </w:p>
        </w:tc>
        <w:tc>
          <w:tcPr>
            <w:tcW w:w="1559" w:type="dxa"/>
          </w:tcPr>
          <w:p w14:paraId="1754C732" w14:textId="77777777" w:rsidR="00B02873" w:rsidRDefault="00B02873" w:rsidP="00E532ED">
            <w:pPr>
              <w:pStyle w:val="TablebodyleftFinancialsTables"/>
              <w:jc w:val="right"/>
            </w:pPr>
            <w:r>
              <w:t>1,348,966</w:t>
            </w:r>
          </w:p>
        </w:tc>
      </w:tr>
      <w:tr w:rsidR="00B02873" w:rsidRPr="00B02873" w14:paraId="28538869" w14:textId="77777777" w:rsidTr="00E532ED">
        <w:tc>
          <w:tcPr>
            <w:tcW w:w="5382" w:type="dxa"/>
          </w:tcPr>
          <w:p w14:paraId="53E01E5E" w14:textId="77777777" w:rsidR="00B02873" w:rsidRDefault="00B02873" w:rsidP="00E532ED">
            <w:pPr>
              <w:pStyle w:val="TablebodyleftFinancialsTables"/>
            </w:pPr>
            <w:r>
              <w:t>Powercor Australia</w:t>
            </w:r>
          </w:p>
        </w:tc>
        <w:tc>
          <w:tcPr>
            <w:tcW w:w="1559" w:type="dxa"/>
          </w:tcPr>
          <w:p w14:paraId="57F9E1AD" w14:textId="77777777" w:rsidR="00B02873" w:rsidRDefault="00B02873" w:rsidP="00E532ED">
            <w:pPr>
              <w:pStyle w:val="TablebodyleftFinancialsTables"/>
              <w:jc w:val="right"/>
            </w:pPr>
            <w:r>
              <w:t>1,182,500</w:t>
            </w:r>
          </w:p>
        </w:tc>
      </w:tr>
      <w:tr w:rsidR="00B02873" w:rsidRPr="00B02873" w14:paraId="78880ACF" w14:textId="77777777" w:rsidTr="00E532ED">
        <w:tc>
          <w:tcPr>
            <w:tcW w:w="5382" w:type="dxa"/>
          </w:tcPr>
          <w:p w14:paraId="27A4E077" w14:textId="77777777" w:rsidR="00B02873" w:rsidRDefault="00B02873" w:rsidP="00E532ED">
            <w:pPr>
              <w:pStyle w:val="TablebodyleftFinancialsTables"/>
            </w:pPr>
            <w:r>
              <w:t>St John of God Healthcare</w:t>
            </w:r>
          </w:p>
        </w:tc>
        <w:tc>
          <w:tcPr>
            <w:tcW w:w="1559" w:type="dxa"/>
          </w:tcPr>
          <w:p w14:paraId="7B43F12B" w14:textId="77777777" w:rsidR="00B02873" w:rsidRDefault="00B02873" w:rsidP="00E532ED">
            <w:pPr>
              <w:pStyle w:val="TablebodyleftFinancialsTables"/>
              <w:jc w:val="right"/>
            </w:pPr>
            <w:r>
              <w:t>1,154,126</w:t>
            </w:r>
          </w:p>
        </w:tc>
      </w:tr>
      <w:tr w:rsidR="00B02873" w:rsidRPr="00B02873" w14:paraId="59CE77ED" w14:textId="77777777" w:rsidTr="00E532ED">
        <w:tc>
          <w:tcPr>
            <w:tcW w:w="5382" w:type="dxa"/>
          </w:tcPr>
          <w:p w14:paraId="1613A1B6" w14:textId="77777777" w:rsidR="00B02873" w:rsidRDefault="00B02873" w:rsidP="00E532ED">
            <w:pPr>
              <w:pStyle w:val="TablebodyleftFinancialsTables"/>
            </w:pPr>
            <w:r>
              <w:t>GPT Property Management Pty Ltd</w:t>
            </w:r>
          </w:p>
        </w:tc>
        <w:tc>
          <w:tcPr>
            <w:tcW w:w="1559" w:type="dxa"/>
          </w:tcPr>
          <w:p w14:paraId="0A2F75FF" w14:textId="77777777" w:rsidR="00B02873" w:rsidRDefault="00B02873" w:rsidP="00E532ED">
            <w:pPr>
              <w:pStyle w:val="TablebodyleftFinancialsTables"/>
              <w:jc w:val="right"/>
            </w:pPr>
            <w:r>
              <w:t>1,059,543</w:t>
            </w:r>
          </w:p>
        </w:tc>
      </w:tr>
      <w:tr w:rsidR="00B02873" w:rsidRPr="00B02873" w14:paraId="33C48DD7" w14:textId="77777777" w:rsidTr="00E532ED">
        <w:tc>
          <w:tcPr>
            <w:tcW w:w="5382" w:type="dxa"/>
          </w:tcPr>
          <w:p w14:paraId="60DB9317" w14:textId="77777777" w:rsidR="00B02873" w:rsidRDefault="00B02873" w:rsidP="00E532ED">
            <w:pPr>
              <w:pStyle w:val="TablebodyleftFinancialsTables"/>
            </w:pPr>
            <w:r>
              <w:rPr>
                <w:spacing w:val="-4"/>
              </w:rPr>
              <w:t>Monash University</w:t>
            </w:r>
          </w:p>
        </w:tc>
        <w:tc>
          <w:tcPr>
            <w:tcW w:w="1559" w:type="dxa"/>
          </w:tcPr>
          <w:p w14:paraId="62A6CAF2" w14:textId="77777777" w:rsidR="00B02873" w:rsidRDefault="00B02873" w:rsidP="00E532ED">
            <w:pPr>
              <w:pStyle w:val="TablebodyleftFinancialsTables"/>
              <w:jc w:val="right"/>
            </w:pPr>
            <w:r>
              <w:t>1,022,823</w:t>
            </w:r>
          </w:p>
        </w:tc>
      </w:tr>
      <w:tr w:rsidR="00B02873" w:rsidRPr="00B02873" w14:paraId="20F0687E" w14:textId="77777777" w:rsidTr="00E532ED">
        <w:tc>
          <w:tcPr>
            <w:tcW w:w="5382" w:type="dxa"/>
          </w:tcPr>
          <w:p w14:paraId="1682487A" w14:textId="77777777" w:rsidR="00B02873" w:rsidRDefault="00B02873" w:rsidP="00E532ED">
            <w:pPr>
              <w:pStyle w:val="TablebodyleftFinancialsTables"/>
            </w:pPr>
            <w:r>
              <w:t>Melbourne Airport</w:t>
            </w:r>
          </w:p>
        </w:tc>
        <w:tc>
          <w:tcPr>
            <w:tcW w:w="1559" w:type="dxa"/>
          </w:tcPr>
          <w:p w14:paraId="1F231BDB" w14:textId="77777777" w:rsidR="00B02873" w:rsidRDefault="00B02873" w:rsidP="00E532ED">
            <w:pPr>
              <w:pStyle w:val="TablebodyleftFinancialsTables"/>
              <w:jc w:val="right"/>
            </w:pPr>
            <w:r>
              <w:t>941,991</w:t>
            </w:r>
          </w:p>
        </w:tc>
      </w:tr>
      <w:tr w:rsidR="00B02873" w:rsidRPr="00B02873" w14:paraId="70526F21" w14:textId="77777777" w:rsidTr="00E532ED">
        <w:tc>
          <w:tcPr>
            <w:tcW w:w="5382" w:type="dxa"/>
          </w:tcPr>
          <w:p w14:paraId="41E56BA3" w14:textId="77777777" w:rsidR="00B02873" w:rsidRDefault="00B02873" w:rsidP="00E532ED">
            <w:pPr>
              <w:pStyle w:val="TablebodyleftFinancialsTables"/>
            </w:pPr>
            <w:r>
              <w:t>Energy Safe Victoria</w:t>
            </w:r>
          </w:p>
        </w:tc>
        <w:tc>
          <w:tcPr>
            <w:tcW w:w="1559" w:type="dxa"/>
          </w:tcPr>
          <w:p w14:paraId="195F1918" w14:textId="77777777" w:rsidR="00B02873" w:rsidRDefault="00B02873" w:rsidP="00E532ED">
            <w:pPr>
              <w:pStyle w:val="TablebodyleftFinancialsTables"/>
              <w:jc w:val="right"/>
            </w:pPr>
            <w:r>
              <w:t>882,450</w:t>
            </w:r>
          </w:p>
        </w:tc>
      </w:tr>
      <w:tr w:rsidR="00B02873" w:rsidRPr="00B02873" w14:paraId="3D60774B" w14:textId="77777777" w:rsidTr="00E532ED">
        <w:tc>
          <w:tcPr>
            <w:tcW w:w="5382" w:type="dxa"/>
          </w:tcPr>
          <w:p w14:paraId="257E34C9" w14:textId="77777777" w:rsidR="00B02873" w:rsidRDefault="00B02873" w:rsidP="00E532ED">
            <w:pPr>
              <w:pStyle w:val="TablebodyleftFinancialsTables"/>
            </w:pPr>
            <w:r>
              <w:t>Telstra Corporation Limited</w:t>
            </w:r>
          </w:p>
        </w:tc>
        <w:tc>
          <w:tcPr>
            <w:tcW w:w="1559" w:type="dxa"/>
          </w:tcPr>
          <w:p w14:paraId="75BBB6CB" w14:textId="77777777" w:rsidR="00B02873" w:rsidRDefault="00B02873" w:rsidP="00E532ED">
            <w:pPr>
              <w:pStyle w:val="TablebodyleftFinancialsTables"/>
              <w:jc w:val="right"/>
            </w:pPr>
            <w:r>
              <w:t>836,105</w:t>
            </w:r>
          </w:p>
        </w:tc>
      </w:tr>
      <w:tr w:rsidR="00B02873" w:rsidRPr="00B02873" w14:paraId="337196A4" w14:textId="77777777" w:rsidTr="00E532ED">
        <w:tc>
          <w:tcPr>
            <w:tcW w:w="5382" w:type="dxa"/>
          </w:tcPr>
          <w:p w14:paraId="38CD414D" w14:textId="77777777" w:rsidR="00B02873" w:rsidRDefault="00B02873" w:rsidP="00E532ED">
            <w:pPr>
              <w:pStyle w:val="TablebodyleftFinancialsTables"/>
            </w:pPr>
            <w:r>
              <w:t>KY D PAK Pty Ltd</w:t>
            </w:r>
          </w:p>
        </w:tc>
        <w:tc>
          <w:tcPr>
            <w:tcW w:w="1559" w:type="dxa"/>
          </w:tcPr>
          <w:p w14:paraId="354F04A2" w14:textId="77777777" w:rsidR="00B02873" w:rsidRDefault="00B02873" w:rsidP="00E532ED">
            <w:pPr>
              <w:pStyle w:val="TablebodyleftFinancialsTables"/>
              <w:jc w:val="right"/>
            </w:pPr>
            <w:r>
              <w:t>812,759</w:t>
            </w:r>
          </w:p>
        </w:tc>
      </w:tr>
      <w:tr w:rsidR="00B02873" w:rsidRPr="00B02873" w14:paraId="43329054" w14:textId="77777777" w:rsidTr="00E532ED">
        <w:tc>
          <w:tcPr>
            <w:tcW w:w="5382" w:type="dxa"/>
          </w:tcPr>
          <w:p w14:paraId="27ACD89D" w14:textId="77777777" w:rsidR="00B02873" w:rsidRDefault="00B02873" w:rsidP="00E532ED">
            <w:pPr>
              <w:pStyle w:val="TablebodyleftFinancialsTables"/>
            </w:pPr>
            <w:r>
              <w:t>Yarra Energy Foundation Ltd</w:t>
            </w:r>
          </w:p>
        </w:tc>
        <w:tc>
          <w:tcPr>
            <w:tcW w:w="1559" w:type="dxa"/>
          </w:tcPr>
          <w:p w14:paraId="2CFEBA01" w14:textId="77777777" w:rsidR="00B02873" w:rsidRDefault="00B02873" w:rsidP="00E532ED">
            <w:pPr>
              <w:pStyle w:val="TablebodyleftFinancialsTables"/>
              <w:jc w:val="right"/>
            </w:pPr>
            <w:r>
              <w:t>800,000</w:t>
            </w:r>
          </w:p>
        </w:tc>
      </w:tr>
      <w:tr w:rsidR="00B02873" w:rsidRPr="00B02873" w14:paraId="46CAE18C" w14:textId="77777777" w:rsidTr="00E532ED">
        <w:tc>
          <w:tcPr>
            <w:tcW w:w="5382" w:type="dxa"/>
          </w:tcPr>
          <w:p w14:paraId="05D7C9CD" w14:textId="77777777" w:rsidR="00B02873" w:rsidRDefault="00B02873" w:rsidP="00E532ED">
            <w:pPr>
              <w:pStyle w:val="TablebodyleftFinancialsTables"/>
            </w:pPr>
            <w:r>
              <w:t>Primewest Pty Ltd</w:t>
            </w:r>
          </w:p>
        </w:tc>
        <w:tc>
          <w:tcPr>
            <w:tcW w:w="1559" w:type="dxa"/>
          </w:tcPr>
          <w:p w14:paraId="42656470" w14:textId="77777777" w:rsidR="00B02873" w:rsidRDefault="00B02873" w:rsidP="00E532ED">
            <w:pPr>
              <w:pStyle w:val="TablebodyleftFinancialsTables"/>
              <w:jc w:val="right"/>
            </w:pPr>
            <w:r>
              <w:t>753,890</w:t>
            </w:r>
          </w:p>
        </w:tc>
      </w:tr>
      <w:tr w:rsidR="00B02873" w:rsidRPr="00B02873" w14:paraId="328ACB8A" w14:textId="77777777" w:rsidTr="00E532ED">
        <w:tc>
          <w:tcPr>
            <w:tcW w:w="5382" w:type="dxa"/>
          </w:tcPr>
          <w:p w14:paraId="703B8EEC" w14:textId="77777777" w:rsidR="00B02873" w:rsidRDefault="00B02873" w:rsidP="00E532ED">
            <w:pPr>
              <w:pStyle w:val="TablebodyleftFinancialsTables"/>
            </w:pPr>
            <w:r>
              <w:t>Energys Australia Pty Ltd</w:t>
            </w:r>
          </w:p>
        </w:tc>
        <w:tc>
          <w:tcPr>
            <w:tcW w:w="1559" w:type="dxa"/>
          </w:tcPr>
          <w:p w14:paraId="37E6F67C" w14:textId="77777777" w:rsidR="00B02873" w:rsidRDefault="00B02873" w:rsidP="00E532ED">
            <w:pPr>
              <w:pStyle w:val="TablebodyleftFinancialsTables"/>
              <w:jc w:val="right"/>
            </w:pPr>
            <w:r>
              <w:t>750,000</w:t>
            </w:r>
          </w:p>
        </w:tc>
      </w:tr>
      <w:tr w:rsidR="00B02873" w:rsidRPr="00B02873" w14:paraId="0AAFF063" w14:textId="77777777" w:rsidTr="00E532ED">
        <w:tc>
          <w:tcPr>
            <w:tcW w:w="5382" w:type="dxa"/>
          </w:tcPr>
          <w:p w14:paraId="11AF3478" w14:textId="77777777" w:rsidR="00B02873" w:rsidRDefault="00B02873" w:rsidP="00E532ED">
            <w:pPr>
              <w:pStyle w:val="TablebodyleftFinancialsTables"/>
            </w:pPr>
            <w:r>
              <w:rPr>
                <w:spacing w:val="-2"/>
              </w:rPr>
              <w:lastRenderedPageBreak/>
              <w:t>Viva Energy Australia Ltd</w:t>
            </w:r>
          </w:p>
        </w:tc>
        <w:tc>
          <w:tcPr>
            <w:tcW w:w="1559" w:type="dxa"/>
          </w:tcPr>
          <w:p w14:paraId="097C9013" w14:textId="77777777" w:rsidR="00B02873" w:rsidRDefault="00B02873" w:rsidP="00E532ED">
            <w:pPr>
              <w:pStyle w:val="TablebodyleftFinancialsTables"/>
              <w:jc w:val="right"/>
            </w:pPr>
            <w:r>
              <w:t>665,116</w:t>
            </w:r>
          </w:p>
        </w:tc>
      </w:tr>
      <w:tr w:rsidR="00B02873" w:rsidRPr="00B02873" w14:paraId="1052F7A3" w14:textId="77777777" w:rsidTr="00E532ED">
        <w:tc>
          <w:tcPr>
            <w:tcW w:w="5382" w:type="dxa"/>
          </w:tcPr>
          <w:p w14:paraId="1AA5C462" w14:textId="77777777" w:rsidR="00B02873" w:rsidRDefault="00B02873" w:rsidP="00E532ED">
            <w:pPr>
              <w:pStyle w:val="TablebodyleftFinancialsTables"/>
            </w:pPr>
            <w:r>
              <w:t>Department of Families Fairness and Housing (Victoria)</w:t>
            </w:r>
          </w:p>
        </w:tc>
        <w:tc>
          <w:tcPr>
            <w:tcW w:w="1559" w:type="dxa"/>
          </w:tcPr>
          <w:p w14:paraId="646BA2D7" w14:textId="77777777" w:rsidR="00B02873" w:rsidRDefault="00B02873" w:rsidP="00E532ED">
            <w:pPr>
              <w:pStyle w:val="TablebodyleftFinancialsTables"/>
              <w:jc w:val="right"/>
            </w:pPr>
            <w:r>
              <w:t>650,791</w:t>
            </w:r>
          </w:p>
        </w:tc>
      </w:tr>
      <w:tr w:rsidR="00B02873" w:rsidRPr="00B02873" w14:paraId="4317C6F5" w14:textId="77777777" w:rsidTr="00E532ED">
        <w:tc>
          <w:tcPr>
            <w:tcW w:w="5382" w:type="dxa"/>
          </w:tcPr>
          <w:p w14:paraId="59F2E069" w14:textId="77777777" w:rsidR="00B02873" w:rsidRDefault="00B02873" w:rsidP="00E532ED">
            <w:pPr>
              <w:pStyle w:val="TablebodyleftFinancialsTables"/>
            </w:pPr>
            <w:r>
              <w:t>Air Liquide Australia Ltd</w:t>
            </w:r>
          </w:p>
        </w:tc>
        <w:tc>
          <w:tcPr>
            <w:tcW w:w="1559" w:type="dxa"/>
          </w:tcPr>
          <w:p w14:paraId="5597FED3" w14:textId="77777777" w:rsidR="00B02873" w:rsidRDefault="00B02873" w:rsidP="00E532ED">
            <w:pPr>
              <w:pStyle w:val="TablebodyleftFinancialsTables"/>
              <w:jc w:val="right"/>
            </w:pPr>
            <w:r>
              <w:t>649,900</w:t>
            </w:r>
          </w:p>
        </w:tc>
      </w:tr>
      <w:tr w:rsidR="00B02873" w:rsidRPr="00B02873" w14:paraId="10FFCAFB" w14:textId="77777777" w:rsidTr="00E532ED">
        <w:tc>
          <w:tcPr>
            <w:tcW w:w="5382" w:type="dxa"/>
          </w:tcPr>
          <w:p w14:paraId="02388AD6" w14:textId="77777777" w:rsidR="00B02873" w:rsidRDefault="00B02873" w:rsidP="00E532ED">
            <w:pPr>
              <w:pStyle w:val="TablebodyleftFinancialsTables"/>
            </w:pPr>
            <w:r>
              <w:t>Toyota Motor Corporation Australia</w:t>
            </w:r>
          </w:p>
        </w:tc>
        <w:tc>
          <w:tcPr>
            <w:tcW w:w="1559" w:type="dxa"/>
          </w:tcPr>
          <w:p w14:paraId="4E32E173" w14:textId="77777777" w:rsidR="00B02873" w:rsidRDefault="00B02873" w:rsidP="00E532ED">
            <w:pPr>
              <w:pStyle w:val="TablebodyleftFinancialsTables"/>
              <w:jc w:val="right"/>
            </w:pPr>
            <w:r>
              <w:t>621,800</w:t>
            </w:r>
          </w:p>
        </w:tc>
      </w:tr>
      <w:tr w:rsidR="00B02873" w:rsidRPr="00B02873" w14:paraId="75FAD06F" w14:textId="77777777" w:rsidTr="00E532ED">
        <w:tc>
          <w:tcPr>
            <w:tcW w:w="5382" w:type="dxa"/>
          </w:tcPr>
          <w:p w14:paraId="401AAD44" w14:textId="77777777" w:rsidR="00B02873" w:rsidRDefault="00B02873" w:rsidP="00E532ED">
            <w:pPr>
              <w:pStyle w:val="TablebodyleftFinancialsTables"/>
            </w:pPr>
            <w:r>
              <w:t>The Embedded Networks Company Pty Ltd</w:t>
            </w:r>
          </w:p>
        </w:tc>
        <w:tc>
          <w:tcPr>
            <w:tcW w:w="1559" w:type="dxa"/>
          </w:tcPr>
          <w:p w14:paraId="5A75D860" w14:textId="77777777" w:rsidR="00B02873" w:rsidRDefault="00B02873" w:rsidP="00E532ED">
            <w:pPr>
              <w:pStyle w:val="TablebodyleftFinancialsTables"/>
              <w:jc w:val="right"/>
            </w:pPr>
            <w:r>
              <w:t>587,154</w:t>
            </w:r>
          </w:p>
        </w:tc>
      </w:tr>
      <w:tr w:rsidR="00B02873" w:rsidRPr="00B02873" w14:paraId="4C62A633" w14:textId="77777777" w:rsidTr="00E532ED">
        <w:tc>
          <w:tcPr>
            <w:tcW w:w="5382" w:type="dxa"/>
          </w:tcPr>
          <w:p w14:paraId="321B324E" w14:textId="77777777" w:rsidR="00B02873" w:rsidRDefault="00B02873" w:rsidP="00E532ED">
            <w:pPr>
              <w:pStyle w:val="TablebodyleftFinancialsTables"/>
            </w:pPr>
            <w:r>
              <w:t>Coles Supermarkets</w:t>
            </w:r>
          </w:p>
        </w:tc>
        <w:tc>
          <w:tcPr>
            <w:tcW w:w="1559" w:type="dxa"/>
          </w:tcPr>
          <w:p w14:paraId="5865971A" w14:textId="77777777" w:rsidR="00B02873" w:rsidRDefault="00B02873" w:rsidP="00E532ED">
            <w:pPr>
              <w:pStyle w:val="TablebodyleftFinancialsTables"/>
              <w:jc w:val="right"/>
            </w:pPr>
            <w:r>
              <w:t>554,717</w:t>
            </w:r>
          </w:p>
        </w:tc>
      </w:tr>
      <w:tr w:rsidR="00B02873" w:rsidRPr="00B02873" w14:paraId="7F341743" w14:textId="77777777" w:rsidTr="00E532ED">
        <w:tc>
          <w:tcPr>
            <w:tcW w:w="5382" w:type="dxa"/>
          </w:tcPr>
          <w:p w14:paraId="7F8EBFA0" w14:textId="77777777" w:rsidR="00B02873" w:rsidRDefault="00B02873" w:rsidP="00E532ED">
            <w:pPr>
              <w:pStyle w:val="TablebodyleftFinancialsTables"/>
            </w:pPr>
            <w:r>
              <w:t>Coles Express</w:t>
            </w:r>
          </w:p>
        </w:tc>
        <w:tc>
          <w:tcPr>
            <w:tcW w:w="1559" w:type="dxa"/>
          </w:tcPr>
          <w:p w14:paraId="225A59CF" w14:textId="77777777" w:rsidR="00B02873" w:rsidRDefault="00B02873" w:rsidP="00E532ED">
            <w:pPr>
              <w:pStyle w:val="TablebodyleftFinancialsTables"/>
              <w:jc w:val="right"/>
            </w:pPr>
            <w:r>
              <w:t>538,000</w:t>
            </w:r>
          </w:p>
        </w:tc>
      </w:tr>
      <w:tr w:rsidR="00B02873" w:rsidRPr="00B02873" w14:paraId="04A581AE" w14:textId="77777777" w:rsidTr="00E532ED">
        <w:tc>
          <w:tcPr>
            <w:tcW w:w="5382" w:type="dxa"/>
          </w:tcPr>
          <w:p w14:paraId="0C6D66F8" w14:textId="77777777" w:rsidR="00B02873" w:rsidRDefault="00B02873" w:rsidP="00E532ED">
            <w:pPr>
              <w:pStyle w:val="TablebodyleftFinancialsTables"/>
            </w:pPr>
            <w:r>
              <w:t>National Energy Resources Australia (NERA)</w:t>
            </w:r>
          </w:p>
        </w:tc>
        <w:tc>
          <w:tcPr>
            <w:tcW w:w="1559" w:type="dxa"/>
          </w:tcPr>
          <w:p w14:paraId="5C13F4DC" w14:textId="77777777" w:rsidR="00B02873" w:rsidRDefault="00B02873" w:rsidP="00E532ED">
            <w:pPr>
              <w:pStyle w:val="TablebodyleftFinancialsTables"/>
              <w:jc w:val="right"/>
            </w:pPr>
            <w:r>
              <w:t>525,000</w:t>
            </w:r>
          </w:p>
        </w:tc>
      </w:tr>
      <w:tr w:rsidR="00B02873" w:rsidRPr="00B02873" w14:paraId="7187B0A5" w14:textId="77777777" w:rsidTr="00E532ED">
        <w:tc>
          <w:tcPr>
            <w:tcW w:w="5382" w:type="dxa"/>
          </w:tcPr>
          <w:p w14:paraId="5C6C96F3" w14:textId="77777777" w:rsidR="00B02873" w:rsidRDefault="00B02873" w:rsidP="00E532ED">
            <w:pPr>
              <w:pStyle w:val="TablebodyleftFinancialsTables"/>
            </w:pPr>
            <w:r>
              <w:t>IND Technology Pty Ltd</w:t>
            </w:r>
          </w:p>
        </w:tc>
        <w:tc>
          <w:tcPr>
            <w:tcW w:w="1559" w:type="dxa"/>
          </w:tcPr>
          <w:p w14:paraId="4CE7BE98" w14:textId="77777777" w:rsidR="00B02873" w:rsidRDefault="00B02873" w:rsidP="00E532ED">
            <w:pPr>
              <w:pStyle w:val="TablebodyleftFinancialsTables"/>
              <w:jc w:val="right"/>
            </w:pPr>
            <w:r>
              <w:t>482,000</w:t>
            </w:r>
          </w:p>
        </w:tc>
      </w:tr>
      <w:tr w:rsidR="00B02873" w:rsidRPr="00B02873" w14:paraId="13E210AB" w14:textId="77777777" w:rsidTr="00E532ED">
        <w:tc>
          <w:tcPr>
            <w:tcW w:w="5382" w:type="dxa"/>
          </w:tcPr>
          <w:p w14:paraId="7D90AB90" w14:textId="77777777" w:rsidR="00B02873" w:rsidRDefault="00B02873" w:rsidP="00E532ED">
            <w:pPr>
              <w:pStyle w:val="TablebodyleftFinancialsTables"/>
            </w:pPr>
            <w:r>
              <w:t>Bai Communications Pty Limited</w:t>
            </w:r>
          </w:p>
        </w:tc>
        <w:tc>
          <w:tcPr>
            <w:tcW w:w="1559" w:type="dxa"/>
          </w:tcPr>
          <w:p w14:paraId="3212BCCF" w14:textId="77777777" w:rsidR="00B02873" w:rsidRDefault="00B02873" w:rsidP="00E532ED">
            <w:pPr>
              <w:pStyle w:val="TablebodyleftFinancialsTables"/>
              <w:jc w:val="right"/>
            </w:pPr>
            <w:r>
              <w:t>455,906</w:t>
            </w:r>
          </w:p>
        </w:tc>
      </w:tr>
      <w:tr w:rsidR="00B02873" w:rsidRPr="00B02873" w14:paraId="53879B6C" w14:textId="77777777" w:rsidTr="00E532ED">
        <w:tc>
          <w:tcPr>
            <w:tcW w:w="5382" w:type="dxa"/>
          </w:tcPr>
          <w:p w14:paraId="62A61DD3" w14:textId="77777777" w:rsidR="00B02873" w:rsidRDefault="00B02873" w:rsidP="00E532ED">
            <w:pPr>
              <w:pStyle w:val="TablebodyleftFinancialsTables"/>
            </w:pPr>
            <w:r>
              <w:t>Centre for New Energy Technologies</w:t>
            </w:r>
          </w:p>
        </w:tc>
        <w:tc>
          <w:tcPr>
            <w:tcW w:w="1559" w:type="dxa"/>
          </w:tcPr>
          <w:p w14:paraId="19D32037" w14:textId="77777777" w:rsidR="00B02873" w:rsidRDefault="00B02873" w:rsidP="00E532ED">
            <w:pPr>
              <w:pStyle w:val="TablebodyleftFinancialsTables"/>
              <w:jc w:val="right"/>
            </w:pPr>
            <w:r>
              <w:t>450,000</w:t>
            </w:r>
          </w:p>
        </w:tc>
      </w:tr>
      <w:tr w:rsidR="00B02873" w:rsidRPr="00B02873" w14:paraId="778B25DA" w14:textId="77777777" w:rsidTr="00E532ED">
        <w:tc>
          <w:tcPr>
            <w:tcW w:w="5382" w:type="dxa"/>
          </w:tcPr>
          <w:p w14:paraId="146255FA" w14:textId="77777777" w:rsidR="00B02873" w:rsidRDefault="00B02873" w:rsidP="00E532ED">
            <w:pPr>
              <w:pStyle w:val="TablebodyleftFinancialsTables"/>
            </w:pPr>
            <w:r>
              <w:t>Australian Red Cross</w:t>
            </w:r>
          </w:p>
        </w:tc>
        <w:tc>
          <w:tcPr>
            <w:tcW w:w="1559" w:type="dxa"/>
          </w:tcPr>
          <w:p w14:paraId="1B892633" w14:textId="77777777" w:rsidR="00B02873" w:rsidRDefault="00B02873" w:rsidP="00E532ED">
            <w:pPr>
              <w:pStyle w:val="TablebodyleftFinancialsTables"/>
              <w:jc w:val="right"/>
            </w:pPr>
            <w:r>
              <w:t>370,440</w:t>
            </w:r>
          </w:p>
        </w:tc>
      </w:tr>
      <w:tr w:rsidR="00B02873" w:rsidRPr="00B02873" w14:paraId="39D02137" w14:textId="77777777" w:rsidTr="00E532ED">
        <w:tc>
          <w:tcPr>
            <w:tcW w:w="5382" w:type="dxa"/>
          </w:tcPr>
          <w:p w14:paraId="3038064C" w14:textId="77777777" w:rsidR="00B02873" w:rsidRDefault="00B02873" w:rsidP="00E532ED">
            <w:pPr>
              <w:pStyle w:val="TablebodyleftFinancialsTables"/>
            </w:pPr>
            <w:r>
              <w:t>Volgren Australia Pty Ltd</w:t>
            </w:r>
          </w:p>
        </w:tc>
        <w:tc>
          <w:tcPr>
            <w:tcW w:w="1559" w:type="dxa"/>
          </w:tcPr>
          <w:p w14:paraId="70564CE0" w14:textId="77777777" w:rsidR="00B02873" w:rsidRDefault="00B02873" w:rsidP="00E532ED">
            <w:pPr>
              <w:pStyle w:val="TablebodyleftFinancialsTables"/>
              <w:jc w:val="right"/>
            </w:pPr>
            <w:r>
              <w:t>360,000</w:t>
            </w:r>
          </w:p>
        </w:tc>
      </w:tr>
      <w:tr w:rsidR="00B02873" w:rsidRPr="00B02873" w14:paraId="5832E1D1" w14:textId="77777777" w:rsidTr="00E532ED">
        <w:tc>
          <w:tcPr>
            <w:tcW w:w="5382" w:type="dxa"/>
          </w:tcPr>
          <w:p w14:paraId="00970DEE" w14:textId="77777777" w:rsidR="00B02873" w:rsidRDefault="00B02873" w:rsidP="00E532ED">
            <w:pPr>
              <w:pStyle w:val="TablebodyleftFinancialsTables"/>
            </w:pPr>
            <w:r>
              <w:t>Department of Treasury and Finance (Victoria)</w:t>
            </w:r>
          </w:p>
        </w:tc>
        <w:tc>
          <w:tcPr>
            <w:tcW w:w="1559" w:type="dxa"/>
          </w:tcPr>
          <w:p w14:paraId="3DFE19DC" w14:textId="77777777" w:rsidR="00B02873" w:rsidRDefault="00B02873" w:rsidP="00E532ED">
            <w:pPr>
              <w:pStyle w:val="TablebodyleftFinancialsTables"/>
              <w:jc w:val="right"/>
            </w:pPr>
            <w:r>
              <w:t>350,000</w:t>
            </w:r>
          </w:p>
        </w:tc>
      </w:tr>
      <w:tr w:rsidR="00B02873" w:rsidRPr="00B02873" w14:paraId="3895B14C" w14:textId="77777777" w:rsidTr="00E532ED">
        <w:tc>
          <w:tcPr>
            <w:tcW w:w="5382" w:type="dxa"/>
          </w:tcPr>
          <w:p w14:paraId="330DEC83" w14:textId="77777777" w:rsidR="00B02873" w:rsidRDefault="00B02873" w:rsidP="00E532ED">
            <w:pPr>
              <w:pStyle w:val="TablebodyleftFinancialsTables"/>
            </w:pPr>
            <w:r>
              <w:t>Aldi Stores (a limited partnership)</w:t>
            </w:r>
          </w:p>
        </w:tc>
        <w:tc>
          <w:tcPr>
            <w:tcW w:w="1559" w:type="dxa"/>
          </w:tcPr>
          <w:p w14:paraId="38373269" w14:textId="77777777" w:rsidR="00B02873" w:rsidRDefault="00B02873" w:rsidP="00E532ED">
            <w:pPr>
              <w:pStyle w:val="TablebodyleftFinancialsTables"/>
              <w:jc w:val="right"/>
            </w:pPr>
            <w:r>
              <w:t>343,000</w:t>
            </w:r>
          </w:p>
        </w:tc>
      </w:tr>
      <w:tr w:rsidR="00B02873" w:rsidRPr="00B02873" w14:paraId="755D73C7" w14:textId="77777777" w:rsidTr="00E532ED">
        <w:tc>
          <w:tcPr>
            <w:tcW w:w="5382" w:type="dxa"/>
          </w:tcPr>
          <w:p w14:paraId="61BF9191" w14:textId="77777777" w:rsidR="00B02873" w:rsidRDefault="00B02873" w:rsidP="00E532ED">
            <w:pPr>
              <w:pStyle w:val="TablebodyleftFinancialsTables"/>
            </w:pPr>
            <w:r>
              <w:t>Australian Gas Networks Limited</w:t>
            </w:r>
          </w:p>
        </w:tc>
        <w:tc>
          <w:tcPr>
            <w:tcW w:w="1559" w:type="dxa"/>
          </w:tcPr>
          <w:p w14:paraId="0D40432B" w14:textId="77777777" w:rsidR="00B02873" w:rsidRDefault="00B02873" w:rsidP="00E532ED">
            <w:pPr>
              <w:pStyle w:val="TablebodyleftFinancialsTables"/>
              <w:jc w:val="right"/>
            </w:pPr>
            <w:r>
              <w:t>340,271</w:t>
            </w:r>
          </w:p>
        </w:tc>
      </w:tr>
      <w:tr w:rsidR="00B02873" w:rsidRPr="00B02873" w14:paraId="307B4974" w14:textId="77777777" w:rsidTr="00E532ED">
        <w:tc>
          <w:tcPr>
            <w:tcW w:w="5382" w:type="dxa"/>
          </w:tcPr>
          <w:p w14:paraId="1D2F8B1D" w14:textId="77777777" w:rsidR="00B02873" w:rsidRDefault="00B02873" w:rsidP="00E532ED">
            <w:pPr>
              <w:pStyle w:val="TablebodyleftFinancialsTables"/>
            </w:pPr>
            <w:r>
              <w:t>Evie Networks</w:t>
            </w:r>
          </w:p>
        </w:tc>
        <w:tc>
          <w:tcPr>
            <w:tcW w:w="1559" w:type="dxa"/>
          </w:tcPr>
          <w:p w14:paraId="43F887B7" w14:textId="77777777" w:rsidR="00B02873" w:rsidRDefault="00B02873" w:rsidP="00E532ED">
            <w:pPr>
              <w:pStyle w:val="TablebodyleftFinancialsTables"/>
              <w:jc w:val="right"/>
            </w:pPr>
            <w:r>
              <w:t>297,297</w:t>
            </w:r>
          </w:p>
        </w:tc>
      </w:tr>
      <w:tr w:rsidR="00B02873" w:rsidRPr="00B02873" w14:paraId="2466FCEA" w14:textId="77777777" w:rsidTr="00E532ED">
        <w:tc>
          <w:tcPr>
            <w:tcW w:w="5382" w:type="dxa"/>
          </w:tcPr>
          <w:p w14:paraId="04BDB60B" w14:textId="77777777" w:rsidR="00B02873" w:rsidRDefault="00B02873" w:rsidP="00E532ED">
            <w:pPr>
              <w:pStyle w:val="TablebodyleftFinancialsTables"/>
            </w:pPr>
            <w:r>
              <w:t>Royal Automobile Club Of Victoria (RACV) Ltd</w:t>
            </w:r>
          </w:p>
        </w:tc>
        <w:tc>
          <w:tcPr>
            <w:tcW w:w="1559" w:type="dxa"/>
          </w:tcPr>
          <w:p w14:paraId="7CFD81BC" w14:textId="77777777" w:rsidR="00B02873" w:rsidRDefault="00B02873" w:rsidP="00E532ED">
            <w:pPr>
              <w:pStyle w:val="TablebodyleftFinancialsTables"/>
              <w:jc w:val="right"/>
            </w:pPr>
            <w:r>
              <w:t>294,216</w:t>
            </w:r>
          </w:p>
        </w:tc>
      </w:tr>
      <w:tr w:rsidR="00B02873" w:rsidRPr="00B02873" w14:paraId="244E32EE" w14:textId="77777777" w:rsidTr="00E532ED">
        <w:tc>
          <w:tcPr>
            <w:tcW w:w="5382" w:type="dxa"/>
          </w:tcPr>
          <w:p w14:paraId="1E015AFA" w14:textId="77777777" w:rsidR="00B02873" w:rsidRDefault="00B02873" w:rsidP="00E532ED">
            <w:pPr>
              <w:pStyle w:val="TablebodyleftFinancialsTables"/>
            </w:pPr>
            <w:r>
              <w:t>Brighton Savoy Motel</w:t>
            </w:r>
          </w:p>
        </w:tc>
        <w:tc>
          <w:tcPr>
            <w:tcW w:w="1559" w:type="dxa"/>
          </w:tcPr>
          <w:p w14:paraId="350BE49D" w14:textId="77777777" w:rsidR="00B02873" w:rsidRDefault="00B02873" w:rsidP="00E532ED">
            <w:pPr>
              <w:pStyle w:val="TablebodyleftFinancialsTables"/>
              <w:jc w:val="right"/>
            </w:pPr>
            <w:r>
              <w:t>282,843</w:t>
            </w:r>
          </w:p>
        </w:tc>
      </w:tr>
      <w:tr w:rsidR="00B02873" w:rsidRPr="00B02873" w14:paraId="63E31EB4" w14:textId="77777777" w:rsidTr="00E532ED">
        <w:tc>
          <w:tcPr>
            <w:tcW w:w="5382" w:type="dxa"/>
          </w:tcPr>
          <w:p w14:paraId="67048A68" w14:textId="77777777" w:rsidR="00B02873" w:rsidRDefault="00B02873" w:rsidP="00E532ED">
            <w:pPr>
              <w:pStyle w:val="TablebodyleftFinancialsTables"/>
            </w:pPr>
            <w:r>
              <w:t>Sorbent Paper Company Pty Ltd</w:t>
            </w:r>
          </w:p>
        </w:tc>
        <w:tc>
          <w:tcPr>
            <w:tcW w:w="1559" w:type="dxa"/>
          </w:tcPr>
          <w:p w14:paraId="343EAF98" w14:textId="77777777" w:rsidR="00B02873" w:rsidRDefault="00B02873" w:rsidP="00E532ED">
            <w:pPr>
              <w:pStyle w:val="TablebodyleftFinancialsTables"/>
              <w:jc w:val="right"/>
            </w:pPr>
            <w:r>
              <w:t>271,158</w:t>
            </w:r>
          </w:p>
        </w:tc>
      </w:tr>
      <w:tr w:rsidR="00B02873" w:rsidRPr="00B02873" w14:paraId="3AB0AE1B" w14:textId="77777777" w:rsidTr="00E532ED">
        <w:tc>
          <w:tcPr>
            <w:tcW w:w="5382" w:type="dxa"/>
          </w:tcPr>
          <w:p w14:paraId="1B1DB9FB" w14:textId="77777777" w:rsidR="00B02873" w:rsidRDefault="00B02873" w:rsidP="00E532ED">
            <w:pPr>
              <w:pStyle w:val="TablebodyleftFinancialsTables"/>
            </w:pPr>
            <w:r>
              <w:t>MTM Pty Ltd</w:t>
            </w:r>
          </w:p>
        </w:tc>
        <w:tc>
          <w:tcPr>
            <w:tcW w:w="1559" w:type="dxa"/>
          </w:tcPr>
          <w:p w14:paraId="5E749CD0" w14:textId="77777777" w:rsidR="00B02873" w:rsidRDefault="00B02873" w:rsidP="00E532ED">
            <w:pPr>
              <w:pStyle w:val="TablebodyleftFinancialsTables"/>
              <w:jc w:val="right"/>
            </w:pPr>
            <w:r>
              <w:t>271,103</w:t>
            </w:r>
          </w:p>
        </w:tc>
      </w:tr>
      <w:tr w:rsidR="00B02873" w:rsidRPr="00B02873" w14:paraId="010061B2" w14:textId="77777777" w:rsidTr="00E532ED">
        <w:tc>
          <w:tcPr>
            <w:tcW w:w="5382" w:type="dxa"/>
          </w:tcPr>
          <w:p w14:paraId="271413C8" w14:textId="77777777" w:rsidR="00B02873" w:rsidRDefault="00B02873" w:rsidP="00E532ED">
            <w:pPr>
              <w:pStyle w:val="TablebodyleftFinancialsTables"/>
            </w:pPr>
            <w:r>
              <w:t>Victorian Building Authority</w:t>
            </w:r>
          </w:p>
        </w:tc>
        <w:tc>
          <w:tcPr>
            <w:tcW w:w="1559" w:type="dxa"/>
          </w:tcPr>
          <w:p w14:paraId="4847AE8E" w14:textId="77777777" w:rsidR="00B02873" w:rsidRDefault="00B02873" w:rsidP="00E532ED">
            <w:pPr>
              <w:pStyle w:val="TablebodyleftFinancialsTables"/>
              <w:jc w:val="right"/>
            </w:pPr>
            <w:r>
              <w:t>268,200</w:t>
            </w:r>
          </w:p>
        </w:tc>
      </w:tr>
      <w:tr w:rsidR="00B02873" w:rsidRPr="00B02873" w14:paraId="0E2A1003" w14:textId="77777777" w:rsidTr="00E532ED">
        <w:tc>
          <w:tcPr>
            <w:tcW w:w="5382" w:type="dxa"/>
          </w:tcPr>
          <w:p w14:paraId="06B0908E" w14:textId="77777777" w:rsidR="00B02873" w:rsidRDefault="00B02873" w:rsidP="00E532ED">
            <w:pPr>
              <w:pStyle w:val="TablebodyleftFinancialsTables"/>
            </w:pPr>
            <w:r>
              <w:t>Liquorland (Australia) Pty Ltd</w:t>
            </w:r>
          </w:p>
        </w:tc>
        <w:tc>
          <w:tcPr>
            <w:tcW w:w="1559" w:type="dxa"/>
          </w:tcPr>
          <w:p w14:paraId="3EA6557A" w14:textId="77777777" w:rsidR="00B02873" w:rsidRDefault="00B02873" w:rsidP="00E532ED">
            <w:pPr>
              <w:pStyle w:val="TablebodyleftFinancialsTables"/>
              <w:jc w:val="right"/>
            </w:pPr>
            <w:r>
              <w:t>260,000</w:t>
            </w:r>
          </w:p>
        </w:tc>
      </w:tr>
      <w:tr w:rsidR="00B02873" w:rsidRPr="00B02873" w14:paraId="23054333" w14:textId="77777777" w:rsidTr="00E532ED">
        <w:tc>
          <w:tcPr>
            <w:tcW w:w="5382" w:type="dxa"/>
          </w:tcPr>
          <w:p w14:paraId="7EB5076C" w14:textId="77777777" w:rsidR="00B02873" w:rsidRDefault="00B02873" w:rsidP="00E532ED">
            <w:pPr>
              <w:pStyle w:val="TablebodyleftFinancialsTables"/>
            </w:pPr>
            <w:r>
              <w:t>Asahi Beverages Pty Ltd</w:t>
            </w:r>
          </w:p>
        </w:tc>
        <w:tc>
          <w:tcPr>
            <w:tcW w:w="1559" w:type="dxa"/>
          </w:tcPr>
          <w:p w14:paraId="01EAAD41" w14:textId="77777777" w:rsidR="00B02873" w:rsidRDefault="00B02873" w:rsidP="00E532ED">
            <w:pPr>
              <w:pStyle w:val="TablebodyleftFinancialsTables"/>
              <w:jc w:val="right"/>
            </w:pPr>
            <w:r>
              <w:t>258,520</w:t>
            </w:r>
          </w:p>
        </w:tc>
      </w:tr>
      <w:tr w:rsidR="00B02873" w:rsidRPr="00B02873" w14:paraId="20244BB2" w14:textId="77777777" w:rsidTr="00E532ED">
        <w:tc>
          <w:tcPr>
            <w:tcW w:w="5382" w:type="dxa"/>
          </w:tcPr>
          <w:p w14:paraId="1BEFB1EE" w14:textId="77777777" w:rsidR="00B02873" w:rsidRDefault="00B02873" w:rsidP="00E532ED">
            <w:pPr>
              <w:pStyle w:val="TablebodyleftFinancialsTables"/>
            </w:pPr>
            <w:r>
              <w:t>Latrobe University</w:t>
            </w:r>
          </w:p>
        </w:tc>
        <w:tc>
          <w:tcPr>
            <w:tcW w:w="1559" w:type="dxa"/>
          </w:tcPr>
          <w:p w14:paraId="5589BCFE" w14:textId="77777777" w:rsidR="00B02873" w:rsidRDefault="00B02873" w:rsidP="00E532ED">
            <w:pPr>
              <w:pStyle w:val="TablebodyleftFinancialsTables"/>
              <w:jc w:val="right"/>
            </w:pPr>
            <w:r>
              <w:t>255,566</w:t>
            </w:r>
          </w:p>
        </w:tc>
      </w:tr>
      <w:tr w:rsidR="00B02873" w:rsidRPr="00B02873" w14:paraId="6CEA2C90" w14:textId="77777777" w:rsidTr="00E532ED">
        <w:tc>
          <w:tcPr>
            <w:tcW w:w="5382" w:type="dxa"/>
          </w:tcPr>
          <w:p w14:paraId="2B78A2F6" w14:textId="77777777" w:rsidR="00B02873" w:rsidRDefault="00B02873" w:rsidP="00E532ED">
            <w:pPr>
              <w:pStyle w:val="TablebodyleftFinancialsTables"/>
            </w:pPr>
            <w:r>
              <w:t>1 Chapel Street Pty Ltd</w:t>
            </w:r>
          </w:p>
        </w:tc>
        <w:tc>
          <w:tcPr>
            <w:tcW w:w="1559" w:type="dxa"/>
          </w:tcPr>
          <w:p w14:paraId="4E109327" w14:textId="77777777" w:rsidR="00B02873" w:rsidRDefault="00B02873" w:rsidP="00E532ED">
            <w:pPr>
              <w:pStyle w:val="TablebodyleftFinancialsTables"/>
              <w:jc w:val="right"/>
            </w:pPr>
            <w:r>
              <w:t>247,893</w:t>
            </w:r>
          </w:p>
        </w:tc>
      </w:tr>
      <w:tr w:rsidR="00B02873" w:rsidRPr="00B02873" w14:paraId="6BBFED81" w14:textId="77777777" w:rsidTr="00E532ED">
        <w:tc>
          <w:tcPr>
            <w:tcW w:w="5382" w:type="dxa"/>
          </w:tcPr>
          <w:p w14:paraId="6EBC71A4" w14:textId="77777777" w:rsidR="00B02873" w:rsidRDefault="00B02873" w:rsidP="00E532ED">
            <w:pPr>
              <w:pStyle w:val="TablebodyleftFinancialsTables"/>
            </w:pPr>
            <w:r>
              <w:t>Orsida Fresh</w:t>
            </w:r>
          </w:p>
        </w:tc>
        <w:tc>
          <w:tcPr>
            <w:tcW w:w="1559" w:type="dxa"/>
          </w:tcPr>
          <w:p w14:paraId="4E609EFB" w14:textId="77777777" w:rsidR="00B02873" w:rsidRDefault="00B02873" w:rsidP="00E532ED">
            <w:pPr>
              <w:pStyle w:val="TablebodyleftFinancialsTables"/>
              <w:jc w:val="right"/>
            </w:pPr>
            <w:r>
              <w:t>244,750</w:t>
            </w:r>
          </w:p>
        </w:tc>
      </w:tr>
      <w:tr w:rsidR="00B02873" w:rsidRPr="00B02873" w14:paraId="1F25E912" w14:textId="77777777" w:rsidTr="00E532ED">
        <w:tc>
          <w:tcPr>
            <w:tcW w:w="5382" w:type="dxa"/>
          </w:tcPr>
          <w:p w14:paraId="3D076466" w14:textId="77777777" w:rsidR="00B02873" w:rsidRDefault="00B02873" w:rsidP="00E532ED">
            <w:pPr>
              <w:pStyle w:val="TablebodyleftFinancialsTables"/>
            </w:pPr>
            <w:r>
              <w:t>Lancey Family Trust</w:t>
            </w:r>
          </w:p>
        </w:tc>
        <w:tc>
          <w:tcPr>
            <w:tcW w:w="1559" w:type="dxa"/>
          </w:tcPr>
          <w:p w14:paraId="5FA384AE" w14:textId="77777777" w:rsidR="00B02873" w:rsidRDefault="00B02873" w:rsidP="00E532ED">
            <w:pPr>
              <w:pStyle w:val="TablebodyleftFinancialsTables"/>
              <w:jc w:val="right"/>
            </w:pPr>
            <w:r>
              <w:t>240,230</w:t>
            </w:r>
          </w:p>
        </w:tc>
      </w:tr>
      <w:tr w:rsidR="00B02873" w:rsidRPr="00B02873" w14:paraId="04594E8E" w14:textId="77777777" w:rsidTr="00E532ED">
        <w:tc>
          <w:tcPr>
            <w:tcW w:w="5382" w:type="dxa"/>
          </w:tcPr>
          <w:p w14:paraId="0C6B138F" w14:textId="77777777" w:rsidR="00B02873" w:rsidRDefault="00B02873" w:rsidP="00E532ED">
            <w:pPr>
              <w:pStyle w:val="TablebodyleftFinancialsTables"/>
            </w:pPr>
            <w:r>
              <w:t>Fort Street Real Estate Capital Pty Ltd</w:t>
            </w:r>
          </w:p>
        </w:tc>
        <w:tc>
          <w:tcPr>
            <w:tcW w:w="1559" w:type="dxa"/>
          </w:tcPr>
          <w:p w14:paraId="02DA1B63" w14:textId="77777777" w:rsidR="00B02873" w:rsidRDefault="00B02873" w:rsidP="00E532ED">
            <w:pPr>
              <w:pStyle w:val="TablebodyleftFinancialsTables"/>
              <w:jc w:val="right"/>
            </w:pPr>
            <w:r>
              <w:t>233,940</w:t>
            </w:r>
          </w:p>
        </w:tc>
      </w:tr>
      <w:tr w:rsidR="00B02873" w:rsidRPr="00B02873" w14:paraId="3A3FFF7A" w14:textId="77777777" w:rsidTr="00E532ED">
        <w:tc>
          <w:tcPr>
            <w:tcW w:w="5382" w:type="dxa"/>
          </w:tcPr>
          <w:p w14:paraId="712749CB" w14:textId="77777777" w:rsidR="00B02873" w:rsidRDefault="00B02873" w:rsidP="00E532ED">
            <w:pPr>
              <w:pStyle w:val="TablebodyleftFinancialsTables"/>
            </w:pPr>
            <w:r>
              <w:t>Cub Pty Ltd</w:t>
            </w:r>
          </w:p>
        </w:tc>
        <w:tc>
          <w:tcPr>
            <w:tcW w:w="1559" w:type="dxa"/>
          </w:tcPr>
          <w:p w14:paraId="0B46E807" w14:textId="77777777" w:rsidR="00B02873" w:rsidRDefault="00B02873" w:rsidP="00E532ED">
            <w:pPr>
              <w:pStyle w:val="TablebodyleftFinancialsTables"/>
              <w:jc w:val="right"/>
            </w:pPr>
            <w:r>
              <w:t>220,089</w:t>
            </w:r>
          </w:p>
        </w:tc>
      </w:tr>
      <w:tr w:rsidR="00B02873" w:rsidRPr="00B02873" w14:paraId="5FD49495" w14:textId="77777777" w:rsidTr="00E532ED">
        <w:tc>
          <w:tcPr>
            <w:tcW w:w="5382" w:type="dxa"/>
          </w:tcPr>
          <w:p w14:paraId="4438C83B" w14:textId="77777777" w:rsidR="00B02873" w:rsidRDefault="00B02873" w:rsidP="00E532ED">
            <w:pPr>
              <w:pStyle w:val="TablebodyleftFinancialsTables"/>
            </w:pPr>
            <w:r>
              <w:t>Energy Efficiency Council Inc</w:t>
            </w:r>
          </w:p>
        </w:tc>
        <w:tc>
          <w:tcPr>
            <w:tcW w:w="1559" w:type="dxa"/>
          </w:tcPr>
          <w:p w14:paraId="51666243" w14:textId="77777777" w:rsidR="00B02873" w:rsidRDefault="00B02873" w:rsidP="00E532ED">
            <w:pPr>
              <w:pStyle w:val="TablebodyleftFinancialsTables"/>
              <w:jc w:val="right"/>
            </w:pPr>
            <w:r>
              <w:t>208,635</w:t>
            </w:r>
          </w:p>
        </w:tc>
      </w:tr>
      <w:tr w:rsidR="00B02873" w:rsidRPr="00B02873" w14:paraId="39F34F20" w14:textId="77777777" w:rsidTr="00E532ED">
        <w:tc>
          <w:tcPr>
            <w:tcW w:w="5382" w:type="dxa"/>
          </w:tcPr>
          <w:p w14:paraId="7954F5B6" w14:textId="77777777" w:rsidR="00B02873" w:rsidRDefault="00B02873" w:rsidP="00E532ED">
            <w:pPr>
              <w:pStyle w:val="TablebodyleftFinancialsTables"/>
            </w:pPr>
            <w:r>
              <w:rPr>
                <w:spacing w:val="-4"/>
              </w:rPr>
              <w:t>St Vincents Hospital Melbourne</w:t>
            </w:r>
          </w:p>
        </w:tc>
        <w:tc>
          <w:tcPr>
            <w:tcW w:w="1559" w:type="dxa"/>
          </w:tcPr>
          <w:p w14:paraId="4B63424D" w14:textId="77777777" w:rsidR="00B02873" w:rsidRDefault="00B02873" w:rsidP="00E532ED">
            <w:pPr>
              <w:pStyle w:val="TablebodyleftFinancialsTables"/>
              <w:jc w:val="right"/>
            </w:pPr>
            <w:r>
              <w:t>202,160</w:t>
            </w:r>
          </w:p>
        </w:tc>
      </w:tr>
      <w:tr w:rsidR="00B02873" w:rsidRPr="00B02873" w14:paraId="253B28EC" w14:textId="77777777" w:rsidTr="00E532ED">
        <w:tc>
          <w:tcPr>
            <w:tcW w:w="5382" w:type="dxa"/>
          </w:tcPr>
          <w:p w14:paraId="462F5F95" w14:textId="77777777" w:rsidR="00B02873" w:rsidRDefault="00B02873" w:rsidP="00E532ED">
            <w:pPr>
              <w:pStyle w:val="TablebodyleftFinancialsTables"/>
            </w:pPr>
            <w:r>
              <w:t>Victoria University</w:t>
            </w:r>
          </w:p>
        </w:tc>
        <w:tc>
          <w:tcPr>
            <w:tcW w:w="1559" w:type="dxa"/>
          </w:tcPr>
          <w:p w14:paraId="2272B29E" w14:textId="77777777" w:rsidR="00B02873" w:rsidRDefault="00B02873" w:rsidP="00E532ED">
            <w:pPr>
              <w:pStyle w:val="TablebodyleftFinancialsTables"/>
              <w:jc w:val="right"/>
            </w:pPr>
            <w:r>
              <w:t>200,000</w:t>
            </w:r>
          </w:p>
        </w:tc>
      </w:tr>
      <w:tr w:rsidR="00B02873" w:rsidRPr="00B02873" w14:paraId="51FD1349" w14:textId="77777777" w:rsidTr="00E532ED">
        <w:tc>
          <w:tcPr>
            <w:tcW w:w="5382" w:type="dxa"/>
          </w:tcPr>
          <w:p w14:paraId="699DB12F" w14:textId="77777777" w:rsidR="00B02873" w:rsidRDefault="00B02873" w:rsidP="00E532ED">
            <w:pPr>
              <w:pStyle w:val="TablebodyleftFinancialsTables"/>
            </w:pPr>
            <w:r>
              <w:t>Essential Services Commission</w:t>
            </w:r>
          </w:p>
        </w:tc>
        <w:tc>
          <w:tcPr>
            <w:tcW w:w="1559" w:type="dxa"/>
          </w:tcPr>
          <w:p w14:paraId="61A354E7" w14:textId="77777777" w:rsidR="00B02873" w:rsidRDefault="00B02873" w:rsidP="00E532ED">
            <w:pPr>
              <w:pStyle w:val="TablebodyleftFinancialsTables"/>
              <w:jc w:val="right"/>
            </w:pPr>
            <w:r>
              <w:t>200,000</w:t>
            </w:r>
          </w:p>
        </w:tc>
      </w:tr>
      <w:tr w:rsidR="00B02873" w:rsidRPr="00B02873" w14:paraId="394E1622" w14:textId="77777777" w:rsidTr="00E532ED">
        <w:tc>
          <w:tcPr>
            <w:tcW w:w="5382" w:type="dxa"/>
          </w:tcPr>
          <w:p w14:paraId="74D9AA8A" w14:textId="77777777" w:rsidR="00B02873" w:rsidRDefault="00B02873" w:rsidP="00E532ED">
            <w:pPr>
              <w:pStyle w:val="TablebodyleftFinancialsTables"/>
            </w:pPr>
            <w:r>
              <w:t>Yarra Valley Water</w:t>
            </w:r>
          </w:p>
        </w:tc>
        <w:tc>
          <w:tcPr>
            <w:tcW w:w="1559" w:type="dxa"/>
          </w:tcPr>
          <w:p w14:paraId="5D7053DC" w14:textId="77777777" w:rsidR="00B02873" w:rsidRDefault="00B02873" w:rsidP="00E532ED">
            <w:pPr>
              <w:pStyle w:val="TablebodyleftFinancialsTables"/>
              <w:jc w:val="right"/>
            </w:pPr>
            <w:r>
              <w:t>192,287</w:t>
            </w:r>
          </w:p>
        </w:tc>
      </w:tr>
      <w:tr w:rsidR="00B02873" w:rsidRPr="00B02873" w14:paraId="189F3EE5" w14:textId="77777777" w:rsidTr="00E532ED">
        <w:tc>
          <w:tcPr>
            <w:tcW w:w="5382" w:type="dxa"/>
          </w:tcPr>
          <w:p w14:paraId="03B3EFD2" w14:textId="77777777" w:rsidR="00B02873" w:rsidRDefault="00B02873" w:rsidP="00E532ED">
            <w:pPr>
              <w:pStyle w:val="TablebodyleftFinancialsTables"/>
            </w:pPr>
            <w:r>
              <w:lastRenderedPageBreak/>
              <w:t>Bellarine Bayside Foreshore Committee of Management</w:t>
            </w:r>
          </w:p>
        </w:tc>
        <w:tc>
          <w:tcPr>
            <w:tcW w:w="1559" w:type="dxa"/>
          </w:tcPr>
          <w:p w14:paraId="2903FA1F" w14:textId="77777777" w:rsidR="00B02873" w:rsidRDefault="00B02873" w:rsidP="00E532ED">
            <w:pPr>
              <w:pStyle w:val="TablebodyleftFinancialsTables"/>
              <w:jc w:val="right"/>
            </w:pPr>
            <w:r>
              <w:t>190,818</w:t>
            </w:r>
          </w:p>
        </w:tc>
      </w:tr>
      <w:tr w:rsidR="00B02873" w:rsidRPr="00B02873" w14:paraId="37A3FFD6" w14:textId="77777777" w:rsidTr="00E532ED">
        <w:tc>
          <w:tcPr>
            <w:tcW w:w="5382" w:type="dxa"/>
          </w:tcPr>
          <w:p w14:paraId="303CA38B" w14:textId="77777777" w:rsidR="00B02873" w:rsidRDefault="00B02873" w:rsidP="00E532ED">
            <w:pPr>
              <w:pStyle w:val="TablebodyleftFinancialsTables"/>
            </w:pPr>
            <w:r>
              <w:rPr>
                <w:spacing w:val="-4"/>
              </w:rPr>
              <w:t>Nikep Dairy</w:t>
            </w:r>
          </w:p>
        </w:tc>
        <w:tc>
          <w:tcPr>
            <w:tcW w:w="1559" w:type="dxa"/>
          </w:tcPr>
          <w:p w14:paraId="215AE8DC" w14:textId="77777777" w:rsidR="00B02873" w:rsidRDefault="00B02873" w:rsidP="00E532ED">
            <w:pPr>
              <w:pStyle w:val="TablebodyleftFinancialsTables"/>
              <w:jc w:val="right"/>
            </w:pPr>
            <w:r>
              <w:t>189,853</w:t>
            </w:r>
          </w:p>
        </w:tc>
      </w:tr>
      <w:tr w:rsidR="00B02873" w:rsidRPr="00B02873" w14:paraId="0B16AE41" w14:textId="77777777" w:rsidTr="00E532ED">
        <w:tc>
          <w:tcPr>
            <w:tcW w:w="5382" w:type="dxa"/>
          </w:tcPr>
          <w:p w14:paraId="299A8C43" w14:textId="77777777" w:rsidR="00B02873" w:rsidRDefault="00B02873" w:rsidP="00E532ED">
            <w:pPr>
              <w:pStyle w:val="TablebodyleftFinancialsTables"/>
            </w:pPr>
            <w:r>
              <w:t>Bega Cheese</w:t>
            </w:r>
          </w:p>
        </w:tc>
        <w:tc>
          <w:tcPr>
            <w:tcW w:w="1559" w:type="dxa"/>
          </w:tcPr>
          <w:p w14:paraId="29039FD0" w14:textId="77777777" w:rsidR="00B02873" w:rsidRDefault="00B02873" w:rsidP="00E532ED">
            <w:pPr>
              <w:pStyle w:val="TablebodyleftFinancialsTables"/>
              <w:jc w:val="right"/>
            </w:pPr>
            <w:r>
              <w:t>188,959</w:t>
            </w:r>
          </w:p>
        </w:tc>
      </w:tr>
      <w:tr w:rsidR="00B02873" w:rsidRPr="00B02873" w14:paraId="5C0B46D9" w14:textId="77777777" w:rsidTr="00E532ED">
        <w:tc>
          <w:tcPr>
            <w:tcW w:w="5382" w:type="dxa"/>
          </w:tcPr>
          <w:p w14:paraId="0027B63B" w14:textId="77777777" w:rsidR="00B02873" w:rsidRDefault="00B02873" w:rsidP="00E532ED">
            <w:pPr>
              <w:pStyle w:val="TablebodyleftFinancialsTables"/>
            </w:pPr>
            <w:r>
              <w:t>Fulton Hogan Industries Pty Ltd</w:t>
            </w:r>
          </w:p>
        </w:tc>
        <w:tc>
          <w:tcPr>
            <w:tcW w:w="1559" w:type="dxa"/>
          </w:tcPr>
          <w:p w14:paraId="0E8694E8" w14:textId="77777777" w:rsidR="00B02873" w:rsidRDefault="00B02873" w:rsidP="00E532ED">
            <w:pPr>
              <w:pStyle w:val="TablebodyleftFinancialsTables"/>
              <w:jc w:val="right"/>
            </w:pPr>
            <w:r>
              <w:t>185,093</w:t>
            </w:r>
          </w:p>
        </w:tc>
      </w:tr>
      <w:tr w:rsidR="00B02873" w:rsidRPr="00B02873" w14:paraId="4357DCE7" w14:textId="77777777" w:rsidTr="00E532ED">
        <w:tc>
          <w:tcPr>
            <w:tcW w:w="5382" w:type="dxa"/>
          </w:tcPr>
          <w:p w14:paraId="37A9CE60" w14:textId="77777777" w:rsidR="00B02873" w:rsidRDefault="00B02873" w:rsidP="00E532ED">
            <w:pPr>
              <w:pStyle w:val="TablebodyleftFinancialsTables"/>
            </w:pPr>
            <w:r>
              <w:t>Bricktop Traralgon Unit Trust</w:t>
            </w:r>
          </w:p>
        </w:tc>
        <w:tc>
          <w:tcPr>
            <w:tcW w:w="1559" w:type="dxa"/>
          </w:tcPr>
          <w:p w14:paraId="085F193D" w14:textId="77777777" w:rsidR="00B02873" w:rsidRDefault="00B02873" w:rsidP="00E532ED">
            <w:pPr>
              <w:pStyle w:val="TablebodyleftFinancialsTables"/>
              <w:jc w:val="right"/>
            </w:pPr>
            <w:r>
              <w:t>182,877</w:t>
            </w:r>
          </w:p>
        </w:tc>
      </w:tr>
      <w:tr w:rsidR="00B02873" w:rsidRPr="00B02873" w14:paraId="51836834" w14:textId="77777777" w:rsidTr="00E532ED">
        <w:tc>
          <w:tcPr>
            <w:tcW w:w="5382" w:type="dxa"/>
          </w:tcPr>
          <w:p w14:paraId="1CC2560C" w14:textId="77777777" w:rsidR="00B02873" w:rsidRDefault="00B02873" w:rsidP="00E532ED">
            <w:pPr>
              <w:pStyle w:val="TablebodyleftFinancialsTables"/>
            </w:pPr>
            <w:r>
              <w:t>Stawell Gold Mines Pty Ltd</w:t>
            </w:r>
          </w:p>
        </w:tc>
        <w:tc>
          <w:tcPr>
            <w:tcW w:w="1559" w:type="dxa"/>
          </w:tcPr>
          <w:p w14:paraId="666BD2D0" w14:textId="77777777" w:rsidR="00B02873" w:rsidRDefault="00B02873" w:rsidP="00E532ED">
            <w:pPr>
              <w:pStyle w:val="TablebodyleftFinancialsTables"/>
              <w:jc w:val="right"/>
            </w:pPr>
            <w:r>
              <w:t>175,000</w:t>
            </w:r>
          </w:p>
        </w:tc>
      </w:tr>
      <w:tr w:rsidR="00B02873" w:rsidRPr="00B02873" w14:paraId="0D56F3BB" w14:textId="77777777" w:rsidTr="00E532ED">
        <w:tc>
          <w:tcPr>
            <w:tcW w:w="5382" w:type="dxa"/>
          </w:tcPr>
          <w:p w14:paraId="39416949" w14:textId="77777777" w:rsidR="00B02873" w:rsidRDefault="00B02873" w:rsidP="00E532ED">
            <w:pPr>
              <w:pStyle w:val="TablebodyleftFinancialsTables"/>
            </w:pPr>
            <w:r>
              <w:t>Labelmakers Group</w:t>
            </w:r>
          </w:p>
        </w:tc>
        <w:tc>
          <w:tcPr>
            <w:tcW w:w="1559" w:type="dxa"/>
          </w:tcPr>
          <w:p w14:paraId="1D70D98F" w14:textId="77777777" w:rsidR="00B02873" w:rsidRDefault="00B02873" w:rsidP="00E532ED">
            <w:pPr>
              <w:pStyle w:val="TablebodyleftFinancialsTables"/>
              <w:jc w:val="right"/>
            </w:pPr>
            <w:r>
              <w:t>162,000</w:t>
            </w:r>
          </w:p>
        </w:tc>
      </w:tr>
      <w:tr w:rsidR="00B02873" w:rsidRPr="00B02873" w14:paraId="4A80EC6E" w14:textId="77777777" w:rsidTr="00E532ED">
        <w:tc>
          <w:tcPr>
            <w:tcW w:w="5382" w:type="dxa"/>
          </w:tcPr>
          <w:p w14:paraId="5BD109ED" w14:textId="77777777" w:rsidR="00B02873" w:rsidRDefault="00B02873" w:rsidP="00E532ED">
            <w:pPr>
              <w:pStyle w:val="TablebodyleftFinancialsTables"/>
            </w:pPr>
            <w:r>
              <w:t>Natimuk Community Energy Inc</w:t>
            </w:r>
          </w:p>
        </w:tc>
        <w:tc>
          <w:tcPr>
            <w:tcW w:w="1559" w:type="dxa"/>
          </w:tcPr>
          <w:p w14:paraId="7D769D63" w14:textId="77777777" w:rsidR="00B02873" w:rsidRDefault="00B02873" w:rsidP="00E532ED">
            <w:pPr>
              <w:pStyle w:val="TablebodyleftFinancialsTables"/>
              <w:jc w:val="right"/>
            </w:pPr>
            <w:r>
              <w:t>158,910</w:t>
            </w:r>
          </w:p>
        </w:tc>
      </w:tr>
      <w:tr w:rsidR="00B02873" w:rsidRPr="00B02873" w14:paraId="353FA355" w14:textId="77777777" w:rsidTr="00E532ED">
        <w:tc>
          <w:tcPr>
            <w:tcW w:w="5382" w:type="dxa"/>
          </w:tcPr>
          <w:p w14:paraId="4EFB0F67" w14:textId="77777777" w:rsidR="00B02873" w:rsidRDefault="00B02873" w:rsidP="00E532ED">
            <w:pPr>
              <w:pStyle w:val="TablebodyleftFinancialsTables"/>
            </w:pPr>
            <w:r>
              <w:t>Park Hyatt Melbourne</w:t>
            </w:r>
          </w:p>
        </w:tc>
        <w:tc>
          <w:tcPr>
            <w:tcW w:w="1559" w:type="dxa"/>
          </w:tcPr>
          <w:p w14:paraId="108ABB49" w14:textId="77777777" w:rsidR="00B02873" w:rsidRDefault="00B02873" w:rsidP="00E532ED">
            <w:pPr>
              <w:pStyle w:val="TablebodyleftFinancialsTables"/>
              <w:jc w:val="right"/>
            </w:pPr>
            <w:r>
              <w:t>154,700</w:t>
            </w:r>
          </w:p>
        </w:tc>
      </w:tr>
      <w:tr w:rsidR="00B02873" w:rsidRPr="00B02873" w14:paraId="766B9EC8" w14:textId="77777777" w:rsidTr="00E532ED">
        <w:tc>
          <w:tcPr>
            <w:tcW w:w="5382" w:type="dxa"/>
          </w:tcPr>
          <w:p w14:paraId="6569B61D" w14:textId="77777777" w:rsidR="00B02873" w:rsidRDefault="00B02873" w:rsidP="00E532ED">
            <w:pPr>
              <w:pStyle w:val="TablebodyleftFinancialsTables"/>
            </w:pPr>
            <w:r>
              <w:t>Department of Industry Science Energy and Resources (Commonwealth)</w:t>
            </w:r>
          </w:p>
        </w:tc>
        <w:tc>
          <w:tcPr>
            <w:tcW w:w="1559" w:type="dxa"/>
          </w:tcPr>
          <w:p w14:paraId="237C6641" w14:textId="77777777" w:rsidR="00B02873" w:rsidRDefault="00B02873" w:rsidP="00E532ED">
            <w:pPr>
              <w:pStyle w:val="TablebodyleftFinancialsTables"/>
              <w:jc w:val="right"/>
            </w:pPr>
            <w:r>
              <w:t>152,225</w:t>
            </w:r>
          </w:p>
        </w:tc>
      </w:tr>
      <w:tr w:rsidR="00B02873" w:rsidRPr="00B02873" w14:paraId="68A114B0" w14:textId="77777777" w:rsidTr="00E532ED">
        <w:tc>
          <w:tcPr>
            <w:tcW w:w="5382" w:type="dxa"/>
          </w:tcPr>
          <w:p w14:paraId="19B75053" w14:textId="77777777" w:rsidR="00B02873" w:rsidRDefault="00B02873" w:rsidP="00E532ED">
            <w:pPr>
              <w:pStyle w:val="TablebodyleftFinancialsTables"/>
            </w:pPr>
            <w:r>
              <w:t>Midfield Meat International Pty Ltd</w:t>
            </w:r>
          </w:p>
        </w:tc>
        <w:tc>
          <w:tcPr>
            <w:tcW w:w="1559" w:type="dxa"/>
          </w:tcPr>
          <w:p w14:paraId="289148C2" w14:textId="77777777" w:rsidR="00B02873" w:rsidRDefault="00B02873" w:rsidP="00E532ED">
            <w:pPr>
              <w:pStyle w:val="TablebodyleftFinancialsTables"/>
              <w:jc w:val="right"/>
            </w:pPr>
            <w:r>
              <w:t>152,188</w:t>
            </w:r>
          </w:p>
        </w:tc>
      </w:tr>
      <w:tr w:rsidR="00B02873" w:rsidRPr="00B02873" w14:paraId="54727A32" w14:textId="77777777" w:rsidTr="00E532ED">
        <w:tc>
          <w:tcPr>
            <w:tcW w:w="5382" w:type="dxa"/>
          </w:tcPr>
          <w:p w14:paraId="06A39874" w14:textId="77777777" w:rsidR="00B02873" w:rsidRDefault="00B02873" w:rsidP="00E532ED">
            <w:pPr>
              <w:pStyle w:val="TablebodyleftFinancialsTables"/>
            </w:pPr>
            <w:r>
              <w:t>Inghams Enterprises Pty Ltd</w:t>
            </w:r>
          </w:p>
        </w:tc>
        <w:tc>
          <w:tcPr>
            <w:tcW w:w="1559" w:type="dxa"/>
          </w:tcPr>
          <w:p w14:paraId="4D1C5EED" w14:textId="77777777" w:rsidR="00B02873" w:rsidRDefault="00B02873" w:rsidP="00E532ED">
            <w:pPr>
              <w:pStyle w:val="TablebodyleftFinancialsTables"/>
              <w:jc w:val="right"/>
            </w:pPr>
            <w:r>
              <w:t>150,814</w:t>
            </w:r>
          </w:p>
        </w:tc>
      </w:tr>
      <w:tr w:rsidR="00B02873" w:rsidRPr="00B02873" w14:paraId="458C94EE" w14:textId="77777777" w:rsidTr="00E532ED">
        <w:tc>
          <w:tcPr>
            <w:tcW w:w="5382" w:type="dxa"/>
          </w:tcPr>
          <w:p w14:paraId="46C6B0AC" w14:textId="77777777" w:rsidR="00B02873" w:rsidRDefault="00B02873" w:rsidP="00E532ED">
            <w:pPr>
              <w:pStyle w:val="TablebodyleftFinancialsTables"/>
            </w:pPr>
            <w:r>
              <w:t>City of Melbourne</w:t>
            </w:r>
          </w:p>
        </w:tc>
        <w:tc>
          <w:tcPr>
            <w:tcW w:w="1559" w:type="dxa"/>
          </w:tcPr>
          <w:p w14:paraId="4F748E86" w14:textId="77777777" w:rsidR="00B02873" w:rsidRDefault="00B02873" w:rsidP="00E532ED">
            <w:pPr>
              <w:pStyle w:val="TablebodyleftFinancialsTables"/>
              <w:jc w:val="right"/>
            </w:pPr>
            <w:r>
              <w:t>150,000</w:t>
            </w:r>
          </w:p>
        </w:tc>
      </w:tr>
      <w:tr w:rsidR="00B02873" w:rsidRPr="00B02873" w14:paraId="415B569B" w14:textId="77777777" w:rsidTr="00E532ED">
        <w:tc>
          <w:tcPr>
            <w:tcW w:w="5382" w:type="dxa"/>
          </w:tcPr>
          <w:p w14:paraId="3D3A37AB" w14:textId="77777777" w:rsidR="00B02873" w:rsidRDefault="00B02873" w:rsidP="00E532ED">
            <w:pPr>
              <w:pStyle w:val="TablebodyleftFinancialsTables"/>
            </w:pPr>
            <w:r>
              <w:t>Deakin University</w:t>
            </w:r>
          </w:p>
        </w:tc>
        <w:tc>
          <w:tcPr>
            <w:tcW w:w="1559" w:type="dxa"/>
          </w:tcPr>
          <w:p w14:paraId="7D76605A" w14:textId="77777777" w:rsidR="00B02873" w:rsidRDefault="00B02873" w:rsidP="00E532ED">
            <w:pPr>
              <w:pStyle w:val="TablebodyleftFinancialsTables"/>
              <w:jc w:val="right"/>
            </w:pPr>
            <w:r>
              <w:t>150,000</w:t>
            </w:r>
          </w:p>
        </w:tc>
      </w:tr>
      <w:tr w:rsidR="00B02873" w:rsidRPr="00B02873" w14:paraId="3057D4F4" w14:textId="77777777" w:rsidTr="00E532ED">
        <w:tc>
          <w:tcPr>
            <w:tcW w:w="5382" w:type="dxa"/>
          </w:tcPr>
          <w:p w14:paraId="6816402A" w14:textId="77777777" w:rsidR="00B02873" w:rsidRDefault="00B02873" w:rsidP="00E532ED">
            <w:pPr>
              <w:pStyle w:val="TablebodyleftFinancialsTables"/>
            </w:pPr>
            <w:r>
              <w:t>Energy Innovation Co-Operative Ltd</w:t>
            </w:r>
          </w:p>
        </w:tc>
        <w:tc>
          <w:tcPr>
            <w:tcW w:w="1559" w:type="dxa"/>
          </w:tcPr>
          <w:p w14:paraId="38A86C84" w14:textId="77777777" w:rsidR="00B02873" w:rsidRDefault="00B02873" w:rsidP="00E532ED">
            <w:pPr>
              <w:pStyle w:val="TablebodyleftFinancialsTables"/>
              <w:jc w:val="right"/>
            </w:pPr>
            <w:r>
              <w:t>147,500</w:t>
            </w:r>
          </w:p>
        </w:tc>
      </w:tr>
      <w:tr w:rsidR="00B02873" w:rsidRPr="00B02873" w14:paraId="3A4F30A4" w14:textId="77777777" w:rsidTr="00E532ED">
        <w:tc>
          <w:tcPr>
            <w:tcW w:w="5382" w:type="dxa"/>
          </w:tcPr>
          <w:p w14:paraId="349155AE" w14:textId="77777777" w:rsidR="00B02873" w:rsidRDefault="00B02873" w:rsidP="00E532ED">
            <w:pPr>
              <w:pStyle w:val="TablebodyleftFinancialsTables"/>
            </w:pPr>
            <w:r>
              <w:t>Valley Pack Pty Ltd</w:t>
            </w:r>
          </w:p>
        </w:tc>
        <w:tc>
          <w:tcPr>
            <w:tcW w:w="1559" w:type="dxa"/>
          </w:tcPr>
          <w:p w14:paraId="4690C12A" w14:textId="77777777" w:rsidR="00B02873" w:rsidRDefault="00B02873" w:rsidP="00E532ED">
            <w:pPr>
              <w:pStyle w:val="TablebodyleftFinancialsTables"/>
              <w:jc w:val="right"/>
            </w:pPr>
            <w:r>
              <w:t>144,736</w:t>
            </w:r>
          </w:p>
        </w:tc>
      </w:tr>
      <w:tr w:rsidR="00B02873" w:rsidRPr="00B02873" w14:paraId="0B830ED9" w14:textId="77777777" w:rsidTr="00E532ED">
        <w:tc>
          <w:tcPr>
            <w:tcW w:w="5382" w:type="dxa"/>
          </w:tcPr>
          <w:p w14:paraId="0B09C8E4" w14:textId="77777777" w:rsidR="00B02873" w:rsidRDefault="00B02873" w:rsidP="00E532ED">
            <w:pPr>
              <w:pStyle w:val="TablebodyleftFinancialsTables"/>
            </w:pPr>
            <w:r>
              <w:t>APD Projects Pty Ltd</w:t>
            </w:r>
          </w:p>
        </w:tc>
        <w:tc>
          <w:tcPr>
            <w:tcW w:w="1559" w:type="dxa"/>
          </w:tcPr>
          <w:p w14:paraId="116C86FB" w14:textId="77777777" w:rsidR="00B02873" w:rsidRDefault="00B02873" w:rsidP="00E532ED">
            <w:pPr>
              <w:pStyle w:val="TablebodyleftFinancialsTables"/>
              <w:jc w:val="right"/>
            </w:pPr>
            <w:r>
              <w:t>144,200</w:t>
            </w:r>
          </w:p>
        </w:tc>
      </w:tr>
      <w:tr w:rsidR="00B02873" w:rsidRPr="00B02873" w14:paraId="005EE8B4" w14:textId="77777777" w:rsidTr="00E532ED">
        <w:tc>
          <w:tcPr>
            <w:tcW w:w="5382" w:type="dxa"/>
          </w:tcPr>
          <w:p w14:paraId="3DDD4F22" w14:textId="77777777" w:rsidR="00B02873" w:rsidRDefault="00B02873" w:rsidP="00E532ED">
            <w:pPr>
              <w:pStyle w:val="TablebodyleftFinancialsTables"/>
            </w:pPr>
            <w:r>
              <w:t>AGL Energy</w:t>
            </w:r>
          </w:p>
        </w:tc>
        <w:tc>
          <w:tcPr>
            <w:tcW w:w="1559" w:type="dxa"/>
          </w:tcPr>
          <w:p w14:paraId="6E319CF2" w14:textId="77777777" w:rsidR="00B02873" w:rsidRDefault="00B02873" w:rsidP="00E532ED">
            <w:pPr>
              <w:pStyle w:val="TablebodyleftFinancialsTables"/>
              <w:jc w:val="right"/>
            </w:pPr>
            <w:r>
              <w:t>140,600</w:t>
            </w:r>
          </w:p>
        </w:tc>
      </w:tr>
      <w:tr w:rsidR="00B02873" w:rsidRPr="00B02873" w14:paraId="0DD66680" w14:textId="77777777" w:rsidTr="00E532ED">
        <w:tc>
          <w:tcPr>
            <w:tcW w:w="5382" w:type="dxa"/>
          </w:tcPr>
          <w:p w14:paraId="5411ED5F" w14:textId="77777777" w:rsidR="00B02873" w:rsidRDefault="00B02873" w:rsidP="00E532ED">
            <w:pPr>
              <w:pStyle w:val="TablebodyleftFinancialsTables"/>
            </w:pPr>
            <w:r>
              <w:t>H.J Mcrae and J.M Mcrae and L.P Mcrae</w:t>
            </w:r>
          </w:p>
        </w:tc>
        <w:tc>
          <w:tcPr>
            <w:tcW w:w="1559" w:type="dxa"/>
          </w:tcPr>
          <w:p w14:paraId="4ECC4741" w14:textId="77777777" w:rsidR="00B02873" w:rsidRDefault="00B02873" w:rsidP="00E532ED">
            <w:pPr>
              <w:pStyle w:val="TablebodyleftFinancialsTables"/>
              <w:jc w:val="right"/>
            </w:pPr>
            <w:r>
              <w:t>135,923</w:t>
            </w:r>
          </w:p>
        </w:tc>
      </w:tr>
      <w:tr w:rsidR="00B02873" w:rsidRPr="00B02873" w14:paraId="5FFCB2E3" w14:textId="77777777" w:rsidTr="00E532ED">
        <w:tc>
          <w:tcPr>
            <w:tcW w:w="5382" w:type="dxa"/>
          </w:tcPr>
          <w:p w14:paraId="752706D3" w14:textId="77777777" w:rsidR="00B02873" w:rsidRDefault="00B02873" w:rsidP="00E532ED">
            <w:pPr>
              <w:pStyle w:val="TablebodyleftFinancialsTables"/>
            </w:pPr>
            <w:r>
              <w:t>Tetris Energy Pty Ltd</w:t>
            </w:r>
          </w:p>
        </w:tc>
        <w:tc>
          <w:tcPr>
            <w:tcW w:w="1559" w:type="dxa"/>
          </w:tcPr>
          <w:p w14:paraId="753DD40B" w14:textId="77777777" w:rsidR="00B02873" w:rsidRDefault="00B02873" w:rsidP="00E532ED">
            <w:pPr>
              <w:pStyle w:val="TablebodyleftFinancialsTables"/>
              <w:jc w:val="right"/>
            </w:pPr>
            <w:r>
              <w:t>135,000</w:t>
            </w:r>
          </w:p>
        </w:tc>
      </w:tr>
      <w:tr w:rsidR="00B02873" w:rsidRPr="00B02873" w14:paraId="33F82829" w14:textId="77777777" w:rsidTr="00E532ED">
        <w:tc>
          <w:tcPr>
            <w:tcW w:w="5382" w:type="dxa"/>
          </w:tcPr>
          <w:p w14:paraId="7C67A945" w14:textId="77777777" w:rsidR="00B02873" w:rsidRDefault="00B02873" w:rsidP="00E532ED">
            <w:pPr>
              <w:pStyle w:val="TablebodyleftFinancialsTables"/>
            </w:pPr>
            <w:r>
              <w:t>Bendigo Sustainability Group</w:t>
            </w:r>
          </w:p>
        </w:tc>
        <w:tc>
          <w:tcPr>
            <w:tcW w:w="1559" w:type="dxa"/>
          </w:tcPr>
          <w:p w14:paraId="2FD5B11B" w14:textId="77777777" w:rsidR="00B02873" w:rsidRDefault="00B02873" w:rsidP="00E532ED">
            <w:pPr>
              <w:pStyle w:val="TablebodyleftFinancialsTables"/>
              <w:jc w:val="right"/>
            </w:pPr>
            <w:r>
              <w:t>130,000</w:t>
            </w:r>
          </w:p>
        </w:tc>
      </w:tr>
      <w:tr w:rsidR="00B02873" w:rsidRPr="00B02873" w14:paraId="7AAE0C74" w14:textId="77777777" w:rsidTr="00E532ED">
        <w:tc>
          <w:tcPr>
            <w:tcW w:w="5382" w:type="dxa"/>
          </w:tcPr>
          <w:p w14:paraId="52296E15" w14:textId="77777777" w:rsidR="00B02873" w:rsidRDefault="00B02873" w:rsidP="00E532ED">
            <w:pPr>
              <w:pStyle w:val="TablebodyleftFinancialsTables"/>
            </w:pPr>
            <w:r>
              <w:t>Amcor Flexibles (Australia) Pty Ltd</w:t>
            </w:r>
          </w:p>
        </w:tc>
        <w:tc>
          <w:tcPr>
            <w:tcW w:w="1559" w:type="dxa"/>
          </w:tcPr>
          <w:p w14:paraId="1A70F685" w14:textId="77777777" w:rsidR="00B02873" w:rsidRDefault="00B02873" w:rsidP="00E532ED">
            <w:pPr>
              <w:pStyle w:val="TablebodyleftFinancialsTables"/>
              <w:jc w:val="right"/>
            </w:pPr>
            <w:r>
              <w:t>122,650</w:t>
            </w:r>
          </w:p>
        </w:tc>
      </w:tr>
      <w:tr w:rsidR="00B02873" w:rsidRPr="00B02873" w14:paraId="311EA4B5" w14:textId="77777777" w:rsidTr="00E532ED">
        <w:tc>
          <w:tcPr>
            <w:tcW w:w="5382" w:type="dxa"/>
          </w:tcPr>
          <w:p w14:paraId="0220AA91" w14:textId="77777777" w:rsidR="00B02873" w:rsidRDefault="00B02873" w:rsidP="00E532ED">
            <w:pPr>
              <w:pStyle w:val="TablebodyleftFinancialsTables"/>
            </w:pPr>
            <w:r>
              <w:t>Northeast Health Wangaratta</w:t>
            </w:r>
          </w:p>
        </w:tc>
        <w:tc>
          <w:tcPr>
            <w:tcW w:w="1559" w:type="dxa"/>
          </w:tcPr>
          <w:p w14:paraId="3A3C29DC" w14:textId="77777777" w:rsidR="00B02873" w:rsidRDefault="00B02873" w:rsidP="00E532ED">
            <w:pPr>
              <w:pStyle w:val="TablebodyleftFinancialsTables"/>
              <w:jc w:val="right"/>
            </w:pPr>
            <w:r>
              <w:t>121,980</w:t>
            </w:r>
          </w:p>
        </w:tc>
      </w:tr>
      <w:tr w:rsidR="00B02873" w:rsidRPr="00B02873" w14:paraId="34E1A10D" w14:textId="77777777" w:rsidTr="00E532ED">
        <w:tc>
          <w:tcPr>
            <w:tcW w:w="5382" w:type="dxa"/>
          </w:tcPr>
          <w:p w14:paraId="7FA17EAE" w14:textId="77777777" w:rsidR="00B02873" w:rsidRDefault="00B02873" w:rsidP="00E532ED">
            <w:pPr>
              <w:pStyle w:val="TablebodyleftFinancialsTables"/>
            </w:pPr>
            <w:r>
              <w:t>Totally Renewable Yackandandah Inc</w:t>
            </w:r>
          </w:p>
        </w:tc>
        <w:tc>
          <w:tcPr>
            <w:tcW w:w="1559" w:type="dxa"/>
          </w:tcPr>
          <w:p w14:paraId="7185CBA0" w14:textId="77777777" w:rsidR="00B02873" w:rsidRDefault="00B02873" w:rsidP="00E532ED">
            <w:pPr>
              <w:pStyle w:val="TablebodyleftFinancialsTables"/>
              <w:jc w:val="right"/>
            </w:pPr>
            <w:r>
              <w:t>118,520</w:t>
            </w:r>
          </w:p>
        </w:tc>
      </w:tr>
      <w:tr w:rsidR="00B02873" w:rsidRPr="00B02873" w14:paraId="294C6270" w14:textId="77777777" w:rsidTr="00E532ED">
        <w:tc>
          <w:tcPr>
            <w:tcW w:w="5382" w:type="dxa"/>
          </w:tcPr>
          <w:p w14:paraId="4EEC472A" w14:textId="77777777" w:rsidR="00B02873" w:rsidRDefault="00B02873" w:rsidP="00E532ED">
            <w:pPr>
              <w:pStyle w:val="TablebodyleftFinancialsTables"/>
            </w:pPr>
            <w:r>
              <w:t>Upper Murray Electrical</w:t>
            </w:r>
          </w:p>
        </w:tc>
        <w:tc>
          <w:tcPr>
            <w:tcW w:w="1559" w:type="dxa"/>
          </w:tcPr>
          <w:p w14:paraId="5972EF1F" w14:textId="77777777" w:rsidR="00B02873" w:rsidRDefault="00B02873" w:rsidP="00E532ED">
            <w:pPr>
              <w:pStyle w:val="TablebodyleftFinancialsTables"/>
              <w:jc w:val="right"/>
            </w:pPr>
            <w:r>
              <w:t>114,262</w:t>
            </w:r>
          </w:p>
        </w:tc>
      </w:tr>
      <w:tr w:rsidR="00B02873" w:rsidRPr="00B02873" w14:paraId="77397262" w14:textId="77777777" w:rsidTr="00E532ED">
        <w:tc>
          <w:tcPr>
            <w:tcW w:w="5382" w:type="dxa"/>
          </w:tcPr>
          <w:p w14:paraId="726924EC" w14:textId="77777777" w:rsidR="00B02873" w:rsidRDefault="00B02873" w:rsidP="00E532ED">
            <w:pPr>
              <w:pStyle w:val="TablebodyleftFinancialsTables"/>
            </w:pPr>
            <w:r>
              <w:t>Agmate Rural Services</w:t>
            </w:r>
          </w:p>
        </w:tc>
        <w:tc>
          <w:tcPr>
            <w:tcW w:w="1559" w:type="dxa"/>
          </w:tcPr>
          <w:p w14:paraId="46BA6174" w14:textId="77777777" w:rsidR="00B02873" w:rsidRDefault="00B02873" w:rsidP="00E532ED">
            <w:pPr>
              <w:pStyle w:val="TablebodyleftFinancialsTables"/>
              <w:jc w:val="right"/>
            </w:pPr>
            <w:r>
              <w:t>109,875</w:t>
            </w:r>
          </w:p>
        </w:tc>
      </w:tr>
      <w:tr w:rsidR="00B02873" w:rsidRPr="00B02873" w14:paraId="697BDE79" w14:textId="77777777" w:rsidTr="00E532ED">
        <w:tc>
          <w:tcPr>
            <w:tcW w:w="5382" w:type="dxa"/>
          </w:tcPr>
          <w:p w14:paraId="71E6123C" w14:textId="77777777" w:rsidR="00B02873" w:rsidRDefault="00B02873" w:rsidP="00E532ED">
            <w:pPr>
              <w:pStyle w:val="TablebodyleftFinancialsTables"/>
            </w:pPr>
            <w:r>
              <w:t>Geelong Sustainability Group Inc</w:t>
            </w:r>
          </w:p>
        </w:tc>
        <w:tc>
          <w:tcPr>
            <w:tcW w:w="1559" w:type="dxa"/>
          </w:tcPr>
          <w:p w14:paraId="225672B9" w14:textId="77777777" w:rsidR="00B02873" w:rsidRDefault="00B02873" w:rsidP="00E532ED">
            <w:pPr>
              <w:pStyle w:val="TablebodyleftFinancialsTables"/>
              <w:jc w:val="right"/>
            </w:pPr>
            <w:r>
              <w:t>105,000</w:t>
            </w:r>
          </w:p>
        </w:tc>
      </w:tr>
      <w:tr w:rsidR="00B02873" w:rsidRPr="00B02873" w14:paraId="228EBA1C" w14:textId="77777777" w:rsidTr="00E532ED">
        <w:tc>
          <w:tcPr>
            <w:tcW w:w="5382" w:type="dxa"/>
          </w:tcPr>
          <w:p w14:paraId="5012BBCC" w14:textId="77777777" w:rsidR="00B02873" w:rsidRDefault="00B02873" w:rsidP="00E532ED">
            <w:pPr>
              <w:pStyle w:val="TablebodyleftFinancialsTables"/>
            </w:pPr>
            <w:r>
              <w:t>Wadawurrung Traditional Owners Aboriginal Corporation</w:t>
            </w:r>
          </w:p>
        </w:tc>
        <w:tc>
          <w:tcPr>
            <w:tcW w:w="1559" w:type="dxa"/>
          </w:tcPr>
          <w:p w14:paraId="79BB53E7" w14:textId="77777777" w:rsidR="00B02873" w:rsidRDefault="00B02873" w:rsidP="00E532ED">
            <w:pPr>
              <w:pStyle w:val="TablebodyleftFinancialsTables"/>
              <w:jc w:val="right"/>
            </w:pPr>
            <w:r>
              <w:t>100,000</w:t>
            </w:r>
          </w:p>
        </w:tc>
      </w:tr>
      <w:tr w:rsidR="00B02873" w:rsidRPr="00B02873" w14:paraId="14B23F67" w14:textId="77777777" w:rsidTr="00E532ED">
        <w:tc>
          <w:tcPr>
            <w:tcW w:w="5382" w:type="dxa"/>
          </w:tcPr>
          <w:p w14:paraId="58867AF1" w14:textId="77777777" w:rsidR="00B02873" w:rsidRDefault="00B02873" w:rsidP="00E532ED">
            <w:pPr>
              <w:pStyle w:val="TablebodyleftFinancialsTables"/>
            </w:pPr>
            <w:r>
              <w:t>Walwa Bush Nursing Centre Incorporated</w:t>
            </w:r>
          </w:p>
        </w:tc>
        <w:tc>
          <w:tcPr>
            <w:tcW w:w="1559" w:type="dxa"/>
          </w:tcPr>
          <w:p w14:paraId="3A276749" w14:textId="77777777" w:rsidR="00B02873" w:rsidRDefault="00B02873" w:rsidP="00E532ED">
            <w:pPr>
              <w:pStyle w:val="TablebodyleftFinancialsTables"/>
              <w:jc w:val="right"/>
            </w:pPr>
            <w:r>
              <w:t>100,000</w:t>
            </w:r>
          </w:p>
        </w:tc>
      </w:tr>
      <w:tr w:rsidR="00B02873" w:rsidRPr="00B02873" w14:paraId="7C1E2190" w14:textId="77777777" w:rsidTr="00E532ED">
        <w:tc>
          <w:tcPr>
            <w:tcW w:w="5382" w:type="dxa"/>
          </w:tcPr>
          <w:p w14:paraId="15370AC4" w14:textId="77777777" w:rsidR="00B02873" w:rsidRDefault="00B02873" w:rsidP="00E532ED">
            <w:pPr>
              <w:pStyle w:val="TablebodyleftFinancialsTables"/>
            </w:pPr>
            <w:r>
              <w:t>Darebin City Council</w:t>
            </w:r>
          </w:p>
        </w:tc>
        <w:tc>
          <w:tcPr>
            <w:tcW w:w="1559" w:type="dxa"/>
          </w:tcPr>
          <w:p w14:paraId="7BA4CB74" w14:textId="77777777" w:rsidR="00B02873" w:rsidRDefault="00B02873" w:rsidP="00E532ED">
            <w:pPr>
              <w:pStyle w:val="TablebodyleftFinancialsTables"/>
              <w:jc w:val="right"/>
            </w:pPr>
            <w:r>
              <w:t>100,000</w:t>
            </w:r>
          </w:p>
        </w:tc>
      </w:tr>
      <w:tr w:rsidR="00B02873" w:rsidRPr="00B02873" w14:paraId="4ECD4694" w14:textId="77777777" w:rsidTr="00E532ED">
        <w:tc>
          <w:tcPr>
            <w:tcW w:w="5382" w:type="dxa"/>
          </w:tcPr>
          <w:p w14:paraId="2AFA9E67" w14:textId="77777777" w:rsidR="00B02873" w:rsidRDefault="00B02873" w:rsidP="00E532ED">
            <w:pPr>
              <w:pStyle w:val="TablebodyleftFinancialsTables"/>
            </w:pPr>
            <w:r>
              <w:t>Wurundjeri Woi Wurrung Cultural Heritage Aboriginal Corporation</w:t>
            </w:r>
          </w:p>
        </w:tc>
        <w:tc>
          <w:tcPr>
            <w:tcW w:w="1559" w:type="dxa"/>
          </w:tcPr>
          <w:p w14:paraId="6B9BB074" w14:textId="77777777" w:rsidR="00B02873" w:rsidRDefault="00B02873" w:rsidP="00E532ED">
            <w:pPr>
              <w:pStyle w:val="TablebodyleftFinancialsTables"/>
              <w:jc w:val="right"/>
            </w:pPr>
            <w:r>
              <w:t>100,000</w:t>
            </w:r>
          </w:p>
        </w:tc>
      </w:tr>
      <w:tr w:rsidR="00B02873" w:rsidRPr="00B02873" w14:paraId="1DCC3B45" w14:textId="77777777" w:rsidTr="00E532ED">
        <w:tc>
          <w:tcPr>
            <w:tcW w:w="5382" w:type="dxa"/>
          </w:tcPr>
          <w:p w14:paraId="34198018" w14:textId="77777777" w:rsidR="00B02873" w:rsidRDefault="00B02873" w:rsidP="00E532ED">
            <w:pPr>
              <w:pStyle w:val="TablebodyleftFinancialsTables"/>
            </w:pPr>
            <w:r>
              <w:t>Dja Dja Wurrung Clans Aboriginal Corporation</w:t>
            </w:r>
          </w:p>
        </w:tc>
        <w:tc>
          <w:tcPr>
            <w:tcW w:w="1559" w:type="dxa"/>
          </w:tcPr>
          <w:p w14:paraId="5153FAE0" w14:textId="77777777" w:rsidR="00B02873" w:rsidRDefault="00B02873" w:rsidP="00E532ED">
            <w:pPr>
              <w:pStyle w:val="TablebodyleftFinancialsTables"/>
              <w:jc w:val="right"/>
            </w:pPr>
            <w:r>
              <w:t>100,000</w:t>
            </w:r>
          </w:p>
        </w:tc>
      </w:tr>
      <w:tr w:rsidR="00B02873" w:rsidRPr="00B02873" w14:paraId="2D924067" w14:textId="77777777" w:rsidTr="00E532ED">
        <w:tc>
          <w:tcPr>
            <w:tcW w:w="5382" w:type="dxa"/>
          </w:tcPr>
          <w:p w14:paraId="3F0A7C04" w14:textId="77777777" w:rsidR="00B02873" w:rsidRDefault="00B02873" w:rsidP="00E532ED">
            <w:pPr>
              <w:pStyle w:val="TablebodyleftFinancialsTables"/>
            </w:pPr>
            <w:r>
              <w:t>Melbourne Water</w:t>
            </w:r>
          </w:p>
        </w:tc>
        <w:tc>
          <w:tcPr>
            <w:tcW w:w="1559" w:type="dxa"/>
          </w:tcPr>
          <w:p w14:paraId="104476E7" w14:textId="77777777" w:rsidR="00B02873" w:rsidRDefault="00B02873" w:rsidP="00E532ED">
            <w:pPr>
              <w:pStyle w:val="TablebodyleftFinancialsTables"/>
              <w:jc w:val="right"/>
            </w:pPr>
            <w:r>
              <w:t>99,930</w:t>
            </w:r>
          </w:p>
        </w:tc>
      </w:tr>
      <w:tr w:rsidR="00B02873" w:rsidRPr="00B02873" w14:paraId="27F92E9A" w14:textId="77777777" w:rsidTr="00E532ED">
        <w:tc>
          <w:tcPr>
            <w:tcW w:w="5382" w:type="dxa"/>
          </w:tcPr>
          <w:p w14:paraId="5EBD8A01" w14:textId="77777777" w:rsidR="00B02873" w:rsidRDefault="00B02873" w:rsidP="00E532ED">
            <w:pPr>
              <w:pStyle w:val="TablebodyleftFinancialsTables"/>
            </w:pPr>
            <w:r>
              <w:t>Surf Coast Energy Group</w:t>
            </w:r>
          </w:p>
        </w:tc>
        <w:tc>
          <w:tcPr>
            <w:tcW w:w="1559" w:type="dxa"/>
          </w:tcPr>
          <w:p w14:paraId="2864395B" w14:textId="77777777" w:rsidR="00B02873" w:rsidRDefault="00B02873" w:rsidP="00E532ED">
            <w:pPr>
              <w:pStyle w:val="TablebodyleftFinancialsTables"/>
              <w:jc w:val="right"/>
            </w:pPr>
            <w:r>
              <w:t>97,154</w:t>
            </w:r>
          </w:p>
        </w:tc>
      </w:tr>
      <w:tr w:rsidR="00B02873" w:rsidRPr="00B02873" w14:paraId="247B1C2C" w14:textId="77777777" w:rsidTr="00E532ED">
        <w:tc>
          <w:tcPr>
            <w:tcW w:w="5382" w:type="dxa"/>
          </w:tcPr>
          <w:p w14:paraId="1D7D9BEB" w14:textId="77777777" w:rsidR="00B02873" w:rsidRDefault="00B02873" w:rsidP="00E532ED">
            <w:pPr>
              <w:pStyle w:val="TablebodyleftFinancialsTables"/>
            </w:pPr>
            <w:r>
              <w:lastRenderedPageBreak/>
              <w:t>Weston Dairies</w:t>
            </w:r>
          </w:p>
        </w:tc>
        <w:tc>
          <w:tcPr>
            <w:tcW w:w="1559" w:type="dxa"/>
          </w:tcPr>
          <w:p w14:paraId="76D35544" w14:textId="77777777" w:rsidR="00B02873" w:rsidRDefault="00B02873" w:rsidP="00E532ED">
            <w:pPr>
              <w:pStyle w:val="TablebodyleftFinancialsTables"/>
              <w:jc w:val="right"/>
            </w:pPr>
            <w:r>
              <w:t>91,029</w:t>
            </w:r>
          </w:p>
        </w:tc>
      </w:tr>
      <w:tr w:rsidR="00B02873" w:rsidRPr="00B02873" w14:paraId="18A0C0EA" w14:textId="77777777" w:rsidTr="00E532ED">
        <w:tc>
          <w:tcPr>
            <w:tcW w:w="5382" w:type="dxa"/>
          </w:tcPr>
          <w:p w14:paraId="21F4913D" w14:textId="77777777" w:rsidR="00B02873" w:rsidRDefault="00B02873" w:rsidP="00E532ED">
            <w:pPr>
              <w:pStyle w:val="TablebodyleftFinancialsTables"/>
            </w:pPr>
            <w:r>
              <w:t>Department of Justice and Community Safety (Victoria)</w:t>
            </w:r>
          </w:p>
        </w:tc>
        <w:tc>
          <w:tcPr>
            <w:tcW w:w="1559" w:type="dxa"/>
          </w:tcPr>
          <w:p w14:paraId="3E748F0D" w14:textId="77777777" w:rsidR="00B02873" w:rsidRDefault="00B02873" w:rsidP="00E532ED">
            <w:pPr>
              <w:pStyle w:val="TablebodyleftFinancialsTables"/>
              <w:jc w:val="right"/>
            </w:pPr>
            <w:r>
              <w:t>90,000</w:t>
            </w:r>
          </w:p>
        </w:tc>
      </w:tr>
      <w:tr w:rsidR="00B02873" w:rsidRPr="00B02873" w14:paraId="46071D10" w14:textId="77777777" w:rsidTr="00E532ED">
        <w:tc>
          <w:tcPr>
            <w:tcW w:w="5382" w:type="dxa"/>
          </w:tcPr>
          <w:p w14:paraId="6A1586A7" w14:textId="77777777" w:rsidR="00B02873" w:rsidRDefault="00B02873" w:rsidP="00E532ED">
            <w:pPr>
              <w:pStyle w:val="TablebodyleftFinancialsTables"/>
            </w:pPr>
            <w:r>
              <w:t>Clean Energy Nillumbik</w:t>
            </w:r>
          </w:p>
        </w:tc>
        <w:tc>
          <w:tcPr>
            <w:tcW w:w="1559" w:type="dxa"/>
          </w:tcPr>
          <w:p w14:paraId="56DBB6F8" w14:textId="77777777" w:rsidR="00B02873" w:rsidRDefault="00B02873" w:rsidP="00E532ED">
            <w:pPr>
              <w:pStyle w:val="TablebodyleftFinancialsTables"/>
              <w:jc w:val="right"/>
            </w:pPr>
            <w:r>
              <w:t>87,802</w:t>
            </w:r>
          </w:p>
        </w:tc>
      </w:tr>
      <w:tr w:rsidR="00B02873" w:rsidRPr="00B02873" w14:paraId="1C704017" w14:textId="77777777" w:rsidTr="00E532ED">
        <w:tc>
          <w:tcPr>
            <w:tcW w:w="5382" w:type="dxa"/>
          </w:tcPr>
          <w:p w14:paraId="19F2C7E8" w14:textId="77777777" w:rsidR="00B02873" w:rsidRDefault="00B02873" w:rsidP="00E532ED">
            <w:pPr>
              <w:pStyle w:val="TablebodyleftFinancialsTables"/>
            </w:pPr>
            <w:r>
              <w:t>Mandalay Resources Costerfield Operations Pty Ltd</w:t>
            </w:r>
          </w:p>
        </w:tc>
        <w:tc>
          <w:tcPr>
            <w:tcW w:w="1559" w:type="dxa"/>
          </w:tcPr>
          <w:p w14:paraId="11EBC1A3" w14:textId="77777777" w:rsidR="00B02873" w:rsidRDefault="00B02873" w:rsidP="00E532ED">
            <w:pPr>
              <w:pStyle w:val="TablebodyleftFinancialsTables"/>
              <w:jc w:val="right"/>
            </w:pPr>
            <w:r>
              <w:t>87,500</w:t>
            </w:r>
          </w:p>
        </w:tc>
      </w:tr>
      <w:tr w:rsidR="00B02873" w:rsidRPr="00B02873" w14:paraId="22FDBE8C" w14:textId="77777777" w:rsidTr="00E532ED">
        <w:tc>
          <w:tcPr>
            <w:tcW w:w="5382" w:type="dxa"/>
          </w:tcPr>
          <w:p w14:paraId="19577CD6" w14:textId="77777777" w:rsidR="00B02873" w:rsidRDefault="00B02873" w:rsidP="00E532ED">
            <w:pPr>
              <w:pStyle w:val="TablebodyleftFinancialsTables"/>
            </w:pPr>
            <w:r>
              <w:t>Burra Foods Pty Ltd</w:t>
            </w:r>
          </w:p>
        </w:tc>
        <w:tc>
          <w:tcPr>
            <w:tcW w:w="1559" w:type="dxa"/>
          </w:tcPr>
          <w:p w14:paraId="4C5CE659" w14:textId="77777777" w:rsidR="00B02873" w:rsidRDefault="00B02873" w:rsidP="00E532ED">
            <w:pPr>
              <w:pStyle w:val="TablebodyleftFinancialsTables"/>
              <w:jc w:val="right"/>
            </w:pPr>
            <w:r>
              <w:t>85,203</w:t>
            </w:r>
          </w:p>
        </w:tc>
      </w:tr>
      <w:tr w:rsidR="00B02873" w:rsidRPr="00B02873" w14:paraId="2075E3A0" w14:textId="77777777" w:rsidTr="00E532ED">
        <w:tc>
          <w:tcPr>
            <w:tcW w:w="5382" w:type="dxa"/>
          </w:tcPr>
          <w:p w14:paraId="7B83CF02" w14:textId="77777777" w:rsidR="00B02873" w:rsidRDefault="00B02873" w:rsidP="00E532ED">
            <w:pPr>
              <w:pStyle w:val="TablebodyleftFinancialsTables"/>
            </w:pPr>
            <w:r>
              <w:t>Manningham City Council</w:t>
            </w:r>
          </w:p>
        </w:tc>
        <w:tc>
          <w:tcPr>
            <w:tcW w:w="1559" w:type="dxa"/>
          </w:tcPr>
          <w:p w14:paraId="0AA96AE1" w14:textId="77777777" w:rsidR="00B02873" w:rsidRDefault="00B02873" w:rsidP="00E532ED">
            <w:pPr>
              <w:pStyle w:val="TablebodyleftFinancialsTables"/>
              <w:jc w:val="right"/>
            </w:pPr>
            <w:r>
              <w:t>82,531</w:t>
            </w:r>
          </w:p>
        </w:tc>
      </w:tr>
      <w:tr w:rsidR="00B02873" w:rsidRPr="00B02873" w14:paraId="0BFABBB9" w14:textId="77777777" w:rsidTr="00E532ED">
        <w:tc>
          <w:tcPr>
            <w:tcW w:w="5382" w:type="dxa"/>
          </w:tcPr>
          <w:p w14:paraId="65AA3934" w14:textId="77777777" w:rsidR="00B02873" w:rsidRDefault="00B02873" w:rsidP="00E532ED">
            <w:pPr>
              <w:pStyle w:val="TablebodyleftFinancialsTables"/>
            </w:pPr>
            <w:r>
              <w:t>First People of the Millewa-Mallee Aboriginal Corporation</w:t>
            </w:r>
          </w:p>
        </w:tc>
        <w:tc>
          <w:tcPr>
            <w:tcW w:w="1559" w:type="dxa"/>
          </w:tcPr>
          <w:p w14:paraId="4E61760D" w14:textId="77777777" w:rsidR="00B02873" w:rsidRDefault="00B02873" w:rsidP="00E532ED">
            <w:pPr>
              <w:pStyle w:val="TablebodyleftFinancialsTables"/>
              <w:jc w:val="right"/>
            </w:pPr>
            <w:r>
              <w:t>82,500</w:t>
            </w:r>
          </w:p>
        </w:tc>
      </w:tr>
      <w:tr w:rsidR="00B02873" w:rsidRPr="00B02873" w14:paraId="2F46CED9" w14:textId="77777777" w:rsidTr="00E532ED">
        <w:tc>
          <w:tcPr>
            <w:tcW w:w="5382" w:type="dxa"/>
          </w:tcPr>
          <w:p w14:paraId="2D006A5F" w14:textId="77777777" w:rsidR="00B02873" w:rsidRDefault="00B02873" w:rsidP="00E532ED">
            <w:pPr>
              <w:pStyle w:val="TablebodyleftFinancialsTables"/>
            </w:pPr>
            <w:r>
              <w:t>Hepburn Shire Council</w:t>
            </w:r>
          </w:p>
        </w:tc>
        <w:tc>
          <w:tcPr>
            <w:tcW w:w="1559" w:type="dxa"/>
          </w:tcPr>
          <w:p w14:paraId="03FD80E7" w14:textId="77777777" w:rsidR="00B02873" w:rsidRDefault="00B02873" w:rsidP="00E532ED">
            <w:pPr>
              <w:pStyle w:val="TablebodyleftFinancialsTables"/>
              <w:jc w:val="right"/>
            </w:pPr>
            <w:r>
              <w:t>82,299</w:t>
            </w:r>
          </w:p>
        </w:tc>
      </w:tr>
      <w:tr w:rsidR="00B02873" w:rsidRPr="00B02873" w14:paraId="784293AD" w14:textId="77777777" w:rsidTr="00E532ED">
        <w:tc>
          <w:tcPr>
            <w:tcW w:w="5382" w:type="dxa"/>
          </w:tcPr>
          <w:p w14:paraId="4A7A25C3" w14:textId="77777777" w:rsidR="00B02873" w:rsidRDefault="00B02873" w:rsidP="00E532ED">
            <w:pPr>
              <w:pStyle w:val="TablebodyleftFinancialsTables"/>
            </w:pPr>
            <w:r>
              <w:t>Turosi Pty Ltd</w:t>
            </w:r>
          </w:p>
        </w:tc>
        <w:tc>
          <w:tcPr>
            <w:tcW w:w="1559" w:type="dxa"/>
          </w:tcPr>
          <w:p w14:paraId="4B0775E4" w14:textId="77777777" w:rsidR="00B02873" w:rsidRDefault="00B02873" w:rsidP="00E532ED">
            <w:pPr>
              <w:pStyle w:val="TablebodyleftFinancialsTables"/>
              <w:jc w:val="right"/>
            </w:pPr>
            <w:r>
              <w:t>81,242</w:t>
            </w:r>
          </w:p>
        </w:tc>
      </w:tr>
      <w:tr w:rsidR="00B02873" w:rsidRPr="00B02873" w14:paraId="4099E5BA" w14:textId="77777777" w:rsidTr="00E532ED">
        <w:tc>
          <w:tcPr>
            <w:tcW w:w="5382" w:type="dxa"/>
          </w:tcPr>
          <w:p w14:paraId="2D284A9C" w14:textId="77777777" w:rsidR="00B02873" w:rsidRDefault="00B02873" w:rsidP="00E532ED">
            <w:pPr>
              <w:pStyle w:val="TablebodyleftFinancialsTables"/>
            </w:pPr>
            <w:r>
              <w:t>Newstead 2021</w:t>
            </w:r>
          </w:p>
        </w:tc>
        <w:tc>
          <w:tcPr>
            <w:tcW w:w="1559" w:type="dxa"/>
          </w:tcPr>
          <w:p w14:paraId="7DC318C3" w14:textId="77777777" w:rsidR="00B02873" w:rsidRDefault="00B02873" w:rsidP="00E532ED">
            <w:pPr>
              <w:pStyle w:val="TablebodyleftFinancialsTables"/>
              <w:jc w:val="right"/>
            </w:pPr>
            <w:r>
              <w:t>80,000</w:t>
            </w:r>
          </w:p>
        </w:tc>
      </w:tr>
      <w:tr w:rsidR="00B02873" w:rsidRPr="00B02873" w14:paraId="1B8D3A5A" w14:textId="77777777" w:rsidTr="00E532ED">
        <w:tc>
          <w:tcPr>
            <w:tcW w:w="5382" w:type="dxa"/>
          </w:tcPr>
          <w:p w14:paraId="6B0EF832" w14:textId="77777777" w:rsidR="00B02873" w:rsidRDefault="00B02873" w:rsidP="00E532ED">
            <w:pPr>
              <w:pStyle w:val="TablebodyleftFinancialsTables"/>
            </w:pPr>
            <w:r>
              <w:t>Rowville Secondary College</w:t>
            </w:r>
          </w:p>
        </w:tc>
        <w:tc>
          <w:tcPr>
            <w:tcW w:w="1559" w:type="dxa"/>
          </w:tcPr>
          <w:p w14:paraId="38547805" w14:textId="77777777" w:rsidR="00B02873" w:rsidRDefault="00B02873" w:rsidP="00E532ED">
            <w:pPr>
              <w:pStyle w:val="TablebodyleftFinancialsTables"/>
              <w:jc w:val="right"/>
            </w:pPr>
            <w:r>
              <w:t>77,460</w:t>
            </w:r>
          </w:p>
        </w:tc>
      </w:tr>
      <w:tr w:rsidR="00B02873" w:rsidRPr="00B02873" w14:paraId="7AC6CB66" w14:textId="77777777" w:rsidTr="00E532ED">
        <w:tc>
          <w:tcPr>
            <w:tcW w:w="5382" w:type="dxa"/>
          </w:tcPr>
          <w:p w14:paraId="14043CB4" w14:textId="77777777" w:rsidR="00B02873" w:rsidRDefault="00B02873" w:rsidP="00E532ED">
            <w:pPr>
              <w:pStyle w:val="TablebodyleftFinancialsTables"/>
            </w:pPr>
            <w:r>
              <w:t>Boeing Aerostructures Australia Pty Limited</w:t>
            </w:r>
          </w:p>
        </w:tc>
        <w:tc>
          <w:tcPr>
            <w:tcW w:w="1559" w:type="dxa"/>
          </w:tcPr>
          <w:p w14:paraId="01998D1A" w14:textId="77777777" w:rsidR="00B02873" w:rsidRDefault="00B02873" w:rsidP="00E532ED">
            <w:pPr>
              <w:pStyle w:val="TablebodyleftFinancialsTables"/>
              <w:jc w:val="right"/>
            </w:pPr>
            <w:r>
              <w:t>77,323</w:t>
            </w:r>
          </w:p>
        </w:tc>
      </w:tr>
      <w:tr w:rsidR="00B02873" w:rsidRPr="00B02873" w14:paraId="0861FF87" w14:textId="77777777" w:rsidTr="00E532ED">
        <w:tc>
          <w:tcPr>
            <w:tcW w:w="5382" w:type="dxa"/>
          </w:tcPr>
          <w:p w14:paraId="377607A9" w14:textId="77777777" w:rsidR="00B02873" w:rsidRDefault="00B02873" w:rsidP="00E532ED">
            <w:pPr>
              <w:pStyle w:val="TablebodyleftFinancialsTables"/>
            </w:pPr>
            <w:r>
              <w:t>Applied Electric Vehicles Pty Ltd</w:t>
            </w:r>
          </w:p>
        </w:tc>
        <w:tc>
          <w:tcPr>
            <w:tcW w:w="1559" w:type="dxa"/>
          </w:tcPr>
          <w:p w14:paraId="4610AA4C" w14:textId="77777777" w:rsidR="00B02873" w:rsidRDefault="00B02873" w:rsidP="00E532ED">
            <w:pPr>
              <w:pStyle w:val="TablebodyleftFinancialsTables"/>
              <w:jc w:val="right"/>
            </w:pPr>
            <w:r>
              <w:t>75,512</w:t>
            </w:r>
          </w:p>
        </w:tc>
      </w:tr>
      <w:tr w:rsidR="00B02873" w:rsidRPr="00B02873" w14:paraId="02BE610E" w14:textId="77777777" w:rsidTr="00E532ED">
        <w:tc>
          <w:tcPr>
            <w:tcW w:w="5382" w:type="dxa"/>
          </w:tcPr>
          <w:p w14:paraId="32949052" w14:textId="77777777" w:rsidR="00B02873" w:rsidRDefault="00B02873" w:rsidP="00E532ED">
            <w:pPr>
              <w:pStyle w:val="TablebodyleftFinancialsTables"/>
            </w:pPr>
            <w:r>
              <w:t>Electromotiv Pty Ltd</w:t>
            </w:r>
          </w:p>
        </w:tc>
        <w:tc>
          <w:tcPr>
            <w:tcW w:w="1559" w:type="dxa"/>
          </w:tcPr>
          <w:p w14:paraId="08716F10" w14:textId="77777777" w:rsidR="00B02873" w:rsidRDefault="00B02873" w:rsidP="00E532ED">
            <w:pPr>
              <w:pStyle w:val="TablebodyleftFinancialsTables"/>
              <w:jc w:val="right"/>
            </w:pPr>
            <w:r>
              <w:t>75,000</w:t>
            </w:r>
          </w:p>
        </w:tc>
      </w:tr>
      <w:tr w:rsidR="00B02873" w:rsidRPr="00B02873" w14:paraId="72C641A1" w14:textId="77777777" w:rsidTr="00E532ED">
        <w:tc>
          <w:tcPr>
            <w:tcW w:w="5382" w:type="dxa"/>
          </w:tcPr>
          <w:p w14:paraId="5C9DF7F4" w14:textId="77777777" w:rsidR="00B02873" w:rsidRDefault="00B02873" w:rsidP="00E532ED">
            <w:pPr>
              <w:pStyle w:val="TablebodyleftFinancialsTables"/>
            </w:pPr>
            <w:r>
              <w:t>Gunaikurnai Land and Waters Aboriginal Corporation</w:t>
            </w:r>
          </w:p>
        </w:tc>
        <w:tc>
          <w:tcPr>
            <w:tcW w:w="1559" w:type="dxa"/>
          </w:tcPr>
          <w:p w14:paraId="333E2961" w14:textId="77777777" w:rsidR="00B02873" w:rsidRDefault="00B02873" w:rsidP="00E532ED">
            <w:pPr>
              <w:pStyle w:val="TablebodyleftFinancialsTables"/>
              <w:jc w:val="right"/>
            </w:pPr>
            <w:r>
              <w:t>70,000</w:t>
            </w:r>
          </w:p>
        </w:tc>
      </w:tr>
      <w:tr w:rsidR="00B02873" w:rsidRPr="00B02873" w14:paraId="3935528E" w14:textId="77777777" w:rsidTr="00E532ED">
        <w:tc>
          <w:tcPr>
            <w:tcW w:w="5382" w:type="dxa"/>
          </w:tcPr>
          <w:p w14:paraId="3AD0C40F" w14:textId="77777777" w:rsidR="00B02873" w:rsidRDefault="00B02873" w:rsidP="00E532ED">
            <w:pPr>
              <w:pStyle w:val="TablebodyleftFinancialsTables"/>
            </w:pPr>
            <w:r>
              <w:t>Central Victorian Greenhouse Alliance</w:t>
            </w:r>
          </w:p>
        </w:tc>
        <w:tc>
          <w:tcPr>
            <w:tcW w:w="1559" w:type="dxa"/>
          </w:tcPr>
          <w:p w14:paraId="75FE55FA" w14:textId="77777777" w:rsidR="00B02873" w:rsidRDefault="00B02873" w:rsidP="00E532ED">
            <w:pPr>
              <w:pStyle w:val="TablebodyleftFinancialsTables"/>
              <w:jc w:val="right"/>
            </w:pPr>
            <w:r>
              <w:t>70,000</w:t>
            </w:r>
          </w:p>
        </w:tc>
      </w:tr>
      <w:tr w:rsidR="00B02873" w:rsidRPr="00B02873" w14:paraId="61B898B2" w14:textId="77777777" w:rsidTr="00E532ED">
        <w:tc>
          <w:tcPr>
            <w:tcW w:w="5382" w:type="dxa"/>
          </w:tcPr>
          <w:p w14:paraId="4DACD971" w14:textId="77777777" w:rsidR="00B02873" w:rsidRDefault="00B02873" w:rsidP="00E532ED">
            <w:pPr>
              <w:pStyle w:val="TablebodyleftFinancialsTables"/>
            </w:pPr>
            <w:r>
              <w:t>Taungurung Land and Waters Council</w:t>
            </w:r>
          </w:p>
        </w:tc>
        <w:tc>
          <w:tcPr>
            <w:tcW w:w="1559" w:type="dxa"/>
          </w:tcPr>
          <w:p w14:paraId="7B1EA54E" w14:textId="77777777" w:rsidR="00B02873" w:rsidRDefault="00B02873" w:rsidP="00E532ED">
            <w:pPr>
              <w:pStyle w:val="TablebodyleftFinancialsTables"/>
              <w:jc w:val="right"/>
            </w:pPr>
            <w:r>
              <w:t>70,000</w:t>
            </w:r>
          </w:p>
        </w:tc>
      </w:tr>
      <w:tr w:rsidR="00B02873" w:rsidRPr="00B02873" w14:paraId="02D3A544" w14:textId="77777777" w:rsidTr="00E532ED">
        <w:tc>
          <w:tcPr>
            <w:tcW w:w="5382" w:type="dxa"/>
          </w:tcPr>
          <w:p w14:paraId="01C6CC25" w14:textId="77777777" w:rsidR="00B02873" w:rsidRDefault="00B02873" w:rsidP="00E532ED">
            <w:pPr>
              <w:pStyle w:val="TablebodyleftFinancialsTables"/>
            </w:pPr>
            <w:r>
              <w:t>Bowens</w:t>
            </w:r>
          </w:p>
        </w:tc>
        <w:tc>
          <w:tcPr>
            <w:tcW w:w="1559" w:type="dxa"/>
          </w:tcPr>
          <w:p w14:paraId="429254FF" w14:textId="77777777" w:rsidR="00B02873" w:rsidRDefault="00B02873" w:rsidP="00E532ED">
            <w:pPr>
              <w:pStyle w:val="TablebodyleftFinancialsTables"/>
              <w:jc w:val="right"/>
            </w:pPr>
            <w:r>
              <w:t>69,955</w:t>
            </w:r>
          </w:p>
        </w:tc>
      </w:tr>
      <w:tr w:rsidR="00B02873" w:rsidRPr="00B02873" w14:paraId="6A13B2D4" w14:textId="77777777" w:rsidTr="00E532ED">
        <w:tc>
          <w:tcPr>
            <w:tcW w:w="5382" w:type="dxa"/>
          </w:tcPr>
          <w:p w14:paraId="0C77D808" w14:textId="77777777" w:rsidR="00B02873" w:rsidRDefault="00B02873" w:rsidP="00E532ED">
            <w:pPr>
              <w:pStyle w:val="TablebodyleftFinancialsTables"/>
            </w:pPr>
            <w:r>
              <w:t>Euroa Environment Group Inc</w:t>
            </w:r>
          </w:p>
        </w:tc>
        <w:tc>
          <w:tcPr>
            <w:tcW w:w="1559" w:type="dxa"/>
          </w:tcPr>
          <w:p w14:paraId="6CA75278" w14:textId="77777777" w:rsidR="00B02873" w:rsidRDefault="00B02873" w:rsidP="00E532ED">
            <w:pPr>
              <w:pStyle w:val="TablebodyleftFinancialsTables"/>
              <w:jc w:val="right"/>
            </w:pPr>
            <w:r>
              <w:t>69,576</w:t>
            </w:r>
          </w:p>
        </w:tc>
      </w:tr>
      <w:tr w:rsidR="00B02873" w:rsidRPr="00B02873" w14:paraId="12991756" w14:textId="77777777" w:rsidTr="00E532ED">
        <w:tc>
          <w:tcPr>
            <w:tcW w:w="5382" w:type="dxa"/>
          </w:tcPr>
          <w:p w14:paraId="10C059A4" w14:textId="77777777" w:rsidR="00B02873" w:rsidRDefault="00B02873" w:rsidP="00E532ED">
            <w:pPr>
              <w:pStyle w:val="TablebodyleftFinancialsTables"/>
            </w:pPr>
            <w:r>
              <w:t>Viva Energy Refining</w:t>
            </w:r>
          </w:p>
        </w:tc>
        <w:tc>
          <w:tcPr>
            <w:tcW w:w="1559" w:type="dxa"/>
          </w:tcPr>
          <w:p w14:paraId="3E3BAE43" w14:textId="77777777" w:rsidR="00B02873" w:rsidRDefault="00B02873" w:rsidP="00E532ED">
            <w:pPr>
              <w:pStyle w:val="TablebodyleftFinancialsTables"/>
              <w:jc w:val="right"/>
            </w:pPr>
            <w:r>
              <w:t>67,208</w:t>
            </w:r>
          </w:p>
        </w:tc>
      </w:tr>
      <w:tr w:rsidR="00B02873" w:rsidRPr="00B02873" w14:paraId="0E34C6CC" w14:textId="77777777" w:rsidTr="00E532ED">
        <w:tc>
          <w:tcPr>
            <w:tcW w:w="5382" w:type="dxa"/>
          </w:tcPr>
          <w:p w14:paraId="1620ED4D" w14:textId="77777777" w:rsidR="00B02873" w:rsidRDefault="00B02873" w:rsidP="00E532ED">
            <w:pPr>
              <w:pStyle w:val="TablebodyleftFinancialsTables"/>
            </w:pPr>
            <w:r>
              <w:t>Gisborne Foodworks</w:t>
            </w:r>
          </w:p>
        </w:tc>
        <w:tc>
          <w:tcPr>
            <w:tcW w:w="1559" w:type="dxa"/>
          </w:tcPr>
          <w:p w14:paraId="083C5926" w14:textId="77777777" w:rsidR="00B02873" w:rsidRDefault="00B02873" w:rsidP="00E532ED">
            <w:pPr>
              <w:pStyle w:val="TablebodyleftFinancialsTables"/>
              <w:jc w:val="right"/>
            </w:pPr>
            <w:r>
              <w:t>64,640</w:t>
            </w:r>
          </w:p>
        </w:tc>
      </w:tr>
      <w:tr w:rsidR="00B02873" w:rsidRPr="00B02873" w14:paraId="5EDD70DE" w14:textId="77777777" w:rsidTr="00E532ED">
        <w:tc>
          <w:tcPr>
            <w:tcW w:w="5382" w:type="dxa"/>
          </w:tcPr>
          <w:p w14:paraId="19BB383C" w14:textId="77777777" w:rsidR="00B02873" w:rsidRDefault="00B02873" w:rsidP="00E532ED">
            <w:pPr>
              <w:pStyle w:val="TablebodyleftFinancialsTables"/>
            </w:pPr>
            <w:r>
              <w:t>Race for 2030 limited</w:t>
            </w:r>
          </w:p>
        </w:tc>
        <w:tc>
          <w:tcPr>
            <w:tcW w:w="1559" w:type="dxa"/>
          </w:tcPr>
          <w:p w14:paraId="3E690B25" w14:textId="77777777" w:rsidR="00B02873" w:rsidRDefault="00B02873" w:rsidP="00E532ED">
            <w:pPr>
              <w:pStyle w:val="TablebodyleftFinancialsTables"/>
              <w:jc w:val="right"/>
            </w:pPr>
            <w:r>
              <w:t>64,286</w:t>
            </w:r>
          </w:p>
        </w:tc>
      </w:tr>
      <w:tr w:rsidR="00B02873" w:rsidRPr="00B02873" w14:paraId="58451325" w14:textId="77777777" w:rsidTr="00E532ED">
        <w:tc>
          <w:tcPr>
            <w:tcW w:w="5382" w:type="dxa"/>
          </w:tcPr>
          <w:p w14:paraId="703FDA19" w14:textId="77777777" w:rsidR="00B02873" w:rsidRDefault="00B02873" w:rsidP="00E532ED">
            <w:pPr>
              <w:pStyle w:val="TablebodyleftFinancialsTables"/>
            </w:pPr>
            <w:r>
              <w:t>Hepburn Wind</w:t>
            </w:r>
          </w:p>
        </w:tc>
        <w:tc>
          <w:tcPr>
            <w:tcW w:w="1559" w:type="dxa"/>
          </w:tcPr>
          <w:p w14:paraId="5C9EEF09" w14:textId="77777777" w:rsidR="00B02873" w:rsidRDefault="00B02873" w:rsidP="00E532ED">
            <w:pPr>
              <w:pStyle w:val="TablebodyleftFinancialsTables"/>
              <w:jc w:val="right"/>
            </w:pPr>
            <w:r>
              <w:t>63,828</w:t>
            </w:r>
          </w:p>
        </w:tc>
      </w:tr>
      <w:tr w:rsidR="00B02873" w:rsidRPr="00B02873" w14:paraId="133EBD82" w14:textId="77777777" w:rsidTr="00E532ED">
        <w:tc>
          <w:tcPr>
            <w:tcW w:w="5382" w:type="dxa"/>
          </w:tcPr>
          <w:p w14:paraId="6CFC5B57" w14:textId="77777777" w:rsidR="00B02873" w:rsidRDefault="00B02873" w:rsidP="00E532ED">
            <w:pPr>
              <w:pStyle w:val="TablebodyleftFinancialsTables"/>
            </w:pPr>
            <w:r>
              <w:t>Gunditj Mirring Traditional Owners Aboriginal Corporation</w:t>
            </w:r>
          </w:p>
        </w:tc>
        <w:tc>
          <w:tcPr>
            <w:tcW w:w="1559" w:type="dxa"/>
          </w:tcPr>
          <w:p w14:paraId="2848FDD6" w14:textId="77777777" w:rsidR="00B02873" w:rsidRDefault="00B02873" w:rsidP="00E532ED">
            <w:pPr>
              <w:pStyle w:val="TablebodyleftFinancialsTables"/>
              <w:jc w:val="right"/>
            </w:pPr>
            <w:r>
              <w:t>60,000</w:t>
            </w:r>
          </w:p>
        </w:tc>
      </w:tr>
      <w:tr w:rsidR="00B02873" w:rsidRPr="00B02873" w14:paraId="077A4C10" w14:textId="77777777" w:rsidTr="00E532ED">
        <w:tc>
          <w:tcPr>
            <w:tcW w:w="5382" w:type="dxa"/>
          </w:tcPr>
          <w:p w14:paraId="68F8D1A2" w14:textId="77777777" w:rsidR="00B02873" w:rsidRDefault="00B02873" w:rsidP="00E532ED">
            <w:pPr>
              <w:pStyle w:val="TablebodyleftFinancialsTables"/>
            </w:pPr>
            <w:r>
              <w:t>TMB Farms Trust</w:t>
            </w:r>
          </w:p>
        </w:tc>
        <w:tc>
          <w:tcPr>
            <w:tcW w:w="1559" w:type="dxa"/>
          </w:tcPr>
          <w:p w14:paraId="2C8F108A" w14:textId="77777777" w:rsidR="00B02873" w:rsidRDefault="00B02873" w:rsidP="00E532ED">
            <w:pPr>
              <w:pStyle w:val="TablebodyleftFinancialsTables"/>
              <w:jc w:val="right"/>
            </w:pPr>
            <w:r>
              <w:t>60,000</w:t>
            </w:r>
          </w:p>
        </w:tc>
      </w:tr>
      <w:tr w:rsidR="00B02873" w:rsidRPr="00B02873" w14:paraId="3220AB60" w14:textId="77777777" w:rsidTr="00E532ED">
        <w:tc>
          <w:tcPr>
            <w:tcW w:w="5382" w:type="dxa"/>
          </w:tcPr>
          <w:p w14:paraId="79C4B1B0" w14:textId="77777777" w:rsidR="00B02873" w:rsidRDefault="00B02873" w:rsidP="00E532ED">
            <w:pPr>
              <w:pStyle w:val="TablebodyleftFinancialsTables"/>
            </w:pPr>
            <w:r>
              <w:t>Pyrenees Shire Council</w:t>
            </w:r>
          </w:p>
        </w:tc>
        <w:tc>
          <w:tcPr>
            <w:tcW w:w="1559" w:type="dxa"/>
          </w:tcPr>
          <w:p w14:paraId="09E1AFC4" w14:textId="77777777" w:rsidR="00B02873" w:rsidRDefault="00B02873" w:rsidP="00E532ED">
            <w:pPr>
              <w:pStyle w:val="TablebodyleftFinancialsTables"/>
              <w:jc w:val="right"/>
            </w:pPr>
            <w:r>
              <w:t>58,662</w:t>
            </w:r>
          </w:p>
        </w:tc>
      </w:tr>
      <w:tr w:rsidR="00B02873" w:rsidRPr="00B02873" w14:paraId="0352376A" w14:textId="77777777" w:rsidTr="00E532ED">
        <w:tc>
          <w:tcPr>
            <w:tcW w:w="5382" w:type="dxa"/>
          </w:tcPr>
          <w:p w14:paraId="2A5B4C0E" w14:textId="77777777" w:rsidR="00B02873" w:rsidRDefault="00B02873" w:rsidP="00E532ED">
            <w:pPr>
              <w:pStyle w:val="TablebodyleftFinancialsTables"/>
            </w:pPr>
            <w:r>
              <w:t>Apollo Bay Chamber of Commerce</w:t>
            </w:r>
          </w:p>
        </w:tc>
        <w:tc>
          <w:tcPr>
            <w:tcW w:w="1559" w:type="dxa"/>
          </w:tcPr>
          <w:p w14:paraId="0B81882F" w14:textId="77777777" w:rsidR="00B02873" w:rsidRDefault="00B02873" w:rsidP="00E532ED">
            <w:pPr>
              <w:pStyle w:val="TablebodyleftFinancialsTables"/>
              <w:jc w:val="right"/>
            </w:pPr>
            <w:r>
              <w:t>58,135</w:t>
            </w:r>
          </w:p>
        </w:tc>
      </w:tr>
      <w:tr w:rsidR="00B02873" w:rsidRPr="00B02873" w14:paraId="5D2FB8F8" w14:textId="77777777" w:rsidTr="00E532ED">
        <w:tc>
          <w:tcPr>
            <w:tcW w:w="5382" w:type="dxa"/>
          </w:tcPr>
          <w:p w14:paraId="042483CD" w14:textId="77777777" w:rsidR="00B02873" w:rsidRDefault="00B02873" w:rsidP="00E532ED">
            <w:pPr>
              <w:pStyle w:val="TablebodyleftFinancialsTables"/>
            </w:pPr>
            <w:r>
              <w:t>Monash Health</w:t>
            </w:r>
          </w:p>
        </w:tc>
        <w:tc>
          <w:tcPr>
            <w:tcW w:w="1559" w:type="dxa"/>
          </w:tcPr>
          <w:p w14:paraId="07E0FBFC" w14:textId="77777777" w:rsidR="00B02873" w:rsidRDefault="00B02873" w:rsidP="00E532ED">
            <w:pPr>
              <w:pStyle w:val="TablebodyleftFinancialsTables"/>
              <w:jc w:val="right"/>
            </w:pPr>
            <w:r>
              <w:t>51,668</w:t>
            </w:r>
          </w:p>
        </w:tc>
      </w:tr>
      <w:tr w:rsidR="00B02873" w:rsidRPr="00B02873" w14:paraId="72C43EF9" w14:textId="77777777" w:rsidTr="00E532ED">
        <w:tc>
          <w:tcPr>
            <w:tcW w:w="5382" w:type="dxa"/>
          </w:tcPr>
          <w:p w14:paraId="0AD7E927" w14:textId="77777777" w:rsidR="00B02873" w:rsidRDefault="00B02873" w:rsidP="00E532ED">
            <w:pPr>
              <w:pStyle w:val="TablebodyleftFinancialsTables"/>
            </w:pPr>
            <w:r>
              <w:t>Austeng</w:t>
            </w:r>
          </w:p>
        </w:tc>
        <w:tc>
          <w:tcPr>
            <w:tcW w:w="1559" w:type="dxa"/>
          </w:tcPr>
          <w:p w14:paraId="18182EB3" w14:textId="77777777" w:rsidR="00B02873" w:rsidRDefault="00B02873" w:rsidP="00E532ED">
            <w:pPr>
              <w:pStyle w:val="TablebodyleftFinancialsTables"/>
              <w:jc w:val="right"/>
            </w:pPr>
            <w:r>
              <w:t>50,000</w:t>
            </w:r>
          </w:p>
        </w:tc>
      </w:tr>
      <w:tr w:rsidR="00B02873" w:rsidRPr="00B02873" w14:paraId="3A7368C2" w14:textId="77777777" w:rsidTr="00E532ED">
        <w:tc>
          <w:tcPr>
            <w:tcW w:w="5382" w:type="dxa"/>
          </w:tcPr>
          <w:p w14:paraId="6DB0CE44" w14:textId="77777777" w:rsidR="00B02873" w:rsidRDefault="00B02873" w:rsidP="00E532ED">
            <w:pPr>
              <w:pStyle w:val="TablebodyleftFinancialsTables"/>
            </w:pPr>
            <w:r>
              <w:t>Not a Trace</w:t>
            </w:r>
          </w:p>
        </w:tc>
        <w:tc>
          <w:tcPr>
            <w:tcW w:w="1559" w:type="dxa"/>
          </w:tcPr>
          <w:p w14:paraId="32E5F1A0" w14:textId="77777777" w:rsidR="00B02873" w:rsidRDefault="00B02873" w:rsidP="00E532ED">
            <w:pPr>
              <w:pStyle w:val="TablebodyleftFinancialsTables"/>
              <w:jc w:val="right"/>
            </w:pPr>
            <w:r>
              <w:t>48,040</w:t>
            </w:r>
          </w:p>
        </w:tc>
      </w:tr>
      <w:tr w:rsidR="00B02873" w:rsidRPr="00B02873" w14:paraId="74C4AD96" w14:textId="77777777" w:rsidTr="00E532ED">
        <w:tc>
          <w:tcPr>
            <w:tcW w:w="5382" w:type="dxa"/>
          </w:tcPr>
          <w:p w14:paraId="7886A7F3" w14:textId="77777777" w:rsidR="00B02873" w:rsidRDefault="00B02873" w:rsidP="00E532ED">
            <w:pPr>
              <w:pStyle w:val="TablebodyleftFinancialsTables"/>
            </w:pPr>
            <w:r>
              <w:t>Collins Electrical</w:t>
            </w:r>
          </w:p>
        </w:tc>
        <w:tc>
          <w:tcPr>
            <w:tcW w:w="1559" w:type="dxa"/>
          </w:tcPr>
          <w:p w14:paraId="60E60E6F" w14:textId="77777777" w:rsidR="00B02873" w:rsidRDefault="00B02873" w:rsidP="00E532ED">
            <w:pPr>
              <w:pStyle w:val="TablebodyleftFinancialsTables"/>
              <w:jc w:val="right"/>
            </w:pPr>
            <w:r>
              <w:t>46,067</w:t>
            </w:r>
          </w:p>
        </w:tc>
      </w:tr>
      <w:tr w:rsidR="00B02873" w:rsidRPr="00B02873" w14:paraId="57ED90A2" w14:textId="77777777" w:rsidTr="00E532ED">
        <w:tc>
          <w:tcPr>
            <w:tcW w:w="5382" w:type="dxa"/>
          </w:tcPr>
          <w:p w14:paraId="38443799" w14:textId="77777777" w:rsidR="00B02873" w:rsidRDefault="00B02873" w:rsidP="00E532ED">
            <w:pPr>
              <w:pStyle w:val="TablebodyleftFinancialsTables"/>
            </w:pPr>
            <w:r>
              <w:t>Macedon Ranges Sustainability Group Inc</w:t>
            </w:r>
          </w:p>
        </w:tc>
        <w:tc>
          <w:tcPr>
            <w:tcW w:w="1559" w:type="dxa"/>
          </w:tcPr>
          <w:p w14:paraId="2C15B5D6" w14:textId="77777777" w:rsidR="00B02873" w:rsidRDefault="00B02873" w:rsidP="00E532ED">
            <w:pPr>
              <w:pStyle w:val="TablebodyleftFinancialsTables"/>
              <w:jc w:val="right"/>
            </w:pPr>
            <w:r>
              <w:t>45,400</w:t>
            </w:r>
          </w:p>
        </w:tc>
      </w:tr>
      <w:tr w:rsidR="00B02873" w:rsidRPr="00B02873" w14:paraId="294426E1" w14:textId="77777777" w:rsidTr="00E532ED">
        <w:tc>
          <w:tcPr>
            <w:tcW w:w="5382" w:type="dxa"/>
          </w:tcPr>
          <w:p w14:paraId="4FD2720A" w14:textId="77777777" w:rsidR="00B02873" w:rsidRDefault="00B02873" w:rsidP="00E532ED">
            <w:pPr>
              <w:pStyle w:val="TablebodyleftFinancialsTables"/>
            </w:pPr>
            <w:r>
              <w:t>Bass Coast Shire Council</w:t>
            </w:r>
          </w:p>
        </w:tc>
        <w:tc>
          <w:tcPr>
            <w:tcW w:w="1559" w:type="dxa"/>
          </w:tcPr>
          <w:p w14:paraId="576DC5A5" w14:textId="77777777" w:rsidR="00B02873" w:rsidRDefault="00B02873" w:rsidP="00E532ED">
            <w:pPr>
              <w:pStyle w:val="TablebodyleftFinancialsTables"/>
              <w:jc w:val="right"/>
            </w:pPr>
            <w:r>
              <w:t>43,500</w:t>
            </w:r>
          </w:p>
        </w:tc>
      </w:tr>
      <w:tr w:rsidR="00B02873" w:rsidRPr="00B02873" w14:paraId="6E6EF92E" w14:textId="77777777" w:rsidTr="00E532ED">
        <w:tc>
          <w:tcPr>
            <w:tcW w:w="5382" w:type="dxa"/>
          </w:tcPr>
          <w:p w14:paraId="36945AB5" w14:textId="77777777" w:rsidR="00B02873" w:rsidRDefault="00B02873" w:rsidP="00E532ED">
            <w:pPr>
              <w:pStyle w:val="TablebodyleftFinancialsTables"/>
            </w:pPr>
            <w:r>
              <w:t>Goulburn Valley Water Authority</w:t>
            </w:r>
          </w:p>
        </w:tc>
        <w:tc>
          <w:tcPr>
            <w:tcW w:w="1559" w:type="dxa"/>
          </w:tcPr>
          <w:p w14:paraId="7468AAD7" w14:textId="77777777" w:rsidR="00B02873" w:rsidRDefault="00B02873" w:rsidP="00E532ED">
            <w:pPr>
              <w:pStyle w:val="TablebodyleftFinancialsTables"/>
              <w:jc w:val="right"/>
            </w:pPr>
            <w:r>
              <w:t>42,500</w:t>
            </w:r>
          </w:p>
        </w:tc>
      </w:tr>
      <w:tr w:rsidR="00B02873" w:rsidRPr="00B02873" w14:paraId="038D03FA" w14:textId="77777777" w:rsidTr="00E532ED">
        <w:tc>
          <w:tcPr>
            <w:tcW w:w="5382" w:type="dxa"/>
          </w:tcPr>
          <w:p w14:paraId="325A5C50" w14:textId="77777777" w:rsidR="00B02873" w:rsidRDefault="00B02873" w:rsidP="00E532ED">
            <w:pPr>
              <w:pStyle w:val="TablebodyleftFinancialsTables"/>
            </w:pPr>
            <w:r>
              <w:t>Woolworths Group Ltd</w:t>
            </w:r>
          </w:p>
        </w:tc>
        <w:tc>
          <w:tcPr>
            <w:tcW w:w="1559" w:type="dxa"/>
          </w:tcPr>
          <w:p w14:paraId="4F94339E" w14:textId="77777777" w:rsidR="00B02873" w:rsidRDefault="00B02873" w:rsidP="00E532ED">
            <w:pPr>
              <w:pStyle w:val="TablebodyleftFinancialsTables"/>
              <w:jc w:val="right"/>
            </w:pPr>
            <w:r>
              <w:t>41,358</w:t>
            </w:r>
          </w:p>
        </w:tc>
      </w:tr>
      <w:tr w:rsidR="00B02873" w:rsidRPr="00B02873" w14:paraId="6F7E3F03" w14:textId="77777777" w:rsidTr="00E532ED">
        <w:tc>
          <w:tcPr>
            <w:tcW w:w="5382" w:type="dxa"/>
          </w:tcPr>
          <w:p w14:paraId="53DE3D8C" w14:textId="77777777" w:rsidR="00B02873" w:rsidRDefault="00B02873" w:rsidP="00E532ED">
            <w:pPr>
              <w:pStyle w:val="TablebodyleftFinancialsTables"/>
            </w:pPr>
            <w:r>
              <w:lastRenderedPageBreak/>
              <w:t>Barengi Gadjin Land Council</w:t>
            </w:r>
          </w:p>
        </w:tc>
        <w:tc>
          <w:tcPr>
            <w:tcW w:w="1559" w:type="dxa"/>
          </w:tcPr>
          <w:p w14:paraId="0FEC18C0" w14:textId="77777777" w:rsidR="00B02873" w:rsidRDefault="00B02873" w:rsidP="00E532ED">
            <w:pPr>
              <w:pStyle w:val="TablebodyleftFinancialsTables"/>
              <w:jc w:val="right"/>
            </w:pPr>
            <w:r>
              <w:t>40,000</w:t>
            </w:r>
          </w:p>
        </w:tc>
      </w:tr>
      <w:tr w:rsidR="00B02873" w:rsidRPr="00B02873" w14:paraId="43C6E6C9" w14:textId="77777777" w:rsidTr="00E532ED">
        <w:tc>
          <w:tcPr>
            <w:tcW w:w="5382" w:type="dxa"/>
          </w:tcPr>
          <w:p w14:paraId="594437F2" w14:textId="77777777" w:rsidR="00B02873" w:rsidRDefault="00B02873" w:rsidP="00E532ED">
            <w:pPr>
              <w:pStyle w:val="TablebodyleftFinancialsTables"/>
            </w:pPr>
            <w:r>
              <w:t>Yorta Yorta Nation Aboriginal Corporation</w:t>
            </w:r>
          </w:p>
        </w:tc>
        <w:tc>
          <w:tcPr>
            <w:tcW w:w="1559" w:type="dxa"/>
          </w:tcPr>
          <w:p w14:paraId="29232172" w14:textId="77777777" w:rsidR="00B02873" w:rsidRDefault="00B02873" w:rsidP="00E532ED">
            <w:pPr>
              <w:pStyle w:val="TablebodyleftFinancialsTables"/>
              <w:jc w:val="right"/>
            </w:pPr>
            <w:r>
              <w:t>40,000</w:t>
            </w:r>
          </w:p>
        </w:tc>
      </w:tr>
      <w:tr w:rsidR="00B02873" w:rsidRPr="00B02873" w14:paraId="6672C211" w14:textId="77777777" w:rsidTr="00E532ED">
        <w:tc>
          <w:tcPr>
            <w:tcW w:w="5382" w:type="dxa"/>
          </w:tcPr>
          <w:p w14:paraId="409074BA" w14:textId="77777777" w:rsidR="00B02873" w:rsidRDefault="00B02873" w:rsidP="00E532ED">
            <w:pPr>
              <w:pStyle w:val="TablebodyleftFinancialsTables"/>
            </w:pPr>
            <w:r>
              <w:t>Fonterra Australia Stanhope</w:t>
            </w:r>
          </w:p>
        </w:tc>
        <w:tc>
          <w:tcPr>
            <w:tcW w:w="1559" w:type="dxa"/>
          </w:tcPr>
          <w:p w14:paraId="00DAD6E5" w14:textId="77777777" w:rsidR="00B02873" w:rsidRDefault="00B02873" w:rsidP="00E532ED">
            <w:pPr>
              <w:pStyle w:val="TablebodyleftFinancialsTables"/>
              <w:jc w:val="right"/>
            </w:pPr>
            <w:r>
              <w:t>39,848</w:t>
            </w:r>
          </w:p>
        </w:tc>
      </w:tr>
      <w:tr w:rsidR="00B02873" w:rsidRPr="00B02873" w14:paraId="5CC6EB88" w14:textId="77777777" w:rsidTr="00E532ED">
        <w:tc>
          <w:tcPr>
            <w:tcW w:w="5382" w:type="dxa"/>
          </w:tcPr>
          <w:p w14:paraId="5B8BECD4" w14:textId="77777777" w:rsidR="00B02873" w:rsidRDefault="00B02873" w:rsidP="00E532ED">
            <w:pPr>
              <w:pStyle w:val="TablebodyleftFinancialsTables"/>
            </w:pPr>
            <w:r>
              <w:t>Wellington Shire Council</w:t>
            </w:r>
          </w:p>
        </w:tc>
        <w:tc>
          <w:tcPr>
            <w:tcW w:w="1559" w:type="dxa"/>
          </w:tcPr>
          <w:p w14:paraId="2209607A" w14:textId="77777777" w:rsidR="00B02873" w:rsidRDefault="00B02873" w:rsidP="00E532ED">
            <w:pPr>
              <w:pStyle w:val="TablebodyleftFinancialsTables"/>
              <w:jc w:val="right"/>
            </w:pPr>
            <w:r>
              <w:t>36,500</w:t>
            </w:r>
          </w:p>
        </w:tc>
      </w:tr>
      <w:tr w:rsidR="00B02873" w:rsidRPr="00B02873" w14:paraId="6F84B12A" w14:textId="77777777" w:rsidTr="00E532ED">
        <w:tc>
          <w:tcPr>
            <w:tcW w:w="5382" w:type="dxa"/>
          </w:tcPr>
          <w:p w14:paraId="5646979F" w14:textId="77777777" w:rsidR="00B02873" w:rsidRDefault="00B02873" w:rsidP="00E532ED">
            <w:pPr>
              <w:pStyle w:val="TablebodyleftFinancialsTables"/>
            </w:pPr>
            <w:r>
              <w:t>Bulla Dairy Foods</w:t>
            </w:r>
          </w:p>
        </w:tc>
        <w:tc>
          <w:tcPr>
            <w:tcW w:w="1559" w:type="dxa"/>
          </w:tcPr>
          <w:p w14:paraId="6D339915" w14:textId="77777777" w:rsidR="00B02873" w:rsidRDefault="00B02873" w:rsidP="00E532ED">
            <w:pPr>
              <w:pStyle w:val="TablebodyleftFinancialsTables"/>
              <w:jc w:val="right"/>
            </w:pPr>
            <w:r>
              <w:t>36,500</w:t>
            </w:r>
          </w:p>
        </w:tc>
      </w:tr>
      <w:tr w:rsidR="00B02873" w:rsidRPr="00B02873" w14:paraId="62659341" w14:textId="77777777" w:rsidTr="00E532ED">
        <w:tc>
          <w:tcPr>
            <w:tcW w:w="5382" w:type="dxa"/>
          </w:tcPr>
          <w:p w14:paraId="508D7FE2" w14:textId="77777777" w:rsidR="00B02873" w:rsidRDefault="00B02873" w:rsidP="00E532ED">
            <w:pPr>
              <w:pStyle w:val="TablebodyleftFinancialsTables"/>
            </w:pPr>
            <w:r>
              <w:t>Boundary Power Pty Ltd</w:t>
            </w:r>
          </w:p>
        </w:tc>
        <w:tc>
          <w:tcPr>
            <w:tcW w:w="1559" w:type="dxa"/>
          </w:tcPr>
          <w:p w14:paraId="5F6FE308" w14:textId="77777777" w:rsidR="00B02873" w:rsidRDefault="00B02873" w:rsidP="00E532ED">
            <w:pPr>
              <w:pStyle w:val="TablebodyleftFinancialsTables"/>
              <w:jc w:val="right"/>
            </w:pPr>
            <w:r>
              <w:t>35,230</w:t>
            </w:r>
          </w:p>
        </w:tc>
      </w:tr>
      <w:tr w:rsidR="00B02873" w:rsidRPr="00B02873" w14:paraId="4637E04E" w14:textId="77777777" w:rsidTr="00E532ED">
        <w:tc>
          <w:tcPr>
            <w:tcW w:w="5382" w:type="dxa"/>
          </w:tcPr>
          <w:p w14:paraId="6DCF0D49" w14:textId="77777777" w:rsidR="00B02873" w:rsidRDefault="00B02873" w:rsidP="00E532ED">
            <w:pPr>
              <w:pStyle w:val="TablebodyleftFinancialsTables"/>
            </w:pPr>
            <w:r>
              <w:t>Clean Energy Council</w:t>
            </w:r>
          </w:p>
        </w:tc>
        <w:tc>
          <w:tcPr>
            <w:tcW w:w="1559" w:type="dxa"/>
          </w:tcPr>
          <w:p w14:paraId="3B3DA035" w14:textId="77777777" w:rsidR="00B02873" w:rsidRDefault="00B02873" w:rsidP="00E532ED">
            <w:pPr>
              <w:pStyle w:val="TablebodyleftFinancialsTables"/>
              <w:jc w:val="right"/>
            </w:pPr>
            <w:r>
              <w:t>34,940</w:t>
            </w:r>
          </w:p>
        </w:tc>
      </w:tr>
      <w:tr w:rsidR="00B02873" w:rsidRPr="00B02873" w14:paraId="6ECA75DE" w14:textId="77777777" w:rsidTr="00E532ED">
        <w:tc>
          <w:tcPr>
            <w:tcW w:w="5382" w:type="dxa"/>
          </w:tcPr>
          <w:p w14:paraId="68A4DC03" w14:textId="77777777" w:rsidR="00B02873" w:rsidRDefault="00B02873" w:rsidP="00E532ED">
            <w:pPr>
              <w:pStyle w:val="TablebodyleftFinancialsTables"/>
            </w:pPr>
            <w:r>
              <w:t>Furphy's Foundry Sales Pty Ltd</w:t>
            </w:r>
          </w:p>
        </w:tc>
        <w:tc>
          <w:tcPr>
            <w:tcW w:w="1559" w:type="dxa"/>
          </w:tcPr>
          <w:p w14:paraId="17994A77" w14:textId="77777777" w:rsidR="00B02873" w:rsidRDefault="00B02873" w:rsidP="00E532ED">
            <w:pPr>
              <w:pStyle w:val="TablebodyleftFinancialsTables"/>
              <w:jc w:val="right"/>
            </w:pPr>
            <w:r>
              <w:t>33,936</w:t>
            </w:r>
          </w:p>
        </w:tc>
      </w:tr>
      <w:tr w:rsidR="00B02873" w:rsidRPr="00B02873" w14:paraId="7E1B4737" w14:textId="77777777" w:rsidTr="00E532ED">
        <w:tc>
          <w:tcPr>
            <w:tcW w:w="5382" w:type="dxa"/>
          </w:tcPr>
          <w:p w14:paraId="6818C027" w14:textId="77777777" w:rsidR="00B02873" w:rsidRDefault="00B02873" w:rsidP="00E532ED">
            <w:pPr>
              <w:pStyle w:val="TablebodyleftFinancialsTables"/>
            </w:pPr>
            <w:r>
              <w:t>DTC Marciano Magic</w:t>
            </w:r>
          </w:p>
        </w:tc>
        <w:tc>
          <w:tcPr>
            <w:tcW w:w="1559" w:type="dxa"/>
          </w:tcPr>
          <w:p w14:paraId="189097C6" w14:textId="77777777" w:rsidR="00B02873" w:rsidRDefault="00B02873" w:rsidP="00E532ED">
            <w:pPr>
              <w:pStyle w:val="TablebodyleftFinancialsTables"/>
              <w:jc w:val="right"/>
            </w:pPr>
            <w:r>
              <w:t>32,900</w:t>
            </w:r>
          </w:p>
        </w:tc>
      </w:tr>
      <w:tr w:rsidR="00B02873" w:rsidRPr="00B02873" w14:paraId="4A0B1240" w14:textId="77777777" w:rsidTr="00E532ED">
        <w:tc>
          <w:tcPr>
            <w:tcW w:w="5382" w:type="dxa"/>
          </w:tcPr>
          <w:p w14:paraId="77880356" w14:textId="77777777" w:rsidR="00B02873" w:rsidRDefault="00B02873" w:rsidP="00E532ED">
            <w:pPr>
              <w:pStyle w:val="TablebodyleftFinancialsTables"/>
            </w:pPr>
            <w:r>
              <w:t>Gippsland Climate Change Network Inc</w:t>
            </w:r>
          </w:p>
        </w:tc>
        <w:tc>
          <w:tcPr>
            <w:tcW w:w="1559" w:type="dxa"/>
          </w:tcPr>
          <w:p w14:paraId="37F4EBE9" w14:textId="77777777" w:rsidR="00B02873" w:rsidRDefault="00B02873" w:rsidP="00E532ED">
            <w:pPr>
              <w:pStyle w:val="TablebodyleftFinancialsTables"/>
              <w:jc w:val="right"/>
            </w:pPr>
            <w:r>
              <w:t>32,710</w:t>
            </w:r>
          </w:p>
        </w:tc>
      </w:tr>
      <w:tr w:rsidR="00B02873" w:rsidRPr="00B02873" w14:paraId="14C1BE64" w14:textId="77777777" w:rsidTr="00E532ED">
        <w:tc>
          <w:tcPr>
            <w:tcW w:w="5382" w:type="dxa"/>
          </w:tcPr>
          <w:p w14:paraId="25C7FB77" w14:textId="77777777" w:rsidR="00B02873" w:rsidRDefault="00B02873" w:rsidP="00E532ED">
            <w:pPr>
              <w:pStyle w:val="TablebodyleftFinancialsTables"/>
            </w:pPr>
            <w:r>
              <w:t>Tahbilk Wines</w:t>
            </w:r>
          </w:p>
        </w:tc>
        <w:tc>
          <w:tcPr>
            <w:tcW w:w="1559" w:type="dxa"/>
          </w:tcPr>
          <w:p w14:paraId="0406D262" w14:textId="77777777" w:rsidR="00B02873" w:rsidRDefault="00B02873" w:rsidP="00E532ED">
            <w:pPr>
              <w:pStyle w:val="TablebodyleftFinancialsTables"/>
              <w:jc w:val="right"/>
            </w:pPr>
            <w:r>
              <w:t>30,400</w:t>
            </w:r>
          </w:p>
        </w:tc>
      </w:tr>
      <w:tr w:rsidR="00B02873" w:rsidRPr="00B02873" w14:paraId="1E859BD5" w14:textId="77777777" w:rsidTr="00E532ED">
        <w:tc>
          <w:tcPr>
            <w:tcW w:w="5382" w:type="dxa"/>
          </w:tcPr>
          <w:p w14:paraId="67B1AC10" w14:textId="77777777" w:rsidR="00B02873" w:rsidRDefault="00B02873" w:rsidP="00E532ED">
            <w:pPr>
              <w:pStyle w:val="TablebodyleftFinancialsTables"/>
            </w:pPr>
            <w:r>
              <w:t>Vicinity Centres PM Pty Ltd</w:t>
            </w:r>
          </w:p>
        </w:tc>
        <w:tc>
          <w:tcPr>
            <w:tcW w:w="1559" w:type="dxa"/>
          </w:tcPr>
          <w:p w14:paraId="2622C252" w14:textId="77777777" w:rsidR="00B02873" w:rsidRDefault="00B02873" w:rsidP="00E532ED">
            <w:pPr>
              <w:pStyle w:val="TablebodyleftFinancialsTables"/>
              <w:jc w:val="right"/>
            </w:pPr>
            <w:r>
              <w:t>29,221</w:t>
            </w:r>
          </w:p>
        </w:tc>
      </w:tr>
      <w:tr w:rsidR="00B02873" w:rsidRPr="00B02873" w14:paraId="7A7A92E0" w14:textId="77777777" w:rsidTr="00E532ED">
        <w:tc>
          <w:tcPr>
            <w:tcW w:w="5382" w:type="dxa"/>
          </w:tcPr>
          <w:p w14:paraId="06B7FE45" w14:textId="77777777" w:rsidR="00B02873" w:rsidRDefault="00B02873" w:rsidP="00E532ED">
            <w:pPr>
              <w:pStyle w:val="TablebodyleftFinancialsTables"/>
            </w:pPr>
            <w:r>
              <w:t>HAMR Energy Pty Ltd</w:t>
            </w:r>
          </w:p>
        </w:tc>
        <w:tc>
          <w:tcPr>
            <w:tcW w:w="1559" w:type="dxa"/>
          </w:tcPr>
          <w:p w14:paraId="5BA23FE8" w14:textId="77777777" w:rsidR="00B02873" w:rsidRDefault="00B02873" w:rsidP="00E532ED">
            <w:pPr>
              <w:pStyle w:val="TablebodyleftFinancialsTables"/>
              <w:jc w:val="right"/>
            </w:pPr>
            <w:r>
              <w:t>28,587</w:t>
            </w:r>
          </w:p>
        </w:tc>
      </w:tr>
      <w:tr w:rsidR="00B02873" w:rsidRPr="00B02873" w14:paraId="5DA81921" w14:textId="77777777" w:rsidTr="00E532ED">
        <w:tc>
          <w:tcPr>
            <w:tcW w:w="5382" w:type="dxa"/>
          </w:tcPr>
          <w:p w14:paraId="4B619548" w14:textId="77777777" w:rsidR="00B02873" w:rsidRDefault="00B02873" w:rsidP="00E532ED">
            <w:pPr>
              <w:pStyle w:val="TablebodyleftFinancialsTables"/>
            </w:pPr>
            <w:r>
              <w:t>Jelbart Dairy Pty Ltd</w:t>
            </w:r>
          </w:p>
        </w:tc>
        <w:tc>
          <w:tcPr>
            <w:tcW w:w="1559" w:type="dxa"/>
          </w:tcPr>
          <w:p w14:paraId="79A8D95F" w14:textId="77777777" w:rsidR="00B02873" w:rsidRDefault="00B02873" w:rsidP="00E532ED">
            <w:pPr>
              <w:pStyle w:val="TablebodyleftFinancialsTables"/>
              <w:jc w:val="right"/>
            </w:pPr>
            <w:r>
              <w:t>27,500</w:t>
            </w:r>
          </w:p>
        </w:tc>
      </w:tr>
      <w:tr w:rsidR="00B02873" w:rsidRPr="00B02873" w14:paraId="49316408" w14:textId="77777777" w:rsidTr="00E532ED">
        <w:tc>
          <w:tcPr>
            <w:tcW w:w="5382" w:type="dxa"/>
          </w:tcPr>
          <w:p w14:paraId="14D8FE80" w14:textId="77777777" w:rsidR="00B02873" w:rsidRDefault="00B02873" w:rsidP="00E532ED">
            <w:pPr>
              <w:pStyle w:val="TablebodyleftFinancialsTables"/>
            </w:pPr>
            <w:r>
              <w:t>Northern Health</w:t>
            </w:r>
          </w:p>
        </w:tc>
        <w:tc>
          <w:tcPr>
            <w:tcW w:w="1559" w:type="dxa"/>
          </w:tcPr>
          <w:p w14:paraId="63A84379" w14:textId="77777777" w:rsidR="00B02873" w:rsidRDefault="00B02873" w:rsidP="00E532ED">
            <w:pPr>
              <w:pStyle w:val="TablebodyleftFinancialsTables"/>
              <w:jc w:val="right"/>
            </w:pPr>
            <w:r>
              <w:t>27,242</w:t>
            </w:r>
          </w:p>
        </w:tc>
      </w:tr>
      <w:tr w:rsidR="00B02873" w:rsidRPr="00B02873" w14:paraId="11874839" w14:textId="77777777" w:rsidTr="00E532ED">
        <w:tc>
          <w:tcPr>
            <w:tcW w:w="5382" w:type="dxa"/>
          </w:tcPr>
          <w:p w14:paraId="06D7500A" w14:textId="77777777" w:rsidR="00B02873" w:rsidRDefault="00B02873" w:rsidP="00E532ED">
            <w:pPr>
              <w:pStyle w:val="TablebodyleftFinancialsTables"/>
            </w:pPr>
            <w:r>
              <w:t>Chargefox Pty Ltd</w:t>
            </w:r>
          </w:p>
        </w:tc>
        <w:tc>
          <w:tcPr>
            <w:tcW w:w="1559" w:type="dxa"/>
          </w:tcPr>
          <w:p w14:paraId="0D264DE7" w14:textId="77777777" w:rsidR="00B02873" w:rsidRDefault="00B02873" w:rsidP="00E532ED">
            <w:pPr>
              <w:pStyle w:val="TablebodyleftFinancialsTables"/>
              <w:jc w:val="right"/>
            </w:pPr>
            <w:r>
              <w:t>23,925</w:t>
            </w:r>
          </w:p>
        </w:tc>
      </w:tr>
      <w:tr w:rsidR="00B02873" w:rsidRPr="00B02873" w14:paraId="0D8A81B2" w14:textId="77777777" w:rsidTr="00E532ED">
        <w:tc>
          <w:tcPr>
            <w:tcW w:w="5382" w:type="dxa"/>
          </w:tcPr>
          <w:p w14:paraId="0DEA7A1E" w14:textId="77777777" w:rsidR="00B02873" w:rsidRDefault="00B02873" w:rsidP="00E532ED">
            <w:pPr>
              <w:pStyle w:val="TablebodyleftFinancialsTables"/>
            </w:pPr>
            <w:r>
              <w:t>Northern Geelong Rental Housing Co-Operative Ltd</w:t>
            </w:r>
          </w:p>
        </w:tc>
        <w:tc>
          <w:tcPr>
            <w:tcW w:w="1559" w:type="dxa"/>
          </w:tcPr>
          <w:p w14:paraId="775B8858" w14:textId="77777777" w:rsidR="00B02873" w:rsidRDefault="00B02873" w:rsidP="00E532ED">
            <w:pPr>
              <w:pStyle w:val="TablebodyleftFinancialsTables"/>
              <w:jc w:val="right"/>
            </w:pPr>
            <w:r>
              <w:t>23,500</w:t>
            </w:r>
          </w:p>
        </w:tc>
      </w:tr>
      <w:tr w:rsidR="00B02873" w:rsidRPr="00B02873" w14:paraId="6DE10185" w14:textId="77777777" w:rsidTr="00E532ED">
        <w:tc>
          <w:tcPr>
            <w:tcW w:w="5382" w:type="dxa"/>
          </w:tcPr>
          <w:p w14:paraId="159E4888" w14:textId="77777777" w:rsidR="00B02873" w:rsidRDefault="00B02873" w:rsidP="00E532ED">
            <w:pPr>
              <w:pStyle w:val="TablebodyleftFinancialsTables"/>
            </w:pPr>
            <w:r>
              <w:t>Western District Health Service</w:t>
            </w:r>
          </w:p>
        </w:tc>
        <w:tc>
          <w:tcPr>
            <w:tcW w:w="1559" w:type="dxa"/>
          </w:tcPr>
          <w:p w14:paraId="74514C17" w14:textId="77777777" w:rsidR="00B02873" w:rsidRDefault="00B02873" w:rsidP="00E532ED">
            <w:pPr>
              <w:pStyle w:val="TablebodyleftFinancialsTables"/>
              <w:jc w:val="right"/>
            </w:pPr>
            <w:r>
              <w:t>22,800</w:t>
            </w:r>
          </w:p>
        </w:tc>
      </w:tr>
      <w:tr w:rsidR="00B02873" w:rsidRPr="00B02873" w14:paraId="333A02F3" w14:textId="77777777" w:rsidTr="00E532ED">
        <w:tc>
          <w:tcPr>
            <w:tcW w:w="5382" w:type="dxa"/>
          </w:tcPr>
          <w:p w14:paraId="6C042C32" w14:textId="77777777" w:rsidR="00B02873" w:rsidRDefault="00B02873" w:rsidP="00E532ED">
            <w:pPr>
              <w:pStyle w:val="TablebodyleftFinancialsTables"/>
            </w:pPr>
            <w:r>
              <w:t>East Gippsland Shire Council</w:t>
            </w:r>
          </w:p>
        </w:tc>
        <w:tc>
          <w:tcPr>
            <w:tcW w:w="1559" w:type="dxa"/>
          </w:tcPr>
          <w:p w14:paraId="7720751E" w14:textId="77777777" w:rsidR="00B02873" w:rsidRDefault="00B02873" w:rsidP="00E532ED">
            <w:pPr>
              <w:pStyle w:val="TablebodyleftFinancialsTables"/>
              <w:jc w:val="right"/>
            </w:pPr>
            <w:r>
              <w:t>22,500</w:t>
            </w:r>
          </w:p>
        </w:tc>
      </w:tr>
      <w:tr w:rsidR="00B02873" w:rsidRPr="00B02873" w14:paraId="5F6BDDB4" w14:textId="77777777" w:rsidTr="00E532ED">
        <w:tc>
          <w:tcPr>
            <w:tcW w:w="5382" w:type="dxa"/>
          </w:tcPr>
          <w:p w14:paraId="538FF247" w14:textId="77777777" w:rsidR="00B02873" w:rsidRDefault="00B02873" w:rsidP="00E532ED">
            <w:pPr>
              <w:pStyle w:val="TablebodyleftFinancialsTables"/>
            </w:pPr>
            <w:r>
              <w:t>Manpak Pty Ltd</w:t>
            </w:r>
          </w:p>
        </w:tc>
        <w:tc>
          <w:tcPr>
            <w:tcW w:w="1559" w:type="dxa"/>
          </w:tcPr>
          <w:p w14:paraId="544E6B01" w14:textId="77777777" w:rsidR="00B02873" w:rsidRDefault="00B02873" w:rsidP="00E532ED">
            <w:pPr>
              <w:pStyle w:val="TablebodyleftFinancialsTables"/>
              <w:jc w:val="right"/>
            </w:pPr>
            <w:r>
              <w:t>22,490</w:t>
            </w:r>
          </w:p>
        </w:tc>
      </w:tr>
      <w:tr w:rsidR="00B02873" w:rsidRPr="00B02873" w14:paraId="1F8EF390" w14:textId="77777777" w:rsidTr="00E532ED">
        <w:tc>
          <w:tcPr>
            <w:tcW w:w="5382" w:type="dxa"/>
          </w:tcPr>
          <w:p w14:paraId="48252226" w14:textId="77777777" w:rsidR="00B02873" w:rsidRDefault="00B02873" w:rsidP="00E532ED">
            <w:pPr>
              <w:pStyle w:val="TablebodyleftFinancialsTables"/>
            </w:pPr>
            <w:r>
              <w:t>RMIT University</w:t>
            </w:r>
          </w:p>
        </w:tc>
        <w:tc>
          <w:tcPr>
            <w:tcW w:w="1559" w:type="dxa"/>
          </w:tcPr>
          <w:p w14:paraId="539BEAE3" w14:textId="77777777" w:rsidR="00B02873" w:rsidRDefault="00B02873" w:rsidP="00E532ED">
            <w:pPr>
              <w:pStyle w:val="TablebodyleftFinancialsTables"/>
              <w:jc w:val="right"/>
            </w:pPr>
            <w:r>
              <w:t>22,195</w:t>
            </w:r>
          </w:p>
        </w:tc>
      </w:tr>
      <w:tr w:rsidR="00B02873" w:rsidRPr="00B02873" w14:paraId="6B1B113B" w14:textId="77777777" w:rsidTr="00E532ED">
        <w:tc>
          <w:tcPr>
            <w:tcW w:w="5382" w:type="dxa"/>
          </w:tcPr>
          <w:p w14:paraId="4A22A0C5" w14:textId="77777777" w:rsidR="00B02873" w:rsidRDefault="00B02873" w:rsidP="00E532ED">
            <w:pPr>
              <w:pStyle w:val="TablebodyleftFinancialsTables"/>
            </w:pPr>
            <w:r>
              <w:t>Breathe Fresh Australia Pty Ltd</w:t>
            </w:r>
          </w:p>
        </w:tc>
        <w:tc>
          <w:tcPr>
            <w:tcW w:w="1559" w:type="dxa"/>
          </w:tcPr>
          <w:p w14:paraId="2D7E8E05" w14:textId="77777777" w:rsidR="00B02873" w:rsidRDefault="00B02873" w:rsidP="00E532ED">
            <w:pPr>
              <w:pStyle w:val="TablebodyleftFinancialsTables"/>
              <w:jc w:val="right"/>
            </w:pPr>
            <w:r>
              <w:t>21,400</w:t>
            </w:r>
          </w:p>
        </w:tc>
      </w:tr>
      <w:tr w:rsidR="00B02873" w:rsidRPr="00B02873" w14:paraId="17613790" w14:textId="77777777" w:rsidTr="00E532ED">
        <w:tc>
          <w:tcPr>
            <w:tcW w:w="5382" w:type="dxa"/>
          </w:tcPr>
          <w:p w14:paraId="08710637" w14:textId="77777777" w:rsidR="00B02873" w:rsidRDefault="00B02873" w:rsidP="00E532ED">
            <w:pPr>
              <w:pStyle w:val="TablebodyleftFinancialsTables"/>
            </w:pPr>
            <w:r>
              <w:t>Mount Waverley Secondary College</w:t>
            </w:r>
          </w:p>
        </w:tc>
        <w:tc>
          <w:tcPr>
            <w:tcW w:w="1559" w:type="dxa"/>
          </w:tcPr>
          <w:p w14:paraId="7308102B" w14:textId="77777777" w:rsidR="00B02873" w:rsidRDefault="00B02873" w:rsidP="00E532ED">
            <w:pPr>
              <w:pStyle w:val="TablebodyleftFinancialsTables"/>
              <w:jc w:val="right"/>
            </w:pPr>
            <w:r>
              <w:t>19,080</w:t>
            </w:r>
          </w:p>
        </w:tc>
      </w:tr>
      <w:tr w:rsidR="00B02873" w:rsidRPr="00B02873" w14:paraId="041F44BA" w14:textId="77777777" w:rsidTr="00E532ED">
        <w:tc>
          <w:tcPr>
            <w:tcW w:w="5382" w:type="dxa"/>
          </w:tcPr>
          <w:p w14:paraId="079D3F32" w14:textId="77777777" w:rsidR="00B02873" w:rsidRDefault="00B02873" w:rsidP="00E532ED">
            <w:pPr>
              <w:pStyle w:val="TablebodyleftFinancialsTables"/>
            </w:pPr>
            <w:r>
              <w:t>Shepparton Partners Collective</w:t>
            </w:r>
          </w:p>
        </w:tc>
        <w:tc>
          <w:tcPr>
            <w:tcW w:w="1559" w:type="dxa"/>
          </w:tcPr>
          <w:p w14:paraId="368E1743" w14:textId="77777777" w:rsidR="00B02873" w:rsidRDefault="00B02873" w:rsidP="00E532ED">
            <w:pPr>
              <w:pStyle w:val="TablebodyleftFinancialsTables"/>
              <w:jc w:val="right"/>
            </w:pPr>
            <w:r>
              <w:t>19,000</w:t>
            </w:r>
          </w:p>
        </w:tc>
      </w:tr>
      <w:tr w:rsidR="00B02873" w:rsidRPr="00B02873" w14:paraId="031E9682" w14:textId="77777777" w:rsidTr="00E532ED">
        <w:tc>
          <w:tcPr>
            <w:tcW w:w="5382" w:type="dxa"/>
          </w:tcPr>
          <w:p w14:paraId="3E9C4FD0" w14:textId="77777777" w:rsidR="00B02873" w:rsidRDefault="00B02873" w:rsidP="00E532ED">
            <w:pPr>
              <w:pStyle w:val="TablebodyleftFinancialsTables"/>
            </w:pPr>
            <w:r>
              <w:t>Blackmores Limited</w:t>
            </w:r>
          </w:p>
        </w:tc>
        <w:tc>
          <w:tcPr>
            <w:tcW w:w="1559" w:type="dxa"/>
          </w:tcPr>
          <w:p w14:paraId="0DAEB9E7" w14:textId="77777777" w:rsidR="00B02873" w:rsidRDefault="00B02873" w:rsidP="00E532ED">
            <w:pPr>
              <w:pStyle w:val="TablebodyleftFinancialsTables"/>
              <w:jc w:val="right"/>
            </w:pPr>
            <w:r>
              <w:t>18,551</w:t>
            </w:r>
          </w:p>
        </w:tc>
      </w:tr>
      <w:tr w:rsidR="00B02873" w:rsidRPr="00B02873" w14:paraId="051B362D" w14:textId="77777777" w:rsidTr="00E532ED">
        <w:tc>
          <w:tcPr>
            <w:tcW w:w="5382" w:type="dxa"/>
          </w:tcPr>
          <w:p w14:paraId="4780A68F" w14:textId="77777777" w:rsidR="00B02873" w:rsidRDefault="00B02873" w:rsidP="00E532ED">
            <w:pPr>
              <w:pStyle w:val="TablebodyleftFinancialsTables"/>
            </w:pPr>
            <w:r>
              <w:t>South Gippsland Shire Council</w:t>
            </w:r>
          </w:p>
        </w:tc>
        <w:tc>
          <w:tcPr>
            <w:tcW w:w="1559" w:type="dxa"/>
          </w:tcPr>
          <w:p w14:paraId="2D8291AC" w14:textId="77777777" w:rsidR="00B02873" w:rsidRDefault="00B02873" w:rsidP="00E532ED">
            <w:pPr>
              <w:pStyle w:val="TablebodyleftFinancialsTables"/>
              <w:jc w:val="right"/>
            </w:pPr>
            <w:r>
              <w:t>18,000</w:t>
            </w:r>
          </w:p>
        </w:tc>
      </w:tr>
      <w:tr w:rsidR="00B02873" w:rsidRPr="00B02873" w14:paraId="686AC790" w14:textId="77777777" w:rsidTr="00E532ED">
        <w:tc>
          <w:tcPr>
            <w:tcW w:w="5382" w:type="dxa"/>
          </w:tcPr>
          <w:p w14:paraId="7FFA02C8" w14:textId="77777777" w:rsidR="00B02873" w:rsidRDefault="00B02873" w:rsidP="00E532ED">
            <w:pPr>
              <w:pStyle w:val="TablebodyleftFinancialsTables"/>
            </w:pPr>
            <w:r>
              <w:t>City of Greater Geelong</w:t>
            </w:r>
          </w:p>
        </w:tc>
        <w:tc>
          <w:tcPr>
            <w:tcW w:w="1559" w:type="dxa"/>
          </w:tcPr>
          <w:p w14:paraId="3549B9D4" w14:textId="77777777" w:rsidR="00B02873" w:rsidRDefault="00B02873" w:rsidP="00E532ED">
            <w:pPr>
              <w:pStyle w:val="TablebodyleftFinancialsTables"/>
              <w:jc w:val="right"/>
            </w:pPr>
            <w:r>
              <w:t>18,000</w:t>
            </w:r>
          </w:p>
        </w:tc>
      </w:tr>
      <w:tr w:rsidR="00B02873" w:rsidRPr="00B02873" w14:paraId="1A6415A0" w14:textId="77777777" w:rsidTr="00E532ED">
        <w:tc>
          <w:tcPr>
            <w:tcW w:w="5382" w:type="dxa"/>
          </w:tcPr>
          <w:p w14:paraId="6376DF70" w14:textId="77777777" w:rsidR="00B02873" w:rsidRDefault="00B02873" w:rsidP="00E532ED">
            <w:pPr>
              <w:pStyle w:val="TablebodyleftFinancialsTables"/>
            </w:pPr>
            <w:r>
              <w:t>Mitchell Shire Council</w:t>
            </w:r>
          </w:p>
        </w:tc>
        <w:tc>
          <w:tcPr>
            <w:tcW w:w="1559" w:type="dxa"/>
          </w:tcPr>
          <w:p w14:paraId="6266BCC1" w14:textId="77777777" w:rsidR="00B02873" w:rsidRDefault="00B02873" w:rsidP="00E532ED">
            <w:pPr>
              <w:pStyle w:val="TablebodyleftFinancialsTables"/>
              <w:jc w:val="right"/>
            </w:pPr>
            <w:r>
              <w:t>17,710</w:t>
            </w:r>
          </w:p>
        </w:tc>
      </w:tr>
      <w:tr w:rsidR="00B02873" w:rsidRPr="00B02873" w14:paraId="65DF8F4D" w14:textId="77777777" w:rsidTr="00E532ED">
        <w:tc>
          <w:tcPr>
            <w:tcW w:w="5382" w:type="dxa"/>
          </w:tcPr>
          <w:p w14:paraId="0C9E68FB" w14:textId="77777777" w:rsidR="00B02873" w:rsidRDefault="00B02873" w:rsidP="00E532ED">
            <w:pPr>
              <w:pStyle w:val="TablebodyleftFinancialsTables"/>
            </w:pPr>
            <w:r>
              <w:t>Nexgen Power Solutions</w:t>
            </w:r>
          </w:p>
        </w:tc>
        <w:tc>
          <w:tcPr>
            <w:tcW w:w="1559" w:type="dxa"/>
          </w:tcPr>
          <w:p w14:paraId="342E0E18" w14:textId="77777777" w:rsidR="00B02873" w:rsidRDefault="00B02873" w:rsidP="00E532ED">
            <w:pPr>
              <w:pStyle w:val="TablebodyleftFinancialsTables"/>
              <w:jc w:val="right"/>
            </w:pPr>
            <w:r>
              <w:t>17,520</w:t>
            </w:r>
          </w:p>
        </w:tc>
      </w:tr>
      <w:tr w:rsidR="00B02873" w:rsidRPr="00B02873" w14:paraId="60EBD0A4" w14:textId="77777777" w:rsidTr="00E532ED">
        <w:tc>
          <w:tcPr>
            <w:tcW w:w="5382" w:type="dxa"/>
          </w:tcPr>
          <w:p w14:paraId="4C895BFB" w14:textId="77777777" w:rsidR="00B02873" w:rsidRDefault="00B02873" w:rsidP="00E532ED">
            <w:pPr>
              <w:pStyle w:val="TablebodyleftFinancialsTables"/>
            </w:pPr>
            <w:r>
              <w:t xml:space="preserve">MTAA Superannuation Fund (Ferntree Business Park) Property </w:t>
            </w:r>
          </w:p>
        </w:tc>
        <w:tc>
          <w:tcPr>
            <w:tcW w:w="1559" w:type="dxa"/>
          </w:tcPr>
          <w:p w14:paraId="4C9A924F" w14:textId="77777777" w:rsidR="00B02873" w:rsidRDefault="00B02873" w:rsidP="00E532ED">
            <w:pPr>
              <w:pStyle w:val="TablebodyleftFinancialsTables"/>
              <w:jc w:val="right"/>
            </w:pPr>
            <w:r>
              <w:t>17,500</w:t>
            </w:r>
          </w:p>
        </w:tc>
      </w:tr>
      <w:tr w:rsidR="00B02873" w:rsidRPr="00B02873" w14:paraId="69321C1C" w14:textId="77777777" w:rsidTr="00E532ED">
        <w:tc>
          <w:tcPr>
            <w:tcW w:w="5382" w:type="dxa"/>
          </w:tcPr>
          <w:p w14:paraId="51B00BA7" w14:textId="77777777" w:rsidR="00B02873" w:rsidRDefault="00B02873" w:rsidP="00E532ED">
            <w:pPr>
              <w:pStyle w:val="TablebodyleftFinancialsTables"/>
            </w:pPr>
            <w:r>
              <w:t>Quality Packaging Services Pty Ltd</w:t>
            </w:r>
          </w:p>
        </w:tc>
        <w:tc>
          <w:tcPr>
            <w:tcW w:w="1559" w:type="dxa"/>
          </w:tcPr>
          <w:p w14:paraId="69BBEAF8" w14:textId="77777777" w:rsidR="00B02873" w:rsidRDefault="00B02873" w:rsidP="00E532ED">
            <w:pPr>
              <w:pStyle w:val="TablebodyleftFinancialsTables"/>
              <w:jc w:val="right"/>
            </w:pPr>
            <w:r>
              <w:t>17,336</w:t>
            </w:r>
          </w:p>
        </w:tc>
      </w:tr>
      <w:tr w:rsidR="00B02873" w:rsidRPr="00B02873" w14:paraId="6103CD49" w14:textId="77777777" w:rsidTr="00E532ED">
        <w:tc>
          <w:tcPr>
            <w:tcW w:w="5382" w:type="dxa"/>
          </w:tcPr>
          <w:p w14:paraId="426D4D37" w14:textId="11C5BC71" w:rsidR="00B02873" w:rsidRDefault="00B02873" w:rsidP="00E532ED">
            <w:pPr>
              <w:pStyle w:val="TablebodyleftFinancialsTables"/>
            </w:pPr>
            <w:r>
              <w:t>Breaze</w:t>
            </w:r>
            <w:r w:rsidR="000C45FC">
              <w:t xml:space="preserve"> – </w:t>
            </w:r>
            <w:r>
              <w:t>Ballarat Renewable Energy and Zero Emissions</w:t>
            </w:r>
          </w:p>
        </w:tc>
        <w:tc>
          <w:tcPr>
            <w:tcW w:w="1559" w:type="dxa"/>
          </w:tcPr>
          <w:p w14:paraId="76381829" w14:textId="77777777" w:rsidR="00B02873" w:rsidRDefault="00B02873" w:rsidP="00E532ED">
            <w:pPr>
              <w:pStyle w:val="TablebodyleftFinancialsTables"/>
              <w:jc w:val="right"/>
            </w:pPr>
            <w:r>
              <w:t>17,300</w:t>
            </w:r>
          </w:p>
        </w:tc>
      </w:tr>
      <w:tr w:rsidR="00B02873" w:rsidRPr="00B02873" w14:paraId="6FB0FA4D" w14:textId="77777777" w:rsidTr="00E532ED">
        <w:tc>
          <w:tcPr>
            <w:tcW w:w="5382" w:type="dxa"/>
          </w:tcPr>
          <w:p w14:paraId="69E7550A" w14:textId="77777777" w:rsidR="00B02873" w:rsidRDefault="00B02873" w:rsidP="00E532ED">
            <w:pPr>
              <w:pStyle w:val="TablebodyleftFinancialsTables"/>
            </w:pPr>
            <w:r>
              <w:t>Basalt Wines</w:t>
            </w:r>
          </w:p>
        </w:tc>
        <w:tc>
          <w:tcPr>
            <w:tcW w:w="1559" w:type="dxa"/>
          </w:tcPr>
          <w:p w14:paraId="6AB65392" w14:textId="77777777" w:rsidR="00B02873" w:rsidRDefault="00B02873" w:rsidP="00E532ED">
            <w:pPr>
              <w:pStyle w:val="TablebodyleftFinancialsTables"/>
              <w:jc w:val="right"/>
            </w:pPr>
            <w:r>
              <w:t>17,200</w:t>
            </w:r>
          </w:p>
        </w:tc>
      </w:tr>
      <w:tr w:rsidR="00B02873" w:rsidRPr="00B02873" w14:paraId="20BA8F2C" w14:textId="77777777" w:rsidTr="00E532ED">
        <w:tc>
          <w:tcPr>
            <w:tcW w:w="5382" w:type="dxa"/>
          </w:tcPr>
          <w:p w14:paraId="737F5C3F" w14:textId="77777777" w:rsidR="00B02873" w:rsidRDefault="00B02873" w:rsidP="00E532ED">
            <w:pPr>
              <w:pStyle w:val="TablebodyleftFinancialsTables"/>
            </w:pPr>
            <w:r>
              <w:t>Scatoplus</w:t>
            </w:r>
          </w:p>
        </w:tc>
        <w:tc>
          <w:tcPr>
            <w:tcW w:w="1559" w:type="dxa"/>
          </w:tcPr>
          <w:p w14:paraId="7802DBE3" w14:textId="77777777" w:rsidR="00B02873" w:rsidRDefault="00B02873" w:rsidP="00E532ED">
            <w:pPr>
              <w:pStyle w:val="TablebodyleftFinancialsTables"/>
              <w:jc w:val="right"/>
            </w:pPr>
            <w:r>
              <w:t>16,258</w:t>
            </w:r>
          </w:p>
        </w:tc>
      </w:tr>
      <w:tr w:rsidR="00B02873" w:rsidRPr="00B02873" w14:paraId="1F8453AB" w14:textId="77777777" w:rsidTr="00E532ED">
        <w:tc>
          <w:tcPr>
            <w:tcW w:w="5382" w:type="dxa"/>
          </w:tcPr>
          <w:p w14:paraId="301360A1" w14:textId="77777777" w:rsidR="00B02873" w:rsidRDefault="00B02873" w:rsidP="00E532ED">
            <w:pPr>
              <w:pStyle w:val="TablebodyleftFinancialsTables"/>
            </w:pPr>
            <w:r>
              <w:t>Multi Cultural Islamic Study Group</w:t>
            </w:r>
          </w:p>
        </w:tc>
        <w:tc>
          <w:tcPr>
            <w:tcW w:w="1559" w:type="dxa"/>
          </w:tcPr>
          <w:p w14:paraId="726ECB90" w14:textId="77777777" w:rsidR="00B02873" w:rsidRDefault="00B02873" w:rsidP="00E532ED">
            <w:pPr>
              <w:pStyle w:val="TablebodyleftFinancialsTables"/>
              <w:jc w:val="right"/>
            </w:pPr>
            <w:r>
              <w:t>15,800</w:t>
            </w:r>
          </w:p>
        </w:tc>
      </w:tr>
      <w:tr w:rsidR="00B02873" w:rsidRPr="00B02873" w14:paraId="4FAD0779" w14:textId="77777777" w:rsidTr="00E532ED">
        <w:tc>
          <w:tcPr>
            <w:tcW w:w="5382" w:type="dxa"/>
          </w:tcPr>
          <w:p w14:paraId="328A8071" w14:textId="77777777" w:rsidR="00B02873" w:rsidRDefault="00B02873" w:rsidP="00E532ED">
            <w:pPr>
              <w:pStyle w:val="TablebodyleftFinancialsTables"/>
            </w:pPr>
            <w:r>
              <w:lastRenderedPageBreak/>
              <w:t>Biopower Systems Pty Ltd</w:t>
            </w:r>
          </w:p>
        </w:tc>
        <w:tc>
          <w:tcPr>
            <w:tcW w:w="1559" w:type="dxa"/>
          </w:tcPr>
          <w:p w14:paraId="066E472C" w14:textId="77777777" w:rsidR="00B02873" w:rsidRDefault="00B02873" w:rsidP="00E532ED">
            <w:pPr>
              <w:pStyle w:val="TablebodyleftFinancialsTables"/>
              <w:jc w:val="right"/>
            </w:pPr>
            <w:r>
              <w:t>15,577</w:t>
            </w:r>
          </w:p>
        </w:tc>
      </w:tr>
      <w:tr w:rsidR="00B02873" w:rsidRPr="00B02873" w14:paraId="15BE335B" w14:textId="77777777" w:rsidTr="00E532ED">
        <w:tc>
          <w:tcPr>
            <w:tcW w:w="5382" w:type="dxa"/>
          </w:tcPr>
          <w:p w14:paraId="3C049868" w14:textId="77777777" w:rsidR="00B02873" w:rsidRDefault="00B02873" w:rsidP="00E532ED">
            <w:pPr>
              <w:pStyle w:val="TablebodyleftFinancialsTables"/>
            </w:pPr>
            <w:r>
              <w:t>Startupbootcamp</w:t>
            </w:r>
          </w:p>
        </w:tc>
        <w:tc>
          <w:tcPr>
            <w:tcW w:w="1559" w:type="dxa"/>
          </w:tcPr>
          <w:p w14:paraId="17579364" w14:textId="77777777" w:rsidR="00B02873" w:rsidRDefault="00B02873" w:rsidP="00E532ED">
            <w:pPr>
              <w:pStyle w:val="TablebodyleftFinancialsTables"/>
              <w:jc w:val="right"/>
            </w:pPr>
            <w:r>
              <w:t>15,000</w:t>
            </w:r>
          </w:p>
        </w:tc>
      </w:tr>
      <w:tr w:rsidR="00B02873" w:rsidRPr="00B02873" w14:paraId="2111FAE1" w14:textId="77777777" w:rsidTr="00E532ED">
        <w:tc>
          <w:tcPr>
            <w:tcW w:w="5382" w:type="dxa"/>
          </w:tcPr>
          <w:p w14:paraId="3CC4DD3C" w14:textId="77777777" w:rsidR="00B02873" w:rsidRDefault="00B02873" w:rsidP="00E532ED">
            <w:pPr>
              <w:pStyle w:val="TablebodyleftFinancialsTables"/>
            </w:pPr>
            <w:r>
              <w:t>Wyndham City Council</w:t>
            </w:r>
          </w:p>
        </w:tc>
        <w:tc>
          <w:tcPr>
            <w:tcW w:w="1559" w:type="dxa"/>
          </w:tcPr>
          <w:p w14:paraId="676822F5" w14:textId="77777777" w:rsidR="00B02873" w:rsidRDefault="00B02873" w:rsidP="00E532ED">
            <w:pPr>
              <w:pStyle w:val="TablebodyleftFinancialsTables"/>
              <w:jc w:val="right"/>
            </w:pPr>
            <w:r>
              <w:t>14,250</w:t>
            </w:r>
          </w:p>
        </w:tc>
      </w:tr>
      <w:tr w:rsidR="00B02873" w:rsidRPr="00B02873" w14:paraId="6CD29D35" w14:textId="77777777" w:rsidTr="00E532ED">
        <w:tc>
          <w:tcPr>
            <w:tcW w:w="5382" w:type="dxa"/>
          </w:tcPr>
          <w:p w14:paraId="49D25677" w14:textId="77777777" w:rsidR="00B02873" w:rsidRDefault="00B02873" w:rsidP="00E532ED">
            <w:pPr>
              <w:pStyle w:val="TablebodyleftFinancialsTables"/>
            </w:pPr>
            <w:r>
              <w:t>Mansfield Apartments</w:t>
            </w:r>
          </w:p>
        </w:tc>
        <w:tc>
          <w:tcPr>
            <w:tcW w:w="1559" w:type="dxa"/>
          </w:tcPr>
          <w:p w14:paraId="254BED12" w14:textId="77777777" w:rsidR="00B02873" w:rsidRDefault="00B02873" w:rsidP="00E532ED">
            <w:pPr>
              <w:pStyle w:val="TablebodyleftFinancialsTables"/>
              <w:jc w:val="right"/>
            </w:pPr>
            <w:r>
              <w:t>13,916</w:t>
            </w:r>
          </w:p>
        </w:tc>
      </w:tr>
      <w:tr w:rsidR="00B02873" w:rsidRPr="00B02873" w14:paraId="7AF5F843" w14:textId="77777777" w:rsidTr="00E532ED">
        <w:tc>
          <w:tcPr>
            <w:tcW w:w="5382" w:type="dxa"/>
          </w:tcPr>
          <w:p w14:paraId="66E5FA01" w14:textId="77777777" w:rsidR="00B02873" w:rsidRDefault="00B02873" w:rsidP="00E532ED">
            <w:pPr>
              <w:pStyle w:val="TablebodyleftFinancialsTables"/>
            </w:pPr>
            <w:r>
              <w:t>Yarra Glenergy</w:t>
            </w:r>
          </w:p>
        </w:tc>
        <w:tc>
          <w:tcPr>
            <w:tcW w:w="1559" w:type="dxa"/>
          </w:tcPr>
          <w:p w14:paraId="1FB4ED07" w14:textId="77777777" w:rsidR="00B02873" w:rsidRDefault="00B02873" w:rsidP="00E532ED">
            <w:pPr>
              <w:pStyle w:val="TablebodyleftFinancialsTables"/>
              <w:jc w:val="right"/>
            </w:pPr>
            <w:r>
              <w:t>12,250</w:t>
            </w:r>
          </w:p>
        </w:tc>
      </w:tr>
      <w:tr w:rsidR="00B02873" w:rsidRPr="00B02873" w14:paraId="48F6E51F" w14:textId="77777777" w:rsidTr="00E532ED">
        <w:tc>
          <w:tcPr>
            <w:tcW w:w="5382" w:type="dxa"/>
          </w:tcPr>
          <w:p w14:paraId="4942108F" w14:textId="77777777" w:rsidR="00B02873" w:rsidRDefault="00B02873" w:rsidP="00E532ED">
            <w:pPr>
              <w:pStyle w:val="TablebodyleftFinancialsTables"/>
            </w:pPr>
            <w:r>
              <w:t>Maffra Golf Club Inc</w:t>
            </w:r>
          </w:p>
        </w:tc>
        <w:tc>
          <w:tcPr>
            <w:tcW w:w="1559" w:type="dxa"/>
          </w:tcPr>
          <w:p w14:paraId="06821F49" w14:textId="77777777" w:rsidR="00B02873" w:rsidRDefault="00B02873" w:rsidP="00E532ED">
            <w:pPr>
              <w:pStyle w:val="TablebodyleftFinancialsTables"/>
              <w:jc w:val="right"/>
            </w:pPr>
            <w:r>
              <w:t>11,974</w:t>
            </w:r>
          </w:p>
        </w:tc>
      </w:tr>
      <w:tr w:rsidR="00B02873" w:rsidRPr="00B02873" w14:paraId="2D302183" w14:textId="77777777" w:rsidTr="00E532ED">
        <w:tc>
          <w:tcPr>
            <w:tcW w:w="5382" w:type="dxa"/>
          </w:tcPr>
          <w:p w14:paraId="42C0B98B" w14:textId="77777777" w:rsidR="00B02873" w:rsidRDefault="00B02873" w:rsidP="00E532ED">
            <w:pPr>
              <w:pStyle w:val="TablebodyleftFinancialsTables"/>
            </w:pPr>
            <w:r>
              <w:t>Tatwash</w:t>
            </w:r>
          </w:p>
        </w:tc>
        <w:tc>
          <w:tcPr>
            <w:tcW w:w="1559" w:type="dxa"/>
          </w:tcPr>
          <w:p w14:paraId="769AD6D2" w14:textId="77777777" w:rsidR="00B02873" w:rsidRDefault="00B02873" w:rsidP="00E532ED">
            <w:pPr>
              <w:pStyle w:val="TablebodyleftFinancialsTables"/>
              <w:jc w:val="right"/>
            </w:pPr>
            <w:r>
              <w:t>11,900</w:t>
            </w:r>
          </w:p>
        </w:tc>
      </w:tr>
      <w:tr w:rsidR="00B02873" w:rsidRPr="00B02873" w14:paraId="07596D2E" w14:textId="77777777" w:rsidTr="00E532ED">
        <w:tc>
          <w:tcPr>
            <w:tcW w:w="5382" w:type="dxa"/>
          </w:tcPr>
          <w:p w14:paraId="2A8275BC" w14:textId="77777777" w:rsidR="00B02873" w:rsidRDefault="00B02873" w:rsidP="00E532ED">
            <w:pPr>
              <w:pStyle w:val="TablebodyleftFinancialsTables"/>
            </w:pPr>
            <w:r>
              <w:t>Cutri Fruit Pty Ltd</w:t>
            </w:r>
          </w:p>
        </w:tc>
        <w:tc>
          <w:tcPr>
            <w:tcW w:w="1559" w:type="dxa"/>
          </w:tcPr>
          <w:p w14:paraId="69EB6A49" w14:textId="77777777" w:rsidR="00B02873" w:rsidRDefault="00B02873" w:rsidP="00E532ED">
            <w:pPr>
              <w:pStyle w:val="TablebodyleftFinancialsTables"/>
              <w:jc w:val="right"/>
            </w:pPr>
            <w:r>
              <w:t>10,863</w:t>
            </w:r>
          </w:p>
        </w:tc>
      </w:tr>
      <w:tr w:rsidR="00B02873" w:rsidRPr="00B02873" w14:paraId="22F8D236" w14:textId="77777777" w:rsidTr="00E532ED">
        <w:tc>
          <w:tcPr>
            <w:tcW w:w="5382" w:type="dxa"/>
          </w:tcPr>
          <w:p w14:paraId="0CBE3E74" w14:textId="77777777" w:rsidR="00B02873" w:rsidRDefault="00B02873" w:rsidP="00E532ED">
            <w:pPr>
              <w:pStyle w:val="TablebodyleftFinancialsTables"/>
            </w:pPr>
            <w:r>
              <w:t>Yarra City Council</w:t>
            </w:r>
          </w:p>
        </w:tc>
        <w:tc>
          <w:tcPr>
            <w:tcW w:w="1559" w:type="dxa"/>
          </w:tcPr>
          <w:p w14:paraId="796E9937" w14:textId="77777777" w:rsidR="00B02873" w:rsidRDefault="00B02873" w:rsidP="00E532ED">
            <w:pPr>
              <w:pStyle w:val="TablebodyleftFinancialsTables"/>
              <w:jc w:val="right"/>
            </w:pPr>
            <w:r>
              <w:t>10,500</w:t>
            </w:r>
          </w:p>
        </w:tc>
      </w:tr>
      <w:tr w:rsidR="00B02873" w:rsidRPr="00B02873" w14:paraId="5F6FD4A9" w14:textId="77777777" w:rsidTr="00E532ED">
        <w:tc>
          <w:tcPr>
            <w:tcW w:w="5382" w:type="dxa"/>
          </w:tcPr>
          <w:p w14:paraId="3EA52594" w14:textId="77777777" w:rsidR="00B02873" w:rsidRDefault="00B02873" w:rsidP="00E532ED">
            <w:pPr>
              <w:pStyle w:val="TablebodyleftFinancialsTables"/>
            </w:pPr>
            <w:r>
              <w:t>Surf Coast Shire</w:t>
            </w:r>
          </w:p>
        </w:tc>
        <w:tc>
          <w:tcPr>
            <w:tcW w:w="1559" w:type="dxa"/>
          </w:tcPr>
          <w:p w14:paraId="609F6EF0" w14:textId="77777777" w:rsidR="00B02873" w:rsidRDefault="00B02873" w:rsidP="00E532ED">
            <w:pPr>
              <w:pStyle w:val="TablebodyleftFinancialsTables"/>
              <w:jc w:val="right"/>
            </w:pPr>
            <w:r>
              <w:t>10,500</w:t>
            </w:r>
          </w:p>
        </w:tc>
      </w:tr>
      <w:tr w:rsidR="00B02873" w:rsidRPr="00B02873" w14:paraId="3DDF9BA4" w14:textId="77777777" w:rsidTr="00E532ED">
        <w:tc>
          <w:tcPr>
            <w:tcW w:w="5382" w:type="dxa"/>
          </w:tcPr>
          <w:p w14:paraId="603E51AD" w14:textId="77777777" w:rsidR="00B02873" w:rsidRDefault="00B02873" w:rsidP="00E532ED">
            <w:pPr>
              <w:pStyle w:val="TablebodyleftFinancialsTables"/>
            </w:pPr>
            <w:r>
              <w:t>Borough of Queenscliffe</w:t>
            </w:r>
          </w:p>
        </w:tc>
        <w:tc>
          <w:tcPr>
            <w:tcW w:w="1559" w:type="dxa"/>
          </w:tcPr>
          <w:p w14:paraId="51D04478" w14:textId="77777777" w:rsidR="00B02873" w:rsidRDefault="00B02873" w:rsidP="00E532ED">
            <w:pPr>
              <w:pStyle w:val="TablebodyleftFinancialsTables"/>
              <w:jc w:val="right"/>
            </w:pPr>
            <w:r>
              <w:t>10,500</w:t>
            </w:r>
          </w:p>
        </w:tc>
      </w:tr>
      <w:tr w:rsidR="00B02873" w:rsidRPr="00B02873" w14:paraId="4AD6C40A" w14:textId="77777777" w:rsidTr="00E532ED">
        <w:tc>
          <w:tcPr>
            <w:tcW w:w="5382" w:type="dxa"/>
          </w:tcPr>
          <w:p w14:paraId="4662B992" w14:textId="77777777" w:rsidR="00B02873" w:rsidRDefault="00B02873" w:rsidP="00E532ED">
            <w:pPr>
              <w:pStyle w:val="TablebodyleftFinancialsTables"/>
            </w:pPr>
            <w:r>
              <w:t>The Environment Shop</w:t>
            </w:r>
          </w:p>
        </w:tc>
        <w:tc>
          <w:tcPr>
            <w:tcW w:w="1559" w:type="dxa"/>
          </w:tcPr>
          <w:p w14:paraId="5475EB75" w14:textId="77777777" w:rsidR="00B02873" w:rsidRDefault="00B02873" w:rsidP="00E532ED">
            <w:pPr>
              <w:pStyle w:val="TablebodyleftFinancialsTables"/>
              <w:jc w:val="right"/>
            </w:pPr>
            <w:r>
              <w:t>10,058</w:t>
            </w:r>
          </w:p>
        </w:tc>
      </w:tr>
      <w:tr w:rsidR="00B02873" w:rsidRPr="00B02873" w14:paraId="05AF099F" w14:textId="77777777" w:rsidTr="00E532ED">
        <w:tc>
          <w:tcPr>
            <w:tcW w:w="5382" w:type="dxa"/>
          </w:tcPr>
          <w:p w14:paraId="2C2B99FD" w14:textId="77777777" w:rsidR="00B02873" w:rsidRDefault="00B02873" w:rsidP="00E532ED">
            <w:pPr>
              <w:pStyle w:val="TablebodyleftFinancialsTables"/>
            </w:pPr>
            <w:r>
              <w:t>Greenham Gippsland Pty Ltd</w:t>
            </w:r>
          </w:p>
        </w:tc>
        <w:tc>
          <w:tcPr>
            <w:tcW w:w="1559" w:type="dxa"/>
          </w:tcPr>
          <w:p w14:paraId="1FBF3709" w14:textId="77777777" w:rsidR="00B02873" w:rsidRDefault="00B02873" w:rsidP="00E532ED">
            <w:pPr>
              <w:pStyle w:val="TablebodyleftFinancialsTables"/>
              <w:jc w:val="right"/>
            </w:pPr>
            <w:r>
              <w:t>9,920</w:t>
            </w:r>
          </w:p>
        </w:tc>
      </w:tr>
      <w:tr w:rsidR="00B02873" w:rsidRPr="00B02873" w14:paraId="59866F66" w14:textId="77777777" w:rsidTr="00E532ED">
        <w:tc>
          <w:tcPr>
            <w:tcW w:w="5382" w:type="dxa"/>
          </w:tcPr>
          <w:p w14:paraId="2710D8D4" w14:textId="77777777" w:rsidR="00B02873" w:rsidRDefault="00B02873" w:rsidP="00E532ED">
            <w:pPr>
              <w:pStyle w:val="TablebodyleftFinancialsTables"/>
            </w:pPr>
            <w:r>
              <w:t>Wandin Electrics Pty Ltd</w:t>
            </w:r>
          </w:p>
        </w:tc>
        <w:tc>
          <w:tcPr>
            <w:tcW w:w="1559" w:type="dxa"/>
          </w:tcPr>
          <w:p w14:paraId="4C5AFC1B" w14:textId="77777777" w:rsidR="00B02873" w:rsidRDefault="00B02873" w:rsidP="00E532ED">
            <w:pPr>
              <w:pStyle w:val="TablebodyleftFinancialsTables"/>
              <w:jc w:val="right"/>
            </w:pPr>
            <w:r>
              <w:t>9,530</w:t>
            </w:r>
          </w:p>
        </w:tc>
      </w:tr>
      <w:tr w:rsidR="00B02873" w:rsidRPr="00B02873" w14:paraId="2F77BDC3" w14:textId="77777777" w:rsidTr="00E532ED">
        <w:tc>
          <w:tcPr>
            <w:tcW w:w="5382" w:type="dxa"/>
          </w:tcPr>
          <w:p w14:paraId="156C82DC" w14:textId="77777777" w:rsidR="00B02873" w:rsidRDefault="00B02873" w:rsidP="00E532ED">
            <w:pPr>
              <w:pStyle w:val="TablebodyleftFinancialsTables"/>
            </w:pPr>
            <w:r>
              <w:t>City of Boroondara</w:t>
            </w:r>
          </w:p>
        </w:tc>
        <w:tc>
          <w:tcPr>
            <w:tcW w:w="1559" w:type="dxa"/>
          </w:tcPr>
          <w:p w14:paraId="7EE4ED7D" w14:textId="77777777" w:rsidR="00B02873" w:rsidRDefault="00B02873" w:rsidP="00E532ED">
            <w:pPr>
              <w:pStyle w:val="TablebodyleftFinancialsTables"/>
              <w:jc w:val="right"/>
            </w:pPr>
            <w:r>
              <w:t>9,000</w:t>
            </w:r>
          </w:p>
        </w:tc>
      </w:tr>
      <w:tr w:rsidR="00B02873" w:rsidRPr="00B02873" w14:paraId="69A7509A" w14:textId="77777777" w:rsidTr="00E532ED">
        <w:tc>
          <w:tcPr>
            <w:tcW w:w="5382" w:type="dxa"/>
          </w:tcPr>
          <w:p w14:paraId="1FB7A44E" w14:textId="77777777" w:rsidR="00B02873" w:rsidRDefault="00B02873" w:rsidP="00E532ED">
            <w:pPr>
              <w:pStyle w:val="TablebodyleftFinancialsTables"/>
            </w:pPr>
            <w:r>
              <w:t>Rosebud RSL Sub Branch Inc</w:t>
            </w:r>
          </w:p>
        </w:tc>
        <w:tc>
          <w:tcPr>
            <w:tcW w:w="1559" w:type="dxa"/>
          </w:tcPr>
          <w:p w14:paraId="6326FC3B" w14:textId="77777777" w:rsidR="00B02873" w:rsidRDefault="00B02873" w:rsidP="00E532ED">
            <w:pPr>
              <w:pStyle w:val="TablebodyleftFinancialsTables"/>
              <w:jc w:val="right"/>
            </w:pPr>
            <w:r>
              <w:t>8,750</w:t>
            </w:r>
          </w:p>
        </w:tc>
      </w:tr>
      <w:tr w:rsidR="00B02873" w:rsidRPr="00B02873" w14:paraId="29EAF248" w14:textId="77777777" w:rsidTr="00E532ED">
        <w:tc>
          <w:tcPr>
            <w:tcW w:w="5382" w:type="dxa"/>
          </w:tcPr>
          <w:p w14:paraId="52CC16BC" w14:textId="77777777" w:rsidR="00B02873" w:rsidRDefault="00B02873" w:rsidP="00E532ED">
            <w:pPr>
              <w:pStyle w:val="TablebodyleftFinancialsTables"/>
            </w:pPr>
            <w:r>
              <w:t>Monash City Council</w:t>
            </w:r>
          </w:p>
        </w:tc>
        <w:tc>
          <w:tcPr>
            <w:tcW w:w="1559" w:type="dxa"/>
          </w:tcPr>
          <w:p w14:paraId="7A910E9F" w14:textId="77777777" w:rsidR="00B02873" w:rsidRDefault="00B02873" w:rsidP="00E532ED">
            <w:pPr>
              <w:pStyle w:val="TablebodyleftFinancialsTables"/>
              <w:jc w:val="right"/>
            </w:pPr>
            <w:r>
              <w:t>8,750</w:t>
            </w:r>
          </w:p>
        </w:tc>
      </w:tr>
      <w:tr w:rsidR="00B02873" w:rsidRPr="00B02873" w14:paraId="63C55FB6" w14:textId="77777777" w:rsidTr="00E532ED">
        <w:tc>
          <w:tcPr>
            <w:tcW w:w="5382" w:type="dxa"/>
          </w:tcPr>
          <w:p w14:paraId="355D8C33" w14:textId="77777777" w:rsidR="00B02873" w:rsidRDefault="00B02873" w:rsidP="00E532ED">
            <w:pPr>
              <w:pStyle w:val="TablebodyleftFinancialsTables"/>
            </w:pPr>
            <w:r>
              <w:t>City of Kingston</w:t>
            </w:r>
          </w:p>
        </w:tc>
        <w:tc>
          <w:tcPr>
            <w:tcW w:w="1559" w:type="dxa"/>
          </w:tcPr>
          <w:p w14:paraId="60D84469" w14:textId="77777777" w:rsidR="00B02873" w:rsidRDefault="00B02873" w:rsidP="00E532ED">
            <w:pPr>
              <w:pStyle w:val="TablebodyleftFinancialsTables"/>
              <w:jc w:val="right"/>
            </w:pPr>
            <w:r>
              <w:t>8,700</w:t>
            </w:r>
          </w:p>
        </w:tc>
      </w:tr>
      <w:tr w:rsidR="00B02873" w:rsidRPr="00B02873" w14:paraId="71FB6852" w14:textId="77777777" w:rsidTr="00E532ED">
        <w:tc>
          <w:tcPr>
            <w:tcW w:w="5382" w:type="dxa"/>
          </w:tcPr>
          <w:p w14:paraId="25F5B4B7" w14:textId="77777777" w:rsidR="00B02873" w:rsidRDefault="00B02873" w:rsidP="00E532ED">
            <w:pPr>
              <w:pStyle w:val="TablebodyleftFinancialsTables"/>
            </w:pPr>
            <w:r>
              <w:t>MTAA Superannuation (40 Market Street) Property Pty Ltd</w:t>
            </w:r>
          </w:p>
        </w:tc>
        <w:tc>
          <w:tcPr>
            <w:tcW w:w="1559" w:type="dxa"/>
          </w:tcPr>
          <w:p w14:paraId="5E22A406" w14:textId="77777777" w:rsidR="00B02873" w:rsidRDefault="00B02873" w:rsidP="00E532ED">
            <w:pPr>
              <w:pStyle w:val="TablebodyleftFinancialsTables"/>
              <w:jc w:val="right"/>
            </w:pPr>
            <w:r>
              <w:t>8,250</w:t>
            </w:r>
          </w:p>
        </w:tc>
      </w:tr>
      <w:tr w:rsidR="00B02873" w:rsidRPr="00B02873" w14:paraId="63A48E84" w14:textId="77777777" w:rsidTr="00E532ED">
        <w:tc>
          <w:tcPr>
            <w:tcW w:w="5382" w:type="dxa"/>
          </w:tcPr>
          <w:p w14:paraId="54DE1271" w14:textId="77777777" w:rsidR="00B02873" w:rsidRDefault="00B02873" w:rsidP="00E532ED">
            <w:pPr>
              <w:pStyle w:val="TablebodyleftFinancialsTables"/>
            </w:pPr>
            <w:r>
              <w:t>MBK Electrical Pty Ltd</w:t>
            </w:r>
          </w:p>
        </w:tc>
        <w:tc>
          <w:tcPr>
            <w:tcW w:w="1559" w:type="dxa"/>
          </w:tcPr>
          <w:p w14:paraId="66764E3E" w14:textId="77777777" w:rsidR="00B02873" w:rsidRDefault="00B02873" w:rsidP="00E532ED">
            <w:pPr>
              <w:pStyle w:val="TablebodyleftFinancialsTables"/>
              <w:jc w:val="right"/>
            </w:pPr>
            <w:r>
              <w:t>7,985</w:t>
            </w:r>
          </w:p>
        </w:tc>
      </w:tr>
      <w:tr w:rsidR="00B02873" w:rsidRPr="00B02873" w14:paraId="75D38DF5" w14:textId="77777777" w:rsidTr="00E532ED">
        <w:tc>
          <w:tcPr>
            <w:tcW w:w="5382" w:type="dxa"/>
          </w:tcPr>
          <w:p w14:paraId="3AFC50AB" w14:textId="77777777" w:rsidR="00B02873" w:rsidRDefault="00B02873" w:rsidP="00E532ED">
            <w:pPr>
              <w:pStyle w:val="TablebodyleftFinancialsTables"/>
            </w:pPr>
            <w:r>
              <w:t>Moira Shire Council</w:t>
            </w:r>
          </w:p>
        </w:tc>
        <w:tc>
          <w:tcPr>
            <w:tcW w:w="1559" w:type="dxa"/>
          </w:tcPr>
          <w:p w14:paraId="7CAF8D7A" w14:textId="77777777" w:rsidR="00B02873" w:rsidRDefault="00B02873" w:rsidP="00E532ED">
            <w:pPr>
              <w:pStyle w:val="TablebodyleftFinancialsTables"/>
              <w:jc w:val="right"/>
            </w:pPr>
            <w:r>
              <w:t>7,425</w:t>
            </w:r>
          </w:p>
        </w:tc>
      </w:tr>
      <w:tr w:rsidR="00B02873" w:rsidRPr="00B02873" w14:paraId="7BB6BEA2" w14:textId="77777777" w:rsidTr="00E532ED">
        <w:tc>
          <w:tcPr>
            <w:tcW w:w="5382" w:type="dxa"/>
          </w:tcPr>
          <w:p w14:paraId="4FF9EDF5" w14:textId="77777777" w:rsidR="00B02873" w:rsidRDefault="00B02873" w:rsidP="00E532ED">
            <w:pPr>
              <w:pStyle w:val="TablebodyleftFinancialsTables"/>
            </w:pPr>
            <w:r>
              <w:t>Heyfield Tennis Club</w:t>
            </w:r>
          </w:p>
        </w:tc>
        <w:tc>
          <w:tcPr>
            <w:tcW w:w="1559" w:type="dxa"/>
          </w:tcPr>
          <w:p w14:paraId="422AB6E1" w14:textId="77777777" w:rsidR="00B02873" w:rsidRDefault="00B02873" w:rsidP="00E532ED">
            <w:pPr>
              <w:pStyle w:val="TablebodyleftFinancialsTables"/>
              <w:jc w:val="right"/>
            </w:pPr>
            <w:r>
              <w:t>7,296</w:t>
            </w:r>
          </w:p>
        </w:tc>
      </w:tr>
      <w:tr w:rsidR="00B02873" w:rsidRPr="00B02873" w14:paraId="37D4221E" w14:textId="77777777" w:rsidTr="00E532ED">
        <w:tc>
          <w:tcPr>
            <w:tcW w:w="5382" w:type="dxa"/>
          </w:tcPr>
          <w:p w14:paraId="2CBC5872" w14:textId="77777777" w:rsidR="00B02873" w:rsidRDefault="00B02873" w:rsidP="00E532ED">
            <w:pPr>
              <w:pStyle w:val="TablebodyleftFinancialsTables"/>
            </w:pPr>
            <w:r>
              <w:t>Heyfield and Districts Historical Society Inc</w:t>
            </w:r>
          </w:p>
        </w:tc>
        <w:tc>
          <w:tcPr>
            <w:tcW w:w="1559" w:type="dxa"/>
          </w:tcPr>
          <w:p w14:paraId="5099D02D" w14:textId="77777777" w:rsidR="00B02873" w:rsidRDefault="00B02873" w:rsidP="00E532ED">
            <w:pPr>
              <w:pStyle w:val="TablebodyleftFinancialsTables"/>
              <w:jc w:val="right"/>
            </w:pPr>
            <w:r>
              <w:t>7,065</w:t>
            </w:r>
          </w:p>
        </w:tc>
      </w:tr>
      <w:tr w:rsidR="00B02873" w:rsidRPr="00B02873" w14:paraId="0122241E" w14:textId="77777777" w:rsidTr="00E532ED">
        <w:tc>
          <w:tcPr>
            <w:tcW w:w="5382" w:type="dxa"/>
          </w:tcPr>
          <w:p w14:paraId="602DB595" w14:textId="77777777" w:rsidR="00B02873" w:rsidRDefault="00B02873" w:rsidP="00E532ED">
            <w:pPr>
              <w:pStyle w:val="TablebodyleftFinancialsTables"/>
            </w:pPr>
            <w:r>
              <w:t>Banyule City Council</w:t>
            </w:r>
          </w:p>
        </w:tc>
        <w:tc>
          <w:tcPr>
            <w:tcW w:w="1559" w:type="dxa"/>
          </w:tcPr>
          <w:p w14:paraId="549C096B" w14:textId="77777777" w:rsidR="00B02873" w:rsidRDefault="00B02873" w:rsidP="00E532ED">
            <w:pPr>
              <w:pStyle w:val="TablebodyleftFinancialsTables"/>
              <w:jc w:val="right"/>
            </w:pPr>
            <w:r>
              <w:t>7,000</w:t>
            </w:r>
          </w:p>
        </w:tc>
      </w:tr>
      <w:tr w:rsidR="00B02873" w:rsidRPr="00B02873" w14:paraId="2F9133ED" w14:textId="77777777" w:rsidTr="00E532ED">
        <w:tc>
          <w:tcPr>
            <w:tcW w:w="5382" w:type="dxa"/>
          </w:tcPr>
          <w:p w14:paraId="15D04900" w14:textId="77777777" w:rsidR="00B02873" w:rsidRDefault="00B02873" w:rsidP="00E532ED">
            <w:pPr>
              <w:pStyle w:val="TablebodyleftFinancialsTables"/>
            </w:pPr>
            <w:r>
              <w:t>Ventia Australia Pty Ltd</w:t>
            </w:r>
          </w:p>
        </w:tc>
        <w:tc>
          <w:tcPr>
            <w:tcW w:w="1559" w:type="dxa"/>
          </w:tcPr>
          <w:p w14:paraId="728D3E05" w14:textId="77777777" w:rsidR="00B02873" w:rsidRDefault="00B02873" w:rsidP="00E532ED">
            <w:pPr>
              <w:pStyle w:val="TablebodyleftFinancialsTables"/>
              <w:jc w:val="right"/>
            </w:pPr>
            <w:r>
              <w:t>6,859</w:t>
            </w:r>
          </w:p>
        </w:tc>
      </w:tr>
      <w:tr w:rsidR="00B02873" w:rsidRPr="00B02873" w14:paraId="0F7C0DD4" w14:textId="77777777" w:rsidTr="00E532ED">
        <w:tc>
          <w:tcPr>
            <w:tcW w:w="5382" w:type="dxa"/>
          </w:tcPr>
          <w:p w14:paraId="7081CEC1" w14:textId="77777777" w:rsidR="00B02873" w:rsidRDefault="00B02873" w:rsidP="00E532ED">
            <w:pPr>
              <w:pStyle w:val="TablebodyleftFinancialsTables"/>
            </w:pPr>
            <w:r>
              <w:t>Delcom Services</w:t>
            </w:r>
          </w:p>
        </w:tc>
        <w:tc>
          <w:tcPr>
            <w:tcW w:w="1559" w:type="dxa"/>
          </w:tcPr>
          <w:p w14:paraId="3EE5C324" w14:textId="77777777" w:rsidR="00B02873" w:rsidRDefault="00B02873" w:rsidP="00E532ED">
            <w:pPr>
              <w:pStyle w:val="TablebodyleftFinancialsTables"/>
              <w:jc w:val="right"/>
            </w:pPr>
            <w:r>
              <w:t>6,764</w:t>
            </w:r>
          </w:p>
        </w:tc>
      </w:tr>
      <w:tr w:rsidR="00B02873" w:rsidRPr="00B02873" w14:paraId="45386B4B" w14:textId="77777777" w:rsidTr="00E532ED">
        <w:tc>
          <w:tcPr>
            <w:tcW w:w="5382" w:type="dxa"/>
          </w:tcPr>
          <w:p w14:paraId="252B3803" w14:textId="77777777" w:rsidR="00B02873" w:rsidRDefault="00B02873" w:rsidP="00E532ED">
            <w:pPr>
              <w:pStyle w:val="TablebodyleftFinancialsTables"/>
            </w:pPr>
            <w:r>
              <w:t>Coongulla Reserves Committee of Management Inc</w:t>
            </w:r>
          </w:p>
        </w:tc>
        <w:tc>
          <w:tcPr>
            <w:tcW w:w="1559" w:type="dxa"/>
          </w:tcPr>
          <w:p w14:paraId="06109533" w14:textId="77777777" w:rsidR="00B02873" w:rsidRDefault="00B02873" w:rsidP="00E532ED">
            <w:pPr>
              <w:pStyle w:val="TablebodyleftFinancialsTables"/>
              <w:jc w:val="right"/>
            </w:pPr>
            <w:r>
              <w:t>6,718</w:t>
            </w:r>
          </w:p>
        </w:tc>
      </w:tr>
      <w:tr w:rsidR="00B02873" w:rsidRPr="00B02873" w14:paraId="3B160B84" w14:textId="77777777" w:rsidTr="00E532ED">
        <w:tc>
          <w:tcPr>
            <w:tcW w:w="5382" w:type="dxa"/>
          </w:tcPr>
          <w:p w14:paraId="2078E4B4" w14:textId="77777777" w:rsidR="00B02873" w:rsidRDefault="00B02873" w:rsidP="00E532ED">
            <w:pPr>
              <w:pStyle w:val="TablebodyleftFinancialsTables"/>
            </w:pPr>
            <w:r>
              <w:t>Qantas Airways Limited</w:t>
            </w:r>
          </w:p>
        </w:tc>
        <w:tc>
          <w:tcPr>
            <w:tcW w:w="1559" w:type="dxa"/>
          </w:tcPr>
          <w:p w14:paraId="58EA99AB" w14:textId="77777777" w:rsidR="00B02873" w:rsidRDefault="00B02873" w:rsidP="00E532ED">
            <w:pPr>
              <w:pStyle w:val="TablebodyleftFinancialsTables"/>
              <w:jc w:val="right"/>
            </w:pPr>
            <w:r>
              <w:t>6,600</w:t>
            </w:r>
          </w:p>
        </w:tc>
      </w:tr>
      <w:tr w:rsidR="00B02873" w:rsidRPr="00B02873" w14:paraId="7E574D13" w14:textId="77777777" w:rsidTr="00E532ED">
        <w:tc>
          <w:tcPr>
            <w:tcW w:w="5382" w:type="dxa"/>
          </w:tcPr>
          <w:p w14:paraId="57C48AFD" w14:textId="77777777" w:rsidR="00B02873" w:rsidRDefault="00B02873" w:rsidP="00E532ED">
            <w:pPr>
              <w:pStyle w:val="TablebodyleftFinancialsTables"/>
            </w:pPr>
            <w:r>
              <w:t>Snowy River Electrical Services</w:t>
            </w:r>
          </w:p>
        </w:tc>
        <w:tc>
          <w:tcPr>
            <w:tcW w:w="1559" w:type="dxa"/>
          </w:tcPr>
          <w:p w14:paraId="2A14E30E" w14:textId="77777777" w:rsidR="00B02873" w:rsidRDefault="00B02873" w:rsidP="00E532ED">
            <w:pPr>
              <w:pStyle w:val="TablebodyleftFinancialsTables"/>
              <w:jc w:val="right"/>
            </w:pPr>
            <w:r>
              <w:t>6,202</w:t>
            </w:r>
          </w:p>
        </w:tc>
      </w:tr>
      <w:tr w:rsidR="00B02873" w:rsidRPr="00B02873" w14:paraId="0D38B71D" w14:textId="77777777" w:rsidTr="00E532ED">
        <w:tc>
          <w:tcPr>
            <w:tcW w:w="5382" w:type="dxa"/>
          </w:tcPr>
          <w:p w14:paraId="7634CC8F" w14:textId="77777777" w:rsidR="00B02873" w:rsidRDefault="00B02873" w:rsidP="00E532ED">
            <w:pPr>
              <w:pStyle w:val="TablebodyleftFinancialsTables"/>
            </w:pPr>
            <w:r>
              <w:t>Stonnington City Council</w:t>
            </w:r>
          </w:p>
        </w:tc>
        <w:tc>
          <w:tcPr>
            <w:tcW w:w="1559" w:type="dxa"/>
          </w:tcPr>
          <w:p w14:paraId="62987120" w14:textId="77777777" w:rsidR="00B02873" w:rsidRDefault="00B02873" w:rsidP="00E532ED">
            <w:pPr>
              <w:pStyle w:val="TablebodyleftFinancialsTables"/>
              <w:jc w:val="right"/>
            </w:pPr>
            <w:r>
              <w:t>6,000</w:t>
            </w:r>
          </w:p>
        </w:tc>
      </w:tr>
      <w:tr w:rsidR="00B02873" w:rsidRPr="00B02873" w14:paraId="5C461C7F" w14:textId="77777777" w:rsidTr="00E532ED">
        <w:tc>
          <w:tcPr>
            <w:tcW w:w="5382" w:type="dxa"/>
          </w:tcPr>
          <w:p w14:paraId="53D588E2" w14:textId="77777777" w:rsidR="00B02873" w:rsidRDefault="00B02873" w:rsidP="00E532ED">
            <w:pPr>
              <w:pStyle w:val="TablebodyleftFinancialsTables"/>
            </w:pPr>
            <w:r>
              <w:t>Warrnambool City Council</w:t>
            </w:r>
          </w:p>
        </w:tc>
        <w:tc>
          <w:tcPr>
            <w:tcW w:w="1559" w:type="dxa"/>
          </w:tcPr>
          <w:p w14:paraId="41F12C87" w14:textId="77777777" w:rsidR="00B02873" w:rsidRDefault="00B02873" w:rsidP="00E532ED">
            <w:pPr>
              <w:pStyle w:val="TablebodyleftFinancialsTables"/>
              <w:jc w:val="right"/>
            </w:pPr>
            <w:r>
              <w:t>6,000</w:t>
            </w:r>
          </w:p>
        </w:tc>
      </w:tr>
      <w:tr w:rsidR="00B02873" w:rsidRPr="00B02873" w14:paraId="6236AF71" w14:textId="77777777" w:rsidTr="00E532ED">
        <w:tc>
          <w:tcPr>
            <w:tcW w:w="5382" w:type="dxa"/>
          </w:tcPr>
          <w:p w14:paraId="08C00BBB" w14:textId="77777777" w:rsidR="00B02873" w:rsidRDefault="00B02873" w:rsidP="00E532ED">
            <w:pPr>
              <w:pStyle w:val="TablebodyleftFinancialsTables"/>
            </w:pPr>
            <w:r>
              <w:t>William La Trobe Pty Ltd</w:t>
            </w:r>
          </w:p>
        </w:tc>
        <w:tc>
          <w:tcPr>
            <w:tcW w:w="1559" w:type="dxa"/>
          </w:tcPr>
          <w:p w14:paraId="4A8EC55F" w14:textId="77777777" w:rsidR="00B02873" w:rsidRDefault="00B02873" w:rsidP="00E532ED">
            <w:pPr>
              <w:pStyle w:val="TablebodyleftFinancialsTables"/>
              <w:jc w:val="right"/>
            </w:pPr>
            <w:r>
              <w:t>5,985</w:t>
            </w:r>
          </w:p>
        </w:tc>
      </w:tr>
      <w:tr w:rsidR="00B02873" w:rsidRPr="00B02873" w14:paraId="7F5CA641" w14:textId="77777777" w:rsidTr="00E532ED">
        <w:tc>
          <w:tcPr>
            <w:tcW w:w="5382" w:type="dxa"/>
          </w:tcPr>
          <w:p w14:paraId="66F56B66" w14:textId="77777777" w:rsidR="00B02873" w:rsidRDefault="00B02873" w:rsidP="00E532ED">
            <w:pPr>
              <w:pStyle w:val="TablebodyleftFinancialsTables"/>
            </w:pPr>
            <w:r>
              <w:t>PPG Industries Australia Pty Ltd</w:t>
            </w:r>
          </w:p>
        </w:tc>
        <w:tc>
          <w:tcPr>
            <w:tcW w:w="1559" w:type="dxa"/>
          </w:tcPr>
          <w:p w14:paraId="702610BA" w14:textId="77777777" w:rsidR="00B02873" w:rsidRDefault="00B02873" w:rsidP="00E532ED">
            <w:pPr>
              <w:pStyle w:val="TablebodyleftFinancialsTables"/>
              <w:jc w:val="right"/>
            </w:pPr>
            <w:r>
              <w:t>5,960</w:t>
            </w:r>
          </w:p>
        </w:tc>
      </w:tr>
      <w:tr w:rsidR="00B02873" w:rsidRPr="00B02873" w14:paraId="41A87096" w14:textId="77777777" w:rsidTr="00E532ED">
        <w:tc>
          <w:tcPr>
            <w:tcW w:w="5382" w:type="dxa"/>
          </w:tcPr>
          <w:p w14:paraId="20630107" w14:textId="77777777" w:rsidR="00B02873" w:rsidRDefault="00B02873" w:rsidP="00E532ED">
            <w:pPr>
              <w:pStyle w:val="TablebodyleftFinancialsTables"/>
            </w:pPr>
            <w:r>
              <w:t>Heyfield Golf Club Inc</w:t>
            </w:r>
          </w:p>
        </w:tc>
        <w:tc>
          <w:tcPr>
            <w:tcW w:w="1559" w:type="dxa"/>
          </w:tcPr>
          <w:p w14:paraId="112B354C" w14:textId="77777777" w:rsidR="00B02873" w:rsidRDefault="00B02873" w:rsidP="00E532ED">
            <w:pPr>
              <w:pStyle w:val="TablebodyleftFinancialsTables"/>
              <w:jc w:val="right"/>
            </w:pPr>
            <w:r>
              <w:t>5,909</w:t>
            </w:r>
          </w:p>
        </w:tc>
      </w:tr>
      <w:tr w:rsidR="00B02873" w:rsidRPr="00B02873" w14:paraId="7BE49655" w14:textId="77777777" w:rsidTr="00E532ED">
        <w:tc>
          <w:tcPr>
            <w:tcW w:w="5382" w:type="dxa"/>
          </w:tcPr>
          <w:p w14:paraId="75F40B5F" w14:textId="77777777" w:rsidR="00B02873" w:rsidRDefault="00B02873" w:rsidP="00E532ED">
            <w:pPr>
              <w:pStyle w:val="TablebodyleftFinancialsTables"/>
            </w:pPr>
            <w:r>
              <w:t>574 St Kilda Road Pty Ltd</w:t>
            </w:r>
          </w:p>
        </w:tc>
        <w:tc>
          <w:tcPr>
            <w:tcW w:w="1559" w:type="dxa"/>
          </w:tcPr>
          <w:p w14:paraId="2E653665" w14:textId="77777777" w:rsidR="00B02873" w:rsidRDefault="00B02873" w:rsidP="00E532ED">
            <w:pPr>
              <w:pStyle w:val="TablebodyleftFinancialsTables"/>
              <w:jc w:val="right"/>
            </w:pPr>
            <w:r>
              <w:t>5,740</w:t>
            </w:r>
          </w:p>
        </w:tc>
      </w:tr>
      <w:tr w:rsidR="00B02873" w:rsidRPr="00B02873" w14:paraId="5FCAB4A4" w14:textId="77777777" w:rsidTr="00E532ED">
        <w:tc>
          <w:tcPr>
            <w:tcW w:w="5382" w:type="dxa"/>
          </w:tcPr>
          <w:p w14:paraId="0B682C53" w14:textId="77777777" w:rsidR="00B02873" w:rsidRDefault="00B02873" w:rsidP="00E532ED">
            <w:pPr>
              <w:pStyle w:val="TablebodyleftFinancialsTables"/>
            </w:pPr>
            <w:r>
              <w:lastRenderedPageBreak/>
              <w:t>Landers Electrical</w:t>
            </w:r>
          </w:p>
        </w:tc>
        <w:tc>
          <w:tcPr>
            <w:tcW w:w="1559" w:type="dxa"/>
          </w:tcPr>
          <w:p w14:paraId="36791FEE" w14:textId="77777777" w:rsidR="00B02873" w:rsidRDefault="00B02873" w:rsidP="00E532ED">
            <w:pPr>
              <w:pStyle w:val="TablebodyleftFinancialsTables"/>
              <w:jc w:val="right"/>
            </w:pPr>
            <w:r>
              <w:t>5,714</w:t>
            </w:r>
          </w:p>
        </w:tc>
      </w:tr>
      <w:tr w:rsidR="00B02873" w:rsidRPr="00B02873" w14:paraId="4C14459D" w14:textId="77777777" w:rsidTr="00E532ED">
        <w:tc>
          <w:tcPr>
            <w:tcW w:w="5382" w:type="dxa"/>
          </w:tcPr>
          <w:p w14:paraId="7E80E6D8" w14:textId="77777777" w:rsidR="00B02873" w:rsidRDefault="00B02873" w:rsidP="00E532ED">
            <w:pPr>
              <w:pStyle w:val="TablebodyleftFinancialsTables"/>
            </w:pPr>
            <w:r>
              <w:t>11 Queens Road Pty Ltd</w:t>
            </w:r>
          </w:p>
        </w:tc>
        <w:tc>
          <w:tcPr>
            <w:tcW w:w="1559" w:type="dxa"/>
          </w:tcPr>
          <w:p w14:paraId="3224E28F" w14:textId="77777777" w:rsidR="00B02873" w:rsidRDefault="00B02873" w:rsidP="00E532ED">
            <w:pPr>
              <w:pStyle w:val="TablebodyleftFinancialsTables"/>
              <w:jc w:val="right"/>
            </w:pPr>
            <w:r>
              <w:t>5,635</w:t>
            </w:r>
          </w:p>
        </w:tc>
      </w:tr>
      <w:tr w:rsidR="00B02873" w:rsidRPr="00B02873" w14:paraId="7861284D" w14:textId="77777777" w:rsidTr="00E532ED">
        <w:tc>
          <w:tcPr>
            <w:tcW w:w="5382" w:type="dxa"/>
          </w:tcPr>
          <w:p w14:paraId="40BF84AE" w14:textId="77777777" w:rsidR="00B02873" w:rsidRDefault="00B02873" w:rsidP="00E532ED">
            <w:pPr>
              <w:pStyle w:val="TablebodyleftFinancialsTables"/>
            </w:pPr>
            <w:r>
              <w:t>176 Wellington Parade Pty Ltd</w:t>
            </w:r>
          </w:p>
        </w:tc>
        <w:tc>
          <w:tcPr>
            <w:tcW w:w="1559" w:type="dxa"/>
          </w:tcPr>
          <w:p w14:paraId="0E51EF97" w14:textId="77777777" w:rsidR="00B02873" w:rsidRDefault="00B02873" w:rsidP="00E532ED">
            <w:pPr>
              <w:pStyle w:val="TablebodyleftFinancialsTables"/>
              <w:jc w:val="right"/>
            </w:pPr>
            <w:r>
              <w:t>5,635</w:t>
            </w:r>
          </w:p>
        </w:tc>
      </w:tr>
      <w:tr w:rsidR="00B02873" w:rsidRPr="00B02873" w14:paraId="28BF5AC5" w14:textId="77777777" w:rsidTr="00E532ED">
        <w:tc>
          <w:tcPr>
            <w:tcW w:w="5382" w:type="dxa"/>
          </w:tcPr>
          <w:p w14:paraId="425417DF" w14:textId="77777777" w:rsidR="00B02873" w:rsidRDefault="00B02873" w:rsidP="00E532ED">
            <w:pPr>
              <w:pStyle w:val="TablebodyleftFinancialsTables"/>
            </w:pPr>
            <w:r>
              <w:t>Bureau of Meteorology</w:t>
            </w:r>
          </w:p>
        </w:tc>
        <w:tc>
          <w:tcPr>
            <w:tcW w:w="1559" w:type="dxa"/>
          </w:tcPr>
          <w:p w14:paraId="2F249044" w14:textId="77777777" w:rsidR="00B02873" w:rsidRDefault="00B02873" w:rsidP="00E532ED">
            <w:pPr>
              <w:pStyle w:val="TablebodyleftFinancialsTables"/>
              <w:jc w:val="right"/>
            </w:pPr>
            <w:r>
              <w:t>5,424</w:t>
            </w:r>
          </w:p>
        </w:tc>
      </w:tr>
      <w:tr w:rsidR="00B02873" w:rsidRPr="00B02873" w14:paraId="4F1C88EC" w14:textId="77777777" w:rsidTr="00E532ED">
        <w:tc>
          <w:tcPr>
            <w:tcW w:w="5382" w:type="dxa"/>
          </w:tcPr>
          <w:p w14:paraId="5009F7C8" w14:textId="77777777" w:rsidR="00B02873" w:rsidRDefault="00B02873" w:rsidP="00E532ED">
            <w:pPr>
              <w:pStyle w:val="TablebodyleftFinancialsTables"/>
            </w:pPr>
            <w:r>
              <w:t xml:space="preserve">The Trustee for Pro-Invest </w:t>
            </w:r>
            <w:r>
              <w:rPr>
                <w:caps/>
              </w:rPr>
              <w:t>hie mel sb</w:t>
            </w:r>
            <w:r>
              <w:t xml:space="preserve"> Trust</w:t>
            </w:r>
          </w:p>
        </w:tc>
        <w:tc>
          <w:tcPr>
            <w:tcW w:w="1559" w:type="dxa"/>
          </w:tcPr>
          <w:p w14:paraId="297380AF" w14:textId="77777777" w:rsidR="00B02873" w:rsidRDefault="00B02873" w:rsidP="00E532ED">
            <w:pPr>
              <w:pStyle w:val="TablebodyleftFinancialsTables"/>
              <w:jc w:val="right"/>
            </w:pPr>
            <w:r>
              <w:t>5,400</w:t>
            </w:r>
          </w:p>
        </w:tc>
      </w:tr>
      <w:tr w:rsidR="00B02873" w:rsidRPr="00B02873" w14:paraId="5F891048" w14:textId="77777777" w:rsidTr="00E532ED">
        <w:tc>
          <w:tcPr>
            <w:tcW w:w="5382" w:type="dxa"/>
          </w:tcPr>
          <w:p w14:paraId="14BDAD4A" w14:textId="77777777" w:rsidR="00B02873" w:rsidRDefault="00B02873" w:rsidP="00E532ED">
            <w:pPr>
              <w:pStyle w:val="TablebodyleftFinancialsTables"/>
            </w:pPr>
            <w:r>
              <w:t>Twinkle Investments Pty Ltd</w:t>
            </w:r>
          </w:p>
        </w:tc>
        <w:tc>
          <w:tcPr>
            <w:tcW w:w="1559" w:type="dxa"/>
          </w:tcPr>
          <w:p w14:paraId="4BADA468" w14:textId="77777777" w:rsidR="00B02873" w:rsidRDefault="00B02873" w:rsidP="00E532ED">
            <w:pPr>
              <w:pStyle w:val="TablebodyleftFinancialsTables"/>
              <w:jc w:val="right"/>
            </w:pPr>
            <w:r>
              <w:t>5,215</w:t>
            </w:r>
          </w:p>
        </w:tc>
      </w:tr>
      <w:tr w:rsidR="00B02873" w:rsidRPr="00B02873" w14:paraId="5C1C77F9" w14:textId="77777777" w:rsidTr="00E532ED">
        <w:tc>
          <w:tcPr>
            <w:tcW w:w="5382" w:type="dxa"/>
          </w:tcPr>
          <w:p w14:paraId="28428694" w14:textId="77777777" w:rsidR="00B02873" w:rsidRDefault="00B02873" w:rsidP="00E532ED">
            <w:pPr>
              <w:pStyle w:val="TablebodyleftFinancialsTables"/>
            </w:pPr>
            <w:r>
              <w:t>Nillumbik Shire Council</w:t>
            </w:r>
          </w:p>
        </w:tc>
        <w:tc>
          <w:tcPr>
            <w:tcW w:w="1559" w:type="dxa"/>
          </w:tcPr>
          <w:p w14:paraId="1B31AF3D" w14:textId="77777777" w:rsidR="00B02873" w:rsidRDefault="00B02873" w:rsidP="00E532ED">
            <w:pPr>
              <w:pStyle w:val="TablebodyleftFinancialsTables"/>
              <w:jc w:val="right"/>
            </w:pPr>
            <w:r>
              <w:t>5,000</w:t>
            </w:r>
          </w:p>
        </w:tc>
      </w:tr>
      <w:tr w:rsidR="00B02873" w:rsidRPr="00B02873" w14:paraId="29736CE1" w14:textId="77777777" w:rsidTr="00E532ED">
        <w:tc>
          <w:tcPr>
            <w:tcW w:w="5382" w:type="dxa"/>
          </w:tcPr>
          <w:p w14:paraId="4B3369DE" w14:textId="77777777" w:rsidR="00B02873" w:rsidRDefault="00B02873" w:rsidP="00E532ED">
            <w:pPr>
              <w:pStyle w:val="TablebodyleftFinancialsTables"/>
            </w:pPr>
            <w:r>
              <w:t>Other &lt; $5,000</w:t>
            </w:r>
          </w:p>
        </w:tc>
        <w:tc>
          <w:tcPr>
            <w:tcW w:w="1559" w:type="dxa"/>
          </w:tcPr>
          <w:p w14:paraId="0E713E65" w14:textId="77777777" w:rsidR="00B02873" w:rsidRDefault="00B02873" w:rsidP="00E532ED">
            <w:pPr>
              <w:pStyle w:val="TablebodyleftFinancialsTables"/>
              <w:jc w:val="right"/>
            </w:pPr>
            <w:r>
              <w:t>14,973</w:t>
            </w:r>
          </w:p>
        </w:tc>
      </w:tr>
      <w:tr w:rsidR="00B02873" w:rsidRPr="00B02873" w14:paraId="205A7DA9" w14:textId="77777777" w:rsidTr="00E532ED">
        <w:tc>
          <w:tcPr>
            <w:tcW w:w="5382" w:type="dxa"/>
          </w:tcPr>
          <w:p w14:paraId="4C24B274" w14:textId="77777777" w:rsidR="00B02873" w:rsidRDefault="00B02873" w:rsidP="00E532ED">
            <w:pPr>
              <w:pStyle w:val="TablebodyleftFinancialsTables"/>
            </w:pPr>
            <w:r>
              <w:t>Return of funds</w:t>
            </w:r>
          </w:p>
        </w:tc>
        <w:tc>
          <w:tcPr>
            <w:tcW w:w="1559" w:type="dxa"/>
          </w:tcPr>
          <w:p w14:paraId="36DEE741" w14:textId="77777777" w:rsidR="00B02873" w:rsidRDefault="00B02873" w:rsidP="00E532ED">
            <w:pPr>
              <w:pStyle w:val="TablebodyleftFinancialsTables"/>
              <w:jc w:val="right"/>
            </w:pPr>
            <w:r>
              <w:t>(35,332)</w:t>
            </w:r>
          </w:p>
        </w:tc>
      </w:tr>
      <w:tr w:rsidR="00B02873" w:rsidRPr="00BC7794" w14:paraId="50645AE3" w14:textId="77777777" w:rsidTr="00E532ED">
        <w:tc>
          <w:tcPr>
            <w:tcW w:w="5382" w:type="dxa"/>
          </w:tcPr>
          <w:p w14:paraId="4A937617" w14:textId="77777777" w:rsidR="00B02873" w:rsidRPr="00BC7794" w:rsidRDefault="00B02873" w:rsidP="00E532ED">
            <w:pPr>
              <w:pStyle w:val="TablebodyleftFinancialsTables"/>
              <w:rPr>
                <w:b/>
                <w:bCs/>
              </w:rPr>
            </w:pPr>
            <w:r w:rsidRPr="00BC7794">
              <w:rPr>
                <w:b/>
                <w:bCs/>
              </w:rPr>
              <w:t>Total</w:t>
            </w:r>
          </w:p>
        </w:tc>
        <w:tc>
          <w:tcPr>
            <w:tcW w:w="1559" w:type="dxa"/>
          </w:tcPr>
          <w:p w14:paraId="162624F4" w14:textId="77777777" w:rsidR="00B02873" w:rsidRPr="00BC7794" w:rsidRDefault="00B02873" w:rsidP="00E532ED">
            <w:pPr>
              <w:pStyle w:val="TablebodyleftFinancialsTables"/>
              <w:jc w:val="right"/>
              <w:rPr>
                <w:b/>
                <w:bCs/>
              </w:rPr>
            </w:pPr>
            <w:r w:rsidRPr="00BC7794">
              <w:rPr>
                <w:b/>
                <w:bCs/>
              </w:rPr>
              <w:t xml:space="preserve">117,646,679 </w:t>
            </w:r>
          </w:p>
        </w:tc>
      </w:tr>
    </w:tbl>
    <w:p w14:paraId="34FFA3C9" w14:textId="77777777" w:rsidR="00B02873" w:rsidRDefault="00B02873" w:rsidP="00FE198A"/>
    <w:p w14:paraId="4FBBFBB0" w14:textId="0D8AB367" w:rsidR="00B02873" w:rsidRDefault="00B02873" w:rsidP="00BC7794">
      <w:pPr>
        <w:pStyle w:val="TabletitleTables"/>
      </w:pPr>
      <w:r>
        <w:t>Table 8</w:t>
      </w:r>
      <w:r w:rsidR="000C45FC">
        <w:t xml:space="preserve"> – </w:t>
      </w:r>
      <w:r>
        <w:t>Solar Homes</w:t>
      </w:r>
    </w:p>
    <w:tbl>
      <w:tblPr>
        <w:tblStyle w:val="TableGrid"/>
        <w:tblW w:w="0" w:type="auto"/>
        <w:tblLayout w:type="fixed"/>
        <w:tblLook w:val="0020" w:firstRow="1" w:lastRow="0" w:firstColumn="0" w:lastColumn="0" w:noHBand="0" w:noVBand="0"/>
      </w:tblPr>
      <w:tblGrid>
        <w:gridCol w:w="5382"/>
        <w:gridCol w:w="1559"/>
      </w:tblGrid>
      <w:tr w:rsidR="00B02873" w:rsidRPr="00B02873" w14:paraId="06CDC8F8" w14:textId="77777777" w:rsidTr="00BC7794">
        <w:trPr>
          <w:cnfStyle w:val="100000000000" w:firstRow="1" w:lastRow="0" w:firstColumn="0" w:lastColumn="0" w:oddVBand="0" w:evenVBand="0" w:oddHBand="0" w:evenHBand="0" w:firstRowFirstColumn="0" w:firstRowLastColumn="0" w:lastRowFirstColumn="0" w:lastRowLastColumn="0"/>
          <w:tblHeader/>
        </w:trPr>
        <w:tc>
          <w:tcPr>
            <w:tcW w:w="5382" w:type="dxa"/>
          </w:tcPr>
          <w:p w14:paraId="79B371D7" w14:textId="77777777" w:rsidR="00B02873" w:rsidRDefault="00B02873" w:rsidP="00BC7794">
            <w:pPr>
              <w:pStyle w:val="TableheadingleftFinancialsTables"/>
            </w:pPr>
            <w:r>
              <w:t>Grant recipient</w:t>
            </w:r>
          </w:p>
        </w:tc>
        <w:tc>
          <w:tcPr>
            <w:tcW w:w="1559" w:type="dxa"/>
          </w:tcPr>
          <w:p w14:paraId="74233C50" w14:textId="77777777" w:rsidR="00B02873" w:rsidRDefault="00B02873" w:rsidP="00BC7794">
            <w:pPr>
              <w:pStyle w:val="TableheadingleftFinancialsTables"/>
              <w:jc w:val="right"/>
            </w:pPr>
            <w:r>
              <w:t>$</w:t>
            </w:r>
          </w:p>
        </w:tc>
      </w:tr>
      <w:tr w:rsidR="00B02873" w:rsidRPr="00B02873" w14:paraId="31907302" w14:textId="77777777" w:rsidTr="00BC7794">
        <w:tc>
          <w:tcPr>
            <w:tcW w:w="5382" w:type="dxa"/>
          </w:tcPr>
          <w:p w14:paraId="1FA387F8" w14:textId="77777777" w:rsidR="00B02873" w:rsidRDefault="00B02873" w:rsidP="00BC7794">
            <w:pPr>
              <w:pStyle w:val="TablebodyleftFinancialsTables"/>
            </w:pPr>
            <w:r>
              <w:t>Recipients of Solar Victoria Rebate Programs</w:t>
            </w:r>
          </w:p>
        </w:tc>
        <w:tc>
          <w:tcPr>
            <w:tcW w:w="1559" w:type="dxa"/>
          </w:tcPr>
          <w:p w14:paraId="5FA3FF92" w14:textId="77777777" w:rsidR="00B02873" w:rsidRDefault="00B02873" w:rsidP="00BC7794">
            <w:pPr>
              <w:pStyle w:val="TablebodyleftFinancialsTables"/>
              <w:jc w:val="right"/>
            </w:pPr>
            <w:r>
              <w:t>110,756,643</w:t>
            </w:r>
          </w:p>
        </w:tc>
      </w:tr>
      <w:tr w:rsidR="00B02873" w:rsidRPr="00B02873" w14:paraId="25DA322D" w14:textId="77777777" w:rsidTr="00BC7794">
        <w:tc>
          <w:tcPr>
            <w:tcW w:w="5382" w:type="dxa"/>
          </w:tcPr>
          <w:p w14:paraId="0D98EDF2" w14:textId="77777777" w:rsidR="00B02873" w:rsidRDefault="00B02873" w:rsidP="00BC7794">
            <w:pPr>
              <w:pStyle w:val="TablebodyleftFinancialsTables"/>
            </w:pPr>
            <w:r>
              <w:rPr>
                <w:spacing w:val="-6"/>
              </w:rPr>
              <w:t>Service Victoria</w:t>
            </w:r>
          </w:p>
        </w:tc>
        <w:tc>
          <w:tcPr>
            <w:tcW w:w="1559" w:type="dxa"/>
          </w:tcPr>
          <w:p w14:paraId="3EED04B4" w14:textId="77777777" w:rsidR="00B02873" w:rsidRDefault="00B02873" w:rsidP="00BC7794">
            <w:pPr>
              <w:pStyle w:val="TablebodyleftFinancialsTables"/>
              <w:jc w:val="right"/>
            </w:pPr>
            <w:r>
              <w:t>2,260,529</w:t>
            </w:r>
          </w:p>
        </w:tc>
      </w:tr>
      <w:tr w:rsidR="00B02873" w:rsidRPr="00B02873" w14:paraId="75F3AEC6" w14:textId="77777777" w:rsidTr="00BC7794">
        <w:tc>
          <w:tcPr>
            <w:tcW w:w="5382" w:type="dxa"/>
          </w:tcPr>
          <w:p w14:paraId="3EC3B872" w14:textId="77777777" w:rsidR="00B02873" w:rsidRDefault="00B02873" w:rsidP="00BC7794">
            <w:pPr>
              <w:pStyle w:val="TablebodyleftFinancialsTables"/>
            </w:pPr>
            <w:r>
              <w:t>AGA Apprenticeships Plus</w:t>
            </w:r>
          </w:p>
        </w:tc>
        <w:tc>
          <w:tcPr>
            <w:tcW w:w="1559" w:type="dxa"/>
          </w:tcPr>
          <w:p w14:paraId="7587CDEB" w14:textId="77777777" w:rsidR="00B02873" w:rsidRDefault="00B02873" w:rsidP="00BC7794">
            <w:pPr>
              <w:pStyle w:val="TablebodyleftFinancialsTables"/>
              <w:jc w:val="right"/>
            </w:pPr>
            <w:r>
              <w:t>696,741</w:t>
            </w:r>
          </w:p>
        </w:tc>
      </w:tr>
      <w:tr w:rsidR="00B02873" w:rsidRPr="00B02873" w14:paraId="122D4B5F" w14:textId="77777777" w:rsidTr="00BC7794">
        <w:tc>
          <w:tcPr>
            <w:tcW w:w="5382" w:type="dxa"/>
          </w:tcPr>
          <w:p w14:paraId="2084CC41" w14:textId="77777777" w:rsidR="00B02873" w:rsidRDefault="00B02873" w:rsidP="00BC7794">
            <w:pPr>
              <w:pStyle w:val="TablebodyleftFinancialsTables"/>
            </w:pPr>
            <w:r>
              <w:t>AI Group Apprentice and Trainee Centre</w:t>
            </w:r>
          </w:p>
        </w:tc>
        <w:tc>
          <w:tcPr>
            <w:tcW w:w="1559" w:type="dxa"/>
          </w:tcPr>
          <w:p w14:paraId="219CA9DD" w14:textId="77777777" w:rsidR="00B02873" w:rsidRDefault="00B02873" w:rsidP="00BC7794">
            <w:pPr>
              <w:pStyle w:val="TablebodyleftFinancialsTables"/>
              <w:jc w:val="right"/>
            </w:pPr>
            <w:r>
              <w:t>200,000</w:t>
            </w:r>
          </w:p>
        </w:tc>
      </w:tr>
      <w:tr w:rsidR="00B02873" w:rsidRPr="00B02873" w14:paraId="558ACD2B" w14:textId="77777777" w:rsidTr="00BC7794">
        <w:tc>
          <w:tcPr>
            <w:tcW w:w="5382" w:type="dxa"/>
          </w:tcPr>
          <w:p w14:paraId="6EB124F2" w14:textId="77777777" w:rsidR="00B02873" w:rsidRDefault="00B02873" w:rsidP="00BC7794">
            <w:pPr>
              <w:pStyle w:val="TablebodyleftFinancialsTables"/>
            </w:pPr>
            <w:r>
              <w:t>Housing Choices Australia</w:t>
            </w:r>
          </w:p>
        </w:tc>
        <w:tc>
          <w:tcPr>
            <w:tcW w:w="1559" w:type="dxa"/>
          </w:tcPr>
          <w:p w14:paraId="1CE342EA" w14:textId="77777777" w:rsidR="00B02873" w:rsidRDefault="00B02873" w:rsidP="00BC7794">
            <w:pPr>
              <w:pStyle w:val="TablebodyleftFinancialsTables"/>
              <w:jc w:val="right"/>
            </w:pPr>
            <w:r>
              <w:t>148,363</w:t>
            </w:r>
          </w:p>
        </w:tc>
      </w:tr>
      <w:tr w:rsidR="00B02873" w:rsidRPr="00B02873" w14:paraId="3D553BC4" w14:textId="77777777" w:rsidTr="00BC7794">
        <w:tc>
          <w:tcPr>
            <w:tcW w:w="5382" w:type="dxa"/>
          </w:tcPr>
          <w:p w14:paraId="48EDD35F" w14:textId="77777777" w:rsidR="00B02873" w:rsidRDefault="00B02873" w:rsidP="00BC7794">
            <w:pPr>
              <w:pStyle w:val="TablebodyleftFinancialsTables"/>
            </w:pPr>
            <w:r>
              <w:t>Holmesglen Institute</w:t>
            </w:r>
          </w:p>
        </w:tc>
        <w:tc>
          <w:tcPr>
            <w:tcW w:w="1559" w:type="dxa"/>
          </w:tcPr>
          <w:p w14:paraId="66D2BACD" w14:textId="77777777" w:rsidR="00B02873" w:rsidRDefault="00B02873" w:rsidP="00BC7794">
            <w:pPr>
              <w:pStyle w:val="TablebodyleftFinancialsTables"/>
              <w:jc w:val="right"/>
            </w:pPr>
            <w:r>
              <w:t>77,998</w:t>
            </w:r>
          </w:p>
        </w:tc>
      </w:tr>
      <w:tr w:rsidR="00B02873" w:rsidRPr="00B02873" w14:paraId="437380A1" w14:textId="77777777" w:rsidTr="00BC7794">
        <w:tc>
          <w:tcPr>
            <w:tcW w:w="5382" w:type="dxa"/>
          </w:tcPr>
          <w:p w14:paraId="09E29A42" w14:textId="77777777" w:rsidR="00B02873" w:rsidRDefault="00B02873" w:rsidP="00BC7794">
            <w:pPr>
              <w:pStyle w:val="TablebodyleftFinancialsTables"/>
            </w:pPr>
            <w:r>
              <w:t>Department of Families, Fairness and Housing (Victoria)</w:t>
            </w:r>
          </w:p>
        </w:tc>
        <w:tc>
          <w:tcPr>
            <w:tcW w:w="1559" w:type="dxa"/>
          </w:tcPr>
          <w:p w14:paraId="55449777" w14:textId="77777777" w:rsidR="00B02873" w:rsidRDefault="00B02873" w:rsidP="00BC7794">
            <w:pPr>
              <w:pStyle w:val="TablebodyleftFinancialsTables"/>
              <w:jc w:val="right"/>
            </w:pPr>
            <w:r>
              <w:t>61,200</w:t>
            </w:r>
          </w:p>
        </w:tc>
      </w:tr>
      <w:tr w:rsidR="00B02873" w:rsidRPr="00B02873" w14:paraId="70938467" w14:textId="77777777" w:rsidTr="00BC7794">
        <w:tc>
          <w:tcPr>
            <w:tcW w:w="5382" w:type="dxa"/>
          </w:tcPr>
          <w:p w14:paraId="411A7682" w14:textId="77777777" w:rsidR="00B02873" w:rsidRDefault="00B02873" w:rsidP="00BC7794">
            <w:pPr>
              <w:pStyle w:val="TablebodyleftFinancialsTables"/>
            </w:pPr>
            <w:r>
              <w:t>Uniting Housing (Victoria) Limited</w:t>
            </w:r>
          </w:p>
        </w:tc>
        <w:tc>
          <w:tcPr>
            <w:tcW w:w="1559" w:type="dxa"/>
          </w:tcPr>
          <w:p w14:paraId="2F4120C9" w14:textId="77777777" w:rsidR="00B02873" w:rsidRDefault="00B02873" w:rsidP="00BC7794">
            <w:pPr>
              <w:pStyle w:val="TablebodyleftFinancialsTables"/>
              <w:jc w:val="right"/>
            </w:pPr>
            <w:r>
              <w:t>53,096</w:t>
            </w:r>
          </w:p>
        </w:tc>
      </w:tr>
      <w:tr w:rsidR="00B02873" w:rsidRPr="00B02873" w14:paraId="2170706A" w14:textId="77777777" w:rsidTr="00BC7794">
        <w:tc>
          <w:tcPr>
            <w:tcW w:w="5382" w:type="dxa"/>
          </w:tcPr>
          <w:p w14:paraId="664B44E6" w14:textId="77777777" w:rsidR="00B02873" w:rsidRDefault="00B02873" w:rsidP="00BC7794">
            <w:pPr>
              <w:pStyle w:val="TablebodyleftFinancialsTables"/>
            </w:pPr>
            <w:r>
              <w:t>Solar Training Centre</w:t>
            </w:r>
          </w:p>
        </w:tc>
        <w:tc>
          <w:tcPr>
            <w:tcW w:w="1559" w:type="dxa"/>
          </w:tcPr>
          <w:p w14:paraId="709F1188" w14:textId="77777777" w:rsidR="00B02873" w:rsidRDefault="00B02873" w:rsidP="00BC7794">
            <w:pPr>
              <w:pStyle w:val="TablebodyleftFinancialsTables"/>
              <w:jc w:val="right"/>
            </w:pPr>
            <w:r>
              <w:t>53,095</w:t>
            </w:r>
          </w:p>
        </w:tc>
      </w:tr>
      <w:tr w:rsidR="00B02873" w:rsidRPr="00B02873" w14:paraId="163BA316" w14:textId="77777777" w:rsidTr="00BC7794">
        <w:tc>
          <w:tcPr>
            <w:tcW w:w="5382" w:type="dxa"/>
          </w:tcPr>
          <w:p w14:paraId="71955C76" w14:textId="77777777" w:rsidR="00B02873" w:rsidRDefault="00B02873" w:rsidP="00BC7794">
            <w:pPr>
              <w:pStyle w:val="TablebodyleftFinancialsTables"/>
            </w:pPr>
            <w:r>
              <w:t>Department of Premier and Cabinet (Victoria)</w:t>
            </w:r>
          </w:p>
        </w:tc>
        <w:tc>
          <w:tcPr>
            <w:tcW w:w="1559" w:type="dxa"/>
          </w:tcPr>
          <w:p w14:paraId="0A08FF6D" w14:textId="77777777" w:rsidR="00B02873" w:rsidRDefault="00B02873" w:rsidP="00BC7794">
            <w:pPr>
              <w:pStyle w:val="TablebodyleftFinancialsTables"/>
              <w:jc w:val="right"/>
            </w:pPr>
            <w:r>
              <w:t>31,152</w:t>
            </w:r>
          </w:p>
        </w:tc>
      </w:tr>
      <w:tr w:rsidR="00B02873" w:rsidRPr="00B02873" w14:paraId="0FA9D7A4" w14:textId="77777777" w:rsidTr="00BC7794">
        <w:tc>
          <w:tcPr>
            <w:tcW w:w="5382" w:type="dxa"/>
          </w:tcPr>
          <w:p w14:paraId="08EC3619" w14:textId="77777777" w:rsidR="00B02873" w:rsidRDefault="00B02873" w:rsidP="00BC7794">
            <w:pPr>
              <w:pStyle w:val="TablebodyleftFinancialsTables"/>
            </w:pPr>
            <w:r>
              <w:t>The Institute of Electrotechnology</w:t>
            </w:r>
          </w:p>
        </w:tc>
        <w:tc>
          <w:tcPr>
            <w:tcW w:w="1559" w:type="dxa"/>
          </w:tcPr>
          <w:p w14:paraId="68E40BE9" w14:textId="77777777" w:rsidR="00B02873" w:rsidRDefault="00B02873" w:rsidP="00BC7794">
            <w:pPr>
              <w:pStyle w:val="TablebodyleftFinancialsTables"/>
              <w:jc w:val="right"/>
            </w:pPr>
            <w:r>
              <w:t>29,828</w:t>
            </w:r>
          </w:p>
        </w:tc>
      </w:tr>
      <w:tr w:rsidR="00B02873" w:rsidRPr="00B02873" w14:paraId="2B9B3392" w14:textId="77777777" w:rsidTr="00BC7794">
        <w:tc>
          <w:tcPr>
            <w:tcW w:w="5382" w:type="dxa"/>
          </w:tcPr>
          <w:p w14:paraId="01C27AEF" w14:textId="77777777" w:rsidR="00B02873" w:rsidRDefault="00B02873" w:rsidP="00BC7794">
            <w:pPr>
              <w:pStyle w:val="TablebodyleftFinancialsTables"/>
            </w:pPr>
            <w:r>
              <w:t>Chisholm Institute</w:t>
            </w:r>
          </w:p>
        </w:tc>
        <w:tc>
          <w:tcPr>
            <w:tcW w:w="1559" w:type="dxa"/>
          </w:tcPr>
          <w:p w14:paraId="1CF2D9D3" w14:textId="77777777" w:rsidR="00B02873" w:rsidRDefault="00B02873" w:rsidP="00BC7794">
            <w:pPr>
              <w:pStyle w:val="TablebodyleftFinancialsTables"/>
              <w:jc w:val="right"/>
            </w:pPr>
            <w:r>
              <w:t>23,352</w:t>
            </w:r>
          </w:p>
        </w:tc>
      </w:tr>
      <w:tr w:rsidR="00B02873" w:rsidRPr="00B02873" w14:paraId="14E6C57E" w14:textId="77777777" w:rsidTr="00BC7794">
        <w:tc>
          <w:tcPr>
            <w:tcW w:w="5382" w:type="dxa"/>
          </w:tcPr>
          <w:p w14:paraId="7C163031" w14:textId="77777777" w:rsidR="00B02873" w:rsidRDefault="00B02873" w:rsidP="00BC7794">
            <w:pPr>
              <w:pStyle w:val="TablebodyleftFinancialsTables"/>
            </w:pPr>
            <w:r>
              <w:t>Earth Common Equity Rental Housing Co-Operative Ltd</w:t>
            </w:r>
          </w:p>
        </w:tc>
        <w:tc>
          <w:tcPr>
            <w:tcW w:w="1559" w:type="dxa"/>
          </w:tcPr>
          <w:p w14:paraId="7A43C4EE" w14:textId="77777777" w:rsidR="00B02873" w:rsidRDefault="00B02873" w:rsidP="00BC7794">
            <w:pPr>
              <w:pStyle w:val="TablebodyleftFinancialsTables"/>
              <w:jc w:val="right"/>
            </w:pPr>
            <w:r>
              <w:t>21,700</w:t>
            </w:r>
          </w:p>
        </w:tc>
      </w:tr>
      <w:tr w:rsidR="00B02873" w:rsidRPr="00B02873" w14:paraId="34DF8AD5" w14:textId="77777777" w:rsidTr="00BC7794">
        <w:tc>
          <w:tcPr>
            <w:tcW w:w="5382" w:type="dxa"/>
          </w:tcPr>
          <w:p w14:paraId="74331CF5" w14:textId="77777777" w:rsidR="00B02873" w:rsidRDefault="00B02873" w:rsidP="00BC7794">
            <w:pPr>
              <w:pStyle w:val="TablebodyleftFinancialsTables"/>
            </w:pPr>
            <w:r>
              <w:t>Beyond Housing</w:t>
            </w:r>
          </w:p>
        </w:tc>
        <w:tc>
          <w:tcPr>
            <w:tcW w:w="1559" w:type="dxa"/>
          </w:tcPr>
          <w:p w14:paraId="67EAC6F5" w14:textId="77777777" w:rsidR="00B02873" w:rsidRDefault="00B02873" w:rsidP="00BC7794">
            <w:pPr>
              <w:pStyle w:val="TablebodyleftFinancialsTables"/>
              <w:jc w:val="right"/>
            </w:pPr>
            <w:r>
              <w:t>20,350</w:t>
            </w:r>
          </w:p>
        </w:tc>
      </w:tr>
      <w:tr w:rsidR="00B02873" w:rsidRPr="00B02873" w14:paraId="355D9656" w14:textId="77777777" w:rsidTr="00BC7794">
        <w:tc>
          <w:tcPr>
            <w:tcW w:w="5382" w:type="dxa"/>
          </w:tcPr>
          <w:p w14:paraId="7EDDE172" w14:textId="77777777" w:rsidR="00B02873" w:rsidRDefault="00B02873" w:rsidP="00BC7794">
            <w:pPr>
              <w:pStyle w:val="TablebodyleftFinancialsTables"/>
            </w:pPr>
            <w:r>
              <w:t>Bendigo Kangan Institute</w:t>
            </w:r>
          </w:p>
        </w:tc>
        <w:tc>
          <w:tcPr>
            <w:tcW w:w="1559" w:type="dxa"/>
          </w:tcPr>
          <w:p w14:paraId="211ECAFA" w14:textId="77777777" w:rsidR="00B02873" w:rsidRDefault="00B02873" w:rsidP="00BC7794">
            <w:pPr>
              <w:pStyle w:val="TablebodyleftFinancialsTables"/>
              <w:jc w:val="right"/>
            </w:pPr>
            <w:r>
              <w:t>18,132</w:t>
            </w:r>
          </w:p>
        </w:tc>
      </w:tr>
      <w:tr w:rsidR="00B02873" w:rsidRPr="00B02873" w14:paraId="63325441" w14:textId="77777777" w:rsidTr="00BC7794">
        <w:tc>
          <w:tcPr>
            <w:tcW w:w="5382" w:type="dxa"/>
          </w:tcPr>
          <w:p w14:paraId="625D3FF3" w14:textId="77777777" w:rsidR="00B02873" w:rsidRDefault="00B02873" w:rsidP="00BC7794">
            <w:pPr>
              <w:pStyle w:val="TablebodyleftFinancialsTables"/>
            </w:pPr>
            <w:r>
              <w:t>Centre for U</w:t>
            </w:r>
          </w:p>
        </w:tc>
        <w:tc>
          <w:tcPr>
            <w:tcW w:w="1559" w:type="dxa"/>
          </w:tcPr>
          <w:p w14:paraId="2E6B3DE5" w14:textId="77777777" w:rsidR="00B02873" w:rsidRDefault="00B02873" w:rsidP="00BC7794">
            <w:pPr>
              <w:pStyle w:val="TablebodyleftFinancialsTables"/>
              <w:jc w:val="right"/>
            </w:pPr>
            <w:r>
              <w:t>15,969</w:t>
            </w:r>
          </w:p>
        </w:tc>
      </w:tr>
      <w:tr w:rsidR="00B02873" w:rsidRPr="00B02873" w14:paraId="444C105D" w14:textId="77777777" w:rsidTr="00BC7794">
        <w:tc>
          <w:tcPr>
            <w:tcW w:w="5382" w:type="dxa"/>
          </w:tcPr>
          <w:p w14:paraId="1CD72831" w14:textId="77777777" w:rsidR="00B02873" w:rsidRDefault="00B02873" w:rsidP="00BC7794">
            <w:pPr>
              <w:pStyle w:val="TablebodyleftFinancialsTables"/>
            </w:pPr>
            <w:r>
              <w:t>TAFE Gippsland</w:t>
            </w:r>
          </w:p>
        </w:tc>
        <w:tc>
          <w:tcPr>
            <w:tcW w:w="1559" w:type="dxa"/>
          </w:tcPr>
          <w:p w14:paraId="052DACD5" w14:textId="77777777" w:rsidR="00B02873" w:rsidRDefault="00B02873" w:rsidP="00BC7794">
            <w:pPr>
              <w:pStyle w:val="TablebodyleftFinancialsTables"/>
              <w:jc w:val="right"/>
            </w:pPr>
            <w:r>
              <w:t>15,336</w:t>
            </w:r>
          </w:p>
        </w:tc>
      </w:tr>
      <w:tr w:rsidR="00B02873" w:rsidRPr="00B02873" w14:paraId="3969FD7E" w14:textId="77777777" w:rsidTr="00BC7794">
        <w:tc>
          <w:tcPr>
            <w:tcW w:w="5382" w:type="dxa"/>
          </w:tcPr>
          <w:p w14:paraId="351CA756" w14:textId="77777777" w:rsidR="00B02873" w:rsidRDefault="00B02873" w:rsidP="00BC7794">
            <w:pPr>
              <w:pStyle w:val="TablebodyleftFinancialsTables"/>
            </w:pPr>
            <w:r>
              <w:t>Box Hill Institute</w:t>
            </w:r>
          </w:p>
        </w:tc>
        <w:tc>
          <w:tcPr>
            <w:tcW w:w="1559" w:type="dxa"/>
          </w:tcPr>
          <w:p w14:paraId="274C6922" w14:textId="77777777" w:rsidR="00B02873" w:rsidRDefault="00B02873" w:rsidP="00BC7794">
            <w:pPr>
              <w:pStyle w:val="TablebodyleftFinancialsTables"/>
              <w:jc w:val="right"/>
            </w:pPr>
            <w:r>
              <w:t>6,918</w:t>
            </w:r>
          </w:p>
        </w:tc>
      </w:tr>
      <w:tr w:rsidR="00B02873" w:rsidRPr="00B02873" w14:paraId="55818202" w14:textId="77777777" w:rsidTr="00BC7794">
        <w:tc>
          <w:tcPr>
            <w:tcW w:w="5382" w:type="dxa"/>
          </w:tcPr>
          <w:p w14:paraId="322E90D5" w14:textId="77777777" w:rsidR="00B02873" w:rsidRDefault="00B02873" w:rsidP="00BC7794">
            <w:pPr>
              <w:pStyle w:val="TablebodyleftFinancialsTables"/>
            </w:pPr>
            <w:r>
              <w:t>Other &lt; $5,000</w:t>
            </w:r>
          </w:p>
        </w:tc>
        <w:tc>
          <w:tcPr>
            <w:tcW w:w="1559" w:type="dxa"/>
          </w:tcPr>
          <w:p w14:paraId="3F770ED9" w14:textId="77777777" w:rsidR="00B02873" w:rsidRDefault="00B02873" w:rsidP="00BC7794">
            <w:pPr>
              <w:pStyle w:val="TablebodyleftFinancialsTables"/>
              <w:jc w:val="right"/>
            </w:pPr>
            <w:r>
              <w:t>21,892</w:t>
            </w:r>
          </w:p>
        </w:tc>
      </w:tr>
      <w:tr w:rsidR="00B02873" w:rsidRPr="00B02873" w14:paraId="29AEA70E" w14:textId="77777777" w:rsidTr="00BC7794">
        <w:tc>
          <w:tcPr>
            <w:tcW w:w="5382" w:type="dxa"/>
          </w:tcPr>
          <w:p w14:paraId="64656522" w14:textId="77777777" w:rsidR="00B02873" w:rsidRDefault="00B02873" w:rsidP="00BC7794">
            <w:pPr>
              <w:pStyle w:val="TablebodyleftFinancialsTables"/>
            </w:pPr>
            <w:r>
              <w:t>Return of funds</w:t>
            </w:r>
          </w:p>
        </w:tc>
        <w:tc>
          <w:tcPr>
            <w:tcW w:w="1559" w:type="dxa"/>
          </w:tcPr>
          <w:p w14:paraId="20E5C476" w14:textId="77777777" w:rsidR="00B02873" w:rsidRDefault="00B02873" w:rsidP="00BC7794">
            <w:pPr>
              <w:pStyle w:val="TablebodyleftFinancialsTables"/>
              <w:jc w:val="right"/>
            </w:pPr>
            <w:r>
              <w:t>(6,721)</w:t>
            </w:r>
          </w:p>
        </w:tc>
      </w:tr>
      <w:tr w:rsidR="00B02873" w:rsidRPr="00BC7794" w14:paraId="760CC888" w14:textId="77777777" w:rsidTr="00BC7794">
        <w:tc>
          <w:tcPr>
            <w:tcW w:w="5382" w:type="dxa"/>
          </w:tcPr>
          <w:p w14:paraId="2C4B82CD" w14:textId="77777777" w:rsidR="00B02873" w:rsidRPr="00BC7794" w:rsidRDefault="00B02873" w:rsidP="00BC7794">
            <w:pPr>
              <w:pStyle w:val="TablebodyleftFinancialsTables"/>
              <w:rPr>
                <w:b/>
                <w:bCs/>
              </w:rPr>
            </w:pPr>
            <w:r w:rsidRPr="00BC7794">
              <w:rPr>
                <w:b/>
                <w:bCs/>
              </w:rPr>
              <w:t>Total</w:t>
            </w:r>
          </w:p>
        </w:tc>
        <w:tc>
          <w:tcPr>
            <w:tcW w:w="1559" w:type="dxa"/>
          </w:tcPr>
          <w:p w14:paraId="67E5CD95" w14:textId="77777777" w:rsidR="00B02873" w:rsidRPr="00BC7794" w:rsidRDefault="00B02873" w:rsidP="00BC7794">
            <w:pPr>
              <w:pStyle w:val="TablebodyleftFinancialsTables"/>
              <w:jc w:val="right"/>
              <w:rPr>
                <w:b/>
                <w:bCs/>
              </w:rPr>
            </w:pPr>
            <w:r w:rsidRPr="00BC7794">
              <w:rPr>
                <w:b/>
                <w:bCs/>
              </w:rPr>
              <w:t>114,505,573</w:t>
            </w:r>
          </w:p>
        </w:tc>
      </w:tr>
    </w:tbl>
    <w:p w14:paraId="63760FD3" w14:textId="77777777" w:rsidR="00B02873" w:rsidRDefault="00B02873" w:rsidP="00FE198A"/>
    <w:p w14:paraId="0AD85907" w14:textId="359DF215" w:rsidR="00B02873" w:rsidRDefault="00B02873" w:rsidP="00BC7794">
      <w:pPr>
        <w:pStyle w:val="TabletitleTables"/>
      </w:pPr>
      <w:r>
        <w:lastRenderedPageBreak/>
        <w:t>Table 9</w:t>
      </w:r>
      <w:r w:rsidR="000C45FC">
        <w:t xml:space="preserve"> – </w:t>
      </w:r>
      <w:r>
        <w:t>Land Use Victoria</w:t>
      </w:r>
    </w:p>
    <w:tbl>
      <w:tblPr>
        <w:tblStyle w:val="TableGrid"/>
        <w:tblW w:w="0" w:type="auto"/>
        <w:tblLayout w:type="fixed"/>
        <w:tblLook w:val="0020" w:firstRow="1" w:lastRow="0" w:firstColumn="0" w:lastColumn="0" w:noHBand="0" w:noVBand="0"/>
      </w:tblPr>
      <w:tblGrid>
        <w:gridCol w:w="5382"/>
        <w:gridCol w:w="1559"/>
      </w:tblGrid>
      <w:tr w:rsidR="00B02873" w:rsidRPr="00B02873" w14:paraId="4B22CA66" w14:textId="77777777" w:rsidTr="00BC7794">
        <w:trPr>
          <w:cnfStyle w:val="100000000000" w:firstRow="1" w:lastRow="0" w:firstColumn="0" w:lastColumn="0" w:oddVBand="0" w:evenVBand="0" w:oddHBand="0" w:evenHBand="0" w:firstRowFirstColumn="0" w:firstRowLastColumn="0" w:lastRowFirstColumn="0" w:lastRowLastColumn="0"/>
          <w:trHeight w:val="60"/>
          <w:tblHeader/>
        </w:trPr>
        <w:tc>
          <w:tcPr>
            <w:tcW w:w="5382" w:type="dxa"/>
          </w:tcPr>
          <w:p w14:paraId="28DC2042" w14:textId="77777777" w:rsidR="00B02873" w:rsidRDefault="00B02873" w:rsidP="00BC7794">
            <w:pPr>
              <w:pStyle w:val="TableheadingleftFinancialsTables"/>
            </w:pPr>
            <w:r>
              <w:t>Grant recipient</w:t>
            </w:r>
          </w:p>
        </w:tc>
        <w:tc>
          <w:tcPr>
            <w:tcW w:w="1559" w:type="dxa"/>
          </w:tcPr>
          <w:p w14:paraId="1FCE5F17" w14:textId="77777777" w:rsidR="00B02873" w:rsidRDefault="00B02873" w:rsidP="00BC7794">
            <w:pPr>
              <w:pStyle w:val="TableheadingleftFinancialsTables"/>
              <w:jc w:val="right"/>
            </w:pPr>
            <w:r>
              <w:t>$</w:t>
            </w:r>
          </w:p>
        </w:tc>
      </w:tr>
      <w:tr w:rsidR="00B02873" w:rsidRPr="00B02873" w14:paraId="4ADC4A99" w14:textId="77777777" w:rsidTr="00BC7794">
        <w:trPr>
          <w:trHeight w:val="60"/>
        </w:trPr>
        <w:tc>
          <w:tcPr>
            <w:tcW w:w="5382" w:type="dxa"/>
          </w:tcPr>
          <w:p w14:paraId="10BB8B1E" w14:textId="77777777" w:rsidR="00B02873" w:rsidRDefault="00B02873" w:rsidP="00BC7794">
            <w:pPr>
              <w:pStyle w:val="TablebodyleftFinancialsTables"/>
            </w:pPr>
            <w:r>
              <w:t>Ararat Rural City Council</w:t>
            </w:r>
          </w:p>
        </w:tc>
        <w:tc>
          <w:tcPr>
            <w:tcW w:w="1559" w:type="dxa"/>
          </w:tcPr>
          <w:p w14:paraId="05D4AC22" w14:textId="77777777" w:rsidR="00B02873" w:rsidRDefault="00B02873" w:rsidP="00BC7794">
            <w:pPr>
              <w:pStyle w:val="TablebodyleftFinancialsTables"/>
              <w:jc w:val="right"/>
            </w:pPr>
            <w:r>
              <w:t>1,000,000</w:t>
            </w:r>
          </w:p>
        </w:tc>
      </w:tr>
      <w:tr w:rsidR="00B02873" w:rsidRPr="00B02873" w14:paraId="025BDA40" w14:textId="77777777" w:rsidTr="00BC7794">
        <w:trPr>
          <w:trHeight w:val="60"/>
        </w:trPr>
        <w:tc>
          <w:tcPr>
            <w:tcW w:w="5382" w:type="dxa"/>
          </w:tcPr>
          <w:p w14:paraId="0026BCE8" w14:textId="77777777" w:rsidR="00B02873" w:rsidRDefault="00B02873" w:rsidP="00BC7794">
            <w:pPr>
              <w:pStyle w:val="TablebodyleftFinancialsTables"/>
            </w:pPr>
            <w:r>
              <w:t>Development Victoria</w:t>
            </w:r>
          </w:p>
        </w:tc>
        <w:tc>
          <w:tcPr>
            <w:tcW w:w="1559" w:type="dxa"/>
          </w:tcPr>
          <w:p w14:paraId="6929C448" w14:textId="77777777" w:rsidR="00B02873" w:rsidRDefault="00B02873" w:rsidP="00BC7794">
            <w:pPr>
              <w:pStyle w:val="TablebodyleftFinancialsTables"/>
              <w:jc w:val="right"/>
            </w:pPr>
            <w:r>
              <w:t>339,556</w:t>
            </w:r>
          </w:p>
        </w:tc>
      </w:tr>
      <w:tr w:rsidR="00B02873" w:rsidRPr="00B02873" w14:paraId="35A593AD" w14:textId="77777777" w:rsidTr="00BC7794">
        <w:trPr>
          <w:trHeight w:val="60"/>
        </w:trPr>
        <w:tc>
          <w:tcPr>
            <w:tcW w:w="5382" w:type="dxa"/>
          </w:tcPr>
          <w:p w14:paraId="18D06DD1" w14:textId="77777777" w:rsidR="00B02873" w:rsidRDefault="00B02873" w:rsidP="00BC7794">
            <w:pPr>
              <w:pStyle w:val="TablebodyleftFinancialsTables"/>
            </w:pPr>
            <w:r>
              <w:rPr>
                <w:spacing w:val="-5"/>
              </w:rPr>
              <w:t>Department of Transport (Victoria)</w:t>
            </w:r>
          </w:p>
        </w:tc>
        <w:tc>
          <w:tcPr>
            <w:tcW w:w="1559" w:type="dxa"/>
          </w:tcPr>
          <w:p w14:paraId="0F11B6FC" w14:textId="77777777" w:rsidR="00B02873" w:rsidRDefault="00B02873" w:rsidP="00BC7794">
            <w:pPr>
              <w:pStyle w:val="TablebodyleftFinancialsTables"/>
              <w:jc w:val="right"/>
            </w:pPr>
            <w:r>
              <w:t>209,332</w:t>
            </w:r>
          </w:p>
        </w:tc>
      </w:tr>
      <w:tr w:rsidR="00B02873" w:rsidRPr="00B02873" w14:paraId="1F6A3112" w14:textId="77777777" w:rsidTr="00BC7794">
        <w:trPr>
          <w:trHeight w:val="60"/>
        </w:trPr>
        <w:tc>
          <w:tcPr>
            <w:tcW w:w="5382" w:type="dxa"/>
          </w:tcPr>
          <w:p w14:paraId="2C1F1B2E" w14:textId="77777777" w:rsidR="00B02873" w:rsidRDefault="00B02873" w:rsidP="00BC7794">
            <w:pPr>
              <w:pStyle w:val="TablebodyleftFinancialsTables"/>
            </w:pPr>
            <w:r>
              <w:t>Gender Equity Victoria (Gen Vic)</w:t>
            </w:r>
          </w:p>
        </w:tc>
        <w:tc>
          <w:tcPr>
            <w:tcW w:w="1559" w:type="dxa"/>
          </w:tcPr>
          <w:p w14:paraId="40628A8E" w14:textId="77777777" w:rsidR="00B02873" w:rsidRDefault="00B02873" w:rsidP="00BC7794">
            <w:pPr>
              <w:pStyle w:val="TablebodyleftFinancialsTables"/>
              <w:jc w:val="right"/>
            </w:pPr>
            <w:r>
              <w:t>90,580</w:t>
            </w:r>
          </w:p>
        </w:tc>
      </w:tr>
      <w:tr w:rsidR="00B02873" w:rsidRPr="00B02873" w14:paraId="7EBBF30C" w14:textId="77777777" w:rsidTr="00BC7794">
        <w:trPr>
          <w:trHeight w:val="60"/>
        </w:trPr>
        <w:tc>
          <w:tcPr>
            <w:tcW w:w="5382" w:type="dxa"/>
          </w:tcPr>
          <w:p w14:paraId="47E93DF4" w14:textId="77777777" w:rsidR="00B02873" w:rsidRDefault="00B02873" w:rsidP="00BC7794">
            <w:pPr>
              <w:pStyle w:val="TablebodyleftFinancialsTables"/>
            </w:pPr>
            <w:r>
              <w:t>Other &lt; $5,000</w:t>
            </w:r>
          </w:p>
        </w:tc>
        <w:tc>
          <w:tcPr>
            <w:tcW w:w="1559" w:type="dxa"/>
          </w:tcPr>
          <w:p w14:paraId="59FA9F3E" w14:textId="77777777" w:rsidR="00B02873" w:rsidRDefault="00B02873" w:rsidP="00BC7794">
            <w:pPr>
              <w:pStyle w:val="TablebodyleftFinancialsTables"/>
              <w:jc w:val="right"/>
            </w:pPr>
            <w:r>
              <w:t>1,134</w:t>
            </w:r>
          </w:p>
        </w:tc>
      </w:tr>
      <w:tr w:rsidR="00B02873" w:rsidRPr="00BC7794" w14:paraId="2CC707CA" w14:textId="77777777" w:rsidTr="00BC7794">
        <w:trPr>
          <w:trHeight w:val="60"/>
        </w:trPr>
        <w:tc>
          <w:tcPr>
            <w:tcW w:w="5382" w:type="dxa"/>
          </w:tcPr>
          <w:p w14:paraId="0B681849" w14:textId="77777777" w:rsidR="00B02873" w:rsidRPr="00BC7794" w:rsidRDefault="00B02873" w:rsidP="00BC7794">
            <w:pPr>
              <w:pStyle w:val="TablebodyleftFinancialsTables"/>
              <w:rPr>
                <w:b/>
                <w:bCs/>
              </w:rPr>
            </w:pPr>
            <w:r w:rsidRPr="00BC7794">
              <w:rPr>
                <w:b/>
                <w:bCs/>
              </w:rPr>
              <w:t>Total</w:t>
            </w:r>
          </w:p>
        </w:tc>
        <w:tc>
          <w:tcPr>
            <w:tcW w:w="1559" w:type="dxa"/>
          </w:tcPr>
          <w:p w14:paraId="337864FD" w14:textId="77777777" w:rsidR="00B02873" w:rsidRPr="00BC7794" w:rsidRDefault="00B02873" w:rsidP="00BC7794">
            <w:pPr>
              <w:pStyle w:val="TablebodyleftFinancialsTables"/>
              <w:jc w:val="right"/>
              <w:rPr>
                <w:b/>
                <w:bCs/>
              </w:rPr>
            </w:pPr>
            <w:r w:rsidRPr="00BC7794">
              <w:rPr>
                <w:b/>
                <w:bCs/>
              </w:rPr>
              <w:t>1,640,602</w:t>
            </w:r>
          </w:p>
        </w:tc>
      </w:tr>
    </w:tbl>
    <w:p w14:paraId="6A82ADF7" w14:textId="77777777" w:rsidR="00B02873" w:rsidRDefault="00B02873" w:rsidP="00FE198A"/>
    <w:p w14:paraId="155FF72A" w14:textId="76353FE2" w:rsidR="00B02873" w:rsidRDefault="00B02873" w:rsidP="00BC7794">
      <w:pPr>
        <w:pStyle w:val="TabletitleTables"/>
      </w:pPr>
      <w:r>
        <w:t>Table 10</w:t>
      </w:r>
      <w:r w:rsidR="000C45FC">
        <w:t xml:space="preserve"> – </w:t>
      </w:r>
      <w:r>
        <w:t>Management of Public Land and Forests</w:t>
      </w:r>
    </w:p>
    <w:tbl>
      <w:tblPr>
        <w:tblStyle w:val="TableGrid"/>
        <w:tblW w:w="0" w:type="auto"/>
        <w:tblLayout w:type="fixed"/>
        <w:tblLook w:val="0020" w:firstRow="1" w:lastRow="0" w:firstColumn="0" w:lastColumn="0" w:noHBand="0" w:noVBand="0"/>
      </w:tblPr>
      <w:tblGrid>
        <w:gridCol w:w="5382"/>
        <w:gridCol w:w="1559"/>
      </w:tblGrid>
      <w:tr w:rsidR="00B02873" w:rsidRPr="00B02873" w14:paraId="3D0C7919" w14:textId="77777777" w:rsidTr="00BC7794">
        <w:trPr>
          <w:cnfStyle w:val="100000000000" w:firstRow="1" w:lastRow="0" w:firstColumn="0" w:lastColumn="0" w:oddVBand="0" w:evenVBand="0" w:oddHBand="0" w:evenHBand="0" w:firstRowFirstColumn="0" w:firstRowLastColumn="0" w:lastRowFirstColumn="0" w:lastRowLastColumn="0"/>
          <w:trHeight w:val="60"/>
          <w:tblHeader/>
        </w:trPr>
        <w:tc>
          <w:tcPr>
            <w:tcW w:w="5382" w:type="dxa"/>
          </w:tcPr>
          <w:p w14:paraId="1D99C0DB" w14:textId="77777777" w:rsidR="00B02873" w:rsidRDefault="00B02873" w:rsidP="00BC7794">
            <w:pPr>
              <w:pStyle w:val="TableheadingleftFinancialsTables"/>
            </w:pPr>
            <w:r>
              <w:t>Grant recipient</w:t>
            </w:r>
          </w:p>
        </w:tc>
        <w:tc>
          <w:tcPr>
            <w:tcW w:w="1559" w:type="dxa"/>
          </w:tcPr>
          <w:p w14:paraId="2E8846AF" w14:textId="77777777" w:rsidR="00B02873" w:rsidRDefault="00B02873" w:rsidP="00DB60C6">
            <w:pPr>
              <w:pStyle w:val="TableheadingleftFinancialsTables"/>
              <w:jc w:val="right"/>
            </w:pPr>
            <w:r>
              <w:t>$</w:t>
            </w:r>
          </w:p>
        </w:tc>
      </w:tr>
      <w:tr w:rsidR="00B02873" w:rsidRPr="00B02873" w14:paraId="00CDCC2B" w14:textId="77777777" w:rsidTr="00BC7794">
        <w:trPr>
          <w:trHeight w:val="60"/>
        </w:trPr>
        <w:tc>
          <w:tcPr>
            <w:tcW w:w="5382" w:type="dxa"/>
          </w:tcPr>
          <w:p w14:paraId="228E7F89" w14:textId="77777777" w:rsidR="00B02873" w:rsidRDefault="00B02873" w:rsidP="00BC7794">
            <w:pPr>
              <w:pStyle w:val="TablebodyleftFinancialsTables"/>
            </w:pPr>
            <w:r>
              <w:t>Zoological Parks and Gardens Board</w:t>
            </w:r>
          </w:p>
        </w:tc>
        <w:tc>
          <w:tcPr>
            <w:tcW w:w="1559" w:type="dxa"/>
          </w:tcPr>
          <w:p w14:paraId="4FBF813C" w14:textId="77777777" w:rsidR="00B02873" w:rsidRDefault="00B02873" w:rsidP="00DB60C6">
            <w:pPr>
              <w:pStyle w:val="TablebodyleftFinancialsTables"/>
              <w:jc w:val="right"/>
            </w:pPr>
            <w:r>
              <w:t>46,709,392</w:t>
            </w:r>
          </w:p>
        </w:tc>
      </w:tr>
      <w:tr w:rsidR="00B02873" w:rsidRPr="00B02873" w14:paraId="21448612" w14:textId="77777777" w:rsidTr="00BC7794">
        <w:trPr>
          <w:trHeight w:val="60"/>
        </w:trPr>
        <w:tc>
          <w:tcPr>
            <w:tcW w:w="5382" w:type="dxa"/>
          </w:tcPr>
          <w:p w14:paraId="721E3A47" w14:textId="77777777" w:rsidR="00B02873" w:rsidRDefault="00B02873" w:rsidP="00BC7794">
            <w:pPr>
              <w:pStyle w:val="TablebodyleftFinancialsTables"/>
            </w:pPr>
            <w:r>
              <w:t>Parks Victoria</w:t>
            </w:r>
          </w:p>
        </w:tc>
        <w:tc>
          <w:tcPr>
            <w:tcW w:w="1559" w:type="dxa"/>
          </w:tcPr>
          <w:p w14:paraId="0CAE9987" w14:textId="77777777" w:rsidR="00B02873" w:rsidRDefault="00B02873" w:rsidP="00DB60C6">
            <w:pPr>
              <w:pStyle w:val="TablebodyleftFinancialsTables"/>
              <w:jc w:val="right"/>
            </w:pPr>
            <w:r>
              <w:t>43,998,943</w:t>
            </w:r>
          </w:p>
        </w:tc>
      </w:tr>
      <w:tr w:rsidR="00B02873" w:rsidRPr="00B02873" w14:paraId="16055C18" w14:textId="77777777" w:rsidTr="00BC7794">
        <w:trPr>
          <w:trHeight w:val="60"/>
        </w:trPr>
        <w:tc>
          <w:tcPr>
            <w:tcW w:w="5382" w:type="dxa"/>
          </w:tcPr>
          <w:p w14:paraId="5CD81297" w14:textId="77777777" w:rsidR="00B02873" w:rsidRDefault="00B02873" w:rsidP="00BC7794">
            <w:pPr>
              <w:pStyle w:val="TablebodyleftFinancialsTables"/>
            </w:pPr>
            <w:r>
              <w:t>Royal Botanic Gardens Victoria</w:t>
            </w:r>
          </w:p>
        </w:tc>
        <w:tc>
          <w:tcPr>
            <w:tcW w:w="1559" w:type="dxa"/>
          </w:tcPr>
          <w:p w14:paraId="684E1194" w14:textId="77777777" w:rsidR="00B02873" w:rsidRDefault="00B02873" w:rsidP="00DB60C6">
            <w:pPr>
              <w:pStyle w:val="TablebodyleftFinancialsTables"/>
              <w:jc w:val="right"/>
            </w:pPr>
            <w:r>
              <w:t>23,901,648</w:t>
            </w:r>
          </w:p>
        </w:tc>
      </w:tr>
      <w:tr w:rsidR="00B02873" w:rsidRPr="00B02873" w14:paraId="3F3A757C" w14:textId="77777777" w:rsidTr="00BC7794">
        <w:trPr>
          <w:trHeight w:val="60"/>
        </w:trPr>
        <w:tc>
          <w:tcPr>
            <w:tcW w:w="5382" w:type="dxa"/>
          </w:tcPr>
          <w:p w14:paraId="66AACBD3" w14:textId="77777777" w:rsidR="00B02873" w:rsidRDefault="00B02873" w:rsidP="00BC7794">
            <w:pPr>
              <w:pStyle w:val="TablebodyleftFinancialsTables"/>
            </w:pPr>
            <w:r>
              <w:t>Great Ocean Road Coast and Parks Authority</w:t>
            </w:r>
          </w:p>
        </w:tc>
        <w:tc>
          <w:tcPr>
            <w:tcW w:w="1559" w:type="dxa"/>
          </w:tcPr>
          <w:p w14:paraId="415A45F4" w14:textId="77777777" w:rsidR="00B02873" w:rsidRDefault="00B02873" w:rsidP="00DB60C6">
            <w:pPr>
              <w:pStyle w:val="TablebodyleftFinancialsTables"/>
              <w:jc w:val="right"/>
            </w:pPr>
            <w:r>
              <w:t>14,216,225</w:t>
            </w:r>
          </w:p>
        </w:tc>
      </w:tr>
      <w:tr w:rsidR="00B02873" w:rsidRPr="00B02873" w14:paraId="4551ACC8" w14:textId="77777777" w:rsidTr="00BC7794">
        <w:trPr>
          <w:trHeight w:val="60"/>
        </w:trPr>
        <w:tc>
          <w:tcPr>
            <w:tcW w:w="5382" w:type="dxa"/>
          </w:tcPr>
          <w:p w14:paraId="40B9F9B4" w14:textId="77777777" w:rsidR="00B02873" w:rsidRDefault="00B02873" w:rsidP="00BC7794">
            <w:pPr>
              <w:pStyle w:val="TablebodyleftFinancialsTables"/>
            </w:pPr>
            <w:r>
              <w:t>Southern Alpine Resort Management Board</w:t>
            </w:r>
          </w:p>
        </w:tc>
        <w:tc>
          <w:tcPr>
            <w:tcW w:w="1559" w:type="dxa"/>
          </w:tcPr>
          <w:p w14:paraId="39AD3832" w14:textId="77777777" w:rsidR="00B02873" w:rsidRDefault="00B02873" w:rsidP="00DB60C6">
            <w:pPr>
              <w:pStyle w:val="TablebodyleftFinancialsTables"/>
              <w:jc w:val="right"/>
            </w:pPr>
            <w:r>
              <w:t>10,501,181</w:t>
            </w:r>
          </w:p>
        </w:tc>
      </w:tr>
      <w:tr w:rsidR="00B02873" w:rsidRPr="00B02873" w14:paraId="1147FAE7" w14:textId="77777777" w:rsidTr="00BC7794">
        <w:trPr>
          <w:trHeight w:val="60"/>
        </w:trPr>
        <w:tc>
          <w:tcPr>
            <w:tcW w:w="5382" w:type="dxa"/>
          </w:tcPr>
          <w:p w14:paraId="695E4D98" w14:textId="77777777" w:rsidR="00B02873" w:rsidRDefault="00B02873" w:rsidP="00BC7794">
            <w:pPr>
              <w:pStyle w:val="TablebodyleftFinancialsTables"/>
            </w:pPr>
            <w:r>
              <w:t>Department of Jobs Precincts and Regions (Victoria)</w:t>
            </w:r>
          </w:p>
        </w:tc>
        <w:tc>
          <w:tcPr>
            <w:tcW w:w="1559" w:type="dxa"/>
          </w:tcPr>
          <w:p w14:paraId="61D3B15C" w14:textId="77777777" w:rsidR="00B02873" w:rsidRDefault="00B02873" w:rsidP="00DB60C6">
            <w:pPr>
              <w:pStyle w:val="TablebodyleftFinancialsTables"/>
              <w:jc w:val="right"/>
            </w:pPr>
            <w:r>
              <w:t>7,172,400</w:t>
            </w:r>
          </w:p>
        </w:tc>
      </w:tr>
      <w:tr w:rsidR="00B02873" w:rsidRPr="00B02873" w14:paraId="5FD6C1B3" w14:textId="77777777" w:rsidTr="00BC7794">
        <w:trPr>
          <w:trHeight w:val="60"/>
        </w:trPr>
        <w:tc>
          <w:tcPr>
            <w:tcW w:w="5382" w:type="dxa"/>
          </w:tcPr>
          <w:p w14:paraId="117139A7" w14:textId="77777777" w:rsidR="00B02873" w:rsidRDefault="00B02873" w:rsidP="00BC7794">
            <w:pPr>
              <w:pStyle w:val="TablebodyleftFinancialsTables"/>
            </w:pPr>
            <w:r>
              <w:t>Luna Park Melbourne</w:t>
            </w:r>
          </w:p>
        </w:tc>
        <w:tc>
          <w:tcPr>
            <w:tcW w:w="1559" w:type="dxa"/>
          </w:tcPr>
          <w:p w14:paraId="3FBD64F4" w14:textId="77777777" w:rsidR="00B02873" w:rsidRDefault="00B02873" w:rsidP="00DB60C6">
            <w:pPr>
              <w:pStyle w:val="TablebodyleftFinancialsTables"/>
              <w:jc w:val="right"/>
            </w:pPr>
            <w:r>
              <w:t>5,959,000</w:t>
            </w:r>
          </w:p>
        </w:tc>
      </w:tr>
      <w:tr w:rsidR="00B02873" w:rsidRPr="00B02873" w14:paraId="4B6184B9" w14:textId="77777777" w:rsidTr="00BC7794">
        <w:trPr>
          <w:trHeight w:val="60"/>
        </w:trPr>
        <w:tc>
          <w:tcPr>
            <w:tcW w:w="5382" w:type="dxa"/>
          </w:tcPr>
          <w:p w14:paraId="4CD1E0CB" w14:textId="77777777" w:rsidR="00B02873" w:rsidRDefault="00B02873" w:rsidP="00BC7794">
            <w:pPr>
              <w:pStyle w:val="TablebodyleftFinancialsTables"/>
            </w:pPr>
            <w:r>
              <w:t>Department of Transport (Victoria)</w:t>
            </w:r>
          </w:p>
        </w:tc>
        <w:tc>
          <w:tcPr>
            <w:tcW w:w="1559" w:type="dxa"/>
          </w:tcPr>
          <w:p w14:paraId="2AA9B3C0" w14:textId="77777777" w:rsidR="00B02873" w:rsidRDefault="00B02873" w:rsidP="00DB60C6">
            <w:pPr>
              <w:pStyle w:val="TablebodyleftFinancialsTables"/>
              <w:jc w:val="right"/>
            </w:pPr>
            <w:r>
              <w:t>5,458,822</w:t>
            </w:r>
          </w:p>
        </w:tc>
      </w:tr>
      <w:tr w:rsidR="00B02873" w:rsidRPr="00B02873" w14:paraId="28F2D8FA" w14:textId="77777777" w:rsidTr="00BC7794">
        <w:trPr>
          <w:trHeight w:val="60"/>
        </w:trPr>
        <w:tc>
          <w:tcPr>
            <w:tcW w:w="5382" w:type="dxa"/>
          </w:tcPr>
          <w:p w14:paraId="772D7AFB" w14:textId="77777777" w:rsidR="00B02873" w:rsidRDefault="00B02873" w:rsidP="00BC7794">
            <w:pPr>
              <w:pStyle w:val="TablebodyleftFinancialsTables"/>
            </w:pPr>
            <w:r>
              <w:t>Mt Hotham Alpine Resort Management Board</w:t>
            </w:r>
          </w:p>
        </w:tc>
        <w:tc>
          <w:tcPr>
            <w:tcW w:w="1559" w:type="dxa"/>
          </w:tcPr>
          <w:p w14:paraId="26D3DDDB" w14:textId="77777777" w:rsidR="00B02873" w:rsidRDefault="00B02873" w:rsidP="00DB60C6">
            <w:pPr>
              <w:pStyle w:val="TablebodyleftFinancialsTables"/>
              <w:jc w:val="right"/>
            </w:pPr>
            <w:r>
              <w:t>4,733,795</w:t>
            </w:r>
          </w:p>
        </w:tc>
      </w:tr>
      <w:tr w:rsidR="00B02873" w:rsidRPr="00B02873" w14:paraId="72D30761" w14:textId="77777777" w:rsidTr="00BC7794">
        <w:trPr>
          <w:trHeight w:val="60"/>
        </w:trPr>
        <w:tc>
          <w:tcPr>
            <w:tcW w:w="5382" w:type="dxa"/>
          </w:tcPr>
          <w:p w14:paraId="077AAE10" w14:textId="77777777" w:rsidR="00B02873" w:rsidRDefault="00B02873" w:rsidP="00BC7794">
            <w:pPr>
              <w:pStyle w:val="TablebodyleftFinancialsTables"/>
            </w:pPr>
            <w:r>
              <w:t>Wyndham City Council</w:t>
            </w:r>
          </w:p>
        </w:tc>
        <w:tc>
          <w:tcPr>
            <w:tcW w:w="1559" w:type="dxa"/>
          </w:tcPr>
          <w:p w14:paraId="08745AFB" w14:textId="77777777" w:rsidR="00B02873" w:rsidRDefault="00B02873" w:rsidP="00DB60C6">
            <w:pPr>
              <w:pStyle w:val="TablebodyleftFinancialsTables"/>
              <w:jc w:val="right"/>
            </w:pPr>
            <w:r>
              <w:t>4,180,790</w:t>
            </w:r>
          </w:p>
        </w:tc>
      </w:tr>
      <w:tr w:rsidR="00B02873" w:rsidRPr="00B02873" w14:paraId="5B75ED8B" w14:textId="77777777" w:rsidTr="00BC7794">
        <w:trPr>
          <w:trHeight w:val="60"/>
        </w:trPr>
        <w:tc>
          <w:tcPr>
            <w:tcW w:w="5382" w:type="dxa"/>
          </w:tcPr>
          <w:p w14:paraId="24CEF6EC" w14:textId="77777777" w:rsidR="00B02873" w:rsidRDefault="00B02873" w:rsidP="00BC7794">
            <w:pPr>
              <w:pStyle w:val="TablebodyleftFinancialsTables"/>
            </w:pPr>
            <w:r>
              <w:t>Dja Dja Wurrung Clans Aboriginal Corporation</w:t>
            </w:r>
          </w:p>
        </w:tc>
        <w:tc>
          <w:tcPr>
            <w:tcW w:w="1559" w:type="dxa"/>
          </w:tcPr>
          <w:p w14:paraId="32E377C1" w14:textId="77777777" w:rsidR="00B02873" w:rsidRDefault="00B02873" w:rsidP="00DB60C6">
            <w:pPr>
              <w:pStyle w:val="TablebodyleftFinancialsTables"/>
              <w:jc w:val="right"/>
            </w:pPr>
            <w:r>
              <w:t>3,439,847</w:t>
            </w:r>
          </w:p>
        </w:tc>
      </w:tr>
      <w:tr w:rsidR="00B02873" w:rsidRPr="00B02873" w14:paraId="3320BBDA" w14:textId="77777777" w:rsidTr="00BC7794">
        <w:trPr>
          <w:trHeight w:val="60"/>
        </w:trPr>
        <w:tc>
          <w:tcPr>
            <w:tcW w:w="5382" w:type="dxa"/>
          </w:tcPr>
          <w:p w14:paraId="5626E3CF" w14:textId="77777777" w:rsidR="00B02873" w:rsidRDefault="00B02873" w:rsidP="00BC7794">
            <w:pPr>
              <w:pStyle w:val="TablebodyleftFinancialsTables"/>
            </w:pPr>
            <w:r>
              <w:t>University of Melbourne</w:t>
            </w:r>
          </w:p>
        </w:tc>
        <w:tc>
          <w:tcPr>
            <w:tcW w:w="1559" w:type="dxa"/>
          </w:tcPr>
          <w:p w14:paraId="2CFE4EC6" w14:textId="77777777" w:rsidR="00B02873" w:rsidRDefault="00B02873" w:rsidP="00DB60C6">
            <w:pPr>
              <w:pStyle w:val="TablebodyleftFinancialsTables"/>
              <w:jc w:val="right"/>
            </w:pPr>
            <w:r>
              <w:t>3,263,622</w:t>
            </w:r>
          </w:p>
        </w:tc>
      </w:tr>
      <w:tr w:rsidR="00B02873" w:rsidRPr="00B02873" w14:paraId="63E4F811" w14:textId="77777777" w:rsidTr="00BC7794">
        <w:trPr>
          <w:trHeight w:val="60"/>
        </w:trPr>
        <w:tc>
          <w:tcPr>
            <w:tcW w:w="5382" w:type="dxa"/>
          </w:tcPr>
          <w:p w14:paraId="09D35D56" w14:textId="77777777" w:rsidR="00B02873" w:rsidRDefault="00B02873" w:rsidP="00BC7794">
            <w:pPr>
              <w:pStyle w:val="TablebodyleftFinancialsTables"/>
            </w:pPr>
            <w:r>
              <w:t>Gunaikurnai Land and Waters Aboriginal Corporation</w:t>
            </w:r>
          </w:p>
        </w:tc>
        <w:tc>
          <w:tcPr>
            <w:tcW w:w="1559" w:type="dxa"/>
          </w:tcPr>
          <w:p w14:paraId="0CB05621" w14:textId="77777777" w:rsidR="00B02873" w:rsidRDefault="00B02873" w:rsidP="00DB60C6">
            <w:pPr>
              <w:pStyle w:val="TablebodyleftFinancialsTables"/>
              <w:jc w:val="right"/>
            </w:pPr>
            <w:r>
              <w:t>3,063,560</w:t>
            </w:r>
          </w:p>
        </w:tc>
      </w:tr>
      <w:tr w:rsidR="00B02873" w:rsidRPr="00B02873" w14:paraId="3569CCB0" w14:textId="77777777" w:rsidTr="00BC7794">
        <w:trPr>
          <w:trHeight w:val="60"/>
        </w:trPr>
        <w:tc>
          <w:tcPr>
            <w:tcW w:w="5382" w:type="dxa"/>
          </w:tcPr>
          <w:p w14:paraId="620D9A56" w14:textId="77777777" w:rsidR="00B02873" w:rsidRDefault="00B02873" w:rsidP="00BC7794">
            <w:pPr>
              <w:pStyle w:val="TablebodyleftFinancialsTables"/>
            </w:pPr>
            <w:r>
              <w:t>Mt buller and Mt Stirling Alpine Resort Management Board</w:t>
            </w:r>
          </w:p>
        </w:tc>
        <w:tc>
          <w:tcPr>
            <w:tcW w:w="1559" w:type="dxa"/>
          </w:tcPr>
          <w:p w14:paraId="3EE6C03D" w14:textId="77777777" w:rsidR="00B02873" w:rsidRDefault="00B02873" w:rsidP="00DB60C6">
            <w:pPr>
              <w:pStyle w:val="TablebodyleftFinancialsTables"/>
              <w:jc w:val="right"/>
            </w:pPr>
            <w:r>
              <w:t>3,026,350</w:t>
            </w:r>
          </w:p>
        </w:tc>
      </w:tr>
      <w:tr w:rsidR="00B02873" w:rsidRPr="00B02873" w14:paraId="1E1B5958" w14:textId="77777777" w:rsidTr="00BC7794">
        <w:trPr>
          <w:trHeight w:val="60"/>
        </w:trPr>
        <w:tc>
          <w:tcPr>
            <w:tcW w:w="5382" w:type="dxa"/>
          </w:tcPr>
          <w:p w14:paraId="36DE3E53" w14:textId="77777777" w:rsidR="00B02873" w:rsidRDefault="00B02873" w:rsidP="00BC7794">
            <w:pPr>
              <w:pStyle w:val="TablebodyleftFinancialsTables"/>
            </w:pPr>
            <w:r>
              <w:t>Melbourne Water</w:t>
            </w:r>
          </w:p>
        </w:tc>
        <w:tc>
          <w:tcPr>
            <w:tcW w:w="1559" w:type="dxa"/>
          </w:tcPr>
          <w:p w14:paraId="0709CD73" w14:textId="77777777" w:rsidR="00B02873" w:rsidRDefault="00B02873" w:rsidP="00DB60C6">
            <w:pPr>
              <w:pStyle w:val="TablebodyleftFinancialsTables"/>
              <w:jc w:val="right"/>
            </w:pPr>
            <w:r>
              <w:t>2,937,093</w:t>
            </w:r>
          </w:p>
        </w:tc>
      </w:tr>
      <w:tr w:rsidR="00B02873" w:rsidRPr="00B02873" w14:paraId="3F69B485" w14:textId="77777777" w:rsidTr="00BC7794">
        <w:trPr>
          <w:trHeight w:val="60"/>
        </w:trPr>
        <w:tc>
          <w:tcPr>
            <w:tcW w:w="5382" w:type="dxa"/>
          </w:tcPr>
          <w:p w14:paraId="1A3F5106" w14:textId="77777777" w:rsidR="00B02873" w:rsidRDefault="00B02873" w:rsidP="00BC7794">
            <w:pPr>
              <w:pStyle w:val="TablebodyleftFinancialsTables"/>
            </w:pPr>
            <w:r>
              <w:t>Yorta Yorta Nation Aboriginal Corporation</w:t>
            </w:r>
          </w:p>
        </w:tc>
        <w:tc>
          <w:tcPr>
            <w:tcW w:w="1559" w:type="dxa"/>
          </w:tcPr>
          <w:p w14:paraId="0A1414AC" w14:textId="77777777" w:rsidR="00B02873" w:rsidRDefault="00B02873" w:rsidP="00DB60C6">
            <w:pPr>
              <w:pStyle w:val="TablebodyleftFinancialsTables"/>
              <w:jc w:val="right"/>
            </w:pPr>
            <w:r>
              <w:t>2,740,370</w:t>
            </w:r>
          </w:p>
        </w:tc>
      </w:tr>
      <w:tr w:rsidR="00B02873" w:rsidRPr="00B02873" w14:paraId="29D8A7DC" w14:textId="77777777" w:rsidTr="00BC7794">
        <w:trPr>
          <w:trHeight w:val="60"/>
        </w:trPr>
        <w:tc>
          <w:tcPr>
            <w:tcW w:w="5382" w:type="dxa"/>
          </w:tcPr>
          <w:p w14:paraId="553F2855" w14:textId="77777777" w:rsidR="00B02873" w:rsidRDefault="00B02873" w:rsidP="00BC7794">
            <w:pPr>
              <w:pStyle w:val="TablebodyleftFinancialsTables"/>
            </w:pPr>
            <w:r>
              <w:t>Hobsons Bay City Council</w:t>
            </w:r>
          </w:p>
        </w:tc>
        <w:tc>
          <w:tcPr>
            <w:tcW w:w="1559" w:type="dxa"/>
          </w:tcPr>
          <w:p w14:paraId="72FB32CC" w14:textId="77777777" w:rsidR="00B02873" w:rsidRDefault="00B02873" w:rsidP="00DB60C6">
            <w:pPr>
              <w:pStyle w:val="TablebodyleftFinancialsTables"/>
              <w:jc w:val="right"/>
            </w:pPr>
            <w:r>
              <w:t>1,941,530</w:t>
            </w:r>
          </w:p>
        </w:tc>
      </w:tr>
      <w:tr w:rsidR="00B02873" w:rsidRPr="00B02873" w14:paraId="48A2B5BD" w14:textId="77777777" w:rsidTr="00BC7794">
        <w:trPr>
          <w:trHeight w:val="60"/>
        </w:trPr>
        <w:tc>
          <w:tcPr>
            <w:tcW w:w="5382" w:type="dxa"/>
          </w:tcPr>
          <w:p w14:paraId="77AC5E30" w14:textId="77777777" w:rsidR="00B02873" w:rsidRDefault="00B02873" w:rsidP="00BC7794">
            <w:pPr>
              <w:pStyle w:val="TablebodyleftFinancialsTables"/>
            </w:pPr>
            <w:r>
              <w:t>Yarra Ranges Council</w:t>
            </w:r>
          </w:p>
        </w:tc>
        <w:tc>
          <w:tcPr>
            <w:tcW w:w="1559" w:type="dxa"/>
          </w:tcPr>
          <w:p w14:paraId="2AA64B47" w14:textId="77777777" w:rsidR="00B02873" w:rsidRDefault="00B02873" w:rsidP="00DB60C6">
            <w:pPr>
              <w:pStyle w:val="TablebodyleftFinancialsTables"/>
              <w:jc w:val="right"/>
            </w:pPr>
            <w:r>
              <w:t>1,921,250</w:t>
            </w:r>
          </w:p>
        </w:tc>
      </w:tr>
      <w:tr w:rsidR="00B02873" w:rsidRPr="00B02873" w14:paraId="46D2A81C" w14:textId="77777777" w:rsidTr="00BC7794">
        <w:trPr>
          <w:trHeight w:val="60"/>
        </w:trPr>
        <w:tc>
          <w:tcPr>
            <w:tcW w:w="5382" w:type="dxa"/>
          </w:tcPr>
          <w:p w14:paraId="2522F06C" w14:textId="77777777" w:rsidR="00B02873" w:rsidRDefault="00B02873" w:rsidP="00BC7794">
            <w:pPr>
              <w:pStyle w:val="TablebodyleftFinancialsTables"/>
            </w:pPr>
            <w:r>
              <w:t>City of Port Phillip</w:t>
            </w:r>
          </w:p>
        </w:tc>
        <w:tc>
          <w:tcPr>
            <w:tcW w:w="1559" w:type="dxa"/>
          </w:tcPr>
          <w:p w14:paraId="486E3421" w14:textId="77777777" w:rsidR="00B02873" w:rsidRDefault="00B02873" w:rsidP="00DB60C6">
            <w:pPr>
              <w:pStyle w:val="TablebodyleftFinancialsTables"/>
              <w:jc w:val="right"/>
            </w:pPr>
            <w:r>
              <w:t>1,829,157</w:t>
            </w:r>
          </w:p>
        </w:tc>
      </w:tr>
      <w:tr w:rsidR="00B02873" w:rsidRPr="00B02873" w14:paraId="59B005DB" w14:textId="77777777" w:rsidTr="00BC7794">
        <w:trPr>
          <w:trHeight w:val="60"/>
        </w:trPr>
        <w:tc>
          <w:tcPr>
            <w:tcW w:w="5382" w:type="dxa"/>
          </w:tcPr>
          <w:p w14:paraId="1A881703" w14:textId="77777777" w:rsidR="00B02873" w:rsidRDefault="00B02873" w:rsidP="00BC7794">
            <w:pPr>
              <w:pStyle w:val="TablebodyleftFinancialsTables"/>
            </w:pPr>
            <w:r>
              <w:t>Phillip Island Nature Park Board of Management</w:t>
            </w:r>
          </w:p>
        </w:tc>
        <w:tc>
          <w:tcPr>
            <w:tcW w:w="1559" w:type="dxa"/>
          </w:tcPr>
          <w:p w14:paraId="71E78396" w14:textId="77777777" w:rsidR="00B02873" w:rsidRDefault="00B02873" w:rsidP="00DB60C6">
            <w:pPr>
              <w:pStyle w:val="TablebodyleftFinancialsTables"/>
              <w:jc w:val="right"/>
            </w:pPr>
            <w:r>
              <w:t>1,653,249</w:t>
            </w:r>
          </w:p>
        </w:tc>
      </w:tr>
      <w:tr w:rsidR="00B02873" w:rsidRPr="00B02873" w14:paraId="77538DED" w14:textId="77777777" w:rsidTr="00BC7794">
        <w:trPr>
          <w:trHeight w:val="60"/>
        </w:trPr>
        <w:tc>
          <w:tcPr>
            <w:tcW w:w="5382" w:type="dxa"/>
          </w:tcPr>
          <w:p w14:paraId="50DD7FD8" w14:textId="77777777" w:rsidR="00B02873" w:rsidRDefault="00B02873" w:rsidP="00BC7794">
            <w:pPr>
              <w:pStyle w:val="TablebodyleftFinancialsTables"/>
            </w:pPr>
            <w:r>
              <w:t>Frankston City Council</w:t>
            </w:r>
          </w:p>
        </w:tc>
        <w:tc>
          <w:tcPr>
            <w:tcW w:w="1559" w:type="dxa"/>
          </w:tcPr>
          <w:p w14:paraId="5C7E60C7" w14:textId="77777777" w:rsidR="00B02873" w:rsidRDefault="00B02873" w:rsidP="00DB60C6">
            <w:pPr>
              <w:pStyle w:val="TablebodyleftFinancialsTables"/>
              <w:jc w:val="right"/>
            </w:pPr>
            <w:r>
              <w:t>1,603,811</w:t>
            </w:r>
          </w:p>
        </w:tc>
      </w:tr>
      <w:tr w:rsidR="00B02873" w:rsidRPr="00B02873" w14:paraId="577CCCDF" w14:textId="77777777" w:rsidTr="00BC7794">
        <w:trPr>
          <w:trHeight w:val="60"/>
        </w:trPr>
        <w:tc>
          <w:tcPr>
            <w:tcW w:w="5382" w:type="dxa"/>
          </w:tcPr>
          <w:p w14:paraId="5B78C2EB" w14:textId="77777777" w:rsidR="00B02873" w:rsidRDefault="00B02873" w:rsidP="00BC7794">
            <w:pPr>
              <w:pStyle w:val="TablebodyleftFinancialsTables"/>
            </w:pPr>
            <w:r>
              <w:t>Taungurung Land and Waters Council</w:t>
            </w:r>
          </w:p>
        </w:tc>
        <w:tc>
          <w:tcPr>
            <w:tcW w:w="1559" w:type="dxa"/>
          </w:tcPr>
          <w:p w14:paraId="42DA9B18" w14:textId="77777777" w:rsidR="00B02873" w:rsidRDefault="00B02873" w:rsidP="00DB60C6">
            <w:pPr>
              <w:pStyle w:val="TablebodyleftFinancialsTables"/>
              <w:jc w:val="right"/>
            </w:pPr>
            <w:r>
              <w:t>1,378,545</w:t>
            </w:r>
          </w:p>
        </w:tc>
      </w:tr>
      <w:tr w:rsidR="00B02873" w:rsidRPr="00B02873" w14:paraId="31B50A03" w14:textId="77777777" w:rsidTr="00BC7794">
        <w:trPr>
          <w:trHeight w:val="60"/>
        </w:trPr>
        <w:tc>
          <w:tcPr>
            <w:tcW w:w="5382" w:type="dxa"/>
          </w:tcPr>
          <w:p w14:paraId="69CC6917" w14:textId="77777777" w:rsidR="00B02873" w:rsidRDefault="00B02873" w:rsidP="00BC7794">
            <w:pPr>
              <w:pStyle w:val="TablebodyleftFinancialsTables"/>
            </w:pPr>
            <w:r>
              <w:t>East Gippsland Shire Council</w:t>
            </w:r>
          </w:p>
        </w:tc>
        <w:tc>
          <w:tcPr>
            <w:tcW w:w="1559" w:type="dxa"/>
          </w:tcPr>
          <w:p w14:paraId="61E88EA4" w14:textId="77777777" w:rsidR="00B02873" w:rsidRDefault="00B02873" w:rsidP="00DB60C6">
            <w:pPr>
              <w:pStyle w:val="TablebodyleftFinancialsTables"/>
              <w:jc w:val="right"/>
            </w:pPr>
            <w:r>
              <w:t>1,225,380</w:t>
            </w:r>
          </w:p>
        </w:tc>
      </w:tr>
      <w:tr w:rsidR="00B02873" w:rsidRPr="00B02873" w14:paraId="30CE7689" w14:textId="77777777" w:rsidTr="00BC7794">
        <w:trPr>
          <w:trHeight w:val="60"/>
        </w:trPr>
        <w:tc>
          <w:tcPr>
            <w:tcW w:w="5382" w:type="dxa"/>
          </w:tcPr>
          <w:p w14:paraId="094DE62A" w14:textId="77777777" w:rsidR="00B02873" w:rsidRDefault="00B02873" w:rsidP="00BC7794">
            <w:pPr>
              <w:pStyle w:val="TablebodyleftFinancialsTables"/>
            </w:pPr>
            <w:r>
              <w:t>Bushfire and Natural Hazards CRC Limited</w:t>
            </w:r>
          </w:p>
        </w:tc>
        <w:tc>
          <w:tcPr>
            <w:tcW w:w="1559" w:type="dxa"/>
          </w:tcPr>
          <w:p w14:paraId="0C83A144" w14:textId="77777777" w:rsidR="00B02873" w:rsidRDefault="00B02873" w:rsidP="00DB60C6">
            <w:pPr>
              <w:pStyle w:val="TablebodyleftFinancialsTables"/>
              <w:jc w:val="right"/>
            </w:pPr>
            <w:r>
              <w:t>1,217,195</w:t>
            </w:r>
          </w:p>
        </w:tc>
      </w:tr>
      <w:tr w:rsidR="00B02873" w:rsidRPr="00B02873" w14:paraId="73005B6F" w14:textId="77777777" w:rsidTr="00BC7794">
        <w:trPr>
          <w:trHeight w:val="60"/>
        </w:trPr>
        <w:tc>
          <w:tcPr>
            <w:tcW w:w="5382" w:type="dxa"/>
          </w:tcPr>
          <w:p w14:paraId="7BA62E86" w14:textId="77777777" w:rsidR="00B02873" w:rsidRDefault="00B02873" w:rsidP="00BC7794">
            <w:pPr>
              <w:pStyle w:val="TablebodyleftFinancialsTables"/>
            </w:pPr>
            <w:r>
              <w:t>Barengi Gadjin Land Council</w:t>
            </w:r>
          </w:p>
        </w:tc>
        <w:tc>
          <w:tcPr>
            <w:tcW w:w="1559" w:type="dxa"/>
          </w:tcPr>
          <w:p w14:paraId="3153B2D5" w14:textId="77777777" w:rsidR="00B02873" w:rsidRDefault="00B02873" w:rsidP="00DB60C6">
            <w:pPr>
              <w:pStyle w:val="TablebodyleftFinancialsTables"/>
              <w:jc w:val="right"/>
            </w:pPr>
            <w:r>
              <w:t>1,190,919</w:t>
            </w:r>
          </w:p>
        </w:tc>
      </w:tr>
      <w:tr w:rsidR="00B02873" w:rsidRPr="00B02873" w14:paraId="508E31FB" w14:textId="77777777" w:rsidTr="00BC7794">
        <w:trPr>
          <w:trHeight w:val="60"/>
        </w:trPr>
        <w:tc>
          <w:tcPr>
            <w:tcW w:w="5382" w:type="dxa"/>
          </w:tcPr>
          <w:p w14:paraId="6FC0AB28" w14:textId="77777777" w:rsidR="00B02873" w:rsidRDefault="00B02873" w:rsidP="00BC7794">
            <w:pPr>
              <w:pStyle w:val="TablebodyleftFinancialsTables"/>
            </w:pPr>
            <w:r>
              <w:lastRenderedPageBreak/>
              <w:t>Wurundjeri Woi Wurrung Cultural Heritage Aboriginal Corporation</w:t>
            </w:r>
          </w:p>
        </w:tc>
        <w:tc>
          <w:tcPr>
            <w:tcW w:w="1559" w:type="dxa"/>
          </w:tcPr>
          <w:p w14:paraId="4D7304DB" w14:textId="77777777" w:rsidR="00B02873" w:rsidRDefault="00B02873" w:rsidP="00DB60C6">
            <w:pPr>
              <w:pStyle w:val="TablebodyleftFinancialsTables"/>
              <w:jc w:val="right"/>
            </w:pPr>
            <w:r>
              <w:t>1,165,000</w:t>
            </w:r>
          </w:p>
        </w:tc>
      </w:tr>
      <w:tr w:rsidR="00B02873" w:rsidRPr="00B02873" w14:paraId="4C7B3AF4" w14:textId="77777777" w:rsidTr="00BC7794">
        <w:trPr>
          <w:trHeight w:val="60"/>
        </w:trPr>
        <w:tc>
          <w:tcPr>
            <w:tcW w:w="5382" w:type="dxa"/>
          </w:tcPr>
          <w:p w14:paraId="7A203DA7" w14:textId="77777777" w:rsidR="00B02873" w:rsidRDefault="00B02873" w:rsidP="00BC7794">
            <w:pPr>
              <w:pStyle w:val="TablebodyleftFinancialsTables"/>
            </w:pPr>
            <w:r>
              <w:t>Wangaratta Rural City Council</w:t>
            </w:r>
          </w:p>
        </w:tc>
        <w:tc>
          <w:tcPr>
            <w:tcW w:w="1559" w:type="dxa"/>
          </w:tcPr>
          <w:p w14:paraId="41EA16D8" w14:textId="77777777" w:rsidR="00B02873" w:rsidRDefault="00B02873" w:rsidP="00DB60C6">
            <w:pPr>
              <w:pStyle w:val="TablebodyleftFinancialsTables"/>
              <w:jc w:val="right"/>
            </w:pPr>
            <w:r>
              <w:t>1,140,000</w:t>
            </w:r>
          </w:p>
        </w:tc>
      </w:tr>
      <w:tr w:rsidR="00B02873" w:rsidRPr="00B02873" w14:paraId="5A9B6FB7" w14:textId="77777777" w:rsidTr="00BC7794">
        <w:trPr>
          <w:trHeight w:val="60"/>
        </w:trPr>
        <w:tc>
          <w:tcPr>
            <w:tcW w:w="5382" w:type="dxa"/>
          </w:tcPr>
          <w:p w14:paraId="2E917E5B" w14:textId="77777777" w:rsidR="00B02873" w:rsidRDefault="00B02873" w:rsidP="00BC7794">
            <w:pPr>
              <w:pStyle w:val="TablebodyleftFinancialsTables"/>
            </w:pPr>
            <w:r>
              <w:t>Brimbank City Council</w:t>
            </w:r>
          </w:p>
        </w:tc>
        <w:tc>
          <w:tcPr>
            <w:tcW w:w="1559" w:type="dxa"/>
          </w:tcPr>
          <w:p w14:paraId="1EA92920" w14:textId="77777777" w:rsidR="00B02873" w:rsidRDefault="00B02873" w:rsidP="00DB60C6">
            <w:pPr>
              <w:pStyle w:val="TablebodyleftFinancialsTables"/>
              <w:jc w:val="right"/>
            </w:pPr>
            <w:r>
              <w:t>1,129,250</w:t>
            </w:r>
          </w:p>
        </w:tc>
      </w:tr>
      <w:tr w:rsidR="00B02873" w:rsidRPr="00B02873" w14:paraId="3A0D0F8A" w14:textId="77777777" w:rsidTr="00BC7794">
        <w:trPr>
          <w:trHeight w:val="60"/>
        </w:trPr>
        <w:tc>
          <w:tcPr>
            <w:tcW w:w="5382" w:type="dxa"/>
          </w:tcPr>
          <w:p w14:paraId="18199713" w14:textId="77777777" w:rsidR="00B02873" w:rsidRDefault="00B02873" w:rsidP="00BC7794">
            <w:pPr>
              <w:pStyle w:val="TablebodyleftFinancialsTables"/>
            </w:pPr>
            <w:r>
              <w:t>Glen Eira City Council</w:t>
            </w:r>
          </w:p>
        </w:tc>
        <w:tc>
          <w:tcPr>
            <w:tcW w:w="1559" w:type="dxa"/>
          </w:tcPr>
          <w:p w14:paraId="28C57458" w14:textId="77777777" w:rsidR="00B02873" w:rsidRDefault="00B02873" w:rsidP="00DB60C6">
            <w:pPr>
              <w:pStyle w:val="TablebodyleftFinancialsTables"/>
              <w:jc w:val="right"/>
            </w:pPr>
            <w:r>
              <w:t>1,125,000</w:t>
            </w:r>
          </w:p>
        </w:tc>
      </w:tr>
      <w:tr w:rsidR="00B02873" w:rsidRPr="00B02873" w14:paraId="056746BB" w14:textId="77777777" w:rsidTr="00BC7794">
        <w:trPr>
          <w:trHeight w:val="60"/>
        </w:trPr>
        <w:tc>
          <w:tcPr>
            <w:tcW w:w="5382" w:type="dxa"/>
          </w:tcPr>
          <w:p w14:paraId="2219E41F" w14:textId="77777777" w:rsidR="00B02873" w:rsidRDefault="00B02873" w:rsidP="00BC7794">
            <w:pPr>
              <w:pStyle w:val="TablebodyleftFinancialsTables"/>
            </w:pPr>
            <w:r>
              <w:t>Moreland City Council</w:t>
            </w:r>
          </w:p>
        </w:tc>
        <w:tc>
          <w:tcPr>
            <w:tcW w:w="1559" w:type="dxa"/>
          </w:tcPr>
          <w:p w14:paraId="56513B92" w14:textId="77777777" w:rsidR="00B02873" w:rsidRDefault="00B02873" w:rsidP="00DB60C6">
            <w:pPr>
              <w:pStyle w:val="TablebodyleftFinancialsTables"/>
              <w:jc w:val="right"/>
            </w:pPr>
            <w:r>
              <w:t>1,050,000</w:t>
            </w:r>
          </w:p>
        </w:tc>
      </w:tr>
      <w:tr w:rsidR="00B02873" w:rsidRPr="00B02873" w14:paraId="10207310" w14:textId="77777777" w:rsidTr="00BC7794">
        <w:trPr>
          <w:trHeight w:val="60"/>
        </w:trPr>
        <w:tc>
          <w:tcPr>
            <w:tcW w:w="5382" w:type="dxa"/>
          </w:tcPr>
          <w:p w14:paraId="66111C9E" w14:textId="77777777" w:rsidR="00B02873" w:rsidRDefault="00B02873" w:rsidP="00BC7794">
            <w:pPr>
              <w:pStyle w:val="TablebodyleftFinancialsTables"/>
            </w:pPr>
            <w:r>
              <w:t>Shrine of Remembrance</w:t>
            </w:r>
          </w:p>
        </w:tc>
        <w:tc>
          <w:tcPr>
            <w:tcW w:w="1559" w:type="dxa"/>
          </w:tcPr>
          <w:p w14:paraId="3983CB71" w14:textId="77777777" w:rsidR="00B02873" w:rsidRDefault="00B02873" w:rsidP="00DB60C6">
            <w:pPr>
              <w:pStyle w:val="TablebodyleftFinancialsTables"/>
              <w:jc w:val="right"/>
            </w:pPr>
            <w:r>
              <w:t>1,038,000</w:t>
            </w:r>
          </w:p>
        </w:tc>
      </w:tr>
      <w:tr w:rsidR="00B02873" w:rsidRPr="00B02873" w14:paraId="2D06EAB0" w14:textId="77777777" w:rsidTr="00BC7794">
        <w:trPr>
          <w:trHeight w:val="60"/>
        </w:trPr>
        <w:tc>
          <w:tcPr>
            <w:tcW w:w="5382" w:type="dxa"/>
          </w:tcPr>
          <w:p w14:paraId="47EAEB74" w14:textId="77777777" w:rsidR="00B02873" w:rsidRDefault="00B02873" w:rsidP="00BC7794">
            <w:pPr>
              <w:pStyle w:val="TablebodyleftFinancialsTables"/>
            </w:pPr>
            <w:r>
              <w:t>Wadawurrung Traditional Owners Aboriginal Corporation</w:t>
            </w:r>
          </w:p>
        </w:tc>
        <w:tc>
          <w:tcPr>
            <w:tcW w:w="1559" w:type="dxa"/>
          </w:tcPr>
          <w:p w14:paraId="1A57954A" w14:textId="77777777" w:rsidR="00B02873" w:rsidRDefault="00B02873" w:rsidP="00DB60C6">
            <w:pPr>
              <w:pStyle w:val="TablebodyleftFinancialsTables"/>
              <w:jc w:val="right"/>
            </w:pPr>
            <w:r>
              <w:t>957,500</w:t>
            </w:r>
          </w:p>
        </w:tc>
      </w:tr>
      <w:tr w:rsidR="00B02873" w:rsidRPr="00B02873" w14:paraId="4E54E292" w14:textId="77777777" w:rsidTr="00BC7794">
        <w:trPr>
          <w:trHeight w:val="60"/>
        </w:trPr>
        <w:tc>
          <w:tcPr>
            <w:tcW w:w="5382" w:type="dxa"/>
          </w:tcPr>
          <w:p w14:paraId="7D661B41" w14:textId="77777777" w:rsidR="00B02873" w:rsidRDefault="00B02873" w:rsidP="00BC7794">
            <w:pPr>
              <w:pStyle w:val="TablebodyleftFinancialsTables"/>
            </w:pPr>
            <w:r>
              <w:t>Eastern Maar Aboriginal Corporation</w:t>
            </w:r>
          </w:p>
        </w:tc>
        <w:tc>
          <w:tcPr>
            <w:tcW w:w="1559" w:type="dxa"/>
          </w:tcPr>
          <w:p w14:paraId="51308B17" w14:textId="77777777" w:rsidR="00B02873" w:rsidRDefault="00B02873" w:rsidP="00DB60C6">
            <w:pPr>
              <w:pStyle w:val="TablebodyleftFinancialsTables"/>
              <w:jc w:val="right"/>
            </w:pPr>
            <w:r>
              <w:t>950,000</w:t>
            </w:r>
          </w:p>
        </w:tc>
      </w:tr>
      <w:tr w:rsidR="00B02873" w:rsidRPr="00B02873" w14:paraId="73CC02D6" w14:textId="77777777" w:rsidTr="00BC7794">
        <w:trPr>
          <w:trHeight w:val="60"/>
        </w:trPr>
        <w:tc>
          <w:tcPr>
            <w:tcW w:w="5382" w:type="dxa"/>
          </w:tcPr>
          <w:p w14:paraId="2984E67D" w14:textId="77777777" w:rsidR="00B02873" w:rsidRDefault="00B02873" w:rsidP="00BC7794">
            <w:pPr>
              <w:pStyle w:val="TablebodyleftFinancialsTables"/>
            </w:pPr>
            <w:r>
              <w:t>Falls Creek Resort Management</w:t>
            </w:r>
          </w:p>
        </w:tc>
        <w:tc>
          <w:tcPr>
            <w:tcW w:w="1559" w:type="dxa"/>
          </w:tcPr>
          <w:p w14:paraId="6A8B0F04" w14:textId="77777777" w:rsidR="00B02873" w:rsidRDefault="00B02873" w:rsidP="00DB60C6">
            <w:pPr>
              <w:pStyle w:val="TablebodyleftFinancialsTables"/>
              <w:jc w:val="right"/>
            </w:pPr>
            <w:r>
              <w:t>914,877</w:t>
            </w:r>
          </w:p>
        </w:tc>
      </w:tr>
      <w:tr w:rsidR="00B02873" w:rsidRPr="00B02873" w14:paraId="217A9044" w14:textId="77777777" w:rsidTr="00BC7794">
        <w:trPr>
          <w:trHeight w:val="60"/>
        </w:trPr>
        <w:tc>
          <w:tcPr>
            <w:tcW w:w="5382" w:type="dxa"/>
          </w:tcPr>
          <w:p w14:paraId="7495CBA4" w14:textId="77777777" w:rsidR="00B02873" w:rsidRDefault="00B02873" w:rsidP="00BC7794">
            <w:pPr>
              <w:pStyle w:val="TablebodyleftFinancialsTables"/>
            </w:pPr>
            <w:r>
              <w:t>Nillumbik Shire Council</w:t>
            </w:r>
          </w:p>
        </w:tc>
        <w:tc>
          <w:tcPr>
            <w:tcW w:w="1559" w:type="dxa"/>
          </w:tcPr>
          <w:p w14:paraId="31B2552E" w14:textId="77777777" w:rsidR="00B02873" w:rsidRDefault="00B02873" w:rsidP="00DB60C6">
            <w:pPr>
              <w:pStyle w:val="TablebodyleftFinancialsTables"/>
              <w:jc w:val="right"/>
            </w:pPr>
            <w:r>
              <w:t>900,000</w:t>
            </w:r>
          </w:p>
        </w:tc>
      </w:tr>
      <w:tr w:rsidR="00B02873" w:rsidRPr="00B02873" w14:paraId="469F9811" w14:textId="77777777" w:rsidTr="00BC7794">
        <w:trPr>
          <w:trHeight w:val="60"/>
        </w:trPr>
        <w:tc>
          <w:tcPr>
            <w:tcW w:w="5382" w:type="dxa"/>
          </w:tcPr>
          <w:p w14:paraId="75FD5046" w14:textId="77777777" w:rsidR="00B02873" w:rsidRDefault="00B02873" w:rsidP="00BC7794">
            <w:pPr>
              <w:pStyle w:val="TablebodyleftFinancialsTables"/>
            </w:pPr>
            <w:r>
              <w:t>Gunditj Mirring Traditional Owners Aboriginal Corporation</w:t>
            </w:r>
          </w:p>
        </w:tc>
        <w:tc>
          <w:tcPr>
            <w:tcW w:w="1559" w:type="dxa"/>
          </w:tcPr>
          <w:p w14:paraId="11FD89E4" w14:textId="77777777" w:rsidR="00B02873" w:rsidRDefault="00B02873" w:rsidP="00DB60C6">
            <w:pPr>
              <w:pStyle w:val="TablebodyleftFinancialsTables"/>
              <w:jc w:val="right"/>
            </w:pPr>
            <w:r>
              <w:t>887,000</w:t>
            </w:r>
          </w:p>
        </w:tc>
      </w:tr>
      <w:tr w:rsidR="00B02873" w:rsidRPr="00B02873" w14:paraId="41735DC9" w14:textId="77777777" w:rsidTr="00BC7794">
        <w:trPr>
          <w:trHeight w:val="60"/>
        </w:trPr>
        <w:tc>
          <w:tcPr>
            <w:tcW w:w="5382" w:type="dxa"/>
          </w:tcPr>
          <w:p w14:paraId="73998C67" w14:textId="77777777" w:rsidR="00B02873" w:rsidRDefault="00B02873" w:rsidP="00BC7794">
            <w:pPr>
              <w:pStyle w:val="TablebodyleftFinancialsTables"/>
            </w:pPr>
            <w:r>
              <w:t>City of Kingston</w:t>
            </w:r>
          </w:p>
        </w:tc>
        <w:tc>
          <w:tcPr>
            <w:tcW w:w="1559" w:type="dxa"/>
          </w:tcPr>
          <w:p w14:paraId="64AC4F84" w14:textId="77777777" w:rsidR="00B02873" w:rsidRDefault="00B02873" w:rsidP="00DB60C6">
            <w:pPr>
              <w:pStyle w:val="TablebodyleftFinancialsTables"/>
              <w:jc w:val="right"/>
            </w:pPr>
            <w:r>
              <w:t>725,834</w:t>
            </w:r>
          </w:p>
        </w:tc>
      </w:tr>
      <w:tr w:rsidR="00B02873" w:rsidRPr="00B02873" w14:paraId="2AC313E7" w14:textId="77777777" w:rsidTr="00BC7794">
        <w:trPr>
          <w:trHeight w:val="60"/>
        </w:trPr>
        <w:tc>
          <w:tcPr>
            <w:tcW w:w="5382" w:type="dxa"/>
          </w:tcPr>
          <w:p w14:paraId="01E1B1E7" w14:textId="77777777" w:rsidR="00B02873" w:rsidRDefault="00B02873" w:rsidP="00BC7794">
            <w:pPr>
              <w:pStyle w:val="TablebodyleftFinancialsTables"/>
            </w:pPr>
            <w:r>
              <w:t>Gunaikurnai Traditional Owner Land Management Board</w:t>
            </w:r>
          </w:p>
        </w:tc>
        <w:tc>
          <w:tcPr>
            <w:tcW w:w="1559" w:type="dxa"/>
          </w:tcPr>
          <w:p w14:paraId="4A72A224" w14:textId="77777777" w:rsidR="00B02873" w:rsidRDefault="00B02873" w:rsidP="00DB60C6">
            <w:pPr>
              <w:pStyle w:val="TablebodyleftFinancialsTables"/>
              <w:jc w:val="right"/>
            </w:pPr>
            <w:r>
              <w:t>700,000</w:t>
            </w:r>
          </w:p>
        </w:tc>
      </w:tr>
      <w:tr w:rsidR="00B02873" w:rsidRPr="00B02873" w14:paraId="069D4F0B" w14:textId="77777777" w:rsidTr="00BC7794">
        <w:trPr>
          <w:trHeight w:val="60"/>
        </w:trPr>
        <w:tc>
          <w:tcPr>
            <w:tcW w:w="5382" w:type="dxa"/>
          </w:tcPr>
          <w:p w14:paraId="18DF40B7" w14:textId="77777777" w:rsidR="00B02873" w:rsidRDefault="00B02873" w:rsidP="00BC7794">
            <w:pPr>
              <w:pStyle w:val="TablebodyleftFinancialsTables"/>
            </w:pPr>
            <w:r>
              <w:t>Gippsland Plains Rail Trail Committee of Management</w:t>
            </w:r>
          </w:p>
        </w:tc>
        <w:tc>
          <w:tcPr>
            <w:tcW w:w="1559" w:type="dxa"/>
          </w:tcPr>
          <w:p w14:paraId="47C25E02" w14:textId="77777777" w:rsidR="00B02873" w:rsidRDefault="00B02873" w:rsidP="00DB60C6">
            <w:pPr>
              <w:pStyle w:val="TablebodyleftFinancialsTables"/>
              <w:jc w:val="right"/>
            </w:pPr>
            <w:r>
              <w:t>680,271</w:t>
            </w:r>
          </w:p>
        </w:tc>
      </w:tr>
      <w:tr w:rsidR="00B02873" w:rsidRPr="00B02873" w14:paraId="2F6A5920" w14:textId="77777777" w:rsidTr="00BC7794">
        <w:trPr>
          <w:trHeight w:val="60"/>
        </w:trPr>
        <w:tc>
          <w:tcPr>
            <w:tcW w:w="5382" w:type="dxa"/>
          </w:tcPr>
          <w:p w14:paraId="5BEE0414" w14:textId="77777777" w:rsidR="00B02873" w:rsidRDefault="00B02873" w:rsidP="00BC7794">
            <w:pPr>
              <w:pStyle w:val="TablebodyleftFinancialsTables"/>
            </w:pPr>
            <w:r>
              <w:t>Monash City Council</w:t>
            </w:r>
          </w:p>
        </w:tc>
        <w:tc>
          <w:tcPr>
            <w:tcW w:w="1559" w:type="dxa"/>
          </w:tcPr>
          <w:p w14:paraId="551F5E1D" w14:textId="77777777" w:rsidR="00B02873" w:rsidRDefault="00B02873" w:rsidP="00DB60C6">
            <w:pPr>
              <w:pStyle w:val="TablebodyleftFinancialsTables"/>
              <w:jc w:val="right"/>
            </w:pPr>
            <w:r>
              <w:t>675,000</w:t>
            </w:r>
          </w:p>
        </w:tc>
      </w:tr>
      <w:tr w:rsidR="00B02873" w:rsidRPr="00B02873" w14:paraId="50671781" w14:textId="77777777" w:rsidTr="00BC7794">
        <w:trPr>
          <w:trHeight w:val="60"/>
        </w:trPr>
        <w:tc>
          <w:tcPr>
            <w:tcW w:w="5382" w:type="dxa"/>
          </w:tcPr>
          <w:p w14:paraId="1DE9EB42" w14:textId="77777777" w:rsidR="00B02873" w:rsidRDefault="00B02873" w:rsidP="00BC7794">
            <w:pPr>
              <w:pStyle w:val="TablebodyleftFinancialsTables"/>
            </w:pPr>
            <w:r>
              <w:t>Hume City Council</w:t>
            </w:r>
          </w:p>
        </w:tc>
        <w:tc>
          <w:tcPr>
            <w:tcW w:w="1559" w:type="dxa"/>
          </w:tcPr>
          <w:p w14:paraId="31F2F328" w14:textId="77777777" w:rsidR="00B02873" w:rsidRDefault="00B02873" w:rsidP="00DB60C6">
            <w:pPr>
              <w:pStyle w:val="TablebodyleftFinancialsTables"/>
              <w:jc w:val="right"/>
            </w:pPr>
            <w:r>
              <w:t>637,250</w:t>
            </w:r>
          </w:p>
        </w:tc>
      </w:tr>
      <w:tr w:rsidR="00B02873" w:rsidRPr="00B02873" w14:paraId="6DB32B2A" w14:textId="77777777" w:rsidTr="00BC7794">
        <w:trPr>
          <w:trHeight w:val="60"/>
        </w:trPr>
        <w:tc>
          <w:tcPr>
            <w:tcW w:w="5382" w:type="dxa"/>
          </w:tcPr>
          <w:p w14:paraId="1DFD7EC4" w14:textId="77777777" w:rsidR="00B02873" w:rsidRDefault="00B02873" w:rsidP="00BC7794">
            <w:pPr>
              <w:pStyle w:val="TablebodyleftFinancialsTables"/>
            </w:pPr>
            <w:r>
              <w:t>Whittlesea City Council</w:t>
            </w:r>
          </w:p>
        </w:tc>
        <w:tc>
          <w:tcPr>
            <w:tcW w:w="1559" w:type="dxa"/>
          </w:tcPr>
          <w:p w14:paraId="20F4E2F2" w14:textId="77777777" w:rsidR="00B02873" w:rsidRDefault="00B02873" w:rsidP="00DB60C6">
            <w:pPr>
              <w:pStyle w:val="TablebodyleftFinancialsTables"/>
              <w:jc w:val="right"/>
            </w:pPr>
            <w:r>
              <w:t>605,000</w:t>
            </w:r>
          </w:p>
        </w:tc>
      </w:tr>
      <w:tr w:rsidR="00B02873" w:rsidRPr="00B02873" w14:paraId="5440380C" w14:textId="77777777" w:rsidTr="00BC7794">
        <w:trPr>
          <w:trHeight w:val="60"/>
        </w:trPr>
        <w:tc>
          <w:tcPr>
            <w:tcW w:w="5382" w:type="dxa"/>
          </w:tcPr>
          <w:p w14:paraId="0D8BCE84" w14:textId="77777777" w:rsidR="00B02873" w:rsidRDefault="00B02873" w:rsidP="00BC7794">
            <w:pPr>
              <w:pStyle w:val="TablebodyleftFinancialsTables"/>
            </w:pPr>
            <w:r>
              <w:t>Darebin City Council</w:t>
            </w:r>
          </w:p>
        </w:tc>
        <w:tc>
          <w:tcPr>
            <w:tcW w:w="1559" w:type="dxa"/>
          </w:tcPr>
          <w:p w14:paraId="477E52ED" w14:textId="77777777" w:rsidR="00B02873" w:rsidRDefault="00B02873" w:rsidP="00DB60C6">
            <w:pPr>
              <w:pStyle w:val="TablebodyleftFinancialsTables"/>
              <w:jc w:val="right"/>
            </w:pPr>
            <w:r>
              <w:t>578,500</w:t>
            </w:r>
          </w:p>
        </w:tc>
      </w:tr>
      <w:tr w:rsidR="00B02873" w:rsidRPr="00B02873" w14:paraId="0A88DEE3" w14:textId="77777777" w:rsidTr="00BC7794">
        <w:trPr>
          <w:trHeight w:val="60"/>
        </w:trPr>
        <w:tc>
          <w:tcPr>
            <w:tcW w:w="5382" w:type="dxa"/>
          </w:tcPr>
          <w:p w14:paraId="3EB2F80E" w14:textId="77777777" w:rsidR="00B02873" w:rsidRDefault="00B02873" w:rsidP="00BC7794">
            <w:pPr>
              <w:pStyle w:val="TablebodyleftFinancialsTables"/>
            </w:pPr>
            <w:r>
              <w:t>Collingwood Children's Farm Inc</w:t>
            </w:r>
          </w:p>
        </w:tc>
        <w:tc>
          <w:tcPr>
            <w:tcW w:w="1559" w:type="dxa"/>
          </w:tcPr>
          <w:p w14:paraId="72E306CD" w14:textId="77777777" w:rsidR="00B02873" w:rsidRDefault="00B02873" w:rsidP="00DB60C6">
            <w:pPr>
              <w:pStyle w:val="TablebodyleftFinancialsTables"/>
              <w:jc w:val="right"/>
            </w:pPr>
            <w:r>
              <w:t>535,000</w:t>
            </w:r>
          </w:p>
        </w:tc>
      </w:tr>
      <w:tr w:rsidR="00B02873" w:rsidRPr="00B02873" w14:paraId="52EDB9C8" w14:textId="77777777" w:rsidTr="00BC7794">
        <w:trPr>
          <w:trHeight w:val="60"/>
        </w:trPr>
        <w:tc>
          <w:tcPr>
            <w:tcW w:w="5382" w:type="dxa"/>
          </w:tcPr>
          <w:p w14:paraId="3FDB5A0B" w14:textId="77777777" w:rsidR="00B02873" w:rsidRDefault="00B02873" w:rsidP="00BC7794">
            <w:pPr>
              <w:pStyle w:val="TablebodyleftFinancialsTables"/>
            </w:pPr>
            <w:r>
              <w:t>City of Casey</w:t>
            </w:r>
          </w:p>
        </w:tc>
        <w:tc>
          <w:tcPr>
            <w:tcW w:w="1559" w:type="dxa"/>
          </w:tcPr>
          <w:p w14:paraId="5D1A3EF2" w14:textId="77777777" w:rsidR="00B02873" w:rsidRDefault="00B02873" w:rsidP="00DB60C6">
            <w:pPr>
              <w:pStyle w:val="TablebodyleftFinancialsTables"/>
              <w:jc w:val="right"/>
            </w:pPr>
            <w:r>
              <w:t>504,110</w:t>
            </w:r>
          </w:p>
        </w:tc>
      </w:tr>
      <w:tr w:rsidR="00B02873" w:rsidRPr="00B02873" w14:paraId="6A7751FB" w14:textId="77777777" w:rsidTr="00BC7794">
        <w:trPr>
          <w:trHeight w:val="60"/>
        </w:trPr>
        <w:tc>
          <w:tcPr>
            <w:tcW w:w="5382" w:type="dxa"/>
          </w:tcPr>
          <w:p w14:paraId="04FD0EC4" w14:textId="77777777" w:rsidR="00B02873" w:rsidRDefault="00B02873" w:rsidP="00BC7794">
            <w:pPr>
              <w:pStyle w:val="TablebodyleftFinancialsTables"/>
            </w:pPr>
            <w:r>
              <w:t>Banyule City Council</w:t>
            </w:r>
          </w:p>
        </w:tc>
        <w:tc>
          <w:tcPr>
            <w:tcW w:w="1559" w:type="dxa"/>
          </w:tcPr>
          <w:p w14:paraId="7B2C3843" w14:textId="77777777" w:rsidR="00B02873" w:rsidRDefault="00B02873" w:rsidP="00DB60C6">
            <w:pPr>
              <w:pStyle w:val="TablebodyleftFinancialsTables"/>
              <w:jc w:val="right"/>
            </w:pPr>
            <w:r>
              <w:t>475,000</w:t>
            </w:r>
          </w:p>
        </w:tc>
      </w:tr>
      <w:tr w:rsidR="00B02873" w:rsidRPr="00B02873" w14:paraId="6FBB576F" w14:textId="77777777" w:rsidTr="00BC7794">
        <w:trPr>
          <w:trHeight w:val="60"/>
        </w:trPr>
        <w:tc>
          <w:tcPr>
            <w:tcW w:w="5382" w:type="dxa"/>
          </w:tcPr>
          <w:p w14:paraId="7E90FCE5" w14:textId="77777777" w:rsidR="00B02873" w:rsidRDefault="00B02873" w:rsidP="00BC7794">
            <w:pPr>
              <w:pStyle w:val="TablebodyleftFinancialsTables"/>
            </w:pPr>
            <w:r>
              <w:t>Caulfield Racecourse Reserve Trust</w:t>
            </w:r>
          </w:p>
        </w:tc>
        <w:tc>
          <w:tcPr>
            <w:tcW w:w="1559" w:type="dxa"/>
          </w:tcPr>
          <w:p w14:paraId="1B42E0EB" w14:textId="77777777" w:rsidR="00B02873" w:rsidRDefault="00B02873" w:rsidP="00DB60C6">
            <w:pPr>
              <w:pStyle w:val="TablebodyleftFinancialsTables"/>
              <w:jc w:val="right"/>
            </w:pPr>
            <w:r>
              <w:t>400,000</w:t>
            </w:r>
          </w:p>
        </w:tc>
      </w:tr>
      <w:tr w:rsidR="00B02873" w:rsidRPr="00B02873" w14:paraId="5E449BA5" w14:textId="77777777" w:rsidTr="00BC7794">
        <w:trPr>
          <w:trHeight w:val="60"/>
        </w:trPr>
        <w:tc>
          <w:tcPr>
            <w:tcW w:w="5382" w:type="dxa"/>
          </w:tcPr>
          <w:p w14:paraId="011622C8" w14:textId="77777777" w:rsidR="00B02873" w:rsidRDefault="00B02873" w:rsidP="00BC7794">
            <w:pPr>
              <w:pStyle w:val="TablebodyleftFinancialsTables"/>
            </w:pPr>
            <w:r>
              <w:t>First People of The Millewa-Mallee Aboriginal Corporation</w:t>
            </w:r>
          </w:p>
        </w:tc>
        <w:tc>
          <w:tcPr>
            <w:tcW w:w="1559" w:type="dxa"/>
          </w:tcPr>
          <w:p w14:paraId="49410409" w14:textId="77777777" w:rsidR="00B02873" w:rsidRDefault="00B02873" w:rsidP="00DB60C6">
            <w:pPr>
              <w:pStyle w:val="TablebodyleftFinancialsTables"/>
              <w:jc w:val="right"/>
            </w:pPr>
            <w:r>
              <w:t>400,000</w:t>
            </w:r>
          </w:p>
        </w:tc>
      </w:tr>
      <w:tr w:rsidR="00B02873" w:rsidRPr="00B02873" w14:paraId="4B9FB965" w14:textId="77777777" w:rsidTr="00BC7794">
        <w:trPr>
          <w:trHeight w:val="60"/>
        </w:trPr>
        <w:tc>
          <w:tcPr>
            <w:tcW w:w="5382" w:type="dxa"/>
          </w:tcPr>
          <w:p w14:paraId="0913EE19" w14:textId="77777777" w:rsidR="00B02873" w:rsidRDefault="00B02873" w:rsidP="00BC7794">
            <w:pPr>
              <w:pStyle w:val="TablebodyleftFinancialsTables"/>
            </w:pPr>
            <w:r>
              <w:t>Bunurong Land Council Aboriginal Corporation</w:t>
            </w:r>
          </w:p>
        </w:tc>
        <w:tc>
          <w:tcPr>
            <w:tcW w:w="1559" w:type="dxa"/>
          </w:tcPr>
          <w:p w14:paraId="5CA1F0CC" w14:textId="77777777" w:rsidR="00B02873" w:rsidRDefault="00B02873" w:rsidP="00DB60C6">
            <w:pPr>
              <w:pStyle w:val="TablebodyleftFinancialsTables"/>
              <w:jc w:val="right"/>
            </w:pPr>
            <w:r>
              <w:t>344,000</w:t>
            </w:r>
          </w:p>
        </w:tc>
      </w:tr>
      <w:tr w:rsidR="00B02873" w:rsidRPr="00B02873" w14:paraId="7F913F08" w14:textId="77777777" w:rsidTr="00BC7794">
        <w:trPr>
          <w:trHeight w:val="60"/>
        </w:trPr>
        <w:tc>
          <w:tcPr>
            <w:tcW w:w="5382" w:type="dxa"/>
          </w:tcPr>
          <w:p w14:paraId="49983820" w14:textId="77777777" w:rsidR="00B02873" w:rsidRDefault="00B02873" w:rsidP="00BC7794">
            <w:pPr>
              <w:pStyle w:val="TablebodyleftFinancialsTables"/>
            </w:pPr>
            <w:r>
              <w:t>Warrnambool City Council</w:t>
            </w:r>
          </w:p>
        </w:tc>
        <w:tc>
          <w:tcPr>
            <w:tcW w:w="1559" w:type="dxa"/>
          </w:tcPr>
          <w:p w14:paraId="6FADF4B2" w14:textId="77777777" w:rsidR="00B02873" w:rsidRDefault="00B02873" w:rsidP="00DB60C6">
            <w:pPr>
              <w:pStyle w:val="TablebodyleftFinancialsTables"/>
              <w:jc w:val="right"/>
            </w:pPr>
            <w:r>
              <w:t>323,683</w:t>
            </w:r>
          </w:p>
        </w:tc>
      </w:tr>
      <w:tr w:rsidR="00B02873" w:rsidRPr="00B02873" w14:paraId="4781F971" w14:textId="77777777" w:rsidTr="00BC7794">
        <w:trPr>
          <w:trHeight w:val="60"/>
        </w:trPr>
        <w:tc>
          <w:tcPr>
            <w:tcW w:w="5382" w:type="dxa"/>
          </w:tcPr>
          <w:p w14:paraId="022C052E" w14:textId="77777777" w:rsidR="00B02873" w:rsidRDefault="00B02873" w:rsidP="00BC7794">
            <w:pPr>
              <w:pStyle w:val="TablebodyleftFinancialsTables"/>
            </w:pPr>
            <w:r>
              <w:t>City of Maribyrnong</w:t>
            </w:r>
          </w:p>
        </w:tc>
        <w:tc>
          <w:tcPr>
            <w:tcW w:w="1559" w:type="dxa"/>
          </w:tcPr>
          <w:p w14:paraId="6DCF5F25" w14:textId="77777777" w:rsidR="00B02873" w:rsidRDefault="00B02873" w:rsidP="00DB60C6">
            <w:pPr>
              <w:pStyle w:val="TablebodyleftFinancialsTables"/>
              <w:jc w:val="right"/>
            </w:pPr>
            <w:r>
              <w:t>318,750</w:t>
            </w:r>
          </w:p>
        </w:tc>
      </w:tr>
      <w:tr w:rsidR="00B02873" w:rsidRPr="00B02873" w14:paraId="2C8229C4" w14:textId="77777777" w:rsidTr="00BC7794">
        <w:trPr>
          <w:trHeight w:val="60"/>
        </w:trPr>
        <w:tc>
          <w:tcPr>
            <w:tcW w:w="5382" w:type="dxa"/>
          </w:tcPr>
          <w:p w14:paraId="604B3D4A" w14:textId="77777777" w:rsidR="00B02873" w:rsidRDefault="00B02873" w:rsidP="00BC7794">
            <w:pPr>
              <w:pStyle w:val="TablebodyleftFinancialsTables"/>
            </w:pPr>
            <w:r>
              <w:t>Campaspe Shire Council</w:t>
            </w:r>
          </w:p>
        </w:tc>
        <w:tc>
          <w:tcPr>
            <w:tcW w:w="1559" w:type="dxa"/>
          </w:tcPr>
          <w:p w14:paraId="417B2689" w14:textId="77777777" w:rsidR="00B02873" w:rsidRDefault="00B02873" w:rsidP="00DB60C6">
            <w:pPr>
              <w:pStyle w:val="TablebodyleftFinancialsTables"/>
              <w:jc w:val="right"/>
            </w:pPr>
            <w:r>
              <w:t>315,000</w:t>
            </w:r>
          </w:p>
        </w:tc>
      </w:tr>
      <w:tr w:rsidR="00B02873" w:rsidRPr="00B02873" w14:paraId="763D99D4" w14:textId="77777777" w:rsidTr="00BC7794">
        <w:trPr>
          <w:trHeight w:val="60"/>
        </w:trPr>
        <w:tc>
          <w:tcPr>
            <w:tcW w:w="5382" w:type="dxa"/>
          </w:tcPr>
          <w:p w14:paraId="18890F6F" w14:textId="77777777" w:rsidR="00B02873" w:rsidRDefault="00B02873" w:rsidP="00BC7794">
            <w:pPr>
              <w:pStyle w:val="TablebodyleftFinancialsTables"/>
            </w:pPr>
            <w:r>
              <w:t>Bellarine Bayside Foreshore Committee of Management</w:t>
            </w:r>
          </w:p>
        </w:tc>
        <w:tc>
          <w:tcPr>
            <w:tcW w:w="1559" w:type="dxa"/>
          </w:tcPr>
          <w:p w14:paraId="5D21D6E3" w14:textId="77777777" w:rsidR="00B02873" w:rsidRDefault="00B02873" w:rsidP="00DB60C6">
            <w:pPr>
              <w:pStyle w:val="TablebodyleftFinancialsTables"/>
              <w:jc w:val="right"/>
            </w:pPr>
            <w:r>
              <w:t>309,442</w:t>
            </w:r>
          </w:p>
        </w:tc>
      </w:tr>
      <w:tr w:rsidR="00B02873" w:rsidRPr="00B02873" w14:paraId="56F4C24D" w14:textId="77777777" w:rsidTr="00BC7794">
        <w:trPr>
          <w:trHeight w:val="60"/>
        </w:trPr>
        <w:tc>
          <w:tcPr>
            <w:tcW w:w="5382" w:type="dxa"/>
          </w:tcPr>
          <w:p w14:paraId="34435247" w14:textId="77777777" w:rsidR="00B02873" w:rsidRDefault="00B02873" w:rsidP="00BC7794">
            <w:pPr>
              <w:pStyle w:val="TablebodyleftFinancialsTables"/>
            </w:pPr>
            <w:r>
              <w:t>Deakin University</w:t>
            </w:r>
          </w:p>
        </w:tc>
        <w:tc>
          <w:tcPr>
            <w:tcW w:w="1559" w:type="dxa"/>
          </w:tcPr>
          <w:p w14:paraId="15B835CD" w14:textId="77777777" w:rsidR="00B02873" w:rsidRDefault="00B02873" w:rsidP="00DB60C6">
            <w:pPr>
              <w:pStyle w:val="TablebodyleftFinancialsTables"/>
              <w:jc w:val="right"/>
            </w:pPr>
            <w:r>
              <w:t>301,874</w:t>
            </w:r>
          </w:p>
        </w:tc>
      </w:tr>
      <w:tr w:rsidR="00B02873" w:rsidRPr="00B02873" w14:paraId="4C50BE22" w14:textId="77777777" w:rsidTr="00BC7794">
        <w:trPr>
          <w:trHeight w:val="60"/>
        </w:trPr>
        <w:tc>
          <w:tcPr>
            <w:tcW w:w="5382" w:type="dxa"/>
          </w:tcPr>
          <w:p w14:paraId="06CEF318" w14:textId="77777777" w:rsidR="00B02873" w:rsidRDefault="00B02873" w:rsidP="00BC7794">
            <w:pPr>
              <w:pStyle w:val="TablebodyleftFinancialsTables"/>
            </w:pPr>
            <w:r>
              <w:t>Mornington Peninsula Shire Council</w:t>
            </w:r>
          </w:p>
        </w:tc>
        <w:tc>
          <w:tcPr>
            <w:tcW w:w="1559" w:type="dxa"/>
          </w:tcPr>
          <w:p w14:paraId="4C50A181" w14:textId="77777777" w:rsidR="00B02873" w:rsidRDefault="00B02873" w:rsidP="00DB60C6">
            <w:pPr>
              <w:pStyle w:val="TablebodyleftFinancialsTables"/>
              <w:jc w:val="right"/>
            </w:pPr>
            <w:r>
              <w:t>299,173</w:t>
            </w:r>
          </w:p>
        </w:tc>
      </w:tr>
      <w:tr w:rsidR="00B02873" w:rsidRPr="00B02873" w14:paraId="7A9647FE" w14:textId="77777777" w:rsidTr="00BC7794">
        <w:trPr>
          <w:trHeight w:val="60"/>
        </w:trPr>
        <w:tc>
          <w:tcPr>
            <w:tcW w:w="5382" w:type="dxa"/>
          </w:tcPr>
          <w:p w14:paraId="509B0A3F" w14:textId="77777777" w:rsidR="00B02873" w:rsidRDefault="00B02873" w:rsidP="00BC7794">
            <w:pPr>
              <w:pStyle w:val="TablebodyleftFinancialsTables"/>
            </w:pPr>
            <w:r>
              <w:t>Maroondah City Council</w:t>
            </w:r>
          </w:p>
        </w:tc>
        <w:tc>
          <w:tcPr>
            <w:tcW w:w="1559" w:type="dxa"/>
          </w:tcPr>
          <w:p w14:paraId="66E5024E" w14:textId="77777777" w:rsidR="00B02873" w:rsidRDefault="00B02873" w:rsidP="00DB60C6">
            <w:pPr>
              <w:pStyle w:val="TablebodyleftFinancialsTables"/>
              <w:jc w:val="right"/>
            </w:pPr>
            <w:r>
              <w:t>293,750</w:t>
            </w:r>
          </w:p>
        </w:tc>
      </w:tr>
      <w:tr w:rsidR="00B02873" w:rsidRPr="00B02873" w14:paraId="15AD92C5" w14:textId="77777777" w:rsidTr="00BC7794">
        <w:trPr>
          <w:trHeight w:val="60"/>
        </w:trPr>
        <w:tc>
          <w:tcPr>
            <w:tcW w:w="5382" w:type="dxa"/>
          </w:tcPr>
          <w:p w14:paraId="7254DD6C" w14:textId="77777777" w:rsidR="00B02873" w:rsidRDefault="00B02873" w:rsidP="00BC7794">
            <w:pPr>
              <w:pStyle w:val="TablebodyleftFinancialsTables"/>
            </w:pPr>
            <w:r>
              <w:t>Yorta Yorta Traditional Owner Land Management Board</w:t>
            </w:r>
          </w:p>
        </w:tc>
        <w:tc>
          <w:tcPr>
            <w:tcW w:w="1559" w:type="dxa"/>
          </w:tcPr>
          <w:p w14:paraId="3CBF65B5" w14:textId="77777777" w:rsidR="00B02873" w:rsidRDefault="00B02873" w:rsidP="00DB60C6">
            <w:pPr>
              <w:pStyle w:val="TablebodyleftFinancialsTables"/>
              <w:jc w:val="right"/>
            </w:pPr>
            <w:r>
              <w:t>252,624</w:t>
            </w:r>
          </w:p>
        </w:tc>
      </w:tr>
      <w:tr w:rsidR="00B02873" w:rsidRPr="00B02873" w14:paraId="1254B018" w14:textId="77777777" w:rsidTr="00BC7794">
        <w:trPr>
          <w:trHeight w:val="60"/>
        </w:trPr>
        <w:tc>
          <w:tcPr>
            <w:tcW w:w="5382" w:type="dxa"/>
          </w:tcPr>
          <w:p w14:paraId="3EE44404" w14:textId="77777777" w:rsidR="00B02873" w:rsidRDefault="00B02873" w:rsidP="00BC7794">
            <w:pPr>
              <w:pStyle w:val="TablebodyleftFinancialsTables"/>
            </w:pPr>
            <w:r>
              <w:t>Melton City Council</w:t>
            </w:r>
          </w:p>
        </w:tc>
        <w:tc>
          <w:tcPr>
            <w:tcW w:w="1559" w:type="dxa"/>
          </w:tcPr>
          <w:p w14:paraId="56122CFC" w14:textId="77777777" w:rsidR="00B02873" w:rsidRDefault="00B02873" w:rsidP="00DB60C6">
            <w:pPr>
              <w:pStyle w:val="TablebodyleftFinancialsTables"/>
              <w:jc w:val="right"/>
            </w:pPr>
            <w:r>
              <w:t>250,000</w:t>
            </w:r>
          </w:p>
        </w:tc>
      </w:tr>
      <w:tr w:rsidR="00B02873" w:rsidRPr="00B02873" w14:paraId="41957FF9" w14:textId="77777777" w:rsidTr="00BC7794">
        <w:trPr>
          <w:trHeight w:val="60"/>
        </w:trPr>
        <w:tc>
          <w:tcPr>
            <w:tcW w:w="5382" w:type="dxa"/>
          </w:tcPr>
          <w:p w14:paraId="55F43573" w14:textId="77777777" w:rsidR="00B02873" w:rsidRDefault="00B02873" w:rsidP="00BC7794">
            <w:pPr>
              <w:pStyle w:val="TablebodyleftFinancialsTables"/>
            </w:pPr>
            <w:r>
              <w:t>National Trust of Australia (Victoria)</w:t>
            </w:r>
          </w:p>
        </w:tc>
        <w:tc>
          <w:tcPr>
            <w:tcW w:w="1559" w:type="dxa"/>
          </w:tcPr>
          <w:p w14:paraId="14B3677A" w14:textId="77777777" w:rsidR="00B02873" w:rsidRDefault="00B02873" w:rsidP="00DB60C6">
            <w:pPr>
              <w:pStyle w:val="TablebodyleftFinancialsTables"/>
              <w:jc w:val="right"/>
            </w:pPr>
            <w:r>
              <w:t>242,000</w:t>
            </w:r>
          </w:p>
        </w:tc>
      </w:tr>
      <w:tr w:rsidR="00B02873" w:rsidRPr="00B02873" w14:paraId="74B4E1B6" w14:textId="77777777" w:rsidTr="00BC7794">
        <w:trPr>
          <w:trHeight w:val="60"/>
        </w:trPr>
        <w:tc>
          <w:tcPr>
            <w:tcW w:w="5382" w:type="dxa"/>
          </w:tcPr>
          <w:p w14:paraId="1F5B4654" w14:textId="77777777" w:rsidR="00B02873" w:rsidRDefault="00B02873" w:rsidP="00BC7794">
            <w:pPr>
              <w:pStyle w:val="TablebodyleftFinancialsTables"/>
            </w:pPr>
            <w:r>
              <w:t>Murrindindi Shire Council</w:t>
            </w:r>
          </w:p>
        </w:tc>
        <w:tc>
          <w:tcPr>
            <w:tcW w:w="1559" w:type="dxa"/>
          </w:tcPr>
          <w:p w14:paraId="0BA5DA50" w14:textId="77777777" w:rsidR="00B02873" w:rsidRDefault="00B02873" w:rsidP="00DB60C6">
            <w:pPr>
              <w:pStyle w:val="TablebodyleftFinancialsTables"/>
              <w:jc w:val="right"/>
            </w:pPr>
            <w:r>
              <w:t>241,849</w:t>
            </w:r>
          </w:p>
        </w:tc>
      </w:tr>
      <w:tr w:rsidR="00B02873" w:rsidRPr="00B02873" w14:paraId="7A2AE5EF" w14:textId="77777777" w:rsidTr="00BC7794">
        <w:trPr>
          <w:trHeight w:val="60"/>
        </w:trPr>
        <w:tc>
          <w:tcPr>
            <w:tcW w:w="5382" w:type="dxa"/>
          </w:tcPr>
          <w:p w14:paraId="5A43FB3A" w14:textId="77777777" w:rsidR="00B02873" w:rsidRDefault="00B02873" w:rsidP="00BC7794">
            <w:pPr>
              <w:pStyle w:val="TablebodyleftFinancialsTables"/>
            </w:pPr>
            <w:r>
              <w:lastRenderedPageBreak/>
              <w:t>Knox City Council</w:t>
            </w:r>
          </w:p>
        </w:tc>
        <w:tc>
          <w:tcPr>
            <w:tcW w:w="1559" w:type="dxa"/>
          </w:tcPr>
          <w:p w14:paraId="7D09C080" w14:textId="77777777" w:rsidR="00B02873" w:rsidRDefault="00B02873" w:rsidP="00DB60C6">
            <w:pPr>
              <w:pStyle w:val="TablebodyleftFinancialsTables"/>
              <w:jc w:val="right"/>
            </w:pPr>
            <w:r>
              <w:t>230,250</w:t>
            </w:r>
          </w:p>
        </w:tc>
      </w:tr>
      <w:tr w:rsidR="00B02873" w:rsidRPr="00B02873" w14:paraId="4C8B910B" w14:textId="77777777" w:rsidTr="00BC7794">
        <w:trPr>
          <w:trHeight w:val="60"/>
        </w:trPr>
        <w:tc>
          <w:tcPr>
            <w:tcW w:w="5382" w:type="dxa"/>
          </w:tcPr>
          <w:p w14:paraId="5AC3F058" w14:textId="77777777" w:rsidR="00B02873" w:rsidRDefault="00B02873" w:rsidP="00BC7794">
            <w:pPr>
              <w:pStyle w:val="TablebodyleftFinancialsTables"/>
            </w:pPr>
            <w:r>
              <w:t>Walhalla Board of Management Inc</w:t>
            </w:r>
          </w:p>
        </w:tc>
        <w:tc>
          <w:tcPr>
            <w:tcW w:w="1559" w:type="dxa"/>
          </w:tcPr>
          <w:p w14:paraId="29E836D0" w14:textId="77777777" w:rsidR="00B02873" w:rsidRDefault="00B02873" w:rsidP="00DB60C6">
            <w:pPr>
              <w:pStyle w:val="TablebodyleftFinancialsTables"/>
              <w:jc w:val="right"/>
            </w:pPr>
            <w:r>
              <w:t>226,144</w:t>
            </w:r>
          </w:p>
        </w:tc>
      </w:tr>
      <w:tr w:rsidR="00B02873" w:rsidRPr="00B02873" w14:paraId="466C22EF" w14:textId="77777777" w:rsidTr="00BC7794">
        <w:trPr>
          <w:trHeight w:val="60"/>
        </w:trPr>
        <w:tc>
          <w:tcPr>
            <w:tcW w:w="5382" w:type="dxa"/>
          </w:tcPr>
          <w:p w14:paraId="214837C7" w14:textId="77777777" w:rsidR="00B02873" w:rsidRDefault="00B02873" w:rsidP="00BC7794">
            <w:pPr>
              <w:pStyle w:val="TablebodyleftFinancialsTables"/>
            </w:pPr>
            <w:r>
              <w:t>Blackwood Crown Reserves Com</w:t>
            </w:r>
          </w:p>
        </w:tc>
        <w:tc>
          <w:tcPr>
            <w:tcW w:w="1559" w:type="dxa"/>
          </w:tcPr>
          <w:p w14:paraId="6A908C88" w14:textId="77777777" w:rsidR="00B02873" w:rsidRDefault="00B02873" w:rsidP="00DB60C6">
            <w:pPr>
              <w:pStyle w:val="TablebodyleftFinancialsTables"/>
              <w:jc w:val="right"/>
            </w:pPr>
            <w:r>
              <w:t>226,000</w:t>
            </w:r>
          </w:p>
        </w:tc>
      </w:tr>
      <w:tr w:rsidR="00B02873" w:rsidRPr="00B02873" w14:paraId="47E0C776" w14:textId="77777777" w:rsidTr="00BC7794">
        <w:trPr>
          <w:trHeight w:val="60"/>
        </w:trPr>
        <w:tc>
          <w:tcPr>
            <w:tcW w:w="5382" w:type="dxa"/>
          </w:tcPr>
          <w:p w14:paraId="3D850962" w14:textId="77777777" w:rsidR="00B02873" w:rsidRDefault="00B02873" w:rsidP="00BC7794">
            <w:pPr>
              <w:pStyle w:val="TablebodyleftFinancialsTables"/>
            </w:pPr>
            <w:r>
              <w:t>City of Greater Dandenong</w:t>
            </w:r>
          </w:p>
        </w:tc>
        <w:tc>
          <w:tcPr>
            <w:tcW w:w="1559" w:type="dxa"/>
          </w:tcPr>
          <w:p w14:paraId="33C5D748" w14:textId="77777777" w:rsidR="00B02873" w:rsidRDefault="00B02873" w:rsidP="00DB60C6">
            <w:pPr>
              <w:pStyle w:val="TablebodyleftFinancialsTables"/>
              <w:jc w:val="right"/>
            </w:pPr>
            <w:r>
              <w:t>217,500</w:t>
            </w:r>
          </w:p>
        </w:tc>
      </w:tr>
      <w:tr w:rsidR="00B02873" w:rsidRPr="00B02873" w14:paraId="27A4957F" w14:textId="77777777" w:rsidTr="00BC7794">
        <w:trPr>
          <w:trHeight w:val="60"/>
        </w:trPr>
        <w:tc>
          <w:tcPr>
            <w:tcW w:w="5382" w:type="dxa"/>
          </w:tcPr>
          <w:p w14:paraId="1550DFB3" w14:textId="77777777" w:rsidR="00B02873" w:rsidRDefault="00B02873" w:rsidP="00BC7794">
            <w:pPr>
              <w:pStyle w:val="TablebodyleftFinancialsTables"/>
            </w:pPr>
            <w:r>
              <w:t>Nelson Reserves Committee of Management</w:t>
            </w:r>
          </w:p>
        </w:tc>
        <w:tc>
          <w:tcPr>
            <w:tcW w:w="1559" w:type="dxa"/>
          </w:tcPr>
          <w:p w14:paraId="5AA283BB" w14:textId="77777777" w:rsidR="00B02873" w:rsidRDefault="00B02873" w:rsidP="00DB60C6">
            <w:pPr>
              <w:pStyle w:val="TablebodyleftFinancialsTables"/>
              <w:jc w:val="right"/>
            </w:pPr>
            <w:r>
              <w:t>217,253</w:t>
            </w:r>
          </w:p>
        </w:tc>
      </w:tr>
      <w:tr w:rsidR="00B02873" w:rsidRPr="00B02873" w14:paraId="0E98B0AE" w14:textId="77777777" w:rsidTr="00BC7794">
        <w:trPr>
          <w:trHeight w:val="60"/>
        </w:trPr>
        <w:tc>
          <w:tcPr>
            <w:tcW w:w="5382" w:type="dxa"/>
          </w:tcPr>
          <w:p w14:paraId="7007E693" w14:textId="77777777" w:rsidR="00B02873" w:rsidRDefault="00B02873" w:rsidP="00BC7794">
            <w:pPr>
              <w:pStyle w:val="TablebodyleftFinancialsTables"/>
            </w:pPr>
            <w:r>
              <w:t>Gentle Annie Camping Reserve</w:t>
            </w:r>
          </w:p>
        </w:tc>
        <w:tc>
          <w:tcPr>
            <w:tcW w:w="1559" w:type="dxa"/>
          </w:tcPr>
          <w:p w14:paraId="7A259381" w14:textId="77777777" w:rsidR="00B02873" w:rsidRDefault="00B02873" w:rsidP="00DB60C6">
            <w:pPr>
              <w:pStyle w:val="TablebodyleftFinancialsTables"/>
              <w:jc w:val="right"/>
            </w:pPr>
            <w:r>
              <w:t>200,000</w:t>
            </w:r>
          </w:p>
        </w:tc>
      </w:tr>
      <w:tr w:rsidR="00B02873" w:rsidRPr="00B02873" w14:paraId="390FFB01" w14:textId="77777777" w:rsidTr="00BC7794">
        <w:trPr>
          <w:trHeight w:val="60"/>
        </w:trPr>
        <w:tc>
          <w:tcPr>
            <w:tcW w:w="5382" w:type="dxa"/>
          </w:tcPr>
          <w:p w14:paraId="12BEBD95" w14:textId="77777777" w:rsidR="00B02873" w:rsidRDefault="00B02873" w:rsidP="00BC7794">
            <w:pPr>
              <w:pStyle w:val="TablebodyleftFinancialsTables"/>
            </w:pPr>
            <w:r>
              <w:t>Merri Creek Management Committee Inc</w:t>
            </w:r>
          </w:p>
        </w:tc>
        <w:tc>
          <w:tcPr>
            <w:tcW w:w="1559" w:type="dxa"/>
          </w:tcPr>
          <w:p w14:paraId="3A7BC3B6" w14:textId="77777777" w:rsidR="00B02873" w:rsidRDefault="00B02873" w:rsidP="00DB60C6">
            <w:pPr>
              <w:pStyle w:val="TablebodyleftFinancialsTables"/>
              <w:jc w:val="right"/>
            </w:pPr>
            <w:r>
              <w:t>200,000</w:t>
            </w:r>
          </w:p>
        </w:tc>
      </w:tr>
      <w:tr w:rsidR="00B02873" w:rsidRPr="00B02873" w14:paraId="26746156" w14:textId="77777777" w:rsidTr="00BC7794">
        <w:trPr>
          <w:trHeight w:val="60"/>
        </w:trPr>
        <w:tc>
          <w:tcPr>
            <w:tcW w:w="5382" w:type="dxa"/>
          </w:tcPr>
          <w:p w14:paraId="351D1FB1" w14:textId="77777777" w:rsidR="00B02873" w:rsidRDefault="00B02873" w:rsidP="00BC7794">
            <w:pPr>
              <w:pStyle w:val="TablebodyleftFinancialsTables"/>
            </w:pPr>
            <w:r>
              <w:t>Mornington Peninsula Shire</w:t>
            </w:r>
          </w:p>
        </w:tc>
        <w:tc>
          <w:tcPr>
            <w:tcW w:w="1559" w:type="dxa"/>
          </w:tcPr>
          <w:p w14:paraId="3955AA55" w14:textId="77777777" w:rsidR="00B02873" w:rsidRDefault="00B02873" w:rsidP="00DB60C6">
            <w:pPr>
              <w:pStyle w:val="TablebodyleftFinancialsTables"/>
              <w:jc w:val="right"/>
            </w:pPr>
            <w:r>
              <w:t>200,000</w:t>
            </w:r>
          </w:p>
        </w:tc>
      </w:tr>
      <w:tr w:rsidR="00B02873" w:rsidRPr="00B02873" w14:paraId="36B2BE83" w14:textId="77777777" w:rsidTr="00BC7794">
        <w:trPr>
          <w:trHeight w:val="60"/>
        </w:trPr>
        <w:tc>
          <w:tcPr>
            <w:tcW w:w="5382" w:type="dxa"/>
          </w:tcPr>
          <w:p w14:paraId="59C6EDA4" w14:textId="77777777" w:rsidR="00B02873" w:rsidRDefault="00B02873" w:rsidP="00BC7794">
            <w:pPr>
              <w:pStyle w:val="TablebodyleftFinancialsTables"/>
            </w:pPr>
            <w:r>
              <w:t>Harrietville Camping and Recreation Reserve Committee of Management Inc</w:t>
            </w:r>
          </w:p>
        </w:tc>
        <w:tc>
          <w:tcPr>
            <w:tcW w:w="1559" w:type="dxa"/>
          </w:tcPr>
          <w:p w14:paraId="3F979EC5" w14:textId="77777777" w:rsidR="00B02873" w:rsidRDefault="00B02873" w:rsidP="00DB60C6">
            <w:pPr>
              <w:pStyle w:val="TablebodyleftFinancialsTables"/>
              <w:jc w:val="right"/>
            </w:pPr>
            <w:r>
              <w:t>200,000</w:t>
            </w:r>
          </w:p>
        </w:tc>
      </w:tr>
      <w:tr w:rsidR="00B02873" w:rsidRPr="00B02873" w14:paraId="772F83FA" w14:textId="77777777" w:rsidTr="00BC7794">
        <w:trPr>
          <w:trHeight w:val="60"/>
        </w:trPr>
        <w:tc>
          <w:tcPr>
            <w:tcW w:w="5382" w:type="dxa"/>
          </w:tcPr>
          <w:p w14:paraId="0243845B" w14:textId="77777777" w:rsidR="00B02873" w:rsidRDefault="00B02873" w:rsidP="00BC7794">
            <w:pPr>
              <w:pStyle w:val="TablebodyleftFinancialsTables"/>
            </w:pPr>
            <w:r>
              <w:t>Bayside City Council</w:t>
            </w:r>
          </w:p>
        </w:tc>
        <w:tc>
          <w:tcPr>
            <w:tcW w:w="1559" w:type="dxa"/>
          </w:tcPr>
          <w:p w14:paraId="73394596" w14:textId="77777777" w:rsidR="00B02873" w:rsidRDefault="00B02873" w:rsidP="00DB60C6">
            <w:pPr>
              <w:pStyle w:val="TablebodyleftFinancialsTables"/>
              <w:jc w:val="right"/>
            </w:pPr>
            <w:r>
              <w:t>196,210</w:t>
            </w:r>
          </w:p>
        </w:tc>
      </w:tr>
      <w:tr w:rsidR="00B02873" w:rsidRPr="00B02873" w14:paraId="23FA0777" w14:textId="77777777" w:rsidTr="00BC7794">
        <w:trPr>
          <w:trHeight w:val="60"/>
        </w:trPr>
        <w:tc>
          <w:tcPr>
            <w:tcW w:w="5382" w:type="dxa"/>
          </w:tcPr>
          <w:p w14:paraId="74E701BB" w14:textId="77777777" w:rsidR="00B02873" w:rsidRDefault="00B02873" w:rsidP="00BC7794">
            <w:pPr>
              <w:pStyle w:val="TablebodyleftFinancialsTables"/>
            </w:pPr>
            <w:r>
              <w:t>Barwon Coast Committee of Management</w:t>
            </w:r>
          </w:p>
        </w:tc>
        <w:tc>
          <w:tcPr>
            <w:tcW w:w="1559" w:type="dxa"/>
          </w:tcPr>
          <w:p w14:paraId="5D3A6322" w14:textId="77777777" w:rsidR="00B02873" w:rsidRDefault="00B02873" w:rsidP="00DB60C6">
            <w:pPr>
              <w:pStyle w:val="TablebodyleftFinancialsTables"/>
              <w:jc w:val="right"/>
            </w:pPr>
            <w:r>
              <w:t>194,006</w:t>
            </w:r>
          </w:p>
        </w:tc>
      </w:tr>
      <w:tr w:rsidR="00B02873" w:rsidRPr="00B02873" w14:paraId="7C0EA379" w14:textId="77777777" w:rsidTr="00BC7794">
        <w:trPr>
          <w:trHeight w:val="60"/>
        </w:trPr>
        <w:tc>
          <w:tcPr>
            <w:tcW w:w="5382" w:type="dxa"/>
          </w:tcPr>
          <w:p w14:paraId="49FD1A3A" w14:textId="77777777" w:rsidR="00B02873" w:rsidRDefault="00B02873" w:rsidP="00BC7794">
            <w:pPr>
              <w:pStyle w:val="TablebodyleftFinancialsTables"/>
            </w:pPr>
            <w:r>
              <w:t>Moonee Valley City Council</w:t>
            </w:r>
          </w:p>
        </w:tc>
        <w:tc>
          <w:tcPr>
            <w:tcW w:w="1559" w:type="dxa"/>
          </w:tcPr>
          <w:p w14:paraId="0DE3ED2E" w14:textId="77777777" w:rsidR="00B02873" w:rsidRDefault="00B02873" w:rsidP="00DB60C6">
            <w:pPr>
              <w:pStyle w:val="TablebodyleftFinancialsTables"/>
              <w:jc w:val="right"/>
            </w:pPr>
            <w:r>
              <w:t>193,750</w:t>
            </w:r>
          </w:p>
        </w:tc>
      </w:tr>
      <w:tr w:rsidR="00B02873" w:rsidRPr="00B02873" w14:paraId="2BE9BC4E" w14:textId="77777777" w:rsidTr="00BC7794">
        <w:trPr>
          <w:trHeight w:val="60"/>
        </w:trPr>
        <w:tc>
          <w:tcPr>
            <w:tcW w:w="5382" w:type="dxa"/>
          </w:tcPr>
          <w:p w14:paraId="58A247C6" w14:textId="77777777" w:rsidR="00B02873" w:rsidRDefault="00B02873" w:rsidP="00BC7794">
            <w:pPr>
              <w:pStyle w:val="TablebodyleftFinancialsTables"/>
            </w:pPr>
            <w:r>
              <w:t>Colac Otway Shire Council</w:t>
            </w:r>
          </w:p>
        </w:tc>
        <w:tc>
          <w:tcPr>
            <w:tcW w:w="1559" w:type="dxa"/>
          </w:tcPr>
          <w:p w14:paraId="64A869A5" w14:textId="77777777" w:rsidR="00B02873" w:rsidRDefault="00B02873" w:rsidP="00DB60C6">
            <w:pPr>
              <w:pStyle w:val="TablebodyleftFinancialsTables"/>
              <w:jc w:val="right"/>
            </w:pPr>
            <w:r>
              <w:t>180,000</w:t>
            </w:r>
          </w:p>
        </w:tc>
      </w:tr>
      <w:tr w:rsidR="00B02873" w:rsidRPr="00B02873" w14:paraId="11F4D10A" w14:textId="77777777" w:rsidTr="00BC7794">
        <w:trPr>
          <w:trHeight w:val="60"/>
        </w:trPr>
        <w:tc>
          <w:tcPr>
            <w:tcW w:w="5382" w:type="dxa"/>
          </w:tcPr>
          <w:p w14:paraId="40E9BC40" w14:textId="77777777" w:rsidR="00B02873" w:rsidRDefault="00B02873" w:rsidP="00BC7794">
            <w:pPr>
              <w:pStyle w:val="TablebodyleftFinancialsTables"/>
            </w:pPr>
            <w:r>
              <w:t>First Nations Legal and Research Services Ltd</w:t>
            </w:r>
          </w:p>
        </w:tc>
        <w:tc>
          <w:tcPr>
            <w:tcW w:w="1559" w:type="dxa"/>
          </w:tcPr>
          <w:p w14:paraId="61E7BAC4" w14:textId="77777777" w:rsidR="00B02873" w:rsidRDefault="00B02873" w:rsidP="00DB60C6">
            <w:pPr>
              <w:pStyle w:val="TablebodyleftFinancialsTables"/>
              <w:jc w:val="right"/>
            </w:pPr>
            <w:r>
              <w:t>161,944</w:t>
            </w:r>
          </w:p>
        </w:tc>
      </w:tr>
      <w:tr w:rsidR="00B02873" w:rsidRPr="00B02873" w14:paraId="547FDB1C" w14:textId="77777777" w:rsidTr="00BC7794">
        <w:trPr>
          <w:trHeight w:val="60"/>
        </w:trPr>
        <w:tc>
          <w:tcPr>
            <w:tcW w:w="5382" w:type="dxa"/>
          </w:tcPr>
          <w:p w14:paraId="78042C52" w14:textId="77777777" w:rsidR="00B02873" w:rsidRDefault="00B02873" w:rsidP="00BC7794">
            <w:pPr>
              <w:pStyle w:val="TablebodyleftFinancialsTables"/>
            </w:pPr>
            <w:r>
              <w:t>Australian Deer Association Inc</w:t>
            </w:r>
          </w:p>
        </w:tc>
        <w:tc>
          <w:tcPr>
            <w:tcW w:w="1559" w:type="dxa"/>
          </w:tcPr>
          <w:p w14:paraId="53252EC3" w14:textId="77777777" w:rsidR="00B02873" w:rsidRDefault="00B02873" w:rsidP="00DB60C6">
            <w:pPr>
              <w:pStyle w:val="TablebodyleftFinancialsTables"/>
              <w:jc w:val="right"/>
            </w:pPr>
            <w:r>
              <w:t>158,500</w:t>
            </w:r>
          </w:p>
        </w:tc>
      </w:tr>
      <w:tr w:rsidR="00B02873" w:rsidRPr="00B02873" w14:paraId="0C3328E2" w14:textId="77777777" w:rsidTr="00BC7794">
        <w:trPr>
          <w:trHeight w:val="60"/>
        </w:trPr>
        <w:tc>
          <w:tcPr>
            <w:tcW w:w="5382" w:type="dxa"/>
          </w:tcPr>
          <w:p w14:paraId="4805AD12" w14:textId="77777777" w:rsidR="00B02873" w:rsidRDefault="00B02873" w:rsidP="00BC7794">
            <w:pPr>
              <w:pStyle w:val="TablebodyleftFinancialsTables"/>
            </w:pPr>
            <w:r>
              <w:t>Point Leo Foreshore Committee of Management</w:t>
            </w:r>
          </w:p>
        </w:tc>
        <w:tc>
          <w:tcPr>
            <w:tcW w:w="1559" w:type="dxa"/>
          </w:tcPr>
          <w:p w14:paraId="1CCD5499" w14:textId="77777777" w:rsidR="00B02873" w:rsidRDefault="00B02873" w:rsidP="00DB60C6">
            <w:pPr>
              <w:pStyle w:val="TablebodyleftFinancialsTables"/>
              <w:jc w:val="right"/>
            </w:pPr>
            <w:r>
              <w:t>154,123</w:t>
            </w:r>
          </w:p>
        </w:tc>
      </w:tr>
      <w:tr w:rsidR="00B02873" w:rsidRPr="00B02873" w14:paraId="6FB1A73B" w14:textId="77777777" w:rsidTr="00BC7794">
        <w:trPr>
          <w:trHeight w:val="60"/>
        </w:trPr>
        <w:tc>
          <w:tcPr>
            <w:tcW w:w="5382" w:type="dxa"/>
          </w:tcPr>
          <w:p w14:paraId="21B41B87" w14:textId="77777777" w:rsidR="00B02873" w:rsidRDefault="00B02873" w:rsidP="00BC7794">
            <w:pPr>
              <w:pStyle w:val="TablebodyleftFinancialsTables"/>
            </w:pPr>
            <w:r>
              <w:t>City of Boroondara</w:t>
            </w:r>
          </w:p>
        </w:tc>
        <w:tc>
          <w:tcPr>
            <w:tcW w:w="1559" w:type="dxa"/>
          </w:tcPr>
          <w:p w14:paraId="1590D114" w14:textId="77777777" w:rsidR="00B02873" w:rsidRDefault="00B02873" w:rsidP="00DB60C6">
            <w:pPr>
              <w:pStyle w:val="TablebodyleftFinancialsTables"/>
              <w:jc w:val="right"/>
            </w:pPr>
            <w:r>
              <w:t>143,750</w:t>
            </w:r>
          </w:p>
        </w:tc>
      </w:tr>
      <w:tr w:rsidR="00B02873" w:rsidRPr="00B02873" w14:paraId="24E0DE55" w14:textId="77777777" w:rsidTr="00BC7794">
        <w:trPr>
          <w:trHeight w:val="60"/>
        </w:trPr>
        <w:tc>
          <w:tcPr>
            <w:tcW w:w="5382" w:type="dxa"/>
          </w:tcPr>
          <w:p w14:paraId="0D6980C4" w14:textId="77777777" w:rsidR="00B02873" w:rsidRDefault="00B02873" w:rsidP="00BC7794">
            <w:pPr>
              <w:pStyle w:val="TablebodyleftFinancialsTables"/>
            </w:pPr>
            <w:r>
              <w:t>Snowy Wilderness Discovery Centre Committee of Management Inc</w:t>
            </w:r>
          </w:p>
        </w:tc>
        <w:tc>
          <w:tcPr>
            <w:tcW w:w="1559" w:type="dxa"/>
          </w:tcPr>
          <w:p w14:paraId="237D9C46" w14:textId="77777777" w:rsidR="00B02873" w:rsidRDefault="00B02873" w:rsidP="00DB60C6">
            <w:pPr>
              <w:pStyle w:val="TablebodyleftFinancialsTables"/>
              <w:jc w:val="right"/>
            </w:pPr>
            <w:r>
              <w:t>143,235</w:t>
            </w:r>
          </w:p>
        </w:tc>
      </w:tr>
      <w:tr w:rsidR="00B02873" w:rsidRPr="00B02873" w14:paraId="6D08BFFB" w14:textId="77777777" w:rsidTr="00BC7794">
        <w:trPr>
          <w:trHeight w:val="60"/>
        </w:trPr>
        <w:tc>
          <w:tcPr>
            <w:tcW w:w="5382" w:type="dxa"/>
          </w:tcPr>
          <w:p w14:paraId="61BE1F7F" w14:textId="77777777" w:rsidR="00B02873" w:rsidRDefault="00B02873" w:rsidP="00BC7794">
            <w:pPr>
              <w:pStyle w:val="TablebodyleftFinancialsTables"/>
            </w:pPr>
            <w:r>
              <w:t>Horsham Rural City Council</w:t>
            </w:r>
          </w:p>
        </w:tc>
        <w:tc>
          <w:tcPr>
            <w:tcW w:w="1559" w:type="dxa"/>
          </w:tcPr>
          <w:p w14:paraId="55CB22F4" w14:textId="77777777" w:rsidR="00B02873" w:rsidRDefault="00B02873" w:rsidP="00DB60C6">
            <w:pPr>
              <w:pStyle w:val="TablebodyleftFinancialsTables"/>
              <w:jc w:val="right"/>
            </w:pPr>
            <w:r>
              <w:t>142,720</w:t>
            </w:r>
          </w:p>
        </w:tc>
      </w:tr>
      <w:tr w:rsidR="00B02873" w:rsidRPr="00B02873" w14:paraId="405D1D94" w14:textId="77777777" w:rsidTr="00BC7794">
        <w:trPr>
          <w:trHeight w:val="60"/>
        </w:trPr>
        <w:tc>
          <w:tcPr>
            <w:tcW w:w="5382" w:type="dxa"/>
          </w:tcPr>
          <w:p w14:paraId="03B9FC1E" w14:textId="77777777" w:rsidR="00B02873" w:rsidRDefault="00B02873" w:rsidP="00BC7794">
            <w:pPr>
              <w:pStyle w:val="TablebodyleftFinancialsTables"/>
            </w:pPr>
            <w:r>
              <w:t>Corinella Foreshore Reserve Inc</w:t>
            </w:r>
          </w:p>
        </w:tc>
        <w:tc>
          <w:tcPr>
            <w:tcW w:w="1559" w:type="dxa"/>
          </w:tcPr>
          <w:p w14:paraId="1109CF29" w14:textId="77777777" w:rsidR="00B02873" w:rsidRDefault="00B02873" w:rsidP="00DB60C6">
            <w:pPr>
              <w:pStyle w:val="TablebodyleftFinancialsTables"/>
              <w:jc w:val="right"/>
            </w:pPr>
            <w:r>
              <w:t>140,478</w:t>
            </w:r>
          </w:p>
        </w:tc>
      </w:tr>
      <w:tr w:rsidR="00B02873" w:rsidRPr="00B02873" w14:paraId="3D9DCDBA" w14:textId="77777777" w:rsidTr="00BC7794">
        <w:trPr>
          <w:trHeight w:val="60"/>
        </w:trPr>
        <w:tc>
          <w:tcPr>
            <w:tcW w:w="5382" w:type="dxa"/>
          </w:tcPr>
          <w:p w14:paraId="4F448DC2" w14:textId="77777777" w:rsidR="00B02873" w:rsidRDefault="00B02873" w:rsidP="00BC7794">
            <w:pPr>
              <w:pStyle w:val="TablebodyleftFinancialsTables"/>
            </w:pPr>
            <w:r>
              <w:t>Hepburn Shire Council</w:t>
            </w:r>
          </w:p>
        </w:tc>
        <w:tc>
          <w:tcPr>
            <w:tcW w:w="1559" w:type="dxa"/>
          </w:tcPr>
          <w:p w14:paraId="13FF20E6" w14:textId="77777777" w:rsidR="00B02873" w:rsidRDefault="00B02873" w:rsidP="00DB60C6">
            <w:pPr>
              <w:pStyle w:val="TablebodyleftFinancialsTables"/>
              <w:jc w:val="right"/>
            </w:pPr>
            <w:r>
              <w:t>130,078</w:t>
            </w:r>
          </w:p>
        </w:tc>
      </w:tr>
      <w:tr w:rsidR="00B02873" w:rsidRPr="00B02873" w14:paraId="7F33BA0D" w14:textId="77777777" w:rsidTr="00BC7794">
        <w:trPr>
          <w:trHeight w:val="60"/>
        </w:trPr>
        <w:tc>
          <w:tcPr>
            <w:tcW w:w="5382" w:type="dxa"/>
          </w:tcPr>
          <w:p w14:paraId="69EA3EEC" w14:textId="77777777" w:rsidR="00B02873" w:rsidRDefault="00B02873" w:rsidP="00BC7794">
            <w:pPr>
              <w:pStyle w:val="TablebodyleftFinancialsTables"/>
            </w:pPr>
            <w:r>
              <w:t>Alpine Shire Council</w:t>
            </w:r>
          </w:p>
        </w:tc>
        <w:tc>
          <w:tcPr>
            <w:tcW w:w="1559" w:type="dxa"/>
          </w:tcPr>
          <w:p w14:paraId="5A7CC238" w14:textId="77777777" w:rsidR="00B02873" w:rsidRDefault="00B02873" w:rsidP="00DB60C6">
            <w:pPr>
              <w:pStyle w:val="TablebodyleftFinancialsTables"/>
              <w:jc w:val="right"/>
            </w:pPr>
            <w:r>
              <w:t>127,890</w:t>
            </w:r>
          </w:p>
        </w:tc>
      </w:tr>
      <w:tr w:rsidR="00B02873" w:rsidRPr="00B02873" w14:paraId="0F484189" w14:textId="77777777" w:rsidTr="00BC7794">
        <w:trPr>
          <w:trHeight w:val="60"/>
        </w:trPr>
        <w:tc>
          <w:tcPr>
            <w:tcW w:w="5382" w:type="dxa"/>
          </w:tcPr>
          <w:p w14:paraId="7E759182" w14:textId="77777777" w:rsidR="00B02873" w:rsidRDefault="00B02873" w:rsidP="00BC7794">
            <w:pPr>
              <w:pStyle w:val="TablebodyleftFinancialsTables"/>
            </w:pPr>
            <w:r>
              <w:t>Corangamite Catchment Management Authority</w:t>
            </w:r>
          </w:p>
        </w:tc>
        <w:tc>
          <w:tcPr>
            <w:tcW w:w="1559" w:type="dxa"/>
          </w:tcPr>
          <w:p w14:paraId="7F5C341D" w14:textId="77777777" w:rsidR="00B02873" w:rsidRDefault="00B02873" w:rsidP="00DB60C6">
            <w:pPr>
              <w:pStyle w:val="TablebodyleftFinancialsTables"/>
              <w:jc w:val="right"/>
            </w:pPr>
            <w:r>
              <w:t>120,000</w:t>
            </w:r>
          </w:p>
        </w:tc>
      </w:tr>
      <w:tr w:rsidR="00B02873" w:rsidRPr="00B02873" w14:paraId="3F2B8A29" w14:textId="77777777" w:rsidTr="00BC7794">
        <w:trPr>
          <w:trHeight w:val="60"/>
        </w:trPr>
        <w:tc>
          <w:tcPr>
            <w:tcW w:w="5382" w:type="dxa"/>
          </w:tcPr>
          <w:p w14:paraId="6206E821" w14:textId="77777777" w:rsidR="00B02873" w:rsidRDefault="00B02873" w:rsidP="00BC7794">
            <w:pPr>
              <w:pStyle w:val="TablebodyleftFinancialsTables"/>
            </w:pPr>
            <w:r>
              <w:t>Balnarring Foreshore Parks and Reserves</w:t>
            </w:r>
          </w:p>
        </w:tc>
        <w:tc>
          <w:tcPr>
            <w:tcW w:w="1559" w:type="dxa"/>
          </w:tcPr>
          <w:p w14:paraId="3E041F24" w14:textId="77777777" w:rsidR="00B02873" w:rsidRDefault="00B02873" w:rsidP="00DB60C6">
            <w:pPr>
              <w:pStyle w:val="TablebodyleftFinancialsTables"/>
              <w:jc w:val="right"/>
            </w:pPr>
            <w:r>
              <w:t>119,418</w:t>
            </w:r>
          </w:p>
        </w:tc>
      </w:tr>
      <w:tr w:rsidR="00B02873" w:rsidRPr="00B02873" w14:paraId="1301D37F" w14:textId="77777777" w:rsidTr="00BC7794">
        <w:trPr>
          <w:trHeight w:val="60"/>
        </w:trPr>
        <w:tc>
          <w:tcPr>
            <w:tcW w:w="5382" w:type="dxa"/>
          </w:tcPr>
          <w:p w14:paraId="046017D2" w14:textId="77777777" w:rsidR="00B02873" w:rsidRDefault="00B02873" w:rsidP="00BC7794">
            <w:pPr>
              <w:pStyle w:val="TablebodyleftFinancialsTables"/>
            </w:pPr>
            <w:r>
              <w:t>Grand Ridge Rail Trail Committee of Management Inc</w:t>
            </w:r>
          </w:p>
        </w:tc>
        <w:tc>
          <w:tcPr>
            <w:tcW w:w="1559" w:type="dxa"/>
          </w:tcPr>
          <w:p w14:paraId="757E8D5B" w14:textId="77777777" w:rsidR="00B02873" w:rsidRDefault="00B02873" w:rsidP="00DB60C6">
            <w:pPr>
              <w:pStyle w:val="TablebodyleftFinancialsTables"/>
              <w:jc w:val="right"/>
            </w:pPr>
            <w:r>
              <w:t>110,116</w:t>
            </w:r>
          </w:p>
        </w:tc>
      </w:tr>
      <w:tr w:rsidR="00B02873" w:rsidRPr="00B02873" w14:paraId="33300CF8" w14:textId="77777777" w:rsidTr="00BC7794">
        <w:trPr>
          <w:trHeight w:val="60"/>
        </w:trPr>
        <w:tc>
          <w:tcPr>
            <w:tcW w:w="5382" w:type="dxa"/>
          </w:tcPr>
          <w:p w14:paraId="481B774B" w14:textId="77777777" w:rsidR="00B02873" w:rsidRDefault="00B02873" w:rsidP="00BC7794">
            <w:pPr>
              <w:pStyle w:val="TablebodyleftFinancialsTables"/>
            </w:pPr>
            <w:r>
              <w:t>Melbourne Ballpark</w:t>
            </w:r>
          </w:p>
        </w:tc>
        <w:tc>
          <w:tcPr>
            <w:tcW w:w="1559" w:type="dxa"/>
          </w:tcPr>
          <w:p w14:paraId="60BC4F03" w14:textId="77777777" w:rsidR="00B02873" w:rsidRDefault="00B02873" w:rsidP="00DB60C6">
            <w:pPr>
              <w:pStyle w:val="TablebodyleftFinancialsTables"/>
              <w:jc w:val="right"/>
            </w:pPr>
            <w:r>
              <w:t>108,000</w:t>
            </w:r>
          </w:p>
        </w:tc>
      </w:tr>
      <w:tr w:rsidR="00B02873" w:rsidRPr="00B02873" w14:paraId="2D17AE88" w14:textId="77777777" w:rsidTr="00BC7794">
        <w:trPr>
          <w:trHeight w:val="60"/>
        </w:trPr>
        <w:tc>
          <w:tcPr>
            <w:tcW w:w="5382" w:type="dxa"/>
          </w:tcPr>
          <w:p w14:paraId="556E48A1" w14:textId="77777777" w:rsidR="00B02873" w:rsidRDefault="00B02873" w:rsidP="00BC7794">
            <w:pPr>
              <w:pStyle w:val="TablebodyleftFinancialsTables"/>
            </w:pPr>
            <w:r>
              <w:t>Manningham City Council</w:t>
            </w:r>
          </w:p>
        </w:tc>
        <w:tc>
          <w:tcPr>
            <w:tcW w:w="1559" w:type="dxa"/>
          </w:tcPr>
          <w:p w14:paraId="02E52DB8" w14:textId="77777777" w:rsidR="00B02873" w:rsidRDefault="00B02873" w:rsidP="00DB60C6">
            <w:pPr>
              <w:pStyle w:val="TablebodyleftFinancialsTables"/>
              <w:jc w:val="right"/>
            </w:pPr>
            <w:r>
              <w:t>105,000</w:t>
            </w:r>
          </w:p>
        </w:tc>
      </w:tr>
      <w:tr w:rsidR="00B02873" w:rsidRPr="00B02873" w14:paraId="75A779A9" w14:textId="77777777" w:rsidTr="00BC7794">
        <w:trPr>
          <w:trHeight w:val="60"/>
        </w:trPr>
        <w:tc>
          <w:tcPr>
            <w:tcW w:w="5382" w:type="dxa"/>
          </w:tcPr>
          <w:p w14:paraId="008F6437" w14:textId="77777777" w:rsidR="00B02873" w:rsidRDefault="00B02873" w:rsidP="00BC7794">
            <w:pPr>
              <w:pStyle w:val="TablebodyleftFinancialsTables"/>
            </w:pPr>
            <w:r>
              <w:t>East Gippsland Rail Trail Committee of Management Inc.</w:t>
            </w:r>
          </w:p>
        </w:tc>
        <w:tc>
          <w:tcPr>
            <w:tcW w:w="1559" w:type="dxa"/>
          </w:tcPr>
          <w:p w14:paraId="18043D11" w14:textId="77777777" w:rsidR="00B02873" w:rsidRDefault="00B02873" w:rsidP="00DB60C6">
            <w:pPr>
              <w:pStyle w:val="TablebodyleftFinancialsTables"/>
              <w:jc w:val="right"/>
            </w:pPr>
            <w:r>
              <w:t>98,848</w:t>
            </w:r>
          </w:p>
        </w:tc>
      </w:tr>
      <w:tr w:rsidR="00B02873" w:rsidRPr="00B02873" w14:paraId="0DC1AAEB" w14:textId="77777777" w:rsidTr="00BC7794">
        <w:trPr>
          <w:trHeight w:val="60"/>
        </w:trPr>
        <w:tc>
          <w:tcPr>
            <w:tcW w:w="5382" w:type="dxa"/>
          </w:tcPr>
          <w:p w14:paraId="34F32E7C" w14:textId="77777777" w:rsidR="00B02873" w:rsidRDefault="00B02873" w:rsidP="00BC7794">
            <w:pPr>
              <w:pStyle w:val="TablebodyleftFinancialsTables"/>
            </w:pPr>
            <w:r>
              <w:t>Victorian Plantations Corporation</w:t>
            </w:r>
          </w:p>
        </w:tc>
        <w:tc>
          <w:tcPr>
            <w:tcW w:w="1559" w:type="dxa"/>
          </w:tcPr>
          <w:p w14:paraId="704B246F" w14:textId="77777777" w:rsidR="00B02873" w:rsidRDefault="00B02873" w:rsidP="00DB60C6">
            <w:pPr>
              <w:pStyle w:val="TablebodyleftFinancialsTables"/>
              <w:jc w:val="right"/>
            </w:pPr>
            <w:r>
              <w:t>90,000</w:t>
            </w:r>
          </w:p>
        </w:tc>
      </w:tr>
      <w:tr w:rsidR="00B02873" w:rsidRPr="00B02873" w14:paraId="379FB4CF" w14:textId="77777777" w:rsidTr="00BC7794">
        <w:trPr>
          <w:trHeight w:val="60"/>
        </w:trPr>
        <w:tc>
          <w:tcPr>
            <w:tcW w:w="5382" w:type="dxa"/>
          </w:tcPr>
          <w:p w14:paraId="59C69EC2" w14:textId="77777777" w:rsidR="00B02873" w:rsidRDefault="00B02873" w:rsidP="00BC7794">
            <w:pPr>
              <w:pStyle w:val="TablebodyleftFinancialsTables"/>
            </w:pPr>
            <w:r>
              <w:t>Lake Charlegrark Recreation Reserve Committee</w:t>
            </w:r>
          </w:p>
        </w:tc>
        <w:tc>
          <w:tcPr>
            <w:tcW w:w="1559" w:type="dxa"/>
          </w:tcPr>
          <w:p w14:paraId="33C56AD1" w14:textId="77777777" w:rsidR="00B02873" w:rsidRDefault="00B02873" w:rsidP="00DB60C6">
            <w:pPr>
              <w:pStyle w:val="TablebodyleftFinancialsTables"/>
              <w:jc w:val="right"/>
            </w:pPr>
            <w:r>
              <w:t>83,831</w:t>
            </w:r>
          </w:p>
        </w:tc>
      </w:tr>
      <w:tr w:rsidR="00B02873" w:rsidRPr="00B02873" w14:paraId="4A9E337D" w14:textId="77777777" w:rsidTr="00BC7794">
        <w:trPr>
          <w:trHeight w:val="60"/>
        </w:trPr>
        <w:tc>
          <w:tcPr>
            <w:tcW w:w="5382" w:type="dxa"/>
          </w:tcPr>
          <w:p w14:paraId="04E83DB9" w14:textId="77777777" w:rsidR="00B02873" w:rsidRDefault="00B02873" w:rsidP="00BC7794">
            <w:pPr>
              <w:pStyle w:val="TablebodyleftFinancialsTables"/>
            </w:pPr>
            <w:r>
              <w:t>Indigo Shire Council</w:t>
            </w:r>
          </w:p>
        </w:tc>
        <w:tc>
          <w:tcPr>
            <w:tcW w:w="1559" w:type="dxa"/>
          </w:tcPr>
          <w:p w14:paraId="5C94917C" w14:textId="77777777" w:rsidR="00B02873" w:rsidRDefault="00B02873" w:rsidP="00DB60C6">
            <w:pPr>
              <w:pStyle w:val="TablebodyleftFinancialsTables"/>
              <w:jc w:val="right"/>
            </w:pPr>
            <w:r>
              <w:t>80,000</w:t>
            </w:r>
          </w:p>
        </w:tc>
      </w:tr>
      <w:tr w:rsidR="00B02873" w:rsidRPr="00B02873" w14:paraId="000CCEE9" w14:textId="77777777" w:rsidTr="00BC7794">
        <w:trPr>
          <w:trHeight w:val="60"/>
        </w:trPr>
        <w:tc>
          <w:tcPr>
            <w:tcW w:w="5382" w:type="dxa"/>
          </w:tcPr>
          <w:p w14:paraId="322A1C66" w14:textId="77777777" w:rsidR="00B02873" w:rsidRDefault="00B02873" w:rsidP="00BC7794">
            <w:pPr>
              <w:pStyle w:val="TablebodyleftFinancialsTables"/>
            </w:pPr>
            <w:r>
              <w:t>Moorabool Shire Council</w:t>
            </w:r>
          </w:p>
        </w:tc>
        <w:tc>
          <w:tcPr>
            <w:tcW w:w="1559" w:type="dxa"/>
          </w:tcPr>
          <w:p w14:paraId="149054AB" w14:textId="77777777" w:rsidR="00B02873" w:rsidRDefault="00B02873" w:rsidP="00DB60C6">
            <w:pPr>
              <w:pStyle w:val="TablebodyleftFinancialsTables"/>
              <w:jc w:val="right"/>
            </w:pPr>
            <w:r>
              <w:t>70,000</w:t>
            </w:r>
          </w:p>
        </w:tc>
      </w:tr>
      <w:tr w:rsidR="00B02873" w:rsidRPr="00B02873" w14:paraId="3F63AFB9" w14:textId="77777777" w:rsidTr="00BC7794">
        <w:trPr>
          <w:trHeight w:val="60"/>
        </w:trPr>
        <w:tc>
          <w:tcPr>
            <w:tcW w:w="5382" w:type="dxa"/>
          </w:tcPr>
          <w:p w14:paraId="066A6942" w14:textId="77777777" w:rsidR="00B02873" w:rsidRDefault="00B02873" w:rsidP="00BC7794">
            <w:pPr>
              <w:pStyle w:val="TablebodyleftFinancialsTables"/>
            </w:pPr>
            <w:r>
              <w:t>Stonnington City Council</w:t>
            </w:r>
          </w:p>
        </w:tc>
        <w:tc>
          <w:tcPr>
            <w:tcW w:w="1559" w:type="dxa"/>
          </w:tcPr>
          <w:p w14:paraId="3B54CDB0" w14:textId="77777777" w:rsidR="00B02873" w:rsidRDefault="00B02873" w:rsidP="00DB60C6">
            <w:pPr>
              <w:pStyle w:val="TablebodyleftFinancialsTables"/>
              <w:jc w:val="right"/>
            </w:pPr>
            <w:r>
              <w:t>68,750</w:t>
            </w:r>
          </w:p>
        </w:tc>
      </w:tr>
      <w:tr w:rsidR="00B02873" w:rsidRPr="00B02873" w14:paraId="22D8D2D4" w14:textId="77777777" w:rsidTr="00BC7794">
        <w:trPr>
          <w:trHeight w:val="60"/>
        </w:trPr>
        <w:tc>
          <w:tcPr>
            <w:tcW w:w="5382" w:type="dxa"/>
          </w:tcPr>
          <w:p w14:paraId="6E592B37" w14:textId="77777777" w:rsidR="00B02873" w:rsidRDefault="00B02873" w:rsidP="00BC7794">
            <w:pPr>
              <w:pStyle w:val="TablebodyleftFinancialsTables"/>
            </w:pPr>
            <w:r>
              <w:t>Greater Shepparton City Council</w:t>
            </w:r>
          </w:p>
        </w:tc>
        <w:tc>
          <w:tcPr>
            <w:tcW w:w="1559" w:type="dxa"/>
          </w:tcPr>
          <w:p w14:paraId="6DDBC31B" w14:textId="77777777" w:rsidR="00B02873" w:rsidRDefault="00B02873" w:rsidP="00DB60C6">
            <w:pPr>
              <w:pStyle w:val="TablebodyleftFinancialsTables"/>
              <w:jc w:val="right"/>
            </w:pPr>
            <w:r>
              <w:t>68,118</w:t>
            </w:r>
          </w:p>
        </w:tc>
      </w:tr>
      <w:tr w:rsidR="00B02873" w:rsidRPr="00B02873" w14:paraId="5B1FC0E6" w14:textId="77777777" w:rsidTr="00BC7794">
        <w:trPr>
          <w:trHeight w:val="60"/>
        </w:trPr>
        <w:tc>
          <w:tcPr>
            <w:tcW w:w="5382" w:type="dxa"/>
          </w:tcPr>
          <w:p w14:paraId="731CD7C5" w14:textId="77777777" w:rsidR="00B02873" w:rsidRDefault="00B02873" w:rsidP="00BC7794">
            <w:pPr>
              <w:pStyle w:val="TablebodyleftFinancialsTables"/>
            </w:pPr>
            <w:r>
              <w:lastRenderedPageBreak/>
              <w:t>Glenelg Shire Council</w:t>
            </w:r>
          </w:p>
        </w:tc>
        <w:tc>
          <w:tcPr>
            <w:tcW w:w="1559" w:type="dxa"/>
          </w:tcPr>
          <w:p w14:paraId="348E88B8" w14:textId="77777777" w:rsidR="00B02873" w:rsidRDefault="00B02873" w:rsidP="00DB60C6">
            <w:pPr>
              <w:pStyle w:val="TablebodyleftFinancialsTables"/>
              <w:jc w:val="right"/>
            </w:pPr>
            <w:r>
              <w:t>57,600</w:t>
            </w:r>
          </w:p>
        </w:tc>
      </w:tr>
      <w:tr w:rsidR="00B02873" w:rsidRPr="00B02873" w14:paraId="157F6591" w14:textId="77777777" w:rsidTr="00BC7794">
        <w:trPr>
          <w:trHeight w:val="60"/>
        </w:trPr>
        <w:tc>
          <w:tcPr>
            <w:tcW w:w="5382" w:type="dxa"/>
          </w:tcPr>
          <w:p w14:paraId="6C383163" w14:textId="77777777" w:rsidR="00B02873" w:rsidRDefault="00B02873" w:rsidP="00BC7794">
            <w:pPr>
              <w:pStyle w:val="TablebodyleftFinancialsTables"/>
            </w:pPr>
            <w:r>
              <w:t>Camperdown Timboon Rail Trail Committee of Management</w:t>
            </w:r>
          </w:p>
        </w:tc>
        <w:tc>
          <w:tcPr>
            <w:tcW w:w="1559" w:type="dxa"/>
          </w:tcPr>
          <w:p w14:paraId="42CB8A24" w14:textId="77777777" w:rsidR="00B02873" w:rsidRDefault="00B02873" w:rsidP="00DB60C6">
            <w:pPr>
              <w:pStyle w:val="TablebodyleftFinancialsTables"/>
              <w:jc w:val="right"/>
            </w:pPr>
            <w:r>
              <w:t>57,500</w:t>
            </w:r>
          </w:p>
        </w:tc>
      </w:tr>
      <w:tr w:rsidR="00B02873" w:rsidRPr="00B02873" w14:paraId="778E24C2" w14:textId="77777777" w:rsidTr="00BC7794">
        <w:trPr>
          <w:trHeight w:val="60"/>
        </w:trPr>
        <w:tc>
          <w:tcPr>
            <w:tcW w:w="5382" w:type="dxa"/>
          </w:tcPr>
          <w:p w14:paraId="53682106" w14:textId="77777777" w:rsidR="00B02873" w:rsidRDefault="00B02873" w:rsidP="00BC7794">
            <w:pPr>
              <w:pStyle w:val="TablebodyleftFinancialsTables"/>
            </w:pPr>
            <w:r>
              <w:t>Loddon Shire Council</w:t>
            </w:r>
          </w:p>
        </w:tc>
        <w:tc>
          <w:tcPr>
            <w:tcW w:w="1559" w:type="dxa"/>
          </w:tcPr>
          <w:p w14:paraId="5CC7C99B" w14:textId="77777777" w:rsidR="00B02873" w:rsidRDefault="00B02873" w:rsidP="00DB60C6">
            <w:pPr>
              <w:pStyle w:val="TablebodyleftFinancialsTables"/>
              <w:jc w:val="right"/>
            </w:pPr>
            <w:r>
              <w:t>54,241</w:t>
            </w:r>
          </w:p>
        </w:tc>
      </w:tr>
      <w:tr w:rsidR="00B02873" w:rsidRPr="00B02873" w14:paraId="3122D8A5" w14:textId="77777777" w:rsidTr="00BC7794">
        <w:trPr>
          <w:trHeight w:val="60"/>
        </w:trPr>
        <w:tc>
          <w:tcPr>
            <w:tcW w:w="5382" w:type="dxa"/>
          </w:tcPr>
          <w:p w14:paraId="2325246F" w14:textId="77777777" w:rsidR="00B02873" w:rsidRDefault="00B02873" w:rsidP="00BC7794">
            <w:pPr>
              <w:pStyle w:val="TablebodyleftFinancialsTables"/>
            </w:pPr>
            <w:r>
              <w:t>Baw Baw Shire Council</w:t>
            </w:r>
          </w:p>
        </w:tc>
        <w:tc>
          <w:tcPr>
            <w:tcW w:w="1559" w:type="dxa"/>
          </w:tcPr>
          <w:p w14:paraId="62F376D6" w14:textId="77777777" w:rsidR="00B02873" w:rsidRDefault="00B02873" w:rsidP="00DB60C6">
            <w:pPr>
              <w:pStyle w:val="TablebodyleftFinancialsTables"/>
              <w:jc w:val="right"/>
            </w:pPr>
            <w:r>
              <w:t>53,350</w:t>
            </w:r>
          </w:p>
        </w:tc>
      </w:tr>
      <w:tr w:rsidR="00B02873" w:rsidRPr="00B02873" w14:paraId="32118C44" w14:textId="77777777" w:rsidTr="00BC7794">
        <w:trPr>
          <w:trHeight w:val="60"/>
        </w:trPr>
        <w:tc>
          <w:tcPr>
            <w:tcW w:w="5382" w:type="dxa"/>
          </w:tcPr>
          <w:p w14:paraId="20DDF0CF" w14:textId="77777777" w:rsidR="00B02873" w:rsidRDefault="00B02873" w:rsidP="00BC7794">
            <w:pPr>
              <w:pStyle w:val="TablebodyleftFinancialsTables"/>
            </w:pPr>
            <w:r>
              <w:t>Birdlife Australia</w:t>
            </w:r>
          </w:p>
        </w:tc>
        <w:tc>
          <w:tcPr>
            <w:tcW w:w="1559" w:type="dxa"/>
          </w:tcPr>
          <w:p w14:paraId="7D6BF7E2" w14:textId="77777777" w:rsidR="00B02873" w:rsidRDefault="00B02873" w:rsidP="00DB60C6">
            <w:pPr>
              <w:pStyle w:val="TablebodyleftFinancialsTables"/>
              <w:jc w:val="right"/>
            </w:pPr>
            <w:r>
              <w:t>50,037</w:t>
            </w:r>
          </w:p>
        </w:tc>
      </w:tr>
      <w:tr w:rsidR="00B02873" w:rsidRPr="00B02873" w14:paraId="43FC10BC" w14:textId="77777777" w:rsidTr="00BC7794">
        <w:trPr>
          <w:trHeight w:val="60"/>
        </w:trPr>
        <w:tc>
          <w:tcPr>
            <w:tcW w:w="5382" w:type="dxa"/>
          </w:tcPr>
          <w:p w14:paraId="663EED95" w14:textId="77777777" w:rsidR="00B02873" w:rsidRDefault="00B02873" w:rsidP="00BC7794">
            <w:pPr>
              <w:pStyle w:val="TablebodyleftFinancialsTables"/>
            </w:pPr>
            <w:r>
              <w:t>City of Greater Geelong</w:t>
            </w:r>
          </w:p>
        </w:tc>
        <w:tc>
          <w:tcPr>
            <w:tcW w:w="1559" w:type="dxa"/>
          </w:tcPr>
          <w:p w14:paraId="172D6804" w14:textId="77777777" w:rsidR="00B02873" w:rsidRDefault="00B02873" w:rsidP="00DB60C6">
            <w:pPr>
              <w:pStyle w:val="TablebodyleftFinancialsTables"/>
              <w:jc w:val="right"/>
            </w:pPr>
            <w:r>
              <w:t>50,000</w:t>
            </w:r>
          </w:p>
        </w:tc>
      </w:tr>
      <w:tr w:rsidR="00B02873" w:rsidRPr="00B02873" w14:paraId="49EC08E5" w14:textId="77777777" w:rsidTr="00BC7794">
        <w:trPr>
          <w:trHeight w:val="60"/>
        </w:trPr>
        <w:tc>
          <w:tcPr>
            <w:tcW w:w="5382" w:type="dxa"/>
          </w:tcPr>
          <w:p w14:paraId="381AC760" w14:textId="77777777" w:rsidR="00B02873" w:rsidRDefault="00B02873" w:rsidP="00BC7794">
            <w:pPr>
              <w:pStyle w:val="TablebodyleftFinancialsTables"/>
            </w:pPr>
            <w:r>
              <w:t>Murchison River Road Caravan Park Inc</w:t>
            </w:r>
          </w:p>
        </w:tc>
        <w:tc>
          <w:tcPr>
            <w:tcW w:w="1559" w:type="dxa"/>
          </w:tcPr>
          <w:p w14:paraId="765F87DC" w14:textId="77777777" w:rsidR="00B02873" w:rsidRDefault="00B02873" w:rsidP="00DB60C6">
            <w:pPr>
              <w:pStyle w:val="TablebodyleftFinancialsTables"/>
              <w:jc w:val="right"/>
            </w:pPr>
            <w:r>
              <w:t>50,000</w:t>
            </w:r>
          </w:p>
        </w:tc>
      </w:tr>
      <w:tr w:rsidR="00B02873" w:rsidRPr="00B02873" w14:paraId="3B8E6AFD" w14:textId="77777777" w:rsidTr="00BC7794">
        <w:trPr>
          <w:trHeight w:val="60"/>
        </w:trPr>
        <w:tc>
          <w:tcPr>
            <w:tcW w:w="5382" w:type="dxa"/>
          </w:tcPr>
          <w:p w14:paraId="7F1E0A56" w14:textId="77777777" w:rsidR="00B02873" w:rsidRDefault="00B02873" w:rsidP="00BC7794">
            <w:pPr>
              <w:pStyle w:val="TablebodyleftFinancialsTables"/>
            </w:pPr>
            <w:r>
              <w:t>Oxley Recreation Reserve</w:t>
            </w:r>
          </w:p>
        </w:tc>
        <w:tc>
          <w:tcPr>
            <w:tcW w:w="1559" w:type="dxa"/>
          </w:tcPr>
          <w:p w14:paraId="3E7F7A95" w14:textId="77777777" w:rsidR="00B02873" w:rsidRDefault="00B02873" w:rsidP="00DB60C6">
            <w:pPr>
              <w:pStyle w:val="TablebodyleftFinancialsTables"/>
              <w:jc w:val="right"/>
            </w:pPr>
            <w:r>
              <w:t>48,000</w:t>
            </w:r>
          </w:p>
        </w:tc>
      </w:tr>
      <w:tr w:rsidR="00B02873" w:rsidRPr="00B02873" w14:paraId="51DFC2AB" w14:textId="77777777" w:rsidTr="00BC7794">
        <w:trPr>
          <w:trHeight w:val="60"/>
        </w:trPr>
        <w:tc>
          <w:tcPr>
            <w:tcW w:w="5382" w:type="dxa"/>
          </w:tcPr>
          <w:p w14:paraId="61AB42FA" w14:textId="77777777" w:rsidR="00B02873" w:rsidRDefault="00B02873" w:rsidP="00BC7794">
            <w:pPr>
              <w:pStyle w:val="TablebodyleftFinancialsTables"/>
            </w:pPr>
            <w:r>
              <w:t>Marlay Point Public Purposes Reserve</w:t>
            </w:r>
          </w:p>
        </w:tc>
        <w:tc>
          <w:tcPr>
            <w:tcW w:w="1559" w:type="dxa"/>
          </w:tcPr>
          <w:p w14:paraId="02354D36" w14:textId="77777777" w:rsidR="00B02873" w:rsidRDefault="00B02873" w:rsidP="00DB60C6">
            <w:pPr>
              <w:pStyle w:val="TablebodyleftFinancialsTables"/>
              <w:jc w:val="right"/>
            </w:pPr>
            <w:r>
              <w:t>46,000</w:t>
            </w:r>
          </w:p>
        </w:tc>
      </w:tr>
      <w:tr w:rsidR="00B02873" w:rsidRPr="00B02873" w14:paraId="454F5483" w14:textId="77777777" w:rsidTr="00BC7794">
        <w:trPr>
          <w:trHeight w:val="60"/>
        </w:trPr>
        <w:tc>
          <w:tcPr>
            <w:tcW w:w="5382" w:type="dxa"/>
          </w:tcPr>
          <w:p w14:paraId="103C00DA" w14:textId="77777777" w:rsidR="00B02873" w:rsidRDefault="00B02873" w:rsidP="00BC7794">
            <w:pPr>
              <w:pStyle w:val="TablebodyleftFinancialsTables"/>
            </w:pPr>
            <w:r>
              <w:t>Sandy Point Foreshore Committee of Management</w:t>
            </w:r>
          </w:p>
        </w:tc>
        <w:tc>
          <w:tcPr>
            <w:tcW w:w="1559" w:type="dxa"/>
          </w:tcPr>
          <w:p w14:paraId="68F976CC" w14:textId="77777777" w:rsidR="00B02873" w:rsidRDefault="00B02873" w:rsidP="00DB60C6">
            <w:pPr>
              <w:pStyle w:val="TablebodyleftFinancialsTables"/>
              <w:jc w:val="right"/>
            </w:pPr>
            <w:r>
              <w:t>42,536</w:t>
            </w:r>
          </w:p>
        </w:tc>
      </w:tr>
      <w:tr w:rsidR="00B02873" w:rsidRPr="00B02873" w14:paraId="4AD0B1F0" w14:textId="77777777" w:rsidTr="00BC7794">
        <w:trPr>
          <w:trHeight w:val="60"/>
        </w:trPr>
        <w:tc>
          <w:tcPr>
            <w:tcW w:w="5382" w:type="dxa"/>
          </w:tcPr>
          <w:p w14:paraId="0F6A0EB8" w14:textId="77777777" w:rsidR="00B02873" w:rsidRDefault="00B02873" w:rsidP="00BC7794">
            <w:pPr>
              <w:pStyle w:val="TablebodyleftFinancialsTables"/>
            </w:pPr>
            <w:r>
              <w:t>Bass Coast Shire Council</w:t>
            </w:r>
          </w:p>
        </w:tc>
        <w:tc>
          <w:tcPr>
            <w:tcW w:w="1559" w:type="dxa"/>
          </w:tcPr>
          <w:p w14:paraId="72C3563F" w14:textId="77777777" w:rsidR="00B02873" w:rsidRDefault="00B02873" w:rsidP="00DB60C6">
            <w:pPr>
              <w:pStyle w:val="TablebodyleftFinancialsTables"/>
              <w:jc w:val="right"/>
            </w:pPr>
            <w:r>
              <w:t>40,163</w:t>
            </w:r>
          </w:p>
        </w:tc>
      </w:tr>
      <w:tr w:rsidR="00B02873" w:rsidRPr="00B02873" w14:paraId="2499F0A6" w14:textId="77777777" w:rsidTr="00BC7794">
        <w:trPr>
          <w:trHeight w:val="60"/>
        </w:trPr>
        <w:tc>
          <w:tcPr>
            <w:tcW w:w="5382" w:type="dxa"/>
          </w:tcPr>
          <w:p w14:paraId="43471230" w14:textId="77777777" w:rsidR="00B02873" w:rsidRDefault="00B02873" w:rsidP="00BC7794">
            <w:pPr>
              <w:pStyle w:val="TablebodyleftFinancialsTables"/>
            </w:pPr>
            <w:r>
              <w:t>Natimuk Lake Foreshore Committee</w:t>
            </w:r>
          </w:p>
        </w:tc>
        <w:tc>
          <w:tcPr>
            <w:tcW w:w="1559" w:type="dxa"/>
          </w:tcPr>
          <w:p w14:paraId="189198A7" w14:textId="77777777" w:rsidR="00B02873" w:rsidRDefault="00B02873" w:rsidP="00DB60C6">
            <w:pPr>
              <w:pStyle w:val="TablebodyleftFinancialsTables"/>
              <w:jc w:val="right"/>
            </w:pPr>
            <w:r>
              <w:t>40,000</w:t>
            </w:r>
          </w:p>
        </w:tc>
      </w:tr>
      <w:tr w:rsidR="00B02873" w:rsidRPr="00B02873" w14:paraId="60E49A44" w14:textId="77777777" w:rsidTr="00BC7794">
        <w:trPr>
          <w:trHeight w:val="60"/>
        </w:trPr>
        <w:tc>
          <w:tcPr>
            <w:tcW w:w="5382" w:type="dxa"/>
          </w:tcPr>
          <w:p w14:paraId="40B1C9B3" w14:textId="77777777" w:rsidR="00B02873" w:rsidRDefault="00B02873" w:rsidP="00BC7794">
            <w:pPr>
              <w:pStyle w:val="TablebodyleftFinancialsTables"/>
            </w:pPr>
            <w:r>
              <w:t>Cardinia Shire Council</w:t>
            </w:r>
          </w:p>
        </w:tc>
        <w:tc>
          <w:tcPr>
            <w:tcW w:w="1559" w:type="dxa"/>
          </w:tcPr>
          <w:p w14:paraId="7F93B71C" w14:textId="77777777" w:rsidR="00B02873" w:rsidRDefault="00B02873" w:rsidP="00DB60C6">
            <w:pPr>
              <w:pStyle w:val="TablebodyleftFinancialsTables"/>
              <w:jc w:val="right"/>
            </w:pPr>
            <w:r>
              <w:t>39,500</w:t>
            </w:r>
          </w:p>
        </w:tc>
      </w:tr>
      <w:tr w:rsidR="00B02873" w:rsidRPr="00B02873" w14:paraId="7F33BAC4" w14:textId="77777777" w:rsidTr="00BC7794">
        <w:trPr>
          <w:trHeight w:val="60"/>
        </w:trPr>
        <w:tc>
          <w:tcPr>
            <w:tcW w:w="5382" w:type="dxa"/>
          </w:tcPr>
          <w:p w14:paraId="3CFF0E87" w14:textId="77777777" w:rsidR="00B02873" w:rsidRDefault="00B02873" w:rsidP="00BC7794">
            <w:pPr>
              <w:pStyle w:val="TablebodyleftFinancialsTables"/>
            </w:pPr>
            <w:r>
              <w:t>Sebastopol Community Centre</w:t>
            </w:r>
          </w:p>
        </w:tc>
        <w:tc>
          <w:tcPr>
            <w:tcW w:w="1559" w:type="dxa"/>
          </w:tcPr>
          <w:p w14:paraId="1FDD1322" w14:textId="77777777" w:rsidR="00B02873" w:rsidRDefault="00B02873" w:rsidP="00DB60C6">
            <w:pPr>
              <w:pStyle w:val="TablebodyleftFinancialsTables"/>
              <w:jc w:val="right"/>
            </w:pPr>
            <w:r>
              <w:t>30,936</w:t>
            </w:r>
          </w:p>
        </w:tc>
      </w:tr>
      <w:tr w:rsidR="00B02873" w:rsidRPr="00B02873" w14:paraId="683A8F4F" w14:textId="77777777" w:rsidTr="00BC7794">
        <w:trPr>
          <w:trHeight w:val="60"/>
        </w:trPr>
        <w:tc>
          <w:tcPr>
            <w:tcW w:w="5382" w:type="dxa"/>
          </w:tcPr>
          <w:p w14:paraId="7E90F2FA" w14:textId="77777777" w:rsidR="00B02873" w:rsidRDefault="00B02873" w:rsidP="00BC7794">
            <w:pPr>
              <w:pStyle w:val="TablebodyleftFinancialsTables"/>
            </w:pPr>
            <w:r>
              <w:t>Landcare Victoria Inc</w:t>
            </w:r>
          </w:p>
        </w:tc>
        <w:tc>
          <w:tcPr>
            <w:tcW w:w="1559" w:type="dxa"/>
          </w:tcPr>
          <w:p w14:paraId="19C651BD" w14:textId="77777777" w:rsidR="00B02873" w:rsidRDefault="00B02873" w:rsidP="00DB60C6">
            <w:pPr>
              <w:pStyle w:val="TablebodyleftFinancialsTables"/>
              <w:jc w:val="right"/>
            </w:pPr>
            <w:r>
              <w:t>27,044</w:t>
            </w:r>
          </w:p>
        </w:tc>
      </w:tr>
      <w:tr w:rsidR="00B02873" w:rsidRPr="00B02873" w14:paraId="6B339F86" w14:textId="77777777" w:rsidTr="00BC7794">
        <w:trPr>
          <w:trHeight w:val="60"/>
        </w:trPr>
        <w:tc>
          <w:tcPr>
            <w:tcW w:w="5382" w:type="dxa"/>
          </w:tcPr>
          <w:p w14:paraId="2998A6C3" w14:textId="77777777" w:rsidR="00B02873" w:rsidRDefault="00B02873" w:rsidP="00BC7794">
            <w:pPr>
              <w:pStyle w:val="TablebodyleftFinancialsTables"/>
            </w:pPr>
            <w:r>
              <w:t>Marine Care Ricketts Point Inc</w:t>
            </w:r>
          </w:p>
        </w:tc>
        <w:tc>
          <w:tcPr>
            <w:tcW w:w="1559" w:type="dxa"/>
          </w:tcPr>
          <w:p w14:paraId="6042513E" w14:textId="77777777" w:rsidR="00B02873" w:rsidRDefault="00B02873" w:rsidP="00DB60C6">
            <w:pPr>
              <w:pStyle w:val="TablebodyleftFinancialsTables"/>
              <w:jc w:val="right"/>
            </w:pPr>
            <w:r>
              <w:t>26,955</w:t>
            </w:r>
          </w:p>
        </w:tc>
      </w:tr>
      <w:tr w:rsidR="00B02873" w:rsidRPr="00B02873" w14:paraId="52C0D09C" w14:textId="77777777" w:rsidTr="00BC7794">
        <w:trPr>
          <w:trHeight w:val="60"/>
        </w:trPr>
        <w:tc>
          <w:tcPr>
            <w:tcW w:w="5382" w:type="dxa"/>
          </w:tcPr>
          <w:p w14:paraId="367BB604" w14:textId="77777777" w:rsidR="00B02873" w:rsidRDefault="00B02873" w:rsidP="00BC7794">
            <w:pPr>
              <w:pStyle w:val="TablebodyleftFinancialsTables"/>
            </w:pPr>
            <w:r>
              <w:t>Reef Life Survey</w:t>
            </w:r>
          </w:p>
        </w:tc>
        <w:tc>
          <w:tcPr>
            <w:tcW w:w="1559" w:type="dxa"/>
          </w:tcPr>
          <w:p w14:paraId="4302854E" w14:textId="77777777" w:rsidR="00B02873" w:rsidRDefault="00B02873" w:rsidP="00DB60C6">
            <w:pPr>
              <w:pStyle w:val="TablebodyleftFinancialsTables"/>
              <w:jc w:val="right"/>
            </w:pPr>
            <w:r>
              <w:t>26,622</w:t>
            </w:r>
          </w:p>
        </w:tc>
      </w:tr>
      <w:tr w:rsidR="00B02873" w:rsidRPr="00B02873" w14:paraId="103B7EE4" w14:textId="77777777" w:rsidTr="00BC7794">
        <w:trPr>
          <w:trHeight w:val="60"/>
        </w:trPr>
        <w:tc>
          <w:tcPr>
            <w:tcW w:w="5382" w:type="dxa"/>
          </w:tcPr>
          <w:p w14:paraId="4A0FD141" w14:textId="77777777" w:rsidR="00B02873" w:rsidRDefault="00B02873" w:rsidP="00BC7794">
            <w:pPr>
              <w:pStyle w:val="TablebodyleftFinancialsTables"/>
            </w:pPr>
            <w:r>
              <w:t>Ventnor Coast Care Association Incorporated</w:t>
            </w:r>
          </w:p>
        </w:tc>
        <w:tc>
          <w:tcPr>
            <w:tcW w:w="1559" w:type="dxa"/>
          </w:tcPr>
          <w:p w14:paraId="5BDB899F" w14:textId="77777777" w:rsidR="00B02873" w:rsidRDefault="00B02873" w:rsidP="00DB60C6">
            <w:pPr>
              <w:pStyle w:val="TablebodyleftFinancialsTables"/>
              <w:jc w:val="right"/>
            </w:pPr>
            <w:r>
              <w:t>25,638</w:t>
            </w:r>
          </w:p>
        </w:tc>
      </w:tr>
      <w:tr w:rsidR="00B02873" w:rsidRPr="00B02873" w14:paraId="62B029DC" w14:textId="77777777" w:rsidTr="00BC7794">
        <w:trPr>
          <w:trHeight w:val="60"/>
        </w:trPr>
        <w:tc>
          <w:tcPr>
            <w:tcW w:w="5382" w:type="dxa"/>
          </w:tcPr>
          <w:p w14:paraId="557FBA68" w14:textId="77777777" w:rsidR="00B02873" w:rsidRDefault="00B02873" w:rsidP="00BC7794">
            <w:pPr>
              <w:pStyle w:val="TablebodyleftFinancialsTables"/>
            </w:pPr>
            <w:r>
              <w:t>Merricks Beach Foreshore Committee of Management</w:t>
            </w:r>
          </w:p>
        </w:tc>
        <w:tc>
          <w:tcPr>
            <w:tcW w:w="1559" w:type="dxa"/>
          </w:tcPr>
          <w:p w14:paraId="201F0FDC" w14:textId="77777777" w:rsidR="00B02873" w:rsidRDefault="00B02873" w:rsidP="00DB60C6">
            <w:pPr>
              <w:pStyle w:val="TablebodyleftFinancialsTables"/>
              <w:jc w:val="right"/>
            </w:pPr>
            <w:r>
              <w:t>25,060</w:t>
            </w:r>
          </w:p>
        </w:tc>
      </w:tr>
      <w:tr w:rsidR="00B02873" w:rsidRPr="00B02873" w14:paraId="2A0B729E" w14:textId="77777777" w:rsidTr="00BC7794">
        <w:trPr>
          <w:trHeight w:val="60"/>
        </w:trPr>
        <w:tc>
          <w:tcPr>
            <w:tcW w:w="5382" w:type="dxa"/>
          </w:tcPr>
          <w:p w14:paraId="1B42CCF1" w14:textId="77777777" w:rsidR="00B02873" w:rsidRDefault="00B02873" w:rsidP="00BC7794">
            <w:pPr>
              <w:pStyle w:val="TablebodyleftFinancialsTables"/>
            </w:pPr>
            <w:r>
              <w:t>Invasive Species Council</w:t>
            </w:r>
          </w:p>
        </w:tc>
        <w:tc>
          <w:tcPr>
            <w:tcW w:w="1559" w:type="dxa"/>
          </w:tcPr>
          <w:p w14:paraId="6CBD023B" w14:textId="77777777" w:rsidR="00B02873" w:rsidRDefault="00B02873" w:rsidP="00DB60C6">
            <w:pPr>
              <w:pStyle w:val="TablebodyleftFinancialsTables"/>
              <w:jc w:val="right"/>
            </w:pPr>
            <w:r>
              <w:t>25,000</w:t>
            </w:r>
          </w:p>
        </w:tc>
      </w:tr>
      <w:tr w:rsidR="00B02873" w:rsidRPr="00B02873" w14:paraId="786421BA" w14:textId="77777777" w:rsidTr="00BC7794">
        <w:trPr>
          <w:trHeight w:val="60"/>
        </w:trPr>
        <w:tc>
          <w:tcPr>
            <w:tcW w:w="5382" w:type="dxa"/>
          </w:tcPr>
          <w:p w14:paraId="1438E181" w14:textId="77777777" w:rsidR="00B02873" w:rsidRDefault="00B02873" w:rsidP="00BC7794">
            <w:pPr>
              <w:pStyle w:val="TablebodyleftFinancialsTables"/>
            </w:pPr>
            <w:r>
              <w:t>Borough of Queenscliffe</w:t>
            </w:r>
          </w:p>
        </w:tc>
        <w:tc>
          <w:tcPr>
            <w:tcW w:w="1559" w:type="dxa"/>
          </w:tcPr>
          <w:p w14:paraId="652FDDFD" w14:textId="77777777" w:rsidR="00B02873" w:rsidRDefault="00B02873" w:rsidP="00DB60C6">
            <w:pPr>
              <w:pStyle w:val="TablebodyleftFinancialsTables"/>
              <w:jc w:val="right"/>
            </w:pPr>
            <w:r>
              <w:t>22,672</w:t>
            </w:r>
          </w:p>
        </w:tc>
      </w:tr>
      <w:tr w:rsidR="00B02873" w:rsidRPr="00B02873" w14:paraId="77D4F3DD" w14:textId="77777777" w:rsidTr="00BC7794">
        <w:trPr>
          <w:trHeight w:val="60"/>
        </w:trPr>
        <w:tc>
          <w:tcPr>
            <w:tcW w:w="5382" w:type="dxa"/>
          </w:tcPr>
          <w:p w14:paraId="346ECF36" w14:textId="77777777" w:rsidR="00B02873" w:rsidRDefault="00B02873" w:rsidP="00BC7794">
            <w:pPr>
              <w:pStyle w:val="TablebodyleftFinancialsTables"/>
            </w:pPr>
            <w:r>
              <w:t>Bellarine Catchment Network Inc</w:t>
            </w:r>
          </w:p>
        </w:tc>
        <w:tc>
          <w:tcPr>
            <w:tcW w:w="1559" w:type="dxa"/>
          </w:tcPr>
          <w:p w14:paraId="1A102129" w14:textId="77777777" w:rsidR="00B02873" w:rsidRDefault="00B02873" w:rsidP="00DB60C6">
            <w:pPr>
              <w:pStyle w:val="TablebodyleftFinancialsTables"/>
              <w:jc w:val="right"/>
            </w:pPr>
            <w:r>
              <w:t>22,168</w:t>
            </w:r>
          </w:p>
        </w:tc>
      </w:tr>
      <w:tr w:rsidR="00B02873" w:rsidRPr="00B02873" w14:paraId="03AB00DB" w14:textId="77777777" w:rsidTr="00BC7794">
        <w:trPr>
          <w:trHeight w:val="60"/>
        </w:trPr>
        <w:tc>
          <w:tcPr>
            <w:tcW w:w="5382" w:type="dxa"/>
          </w:tcPr>
          <w:p w14:paraId="3F9C5A8C" w14:textId="77777777" w:rsidR="00B02873" w:rsidRDefault="00B02873" w:rsidP="00BC7794">
            <w:pPr>
              <w:pStyle w:val="TablebodyleftFinancialsTables"/>
            </w:pPr>
            <w:r>
              <w:t>Thorpdale Recreation Reserve</w:t>
            </w:r>
          </w:p>
        </w:tc>
        <w:tc>
          <w:tcPr>
            <w:tcW w:w="1559" w:type="dxa"/>
          </w:tcPr>
          <w:p w14:paraId="6C4A9109" w14:textId="77777777" w:rsidR="00B02873" w:rsidRDefault="00B02873" w:rsidP="00DB60C6">
            <w:pPr>
              <w:pStyle w:val="TablebodyleftFinancialsTables"/>
              <w:jc w:val="right"/>
            </w:pPr>
            <w:r>
              <w:t>21,217</w:t>
            </w:r>
          </w:p>
        </w:tc>
      </w:tr>
      <w:tr w:rsidR="00B02873" w:rsidRPr="00B02873" w14:paraId="0FF264C2" w14:textId="77777777" w:rsidTr="00BC7794">
        <w:trPr>
          <w:trHeight w:val="60"/>
        </w:trPr>
        <w:tc>
          <w:tcPr>
            <w:tcW w:w="5382" w:type="dxa"/>
          </w:tcPr>
          <w:p w14:paraId="524C8B54" w14:textId="77777777" w:rsidR="00B02873" w:rsidRDefault="00B02873" w:rsidP="00BC7794">
            <w:pPr>
              <w:pStyle w:val="TablebodyleftFinancialsTables"/>
            </w:pPr>
            <w:r>
              <w:t>Mirboo Recreation Reserve Incorporated</w:t>
            </w:r>
          </w:p>
        </w:tc>
        <w:tc>
          <w:tcPr>
            <w:tcW w:w="1559" w:type="dxa"/>
          </w:tcPr>
          <w:p w14:paraId="5D89F114" w14:textId="77777777" w:rsidR="00B02873" w:rsidRDefault="00B02873" w:rsidP="00DB60C6">
            <w:pPr>
              <w:pStyle w:val="TablebodyleftFinancialsTables"/>
              <w:jc w:val="right"/>
            </w:pPr>
            <w:r>
              <w:t>20,500</w:t>
            </w:r>
          </w:p>
        </w:tc>
      </w:tr>
      <w:tr w:rsidR="00B02873" w:rsidRPr="00B02873" w14:paraId="3691AE7B" w14:textId="77777777" w:rsidTr="00BC7794">
        <w:trPr>
          <w:trHeight w:val="60"/>
        </w:trPr>
        <w:tc>
          <w:tcPr>
            <w:tcW w:w="5382" w:type="dxa"/>
          </w:tcPr>
          <w:p w14:paraId="61102DCE" w14:textId="77777777" w:rsidR="00B02873" w:rsidRDefault="00B02873" w:rsidP="00BC7794">
            <w:pPr>
              <w:pStyle w:val="TablebodyleftFinancialsTables"/>
            </w:pPr>
            <w:r>
              <w:t>City of Ballarat</w:t>
            </w:r>
          </w:p>
        </w:tc>
        <w:tc>
          <w:tcPr>
            <w:tcW w:w="1559" w:type="dxa"/>
          </w:tcPr>
          <w:p w14:paraId="44BA350B" w14:textId="77777777" w:rsidR="00B02873" w:rsidRDefault="00B02873" w:rsidP="00DB60C6">
            <w:pPr>
              <w:pStyle w:val="TablebodyleftFinancialsTables"/>
              <w:jc w:val="right"/>
            </w:pPr>
            <w:r>
              <w:t>20,000</w:t>
            </w:r>
          </w:p>
        </w:tc>
      </w:tr>
      <w:tr w:rsidR="00B02873" w:rsidRPr="00B02873" w14:paraId="16066E1B" w14:textId="77777777" w:rsidTr="00BC7794">
        <w:trPr>
          <w:trHeight w:val="60"/>
        </w:trPr>
        <w:tc>
          <w:tcPr>
            <w:tcW w:w="5382" w:type="dxa"/>
          </w:tcPr>
          <w:p w14:paraId="0DDF631A" w14:textId="77777777" w:rsidR="00B02873" w:rsidRDefault="00B02873" w:rsidP="00BC7794">
            <w:pPr>
              <w:pStyle w:val="TablebodyleftFinancialsTables"/>
            </w:pPr>
            <w:r>
              <w:t>Grassy Spur Camping Reserve Inc</w:t>
            </w:r>
          </w:p>
        </w:tc>
        <w:tc>
          <w:tcPr>
            <w:tcW w:w="1559" w:type="dxa"/>
          </w:tcPr>
          <w:p w14:paraId="4DE99BAF" w14:textId="77777777" w:rsidR="00B02873" w:rsidRDefault="00B02873" w:rsidP="00DB60C6">
            <w:pPr>
              <w:pStyle w:val="TablebodyleftFinancialsTables"/>
              <w:jc w:val="right"/>
            </w:pPr>
            <w:r>
              <w:t>19,080</w:t>
            </w:r>
          </w:p>
        </w:tc>
      </w:tr>
      <w:tr w:rsidR="00B02873" w:rsidRPr="00B02873" w14:paraId="590ED74D" w14:textId="77777777" w:rsidTr="00BC7794">
        <w:trPr>
          <w:trHeight w:val="60"/>
        </w:trPr>
        <w:tc>
          <w:tcPr>
            <w:tcW w:w="5382" w:type="dxa"/>
          </w:tcPr>
          <w:p w14:paraId="0FBABA02" w14:textId="77777777" w:rsidR="00B02873" w:rsidRDefault="00B02873" w:rsidP="00BC7794">
            <w:pPr>
              <w:pStyle w:val="TablebodyleftFinancialsTables"/>
            </w:pPr>
            <w:r>
              <w:t>Shoreham Foreshore Reserve Committee of Management</w:t>
            </w:r>
          </w:p>
        </w:tc>
        <w:tc>
          <w:tcPr>
            <w:tcW w:w="1559" w:type="dxa"/>
          </w:tcPr>
          <w:p w14:paraId="097E9B0C" w14:textId="77777777" w:rsidR="00B02873" w:rsidRDefault="00B02873" w:rsidP="00DB60C6">
            <w:pPr>
              <w:pStyle w:val="TablebodyleftFinancialsTables"/>
              <w:jc w:val="right"/>
            </w:pPr>
            <w:r>
              <w:t>17,500</w:t>
            </w:r>
          </w:p>
        </w:tc>
      </w:tr>
      <w:tr w:rsidR="00B02873" w:rsidRPr="00B02873" w14:paraId="1C1FDCB2" w14:textId="77777777" w:rsidTr="00BC7794">
        <w:trPr>
          <w:trHeight w:val="60"/>
        </w:trPr>
        <w:tc>
          <w:tcPr>
            <w:tcW w:w="5382" w:type="dxa"/>
          </w:tcPr>
          <w:p w14:paraId="29668ACD" w14:textId="77777777" w:rsidR="00B02873" w:rsidRDefault="00B02873" w:rsidP="00BC7794">
            <w:pPr>
              <w:pStyle w:val="TablebodyleftFinancialsTables"/>
            </w:pPr>
            <w:r>
              <w:t>Westgate Biodiversity Bili Nursery and Landcare</w:t>
            </w:r>
          </w:p>
        </w:tc>
        <w:tc>
          <w:tcPr>
            <w:tcW w:w="1559" w:type="dxa"/>
          </w:tcPr>
          <w:p w14:paraId="5DE7AE8A" w14:textId="77777777" w:rsidR="00B02873" w:rsidRDefault="00B02873" w:rsidP="00DB60C6">
            <w:pPr>
              <w:pStyle w:val="TablebodyleftFinancialsTables"/>
              <w:jc w:val="right"/>
            </w:pPr>
            <w:r>
              <w:t>17,433</w:t>
            </w:r>
          </w:p>
        </w:tc>
      </w:tr>
      <w:tr w:rsidR="00B02873" w:rsidRPr="00B02873" w14:paraId="37A9EC99" w14:textId="77777777" w:rsidTr="00BC7794">
        <w:trPr>
          <w:trHeight w:val="60"/>
        </w:trPr>
        <w:tc>
          <w:tcPr>
            <w:tcW w:w="5382" w:type="dxa"/>
          </w:tcPr>
          <w:p w14:paraId="0D62561C" w14:textId="77777777" w:rsidR="00B02873" w:rsidRDefault="00B02873" w:rsidP="00BC7794">
            <w:pPr>
              <w:pStyle w:val="TablebodyleftFinancialsTables"/>
            </w:pPr>
            <w:r>
              <w:t>Ocean Grove Primary School</w:t>
            </w:r>
          </w:p>
        </w:tc>
        <w:tc>
          <w:tcPr>
            <w:tcW w:w="1559" w:type="dxa"/>
          </w:tcPr>
          <w:p w14:paraId="108E218E" w14:textId="77777777" w:rsidR="00B02873" w:rsidRDefault="00B02873" w:rsidP="00DB60C6">
            <w:pPr>
              <w:pStyle w:val="TablebodyleftFinancialsTables"/>
              <w:jc w:val="right"/>
            </w:pPr>
            <w:r>
              <w:t>17,389</w:t>
            </w:r>
          </w:p>
        </w:tc>
      </w:tr>
      <w:tr w:rsidR="00B02873" w:rsidRPr="00B02873" w14:paraId="72DFA4E3" w14:textId="77777777" w:rsidTr="00BC7794">
        <w:trPr>
          <w:trHeight w:val="60"/>
        </w:trPr>
        <w:tc>
          <w:tcPr>
            <w:tcW w:w="5382" w:type="dxa"/>
          </w:tcPr>
          <w:p w14:paraId="0CE68346" w14:textId="77777777" w:rsidR="00B02873" w:rsidRDefault="00B02873" w:rsidP="00BC7794">
            <w:pPr>
              <w:pStyle w:val="TablebodyleftFinancialsTables"/>
            </w:pPr>
            <w:r>
              <w:t>Apollo Bay Mechanics Hall</w:t>
            </w:r>
          </w:p>
        </w:tc>
        <w:tc>
          <w:tcPr>
            <w:tcW w:w="1559" w:type="dxa"/>
          </w:tcPr>
          <w:p w14:paraId="0246D82B" w14:textId="77777777" w:rsidR="00B02873" w:rsidRDefault="00B02873" w:rsidP="00DB60C6">
            <w:pPr>
              <w:pStyle w:val="TablebodyleftFinancialsTables"/>
              <w:jc w:val="right"/>
            </w:pPr>
            <w:r>
              <w:t>17,015</w:t>
            </w:r>
          </w:p>
        </w:tc>
      </w:tr>
      <w:tr w:rsidR="00B02873" w:rsidRPr="00B02873" w14:paraId="4957C258" w14:textId="77777777" w:rsidTr="00BC7794">
        <w:trPr>
          <w:trHeight w:val="60"/>
        </w:trPr>
        <w:tc>
          <w:tcPr>
            <w:tcW w:w="5382" w:type="dxa"/>
          </w:tcPr>
          <w:p w14:paraId="08C58C4F" w14:textId="77777777" w:rsidR="00B02873" w:rsidRDefault="00B02873" w:rsidP="00BC7794">
            <w:pPr>
              <w:pStyle w:val="TablebodyleftFinancialsTables"/>
            </w:pPr>
            <w:r>
              <w:t>Warrowie Recreation Reserve</w:t>
            </w:r>
          </w:p>
        </w:tc>
        <w:tc>
          <w:tcPr>
            <w:tcW w:w="1559" w:type="dxa"/>
          </w:tcPr>
          <w:p w14:paraId="1DA47636" w14:textId="77777777" w:rsidR="00B02873" w:rsidRDefault="00B02873" w:rsidP="00DB60C6">
            <w:pPr>
              <w:pStyle w:val="TablebodyleftFinancialsTables"/>
              <w:jc w:val="right"/>
            </w:pPr>
            <w:r>
              <w:t>16,000</w:t>
            </w:r>
          </w:p>
        </w:tc>
      </w:tr>
      <w:tr w:rsidR="00B02873" w:rsidRPr="00B02873" w14:paraId="173BDD67" w14:textId="77777777" w:rsidTr="00BC7794">
        <w:trPr>
          <w:trHeight w:val="60"/>
        </w:trPr>
        <w:tc>
          <w:tcPr>
            <w:tcW w:w="5382" w:type="dxa"/>
          </w:tcPr>
          <w:p w14:paraId="46C783CF" w14:textId="77777777" w:rsidR="00B02873" w:rsidRDefault="00B02873" w:rsidP="00BC7794">
            <w:pPr>
              <w:pStyle w:val="TablebodyleftFinancialsTables"/>
            </w:pPr>
            <w:r>
              <w:t>Tanjil Bren Water Co-Operative</w:t>
            </w:r>
          </w:p>
        </w:tc>
        <w:tc>
          <w:tcPr>
            <w:tcW w:w="1559" w:type="dxa"/>
          </w:tcPr>
          <w:p w14:paraId="6F186DDE" w14:textId="77777777" w:rsidR="00B02873" w:rsidRDefault="00B02873" w:rsidP="00DB60C6">
            <w:pPr>
              <w:pStyle w:val="TablebodyleftFinancialsTables"/>
              <w:jc w:val="right"/>
            </w:pPr>
            <w:r>
              <w:t>15,779</w:t>
            </w:r>
          </w:p>
        </w:tc>
      </w:tr>
      <w:tr w:rsidR="00B02873" w:rsidRPr="00B02873" w14:paraId="7CD56987" w14:textId="77777777" w:rsidTr="00BC7794">
        <w:trPr>
          <w:trHeight w:val="60"/>
        </w:trPr>
        <w:tc>
          <w:tcPr>
            <w:tcW w:w="5382" w:type="dxa"/>
          </w:tcPr>
          <w:p w14:paraId="6EA986B7" w14:textId="77777777" w:rsidR="00B02873" w:rsidRDefault="00B02873" w:rsidP="00BC7794">
            <w:pPr>
              <w:pStyle w:val="TablebodyleftFinancialsTables"/>
            </w:pPr>
            <w:r>
              <w:t>Friends of the Bluff</w:t>
            </w:r>
          </w:p>
        </w:tc>
        <w:tc>
          <w:tcPr>
            <w:tcW w:w="1559" w:type="dxa"/>
          </w:tcPr>
          <w:p w14:paraId="78A21390" w14:textId="77777777" w:rsidR="00B02873" w:rsidRDefault="00B02873" w:rsidP="00DB60C6">
            <w:pPr>
              <w:pStyle w:val="TablebodyleftFinancialsTables"/>
              <w:jc w:val="right"/>
            </w:pPr>
            <w:r>
              <w:t>15,210</w:t>
            </w:r>
          </w:p>
        </w:tc>
      </w:tr>
      <w:tr w:rsidR="00B02873" w:rsidRPr="00B02873" w14:paraId="6361DE46" w14:textId="77777777" w:rsidTr="00BC7794">
        <w:trPr>
          <w:trHeight w:val="60"/>
        </w:trPr>
        <w:tc>
          <w:tcPr>
            <w:tcW w:w="5382" w:type="dxa"/>
          </w:tcPr>
          <w:p w14:paraId="223E67BE" w14:textId="77777777" w:rsidR="00B02873" w:rsidRDefault="00B02873" w:rsidP="00BC7794">
            <w:pPr>
              <w:pStyle w:val="TablebodyleftFinancialsTables"/>
            </w:pPr>
            <w:r>
              <w:t>Crib Point Stony Point Foreshore Committee of Management Inc</w:t>
            </w:r>
          </w:p>
        </w:tc>
        <w:tc>
          <w:tcPr>
            <w:tcW w:w="1559" w:type="dxa"/>
          </w:tcPr>
          <w:p w14:paraId="4F1E95B3" w14:textId="77777777" w:rsidR="00B02873" w:rsidRDefault="00B02873" w:rsidP="00DB60C6">
            <w:pPr>
              <w:pStyle w:val="TablebodyleftFinancialsTables"/>
              <w:jc w:val="right"/>
            </w:pPr>
            <w:r>
              <w:t>15,000</w:t>
            </w:r>
          </w:p>
        </w:tc>
      </w:tr>
      <w:tr w:rsidR="00B02873" w:rsidRPr="00B02873" w14:paraId="182E4D58" w14:textId="77777777" w:rsidTr="00BC7794">
        <w:trPr>
          <w:trHeight w:val="60"/>
        </w:trPr>
        <w:tc>
          <w:tcPr>
            <w:tcW w:w="5382" w:type="dxa"/>
          </w:tcPr>
          <w:p w14:paraId="3C991300" w14:textId="77777777" w:rsidR="00B02873" w:rsidRDefault="00B02873" w:rsidP="00BC7794">
            <w:pPr>
              <w:pStyle w:val="TablebodyleftFinancialsTables"/>
            </w:pPr>
            <w:r>
              <w:lastRenderedPageBreak/>
              <w:t>Gunbower Soldiers Memorial Hall Committee</w:t>
            </w:r>
          </w:p>
        </w:tc>
        <w:tc>
          <w:tcPr>
            <w:tcW w:w="1559" w:type="dxa"/>
          </w:tcPr>
          <w:p w14:paraId="577AAC3C" w14:textId="77777777" w:rsidR="00B02873" w:rsidRDefault="00B02873" w:rsidP="00DB60C6">
            <w:pPr>
              <w:pStyle w:val="TablebodyleftFinancialsTables"/>
              <w:jc w:val="right"/>
            </w:pPr>
            <w:r>
              <w:t>14,411</w:t>
            </w:r>
          </w:p>
        </w:tc>
      </w:tr>
      <w:tr w:rsidR="00B02873" w:rsidRPr="00B02873" w14:paraId="7EBAE4BF" w14:textId="77777777" w:rsidTr="00BC7794">
        <w:trPr>
          <w:trHeight w:val="60"/>
        </w:trPr>
        <w:tc>
          <w:tcPr>
            <w:tcW w:w="5382" w:type="dxa"/>
          </w:tcPr>
          <w:p w14:paraId="4359F0C0" w14:textId="77777777" w:rsidR="00B02873" w:rsidRDefault="00B02873" w:rsidP="00BC7794">
            <w:pPr>
              <w:pStyle w:val="TablebodyleftFinancialsTables"/>
            </w:pPr>
            <w:r>
              <w:t>Biik Environmental</w:t>
            </w:r>
          </w:p>
        </w:tc>
        <w:tc>
          <w:tcPr>
            <w:tcW w:w="1559" w:type="dxa"/>
          </w:tcPr>
          <w:p w14:paraId="6C75D009" w14:textId="77777777" w:rsidR="00B02873" w:rsidRDefault="00B02873" w:rsidP="00DB60C6">
            <w:pPr>
              <w:pStyle w:val="TablebodyleftFinancialsTables"/>
              <w:jc w:val="right"/>
            </w:pPr>
            <w:r>
              <w:t>13,115</w:t>
            </w:r>
          </w:p>
        </w:tc>
      </w:tr>
      <w:tr w:rsidR="00B02873" w:rsidRPr="00B02873" w14:paraId="21307610" w14:textId="77777777" w:rsidTr="00BC7794">
        <w:trPr>
          <w:trHeight w:val="60"/>
        </w:trPr>
        <w:tc>
          <w:tcPr>
            <w:tcW w:w="5382" w:type="dxa"/>
          </w:tcPr>
          <w:p w14:paraId="62E680C6" w14:textId="77777777" w:rsidR="00B02873" w:rsidRDefault="00B02873" w:rsidP="00BC7794">
            <w:pPr>
              <w:pStyle w:val="TablebodyleftFinancialsTables"/>
            </w:pPr>
            <w:r>
              <w:t>Moogji Aboriginal Council</w:t>
            </w:r>
          </w:p>
        </w:tc>
        <w:tc>
          <w:tcPr>
            <w:tcW w:w="1559" w:type="dxa"/>
          </w:tcPr>
          <w:p w14:paraId="3FE722D7" w14:textId="77777777" w:rsidR="00B02873" w:rsidRDefault="00B02873" w:rsidP="00DB60C6">
            <w:pPr>
              <w:pStyle w:val="TablebodyleftFinancialsTables"/>
              <w:jc w:val="right"/>
            </w:pPr>
            <w:r>
              <w:t>12,727</w:t>
            </w:r>
          </w:p>
        </w:tc>
      </w:tr>
      <w:tr w:rsidR="00B02873" w:rsidRPr="00B02873" w14:paraId="5E28B2B3" w14:textId="77777777" w:rsidTr="00BC7794">
        <w:trPr>
          <w:trHeight w:val="60"/>
        </w:trPr>
        <w:tc>
          <w:tcPr>
            <w:tcW w:w="5382" w:type="dxa"/>
          </w:tcPr>
          <w:p w14:paraId="5B2E0320" w14:textId="77777777" w:rsidR="00B02873" w:rsidRDefault="00B02873" w:rsidP="00BC7794">
            <w:pPr>
              <w:pStyle w:val="TablebodyleftFinancialsTables"/>
            </w:pPr>
            <w:r>
              <w:t>Tag for Life</w:t>
            </w:r>
          </w:p>
        </w:tc>
        <w:tc>
          <w:tcPr>
            <w:tcW w:w="1559" w:type="dxa"/>
          </w:tcPr>
          <w:p w14:paraId="0F3ACF20" w14:textId="77777777" w:rsidR="00B02873" w:rsidRDefault="00B02873" w:rsidP="00DB60C6">
            <w:pPr>
              <w:pStyle w:val="TablebodyleftFinancialsTables"/>
              <w:jc w:val="right"/>
            </w:pPr>
            <w:r>
              <w:t>12,119</w:t>
            </w:r>
          </w:p>
        </w:tc>
      </w:tr>
      <w:tr w:rsidR="00B02873" w:rsidRPr="00B02873" w14:paraId="15ED87BC" w14:textId="77777777" w:rsidTr="00BC7794">
        <w:trPr>
          <w:trHeight w:val="60"/>
        </w:trPr>
        <w:tc>
          <w:tcPr>
            <w:tcW w:w="5382" w:type="dxa"/>
          </w:tcPr>
          <w:p w14:paraId="5A5C6015" w14:textId="77777777" w:rsidR="00B02873" w:rsidRDefault="00B02873" w:rsidP="00BC7794">
            <w:pPr>
              <w:pStyle w:val="TablebodyleftFinancialsTables"/>
            </w:pPr>
            <w:r>
              <w:t>Dunolly Recreation Reserves Committee</w:t>
            </w:r>
          </w:p>
        </w:tc>
        <w:tc>
          <w:tcPr>
            <w:tcW w:w="1559" w:type="dxa"/>
          </w:tcPr>
          <w:p w14:paraId="24DEE46A" w14:textId="77777777" w:rsidR="00B02873" w:rsidRDefault="00B02873" w:rsidP="00DB60C6">
            <w:pPr>
              <w:pStyle w:val="TablebodyleftFinancialsTables"/>
              <w:jc w:val="right"/>
            </w:pPr>
            <w:r>
              <w:t>11,578</w:t>
            </w:r>
          </w:p>
        </w:tc>
      </w:tr>
      <w:tr w:rsidR="00B02873" w:rsidRPr="00B02873" w14:paraId="06A98E06" w14:textId="77777777" w:rsidTr="00BC7794">
        <w:trPr>
          <w:trHeight w:val="60"/>
        </w:trPr>
        <w:tc>
          <w:tcPr>
            <w:tcW w:w="5382" w:type="dxa"/>
          </w:tcPr>
          <w:p w14:paraId="547CE6E0" w14:textId="77777777" w:rsidR="00B02873" w:rsidRDefault="00B02873" w:rsidP="00BC7794">
            <w:pPr>
              <w:pStyle w:val="TablebodyleftFinancialsTables"/>
            </w:pPr>
            <w:r>
              <w:t>Tyers Mechanics Hall Committee of Management Inc</w:t>
            </w:r>
          </w:p>
        </w:tc>
        <w:tc>
          <w:tcPr>
            <w:tcW w:w="1559" w:type="dxa"/>
          </w:tcPr>
          <w:p w14:paraId="56B20653" w14:textId="77777777" w:rsidR="00B02873" w:rsidRDefault="00B02873" w:rsidP="00DB60C6">
            <w:pPr>
              <w:pStyle w:val="TablebodyleftFinancialsTables"/>
              <w:jc w:val="right"/>
            </w:pPr>
            <w:r>
              <w:t>10,985</w:t>
            </w:r>
          </w:p>
        </w:tc>
      </w:tr>
      <w:tr w:rsidR="00B02873" w:rsidRPr="00B02873" w14:paraId="75391F2C" w14:textId="77777777" w:rsidTr="00BC7794">
        <w:trPr>
          <w:trHeight w:val="60"/>
        </w:trPr>
        <w:tc>
          <w:tcPr>
            <w:tcW w:w="5382" w:type="dxa"/>
          </w:tcPr>
          <w:p w14:paraId="31BA36ED" w14:textId="77777777" w:rsidR="00B02873" w:rsidRDefault="00B02873" w:rsidP="00BC7794">
            <w:pPr>
              <w:pStyle w:val="TablebodyleftFinancialsTables"/>
            </w:pPr>
            <w:r>
              <w:t>Capel Sound Foreshore Committee of Management Inc</w:t>
            </w:r>
          </w:p>
        </w:tc>
        <w:tc>
          <w:tcPr>
            <w:tcW w:w="1559" w:type="dxa"/>
          </w:tcPr>
          <w:p w14:paraId="4FD9E528" w14:textId="77777777" w:rsidR="00B02873" w:rsidRDefault="00B02873" w:rsidP="00DB60C6">
            <w:pPr>
              <w:pStyle w:val="TablebodyleftFinancialsTables"/>
              <w:jc w:val="right"/>
            </w:pPr>
            <w:r>
              <w:t>10,148</w:t>
            </w:r>
          </w:p>
        </w:tc>
      </w:tr>
      <w:tr w:rsidR="00B02873" w:rsidRPr="00B02873" w14:paraId="1CABAD55" w14:textId="77777777" w:rsidTr="00BC7794">
        <w:trPr>
          <w:trHeight w:val="60"/>
        </w:trPr>
        <w:tc>
          <w:tcPr>
            <w:tcW w:w="5382" w:type="dxa"/>
          </w:tcPr>
          <w:p w14:paraId="2B6DCD8D" w14:textId="77777777" w:rsidR="00B02873" w:rsidRDefault="00B02873" w:rsidP="00BC7794">
            <w:pPr>
              <w:pStyle w:val="TablebodyleftFinancialsTables"/>
            </w:pPr>
            <w:r>
              <w:t>Koonwarra Recreation Reserve Committee of Management</w:t>
            </w:r>
          </w:p>
        </w:tc>
        <w:tc>
          <w:tcPr>
            <w:tcW w:w="1559" w:type="dxa"/>
          </w:tcPr>
          <w:p w14:paraId="2E7369B9" w14:textId="77777777" w:rsidR="00B02873" w:rsidRDefault="00B02873" w:rsidP="00DB60C6">
            <w:pPr>
              <w:pStyle w:val="TablebodyleftFinancialsTables"/>
              <w:jc w:val="right"/>
            </w:pPr>
            <w:r>
              <w:t>9,845</w:t>
            </w:r>
          </w:p>
        </w:tc>
      </w:tr>
      <w:tr w:rsidR="00B02873" w:rsidRPr="00B02873" w14:paraId="779466D6" w14:textId="77777777" w:rsidTr="00BC7794">
        <w:trPr>
          <w:trHeight w:val="60"/>
        </w:trPr>
        <w:tc>
          <w:tcPr>
            <w:tcW w:w="5382" w:type="dxa"/>
          </w:tcPr>
          <w:p w14:paraId="01256887" w14:textId="77777777" w:rsidR="00B02873" w:rsidRDefault="00B02873" w:rsidP="00BC7794">
            <w:pPr>
              <w:pStyle w:val="TablebodyleftFinancialsTables"/>
            </w:pPr>
            <w:r>
              <w:t>French Island Landcare Group</w:t>
            </w:r>
          </w:p>
        </w:tc>
        <w:tc>
          <w:tcPr>
            <w:tcW w:w="1559" w:type="dxa"/>
          </w:tcPr>
          <w:p w14:paraId="1327C3EF" w14:textId="77777777" w:rsidR="00B02873" w:rsidRDefault="00B02873" w:rsidP="00DB60C6">
            <w:pPr>
              <w:pStyle w:val="TablebodyleftFinancialsTables"/>
              <w:jc w:val="right"/>
            </w:pPr>
            <w:r>
              <w:t>9,186</w:t>
            </w:r>
          </w:p>
        </w:tc>
      </w:tr>
      <w:tr w:rsidR="00B02873" w:rsidRPr="00B02873" w14:paraId="0B00597C" w14:textId="77777777" w:rsidTr="00BC7794">
        <w:trPr>
          <w:trHeight w:val="60"/>
        </w:trPr>
        <w:tc>
          <w:tcPr>
            <w:tcW w:w="5382" w:type="dxa"/>
          </w:tcPr>
          <w:p w14:paraId="133A223C" w14:textId="77777777" w:rsidR="00B02873" w:rsidRDefault="00B02873" w:rsidP="00BC7794">
            <w:pPr>
              <w:pStyle w:val="TablebodyleftFinancialsTables"/>
            </w:pPr>
            <w:r>
              <w:t>Dromana Foreshore Committee of Management Inc</w:t>
            </w:r>
          </w:p>
        </w:tc>
        <w:tc>
          <w:tcPr>
            <w:tcW w:w="1559" w:type="dxa"/>
          </w:tcPr>
          <w:p w14:paraId="384004AE" w14:textId="77777777" w:rsidR="00B02873" w:rsidRDefault="00B02873" w:rsidP="00DB60C6">
            <w:pPr>
              <w:pStyle w:val="TablebodyleftFinancialsTables"/>
              <w:jc w:val="right"/>
            </w:pPr>
            <w:r>
              <w:t>8,360</w:t>
            </w:r>
          </w:p>
        </w:tc>
      </w:tr>
      <w:tr w:rsidR="00B02873" w:rsidRPr="00B02873" w14:paraId="259CA460" w14:textId="77777777" w:rsidTr="00BC7794">
        <w:trPr>
          <w:trHeight w:val="60"/>
        </w:trPr>
        <w:tc>
          <w:tcPr>
            <w:tcW w:w="5382" w:type="dxa"/>
          </w:tcPr>
          <w:p w14:paraId="2775AE75" w14:textId="77777777" w:rsidR="00B02873" w:rsidRDefault="00B02873" w:rsidP="00BC7794">
            <w:pPr>
              <w:pStyle w:val="TablebodyleftFinancialsTables"/>
            </w:pPr>
            <w:r>
              <w:t>Merbein Golf Club</w:t>
            </w:r>
          </w:p>
        </w:tc>
        <w:tc>
          <w:tcPr>
            <w:tcW w:w="1559" w:type="dxa"/>
          </w:tcPr>
          <w:p w14:paraId="68B2921F" w14:textId="77777777" w:rsidR="00B02873" w:rsidRDefault="00B02873" w:rsidP="00DB60C6">
            <w:pPr>
              <w:pStyle w:val="TablebodyleftFinancialsTables"/>
              <w:jc w:val="right"/>
            </w:pPr>
            <w:r>
              <w:t>8,000</w:t>
            </w:r>
          </w:p>
        </w:tc>
      </w:tr>
      <w:tr w:rsidR="00B02873" w:rsidRPr="00B02873" w14:paraId="464842EA" w14:textId="77777777" w:rsidTr="00BC7794">
        <w:trPr>
          <w:trHeight w:val="60"/>
        </w:trPr>
        <w:tc>
          <w:tcPr>
            <w:tcW w:w="5382" w:type="dxa"/>
          </w:tcPr>
          <w:p w14:paraId="055ACD0C" w14:textId="77777777" w:rsidR="00B02873" w:rsidRDefault="00B02873" w:rsidP="00BC7794">
            <w:pPr>
              <w:pStyle w:val="TablebodyleftFinancialsTables"/>
            </w:pPr>
            <w:r>
              <w:t>Yallourn North Hall and Recreation Reserve</w:t>
            </w:r>
          </w:p>
        </w:tc>
        <w:tc>
          <w:tcPr>
            <w:tcW w:w="1559" w:type="dxa"/>
          </w:tcPr>
          <w:p w14:paraId="0778F47E" w14:textId="77777777" w:rsidR="00B02873" w:rsidRDefault="00B02873" w:rsidP="00DB60C6">
            <w:pPr>
              <w:pStyle w:val="TablebodyleftFinancialsTables"/>
              <w:jc w:val="right"/>
            </w:pPr>
            <w:r>
              <w:t>7,200</w:t>
            </w:r>
          </w:p>
        </w:tc>
      </w:tr>
      <w:tr w:rsidR="00B02873" w:rsidRPr="00B02873" w14:paraId="7B84C401" w14:textId="77777777" w:rsidTr="00BC7794">
        <w:trPr>
          <w:trHeight w:val="60"/>
        </w:trPr>
        <w:tc>
          <w:tcPr>
            <w:tcW w:w="5382" w:type="dxa"/>
          </w:tcPr>
          <w:p w14:paraId="5D3BED3D" w14:textId="77777777" w:rsidR="00B02873" w:rsidRDefault="00B02873" w:rsidP="00BC7794">
            <w:pPr>
              <w:pStyle w:val="TablebodyleftFinancialsTables"/>
            </w:pPr>
            <w:r>
              <w:t>Hawkesdale Memorial Hall</w:t>
            </w:r>
          </w:p>
        </w:tc>
        <w:tc>
          <w:tcPr>
            <w:tcW w:w="1559" w:type="dxa"/>
          </w:tcPr>
          <w:p w14:paraId="5F091C05" w14:textId="77777777" w:rsidR="00B02873" w:rsidRDefault="00B02873" w:rsidP="00DB60C6">
            <w:pPr>
              <w:pStyle w:val="TablebodyleftFinancialsTables"/>
              <w:jc w:val="right"/>
            </w:pPr>
            <w:r>
              <w:t>7,000</w:t>
            </w:r>
          </w:p>
        </w:tc>
      </w:tr>
      <w:tr w:rsidR="00B02873" w:rsidRPr="00B02873" w14:paraId="7B19736B" w14:textId="77777777" w:rsidTr="00BC7794">
        <w:trPr>
          <w:trHeight w:val="60"/>
        </w:trPr>
        <w:tc>
          <w:tcPr>
            <w:tcW w:w="5382" w:type="dxa"/>
          </w:tcPr>
          <w:p w14:paraId="2F60528D" w14:textId="281B4467" w:rsidR="00B02873" w:rsidRDefault="00B02873" w:rsidP="00BC7794">
            <w:pPr>
              <w:pStyle w:val="TablebodyleftFinancialsTables"/>
            </w:pPr>
            <w:r>
              <w:t>Whitecliffs</w:t>
            </w:r>
            <w:r w:rsidR="000C45FC">
              <w:t xml:space="preserve"> – </w:t>
            </w:r>
            <w:r>
              <w:t>Camerons Bight Foreshore Reserves Com</w:t>
            </w:r>
          </w:p>
        </w:tc>
        <w:tc>
          <w:tcPr>
            <w:tcW w:w="1559" w:type="dxa"/>
          </w:tcPr>
          <w:p w14:paraId="1D4BAC30" w14:textId="77777777" w:rsidR="00B02873" w:rsidRDefault="00B02873" w:rsidP="00DB60C6">
            <w:pPr>
              <w:pStyle w:val="TablebodyleftFinancialsTables"/>
              <w:jc w:val="right"/>
            </w:pPr>
            <w:r>
              <w:t>5,246</w:t>
            </w:r>
          </w:p>
        </w:tc>
      </w:tr>
      <w:tr w:rsidR="00B02873" w:rsidRPr="00B02873" w14:paraId="18E53221" w14:textId="77777777" w:rsidTr="00BC7794">
        <w:trPr>
          <w:trHeight w:val="60"/>
        </w:trPr>
        <w:tc>
          <w:tcPr>
            <w:tcW w:w="5382" w:type="dxa"/>
          </w:tcPr>
          <w:p w14:paraId="1A6DC2BD" w14:textId="77777777" w:rsidR="00B02873" w:rsidRDefault="00B02873" w:rsidP="00BC7794">
            <w:pPr>
              <w:pStyle w:val="TablebodyleftFinancialsTables"/>
            </w:pPr>
            <w:r>
              <w:t>Chinkapook Reserve Committee of Management</w:t>
            </w:r>
          </w:p>
        </w:tc>
        <w:tc>
          <w:tcPr>
            <w:tcW w:w="1559" w:type="dxa"/>
          </w:tcPr>
          <w:p w14:paraId="7FD491AA" w14:textId="77777777" w:rsidR="00B02873" w:rsidRDefault="00B02873" w:rsidP="00DB60C6">
            <w:pPr>
              <w:pStyle w:val="TablebodyleftFinancialsTables"/>
              <w:jc w:val="right"/>
            </w:pPr>
            <w:r>
              <w:t>5,000</w:t>
            </w:r>
          </w:p>
        </w:tc>
      </w:tr>
      <w:tr w:rsidR="00B02873" w:rsidRPr="00B02873" w14:paraId="6943DC9D" w14:textId="77777777" w:rsidTr="00BC7794">
        <w:trPr>
          <w:trHeight w:val="60"/>
        </w:trPr>
        <w:tc>
          <w:tcPr>
            <w:tcW w:w="5382" w:type="dxa"/>
          </w:tcPr>
          <w:p w14:paraId="2BC0C9C5" w14:textId="77777777" w:rsidR="00B02873" w:rsidRDefault="00B02873" w:rsidP="00BC7794">
            <w:pPr>
              <w:pStyle w:val="TablebodyleftFinancialsTables"/>
            </w:pPr>
            <w:r>
              <w:t>Other &lt; $5,000</w:t>
            </w:r>
          </w:p>
        </w:tc>
        <w:tc>
          <w:tcPr>
            <w:tcW w:w="1559" w:type="dxa"/>
          </w:tcPr>
          <w:p w14:paraId="1E0963BC" w14:textId="77777777" w:rsidR="00B02873" w:rsidRDefault="00B02873" w:rsidP="00DB60C6">
            <w:pPr>
              <w:pStyle w:val="TablebodyleftFinancialsTables"/>
              <w:jc w:val="right"/>
            </w:pPr>
            <w:r>
              <w:t>28,428</w:t>
            </w:r>
          </w:p>
        </w:tc>
      </w:tr>
      <w:tr w:rsidR="00B02873" w:rsidRPr="00B02873" w14:paraId="32BD8D5C" w14:textId="77777777" w:rsidTr="00BC7794">
        <w:trPr>
          <w:trHeight w:val="60"/>
        </w:trPr>
        <w:tc>
          <w:tcPr>
            <w:tcW w:w="5382" w:type="dxa"/>
          </w:tcPr>
          <w:p w14:paraId="6B737183" w14:textId="77777777" w:rsidR="00B02873" w:rsidRDefault="00B02873" w:rsidP="00BC7794">
            <w:pPr>
              <w:pStyle w:val="TablebodyleftFinancialsTables"/>
            </w:pPr>
            <w:r>
              <w:t>Return of funds</w:t>
            </w:r>
          </w:p>
        </w:tc>
        <w:tc>
          <w:tcPr>
            <w:tcW w:w="1559" w:type="dxa"/>
          </w:tcPr>
          <w:p w14:paraId="46D69FCE" w14:textId="77777777" w:rsidR="00B02873" w:rsidRDefault="00B02873" w:rsidP="00DB60C6">
            <w:pPr>
              <w:pStyle w:val="TablebodyleftFinancialsTables"/>
              <w:jc w:val="right"/>
            </w:pPr>
            <w:r>
              <w:t>(135,962)</w:t>
            </w:r>
          </w:p>
        </w:tc>
      </w:tr>
      <w:tr w:rsidR="00B02873" w:rsidRPr="00BC7794" w14:paraId="7270BDD4" w14:textId="77777777" w:rsidTr="00BC7794">
        <w:trPr>
          <w:trHeight w:val="60"/>
        </w:trPr>
        <w:tc>
          <w:tcPr>
            <w:tcW w:w="5382" w:type="dxa"/>
          </w:tcPr>
          <w:p w14:paraId="2CE4CF00" w14:textId="77777777" w:rsidR="00B02873" w:rsidRPr="00BC7794" w:rsidRDefault="00B02873" w:rsidP="00BC7794">
            <w:pPr>
              <w:pStyle w:val="TablebodyleftFinancialsTables"/>
              <w:rPr>
                <w:b/>
                <w:bCs/>
              </w:rPr>
            </w:pPr>
            <w:r w:rsidRPr="00BC7794">
              <w:rPr>
                <w:b/>
                <w:bCs/>
              </w:rPr>
              <w:t>Total</w:t>
            </w:r>
          </w:p>
        </w:tc>
        <w:tc>
          <w:tcPr>
            <w:tcW w:w="1559" w:type="dxa"/>
          </w:tcPr>
          <w:p w14:paraId="60E5FEE7" w14:textId="77777777" w:rsidR="00B02873" w:rsidRPr="00BC7794" w:rsidRDefault="00B02873" w:rsidP="00DB60C6">
            <w:pPr>
              <w:pStyle w:val="TablebodyleftFinancialsTables"/>
              <w:jc w:val="right"/>
              <w:rPr>
                <w:b/>
                <w:bCs/>
              </w:rPr>
            </w:pPr>
            <w:r w:rsidRPr="00BC7794">
              <w:rPr>
                <w:b/>
                <w:bCs/>
              </w:rPr>
              <w:t xml:space="preserve">227,145,254 </w:t>
            </w:r>
          </w:p>
        </w:tc>
      </w:tr>
    </w:tbl>
    <w:p w14:paraId="6A2F6D04" w14:textId="77777777" w:rsidR="00B02873" w:rsidRDefault="00B02873" w:rsidP="00FE198A"/>
    <w:p w14:paraId="28D5B077" w14:textId="7DEFEB43" w:rsidR="00B02873" w:rsidRDefault="00B02873" w:rsidP="00DB60C6">
      <w:pPr>
        <w:pStyle w:val="TabletitleTables"/>
      </w:pPr>
      <w:r>
        <w:t>Table 11</w:t>
      </w:r>
      <w:r w:rsidR="000C45FC">
        <w:t xml:space="preserve"> – </w:t>
      </w:r>
      <w:r>
        <w:t>Parks Victoria</w:t>
      </w:r>
    </w:p>
    <w:tbl>
      <w:tblPr>
        <w:tblStyle w:val="TableGrid"/>
        <w:tblW w:w="0" w:type="auto"/>
        <w:tblLayout w:type="fixed"/>
        <w:tblLook w:val="0020" w:firstRow="1" w:lastRow="0" w:firstColumn="0" w:lastColumn="0" w:noHBand="0" w:noVBand="0"/>
      </w:tblPr>
      <w:tblGrid>
        <w:gridCol w:w="5382"/>
        <w:gridCol w:w="1559"/>
      </w:tblGrid>
      <w:tr w:rsidR="00B02873" w:rsidRPr="00B02873" w14:paraId="2282C7B7" w14:textId="77777777" w:rsidTr="00DB60C6">
        <w:trPr>
          <w:cnfStyle w:val="100000000000" w:firstRow="1" w:lastRow="0" w:firstColumn="0" w:lastColumn="0" w:oddVBand="0" w:evenVBand="0" w:oddHBand="0" w:evenHBand="0" w:firstRowFirstColumn="0" w:firstRowLastColumn="0" w:lastRowFirstColumn="0" w:lastRowLastColumn="0"/>
          <w:trHeight w:val="60"/>
        </w:trPr>
        <w:tc>
          <w:tcPr>
            <w:tcW w:w="5382" w:type="dxa"/>
          </w:tcPr>
          <w:p w14:paraId="28DF8958" w14:textId="77777777" w:rsidR="00B02873" w:rsidRDefault="00B02873" w:rsidP="00DB60C6">
            <w:pPr>
              <w:pStyle w:val="TableheadingleftFinancialsTables"/>
            </w:pPr>
            <w:r>
              <w:t>Grant recipient</w:t>
            </w:r>
          </w:p>
        </w:tc>
        <w:tc>
          <w:tcPr>
            <w:tcW w:w="1559" w:type="dxa"/>
          </w:tcPr>
          <w:p w14:paraId="22A4ACB8" w14:textId="77777777" w:rsidR="00B02873" w:rsidRDefault="00B02873" w:rsidP="00DB60C6">
            <w:pPr>
              <w:pStyle w:val="TableheadingleftFinancialsTables"/>
              <w:jc w:val="right"/>
            </w:pPr>
            <w:r>
              <w:t>$</w:t>
            </w:r>
          </w:p>
        </w:tc>
      </w:tr>
      <w:tr w:rsidR="00B02873" w:rsidRPr="00B02873" w14:paraId="1997A5CE" w14:textId="77777777" w:rsidTr="00DB60C6">
        <w:trPr>
          <w:trHeight w:val="60"/>
        </w:trPr>
        <w:tc>
          <w:tcPr>
            <w:tcW w:w="5382" w:type="dxa"/>
          </w:tcPr>
          <w:p w14:paraId="0E348C27" w14:textId="77777777" w:rsidR="00B02873" w:rsidRDefault="00B02873" w:rsidP="00DB60C6">
            <w:pPr>
              <w:pStyle w:val="TablebodyleftFinancialsTables"/>
            </w:pPr>
            <w:r>
              <w:t>Parks Victoria</w:t>
            </w:r>
          </w:p>
        </w:tc>
        <w:tc>
          <w:tcPr>
            <w:tcW w:w="1559" w:type="dxa"/>
          </w:tcPr>
          <w:p w14:paraId="10F17163" w14:textId="77777777" w:rsidR="00B02873" w:rsidRDefault="00B02873" w:rsidP="00DB60C6">
            <w:pPr>
              <w:pStyle w:val="TablebodyleftFinancialsTables"/>
              <w:jc w:val="right"/>
            </w:pPr>
            <w:r>
              <w:t>153,563,827</w:t>
            </w:r>
          </w:p>
        </w:tc>
      </w:tr>
      <w:tr w:rsidR="00B02873" w:rsidRPr="00DB60C6" w14:paraId="32EAAD60" w14:textId="77777777" w:rsidTr="00DB60C6">
        <w:trPr>
          <w:trHeight w:val="60"/>
        </w:trPr>
        <w:tc>
          <w:tcPr>
            <w:tcW w:w="5382" w:type="dxa"/>
          </w:tcPr>
          <w:p w14:paraId="69C08435" w14:textId="77777777" w:rsidR="00B02873" w:rsidRPr="00DB60C6" w:rsidRDefault="00B02873" w:rsidP="00DB60C6">
            <w:pPr>
              <w:pStyle w:val="TablebodyleftFinancialsTables"/>
              <w:rPr>
                <w:b/>
                <w:bCs/>
              </w:rPr>
            </w:pPr>
            <w:r w:rsidRPr="00DB60C6">
              <w:rPr>
                <w:b/>
                <w:bCs/>
              </w:rPr>
              <w:t>Total</w:t>
            </w:r>
          </w:p>
        </w:tc>
        <w:tc>
          <w:tcPr>
            <w:tcW w:w="1559" w:type="dxa"/>
          </w:tcPr>
          <w:p w14:paraId="199CE42F" w14:textId="77777777" w:rsidR="00B02873" w:rsidRPr="00DB60C6" w:rsidRDefault="00B02873" w:rsidP="00DB60C6">
            <w:pPr>
              <w:pStyle w:val="TablebodyleftFinancialsTables"/>
              <w:jc w:val="right"/>
              <w:rPr>
                <w:b/>
                <w:bCs/>
              </w:rPr>
            </w:pPr>
            <w:r w:rsidRPr="00DB60C6">
              <w:rPr>
                <w:b/>
                <w:bCs/>
              </w:rPr>
              <w:t xml:space="preserve">153,563,827 </w:t>
            </w:r>
          </w:p>
        </w:tc>
      </w:tr>
    </w:tbl>
    <w:p w14:paraId="700A0E98" w14:textId="77777777" w:rsidR="00B02873" w:rsidRDefault="00B02873" w:rsidP="00FE198A"/>
    <w:p w14:paraId="1A2F6906" w14:textId="46F6B2DA" w:rsidR="00B02873" w:rsidRDefault="00B02873" w:rsidP="00DB60C6">
      <w:pPr>
        <w:pStyle w:val="TabletitleTables"/>
      </w:pPr>
      <w:r>
        <w:t>Table 12</w:t>
      </w:r>
      <w:r w:rsidR="000C45FC">
        <w:t xml:space="preserve"> – </w:t>
      </w:r>
      <w:r>
        <w:t>Effective Water Management and Supply</w:t>
      </w:r>
    </w:p>
    <w:tbl>
      <w:tblPr>
        <w:tblStyle w:val="TableGrid"/>
        <w:tblW w:w="0" w:type="auto"/>
        <w:tblLayout w:type="fixed"/>
        <w:tblLook w:val="0020" w:firstRow="1" w:lastRow="0" w:firstColumn="0" w:lastColumn="0" w:noHBand="0" w:noVBand="0"/>
      </w:tblPr>
      <w:tblGrid>
        <w:gridCol w:w="5382"/>
        <w:gridCol w:w="1559"/>
      </w:tblGrid>
      <w:tr w:rsidR="00B02873" w:rsidRPr="00B02873" w14:paraId="5D5FEF83" w14:textId="77777777" w:rsidTr="00DB60C6">
        <w:trPr>
          <w:cnfStyle w:val="100000000000" w:firstRow="1" w:lastRow="0" w:firstColumn="0" w:lastColumn="0" w:oddVBand="0" w:evenVBand="0" w:oddHBand="0" w:evenHBand="0" w:firstRowFirstColumn="0" w:firstRowLastColumn="0" w:lastRowFirstColumn="0" w:lastRowLastColumn="0"/>
          <w:tblHeader/>
        </w:trPr>
        <w:tc>
          <w:tcPr>
            <w:tcW w:w="5382" w:type="dxa"/>
          </w:tcPr>
          <w:p w14:paraId="27DCBCC9" w14:textId="77777777" w:rsidR="00B02873" w:rsidRDefault="00B02873" w:rsidP="00DB60C6">
            <w:pPr>
              <w:pStyle w:val="TableheadingleftFinancialsTables"/>
            </w:pPr>
            <w:r>
              <w:t>Grant recipient</w:t>
            </w:r>
          </w:p>
        </w:tc>
        <w:tc>
          <w:tcPr>
            <w:tcW w:w="1559" w:type="dxa"/>
          </w:tcPr>
          <w:p w14:paraId="5A4327EF" w14:textId="77777777" w:rsidR="00B02873" w:rsidRDefault="00B02873" w:rsidP="00DB60C6">
            <w:pPr>
              <w:pStyle w:val="TableheadingleftFinancialsTables"/>
              <w:jc w:val="right"/>
            </w:pPr>
            <w:r>
              <w:t>$</w:t>
            </w:r>
          </w:p>
        </w:tc>
      </w:tr>
      <w:tr w:rsidR="00B02873" w:rsidRPr="00B02873" w14:paraId="0CEF4DE1" w14:textId="77777777" w:rsidTr="00DB60C6">
        <w:tc>
          <w:tcPr>
            <w:tcW w:w="5382" w:type="dxa"/>
          </w:tcPr>
          <w:p w14:paraId="44745FD0" w14:textId="77777777" w:rsidR="00B02873" w:rsidRDefault="00B02873" w:rsidP="00DB60C6">
            <w:pPr>
              <w:pStyle w:val="TablebodyleftFinancialsTables"/>
            </w:pPr>
            <w:r>
              <w:t>Goulburn-Murray Rural Water Corporation</w:t>
            </w:r>
          </w:p>
        </w:tc>
        <w:tc>
          <w:tcPr>
            <w:tcW w:w="1559" w:type="dxa"/>
          </w:tcPr>
          <w:p w14:paraId="3F8C85A1" w14:textId="77777777" w:rsidR="00B02873" w:rsidRDefault="00B02873" w:rsidP="00DB60C6">
            <w:pPr>
              <w:pStyle w:val="TablebodyleftFinancialsTables"/>
              <w:jc w:val="right"/>
            </w:pPr>
            <w:r>
              <w:t>29,807,000</w:t>
            </w:r>
          </w:p>
        </w:tc>
      </w:tr>
      <w:tr w:rsidR="00B02873" w:rsidRPr="00B02873" w14:paraId="0011FB24" w14:textId="77777777" w:rsidTr="00DB60C6">
        <w:tc>
          <w:tcPr>
            <w:tcW w:w="5382" w:type="dxa"/>
          </w:tcPr>
          <w:p w14:paraId="538B62CA" w14:textId="77777777" w:rsidR="00B02873" w:rsidRDefault="00B02873" w:rsidP="00DB60C6">
            <w:pPr>
              <w:pStyle w:val="TablebodyleftFinancialsTables"/>
            </w:pPr>
            <w:r>
              <w:t>Lower Murray Water</w:t>
            </w:r>
          </w:p>
        </w:tc>
        <w:tc>
          <w:tcPr>
            <w:tcW w:w="1559" w:type="dxa"/>
          </w:tcPr>
          <w:p w14:paraId="2559C61D" w14:textId="77777777" w:rsidR="00B02873" w:rsidRDefault="00B02873" w:rsidP="00DB60C6">
            <w:pPr>
              <w:pStyle w:val="TablebodyleftFinancialsTables"/>
              <w:jc w:val="right"/>
            </w:pPr>
            <w:r>
              <w:t>25,725,000</w:t>
            </w:r>
          </w:p>
        </w:tc>
      </w:tr>
      <w:tr w:rsidR="00B02873" w:rsidRPr="00B02873" w14:paraId="47CB3656" w14:textId="77777777" w:rsidTr="00DB60C6">
        <w:tc>
          <w:tcPr>
            <w:tcW w:w="5382" w:type="dxa"/>
          </w:tcPr>
          <w:p w14:paraId="4CDC34D2" w14:textId="77777777" w:rsidR="00B02873" w:rsidRDefault="00B02873" w:rsidP="00DB60C6">
            <w:pPr>
              <w:pStyle w:val="TablebodyleftFinancialsTables"/>
            </w:pPr>
            <w:r>
              <w:t>North Central Catchment Management Authority</w:t>
            </w:r>
          </w:p>
        </w:tc>
        <w:tc>
          <w:tcPr>
            <w:tcW w:w="1559" w:type="dxa"/>
          </w:tcPr>
          <w:p w14:paraId="36E34497" w14:textId="77777777" w:rsidR="00B02873" w:rsidRDefault="00B02873" w:rsidP="00DB60C6">
            <w:pPr>
              <w:pStyle w:val="TablebodyleftFinancialsTables"/>
              <w:jc w:val="right"/>
            </w:pPr>
            <w:r>
              <w:t>16,443,578</w:t>
            </w:r>
          </w:p>
        </w:tc>
      </w:tr>
      <w:tr w:rsidR="00B02873" w:rsidRPr="00B02873" w14:paraId="1EBE29C3" w14:textId="77777777" w:rsidTr="00DB60C6">
        <w:tc>
          <w:tcPr>
            <w:tcW w:w="5382" w:type="dxa"/>
          </w:tcPr>
          <w:p w14:paraId="59F06725" w14:textId="77777777" w:rsidR="00B02873" w:rsidRDefault="00B02873" w:rsidP="00DB60C6">
            <w:pPr>
              <w:pStyle w:val="TablebodyleftFinancialsTables"/>
            </w:pPr>
            <w:r>
              <w:t>Goulburn Broken Catchment Management Authority</w:t>
            </w:r>
          </w:p>
        </w:tc>
        <w:tc>
          <w:tcPr>
            <w:tcW w:w="1559" w:type="dxa"/>
          </w:tcPr>
          <w:p w14:paraId="76B1D17A" w14:textId="77777777" w:rsidR="00B02873" w:rsidRDefault="00B02873" w:rsidP="00DB60C6">
            <w:pPr>
              <w:pStyle w:val="TablebodyleftFinancialsTables"/>
              <w:jc w:val="right"/>
            </w:pPr>
            <w:r>
              <w:t>15,111,893</w:t>
            </w:r>
          </w:p>
        </w:tc>
      </w:tr>
      <w:tr w:rsidR="00B02873" w:rsidRPr="00B02873" w14:paraId="45E69B2A" w14:textId="77777777" w:rsidTr="00DB60C6">
        <w:tc>
          <w:tcPr>
            <w:tcW w:w="5382" w:type="dxa"/>
          </w:tcPr>
          <w:p w14:paraId="0054DBCF" w14:textId="77777777" w:rsidR="00B02873" w:rsidRDefault="00B02873" w:rsidP="00DB60C6">
            <w:pPr>
              <w:pStyle w:val="TablebodyleftFinancialsTables"/>
            </w:pPr>
            <w:r>
              <w:rPr>
                <w:spacing w:val="-2"/>
              </w:rPr>
              <w:t>West Gippsland Catchment Management Authority</w:t>
            </w:r>
          </w:p>
        </w:tc>
        <w:tc>
          <w:tcPr>
            <w:tcW w:w="1559" w:type="dxa"/>
          </w:tcPr>
          <w:p w14:paraId="52814FFE" w14:textId="77777777" w:rsidR="00B02873" w:rsidRDefault="00B02873" w:rsidP="00DB60C6">
            <w:pPr>
              <w:pStyle w:val="TablebodyleftFinancialsTables"/>
              <w:jc w:val="right"/>
            </w:pPr>
            <w:r>
              <w:t>12,238,977</w:t>
            </w:r>
          </w:p>
        </w:tc>
      </w:tr>
      <w:tr w:rsidR="00B02873" w:rsidRPr="00B02873" w14:paraId="18633AE8" w14:textId="77777777" w:rsidTr="00DB60C6">
        <w:tc>
          <w:tcPr>
            <w:tcW w:w="5382" w:type="dxa"/>
          </w:tcPr>
          <w:p w14:paraId="3ADB84F5" w14:textId="77777777" w:rsidR="00B02873" w:rsidRDefault="00B02873" w:rsidP="00DB60C6">
            <w:pPr>
              <w:pStyle w:val="TablebodyleftFinancialsTables"/>
            </w:pPr>
            <w:r>
              <w:t>Mallee Catchment Management Authority</w:t>
            </w:r>
          </w:p>
        </w:tc>
        <w:tc>
          <w:tcPr>
            <w:tcW w:w="1559" w:type="dxa"/>
          </w:tcPr>
          <w:p w14:paraId="128877A9" w14:textId="77777777" w:rsidR="00B02873" w:rsidRDefault="00B02873" w:rsidP="00DB60C6">
            <w:pPr>
              <w:pStyle w:val="TablebodyleftFinancialsTables"/>
              <w:jc w:val="right"/>
            </w:pPr>
            <w:r>
              <w:t>11,391,124</w:t>
            </w:r>
          </w:p>
        </w:tc>
      </w:tr>
      <w:tr w:rsidR="00B02873" w:rsidRPr="00B02873" w14:paraId="67A79A19" w14:textId="77777777" w:rsidTr="00DB60C6">
        <w:tc>
          <w:tcPr>
            <w:tcW w:w="5382" w:type="dxa"/>
          </w:tcPr>
          <w:p w14:paraId="31D785B6" w14:textId="77777777" w:rsidR="00B02873" w:rsidRDefault="00B02873" w:rsidP="00DB60C6">
            <w:pPr>
              <w:pStyle w:val="TablebodyleftFinancialsTables"/>
            </w:pPr>
            <w:r>
              <w:t>Melbourne Water</w:t>
            </w:r>
          </w:p>
        </w:tc>
        <w:tc>
          <w:tcPr>
            <w:tcW w:w="1559" w:type="dxa"/>
          </w:tcPr>
          <w:p w14:paraId="34317022" w14:textId="77777777" w:rsidR="00B02873" w:rsidRDefault="00B02873" w:rsidP="00DB60C6">
            <w:pPr>
              <w:pStyle w:val="TablebodyleftFinancialsTables"/>
              <w:jc w:val="right"/>
            </w:pPr>
            <w:r>
              <w:t>10,735,215</w:t>
            </w:r>
          </w:p>
        </w:tc>
      </w:tr>
      <w:tr w:rsidR="00B02873" w:rsidRPr="00B02873" w14:paraId="695AD8A8" w14:textId="77777777" w:rsidTr="00DB60C6">
        <w:tc>
          <w:tcPr>
            <w:tcW w:w="5382" w:type="dxa"/>
          </w:tcPr>
          <w:p w14:paraId="23CF9171" w14:textId="77777777" w:rsidR="00B02873" w:rsidRDefault="00B02873" w:rsidP="00DB60C6">
            <w:pPr>
              <w:pStyle w:val="TablebodyleftFinancialsTables"/>
            </w:pPr>
            <w:r>
              <w:t>North East Catchment Management Authority</w:t>
            </w:r>
          </w:p>
        </w:tc>
        <w:tc>
          <w:tcPr>
            <w:tcW w:w="1559" w:type="dxa"/>
          </w:tcPr>
          <w:p w14:paraId="6D0B6627" w14:textId="77777777" w:rsidR="00B02873" w:rsidRDefault="00B02873" w:rsidP="00DB60C6">
            <w:pPr>
              <w:pStyle w:val="TablebodyleftFinancialsTables"/>
              <w:jc w:val="right"/>
            </w:pPr>
            <w:r>
              <w:t>10,424,601</w:t>
            </w:r>
          </w:p>
        </w:tc>
      </w:tr>
      <w:tr w:rsidR="00B02873" w:rsidRPr="00B02873" w14:paraId="61AD9E59" w14:textId="77777777" w:rsidTr="00DB60C6">
        <w:tc>
          <w:tcPr>
            <w:tcW w:w="5382" w:type="dxa"/>
          </w:tcPr>
          <w:p w14:paraId="5D3693D9" w14:textId="77777777" w:rsidR="00B02873" w:rsidRDefault="00B02873" w:rsidP="00DB60C6">
            <w:pPr>
              <w:pStyle w:val="TablebodyleftFinancialsTables"/>
            </w:pPr>
            <w:r>
              <w:t>Corangamite Catchment Management Authority</w:t>
            </w:r>
          </w:p>
        </w:tc>
        <w:tc>
          <w:tcPr>
            <w:tcW w:w="1559" w:type="dxa"/>
          </w:tcPr>
          <w:p w14:paraId="11D2DE7A" w14:textId="77777777" w:rsidR="00B02873" w:rsidRDefault="00B02873" w:rsidP="00DB60C6">
            <w:pPr>
              <w:pStyle w:val="TablebodyleftFinancialsTables"/>
              <w:jc w:val="right"/>
            </w:pPr>
            <w:r>
              <w:t>8,740,746</w:t>
            </w:r>
          </w:p>
        </w:tc>
      </w:tr>
      <w:tr w:rsidR="00B02873" w:rsidRPr="00B02873" w14:paraId="38665B42" w14:textId="77777777" w:rsidTr="00DB60C6">
        <w:tc>
          <w:tcPr>
            <w:tcW w:w="5382" w:type="dxa"/>
          </w:tcPr>
          <w:p w14:paraId="5CA0A6BB" w14:textId="77777777" w:rsidR="00B02873" w:rsidRDefault="00B02873" w:rsidP="00DB60C6">
            <w:pPr>
              <w:pStyle w:val="TablebodyleftFinancialsTables"/>
            </w:pPr>
            <w:r>
              <w:lastRenderedPageBreak/>
              <w:t>East Gippsland Catchment Management Authority</w:t>
            </w:r>
          </w:p>
        </w:tc>
        <w:tc>
          <w:tcPr>
            <w:tcW w:w="1559" w:type="dxa"/>
          </w:tcPr>
          <w:p w14:paraId="1A292B14" w14:textId="77777777" w:rsidR="00B02873" w:rsidRDefault="00B02873" w:rsidP="00DB60C6">
            <w:pPr>
              <w:pStyle w:val="TablebodyleftFinancialsTables"/>
              <w:jc w:val="right"/>
            </w:pPr>
            <w:r>
              <w:t>8,261,200</w:t>
            </w:r>
          </w:p>
        </w:tc>
      </w:tr>
      <w:tr w:rsidR="00B02873" w:rsidRPr="00B02873" w14:paraId="4A7F0E10" w14:textId="77777777" w:rsidTr="00DB60C6">
        <w:tc>
          <w:tcPr>
            <w:tcW w:w="5382" w:type="dxa"/>
          </w:tcPr>
          <w:p w14:paraId="49C7C745" w14:textId="77777777" w:rsidR="00B02873" w:rsidRDefault="00B02873" w:rsidP="00DB60C6">
            <w:pPr>
              <w:pStyle w:val="TablebodyleftFinancialsTables"/>
            </w:pPr>
            <w:r>
              <w:t>Victorian Environmental Water Holder</w:t>
            </w:r>
          </w:p>
        </w:tc>
        <w:tc>
          <w:tcPr>
            <w:tcW w:w="1559" w:type="dxa"/>
          </w:tcPr>
          <w:p w14:paraId="1034892C" w14:textId="77777777" w:rsidR="00B02873" w:rsidRDefault="00B02873" w:rsidP="00DB60C6">
            <w:pPr>
              <w:pStyle w:val="TablebodyleftFinancialsTables"/>
              <w:jc w:val="right"/>
            </w:pPr>
            <w:r>
              <w:t>7,706,000</w:t>
            </w:r>
          </w:p>
        </w:tc>
      </w:tr>
      <w:tr w:rsidR="00B02873" w:rsidRPr="00B02873" w14:paraId="3F3CB76B" w14:textId="77777777" w:rsidTr="00DB60C6">
        <w:tc>
          <w:tcPr>
            <w:tcW w:w="5382" w:type="dxa"/>
          </w:tcPr>
          <w:p w14:paraId="074B54AE" w14:textId="77777777" w:rsidR="00B02873" w:rsidRDefault="00B02873" w:rsidP="00DB60C6">
            <w:pPr>
              <w:pStyle w:val="TablebodyleftFinancialsTables"/>
            </w:pPr>
            <w:r>
              <w:t>Glenelg-Hopkins Catchment Management Authority</w:t>
            </w:r>
          </w:p>
        </w:tc>
        <w:tc>
          <w:tcPr>
            <w:tcW w:w="1559" w:type="dxa"/>
          </w:tcPr>
          <w:p w14:paraId="6FFC5B05" w14:textId="77777777" w:rsidR="00B02873" w:rsidRDefault="00B02873" w:rsidP="00DB60C6">
            <w:pPr>
              <w:pStyle w:val="TablebodyleftFinancialsTables"/>
              <w:jc w:val="right"/>
            </w:pPr>
            <w:r>
              <w:t>6,223,267</w:t>
            </w:r>
          </w:p>
        </w:tc>
      </w:tr>
      <w:tr w:rsidR="00B02873" w:rsidRPr="00B02873" w14:paraId="62517ED3" w14:textId="77777777" w:rsidTr="00DB60C6">
        <w:tc>
          <w:tcPr>
            <w:tcW w:w="5382" w:type="dxa"/>
          </w:tcPr>
          <w:p w14:paraId="17554D3B" w14:textId="77777777" w:rsidR="00B02873" w:rsidRDefault="00B02873" w:rsidP="00DB60C6">
            <w:pPr>
              <w:pStyle w:val="TablebodyleftFinancialsTables"/>
            </w:pPr>
            <w:r>
              <w:t>Wimmera Catchment Management Authority</w:t>
            </w:r>
          </w:p>
        </w:tc>
        <w:tc>
          <w:tcPr>
            <w:tcW w:w="1559" w:type="dxa"/>
          </w:tcPr>
          <w:p w14:paraId="3E807D3E" w14:textId="77777777" w:rsidR="00B02873" w:rsidRDefault="00B02873" w:rsidP="00DB60C6">
            <w:pPr>
              <w:pStyle w:val="TablebodyleftFinancialsTables"/>
              <w:jc w:val="right"/>
            </w:pPr>
            <w:r>
              <w:t>4,705,984</w:t>
            </w:r>
          </w:p>
        </w:tc>
      </w:tr>
      <w:tr w:rsidR="00B02873" w:rsidRPr="00B02873" w14:paraId="5807DF27" w14:textId="77777777" w:rsidTr="00DB60C6">
        <w:tc>
          <w:tcPr>
            <w:tcW w:w="5382" w:type="dxa"/>
          </w:tcPr>
          <w:p w14:paraId="6B7B538B" w14:textId="77777777" w:rsidR="00B02873" w:rsidRDefault="00B02873" w:rsidP="00DB60C6">
            <w:pPr>
              <w:pStyle w:val="TablebodyleftFinancialsTables"/>
            </w:pPr>
            <w:r>
              <w:t>Department of Jobs Precincts and Regions (Victoria)</w:t>
            </w:r>
          </w:p>
        </w:tc>
        <w:tc>
          <w:tcPr>
            <w:tcW w:w="1559" w:type="dxa"/>
          </w:tcPr>
          <w:p w14:paraId="7540F51A" w14:textId="77777777" w:rsidR="00B02873" w:rsidRDefault="00B02873" w:rsidP="00DB60C6">
            <w:pPr>
              <w:pStyle w:val="TablebodyleftFinancialsTables"/>
              <w:jc w:val="right"/>
            </w:pPr>
            <w:r>
              <w:t>4,548,500</w:t>
            </w:r>
          </w:p>
        </w:tc>
      </w:tr>
      <w:tr w:rsidR="00B02873" w:rsidRPr="00B02873" w14:paraId="41CF8275" w14:textId="77777777" w:rsidTr="00DB60C6">
        <w:tc>
          <w:tcPr>
            <w:tcW w:w="5382" w:type="dxa"/>
          </w:tcPr>
          <w:p w14:paraId="4108CCFC" w14:textId="77777777" w:rsidR="00B02873" w:rsidRDefault="00B02873" w:rsidP="00DB60C6">
            <w:pPr>
              <w:pStyle w:val="TablebodyleftFinancialsTables"/>
            </w:pPr>
            <w:r>
              <w:t>Coliban Water</w:t>
            </w:r>
          </w:p>
        </w:tc>
        <w:tc>
          <w:tcPr>
            <w:tcW w:w="1559" w:type="dxa"/>
          </w:tcPr>
          <w:p w14:paraId="09ACB605" w14:textId="77777777" w:rsidR="00B02873" w:rsidRDefault="00B02873" w:rsidP="00DB60C6">
            <w:pPr>
              <w:pStyle w:val="TablebodyleftFinancialsTables"/>
              <w:jc w:val="right"/>
            </w:pPr>
            <w:r>
              <w:t>3,784,438</w:t>
            </w:r>
          </w:p>
        </w:tc>
      </w:tr>
      <w:tr w:rsidR="00B02873" w:rsidRPr="00B02873" w14:paraId="0088A1EC" w14:textId="77777777" w:rsidTr="00DB60C6">
        <w:tc>
          <w:tcPr>
            <w:tcW w:w="5382" w:type="dxa"/>
          </w:tcPr>
          <w:p w14:paraId="50CC9586" w14:textId="77777777" w:rsidR="00B02873" w:rsidRDefault="00B02873" w:rsidP="00DB60C6">
            <w:pPr>
              <w:pStyle w:val="TablebodyleftFinancialsTables"/>
            </w:pPr>
            <w:r>
              <w:t>Department of Justice and Community Safety (Victoria)</w:t>
            </w:r>
          </w:p>
        </w:tc>
        <w:tc>
          <w:tcPr>
            <w:tcW w:w="1559" w:type="dxa"/>
          </w:tcPr>
          <w:p w14:paraId="53911969" w14:textId="77777777" w:rsidR="00B02873" w:rsidRDefault="00B02873" w:rsidP="00DB60C6">
            <w:pPr>
              <w:pStyle w:val="TablebodyleftFinancialsTables"/>
              <w:jc w:val="right"/>
            </w:pPr>
            <w:r>
              <w:t>3,540,000</w:t>
            </w:r>
          </w:p>
        </w:tc>
      </w:tr>
      <w:tr w:rsidR="00B02873" w:rsidRPr="00B02873" w14:paraId="4D0F957D" w14:textId="77777777" w:rsidTr="00DB60C6">
        <w:tc>
          <w:tcPr>
            <w:tcW w:w="5382" w:type="dxa"/>
          </w:tcPr>
          <w:p w14:paraId="14B886DF" w14:textId="77777777" w:rsidR="00B02873" w:rsidRDefault="00B02873" w:rsidP="00DB60C6">
            <w:pPr>
              <w:pStyle w:val="TablebodyleftFinancialsTables"/>
            </w:pPr>
            <w:r>
              <w:t>Wangaratta Rural City Council</w:t>
            </w:r>
          </w:p>
        </w:tc>
        <w:tc>
          <w:tcPr>
            <w:tcW w:w="1559" w:type="dxa"/>
          </w:tcPr>
          <w:p w14:paraId="061ACBF8" w14:textId="77777777" w:rsidR="00B02873" w:rsidRDefault="00B02873" w:rsidP="00DB60C6">
            <w:pPr>
              <w:pStyle w:val="TablebodyleftFinancialsTables"/>
              <w:jc w:val="right"/>
            </w:pPr>
            <w:r>
              <w:t>3,500,000</w:t>
            </w:r>
          </w:p>
        </w:tc>
      </w:tr>
      <w:tr w:rsidR="00B02873" w:rsidRPr="00B02873" w14:paraId="76764F5A" w14:textId="77777777" w:rsidTr="00DB60C6">
        <w:tc>
          <w:tcPr>
            <w:tcW w:w="5382" w:type="dxa"/>
          </w:tcPr>
          <w:p w14:paraId="69E6BAEE" w14:textId="77777777" w:rsidR="00B02873" w:rsidRDefault="00B02873" w:rsidP="00DB60C6">
            <w:pPr>
              <w:pStyle w:val="TablebodyleftFinancialsTables"/>
            </w:pPr>
            <w:r>
              <w:t>Southern Rural Water</w:t>
            </w:r>
          </w:p>
        </w:tc>
        <w:tc>
          <w:tcPr>
            <w:tcW w:w="1559" w:type="dxa"/>
          </w:tcPr>
          <w:p w14:paraId="539E2ECD" w14:textId="77777777" w:rsidR="00B02873" w:rsidRDefault="00B02873" w:rsidP="00DB60C6">
            <w:pPr>
              <w:pStyle w:val="TablebodyleftFinancialsTables"/>
              <w:jc w:val="right"/>
            </w:pPr>
            <w:r>
              <w:t>3,009,510</w:t>
            </w:r>
          </w:p>
        </w:tc>
      </w:tr>
      <w:tr w:rsidR="00B02873" w:rsidRPr="00B02873" w14:paraId="1EF0983A" w14:textId="77777777" w:rsidTr="00DB60C6">
        <w:tc>
          <w:tcPr>
            <w:tcW w:w="5382" w:type="dxa"/>
          </w:tcPr>
          <w:p w14:paraId="33CF2A94" w14:textId="77777777" w:rsidR="00B02873" w:rsidRDefault="00B02873" w:rsidP="00DB60C6">
            <w:pPr>
              <w:pStyle w:val="TablebodyleftFinancialsTables"/>
            </w:pPr>
            <w:r>
              <w:t>Yarra Valley Water</w:t>
            </w:r>
          </w:p>
        </w:tc>
        <w:tc>
          <w:tcPr>
            <w:tcW w:w="1559" w:type="dxa"/>
          </w:tcPr>
          <w:p w14:paraId="2DA14569" w14:textId="77777777" w:rsidR="00B02873" w:rsidRDefault="00B02873" w:rsidP="00DB60C6">
            <w:pPr>
              <w:pStyle w:val="TablebodyleftFinancialsTables"/>
              <w:jc w:val="right"/>
            </w:pPr>
            <w:r>
              <w:t>2,777,002</w:t>
            </w:r>
          </w:p>
        </w:tc>
      </w:tr>
      <w:tr w:rsidR="00B02873" w:rsidRPr="00B02873" w14:paraId="5B4FA693" w14:textId="77777777" w:rsidTr="00DB60C6">
        <w:tc>
          <w:tcPr>
            <w:tcW w:w="5382" w:type="dxa"/>
          </w:tcPr>
          <w:p w14:paraId="0F0C9CB3" w14:textId="77777777" w:rsidR="00B02873" w:rsidRDefault="00B02873" w:rsidP="00DB60C6">
            <w:pPr>
              <w:pStyle w:val="TablebodyleftFinancialsTables"/>
            </w:pPr>
            <w:r>
              <w:t>Mount Alexander Shire Council</w:t>
            </w:r>
          </w:p>
        </w:tc>
        <w:tc>
          <w:tcPr>
            <w:tcW w:w="1559" w:type="dxa"/>
          </w:tcPr>
          <w:p w14:paraId="71E43845" w14:textId="77777777" w:rsidR="00B02873" w:rsidRDefault="00B02873" w:rsidP="00DB60C6">
            <w:pPr>
              <w:pStyle w:val="TablebodyleftFinancialsTables"/>
              <w:jc w:val="right"/>
            </w:pPr>
            <w:r>
              <w:t>2,217,000</w:t>
            </w:r>
          </w:p>
        </w:tc>
      </w:tr>
      <w:tr w:rsidR="00B02873" w:rsidRPr="00B02873" w14:paraId="013AA252" w14:textId="77777777" w:rsidTr="00DB60C6">
        <w:tc>
          <w:tcPr>
            <w:tcW w:w="5382" w:type="dxa"/>
          </w:tcPr>
          <w:p w14:paraId="19B64AD1" w14:textId="77777777" w:rsidR="00B02873" w:rsidRDefault="00B02873" w:rsidP="00DB60C6">
            <w:pPr>
              <w:pStyle w:val="TablebodyleftFinancialsTables"/>
            </w:pPr>
            <w:r>
              <w:t>Greater Western Water</w:t>
            </w:r>
          </w:p>
        </w:tc>
        <w:tc>
          <w:tcPr>
            <w:tcW w:w="1559" w:type="dxa"/>
          </w:tcPr>
          <w:p w14:paraId="0160FF9C" w14:textId="77777777" w:rsidR="00B02873" w:rsidRDefault="00B02873" w:rsidP="00DB60C6">
            <w:pPr>
              <w:pStyle w:val="TablebodyleftFinancialsTables"/>
              <w:jc w:val="right"/>
            </w:pPr>
            <w:r>
              <w:t>2,103,931</w:t>
            </w:r>
          </w:p>
        </w:tc>
      </w:tr>
      <w:tr w:rsidR="00B02873" w:rsidRPr="00B02873" w14:paraId="64948C28" w14:textId="77777777" w:rsidTr="00DB60C6">
        <w:tc>
          <w:tcPr>
            <w:tcW w:w="5382" w:type="dxa"/>
          </w:tcPr>
          <w:p w14:paraId="4171E26E" w14:textId="77777777" w:rsidR="00B02873" w:rsidRDefault="00B02873" w:rsidP="00DB60C6">
            <w:pPr>
              <w:pStyle w:val="TablebodyleftFinancialsTables"/>
            </w:pPr>
            <w:r>
              <w:t>Bendigo and Adelaide Bank Limited</w:t>
            </w:r>
          </w:p>
        </w:tc>
        <w:tc>
          <w:tcPr>
            <w:tcW w:w="1559" w:type="dxa"/>
          </w:tcPr>
          <w:p w14:paraId="4908759B" w14:textId="77777777" w:rsidR="00B02873" w:rsidRDefault="00B02873" w:rsidP="00DB60C6">
            <w:pPr>
              <w:pStyle w:val="TablebodyleftFinancialsTables"/>
              <w:jc w:val="right"/>
            </w:pPr>
            <w:r>
              <w:t>1,966,954</w:t>
            </w:r>
          </w:p>
        </w:tc>
      </w:tr>
      <w:tr w:rsidR="00B02873" w:rsidRPr="00B02873" w14:paraId="0C263D04" w14:textId="77777777" w:rsidTr="00DB60C6">
        <w:tc>
          <w:tcPr>
            <w:tcW w:w="5382" w:type="dxa"/>
          </w:tcPr>
          <w:p w14:paraId="31D1B3FF" w14:textId="77777777" w:rsidR="00B02873" w:rsidRDefault="00B02873" w:rsidP="00DB60C6">
            <w:pPr>
              <w:pStyle w:val="TablebodyleftFinancialsTables"/>
            </w:pPr>
            <w:r>
              <w:t>Bureau of Meteorology</w:t>
            </w:r>
          </w:p>
        </w:tc>
        <w:tc>
          <w:tcPr>
            <w:tcW w:w="1559" w:type="dxa"/>
          </w:tcPr>
          <w:p w14:paraId="54F312D4" w14:textId="77777777" w:rsidR="00B02873" w:rsidRDefault="00B02873" w:rsidP="00DB60C6">
            <w:pPr>
              <w:pStyle w:val="TablebodyleftFinancialsTables"/>
              <w:jc w:val="right"/>
            </w:pPr>
            <w:r>
              <w:t>1,741,888</w:t>
            </w:r>
          </w:p>
        </w:tc>
      </w:tr>
      <w:tr w:rsidR="00B02873" w:rsidRPr="00B02873" w14:paraId="4A88666C" w14:textId="77777777" w:rsidTr="00DB60C6">
        <w:tc>
          <w:tcPr>
            <w:tcW w:w="5382" w:type="dxa"/>
          </w:tcPr>
          <w:p w14:paraId="31FF6871" w14:textId="77777777" w:rsidR="00B02873" w:rsidRDefault="00B02873" w:rsidP="00DB60C6">
            <w:pPr>
              <w:pStyle w:val="TablebodyleftFinancialsTables"/>
            </w:pPr>
            <w:r>
              <w:t>City of Casey</w:t>
            </w:r>
          </w:p>
        </w:tc>
        <w:tc>
          <w:tcPr>
            <w:tcW w:w="1559" w:type="dxa"/>
          </w:tcPr>
          <w:p w14:paraId="2E56946A" w14:textId="77777777" w:rsidR="00B02873" w:rsidRDefault="00B02873" w:rsidP="00DB60C6">
            <w:pPr>
              <w:pStyle w:val="TablebodyleftFinancialsTables"/>
              <w:jc w:val="right"/>
            </w:pPr>
            <w:r>
              <w:t>1,600,000</w:t>
            </w:r>
          </w:p>
        </w:tc>
      </w:tr>
      <w:tr w:rsidR="00B02873" w:rsidRPr="00B02873" w14:paraId="6F53DF41" w14:textId="77777777" w:rsidTr="00DB60C6">
        <w:tc>
          <w:tcPr>
            <w:tcW w:w="5382" w:type="dxa"/>
          </w:tcPr>
          <w:p w14:paraId="6DCE14C0" w14:textId="77777777" w:rsidR="00B02873" w:rsidRDefault="00B02873" w:rsidP="00DB60C6">
            <w:pPr>
              <w:pStyle w:val="TablebodyleftFinancialsTables"/>
            </w:pPr>
            <w:r>
              <w:rPr>
                <w:w w:val="98"/>
              </w:rPr>
              <w:t>City of Melbourne</w:t>
            </w:r>
          </w:p>
        </w:tc>
        <w:tc>
          <w:tcPr>
            <w:tcW w:w="1559" w:type="dxa"/>
          </w:tcPr>
          <w:p w14:paraId="15FEE996" w14:textId="77777777" w:rsidR="00B02873" w:rsidRDefault="00B02873" w:rsidP="00DB60C6">
            <w:pPr>
              <w:pStyle w:val="TablebodyleftFinancialsTables"/>
              <w:jc w:val="right"/>
            </w:pPr>
            <w:r>
              <w:t>1,500,000</w:t>
            </w:r>
          </w:p>
        </w:tc>
      </w:tr>
      <w:tr w:rsidR="00B02873" w:rsidRPr="00B02873" w14:paraId="1EF33B84" w14:textId="77777777" w:rsidTr="00DB60C6">
        <w:tc>
          <w:tcPr>
            <w:tcW w:w="5382" w:type="dxa"/>
          </w:tcPr>
          <w:p w14:paraId="7FA8B08D" w14:textId="77777777" w:rsidR="00B02873" w:rsidRDefault="00B02873" w:rsidP="00DB60C6">
            <w:pPr>
              <w:pStyle w:val="TablebodyleftFinancialsTables"/>
            </w:pPr>
            <w:r>
              <w:t>Central Goldfields Shire Council</w:t>
            </w:r>
          </w:p>
        </w:tc>
        <w:tc>
          <w:tcPr>
            <w:tcW w:w="1559" w:type="dxa"/>
          </w:tcPr>
          <w:p w14:paraId="058A1FD1" w14:textId="77777777" w:rsidR="00B02873" w:rsidRDefault="00B02873" w:rsidP="00DB60C6">
            <w:pPr>
              <w:pStyle w:val="TablebodyleftFinancialsTables"/>
              <w:jc w:val="right"/>
            </w:pPr>
            <w:r>
              <w:t>1,450,000</w:t>
            </w:r>
          </w:p>
        </w:tc>
      </w:tr>
      <w:tr w:rsidR="00B02873" w:rsidRPr="00B02873" w14:paraId="4B1D3AD0" w14:textId="77777777" w:rsidTr="00DB60C6">
        <w:tc>
          <w:tcPr>
            <w:tcW w:w="5382" w:type="dxa"/>
          </w:tcPr>
          <w:p w14:paraId="743EFF55" w14:textId="77777777" w:rsidR="00B02873" w:rsidRDefault="00B02873" w:rsidP="00DB60C6">
            <w:pPr>
              <w:pStyle w:val="TablebodyleftFinancialsTables"/>
            </w:pPr>
            <w:r>
              <w:t>Central Highlands Region Water Authority</w:t>
            </w:r>
          </w:p>
        </w:tc>
        <w:tc>
          <w:tcPr>
            <w:tcW w:w="1559" w:type="dxa"/>
          </w:tcPr>
          <w:p w14:paraId="2FD64B8D" w14:textId="77777777" w:rsidR="00B02873" w:rsidRDefault="00B02873" w:rsidP="00DB60C6">
            <w:pPr>
              <w:pStyle w:val="TablebodyleftFinancialsTables"/>
              <w:jc w:val="right"/>
            </w:pPr>
            <w:r>
              <w:t>1,167,420</w:t>
            </w:r>
          </w:p>
        </w:tc>
      </w:tr>
      <w:tr w:rsidR="00B02873" w:rsidRPr="00B02873" w14:paraId="5F46FFF0" w14:textId="77777777" w:rsidTr="00DB60C6">
        <w:tc>
          <w:tcPr>
            <w:tcW w:w="5382" w:type="dxa"/>
          </w:tcPr>
          <w:p w14:paraId="3B660831" w14:textId="77777777" w:rsidR="00B02873" w:rsidRDefault="00B02873" w:rsidP="00DB60C6">
            <w:pPr>
              <w:pStyle w:val="TablebodyleftFinancialsTables"/>
            </w:pPr>
            <w:r>
              <w:t>Environment Protection Authority</w:t>
            </w:r>
          </w:p>
        </w:tc>
        <w:tc>
          <w:tcPr>
            <w:tcW w:w="1559" w:type="dxa"/>
          </w:tcPr>
          <w:p w14:paraId="54551658" w14:textId="77777777" w:rsidR="00B02873" w:rsidRDefault="00B02873" w:rsidP="00DB60C6">
            <w:pPr>
              <w:pStyle w:val="TablebodyleftFinancialsTables"/>
              <w:jc w:val="right"/>
            </w:pPr>
            <w:r>
              <w:t>945,000</w:t>
            </w:r>
          </w:p>
        </w:tc>
      </w:tr>
      <w:tr w:rsidR="00B02873" w:rsidRPr="00B02873" w14:paraId="79FA3559" w14:textId="77777777" w:rsidTr="00DB60C6">
        <w:tc>
          <w:tcPr>
            <w:tcW w:w="5382" w:type="dxa"/>
          </w:tcPr>
          <w:p w14:paraId="41D58F73" w14:textId="77777777" w:rsidR="00B02873" w:rsidRDefault="00B02873" w:rsidP="00DB60C6">
            <w:pPr>
              <w:pStyle w:val="TablebodyleftFinancialsTables"/>
            </w:pPr>
            <w:r>
              <w:t>Yarra City Council</w:t>
            </w:r>
          </w:p>
        </w:tc>
        <w:tc>
          <w:tcPr>
            <w:tcW w:w="1559" w:type="dxa"/>
          </w:tcPr>
          <w:p w14:paraId="38ED12E2" w14:textId="77777777" w:rsidR="00B02873" w:rsidRDefault="00B02873" w:rsidP="00DB60C6">
            <w:pPr>
              <w:pStyle w:val="TablebodyleftFinancialsTables"/>
              <w:jc w:val="right"/>
            </w:pPr>
            <w:r>
              <w:t>630,479</w:t>
            </w:r>
          </w:p>
        </w:tc>
      </w:tr>
      <w:tr w:rsidR="00B02873" w:rsidRPr="00B02873" w14:paraId="3728EAFC" w14:textId="77777777" w:rsidTr="00DB60C6">
        <w:tc>
          <w:tcPr>
            <w:tcW w:w="5382" w:type="dxa"/>
          </w:tcPr>
          <w:p w14:paraId="0EDDA1F4" w14:textId="77777777" w:rsidR="00B02873" w:rsidRDefault="00B02873" w:rsidP="00DB60C6">
            <w:pPr>
              <w:pStyle w:val="TablebodyleftFinancialsTables"/>
            </w:pPr>
            <w:r>
              <w:t>Barengi Gadjin Land Council</w:t>
            </w:r>
          </w:p>
        </w:tc>
        <w:tc>
          <w:tcPr>
            <w:tcW w:w="1559" w:type="dxa"/>
          </w:tcPr>
          <w:p w14:paraId="679AC29D" w14:textId="77777777" w:rsidR="00B02873" w:rsidRDefault="00B02873" w:rsidP="00DB60C6">
            <w:pPr>
              <w:pStyle w:val="TablebodyleftFinancialsTables"/>
              <w:jc w:val="right"/>
            </w:pPr>
            <w:r>
              <w:t>529,500</w:t>
            </w:r>
          </w:p>
        </w:tc>
      </w:tr>
      <w:tr w:rsidR="00B02873" w:rsidRPr="00B02873" w14:paraId="00AFDD93" w14:textId="77777777" w:rsidTr="00DB60C6">
        <w:tc>
          <w:tcPr>
            <w:tcW w:w="5382" w:type="dxa"/>
          </w:tcPr>
          <w:p w14:paraId="37CB993E" w14:textId="77777777" w:rsidR="00B02873" w:rsidRDefault="00B02873" w:rsidP="00DB60C6">
            <w:pPr>
              <w:pStyle w:val="TablebodyleftFinancialsTables"/>
            </w:pPr>
            <w:r>
              <w:t>Bendigo Heritage Attractions</w:t>
            </w:r>
          </w:p>
        </w:tc>
        <w:tc>
          <w:tcPr>
            <w:tcW w:w="1559" w:type="dxa"/>
          </w:tcPr>
          <w:p w14:paraId="18C2B53E" w14:textId="77777777" w:rsidR="00B02873" w:rsidRDefault="00B02873" w:rsidP="00DB60C6">
            <w:pPr>
              <w:pStyle w:val="TablebodyleftFinancialsTables"/>
              <w:jc w:val="right"/>
            </w:pPr>
            <w:r>
              <w:t>486,417</w:t>
            </w:r>
          </w:p>
        </w:tc>
      </w:tr>
      <w:tr w:rsidR="00B02873" w:rsidRPr="00B02873" w14:paraId="5573D4F1" w14:textId="77777777" w:rsidTr="00DB60C6">
        <w:tc>
          <w:tcPr>
            <w:tcW w:w="5382" w:type="dxa"/>
          </w:tcPr>
          <w:p w14:paraId="75D3FFE7" w14:textId="77777777" w:rsidR="00B02873" w:rsidRDefault="00B02873" w:rsidP="00DB60C6">
            <w:pPr>
              <w:pStyle w:val="TablebodyleftFinancialsTables"/>
            </w:pPr>
            <w:r>
              <w:t>Yorta Yorta Nation Aboriginal Corporation</w:t>
            </w:r>
          </w:p>
        </w:tc>
        <w:tc>
          <w:tcPr>
            <w:tcW w:w="1559" w:type="dxa"/>
          </w:tcPr>
          <w:p w14:paraId="610D4744" w14:textId="77777777" w:rsidR="00B02873" w:rsidRDefault="00B02873" w:rsidP="00DB60C6">
            <w:pPr>
              <w:pStyle w:val="TablebodyleftFinancialsTables"/>
              <w:jc w:val="right"/>
            </w:pPr>
            <w:r>
              <w:t>479,093</w:t>
            </w:r>
          </w:p>
        </w:tc>
      </w:tr>
      <w:tr w:rsidR="00B02873" w:rsidRPr="00B02873" w14:paraId="6B737DB1" w14:textId="77777777" w:rsidTr="00DB60C6">
        <w:tc>
          <w:tcPr>
            <w:tcW w:w="5382" w:type="dxa"/>
          </w:tcPr>
          <w:p w14:paraId="57BD0834" w14:textId="77777777" w:rsidR="00B02873" w:rsidRDefault="00B02873" w:rsidP="00DB60C6">
            <w:pPr>
              <w:pStyle w:val="TablebodyleftFinancialsTables"/>
            </w:pPr>
            <w:r>
              <w:t>Taungurung Land and Waters Council</w:t>
            </w:r>
          </w:p>
        </w:tc>
        <w:tc>
          <w:tcPr>
            <w:tcW w:w="1559" w:type="dxa"/>
          </w:tcPr>
          <w:p w14:paraId="09F086E4" w14:textId="77777777" w:rsidR="00B02873" w:rsidRDefault="00B02873" w:rsidP="00DB60C6">
            <w:pPr>
              <w:pStyle w:val="TablebodyleftFinancialsTables"/>
              <w:jc w:val="right"/>
            </w:pPr>
            <w:r>
              <w:t>467,955</w:t>
            </w:r>
          </w:p>
        </w:tc>
      </w:tr>
      <w:tr w:rsidR="00B02873" w:rsidRPr="00B02873" w14:paraId="7E37B174" w14:textId="77777777" w:rsidTr="00DB60C6">
        <w:tc>
          <w:tcPr>
            <w:tcW w:w="5382" w:type="dxa"/>
          </w:tcPr>
          <w:p w14:paraId="48A9D73A" w14:textId="77777777" w:rsidR="00B02873" w:rsidRDefault="00B02873" w:rsidP="00DB60C6">
            <w:pPr>
              <w:pStyle w:val="TablebodyleftFinancialsTables"/>
            </w:pPr>
            <w:r>
              <w:t>Campaspe Shire Council</w:t>
            </w:r>
          </w:p>
        </w:tc>
        <w:tc>
          <w:tcPr>
            <w:tcW w:w="1559" w:type="dxa"/>
          </w:tcPr>
          <w:p w14:paraId="36B2A383" w14:textId="77777777" w:rsidR="00B02873" w:rsidRDefault="00B02873" w:rsidP="00DB60C6">
            <w:pPr>
              <w:pStyle w:val="TablebodyleftFinancialsTables"/>
              <w:jc w:val="right"/>
            </w:pPr>
            <w:r>
              <w:t>449,500</w:t>
            </w:r>
          </w:p>
        </w:tc>
      </w:tr>
      <w:tr w:rsidR="00B02873" w:rsidRPr="00B02873" w14:paraId="5E7674FB" w14:textId="77777777" w:rsidTr="00DB60C6">
        <w:tc>
          <w:tcPr>
            <w:tcW w:w="5382" w:type="dxa"/>
          </w:tcPr>
          <w:p w14:paraId="399F9951" w14:textId="77777777" w:rsidR="00B02873" w:rsidRDefault="00B02873" w:rsidP="00DB60C6">
            <w:pPr>
              <w:pStyle w:val="TablebodyleftFinancialsTables"/>
            </w:pPr>
            <w:r>
              <w:t>Barwon Region Water Authority</w:t>
            </w:r>
          </w:p>
        </w:tc>
        <w:tc>
          <w:tcPr>
            <w:tcW w:w="1559" w:type="dxa"/>
          </w:tcPr>
          <w:p w14:paraId="3AC97ABD" w14:textId="77777777" w:rsidR="00B02873" w:rsidRDefault="00B02873" w:rsidP="00DB60C6">
            <w:pPr>
              <w:pStyle w:val="TablebodyleftFinancialsTables"/>
              <w:jc w:val="right"/>
            </w:pPr>
            <w:r>
              <w:t>423,000</w:t>
            </w:r>
          </w:p>
        </w:tc>
      </w:tr>
      <w:tr w:rsidR="00B02873" w:rsidRPr="00B02873" w14:paraId="61F5EA59" w14:textId="77777777" w:rsidTr="00DB60C6">
        <w:tc>
          <w:tcPr>
            <w:tcW w:w="5382" w:type="dxa"/>
          </w:tcPr>
          <w:p w14:paraId="0172B69A" w14:textId="77777777" w:rsidR="00B02873" w:rsidRDefault="00B02873" w:rsidP="00DB60C6">
            <w:pPr>
              <w:pStyle w:val="TablebodyleftFinancialsTables"/>
            </w:pPr>
            <w:r>
              <w:t>First People of the Millewa-Mallee Aboriginal Corporation</w:t>
            </w:r>
          </w:p>
        </w:tc>
        <w:tc>
          <w:tcPr>
            <w:tcW w:w="1559" w:type="dxa"/>
          </w:tcPr>
          <w:p w14:paraId="28D3D743" w14:textId="77777777" w:rsidR="00B02873" w:rsidRDefault="00B02873" w:rsidP="00DB60C6">
            <w:pPr>
              <w:pStyle w:val="TablebodyleftFinancialsTables"/>
              <w:jc w:val="right"/>
            </w:pPr>
            <w:r>
              <w:t>408,000</w:t>
            </w:r>
          </w:p>
        </w:tc>
      </w:tr>
      <w:tr w:rsidR="00B02873" w:rsidRPr="00B02873" w14:paraId="74991D68" w14:textId="77777777" w:rsidTr="00DB60C6">
        <w:tc>
          <w:tcPr>
            <w:tcW w:w="5382" w:type="dxa"/>
          </w:tcPr>
          <w:p w14:paraId="322C48D7" w14:textId="77777777" w:rsidR="00B02873" w:rsidRDefault="00B02873" w:rsidP="00DB60C6">
            <w:pPr>
              <w:pStyle w:val="TablebodyleftFinancialsTables"/>
            </w:pPr>
            <w:r>
              <w:t>Wannon Water</w:t>
            </w:r>
          </w:p>
        </w:tc>
        <w:tc>
          <w:tcPr>
            <w:tcW w:w="1559" w:type="dxa"/>
          </w:tcPr>
          <w:p w14:paraId="67F31C7F" w14:textId="77777777" w:rsidR="00B02873" w:rsidRDefault="00B02873" w:rsidP="00DB60C6">
            <w:pPr>
              <w:pStyle w:val="TablebodyleftFinancialsTables"/>
              <w:jc w:val="right"/>
            </w:pPr>
            <w:r>
              <w:t>405,800</w:t>
            </w:r>
          </w:p>
        </w:tc>
      </w:tr>
      <w:tr w:rsidR="00B02873" w:rsidRPr="00B02873" w14:paraId="148C5B41" w14:textId="77777777" w:rsidTr="00DB60C6">
        <w:tc>
          <w:tcPr>
            <w:tcW w:w="5382" w:type="dxa"/>
          </w:tcPr>
          <w:p w14:paraId="310A26DA" w14:textId="77777777" w:rsidR="00B02873" w:rsidRDefault="00B02873" w:rsidP="00DB60C6">
            <w:pPr>
              <w:pStyle w:val="TablebodyleftFinancialsTables"/>
            </w:pPr>
            <w:r>
              <w:t>Tati Tati Kaiejin Ltd</w:t>
            </w:r>
          </w:p>
        </w:tc>
        <w:tc>
          <w:tcPr>
            <w:tcW w:w="1559" w:type="dxa"/>
          </w:tcPr>
          <w:p w14:paraId="6D814DA3" w14:textId="77777777" w:rsidR="00B02873" w:rsidRDefault="00B02873" w:rsidP="00DB60C6">
            <w:pPr>
              <w:pStyle w:val="TablebodyleftFinancialsTables"/>
              <w:jc w:val="right"/>
            </w:pPr>
            <w:r>
              <w:t>403,000</w:t>
            </w:r>
          </w:p>
        </w:tc>
      </w:tr>
      <w:tr w:rsidR="00B02873" w:rsidRPr="00B02873" w14:paraId="4C41F942" w14:textId="77777777" w:rsidTr="00DB60C6">
        <w:tc>
          <w:tcPr>
            <w:tcW w:w="5382" w:type="dxa"/>
          </w:tcPr>
          <w:p w14:paraId="67959BF6" w14:textId="77777777" w:rsidR="00B02873" w:rsidRDefault="00B02873" w:rsidP="00DB60C6">
            <w:pPr>
              <w:pStyle w:val="TablebodyleftFinancialsTables"/>
            </w:pPr>
            <w:r>
              <w:t>South East Water Corporation</w:t>
            </w:r>
          </w:p>
        </w:tc>
        <w:tc>
          <w:tcPr>
            <w:tcW w:w="1559" w:type="dxa"/>
          </w:tcPr>
          <w:p w14:paraId="718D13EA" w14:textId="77777777" w:rsidR="00B02873" w:rsidRDefault="00B02873" w:rsidP="00DB60C6">
            <w:pPr>
              <w:pStyle w:val="TablebodyleftFinancialsTables"/>
              <w:jc w:val="right"/>
            </w:pPr>
            <w:r>
              <w:t>386,818</w:t>
            </w:r>
          </w:p>
        </w:tc>
      </w:tr>
      <w:tr w:rsidR="00B02873" w:rsidRPr="00B02873" w14:paraId="16561163" w14:textId="77777777" w:rsidTr="00DB60C6">
        <w:tc>
          <w:tcPr>
            <w:tcW w:w="5382" w:type="dxa"/>
          </w:tcPr>
          <w:p w14:paraId="1A043F8E" w14:textId="77777777" w:rsidR="00B02873" w:rsidRDefault="00B02873" w:rsidP="00DB60C6">
            <w:pPr>
              <w:pStyle w:val="TablebodyleftFinancialsTables"/>
            </w:pPr>
            <w:r>
              <w:t>Yarra Ranges Council</w:t>
            </w:r>
          </w:p>
        </w:tc>
        <w:tc>
          <w:tcPr>
            <w:tcW w:w="1559" w:type="dxa"/>
          </w:tcPr>
          <w:p w14:paraId="3006F79D" w14:textId="77777777" w:rsidR="00B02873" w:rsidRDefault="00B02873" w:rsidP="00DB60C6">
            <w:pPr>
              <w:pStyle w:val="TablebodyleftFinancialsTables"/>
              <w:jc w:val="right"/>
            </w:pPr>
            <w:r>
              <w:t>375,833</w:t>
            </w:r>
          </w:p>
        </w:tc>
      </w:tr>
      <w:tr w:rsidR="00B02873" w:rsidRPr="00B02873" w14:paraId="3786EAAA" w14:textId="77777777" w:rsidTr="00DB60C6">
        <w:tc>
          <w:tcPr>
            <w:tcW w:w="5382" w:type="dxa"/>
          </w:tcPr>
          <w:p w14:paraId="7EE5C426" w14:textId="77777777" w:rsidR="00B02873" w:rsidRDefault="00B02873" w:rsidP="00DB60C6">
            <w:pPr>
              <w:pStyle w:val="TablebodyleftFinancialsTables"/>
            </w:pPr>
            <w:r>
              <w:t>Bunurong Land Council Aboriginal Corporation</w:t>
            </w:r>
          </w:p>
        </w:tc>
        <w:tc>
          <w:tcPr>
            <w:tcW w:w="1559" w:type="dxa"/>
          </w:tcPr>
          <w:p w14:paraId="4FA2E70E" w14:textId="77777777" w:rsidR="00B02873" w:rsidRDefault="00B02873" w:rsidP="00DB60C6">
            <w:pPr>
              <w:pStyle w:val="TablebodyleftFinancialsTables"/>
              <w:jc w:val="right"/>
            </w:pPr>
            <w:r>
              <w:t>372,000</w:t>
            </w:r>
          </w:p>
        </w:tc>
      </w:tr>
      <w:tr w:rsidR="00B02873" w:rsidRPr="00B02873" w14:paraId="0034FBB4" w14:textId="77777777" w:rsidTr="00DB60C6">
        <w:tc>
          <w:tcPr>
            <w:tcW w:w="5382" w:type="dxa"/>
          </w:tcPr>
          <w:p w14:paraId="4DE548C9" w14:textId="77777777" w:rsidR="00B02873" w:rsidRDefault="00B02873" w:rsidP="00DB60C6">
            <w:pPr>
              <w:pStyle w:val="TablebodyleftFinancialsTables"/>
            </w:pPr>
            <w:r>
              <w:t>City of Greater Bendigo</w:t>
            </w:r>
          </w:p>
        </w:tc>
        <w:tc>
          <w:tcPr>
            <w:tcW w:w="1559" w:type="dxa"/>
          </w:tcPr>
          <w:p w14:paraId="7026165E" w14:textId="77777777" w:rsidR="00B02873" w:rsidRDefault="00B02873" w:rsidP="00DB60C6">
            <w:pPr>
              <w:pStyle w:val="TablebodyleftFinancialsTables"/>
              <w:jc w:val="right"/>
            </w:pPr>
            <w:r>
              <w:t>349,966</w:t>
            </w:r>
          </w:p>
        </w:tc>
      </w:tr>
      <w:tr w:rsidR="00B02873" w:rsidRPr="00B02873" w14:paraId="6CC4C0CE" w14:textId="77777777" w:rsidTr="00DB60C6">
        <w:tc>
          <w:tcPr>
            <w:tcW w:w="5382" w:type="dxa"/>
          </w:tcPr>
          <w:p w14:paraId="0BA8DD12" w14:textId="77777777" w:rsidR="00B02873" w:rsidRDefault="00B02873" w:rsidP="00DB60C6">
            <w:pPr>
              <w:pStyle w:val="TablebodyleftFinancialsTables"/>
            </w:pPr>
            <w:r>
              <w:t>Port Phillip and Westernport Catchment Management Authority</w:t>
            </w:r>
          </w:p>
        </w:tc>
        <w:tc>
          <w:tcPr>
            <w:tcW w:w="1559" w:type="dxa"/>
          </w:tcPr>
          <w:p w14:paraId="6835A340" w14:textId="77777777" w:rsidR="00B02873" w:rsidRDefault="00B02873" w:rsidP="00DB60C6">
            <w:pPr>
              <w:pStyle w:val="TablebodyleftFinancialsTables"/>
              <w:jc w:val="right"/>
            </w:pPr>
            <w:r>
              <w:t>337,000</w:t>
            </w:r>
          </w:p>
        </w:tc>
      </w:tr>
      <w:tr w:rsidR="00B02873" w:rsidRPr="00B02873" w14:paraId="7EE6ED39" w14:textId="77777777" w:rsidTr="00DB60C6">
        <w:tc>
          <w:tcPr>
            <w:tcW w:w="5382" w:type="dxa"/>
          </w:tcPr>
          <w:p w14:paraId="53258556" w14:textId="77777777" w:rsidR="00B02873" w:rsidRDefault="00B02873" w:rsidP="00DB60C6">
            <w:pPr>
              <w:pStyle w:val="TablebodyleftFinancialsTables"/>
            </w:pPr>
            <w:r>
              <w:t>VicWater</w:t>
            </w:r>
          </w:p>
        </w:tc>
        <w:tc>
          <w:tcPr>
            <w:tcW w:w="1559" w:type="dxa"/>
          </w:tcPr>
          <w:p w14:paraId="617920A9" w14:textId="77777777" w:rsidR="00B02873" w:rsidRDefault="00B02873" w:rsidP="00DB60C6">
            <w:pPr>
              <w:pStyle w:val="TablebodyleftFinancialsTables"/>
              <w:jc w:val="right"/>
            </w:pPr>
            <w:r>
              <w:t>336,000</w:t>
            </w:r>
          </w:p>
        </w:tc>
      </w:tr>
      <w:tr w:rsidR="00B02873" w:rsidRPr="00B02873" w14:paraId="19C6C44D" w14:textId="77777777" w:rsidTr="00DB60C6">
        <w:tc>
          <w:tcPr>
            <w:tcW w:w="5382" w:type="dxa"/>
          </w:tcPr>
          <w:p w14:paraId="7C27B13E" w14:textId="77777777" w:rsidR="00B02873" w:rsidRDefault="00B02873" w:rsidP="00DB60C6">
            <w:pPr>
              <w:pStyle w:val="TablebodyleftFinancialsTables"/>
            </w:pPr>
            <w:r>
              <w:lastRenderedPageBreak/>
              <w:t>Victorian Planning Authority</w:t>
            </w:r>
          </w:p>
        </w:tc>
        <w:tc>
          <w:tcPr>
            <w:tcW w:w="1559" w:type="dxa"/>
          </w:tcPr>
          <w:p w14:paraId="19C79C60" w14:textId="77777777" w:rsidR="00B02873" w:rsidRDefault="00B02873" w:rsidP="00DB60C6">
            <w:pPr>
              <w:pStyle w:val="TablebodyleftFinancialsTables"/>
              <w:jc w:val="right"/>
            </w:pPr>
            <w:r>
              <w:t>332,957</w:t>
            </w:r>
          </w:p>
        </w:tc>
      </w:tr>
      <w:tr w:rsidR="00B02873" w:rsidRPr="00B02873" w14:paraId="5CD37CB4" w14:textId="77777777" w:rsidTr="00DB60C6">
        <w:tc>
          <w:tcPr>
            <w:tcW w:w="5382" w:type="dxa"/>
          </w:tcPr>
          <w:p w14:paraId="79658500" w14:textId="77777777" w:rsidR="00B02873" w:rsidRDefault="00B02873" w:rsidP="00DB60C6">
            <w:pPr>
              <w:pStyle w:val="TablebodyleftFinancialsTables"/>
            </w:pPr>
            <w:r>
              <w:rPr>
                <w:spacing w:val="-6"/>
                <w:w w:val="98"/>
              </w:rPr>
              <w:t>Eastern Maar Aboriginal Corporation</w:t>
            </w:r>
          </w:p>
        </w:tc>
        <w:tc>
          <w:tcPr>
            <w:tcW w:w="1559" w:type="dxa"/>
          </w:tcPr>
          <w:p w14:paraId="46AC58B2" w14:textId="77777777" w:rsidR="00B02873" w:rsidRDefault="00B02873" w:rsidP="00DB60C6">
            <w:pPr>
              <w:pStyle w:val="TablebodyleftFinancialsTables"/>
              <w:jc w:val="right"/>
            </w:pPr>
            <w:r>
              <w:t>301,592</w:t>
            </w:r>
          </w:p>
        </w:tc>
      </w:tr>
      <w:tr w:rsidR="00B02873" w:rsidRPr="00B02873" w14:paraId="624EF740" w14:textId="77777777" w:rsidTr="00DB60C6">
        <w:tc>
          <w:tcPr>
            <w:tcW w:w="5382" w:type="dxa"/>
          </w:tcPr>
          <w:p w14:paraId="3863EFA4" w14:textId="77777777" w:rsidR="00B02873" w:rsidRDefault="00B02873" w:rsidP="00DB60C6">
            <w:pPr>
              <w:pStyle w:val="TablebodyleftFinancialsTables"/>
            </w:pPr>
            <w:r>
              <w:t>Federation of Victorian Traditional Owner Corporations</w:t>
            </w:r>
          </w:p>
        </w:tc>
        <w:tc>
          <w:tcPr>
            <w:tcW w:w="1559" w:type="dxa"/>
          </w:tcPr>
          <w:p w14:paraId="6CED2FC8" w14:textId="77777777" w:rsidR="00B02873" w:rsidRDefault="00B02873" w:rsidP="00DB60C6">
            <w:pPr>
              <w:pStyle w:val="TablebodyleftFinancialsTables"/>
              <w:jc w:val="right"/>
            </w:pPr>
            <w:r>
              <w:t>300,000</w:t>
            </w:r>
          </w:p>
        </w:tc>
      </w:tr>
      <w:tr w:rsidR="00B02873" w:rsidRPr="00B02873" w14:paraId="0E562F24" w14:textId="77777777" w:rsidTr="00DB60C6">
        <w:tc>
          <w:tcPr>
            <w:tcW w:w="5382" w:type="dxa"/>
          </w:tcPr>
          <w:p w14:paraId="0A704C29" w14:textId="77777777" w:rsidR="00B02873" w:rsidRDefault="00B02873" w:rsidP="00DB60C6">
            <w:pPr>
              <w:pStyle w:val="TablebodyleftFinancialsTables"/>
            </w:pPr>
            <w:r>
              <w:t>Ewater Ltd</w:t>
            </w:r>
          </w:p>
        </w:tc>
        <w:tc>
          <w:tcPr>
            <w:tcW w:w="1559" w:type="dxa"/>
          </w:tcPr>
          <w:p w14:paraId="112688AE" w14:textId="77777777" w:rsidR="00B02873" w:rsidRDefault="00B02873" w:rsidP="00DB60C6">
            <w:pPr>
              <w:pStyle w:val="TablebodyleftFinancialsTables"/>
              <w:jc w:val="right"/>
            </w:pPr>
            <w:r>
              <w:t>297,272</w:t>
            </w:r>
          </w:p>
        </w:tc>
      </w:tr>
      <w:tr w:rsidR="00B02873" w:rsidRPr="00B02873" w14:paraId="412F8641" w14:textId="77777777" w:rsidTr="00DB60C6">
        <w:tc>
          <w:tcPr>
            <w:tcW w:w="5382" w:type="dxa"/>
          </w:tcPr>
          <w:p w14:paraId="1B5B26D6" w14:textId="77777777" w:rsidR="00B02873" w:rsidRDefault="00B02873" w:rsidP="00DB60C6">
            <w:pPr>
              <w:pStyle w:val="TablebodyleftFinancialsTables"/>
            </w:pPr>
            <w:r>
              <w:t>Mansfield Shire Council</w:t>
            </w:r>
          </w:p>
        </w:tc>
        <w:tc>
          <w:tcPr>
            <w:tcW w:w="1559" w:type="dxa"/>
          </w:tcPr>
          <w:p w14:paraId="12EDA069" w14:textId="77777777" w:rsidR="00B02873" w:rsidRDefault="00B02873" w:rsidP="00DB60C6">
            <w:pPr>
              <w:pStyle w:val="TablebodyleftFinancialsTables"/>
              <w:jc w:val="right"/>
            </w:pPr>
            <w:r>
              <w:t>280,000</w:t>
            </w:r>
          </w:p>
        </w:tc>
      </w:tr>
      <w:tr w:rsidR="00B02873" w:rsidRPr="00B02873" w14:paraId="7C19185B" w14:textId="77777777" w:rsidTr="00DB60C6">
        <w:tc>
          <w:tcPr>
            <w:tcW w:w="5382" w:type="dxa"/>
          </w:tcPr>
          <w:p w14:paraId="573E4899" w14:textId="77777777" w:rsidR="00B02873" w:rsidRDefault="00B02873" w:rsidP="00DB60C6">
            <w:pPr>
              <w:pStyle w:val="TablebodyleftFinancialsTables"/>
            </w:pPr>
            <w:r>
              <w:t>Gunaikurnai Land and Waters Aboriginal Corporation</w:t>
            </w:r>
          </w:p>
        </w:tc>
        <w:tc>
          <w:tcPr>
            <w:tcW w:w="1559" w:type="dxa"/>
          </w:tcPr>
          <w:p w14:paraId="0B73FF62" w14:textId="77777777" w:rsidR="00B02873" w:rsidRDefault="00B02873" w:rsidP="00DB60C6">
            <w:pPr>
              <w:pStyle w:val="TablebodyleftFinancialsTables"/>
              <w:jc w:val="right"/>
            </w:pPr>
            <w:r>
              <w:t>270,944</w:t>
            </w:r>
          </w:p>
        </w:tc>
      </w:tr>
      <w:tr w:rsidR="00B02873" w:rsidRPr="00B02873" w14:paraId="66A82B35" w14:textId="77777777" w:rsidTr="00DB60C6">
        <w:tc>
          <w:tcPr>
            <w:tcW w:w="5382" w:type="dxa"/>
          </w:tcPr>
          <w:p w14:paraId="69C85F61" w14:textId="77777777" w:rsidR="00B02873" w:rsidRDefault="00B02873" w:rsidP="00DB60C6">
            <w:pPr>
              <w:pStyle w:val="TablebodyleftFinancialsTables"/>
            </w:pPr>
            <w:r>
              <w:t>North East Water</w:t>
            </w:r>
          </w:p>
        </w:tc>
        <w:tc>
          <w:tcPr>
            <w:tcW w:w="1559" w:type="dxa"/>
          </w:tcPr>
          <w:p w14:paraId="4700040C" w14:textId="77777777" w:rsidR="00B02873" w:rsidRDefault="00B02873" w:rsidP="00DB60C6">
            <w:pPr>
              <w:pStyle w:val="TablebodyleftFinancialsTables"/>
              <w:jc w:val="right"/>
            </w:pPr>
            <w:r>
              <w:t>270,000</w:t>
            </w:r>
          </w:p>
        </w:tc>
      </w:tr>
      <w:tr w:rsidR="00B02873" w:rsidRPr="00B02873" w14:paraId="14A1B4A1" w14:textId="77777777" w:rsidTr="00DB60C6">
        <w:tc>
          <w:tcPr>
            <w:tcW w:w="5382" w:type="dxa"/>
          </w:tcPr>
          <w:p w14:paraId="5C8E6AD7" w14:textId="77777777" w:rsidR="00B02873" w:rsidRDefault="00B02873" w:rsidP="00DB60C6">
            <w:pPr>
              <w:pStyle w:val="TablebodyleftFinancialsTables"/>
            </w:pPr>
            <w:r>
              <w:t>Latrobe City Council</w:t>
            </w:r>
          </w:p>
        </w:tc>
        <w:tc>
          <w:tcPr>
            <w:tcW w:w="1559" w:type="dxa"/>
          </w:tcPr>
          <w:p w14:paraId="5EA5AB19" w14:textId="77777777" w:rsidR="00B02873" w:rsidRDefault="00B02873" w:rsidP="00DB60C6">
            <w:pPr>
              <w:pStyle w:val="TablebodyleftFinancialsTables"/>
              <w:jc w:val="right"/>
            </w:pPr>
            <w:r>
              <w:t>250,000</w:t>
            </w:r>
          </w:p>
        </w:tc>
      </w:tr>
      <w:tr w:rsidR="00B02873" w:rsidRPr="00B02873" w14:paraId="2B6C6A4A" w14:textId="77777777" w:rsidTr="00DB60C6">
        <w:tc>
          <w:tcPr>
            <w:tcW w:w="5382" w:type="dxa"/>
          </w:tcPr>
          <w:p w14:paraId="1A9B3019" w14:textId="77777777" w:rsidR="00B02873" w:rsidRDefault="00B02873" w:rsidP="00DB60C6">
            <w:pPr>
              <w:pStyle w:val="TablebodyleftFinancialsTables"/>
            </w:pPr>
            <w:r>
              <w:t>Frankston City Council</w:t>
            </w:r>
          </w:p>
        </w:tc>
        <w:tc>
          <w:tcPr>
            <w:tcW w:w="1559" w:type="dxa"/>
          </w:tcPr>
          <w:p w14:paraId="4E90FDFB" w14:textId="77777777" w:rsidR="00B02873" w:rsidRDefault="00B02873" w:rsidP="00DB60C6">
            <w:pPr>
              <w:pStyle w:val="TablebodyleftFinancialsTables"/>
              <w:jc w:val="right"/>
            </w:pPr>
            <w:r>
              <w:t>250,000</w:t>
            </w:r>
          </w:p>
        </w:tc>
      </w:tr>
      <w:tr w:rsidR="00B02873" w:rsidRPr="00B02873" w14:paraId="0B18B7A6" w14:textId="77777777" w:rsidTr="00DB60C6">
        <w:tc>
          <w:tcPr>
            <w:tcW w:w="5382" w:type="dxa"/>
          </w:tcPr>
          <w:p w14:paraId="79366621" w14:textId="77777777" w:rsidR="00B02873" w:rsidRDefault="00B02873" w:rsidP="00DB60C6">
            <w:pPr>
              <w:pStyle w:val="TablebodyleftFinancialsTables"/>
            </w:pPr>
            <w:r>
              <w:t>Murray Lower Darling Rivers Indigenous Nations</w:t>
            </w:r>
          </w:p>
        </w:tc>
        <w:tc>
          <w:tcPr>
            <w:tcW w:w="1559" w:type="dxa"/>
          </w:tcPr>
          <w:p w14:paraId="36F90A9B" w14:textId="77777777" w:rsidR="00B02873" w:rsidRDefault="00B02873" w:rsidP="00DB60C6">
            <w:pPr>
              <w:pStyle w:val="TablebodyleftFinancialsTables"/>
              <w:jc w:val="right"/>
            </w:pPr>
            <w:r>
              <w:t>234,000</w:t>
            </w:r>
          </w:p>
        </w:tc>
      </w:tr>
      <w:tr w:rsidR="00B02873" w:rsidRPr="00B02873" w14:paraId="073EBE67" w14:textId="77777777" w:rsidTr="00DB60C6">
        <w:tc>
          <w:tcPr>
            <w:tcW w:w="5382" w:type="dxa"/>
          </w:tcPr>
          <w:p w14:paraId="4E4A1EE4" w14:textId="77777777" w:rsidR="00B02873" w:rsidRDefault="00B02873" w:rsidP="00DB60C6">
            <w:pPr>
              <w:pStyle w:val="TablebodyleftFinancialsTables"/>
            </w:pPr>
            <w:r>
              <w:t>Dja Dja Wurrung Enterprises Pty Ltd</w:t>
            </w:r>
          </w:p>
        </w:tc>
        <w:tc>
          <w:tcPr>
            <w:tcW w:w="1559" w:type="dxa"/>
          </w:tcPr>
          <w:p w14:paraId="0C8FE487" w14:textId="77777777" w:rsidR="00B02873" w:rsidRDefault="00B02873" w:rsidP="00DB60C6">
            <w:pPr>
              <w:pStyle w:val="TablebodyleftFinancialsTables"/>
              <w:jc w:val="right"/>
            </w:pPr>
            <w:r>
              <w:t>218,752</w:t>
            </w:r>
          </w:p>
        </w:tc>
      </w:tr>
      <w:tr w:rsidR="00B02873" w:rsidRPr="00B02873" w14:paraId="5C98B50B" w14:textId="77777777" w:rsidTr="00DB60C6">
        <w:tc>
          <w:tcPr>
            <w:tcW w:w="5382" w:type="dxa"/>
          </w:tcPr>
          <w:p w14:paraId="0D1B211B" w14:textId="77777777" w:rsidR="00B02873" w:rsidRDefault="00B02873" w:rsidP="00DB60C6">
            <w:pPr>
              <w:pStyle w:val="TablebodyleftFinancialsTables"/>
            </w:pPr>
            <w:r>
              <w:t>Dja Dja Wurrung Clans Aboriginal Corporation</w:t>
            </w:r>
          </w:p>
        </w:tc>
        <w:tc>
          <w:tcPr>
            <w:tcW w:w="1559" w:type="dxa"/>
          </w:tcPr>
          <w:p w14:paraId="64D1B850" w14:textId="77777777" w:rsidR="00B02873" w:rsidRDefault="00B02873" w:rsidP="00DB60C6">
            <w:pPr>
              <w:pStyle w:val="TablebodyleftFinancialsTables"/>
              <w:jc w:val="right"/>
            </w:pPr>
            <w:r>
              <w:t>217,000</w:t>
            </w:r>
          </w:p>
        </w:tc>
      </w:tr>
      <w:tr w:rsidR="00B02873" w:rsidRPr="00B02873" w14:paraId="78A3CEBC" w14:textId="77777777" w:rsidTr="00DB60C6">
        <w:tc>
          <w:tcPr>
            <w:tcW w:w="5382" w:type="dxa"/>
          </w:tcPr>
          <w:p w14:paraId="69665AFC" w14:textId="77777777" w:rsidR="00B02873" w:rsidRDefault="00B02873" w:rsidP="00DB60C6">
            <w:pPr>
              <w:pStyle w:val="TablebodyleftFinancialsTables"/>
            </w:pPr>
            <w:r>
              <w:t>Wyndham City Council</w:t>
            </w:r>
          </w:p>
        </w:tc>
        <w:tc>
          <w:tcPr>
            <w:tcW w:w="1559" w:type="dxa"/>
          </w:tcPr>
          <w:p w14:paraId="16BD5648" w14:textId="77777777" w:rsidR="00B02873" w:rsidRDefault="00B02873" w:rsidP="00DB60C6">
            <w:pPr>
              <w:pStyle w:val="TablebodyleftFinancialsTables"/>
              <w:jc w:val="right"/>
            </w:pPr>
            <w:r>
              <w:t>212,000</w:t>
            </w:r>
          </w:p>
        </w:tc>
      </w:tr>
      <w:tr w:rsidR="00B02873" w:rsidRPr="00B02873" w14:paraId="23833958" w14:textId="77777777" w:rsidTr="00DB60C6">
        <w:tc>
          <w:tcPr>
            <w:tcW w:w="5382" w:type="dxa"/>
          </w:tcPr>
          <w:p w14:paraId="3F3F068C" w14:textId="77777777" w:rsidR="00B02873" w:rsidRDefault="00B02873" w:rsidP="00DB60C6">
            <w:pPr>
              <w:pStyle w:val="TablebodyleftFinancialsTables"/>
            </w:pPr>
            <w:r>
              <w:t>City of Ballarat</w:t>
            </w:r>
          </w:p>
        </w:tc>
        <w:tc>
          <w:tcPr>
            <w:tcW w:w="1559" w:type="dxa"/>
          </w:tcPr>
          <w:p w14:paraId="6FEAF343" w14:textId="77777777" w:rsidR="00B02873" w:rsidRDefault="00B02873" w:rsidP="00DB60C6">
            <w:pPr>
              <w:pStyle w:val="TablebodyleftFinancialsTables"/>
              <w:jc w:val="right"/>
            </w:pPr>
            <w:r>
              <w:t>206,850</w:t>
            </w:r>
          </w:p>
        </w:tc>
      </w:tr>
      <w:tr w:rsidR="00B02873" w:rsidRPr="00B02873" w14:paraId="2FBA39F9" w14:textId="77777777" w:rsidTr="00DB60C6">
        <w:tc>
          <w:tcPr>
            <w:tcW w:w="5382" w:type="dxa"/>
          </w:tcPr>
          <w:p w14:paraId="7C3B9CF0" w14:textId="77777777" w:rsidR="00B02873" w:rsidRDefault="00B02873" w:rsidP="00DB60C6">
            <w:pPr>
              <w:pStyle w:val="TablebodyleftFinancialsTables"/>
            </w:pPr>
            <w:r>
              <w:t>Westernport Water</w:t>
            </w:r>
          </w:p>
        </w:tc>
        <w:tc>
          <w:tcPr>
            <w:tcW w:w="1559" w:type="dxa"/>
          </w:tcPr>
          <w:p w14:paraId="16009754" w14:textId="77777777" w:rsidR="00B02873" w:rsidRDefault="00B02873" w:rsidP="00DB60C6">
            <w:pPr>
              <w:pStyle w:val="TablebodyleftFinancialsTables"/>
              <w:jc w:val="right"/>
            </w:pPr>
            <w:r>
              <w:t>200,000</w:t>
            </w:r>
          </w:p>
        </w:tc>
      </w:tr>
      <w:tr w:rsidR="00B02873" w:rsidRPr="00B02873" w14:paraId="32881D56" w14:textId="77777777" w:rsidTr="00DB60C6">
        <w:tc>
          <w:tcPr>
            <w:tcW w:w="5382" w:type="dxa"/>
          </w:tcPr>
          <w:p w14:paraId="164ED1BD" w14:textId="77777777" w:rsidR="00B02873" w:rsidRDefault="00B02873" w:rsidP="00DB60C6">
            <w:pPr>
              <w:pStyle w:val="TablebodyleftFinancialsTables"/>
            </w:pPr>
            <w:r>
              <w:t>Commonwealth Scientific and Industrial Research Organisation (CSIRO)</w:t>
            </w:r>
          </w:p>
        </w:tc>
        <w:tc>
          <w:tcPr>
            <w:tcW w:w="1559" w:type="dxa"/>
          </w:tcPr>
          <w:p w14:paraId="68D0EFB0" w14:textId="77777777" w:rsidR="00B02873" w:rsidRDefault="00B02873" w:rsidP="00DB60C6">
            <w:pPr>
              <w:pStyle w:val="TablebodyleftFinancialsTables"/>
              <w:jc w:val="right"/>
            </w:pPr>
            <w:r>
              <w:t>200,000</w:t>
            </w:r>
          </w:p>
        </w:tc>
      </w:tr>
      <w:tr w:rsidR="00B02873" w:rsidRPr="00B02873" w14:paraId="51B7304C" w14:textId="77777777" w:rsidTr="00DB60C6">
        <w:tc>
          <w:tcPr>
            <w:tcW w:w="5382" w:type="dxa"/>
          </w:tcPr>
          <w:p w14:paraId="2ADA4363" w14:textId="77777777" w:rsidR="00B02873" w:rsidRDefault="00B02873" w:rsidP="00DB60C6">
            <w:pPr>
              <w:pStyle w:val="TablebodyleftFinancialsTables"/>
            </w:pPr>
            <w:r>
              <w:t>Wadawurrung Traditional Owners Aboriginal Corporation</w:t>
            </w:r>
          </w:p>
        </w:tc>
        <w:tc>
          <w:tcPr>
            <w:tcW w:w="1559" w:type="dxa"/>
          </w:tcPr>
          <w:p w14:paraId="1257E9F6" w14:textId="77777777" w:rsidR="00B02873" w:rsidRDefault="00B02873" w:rsidP="00DB60C6">
            <w:pPr>
              <w:pStyle w:val="TablebodyleftFinancialsTables"/>
              <w:jc w:val="right"/>
            </w:pPr>
            <w:r>
              <w:t>175,000</w:t>
            </w:r>
          </w:p>
        </w:tc>
      </w:tr>
      <w:tr w:rsidR="00B02873" w:rsidRPr="00B02873" w14:paraId="1DCAD9E4" w14:textId="77777777" w:rsidTr="00DB60C6">
        <w:tc>
          <w:tcPr>
            <w:tcW w:w="5382" w:type="dxa"/>
          </w:tcPr>
          <w:p w14:paraId="7BC4BAB5" w14:textId="77777777" w:rsidR="00B02873" w:rsidRDefault="00B02873" w:rsidP="00DB60C6">
            <w:pPr>
              <w:pStyle w:val="TablebodyleftFinancialsTables"/>
            </w:pPr>
            <w:r>
              <w:t>Yarra Riverkeeper Association Inc</w:t>
            </w:r>
          </w:p>
        </w:tc>
        <w:tc>
          <w:tcPr>
            <w:tcW w:w="1559" w:type="dxa"/>
          </w:tcPr>
          <w:p w14:paraId="453BAF8F" w14:textId="77777777" w:rsidR="00B02873" w:rsidRDefault="00B02873" w:rsidP="00DB60C6">
            <w:pPr>
              <w:pStyle w:val="TablebodyleftFinancialsTables"/>
              <w:jc w:val="right"/>
            </w:pPr>
            <w:r>
              <w:t>157,922</w:t>
            </w:r>
          </w:p>
        </w:tc>
      </w:tr>
      <w:tr w:rsidR="00B02873" w:rsidRPr="00B02873" w14:paraId="0AFB8F1E" w14:textId="77777777" w:rsidTr="00DB60C6">
        <w:tc>
          <w:tcPr>
            <w:tcW w:w="5382" w:type="dxa"/>
          </w:tcPr>
          <w:p w14:paraId="0A15CA9C" w14:textId="77777777" w:rsidR="00B02873" w:rsidRDefault="00B02873" w:rsidP="00DB60C6">
            <w:pPr>
              <w:pStyle w:val="TablebodyleftFinancialsTables"/>
            </w:pPr>
            <w:r>
              <w:t>Hobsons Bay City Council</w:t>
            </w:r>
          </w:p>
        </w:tc>
        <w:tc>
          <w:tcPr>
            <w:tcW w:w="1559" w:type="dxa"/>
          </w:tcPr>
          <w:p w14:paraId="010A80CB" w14:textId="77777777" w:rsidR="00B02873" w:rsidRDefault="00B02873" w:rsidP="00DB60C6">
            <w:pPr>
              <w:pStyle w:val="TablebodyleftFinancialsTables"/>
              <w:jc w:val="right"/>
            </w:pPr>
            <w:r>
              <w:t>155,000</w:t>
            </w:r>
          </w:p>
        </w:tc>
      </w:tr>
      <w:tr w:rsidR="00B02873" w:rsidRPr="00B02873" w14:paraId="4618C04E" w14:textId="77777777" w:rsidTr="00DB60C6">
        <w:tc>
          <w:tcPr>
            <w:tcW w:w="5382" w:type="dxa"/>
          </w:tcPr>
          <w:p w14:paraId="6FAE1B2F" w14:textId="77777777" w:rsidR="00B02873" w:rsidRDefault="00B02873" w:rsidP="00DB60C6">
            <w:pPr>
              <w:pStyle w:val="TablebodyleftFinancialsTables"/>
            </w:pPr>
            <w:r>
              <w:t>Odonata Foundation</w:t>
            </w:r>
          </w:p>
        </w:tc>
        <w:tc>
          <w:tcPr>
            <w:tcW w:w="1559" w:type="dxa"/>
          </w:tcPr>
          <w:p w14:paraId="0555C2A4" w14:textId="77777777" w:rsidR="00B02873" w:rsidRDefault="00B02873" w:rsidP="00DB60C6">
            <w:pPr>
              <w:pStyle w:val="TablebodyleftFinancialsTables"/>
              <w:jc w:val="right"/>
            </w:pPr>
            <w:r>
              <w:t>150,000</w:t>
            </w:r>
          </w:p>
        </w:tc>
      </w:tr>
      <w:tr w:rsidR="00B02873" w:rsidRPr="00B02873" w14:paraId="310ACED9" w14:textId="77777777" w:rsidTr="00DB60C6">
        <w:tc>
          <w:tcPr>
            <w:tcW w:w="5382" w:type="dxa"/>
          </w:tcPr>
          <w:p w14:paraId="3E96490D" w14:textId="77777777" w:rsidR="00B02873" w:rsidRDefault="00B02873" w:rsidP="00DB60C6">
            <w:pPr>
              <w:pStyle w:val="TablebodyleftFinancialsTables"/>
            </w:pPr>
            <w:r>
              <w:t>Parks Victoria</w:t>
            </w:r>
          </w:p>
        </w:tc>
        <w:tc>
          <w:tcPr>
            <w:tcW w:w="1559" w:type="dxa"/>
          </w:tcPr>
          <w:p w14:paraId="267D53F6" w14:textId="77777777" w:rsidR="00B02873" w:rsidRDefault="00B02873" w:rsidP="00DB60C6">
            <w:pPr>
              <w:pStyle w:val="TablebodyleftFinancialsTables"/>
              <w:jc w:val="right"/>
            </w:pPr>
            <w:r>
              <w:t>150,000</w:t>
            </w:r>
          </w:p>
        </w:tc>
      </w:tr>
      <w:tr w:rsidR="00B02873" w:rsidRPr="00B02873" w14:paraId="468FC111" w14:textId="77777777" w:rsidTr="00DB60C6">
        <w:tc>
          <w:tcPr>
            <w:tcW w:w="5382" w:type="dxa"/>
          </w:tcPr>
          <w:p w14:paraId="06AE2371" w14:textId="77777777" w:rsidR="00B02873" w:rsidRDefault="00B02873" w:rsidP="00DB60C6">
            <w:pPr>
              <w:pStyle w:val="TablebodyleftFinancialsTables"/>
            </w:pPr>
            <w:r>
              <w:t>East Gippsland Shire Council</w:t>
            </w:r>
          </w:p>
        </w:tc>
        <w:tc>
          <w:tcPr>
            <w:tcW w:w="1559" w:type="dxa"/>
          </w:tcPr>
          <w:p w14:paraId="619259E6" w14:textId="77777777" w:rsidR="00B02873" w:rsidRDefault="00B02873" w:rsidP="00DB60C6">
            <w:pPr>
              <w:pStyle w:val="TablebodyleftFinancialsTables"/>
              <w:jc w:val="right"/>
            </w:pPr>
            <w:r>
              <w:t>150,000</w:t>
            </w:r>
          </w:p>
        </w:tc>
      </w:tr>
      <w:tr w:rsidR="00B02873" w:rsidRPr="00B02873" w14:paraId="6858EBC1" w14:textId="77777777" w:rsidTr="00DB60C6">
        <w:tc>
          <w:tcPr>
            <w:tcW w:w="5382" w:type="dxa"/>
          </w:tcPr>
          <w:p w14:paraId="13EE9454" w14:textId="77777777" w:rsidR="00B02873" w:rsidRDefault="00B02873" w:rsidP="00DB60C6">
            <w:pPr>
              <w:pStyle w:val="TablebodyleftFinancialsTables"/>
            </w:pPr>
            <w:r>
              <w:t>Golden Plains Shire Council</w:t>
            </w:r>
          </w:p>
        </w:tc>
        <w:tc>
          <w:tcPr>
            <w:tcW w:w="1559" w:type="dxa"/>
          </w:tcPr>
          <w:p w14:paraId="42BD0440" w14:textId="77777777" w:rsidR="00B02873" w:rsidRDefault="00B02873" w:rsidP="00DB60C6">
            <w:pPr>
              <w:pStyle w:val="TablebodyleftFinancialsTables"/>
              <w:jc w:val="right"/>
            </w:pPr>
            <w:r>
              <w:t>130,000</w:t>
            </w:r>
          </w:p>
        </w:tc>
      </w:tr>
      <w:tr w:rsidR="00B02873" w:rsidRPr="00B02873" w14:paraId="5E608F18" w14:textId="77777777" w:rsidTr="00DB60C6">
        <w:tc>
          <w:tcPr>
            <w:tcW w:w="5382" w:type="dxa"/>
          </w:tcPr>
          <w:p w14:paraId="36594985" w14:textId="77777777" w:rsidR="00B02873" w:rsidRDefault="00B02873" w:rsidP="00DB60C6">
            <w:pPr>
              <w:pStyle w:val="TablebodyleftFinancialsTables"/>
            </w:pPr>
            <w:r>
              <w:t>Goulburn Valley Water Authority</w:t>
            </w:r>
          </w:p>
        </w:tc>
        <w:tc>
          <w:tcPr>
            <w:tcW w:w="1559" w:type="dxa"/>
          </w:tcPr>
          <w:p w14:paraId="1A663734" w14:textId="77777777" w:rsidR="00B02873" w:rsidRDefault="00B02873" w:rsidP="00DB60C6">
            <w:pPr>
              <w:pStyle w:val="TablebodyleftFinancialsTables"/>
              <w:jc w:val="right"/>
            </w:pPr>
            <w:r>
              <w:t>130,000</w:t>
            </w:r>
          </w:p>
        </w:tc>
      </w:tr>
      <w:tr w:rsidR="00B02873" w:rsidRPr="00B02873" w14:paraId="39CDE53D" w14:textId="77777777" w:rsidTr="00DB60C6">
        <w:tc>
          <w:tcPr>
            <w:tcW w:w="5382" w:type="dxa"/>
          </w:tcPr>
          <w:p w14:paraId="395E7751" w14:textId="77777777" w:rsidR="00B02873" w:rsidRDefault="00B02873" w:rsidP="00DB60C6">
            <w:pPr>
              <w:pStyle w:val="TablebodyleftFinancialsTables"/>
            </w:pPr>
            <w:r>
              <w:t>Grampians Wimmera Mallee Water</w:t>
            </w:r>
          </w:p>
        </w:tc>
        <w:tc>
          <w:tcPr>
            <w:tcW w:w="1559" w:type="dxa"/>
          </w:tcPr>
          <w:p w14:paraId="781431F8" w14:textId="77777777" w:rsidR="00B02873" w:rsidRDefault="00B02873" w:rsidP="00DB60C6">
            <w:pPr>
              <w:pStyle w:val="TablebodyleftFinancialsTables"/>
              <w:jc w:val="right"/>
            </w:pPr>
            <w:r>
              <w:t>103,000</w:t>
            </w:r>
          </w:p>
        </w:tc>
      </w:tr>
      <w:tr w:rsidR="00B02873" w:rsidRPr="00B02873" w14:paraId="05BFC301" w14:textId="77777777" w:rsidTr="00DB60C6">
        <w:tc>
          <w:tcPr>
            <w:tcW w:w="5382" w:type="dxa"/>
          </w:tcPr>
          <w:p w14:paraId="2AE02F9A" w14:textId="77777777" w:rsidR="00B02873" w:rsidRDefault="00B02873" w:rsidP="00DB60C6">
            <w:pPr>
              <w:pStyle w:val="TablebodyleftFinancialsTables"/>
            </w:pPr>
            <w:r>
              <w:t>Moreland City Council</w:t>
            </w:r>
          </w:p>
        </w:tc>
        <w:tc>
          <w:tcPr>
            <w:tcW w:w="1559" w:type="dxa"/>
          </w:tcPr>
          <w:p w14:paraId="758EE3A2" w14:textId="77777777" w:rsidR="00B02873" w:rsidRDefault="00B02873" w:rsidP="00DB60C6">
            <w:pPr>
              <w:pStyle w:val="TablebodyleftFinancialsTables"/>
              <w:jc w:val="right"/>
            </w:pPr>
            <w:r>
              <w:t>100,000</w:t>
            </w:r>
          </w:p>
        </w:tc>
      </w:tr>
      <w:tr w:rsidR="00B02873" w:rsidRPr="00B02873" w14:paraId="54E3F925" w14:textId="77777777" w:rsidTr="00DB60C6">
        <w:tc>
          <w:tcPr>
            <w:tcW w:w="5382" w:type="dxa"/>
          </w:tcPr>
          <w:p w14:paraId="28A8A84D" w14:textId="77777777" w:rsidR="00B02873" w:rsidRDefault="00B02873" w:rsidP="00DB60C6">
            <w:pPr>
              <w:pStyle w:val="TablebodyleftFinancialsTables"/>
            </w:pPr>
            <w:r>
              <w:t>City of Wodonga</w:t>
            </w:r>
          </w:p>
        </w:tc>
        <w:tc>
          <w:tcPr>
            <w:tcW w:w="1559" w:type="dxa"/>
          </w:tcPr>
          <w:p w14:paraId="694D4885" w14:textId="77777777" w:rsidR="00B02873" w:rsidRDefault="00B02873" w:rsidP="00DB60C6">
            <w:pPr>
              <w:pStyle w:val="TablebodyleftFinancialsTables"/>
              <w:jc w:val="right"/>
            </w:pPr>
            <w:r>
              <w:t>89,400</w:t>
            </w:r>
          </w:p>
        </w:tc>
      </w:tr>
      <w:tr w:rsidR="00B02873" w:rsidRPr="00B02873" w14:paraId="6EFDC4B6" w14:textId="77777777" w:rsidTr="00DB60C6">
        <w:tc>
          <w:tcPr>
            <w:tcW w:w="5382" w:type="dxa"/>
          </w:tcPr>
          <w:p w14:paraId="48D9F0AF" w14:textId="77777777" w:rsidR="00B02873" w:rsidRDefault="00B02873" w:rsidP="00DB60C6">
            <w:pPr>
              <w:pStyle w:val="TablebodyleftFinancialsTables"/>
            </w:pPr>
            <w:r>
              <w:t>University of Melbourne</w:t>
            </w:r>
          </w:p>
        </w:tc>
        <w:tc>
          <w:tcPr>
            <w:tcW w:w="1559" w:type="dxa"/>
          </w:tcPr>
          <w:p w14:paraId="6BF34728" w14:textId="77777777" w:rsidR="00B02873" w:rsidRDefault="00B02873" w:rsidP="00DB60C6">
            <w:pPr>
              <w:pStyle w:val="TablebodyleftFinancialsTables"/>
              <w:jc w:val="right"/>
            </w:pPr>
            <w:r>
              <w:t>87,653</w:t>
            </w:r>
          </w:p>
        </w:tc>
      </w:tr>
      <w:tr w:rsidR="00B02873" w:rsidRPr="00B02873" w14:paraId="7FBAEE8E" w14:textId="77777777" w:rsidTr="00DB60C6">
        <w:tc>
          <w:tcPr>
            <w:tcW w:w="5382" w:type="dxa"/>
          </w:tcPr>
          <w:p w14:paraId="18706BA3" w14:textId="77777777" w:rsidR="00B02873" w:rsidRDefault="00B02873" w:rsidP="00DB60C6">
            <w:pPr>
              <w:pStyle w:val="TablebodyleftFinancialsTables"/>
            </w:pPr>
            <w:r>
              <w:t>Bass Coast Shire Council</w:t>
            </w:r>
          </w:p>
        </w:tc>
        <w:tc>
          <w:tcPr>
            <w:tcW w:w="1559" w:type="dxa"/>
          </w:tcPr>
          <w:p w14:paraId="2BDE06E3" w14:textId="77777777" w:rsidR="00B02873" w:rsidRDefault="00B02873" w:rsidP="00DB60C6">
            <w:pPr>
              <w:pStyle w:val="TablebodyleftFinancialsTables"/>
              <w:jc w:val="right"/>
            </w:pPr>
            <w:r>
              <w:t>87,324</w:t>
            </w:r>
          </w:p>
        </w:tc>
      </w:tr>
      <w:tr w:rsidR="00B02873" w:rsidRPr="00B02873" w14:paraId="2565E87F" w14:textId="77777777" w:rsidTr="00DB60C6">
        <w:tc>
          <w:tcPr>
            <w:tcW w:w="5382" w:type="dxa"/>
          </w:tcPr>
          <w:p w14:paraId="415EB15A" w14:textId="77777777" w:rsidR="00B02873" w:rsidRDefault="00B02873" w:rsidP="00DB60C6">
            <w:pPr>
              <w:pStyle w:val="TablebodyleftFinancialsTables"/>
            </w:pPr>
            <w:r>
              <w:t>Melton City Council</w:t>
            </w:r>
          </w:p>
        </w:tc>
        <w:tc>
          <w:tcPr>
            <w:tcW w:w="1559" w:type="dxa"/>
          </w:tcPr>
          <w:p w14:paraId="68C69598" w14:textId="77777777" w:rsidR="00B02873" w:rsidRDefault="00B02873" w:rsidP="00DB60C6">
            <w:pPr>
              <w:pStyle w:val="TablebodyleftFinancialsTables"/>
              <w:jc w:val="right"/>
            </w:pPr>
            <w:r>
              <w:t>85,000</w:t>
            </w:r>
          </w:p>
        </w:tc>
      </w:tr>
      <w:tr w:rsidR="00B02873" w:rsidRPr="00B02873" w14:paraId="530F75E9" w14:textId="77777777" w:rsidTr="00DB60C6">
        <w:tc>
          <w:tcPr>
            <w:tcW w:w="5382" w:type="dxa"/>
          </w:tcPr>
          <w:p w14:paraId="519528C7" w14:textId="77777777" w:rsidR="00B02873" w:rsidRDefault="00B02873" w:rsidP="00DB60C6">
            <w:pPr>
              <w:pStyle w:val="TablebodyleftFinancialsTables"/>
            </w:pPr>
            <w:r>
              <w:t>Northern Grampians Shire Council</w:t>
            </w:r>
          </w:p>
        </w:tc>
        <w:tc>
          <w:tcPr>
            <w:tcW w:w="1559" w:type="dxa"/>
          </w:tcPr>
          <w:p w14:paraId="624A2F8F" w14:textId="77777777" w:rsidR="00B02873" w:rsidRDefault="00B02873" w:rsidP="00DB60C6">
            <w:pPr>
              <w:pStyle w:val="TablebodyleftFinancialsTables"/>
              <w:jc w:val="right"/>
            </w:pPr>
            <w:r>
              <w:t>81,094</w:t>
            </w:r>
          </w:p>
        </w:tc>
      </w:tr>
      <w:tr w:rsidR="00B02873" w:rsidRPr="00B02873" w14:paraId="6ACF3AF2" w14:textId="77777777" w:rsidTr="00DB60C6">
        <w:tc>
          <w:tcPr>
            <w:tcW w:w="5382" w:type="dxa"/>
          </w:tcPr>
          <w:p w14:paraId="132B5A3E" w14:textId="77777777" w:rsidR="00B02873" w:rsidRDefault="00B02873" w:rsidP="00DB60C6">
            <w:pPr>
              <w:pStyle w:val="TablebodyleftFinancialsTables"/>
            </w:pPr>
            <w:r>
              <w:t>Jobsbank Limited</w:t>
            </w:r>
          </w:p>
        </w:tc>
        <w:tc>
          <w:tcPr>
            <w:tcW w:w="1559" w:type="dxa"/>
          </w:tcPr>
          <w:p w14:paraId="0131B3E6" w14:textId="77777777" w:rsidR="00B02873" w:rsidRDefault="00B02873" w:rsidP="00DB60C6">
            <w:pPr>
              <w:pStyle w:val="TablebodyleftFinancialsTables"/>
              <w:jc w:val="right"/>
            </w:pPr>
            <w:r>
              <w:t>66,000</w:t>
            </w:r>
          </w:p>
        </w:tc>
      </w:tr>
      <w:tr w:rsidR="00B02873" w:rsidRPr="00B02873" w14:paraId="721E49D6" w14:textId="77777777" w:rsidTr="00DB60C6">
        <w:tc>
          <w:tcPr>
            <w:tcW w:w="5382" w:type="dxa"/>
          </w:tcPr>
          <w:p w14:paraId="2B153F31" w14:textId="77777777" w:rsidR="00B02873" w:rsidRDefault="00B02873" w:rsidP="00DB60C6">
            <w:pPr>
              <w:pStyle w:val="TablebodyleftFinancialsTables"/>
            </w:pPr>
            <w:r>
              <w:t>Warrnambool City Council</w:t>
            </w:r>
          </w:p>
        </w:tc>
        <w:tc>
          <w:tcPr>
            <w:tcW w:w="1559" w:type="dxa"/>
          </w:tcPr>
          <w:p w14:paraId="692601C1" w14:textId="77777777" w:rsidR="00B02873" w:rsidRDefault="00B02873" w:rsidP="00DB60C6">
            <w:pPr>
              <w:pStyle w:val="TablebodyleftFinancialsTables"/>
              <w:jc w:val="right"/>
            </w:pPr>
            <w:r>
              <w:t>65,000</w:t>
            </w:r>
          </w:p>
        </w:tc>
      </w:tr>
      <w:tr w:rsidR="00B02873" w:rsidRPr="00B02873" w14:paraId="0AE8037A" w14:textId="77777777" w:rsidTr="00DB60C6">
        <w:tc>
          <w:tcPr>
            <w:tcW w:w="5382" w:type="dxa"/>
          </w:tcPr>
          <w:p w14:paraId="0F039932" w14:textId="77777777" w:rsidR="00B02873" w:rsidRDefault="00B02873" w:rsidP="00DB60C6">
            <w:pPr>
              <w:pStyle w:val="TablebodyleftFinancialsTables"/>
            </w:pPr>
            <w:r>
              <w:t>Greater Western Water</w:t>
            </w:r>
          </w:p>
        </w:tc>
        <w:tc>
          <w:tcPr>
            <w:tcW w:w="1559" w:type="dxa"/>
          </w:tcPr>
          <w:p w14:paraId="1818CFC9" w14:textId="77777777" w:rsidR="00B02873" w:rsidRDefault="00B02873" w:rsidP="00DB60C6">
            <w:pPr>
              <w:pStyle w:val="TablebodyleftFinancialsTables"/>
              <w:jc w:val="right"/>
            </w:pPr>
            <w:r>
              <w:t>65,000</w:t>
            </w:r>
          </w:p>
        </w:tc>
      </w:tr>
      <w:tr w:rsidR="00B02873" w:rsidRPr="00B02873" w14:paraId="73A1199B" w14:textId="77777777" w:rsidTr="00DB60C6">
        <w:tc>
          <w:tcPr>
            <w:tcW w:w="5382" w:type="dxa"/>
          </w:tcPr>
          <w:p w14:paraId="01DA0E4E" w14:textId="77777777" w:rsidR="00B02873" w:rsidRDefault="00B02873" w:rsidP="00DB60C6">
            <w:pPr>
              <w:pStyle w:val="TablebodyleftFinancialsTables"/>
            </w:pPr>
            <w:r>
              <w:t>First Nations Staffing Pty Ltd</w:t>
            </w:r>
          </w:p>
        </w:tc>
        <w:tc>
          <w:tcPr>
            <w:tcW w:w="1559" w:type="dxa"/>
          </w:tcPr>
          <w:p w14:paraId="2563758B" w14:textId="77777777" w:rsidR="00B02873" w:rsidRDefault="00B02873" w:rsidP="00DB60C6">
            <w:pPr>
              <w:pStyle w:val="TablebodyleftFinancialsTables"/>
              <w:jc w:val="right"/>
            </w:pPr>
            <w:r>
              <w:t>62,912</w:t>
            </w:r>
          </w:p>
        </w:tc>
      </w:tr>
      <w:tr w:rsidR="00B02873" w:rsidRPr="00B02873" w14:paraId="133159C9" w14:textId="77777777" w:rsidTr="00DB60C6">
        <w:tc>
          <w:tcPr>
            <w:tcW w:w="5382" w:type="dxa"/>
          </w:tcPr>
          <w:p w14:paraId="0660446D" w14:textId="77777777" w:rsidR="00B02873" w:rsidRDefault="00B02873" w:rsidP="00DB60C6">
            <w:pPr>
              <w:pStyle w:val="TablebodyleftFinancialsTables"/>
            </w:pPr>
            <w:r>
              <w:lastRenderedPageBreak/>
              <w:t>Jaithmathang Traditional Ancestral Bloodline Original Owners</w:t>
            </w:r>
          </w:p>
        </w:tc>
        <w:tc>
          <w:tcPr>
            <w:tcW w:w="1559" w:type="dxa"/>
          </w:tcPr>
          <w:p w14:paraId="362DB97A" w14:textId="77777777" w:rsidR="00B02873" w:rsidRDefault="00B02873" w:rsidP="00DB60C6">
            <w:pPr>
              <w:pStyle w:val="TablebodyleftFinancialsTables"/>
              <w:jc w:val="right"/>
            </w:pPr>
            <w:r>
              <w:t>62,000</w:t>
            </w:r>
          </w:p>
        </w:tc>
      </w:tr>
      <w:tr w:rsidR="00B02873" w:rsidRPr="00B02873" w14:paraId="7875EE7F" w14:textId="77777777" w:rsidTr="00DB60C6">
        <w:tc>
          <w:tcPr>
            <w:tcW w:w="5382" w:type="dxa"/>
          </w:tcPr>
          <w:p w14:paraId="674E2D0A" w14:textId="77777777" w:rsidR="00B02873" w:rsidRDefault="00B02873" w:rsidP="00DB60C6">
            <w:pPr>
              <w:pStyle w:val="TablebodyleftFinancialsTables"/>
            </w:pPr>
            <w:r>
              <w:t>Barapa Land and Water</w:t>
            </w:r>
          </w:p>
        </w:tc>
        <w:tc>
          <w:tcPr>
            <w:tcW w:w="1559" w:type="dxa"/>
          </w:tcPr>
          <w:p w14:paraId="3D22BB3D" w14:textId="77777777" w:rsidR="00B02873" w:rsidRDefault="00B02873" w:rsidP="00DB60C6">
            <w:pPr>
              <w:pStyle w:val="TablebodyleftFinancialsTables"/>
              <w:jc w:val="right"/>
            </w:pPr>
            <w:r>
              <w:t>62,000</w:t>
            </w:r>
          </w:p>
        </w:tc>
      </w:tr>
      <w:tr w:rsidR="00B02873" w:rsidRPr="00B02873" w14:paraId="6A9EE065" w14:textId="77777777" w:rsidTr="00DB60C6">
        <w:tc>
          <w:tcPr>
            <w:tcW w:w="5382" w:type="dxa"/>
          </w:tcPr>
          <w:p w14:paraId="5F4B6815" w14:textId="77777777" w:rsidR="00B02873" w:rsidRDefault="00B02873" w:rsidP="00DB60C6">
            <w:pPr>
              <w:pStyle w:val="TablebodyleftFinancialsTables"/>
            </w:pPr>
            <w:r>
              <w:t>Nindi Ngujarn Ngarigo Monero Aboriginal Corporation</w:t>
            </w:r>
          </w:p>
        </w:tc>
        <w:tc>
          <w:tcPr>
            <w:tcW w:w="1559" w:type="dxa"/>
          </w:tcPr>
          <w:p w14:paraId="6AE4E7D6" w14:textId="77777777" w:rsidR="00B02873" w:rsidRDefault="00B02873" w:rsidP="00DB60C6">
            <w:pPr>
              <w:pStyle w:val="TablebodyleftFinancialsTables"/>
              <w:jc w:val="right"/>
            </w:pPr>
            <w:r>
              <w:t>61,848</w:t>
            </w:r>
          </w:p>
        </w:tc>
      </w:tr>
      <w:tr w:rsidR="00B02873" w:rsidRPr="00B02873" w14:paraId="6854B300" w14:textId="77777777" w:rsidTr="00DB60C6">
        <w:tc>
          <w:tcPr>
            <w:tcW w:w="5382" w:type="dxa"/>
          </w:tcPr>
          <w:p w14:paraId="6C137302" w14:textId="77777777" w:rsidR="00B02873" w:rsidRDefault="00B02873" w:rsidP="00DB60C6">
            <w:pPr>
              <w:pStyle w:val="TablebodyleftFinancialsTables"/>
            </w:pPr>
            <w:r>
              <w:t>South Gippsland Shire Council</w:t>
            </w:r>
          </w:p>
        </w:tc>
        <w:tc>
          <w:tcPr>
            <w:tcW w:w="1559" w:type="dxa"/>
          </w:tcPr>
          <w:p w14:paraId="412FF848" w14:textId="77777777" w:rsidR="00B02873" w:rsidRDefault="00B02873" w:rsidP="00DB60C6">
            <w:pPr>
              <w:pStyle w:val="TablebodyleftFinancialsTables"/>
              <w:jc w:val="right"/>
            </w:pPr>
            <w:r>
              <w:t>55,000</w:t>
            </w:r>
          </w:p>
        </w:tc>
      </w:tr>
      <w:tr w:rsidR="00B02873" w:rsidRPr="00B02873" w14:paraId="6E1B873F" w14:textId="77777777" w:rsidTr="00DB60C6">
        <w:tc>
          <w:tcPr>
            <w:tcW w:w="5382" w:type="dxa"/>
          </w:tcPr>
          <w:p w14:paraId="146406D5" w14:textId="77777777" w:rsidR="00B02873" w:rsidRDefault="00B02873" w:rsidP="00DB60C6">
            <w:pPr>
              <w:pStyle w:val="TablebodyleftFinancialsTables"/>
            </w:pPr>
            <w:r>
              <w:t>Wiran Aboriginal Corporation</w:t>
            </w:r>
          </w:p>
        </w:tc>
        <w:tc>
          <w:tcPr>
            <w:tcW w:w="1559" w:type="dxa"/>
          </w:tcPr>
          <w:p w14:paraId="5C66C835" w14:textId="77777777" w:rsidR="00B02873" w:rsidRDefault="00B02873" w:rsidP="00DB60C6">
            <w:pPr>
              <w:pStyle w:val="TablebodyleftFinancialsTables"/>
              <w:jc w:val="right"/>
            </w:pPr>
            <w:r>
              <w:t>52,000</w:t>
            </w:r>
          </w:p>
        </w:tc>
      </w:tr>
      <w:tr w:rsidR="00B02873" w:rsidRPr="00B02873" w14:paraId="629C617B" w14:textId="77777777" w:rsidTr="00DB60C6">
        <w:tc>
          <w:tcPr>
            <w:tcW w:w="5382" w:type="dxa"/>
          </w:tcPr>
          <w:p w14:paraId="31206E9A" w14:textId="77777777" w:rsidR="00B02873" w:rsidRDefault="00B02873" w:rsidP="00DB60C6">
            <w:pPr>
              <w:pStyle w:val="TablebodyleftFinancialsTables"/>
            </w:pPr>
            <w:r>
              <w:t>Municipal Association of Victoria</w:t>
            </w:r>
          </w:p>
        </w:tc>
        <w:tc>
          <w:tcPr>
            <w:tcW w:w="1559" w:type="dxa"/>
          </w:tcPr>
          <w:p w14:paraId="443FE762" w14:textId="77777777" w:rsidR="00B02873" w:rsidRDefault="00B02873" w:rsidP="00DB60C6">
            <w:pPr>
              <w:pStyle w:val="TablebodyleftFinancialsTables"/>
              <w:jc w:val="right"/>
            </w:pPr>
            <w:r>
              <w:t>50,000</w:t>
            </w:r>
          </w:p>
        </w:tc>
      </w:tr>
      <w:tr w:rsidR="00B02873" w:rsidRPr="00B02873" w14:paraId="00EB8683" w14:textId="77777777" w:rsidTr="00DB60C6">
        <w:tc>
          <w:tcPr>
            <w:tcW w:w="5382" w:type="dxa"/>
          </w:tcPr>
          <w:p w14:paraId="2454A572" w14:textId="77777777" w:rsidR="00B02873" w:rsidRDefault="00B02873" w:rsidP="00DB60C6">
            <w:pPr>
              <w:pStyle w:val="TablebodyleftFinancialsTables"/>
            </w:pPr>
            <w:r>
              <w:t>City of Greater Geelong</w:t>
            </w:r>
          </w:p>
        </w:tc>
        <w:tc>
          <w:tcPr>
            <w:tcW w:w="1559" w:type="dxa"/>
          </w:tcPr>
          <w:p w14:paraId="5E5BC042" w14:textId="77777777" w:rsidR="00B02873" w:rsidRDefault="00B02873" w:rsidP="00DB60C6">
            <w:pPr>
              <w:pStyle w:val="TablebodyleftFinancialsTables"/>
              <w:jc w:val="right"/>
            </w:pPr>
            <w:r>
              <w:t>50,000</w:t>
            </w:r>
          </w:p>
        </w:tc>
      </w:tr>
      <w:tr w:rsidR="00B02873" w:rsidRPr="00B02873" w14:paraId="52E95BAB" w14:textId="77777777" w:rsidTr="00DB60C6">
        <w:tc>
          <w:tcPr>
            <w:tcW w:w="5382" w:type="dxa"/>
          </w:tcPr>
          <w:p w14:paraId="6693FD98" w14:textId="77777777" w:rsidR="00B02873" w:rsidRDefault="00B02873" w:rsidP="00DB60C6">
            <w:pPr>
              <w:pStyle w:val="TablebodyleftFinancialsTables"/>
            </w:pPr>
            <w:r>
              <w:t>Darebin City Council</w:t>
            </w:r>
          </w:p>
        </w:tc>
        <w:tc>
          <w:tcPr>
            <w:tcW w:w="1559" w:type="dxa"/>
          </w:tcPr>
          <w:p w14:paraId="56749E4A" w14:textId="77777777" w:rsidR="00B02873" w:rsidRDefault="00B02873" w:rsidP="00DB60C6">
            <w:pPr>
              <w:pStyle w:val="TablebodyleftFinancialsTables"/>
              <w:jc w:val="right"/>
            </w:pPr>
            <w:r>
              <w:t>50,000</w:t>
            </w:r>
          </w:p>
        </w:tc>
      </w:tr>
      <w:tr w:rsidR="00B02873" w:rsidRPr="00B02873" w14:paraId="40A42299" w14:textId="77777777" w:rsidTr="00DB60C6">
        <w:tc>
          <w:tcPr>
            <w:tcW w:w="5382" w:type="dxa"/>
          </w:tcPr>
          <w:p w14:paraId="5D6E8058" w14:textId="77777777" w:rsidR="00B02873" w:rsidRDefault="00B02873" w:rsidP="00DB60C6">
            <w:pPr>
              <w:pStyle w:val="TablebodyleftFinancialsTables"/>
            </w:pPr>
            <w:r>
              <w:t>Baw Baw Shire Council</w:t>
            </w:r>
          </w:p>
        </w:tc>
        <w:tc>
          <w:tcPr>
            <w:tcW w:w="1559" w:type="dxa"/>
          </w:tcPr>
          <w:p w14:paraId="733E85E9" w14:textId="77777777" w:rsidR="00B02873" w:rsidRDefault="00B02873" w:rsidP="00DB60C6">
            <w:pPr>
              <w:pStyle w:val="TablebodyleftFinancialsTables"/>
              <w:jc w:val="right"/>
            </w:pPr>
            <w:r>
              <w:t>45,000</w:t>
            </w:r>
          </w:p>
        </w:tc>
      </w:tr>
      <w:tr w:rsidR="00B02873" w:rsidRPr="00B02873" w14:paraId="6D162E6F" w14:textId="77777777" w:rsidTr="00DB60C6">
        <w:tc>
          <w:tcPr>
            <w:tcW w:w="5382" w:type="dxa"/>
          </w:tcPr>
          <w:p w14:paraId="73D0113C" w14:textId="77777777" w:rsidR="00B02873" w:rsidRDefault="00B02873" w:rsidP="00DB60C6">
            <w:pPr>
              <w:pStyle w:val="TablebodyleftFinancialsTables"/>
            </w:pPr>
            <w:r>
              <w:t>Monash University</w:t>
            </w:r>
          </w:p>
        </w:tc>
        <w:tc>
          <w:tcPr>
            <w:tcW w:w="1559" w:type="dxa"/>
          </w:tcPr>
          <w:p w14:paraId="103219D8" w14:textId="77777777" w:rsidR="00B02873" w:rsidRDefault="00B02873" w:rsidP="00DB60C6">
            <w:pPr>
              <w:pStyle w:val="TablebodyleftFinancialsTables"/>
              <w:jc w:val="right"/>
            </w:pPr>
            <w:r>
              <w:t>44,000</w:t>
            </w:r>
          </w:p>
        </w:tc>
      </w:tr>
      <w:tr w:rsidR="00B02873" w:rsidRPr="00B02873" w14:paraId="01542259" w14:textId="77777777" w:rsidTr="00DB60C6">
        <w:tc>
          <w:tcPr>
            <w:tcW w:w="5382" w:type="dxa"/>
          </w:tcPr>
          <w:p w14:paraId="070056A8" w14:textId="77777777" w:rsidR="00B02873" w:rsidRDefault="00B02873" w:rsidP="00DB60C6">
            <w:pPr>
              <w:pStyle w:val="TablebodyleftFinancialsTables"/>
            </w:pPr>
            <w:r>
              <w:t>Benalla Rural City Council</w:t>
            </w:r>
          </w:p>
        </w:tc>
        <w:tc>
          <w:tcPr>
            <w:tcW w:w="1559" w:type="dxa"/>
          </w:tcPr>
          <w:p w14:paraId="33092819" w14:textId="77777777" w:rsidR="00B02873" w:rsidRDefault="00B02873" w:rsidP="00DB60C6">
            <w:pPr>
              <w:pStyle w:val="TablebodyleftFinancialsTables"/>
              <w:jc w:val="right"/>
            </w:pPr>
            <w:r>
              <w:t>42,220</w:t>
            </w:r>
          </w:p>
        </w:tc>
      </w:tr>
      <w:tr w:rsidR="00B02873" w:rsidRPr="00B02873" w14:paraId="07B83F91" w14:textId="77777777" w:rsidTr="00DB60C6">
        <w:tc>
          <w:tcPr>
            <w:tcW w:w="5382" w:type="dxa"/>
          </w:tcPr>
          <w:p w14:paraId="13B66CF4" w14:textId="77777777" w:rsidR="00B02873" w:rsidRDefault="00B02873" w:rsidP="00DB60C6">
            <w:pPr>
              <w:pStyle w:val="TablebodyleftFinancialsTables"/>
            </w:pPr>
            <w:r>
              <w:t>East Gippsland Water</w:t>
            </w:r>
          </w:p>
        </w:tc>
        <w:tc>
          <w:tcPr>
            <w:tcW w:w="1559" w:type="dxa"/>
          </w:tcPr>
          <w:p w14:paraId="587E7E18" w14:textId="77777777" w:rsidR="00B02873" w:rsidRDefault="00B02873" w:rsidP="00DB60C6">
            <w:pPr>
              <w:pStyle w:val="TablebodyleftFinancialsTables"/>
              <w:jc w:val="right"/>
            </w:pPr>
            <w:r>
              <w:t>41,000</w:t>
            </w:r>
          </w:p>
        </w:tc>
      </w:tr>
      <w:tr w:rsidR="00B02873" w:rsidRPr="00B02873" w14:paraId="66558E4C" w14:textId="77777777" w:rsidTr="00DB60C6">
        <w:tc>
          <w:tcPr>
            <w:tcW w:w="5382" w:type="dxa"/>
          </w:tcPr>
          <w:p w14:paraId="426B5B91" w14:textId="77777777" w:rsidR="00B02873" w:rsidRDefault="00B02873" w:rsidP="00DB60C6">
            <w:pPr>
              <w:pStyle w:val="TablebodyleftFinancialsTables"/>
            </w:pPr>
            <w:r>
              <w:t>Southern Grampians Shire Council</w:t>
            </w:r>
          </w:p>
        </w:tc>
        <w:tc>
          <w:tcPr>
            <w:tcW w:w="1559" w:type="dxa"/>
          </w:tcPr>
          <w:p w14:paraId="2BA4A4DD" w14:textId="77777777" w:rsidR="00B02873" w:rsidRDefault="00B02873" w:rsidP="00DB60C6">
            <w:pPr>
              <w:pStyle w:val="TablebodyleftFinancialsTables"/>
              <w:jc w:val="right"/>
            </w:pPr>
            <w:r>
              <w:t>38,000</w:t>
            </w:r>
          </w:p>
        </w:tc>
      </w:tr>
      <w:tr w:rsidR="00B02873" w:rsidRPr="00B02873" w14:paraId="09570E42" w14:textId="77777777" w:rsidTr="00DB60C6">
        <w:tc>
          <w:tcPr>
            <w:tcW w:w="5382" w:type="dxa"/>
          </w:tcPr>
          <w:p w14:paraId="7B40D58B" w14:textId="77777777" w:rsidR="00B02873" w:rsidRDefault="00B02873" w:rsidP="00DB60C6">
            <w:pPr>
              <w:pStyle w:val="TablebodyleftFinancialsTables"/>
            </w:pPr>
            <w:r>
              <w:t>Infrastructure Sustainability Council of Australia</w:t>
            </w:r>
          </w:p>
        </w:tc>
        <w:tc>
          <w:tcPr>
            <w:tcW w:w="1559" w:type="dxa"/>
          </w:tcPr>
          <w:p w14:paraId="014D30D5" w14:textId="77777777" w:rsidR="00B02873" w:rsidRDefault="00B02873" w:rsidP="00DB60C6">
            <w:pPr>
              <w:pStyle w:val="TablebodyleftFinancialsTables"/>
              <w:jc w:val="right"/>
            </w:pPr>
            <w:r>
              <w:t>33,460</w:t>
            </w:r>
          </w:p>
        </w:tc>
      </w:tr>
      <w:tr w:rsidR="00B02873" w:rsidRPr="00B02873" w14:paraId="72535883" w14:textId="77777777" w:rsidTr="00DB60C6">
        <w:tc>
          <w:tcPr>
            <w:tcW w:w="5382" w:type="dxa"/>
          </w:tcPr>
          <w:p w14:paraId="6BCABA44" w14:textId="77777777" w:rsidR="00B02873" w:rsidRDefault="00B02873" w:rsidP="00DB60C6">
            <w:pPr>
              <w:pStyle w:val="TablebodyleftFinancialsTables"/>
            </w:pPr>
            <w:r>
              <w:t>Recipients under the Our Catchments, Our Communities leadership development grants</w:t>
            </w:r>
          </w:p>
        </w:tc>
        <w:tc>
          <w:tcPr>
            <w:tcW w:w="1559" w:type="dxa"/>
          </w:tcPr>
          <w:p w14:paraId="5B58A233" w14:textId="77777777" w:rsidR="00B02873" w:rsidRDefault="00B02873" w:rsidP="00DB60C6">
            <w:pPr>
              <w:pStyle w:val="TablebodyleftFinancialsTables"/>
              <w:jc w:val="right"/>
            </w:pPr>
            <w:r>
              <w:t>32,225</w:t>
            </w:r>
          </w:p>
        </w:tc>
      </w:tr>
      <w:tr w:rsidR="00B02873" w:rsidRPr="00B02873" w14:paraId="72EA05D7" w14:textId="77777777" w:rsidTr="00DB60C6">
        <w:tc>
          <w:tcPr>
            <w:tcW w:w="5382" w:type="dxa"/>
          </w:tcPr>
          <w:p w14:paraId="02779F91" w14:textId="77777777" w:rsidR="00B02873" w:rsidRDefault="00B02873" w:rsidP="00DB60C6">
            <w:pPr>
              <w:pStyle w:val="TablebodyleftFinancialsTables"/>
            </w:pPr>
            <w:r>
              <w:t>Trust for Nature Victoria</w:t>
            </w:r>
          </w:p>
        </w:tc>
        <w:tc>
          <w:tcPr>
            <w:tcW w:w="1559" w:type="dxa"/>
          </w:tcPr>
          <w:p w14:paraId="42312876" w14:textId="77777777" w:rsidR="00B02873" w:rsidRDefault="00B02873" w:rsidP="00DB60C6">
            <w:pPr>
              <w:pStyle w:val="TablebodyleftFinancialsTables"/>
              <w:jc w:val="right"/>
            </w:pPr>
            <w:r>
              <w:t>30,000</w:t>
            </w:r>
          </w:p>
        </w:tc>
      </w:tr>
      <w:tr w:rsidR="00B02873" w:rsidRPr="00B02873" w14:paraId="1333862C" w14:textId="77777777" w:rsidTr="00DB60C6">
        <w:tc>
          <w:tcPr>
            <w:tcW w:w="5382" w:type="dxa"/>
          </w:tcPr>
          <w:p w14:paraId="16EF0B2F" w14:textId="77777777" w:rsidR="00B02873" w:rsidRDefault="00B02873" w:rsidP="00DB60C6">
            <w:pPr>
              <w:pStyle w:val="TablebodyleftFinancialsTables"/>
            </w:pPr>
            <w:r>
              <w:t>Gippsland Water</w:t>
            </w:r>
          </w:p>
        </w:tc>
        <w:tc>
          <w:tcPr>
            <w:tcW w:w="1559" w:type="dxa"/>
          </w:tcPr>
          <w:p w14:paraId="6B8CCA23" w14:textId="77777777" w:rsidR="00B02873" w:rsidRDefault="00B02873" w:rsidP="00DB60C6">
            <w:pPr>
              <w:pStyle w:val="TablebodyleftFinancialsTables"/>
              <w:jc w:val="right"/>
            </w:pPr>
            <w:r>
              <w:t>20,000</w:t>
            </w:r>
          </w:p>
        </w:tc>
      </w:tr>
      <w:tr w:rsidR="00B02873" w:rsidRPr="00B02873" w14:paraId="74B8F395" w14:textId="77777777" w:rsidTr="00DB60C6">
        <w:tc>
          <w:tcPr>
            <w:tcW w:w="5382" w:type="dxa"/>
          </w:tcPr>
          <w:p w14:paraId="3AAEF75D" w14:textId="77777777" w:rsidR="00B02873" w:rsidRDefault="00B02873" w:rsidP="00DB60C6">
            <w:pPr>
              <w:pStyle w:val="TablebodyleftFinancialsTables"/>
            </w:pPr>
            <w:r>
              <w:t>Gunditj Mirring Traditional Owners Aboriginal Corporation</w:t>
            </w:r>
          </w:p>
        </w:tc>
        <w:tc>
          <w:tcPr>
            <w:tcW w:w="1559" w:type="dxa"/>
          </w:tcPr>
          <w:p w14:paraId="65547928" w14:textId="77777777" w:rsidR="00B02873" w:rsidRDefault="00B02873" w:rsidP="00DB60C6">
            <w:pPr>
              <w:pStyle w:val="TablebodyleftFinancialsTables"/>
              <w:jc w:val="right"/>
            </w:pPr>
            <w:r>
              <w:t>11,000</w:t>
            </w:r>
          </w:p>
        </w:tc>
      </w:tr>
      <w:tr w:rsidR="00B02873" w:rsidRPr="00B02873" w14:paraId="49903DF1" w14:textId="77777777" w:rsidTr="00DB60C6">
        <w:tc>
          <w:tcPr>
            <w:tcW w:w="5382" w:type="dxa"/>
          </w:tcPr>
          <w:p w14:paraId="76658539" w14:textId="77777777" w:rsidR="00B02873" w:rsidRDefault="00B02873" w:rsidP="00DB60C6">
            <w:pPr>
              <w:pStyle w:val="TablebodyleftFinancialsTables"/>
            </w:pPr>
            <w:r>
              <w:t>South Gippsland Water Authority</w:t>
            </w:r>
          </w:p>
        </w:tc>
        <w:tc>
          <w:tcPr>
            <w:tcW w:w="1559" w:type="dxa"/>
          </w:tcPr>
          <w:p w14:paraId="2FB4E3B4" w14:textId="77777777" w:rsidR="00B02873" w:rsidRDefault="00B02873" w:rsidP="00DB60C6">
            <w:pPr>
              <w:pStyle w:val="TablebodyleftFinancialsTables"/>
              <w:jc w:val="right"/>
            </w:pPr>
            <w:r>
              <w:t>10,000</w:t>
            </w:r>
          </w:p>
        </w:tc>
      </w:tr>
      <w:tr w:rsidR="00B02873" w:rsidRPr="00B02873" w14:paraId="55BA657F" w14:textId="77777777" w:rsidTr="00DB60C6">
        <w:tc>
          <w:tcPr>
            <w:tcW w:w="5382" w:type="dxa"/>
          </w:tcPr>
          <w:p w14:paraId="3DA52051" w14:textId="77777777" w:rsidR="00B02873" w:rsidRDefault="00B02873" w:rsidP="00DB60C6">
            <w:pPr>
              <w:pStyle w:val="TablebodyleftFinancialsTables"/>
            </w:pPr>
            <w:r>
              <w:t>West Wimmera Shire Council</w:t>
            </w:r>
          </w:p>
        </w:tc>
        <w:tc>
          <w:tcPr>
            <w:tcW w:w="1559" w:type="dxa"/>
          </w:tcPr>
          <w:p w14:paraId="02D58E22" w14:textId="77777777" w:rsidR="00B02873" w:rsidRDefault="00B02873" w:rsidP="00DB60C6">
            <w:pPr>
              <w:pStyle w:val="TablebodyleftFinancialsTables"/>
              <w:jc w:val="right"/>
            </w:pPr>
            <w:r>
              <w:t>8,270</w:t>
            </w:r>
          </w:p>
        </w:tc>
      </w:tr>
      <w:tr w:rsidR="00B02873" w:rsidRPr="00B02873" w14:paraId="5608970C" w14:textId="77777777" w:rsidTr="00DB60C6">
        <w:tc>
          <w:tcPr>
            <w:tcW w:w="5382" w:type="dxa"/>
          </w:tcPr>
          <w:p w14:paraId="6AD4AD5A" w14:textId="77777777" w:rsidR="00B02873" w:rsidRDefault="00B02873" w:rsidP="00DB60C6">
            <w:pPr>
              <w:pStyle w:val="TablebodyleftFinancialsTables"/>
            </w:pPr>
            <w:r>
              <w:t>Return of funds</w:t>
            </w:r>
          </w:p>
        </w:tc>
        <w:tc>
          <w:tcPr>
            <w:tcW w:w="1559" w:type="dxa"/>
          </w:tcPr>
          <w:p w14:paraId="7C0B3BF8" w14:textId="77777777" w:rsidR="00B02873" w:rsidRDefault="00B02873" w:rsidP="00DB60C6">
            <w:pPr>
              <w:pStyle w:val="TablebodyleftFinancialsTables"/>
              <w:jc w:val="right"/>
            </w:pPr>
            <w:r>
              <w:t>(1,612,450)</w:t>
            </w:r>
          </w:p>
        </w:tc>
      </w:tr>
      <w:tr w:rsidR="00B02873" w:rsidRPr="00DB60C6" w14:paraId="31149DE5" w14:textId="77777777" w:rsidTr="00DB60C6">
        <w:tc>
          <w:tcPr>
            <w:tcW w:w="5382" w:type="dxa"/>
          </w:tcPr>
          <w:p w14:paraId="22978E3D" w14:textId="77777777" w:rsidR="00B02873" w:rsidRPr="00DB60C6" w:rsidRDefault="00B02873" w:rsidP="00DB60C6">
            <w:pPr>
              <w:pStyle w:val="TablebodyleftFinancialsTables"/>
              <w:rPr>
                <w:b/>
                <w:bCs/>
              </w:rPr>
            </w:pPr>
            <w:r w:rsidRPr="00DB60C6">
              <w:rPr>
                <w:b/>
                <w:bCs/>
              </w:rPr>
              <w:t>Total</w:t>
            </w:r>
          </w:p>
        </w:tc>
        <w:tc>
          <w:tcPr>
            <w:tcW w:w="1559" w:type="dxa"/>
          </w:tcPr>
          <w:p w14:paraId="2B387CB3" w14:textId="77777777" w:rsidR="00B02873" w:rsidRPr="00DB60C6" w:rsidRDefault="00B02873" w:rsidP="00DB60C6">
            <w:pPr>
              <w:pStyle w:val="TablebodyleftFinancialsTables"/>
              <w:jc w:val="right"/>
              <w:rPr>
                <w:b/>
                <w:bCs/>
              </w:rPr>
            </w:pPr>
            <w:r w:rsidRPr="00DB60C6">
              <w:rPr>
                <w:b/>
                <w:bCs/>
              </w:rPr>
              <w:t xml:space="preserve">215,523,834 </w:t>
            </w:r>
          </w:p>
        </w:tc>
      </w:tr>
    </w:tbl>
    <w:p w14:paraId="7EFA1CE0" w14:textId="77777777" w:rsidR="00B02873" w:rsidRDefault="00B02873" w:rsidP="00FE198A"/>
    <w:p w14:paraId="1FAB7F04" w14:textId="1D509842" w:rsidR="00B02873" w:rsidRDefault="00B02873" w:rsidP="00DB60C6">
      <w:pPr>
        <w:pStyle w:val="TabletitleTables"/>
      </w:pPr>
      <w:r>
        <w:t>Table 13</w:t>
      </w:r>
      <w:r w:rsidR="000C45FC">
        <w:t xml:space="preserve"> – </w:t>
      </w:r>
      <w:r>
        <w:t>Planning, Building and Heritage</w:t>
      </w:r>
    </w:p>
    <w:tbl>
      <w:tblPr>
        <w:tblStyle w:val="TableGrid"/>
        <w:tblW w:w="0" w:type="auto"/>
        <w:tblLayout w:type="fixed"/>
        <w:tblLook w:val="0020" w:firstRow="1" w:lastRow="0" w:firstColumn="0" w:lastColumn="0" w:noHBand="0" w:noVBand="0"/>
      </w:tblPr>
      <w:tblGrid>
        <w:gridCol w:w="5382"/>
        <w:gridCol w:w="1559"/>
      </w:tblGrid>
      <w:tr w:rsidR="00B02873" w:rsidRPr="00B02873" w14:paraId="2E818E86" w14:textId="77777777" w:rsidTr="00DB60C6">
        <w:trPr>
          <w:cnfStyle w:val="100000000000" w:firstRow="1" w:lastRow="0" w:firstColumn="0" w:lastColumn="0" w:oddVBand="0" w:evenVBand="0" w:oddHBand="0" w:evenHBand="0" w:firstRowFirstColumn="0" w:firstRowLastColumn="0" w:lastRowFirstColumn="0" w:lastRowLastColumn="0"/>
          <w:tblHeader/>
        </w:trPr>
        <w:tc>
          <w:tcPr>
            <w:tcW w:w="5382" w:type="dxa"/>
          </w:tcPr>
          <w:p w14:paraId="113490FA" w14:textId="77777777" w:rsidR="00B02873" w:rsidRDefault="00B02873" w:rsidP="00DB60C6">
            <w:pPr>
              <w:pStyle w:val="TableheadingleftFinancialsTables"/>
            </w:pPr>
            <w:r>
              <w:t>Grant recipient</w:t>
            </w:r>
          </w:p>
        </w:tc>
        <w:tc>
          <w:tcPr>
            <w:tcW w:w="1559" w:type="dxa"/>
          </w:tcPr>
          <w:p w14:paraId="28AA761A" w14:textId="77777777" w:rsidR="00B02873" w:rsidRDefault="00B02873" w:rsidP="00DB60C6">
            <w:pPr>
              <w:pStyle w:val="TableheadingleftFinancialsTables"/>
              <w:jc w:val="right"/>
            </w:pPr>
            <w:r>
              <w:t>$</w:t>
            </w:r>
          </w:p>
        </w:tc>
      </w:tr>
      <w:tr w:rsidR="00B02873" w:rsidRPr="00B02873" w14:paraId="07079E16" w14:textId="77777777" w:rsidTr="00DB60C6">
        <w:tc>
          <w:tcPr>
            <w:tcW w:w="5382" w:type="dxa"/>
          </w:tcPr>
          <w:p w14:paraId="3B4584AB" w14:textId="77777777" w:rsidR="00B02873" w:rsidRDefault="00B02873" w:rsidP="00DB60C6">
            <w:pPr>
              <w:pStyle w:val="TablebodyleftFinancialsTables"/>
            </w:pPr>
            <w:r>
              <w:t>Cladding Safety Victoria</w:t>
            </w:r>
          </w:p>
        </w:tc>
        <w:tc>
          <w:tcPr>
            <w:tcW w:w="1559" w:type="dxa"/>
          </w:tcPr>
          <w:p w14:paraId="74FF73BA" w14:textId="77777777" w:rsidR="00B02873" w:rsidRDefault="00B02873" w:rsidP="00DB60C6">
            <w:pPr>
              <w:pStyle w:val="TablebodyleftFinancialsTables"/>
              <w:jc w:val="right"/>
            </w:pPr>
            <w:r>
              <w:t>67,714,392</w:t>
            </w:r>
          </w:p>
        </w:tc>
      </w:tr>
      <w:tr w:rsidR="00B02873" w:rsidRPr="00B02873" w14:paraId="20823FD7" w14:textId="77777777" w:rsidTr="00DB60C6">
        <w:tc>
          <w:tcPr>
            <w:tcW w:w="5382" w:type="dxa"/>
          </w:tcPr>
          <w:p w14:paraId="4A485AAE" w14:textId="77777777" w:rsidR="00B02873" w:rsidRDefault="00B02873" w:rsidP="00DB60C6">
            <w:pPr>
              <w:pStyle w:val="TablebodyleftFinancialsTables"/>
            </w:pPr>
            <w:r>
              <w:t>Department of Transport (Victoria)</w:t>
            </w:r>
          </w:p>
        </w:tc>
        <w:tc>
          <w:tcPr>
            <w:tcW w:w="1559" w:type="dxa"/>
          </w:tcPr>
          <w:p w14:paraId="54CB90E3" w14:textId="77777777" w:rsidR="00B02873" w:rsidRDefault="00B02873" w:rsidP="00DB60C6">
            <w:pPr>
              <w:pStyle w:val="TablebodyleftFinancialsTables"/>
              <w:jc w:val="right"/>
            </w:pPr>
            <w:r>
              <w:t>42,123,887</w:t>
            </w:r>
          </w:p>
        </w:tc>
      </w:tr>
      <w:tr w:rsidR="00B02873" w:rsidRPr="00B02873" w14:paraId="02F06293" w14:textId="77777777" w:rsidTr="00DB60C6">
        <w:tc>
          <w:tcPr>
            <w:tcW w:w="5382" w:type="dxa"/>
          </w:tcPr>
          <w:p w14:paraId="3FD7D9BF" w14:textId="77777777" w:rsidR="00B02873" w:rsidRDefault="00B02873" w:rsidP="00DB60C6">
            <w:pPr>
              <w:pStyle w:val="TablebodyleftFinancialsTables"/>
            </w:pPr>
            <w:r>
              <w:t>Victorian Planning Authority</w:t>
            </w:r>
          </w:p>
        </w:tc>
        <w:tc>
          <w:tcPr>
            <w:tcW w:w="1559" w:type="dxa"/>
          </w:tcPr>
          <w:p w14:paraId="56C94888" w14:textId="77777777" w:rsidR="00B02873" w:rsidRDefault="00B02873" w:rsidP="00DB60C6">
            <w:pPr>
              <w:pStyle w:val="TablebodyleftFinancialsTables"/>
              <w:jc w:val="right"/>
            </w:pPr>
            <w:r>
              <w:t>26,484,605</w:t>
            </w:r>
          </w:p>
        </w:tc>
      </w:tr>
      <w:tr w:rsidR="00B02873" w:rsidRPr="00B02873" w14:paraId="55A6A902" w14:textId="77777777" w:rsidTr="00DB60C6">
        <w:tc>
          <w:tcPr>
            <w:tcW w:w="5382" w:type="dxa"/>
          </w:tcPr>
          <w:p w14:paraId="5B025AB9" w14:textId="77777777" w:rsidR="00B02873" w:rsidRDefault="00B02873" w:rsidP="00DB60C6">
            <w:pPr>
              <w:pStyle w:val="TablebodyleftFinancialsTables"/>
            </w:pPr>
            <w:r>
              <w:t>Department of Education and Training</w:t>
            </w:r>
          </w:p>
        </w:tc>
        <w:tc>
          <w:tcPr>
            <w:tcW w:w="1559" w:type="dxa"/>
          </w:tcPr>
          <w:p w14:paraId="045F4354" w14:textId="77777777" w:rsidR="00B02873" w:rsidRDefault="00B02873" w:rsidP="00DB60C6">
            <w:pPr>
              <w:pStyle w:val="TablebodyleftFinancialsTables"/>
              <w:jc w:val="right"/>
            </w:pPr>
            <w:r>
              <w:t>16,874,776</w:t>
            </w:r>
          </w:p>
        </w:tc>
      </w:tr>
      <w:tr w:rsidR="00B02873" w:rsidRPr="00B02873" w14:paraId="2A745642" w14:textId="77777777" w:rsidTr="00DB60C6">
        <w:tc>
          <w:tcPr>
            <w:tcW w:w="5382" w:type="dxa"/>
          </w:tcPr>
          <w:p w14:paraId="75AE941B" w14:textId="77777777" w:rsidR="00B02873" w:rsidRDefault="00B02873" w:rsidP="00DB60C6">
            <w:pPr>
              <w:pStyle w:val="TablebodyleftFinancialsTables"/>
            </w:pPr>
            <w:r>
              <w:t>Department of Health (Victoria)</w:t>
            </w:r>
          </w:p>
        </w:tc>
        <w:tc>
          <w:tcPr>
            <w:tcW w:w="1559" w:type="dxa"/>
          </w:tcPr>
          <w:p w14:paraId="4574BC9B" w14:textId="77777777" w:rsidR="00B02873" w:rsidRDefault="00B02873" w:rsidP="00DB60C6">
            <w:pPr>
              <w:pStyle w:val="TablebodyleftFinancialsTables"/>
              <w:jc w:val="right"/>
            </w:pPr>
            <w:r>
              <w:t>13,267,230</w:t>
            </w:r>
          </w:p>
        </w:tc>
      </w:tr>
      <w:tr w:rsidR="00B02873" w:rsidRPr="00B02873" w14:paraId="69897193" w14:textId="77777777" w:rsidTr="00DB60C6">
        <w:tc>
          <w:tcPr>
            <w:tcW w:w="5382" w:type="dxa"/>
          </w:tcPr>
          <w:p w14:paraId="4C1DF48C" w14:textId="77777777" w:rsidR="00B02873" w:rsidRDefault="00B02873" w:rsidP="00DB60C6">
            <w:pPr>
              <w:pStyle w:val="TablebodyleftFinancialsTables"/>
            </w:pPr>
            <w:r>
              <w:t>Victorian Building Authority</w:t>
            </w:r>
          </w:p>
        </w:tc>
        <w:tc>
          <w:tcPr>
            <w:tcW w:w="1559" w:type="dxa"/>
          </w:tcPr>
          <w:p w14:paraId="343B7F25" w14:textId="77777777" w:rsidR="00B02873" w:rsidRDefault="00B02873" w:rsidP="00DB60C6">
            <w:pPr>
              <w:pStyle w:val="TablebodyleftFinancialsTables"/>
              <w:jc w:val="right"/>
            </w:pPr>
            <w:r>
              <w:t>11,725,979</w:t>
            </w:r>
          </w:p>
        </w:tc>
      </w:tr>
      <w:tr w:rsidR="00B02873" w:rsidRPr="00B02873" w14:paraId="245A3792" w14:textId="77777777" w:rsidTr="00DB60C6">
        <w:tc>
          <w:tcPr>
            <w:tcW w:w="5382" w:type="dxa"/>
          </w:tcPr>
          <w:p w14:paraId="58D70B03" w14:textId="77777777" w:rsidR="00B02873" w:rsidRDefault="00B02873" w:rsidP="00DB60C6">
            <w:pPr>
              <w:pStyle w:val="TablebodyleftFinancialsTables"/>
            </w:pPr>
            <w:r>
              <w:t>Victorian Government Solicitor</w:t>
            </w:r>
          </w:p>
        </w:tc>
        <w:tc>
          <w:tcPr>
            <w:tcW w:w="1559" w:type="dxa"/>
          </w:tcPr>
          <w:p w14:paraId="4CCE6089" w14:textId="77777777" w:rsidR="00B02873" w:rsidRDefault="00B02873" w:rsidP="00DB60C6">
            <w:pPr>
              <w:pStyle w:val="TablebodyleftFinancialsTables"/>
              <w:jc w:val="right"/>
            </w:pPr>
            <w:r>
              <w:t>7,246,602</w:t>
            </w:r>
          </w:p>
        </w:tc>
      </w:tr>
      <w:tr w:rsidR="00B02873" w:rsidRPr="00B02873" w14:paraId="38D4687A" w14:textId="77777777" w:rsidTr="00DB60C6">
        <w:tc>
          <w:tcPr>
            <w:tcW w:w="5382" w:type="dxa"/>
          </w:tcPr>
          <w:p w14:paraId="3412A0AD" w14:textId="77777777" w:rsidR="00B02873" w:rsidRDefault="00B02873" w:rsidP="00DB60C6">
            <w:pPr>
              <w:pStyle w:val="TablebodyleftFinancialsTables"/>
            </w:pPr>
            <w:r>
              <w:t>Environment Protection Authority</w:t>
            </w:r>
          </w:p>
        </w:tc>
        <w:tc>
          <w:tcPr>
            <w:tcW w:w="1559" w:type="dxa"/>
          </w:tcPr>
          <w:p w14:paraId="49AACF02" w14:textId="77777777" w:rsidR="00B02873" w:rsidRDefault="00B02873" w:rsidP="00DB60C6">
            <w:pPr>
              <w:pStyle w:val="TablebodyleftFinancialsTables"/>
              <w:jc w:val="right"/>
            </w:pPr>
            <w:r>
              <w:t>4,040,000</w:t>
            </w:r>
          </w:p>
        </w:tc>
      </w:tr>
      <w:tr w:rsidR="00B02873" w:rsidRPr="00B02873" w14:paraId="07219BC9" w14:textId="77777777" w:rsidTr="00DB60C6">
        <w:tc>
          <w:tcPr>
            <w:tcW w:w="5382" w:type="dxa"/>
          </w:tcPr>
          <w:p w14:paraId="47B8E79D" w14:textId="77777777" w:rsidR="00B02873" w:rsidRDefault="00B02873" w:rsidP="00DB60C6">
            <w:pPr>
              <w:pStyle w:val="TablebodyleftFinancialsTables"/>
            </w:pPr>
            <w:r>
              <w:t>Public Transport Victoria</w:t>
            </w:r>
          </w:p>
        </w:tc>
        <w:tc>
          <w:tcPr>
            <w:tcW w:w="1559" w:type="dxa"/>
          </w:tcPr>
          <w:p w14:paraId="1B9A3CF7" w14:textId="77777777" w:rsidR="00B02873" w:rsidRDefault="00B02873" w:rsidP="00DB60C6">
            <w:pPr>
              <w:pStyle w:val="TablebodyleftFinancialsTables"/>
              <w:jc w:val="right"/>
            </w:pPr>
            <w:r>
              <w:t>2,975,000</w:t>
            </w:r>
          </w:p>
        </w:tc>
      </w:tr>
      <w:tr w:rsidR="00B02873" w:rsidRPr="00B02873" w14:paraId="02CBF626" w14:textId="77777777" w:rsidTr="00DB60C6">
        <w:tc>
          <w:tcPr>
            <w:tcW w:w="5382" w:type="dxa"/>
          </w:tcPr>
          <w:p w14:paraId="2F622F82" w14:textId="77777777" w:rsidR="00B02873" w:rsidRDefault="00B02873" w:rsidP="00DB60C6">
            <w:pPr>
              <w:pStyle w:val="TablebodyleftFinancialsTables"/>
            </w:pPr>
            <w:r>
              <w:lastRenderedPageBreak/>
              <w:t>Department of Families, Fairness and Housing (Victoria)</w:t>
            </w:r>
          </w:p>
        </w:tc>
        <w:tc>
          <w:tcPr>
            <w:tcW w:w="1559" w:type="dxa"/>
          </w:tcPr>
          <w:p w14:paraId="64C55E9F" w14:textId="77777777" w:rsidR="00B02873" w:rsidRDefault="00B02873" w:rsidP="00DB60C6">
            <w:pPr>
              <w:pStyle w:val="TablebodyleftFinancialsTables"/>
              <w:jc w:val="right"/>
            </w:pPr>
            <w:r>
              <w:t>2,110,755</w:t>
            </w:r>
          </w:p>
        </w:tc>
      </w:tr>
      <w:tr w:rsidR="00B02873" w:rsidRPr="00B02873" w14:paraId="31D33216" w14:textId="77777777" w:rsidTr="00DB60C6">
        <w:tc>
          <w:tcPr>
            <w:tcW w:w="5382" w:type="dxa"/>
          </w:tcPr>
          <w:p w14:paraId="65AEB0FF" w14:textId="77777777" w:rsidR="00B02873" w:rsidRDefault="00B02873" w:rsidP="00DB60C6">
            <w:pPr>
              <w:pStyle w:val="TablebodyleftFinancialsTables"/>
            </w:pPr>
            <w:r>
              <w:t>Department of Justice and Community Safety (Victoria)</w:t>
            </w:r>
          </w:p>
        </w:tc>
        <w:tc>
          <w:tcPr>
            <w:tcW w:w="1559" w:type="dxa"/>
          </w:tcPr>
          <w:p w14:paraId="79C91262" w14:textId="77777777" w:rsidR="00B02873" w:rsidRDefault="00B02873" w:rsidP="00DB60C6">
            <w:pPr>
              <w:pStyle w:val="TablebodyleftFinancialsTables"/>
              <w:jc w:val="right"/>
            </w:pPr>
            <w:r>
              <w:t>1,319,617</w:t>
            </w:r>
          </w:p>
        </w:tc>
      </w:tr>
      <w:tr w:rsidR="00B02873" w:rsidRPr="00B02873" w14:paraId="4D8C07BD" w14:textId="77777777" w:rsidTr="00DB60C6">
        <w:tc>
          <w:tcPr>
            <w:tcW w:w="5382" w:type="dxa"/>
          </w:tcPr>
          <w:p w14:paraId="0E3552D5" w14:textId="77777777" w:rsidR="00B02873" w:rsidRDefault="00B02873" w:rsidP="00DB60C6">
            <w:pPr>
              <w:pStyle w:val="TablebodyleftFinancialsTables"/>
            </w:pPr>
            <w:r>
              <w:t>Department of Jobs Precincts and Regions (Victoria)</w:t>
            </w:r>
          </w:p>
        </w:tc>
        <w:tc>
          <w:tcPr>
            <w:tcW w:w="1559" w:type="dxa"/>
          </w:tcPr>
          <w:p w14:paraId="2EB76AE1" w14:textId="77777777" w:rsidR="00B02873" w:rsidRDefault="00B02873" w:rsidP="00DB60C6">
            <w:pPr>
              <w:pStyle w:val="TablebodyleftFinancialsTables"/>
              <w:jc w:val="right"/>
            </w:pPr>
            <w:r>
              <w:t>1,101,622</w:t>
            </w:r>
          </w:p>
        </w:tc>
      </w:tr>
      <w:tr w:rsidR="00B02873" w:rsidRPr="00B02873" w14:paraId="5317BD74" w14:textId="77777777" w:rsidTr="00DB60C6">
        <w:tc>
          <w:tcPr>
            <w:tcW w:w="5382" w:type="dxa"/>
          </w:tcPr>
          <w:p w14:paraId="1011BAE0" w14:textId="77777777" w:rsidR="00B02873" w:rsidRDefault="00B02873" w:rsidP="00DB60C6">
            <w:pPr>
              <w:pStyle w:val="TablebodyleftFinancialsTables"/>
            </w:pPr>
            <w:r>
              <w:t>Fire Rescue Victoria</w:t>
            </w:r>
          </w:p>
        </w:tc>
        <w:tc>
          <w:tcPr>
            <w:tcW w:w="1559" w:type="dxa"/>
          </w:tcPr>
          <w:p w14:paraId="133AD55B" w14:textId="77777777" w:rsidR="00B02873" w:rsidRDefault="00B02873" w:rsidP="00DB60C6">
            <w:pPr>
              <w:pStyle w:val="TablebodyleftFinancialsTables"/>
              <w:jc w:val="right"/>
            </w:pPr>
            <w:r>
              <w:t>1,050,000</w:t>
            </w:r>
          </w:p>
        </w:tc>
      </w:tr>
      <w:tr w:rsidR="00B02873" w:rsidRPr="00B02873" w14:paraId="337E994C" w14:textId="77777777" w:rsidTr="00DB60C6">
        <w:tc>
          <w:tcPr>
            <w:tcW w:w="5382" w:type="dxa"/>
          </w:tcPr>
          <w:p w14:paraId="50CBEA39" w14:textId="77777777" w:rsidR="00B02873" w:rsidRDefault="00B02873" w:rsidP="00DB60C6">
            <w:pPr>
              <w:pStyle w:val="TablebodyleftFinancialsTables"/>
            </w:pPr>
            <w:r>
              <w:t>The Trades Hall and Literary Institute</w:t>
            </w:r>
          </w:p>
        </w:tc>
        <w:tc>
          <w:tcPr>
            <w:tcW w:w="1559" w:type="dxa"/>
          </w:tcPr>
          <w:p w14:paraId="39E579CE" w14:textId="77777777" w:rsidR="00B02873" w:rsidRDefault="00B02873" w:rsidP="00DB60C6">
            <w:pPr>
              <w:pStyle w:val="TablebodyleftFinancialsTables"/>
              <w:jc w:val="right"/>
            </w:pPr>
            <w:r>
              <w:t>760,000</w:t>
            </w:r>
          </w:p>
        </w:tc>
      </w:tr>
      <w:tr w:rsidR="00B02873" w:rsidRPr="00B02873" w14:paraId="0FD790D4" w14:textId="77777777" w:rsidTr="00DB60C6">
        <w:tc>
          <w:tcPr>
            <w:tcW w:w="5382" w:type="dxa"/>
          </w:tcPr>
          <w:p w14:paraId="1ACBBAB3" w14:textId="77777777" w:rsidR="00B02873" w:rsidRDefault="00B02873" w:rsidP="00DB60C6">
            <w:pPr>
              <w:pStyle w:val="TablebodyleftFinancialsTables"/>
            </w:pPr>
            <w:r>
              <w:t>Court Services Victoria</w:t>
            </w:r>
          </w:p>
        </w:tc>
        <w:tc>
          <w:tcPr>
            <w:tcW w:w="1559" w:type="dxa"/>
          </w:tcPr>
          <w:p w14:paraId="14C62073" w14:textId="77777777" w:rsidR="00B02873" w:rsidRDefault="00B02873" w:rsidP="00DB60C6">
            <w:pPr>
              <w:pStyle w:val="TablebodyleftFinancialsTables"/>
              <w:jc w:val="right"/>
            </w:pPr>
            <w:r>
              <w:t>574,034</w:t>
            </w:r>
          </w:p>
        </w:tc>
      </w:tr>
      <w:tr w:rsidR="00B02873" w:rsidRPr="00B02873" w14:paraId="71236420" w14:textId="77777777" w:rsidTr="00DB60C6">
        <w:tc>
          <w:tcPr>
            <w:tcW w:w="5382" w:type="dxa"/>
          </w:tcPr>
          <w:p w14:paraId="5BDBDF91" w14:textId="77777777" w:rsidR="00B02873" w:rsidRDefault="00B02873" w:rsidP="00DB60C6">
            <w:pPr>
              <w:pStyle w:val="TablebodyleftFinancialsTables"/>
            </w:pPr>
            <w:r>
              <w:t>State Revenue Office</w:t>
            </w:r>
          </w:p>
        </w:tc>
        <w:tc>
          <w:tcPr>
            <w:tcW w:w="1559" w:type="dxa"/>
          </w:tcPr>
          <w:p w14:paraId="1D1CB39E" w14:textId="77777777" w:rsidR="00B02873" w:rsidRDefault="00B02873" w:rsidP="00DB60C6">
            <w:pPr>
              <w:pStyle w:val="TablebodyleftFinancialsTables"/>
              <w:jc w:val="right"/>
            </w:pPr>
            <w:r>
              <w:t>570,120</w:t>
            </w:r>
          </w:p>
        </w:tc>
      </w:tr>
      <w:tr w:rsidR="00B02873" w:rsidRPr="00B02873" w14:paraId="2DBD98EA" w14:textId="77777777" w:rsidTr="00DB60C6">
        <w:tc>
          <w:tcPr>
            <w:tcW w:w="5382" w:type="dxa"/>
          </w:tcPr>
          <w:p w14:paraId="75C51483" w14:textId="77777777" w:rsidR="00B02873" w:rsidRDefault="00B02873" w:rsidP="00DB60C6">
            <w:pPr>
              <w:pStyle w:val="TablebodyleftFinancialsTables"/>
            </w:pPr>
            <w:r>
              <w:t>Yarra Ranges Shire Council</w:t>
            </w:r>
          </w:p>
        </w:tc>
        <w:tc>
          <w:tcPr>
            <w:tcW w:w="1559" w:type="dxa"/>
          </w:tcPr>
          <w:p w14:paraId="24B0CD38" w14:textId="77777777" w:rsidR="00B02873" w:rsidRDefault="00B02873" w:rsidP="00DB60C6">
            <w:pPr>
              <w:pStyle w:val="TablebodyleftFinancialsTables"/>
              <w:jc w:val="right"/>
            </w:pPr>
            <w:r>
              <w:t>320,000</w:t>
            </w:r>
          </w:p>
        </w:tc>
      </w:tr>
      <w:tr w:rsidR="00B02873" w:rsidRPr="00B02873" w14:paraId="6D4CF599" w14:textId="77777777" w:rsidTr="00DB60C6">
        <w:tc>
          <w:tcPr>
            <w:tcW w:w="5382" w:type="dxa"/>
          </w:tcPr>
          <w:p w14:paraId="5DA00BFE" w14:textId="77777777" w:rsidR="00B02873" w:rsidRDefault="00B02873" w:rsidP="00DB60C6">
            <w:pPr>
              <w:pStyle w:val="TablebodyleftFinancialsTables"/>
            </w:pPr>
            <w:r>
              <w:t>Office of the Victorian Government Architect</w:t>
            </w:r>
          </w:p>
        </w:tc>
        <w:tc>
          <w:tcPr>
            <w:tcW w:w="1559" w:type="dxa"/>
          </w:tcPr>
          <w:p w14:paraId="5FF8F7F2" w14:textId="77777777" w:rsidR="00B02873" w:rsidRDefault="00B02873" w:rsidP="00DB60C6">
            <w:pPr>
              <w:pStyle w:val="TablebodyleftFinancialsTables"/>
              <w:jc w:val="right"/>
            </w:pPr>
            <w:r>
              <w:t>297,696</w:t>
            </w:r>
          </w:p>
        </w:tc>
      </w:tr>
      <w:tr w:rsidR="00B02873" w:rsidRPr="00B02873" w14:paraId="2ADEBD4F" w14:textId="77777777" w:rsidTr="00DB60C6">
        <w:tc>
          <w:tcPr>
            <w:tcW w:w="5382" w:type="dxa"/>
          </w:tcPr>
          <w:p w14:paraId="3C76E3FF" w14:textId="77777777" w:rsidR="00B02873" w:rsidRDefault="00B02873" w:rsidP="00DB60C6">
            <w:pPr>
              <w:pStyle w:val="TablebodyleftFinancialsTables"/>
            </w:pPr>
            <w:r>
              <w:t>Melbourne Anglican Trust Corporation</w:t>
            </w:r>
          </w:p>
        </w:tc>
        <w:tc>
          <w:tcPr>
            <w:tcW w:w="1559" w:type="dxa"/>
          </w:tcPr>
          <w:p w14:paraId="38157964" w14:textId="77777777" w:rsidR="00B02873" w:rsidRDefault="00B02873" w:rsidP="00DB60C6">
            <w:pPr>
              <w:pStyle w:val="TablebodyleftFinancialsTables"/>
              <w:jc w:val="right"/>
            </w:pPr>
            <w:r>
              <w:t>289,400</w:t>
            </w:r>
          </w:p>
        </w:tc>
      </w:tr>
      <w:tr w:rsidR="00B02873" w:rsidRPr="00B02873" w14:paraId="518BD5ED" w14:textId="77777777" w:rsidTr="00DB60C6">
        <w:tc>
          <w:tcPr>
            <w:tcW w:w="5382" w:type="dxa"/>
          </w:tcPr>
          <w:p w14:paraId="3E113A38" w14:textId="77777777" w:rsidR="00B02873" w:rsidRDefault="00B02873" w:rsidP="00DB60C6">
            <w:pPr>
              <w:pStyle w:val="TablebodyleftFinancialsTables"/>
            </w:pPr>
            <w:r>
              <w:t>Municipal Association of Victoria</w:t>
            </w:r>
          </w:p>
        </w:tc>
        <w:tc>
          <w:tcPr>
            <w:tcW w:w="1559" w:type="dxa"/>
          </w:tcPr>
          <w:p w14:paraId="35F34ADD" w14:textId="77777777" w:rsidR="00B02873" w:rsidRDefault="00B02873" w:rsidP="00DB60C6">
            <w:pPr>
              <w:pStyle w:val="TablebodyleftFinancialsTables"/>
              <w:jc w:val="right"/>
            </w:pPr>
            <w:r>
              <w:t>250,000</w:t>
            </w:r>
          </w:p>
        </w:tc>
      </w:tr>
      <w:tr w:rsidR="00B02873" w:rsidRPr="00B02873" w14:paraId="3FFFF2F2" w14:textId="77777777" w:rsidTr="00DB60C6">
        <w:tc>
          <w:tcPr>
            <w:tcW w:w="5382" w:type="dxa"/>
          </w:tcPr>
          <w:p w14:paraId="7C9AD689" w14:textId="77777777" w:rsidR="00B02873" w:rsidRDefault="00B02873" w:rsidP="00DB60C6">
            <w:pPr>
              <w:pStyle w:val="TablebodyleftFinancialsTables"/>
            </w:pPr>
            <w:r>
              <w:t>National Trust of Australia (Vic)</w:t>
            </w:r>
          </w:p>
        </w:tc>
        <w:tc>
          <w:tcPr>
            <w:tcW w:w="1559" w:type="dxa"/>
          </w:tcPr>
          <w:p w14:paraId="5B25461F" w14:textId="77777777" w:rsidR="00B02873" w:rsidRDefault="00B02873" w:rsidP="00DB60C6">
            <w:pPr>
              <w:pStyle w:val="TablebodyleftFinancialsTables"/>
              <w:jc w:val="right"/>
            </w:pPr>
            <w:r>
              <w:t>231,000</w:t>
            </w:r>
          </w:p>
        </w:tc>
      </w:tr>
      <w:tr w:rsidR="00B02873" w:rsidRPr="00B02873" w14:paraId="2D179CED" w14:textId="77777777" w:rsidTr="00DB60C6">
        <w:tc>
          <w:tcPr>
            <w:tcW w:w="5382" w:type="dxa"/>
          </w:tcPr>
          <w:p w14:paraId="59180607" w14:textId="77777777" w:rsidR="00B02873" w:rsidRDefault="00B02873" w:rsidP="00DB60C6">
            <w:pPr>
              <w:pStyle w:val="TablebodyleftFinancialsTables"/>
            </w:pPr>
            <w:r>
              <w:t>East Gippsland Shire Council</w:t>
            </w:r>
          </w:p>
        </w:tc>
        <w:tc>
          <w:tcPr>
            <w:tcW w:w="1559" w:type="dxa"/>
          </w:tcPr>
          <w:p w14:paraId="09AC2BC3" w14:textId="77777777" w:rsidR="00B02873" w:rsidRDefault="00B02873" w:rsidP="00DB60C6">
            <w:pPr>
              <w:pStyle w:val="TablebodyleftFinancialsTables"/>
              <w:jc w:val="right"/>
            </w:pPr>
            <w:r>
              <w:t>223,000</w:t>
            </w:r>
          </w:p>
        </w:tc>
      </w:tr>
      <w:tr w:rsidR="00B02873" w:rsidRPr="00B02873" w14:paraId="434ADBD5" w14:textId="77777777" w:rsidTr="00DB60C6">
        <w:tc>
          <w:tcPr>
            <w:tcW w:w="5382" w:type="dxa"/>
          </w:tcPr>
          <w:p w14:paraId="7DEBF5B4" w14:textId="77777777" w:rsidR="00B02873" w:rsidRDefault="00B02873" w:rsidP="00DB60C6">
            <w:pPr>
              <w:pStyle w:val="TablebodyleftFinancialsTables"/>
            </w:pPr>
            <w:r>
              <w:t>Central Goldfields Shire Council</w:t>
            </w:r>
          </w:p>
        </w:tc>
        <w:tc>
          <w:tcPr>
            <w:tcW w:w="1559" w:type="dxa"/>
          </w:tcPr>
          <w:p w14:paraId="603DF0C7" w14:textId="77777777" w:rsidR="00B02873" w:rsidRDefault="00B02873" w:rsidP="00DB60C6">
            <w:pPr>
              <w:pStyle w:val="TablebodyleftFinancialsTables"/>
              <w:jc w:val="right"/>
            </w:pPr>
            <w:r>
              <w:t>200,000</w:t>
            </w:r>
          </w:p>
        </w:tc>
      </w:tr>
      <w:tr w:rsidR="00B02873" w:rsidRPr="00B02873" w14:paraId="1D72D775" w14:textId="77777777" w:rsidTr="00DB60C6">
        <w:tc>
          <w:tcPr>
            <w:tcW w:w="5382" w:type="dxa"/>
          </w:tcPr>
          <w:p w14:paraId="29E0568B" w14:textId="77777777" w:rsidR="00B02873" w:rsidRDefault="00B02873" w:rsidP="00DB60C6">
            <w:pPr>
              <w:pStyle w:val="TablebodyleftFinancialsTables"/>
            </w:pPr>
            <w:r>
              <w:t>Horsham Rural City Council</w:t>
            </w:r>
          </w:p>
        </w:tc>
        <w:tc>
          <w:tcPr>
            <w:tcW w:w="1559" w:type="dxa"/>
          </w:tcPr>
          <w:p w14:paraId="1E64D602" w14:textId="77777777" w:rsidR="00B02873" w:rsidRDefault="00B02873" w:rsidP="00DB60C6">
            <w:pPr>
              <w:pStyle w:val="TablebodyleftFinancialsTables"/>
              <w:jc w:val="right"/>
            </w:pPr>
            <w:r>
              <w:t>180,000</w:t>
            </w:r>
          </w:p>
        </w:tc>
      </w:tr>
      <w:tr w:rsidR="00B02873" w:rsidRPr="00B02873" w14:paraId="1A5526F3" w14:textId="77777777" w:rsidTr="00DB60C6">
        <w:tc>
          <w:tcPr>
            <w:tcW w:w="5382" w:type="dxa"/>
          </w:tcPr>
          <w:p w14:paraId="59C056FA" w14:textId="77777777" w:rsidR="00B02873" w:rsidRDefault="00B02873" w:rsidP="00DB60C6">
            <w:pPr>
              <w:pStyle w:val="TablebodyleftFinancialsTables"/>
            </w:pPr>
            <w:r>
              <w:t>The Ballarat Mechanics Institute</w:t>
            </w:r>
          </w:p>
        </w:tc>
        <w:tc>
          <w:tcPr>
            <w:tcW w:w="1559" w:type="dxa"/>
          </w:tcPr>
          <w:p w14:paraId="42D5ACDB" w14:textId="77777777" w:rsidR="00B02873" w:rsidRDefault="00B02873" w:rsidP="00DB60C6">
            <w:pPr>
              <w:pStyle w:val="TablebodyleftFinancialsTables"/>
              <w:jc w:val="right"/>
            </w:pPr>
            <w:r>
              <w:t>170,500</w:t>
            </w:r>
          </w:p>
        </w:tc>
      </w:tr>
      <w:tr w:rsidR="00B02873" w:rsidRPr="00B02873" w14:paraId="0DE6CF61" w14:textId="77777777" w:rsidTr="00DB60C6">
        <w:tc>
          <w:tcPr>
            <w:tcW w:w="5382" w:type="dxa"/>
          </w:tcPr>
          <w:p w14:paraId="4FC40680" w14:textId="77777777" w:rsidR="00B02873" w:rsidRDefault="00B02873" w:rsidP="00DB60C6">
            <w:pPr>
              <w:pStyle w:val="TablebodyleftFinancialsTables"/>
            </w:pPr>
            <w:r>
              <w:t>Working Heritage</w:t>
            </w:r>
          </w:p>
        </w:tc>
        <w:tc>
          <w:tcPr>
            <w:tcW w:w="1559" w:type="dxa"/>
          </w:tcPr>
          <w:p w14:paraId="2E3A4E9E" w14:textId="77777777" w:rsidR="00B02873" w:rsidRDefault="00B02873" w:rsidP="00DB60C6">
            <w:pPr>
              <w:pStyle w:val="TablebodyleftFinancialsTables"/>
              <w:jc w:val="right"/>
            </w:pPr>
            <w:r>
              <w:t>163,000</w:t>
            </w:r>
          </w:p>
        </w:tc>
      </w:tr>
      <w:tr w:rsidR="00B02873" w:rsidRPr="00B02873" w14:paraId="4BA84048" w14:textId="77777777" w:rsidTr="00DB60C6">
        <w:tc>
          <w:tcPr>
            <w:tcW w:w="5382" w:type="dxa"/>
          </w:tcPr>
          <w:p w14:paraId="6AAE76C1" w14:textId="77777777" w:rsidR="00B02873" w:rsidRDefault="00B02873" w:rsidP="00DB60C6">
            <w:pPr>
              <w:pStyle w:val="TablebodyleftFinancialsTables"/>
            </w:pPr>
            <w:r>
              <w:t>Puffing Billy Railway</w:t>
            </w:r>
          </w:p>
        </w:tc>
        <w:tc>
          <w:tcPr>
            <w:tcW w:w="1559" w:type="dxa"/>
          </w:tcPr>
          <w:p w14:paraId="420EC4FF" w14:textId="77777777" w:rsidR="00B02873" w:rsidRDefault="00B02873" w:rsidP="00DB60C6">
            <w:pPr>
              <w:pStyle w:val="TablebodyleftFinancialsTables"/>
              <w:jc w:val="right"/>
            </w:pPr>
            <w:r>
              <w:t>162,000</w:t>
            </w:r>
          </w:p>
        </w:tc>
      </w:tr>
      <w:tr w:rsidR="00B02873" w:rsidRPr="00B02873" w14:paraId="35D256A1" w14:textId="77777777" w:rsidTr="00DB60C6">
        <w:tc>
          <w:tcPr>
            <w:tcW w:w="5382" w:type="dxa"/>
          </w:tcPr>
          <w:p w14:paraId="10B6D53D" w14:textId="77777777" w:rsidR="00B02873" w:rsidRDefault="00B02873" w:rsidP="00DB60C6">
            <w:pPr>
              <w:pStyle w:val="TablebodyleftFinancialsTables"/>
            </w:pPr>
            <w:r>
              <w:t>National Chinese Museum of Australia Ltd</w:t>
            </w:r>
          </w:p>
        </w:tc>
        <w:tc>
          <w:tcPr>
            <w:tcW w:w="1559" w:type="dxa"/>
          </w:tcPr>
          <w:p w14:paraId="511F38C9" w14:textId="77777777" w:rsidR="00B02873" w:rsidRDefault="00B02873" w:rsidP="00DB60C6">
            <w:pPr>
              <w:pStyle w:val="TablebodyleftFinancialsTables"/>
              <w:jc w:val="right"/>
            </w:pPr>
            <w:r>
              <w:t>119,700</w:t>
            </w:r>
          </w:p>
        </w:tc>
      </w:tr>
      <w:tr w:rsidR="00B02873" w:rsidRPr="00B02873" w14:paraId="25BCCF83" w14:textId="77777777" w:rsidTr="00DB60C6">
        <w:tc>
          <w:tcPr>
            <w:tcW w:w="5382" w:type="dxa"/>
          </w:tcPr>
          <w:p w14:paraId="61522FA2" w14:textId="77777777" w:rsidR="00B02873" w:rsidRDefault="00B02873" w:rsidP="00DB60C6">
            <w:pPr>
              <w:pStyle w:val="TablebodyleftFinancialsTables"/>
            </w:pPr>
            <w:r>
              <w:t>Mornington Peninsula Shire Council</w:t>
            </w:r>
          </w:p>
        </w:tc>
        <w:tc>
          <w:tcPr>
            <w:tcW w:w="1559" w:type="dxa"/>
          </w:tcPr>
          <w:p w14:paraId="28FA4F31" w14:textId="77777777" w:rsidR="00B02873" w:rsidRDefault="00B02873" w:rsidP="00DB60C6">
            <w:pPr>
              <w:pStyle w:val="TablebodyleftFinancialsTables"/>
              <w:jc w:val="right"/>
            </w:pPr>
            <w:r>
              <w:t>115,500</w:t>
            </w:r>
          </w:p>
        </w:tc>
      </w:tr>
      <w:tr w:rsidR="00B02873" w:rsidRPr="00B02873" w14:paraId="269979A0" w14:textId="77777777" w:rsidTr="00DB60C6">
        <w:tc>
          <w:tcPr>
            <w:tcW w:w="5382" w:type="dxa"/>
          </w:tcPr>
          <w:p w14:paraId="57719DB8" w14:textId="77777777" w:rsidR="00B02873" w:rsidRDefault="00B02873" w:rsidP="00DB60C6">
            <w:pPr>
              <w:pStyle w:val="TablebodyleftFinancialsTables"/>
            </w:pPr>
            <w:r>
              <w:t>Yarriambiack Shire Council</w:t>
            </w:r>
          </w:p>
        </w:tc>
        <w:tc>
          <w:tcPr>
            <w:tcW w:w="1559" w:type="dxa"/>
          </w:tcPr>
          <w:p w14:paraId="3CBC8079" w14:textId="77777777" w:rsidR="00B02873" w:rsidRDefault="00B02873" w:rsidP="00DB60C6">
            <w:pPr>
              <w:pStyle w:val="TablebodyleftFinancialsTables"/>
              <w:jc w:val="right"/>
            </w:pPr>
            <w:r>
              <w:t>100,000</w:t>
            </w:r>
          </w:p>
        </w:tc>
      </w:tr>
      <w:tr w:rsidR="00B02873" w:rsidRPr="00B02873" w14:paraId="3962F0B4" w14:textId="77777777" w:rsidTr="00DB60C6">
        <w:tc>
          <w:tcPr>
            <w:tcW w:w="5382" w:type="dxa"/>
          </w:tcPr>
          <w:p w14:paraId="68DBB688" w14:textId="77777777" w:rsidR="00B02873" w:rsidRDefault="00B02873" w:rsidP="00DB60C6">
            <w:pPr>
              <w:pStyle w:val="TablebodyleftFinancialsTables"/>
            </w:pPr>
            <w:r>
              <w:t>Wandong History Group Inc</w:t>
            </w:r>
          </w:p>
        </w:tc>
        <w:tc>
          <w:tcPr>
            <w:tcW w:w="1559" w:type="dxa"/>
          </w:tcPr>
          <w:p w14:paraId="4FF65D37" w14:textId="77777777" w:rsidR="00B02873" w:rsidRDefault="00B02873" w:rsidP="00DB60C6">
            <w:pPr>
              <w:pStyle w:val="TablebodyleftFinancialsTables"/>
              <w:jc w:val="right"/>
            </w:pPr>
            <w:r>
              <w:t>100,000</w:t>
            </w:r>
          </w:p>
        </w:tc>
      </w:tr>
      <w:tr w:rsidR="00B02873" w:rsidRPr="00B02873" w14:paraId="15081AB1" w14:textId="77777777" w:rsidTr="00DB60C6">
        <w:tc>
          <w:tcPr>
            <w:tcW w:w="5382" w:type="dxa"/>
          </w:tcPr>
          <w:p w14:paraId="23B90E8C" w14:textId="77777777" w:rsidR="00B02873" w:rsidRDefault="00B02873" w:rsidP="00DB60C6">
            <w:pPr>
              <w:pStyle w:val="TablebodyleftFinancialsTables"/>
            </w:pPr>
            <w:r>
              <w:t>The Melbourne Athenaeum Inc</w:t>
            </w:r>
          </w:p>
        </w:tc>
        <w:tc>
          <w:tcPr>
            <w:tcW w:w="1559" w:type="dxa"/>
          </w:tcPr>
          <w:p w14:paraId="0D6FCC95" w14:textId="77777777" w:rsidR="00B02873" w:rsidRDefault="00B02873" w:rsidP="00DB60C6">
            <w:pPr>
              <w:pStyle w:val="TablebodyleftFinancialsTables"/>
              <w:jc w:val="right"/>
            </w:pPr>
            <w:r>
              <w:t>100,000</w:t>
            </w:r>
          </w:p>
        </w:tc>
      </w:tr>
      <w:tr w:rsidR="00B02873" w:rsidRPr="00B02873" w14:paraId="2F6EBDA6" w14:textId="77777777" w:rsidTr="00DB60C6">
        <w:tc>
          <w:tcPr>
            <w:tcW w:w="5382" w:type="dxa"/>
          </w:tcPr>
          <w:p w14:paraId="72F4B25E" w14:textId="77777777" w:rsidR="00B02873" w:rsidRDefault="00B02873" w:rsidP="00DB60C6">
            <w:pPr>
              <w:pStyle w:val="TablebodyleftFinancialsTables"/>
            </w:pPr>
            <w:r>
              <w:t>Mount Alexander Shire Council</w:t>
            </w:r>
          </w:p>
        </w:tc>
        <w:tc>
          <w:tcPr>
            <w:tcW w:w="1559" w:type="dxa"/>
          </w:tcPr>
          <w:p w14:paraId="306BB796" w14:textId="77777777" w:rsidR="00B02873" w:rsidRDefault="00B02873" w:rsidP="00DB60C6">
            <w:pPr>
              <w:pStyle w:val="TablebodyleftFinancialsTables"/>
              <w:jc w:val="right"/>
            </w:pPr>
            <w:r>
              <w:t>99,000</w:t>
            </w:r>
          </w:p>
        </w:tc>
      </w:tr>
      <w:tr w:rsidR="00B02873" w:rsidRPr="00B02873" w14:paraId="2A06C069" w14:textId="77777777" w:rsidTr="00DB60C6">
        <w:tc>
          <w:tcPr>
            <w:tcW w:w="5382" w:type="dxa"/>
          </w:tcPr>
          <w:p w14:paraId="466E6012" w14:textId="77777777" w:rsidR="00B02873" w:rsidRDefault="00B02873" w:rsidP="00DB60C6">
            <w:pPr>
              <w:pStyle w:val="TablebodyleftFinancialsTables"/>
            </w:pPr>
            <w:r>
              <w:t>City of Greater Bendigo</w:t>
            </w:r>
          </w:p>
        </w:tc>
        <w:tc>
          <w:tcPr>
            <w:tcW w:w="1559" w:type="dxa"/>
          </w:tcPr>
          <w:p w14:paraId="1368796B" w14:textId="77777777" w:rsidR="00B02873" w:rsidRDefault="00B02873" w:rsidP="00DB60C6">
            <w:pPr>
              <w:pStyle w:val="TablebodyleftFinancialsTables"/>
              <w:jc w:val="right"/>
            </w:pPr>
            <w:r>
              <w:t>92,000</w:t>
            </w:r>
          </w:p>
        </w:tc>
      </w:tr>
      <w:tr w:rsidR="00B02873" w:rsidRPr="00B02873" w14:paraId="52223318" w14:textId="77777777" w:rsidTr="00DB60C6">
        <w:tc>
          <w:tcPr>
            <w:tcW w:w="5382" w:type="dxa"/>
          </w:tcPr>
          <w:p w14:paraId="60103B02" w14:textId="77777777" w:rsidR="00B02873" w:rsidRDefault="00B02873" w:rsidP="00DB60C6">
            <w:pPr>
              <w:pStyle w:val="TablebodyleftFinancialsTables"/>
            </w:pPr>
            <w:r>
              <w:t>Hindmarsh Shire Council</w:t>
            </w:r>
          </w:p>
        </w:tc>
        <w:tc>
          <w:tcPr>
            <w:tcW w:w="1559" w:type="dxa"/>
          </w:tcPr>
          <w:p w14:paraId="69B4A4C6" w14:textId="77777777" w:rsidR="00B02873" w:rsidRDefault="00B02873" w:rsidP="00DB60C6">
            <w:pPr>
              <w:pStyle w:val="TablebodyleftFinancialsTables"/>
              <w:jc w:val="right"/>
            </w:pPr>
            <w:r>
              <w:t>92,000</w:t>
            </w:r>
          </w:p>
        </w:tc>
      </w:tr>
      <w:tr w:rsidR="00B02873" w:rsidRPr="00B02873" w14:paraId="691A88FB" w14:textId="77777777" w:rsidTr="00DB60C6">
        <w:tc>
          <w:tcPr>
            <w:tcW w:w="5382" w:type="dxa"/>
          </w:tcPr>
          <w:p w14:paraId="050F0088" w14:textId="77777777" w:rsidR="00B02873" w:rsidRDefault="00B02873" w:rsidP="00DB60C6">
            <w:pPr>
              <w:pStyle w:val="TablebodyleftFinancialsTables"/>
            </w:pPr>
            <w:r>
              <w:t>Country Fire Authority</w:t>
            </w:r>
          </w:p>
        </w:tc>
        <w:tc>
          <w:tcPr>
            <w:tcW w:w="1559" w:type="dxa"/>
          </w:tcPr>
          <w:p w14:paraId="2B940898" w14:textId="77777777" w:rsidR="00B02873" w:rsidRDefault="00B02873" w:rsidP="00DB60C6">
            <w:pPr>
              <w:pStyle w:val="TablebodyleftFinancialsTables"/>
              <w:jc w:val="right"/>
            </w:pPr>
            <w:r>
              <w:t>84,254</w:t>
            </w:r>
          </w:p>
        </w:tc>
      </w:tr>
      <w:tr w:rsidR="00B02873" w:rsidRPr="00B02873" w14:paraId="46D650B1" w14:textId="77777777" w:rsidTr="00DB60C6">
        <w:tc>
          <w:tcPr>
            <w:tcW w:w="5382" w:type="dxa"/>
          </w:tcPr>
          <w:p w14:paraId="3A05F640" w14:textId="77777777" w:rsidR="00B02873" w:rsidRDefault="00B02873" w:rsidP="00DB60C6">
            <w:pPr>
              <w:pStyle w:val="TablebodyleftFinancialsTables"/>
            </w:pPr>
            <w:r>
              <w:t>Boroondara General Cemetery</w:t>
            </w:r>
          </w:p>
        </w:tc>
        <w:tc>
          <w:tcPr>
            <w:tcW w:w="1559" w:type="dxa"/>
          </w:tcPr>
          <w:p w14:paraId="11C4D2C3" w14:textId="77777777" w:rsidR="00B02873" w:rsidRDefault="00B02873" w:rsidP="00DB60C6">
            <w:pPr>
              <w:pStyle w:val="TablebodyleftFinancialsTables"/>
              <w:jc w:val="right"/>
            </w:pPr>
            <w:r>
              <w:t>80,000</w:t>
            </w:r>
          </w:p>
        </w:tc>
      </w:tr>
      <w:tr w:rsidR="00B02873" w:rsidRPr="00B02873" w14:paraId="2C7CDA8F" w14:textId="77777777" w:rsidTr="00DB60C6">
        <w:tc>
          <w:tcPr>
            <w:tcW w:w="5382" w:type="dxa"/>
          </w:tcPr>
          <w:p w14:paraId="26E26594" w14:textId="77777777" w:rsidR="00B02873" w:rsidRDefault="00B02873" w:rsidP="00DB60C6">
            <w:pPr>
              <w:pStyle w:val="TablebodyleftFinancialsTables"/>
            </w:pPr>
            <w:r>
              <w:t>Lake Tyers Aboriginal Trust</w:t>
            </w:r>
          </w:p>
        </w:tc>
        <w:tc>
          <w:tcPr>
            <w:tcW w:w="1559" w:type="dxa"/>
          </w:tcPr>
          <w:p w14:paraId="565F98FC" w14:textId="77777777" w:rsidR="00B02873" w:rsidRDefault="00B02873" w:rsidP="00DB60C6">
            <w:pPr>
              <w:pStyle w:val="TablebodyleftFinancialsTables"/>
              <w:jc w:val="right"/>
            </w:pPr>
            <w:r>
              <w:t>80,000</w:t>
            </w:r>
          </w:p>
        </w:tc>
      </w:tr>
      <w:tr w:rsidR="00B02873" w:rsidRPr="00B02873" w14:paraId="237D5C87" w14:textId="77777777" w:rsidTr="00DB60C6">
        <w:tc>
          <w:tcPr>
            <w:tcW w:w="5382" w:type="dxa"/>
          </w:tcPr>
          <w:p w14:paraId="4CD95FB6" w14:textId="77777777" w:rsidR="00B02873" w:rsidRDefault="00B02873" w:rsidP="00DB60C6">
            <w:pPr>
              <w:pStyle w:val="TablebodyleftFinancialsTables"/>
            </w:pPr>
            <w:r>
              <w:t>Mitchell Shire Council</w:t>
            </w:r>
          </w:p>
        </w:tc>
        <w:tc>
          <w:tcPr>
            <w:tcW w:w="1559" w:type="dxa"/>
          </w:tcPr>
          <w:p w14:paraId="4A39B90F" w14:textId="77777777" w:rsidR="00B02873" w:rsidRDefault="00B02873" w:rsidP="00DB60C6">
            <w:pPr>
              <w:pStyle w:val="TablebodyleftFinancialsTables"/>
              <w:jc w:val="right"/>
            </w:pPr>
            <w:r>
              <w:t>80,000</w:t>
            </w:r>
          </w:p>
        </w:tc>
      </w:tr>
      <w:tr w:rsidR="00B02873" w:rsidRPr="00B02873" w14:paraId="5E6B1992" w14:textId="77777777" w:rsidTr="00DB60C6">
        <w:tc>
          <w:tcPr>
            <w:tcW w:w="5382" w:type="dxa"/>
          </w:tcPr>
          <w:p w14:paraId="1B5365FC" w14:textId="77777777" w:rsidR="00B02873" w:rsidRDefault="00B02873" w:rsidP="00DB60C6">
            <w:pPr>
              <w:pStyle w:val="TablebodyleftFinancialsTables"/>
            </w:pPr>
            <w:r>
              <w:t>Abbotsford Convent Foundation</w:t>
            </w:r>
          </w:p>
        </w:tc>
        <w:tc>
          <w:tcPr>
            <w:tcW w:w="1559" w:type="dxa"/>
          </w:tcPr>
          <w:p w14:paraId="697C3E33" w14:textId="77777777" w:rsidR="00B02873" w:rsidRDefault="00B02873" w:rsidP="00DB60C6">
            <w:pPr>
              <w:pStyle w:val="TablebodyleftFinancialsTables"/>
              <w:jc w:val="right"/>
            </w:pPr>
            <w:r>
              <w:t>78,400</w:t>
            </w:r>
          </w:p>
        </w:tc>
      </w:tr>
      <w:tr w:rsidR="00B02873" w:rsidRPr="00B02873" w14:paraId="70846AD1" w14:textId="77777777" w:rsidTr="00DB60C6">
        <w:tc>
          <w:tcPr>
            <w:tcW w:w="5382" w:type="dxa"/>
          </w:tcPr>
          <w:p w14:paraId="4DC0D738" w14:textId="77777777" w:rsidR="00B02873" w:rsidRDefault="00B02873" w:rsidP="00DB60C6">
            <w:pPr>
              <w:pStyle w:val="TablebodyleftFinancialsTables"/>
            </w:pPr>
            <w:r>
              <w:t>Department of Treasury and Finance (Victoria)</w:t>
            </w:r>
          </w:p>
        </w:tc>
        <w:tc>
          <w:tcPr>
            <w:tcW w:w="1559" w:type="dxa"/>
          </w:tcPr>
          <w:p w14:paraId="7A0D6FBC" w14:textId="77777777" w:rsidR="00B02873" w:rsidRDefault="00B02873" w:rsidP="00DB60C6">
            <w:pPr>
              <w:pStyle w:val="TablebodyleftFinancialsTables"/>
              <w:jc w:val="right"/>
            </w:pPr>
            <w:r>
              <w:t>75,000</w:t>
            </w:r>
          </w:p>
        </w:tc>
      </w:tr>
      <w:tr w:rsidR="00B02873" w:rsidRPr="00B02873" w14:paraId="02E28AE7" w14:textId="77777777" w:rsidTr="00DB60C6">
        <w:tc>
          <w:tcPr>
            <w:tcW w:w="5382" w:type="dxa"/>
          </w:tcPr>
          <w:p w14:paraId="2302C6F1" w14:textId="77777777" w:rsidR="00B02873" w:rsidRDefault="00B02873" w:rsidP="00DB60C6">
            <w:pPr>
              <w:pStyle w:val="TablebodyleftFinancialsTables"/>
            </w:pPr>
            <w:r>
              <w:t>Whittlesea City Council</w:t>
            </w:r>
          </w:p>
        </w:tc>
        <w:tc>
          <w:tcPr>
            <w:tcW w:w="1559" w:type="dxa"/>
          </w:tcPr>
          <w:p w14:paraId="3C96DE7F" w14:textId="77777777" w:rsidR="00B02873" w:rsidRDefault="00B02873" w:rsidP="00DB60C6">
            <w:pPr>
              <w:pStyle w:val="TablebodyleftFinancialsTables"/>
              <w:jc w:val="right"/>
            </w:pPr>
            <w:r>
              <w:t>70,000</w:t>
            </w:r>
          </w:p>
        </w:tc>
      </w:tr>
      <w:tr w:rsidR="00B02873" w:rsidRPr="00B02873" w14:paraId="2A838265" w14:textId="77777777" w:rsidTr="00DB60C6">
        <w:tc>
          <w:tcPr>
            <w:tcW w:w="5382" w:type="dxa"/>
          </w:tcPr>
          <w:p w14:paraId="47F76E73" w14:textId="77777777" w:rsidR="00B02873" w:rsidRDefault="00B02873" w:rsidP="00DB60C6">
            <w:pPr>
              <w:pStyle w:val="TablebodyleftFinancialsTables"/>
            </w:pPr>
            <w:r>
              <w:t>Moonee Valley City Council</w:t>
            </w:r>
          </w:p>
        </w:tc>
        <w:tc>
          <w:tcPr>
            <w:tcW w:w="1559" w:type="dxa"/>
          </w:tcPr>
          <w:p w14:paraId="7A5503E6" w14:textId="77777777" w:rsidR="00B02873" w:rsidRDefault="00B02873" w:rsidP="00DB60C6">
            <w:pPr>
              <w:pStyle w:val="TablebodyleftFinancialsTables"/>
              <w:jc w:val="right"/>
            </w:pPr>
            <w:r>
              <w:t>70,000</w:t>
            </w:r>
          </w:p>
        </w:tc>
      </w:tr>
      <w:tr w:rsidR="00B02873" w:rsidRPr="00B02873" w14:paraId="7089B7B6" w14:textId="77777777" w:rsidTr="00DB60C6">
        <w:tc>
          <w:tcPr>
            <w:tcW w:w="5382" w:type="dxa"/>
          </w:tcPr>
          <w:p w14:paraId="122E2FA4" w14:textId="77777777" w:rsidR="00B02873" w:rsidRDefault="00B02873" w:rsidP="00DB60C6">
            <w:pPr>
              <w:pStyle w:val="TablebodyleftFinancialsTables"/>
            </w:pPr>
            <w:r>
              <w:t>Banyule City Council</w:t>
            </w:r>
          </w:p>
        </w:tc>
        <w:tc>
          <w:tcPr>
            <w:tcW w:w="1559" w:type="dxa"/>
          </w:tcPr>
          <w:p w14:paraId="10E65CFB" w14:textId="77777777" w:rsidR="00B02873" w:rsidRDefault="00B02873" w:rsidP="00DB60C6">
            <w:pPr>
              <w:pStyle w:val="TablebodyleftFinancialsTables"/>
              <w:jc w:val="right"/>
            </w:pPr>
            <w:r>
              <w:t>70,000</w:t>
            </w:r>
          </w:p>
        </w:tc>
      </w:tr>
      <w:tr w:rsidR="00B02873" w:rsidRPr="00B02873" w14:paraId="35E04598" w14:textId="77777777" w:rsidTr="00DB60C6">
        <w:tc>
          <w:tcPr>
            <w:tcW w:w="5382" w:type="dxa"/>
          </w:tcPr>
          <w:p w14:paraId="6E59B999" w14:textId="77777777" w:rsidR="00B02873" w:rsidRDefault="00B02873" w:rsidP="00DB60C6">
            <w:pPr>
              <w:pStyle w:val="TablebodyleftFinancialsTables"/>
            </w:pPr>
            <w:r>
              <w:lastRenderedPageBreak/>
              <w:t>Maroondah City Council</w:t>
            </w:r>
          </w:p>
        </w:tc>
        <w:tc>
          <w:tcPr>
            <w:tcW w:w="1559" w:type="dxa"/>
          </w:tcPr>
          <w:p w14:paraId="033225C9" w14:textId="77777777" w:rsidR="00B02873" w:rsidRDefault="00B02873" w:rsidP="00DB60C6">
            <w:pPr>
              <w:pStyle w:val="TablebodyleftFinancialsTables"/>
              <w:jc w:val="right"/>
            </w:pPr>
            <w:r>
              <w:t>70,000</w:t>
            </w:r>
          </w:p>
        </w:tc>
      </w:tr>
      <w:tr w:rsidR="00B02873" w:rsidRPr="00B02873" w14:paraId="0DC2030F" w14:textId="77777777" w:rsidTr="00DB60C6">
        <w:tc>
          <w:tcPr>
            <w:tcW w:w="5382" w:type="dxa"/>
          </w:tcPr>
          <w:p w14:paraId="77DAAD30" w14:textId="77777777" w:rsidR="00B02873" w:rsidRDefault="00B02873" w:rsidP="00DB60C6">
            <w:pPr>
              <w:pStyle w:val="TablebodyleftFinancialsTables"/>
            </w:pPr>
            <w:r>
              <w:t>Bellarine Catchment Network Inc</w:t>
            </w:r>
          </w:p>
        </w:tc>
        <w:tc>
          <w:tcPr>
            <w:tcW w:w="1559" w:type="dxa"/>
          </w:tcPr>
          <w:p w14:paraId="1B32FA88" w14:textId="77777777" w:rsidR="00B02873" w:rsidRDefault="00B02873" w:rsidP="00DB60C6">
            <w:pPr>
              <w:pStyle w:val="TablebodyleftFinancialsTables"/>
              <w:jc w:val="right"/>
            </w:pPr>
            <w:r>
              <w:t>55,000</w:t>
            </w:r>
          </w:p>
        </w:tc>
      </w:tr>
      <w:tr w:rsidR="00B02873" w:rsidRPr="00B02873" w14:paraId="53B31A41" w14:textId="77777777" w:rsidTr="00DB60C6">
        <w:tc>
          <w:tcPr>
            <w:tcW w:w="5382" w:type="dxa"/>
          </w:tcPr>
          <w:p w14:paraId="66FC0D25" w14:textId="77777777" w:rsidR="00B02873" w:rsidRDefault="00B02873" w:rsidP="00DB60C6">
            <w:pPr>
              <w:pStyle w:val="TablebodyleftFinancialsTables"/>
            </w:pPr>
            <w:r>
              <w:t>Ballarat Hebrew Congregation Inc</w:t>
            </w:r>
          </w:p>
        </w:tc>
        <w:tc>
          <w:tcPr>
            <w:tcW w:w="1559" w:type="dxa"/>
          </w:tcPr>
          <w:p w14:paraId="6E913535" w14:textId="77777777" w:rsidR="00B02873" w:rsidRDefault="00B02873" w:rsidP="00DB60C6">
            <w:pPr>
              <w:pStyle w:val="TablebodyleftFinancialsTables"/>
              <w:jc w:val="right"/>
            </w:pPr>
            <w:r>
              <w:t>53,500</w:t>
            </w:r>
          </w:p>
        </w:tc>
      </w:tr>
      <w:tr w:rsidR="00B02873" w:rsidRPr="00B02873" w14:paraId="613E6E64" w14:textId="77777777" w:rsidTr="00DB60C6">
        <w:tc>
          <w:tcPr>
            <w:tcW w:w="5382" w:type="dxa"/>
          </w:tcPr>
          <w:p w14:paraId="19030DF3" w14:textId="77777777" w:rsidR="00B02873" w:rsidRDefault="00B02873" w:rsidP="00DB60C6">
            <w:pPr>
              <w:pStyle w:val="TablebodyleftFinancialsTables"/>
            </w:pPr>
            <w:r>
              <w:t>Queen Victoria Womens Centre</w:t>
            </w:r>
          </w:p>
        </w:tc>
        <w:tc>
          <w:tcPr>
            <w:tcW w:w="1559" w:type="dxa"/>
          </w:tcPr>
          <w:p w14:paraId="253AF10E" w14:textId="77777777" w:rsidR="00B02873" w:rsidRDefault="00B02873" w:rsidP="00DB60C6">
            <w:pPr>
              <w:pStyle w:val="TablebodyleftFinancialsTables"/>
              <w:jc w:val="right"/>
            </w:pPr>
            <w:r>
              <w:t>50,000</w:t>
            </w:r>
          </w:p>
        </w:tc>
      </w:tr>
      <w:tr w:rsidR="00B02873" w:rsidRPr="00B02873" w14:paraId="18EC93C9" w14:textId="77777777" w:rsidTr="00DB60C6">
        <w:tc>
          <w:tcPr>
            <w:tcW w:w="5382" w:type="dxa"/>
          </w:tcPr>
          <w:p w14:paraId="331DD708" w14:textId="77777777" w:rsidR="00B02873" w:rsidRDefault="00B02873" w:rsidP="00DB60C6">
            <w:pPr>
              <w:pStyle w:val="TablebodyleftFinancialsTables"/>
            </w:pPr>
            <w:r>
              <w:t>Murrindindi Shire Council</w:t>
            </w:r>
          </w:p>
        </w:tc>
        <w:tc>
          <w:tcPr>
            <w:tcW w:w="1559" w:type="dxa"/>
          </w:tcPr>
          <w:p w14:paraId="1ACF2C8B" w14:textId="77777777" w:rsidR="00B02873" w:rsidRDefault="00B02873" w:rsidP="00DB60C6">
            <w:pPr>
              <w:pStyle w:val="TablebodyleftFinancialsTables"/>
              <w:jc w:val="right"/>
            </w:pPr>
            <w:r>
              <w:t>48,627</w:t>
            </w:r>
          </w:p>
        </w:tc>
      </w:tr>
      <w:tr w:rsidR="00B02873" w:rsidRPr="00B02873" w14:paraId="4407723F" w14:textId="77777777" w:rsidTr="00DB60C6">
        <w:tc>
          <w:tcPr>
            <w:tcW w:w="5382" w:type="dxa"/>
          </w:tcPr>
          <w:p w14:paraId="46EE3DD7" w14:textId="77777777" w:rsidR="00B02873" w:rsidRDefault="00B02873" w:rsidP="00DB60C6">
            <w:pPr>
              <w:pStyle w:val="TablebodyleftFinancialsTables"/>
            </w:pPr>
            <w:r>
              <w:t>Indigo Shire Council</w:t>
            </w:r>
          </w:p>
        </w:tc>
        <w:tc>
          <w:tcPr>
            <w:tcW w:w="1559" w:type="dxa"/>
          </w:tcPr>
          <w:p w14:paraId="3CC7474F" w14:textId="77777777" w:rsidR="00B02873" w:rsidRDefault="00B02873" w:rsidP="00DB60C6">
            <w:pPr>
              <w:pStyle w:val="TablebodyleftFinancialsTables"/>
              <w:jc w:val="right"/>
            </w:pPr>
            <w:r>
              <w:t>48,000</w:t>
            </w:r>
          </w:p>
        </w:tc>
      </w:tr>
      <w:tr w:rsidR="00B02873" w:rsidRPr="00B02873" w14:paraId="349D9C3A" w14:textId="77777777" w:rsidTr="00DB60C6">
        <w:tc>
          <w:tcPr>
            <w:tcW w:w="5382" w:type="dxa"/>
          </w:tcPr>
          <w:p w14:paraId="6CB6BED7" w14:textId="77777777" w:rsidR="00B02873" w:rsidRDefault="00B02873" w:rsidP="00DB60C6">
            <w:pPr>
              <w:pStyle w:val="TablebodyleftFinancialsTables"/>
            </w:pPr>
            <w:r>
              <w:t>Castlemaine Art Museum</w:t>
            </w:r>
          </w:p>
        </w:tc>
        <w:tc>
          <w:tcPr>
            <w:tcW w:w="1559" w:type="dxa"/>
          </w:tcPr>
          <w:p w14:paraId="39C423C9" w14:textId="77777777" w:rsidR="00B02873" w:rsidRDefault="00B02873" w:rsidP="00DB60C6">
            <w:pPr>
              <w:pStyle w:val="TablebodyleftFinancialsTables"/>
              <w:jc w:val="right"/>
            </w:pPr>
            <w:r>
              <w:t>42,500</w:t>
            </w:r>
          </w:p>
        </w:tc>
      </w:tr>
      <w:tr w:rsidR="00B02873" w:rsidRPr="00B02873" w14:paraId="70DF75C5" w14:textId="77777777" w:rsidTr="00DB60C6">
        <w:tc>
          <w:tcPr>
            <w:tcW w:w="5382" w:type="dxa"/>
          </w:tcPr>
          <w:p w14:paraId="1D7F3E7B" w14:textId="77777777" w:rsidR="00B02873" w:rsidRDefault="00B02873" w:rsidP="00DB60C6">
            <w:pPr>
              <w:pStyle w:val="TablebodyleftFinancialsTables"/>
            </w:pPr>
            <w:r>
              <w:t>Castlemaine Cemetery Trust</w:t>
            </w:r>
          </w:p>
        </w:tc>
        <w:tc>
          <w:tcPr>
            <w:tcW w:w="1559" w:type="dxa"/>
          </w:tcPr>
          <w:p w14:paraId="358CAD41" w14:textId="77777777" w:rsidR="00B02873" w:rsidRDefault="00B02873" w:rsidP="00DB60C6">
            <w:pPr>
              <w:pStyle w:val="TablebodyleftFinancialsTables"/>
              <w:jc w:val="right"/>
            </w:pPr>
            <w:r>
              <w:t>38,500</w:t>
            </w:r>
          </w:p>
        </w:tc>
      </w:tr>
      <w:tr w:rsidR="00B02873" w:rsidRPr="00B02873" w14:paraId="242E2C23" w14:textId="77777777" w:rsidTr="00DB60C6">
        <w:tc>
          <w:tcPr>
            <w:tcW w:w="5382" w:type="dxa"/>
          </w:tcPr>
          <w:p w14:paraId="47B5FAA1" w14:textId="77777777" w:rsidR="00B02873" w:rsidRDefault="00B02873" w:rsidP="00DB60C6">
            <w:pPr>
              <w:pStyle w:val="TablebodyleftFinancialsTables"/>
            </w:pPr>
            <w:r>
              <w:t>Romsey and Lancefield Districts Historical Society Inc</w:t>
            </w:r>
          </w:p>
        </w:tc>
        <w:tc>
          <w:tcPr>
            <w:tcW w:w="1559" w:type="dxa"/>
          </w:tcPr>
          <w:p w14:paraId="2B5CDA44" w14:textId="77777777" w:rsidR="00B02873" w:rsidRDefault="00B02873" w:rsidP="00DB60C6">
            <w:pPr>
              <w:pStyle w:val="TablebodyleftFinancialsTables"/>
              <w:jc w:val="right"/>
            </w:pPr>
            <w:r>
              <w:t>37,000</w:t>
            </w:r>
          </w:p>
        </w:tc>
      </w:tr>
      <w:tr w:rsidR="00B02873" w:rsidRPr="00B02873" w14:paraId="42A965E9" w14:textId="77777777" w:rsidTr="00DB60C6">
        <w:tc>
          <w:tcPr>
            <w:tcW w:w="5382" w:type="dxa"/>
          </w:tcPr>
          <w:p w14:paraId="1A5FEE7E" w14:textId="77777777" w:rsidR="00B02873" w:rsidRDefault="00B02873" w:rsidP="00DB60C6">
            <w:pPr>
              <w:pStyle w:val="TablebodyleftFinancialsTables"/>
            </w:pPr>
            <w:r>
              <w:t>Taungurung Land and Waters Council</w:t>
            </w:r>
          </w:p>
        </w:tc>
        <w:tc>
          <w:tcPr>
            <w:tcW w:w="1559" w:type="dxa"/>
          </w:tcPr>
          <w:p w14:paraId="6D4D1EF4" w14:textId="77777777" w:rsidR="00B02873" w:rsidRDefault="00B02873" w:rsidP="00DB60C6">
            <w:pPr>
              <w:pStyle w:val="TablebodyleftFinancialsTables"/>
              <w:jc w:val="right"/>
            </w:pPr>
            <w:r>
              <w:t>30,482</w:t>
            </w:r>
          </w:p>
        </w:tc>
      </w:tr>
      <w:tr w:rsidR="00B02873" w:rsidRPr="00B02873" w14:paraId="2144E9E3" w14:textId="77777777" w:rsidTr="00DB60C6">
        <w:tc>
          <w:tcPr>
            <w:tcW w:w="5382" w:type="dxa"/>
          </w:tcPr>
          <w:p w14:paraId="77B76B71" w14:textId="77777777" w:rsidR="00B02873" w:rsidRDefault="00B02873" w:rsidP="00DB60C6">
            <w:pPr>
              <w:pStyle w:val="TablebodyleftFinancialsTables"/>
            </w:pPr>
            <w:r>
              <w:t>Dja dja Wurrung Clans Aboriginal Corporation</w:t>
            </w:r>
          </w:p>
        </w:tc>
        <w:tc>
          <w:tcPr>
            <w:tcW w:w="1559" w:type="dxa"/>
          </w:tcPr>
          <w:p w14:paraId="52A1B90C" w14:textId="77777777" w:rsidR="00B02873" w:rsidRDefault="00B02873" w:rsidP="00DB60C6">
            <w:pPr>
              <w:pStyle w:val="TablebodyleftFinancialsTables"/>
              <w:jc w:val="right"/>
            </w:pPr>
            <w:r>
              <w:t>30,000</w:t>
            </w:r>
          </w:p>
        </w:tc>
      </w:tr>
      <w:tr w:rsidR="00B02873" w:rsidRPr="00B02873" w14:paraId="5D3BC369" w14:textId="77777777" w:rsidTr="00DB60C6">
        <w:tc>
          <w:tcPr>
            <w:tcW w:w="5382" w:type="dxa"/>
          </w:tcPr>
          <w:p w14:paraId="6BCD6BD9" w14:textId="77777777" w:rsidR="00B02873" w:rsidRDefault="00B02873" w:rsidP="00DB60C6">
            <w:pPr>
              <w:pStyle w:val="TablebodyleftFinancialsTables"/>
            </w:pPr>
            <w:r>
              <w:t>Hobsons Bay City Council</w:t>
            </w:r>
          </w:p>
        </w:tc>
        <w:tc>
          <w:tcPr>
            <w:tcW w:w="1559" w:type="dxa"/>
          </w:tcPr>
          <w:p w14:paraId="42AF617D" w14:textId="77777777" w:rsidR="00B02873" w:rsidRDefault="00B02873" w:rsidP="00DB60C6">
            <w:pPr>
              <w:pStyle w:val="TablebodyleftFinancialsTables"/>
              <w:jc w:val="right"/>
            </w:pPr>
            <w:r>
              <w:t>30,000</w:t>
            </w:r>
          </w:p>
        </w:tc>
      </w:tr>
      <w:tr w:rsidR="00B02873" w:rsidRPr="00B02873" w14:paraId="22544EB4" w14:textId="77777777" w:rsidTr="00DB60C6">
        <w:tc>
          <w:tcPr>
            <w:tcW w:w="5382" w:type="dxa"/>
          </w:tcPr>
          <w:p w14:paraId="58C48C87" w14:textId="77777777" w:rsidR="00B02873" w:rsidRDefault="00B02873" w:rsidP="00DB60C6">
            <w:pPr>
              <w:pStyle w:val="TablebodyleftFinancialsTables"/>
            </w:pPr>
            <w:r>
              <w:t>Beechworth Public Cemetery</w:t>
            </w:r>
          </w:p>
        </w:tc>
        <w:tc>
          <w:tcPr>
            <w:tcW w:w="1559" w:type="dxa"/>
          </w:tcPr>
          <w:p w14:paraId="074FFAC7" w14:textId="77777777" w:rsidR="00B02873" w:rsidRDefault="00B02873" w:rsidP="00DB60C6">
            <w:pPr>
              <w:pStyle w:val="TablebodyleftFinancialsTables"/>
              <w:jc w:val="right"/>
            </w:pPr>
            <w:r>
              <w:t>28,000</w:t>
            </w:r>
          </w:p>
        </w:tc>
      </w:tr>
      <w:tr w:rsidR="00B02873" w:rsidRPr="00B02873" w14:paraId="6AB1F1E9" w14:textId="77777777" w:rsidTr="00DB60C6">
        <w:tc>
          <w:tcPr>
            <w:tcW w:w="5382" w:type="dxa"/>
          </w:tcPr>
          <w:p w14:paraId="175C21E4" w14:textId="77777777" w:rsidR="00B02873" w:rsidRDefault="00B02873" w:rsidP="00DB60C6">
            <w:pPr>
              <w:pStyle w:val="TablebodyleftFinancialsTables"/>
            </w:pPr>
            <w:r>
              <w:t>Alexandra Community Hub</w:t>
            </w:r>
          </w:p>
        </w:tc>
        <w:tc>
          <w:tcPr>
            <w:tcW w:w="1559" w:type="dxa"/>
          </w:tcPr>
          <w:p w14:paraId="448CDAC8" w14:textId="77777777" w:rsidR="00B02873" w:rsidRDefault="00B02873" w:rsidP="00DB60C6">
            <w:pPr>
              <w:pStyle w:val="TablebodyleftFinancialsTables"/>
              <w:jc w:val="right"/>
            </w:pPr>
            <w:r>
              <w:t>24,500</w:t>
            </w:r>
          </w:p>
        </w:tc>
      </w:tr>
      <w:tr w:rsidR="00B02873" w:rsidRPr="00B02873" w14:paraId="75E9D7CB" w14:textId="77777777" w:rsidTr="00DB60C6">
        <w:tc>
          <w:tcPr>
            <w:tcW w:w="5382" w:type="dxa"/>
          </w:tcPr>
          <w:p w14:paraId="479A6DE2" w14:textId="77777777" w:rsidR="00B02873" w:rsidRDefault="00B02873" w:rsidP="00DB60C6">
            <w:pPr>
              <w:pStyle w:val="TablebodyleftFinancialsTables"/>
            </w:pPr>
            <w:r>
              <w:t>Boonwurrung Land and Sea Council (Aboriginal Corporation)</w:t>
            </w:r>
          </w:p>
        </w:tc>
        <w:tc>
          <w:tcPr>
            <w:tcW w:w="1559" w:type="dxa"/>
          </w:tcPr>
          <w:p w14:paraId="0A7642B5" w14:textId="77777777" w:rsidR="00B02873" w:rsidRDefault="00B02873" w:rsidP="00DB60C6">
            <w:pPr>
              <w:pStyle w:val="TablebodyleftFinancialsTables"/>
              <w:jc w:val="right"/>
            </w:pPr>
            <w:r>
              <w:t>22,727</w:t>
            </w:r>
          </w:p>
        </w:tc>
      </w:tr>
      <w:tr w:rsidR="00B02873" w:rsidRPr="00B02873" w14:paraId="08C06238" w14:textId="77777777" w:rsidTr="00DB60C6">
        <w:tc>
          <w:tcPr>
            <w:tcW w:w="5382" w:type="dxa"/>
          </w:tcPr>
          <w:p w14:paraId="27086FDF" w14:textId="77777777" w:rsidR="00B02873" w:rsidRDefault="00B02873" w:rsidP="00DB60C6">
            <w:pPr>
              <w:pStyle w:val="TablebodyleftFinancialsTables"/>
            </w:pPr>
            <w:r>
              <w:rPr>
                <w:spacing w:val="-5"/>
              </w:rPr>
              <w:t>Benalla Water Tower Preservation Group Inc</w:t>
            </w:r>
          </w:p>
        </w:tc>
        <w:tc>
          <w:tcPr>
            <w:tcW w:w="1559" w:type="dxa"/>
          </w:tcPr>
          <w:p w14:paraId="09B891DC" w14:textId="77777777" w:rsidR="00B02873" w:rsidRDefault="00B02873" w:rsidP="00DB60C6">
            <w:pPr>
              <w:pStyle w:val="TablebodyleftFinancialsTables"/>
              <w:jc w:val="right"/>
            </w:pPr>
            <w:r>
              <w:t>22,000</w:t>
            </w:r>
          </w:p>
        </w:tc>
      </w:tr>
      <w:tr w:rsidR="00B02873" w:rsidRPr="00B02873" w14:paraId="1B1DB028" w14:textId="77777777" w:rsidTr="00DB60C6">
        <w:tc>
          <w:tcPr>
            <w:tcW w:w="5382" w:type="dxa"/>
          </w:tcPr>
          <w:p w14:paraId="5784A1C9" w14:textId="77777777" w:rsidR="00B02873" w:rsidRDefault="00B02873" w:rsidP="00DB60C6">
            <w:pPr>
              <w:pStyle w:val="TablebodyleftFinancialsTables"/>
            </w:pPr>
            <w:r>
              <w:t>Windsor House Bed and Breakfast</w:t>
            </w:r>
          </w:p>
        </w:tc>
        <w:tc>
          <w:tcPr>
            <w:tcW w:w="1559" w:type="dxa"/>
          </w:tcPr>
          <w:p w14:paraId="163F72A4" w14:textId="77777777" w:rsidR="00B02873" w:rsidRDefault="00B02873" w:rsidP="00DB60C6">
            <w:pPr>
              <w:pStyle w:val="TablebodyleftFinancialsTables"/>
              <w:jc w:val="right"/>
            </w:pPr>
            <w:r>
              <w:t>20,825</w:t>
            </w:r>
          </w:p>
        </w:tc>
      </w:tr>
      <w:tr w:rsidR="00B02873" w:rsidRPr="00B02873" w14:paraId="7F0ADE70" w14:textId="77777777" w:rsidTr="00DB60C6">
        <w:tc>
          <w:tcPr>
            <w:tcW w:w="5382" w:type="dxa"/>
          </w:tcPr>
          <w:p w14:paraId="5CFBB94F" w14:textId="77777777" w:rsidR="00B02873" w:rsidRDefault="00B02873" w:rsidP="00DB60C6">
            <w:pPr>
              <w:pStyle w:val="TablebodyleftFinancialsTables"/>
            </w:pPr>
            <w:r>
              <w:t>Norfolk Island Museum</w:t>
            </w:r>
          </w:p>
        </w:tc>
        <w:tc>
          <w:tcPr>
            <w:tcW w:w="1559" w:type="dxa"/>
          </w:tcPr>
          <w:p w14:paraId="4000F02E" w14:textId="77777777" w:rsidR="00B02873" w:rsidRDefault="00B02873" w:rsidP="00DB60C6">
            <w:pPr>
              <w:pStyle w:val="TablebodyleftFinancialsTables"/>
              <w:jc w:val="right"/>
            </w:pPr>
            <w:r>
              <w:t>20,000</w:t>
            </w:r>
          </w:p>
        </w:tc>
      </w:tr>
      <w:tr w:rsidR="00B02873" w:rsidRPr="00B02873" w14:paraId="50E490A1" w14:textId="77777777" w:rsidTr="00DB60C6">
        <w:tc>
          <w:tcPr>
            <w:tcW w:w="5382" w:type="dxa"/>
          </w:tcPr>
          <w:p w14:paraId="5F0464B3" w14:textId="77777777" w:rsidR="00B02873" w:rsidRDefault="00B02873" w:rsidP="00DB60C6">
            <w:pPr>
              <w:pStyle w:val="TablebodyleftFinancialsTables"/>
            </w:pPr>
            <w:r>
              <w:t>La Mama Inc</w:t>
            </w:r>
          </w:p>
        </w:tc>
        <w:tc>
          <w:tcPr>
            <w:tcW w:w="1559" w:type="dxa"/>
          </w:tcPr>
          <w:p w14:paraId="4698042A" w14:textId="77777777" w:rsidR="00B02873" w:rsidRDefault="00B02873" w:rsidP="00DB60C6">
            <w:pPr>
              <w:pStyle w:val="TablebodyleftFinancialsTables"/>
              <w:jc w:val="right"/>
            </w:pPr>
            <w:r>
              <w:t>20,000</w:t>
            </w:r>
          </w:p>
        </w:tc>
      </w:tr>
      <w:tr w:rsidR="00B02873" w:rsidRPr="00B02873" w14:paraId="692B5A2C" w14:textId="77777777" w:rsidTr="00DB60C6">
        <w:tc>
          <w:tcPr>
            <w:tcW w:w="5382" w:type="dxa"/>
          </w:tcPr>
          <w:p w14:paraId="6B8D545E" w14:textId="77777777" w:rsidR="00B02873" w:rsidRDefault="00B02873" w:rsidP="00DB60C6">
            <w:pPr>
              <w:pStyle w:val="TablebodyleftFinancialsTables"/>
            </w:pPr>
            <w:r>
              <w:t>Brimbank City Council</w:t>
            </w:r>
          </w:p>
        </w:tc>
        <w:tc>
          <w:tcPr>
            <w:tcW w:w="1559" w:type="dxa"/>
          </w:tcPr>
          <w:p w14:paraId="27EA78DC" w14:textId="77777777" w:rsidR="00B02873" w:rsidRDefault="00B02873" w:rsidP="00DB60C6">
            <w:pPr>
              <w:pStyle w:val="TablebodyleftFinancialsTables"/>
              <w:jc w:val="right"/>
            </w:pPr>
            <w:r>
              <w:t>20,000</w:t>
            </w:r>
          </w:p>
        </w:tc>
      </w:tr>
      <w:tr w:rsidR="00B02873" w:rsidRPr="00B02873" w14:paraId="705E7A3B" w14:textId="77777777" w:rsidTr="00DB60C6">
        <w:tc>
          <w:tcPr>
            <w:tcW w:w="5382" w:type="dxa"/>
          </w:tcPr>
          <w:p w14:paraId="3F2F4A69" w14:textId="77777777" w:rsidR="00B02873" w:rsidRDefault="00B02873" w:rsidP="00DB60C6">
            <w:pPr>
              <w:pStyle w:val="TablebodyleftFinancialsTables"/>
            </w:pPr>
            <w:r>
              <w:t>Towong Shire Council</w:t>
            </w:r>
          </w:p>
        </w:tc>
        <w:tc>
          <w:tcPr>
            <w:tcW w:w="1559" w:type="dxa"/>
          </w:tcPr>
          <w:p w14:paraId="144684B9" w14:textId="77777777" w:rsidR="00B02873" w:rsidRDefault="00B02873" w:rsidP="00DB60C6">
            <w:pPr>
              <w:pStyle w:val="TablebodyleftFinancialsTables"/>
              <w:jc w:val="right"/>
            </w:pPr>
            <w:r>
              <w:t>15,000</w:t>
            </w:r>
          </w:p>
        </w:tc>
      </w:tr>
      <w:tr w:rsidR="00B02873" w:rsidRPr="00B02873" w14:paraId="0C748C1C" w14:textId="77777777" w:rsidTr="00DB60C6">
        <w:tc>
          <w:tcPr>
            <w:tcW w:w="5382" w:type="dxa"/>
          </w:tcPr>
          <w:p w14:paraId="73841F25" w14:textId="77777777" w:rsidR="00B02873" w:rsidRDefault="00B02873" w:rsidP="00DB60C6">
            <w:pPr>
              <w:pStyle w:val="TablebodyleftFinancialsTables"/>
            </w:pPr>
            <w:r>
              <w:t>Australasian Institute for Maritime Archaeology</w:t>
            </w:r>
          </w:p>
        </w:tc>
        <w:tc>
          <w:tcPr>
            <w:tcW w:w="1559" w:type="dxa"/>
          </w:tcPr>
          <w:p w14:paraId="2EABB612" w14:textId="77777777" w:rsidR="00B02873" w:rsidRDefault="00B02873" w:rsidP="00DB60C6">
            <w:pPr>
              <w:pStyle w:val="TablebodyleftFinancialsTables"/>
              <w:jc w:val="right"/>
            </w:pPr>
            <w:r>
              <w:t>13,500</w:t>
            </w:r>
          </w:p>
        </w:tc>
      </w:tr>
      <w:tr w:rsidR="00B02873" w:rsidRPr="00B02873" w14:paraId="7F14C5A6" w14:textId="77777777" w:rsidTr="00DB60C6">
        <w:tc>
          <w:tcPr>
            <w:tcW w:w="5382" w:type="dxa"/>
          </w:tcPr>
          <w:p w14:paraId="6E2FD128" w14:textId="77777777" w:rsidR="00B02873" w:rsidRDefault="00B02873" w:rsidP="00DB60C6">
            <w:pPr>
              <w:pStyle w:val="TablebodyleftFinancialsTables"/>
            </w:pPr>
            <w:r>
              <w:t>Borough of Queenscliffe</w:t>
            </w:r>
          </w:p>
        </w:tc>
        <w:tc>
          <w:tcPr>
            <w:tcW w:w="1559" w:type="dxa"/>
          </w:tcPr>
          <w:p w14:paraId="3B77D435" w14:textId="77777777" w:rsidR="00B02873" w:rsidRDefault="00B02873" w:rsidP="00DB60C6">
            <w:pPr>
              <w:pStyle w:val="TablebodyleftFinancialsTables"/>
              <w:jc w:val="right"/>
            </w:pPr>
            <w:r>
              <w:t>13,000</w:t>
            </w:r>
          </w:p>
        </w:tc>
      </w:tr>
      <w:tr w:rsidR="00B02873" w:rsidRPr="00B02873" w14:paraId="44988D85" w14:textId="77777777" w:rsidTr="00DB60C6">
        <w:tc>
          <w:tcPr>
            <w:tcW w:w="5382" w:type="dxa"/>
          </w:tcPr>
          <w:p w14:paraId="5AEF6DAF" w14:textId="77777777" w:rsidR="00B02873" w:rsidRDefault="00B02873" w:rsidP="00DB60C6">
            <w:pPr>
              <w:pStyle w:val="TablebodyleftFinancialsTables"/>
            </w:pPr>
            <w:r>
              <w:t>RMIT University</w:t>
            </w:r>
          </w:p>
        </w:tc>
        <w:tc>
          <w:tcPr>
            <w:tcW w:w="1559" w:type="dxa"/>
          </w:tcPr>
          <w:p w14:paraId="2E4FC07F" w14:textId="77777777" w:rsidR="00B02873" w:rsidRDefault="00B02873" w:rsidP="00DB60C6">
            <w:pPr>
              <w:pStyle w:val="TablebodyleftFinancialsTables"/>
              <w:jc w:val="right"/>
            </w:pPr>
            <w:r>
              <w:t>12,000</w:t>
            </w:r>
          </w:p>
        </w:tc>
      </w:tr>
      <w:tr w:rsidR="00B02873" w:rsidRPr="00B02873" w14:paraId="20602E21" w14:textId="77777777" w:rsidTr="00DB60C6">
        <w:tc>
          <w:tcPr>
            <w:tcW w:w="5382" w:type="dxa"/>
          </w:tcPr>
          <w:p w14:paraId="2B7A08CD" w14:textId="77777777" w:rsidR="00B02873" w:rsidRDefault="00B02873" w:rsidP="00DB60C6">
            <w:pPr>
              <w:pStyle w:val="TablebodyleftFinancialsTables"/>
            </w:pPr>
            <w:r>
              <w:t>Northern Grampians Shire Council</w:t>
            </w:r>
          </w:p>
        </w:tc>
        <w:tc>
          <w:tcPr>
            <w:tcW w:w="1559" w:type="dxa"/>
          </w:tcPr>
          <w:p w14:paraId="03B06004" w14:textId="77777777" w:rsidR="00B02873" w:rsidRDefault="00B02873" w:rsidP="00DB60C6">
            <w:pPr>
              <w:pStyle w:val="TablebodyleftFinancialsTables"/>
              <w:jc w:val="right"/>
            </w:pPr>
            <w:r>
              <w:t>8,000</w:t>
            </w:r>
          </w:p>
        </w:tc>
      </w:tr>
      <w:tr w:rsidR="00B02873" w:rsidRPr="00B02873" w14:paraId="00170F7F" w14:textId="77777777" w:rsidTr="00DB60C6">
        <w:tc>
          <w:tcPr>
            <w:tcW w:w="5382" w:type="dxa"/>
          </w:tcPr>
          <w:p w14:paraId="24D67611" w14:textId="77777777" w:rsidR="00B02873" w:rsidRDefault="00B02873" w:rsidP="00DB60C6">
            <w:pPr>
              <w:pStyle w:val="TablebodyleftFinancialsTables"/>
            </w:pPr>
            <w:r>
              <w:t>Gippsland International Inc</w:t>
            </w:r>
          </w:p>
        </w:tc>
        <w:tc>
          <w:tcPr>
            <w:tcW w:w="1559" w:type="dxa"/>
          </w:tcPr>
          <w:p w14:paraId="527C27FE" w14:textId="77777777" w:rsidR="00B02873" w:rsidRDefault="00B02873" w:rsidP="00DB60C6">
            <w:pPr>
              <w:pStyle w:val="TablebodyleftFinancialsTables"/>
              <w:jc w:val="right"/>
            </w:pPr>
            <w:r>
              <w:t>6,000</w:t>
            </w:r>
          </w:p>
        </w:tc>
      </w:tr>
      <w:tr w:rsidR="00B02873" w:rsidRPr="00B02873" w14:paraId="2AAADB9E" w14:textId="77777777" w:rsidTr="00DB60C6">
        <w:tc>
          <w:tcPr>
            <w:tcW w:w="5382" w:type="dxa"/>
          </w:tcPr>
          <w:p w14:paraId="0FBA34E9" w14:textId="77777777" w:rsidR="00B02873" w:rsidRDefault="00B02873" w:rsidP="00DB60C6">
            <w:pPr>
              <w:pStyle w:val="TablebodyleftFinancialsTables"/>
            </w:pPr>
            <w:r>
              <w:t>Other &lt; $5,000</w:t>
            </w:r>
          </w:p>
        </w:tc>
        <w:tc>
          <w:tcPr>
            <w:tcW w:w="1559" w:type="dxa"/>
          </w:tcPr>
          <w:p w14:paraId="758C83D8" w14:textId="77777777" w:rsidR="00B02873" w:rsidRDefault="00B02873" w:rsidP="00DB60C6">
            <w:pPr>
              <w:pStyle w:val="TablebodyleftFinancialsTables"/>
              <w:jc w:val="right"/>
            </w:pPr>
            <w:r>
              <w:t>6,580</w:t>
            </w:r>
          </w:p>
        </w:tc>
      </w:tr>
      <w:tr w:rsidR="00B02873" w:rsidRPr="00B02873" w14:paraId="2E47AEE8" w14:textId="77777777" w:rsidTr="00DB60C6">
        <w:tc>
          <w:tcPr>
            <w:tcW w:w="5382" w:type="dxa"/>
          </w:tcPr>
          <w:p w14:paraId="77B7FE42" w14:textId="77777777" w:rsidR="00B02873" w:rsidRDefault="00B02873" w:rsidP="00DB60C6">
            <w:pPr>
              <w:pStyle w:val="TablebodyleftFinancialsTables"/>
            </w:pPr>
            <w:r>
              <w:t>Return of funds</w:t>
            </w:r>
          </w:p>
        </w:tc>
        <w:tc>
          <w:tcPr>
            <w:tcW w:w="1559" w:type="dxa"/>
          </w:tcPr>
          <w:p w14:paraId="68A21D37" w14:textId="77777777" w:rsidR="00B02873" w:rsidRDefault="00B02873" w:rsidP="00DB60C6">
            <w:pPr>
              <w:pStyle w:val="TablebodyleftFinancialsTables"/>
              <w:jc w:val="right"/>
            </w:pPr>
            <w:r>
              <w:t>(879,248)</w:t>
            </w:r>
          </w:p>
        </w:tc>
      </w:tr>
      <w:tr w:rsidR="00B02873" w:rsidRPr="00DB60C6" w14:paraId="045855D3" w14:textId="77777777" w:rsidTr="00DB60C6">
        <w:tc>
          <w:tcPr>
            <w:tcW w:w="5382" w:type="dxa"/>
          </w:tcPr>
          <w:p w14:paraId="0F0DD1A7" w14:textId="77777777" w:rsidR="00B02873" w:rsidRPr="00DB60C6" w:rsidRDefault="00B02873" w:rsidP="00DB60C6">
            <w:pPr>
              <w:pStyle w:val="TablebodyleftFinancialsTables"/>
              <w:rPr>
                <w:b/>
                <w:bCs/>
              </w:rPr>
            </w:pPr>
            <w:r w:rsidRPr="00DB60C6">
              <w:rPr>
                <w:b/>
                <w:bCs/>
              </w:rPr>
              <w:t>Total</w:t>
            </w:r>
          </w:p>
        </w:tc>
        <w:tc>
          <w:tcPr>
            <w:tcW w:w="1559" w:type="dxa"/>
          </w:tcPr>
          <w:p w14:paraId="20309F34" w14:textId="77777777" w:rsidR="00B02873" w:rsidRPr="00DB60C6" w:rsidRDefault="00B02873" w:rsidP="00DB60C6">
            <w:pPr>
              <w:pStyle w:val="TablebodyleftFinancialsTables"/>
              <w:jc w:val="right"/>
              <w:rPr>
                <w:b/>
                <w:bCs/>
              </w:rPr>
            </w:pPr>
            <w:r w:rsidRPr="00DB60C6">
              <w:rPr>
                <w:b/>
                <w:bCs/>
              </w:rPr>
              <w:t>203,837,562</w:t>
            </w:r>
          </w:p>
        </w:tc>
      </w:tr>
    </w:tbl>
    <w:p w14:paraId="4BE14184" w14:textId="77777777" w:rsidR="00B02873" w:rsidRDefault="00B02873" w:rsidP="00FE198A"/>
    <w:p w14:paraId="2BD379CB" w14:textId="3A8F978D" w:rsidR="00B02873" w:rsidRDefault="00B02873" w:rsidP="00DB60C6">
      <w:pPr>
        <w:pStyle w:val="TabletitleTables"/>
      </w:pPr>
      <w:r>
        <w:t>Table 14</w:t>
      </w:r>
      <w:r w:rsidR="000C45FC">
        <w:t xml:space="preserve"> – </w:t>
      </w:r>
      <w:r>
        <w:t>Fire and Emergency Management</w:t>
      </w:r>
    </w:p>
    <w:tbl>
      <w:tblPr>
        <w:tblStyle w:val="TableGrid"/>
        <w:tblW w:w="0" w:type="auto"/>
        <w:tblLayout w:type="fixed"/>
        <w:tblLook w:val="0020" w:firstRow="1" w:lastRow="0" w:firstColumn="0" w:lastColumn="0" w:noHBand="0" w:noVBand="0"/>
      </w:tblPr>
      <w:tblGrid>
        <w:gridCol w:w="5382"/>
        <w:gridCol w:w="1559"/>
      </w:tblGrid>
      <w:tr w:rsidR="00B02873" w:rsidRPr="00B02873" w14:paraId="6C84B4AA" w14:textId="77777777" w:rsidTr="00DB60C6">
        <w:trPr>
          <w:cnfStyle w:val="100000000000" w:firstRow="1" w:lastRow="0" w:firstColumn="0" w:lastColumn="0" w:oddVBand="0" w:evenVBand="0" w:oddHBand="0" w:evenHBand="0" w:firstRowFirstColumn="0" w:firstRowLastColumn="0" w:lastRowFirstColumn="0" w:lastRowLastColumn="0"/>
          <w:tblHeader/>
        </w:trPr>
        <w:tc>
          <w:tcPr>
            <w:tcW w:w="5382" w:type="dxa"/>
          </w:tcPr>
          <w:p w14:paraId="6AF42A2C" w14:textId="77777777" w:rsidR="00B02873" w:rsidRDefault="00B02873" w:rsidP="00DB60C6">
            <w:pPr>
              <w:pStyle w:val="TableheadingleftFinancialsTables"/>
            </w:pPr>
            <w:r>
              <w:t>Grant recipient</w:t>
            </w:r>
          </w:p>
        </w:tc>
        <w:tc>
          <w:tcPr>
            <w:tcW w:w="1559" w:type="dxa"/>
          </w:tcPr>
          <w:p w14:paraId="3402DA7D" w14:textId="77777777" w:rsidR="00B02873" w:rsidRDefault="00B02873" w:rsidP="00DB60C6">
            <w:pPr>
              <w:pStyle w:val="TableheadingleftFinancialsTables"/>
              <w:jc w:val="right"/>
            </w:pPr>
            <w:r>
              <w:t>$</w:t>
            </w:r>
          </w:p>
        </w:tc>
      </w:tr>
      <w:tr w:rsidR="00B02873" w:rsidRPr="00B02873" w14:paraId="38472D4E" w14:textId="77777777" w:rsidTr="00DB60C6">
        <w:tc>
          <w:tcPr>
            <w:tcW w:w="5382" w:type="dxa"/>
          </w:tcPr>
          <w:p w14:paraId="3A13D3FF" w14:textId="77777777" w:rsidR="00B02873" w:rsidRDefault="00B02873" w:rsidP="00DB60C6">
            <w:pPr>
              <w:pStyle w:val="TablebodyleftFinancialsTables"/>
            </w:pPr>
            <w:r>
              <w:t>Parks Victoria</w:t>
            </w:r>
          </w:p>
        </w:tc>
        <w:tc>
          <w:tcPr>
            <w:tcW w:w="1559" w:type="dxa"/>
          </w:tcPr>
          <w:p w14:paraId="25B8A964" w14:textId="77777777" w:rsidR="00B02873" w:rsidRDefault="00B02873" w:rsidP="00DB60C6">
            <w:pPr>
              <w:pStyle w:val="TablebodyleftFinancialsTables"/>
              <w:jc w:val="right"/>
            </w:pPr>
            <w:r>
              <w:t>36,648,057</w:t>
            </w:r>
          </w:p>
        </w:tc>
      </w:tr>
      <w:tr w:rsidR="00B02873" w:rsidRPr="00B02873" w14:paraId="7C1605ED" w14:textId="77777777" w:rsidTr="00DB60C6">
        <w:tc>
          <w:tcPr>
            <w:tcW w:w="5382" w:type="dxa"/>
          </w:tcPr>
          <w:p w14:paraId="1DA1EA38" w14:textId="77777777" w:rsidR="00B02873" w:rsidRDefault="00B02873" w:rsidP="00DB60C6">
            <w:pPr>
              <w:pStyle w:val="TablebodyleftFinancialsTables"/>
            </w:pPr>
            <w:r>
              <w:t>Country Fire Authority</w:t>
            </w:r>
          </w:p>
        </w:tc>
        <w:tc>
          <w:tcPr>
            <w:tcW w:w="1559" w:type="dxa"/>
          </w:tcPr>
          <w:p w14:paraId="67A33ADC" w14:textId="77777777" w:rsidR="00B02873" w:rsidRDefault="00B02873" w:rsidP="00DB60C6">
            <w:pPr>
              <w:pStyle w:val="TablebodyleftFinancialsTables"/>
              <w:jc w:val="right"/>
            </w:pPr>
            <w:r>
              <w:t>6,927,100</w:t>
            </w:r>
          </w:p>
        </w:tc>
      </w:tr>
      <w:tr w:rsidR="00B02873" w:rsidRPr="00B02873" w14:paraId="1A38A2B0" w14:textId="77777777" w:rsidTr="00DB60C6">
        <w:tc>
          <w:tcPr>
            <w:tcW w:w="5382" w:type="dxa"/>
          </w:tcPr>
          <w:p w14:paraId="73EE4689" w14:textId="77777777" w:rsidR="00B02873" w:rsidRDefault="00B02873" w:rsidP="00DB60C6">
            <w:pPr>
              <w:pStyle w:val="TablebodyleftFinancialsTables"/>
            </w:pPr>
            <w:r>
              <w:t>Department of Justice and Community Safety (Victoria)</w:t>
            </w:r>
          </w:p>
        </w:tc>
        <w:tc>
          <w:tcPr>
            <w:tcW w:w="1559" w:type="dxa"/>
          </w:tcPr>
          <w:p w14:paraId="1714F646" w14:textId="77777777" w:rsidR="00B02873" w:rsidRDefault="00B02873" w:rsidP="00DB60C6">
            <w:pPr>
              <w:pStyle w:val="TablebodyleftFinancialsTables"/>
              <w:jc w:val="right"/>
            </w:pPr>
            <w:r>
              <w:t>2,616,189</w:t>
            </w:r>
          </w:p>
        </w:tc>
      </w:tr>
      <w:tr w:rsidR="00B02873" w:rsidRPr="00B02873" w14:paraId="18D7FBAA" w14:textId="77777777" w:rsidTr="00DB60C6">
        <w:tc>
          <w:tcPr>
            <w:tcW w:w="5382" w:type="dxa"/>
          </w:tcPr>
          <w:p w14:paraId="09C609D1" w14:textId="77777777" w:rsidR="00B02873" w:rsidRDefault="00B02873" w:rsidP="00DB60C6">
            <w:pPr>
              <w:pStyle w:val="TablebodyleftFinancialsTables"/>
            </w:pPr>
            <w:r>
              <w:lastRenderedPageBreak/>
              <w:t>Bushfire and Natural Hazards CRC Limited</w:t>
            </w:r>
          </w:p>
        </w:tc>
        <w:tc>
          <w:tcPr>
            <w:tcW w:w="1559" w:type="dxa"/>
          </w:tcPr>
          <w:p w14:paraId="0D733C2B" w14:textId="77777777" w:rsidR="00B02873" w:rsidRDefault="00B02873" w:rsidP="00DB60C6">
            <w:pPr>
              <w:pStyle w:val="TablebodyleftFinancialsTables"/>
              <w:jc w:val="right"/>
            </w:pPr>
            <w:r>
              <w:t>1,128,983</w:t>
            </w:r>
          </w:p>
        </w:tc>
      </w:tr>
      <w:tr w:rsidR="00B02873" w:rsidRPr="00B02873" w14:paraId="3B63A5AE" w14:textId="77777777" w:rsidTr="00DB60C6">
        <w:tc>
          <w:tcPr>
            <w:tcW w:w="5382" w:type="dxa"/>
          </w:tcPr>
          <w:p w14:paraId="30DE6B85" w14:textId="77777777" w:rsidR="00B02873" w:rsidRDefault="00B02873" w:rsidP="00DB60C6">
            <w:pPr>
              <w:pStyle w:val="TablebodyleftFinancialsTables"/>
            </w:pPr>
            <w:r>
              <w:t>Wadawurrung Traditional Owners Aboriginal Corporation</w:t>
            </w:r>
          </w:p>
        </w:tc>
        <w:tc>
          <w:tcPr>
            <w:tcW w:w="1559" w:type="dxa"/>
          </w:tcPr>
          <w:p w14:paraId="5FCFA116" w14:textId="77777777" w:rsidR="00B02873" w:rsidRDefault="00B02873" w:rsidP="00DB60C6">
            <w:pPr>
              <w:pStyle w:val="TablebodyleftFinancialsTables"/>
              <w:jc w:val="right"/>
            </w:pPr>
            <w:r>
              <w:t>999,000</w:t>
            </w:r>
          </w:p>
        </w:tc>
      </w:tr>
      <w:tr w:rsidR="00B02873" w:rsidRPr="00B02873" w14:paraId="0538B98B" w14:textId="77777777" w:rsidTr="00DB60C6">
        <w:tc>
          <w:tcPr>
            <w:tcW w:w="5382" w:type="dxa"/>
          </w:tcPr>
          <w:p w14:paraId="78D7D222" w14:textId="77777777" w:rsidR="00B02873" w:rsidRDefault="00B02873" w:rsidP="00DB60C6">
            <w:pPr>
              <w:pStyle w:val="TablebodyleftFinancialsTables"/>
            </w:pPr>
            <w:r>
              <w:t>Barengi Gadjin Land Council</w:t>
            </w:r>
          </w:p>
        </w:tc>
        <w:tc>
          <w:tcPr>
            <w:tcW w:w="1559" w:type="dxa"/>
          </w:tcPr>
          <w:p w14:paraId="0AA55EF6" w14:textId="77777777" w:rsidR="00B02873" w:rsidRDefault="00B02873" w:rsidP="00DB60C6">
            <w:pPr>
              <w:pStyle w:val="TablebodyleftFinancialsTables"/>
              <w:jc w:val="right"/>
            </w:pPr>
            <w:r>
              <w:t>985,000</w:t>
            </w:r>
          </w:p>
        </w:tc>
      </w:tr>
      <w:tr w:rsidR="00B02873" w:rsidRPr="00B02873" w14:paraId="09E4D532" w14:textId="77777777" w:rsidTr="00DB60C6">
        <w:tc>
          <w:tcPr>
            <w:tcW w:w="5382" w:type="dxa"/>
          </w:tcPr>
          <w:p w14:paraId="6C32C97C" w14:textId="77777777" w:rsidR="00B02873" w:rsidRDefault="00B02873" w:rsidP="00DB60C6">
            <w:pPr>
              <w:pStyle w:val="TablebodyleftFinancialsTables"/>
            </w:pPr>
            <w:r>
              <w:t>Wurundjeri Woi Wurrung Cultural Heritage Aboriginal Corporation</w:t>
            </w:r>
          </w:p>
        </w:tc>
        <w:tc>
          <w:tcPr>
            <w:tcW w:w="1559" w:type="dxa"/>
          </w:tcPr>
          <w:p w14:paraId="73687887" w14:textId="77777777" w:rsidR="00B02873" w:rsidRDefault="00B02873" w:rsidP="00DB60C6">
            <w:pPr>
              <w:pStyle w:val="TablebodyleftFinancialsTables"/>
              <w:jc w:val="right"/>
            </w:pPr>
            <w:r>
              <w:t>925,000</w:t>
            </w:r>
          </w:p>
        </w:tc>
      </w:tr>
      <w:tr w:rsidR="00B02873" w:rsidRPr="00B02873" w14:paraId="21A222FF" w14:textId="77777777" w:rsidTr="00DB60C6">
        <w:tc>
          <w:tcPr>
            <w:tcW w:w="5382" w:type="dxa"/>
          </w:tcPr>
          <w:p w14:paraId="2AD3A646" w14:textId="77777777" w:rsidR="00B02873" w:rsidRDefault="00B02873" w:rsidP="00DB60C6">
            <w:pPr>
              <w:pStyle w:val="TablebodyleftFinancialsTables"/>
            </w:pPr>
            <w:r>
              <w:t>Dja Dja Wurrung Clans Aboriginal Corporation</w:t>
            </w:r>
          </w:p>
        </w:tc>
        <w:tc>
          <w:tcPr>
            <w:tcW w:w="1559" w:type="dxa"/>
          </w:tcPr>
          <w:p w14:paraId="149E8D5F" w14:textId="77777777" w:rsidR="00B02873" w:rsidRDefault="00B02873" w:rsidP="00DB60C6">
            <w:pPr>
              <w:pStyle w:val="TablebodyleftFinancialsTables"/>
              <w:jc w:val="right"/>
            </w:pPr>
            <w:r>
              <w:t>665,000</w:t>
            </w:r>
          </w:p>
        </w:tc>
      </w:tr>
      <w:tr w:rsidR="00B02873" w:rsidRPr="00B02873" w14:paraId="4B0BA052" w14:textId="77777777" w:rsidTr="00DB60C6">
        <w:tc>
          <w:tcPr>
            <w:tcW w:w="5382" w:type="dxa"/>
          </w:tcPr>
          <w:p w14:paraId="64254DED" w14:textId="77777777" w:rsidR="00B02873" w:rsidRDefault="00B02873" w:rsidP="00DB60C6">
            <w:pPr>
              <w:pStyle w:val="TablebodyleftFinancialsTables"/>
            </w:pPr>
            <w:r>
              <w:t>University of Melbourne</w:t>
            </w:r>
          </w:p>
        </w:tc>
        <w:tc>
          <w:tcPr>
            <w:tcW w:w="1559" w:type="dxa"/>
          </w:tcPr>
          <w:p w14:paraId="062B6D45" w14:textId="77777777" w:rsidR="00B02873" w:rsidRDefault="00B02873" w:rsidP="00DB60C6">
            <w:pPr>
              <w:pStyle w:val="TablebodyleftFinancialsTables"/>
              <w:jc w:val="right"/>
            </w:pPr>
            <w:r>
              <w:t>655,975</w:t>
            </w:r>
          </w:p>
        </w:tc>
      </w:tr>
      <w:tr w:rsidR="00B02873" w:rsidRPr="00B02873" w14:paraId="26EB8C99" w14:textId="77777777" w:rsidTr="00DB60C6">
        <w:tc>
          <w:tcPr>
            <w:tcW w:w="5382" w:type="dxa"/>
          </w:tcPr>
          <w:p w14:paraId="181242BB" w14:textId="77777777" w:rsidR="00B02873" w:rsidRDefault="00B02873" w:rsidP="00DB60C6">
            <w:pPr>
              <w:pStyle w:val="TablebodyleftFinancialsTables"/>
            </w:pPr>
            <w:r>
              <w:t>Taungurung Land and Waters Council</w:t>
            </w:r>
          </w:p>
        </w:tc>
        <w:tc>
          <w:tcPr>
            <w:tcW w:w="1559" w:type="dxa"/>
          </w:tcPr>
          <w:p w14:paraId="0F96CAB7" w14:textId="77777777" w:rsidR="00B02873" w:rsidRDefault="00B02873" w:rsidP="00DB60C6">
            <w:pPr>
              <w:pStyle w:val="TablebodyleftFinancialsTables"/>
              <w:jc w:val="right"/>
            </w:pPr>
            <w:r>
              <w:t>550,000</w:t>
            </w:r>
          </w:p>
        </w:tc>
      </w:tr>
      <w:tr w:rsidR="00B02873" w:rsidRPr="00B02873" w14:paraId="0391AA2F" w14:textId="77777777" w:rsidTr="00DB60C6">
        <w:tc>
          <w:tcPr>
            <w:tcW w:w="5382" w:type="dxa"/>
          </w:tcPr>
          <w:p w14:paraId="357D9350" w14:textId="77777777" w:rsidR="00B02873" w:rsidRDefault="00B02873" w:rsidP="00DB60C6">
            <w:pPr>
              <w:pStyle w:val="TablebodyleftFinancialsTables"/>
            </w:pPr>
            <w:r>
              <w:t>Yorta Yorta Nation Aboriginal Corporation</w:t>
            </w:r>
          </w:p>
        </w:tc>
        <w:tc>
          <w:tcPr>
            <w:tcW w:w="1559" w:type="dxa"/>
          </w:tcPr>
          <w:p w14:paraId="2D8933B6" w14:textId="77777777" w:rsidR="00B02873" w:rsidRDefault="00B02873" w:rsidP="00DB60C6">
            <w:pPr>
              <w:pStyle w:val="TablebodyleftFinancialsTables"/>
              <w:jc w:val="right"/>
            </w:pPr>
            <w:r>
              <w:t>550,000</w:t>
            </w:r>
          </w:p>
        </w:tc>
      </w:tr>
      <w:tr w:rsidR="00B02873" w:rsidRPr="00B02873" w14:paraId="58355F1A" w14:textId="77777777" w:rsidTr="00DB60C6">
        <w:tc>
          <w:tcPr>
            <w:tcW w:w="5382" w:type="dxa"/>
          </w:tcPr>
          <w:p w14:paraId="063A711E" w14:textId="77777777" w:rsidR="00B02873" w:rsidRDefault="00B02873" w:rsidP="00DB60C6">
            <w:pPr>
              <w:pStyle w:val="TablebodyleftFinancialsTables"/>
            </w:pPr>
            <w:r>
              <w:t>Gunaikurnai Land and Waters Aboriginal Corporation</w:t>
            </w:r>
          </w:p>
        </w:tc>
        <w:tc>
          <w:tcPr>
            <w:tcW w:w="1559" w:type="dxa"/>
          </w:tcPr>
          <w:p w14:paraId="0B124D8A" w14:textId="77777777" w:rsidR="00B02873" w:rsidRDefault="00B02873" w:rsidP="00DB60C6">
            <w:pPr>
              <w:pStyle w:val="TablebodyleftFinancialsTables"/>
              <w:jc w:val="right"/>
            </w:pPr>
            <w:r>
              <w:t>518,000</w:t>
            </w:r>
          </w:p>
        </w:tc>
      </w:tr>
      <w:tr w:rsidR="00B02873" w:rsidRPr="00B02873" w14:paraId="0278ACD1" w14:textId="77777777" w:rsidTr="00DB60C6">
        <w:tc>
          <w:tcPr>
            <w:tcW w:w="5382" w:type="dxa"/>
          </w:tcPr>
          <w:p w14:paraId="128E5C96" w14:textId="77777777" w:rsidR="00B02873" w:rsidRDefault="00B02873" w:rsidP="00DB60C6">
            <w:pPr>
              <w:pStyle w:val="TablebodyleftFinancialsTables"/>
            </w:pPr>
            <w:r>
              <w:t>Environment Protection Authority</w:t>
            </w:r>
          </w:p>
        </w:tc>
        <w:tc>
          <w:tcPr>
            <w:tcW w:w="1559" w:type="dxa"/>
          </w:tcPr>
          <w:p w14:paraId="7A82AECB" w14:textId="77777777" w:rsidR="00B02873" w:rsidRDefault="00B02873" w:rsidP="00DB60C6">
            <w:pPr>
              <w:pStyle w:val="TablebodyleftFinancialsTables"/>
              <w:jc w:val="right"/>
            </w:pPr>
            <w:r>
              <w:t>451,553</w:t>
            </w:r>
          </w:p>
        </w:tc>
      </w:tr>
      <w:tr w:rsidR="00B02873" w:rsidRPr="00B02873" w14:paraId="5E90C1C0" w14:textId="77777777" w:rsidTr="00DB60C6">
        <w:tc>
          <w:tcPr>
            <w:tcW w:w="5382" w:type="dxa"/>
          </w:tcPr>
          <w:p w14:paraId="6A8A8632" w14:textId="77777777" w:rsidR="00B02873" w:rsidRDefault="00B02873" w:rsidP="00DB60C6">
            <w:pPr>
              <w:pStyle w:val="TablebodyleftFinancialsTables"/>
            </w:pPr>
            <w:r>
              <w:t>Gunditj Mirring Traditional Owners Aboriginal Corporation</w:t>
            </w:r>
          </w:p>
        </w:tc>
        <w:tc>
          <w:tcPr>
            <w:tcW w:w="1559" w:type="dxa"/>
          </w:tcPr>
          <w:p w14:paraId="5F4B15D0" w14:textId="77777777" w:rsidR="00B02873" w:rsidRDefault="00B02873" w:rsidP="00DB60C6">
            <w:pPr>
              <w:pStyle w:val="TablebodyleftFinancialsTables"/>
              <w:jc w:val="right"/>
            </w:pPr>
            <w:r>
              <w:t>366,000</w:t>
            </w:r>
          </w:p>
        </w:tc>
      </w:tr>
      <w:tr w:rsidR="00B02873" w:rsidRPr="00B02873" w14:paraId="5FB44DC5" w14:textId="77777777" w:rsidTr="00DB60C6">
        <w:tc>
          <w:tcPr>
            <w:tcW w:w="5382" w:type="dxa"/>
          </w:tcPr>
          <w:p w14:paraId="7265BFE2" w14:textId="77777777" w:rsidR="00B02873" w:rsidRDefault="00B02873" w:rsidP="00DB60C6">
            <w:pPr>
              <w:pStyle w:val="TablebodyleftFinancialsTables"/>
            </w:pPr>
            <w:r>
              <w:t>Eastern Maar Aboriginal Corporation</w:t>
            </w:r>
          </w:p>
        </w:tc>
        <w:tc>
          <w:tcPr>
            <w:tcW w:w="1559" w:type="dxa"/>
          </w:tcPr>
          <w:p w14:paraId="447F38D6" w14:textId="77777777" w:rsidR="00B02873" w:rsidRDefault="00B02873" w:rsidP="00DB60C6">
            <w:pPr>
              <w:pStyle w:val="TablebodyleftFinancialsTables"/>
              <w:jc w:val="right"/>
            </w:pPr>
            <w:r>
              <w:t>359,375</w:t>
            </w:r>
          </w:p>
        </w:tc>
      </w:tr>
      <w:tr w:rsidR="00B02873" w:rsidRPr="00B02873" w14:paraId="79D89115" w14:textId="77777777" w:rsidTr="00DB60C6">
        <w:tc>
          <w:tcPr>
            <w:tcW w:w="5382" w:type="dxa"/>
          </w:tcPr>
          <w:p w14:paraId="23186B37" w14:textId="77777777" w:rsidR="00B02873" w:rsidRDefault="00B02873" w:rsidP="00DB60C6">
            <w:pPr>
              <w:pStyle w:val="TablebodyleftFinancialsTables"/>
            </w:pPr>
            <w:r>
              <w:t>First People of the Millewa-Mallee Aboriginal Corporation</w:t>
            </w:r>
          </w:p>
        </w:tc>
        <w:tc>
          <w:tcPr>
            <w:tcW w:w="1559" w:type="dxa"/>
          </w:tcPr>
          <w:p w14:paraId="7AD5DEFD" w14:textId="77777777" w:rsidR="00B02873" w:rsidRDefault="00B02873" w:rsidP="00DB60C6">
            <w:pPr>
              <w:pStyle w:val="TablebodyleftFinancialsTables"/>
              <w:jc w:val="right"/>
            </w:pPr>
            <w:r>
              <w:t>350,000</w:t>
            </w:r>
          </w:p>
        </w:tc>
      </w:tr>
      <w:tr w:rsidR="00B02873" w:rsidRPr="00B02873" w14:paraId="36C8A6AD" w14:textId="77777777" w:rsidTr="00DB60C6">
        <w:tc>
          <w:tcPr>
            <w:tcW w:w="5382" w:type="dxa"/>
          </w:tcPr>
          <w:p w14:paraId="0442D888" w14:textId="77777777" w:rsidR="00B02873" w:rsidRDefault="00B02873" w:rsidP="00DB60C6">
            <w:pPr>
              <w:pStyle w:val="TablebodyleftFinancialsTables"/>
            </w:pPr>
            <w:r>
              <w:t>Vicforests</w:t>
            </w:r>
          </w:p>
        </w:tc>
        <w:tc>
          <w:tcPr>
            <w:tcW w:w="1559" w:type="dxa"/>
          </w:tcPr>
          <w:p w14:paraId="13797D4D" w14:textId="77777777" w:rsidR="00B02873" w:rsidRDefault="00B02873" w:rsidP="00DB60C6">
            <w:pPr>
              <w:pStyle w:val="TablebodyleftFinancialsTables"/>
              <w:jc w:val="right"/>
            </w:pPr>
            <w:r>
              <w:t>261,819</w:t>
            </w:r>
          </w:p>
        </w:tc>
      </w:tr>
      <w:tr w:rsidR="00B02873" w:rsidRPr="00B02873" w14:paraId="48D04474" w14:textId="77777777" w:rsidTr="00DB60C6">
        <w:tc>
          <w:tcPr>
            <w:tcW w:w="5382" w:type="dxa"/>
          </w:tcPr>
          <w:p w14:paraId="4AAEFB10" w14:textId="77777777" w:rsidR="00B02873" w:rsidRDefault="00B02873" w:rsidP="00DB60C6">
            <w:pPr>
              <w:pStyle w:val="TablebodyleftFinancialsTables"/>
            </w:pPr>
            <w:r>
              <w:t>Tati Tati Kaiejin Ltd</w:t>
            </w:r>
          </w:p>
        </w:tc>
        <w:tc>
          <w:tcPr>
            <w:tcW w:w="1559" w:type="dxa"/>
          </w:tcPr>
          <w:p w14:paraId="35E261D7" w14:textId="77777777" w:rsidR="00B02873" w:rsidRDefault="00B02873" w:rsidP="00DB60C6">
            <w:pPr>
              <w:pStyle w:val="TablebodyleftFinancialsTables"/>
              <w:jc w:val="right"/>
            </w:pPr>
            <w:r>
              <w:t>225,000</w:t>
            </w:r>
          </w:p>
        </w:tc>
      </w:tr>
      <w:tr w:rsidR="00B02873" w:rsidRPr="00B02873" w14:paraId="1BA5FA04" w14:textId="77777777" w:rsidTr="00DB60C6">
        <w:tc>
          <w:tcPr>
            <w:tcW w:w="5382" w:type="dxa"/>
          </w:tcPr>
          <w:p w14:paraId="78DEFDB0" w14:textId="77777777" w:rsidR="00B02873" w:rsidRDefault="00B02873" w:rsidP="00DB60C6">
            <w:pPr>
              <w:pStyle w:val="TablebodyleftFinancialsTables"/>
            </w:pPr>
            <w:r>
              <w:t>Mitchell Shire Council</w:t>
            </w:r>
          </w:p>
        </w:tc>
        <w:tc>
          <w:tcPr>
            <w:tcW w:w="1559" w:type="dxa"/>
          </w:tcPr>
          <w:p w14:paraId="1DB74A31" w14:textId="77777777" w:rsidR="00B02873" w:rsidRDefault="00B02873" w:rsidP="00DB60C6">
            <w:pPr>
              <w:pStyle w:val="TablebodyleftFinancialsTables"/>
              <w:jc w:val="right"/>
            </w:pPr>
            <w:r>
              <w:t>225,000</w:t>
            </w:r>
          </w:p>
        </w:tc>
      </w:tr>
      <w:tr w:rsidR="00B02873" w:rsidRPr="00B02873" w14:paraId="17FC9876" w14:textId="77777777" w:rsidTr="00DB60C6">
        <w:tc>
          <w:tcPr>
            <w:tcW w:w="5382" w:type="dxa"/>
          </w:tcPr>
          <w:p w14:paraId="4975387B" w14:textId="77777777" w:rsidR="00B02873" w:rsidRDefault="00B02873" w:rsidP="00DB60C6">
            <w:pPr>
              <w:pStyle w:val="TablebodyleftFinancialsTables"/>
            </w:pPr>
            <w:r>
              <w:t>Bureau of Meteorology</w:t>
            </w:r>
          </w:p>
        </w:tc>
        <w:tc>
          <w:tcPr>
            <w:tcW w:w="1559" w:type="dxa"/>
          </w:tcPr>
          <w:p w14:paraId="31049609" w14:textId="77777777" w:rsidR="00B02873" w:rsidRDefault="00B02873" w:rsidP="00DB60C6">
            <w:pPr>
              <w:pStyle w:val="TablebodyleftFinancialsTables"/>
              <w:jc w:val="right"/>
            </w:pPr>
            <w:r>
              <w:t>195,021</w:t>
            </w:r>
          </w:p>
        </w:tc>
      </w:tr>
      <w:tr w:rsidR="00B02873" w:rsidRPr="00B02873" w14:paraId="457B7E70" w14:textId="77777777" w:rsidTr="00DB60C6">
        <w:tc>
          <w:tcPr>
            <w:tcW w:w="5382" w:type="dxa"/>
          </w:tcPr>
          <w:p w14:paraId="50719B64" w14:textId="77777777" w:rsidR="00B02873" w:rsidRDefault="00B02873" w:rsidP="00DB60C6">
            <w:pPr>
              <w:pStyle w:val="TablebodyleftFinancialsTables"/>
            </w:pPr>
            <w:r>
              <w:t>Nillumbik Shire Council</w:t>
            </w:r>
          </w:p>
        </w:tc>
        <w:tc>
          <w:tcPr>
            <w:tcW w:w="1559" w:type="dxa"/>
          </w:tcPr>
          <w:p w14:paraId="316331D5" w14:textId="77777777" w:rsidR="00B02873" w:rsidRDefault="00B02873" w:rsidP="00DB60C6">
            <w:pPr>
              <w:pStyle w:val="TablebodyleftFinancialsTables"/>
              <w:jc w:val="right"/>
            </w:pPr>
            <w:r>
              <w:t>150,000</w:t>
            </w:r>
          </w:p>
        </w:tc>
      </w:tr>
      <w:tr w:rsidR="00B02873" w:rsidRPr="00B02873" w14:paraId="79482129" w14:textId="77777777" w:rsidTr="00DB60C6">
        <w:tc>
          <w:tcPr>
            <w:tcW w:w="5382" w:type="dxa"/>
          </w:tcPr>
          <w:p w14:paraId="2DAE6229" w14:textId="77777777" w:rsidR="00B02873" w:rsidRDefault="00B02873" w:rsidP="00DB60C6">
            <w:pPr>
              <w:pStyle w:val="TablebodyleftFinancialsTables"/>
            </w:pPr>
            <w:r>
              <w:t>Towong Shire Council</w:t>
            </w:r>
          </w:p>
        </w:tc>
        <w:tc>
          <w:tcPr>
            <w:tcW w:w="1559" w:type="dxa"/>
          </w:tcPr>
          <w:p w14:paraId="15F87FB6" w14:textId="77777777" w:rsidR="00B02873" w:rsidRDefault="00B02873" w:rsidP="00DB60C6">
            <w:pPr>
              <w:pStyle w:val="TablebodyleftFinancialsTables"/>
              <w:jc w:val="right"/>
            </w:pPr>
            <w:r>
              <w:t>150,000</w:t>
            </w:r>
          </w:p>
        </w:tc>
      </w:tr>
      <w:tr w:rsidR="00B02873" w:rsidRPr="00B02873" w14:paraId="056686D0" w14:textId="77777777" w:rsidTr="00DB60C6">
        <w:tc>
          <w:tcPr>
            <w:tcW w:w="5382" w:type="dxa"/>
          </w:tcPr>
          <w:p w14:paraId="5F2D1D00" w14:textId="77777777" w:rsidR="00B02873" w:rsidRDefault="00B02873" w:rsidP="00DB60C6">
            <w:pPr>
              <w:pStyle w:val="TablebodyleftFinancialsTables"/>
            </w:pPr>
            <w:r>
              <w:t>Federation of Victorian Traditional Owner Corporations</w:t>
            </w:r>
          </w:p>
        </w:tc>
        <w:tc>
          <w:tcPr>
            <w:tcW w:w="1559" w:type="dxa"/>
          </w:tcPr>
          <w:p w14:paraId="60BE739F" w14:textId="77777777" w:rsidR="00B02873" w:rsidRDefault="00B02873" w:rsidP="00DB60C6">
            <w:pPr>
              <w:pStyle w:val="TablebodyleftFinancialsTables"/>
              <w:jc w:val="right"/>
            </w:pPr>
            <w:r>
              <w:t>150,000</w:t>
            </w:r>
          </w:p>
        </w:tc>
      </w:tr>
      <w:tr w:rsidR="00B02873" w:rsidRPr="00B02873" w14:paraId="70A3F3E1" w14:textId="77777777" w:rsidTr="00DB60C6">
        <w:tc>
          <w:tcPr>
            <w:tcW w:w="5382" w:type="dxa"/>
          </w:tcPr>
          <w:p w14:paraId="494E8A31" w14:textId="77777777" w:rsidR="00B02873" w:rsidRDefault="00B02873" w:rsidP="00DB60C6">
            <w:pPr>
              <w:pStyle w:val="TablebodyleftFinancialsTables"/>
            </w:pPr>
            <w:r>
              <w:t>Bunurong Land Council Aboriginal Corporation</w:t>
            </w:r>
          </w:p>
        </w:tc>
        <w:tc>
          <w:tcPr>
            <w:tcW w:w="1559" w:type="dxa"/>
          </w:tcPr>
          <w:p w14:paraId="65184F38" w14:textId="77777777" w:rsidR="00B02873" w:rsidRDefault="00B02873" w:rsidP="00DB60C6">
            <w:pPr>
              <w:pStyle w:val="TablebodyleftFinancialsTables"/>
              <w:jc w:val="right"/>
            </w:pPr>
            <w:r>
              <w:t>150,000</w:t>
            </w:r>
          </w:p>
        </w:tc>
      </w:tr>
      <w:tr w:rsidR="00B02873" w:rsidRPr="00B02873" w14:paraId="124BB090" w14:textId="77777777" w:rsidTr="00DB60C6">
        <w:tc>
          <w:tcPr>
            <w:tcW w:w="5382" w:type="dxa"/>
          </w:tcPr>
          <w:p w14:paraId="5CCFE517" w14:textId="77777777" w:rsidR="00B02873" w:rsidRDefault="00B02873" w:rsidP="00DB60C6">
            <w:pPr>
              <w:pStyle w:val="TablebodyleftFinancialsTables"/>
            </w:pPr>
            <w:r>
              <w:t>City of Greater Bendigo</w:t>
            </w:r>
          </w:p>
        </w:tc>
        <w:tc>
          <w:tcPr>
            <w:tcW w:w="1559" w:type="dxa"/>
          </w:tcPr>
          <w:p w14:paraId="2E9481FE" w14:textId="77777777" w:rsidR="00B02873" w:rsidRDefault="00B02873" w:rsidP="00DB60C6">
            <w:pPr>
              <w:pStyle w:val="TablebodyleftFinancialsTables"/>
              <w:jc w:val="right"/>
            </w:pPr>
            <w:r>
              <w:t>150,000</w:t>
            </w:r>
          </w:p>
        </w:tc>
      </w:tr>
      <w:tr w:rsidR="00B02873" w:rsidRPr="00B02873" w14:paraId="7D637A21" w14:textId="77777777" w:rsidTr="00DB60C6">
        <w:tc>
          <w:tcPr>
            <w:tcW w:w="5382" w:type="dxa"/>
          </w:tcPr>
          <w:p w14:paraId="7CC13C21" w14:textId="77777777" w:rsidR="00B02873" w:rsidRDefault="00B02873" w:rsidP="00DB60C6">
            <w:pPr>
              <w:pStyle w:val="TablebodyleftFinancialsTables"/>
            </w:pPr>
            <w:r>
              <w:t>Golden Plains Shire Council</w:t>
            </w:r>
          </w:p>
        </w:tc>
        <w:tc>
          <w:tcPr>
            <w:tcW w:w="1559" w:type="dxa"/>
          </w:tcPr>
          <w:p w14:paraId="1C2CCA8E" w14:textId="77777777" w:rsidR="00B02873" w:rsidRDefault="00B02873" w:rsidP="00DB60C6">
            <w:pPr>
              <w:pStyle w:val="TablebodyleftFinancialsTables"/>
              <w:jc w:val="right"/>
            </w:pPr>
            <w:r>
              <w:t>132,000</w:t>
            </w:r>
          </w:p>
        </w:tc>
      </w:tr>
      <w:tr w:rsidR="00B02873" w:rsidRPr="00B02873" w14:paraId="5DB1DB67" w14:textId="77777777" w:rsidTr="00DB60C6">
        <w:tc>
          <w:tcPr>
            <w:tcW w:w="5382" w:type="dxa"/>
          </w:tcPr>
          <w:p w14:paraId="6C514E4E" w14:textId="77777777" w:rsidR="00B02873" w:rsidRDefault="00B02873" w:rsidP="00DB60C6">
            <w:pPr>
              <w:pStyle w:val="TablebodyleftFinancialsTables"/>
            </w:pPr>
            <w:r>
              <w:t>Wangaratta Rural City Council</w:t>
            </w:r>
          </w:p>
        </w:tc>
        <w:tc>
          <w:tcPr>
            <w:tcW w:w="1559" w:type="dxa"/>
          </w:tcPr>
          <w:p w14:paraId="0635EC2B" w14:textId="77777777" w:rsidR="00B02873" w:rsidRDefault="00B02873" w:rsidP="00DB60C6">
            <w:pPr>
              <w:pStyle w:val="TablebodyleftFinancialsTables"/>
              <w:jc w:val="right"/>
            </w:pPr>
            <w:r>
              <w:t>130,000</w:t>
            </w:r>
          </w:p>
        </w:tc>
      </w:tr>
      <w:tr w:rsidR="00B02873" w:rsidRPr="00B02873" w14:paraId="5B7559AD" w14:textId="77777777" w:rsidTr="00DB60C6">
        <w:tc>
          <w:tcPr>
            <w:tcW w:w="5382" w:type="dxa"/>
          </w:tcPr>
          <w:p w14:paraId="0B3AD796" w14:textId="77777777" w:rsidR="00B02873" w:rsidRDefault="00B02873" w:rsidP="00DB60C6">
            <w:pPr>
              <w:pStyle w:val="TablebodyleftFinancialsTables"/>
            </w:pPr>
            <w:r>
              <w:t>Wellington Shire Council</w:t>
            </w:r>
          </w:p>
        </w:tc>
        <w:tc>
          <w:tcPr>
            <w:tcW w:w="1559" w:type="dxa"/>
          </w:tcPr>
          <w:p w14:paraId="6B6D4ECF" w14:textId="77777777" w:rsidR="00B02873" w:rsidRDefault="00B02873" w:rsidP="00DB60C6">
            <w:pPr>
              <w:pStyle w:val="TablebodyleftFinancialsTables"/>
              <w:jc w:val="right"/>
            </w:pPr>
            <w:r>
              <w:t>125,000</w:t>
            </w:r>
          </w:p>
        </w:tc>
      </w:tr>
      <w:tr w:rsidR="00B02873" w:rsidRPr="00B02873" w14:paraId="2CEA47F3" w14:textId="77777777" w:rsidTr="00DB60C6">
        <w:tc>
          <w:tcPr>
            <w:tcW w:w="5382" w:type="dxa"/>
          </w:tcPr>
          <w:p w14:paraId="3FFE3311" w14:textId="77777777" w:rsidR="00B02873" w:rsidRDefault="00B02873" w:rsidP="00DB60C6">
            <w:pPr>
              <w:pStyle w:val="TablebodyleftFinancialsTables"/>
            </w:pPr>
            <w:r>
              <w:t>Department of Transport (Victoria)</w:t>
            </w:r>
          </w:p>
        </w:tc>
        <w:tc>
          <w:tcPr>
            <w:tcW w:w="1559" w:type="dxa"/>
          </w:tcPr>
          <w:p w14:paraId="15F9D843" w14:textId="77777777" w:rsidR="00B02873" w:rsidRDefault="00B02873" w:rsidP="00DB60C6">
            <w:pPr>
              <w:pStyle w:val="TablebodyleftFinancialsTables"/>
              <w:jc w:val="right"/>
            </w:pPr>
            <w:r>
              <w:t>100,000</w:t>
            </w:r>
          </w:p>
        </w:tc>
      </w:tr>
      <w:tr w:rsidR="00B02873" w:rsidRPr="00B02873" w14:paraId="763261C0" w14:textId="77777777" w:rsidTr="00DB60C6">
        <w:tc>
          <w:tcPr>
            <w:tcW w:w="5382" w:type="dxa"/>
          </w:tcPr>
          <w:p w14:paraId="32D7054D" w14:textId="77777777" w:rsidR="00B02873" w:rsidRDefault="00B02873" w:rsidP="00DB60C6">
            <w:pPr>
              <w:pStyle w:val="TablebodyleftFinancialsTables"/>
            </w:pPr>
            <w:r>
              <w:t>Lions Clubs International District 201 V3</w:t>
            </w:r>
          </w:p>
        </w:tc>
        <w:tc>
          <w:tcPr>
            <w:tcW w:w="1559" w:type="dxa"/>
          </w:tcPr>
          <w:p w14:paraId="7DF33482" w14:textId="77777777" w:rsidR="00B02873" w:rsidRDefault="00B02873" w:rsidP="00DB60C6">
            <w:pPr>
              <w:pStyle w:val="TablebodyleftFinancialsTables"/>
              <w:jc w:val="right"/>
            </w:pPr>
            <w:r>
              <w:t>100,000</w:t>
            </w:r>
          </w:p>
        </w:tc>
      </w:tr>
      <w:tr w:rsidR="00B02873" w:rsidRPr="00B02873" w14:paraId="122E72B1" w14:textId="77777777" w:rsidTr="00DB60C6">
        <w:tc>
          <w:tcPr>
            <w:tcW w:w="5382" w:type="dxa"/>
          </w:tcPr>
          <w:p w14:paraId="05DCECC7" w14:textId="77777777" w:rsidR="00B02873" w:rsidRDefault="00B02873" w:rsidP="00DB60C6">
            <w:pPr>
              <w:pStyle w:val="TablebodyleftFinancialsTables"/>
            </w:pPr>
            <w:r>
              <w:t>Southern Grampians Shire Council</w:t>
            </w:r>
          </w:p>
        </w:tc>
        <w:tc>
          <w:tcPr>
            <w:tcW w:w="1559" w:type="dxa"/>
          </w:tcPr>
          <w:p w14:paraId="077442AC" w14:textId="77777777" w:rsidR="00B02873" w:rsidRDefault="00B02873" w:rsidP="00DB60C6">
            <w:pPr>
              <w:pStyle w:val="TablebodyleftFinancialsTables"/>
              <w:jc w:val="right"/>
            </w:pPr>
            <w:r>
              <w:t>80,000</w:t>
            </w:r>
          </w:p>
        </w:tc>
      </w:tr>
      <w:tr w:rsidR="00B02873" w:rsidRPr="00B02873" w14:paraId="5F5E5BF5" w14:textId="77777777" w:rsidTr="00DB60C6">
        <w:tc>
          <w:tcPr>
            <w:tcW w:w="5382" w:type="dxa"/>
          </w:tcPr>
          <w:p w14:paraId="1AF2983D" w14:textId="77777777" w:rsidR="00B02873" w:rsidRDefault="00B02873" w:rsidP="00DB60C6">
            <w:pPr>
              <w:pStyle w:val="TablebodyleftFinancialsTables"/>
            </w:pPr>
            <w:r>
              <w:t>Northern Grampians Shire Council</w:t>
            </w:r>
          </w:p>
        </w:tc>
        <w:tc>
          <w:tcPr>
            <w:tcW w:w="1559" w:type="dxa"/>
          </w:tcPr>
          <w:p w14:paraId="67C72EE1" w14:textId="77777777" w:rsidR="00B02873" w:rsidRDefault="00B02873" w:rsidP="00DB60C6">
            <w:pPr>
              <w:pStyle w:val="TablebodyleftFinancialsTables"/>
              <w:jc w:val="right"/>
            </w:pPr>
            <w:r>
              <w:t>77,200</w:t>
            </w:r>
          </w:p>
        </w:tc>
      </w:tr>
      <w:tr w:rsidR="00B02873" w:rsidRPr="00B02873" w14:paraId="4B0178A5" w14:textId="77777777" w:rsidTr="00DB60C6">
        <w:tc>
          <w:tcPr>
            <w:tcW w:w="5382" w:type="dxa"/>
          </w:tcPr>
          <w:p w14:paraId="41FAA743" w14:textId="77777777" w:rsidR="00B02873" w:rsidRDefault="00B02873" w:rsidP="00DB60C6">
            <w:pPr>
              <w:pStyle w:val="TablebodyleftFinancialsTables"/>
            </w:pPr>
            <w:r>
              <w:t>Recipients under the Fencing Repair and Replacement Program</w:t>
            </w:r>
          </w:p>
        </w:tc>
        <w:tc>
          <w:tcPr>
            <w:tcW w:w="1559" w:type="dxa"/>
          </w:tcPr>
          <w:p w14:paraId="47EF8656" w14:textId="77777777" w:rsidR="00B02873" w:rsidRDefault="00B02873" w:rsidP="00DB60C6">
            <w:pPr>
              <w:pStyle w:val="TablebodyleftFinancialsTables"/>
              <w:jc w:val="right"/>
            </w:pPr>
            <w:r>
              <w:t>38,620</w:t>
            </w:r>
          </w:p>
        </w:tc>
      </w:tr>
      <w:tr w:rsidR="00B02873" w:rsidRPr="00B02873" w14:paraId="7C206FB5" w14:textId="77777777" w:rsidTr="00DB60C6">
        <w:tc>
          <w:tcPr>
            <w:tcW w:w="5382" w:type="dxa"/>
          </w:tcPr>
          <w:p w14:paraId="127E1EE5" w14:textId="77777777" w:rsidR="00B02873" w:rsidRDefault="00B02873" w:rsidP="00DB60C6">
            <w:pPr>
              <w:pStyle w:val="TablebodyleftFinancialsTables"/>
            </w:pPr>
            <w:r>
              <w:t>Bullumwaal Mechanics Hall Reserve Committee of Management</w:t>
            </w:r>
          </w:p>
        </w:tc>
        <w:tc>
          <w:tcPr>
            <w:tcW w:w="1559" w:type="dxa"/>
          </w:tcPr>
          <w:p w14:paraId="0B73FF93" w14:textId="77777777" w:rsidR="00B02873" w:rsidRDefault="00B02873" w:rsidP="00DB60C6">
            <w:pPr>
              <w:pStyle w:val="TablebodyleftFinancialsTables"/>
              <w:jc w:val="right"/>
            </w:pPr>
            <w:r>
              <w:t>30,000</w:t>
            </w:r>
          </w:p>
        </w:tc>
      </w:tr>
      <w:tr w:rsidR="00B02873" w:rsidRPr="00B02873" w14:paraId="098C6942" w14:textId="77777777" w:rsidTr="00DB60C6">
        <w:tc>
          <w:tcPr>
            <w:tcW w:w="5382" w:type="dxa"/>
          </w:tcPr>
          <w:p w14:paraId="036A73A2" w14:textId="77777777" w:rsidR="00B02873" w:rsidRDefault="00B02873" w:rsidP="00DB60C6">
            <w:pPr>
              <w:pStyle w:val="TablebodyleftFinancialsTables"/>
            </w:pPr>
            <w:r>
              <w:t>Cardinia Shire Council</w:t>
            </w:r>
          </w:p>
        </w:tc>
        <w:tc>
          <w:tcPr>
            <w:tcW w:w="1559" w:type="dxa"/>
          </w:tcPr>
          <w:p w14:paraId="25E2D184" w14:textId="77777777" w:rsidR="00B02873" w:rsidRDefault="00B02873" w:rsidP="00DB60C6">
            <w:pPr>
              <w:pStyle w:val="TablebodyleftFinancialsTables"/>
              <w:jc w:val="right"/>
            </w:pPr>
            <w:r>
              <w:t>13,750</w:t>
            </w:r>
          </w:p>
        </w:tc>
      </w:tr>
      <w:tr w:rsidR="00B02873" w:rsidRPr="00B02873" w14:paraId="1672A7FB" w14:textId="77777777" w:rsidTr="00DB60C6">
        <w:tc>
          <w:tcPr>
            <w:tcW w:w="5382" w:type="dxa"/>
          </w:tcPr>
          <w:p w14:paraId="6AAEB435" w14:textId="77777777" w:rsidR="00B02873" w:rsidRDefault="00B02873" w:rsidP="00DB60C6">
            <w:pPr>
              <w:pStyle w:val="TablebodyleftFinancialsTables"/>
            </w:pPr>
            <w:r>
              <w:t>Deakin University</w:t>
            </w:r>
          </w:p>
        </w:tc>
        <w:tc>
          <w:tcPr>
            <w:tcW w:w="1559" w:type="dxa"/>
          </w:tcPr>
          <w:p w14:paraId="4B444E0A" w14:textId="77777777" w:rsidR="00B02873" w:rsidRDefault="00B02873" w:rsidP="00DB60C6">
            <w:pPr>
              <w:pStyle w:val="TablebodyleftFinancialsTables"/>
              <w:jc w:val="right"/>
            </w:pPr>
            <w:r>
              <w:t>5,000</w:t>
            </w:r>
          </w:p>
        </w:tc>
      </w:tr>
      <w:tr w:rsidR="00B02873" w:rsidRPr="00DB60C6" w14:paraId="626CDCAF" w14:textId="77777777" w:rsidTr="00DB60C6">
        <w:tc>
          <w:tcPr>
            <w:tcW w:w="5382" w:type="dxa"/>
          </w:tcPr>
          <w:p w14:paraId="47A31390" w14:textId="77777777" w:rsidR="00B02873" w:rsidRPr="00DB60C6" w:rsidRDefault="00B02873" w:rsidP="00DB60C6">
            <w:pPr>
              <w:pStyle w:val="TablebodyleftFinancialsTables"/>
              <w:rPr>
                <w:b/>
                <w:bCs/>
              </w:rPr>
            </w:pPr>
            <w:r w:rsidRPr="00DB60C6">
              <w:rPr>
                <w:b/>
                <w:bCs/>
              </w:rPr>
              <w:t>Total</w:t>
            </w:r>
          </w:p>
        </w:tc>
        <w:tc>
          <w:tcPr>
            <w:tcW w:w="1559" w:type="dxa"/>
          </w:tcPr>
          <w:p w14:paraId="56324ACF" w14:textId="77777777" w:rsidR="00B02873" w:rsidRPr="00DB60C6" w:rsidRDefault="00B02873" w:rsidP="00DB60C6">
            <w:pPr>
              <w:pStyle w:val="TablebodyleftFinancialsTables"/>
              <w:jc w:val="right"/>
              <w:rPr>
                <w:b/>
                <w:bCs/>
              </w:rPr>
            </w:pPr>
            <w:r w:rsidRPr="00DB60C6">
              <w:rPr>
                <w:b/>
                <w:bCs/>
              </w:rPr>
              <w:t xml:space="preserve">57,813,642 </w:t>
            </w:r>
          </w:p>
        </w:tc>
      </w:tr>
    </w:tbl>
    <w:p w14:paraId="0D5A6B9F" w14:textId="77777777" w:rsidR="00B02873" w:rsidRDefault="00B02873" w:rsidP="00DB60C6">
      <w:pPr>
        <w:pStyle w:val="Heading2"/>
      </w:pPr>
      <w:bookmarkStart w:id="89" w:name="_Toc117447372"/>
      <w:r>
        <w:lastRenderedPageBreak/>
        <w:t>Appendix 7: Environmental contributions</w:t>
      </w:r>
      <w:bookmarkEnd w:id="89"/>
      <w:r>
        <w:t xml:space="preserve"> </w:t>
      </w:r>
    </w:p>
    <w:p w14:paraId="60DF5D05" w14:textId="77777777" w:rsidR="00B02873" w:rsidRPr="00ED3D53" w:rsidRDefault="00B02873" w:rsidP="00FE198A">
      <w:pPr>
        <w:rPr>
          <w:rFonts w:asciiTheme="minorHAnsi" w:hAnsiTheme="minorHAnsi" w:cstheme="minorHAnsi"/>
        </w:rPr>
      </w:pPr>
      <w:r w:rsidRPr="00ED3D53">
        <w:rPr>
          <w:rFonts w:asciiTheme="minorHAnsi" w:hAnsiTheme="minorHAnsi" w:cstheme="minorHAnsi"/>
          <w:spacing w:val="-2"/>
        </w:rPr>
        <w:t xml:space="preserve">Legislation was passed in 2004 requiring water corporations to make an environmental contribution to fund initiatives that promote the sustainable management of water or address adverse water-related environmental impacts, equivalent to five per cent of urban authorities’ revenues and two per cent of rural water authorities’ revenues. Section 195 of the </w:t>
      </w:r>
      <w:r w:rsidRPr="00ED3D53">
        <w:rPr>
          <w:rStyle w:val="LightItalic"/>
          <w:rFonts w:asciiTheme="minorHAnsi" w:hAnsiTheme="minorHAnsi" w:cstheme="minorHAnsi"/>
          <w:spacing w:val="-2"/>
        </w:rPr>
        <w:t>Water Industry Act 1994</w:t>
      </w:r>
      <w:r w:rsidRPr="00ED3D53">
        <w:rPr>
          <w:rFonts w:asciiTheme="minorHAnsi" w:hAnsiTheme="minorHAnsi" w:cstheme="minorHAnsi"/>
          <w:spacing w:val="-2"/>
        </w:rPr>
        <w:t xml:space="preserve"> requires DELWP to report on the details of expenditure funded by environmental contributions in its annual report</w:t>
      </w:r>
      <w:r w:rsidRPr="00ED3D53">
        <w:rPr>
          <w:rFonts w:asciiTheme="minorHAnsi" w:hAnsiTheme="minorHAnsi" w:cstheme="minorHAnsi"/>
          <w:spacing w:val="-1"/>
        </w:rPr>
        <w:t>.</w:t>
      </w:r>
    </w:p>
    <w:p w14:paraId="740073BC" w14:textId="77777777" w:rsidR="00B02873" w:rsidRDefault="00B02873" w:rsidP="00ED3D53">
      <w:pPr>
        <w:pStyle w:val="Heading3"/>
      </w:pPr>
      <w:r>
        <w:t>Environmental Contribution Tranche 5</w:t>
      </w:r>
    </w:p>
    <w:p w14:paraId="5064FB37" w14:textId="4AD23DDC" w:rsidR="00B02873" w:rsidRPr="00ED3D53" w:rsidRDefault="00B02873" w:rsidP="00FE198A">
      <w:pPr>
        <w:rPr>
          <w:rFonts w:asciiTheme="minorHAnsi" w:hAnsiTheme="minorHAnsi" w:cstheme="minorHAnsi"/>
        </w:rPr>
      </w:pPr>
      <w:r w:rsidRPr="00ED3D53">
        <w:rPr>
          <w:rFonts w:asciiTheme="minorHAnsi" w:hAnsiTheme="minorHAnsi" w:cstheme="minorHAnsi"/>
          <w:spacing w:val="-2"/>
        </w:rPr>
        <w:t xml:space="preserve">In 2020, the Victorian Government committed to a fifth tranche of the environmental contribution (EC5). The fifth tranche, which commenced on 1 July 2020, is expected to raise $693.9 million over four years to fund delivery of the government’s long-term water plan, </w:t>
      </w:r>
      <w:r w:rsidRPr="00ED3D53">
        <w:rPr>
          <w:rStyle w:val="LightItalic"/>
          <w:rFonts w:asciiTheme="minorHAnsi" w:hAnsiTheme="minorHAnsi" w:cstheme="minorHAnsi"/>
          <w:spacing w:val="-2"/>
        </w:rPr>
        <w:t>Water for Victoria</w:t>
      </w:r>
      <w:r w:rsidRPr="00ED3D53">
        <w:rPr>
          <w:rFonts w:asciiTheme="minorHAnsi" w:hAnsiTheme="minorHAnsi" w:cstheme="minorHAnsi"/>
          <w:spacing w:val="-2"/>
        </w:rPr>
        <w:t xml:space="preserve">. </w:t>
      </w:r>
    </w:p>
    <w:p w14:paraId="4D065A00" w14:textId="7434869E" w:rsidR="00B02873" w:rsidRDefault="00B02873" w:rsidP="00FE198A">
      <w:r>
        <w:t>The table below displays all project expenditure funded by the fifth tranche of the environmental contribution in 2021-22. Total EC5 expenditure as at 30 June 2022 was $309.7 million, leaving $383.5 million left to invest during the remaining two years of the tranche.</w:t>
      </w:r>
      <w:r w:rsidR="00012C04">
        <w:t xml:space="preserve"> </w:t>
      </w:r>
      <w:r>
        <w:t>The annual expenditure of these projects will continue to be reported until their completion.</w:t>
      </w:r>
    </w:p>
    <w:tbl>
      <w:tblPr>
        <w:tblStyle w:val="TableGrid"/>
        <w:tblW w:w="0" w:type="auto"/>
        <w:tblLayout w:type="fixed"/>
        <w:tblLook w:val="0020" w:firstRow="1" w:lastRow="0" w:firstColumn="0" w:lastColumn="0" w:noHBand="0" w:noVBand="0"/>
      </w:tblPr>
      <w:tblGrid>
        <w:gridCol w:w="8277"/>
        <w:gridCol w:w="1361"/>
      </w:tblGrid>
      <w:tr w:rsidR="00B02873" w:rsidRPr="00B02873" w14:paraId="4206E19C" w14:textId="77777777" w:rsidTr="00ED3D53">
        <w:trPr>
          <w:cnfStyle w:val="100000000000" w:firstRow="1" w:lastRow="0" w:firstColumn="0" w:lastColumn="0" w:oddVBand="0" w:evenVBand="0" w:oddHBand="0" w:evenHBand="0" w:firstRowFirstColumn="0" w:firstRowLastColumn="0" w:lastRowFirstColumn="0" w:lastRowLastColumn="0"/>
          <w:tblHeader/>
        </w:trPr>
        <w:tc>
          <w:tcPr>
            <w:tcW w:w="8277" w:type="dxa"/>
          </w:tcPr>
          <w:p w14:paraId="07B796DB" w14:textId="77777777" w:rsidR="00B02873" w:rsidRDefault="00B02873" w:rsidP="00ED3D53">
            <w:pPr>
              <w:pStyle w:val="TableheadingleftFinancialsTables"/>
            </w:pPr>
            <w:r>
              <w:t>Program Title (EC5)</w:t>
            </w:r>
          </w:p>
        </w:tc>
        <w:tc>
          <w:tcPr>
            <w:tcW w:w="1361" w:type="dxa"/>
          </w:tcPr>
          <w:p w14:paraId="292315C5" w14:textId="77777777" w:rsidR="00B02873" w:rsidRDefault="00B02873" w:rsidP="00ED3D53">
            <w:pPr>
              <w:pStyle w:val="TableheadingleftFinancialsTables"/>
              <w:jc w:val="right"/>
            </w:pPr>
            <w:r>
              <w:t>2021-22 Expenditure $’000</w:t>
            </w:r>
          </w:p>
        </w:tc>
      </w:tr>
      <w:tr w:rsidR="00B02873" w:rsidRPr="00ED3D53" w14:paraId="02D4BA4C" w14:textId="77777777" w:rsidTr="00ED3D53">
        <w:tc>
          <w:tcPr>
            <w:tcW w:w="8277" w:type="dxa"/>
          </w:tcPr>
          <w:p w14:paraId="1D09FC9C" w14:textId="77777777" w:rsidR="00B02873" w:rsidRPr="00ED3D53" w:rsidRDefault="00B02873" w:rsidP="00ED3D53">
            <w:pPr>
              <w:pStyle w:val="TablebodyleftFinancialsTables"/>
              <w:rPr>
                <w:b/>
                <w:bCs/>
              </w:rPr>
            </w:pPr>
            <w:r w:rsidRPr="00ED3D53">
              <w:rPr>
                <w:b/>
                <w:bCs/>
              </w:rPr>
              <w:t>Output</w:t>
            </w:r>
          </w:p>
        </w:tc>
        <w:tc>
          <w:tcPr>
            <w:tcW w:w="1361" w:type="dxa"/>
          </w:tcPr>
          <w:p w14:paraId="232CA578" w14:textId="1E1D51B6" w:rsidR="00B02873" w:rsidRPr="00ED3D53" w:rsidRDefault="00B02873" w:rsidP="00ED3D53">
            <w:pPr>
              <w:pStyle w:val="TablebodyleftFinancialsTables"/>
              <w:jc w:val="right"/>
              <w:rPr>
                <w:b/>
                <w:bCs/>
              </w:rPr>
            </w:pPr>
          </w:p>
        </w:tc>
      </w:tr>
      <w:tr w:rsidR="00B02873" w:rsidRPr="00B02873" w14:paraId="4A8E29EC" w14:textId="77777777" w:rsidTr="00ED3D53">
        <w:tc>
          <w:tcPr>
            <w:tcW w:w="8277" w:type="dxa"/>
          </w:tcPr>
          <w:p w14:paraId="35FBB6F3" w14:textId="77777777" w:rsidR="00B02873" w:rsidRDefault="00B02873" w:rsidP="00ED3D53">
            <w:pPr>
              <w:pStyle w:val="TablebodyleftFinancialsTables"/>
            </w:pPr>
            <w:r>
              <w:t xml:space="preserve">Water wise rural communities </w:t>
            </w:r>
          </w:p>
        </w:tc>
        <w:tc>
          <w:tcPr>
            <w:tcW w:w="1361" w:type="dxa"/>
          </w:tcPr>
          <w:p w14:paraId="14A64ABE" w14:textId="17D348CE" w:rsidR="00B02873" w:rsidRDefault="00B02873" w:rsidP="00ED3D53">
            <w:pPr>
              <w:pStyle w:val="TablebodyleftFinancialsTables"/>
              <w:jc w:val="right"/>
            </w:pPr>
            <w:r>
              <w:t>16,883</w:t>
            </w:r>
          </w:p>
        </w:tc>
      </w:tr>
      <w:tr w:rsidR="00B02873" w:rsidRPr="00B02873" w14:paraId="70E22E4F" w14:textId="77777777" w:rsidTr="00ED3D53">
        <w:tc>
          <w:tcPr>
            <w:tcW w:w="8277" w:type="dxa"/>
          </w:tcPr>
          <w:p w14:paraId="4AEB26D7" w14:textId="77777777" w:rsidR="00B02873" w:rsidRDefault="00B02873" w:rsidP="00ED3D53">
            <w:pPr>
              <w:pStyle w:val="TablebodyleftFinancialsTables"/>
            </w:pPr>
            <w:r>
              <w:t>Building flood resilience in Victoria</w:t>
            </w:r>
          </w:p>
        </w:tc>
        <w:tc>
          <w:tcPr>
            <w:tcW w:w="1361" w:type="dxa"/>
          </w:tcPr>
          <w:p w14:paraId="3A3DD35B" w14:textId="43ABC129" w:rsidR="00B02873" w:rsidRDefault="00B02873" w:rsidP="00ED3D53">
            <w:pPr>
              <w:pStyle w:val="TablebodyleftFinancialsTables"/>
              <w:jc w:val="right"/>
            </w:pPr>
            <w:r>
              <w:t>6,662</w:t>
            </w:r>
          </w:p>
        </w:tc>
      </w:tr>
      <w:tr w:rsidR="00B02873" w:rsidRPr="00B02873" w14:paraId="5FA80B25" w14:textId="77777777" w:rsidTr="00ED3D53">
        <w:tc>
          <w:tcPr>
            <w:tcW w:w="8277" w:type="dxa"/>
          </w:tcPr>
          <w:p w14:paraId="30178E40" w14:textId="77777777" w:rsidR="00B02873" w:rsidRDefault="00B02873" w:rsidP="00ED3D53">
            <w:pPr>
              <w:pStyle w:val="TablebodyleftFinancialsTables"/>
            </w:pPr>
            <w:r>
              <w:t>Building a sustainable water sector</w:t>
            </w:r>
          </w:p>
        </w:tc>
        <w:tc>
          <w:tcPr>
            <w:tcW w:w="1361" w:type="dxa"/>
          </w:tcPr>
          <w:p w14:paraId="12B90957" w14:textId="16BCC77A" w:rsidR="00B02873" w:rsidRDefault="00B02873" w:rsidP="00ED3D53">
            <w:pPr>
              <w:pStyle w:val="TablebodyleftFinancialsTables"/>
              <w:jc w:val="right"/>
            </w:pPr>
            <w:r>
              <w:t>5,183</w:t>
            </w:r>
          </w:p>
        </w:tc>
      </w:tr>
      <w:tr w:rsidR="00B02873" w:rsidRPr="00B02873" w14:paraId="3876968C" w14:textId="77777777" w:rsidTr="00ED3D53">
        <w:tc>
          <w:tcPr>
            <w:tcW w:w="8277" w:type="dxa"/>
          </w:tcPr>
          <w:p w14:paraId="4CC081A7" w14:textId="77777777" w:rsidR="00B02873" w:rsidRDefault="00B02873" w:rsidP="00ED3D53">
            <w:pPr>
              <w:pStyle w:val="TablebodyleftFinancialsTables"/>
            </w:pPr>
            <w:r>
              <w:t>Bendigo Groundwater Management</w:t>
            </w:r>
          </w:p>
        </w:tc>
        <w:tc>
          <w:tcPr>
            <w:tcW w:w="1361" w:type="dxa"/>
          </w:tcPr>
          <w:p w14:paraId="103ABD23" w14:textId="7571D69E" w:rsidR="00B02873" w:rsidRDefault="00B02873" w:rsidP="00ED3D53">
            <w:pPr>
              <w:pStyle w:val="TablebodyleftFinancialsTables"/>
              <w:jc w:val="right"/>
            </w:pPr>
            <w:r>
              <w:t>3,000</w:t>
            </w:r>
          </w:p>
        </w:tc>
      </w:tr>
      <w:tr w:rsidR="00B02873" w:rsidRPr="00B02873" w14:paraId="02A41EFD" w14:textId="77777777" w:rsidTr="00ED3D53">
        <w:tc>
          <w:tcPr>
            <w:tcW w:w="8277" w:type="dxa"/>
          </w:tcPr>
          <w:p w14:paraId="387A407E" w14:textId="756FAEA0" w:rsidR="00B02873" w:rsidRDefault="00B02873" w:rsidP="00ED3D53">
            <w:pPr>
              <w:pStyle w:val="TablebodyleftFinancialsTables"/>
            </w:pPr>
            <w:r>
              <w:t>Strong foundations for Victoria's water: compliance, markets, water entitlements</w:t>
            </w:r>
            <w:r w:rsidR="00AA7B44">
              <w:t xml:space="preserve"> </w:t>
            </w:r>
            <w:r>
              <w:t>and oversight of the water grid</w:t>
            </w:r>
          </w:p>
        </w:tc>
        <w:tc>
          <w:tcPr>
            <w:tcW w:w="1361" w:type="dxa"/>
          </w:tcPr>
          <w:p w14:paraId="4508EE20" w14:textId="4FCB45FD" w:rsidR="00B02873" w:rsidRDefault="00B02873" w:rsidP="00ED3D53">
            <w:pPr>
              <w:pStyle w:val="TablebodyleftFinancialsTables"/>
              <w:jc w:val="right"/>
            </w:pPr>
            <w:r>
              <w:t>6,913</w:t>
            </w:r>
          </w:p>
        </w:tc>
      </w:tr>
      <w:tr w:rsidR="00B02873" w:rsidRPr="00B02873" w14:paraId="6AEE8D88" w14:textId="77777777" w:rsidTr="00ED3D53">
        <w:tc>
          <w:tcPr>
            <w:tcW w:w="8277" w:type="dxa"/>
          </w:tcPr>
          <w:p w14:paraId="6D458FD2" w14:textId="77777777" w:rsidR="00B02873" w:rsidRDefault="00B02873" w:rsidP="00ED3D53">
            <w:pPr>
              <w:pStyle w:val="TablebodyleftFinancialsTables"/>
            </w:pPr>
            <w:r>
              <w:t>Sustaining a Resilient and Secure Water Register for Victoria</w:t>
            </w:r>
          </w:p>
        </w:tc>
        <w:tc>
          <w:tcPr>
            <w:tcW w:w="1361" w:type="dxa"/>
          </w:tcPr>
          <w:p w14:paraId="20AB692C" w14:textId="46093910" w:rsidR="00B02873" w:rsidRDefault="00B02873" w:rsidP="00ED3D53">
            <w:pPr>
              <w:pStyle w:val="TablebodyleftFinancialsTables"/>
              <w:jc w:val="right"/>
            </w:pPr>
            <w:r>
              <w:t>4,280</w:t>
            </w:r>
          </w:p>
        </w:tc>
      </w:tr>
      <w:tr w:rsidR="00B02873" w:rsidRPr="00B02873" w14:paraId="6DA2EC51" w14:textId="77777777" w:rsidTr="00ED3D53">
        <w:tc>
          <w:tcPr>
            <w:tcW w:w="8277" w:type="dxa"/>
          </w:tcPr>
          <w:p w14:paraId="5CB87E5C" w14:textId="77777777" w:rsidR="00B02873" w:rsidRDefault="00B02873" w:rsidP="00ED3D53">
            <w:pPr>
              <w:pStyle w:val="TablebodyleftFinancialsTables"/>
            </w:pPr>
            <w:r>
              <w:t>The evidence base for Victorian water: availability and knowledge</w:t>
            </w:r>
          </w:p>
        </w:tc>
        <w:tc>
          <w:tcPr>
            <w:tcW w:w="1361" w:type="dxa"/>
          </w:tcPr>
          <w:p w14:paraId="2CD47540" w14:textId="1CD45F0A" w:rsidR="00B02873" w:rsidRDefault="00B02873" w:rsidP="00ED3D53">
            <w:pPr>
              <w:pStyle w:val="TablebodyleftFinancialsTables"/>
              <w:jc w:val="right"/>
            </w:pPr>
            <w:r>
              <w:t>14,727</w:t>
            </w:r>
          </w:p>
        </w:tc>
      </w:tr>
      <w:tr w:rsidR="00B02873" w:rsidRPr="00B02873" w14:paraId="6681AE4E" w14:textId="77777777" w:rsidTr="00ED3D53">
        <w:tc>
          <w:tcPr>
            <w:tcW w:w="8277" w:type="dxa"/>
          </w:tcPr>
          <w:p w14:paraId="1E50D7FD" w14:textId="77777777" w:rsidR="00B02873" w:rsidRDefault="00B02873" w:rsidP="00ED3D53">
            <w:pPr>
              <w:pStyle w:val="TablebodyleftFinancialsTables"/>
            </w:pPr>
            <w:r>
              <w:t>Enhancing urban water security, iconic urban waterways and recreational water</w:t>
            </w:r>
          </w:p>
        </w:tc>
        <w:tc>
          <w:tcPr>
            <w:tcW w:w="1361" w:type="dxa"/>
          </w:tcPr>
          <w:p w14:paraId="1E7AC26E" w14:textId="3CFDB9FE" w:rsidR="00B02873" w:rsidRDefault="00B02873" w:rsidP="00ED3D53">
            <w:pPr>
              <w:pStyle w:val="TablebodyleftFinancialsTables"/>
              <w:jc w:val="right"/>
            </w:pPr>
            <w:r>
              <w:t>22,121</w:t>
            </w:r>
          </w:p>
        </w:tc>
      </w:tr>
      <w:tr w:rsidR="00B02873" w:rsidRPr="00B02873" w14:paraId="60C567F7" w14:textId="77777777" w:rsidTr="00ED3D53">
        <w:tc>
          <w:tcPr>
            <w:tcW w:w="8277" w:type="dxa"/>
          </w:tcPr>
          <w:p w14:paraId="1808D6F5" w14:textId="77777777" w:rsidR="00B02873" w:rsidRDefault="00B02873" w:rsidP="00ED3D53">
            <w:pPr>
              <w:pStyle w:val="TablebodyleftFinancialsTables"/>
            </w:pPr>
            <w:r>
              <w:t>Making Victorians water wise: Investing in communities for a secure water future</w:t>
            </w:r>
          </w:p>
        </w:tc>
        <w:tc>
          <w:tcPr>
            <w:tcW w:w="1361" w:type="dxa"/>
          </w:tcPr>
          <w:p w14:paraId="262B28B5" w14:textId="039F36DF" w:rsidR="00B02873" w:rsidRDefault="00B02873" w:rsidP="00ED3D53">
            <w:pPr>
              <w:pStyle w:val="TablebodyleftFinancialsTables"/>
              <w:jc w:val="right"/>
            </w:pPr>
            <w:r>
              <w:t>3,667</w:t>
            </w:r>
          </w:p>
        </w:tc>
      </w:tr>
      <w:tr w:rsidR="00B02873" w:rsidRPr="00B02873" w14:paraId="0F9C5E3A" w14:textId="77777777" w:rsidTr="00ED3D53">
        <w:tc>
          <w:tcPr>
            <w:tcW w:w="8277" w:type="dxa"/>
          </w:tcPr>
          <w:p w14:paraId="10326220" w14:textId="77777777" w:rsidR="00B02873" w:rsidRDefault="00B02873" w:rsidP="00ED3D53">
            <w:pPr>
              <w:pStyle w:val="TablebodyleftFinancialsTables"/>
            </w:pPr>
            <w:r>
              <w:t>Improving the health of Victoria’s waterways and catchments in the face of escalating impacts of climate change</w:t>
            </w:r>
          </w:p>
        </w:tc>
        <w:tc>
          <w:tcPr>
            <w:tcW w:w="1361" w:type="dxa"/>
          </w:tcPr>
          <w:p w14:paraId="77EB0E9C" w14:textId="22A866D7" w:rsidR="00B02873" w:rsidRDefault="00B02873" w:rsidP="00ED3D53">
            <w:pPr>
              <w:pStyle w:val="TablebodyleftFinancialsTables"/>
              <w:jc w:val="right"/>
            </w:pPr>
            <w:r>
              <w:t>55,014</w:t>
            </w:r>
          </w:p>
        </w:tc>
      </w:tr>
      <w:tr w:rsidR="00B02873" w:rsidRPr="00B02873" w14:paraId="7B344F31" w14:textId="77777777" w:rsidTr="00ED3D53">
        <w:tc>
          <w:tcPr>
            <w:tcW w:w="8277" w:type="dxa"/>
          </w:tcPr>
          <w:p w14:paraId="7CD78BBE" w14:textId="588B2935" w:rsidR="00B02873" w:rsidRDefault="00B02873" w:rsidP="00ED3D53">
            <w:pPr>
              <w:pStyle w:val="TablebodyleftFinancialsTables"/>
            </w:pPr>
            <w:r>
              <w:t>Improving recognition and management of water by Traditional Owners and Aboriginal Victorians</w:t>
            </w:r>
          </w:p>
        </w:tc>
        <w:tc>
          <w:tcPr>
            <w:tcW w:w="1361" w:type="dxa"/>
          </w:tcPr>
          <w:p w14:paraId="7418EC76" w14:textId="299EB48E" w:rsidR="00B02873" w:rsidRDefault="00B02873" w:rsidP="00ED3D53">
            <w:pPr>
              <w:pStyle w:val="TablebodyleftFinancialsTables"/>
              <w:jc w:val="right"/>
            </w:pPr>
            <w:r>
              <w:t>4,836</w:t>
            </w:r>
          </w:p>
        </w:tc>
      </w:tr>
      <w:tr w:rsidR="00B02873" w:rsidRPr="00B02873" w14:paraId="6D142148" w14:textId="77777777" w:rsidTr="00ED3D53">
        <w:tc>
          <w:tcPr>
            <w:tcW w:w="8277" w:type="dxa"/>
          </w:tcPr>
          <w:p w14:paraId="20CF1366" w14:textId="77777777" w:rsidR="00B02873" w:rsidRDefault="00B02873" w:rsidP="00ED3D53">
            <w:pPr>
              <w:pStyle w:val="TablebodyleftFinancialsTables"/>
            </w:pPr>
            <w:r>
              <w:t>Integrated Water Projects Package of works</w:t>
            </w:r>
          </w:p>
        </w:tc>
        <w:tc>
          <w:tcPr>
            <w:tcW w:w="1361" w:type="dxa"/>
          </w:tcPr>
          <w:p w14:paraId="4327E8A0" w14:textId="15C2785A" w:rsidR="00B02873" w:rsidRDefault="00B02873" w:rsidP="00ED3D53">
            <w:pPr>
              <w:pStyle w:val="TablebodyleftFinancialsTables"/>
              <w:jc w:val="right"/>
            </w:pPr>
            <w:r>
              <w:t>6,270</w:t>
            </w:r>
          </w:p>
        </w:tc>
      </w:tr>
      <w:tr w:rsidR="00B02873" w:rsidRPr="00B02873" w14:paraId="382CDDB1" w14:textId="77777777" w:rsidTr="00ED3D53">
        <w:tc>
          <w:tcPr>
            <w:tcW w:w="8277" w:type="dxa"/>
          </w:tcPr>
          <w:p w14:paraId="384DBB39" w14:textId="29ADE0CB" w:rsidR="00B02873" w:rsidRDefault="00B02873" w:rsidP="00ED3D53">
            <w:pPr>
              <w:pStyle w:val="TablebodyleftFinancialsTables"/>
            </w:pPr>
            <w:r>
              <w:t>Macalister Irrigation District (MID) Modernisation Project</w:t>
            </w:r>
            <w:r w:rsidR="000C45FC">
              <w:t xml:space="preserve"> – </w:t>
            </w:r>
            <w:r>
              <w:t>Phase 2</w:t>
            </w:r>
          </w:p>
        </w:tc>
        <w:tc>
          <w:tcPr>
            <w:tcW w:w="1361" w:type="dxa"/>
          </w:tcPr>
          <w:p w14:paraId="19143B1F" w14:textId="7FCAD8C4" w:rsidR="00B02873" w:rsidRDefault="00B02873" w:rsidP="00ED3D53">
            <w:pPr>
              <w:pStyle w:val="TablebodyleftFinancialsTables"/>
              <w:jc w:val="right"/>
            </w:pPr>
            <w:r>
              <w:t>250</w:t>
            </w:r>
          </w:p>
        </w:tc>
      </w:tr>
      <w:tr w:rsidR="00B02873" w:rsidRPr="00B02873" w14:paraId="2E3795B4" w14:textId="77777777" w:rsidTr="00ED3D53">
        <w:tc>
          <w:tcPr>
            <w:tcW w:w="8277" w:type="dxa"/>
          </w:tcPr>
          <w:p w14:paraId="2C41A971" w14:textId="77777777" w:rsidR="00B02873" w:rsidRDefault="00B02873" w:rsidP="00ED3D53">
            <w:pPr>
              <w:pStyle w:val="TablebodyleftFinancialsTables"/>
            </w:pPr>
            <w:r>
              <w:rPr>
                <w:spacing w:val="-3"/>
              </w:rPr>
              <w:t>Compliance and interceptions: protect reliability of water entitlements and maximise water resources for regional business and communities</w:t>
            </w:r>
          </w:p>
        </w:tc>
        <w:tc>
          <w:tcPr>
            <w:tcW w:w="1361" w:type="dxa"/>
          </w:tcPr>
          <w:p w14:paraId="6E0E1B3B" w14:textId="49A134F4" w:rsidR="00B02873" w:rsidRDefault="00B02873" w:rsidP="00ED3D53">
            <w:pPr>
              <w:pStyle w:val="TablebodyleftFinancialsTables"/>
              <w:jc w:val="right"/>
            </w:pPr>
            <w:r>
              <w:t>739</w:t>
            </w:r>
          </w:p>
        </w:tc>
      </w:tr>
      <w:tr w:rsidR="00B02873" w:rsidRPr="00B02873" w14:paraId="38B370DA" w14:textId="77777777" w:rsidTr="00ED3D53">
        <w:tc>
          <w:tcPr>
            <w:tcW w:w="8277" w:type="dxa"/>
          </w:tcPr>
          <w:p w14:paraId="2576EA31" w14:textId="77777777" w:rsidR="00B02873" w:rsidRDefault="00B02873" w:rsidP="00ED3D53">
            <w:pPr>
              <w:pStyle w:val="TablebodyleftFinancialsTables"/>
            </w:pPr>
            <w:r>
              <w:t>Resilient Water Markets, Regional Communities and Infrastructure</w:t>
            </w:r>
          </w:p>
        </w:tc>
        <w:tc>
          <w:tcPr>
            <w:tcW w:w="1361" w:type="dxa"/>
          </w:tcPr>
          <w:p w14:paraId="5E031E6F" w14:textId="1BC17562" w:rsidR="00B02873" w:rsidRDefault="00B02873" w:rsidP="00ED3D53">
            <w:pPr>
              <w:pStyle w:val="TablebodyleftFinancialsTables"/>
              <w:jc w:val="right"/>
            </w:pPr>
            <w:r>
              <w:t>3,586</w:t>
            </w:r>
          </w:p>
        </w:tc>
      </w:tr>
      <w:tr w:rsidR="00B02873" w:rsidRPr="00B02873" w14:paraId="7D6A5E29" w14:textId="77777777" w:rsidTr="00ED3D53">
        <w:tc>
          <w:tcPr>
            <w:tcW w:w="8277" w:type="dxa"/>
          </w:tcPr>
          <w:p w14:paraId="56FD1D95" w14:textId="6DB8C479" w:rsidR="00B02873" w:rsidRDefault="00B02873" w:rsidP="00ED3D53">
            <w:pPr>
              <w:pStyle w:val="TablebodyleftFinancialsTables"/>
            </w:pPr>
            <w:r>
              <w:t>Delivering a Sustainable Solution for Bendigo’s Central Deborah Historic Mine Workings and Bendigo Creek</w:t>
            </w:r>
          </w:p>
        </w:tc>
        <w:tc>
          <w:tcPr>
            <w:tcW w:w="1361" w:type="dxa"/>
          </w:tcPr>
          <w:p w14:paraId="4764B46C" w14:textId="2BE94A26" w:rsidR="00B02873" w:rsidRDefault="00B02873" w:rsidP="00ED3D53">
            <w:pPr>
              <w:pStyle w:val="TablebodyleftFinancialsTables"/>
              <w:jc w:val="right"/>
            </w:pPr>
            <w:r>
              <w:t>3,165</w:t>
            </w:r>
          </w:p>
        </w:tc>
      </w:tr>
      <w:tr w:rsidR="00B02873" w:rsidRPr="00B02873" w14:paraId="28D1BC91" w14:textId="77777777" w:rsidTr="00ED3D53">
        <w:tc>
          <w:tcPr>
            <w:tcW w:w="8277" w:type="dxa"/>
          </w:tcPr>
          <w:p w14:paraId="74AB3D4F" w14:textId="77777777" w:rsidR="00B02873" w:rsidRDefault="00B02873" w:rsidP="00ED3D53">
            <w:pPr>
              <w:pStyle w:val="TablebodyleftFinancialsTables"/>
            </w:pPr>
            <w:r>
              <w:t>Supporting regional communities and economic recovery through healthy waterways</w:t>
            </w:r>
          </w:p>
        </w:tc>
        <w:tc>
          <w:tcPr>
            <w:tcW w:w="1361" w:type="dxa"/>
          </w:tcPr>
          <w:p w14:paraId="685BE79F" w14:textId="28A393E7" w:rsidR="00B02873" w:rsidRDefault="00B02873" w:rsidP="00ED3D53">
            <w:pPr>
              <w:pStyle w:val="TablebodyleftFinancialsTables"/>
              <w:jc w:val="right"/>
            </w:pPr>
            <w:r>
              <w:t>8,500</w:t>
            </w:r>
          </w:p>
        </w:tc>
      </w:tr>
      <w:tr w:rsidR="00B02873" w:rsidRPr="00ED3D53" w14:paraId="0F81E7F0" w14:textId="77777777" w:rsidTr="00ED3D53">
        <w:tc>
          <w:tcPr>
            <w:tcW w:w="8277" w:type="dxa"/>
          </w:tcPr>
          <w:p w14:paraId="113BDF8B" w14:textId="77777777" w:rsidR="00B02873" w:rsidRPr="00ED3D53" w:rsidRDefault="00B02873" w:rsidP="00ED3D53">
            <w:pPr>
              <w:pStyle w:val="TablebodyleftFinancialsTables"/>
              <w:rPr>
                <w:b/>
                <w:bCs/>
              </w:rPr>
            </w:pPr>
            <w:r w:rsidRPr="00ED3D53">
              <w:rPr>
                <w:b/>
                <w:bCs/>
              </w:rPr>
              <w:t>Total Output Funding</w:t>
            </w:r>
          </w:p>
        </w:tc>
        <w:tc>
          <w:tcPr>
            <w:tcW w:w="1361" w:type="dxa"/>
          </w:tcPr>
          <w:p w14:paraId="40FB9B4E" w14:textId="77777777" w:rsidR="00B02873" w:rsidRPr="00ED3D53" w:rsidRDefault="00B02873" w:rsidP="00ED3D53">
            <w:pPr>
              <w:pStyle w:val="TablebodyleftFinancialsTables"/>
              <w:jc w:val="right"/>
              <w:rPr>
                <w:b/>
                <w:bCs/>
              </w:rPr>
            </w:pPr>
            <w:r w:rsidRPr="00ED3D53">
              <w:rPr>
                <w:b/>
                <w:bCs/>
              </w:rPr>
              <w:t>165,796</w:t>
            </w:r>
          </w:p>
        </w:tc>
      </w:tr>
      <w:tr w:rsidR="00B02873" w:rsidRPr="00ED3D53" w14:paraId="3B32596D" w14:textId="77777777" w:rsidTr="00ED3D53">
        <w:tc>
          <w:tcPr>
            <w:tcW w:w="8277" w:type="dxa"/>
          </w:tcPr>
          <w:p w14:paraId="05ABAB8C" w14:textId="77777777" w:rsidR="00B02873" w:rsidRPr="00ED3D53" w:rsidRDefault="00B02873" w:rsidP="00ED3D53">
            <w:pPr>
              <w:pStyle w:val="TablebodyleftFinancialsTables"/>
              <w:rPr>
                <w:b/>
                <w:bCs/>
              </w:rPr>
            </w:pPr>
            <w:r w:rsidRPr="00ED3D53">
              <w:rPr>
                <w:b/>
                <w:bCs/>
              </w:rPr>
              <w:lastRenderedPageBreak/>
              <w:t>Asset</w:t>
            </w:r>
          </w:p>
        </w:tc>
        <w:tc>
          <w:tcPr>
            <w:tcW w:w="1361" w:type="dxa"/>
          </w:tcPr>
          <w:p w14:paraId="25E0C6AB" w14:textId="266DCFA0" w:rsidR="00B02873" w:rsidRPr="00ED3D53" w:rsidRDefault="00B02873" w:rsidP="00ED3D53">
            <w:pPr>
              <w:pStyle w:val="TablebodyleftFinancialsTables"/>
              <w:jc w:val="right"/>
              <w:rPr>
                <w:b/>
                <w:bCs/>
              </w:rPr>
            </w:pPr>
          </w:p>
        </w:tc>
      </w:tr>
      <w:tr w:rsidR="00B02873" w:rsidRPr="00B02873" w14:paraId="174EAC12" w14:textId="77777777" w:rsidTr="00ED3D53">
        <w:tc>
          <w:tcPr>
            <w:tcW w:w="8277" w:type="dxa"/>
          </w:tcPr>
          <w:p w14:paraId="159D7322" w14:textId="77777777" w:rsidR="00B02873" w:rsidRDefault="00B02873" w:rsidP="00ED3D53">
            <w:pPr>
              <w:pStyle w:val="TablebodyleftFinancialsTables"/>
            </w:pPr>
            <w:r>
              <w:t>The Evidence Base for Victorian Water: Availability and Knowledge</w:t>
            </w:r>
          </w:p>
        </w:tc>
        <w:tc>
          <w:tcPr>
            <w:tcW w:w="1361" w:type="dxa"/>
          </w:tcPr>
          <w:p w14:paraId="54568C3C" w14:textId="77777777" w:rsidR="00B02873" w:rsidRDefault="00B02873" w:rsidP="00ED3D53">
            <w:pPr>
              <w:pStyle w:val="TablebodyleftFinancialsTables"/>
              <w:jc w:val="right"/>
            </w:pPr>
            <w:r>
              <w:t>400</w:t>
            </w:r>
          </w:p>
        </w:tc>
      </w:tr>
      <w:tr w:rsidR="00B02873" w:rsidRPr="00ED3D53" w14:paraId="2D4B714E" w14:textId="77777777" w:rsidTr="00ED3D53">
        <w:tc>
          <w:tcPr>
            <w:tcW w:w="8277" w:type="dxa"/>
          </w:tcPr>
          <w:p w14:paraId="402BF2F3" w14:textId="77777777" w:rsidR="00B02873" w:rsidRPr="00ED3D53" w:rsidRDefault="00B02873" w:rsidP="00ED3D53">
            <w:pPr>
              <w:pStyle w:val="TablebodyleftFinancialsTables"/>
              <w:rPr>
                <w:b/>
                <w:bCs/>
              </w:rPr>
            </w:pPr>
            <w:r w:rsidRPr="00ED3D53">
              <w:rPr>
                <w:b/>
                <w:bCs/>
              </w:rPr>
              <w:t>Total Asset Funding</w:t>
            </w:r>
          </w:p>
        </w:tc>
        <w:tc>
          <w:tcPr>
            <w:tcW w:w="1361" w:type="dxa"/>
          </w:tcPr>
          <w:p w14:paraId="711427E5" w14:textId="77777777" w:rsidR="00B02873" w:rsidRPr="00ED3D53" w:rsidRDefault="00B02873" w:rsidP="00ED3D53">
            <w:pPr>
              <w:pStyle w:val="TablebodyleftFinancialsTables"/>
              <w:jc w:val="right"/>
              <w:rPr>
                <w:b/>
                <w:bCs/>
              </w:rPr>
            </w:pPr>
            <w:r w:rsidRPr="00ED3D53">
              <w:rPr>
                <w:b/>
                <w:bCs/>
              </w:rPr>
              <w:t>400</w:t>
            </w:r>
          </w:p>
        </w:tc>
      </w:tr>
      <w:tr w:rsidR="00B02873" w:rsidRPr="00ED3D53" w14:paraId="7B3C9D73" w14:textId="77777777" w:rsidTr="00ED3D53">
        <w:tc>
          <w:tcPr>
            <w:tcW w:w="8277" w:type="dxa"/>
          </w:tcPr>
          <w:p w14:paraId="42469394" w14:textId="77777777" w:rsidR="00B02873" w:rsidRPr="00ED3D53" w:rsidRDefault="00B02873" w:rsidP="00ED3D53">
            <w:pPr>
              <w:pStyle w:val="TablebodyleftFinancialsTables"/>
              <w:rPr>
                <w:b/>
                <w:bCs/>
              </w:rPr>
            </w:pPr>
            <w:r w:rsidRPr="00ED3D53">
              <w:rPr>
                <w:b/>
                <w:bCs/>
              </w:rPr>
              <w:t>Total Environmental Contribution (EC5)</w:t>
            </w:r>
          </w:p>
        </w:tc>
        <w:tc>
          <w:tcPr>
            <w:tcW w:w="1361" w:type="dxa"/>
          </w:tcPr>
          <w:p w14:paraId="2898713B" w14:textId="77777777" w:rsidR="00B02873" w:rsidRPr="00ED3D53" w:rsidRDefault="00B02873" w:rsidP="00ED3D53">
            <w:pPr>
              <w:pStyle w:val="TablebodyleftFinancialsTables"/>
              <w:jc w:val="right"/>
              <w:rPr>
                <w:b/>
                <w:bCs/>
              </w:rPr>
            </w:pPr>
            <w:r w:rsidRPr="00ED3D53">
              <w:rPr>
                <w:b/>
                <w:bCs/>
              </w:rPr>
              <w:t>166,196</w:t>
            </w:r>
          </w:p>
        </w:tc>
      </w:tr>
    </w:tbl>
    <w:p w14:paraId="5F714DBF" w14:textId="77777777" w:rsidR="00B02873" w:rsidRDefault="00B02873" w:rsidP="00ED3D53"/>
    <w:p w14:paraId="18C073BA" w14:textId="77777777" w:rsidR="00B02873" w:rsidRDefault="00B02873" w:rsidP="00ED3D53">
      <w:pPr>
        <w:pStyle w:val="Heading2"/>
      </w:pPr>
      <w:bookmarkStart w:id="90" w:name="_Toc117447373"/>
      <w:r>
        <w:t>Appendix 8: Ministerial Statements of Expectations</w:t>
      </w:r>
      <w:bookmarkEnd w:id="90"/>
      <w:r>
        <w:t xml:space="preserve"> </w:t>
      </w:r>
    </w:p>
    <w:p w14:paraId="2A246A28" w14:textId="5DC2E445" w:rsidR="00B02873" w:rsidRDefault="00B02873" w:rsidP="00FE198A">
      <w:r>
        <w:t xml:space="preserve">Ministerial Statements of Expectations (SoEs) aim to improve regulatory governance and performance. The statements articulate the Government’s priorities and objectives for regulators. Regulators report annually on actions to fulfil these expectations. </w:t>
      </w:r>
    </w:p>
    <w:p w14:paraId="5209543A" w14:textId="18BC1F48" w:rsidR="00B02873" w:rsidRDefault="00B02873" w:rsidP="00FE198A">
      <w:r>
        <w:t xml:space="preserve">The development of each statement is a collaborative effort. Consultation takes place with each regulator to ensure the statements are fit for purpose and take into account the regulator’s circumstances, including objectives, legislative basis, size of organisation, and current practices and processes. </w:t>
      </w:r>
    </w:p>
    <w:p w14:paraId="4AF10ACA" w14:textId="77777777" w:rsidR="00B02873" w:rsidRDefault="00B02873" w:rsidP="00FE198A">
      <w:r>
        <w:t>In relation to SoEs, the department has two broad areas of regulatory responsibility – Land and Environment; and Planning. Regulatory powers and functions are allocated to the Minister for Energy, Minister for Environment and Climate Action, Minister for Planning and Secretary of the department, and in many cases these powers are delegated.</w:t>
      </w:r>
    </w:p>
    <w:p w14:paraId="1C37B96F" w14:textId="77777777" w:rsidR="00B02873" w:rsidRDefault="00B02873" w:rsidP="00ED3D53">
      <w:pPr>
        <w:pStyle w:val="Heading3"/>
      </w:pPr>
      <w:r>
        <w:t>Land and Environment</w:t>
      </w:r>
    </w:p>
    <w:p w14:paraId="20D186D5" w14:textId="0408DC6F" w:rsidR="00B02873" w:rsidRDefault="00B02873" w:rsidP="00ED3D53">
      <w:pPr>
        <w:pStyle w:val="Normalbeforebullet"/>
      </w:pPr>
      <w:r>
        <w:t xml:space="preserve">In August 2018, the Minister for Energy and Minister for Environment and Climate Action issued a SoE for the regulation of land and environment business activities. The improvements outlined in the SoE address the mandatory elements of good regulatory practice and are grouped into the broad delivery approaches: </w:t>
      </w:r>
    </w:p>
    <w:p w14:paraId="212E5300" w14:textId="77777777" w:rsidR="00B02873" w:rsidRDefault="00B02873" w:rsidP="00B02873">
      <w:pPr>
        <w:pStyle w:val="Bullet1Lists"/>
      </w:pPr>
      <w:r>
        <w:t xml:space="preserve">review of existing systems or approaches: Wildlife licensing, Native Vegetation and Timber Harvesting </w:t>
      </w:r>
    </w:p>
    <w:p w14:paraId="0932F4A1" w14:textId="77777777" w:rsidR="00B02873" w:rsidRDefault="00B02873" w:rsidP="00B02873">
      <w:pPr>
        <w:pStyle w:val="Bullet1Lists"/>
      </w:pPr>
      <w:r>
        <w:t xml:space="preserve">updated guidance material or information: Beekeeping, Native Vegetation and Flora and Fauna Guarantee </w:t>
      </w:r>
    </w:p>
    <w:p w14:paraId="02DF7EDD" w14:textId="62FD488B" w:rsidR="00B02873" w:rsidRDefault="00B02873" w:rsidP="00ED3D53">
      <w:pPr>
        <w:pStyle w:val="Bullet1Listslast"/>
      </w:pPr>
      <w:r>
        <w:t xml:space="preserve">review and update licencing and compliance arrangements: Timber Harvesting, Beekeeping, Pipelines and Tour operators. </w:t>
      </w:r>
    </w:p>
    <w:p w14:paraId="53128481" w14:textId="77777777" w:rsidR="00B02873" w:rsidRDefault="00B02873" w:rsidP="00FE198A">
      <w:r>
        <w:t>The Land and Environment SoE applied for the period 2018-19 and 2019-20. A new SoE is under development and expected to be issued in 2022-23. Until the new SoE is finalised, the August 2018 SoE will continue to apply and be reported on.</w:t>
      </w:r>
    </w:p>
    <w:p w14:paraId="087226C1" w14:textId="77777777" w:rsidR="00B02873" w:rsidRDefault="00B02873" w:rsidP="00ED3D53">
      <w:pPr>
        <w:pStyle w:val="TabletitleTables"/>
      </w:pPr>
      <w:r>
        <w:t xml:space="preserve">Timeliness </w:t>
      </w:r>
    </w:p>
    <w:tbl>
      <w:tblPr>
        <w:tblStyle w:val="TableGrid"/>
        <w:tblW w:w="0" w:type="auto"/>
        <w:tblLayout w:type="fixed"/>
        <w:tblLook w:val="0020" w:firstRow="1" w:lastRow="0" w:firstColumn="0" w:lastColumn="0" w:noHBand="0" w:noVBand="0"/>
      </w:tblPr>
      <w:tblGrid>
        <w:gridCol w:w="1361"/>
        <w:gridCol w:w="2267"/>
        <w:gridCol w:w="1588"/>
        <w:gridCol w:w="4422"/>
      </w:tblGrid>
      <w:tr w:rsidR="00B02873" w:rsidRPr="00B02873" w14:paraId="034EA8E1" w14:textId="77777777" w:rsidTr="00ED3D53">
        <w:trPr>
          <w:cnfStyle w:val="100000000000" w:firstRow="1" w:lastRow="0" w:firstColumn="0" w:lastColumn="0" w:oddVBand="0" w:evenVBand="0" w:oddHBand="0" w:evenHBand="0" w:firstRowFirstColumn="0" w:firstRowLastColumn="0" w:lastRowFirstColumn="0" w:lastRowLastColumn="0"/>
          <w:trHeight w:val="60"/>
          <w:tblHeader/>
        </w:trPr>
        <w:tc>
          <w:tcPr>
            <w:tcW w:w="1361" w:type="dxa"/>
          </w:tcPr>
          <w:p w14:paraId="1E457516" w14:textId="77777777" w:rsidR="00B02873" w:rsidRDefault="00B02873" w:rsidP="00BC15C9">
            <w:pPr>
              <w:pStyle w:val="TableheadingleftFinancialsTables"/>
              <w:spacing w:before="40" w:after="40"/>
            </w:pPr>
            <w:r>
              <w:t>Area</w:t>
            </w:r>
          </w:p>
        </w:tc>
        <w:tc>
          <w:tcPr>
            <w:tcW w:w="2267" w:type="dxa"/>
          </w:tcPr>
          <w:p w14:paraId="69A97E98" w14:textId="1CD90A5C" w:rsidR="00B02873" w:rsidRDefault="00B02873" w:rsidP="00BC15C9">
            <w:pPr>
              <w:pStyle w:val="TableheadingleftFinancialsTables"/>
              <w:spacing w:before="40" w:after="40"/>
            </w:pPr>
            <w:r>
              <w:t>Improvement Measure</w:t>
            </w:r>
            <w:r w:rsidR="000C45FC">
              <w:t xml:space="preserve"> – </w:t>
            </w:r>
            <w:r>
              <w:t>Timeliness</w:t>
            </w:r>
          </w:p>
        </w:tc>
        <w:tc>
          <w:tcPr>
            <w:tcW w:w="1588" w:type="dxa"/>
          </w:tcPr>
          <w:p w14:paraId="266A7080" w14:textId="77777777" w:rsidR="00B02873" w:rsidRDefault="00B02873" w:rsidP="00BC15C9">
            <w:pPr>
              <w:pStyle w:val="TableheadingleftFinancialsTables"/>
              <w:spacing w:before="40" w:after="40"/>
            </w:pPr>
            <w:r>
              <w:t>Target</w:t>
            </w:r>
          </w:p>
        </w:tc>
        <w:tc>
          <w:tcPr>
            <w:tcW w:w="4422" w:type="dxa"/>
          </w:tcPr>
          <w:p w14:paraId="5C6AABD3" w14:textId="77777777" w:rsidR="00B02873" w:rsidRDefault="00B02873" w:rsidP="00BC15C9">
            <w:pPr>
              <w:pStyle w:val="TableheadingleftFinancialsTables"/>
              <w:spacing w:before="40" w:after="40"/>
            </w:pPr>
            <w:r>
              <w:t xml:space="preserve">Progress </w:t>
            </w:r>
          </w:p>
        </w:tc>
      </w:tr>
      <w:tr w:rsidR="00B02873" w:rsidRPr="00B02873" w14:paraId="75205B61" w14:textId="77777777" w:rsidTr="00ED3D53">
        <w:trPr>
          <w:trHeight w:val="60"/>
        </w:trPr>
        <w:tc>
          <w:tcPr>
            <w:tcW w:w="1361" w:type="dxa"/>
          </w:tcPr>
          <w:p w14:paraId="7BB17070" w14:textId="77777777" w:rsidR="00B02873" w:rsidRDefault="00B02873" w:rsidP="00BC15C9">
            <w:pPr>
              <w:pStyle w:val="TablebodyleftFinancialsTables"/>
              <w:spacing w:before="40" w:after="40"/>
            </w:pPr>
            <w:r>
              <w:t xml:space="preserve">Native Vegetation Clearing Controls </w:t>
            </w:r>
          </w:p>
        </w:tc>
        <w:tc>
          <w:tcPr>
            <w:tcW w:w="2267" w:type="dxa"/>
          </w:tcPr>
          <w:p w14:paraId="61337B70" w14:textId="77777777" w:rsidR="00B02873" w:rsidRDefault="00B02873" w:rsidP="00BC15C9">
            <w:pPr>
              <w:pStyle w:val="TablebodyleftFinancialsTables"/>
              <w:spacing w:before="40" w:after="40"/>
            </w:pPr>
            <w:r>
              <w:t>Reduce the time taken to respond to queries about the native vegetation removal regulations.</w:t>
            </w:r>
          </w:p>
        </w:tc>
        <w:tc>
          <w:tcPr>
            <w:tcW w:w="1588" w:type="dxa"/>
          </w:tcPr>
          <w:p w14:paraId="0F13671C" w14:textId="77777777" w:rsidR="00B02873" w:rsidRDefault="00B02873" w:rsidP="00BC15C9">
            <w:pPr>
              <w:pStyle w:val="TablebodyleftFinancialsTables"/>
              <w:spacing w:before="40" w:after="40"/>
            </w:pPr>
            <w:r>
              <w:t>No more than five working days</w:t>
            </w:r>
          </w:p>
        </w:tc>
        <w:tc>
          <w:tcPr>
            <w:tcW w:w="4422" w:type="dxa"/>
          </w:tcPr>
          <w:p w14:paraId="76675477" w14:textId="77777777" w:rsidR="00B02873" w:rsidRDefault="00B02873" w:rsidP="00BC15C9">
            <w:pPr>
              <w:pStyle w:val="TablebodyleftFinancialsTables"/>
              <w:spacing w:before="40" w:after="40"/>
            </w:pPr>
            <w:r>
              <w:t>In 2021-22, 99 per cent of queries about the native vegetation removal regulations were responded to within five working days.</w:t>
            </w:r>
          </w:p>
        </w:tc>
      </w:tr>
      <w:tr w:rsidR="00B02873" w:rsidRPr="00B02873" w14:paraId="5904A1CC" w14:textId="77777777" w:rsidTr="00ED3D53">
        <w:trPr>
          <w:trHeight w:val="60"/>
        </w:trPr>
        <w:tc>
          <w:tcPr>
            <w:tcW w:w="1361" w:type="dxa"/>
          </w:tcPr>
          <w:p w14:paraId="755E85B5" w14:textId="69509337" w:rsidR="00B02873" w:rsidRDefault="00B02873" w:rsidP="00BC15C9">
            <w:pPr>
              <w:pStyle w:val="TablebodyleftFinancialsTables"/>
              <w:spacing w:before="40" w:after="40"/>
            </w:pPr>
            <w:r>
              <w:lastRenderedPageBreak/>
              <w:t>Native Vegetation Clearing Controls</w:t>
            </w:r>
            <w:r w:rsidR="00012C04">
              <w:t xml:space="preserve"> </w:t>
            </w:r>
          </w:p>
        </w:tc>
        <w:tc>
          <w:tcPr>
            <w:tcW w:w="2267" w:type="dxa"/>
          </w:tcPr>
          <w:p w14:paraId="463C5921" w14:textId="77777777" w:rsidR="00B02873" w:rsidRDefault="00B02873" w:rsidP="00BC15C9">
            <w:pPr>
              <w:pStyle w:val="TablebodyleftFinancialsTables"/>
              <w:spacing w:before="40" w:after="40"/>
            </w:pPr>
            <w:r>
              <w:t>Reduce the time taken to provide native vegetation removal reports, native vegetation offset reports and allocated credit extracts.</w:t>
            </w:r>
          </w:p>
        </w:tc>
        <w:tc>
          <w:tcPr>
            <w:tcW w:w="1588" w:type="dxa"/>
          </w:tcPr>
          <w:p w14:paraId="143421E1" w14:textId="77777777" w:rsidR="00B02873" w:rsidRDefault="00B02873" w:rsidP="00BC15C9">
            <w:pPr>
              <w:pStyle w:val="TablebodyleftFinancialsTables"/>
              <w:spacing w:before="40" w:after="40"/>
            </w:pPr>
            <w:r>
              <w:t>No more than five working days</w:t>
            </w:r>
          </w:p>
        </w:tc>
        <w:tc>
          <w:tcPr>
            <w:tcW w:w="4422" w:type="dxa"/>
          </w:tcPr>
          <w:p w14:paraId="2F0474E1" w14:textId="77777777" w:rsidR="00B02873" w:rsidRDefault="00B02873" w:rsidP="00BC15C9">
            <w:pPr>
              <w:pStyle w:val="TablebodyleftFinancialsTables"/>
              <w:spacing w:before="40" w:after="40"/>
            </w:pPr>
            <w:r>
              <w:t xml:space="preserve">In 2021-22, 99 per cent of vegetation removal reports, native vegetation offset reports and allocated credit extracts were issued within five working days. </w:t>
            </w:r>
          </w:p>
        </w:tc>
      </w:tr>
      <w:tr w:rsidR="00B02873" w:rsidRPr="00B02873" w14:paraId="6D8CD7CD" w14:textId="77777777" w:rsidTr="00ED3D53">
        <w:trPr>
          <w:trHeight w:val="60"/>
        </w:trPr>
        <w:tc>
          <w:tcPr>
            <w:tcW w:w="1361" w:type="dxa"/>
          </w:tcPr>
          <w:p w14:paraId="21BFE295" w14:textId="77777777" w:rsidR="00B02873" w:rsidRDefault="00B02873" w:rsidP="00BC15C9">
            <w:pPr>
              <w:pStyle w:val="TablebodyleftFinancialsTables"/>
              <w:spacing w:before="40" w:after="40"/>
            </w:pPr>
            <w:r>
              <w:t xml:space="preserve">Wildlife </w:t>
            </w:r>
          </w:p>
        </w:tc>
        <w:tc>
          <w:tcPr>
            <w:tcW w:w="2267" w:type="dxa"/>
          </w:tcPr>
          <w:p w14:paraId="59642EF1" w14:textId="77777777" w:rsidR="00B02873" w:rsidRDefault="00B02873" w:rsidP="00BC15C9">
            <w:pPr>
              <w:pStyle w:val="TablebodyleftFinancialsTables"/>
              <w:spacing w:before="40" w:after="40"/>
            </w:pPr>
            <w:r>
              <w:t xml:space="preserve">Reduce the time taken for the Online Wildlife Licensing System (OWLS) licence application process. </w:t>
            </w:r>
          </w:p>
        </w:tc>
        <w:tc>
          <w:tcPr>
            <w:tcW w:w="1588" w:type="dxa"/>
          </w:tcPr>
          <w:p w14:paraId="7369B1F5" w14:textId="77777777" w:rsidR="00B02873" w:rsidRDefault="00B02873" w:rsidP="00BC15C9">
            <w:pPr>
              <w:pStyle w:val="TablebodyleftFinancialsTables"/>
              <w:spacing w:before="40" w:after="40"/>
            </w:pPr>
            <w:r>
              <w:t>15 working days and same-day for online customers</w:t>
            </w:r>
          </w:p>
        </w:tc>
        <w:tc>
          <w:tcPr>
            <w:tcW w:w="4422" w:type="dxa"/>
          </w:tcPr>
          <w:p w14:paraId="38DCFF1D" w14:textId="77777777" w:rsidR="00B02873" w:rsidRDefault="00B02873" w:rsidP="00BC15C9">
            <w:pPr>
              <w:pStyle w:val="TablebodyleftFinancialsTables"/>
              <w:spacing w:before="40" w:after="40"/>
            </w:pPr>
            <w:r>
              <w:t>The Online Wildlife Licensing System was not implemented. Reform of licences and permits remains a key priority and in 2021-22 the Conservation Regulator delivered a range of improvements including:</w:t>
            </w:r>
          </w:p>
          <w:p w14:paraId="1133BFCC" w14:textId="7D28BB20" w:rsidR="00B02873" w:rsidRPr="00BC15C9" w:rsidRDefault="00B02873" w:rsidP="00BC15C9">
            <w:pPr>
              <w:pStyle w:val="TableBulletleftTables"/>
              <w:spacing w:before="40" w:after="40"/>
              <w:rPr>
                <w:sz w:val="20"/>
                <w:szCs w:val="14"/>
              </w:rPr>
            </w:pPr>
            <w:r w:rsidRPr="00BC15C9">
              <w:rPr>
                <w:sz w:val="20"/>
                <w:szCs w:val="14"/>
              </w:rPr>
              <w:t>introduction of online (digital) application forms for Authority to Control Wildlife, Import and Export permits, and private wildlife licences, allowing more than 90 per cent of wildlife licence applications to be submitted online</w:t>
            </w:r>
          </w:p>
          <w:p w14:paraId="0951BACC" w14:textId="1E9FC026" w:rsidR="00B02873" w:rsidRPr="00BC15C9" w:rsidRDefault="00B02873" w:rsidP="00BC15C9">
            <w:pPr>
              <w:pStyle w:val="TableBulletleftTables"/>
              <w:spacing w:before="40" w:after="40"/>
              <w:rPr>
                <w:sz w:val="20"/>
                <w:szCs w:val="14"/>
              </w:rPr>
            </w:pPr>
            <w:r w:rsidRPr="00BC15C9">
              <w:rPr>
                <w:sz w:val="20"/>
                <w:szCs w:val="14"/>
              </w:rPr>
              <w:t>introduction of online (digital) annual returns for wildlife licence holders, replacing a purely paper and post based annual reporting system</w:t>
            </w:r>
          </w:p>
          <w:p w14:paraId="1F77D4BD" w14:textId="719B3FA7" w:rsidR="00B02873" w:rsidRPr="00BC15C9" w:rsidRDefault="00B02873" w:rsidP="00BC15C9">
            <w:pPr>
              <w:pStyle w:val="TableBulletleftTables"/>
              <w:spacing w:before="40" w:after="40"/>
              <w:rPr>
                <w:sz w:val="20"/>
                <w:szCs w:val="14"/>
              </w:rPr>
            </w:pPr>
            <w:r w:rsidRPr="00BC15C9">
              <w:rPr>
                <w:sz w:val="20"/>
                <w:szCs w:val="14"/>
              </w:rPr>
              <w:t xml:space="preserve">transformation of the process for Research Permits under the </w:t>
            </w:r>
            <w:r w:rsidRPr="00BC15C9">
              <w:rPr>
                <w:rStyle w:val="LightItalic"/>
                <w:rFonts w:ascii="Arial" w:hAnsi="Arial" w:cs="Arial"/>
                <w:sz w:val="20"/>
                <w:szCs w:val="14"/>
              </w:rPr>
              <w:t>Wildlife Act 1975</w:t>
            </w:r>
            <w:r w:rsidRPr="00BC15C9">
              <w:rPr>
                <w:rFonts w:cs="Arial"/>
                <w:sz w:val="20"/>
                <w:szCs w:val="14"/>
              </w:rPr>
              <w:t xml:space="preserve"> and the </w:t>
            </w:r>
            <w:r w:rsidRPr="00BC15C9">
              <w:rPr>
                <w:rStyle w:val="LightItalic"/>
                <w:rFonts w:ascii="Arial" w:hAnsi="Arial" w:cs="Arial"/>
                <w:sz w:val="20"/>
                <w:szCs w:val="14"/>
              </w:rPr>
              <w:t>Flora and Fauna Guarantee Act 1988</w:t>
            </w:r>
            <w:r w:rsidRPr="00DE1FCE">
              <w:rPr>
                <w:rStyle w:val="LightItalic"/>
                <w:rFonts w:ascii="Arial" w:hAnsi="Arial"/>
                <w:sz w:val="20"/>
                <w:szCs w:val="14"/>
              </w:rPr>
              <w:t xml:space="preserve"> </w:t>
            </w:r>
            <w:r w:rsidRPr="00BC15C9">
              <w:rPr>
                <w:sz w:val="20"/>
                <w:szCs w:val="14"/>
              </w:rPr>
              <w:t>through introducing new guidance for applicants, reforming the regulatory assessment and decision-making process, and re-writing permit conditions so that they are easier to understand and comply with. This reform has substantially reduced the time for decisions, with applications previously taking an average of 67 days in March 2021, reduced to an average of 8 days in June 2022.</w:t>
            </w:r>
          </w:p>
          <w:p w14:paraId="53292C14" w14:textId="77777777" w:rsidR="00B02873" w:rsidRDefault="00B02873" w:rsidP="00BC15C9">
            <w:pPr>
              <w:pStyle w:val="TablebodyleftFinancialsTables"/>
              <w:spacing w:before="40" w:after="40"/>
            </w:pPr>
            <w:r>
              <w:t>DELWP will continue to reform wildlife licensing. This includes pursuing a new project to replace the legacy Wildlife Licensing System with a contemporary IT system. The new IT system will be designed to further improve the efficiency and transparency of licence and permit transactions, and enable effective monitoring and reporting of licensing and permitting by the Conservation Regulator.</w:t>
            </w:r>
          </w:p>
        </w:tc>
      </w:tr>
      <w:tr w:rsidR="00B02873" w:rsidRPr="00B02873" w14:paraId="1D911C0A" w14:textId="77777777" w:rsidTr="00ED3D53">
        <w:trPr>
          <w:trHeight w:val="60"/>
        </w:trPr>
        <w:tc>
          <w:tcPr>
            <w:tcW w:w="1361" w:type="dxa"/>
          </w:tcPr>
          <w:p w14:paraId="4F3FB9D3" w14:textId="77777777" w:rsidR="00B02873" w:rsidRDefault="00B02873" w:rsidP="00BC15C9">
            <w:pPr>
              <w:pStyle w:val="TablebodyleftFinancialsTables"/>
              <w:spacing w:before="40" w:after="40"/>
            </w:pPr>
            <w:r>
              <w:t xml:space="preserve">Beekeeping </w:t>
            </w:r>
          </w:p>
        </w:tc>
        <w:tc>
          <w:tcPr>
            <w:tcW w:w="2267" w:type="dxa"/>
          </w:tcPr>
          <w:p w14:paraId="5AC8B249" w14:textId="77777777" w:rsidR="00B02873" w:rsidRDefault="00B02873" w:rsidP="00BC15C9">
            <w:pPr>
              <w:pStyle w:val="TablebodyleftFinancialsTables"/>
              <w:spacing w:before="40" w:after="40"/>
            </w:pPr>
            <w:r>
              <w:t>Improve access to and the quality of information on public land beekeeping and bee site location to assist beekeepers with applications and management of bee sites.</w:t>
            </w:r>
          </w:p>
        </w:tc>
        <w:tc>
          <w:tcPr>
            <w:tcW w:w="1588" w:type="dxa"/>
          </w:tcPr>
          <w:p w14:paraId="606C842B" w14:textId="77777777" w:rsidR="00B02873" w:rsidRDefault="00B02873" w:rsidP="00BC15C9">
            <w:pPr>
              <w:pStyle w:val="TablebodyleftFinancialsTables"/>
              <w:spacing w:before="40" w:after="40"/>
            </w:pPr>
            <w:r>
              <w:t>Improved licence information online provided by 30 June 2019</w:t>
            </w:r>
          </w:p>
        </w:tc>
        <w:tc>
          <w:tcPr>
            <w:tcW w:w="4422" w:type="dxa"/>
          </w:tcPr>
          <w:p w14:paraId="3E1743CE" w14:textId="7069496F" w:rsidR="00B02873" w:rsidRDefault="00B02873" w:rsidP="00BC15C9">
            <w:pPr>
              <w:pStyle w:val="TablebodyleftFinancialsTables"/>
              <w:spacing w:before="40" w:after="40"/>
            </w:pPr>
            <w:r>
              <w:t xml:space="preserve">Information on public land beekeeping and licensing is available via </w:t>
            </w:r>
            <w:hyperlink r:id="rId124" w:history="1">
              <w:r w:rsidRPr="00BC15C9">
                <w:rPr>
                  <w:rStyle w:val="Hyperlink"/>
                </w:rPr>
                <w:t>www.forestsandreserves.vic.gov.au/land-management/managing-crown-land/crown-land-leases-licences-and-permits/apiculture-on-public-land</w:t>
              </w:r>
            </w:hyperlink>
            <w:r>
              <w:t>. This complements existing information for beekeepers available on the Agriculture Victoria and Parks Victoria websites.</w:t>
            </w:r>
            <w:r w:rsidR="00012C04">
              <w:t xml:space="preserve"> </w:t>
            </w:r>
            <w:r>
              <w:t xml:space="preserve"> </w:t>
            </w:r>
          </w:p>
        </w:tc>
      </w:tr>
      <w:tr w:rsidR="00B02873" w:rsidRPr="00B02873" w14:paraId="02A9A3BB" w14:textId="77777777" w:rsidTr="00ED3D53">
        <w:trPr>
          <w:trHeight w:val="60"/>
        </w:trPr>
        <w:tc>
          <w:tcPr>
            <w:tcW w:w="1361" w:type="dxa"/>
          </w:tcPr>
          <w:p w14:paraId="62ED7C2E" w14:textId="77777777" w:rsidR="00B02873" w:rsidRDefault="00B02873" w:rsidP="00BC15C9">
            <w:pPr>
              <w:pStyle w:val="TablebodyleftFinancialsTables"/>
              <w:spacing w:before="40" w:after="40"/>
            </w:pPr>
            <w:r>
              <w:lastRenderedPageBreak/>
              <w:t>Timber harvesting</w:t>
            </w:r>
          </w:p>
        </w:tc>
        <w:tc>
          <w:tcPr>
            <w:tcW w:w="2267" w:type="dxa"/>
          </w:tcPr>
          <w:p w14:paraId="4BC1D4AA" w14:textId="77777777" w:rsidR="00B02873" w:rsidRDefault="00B02873" w:rsidP="00BC15C9">
            <w:pPr>
              <w:pStyle w:val="TablebodyleftFinancialsTables"/>
              <w:spacing w:before="40" w:after="40"/>
            </w:pPr>
            <w:r>
              <w:t>Reduce the time taken to respond to public reports of threatened species in timber harvesting coupes.</w:t>
            </w:r>
          </w:p>
        </w:tc>
        <w:tc>
          <w:tcPr>
            <w:tcW w:w="1588" w:type="dxa"/>
          </w:tcPr>
          <w:p w14:paraId="6608636F" w14:textId="77777777" w:rsidR="00B02873" w:rsidRDefault="00B02873" w:rsidP="00BC15C9">
            <w:pPr>
              <w:pStyle w:val="TablebodyleftFinancialsTables"/>
              <w:spacing w:before="40" w:after="40"/>
            </w:pPr>
            <w:r>
              <w:t>No more than two days to respond</w:t>
            </w:r>
          </w:p>
        </w:tc>
        <w:tc>
          <w:tcPr>
            <w:tcW w:w="4422" w:type="dxa"/>
          </w:tcPr>
          <w:p w14:paraId="6ADB85D1" w14:textId="77777777" w:rsidR="00B02873" w:rsidRDefault="00B02873" w:rsidP="00BC15C9">
            <w:pPr>
              <w:pStyle w:val="TablebodyleftFinancialsTables"/>
              <w:spacing w:before="40" w:after="40"/>
            </w:pPr>
            <w:r>
              <w:t>The average number of days to respond to public reports in 2021-22 was 0.83 days.</w:t>
            </w:r>
          </w:p>
        </w:tc>
      </w:tr>
      <w:tr w:rsidR="00B02873" w:rsidRPr="00B02873" w14:paraId="64813690" w14:textId="77777777" w:rsidTr="00ED3D53">
        <w:trPr>
          <w:trHeight w:val="60"/>
        </w:trPr>
        <w:tc>
          <w:tcPr>
            <w:tcW w:w="1361" w:type="dxa"/>
          </w:tcPr>
          <w:p w14:paraId="40FAF9B3" w14:textId="77777777" w:rsidR="00B02873" w:rsidRDefault="00B02873" w:rsidP="00BC15C9">
            <w:pPr>
              <w:pStyle w:val="TablebodyleftFinancialsTables"/>
              <w:spacing w:before="40" w:after="40"/>
            </w:pPr>
            <w:r>
              <w:t xml:space="preserve">Timber harvesting </w:t>
            </w:r>
          </w:p>
        </w:tc>
        <w:tc>
          <w:tcPr>
            <w:tcW w:w="2267" w:type="dxa"/>
          </w:tcPr>
          <w:p w14:paraId="774A2DC7" w14:textId="77777777" w:rsidR="00B02873" w:rsidRDefault="00B02873" w:rsidP="00BC15C9">
            <w:pPr>
              <w:pStyle w:val="TablebodyleftFinancialsTables"/>
              <w:spacing w:before="40" w:after="40"/>
            </w:pPr>
            <w:r>
              <w:rPr>
                <w:spacing w:val="-2"/>
              </w:rPr>
              <w:t>Resolve triage and preliminary (initial) investigation into alleged breaches of the Code of Practice for Timber Production 2014.</w:t>
            </w:r>
          </w:p>
        </w:tc>
        <w:tc>
          <w:tcPr>
            <w:tcW w:w="1588" w:type="dxa"/>
          </w:tcPr>
          <w:p w14:paraId="73CB35C2" w14:textId="77777777" w:rsidR="00B02873" w:rsidRDefault="00B02873" w:rsidP="00BC15C9">
            <w:pPr>
              <w:pStyle w:val="TablebodyleftFinancialsTables"/>
              <w:spacing w:before="40" w:after="40"/>
            </w:pPr>
            <w:r>
              <w:t>No more than 10 days to resolve</w:t>
            </w:r>
          </w:p>
        </w:tc>
        <w:tc>
          <w:tcPr>
            <w:tcW w:w="4422" w:type="dxa"/>
          </w:tcPr>
          <w:p w14:paraId="55DA4717" w14:textId="77777777" w:rsidR="00B02873" w:rsidRDefault="00B02873" w:rsidP="00BC15C9">
            <w:pPr>
              <w:pStyle w:val="TablebodyleftFinancialsTables"/>
              <w:spacing w:before="40" w:after="40"/>
            </w:pPr>
            <w:r>
              <w:t xml:space="preserve">Since this measure was introduced DELWP established the Conservation Regulator to oversee timber harvesting regulation. </w:t>
            </w:r>
          </w:p>
          <w:p w14:paraId="31E621B0" w14:textId="77777777" w:rsidR="00B02873" w:rsidRDefault="00B02873" w:rsidP="00BC15C9">
            <w:pPr>
              <w:pStyle w:val="TablebodyleftFinancialsTables"/>
              <w:spacing w:before="40" w:after="40"/>
            </w:pPr>
            <w:r>
              <w:t>The Conservation Regulator has established a broad suite of performances measures through its Statement of Regulatory Intent for Timber Harvesting.</w:t>
            </w:r>
          </w:p>
          <w:p w14:paraId="64A718BA" w14:textId="77777777" w:rsidR="00B02873" w:rsidRDefault="00B02873" w:rsidP="00BC15C9">
            <w:pPr>
              <w:pStyle w:val="TablebodyleftFinancialsTables"/>
              <w:spacing w:before="40" w:after="40"/>
            </w:pPr>
            <w:r>
              <w:t>Two are relevant to this improvement measure:</w:t>
            </w:r>
          </w:p>
          <w:p w14:paraId="4ED69F58" w14:textId="77777777" w:rsidR="00BC15C9" w:rsidRPr="00BC15C9" w:rsidRDefault="00B02873" w:rsidP="00BC15C9">
            <w:pPr>
              <w:pStyle w:val="TableBulletleftTables"/>
              <w:spacing w:before="40" w:after="40"/>
              <w:rPr>
                <w:sz w:val="20"/>
                <w:szCs w:val="14"/>
              </w:rPr>
            </w:pPr>
            <w:r w:rsidRPr="00BC15C9">
              <w:rPr>
                <w:sz w:val="20"/>
                <w:szCs w:val="14"/>
              </w:rPr>
              <w:t>Performance measure: Completion of complex investigations.</w:t>
            </w:r>
          </w:p>
          <w:p w14:paraId="3CEF4581" w14:textId="77777777" w:rsidR="00BC15C9" w:rsidRPr="00BC15C9" w:rsidRDefault="00B02873" w:rsidP="00BC15C9">
            <w:pPr>
              <w:pStyle w:val="TableBulletleftTables"/>
              <w:numPr>
                <w:ilvl w:val="0"/>
                <w:numId w:val="0"/>
              </w:numPr>
              <w:spacing w:before="40" w:after="40"/>
              <w:ind w:left="284"/>
              <w:rPr>
                <w:sz w:val="20"/>
                <w:szCs w:val="14"/>
              </w:rPr>
            </w:pPr>
            <w:r w:rsidRPr="00BC15C9">
              <w:rPr>
                <w:sz w:val="20"/>
                <w:szCs w:val="14"/>
              </w:rPr>
              <w:t>Target: Complex investigations complete within a 12-month period.</w:t>
            </w:r>
          </w:p>
          <w:p w14:paraId="796C95D2" w14:textId="37383A05" w:rsidR="00B02873" w:rsidRPr="00BC15C9" w:rsidRDefault="00B02873" w:rsidP="00BC15C9">
            <w:pPr>
              <w:pStyle w:val="TableBulletleftTables"/>
              <w:numPr>
                <w:ilvl w:val="0"/>
                <w:numId w:val="0"/>
              </w:numPr>
              <w:spacing w:before="40" w:after="40"/>
              <w:ind w:left="284"/>
              <w:rPr>
                <w:sz w:val="20"/>
                <w:szCs w:val="14"/>
              </w:rPr>
            </w:pPr>
            <w:r w:rsidRPr="00BC15C9">
              <w:rPr>
                <w:sz w:val="20"/>
                <w:szCs w:val="14"/>
              </w:rPr>
              <w:t xml:space="preserve">Result: The average time to complete complex investigations in 2021-22 was 7.5 months. </w:t>
            </w:r>
          </w:p>
          <w:p w14:paraId="13F5A98C" w14:textId="77777777" w:rsidR="00BC15C9" w:rsidRPr="00BC15C9" w:rsidRDefault="00B02873" w:rsidP="00BC15C9">
            <w:pPr>
              <w:pStyle w:val="TableBulletleftTables"/>
              <w:spacing w:before="40" w:after="40"/>
              <w:rPr>
                <w:sz w:val="20"/>
                <w:szCs w:val="14"/>
              </w:rPr>
            </w:pPr>
            <w:r w:rsidRPr="00BC15C9">
              <w:rPr>
                <w:sz w:val="20"/>
                <w:szCs w:val="14"/>
              </w:rPr>
              <w:t xml:space="preserve">Performance measure: Provide receipt of reports of alleged non-compliance. </w:t>
            </w:r>
          </w:p>
          <w:p w14:paraId="129EA2B0" w14:textId="77777777" w:rsidR="00BC15C9" w:rsidRPr="00BC15C9" w:rsidRDefault="00B02873" w:rsidP="00BC15C9">
            <w:pPr>
              <w:pStyle w:val="TableBulletleftTables"/>
              <w:numPr>
                <w:ilvl w:val="0"/>
                <w:numId w:val="0"/>
              </w:numPr>
              <w:spacing w:before="40" w:after="40"/>
              <w:ind w:left="284"/>
              <w:rPr>
                <w:sz w:val="20"/>
                <w:szCs w:val="14"/>
              </w:rPr>
            </w:pPr>
            <w:r w:rsidRPr="00BC15C9">
              <w:rPr>
                <w:sz w:val="20"/>
                <w:szCs w:val="14"/>
              </w:rPr>
              <w:t xml:space="preserve">Target: Less than two business days. </w:t>
            </w:r>
          </w:p>
          <w:p w14:paraId="55BC9BF7" w14:textId="62E56389" w:rsidR="00B02873" w:rsidRPr="00BC15C9" w:rsidRDefault="00B02873" w:rsidP="00BC15C9">
            <w:pPr>
              <w:pStyle w:val="TableBulletleftTables"/>
              <w:numPr>
                <w:ilvl w:val="0"/>
                <w:numId w:val="0"/>
              </w:numPr>
              <w:spacing w:before="40" w:after="40"/>
              <w:ind w:left="284"/>
              <w:rPr>
                <w:sz w:val="20"/>
                <w:szCs w:val="14"/>
              </w:rPr>
            </w:pPr>
            <w:r w:rsidRPr="00BC15C9">
              <w:rPr>
                <w:sz w:val="20"/>
                <w:szCs w:val="14"/>
              </w:rPr>
              <w:t>Result: The average time to provide receipt of reports in 2021-22 was 1.61 days.</w:t>
            </w:r>
          </w:p>
          <w:p w14:paraId="3FB8242E" w14:textId="77777777" w:rsidR="00B02873" w:rsidRDefault="00B02873" w:rsidP="00BC15C9">
            <w:pPr>
              <w:pStyle w:val="TablebodyleftFinancialsTables"/>
              <w:spacing w:before="40" w:after="40"/>
            </w:pPr>
            <w:r>
              <w:t>These measures provide a more contemporary and relevant set of criteria to assess performance, particularly in regard to adherence to correspondence with stakeholders and investigation timeliness.</w:t>
            </w:r>
          </w:p>
          <w:p w14:paraId="1650BD33" w14:textId="77777777" w:rsidR="00B02873" w:rsidRDefault="00B02873" w:rsidP="00BC15C9">
            <w:pPr>
              <w:pStyle w:val="TablebodyleftFinancialsTables"/>
              <w:spacing w:before="40" w:after="40"/>
            </w:pPr>
            <w:r>
              <w:t>Progress against these measures is reported annually in the Conservation Regulator’s Year in Review publication.</w:t>
            </w:r>
          </w:p>
          <w:p w14:paraId="327701C1" w14:textId="77777777" w:rsidR="00B02873" w:rsidRDefault="00B02873" w:rsidP="00BC15C9">
            <w:pPr>
              <w:pStyle w:val="TablebodyleftFinancialsTables"/>
              <w:spacing w:before="40" w:after="40"/>
            </w:pPr>
            <w:r>
              <w:t xml:space="preserve">The Conservation Regulator is committed to prompt engagement with report sources and ensuring the timely resolution of investigations into alleged breaches, as guided by its Compliance and Enforcement Policy. </w:t>
            </w:r>
          </w:p>
          <w:p w14:paraId="1A8B13BF" w14:textId="77777777" w:rsidR="00B02873" w:rsidRDefault="00B02873" w:rsidP="00BC15C9">
            <w:pPr>
              <w:pStyle w:val="TablebodyleftFinancialsTables"/>
              <w:spacing w:before="40" w:after="40"/>
            </w:pPr>
            <w:r>
              <w:t>This measure will be revised in the new Statement of Expectations that is currently under development</w:t>
            </w:r>
          </w:p>
        </w:tc>
      </w:tr>
    </w:tbl>
    <w:p w14:paraId="4C172AA6" w14:textId="77777777" w:rsidR="00B02873" w:rsidRDefault="00B02873" w:rsidP="00FE198A"/>
    <w:p w14:paraId="2FCBF135" w14:textId="77777777" w:rsidR="00B02873" w:rsidRDefault="00B02873" w:rsidP="00BC15C9">
      <w:pPr>
        <w:pStyle w:val="TabletitleTables"/>
      </w:pPr>
      <w:r>
        <w:lastRenderedPageBreak/>
        <w:t>Risk-based strategies</w:t>
      </w:r>
    </w:p>
    <w:tbl>
      <w:tblPr>
        <w:tblStyle w:val="TableGrid"/>
        <w:tblW w:w="0" w:type="auto"/>
        <w:tblLayout w:type="fixed"/>
        <w:tblLook w:val="0020" w:firstRow="1" w:lastRow="0" w:firstColumn="0" w:lastColumn="0" w:noHBand="0" w:noVBand="0"/>
      </w:tblPr>
      <w:tblGrid>
        <w:gridCol w:w="1361"/>
        <w:gridCol w:w="2267"/>
        <w:gridCol w:w="1588"/>
        <w:gridCol w:w="4422"/>
      </w:tblGrid>
      <w:tr w:rsidR="00B02873" w:rsidRPr="00B02873" w14:paraId="663366EB" w14:textId="77777777" w:rsidTr="008C667D">
        <w:trPr>
          <w:cnfStyle w:val="100000000000" w:firstRow="1" w:lastRow="0" w:firstColumn="0" w:lastColumn="0" w:oddVBand="0" w:evenVBand="0" w:oddHBand="0" w:evenHBand="0" w:firstRowFirstColumn="0" w:firstRowLastColumn="0" w:lastRowFirstColumn="0" w:lastRowLastColumn="0"/>
          <w:trHeight w:val="60"/>
        </w:trPr>
        <w:tc>
          <w:tcPr>
            <w:tcW w:w="1361" w:type="dxa"/>
          </w:tcPr>
          <w:p w14:paraId="3DF13BFF" w14:textId="77777777" w:rsidR="00B02873" w:rsidRDefault="00B02873" w:rsidP="008C667D">
            <w:pPr>
              <w:pStyle w:val="TableheadingleftFinancialsTables"/>
              <w:spacing w:before="40" w:after="40"/>
            </w:pPr>
            <w:r>
              <w:t>Area</w:t>
            </w:r>
          </w:p>
        </w:tc>
        <w:tc>
          <w:tcPr>
            <w:tcW w:w="2267" w:type="dxa"/>
          </w:tcPr>
          <w:p w14:paraId="6A9772E3" w14:textId="3AB0B2D9" w:rsidR="00B02873" w:rsidRDefault="00B02873" w:rsidP="008C667D">
            <w:pPr>
              <w:pStyle w:val="TableheadingleftFinancialsTables"/>
              <w:spacing w:before="40" w:after="40"/>
            </w:pPr>
            <w:r>
              <w:t>Improvement Measure</w:t>
            </w:r>
            <w:r w:rsidR="000C45FC">
              <w:t xml:space="preserve"> – </w:t>
            </w:r>
            <w:r>
              <w:t>Risk Based Strategies</w:t>
            </w:r>
          </w:p>
        </w:tc>
        <w:tc>
          <w:tcPr>
            <w:tcW w:w="1588" w:type="dxa"/>
          </w:tcPr>
          <w:p w14:paraId="4F1F52B8" w14:textId="77777777" w:rsidR="00B02873" w:rsidRDefault="00B02873" w:rsidP="008C667D">
            <w:pPr>
              <w:pStyle w:val="TableheadingleftFinancialsTables"/>
              <w:spacing w:before="40" w:after="40"/>
            </w:pPr>
            <w:r>
              <w:t>Target</w:t>
            </w:r>
          </w:p>
        </w:tc>
        <w:tc>
          <w:tcPr>
            <w:tcW w:w="4422" w:type="dxa"/>
          </w:tcPr>
          <w:p w14:paraId="7FB53807" w14:textId="77777777" w:rsidR="00B02873" w:rsidRDefault="00B02873" w:rsidP="008C667D">
            <w:pPr>
              <w:pStyle w:val="TableheadingleftFinancialsTables"/>
              <w:spacing w:before="40" w:after="40"/>
            </w:pPr>
            <w:r>
              <w:t>Progress</w:t>
            </w:r>
          </w:p>
        </w:tc>
      </w:tr>
      <w:tr w:rsidR="00B02873" w:rsidRPr="00B02873" w14:paraId="6554121D" w14:textId="77777777" w:rsidTr="008C667D">
        <w:trPr>
          <w:trHeight w:val="60"/>
        </w:trPr>
        <w:tc>
          <w:tcPr>
            <w:tcW w:w="1361" w:type="dxa"/>
          </w:tcPr>
          <w:p w14:paraId="5D00214F" w14:textId="7B70F283" w:rsidR="00B02873" w:rsidRDefault="00B02873" w:rsidP="008C667D">
            <w:pPr>
              <w:pStyle w:val="TablebodyleftFinancialsTables"/>
              <w:spacing w:before="40" w:after="40"/>
            </w:pPr>
            <w:r>
              <w:t>Wildlife</w:t>
            </w:r>
            <w:r w:rsidR="00012C04">
              <w:t xml:space="preserve"> </w:t>
            </w:r>
          </w:p>
        </w:tc>
        <w:tc>
          <w:tcPr>
            <w:tcW w:w="2267" w:type="dxa"/>
          </w:tcPr>
          <w:p w14:paraId="690AA8AA" w14:textId="77777777" w:rsidR="00B02873" w:rsidRDefault="00B02873" w:rsidP="008C667D">
            <w:pPr>
              <w:pStyle w:val="TablebodyleftFinancialsTables"/>
              <w:spacing w:before="40" w:after="40"/>
            </w:pPr>
            <w:r>
              <w:t xml:space="preserve">Mitigate critical-system and critical-person risks associated with the obsolete Wildlife Licensing System through the introduction of the OWLS system. </w:t>
            </w:r>
          </w:p>
        </w:tc>
        <w:tc>
          <w:tcPr>
            <w:tcW w:w="1588" w:type="dxa"/>
          </w:tcPr>
          <w:p w14:paraId="58F58136" w14:textId="77777777" w:rsidR="00B02873" w:rsidRDefault="00B02873" w:rsidP="008C667D">
            <w:pPr>
              <w:pStyle w:val="TablebodyleftFinancialsTables"/>
              <w:spacing w:before="40" w:after="40"/>
            </w:pPr>
            <w:r>
              <w:t>The OWLS system introduced by 30 June 2019</w:t>
            </w:r>
          </w:p>
        </w:tc>
        <w:tc>
          <w:tcPr>
            <w:tcW w:w="4422" w:type="dxa"/>
          </w:tcPr>
          <w:p w14:paraId="5D6ACD55" w14:textId="5B839702" w:rsidR="00B02873" w:rsidRDefault="00B02873" w:rsidP="008C667D">
            <w:pPr>
              <w:pStyle w:val="TablebodyleftFinancialsTables"/>
              <w:spacing w:before="40" w:after="40"/>
            </w:pPr>
            <w:r>
              <w:t>The OWLS project was discontinued in 2020.</w:t>
            </w:r>
            <w:r w:rsidR="00012C04">
              <w:t xml:space="preserve"> </w:t>
            </w:r>
            <w:r>
              <w:t>Works to improve the stability and functionality of the current Wildlife Licensing System have been undertaken to improve system stability and support the introduction of online application options.</w:t>
            </w:r>
            <w:r w:rsidR="00012C04">
              <w:t xml:space="preserve"> </w:t>
            </w:r>
            <w:r>
              <w:t>Identified critical risks have been mitigated through the appointment of an IT specialist.</w:t>
            </w:r>
          </w:p>
        </w:tc>
      </w:tr>
      <w:tr w:rsidR="00B02873" w:rsidRPr="00B02873" w14:paraId="0B00F608" w14:textId="77777777" w:rsidTr="008C667D">
        <w:trPr>
          <w:trHeight w:val="60"/>
        </w:trPr>
        <w:tc>
          <w:tcPr>
            <w:tcW w:w="1361" w:type="dxa"/>
          </w:tcPr>
          <w:p w14:paraId="6547D360" w14:textId="77777777" w:rsidR="00B02873" w:rsidRDefault="00B02873" w:rsidP="008C667D">
            <w:pPr>
              <w:pStyle w:val="TablebodyleftFinancialsTables"/>
              <w:spacing w:before="40" w:after="40"/>
            </w:pPr>
            <w:r>
              <w:t xml:space="preserve">Pipelines </w:t>
            </w:r>
          </w:p>
        </w:tc>
        <w:tc>
          <w:tcPr>
            <w:tcW w:w="2267" w:type="dxa"/>
          </w:tcPr>
          <w:p w14:paraId="0F84F8D9" w14:textId="77777777" w:rsidR="00B02873" w:rsidRDefault="00B02873" w:rsidP="008C667D">
            <w:pPr>
              <w:pStyle w:val="TablebodyleftFinancialsTables"/>
              <w:spacing w:before="40" w:after="40"/>
            </w:pPr>
            <w:r>
              <w:t>Implement a strategy that targets long standing legacy issues with non-compliance that are proportionate to risk.</w:t>
            </w:r>
          </w:p>
        </w:tc>
        <w:tc>
          <w:tcPr>
            <w:tcW w:w="1588" w:type="dxa"/>
          </w:tcPr>
          <w:p w14:paraId="7B4B50AE" w14:textId="77777777" w:rsidR="00B02873" w:rsidRDefault="00B02873" w:rsidP="008C667D">
            <w:pPr>
              <w:pStyle w:val="TablebodyleftFinancialsTables"/>
              <w:spacing w:before="40" w:after="40"/>
            </w:pPr>
            <w:r>
              <w:t>All high-pressure pipelines are appropriately licensed by 30 June 2019</w:t>
            </w:r>
          </w:p>
        </w:tc>
        <w:tc>
          <w:tcPr>
            <w:tcW w:w="4422" w:type="dxa"/>
          </w:tcPr>
          <w:p w14:paraId="136317BA" w14:textId="77777777" w:rsidR="00B02873" w:rsidRPr="008C667D" w:rsidRDefault="00B02873" w:rsidP="008C667D">
            <w:pPr>
              <w:pStyle w:val="TablebodyleftFinancialsTables"/>
              <w:spacing w:before="40" w:after="40"/>
              <w:rPr>
                <w:rFonts w:asciiTheme="minorHAnsi" w:hAnsiTheme="minorHAnsi" w:cstheme="minorHAnsi"/>
              </w:rPr>
            </w:pPr>
            <w:r w:rsidRPr="008C667D">
              <w:rPr>
                <w:rFonts w:asciiTheme="minorHAnsi" w:hAnsiTheme="minorHAnsi" w:cstheme="minorHAnsi"/>
              </w:rPr>
              <w:t>While the extent of legacy issues were more severe than expected when the 2018 SoE requirements were set, approved safety and environment management plans were put in place for all pipeline licences by 30 September 2021.</w:t>
            </w:r>
          </w:p>
          <w:p w14:paraId="5B91FF6E" w14:textId="0F790566" w:rsidR="00B02873" w:rsidRPr="008C667D" w:rsidRDefault="00B02873" w:rsidP="008C667D">
            <w:pPr>
              <w:pStyle w:val="TablebodyleftFinancialsTables"/>
              <w:spacing w:before="40" w:after="40"/>
              <w:rPr>
                <w:rFonts w:asciiTheme="minorHAnsi" w:hAnsiTheme="minorHAnsi" w:cstheme="minorHAnsi"/>
              </w:rPr>
            </w:pPr>
            <w:r w:rsidRPr="008C667D">
              <w:rPr>
                <w:rFonts w:asciiTheme="minorHAnsi" w:hAnsiTheme="minorHAnsi" w:cstheme="minorHAnsi"/>
              </w:rPr>
              <w:t xml:space="preserve">Action to address the implications of the </w:t>
            </w:r>
            <w:r w:rsidRPr="008C667D">
              <w:rPr>
                <w:rStyle w:val="LightItalic"/>
                <w:rFonts w:asciiTheme="minorHAnsi" w:hAnsiTheme="minorHAnsi" w:cstheme="minorHAnsi"/>
              </w:rPr>
              <w:t>Pipelines Act 2005</w:t>
            </w:r>
            <w:r w:rsidRPr="008C667D">
              <w:rPr>
                <w:rFonts w:asciiTheme="minorHAnsi" w:hAnsiTheme="minorHAnsi" w:cstheme="minorHAnsi"/>
              </w:rPr>
              <w:t xml:space="preserve"> for licences granted under the now repealed </w:t>
            </w:r>
            <w:r w:rsidRPr="008C667D">
              <w:rPr>
                <w:rStyle w:val="LightItalic"/>
                <w:rFonts w:asciiTheme="minorHAnsi" w:hAnsiTheme="minorHAnsi" w:cstheme="minorHAnsi"/>
              </w:rPr>
              <w:t>Pipelines Act 1967</w:t>
            </w:r>
            <w:r w:rsidRPr="008C667D">
              <w:rPr>
                <w:rFonts w:asciiTheme="minorHAnsi" w:hAnsiTheme="minorHAnsi" w:cstheme="minorHAnsi"/>
              </w:rPr>
              <w:t xml:space="preserve"> has been delayed beyond the scheduled 30 June 2021 date due to a significant rise in applications for new pipeline licences. The remaining residual issues will be progressively addressed and projected to be closed out by 30 June 2023.</w:t>
            </w:r>
            <w:r w:rsidR="00012C04" w:rsidRPr="008C667D">
              <w:rPr>
                <w:rFonts w:asciiTheme="minorHAnsi" w:hAnsiTheme="minorHAnsi" w:cstheme="minorHAnsi"/>
              </w:rPr>
              <w:t xml:space="preserve"> </w:t>
            </w:r>
          </w:p>
        </w:tc>
      </w:tr>
      <w:tr w:rsidR="00B02873" w:rsidRPr="00B02873" w14:paraId="75872B40" w14:textId="77777777" w:rsidTr="008C667D">
        <w:trPr>
          <w:trHeight w:val="60"/>
        </w:trPr>
        <w:tc>
          <w:tcPr>
            <w:tcW w:w="1361" w:type="dxa"/>
          </w:tcPr>
          <w:p w14:paraId="3EEB46EE" w14:textId="77777777" w:rsidR="00B02873" w:rsidRDefault="00B02873" w:rsidP="008C667D">
            <w:pPr>
              <w:pStyle w:val="TablebodyleftFinancialsTables"/>
              <w:spacing w:before="40" w:after="40"/>
            </w:pPr>
            <w:r>
              <w:t xml:space="preserve">Beekeeping </w:t>
            </w:r>
          </w:p>
        </w:tc>
        <w:tc>
          <w:tcPr>
            <w:tcW w:w="2267" w:type="dxa"/>
          </w:tcPr>
          <w:p w14:paraId="630CF0E0" w14:textId="77777777" w:rsidR="00B02873" w:rsidRDefault="00B02873" w:rsidP="008C667D">
            <w:pPr>
              <w:pStyle w:val="TablebodyleftFinancialsTables"/>
              <w:spacing w:before="40" w:after="40"/>
            </w:pPr>
            <w:r>
              <w:t xml:space="preserve">Ensure that bee sites are located appropriately and recorded accurately and site location data amended where necessary. </w:t>
            </w:r>
          </w:p>
        </w:tc>
        <w:tc>
          <w:tcPr>
            <w:tcW w:w="1588" w:type="dxa"/>
          </w:tcPr>
          <w:p w14:paraId="0281A81B" w14:textId="77777777" w:rsidR="00B02873" w:rsidRDefault="00B02873" w:rsidP="008C667D">
            <w:pPr>
              <w:pStyle w:val="TablebodyleftFinancialsTables"/>
              <w:spacing w:before="40" w:after="40"/>
            </w:pPr>
            <w:r>
              <w:t>System-wide review of bee site locations to be completed by 30 June 2019</w:t>
            </w:r>
          </w:p>
        </w:tc>
        <w:tc>
          <w:tcPr>
            <w:tcW w:w="4422" w:type="dxa"/>
          </w:tcPr>
          <w:p w14:paraId="431AC869" w14:textId="5621A3CD" w:rsidR="00B02873" w:rsidRDefault="00B02873" w:rsidP="008C667D">
            <w:pPr>
              <w:pStyle w:val="TablebodyleftFinancialsTables"/>
              <w:spacing w:before="40" w:after="40"/>
            </w:pPr>
            <w:r>
              <w:t>Timelines for the survey of mapped bee site locations have been delayed by the 2019-20 bushfire season, the COVID-19 pandemic, a transition to a new land data system and a significant broad-based workload increase.</w:t>
            </w:r>
            <w:r w:rsidR="00012C04">
              <w:t xml:space="preserve"> </w:t>
            </w:r>
            <w:r>
              <w:t xml:space="preserve">The audit of bee sites was conducted between October 2021 and February 2022. The outcome of the audit is being reviewed and an action plan developed to address mapping and other issues identified. Resolution of bee site issues is anticipated to be completed by December 2022. In the meantime, issues with bee sites can be resolved when reported to regional offices. </w:t>
            </w:r>
          </w:p>
        </w:tc>
      </w:tr>
    </w:tbl>
    <w:p w14:paraId="5D93358D" w14:textId="77777777" w:rsidR="00B02873" w:rsidRDefault="00B02873" w:rsidP="00FE198A"/>
    <w:p w14:paraId="737A5370" w14:textId="77777777" w:rsidR="00B02873" w:rsidRDefault="00B02873" w:rsidP="008C667D">
      <w:pPr>
        <w:pStyle w:val="TabletitleTables"/>
      </w:pPr>
      <w:r>
        <w:t>Compliance related assistance and advice</w:t>
      </w:r>
    </w:p>
    <w:tbl>
      <w:tblPr>
        <w:tblStyle w:val="TableGrid"/>
        <w:tblW w:w="0" w:type="auto"/>
        <w:tblLayout w:type="fixed"/>
        <w:tblLook w:val="0020" w:firstRow="1" w:lastRow="0" w:firstColumn="0" w:lastColumn="0" w:noHBand="0" w:noVBand="0"/>
      </w:tblPr>
      <w:tblGrid>
        <w:gridCol w:w="1361"/>
        <w:gridCol w:w="2267"/>
        <w:gridCol w:w="1588"/>
        <w:gridCol w:w="4422"/>
      </w:tblGrid>
      <w:tr w:rsidR="00B02873" w:rsidRPr="00B02873" w14:paraId="2FBB7B09" w14:textId="77777777" w:rsidTr="008C667D">
        <w:trPr>
          <w:cnfStyle w:val="100000000000" w:firstRow="1" w:lastRow="0" w:firstColumn="0" w:lastColumn="0" w:oddVBand="0" w:evenVBand="0" w:oddHBand="0" w:evenHBand="0" w:firstRowFirstColumn="0" w:firstRowLastColumn="0" w:lastRowFirstColumn="0" w:lastRowLastColumn="0"/>
          <w:tblHeader/>
        </w:trPr>
        <w:tc>
          <w:tcPr>
            <w:tcW w:w="1361" w:type="dxa"/>
          </w:tcPr>
          <w:p w14:paraId="36DFDB23" w14:textId="77777777" w:rsidR="00B02873" w:rsidRDefault="00B02873" w:rsidP="008C667D">
            <w:pPr>
              <w:pStyle w:val="TableheadingleftFinancialsTables"/>
              <w:spacing w:before="40" w:after="40"/>
            </w:pPr>
            <w:r>
              <w:t>Area</w:t>
            </w:r>
          </w:p>
        </w:tc>
        <w:tc>
          <w:tcPr>
            <w:tcW w:w="2267" w:type="dxa"/>
          </w:tcPr>
          <w:p w14:paraId="44E69379" w14:textId="0CB5C06B" w:rsidR="00B02873" w:rsidRDefault="00B02873" w:rsidP="008C667D">
            <w:pPr>
              <w:pStyle w:val="TableheadingleftFinancialsTables"/>
              <w:spacing w:before="40" w:after="40"/>
            </w:pPr>
            <w:r>
              <w:t>Improvement Measure</w:t>
            </w:r>
            <w:r w:rsidR="000C45FC">
              <w:t xml:space="preserve"> – </w:t>
            </w:r>
            <w:r>
              <w:t>Compliance related assistance and advice</w:t>
            </w:r>
          </w:p>
        </w:tc>
        <w:tc>
          <w:tcPr>
            <w:tcW w:w="1588" w:type="dxa"/>
          </w:tcPr>
          <w:p w14:paraId="5CB466EA" w14:textId="77777777" w:rsidR="00B02873" w:rsidRDefault="00B02873" w:rsidP="008C667D">
            <w:pPr>
              <w:pStyle w:val="TableheadingleftFinancialsTables"/>
              <w:spacing w:before="40" w:after="40"/>
            </w:pPr>
            <w:r>
              <w:t>Target</w:t>
            </w:r>
          </w:p>
        </w:tc>
        <w:tc>
          <w:tcPr>
            <w:tcW w:w="4422" w:type="dxa"/>
          </w:tcPr>
          <w:p w14:paraId="0FDD16AC" w14:textId="77777777" w:rsidR="00B02873" w:rsidRDefault="00B02873" w:rsidP="008C667D">
            <w:pPr>
              <w:pStyle w:val="TableheadingleftFinancialsTables"/>
              <w:spacing w:before="40" w:after="40"/>
            </w:pPr>
            <w:r>
              <w:t>Progress</w:t>
            </w:r>
          </w:p>
        </w:tc>
      </w:tr>
      <w:tr w:rsidR="00B02873" w:rsidRPr="00B02873" w14:paraId="519762E9" w14:textId="77777777" w:rsidTr="008C667D">
        <w:tc>
          <w:tcPr>
            <w:tcW w:w="1361" w:type="dxa"/>
          </w:tcPr>
          <w:p w14:paraId="466BC4BD" w14:textId="77777777" w:rsidR="00B02873" w:rsidRDefault="00B02873" w:rsidP="008C667D">
            <w:pPr>
              <w:pStyle w:val="TablebodyleftFinancialsTables"/>
              <w:spacing w:before="40" w:after="40"/>
            </w:pPr>
            <w:r>
              <w:t xml:space="preserve">Native vegetation </w:t>
            </w:r>
          </w:p>
        </w:tc>
        <w:tc>
          <w:tcPr>
            <w:tcW w:w="2267" w:type="dxa"/>
          </w:tcPr>
          <w:p w14:paraId="2F67508A" w14:textId="77777777" w:rsidR="00B02873" w:rsidRDefault="00B02873" w:rsidP="008C667D">
            <w:pPr>
              <w:pStyle w:val="TablebodyleftFinancialsTables"/>
              <w:spacing w:before="40" w:after="40"/>
            </w:pPr>
            <w:r>
              <w:t>Review current information materials and identify opportunities to improve information products to support the sourcing and securing of native vegetation offsets.</w:t>
            </w:r>
          </w:p>
        </w:tc>
        <w:tc>
          <w:tcPr>
            <w:tcW w:w="1588" w:type="dxa"/>
          </w:tcPr>
          <w:p w14:paraId="29899BB8" w14:textId="77777777" w:rsidR="00B02873" w:rsidRDefault="00B02873" w:rsidP="008C667D">
            <w:pPr>
              <w:pStyle w:val="TablebodyleftFinancialsTables"/>
              <w:spacing w:before="40" w:after="40"/>
            </w:pPr>
            <w:r>
              <w:t>Publish an updated suite of documents on the DELWP website by 31 December 2018.</w:t>
            </w:r>
          </w:p>
        </w:tc>
        <w:tc>
          <w:tcPr>
            <w:tcW w:w="4422" w:type="dxa"/>
          </w:tcPr>
          <w:p w14:paraId="1F27B6AA" w14:textId="77777777" w:rsidR="00B02873" w:rsidRDefault="00B02873" w:rsidP="008C667D">
            <w:pPr>
              <w:pStyle w:val="TablebodyleftFinancialsTables"/>
              <w:spacing w:before="40" w:after="40"/>
            </w:pPr>
            <w:r>
              <w:t xml:space="preserve">An updated suite of documents was published and is available on the DELWP website: </w:t>
            </w:r>
            <w:hyperlink r:id="rId125" w:history="1">
              <w:r w:rsidRPr="008C667D">
                <w:rPr>
                  <w:rStyle w:val="Hyperlink"/>
                </w:rPr>
                <w:t>https://www.environment.vic.gov.au/native-vegetation/native-vegetation</w:t>
              </w:r>
            </w:hyperlink>
          </w:p>
        </w:tc>
      </w:tr>
      <w:tr w:rsidR="00B02873" w:rsidRPr="00B02873" w14:paraId="3EAF41FD" w14:textId="77777777" w:rsidTr="008C667D">
        <w:tc>
          <w:tcPr>
            <w:tcW w:w="1361" w:type="dxa"/>
          </w:tcPr>
          <w:p w14:paraId="37BA659A" w14:textId="77777777" w:rsidR="00B02873" w:rsidRDefault="00B02873" w:rsidP="008C667D">
            <w:pPr>
              <w:pStyle w:val="TablebodyleftFinancialsTables"/>
              <w:spacing w:before="40" w:after="40"/>
            </w:pPr>
            <w:r>
              <w:lastRenderedPageBreak/>
              <w:t>Wildlife</w:t>
            </w:r>
          </w:p>
        </w:tc>
        <w:tc>
          <w:tcPr>
            <w:tcW w:w="2267" w:type="dxa"/>
          </w:tcPr>
          <w:p w14:paraId="04D8A070" w14:textId="77777777" w:rsidR="00B02873" w:rsidRDefault="00B02873" w:rsidP="008C667D">
            <w:pPr>
              <w:pStyle w:val="TablebodyleftFinancialsTables"/>
              <w:spacing w:before="40" w:after="40"/>
            </w:pPr>
            <w:r>
              <w:t>Update the Authority to Control Wildlife (ATCW) assessment and decision-making guidelines for DELWP staff.</w:t>
            </w:r>
          </w:p>
        </w:tc>
        <w:tc>
          <w:tcPr>
            <w:tcW w:w="1588" w:type="dxa"/>
          </w:tcPr>
          <w:p w14:paraId="058F93DA" w14:textId="04FF8C3D" w:rsidR="00B02873" w:rsidRDefault="00B02873" w:rsidP="008C667D">
            <w:pPr>
              <w:pStyle w:val="TablebodyleftFinancialsTables"/>
              <w:spacing w:before="40" w:after="40"/>
            </w:pPr>
            <w:r>
              <w:t>Updated ATCW assessment and decision making guidelines</w:t>
            </w:r>
            <w:r w:rsidR="00012C04">
              <w:t xml:space="preserve"> </w:t>
            </w:r>
            <w:r>
              <w:t>developed by 31 December 2018.</w:t>
            </w:r>
          </w:p>
        </w:tc>
        <w:tc>
          <w:tcPr>
            <w:tcW w:w="4422" w:type="dxa"/>
          </w:tcPr>
          <w:p w14:paraId="7027B748" w14:textId="77777777" w:rsidR="00B02873" w:rsidRDefault="00B02873" w:rsidP="008C667D">
            <w:pPr>
              <w:pStyle w:val="TablebodyleftFinancialsTables"/>
              <w:spacing w:before="40" w:after="40"/>
            </w:pPr>
            <w:r>
              <w:rPr>
                <w:spacing w:val="-2"/>
              </w:rPr>
              <w:t>Final assessment and decision-making guidelines were completed in December 2020. An ATCW digitalisation project for online applications was delivered in early 2022, along with updated external guidance for applicants. These documents are being utilised as standard practice across the Conservation Regulator.</w:t>
            </w:r>
          </w:p>
        </w:tc>
      </w:tr>
      <w:tr w:rsidR="00B02873" w:rsidRPr="00B02873" w14:paraId="7A3E4D17" w14:textId="77777777" w:rsidTr="008C667D">
        <w:tc>
          <w:tcPr>
            <w:tcW w:w="1361" w:type="dxa"/>
          </w:tcPr>
          <w:p w14:paraId="64835210" w14:textId="399AD5EC" w:rsidR="00B02873" w:rsidRDefault="00B02873" w:rsidP="008C667D">
            <w:pPr>
              <w:pStyle w:val="TablebodyleftFinancialsTables"/>
              <w:spacing w:before="40" w:after="40"/>
            </w:pPr>
            <w:r>
              <w:t>Flora and Fauna Guarantee (FFG)</w:t>
            </w:r>
            <w:r w:rsidR="00012C04">
              <w:t xml:space="preserve"> </w:t>
            </w:r>
          </w:p>
        </w:tc>
        <w:tc>
          <w:tcPr>
            <w:tcW w:w="2267" w:type="dxa"/>
          </w:tcPr>
          <w:p w14:paraId="1CF010C6" w14:textId="77777777" w:rsidR="00B02873" w:rsidRDefault="00B02873" w:rsidP="008C667D">
            <w:pPr>
              <w:pStyle w:val="TablebodyleftFinancialsTables"/>
              <w:spacing w:before="40" w:after="40"/>
            </w:pPr>
            <w:r>
              <w:t>Develop guidance materials for public authorities to better comply with their duty to have regard to the flora and fauna conservation and management objectives of the FFG Act.</w:t>
            </w:r>
          </w:p>
        </w:tc>
        <w:tc>
          <w:tcPr>
            <w:tcW w:w="1588" w:type="dxa"/>
          </w:tcPr>
          <w:p w14:paraId="40C0310E" w14:textId="77777777" w:rsidR="00B02873" w:rsidRDefault="00B02873" w:rsidP="008C667D">
            <w:pPr>
              <w:pStyle w:val="TablebodyleftFinancialsTables"/>
              <w:spacing w:before="40" w:after="40"/>
            </w:pPr>
            <w:r>
              <w:t>Completed guidelines to be available to public authorities by 30 June 2019.</w:t>
            </w:r>
          </w:p>
        </w:tc>
        <w:tc>
          <w:tcPr>
            <w:tcW w:w="4422" w:type="dxa"/>
          </w:tcPr>
          <w:p w14:paraId="2826B79C" w14:textId="77777777" w:rsidR="00B02873" w:rsidRDefault="00B02873" w:rsidP="008C667D">
            <w:pPr>
              <w:pStyle w:val="TablebodyleftFinancialsTables"/>
              <w:spacing w:before="40" w:after="40"/>
              <w:rPr>
                <w:spacing w:val="-2"/>
              </w:rPr>
            </w:pPr>
            <w:r>
              <w:rPr>
                <w:spacing w:val="-2"/>
              </w:rPr>
              <w:t xml:space="preserve">The passage of the </w:t>
            </w:r>
            <w:r w:rsidRPr="008C667D">
              <w:rPr>
                <w:rFonts w:asciiTheme="minorHAnsi" w:hAnsiTheme="minorHAnsi" w:cstheme="minorHAnsi"/>
                <w:i/>
                <w:iCs/>
                <w:spacing w:val="-2"/>
              </w:rPr>
              <w:t xml:space="preserve">Flora and Fauna </w:t>
            </w:r>
            <w:r w:rsidRPr="008C667D">
              <w:rPr>
                <w:rFonts w:asciiTheme="minorHAnsi" w:hAnsiTheme="minorHAnsi" w:cstheme="minorHAnsi"/>
              </w:rPr>
              <w:t>Guarantee Amendment Act 2019</w:t>
            </w:r>
            <w:r>
              <w:rPr>
                <w:spacing w:val="-2"/>
              </w:rPr>
              <w:t xml:space="preserve"> was delayed and did not commence until 1 June 2020. </w:t>
            </w:r>
          </w:p>
          <w:p w14:paraId="705EA71F" w14:textId="1A693CA5" w:rsidR="00B02873" w:rsidRDefault="00B02873" w:rsidP="008C667D">
            <w:pPr>
              <w:pStyle w:val="TablebodyleftFinancialsTables"/>
              <w:spacing w:before="40" w:after="40"/>
            </w:pPr>
            <w:r>
              <w:t>The guidelines to assist public authorities in complying with the duties are due for completion by December 2022.</w:t>
            </w:r>
            <w:r w:rsidR="00012C04">
              <w:t xml:space="preserve"> </w:t>
            </w:r>
          </w:p>
        </w:tc>
      </w:tr>
    </w:tbl>
    <w:p w14:paraId="43205CDF" w14:textId="77777777" w:rsidR="00B02873" w:rsidRDefault="00B02873" w:rsidP="00FE198A"/>
    <w:p w14:paraId="4B97B80B" w14:textId="77777777" w:rsidR="00B02873" w:rsidRDefault="00B02873" w:rsidP="008C667D">
      <w:pPr>
        <w:pStyle w:val="TabletitleTables"/>
      </w:pPr>
      <w:r>
        <w:t>Incentive based regulation</w:t>
      </w:r>
    </w:p>
    <w:tbl>
      <w:tblPr>
        <w:tblStyle w:val="TableGrid"/>
        <w:tblW w:w="0" w:type="auto"/>
        <w:tblLayout w:type="fixed"/>
        <w:tblLook w:val="0020" w:firstRow="1" w:lastRow="0" w:firstColumn="0" w:lastColumn="0" w:noHBand="0" w:noVBand="0"/>
      </w:tblPr>
      <w:tblGrid>
        <w:gridCol w:w="1361"/>
        <w:gridCol w:w="2267"/>
        <w:gridCol w:w="1588"/>
        <w:gridCol w:w="4422"/>
      </w:tblGrid>
      <w:tr w:rsidR="00B02873" w:rsidRPr="00B02873" w14:paraId="732FDDD7" w14:textId="77777777" w:rsidTr="008C667D">
        <w:trPr>
          <w:cnfStyle w:val="100000000000" w:firstRow="1" w:lastRow="0" w:firstColumn="0" w:lastColumn="0" w:oddVBand="0" w:evenVBand="0" w:oddHBand="0" w:evenHBand="0" w:firstRowFirstColumn="0" w:firstRowLastColumn="0" w:lastRowFirstColumn="0" w:lastRowLastColumn="0"/>
          <w:tblHeader/>
        </w:trPr>
        <w:tc>
          <w:tcPr>
            <w:tcW w:w="1361" w:type="dxa"/>
          </w:tcPr>
          <w:p w14:paraId="167C6074" w14:textId="77777777" w:rsidR="00B02873" w:rsidRPr="008C667D" w:rsidRDefault="00B02873" w:rsidP="008C667D">
            <w:pPr>
              <w:pStyle w:val="TableheadingleftFinancialsTables"/>
              <w:spacing w:before="40" w:after="40"/>
              <w:rPr>
                <w:szCs w:val="20"/>
              </w:rPr>
            </w:pPr>
            <w:r w:rsidRPr="008C667D">
              <w:rPr>
                <w:szCs w:val="20"/>
              </w:rPr>
              <w:t>Area</w:t>
            </w:r>
          </w:p>
        </w:tc>
        <w:tc>
          <w:tcPr>
            <w:tcW w:w="2267" w:type="dxa"/>
          </w:tcPr>
          <w:p w14:paraId="3C8D0F8B" w14:textId="2311268E" w:rsidR="00B02873" w:rsidRPr="008C667D" w:rsidRDefault="00B02873" w:rsidP="008C667D">
            <w:pPr>
              <w:pStyle w:val="TableheadingleftFinancialsTables"/>
              <w:spacing w:before="40" w:after="40"/>
              <w:rPr>
                <w:szCs w:val="20"/>
              </w:rPr>
            </w:pPr>
            <w:r w:rsidRPr="008C667D">
              <w:rPr>
                <w:szCs w:val="20"/>
              </w:rPr>
              <w:t>Improvement Measure</w:t>
            </w:r>
            <w:r w:rsidR="000C45FC" w:rsidRPr="008C667D">
              <w:rPr>
                <w:szCs w:val="20"/>
              </w:rPr>
              <w:t xml:space="preserve"> – </w:t>
            </w:r>
            <w:r w:rsidRPr="008C667D">
              <w:rPr>
                <w:szCs w:val="20"/>
              </w:rPr>
              <w:t>Incentive based regulation</w:t>
            </w:r>
          </w:p>
        </w:tc>
        <w:tc>
          <w:tcPr>
            <w:tcW w:w="1588" w:type="dxa"/>
          </w:tcPr>
          <w:p w14:paraId="0A9A1354" w14:textId="77777777" w:rsidR="00B02873" w:rsidRPr="008C667D" w:rsidRDefault="00B02873" w:rsidP="008C667D">
            <w:pPr>
              <w:pStyle w:val="TableheadingleftFinancialsTables"/>
              <w:spacing w:before="40" w:after="40"/>
              <w:rPr>
                <w:szCs w:val="20"/>
              </w:rPr>
            </w:pPr>
            <w:r w:rsidRPr="008C667D">
              <w:rPr>
                <w:szCs w:val="20"/>
              </w:rPr>
              <w:t>Target</w:t>
            </w:r>
          </w:p>
        </w:tc>
        <w:tc>
          <w:tcPr>
            <w:tcW w:w="4422" w:type="dxa"/>
          </w:tcPr>
          <w:p w14:paraId="53E42A19" w14:textId="77777777" w:rsidR="00B02873" w:rsidRPr="008C667D" w:rsidRDefault="00B02873" w:rsidP="008C667D">
            <w:pPr>
              <w:pStyle w:val="TableheadingleftFinancialsTables"/>
              <w:spacing w:before="40" w:after="40"/>
              <w:rPr>
                <w:szCs w:val="20"/>
              </w:rPr>
            </w:pPr>
            <w:r w:rsidRPr="008C667D">
              <w:rPr>
                <w:szCs w:val="20"/>
              </w:rPr>
              <w:t xml:space="preserve">Progress </w:t>
            </w:r>
          </w:p>
        </w:tc>
      </w:tr>
      <w:tr w:rsidR="00B02873" w:rsidRPr="00B02873" w14:paraId="43C904BE" w14:textId="77777777" w:rsidTr="008C667D">
        <w:tc>
          <w:tcPr>
            <w:tcW w:w="1361" w:type="dxa"/>
          </w:tcPr>
          <w:p w14:paraId="0E5E7C5E" w14:textId="02D7C29C" w:rsidR="00B02873" w:rsidRPr="008C667D" w:rsidRDefault="00B02873" w:rsidP="008C667D">
            <w:pPr>
              <w:pStyle w:val="TablebodyleftFinancialsTables"/>
              <w:spacing w:before="40" w:after="40"/>
              <w:rPr>
                <w:szCs w:val="20"/>
              </w:rPr>
            </w:pPr>
            <w:r w:rsidRPr="008C667D">
              <w:rPr>
                <w:szCs w:val="20"/>
              </w:rPr>
              <w:t>Tour operators</w:t>
            </w:r>
          </w:p>
        </w:tc>
        <w:tc>
          <w:tcPr>
            <w:tcW w:w="2267" w:type="dxa"/>
          </w:tcPr>
          <w:p w14:paraId="59D5CDFB" w14:textId="77777777" w:rsidR="00B02873" w:rsidRPr="008C667D" w:rsidRDefault="00B02873" w:rsidP="008C667D">
            <w:pPr>
              <w:pStyle w:val="TablebodyleftFinancialsTables"/>
              <w:spacing w:before="40" w:after="40"/>
              <w:rPr>
                <w:szCs w:val="20"/>
              </w:rPr>
            </w:pPr>
            <w:r w:rsidRPr="008C667D">
              <w:rPr>
                <w:szCs w:val="20"/>
              </w:rPr>
              <w:t>Work collaboratively with Parks Victoria to offer longer licences for businesses with a history of full compliance.</w:t>
            </w:r>
          </w:p>
        </w:tc>
        <w:tc>
          <w:tcPr>
            <w:tcW w:w="1588" w:type="dxa"/>
          </w:tcPr>
          <w:p w14:paraId="7A4BF9FC" w14:textId="37E68E82" w:rsidR="00B02873" w:rsidRPr="008C667D" w:rsidRDefault="00B02873" w:rsidP="008C667D">
            <w:pPr>
              <w:pStyle w:val="TablebodyleftFinancialsTables"/>
              <w:spacing w:before="40" w:after="40"/>
              <w:rPr>
                <w:szCs w:val="20"/>
              </w:rPr>
            </w:pPr>
            <w:r w:rsidRPr="008C667D">
              <w:rPr>
                <w:szCs w:val="20"/>
              </w:rPr>
              <w:t>Prepare and release a policy update document including new licence terms by 31 July 2018.</w:t>
            </w:r>
            <w:r w:rsidR="00012C04" w:rsidRPr="008C667D">
              <w:rPr>
                <w:szCs w:val="20"/>
              </w:rPr>
              <w:t xml:space="preserve"> </w:t>
            </w:r>
            <w:r w:rsidRPr="008C667D">
              <w:rPr>
                <w:szCs w:val="20"/>
              </w:rPr>
              <w:t>Publicly report on the take-up of longer licences by 30 June 2019.</w:t>
            </w:r>
          </w:p>
        </w:tc>
        <w:tc>
          <w:tcPr>
            <w:tcW w:w="4422" w:type="dxa"/>
          </w:tcPr>
          <w:p w14:paraId="4FC236A7" w14:textId="77777777" w:rsidR="00B02873" w:rsidRPr="008C667D" w:rsidRDefault="00B02873" w:rsidP="008C667D">
            <w:pPr>
              <w:pStyle w:val="TablebodyleftFinancialsTables"/>
              <w:spacing w:before="40" w:after="40"/>
              <w:rPr>
                <w:szCs w:val="20"/>
              </w:rPr>
            </w:pPr>
            <w:r w:rsidRPr="008C667D">
              <w:rPr>
                <w:szCs w:val="20"/>
              </w:rPr>
              <w:t>Since the policy update was introduced in May 2018, there has been a significant uptake of longer licences on land managed by Parks Victoria and DELWP. Multiyear licences (total of 229) in 2021-22 outnumbered one year licences for the first time:</w:t>
            </w:r>
          </w:p>
          <w:p w14:paraId="68B7731E" w14:textId="77777777" w:rsidR="00B02873" w:rsidRPr="008C667D" w:rsidRDefault="00B02873" w:rsidP="008C667D">
            <w:pPr>
              <w:pStyle w:val="TableBulletleftTables"/>
              <w:spacing w:before="40" w:after="40"/>
              <w:rPr>
                <w:sz w:val="20"/>
                <w:szCs w:val="20"/>
              </w:rPr>
            </w:pPr>
            <w:r w:rsidRPr="008C667D">
              <w:rPr>
                <w:sz w:val="20"/>
                <w:szCs w:val="20"/>
              </w:rPr>
              <w:t>143 operators with a three year licence</w:t>
            </w:r>
          </w:p>
          <w:p w14:paraId="60C8268E" w14:textId="77777777" w:rsidR="00B02873" w:rsidRPr="008C667D" w:rsidRDefault="00B02873" w:rsidP="008C667D">
            <w:pPr>
              <w:pStyle w:val="TableBulletleftTables"/>
              <w:spacing w:before="40" w:after="40"/>
              <w:rPr>
                <w:sz w:val="20"/>
                <w:szCs w:val="20"/>
              </w:rPr>
            </w:pPr>
            <w:r w:rsidRPr="008C667D">
              <w:rPr>
                <w:sz w:val="20"/>
                <w:szCs w:val="20"/>
              </w:rPr>
              <w:t>66 operators with a five year licence</w:t>
            </w:r>
          </w:p>
          <w:p w14:paraId="797BFB8F" w14:textId="77777777" w:rsidR="00B02873" w:rsidRPr="008C667D" w:rsidRDefault="00B02873" w:rsidP="008C667D">
            <w:pPr>
              <w:pStyle w:val="TableBulletleftTables"/>
              <w:spacing w:before="40" w:after="40"/>
              <w:rPr>
                <w:sz w:val="20"/>
                <w:szCs w:val="20"/>
              </w:rPr>
            </w:pPr>
            <w:r w:rsidRPr="008C667D">
              <w:rPr>
                <w:sz w:val="20"/>
                <w:szCs w:val="20"/>
              </w:rPr>
              <w:t>20 operators with a 10 year licence</w:t>
            </w:r>
          </w:p>
          <w:p w14:paraId="246EA552" w14:textId="77777777" w:rsidR="00B02873" w:rsidRPr="008C667D" w:rsidRDefault="00B02873" w:rsidP="008C667D">
            <w:pPr>
              <w:pStyle w:val="TableBulletleftTables"/>
              <w:spacing w:before="40" w:after="40"/>
              <w:rPr>
                <w:sz w:val="20"/>
                <w:szCs w:val="20"/>
              </w:rPr>
            </w:pPr>
            <w:r w:rsidRPr="008C667D">
              <w:rPr>
                <w:sz w:val="20"/>
                <w:szCs w:val="20"/>
              </w:rPr>
              <w:t>220 operators with a one year licence.</w:t>
            </w:r>
          </w:p>
        </w:tc>
      </w:tr>
    </w:tbl>
    <w:p w14:paraId="11C7D195" w14:textId="77777777" w:rsidR="00B02873" w:rsidRDefault="00B02873" w:rsidP="00FE198A"/>
    <w:p w14:paraId="39BFEB77" w14:textId="77777777" w:rsidR="00B02873" w:rsidRDefault="00B02873" w:rsidP="008C667D">
      <w:pPr>
        <w:pStyle w:val="TabletitleTables"/>
      </w:pPr>
      <w:r>
        <w:t>Accountability and transparency</w:t>
      </w:r>
    </w:p>
    <w:tbl>
      <w:tblPr>
        <w:tblStyle w:val="TableGrid"/>
        <w:tblW w:w="0" w:type="auto"/>
        <w:tblLayout w:type="fixed"/>
        <w:tblLook w:val="0020" w:firstRow="1" w:lastRow="0" w:firstColumn="0" w:lastColumn="0" w:noHBand="0" w:noVBand="0"/>
      </w:tblPr>
      <w:tblGrid>
        <w:gridCol w:w="1361"/>
        <w:gridCol w:w="2267"/>
        <w:gridCol w:w="1588"/>
        <w:gridCol w:w="4422"/>
      </w:tblGrid>
      <w:tr w:rsidR="00B02873" w:rsidRPr="00B02873" w14:paraId="675159EA" w14:textId="77777777" w:rsidTr="00597D04">
        <w:trPr>
          <w:cnfStyle w:val="100000000000" w:firstRow="1" w:lastRow="0" w:firstColumn="0" w:lastColumn="0" w:oddVBand="0" w:evenVBand="0" w:oddHBand="0" w:evenHBand="0" w:firstRowFirstColumn="0" w:firstRowLastColumn="0" w:lastRowFirstColumn="0" w:lastRowLastColumn="0"/>
          <w:trHeight w:val="60"/>
          <w:tblHeader/>
        </w:trPr>
        <w:tc>
          <w:tcPr>
            <w:tcW w:w="1361" w:type="dxa"/>
          </w:tcPr>
          <w:p w14:paraId="12B8FFC3" w14:textId="77777777" w:rsidR="00B02873" w:rsidRDefault="00B02873" w:rsidP="00597D04">
            <w:pPr>
              <w:pStyle w:val="TableheadingleftFinancialsTables"/>
              <w:spacing w:before="40" w:after="40"/>
            </w:pPr>
            <w:r>
              <w:t>Area</w:t>
            </w:r>
          </w:p>
        </w:tc>
        <w:tc>
          <w:tcPr>
            <w:tcW w:w="2267" w:type="dxa"/>
          </w:tcPr>
          <w:p w14:paraId="5E3892E9" w14:textId="11DFC66E" w:rsidR="00B02873" w:rsidRDefault="00B02873" w:rsidP="00597D04">
            <w:pPr>
              <w:pStyle w:val="TableheadingleftFinancialsTables"/>
              <w:spacing w:before="40" w:after="40"/>
            </w:pPr>
            <w:r>
              <w:t>Improvement Measure</w:t>
            </w:r>
            <w:r w:rsidR="000C45FC">
              <w:t xml:space="preserve"> – </w:t>
            </w:r>
            <w:r>
              <w:t>Accountability and Transparency</w:t>
            </w:r>
          </w:p>
        </w:tc>
        <w:tc>
          <w:tcPr>
            <w:tcW w:w="1588" w:type="dxa"/>
          </w:tcPr>
          <w:p w14:paraId="3B68E1E4" w14:textId="77777777" w:rsidR="00B02873" w:rsidRDefault="00B02873" w:rsidP="00597D04">
            <w:pPr>
              <w:pStyle w:val="TableheadingleftFinancialsTables"/>
              <w:spacing w:before="40" w:after="40"/>
            </w:pPr>
            <w:r>
              <w:t>Target</w:t>
            </w:r>
          </w:p>
        </w:tc>
        <w:tc>
          <w:tcPr>
            <w:tcW w:w="4422" w:type="dxa"/>
          </w:tcPr>
          <w:p w14:paraId="41AEBB39" w14:textId="77777777" w:rsidR="00B02873" w:rsidRDefault="00B02873" w:rsidP="00597D04">
            <w:pPr>
              <w:pStyle w:val="TableheadingleftFinancialsTables"/>
              <w:spacing w:before="40" w:after="40"/>
            </w:pPr>
            <w:r>
              <w:t xml:space="preserve">Progress </w:t>
            </w:r>
          </w:p>
        </w:tc>
      </w:tr>
      <w:tr w:rsidR="00B02873" w:rsidRPr="00B02873" w14:paraId="1C1D54AA" w14:textId="77777777" w:rsidTr="008C667D">
        <w:trPr>
          <w:trHeight w:val="60"/>
        </w:trPr>
        <w:tc>
          <w:tcPr>
            <w:tcW w:w="1361" w:type="dxa"/>
          </w:tcPr>
          <w:p w14:paraId="36F3488A" w14:textId="77777777" w:rsidR="00B02873" w:rsidRDefault="00B02873" w:rsidP="00597D04">
            <w:pPr>
              <w:pStyle w:val="TablebodyleftFinancialsTables"/>
              <w:spacing w:before="40" w:after="40"/>
            </w:pPr>
            <w:r>
              <w:t>Native vegetation</w:t>
            </w:r>
          </w:p>
        </w:tc>
        <w:tc>
          <w:tcPr>
            <w:tcW w:w="2267" w:type="dxa"/>
          </w:tcPr>
          <w:p w14:paraId="2E32AA81" w14:textId="77777777" w:rsidR="00B02873" w:rsidRDefault="00B02873" w:rsidP="00597D04">
            <w:pPr>
              <w:pStyle w:val="TablebodyleftFinancialsTables"/>
              <w:spacing w:before="40" w:after="40"/>
            </w:pPr>
            <w:r>
              <w:t xml:space="preserve">The native vegetation regulations monitoring and reporting framework and an annual report on native vegetation removal and protection to be made public. </w:t>
            </w:r>
          </w:p>
        </w:tc>
        <w:tc>
          <w:tcPr>
            <w:tcW w:w="1588" w:type="dxa"/>
          </w:tcPr>
          <w:p w14:paraId="68C3DE91" w14:textId="77777777" w:rsidR="00B02873" w:rsidRDefault="00B02873" w:rsidP="00597D04">
            <w:pPr>
              <w:pStyle w:val="TablebodyleftFinancialsTables"/>
              <w:spacing w:before="40" w:after="40"/>
            </w:pPr>
            <w:r>
              <w:t>Report to be published on the DELWP website by 31 October 2018 (then annually).</w:t>
            </w:r>
          </w:p>
        </w:tc>
        <w:tc>
          <w:tcPr>
            <w:tcW w:w="4422" w:type="dxa"/>
          </w:tcPr>
          <w:p w14:paraId="3D3E5A5C" w14:textId="523513CD" w:rsidR="00B02873" w:rsidRDefault="00B02873" w:rsidP="00597D04">
            <w:pPr>
              <w:pStyle w:val="TablebodyleftFinancialsTables"/>
              <w:spacing w:before="40" w:after="40"/>
            </w:pPr>
            <w:r>
              <w:t xml:space="preserve">Since the inaugural annual report on the operation of the native vegetation removals regulations was published in December 2018, a further three annual reports have been published (2018-19, 2019-20 and 2020-21). The three-yearly report on the operation of the native vegetation removal regulations was published in July 2021. These and the monitoring and evaluation plan are available on DELWP’s website </w:t>
            </w:r>
            <w:hyperlink r:id="rId126" w:history="1">
              <w:r w:rsidRPr="00597D04">
                <w:rPr>
                  <w:rStyle w:val="Hyperlink"/>
                </w:rPr>
                <w:t>https://www.environment.vic.gov.au/native-vegetation/native-vegetation</w:t>
              </w:r>
            </w:hyperlink>
            <w:r w:rsidRPr="00597D04">
              <w:rPr>
                <w:rStyle w:val="Hyperlink"/>
              </w:rPr>
              <w:t>.</w:t>
            </w:r>
          </w:p>
        </w:tc>
      </w:tr>
      <w:tr w:rsidR="00B02873" w:rsidRPr="00B02873" w14:paraId="3B535A97" w14:textId="77777777" w:rsidTr="008C667D">
        <w:trPr>
          <w:trHeight w:val="60"/>
        </w:trPr>
        <w:tc>
          <w:tcPr>
            <w:tcW w:w="1361" w:type="dxa"/>
          </w:tcPr>
          <w:p w14:paraId="2C45BE0C" w14:textId="77777777" w:rsidR="00B02873" w:rsidRDefault="00B02873" w:rsidP="00597D04">
            <w:pPr>
              <w:pStyle w:val="TablebodyleftFinancialsTables"/>
              <w:spacing w:before="40" w:after="40"/>
            </w:pPr>
            <w:r>
              <w:lastRenderedPageBreak/>
              <w:t>Wildlife</w:t>
            </w:r>
          </w:p>
        </w:tc>
        <w:tc>
          <w:tcPr>
            <w:tcW w:w="2267" w:type="dxa"/>
          </w:tcPr>
          <w:p w14:paraId="0A98A65C" w14:textId="77777777" w:rsidR="00B02873" w:rsidRDefault="00B02873" w:rsidP="00597D04">
            <w:pPr>
              <w:pStyle w:val="TablebodyleftFinancialsTables"/>
              <w:spacing w:before="40" w:after="40"/>
            </w:pPr>
            <w:r>
              <w:t xml:space="preserve">Improve governance with greater accountability and transparency of decision-making across the licensing process. </w:t>
            </w:r>
          </w:p>
        </w:tc>
        <w:tc>
          <w:tcPr>
            <w:tcW w:w="1588" w:type="dxa"/>
          </w:tcPr>
          <w:p w14:paraId="1D32BC4A" w14:textId="77777777" w:rsidR="00B02873" w:rsidRDefault="00B02873" w:rsidP="00597D04">
            <w:pPr>
              <w:pStyle w:val="TablebodyleftFinancialsTables"/>
              <w:spacing w:before="40" w:after="40"/>
            </w:pPr>
            <w:r>
              <w:t xml:space="preserve">Introduce the Online Wildlife Licensing System (OWLS) by 30 June 2019. </w:t>
            </w:r>
          </w:p>
        </w:tc>
        <w:tc>
          <w:tcPr>
            <w:tcW w:w="4422" w:type="dxa"/>
          </w:tcPr>
          <w:p w14:paraId="3E6E2472" w14:textId="50057450" w:rsidR="00B02873" w:rsidRDefault="00B02873" w:rsidP="00597D04">
            <w:pPr>
              <w:pStyle w:val="TablebodyleftFinancialsTables"/>
              <w:spacing w:before="40" w:after="40"/>
              <w:rPr>
                <w:spacing w:val="-2"/>
              </w:rPr>
            </w:pPr>
            <w:r>
              <w:rPr>
                <w:spacing w:val="-2"/>
              </w:rPr>
              <w:t>The OWLS project was discontinued in 2020.</w:t>
            </w:r>
            <w:r w:rsidR="00012C04">
              <w:rPr>
                <w:spacing w:val="-2"/>
              </w:rPr>
              <w:t xml:space="preserve"> </w:t>
            </w:r>
          </w:p>
          <w:p w14:paraId="227900C8" w14:textId="094FC852" w:rsidR="00B02873" w:rsidRDefault="00B02873" w:rsidP="00597D04">
            <w:pPr>
              <w:pStyle w:val="TablebodyleftFinancialsTables"/>
              <w:spacing w:before="40" w:after="40"/>
              <w:rPr>
                <w:spacing w:val="-2"/>
              </w:rPr>
            </w:pPr>
            <w:r>
              <w:rPr>
                <w:spacing w:val="-2"/>
              </w:rPr>
              <w:t>Following public consultation in 2017, guidelines for applicants on when and how to submit an Authority to Control Wildlife (ATCW) application were published by the Conservation Regulator in late 2020.</w:t>
            </w:r>
            <w:r w:rsidR="00012C04">
              <w:rPr>
                <w:spacing w:val="-2"/>
              </w:rPr>
              <w:t xml:space="preserve"> </w:t>
            </w:r>
            <w:r>
              <w:rPr>
                <w:spacing w:val="-2"/>
              </w:rPr>
              <w:t>These were updated in February 2022 to support new online application processes.</w:t>
            </w:r>
          </w:p>
          <w:p w14:paraId="171FCA8E" w14:textId="28EB4D2D" w:rsidR="00B02873" w:rsidRDefault="00B02873" w:rsidP="00597D04">
            <w:pPr>
              <w:pStyle w:val="TablebodyleftFinancialsTables"/>
              <w:spacing w:before="40" w:after="40"/>
              <w:rPr>
                <w:spacing w:val="-2"/>
              </w:rPr>
            </w:pPr>
            <w:r>
              <w:rPr>
                <w:spacing w:val="-2"/>
              </w:rPr>
              <w:t>Internal guidance has also been developed to ensure a consistent and effective approach to assessing ATCW applications.</w:t>
            </w:r>
          </w:p>
          <w:p w14:paraId="39AA7185" w14:textId="77777777" w:rsidR="00B02873" w:rsidRDefault="00B02873" w:rsidP="00597D04">
            <w:pPr>
              <w:pStyle w:val="TablebodyleftFinancialsTables"/>
              <w:spacing w:before="40" w:after="40"/>
              <w:rPr>
                <w:spacing w:val="-2"/>
              </w:rPr>
            </w:pPr>
            <w:r>
              <w:rPr>
                <w:spacing w:val="-2"/>
              </w:rPr>
              <w:t>An online ATCW application option was made available to landholders in February 2022 offering a streamlined approach for applications that helps reduce processing times.</w:t>
            </w:r>
          </w:p>
          <w:p w14:paraId="5AD1BD2D" w14:textId="77777777" w:rsidR="00B02873" w:rsidRDefault="00B02873" w:rsidP="00597D04">
            <w:pPr>
              <w:pStyle w:val="TablebodyleftFinancialsTables"/>
              <w:spacing w:before="40" w:after="40"/>
            </w:pPr>
            <w:r>
              <w:rPr>
                <w:spacing w:val="-2"/>
              </w:rPr>
              <w:t xml:space="preserve">The Conservation Regulator releases annual data in relation to the number of all licenses and permits issued for improved accountability and transparency on its website. </w:t>
            </w:r>
          </w:p>
        </w:tc>
      </w:tr>
    </w:tbl>
    <w:p w14:paraId="07C71446" w14:textId="77777777" w:rsidR="00B02873" w:rsidRDefault="00B02873" w:rsidP="00FE198A"/>
    <w:p w14:paraId="7B61647E" w14:textId="77777777" w:rsidR="00B02873" w:rsidRDefault="00B02873" w:rsidP="00597D04">
      <w:pPr>
        <w:pStyle w:val="Heading3"/>
      </w:pPr>
      <w:r>
        <w:t>Planning</w:t>
      </w:r>
    </w:p>
    <w:p w14:paraId="62593646" w14:textId="77777777" w:rsidR="00B02873" w:rsidRDefault="00B02873" w:rsidP="00FE198A">
      <w:r>
        <w:t>In March 2021, the Minister for Planning wrote to Heritage Victoria, providing a SoE to reduce red tape affecting businesses, not-for-profit organisations, government service providers and households by promoting greater efficiency and effectiveness in the administration and enforcement of regulation. The SoE targets continued in 2021-22, while a new SoE Framework was being developed by the Victorian Government.</w:t>
      </w:r>
    </w:p>
    <w:p w14:paraId="1384090E" w14:textId="77777777" w:rsidR="00B02873" w:rsidRDefault="00B02873" w:rsidP="00597D04">
      <w:pPr>
        <w:pStyle w:val="TabletitleTables"/>
      </w:pPr>
      <w:r>
        <w:t>2021-22 progress</w:t>
      </w:r>
    </w:p>
    <w:tbl>
      <w:tblPr>
        <w:tblStyle w:val="TableGrid"/>
        <w:tblW w:w="0" w:type="auto"/>
        <w:tblLayout w:type="fixed"/>
        <w:tblLook w:val="0020" w:firstRow="1" w:lastRow="0" w:firstColumn="0" w:lastColumn="0" w:noHBand="0" w:noVBand="0"/>
      </w:tblPr>
      <w:tblGrid>
        <w:gridCol w:w="3118"/>
        <w:gridCol w:w="6510"/>
      </w:tblGrid>
      <w:tr w:rsidR="00B02873" w:rsidRPr="00B02873" w14:paraId="19F0A37B" w14:textId="77777777" w:rsidTr="00597D04">
        <w:trPr>
          <w:cnfStyle w:val="100000000000" w:firstRow="1" w:lastRow="0" w:firstColumn="0" w:lastColumn="0" w:oddVBand="0" w:evenVBand="0" w:oddHBand="0" w:evenHBand="0" w:firstRowFirstColumn="0" w:firstRowLastColumn="0" w:lastRowFirstColumn="0" w:lastRowLastColumn="0"/>
          <w:tblHeader/>
        </w:trPr>
        <w:tc>
          <w:tcPr>
            <w:tcW w:w="3118" w:type="dxa"/>
          </w:tcPr>
          <w:p w14:paraId="4B5C0799" w14:textId="77777777" w:rsidR="00B02873" w:rsidRDefault="00B02873" w:rsidP="00597D04">
            <w:pPr>
              <w:pStyle w:val="TableheadingleftFinancialsTables"/>
              <w:spacing w:before="40" w:after="40"/>
            </w:pPr>
            <w:r>
              <w:t>Statement of Expectations Target</w:t>
            </w:r>
          </w:p>
        </w:tc>
        <w:tc>
          <w:tcPr>
            <w:tcW w:w="6510" w:type="dxa"/>
          </w:tcPr>
          <w:p w14:paraId="249C4430" w14:textId="77777777" w:rsidR="00B02873" w:rsidRDefault="00B02873" w:rsidP="00597D04">
            <w:pPr>
              <w:pStyle w:val="TableheadingleftFinancialsTables"/>
              <w:spacing w:before="40" w:after="40"/>
            </w:pPr>
            <w:r>
              <w:t>2021-22 progress</w:t>
            </w:r>
          </w:p>
        </w:tc>
      </w:tr>
      <w:tr w:rsidR="00B02873" w:rsidRPr="00B02873" w14:paraId="441DEAC4" w14:textId="77777777" w:rsidTr="00597D04">
        <w:tc>
          <w:tcPr>
            <w:tcW w:w="3118" w:type="dxa"/>
          </w:tcPr>
          <w:p w14:paraId="3FBC6872" w14:textId="77777777" w:rsidR="00B02873" w:rsidRDefault="00B02873" w:rsidP="00597D04">
            <w:pPr>
              <w:pStyle w:val="TablebodyleftFinancialsTables"/>
              <w:spacing w:before="40" w:after="40"/>
            </w:pPr>
            <w:r>
              <w:t xml:space="preserve">Implement communication strategies to ensure information regarding Heritage Victoria’s statutory responsibilities under the </w:t>
            </w:r>
            <w:r w:rsidRPr="00597D04">
              <w:rPr>
                <w:rStyle w:val="LightItalic"/>
                <w:rFonts w:asciiTheme="minorHAnsi" w:hAnsiTheme="minorHAnsi" w:cstheme="minorHAnsi"/>
                <w:szCs w:val="20"/>
              </w:rPr>
              <w:t>Heritage Act 2017</w:t>
            </w:r>
            <w:r w:rsidRPr="00546E03">
              <w:rPr>
                <w:rStyle w:val="LightItalic"/>
                <w:rFonts w:ascii="Arial" w:hAnsi="Arial" w:cs="VIC"/>
                <w:szCs w:val="20"/>
              </w:rPr>
              <w:t xml:space="preserve"> </w:t>
            </w:r>
            <w:r>
              <w:t>are clearly articulated to its stakeholders.</w:t>
            </w:r>
          </w:p>
        </w:tc>
        <w:tc>
          <w:tcPr>
            <w:tcW w:w="6510" w:type="dxa"/>
          </w:tcPr>
          <w:p w14:paraId="39FFB12F" w14:textId="275C1AEA" w:rsidR="00B02873" w:rsidRDefault="00B02873" w:rsidP="00597D04">
            <w:pPr>
              <w:pStyle w:val="TablebodyleftFinancialsTables"/>
              <w:spacing w:before="40" w:after="40"/>
              <w:rPr>
                <w:spacing w:val="-2"/>
              </w:rPr>
            </w:pPr>
            <w:r>
              <w:rPr>
                <w:spacing w:val="-2"/>
              </w:rPr>
              <w:t>Since its launch in February 2021, the Heritage Website has continued to be a source of accessible information about Victoria’s significant heritage places and objects. The website recorded an average of over 10,000 user sessions per month and a monthly average of over 22,000 page views. Top stories included A history of LGBTIQ-Victoria: 2,689 page views; Ned Kelly’s childhood home: 2,090 page views; and Shipwreck discovery: 2,009 page views.</w:t>
            </w:r>
          </w:p>
          <w:p w14:paraId="213D34C3" w14:textId="77777777" w:rsidR="00B02873" w:rsidRDefault="00B02873" w:rsidP="00597D04">
            <w:pPr>
              <w:pStyle w:val="TablebodyleftFinancialsTables"/>
              <w:spacing w:before="40" w:after="40"/>
            </w:pPr>
            <w:r>
              <w:rPr>
                <w:spacing w:val="-2"/>
              </w:rPr>
              <w:t>To support the delivery of quality information to stakeholders, Heritage Victoria has developed internal guidelines for web authoring and preparing internal and external communications content.</w:t>
            </w:r>
          </w:p>
        </w:tc>
      </w:tr>
      <w:tr w:rsidR="00B02873" w:rsidRPr="00B02873" w14:paraId="5F080C47" w14:textId="77777777" w:rsidTr="00597D04">
        <w:tc>
          <w:tcPr>
            <w:tcW w:w="3118" w:type="dxa"/>
          </w:tcPr>
          <w:p w14:paraId="4AC43772" w14:textId="77777777" w:rsidR="00B02873" w:rsidRDefault="00B02873" w:rsidP="00597D04">
            <w:pPr>
              <w:pStyle w:val="TablebodyleftFinancialsTables"/>
              <w:spacing w:before="40" w:after="40"/>
            </w:pPr>
            <w:r>
              <w:lastRenderedPageBreak/>
              <w:t>Enhance existing systems which improve access and streamline processing of statutory approvals under the</w:t>
            </w:r>
            <w:r w:rsidRPr="00546E03">
              <w:rPr>
                <w:rStyle w:val="LightItalic"/>
                <w:rFonts w:ascii="Arial" w:hAnsi="Arial" w:cs="VIC"/>
                <w:sz w:val="16"/>
              </w:rPr>
              <w:t xml:space="preserve"> </w:t>
            </w:r>
            <w:r w:rsidRPr="00597D04">
              <w:rPr>
                <w:rStyle w:val="LightItalic"/>
                <w:rFonts w:asciiTheme="minorHAnsi" w:hAnsiTheme="minorHAnsi" w:cstheme="minorHAnsi"/>
                <w:szCs w:val="20"/>
              </w:rPr>
              <w:t>Heritage Act 2017.</w:t>
            </w:r>
          </w:p>
        </w:tc>
        <w:tc>
          <w:tcPr>
            <w:tcW w:w="6510" w:type="dxa"/>
          </w:tcPr>
          <w:p w14:paraId="648FECE0" w14:textId="77777777" w:rsidR="00B02873" w:rsidRDefault="00B02873" w:rsidP="00597D04">
            <w:pPr>
              <w:pStyle w:val="TablebodyleftFinancialsTables"/>
              <w:spacing w:before="40" w:after="40"/>
            </w:pPr>
            <w:r>
              <w:t>Heritage Victoria continued to update its primary database (HERMES Orion) in 2021-22 and the older version of the database was deactivated in June 2022. Work also began on the online forms dashboard (AppHub) which included updates and improvements to HERMES Orion to ensure successful integration of the two platforms. Key enhancements include:</w:t>
            </w:r>
          </w:p>
          <w:p w14:paraId="007F2CC3" w14:textId="3A789959" w:rsidR="00B02873" w:rsidRPr="00597D04" w:rsidRDefault="00B02873" w:rsidP="00597D04">
            <w:pPr>
              <w:pStyle w:val="TableBulletleftTables"/>
              <w:spacing w:before="40" w:after="40" w:line="240" w:lineRule="auto"/>
              <w:rPr>
                <w:sz w:val="20"/>
                <w:szCs w:val="14"/>
              </w:rPr>
            </w:pPr>
            <w:r w:rsidRPr="00597D04">
              <w:rPr>
                <w:sz w:val="20"/>
                <w:szCs w:val="14"/>
              </w:rPr>
              <w:t>updates and migration of local government data and processes to HERMES Orion based on workshops and feedback from users</w:t>
            </w:r>
          </w:p>
          <w:p w14:paraId="29E4F115" w14:textId="3F9FB4D6" w:rsidR="00B02873" w:rsidRPr="00597D04" w:rsidRDefault="00B02873" w:rsidP="00597D04">
            <w:pPr>
              <w:pStyle w:val="TableBulletleftTables"/>
              <w:spacing w:before="40" w:after="40" w:line="240" w:lineRule="auto"/>
              <w:rPr>
                <w:sz w:val="20"/>
                <w:szCs w:val="14"/>
              </w:rPr>
            </w:pPr>
            <w:r w:rsidRPr="00597D04">
              <w:rPr>
                <w:sz w:val="20"/>
                <w:szCs w:val="14"/>
              </w:rPr>
              <w:t>migration of all underwater cultural heritage data to HERMES Orion and an uplift of associated statutory processes</w:t>
            </w:r>
          </w:p>
          <w:p w14:paraId="4F018DF8" w14:textId="77777777" w:rsidR="00B02873" w:rsidRPr="00597D04" w:rsidRDefault="00B02873" w:rsidP="00597D04">
            <w:pPr>
              <w:pStyle w:val="TableBulletleftTables"/>
              <w:spacing w:before="40" w:after="40" w:line="240" w:lineRule="auto"/>
              <w:rPr>
                <w:sz w:val="20"/>
                <w:szCs w:val="14"/>
              </w:rPr>
            </w:pPr>
            <w:r w:rsidRPr="00597D04">
              <w:rPr>
                <w:sz w:val="20"/>
                <w:szCs w:val="14"/>
              </w:rPr>
              <w:t>migration of all external users to HERMES Orion</w:t>
            </w:r>
          </w:p>
          <w:p w14:paraId="09B0322F" w14:textId="77777777" w:rsidR="00B02873" w:rsidRPr="00597D04" w:rsidRDefault="00B02873" w:rsidP="00597D04">
            <w:pPr>
              <w:pStyle w:val="TableBulletleftTables"/>
              <w:spacing w:before="40" w:after="40" w:line="240" w:lineRule="auto"/>
              <w:rPr>
                <w:sz w:val="20"/>
                <w:szCs w:val="14"/>
              </w:rPr>
            </w:pPr>
            <w:r w:rsidRPr="00597D04">
              <w:rPr>
                <w:sz w:val="20"/>
                <w:szCs w:val="14"/>
              </w:rPr>
              <w:t>new features to allow interaction with AppHub including Message Function and the ability to send correspondence and attachments between the two</w:t>
            </w:r>
          </w:p>
          <w:p w14:paraId="4781F104" w14:textId="77777777" w:rsidR="00B02873" w:rsidRDefault="00B02873" w:rsidP="00597D04">
            <w:pPr>
              <w:pStyle w:val="TableBulletleftTables"/>
              <w:spacing w:before="40" w:after="40" w:line="240" w:lineRule="auto"/>
            </w:pPr>
            <w:r w:rsidRPr="00597D04">
              <w:rPr>
                <w:sz w:val="20"/>
                <w:szCs w:val="14"/>
              </w:rPr>
              <w:t>continued refinement of event steps, reporting and search functionality.</w:t>
            </w:r>
          </w:p>
        </w:tc>
      </w:tr>
      <w:tr w:rsidR="00B02873" w:rsidRPr="00B02873" w14:paraId="496153F8" w14:textId="77777777" w:rsidTr="00597D04">
        <w:tc>
          <w:tcPr>
            <w:tcW w:w="3118" w:type="dxa"/>
          </w:tcPr>
          <w:p w14:paraId="52CBFA3A" w14:textId="77777777" w:rsidR="00B02873" w:rsidRPr="00597D04" w:rsidRDefault="00B02873" w:rsidP="00597D04">
            <w:pPr>
              <w:pStyle w:val="TablebodyleftFinancialsTables"/>
              <w:spacing w:before="40" w:after="40"/>
              <w:rPr>
                <w:rFonts w:asciiTheme="minorHAnsi" w:hAnsiTheme="minorHAnsi" w:cstheme="minorHAnsi"/>
              </w:rPr>
            </w:pPr>
            <w:r w:rsidRPr="00597D04">
              <w:rPr>
                <w:rFonts w:asciiTheme="minorHAnsi" w:hAnsiTheme="minorHAnsi" w:cstheme="minorHAnsi"/>
              </w:rPr>
              <w:t xml:space="preserve">Develop tools which improve internal practices, systems and visibility of data to ensure Heritage Victoria fulfils its regulatory obligations under the </w:t>
            </w:r>
            <w:r w:rsidRPr="00597D04">
              <w:rPr>
                <w:rStyle w:val="LightItalic"/>
                <w:rFonts w:asciiTheme="minorHAnsi" w:hAnsiTheme="minorHAnsi" w:cstheme="minorHAnsi"/>
                <w:szCs w:val="20"/>
              </w:rPr>
              <w:t>Heritage Act 2017</w:t>
            </w:r>
            <w:r w:rsidRPr="00597D04">
              <w:rPr>
                <w:rFonts w:asciiTheme="minorHAnsi" w:hAnsiTheme="minorHAnsi" w:cstheme="minorHAnsi"/>
              </w:rPr>
              <w:t>, while achieving the best possible outcome for stakeholders.</w:t>
            </w:r>
          </w:p>
        </w:tc>
        <w:tc>
          <w:tcPr>
            <w:tcW w:w="6510" w:type="dxa"/>
          </w:tcPr>
          <w:p w14:paraId="764B5543" w14:textId="57C37DB7" w:rsidR="00B02873" w:rsidRDefault="00B02873" w:rsidP="00597D04">
            <w:pPr>
              <w:pStyle w:val="TablebodyleftFinancialsTables"/>
              <w:spacing w:before="40" w:after="40"/>
            </w:pPr>
            <w:r>
              <w:t xml:space="preserve">Heritage Victoria experienced an unprecedented number of reports of potential breaches of </w:t>
            </w:r>
            <w:r w:rsidRPr="00597D04">
              <w:rPr>
                <w:rFonts w:asciiTheme="minorHAnsi" w:hAnsiTheme="minorHAnsi" w:cstheme="minorHAnsi"/>
                <w:szCs w:val="20"/>
              </w:rPr>
              <w:t xml:space="preserve">the </w:t>
            </w:r>
            <w:r w:rsidRPr="00597D04">
              <w:rPr>
                <w:rStyle w:val="LightItalic"/>
                <w:rFonts w:asciiTheme="minorHAnsi" w:hAnsiTheme="minorHAnsi" w:cstheme="minorHAnsi"/>
                <w:szCs w:val="20"/>
              </w:rPr>
              <w:t>Heritage Act 2017</w:t>
            </w:r>
            <w:r>
              <w:t xml:space="preserve"> in 2021-22, requiring it to improve its data collection practices for alleged offences, templating letters and forms for improved consistency and the use of dashboard functionality for case management purposes.</w:t>
            </w:r>
          </w:p>
          <w:p w14:paraId="4312F582" w14:textId="77777777" w:rsidR="00B02873" w:rsidRDefault="00B02873" w:rsidP="00597D04">
            <w:pPr>
              <w:pStyle w:val="TablebodyleftFinancialsTables"/>
              <w:spacing w:before="40" w:after="40"/>
            </w:pPr>
            <w:r>
              <w:t xml:space="preserve">A Permit Conditions Manual has been produced and implemented from May 2022. This is currently an internal guidance document to provide assistance to heritage officers when writing permits and aims to save time, provide a consistent approach to permits issued under the </w:t>
            </w:r>
            <w:r w:rsidRPr="00597D04">
              <w:rPr>
                <w:rStyle w:val="LightItalic"/>
                <w:rFonts w:asciiTheme="minorHAnsi" w:hAnsiTheme="minorHAnsi" w:cstheme="minorHAnsi"/>
                <w:szCs w:val="20"/>
              </w:rPr>
              <w:t>Heritage Act 2017</w:t>
            </w:r>
            <w:r w:rsidRPr="00597D04">
              <w:rPr>
                <w:rFonts w:asciiTheme="minorHAnsi" w:hAnsiTheme="minorHAnsi" w:cstheme="minorHAnsi"/>
                <w:sz w:val="24"/>
                <w:szCs w:val="20"/>
              </w:rPr>
              <w:t xml:space="preserve"> </w:t>
            </w:r>
            <w:r>
              <w:t>and ensure conditions are sound and achieve the objectives intended.</w:t>
            </w:r>
          </w:p>
        </w:tc>
      </w:tr>
      <w:tr w:rsidR="00B02873" w:rsidRPr="00B02873" w14:paraId="5B74DB3E" w14:textId="77777777" w:rsidTr="00597D04">
        <w:tc>
          <w:tcPr>
            <w:tcW w:w="3118" w:type="dxa"/>
          </w:tcPr>
          <w:p w14:paraId="35DF1F78" w14:textId="77777777" w:rsidR="00B02873" w:rsidRDefault="00B02873" w:rsidP="00597D04">
            <w:pPr>
              <w:pStyle w:val="TablebodyleftFinancialsTables"/>
              <w:spacing w:before="40" w:after="40"/>
            </w:pPr>
            <w:r>
              <w:t xml:space="preserve">Utilise existing digital tools to improve transparency of internal operations, identify areas of improvement and redefine current operations to fulfil regulatory responsibilities under the </w:t>
            </w:r>
            <w:r w:rsidRPr="00677AD0">
              <w:rPr>
                <w:rStyle w:val="LightItalic"/>
                <w:rFonts w:asciiTheme="minorHAnsi" w:hAnsiTheme="minorHAnsi" w:cstheme="minorHAnsi"/>
                <w:szCs w:val="20"/>
              </w:rPr>
              <w:t>Heritage Act 2017</w:t>
            </w:r>
            <w:r w:rsidRPr="00677AD0">
              <w:rPr>
                <w:rFonts w:asciiTheme="minorHAnsi" w:hAnsiTheme="minorHAnsi" w:cstheme="minorHAnsi"/>
                <w:szCs w:val="20"/>
              </w:rPr>
              <w:t>.</w:t>
            </w:r>
          </w:p>
        </w:tc>
        <w:tc>
          <w:tcPr>
            <w:tcW w:w="6510" w:type="dxa"/>
          </w:tcPr>
          <w:p w14:paraId="4BC71848" w14:textId="60EADCEF" w:rsidR="00B02873" w:rsidRDefault="00B02873" w:rsidP="00597D04">
            <w:pPr>
              <w:pStyle w:val="TablebodyleftFinancialsTables"/>
              <w:spacing w:before="40" w:after="40"/>
            </w:pPr>
            <w:r>
              <w:t xml:space="preserve">Work has commenced on the Heritage Victoria pages of the DELWP website to improve permit applicants’ user experience. This work was largely completed by 30 June 2022. </w:t>
            </w:r>
          </w:p>
          <w:p w14:paraId="2FFB6C42" w14:textId="2D2AA31A" w:rsidR="00B02873" w:rsidRDefault="00B02873" w:rsidP="00597D04">
            <w:pPr>
              <w:pStyle w:val="TablebodyleftFinancialsTables"/>
              <w:spacing w:before="40" w:after="40"/>
            </w:pPr>
            <w:r>
              <w:t>New functionality has been developed in HERMES Orion for heritage permit reporting, as well as the ability to record the time taken to determine and issue permit exemption applications. The introduction of dashboard functionality within HERMES Orion has significantly improved visibility and management of officer workload and performance.</w:t>
            </w:r>
          </w:p>
        </w:tc>
      </w:tr>
      <w:tr w:rsidR="00B02873" w:rsidRPr="00B02873" w14:paraId="744491F3" w14:textId="77777777" w:rsidTr="00597D04">
        <w:tc>
          <w:tcPr>
            <w:tcW w:w="3118" w:type="dxa"/>
          </w:tcPr>
          <w:p w14:paraId="2D0BCD5D" w14:textId="77777777" w:rsidR="00B02873" w:rsidRDefault="00B02873" w:rsidP="00597D04">
            <w:pPr>
              <w:pStyle w:val="TablebodyleftFinancialsTables"/>
              <w:spacing w:before="40" w:after="40"/>
            </w:pPr>
            <w:r>
              <w:t xml:space="preserve">Develop guidelines to streamline the permit exemption process and reduce the administrative burden on owners, government asset managers, municipal councils and applicants when applying for Statutory approvals in accordance with the </w:t>
            </w:r>
            <w:r w:rsidRPr="00677AD0">
              <w:rPr>
                <w:rStyle w:val="LightItalic"/>
                <w:rFonts w:asciiTheme="minorHAnsi" w:hAnsiTheme="minorHAnsi" w:cstheme="minorHAnsi"/>
                <w:szCs w:val="20"/>
              </w:rPr>
              <w:t>Heritage Act 2017</w:t>
            </w:r>
            <w:r w:rsidRPr="00677AD0">
              <w:rPr>
                <w:rFonts w:asciiTheme="minorHAnsi" w:hAnsiTheme="minorHAnsi" w:cstheme="minorHAnsi"/>
                <w:szCs w:val="20"/>
              </w:rPr>
              <w:t>.</w:t>
            </w:r>
          </w:p>
        </w:tc>
        <w:tc>
          <w:tcPr>
            <w:tcW w:w="6510" w:type="dxa"/>
          </w:tcPr>
          <w:p w14:paraId="38D23B95" w14:textId="7FB53EEE" w:rsidR="00B02873" w:rsidRDefault="00B02873" w:rsidP="00597D04">
            <w:pPr>
              <w:pStyle w:val="TablebodyleftFinancialsTables"/>
              <w:spacing w:before="40" w:after="40"/>
            </w:pPr>
            <w:r>
              <w:t xml:space="preserve">The Incentivising Low Harm Proposals Project commenced in 2022 and is due to complete in February 2023. The policy stream of the project seeks to reduce the regulatory burden of the statutory approval process for registered places and objects by introducing 13 categories of works or activities which may be undertaken without the need to obtain approvals under the </w:t>
            </w:r>
            <w:r w:rsidRPr="00677AD0">
              <w:rPr>
                <w:rStyle w:val="LightItalic"/>
                <w:rFonts w:asciiTheme="minorHAnsi" w:hAnsiTheme="minorHAnsi" w:cstheme="minorHAnsi"/>
                <w:szCs w:val="20"/>
              </w:rPr>
              <w:t>Heritage Act 2017</w:t>
            </w:r>
            <w:r w:rsidRPr="00677AD0">
              <w:rPr>
                <w:rFonts w:asciiTheme="minorHAnsi" w:hAnsiTheme="minorHAnsi" w:cstheme="minorHAnsi"/>
                <w:szCs w:val="20"/>
              </w:rPr>
              <w:t>.</w:t>
            </w:r>
            <w:r>
              <w:t xml:space="preserve"> External consultation on all standing exemption categories has commenced, and initial drafting of eleven of the thirteen standing exemption categories has been completed and is subject to review. </w:t>
            </w:r>
          </w:p>
        </w:tc>
      </w:tr>
      <w:tr w:rsidR="00B02873" w:rsidRPr="00B02873" w14:paraId="51BEDE82" w14:textId="77777777" w:rsidTr="00597D04">
        <w:tc>
          <w:tcPr>
            <w:tcW w:w="3118" w:type="dxa"/>
          </w:tcPr>
          <w:p w14:paraId="05A01AC8" w14:textId="03A05C06" w:rsidR="00B02873" w:rsidRPr="00B02873" w:rsidRDefault="00677AD0" w:rsidP="00597D04">
            <w:pPr>
              <w:pStyle w:val="TablebodyleftFinancialsTables"/>
              <w:spacing w:before="40" w:after="40"/>
              <w:rPr>
                <w:rFonts w:ascii="VIC SemiBold" w:hAnsi="VIC SemiBold" w:cs="Times New Roman"/>
              </w:rPr>
            </w:pPr>
            <w:r>
              <w:lastRenderedPageBreak/>
              <w:t xml:space="preserve">Develop guidelines to streamline the permit exemption process and reduce the administrative burden on owners, government asset managers, municipal councils and applicants when applying for Statutory approvals in accordance with the </w:t>
            </w:r>
            <w:r w:rsidRPr="00677AD0">
              <w:rPr>
                <w:rStyle w:val="LightItalic"/>
                <w:rFonts w:asciiTheme="minorHAnsi" w:hAnsiTheme="minorHAnsi" w:cstheme="minorHAnsi"/>
                <w:szCs w:val="20"/>
              </w:rPr>
              <w:t>Heritage Act 2017</w:t>
            </w:r>
            <w:r w:rsidRPr="00677AD0">
              <w:rPr>
                <w:rFonts w:asciiTheme="minorHAnsi" w:hAnsiTheme="minorHAnsi" w:cstheme="minorHAnsi"/>
                <w:szCs w:val="20"/>
              </w:rPr>
              <w:t>.</w:t>
            </w:r>
          </w:p>
        </w:tc>
        <w:tc>
          <w:tcPr>
            <w:tcW w:w="6510" w:type="dxa"/>
          </w:tcPr>
          <w:p w14:paraId="6A3015BD" w14:textId="14980F50" w:rsidR="00B02873" w:rsidRDefault="00B02873" w:rsidP="00597D04">
            <w:pPr>
              <w:pStyle w:val="TablebodyleftFinancialsTables"/>
              <w:spacing w:before="40" w:after="40"/>
            </w:pPr>
            <w:r>
              <w:t>The other arm of the Incentivising Low Harm Proposals Project has delivered guidelines to better identify and assess low harm permit proposals and to expedite the assessment of proposals for solar installations and heritage protection plans.</w:t>
            </w:r>
            <w:r w:rsidR="00012C04">
              <w:t xml:space="preserve"> </w:t>
            </w:r>
            <w:r>
              <w:t>Drafting for a guideline for subdivision commenced in January and is scheduled for completion by September 2022. New officer reports and templates have also been created to streamline the assessment of low harm proposals. A Permit Procedures Manual has commenced and is expected to result in substantial efficiencies for permit officers as it will provide a definitive guide to all tasks, protocols and principles for permit assessment work.</w:t>
            </w:r>
          </w:p>
        </w:tc>
      </w:tr>
    </w:tbl>
    <w:p w14:paraId="226AFBD1" w14:textId="77777777" w:rsidR="00B02873" w:rsidRDefault="00B02873" w:rsidP="00FE198A"/>
    <w:p w14:paraId="4C9E5D21" w14:textId="77777777" w:rsidR="00B02873" w:rsidRDefault="00B02873" w:rsidP="00677AD0">
      <w:pPr>
        <w:pStyle w:val="Heading2"/>
      </w:pPr>
      <w:bookmarkStart w:id="91" w:name="_Toc117447374"/>
      <w:r>
        <w:t>Appendix 9: Municipal and Industrial Waste Levy (MIWL) Trust Account</w:t>
      </w:r>
      <w:bookmarkEnd w:id="91"/>
    </w:p>
    <w:p w14:paraId="72678D08" w14:textId="77777777" w:rsidR="00B02873" w:rsidRDefault="00B02873" w:rsidP="00FE198A">
      <w:r>
        <w:t xml:space="preserve">Victoria applies a levy on each tonne of municipal and industrial waste disposed to Victorian landfills. Section 448 of the </w:t>
      </w:r>
      <w:r w:rsidRPr="00677AD0">
        <w:rPr>
          <w:rStyle w:val="LightItalic"/>
          <w:rFonts w:asciiTheme="minorHAnsi" w:hAnsiTheme="minorHAnsi" w:cstheme="minorHAnsi"/>
        </w:rPr>
        <w:t>Environment Protection Act 2017</w:t>
      </w:r>
      <w:r w:rsidRPr="00677AD0">
        <w:rPr>
          <w:rFonts w:asciiTheme="minorHAnsi" w:hAnsiTheme="minorHAnsi" w:cstheme="minorHAnsi"/>
        </w:rPr>
        <w:t xml:space="preserve"> governs</w:t>
      </w:r>
      <w:r>
        <w:t xml:space="preserve"> the collection and distribution of the MIWL trust and determines how municipal and industrial waste levy revenue is to be managed and spent. </w:t>
      </w:r>
    </w:p>
    <w:p w14:paraId="099A6824" w14:textId="77777777" w:rsidR="00B02873" w:rsidRDefault="00B02873" w:rsidP="00FE198A">
      <w:r>
        <w:t>Under the Act, the Environment Protection Authority (EPA) is responsible for collecting municipal and industrial waste levies and transferring them to the MIWL Trust Account on a quarterly basis. The MIWL Trust Account is held and managed by DELWP.</w:t>
      </w:r>
    </w:p>
    <w:p w14:paraId="0399E6DA" w14:textId="77777777" w:rsidR="00B02873" w:rsidRDefault="00B02873" w:rsidP="00FE198A">
      <w:r>
        <w:t xml:space="preserve">The Act specifies which government agencies may receive payments from the MIWL Trust Account and requires that payments be made in accordance with a determination made by the Minister for Environment and Climate Action. </w:t>
      </w:r>
    </w:p>
    <w:p w14:paraId="4239EE65" w14:textId="19DA81E0" w:rsidR="00B02873" w:rsidRDefault="00B02873" w:rsidP="00FE198A">
      <w:r>
        <w:t>In 2021-22, $327 million cash was received from the EPA and $201 million was paid to portfolio agencies. The remaining cash balance of $126 million was transferred to the Sustainability Fund Account in accordance with section 449 (2) of the Act.</w:t>
      </w:r>
    </w:p>
    <w:p w14:paraId="437B712F" w14:textId="77777777" w:rsidR="00B02873" w:rsidRPr="00677AD0" w:rsidRDefault="00B02873" w:rsidP="00FE198A">
      <w:pPr>
        <w:rPr>
          <w:rFonts w:asciiTheme="minorHAnsi" w:hAnsiTheme="minorHAnsi" w:cstheme="minorHAnsi"/>
        </w:rPr>
      </w:pPr>
      <w:r w:rsidRPr="00677AD0">
        <w:rPr>
          <w:rFonts w:asciiTheme="minorHAnsi" w:hAnsiTheme="minorHAnsi" w:cstheme="minorHAnsi"/>
        </w:rPr>
        <w:t xml:space="preserve">Note: new legislative provisions covering the Municipal and Industrial Waste Levy came into effect on 1 July 2021 under the amended </w:t>
      </w:r>
      <w:r w:rsidRPr="00677AD0">
        <w:rPr>
          <w:rStyle w:val="LightItalic"/>
          <w:rFonts w:asciiTheme="minorHAnsi" w:hAnsiTheme="minorHAnsi" w:cstheme="minorHAnsi"/>
        </w:rPr>
        <w:t>Environment Protection Act 2017</w:t>
      </w:r>
      <w:r w:rsidRPr="00677AD0">
        <w:rPr>
          <w:rFonts w:asciiTheme="minorHAnsi" w:hAnsiTheme="minorHAnsi" w:cstheme="minorHAnsi"/>
        </w:rPr>
        <w:t xml:space="preserve">. These provisions update the name of the levy to the Municipal and Industrial Waste Levy. </w:t>
      </w:r>
    </w:p>
    <w:p w14:paraId="71B1DF67" w14:textId="77777777" w:rsidR="00B02873" w:rsidRDefault="00B02873" w:rsidP="00FE198A">
      <w:r>
        <w:t xml:space="preserve">Table 1 below shows operating funding provided to portfolio agencies in 2021-22. </w:t>
      </w:r>
    </w:p>
    <w:p w14:paraId="4FD46F9F" w14:textId="42109DAB" w:rsidR="00B02873" w:rsidRDefault="00B02873" w:rsidP="00677AD0">
      <w:pPr>
        <w:pStyle w:val="TabletitleTables"/>
      </w:pPr>
      <w:r>
        <w:t>Table 1</w:t>
      </w:r>
      <w:r w:rsidR="000C45FC">
        <w:t xml:space="preserve"> – </w:t>
      </w:r>
      <w:r>
        <w:t>Municipal and Industrial Waste Levy cash flows</w:t>
      </w:r>
    </w:p>
    <w:tbl>
      <w:tblPr>
        <w:tblStyle w:val="TableGrid"/>
        <w:tblW w:w="0" w:type="auto"/>
        <w:tblLayout w:type="fixed"/>
        <w:tblLook w:val="0020" w:firstRow="1" w:lastRow="0" w:firstColumn="0" w:lastColumn="0" w:noHBand="0" w:noVBand="0"/>
      </w:tblPr>
      <w:tblGrid>
        <w:gridCol w:w="7257"/>
        <w:gridCol w:w="1190"/>
        <w:gridCol w:w="1191"/>
      </w:tblGrid>
      <w:tr w:rsidR="00B02873" w:rsidRPr="00B02873" w14:paraId="4C6E84F3" w14:textId="77777777" w:rsidTr="00677AD0">
        <w:trPr>
          <w:cnfStyle w:val="100000000000" w:firstRow="1" w:lastRow="0" w:firstColumn="0" w:lastColumn="0" w:oddVBand="0" w:evenVBand="0" w:oddHBand="0" w:evenHBand="0" w:firstRowFirstColumn="0" w:firstRowLastColumn="0" w:lastRowFirstColumn="0" w:lastRowLastColumn="0"/>
          <w:tblHeader/>
        </w:trPr>
        <w:tc>
          <w:tcPr>
            <w:tcW w:w="7257" w:type="dxa"/>
          </w:tcPr>
          <w:p w14:paraId="23CB14AF" w14:textId="77777777" w:rsidR="00B02873" w:rsidRPr="00677AD0" w:rsidRDefault="00B02873" w:rsidP="00677AD0">
            <w:pPr>
              <w:pStyle w:val="TableheadingleftFinancialsTables"/>
              <w:rPr>
                <w:rFonts w:asciiTheme="minorHAnsi" w:hAnsiTheme="minorHAnsi" w:cstheme="minorHAnsi"/>
              </w:rPr>
            </w:pPr>
          </w:p>
        </w:tc>
        <w:tc>
          <w:tcPr>
            <w:tcW w:w="1190" w:type="dxa"/>
          </w:tcPr>
          <w:p w14:paraId="40E542F5" w14:textId="77777777" w:rsidR="00B02873" w:rsidRDefault="00B02873" w:rsidP="00677AD0">
            <w:pPr>
              <w:pStyle w:val="TableheadingleftFinancialsTables"/>
              <w:jc w:val="right"/>
            </w:pPr>
            <w:r>
              <w:t>($ million)</w:t>
            </w:r>
          </w:p>
        </w:tc>
        <w:tc>
          <w:tcPr>
            <w:tcW w:w="1191" w:type="dxa"/>
          </w:tcPr>
          <w:p w14:paraId="3646927D" w14:textId="77777777" w:rsidR="00B02873" w:rsidRDefault="00B02873" w:rsidP="00677AD0">
            <w:pPr>
              <w:pStyle w:val="TableheadingleftFinancialsTables"/>
              <w:jc w:val="right"/>
            </w:pPr>
            <w:r>
              <w:t>($ million)</w:t>
            </w:r>
          </w:p>
        </w:tc>
      </w:tr>
      <w:tr w:rsidR="00B02873" w:rsidRPr="007B509E" w14:paraId="7A2FC76D" w14:textId="77777777" w:rsidTr="00677AD0">
        <w:tc>
          <w:tcPr>
            <w:tcW w:w="7257" w:type="dxa"/>
          </w:tcPr>
          <w:p w14:paraId="46EF3951" w14:textId="77777777" w:rsidR="00B02873" w:rsidRPr="007B509E" w:rsidRDefault="00B02873" w:rsidP="00677AD0">
            <w:pPr>
              <w:pStyle w:val="TablebodyleftFinancialsTables"/>
              <w:rPr>
                <w:rFonts w:cstheme="minorHAnsi"/>
              </w:rPr>
            </w:pPr>
            <w:r w:rsidRPr="007B509E">
              <w:rPr>
                <w:rStyle w:val="Bold"/>
                <w:rFonts w:cstheme="minorHAnsi"/>
              </w:rPr>
              <w:t xml:space="preserve">Opening cash balance </w:t>
            </w:r>
          </w:p>
        </w:tc>
        <w:tc>
          <w:tcPr>
            <w:tcW w:w="1190" w:type="dxa"/>
          </w:tcPr>
          <w:p w14:paraId="6276A680" w14:textId="77777777" w:rsidR="00B02873" w:rsidRPr="007B509E" w:rsidRDefault="00B02873" w:rsidP="00677AD0">
            <w:pPr>
              <w:pStyle w:val="TablebodyleftFinancialsTables"/>
              <w:jc w:val="right"/>
              <w:rPr>
                <w:rFonts w:cs="Times New Roman"/>
              </w:rPr>
            </w:pPr>
          </w:p>
        </w:tc>
        <w:tc>
          <w:tcPr>
            <w:tcW w:w="1191" w:type="dxa"/>
          </w:tcPr>
          <w:p w14:paraId="7CDE60AD" w14:textId="77777777" w:rsidR="00B02873" w:rsidRPr="007B509E" w:rsidRDefault="00B02873" w:rsidP="00677AD0">
            <w:pPr>
              <w:pStyle w:val="TablebodyleftFinancialsTables"/>
              <w:jc w:val="right"/>
            </w:pPr>
            <w:r w:rsidRPr="007B509E">
              <w:rPr>
                <w:rStyle w:val="Bold"/>
              </w:rPr>
              <w:t>0.00</w:t>
            </w:r>
          </w:p>
        </w:tc>
      </w:tr>
      <w:tr w:rsidR="00B02873" w:rsidRPr="007B509E" w14:paraId="7A2242AC" w14:textId="77777777" w:rsidTr="00677AD0">
        <w:tc>
          <w:tcPr>
            <w:tcW w:w="7257" w:type="dxa"/>
          </w:tcPr>
          <w:p w14:paraId="1602A719" w14:textId="57DC4EAC" w:rsidR="00B02873" w:rsidRPr="007B509E" w:rsidRDefault="00B02873" w:rsidP="00677AD0">
            <w:pPr>
              <w:pStyle w:val="TablebodyleftFinancialsTables"/>
              <w:rPr>
                <w:rFonts w:cstheme="minorHAnsi"/>
              </w:rPr>
            </w:pPr>
            <w:r w:rsidRPr="007B509E">
              <w:rPr>
                <w:rStyle w:val="BoldItalic"/>
                <w:rFonts w:cstheme="minorHAnsi"/>
              </w:rPr>
              <w:t>Plus</w:t>
            </w:r>
            <w:r w:rsidRPr="007B509E">
              <w:rPr>
                <w:rFonts w:cstheme="minorHAnsi"/>
              </w:rPr>
              <w:t>: Municipal and Industrial Waste Levy funds transfer from EPA</w:t>
            </w:r>
          </w:p>
        </w:tc>
        <w:tc>
          <w:tcPr>
            <w:tcW w:w="1190" w:type="dxa"/>
          </w:tcPr>
          <w:p w14:paraId="7ED11F5A" w14:textId="77777777" w:rsidR="00B02873" w:rsidRPr="007B509E" w:rsidRDefault="00B02873" w:rsidP="00677AD0">
            <w:pPr>
              <w:pStyle w:val="TablebodyleftFinancialsTables"/>
              <w:jc w:val="right"/>
              <w:rPr>
                <w:rFonts w:cs="Times New Roman"/>
              </w:rPr>
            </w:pPr>
          </w:p>
        </w:tc>
        <w:tc>
          <w:tcPr>
            <w:tcW w:w="1191" w:type="dxa"/>
          </w:tcPr>
          <w:p w14:paraId="37ACC585" w14:textId="77777777" w:rsidR="00B02873" w:rsidRPr="007B509E" w:rsidRDefault="00B02873" w:rsidP="00677AD0">
            <w:pPr>
              <w:pStyle w:val="TablebodyleftFinancialsTables"/>
              <w:jc w:val="right"/>
            </w:pPr>
            <w:r w:rsidRPr="007B509E">
              <w:t>326.93</w:t>
            </w:r>
          </w:p>
        </w:tc>
      </w:tr>
      <w:tr w:rsidR="00B02873" w:rsidRPr="007B509E" w14:paraId="394EA170" w14:textId="77777777" w:rsidTr="00677AD0">
        <w:tc>
          <w:tcPr>
            <w:tcW w:w="7257" w:type="dxa"/>
          </w:tcPr>
          <w:p w14:paraId="0F64CC01" w14:textId="77777777" w:rsidR="00B02873" w:rsidRPr="007B509E" w:rsidRDefault="00B02873" w:rsidP="00677AD0">
            <w:pPr>
              <w:pStyle w:val="TablebodyleftFinancialsTables"/>
              <w:rPr>
                <w:rFonts w:cstheme="minorHAnsi"/>
                <w:b/>
                <w:bCs/>
              </w:rPr>
            </w:pPr>
            <w:r w:rsidRPr="007B509E">
              <w:rPr>
                <w:rFonts w:cstheme="minorHAnsi"/>
                <w:b/>
                <w:bCs/>
              </w:rPr>
              <w:t>Total Receipts</w:t>
            </w:r>
          </w:p>
        </w:tc>
        <w:tc>
          <w:tcPr>
            <w:tcW w:w="1190" w:type="dxa"/>
          </w:tcPr>
          <w:p w14:paraId="28F2FE3C" w14:textId="77777777" w:rsidR="00B02873" w:rsidRPr="007B509E" w:rsidRDefault="00B02873" w:rsidP="00677AD0">
            <w:pPr>
              <w:pStyle w:val="TablebodyleftFinancialsTables"/>
              <w:jc w:val="right"/>
              <w:rPr>
                <w:rFonts w:cs="Times New Roman"/>
                <w:b/>
                <w:bCs/>
              </w:rPr>
            </w:pPr>
          </w:p>
        </w:tc>
        <w:tc>
          <w:tcPr>
            <w:tcW w:w="1191" w:type="dxa"/>
          </w:tcPr>
          <w:p w14:paraId="0D0FFC4C" w14:textId="77777777" w:rsidR="00B02873" w:rsidRPr="007B509E" w:rsidRDefault="00B02873" w:rsidP="00677AD0">
            <w:pPr>
              <w:pStyle w:val="TablebodyleftFinancialsTables"/>
              <w:jc w:val="right"/>
              <w:rPr>
                <w:b/>
                <w:bCs/>
              </w:rPr>
            </w:pPr>
            <w:r w:rsidRPr="007B509E">
              <w:rPr>
                <w:b/>
                <w:bCs/>
              </w:rPr>
              <w:t>326.93</w:t>
            </w:r>
          </w:p>
        </w:tc>
      </w:tr>
      <w:tr w:rsidR="00B02873" w:rsidRPr="007B509E" w14:paraId="7912CB8A" w14:textId="77777777" w:rsidTr="00677AD0">
        <w:tc>
          <w:tcPr>
            <w:tcW w:w="7257" w:type="dxa"/>
          </w:tcPr>
          <w:p w14:paraId="18941783" w14:textId="77777777" w:rsidR="00B02873" w:rsidRPr="007B509E" w:rsidRDefault="00B02873" w:rsidP="00677AD0">
            <w:pPr>
              <w:pStyle w:val="TablebodyleftFinancialsTables"/>
              <w:rPr>
                <w:rFonts w:cstheme="minorHAnsi"/>
              </w:rPr>
            </w:pPr>
            <w:r w:rsidRPr="007B509E">
              <w:rPr>
                <w:rStyle w:val="BoldItalic"/>
                <w:rFonts w:cstheme="minorHAnsi"/>
              </w:rPr>
              <w:t>Less</w:t>
            </w:r>
            <w:r w:rsidRPr="007B509E">
              <w:rPr>
                <w:rFonts w:cstheme="minorHAnsi"/>
              </w:rPr>
              <w:t xml:space="preserve"> </w:t>
            </w:r>
          </w:p>
        </w:tc>
        <w:tc>
          <w:tcPr>
            <w:tcW w:w="1190" w:type="dxa"/>
          </w:tcPr>
          <w:p w14:paraId="0456BD8F" w14:textId="77777777" w:rsidR="00B02873" w:rsidRPr="007B509E" w:rsidRDefault="00B02873" w:rsidP="00677AD0">
            <w:pPr>
              <w:pStyle w:val="TablebodyleftFinancialsTables"/>
              <w:jc w:val="right"/>
              <w:rPr>
                <w:rFonts w:cs="Times New Roman"/>
              </w:rPr>
            </w:pPr>
          </w:p>
        </w:tc>
        <w:tc>
          <w:tcPr>
            <w:tcW w:w="1191" w:type="dxa"/>
          </w:tcPr>
          <w:p w14:paraId="0EB2B693" w14:textId="77777777" w:rsidR="00B02873" w:rsidRPr="007B509E" w:rsidRDefault="00B02873" w:rsidP="00677AD0">
            <w:pPr>
              <w:pStyle w:val="TablebodyleftFinancialsTables"/>
              <w:jc w:val="right"/>
              <w:rPr>
                <w:rFonts w:cs="Times New Roman"/>
              </w:rPr>
            </w:pPr>
          </w:p>
        </w:tc>
      </w:tr>
      <w:tr w:rsidR="00B02873" w:rsidRPr="007B509E" w14:paraId="16C425B6" w14:textId="77777777" w:rsidTr="00677AD0">
        <w:tc>
          <w:tcPr>
            <w:tcW w:w="7257" w:type="dxa"/>
          </w:tcPr>
          <w:p w14:paraId="6117586E" w14:textId="77777777" w:rsidR="00B02873" w:rsidRPr="007B509E" w:rsidRDefault="00B02873" w:rsidP="00677AD0">
            <w:pPr>
              <w:pStyle w:val="TablebodyleftFinancialsTables"/>
              <w:rPr>
                <w:rFonts w:cstheme="minorHAnsi"/>
              </w:rPr>
            </w:pPr>
            <w:r w:rsidRPr="007B509E">
              <w:rPr>
                <w:rFonts w:cstheme="minorHAnsi"/>
              </w:rPr>
              <w:t xml:space="preserve">Environment Protection Authority </w:t>
            </w:r>
          </w:p>
        </w:tc>
        <w:tc>
          <w:tcPr>
            <w:tcW w:w="1190" w:type="dxa"/>
          </w:tcPr>
          <w:p w14:paraId="57A851FF" w14:textId="77777777" w:rsidR="00B02873" w:rsidRPr="007B509E" w:rsidRDefault="00B02873" w:rsidP="00677AD0">
            <w:pPr>
              <w:pStyle w:val="TablebodyleftFinancialsTables"/>
              <w:jc w:val="right"/>
            </w:pPr>
            <w:r w:rsidRPr="007B509E">
              <w:t>105.83</w:t>
            </w:r>
          </w:p>
        </w:tc>
        <w:tc>
          <w:tcPr>
            <w:tcW w:w="1191" w:type="dxa"/>
          </w:tcPr>
          <w:p w14:paraId="6F5E7BE6" w14:textId="77777777" w:rsidR="00B02873" w:rsidRPr="007B509E" w:rsidRDefault="00B02873" w:rsidP="00677AD0">
            <w:pPr>
              <w:pStyle w:val="TablebodyleftFinancialsTables"/>
              <w:jc w:val="right"/>
              <w:rPr>
                <w:rFonts w:cs="Times New Roman"/>
              </w:rPr>
            </w:pPr>
          </w:p>
        </w:tc>
      </w:tr>
      <w:tr w:rsidR="00B02873" w:rsidRPr="007B509E" w14:paraId="31D08A1E" w14:textId="77777777" w:rsidTr="00677AD0">
        <w:tc>
          <w:tcPr>
            <w:tcW w:w="7257" w:type="dxa"/>
          </w:tcPr>
          <w:p w14:paraId="7DE77408" w14:textId="77777777" w:rsidR="00B02873" w:rsidRPr="007B509E" w:rsidRDefault="00B02873" w:rsidP="00677AD0">
            <w:pPr>
              <w:pStyle w:val="TablebodyleftFinancialsTables"/>
              <w:rPr>
                <w:rFonts w:cstheme="minorHAnsi"/>
              </w:rPr>
            </w:pPr>
            <w:r w:rsidRPr="007B509E">
              <w:rPr>
                <w:rFonts w:cstheme="minorHAnsi"/>
              </w:rPr>
              <w:t>Sustainability Victoria</w:t>
            </w:r>
          </w:p>
        </w:tc>
        <w:tc>
          <w:tcPr>
            <w:tcW w:w="1190" w:type="dxa"/>
          </w:tcPr>
          <w:p w14:paraId="335B4A99" w14:textId="77777777" w:rsidR="00B02873" w:rsidRPr="007B509E" w:rsidRDefault="00B02873" w:rsidP="00677AD0">
            <w:pPr>
              <w:pStyle w:val="TablebodyleftFinancialsTables"/>
              <w:jc w:val="right"/>
            </w:pPr>
            <w:r w:rsidRPr="007B509E">
              <w:t>19.16</w:t>
            </w:r>
          </w:p>
        </w:tc>
        <w:tc>
          <w:tcPr>
            <w:tcW w:w="1191" w:type="dxa"/>
          </w:tcPr>
          <w:p w14:paraId="50499471" w14:textId="77777777" w:rsidR="00B02873" w:rsidRPr="007B509E" w:rsidRDefault="00B02873" w:rsidP="00677AD0">
            <w:pPr>
              <w:pStyle w:val="TablebodyleftFinancialsTables"/>
              <w:jc w:val="right"/>
              <w:rPr>
                <w:rFonts w:cs="Times New Roman"/>
              </w:rPr>
            </w:pPr>
          </w:p>
        </w:tc>
      </w:tr>
      <w:tr w:rsidR="00B02873" w:rsidRPr="007B509E" w14:paraId="2D87F030" w14:textId="77777777" w:rsidTr="00677AD0">
        <w:tc>
          <w:tcPr>
            <w:tcW w:w="7257" w:type="dxa"/>
          </w:tcPr>
          <w:p w14:paraId="284F7D49" w14:textId="77777777" w:rsidR="00B02873" w:rsidRPr="007B509E" w:rsidRDefault="00B02873" w:rsidP="00677AD0">
            <w:pPr>
              <w:pStyle w:val="TablebodyleftFinancialsTables"/>
              <w:rPr>
                <w:rFonts w:cstheme="minorHAnsi"/>
              </w:rPr>
            </w:pPr>
            <w:r w:rsidRPr="007B509E">
              <w:rPr>
                <w:rFonts w:cstheme="minorHAnsi"/>
              </w:rPr>
              <w:t>Waste and Resource Recovery Groups</w:t>
            </w:r>
          </w:p>
        </w:tc>
        <w:tc>
          <w:tcPr>
            <w:tcW w:w="1190" w:type="dxa"/>
          </w:tcPr>
          <w:p w14:paraId="0C8631F0" w14:textId="77777777" w:rsidR="00B02873" w:rsidRPr="007B509E" w:rsidRDefault="00B02873" w:rsidP="00677AD0">
            <w:pPr>
              <w:pStyle w:val="TablebodyleftFinancialsTables"/>
              <w:jc w:val="right"/>
            </w:pPr>
            <w:r w:rsidRPr="007B509E">
              <w:t>13.35</w:t>
            </w:r>
          </w:p>
        </w:tc>
        <w:tc>
          <w:tcPr>
            <w:tcW w:w="1191" w:type="dxa"/>
          </w:tcPr>
          <w:p w14:paraId="1336848E" w14:textId="77777777" w:rsidR="00B02873" w:rsidRPr="007B509E" w:rsidRDefault="00B02873" w:rsidP="00677AD0">
            <w:pPr>
              <w:pStyle w:val="TablebodyleftFinancialsTables"/>
              <w:jc w:val="right"/>
              <w:rPr>
                <w:rFonts w:cs="Times New Roman"/>
              </w:rPr>
            </w:pPr>
          </w:p>
        </w:tc>
      </w:tr>
      <w:tr w:rsidR="00B02873" w:rsidRPr="007B509E" w14:paraId="4AEA894B" w14:textId="77777777" w:rsidTr="00677AD0">
        <w:tc>
          <w:tcPr>
            <w:tcW w:w="7257" w:type="dxa"/>
          </w:tcPr>
          <w:p w14:paraId="5316288B" w14:textId="77777777" w:rsidR="00B02873" w:rsidRPr="007B509E" w:rsidRDefault="00B02873" w:rsidP="00677AD0">
            <w:pPr>
              <w:pStyle w:val="TablebodyleftFinancialsTables"/>
              <w:rPr>
                <w:rFonts w:cstheme="minorHAnsi"/>
              </w:rPr>
            </w:pPr>
            <w:r w:rsidRPr="007B509E">
              <w:rPr>
                <w:rFonts w:cstheme="minorHAnsi"/>
              </w:rPr>
              <w:t>Parks Victoria</w:t>
            </w:r>
          </w:p>
        </w:tc>
        <w:tc>
          <w:tcPr>
            <w:tcW w:w="1190" w:type="dxa"/>
          </w:tcPr>
          <w:p w14:paraId="141E44CD" w14:textId="77777777" w:rsidR="00B02873" w:rsidRPr="007B509E" w:rsidRDefault="00B02873" w:rsidP="00677AD0">
            <w:pPr>
              <w:pStyle w:val="TablebodyleftFinancialsTables"/>
              <w:jc w:val="right"/>
            </w:pPr>
            <w:r w:rsidRPr="007B509E">
              <w:t>59.69</w:t>
            </w:r>
          </w:p>
        </w:tc>
        <w:tc>
          <w:tcPr>
            <w:tcW w:w="1191" w:type="dxa"/>
          </w:tcPr>
          <w:p w14:paraId="684219F4" w14:textId="77777777" w:rsidR="00B02873" w:rsidRPr="007B509E" w:rsidRDefault="00B02873" w:rsidP="00677AD0">
            <w:pPr>
              <w:pStyle w:val="TablebodyleftFinancialsTables"/>
              <w:jc w:val="right"/>
              <w:rPr>
                <w:rFonts w:cs="Times New Roman"/>
              </w:rPr>
            </w:pPr>
          </w:p>
        </w:tc>
      </w:tr>
      <w:tr w:rsidR="00B02873" w:rsidRPr="007B509E" w14:paraId="3C3F1474" w14:textId="77777777" w:rsidTr="00677AD0">
        <w:tc>
          <w:tcPr>
            <w:tcW w:w="7257" w:type="dxa"/>
          </w:tcPr>
          <w:p w14:paraId="22A1F26A" w14:textId="77777777" w:rsidR="00B02873" w:rsidRPr="007B509E" w:rsidRDefault="00B02873" w:rsidP="00677AD0">
            <w:pPr>
              <w:pStyle w:val="TablebodyleftFinancialsTables"/>
              <w:rPr>
                <w:rFonts w:cstheme="minorHAnsi"/>
              </w:rPr>
            </w:pPr>
            <w:r w:rsidRPr="007B509E">
              <w:rPr>
                <w:rFonts w:cstheme="minorHAnsi"/>
              </w:rPr>
              <w:t>Commissioner for Environmental Sustainability</w:t>
            </w:r>
          </w:p>
        </w:tc>
        <w:tc>
          <w:tcPr>
            <w:tcW w:w="1190" w:type="dxa"/>
          </w:tcPr>
          <w:p w14:paraId="39DDA320" w14:textId="77777777" w:rsidR="00B02873" w:rsidRPr="007B509E" w:rsidRDefault="00B02873" w:rsidP="00677AD0">
            <w:pPr>
              <w:pStyle w:val="TablebodyleftFinancialsTables"/>
              <w:jc w:val="right"/>
            </w:pPr>
            <w:r w:rsidRPr="007B509E">
              <w:t>1.95</w:t>
            </w:r>
          </w:p>
        </w:tc>
        <w:tc>
          <w:tcPr>
            <w:tcW w:w="1191" w:type="dxa"/>
          </w:tcPr>
          <w:p w14:paraId="06C7DB92" w14:textId="77777777" w:rsidR="00B02873" w:rsidRPr="007B509E" w:rsidRDefault="00B02873" w:rsidP="00677AD0">
            <w:pPr>
              <w:pStyle w:val="TablebodyleftFinancialsTables"/>
              <w:jc w:val="right"/>
              <w:rPr>
                <w:rFonts w:cs="Times New Roman"/>
              </w:rPr>
            </w:pPr>
          </w:p>
        </w:tc>
      </w:tr>
      <w:tr w:rsidR="00B02873" w:rsidRPr="007B509E" w14:paraId="1561504C" w14:textId="77777777" w:rsidTr="00677AD0">
        <w:tc>
          <w:tcPr>
            <w:tcW w:w="7257" w:type="dxa"/>
          </w:tcPr>
          <w:p w14:paraId="5B008A9E" w14:textId="77777777" w:rsidR="00B02873" w:rsidRPr="007B509E" w:rsidRDefault="00B02873" w:rsidP="00677AD0">
            <w:pPr>
              <w:pStyle w:val="TablebodyleftFinancialsTables"/>
              <w:rPr>
                <w:rFonts w:cstheme="minorHAnsi"/>
              </w:rPr>
            </w:pPr>
            <w:r w:rsidRPr="007B509E">
              <w:rPr>
                <w:rFonts w:cstheme="minorHAnsi"/>
              </w:rPr>
              <w:lastRenderedPageBreak/>
              <w:t>Victorian Environmental Assessment Council</w:t>
            </w:r>
          </w:p>
        </w:tc>
        <w:tc>
          <w:tcPr>
            <w:tcW w:w="1190" w:type="dxa"/>
          </w:tcPr>
          <w:p w14:paraId="3ED2BF7E" w14:textId="77777777" w:rsidR="00B02873" w:rsidRPr="007B509E" w:rsidRDefault="00B02873" w:rsidP="00677AD0">
            <w:pPr>
              <w:pStyle w:val="TablebodyleftFinancialsTables"/>
              <w:jc w:val="right"/>
            </w:pPr>
            <w:r w:rsidRPr="007B509E">
              <w:t>0.90</w:t>
            </w:r>
          </w:p>
        </w:tc>
        <w:tc>
          <w:tcPr>
            <w:tcW w:w="1191" w:type="dxa"/>
          </w:tcPr>
          <w:p w14:paraId="3609146C" w14:textId="77777777" w:rsidR="00B02873" w:rsidRPr="007B509E" w:rsidRDefault="00B02873" w:rsidP="00677AD0">
            <w:pPr>
              <w:pStyle w:val="TablebodyleftFinancialsTables"/>
              <w:jc w:val="right"/>
              <w:rPr>
                <w:rFonts w:cs="Times New Roman"/>
              </w:rPr>
            </w:pPr>
          </w:p>
        </w:tc>
      </w:tr>
      <w:tr w:rsidR="00B02873" w:rsidRPr="007B509E" w14:paraId="4BAB0D13" w14:textId="77777777" w:rsidTr="00677AD0">
        <w:tc>
          <w:tcPr>
            <w:tcW w:w="7257" w:type="dxa"/>
          </w:tcPr>
          <w:p w14:paraId="51523E03" w14:textId="77777777" w:rsidR="00B02873" w:rsidRPr="007B509E" w:rsidRDefault="00B02873" w:rsidP="00677AD0">
            <w:pPr>
              <w:pStyle w:val="TablebodyleftFinancialsTables"/>
              <w:rPr>
                <w:rFonts w:cstheme="minorHAnsi"/>
              </w:rPr>
            </w:pPr>
            <w:r w:rsidRPr="007B509E">
              <w:rPr>
                <w:rFonts w:cstheme="minorHAnsi"/>
              </w:rPr>
              <w:t>Trust for Nature</w:t>
            </w:r>
          </w:p>
        </w:tc>
        <w:tc>
          <w:tcPr>
            <w:tcW w:w="1190" w:type="dxa"/>
          </w:tcPr>
          <w:p w14:paraId="5B21E117" w14:textId="77777777" w:rsidR="00B02873" w:rsidRPr="007B509E" w:rsidRDefault="00B02873" w:rsidP="00677AD0">
            <w:pPr>
              <w:pStyle w:val="TablebodyleftFinancialsTables"/>
              <w:jc w:val="right"/>
            </w:pPr>
            <w:r w:rsidRPr="007B509E">
              <w:t>0.55</w:t>
            </w:r>
          </w:p>
        </w:tc>
        <w:tc>
          <w:tcPr>
            <w:tcW w:w="1191" w:type="dxa"/>
          </w:tcPr>
          <w:p w14:paraId="3DC50DB1" w14:textId="77777777" w:rsidR="00B02873" w:rsidRPr="007B509E" w:rsidRDefault="00B02873" w:rsidP="00677AD0">
            <w:pPr>
              <w:pStyle w:val="TablebodyleftFinancialsTables"/>
              <w:jc w:val="right"/>
              <w:rPr>
                <w:rFonts w:cs="Times New Roman"/>
              </w:rPr>
            </w:pPr>
          </w:p>
        </w:tc>
      </w:tr>
      <w:tr w:rsidR="00B02873" w:rsidRPr="00677AD0" w14:paraId="2979DEAF" w14:textId="77777777" w:rsidTr="00677AD0">
        <w:tc>
          <w:tcPr>
            <w:tcW w:w="7257" w:type="dxa"/>
          </w:tcPr>
          <w:p w14:paraId="7C218091" w14:textId="77777777" w:rsidR="00B02873" w:rsidRPr="00677AD0" w:rsidRDefault="00B02873" w:rsidP="00677AD0">
            <w:pPr>
              <w:pStyle w:val="TablebodyleftFinancialsTables"/>
              <w:rPr>
                <w:rFonts w:asciiTheme="minorHAnsi" w:hAnsiTheme="minorHAnsi" w:cstheme="minorHAnsi"/>
                <w:b/>
                <w:bCs/>
              </w:rPr>
            </w:pPr>
            <w:r w:rsidRPr="00677AD0">
              <w:rPr>
                <w:rFonts w:asciiTheme="minorHAnsi" w:hAnsiTheme="minorHAnsi" w:cstheme="minorHAnsi"/>
                <w:b/>
                <w:bCs/>
              </w:rPr>
              <w:t>Total Agency Payments</w:t>
            </w:r>
          </w:p>
        </w:tc>
        <w:tc>
          <w:tcPr>
            <w:tcW w:w="1190" w:type="dxa"/>
          </w:tcPr>
          <w:p w14:paraId="2C4E45BF" w14:textId="77777777" w:rsidR="00B02873" w:rsidRPr="00677AD0" w:rsidRDefault="00B02873" w:rsidP="00677AD0">
            <w:pPr>
              <w:pStyle w:val="TablebodyleftFinancialsTables"/>
              <w:jc w:val="right"/>
              <w:rPr>
                <w:b/>
                <w:bCs/>
              </w:rPr>
            </w:pPr>
            <w:r w:rsidRPr="00677AD0">
              <w:rPr>
                <w:b/>
                <w:bCs/>
              </w:rPr>
              <w:t>201.43</w:t>
            </w:r>
          </w:p>
        </w:tc>
        <w:tc>
          <w:tcPr>
            <w:tcW w:w="1191" w:type="dxa"/>
          </w:tcPr>
          <w:p w14:paraId="51D668A8" w14:textId="77777777" w:rsidR="00B02873" w:rsidRPr="00677AD0" w:rsidRDefault="00B02873" w:rsidP="00677AD0">
            <w:pPr>
              <w:pStyle w:val="TablebodyleftFinancialsTables"/>
              <w:jc w:val="right"/>
              <w:rPr>
                <w:b/>
                <w:bCs/>
              </w:rPr>
            </w:pPr>
            <w:r w:rsidRPr="00677AD0">
              <w:rPr>
                <w:b/>
                <w:bCs/>
              </w:rPr>
              <w:t>201.43</w:t>
            </w:r>
          </w:p>
        </w:tc>
      </w:tr>
      <w:tr w:rsidR="00B02873" w:rsidRPr="007B509E" w14:paraId="28F36EB1" w14:textId="77777777" w:rsidTr="00677AD0">
        <w:tc>
          <w:tcPr>
            <w:tcW w:w="7257" w:type="dxa"/>
          </w:tcPr>
          <w:p w14:paraId="43609765" w14:textId="77777777" w:rsidR="00B02873" w:rsidRPr="007B509E" w:rsidRDefault="00B02873" w:rsidP="00677AD0">
            <w:pPr>
              <w:pStyle w:val="TablebodyleftFinancialsTables"/>
              <w:rPr>
                <w:rFonts w:cstheme="minorHAnsi"/>
                <w:b/>
                <w:bCs/>
              </w:rPr>
            </w:pPr>
            <w:r w:rsidRPr="007B509E">
              <w:rPr>
                <w:rFonts w:cstheme="minorHAnsi"/>
                <w:b/>
                <w:bCs/>
              </w:rPr>
              <w:t>Sub-total</w:t>
            </w:r>
          </w:p>
        </w:tc>
        <w:tc>
          <w:tcPr>
            <w:tcW w:w="1190" w:type="dxa"/>
          </w:tcPr>
          <w:p w14:paraId="6B9CE3E4" w14:textId="77777777" w:rsidR="00B02873" w:rsidRPr="007B509E" w:rsidRDefault="00B02873" w:rsidP="00677AD0">
            <w:pPr>
              <w:pStyle w:val="TablebodyleftFinancialsTables"/>
              <w:jc w:val="right"/>
              <w:rPr>
                <w:rFonts w:cs="Times New Roman"/>
                <w:b/>
                <w:bCs/>
              </w:rPr>
            </w:pPr>
          </w:p>
        </w:tc>
        <w:tc>
          <w:tcPr>
            <w:tcW w:w="1191" w:type="dxa"/>
          </w:tcPr>
          <w:p w14:paraId="7CDF98BC" w14:textId="77777777" w:rsidR="00B02873" w:rsidRPr="007B509E" w:rsidRDefault="00B02873" w:rsidP="00677AD0">
            <w:pPr>
              <w:pStyle w:val="TablebodyleftFinancialsTables"/>
              <w:jc w:val="right"/>
              <w:rPr>
                <w:b/>
                <w:bCs/>
              </w:rPr>
            </w:pPr>
            <w:r w:rsidRPr="007B509E">
              <w:rPr>
                <w:b/>
                <w:bCs/>
              </w:rPr>
              <w:t>125.50</w:t>
            </w:r>
          </w:p>
        </w:tc>
      </w:tr>
      <w:tr w:rsidR="00B02873" w:rsidRPr="007B509E" w14:paraId="55379595" w14:textId="77777777" w:rsidTr="00677AD0">
        <w:tc>
          <w:tcPr>
            <w:tcW w:w="7257" w:type="dxa"/>
          </w:tcPr>
          <w:p w14:paraId="1DEA42A9" w14:textId="77777777" w:rsidR="00B02873" w:rsidRPr="007B509E" w:rsidRDefault="00B02873" w:rsidP="00677AD0">
            <w:pPr>
              <w:pStyle w:val="TablebodyleftFinancialsTables"/>
              <w:rPr>
                <w:rFonts w:cstheme="minorHAnsi"/>
              </w:rPr>
            </w:pPr>
            <w:r w:rsidRPr="007B509E">
              <w:rPr>
                <w:rStyle w:val="BoldItalic"/>
                <w:rFonts w:cstheme="minorHAnsi"/>
              </w:rPr>
              <w:t>Less</w:t>
            </w:r>
          </w:p>
        </w:tc>
        <w:tc>
          <w:tcPr>
            <w:tcW w:w="1190" w:type="dxa"/>
          </w:tcPr>
          <w:p w14:paraId="3F0C1660" w14:textId="77777777" w:rsidR="00B02873" w:rsidRPr="007B509E" w:rsidRDefault="00B02873" w:rsidP="00677AD0">
            <w:pPr>
              <w:pStyle w:val="TablebodyleftFinancialsTables"/>
              <w:jc w:val="right"/>
              <w:rPr>
                <w:rFonts w:cs="Times New Roman"/>
              </w:rPr>
            </w:pPr>
          </w:p>
        </w:tc>
        <w:tc>
          <w:tcPr>
            <w:tcW w:w="1191" w:type="dxa"/>
          </w:tcPr>
          <w:p w14:paraId="4DC33791" w14:textId="77777777" w:rsidR="00B02873" w:rsidRPr="007B509E" w:rsidRDefault="00B02873" w:rsidP="00677AD0">
            <w:pPr>
              <w:pStyle w:val="TablebodyleftFinancialsTables"/>
              <w:jc w:val="right"/>
              <w:rPr>
                <w:rFonts w:cs="Times New Roman"/>
              </w:rPr>
            </w:pPr>
          </w:p>
        </w:tc>
      </w:tr>
      <w:tr w:rsidR="00B02873" w:rsidRPr="007B509E" w14:paraId="38D2BA5A" w14:textId="77777777" w:rsidTr="00677AD0">
        <w:tc>
          <w:tcPr>
            <w:tcW w:w="7257" w:type="dxa"/>
          </w:tcPr>
          <w:p w14:paraId="50726226" w14:textId="77777777" w:rsidR="00B02873" w:rsidRPr="007B509E" w:rsidRDefault="00B02873" w:rsidP="00677AD0">
            <w:pPr>
              <w:pStyle w:val="TablebodyleftFinancialsTables"/>
              <w:rPr>
                <w:rFonts w:cstheme="minorHAnsi"/>
              </w:rPr>
            </w:pPr>
            <w:r w:rsidRPr="007B509E">
              <w:rPr>
                <w:rFonts w:cstheme="minorHAnsi"/>
              </w:rPr>
              <w:t>Balance transferred to the Sustainability Fund Account</w:t>
            </w:r>
          </w:p>
        </w:tc>
        <w:tc>
          <w:tcPr>
            <w:tcW w:w="1190" w:type="dxa"/>
          </w:tcPr>
          <w:p w14:paraId="4F2C30A8" w14:textId="77777777" w:rsidR="00B02873" w:rsidRPr="007B509E" w:rsidRDefault="00B02873" w:rsidP="00677AD0">
            <w:pPr>
              <w:pStyle w:val="TablebodyleftFinancialsTables"/>
              <w:jc w:val="right"/>
              <w:rPr>
                <w:rFonts w:cs="Times New Roman"/>
              </w:rPr>
            </w:pPr>
          </w:p>
        </w:tc>
        <w:tc>
          <w:tcPr>
            <w:tcW w:w="1191" w:type="dxa"/>
          </w:tcPr>
          <w:p w14:paraId="6D53899A" w14:textId="77777777" w:rsidR="00B02873" w:rsidRPr="007B509E" w:rsidRDefault="00B02873" w:rsidP="00677AD0">
            <w:pPr>
              <w:pStyle w:val="TablebodyleftFinancialsTables"/>
              <w:jc w:val="right"/>
            </w:pPr>
            <w:r w:rsidRPr="007B509E">
              <w:t>125.50</w:t>
            </w:r>
          </w:p>
        </w:tc>
      </w:tr>
      <w:tr w:rsidR="00B02873" w:rsidRPr="007B509E" w14:paraId="7D5C1C10" w14:textId="77777777" w:rsidTr="00677AD0">
        <w:tc>
          <w:tcPr>
            <w:tcW w:w="7257" w:type="dxa"/>
          </w:tcPr>
          <w:p w14:paraId="0743EDA2" w14:textId="77777777" w:rsidR="00B02873" w:rsidRPr="007B509E" w:rsidRDefault="00B02873" w:rsidP="00677AD0">
            <w:pPr>
              <w:pStyle w:val="TablebodyleftFinancialsTables"/>
              <w:rPr>
                <w:rFonts w:cstheme="minorHAnsi"/>
                <w:b/>
                <w:bCs/>
              </w:rPr>
            </w:pPr>
            <w:r w:rsidRPr="007B509E">
              <w:rPr>
                <w:rFonts w:cstheme="minorHAnsi"/>
                <w:b/>
                <w:bCs/>
              </w:rPr>
              <w:t>Closing cash balance</w:t>
            </w:r>
          </w:p>
        </w:tc>
        <w:tc>
          <w:tcPr>
            <w:tcW w:w="1190" w:type="dxa"/>
          </w:tcPr>
          <w:p w14:paraId="540018A5" w14:textId="77777777" w:rsidR="00B02873" w:rsidRPr="007B509E" w:rsidRDefault="00B02873" w:rsidP="00677AD0">
            <w:pPr>
              <w:pStyle w:val="TablebodyleftFinancialsTables"/>
              <w:jc w:val="right"/>
              <w:rPr>
                <w:rFonts w:cs="Times New Roman"/>
                <w:b/>
                <w:bCs/>
              </w:rPr>
            </w:pPr>
          </w:p>
        </w:tc>
        <w:tc>
          <w:tcPr>
            <w:tcW w:w="1191" w:type="dxa"/>
          </w:tcPr>
          <w:p w14:paraId="22BE6602" w14:textId="77777777" w:rsidR="00B02873" w:rsidRPr="007B509E" w:rsidRDefault="00B02873" w:rsidP="00677AD0">
            <w:pPr>
              <w:pStyle w:val="TablebodyleftFinancialsTables"/>
              <w:jc w:val="right"/>
              <w:rPr>
                <w:b/>
                <w:bCs/>
              </w:rPr>
            </w:pPr>
            <w:r w:rsidRPr="007B509E">
              <w:rPr>
                <w:b/>
                <w:bCs/>
              </w:rPr>
              <w:t>0.00</w:t>
            </w:r>
          </w:p>
        </w:tc>
      </w:tr>
    </w:tbl>
    <w:p w14:paraId="51AD7AA3" w14:textId="77777777" w:rsidR="00B02873" w:rsidRDefault="00B02873" w:rsidP="00FE198A"/>
    <w:p w14:paraId="07469D8E" w14:textId="4EC63099" w:rsidR="00B02873" w:rsidRDefault="00B02873" w:rsidP="00FE198A">
      <w:r>
        <w:t>In 2021-22, $425 million was recognised as MIWL revenue by the department in the period in which it was earned (refer to Note 2.3.2 of the Financial Statements). As EPA transfers cash from waste levies to the department six months after accrual recognition, in accordance with the Act, the timing difference creates a variance between the accrual and cash figures during any given financial year. Table 2 below provides a reconciliation of this difference.</w:t>
      </w:r>
    </w:p>
    <w:p w14:paraId="3B16F800" w14:textId="759717B5" w:rsidR="00B02873" w:rsidRDefault="00B02873" w:rsidP="00677AD0">
      <w:pPr>
        <w:pStyle w:val="TabletitleTables"/>
      </w:pPr>
      <w:r>
        <w:t>Table 2</w:t>
      </w:r>
      <w:r w:rsidR="000C45FC">
        <w:t xml:space="preserve"> – </w:t>
      </w:r>
      <w:r>
        <w:t>Reconciliation of Municipal and Industrial Waste Levy accrual revenue to cash receipts</w:t>
      </w:r>
    </w:p>
    <w:tbl>
      <w:tblPr>
        <w:tblStyle w:val="TableGrid"/>
        <w:tblW w:w="0" w:type="auto"/>
        <w:tblLayout w:type="fixed"/>
        <w:tblLook w:val="0020" w:firstRow="1" w:lastRow="0" w:firstColumn="0" w:lastColumn="0" w:noHBand="0" w:noVBand="0"/>
      </w:tblPr>
      <w:tblGrid>
        <w:gridCol w:w="8277"/>
        <w:gridCol w:w="1361"/>
      </w:tblGrid>
      <w:tr w:rsidR="00B02873" w:rsidRPr="00B02873" w14:paraId="7EFE5F44" w14:textId="77777777" w:rsidTr="0034633C">
        <w:trPr>
          <w:cnfStyle w:val="100000000000" w:firstRow="1" w:lastRow="0" w:firstColumn="0" w:lastColumn="0" w:oddVBand="0" w:evenVBand="0" w:oddHBand="0" w:evenHBand="0" w:firstRowFirstColumn="0" w:firstRowLastColumn="0" w:lastRowFirstColumn="0" w:lastRowLastColumn="0"/>
          <w:trHeight w:val="60"/>
          <w:tblHeader/>
        </w:trPr>
        <w:tc>
          <w:tcPr>
            <w:tcW w:w="8277" w:type="dxa"/>
          </w:tcPr>
          <w:p w14:paraId="7B34E04D" w14:textId="77777777" w:rsidR="00B02873" w:rsidRDefault="00B02873" w:rsidP="00677AD0">
            <w:pPr>
              <w:pStyle w:val="TableheadingleftTables"/>
            </w:pPr>
            <w:r>
              <w:t> </w:t>
            </w:r>
          </w:p>
        </w:tc>
        <w:tc>
          <w:tcPr>
            <w:tcW w:w="1361" w:type="dxa"/>
          </w:tcPr>
          <w:p w14:paraId="368DF50A" w14:textId="478D8115" w:rsidR="00B02873" w:rsidRDefault="00B02873" w:rsidP="00677AD0">
            <w:pPr>
              <w:pStyle w:val="TableheadingleftTables"/>
              <w:jc w:val="right"/>
            </w:pPr>
            <w:r>
              <w:t>($ million)</w:t>
            </w:r>
          </w:p>
        </w:tc>
      </w:tr>
      <w:tr w:rsidR="00B02873" w:rsidRPr="00B02873" w14:paraId="18A854C2" w14:textId="77777777" w:rsidTr="00677AD0">
        <w:trPr>
          <w:trHeight w:val="60"/>
        </w:trPr>
        <w:tc>
          <w:tcPr>
            <w:tcW w:w="8277" w:type="dxa"/>
          </w:tcPr>
          <w:p w14:paraId="7F999D59" w14:textId="77777777" w:rsidR="00B02873" w:rsidRDefault="00B02873" w:rsidP="00677AD0">
            <w:pPr>
              <w:pStyle w:val="TablebodyleftFinancialsTables"/>
            </w:pPr>
            <w:r>
              <w:t>Municipal and Industrial Landfill Levy (accrual basis)</w:t>
            </w:r>
          </w:p>
        </w:tc>
        <w:tc>
          <w:tcPr>
            <w:tcW w:w="1361" w:type="dxa"/>
          </w:tcPr>
          <w:p w14:paraId="43366408" w14:textId="77777777" w:rsidR="00B02873" w:rsidRDefault="00B02873" w:rsidP="00677AD0">
            <w:pPr>
              <w:pStyle w:val="TablebodyleftFinancialsTables"/>
              <w:jc w:val="right"/>
            </w:pPr>
            <w:r>
              <w:t>424.92</w:t>
            </w:r>
          </w:p>
        </w:tc>
      </w:tr>
      <w:tr w:rsidR="00B02873" w:rsidRPr="00B02873" w14:paraId="7EC736E2" w14:textId="77777777" w:rsidTr="00677AD0">
        <w:trPr>
          <w:trHeight w:val="60"/>
        </w:trPr>
        <w:tc>
          <w:tcPr>
            <w:tcW w:w="8277" w:type="dxa"/>
          </w:tcPr>
          <w:p w14:paraId="0CC865C1" w14:textId="77777777" w:rsidR="00B02873" w:rsidRDefault="00B02873" w:rsidP="00677AD0">
            <w:pPr>
              <w:pStyle w:val="TablebodyleftFinancialsTables"/>
            </w:pPr>
            <w:r>
              <w:rPr>
                <w:rStyle w:val="Bold"/>
              </w:rPr>
              <w:t xml:space="preserve">Add: </w:t>
            </w:r>
            <w:r>
              <w:t>Opening balance of receivable from EPA at 1 July 2021</w:t>
            </w:r>
          </w:p>
        </w:tc>
        <w:tc>
          <w:tcPr>
            <w:tcW w:w="1361" w:type="dxa"/>
          </w:tcPr>
          <w:p w14:paraId="7EF45754" w14:textId="77777777" w:rsidR="00B02873" w:rsidRDefault="00B02873" w:rsidP="00677AD0">
            <w:pPr>
              <w:pStyle w:val="TablebodyleftFinancialsTables"/>
              <w:jc w:val="right"/>
            </w:pPr>
            <w:r>
              <w:t>138.25</w:t>
            </w:r>
          </w:p>
        </w:tc>
      </w:tr>
      <w:tr w:rsidR="00B02873" w:rsidRPr="00B02873" w14:paraId="6D25720E" w14:textId="77777777" w:rsidTr="00677AD0">
        <w:trPr>
          <w:trHeight w:val="60"/>
        </w:trPr>
        <w:tc>
          <w:tcPr>
            <w:tcW w:w="8277" w:type="dxa"/>
          </w:tcPr>
          <w:p w14:paraId="3B918898" w14:textId="77777777" w:rsidR="00B02873" w:rsidRDefault="00B02873" w:rsidP="00677AD0">
            <w:pPr>
              <w:pStyle w:val="TablebodyleftFinancialsTables"/>
            </w:pPr>
            <w:r>
              <w:rPr>
                <w:rStyle w:val="Bold"/>
              </w:rPr>
              <w:t>Less:</w:t>
            </w:r>
            <w:r>
              <w:t xml:space="preserve"> Closing balance of receivable from EPA at 30 June 2022</w:t>
            </w:r>
          </w:p>
        </w:tc>
        <w:tc>
          <w:tcPr>
            <w:tcW w:w="1361" w:type="dxa"/>
          </w:tcPr>
          <w:p w14:paraId="5931F8DF" w14:textId="77777777" w:rsidR="00B02873" w:rsidRDefault="00B02873" w:rsidP="00677AD0">
            <w:pPr>
              <w:pStyle w:val="TablebodyleftFinancialsTables"/>
              <w:jc w:val="right"/>
            </w:pPr>
            <w:r>
              <w:t>(236.24)</w:t>
            </w:r>
          </w:p>
        </w:tc>
      </w:tr>
      <w:tr w:rsidR="00B02873" w:rsidRPr="00B02873" w14:paraId="0D7FE51D" w14:textId="77777777" w:rsidTr="00677AD0">
        <w:trPr>
          <w:trHeight w:val="60"/>
        </w:trPr>
        <w:tc>
          <w:tcPr>
            <w:tcW w:w="8277" w:type="dxa"/>
          </w:tcPr>
          <w:p w14:paraId="50956444" w14:textId="77777777" w:rsidR="00B02873" w:rsidRDefault="00B02873" w:rsidP="00677AD0">
            <w:pPr>
              <w:pStyle w:val="TablebodyleftFinancialsTables"/>
            </w:pPr>
            <w:r>
              <w:rPr>
                <w:rStyle w:val="Bold"/>
              </w:rPr>
              <w:t>Municipal and Industrial Landfill Levy (cash receipts)</w:t>
            </w:r>
          </w:p>
        </w:tc>
        <w:tc>
          <w:tcPr>
            <w:tcW w:w="1361" w:type="dxa"/>
          </w:tcPr>
          <w:p w14:paraId="0E34752D" w14:textId="77777777" w:rsidR="00B02873" w:rsidRDefault="00B02873" w:rsidP="00677AD0">
            <w:pPr>
              <w:pStyle w:val="TablebodyleftFinancialsTables"/>
              <w:jc w:val="right"/>
            </w:pPr>
            <w:r>
              <w:rPr>
                <w:rStyle w:val="Bold"/>
              </w:rPr>
              <w:t>326.93</w:t>
            </w:r>
          </w:p>
        </w:tc>
      </w:tr>
    </w:tbl>
    <w:p w14:paraId="7E8551FD" w14:textId="77777777" w:rsidR="00B02873" w:rsidRDefault="00B02873" w:rsidP="00FE198A"/>
    <w:p w14:paraId="5BA7498D" w14:textId="77777777" w:rsidR="00B02873" w:rsidRDefault="00B02873" w:rsidP="0034633C">
      <w:pPr>
        <w:pStyle w:val="Heading2"/>
      </w:pPr>
      <w:bookmarkStart w:id="92" w:name="_Toc117447375"/>
      <w:r>
        <w:t>Appendix 10: Sustainability Fund Account and Sustainability Fund Grants</w:t>
      </w:r>
      <w:bookmarkEnd w:id="92"/>
      <w:r>
        <w:t xml:space="preserve"> </w:t>
      </w:r>
    </w:p>
    <w:p w14:paraId="3BBD7CC4" w14:textId="77777777" w:rsidR="00B02873" w:rsidRPr="0034633C" w:rsidRDefault="00B02873" w:rsidP="00FE198A">
      <w:pPr>
        <w:rPr>
          <w:rFonts w:asciiTheme="minorHAnsi" w:hAnsiTheme="minorHAnsi" w:cstheme="minorHAnsi"/>
        </w:rPr>
      </w:pPr>
      <w:r w:rsidRPr="0034633C">
        <w:rPr>
          <w:rFonts w:asciiTheme="minorHAnsi" w:hAnsiTheme="minorHAnsi" w:cstheme="minorHAnsi"/>
          <w:spacing w:val="-3"/>
        </w:rPr>
        <w:t xml:space="preserve">The Sustainability Fund operates under section 449 of the </w:t>
      </w:r>
      <w:r w:rsidRPr="0034633C">
        <w:rPr>
          <w:rStyle w:val="LightItalic"/>
          <w:rFonts w:asciiTheme="minorHAnsi" w:hAnsiTheme="minorHAnsi" w:cstheme="minorHAnsi"/>
          <w:spacing w:val="-3"/>
        </w:rPr>
        <w:t>Environment Protection Act 2017</w:t>
      </w:r>
      <w:r w:rsidRPr="0034633C">
        <w:rPr>
          <w:rFonts w:asciiTheme="minorHAnsi" w:hAnsiTheme="minorHAnsi" w:cstheme="minorHAnsi"/>
          <w:spacing w:val="-3"/>
        </w:rPr>
        <w:t xml:space="preserve"> and receives money collected from the Municipal and Industrial Waste Levy (MIWL). After funds are distributed by the Minister for Environment and Climate Action to key environmental agencies including the Environment Protection Authority (EPA), Sustainability Victoria (SV) and the seven Waste and Resource Recovery Groups</w:t>
      </w:r>
      <w:r w:rsidRPr="0034633C">
        <w:rPr>
          <w:rFonts w:asciiTheme="minorHAnsi" w:hAnsiTheme="minorHAnsi" w:cstheme="minorHAnsi"/>
          <w:spacing w:val="-3"/>
          <w:vertAlign w:val="superscript"/>
        </w:rPr>
        <w:t>i</w:t>
      </w:r>
      <w:r w:rsidRPr="0034633C">
        <w:rPr>
          <w:rFonts w:asciiTheme="minorHAnsi" w:hAnsiTheme="minorHAnsi" w:cstheme="minorHAnsi"/>
          <w:spacing w:val="-3"/>
        </w:rPr>
        <w:t xml:space="preserve">, remaining revenue is transferred and held in the Sustainability Fund. </w:t>
      </w:r>
    </w:p>
    <w:p w14:paraId="6F683D2C" w14:textId="77777777" w:rsidR="00B02873" w:rsidRDefault="00B02873" w:rsidP="0034633C">
      <w:pPr>
        <w:pStyle w:val="Normalbeforebullet"/>
      </w:pPr>
      <w:r>
        <w:t xml:space="preserve">The purpose of the fund is to: </w:t>
      </w:r>
    </w:p>
    <w:p w14:paraId="0CFFB640" w14:textId="77777777" w:rsidR="00B02873" w:rsidRDefault="00B02873" w:rsidP="00B02873">
      <w:pPr>
        <w:pStyle w:val="Bullet1Lists"/>
      </w:pPr>
      <w:r>
        <w:t xml:space="preserve">foster environmentally sustainable uses of resources and best practices in waste management to advance the social and economic development of Victoria </w:t>
      </w:r>
    </w:p>
    <w:p w14:paraId="48FF7311" w14:textId="77777777" w:rsidR="00B02873" w:rsidRDefault="00B02873" w:rsidP="0034633C">
      <w:pPr>
        <w:pStyle w:val="Bullet1Listslast"/>
      </w:pPr>
      <w:r>
        <w:t xml:space="preserve">foster community action or innovation in relation to the reduction of greenhouse gas substance emissions or adaptation or adjustment to climate change in Victoria. </w:t>
      </w:r>
    </w:p>
    <w:p w14:paraId="0AEE2766" w14:textId="77777777" w:rsidR="00B02873" w:rsidRDefault="00B02873" w:rsidP="00FE198A">
      <w:r>
        <w:rPr>
          <w:spacing w:val="-3"/>
        </w:rPr>
        <w:t xml:space="preserve">Funding allocations are made by the Premier and the Minister for Environment and Climate Action in accordance with the published Sustainability Fund Priority Statement and government policy. </w:t>
      </w:r>
    </w:p>
    <w:p w14:paraId="6D6A2DD2" w14:textId="161F0C1B" w:rsidR="00B02873" w:rsidRDefault="00B02873" w:rsidP="00FE198A">
      <w:r>
        <w:t xml:space="preserve">An independent Sustainability Fund Committee is in place to support the strategic and accountable management of the Sustainability Fund so that it best uses the MIWL revenue collected in accordance with the legislated objectives above. </w:t>
      </w:r>
    </w:p>
    <w:p w14:paraId="1D6CD338" w14:textId="77777777" w:rsidR="00B02873" w:rsidRDefault="00B02873" w:rsidP="00FE198A">
      <w:r>
        <w:lastRenderedPageBreak/>
        <w:t>The table below provides details of the cashflow totals into and out of the Sustainability Fund Trust Account, including a detailed breakdown of payments to programs (Table 1)</w:t>
      </w:r>
    </w:p>
    <w:p w14:paraId="72EFBD9E" w14:textId="77777777" w:rsidR="00B02873" w:rsidRDefault="00B02873" w:rsidP="009850A6">
      <w:pPr>
        <w:pStyle w:val="TabletitleTables"/>
      </w:pPr>
      <w:r>
        <w:t>Table 1 – Sustainability Fund Trust Account Cashflows</w:t>
      </w:r>
    </w:p>
    <w:tbl>
      <w:tblPr>
        <w:tblStyle w:val="TableGrid"/>
        <w:tblW w:w="0" w:type="auto"/>
        <w:tblLayout w:type="fixed"/>
        <w:tblLook w:val="0020" w:firstRow="1" w:lastRow="0" w:firstColumn="0" w:lastColumn="0" w:noHBand="0" w:noVBand="0"/>
      </w:tblPr>
      <w:tblGrid>
        <w:gridCol w:w="8277"/>
        <w:gridCol w:w="1361"/>
      </w:tblGrid>
      <w:tr w:rsidR="00B02873" w:rsidRPr="00B02873" w14:paraId="4C46C246" w14:textId="77777777" w:rsidTr="009850A6">
        <w:trPr>
          <w:cnfStyle w:val="100000000000" w:firstRow="1" w:lastRow="0" w:firstColumn="0" w:lastColumn="0" w:oddVBand="0" w:evenVBand="0" w:oddHBand="0" w:evenHBand="0" w:firstRowFirstColumn="0" w:firstRowLastColumn="0" w:lastRowFirstColumn="0" w:lastRowLastColumn="0"/>
          <w:tblHeader/>
        </w:trPr>
        <w:tc>
          <w:tcPr>
            <w:tcW w:w="8277" w:type="dxa"/>
          </w:tcPr>
          <w:p w14:paraId="724A5207" w14:textId="77777777" w:rsidR="00B02873" w:rsidRPr="00B02873" w:rsidRDefault="00B02873" w:rsidP="009850A6">
            <w:pPr>
              <w:pStyle w:val="TableheadingleftFinancialsTables"/>
            </w:pPr>
          </w:p>
        </w:tc>
        <w:tc>
          <w:tcPr>
            <w:tcW w:w="1361" w:type="dxa"/>
          </w:tcPr>
          <w:p w14:paraId="2839CBA8" w14:textId="77777777" w:rsidR="00B02873" w:rsidRDefault="00B02873" w:rsidP="009850A6">
            <w:pPr>
              <w:pStyle w:val="TableheadingleftFinancialsTables"/>
              <w:jc w:val="right"/>
            </w:pPr>
            <w:r>
              <w:t>($ million)</w:t>
            </w:r>
          </w:p>
        </w:tc>
      </w:tr>
      <w:tr w:rsidR="00B02873" w:rsidRPr="009850A6" w14:paraId="0AA3473A" w14:textId="77777777" w:rsidTr="009850A6">
        <w:tc>
          <w:tcPr>
            <w:tcW w:w="8277" w:type="dxa"/>
          </w:tcPr>
          <w:p w14:paraId="5197D3E4" w14:textId="77777777" w:rsidR="00B02873" w:rsidRPr="009850A6" w:rsidRDefault="00B02873" w:rsidP="009850A6">
            <w:pPr>
              <w:pStyle w:val="TablebodyleftFinancialsTables"/>
              <w:rPr>
                <w:b/>
                <w:bCs/>
              </w:rPr>
            </w:pPr>
            <w:r w:rsidRPr="009850A6">
              <w:rPr>
                <w:b/>
                <w:bCs/>
              </w:rPr>
              <w:t>Opening cash balance</w:t>
            </w:r>
          </w:p>
        </w:tc>
        <w:tc>
          <w:tcPr>
            <w:tcW w:w="1361" w:type="dxa"/>
          </w:tcPr>
          <w:p w14:paraId="48A8B136" w14:textId="77777777" w:rsidR="00B02873" w:rsidRPr="009850A6" w:rsidRDefault="00B02873" w:rsidP="009850A6">
            <w:pPr>
              <w:pStyle w:val="TablebodyleftFinancialsTables"/>
              <w:jc w:val="right"/>
              <w:rPr>
                <w:b/>
                <w:bCs/>
              </w:rPr>
            </w:pPr>
            <w:r w:rsidRPr="009850A6">
              <w:rPr>
                <w:b/>
                <w:bCs/>
              </w:rPr>
              <w:t>132.25</w:t>
            </w:r>
          </w:p>
        </w:tc>
      </w:tr>
      <w:tr w:rsidR="00B02873" w:rsidRPr="007B509E" w14:paraId="0C78839D" w14:textId="77777777" w:rsidTr="009850A6">
        <w:tc>
          <w:tcPr>
            <w:tcW w:w="8277" w:type="dxa"/>
          </w:tcPr>
          <w:p w14:paraId="34F0310C" w14:textId="77777777" w:rsidR="00B02873" w:rsidRPr="007B509E" w:rsidRDefault="00B02873" w:rsidP="009850A6">
            <w:pPr>
              <w:pStyle w:val="TablebodyleftFinancialsTables"/>
              <w:rPr>
                <w:b/>
                <w:bCs/>
              </w:rPr>
            </w:pPr>
            <w:r w:rsidRPr="007B509E">
              <w:rPr>
                <w:b/>
                <w:bCs/>
              </w:rPr>
              <w:t>Receipts</w:t>
            </w:r>
          </w:p>
        </w:tc>
        <w:tc>
          <w:tcPr>
            <w:tcW w:w="1361" w:type="dxa"/>
          </w:tcPr>
          <w:p w14:paraId="7D965CF1" w14:textId="77777777" w:rsidR="00B02873" w:rsidRPr="007B509E" w:rsidRDefault="00B02873" w:rsidP="009850A6">
            <w:pPr>
              <w:pStyle w:val="TablebodyleftFinancialsTables"/>
              <w:jc w:val="right"/>
              <w:rPr>
                <w:rFonts w:cs="Times New Roman"/>
                <w:b/>
                <w:bCs/>
              </w:rPr>
            </w:pPr>
          </w:p>
        </w:tc>
      </w:tr>
      <w:tr w:rsidR="00B02873" w:rsidRPr="00B02873" w14:paraId="360E6DA2" w14:textId="77777777" w:rsidTr="009850A6">
        <w:tc>
          <w:tcPr>
            <w:tcW w:w="8277" w:type="dxa"/>
          </w:tcPr>
          <w:p w14:paraId="065DCD78" w14:textId="77777777" w:rsidR="00B02873" w:rsidRDefault="00B02873" w:rsidP="009850A6">
            <w:pPr>
              <w:pStyle w:val="TablebodyleftFinancialsTables"/>
            </w:pPr>
            <w:r>
              <w:t>Transfer from Municipal and Industrial Waste Levy Trust Account</w:t>
            </w:r>
          </w:p>
        </w:tc>
        <w:tc>
          <w:tcPr>
            <w:tcW w:w="1361" w:type="dxa"/>
          </w:tcPr>
          <w:p w14:paraId="57A0273F" w14:textId="77777777" w:rsidR="00B02873" w:rsidRDefault="00B02873" w:rsidP="009850A6">
            <w:pPr>
              <w:pStyle w:val="TablebodyleftFinancialsTables"/>
              <w:jc w:val="right"/>
            </w:pPr>
            <w:r>
              <w:t>125.50</w:t>
            </w:r>
          </w:p>
        </w:tc>
      </w:tr>
      <w:tr w:rsidR="00B02873" w:rsidRPr="00B02873" w14:paraId="0C8B0256" w14:textId="77777777" w:rsidTr="009850A6">
        <w:tc>
          <w:tcPr>
            <w:tcW w:w="8277" w:type="dxa"/>
          </w:tcPr>
          <w:p w14:paraId="6290C035" w14:textId="77777777" w:rsidR="00B02873" w:rsidRDefault="00B02873" w:rsidP="009850A6">
            <w:pPr>
              <w:pStyle w:val="TablebodyleftFinancialsTables"/>
            </w:pPr>
            <w:r>
              <w:t>Unexpended program funds returned to the Sustainability Fund</w:t>
            </w:r>
            <w:r>
              <w:rPr>
                <w:vertAlign w:val="superscript"/>
              </w:rPr>
              <w:t>ii</w:t>
            </w:r>
          </w:p>
        </w:tc>
        <w:tc>
          <w:tcPr>
            <w:tcW w:w="1361" w:type="dxa"/>
          </w:tcPr>
          <w:p w14:paraId="662AA1B8" w14:textId="7AF347A4" w:rsidR="00B02873" w:rsidRDefault="00B02873" w:rsidP="009850A6">
            <w:pPr>
              <w:pStyle w:val="TablebodyleftFinancialsTables"/>
              <w:jc w:val="right"/>
            </w:pPr>
            <w:r>
              <w:t>1.01</w:t>
            </w:r>
          </w:p>
        </w:tc>
      </w:tr>
      <w:tr w:rsidR="00B02873" w:rsidRPr="00B02873" w14:paraId="27C496BB" w14:textId="77777777" w:rsidTr="009850A6">
        <w:tc>
          <w:tcPr>
            <w:tcW w:w="8277" w:type="dxa"/>
          </w:tcPr>
          <w:p w14:paraId="4BE565B3" w14:textId="77777777" w:rsidR="00B02873" w:rsidRDefault="00B02873" w:rsidP="009850A6">
            <w:pPr>
              <w:pStyle w:val="TablebodyleftFinancialsTables"/>
            </w:pPr>
            <w:r>
              <w:t>Investment Revenue</w:t>
            </w:r>
          </w:p>
        </w:tc>
        <w:tc>
          <w:tcPr>
            <w:tcW w:w="1361" w:type="dxa"/>
          </w:tcPr>
          <w:p w14:paraId="3A7B504E" w14:textId="2830BA7E" w:rsidR="00B02873" w:rsidRDefault="00B02873" w:rsidP="009850A6">
            <w:pPr>
              <w:pStyle w:val="TablebodyleftFinancialsTables"/>
              <w:jc w:val="right"/>
            </w:pPr>
            <w:r>
              <w:t>0.26</w:t>
            </w:r>
          </w:p>
        </w:tc>
      </w:tr>
      <w:tr w:rsidR="00B02873" w:rsidRPr="009850A6" w14:paraId="4CD7FD27" w14:textId="77777777" w:rsidTr="009850A6">
        <w:tc>
          <w:tcPr>
            <w:tcW w:w="8277" w:type="dxa"/>
          </w:tcPr>
          <w:p w14:paraId="3BD747F8" w14:textId="77777777" w:rsidR="00B02873" w:rsidRPr="009850A6" w:rsidRDefault="00B02873" w:rsidP="009850A6">
            <w:pPr>
              <w:pStyle w:val="TablebodyleftFinancialsTables"/>
              <w:rPr>
                <w:b/>
                <w:bCs/>
              </w:rPr>
            </w:pPr>
            <w:r w:rsidRPr="009850A6">
              <w:rPr>
                <w:b/>
                <w:bCs/>
              </w:rPr>
              <w:t>Total receipts</w:t>
            </w:r>
          </w:p>
        </w:tc>
        <w:tc>
          <w:tcPr>
            <w:tcW w:w="1361" w:type="dxa"/>
          </w:tcPr>
          <w:p w14:paraId="4CF0CC3C" w14:textId="77777777" w:rsidR="00B02873" w:rsidRPr="009850A6" w:rsidRDefault="00B02873" w:rsidP="009850A6">
            <w:pPr>
              <w:pStyle w:val="TablebodyleftFinancialsTables"/>
              <w:jc w:val="right"/>
              <w:rPr>
                <w:b/>
                <w:bCs/>
              </w:rPr>
            </w:pPr>
            <w:r w:rsidRPr="009850A6">
              <w:rPr>
                <w:b/>
                <w:bCs/>
              </w:rPr>
              <w:t>126.77</w:t>
            </w:r>
          </w:p>
        </w:tc>
      </w:tr>
      <w:tr w:rsidR="00B02873" w:rsidRPr="007B509E" w14:paraId="22F11F8A" w14:textId="77777777" w:rsidTr="009850A6">
        <w:tc>
          <w:tcPr>
            <w:tcW w:w="8277" w:type="dxa"/>
          </w:tcPr>
          <w:p w14:paraId="15179577" w14:textId="77777777" w:rsidR="00B02873" w:rsidRPr="007B509E" w:rsidRDefault="00B02873" w:rsidP="009850A6">
            <w:pPr>
              <w:pStyle w:val="TablebodyleftFinancialsTables"/>
              <w:rPr>
                <w:b/>
                <w:bCs/>
              </w:rPr>
            </w:pPr>
            <w:r w:rsidRPr="007B509E">
              <w:rPr>
                <w:b/>
                <w:bCs/>
              </w:rPr>
              <w:t>Payments to programs</w:t>
            </w:r>
          </w:p>
        </w:tc>
        <w:tc>
          <w:tcPr>
            <w:tcW w:w="1361" w:type="dxa"/>
          </w:tcPr>
          <w:p w14:paraId="44CDB6F8" w14:textId="77777777" w:rsidR="00B02873" w:rsidRPr="007B509E" w:rsidRDefault="00B02873" w:rsidP="009850A6">
            <w:pPr>
              <w:pStyle w:val="TablebodyleftFinancialsTables"/>
              <w:jc w:val="right"/>
              <w:rPr>
                <w:rFonts w:cs="Times New Roman"/>
                <w:b/>
                <w:bCs/>
              </w:rPr>
            </w:pPr>
          </w:p>
        </w:tc>
      </w:tr>
      <w:tr w:rsidR="00B02873" w:rsidRPr="00B02873" w14:paraId="29D896C8" w14:textId="77777777" w:rsidTr="009850A6">
        <w:tc>
          <w:tcPr>
            <w:tcW w:w="8277" w:type="dxa"/>
          </w:tcPr>
          <w:p w14:paraId="1753A3A3" w14:textId="77777777" w:rsidR="00B02873" w:rsidRDefault="00B02873" w:rsidP="009850A6">
            <w:pPr>
              <w:pStyle w:val="TablebodyleftFinancialsTables"/>
            </w:pPr>
            <w:r>
              <w:t>Recycling Victoria: Education and Behaviour Change</w:t>
            </w:r>
          </w:p>
        </w:tc>
        <w:tc>
          <w:tcPr>
            <w:tcW w:w="1361" w:type="dxa"/>
          </w:tcPr>
          <w:p w14:paraId="7EB96805" w14:textId="706F3C4D" w:rsidR="00B02873" w:rsidRDefault="00B02873" w:rsidP="009850A6">
            <w:pPr>
              <w:pStyle w:val="TablebodyleftFinancialsTables"/>
              <w:jc w:val="right"/>
            </w:pPr>
            <w:r>
              <w:t>14.20</w:t>
            </w:r>
          </w:p>
        </w:tc>
      </w:tr>
      <w:tr w:rsidR="00B02873" w:rsidRPr="00B02873" w14:paraId="338483CB" w14:textId="77777777" w:rsidTr="009850A6">
        <w:tc>
          <w:tcPr>
            <w:tcW w:w="8277" w:type="dxa"/>
          </w:tcPr>
          <w:p w14:paraId="751D4002" w14:textId="77777777" w:rsidR="00B02873" w:rsidRDefault="00B02873" w:rsidP="009850A6">
            <w:pPr>
              <w:pStyle w:val="TablebodyleftFinancialsTables"/>
            </w:pPr>
            <w:r>
              <w:t>Recycling Victoria: Waste Crime Prevention</w:t>
            </w:r>
          </w:p>
        </w:tc>
        <w:tc>
          <w:tcPr>
            <w:tcW w:w="1361" w:type="dxa"/>
          </w:tcPr>
          <w:p w14:paraId="7E2D8642" w14:textId="411ED97A" w:rsidR="00B02873" w:rsidRDefault="00B02873" w:rsidP="009850A6">
            <w:pPr>
              <w:pStyle w:val="TablebodyleftFinancialsTables"/>
              <w:jc w:val="right"/>
            </w:pPr>
            <w:r>
              <w:t>9.66</w:t>
            </w:r>
          </w:p>
        </w:tc>
      </w:tr>
      <w:tr w:rsidR="00B02873" w:rsidRPr="00B02873" w14:paraId="02EC499D" w14:textId="77777777" w:rsidTr="009850A6">
        <w:tc>
          <w:tcPr>
            <w:tcW w:w="8277" w:type="dxa"/>
          </w:tcPr>
          <w:p w14:paraId="7DC0D949" w14:textId="77777777" w:rsidR="00B02873" w:rsidRDefault="00B02873" w:rsidP="009850A6">
            <w:pPr>
              <w:pStyle w:val="TablebodyleftFinancialsTables"/>
            </w:pPr>
            <w:r>
              <w:t>Recycling Victoria: Kerbside Reform</w:t>
            </w:r>
          </w:p>
        </w:tc>
        <w:tc>
          <w:tcPr>
            <w:tcW w:w="1361" w:type="dxa"/>
          </w:tcPr>
          <w:p w14:paraId="6A5CBDDA" w14:textId="60B3CA65" w:rsidR="00B02873" w:rsidRDefault="00B02873" w:rsidP="009850A6">
            <w:pPr>
              <w:pStyle w:val="TablebodyleftFinancialsTables"/>
              <w:jc w:val="right"/>
            </w:pPr>
            <w:r>
              <w:t>9.19</w:t>
            </w:r>
          </w:p>
        </w:tc>
      </w:tr>
      <w:tr w:rsidR="00B02873" w:rsidRPr="00B02873" w14:paraId="03DF8B67" w14:textId="77777777" w:rsidTr="009850A6">
        <w:tc>
          <w:tcPr>
            <w:tcW w:w="8277" w:type="dxa"/>
          </w:tcPr>
          <w:p w14:paraId="3DD0B15A" w14:textId="77777777" w:rsidR="00B02873" w:rsidRDefault="00B02873" w:rsidP="009850A6">
            <w:pPr>
              <w:pStyle w:val="TablebodyleftFinancialsTables"/>
            </w:pPr>
            <w:r>
              <w:t>Recycling Victoria: Circular Economy Business Support</w:t>
            </w:r>
          </w:p>
        </w:tc>
        <w:tc>
          <w:tcPr>
            <w:tcW w:w="1361" w:type="dxa"/>
          </w:tcPr>
          <w:p w14:paraId="0A308EB6" w14:textId="7E85F077" w:rsidR="00B02873" w:rsidRDefault="00B02873" w:rsidP="009850A6">
            <w:pPr>
              <w:pStyle w:val="TablebodyleftFinancialsTables"/>
              <w:jc w:val="right"/>
            </w:pPr>
            <w:r>
              <w:t>7.97</w:t>
            </w:r>
          </w:p>
        </w:tc>
      </w:tr>
      <w:tr w:rsidR="00B02873" w:rsidRPr="00B02873" w14:paraId="53503E37" w14:textId="77777777" w:rsidTr="009850A6">
        <w:tc>
          <w:tcPr>
            <w:tcW w:w="8277" w:type="dxa"/>
          </w:tcPr>
          <w:p w14:paraId="31F39322" w14:textId="77777777" w:rsidR="00B02873" w:rsidRDefault="00B02873" w:rsidP="009850A6">
            <w:pPr>
              <w:pStyle w:val="TablebodyleftFinancialsTables"/>
            </w:pPr>
            <w:r>
              <w:t>Recycling Victoria: Market Acceleration Program SV</w:t>
            </w:r>
          </w:p>
        </w:tc>
        <w:tc>
          <w:tcPr>
            <w:tcW w:w="1361" w:type="dxa"/>
          </w:tcPr>
          <w:p w14:paraId="68605957" w14:textId="53C3B400" w:rsidR="00B02873" w:rsidRDefault="00B02873" w:rsidP="009850A6">
            <w:pPr>
              <w:pStyle w:val="TablebodyleftFinancialsTables"/>
              <w:jc w:val="right"/>
            </w:pPr>
            <w:r>
              <w:t>5.01</w:t>
            </w:r>
          </w:p>
        </w:tc>
      </w:tr>
      <w:tr w:rsidR="00B02873" w:rsidRPr="00B02873" w14:paraId="7EC18570" w14:textId="77777777" w:rsidTr="009850A6">
        <w:tc>
          <w:tcPr>
            <w:tcW w:w="8277" w:type="dxa"/>
          </w:tcPr>
          <w:p w14:paraId="486F9521" w14:textId="77777777" w:rsidR="00B02873" w:rsidRDefault="00B02873" w:rsidP="009850A6">
            <w:pPr>
              <w:pStyle w:val="TablebodyleftFinancialsTables"/>
            </w:pPr>
            <w:r>
              <w:rPr>
                <w:spacing w:val="-2"/>
              </w:rPr>
              <w:t>Recycling Victoria: Expanding Victoria’s Waste Data Systems</w:t>
            </w:r>
          </w:p>
        </w:tc>
        <w:tc>
          <w:tcPr>
            <w:tcW w:w="1361" w:type="dxa"/>
          </w:tcPr>
          <w:p w14:paraId="7BB8E1F6" w14:textId="638EB34B" w:rsidR="00B02873" w:rsidRDefault="00B02873" w:rsidP="009850A6">
            <w:pPr>
              <w:pStyle w:val="TablebodyleftFinancialsTables"/>
              <w:jc w:val="right"/>
            </w:pPr>
            <w:r>
              <w:t>4.67</w:t>
            </w:r>
          </w:p>
        </w:tc>
      </w:tr>
      <w:tr w:rsidR="00B02873" w:rsidRPr="00B02873" w14:paraId="1B464109" w14:textId="77777777" w:rsidTr="009850A6">
        <w:tc>
          <w:tcPr>
            <w:tcW w:w="8277" w:type="dxa"/>
          </w:tcPr>
          <w:p w14:paraId="61290941" w14:textId="77777777" w:rsidR="00B02873" w:rsidRDefault="00B02873" w:rsidP="009850A6">
            <w:pPr>
              <w:pStyle w:val="TablebodyleftFinancialsTables"/>
            </w:pPr>
            <w:r>
              <w:t xml:space="preserve">Recycling Victoria: Planning for Waste and Recycling Infrastructure </w:t>
            </w:r>
          </w:p>
        </w:tc>
        <w:tc>
          <w:tcPr>
            <w:tcW w:w="1361" w:type="dxa"/>
          </w:tcPr>
          <w:p w14:paraId="7E54EE48" w14:textId="1AD327FE" w:rsidR="00B02873" w:rsidRDefault="00B02873" w:rsidP="009850A6">
            <w:pPr>
              <w:pStyle w:val="TablebodyleftFinancialsTables"/>
              <w:jc w:val="right"/>
            </w:pPr>
            <w:r>
              <w:t>3.04</w:t>
            </w:r>
          </w:p>
        </w:tc>
      </w:tr>
      <w:tr w:rsidR="00B02873" w:rsidRPr="00B02873" w14:paraId="3A572F5F" w14:textId="77777777" w:rsidTr="009850A6">
        <w:tc>
          <w:tcPr>
            <w:tcW w:w="8277" w:type="dxa"/>
          </w:tcPr>
          <w:p w14:paraId="7139B9ED" w14:textId="77777777" w:rsidR="00B02873" w:rsidRDefault="00B02873" w:rsidP="009850A6">
            <w:pPr>
              <w:pStyle w:val="TablebodyleftFinancialsTables"/>
            </w:pPr>
            <w:r>
              <w:t>Recycling Victoria: Supporting Victorian Councils and Communities</w:t>
            </w:r>
          </w:p>
        </w:tc>
        <w:tc>
          <w:tcPr>
            <w:tcW w:w="1361" w:type="dxa"/>
          </w:tcPr>
          <w:p w14:paraId="4E9EBA20" w14:textId="12210D6D" w:rsidR="00B02873" w:rsidRDefault="00B02873" w:rsidP="009850A6">
            <w:pPr>
              <w:pStyle w:val="TablebodyleftFinancialsTables"/>
              <w:jc w:val="right"/>
            </w:pPr>
            <w:r>
              <w:t>2.66</w:t>
            </w:r>
          </w:p>
        </w:tc>
      </w:tr>
      <w:tr w:rsidR="00B02873" w:rsidRPr="00B02873" w14:paraId="04197308" w14:textId="77777777" w:rsidTr="009850A6">
        <w:tc>
          <w:tcPr>
            <w:tcW w:w="8277" w:type="dxa"/>
          </w:tcPr>
          <w:p w14:paraId="3DC12FDF" w14:textId="77777777" w:rsidR="00B02873" w:rsidRDefault="00B02873" w:rsidP="009850A6">
            <w:pPr>
              <w:pStyle w:val="TablebodyleftFinancialsTables"/>
            </w:pPr>
            <w:r>
              <w:t>Recycling Victoria: Victorian Container Deposit Scheme</w:t>
            </w:r>
          </w:p>
        </w:tc>
        <w:tc>
          <w:tcPr>
            <w:tcW w:w="1361" w:type="dxa"/>
          </w:tcPr>
          <w:p w14:paraId="3756481E" w14:textId="196CE55A" w:rsidR="00B02873" w:rsidRDefault="00B02873" w:rsidP="009850A6">
            <w:pPr>
              <w:pStyle w:val="TablebodyleftFinancialsTables"/>
              <w:jc w:val="right"/>
            </w:pPr>
            <w:r>
              <w:t>2.26</w:t>
            </w:r>
          </w:p>
        </w:tc>
      </w:tr>
      <w:tr w:rsidR="00B02873" w:rsidRPr="00B02873" w14:paraId="737A122F" w14:textId="77777777" w:rsidTr="009850A6">
        <w:tc>
          <w:tcPr>
            <w:tcW w:w="8277" w:type="dxa"/>
          </w:tcPr>
          <w:p w14:paraId="5F5E9BFF" w14:textId="77777777" w:rsidR="00B02873" w:rsidRDefault="00B02873" w:rsidP="009850A6">
            <w:pPr>
              <w:pStyle w:val="TablebodyleftFinancialsTables"/>
            </w:pPr>
            <w:r>
              <w:t>Recycling Victoria: High Risk Sites</w:t>
            </w:r>
          </w:p>
        </w:tc>
        <w:tc>
          <w:tcPr>
            <w:tcW w:w="1361" w:type="dxa"/>
          </w:tcPr>
          <w:p w14:paraId="4B937847" w14:textId="10EAFCC2" w:rsidR="00B02873" w:rsidRDefault="00B02873" w:rsidP="009850A6">
            <w:pPr>
              <w:pStyle w:val="TablebodyleftFinancialsTables"/>
              <w:jc w:val="right"/>
            </w:pPr>
            <w:r>
              <w:t>2.22</w:t>
            </w:r>
          </w:p>
        </w:tc>
      </w:tr>
      <w:tr w:rsidR="00B02873" w:rsidRPr="00B02873" w14:paraId="4D45CE70" w14:textId="77777777" w:rsidTr="009850A6">
        <w:tc>
          <w:tcPr>
            <w:tcW w:w="8277" w:type="dxa"/>
          </w:tcPr>
          <w:p w14:paraId="2D187F79" w14:textId="77777777" w:rsidR="00B02873" w:rsidRDefault="00B02873" w:rsidP="009850A6">
            <w:pPr>
              <w:pStyle w:val="TablebodyleftFinancialsTables"/>
            </w:pPr>
            <w:r>
              <w:t>Recycling Victoria: EPA High Risk Sites</w:t>
            </w:r>
          </w:p>
        </w:tc>
        <w:tc>
          <w:tcPr>
            <w:tcW w:w="1361" w:type="dxa"/>
          </w:tcPr>
          <w:p w14:paraId="1FDF1C1A" w14:textId="76360EA8" w:rsidR="00B02873" w:rsidRDefault="00B02873" w:rsidP="009850A6">
            <w:pPr>
              <w:pStyle w:val="TablebodyleftFinancialsTables"/>
              <w:jc w:val="right"/>
            </w:pPr>
            <w:r>
              <w:t>2.06</w:t>
            </w:r>
          </w:p>
        </w:tc>
      </w:tr>
      <w:tr w:rsidR="00B02873" w:rsidRPr="00B02873" w14:paraId="5BC23DF6" w14:textId="77777777" w:rsidTr="009850A6">
        <w:tc>
          <w:tcPr>
            <w:tcW w:w="8277" w:type="dxa"/>
          </w:tcPr>
          <w:p w14:paraId="0A0D72FC" w14:textId="77777777" w:rsidR="00B02873" w:rsidRDefault="00B02873" w:rsidP="009850A6">
            <w:pPr>
              <w:pStyle w:val="TablebodyleftFinancialsTables"/>
            </w:pPr>
            <w:r>
              <w:t>Recycling Victoria: Waste and Resource Recovery Groups Recycling Victoria 2020-22</w:t>
            </w:r>
          </w:p>
        </w:tc>
        <w:tc>
          <w:tcPr>
            <w:tcW w:w="1361" w:type="dxa"/>
          </w:tcPr>
          <w:p w14:paraId="4100EE49" w14:textId="493A66C1" w:rsidR="00B02873" w:rsidRDefault="00B02873" w:rsidP="009850A6">
            <w:pPr>
              <w:pStyle w:val="TablebodyleftFinancialsTables"/>
              <w:jc w:val="right"/>
            </w:pPr>
            <w:r>
              <w:t>2.01</w:t>
            </w:r>
          </w:p>
        </w:tc>
      </w:tr>
      <w:tr w:rsidR="00B02873" w:rsidRPr="00B02873" w14:paraId="558A56E8" w14:textId="77777777" w:rsidTr="009850A6">
        <w:tc>
          <w:tcPr>
            <w:tcW w:w="8277" w:type="dxa"/>
          </w:tcPr>
          <w:p w14:paraId="45CFDF3B" w14:textId="77777777" w:rsidR="00B02873" w:rsidRDefault="00B02873" w:rsidP="009850A6">
            <w:pPr>
              <w:pStyle w:val="TablebodyleftFinancialsTables"/>
            </w:pPr>
            <w:r>
              <w:t>Recycling Victoria: Household Detox Program 2020-22</w:t>
            </w:r>
          </w:p>
        </w:tc>
        <w:tc>
          <w:tcPr>
            <w:tcW w:w="1361" w:type="dxa"/>
          </w:tcPr>
          <w:p w14:paraId="52B3C49B" w14:textId="64595713" w:rsidR="00B02873" w:rsidRDefault="00B02873" w:rsidP="009850A6">
            <w:pPr>
              <w:pStyle w:val="TablebodyleftFinancialsTables"/>
              <w:jc w:val="right"/>
            </w:pPr>
            <w:r>
              <w:t>2.00</w:t>
            </w:r>
          </w:p>
        </w:tc>
      </w:tr>
      <w:tr w:rsidR="00B02873" w:rsidRPr="00B02873" w14:paraId="534A0C49" w14:textId="77777777" w:rsidTr="009850A6">
        <w:tc>
          <w:tcPr>
            <w:tcW w:w="8277" w:type="dxa"/>
          </w:tcPr>
          <w:p w14:paraId="3734F200" w14:textId="77777777" w:rsidR="00B02873" w:rsidRDefault="00B02873" w:rsidP="009850A6">
            <w:pPr>
              <w:pStyle w:val="TablebodyleftFinancialsTables"/>
            </w:pPr>
            <w:r>
              <w:t>Recycling Victoria: Single-Use Plastics Business Engagement</w:t>
            </w:r>
          </w:p>
        </w:tc>
        <w:tc>
          <w:tcPr>
            <w:tcW w:w="1361" w:type="dxa"/>
          </w:tcPr>
          <w:p w14:paraId="0534BD2D" w14:textId="71802BF4" w:rsidR="00B02873" w:rsidRDefault="00B02873" w:rsidP="009850A6">
            <w:pPr>
              <w:pStyle w:val="TablebodyleftFinancialsTables"/>
              <w:jc w:val="right"/>
            </w:pPr>
            <w:r>
              <w:t>1.69</w:t>
            </w:r>
          </w:p>
        </w:tc>
      </w:tr>
      <w:tr w:rsidR="00B02873" w:rsidRPr="00B02873" w14:paraId="5BA8D262" w14:textId="77777777" w:rsidTr="009850A6">
        <w:tc>
          <w:tcPr>
            <w:tcW w:w="8277" w:type="dxa"/>
          </w:tcPr>
          <w:p w14:paraId="5AC63B69" w14:textId="77777777" w:rsidR="00B02873" w:rsidRDefault="00B02873" w:rsidP="009850A6">
            <w:pPr>
              <w:pStyle w:val="TablebodyleftFinancialsTables"/>
            </w:pPr>
            <w:r>
              <w:t>Recycling Victoria: Supporting Charities</w:t>
            </w:r>
          </w:p>
        </w:tc>
        <w:tc>
          <w:tcPr>
            <w:tcW w:w="1361" w:type="dxa"/>
          </w:tcPr>
          <w:p w14:paraId="01E224C2" w14:textId="282637B5" w:rsidR="00B02873" w:rsidRDefault="00B02873" w:rsidP="009850A6">
            <w:pPr>
              <w:pStyle w:val="TablebodyleftFinancialsTables"/>
              <w:jc w:val="right"/>
            </w:pPr>
            <w:r>
              <w:t>1.38</w:t>
            </w:r>
          </w:p>
        </w:tc>
      </w:tr>
      <w:tr w:rsidR="00B02873" w:rsidRPr="00B02873" w14:paraId="5532F142" w14:textId="77777777" w:rsidTr="009850A6">
        <w:tc>
          <w:tcPr>
            <w:tcW w:w="8277" w:type="dxa"/>
          </w:tcPr>
          <w:p w14:paraId="769BE460" w14:textId="77777777" w:rsidR="00B02873" w:rsidRDefault="00B02873" w:rsidP="009850A6">
            <w:pPr>
              <w:pStyle w:val="TablebodyleftFinancialsTables"/>
            </w:pPr>
            <w:r>
              <w:t>Recycling Victoria: New Regulation to Improve Recycling</w:t>
            </w:r>
          </w:p>
        </w:tc>
        <w:tc>
          <w:tcPr>
            <w:tcW w:w="1361" w:type="dxa"/>
          </w:tcPr>
          <w:p w14:paraId="5595217F" w14:textId="27E01A95" w:rsidR="00B02873" w:rsidRDefault="00B02873" w:rsidP="009850A6">
            <w:pPr>
              <w:pStyle w:val="TablebodyleftFinancialsTables"/>
              <w:jc w:val="right"/>
            </w:pPr>
            <w:r>
              <w:t>1.21</w:t>
            </w:r>
          </w:p>
        </w:tc>
      </w:tr>
      <w:tr w:rsidR="00B02873" w:rsidRPr="00B02873" w14:paraId="632957F5" w14:textId="77777777" w:rsidTr="009850A6">
        <w:tc>
          <w:tcPr>
            <w:tcW w:w="8277" w:type="dxa"/>
          </w:tcPr>
          <w:p w14:paraId="1E5E4EF0" w14:textId="77777777" w:rsidR="00B02873" w:rsidRDefault="00B02873" w:rsidP="009850A6">
            <w:pPr>
              <w:pStyle w:val="TablebodyleftFinancialsTables"/>
            </w:pPr>
            <w:r>
              <w:t>Recycling Victoria: Recycled First Major Transport Infrastructure Authority</w:t>
            </w:r>
          </w:p>
        </w:tc>
        <w:tc>
          <w:tcPr>
            <w:tcW w:w="1361" w:type="dxa"/>
          </w:tcPr>
          <w:p w14:paraId="23071E7D" w14:textId="535E51D9" w:rsidR="00B02873" w:rsidRDefault="00B02873" w:rsidP="009850A6">
            <w:pPr>
              <w:pStyle w:val="TablebodyleftFinancialsTables"/>
              <w:jc w:val="right"/>
            </w:pPr>
            <w:r>
              <w:t>1.13</w:t>
            </w:r>
          </w:p>
        </w:tc>
      </w:tr>
      <w:tr w:rsidR="00B02873" w:rsidRPr="00B02873" w14:paraId="329F1459" w14:textId="77777777" w:rsidTr="009850A6">
        <w:tc>
          <w:tcPr>
            <w:tcW w:w="8277" w:type="dxa"/>
          </w:tcPr>
          <w:p w14:paraId="442034D6" w14:textId="77777777" w:rsidR="00B02873" w:rsidRDefault="00B02873" w:rsidP="009850A6">
            <w:pPr>
              <w:pStyle w:val="TablebodyleftFinancialsTables"/>
            </w:pPr>
            <w:r>
              <w:t>Recycling Victoria: Recycling Victoria Project Management Office</w:t>
            </w:r>
          </w:p>
        </w:tc>
        <w:tc>
          <w:tcPr>
            <w:tcW w:w="1361" w:type="dxa"/>
          </w:tcPr>
          <w:p w14:paraId="2297BFA0" w14:textId="3EDA5B5A" w:rsidR="00B02873" w:rsidRDefault="00B02873" w:rsidP="009850A6">
            <w:pPr>
              <w:pStyle w:val="TablebodyleftFinancialsTables"/>
              <w:jc w:val="right"/>
            </w:pPr>
            <w:r>
              <w:t>1.10</w:t>
            </w:r>
          </w:p>
        </w:tc>
      </w:tr>
      <w:tr w:rsidR="00B02873" w:rsidRPr="00B02873" w14:paraId="241688C0" w14:textId="77777777" w:rsidTr="009850A6">
        <w:tc>
          <w:tcPr>
            <w:tcW w:w="8277" w:type="dxa"/>
          </w:tcPr>
          <w:p w14:paraId="1BDC6F27" w14:textId="77777777" w:rsidR="00B02873" w:rsidRDefault="00B02873" w:rsidP="009850A6">
            <w:pPr>
              <w:pStyle w:val="TablebodyleftFinancialsTables"/>
            </w:pPr>
            <w:r>
              <w:t>Recycling Victoria: Environment Protection Policy and Reform Delivery</w:t>
            </w:r>
          </w:p>
        </w:tc>
        <w:tc>
          <w:tcPr>
            <w:tcW w:w="1361" w:type="dxa"/>
          </w:tcPr>
          <w:p w14:paraId="72A0F651" w14:textId="4F78F18E" w:rsidR="00B02873" w:rsidRDefault="00B02873" w:rsidP="009850A6">
            <w:pPr>
              <w:pStyle w:val="TablebodyleftFinancialsTables"/>
              <w:jc w:val="right"/>
            </w:pPr>
            <w:r>
              <w:t>0.66</w:t>
            </w:r>
          </w:p>
        </w:tc>
      </w:tr>
      <w:tr w:rsidR="00B02873" w:rsidRPr="00B02873" w14:paraId="197522CB" w14:textId="77777777" w:rsidTr="009850A6">
        <w:tc>
          <w:tcPr>
            <w:tcW w:w="8277" w:type="dxa"/>
          </w:tcPr>
          <w:p w14:paraId="0F88E307" w14:textId="77777777" w:rsidR="00B02873" w:rsidRDefault="00B02873" w:rsidP="009850A6">
            <w:pPr>
              <w:pStyle w:val="TablebodyleftFinancialsTables"/>
            </w:pPr>
            <w:r>
              <w:t>Recycling Victoria: Reducing Regulatory Barriers EPA</w:t>
            </w:r>
          </w:p>
        </w:tc>
        <w:tc>
          <w:tcPr>
            <w:tcW w:w="1361" w:type="dxa"/>
          </w:tcPr>
          <w:p w14:paraId="117A3CA4" w14:textId="05B30421" w:rsidR="00B02873" w:rsidRDefault="00B02873" w:rsidP="009850A6">
            <w:pPr>
              <w:pStyle w:val="TablebodyleftFinancialsTables"/>
              <w:jc w:val="right"/>
            </w:pPr>
            <w:r>
              <w:t>0.65</w:t>
            </w:r>
          </w:p>
        </w:tc>
      </w:tr>
      <w:tr w:rsidR="00B02873" w:rsidRPr="00B02873" w14:paraId="5D7D5574" w14:textId="77777777" w:rsidTr="009850A6">
        <w:tc>
          <w:tcPr>
            <w:tcW w:w="8277" w:type="dxa"/>
          </w:tcPr>
          <w:p w14:paraId="3DC4769A" w14:textId="77777777" w:rsidR="00B02873" w:rsidRDefault="00B02873" w:rsidP="009850A6">
            <w:pPr>
              <w:pStyle w:val="TablebodyleftFinancialsTables"/>
            </w:pPr>
            <w:r>
              <w:t xml:space="preserve">Recycling Victoria: Single-use plastic ban and government phase out </w:t>
            </w:r>
          </w:p>
        </w:tc>
        <w:tc>
          <w:tcPr>
            <w:tcW w:w="1361" w:type="dxa"/>
          </w:tcPr>
          <w:p w14:paraId="3506B5E8" w14:textId="2CB610DB" w:rsidR="00B02873" w:rsidRDefault="00B02873" w:rsidP="009850A6">
            <w:pPr>
              <w:pStyle w:val="TablebodyleftFinancialsTables"/>
              <w:jc w:val="right"/>
            </w:pPr>
            <w:r>
              <w:t>0.61</w:t>
            </w:r>
          </w:p>
        </w:tc>
      </w:tr>
      <w:tr w:rsidR="00B02873" w:rsidRPr="00B02873" w14:paraId="4D08E50C" w14:textId="77777777" w:rsidTr="009850A6">
        <w:tc>
          <w:tcPr>
            <w:tcW w:w="8277" w:type="dxa"/>
          </w:tcPr>
          <w:p w14:paraId="2C442A9E" w14:textId="77777777" w:rsidR="00B02873" w:rsidRDefault="00B02873" w:rsidP="009850A6">
            <w:pPr>
              <w:pStyle w:val="TablebodyleftFinancialsTables"/>
            </w:pPr>
            <w:r>
              <w:t>Recycling Victoria: Asbestos Disposal Management Plan</w:t>
            </w:r>
          </w:p>
        </w:tc>
        <w:tc>
          <w:tcPr>
            <w:tcW w:w="1361" w:type="dxa"/>
          </w:tcPr>
          <w:p w14:paraId="4E23C351" w14:textId="3356F214" w:rsidR="00B02873" w:rsidRDefault="00B02873" w:rsidP="009850A6">
            <w:pPr>
              <w:pStyle w:val="TablebodyleftFinancialsTables"/>
              <w:jc w:val="right"/>
            </w:pPr>
            <w:r>
              <w:t>0.60</w:t>
            </w:r>
          </w:p>
        </w:tc>
      </w:tr>
      <w:tr w:rsidR="00B02873" w:rsidRPr="00B02873" w14:paraId="4400AE59" w14:textId="77777777" w:rsidTr="009850A6">
        <w:tc>
          <w:tcPr>
            <w:tcW w:w="8277" w:type="dxa"/>
          </w:tcPr>
          <w:p w14:paraId="6947E967" w14:textId="77777777" w:rsidR="00B02873" w:rsidRDefault="00B02873" w:rsidP="009850A6">
            <w:pPr>
              <w:pStyle w:val="TablebodyleftFinancialsTables"/>
            </w:pPr>
            <w:r>
              <w:t>Recycling Victoria: Recycling Markets Acceleration Package</w:t>
            </w:r>
          </w:p>
        </w:tc>
        <w:tc>
          <w:tcPr>
            <w:tcW w:w="1361" w:type="dxa"/>
          </w:tcPr>
          <w:p w14:paraId="06D211C7" w14:textId="551C9554" w:rsidR="00B02873" w:rsidRDefault="00B02873" w:rsidP="009850A6">
            <w:pPr>
              <w:pStyle w:val="TablebodyleftFinancialsTables"/>
              <w:jc w:val="right"/>
            </w:pPr>
            <w:r>
              <w:t>0.56</w:t>
            </w:r>
          </w:p>
        </w:tc>
      </w:tr>
      <w:tr w:rsidR="00B02873" w:rsidRPr="00B02873" w14:paraId="07A3257D" w14:textId="77777777" w:rsidTr="009850A6">
        <w:tc>
          <w:tcPr>
            <w:tcW w:w="8277" w:type="dxa"/>
          </w:tcPr>
          <w:p w14:paraId="692D68DE" w14:textId="77777777" w:rsidR="00B02873" w:rsidRDefault="00B02873" w:rsidP="009850A6">
            <w:pPr>
              <w:pStyle w:val="TablebodyleftFinancialsTables"/>
            </w:pPr>
            <w:r>
              <w:t>Recycling Victoria: Hazardous Waste and Waste to Energy Policy</w:t>
            </w:r>
          </w:p>
        </w:tc>
        <w:tc>
          <w:tcPr>
            <w:tcW w:w="1361" w:type="dxa"/>
          </w:tcPr>
          <w:p w14:paraId="0E1CF301" w14:textId="53FC8FA0" w:rsidR="00B02873" w:rsidRDefault="00B02873" w:rsidP="009850A6">
            <w:pPr>
              <w:pStyle w:val="TablebodyleftFinancialsTables"/>
              <w:jc w:val="right"/>
            </w:pPr>
            <w:r>
              <w:t>0.35</w:t>
            </w:r>
          </w:p>
        </w:tc>
      </w:tr>
      <w:tr w:rsidR="00B02873" w:rsidRPr="00B02873" w14:paraId="5FB5445F" w14:textId="77777777" w:rsidTr="009850A6">
        <w:tc>
          <w:tcPr>
            <w:tcW w:w="8277" w:type="dxa"/>
          </w:tcPr>
          <w:p w14:paraId="18E1E1C3" w14:textId="77777777" w:rsidR="00B02873" w:rsidRDefault="00B02873" w:rsidP="009850A6">
            <w:pPr>
              <w:pStyle w:val="TablebodyleftFinancialsTables"/>
            </w:pPr>
            <w:r>
              <w:t>Recycling Victoria: Circular Economy Business Innovation Centre</w:t>
            </w:r>
          </w:p>
        </w:tc>
        <w:tc>
          <w:tcPr>
            <w:tcW w:w="1361" w:type="dxa"/>
          </w:tcPr>
          <w:p w14:paraId="2C9EB5E8" w14:textId="6C055EA6" w:rsidR="00B02873" w:rsidRDefault="00B02873" w:rsidP="009850A6">
            <w:pPr>
              <w:pStyle w:val="TablebodyleftFinancialsTables"/>
              <w:jc w:val="right"/>
            </w:pPr>
            <w:r>
              <w:t>0.35</w:t>
            </w:r>
          </w:p>
        </w:tc>
      </w:tr>
      <w:tr w:rsidR="00B02873" w:rsidRPr="00B02873" w14:paraId="282976D2" w14:textId="77777777" w:rsidTr="009850A6">
        <w:tc>
          <w:tcPr>
            <w:tcW w:w="8277" w:type="dxa"/>
          </w:tcPr>
          <w:p w14:paraId="480CC81A" w14:textId="77777777" w:rsidR="00B02873" w:rsidRDefault="00B02873" w:rsidP="009850A6">
            <w:pPr>
              <w:pStyle w:val="TablebodyleftFinancialsTables"/>
            </w:pPr>
            <w:r>
              <w:t>Recycling Victoria: Recycled First Sustainability Victoria</w:t>
            </w:r>
          </w:p>
        </w:tc>
        <w:tc>
          <w:tcPr>
            <w:tcW w:w="1361" w:type="dxa"/>
          </w:tcPr>
          <w:p w14:paraId="2D657440" w14:textId="2B7C7FD9" w:rsidR="00B02873" w:rsidRDefault="00B02873" w:rsidP="009850A6">
            <w:pPr>
              <w:pStyle w:val="TablebodyleftFinancialsTables"/>
              <w:jc w:val="right"/>
            </w:pPr>
            <w:r>
              <w:t>0.35</w:t>
            </w:r>
          </w:p>
        </w:tc>
      </w:tr>
      <w:tr w:rsidR="00B02873" w:rsidRPr="00B02873" w14:paraId="5CFD8B21" w14:textId="77777777" w:rsidTr="009850A6">
        <w:tc>
          <w:tcPr>
            <w:tcW w:w="8277" w:type="dxa"/>
          </w:tcPr>
          <w:p w14:paraId="59C01946" w14:textId="77777777" w:rsidR="00B02873" w:rsidRDefault="00B02873" w:rsidP="009850A6">
            <w:pPr>
              <w:pStyle w:val="TablebodyleftFinancialsTables"/>
            </w:pPr>
            <w:r>
              <w:lastRenderedPageBreak/>
              <w:t xml:space="preserve">Recycling Victoria: Statewide Education and Behaviour Change </w:t>
            </w:r>
          </w:p>
        </w:tc>
        <w:tc>
          <w:tcPr>
            <w:tcW w:w="1361" w:type="dxa"/>
          </w:tcPr>
          <w:p w14:paraId="39967B1B" w14:textId="79847989" w:rsidR="00B02873" w:rsidRDefault="00B02873" w:rsidP="009850A6">
            <w:pPr>
              <w:pStyle w:val="TablebodyleftFinancialsTables"/>
              <w:jc w:val="right"/>
            </w:pPr>
            <w:r>
              <w:t>0.10</w:t>
            </w:r>
          </w:p>
        </w:tc>
      </w:tr>
      <w:tr w:rsidR="00B02873" w:rsidRPr="00B02873" w14:paraId="6D390917" w14:textId="77777777" w:rsidTr="009850A6">
        <w:tc>
          <w:tcPr>
            <w:tcW w:w="8277" w:type="dxa"/>
          </w:tcPr>
          <w:p w14:paraId="05CF6668" w14:textId="77777777" w:rsidR="00B02873" w:rsidRDefault="00B02873" w:rsidP="009850A6">
            <w:pPr>
              <w:pStyle w:val="TablebodyleftFinancialsTables"/>
            </w:pPr>
            <w:r>
              <w:t xml:space="preserve">Recycling Victoria Program Subtotal </w:t>
            </w:r>
          </w:p>
        </w:tc>
        <w:tc>
          <w:tcPr>
            <w:tcW w:w="1361" w:type="dxa"/>
          </w:tcPr>
          <w:p w14:paraId="0098491A" w14:textId="45E91297" w:rsidR="00B02873" w:rsidRDefault="00B02873" w:rsidP="009850A6">
            <w:pPr>
              <w:pStyle w:val="TablebodyleftFinancialsTables"/>
              <w:jc w:val="right"/>
            </w:pPr>
            <w:r>
              <w:t>77.67</w:t>
            </w:r>
          </w:p>
        </w:tc>
      </w:tr>
      <w:tr w:rsidR="00B02873" w:rsidRPr="00B02873" w14:paraId="3E0AC4ED" w14:textId="77777777" w:rsidTr="009850A6">
        <w:tc>
          <w:tcPr>
            <w:tcW w:w="8277" w:type="dxa"/>
          </w:tcPr>
          <w:p w14:paraId="401E9C5C" w14:textId="77777777" w:rsidR="00B02873" w:rsidRDefault="00B02873" w:rsidP="009850A6">
            <w:pPr>
              <w:pStyle w:val="TablebodyleftFinancialsTables"/>
            </w:pPr>
            <w:r>
              <w:t>Suburban Parks Program</w:t>
            </w:r>
          </w:p>
        </w:tc>
        <w:tc>
          <w:tcPr>
            <w:tcW w:w="1361" w:type="dxa"/>
          </w:tcPr>
          <w:p w14:paraId="7161551A" w14:textId="18270283" w:rsidR="00B02873" w:rsidRDefault="00B02873" w:rsidP="009850A6">
            <w:pPr>
              <w:pStyle w:val="TablebodyleftFinancialsTables"/>
              <w:jc w:val="right"/>
            </w:pPr>
            <w:r>
              <w:t>24.11</w:t>
            </w:r>
          </w:p>
        </w:tc>
      </w:tr>
      <w:tr w:rsidR="00B02873" w:rsidRPr="00B02873" w14:paraId="2E8B982E" w14:textId="77777777" w:rsidTr="009850A6">
        <w:tc>
          <w:tcPr>
            <w:tcW w:w="8277" w:type="dxa"/>
          </w:tcPr>
          <w:p w14:paraId="3E3182F4" w14:textId="77777777" w:rsidR="00B02873" w:rsidRDefault="00B02873" w:rsidP="009850A6">
            <w:pPr>
              <w:pStyle w:val="TablebodyleftFinancialsTables"/>
            </w:pPr>
            <w:r>
              <w:t>Recycling Industry Response Interim Measures: Industry and Infrastructure Development Package</w:t>
            </w:r>
          </w:p>
        </w:tc>
        <w:tc>
          <w:tcPr>
            <w:tcW w:w="1361" w:type="dxa"/>
          </w:tcPr>
          <w:p w14:paraId="0C798FBA" w14:textId="49AAF650" w:rsidR="00B02873" w:rsidRDefault="00B02873" w:rsidP="009850A6">
            <w:pPr>
              <w:pStyle w:val="TablebodyleftFinancialsTables"/>
              <w:jc w:val="right"/>
            </w:pPr>
            <w:r>
              <w:t>18.76</w:t>
            </w:r>
          </w:p>
        </w:tc>
      </w:tr>
      <w:tr w:rsidR="00B02873" w:rsidRPr="00B02873" w14:paraId="69A80AE7" w14:textId="77777777" w:rsidTr="009850A6">
        <w:tc>
          <w:tcPr>
            <w:tcW w:w="8277" w:type="dxa"/>
          </w:tcPr>
          <w:p w14:paraId="3C59ECBC" w14:textId="77777777" w:rsidR="00B02873" w:rsidRDefault="00B02873" w:rsidP="009850A6">
            <w:pPr>
              <w:pStyle w:val="TablebodyleftFinancialsTables"/>
            </w:pPr>
            <w:r>
              <w:t>Recycling Industry Response Interim Measures: Education for Waste Minimisation</w:t>
            </w:r>
          </w:p>
        </w:tc>
        <w:tc>
          <w:tcPr>
            <w:tcW w:w="1361" w:type="dxa"/>
          </w:tcPr>
          <w:p w14:paraId="60DBC1D6" w14:textId="0B4F9F07" w:rsidR="00B02873" w:rsidRDefault="00B02873" w:rsidP="009850A6">
            <w:pPr>
              <w:pStyle w:val="TablebodyleftFinancialsTables"/>
              <w:jc w:val="right"/>
            </w:pPr>
            <w:r>
              <w:t>1.05</w:t>
            </w:r>
          </w:p>
        </w:tc>
      </w:tr>
      <w:tr w:rsidR="00B02873" w:rsidRPr="00B02873" w14:paraId="223684CC" w14:textId="77777777" w:rsidTr="009850A6">
        <w:tc>
          <w:tcPr>
            <w:tcW w:w="8277" w:type="dxa"/>
          </w:tcPr>
          <w:p w14:paraId="6EB729CA" w14:textId="77777777" w:rsidR="00B02873" w:rsidRDefault="00B02873" w:rsidP="009850A6">
            <w:pPr>
              <w:pStyle w:val="TablebodyleftFinancialsTables"/>
            </w:pPr>
            <w:r>
              <w:t>Recycling Industry Response Interim Measures: Sustainable Government Procurement</w:t>
            </w:r>
          </w:p>
        </w:tc>
        <w:tc>
          <w:tcPr>
            <w:tcW w:w="1361" w:type="dxa"/>
          </w:tcPr>
          <w:p w14:paraId="03CB1D7A" w14:textId="77322F22" w:rsidR="00B02873" w:rsidRDefault="00B02873" w:rsidP="009850A6">
            <w:pPr>
              <w:pStyle w:val="TablebodyleftFinancialsTables"/>
              <w:jc w:val="right"/>
            </w:pPr>
            <w:r>
              <w:t>0.74</w:t>
            </w:r>
          </w:p>
        </w:tc>
      </w:tr>
      <w:tr w:rsidR="00B02873" w:rsidRPr="00B02873" w14:paraId="1D213396" w14:textId="77777777" w:rsidTr="009850A6">
        <w:tc>
          <w:tcPr>
            <w:tcW w:w="8277" w:type="dxa"/>
          </w:tcPr>
          <w:p w14:paraId="209157C9" w14:textId="7E06137F" w:rsidR="00B02873" w:rsidRDefault="00B02873" w:rsidP="009850A6">
            <w:pPr>
              <w:pStyle w:val="TablebodyleftFinancialsTables"/>
            </w:pPr>
            <w:r>
              <w:t>Recycling Industry Response Interim Measures: Oversight of the Implementation of the Recycling Industry Reform Package</w:t>
            </w:r>
          </w:p>
        </w:tc>
        <w:tc>
          <w:tcPr>
            <w:tcW w:w="1361" w:type="dxa"/>
          </w:tcPr>
          <w:p w14:paraId="02E16D0D" w14:textId="5B471D8A" w:rsidR="00B02873" w:rsidRDefault="00B02873" w:rsidP="009850A6">
            <w:pPr>
              <w:pStyle w:val="TablebodyleftFinancialsTables"/>
              <w:jc w:val="right"/>
            </w:pPr>
            <w:r>
              <w:t>0.20</w:t>
            </w:r>
          </w:p>
        </w:tc>
      </w:tr>
      <w:tr w:rsidR="00B02873" w:rsidRPr="00B02873" w14:paraId="607A3876" w14:textId="77777777" w:rsidTr="009850A6">
        <w:tc>
          <w:tcPr>
            <w:tcW w:w="8277" w:type="dxa"/>
          </w:tcPr>
          <w:p w14:paraId="1DC4CD40" w14:textId="77777777" w:rsidR="00B02873" w:rsidRDefault="00B02873" w:rsidP="009850A6">
            <w:pPr>
              <w:pStyle w:val="TablebodyleftFinancialsTables"/>
            </w:pPr>
            <w:r>
              <w:t>Recycling Industry Response Interim Measures Subtotal</w:t>
            </w:r>
          </w:p>
        </w:tc>
        <w:tc>
          <w:tcPr>
            <w:tcW w:w="1361" w:type="dxa"/>
          </w:tcPr>
          <w:p w14:paraId="2202CCDF" w14:textId="1D9DA52C" w:rsidR="00B02873" w:rsidRDefault="00B02873" w:rsidP="009850A6">
            <w:pPr>
              <w:pStyle w:val="TablebodyleftFinancialsTables"/>
              <w:jc w:val="right"/>
            </w:pPr>
            <w:r>
              <w:t>20.76</w:t>
            </w:r>
          </w:p>
        </w:tc>
      </w:tr>
      <w:tr w:rsidR="00B02873" w:rsidRPr="00B02873" w14:paraId="6E3C9290" w14:textId="77777777" w:rsidTr="009850A6">
        <w:tc>
          <w:tcPr>
            <w:tcW w:w="8277" w:type="dxa"/>
          </w:tcPr>
          <w:p w14:paraId="4BD50293" w14:textId="73A4F5A6" w:rsidR="00B02873" w:rsidRDefault="00B02873" w:rsidP="009850A6">
            <w:pPr>
              <w:pStyle w:val="TablebodyleftFinancialsTables"/>
            </w:pPr>
            <w:r>
              <w:t>Protecting Victoria's Environment</w:t>
            </w:r>
            <w:r w:rsidR="000C45FC">
              <w:t xml:space="preserve"> – </w:t>
            </w:r>
            <w:r>
              <w:t>Biodiversity 2037: Protecting Biodiversity 2021-25</w:t>
            </w:r>
          </w:p>
        </w:tc>
        <w:tc>
          <w:tcPr>
            <w:tcW w:w="1361" w:type="dxa"/>
          </w:tcPr>
          <w:p w14:paraId="45D096F8" w14:textId="43D64F58" w:rsidR="00B02873" w:rsidRDefault="00B02873" w:rsidP="009850A6">
            <w:pPr>
              <w:pStyle w:val="TablebodyleftFinancialsTables"/>
              <w:jc w:val="right"/>
            </w:pPr>
            <w:r>
              <w:t>20.00</w:t>
            </w:r>
          </w:p>
        </w:tc>
      </w:tr>
      <w:tr w:rsidR="00B02873" w:rsidRPr="00B02873" w14:paraId="6B090A48" w14:textId="77777777" w:rsidTr="009850A6">
        <w:tc>
          <w:tcPr>
            <w:tcW w:w="8277" w:type="dxa"/>
          </w:tcPr>
          <w:p w14:paraId="24CFA2CA" w14:textId="74BC4A3F" w:rsidR="00B02873" w:rsidRDefault="00B02873" w:rsidP="009850A6">
            <w:pPr>
              <w:pStyle w:val="TablebodyleftFinancialsTables"/>
            </w:pPr>
            <w:r>
              <w:t>Protecting Victoria's Environment</w:t>
            </w:r>
            <w:r w:rsidR="000C45FC">
              <w:t xml:space="preserve"> – </w:t>
            </w:r>
            <w:r>
              <w:t>Biodiversity 2037: Biodiversity Enabling Actions</w:t>
            </w:r>
          </w:p>
        </w:tc>
        <w:tc>
          <w:tcPr>
            <w:tcW w:w="1361" w:type="dxa"/>
          </w:tcPr>
          <w:p w14:paraId="4CA4D841" w14:textId="0FAEABF4" w:rsidR="00B02873" w:rsidRDefault="00B02873" w:rsidP="009850A6">
            <w:pPr>
              <w:pStyle w:val="TablebodyleftFinancialsTables"/>
              <w:jc w:val="right"/>
            </w:pPr>
            <w:r>
              <w:t>0.46</w:t>
            </w:r>
          </w:p>
        </w:tc>
      </w:tr>
      <w:tr w:rsidR="00B02873" w:rsidRPr="00B02873" w14:paraId="4A7A6ABF" w14:textId="77777777" w:rsidTr="009850A6">
        <w:tc>
          <w:tcPr>
            <w:tcW w:w="8277" w:type="dxa"/>
          </w:tcPr>
          <w:p w14:paraId="54DC4FBC" w14:textId="28080495" w:rsidR="00B02873" w:rsidRDefault="00B02873" w:rsidP="009850A6">
            <w:pPr>
              <w:pStyle w:val="TablebodyleftFinancialsTables"/>
            </w:pPr>
            <w:r>
              <w:t>Protecting Victoria's Environment</w:t>
            </w:r>
            <w:r w:rsidR="000C45FC">
              <w:t xml:space="preserve"> – </w:t>
            </w:r>
            <w:r>
              <w:t>Biodiversity 2037: Subtotal</w:t>
            </w:r>
          </w:p>
        </w:tc>
        <w:tc>
          <w:tcPr>
            <w:tcW w:w="1361" w:type="dxa"/>
          </w:tcPr>
          <w:p w14:paraId="22EBC893" w14:textId="3B075FF8" w:rsidR="00B02873" w:rsidRDefault="00B02873" w:rsidP="009850A6">
            <w:pPr>
              <w:pStyle w:val="TablebodyleftFinancialsTables"/>
              <w:jc w:val="right"/>
            </w:pPr>
            <w:r>
              <w:t>20.46</w:t>
            </w:r>
          </w:p>
        </w:tc>
      </w:tr>
      <w:tr w:rsidR="00B02873" w:rsidRPr="00B02873" w14:paraId="4D90D749" w14:textId="77777777" w:rsidTr="009850A6">
        <w:tc>
          <w:tcPr>
            <w:tcW w:w="8277" w:type="dxa"/>
          </w:tcPr>
          <w:p w14:paraId="555DF5D4" w14:textId="77777777" w:rsidR="00B02873" w:rsidRDefault="00B02873" w:rsidP="009850A6">
            <w:pPr>
              <w:pStyle w:val="TablebodyleftFinancialsTables"/>
            </w:pPr>
            <w:r>
              <w:t>Maintaining Essential Energy Functions: Energy Safety and Security</w:t>
            </w:r>
          </w:p>
        </w:tc>
        <w:tc>
          <w:tcPr>
            <w:tcW w:w="1361" w:type="dxa"/>
          </w:tcPr>
          <w:p w14:paraId="10ACBB0F" w14:textId="51F672AB" w:rsidR="00B02873" w:rsidRDefault="00B02873" w:rsidP="009850A6">
            <w:pPr>
              <w:pStyle w:val="TablebodyleftFinancialsTables"/>
              <w:jc w:val="right"/>
            </w:pPr>
            <w:r>
              <w:t>7.63</w:t>
            </w:r>
          </w:p>
        </w:tc>
      </w:tr>
      <w:tr w:rsidR="00B02873" w:rsidRPr="00B02873" w14:paraId="08855071" w14:textId="77777777" w:rsidTr="009850A6">
        <w:tc>
          <w:tcPr>
            <w:tcW w:w="8277" w:type="dxa"/>
          </w:tcPr>
          <w:p w14:paraId="489FE522" w14:textId="77777777" w:rsidR="00B02873" w:rsidRDefault="00B02873" w:rsidP="009850A6">
            <w:pPr>
              <w:pStyle w:val="TablebodyleftFinancialsTables"/>
            </w:pPr>
            <w:r>
              <w:t>Maintaining Essential Energy Functions: Supporting Victorians Through the Energy Transition</w:t>
            </w:r>
          </w:p>
        </w:tc>
        <w:tc>
          <w:tcPr>
            <w:tcW w:w="1361" w:type="dxa"/>
          </w:tcPr>
          <w:p w14:paraId="39262C7C" w14:textId="25428FB1" w:rsidR="00B02873" w:rsidRDefault="00B02873" w:rsidP="009850A6">
            <w:pPr>
              <w:pStyle w:val="TablebodyleftFinancialsTables"/>
              <w:jc w:val="right"/>
            </w:pPr>
            <w:r>
              <w:t>2.74</w:t>
            </w:r>
          </w:p>
        </w:tc>
      </w:tr>
      <w:tr w:rsidR="00B02873" w:rsidRPr="00B02873" w14:paraId="6D281274" w14:textId="77777777" w:rsidTr="009850A6">
        <w:tc>
          <w:tcPr>
            <w:tcW w:w="8277" w:type="dxa"/>
          </w:tcPr>
          <w:p w14:paraId="7D6BA5C9" w14:textId="77777777" w:rsidR="00B02873" w:rsidRDefault="00B02873" w:rsidP="009850A6">
            <w:pPr>
              <w:pStyle w:val="TablebodyleftFinancialsTables"/>
            </w:pPr>
            <w:r>
              <w:t>Maintaining Essential Energy Functions: Ensuring the Rights of Energy Consumers</w:t>
            </w:r>
          </w:p>
        </w:tc>
        <w:tc>
          <w:tcPr>
            <w:tcW w:w="1361" w:type="dxa"/>
          </w:tcPr>
          <w:p w14:paraId="25C40CB4" w14:textId="484DFE5B" w:rsidR="00B02873" w:rsidRDefault="00B02873" w:rsidP="009850A6">
            <w:pPr>
              <w:pStyle w:val="TablebodyleftFinancialsTables"/>
              <w:jc w:val="right"/>
            </w:pPr>
            <w:r>
              <w:t>2.30</w:t>
            </w:r>
          </w:p>
        </w:tc>
      </w:tr>
      <w:tr w:rsidR="00B02873" w:rsidRPr="00B02873" w14:paraId="1C0AB1A2" w14:textId="77777777" w:rsidTr="009850A6">
        <w:tc>
          <w:tcPr>
            <w:tcW w:w="8277" w:type="dxa"/>
          </w:tcPr>
          <w:p w14:paraId="3558EDC4" w14:textId="37777D13" w:rsidR="00B02873" w:rsidRDefault="00B02873" w:rsidP="009850A6">
            <w:pPr>
              <w:pStyle w:val="TablebodyleftFinancialsTables"/>
            </w:pPr>
            <w:r>
              <w:t>Maintaining Essential Energy Functions: ESR Driving Growth in Renewables, Reducing Emissions and Improving Reliability</w:t>
            </w:r>
          </w:p>
        </w:tc>
        <w:tc>
          <w:tcPr>
            <w:tcW w:w="1361" w:type="dxa"/>
          </w:tcPr>
          <w:p w14:paraId="2FA65B56" w14:textId="32691BBE" w:rsidR="00B02873" w:rsidRDefault="00B02873" w:rsidP="009850A6">
            <w:pPr>
              <w:pStyle w:val="TablebodyleftFinancialsTables"/>
              <w:jc w:val="right"/>
            </w:pPr>
            <w:r>
              <w:t>2.15</w:t>
            </w:r>
          </w:p>
        </w:tc>
      </w:tr>
      <w:tr w:rsidR="00B02873" w:rsidRPr="00B02873" w14:paraId="76E8086E" w14:textId="77777777" w:rsidTr="009850A6">
        <w:tc>
          <w:tcPr>
            <w:tcW w:w="8277" w:type="dxa"/>
          </w:tcPr>
          <w:p w14:paraId="614D60F3" w14:textId="77777777" w:rsidR="00B02873" w:rsidRDefault="00B02873" w:rsidP="009850A6">
            <w:pPr>
              <w:pStyle w:val="TablebodyleftFinancialsTables"/>
            </w:pPr>
            <w:r>
              <w:t>Maintaining Essential Energy Functions: ESD Driving Growth in Renewables</w:t>
            </w:r>
          </w:p>
        </w:tc>
        <w:tc>
          <w:tcPr>
            <w:tcW w:w="1361" w:type="dxa"/>
          </w:tcPr>
          <w:p w14:paraId="708D46F5" w14:textId="2D6931A1" w:rsidR="00B02873" w:rsidRDefault="00B02873" w:rsidP="009850A6">
            <w:pPr>
              <w:pStyle w:val="TablebodyleftFinancialsTables"/>
              <w:jc w:val="right"/>
            </w:pPr>
            <w:r>
              <w:t>2.07</w:t>
            </w:r>
          </w:p>
        </w:tc>
      </w:tr>
      <w:tr w:rsidR="00B02873" w:rsidRPr="00B02873" w14:paraId="28475989" w14:textId="77777777" w:rsidTr="009850A6">
        <w:tc>
          <w:tcPr>
            <w:tcW w:w="8277" w:type="dxa"/>
          </w:tcPr>
          <w:p w14:paraId="3E9865AA" w14:textId="77777777" w:rsidR="00B02873" w:rsidRDefault="00B02873" w:rsidP="009850A6">
            <w:pPr>
              <w:pStyle w:val="TablebodyleftFinancialsTables"/>
            </w:pPr>
            <w:r>
              <w:t>Maintaining Essential Energy Functions Subtotal</w:t>
            </w:r>
          </w:p>
        </w:tc>
        <w:tc>
          <w:tcPr>
            <w:tcW w:w="1361" w:type="dxa"/>
          </w:tcPr>
          <w:p w14:paraId="7780EE6A" w14:textId="530FC2B5" w:rsidR="00B02873" w:rsidRDefault="00B02873" w:rsidP="009850A6">
            <w:pPr>
              <w:pStyle w:val="TablebodyleftFinancialsTables"/>
              <w:jc w:val="right"/>
            </w:pPr>
            <w:r>
              <w:t>16.89</w:t>
            </w:r>
          </w:p>
        </w:tc>
      </w:tr>
      <w:tr w:rsidR="00B02873" w:rsidRPr="00B02873" w14:paraId="03B66D2C" w14:textId="77777777" w:rsidTr="009850A6">
        <w:tc>
          <w:tcPr>
            <w:tcW w:w="8277" w:type="dxa"/>
          </w:tcPr>
          <w:p w14:paraId="5442AE84" w14:textId="77777777" w:rsidR="00B02873" w:rsidRDefault="00B02873" w:rsidP="009850A6">
            <w:pPr>
              <w:pStyle w:val="TablebodyleftFinancialsTables"/>
            </w:pPr>
            <w:r>
              <w:t>Cheaper, Cleaner Energy to Drive Economic Recovery</w:t>
            </w:r>
          </w:p>
        </w:tc>
        <w:tc>
          <w:tcPr>
            <w:tcW w:w="1361" w:type="dxa"/>
          </w:tcPr>
          <w:p w14:paraId="1D2DDE50" w14:textId="7BB5E1FE" w:rsidR="00B02873" w:rsidRDefault="00B02873" w:rsidP="009850A6">
            <w:pPr>
              <w:pStyle w:val="TablebodyleftFinancialsTables"/>
              <w:jc w:val="right"/>
            </w:pPr>
            <w:r>
              <w:t>5.79</w:t>
            </w:r>
          </w:p>
        </w:tc>
      </w:tr>
      <w:tr w:rsidR="00B02873" w:rsidRPr="00B02873" w14:paraId="0C1D5989" w14:textId="77777777" w:rsidTr="009850A6">
        <w:tc>
          <w:tcPr>
            <w:tcW w:w="8277" w:type="dxa"/>
          </w:tcPr>
          <w:p w14:paraId="0886D6C0" w14:textId="77777777" w:rsidR="00B02873" w:rsidRDefault="00B02873" w:rsidP="009850A6">
            <w:pPr>
              <w:pStyle w:val="TablebodyleftFinancialsTables"/>
            </w:pPr>
            <w:r>
              <w:t>Timber Plantation Establishment</w:t>
            </w:r>
          </w:p>
        </w:tc>
        <w:tc>
          <w:tcPr>
            <w:tcW w:w="1361" w:type="dxa"/>
          </w:tcPr>
          <w:p w14:paraId="37E94C35" w14:textId="0BABD113" w:rsidR="00B02873" w:rsidRDefault="00B02873" w:rsidP="009850A6">
            <w:pPr>
              <w:pStyle w:val="TablebodyleftFinancialsTables"/>
              <w:jc w:val="right"/>
            </w:pPr>
            <w:r>
              <w:t>5.00</w:t>
            </w:r>
          </w:p>
        </w:tc>
      </w:tr>
      <w:tr w:rsidR="00B02873" w:rsidRPr="00B02873" w14:paraId="4F1E4A5E" w14:textId="77777777" w:rsidTr="009850A6">
        <w:tc>
          <w:tcPr>
            <w:tcW w:w="8277" w:type="dxa"/>
          </w:tcPr>
          <w:p w14:paraId="5D008CCC" w14:textId="77777777" w:rsidR="00B02873" w:rsidRDefault="00B02873" w:rsidP="009850A6">
            <w:pPr>
              <w:pStyle w:val="TablebodyleftFinancialsTables"/>
            </w:pPr>
            <w:r>
              <w:t>Climate Change Community Action: ResourceSmart Schools</w:t>
            </w:r>
          </w:p>
        </w:tc>
        <w:tc>
          <w:tcPr>
            <w:tcW w:w="1361" w:type="dxa"/>
          </w:tcPr>
          <w:p w14:paraId="79265881" w14:textId="3E4A8C38" w:rsidR="00B02873" w:rsidRDefault="00B02873" w:rsidP="009850A6">
            <w:pPr>
              <w:pStyle w:val="TablebodyleftFinancialsTables"/>
              <w:jc w:val="right"/>
            </w:pPr>
            <w:r>
              <w:t>2.90</w:t>
            </w:r>
          </w:p>
        </w:tc>
      </w:tr>
      <w:tr w:rsidR="00B02873" w:rsidRPr="00B02873" w14:paraId="56882786" w14:textId="77777777" w:rsidTr="009850A6">
        <w:tc>
          <w:tcPr>
            <w:tcW w:w="8277" w:type="dxa"/>
          </w:tcPr>
          <w:p w14:paraId="5817DB94" w14:textId="77777777" w:rsidR="00B02873" w:rsidRDefault="00B02873" w:rsidP="009850A6">
            <w:pPr>
              <w:pStyle w:val="TablebodyleftFinancialsTables"/>
            </w:pPr>
            <w:r>
              <w:t>Climate Change Community Action: Community Climate Change and Energy Action</w:t>
            </w:r>
          </w:p>
        </w:tc>
        <w:tc>
          <w:tcPr>
            <w:tcW w:w="1361" w:type="dxa"/>
          </w:tcPr>
          <w:p w14:paraId="264F9808" w14:textId="4CF217EF" w:rsidR="00B02873" w:rsidRDefault="00B02873" w:rsidP="009850A6">
            <w:pPr>
              <w:pStyle w:val="TablebodyleftFinancialsTables"/>
              <w:jc w:val="right"/>
            </w:pPr>
            <w:r>
              <w:t>2.00</w:t>
            </w:r>
          </w:p>
        </w:tc>
      </w:tr>
      <w:tr w:rsidR="00B02873" w:rsidRPr="00B02873" w14:paraId="13B69C41" w14:textId="77777777" w:rsidTr="009850A6">
        <w:tc>
          <w:tcPr>
            <w:tcW w:w="8277" w:type="dxa"/>
          </w:tcPr>
          <w:p w14:paraId="4061177F" w14:textId="77777777" w:rsidR="00B02873" w:rsidRDefault="00B02873" w:rsidP="009850A6">
            <w:pPr>
              <w:pStyle w:val="TablebodyleftFinancialsTables"/>
            </w:pPr>
            <w:r>
              <w:t>Climate Change Community Action Subtotal</w:t>
            </w:r>
          </w:p>
        </w:tc>
        <w:tc>
          <w:tcPr>
            <w:tcW w:w="1361" w:type="dxa"/>
          </w:tcPr>
          <w:p w14:paraId="67CF387A" w14:textId="7E8D129F" w:rsidR="00B02873" w:rsidRDefault="00B02873" w:rsidP="009850A6">
            <w:pPr>
              <w:pStyle w:val="TablebodyleftFinancialsTables"/>
              <w:jc w:val="right"/>
            </w:pPr>
            <w:r>
              <w:t>4.90</w:t>
            </w:r>
          </w:p>
        </w:tc>
      </w:tr>
      <w:tr w:rsidR="00B02873" w:rsidRPr="00B02873" w14:paraId="409B32A9" w14:textId="77777777" w:rsidTr="009850A6">
        <w:tc>
          <w:tcPr>
            <w:tcW w:w="8277" w:type="dxa"/>
          </w:tcPr>
          <w:p w14:paraId="5F952DB9" w14:textId="77777777" w:rsidR="00B02873" w:rsidRDefault="00B02873" w:rsidP="009850A6">
            <w:pPr>
              <w:pStyle w:val="TablebodyleftFinancialsTables"/>
            </w:pPr>
            <w:r>
              <w:t>Securing Our Energy Future: Solar Trams</w:t>
            </w:r>
          </w:p>
        </w:tc>
        <w:tc>
          <w:tcPr>
            <w:tcW w:w="1361" w:type="dxa"/>
          </w:tcPr>
          <w:p w14:paraId="7907F050" w14:textId="0510660F" w:rsidR="00B02873" w:rsidRDefault="00B02873" w:rsidP="009850A6">
            <w:pPr>
              <w:pStyle w:val="TablebodyleftFinancialsTables"/>
              <w:jc w:val="right"/>
            </w:pPr>
            <w:r>
              <w:t>4.69</w:t>
            </w:r>
          </w:p>
        </w:tc>
      </w:tr>
      <w:tr w:rsidR="00B02873" w:rsidRPr="00B02873" w14:paraId="2F5B366B" w14:textId="77777777" w:rsidTr="009850A6">
        <w:tc>
          <w:tcPr>
            <w:tcW w:w="8277" w:type="dxa"/>
          </w:tcPr>
          <w:p w14:paraId="1CF35224" w14:textId="77777777" w:rsidR="00B02873" w:rsidRDefault="00B02873" w:rsidP="009850A6">
            <w:pPr>
              <w:pStyle w:val="TablebodyleftFinancialsTables"/>
            </w:pPr>
            <w:r>
              <w:t>2018-19 Illegal Dumping Strikeforce</w:t>
            </w:r>
          </w:p>
        </w:tc>
        <w:tc>
          <w:tcPr>
            <w:tcW w:w="1361" w:type="dxa"/>
          </w:tcPr>
          <w:p w14:paraId="3DA2F343" w14:textId="02163079" w:rsidR="00B02873" w:rsidRDefault="00B02873" w:rsidP="009850A6">
            <w:pPr>
              <w:pStyle w:val="TablebodyleftFinancialsTables"/>
              <w:jc w:val="right"/>
            </w:pPr>
            <w:r>
              <w:t>2.33</w:t>
            </w:r>
          </w:p>
        </w:tc>
      </w:tr>
      <w:tr w:rsidR="00B02873" w:rsidRPr="00B02873" w14:paraId="2A5201EA" w14:textId="77777777" w:rsidTr="009850A6">
        <w:tc>
          <w:tcPr>
            <w:tcW w:w="8277" w:type="dxa"/>
          </w:tcPr>
          <w:p w14:paraId="594381FC" w14:textId="77777777" w:rsidR="00B02873" w:rsidRDefault="00B02873" w:rsidP="009850A6">
            <w:pPr>
              <w:pStyle w:val="TablebodyleftFinancialsTables"/>
            </w:pPr>
            <w:r>
              <w:t>Protecting Port Philip Bay and its Beaches</w:t>
            </w:r>
          </w:p>
        </w:tc>
        <w:tc>
          <w:tcPr>
            <w:tcW w:w="1361" w:type="dxa"/>
          </w:tcPr>
          <w:p w14:paraId="0DDE7598" w14:textId="188508EC" w:rsidR="00B02873" w:rsidRDefault="00B02873" w:rsidP="009850A6">
            <w:pPr>
              <w:pStyle w:val="TablebodyleftFinancialsTables"/>
              <w:jc w:val="right"/>
            </w:pPr>
            <w:r>
              <w:t>2.15</w:t>
            </w:r>
          </w:p>
        </w:tc>
      </w:tr>
      <w:tr w:rsidR="00B02873" w:rsidRPr="00B02873" w14:paraId="13DE36E9" w14:textId="77777777" w:rsidTr="009850A6">
        <w:tc>
          <w:tcPr>
            <w:tcW w:w="8277" w:type="dxa"/>
          </w:tcPr>
          <w:p w14:paraId="2720429B" w14:textId="77777777" w:rsidR="00B02873" w:rsidRDefault="00B02873" w:rsidP="009850A6">
            <w:pPr>
              <w:pStyle w:val="TablebodyleftFinancialsTables"/>
            </w:pPr>
            <w:r>
              <w:t>Clean-Up of Contaminated Public Land</w:t>
            </w:r>
          </w:p>
        </w:tc>
        <w:tc>
          <w:tcPr>
            <w:tcW w:w="1361" w:type="dxa"/>
          </w:tcPr>
          <w:p w14:paraId="1BA7EA8F" w14:textId="48631FCA" w:rsidR="00B02873" w:rsidRDefault="00B02873" w:rsidP="009850A6">
            <w:pPr>
              <w:pStyle w:val="TablebodyleftFinancialsTables"/>
              <w:jc w:val="right"/>
            </w:pPr>
            <w:r>
              <w:t>2.10</w:t>
            </w:r>
          </w:p>
        </w:tc>
      </w:tr>
      <w:tr w:rsidR="00B02873" w:rsidRPr="00B02873" w14:paraId="6D898972" w14:textId="77777777" w:rsidTr="009850A6">
        <w:tc>
          <w:tcPr>
            <w:tcW w:w="8277" w:type="dxa"/>
          </w:tcPr>
          <w:p w14:paraId="4EED3CA5" w14:textId="77777777" w:rsidR="00B02873" w:rsidRDefault="00B02873" w:rsidP="009850A6">
            <w:pPr>
              <w:pStyle w:val="TablebodyleftFinancialsTables"/>
            </w:pPr>
            <w:r>
              <w:t>Core Environmental and Traditional Owner Programs</w:t>
            </w:r>
          </w:p>
        </w:tc>
        <w:tc>
          <w:tcPr>
            <w:tcW w:w="1361" w:type="dxa"/>
          </w:tcPr>
          <w:p w14:paraId="7E3C6206" w14:textId="6C040D5F" w:rsidR="00B02873" w:rsidRDefault="00B02873" w:rsidP="009850A6">
            <w:pPr>
              <w:pStyle w:val="TablebodyleftFinancialsTables"/>
              <w:jc w:val="right"/>
            </w:pPr>
            <w:r>
              <w:t>1.55</w:t>
            </w:r>
          </w:p>
        </w:tc>
      </w:tr>
      <w:tr w:rsidR="00B02873" w:rsidRPr="00B02873" w14:paraId="5E0415EB" w14:textId="77777777" w:rsidTr="009850A6">
        <w:tc>
          <w:tcPr>
            <w:tcW w:w="8277" w:type="dxa"/>
          </w:tcPr>
          <w:p w14:paraId="506AD1A0" w14:textId="77777777" w:rsidR="00B02873" w:rsidRDefault="00B02873" w:rsidP="009850A6">
            <w:pPr>
              <w:pStyle w:val="TablebodyleftFinancialsTables"/>
            </w:pPr>
            <w:r>
              <w:t>Volunteers Protecting the Coast</w:t>
            </w:r>
          </w:p>
        </w:tc>
        <w:tc>
          <w:tcPr>
            <w:tcW w:w="1361" w:type="dxa"/>
          </w:tcPr>
          <w:p w14:paraId="2CF8C0AA" w14:textId="16ECA95E" w:rsidR="00B02873" w:rsidRDefault="00B02873" w:rsidP="009850A6">
            <w:pPr>
              <w:pStyle w:val="TablebodyleftFinancialsTables"/>
              <w:jc w:val="right"/>
            </w:pPr>
            <w:r>
              <w:t>1.08</w:t>
            </w:r>
          </w:p>
        </w:tc>
      </w:tr>
      <w:tr w:rsidR="00B02873" w:rsidRPr="00B02873" w14:paraId="14E9DBE1" w14:textId="77777777" w:rsidTr="009850A6">
        <w:tc>
          <w:tcPr>
            <w:tcW w:w="8277" w:type="dxa"/>
          </w:tcPr>
          <w:p w14:paraId="5DC9C23E" w14:textId="77777777" w:rsidR="00B02873" w:rsidRDefault="00B02873" w:rsidP="009850A6">
            <w:pPr>
              <w:pStyle w:val="TablebodyleftFinancialsTables"/>
            </w:pPr>
            <w:r>
              <w:t>Securing Our Modern Energy Future: Renewable Energy Action Plan</w:t>
            </w:r>
          </w:p>
        </w:tc>
        <w:tc>
          <w:tcPr>
            <w:tcW w:w="1361" w:type="dxa"/>
          </w:tcPr>
          <w:p w14:paraId="202DB79E" w14:textId="2C219C7C" w:rsidR="00B02873" w:rsidRDefault="00B02873" w:rsidP="009850A6">
            <w:pPr>
              <w:pStyle w:val="TablebodyleftFinancialsTables"/>
              <w:jc w:val="right"/>
            </w:pPr>
            <w:r>
              <w:t>1.08</w:t>
            </w:r>
          </w:p>
        </w:tc>
      </w:tr>
      <w:tr w:rsidR="00B02873" w:rsidRPr="00B02873" w14:paraId="2C2586FA" w14:textId="77777777" w:rsidTr="009850A6">
        <w:tc>
          <w:tcPr>
            <w:tcW w:w="8277" w:type="dxa"/>
          </w:tcPr>
          <w:p w14:paraId="6AA4F20B" w14:textId="77777777" w:rsidR="00B02873" w:rsidRDefault="00B02873" w:rsidP="009850A6">
            <w:pPr>
              <w:pStyle w:val="TablebodyleftFinancialsTables"/>
            </w:pPr>
            <w:r>
              <w:t>Recycling Industry Strategic Plan: Collaborative procurement</w:t>
            </w:r>
          </w:p>
        </w:tc>
        <w:tc>
          <w:tcPr>
            <w:tcW w:w="1361" w:type="dxa"/>
          </w:tcPr>
          <w:p w14:paraId="54E68FBF" w14:textId="5715C3A4" w:rsidR="00B02873" w:rsidRDefault="00B02873" w:rsidP="009850A6">
            <w:pPr>
              <w:pStyle w:val="TablebodyleftFinancialsTables"/>
              <w:jc w:val="right"/>
            </w:pPr>
            <w:r>
              <w:t>0.21</w:t>
            </w:r>
          </w:p>
        </w:tc>
      </w:tr>
      <w:tr w:rsidR="00B02873" w:rsidRPr="00B02873" w14:paraId="74AF811E" w14:textId="77777777" w:rsidTr="009850A6">
        <w:tc>
          <w:tcPr>
            <w:tcW w:w="8277" w:type="dxa"/>
          </w:tcPr>
          <w:p w14:paraId="36B7F093" w14:textId="77777777" w:rsidR="00B02873" w:rsidRDefault="00B02873" w:rsidP="009850A6">
            <w:pPr>
              <w:pStyle w:val="TablebodyleftFinancialsTables"/>
            </w:pPr>
            <w:r>
              <w:t>Recycling Industry Strategic Plan: Market development</w:t>
            </w:r>
          </w:p>
        </w:tc>
        <w:tc>
          <w:tcPr>
            <w:tcW w:w="1361" w:type="dxa"/>
          </w:tcPr>
          <w:p w14:paraId="49950361" w14:textId="038510BE" w:rsidR="00B02873" w:rsidRDefault="00B02873" w:rsidP="009850A6">
            <w:pPr>
              <w:pStyle w:val="TablebodyleftFinancialsTables"/>
              <w:jc w:val="right"/>
            </w:pPr>
            <w:r>
              <w:t>0.15</w:t>
            </w:r>
          </w:p>
        </w:tc>
      </w:tr>
      <w:tr w:rsidR="00B02873" w:rsidRPr="00B02873" w14:paraId="797BB10C" w14:textId="77777777" w:rsidTr="009850A6">
        <w:tc>
          <w:tcPr>
            <w:tcW w:w="8277" w:type="dxa"/>
          </w:tcPr>
          <w:p w14:paraId="0BF956C9" w14:textId="77777777" w:rsidR="00B02873" w:rsidRDefault="00B02873" w:rsidP="009850A6">
            <w:pPr>
              <w:pStyle w:val="TablebodyleftFinancialsTables"/>
            </w:pPr>
            <w:r>
              <w:t>Recycling Industry Strategic Plan Subtotal</w:t>
            </w:r>
          </w:p>
        </w:tc>
        <w:tc>
          <w:tcPr>
            <w:tcW w:w="1361" w:type="dxa"/>
          </w:tcPr>
          <w:p w14:paraId="77830C4C" w14:textId="76B5694F" w:rsidR="00B02873" w:rsidRDefault="00B02873" w:rsidP="009850A6">
            <w:pPr>
              <w:pStyle w:val="TablebodyleftFinancialsTables"/>
              <w:jc w:val="right"/>
            </w:pPr>
            <w:r>
              <w:t>0.36</w:t>
            </w:r>
          </w:p>
        </w:tc>
      </w:tr>
      <w:tr w:rsidR="00B02873" w:rsidRPr="00B02873" w14:paraId="0EB8765F" w14:textId="77777777" w:rsidTr="009850A6">
        <w:tc>
          <w:tcPr>
            <w:tcW w:w="8277" w:type="dxa"/>
          </w:tcPr>
          <w:p w14:paraId="194419DD" w14:textId="77777777" w:rsidR="00B02873" w:rsidRDefault="00B02873" w:rsidP="009850A6">
            <w:pPr>
              <w:pStyle w:val="TablebodyleftFinancialsTables"/>
            </w:pPr>
            <w:r>
              <w:t>Investing in Waste and Resource Recovery for a Growing Victoria</w:t>
            </w:r>
          </w:p>
        </w:tc>
        <w:tc>
          <w:tcPr>
            <w:tcW w:w="1361" w:type="dxa"/>
          </w:tcPr>
          <w:p w14:paraId="64A0FA8A" w14:textId="463A6886" w:rsidR="00B02873" w:rsidRDefault="00B02873" w:rsidP="009850A6">
            <w:pPr>
              <w:pStyle w:val="TablebodyleftFinancialsTables"/>
              <w:jc w:val="right"/>
            </w:pPr>
            <w:r>
              <w:t>0.10</w:t>
            </w:r>
          </w:p>
        </w:tc>
      </w:tr>
      <w:tr w:rsidR="00B02873" w:rsidRPr="00B02873" w14:paraId="5C47424F" w14:textId="77777777" w:rsidTr="009850A6">
        <w:tc>
          <w:tcPr>
            <w:tcW w:w="8277" w:type="dxa"/>
          </w:tcPr>
          <w:p w14:paraId="55A1E61D" w14:textId="77777777" w:rsidR="00B02873" w:rsidRDefault="00B02873" w:rsidP="009850A6">
            <w:pPr>
              <w:pStyle w:val="TablebodyleftFinancialsTables"/>
            </w:pPr>
            <w:r>
              <w:lastRenderedPageBreak/>
              <w:t>Taking Decisive Action on Climate Change</w:t>
            </w:r>
          </w:p>
        </w:tc>
        <w:tc>
          <w:tcPr>
            <w:tcW w:w="1361" w:type="dxa"/>
          </w:tcPr>
          <w:p w14:paraId="3F05CAF0" w14:textId="49C8C774" w:rsidR="00B02873" w:rsidRDefault="00B02873" w:rsidP="009850A6">
            <w:pPr>
              <w:pStyle w:val="TablebodyleftFinancialsTables"/>
              <w:jc w:val="right"/>
            </w:pPr>
            <w:r>
              <w:t>0.09</w:t>
            </w:r>
          </w:p>
        </w:tc>
      </w:tr>
      <w:tr w:rsidR="00B02873" w:rsidRPr="00B02873" w14:paraId="47039C1A" w14:textId="77777777" w:rsidTr="009850A6">
        <w:tc>
          <w:tcPr>
            <w:tcW w:w="8277" w:type="dxa"/>
          </w:tcPr>
          <w:p w14:paraId="34C7CAD5" w14:textId="77777777" w:rsidR="00B02873" w:rsidRDefault="00B02873" w:rsidP="009850A6">
            <w:pPr>
              <w:pStyle w:val="TablebodyleftFinancialsTables"/>
            </w:pPr>
            <w:r>
              <w:t>Non-Regulatory Support for e-Waste Landfill Ban</w:t>
            </w:r>
          </w:p>
        </w:tc>
        <w:tc>
          <w:tcPr>
            <w:tcW w:w="1361" w:type="dxa"/>
          </w:tcPr>
          <w:p w14:paraId="6FBD2A10" w14:textId="2AAE8206" w:rsidR="00B02873" w:rsidRDefault="00B02873" w:rsidP="009850A6">
            <w:pPr>
              <w:pStyle w:val="TablebodyleftFinancialsTables"/>
              <w:jc w:val="right"/>
            </w:pPr>
            <w:r>
              <w:t>0.05</w:t>
            </w:r>
          </w:p>
        </w:tc>
      </w:tr>
      <w:tr w:rsidR="00B02873" w:rsidRPr="00B02873" w14:paraId="3368D397" w14:textId="77777777" w:rsidTr="009850A6">
        <w:tc>
          <w:tcPr>
            <w:tcW w:w="8277" w:type="dxa"/>
          </w:tcPr>
          <w:p w14:paraId="708867AF" w14:textId="77777777" w:rsidR="00B02873" w:rsidRDefault="00B02873" w:rsidP="009850A6">
            <w:pPr>
              <w:pStyle w:val="TablebodyleftFinancialsTables"/>
            </w:pPr>
            <w:r>
              <w:t>Communicating Up-to-Date Climate Science and Impacts</w:t>
            </w:r>
          </w:p>
        </w:tc>
        <w:tc>
          <w:tcPr>
            <w:tcW w:w="1361" w:type="dxa"/>
          </w:tcPr>
          <w:p w14:paraId="3BFEA766" w14:textId="03BEF5AD" w:rsidR="00B02873" w:rsidRDefault="00B02873" w:rsidP="009850A6">
            <w:pPr>
              <w:pStyle w:val="TablebodyleftFinancialsTables"/>
              <w:jc w:val="right"/>
            </w:pPr>
            <w:r>
              <w:t>0.03</w:t>
            </w:r>
          </w:p>
        </w:tc>
      </w:tr>
      <w:tr w:rsidR="00B02873" w:rsidRPr="00B02873" w14:paraId="227AF87C" w14:textId="77777777" w:rsidTr="009850A6">
        <w:tc>
          <w:tcPr>
            <w:tcW w:w="8277" w:type="dxa"/>
          </w:tcPr>
          <w:p w14:paraId="578A1209" w14:textId="77777777" w:rsidR="00B02873" w:rsidRDefault="00B02873" w:rsidP="009850A6">
            <w:pPr>
              <w:pStyle w:val="TablebodyleftFinancialsTables"/>
            </w:pPr>
            <w:r>
              <w:t>Sustainability Fund Operations</w:t>
            </w:r>
          </w:p>
        </w:tc>
        <w:tc>
          <w:tcPr>
            <w:tcW w:w="1361" w:type="dxa"/>
          </w:tcPr>
          <w:p w14:paraId="66E2B65D" w14:textId="16B2BC48" w:rsidR="00B02873" w:rsidRDefault="00B02873" w:rsidP="009850A6">
            <w:pPr>
              <w:pStyle w:val="TablebodyleftFinancialsTables"/>
              <w:jc w:val="right"/>
            </w:pPr>
            <w:r>
              <w:t>1.00</w:t>
            </w:r>
          </w:p>
        </w:tc>
      </w:tr>
      <w:tr w:rsidR="00B02873" w:rsidRPr="009850A6" w14:paraId="567B3F59" w14:textId="77777777" w:rsidTr="009850A6">
        <w:tc>
          <w:tcPr>
            <w:tcW w:w="8277" w:type="dxa"/>
          </w:tcPr>
          <w:p w14:paraId="629B79B2" w14:textId="77777777" w:rsidR="00B02873" w:rsidRPr="009850A6" w:rsidRDefault="00B02873" w:rsidP="009850A6">
            <w:pPr>
              <w:pStyle w:val="TablebodyleftFinancialsTables"/>
              <w:rPr>
                <w:b/>
                <w:bCs/>
              </w:rPr>
            </w:pPr>
            <w:r w:rsidRPr="009850A6">
              <w:rPr>
                <w:b/>
                <w:bCs/>
              </w:rPr>
              <w:t>Total payments</w:t>
            </w:r>
          </w:p>
        </w:tc>
        <w:tc>
          <w:tcPr>
            <w:tcW w:w="1361" w:type="dxa"/>
          </w:tcPr>
          <w:p w14:paraId="01989AE7" w14:textId="77777777" w:rsidR="00B02873" w:rsidRPr="009850A6" w:rsidRDefault="00B02873" w:rsidP="009850A6">
            <w:pPr>
              <w:pStyle w:val="TablebodyleftFinancialsTables"/>
              <w:jc w:val="right"/>
              <w:rPr>
                <w:b/>
                <w:bCs/>
              </w:rPr>
            </w:pPr>
            <w:r w:rsidRPr="009850A6">
              <w:rPr>
                <w:b/>
                <w:bCs/>
              </w:rPr>
              <w:t>192.18</w:t>
            </w:r>
          </w:p>
        </w:tc>
      </w:tr>
      <w:tr w:rsidR="00B02873" w:rsidRPr="009850A6" w14:paraId="6B1A55D6" w14:textId="77777777" w:rsidTr="009850A6">
        <w:tc>
          <w:tcPr>
            <w:tcW w:w="8277" w:type="dxa"/>
          </w:tcPr>
          <w:p w14:paraId="513A1259" w14:textId="77777777" w:rsidR="00B02873" w:rsidRPr="009850A6" w:rsidRDefault="00B02873" w:rsidP="009850A6">
            <w:pPr>
              <w:pStyle w:val="TablebodyleftFinancialsTables"/>
              <w:rPr>
                <w:b/>
                <w:bCs/>
              </w:rPr>
            </w:pPr>
            <w:r w:rsidRPr="009850A6">
              <w:rPr>
                <w:b/>
                <w:bCs/>
              </w:rPr>
              <w:t>Closing Cash Balance</w:t>
            </w:r>
          </w:p>
        </w:tc>
        <w:tc>
          <w:tcPr>
            <w:tcW w:w="1361" w:type="dxa"/>
          </w:tcPr>
          <w:p w14:paraId="3BDEBD8B" w14:textId="61EDDCF6" w:rsidR="00B02873" w:rsidRPr="009850A6" w:rsidRDefault="00B02873" w:rsidP="009850A6">
            <w:pPr>
              <w:pStyle w:val="TablebodyleftFinancialsTables"/>
              <w:jc w:val="right"/>
              <w:rPr>
                <w:b/>
                <w:bCs/>
              </w:rPr>
            </w:pPr>
            <w:r w:rsidRPr="009850A6">
              <w:rPr>
                <w:b/>
                <w:bCs/>
              </w:rPr>
              <w:t>66.85</w:t>
            </w:r>
          </w:p>
        </w:tc>
      </w:tr>
    </w:tbl>
    <w:p w14:paraId="19A757BD" w14:textId="77777777" w:rsidR="00B02873" w:rsidRPr="009850A6" w:rsidRDefault="00B02873" w:rsidP="009850A6">
      <w:pPr>
        <w:pStyle w:val="SourceNote"/>
        <w:spacing w:after="120"/>
        <w:rPr>
          <w:b/>
          <w:bCs/>
        </w:rPr>
      </w:pPr>
      <w:r w:rsidRPr="009850A6">
        <w:rPr>
          <w:b/>
          <w:bCs/>
        </w:rPr>
        <w:t xml:space="preserve">Note: </w:t>
      </w:r>
    </w:p>
    <w:p w14:paraId="43DD9C0A" w14:textId="77777777" w:rsidR="00B02873" w:rsidRDefault="00B02873" w:rsidP="009850A6">
      <w:pPr>
        <w:pStyle w:val="SourceNote"/>
        <w:spacing w:after="120"/>
      </w:pPr>
      <w:r>
        <w:t xml:space="preserve">Further detail of the 2021-22 Sustainability Fund Grants are available in the 2021-22 </w:t>
      </w:r>
      <w:hyperlink r:id="rId127" w:history="1">
        <w:r>
          <w:t>Sustainability Fund Activities Report</w:t>
        </w:r>
      </w:hyperlink>
      <w:r>
        <w:t>.</w:t>
      </w:r>
    </w:p>
    <w:p w14:paraId="27B8162F" w14:textId="77777777" w:rsidR="00B02873" w:rsidRDefault="00B02873" w:rsidP="001128B1">
      <w:pPr>
        <w:pStyle w:val="SourceNotenumbered"/>
        <w:numPr>
          <w:ilvl w:val="0"/>
          <w:numId w:val="55"/>
        </w:numPr>
      </w:pPr>
      <w:r>
        <w:t>The seven Waste and Resource Recovery Groups were abolished on 30 June 2022 under the Circular Economy (Waste Reduction and Recycling) Act 2021. Recycling Victoria commenced operating as the state’s new waste and recycling regulator on 1 July 2022.</w:t>
      </w:r>
    </w:p>
    <w:p w14:paraId="5C37C7CA" w14:textId="77777777" w:rsidR="00B02873" w:rsidRDefault="00B02873" w:rsidP="00965FC3">
      <w:pPr>
        <w:pStyle w:val="SourceNotenumbered"/>
        <w:spacing w:after="200"/>
        <w:ind w:left="357" w:hanging="357"/>
      </w:pPr>
      <w:r>
        <w:t>Any program expenditure which is unexpended by the date of program completion is required to be returned to the Sustainability Fund by program recipients. In 2021-22 a total of $1,010,729.36 was repaid to the Sustainability Fund.</w:t>
      </w:r>
    </w:p>
    <w:p w14:paraId="62F86B7E" w14:textId="77777777" w:rsidR="00B02873" w:rsidRDefault="00B02873" w:rsidP="00965FC3">
      <w:pPr>
        <w:pStyle w:val="Heading2"/>
      </w:pPr>
      <w:bookmarkStart w:id="93" w:name="_Ref116978136"/>
      <w:bookmarkStart w:id="94" w:name="_Toc117447376"/>
      <w:r>
        <w:t>Appendix 11: Feed-in tariff data</w:t>
      </w:r>
      <w:bookmarkEnd w:id="93"/>
      <w:bookmarkEnd w:id="94"/>
    </w:p>
    <w:p w14:paraId="6F40BC2E" w14:textId="77777777" w:rsidR="00B02873" w:rsidRPr="00CB17B8" w:rsidRDefault="00B02873" w:rsidP="00CB17B8">
      <w:pPr>
        <w:pStyle w:val="Heading3"/>
      </w:pPr>
      <w:r w:rsidRPr="00CB17B8">
        <w:t>Annual feed-in tariff reporting data provided by Victorian distribution businesses</w:t>
      </w:r>
    </w:p>
    <w:p w14:paraId="218010C5" w14:textId="77777777" w:rsidR="00B02873" w:rsidRPr="00965FC3" w:rsidRDefault="00B02873" w:rsidP="00FE198A">
      <w:pPr>
        <w:rPr>
          <w:rFonts w:asciiTheme="minorHAnsi" w:hAnsiTheme="minorHAnsi" w:cstheme="minorHAnsi"/>
        </w:rPr>
      </w:pPr>
      <w:r w:rsidRPr="00965FC3">
        <w:rPr>
          <w:rFonts w:asciiTheme="minorHAnsi" w:hAnsiTheme="minorHAnsi" w:cstheme="minorHAnsi"/>
        </w:rPr>
        <w:t xml:space="preserve">The </w:t>
      </w:r>
      <w:r w:rsidRPr="00965FC3">
        <w:rPr>
          <w:rStyle w:val="LightItalic"/>
          <w:rFonts w:asciiTheme="minorHAnsi" w:hAnsiTheme="minorHAnsi" w:cstheme="minorHAnsi"/>
        </w:rPr>
        <w:t>Electricity Industry Act 2000</w:t>
      </w:r>
      <w:r w:rsidRPr="00965FC3">
        <w:rPr>
          <w:rFonts w:asciiTheme="minorHAnsi" w:hAnsiTheme="minorHAnsi" w:cstheme="minorHAnsi"/>
        </w:rPr>
        <w:t xml:space="preserve"> requires Victorian electricity distribution businesses to provide an annual report on the premium feed-in tariff (PFiT) scheme as a condition of their licence to distribute electricity.</w:t>
      </w:r>
    </w:p>
    <w:p w14:paraId="49102A4F" w14:textId="77777777" w:rsidR="00B02873" w:rsidRDefault="00B02873" w:rsidP="00965FC3">
      <w:pPr>
        <w:pStyle w:val="Normalbeforebullet"/>
      </w:pPr>
      <w:r>
        <w:t>Distribution businesses must report on:</w:t>
      </w:r>
    </w:p>
    <w:p w14:paraId="0C340340" w14:textId="5D9A0BC8" w:rsidR="00B02873" w:rsidRDefault="00B02873" w:rsidP="00B02873">
      <w:pPr>
        <w:pStyle w:val="Bullet1Lists"/>
      </w:pPr>
      <w:r>
        <w:t>the number of qualifying solar energy generation facilities connected, on the reporting day, to a distribution system operated by that licensee</w:t>
      </w:r>
    </w:p>
    <w:p w14:paraId="426D6CF7" w14:textId="77777777" w:rsidR="00B02873" w:rsidRDefault="00B02873" w:rsidP="00B02873">
      <w:pPr>
        <w:pStyle w:val="Bullet1Lists"/>
      </w:pPr>
      <w:r>
        <w:t>the aggregate installed or name-plate generation capacity of qualifying solar energy generation facilities connected, on the reporting day, to a distribution system operated by that licensee; and</w:t>
      </w:r>
    </w:p>
    <w:p w14:paraId="7AFA1AD7" w14:textId="2959302E" w:rsidR="00B02873" w:rsidRDefault="00B02873" w:rsidP="00965FC3">
      <w:pPr>
        <w:pStyle w:val="Bullet1Listslast"/>
      </w:pPr>
      <w:r>
        <w:t>the total amount of qualifying solar energy generation electricity conveyed, in the 12 months prior to the reporting day, along a distribution system operated by that licensee.</w:t>
      </w:r>
    </w:p>
    <w:p w14:paraId="67E4A583" w14:textId="77777777" w:rsidR="00B02873" w:rsidRDefault="00B02873" w:rsidP="00FE198A">
      <w:pPr>
        <w:rPr>
          <w:rStyle w:val="Bold"/>
        </w:rPr>
      </w:pPr>
      <w:r>
        <w:rPr>
          <w:rStyle w:val="Bold"/>
        </w:rPr>
        <w:t>Notes:</w:t>
      </w:r>
    </w:p>
    <w:p w14:paraId="49AE72B9" w14:textId="77777777" w:rsidR="00B02873" w:rsidRDefault="00B02873" w:rsidP="00965FC3">
      <w:pPr>
        <w:tabs>
          <w:tab w:val="left" w:pos="426"/>
        </w:tabs>
        <w:ind w:left="426" w:hanging="426"/>
      </w:pPr>
      <w:r>
        <w:t xml:space="preserve">a) </w:t>
      </w:r>
      <w:r>
        <w:tab/>
        <w:t>Reporting for the PFiT scheme is on an annual basis. The reporting day is 31 December of each year.</w:t>
      </w:r>
    </w:p>
    <w:p w14:paraId="4473FEC5" w14:textId="77777777" w:rsidR="00B02873" w:rsidRDefault="00B02873" w:rsidP="00965FC3">
      <w:pPr>
        <w:tabs>
          <w:tab w:val="left" w:pos="426"/>
        </w:tabs>
        <w:ind w:left="426" w:hanging="426"/>
      </w:pPr>
      <w:r>
        <w:t xml:space="preserve">b) </w:t>
      </w:r>
      <w:r>
        <w:tab/>
        <w:t>Aggregate energy exports have been converted to kilowatt hours (kWh) where reported in megawatt hours (MWh) and all installed capacity and aggregate energy export data has been rounded up to the nearest whole number.</w:t>
      </w:r>
    </w:p>
    <w:p w14:paraId="3101A40F" w14:textId="77777777" w:rsidR="00B02873" w:rsidRDefault="00B02873" w:rsidP="00965FC3">
      <w:pPr>
        <w:tabs>
          <w:tab w:val="left" w:pos="426"/>
        </w:tabs>
        <w:ind w:left="426" w:hanging="426"/>
        <w:rPr>
          <w:lang w:val="en-US"/>
        </w:rPr>
      </w:pPr>
      <w:r>
        <w:t xml:space="preserve">c) </w:t>
      </w:r>
      <w:r>
        <w:tab/>
        <w:t>Distribution businesses were previously required to report on the transitional feed-in tariff (TFiT) scheme. This is not required any longer because the scheme expired on 31 December 2016.</w:t>
      </w:r>
    </w:p>
    <w:tbl>
      <w:tblPr>
        <w:tblStyle w:val="TableGrid"/>
        <w:tblW w:w="0" w:type="auto"/>
        <w:tblLayout w:type="fixed"/>
        <w:tblLook w:val="0020" w:firstRow="1" w:lastRow="0" w:firstColumn="0" w:lastColumn="0" w:noHBand="0" w:noVBand="0"/>
      </w:tblPr>
      <w:tblGrid>
        <w:gridCol w:w="3685"/>
        <w:gridCol w:w="1191"/>
        <w:gridCol w:w="1190"/>
        <w:gridCol w:w="1191"/>
        <w:gridCol w:w="1190"/>
        <w:gridCol w:w="1191"/>
      </w:tblGrid>
      <w:tr w:rsidR="00B02873" w:rsidRPr="00B02873" w14:paraId="7603AE51" w14:textId="77777777" w:rsidTr="00965FC3">
        <w:trPr>
          <w:cnfStyle w:val="100000000000" w:firstRow="1" w:lastRow="0" w:firstColumn="0" w:lastColumn="0" w:oddVBand="0" w:evenVBand="0" w:oddHBand="0" w:evenHBand="0" w:firstRowFirstColumn="0" w:firstRowLastColumn="0" w:lastRowFirstColumn="0" w:lastRowLastColumn="0"/>
          <w:trHeight w:val="60"/>
          <w:tblHeader/>
        </w:trPr>
        <w:tc>
          <w:tcPr>
            <w:tcW w:w="3685" w:type="dxa"/>
          </w:tcPr>
          <w:p w14:paraId="26FF9AC8" w14:textId="77777777" w:rsidR="00B02873" w:rsidRPr="00B02873" w:rsidRDefault="00B02873" w:rsidP="00965FC3">
            <w:pPr>
              <w:pStyle w:val="TableheadingleftFinancialsTables"/>
            </w:pPr>
          </w:p>
        </w:tc>
        <w:tc>
          <w:tcPr>
            <w:tcW w:w="1191" w:type="dxa"/>
          </w:tcPr>
          <w:p w14:paraId="36E1C180" w14:textId="77777777" w:rsidR="00B02873" w:rsidRDefault="00B02873" w:rsidP="00965FC3">
            <w:pPr>
              <w:pStyle w:val="TableheadingleftFinancialsTables"/>
              <w:jc w:val="right"/>
            </w:pPr>
            <w:r>
              <w:t>AusNet Services</w:t>
            </w:r>
          </w:p>
        </w:tc>
        <w:tc>
          <w:tcPr>
            <w:tcW w:w="1190" w:type="dxa"/>
          </w:tcPr>
          <w:p w14:paraId="0DC912FC" w14:textId="77777777" w:rsidR="00B02873" w:rsidRDefault="00B02873" w:rsidP="00965FC3">
            <w:pPr>
              <w:pStyle w:val="TableheadingleftFinancialsTables"/>
              <w:jc w:val="right"/>
            </w:pPr>
            <w:r>
              <w:t>Jemena</w:t>
            </w:r>
          </w:p>
        </w:tc>
        <w:tc>
          <w:tcPr>
            <w:tcW w:w="1191" w:type="dxa"/>
          </w:tcPr>
          <w:p w14:paraId="75EA0BF6" w14:textId="77777777" w:rsidR="00B02873" w:rsidRDefault="00B02873" w:rsidP="00965FC3">
            <w:pPr>
              <w:pStyle w:val="TableheadingleftFinancialsTables"/>
              <w:jc w:val="right"/>
            </w:pPr>
            <w:r>
              <w:t>Powercor</w:t>
            </w:r>
          </w:p>
        </w:tc>
        <w:tc>
          <w:tcPr>
            <w:tcW w:w="1190" w:type="dxa"/>
          </w:tcPr>
          <w:p w14:paraId="2ED9C1F9" w14:textId="77777777" w:rsidR="00B02873" w:rsidRDefault="00B02873" w:rsidP="00965FC3">
            <w:pPr>
              <w:pStyle w:val="TableheadingleftFinancialsTables"/>
              <w:jc w:val="right"/>
            </w:pPr>
            <w:r>
              <w:t>CitiPower</w:t>
            </w:r>
          </w:p>
        </w:tc>
        <w:tc>
          <w:tcPr>
            <w:tcW w:w="1191" w:type="dxa"/>
          </w:tcPr>
          <w:p w14:paraId="72F32C9E" w14:textId="77777777" w:rsidR="00B02873" w:rsidRDefault="00B02873" w:rsidP="00965FC3">
            <w:pPr>
              <w:pStyle w:val="TableheadingleftFinancialsTables"/>
              <w:jc w:val="right"/>
            </w:pPr>
            <w:r>
              <w:t>United Energy</w:t>
            </w:r>
          </w:p>
        </w:tc>
      </w:tr>
      <w:tr w:rsidR="00B02873" w:rsidRPr="00B02873" w14:paraId="57FEEE69" w14:textId="77777777" w:rsidTr="00965FC3">
        <w:trPr>
          <w:trHeight w:val="60"/>
        </w:trPr>
        <w:tc>
          <w:tcPr>
            <w:tcW w:w="3685" w:type="dxa"/>
          </w:tcPr>
          <w:p w14:paraId="064362A0" w14:textId="77777777" w:rsidR="00B02873" w:rsidRDefault="00B02873" w:rsidP="00965FC3">
            <w:pPr>
              <w:pStyle w:val="TablebodyleftFinancialsTables"/>
            </w:pPr>
            <w:r>
              <w:t>Number PFiT Customers</w:t>
            </w:r>
          </w:p>
        </w:tc>
        <w:tc>
          <w:tcPr>
            <w:tcW w:w="1191" w:type="dxa"/>
          </w:tcPr>
          <w:p w14:paraId="622B37B7" w14:textId="77777777" w:rsidR="00B02873" w:rsidRDefault="00B02873" w:rsidP="00965FC3">
            <w:pPr>
              <w:pStyle w:val="TablebodyleftFinancialsTables"/>
              <w:jc w:val="right"/>
            </w:pPr>
            <w:r>
              <w:t>29,113</w:t>
            </w:r>
          </w:p>
        </w:tc>
        <w:tc>
          <w:tcPr>
            <w:tcW w:w="1190" w:type="dxa"/>
          </w:tcPr>
          <w:p w14:paraId="2F054C09" w14:textId="77777777" w:rsidR="00B02873" w:rsidRDefault="00B02873" w:rsidP="00965FC3">
            <w:pPr>
              <w:pStyle w:val="TablebodyleftFinancialsTables"/>
              <w:jc w:val="right"/>
            </w:pPr>
            <w:r>
              <w:t>8,137</w:t>
            </w:r>
          </w:p>
        </w:tc>
        <w:tc>
          <w:tcPr>
            <w:tcW w:w="1191" w:type="dxa"/>
          </w:tcPr>
          <w:p w14:paraId="7942C5F7" w14:textId="77777777" w:rsidR="00B02873" w:rsidRDefault="00B02873" w:rsidP="00965FC3">
            <w:pPr>
              <w:pStyle w:val="TablebodyleftFinancialsTables"/>
              <w:jc w:val="right"/>
            </w:pPr>
            <w:r>
              <w:t>28,311</w:t>
            </w:r>
          </w:p>
        </w:tc>
        <w:tc>
          <w:tcPr>
            <w:tcW w:w="1190" w:type="dxa"/>
          </w:tcPr>
          <w:p w14:paraId="11B186A0" w14:textId="77777777" w:rsidR="00B02873" w:rsidRDefault="00B02873" w:rsidP="00965FC3">
            <w:pPr>
              <w:pStyle w:val="TablebodyleftFinancialsTables"/>
              <w:jc w:val="right"/>
            </w:pPr>
            <w:r>
              <w:t>3,370</w:t>
            </w:r>
          </w:p>
        </w:tc>
        <w:tc>
          <w:tcPr>
            <w:tcW w:w="1191" w:type="dxa"/>
          </w:tcPr>
          <w:p w14:paraId="62865F32" w14:textId="77777777" w:rsidR="00B02873" w:rsidRDefault="00B02873" w:rsidP="00965FC3">
            <w:pPr>
              <w:pStyle w:val="TablebodyleftFinancialsTables"/>
              <w:jc w:val="right"/>
            </w:pPr>
            <w:r>
              <w:t>17,603</w:t>
            </w:r>
          </w:p>
        </w:tc>
      </w:tr>
      <w:tr w:rsidR="00B02873" w:rsidRPr="00B02873" w14:paraId="51C96692" w14:textId="77777777" w:rsidTr="00965FC3">
        <w:trPr>
          <w:trHeight w:val="60"/>
        </w:trPr>
        <w:tc>
          <w:tcPr>
            <w:tcW w:w="3685" w:type="dxa"/>
          </w:tcPr>
          <w:p w14:paraId="6A0D058A" w14:textId="77777777" w:rsidR="00B02873" w:rsidRDefault="00B02873" w:rsidP="00965FC3">
            <w:pPr>
              <w:pStyle w:val="TablebodyleftFinancialsTables"/>
            </w:pPr>
            <w:r>
              <w:t>Installed capacity (kW)</w:t>
            </w:r>
          </w:p>
        </w:tc>
        <w:tc>
          <w:tcPr>
            <w:tcW w:w="1191" w:type="dxa"/>
          </w:tcPr>
          <w:p w14:paraId="109A5F58" w14:textId="77777777" w:rsidR="00B02873" w:rsidRDefault="00B02873" w:rsidP="00965FC3">
            <w:pPr>
              <w:pStyle w:val="TablebodyleftFinancialsTables"/>
              <w:jc w:val="right"/>
            </w:pPr>
            <w:r>
              <w:t>60,064</w:t>
            </w:r>
          </w:p>
        </w:tc>
        <w:tc>
          <w:tcPr>
            <w:tcW w:w="1190" w:type="dxa"/>
          </w:tcPr>
          <w:p w14:paraId="0D486F24" w14:textId="77777777" w:rsidR="00B02873" w:rsidRDefault="00B02873" w:rsidP="00965FC3">
            <w:pPr>
              <w:pStyle w:val="TablebodyleftFinancialsTables"/>
              <w:jc w:val="right"/>
            </w:pPr>
            <w:r>
              <w:t>14,931</w:t>
            </w:r>
          </w:p>
        </w:tc>
        <w:tc>
          <w:tcPr>
            <w:tcW w:w="1191" w:type="dxa"/>
          </w:tcPr>
          <w:p w14:paraId="2EDC6616" w14:textId="77777777" w:rsidR="00B02873" w:rsidRDefault="00B02873" w:rsidP="00965FC3">
            <w:pPr>
              <w:pStyle w:val="TablebodyleftFinancialsTables"/>
              <w:jc w:val="right"/>
            </w:pPr>
            <w:r>
              <w:t>59,304</w:t>
            </w:r>
          </w:p>
        </w:tc>
        <w:tc>
          <w:tcPr>
            <w:tcW w:w="1190" w:type="dxa"/>
          </w:tcPr>
          <w:p w14:paraId="584521B3" w14:textId="77777777" w:rsidR="00B02873" w:rsidRDefault="00B02873" w:rsidP="00965FC3">
            <w:pPr>
              <w:pStyle w:val="TablebodyleftFinancialsTables"/>
              <w:jc w:val="right"/>
            </w:pPr>
            <w:r>
              <w:t>5,970</w:t>
            </w:r>
          </w:p>
        </w:tc>
        <w:tc>
          <w:tcPr>
            <w:tcW w:w="1191" w:type="dxa"/>
          </w:tcPr>
          <w:p w14:paraId="6F2AA358" w14:textId="77777777" w:rsidR="00B02873" w:rsidRDefault="00B02873" w:rsidP="00965FC3">
            <w:pPr>
              <w:pStyle w:val="TablebodyleftFinancialsTables"/>
              <w:jc w:val="right"/>
            </w:pPr>
            <w:r>
              <w:t>30,714</w:t>
            </w:r>
          </w:p>
        </w:tc>
      </w:tr>
      <w:tr w:rsidR="00B02873" w:rsidRPr="00B02873" w14:paraId="7AE390C8" w14:textId="77777777" w:rsidTr="00965FC3">
        <w:trPr>
          <w:trHeight w:val="60"/>
        </w:trPr>
        <w:tc>
          <w:tcPr>
            <w:tcW w:w="3685" w:type="dxa"/>
          </w:tcPr>
          <w:p w14:paraId="3670D5C4" w14:textId="77777777" w:rsidR="00B02873" w:rsidRDefault="00B02873" w:rsidP="00965FC3">
            <w:pPr>
              <w:pStyle w:val="TablebodyleftFinancialsTables"/>
            </w:pPr>
            <w:r>
              <w:t>Aggregate energy exports (kWh)</w:t>
            </w:r>
          </w:p>
        </w:tc>
        <w:tc>
          <w:tcPr>
            <w:tcW w:w="1191" w:type="dxa"/>
          </w:tcPr>
          <w:p w14:paraId="21C59B2B" w14:textId="77777777" w:rsidR="00B02873" w:rsidRDefault="00B02873" w:rsidP="00965FC3">
            <w:pPr>
              <w:pStyle w:val="TablebodyleftFinancialsTables"/>
              <w:jc w:val="right"/>
            </w:pPr>
            <w:r>
              <w:t>39,992,149</w:t>
            </w:r>
          </w:p>
        </w:tc>
        <w:tc>
          <w:tcPr>
            <w:tcW w:w="1190" w:type="dxa"/>
          </w:tcPr>
          <w:p w14:paraId="34DE87BB" w14:textId="77777777" w:rsidR="00B02873" w:rsidRDefault="00B02873" w:rsidP="00965FC3">
            <w:pPr>
              <w:pStyle w:val="TablebodyleftFinancialsTables"/>
              <w:jc w:val="right"/>
            </w:pPr>
            <w:r>
              <w:t>9,315,784</w:t>
            </w:r>
          </w:p>
        </w:tc>
        <w:tc>
          <w:tcPr>
            <w:tcW w:w="1191" w:type="dxa"/>
          </w:tcPr>
          <w:p w14:paraId="5809D2DF" w14:textId="77777777" w:rsidR="00B02873" w:rsidRDefault="00B02873" w:rsidP="00965FC3">
            <w:pPr>
              <w:pStyle w:val="TablebodyleftFinancialsTables"/>
              <w:jc w:val="right"/>
            </w:pPr>
            <w:r>
              <w:t>40,348,000</w:t>
            </w:r>
          </w:p>
        </w:tc>
        <w:tc>
          <w:tcPr>
            <w:tcW w:w="1190" w:type="dxa"/>
          </w:tcPr>
          <w:p w14:paraId="0BEB88DC" w14:textId="77777777" w:rsidR="00B02873" w:rsidRDefault="00B02873" w:rsidP="00965FC3">
            <w:pPr>
              <w:pStyle w:val="TablebodyleftFinancialsTables"/>
              <w:jc w:val="right"/>
            </w:pPr>
            <w:r>
              <w:t>3,312,000</w:t>
            </w:r>
          </w:p>
        </w:tc>
        <w:tc>
          <w:tcPr>
            <w:tcW w:w="1191" w:type="dxa"/>
          </w:tcPr>
          <w:p w14:paraId="65EE1D36" w14:textId="77777777" w:rsidR="00B02873" w:rsidRDefault="00B02873" w:rsidP="00965FC3">
            <w:pPr>
              <w:pStyle w:val="TablebodyleftFinancialsTables"/>
              <w:jc w:val="right"/>
            </w:pPr>
            <w:r>
              <w:t>19,827,000</w:t>
            </w:r>
          </w:p>
        </w:tc>
      </w:tr>
    </w:tbl>
    <w:p w14:paraId="073645A4" w14:textId="77777777" w:rsidR="00B02873" w:rsidRDefault="00B02873" w:rsidP="00FE198A"/>
    <w:p w14:paraId="481A5728" w14:textId="77777777" w:rsidR="00B02873" w:rsidRPr="00CB17B8" w:rsidRDefault="00B02873" w:rsidP="00CB17B8">
      <w:pPr>
        <w:pStyle w:val="Heading3"/>
      </w:pPr>
      <w:r w:rsidRPr="00CB17B8">
        <w:lastRenderedPageBreak/>
        <w:t>Quarterly feed-in tariff reporting data provided by relevant Victorian retailers</w:t>
      </w:r>
    </w:p>
    <w:p w14:paraId="358E6450" w14:textId="77777777" w:rsidR="00B02873" w:rsidRPr="00965FC3" w:rsidRDefault="00B02873" w:rsidP="00FE198A">
      <w:pPr>
        <w:rPr>
          <w:rFonts w:asciiTheme="minorHAnsi" w:hAnsiTheme="minorHAnsi" w:cstheme="minorHAnsi"/>
        </w:rPr>
      </w:pPr>
      <w:r w:rsidRPr="00965FC3">
        <w:rPr>
          <w:rFonts w:asciiTheme="minorHAnsi" w:hAnsiTheme="minorHAnsi" w:cstheme="minorHAnsi"/>
        </w:rPr>
        <w:t xml:space="preserve">The </w:t>
      </w:r>
      <w:r w:rsidRPr="00965FC3">
        <w:rPr>
          <w:rFonts w:asciiTheme="minorHAnsi" w:hAnsiTheme="minorHAnsi" w:cstheme="minorHAnsi"/>
          <w:i/>
          <w:iCs/>
        </w:rPr>
        <w:t>Electricity Industry Act 2000</w:t>
      </w:r>
      <w:r w:rsidRPr="00965FC3">
        <w:rPr>
          <w:rFonts w:asciiTheme="minorHAnsi" w:hAnsiTheme="minorHAnsi" w:cstheme="minorHAnsi"/>
        </w:rPr>
        <w:t xml:space="preserve"> requires Victorian electricity retailers with more than 5,000 customers (relevant retailers) to provide a quarterly report on the general feed-in tariff scheme as a condition of their license to sell electricity.</w:t>
      </w:r>
    </w:p>
    <w:p w14:paraId="32AB0F2E" w14:textId="77777777" w:rsidR="00B02873" w:rsidRDefault="00B02873" w:rsidP="00965FC3">
      <w:pPr>
        <w:pStyle w:val="Normalbeforebullet"/>
      </w:pPr>
      <w:r>
        <w:t>Relevant retailers must report on:</w:t>
      </w:r>
    </w:p>
    <w:p w14:paraId="67722170" w14:textId="7B3BA825" w:rsidR="00B02873" w:rsidRDefault="00B02873" w:rsidP="00B02873">
      <w:pPr>
        <w:pStyle w:val="Bullet1Lists"/>
      </w:pPr>
      <w:r>
        <w:t>the number of small renewable energy generation facilities from which electricity was generated and sold to the licensee in the three months prior to the reporting day; and</w:t>
      </w:r>
    </w:p>
    <w:p w14:paraId="2079BBB4" w14:textId="3AAE9B49" w:rsidR="00B02873" w:rsidRDefault="00B02873" w:rsidP="00965FC3">
      <w:pPr>
        <w:pStyle w:val="Bullet1Listslast"/>
      </w:pPr>
      <w:r>
        <w:t>the total amount of electricity generated by means of small renewable energy generation facilities and purchased by the licensee in the three months prior to the reporting day.</w:t>
      </w:r>
    </w:p>
    <w:p w14:paraId="79229F16" w14:textId="77777777" w:rsidR="00B02873" w:rsidRDefault="00B02873" w:rsidP="00FE198A">
      <w:pPr>
        <w:rPr>
          <w:rStyle w:val="Bold"/>
        </w:rPr>
      </w:pPr>
      <w:r>
        <w:rPr>
          <w:rStyle w:val="Bold"/>
        </w:rPr>
        <w:t>Note:</w:t>
      </w:r>
    </w:p>
    <w:p w14:paraId="403DFFC2" w14:textId="77777777" w:rsidR="00B02873" w:rsidRDefault="00B02873" w:rsidP="00965FC3">
      <w:pPr>
        <w:tabs>
          <w:tab w:val="left" w:pos="426"/>
        </w:tabs>
        <w:ind w:left="426" w:hanging="426"/>
      </w:pPr>
      <w:r>
        <w:t>a)</w:t>
      </w:r>
      <w:r>
        <w:tab/>
        <w:t>The general feed-in tariff scheme has been available for new customers since 1 January 2013.</w:t>
      </w:r>
    </w:p>
    <w:p w14:paraId="25899D8E" w14:textId="77777777" w:rsidR="00B02873" w:rsidRDefault="00B02873" w:rsidP="00965FC3">
      <w:pPr>
        <w:tabs>
          <w:tab w:val="left" w:pos="426"/>
        </w:tabs>
        <w:ind w:left="426" w:hanging="426"/>
      </w:pPr>
      <w:r>
        <w:t>b)</w:t>
      </w:r>
      <w:r>
        <w:tab/>
        <w:t>Aggregate energy exports have been converted to kilowatt hours (kWh) where reported in megawatt hours (MWh) and all installed capacity and aggregate energy export data has been rounded up to the nearest whole number.</w:t>
      </w:r>
    </w:p>
    <w:p w14:paraId="2B6E0F87" w14:textId="2CC45B3F" w:rsidR="00B02873" w:rsidRDefault="00B02873" w:rsidP="00965FC3">
      <w:pPr>
        <w:tabs>
          <w:tab w:val="left" w:pos="426"/>
        </w:tabs>
        <w:ind w:left="426" w:hanging="426"/>
      </w:pPr>
      <w:r>
        <w:t>c)</w:t>
      </w:r>
      <w:r>
        <w:tab/>
        <w:t>Previously, the general feed-in tariff scheme included the standard feed-in tariff (SFiT) scheme. The SFiT scheme expired on 31 December 2016.</w:t>
      </w:r>
    </w:p>
    <w:p w14:paraId="385677B3" w14:textId="77777777" w:rsidR="00B02873" w:rsidRDefault="00B02873" w:rsidP="00965FC3">
      <w:pPr>
        <w:pStyle w:val="TabletitleTables"/>
        <w:rPr>
          <w:sz w:val="18"/>
          <w:szCs w:val="18"/>
        </w:rPr>
      </w:pPr>
      <w:r>
        <w:t xml:space="preserve">Number of systems where exports generated and sold to retailer </w:t>
      </w:r>
    </w:p>
    <w:tbl>
      <w:tblPr>
        <w:tblStyle w:val="TableGrid"/>
        <w:tblW w:w="0" w:type="auto"/>
        <w:tblLayout w:type="fixed"/>
        <w:tblLook w:val="0020" w:firstRow="1" w:lastRow="0" w:firstColumn="0" w:lastColumn="0" w:noHBand="0" w:noVBand="0"/>
      </w:tblPr>
      <w:tblGrid>
        <w:gridCol w:w="4422"/>
        <w:gridCol w:w="1304"/>
        <w:gridCol w:w="1304"/>
        <w:gridCol w:w="1304"/>
        <w:gridCol w:w="1304"/>
      </w:tblGrid>
      <w:tr w:rsidR="00B02873" w:rsidRPr="00B02873" w14:paraId="5195CC1A" w14:textId="77777777" w:rsidTr="00965FC3">
        <w:trPr>
          <w:cnfStyle w:val="100000000000" w:firstRow="1" w:lastRow="0" w:firstColumn="0" w:lastColumn="0" w:oddVBand="0" w:evenVBand="0" w:oddHBand="0" w:evenHBand="0" w:firstRowFirstColumn="0" w:firstRowLastColumn="0" w:lastRowFirstColumn="0" w:lastRowLastColumn="0"/>
          <w:trHeight w:val="60"/>
          <w:tblHeader/>
        </w:trPr>
        <w:tc>
          <w:tcPr>
            <w:tcW w:w="4422" w:type="dxa"/>
          </w:tcPr>
          <w:p w14:paraId="683AD6B5" w14:textId="77777777" w:rsidR="00B02873" w:rsidRDefault="00B02873" w:rsidP="00965FC3">
            <w:pPr>
              <w:pStyle w:val="TableheadingleftFinancialsTables"/>
            </w:pPr>
            <w:r>
              <w:t xml:space="preserve">Quarter ending </w:t>
            </w:r>
          </w:p>
        </w:tc>
        <w:tc>
          <w:tcPr>
            <w:tcW w:w="1304" w:type="dxa"/>
          </w:tcPr>
          <w:p w14:paraId="344BBEF0" w14:textId="77777777" w:rsidR="00B02873" w:rsidRDefault="00B02873" w:rsidP="00965FC3">
            <w:pPr>
              <w:pStyle w:val="TableheadingleftFinancialsTables"/>
              <w:jc w:val="right"/>
            </w:pPr>
            <w:r>
              <w:t>Sep-21</w:t>
            </w:r>
          </w:p>
        </w:tc>
        <w:tc>
          <w:tcPr>
            <w:tcW w:w="1304" w:type="dxa"/>
          </w:tcPr>
          <w:p w14:paraId="58E8C737" w14:textId="77777777" w:rsidR="00B02873" w:rsidRDefault="00B02873" w:rsidP="00965FC3">
            <w:pPr>
              <w:pStyle w:val="TableheadingleftFinancialsTables"/>
              <w:jc w:val="right"/>
            </w:pPr>
            <w:r>
              <w:t>Dec-21</w:t>
            </w:r>
          </w:p>
        </w:tc>
        <w:tc>
          <w:tcPr>
            <w:tcW w:w="1304" w:type="dxa"/>
          </w:tcPr>
          <w:p w14:paraId="752F7480" w14:textId="77777777" w:rsidR="00B02873" w:rsidRDefault="00B02873" w:rsidP="00965FC3">
            <w:pPr>
              <w:pStyle w:val="TableheadingleftFinancialsTables"/>
              <w:jc w:val="right"/>
            </w:pPr>
            <w:r>
              <w:t>Mar-22</w:t>
            </w:r>
          </w:p>
        </w:tc>
        <w:tc>
          <w:tcPr>
            <w:tcW w:w="1304" w:type="dxa"/>
          </w:tcPr>
          <w:p w14:paraId="38954571" w14:textId="77777777" w:rsidR="00B02873" w:rsidRDefault="00B02873" w:rsidP="00965FC3">
            <w:pPr>
              <w:pStyle w:val="TableheadingleftFinancialsTables"/>
              <w:jc w:val="right"/>
            </w:pPr>
            <w:r>
              <w:t>Jun-22</w:t>
            </w:r>
          </w:p>
        </w:tc>
      </w:tr>
      <w:tr w:rsidR="00B02873" w:rsidRPr="00B02873" w14:paraId="5454C34B" w14:textId="77777777" w:rsidTr="00965FC3">
        <w:trPr>
          <w:trHeight w:val="60"/>
        </w:trPr>
        <w:tc>
          <w:tcPr>
            <w:tcW w:w="4422" w:type="dxa"/>
          </w:tcPr>
          <w:p w14:paraId="7AC3E94B" w14:textId="77777777" w:rsidR="00B02873" w:rsidRDefault="00B02873" w:rsidP="00965FC3">
            <w:pPr>
              <w:pStyle w:val="TablebodyleftFinancialsTables"/>
            </w:pPr>
            <w:r>
              <w:t>1st Energy</w:t>
            </w:r>
          </w:p>
        </w:tc>
        <w:tc>
          <w:tcPr>
            <w:tcW w:w="1304" w:type="dxa"/>
          </w:tcPr>
          <w:p w14:paraId="48D9D902" w14:textId="77777777" w:rsidR="00B02873" w:rsidRDefault="00B02873" w:rsidP="00965FC3">
            <w:pPr>
              <w:pStyle w:val="TablebodyleftFinancialsTables"/>
              <w:jc w:val="right"/>
            </w:pPr>
            <w:r>
              <w:t>4,208</w:t>
            </w:r>
          </w:p>
        </w:tc>
        <w:tc>
          <w:tcPr>
            <w:tcW w:w="1304" w:type="dxa"/>
          </w:tcPr>
          <w:p w14:paraId="6866F7D1" w14:textId="77777777" w:rsidR="00B02873" w:rsidRDefault="00B02873" w:rsidP="00965FC3">
            <w:pPr>
              <w:pStyle w:val="TablebodyleftFinancialsTables"/>
              <w:jc w:val="right"/>
            </w:pPr>
            <w:r>
              <w:t>3,981</w:t>
            </w:r>
          </w:p>
        </w:tc>
        <w:tc>
          <w:tcPr>
            <w:tcW w:w="1304" w:type="dxa"/>
          </w:tcPr>
          <w:p w14:paraId="513E01D0" w14:textId="77777777" w:rsidR="00B02873" w:rsidRDefault="00B02873" w:rsidP="00965FC3">
            <w:pPr>
              <w:pStyle w:val="TablebodyleftFinancialsTables"/>
              <w:jc w:val="right"/>
            </w:pPr>
            <w:r>
              <w:t>4,248</w:t>
            </w:r>
          </w:p>
        </w:tc>
        <w:tc>
          <w:tcPr>
            <w:tcW w:w="1304" w:type="dxa"/>
          </w:tcPr>
          <w:p w14:paraId="52D87030" w14:textId="77777777" w:rsidR="00B02873" w:rsidRDefault="00B02873" w:rsidP="00965FC3">
            <w:pPr>
              <w:pStyle w:val="TablebodyleftFinancialsTables"/>
              <w:jc w:val="right"/>
            </w:pPr>
            <w:r>
              <w:t>5,141</w:t>
            </w:r>
          </w:p>
        </w:tc>
      </w:tr>
      <w:tr w:rsidR="00B02873" w:rsidRPr="00B02873" w14:paraId="11D252B6" w14:textId="77777777" w:rsidTr="00965FC3">
        <w:trPr>
          <w:trHeight w:val="60"/>
        </w:trPr>
        <w:tc>
          <w:tcPr>
            <w:tcW w:w="4422" w:type="dxa"/>
          </w:tcPr>
          <w:p w14:paraId="52D4F6A0" w14:textId="77777777" w:rsidR="00B02873" w:rsidRDefault="00B02873" w:rsidP="00965FC3">
            <w:pPr>
              <w:pStyle w:val="TablebodyleftFinancialsTables"/>
            </w:pPr>
            <w:r>
              <w:t>AGL</w:t>
            </w:r>
          </w:p>
        </w:tc>
        <w:tc>
          <w:tcPr>
            <w:tcW w:w="1304" w:type="dxa"/>
          </w:tcPr>
          <w:p w14:paraId="4F0644EC" w14:textId="77777777" w:rsidR="00B02873" w:rsidRDefault="00B02873" w:rsidP="00965FC3">
            <w:pPr>
              <w:pStyle w:val="TablebodyleftFinancialsTables"/>
              <w:jc w:val="right"/>
            </w:pPr>
            <w:r>
              <w:t>86,227</w:t>
            </w:r>
          </w:p>
        </w:tc>
        <w:tc>
          <w:tcPr>
            <w:tcW w:w="1304" w:type="dxa"/>
          </w:tcPr>
          <w:p w14:paraId="3E8EE1AF" w14:textId="77777777" w:rsidR="00B02873" w:rsidRDefault="00B02873" w:rsidP="00965FC3">
            <w:pPr>
              <w:pStyle w:val="TablebodyleftFinancialsTables"/>
              <w:jc w:val="right"/>
            </w:pPr>
            <w:r>
              <w:t>86,200</w:t>
            </w:r>
          </w:p>
        </w:tc>
        <w:tc>
          <w:tcPr>
            <w:tcW w:w="1304" w:type="dxa"/>
          </w:tcPr>
          <w:p w14:paraId="0A74C926" w14:textId="77777777" w:rsidR="00B02873" w:rsidRDefault="00B02873" w:rsidP="00965FC3">
            <w:pPr>
              <w:pStyle w:val="TablebodyleftFinancialsTables"/>
              <w:jc w:val="right"/>
            </w:pPr>
            <w:r>
              <w:t>87,416</w:t>
            </w:r>
          </w:p>
        </w:tc>
        <w:tc>
          <w:tcPr>
            <w:tcW w:w="1304" w:type="dxa"/>
          </w:tcPr>
          <w:p w14:paraId="3D5570BA" w14:textId="77777777" w:rsidR="00B02873" w:rsidRDefault="00B02873" w:rsidP="00965FC3">
            <w:pPr>
              <w:pStyle w:val="TablebodyleftFinancialsTables"/>
              <w:jc w:val="right"/>
            </w:pPr>
            <w:r>
              <w:t>88,824</w:t>
            </w:r>
          </w:p>
        </w:tc>
      </w:tr>
      <w:tr w:rsidR="00B02873" w:rsidRPr="00B02873" w14:paraId="210234B4" w14:textId="77777777" w:rsidTr="00965FC3">
        <w:trPr>
          <w:trHeight w:val="60"/>
        </w:trPr>
        <w:tc>
          <w:tcPr>
            <w:tcW w:w="4422" w:type="dxa"/>
          </w:tcPr>
          <w:p w14:paraId="4CBBBA00" w14:textId="77777777" w:rsidR="00B02873" w:rsidRDefault="00B02873" w:rsidP="00965FC3">
            <w:pPr>
              <w:pStyle w:val="TablebodyleftFinancialsTables"/>
            </w:pPr>
            <w:r>
              <w:t>Alinta Energy</w:t>
            </w:r>
          </w:p>
        </w:tc>
        <w:tc>
          <w:tcPr>
            <w:tcW w:w="1304" w:type="dxa"/>
          </w:tcPr>
          <w:p w14:paraId="58DB8071" w14:textId="77777777" w:rsidR="00B02873" w:rsidRDefault="00B02873" w:rsidP="00965FC3">
            <w:pPr>
              <w:pStyle w:val="TablebodyleftFinancialsTables"/>
              <w:jc w:val="right"/>
            </w:pPr>
            <w:r>
              <w:t>25,608</w:t>
            </w:r>
          </w:p>
        </w:tc>
        <w:tc>
          <w:tcPr>
            <w:tcW w:w="1304" w:type="dxa"/>
          </w:tcPr>
          <w:p w14:paraId="77DB6536" w14:textId="77777777" w:rsidR="00B02873" w:rsidRDefault="00B02873" w:rsidP="00965FC3">
            <w:pPr>
              <w:pStyle w:val="TablebodyleftFinancialsTables"/>
              <w:jc w:val="right"/>
            </w:pPr>
            <w:r>
              <w:t>27,466</w:t>
            </w:r>
          </w:p>
        </w:tc>
        <w:tc>
          <w:tcPr>
            <w:tcW w:w="1304" w:type="dxa"/>
          </w:tcPr>
          <w:p w14:paraId="36C6B39E" w14:textId="77777777" w:rsidR="00B02873" w:rsidRDefault="00B02873" w:rsidP="00965FC3">
            <w:pPr>
              <w:pStyle w:val="TablebodyleftFinancialsTables"/>
              <w:jc w:val="right"/>
            </w:pPr>
            <w:r>
              <w:t>28,478</w:t>
            </w:r>
          </w:p>
        </w:tc>
        <w:tc>
          <w:tcPr>
            <w:tcW w:w="1304" w:type="dxa"/>
          </w:tcPr>
          <w:p w14:paraId="7FE5768E" w14:textId="77777777" w:rsidR="00B02873" w:rsidRDefault="00B02873" w:rsidP="00965FC3">
            <w:pPr>
              <w:pStyle w:val="TablebodyleftFinancialsTables"/>
              <w:jc w:val="right"/>
            </w:pPr>
            <w:r>
              <w:t>29,824</w:t>
            </w:r>
          </w:p>
        </w:tc>
      </w:tr>
      <w:tr w:rsidR="00B02873" w:rsidRPr="00B02873" w14:paraId="02355DEE" w14:textId="77777777" w:rsidTr="00965FC3">
        <w:trPr>
          <w:trHeight w:val="60"/>
        </w:trPr>
        <w:tc>
          <w:tcPr>
            <w:tcW w:w="4422" w:type="dxa"/>
          </w:tcPr>
          <w:p w14:paraId="6CAC8E77" w14:textId="77777777" w:rsidR="00B02873" w:rsidRDefault="00B02873" w:rsidP="00965FC3">
            <w:pPr>
              <w:pStyle w:val="TablebodyleftFinancialsTables"/>
            </w:pPr>
            <w:r>
              <w:t>Blue NRG</w:t>
            </w:r>
          </w:p>
        </w:tc>
        <w:tc>
          <w:tcPr>
            <w:tcW w:w="1304" w:type="dxa"/>
          </w:tcPr>
          <w:p w14:paraId="32E26A76" w14:textId="77777777" w:rsidR="00B02873" w:rsidRDefault="00B02873" w:rsidP="00965FC3">
            <w:pPr>
              <w:pStyle w:val="TablebodyleftFinancialsTables"/>
              <w:jc w:val="right"/>
            </w:pPr>
            <w:r>
              <w:t>695</w:t>
            </w:r>
          </w:p>
        </w:tc>
        <w:tc>
          <w:tcPr>
            <w:tcW w:w="1304" w:type="dxa"/>
          </w:tcPr>
          <w:p w14:paraId="331AF4D4" w14:textId="77777777" w:rsidR="00B02873" w:rsidRDefault="00B02873" w:rsidP="00965FC3">
            <w:pPr>
              <w:pStyle w:val="TablebodyleftFinancialsTables"/>
              <w:jc w:val="right"/>
            </w:pPr>
            <w:r>
              <w:t>721</w:t>
            </w:r>
          </w:p>
        </w:tc>
        <w:tc>
          <w:tcPr>
            <w:tcW w:w="1304" w:type="dxa"/>
          </w:tcPr>
          <w:p w14:paraId="2C2F3931" w14:textId="77777777" w:rsidR="00B02873" w:rsidRDefault="00B02873" w:rsidP="00965FC3">
            <w:pPr>
              <w:pStyle w:val="TablebodyleftFinancialsTables"/>
              <w:jc w:val="right"/>
            </w:pPr>
            <w:r>
              <w:t>715</w:t>
            </w:r>
          </w:p>
        </w:tc>
        <w:tc>
          <w:tcPr>
            <w:tcW w:w="1304" w:type="dxa"/>
          </w:tcPr>
          <w:p w14:paraId="2AB1CDEA" w14:textId="77777777" w:rsidR="00B02873" w:rsidRDefault="00B02873" w:rsidP="00965FC3">
            <w:pPr>
              <w:pStyle w:val="TablebodyleftFinancialsTables"/>
              <w:jc w:val="right"/>
            </w:pPr>
            <w:r>
              <w:t>723</w:t>
            </w:r>
          </w:p>
        </w:tc>
      </w:tr>
      <w:tr w:rsidR="00B02873" w:rsidRPr="00B02873" w14:paraId="0903FA7D" w14:textId="77777777" w:rsidTr="00965FC3">
        <w:trPr>
          <w:trHeight w:val="60"/>
        </w:trPr>
        <w:tc>
          <w:tcPr>
            <w:tcW w:w="4422" w:type="dxa"/>
          </w:tcPr>
          <w:p w14:paraId="546137B8" w14:textId="77777777" w:rsidR="00B02873" w:rsidRDefault="00B02873" w:rsidP="00965FC3">
            <w:pPr>
              <w:pStyle w:val="TablebodyleftFinancialsTables"/>
            </w:pPr>
            <w:r>
              <w:t>Elysian Energy</w:t>
            </w:r>
          </w:p>
        </w:tc>
        <w:tc>
          <w:tcPr>
            <w:tcW w:w="1304" w:type="dxa"/>
          </w:tcPr>
          <w:p w14:paraId="30A379E5" w14:textId="77777777" w:rsidR="00B02873" w:rsidRDefault="00B02873" w:rsidP="00965FC3">
            <w:pPr>
              <w:pStyle w:val="TablebodyleftFinancialsTables"/>
              <w:jc w:val="right"/>
            </w:pPr>
            <w:r>
              <w:t>1,948</w:t>
            </w:r>
          </w:p>
        </w:tc>
        <w:tc>
          <w:tcPr>
            <w:tcW w:w="1304" w:type="dxa"/>
          </w:tcPr>
          <w:p w14:paraId="0A880DD4" w14:textId="77777777" w:rsidR="00B02873" w:rsidRDefault="00B02873" w:rsidP="00965FC3">
            <w:pPr>
              <w:pStyle w:val="TablebodyleftFinancialsTables"/>
              <w:jc w:val="right"/>
            </w:pPr>
            <w:r>
              <w:t>2,657</w:t>
            </w:r>
          </w:p>
        </w:tc>
        <w:tc>
          <w:tcPr>
            <w:tcW w:w="1304" w:type="dxa"/>
          </w:tcPr>
          <w:p w14:paraId="20872402" w14:textId="77777777" w:rsidR="00B02873" w:rsidRDefault="00B02873" w:rsidP="00965FC3">
            <w:pPr>
              <w:pStyle w:val="TablebodyleftFinancialsTables"/>
              <w:jc w:val="right"/>
            </w:pPr>
            <w:r>
              <w:t>2,685</w:t>
            </w:r>
          </w:p>
        </w:tc>
        <w:tc>
          <w:tcPr>
            <w:tcW w:w="1304" w:type="dxa"/>
          </w:tcPr>
          <w:p w14:paraId="7B7D17B8" w14:textId="77777777" w:rsidR="00B02873" w:rsidRDefault="00B02873" w:rsidP="00965FC3">
            <w:pPr>
              <w:pStyle w:val="TablebodyleftFinancialsTables"/>
              <w:jc w:val="right"/>
            </w:pPr>
            <w:r>
              <w:t>2,782</w:t>
            </w:r>
          </w:p>
        </w:tc>
      </w:tr>
      <w:tr w:rsidR="00B02873" w:rsidRPr="00B02873" w14:paraId="12BBA3B5" w14:textId="77777777" w:rsidTr="00965FC3">
        <w:trPr>
          <w:trHeight w:val="60"/>
        </w:trPr>
        <w:tc>
          <w:tcPr>
            <w:tcW w:w="4422" w:type="dxa"/>
          </w:tcPr>
          <w:p w14:paraId="78AD3EA3" w14:textId="77777777" w:rsidR="00B02873" w:rsidRDefault="00B02873" w:rsidP="00965FC3">
            <w:pPr>
              <w:pStyle w:val="TablebodyleftFinancialsTables"/>
            </w:pPr>
            <w:r>
              <w:t>EnergyAustralia</w:t>
            </w:r>
          </w:p>
        </w:tc>
        <w:tc>
          <w:tcPr>
            <w:tcW w:w="1304" w:type="dxa"/>
          </w:tcPr>
          <w:p w14:paraId="2948DA05" w14:textId="77777777" w:rsidR="00B02873" w:rsidRDefault="00B02873" w:rsidP="00965FC3">
            <w:pPr>
              <w:pStyle w:val="TablebodyleftFinancialsTables"/>
              <w:jc w:val="right"/>
            </w:pPr>
            <w:r>
              <w:t>73,481</w:t>
            </w:r>
          </w:p>
        </w:tc>
        <w:tc>
          <w:tcPr>
            <w:tcW w:w="1304" w:type="dxa"/>
          </w:tcPr>
          <w:p w14:paraId="6AE0AD62" w14:textId="77777777" w:rsidR="00B02873" w:rsidRDefault="00B02873" w:rsidP="00965FC3">
            <w:pPr>
              <w:pStyle w:val="TablebodyleftFinancialsTables"/>
              <w:jc w:val="right"/>
            </w:pPr>
            <w:r>
              <w:t>77,933</w:t>
            </w:r>
          </w:p>
        </w:tc>
        <w:tc>
          <w:tcPr>
            <w:tcW w:w="1304" w:type="dxa"/>
          </w:tcPr>
          <w:p w14:paraId="486871F3" w14:textId="77777777" w:rsidR="00B02873" w:rsidRDefault="00B02873" w:rsidP="00965FC3">
            <w:pPr>
              <w:pStyle w:val="TablebodyleftFinancialsTables"/>
              <w:jc w:val="right"/>
            </w:pPr>
            <w:r>
              <w:t>77,820</w:t>
            </w:r>
          </w:p>
        </w:tc>
        <w:tc>
          <w:tcPr>
            <w:tcW w:w="1304" w:type="dxa"/>
          </w:tcPr>
          <w:p w14:paraId="69E8601A" w14:textId="77777777" w:rsidR="00B02873" w:rsidRDefault="00B02873" w:rsidP="00965FC3">
            <w:pPr>
              <w:pStyle w:val="TablebodyleftFinancialsTables"/>
              <w:jc w:val="right"/>
            </w:pPr>
            <w:r>
              <w:t>79,774</w:t>
            </w:r>
          </w:p>
        </w:tc>
      </w:tr>
      <w:tr w:rsidR="00B02873" w:rsidRPr="00B02873" w14:paraId="3C462F7D" w14:textId="77777777" w:rsidTr="00965FC3">
        <w:trPr>
          <w:trHeight w:val="60"/>
        </w:trPr>
        <w:tc>
          <w:tcPr>
            <w:tcW w:w="4422" w:type="dxa"/>
          </w:tcPr>
          <w:p w14:paraId="43841D90" w14:textId="77777777" w:rsidR="00B02873" w:rsidRDefault="00B02873" w:rsidP="00965FC3">
            <w:pPr>
              <w:pStyle w:val="TablebodyleftFinancialsTables"/>
            </w:pPr>
            <w:r>
              <w:t>GloBird Energy</w:t>
            </w:r>
          </w:p>
        </w:tc>
        <w:tc>
          <w:tcPr>
            <w:tcW w:w="1304" w:type="dxa"/>
          </w:tcPr>
          <w:p w14:paraId="3E6EE9BD" w14:textId="77777777" w:rsidR="00B02873" w:rsidRDefault="00B02873" w:rsidP="00965FC3">
            <w:pPr>
              <w:pStyle w:val="TablebodyleftFinancialsTables"/>
              <w:jc w:val="right"/>
            </w:pPr>
            <w:r>
              <w:t>11,039</w:t>
            </w:r>
          </w:p>
        </w:tc>
        <w:tc>
          <w:tcPr>
            <w:tcW w:w="1304" w:type="dxa"/>
          </w:tcPr>
          <w:p w14:paraId="4009DBFD" w14:textId="77777777" w:rsidR="00B02873" w:rsidRDefault="00B02873" w:rsidP="00965FC3">
            <w:pPr>
              <w:pStyle w:val="TablebodyleftFinancialsTables"/>
              <w:jc w:val="right"/>
            </w:pPr>
            <w:r>
              <w:t>10,976</w:t>
            </w:r>
          </w:p>
        </w:tc>
        <w:tc>
          <w:tcPr>
            <w:tcW w:w="1304" w:type="dxa"/>
          </w:tcPr>
          <w:p w14:paraId="55495B11" w14:textId="77777777" w:rsidR="00B02873" w:rsidRDefault="00B02873" w:rsidP="00965FC3">
            <w:pPr>
              <w:pStyle w:val="TablebodyleftFinancialsTables"/>
              <w:jc w:val="right"/>
            </w:pPr>
            <w:r>
              <w:t>11,208</w:t>
            </w:r>
          </w:p>
        </w:tc>
        <w:tc>
          <w:tcPr>
            <w:tcW w:w="1304" w:type="dxa"/>
          </w:tcPr>
          <w:p w14:paraId="7A377310" w14:textId="77777777" w:rsidR="00B02873" w:rsidRDefault="00B02873" w:rsidP="00965FC3">
            <w:pPr>
              <w:pStyle w:val="TablebodyleftFinancialsTables"/>
              <w:jc w:val="right"/>
            </w:pPr>
            <w:r>
              <w:t>11,722</w:t>
            </w:r>
          </w:p>
        </w:tc>
      </w:tr>
      <w:tr w:rsidR="00B02873" w:rsidRPr="00B02873" w14:paraId="0A9A1338" w14:textId="77777777" w:rsidTr="00965FC3">
        <w:trPr>
          <w:trHeight w:val="60"/>
        </w:trPr>
        <w:tc>
          <w:tcPr>
            <w:tcW w:w="4422" w:type="dxa"/>
          </w:tcPr>
          <w:p w14:paraId="6B989FDB" w14:textId="77777777" w:rsidR="00B02873" w:rsidRDefault="00B02873" w:rsidP="00965FC3">
            <w:pPr>
              <w:pStyle w:val="TablebodyleftFinancialsTables"/>
            </w:pPr>
            <w:r>
              <w:t>Lumo Energy</w:t>
            </w:r>
          </w:p>
        </w:tc>
        <w:tc>
          <w:tcPr>
            <w:tcW w:w="1304" w:type="dxa"/>
          </w:tcPr>
          <w:p w14:paraId="59397F68" w14:textId="77777777" w:rsidR="00B02873" w:rsidRDefault="00B02873" w:rsidP="00965FC3">
            <w:pPr>
              <w:pStyle w:val="TablebodyleftFinancialsTables"/>
              <w:jc w:val="right"/>
            </w:pPr>
            <w:r>
              <w:t>21,440</w:t>
            </w:r>
          </w:p>
        </w:tc>
        <w:tc>
          <w:tcPr>
            <w:tcW w:w="1304" w:type="dxa"/>
          </w:tcPr>
          <w:p w14:paraId="0DD99386" w14:textId="77777777" w:rsidR="00B02873" w:rsidRDefault="00B02873" w:rsidP="00965FC3">
            <w:pPr>
              <w:pStyle w:val="TablebodyleftFinancialsTables"/>
              <w:jc w:val="right"/>
            </w:pPr>
            <w:r>
              <w:t>25,542</w:t>
            </w:r>
          </w:p>
        </w:tc>
        <w:tc>
          <w:tcPr>
            <w:tcW w:w="1304" w:type="dxa"/>
          </w:tcPr>
          <w:p w14:paraId="6EFD2DE1" w14:textId="77777777" w:rsidR="00B02873" w:rsidRDefault="00B02873" w:rsidP="00965FC3">
            <w:pPr>
              <w:pStyle w:val="TablebodyleftFinancialsTables"/>
              <w:jc w:val="right"/>
            </w:pPr>
            <w:r>
              <w:t>26,733</w:t>
            </w:r>
          </w:p>
        </w:tc>
        <w:tc>
          <w:tcPr>
            <w:tcW w:w="1304" w:type="dxa"/>
          </w:tcPr>
          <w:p w14:paraId="01D60568" w14:textId="77777777" w:rsidR="00B02873" w:rsidRDefault="00B02873" w:rsidP="00965FC3">
            <w:pPr>
              <w:pStyle w:val="TablebodyleftFinancialsTables"/>
              <w:jc w:val="right"/>
            </w:pPr>
            <w:r>
              <w:t>27,713</w:t>
            </w:r>
          </w:p>
        </w:tc>
      </w:tr>
      <w:tr w:rsidR="00B02873" w:rsidRPr="00B02873" w14:paraId="15B23776" w14:textId="77777777" w:rsidTr="00965FC3">
        <w:trPr>
          <w:trHeight w:val="60"/>
        </w:trPr>
        <w:tc>
          <w:tcPr>
            <w:tcW w:w="4422" w:type="dxa"/>
          </w:tcPr>
          <w:p w14:paraId="53DFF3CE" w14:textId="77777777" w:rsidR="00B02873" w:rsidRDefault="00B02873" w:rsidP="00965FC3">
            <w:pPr>
              <w:pStyle w:val="TablebodyleftFinancialsTables"/>
            </w:pPr>
            <w:r>
              <w:t xml:space="preserve">M2 Energy </w:t>
            </w:r>
          </w:p>
        </w:tc>
        <w:tc>
          <w:tcPr>
            <w:tcW w:w="1304" w:type="dxa"/>
          </w:tcPr>
          <w:p w14:paraId="519919F7" w14:textId="77777777" w:rsidR="00B02873" w:rsidRDefault="00B02873" w:rsidP="00965FC3">
            <w:pPr>
              <w:pStyle w:val="TablebodyleftFinancialsTables"/>
              <w:jc w:val="right"/>
            </w:pPr>
            <w:r>
              <w:t>11,433</w:t>
            </w:r>
          </w:p>
        </w:tc>
        <w:tc>
          <w:tcPr>
            <w:tcW w:w="1304" w:type="dxa"/>
          </w:tcPr>
          <w:p w14:paraId="7985F81C" w14:textId="77777777" w:rsidR="00B02873" w:rsidRDefault="00B02873" w:rsidP="00965FC3">
            <w:pPr>
              <w:pStyle w:val="TablebodyleftFinancialsTables"/>
              <w:jc w:val="right"/>
            </w:pPr>
            <w:r>
              <w:t>5,389</w:t>
            </w:r>
          </w:p>
        </w:tc>
        <w:tc>
          <w:tcPr>
            <w:tcW w:w="1304" w:type="dxa"/>
          </w:tcPr>
          <w:p w14:paraId="238C5325" w14:textId="77777777" w:rsidR="00B02873" w:rsidRDefault="00B02873" w:rsidP="00965FC3">
            <w:pPr>
              <w:pStyle w:val="TablebodyleftFinancialsTables"/>
              <w:jc w:val="right"/>
            </w:pPr>
            <w:r>
              <w:t>7,289</w:t>
            </w:r>
          </w:p>
        </w:tc>
        <w:tc>
          <w:tcPr>
            <w:tcW w:w="1304" w:type="dxa"/>
          </w:tcPr>
          <w:p w14:paraId="595E676A" w14:textId="77777777" w:rsidR="00B02873" w:rsidRDefault="00B02873" w:rsidP="00965FC3">
            <w:pPr>
              <w:pStyle w:val="TablebodyleftFinancialsTables"/>
              <w:jc w:val="right"/>
            </w:pPr>
            <w:r>
              <w:t>8,337</w:t>
            </w:r>
          </w:p>
        </w:tc>
      </w:tr>
      <w:tr w:rsidR="00B02873" w:rsidRPr="00B02873" w14:paraId="45DB9125" w14:textId="77777777" w:rsidTr="00965FC3">
        <w:trPr>
          <w:trHeight w:val="60"/>
        </w:trPr>
        <w:tc>
          <w:tcPr>
            <w:tcW w:w="4422" w:type="dxa"/>
          </w:tcPr>
          <w:p w14:paraId="71065732" w14:textId="77777777" w:rsidR="00B02873" w:rsidRDefault="00B02873" w:rsidP="00965FC3">
            <w:pPr>
              <w:pStyle w:val="TablebodyleftFinancialsTables"/>
            </w:pPr>
            <w:r>
              <w:t>Momentum Energy</w:t>
            </w:r>
          </w:p>
        </w:tc>
        <w:tc>
          <w:tcPr>
            <w:tcW w:w="1304" w:type="dxa"/>
          </w:tcPr>
          <w:p w14:paraId="1B4C153F" w14:textId="77777777" w:rsidR="00B02873" w:rsidRDefault="00B02873" w:rsidP="00965FC3">
            <w:pPr>
              <w:pStyle w:val="TablebodyleftFinancialsTables"/>
              <w:jc w:val="right"/>
            </w:pPr>
            <w:r>
              <w:t>17,098</w:t>
            </w:r>
          </w:p>
        </w:tc>
        <w:tc>
          <w:tcPr>
            <w:tcW w:w="1304" w:type="dxa"/>
          </w:tcPr>
          <w:p w14:paraId="50D7E3EF" w14:textId="77777777" w:rsidR="00B02873" w:rsidRDefault="00B02873" w:rsidP="00965FC3">
            <w:pPr>
              <w:pStyle w:val="TablebodyleftFinancialsTables"/>
              <w:jc w:val="right"/>
            </w:pPr>
            <w:r>
              <w:t>19,019</w:t>
            </w:r>
          </w:p>
        </w:tc>
        <w:tc>
          <w:tcPr>
            <w:tcW w:w="1304" w:type="dxa"/>
          </w:tcPr>
          <w:p w14:paraId="05501DB2" w14:textId="77777777" w:rsidR="00B02873" w:rsidRDefault="00B02873" w:rsidP="00965FC3">
            <w:pPr>
              <w:pStyle w:val="TablebodyleftFinancialsTables"/>
              <w:jc w:val="right"/>
            </w:pPr>
            <w:r>
              <w:t>17,651</w:t>
            </w:r>
          </w:p>
        </w:tc>
        <w:tc>
          <w:tcPr>
            <w:tcW w:w="1304" w:type="dxa"/>
          </w:tcPr>
          <w:p w14:paraId="6D8FEF48" w14:textId="77777777" w:rsidR="00B02873" w:rsidRDefault="00B02873" w:rsidP="00965FC3">
            <w:pPr>
              <w:pStyle w:val="TablebodyleftFinancialsTables"/>
              <w:jc w:val="right"/>
            </w:pPr>
            <w:r>
              <w:t>19,489</w:t>
            </w:r>
          </w:p>
        </w:tc>
      </w:tr>
      <w:tr w:rsidR="00B02873" w:rsidRPr="00B02873" w14:paraId="20B5CD0E" w14:textId="77777777" w:rsidTr="00965FC3">
        <w:trPr>
          <w:trHeight w:val="60"/>
        </w:trPr>
        <w:tc>
          <w:tcPr>
            <w:tcW w:w="4422" w:type="dxa"/>
          </w:tcPr>
          <w:p w14:paraId="135C192D" w14:textId="77777777" w:rsidR="00B02873" w:rsidRDefault="00B02873" w:rsidP="00965FC3">
            <w:pPr>
              <w:pStyle w:val="TablebodyleftFinancialsTables"/>
            </w:pPr>
            <w:r>
              <w:t>Origin Energy</w:t>
            </w:r>
          </w:p>
        </w:tc>
        <w:tc>
          <w:tcPr>
            <w:tcW w:w="1304" w:type="dxa"/>
          </w:tcPr>
          <w:p w14:paraId="4F3E99EE" w14:textId="77777777" w:rsidR="00B02873" w:rsidRDefault="00B02873" w:rsidP="00965FC3">
            <w:pPr>
              <w:pStyle w:val="TablebodyleftFinancialsTables"/>
              <w:jc w:val="right"/>
            </w:pPr>
            <w:r>
              <w:t>75,177</w:t>
            </w:r>
          </w:p>
        </w:tc>
        <w:tc>
          <w:tcPr>
            <w:tcW w:w="1304" w:type="dxa"/>
          </w:tcPr>
          <w:p w14:paraId="2FA41D59" w14:textId="77777777" w:rsidR="00B02873" w:rsidRDefault="00B02873" w:rsidP="00965FC3">
            <w:pPr>
              <w:pStyle w:val="TablebodyleftFinancialsTables"/>
              <w:jc w:val="right"/>
            </w:pPr>
            <w:r>
              <w:t>78,345</w:t>
            </w:r>
          </w:p>
        </w:tc>
        <w:tc>
          <w:tcPr>
            <w:tcW w:w="1304" w:type="dxa"/>
          </w:tcPr>
          <w:p w14:paraId="4606A9A9" w14:textId="77777777" w:rsidR="00B02873" w:rsidRDefault="00B02873" w:rsidP="00965FC3">
            <w:pPr>
              <w:pStyle w:val="TablebodyleftFinancialsTables"/>
              <w:jc w:val="right"/>
            </w:pPr>
            <w:r>
              <w:t>79,333</w:t>
            </w:r>
          </w:p>
        </w:tc>
        <w:tc>
          <w:tcPr>
            <w:tcW w:w="1304" w:type="dxa"/>
          </w:tcPr>
          <w:p w14:paraId="08A7996E" w14:textId="77777777" w:rsidR="00B02873" w:rsidRDefault="00B02873" w:rsidP="00965FC3">
            <w:pPr>
              <w:pStyle w:val="TablebodyleftFinancialsTables"/>
              <w:jc w:val="right"/>
            </w:pPr>
            <w:r>
              <w:t>80,114</w:t>
            </w:r>
          </w:p>
        </w:tc>
      </w:tr>
      <w:tr w:rsidR="00B02873" w:rsidRPr="00B02873" w14:paraId="13F6F2D7" w14:textId="77777777" w:rsidTr="00965FC3">
        <w:trPr>
          <w:trHeight w:val="60"/>
        </w:trPr>
        <w:tc>
          <w:tcPr>
            <w:tcW w:w="4422" w:type="dxa"/>
          </w:tcPr>
          <w:p w14:paraId="79885F7C" w14:textId="77777777" w:rsidR="00B02873" w:rsidRDefault="00B02873" w:rsidP="00965FC3">
            <w:pPr>
              <w:pStyle w:val="TablebodyleftFinancialsTables"/>
            </w:pPr>
            <w:r>
              <w:t xml:space="preserve">Mojopower (Q Energy) </w:t>
            </w:r>
          </w:p>
        </w:tc>
        <w:tc>
          <w:tcPr>
            <w:tcW w:w="1304" w:type="dxa"/>
          </w:tcPr>
          <w:p w14:paraId="7FC40A3C" w14:textId="77777777" w:rsidR="00B02873" w:rsidRDefault="00B02873" w:rsidP="00965FC3">
            <w:pPr>
              <w:pStyle w:val="TablebodyleftFinancialsTables"/>
              <w:jc w:val="right"/>
            </w:pPr>
            <w:r>
              <w:t>405</w:t>
            </w:r>
          </w:p>
        </w:tc>
        <w:tc>
          <w:tcPr>
            <w:tcW w:w="1304" w:type="dxa"/>
          </w:tcPr>
          <w:p w14:paraId="1EC9991C" w14:textId="77777777" w:rsidR="00B02873" w:rsidRDefault="00B02873" w:rsidP="00965FC3">
            <w:pPr>
              <w:pStyle w:val="TablebodyleftFinancialsTables"/>
              <w:jc w:val="right"/>
            </w:pPr>
            <w:r>
              <w:t>428</w:t>
            </w:r>
          </w:p>
        </w:tc>
        <w:tc>
          <w:tcPr>
            <w:tcW w:w="1304" w:type="dxa"/>
          </w:tcPr>
          <w:p w14:paraId="37037DA5" w14:textId="77777777" w:rsidR="00B02873" w:rsidRDefault="00B02873" w:rsidP="00965FC3">
            <w:pPr>
              <w:pStyle w:val="TablebodyleftFinancialsTables"/>
              <w:jc w:val="right"/>
            </w:pPr>
            <w:r>
              <w:t>435</w:t>
            </w:r>
          </w:p>
        </w:tc>
        <w:tc>
          <w:tcPr>
            <w:tcW w:w="1304" w:type="dxa"/>
          </w:tcPr>
          <w:p w14:paraId="1BF7FECE" w14:textId="77777777" w:rsidR="00B02873" w:rsidRDefault="00B02873" w:rsidP="00965FC3">
            <w:pPr>
              <w:pStyle w:val="TablebodyleftFinancialsTables"/>
              <w:jc w:val="right"/>
            </w:pPr>
            <w:r>
              <w:t>901</w:t>
            </w:r>
          </w:p>
        </w:tc>
      </w:tr>
      <w:tr w:rsidR="00B02873" w:rsidRPr="00B02873" w14:paraId="02F0DEBD" w14:textId="77777777" w:rsidTr="00965FC3">
        <w:trPr>
          <w:trHeight w:val="60"/>
        </w:trPr>
        <w:tc>
          <w:tcPr>
            <w:tcW w:w="4422" w:type="dxa"/>
          </w:tcPr>
          <w:p w14:paraId="03CED8F5" w14:textId="77777777" w:rsidR="00B02873" w:rsidRDefault="00B02873" w:rsidP="00965FC3">
            <w:pPr>
              <w:pStyle w:val="TablebodyleftFinancialsTables"/>
            </w:pPr>
            <w:r>
              <w:t>Powerdirect</w:t>
            </w:r>
          </w:p>
        </w:tc>
        <w:tc>
          <w:tcPr>
            <w:tcW w:w="1304" w:type="dxa"/>
          </w:tcPr>
          <w:p w14:paraId="3165E0FB" w14:textId="77777777" w:rsidR="00B02873" w:rsidRDefault="00B02873" w:rsidP="00965FC3">
            <w:pPr>
              <w:pStyle w:val="TablebodyleftFinancialsTables"/>
              <w:jc w:val="right"/>
            </w:pPr>
            <w:r>
              <w:t>6,294</w:t>
            </w:r>
          </w:p>
        </w:tc>
        <w:tc>
          <w:tcPr>
            <w:tcW w:w="1304" w:type="dxa"/>
          </w:tcPr>
          <w:p w14:paraId="2C74DCF2" w14:textId="77777777" w:rsidR="00B02873" w:rsidRDefault="00B02873" w:rsidP="00965FC3">
            <w:pPr>
              <w:pStyle w:val="TablebodyleftFinancialsTables"/>
              <w:jc w:val="right"/>
            </w:pPr>
            <w:r>
              <w:t>6,008</w:t>
            </w:r>
          </w:p>
        </w:tc>
        <w:tc>
          <w:tcPr>
            <w:tcW w:w="1304" w:type="dxa"/>
          </w:tcPr>
          <w:p w14:paraId="1A4CE8A3" w14:textId="77777777" w:rsidR="00B02873" w:rsidRDefault="00B02873" w:rsidP="00965FC3">
            <w:pPr>
              <w:pStyle w:val="TablebodyleftFinancialsTables"/>
              <w:jc w:val="right"/>
            </w:pPr>
            <w:r>
              <w:t>5,726</w:t>
            </w:r>
          </w:p>
        </w:tc>
        <w:tc>
          <w:tcPr>
            <w:tcW w:w="1304" w:type="dxa"/>
          </w:tcPr>
          <w:p w14:paraId="13857BF3" w14:textId="77777777" w:rsidR="00B02873" w:rsidRDefault="00B02873" w:rsidP="00965FC3">
            <w:pPr>
              <w:pStyle w:val="TablebodyleftFinancialsTables"/>
              <w:jc w:val="right"/>
            </w:pPr>
            <w:r>
              <w:t>5,565</w:t>
            </w:r>
          </w:p>
        </w:tc>
      </w:tr>
      <w:tr w:rsidR="00B02873" w:rsidRPr="00B02873" w14:paraId="1FF6EA28" w14:textId="77777777" w:rsidTr="00965FC3">
        <w:trPr>
          <w:trHeight w:val="60"/>
        </w:trPr>
        <w:tc>
          <w:tcPr>
            <w:tcW w:w="4422" w:type="dxa"/>
          </w:tcPr>
          <w:p w14:paraId="6D9DBABF" w14:textId="77777777" w:rsidR="00B02873" w:rsidRDefault="00B02873" w:rsidP="00965FC3">
            <w:pPr>
              <w:pStyle w:val="TablebodyleftFinancialsTables"/>
            </w:pPr>
            <w:r>
              <w:t>Powershop</w:t>
            </w:r>
          </w:p>
        </w:tc>
        <w:tc>
          <w:tcPr>
            <w:tcW w:w="1304" w:type="dxa"/>
          </w:tcPr>
          <w:p w14:paraId="5712132B" w14:textId="77777777" w:rsidR="00B02873" w:rsidRDefault="00B02873" w:rsidP="00965FC3">
            <w:pPr>
              <w:pStyle w:val="TablebodyleftFinancialsTables"/>
              <w:jc w:val="right"/>
            </w:pPr>
            <w:r>
              <w:t>19,071</w:t>
            </w:r>
          </w:p>
        </w:tc>
        <w:tc>
          <w:tcPr>
            <w:tcW w:w="1304" w:type="dxa"/>
          </w:tcPr>
          <w:p w14:paraId="6B764B09" w14:textId="77777777" w:rsidR="00B02873" w:rsidRDefault="00B02873" w:rsidP="00965FC3">
            <w:pPr>
              <w:pStyle w:val="TablebodyleftFinancialsTables"/>
              <w:jc w:val="right"/>
            </w:pPr>
            <w:r>
              <w:t>18,036</w:t>
            </w:r>
          </w:p>
        </w:tc>
        <w:tc>
          <w:tcPr>
            <w:tcW w:w="1304" w:type="dxa"/>
          </w:tcPr>
          <w:p w14:paraId="3429801F" w14:textId="77777777" w:rsidR="00B02873" w:rsidRDefault="00B02873" w:rsidP="00965FC3">
            <w:pPr>
              <w:pStyle w:val="TablebodyleftFinancialsTables"/>
              <w:jc w:val="right"/>
            </w:pPr>
            <w:r>
              <w:t>16,426</w:t>
            </w:r>
          </w:p>
        </w:tc>
        <w:tc>
          <w:tcPr>
            <w:tcW w:w="1304" w:type="dxa"/>
          </w:tcPr>
          <w:p w14:paraId="3724F5CF" w14:textId="77777777" w:rsidR="00B02873" w:rsidRDefault="00B02873" w:rsidP="00965FC3">
            <w:pPr>
              <w:pStyle w:val="TablebodyleftFinancialsTables"/>
              <w:jc w:val="right"/>
            </w:pPr>
            <w:r>
              <w:t>15,577</w:t>
            </w:r>
          </w:p>
        </w:tc>
      </w:tr>
      <w:tr w:rsidR="00B02873" w:rsidRPr="00B02873" w14:paraId="261A5E14" w14:textId="77777777" w:rsidTr="00965FC3">
        <w:trPr>
          <w:trHeight w:val="60"/>
        </w:trPr>
        <w:tc>
          <w:tcPr>
            <w:tcW w:w="4422" w:type="dxa"/>
          </w:tcPr>
          <w:p w14:paraId="5E81BFD8" w14:textId="77777777" w:rsidR="00B02873" w:rsidRDefault="00B02873" w:rsidP="00965FC3">
            <w:pPr>
              <w:pStyle w:val="TablebodyleftFinancialsTables"/>
            </w:pPr>
            <w:r>
              <w:t>Red Energy</w:t>
            </w:r>
          </w:p>
        </w:tc>
        <w:tc>
          <w:tcPr>
            <w:tcW w:w="1304" w:type="dxa"/>
          </w:tcPr>
          <w:p w14:paraId="32A9ADF7" w14:textId="77777777" w:rsidR="00B02873" w:rsidRDefault="00B02873" w:rsidP="00965FC3">
            <w:pPr>
              <w:pStyle w:val="TablebodyleftFinancialsTables"/>
              <w:jc w:val="right"/>
            </w:pPr>
            <w:r>
              <w:t>40,392</w:t>
            </w:r>
          </w:p>
        </w:tc>
        <w:tc>
          <w:tcPr>
            <w:tcW w:w="1304" w:type="dxa"/>
          </w:tcPr>
          <w:p w14:paraId="3283B72C" w14:textId="77777777" w:rsidR="00B02873" w:rsidRDefault="00B02873" w:rsidP="00965FC3">
            <w:pPr>
              <w:pStyle w:val="TablebodyleftFinancialsTables"/>
              <w:jc w:val="right"/>
            </w:pPr>
            <w:r>
              <w:t>40,661</w:t>
            </w:r>
          </w:p>
        </w:tc>
        <w:tc>
          <w:tcPr>
            <w:tcW w:w="1304" w:type="dxa"/>
          </w:tcPr>
          <w:p w14:paraId="0216CFAE" w14:textId="77777777" w:rsidR="00B02873" w:rsidRDefault="00B02873" w:rsidP="00965FC3">
            <w:pPr>
              <w:pStyle w:val="TablebodyleftFinancialsTables"/>
              <w:jc w:val="right"/>
            </w:pPr>
            <w:r>
              <w:t>40,975</w:t>
            </w:r>
          </w:p>
        </w:tc>
        <w:tc>
          <w:tcPr>
            <w:tcW w:w="1304" w:type="dxa"/>
          </w:tcPr>
          <w:p w14:paraId="4029FEA2" w14:textId="77777777" w:rsidR="00B02873" w:rsidRDefault="00B02873" w:rsidP="00965FC3">
            <w:pPr>
              <w:pStyle w:val="TablebodyleftFinancialsTables"/>
              <w:jc w:val="right"/>
            </w:pPr>
            <w:r>
              <w:t>41,819</w:t>
            </w:r>
          </w:p>
        </w:tc>
      </w:tr>
      <w:tr w:rsidR="00B02873" w:rsidRPr="00B02873" w14:paraId="461BCA0C" w14:textId="77777777" w:rsidTr="00965FC3">
        <w:trPr>
          <w:trHeight w:val="60"/>
        </w:trPr>
        <w:tc>
          <w:tcPr>
            <w:tcW w:w="4422" w:type="dxa"/>
          </w:tcPr>
          <w:p w14:paraId="5C97EBD9" w14:textId="77777777" w:rsidR="00B02873" w:rsidRDefault="00B02873" w:rsidP="00965FC3">
            <w:pPr>
              <w:pStyle w:val="TablebodyleftFinancialsTables"/>
            </w:pPr>
            <w:r>
              <w:t>Simply Energy</w:t>
            </w:r>
          </w:p>
        </w:tc>
        <w:tc>
          <w:tcPr>
            <w:tcW w:w="1304" w:type="dxa"/>
          </w:tcPr>
          <w:p w14:paraId="4B3FC1B8" w14:textId="77777777" w:rsidR="00B02873" w:rsidRDefault="00B02873" w:rsidP="00965FC3">
            <w:pPr>
              <w:pStyle w:val="TablebodyleftFinancialsTables"/>
              <w:jc w:val="right"/>
            </w:pPr>
            <w:r>
              <w:t>38,848</w:t>
            </w:r>
          </w:p>
        </w:tc>
        <w:tc>
          <w:tcPr>
            <w:tcW w:w="1304" w:type="dxa"/>
          </w:tcPr>
          <w:p w14:paraId="67F77A2C" w14:textId="77777777" w:rsidR="00B02873" w:rsidRDefault="00B02873" w:rsidP="00965FC3">
            <w:pPr>
              <w:pStyle w:val="TablebodyleftFinancialsTables"/>
              <w:jc w:val="right"/>
            </w:pPr>
            <w:r>
              <w:t>37,011</w:t>
            </w:r>
          </w:p>
        </w:tc>
        <w:tc>
          <w:tcPr>
            <w:tcW w:w="1304" w:type="dxa"/>
          </w:tcPr>
          <w:p w14:paraId="1C16CB05" w14:textId="77777777" w:rsidR="00B02873" w:rsidRDefault="00B02873" w:rsidP="00965FC3">
            <w:pPr>
              <w:pStyle w:val="TablebodyleftFinancialsTables"/>
              <w:jc w:val="right"/>
            </w:pPr>
            <w:r>
              <w:t>36,014</w:t>
            </w:r>
          </w:p>
        </w:tc>
        <w:tc>
          <w:tcPr>
            <w:tcW w:w="1304" w:type="dxa"/>
          </w:tcPr>
          <w:p w14:paraId="31773AE9" w14:textId="77777777" w:rsidR="00B02873" w:rsidRDefault="00B02873" w:rsidP="00965FC3">
            <w:pPr>
              <w:pStyle w:val="TablebodyleftFinancialsTables"/>
              <w:jc w:val="right"/>
            </w:pPr>
            <w:r>
              <w:t>37,535</w:t>
            </w:r>
          </w:p>
        </w:tc>
      </w:tr>
      <w:tr w:rsidR="00B02873" w:rsidRPr="00B02873" w14:paraId="11C720B8" w14:textId="77777777" w:rsidTr="00965FC3">
        <w:trPr>
          <w:trHeight w:val="60"/>
        </w:trPr>
        <w:tc>
          <w:tcPr>
            <w:tcW w:w="4422" w:type="dxa"/>
          </w:tcPr>
          <w:p w14:paraId="3322FA30" w14:textId="77777777" w:rsidR="00B02873" w:rsidRDefault="00B02873" w:rsidP="00965FC3">
            <w:pPr>
              <w:pStyle w:val="TablebodyleftFinancialsTables"/>
            </w:pPr>
            <w:r>
              <w:t>Sumo Power</w:t>
            </w:r>
          </w:p>
        </w:tc>
        <w:tc>
          <w:tcPr>
            <w:tcW w:w="1304" w:type="dxa"/>
          </w:tcPr>
          <w:p w14:paraId="5FE4D662" w14:textId="77777777" w:rsidR="00B02873" w:rsidRDefault="00B02873" w:rsidP="00965FC3">
            <w:pPr>
              <w:pStyle w:val="TablebodyleftFinancialsTables"/>
              <w:jc w:val="right"/>
            </w:pPr>
            <w:r>
              <w:t>5,996</w:t>
            </w:r>
          </w:p>
        </w:tc>
        <w:tc>
          <w:tcPr>
            <w:tcW w:w="1304" w:type="dxa"/>
          </w:tcPr>
          <w:p w14:paraId="69014A5C" w14:textId="77777777" w:rsidR="00B02873" w:rsidRDefault="00B02873" w:rsidP="00965FC3">
            <w:pPr>
              <w:pStyle w:val="TablebodyleftFinancialsTables"/>
              <w:jc w:val="right"/>
            </w:pPr>
            <w:r>
              <w:t>7,204</w:t>
            </w:r>
          </w:p>
        </w:tc>
        <w:tc>
          <w:tcPr>
            <w:tcW w:w="1304" w:type="dxa"/>
          </w:tcPr>
          <w:p w14:paraId="718EA6AD" w14:textId="77777777" w:rsidR="00B02873" w:rsidRDefault="00B02873" w:rsidP="00965FC3">
            <w:pPr>
              <w:pStyle w:val="TablebodyleftFinancialsTables"/>
              <w:jc w:val="right"/>
            </w:pPr>
            <w:r>
              <w:t>8,005</w:t>
            </w:r>
          </w:p>
        </w:tc>
        <w:tc>
          <w:tcPr>
            <w:tcW w:w="1304" w:type="dxa"/>
          </w:tcPr>
          <w:p w14:paraId="089D3356" w14:textId="77777777" w:rsidR="00B02873" w:rsidRDefault="00B02873" w:rsidP="00965FC3">
            <w:pPr>
              <w:pStyle w:val="TablebodyleftFinancialsTables"/>
              <w:jc w:val="right"/>
            </w:pPr>
            <w:r>
              <w:t>9,021</w:t>
            </w:r>
          </w:p>
        </w:tc>
      </w:tr>
      <w:tr w:rsidR="00B02873" w:rsidRPr="00B02873" w14:paraId="7C407564" w14:textId="77777777" w:rsidTr="00965FC3">
        <w:trPr>
          <w:trHeight w:val="60"/>
        </w:trPr>
        <w:tc>
          <w:tcPr>
            <w:tcW w:w="4422" w:type="dxa"/>
          </w:tcPr>
          <w:p w14:paraId="1F3EE858" w14:textId="77777777" w:rsidR="00B02873" w:rsidRDefault="00B02873" w:rsidP="00965FC3">
            <w:pPr>
              <w:pStyle w:val="TablebodyleftFinancialsTables"/>
            </w:pPr>
            <w:r>
              <w:t>Tango Energy</w:t>
            </w:r>
          </w:p>
        </w:tc>
        <w:tc>
          <w:tcPr>
            <w:tcW w:w="1304" w:type="dxa"/>
          </w:tcPr>
          <w:p w14:paraId="4B6445F8" w14:textId="77777777" w:rsidR="00B02873" w:rsidRDefault="00B02873" w:rsidP="00965FC3">
            <w:pPr>
              <w:pStyle w:val="TablebodyleftFinancialsTables"/>
              <w:jc w:val="right"/>
            </w:pPr>
            <w:r>
              <w:t>22,238</w:t>
            </w:r>
          </w:p>
        </w:tc>
        <w:tc>
          <w:tcPr>
            <w:tcW w:w="1304" w:type="dxa"/>
          </w:tcPr>
          <w:p w14:paraId="60DD184E" w14:textId="77777777" w:rsidR="00B02873" w:rsidRDefault="00B02873" w:rsidP="00965FC3">
            <w:pPr>
              <w:pStyle w:val="TablebodyleftFinancialsTables"/>
              <w:jc w:val="right"/>
            </w:pPr>
            <w:r>
              <w:t>22,991</w:t>
            </w:r>
          </w:p>
        </w:tc>
        <w:tc>
          <w:tcPr>
            <w:tcW w:w="1304" w:type="dxa"/>
          </w:tcPr>
          <w:p w14:paraId="1CFA40AE" w14:textId="77777777" w:rsidR="00B02873" w:rsidRDefault="00B02873" w:rsidP="00965FC3">
            <w:pPr>
              <w:pStyle w:val="TablebodyleftFinancialsTables"/>
              <w:jc w:val="right"/>
            </w:pPr>
            <w:r>
              <w:t>23,001</w:t>
            </w:r>
          </w:p>
        </w:tc>
        <w:tc>
          <w:tcPr>
            <w:tcW w:w="1304" w:type="dxa"/>
          </w:tcPr>
          <w:p w14:paraId="47900C9B" w14:textId="77777777" w:rsidR="00B02873" w:rsidRDefault="00B02873" w:rsidP="00965FC3">
            <w:pPr>
              <w:pStyle w:val="TablebodyleftFinancialsTables"/>
              <w:jc w:val="right"/>
            </w:pPr>
            <w:r>
              <w:t>23,552</w:t>
            </w:r>
          </w:p>
        </w:tc>
      </w:tr>
      <w:tr w:rsidR="00B02873" w:rsidRPr="00B02873" w14:paraId="5CA766C4" w14:textId="77777777" w:rsidTr="00965FC3">
        <w:trPr>
          <w:trHeight w:val="60"/>
        </w:trPr>
        <w:tc>
          <w:tcPr>
            <w:tcW w:w="4422" w:type="dxa"/>
          </w:tcPr>
          <w:p w14:paraId="4FE46A6C" w14:textId="77777777" w:rsidR="00B02873" w:rsidRDefault="00B02873" w:rsidP="00965FC3">
            <w:pPr>
              <w:pStyle w:val="TablebodyleftFinancialsTables"/>
            </w:pPr>
            <w:r>
              <w:t xml:space="preserve">TOTAL </w:t>
            </w:r>
          </w:p>
        </w:tc>
        <w:tc>
          <w:tcPr>
            <w:tcW w:w="1304" w:type="dxa"/>
          </w:tcPr>
          <w:p w14:paraId="08D39D0F" w14:textId="77777777" w:rsidR="00B02873" w:rsidRDefault="00B02873" w:rsidP="00965FC3">
            <w:pPr>
              <w:pStyle w:val="TablebodyleftFinancialsTables"/>
              <w:jc w:val="right"/>
            </w:pPr>
            <w:r>
              <w:t>461,598</w:t>
            </w:r>
          </w:p>
        </w:tc>
        <w:tc>
          <w:tcPr>
            <w:tcW w:w="1304" w:type="dxa"/>
          </w:tcPr>
          <w:p w14:paraId="393D0A89" w14:textId="77777777" w:rsidR="00B02873" w:rsidRDefault="00B02873" w:rsidP="00965FC3">
            <w:pPr>
              <w:pStyle w:val="TablebodyleftFinancialsTables"/>
              <w:jc w:val="right"/>
            </w:pPr>
            <w:r>
              <w:t>470,568</w:t>
            </w:r>
          </w:p>
        </w:tc>
        <w:tc>
          <w:tcPr>
            <w:tcW w:w="1304" w:type="dxa"/>
          </w:tcPr>
          <w:p w14:paraId="75CA0B8C" w14:textId="77777777" w:rsidR="00B02873" w:rsidRDefault="00B02873" w:rsidP="00965FC3">
            <w:pPr>
              <w:pStyle w:val="TablebodyleftFinancialsTables"/>
              <w:jc w:val="right"/>
            </w:pPr>
            <w:r>
              <w:t>474,158</w:t>
            </w:r>
          </w:p>
        </w:tc>
        <w:tc>
          <w:tcPr>
            <w:tcW w:w="1304" w:type="dxa"/>
          </w:tcPr>
          <w:p w14:paraId="6329FBA2" w14:textId="77777777" w:rsidR="00B02873" w:rsidRDefault="00B02873" w:rsidP="00965FC3">
            <w:pPr>
              <w:pStyle w:val="TablebodyleftFinancialsTables"/>
              <w:jc w:val="right"/>
            </w:pPr>
            <w:r>
              <w:t>488,413</w:t>
            </w:r>
          </w:p>
        </w:tc>
      </w:tr>
    </w:tbl>
    <w:p w14:paraId="1D1E6325" w14:textId="77777777" w:rsidR="00B02873" w:rsidRDefault="00B02873" w:rsidP="00FE198A"/>
    <w:p w14:paraId="4E679082" w14:textId="5A338A1D" w:rsidR="00B02873" w:rsidRDefault="00B02873" w:rsidP="00965FC3">
      <w:pPr>
        <w:pStyle w:val="TabletitleTables"/>
        <w:rPr>
          <w:sz w:val="18"/>
          <w:szCs w:val="18"/>
        </w:rPr>
      </w:pPr>
      <w:r>
        <w:lastRenderedPageBreak/>
        <w:t>Total amount generated and purchased from these systems (kWh)</w:t>
      </w:r>
      <w:r w:rsidR="00012C04">
        <w:t xml:space="preserve"> </w:t>
      </w:r>
    </w:p>
    <w:tbl>
      <w:tblPr>
        <w:tblStyle w:val="TableGrid"/>
        <w:tblW w:w="0" w:type="auto"/>
        <w:tblLayout w:type="fixed"/>
        <w:tblLook w:val="0020" w:firstRow="1" w:lastRow="0" w:firstColumn="0" w:lastColumn="0" w:noHBand="0" w:noVBand="0"/>
      </w:tblPr>
      <w:tblGrid>
        <w:gridCol w:w="4422"/>
        <w:gridCol w:w="1304"/>
        <w:gridCol w:w="1304"/>
        <w:gridCol w:w="1304"/>
        <w:gridCol w:w="1304"/>
      </w:tblGrid>
      <w:tr w:rsidR="00B02873" w:rsidRPr="00B02873" w14:paraId="0886F8F0" w14:textId="77777777" w:rsidTr="00965FC3">
        <w:trPr>
          <w:cnfStyle w:val="100000000000" w:firstRow="1" w:lastRow="0" w:firstColumn="0" w:lastColumn="0" w:oddVBand="0" w:evenVBand="0" w:oddHBand="0" w:evenHBand="0" w:firstRowFirstColumn="0" w:firstRowLastColumn="0" w:lastRowFirstColumn="0" w:lastRowLastColumn="0"/>
          <w:trHeight w:val="60"/>
        </w:trPr>
        <w:tc>
          <w:tcPr>
            <w:tcW w:w="4422" w:type="dxa"/>
          </w:tcPr>
          <w:p w14:paraId="761FB2D9" w14:textId="77777777" w:rsidR="00B02873" w:rsidRDefault="00B02873" w:rsidP="00965FC3">
            <w:pPr>
              <w:pStyle w:val="TableheadingleftFinancialsTables"/>
            </w:pPr>
            <w:r>
              <w:t xml:space="preserve">Quarter ending </w:t>
            </w:r>
          </w:p>
        </w:tc>
        <w:tc>
          <w:tcPr>
            <w:tcW w:w="1304" w:type="dxa"/>
          </w:tcPr>
          <w:p w14:paraId="391D370D" w14:textId="77777777" w:rsidR="00B02873" w:rsidRDefault="00B02873" w:rsidP="00965FC3">
            <w:pPr>
              <w:pStyle w:val="TableheadingleftFinancialsTables"/>
              <w:jc w:val="right"/>
            </w:pPr>
            <w:r>
              <w:t>Sep-21</w:t>
            </w:r>
          </w:p>
        </w:tc>
        <w:tc>
          <w:tcPr>
            <w:tcW w:w="1304" w:type="dxa"/>
          </w:tcPr>
          <w:p w14:paraId="30D5D041" w14:textId="77777777" w:rsidR="00B02873" w:rsidRDefault="00B02873" w:rsidP="00965FC3">
            <w:pPr>
              <w:pStyle w:val="TableheadingleftFinancialsTables"/>
              <w:jc w:val="right"/>
            </w:pPr>
            <w:r>
              <w:t>Dec-21</w:t>
            </w:r>
          </w:p>
        </w:tc>
        <w:tc>
          <w:tcPr>
            <w:tcW w:w="1304" w:type="dxa"/>
          </w:tcPr>
          <w:p w14:paraId="15A321FC" w14:textId="77777777" w:rsidR="00B02873" w:rsidRDefault="00B02873" w:rsidP="00965FC3">
            <w:pPr>
              <w:pStyle w:val="TableheadingleftFinancialsTables"/>
              <w:jc w:val="right"/>
            </w:pPr>
            <w:r>
              <w:t>Mar-22</w:t>
            </w:r>
          </w:p>
        </w:tc>
        <w:tc>
          <w:tcPr>
            <w:tcW w:w="1304" w:type="dxa"/>
          </w:tcPr>
          <w:p w14:paraId="2E5B8841" w14:textId="77777777" w:rsidR="00B02873" w:rsidRDefault="00B02873" w:rsidP="00965FC3">
            <w:pPr>
              <w:pStyle w:val="TableheadingleftFinancialsTables"/>
              <w:jc w:val="right"/>
            </w:pPr>
            <w:r>
              <w:t>Jun-22</w:t>
            </w:r>
          </w:p>
        </w:tc>
      </w:tr>
      <w:tr w:rsidR="00B02873" w:rsidRPr="00B02873" w14:paraId="03C6ED24" w14:textId="77777777" w:rsidTr="00965FC3">
        <w:trPr>
          <w:trHeight w:val="60"/>
        </w:trPr>
        <w:tc>
          <w:tcPr>
            <w:tcW w:w="4422" w:type="dxa"/>
          </w:tcPr>
          <w:p w14:paraId="3D08C210" w14:textId="77777777" w:rsidR="00B02873" w:rsidRDefault="00B02873" w:rsidP="00965FC3">
            <w:pPr>
              <w:pStyle w:val="TablebodyleftFinancialsTables"/>
            </w:pPr>
            <w:r>
              <w:t>1st Energy</w:t>
            </w:r>
          </w:p>
        </w:tc>
        <w:tc>
          <w:tcPr>
            <w:tcW w:w="1304" w:type="dxa"/>
          </w:tcPr>
          <w:p w14:paraId="1409C678" w14:textId="77777777" w:rsidR="00B02873" w:rsidRDefault="00B02873" w:rsidP="00965FC3">
            <w:pPr>
              <w:pStyle w:val="TablebodyleftFinancialsTables"/>
              <w:jc w:val="right"/>
            </w:pPr>
            <w:r>
              <w:t>2,516,423</w:t>
            </w:r>
          </w:p>
        </w:tc>
        <w:tc>
          <w:tcPr>
            <w:tcW w:w="1304" w:type="dxa"/>
          </w:tcPr>
          <w:p w14:paraId="560F9739" w14:textId="77777777" w:rsidR="00B02873" w:rsidRDefault="00B02873" w:rsidP="00965FC3">
            <w:pPr>
              <w:pStyle w:val="TablebodyleftFinancialsTables"/>
              <w:jc w:val="right"/>
            </w:pPr>
            <w:r>
              <w:t>5,265,070</w:t>
            </w:r>
          </w:p>
        </w:tc>
        <w:tc>
          <w:tcPr>
            <w:tcW w:w="1304" w:type="dxa"/>
          </w:tcPr>
          <w:p w14:paraId="2F29574D" w14:textId="77777777" w:rsidR="00B02873" w:rsidRDefault="00B02873" w:rsidP="00965FC3">
            <w:pPr>
              <w:pStyle w:val="TablebodyleftFinancialsTables"/>
              <w:jc w:val="right"/>
            </w:pPr>
            <w:r>
              <w:t>6,458,856</w:t>
            </w:r>
          </w:p>
        </w:tc>
        <w:tc>
          <w:tcPr>
            <w:tcW w:w="1304" w:type="dxa"/>
          </w:tcPr>
          <w:p w14:paraId="6006E689" w14:textId="77777777" w:rsidR="00B02873" w:rsidRDefault="00B02873" w:rsidP="00965FC3">
            <w:pPr>
              <w:pStyle w:val="TablebodyleftFinancialsTables"/>
              <w:jc w:val="right"/>
            </w:pPr>
            <w:r>
              <w:t>4,016,097</w:t>
            </w:r>
          </w:p>
        </w:tc>
      </w:tr>
      <w:tr w:rsidR="00B02873" w:rsidRPr="00B02873" w14:paraId="0363B2A9" w14:textId="77777777" w:rsidTr="00965FC3">
        <w:trPr>
          <w:trHeight w:val="60"/>
        </w:trPr>
        <w:tc>
          <w:tcPr>
            <w:tcW w:w="4422" w:type="dxa"/>
          </w:tcPr>
          <w:p w14:paraId="0184299E" w14:textId="77777777" w:rsidR="00B02873" w:rsidRDefault="00B02873" w:rsidP="00965FC3">
            <w:pPr>
              <w:pStyle w:val="TablebodyleftFinancialsTables"/>
            </w:pPr>
            <w:r>
              <w:t>AGL</w:t>
            </w:r>
          </w:p>
        </w:tc>
        <w:tc>
          <w:tcPr>
            <w:tcW w:w="1304" w:type="dxa"/>
          </w:tcPr>
          <w:p w14:paraId="463D33F7" w14:textId="77777777" w:rsidR="00B02873" w:rsidRDefault="00B02873" w:rsidP="00965FC3">
            <w:pPr>
              <w:pStyle w:val="TablebodyleftFinancialsTables"/>
              <w:jc w:val="right"/>
            </w:pPr>
            <w:r>
              <w:t>51,736,093</w:t>
            </w:r>
          </w:p>
        </w:tc>
        <w:tc>
          <w:tcPr>
            <w:tcW w:w="1304" w:type="dxa"/>
          </w:tcPr>
          <w:p w14:paraId="34FF72F5" w14:textId="77777777" w:rsidR="00B02873" w:rsidRDefault="00B02873" w:rsidP="00965FC3">
            <w:pPr>
              <w:pStyle w:val="TablebodyleftFinancialsTables"/>
              <w:jc w:val="right"/>
            </w:pPr>
            <w:r>
              <w:t>109,159,271</w:t>
            </w:r>
          </w:p>
        </w:tc>
        <w:tc>
          <w:tcPr>
            <w:tcW w:w="1304" w:type="dxa"/>
          </w:tcPr>
          <w:p w14:paraId="46E9F958" w14:textId="77777777" w:rsidR="00B02873" w:rsidRDefault="00B02873" w:rsidP="00965FC3">
            <w:pPr>
              <w:pStyle w:val="TablebodyleftFinancialsTables"/>
              <w:jc w:val="right"/>
            </w:pPr>
            <w:r>
              <w:t>130,019,785</w:t>
            </w:r>
          </w:p>
        </w:tc>
        <w:tc>
          <w:tcPr>
            <w:tcW w:w="1304" w:type="dxa"/>
          </w:tcPr>
          <w:p w14:paraId="190F84BB" w14:textId="77777777" w:rsidR="00B02873" w:rsidRDefault="00B02873" w:rsidP="00965FC3">
            <w:pPr>
              <w:pStyle w:val="TablebodyleftFinancialsTables"/>
              <w:jc w:val="right"/>
            </w:pPr>
            <w:r>
              <w:t>72,793,342</w:t>
            </w:r>
          </w:p>
        </w:tc>
      </w:tr>
      <w:tr w:rsidR="00B02873" w:rsidRPr="00B02873" w14:paraId="68ADD24F" w14:textId="77777777" w:rsidTr="00965FC3">
        <w:trPr>
          <w:trHeight w:val="60"/>
        </w:trPr>
        <w:tc>
          <w:tcPr>
            <w:tcW w:w="4422" w:type="dxa"/>
          </w:tcPr>
          <w:p w14:paraId="22C99DC4" w14:textId="77777777" w:rsidR="00B02873" w:rsidRDefault="00B02873" w:rsidP="00965FC3">
            <w:pPr>
              <w:pStyle w:val="TablebodyleftFinancialsTables"/>
            </w:pPr>
            <w:r>
              <w:t>Alinta Energy</w:t>
            </w:r>
          </w:p>
        </w:tc>
        <w:tc>
          <w:tcPr>
            <w:tcW w:w="1304" w:type="dxa"/>
          </w:tcPr>
          <w:p w14:paraId="2BB62DAA" w14:textId="77777777" w:rsidR="00B02873" w:rsidRDefault="00B02873" w:rsidP="00965FC3">
            <w:pPr>
              <w:pStyle w:val="TablebodyleftFinancialsTables"/>
              <w:jc w:val="right"/>
            </w:pPr>
            <w:r>
              <w:t>12,485,436</w:t>
            </w:r>
          </w:p>
        </w:tc>
        <w:tc>
          <w:tcPr>
            <w:tcW w:w="1304" w:type="dxa"/>
          </w:tcPr>
          <w:p w14:paraId="070294D9" w14:textId="77777777" w:rsidR="00B02873" w:rsidRDefault="00B02873" w:rsidP="00965FC3">
            <w:pPr>
              <w:pStyle w:val="TablebodyleftFinancialsTables"/>
              <w:jc w:val="right"/>
            </w:pPr>
            <w:r>
              <w:t>29,081,391</w:t>
            </w:r>
          </w:p>
        </w:tc>
        <w:tc>
          <w:tcPr>
            <w:tcW w:w="1304" w:type="dxa"/>
          </w:tcPr>
          <w:p w14:paraId="09150441" w14:textId="77777777" w:rsidR="00B02873" w:rsidRDefault="00B02873" w:rsidP="00965FC3">
            <w:pPr>
              <w:pStyle w:val="TablebodyleftFinancialsTables"/>
              <w:jc w:val="right"/>
            </w:pPr>
            <w:r>
              <w:t>39,484,800</w:t>
            </w:r>
          </w:p>
        </w:tc>
        <w:tc>
          <w:tcPr>
            <w:tcW w:w="1304" w:type="dxa"/>
          </w:tcPr>
          <w:p w14:paraId="0650E6AB" w14:textId="77777777" w:rsidR="00B02873" w:rsidRDefault="00B02873" w:rsidP="00965FC3">
            <w:pPr>
              <w:pStyle w:val="TablebodyleftFinancialsTables"/>
              <w:jc w:val="right"/>
            </w:pPr>
            <w:r>
              <w:t>24,973,372</w:t>
            </w:r>
          </w:p>
        </w:tc>
      </w:tr>
      <w:tr w:rsidR="00B02873" w:rsidRPr="00B02873" w14:paraId="3B5A90E2" w14:textId="77777777" w:rsidTr="00965FC3">
        <w:trPr>
          <w:trHeight w:val="60"/>
        </w:trPr>
        <w:tc>
          <w:tcPr>
            <w:tcW w:w="4422" w:type="dxa"/>
          </w:tcPr>
          <w:p w14:paraId="6F6A16A2" w14:textId="77777777" w:rsidR="00B02873" w:rsidRDefault="00B02873" w:rsidP="00965FC3">
            <w:pPr>
              <w:pStyle w:val="TablebodyleftFinancialsTables"/>
            </w:pPr>
            <w:r>
              <w:t>Blue NRG</w:t>
            </w:r>
          </w:p>
        </w:tc>
        <w:tc>
          <w:tcPr>
            <w:tcW w:w="1304" w:type="dxa"/>
          </w:tcPr>
          <w:p w14:paraId="53F3414E" w14:textId="77777777" w:rsidR="00B02873" w:rsidRDefault="00B02873" w:rsidP="00965FC3">
            <w:pPr>
              <w:pStyle w:val="TablebodyleftFinancialsTables"/>
              <w:jc w:val="right"/>
            </w:pPr>
            <w:r>
              <w:t>1,023,437</w:t>
            </w:r>
          </w:p>
        </w:tc>
        <w:tc>
          <w:tcPr>
            <w:tcW w:w="1304" w:type="dxa"/>
          </w:tcPr>
          <w:p w14:paraId="361D424D" w14:textId="77777777" w:rsidR="00B02873" w:rsidRDefault="00B02873" w:rsidP="00965FC3">
            <w:pPr>
              <w:pStyle w:val="TablebodyleftFinancialsTables"/>
              <w:jc w:val="right"/>
            </w:pPr>
            <w:r>
              <w:t>2,468,183</w:t>
            </w:r>
          </w:p>
        </w:tc>
        <w:tc>
          <w:tcPr>
            <w:tcW w:w="1304" w:type="dxa"/>
          </w:tcPr>
          <w:p w14:paraId="1B854C35" w14:textId="77777777" w:rsidR="00B02873" w:rsidRDefault="00B02873" w:rsidP="00965FC3">
            <w:pPr>
              <w:pStyle w:val="TablebodyleftFinancialsTables"/>
              <w:jc w:val="right"/>
            </w:pPr>
            <w:r>
              <w:t>2,272,261</w:t>
            </w:r>
          </w:p>
        </w:tc>
        <w:tc>
          <w:tcPr>
            <w:tcW w:w="1304" w:type="dxa"/>
          </w:tcPr>
          <w:p w14:paraId="63C944A0" w14:textId="77777777" w:rsidR="00B02873" w:rsidRDefault="00B02873" w:rsidP="00965FC3">
            <w:pPr>
              <w:pStyle w:val="TablebodyleftFinancialsTables"/>
              <w:jc w:val="right"/>
            </w:pPr>
            <w:r>
              <w:t>894,109</w:t>
            </w:r>
          </w:p>
        </w:tc>
      </w:tr>
      <w:tr w:rsidR="00B02873" w:rsidRPr="00B02873" w14:paraId="341B51C0" w14:textId="77777777" w:rsidTr="00965FC3">
        <w:trPr>
          <w:trHeight w:val="60"/>
        </w:trPr>
        <w:tc>
          <w:tcPr>
            <w:tcW w:w="4422" w:type="dxa"/>
          </w:tcPr>
          <w:p w14:paraId="1C74F104" w14:textId="77777777" w:rsidR="00B02873" w:rsidRDefault="00B02873" w:rsidP="00965FC3">
            <w:pPr>
              <w:pStyle w:val="TablebodyleftFinancialsTables"/>
            </w:pPr>
            <w:r>
              <w:t>Elysian Energy</w:t>
            </w:r>
          </w:p>
        </w:tc>
        <w:tc>
          <w:tcPr>
            <w:tcW w:w="1304" w:type="dxa"/>
          </w:tcPr>
          <w:p w14:paraId="4D4EE1CC" w14:textId="77777777" w:rsidR="00B02873" w:rsidRDefault="00B02873" w:rsidP="00965FC3">
            <w:pPr>
              <w:pStyle w:val="TablebodyleftFinancialsTables"/>
              <w:jc w:val="right"/>
            </w:pPr>
            <w:r>
              <w:t>3,693,370</w:t>
            </w:r>
          </w:p>
        </w:tc>
        <w:tc>
          <w:tcPr>
            <w:tcW w:w="1304" w:type="dxa"/>
          </w:tcPr>
          <w:p w14:paraId="6639238D" w14:textId="77777777" w:rsidR="00B02873" w:rsidRDefault="00B02873" w:rsidP="00965FC3">
            <w:pPr>
              <w:pStyle w:val="TablebodyleftFinancialsTables"/>
              <w:jc w:val="right"/>
            </w:pPr>
            <w:r>
              <w:t>3,087,698</w:t>
            </w:r>
          </w:p>
        </w:tc>
        <w:tc>
          <w:tcPr>
            <w:tcW w:w="1304" w:type="dxa"/>
          </w:tcPr>
          <w:p w14:paraId="3915CD43" w14:textId="77777777" w:rsidR="00B02873" w:rsidRDefault="00B02873" w:rsidP="00965FC3">
            <w:pPr>
              <w:pStyle w:val="TablebodyleftFinancialsTables"/>
              <w:jc w:val="right"/>
            </w:pPr>
            <w:r>
              <w:t>3,963,197</w:t>
            </w:r>
          </w:p>
        </w:tc>
        <w:tc>
          <w:tcPr>
            <w:tcW w:w="1304" w:type="dxa"/>
          </w:tcPr>
          <w:p w14:paraId="1470528B" w14:textId="77777777" w:rsidR="00B02873" w:rsidRDefault="00B02873" w:rsidP="00965FC3">
            <w:pPr>
              <w:pStyle w:val="TablebodyleftFinancialsTables"/>
              <w:jc w:val="right"/>
            </w:pPr>
            <w:r>
              <w:t>1,821,582</w:t>
            </w:r>
          </w:p>
        </w:tc>
      </w:tr>
      <w:tr w:rsidR="00B02873" w:rsidRPr="00B02873" w14:paraId="0637191A" w14:textId="77777777" w:rsidTr="00965FC3">
        <w:trPr>
          <w:trHeight w:val="60"/>
        </w:trPr>
        <w:tc>
          <w:tcPr>
            <w:tcW w:w="4422" w:type="dxa"/>
          </w:tcPr>
          <w:p w14:paraId="171BEF85" w14:textId="77777777" w:rsidR="00B02873" w:rsidRDefault="00B02873" w:rsidP="00965FC3">
            <w:pPr>
              <w:pStyle w:val="TablebodyleftFinancialsTables"/>
            </w:pPr>
            <w:r>
              <w:t>EnergyAustralia</w:t>
            </w:r>
          </w:p>
        </w:tc>
        <w:tc>
          <w:tcPr>
            <w:tcW w:w="1304" w:type="dxa"/>
          </w:tcPr>
          <w:p w14:paraId="25C080B5" w14:textId="77777777" w:rsidR="00B02873" w:rsidRDefault="00B02873" w:rsidP="00965FC3">
            <w:pPr>
              <w:pStyle w:val="TablebodyleftFinancialsTables"/>
              <w:jc w:val="right"/>
            </w:pPr>
            <w:r>
              <w:t>38,002,673</w:t>
            </w:r>
          </w:p>
        </w:tc>
        <w:tc>
          <w:tcPr>
            <w:tcW w:w="1304" w:type="dxa"/>
          </w:tcPr>
          <w:p w14:paraId="65166CDA" w14:textId="77777777" w:rsidR="00B02873" w:rsidRDefault="00B02873" w:rsidP="00965FC3">
            <w:pPr>
              <w:pStyle w:val="TablebodyleftFinancialsTables"/>
              <w:jc w:val="right"/>
            </w:pPr>
            <w:r>
              <w:t>97,629,912</w:t>
            </w:r>
          </w:p>
        </w:tc>
        <w:tc>
          <w:tcPr>
            <w:tcW w:w="1304" w:type="dxa"/>
          </w:tcPr>
          <w:p w14:paraId="285AE3E1" w14:textId="77777777" w:rsidR="00B02873" w:rsidRDefault="00B02873" w:rsidP="00965FC3">
            <w:pPr>
              <w:pStyle w:val="TablebodyleftFinancialsTables"/>
              <w:jc w:val="right"/>
            </w:pPr>
            <w:r>
              <w:t>98,863,485</w:t>
            </w:r>
          </w:p>
        </w:tc>
        <w:tc>
          <w:tcPr>
            <w:tcW w:w="1304" w:type="dxa"/>
          </w:tcPr>
          <w:p w14:paraId="41E4EBCE" w14:textId="77777777" w:rsidR="00B02873" w:rsidRDefault="00B02873" w:rsidP="00965FC3">
            <w:pPr>
              <w:pStyle w:val="TablebodyleftFinancialsTables"/>
              <w:jc w:val="right"/>
            </w:pPr>
            <w:r>
              <w:t>42,112,583</w:t>
            </w:r>
          </w:p>
        </w:tc>
      </w:tr>
      <w:tr w:rsidR="00B02873" w:rsidRPr="00B02873" w14:paraId="55DC2B13" w14:textId="77777777" w:rsidTr="00965FC3">
        <w:trPr>
          <w:trHeight w:val="60"/>
        </w:trPr>
        <w:tc>
          <w:tcPr>
            <w:tcW w:w="4422" w:type="dxa"/>
          </w:tcPr>
          <w:p w14:paraId="0ACAB711" w14:textId="77777777" w:rsidR="00B02873" w:rsidRDefault="00B02873" w:rsidP="00965FC3">
            <w:pPr>
              <w:pStyle w:val="TablebodyleftFinancialsTables"/>
            </w:pPr>
            <w:r>
              <w:t>GloBird Energy</w:t>
            </w:r>
          </w:p>
        </w:tc>
        <w:tc>
          <w:tcPr>
            <w:tcW w:w="1304" w:type="dxa"/>
          </w:tcPr>
          <w:p w14:paraId="1DDDB8A2" w14:textId="77777777" w:rsidR="00B02873" w:rsidRDefault="00B02873" w:rsidP="00965FC3">
            <w:pPr>
              <w:pStyle w:val="TablebodyleftFinancialsTables"/>
              <w:jc w:val="right"/>
            </w:pPr>
            <w:r>
              <w:t>5,578,063</w:t>
            </w:r>
          </w:p>
        </w:tc>
        <w:tc>
          <w:tcPr>
            <w:tcW w:w="1304" w:type="dxa"/>
          </w:tcPr>
          <w:p w14:paraId="5E00CDD5" w14:textId="77777777" w:rsidR="00B02873" w:rsidRDefault="00B02873" w:rsidP="00965FC3">
            <w:pPr>
              <w:pStyle w:val="TablebodyleftFinancialsTables"/>
              <w:jc w:val="right"/>
            </w:pPr>
            <w:r>
              <w:t>11,627,912</w:t>
            </w:r>
          </w:p>
        </w:tc>
        <w:tc>
          <w:tcPr>
            <w:tcW w:w="1304" w:type="dxa"/>
          </w:tcPr>
          <w:p w14:paraId="5FE539F2" w14:textId="77777777" w:rsidR="00B02873" w:rsidRDefault="00B02873" w:rsidP="00965FC3">
            <w:pPr>
              <w:pStyle w:val="TablebodyleftFinancialsTables"/>
              <w:jc w:val="right"/>
            </w:pPr>
            <w:r>
              <w:t>14,212,770</w:t>
            </w:r>
          </w:p>
        </w:tc>
        <w:tc>
          <w:tcPr>
            <w:tcW w:w="1304" w:type="dxa"/>
          </w:tcPr>
          <w:p w14:paraId="77ECE362" w14:textId="77777777" w:rsidR="00B02873" w:rsidRDefault="00B02873" w:rsidP="00965FC3">
            <w:pPr>
              <w:pStyle w:val="TablebodyleftFinancialsTables"/>
              <w:jc w:val="right"/>
            </w:pPr>
            <w:r>
              <w:t>6,403,370</w:t>
            </w:r>
          </w:p>
        </w:tc>
      </w:tr>
      <w:tr w:rsidR="00B02873" w:rsidRPr="00B02873" w14:paraId="2D179B93" w14:textId="77777777" w:rsidTr="00965FC3">
        <w:trPr>
          <w:trHeight w:val="60"/>
        </w:trPr>
        <w:tc>
          <w:tcPr>
            <w:tcW w:w="4422" w:type="dxa"/>
          </w:tcPr>
          <w:p w14:paraId="7A6D5722" w14:textId="77777777" w:rsidR="00B02873" w:rsidRDefault="00B02873" w:rsidP="00965FC3">
            <w:pPr>
              <w:pStyle w:val="TablebodyleftFinancialsTables"/>
            </w:pPr>
            <w:r>
              <w:t>Lumo Energy</w:t>
            </w:r>
          </w:p>
        </w:tc>
        <w:tc>
          <w:tcPr>
            <w:tcW w:w="1304" w:type="dxa"/>
          </w:tcPr>
          <w:p w14:paraId="4FB4AE62" w14:textId="77777777" w:rsidR="00B02873" w:rsidRDefault="00B02873" w:rsidP="00965FC3">
            <w:pPr>
              <w:pStyle w:val="TablebodyleftFinancialsTables"/>
              <w:jc w:val="right"/>
            </w:pPr>
            <w:r>
              <w:t>12,520,643</w:t>
            </w:r>
          </w:p>
        </w:tc>
        <w:tc>
          <w:tcPr>
            <w:tcW w:w="1304" w:type="dxa"/>
          </w:tcPr>
          <w:p w14:paraId="6192C954" w14:textId="77777777" w:rsidR="00B02873" w:rsidRDefault="00B02873" w:rsidP="00965FC3">
            <w:pPr>
              <w:pStyle w:val="TablebodyleftFinancialsTables"/>
              <w:jc w:val="right"/>
            </w:pPr>
            <w:r>
              <w:t>28,433,544</w:t>
            </w:r>
          </w:p>
        </w:tc>
        <w:tc>
          <w:tcPr>
            <w:tcW w:w="1304" w:type="dxa"/>
          </w:tcPr>
          <w:p w14:paraId="574292A7" w14:textId="77777777" w:rsidR="00B02873" w:rsidRDefault="00B02873" w:rsidP="00965FC3">
            <w:pPr>
              <w:pStyle w:val="TablebodyleftFinancialsTables"/>
              <w:jc w:val="right"/>
            </w:pPr>
            <w:r>
              <w:t>34,094,888</w:t>
            </w:r>
          </w:p>
        </w:tc>
        <w:tc>
          <w:tcPr>
            <w:tcW w:w="1304" w:type="dxa"/>
          </w:tcPr>
          <w:p w14:paraId="3000E32A" w14:textId="77777777" w:rsidR="00B02873" w:rsidRDefault="00B02873" w:rsidP="00965FC3">
            <w:pPr>
              <w:pStyle w:val="TablebodyleftFinancialsTables"/>
              <w:jc w:val="right"/>
            </w:pPr>
            <w:r>
              <w:t>18,063,869</w:t>
            </w:r>
          </w:p>
        </w:tc>
      </w:tr>
      <w:tr w:rsidR="00B02873" w:rsidRPr="00B02873" w14:paraId="6FF9F602" w14:textId="77777777" w:rsidTr="00965FC3">
        <w:trPr>
          <w:trHeight w:val="60"/>
        </w:trPr>
        <w:tc>
          <w:tcPr>
            <w:tcW w:w="4422" w:type="dxa"/>
          </w:tcPr>
          <w:p w14:paraId="7DB81DA8" w14:textId="77777777" w:rsidR="00B02873" w:rsidRDefault="00B02873" w:rsidP="00965FC3">
            <w:pPr>
              <w:pStyle w:val="TablebodyleftFinancialsTables"/>
            </w:pPr>
            <w:r>
              <w:t xml:space="preserve">M2 Energy </w:t>
            </w:r>
          </w:p>
        </w:tc>
        <w:tc>
          <w:tcPr>
            <w:tcW w:w="1304" w:type="dxa"/>
          </w:tcPr>
          <w:p w14:paraId="1B56AC45" w14:textId="77777777" w:rsidR="00B02873" w:rsidRDefault="00B02873" w:rsidP="00965FC3">
            <w:pPr>
              <w:pStyle w:val="TablebodyleftFinancialsTables"/>
              <w:jc w:val="right"/>
            </w:pPr>
            <w:r>
              <w:t>4,143,946</w:t>
            </w:r>
          </w:p>
        </w:tc>
        <w:tc>
          <w:tcPr>
            <w:tcW w:w="1304" w:type="dxa"/>
          </w:tcPr>
          <w:p w14:paraId="671B9ED1" w14:textId="77777777" w:rsidR="00B02873" w:rsidRDefault="00B02873" w:rsidP="00965FC3">
            <w:pPr>
              <w:pStyle w:val="TablebodyleftFinancialsTables"/>
              <w:jc w:val="right"/>
            </w:pPr>
            <w:r>
              <w:t>6,375,843</w:t>
            </w:r>
          </w:p>
        </w:tc>
        <w:tc>
          <w:tcPr>
            <w:tcW w:w="1304" w:type="dxa"/>
          </w:tcPr>
          <w:p w14:paraId="29A8AA45" w14:textId="77777777" w:rsidR="00B02873" w:rsidRDefault="00B02873" w:rsidP="00965FC3">
            <w:pPr>
              <w:pStyle w:val="TablebodyleftFinancialsTables"/>
              <w:jc w:val="right"/>
            </w:pPr>
            <w:r>
              <w:t>15,476,999</w:t>
            </w:r>
          </w:p>
        </w:tc>
        <w:tc>
          <w:tcPr>
            <w:tcW w:w="1304" w:type="dxa"/>
          </w:tcPr>
          <w:p w14:paraId="4698D396" w14:textId="77777777" w:rsidR="00B02873" w:rsidRDefault="00B02873" w:rsidP="00965FC3">
            <w:pPr>
              <w:pStyle w:val="TablebodyleftFinancialsTables"/>
              <w:jc w:val="right"/>
            </w:pPr>
            <w:r>
              <w:t>10,827,691</w:t>
            </w:r>
          </w:p>
        </w:tc>
      </w:tr>
      <w:tr w:rsidR="00B02873" w:rsidRPr="00B02873" w14:paraId="6A7A2FF2" w14:textId="77777777" w:rsidTr="00965FC3">
        <w:trPr>
          <w:trHeight w:val="60"/>
        </w:trPr>
        <w:tc>
          <w:tcPr>
            <w:tcW w:w="4422" w:type="dxa"/>
          </w:tcPr>
          <w:p w14:paraId="635FA6BB" w14:textId="77777777" w:rsidR="00B02873" w:rsidRDefault="00B02873" w:rsidP="00965FC3">
            <w:pPr>
              <w:pStyle w:val="TablebodyleftFinancialsTables"/>
            </w:pPr>
            <w:r>
              <w:t>Momentum Energy</w:t>
            </w:r>
          </w:p>
        </w:tc>
        <w:tc>
          <w:tcPr>
            <w:tcW w:w="1304" w:type="dxa"/>
          </w:tcPr>
          <w:p w14:paraId="678C4573" w14:textId="77777777" w:rsidR="00B02873" w:rsidRDefault="00B02873" w:rsidP="00965FC3">
            <w:pPr>
              <w:pStyle w:val="TablebodyleftFinancialsTables"/>
              <w:jc w:val="right"/>
            </w:pPr>
            <w:r>
              <w:t>7,309,844</w:t>
            </w:r>
          </w:p>
        </w:tc>
        <w:tc>
          <w:tcPr>
            <w:tcW w:w="1304" w:type="dxa"/>
          </w:tcPr>
          <w:p w14:paraId="0B512DBD" w14:textId="77777777" w:rsidR="00B02873" w:rsidRDefault="00B02873" w:rsidP="00965FC3">
            <w:pPr>
              <w:pStyle w:val="TablebodyleftFinancialsTables"/>
              <w:jc w:val="right"/>
            </w:pPr>
            <w:r>
              <w:t>25,035,171</w:t>
            </w:r>
          </w:p>
        </w:tc>
        <w:tc>
          <w:tcPr>
            <w:tcW w:w="1304" w:type="dxa"/>
          </w:tcPr>
          <w:p w14:paraId="445460C9" w14:textId="77777777" w:rsidR="00B02873" w:rsidRDefault="00B02873" w:rsidP="00965FC3">
            <w:pPr>
              <w:pStyle w:val="TablebodyleftFinancialsTables"/>
              <w:jc w:val="right"/>
            </w:pPr>
            <w:r>
              <w:t>18,628,927</w:t>
            </w:r>
          </w:p>
        </w:tc>
        <w:tc>
          <w:tcPr>
            <w:tcW w:w="1304" w:type="dxa"/>
          </w:tcPr>
          <w:p w14:paraId="7411D08A" w14:textId="77777777" w:rsidR="00B02873" w:rsidRDefault="00B02873" w:rsidP="00965FC3">
            <w:pPr>
              <w:pStyle w:val="TablebodyleftFinancialsTables"/>
              <w:jc w:val="right"/>
            </w:pPr>
            <w:r>
              <w:t>10,195,619</w:t>
            </w:r>
          </w:p>
        </w:tc>
      </w:tr>
      <w:tr w:rsidR="00B02873" w:rsidRPr="00B02873" w14:paraId="4E85C44D" w14:textId="77777777" w:rsidTr="00965FC3">
        <w:trPr>
          <w:trHeight w:val="60"/>
        </w:trPr>
        <w:tc>
          <w:tcPr>
            <w:tcW w:w="4422" w:type="dxa"/>
          </w:tcPr>
          <w:p w14:paraId="6C8E53D1" w14:textId="77777777" w:rsidR="00B02873" w:rsidRDefault="00B02873" w:rsidP="00965FC3">
            <w:pPr>
              <w:pStyle w:val="TablebodyleftFinancialsTables"/>
            </w:pPr>
            <w:r>
              <w:t>Origin Energy</w:t>
            </w:r>
          </w:p>
        </w:tc>
        <w:tc>
          <w:tcPr>
            <w:tcW w:w="1304" w:type="dxa"/>
          </w:tcPr>
          <w:p w14:paraId="2B327143" w14:textId="77777777" w:rsidR="00B02873" w:rsidRDefault="00B02873" w:rsidP="00965FC3">
            <w:pPr>
              <w:pStyle w:val="TablebodyleftFinancialsTables"/>
              <w:jc w:val="right"/>
            </w:pPr>
            <w:r>
              <w:t>38,513,013</w:t>
            </w:r>
          </w:p>
        </w:tc>
        <w:tc>
          <w:tcPr>
            <w:tcW w:w="1304" w:type="dxa"/>
          </w:tcPr>
          <w:p w14:paraId="492FE664" w14:textId="77777777" w:rsidR="00B02873" w:rsidRDefault="00B02873" w:rsidP="00965FC3">
            <w:pPr>
              <w:pStyle w:val="TablebodyleftFinancialsTables"/>
              <w:jc w:val="right"/>
            </w:pPr>
            <w:r>
              <w:t>79,570,301</w:t>
            </w:r>
          </w:p>
        </w:tc>
        <w:tc>
          <w:tcPr>
            <w:tcW w:w="1304" w:type="dxa"/>
          </w:tcPr>
          <w:p w14:paraId="4DA65601" w14:textId="77777777" w:rsidR="00B02873" w:rsidRDefault="00B02873" w:rsidP="00965FC3">
            <w:pPr>
              <w:pStyle w:val="TablebodyleftFinancialsTables"/>
              <w:jc w:val="right"/>
            </w:pPr>
            <w:r>
              <w:t>102,933,745</w:t>
            </w:r>
          </w:p>
        </w:tc>
        <w:tc>
          <w:tcPr>
            <w:tcW w:w="1304" w:type="dxa"/>
          </w:tcPr>
          <w:p w14:paraId="013E4FBD" w14:textId="77777777" w:rsidR="00B02873" w:rsidRDefault="00B02873" w:rsidP="00965FC3">
            <w:pPr>
              <w:pStyle w:val="TablebodyleftFinancialsTables"/>
              <w:jc w:val="right"/>
            </w:pPr>
            <w:r>
              <w:t>64,351,791</w:t>
            </w:r>
          </w:p>
        </w:tc>
      </w:tr>
      <w:tr w:rsidR="00B02873" w:rsidRPr="00B02873" w14:paraId="2CFE79B9" w14:textId="77777777" w:rsidTr="00965FC3">
        <w:trPr>
          <w:trHeight w:val="60"/>
        </w:trPr>
        <w:tc>
          <w:tcPr>
            <w:tcW w:w="4422" w:type="dxa"/>
          </w:tcPr>
          <w:p w14:paraId="7CC8921D" w14:textId="77777777" w:rsidR="00B02873" w:rsidRDefault="00B02873" w:rsidP="00965FC3">
            <w:pPr>
              <w:pStyle w:val="TablebodyleftFinancialsTables"/>
            </w:pPr>
            <w:r>
              <w:t>Mojopower (Q Energy)</w:t>
            </w:r>
          </w:p>
        </w:tc>
        <w:tc>
          <w:tcPr>
            <w:tcW w:w="1304" w:type="dxa"/>
          </w:tcPr>
          <w:p w14:paraId="359A6D87" w14:textId="77777777" w:rsidR="00B02873" w:rsidRDefault="00B02873" w:rsidP="00965FC3">
            <w:pPr>
              <w:pStyle w:val="TablebodyleftFinancialsTables"/>
              <w:jc w:val="right"/>
            </w:pPr>
            <w:r>
              <w:t>314,479</w:t>
            </w:r>
          </w:p>
        </w:tc>
        <w:tc>
          <w:tcPr>
            <w:tcW w:w="1304" w:type="dxa"/>
          </w:tcPr>
          <w:p w14:paraId="0068ABCA" w14:textId="77777777" w:rsidR="00B02873" w:rsidRDefault="00B02873" w:rsidP="00965FC3">
            <w:pPr>
              <w:pStyle w:val="TablebodyleftFinancialsTables"/>
              <w:jc w:val="right"/>
            </w:pPr>
            <w:r>
              <w:t>643,368</w:t>
            </w:r>
          </w:p>
        </w:tc>
        <w:tc>
          <w:tcPr>
            <w:tcW w:w="1304" w:type="dxa"/>
          </w:tcPr>
          <w:p w14:paraId="4A930C65" w14:textId="77777777" w:rsidR="00B02873" w:rsidRDefault="00B02873" w:rsidP="00965FC3">
            <w:pPr>
              <w:pStyle w:val="TablebodyleftFinancialsTables"/>
              <w:jc w:val="right"/>
            </w:pPr>
            <w:r>
              <w:t>652,474</w:t>
            </w:r>
          </w:p>
        </w:tc>
        <w:tc>
          <w:tcPr>
            <w:tcW w:w="1304" w:type="dxa"/>
          </w:tcPr>
          <w:p w14:paraId="064F5863" w14:textId="77777777" w:rsidR="00B02873" w:rsidRDefault="00B02873" w:rsidP="00965FC3">
            <w:pPr>
              <w:pStyle w:val="TablebodyleftFinancialsTables"/>
              <w:jc w:val="right"/>
            </w:pPr>
            <w:r>
              <w:t>547,978</w:t>
            </w:r>
          </w:p>
        </w:tc>
      </w:tr>
      <w:tr w:rsidR="00B02873" w:rsidRPr="00B02873" w14:paraId="0E7B9644" w14:textId="77777777" w:rsidTr="00965FC3">
        <w:trPr>
          <w:trHeight w:val="60"/>
        </w:trPr>
        <w:tc>
          <w:tcPr>
            <w:tcW w:w="4422" w:type="dxa"/>
          </w:tcPr>
          <w:p w14:paraId="39908B0B" w14:textId="77777777" w:rsidR="00B02873" w:rsidRDefault="00B02873" w:rsidP="00965FC3">
            <w:pPr>
              <w:pStyle w:val="TablebodyleftFinancialsTables"/>
            </w:pPr>
            <w:r>
              <w:t>Powerdirect</w:t>
            </w:r>
          </w:p>
        </w:tc>
        <w:tc>
          <w:tcPr>
            <w:tcW w:w="1304" w:type="dxa"/>
          </w:tcPr>
          <w:p w14:paraId="793300DB" w14:textId="77777777" w:rsidR="00B02873" w:rsidRDefault="00B02873" w:rsidP="00965FC3">
            <w:pPr>
              <w:pStyle w:val="TablebodyleftFinancialsTables"/>
              <w:jc w:val="right"/>
            </w:pPr>
            <w:r>
              <w:t>3,333,094</w:t>
            </w:r>
          </w:p>
        </w:tc>
        <w:tc>
          <w:tcPr>
            <w:tcW w:w="1304" w:type="dxa"/>
          </w:tcPr>
          <w:p w14:paraId="34B4C5EC" w14:textId="77777777" w:rsidR="00B02873" w:rsidRDefault="00B02873" w:rsidP="00965FC3">
            <w:pPr>
              <w:pStyle w:val="TablebodyleftFinancialsTables"/>
              <w:jc w:val="right"/>
            </w:pPr>
            <w:r>
              <w:t>6,894,519</w:t>
            </w:r>
          </w:p>
        </w:tc>
        <w:tc>
          <w:tcPr>
            <w:tcW w:w="1304" w:type="dxa"/>
          </w:tcPr>
          <w:p w14:paraId="1619CC06" w14:textId="77777777" w:rsidR="00B02873" w:rsidRDefault="00B02873" w:rsidP="00965FC3">
            <w:pPr>
              <w:pStyle w:val="TablebodyleftFinancialsTables"/>
              <w:jc w:val="right"/>
            </w:pPr>
            <w:r>
              <w:t>8,433,278</w:t>
            </w:r>
          </w:p>
        </w:tc>
        <w:tc>
          <w:tcPr>
            <w:tcW w:w="1304" w:type="dxa"/>
          </w:tcPr>
          <w:p w14:paraId="76B4BB1F" w14:textId="77777777" w:rsidR="00B02873" w:rsidRDefault="00B02873" w:rsidP="00965FC3">
            <w:pPr>
              <w:pStyle w:val="TablebodyleftFinancialsTables"/>
              <w:jc w:val="right"/>
            </w:pPr>
            <w:r>
              <w:t>5,188,202</w:t>
            </w:r>
          </w:p>
        </w:tc>
      </w:tr>
      <w:tr w:rsidR="00B02873" w:rsidRPr="00B02873" w14:paraId="46B07E7B" w14:textId="77777777" w:rsidTr="00965FC3">
        <w:trPr>
          <w:trHeight w:val="60"/>
        </w:trPr>
        <w:tc>
          <w:tcPr>
            <w:tcW w:w="4422" w:type="dxa"/>
          </w:tcPr>
          <w:p w14:paraId="364067E0" w14:textId="77777777" w:rsidR="00B02873" w:rsidRDefault="00B02873" w:rsidP="00965FC3">
            <w:pPr>
              <w:pStyle w:val="TablebodyleftFinancialsTables"/>
            </w:pPr>
            <w:r>
              <w:t>Powershop</w:t>
            </w:r>
          </w:p>
        </w:tc>
        <w:tc>
          <w:tcPr>
            <w:tcW w:w="1304" w:type="dxa"/>
          </w:tcPr>
          <w:p w14:paraId="5FDDC68D" w14:textId="77777777" w:rsidR="00B02873" w:rsidRDefault="00B02873" w:rsidP="00965FC3">
            <w:pPr>
              <w:pStyle w:val="TablebodyleftFinancialsTables"/>
              <w:jc w:val="right"/>
            </w:pPr>
            <w:r>
              <w:t>7,985,347</w:t>
            </w:r>
          </w:p>
        </w:tc>
        <w:tc>
          <w:tcPr>
            <w:tcW w:w="1304" w:type="dxa"/>
          </w:tcPr>
          <w:p w14:paraId="5A1708AE" w14:textId="77777777" w:rsidR="00B02873" w:rsidRDefault="00B02873" w:rsidP="00965FC3">
            <w:pPr>
              <w:pStyle w:val="TablebodyleftFinancialsTables"/>
              <w:jc w:val="right"/>
            </w:pPr>
            <w:r>
              <w:t>18,188,038</w:t>
            </w:r>
          </w:p>
        </w:tc>
        <w:tc>
          <w:tcPr>
            <w:tcW w:w="1304" w:type="dxa"/>
          </w:tcPr>
          <w:p w14:paraId="40B4E5E9" w14:textId="77777777" w:rsidR="00B02873" w:rsidRDefault="00B02873" w:rsidP="00965FC3">
            <w:pPr>
              <w:pStyle w:val="TablebodyleftFinancialsTables"/>
              <w:jc w:val="right"/>
            </w:pPr>
            <w:r>
              <w:t>18,997,732</w:t>
            </w:r>
          </w:p>
        </w:tc>
        <w:tc>
          <w:tcPr>
            <w:tcW w:w="1304" w:type="dxa"/>
          </w:tcPr>
          <w:p w14:paraId="76E4E84B" w14:textId="77777777" w:rsidR="00B02873" w:rsidRDefault="00B02873" w:rsidP="00965FC3">
            <w:pPr>
              <w:pStyle w:val="TablebodyleftFinancialsTables"/>
              <w:jc w:val="right"/>
            </w:pPr>
            <w:r>
              <w:t>8,463,845</w:t>
            </w:r>
          </w:p>
        </w:tc>
      </w:tr>
      <w:tr w:rsidR="00B02873" w:rsidRPr="00B02873" w14:paraId="5917D854" w14:textId="77777777" w:rsidTr="00965FC3">
        <w:trPr>
          <w:trHeight w:val="60"/>
        </w:trPr>
        <w:tc>
          <w:tcPr>
            <w:tcW w:w="4422" w:type="dxa"/>
          </w:tcPr>
          <w:p w14:paraId="7BF10A9F" w14:textId="77777777" w:rsidR="00B02873" w:rsidRDefault="00B02873" w:rsidP="00965FC3">
            <w:pPr>
              <w:pStyle w:val="TablebodyleftFinancialsTables"/>
            </w:pPr>
            <w:r>
              <w:t>Red Energy</w:t>
            </w:r>
          </w:p>
        </w:tc>
        <w:tc>
          <w:tcPr>
            <w:tcW w:w="1304" w:type="dxa"/>
          </w:tcPr>
          <w:p w14:paraId="69318313" w14:textId="77777777" w:rsidR="00B02873" w:rsidRDefault="00B02873" w:rsidP="00965FC3">
            <w:pPr>
              <w:pStyle w:val="TablebodyleftFinancialsTables"/>
              <w:jc w:val="right"/>
            </w:pPr>
            <w:r>
              <w:t>20,050,487</w:t>
            </w:r>
          </w:p>
        </w:tc>
        <w:tc>
          <w:tcPr>
            <w:tcW w:w="1304" w:type="dxa"/>
          </w:tcPr>
          <w:p w14:paraId="2B7E5FEC" w14:textId="77777777" w:rsidR="00B02873" w:rsidRDefault="00B02873" w:rsidP="00965FC3">
            <w:pPr>
              <w:pStyle w:val="TablebodyleftFinancialsTables"/>
              <w:jc w:val="right"/>
            </w:pPr>
            <w:r>
              <w:t>42,618,486</w:t>
            </w:r>
          </w:p>
        </w:tc>
        <w:tc>
          <w:tcPr>
            <w:tcW w:w="1304" w:type="dxa"/>
          </w:tcPr>
          <w:p w14:paraId="2A32A96B" w14:textId="77777777" w:rsidR="00B02873" w:rsidRDefault="00B02873" w:rsidP="00965FC3">
            <w:pPr>
              <w:pStyle w:val="TablebodyleftFinancialsTables"/>
              <w:jc w:val="right"/>
            </w:pPr>
            <w:r>
              <w:t>54,261,855</w:t>
            </w:r>
          </w:p>
        </w:tc>
        <w:tc>
          <w:tcPr>
            <w:tcW w:w="1304" w:type="dxa"/>
          </w:tcPr>
          <w:p w14:paraId="749A28B0" w14:textId="77777777" w:rsidR="00B02873" w:rsidRDefault="00B02873" w:rsidP="00965FC3">
            <w:pPr>
              <w:pStyle w:val="TablebodyleftFinancialsTables"/>
              <w:jc w:val="right"/>
            </w:pPr>
            <w:r>
              <w:t>34,178,319</w:t>
            </w:r>
          </w:p>
        </w:tc>
      </w:tr>
      <w:tr w:rsidR="00B02873" w:rsidRPr="00B02873" w14:paraId="62D08FC1" w14:textId="77777777" w:rsidTr="00965FC3">
        <w:trPr>
          <w:trHeight w:val="60"/>
        </w:trPr>
        <w:tc>
          <w:tcPr>
            <w:tcW w:w="4422" w:type="dxa"/>
          </w:tcPr>
          <w:p w14:paraId="02D2FA0B" w14:textId="77777777" w:rsidR="00B02873" w:rsidRDefault="00B02873" w:rsidP="00965FC3">
            <w:pPr>
              <w:pStyle w:val="TablebodyleftFinancialsTables"/>
            </w:pPr>
            <w:r>
              <w:t>Simply Energy</w:t>
            </w:r>
          </w:p>
        </w:tc>
        <w:tc>
          <w:tcPr>
            <w:tcW w:w="1304" w:type="dxa"/>
          </w:tcPr>
          <w:p w14:paraId="72CF1E35" w14:textId="77777777" w:rsidR="00B02873" w:rsidRDefault="00B02873" w:rsidP="00965FC3">
            <w:pPr>
              <w:pStyle w:val="TablebodyleftFinancialsTables"/>
              <w:jc w:val="right"/>
            </w:pPr>
            <w:r>
              <w:t>20,714,086</w:t>
            </w:r>
          </w:p>
        </w:tc>
        <w:tc>
          <w:tcPr>
            <w:tcW w:w="1304" w:type="dxa"/>
          </w:tcPr>
          <w:p w14:paraId="0EC6C986" w14:textId="77777777" w:rsidR="00B02873" w:rsidRDefault="00B02873" w:rsidP="00965FC3">
            <w:pPr>
              <w:pStyle w:val="TablebodyleftFinancialsTables"/>
              <w:jc w:val="right"/>
            </w:pPr>
            <w:r>
              <w:t>42,080,345</w:t>
            </w:r>
          </w:p>
        </w:tc>
        <w:tc>
          <w:tcPr>
            <w:tcW w:w="1304" w:type="dxa"/>
          </w:tcPr>
          <w:p w14:paraId="7B2DE43B" w14:textId="77777777" w:rsidR="00B02873" w:rsidRDefault="00B02873" w:rsidP="00965FC3">
            <w:pPr>
              <w:pStyle w:val="TablebodyleftFinancialsTables"/>
              <w:jc w:val="right"/>
            </w:pPr>
            <w:r>
              <w:t>41,300,868</w:t>
            </w:r>
          </w:p>
        </w:tc>
        <w:tc>
          <w:tcPr>
            <w:tcW w:w="1304" w:type="dxa"/>
          </w:tcPr>
          <w:p w14:paraId="2A99A15F" w14:textId="77777777" w:rsidR="00B02873" w:rsidRDefault="00B02873" w:rsidP="00965FC3">
            <w:pPr>
              <w:pStyle w:val="TablebodyleftFinancialsTables"/>
              <w:jc w:val="right"/>
            </w:pPr>
            <w:r>
              <w:t>19,597,033</w:t>
            </w:r>
          </w:p>
        </w:tc>
      </w:tr>
      <w:tr w:rsidR="00B02873" w:rsidRPr="00B02873" w14:paraId="6D5B3EB7" w14:textId="77777777" w:rsidTr="00965FC3">
        <w:trPr>
          <w:trHeight w:val="60"/>
        </w:trPr>
        <w:tc>
          <w:tcPr>
            <w:tcW w:w="4422" w:type="dxa"/>
          </w:tcPr>
          <w:p w14:paraId="7627BB92" w14:textId="77777777" w:rsidR="00B02873" w:rsidRDefault="00B02873" w:rsidP="00965FC3">
            <w:pPr>
              <w:pStyle w:val="TablebodyleftFinancialsTables"/>
            </w:pPr>
            <w:r>
              <w:t>Sumo Power</w:t>
            </w:r>
          </w:p>
        </w:tc>
        <w:tc>
          <w:tcPr>
            <w:tcW w:w="1304" w:type="dxa"/>
          </w:tcPr>
          <w:p w14:paraId="6D53D5C9" w14:textId="77777777" w:rsidR="00B02873" w:rsidRDefault="00B02873" w:rsidP="00965FC3">
            <w:pPr>
              <w:pStyle w:val="TablebodyleftFinancialsTables"/>
              <w:jc w:val="right"/>
            </w:pPr>
            <w:r>
              <w:t>2,424,768</w:t>
            </w:r>
          </w:p>
        </w:tc>
        <w:tc>
          <w:tcPr>
            <w:tcW w:w="1304" w:type="dxa"/>
          </w:tcPr>
          <w:p w14:paraId="443D62B3" w14:textId="77777777" w:rsidR="00B02873" w:rsidRDefault="00B02873" w:rsidP="00965FC3">
            <w:pPr>
              <w:pStyle w:val="TablebodyleftFinancialsTables"/>
              <w:jc w:val="right"/>
            </w:pPr>
            <w:r>
              <w:t>9,903,356</w:t>
            </w:r>
          </w:p>
        </w:tc>
        <w:tc>
          <w:tcPr>
            <w:tcW w:w="1304" w:type="dxa"/>
          </w:tcPr>
          <w:p w14:paraId="02004F6A" w14:textId="77777777" w:rsidR="00B02873" w:rsidRDefault="00B02873" w:rsidP="00965FC3">
            <w:pPr>
              <w:pStyle w:val="TablebodyleftFinancialsTables"/>
              <w:jc w:val="right"/>
            </w:pPr>
            <w:r>
              <w:t>8,793,039</w:t>
            </w:r>
          </w:p>
        </w:tc>
        <w:tc>
          <w:tcPr>
            <w:tcW w:w="1304" w:type="dxa"/>
          </w:tcPr>
          <w:p w14:paraId="60F33593" w14:textId="77777777" w:rsidR="00B02873" w:rsidRDefault="00B02873" w:rsidP="00965FC3">
            <w:pPr>
              <w:pStyle w:val="TablebodyleftFinancialsTables"/>
              <w:jc w:val="right"/>
            </w:pPr>
            <w:r>
              <w:t>3,852,385</w:t>
            </w:r>
          </w:p>
        </w:tc>
      </w:tr>
      <w:tr w:rsidR="00B02873" w:rsidRPr="00B02873" w14:paraId="23D4EE84" w14:textId="77777777" w:rsidTr="00965FC3">
        <w:trPr>
          <w:trHeight w:val="60"/>
        </w:trPr>
        <w:tc>
          <w:tcPr>
            <w:tcW w:w="4422" w:type="dxa"/>
          </w:tcPr>
          <w:p w14:paraId="6081DC0E" w14:textId="77777777" w:rsidR="00B02873" w:rsidRDefault="00B02873" w:rsidP="00965FC3">
            <w:pPr>
              <w:pStyle w:val="TablebodyleftFinancialsTables"/>
            </w:pPr>
            <w:r>
              <w:t>Tango Energy</w:t>
            </w:r>
          </w:p>
        </w:tc>
        <w:tc>
          <w:tcPr>
            <w:tcW w:w="1304" w:type="dxa"/>
          </w:tcPr>
          <w:p w14:paraId="70E3DC60" w14:textId="77777777" w:rsidR="00B02873" w:rsidRDefault="00B02873" w:rsidP="00965FC3">
            <w:pPr>
              <w:pStyle w:val="TablebodyleftFinancialsTables"/>
              <w:jc w:val="right"/>
            </w:pPr>
            <w:r>
              <w:t>12,682,401</w:t>
            </w:r>
          </w:p>
        </w:tc>
        <w:tc>
          <w:tcPr>
            <w:tcW w:w="1304" w:type="dxa"/>
          </w:tcPr>
          <w:p w14:paraId="708A402A" w14:textId="77777777" w:rsidR="00B02873" w:rsidRDefault="00B02873" w:rsidP="00965FC3">
            <w:pPr>
              <w:pStyle w:val="TablebodyleftFinancialsTables"/>
              <w:jc w:val="right"/>
            </w:pPr>
            <w:r>
              <w:t>28,891,168</w:t>
            </w:r>
          </w:p>
        </w:tc>
        <w:tc>
          <w:tcPr>
            <w:tcW w:w="1304" w:type="dxa"/>
          </w:tcPr>
          <w:p w14:paraId="02CC7DAD" w14:textId="77777777" w:rsidR="00B02873" w:rsidRDefault="00B02873" w:rsidP="00965FC3">
            <w:pPr>
              <w:pStyle w:val="TablebodyleftFinancialsTables"/>
              <w:jc w:val="right"/>
            </w:pPr>
            <w:r>
              <w:t>34,253,474</w:t>
            </w:r>
          </w:p>
        </w:tc>
        <w:tc>
          <w:tcPr>
            <w:tcW w:w="1304" w:type="dxa"/>
          </w:tcPr>
          <w:p w14:paraId="79FE1768" w14:textId="77777777" w:rsidR="00B02873" w:rsidRDefault="00B02873" w:rsidP="00965FC3">
            <w:pPr>
              <w:pStyle w:val="TablebodyleftFinancialsTables"/>
              <w:jc w:val="right"/>
            </w:pPr>
            <w:r>
              <w:t xml:space="preserve">19,417,622 </w:t>
            </w:r>
          </w:p>
        </w:tc>
      </w:tr>
      <w:tr w:rsidR="00B02873" w:rsidRPr="00965FC3" w14:paraId="6FB30AF0" w14:textId="77777777" w:rsidTr="00965FC3">
        <w:trPr>
          <w:trHeight w:val="60"/>
        </w:trPr>
        <w:tc>
          <w:tcPr>
            <w:tcW w:w="4422" w:type="dxa"/>
          </w:tcPr>
          <w:p w14:paraId="3ACF0091" w14:textId="77777777" w:rsidR="00B02873" w:rsidRPr="00965FC3" w:rsidRDefault="00B02873" w:rsidP="00965FC3">
            <w:pPr>
              <w:pStyle w:val="TablebodyleftFinancialsTables"/>
              <w:rPr>
                <w:b/>
                <w:bCs/>
              </w:rPr>
            </w:pPr>
            <w:r w:rsidRPr="00965FC3">
              <w:rPr>
                <w:b/>
                <w:bCs/>
              </w:rPr>
              <w:t xml:space="preserve">TOTAL </w:t>
            </w:r>
          </w:p>
        </w:tc>
        <w:tc>
          <w:tcPr>
            <w:tcW w:w="1304" w:type="dxa"/>
          </w:tcPr>
          <w:p w14:paraId="32558083" w14:textId="77777777" w:rsidR="00B02873" w:rsidRPr="00965FC3" w:rsidRDefault="00B02873" w:rsidP="00965FC3">
            <w:pPr>
              <w:pStyle w:val="TablebodyleftFinancialsTables"/>
              <w:jc w:val="right"/>
              <w:rPr>
                <w:b/>
                <w:bCs/>
              </w:rPr>
            </w:pPr>
            <w:r w:rsidRPr="00965FC3">
              <w:rPr>
                <w:b/>
                <w:bCs/>
              </w:rPr>
              <w:t xml:space="preserve">241,334,235 </w:t>
            </w:r>
          </w:p>
        </w:tc>
        <w:tc>
          <w:tcPr>
            <w:tcW w:w="1304" w:type="dxa"/>
          </w:tcPr>
          <w:p w14:paraId="152FE028" w14:textId="77777777" w:rsidR="00B02873" w:rsidRPr="00965FC3" w:rsidRDefault="00B02873" w:rsidP="00965FC3">
            <w:pPr>
              <w:pStyle w:val="TablebodyleftFinancialsTables"/>
              <w:jc w:val="right"/>
              <w:rPr>
                <w:b/>
                <w:bCs/>
              </w:rPr>
            </w:pPr>
            <w:r w:rsidRPr="00965FC3">
              <w:rPr>
                <w:b/>
                <w:bCs/>
              </w:rPr>
              <w:t>546,953,576</w:t>
            </w:r>
          </w:p>
        </w:tc>
        <w:tc>
          <w:tcPr>
            <w:tcW w:w="1304" w:type="dxa"/>
          </w:tcPr>
          <w:p w14:paraId="68B72BB5" w14:textId="77777777" w:rsidR="00B02873" w:rsidRPr="00965FC3" w:rsidRDefault="00B02873" w:rsidP="00965FC3">
            <w:pPr>
              <w:pStyle w:val="TablebodyleftFinancialsTables"/>
              <w:jc w:val="right"/>
              <w:rPr>
                <w:b/>
                <w:bCs/>
              </w:rPr>
            </w:pPr>
            <w:r w:rsidRPr="00965FC3">
              <w:rPr>
                <w:b/>
                <w:bCs/>
              </w:rPr>
              <w:t>633,102,435</w:t>
            </w:r>
          </w:p>
        </w:tc>
        <w:tc>
          <w:tcPr>
            <w:tcW w:w="1304" w:type="dxa"/>
          </w:tcPr>
          <w:p w14:paraId="56149C0A" w14:textId="77777777" w:rsidR="00B02873" w:rsidRPr="00965FC3" w:rsidRDefault="00B02873" w:rsidP="00965FC3">
            <w:pPr>
              <w:pStyle w:val="TablebodyleftFinancialsTables"/>
              <w:jc w:val="right"/>
              <w:rPr>
                <w:b/>
                <w:bCs/>
              </w:rPr>
            </w:pPr>
            <w:r w:rsidRPr="00965FC3">
              <w:rPr>
                <w:b/>
                <w:bCs/>
              </w:rPr>
              <w:t>347,698,812</w:t>
            </w:r>
          </w:p>
        </w:tc>
      </w:tr>
    </w:tbl>
    <w:p w14:paraId="42B79B30" w14:textId="77777777" w:rsidR="00B02873" w:rsidRDefault="00B02873" w:rsidP="00FE198A"/>
    <w:p w14:paraId="18C95FF9" w14:textId="77777777" w:rsidR="00B02873" w:rsidRDefault="00B02873" w:rsidP="00965FC3">
      <w:pPr>
        <w:pStyle w:val="Heading2"/>
      </w:pPr>
      <w:bookmarkStart w:id="95" w:name="_Toc117447377"/>
      <w:r>
        <w:t>Appendix 12: Acronyms and Abbreviations</w:t>
      </w:r>
      <w:bookmarkEnd w:id="95"/>
    </w:p>
    <w:tbl>
      <w:tblPr>
        <w:tblW w:w="0" w:type="auto"/>
        <w:tblLayout w:type="fixed"/>
        <w:tblLook w:val="04A0" w:firstRow="1" w:lastRow="0" w:firstColumn="1" w:lastColumn="0" w:noHBand="0" w:noVBand="1"/>
      </w:tblPr>
      <w:tblGrid>
        <w:gridCol w:w="1191"/>
        <w:gridCol w:w="3628"/>
        <w:gridCol w:w="1190"/>
        <w:gridCol w:w="3629"/>
      </w:tblGrid>
      <w:tr w:rsidR="00B02873" w:rsidRPr="00B02873" w14:paraId="116935B6" w14:textId="77777777" w:rsidTr="00714844">
        <w:tc>
          <w:tcPr>
            <w:tcW w:w="1191" w:type="dxa"/>
          </w:tcPr>
          <w:p w14:paraId="00739DA4" w14:textId="77777777" w:rsidR="00B02873" w:rsidRDefault="00B02873" w:rsidP="00965FC3">
            <w:pPr>
              <w:pStyle w:val="TablebodyleftFinancialsTables"/>
            </w:pPr>
            <w:r>
              <w:t>AAS</w:t>
            </w:r>
          </w:p>
        </w:tc>
        <w:tc>
          <w:tcPr>
            <w:tcW w:w="3628" w:type="dxa"/>
          </w:tcPr>
          <w:p w14:paraId="6E73494F" w14:textId="77777777" w:rsidR="00B02873" w:rsidRDefault="00B02873" w:rsidP="00965FC3">
            <w:pPr>
              <w:pStyle w:val="TablebodyleftFinancialsTables"/>
            </w:pPr>
            <w:r>
              <w:t>Australian Accounting Standards</w:t>
            </w:r>
          </w:p>
        </w:tc>
        <w:tc>
          <w:tcPr>
            <w:tcW w:w="1190" w:type="dxa"/>
          </w:tcPr>
          <w:p w14:paraId="57D04666" w14:textId="77777777" w:rsidR="00B02873" w:rsidRDefault="00B02873" w:rsidP="00965FC3">
            <w:pPr>
              <w:pStyle w:val="TablebodyleftFinancialsTables"/>
            </w:pPr>
            <w:r>
              <w:t>LJFP</w:t>
            </w:r>
          </w:p>
        </w:tc>
        <w:tc>
          <w:tcPr>
            <w:tcW w:w="3629" w:type="dxa"/>
          </w:tcPr>
          <w:p w14:paraId="6C298F3E" w14:textId="77777777" w:rsidR="00B02873" w:rsidRDefault="00B02873" w:rsidP="00965FC3">
            <w:pPr>
              <w:pStyle w:val="TablebodyleftFinancialsTables"/>
            </w:pPr>
            <w:r>
              <w:t>Local Jobs First Policy</w:t>
            </w:r>
          </w:p>
        </w:tc>
      </w:tr>
      <w:tr w:rsidR="00B02873" w:rsidRPr="00B02873" w14:paraId="30CCBB36" w14:textId="77777777" w:rsidTr="00714844">
        <w:tc>
          <w:tcPr>
            <w:tcW w:w="1191" w:type="dxa"/>
          </w:tcPr>
          <w:p w14:paraId="0C3E4815" w14:textId="77777777" w:rsidR="00B02873" w:rsidRDefault="00B02873" w:rsidP="00965FC3">
            <w:pPr>
              <w:pStyle w:val="TablebodyleftFinancialsTables"/>
            </w:pPr>
            <w:r>
              <w:t>AASB</w:t>
            </w:r>
          </w:p>
        </w:tc>
        <w:tc>
          <w:tcPr>
            <w:tcW w:w="3628" w:type="dxa"/>
          </w:tcPr>
          <w:p w14:paraId="4C60139D" w14:textId="77777777" w:rsidR="00B02873" w:rsidRDefault="00B02873" w:rsidP="00965FC3">
            <w:pPr>
              <w:pStyle w:val="TablebodyleftFinancialsTables"/>
            </w:pPr>
            <w:r>
              <w:t>Australian Accounting Standards Board</w:t>
            </w:r>
          </w:p>
        </w:tc>
        <w:tc>
          <w:tcPr>
            <w:tcW w:w="1190" w:type="dxa"/>
          </w:tcPr>
          <w:p w14:paraId="1CDD3A8A" w14:textId="77777777" w:rsidR="00B02873" w:rsidRDefault="00B02873" w:rsidP="00965FC3">
            <w:pPr>
              <w:pStyle w:val="TablebodyleftFinancialsTables"/>
            </w:pPr>
            <w:r>
              <w:t>MIWL</w:t>
            </w:r>
          </w:p>
        </w:tc>
        <w:tc>
          <w:tcPr>
            <w:tcW w:w="3629" w:type="dxa"/>
          </w:tcPr>
          <w:p w14:paraId="6E1B8510" w14:textId="77777777" w:rsidR="00B02873" w:rsidRDefault="00B02873" w:rsidP="00965FC3">
            <w:pPr>
              <w:pStyle w:val="TablebodyleftFinancialsTables"/>
            </w:pPr>
            <w:r>
              <w:t>Municipal and Industrial Waste Levy</w:t>
            </w:r>
          </w:p>
        </w:tc>
      </w:tr>
      <w:tr w:rsidR="00B02873" w:rsidRPr="00B02873" w14:paraId="26FFCDD7" w14:textId="77777777" w:rsidTr="00714844">
        <w:tc>
          <w:tcPr>
            <w:tcW w:w="1191" w:type="dxa"/>
          </w:tcPr>
          <w:p w14:paraId="3936DEF5" w14:textId="77777777" w:rsidR="00B02873" w:rsidRDefault="00B02873" w:rsidP="00965FC3">
            <w:pPr>
              <w:pStyle w:val="TablebodyleftFinancialsTables"/>
            </w:pPr>
            <w:r>
              <w:t>AEMO</w:t>
            </w:r>
          </w:p>
        </w:tc>
        <w:tc>
          <w:tcPr>
            <w:tcW w:w="3628" w:type="dxa"/>
          </w:tcPr>
          <w:p w14:paraId="09143CC4" w14:textId="77777777" w:rsidR="00B02873" w:rsidRDefault="00B02873" w:rsidP="00965FC3">
            <w:pPr>
              <w:pStyle w:val="TablebodyleftFinancialsTables"/>
            </w:pPr>
            <w:r>
              <w:t>Australian Energy Market Operator</w:t>
            </w:r>
          </w:p>
        </w:tc>
        <w:tc>
          <w:tcPr>
            <w:tcW w:w="1190" w:type="dxa"/>
          </w:tcPr>
          <w:p w14:paraId="686BE3EC" w14:textId="77777777" w:rsidR="00B02873" w:rsidRDefault="00B02873" w:rsidP="00965FC3">
            <w:pPr>
              <w:pStyle w:val="TablebodyleftFinancialsTables"/>
            </w:pPr>
            <w:r>
              <w:t>N/A</w:t>
            </w:r>
          </w:p>
        </w:tc>
        <w:tc>
          <w:tcPr>
            <w:tcW w:w="3629" w:type="dxa"/>
          </w:tcPr>
          <w:p w14:paraId="0E13C1D5" w14:textId="77777777" w:rsidR="00B02873" w:rsidRDefault="00B02873" w:rsidP="00965FC3">
            <w:pPr>
              <w:pStyle w:val="TablebodyleftFinancialsTables"/>
            </w:pPr>
            <w:r>
              <w:t>Not Applicable</w:t>
            </w:r>
          </w:p>
        </w:tc>
      </w:tr>
      <w:tr w:rsidR="00B02873" w:rsidRPr="00B02873" w14:paraId="6FCA6C4B" w14:textId="77777777" w:rsidTr="00714844">
        <w:tc>
          <w:tcPr>
            <w:tcW w:w="1191" w:type="dxa"/>
          </w:tcPr>
          <w:p w14:paraId="3E887331" w14:textId="77777777" w:rsidR="00B02873" w:rsidRDefault="00B02873" w:rsidP="00965FC3">
            <w:pPr>
              <w:pStyle w:val="TablebodyleftFinancialsTables"/>
            </w:pPr>
            <w:r>
              <w:t>ARI</w:t>
            </w:r>
          </w:p>
        </w:tc>
        <w:tc>
          <w:tcPr>
            <w:tcW w:w="3628" w:type="dxa"/>
          </w:tcPr>
          <w:p w14:paraId="13B80096" w14:textId="77777777" w:rsidR="00B02873" w:rsidRDefault="00B02873" w:rsidP="00965FC3">
            <w:pPr>
              <w:pStyle w:val="TablebodyleftFinancialsTables"/>
            </w:pPr>
            <w:r>
              <w:t>Arthur Rylah Institute for Environmental Research</w:t>
            </w:r>
          </w:p>
        </w:tc>
        <w:tc>
          <w:tcPr>
            <w:tcW w:w="1190" w:type="dxa"/>
          </w:tcPr>
          <w:p w14:paraId="14FB2F8B" w14:textId="77777777" w:rsidR="00B02873" w:rsidRDefault="00B02873" w:rsidP="00965FC3">
            <w:pPr>
              <w:pStyle w:val="TablebodyleftFinancialsTables"/>
            </w:pPr>
            <w:r>
              <w:t>NAIDOC</w:t>
            </w:r>
          </w:p>
        </w:tc>
        <w:tc>
          <w:tcPr>
            <w:tcW w:w="3629" w:type="dxa"/>
          </w:tcPr>
          <w:p w14:paraId="035BB20E" w14:textId="77777777" w:rsidR="00B02873" w:rsidRDefault="00B02873" w:rsidP="00965FC3">
            <w:pPr>
              <w:pStyle w:val="TablebodyleftFinancialsTables"/>
            </w:pPr>
            <w:r>
              <w:t>National Aboriginal and Islanders Observance Committee Week</w:t>
            </w:r>
          </w:p>
        </w:tc>
      </w:tr>
      <w:tr w:rsidR="00B02873" w:rsidRPr="00B02873" w14:paraId="754FFA56" w14:textId="77777777" w:rsidTr="00714844">
        <w:tc>
          <w:tcPr>
            <w:tcW w:w="1191" w:type="dxa"/>
          </w:tcPr>
          <w:p w14:paraId="43A975B4" w14:textId="77777777" w:rsidR="00B02873" w:rsidRDefault="00B02873" w:rsidP="00965FC3">
            <w:pPr>
              <w:pStyle w:val="TablebodyleftFinancialsTables"/>
            </w:pPr>
            <w:r>
              <w:t>ATNAB</w:t>
            </w:r>
          </w:p>
        </w:tc>
        <w:tc>
          <w:tcPr>
            <w:tcW w:w="3628" w:type="dxa"/>
          </w:tcPr>
          <w:p w14:paraId="571548FD" w14:textId="77777777" w:rsidR="00B02873" w:rsidRDefault="00B02873" w:rsidP="00965FC3">
            <w:pPr>
              <w:pStyle w:val="TablebodyleftFinancialsTables"/>
            </w:pPr>
            <w:r>
              <w:t xml:space="preserve">Addition to Net Assets Base </w:t>
            </w:r>
          </w:p>
        </w:tc>
        <w:tc>
          <w:tcPr>
            <w:tcW w:w="1190" w:type="dxa"/>
          </w:tcPr>
          <w:p w14:paraId="669E0081" w14:textId="77777777" w:rsidR="00B02873" w:rsidRDefault="00B02873" w:rsidP="00965FC3">
            <w:pPr>
              <w:pStyle w:val="TablebodyleftFinancialsTables"/>
            </w:pPr>
            <w:r>
              <w:t>OHS</w:t>
            </w:r>
          </w:p>
        </w:tc>
        <w:tc>
          <w:tcPr>
            <w:tcW w:w="3629" w:type="dxa"/>
          </w:tcPr>
          <w:p w14:paraId="56863299" w14:textId="77777777" w:rsidR="00B02873" w:rsidRDefault="00B02873" w:rsidP="00965FC3">
            <w:pPr>
              <w:pStyle w:val="TablebodyleftFinancialsTables"/>
            </w:pPr>
            <w:r>
              <w:t>Occupational Health and Safety</w:t>
            </w:r>
          </w:p>
        </w:tc>
      </w:tr>
      <w:tr w:rsidR="00B02873" w:rsidRPr="00B02873" w14:paraId="5BE7300F" w14:textId="77777777" w:rsidTr="00714844">
        <w:tc>
          <w:tcPr>
            <w:tcW w:w="1191" w:type="dxa"/>
          </w:tcPr>
          <w:p w14:paraId="18439E85" w14:textId="77777777" w:rsidR="00B02873" w:rsidRDefault="00B02873" w:rsidP="00965FC3">
            <w:pPr>
              <w:pStyle w:val="TablebodyleftFinancialsTables"/>
            </w:pPr>
            <w:r>
              <w:t>CFA</w:t>
            </w:r>
          </w:p>
        </w:tc>
        <w:tc>
          <w:tcPr>
            <w:tcW w:w="3628" w:type="dxa"/>
          </w:tcPr>
          <w:p w14:paraId="75250FBB" w14:textId="77777777" w:rsidR="00B02873" w:rsidRDefault="00B02873" w:rsidP="00965FC3">
            <w:pPr>
              <w:pStyle w:val="TablebodyleftFinancialsTables"/>
            </w:pPr>
            <w:r>
              <w:t>Country Fire Authority</w:t>
            </w:r>
          </w:p>
        </w:tc>
        <w:tc>
          <w:tcPr>
            <w:tcW w:w="1190" w:type="dxa"/>
          </w:tcPr>
          <w:p w14:paraId="29D97AB6" w14:textId="77777777" w:rsidR="00B02873" w:rsidRDefault="00B02873" w:rsidP="00965FC3">
            <w:pPr>
              <w:pStyle w:val="TablebodyleftFinancialsTables"/>
            </w:pPr>
            <w:r>
              <w:t>PFF</w:t>
            </w:r>
          </w:p>
        </w:tc>
        <w:tc>
          <w:tcPr>
            <w:tcW w:w="3629" w:type="dxa"/>
          </w:tcPr>
          <w:p w14:paraId="174562AC" w14:textId="77777777" w:rsidR="00B02873" w:rsidRDefault="00B02873" w:rsidP="00965FC3">
            <w:pPr>
              <w:pStyle w:val="TablebodyleftFinancialsTables"/>
            </w:pPr>
            <w:r>
              <w:t>Project Firefighter</w:t>
            </w:r>
          </w:p>
        </w:tc>
      </w:tr>
      <w:tr w:rsidR="00B02873" w:rsidRPr="00B02873" w14:paraId="39F219D0" w14:textId="77777777" w:rsidTr="00714844">
        <w:tc>
          <w:tcPr>
            <w:tcW w:w="1191" w:type="dxa"/>
          </w:tcPr>
          <w:p w14:paraId="4F2B858B" w14:textId="77777777" w:rsidR="00B02873" w:rsidRDefault="00B02873" w:rsidP="00965FC3">
            <w:pPr>
              <w:pStyle w:val="TablebodyleftFinancialsTables"/>
            </w:pPr>
            <w:r>
              <w:t>CMA</w:t>
            </w:r>
          </w:p>
        </w:tc>
        <w:tc>
          <w:tcPr>
            <w:tcW w:w="3628" w:type="dxa"/>
          </w:tcPr>
          <w:p w14:paraId="53AEF405" w14:textId="77777777" w:rsidR="00B02873" w:rsidRDefault="00B02873" w:rsidP="00965FC3">
            <w:pPr>
              <w:pStyle w:val="TablebodyleftFinancialsTables"/>
            </w:pPr>
            <w:r>
              <w:t>Catchment Management Authority</w:t>
            </w:r>
          </w:p>
        </w:tc>
        <w:tc>
          <w:tcPr>
            <w:tcW w:w="1190" w:type="dxa"/>
          </w:tcPr>
          <w:p w14:paraId="79D44B70" w14:textId="77777777" w:rsidR="00B02873" w:rsidRDefault="00B02873" w:rsidP="00965FC3">
            <w:pPr>
              <w:pStyle w:val="TablebodyleftFinancialsTables"/>
            </w:pPr>
            <w:r>
              <w:t>POBOS</w:t>
            </w:r>
          </w:p>
        </w:tc>
        <w:tc>
          <w:tcPr>
            <w:tcW w:w="3629" w:type="dxa"/>
          </w:tcPr>
          <w:p w14:paraId="605F0FE8" w14:textId="77777777" w:rsidR="00B02873" w:rsidRDefault="00B02873" w:rsidP="00965FC3">
            <w:pPr>
              <w:pStyle w:val="TablebodyleftFinancialsTables"/>
            </w:pPr>
            <w:r>
              <w:t xml:space="preserve">Payments made on behalf of the state </w:t>
            </w:r>
          </w:p>
        </w:tc>
      </w:tr>
      <w:tr w:rsidR="00B02873" w:rsidRPr="00B02873" w14:paraId="1770E3DB" w14:textId="77777777" w:rsidTr="00714844">
        <w:tc>
          <w:tcPr>
            <w:tcW w:w="1191" w:type="dxa"/>
          </w:tcPr>
          <w:p w14:paraId="17D514EF" w14:textId="77777777" w:rsidR="00B02873" w:rsidRDefault="00B02873" w:rsidP="00965FC3">
            <w:pPr>
              <w:pStyle w:val="TablebodyleftFinancialsTables"/>
            </w:pPr>
            <w:r>
              <w:t>DELWP</w:t>
            </w:r>
          </w:p>
        </w:tc>
        <w:tc>
          <w:tcPr>
            <w:tcW w:w="3628" w:type="dxa"/>
          </w:tcPr>
          <w:p w14:paraId="6490DC87" w14:textId="77777777" w:rsidR="00B02873" w:rsidRDefault="00B02873" w:rsidP="00965FC3">
            <w:pPr>
              <w:pStyle w:val="TablebodyleftFinancialsTables"/>
            </w:pPr>
            <w:r>
              <w:t>Department of Environment, Land, Water and Planning</w:t>
            </w:r>
          </w:p>
        </w:tc>
        <w:tc>
          <w:tcPr>
            <w:tcW w:w="1190" w:type="dxa"/>
          </w:tcPr>
          <w:p w14:paraId="246920BB" w14:textId="77777777" w:rsidR="00B02873" w:rsidRDefault="00B02873" w:rsidP="00965FC3">
            <w:pPr>
              <w:pStyle w:val="TablebodyleftFinancialsTables"/>
            </w:pPr>
            <w:r>
              <w:t>PTV</w:t>
            </w:r>
          </w:p>
        </w:tc>
        <w:tc>
          <w:tcPr>
            <w:tcW w:w="3629" w:type="dxa"/>
          </w:tcPr>
          <w:p w14:paraId="701958CF" w14:textId="77777777" w:rsidR="00B02873" w:rsidRDefault="00B02873" w:rsidP="00965FC3">
            <w:pPr>
              <w:pStyle w:val="TablebodyleftFinancialsTables"/>
            </w:pPr>
            <w:r>
              <w:t>Public Transport Victoria</w:t>
            </w:r>
          </w:p>
        </w:tc>
      </w:tr>
      <w:tr w:rsidR="00B02873" w:rsidRPr="00B02873" w14:paraId="0B1AC101" w14:textId="77777777" w:rsidTr="00714844">
        <w:tc>
          <w:tcPr>
            <w:tcW w:w="1191" w:type="dxa"/>
          </w:tcPr>
          <w:p w14:paraId="60E1F657" w14:textId="77777777" w:rsidR="00B02873" w:rsidRDefault="00B02873" w:rsidP="00965FC3">
            <w:pPr>
              <w:pStyle w:val="TablebodyleftFinancialsTables"/>
            </w:pPr>
            <w:r>
              <w:t>DET</w:t>
            </w:r>
          </w:p>
        </w:tc>
        <w:tc>
          <w:tcPr>
            <w:tcW w:w="3628" w:type="dxa"/>
          </w:tcPr>
          <w:p w14:paraId="57B440C5" w14:textId="77777777" w:rsidR="00B02873" w:rsidRDefault="00B02873" w:rsidP="00965FC3">
            <w:pPr>
              <w:pStyle w:val="TablebodyleftFinancialsTables"/>
            </w:pPr>
            <w:r>
              <w:t>Department of Education and Training</w:t>
            </w:r>
          </w:p>
        </w:tc>
        <w:tc>
          <w:tcPr>
            <w:tcW w:w="1190" w:type="dxa"/>
          </w:tcPr>
          <w:p w14:paraId="3925A540" w14:textId="77777777" w:rsidR="00B02873" w:rsidRDefault="00B02873" w:rsidP="00965FC3">
            <w:pPr>
              <w:pStyle w:val="TablebodyleftFinancialsTables"/>
            </w:pPr>
            <w:r>
              <w:t>PV</w:t>
            </w:r>
          </w:p>
        </w:tc>
        <w:tc>
          <w:tcPr>
            <w:tcW w:w="3629" w:type="dxa"/>
          </w:tcPr>
          <w:p w14:paraId="7441605D" w14:textId="77777777" w:rsidR="00B02873" w:rsidRDefault="00B02873" w:rsidP="00965FC3">
            <w:pPr>
              <w:pStyle w:val="TablebodyleftFinancialsTables"/>
            </w:pPr>
            <w:r>
              <w:t>Parks Victoria</w:t>
            </w:r>
          </w:p>
        </w:tc>
      </w:tr>
      <w:tr w:rsidR="00B02873" w:rsidRPr="00B02873" w14:paraId="679EE04E" w14:textId="77777777" w:rsidTr="00714844">
        <w:tc>
          <w:tcPr>
            <w:tcW w:w="1191" w:type="dxa"/>
          </w:tcPr>
          <w:p w14:paraId="1C6B0886" w14:textId="77777777" w:rsidR="00B02873" w:rsidRDefault="00B02873" w:rsidP="00965FC3">
            <w:pPr>
              <w:pStyle w:val="TablebodyleftFinancialsTables"/>
            </w:pPr>
            <w:r>
              <w:t>DH</w:t>
            </w:r>
          </w:p>
        </w:tc>
        <w:tc>
          <w:tcPr>
            <w:tcW w:w="3628" w:type="dxa"/>
          </w:tcPr>
          <w:p w14:paraId="5132C941" w14:textId="77777777" w:rsidR="00B02873" w:rsidRDefault="00B02873" w:rsidP="00965FC3">
            <w:pPr>
              <w:pStyle w:val="TablebodyleftFinancialsTables"/>
            </w:pPr>
            <w:r>
              <w:t>Department of Health</w:t>
            </w:r>
          </w:p>
        </w:tc>
        <w:tc>
          <w:tcPr>
            <w:tcW w:w="1190" w:type="dxa"/>
          </w:tcPr>
          <w:p w14:paraId="245FB4E2" w14:textId="77777777" w:rsidR="00B02873" w:rsidRDefault="00B02873" w:rsidP="00965FC3">
            <w:pPr>
              <w:pStyle w:val="TablebodyleftFinancialsTables"/>
            </w:pPr>
            <w:r>
              <w:t>REZ</w:t>
            </w:r>
          </w:p>
        </w:tc>
        <w:tc>
          <w:tcPr>
            <w:tcW w:w="3629" w:type="dxa"/>
          </w:tcPr>
          <w:p w14:paraId="06AAF5A8" w14:textId="77777777" w:rsidR="00B02873" w:rsidRDefault="00B02873" w:rsidP="00965FC3">
            <w:pPr>
              <w:pStyle w:val="TablebodyleftFinancialsTables"/>
            </w:pPr>
            <w:r>
              <w:t>Renewable Energy Zone</w:t>
            </w:r>
          </w:p>
        </w:tc>
      </w:tr>
      <w:tr w:rsidR="00B02873" w:rsidRPr="00B02873" w14:paraId="3B0603DB" w14:textId="77777777" w:rsidTr="00714844">
        <w:tc>
          <w:tcPr>
            <w:tcW w:w="1191" w:type="dxa"/>
          </w:tcPr>
          <w:p w14:paraId="55100BF7" w14:textId="77777777" w:rsidR="00B02873" w:rsidRDefault="00B02873" w:rsidP="00965FC3">
            <w:pPr>
              <w:pStyle w:val="TablebodyleftFinancialsTables"/>
            </w:pPr>
            <w:r>
              <w:t>DJCS</w:t>
            </w:r>
          </w:p>
        </w:tc>
        <w:tc>
          <w:tcPr>
            <w:tcW w:w="3628" w:type="dxa"/>
          </w:tcPr>
          <w:p w14:paraId="63A7F7B1" w14:textId="77777777" w:rsidR="00B02873" w:rsidRDefault="00B02873" w:rsidP="00965FC3">
            <w:pPr>
              <w:pStyle w:val="TablebodyleftFinancialsTables"/>
            </w:pPr>
            <w:r>
              <w:rPr>
                <w:spacing w:val="-5"/>
              </w:rPr>
              <w:t>Department of Justice and Community Safety</w:t>
            </w:r>
          </w:p>
        </w:tc>
        <w:tc>
          <w:tcPr>
            <w:tcW w:w="1190" w:type="dxa"/>
          </w:tcPr>
          <w:p w14:paraId="3DD62FE5" w14:textId="77777777" w:rsidR="00B02873" w:rsidRDefault="00B02873" w:rsidP="00965FC3">
            <w:pPr>
              <w:pStyle w:val="TablebodyleftFinancialsTables"/>
            </w:pPr>
            <w:r>
              <w:t>RPV</w:t>
            </w:r>
          </w:p>
        </w:tc>
        <w:tc>
          <w:tcPr>
            <w:tcW w:w="3629" w:type="dxa"/>
          </w:tcPr>
          <w:p w14:paraId="5CF841ED" w14:textId="77777777" w:rsidR="00B02873" w:rsidRDefault="00B02873" w:rsidP="00965FC3">
            <w:pPr>
              <w:pStyle w:val="TablebodyleftFinancialsTables"/>
            </w:pPr>
            <w:r>
              <w:t>Rail Projects Victoria</w:t>
            </w:r>
          </w:p>
        </w:tc>
      </w:tr>
      <w:tr w:rsidR="00B02873" w:rsidRPr="00B02873" w14:paraId="0CD69F10" w14:textId="77777777" w:rsidTr="00714844">
        <w:tc>
          <w:tcPr>
            <w:tcW w:w="1191" w:type="dxa"/>
          </w:tcPr>
          <w:p w14:paraId="70CEAB78" w14:textId="77777777" w:rsidR="00B02873" w:rsidRDefault="00B02873" w:rsidP="00965FC3">
            <w:pPr>
              <w:pStyle w:val="TablebodyleftFinancialsTables"/>
            </w:pPr>
            <w:r>
              <w:t>DJPR</w:t>
            </w:r>
          </w:p>
        </w:tc>
        <w:tc>
          <w:tcPr>
            <w:tcW w:w="3628" w:type="dxa"/>
          </w:tcPr>
          <w:p w14:paraId="4394FC4D" w14:textId="77777777" w:rsidR="00B02873" w:rsidRDefault="00B02873" w:rsidP="00965FC3">
            <w:pPr>
              <w:pStyle w:val="TablebodyleftFinancialsTables"/>
            </w:pPr>
            <w:r>
              <w:t>Department of Jobs, Precincts and Regions</w:t>
            </w:r>
          </w:p>
        </w:tc>
        <w:tc>
          <w:tcPr>
            <w:tcW w:w="1190" w:type="dxa"/>
          </w:tcPr>
          <w:p w14:paraId="459FEA6B" w14:textId="77777777" w:rsidR="00B02873" w:rsidRDefault="00B02873" w:rsidP="00965FC3">
            <w:pPr>
              <w:pStyle w:val="TablebodyleftFinancialsTables"/>
            </w:pPr>
            <w:r>
              <w:t>SDG</w:t>
            </w:r>
          </w:p>
        </w:tc>
        <w:tc>
          <w:tcPr>
            <w:tcW w:w="3629" w:type="dxa"/>
          </w:tcPr>
          <w:p w14:paraId="22F0D98C" w14:textId="77777777" w:rsidR="00B02873" w:rsidRDefault="00B02873" w:rsidP="00965FC3">
            <w:pPr>
              <w:pStyle w:val="TablebodyleftFinancialsTables"/>
            </w:pPr>
            <w:r>
              <w:t>Sustainable Development Goal</w:t>
            </w:r>
          </w:p>
        </w:tc>
      </w:tr>
      <w:tr w:rsidR="00B02873" w:rsidRPr="00B02873" w14:paraId="06A76702" w14:textId="77777777" w:rsidTr="00714844">
        <w:tc>
          <w:tcPr>
            <w:tcW w:w="1191" w:type="dxa"/>
          </w:tcPr>
          <w:p w14:paraId="20A0DC11" w14:textId="77777777" w:rsidR="00B02873" w:rsidRDefault="00B02873" w:rsidP="00965FC3">
            <w:pPr>
              <w:pStyle w:val="TablebodyleftFinancialsTables"/>
            </w:pPr>
            <w:r>
              <w:t>DoT</w:t>
            </w:r>
          </w:p>
        </w:tc>
        <w:tc>
          <w:tcPr>
            <w:tcW w:w="3628" w:type="dxa"/>
          </w:tcPr>
          <w:p w14:paraId="562734F1" w14:textId="77777777" w:rsidR="00B02873" w:rsidRDefault="00B02873" w:rsidP="00965FC3">
            <w:pPr>
              <w:pStyle w:val="TablebodyleftFinancialsTables"/>
            </w:pPr>
            <w:r>
              <w:t>Department of Transport</w:t>
            </w:r>
          </w:p>
        </w:tc>
        <w:tc>
          <w:tcPr>
            <w:tcW w:w="1190" w:type="dxa"/>
          </w:tcPr>
          <w:p w14:paraId="3926E74E" w14:textId="77777777" w:rsidR="00B02873" w:rsidRDefault="00B02873" w:rsidP="00965FC3">
            <w:pPr>
              <w:pStyle w:val="TablebodyleftFinancialsTables"/>
            </w:pPr>
            <w:r>
              <w:t>SES</w:t>
            </w:r>
          </w:p>
        </w:tc>
        <w:tc>
          <w:tcPr>
            <w:tcW w:w="3629" w:type="dxa"/>
          </w:tcPr>
          <w:p w14:paraId="24846870" w14:textId="77777777" w:rsidR="00B02873" w:rsidRDefault="00B02873" w:rsidP="00965FC3">
            <w:pPr>
              <w:pStyle w:val="TablebodyleftFinancialsTables"/>
            </w:pPr>
            <w:r>
              <w:t xml:space="preserve">Senior Executive Service </w:t>
            </w:r>
          </w:p>
        </w:tc>
      </w:tr>
      <w:tr w:rsidR="00B02873" w:rsidRPr="00B02873" w14:paraId="5C906F62" w14:textId="77777777" w:rsidTr="00714844">
        <w:tc>
          <w:tcPr>
            <w:tcW w:w="1191" w:type="dxa"/>
          </w:tcPr>
          <w:p w14:paraId="5F2774CB" w14:textId="77777777" w:rsidR="00B02873" w:rsidRDefault="00B02873" w:rsidP="00965FC3">
            <w:pPr>
              <w:pStyle w:val="TablebodyleftFinancialsTables"/>
            </w:pPr>
            <w:r>
              <w:t>DPC</w:t>
            </w:r>
          </w:p>
        </w:tc>
        <w:tc>
          <w:tcPr>
            <w:tcW w:w="3628" w:type="dxa"/>
          </w:tcPr>
          <w:p w14:paraId="07B86B03" w14:textId="77777777" w:rsidR="00B02873" w:rsidRDefault="00B02873" w:rsidP="00965FC3">
            <w:pPr>
              <w:pStyle w:val="TablebodyleftFinancialsTables"/>
            </w:pPr>
            <w:r>
              <w:t>Department of Premier and Cabinet</w:t>
            </w:r>
          </w:p>
        </w:tc>
        <w:tc>
          <w:tcPr>
            <w:tcW w:w="1190" w:type="dxa"/>
          </w:tcPr>
          <w:p w14:paraId="48EE0EB5" w14:textId="77777777" w:rsidR="00B02873" w:rsidRDefault="00B02873" w:rsidP="00965FC3">
            <w:pPr>
              <w:pStyle w:val="TablebodyleftFinancialsTables"/>
            </w:pPr>
            <w:r>
              <w:t>SES</w:t>
            </w:r>
          </w:p>
        </w:tc>
        <w:tc>
          <w:tcPr>
            <w:tcW w:w="3629" w:type="dxa"/>
          </w:tcPr>
          <w:p w14:paraId="6FB70D91" w14:textId="77777777" w:rsidR="00B02873" w:rsidRDefault="00B02873" w:rsidP="00965FC3">
            <w:pPr>
              <w:pStyle w:val="TablebodyleftFinancialsTables"/>
            </w:pPr>
            <w:r>
              <w:t>State Emergency Service</w:t>
            </w:r>
          </w:p>
        </w:tc>
      </w:tr>
      <w:tr w:rsidR="00B02873" w:rsidRPr="00B02873" w14:paraId="16C7A14A" w14:textId="77777777" w:rsidTr="00714844">
        <w:tc>
          <w:tcPr>
            <w:tcW w:w="1191" w:type="dxa"/>
          </w:tcPr>
          <w:p w14:paraId="2C0DD83F" w14:textId="77777777" w:rsidR="00B02873" w:rsidRDefault="00B02873" w:rsidP="00965FC3">
            <w:pPr>
              <w:pStyle w:val="TablebodyleftFinancialsTables"/>
            </w:pPr>
            <w:r>
              <w:lastRenderedPageBreak/>
              <w:t>DTF</w:t>
            </w:r>
          </w:p>
        </w:tc>
        <w:tc>
          <w:tcPr>
            <w:tcW w:w="3628" w:type="dxa"/>
          </w:tcPr>
          <w:p w14:paraId="2A2DB3F7" w14:textId="77777777" w:rsidR="00B02873" w:rsidRDefault="00B02873" w:rsidP="00965FC3">
            <w:pPr>
              <w:pStyle w:val="TablebodyleftFinancialsTables"/>
            </w:pPr>
            <w:r>
              <w:t>Department of Treasury and Finance</w:t>
            </w:r>
          </w:p>
        </w:tc>
        <w:tc>
          <w:tcPr>
            <w:tcW w:w="1190" w:type="dxa"/>
          </w:tcPr>
          <w:p w14:paraId="365DE4B8" w14:textId="77777777" w:rsidR="00B02873" w:rsidRDefault="00B02873" w:rsidP="00965FC3">
            <w:pPr>
              <w:pStyle w:val="TablebodyleftFinancialsTables"/>
            </w:pPr>
            <w:r>
              <w:t>SGV</w:t>
            </w:r>
          </w:p>
        </w:tc>
        <w:tc>
          <w:tcPr>
            <w:tcW w:w="3629" w:type="dxa"/>
          </w:tcPr>
          <w:p w14:paraId="4B1C4674" w14:textId="77777777" w:rsidR="00B02873" w:rsidRDefault="00B02873" w:rsidP="00965FC3">
            <w:pPr>
              <w:pStyle w:val="TablebodyleftFinancialsTables"/>
            </w:pPr>
            <w:r>
              <w:t>Surveyor-General Victoria</w:t>
            </w:r>
          </w:p>
        </w:tc>
      </w:tr>
      <w:tr w:rsidR="00B02873" w:rsidRPr="00B02873" w14:paraId="0A4C553B" w14:textId="77777777" w:rsidTr="00714844">
        <w:tc>
          <w:tcPr>
            <w:tcW w:w="1191" w:type="dxa"/>
          </w:tcPr>
          <w:p w14:paraId="038362DC" w14:textId="77777777" w:rsidR="00B02873" w:rsidRDefault="00B02873" w:rsidP="00965FC3">
            <w:pPr>
              <w:pStyle w:val="TablebodyleftFinancialsTables"/>
            </w:pPr>
            <w:r>
              <w:t>EPA</w:t>
            </w:r>
          </w:p>
        </w:tc>
        <w:tc>
          <w:tcPr>
            <w:tcW w:w="3628" w:type="dxa"/>
          </w:tcPr>
          <w:p w14:paraId="627456A1" w14:textId="77777777" w:rsidR="00B02873" w:rsidRDefault="00B02873" w:rsidP="00965FC3">
            <w:pPr>
              <w:pStyle w:val="TablebodyleftFinancialsTables"/>
            </w:pPr>
            <w:r>
              <w:t>Environment Protection Authority</w:t>
            </w:r>
          </w:p>
        </w:tc>
        <w:tc>
          <w:tcPr>
            <w:tcW w:w="1190" w:type="dxa"/>
          </w:tcPr>
          <w:p w14:paraId="242C4DFC" w14:textId="77777777" w:rsidR="00B02873" w:rsidRDefault="00B02873" w:rsidP="00965FC3">
            <w:pPr>
              <w:pStyle w:val="TablebodyleftFinancialsTables"/>
            </w:pPr>
            <w:r>
              <w:t>SoE</w:t>
            </w:r>
          </w:p>
        </w:tc>
        <w:tc>
          <w:tcPr>
            <w:tcW w:w="3629" w:type="dxa"/>
          </w:tcPr>
          <w:p w14:paraId="52B87AD0" w14:textId="77777777" w:rsidR="00B02873" w:rsidRDefault="00B02873" w:rsidP="00965FC3">
            <w:pPr>
              <w:pStyle w:val="TablebodyleftFinancialsTables"/>
            </w:pPr>
            <w:r>
              <w:t>Ministerial Statement of Expectations</w:t>
            </w:r>
          </w:p>
        </w:tc>
      </w:tr>
      <w:tr w:rsidR="00B02873" w:rsidRPr="00B02873" w14:paraId="51A50613" w14:textId="77777777" w:rsidTr="00714844">
        <w:tc>
          <w:tcPr>
            <w:tcW w:w="1191" w:type="dxa"/>
          </w:tcPr>
          <w:p w14:paraId="2D6E7FD7" w14:textId="77777777" w:rsidR="00B02873" w:rsidRDefault="00B02873" w:rsidP="00965FC3">
            <w:pPr>
              <w:pStyle w:val="TablebodyleftFinancialsTables"/>
            </w:pPr>
            <w:r>
              <w:t>EWR</w:t>
            </w:r>
          </w:p>
        </w:tc>
        <w:tc>
          <w:tcPr>
            <w:tcW w:w="3628" w:type="dxa"/>
          </w:tcPr>
          <w:p w14:paraId="032B38EB" w14:textId="77777777" w:rsidR="00B02873" w:rsidRDefault="00B02873" w:rsidP="00965FC3">
            <w:pPr>
              <w:pStyle w:val="TablebodyleftFinancialsTables"/>
            </w:pPr>
            <w:r>
              <w:t>Environmental Water Reserve</w:t>
            </w:r>
          </w:p>
        </w:tc>
        <w:tc>
          <w:tcPr>
            <w:tcW w:w="1190" w:type="dxa"/>
          </w:tcPr>
          <w:p w14:paraId="2C3352BC" w14:textId="77777777" w:rsidR="00B02873" w:rsidRDefault="00B02873" w:rsidP="00965FC3">
            <w:pPr>
              <w:pStyle w:val="TablebodyleftFinancialsTables"/>
            </w:pPr>
            <w:r>
              <w:t>SRO</w:t>
            </w:r>
          </w:p>
        </w:tc>
        <w:tc>
          <w:tcPr>
            <w:tcW w:w="3629" w:type="dxa"/>
          </w:tcPr>
          <w:p w14:paraId="47F9B517" w14:textId="77777777" w:rsidR="00B02873" w:rsidRDefault="00B02873" w:rsidP="00965FC3">
            <w:pPr>
              <w:pStyle w:val="TablebodyleftFinancialsTables"/>
            </w:pPr>
            <w:r>
              <w:t>State Revenue Office</w:t>
            </w:r>
          </w:p>
        </w:tc>
      </w:tr>
      <w:tr w:rsidR="00B02873" w:rsidRPr="00B02873" w14:paraId="74E3102E" w14:textId="77777777" w:rsidTr="00714844">
        <w:tc>
          <w:tcPr>
            <w:tcW w:w="1191" w:type="dxa"/>
          </w:tcPr>
          <w:p w14:paraId="42E6F51F" w14:textId="77777777" w:rsidR="00B02873" w:rsidRDefault="00B02873" w:rsidP="00965FC3">
            <w:pPr>
              <w:pStyle w:val="TablebodyleftFinancialsTables"/>
            </w:pPr>
            <w:r>
              <w:t>FFMVic</w:t>
            </w:r>
          </w:p>
        </w:tc>
        <w:tc>
          <w:tcPr>
            <w:tcW w:w="3628" w:type="dxa"/>
          </w:tcPr>
          <w:p w14:paraId="31568785" w14:textId="77777777" w:rsidR="00B02873" w:rsidRDefault="00B02873" w:rsidP="00965FC3">
            <w:pPr>
              <w:pStyle w:val="TablebodyleftFinancialsTables"/>
            </w:pPr>
            <w:r>
              <w:t>Forest Fire Management Victoria</w:t>
            </w:r>
          </w:p>
        </w:tc>
        <w:tc>
          <w:tcPr>
            <w:tcW w:w="1190" w:type="dxa"/>
          </w:tcPr>
          <w:p w14:paraId="5F99CA50" w14:textId="77777777" w:rsidR="00B02873" w:rsidRDefault="00B02873" w:rsidP="00965FC3">
            <w:pPr>
              <w:pStyle w:val="TablebodyleftFinancialsTables"/>
            </w:pPr>
            <w:r>
              <w:t>SSP</w:t>
            </w:r>
          </w:p>
        </w:tc>
        <w:tc>
          <w:tcPr>
            <w:tcW w:w="3629" w:type="dxa"/>
          </w:tcPr>
          <w:p w14:paraId="29F34677" w14:textId="77777777" w:rsidR="00B02873" w:rsidRDefault="00B02873" w:rsidP="00965FC3">
            <w:pPr>
              <w:pStyle w:val="TablebodyleftFinancialsTables"/>
            </w:pPr>
            <w:r>
              <w:t>Shared Service Provider</w:t>
            </w:r>
          </w:p>
        </w:tc>
      </w:tr>
      <w:tr w:rsidR="00B02873" w:rsidRPr="00B02873" w14:paraId="1316C32B" w14:textId="77777777" w:rsidTr="00714844">
        <w:tc>
          <w:tcPr>
            <w:tcW w:w="1191" w:type="dxa"/>
          </w:tcPr>
          <w:p w14:paraId="45F0A374" w14:textId="77777777" w:rsidR="00B02873" w:rsidRDefault="00B02873" w:rsidP="00965FC3">
            <w:pPr>
              <w:pStyle w:val="TablebodyleftFinancialsTables"/>
            </w:pPr>
            <w:r>
              <w:t>FOI</w:t>
            </w:r>
          </w:p>
        </w:tc>
        <w:tc>
          <w:tcPr>
            <w:tcW w:w="3628" w:type="dxa"/>
          </w:tcPr>
          <w:p w14:paraId="3BBB84F7" w14:textId="77777777" w:rsidR="00B02873" w:rsidRDefault="00B02873" w:rsidP="00965FC3">
            <w:pPr>
              <w:pStyle w:val="TablebodyleftFinancialsTables"/>
            </w:pPr>
            <w:r>
              <w:t>Freedom of Information</w:t>
            </w:r>
          </w:p>
        </w:tc>
        <w:tc>
          <w:tcPr>
            <w:tcW w:w="1190" w:type="dxa"/>
          </w:tcPr>
          <w:p w14:paraId="23E8B9D2" w14:textId="77777777" w:rsidR="00B02873" w:rsidRDefault="00B02873" w:rsidP="00965FC3">
            <w:pPr>
              <w:pStyle w:val="TablebodyleftFinancialsTables"/>
            </w:pPr>
            <w:r>
              <w:t>SV</w:t>
            </w:r>
          </w:p>
        </w:tc>
        <w:tc>
          <w:tcPr>
            <w:tcW w:w="3629" w:type="dxa"/>
          </w:tcPr>
          <w:p w14:paraId="322D68B5" w14:textId="77777777" w:rsidR="00B02873" w:rsidRDefault="00B02873" w:rsidP="00965FC3">
            <w:pPr>
              <w:pStyle w:val="TablebodyleftFinancialsTables"/>
            </w:pPr>
            <w:r>
              <w:t>Sustainability Victoria</w:t>
            </w:r>
          </w:p>
        </w:tc>
      </w:tr>
      <w:tr w:rsidR="00B02873" w:rsidRPr="00B02873" w14:paraId="39D91FB1" w14:textId="77777777" w:rsidTr="00714844">
        <w:tc>
          <w:tcPr>
            <w:tcW w:w="1191" w:type="dxa"/>
          </w:tcPr>
          <w:p w14:paraId="6B4A132C" w14:textId="77777777" w:rsidR="00B02873" w:rsidRDefault="00B02873" w:rsidP="00965FC3">
            <w:pPr>
              <w:pStyle w:val="TablebodyleftFinancialsTables"/>
            </w:pPr>
            <w:r>
              <w:t>FRD</w:t>
            </w:r>
          </w:p>
        </w:tc>
        <w:tc>
          <w:tcPr>
            <w:tcW w:w="3628" w:type="dxa"/>
          </w:tcPr>
          <w:p w14:paraId="13CE74ED" w14:textId="77777777" w:rsidR="00B02873" w:rsidRDefault="00B02873" w:rsidP="00965FC3">
            <w:pPr>
              <w:pStyle w:val="TablebodyleftFinancialsTables"/>
            </w:pPr>
            <w:r>
              <w:t>Financial Reporting Direction</w:t>
            </w:r>
          </w:p>
        </w:tc>
        <w:tc>
          <w:tcPr>
            <w:tcW w:w="1190" w:type="dxa"/>
          </w:tcPr>
          <w:p w14:paraId="726857F9" w14:textId="77777777" w:rsidR="00B02873" w:rsidRDefault="00B02873" w:rsidP="00965FC3">
            <w:pPr>
              <w:pStyle w:val="TablebodyleftFinancialsTables"/>
            </w:pPr>
            <w:r>
              <w:t>TOC</w:t>
            </w:r>
          </w:p>
        </w:tc>
        <w:tc>
          <w:tcPr>
            <w:tcW w:w="3629" w:type="dxa"/>
          </w:tcPr>
          <w:p w14:paraId="2803EE49" w14:textId="77777777" w:rsidR="00B02873" w:rsidRDefault="00B02873" w:rsidP="00965FC3">
            <w:pPr>
              <w:pStyle w:val="TablebodyleftFinancialsTables"/>
            </w:pPr>
            <w:r>
              <w:t>Traditional Owner Corporation</w:t>
            </w:r>
          </w:p>
        </w:tc>
      </w:tr>
      <w:tr w:rsidR="00B02873" w:rsidRPr="00B02873" w14:paraId="431E270B" w14:textId="77777777" w:rsidTr="00714844">
        <w:tc>
          <w:tcPr>
            <w:tcW w:w="1191" w:type="dxa"/>
          </w:tcPr>
          <w:p w14:paraId="59A1937B" w14:textId="77777777" w:rsidR="00B02873" w:rsidRDefault="00B02873" w:rsidP="00965FC3">
            <w:pPr>
              <w:pStyle w:val="TablebodyleftFinancialsTables"/>
            </w:pPr>
            <w:r>
              <w:t>FRV</w:t>
            </w:r>
          </w:p>
        </w:tc>
        <w:tc>
          <w:tcPr>
            <w:tcW w:w="3628" w:type="dxa"/>
          </w:tcPr>
          <w:p w14:paraId="26A3A8C8" w14:textId="77777777" w:rsidR="00B02873" w:rsidRDefault="00B02873" w:rsidP="00965FC3">
            <w:pPr>
              <w:pStyle w:val="TablebodyleftFinancialsTables"/>
            </w:pPr>
            <w:r>
              <w:t>Fire Rescue Victoria</w:t>
            </w:r>
          </w:p>
        </w:tc>
        <w:tc>
          <w:tcPr>
            <w:tcW w:w="1190" w:type="dxa"/>
          </w:tcPr>
          <w:p w14:paraId="6F8EC4FD" w14:textId="77777777" w:rsidR="00B02873" w:rsidRDefault="00B02873" w:rsidP="00965FC3">
            <w:pPr>
              <w:pStyle w:val="TablebodyleftFinancialsTables"/>
            </w:pPr>
            <w:r>
              <w:t>VAGO</w:t>
            </w:r>
          </w:p>
        </w:tc>
        <w:tc>
          <w:tcPr>
            <w:tcW w:w="3629" w:type="dxa"/>
          </w:tcPr>
          <w:p w14:paraId="532810ED" w14:textId="77777777" w:rsidR="00B02873" w:rsidRDefault="00B02873" w:rsidP="00965FC3">
            <w:pPr>
              <w:pStyle w:val="TablebodyleftFinancialsTables"/>
            </w:pPr>
            <w:r>
              <w:t>Victorian Auditor General’s Office</w:t>
            </w:r>
          </w:p>
        </w:tc>
      </w:tr>
      <w:tr w:rsidR="00B02873" w:rsidRPr="00B02873" w14:paraId="3CAF1AB1" w14:textId="77777777" w:rsidTr="00714844">
        <w:tc>
          <w:tcPr>
            <w:tcW w:w="1191" w:type="dxa"/>
          </w:tcPr>
          <w:p w14:paraId="76CCADC1" w14:textId="77777777" w:rsidR="00B02873" w:rsidRDefault="00B02873" w:rsidP="00965FC3">
            <w:pPr>
              <w:pStyle w:val="TablebodyleftFinancialsTables"/>
            </w:pPr>
            <w:r>
              <w:t>FTE</w:t>
            </w:r>
          </w:p>
        </w:tc>
        <w:tc>
          <w:tcPr>
            <w:tcW w:w="3628" w:type="dxa"/>
          </w:tcPr>
          <w:p w14:paraId="2532C05F" w14:textId="77777777" w:rsidR="00B02873" w:rsidRDefault="00B02873" w:rsidP="00965FC3">
            <w:pPr>
              <w:pStyle w:val="TablebodyleftFinancialsTables"/>
            </w:pPr>
            <w:r>
              <w:t>Full-Time Equivalent</w:t>
            </w:r>
          </w:p>
        </w:tc>
        <w:tc>
          <w:tcPr>
            <w:tcW w:w="1190" w:type="dxa"/>
          </w:tcPr>
          <w:p w14:paraId="270ACEB6" w14:textId="77777777" w:rsidR="00B02873" w:rsidRDefault="00B02873" w:rsidP="00965FC3">
            <w:pPr>
              <w:pStyle w:val="TablebodyleftFinancialsTables"/>
            </w:pPr>
            <w:r>
              <w:t>VBA</w:t>
            </w:r>
          </w:p>
        </w:tc>
        <w:tc>
          <w:tcPr>
            <w:tcW w:w="3629" w:type="dxa"/>
          </w:tcPr>
          <w:p w14:paraId="64A8D98E" w14:textId="77777777" w:rsidR="00B02873" w:rsidRDefault="00B02873" w:rsidP="00965FC3">
            <w:pPr>
              <w:pStyle w:val="TablebodyleftFinancialsTables"/>
            </w:pPr>
            <w:r>
              <w:t>Victorian Building Authority</w:t>
            </w:r>
          </w:p>
        </w:tc>
      </w:tr>
      <w:tr w:rsidR="00B02873" w:rsidRPr="00B02873" w14:paraId="14BAA2A3" w14:textId="77777777" w:rsidTr="00714844">
        <w:tc>
          <w:tcPr>
            <w:tcW w:w="1191" w:type="dxa"/>
          </w:tcPr>
          <w:p w14:paraId="249FC6AE" w14:textId="77777777" w:rsidR="00B02873" w:rsidRDefault="00B02873" w:rsidP="00965FC3">
            <w:pPr>
              <w:pStyle w:val="TablebodyleftFinancialsTables"/>
            </w:pPr>
            <w:r>
              <w:t>GAIC</w:t>
            </w:r>
          </w:p>
        </w:tc>
        <w:tc>
          <w:tcPr>
            <w:tcW w:w="3628" w:type="dxa"/>
          </w:tcPr>
          <w:p w14:paraId="2095B48A" w14:textId="77777777" w:rsidR="00B02873" w:rsidRDefault="00B02873" w:rsidP="00965FC3">
            <w:pPr>
              <w:pStyle w:val="TablebodyleftFinancialsTables"/>
            </w:pPr>
            <w:r>
              <w:t>Growth Areas Infrastructure Contribution</w:t>
            </w:r>
          </w:p>
        </w:tc>
        <w:tc>
          <w:tcPr>
            <w:tcW w:w="1190" w:type="dxa"/>
          </w:tcPr>
          <w:p w14:paraId="2A3BD5DF" w14:textId="77777777" w:rsidR="00B02873" w:rsidRDefault="00B02873" w:rsidP="00965FC3">
            <w:pPr>
              <w:pStyle w:val="TablebodyleftFinancialsTables"/>
            </w:pPr>
            <w:r>
              <w:t>VCAT</w:t>
            </w:r>
          </w:p>
        </w:tc>
        <w:tc>
          <w:tcPr>
            <w:tcW w:w="3629" w:type="dxa"/>
          </w:tcPr>
          <w:p w14:paraId="54888747" w14:textId="77777777" w:rsidR="00B02873" w:rsidRDefault="00B02873" w:rsidP="00965FC3">
            <w:pPr>
              <w:pStyle w:val="TablebodyleftFinancialsTables"/>
            </w:pPr>
            <w:r>
              <w:t>Victorian Civil and Administrative Tribunal</w:t>
            </w:r>
          </w:p>
        </w:tc>
      </w:tr>
      <w:tr w:rsidR="00B02873" w:rsidRPr="00B02873" w14:paraId="2D1C1B85" w14:textId="77777777" w:rsidTr="00714844">
        <w:tc>
          <w:tcPr>
            <w:tcW w:w="1191" w:type="dxa"/>
          </w:tcPr>
          <w:p w14:paraId="56FDF3A5" w14:textId="77777777" w:rsidR="00B02873" w:rsidRDefault="00B02873" w:rsidP="00965FC3">
            <w:pPr>
              <w:pStyle w:val="TablebodyleftFinancialsTables"/>
            </w:pPr>
            <w:r>
              <w:t>GST</w:t>
            </w:r>
          </w:p>
        </w:tc>
        <w:tc>
          <w:tcPr>
            <w:tcW w:w="3628" w:type="dxa"/>
          </w:tcPr>
          <w:p w14:paraId="6778F621" w14:textId="77777777" w:rsidR="00B02873" w:rsidRDefault="00B02873" w:rsidP="00965FC3">
            <w:pPr>
              <w:pStyle w:val="TablebodyleftFinancialsTables"/>
            </w:pPr>
            <w:r>
              <w:t>Goods and Services Tax</w:t>
            </w:r>
          </w:p>
        </w:tc>
        <w:tc>
          <w:tcPr>
            <w:tcW w:w="1190" w:type="dxa"/>
          </w:tcPr>
          <w:p w14:paraId="26872D20" w14:textId="77777777" w:rsidR="00B02873" w:rsidRDefault="00B02873" w:rsidP="00965FC3">
            <w:pPr>
              <w:pStyle w:val="TablebodyleftFinancialsTables"/>
            </w:pPr>
            <w:r>
              <w:t>VEU</w:t>
            </w:r>
          </w:p>
        </w:tc>
        <w:tc>
          <w:tcPr>
            <w:tcW w:w="3629" w:type="dxa"/>
          </w:tcPr>
          <w:p w14:paraId="2ADAF600" w14:textId="77777777" w:rsidR="00B02873" w:rsidRDefault="00B02873" w:rsidP="00965FC3">
            <w:pPr>
              <w:pStyle w:val="TablebodyleftFinancialsTables"/>
            </w:pPr>
            <w:r>
              <w:t>Victorian Energy Upgrades</w:t>
            </w:r>
          </w:p>
        </w:tc>
      </w:tr>
      <w:tr w:rsidR="00B02873" w:rsidRPr="00B02873" w14:paraId="7DA0C07C" w14:textId="77777777" w:rsidTr="00714844">
        <w:tc>
          <w:tcPr>
            <w:tcW w:w="1191" w:type="dxa"/>
          </w:tcPr>
          <w:p w14:paraId="2A5875AA" w14:textId="77777777" w:rsidR="00B02873" w:rsidRDefault="00B02873" w:rsidP="00965FC3">
            <w:pPr>
              <w:pStyle w:val="TablebodyleftFinancialsTables"/>
            </w:pPr>
            <w:r>
              <w:t>HSR</w:t>
            </w:r>
          </w:p>
        </w:tc>
        <w:tc>
          <w:tcPr>
            <w:tcW w:w="3628" w:type="dxa"/>
          </w:tcPr>
          <w:p w14:paraId="1EA6C504" w14:textId="77777777" w:rsidR="00B02873" w:rsidRDefault="00B02873" w:rsidP="00965FC3">
            <w:pPr>
              <w:pStyle w:val="TablebodyleftFinancialsTables"/>
            </w:pPr>
            <w:r>
              <w:t>Health and Safety Representative</w:t>
            </w:r>
          </w:p>
        </w:tc>
        <w:tc>
          <w:tcPr>
            <w:tcW w:w="1190" w:type="dxa"/>
          </w:tcPr>
          <w:p w14:paraId="7EE0DE26" w14:textId="77777777" w:rsidR="00B02873" w:rsidRDefault="00B02873" w:rsidP="00965FC3">
            <w:pPr>
              <w:pStyle w:val="TablebodyleftFinancialsTables"/>
            </w:pPr>
            <w:r>
              <w:t>VEWH</w:t>
            </w:r>
          </w:p>
        </w:tc>
        <w:tc>
          <w:tcPr>
            <w:tcW w:w="3629" w:type="dxa"/>
          </w:tcPr>
          <w:p w14:paraId="13B764BF" w14:textId="77777777" w:rsidR="00B02873" w:rsidRDefault="00B02873" w:rsidP="00965FC3">
            <w:pPr>
              <w:pStyle w:val="TablebodyleftFinancialsTables"/>
            </w:pPr>
            <w:r>
              <w:t>Victorian Environmental Water Holder</w:t>
            </w:r>
          </w:p>
        </w:tc>
      </w:tr>
      <w:tr w:rsidR="00B02873" w:rsidRPr="00B02873" w14:paraId="65741D9A" w14:textId="77777777" w:rsidTr="00714844">
        <w:tc>
          <w:tcPr>
            <w:tcW w:w="1191" w:type="dxa"/>
          </w:tcPr>
          <w:p w14:paraId="1B0551BB" w14:textId="77777777" w:rsidR="00B02873" w:rsidRDefault="00B02873" w:rsidP="00965FC3">
            <w:pPr>
              <w:pStyle w:val="TablebodyleftFinancialsTables"/>
            </w:pPr>
            <w:r>
              <w:t>IBAC</w:t>
            </w:r>
          </w:p>
        </w:tc>
        <w:tc>
          <w:tcPr>
            <w:tcW w:w="3628" w:type="dxa"/>
          </w:tcPr>
          <w:p w14:paraId="361D3000" w14:textId="48B5EF45" w:rsidR="00B02873" w:rsidRDefault="00B02873" w:rsidP="00965FC3">
            <w:pPr>
              <w:pStyle w:val="TablebodyleftFinancialsTables"/>
            </w:pPr>
            <w:r>
              <w:rPr>
                <w:spacing w:val="2"/>
              </w:rPr>
              <w:t>The Independent Broad Based Anti-Corruption Commission</w:t>
            </w:r>
          </w:p>
        </w:tc>
        <w:tc>
          <w:tcPr>
            <w:tcW w:w="1190" w:type="dxa"/>
          </w:tcPr>
          <w:p w14:paraId="18C74B44" w14:textId="77777777" w:rsidR="00B02873" w:rsidRDefault="00B02873" w:rsidP="00965FC3">
            <w:pPr>
              <w:pStyle w:val="TablebodyleftFinancialsTables"/>
            </w:pPr>
            <w:r>
              <w:t>VGV</w:t>
            </w:r>
          </w:p>
        </w:tc>
        <w:tc>
          <w:tcPr>
            <w:tcW w:w="3629" w:type="dxa"/>
          </w:tcPr>
          <w:p w14:paraId="309F2C52" w14:textId="77777777" w:rsidR="00B02873" w:rsidRDefault="00B02873" w:rsidP="00965FC3">
            <w:pPr>
              <w:pStyle w:val="TablebodyleftFinancialsTables"/>
            </w:pPr>
            <w:r>
              <w:t>Valuer-General Victoria</w:t>
            </w:r>
          </w:p>
        </w:tc>
      </w:tr>
      <w:tr w:rsidR="00B02873" w:rsidRPr="00B02873" w14:paraId="4EBC6A95" w14:textId="77777777" w:rsidTr="00714844">
        <w:tc>
          <w:tcPr>
            <w:tcW w:w="1191" w:type="dxa"/>
          </w:tcPr>
          <w:p w14:paraId="32A098A7" w14:textId="77777777" w:rsidR="00B02873" w:rsidRDefault="00B02873" w:rsidP="00965FC3">
            <w:pPr>
              <w:pStyle w:val="TablebodyleftFinancialsTables"/>
            </w:pPr>
            <w:r>
              <w:t>ICT</w:t>
            </w:r>
          </w:p>
        </w:tc>
        <w:tc>
          <w:tcPr>
            <w:tcW w:w="3628" w:type="dxa"/>
          </w:tcPr>
          <w:p w14:paraId="560D143C" w14:textId="77777777" w:rsidR="00B02873" w:rsidRDefault="00B02873" w:rsidP="00965FC3">
            <w:pPr>
              <w:pStyle w:val="TablebodyleftFinancialsTables"/>
            </w:pPr>
            <w:r>
              <w:t>Information and Communications Technology</w:t>
            </w:r>
          </w:p>
        </w:tc>
        <w:tc>
          <w:tcPr>
            <w:tcW w:w="1190" w:type="dxa"/>
          </w:tcPr>
          <w:p w14:paraId="4ECE2C45" w14:textId="77777777" w:rsidR="00B02873" w:rsidRDefault="00B02873" w:rsidP="00965FC3">
            <w:pPr>
              <w:pStyle w:val="TablebodyleftFinancialsTables"/>
            </w:pPr>
            <w:r>
              <w:t>VPA</w:t>
            </w:r>
          </w:p>
        </w:tc>
        <w:tc>
          <w:tcPr>
            <w:tcW w:w="3629" w:type="dxa"/>
          </w:tcPr>
          <w:p w14:paraId="5685312D" w14:textId="77777777" w:rsidR="00B02873" w:rsidRDefault="00B02873" w:rsidP="00965FC3">
            <w:pPr>
              <w:pStyle w:val="TablebodyleftFinancialsTables"/>
            </w:pPr>
            <w:r>
              <w:t>Victorian Planning Authority</w:t>
            </w:r>
          </w:p>
        </w:tc>
      </w:tr>
      <w:tr w:rsidR="00B02873" w:rsidRPr="00B02873" w14:paraId="6F77B3B4" w14:textId="77777777" w:rsidTr="00714844">
        <w:tc>
          <w:tcPr>
            <w:tcW w:w="1191" w:type="dxa"/>
          </w:tcPr>
          <w:p w14:paraId="2D51AACD" w14:textId="77777777" w:rsidR="00B02873" w:rsidRDefault="00B02873" w:rsidP="00965FC3">
            <w:pPr>
              <w:pStyle w:val="TablebodyleftFinancialsTables"/>
            </w:pPr>
            <w:r>
              <w:t>IGEM</w:t>
            </w:r>
          </w:p>
        </w:tc>
        <w:tc>
          <w:tcPr>
            <w:tcW w:w="3628" w:type="dxa"/>
          </w:tcPr>
          <w:p w14:paraId="311237B1" w14:textId="77777777" w:rsidR="00B02873" w:rsidRDefault="00B02873" w:rsidP="00965FC3">
            <w:pPr>
              <w:pStyle w:val="TablebodyleftFinancialsTables"/>
            </w:pPr>
            <w:r>
              <w:rPr>
                <w:spacing w:val="-6"/>
              </w:rPr>
              <w:t>Inspector-General for Emergency Management</w:t>
            </w:r>
          </w:p>
        </w:tc>
        <w:tc>
          <w:tcPr>
            <w:tcW w:w="1190" w:type="dxa"/>
          </w:tcPr>
          <w:p w14:paraId="22EF4424" w14:textId="77777777" w:rsidR="00B02873" w:rsidRDefault="00B02873" w:rsidP="00965FC3">
            <w:pPr>
              <w:pStyle w:val="TablebodyleftFinancialsTables"/>
            </w:pPr>
            <w:r>
              <w:t>VPS</w:t>
            </w:r>
          </w:p>
        </w:tc>
        <w:tc>
          <w:tcPr>
            <w:tcW w:w="3629" w:type="dxa"/>
          </w:tcPr>
          <w:p w14:paraId="5015CD74" w14:textId="77777777" w:rsidR="00B02873" w:rsidRDefault="00B02873" w:rsidP="00965FC3">
            <w:pPr>
              <w:pStyle w:val="TablebodyleftFinancialsTables"/>
            </w:pPr>
            <w:r>
              <w:t>Victorian Public Service</w:t>
            </w:r>
          </w:p>
        </w:tc>
      </w:tr>
      <w:tr w:rsidR="00B02873" w:rsidRPr="00B02873" w14:paraId="6A32B42B" w14:textId="77777777" w:rsidTr="00714844">
        <w:tc>
          <w:tcPr>
            <w:tcW w:w="1191" w:type="dxa"/>
          </w:tcPr>
          <w:p w14:paraId="5E35F50D" w14:textId="77777777" w:rsidR="00B02873" w:rsidRDefault="00B02873" w:rsidP="00965FC3">
            <w:pPr>
              <w:pStyle w:val="TablebodyleftFinancialsTables"/>
            </w:pPr>
            <w:r>
              <w:t>IPAA</w:t>
            </w:r>
          </w:p>
        </w:tc>
        <w:tc>
          <w:tcPr>
            <w:tcW w:w="3628" w:type="dxa"/>
          </w:tcPr>
          <w:p w14:paraId="5706ECE1" w14:textId="77777777" w:rsidR="00B02873" w:rsidRDefault="00B02873" w:rsidP="00965FC3">
            <w:pPr>
              <w:pStyle w:val="TablebodyleftFinancialsTables"/>
            </w:pPr>
            <w:r>
              <w:t>Institute of Public Administration Australia</w:t>
            </w:r>
          </w:p>
        </w:tc>
        <w:tc>
          <w:tcPr>
            <w:tcW w:w="1190" w:type="dxa"/>
          </w:tcPr>
          <w:p w14:paraId="3FBA68ED" w14:textId="77777777" w:rsidR="00B02873" w:rsidRDefault="00B02873" w:rsidP="00965FC3">
            <w:pPr>
              <w:pStyle w:val="TablebodyleftFinancialsTables"/>
            </w:pPr>
            <w:r>
              <w:t>VRET</w:t>
            </w:r>
          </w:p>
        </w:tc>
        <w:tc>
          <w:tcPr>
            <w:tcW w:w="3629" w:type="dxa"/>
          </w:tcPr>
          <w:p w14:paraId="6D58293B" w14:textId="77777777" w:rsidR="00B02873" w:rsidRDefault="00B02873" w:rsidP="00965FC3">
            <w:pPr>
              <w:pStyle w:val="TablebodyleftFinancialsTables"/>
            </w:pPr>
            <w:r>
              <w:t>Victorian Renewable Energy Target</w:t>
            </w:r>
          </w:p>
        </w:tc>
      </w:tr>
      <w:tr w:rsidR="00B02873" w:rsidRPr="00B02873" w14:paraId="22C75217" w14:textId="77777777" w:rsidTr="00714844">
        <w:tc>
          <w:tcPr>
            <w:tcW w:w="1191" w:type="dxa"/>
          </w:tcPr>
          <w:p w14:paraId="3636B9A7" w14:textId="77777777" w:rsidR="00B02873" w:rsidRDefault="00B02873" w:rsidP="00965FC3">
            <w:pPr>
              <w:pStyle w:val="TablebodyleftFinancialsTables"/>
            </w:pPr>
            <w:r>
              <w:t>LGBTIQ+</w:t>
            </w:r>
          </w:p>
        </w:tc>
        <w:tc>
          <w:tcPr>
            <w:tcW w:w="3628" w:type="dxa"/>
          </w:tcPr>
          <w:p w14:paraId="6C7D01F3" w14:textId="77777777" w:rsidR="00B02873" w:rsidRDefault="00B02873" w:rsidP="00965FC3">
            <w:pPr>
              <w:pStyle w:val="TablebodyleftFinancialsTables"/>
            </w:pPr>
            <w:r>
              <w:rPr>
                <w:spacing w:val="3"/>
              </w:rPr>
              <w:t>Lesbian, Gay, Bisexual, Transgender, Intersex, Queer+</w:t>
            </w:r>
          </w:p>
        </w:tc>
        <w:tc>
          <w:tcPr>
            <w:tcW w:w="1190" w:type="dxa"/>
          </w:tcPr>
          <w:p w14:paraId="12C0AFA8" w14:textId="77777777" w:rsidR="00B02873" w:rsidRDefault="00B02873" w:rsidP="00965FC3">
            <w:pPr>
              <w:pStyle w:val="TablebodyleftFinancialsTables"/>
            </w:pPr>
            <w:r>
              <w:t>VWA</w:t>
            </w:r>
          </w:p>
        </w:tc>
        <w:tc>
          <w:tcPr>
            <w:tcW w:w="3629" w:type="dxa"/>
          </w:tcPr>
          <w:p w14:paraId="051F748F" w14:textId="77777777" w:rsidR="00B02873" w:rsidRDefault="00B02873" w:rsidP="00965FC3">
            <w:pPr>
              <w:pStyle w:val="TablebodyleftFinancialsTables"/>
            </w:pPr>
            <w:r>
              <w:t>Victorian Water Accounts</w:t>
            </w:r>
          </w:p>
        </w:tc>
      </w:tr>
      <w:tr w:rsidR="00B02873" w:rsidRPr="00B02873" w14:paraId="0F6E51FA" w14:textId="77777777" w:rsidTr="00714844">
        <w:tc>
          <w:tcPr>
            <w:tcW w:w="1191" w:type="dxa"/>
          </w:tcPr>
          <w:p w14:paraId="53A5026A" w14:textId="77777777" w:rsidR="00B02873" w:rsidRDefault="00B02873" w:rsidP="00965FC3">
            <w:pPr>
              <w:pStyle w:val="TablebodyleftFinancialsTables"/>
            </w:pPr>
            <w:r>
              <w:t>LGC</w:t>
            </w:r>
          </w:p>
        </w:tc>
        <w:tc>
          <w:tcPr>
            <w:tcW w:w="3628" w:type="dxa"/>
          </w:tcPr>
          <w:p w14:paraId="7C5A6FF9" w14:textId="77777777" w:rsidR="00B02873" w:rsidRDefault="00B02873" w:rsidP="00965FC3">
            <w:pPr>
              <w:pStyle w:val="TablebodyleftFinancialsTables"/>
            </w:pPr>
            <w:r>
              <w:t xml:space="preserve">Large-scale generation certificates </w:t>
            </w:r>
          </w:p>
        </w:tc>
        <w:tc>
          <w:tcPr>
            <w:tcW w:w="1190" w:type="dxa"/>
          </w:tcPr>
          <w:p w14:paraId="3486B0FF" w14:textId="77777777" w:rsidR="00B02873" w:rsidRDefault="00B02873" w:rsidP="00965FC3">
            <w:pPr>
              <w:pStyle w:val="TablebodyleftFinancialsTables"/>
            </w:pPr>
            <w:r>
              <w:t>WoVG</w:t>
            </w:r>
          </w:p>
        </w:tc>
        <w:tc>
          <w:tcPr>
            <w:tcW w:w="3629" w:type="dxa"/>
          </w:tcPr>
          <w:p w14:paraId="2E41051F" w14:textId="77777777" w:rsidR="00B02873" w:rsidRDefault="00B02873" w:rsidP="00965FC3">
            <w:pPr>
              <w:pStyle w:val="TablebodyleftFinancialsTables"/>
            </w:pPr>
            <w:r>
              <w:t>Whole of Victorian Government</w:t>
            </w:r>
          </w:p>
        </w:tc>
      </w:tr>
    </w:tbl>
    <w:p w14:paraId="164BA3E3" w14:textId="77777777" w:rsidR="00B02873" w:rsidRDefault="00B02873" w:rsidP="00FE198A"/>
    <w:p w14:paraId="6EDAFA8D" w14:textId="77777777" w:rsidR="00B02873" w:rsidRDefault="00B02873" w:rsidP="00965FC3">
      <w:pPr>
        <w:pStyle w:val="TabletitleTables"/>
      </w:pPr>
      <w:r>
        <w:t>Units of Measure</w:t>
      </w:r>
    </w:p>
    <w:tbl>
      <w:tblPr>
        <w:tblStyle w:val="TableGrid"/>
        <w:tblW w:w="0" w:type="auto"/>
        <w:tblLayout w:type="fixed"/>
        <w:tblLook w:val="0020" w:firstRow="1" w:lastRow="0" w:firstColumn="0" w:lastColumn="0" w:noHBand="0" w:noVBand="0"/>
      </w:tblPr>
      <w:tblGrid>
        <w:gridCol w:w="1191"/>
        <w:gridCol w:w="3628"/>
      </w:tblGrid>
      <w:tr w:rsidR="00B02873" w:rsidRPr="00B02873" w14:paraId="46FA9D9B" w14:textId="77777777" w:rsidTr="00965FC3">
        <w:trPr>
          <w:cnfStyle w:val="100000000000" w:firstRow="1" w:lastRow="0" w:firstColumn="0" w:lastColumn="0" w:oddVBand="0" w:evenVBand="0" w:oddHBand="0" w:evenHBand="0" w:firstRowFirstColumn="0" w:firstRowLastColumn="0" w:lastRowFirstColumn="0" w:lastRowLastColumn="0"/>
        </w:trPr>
        <w:tc>
          <w:tcPr>
            <w:tcW w:w="1191" w:type="dxa"/>
          </w:tcPr>
          <w:p w14:paraId="61CAF12D" w14:textId="77777777" w:rsidR="00B02873" w:rsidRDefault="00B02873" w:rsidP="00965FC3">
            <w:pPr>
              <w:pStyle w:val="TablebodyleftFinancialsTables"/>
            </w:pPr>
            <w:r>
              <w:t>CO</w:t>
            </w:r>
            <w:r w:rsidRPr="00965FC3">
              <w:rPr>
                <w:vertAlign w:val="subscript"/>
              </w:rPr>
              <w:t>2</w:t>
            </w:r>
            <w:r>
              <w:t>-e</w:t>
            </w:r>
          </w:p>
        </w:tc>
        <w:tc>
          <w:tcPr>
            <w:tcW w:w="3628" w:type="dxa"/>
          </w:tcPr>
          <w:p w14:paraId="41933239" w14:textId="77777777" w:rsidR="00B02873" w:rsidRDefault="00B02873" w:rsidP="00965FC3">
            <w:pPr>
              <w:pStyle w:val="TablebodyleftFinancialsTables"/>
            </w:pPr>
            <w:r>
              <w:t xml:space="preserve">Carbon dioxide equivalent </w:t>
            </w:r>
          </w:p>
        </w:tc>
      </w:tr>
      <w:tr w:rsidR="00B02873" w:rsidRPr="00B02873" w14:paraId="1CBE5D18" w14:textId="77777777" w:rsidTr="00965FC3">
        <w:tc>
          <w:tcPr>
            <w:tcW w:w="1191" w:type="dxa"/>
          </w:tcPr>
          <w:p w14:paraId="177D288A" w14:textId="77777777" w:rsidR="00B02873" w:rsidRDefault="00B02873" w:rsidP="00965FC3">
            <w:pPr>
              <w:pStyle w:val="TablebodyleftFinancialsTables"/>
            </w:pPr>
            <w:r>
              <w:t>L</w:t>
            </w:r>
          </w:p>
        </w:tc>
        <w:tc>
          <w:tcPr>
            <w:tcW w:w="3628" w:type="dxa"/>
          </w:tcPr>
          <w:p w14:paraId="3788F8D2" w14:textId="77777777" w:rsidR="00B02873" w:rsidRDefault="00B02873" w:rsidP="00965FC3">
            <w:pPr>
              <w:pStyle w:val="TablebodyleftFinancialsTables"/>
            </w:pPr>
            <w:r>
              <w:t>Litre</w:t>
            </w:r>
          </w:p>
        </w:tc>
      </w:tr>
      <w:tr w:rsidR="00B02873" w:rsidRPr="00B02873" w14:paraId="702392F6" w14:textId="77777777" w:rsidTr="00965FC3">
        <w:tc>
          <w:tcPr>
            <w:tcW w:w="1191" w:type="dxa"/>
          </w:tcPr>
          <w:p w14:paraId="4E061C2A" w14:textId="77777777" w:rsidR="00B02873" w:rsidRDefault="00B02873" w:rsidP="00965FC3">
            <w:pPr>
              <w:pStyle w:val="TablebodyleftFinancialsTables"/>
            </w:pPr>
            <w:r>
              <w:t>GL</w:t>
            </w:r>
          </w:p>
        </w:tc>
        <w:tc>
          <w:tcPr>
            <w:tcW w:w="3628" w:type="dxa"/>
          </w:tcPr>
          <w:p w14:paraId="5B7344CF" w14:textId="77777777" w:rsidR="00B02873" w:rsidRDefault="00B02873" w:rsidP="00965FC3">
            <w:pPr>
              <w:pStyle w:val="TablebodyleftFinancialsTables"/>
            </w:pPr>
            <w:r>
              <w:t>Gigalitre</w:t>
            </w:r>
          </w:p>
        </w:tc>
      </w:tr>
      <w:tr w:rsidR="00B02873" w:rsidRPr="00B02873" w14:paraId="77B37A76" w14:textId="77777777" w:rsidTr="00965FC3">
        <w:tc>
          <w:tcPr>
            <w:tcW w:w="1191" w:type="dxa"/>
          </w:tcPr>
          <w:p w14:paraId="1FC9D870" w14:textId="77777777" w:rsidR="00B02873" w:rsidRDefault="00B02873" w:rsidP="00965FC3">
            <w:pPr>
              <w:pStyle w:val="TablebodyleftFinancialsTables"/>
            </w:pPr>
            <w:r>
              <w:t>MJ</w:t>
            </w:r>
          </w:p>
        </w:tc>
        <w:tc>
          <w:tcPr>
            <w:tcW w:w="3628" w:type="dxa"/>
          </w:tcPr>
          <w:p w14:paraId="1D80F7E9" w14:textId="77777777" w:rsidR="00B02873" w:rsidRDefault="00B02873" w:rsidP="00965FC3">
            <w:pPr>
              <w:pStyle w:val="TablebodyleftFinancialsTables"/>
            </w:pPr>
            <w:r>
              <w:t>Megajoules</w:t>
            </w:r>
          </w:p>
        </w:tc>
      </w:tr>
      <w:tr w:rsidR="00B02873" w:rsidRPr="00B02873" w14:paraId="6E857B4E" w14:textId="77777777" w:rsidTr="00965FC3">
        <w:tc>
          <w:tcPr>
            <w:tcW w:w="1191" w:type="dxa"/>
          </w:tcPr>
          <w:p w14:paraId="3B6DF262" w14:textId="77777777" w:rsidR="00B02873" w:rsidRDefault="00B02873" w:rsidP="00965FC3">
            <w:pPr>
              <w:pStyle w:val="TablebodyleftFinancialsTables"/>
            </w:pPr>
            <w:r>
              <w:t>ML</w:t>
            </w:r>
          </w:p>
        </w:tc>
        <w:tc>
          <w:tcPr>
            <w:tcW w:w="3628" w:type="dxa"/>
          </w:tcPr>
          <w:p w14:paraId="03F87AA3" w14:textId="77777777" w:rsidR="00B02873" w:rsidRDefault="00B02873" w:rsidP="00965FC3">
            <w:pPr>
              <w:pStyle w:val="TablebodyleftFinancialsTables"/>
            </w:pPr>
            <w:r>
              <w:t>Megalitre</w:t>
            </w:r>
          </w:p>
        </w:tc>
      </w:tr>
      <w:tr w:rsidR="00B02873" w:rsidRPr="00B02873" w14:paraId="0F90A840" w14:textId="77777777" w:rsidTr="00965FC3">
        <w:tc>
          <w:tcPr>
            <w:tcW w:w="1191" w:type="dxa"/>
          </w:tcPr>
          <w:p w14:paraId="11D8531A" w14:textId="77777777" w:rsidR="00B02873" w:rsidRDefault="00B02873" w:rsidP="00965FC3">
            <w:pPr>
              <w:pStyle w:val="TablebodyleftFinancialsTables"/>
            </w:pPr>
            <w:r>
              <w:t>Ha</w:t>
            </w:r>
          </w:p>
        </w:tc>
        <w:tc>
          <w:tcPr>
            <w:tcW w:w="3628" w:type="dxa"/>
          </w:tcPr>
          <w:p w14:paraId="32F8D859" w14:textId="77777777" w:rsidR="00B02873" w:rsidRDefault="00B02873" w:rsidP="00965FC3">
            <w:pPr>
              <w:pStyle w:val="TablebodyleftFinancialsTables"/>
            </w:pPr>
            <w:r>
              <w:t>Hectare</w:t>
            </w:r>
          </w:p>
        </w:tc>
      </w:tr>
      <w:tr w:rsidR="00B02873" w:rsidRPr="00B02873" w14:paraId="56F334A9" w14:textId="77777777" w:rsidTr="00965FC3">
        <w:tc>
          <w:tcPr>
            <w:tcW w:w="1191" w:type="dxa"/>
          </w:tcPr>
          <w:p w14:paraId="3B935187" w14:textId="77777777" w:rsidR="00B02873" w:rsidRDefault="00B02873" w:rsidP="00965FC3">
            <w:pPr>
              <w:pStyle w:val="TablebodyleftFinancialsTables"/>
            </w:pPr>
            <w:r>
              <w:t>NLA</w:t>
            </w:r>
          </w:p>
        </w:tc>
        <w:tc>
          <w:tcPr>
            <w:tcW w:w="3628" w:type="dxa"/>
          </w:tcPr>
          <w:p w14:paraId="1DAB7D50" w14:textId="77777777" w:rsidR="00B02873" w:rsidRDefault="00B02873" w:rsidP="00965FC3">
            <w:pPr>
              <w:pStyle w:val="TablebodyleftFinancialsTables"/>
            </w:pPr>
            <w:r>
              <w:t>Net Lettable Area</w:t>
            </w:r>
          </w:p>
        </w:tc>
      </w:tr>
      <w:tr w:rsidR="00B02873" w:rsidRPr="00B02873" w14:paraId="2387F4B3" w14:textId="77777777" w:rsidTr="00965FC3">
        <w:tc>
          <w:tcPr>
            <w:tcW w:w="1191" w:type="dxa"/>
          </w:tcPr>
          <w:p w14:paraId="4B3825FD" w14:textId="77777777" w:rsidR="00B02873" w:rsidRDefault="00B02873" w:rsidP="00965FC3">
            <w:pPr>
              <w:pStyle w:val="TablebodyleftFinancialsTables"/>
            </w:pPr>
            <w:r>
              <w:t>Ws1</w:t>
            </w:r>
          </w:p>
        </w:tc>
        <w:tc>
          <w:tcPr>
            <w:tcW w:w="3628" w:type="dxa"/>
          </w:tcPr>
          <w:p w14:paraId="441638A5" w14:textId="77777777" w:rsidR="00B02873" w:rsidRDefault="00B02873" w:rsidP="00965FC3">
            <w:pPr>
              <w:pStyle w:val="TablebodyleftFinancialsTables"/>
            </w:pPr>
            <w:r>
              <w:t>Total waste</w:t>
            </w:r>
          </w:p>
        </w:tc>
      </w:tr>
      <w:tr w:rsidR="00B02873" w:rsidRPr="00B02873" w14:paraId="765A5EA2" w14:textId="77777777" w:rsidTr="00965FC3">
        <w:tc>
          <w:tcPr>
            <w:tcW w:w="1191" w:type="dxa"/>
          </w:tcPr>
          <w:p w14:paraId="31C339F1" w14:textId="77777777" w:rsidR="00B02873" w:rsidRDefault="00B02873" w:rsidP="00965FC3">
            <w:pPr>
              <w:pStyle w:val="TablebodyleftFinancialsTables"/>
            </w:pPr>
            <w:r>
              <w:t>Ws2</w:t>
            </w:r>
          </w:p>
        </w:tc>
        <w:tc>
          <w:tcPr>
            <w:tcW w:w="3628" w:type="dxa"/>
          </w:tcPr>
          <w:p w14:paraId="29928DE5" w14:textId="77777777" w:rsidR="00B02873" w:rsidRDefault="00B02873" w:rsidP="00965FC3">
            <w:pPr>
              <w:pStyle w:val="TablebodyleftFinancialsTables"/>
            </w:pPr>
            <w:r>
              <w:t>Waste efficiency</w:t>
            </w:r>
          </w:p>
        </w:tc>
      </w:tr>
    </w:tbl>
    <w:p w14:paraId="03ED61E5" w14:textId="77777777" w:rsidR="00B02873" w:rsidRDefault="00B02873" w:rsidP="00FE198A"/>
    <w:sectPr w:rsidR="00B02873" w:rsidSect="000C0438">
      <w:pgSz w:w="11906" w:h="16838" w:code="9"/>
      <w:pgMar w:top="1134" w:right="1134" w:bottom="1134" w:left="1134"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FC8218" w14:textId="77777777" w:rsidR="00B02873" w:rsidRDefault="00B02873" w:rsidP="00B02873">
      <w:pPr>
        <w:spacing w:after="0" w:line="240" w:lineRule="auto"/>
      </w:pPr>
      <w:r>
        <w:separator/>
      </w:r>
    </w:p>
  </w:endnote>
  <w:endnote w:type="continuationSeparator" w:id="0">
    <w:p w14:paraId="4453B804" w14:textId="77777777" w:rsidR="00B02873" w:rsidRDefault="00B02873" w:rsidP="00B028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VIC">
    <w:panose1 w:val="00000500000000000000"/>
    <w:charset w:val="00"/>
    <w:family w:val="auto"/>
    <w:pitch w:val="variable"/>
    <w:sig w:usb0="00000007" w:usb1="00000000" w:usb2="00000000" w:usb3="00000000" w:csb0="00000093" w:csb1="00000000"/>
  </w:font>
  <w:font w:name="VIC Light">
    <w:panose1 w:val="00000400000000000000"/>
    <w:charset w:val="00"/>
    <w:family w:val="auto"/>
    <w:pitch w:val="variable"/>
    <w:sig w:usb0="00000007" w:usb1="00000000" w:usb2="00000000" w:usb3="00000000" w:csb0="00000093" w:csb1="00000000"/>
  </w:font>
  <w:font w:name="VIC Light Italic">
    <w:panose1 w:val="00000400000000000000"/>
    <w:charset w:val="00"/>
    <w:family w:val="auto"/>
    <w:pitch w:val="variable"/>
    <w:sig w:usb0="00000007" w:usb1="00000000" w:usb2="00000000" w:usb3="00000000" w:csb0="00000093" w:csb1="00000000"/>
  </w:font>
  <w:font w:name="VIC (OTF) Light">
    <w:altName w:val="VIC"/>
    <w:panose1 w:val="00000000000000000000"/>
    <w:charset w:val="00"/>
    <w:family w:val="auto"/>
    <w:notTrueType/>
    <w:pitch w:val="default"/>
    <w:sig w:usb0="00000003" w:usb1="00000000" w:usb2="00000000" w:usb3="00000000" w:csb0="00000001" w:csb1="00000000"/>
  </w:font>
  <w:font w:name="VIC (OTF) SemiBold">
    <w:altName w:val="VIC"/>
    <w:panose1 w:val="00000000000000000000"/>
    <w:charset w:val="00"/>
    <w:family w:val="auto"/>
    <w:notTrueType/>
    <w:pitch w:val="default"/>
    <w:sig w:usb0="00000003" w:usb1="00000000" w:usb2="00000000" w:usb3="00000000" w:csb0="00000001" w:csb1="00000000"/>
  </w:font>
  <w:font w:name="VIC SemiBold">
    <w:panose1 w:val="00000700000000000000"/>
    <w:charset w:val="00"/>
    <w:family w:val="auto"/>
    <w:pitch w:val="variable"/>
    <w:sig w:usb0="00000007" w:usb1="00000000" w:usb2="00000000" w:usb3="00000000" w:csb0="00000093" w:csb1="00000000"/>
  </w:font>
  <w:font w:name="VIC Bold Italic">
    <w:altName w:val="VIC"/>
    <w:panose1 w:val="00000000000000000000"/>
    <w:charset w:val="00"/>
    <w:family w:val="auto"/>
    <w:notTrueType/>
    <w:pitch w:val="default"/>
    <w:sig w:usb0="00000003" w:usb1="00000000" w:usb2="00000000" w:usb3="00000000" w:csb0="00000001" w:csb1="00000000"/>
  </w:font>
  <w:font w:name="VIC (OTF) Bold">
    <w:altName w:val="VIC"/>
    <w:panose1 w:val="00000000000000000000"/>
    <w:charset w:val="00"/>
    <w:family w:val="auto"/>
    <w:notTrueType/>
    <w:pitch w:val="default"/>
    <w:sig w:usb0="00000003" w:usb1="00000000" w:usb2="00000000" w:usb3="00000000" w:csb0="00000001" w:csb1="00000000"/>
  </w:font>
  <w:font w:name="VIC SemiBold Italic">
    <w:panose1 w:val="00000700000000000000"/>
    <w:charset w:val="00"/>
    <w:family w:val="auto"/>
    <w:pitch w:val="variable"/>
    <w:sig w:usb0="00000007" w:usb1="00000000" w:usb2="00000000" w:usb3="00000000" w:csb0="00000093" w:csb1="00000000"/>
  </w:font>
  <w:font w:name="VIC Medium Italic">
    <w:panose1 w:val="00000600000000000000"/>
    <w:charset w:val="00"/>
    <w:family w:val="auto"/>
    <w:pitch w:val="variable"/>
    <w:sig w:usb0="00000007" w:usb1="00000000" w:usb2="00000000" w:usb3="00000000" w:csb0="00000093" w:csb1="00000000"/>
  </w:font>
  <w:font w:name="Apple Symbols Regular">
    <w:altName w:val="Calibri"/>
    <w:panose1 w:val="00000000000000000000"/>
    <w:charset w:val="00"/>
    <w:family w:val="auto"/>
    <w:notTrueType/>
    <w:pitch w:val="default"/>
    <w:sig w:usb0="00000003" w:usb1="00000000" w:usb2="00000000" w:usb3="00000000" w:csb0="00000001" w:csb1="00000000"/>
  </w:font>
  <w:font w:name="VIC Medium">
    <w:panose1 w:val="000006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A3553" w14:textId="77777777" w:rsidR="002F4F06" w:rsidRDefault="002F4F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49E80" w14:textId="796DB1F2" w:rsidR="002F4F06" w:rsidRDefault="002F4F06">
    <w:pPr>
      <w:pStyle w:val="Footer"/>
    </w:pPr>
    <w:r>
      <w:rPr>
        <w:noProof/>
      </w:rPr>
      <mc:AlternateContent>
        <mc:Choice Requires="wps">
          <w:drawing>
            <wp:anchor distT="0" distB="0" distL="114300" distR="114300" simplePos="0" relativeHeight="251659264" behindDoc="0" locked="0" layoutInCell="0" allowOverlap="1" wp14:anchorId="005087AE" wp14:editId="269E3BE8">
              <wp:simplePos x="0" y="0"/>
              <wp:positionH relativeFrom="page">
                <wp:align>center</wp:align>
              </wp:positionH>
              <wp:positionV relativeFrom="page">
                <wp:align>bottom</wp:align>
              </wp:positionV>
              <wp:extent cx="7772400" cy="463550"/>
              <wp:effectExtent l="0" t="0" r="0" b="12700"/>
              <wp:wrapNone/>
              <wp:docPr id="2" name="MSIPCM591441c7a422f818b79a2629" descr="{&quot;HashCode&quot;:-126468026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881112" w14:textId="0F8152E7" w:rsidR="002F4F06" w:rsidRPr="002F4F06" w:rsidRDefault="002F4F06" w:rsidP="002F4F06">
                          <w:pPr>
                            <w:spacing w:after="0"/>
                            <w:jc w:val="center"/>
                            <w:rPr>
                              <w:rFonts w:ascii="Calibri" w:hAnsi="Calibri"/>
                              <w:sz w:val="24"/>
                            </w:rPr>
                          </w:pPr>
                          <w:r w:rsidRPr="002F4F06">
                            <w:rPr>
                              <w:rFonts w:ascii="Calibri" w:hAnsi="Calibri"/>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05087AE" id="_x0000_t202" coordsize="21600,21600" o:spt="202" path="m,l,21600r21600,l21600,xe">
              <v:stroke joinstyle="miter"/>
              <v:path gradientshapeok="t" o:connecttype="rect"/>
            </v:shapetype>
            <v:shape id="MSIPCM591441c7a422f818b79a2629" o:spid="_x0000_s1026" type="#_x0000_t202" alt="{&quot;HashCode&quot;:-1264680268,&quot;Height&quot;:9999999.0,&quot;Width&quot;:9999999.0,&quot;Placement&quot;:&quot;Footer&quot;,&quot;Index&quot;:&quot;Primary&quot;,&quot;Section&quot;:1,&quot;Top&quot;:0.0,&quot;Left&quot;:0.0}" style="position:absolute;margin-left:0;margin-top:0;width:612pt;height:36.5pt;z-index:25165926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fill o:detectmouseclick="t"/>
              <v:textbox inset=",0,,0">
                <w:txbxContent>
                  <w:p w14:paraId="11881112" w14:textId="0F8152E7" w:rsidR="002F4F06" w:rsidRPr="002F4F06" w:rsidRDefault="002F4F06" w:rsidP="002F4F06">
                    <w:pPr>
                      <w:spacing w:after="0"/>
                      <w:jc w:val="center"/>
                      <w:rPr>
                        <w:rFonts w:ascii="Calibri" w:hAnsi="Calibri"/>
                        <w:sz w:val="24"/>
                      </w:rPr>
                    </w:pPr>
                    <w:r w:rsidRPr="002F4F06">
                      <w:rPr>
                        <w:rFonts w:ascii="Calibri" w:hAnsi="Calibri"/>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182EA" w14:textId="77777777" w:rsidR="002F4F06" w:rsidRDefault="002F4F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999287" w14:textId="77777777" w:rsidR="00B02873" w:rsidRDefault="00B02873" w:rsidP="00B02873">
      <w:pPr>
        <w:spacing w:after="0" w:line="240" w:lineRule="auto"/>
      </w:pPr>
      <w:r>
        <w:separator/>
      </w:r>
    </w:p>
  </w:footnote>
  <w:footnote w:type="continuationSeparator" w:id="0">
    <w:p w14:paraId="554DF89D" w14:textId="77777777" w:rsidR="00B02873" w:rsidRDefault="00B02873" w:rsidP="00B02873">
      <w:pPr>
        <w:spacing w:after="0" w:line="240" w:lineRule="auto"/>
      </w:pPr>
      <w:r>
        <w:continuationSeparator/>
      </w:r>
    </w:p>
  </w:footnote>
  <w:footnote w:id="1">
    <w:p w14:paraId="4785765C" w14:textId="77777777" w:rsidR="00B02873" w:rsidRDefault="00B02873" w:rsidP="00F0662F">
      <w:pPr>
        <w:pStyle w:val="Footnote"/>
      </w:pPr>
      <w:r>
        <w:rPr>
          <w:vertAlign w:val="superscript"/>
        </w:rPr>
        <w:footnoteRef/>
      </w:r>
      <w:r>
        <w:tab/>
        <w:t>All compared with 2005 levels.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3903F" w14:textId="77777777" w:rsidR="002F4F06" w:rsidRDefault="002F4F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F05F6" w14:textId="77777777" w:rsidR="002F4F06" w:rsidRDefault="002F4F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09F73" w14:textId="77777777" w:rsidR="002F4F06" w:rsidRDefault="002F4F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DBE8C6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88C140B"/>
    <w:multiLevelType w:val="hybridMultilevel"/>
    <w:tmpl w:val="CD584CCE"/>
    <w:lvl w:ilvl="0" w:tplc="C9AEAC5C">
      <w:start w:val="1"/>
      <w:numFmt w:val="lowerLetter"/>
      <w:pStyle w:val="SourceNotenumbereda"/>
      <w:lvlText w:val="(%1)"/>
      <w:lvlJc w:val="left"/>
      <w:pPr>
        <w:tabs>
          <w:tab w:val="num" w:pos="340"/>
        </w:tabs>
        <w:ind w:left="340" w:hanging="3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DDD7761"/>
    <w:multiLevelType w:val="hybridMultilevel"/>
    <w:tmpl w:val="23E443F2"/>
    <w:lvl w:ilvl="0" w:tplc="48625122">
      <w:start w:val="1"/>
      <w:numFmt w:val="bullet"/>
      <w:pStyle w:val="Bullet2Lists"/>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3" w15:restartNumberingAfterBreak="0">
    <w:nsid w:val="10D150A9"/>
    <w:multiLevelType w:val="hybridMultilevel"/>
    <w:tmpl w:val="3FAE87FA"/>
    <w:lvl w:ilvl="0" w:tplc="0C090019">
      <w:start w:val="1"/>
      <w:numFmt w:val="lowerLetter"/>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6AC7928"/>
    <w:multiLevelType w:val="multilevel"/>
    <w:tmpl w:val="A704EBE0"/>
    <w:lvl w:ilvl="0">
      <w:start w:val="1"/>
      <w:numFmt w:val="lowerLetter"/>
      <w:pStyle w:val="NumberaLists"/>
      <w:lvlText w:val="%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8AE0040"/>
    <w:multiLevelType w:val="hybridMultilevel"/>
    <w:tmpl w:val="A91ABC00"/>
    <w:lvl w:ilvl="0" w:tplc="0C09000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00B7B10"/>
    <w:multiLevelType w:val="hybridMultilevel"/>
    <w:tmpl w:val="F31635F6"/>
    <w:lvl w:ilvl="0" w:tplc="0C090019">
      <w:start w:val="1"/>
      <w:numFmt w:val="lowerLetter"/>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3A23314"/>
    <w:multiLevelType w:val="multilevel"/>
    <w:tmpl w:val="5C4A08A4"/>
    <w:lvl w:ilvl="0">
      <w:start w:val="1"/>
      <w:numFmt w:val="decimal"/>
      <w:lvlText w:val="%1."/>
      <w:lvlJc w:val="left"/>
      <w:pPr>
        <w:tabs>
          <w:tab w:val="num" w:pos="340"/>
        </w:tabs>
        <w:ind w:left="340" w:hanging="34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C3875F7"/>
    <w:multiLevelType w:val="hybridMultilevel"/>
    <w:tmpl w:val="00645000"/>
    <w:lvl w:ilvl="0" w:tplc="E70A09DE">
      <w:start w:val="1"/>
      <w:numFmt w:val="lowerRoman"/>
      <w:lvlText w:val="(%1)"/>
      <w:lvlJc w:val="left"/>
      <w:pPr>
        <w:tabs>
          <w:tab w:val="num" w:pos="397"/>
        </w:tabs>
        <w:ind w:left="397" w:hanging="39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D245249"/>
    <w:multiLevelType w:val="multilevel"/>
    <w:tmpl w:val="5C4A08A4"/>
    <w:lvl w:ilvl="0">
      <w:start w:val="1"/>
      <w:numFmt w:val="decimal"/>
      <w:lvlText w:val="%1."/>
      <w:lvlJc w:val="left"/>
      <w:pPr>
        <w:tabs>
          <w:tab w:val="num" w:pos="340"/>
        </w:tabs>
        <w:ind w:left="340" w:hanging="34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4417782F"/>
    <w:multiLevelType w:val="hybridMultilevel"/>
    <w:tmpl w:val="83CC8AD2"/>
    <w:lvl w:ilvl="0" w:tplc="73F62550">
      <w:start w:val="1"/>
      <w:numFmt w:val="decimal"/>
      <w:pStyle w:val="Number1Lists"/>
      <w:lvlText w:val="%1."/>
      <w:lvlJc w:val="left"/>
      <w:pPr>
        <w:tabs>
          <w:tab w:val="num" w:pos="284"/>
        </w:tabs>
        <w:ind w:left="284" w:hanging="28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A3F0D20"/>
    <w:multiLevelType w:val="hybridMultilevel"/>
    <w:tmpl w:val="A7DC32B8"/>
    <w:lvl w:ilvl="0" w:tplc="92D44E06">
      <w:start w:val="1"/>
      <w:numFmt w:val="lowerRoman"/>
      <w:lvlText w:val="(%1)"/>
      <w:lvlJc w:val="left"/>
      <w:pPr>
        <w:tabs>
          <w:tab w:val="num" w:pos="397"/>
        </w:tabs>
        <w:ind w:left="397" w:hanging="39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E183476"/>
    <w:multiLevelType w:val="hybridMultilevel"/>
    <w:tmpl w:val="169CBC62"/>
    <w:lvl w:ilvl="0" w:tplc="4A68E26E">
      <w:start w:val="1"/>
      <w:numFmt w:val="decimal"/>
      <w:pStyle w:val="SourceNotenumbered-1"/>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71C7405"/>
    <w:multiLevelType w:val="hybridMultilevel"/>
    <w:tmpl w:val="77C06D10"/>
    <w:lvl w:ilvl="0" w:tplc="10504C2E">
      <w:start w:val="1"/>
      <w:numFmt w:val="lowerRoman"/>
      <w:pStyle w:val="NumberiLists"/>
      <w:lvlText w:val="%1."/>
      <w:lvlJc w:val="left"/>
      <w:pPr>
        <w:ind w:left="1400" w:hanging="360"/>
      </w:pPr>
      <w:rPr>
        <w:rFonts w:hint="default"/>
      </w:rPr>
    </w:lvl>
    <w:lvl w:ilvl="1" w:tplc="0C090019" w:tentative="1">
      <w:start w:val="1"/>
      <w:numFmt w:val="lowerLetter"/>
      <w:lvlText w:val="%2."/>
      <w:lvlJc w:val="left"/>
      <w:pPr>
        <w:ind w:left="2120" w:hanging="360"/>
      </w:pPr>
    </w:lvl>
    <w:lvl w:ilvl="2" w:tplc="0C09001B" w:tentative="1">
      <w:start w:val="1"/>
      <w:numFmt w:val="lowerRoman"/>
      <w:lvlText w:val="%3."/>
      <w:lvlJc w:val="right"/>
      <w:pPr>
        <w:ind w:left="2840" w:hanging="180"/>
      </w:pPr>
    </w:lvl>
    <w:lvl w:ilvl="3" w:tplc="0C09000F" w:tentative="1">
      <w:start w:val="1"/>
      <w:numFmt w:val="decimal"/>
      <w:lvlText w:val="%4."/>
      <w:lvlJc w:val="left"/>
      <w:pPr>
        <w:ind w:left="3560" w:hanging="360"/>
      </w:pPr>
    </w:lvl>
    <w:lvl w:ilvl="4" w:tplc="0C090019" w:tentative="1">
      <w:start w:val="1"/>
      <w:numFmt w:val="lowerLetter"/>
      <w:lvlText w:val="%5."/>
      <w:lvlJc w:val="left"/>
      <w:pPr>
        <w:ind w:left="4280" w:hanging="360"/>
      </w:pPr>
    </w:lvl>
    <w:lvl w:ilvl="5" w:tplc="0C09001B" w:tentative="1">
      <w:start w:val="1"/>
      <w:numFmt w:val="lowerRoman"/>
      <w:lvlText w:val="%6."/>
      <w:lvlJc w:val="right"/>
      <w:pPr>
        <w:ind w:left="5000" w:hanging="180"/>
      </w:pPr>
    </w:lvl>
    <w:lvl w:ilvl="6" w:tplc="0C09000F" w:tentative="1">
      <w:start w:val="1"/>
      <w:numFmt w:val="decimal"/>
      <w:lvlText w:val="%7."/>
      <w:lvlJc w:val="left"/>
      <w:pPr>
        <w:ind w:left="5720" w:hanging="360"/>
      </w:pPr>
    </w:lvl>
    <w:lvl w:ilvl="7" w:tplc="0C090019" w:tentative="1">
      <w:start w:val="1"/>
      <w:numFmt w:val="lowerLetter"/>
      <w:lvlText w:val="%8."/>
      <w:lvlJc w:val="left"/>
      <w:pPr>
        <w:ind w:left="6440" w:hanging="360"/>
      </w:pPr>
    </w:lvl>
    <w:lvl w:ilvl="8" w:tplc="0C09001B" w:tentative="1">
      <w:start w:val="1"/>
      <w:numFmt w:val="lowerRoman"/>
      <w:lvlText w:val="%9."/>
      <w:lvlJc w:val="right"/>
      <w:pPr>
        <w:ind w:left="7160" w:hanging="180"/>
      </w:pPr>
    </w:lvl>
  </w:abstractNum>
  <w:abstractNum w:abstractNumId="14" w15:restartNumberingAfterBreak="0">
    <w:nsid w:val="776E1154"/>
    <w:multiLevelType w:val="hybridMultilevel"/>
    <w:tmpl w:val="C36C8634"/>
    <w:lvl w:ilvl="0" w:tplc="13B0917C">
      <w:start w:val="1"/>
      <w:numFmt w:val="lowerRoman"/>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9AC0E42"/>
    <w:multiLevelType w:val="hybridMultilevel"/>
    <w:tmpl w:val="4A365278"/>
    <w:lvl w:ilvl="0" w:tplc="2E7E1A0C">
      <w:start w:val="1"/>
      <w:numFmt w:val="bullet"/>
      <w:pStyle w:val="Bullet1Lis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9B31E6B"/>
    <w:multiLevelType w:val="hybridMultilevel"/>
    <w:tmpl w:val="AD588204"/>
    <w:lvl w:ilvl="0" w:tplc="83D4F80C">
      <w:start w:val="1"/>
      <w:numFmt w:val="lowerRoman"/>
      <w:pStyle w:val="SourceNotenumbered"/>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5"/>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num>
  <w:num w:numId="17">
    <w:abstractNumId w:val="14"/>
    <w:lvlOverride w:ilvl="0">
      <w:startOverride w:val="1"/>
    </w:lvlOverride>
  </w:num>
  <w:num w:numId="18">
    <w:abstractNumId w:val="14"/>
    <w:lvlOverride w:ilvl="0">
      <w:startOverride w:val="1"/>
    </w:lvlOverride>
  </w:num>
  <w:num w:numId="19">
    <w:abstractNumId w:val="2"/>
  </w:num>
  <w:num w:numId="20">
    <w:abstractNumId w:val="4"/>
  </w:num>
  <w:num w:numId="21">
    <w:abstractNumId w:val="13"/>
  </w:num>
  <w:num w:numId="22">
    <w:abstractNumId w:val="14"/>
    <w:lvlOverride w:ilvl="0">
      <w:startOverride w:val="1"/>
    </w:lvlOverride>
  </w:num>
  <w:num w:numId="23">
    <w:abstractNumId w:val="14"/>
    <w:lvlOverride w:ilvl="0">
      <w:startOverride w:val="1"/>
    </w:lvlOverride>
  </w:num>
  <w:num w:numId="24">
    <w:abstractNumId w:val="14"/>
    <w:lvlOverride w:ilvl="0">
      <w:startOverride w:val="1"/>
    </w:lvlOverride>
  </w:num>
  <w:num w:numId="25">
    <w:abstractNumId w:val="14"/>
    <w:lvlOverride w:ilvl="0">
      <w:startOverride w:val="1"/>
    </w:lvlOverride>
  </w:num>
  <w:num w:numId="26">
    <w:abstractNumId w:val="14"/>
    <w:lvlOverride w:ilvl="0">
      <w:startOverride w:val="1"/>
    </w:lvlOverride>
  </w:num>
  <w:num w:numId="27">
    <w:abstractNumId w:val="14"/>
    <w:lvlOverride w:ilvl="0">
      <w:startOverride w:val="1"/>
    </w:lvlOverride>
  </w:num>
  <w:num w:numId="28">
    <w:abstractNumId w:val="14"/>
    <w:lvlOverride w:ilvl="0">
      <w:startOverride w:val="1"/>
    </w:lvlOverride>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startOverride w:val="1"/>
    </w:lvlOverride>
  </w:num>
  <w:num w:numId="31">
    <w:abstractNumId w:val="14"/>
    <w:lvlOverride w:ilvl="0">
      <w:startOverride w:val="1"/>
    </w:lvlOverride>
  </w:num>
  <w:num w:numId="32">
    <w:abstractNumId w:val="14"/>
    <w:lvlOverride w:ilvl="0">
      <w:startOverride w:val="1"/>
    </w:lvlOverride>
  </w:num>
  <w:num w:numId="33">
    <w:abstractNumId w:val="14"/>
    <w:lvlOverride w:ilvl="0">
      <w:startOverride w:val="1"/>
    </w:lvlOverride>
  </w:num>
  <w:num w:numId="34">
    <w:abstractNumId w:val="14"/>
    <w:lvlOverride w:ilvl="0">
      <w:startOverride w:val="1"/>
    </w:lvlOverride>
  </w:num>
  <w:num w:numId="35">
    <w:abstractNumId w:val="14"/>
    <w:lvlOverride w:ilvl="0">
      <w:startOverride w:val="1"/>
    </w:lvlOverride>
  </w:num>
  <w:num w:numId="36">
    <w:abstractNumId w:val="14"/>
    <w:lvlOverride w:ilvl="0">
      <w:startOverride w:val="1"/>
    </w:lvlOverride>
  </w:num>
  <w:num w:numId="37">
    <w:abstractNumId w:val="14"/>
    <w:lvlOverride w:ilvl="0">
      <w:startOverride w:val="1"/>
    </w:lvlOverride>
  </w:num>
  <w:num w:numId="38">
    <w:abstractNumId w:val="14"/>
    <w:lvlOverride w:ilvl="0">
      <w:startOverride w:val="1"/>
    </w:lvlOverride>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lvlOverride w:ilvl="0">
      <w:startOverride w:val="1"/>
    </w:lvlOverride>
  </w:num>
  <w:num w:numId="41">
    <w:abstractNumId w:val="14"/>
    <w:lvlOverride w:ilvl="0">
      <w:startOverride w:val="1"/>
    </w:lvlOverride>
  </w:num>
  <w:num w:numId="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
  </w:num>
  <w:num w:numId="44">
    <w:abstractNumId w:val="16"/>
  </w:num>
  <w:num w:numId="45">
    <w:abstractNumId w:val="16"/>
    <w:lvlOverride w:ilvl="0">
      <w:startOverride w:val="1"/>
    </w:lvlOverride>
  </w:num>
  <w:num w:numId="46">
    <w:abstractNumId w:val="16"/>
    <w:lvlOverride w:ilvl="0">
      <w:startOverride w:val="1"/>
    </w:lvlOverride>
  </w:num>
  <w:num w:numId="47">
    <w:abstractNumId w:val="16"/>
    <w:lvlOverride w:ilvl="0">
      <w:startOverride w:val="1"/>
    </w:lvlOverride>
  </w:num>
  <w:num w:numId="48">
    <w:abstractNumId w:val="16"/>
    <w:lvlOverride w:ilvl="0">
      <w:startOverride w:val="1"/>
    </w:lvlOverride>
  </w:num>
  <w:num w:numId="49">
    <w:abstractNumId w:val="16"/>
    <w:lvlOverride w:ilvl="0">
      <w:startOverride w:val="1"/>
    </w:lvlOverride>
  </w:num>
  <w:num w:numId="50">
    <w:abstractNumId w:val="16"/>
    <w:lvlOverride w:ilvl="0">
      <w:startOverride w:val="1"/>
    </w:lvlOverride>
  </w:num>
  <w:num w:numId="51">
    <w:abstractNumId w:val="5"/>
  </w:num>
  <w:num w:numId="52">
    <w:abstractNumId w:val="12"/>
  </w:num>
  <w:num w:numId="53">
    <w:abstractNumId w:val="12"/>
    <w:lvlOverride w:ilvl="0">
      <w:startOverride w:val="1"/>
    </w:lvlOverride>
  </w:num>
  <w:num w:numId="54">
    <w:abstractNumId w:val="12"/>
    <w:lvlOverride w:ilvl="0">
      <w:startOverride w:val="1"/>
    </w:lvlOverride>
  </w:num>
  <w:num w:numId="55">
    <w:abstractNumId w:val="16"/>
    <w:lvlOverride w:ilvl="0">
      <w:startOverride w:val="1"/>
    </w:lvlOverride>
  </w:num>
  <w:num w:numId="56">
    <w:abstractNumId w:val="10"/>
  </w:num>
  <w:num w:numId="57">
    <w:abstractNumId w:val="10"/>
    <w:lvlOverride w:ilvl="0">
      <w:startOverride w:val="2"/>
    </w:lvlOverride>
  </w:num>
  <w:num w:numId="58">
    <w:abstractNumId w:val="10"/>
    <w:lvlOverride w:ilvl="0">
      <w:startOverride w:val="1"/>
    </w:lvlOverride>
  </w:num>
  <w:num w:numId="59">
    <w:abstractNumId w:val="10"/>
    <w:lvlOverride w:ilvl="0">
      <w:startOverride w:val="1"/>
    </w:lvlOverride>
  </w:num>
  <w:num w:numId="60">
    <w:abstractNumId w:val="10"/>
    <w:lvlOverride w:ilvl="0">
      <w:startOverride w:val="1"/>
    </w:lvlOverride>
  </w:num>
  <w:num w:numId="61">
    <w:abstractNumId w:val="10"/>
    <w:lvlOverride w:ilvl="0">
      <w:startOverride w:val="1"/>
    </w:lvlOverride>
  </w:num>
  <w:num w:numId="62">
    <w:abstractNumId w:val="10"/>
    <w:lvlOverride w:ilvl="0">
      <w:startOverride w:val="1"/>
    </w:lvlOverride>
  </w:num>
  <w:num w:numId="63">
    <w:abstractNumId w:val="10"/>
    <w:lvlOverride w:ilvl="0">
      <w:startOverride w:val="1"/>
    </w:lvlOverride>
  </w:num>
  <w:num w:numId="64">
    <w:abstractNumId w:val="10"/>
    <w:lvlOverride w:ilvl="0">
      <w:startOverride w:val="1"/>
    </w:lvlOverride>
  </w:num>
  <w:num w:numId="65">
    <w:abstractNumId w:val="16"/>
    <w:lvlOverride w:ilvl="0">
      <w:startOverride w:val="1"/>
    </w:lvlOverride>
  </w:num>
  <w:num w:numId="66">
    <w:abstractNumId w:val="16"/>
    <w:lvlOverride w:ilvl="0">
      <w:startOverride w:val="1"/>
    </w:lvlOverride>
  </w:num>
  <w:num w:numId="67">
    <w:abstractNumId w:val="16"/>
    <w:lvlOverride w:ilvl="0">
      <w:startOverride w:val="1"/>
    </w:lvlOverride>
  </w:num>
  <w:num w:numId="68">
    <w:abstractNumId w:val="16"/>
    <w:lvlOverride w:ilvl="0">
      <w:startOverride w:val="1"/>
    </w:lvlOverride>
  </w:num>
  <w:num w:numId="69">
    <w:abstractNumId w:val="16"/>
    <w:lvlOverride w:ilvl="0">
      <w:startOverride w:val="1"/>
    </w:lvlOverride>
  </w:num>
  <w:num w:numId="70">
    <w:abstractNumId w:val="9"/>
  </w:num>
  <w:num w:numId="71">
    <w:abstractNumId w:val="16"/>
    <w:lvlOverride w:ilvl="0">
      <w:startOverride w:val="1"/>
    </w:lvlOverride>
  </w:num>
  <w:num w:numId="72">
    <w:abstractNumId w:val="16"/>
    <w:lvlOverride w:ilvl="0">
      <w:startOverride w:val="1"/>
    </w:lvlOverride>
  </w:num>
  <w:num w:numId="73">
    <w:abstractNumId w:val="16"/>
    <w:lvlOverride w:ilvl="0">
      <w:startOverride w:val="1"/>
    </w:lvlOverride>
  </w:num>
  <w:num w:numId="74">
    <w:abstractNumId w:val="16"/>
    <w:lvlOverride w:ilvl="0">
      <w:startOverride w:val="1"/>
    </w:lvlOverride>
  </w:num>
  <w:num w:numId="75">
    <w:abstractNumId w:val="16"/>
    <w:lvlOverride w:ilvl="0">
      <w:startOverride w:val="1"/>
    </w:lvlOverride>
  </w:num>
  <w:num w:numId="76">
    <w:abstractNumId w:val="16"/>
    <w:lvlOverride w:ilvl="0">
      <w:startOverride w:val="1"/>
    </w:lvlOverride>
  </w:num>
  <w:num w:numId="77">
    <w:abstractNumId w:val="16"/>
    <w:lvlOverride w:ilvl="0">
      <w:startOverride w:val="1"/>
    </w:lvlOverride>
  </w:num>
  <w:num w:numId="78">
    <w:abstractNumId w:val="16"/>
    <w:lvlOverride w:ilvl="0">
      <w:startOverride w:val="1"/>
    </w:lvlOverride>
  </w:num>
  <w:num w:numId="79">
    <w:abstractNumId w:val="16"/>
    <w:lvlOverride w:ilvl="0">
      <w:startOverride w:val="1"/>
    </w:lvlOverride>
  </w:num>
  <w:num w:numId="80">
    <w:abstractNumId w:val="16"/>
    <w:lvlOverride w:ilvl="0">
      <w:startOverride w:val="1"/>
    </w:lvlOverride>
  </w:num>
  <w:num w:numId="81">
    <w:abstractNumId w:val="16"/>
    <w:lvlOverride w:ilvl="0">
      <w:startOverride w:val="1"/>
    </w:lvlOverride>
  </w:num>
  <w:num w:numId="82">
    <w:abstractNumId w:val="16"/>
    <w:lvlOverride w:ilvl="0">
      <w:startOverride w:val="1"/>
    </w:lvlOverride>
  </w:num>
  <w:num w:numId="83">
    <w:abstractNumId w:val="16"/>
    <w:lvlOverride w:ilvl="0">
      <w:startOverride w:val="1"/>
    </w:lvlOverride>
  </w:num>
  <w:num w:numId="84">
    <w:abstractNumId w:val="16"/>
    <w:lvlOverride w:ilvl="0">
      <w:startOverride w:val="1"/>
    </w:lvlOverride>
  </w:num>
  <w:num w:numId="85">
    <w:abstractNumId w:val="16"/>
    <w:lvlOverride w:ilvl="0">
      <w:startOverride w:val="1"/>
    </w:lvlOverride>
  </w:num>
  <w:num w:numId="86">
    <w:abstractNumId w:val="16"/>
    <w:lvlOverride w:ilvl="0">
      <w:startOverride w:val="1"/>
    </w:lvlOverride>
  </w:num>
  <w:num w:numId="87">
    <w:abstractNumId w:val="16"/>
    <w:lvlOverride w:ilvl="0">
      <w:startOverride w:val="1"/>
    </w:lvlOverride>
  </w:num>
  <w:num w:numId="88">
    <w:abstractNumId w:val="16"/>
    <w:lvlOverride w:ilvl="0">
      <w:startOverride w:val="1"/>
    </w:lvlOverride>
  </w:num>
  <w:num w:numId="89">
    <w:abstractNumId w:val="16"/>
    <w:lvlOverride w:ilvl="0">
      <w:startOverride w:val="1"/>
    </w:lvlOverride>
  </w:num>
  <w:num w:numId="90">
    <w:abstractNumId w:val="16"/>
    <w:lvlOverride w:ilvl="0">
      <w:startOverride w:val="1"/>
    </w:lvlOverride>
  </w:num>
  <w:num w:numId="91">
    <w:abstractNumId w:val="16"/>
    <w:lvlOverride w:ilvl="0">
      <w:startOverride w:val="1"/>
    </w:lvlOverride>
  </w:num>
  <w:num w:numId="92">
    <w:abstractNumId w:val="6"/>
  </w:num>
  <w:num w:numId="93">
    <w:abstractNumId w:val="1"/>
  </w:num>
  <w:num w:numId="94">
    <w:abstractNumId w:val="1"/>
    <w:lvlOverride w:ilvl="0">
      <w:startOverride w:val="1"/>
    </w:lvlOverride>
  </w:num>
  <w:num w:numId="95">
    <w:abstractNumId w:val="1"/>
    <w:lvlOverride w:ilvl="0">
      <w:startOverride w:val="1"/>
    </w:lvlOverride>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2270"/>
    <w:rsid w:val="00000C5B"/>
    <w:rsid w:val="00002F2B"/>
    <w:rsid w:val="00012797"/>
    <w:rsid w:val="00012C04"/>
    <w:rsid w:val="00013237"/>
    <w:rsid w:val="0003210E"/>
    <w:rsid w:val="00052EE1"/>
    <w:rsid w:val="00062E53"/>
    <w:rsid w:val="00066FED"/>
    <w:rsid w:val="00072DB1"/>
    <w:rsid w:val="00073BE4"/>
    <w:rsid w:val="0007484E"/>
    <w:rsid w:val="0008483D"/>
    <w:rsid w:val="000852E8"/>
    <w:rsid w:val="00092A34"/>
    <w:rsid w:val="00095C7F"/>
    <w:rsid w:val="00096858"/>
    <w:rsid w:val="000B39FD"/>
    <w:rsid w:val="000C0438"/>
    <w:rsid w:val="000C45FC"/>
    <w:rsid w:val="000D2CDA"/>
    <w:rsid w:val="000D308A"/>
    <w:rsid w:val="000D60C1"/>
    <w:rsid w:val="000D70EA"/>
    <w:rsid w:val="000F6BBC"/>
    <w:rsid w:val="00101848"/>
    <w:rsid w:val="00103738"/>
    <w:rsid w:val="001128B1"/>
    <w:rsid w:val="0012225B"/>
    <w:rsid w:val="0012319F"/>
    <w:rsid w:val="00134612"/>
    <w:rsid w:val="001448E3"/>
    <w:rsid w:val="001464E4"/>
    <w:rsid w:val="00162D80"/>
    <w:rsid w:val="00171EB1"/>
    <w:rsid w:val="00187DC7"/>
    <w:rsid w:val="00195B06"/>
    <w:rsid w:val="001A27BB"/>
    <w:rsid w:val="001A4A1A"/>
    <w:rsid w:val="001A6BD7"/>
    <w:rsid w:val="001A6CBD"/>
    <w:rsid w:val="001C29CA"/>
    <w:rsid w:val="001C3437"/>
    <w:rsid w:val="001E0D2D"/>
    <w:rsid w:val="001E0F51"/>
    <w:rsid w:val="001E1BBB"/>
    <w:rsid w:val="001E2445"/>
    <w:rsid w:val="001E4AE1"/>
    <w:rsid w:val="001F3551"/>
    <w:rsid w:val="001F5F1C"/>
    <w:rsid w:val="001F6880"/>
    <w:rsid w:val="00202C3F"/>
    <w:rsid w:val="00202DAA"/>
    <w:rsid w:val="00214283"/>
    <w:rsid w:val="00215DF0"/>
    <w:rsid w:val="00222E36"/>
    <w:rsid w:val="00226911"/>
    <w:rsid w:val="00234587"/>
    <w:rsid w:val="0024238B"/>
    <w:rsid w:val="002470E1"/>
    <w:rsid w:val="00250BC3"/>
    <w:rsid w:val="00250DCB"/>
    <w:rsid w:val="00264C5C"/>
    <w:rsid w:val="00272B52"/>
    <w:rsid w:val="00272EA8"/>
    <w:rsid w:val="002733D7"/>
    <w:rsid w:val="00275CD4"/>
    <w:rsid w:val="00277ECD"/>
    <w:rsid w:val="00284427"/>
    <w:rsid w:val="00293663"/>
    <w:rsid w:val="002A3305"/>
    <w:rsid w:val="002B12ED"/>
    <w:rsid w:val="002B1BCE"/>
    <w:rsid w:val="002B3315"/>
    <w:rsid w:val="002B7BE6"/>
    <w:rsid w:val="002C308E"/>
    <w:rsid w:val="002C35BC"/>
    <w:rsid w:val="002C49E2"/>
    <w:rsid w:val="002C7839"/>
    <w:rsid w:val="002D1E4B"/>
    <w:rsid w:val="002D47D3"/>
    <w:rsid w:val="002D6170"/>
    <w:rsid w:val="002D6E86"/>
    <w:rsid w:val="002F1C26"/>
    <w:rsid w:val="002F4F06"/>
    <w:rsid w:val="002F50AD"/>
    <w:rsid w:val="002F6A34"/>
    <w:rsid w:val="00304BA6"/>
    <w:rsid w:val="00304D68"/>
    <w:rsid w:val="00311A51"/>
    <w:rsid w:val="003136B3"/>
    <w:rsid w:val="003137F7"/>
    <w:rsid w:val="0031722C"/>
    <w:rsid w:val="003237AD"/>
    <w:rsid w:val="003243B5"/>
    <w:rsid w:val="0033614A"/>
    <w:rsid w:val="0034633C"/>
    <w:rsid w:val="003532BD"/>
    <w:rsid w:val="00367FD6"/>
    <w:rsid w:val="003745F6"/>
    <w:rsid w:val="00377237"/>
    <w:rsid w:val="003A3E8B"/>
    <w:rsid w:val="003B2E21"/>
    <w:rsid w:val="003B4308"/>
    <w:rsid w:val="003B4B46"/>
    <w:rsid w:val="003C073E"/>
    <w:rsid w:val="003D29A3"/>
    <w:rsid w:val="003D7A81"/>
    <w:rsid w:val="003E0922"/>
    <w:rsid w:val="003E21BE"/>
    <w:rsid w:val="003E48C2"/>
    <w:rsid w:val="003F0EE3"/>
    <w:rsid w:val="003F1E53"/>
    <w:rsid w:val="003F3B7B"/>
    <w:rsid w:val="00404344"/>
    <w:rsid w:val="004066E2"/>
    <w:rsid w:val="00411D44"/>
    <w:rsid w:val="004145AF"/>
    <w:rsid w:val="00415B6C"/>
    <w:rsid w:val="004244F6"/>
    <w:rsid w:val="00426F06"/>
    <w:rsid w:val="00427DD5"/>
    <w:rsid w:val="004303D3"/>
    <w:rsid w:val="00431AAA"/>
    <w:rsid w:val="00431F6B"/>
    <w:rsid w:val="004320A4"/>
    <w:rsid w:val="004550A8"/>
    <w:rsid w:val="00463395"/>
    <w:rsid w:val="00474FAD"/>
    <w:rsid w:val="0047680E"/>
    <w:rsid w:val="0048644D"/>
    <w:rsid w:val="00491A28"/>
    <w:rsid w:val="004A26FD"/>
    <w:rsid w:val="004C5544"/>
    <w:rsid w:val="004C7746"/>
    <w:rsid w:val="004D2876"/>
    <w:rsid w:val="004D61AE"/>
    <w:rsid w:val="004E1BC8"/>
    <w:rsid w:val="004F22CD"/>
    <w:rsid w:val="004F47C2"/>
    <w:rsid w:val="004F78CF"/>
    <w:rsid w:val="00506E7B"/>
    <w:rsid w:val="005075EE"/>
    <w:rsid w:val="00511951"/>
    <w:rsid w:val="00512270"/>
    <w:rsid w:val="00515D41"/>
    <w:rsid w:val="0052309F"/>
    <w:rsid w:val="00524BF0"/>
    <w:rsid w:val="00532982"/>
    <w:rsid w:val="005361DE"/>
    <w:rsid w:val="00543972"/>
    <w:rsid w:val="00546E03"/>
    <w:rsid w:val="0055311C"/>
    <w:rsid w:val="00561B32"/>
    <w:rsid w:val="00565E49"/>
    <w:rsid w:val="00570727"/>
    <w:rsid w:val="00576E4C"/>
    <w:rsid w:val="005773A2"/>
    <w:rsid w:val="005823D8"/>
    <w:rsid w:val="00597D04"/>
    <w:rsid w:val="005A2549"/>
    <w:rsid w:val="005B5905"/>
    <w:rsid w:val="005B6BE7"/>
    <w:rsid w:val="005C11BD"/>
    <w:rsid w:val="005C2F55"/>
    <w:rsid w:val="005D106C"/>
    <w:rsid w:val="005D724C"/>
    <w:rsid w:val="005E0C95"/>
    <w:rsid w:val="00601660"/>
    <w:rsid w:val="00603355"/>
    <w:rsid w:val="00604205"/>
    <w:rsid w:val="00615EFA"/>
    <w:rsid w:val="00616564"/>
    <w:rsid w:val="006251CB"/>
    <w:rsid w:val="00625766"/>
    <w:rsid w:val="00631D68"/>
    <w:rsid w:val="00635E8C"/>
    <w:rsid w:val="0063650A"/>
    <w:rsid w:val="0065184E"/>
    <w:rsid w:val="00656640"/>
    <w:rsid w:val="00660010"/>
    <w:rsid w:val="006614C1"/>
    <w:rsid w:val="00663288"/>
    <w:rsid w:val="00666D24"/>
    <w:rsid w:val="00677AD0"/>
    <w:rsid w:val="00677F27"/>
    <w:rsid w:val="00684AB2"/>
    <w:rsid w:val="00695132"/>
    <w:rsid w:val="006A304F"/>
    <w:rsid w:val="006A6341"/>
    <w:rsid w:val="006B0153"/>
    <w:rsid w:val="006B734C"/>
    <w:rsid w:val="006E3272"/>
    <w:rsid w:val="006F52C9"/>
    <w:rsid w:val="006F71C1"/>
    <w:rsid w:val="007032F5"/>
    <w:rsid w:val="0070439A"/>
    <w:rsid w:val="00705B7A"/>
    <w:rsid w:val="007116DF"/>
    <w:rsid w:val="00714844"/>
    <w:rsid w:val="00714C9E"/>
    <w:rsid w:val="00716AB5"/>
    <w:rsid w:val="00732270"/>
    <w:rsid w:val="00733FB9"/>
    <w:rsid w:val="00745E80"/>
    <w:rsid w:val="00746197"/>
    <w:rsid w:val="00752BD2"/>
    <w:rsid w:val="007540C3"/>
    <w:rsid w:val="0075604C"/>
    <w:rsid w:val="007600D1"/>
    <w:rsid w:val="007640FA"/>
    <w:rsid w:val="00771D38"/>
    <w:rsid w:val="00773ED7"/>
    <w:rsid w:val="0077493F"/>
    <w:rsid w:val="00774C84"/>
    <w:rsid w:val="00780667"/>
    <w:rsid w:val="007845E8"/>
    <w:rsid w:val="00791D63"/>
    <w:rsid w:val="007973AB"/>
    <w:rsid w:val="00797692"/>
    <w:rsid w:val="007A0C96"/>
    <w:rsid w:val="007A21F4"/>
    <w:rsid w:val="007B509E"/>
    <w:rsid w:val="007B6A2B"/>
    <w:rsid w:val="007E64A0"/>
    <w:rsid w:val="007F02BD"/>
    <w:rsid w:val="007F5FB5"/>
    <w:rsid w:val="008169E9"/>
    <w:rsid w:val="00821AC8"/>
    <w:rsid w:val="00831390"/>
    <w:rsid w:val="008316E9"/>
    <w:rsid w:val="008501BF"/>
    <w:rsid w:val="008517B2"/>
    <w:rsid w:val="00851CCA"/>
    <w:rsid w:val="00866546"/>
    <w:rsid w:val="00866C6E"/>
    <w:rsid w:val="00872A72"/>
    <w:rsid w:val="00884206"/>
    <w:rsid w:val="008846DC"/>
    <w:rsid w:val="00884871"/>
    <w:rsid w:val="00886273"/>
    <w:rsid w:val="0089099B"/>
    <w:rsid w:val="008959E3"/>
    <w:rsid w:val="008A18D4"/>
    <w:rsid w:val="008A5549"/>
    <w:rsid w:val="008B04A9"/>
    <w:rsid w:val="008B1B33"/>
    <w:rsid w:val="008B2F7F"/>
    <w:rsid w:val="008B3962"/>
    <w:rsid w:val="008B3A12"/>
    <w:rsid w:val="008C667D"/>
    <w:rsid w:val="008C7CA4"/>
    <w:rsid w:val="008D2724"/>
    <w:rsid w:val="008D67CE"/>
    <w:rsid w:val="008E3948"/>
    <w:rsid w:val="008F558A"/>
    <w:rsid w:val="0090537F"/>
    <w:rsid w:val="0090660B"/>
    <w:rsid w:val="009121E6"/>
    <w:rsid w:val="0092020D"/>
    <w:rsid w:val="00920227"/>
    <w:rsid w:val="00926220"/>
    <w:rsid w:val="00935927"/>
    <w:rsid w:val="009418B4"/>
    <w:rsid w:val="00941D55"/>
    <w:rsid w:val="00946796"/>
    <w:rsid w:val="00950A49"/>
    <w:rsid w:val="009540CE"/>
    <w:rsid w:val="00965A7F"/>
    <w:rsid w:val="00965FC3"/>
    <w:rsid w:val="009727B9"/>
    <w:rsid w:val="009743EF"/>
    <w:rsid w:val="00977548"/>
    <w:rsid w:val="00977925"/>
    <w:rsid w:val="009850A6"/>
    <w:rsid w:val="009866F3"/>
    <w:rsid w:val="0099396C"/>
    <w:rsid w:val="009A100E"/>
    <w:rsid w:val="009A12B2"/>
    <w:rsid w:val="009A1654"/>
    <w:rsid w:val="009A45F2"/>
    <w:rsid w:val="009B3AE1"/>
    <w:rsid w:val="009B5710"/>
    <w:rsid w:val="009C0314"/>
    <w:rsid w:val="009C269B"/>
    <w:rsid w:val="009C3D47"/>
    <w:rsid w:val="009E1FCA"/>
    <w:rsid w:val="009E6813"/>
    <w:rsid w:val="009F1FE1"/>
    <w:rsid w:val="009F6531"/>
    <w:rsid w:val="00A039B2"/>
    <w:rsid w:val="00A11B37"/>
    <w:rsid w:val="00A2164A"/>
    <w:rsid w:val="00A269DB"/>
    <w:rsid w:val="00A33CC1"/>
    <w:rsid w:val="00A3564B"/>
    <w:rsid w:val="00A36811"/>
    <w:rsid w:val="00A4144E"/>
    <w:rsid w:val="00A46CB1"/>
    <w:rsid w:val="00A50A39"/>
    <w:rsid w:val="00A52DAD"/>
    <w:rsid w:val="00A55F61"/>
    <w:rsid w:val="00A56FB4"/>
    <w:rsid w:val="00A61828"/>
    <w:rsid w:val="00A63A42"/>
    <w:rsid w:val="00A66BDF"/>
    <w:rsid w:val="00A727CB"/>
    <w:rsid w:val="00A74A2D"/>
    <w:rsid w:val="00A77A11"/>
    <w:rsid w:val="00A90070"/>
    <w:rsid w:val="00A93AE6"/>
    <w:rsid w:val="00AA0FB1"/>
    <w:rsid w:val="00AA10FB"/>
    <w:rsid w:val="00AA6DD0"/>
    <w:rsid w:val="00AA7B44"/>
    <w:rsid w:val="00AA7C60"/>
    <w:rsid w:val="00AB27F9"/>
    <w:rsid w:val="00AB7EE1"/>
    <w:rsid w:val="00AC26B7"/>
    <w:rsid w:val="00AC627F"/>
    <w:rsid w:val="00AD3B18"/>
    <w:rsid w:val="00AD69F9"/>
    <w:rsid w:val="00AE220F"/>
    <w:rsid w:val="00AE226B"/>
    <w:rsid w:val="00AF314C"/>
    <w:rsid w:val="00AF33D3"/>
    <w:rsid w:val="00AF3DE9"/>
    <w:rsid w:val="00AF44FB"/>
    <w:rsid w:val="00AF62CA"/>
    <w:rsid w:val="00B02873"/>
    <w:rsid w:val="00B03876"/>
    <w:rsid w:val="00B03F7F"/>
    <w:rsid w:val="00B119A2"/>
    <w:rsid w:val="00B1542E"/>
    <w:rsid w:val="00B232E4"/>
    <w:rsid w:val="00B236DE"/>
    <w:rsid w:val="00B23E1C"/>
    <w:rsid w:val="00B252C2"/>
    <w:rsid w:val="00B26C54"/>
    <w:rsid w:val="00B32DB2"/>
    <w:rsid w:val="00B455C5"/>
    <w:rsid w:val="00B45C31"/>
    <w:rsid w:val="00B57118"/>
    <w:rsid w:val="00B603AC"/>
    <w:rsid w:val="00B6580C"/>
    <w:rsid w:val="00B773F8"/>
    <w:rsid w:val="00B776F1"/>
    <w:rsid w:val="00B82012"/>
    <w:rsid w:val="00B95A6A"/>
    <w:rsid w:val="00B965FE"/>
    <w:rsid w:val="00B96D7F"/>
    <w:rsid w:val="00BA4C8B"/>
    <w:rsid w:val="00BA6213"/>
    <w:rsid w:val="00BB035C"/>
    <w:rsid w:val="00BB10F9"/>
    <w:rsid w:val="00BC0916"/>
    <w:rsid w:val="00BC15C9"/>
    <w:rsid w:val="00BC3131"/>
    <w:rsid w:val="00BC5711"/>
    <w:rsid w:val="00BC7127"/>
    <w:rsid w:val="00BC7794"/>
    <w:rsid w:val="00BD1F1E"/>
    <w:rsid w:val="00BD29E8"/>
    <w:rsid w:val="00BD3BF1"/>
    <w:rsid w:val="00BE30FD"/>
    <w:rsid w:val="00BE3CFB"/>
    <w:rsid w:val="00BE5A09"/>
    <w:rsid w:val="00BE7FD8"/>
    <w:rsid w:val="00BF4887"/>
    <w:rsid w:val="00C00328"/>
    <w:rsid w:val="00C025B8"/>
    <w:rsid w:val="00C07FB5"/>
    <w:rsid w:val="00C4280E"/>
    <w:rsid w:val="00C43178"/>
    <w:rsid w:val="00C53DA0"/>
    <w:rsid w:val="00C53E83"/>
    <w:rsid w:val="00C557DA"/>
    <w:rsid w:val="00C57D4C"/>
    <w:rsid w:val="00C72D4A"/>
    <w:rsid w:val="00C76836"/>
    <w:rsid w:val="00C776EF"/>
    <w:rsid w:val="00C8008F"/>
    <w:rsid w:val="00C9239D"/>
    <w:rsid w:val="00C95285"/>
    <w:rsid w:val="00C9714F"/>
    <w:rsid w:val="00C974FD"/>
    <w:rsid w:val="00CA65F5"/>
    <w:rsid w:val="00CB17B8"/>
    <w:rsid w:val="00CB18D7"/>
    <w:rsid w:val="00CB3AE4"/>
    <w:rsid w:val="00CB7F3B"/>
    <w:rsid w:val="00CC0C1B"/>
    <w:rsid w:val="00CC3C6C"/>
    <w:rsid w:val="00CE1173"/>
    <w:rsid w:val="00CE2866"/>
    <w:rsid w:val="00CF1D80"/>
    <w:rsid w:val="00D0486F"/>
    <w:rsid w:val="00D06C21"/>
    <w:rsid w:val="00D112EA"/>
    <w:rsid w:val="00D21A73"/>
    <w:rsid w:val="00D23D2D"/>
    <w:rsid w:val="00D416F7"/>
    <w:rsid w:val="00D41C73"/>
    <w:rsid w:val="00D41FFB"/>
    <w:rsid w:val="00D449D4"/>
    <w:rsid w:val="00D667F0"/>
    <w:rsid w:val="00D70054"/>
    <w:rsid w:val="00D867EF"/>
    <w:rsid w:val="00D8789E"/>
    <w:rsid w:val="00D93683"/>
    <w:rsid w:val="00DA0311"/>
    <w:rsid w:val="00DA4B09"/>
    <w:rsid w:val="00DA5967"/>
    <w:rsid w:val="00DA77A0"/>
    <w:rsid w:val="00DB2070"/>
    <w:rsid w:val="00DB42CF"/>
    <w:rsid w:val="00DB60C6"/>
    <w:rsid w:val="00DC03AD"/>
    <w:rsid w:val="00DC3CE4"/>
    <w:rsid w:val="00DC42BF"/>
    <w:rsid w:val="00DC65F8"/>
    <w:rsid w:val="00DE1159"/>
    <w:rsid w:val="00DE1232"/>
    <w:rsid w:val="00DE1FCE"/>
    <w:rsid w:val="00DE3776"/>
    <w:rsid w:val="00DF32A4"/>
    <w:rsid w:val="00DF358B"/>
    <w:rsid w:val="00DF42B0"/>
    <w:rsid w:val="00E034AA"/>
    <w:rsid w:val="00E116FE"/>
    <w:rsid w:val="00E174EC"/>
    <w:rsid w:val="00E204D7"/>
    <w:rsid w:val="00E223CE"/>
    <w:rsid w:val="00E27D61"/>
    <w:rsid w:val="00E53159"/>
    <w:rsid w:val="00E532ED"/>
    <w:rsid w:val="00E55EEF"/>
    <w:rsid w:val="00E612B7"/>
    <w:rsid w:val="00E71A15"/>
    <w:rsid w:val="00E71B3D"/>
    <w:rsid w:val="00E71CDA"/>
    <w:rsid w:val="00E75CAC"/>
    <w:rsid w:val="00E77641"/>
    <w:rsid w:val="00E82A61"/>
    <w:rsid w:val="00E82E84"/>
    <w:rsid w:val="00E869F7"/>
    <w:rsid w:val="00E9230B"/>
    <w:rsid w:val="00E9353A"/>
    <w:rsid w:val="00EA25BF"/>
    <w:rsid w:val="00EA5C92"/>
    <w:rsid w:val="00EB2F72"/>
    <w:rsid w:val="00EB4F72"/>
    <w:rsid w:val="00EB7E6A"/>
    <w:rsid w:val="00EC07ED"/>
    <w:rsid w:val="00ED3106"/>
    <w:rsid w:val="00ED3D53"/>
    <w:rsid w:val="00ED4FA5"/>
    <w:rsid w:val="00EE09C9"/>
    <w:rsid w:val="00F0662F"/>
    <w:rsid w:val="00F0771C"/>
    <w:rsid w:val="00F17710"/>
    <w:rsid w:val="00F22151"/>
    <w:rsid w:val="00F239B3"/>
    <w:rsid w:val="00F26335"/>
    <w:rsid w:val="00F306F4"/>
    <w:rsid w:val="00F54AE3"/>
    <w:rsid w:val="00F56184"/>
    <w:rsid w:val="00F570CD"/>
    <w:rsid w:val="00F67F82"/>
    <w:rsid w:val="00F74F44"/>
    <w:rsid w:val="00F80D3D"/>
    <w:rsid w:val="00F85215"/>
    <w:rsid w:val="00F94F90"/>
    <w:rsid w:val="00FA1A4F"/>
    <w:rsid w:val="00FA43C4"/>
    <w:rsid w:val="00FA624C"/>
    <w:rsid w:val="00FA728F"/>
    <w:rsid w:val="00FC6369"/>
    <w:rsid w:val="00FC6423"/>
    <w:rsid w:val="00FC7219"/>
    <w:rsid w:val="00FC758C"/>
    <w:rsid w:val="00FD2A59"/>
    <w:rsid w:val="00FE198A"/>
    <w:rsid w:val="00FE2186"/>
    <w:rsid w:val="00FE6A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98E2FA1"/>
  <w14:defaultImageDpi w14:val="96"/>
  <w15:docId w15:val="{EF665015-11F5-4D79-A70E-F96469711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CF1D80"/>
    <w:pPr>
      <w:suppressAutoHyphens/>
      <w:autoSpaceDE w:val="0"/>
      <w:autoSpaceDN w:val="0"/>
      <w:adjustRightInd w:val="0"/>
      <w:spacing w:after="200" w:line="260" w:lineRule="atLeast"/>
      <w:textAlignment w:val="center"/>
    </w:pPr>
    <w:rPr>
      <w:rFonts w:ascii="Arial" w:hAnsi="Arial" w:cs="Calibri"/>
      <w:color w:val="000000"/>
    </w:rPr>
  </w:style>
  <w:style w:type="paragraph" w:styleId="Heading1">
    <w:name w:val="heading 1"/>
    <w:basedOn w:val="Normal"/>
    <w:next w:val="Normal"/>
    <w:link w:val="Heading1Char"/>
    <w:uiPriority w:val="9"/>
    <w:qFormat/>
    <w:rsid w:val="00012C04"/>
    <w:pPr>
      <w:keepNext/>
      <w:spacing w:before="480" w:after="240"/>
      <w:outlineLvl w:val="0"/>
    </w:pPr>
    <w:rPr>
      <w:rFonts w:eastAsiaTheme="majorEastAsia" w:cstheme="majorBidi"/>
      <w:b/>
      <w:bCs/>
      <w:color w:val="auto"/>
      <w:kern w:val="32"/>
      <w:sz w:val="32"/>
      <w:szCs w:val="32"/>
    </w:rPr>
  </w:style>
  <w:style w:type="paragraph" w:styleId="Heading2">
    <w:name w:val="heading 2"/>
    <w:basedOn w:val="Normal"/>
    <w:next w:val="Normal"/>
    <w:link w:val="Heading2Char"/>
    <w:uiPriority w:val="9"/>
    <w:unhideWhenUsed/>
    <w:qFormat/>
    <w:rsid w:val="00FE198A"/>
    <w:pPr>
      <w:keepNext/>
      <w:spacing w:before="240" w:after="120"/>
      <w:outlineLvl w:val="1"/>
    </w:pPr>
    <w:rPr>
      <w:rFonts w:eastAsiaTheme="majorEastAsia" w:cs="Arial"/>
      <w:b/>
      <w:bCs/>
      <w:color w:val="auto"/>
      <w:sz w:val="28"/>
      <w:szCs w:val="28"/>
    </w:rPr>
  </w:style>
  <w:style w:type="paragraph" w:styleId="Heading3">
    <w:name w:val="heading 3"/>
    <w:basedOn w:val="Normal"/>
    <w:next w:val="Normal"/>
    <w:link w:val="Heading3Char"/>
    <w:uiPriority w:val="9"/>
    <w:unhideWhenUsed/>
    <w:qFormat/>
    <w:rsid w:val="00A727CB"/>
    <w:pPr>
      <w:keepNext/>
      <w:spacing w:before="120" w:after="120"/>
      <w:outlineLvl w:val="2"/>
    </w:pPr>
    <w:rPr>
      <w:rFonts w:eastAsiaTheme="majorEastAsia" w:cs="Arial"/>
      <w:b/>
      <w:bCs/>
      <w:color w:val="auto"/>
      <w:sz w:val="24"/>
      <w:szCs w:val="24"/>
    </w:rPr>
  </w:style>
  <w:style w:type="paragraph" w:styleId="Heading4">
    <w:name w:val="heading 4"/>
    <w:basedOn w:val="Heading4Headings"/>
    <w:next w:val="Normal"/>
    <w:link w:val="Heading4Char"/>
    <w:uiPriority w:val="9"/>
    <w:unhideWhenUsed/>
    <w:qFormat/>
    <w:rsid w:val="004F47C2"/>
    <w:pPr>
      <w:keepNext/>
      <w:widowControl/>
      <w:spacing w:before="60" w:after="60"/>
      <w:outlineLvl w:val="3"/>
    </w:pPr>
    <w:rPr>
      <w:rFonts w:asciiTheme="majorHAnsi" w:hAnsiTheme="majorHAnsi" w:cstheme="majorHAnsi"/>
      <w:color w:val="auto"/>
      <w:sz w:val="22"/>
      <w:szCs w:val="22"/>
    </w:rPr>
  </w:style>
  <w:style w:type="paragraph" w:styleId="Heading5">
    <w:name w:val="heading 5"/>
    <w:basedOn w:val="Heading4"/>
    <w:next w:val="Normal"/>
    <w:link w:val="Heading5Char"/>
    <w:uiPriority w:val="9"/>
    <w:unhideWhenUsed/>
    <w:qFormat/>
    <w:rsid w:val="0012319F"/>
    <w:pPr>
      <w:spacing w:before="120" w:after="120"/>
      <w:outlineLvl w:val="4"/>
    </w:pPr>
    <w:rPr>
      <w:b w:val="0"/>
      <w:bCs w:val="0"/>
    </w:rPr>
  </w:style>
  <w:style w:type="paragraph" w:styleId="Heading6">
    <w:name w:val="heading 6"/>
    <w:basedOn w:val="Normal"/>
    <w:next w:val="Normal"/>
    <w:link w:val="Heading6Char"/>
    <w:uiPriority w:val="9"/>
    <w:unhideWhenUsed/>
    <w:qFormat/>
    <w:rsid w:val="00B82012"/>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Times Regular" w:hAnsi="Times Regular" w:cs="Times Regular"/>
      <w:color w:val="000000"/>
      <w:sz w:val="24"/>
      <w:szCs w:val="24"/>
      <w:lang w:val="en-US"/>
    </w:rPr>
  </w:style>
  <w:style w:type="paragraph" w:customStyle="1" w:styleId="Heading1Headings">
    <w:name w:val="Heading 1 (Headings)"/>
    <w:basedOn w:val="NoParagraphStyle"/>
    <w:uiPriority w:val="99"/>
    <w:pPr>
      <w:suppressAutoHyphens/>
      <w:spacing w:after="283" w:line="480" w:lineRule="atLeast"/>
    </w:pPr>
    <w:rPr>
      <w:rFonts w:ascii="VIC" w:hAnsi="VIC" w:cs="VIC"/>
      <w:b/>
      <w:bCs/>
      <w:color w:val="00B4AE"/>
      <w:sz w:val="44"/>
      <w:szCs w:val="44"/>
      <w:lang w:val="en-GB"/>
    </w:rPr>
  </w:style>
  <w:style w:type="paragraph" w:customStyle="1" w:styleId="BodyCopyBodycopy">
    <w:name w:val="Body Copy (Body copy)"/>
    <w:basedOn w:val="NoParagraphStyle"/>
    <w:uiPriority w:val="99"/>
    <w:pPr>
      <w:suppressAutoHyphens/>
      <w:spacing w:before="57" w:after="113" w:line="220" w:lineRule="atLeast"/>
    </w:pPr>
    <w:rPr>
      <w:rFonts w:ascii="VIC Light" w:hAnsi="VIC Light" w:cs="VIC Light"/>
      <w:sz w:val="18"/>
      <w:szCs w:val="18"/>
      <w:lang w:val="en-GB"/>
    </w:rPr>
  </w:style>
  <w:style w:type="paragraph" w:customStyle="1" w:styleId="Heading3Headings">
    <w:name w:val="Heading 3 (Headings)"/>
    <w:basedOn w:val="NoParagraphStyle"/>
    <w:uiPriority w:val="99"/>
    <w:pPr>
      <w:suppressAutoHyphens/>
      <w:spacing w:before="170" w:after="113" w:line="240" w:lineRule="atLeast"/>
    </w:pPr>
    <w:rPr>
      <w:rFonts w:ascii="VIC" w:hAnsi="VIC" w:cs="VIC"/>
      <w:b/>
      <w:bCs/>
      <w:color w:val="100149"/>
      <w:sz w:val="20"/>
      <w:szCs w:val="20"/>
      <w:lang w:val="en-GB"/>
    </w:rPr>
  </w:style>
  <w:style w:type="character" w:customStyle="1" w:styleId="LightItalic">
    <w:name w:val="Light Italic"/>
    <w:uiPriority w:val="99"/>
    <w:rPr>
      <w:rFonts w:ascii="VIC Light Italic" w:hAnsi="VIC Light Italic" w:cs="VIC Light Italic"/>
      <w:i/>
      <w:iCs/>
    </w:rPr>
  </w:style>
  <w:style w:type="character" w:customStyle="1" w:styleId="Bold">
    <w:name w:val="Bold"/>
    <w:uiPriority w:val="99"/>
    <w:rsid w:val="00E9230B"/>
    <w:rPr>
      <w:rFonts w:ascii="Arial" w:hAnsi="Arial" w:cs="VIC"/>
      <w:b/>
      <w:bCs/>
    </w:rPr>
  </w:style>
  <w:style w:type="paragraph" w:customStyle="1" w:styleId="SmallheadingInsidecover">
    <w:name w:val="Small heading (Inside cover)"/>
    <w:basedOn w:val="BodyCopyBodycopy"/>
    <w:uiPriority w:val="99"/>
    <w:rsid w:val="00512270"/>
    <w:pPr>
      <w:widowControl/>
      <w:spacing w:before="113"/>
    </w:pPr>
    <w:rPr>
      <w:rFonts w:ascii="VIC (OTF) Light" w:hAnsi="VIC (OTF) Light" w:cs="VIC (OTF) Light"/>
      <w:b/>
      <w:bCs/>
      <w:lang w:val="en-US"/>
    </w:rPr>
  </w:style>
  <w:style w:type="paragraph" w:customStyle="1" w:styleId="SmallbodycopyInsidecover">
    <w:name w:val="Small body copy (Inside cover)"/>
    <w:basedOn w:val="NoParagraphStyle"/>
    <w:uiPriority w:val="99"/>
    <w:rsid w:val="00512270"/>
    <w:pPr>
      <w:widowControl/>
      <w:suppressAutoHyphens/>
      <w:spacing w:after="57" w:line="200" w:lineRule="atLeast"/>
    </w:pPr>
    <w:rPr>
      <w:rFonts w:ascii="VIC (OTF) Light" w:hAnsi="VIC (OTF) Light" w:cs="VIC (OTF) Light"/>
      <w:sz w:val="16"/>
      <w:szCs w:val="16"/>
      <w:lang w:val="en-GB"/>
    </w:rPr>
  </w:style>
  <w:style w:type="paragraph" w:customStyle="1" w:styleId="ImprintbodycopyInsidecover">
    <w:name w:val="Imprint body copy (Inside cover)"/>
    <w:basedOn w:val="Normal"/>
    <w:uiPriority w:val="99"/>
    <w:rsid w:val="000C0438"/>
    <w:pPr>
      <w:spacing w:after="57" w:line="200" w:lineRule="atLeast"/>
    </w:pPr>
    <w:rPr>
      <w:rFonts w:cs="VIC"/>
      <w:sz w:val="18"/>
      <w:szCs w:val="16"/>
    </w:rPr>
  </w:style>
  <w:style w:type="paragraph" w:customStyle="1" w:styleId="ImprintheadingInsidecover">
    <w:name w:val="Imprint heading (Inside cover)"/>
    <w:basedOn w:val="ImprintbodycopyInsidecover"/>
    <w:uiPriority w:val="99"/>
    <w:rsid w:val="000C0438"/>
    <w:pPr>
      <w:spacing w:before="120" w:after="0" w:line="220" w:lineRule="atLeast"/>
    </w:pPr>
    <w:rPr>
      <w:rFonts w:cs="VIC (OTF) SemiBold"/>
      <w:b/>
      <w:bCs/>
      <w:szCs w:val="18"/>
    </w:rPr>
  </w:style>
  <w:style w:type="paragraph" w:customStyle="1" w:styleId="AccessibilityheadingInsidecover">
    <w:name w:val="Accessibility heading (Inside cover)"/>
    <w:basedOn w:val="NoParagraphStyle"/>
    <w:uiPriority w:val="99"/>
    <w:rsid w:val="00512270"/>
    <w:pPr>
      <w:widowControl/>
      <w:suppressAutoHyphens/>
      <w:spacing w:line="280" w:lineRule="atLeast"/>
    </w:pPr>
    <w:rPr>
      <w:rFonts w:ascii="VIC (OTF) SemiBold" w:hAnsi="VIC (OTF) SemiBold" w:cs="VIC (OTF) SemiBold"/>
      <w:b/>
      <w:bCs/>
    </w:rPr>
  </w:style>
  <w:style w:type="paragraph" w:customStyle="1" w:styleId="AccessibilitybodycopyInsidecover">
    <w:name w:val="Accessibility body copy (Inside cover)"/>
    <w:basedOn w:val="ImprintbodycopyInsidecover"/>
    <w:uiPriority w:val="99"/>
    <w:rsid w:val="00512270"/>
    <w:pPr>
      <w:spacing w:line="280" w:lineRule="atLeast"/>
    </w:pPr>
    <w:rPr>
      <w:rFonts w:ascii="VIC (OTF) Light" w:hAnsi="VIC (OTF) Light" w:cs="VIC (OTF) Light"/>
      <w:sz w:val="24"/>
      <w:szCs w:val="24"/>
    </w:rPr>
  </w:style>
  <w:style w:type="character" w:customStyle="1" w:styleId="Updatecontent">
    <w:name w:val="Update content"/>
    <w:uiPriority w:val="99"/>
    <w:rsid w:val="00512270"/>
    <w:rPr>
      <w:color w:val="FF00FF"/>
    </w:rPr>
  </w:style>
  <w:style w:type="paragraph" w:customStyle="1" w:styleId="Number1Lists">
    <w:name w:val="Number 1 (Lists)"/>
    <w:basedOn w:val="BodyCopyBodycopy"/>
    <w:uiPriority w:val="99"/>
    <w:rsid w:val="001E0F51"/>
    <w:pPr>
      <w:widowControl/>
      <w:numPr>
        <w:numId w:val="56"/>
      </w:numPr>
      <w:spacing w:before="0" w:after="120" w:line="260" w:lineRule="atLeast"/>
    </w:pPr>
    <w:rPr>
      <w:rFonts w:ascii="Arial" w:hAnsi="Arial"/>
      <w:sz w:val="22"/>
    </w:rPr>
  </w:style>
  <w:style w:type="paragraph" w:customStyle="1" w:styleId="Heading2BHeadings">
    <w:name w:val="Heading 2B (Headings)"/>
    <w:basedOn w:val="Normal"/>
    <w:uiPriority w:val="99"/>
    <w:rsid w:val="00851CCA"/>
    <w:pPr>
      <w:spacing w:before="170" w:after="113" w:line="280" w:lineRule="atLeast"/>
    </w:pPr>
    <w:rPr>
      <w:rFonts w:ascii="VIC SemiBold" w:hAnsi="VIC SemiBold" w:cs="VIC SemiBold"/>
      <w:b/>
      <w:bCs/>
      <w:color w:val="00B4AE"/>
      <w:sz w:val="24"/>
      <w:szCs w:val="24"/>
      <w:lang w:val="en-GB"/>
    </w:rPr>
  </w:style>
  <w:style w:type="paragraph" w:customStyle="1" w:styleId="Bullet1Lists">
    <w:name w:val="Bullet 1 (Lists)"/>
    <w:basedOn w:val="BodyCopyBodycopy"/>
    <w:uiPriority w:val="99"/>
    <w:rsid w:val="006F71C1"/>
    <w:pPr>
      <w:widowControl/>
      <w:numPr>
        <w:numId w:val="1"/>
      </w:numPr>
      <w:spacing w:before="0" w:after="120" w:line="260" w:lineRule="atLeast"/>
      <w:ind w:left="284" w:hanging="284"/>
    </w:pPr>
    <w:rPr>
      <w:rFonts w:ascii="Arial" w:hAnsi="Arial"/>
      <w:sz w:val="22"/>
    </w:rPr>
  </w:style>
  <w:style w:type="paragraph" w:customStyle="1" w:styleId="Heading2Headings">
    <w:name w:val="Heading 2 (Headings)"/>
    <w:basedOn w:val="Heading2"/>
    <w:uiPriority w:val="99"/>
    <w:rsid w:val="00284427"/>
  </w:style>
  <w:style w:type="paragraph" w:customStyle="1" w:styleId="TabletitleFiguresImages">
    <w:name w:val="Table title (Figures/Images)"/>
    <w:basedOn w:val="NoParagraphStyle"/>
    <w:uiPriority w:val="99"/>
    <w:rsid w:val="004145AF"/>
    <w:pPr>
      <w:keepNext/>
      <w:widowControl/>
      <w:suppressAutoHyphens/>
      <w:spacing w:after="120" w:line="260" w:lineRule="atLeast"/>
    </w:pPr>
    <w:rPr>
      <w:rFonts w:ascii="Arial" w:hAnsi="Arial" w:cs="VIC SemiBold"/>
      <w:b/>
      <w:bCs/>
      <w:color w:val="auto"/>
      <w:sz w:val="22"/>
      <w:szCs w:val="20"/>
    </w:rPr>
  </w:style>
  <w:style w:type="paragraph" w:customStyle="1" w:styleId="Heading4Headings">
    <w:name w:val="Heading 4 (Headings)"/>
    <w:basedOn w:val="SmallheadingInsidecover"/>
    <w:uiPriority w:val="99"/>
    <w:rsid w:val="00B02873"/>
    <w:pPr>
      <w:widowControl w:val="0"/>
      <w:spacing w:before="227" w:line="240" w:lineRule="atLeast"/>
    </w:pPr>
    <w:rPr>
      <w:rFonts w:ascii="VIC Bold Italic" w:hAnsi="VIC Bold Italic" w:cs="VIC Bold Italic"/>
      <w:i/>
      <w:iCs/>
      <w:color w:val="100149"/>
      <w:sz w:val="20"/>
      <w:szCs w:val="20"/>
      <w:lang w:val="en-GB"/>
    </w:rPr>
  </w:style>
  <w:style w:type="paragraph" w:customStyle="1" w:styleId="TablebodyleftTables">
    <w:name w:val="Table body_left (Tables)"/>
    <w:basedOn w:val="NoParagraphStyle"/>
    <w:uiPriority w:val="99"/>
    <w:rsid w:val="004145AF"/>
    <w:pPr>
      <w:widowControl/>
      <w:suppressAutoHyphens/>
      <w:spacing w:before="60" w:after="60" w:line="260" w:lineRule="atLeast"/>
    </w:pPr>
    <w:rPr>
      <w:rFonts w:ascii="Arial" w:hAnsi="Arial" w:cs="VIC Light"/>
      <w:color w:val="auto"/>
      <w:sz w:val="22"/>
      <w:szCs w:val="16"/>
      <w:lang w:val="en-AU"/>
    </w:rPr>
  </w:style>
  <w:style w:type="paragraph" w:customStyle="1" w:styleId="BasicParagraph">
    <w:name w:val="[Basic Paragraph]"/>
    <w:basedOn w:val="NoParagraphStyle"/>
    <w:uiPriority w:val="99"/>
    <w:rsid w:val="00B02873"/>
  </w:style>
  <w:style w:type="paragraph" w:customStyle="1" w:styleId="HeadingFHeadings">
    <w:name w:val="Heading F (Headings)"/>
    <w:basedOn w:val="BodyCopyBodycopy"/>
    <w:uiPriority w:val="99"/>
    <w:rsid w:val="00B02873"/>
    <w:pPr>
      <w:spacing w:after="57"/>
    </w:pPr>
    <w:rPr>
      <w:rFonts w:ascii="VIC SemiBold" w:hAnsi="VIC SemiBold" w:cs="VIC SemiBold"/>
      <w:b/>
      <w:bCs/>
    </w:rPr>
  </w:style>
  <w:style w:type="character" w:customStyle="1" w:styleId="BoldItalic">
    <w:name w:val="Bold Italic"/>
    <w:uiPriority w:val="99"/>
    <w:rsid w:val="00E9230B"/>
    <w:rPr>
      <w:rFonts w:ascii="Arial" w:hAnsi="Arial" w:cs="VIC Bold Italic"/>
      <w:b/>
      <w:bCs/>
      <w:i/>
      <w:iCs/>
    </w:rPr>
  </w:style>
  <w:style w:type="paragraph" w:customStyle="1" w:styleId="Table-NotesnumberedLASTTables">
    <w:name w:val="Table - Notes numbered LAST (Tables)"/>
    <w:basedOn w:val="BodyCopyBodycopy"/>
    <w:uiPriority w:val="99"/>
    <w:rsid w:val="00B02873"/>
    <w:pPr>
      <w:spacing w:line="200" w:lineRule="atLeast"/>
      <w:ind w:left="340" w:hanging="340"/>
    </w:pPr>
    <w:rPr>
      <w:sz w:val="16"/>
      <w:szCs w:val="16"/>
    </w:rPr>
  </w:style>
  <w:style w:type="paragraph" w:customStyle="1" w:styleId="LegislativeTEXTBodycopy">
    <w:name w:val="Legislative TEXT (Body copy)"/>
    <w:basedOn w:val="BodyCopyBodycopy"/>
    <w:uiPriority w:val="99"/>
    <w:rsid w:val="00B02873"/>
    <w:pPr>
      <w:spacing w:after="57"/>
    </w:pPr>
    <w:rPr>
      <w:rFonts w:ascii="VIC Light Italic" w:hAnsi="VIC Light Italic" w:cs="VIC Light Italic"/>
      <w:i/>
      <w:iCs/>
    </w:rPr>
  </w:style>
  <w:style w:type="paragraph" w:customStyle="1" w:styleId="LegislativeINDENTBodycopy">
    <w:name w:val="Legislative INDENT (Body copy)"/>
    <w:basedOn w:val="LegislativeTEXTBodycopy"/>
    <w:uiPriority w:val="99"/>
    <w:rsid w:val="00B02873"/>
    <w:pPr>
      <w:spacing w:before="0"/>
      <w:ind w:left="340"/>
    </w:pPr>
    <w:rPr>
      <w:rFonts w:ascii="VIC Light" w:hAnsi="VIC Light" w:cs="VIC Light"/>
    </w:rPr>
  </w:style>
  <w:style w:type="paragraph" w:customStyle="1" w:styleId="TOCsub-head">
    <w:name w:val="TOC sub-head"/>
    <w:basedOn w:val="Normal"/>
    <w:uiPriority w:val="99"/>
    <w:rsid w:val="00B02873"/>
    <w:pPr>
      <w:tabs>
        <w:tab w:val="right" w:pos="9620"/>
      </w:tabs>
      <w:spacing w:after="142" w:line="288" w:lineRule="auto"/>
    </w:pPr>
    <w:rPr>
      <w:rFonts w:ascii="VIC" w:hAnsi="VIC" w:cs="VIC"/>
      <w:sz w:val="17"/>
      <w:szCs w:val="17"/>
      <w:lang w:val="en-GB"/>
    </w:rPr>
  </w:style>
  <w:style w:type="paragraph" w:customStyle="1" w:styleId="FinheadingcontentsHeadings">
    <w:name w:val="Fin heading contents (Headings)"/>
    <w:basedOn w:val="NoParagraphStyle"/>
    <w:next w:val="NoParagraphStyle"/>
    <w:uiPriority w:val="99"/>
    <w:rsid w:val="00B02873"/>
    <w:pPr>
      <w:suppressAutoHyphens/>
      <w:spacing w:before="85" w:after="85" w:line="280" w:lineRule="atLeast"/>
    </w:pPr>
    <w:rPr>
      <w:rFonts w:ascii="VIC (OTF) Bold" w:hAnsi="VIC (OTF) Bold" w:cs="VIC (OTF) Bold"/>
      <w:b/>
      <w:bCs/>
      <w:lang w:val="en-GB"/>
    </w:rPr>
  </w:style>
  <w:style w:type="paragraph" w:customStyle="1" w:styleId="Table-NotesnumericTables">
    <w:name w:val="Table - Notes numeric (Tables)"/>
    <w:basedOn w:val="BodyCopyBodycopy"/>
    <w:uiPriority w:val="99"/>
    <w:rsid w:val="00B02873"/>
    <w:pPr>
      <w:spacing w:after="0" w:line="200" w:lineRule="atLeast"/>
      <w:ind w:left="340" w:hanging="340"/>
    </w:pPr>
    <w:rPr>
      <w:sz w:val="16"/>
      <w:szCs w:val="16"/>
    </w:rPr>
  </w:style>
  <w:style w:type="paragraph" w:customStyle="1" w:styleId="TableheadingleftTables">
    <w:name w:val="Table heading_left (Tables)"/>
    <w:basedOn w:val="NoParagraphStyle"/>
    <w:uiPriority w:val="99"/>
    <w:rsid w:val="007116DF"/>
    <w:pPr>
      <w:keepNext/>
      <w:widowControl/>
      <w:suppressAutoHyphens/>
      <w:spacing w:before="60" w:after="60" w:line="260" w:lineRule="atLeast"/>
    </w:pPr>
    <w:rPr>
      <w:rFonts w:ascii="Arial" w:hAnsi="Arial" w:cs="VIC SemiBold"/>
      <w:b/>
      <w:bCs/>
      <w:color w:val="auto"/>
      <w:sz w:val="22"/>
      <w:szCs w:val="18"/>
      <w:lang w:val="en-GB"/>
    </w:rPr>
  </w:style>
  <w:style w:type="paragraph" w:customStyle="1" w:styleId="TableheadingrightTables">
    <w:name w:val="Table heading_right (Tables)"/>
    <w:basedOn w:val="NoParagraphStyle"/>
    <w:uiPriority w:val="99"/>
    <w:rsid w:val="00B02873"/>
    <w:pPr>
      <w:suppressAutoHyphens/>
      <w:spacing w:before="113" w:after="113" w:line="220" w:lineRule="atLeast"/>
      <w:jc w:val="right"/>
    </w:pPr>
    <w:rPr>
      <w:rFonts w:ascii="VIC SemiBold" w:hAnsi="VIC SemiBold" w:cs="VIC SemiBold"/>
      <w:b/>
      <w:bCs/>
      <w:color w:val="FFFFFF"/>
      <w:sz w:val="18"/>
      <w:szCs w:val="18"/>
      <w:lang w:val="en-GB"/>
    </w:rPr>
  </w:style>
  <w:style w:type="paragraph" w:customStyle="1" w:styleId="TableBulletleftTables">
    <w:name w:val="Table Bullet_left (Tables)"/>
    <w:basedOn w:val="Bullet1Lists"/>
    <w:uiPriority w:val="99"/>
    <w:rsid w:val="00B773F8"/>
    <w:rPr>
      <w:color w:val="auto"/>
      <w:szCs w:val="16"/>
    </w:rPr>
  </w:style>
  <w:style w:type="character" w:customStyle="1" w:styleId="Light">
    <w:name w:val="Light"/>
    <w:uiPriority w:val="99"/>
    <w:rsid w:val="00B02873"/>
    <w:rPr>
      <w:rFonts w:ascii="VIC Light" w:hAnsi="VIC Light" w:cs="VIC Light"/>
    </w:rPr>
  </w:style>
  <w:style w:type="paragraph" w:customStyle="1" w:styleId="Heading5Headings">
    <w:name w:val="Heading 5 (Headings)"/>
    <w:basedOn w:val="NoParagraphStyle"/>
    <w:uiPriority w:val="99"/>
    <w:rsid w:val="00B02873"/>
    <w:pPr>
      <w:suppressAutoHyphens/>
      <w:spacing w:before="170" w:after="113" w:line="240" w:lineRule="atLeast"/>
    </w:pPr>
    <w:rPr>
      <w:rFonts w:ascii="VIC" w:hAnsi="VIC" w:cs="VIC"/>
      <w:i/>
      <w:iCs/>
      <w:color w:val="100149"/>
      <w:sz w:val="20"/>
      <w:szCs w:val="20"/>
      <w:lang w:val="en-GB"/>
    </w:rPr>
  </w:style>
  <w:style w:type="paragraph" w:customStyle="1" w:styleId="TablebodyleftBOLDTables">
    <w:name w:val="Table body_left BOLD (Tables)"/>
    <w:basedOn w:val="NoParagraphStyle"/>
    <w:uiPriority w:val="99"/>
    <w:rsid w:val="00B02873"/>
    <w:pPr>
      <w:spacing w:after="180" w:line="220" w:lineRule="atLeast"/>
    </w:pPr>
    <w:rPr>
      <w:rFonts w:ascii="VIC SemiBold" w:hAnsi="VIC SemiBold" w:cs="VIC SemiBold"/>
      <w:b/>
      <w:bCs/>
      <w:color w:val="100149"/>
      <w:sz w:val="16"/>
      <w:szCs w:val="16"/>
      <w:lang w:val="en-GB"/>
    </w:rPr>
  </w:style>
  <w:style w:type="paragraph" w:customStyle="1" w:styleId="TablebodyrightTables">
    <w:name w:val="Table body_right (Tables)"/>
    <w:basedOn w:val="NoParagraphStyle"/>
    <w:uiPriority w:val="99"/>
    <w:rsid w:val="00B02873"/>
    <w:pPr>
      <w:spacing w:after="180" w:line="220" w:lineRule="atLeast"/>
      <w:jc w:val="right"/>
    </w:pPr>
    <w:rPr>
      <w:rFonts w:ascii="VIC Light" w:hAnsi="VIC Light" w:cs="VIC Light"/>
      <w:color w:val="100149"/>
      <w:sz w:val="16"/>
      <w:szCs w:val="16"/>
      <w:lang w:val="en-GB"/>
    </w:rPr>
  </w:style>
  <w:style w:type="paragraph" w:customStyle="1" w:styleId="Table-NotesSYMBOLTables">
    <w:name w:val="Table - Notes SYMBOL (Tables)"/>
    <w:basedOn w:val="Table-NotesnumberedTables"/>
    <w:uiPriority w:val="99"/>
    <w:rsid w:val="00B02873"/>
    <w:pPr>
      <w:tabs>
        <w:tab w:val="left" w:pos="20"/>
      </w:tabs>
      <w:ind w:left="320" w:hanging="320"/>
    </w:pPr>
  </w:style>
  <w:style w:type="paragraph" w:customStyle="1" w:styleId="Table-NotesnumberedTables">
    <w:name w:val="Table - Notes numbered (Tables)"/>
    <w:basedOn w:val="BodyCopyBodycopy"/>
    <w:uiPriority w:val="99"/>
    <w:rsid w:val="00B02873"/>
    <w:pPr>
      <w:spacing w:after="0" w:line="200" w:lineRule="atLeast"/>
      <w:ind w:left="340" w:hanging="340"/>
    </w:pPr>
    <w:rPr>
      <w:sz w:val="16"/>
      <w:szCs w:val="16"/>
    </w:rPr>
  </w:style>
  <w:style w:type="paragraph" w:customStyle="1" w:styleId="Table-IndentItalicregularTables">
    <w:name w:val="Table - Indent Italic regular (Tables)"/>
    <w:basedOn w:val="TablebodyleftTables"/>
    <w:uiPriority w:val="99"/>
    <w:rsid w:val="00B02873"/>
    <w:pPr>
      <w:spacing w:line="276" w:lineRule="auto"/>
      <w:ind w:left="227"/>
    </w:pPr>
    <w:rPr>
      <w:rFonts w:ascii="VIC Light Italic" w:hAnsi="VIC Light Italic" w:cs="VIC Light Italic"/>
      <w:i/>
      <w:iCs/>
    </w:rPr>
  </w:style>
  <w:style w:type="paragraph" w:customStyle="1" w:styleId="Table-NotesHEADTables">
    <w:name w:val="Table - Notes HEAD (Tables)"/>
    <w:basedOn w:val="BodyCopyBodycopy"/>
    <w:uiPriority w:val="99"/>
    <w:rsid w:val="00B02873"/>
    <w:pPr>
      <w:spacing w:after="0" w:line="200" w:lineRule="atLeast"/>
      <w:ind w:left="340" w:hanging="340"/>
    </w:pPr>
    <w:rPr>
      <w:sz w:val="16"/>
      <w:szCs w:val="16"/>
    </w:rPr>
  </w:style>
  <w:style w:type="paragraph" w:customStyle="1" w:styleId="Table-NotesSYMBOLLASTTables">
    <w:name w:val="Table - Notes SYMBOL LAST (Tables)"/>
    <w:basedOn w:val="Table-NotesnumberedTables"/>
    <w:uiPriority w:val="99"/>
    <w:rsid w:val="00B02873"/>
    <w:pPr>
      <w:tabs>
        <w:tab w:val="left" w:pos="510"/>
      </w:tabs>
      <w:spacing w:after="113"/>
      <w:ind w:left="170" w:hanging="170"/>
    </w:pPr>
  </w:style>
  <w:style w:type="character" w:styleId="Hyperlink">
    <w:name w:val="Hyperlink"/>
    <w:basedOn w:val="DefaultParagraphFont"/>
    <w:uiPriority w:val="99"/>
    <w:rsid w:val="00A36811"/>
    <w:rPr>
      <w:rFonts w:ascii="Arial" w:hAnsi="Arial" w:cs="VIC Light"/>
      <w:color w:val="205D9E"/>
      <w:u w:val="single"/>
    </w:rPr>
  </w:style>
  <w:style w:type="character" w:customStyle="1" w:styleId="RegularItalic">
    <w:name w:val="Regular Italic"/>
    <w:basedOn w:val="LightItalic"/>
    <w:uiPriority w:val="99"/>
    <w:rsid w:val="00B02873"/>
    <w:rPr>
      <w:rFonts w:ascii="VIC" w:hAnsi="VIC" w:cs="VIC"/>
      <w:i/>
      <w:iCs/>
    </w:rPr>
  </w:style>
  <w:style w:type="paragraph" w:customStyle="1" w:styleId="FootnoteBodycopy">
    <w:name w:val="Footnote (Body copy)"/>
    <w:basedOn w:val="NoParagraphStyle"/>
    <w:uiPriority w:val="99"/>
    <w:rsid w:val="00B02873"/>
    <w:pPr>
      <w:suppressAutoHyphens/>
      <w:spacing w:before="57" w:after="170" w:line="180" w:lineRule="atLeast"/>
      <w:ind w:left="170" w:hanging="170"/>
    </w:pPr>
    <w:rPr>
      <w:rFonts w:ascii="VIC Light" w:hAnsi="VIC Light" w:cs="VIC Light"/>
      <w:sz w:val="14"/>
      <w:szCs w:val="14"/>
      <w:lang w:val="en-GB"/>
    </w:rPr>
  </w:style>
  <w:style w:type="paragraph" w:customStyle="1" w:styleId="TablebodyrightBOLDTables">
    <w:name w:val="Table body_right BOLD (Tables)"/>
    <w:basedOn w:val="NoParagraphStyle"/>
    <w:uiPriority w:val="99"/>
    <w:rsid w:val="00B02873"/>
    <w:pPr>
      <w:spacing w:after="180" w:line="220" w:lineRule="atLeast"/>
      <w:jc w:val="right"/>
    </w:pPr>
    <w:rPr>
      <w:rFonts w:ascii="VIC SemiBold" w:hAnsi="VIC SemiBold" w:cs="VIC SemiBold"/>
      <w:b/>
      <w:bCs/>
      <w:color w:val="100149"/>
      <w:sz w:val="16"/>
      <w:szCs w:val="16"/>
      <w:lang w:val="en-GB"/>
    </w:rPr>
  </w:style>
  <w:style w:type="paragraph" w:customStyle="1" w:styleId="TabletitleTables">
    <w:name w:val="Table title (Tables)"/>
    <w:basedOn w:val="NoParagraphStyle"/>
    <w:uiPriority w:val="99"/>
    <w:rsid w:val="00AC26B7"/>
    <w:pPr>
      <w:keepNext/>
      <w:widowControl/>
      <w:suppressAutoHyphens/>
      <w:spacing w:before="57" w:after="113" w:line="240" w:lineRule="atLeast"/>
    </w:pPr>
    <w:rPr>
      <w:rFonts w:ascii="Arial" w:hAnsi="Arial" w:cs="VIC SemiBold"/>
      <w:b/>
      <w:bCs/>
      <w:color w:val="auto"/>
      <w:sz w:val="22"/>
      <w:szCs w:val="20"/>
    </w:rPr>
  </w:style>
  <w:style w:type="character" w:customStyle="1" w:styleId="weblink">
    <w:name w:val="weblink"/>
    <w:uiPriority w:val="99"/>
    <w:rsid w:val="00B02873"/>
    <w:rPr>
      <w:color w:val="0054A6"/>
      <w:u w:val="thick"/>
    </w:rPr>
  </w:style>
  <w:style w:type="paragraph" w:customStyle="1" w:styleId="Table-IndentTables">
    <w:name w:val="Table - Indent (Tables)"/>
    <w:basedOn w:val="TablebodyleftTables"/>
    <w:uiPriority w:val="99"/>
    <w:rsid w:val="00B02873"/>
    <w:pPr>
      <w:ind w:left="227"/>
    </w:pPr>
  </w:style>
  <w:style w:type="character" w:customStyle="1" w:styleId="SemiBoldItalic">
    <w:name w:val="SemiBold Italic"/>
    <w:uiPriority w:val="99"/>
    <w:rsid w:val="00B02873"/>
    <w:rPr>
      <w:rFonts w:ascii="VIC SemiBold Italic" w:hAnsi="VIC SemiBold Italic" w:cs="VIC SemiBold Italic"/>
      <w:b/>
      <w:bCs/>
      <w:i/>
      <w:iCs/>
    </w:rPr>
  </w:style>
  <w:style w:type="paragraph" w:customStyle="1" w:styleId="Bullet2Lists">
    <w:name w:val="Bullet 2 (Lists)"/>
    <w:basedOn w:val="Normal"/>
    <w:uiPriority w:val="99"/>
    <w:rsid w:val="00CE2866"/>
    <w:pPr>
      <w:numPr>
        <w:numId w:val="19"/>
      </w:numPr>
      <w:spacing w:after="120"/>
      <w:ind w:left="568" w:hanging="284"/>
    </w:pPr>
  </w:style>
  <w:style w:type="paragraph" w:customStyle="1" w:styleId="Table-NotesalphaTables">
    <w:name w:val="Table - Notes alpha (Tables)"/>
    <w:basedOn w:val="BodyCopyBodycopy"/>
    <w:uiPriority w:val="99"/>
    <w:rsid w:val="00B02873"/>
    <w:pPr>
      <w:spacing w:after="0" w:line="200" w:lineRule="atLeast"/>
      <w:ind w:left="340" w:hanging="340"/>
    </w:pPr>
    <w:rPr>
      <w:sz w:val="16"/>
      <w:szCs w:val="16"/>
    </w:rPr>
  </w:style>
  <w:style w:type="paragraph" w:customStyle="1" w:styleId="Table-NotesalphaLASTTables">
    <w:name w:val="Table - Notes alpha LAST (Tables)"/>
    <w:basedOn w:val="BodyCopyBodycopy"/>
    <w:uiPriority w:val="99"/>
    <w:rsid w:val="00B02873"/>
    <w:pPr>
      <w:spacing w:line="200" w:lineRule="atLeast"/>
      <w:ind w:left="340" w:hanging="340"/>
    </w:pPr>
    <w:rPr>
      <w:sz w:val="16"/>
      <w:szCs w:val="16"/>
    </w:rPr>
  </w:style>
  <w:style w:type="paragraph" w:customStyle="1" w:styleId="Table-NotesBODYONLYTables">
    <w:name w:val="Table - Notes BODY ONLY (Tables)"/>
    <w:basedOn w:val="BodyCopyBodycopy"/>
    <w:uiPriority w:val="99"/>
    <w:rsid w:val="00B02873"/>
    <w:pPr>
      <w:spacing w:after="0" w:line="200" w:lineRule="atLeast"/>
      <w:ind w:left="340" w:hanging="340"/>
    </w:pPr>
    <w:rPr>
      <w:sz w:val="16"/>
      <w:szCs w:val="16"/>
    </w:rPr>
  </w:style>
  <w:style w:type="paragraph" w:customStyle="1" w:styleId="IndentLists">
    <w:name w:val="Indent (Lists)"/>
    <w:basedOn w:val="BodyCopyBodycopy"/>
    <w:uiPriority w:val="99"/>
    <w:rsid w:val="00B02873"/>
    <w:pPr>
      <w:ind w:left="340" w:hanging="340"/>
    </w:pPr>
  </w:style>
  <w:style w:type="paragraph" w:customStyle="1" w:styleId="Alpha1Lists">
    <w:name w:val="Alpha 1 (Lists)"/>
    <w:basedOn w:val="BodyCopyBodycopy"/>
    <w:uiPriority w:val="99"/>
    <w:rsid w:val="00B02873"/>
    <w:pPr>
      <w:ind w:left="340" w:hanging="340"/>
    </w:pPr>
  </w:style>
  <w:style w:type="paragraph" w:customStyle="1" w:styleId="Alpha2Lists">
    <w:name w:val="Alpha 2 (Lists)"/>
    <w:basedOn w:val="Number1Lists"/>
    <w:uiPriority w:val="99"/>
    <w:rsid w:val="00B02873"/>
    <w:pPr>
      <w:ind w:left="680"/>
    </w:pPr>
  </w:style>
  <w:style w:type="paragraph" w:customStyle="1" w:styleId="HeadLDEPIint">
    <w:name w:val="Head L (DEPI_int)"/>
    <w:basedOn w:val="FINBodyRBOLDDEPIint"/>
    <w:uiPriority w:val="99"/>
    <w:rsid w:val="00B02873"/>
    <w:pPr>
      <w:jc w:val="left"/>
    </w:pPr>
    <w:rPr>
      <w:rFonts w:ascii="VIC" w:hAnsi="VIC" w:cs="VIC"/>
    </w:rPr>
  </w:style>
  <w:style w:type="paragraph" w:customStyle="1" w:styleId="FINBodyRBOLDDEPIint">
    <w:name w:val="FIN Body R BOLD (DEPI_int)"/>
    <w:basedOn w:val="NoParagraphStyle"/>
    <w:uiPriority w:val="99"/>
    <w:rsid w:val="00B02873"/>
    <w:pPr>
      <w:tabs>
        <w:tab w:val="right" w:pos="1572"/>
        <w:tab w:val="right" w:pos="3144"/>
        <w:tab w:val="right" w:pos="5315"/>
      </w:tabs>
      <w:suppressAutoHyphens/>
      <w:spacing w:after="115" w:line="200" w:lineRule="atLeast"/>
      <w:jc w:val="right"/>
    </w:pPr>
    <w:rPr>
      <w:rFonts w:ascii="VIC SemiBold" w:hAnsi="VIC SemiBold" w:cs="VIC SemiBold"/>
      <w:b/>
      <w:bCs/>
      <w:sz w:val="16"/>
      <w:szCs w:val="16"/>
      <w:lang w:val="en-GB"/>
    </w:rPr>
  </w:style>
  <w:style w:type="paragraph" w:customStyle="1" w:styleId="HeadRBOLDDEPIint">
    <w:name w:val="Head R BOLD (DEPI_int)"/>
    <w:basedOn w:val="FINBodyRBOLDDEPIint"/>
    <w:uiPriority w:val="99"/>
    <w:rsid w:val="00B02873"/>
    <w:pPr>
      <w:spacing w:line="288" w:lineRule="auto"/>
    </w:pPr>
  </w:style>
  <w:style w:type="paragraph" w:customStyle="1" w:styleId="HeadRDEPIint">
    <w:name w:val="Head R (DEPI_int)"/>
    <w:basedOn w:val="FINBodyRBOLDDEPIint"/>
    <w:uiPriority w:val="99"/>
    <w:rsid w:val="00B02873"/>
    <w:rPr>
      <w:rFonts w:ascii="VIC Light" w:hAnsi="VIC Light" w:cs="VIC Light"/>
    </w:rPr>
  </w:style>
  <w:style w:type="paragraph" w:customStyle="1" w:styleId="FinBodyLBOLDDEPIint">
    <w:name w:val="Fin Body L BOLD (DEPI_int)"/>
    <w:basedOn w:val="NoParagraphStyle"/>
    <w:uiPriority w:val="99"/>
    <w:rsid w:val="00B02873"/>
    <w:pPr>
      <w:tabs>
        <w:tab w:val="right" w:pos="1572"/>
        <w:tab w:val="right" w:pos="3144"/>
        <w:tab w:val="right" w:pos="5315"/>
      </w:tabs>
      <w:suppressAutoHyphens/>
      <w:spacing w:after="115"/>
    </w:pPr>
    <w:rPr>
      <w:rFonts w:ascii="VIC SemiBold" w:hAnsi="VIC SemiBold" w:cs="VIC SemiBold"/>
      <w:b/>
      <w:bCs/>
      <w:sz w:val="16"/>
      <w:szCs w:val="16"/>
      <w:lang w:val="en-GB"/>
    </w:rPr>
  </w:style>
  <w:style w:type="paragraph" w:customStyle="1" w:styleId="FINBodyLDEPIint">
    <w:name w:val="FIN Body L (DEPI_int)"/>
    <w:basedOn w:val="NoParagraphStyle"/>
    <w:uiPriority w:val="99"/>
    <w:rsid w:val="00B02873"/>
    <w:pPr>
      <w:tabs>
        <w:tab w:val="left" w:pos="227"/>
        <w:tab w:val="right" w:pos="1572"/>
        <w:tab w:val="right" w:pos="3144"/>
        <w:tab w:val="right" w:pos="5315"/>
      </w:tabs>
      <w:suppressAutoHyphens/>
      <w:spacing w:after="115" w:line="200" w:lineRule="atLeast"/>
    </w:pPr>
    <w:rPr>
      <w:rFonts w:ascii="VIC Light" w:hAnsi="VIC Light" w:cs="VIC Light"/>
      <w:sz w:val="16"/>
      <w:szCs w:val="16"/>
      <w:lang w:val="en-GB"/>
    </w:rPr>
  </w:style>
  <w:style w:type="paragraph" w:customStyle="1" w:styleId="FINBodyRDEPIint">
    <w:name w:val="FIN Body R (DEPI_int)"/>
    <w:basedOn w:val="NoParagraphStyle"/>
    <w:uiPriority w:val="99"/>
    <w:rsid w:val="00B02873"/>
    <w:pPr>
      <w:tabs>
        <w:tab w:val="right" w:pos="1572"/>
        <w:tab w:val="right" w:pos="3144"/>
        <w:tab w:val="right" w:pos="5315"/>
      </w:tabs>
      <w:suppressAutoHyphens/>
      <w:spacing w:after="115"/>
      <w:jc w:val="right"/>
    </w:pPr>
    <w:rPr>
      <w:rFonts w:ascii="VIC Light" w:hAnsi="VIC Light" w:cs="VIC Light"/>
      <w:sz w:val="16"/>
      <w:szCs w:val="16"/>
      <w:lang w:val="en-GB"/>
    </w:rPr>
  </w:style>
  <w:style w:type="paragraph" w:customStyle="1" w:styleId="TablebodyrightBOLDFinancialsTables">
    <w:name w:val="Table body_right BOLD Financials (Tables)"/>
    <w:basedOn w:val="NoParagraphStyle"/>
    <w:uiPriority w:val="99"/>
    <w:rsid w:val="00B02873"/>
    <w:pPr>
      <w:spacing w:after="180" w:line="220" w:lineRule="atLeast"/>
      <w:jc w:val="right"/>
    </w:pPr>
    <w:rPr>
      <w:rFonts w:ascii="VIC SemiBold" w:hAnsi="VIC SemiBold" w:cs="VIC SemiBold"/>
      <w:b/>
      <w:bCs/>
      <w:sz w:val="16"/>
      <w:szCs w:val="16"/>
      <w:lang w:val="en-GB"/>
    </w:rPr>
  </w:style>
  <w:style w:type="paragraph" w:customStyle="1" w:styleId="Heading2-spanallHeadings">
    <w:name w:val="Heading 2 - span all (Headings)"/>
    <w:basedOn w:val="NoParagraphStyle"/>
    <w:uiPriority w:val="99"/>
    <w:rsid w:val="00B02873"/>
    <w:pPr>
      <w:suppressAutoHyphens/>
      <w:spacing w:before="170" w:after="113" w:line="280" w:lineRule="atLeast"/>
    </w:pPr>
    <w:rPr>
      <w:rFonts w:ascii="VIC SemiBold" w:hAnsi="VIC SemiBold" w:cs="VIC SemiBold"/>
      <w:b/>
      <w:bCs/>
      <w:color w:val="00B4AE"/>
      <w:lang w:val="en-GB"/>
    </w:rPr>
  </w:style>
  <w:style w:type="paragraph" w:customStyle="1" w:styleId="StructureLvl1DEPIint">
    <w:name w:val="Structure Lvl 1 (DEPI_int)"/>
    <w:basedOn w:val="FINBodyLDEPIint"/>
    <w:uiPriority w:val="99"/>
    <w:rsid w:val="00B02873"/>
    <w:pPr>
      <w:tabs>
        <w:tab w:val="clear" w:pos="227"/>
      </w:tabs>
      <w:spacing w:after="57" w:line="220" w:lineRule="atLeast"/>
      <w:ind w:left="340" w:hanging="340"/>
    </w:pPr>
  </w:style>
  <w:style w:type="paragraph" w:customStyle="1" w:styleId="StructureLvl2DEPIint">
    <w:name w:val="Structure Lvl 2 (DEPI_int)"/>
    <w:basedOn w:val="FINBodyLDEPIint"/>
    <w:uiPriority w:val="99"/>
    <w:rsid w:val="00B02873"/>
    <w:pPr>
      <w:tabs>
        <w:tab w:val="clear" w:pos="227"/>
      </w:tabs>
      <w:spacing w:after="57" w:line="220" w:lineRule="atLeast"/>
      <w:ind w:left="907" w:hanging="567"/>
    </w:pPr>
  </w:style>
  <w:style w:type="paragraph" w:customStyle="1" w:styleId="TableBodyRight-FinancialsDEPIint">
    <w:name w:val="Table Body Right - Financials (DEPI_int)"/>
    <w:basedOn w:val="FINBodyRBOLDDEPIint"/>
    <w:uiPriority w:val="99"/>
    <w:rsid w:val="00B02873"/>
    <w:rPr>
      <w:rFonts w:ascii="VIC" w:hAnsi="VIC" w:cs="VIC"/>
      <w:sz w:val="15"/>
      <w:szCs w:val="15"/>
    </w:rPr>
  </w:style>
  <w:style w:type="paragraph" w:customStyle="1" w:styleId="TableheadingleftFinancialsTables">
    <w:name w:val="Table heading_left Financials (Tables)"/>
    <w:basedOn w:val="TableheadingleftTables"/>
    <w:uiPriority w:val="99"/>
    <w:rsid w:val="009B5710"/>
    <w:pPr>
      <w:spacing w:before="20" w:after="20" w:line="240" w:lineRule="auto"/>
    </w:pPr>
    <w:rPr>
      <w:sz w:val="20"/>
      <w:szCs w:val="16"/>
    </w:rPr>
  </w:style>
  <w:style w:type="paragraph" w:customStyle="1" w:styleId="TablebodyleftFinancialsTables">
    <w:name w:val="Table body_left Financials (Tables)"/>
    <w:basedOn w:val="TablebodyleftTables"/>
    <w:uiPriority w:val="99"/>
    <w:rsid w:val="00AE220F"/>
    <w:pPr>
      <w:spacing w:before="20" w:after="20" w:line="240" w:lineRule="auto"/>
    </w:pPr>
    <w:rPr>
      <w:sz w:val="20"/>
    </w:rPr>
  </w:style>
  <w:style w:type="paragraph" w:customStyle="1" w:styleId="TablebodyrightFinancialsTables">
    <w:name w:val="Table body_right Financials (Tables)"/>
    <w:basedOn w:val="NoParagraphStyle"/>
    <w:uiPriority w:val="99"/>
    <w:rsid w:val="00B02873"/>
    <w:pPr>
      <w:spacing w:after="180" w:line="220" w:lineRule="atLeast"/>
      <w:jc w:val="right"/>
    </w:pPr>
    <w:rPr>
      <w:rFonts w:ascii="VIC Light" w:hAnsi="VIC Light" w:cs="VIC Light"/>
      <w:sz w:val="16"/>
      <w:szCs w:val="16"/>
      <w:lang w:val="en-GB"/>
    </w:rPr>
  </w:style>
  <w:style w:type="paragraph" w:customStyle="1" w:styleId="TablebodyleftBOLDFinancialsTables">
    <w:name w:val="Table body_left BOLD Financials (Tables)"/>
    <w:basedOn w:val="NoParagraphStyle"/>
    <w:uiPriority w:val="99"/>
    <w:rsid w:val="00B02873"/>
    <w:pPr>
      <w:spacing w:after="180" w:line="220" w:lineRule="atLeast"/>
    </w:pPr>
    <w:rPr>
      <w:rFonts w:ascii="VIC SemiBold" w:hAnsi="VIC SemiBold" w:cs="VIC SemiBold"/>
      <w:b/>
      <w:bCs/>
      <w:sz w:val="16"/>
      <w:szCs w:val="16"/>
      <w:lang w:val="en-GB"/>
    </w:rPr>
  </w:style>
  <w:style w:type="paragraph" w:customStyle="1" w:styleId="HeadLBOLDDEPIint">
    <w:name w:val="Head L BOLD (DEPI_int)"/>
    <w:basedOn w:val="FINBodyRBOLDDEPIint"/>
    <w:uiPriority w:val="99"/>
    <w:rsid w:val="00B02873"/>
    <w:pPr>
      <w:jc w:val="left"/>
    </w:pPr>
    <w:rPr>
      <w:rFonts w:ascii="VIC" w:hAnsi="VIC" w:cs="VIC"/>
    </w:rPr>
  </w:style>
  <w:style w:type="paragraph" w:customStyle="1" w:styleId="HeadingGHeadings">
    <w:name w:val="Heading G (Headings)"/>
    <w:basedOn w:val="HeadingFHeadings"/>
    <w:uiPriority w:val="99"/>
    <w:rsid w:val="00B02873"/>
    <w:rPr>
      <w:rFonts w:ascii="VIC Medium Italic" w:hAnsi="VIC Medium Italic" w:cs="VIC Medium Italic"/>
      <w:b w:val="0"/>
      <w:bCs w:val="0"/>
      <w:i/>
      <w:iCs/>
    </w:rPr>
  </w:style>
  <w:style w:type="paragraph" w:customStyle="1" w:styleId="FINBodyLsmallDEPIint">
    <w:name w:val="FIN Body L small (DEPI_int)"/>
    <w:basedOn w:val="NoParagraphStyle"/>
    <w:uiPriority w:val="99"/>
    <w:rsid w:val="00B02873"/>
    <w:pPr>
      <w:tabs>
        <w:tab w:val="left" w:pos="227"/>
        <w:tab w:val="right" w:pos="1572"/>
        <w:tab w:val="right" w:pos="3144"/>
        <w:tab w:val="right" w:pos="5315"/>
      </w:tabs>
      <w:suppressAutoHyphens/>
      <w:spacing w:after="28" w:line="200" w:lineRule="atLeast"/>
    </w:pPr>
    <w:rPr>
      <w:rFonts w:ascii="VIC Light" w:hAnsi="VIC Light" w:cs="VIC Light"/>
      <w:sz w:val="16"/>
      <w:szCs w:val="16"/>
      <w:lang w:val="en-GB"/>
    </w:rPr>
  </w:style>
  <w:style w:type="paragraph" w:customStyle="1" w:styleId="TableINDENTDEPIint">
    <w:name w:val="Table INDENT (DEPI_int)"/>
    <w:basedOn w:val="FINBodyLDEPIint"/>
    <w:uiPriority w:val="99"/>
    <w:rsid w:val="00B02873"/>
    <w:pPr>
      <w:tabs>
        <w:tab w:val="clear" w:pos="227"/>
      </w:tabs>
      <w:spacing w:after="57"/>
      <w:ind w:left="227"/>
    </w:pPr>
  </w:style>
  <w:style w:type="paragraph" w:customStyle="1" w:styleId="TableINDENTsmallDEPIint">
    <w:name w:val="Table INDENT small (DEPI_int)"/>
    <w:basedOn w:val="FINBodyLDEPIint"/>
    <w:uiPriority w:val="99"/>
    <w:rsid w:val="00B02873"/>
    <w:pPr>
      <w:tabs>
        <w:tab w:val="clear" w:pos="227"/>
      </w:tabs>
      <w:spacing w:after="57"/>
      <w:ind w:left="227"/>
    </w:pPr>
    <w:rPr>
      <w:sz w:val="15"/>
      <w:szCs w:val="15"/>
    </w:rPr>
  </w:style>
  <w:style w:type="paragraph" w:customStyle="1" w:styleId="Number2Lists">
    <w:name w:val="Number 2 (Lists)"/>
    <w:basedOn w:val="Number1Lists"/>
    <w:uiPriority w:val="99"/>
    <w:rsid w:val="00B02873"/>
    <w:pPr>
      <w:ind w:left="680"/>
    </w:pPr>
  </w:style>
  <w:style w:type="paragraph" w:customStyle="1" w:styleId="Table-NotesNONUMBERTables">
    <w:name w:val="Table - Notes NO NUMBER (Tables)"/>
    <w:basedOn w:val="BodyCopyBodycopy"/>
    <w:uiPriority w:val="99"/>
    <w:rsid w:val="00B02873"/>
    <w:pPr>
      <w:spacing w:after="0" w:line="200" w:lineRule="atLeast"/>
    </w:pPr>
    <w:rPr>
      <w:sz w:val="16"/>
      <w:szCs w:val="16"/>
    </w:rPr>
  </w:style>
  <w:style w:type="paragraph" w:customStyle="1" w:styleId="Heading1AppendixAppendices">
    <w:name w:val="Heading 1_Appendix (Appendices)"/>
    <w:basedOn w:val="Heading2Headings"/>
    <w:uiPriority w:val="99"/>
    <w:rsid w:val="00B02873"/>
    <w:pPr>
      <w:ind w:left="360" w:hanging="360"/>
    </w:pPr>
  </w:style>
  <w:style w:type="paragraph" w:customStyle="1" w:styleId="TableBodySemiBoldTables">
    <w:name w:val="Table Body SemiBold (Tables)"/>
    <w:basedOn w:val="TablebodyleftTables"/>
    <w:uiPriority w:val="99"/>
    <w:rsid w:val="00B02873"/>
    <w:rPr>
      <w:rFonts w:ascii="VIC SemiBold Italic" w:hAnsi="VIC SemiBold Italic" w:cs="VIC SemiBold Italic"/>
      <w:b/>
      <w:bCs/>
      <w:i/>
      <w:iCs/>
    </w:rPr>
  </w:style>
  <w:style w:type="paragraph" w:customStyle="1" w:styleId="Heading2AppendixAppendices">
    <w:name w:val="Heading 2_Appendix (Appendices)"/>
    <w:basedOn w:val="NoParagraphStyle"/>
    <w:uiPriority w:val="99"/>
    <w:rsid w:val="00B02873"/>
    <w:pPr>
      <w:suppressAutoHyphens/>
      <w:spacing w:before="170" w:after="113" w:line="280" w:lineRule="atLeast"/>
      <w:ind w:left="680" w:hanging="680"/>
    </w:pPr>
    <w:rPr>
      <w:rFonts w:ascii="VIC SemiBold" w:hAnsi="VIC SemiBold" w:cs="VIC SemiBold"/>
      <w:b/>
      <w:bCs/>
      <w:lang w:val="en-GB"/>
    </w:rPr>
  </w:style>
  <w:style w:type="paragraph" w:customStyle="1" w:styleId="Heading3AppendixAppendices">
    <w:name w:val="Heading 3_Appendix (Appendices)"/>
    <w:basedOn w:val="NoParagraphStyle"/>
    <w:uiPriority w:val="99"/>
    <w:rsid w:val="00B02873"/>
    <w:pPr>
      <w:suppressAutoHyphens/>
      <w:spacing w:before="170" w:after="113" w:line="240" w:lineRule="atLeast"/>
    </w:pPr>
    <w:rPr>
      <w:rFonts w:ascii="VIC" w:hAnsi="VIC" w:cs="VIC"/>
      <w:b/>
      <w:bCs/>
      <w:i/>
      <w:iCs/>
      <w:sz w:val="18"/>
      <w:szCs w:val="18"/>
      <w:lang w:val="en-GB"/>
    </w:rPr>
  </w:style>
  <w:style w:type="paragraph" w:customStyle="1" w:styleId="TablebodyleftVICLightTables">
    <w:name w:val="Table body_left VIC Light (Tables)"/>
    <w:basedOn w:val="NoParagraphStyle"/>
    <w:uiPriority w:val="99"/>
    <w:rsid w:val="00B02873"/>
    <w:pPr>
      <w:suppressAutoHyphens/>
      <w:spacing w:after="180" w:line="220" w:lineRule="atLeast"/>
    </w:pPr>
    <w:rPr>
      <w:rFonts w:ascii="VIC Light" w:hAnsi="VIC Light" w:cs="VIC Light"/>
      <w:color w:val="100149"/>
      <w:sz w:val="18"/>
      <w:szCs w:val="18"/>
      <w:lang w:val="en-GB"/>
    </w:rPr>
  </w:style>
  <w:style w:type="character" w:customStyle="1" w:styleId="Footnote1">
    <w:name w:val="Footnote1"/>
    <w:uiPriority w:val="99"/>
    <w:rsid w:val="00B02873"/>
    <w:rPr>
      <w:rFonts w:ascii="VIC" w:hAnsi="VIC" w:cs="VIC"/>
      <w:i/>
      <w:iCs/>
      <w:color w:val="000000"/>
      <w:sz w:val="12"/>
      <w:szCs w:val="12"/>
      <w:u w:val="none"/>
      <w:lang w:val="en-GB"/>
    </w:rPr>
  </w:style>
  <w:style w:type="paragraph" w:customStyle="1" w:styleId="Footnote">
    <w:name w:val="Footnote"/>
    <w:basedOn w:val="FootnoteText"/>
    <w:uiPriority w:val="99"/>
    <w:rsid w:val="00F0662F"/>
    <w:pPr>
      <w:tabs>
        <w:tab w:val="left" w:pos="284"/>
      </w:tabs>
      <w:spacing w:before="60"/>
      <w:ind w:left="284" w:hanging="284"/>
    </w:pPr>
    <w:rPr>
      <w:sz w:val="18"/>
      <w:szCs w:val="18"/>
    </w:rPr>
  </w:style>
  <w:style w:type="paragraph" w:customStyle="1" w:styleId="Boldheader">
    <w:name w:val="Bold header"/>
    <w:basedOn w:val="Normal"/>
    <w:uiPriority w:val="99"/>
    <w:qFormat/>
    <w:rsid w:val="00714C9E"/>
    <w:pPr>
      <w:keepNext/>
      <w:spacing w:before="120" w:after="120" w:line="220" w:lineRule="atLeast"/>
    </w:pPr>
    <w:rPr>
      <w:rFonts w:cs="Arial"/>
      <w:b/>
      <w:bCs/>
      <w:color w:val="auto"/>
      <w:szCs w:val="24"/>
      <w:lang w:val="en-GB"/>
    </w:rPr>
  </w:style>
  <w:style w:type="character" w:customStyle="1" w:styleId="Heading1Char">
    <w:name w:val="Heading 1 Char"/>
    <w:basedOn w:val="DefaultParagraphFont"/>
    <w:link w:val="Heading1"/>
    <w:uiPriority w:val="9"/>
    <w:rsid w:val="00012C04"/>
    <w:rPr>
      <w:rFonts w:ascii="Arial" w:eastAsiaTheme="majorEastAsia" w:hAnsi="Arial" w:cstheme="majorBidi"/>
      <w:b/>
      <w:bCs/>
      <w:kern w:val="32"/>
      <w:sz w:val="32"/>
      <w:szCs w:val="32"/>
    </w:rPr>
  </w:style>
  <w:style w:type="character" w:customStyle="1" w:styleId="Heading2Char">
    <w:name w:val="Heading 2 Char"/>
    <w:basedOn w:val="DefaultParagraphFont"/>
    <w:link w:val="Heading2"/>
    <w:uiPriority w:val="9"/>
    <w:rsid w:val="00FE198A"/>
    <w:rPr>
      <w:rFonts w:ascii="Arial" w:eastAsiaTheme="majorEastAsia" w:hAnsi="Arial" w:cs="Arial"/>
      <w:b/>
      <w:bCs/>
      <w:sz w:val="28"/>
      <w:szCs w:val="28"/>
    </w:rPr>
  </w:style>
  <w:style w:type="paragraph" w:customStyle="1" w:styleId="Normalbeforebullet">
    <w:name w:val="Normal before bullet"/>
    <w:basedOn w:val="Normal"/>
    <w:uiPriority w:val="99"/>
    <w:qFormat/>
    <w:rsid w:val="006F71C1"/>
    <w:pPr>
      <w:keepNext/>
      <w:spacing w:after="120"/>
    </w:pPr>
  </w:style>
  <w:style w:type="paragraph" w:customStyle="1" w:styleId="Number1Listslast">
    <w:name w:val="Number 1 (Lists) last"/>
    <w:basedOn w:val="Number1Lists"/>
    <w:uiPriority w:val="99"/>
    <w:qFormat/>
    <w:rsid w:val="0070439A"/>
    <w:pPr>
      <w:spacing w:after="200"/>
    </w:pPr>
  </w:style>
  <w:style w:type="character" w:customStyle="1" w:styleId="Heading3Char">
    <w:name w:val="Heading 3 Char"/>
    <w:basedOn w:val="DefaultParagraphFont"/>
    <w:link w:val="Heading3"/>
    <w:uiPriority w:val="9"/>
    <w:rsid w:val="00A727CB"/>
    <w:rPr>
      <w:rFonts w:ascii="Arial" w:eastAsiaTheme="majorEastAsia" w:hAnsi="Arial" w:cs="Arial"/>
      <w:b/>
      <w:bCs/>
      <w:sz w:val="24"/>
      <w:szCs w:val="24"/>
    </w:rPr>
  </w:style>
  <w:style w:type="paragraph" w:customStyle="1" w:styleId="Bullet1Listslast">
    <w:name w:val="Bullet 1 (Lists) last"/>
    <w:basedOn w:val="Bullet1Lists"/>
    <w:uiPriority w:val="99"/>
    <w:qFormat/>
    <w:rsid w:val="006F71C1"/>
    <w:pPr>
      <w:spacing w:after="200"/>
    </w:pPr>
  </w:style>
  <w:style w:type="table" w:styleId="TableGrid">
    <w:name w:val="Table Grid"/>
    <w:basedOn w:val="TableNormal"/>
    <w:uiPriority w:val="39"/>
    <w:rsid w:val="00E82E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rPr>
      <w:cantSplit/>
    </w:trPr>
    <w:tblStylePr w:type="firstRow">
      <w:rPr>
        <w:rFonts w:ascii="Arial" w:hAnsi="Arial"/>
        <w:b w:val="0"/>
        <w:sz w:val="22"/>
      </w:rPr>
    </w:tblStylePr>
  </w:style>
  <w:style w:type="character" w:styleId="CommentReference">
    <w:name w:val="annotation reference"/>
    <w:basedOn w:val="DefaultParagraphFont"/>
    <w:uiPriority w:val="99"/>
    <w:semiHidden/>
    <w:unhideWhenUsed/>
    <w:rsid w:val="007116DF"/>
    <w:rPr>
      <w:sz w:val="16"/>
      <w:szCs w:val="16"/>
    </w:rPr>
  </w:style>
  <w:style w:type="paragraph" w:styleId="CommentText">
    <w:name w:val="annotation text"/>
    <w:basedOn w:val="Normal"/>
    <w:link w:val="CommentTextChar"/>
    <w:uiPriority w:val="99"/>
    <w:semiHidden/>
    <w:unhideWhenUsed/>
    <w:rsid w:val="007116DF"/>
    <w:pPr>
      <w:spacing w:line="240" w:lineRule="auto"/>
    </w:pPr>
    <w:rPr>
      <w:sz w:val="20"/>
      <w:szCs w:val="20"/>
    </w:rPr>
  </w:style>
  <w:style w:type="character" w:customStyle="1" w:styleId="CommentTextChar">
    <w:name w:val="Comment Text Char"/>
    <w:basedOn w:val="DefaultParagraphFont"/>
    <w:link w:val="CommentText"/>
    <w:uiPriority w:val="99"/>
    <w:semiHidden/>
    <w:rsid w:val="007116DF"/>
    <w:rPr>
      <w:rFonts w:ascii="Arial" w:hAnsi="Arial" w:cs="Calibri"/>
      <w:color w:val="000000"/>
      <w:sz w:val="20"/>
      <w:szCs w:val="20"/>
    </w:rPr>
  </w:style>
  <w:style w:type="paragraph" w:styleId="CommentSubject">
    <w:name w:val="annotation subject"/>
    <w:basedOn w:val="CommentText"/>
    <w:next w:val="CommentText"/>
    <w:link w:val="CommentSubjectChar"/>
    <w:uiPriority w:val="99"/>
    <w:semiHidden/>
    <w:unhideWhenUsed/>
    <w:rsid w:val="007116DF"/>
    <w:rPr>
      <w:b/>
      <w:bCs/>
    </w:rPr>
  </w:style>
  <w:style w:type="character" w:customStyle="1" w:styleId="CommentSubjectChar">
    <w:name w:val="Comment Subject Char"/>
    <w:basedOn w:val="CommentTextChar"/>
    <w:link w:val="CommentSubject"/>
    <w:uiPriority w:val="99"/>
    <w:semiHidden/>
    <w:rsid w:val="007116DF"/>
    <w:rPr>
      <w:rFonts w:ascii="Arial" w:hAnsi="Arial" w:cs="Calibri"/>
      <w:b/>
      <w:bCs/>
      <w:color w:val="000000"/>
      <w:sz w:val="20"/>
      <w:szCs w:val="20"/>
    </w:rPr>
  </w:style>
  <w:style w:type="paragraph" w:customStyle="1" w:styleId="Numberedlist1">
    <w:name w:val="Numbered list (1.)"/>
    <w:basedOn w:val="Number1Lists"/>
    <w:uiPriority w:val="99"/>
    <w:qFormat/>
    <w:rsid w:val="006A304F"/>
  </w:style>
  <w:style w:type="character" w:customStyle="1" w:styleId="Heading4Char">
    <w:name w:val="Heading 4 Char"/>
    <w:basedOn w:val="DefaultParagraphFont"/>
    <w:link w:val="Heading4"/>
    <w:uiPriority w:val="9"/>
    <w:rsid w:val="004F47C2"/>
    <w:rPr>
      <w:rFonts w:asciiTheme="majorHAnsi" w:hAnsiTheme="majorHAnsi" w:cstheme="majorHAnsi"/>
      <w:b/>
      <w:bCs/>
      <w:i/>
      <w:iCs/>
      <w:lang w:val="en-GB"/>
    </w:rPr>
  </w:style>
  <w:style w:type="paragraph" w:styleId="FootnoteText">
    <w:name w:val="footnote text"/>
    <w:basedOn w:val="Normal"/>
    <w:link w:val="FootnoteTextChar"/>
    <w:uiPriority w:val="99"/>
    <w:semiHidden/>
    <w:unhideWhenUsed/>
    <w:rsid w:val="00F0662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0662F"/>
    <w:rPr>
      <w:rFonts w:ascii="Arial" w:hAnsi="Arial" w:cs="Calibri"/>
      <w:color w:val="000000"/>
      <w:sz w:val="20"/>
      <w:szCs w:val="20"/>
    </w:rPr>
  </w:style>
  <w:style w:type="character" w:styleId="FootnoteReference">
    <w:name w:val="footnote reference"/>
    <w:basedOn w:val="DefaultParagraphFont"/>
    <w:uiPriority w:val="99"/>
    <w:semiHidden/>
    <w:unhideWhenUsed/>
    <w:rsid w:val="00F0662F"/>
    <w:rPr>
      <w:vertAlign w:val="superscript"/>
    </w:rPr>
  </w:style>
  <w:style w:type="paragraph" w:customStyle="1" w:styleId="Figureheading">
    <w:name w:val="Figure heading"/>
    <w:basedOn w:val="Normal"/>
    <w:uiPriority w:val="99"/>
    <w:qFormat/>
    <w:rsid w:val="007B6A2B"/>
    <w:pPr>
      <w:keepNext/>
      <w:spacing w:after="120"/>
    </w:pPr>
    <w:rPr>
      <w:rFonts w:asciiTheme="minorHAnsi" w:hAnsiTheme="minorHAnsi" w:cstheme="minorHAnsi"/>
      <w:b/>
      <w:bCs/>
    </w:rPr>
  </w:style>
  <w:style w:type="paragraph" w:customStyle="1" w:styleId="SourceNote">
    <w:name w:val="Source/Note"/>
    <w:basedOn w:val="Normal"/>
    <w:uiPriority w:val="99"/>
    <w:qFormat/>
    <w:rsid w:val="008E3948"/>
    <w:pPr>
      <w:spacing w:line="220" w:lineRule="atLeast"/>
    </w:pPr>
    <w:rPr>
      <w:rFonts w:asciiTheme="minorHAnsi" w:hAnsiTheme="minorHAnsi" w:cstheme="minorHAnsi"/>
      <w:i/>
      <w:sz w:val="16"/>
      <w:szCs w:val="16"/>
    </w:rPr>
  </w:style>
  <w:style w:type="paragraph" w:styleId="ListBullet">
    <w:name w:val="List Bullet"/>
    <w:basedOn w:val="Normal"/>
    <w:uiPriority w:val="99"/>
    <w:unhideWhenUsed/>
    <w:rsid w:val="003B4308"/>
    <w:pPr>
      <w:numPr>
        <w:numId w:val="5"/>
      </w:numPr>
      <w:contextualSpacing/>
    </w:pPr>
  </w:style>
  <w:style w:type="paragraph" w:customStyle="1" w:styleId="SourceNotenumbered">
    <w:name w:val="Source/Note numbered"/>
    <w:basedOn w:val="SourceNote"/>
    <w:uiPriority w:val="99"/>
    <w:qFormat/>
    <w:rsid w:val="00965FC3"/>
    <w:pPr>
      <w:numPr>
        <w:numId w:val="44"/>
      </w:numPr>
      <w:tabs>
        <w:tab w:val="left" w:pos="397"/>
      </w:tabs>
      <w:spacing w:after="120" w:line="200" w:lineRule="atLeast"/>
    </w:pPr>
  </w:style>
  <w:style w:type="character" w:styleId="FollowedHyperlink">
    <w:name w:val="FollowedHyperlink"/>
    <w:basedOn w:val="DefaultParagraphFont"/>
    <w:uiPriority w:val="99"/>
    <w:semiHidden/>
    <w:unhideWhenUsed/>
    <w:rsid w:val="00773ED7"/>
    <w:rPr>
      <w:color w:val="954F72" w:themeColor="followedHyperlink"/>
      <w:u w:val="single"/>
    </w:rPr>
  </w:style>
  <w:style w:type="paragraph" w:customStyle="1" w:styleId="NumberaLists">
    <w:name w:val="Number a. (Lists)"/>
    <w:basedOn w:val="Number1Lists"/>
    <w:uiPriority w:val="99"/>
    <w:qFormat/>
    <w:rsid w:val="00F22151"/>
    <w:pPr>
      <w:numPr>
        <w:numId w:val="20"/>
      </w:numPr>
    </w:pPr>
  </w:style>
  <w:style w:type="paragraph" w:customStyle="1" w:styleId="NumberiLists">
    <w:name w:val="Number i (Lists)"/>
    <w:basedOn w:val="Number2Lists"/>
    <w:uiPriority w:val="99"/>
    <w:qFormat/>
    <w:rsid w:val="00F22151"/>
    <w:pPr>
      <w:numPr>
        <w:numId w:val="21"/>
      </w:numPr>
      <w:ind w:left="568" w:hanging="284"/>
    </w:pPr>
  </w:style>
  <w:style w:type="character" w:customStyle="1" w:styleId="UnnamedStyle1">
    <w:name w:val="Unnamed Style 1"/>
    <w:uiPriority w:val="99"/>
    <w:rsid w:val="00920227"/>
  </w:style>
  <w:style w:type="character" w:customStyle="1" w:styleId="Heading5Char">
    <w:name w:val="Heading 5 Char"/>
    <w:basedOn w:val="DefaultParagraphFont"/>
    <w:link w:val="Heading5"/>
    <w:uiPriority w:val="9"/>
    <w:rsid w:val="0012319F"/>
    <w:rPr>
      <w:rFonts w:asciiTheme="majorHAnsi" w:hAnsiTheme="majorHAnsi" w:cstheme="majorHAnsi"/>
      <w:i/>
      <w:iCs/>
      <w:lang w:val="en-GB"/>
    </w:rPr>
  </w:style>
  <w:style w:type="character" w:customStyle="1" w:styleId="Heading6Char">
    <w:name w:val="Heading 6 Char"/>
    <w:basedOn w:val="DefaultParagraphFont"/>
    <w:link w:val="Heading6"/>
    <w:uiPriority w:val="9"/>
    <w:rsid w:val="00B82012"/>
    <w:rPr>
      <w:rFonts w:asciiTheme="majorHAnsi" w:eastAsiaTheme="majorEastAsia" w:hAnsiTheme="majorHAnsi" w:cstheme="majorBidi"/>
      <w:color w:val="1F3763" w:themeColor="accent1" w:themeShade="7F"/>
    </w:rPr>
  </w:style>
  <w:style w:type="table" w:styleId="TableGridLight">
    <w:name w:val="Grid Table Light"/>
    <w:basedOn w:val="TableNormal"/>
    <w:uiPriority w:val="40"/>
    <w:rsid w:val="009A45F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ourceNotenumbereda">
    <w:name w:val="Source/Note numbered (a)"/>
    <w:uiPriority w:val="99"/>
    <w:qFormat/>
    <w:rsid w:val="000D2CDA"/>
    <w:pPr>
      <w:numPr>
        <w:numId w:val="93"/>
      </w:numPr>
      <w:spacing w:after="120" w:line="200" w:lineRule="atLeast"/>
    </w:pPr>
    <w:rPr>
      <w:rFonts w:cstheme="minorHAnsi"/>
      <w:i/>
      <w:color w:val="000000"/>
      <w:sz w:val="16"/>
      <w:szCs w:val="16"/>
    </w:rPr>
  </w:style>
  <w:style w:type="paragraph" w:customStyle="1" w:styleId="SourceNotenumbered-1">
    <w:name w:val="Source/Note numbered - 1."/>
    <w:uiPriority w:val="99"/>
    <w:qFormat/>
    <w:rsid w:val="00491A28"/>
    <w:pPr>
      <w:numPr>
        <w:numId w:val="52"/>
      </w:numPr>
      <w:tabs>
        <w:tab w:val="left" w:pos="284"/>
      </w:tabs>
      <w:suppressAutoHyphens/>
      <w:spacing w:after="120" w:line="240" w:lineRule="auto"/>
      <w:ind w:left="284" w:hanging="284"/>
    </w:pPr>
    <w:rPr>
      <w:rFonts w:cstheme="minorHAnsi"/>
      <w:i/>
      <w:color w:val="000000"/>
      <w:sz w:val="16"/>
      <w:szCs w:val="16"/>
    </w:rPr>
  </w:style>
  <w:style w:type="character" w:styleId="UnresolvedMention">
    <w:name w:val="Unresolved Mention"/>
    <w:basedOn w:val="DefaultParagraphFont"/>
    <w:uiPriority w:val="99"/>
    <w:semiHidden/>
    <w:unhideWhenUsed/>
    <w:rsid w:val="001A4A1A"/>
    <w:rPr>
      <w:color w:val="605E5C"/>
      <w:shd w:val="clear" w:color="auto" w:fill="E1DFDD"/>
    </w:rPr>
  </w:style>
  <w:style w:type="paragraph" w:styleId="Title">
    <w:name w:val="Title"/>
    <w:basedOn w:val="Normal"/>
    <w:next w:val="Normal"/>
    <w:link w:val="TitleChar"/>
    <w:uiPriority w:val="10"/>
    <w:qFormat/>
    <w:rsid w:val="00284427"/>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284427"/>
    <w:rPr>
      <w:rFonts w:asciiTheme="majorHAnsi" w:eastAsiaTheme="majorEastAsia" w:hAnsiTheme="majorHAnsi" w:cstheme="majorBidi"/>
      <w:spacing w:val="-10"/>
      <w:kern w:val="28"/>
      <w:sz w:val="56"/>
      <w:szCs w:val="56"/>
    </w:rPr>
  </w:style>
  <w:style w:type="paragraph" w:styleId="TOC2">
    <w:name w:val="toc 2"/>
    <w:basedOn w:val="Normal"/>
    <w:next w:val="Normal"/>
    <w:autoRedefine/>
    <w:uiPriority w:val="39"/>
    <w:unhideWhenUsed/>
    <w:rsid w:val="00284427"/>
    <w:pPr>
      <w:spacing w:after="100"/>
      <w:ind w:left="220"/>
    </w:pPr>
  </w:style>
  <w:style w:type="paragraph" w:styleId="TOC1">
    <w:name w:val="toc 1"/>
    <w:basedOn w:val="Normal"/>
    <w:next w:val="Normal"/>
    <w:autoRedefine/>
    <w:uiPriority w:val="39"/>
    <w:unhideWhenUsed/>
    <w:rsid w:val="00FA43C4"/>
    <w:pPr>
      <w:keepNext/>
      <w:tabs>
        <w:tab w:val="right" w:leader="dot" w:pos="9628"/>
      </w:tabs>
      <w:spacing w:before="120" w:after="100"/>
    </w:pPr>
    <w:rPr>
      <w:b/>
      <w:bCs/>
      <w:noProof/>
    </w:rPr>
  </w:style>
  <w:style w:type="paragraph" w:styleId="TOC3">
    <w:name w:val="toc 3"/>
    <w:basedOn w:val="Normal"/>
    <w:next w:val="Normal"/>
    <w:autoRedefine/>
    <w:uiPriority w:val="39"/>
    <w:unhideWhenUsed/>
    <w:rsid w:val="00884871"/>
    <w:pPr>
      <w:suppressAutoHyphens w:val="0"/>
      <w:autoSpaceDE/>
      <w:autoSpaceDN/>
      <w:adjustRightInd/>
      <w:spacing w:after="100" w:line="259" w:lineRule="auto"/>
      <w:ind w:left="440"/>
      <w:textAlignment w:val="auto"/>
    </w:pPr>
    <w:rPr>
      <w:rFonts w:asciiTheme="minorHAnsi" w:hAnsiTheme="minorHAnsi" w:cstheme="minorBidi"/>
      <w:color w:val="auto"/>
    </w:rPr>
  </w:style>
  <w:style w:type="paragraph" w:styleId="TOC4">
    <w:name w:val="toc 4"/>
    <w:basedOn w:val="Normal"/>
    <w:next w:val="Normal"/>
    <w:autoRedefine/>
    <w:uiPriority w:val="39"/>
    <w:unhideWhenUsed/>
    <w:rsid w:val="00884871"/>
    <w:pPr>
      <w:suppressAutoHyphens w:val="0"/>
      <w:autoSpaceDE/>
      <w:autoSpaceDN/>
      <w:adjustRightInd/>
      <w:spacing w:after="100" w:line="259" w:lineRule="auto"/>
      <w:ind w:left="660"/>
      <w:textAlignment w:val="auto"/>
    </w:pPr>
    <w:rPr>
      <w:rFonts w:asciiTheme="minorHAnsi" w:hAnsiTheme="minorHAnsi" w:cstheme="minorBidi"/>
      <w:color w:val="auto"/>
    </w:rPr>
  </w:style>
  <w:style w:type="paragraph" w:styleId="TOC5">
    <w:name w:val="toc 5"/>
    <w:basedOn w:val="Normal"/>
    <w:next w:val="Normal"/>
    <w:autoRedefine/>
    <w:uiPriority w:val="39"/>
    <w:unhideWhenUsed/>
    <w:rsid w:val="00884871"/>
    <w:pPr>
      <w:suppressAutoHyphens w:val="0"/>
      <w:autoSpaceDE/>
      <w:autoSpaceDN/>
      <w:adjustRightInd/>
      <w:spacing w:after="100" w:line="259" w:lineRule="auto"/>
      <w:ind w:left="880"/>
      <w:textAlignment w:val="auto"/>
    </w:pPr>
    <w:rPr>
      <w:rFonts w:asciiTheme="minorHAnsi" w:hAnsiTheme="minorHAnsi" w:cstheme="minorBidi"/>
      <w:color w:val="auto"/>
    </w:rPr>
  </w:style>
  <w:style w:type="paragraph" w:styleId="TOC6">
    <w:name w:val="toc 6"/>
    <w:basedOn w:val="Normal"/>
    <w:next w:val="Normal"/>
    <w:autoRedefine/>
    <w:uiPriority w:val="39"/>
    <w:unhideWhenUsed/>
    <w:rsid w:val="00884871"/>
    <w:pPr>
      <w:suppressAutoHyphens w:val="0"/>
      <w:autoSpaceDE/>
      <w:autoSpaceDN/>
      <w:adjustRightInd/>
      <w:spacing w:after="100" w:line="259" w:lineRule="auto"/>
      <w:ind w:left="1100"/>
      <w:textAlignment w:val="auto"/>
    </w:pPr>
    <w:rPr>
      <w:rFonts w:asciiTheme="minorHAnsi" w:hAnsiTheme="minorHAnsi" w:cstheme="minorBidi"/>
      <w:color w:val="auto"/>
    </w:rPr>
  </w:style>
  <w:style w:type="paragraph" w:styleId="TOC7">
    <w:name w:val="toc 7"/>
    <w:basedOn w:val="Normal"/>
    <w:next w:val="Normal"/>
    <w:autoRedefine/>
    <w:uiPriority w:val="39"/>
    <w:unhideWhenUsed/>
    <w:rsid w:val="00884871"/>
    <w:pPr>
      <w:suppressAutoHyphens w:val="0"/>
      <w:autoSpaceDE/>
      <w:autoSpaceDN/>
      <w:adjustRightInd/>
      <w:spacing w:after="100" w:line="259" w:lineRule="auto"/>
      <w:ind w:left="1320"/>
      <w:textAlignment w:val="auto"/>
    </w:pPr>
    <w:rPr>
      <w:rFonts w:asciiTheme="minorHAnsi" w:hAnsiTheme="minorHAnsi" w:cstheme="minorBidi"/>
      <w:color w:val="auto"/>
    </w:rPr>
  </w:style>
  <w:style w:type="paragraph" w:styleId="TOC8">
    <w:name w:val="toc 8"/>
    <w:basedOn w:val="Normal"/>
    <w:next w:val="Normal"/>
    <w:autoRedefine/>
    <w:uiPriority w:val="39"/>
    <w:unhideWhenUsed/>
    <w:rsid w:val="00884871"/>
    <w:pPr>
      <w:suppressAutoHyphens w:val="0"/>
      <w:autoSpaceDE/>
      <w:autoSpaceDN/>
      <w:adjustRightInd/>
      <w:spacing w:after="100" w:line="259" w:lineRule="auto"/>
      <w:ind w:left="1540"/>
      <w:textAlignment w:val="auto"/>
    </w:pPr>
    <w:rPr>
      <w:rFonts w:asciiTheme="minorHAnsi" w:hAnsiTheme="minorHAnsi" w:cstheme="minorBidi"/>
      <w:color w:val="auto"/>
    </w:rPr>
  </w:style>
  <w:style w:type="paragraph" w:styleId="TOC9">
    <w:name w:val="toc 9"/>
    <w:basedOn w:val="Normal"/>
    <w:next w:val="Normal"/>
    <w:autoRedefine/>
    <w:uiPriority w:val="39"/>
    <w:unhideWhenUsed/>
    <w:rsid w:val="00884871"/>
    <w:pPr>
      <w:suppressAutoHyphens w:val="0"/>
      <w:autoSpaceDE/>
      <w:autoSpaceDN/>
      <w:adjustRightInd/>
      <w:spacing w:after="100" w:line="259" w:lineRule="auto"/>
      <w:ind w:left="1760"/>
      <w:textAlignment w:val="auto"/>
    </w:pPr>
    <w:rPr>
      <w:rFonts w:asciiTheme="minorHAnsi" w:hAnsiTheme="minorHAnsi" w:cstheme="minorBidi"/>
      <w:color w:val="auto"/>
    </w:rPr>
  </w:style>
  <w:style w:type="paragraph" w:styleId="Header">
    <w:name w:val="header"/>
    <w:basedOn w:val="Normal"/>
    <w:link w:val="HeaderChar"/>
    <w:uiPriority w:val="99"/>
    <w:unhideWhenUsed/>
    <w:rsid w:val="002F4F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4F06"/>
    <w:rPr>
      <w:rFonts w:ascii="Arial" w:hAnsi="Arial" w:cs="Calibri"/>
      <w:color w:val="000000"/>
    </w:rPr>
  </w:style>
  <w:style w:type="paragraph" w:styleId="Footer">
    <w:name w:val="footer"/>
    <w:basedOn w:val="Normal"/>
    <w:link w:val="FooterChar"/>
    <w:uiPriority w:val="99"/>
    <w:unhideWhenUsed/>
    <w:rsid w:val="002F4F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4F06"/>
    <w:rPr>
      <w:rFonts w:ascii="Arial" w:hAnsi="Arial"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hyperlink" Target="http://data.vic.gov.au/" TargetMode="External"/><Relationship Id="rId21" Type="http://schemas.openxmlformats.org/officeDocument/2006/relationships/hyperlink" Target="https://www.environment.vic.gov.au/__data/assets/pdf_file/0035/394883/VVfN-Environmental-Volunteering-Plan_WEB.pdf" TargetMode="External"/><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hyperlink" Target="https://www.marineandcoasts.vic.gov.au/coastal-programs/cape-to-cape-resilience-project" TargetMode="External"/><Relationship Id="rId68" Type="http://schemas.openxmlformats.org/officeDocument/2006/relationships/image" Target="media/image36.png"/><Relationship Id="rId84" Type="http://schemas.openxmlformats.org/officeDocument/2006/relationships/hyperlink" Target="http://www.foi.vic.gov.au" TargetMode="External"/><Relationship Id="rId89" Type="http://schemas.openxmlformats.org/officeDocument/2006/relationships/hyperlink" Target="https://www.planning.vic.gov.au/schemes-and-amendments/planning-report-search" TargetMode="External"/><Relationship Id="rId112" Type="http://schemas.openxmlformats.org/officeDocument/2006/relationships/hyperlink" Target="http://www.waterregister.vic.gov.au" TargetMode="External"/><Relationship Id="rId16" Type="http://schemas.openxmlformats.org/officeDocument/2006/relationships/image" Target="media/image2.png"/><Relationship Id="rId107" Type="http://schemas.openxmlformats.org/officeDocument/2006/relationships/hyperlink" Target="https://www.youtube.com/watch?v=HVdjVZk5JPA" TargetMode="External"/><Relationship Id="rId11" Type="http://schemas.openxmlformats.org/officeDocument/2006/relationships/header" Target="header2.xm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hyperlink" Target="https://www.climatechange.vic.gov.au/victorias-climate-change-strategy" TargetMode="External"/><Relationship Id="rId58" Type="http://schemas.openxmlformats.org/officeDocument/2006/relationships/hyperlink" Target="https://static1.squarespace.com/static/5b337bd52714e5a3a3f671e2/t/612723bb2186e97aaa41b4cf/1629955011692/1258_FVTOC+Cultural+Strategy.%C6%92web.pdf" TargetMode="External"/><Relationship Id="rId74" Type="http://schemas.openxmlformats.org/officeDocument/2006/relationships/image" Target="media/image42.png"/><Relationship Id="rId79" Type="http://schemas.openxmlformats.org/officeDocument/2006/relationships/hyperlink" Target="https://icn.org.au/content/victoria/local-jobs-first" TargetMode="External"/><Relationship Id="rId102" Type="http://schemas.openxmlformats.org/officeDocument/2006/relationships/hyperlink" Target="http://www.water.vic.gov.au" TargetMode="External"/><Relationship Id="rId123" Type="http://schemas.openxmlformats.org/officeDocument/2006/relationships/image" Target="media/image52.png"/><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mapshare.vic.gov.au/vicplan/" TargetMode="External"/><Relationship Id="rId95" Type="http://schemas.openxmlformats.org/officeDocument/2006/relationships/hyperlink" Target="http://www.data.vic.gov.au" TargetMode="External"/><Relationship Id="rId19" Type="http://schemas.openxmlformats.org/officeDocument/2006/relationships/image" Target="media/image5.png"/><Relationship Id="rId14" Type="http://schemas.openxmlformats.org/officeDocument/2006/relationships/header" Target="header3.xml"/><Relationship Id="rId22" Type="http://schemas.openxmlformats.org/officeDocument/2006/relationships/hyperlink" Target="https://www.environment.vic.gov.au/__data/assets/pdf_file/0021/548202/Volunteering-Naturally-2021-FINAL.pdf" TargetMode="External"/><Relationship Id="rId27" Type="http://schemas.openxmlformats.org/officeDocument/2006/relationships/image" Target="media/image11.png"/><Relationship Id="rId30" Type="http://schemas.openxmlformats.org/officeDocument/2006/relationships/hyperlink" Target="http://www.data.water.vic.gov.au" TargetMode="External"/><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hyperlink" Target="https://www.delwp.vic.gov.au/__data/assets/pdf_file/0031/493456/Pupangarli-Marnmarnepu-Aboriginal-Self-Determination-Reform-Strategy-2020-2025.pdf" TargetMode="External"/><Relationship Id="rId64" Type="http://schemas.openxmlformats.org/officeDocument/2006/relationships/hyperlink" Target="https://www.planning.vic.gov.au/policy-and-strategy/built-environment-climate-change-adaptation-action-plan" TargetMode="External"/><Relationship Id="rId69" Type="http://schemas.openxmlformats.org/officeDocument/2006/relationships/image" Target="media/image37.png"/><Relationship Id="rId77" Type="http://schemas.openxmlformats.org/officeDocument/2006/relationships/image" Target="media/image45.png"/><Relationship Id="rId100" Type="http://schemas.openxmlformats.org/officeDocument/2006/relationships/hyperlink" Target="http://data.water.vic.gov.au" TargetMode="External"/><Relationship Id="rId105" Type="http://schemas.openxmlformats.org/officeDocument/2006/relationships/hyperlink" Target="https://www.youtube.com/watch?v=lWCsAwuOZuc" TargetMode="External"/><Relationship Id="rId113" Type="http://schemas.openxmlformats.org/officeDocument/2006/relationships/hyperlink" Target="https://www.water.vic.gov.au/waterways-and-catchments/rivers-estuaries-and-waterways/estuaries?_ga=2.161976379.685827986.1655276033-1621415179.1655276033" TargetMode="External"/><Relationship Id="rId118" Type="http://schemas.openxmlformats.org/officeDocument/2006/relationships/hyperlink" Target="http://mapshare.vic.gov.au/" TargetMode="External"/><Relationship Id="rId126" Type="http://schemas.openxmlformats.org/officeDocument/2006/relationships/hyperlink" Target="https://www.environment.vic.gov.au/native-vegetation/native-vegetation" TargetMode="External"/><Relationship Id="rId8" Type="http://schemas.openxmlformats.org/officeDocument/2006/relationships/image" Target="media/image1.jpg"/><Relationship Id="rId51" Type="http://schemas.openxmlformats.org/officeDocument/2006/relationships/image" Target="media/image34.png"/><Relationship Id="rId72" Type="http://schemas.openxmlformats.org/officeDocument/2006/relationships/image" Target="media/image40.png"/><Relationship Id="rId80" Type="http://schemas.openxmlformats.org/officeDocument/2006/relationships/hyperlink" Target="http://www.tenders.vic.gov.au" TargetMode="External"/><Relationship Id="rId85" Type="http://schemas.openxmlformats.org/officeDocument/2006/relationships/hyperlink" Target="http://www.planning.vic.gov.au" TargetMode="External"/><Relationship Id="rId93" Type="http://schemas.openxmlformats.org/officeDocument/2006/relationships/hyperlink" Target="http://www.ibac.vic.gov.au" TargetMode="External"/><Relationship Id="rId98" Type="http://schemas.openxmlformats.org/officeDocument/2006/relationships/hyperlink" Target="http://www.waterregister.vic.gov.au" TargetMode="External"/><Relationship Id="rId121" Type="http://schemas.openxmlformats.org/officeDocument/2006/relationships/image" Target="media/image50.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hyperlink" Target="https://www.melbournewater.com.au/about/strategies-and-reports/yarra-strategic-plan-burndap-birrarung-burndap-umarkoo" TargetMode="External"/><Relationship Id="rId67" Type="http://schemas.openxmlformats.org/officeDocument/2006/relationships/image" Target="media/image35.png"/><Relationship Id="rId103" Type="http://schemas.openxmlformats.org/officeDocument/2006/relationships/hyperlink" Target="http://www.vewh.vic.gov.au" TargetMode="External"/><Relationship Id="rId108" Type="http://schemas.openxmlformats.org/officeDocument/2006/relationships/hyperlink" Target="https://www.youtube.com/watch?v=0m11AYmwRsk" TargetMode="External"/><Relationship Id="rId116" Type="http://schemas.openxmlformats.org/officeDocument/2006/relationships/hyperlink" Target="http://mapshare.vic.gov.au/" TargetMode="External"/><Relationship Id="rId124" Type="http://schemas.openxmlformats.org/officeDocument/2006/relationships/hyperlink" Target="http://www.forestsandreserves.vic.gov.au/land-management/managing-crown-land/crown-land-leases-licences-and-permits/apiculture-on-public-land" TargetMode="External"/><Relationship Id="rId129"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image" Target="media/image24.png"/><Relationship Id="rId54" Type="http://schemas.openxmlformats.org/officeDocument/2006/relationships/hyperlink" Target="https://www.boards.vic.gov.au/directors-duties-respect-climate-risk" TargetMode="External"/><Relationship Id="rId62" Type="http://schemas.openxmlformats.org/officeDocument/2006/relationships/hyperlink" Target="https://www.marineandcoasts.vic.gov.au/coastal-management/victorias-resilient-coast-adapting-for-2100" TargetMode="External"/><Relationship Id="rId70" Type="http://schemas.openxmlformats.org/officeDocument/2006/relationships/image" Target="media/image38.png"/><Relationship Id="rId75" Type="http://schemas.openxmlformats.org/officeDocument/2006/relationships/image" Target="media/image43.png"/><Relationship Id="rId83" Type="http://schemas.openxmlformats.org/officeDocument/2006/relationships/hyperlink" Target="mailto:foi.unit%40delwp.vic.gov.au?subject=" TargetMode="External"/><Relationship Id="rId88" Type="http://schemas.openxmlformats.org/officeDocument/2006/relationships/hyperlink" Target="https://www.planning.vic.gov.au/permits-and-applications/ministerial-permits/ministers-permit-register" TargetMode="External"/><Relationship Id="rId91" Type="http://schemas.openxmlformats.org/officeDocument/2006/relationships/hyperlink" Target="mailto:planning.schemes%40delwp.vic.gov.au?subject=" TargetMode="External"/><Relationship Id="rId96" Type="http://schemas.openxmlformats.org/officeDocument/2006/relationships/image" Target="media/image47.png"/><Relationship Id="rId111" Type="http://schemas.openxmlformats.org/officeDocument/2006/relationships/hyperlink" Target="http://data.water.vic.gov.a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hyperlink" Target="https://static1.squarespace.com/static/5b337bd52714e5a3a3f671e2/t/612723bb2186e97aaa41b4cf/1629955011692/1258_FVTOC+Cultural+Strategy.%C6%92web.pdf" TargetMode="External"/><Relationship Id="rId106" Type="http://schemas.openxmlformats.org/officeDocument/2006/relationships/hyperlink" Target="https://www.youtube.com/watch?v=Lfy8dPYlOZc" TargetMode="External"/><Relationship Id="rId114" Type="http://schemas.openxmlformats.org/officeDocument/2006/relationships/hyperlink" Target="https://www.water.vic.gov.au/waterways-and-catchments/rivers-estuaries-and-waterways/estuaries?_ga=2.161976379.685827986.1655276033-1621415179.1655276033" TargetMode="External"/><Relationship Id="rId119" Type="http://schemas.openxmlformats.org/officeDocument/2006/relationships/image" Target="media/image48.png"/><Relationship Id="rId127" Type="http://schemas.openxmlformats.org/officeDocument/2006/relationships/hyperlink" Target="mailto:https://www.environment.vic.gov.au/sustainability/sustainability-fund?subject=" TargetMode="External"/><Relationship Id="rId10" Type="http://schemas.openxmlformats.org/officeDocument/2006/relationships/header" Target="header1.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hyperlink" Target="https://www.ipcc.ch/report/ar6/wg1/" TargetMode="External"/><Relationship Id="rId60" Type="http://schemas.openxmlformats.org/officeDocument/2006/relationships/hyperlink" Target="https://www.marineandcoasts.vic.gov.au/coastal-management/marine-and-coastal-strategy" TargetMode="External"/><Relationship Id="rId65" Type="http://schemas.openxmlformats.org/officeDocument/2006/relationships/hyperlink" Target="https://www.planning.vic.gov.au/policy-and-strategy/engaging-stakeholders-in-planning-settlements-exposed-to-natural-hazards" TargetMode="External"/><Relationship Id="rId73" Type="http://schemas.openxmlformats.org/officeDocument/2006/relationships/image" Target="media/image41.png"/><Relationship Id="rId78" Type="http://schemas.openxmlformats.org/officeDocument/2006/relationships/image" Target="media/image46.png"/><Relationship Id="rId81" Type="http://schemas.openxmlformats.org/officeDocument/2006/relationships/hyperlink" Target="http://www.foi.vic.gov.au/" TargetMode="External"/><Relationship Id="rId86" Type="http://schemas.openxmlformats.org/officeDocument/2006/relationships/hyperlink" Target="http://www.heritage.vic.gov.au" TargetMode="External"/><Relationship Id="rId94" Type="http://schemas.openxmlformats.org/officeDocument/2006/relationships/hyperlink" Target="http://www.delwp.vic.gov.au" TargetMode="External"/><Relationship Id="rId99" Type="http://schemas.openxmlformats.org/officeDocument/2006/relationships/hyperlink" Target="http://data.water.vic.gov.au" TargetMode="External"/><Relationship Id="rId101" Type="http://schemas.openxmlformats.org/officeDocument/2006/relationships/hyperlink" Target="http://www.water.vic.gov.au/water-reporting/water-resource-reporting" TargetMode="External"/><Relationship Id="rId122" Type="http://schemas.openxmlformats.org/officeDocument/2006/relationships/image" Target="media/image51.png"/><Relationship Id="rId4" Type="http://schemas.openxmlformats.org/officeDocument/2006/relationships/settings" Target="settings.xml"/><Relationship Id="rId9" Type="http://schemas.openxmlformats.org/officeDocument/2006/relationships/hyperlink" Target="https://urldefense.com/v3/__https:/t.e2ma.net/click/gctxcj/gc91u6rc/460akq__;!!C5rN6bSF!UMKMsBjk1BngCUEdJ7OA1zn_8wJf48gYoO6DmgSW7mjgK22Y5E36QYS-AoapYlRIMhB7XRkiFx317w$" TargetMode="External"/><Relationship Id="rId13" Type="http://schemas.openxmlformats.org/officeDocument/2006/relationships/footer" Target="footer2.xml"/><Relationship Id="rId18" Type="http://schemas.openxmlformats.org/officeDocument/2006/relationships/image" Target="media/image4.png"/><Relationship Id="rId39" Type="http://schemas.openxmlformats.org/officeDocument/2006/relationships/image" Target="media/image22.png"/><Relationship Id="rId109" Type="http://schemas.openxmlformats.org/officeDocument/2006/relationships/hyperlink" Target="https://www.youtube.com/watch?v=Vuun3C8a4z4" TargetMode="External"/><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hyperlink" Target="https://vicfutureclimatetool.indraweb.io/" TargetMode="External"/><Relationship Id="rId76" Type="http://schemas.openxmlformats.org/officeDocument/2006/relationships/image" Target="media/image44.png"/><Relationship Id="rId97" Type="http://schemas.openxmlformats.org/officeDocument/2006/relationships/hyperlink" Target="http://www.vpa.vic.gov.au/" TargetMode="External"/><Relationship Id="rId104" Type="http://schemas.openxmlformats.org/officeDocument/2006/relationships/hyperlink" Target="https://www.ari.vic.gov.au/research/field-techniques-and-monitoring/native-fish-report-card-program" TargetMode="External"/><Relationship Id="rId120" Type="http://schemas.openxmlformats.org/officeDocument/2006/relationships/image" Target="media/image49.png"/><Relationship Id="rId125" Type="http://schemas.openxmlformats.org/officeDocument/2006/relationships/hyperlink" Target="https://www.environment.vic.gov.au/native-vegetation/native-vegetation" TargetMode="External"/><Relationship Id="rId7" Type="http://schemas.openxmlformats.org/officeDocument/2006/relationships/endnotes" Target="endnotes.xml"/><Relationship Id="rId71" Type="http://schemas.openxmlformats.org/officeDocument/2006/relationships/image" Target="media/image39.png"/><Relationship Id="rId92" Type="http://schemas.openxmlformats.org/officeDocument/2006/relationships/hyperlink" Target="mailto:disclosures%40delwp.vic.gov.au?subject=" TargetMode="Externa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hyperlink" Target="https://www.dtf.vic.gov.au/financial-reporting-policy/financial-reporting-directions-and-guidance" TargetMode="External"/><Relationship Id="rId87" Type="http://schemas.openxmlformats.org/officeDocument/2006/relationships/hyperlink" Target="http://www.urban-design-guidelines.planning.vic.gov.au" TargetMode="External"/><Relationship Id="rId110" Type="http://schemas.openxmlformats.org/officeDocument/2006/relationships/hyperlink" Target="https://water.vic.gov.au/waterways-and-catchments" TargetMode="External"/><Relationship Id="rId115" Type="http://schemas.openxmlformats.org/officeDocument/2006/relationships/hyperlink" Target="https://www.ari.vic.gov.au/research/rivers-and-estuaries/riparian-intervention-monitoring-program" TargetMode="External"/><Relationship Id="rId61" Type="http://schemas.openxmlformats.org/officeDocument/2006/relationships/hyperlink" Target="https://www.marineandcoasts.vic.gov.au/coastal-management/marine-and-coastal-policy" TargetMode="External"/><Relationship Id="rId82" Type="http://schemas.openxmlformats.org/officeDocument/2006/relationships/hyperlink" Target="mailto:foi.unit%40delwp.vic.gov.au?subje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5E2B39-A736-4ACF-97FB-FF9518516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429</Pages>
  <Words>138198</Words>
  <Characters>827214</Characters>
  <Application>Microsoft Office Word</Application>
  <DocSecurity>0</DocSecurity>
  <Lines>6893</Lines>
  <Paragraphs>1926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963486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Samaa Kirby</dc:creator>
  <cp:keywords/>
  <dc:description/>
  <cp:lastModifiedBy>Carissa J Webb (DELWP)</cp:lastModifiedBy>
  <cp:revision>2</cp:revision>
  <dcterms:created xsi:type="dcterms:W3CDTF">2022-11-02T22:56:00Z</dcterms:created>
  <dcterms:modified xsi:type="dcterms:W3CDTF">2022-11-02T22:56:00Z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2022-11-02T22:55:55Z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951bce94-992d-41b3-a7f7-41ee1a42cd7e</vt:lpwstr>
  </property>
  <property fmtid="{D5CDD505-2E9C-101B-9397-08002B2CF9AE}" pid="8" name="MSIP_Label_4257e2ab-f512-40e2-9c9a-c64247360765_ContentBits">
    <vt:lpwstr>2</vt:lpwstr>
  </property>
</Properties>
</file>